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51A" w:rsidRPr="006A2BB3" w:rsidRDefault="00D0397A" w:rsidP="006A2BB3">
      <w:pPr>
        <w:spacing w:after="0" w:line="480" w:lineRule="auto"/>
        <w:jc w:val="center"/>
        <w:rPr>
          <w:rFonts w:ascii="Arial" w:hAnsi="Arial"/>
          <w:b/>
          <w:sz w:val="24"/>
          <w:szCs w:val="24"/>
        </w:rPr>
      </w:pPr>
      <w:bookmarkStart w:id="0" w:name="_GoBack"/>
      <w:bookmarkEnd w:id="0"/>
      <w:r w:rsidRPr="006A2BB3">
        <w:rPr>
          <w:rFonts w:ascii="Arial" w:hAnsi="Arial"/>
          <w:noProof/>
          <w:sz w:val="24"/>
          <w:szCs w:val="24"/>
          <w:lang w:val="en-US"/>
        </w:rPr>
        <w:drawing>
          <wp:anchor distT="0" distB="0" distL="114300" distR="114300" simplePos="0" relativeHeight="251657728" behindDoc="0" locked="0" layoutInCell="1" allowOverlap="1">
            <wp:simplePos x="0" y="0"/>
            <wp:positionH relativeFrom="margin">
              <wp:align>center</wp:align>
            </wp:positionH>
            <wp:positionV relativeFrom="margin">
              <wp:posOffset>-516890</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251A" w:rsidRPr="006A2BB3" w:rsidRDefault="0013251A" w:rsidP="006A2BB3">
      <w:pPr>
        <w:spacing w:after="0" w:line="480" w:lineRule="auto"/>
        <w:jc w:val="center"/>
        <w:rPr>
          <w:rFonts w:ascii="Arial" w:hAnsi="Arial"/>
          <w:b/>
          <w:sz w:val="24"/>
          <w:szCs w:val="24"/>
        </w:rPr>
      </w:pPr>
    </w:p>
    <w:p w:rsidR="0013251A" w:rsidRPr="006A2BB3" w:rsidRDefault="0013251A" w:rsidP="006A2BB3">
      <w:pPr>
        <w:spacing w:after="0" w:line="480" w:lineRule="auto"/>
        <w:jc w:val="center"/>
        <w:rPr>
          <w:rFonts w:ascii="Arial" w:hAnsi="Arial"/>
          <w:b/>
          <w:sz w:val="24"/>
          <w:szCs w:val="24"/>
        </w:rPr>
      </w:pPr>
    </w:p>
    <w:p w:rsidR="0013251A" w:rsidRPr="006A2BB3" w:rsidRDefault="0013251A" w:rsidP="006A2BB3">
      <w:pPr>
        <w:spacing w:after="0" w:line="480" w:lineRule="auto"/>
        <w:jc w:val="right"/>
        <w:rPr>
          <w:rFonts w:ascii="Arial" w:hAnsi="Arial"/>
          <w:b/>
          <w:sz w:val="24"/>
          <w:szCs w:val="24"/>
        </w:rPr>
      </w:pPr>
      <w:r w:rsidRPr="006A2BB3">
        <w:rPr>
          <w:rFonts w:ascii="Arial" w:hAnsi="Arial"/>
          <w:b/>
          <w:sz w:val="24"/>
          <w:szCs w:val="24"/>
        </w:rPr>
        <w:t>REPORTABLE</w:t>
      </w:r>
    </w:p>
    <w:p w:rsidR="0013251A" w:rsidRPr="006A2BB3" w:rsidRDefault="0013251A" w:rsidP="006A2BB3">
      <w:pPr>
        <w:spacing w:after="0" w:line="480" w:lineRule="auto"/>
        <w:jc w:val="right"/>
        <w:rPr>
          <w:rFonts w:ascii="Arial" w:hAnsi="Arial"/>
          <w:sz w:val="24"/>
          <w:szCs w:val="24"/>
        </w:rPr>
      </w:pPr>
      <w:r w:rsidRPr="006A2BB3">
        <w:rPr>
          <w:rFonts w:ascii="Arial" w:hAnsi="Arial"/>
          <w:sz w:val="24"/>
          <w:szCs w:val="24"/>
        </w:rPr>
        <w:t>CASE NO: SA 25</w:t>
      </w:r>
      <w:r w:rsidR="00747C86">
        <w:rPr>
          <w:rFonts w:ascii="Arial" w:hAnsi="Arial"/>
          <w:sz w:val="24"/>
          <w:szCs w:val="24"/>
        </w:rPr>
        <w:t xml:space="preserve"> </w:t>
      </w:r>
      <w:r w:rsidRPr="006A2BB3">
        <w:rPr>
          <w:rFonts w:ascii="Arial" w:hAnsi="Arial"/>
          <w:sz w:val="24"/>
          <w:szCs w:val="24"/>
        </w:rPr>
        <w:t>/</w:t>
      </w:r>
      <w:r w:rsidR="00747C86">
        <w:rPr>
          <w:rFonts w:ascii="Arial" w:hAnsi="Arial"/>
          <w:sz w:val="24"/>
          <w:szCs w:val="24"/>
        </w:rPr>
        <w:t xml:space="preserve"> </w:t>
      </w:r>
      <w:r w:rsidRPr="006A2BB3">
        <w:rPr>
          <w:rFonts w:ascii="Arial" w:hAnsi="Arial"/>
          <w:sz w:val="24"/>
          <w:szCs w:val="24"/>
        </w:rPr>
        <w:t>2015</w:t>
      </w:r>
    </w:p>
    <w:p w:rsidR="0055516B" w:rsidRPr="006A2BB3" w:rsidRDefault="0055516B" w:rsidP="006A2BB3">
      <w:pPr>
        <w:spacing w:after="0" w:line="480" w:lineRule="auto"/>
        <w:rPr>
          <w:rFonts w:ascii="Arial" w:hAnsi="Arial"/>
          <w:b/>
          <w:sz w:val="24"/>
          <w:szCs w:val="24"/>
        </w:rPr>
      </w:pPr>
      <w:r w:rsidRPr="006A2BB3">
        <w:rPr>
          <w:rFonts w:ascii="Arial" w:hAnsi="Arial"/>
          <w:b/>
          <w:sz w:val="24"/>
          <w:szCs w:val="24"/>
        </w:rPr>
        <w:t xml:space="preserve">IN THE </w:t>
      </w:r>
      <w:r w:rsidR="00B55409" w:rsidRPr="006A2BB3">
        <w:rPr>
          <w:rFonts w:ascii="Arial" w:hAnsi="Arial"/>
          <w:b/>
          <w:sz w:val="24"/>
          <w:szCs w:val="24"/>
        </w:rPr>
        <w:t>SUPREME COURT OF NAMIBIA</w:t>
      </w:r>
    </w:p>
    <w:p w:rsidR="0013251A" w:rsidRPr="006A2BB3" w:rsidRDefault="0013251A" w:rsidP="006A2BB3">
      <w:pPr>
        <w:spacing w:after="0" w:line="480" w:lineRule="auto"/>
        <w:rPr>
          <w:rFonts w:ascii="Arial" w:hAnsi="Arial"/>
          <w:sz w:val="24"/>
          <w:szCs w:val="24"/>
        </w:rPr>
      </w:pPr>
    </w:p>
    <w:p w:rsidR="0055516B" w:rsidRPr="006A2BB3" w:rsidRDefault="0055516B" w:rsidP="006A2BB3">
      <w:pPr>
        <w:spacing w:after="0" w:line="480" w:lineRule="auto"/>
        <w:rPr>
          <w:rFonts w:ascii="Arial" w:hAnsi="Arial"/>
          <w:sz w:val="24"/>
          <w:szCs w:val="24"/>
        </w:rPr>
      </w:pPr>
      <w:r w:rsidRPr="006A2BB3">
        <w:rPr>
          <w:rFonts w:ascii="Arial" w:hAnsi="Arial"/>
          <w:sz w:val="24"/>
          <w:szCs w:val="24"/>
        </w:rPr>
        <w:t>In the matter between</w:t>
      </w:r>
    </w:p>
    <w:tbl>
      <w:tblPr>
        <w:tblW w:w="0" w:type="auto"/>
        <w:tblLook w:val="04A0" w:firstRow="1" w:lastRow="0" w:firstColumn="1" w:lastColumn="0" w:noHBand="0" w:noVBand="1"/>
      </w:tblPr>
      <w:tblGrid>
        <w:gridCol w:w="4501"/>
        <w:gridCol w:w="4502"/>
      </w:tblGrid>
      <w:tr w:rsidR="001709D7" w:rsidRPr="003E7A1E" w:rsidTr="003E7A1E">
        <w:tc>
          <w:tcPr>
            <w:tcW w:w="4501" w:type="dxa"/>
            <w:shd w:val="clear" w:color="auto" w:fill="auto"/>
          </w:tcPr>
          <w:p w:rsidR="001709D7" w:rsidRPr="003E7A1E" w:rsidRDefault="001709D7" w:rsidP="003E7A1E">
            <w:pPr>
              <w:spacing w:after="0" w:line="480" w:lineRule="auto"/>
              <w:rPr>
                <w:rFonts w:ascii="Arial" w:hAnsi="Arial"/>
                <w:b/>
                <w:sz w:val="24"/>
                <w:szCs w:val="24"/>
              </w:rPr>
            </w:pPr>
          </w:p>
          <w:p w:rsidR="001709D7" w:rsidRPr="003E7A1E" w:rsidRDefault="001709D7" w:rsidP="003E7A1E">
            <w:pPr>
              <w:spacing w:after="0" w:line="480" w:lineRule="auto"/>
              <w:rPr>
                <w:rFonts w:ascii="Arial" w:hAnsi="Arial"/>
                <w:b/>
                <w:sz w:val="24"/>
                <w:szCs w:val="24"/>
              </w:rPr>
            </w:pPr>
            <w:r w:rsidRPr="003E7A1E">
              <w:rPr>
                <w:rFonts w:ascii="Arial" w:hAnsi="Arial"/>
                <w:b/>
                <w:sz w:val="24"/>
                <w:szCs w:val="24"/>
              </w:rPr>
              <w:t>PROSECUTOR-GENERAL</w:t>
            </w:r>
          </w:p>
        </w:tc>
        <w:tc>
          <w:tcPr>
            <w:tcW w:w="4502" w:type="dxa"/>
            <w:shd w:val="clear" w:color="auto" w:fill="auto"/>
          </w:tcPr>
          <w:p w:rsidR="001709D7" w:rsidRPr="003E7A1E" w:rsidRDefault="001709D7" w:rsidP="003E7A1E">
            <w:pPr>
              <w:spacing w:after="0" w:line="480" w:lineRule="auto"/>
              <w:jc w:val="right"/>
              <w:rPr>
                <w:rFonts w:ascii="Arial" w:hAnsi="Arial"/>
                <w:b/>
                <w:sz w:val="24"/>
                <w:szCs w:val="24"/>
              </w:rPr>
            </w:pPr>
          </w:p>
          <w:p w:rsidR="001709D7" w:rsidRPr="003E7A1E" w:rsidRDefault="001709D7" w:rsidP="00D92728">
            <w:pPr>
              <w:spacing w:after="0" w:line="480" w:lineRule="auto"/>
              <w:jc w:val="right"/>
              <w:rPr>
                <w:rFonts w:ascii="Arial" w:hAnsi="Arial"/>
                <w:b/>
                <w:sz w:val="24"/>
                <w:szCs w:val="24"/>
              </w:rPr>
            </w:pPr>
            <w:r w:rsidRPr="003E7A1E">
              <w:rPr>
                <w:rFonts w:ascii="Arial" w:hAnsi="Arial"/>
                <w:b/>
                <w:sz w:val="24"/>
                <w:szCs w:val="24"/>
              </w:rPr>
              <w:t>A</w:t>
            </w:r>
            <w:r w:rsidR="00D92728">
              <w:rPr>
                <w:rFonts w:ascii="Arial" w:hAnsi="Arial"/>
                <w:b/>
                <w:sz w:val="24"/>
                <w:szCs w:val="24"/>
              </w:rPr>
              <w:t>ppellant</w:t>
            </w:r>
          </w:p>
        </w:tc>
      </w:tr>
      <w:tr w:rsidR="001709D7" w:rsidRPr="003E7A1E" w:rsidTr="003E7A1E">
        <w:tc>
          <w:tcPr>
            <w:tcW w:w="4501" w:type="dxa"/>
            <w:shd w:val="clear" w:color="auto" w:fill="auto"/>
          </w:tcPr>
          <w:p w:rsidR="001709D7" w:rsidRPr="003E7A1E" w:rsidRDefault="001709D7" w:rsidP="003E7A1E">
            <w:pPr>
              <w:spacing w:after="0" w:line="480" w:lineRule="auto"/>
              <w:rPr>
                <w:rFonts w:ascii="Arial" w:hAnsi="Arial"/>
                <w:sz w:val="24"/>
                <w:szCs w:val="24"/>
              </w:rPr>
            </w:pPr>
          </w:p>
          <w:p w:rsidR="001709D7" w:rsidRPr="003E7A1E" w:rsidRDefault="001709D7" w:rsidP="003E7A1E">
            <w:pPr>
              <w:spacing w:after="0" w:line="480" w:lineRule="auto"/>
              <w:rPr>
                <w:rFonts w:ascii="Arial" w:hAnsi="Arial"/>
                <w:sz w:val="24"/>
                <w:szCs w:val="24"/>
              </w:rPr>
            </w:pPr>
            <w:r w:rsidRPr="003E7A1E">
              <w:rPr>
                <w:rFonts w:ascii="Arial" w:hAnsi="Arial"/>
                <w:sz w:val="24"/>
                <w:szCs w:val="24"/>
              </w:rPr>
              <w:t>and</w:t>
            </w:r>
          </w:p>
        </w:tc>
        <w:tc>
          <w:tcPr>
            <w:tcW w:w="4502" w:type="dxa"/>
            <w:shd w:val="clear" w:color="auto" w:fill="auto"/>
          </w:tcPr>
          <w:p w:rsidR="001709D7" w:rsidRPr="003E7A1E" w:rsidRDefault="001709D7" w:rsidP="003E7A1E">
            <w:pPr>
              <w:spacing w:after="0" w:line="480" w:lineRule="auto"/>
              <w:jc w:val="right"/>
              <w:rPr>
                <w:rFonts w:ascii="Arial" w:hAnsi="Arial"/>
                <w:b/>
                <w:sz w:val="24"/>
                <w:szCs w:val="24"/>
              </w:rPr>
            </w:pPr>
          </w:p>
        </w:tc>
      </w:tr>
      <w:tr w:rsidR="001709D7" w:rsidRPr="003E7A1E" w:rsidTr="003E7A1E">
        <w:tc>
          <w:tcPr>
            <w:tcW w:w="4501" w:type="dxa"/>
            <w:shd w:val="clear" w:color="auto" w:fill="auto"/>
          </w:tcPr>
          <w:p w:rsidR="001709D7" w:rsidRPr="003E7A1E" w:rsidRDefault="001709D7" w:rsidP="003E7A1E">
            <w:pPr>
              <w:spacing w:after="0" w:line="480" w:lineRule="auto"/>
              <w:rPr>
                <w:rFonts w:ascii="Arial" w:hAnsi="Arial"/>
                <w:b/>
                <w:sz w:val="24"/>
                <w:szCs w:val="24"/>
              </w:rPr>
            </w:pPr>
          </w:p>
          <w:p w:rsidR="001709D7" w:rsidRPr="003E7A1E" w:rsidRDefault="001709D7" w:rsidP="003E7A1E">
            <w:pPr>
              <w:spacing w:after="0" w:line="480" w:lineRule="auto"/>
              <w:rPr>
                <w:rFonts w:ascii="Arial" w:hAnsi="Arial"/>
                <w:b/>
                <w:sz w:val="24"/>
                <w:szCs w:val="24"/>
              </w:rPr>
            </w:pPr>
            <w:r w:rsidRPr="003E7A1E">
              <w:rPr>
                <w:rFonts w:ascii="Arial" w:hAnsi="Arial"/>
                <w:b/>
                <w:sz w:val="24"/>
                <w:szCs w:val="24"/>
              </w:rPr>
              <w:t>ONESMUS NGHITUMU TAAPOPI</w:t>
            </w:r>
          </w:p>
        </w:tc>
        <w:tc>
          <w:tcPr>
            <w:tcW w:w="4502" w:type="dxa"/>
            <w:shd w:val="clear" w:color="auto" w:fill="auto"/>
          </w:tcPr>
          <w:p w:rsidR="001709D7" w:rsidRPr="003E7A1E" w:rsidRDefault="001709D7" w:rsidP="003E7A1E">
            <w:pPr>
              <w:spacing w:after="0" w:line="480" w:lineRule="auto"/>
              <w:jc w:val="right"/>
              <w:rPr>
                <w:rFonts w:ascii="Arial" w:hAnsi="Arial"/>
                <w:b/>
                <w:sz w:val="24"/>
                <w:szCs w:val="24"/>
              </w:rPr>
            </w:pPr>
          </w:p>
          <w:p w:rsidR="001709D7" w:rsidRPr="003E7A1E" w:rsidRDefault="001709D7" w:rsidP="00D92728">
            <w:pPr>
              <w:spacing w:after="0" w:line="480" w:lineRule="auto"/>
              <w:jc w:val="right"/>
              <w:rPr>
                <w:rFonts w:ascii="Arial" w:hAnsi="Arial"/>
                <w:b/>
                <w:sz w:val="24"/>
                <w:szCs w:val="24"/>
              </w:rPr>
            </w:pPr>
            <w:r w:rsidRPr="003E7A1E">
              <w:rPr>
                <w:rFonts w:ascii="Arial" w:hAnsi="Arial"/>
                <w:b/>
                <w:sz w:val="24"/>
                <w:szCs w:val="24"/>
              </w:rPr>
              <w:t>R</w:t>
            </w:r>
            <w:r w:rsidR="00D92728">
              <w:rPr>
                <w:rFonts w:ascii="Arial" w:hAnsi="Arial"/>
                <w:b/>
                <w:sz w:val="24"/>
                <w:szCs w:val="24"/>
              </w:rPr>
              <w:t>espondent</w:t>
            </w:r>
          </w:p>
        </w:tc>
      </w:tr>
    </w:tbl>
    <w:p w:rsidR="0013251A" w:rsidRPr="006A2BB3" w:rsidRDefault="0013251A" w:rsidP="006A2BB3">
      <w:pPr>
        <w:spacing w:after="0" w:line="480" w:lineRule="auto"/>
        <w:rPr>
          <w:rFonts w:ascii="Arial" w:hAnsi="Arial"/>
          <w:b/>
          <w:sz w:val="24"/>
          <w:szCs w:val="24"/>
        </w:rPr>
      </w:pPr>
    </w:p>
    <w:p w:rsidR="007635D6" w:rsidRPr="006A2BB3" w:rsidRDefault="007635D6" w:rsidP="006A2BB3">
      <w:pPr>
        <w:spacing w:after="0" w:line="480" w:lineRule="auto"/>
        <w:rPr>
          <w:rFonts w:ascii="Arial" w:hAnsi="Arial"/>
          <w:sz w:val="24"/>
          <w:szCs w:val="24"/>
        </w:rPr>
      </w:pPr>
      <w:r w:rsidRPr="006A2BB3">
        <w:rPr>
          <w:rFonts w:ascii="Arial" w:hAnsi="Arial"/>
          <w:b/>
          <w:sz w:val="24"/>
          <w:szCs w:val="24"/>
        </w:rPr>
        <w:t>C</w:t>
      </w:r>
      <w:r w:rsidR="0013251A" w:rsidRPr="006A2BB3">
        <w:rPr>
          <w:rFonts w:ascii="Arial" w:hAnsi="Arial"/>
          <w:b/>
          <w:sz w:val="24"/>
          <w:szCs w:val="24"/>
        </w:rPr>
        <w:t>oram</w:t>
      </w:r>
      <w:r w:rsidRPr="006A2BB3">
        <w:rPr>
          <w:rFonts w:ascii="Arial" w:hAnsi="Arial"/>
          <w:b/>
          <w:sz w:val="24"/>
          <w:szCs w:val="24"/>
        </w:rPr>
        <w:t xml:space="preserve">: </w:t>
      </w:r>
      <w:r w:rsidR="0013251A" w:rsidRPr="006A2BB3">
        <w:rPr>
          <w:rFonts w:ascii="Arial" w:hAnsi="Arial"/>
          <w:b/>
          <w:sz w:val="24"/>
          <w:szCs w:val="24"/>
        </w:rPr>
        <w:tab/>
      </w:r>
      <w:r w:rsidRPr="006A2BB3">
        <w:rPr>
          <w:rFonts w:ascii="Arial" w:hAnsi="Arial"/>
          <w:sz w:val="24"/>
          <w:szCs w:val="24"/>
        </w:rPr>
        <w:t>SMUTS JA, CHOMBA AJA and MOKGORO AJA</w:t>
      </w:r>
    </w:p>
    <w:p w:rsidR="002D4A65" w:rsidRPr="006A2BB3" w:rsidRDefault="0013251A" w:rsidP="006A2BB3">
      <w:pPr>
        <w:spacing w:after="0" w:line="480" w:lineRule="auto"/>
        <w:rPr>
          <w:rFonts w:ascii="Arial" w:hAnsi="Arial"/>
          <w:b/>
          <w:sz w:val="24"/>
          <w:szCs w:val="24"/>
        </w:rPr>
      </w:pPr>
      <w:r w:rsidRPr="006A2BB3">
        <w:rPr>
          <w:rFonts w:ascii="Arial" w:hAnsi="Arial"/>
          <w:b/>
          <w:sz w:val="24"/>
          <w:szCs w:val="24"/>
        </w:rPr>
        <w:t>Heard</w:t>
      </w:r>
      <w:r w:rsidR="008D1EDF" w:rsidRPr="006A2BB3">
        <w:rPr>
          <w:rFonts w:ascii="Arial" w:hAnsi="Arial"/>
          <w:b/>
          <w:sz w:val="24"/>
          <w:szCs w:val="24"/>
        </w:rPr>
        <w:t xml:space="preserve">:  </w:t>
      </w:r>
      <w:r w:rsidRPr="006A2BB3">
        <w:rPr>
          <w:rFonts w:ascii="Arial" w:hAnsi="Arial"/>
          <w:b/>
          <w:sz w:val="24"/>
          <w:szCs w:val="24"/>
        </w:rPr>
        <w:tab/>
      </w:r>
      <w:r w:rsidR="007635D6" w:rsidRPr="006A2BB3">
        <w:rPr>
          <w:rFonts w:ascii="Arial" w:hAnsi="Arial"/>
          <w:b/>
          <w:sz w:val="24"/>
          <w:szCs w:val="24"/>
        </w:rPr>
        <w:t xml:space="preserve">5 </w:t>
      </w:r>
      <w:r w:rsidRPr="006A2BB3">
        <w:rPr>
          <w:rFonts w:ascii="Arial" w:hAnsi="Arial"/>
          <w:b/>
          <w:sz w:val="24"/>
          <w:szCs w:val="24"/>
        </w:rPr>
        <w:t>October</w:t>
      </w:r>
      <w:r w:rsidR="007635D6" w:rsidRPr="006A2BB3">
        <w:rPr>
          <w:rFonts w:ascii="Arial" w:hAnsi="Arial"/>
          <w:b/>
          <w:sz w:val="24"/>
          <w:szCs w:val="24"/>
        </w:rPr>
        <w:t xml:space="preserve"> 2016</w:t>
      </w:r>
    </w:p>
    <w:p w:rsidR="00E831D8" w:rsidRPr="006A2BB3" w:rsidRDefault="0013251A" w:rsidP="006A2BB3">
      <w:pPr>
        <w:spacing w:after="0" w:line="480" w:lineRule="auto"/>
        <w:rPr>
          <w:rFonts w:ascii="Arial" w:hAnsi="Arial"/>
          <w:b/>
          <w:sz w:val="24"/>
          <w:szCs w:val="24"/>
        </w:rPr>
      </w:pPr>
      <w:r w:rsidRPr="006A2BB3">
        <w:rPr>
          <w:rFonts w:ascii="Arial" w:hAnsi="Arial"/>
          <w:b/>
          <w:sz w:val="24"/>
          <w:szCs w:val="24"/>
        </w:rPr>
        <w:t>Delivered</w:t>
      </w:r>
      <w:r w:rsidR="00B55409" w:rsidRPr="006A2BB3">
        <w:rPr>
          <w:rFonts w:ascii="Arial" w:hAnsi="Arial"/>
          <w:b/>
          <w:sz w:val="24"/>
          <w:szCs w:val="24"/>
        </w:rPr>
        <w:t xml:space="preserve">: </w:t>
      </w:r>
      <w:r w:rsidRPr="006A2BB3">
        <w:rPr>
          <w:rFonts w:ascii="Arial" w:hAnsi="Arial"/>
          <w:b/>
          <w:sz w:val="24"/>
          <w:szCs w:val="24"/>
        </w:rPr>
        <w:tab/>
      </w:r>
      <w:r w:rsidR="001A0B7E">
        <w:rPr>
          <w:rFonts w:ascii="Arial" w:hAnsi="Arial"/>
          <w:b/>
          <w:sz w:val="24"/>
          <w:szCs w:val="24"/>
        </w:rPr>
        <w:t>19 June 2017</w:t>
      </w:r>
    </w:p>
    <w:p w:rsidR="004D36C3" w:rsidRPr="006A2BB3" w:rsidRDefault="004D36C3" w:rsidP="006A2BB3">
      <w:pPr>
        <w:spacing w:after="0" w:line="480" w:lineRule="auto"/>
        <w:rPr>
          <w:rFonts w:ascii="Arial" w:hAnsi="Arial"/>
          <w:b/>
          <w:sz w:val="24"/>
          <w:szCs w:val="24"/>
        </w:rPr>
      </w:pPr>
    </w:p>
    <w:p w:rsidR="0013251A" w:rsidRPr="006A2BB3" w:rsidRDefault="0013251A" w:rsidP="006A2BB3">
      <w:pPr>
        <w:spacing w:after="0" w:line="480" w:lineRule="auto"/>
        <w:jc w:val="both"/>
        <w:rPr>
          <w:rFonts w:ascii="Arial" w:hAnsi="Arial"/>
          <w:sz w:val="24"/>
          <w:szCs w:val="24"/>
        </w:rPr>
      </w:pPr>
      <w:r w:rsidRPr="006A2BB3">
        <w:rPr>
          <w:rFonts w:ascii="Arial" w:hAnsi="Arial"/>
          <w:b/>
          <w:sz w:val="24"/>
          <w:szCs w:val="24"/>
        </w:rPr>
        <w:t xml:space="preserve">Summary: </w:t>
      </w:r>
      <w:r w:rsidRPr="006A2BB3">
        <w:rPr>
          <w:rFonts w:ascii="Arial" w:hAnsi="Arial"/>
          <w:sz w:val="24"/>
          <w:szCs w:val="24"/>
        </w:rPr>
        <w:t>The respondent had enquired from the Namibia</w:t>
      </w:r>
      <w:r w:rsidR="005732B2">
        <w:rPr>
          <w:rFonts w:ascii="Arial" w:hAnsi="Arial"/>
          <w:sz w:val="24"/>
          <w:szCs w:val="24"/>
        </w:rPr>
        <w:t>n</w:t>
      </w:r>
      <w:r w:rsidRPr="006A2BB3">
        <w:rPr>
          <w:rFonts w:ascii="Arial" w:hAnsi="Arial"/>
          <w:sz w:val="24"/>
          <w:szCs w:val="24"/>
        </w:rPr>
        <w:t xml:space="preserve"> Defence Force </w:t>
      </w:r>
      <w:r w:rsidR="00D54092">
        <w:rPr>
          <w:rFonts w:ascii="Arial" w:hAnsi="Arial"/>
          <w:sz w:val="24"/>
          <w:szCs w:val="24"/>
        </w:rPr>
        <w:t xml:space="preserve">(NDF) </w:t>
      </w:r>
      <w:r w:rsidRPr="006A2BB3">
        <w:rPr>
          <w:rFonts w:ascii="Arial" w:hAnsi="Arial"/>
          <w:sz w:val="24"/>
          <w:szCs w:val="24"/>
        </w:rPr>
        <w:t>about the possibility in providing accommodation services to the ND</w:t>
      </w:r>
      <w:r w:rsidR="00D54092">
        <w:rPr>
          <w:rFonts w:ascii="Arial" w:hAnsi="Arial"/>
          <w:sz w:val="24"/>
          <w:szCs w:val="24"/>
        </w:rPr>
        <w:t>F, as he had indicated that he '</w:t>
      </w:r>
      <w:r w:rsidRPr="006A2BB3">
        <w:rPr>
          <w:rFonts w:ascii="Arial" w:hAnsi="Arial"/>
          <w:sz w:val="24"/>
          <w:szCs w:val="24"/>
        </w:rPr>
        <w:t>had a guest house</w:t>
      </w:r>
      <w:r w:rsidR="000F1D02">
        <w:rPr>
          <w:rFonts w:ascii="Arial" w:hAnsi="Arial"/>
          <w:sz w:val="24"/>
          <w:szCs w:val="24"/>
        </w:rPr>
        <w:t>'</w:t>
      </w:r>
      <w:r w:rsidRPr="006A2BB3">
        <w:rPr>
          <w:rFonts w:ascii="Arial" w:hAnsi="Arial"/>
          <w:sz w:val="24"/>
          <w:szCs w:val="24"/>
        </w:rPr>
        <w:t xml:space="preserve"> that could be utili</w:t>
      </w:r>
      <w:r w:rsidR="00D54092">
        <w:rPr>
          <w:rFonts w:ascii="Arial" w:hAnsi="Arial"/>
          <w:sz w:val="24"/>
          <w:szCs w:val="24"/>
        </w:rPr>
        <w:t>s</w:t>
      </w:r>
      <w:r w:rsidRPr="006A2BB3">
        <w:rPr>
          <w:rFonts w:ascii="Arial" w:hAnsi="Arial"/>
          <w:sz w:val="24"/>
          <w:szCs w:val="24"/>
        </w:rPr>
        <w:t>ed for such purposes. Having been invited to do so, he submit</w:t>
      </w:r>
      <w:r w:rsidR="00D54092">
        <w:rPr>
          <w:rFonts w:ascii="Arial" w:hAnsi="Arial"/>
          <w:sz w:val="24"/>
          <w:szCs w:val="24"/>
        </w:rPr>
        <w:t>ted a quote in the amount of N$</w:t>
      </w:r>
      <w:r w:rsidRPr="006A2BB3">
        <w:rPr>
          <w:rFonts w:ascii="Arial" w:hAnsi="Arial"/>
          <w:sz w:val="24"/>
          <w:szCs w:val="24"/>
        </w:rPr>
        <w:t xml:space="preserve">2 652 810, which was accepted. </w:t>
      </w:r>
    </w:p>
    <w:p w:rsidR="0013251A" w:rsidRPr="006A2BB3" w:rsidRDefault="0013251A" w:rsidP="006A2BB3">
      <w:pPr>
        <w:tabs>
          <w:tab w:val="left" w:pos="0"/>
        </w:tabs>
        <w:spacing w:after="0" w:line="480" w:lineRule="auto"/>
        <w:jc w:val="both"/>
        <w:rPr>
          <w:rFonts w:ascii="Arial" w:hAnsi="Arial"/>
          <w:sz w:val="24"/>
          <w:szCs w:val="24"/>
        </w:rPr>
      </w:pPr>
      <w:r w:rsidRPr="006A2BB3">
        <w:rPr>
          <w:rFonts w:ascii="Arial" w:hAnsi="Arial"/>
          <w:sz w:val="24"/>
          <w:szCs w:val="24"/>
        </w:rPr>
        <w:lastRenderedPageBreak/>
        <w:t>After submitting the said document</w:t>
      </w:r>
      <w:r w:rsidR="00D54092">
        <w:rPr>
          <w:rFonts w:ascii="Arial" w:hAnsi="Arial"/>
          <w:sz w:val="24"/>
          <w:szCs w:val="24"/>
        </w:rPr>
        <w:t>s, later on inquiry the Ministry</w:t>
      </w:r>
      <w:r w:rsidRPr="006A2BB3">
        <w:rPr>
          <w:rFonts w:ascii="Arial" w:hAnsi="Arial"/>
          <w:sz w:val="24"/>
          <w:szCs w:val="24"/>
        </w:rPr>
        <w:t xml:space="preserve"> of Trade an</w:t>
      </w:r>
      <w:r w:rsidR="000F1D02">
        <w:rPr>
          <w:rFonts w:ascii="Arial" w:hAnsi="Arial"/>
          <w:sz w:val="24"/>
          <w:szCs w:val="24"/>
        </w:rPr>
        <w:t>d Industry confirmed that the close corporation</w:t>
      </w:r>
      <w:r w:rsidRPr="006A2BB3">
        <w:rPr>
          <w:rFonts w:ascii="Arial" w:hAnsi="Arial"/>
          <w:sz w:val="24"/>
          <w:szCs w:val="24"/>
        </w:rPr>
        <w:t xml:space="preserve"> was instead, registered in the name of the respondent’s mother, Mrs </w:t>
      </w:r>
      <w:r w:rsidR="0074328D">
        <w:rPr>
          <w:rFonts w:ascii="Arial" w:hAnsi="Arial"/>
          <w:sz w:val="24"/>
          <w:szCs w:val="24"/>
        </w:rPr>
        <w:t>Eunike</w:t>
      </w:r>
      <w:r w:rsidRPr="006A2BB3">
        <w:rPr>
          <w:rFonts w:ascii="Arial" w:hAnsi="Arial"/>
          <w:sz w:val="24"/>
          <w:szCs w:val="24"/>
        </w:rPr>
        <w:t xml:space="preserve"> Hamutenya, but by then, the payment had already been made into his Standard Bank account.</w:t>
      </w:r>
    </w:p>
    <w:p w:rsidR="0013251A" w:rsidRPr="006A2BB3" w:rsidRDefault="0013251A" w:rsidP="006A2BB3">
      <w:pPr>
        <w:tabs>
          <w:tab w:val="left" w:pos="0"/>
        </w:tabs>
        <w:spacing w:after="0" w:line="480" w:lineRule="auto"/>
        <w:jc w:val="both"/>
        <w:rPr>
          <w:rFonts w:ascii="Arial" w:hAnsi="Arial"/>
          <w:sz w:val="24"/>
          <w:szCs w:val="24"/>
        </w:rPr>
      </w:pPr>
    </w:p>
    <w:p w:rsidR="0013251A" w:rsidRPr="006A2BB3" w:rsidRDefault="0013251A" w:rsidP="006A2BB3">
      <w:pPr>
        <w:tabs>
          <w:tab w:val="left" w:pos="90"/>
        </w:tabs>
        <w:spacing w:after="0" w:line="480" w:lineRule="auto"/>
        <w:jc w:val="both"/>
        <w:rPr>
          <w:rFonts w:ascii="Arial" w:hAnsi="Arial"/>
          <w:sz w:val="24"/>
          <w:szCs w:val="24"/>
        </w:rPr>
      </w:pPr>
      <w:r w:rsidRPr="006A2BB3">
        <w:rPr>
          <w:rFonts w:ascii="Arial" w:hAnsi="Arial"/>
          <w:sz w:val="24"/>
          <w:szCs w:val="24"/>
        </w:rPr>
        <w:t>On 18 September 2014, it turned out that an electronic payment in the amount of N$1 061 124 had been made from the Government of Namibia State account for the Ministry of Defence into a Standard Bank account held in the name of Sy</w:t>
      </w:r>
      <w:r w:rsidR="00D54092">
        <w:rPr>
          <w:rFonts w:ascii="Arial" w:hAnsi="Arial"/>
          <w:sz w:val="24"/>
          <w:szCs w:val="24"/>
        </w:rPr>
        <w:t>dney Hassan &amp; Sons Trading CC</w:t>
      </w:r>
      <w:r w:rsidRPr="006A2BB3">
        <w:rPr>
          <w:rFonts w:ascii="Arial" w:hAnsi="Arial"/>
          <w:sz w:val="24"/>
          <w:szCs w:val="24"/>
        </w:rPr>
        <w:t xml:space="preserve">. A day later, on 19 </w:t>
      </w:r>
      <w:r w:rsidR="00D54092">
        <w:rPr>
          <w:rFonts w:ascii="Arial" w:hAnsi="Arial"/>
          <w:sz w:val="24"/>
          <w:szCs w:val="24"/>
        </w:rPr>
        <w:t>September 2014, a cheque for N$</w:t>
      </w:r>
      <w:r w:rsidRPr="006A2BB3">
        <w:rPr>
          <w:rFonts w:ascii="Arial" w:hAnsi="Arial"/>
          <w:sz w:val="24"/>
          <w:szCs w:val="24"/>
        </w:rPr>
        <w:t>800 000 with reference</w:t>
      </w:r>
      <w:r w:rsidR="00AE15A2">
        <w:rPr>
          <w:rFonts w:ascii="Arial" w:hAnsi="Arial"/>
          <w:sz w:val="24"/>
          <w:szCs w:val="24"/>
        </w:rPr>
        <w:t xml:space="preserve"> as</w:t>
      </w:r>
      <w:r w:rsidRPr="006A2BB3">
        <w:rPr>
          <w:rFonts w:ascii="Arial" w:hAnsi="Arial"/>
          <w:sz w:val="24"/>
          <w:szCs w:val="24"/>
        </w:rPr>
        <w:t xml:space="preserve"> </w:t>
      </w:r>
      <w:r w:rsidR="00D54092">
        <w:rPr>
          <w:rFonts w:ascii="Arial" w:hAnsi="Arial"/>
          <w:sz w:val="24"/>
          <w:szCs w:val="24"/>
        </w:rPr>
        <w:t>'s</w:t>
      </w:r>
      <w:r w:rsidRPr="006A2BB3">
        <w:rPr>
          <w:rFonts w:ascii="Arial" w:hAnsi="Arial"/>
          <w:sz w:val="24"/>
          <w:szCs w:val="24"/>
        </w:rPr>
        <w:t>alary</w:t>
      </w:r>
      <w:r w:rsidR="00D54092">
        <w:rPr>
          <w:rFonts w:ascii="Arial" w:hAnsi="Arial"/>
          <w:sz w:val="24"/>
          <w:szCs w:val="24"/>
        </w:rPr>
        <w:t>'</w:t>
      </w:r>
      <w:r w:rsidRPr="006A2BB3">
        <w:rPr>
          <w:rFonts w:ascii="Arial" w:hAnsi="Arial"/>
          <w:sz w:val="24"/>
          <w:szCs w:val="24"/>
        </w:rPr>
        <w:t>, was electronically transferred into a First National Bank account held in the name of Tulinane P S Hiskia, who turned out to be the respondent’s minor son. On</w:t>
      </w:r>
      <w:r w:rsidR="000F1D02">
        <w:rPr>
          <w:rFonts w:ascii="Arial" w:hAnsi="Arial"/>
          <w:sz w:val="24"/>
          <w:szCs w:val="24"/>
        </w:rPr>
        <w:t xml:space="preserve"> that same day, a cheque for N$</w:t>
      </w:r>
      <w:r w:rsidRPr="006A2BB3">
        <w:rPr>
          <w:rFonts w:ascii="Arial" w:hAnsi="Arial"/>
          <w:sz w:val="24"/>
          <w:szCs w:val="24"/>
        </w:rPr>
        <w:t>250 000 was cashed on the Standard Bank account of the CC, with a positive balance of</w:t>
      </w:r>
      <w:r w:rsidR="000F1D02">
        <w:rPr>
          <w:rFonts w:ascii="Arial" w:hAnsi="Arial"/>
          <w:sz w:val="24"/>
          <w:szCs w:val="24"/>
        </w:rPr>
        <w:t xml:space="preserve"> only N$1491,</w:t>
      </w:r>
      <w:r w:rsidRPr="006A2BB3">
        <w:rPr>
          <w:rFonts w:ascii="Arial" w:hAnsi="Arial"/>
          <w:sz w:val="24"/>
          <w:szCs w:val="24"/>
        </w:rPr>
        <w:t xml:space="preserve">15 remaining. </w:t>
      </w:r>
    </w:p>
    <w:p w:rsidR="0013251A" w:rsidRPr="006A2BB3" w:rsidRDefault="0013251A" w:rsidP="006A2BB3">
      <w:pPr>
        <w:tabs>
          <w:tab w:val="left" w:pos="0"/>
        </w:tabs>
        <w:spacing w:after="0" w:line="480" w:lineRule="auto"/>
        <w:jc w:val="both"/>
        <w:rPr>
          <w:rFonts w:ascii="Arial" w:hAnsi="Arial"/>
          <w:sz w:val="24"/>
          <w:szCs w:val="24"/>
        </w:rPr>
      </w:pPr>
    </w:p>
    <w:p w:rsidR="0013251A" w:rsidRPr="006A2BB3" w:rsidRDefault="0013251A" w:rsidP="006A2BB3">
      <w:pPr>
        <w:tabs>
          <w:tab w:val="left" w:pos="0"/>
        </w:tabs>
        <w:spacing w:after="0" w:line="480" w:lineRule="auto"/>
        <w:jc w:val="both"/>
        <w:rPr>
          <w:rFonts w:ascii="Arial" w:hAnsi="Arial"/>
          <w:sz w:val="24"/>
          <w:szCs w:val="24"/>
        </w:rPr>
      </w:pPr>
      <w:r w:rsidRPr="006A2BB3">
        <w:rPr>
          <w:rFonts w:ascii="Arial" w:hAnsi="Arial"/>
          <w:sz w:val="24"/>
          <w:szCs w:val="24"/>
        </w:rPr>
        <w:t xml:space="preserve">Having approached the High Court to be heard on an urgent basis, the </w:t>
      </w:r>
      <w:r w:rsidR="000F1D02">
        <w:rPr>
          <w:rFonts w:ascii="Arial" w:hAnsi="Arial"/>
          <w:sz w:val="24"/>
          <w:szCs w:val="24"/>
        </w:rPr>
        <w:t>Prosecutor-General</w:t>
      </w:r>
      <w:r w:rsidR="009146FE">
        <w:rPr>
          <w:rFonts w:ascii="Arial" w:hAnsi="Arial"/>
          <w:sz w:val="24"/>
          <w:szCs w:val="24"/>
        </w:rPr>
        <w:t xml:space="preserve"> (the PG)</w:t>
      </w:r>
      <w:r w:rsidR="000F1D02">
        <w:rPr>
          <w:rFonts w:ascii="Arial" w:hAnsi="Arial"/>
          <w:sz w:val="24"/>
          <w:szCs w:val="24"/>
        </w:rPr>
        <w:t>,</w:t>
      </w:r>
      <w:r w:rsidRPr="006A2BB3">
        <w:rPr>
          <w:rFonts w:ascii="Arial" w:hAnsi="Arial"/>
          <w:sz w:val="24"/>
          <w:szCs w:val="24"/>
        </w:rPr>
        <w:t xml:space="preserve"> on 10 October 2014, </w:t>
      </w:r>
      <w:r w:rsidR="00AE15A2">
        <w:rPr>
          <w:rFonts w:ascii="Arial" w:hAnsi="Arial"/>
          <w:sz w:val="24"/>
          <w:szCs w:val="24"/>
        </w:rPr>
        <w:t xml:space="preserve">obtained </w:t>
      </w:r>
      <w:r w:rsidR="00AE15A2" w:rsidRPr="006A2BB3">
        <w:rPr>
          <w:rFonts w:ascii="Arial" w:hAnsi="Arial"/>
          <w:sz w:val="24"/>
          <w:szCs w:val="24"/>
        </w:rPr>
        <w:t>a</w:t>
      </w:r>
      <w:r w:rsidRPr="006A2BB3">
        <w:rPr>
          <w:rFonts w:ascii="Arial" w:hAnsi="Arial"/>
          <w:sz w:val="24"/>
          <w:szCs w:val="24"/>
        </w:rPr>
        <w:t xml:space="preserve"> provisional preservation of property order, </w:t>
      </w:r>
      <w:r w:rsidR="00AE15A2">
        <w:rPr>
          <w:rFonts w:ascii="Arial" w:hAnsi="Arial"/>
          <w:sz w:val="24"/>
          <w:szCs w:val="24"/>
        </w:rPr>
        <w:t xml:space="preserve">on an </w:t>
      </w:r>
      <w:r w:rsidRPr="006A2BB3">
        <w:rPr>
          <w:rFonts w:ascii="Arial" w:hAnsi="Arial"/>
          <w:i/>
          <w:sz w:val="24"/>
          <w:szCs w:val="24"/>
        </w:rPr>
        <w:t>ex parte</w:t>
      </w:r>
      <w:r w:rsidRPr="006A2BB3">
        <w:rPr>
          <w:rFonts w:ascii="Arial" w:hAnsi="Arial"/>
          <w:sz w:val="24"/>
          <w:szCs w:val="24"/>
        </w:rPr>
        <w:t xml:space="preserve"> </w:t>
      </w:r>
      <w:r w:rsidR="00AE15A2">
        <w:rPr>
          <w:rFonts w:ascii="Arial" w:hAnsi="Arial"/>
          <w:sz w:val="24"/>
          <w:szCs w:val="24"/>
        </w:rPr>
        <w:t>in respect of</w:t>
      </w:r>
      <w:r w:rsidR="000F1D02">
        <w:rPr>
          <w:rFonts w:ascii="Arial" w:hAnsi="Arial"/>
          <w:sz w:val="24"/>
          <w:szCs w:val="24"/>
        </w:rPr>
        <w:t xml:space="preserve"> the positive balance of N$</w:t>
      </w:r>
      <w:r w:rsidRPr="006A2BB3">
        <w:rPr>
          <w:rFonts w:ascii="Arial" w:hAnsi="Arial"/>
          <w:sz w:val="24"/>
          <w:szCs w:val="24"/>
        </w:rPr>
        <w:t xml:space="preserve">800 000 on the </w:t>
      </w:r>
      <w:r w:rsidR="000F1D02">
        <w:rPr>
          <w:rFonts w:ascii="Arial" w:hAnsi="Arial"/>
          <w:sz w:val="24"/>
          <w:szCs w:val="24"/>
        </w:rPr>
        <w:t>First National Bank</w:t>
      </w:r>
      <w:r w:rsidRPr="006A2BB3">
        <w:rPr>
          <w:rFonts w:ascii="Arial" w:hAnsi="Arial"/>
          <w:sz w:val="24"/>
          <w:szCs w:val="24"/>
        </w:rPr>
        <w:t xml:space="preserve"> account which was in </w:t>
      </w:r>
      <w:r w:rsidR="004A285B">
        <w:rPr>
          <w:rFonts w:ascii="Arial" w:hAnsi="Arial"/>
          <w:sz w:val="24"/>
          <w:szCs w:val="24"/>
        </w:rPr>
        <w:t xml:space="preserve">the </w:t>
      </w:r>
      <w:r w:rsidR="00AE15A2">
        <w:rPr>
          <w:rFonts w:ascii="Arial" w:hAnsi="Arial"/>
          <w:sz w:val="24"/>
          <w:szCs w:val="24"/>
        </w:rPr>
        <w:t xml:space="preserve">respondent's </w:t>
      </w:r>
      <w:r w:rsidR="00AE15A2" w:rsidRPr="006A2BB3">
        <w:rPr>
          <w:rFonts w:ascii="Arial" w:hAnsi="Arial"/>
          <w:sz w:val="24"/>
          <w:szCs w:val="24"/>
        </w:rPr>
        <w:t>minor</w:t>
      </w:r>
      <w:r w:rsidRPr="006A2BB3">
        <w:rPr>
          <w:rFonts w:ascii="Arial" w:hAnsi="Arial"/>
          <w:sz w:val="24"/>
          <w:szCs w:val="24"/>
        </w:rPr>
        <w:t xml:space="preserve"> son’s name and in terms of s 51(2) of the P</w:t>
      </w:r>
      <w:r w:rsidR="000F1D02">
        <w:rPr>
          <w:rFonts w:ascii="Arial" w:hAnsi="Arial"/>
          <w:sz w:val="24"/>
          <w:szCs w:val="24"/>
        </w:rPr>
        <w:t xml:space="preserve">revention of Organised </w:t>
      </w:r>
      <w:r w:rsidRPr="006A2BB3">
        <w:rPr>
          <w:rFonts w:ascii="Arial" w:hAnsi="Arial"/>
          <w:sz w:val="24"/>
          <w:szCs w:val="24"/>
        </w:rPr>
        <w:t>C</w:t>
      </w:r>
      <w:r w:rsidR="000F1D02">
        <w:rPr>
          <w:rFonts w:ascii="Arial" w:hAnsi="Arial"/>
          <w:sz w:val="24"/>
          <w:szCs w:val="24"/>
        </w:rPr>
        <w:t xml:space="preserve">rime </w:t>
      </w:r>
      <w:r w:rsidRPr="006A2BB3">
        <w:rPr>
          <w:rFonts w:ascii="Arial" w:hAnsi="Arial"/>
          <w:sz w:val="24"/>
          <w:szCs w:val="24"/>
        </w:rPr>
        <w:t>A</w:t>
      </w:r>
      <w:r w:rsidR="000F1D02">
        <w:rPr>
          <w:rFonts w:ascii="Arial" w:hAnsi="Arial"/>
          <w:sz w:val="24"/>
          <w:szCs w:val="24"/>
        </w:rPr>
        <w:t>ct</w:t>
      </w:r>
      <w:r w:rsidRPr="006A2BB3">
        <w:rPr>
          <w:rFonts w:ascii="Arial" w:hAnsi="Arial"/>
          <w:sz w:val="24"/>
          <w:szCs w:val="24"/>
        </w:rPr>
        <w:t>,</w:t>
      </w:r>
      <w:r w:rsidR="000F1D02">
        <w:rPr>
          <w:rFonts w:ascii="Arial" w:hAnsi="Arial"/>
          <w:sz w:val="24"/>
          <w:szCs w:val="24"/>
        </w:rPr>
        <w:t xml:space="preserve"> 29 of 2004</w:t>
      </w:r>
      <w:r w:rsidRPr="006A2BB3">
        <w:rPr>
          <w:rFonts w:ascii="Arial" w:hAnsi="Arial"/>
          <w:sz w:val="24"/>
          <w:szCs w:val="24"/>
        </w:rPr>
        <w:t xml:space="preserve"> </w:t>
      </w:r>
      <w:r w:rsidR="000F1D02">
        <w:rPr>
          <w:rFonts w:ascii="Arial" w:hAnsi="Arial"/>
          <w:sz w:val="24"/>
          <w:szCs w:val="24"/>
        </w:rPr>
        <w:t>(POCA)</w:t>
      </w:r>
      <w:r w:rsidR="00AE15A2">
        <w:rPr>
          <w:rFonts w:ascii="Arial" w:hAnsi="Arial"/>
          <w:sz w:val="24"/>
          <w:szCs w:val="24"/>
        </w:rPr>
        <w:t>.</w:t>
      </w:r>
      <w:r w:rsidR="000F1D02">
        <w:rPr>
          <w:rFonts w:ascii="Arial" w:hAnsi="Arial"/>
          <w:sz w:val="24"/>
          <w:szCs w:val="24"/>
        </w:rPr>
        <w:t xml:space="preserve"> </w:t>
      </w:r>
    </w:p>
    <w:p w:rsidR="0013251A" w:rsidRPr="006A2BB3" w:rsidRDefault="0013251A" w:rsidP="006A2BB3">
      <w:pPr>
        <w:tabs>
          <w:tab w:val="left" w:pos="0"/>
        </w:tabs>
        <w:spacing w:after="0" w:line="480" w:lineRule="auto"/>
        <w:jc w:val="both"/>
        <w:rPr>
          <w:rFonts w:ascii="Arial" w:hAnsi="Arial"/>
          <w:sz w:val="24"/>
          <w:szCs w:val="24"/>
        </w:rPr>
      </w:pPr>
    </w:p>
    <w:p w:rsidR="0013251A" w:rsidRPr="006A2BB3" w:rsidRDefault="0013251A" w:rsidP="006A2BB3">
      <w:pPr>
        <w:tabs>
          <w:tab w:val="left" w:pos="0"/>
        </w:tabs>
        <w:spacing w:after="0" w:line="480" w:lineRule="auto"/>
        <w:jc w:val="both"/>
        <w:rPr>
          <w:rFonts w:ascii="Arial" w:hAnsi="Arial"/>
          <w:sz w:val="24"/>
          <w:szCs w:val="24"/>
        </w:rPr>
      </w:pPr>
      <w:r w:rsidRPr="006A2BB3">
        <w:rPr>
          <w:rFonts w:ascii="Arial" w:hAnsi="Arial"/>
          <w:sz w:val="24"/>
          <w:szCs w:val="24"/>
        </w:rPr>
        <w:t xml:space="preserve">On the return date, the respondent, </w:t>
      </w:r>
      <w:r w:rsidRPr="006A2BB3">
        <w:rPr>
          <w:rFonts w:ascii="Arial" w:hAnsi="Arial"/>
          <w:i/>
          <w:sz w:val="24"/>
          <w:szCs w:val="24"/>
        </w:rPr>
        <w:t>in limine</w:t>
      </w:r>
      <w:r w:rsidRPr="006A2BB3">
        <w:rPr>
          <w:rFonts w:ascii="Arial" w:hAnsi="Arial"/>
          <w:sz w:val="24"/>
          <w:szCs w:val="24"/>
        </w:rPr>
        <w:t xml:space="preserve">, </w:t>
      </w:r>
      <w:r w:rsidR="00C60520" w:rsidRPr="006A2BB3">
        <w:rPr>
          <w:rFonts w:ascii="Arial" w:hAnsi="Arial"/>
          <w:sz w:val="24"/>
          <w:szCs w:val="24"/>
        </w:rPr>
        <w:t xml:space="preserve">raised </w:t>
      </w:r>
      <w:r w:rsidR="00C60520">
        <w:rPr>
          <w:rFonts w:ascii="Arial" w:hAnsi="Arial"/>
          <w:sz w:val="24"/>
          <w:szCs w:val="24"/>
        </w:rPr>
        <w:t>a</w:t>
      </w:r>
      <w:r w:rsidRPr="006A2BB3">
        <w:rPr>
          <w:rFonts w:ascii="Arial" w:hAnsi="Arial"/>
          <w:sz w:val="24"/>
          <w:szCs w:val="24"/>
        </w:rPr>
        <w:t xml:space="preserve"> procedural defence that the </w:t>
      </w:r>
      <w:r w:rsidRPr="006A2BB3">
        <w:rPr>
          <w:rFonts w:ascii="Arial" w:hAnsi="Arial"/>
          <w:i/>
          <w:sz w:val="24"/>
          <w:szCs w:val="24"/>
        </w:rPr>
        <w:t>rule nisi</w:t>
      </w:r>
      <w:r w:rsidRPr="006A2BB3">
        <w:rPr>
          <w:rFonts w:ascii="Arial" w:hAnsi="Arial"/>
          <w:sz w:val="24"/>
          <w:szCs w:val="24"/>
        </w:rPr>
        <w:t xml:space="preserve"> must be discharged in that the appellant had failed to comply wi</w:t>
      </w:r>
      <w:r w:rsidR="000F1D02">
        <w:rPr>
          <w:rFonts w:ascii="Arial" w:hAnsi="Arial"/>
          <w:sz w:val="24"/>
          <w:szCs w:val="24"/>
        </w:rPr>
        <w:t xml:space="preserve">th the mandatory provisions of </w:t>
      </w:r>
      <w:r w:rsidR="004A285B">
        <w:rPr>
          <w:rFonts w:ascii="Arial" w:hAnsi="Arial"/>
          <w:sz w:val="24"/>
          <w:szCs w:val="24"/>
        </w:rPr>
        <w:t>r</w:t>
      </w:r>
      <w:r w:rsidRPr="006A2BB3">
        <w:rPr>
          <w:rFonts w:ascii="Arial" w:hAnsi="Arial"/>
          <w:sz w:val="24"/>
          <w:szCs w:val="24"/>
        </w:rPr>
        <w:t>eg 7(b) read with s 91(1) and (2) and s 100 of the POCA</w:t>
      </w:r>
      <w:r w:rsidR="004A285B">
        <w:rPr>
          <w:rFonts w:ascii="Arial" w:hAnsi="Arial"/>
          <w:sz w:val="24"/>
          <w:szCs w:val="24"/>
        </w:rPr>
        <w:t>.</w:t>
      </w:r>
      <w:r w:rsidR="00443D84">
        <w:rPr>
          <w:rFonts w:ascii="Arial" w:hAnsi="Arial"/>
          <w:sz w:val="24"/>
          <w:szCs w:val="24"/>
        </w:rPr>
        <w:t xml:space="preserve"> </w:t>
      </w:r>
      <w:r w:rsidR="00443D84">
        <w:rPr>
          <w:rFonts w:ascii="Arial" w:hAnsi="Arial"/>
          <w:sz w:val="24"/>
          <w:szCs w:val="24"/>
        </w:rPr>
        <w:lastRenderedPageBreak/>
        <w:t>Regulation</w:t>
      </w:r>
      <w:r w:rsidR="00AE15A2">
        <w:rPr>
          <w:rFonts w:ascii="Arial" w:hAnsi="Arial"/>
          <w:sz w:val="24"/>
          <w:szCs w:val="24"/>
        </w:rPr>
        <w:t xml:space="preserve"> 7 requires that applications under</w:t>
      </w:r>
      <w:r w:rsidRPr="006A2BB3">
        <w:rPr>
          <w:rFonts w:ascii="Arial" w:hAnsi="Arial"/>
          <w:sz w:val="24"/>
          <w:szCs w:val="24"/>
        </w:rPr>
        <w:t xml:space="preserve"> </w:t>
      </w:r>
      <w:r w:rsidR="00DC6E03">
        <w:rPr>
          <w:rFonts w:ascii="Arial" w:hAnsi="Arial"/>
          <w:sz w:val="24"/>
          <w:szCs w:val="24"/>
        </w:rPr>
        <w:t>s</w:t>
      </w:r>
      <w:r w:rsidR="00AE15A2">
        <w:rPr>
          <w:rFonts w:ascii="Arial" w:hAnsi="Arial"/>
          <w:sz w:val="24"/>
          <w:szCs w:val="24"/>
        </w:rPr>
        <w:t>everal sections in the Act including s 51 should be brought on 7 days' notice to a respondent or any other person who may require notice</w:t>
      </w:r>
      <w:r w:rsidR="00C60520">
        <w:rPr>
          <w:rFonts w:ascii="Arial" w:hAnsi="Arial"/>
          <w:sz w:val="24"/>
          <w:szCs w:val="24"/>
        </w:rPr>
        <w:t>.</w:t>
      </w:r>
    </w:p>
    <w:p w:rsidR="000F1D02" w:rsidRDefault="000F1D02" w:rsidP="006A2BB3">
      <w:pPr>
        <w:tabs>
          <w:tab w:val="left" w:pos="0"/>
        </w:tabs>
        <w:spacing w:after="0" w:line="480" w:lineRule="auto"/>
        <w:jc w:val="both"/>
        <w:rPr>
          <w:rFonts w:ascii="Arial" w:hAnsi="Arial"/>
          <w:sz w:val="24"/>
          <w:szCs w:val="24"/>
        </w:rPr>
      </w:pPr>
    </w:p>
    <w:p w:rsidR="0013251A" w:rsidRPr="006A2BB3" w:rsidRDefault="0013251A" w:rsidP="006A2BB3">
      <w:pPr>
        <w:tabs>
          <w:tab w:val="left" w:pos="0"/>
        </w:tabs>
        <w:spacing w:after="0" w:line="480" w:lineRule="auto"/>
        <w:jc w:val="both"/>
        <w:rPr>
          <w:rFonts w:ascii="Arial" w:hAnsi="Arial"/>
          <w:sz w:val="24"/>
          <w:szCs w:val="24"/>
        </w:rPr>
      </w:pPr>
      <w:r w:rsidRPr="006A2BB3">
        <w:rPr>
          <w:rFonts w:ascii="Arial" w:hAnsi="Arial"/>
          <w:sz w:val="24"/>
          <w:szCs w:val="24"/>
        </w:rPr>
        <w:t>Having reconsidered the issues including the requirement</w:t>
      </w:r>
      <w:r w:rsidR="008547D5">
        <w:rPr>
          <w:rFonts w:ascii="Arial" w:hAnsi="Arial"/>
          <w:sz w:val="24"/>
          <w:szCs w:val="24"/>
        </w:rPr>
        <w:t xml:space="preserve">s for such an application, the </w:t>
      </w:r>
      <w:r w:rsidR="00C60520">
        <w:rPr>
          <w:rFonts w:ascii="Arial" w:hAnsi="Arial"/>
          <w:sz w:val="24"/>
          <w:szCs w:val="24"/>
        </w:rPr>
        <w:t xml:space="preserve">High </w:t>
      </w:r>
      <w:r w:rsidR="008E2D59">
        <w:rPr>
          <w:rFonts w:ascii="Arial" w:hAnsi="Arial"/>
          <w:sz w:val="24"/>
          <w:szCs w:val="24"/>
        </w:rPr>
        <w:t>C</w:t>
      </w:r>
      <w:r w:rsidR="008E2D59" w:rsidRPr="006A2BB3">
        <w:rPr>
          <w:rFonts w:ascii="Arial" w:hAnsi="Arial"/>
          <w:sz w:val="24"/>
          <w:szCs w:val="24"/>
        </w:rPr>
        <w:t xml:space="preserve">ourt </w:t>
      </w:r>
      <w:r w:rsidR="008E2D59">
        <w:rPr>
          <w:rFonts w:ascii="Arial" w:hAnsi="Arial"/>
          <w:sz w:val="24"/>
          <w:szCs w:val="24"/>
        </w:rPr>
        <w:t>upheld</w:t>
      </w:r>
      <w:r w:rsidR="00C60520">
        <w:rPr>
          <w:rFonts w:ascii="Arial" w:hAnsi="Arial"/>
          <w:sz w:val="24"/>
          <w:szCs w:val="24"/>
        </w:rPr>
        <w:t xml:space="preserve"> the procedural point and</w:t>
      </w:r>
      <w:r w:rsidRPr="006A2BB3">
        <w:rPr>
          <w:rFonts w:ascii="Arial" w:hAnsi="Arial"/>
          <w:sz w:val="24"/>
          <w:szCs w:val="24"/>
        </w:rPr>
        <w:t xml:space="preserve"> discharged the </w:t>
      </w:r>
      <w:r w:rsidRPr="006A2BB3">
        <w:rPr>
          <w:rFonts w:ascii="Arial" w:hAnsi="Arial"/>
          <w:i/>
          <w:sz w:val="24"/>
          <w:szCs w:val="24"/>
        </w:rPr>
        <w:t>rule nisi</w:t>
      </w:r>
      <w:r w:rsidRPr="006A2BB3">
        <w:rPr>
          <w:rFonts w:ascii="Arial" w:hAnsi="Arial"/>
          <w:sz w:val="24"/>
          <w:szCs w:val="24"/>
        </w:rPr>
        <w:t>, refusing to confirm the provi</w:t>
      </w:r>
      <w:r w:rsidR="008547D5">
        <w:rPr>
          <w:rFonts w:ascii="Arial" w:hAnsi="Arial"/>
          <w:sz w:val="24"/>
          <w:szCs w:val="24"/>
        </w:rPr>
        <w:t>sional order. Principally, the c</w:t>
      </w:r>
      <w:r w:rsidRPr="006A2BB3">
        <w:rPr>
          <w:rFonts w:ascii="Arial" w:hAnsi="Arial"/>
          <w:sz w:val="24"/>
          <w:szCs w:val="24"/>
        </w:rPr>
        <w:t>ourt’s basis for the refusal was that the PG had not complied with the presc</w:t>
      </w:r>
      <w:r w:rsidR="008547D5">
        <w:rPr>
          <w:rFonts w:ascii="Arial" w:hAnsi="Arial"/>
          <w:sz w:val="24"/>
          <w:szCs w:val="24"/>
        </w:rPr>
        <w:t>ribed procedures stipulated in r</w:t>
      </w:r>
      <w:r w:rsidRPr="006A2BB3">
        <w:rPr>
          <w:rFonts w:ascii="Arial" w:hAnsi="Arial"/>
          <w:sz w:val="24"/>
          <w:szCs w:val="24"/>
        </w:rPr>
        <w:t xml:space="preserve">eg 7 of the POCA. </w:t>
      </w:r>
    </w:p>
    <w:p w:rsidR="008547D5" w:rsidRDefault="008547D5" w:rsidP="006A2BB3">
      <w:pPr>
        <w:spacing w:after="0" w:line="480" w:lineRule="auto"/>
        <w:jc w:val="both"/>
        <w:rPr>
          <w:rFonts w:ascii="Arial" w:hAnsi="Arial"/>
          <w:sz w:val="24"/>
          <w:szCs w:val="24"/>
        </w:rPr>
      </w:pPr>
    </w:p>
    <w:p w:rsidR="0013251A" w:rsidRPr="006A2BB3" w:rsidRDefault="008547D5" w:rsidP="006A2BB3">
      <w:pPr>
        <w:spacing w:after="0" w:line="480" w:lineRule="auto"/>
        <w:jc w:val="both"/>
        <w:rPr>
          <w:rFonts w:ascii="Arial" w:hAnsi="Arial"/>
          <w:sz w:val="24"/>
          <w:szCs w:val="24"/>
        </w:rPr>
      </w:pPr>
      <w:r>
        <w:rPr>
          <w:rFonts w:ascii="Arial" w:hAnsi="Arial"/>
          <w:sz w:val="24"/>
          <w:szCs w:val="24"/>
        </w:rPr>
        <w:t xml:space="preserve">Following the decision in </w:t>
      </w:r>
      <w:r w:rsidR="0013251A" w:rsidRPr="006A2BB3">
        <w:rPr>
          <w:rFonts w:ascii="Arial" w:hAnsi="Arial"/>
          <w:i/>
          <w:sz w:val="24"/>
          <w:szCs w:val="24"/>
        </w:rPr>
        <w:t>Uuyuni</w:t>
      </w:r>
      <w:r w:rsidR="0013251A" w:rsidRPr="006A2BB3">
        <w:rPr>
          <w:rFonts w:ascii="Arial" w:hAnsi="Arial"/>
          <w:sz w:val="24"/>
          <w:szCs w:val="24"/>
        </w:rPr>
        <w:t>, the Supreme Court held that the approach to the interpretation of the relationship bet</w:t>
      </w:r>
      <w:r>
        <w:rPr>
          <w:rFonts w:ascii="Arial" w:hAnsi="Arial"/>
          <w:sz w:val="24"/>
          <w:szCs w:val="24"/>
        </w:rPr>
        <w:t>ween ss 51(2), 91(2) and r</w:t>
      </w:r>
      <w:r w:rsidR="0013251A" w:rsidRPr="006A2BB3">
        <w:rPr>
          <w:rFonts w:ascii="Arial" w:hAnsi="Arial"/>
          <w:sz w:val="24"/>
          <w:szCs w:val="24"/>
        </w:rPr>
        <w:t xml:space="preserve">eg </w:t>
      </w:r>
      <w:r>
        <w:rPr>
          <w:rFonts w:ascii="Arial" w:hAnsi="Arial"/>
          <w:sz w:val="24"/>
          <w:szCs w:val="24"/>
        </w:rPr>
        <w:t>7(b) should indeed be that the r</w:t>
      </w:r>
      <w:r w:rsidR="0013251A" w:rsidRPr="006A2BB3">
        <w:rPr>
          <w:rFonts w:ascii="Arial" w:hAnsi="Arial"/>
          <w:sz w:val="24"/>
          <w:szCs w:val="24"/>
        </w:rPr>
        <w:t xml:space="preserve">egulation </w:t>
      </w:r>
      <w:r w:rsidR="00C60520">
        <w:rPr>
          <w:rFonts w:ascii="Arial" w:hAnsi="Arial"/>
          <w:sz w:val="24"/>
          <w:szCs w:val="24"/>
        </w:rPr>
        <w:t xml:space="preserve">would not </w:t>
      </w:r>
      <w:r w:rsidR="0013251A" w:rsidRPr="006A2BB3">
        <w:rPr>
          <w:rFonts w:ascii="Arial" w:hAnsi="Arial"/>
          <w:sz w:val="24"/>
          <w:szCs w:val="24"/>
        </w:rPr>
        <w:t>apply in the case of the s 51(2) application</w:t>
      </w:r>
      <w:r w:rsidR="00C60520">
        <w:rPr>
          <w:rFonts w:ascii="Arial" w:hAnsi="Arial"/>
          <w:sz w:val="24"/>
          <w:szCs w:val="24"/>
        </w:rPr>
        <w:t>.</w:t>
      </w:r>
      <w:r w:rsidR="0013251A" w:rsidRPr="006A2BB3">
        <w:rPr>
          <w:rFonts w:ascii="Arial" w:hAnsi="Arial"/>
          <w:sz w:val="24"/>
          <w:szCs w:val="24"/>
        </w:rPr>
        <w:t xml:space="preserve"> </w:t>
      </w:r>
      <w:r w:rsidR="00C60520">
        <w:rPr>
          <w:rFonts w:ascii="Arial" w:hAnsi="Arial"/>
          <w:sz w:val="24"/>
          <w:szCs w:val="24"/>
        </w:rPr>
        <w:t xml:space="preserve"> If it </w:t>
      </w:r>
      <w:r w:rsidR="0013251A" w:rsidRPr="006A2BB3">
        <w:rPr>
          <w:rFonts w:ascii="Arial" w:hAnsi="Arial"/>
          <w:sz w:val="24"/>
          <w:szCs w:val="24"/>
        </w:rPr>
        <w:t xml:space="preserve">held otherwise, </w:t>
      </w:r>
      <w:r w:rsidR="00C60520">
        <w:rPr>
          <w:rFonts w:ascii="Arial" w:hAnsi="Arial"/>
          <w:sz w:val="24"/>
          <w:szCs w:val="24"/>
        </w:rPr>
        <w:t xml:space="preserve">this </w:t>
      </w:r>
      <w:r w:rsidR="0013251A" w:rsidRPr="006A2BB3">
        <w:rPr>
          <w:rFonts w:ascii="Arial" w:hAnsi="Arial"/>
          <w:sz w:val="24"/>
          <w:szCs w:val="24"/>
        </w:rPr>
        <w:t xml:space="preserve">would be in direct conflict with the </w:t>
      </w:r>
      <w:r w:rsidR="0013251A" w:rsidRPr="008547D5">
        <w:rPr>
          <w:rFonts w:ascii="Arial" w:hAnsi="Arial"/>
          <w:i/>
          <w:sz w:val="24"/>
          <w:szCs w:val="24"/>
        </w:rPr>
        <w:t>dictum</w:t>
      </w:r>
      <w:r w:rsidR="0013251A" w:rsidRPr="006A2BB3">
        <w:rPr>
          <w:rFonts w:ascii="Arial" w:hAnsi="Arial"/>
          <w:sz w:val="24"/>
          <w:szCs w:val="24"/>
        </w:rPr>
        <w:t xml:space="preserve"> in</w:t>
      </w:r>
      <w:r>
        <w:rPr>
          <w:rFonts w:ascii="Arial" w:hAnsi="Arial"/>
          <w:sz w:val="24"/>
          <w:szCs w:val="24"/>
        </w:rPr>
        <w:t xml:space="preserve"> </w:t>
      </w:r>
      <w:r w:rsidR="0013251A" w:rsidRPr="006A2BB3">
        <w:rPr>
          <w:rFonts w:ascii="Arial" w:hAnsi="Arial"/>
          <w:i/>
          <w:sz w:val="24"/>
          <w:szCs w:val="24"/>
        </w:rPr>
        <w:t>Uuyuni</w:t>
      </w:r>
      <w:r w:rsidR="0013251A" w:rsidRPr="006A2BB3">
        <w:rPr>
          <w:rFonts w:ascii="Arial" w:hAnsi="Arial"/>
          <w:sz w:val="24"/>
          <w:szCs w:val="24"/>
        </w:rPr>
        <w:t xml:space="preserve"> which rema</w:t>
      </w:r>
      <w:r>
        <w:rPr>
          <w:rFonts w:ascii="Arial" w:hAnsi="Arial"/>
          <w:sz w:val="24"/>
          <w:szCs w:val="24"/>
        </w:rPr>
        <w:t xml:space="preserve">ins the authority regarding the </w:t>
      </w:r>
      <w:r w:rsidR="0013251A" w:rsidRPr="006A2BB3">
        <w:rPr>
          <w:rFonts w:ascii="Arial" w:hAnsi="Arial"/>
          <w:i/>
          <w:sz w:val="24"/>
          <w:szCs w:val="24"/>
        </w:rPr>
        <w:t>ex parte</w:t>
      </w:r>
      <w:r>
        <w:rPr>
          <w:rFonts w:ascii="Arial" w:hAnsi="Arial"/>
          <w:i/>
          <w:sz w:val="24"/>
          <w:szCs w:val="24"/>
        </w:rPr>
        <w:t xml:space="preserve"> </w:t>
      </w:r>
      <w:r w:rsidR="0013251A" w:rsidRPr="006A2BB3">
        <w:rPr>
          <w:rFonts w:ascii="Arial" w:hAnsi="Arial"/>
          <w:sz w:val="24"/>
          <w:szCs w:val="24"/>
        </w:rPr>
        <w:t xml:space="preserve">nature of the application for a property preservation order in terms of s 51(2) of the POCA. </w:t>
      </w:r>
    </w:p>
    <w:p w:rsidR="0013251A" w:rsidRPr="006A2BB3" w:rsidRDefault="0013251A" w:rsidP="006A2BB3">
      <w:pPr>
        <w:shd w:val="clear" w:color="auto" w:fill="FFFFFF"/>
        <w:spacing w:after="0" w:line="480" w:lineRule="auto"/>
        <w:jc w:val="both"/>
        <w:rPr>
          <w:rFonts w:ascii="Arial" w:eastAsia="Times New Roman" w:hAnsi="Arial"/>
          <w:sz w:val="24"/>
          <w:szCs w:val="24"/>
        </w:rPr>
      </w:pPr>
    </w:p>
    <w:p w:rsidR="0013251A" w:rsidRPr="006A2BB3" w:rsidRDefault="0013251A" w:rsidP="006A2BB3">
      <w:pPr>
        <w:shd w:val="clear" w:color="auto" w:fill="FFFFFF"/>
        <w:spacing w:after="0" w:line="480" w:lineRule="auto"/>
        <w:jc w:val="both"/>
        <w:rPr>
          <w:rFonts w:ascii="Arial" w:eastAsia="Times New Roman" w:hAnsi="Arial"/>
          <w:sz w:val="24"/>
          <w:szCs w:val="24"/>
        </w:rPr>
      </w:pPr>
      <w:r w:rsidRPr="006A2BB3">
        <w:rPr>
          <w:rFonts w:ascii="Arial" w:eastAsia="Times New Roman" w:hAnsi="Arial"/>
          <w:sz w:val="24"/>
          <w:szCs w:val="24"/>
        </w:rPr>
        <w:t xml:space="preserve">The Supreme Court was of the view that reasonable grounds </w:t>
      </w:r>
      <w:r w:rsidR="00C60520">
        <w:rPr>
          <w:rFonts w:ascii="Arial" w:eastAsia="Times New Roman" w:hAnsi="Arial"/>
          <w:sz w:val="24"/>
          <w:szCs w:val="24"/>
        </w:rPr>
        <w:t xml:space="preserve">had </w:t>
      </w:r>
      <w:r w:rsidRPr="006A2BB3">
        <w:rPr>
          <w:rFonts w:ascii="Arial" w:eastAsia="Times New Roman" w:hAnsi="Arial"/>
          <w:sz w:val="24"/>
          <w:szCs w:val="24"/>
        </w:rPr>
        <w:t xml:space="preserve"> been shown for the belief that the property, being</w:t>
      </w:r>
      <w:r w:rsidR="00F44AFB">
        <w:rPr>
          <w:rFonts w:ascii="Arial" w:eastAsia="Times New Roman" w:hAnsi="Arial"/>
          <w:sz w:val="24"/>
          <w:szCs w:val="24"/>
        </w:rPr>
        <w:t xml:space="preserve"> the positive balance in the First National Bank</w:t>
      </w:r>
      <w:r w:rsidRPr="006A2BB3">
        <w:rPr>
          <w:rFonts w:ascii="Arial" w:eastAsia="Times New Roman" w:hAnsi="Arial"/>
          <w:sz w:val="24"/>
          <w:szCs w:val="24"/>
        </w:rPr>
        <w:t xml:space="preserve"> account of the respondent’s minor son, had constituted the proceeds of unlawful activities, in particular, fraud and money laundering. The test in s 51(2) ha</w:t>
      </w:r>
      <w:r w:rsidR="00C60520">
        <w:rPr>
          <w:rFonts w:ascii="Arial" w:eastAsia="Times New Roman" w:hAnsi="Arial"/>
          <w:sz w:val="24"/>
          <w:szCs w:val="24"/>
        </w:rPr>
        <w:t>d</w:t>
      </w:r>
      <w:r w:rsidRPr="006A2BB3">
        <w:rPr>
          <w:rFonts w:ascii="Arial" w:eastAsia="Times New Roman" w:hAnsi="Arial"/>
          <w:sz w:val="24"/>
          <w:szCs w:val="24"/>
        </w:rPr>
        <w:t xml:space="preserve"> therefore been met and </w:t>
      </w:r>
      <w:r w:rsidR="00C60520">
        <w:rPr>
          <w:rFonts w:ascii="Arial" w:eastAsia="Times New Roman" w:hAnsi="Arial"/>
          <w:sz w:val="24"/>
          <w:szCs w:val="24"/>
        </w:rPr>
        <w:t xml:space="preserve">once this is the case, </w:t>
      </w:r>
      <w:r w:rsidRPr="006A2BB3">
        <w:rPr>
          <w:rFonts w:ascii="Arial" w:eastAsia="Times New Roman" w:hAnsi="Arial"/>
          <w:sz w:val="24"/>
          <w:szCs w:val="24"/>
        </w:rPr>
        <w:t xml:space="preserve">it is peremptory that </w:t>
      </w:r>
      <w:r w:rsidR="00C60520">
        <w:rPr>
          <w:rFonts w:ascii="Arial" w:eastAsia="Times New Roman" w:hAnsi="Arial"/>
          <w:sz w:val="24"/>
          <w:szCs w:val="24"/>
        </w:rPr>
        <w:t xml:space="preserve">an order for </w:t>
      </w:r>
      <w:r w:rsidRPr="006A2BB3">
        <w:rPr>
          <w:rFonts w:ascii="Arial" w:eastAsia="Times New Roman" w:hAnsi="Arial"/>
          <w:sz w:val="24"/>
          <w:szCs w:val="24"/>
        </w:rPr>
        <w:t xml:space="preserve">the preservation of </w:t>
      </w:r>
      <w:r w:rsidR="00C60520" w:rsidRPr="006A2BB3">
        <w:rPr>
          <w:rFonts w:ascii="Arial" w:eastAsia="Times New Roman" w:hAnsi="Arial"/>
          <w:sz w:val="24"/>
          <w:szCs w:val="24"/>
        </w:rPr>
        <w:t xml:space="preserve">property </w:t>
      </w:r>
      <w:r w:rsidR="00C60520">
        <w:rPr>
          <w:rFonts w:ascii="Arial" w:eastAsia="Times New Roman" w:hAnsi="Arial"/>
          <w:sz w:val="24"/>
          <w:szCs w:val="24"/>
        </w:rPr>
        <w:t>be granted</w:t>
      </w:r>
      <w:r w:rsidRPr="006A2BB3">
        <w:rPr>
          <w:rFonts w:ascii="Arial" w:eastAsia="Times New Roman" w:hAnsi="Arial"/>
          <w:sz w:val="24"/>
          <w:szCs w:val="24"/>
        </w:rPr>
        <w:t xml:space="preserve">. </w:t>
      </w:r>
    </w:p>
    <w:p w:rsidR="008547D5" w:rsidRDefault="008547D5" w:rsidP="006A2BB3">
      <w:pPr>
        <w:shd w:val="clear" w:color="auto" w:fill="FFFFFF"/>
        <w:spacing w:after="0" w:line="480" w:lineRule="auto"/>
        <w:jc w:val="both"/>
        <w:rPr>
          <w:rFonts w:ascii="Arial" w:eastAsia="Times New Roman" w:hAnsi="Arial"/>
          <w:sz w:val="24"/>
          <w:szCs w:val="24"/>
        </w:rPr>
      </w:pPr>
    </w:p>
    <w:p w:rsidR="0013251A" w:rsidRDefault="0013251A" w:rsidP="006A2BB3">
      <w:pPr>
        <w:shd w:val="clear" w:color="auto" w:fill="FFFFFF"/>
        <w:spacing w:after="0" w:line="480" w:lineRule="auto"/>
        <w:jc w:val="both"/>
        <w:rPr>
          <w:rFonts w:ascii="Arial" w:eastAsia="Times New Roman" w:hAnsi="Arial"/>
          <w:sz w:val="24"/>
          <w:szCs w:val="24"/>
        </w:rPr>
      </w:pPr>
      <w:r w:rsidRPr="006A2BB3">
        <w:rPr>
          <w:rFonts w:ascii="Arial" w:eastAsia="Times New Roman" w:hAnsi="Arial"/>
          <w:sz w:val="24"/>
          <w:szCs w:val="24"/>
        </w:rPr>
        <w:lastRenderedPageBreak/>
        <w:t>In the result, the appeal against the order of the High Court is upheld. Based on the findings and the conclusion arrived at in this matter, the costs in this case must follow the result.</w:t>
      </w:r>
    </w:p>
    <w:p w:rsidR="009565DB" w:rsidRDefault="009565DB" w:rsidP="006A2BB3">
      <w:pPr>
        <w:shd w:val="clear" w:color="auto" w:fill="FFFFFF"/>
        <w:spacing w:after="0" w:line="480" w:lineRule="auto"/>
        <w:jc w:val="both"/>
        <w:rPr>
          <w:rFonts w:ascii="Arial" w:eastAsia="Times New Roman" w:hAnsi="Arial"/>
          <w:sz w:val="24"/>
          <w:szCs w:val="24"/>
        </w:rPr>
      </w:pPr>
    </w:p>
    <w:p w:rsidR="0013251A" w:rsidRPr="006A2BB3" w:rsidRDefault="0013251A" w:rsidP="00F44AFB">
      <w:pPr>
        <w:spacing w:after="0" w:line="240" w:lineRule="auto"/>
        <w:rPr>
          <w:rFonts w:ascii="Arial" w:hAnsi="Arial"/>
          <w:b/>
          <w:sz w:val="24"/>
          <w:szCs w:val="24"/>
        </w:rPr>
      </w:pPr>
    </w:p>
    <w:p w:rsidR="00BA6ED8" w:rsidRPr="006A2BB3" w:rsidRDefault="00BA6ED8" w:rsidP="00F44AFB">
      <w:pPr>
        <w:pBdr>
          <w:top w:val="single" w:sz="4" w:space="0" w:color="auto"/>
        </w:pBdr>
        <w:spacing w:after="0" w:line="240" w:lineRule="auto"/>
        <w:jc w:val="both"/>
        <w:rPr>
          <w:rFonts w:ascii="Arial" w:hAnsi="Arial"/>
          <w:sz w:val="24"/>
          <w:szCs w:val="24"/>
        </w:rPr>
      </w:pPr>
    </w:p>
    <w:p w:rsidR="009E7B3A" w:rsidRPr="006A2BB3" w:rsidRDefault="0013251A" w:rsidP="00F44AFB">
      <w:pPr>
        <w:pBdr>
          <w:bottom w:val="single" w:sz="4" w:space="1" w:color="auto"/>
        </w:pBdr>
        <w:spacing w:after="0" w:line="240" w:lineRule="auto"/>
        <w:jc w:val="center"/>
        <w:rPr>
          <w:rFonts w:ascii="Arial" w:hAnsi="Arial"/>
          <w:b/>
          <w:sz w:val="24"/>
          <w:szCs w:val="24"/>
        </w:rPr>
      </w:pPr>
      <w:r w:rsidRPr="006A2BB3">
        <w:rPr>
          <w:rFonts w:ascii="Arial" w:hAnsi="Arial"/>
          <w:b/>
          <w:sz w:val="24"/>
          <w:szCs w:val="24"/>
        </w:rPr>
        <w:t xml:space="preserve">APPEAL </w:t>
      </w:r>
      <w:r w:rsidR="0055516B" w:rsidRPr="006A2BB3">
        <w:rPr>
          <w:rFonts w:ascii="Arial" w:hAnsi="Arial"/>
          <w:b/>
          <w:sz w:val="24"/>
          <w:szCs w:val="24"/>
        </w:rPr>
        <w:t>JUDGMENT</w:t>
      </w:r>
    </w:p>
    <w:p w:rsidR="0013251A" w:rsidRPr="006A2BB3" w:rsidRDefault="0013251A" w:rsidP="00F44AFB">
      <w:pPr>
        <w:pBdr>
          <w:bottom w:val="single" w:sz="4" w:space="1" w:color="auto"/>
        </w:pBdr>
        <w:spacing w:after="0" w:line="240" w:lineRule="auto"/>
        <w:jc w:val="center"/>
        <w:rPr>
          <w:rFonts w:ascii="Arial" w:hAnsi="Arial"/>
          <w:b/>
          <w:sz w:val="24"/>
          <w:szCs w:val="24"/>
        </w:rPr>
      </w:pPr>
    </w:p>
    <w:p w:rsidR="00F475C3" w:rsidRPr="006A2BB3" w:rsidRDefault="00F475C3" w:rsidP="006A2BB3">
      <w:pPr>
        <w:spacing w:after="0" w:line="480" w:lineRule="auto"/>
        <w:jc w:val="center"/>
        <w:rPr>
          <w:rFonts w:ascii="Arial" w:hAnsi="Arial"/>
          <w:sz w:val="24"/>
          <w:szCs w:val="24"/>
        </w:rPr>
      </w:pPr>
    </w:p>
    <w:p w:rsidR="008D1EDF" w:rsidRPr="006A2BB3" w:rsidRDefault="00B55409" w:rsidP="006A2BB3">
      <w:pPr>
        <w:spacing w:after="0" w:line="480" w:lineRule="auto"/>
        <w:rPr>
          <w:rFonts w:ascii="Arial" w:hAnsi="Arial"/>
          <w:sz w:val="24"/>
          <w:szCs w:val="24"/>
        </w:rPr>
      </w:pPr>
      <w:r w:rsidRPr="006A2BB3">
        <w:rPr>
          <w:rFonts w:ascii="Arial" w:hAnsi="Arial"/>
          <w:sz w:val="24"/>
          <w:szCs w:val="24"/>
        </w:rPr>
        <w:t>MOKGOR</w:t>
      </w:r>
      <w:r w:rsidR="0013251A" w:rsidRPr="006A2BB3">
        <w:rPr>
          <w:rFonts w:ascii="Arial" w:hAnsi="Arial"/>
          <w:sz w:val="24"/>
          <w:szCs w:val="24"/>
        </w:rPr>
        <w:t>O AJA (SMUTS JA and</w:t>
      </w:r>
      <w:r w:rsidR="00583E61" w:rsidRPr="006A2BB3">
        <w:rPr>
          <w:rFonts w:ascii="Arial" w:hAnsi="Arial"/>
          <w:sz w:val="24"/>
          <w:szCs w:val="24"/>
        </w:rPr>
        <w:t xml:space="preserve"> CHOMBA AJA concurring</w:t>
      </w:r>
      <w:r w:rsidRPr="006A2BB3">
        <w:rPr>
          <w:rFonts w:ascii="Arial" w:hAnsi="Arial"/>
          <w:sz w:val="24"/>
          <w:szCs w:val="24"/>
        </w:rPr>
        <w:t>)</w:t>
      </w:r>
      <w:r w:rsidR="0013251A" w:rsidRPr="006A2BB3">
        <w:rPr>
          <w:rFonts w:ascii="Arial" w:hAnsi="Arial"/>
          <w:sz w:val="24"/>
          <w:szCs w:val="24"/>
        </w:rPr>
        <w:t>:</w:t>
      </w:r>
    </w:p>
    <w:p w:rsidR="00446F33" w:rsidRPr="00F44AFB" w:rsidRDefault="00446F33" w:rsidP="006A2BB3">
      <w:pPr>
        <w:tabs>
          <w:tab w:val="left" w:pos="0"/>
        </w:tabs>
        <w:spacing w:after="0" w:line="480" w:lineRule="auto"/>
        <w:jc w:val="both"/>
        <w:rPr>
          <w:rFonts w:ascii="Arial" w:hAnsi="Arial"/>
          <w:color w:val="000000"/>
          <w:sz w:val="24"/>
          <w:szCs w:val="24"/>
          <w:u w:val="single"/>
        </w:rPr>
      </w:pPr>
      <w:r w:rsidRPr="00F44AFB">
        <w:rPr>
          <w:rFonts w:ascii="Arial" w:hAnsi="Arial"/>
          <w:color w:val="000000"/>
          <w:sz w:val="24"/>
          <w:szCs w:val="24"/>
          <w:u w:val="single"/>
        </w:rPr>
        <w:t>I</w:t>
      </w:r>
      <w:r w:rsidR="0013251A" w:rsidRPr="00F44AFB">
        <w:rPr>
          <w:rFonts w:ascii="Arial" w:hAnsi="Arial"/>
          <w:color w:val="000000"/>
          <w:sz w:val="24"/>
          <w:szCs w:val="24"/>
          <w:u w:val="single"/>
        </w:rPr>
        <w:t>ntroduction</w:t>
      </w:r>
    </w:p>
    <w:p w:rsidR="00B55409" w:rsidRPr="00F44AFB" w:rsidRDefault="00B55409" w:rsidP="006A2BB3">
      <w:pPr>
        <w:tabs>
          <w:tab w:val="left" w:pos="0"/>
        </w:tabs>
        <w:spacing w:after="0" w:line="480" w:lineRule="auto"/>
        <w:jc w:val="both"/>
        <w:rPr>
          <w:rFonts w:ascii="Arial" w:hAnsi="Arial"/>
          <w:color w:val="000000"/>
          <w:sz w:val="24"/>
          <w:szCs w:val="24"/>
        </w:rPr>
      </w:pPr>
      <w:r w:rsidRPr="00F44AFB">
        <w:rPr>
          <w:rFonts w:ascii="Arial" w:hAnsi="Arial"/>
          <w:color w:val="000000"/>
          <w:sz w:val="24"/>
          <w:szCs w:val="24"/>
        </w:rPr>
        <w:t xml:space="preserve">[1] </w:t>
      </w:r>
      <w:r w:rsidRPr="00F44AFB">
        <w:rPr>
          <w:rFonts w:ascii="Arial" w:hAnsi="Arial"/>
          <w:color w:val="000000"/>
          <w:sz w:val="24"/>
          <w:szCs w:val="24"/>
        </w:rPr>
        <w:tab/>
      </w:r>
      <w:r w:rsidR="003125D7" w:rsidRPr="00F44AFB">
        <w:rPr>
          <w:rFonts w:ascii="Arial" w:eastAsia="Times New Roman" w:hAnsi="Arial"/>
          <w:color w:val="000000"/>
          <w:sz w:val="24"/>
          <w:szCs w:val="24"/>
        </w:rPr>
        <w:t>This matter is an appeal against the order of the High Court upholding an objection</w:t>
      </w:r>
      <w:r w:rsidR="00694057">
        <w:rPr>
          <w:rFonts w:ascii="Arial" w:eastAsia="Times New Roman" w:hAnsi="Arial"/>
          <w:color w:val="000000"/>
          <w:sz w:val="24"/>
          <w:szCs w:val="24"/>
        </w:rPr>
        <w:t xml:space="preserve"> </w:t>
      </w:r>
      <w:r w:rsidR="003125D7" w:rsidRPr="00F44AFB">
        <w:rPr>
          <w:rFonts w:ascii="Arial" w:eastAsia="Times New Roman" w:hAnsi="Arial"/>
          <w:i/>
          <w:iCs/>
          <w:color w:val="000000"/>
          <w:sz w:val="24"/>
          <w:szCs w:val="24"/>
        </w:rPr>
        <w:t>in limine</w:t>
      </w:r>
      <w:r w:rsidR="00694057">
        <w:rPr>
          <w:rFonts w:ascii="Arial" w:eastAsia="Times New Roman" w:hAnsi="Arial"/>
          <w:i/>
          <w:iCs/>
          <w:color w:val="000000"/>
          <w:sz w:val="24"/>
          <w:szCs w:val="24"/>
        </w:rPr>
        <w:t xml:space="preserve"> </w:t>
      </w:r>
      <w:r w:rsidR="003125D7" w:rsidRPr="00F44AFB">
        <w:rPr>
          <w:rFonts w:ascii="Arial" w:eastAsia="Times New Roman" w:hAnsi="Arial"/>
          <w:color w:val="000000"/>
          <w:sz w:val="24"/>
          <w:szCs w:val="24"/>
        </w:rPr>
        <w:t xml:space="preserve">to the granting of an </w:t>
      </w:r>
      <w:r w:rsidR="00D35C77" w:rsidRPr="00F44AFB">
        <w:rPr>
          <w:rFonts w:ascii="Arial" w:eastAsia="Times New Roman" w:hAnsi="Arial"/>
          <w:i/>
          <w:color w:val="000000"/>
          <w:sz w:val="24"/>
          <w:szCs w:val="24"/>
        </w:rPr>
        <w:t>ex parte</w:t>
      </w:r>
      <w:r w:rsidR="00D35C77" w:rsidRPr="00F44AFB">
        <w:rPr>
          <w:rFonts w:ascii="Arial" w:eastAsia="Times New Roman" w:hAnsi="Arial"/>
          <w:color w:val="000000"/>
          <w:sz w:val="24"/>
          <w:szCs w:val="24"/>
        </w:rPr>
        <w:t xml:space="preserve"> </w:t>
      </w:r>
      <w:r w:rsidR="003125D7" w:rsidRPr="00F44AFB">
        <w:rPr>
          <w:rFonts w:ascii="Arial" w:eastAsia="Times New Roman" w:hAnsi="Arial"/>
          <w:color w:val="000000"/>
          <w:sz w:val="24"/>
          <w:szCs w:val="24"/>
        </w:rPr>
        <w:t xml:space="preserve">application for a </w:t>
      </w:r>
      <w:r w:rsidR="00D35C77" w:rsidRPr="00F44AFB">
        <w:rPr>
          <w:rFonts w:ascii="Arial" w:eastAsia="Times New Roman" w:hAnsi="Arial"/>
          <w:color w:val="000000"/>
          <w:sz w:val="24"/>
          <w:szCs w:val="24"/>
        </w:rPr>
        <w:t xml:space="preserve">property </w:t>
      </w:r>
      <w:r w:rsidR="003125D7" w:rsidRPr="00F44AFB">
        <w:rPr>
          <w:rFonts w:ascii="Arial" w:eastAsia="Times New Roman" w:hAnsi="Arial"/>
          <w:color w:val="000000"/>
          <w:sz w:val="24"/>
          <w:szCs w:val="24"/>
        </w:rPr>
        <w:t xml:space="preserve">preservation order in terms of s 51(2) of the Prevention of Organised Crime Act, 29 of 2004 (the POCA), without the seven-day notice required in </w:t>
      </w:r>
      <w:r w:rsidR="00BB6CCC">
        <w:rPr>
          <w:rFonts w:ascii="Arial" w:eastAsia="Times New Roman" w:hAnsi="Arial"/>
          <w:color w:val="000000"/>
          <w:sz w:val="24"/>
          <w:szCs w:val="24"/>
        </w:rPr>
        <w:t>r</w:t>
      </w:r>
      <w:r w:rsidR="003125D7" w:rsidRPr="00F44AFB">
        <w:rPr>
          <w:rFonts w:ascii="Arial" w:eastAsia="Times New Roman" w:hAnsi="Arial"/>
          <w:color w:val="000000"/>
          <w:sz w:val="24"/>
          <w:szCs w:val="24"/>
        </w:rPr>
        <w:t>eg 7(b) of the POCA Regulations (</w:t>
      </w:r>
      <w:r w:rsidR="00BB6CCC">
        <w:rPr>
          <w:rFonts w:ascii="Arial" w:eastAsia="Times New Roman" w:hAnsi="Arial"/>
          <w:color w:val="000000"/>
          <w:sz w:val="24"/>
          <w:szCs w:val="24"/>
        </w:rPr>
        <w:t>r</w:t>
      </w:r>
      <w:r w:rsidR="003125D7" w:rsidRPr="00F44AFB">
        <w:rPr>
          <w:rFonts w:ascii="Arial" w:eastAsia="Times New Roman" w:hAnsi="Arial"/>
          <w:color w:val="000000"/>
          <w:sz w:val="24"/>
          <w:szCs w:val="24"/>
        </w:rPr>
        <w:t>eg 7(b))</w:t>
      </w:r>
      <w:r w:rsidR="007635D6" w:rsidRPr="00F44AFB">
        <w:rPr>
          <w:rFonts w:ascii="Arial" w:hAnsi="Arial"/>
          <w:color w:val="000000"/>
          <w:sz w:val="24"/>
          <w:szCs w:val="24"/>
        </w:rPr>
        <w:t xml:space="preserve">. </w:t>
      </w:r>
    </w:p>
    <w:p w:rsidR="00BE2641" w:rsidRPr="00F44AFB" w:rsidRDefault="00BE2641" w:rsidP="006A2BB3">
      <w:pPr>
        <w:tabs>
          <w:tab w:val="left" w:pos="0"/>
        </w:tabs>
        <w:spacing w:after="0" w:line="480" w:lineRule="auto"/>
        <w:ind w:left="360"/>
        <w:jc w:val="both"/>
        <w:rPr>
          <w:rFonts w:ascii="Arial" w:hAnsi="Arial"/>
          <w:color w:val="000000"/>
          <w:sz w:val="24"/>
          <w:szCs w:val="24"/>
        </w:rPr>
      </w:pPr>
    </w:p>
    <w:p w:rsidR="00B55409" w:rsidRPr="00F44AFB" w:rsidRDefault="00B55409" w:rsidP="006A2BB3">
      <w:pPr>
        <w:tabs>
          <w:tab w:val="left" w:pos="0"/>
        </w:tabs>
        <w:spacing w:after="0" w:line="480" w:lineRule="auto"/>
        <w:jc w:val="both"/>
        <w:rPr>
          <w:rFonts w:ascii="Arial" w:hAnsi="Arial"/>
          <w:color w:val="000000"/>
          <w:sz w:val="24"/>
          <w:szCs w:val="24"/>
        </w:rPr>
      </w:pPr>
      <w:r w:rsidRPr="00F44AFB">
        <w:rPr>
          <w:rFonts w:ascii="Arial" w:hAnsi="Arial"/>
          <w:color w:val="000000"/>
          <w:sz w:val="24"/>
          <w:szCs w:val="24"/>
        </w:rPr>
        <w:t>[2]</w:t>
      </w:r>
      <w:r w:rsidRPr="00F44AFB">
        <w:rPr>
          <w:rFonts w:ascii="Arial" w:hAnsi="Arial"/>
          <w:color w:val="000000"/>
          <w:sz w:val="24"/>
          <w:szCs w:val="24"/>
        </w:rPr>
        <w:tab/>
        <w:t>The appellant is the Prosecutor</w:t>
      </w:r>
      <w:r w:rsidR="00BB6CCC">
        <w:rPr>
          <w:rFonts w:ascii="Arial" w:hAnsi="Arial"/>
          <w:color w:val="000000"/>
          <w:sz w:val="24"/>
          <w:szCs w:val="24"/>
        </w:rPr>
        <w:t>-</w:t>
      </w:r>
      <w:r w:rsidRPr="00F44AFB">
        <w:rPr>
          <w:rFonts w:ascii="Arial" w:hAnsi="Arial"/>
          <w:color w:val="000000"/>
          <w:sz w:val="24"/>
          <w:szCs w:val="24"/>
        </w:rPr>
        <w:t>General (the PG) and the respondent is Mr Onesmus Nghitum</w:t>
      </w:r>
      <w:r w:rsidR="00B83E5C">
        <w:rPr>
          <w:rFonts w:ascii="Arial" w:hAnsi="Arial"/>
          <w:color w:val="000000"/>
          <w:sz w:val="24"/>
          <w:szCs w:val="24"/>
        </w:rPr>
        <w:t>u</w:t>
      </w:r>
      <w:r w:rsidRPr="00F44AFB">
        <w:rPr>
          <w:rFonts w:ascii="Arial" w:hAnsi="Arial"/>
          <w:color w:val="000000"/>
          <w:sz w:val="24"/>
          <w:szCs w:val="24"/>
        </w:rPr>
        <w:t xml:space="preserve"> Taapopi, the sole member of Sydney Hassan </w:t>
      </w:r>
      <w:r w:rsidR="007635D6" w:rsidRPr="00F44AFB">
        <w:rPr>
          <w:rFonts w:ascii="Arial" w:hAnsi="Arial"/>
          <w:color w:val="000000"/>
          <w:sz w:val="24"/>
          <w:szCs w:val="24"/>
        </w:rPr>
        <w:t>and Sons CC (the CC), who had</w:t>
      </w:r>
      <w:r w:rsidR="00694057">
        <w:rPr>
          <w:rFonts w:ascii="Arial" w:hAnsi="Arial"/>
          <w:color w:val="000000"/>
          <w:sz w:val="24"/>
          <w:szCs w:val="24"/>
        </w:rPr>
        <w:t>,</w:t>
      </w:r>
      <w:r w:rsidRPr="00F44AFB">
        <w:rPr>
          <w:rFonts w:ascii="Arial" w:hAnsi="Arial"/>
          <w:color w:val="000000"/>
          <w:sz w:val="24"/>
          <w:szCs w:val="24"/>
        </w:rPr>
        <w:t xml:space="preserve"> in the High Court</w:t>
      </w:r>
      <w:r w:rsidR="00694057">
        <w:rPr>
          <w:rFonts w:ascii="Arial" w:hAnsi="Arial"/>
          <w:color w:val="000000"/>
          <w:sz w:val="24"/>
          <w:szCs w:val="24"/>
        </w:rPr>
        <w:t>,</w:t>
      </w:r>
      <w:r w:rsidRPr="00F44AFB">
        <w:rPr>
          <w:rFonts w:ascii="Arial" w:hAnsi="Arial"/>
          <w:color w:val="000000"/>
          <w:sz w:val="24"/>
          <w:szCs w:val="24"/>
        </w:rPr>
        <w:t xml:space="preserve"> opposed the </w:t>
      </w:r>
      <w:r w:rsidR="007635D6" w:rsidRPr="00F44AFB">
        <w:rPr>
          <w:rFonts w:ascii="Arial" w:hAnsi="Arial"/>
          <w:color w:val="000000"/>
          <w:sz w:val="24"/>
          <w:szCs w:val="24"/>
        </w:rPr>
        <w:t xml:space="preserve">granting of </w:t>
      </w:r>
      <w:r w:rsidRPr="00F44AFB">
        <w:rPr>
          <w:rFonts w:ascii="Arial" w:hAnsi="Arial"/>
          <w:color w:val="000000"/>
          <w:sz w:val="24"/>
          <w:szCs w:val="24"/>
        </w:rPr>
        <w:t xml:space="preserve">the preservation order, not only on its merits but particularly on the basis of the procedural objection raised </w:t>
      </w:r>
      <w:r w:rsidRPr="00F44AFB">
        <w:rPr>
          <w:rFonts w:ascii="Arial" w:hAnsi="Arial"/>
          <w:i/>
          <w:color w:val="000000"/>
          <w:sz w:val="24"/>
          <w:szCs w:val="24"/>
        </w:rPr>
        <w:t>in limine</w:t>
      </w:r>
      <w:r w:rsidRPr="00F44AFB">
        <w:rPr>
          <w:rFonts w:ascii="Arial" w:hAnsi="Arial"/>
          <w:color w:val="000000"/>
          <w:sz w:val="24"/>
          <w:szCs w:val="24"/>
        </w:rPr>
        <w:t xml:space="preserve"> as outlined above.  </w:t>
      </w:r>
    </w:p>
    <w:p w:rsidR="00BE2641" w:rsidRPr="00F44AFB" w:rsidRDefault="00BE2641" w:rsidP="006A2BB3">
      <w:pPr>
        <w:tabs>
          <w:tab w:val="left" w:pos="0"/>
        </w:tabs>
        <w:spacing w:after="0" w:line="480" w:lineRule="auto"/>
        <w:ind w:left="360"/>
        <w:jc w:val="both"/>
        <w:rPr>
          <w:rFonts w:ascii="Arial" w:hAnsi="Arial"/>
          <w:color w:val="000000"/>
          <w:sz w:val="24"/>
          <w:szCs w:val="24"/>
        </w:rPr>
      </w:pPr>
    </w:p>
    <w:p w:rsidR="00B55409" w:rsidRPr="00F44AFB" w:rsidRDefault="00B55409" w:rsidP="006A2BB3">
      <w:pPr>
        <w:tabs>
          <w:tab w:val="left" w:pos="0"/>
        </w:tabs>
        <w:spacing w:after="0" w:line="480" w:lineRule="auto"/>
        <w:jc w:val="both"/>
        <w:rPr>
          <w:rFonts w:ascii="Arial" w:hAnsi="Arial"/>
          <w:color w:val="000000"/>
          <w:sz w:val="24"/>
          <w:szCs w:val="24"/>
        </w:rPr>
      </w:pPr>
      <w:r w:rsidRPr="00F44AFB">
        <w:rPr>
          <w:rFonts w:ascii="Arial" w:hAnsi="Arial"/>
          <w:color w:val="000000"/>
          <w:sz w:val="24"/>
          <w:szCs w:val="24"/>
        </w:rPr>
        <w:t>[3]</w:t>
      </w:r>
      <w:r w:rsidRPr="00F44AFB">
        <w:rPr>
          <w:rFonts w:ascii="Arial" w:hAnsi="Arial"/>
          <w:color w:val="000000"/>
          <w:sz w:val="24"/>
          <w:szCs w:val="24"/>
        </w:rPr>
        <w:tab/>
      </w:r>
      <w:r w:rsidR="00BF3D83" w:rsidRPr="00F44AFB">
        <w:rPr>
          <w:rFonts w:ascii="Arial" w:hAnsi="Arial"/>
          <w:color w:val="000000"/>
          <w:sz w:val="24"/>
          <w:szCs w:val="24"/>
        </w:rPr>
        <w:t>The property concerned in this matter is a positive balance in a First National Bank account held in the name of Tulinane P</w:t>
      </w:r>
      <w:r w:rsidR="00BB6CCC">
        <w:rPr>
          <w:rFonts w:ascii="Arial" w:hAnsi="Arial"/>
          <w:color w:val="000000"/>
          <w:sz w:val="24"/>
          <w:szCs w:val="24"/>
        </w:rPr>
        <w:t xml:space="preserve"> </w:t>
      </w:r>
      <w:r w:rsidR="00BF3D83" w:rsidRPr="00F44AFB">
        <w:rPr>
          <w:rFonts w:ascii="Arial" w:hAnsi="Arial"/>
          <w:color w:val="000000"/>
          <w:sz w:val="24"/>
          <w:szCs w:val="24"/>
        </w:rPr>
        <w:t>S Hiskia (the property).</w:t>
      </w:r>
    </w:p>
    <w:p w:rsidR="00BE2641" w:rsidRPr="00F44AFB" w:rsidRDefault="00BE2641" w:rsidP="006A2BB3">
      <w:pPr>
        <w:tabs>
          <w:tab w:val="left" w:pos="0"/>
        </w:tabs>
        <w:spacing w:after="0" w:line="480" w:lineRule="auto"/>
        <w:ind w:left="360"/>
        <w:jc w:val="both"/>
        <w:rPr>
          <w:rFonts w:ascii="Arial" w:hAnsi="Arial"/>
          <w:color w:val="000000"/>
          <w:sz w:val="24"/>
          <w:szCs w:val="24"/>
        </w:rPr>
      </w:pPr>
    </w:p>
    <w:p w:rsidR="003125D7" w:rsidRPr="00F44AFB" w:rsidRDefault="00842CDE" w:rsidP="006A2BB3">
      <w:pPr>
        <w:tabs>
          <w:tab w:val="left" w:pos="0"/>
        </w:tabs>
        <w:spacing w:after="0" w:line="480" w:lineRule="auto"/>
        <w:jc w:val="both"/>
        <w:rPr>
          <w:rFonts w:ascii="Arial" w:hAnsi="Arial"/>
          <w:color w:val="000000"/>
          <w:sz w:val="24"/>
          <w:szCs w:val="24"/>
        </w:rPr>
      </w:pPr>
      <w:r w:rsidRPr="00F44AFB">
        <w:rPr>
          <w:rFonts w:ascii="Arial" w:hAnsi="Arial"/>
          <w:color w:val="000000"/>
          <w:sz w:val="24"/>
          <w:szCs w:val="24"/>
        </w:rPr>
        <w:lastRenderedPageBreak/>
        <w:t>[4]</w:t>
      </w:r>
      <w:r w:rsidRPr="00F44AFB">
        <w:rPr>
          <w:rFonts w:ascii="Arial" w:hAnsi="Arial"/>
          <w:color w:val="000000"/>
          <w:sz w:val="24"/>
          <w:szCs w:val="24"/>
        </w:rPr>
        <w:tab/>
      </w:r>
      <w:r w:rsidR="00BF3D83" w:rsidRPr="00F44AFB">
        <w:rPr>
          <w:rFonts w:ascii="Arial" w:hAnsi="Arial"/>
          <w:color w:val="000000"/>
          <w:sz w:val="24"/>
          <w:szCs w:val="24"/>
        </w:rPr>
        <w:t xml:space="preserve">The PG appeals against the whole of the High Court’s judgment, asserting that the </w:t>
      </w:r>
      <w:r w:rsidR="00BF3D83" w:rsidRPr="00F44AFB">
        <w:rPr>
          <w:rFonts w:ascii="Arial" w:hAnsi="Arial"/>
          <w:i/>
          <w:color w:val="000000"/>
          <w:sz w:val="24"/>
          <w:szCs w:val="24"/>
        </w:rPr>
        <w:t>rule nisi</w:t>
      </w:r>
      <w:r w:rsidR="00BF3D83" w:rsidRPr="00F44AFB">
        <w:rPr>
          <w:rFonts w:ascii="Arial" w:hAnsi="Arial"/>
          <w:color w:val="000000"/>
          <w:sz w:val="24"/>
          <w:szCs w:val="24"/>
        </w:rPr>
        <w:t xml:space="preserve"> should </w:t>
      </w:r>
      <w:r w:rsidR="001C61C0" w:rsidRPr="00F44AFB">
        <w:rPr>
          <w:rFonts w:ascii="Arial" w:hAnsi="Arial"/>
          <w:color w:val="000000"/>
          <w:sz w:val="24"/>
          <w:szCs w:val="24"/>
        </w:rPr>
        <w:t xml:space="preserve">have been confirmed on the return date </w:t>
      </w:r>
      <w:r w:rsidR="00BF3D83" w:rsidRPr="00F44AFB">
        <w:rPr>
          <w:rFonts w:ascii="Arial" w:hAnsi="Arial"/>
          <w:color w:val="000000"/>
          <w:sz w:val="24"/>
          <w:szCs w:val="24"/>
        </w:rPr>
        <w:t xml:space="preserve">in that the </w:t>
      </w:r>
      <w:r w:rsidR="00BF3D83" w:rsidRPr="00F44AFB">
        <w:rPr>
          <w:rFonts w:ascii="Arial" w:hAnsi="Arial"/>
          <w:i/>
          <w:color w:val="000000"/>
          <w:sz w:val="24"/>
          <w:szCs w:val="24"/>
        </w:rPr>
        <w:t>ex parte</w:t>
      </w:r>
      <w:r w:rsidR="00BF3D83" w:rsidRPr="00F44AFB">
        <w:rPr>
          <w:rFonts w:ascii="Arial" w:hAnsi="Arial"/>
          <w:color w:val="000000"/>
          <w:sz w:val="24"/>
          <w:szCs w:val="24"/>
        </w:rPr>
        <w:t xml:space="preserve"> application for the property preservation order had met the requirements</w:t>
      </w:r>
      <w:r w:rsidR="009563A9" w:rsidRPr="00F44AFB">
        <w:rPr>
          <w:rFonts w:ascii="Arial" w:hAnsi="Arial"/>
          <w:color w:val="000000"/>
          <w:sz w:val="24"/>
          <w:szCs w:val="24"/>
        </w:rPr>
        <w:t xml:space="preserve"> </w:t>
      </w:r>
      <w:r w:rsidR="00B538E4">
        <w:rPr>
          <w:rFonts w:ascii="Arial" w:hAnsi="Arial"/>
          <w:color w:val="000000"/>
          <w:sz w:val="24"/>
          <w:szCs w:val="24"/>
        </w:rPr>
        <w:t xml:space="preserve"> </w:t>
      </w:r>
      <w:r w:rsidR="009563A9" w:rsidRPr="00F44AFB">
        <w:rPr>
          <w:rFonts w:ascii="Arial" w:hAnsi="Arial"/>
          <w:color w:val="000000"/>
          <w:sz w:val="24"/>
          <w:szCs w:val="24"/>
        </w:rPr>
        <w:t xml:space="preserve">of s 51(2) of the POCA. </w:t>
      </w:r>
      <w:r w:rsidR="00BF3D83" w:rsidRPr="00F44AFB">
        <w:rPr>
          <w:rFonts w:ascii="Arial" w:hAnsi="Arial"/>
          <w:color w:val="000000"/>
          <w:sz w:val="24"/>
          <w:szCs w:val="24"/>
        </w:rPr>
        <w:t xml:space="preserve">Thus, according to the PG, the High Court erred in upholding the </w:t>
      </w:r>
      <w:r w:rsidR="00BF3D83" w:rsidRPr="00F44AFB">
        <w:rPr>
          <w:rFonts w:ascii="Arial" w:hAnsi="Arial"/>
          <w:i/>
          <w:color w:val="000000"/>
          <w:sz w:val="24"/>
          <w:szCs w:val="24"/>
        </w:rPr>
        <w:t>in limine</w:t>
      </w:r>
      <w:r w:rsidR="00BF3D83" w:rsidRPr="00F44AFB">
        <w:rPr>
          <w:rFonts w:ascii="Arial" w:hAnsi="Arial"/>
          <w:color w:val="000000"/>
          <w:sz w:val="24"/>
          <w:szCs w:val="24"/>
        </w:rPr>
        <w:t xml:space="preserve"> objection to the </w:t>
      </w:r>
      <w:r w:rsidR="00BF3D83" w:rsidRPr="00F44AFB">
        <w:rPr>
          <w:rFonts w:ascii="Arial" w:hAnsi="Arial"/>
          <w:i/>
          <w:color w:val="000000"/>
          <w:sz w:val="24"/>
          <w:szCs w:val="24"/>
        </w:rPr>
        <w:t>rule nisi</w:t>
      </w:r>
      <w:r w:rsidR="009563A9" w:rsidRPr="00F44AFB">
        <w:rPr>
          <w:rFonts w:ascii="Arial" w:hAnsi="Arial"/>
          <w:color w:val="000000"/>
          <w:sz w:val="24"/>
          <w:szCs w:val="24"/>
        </w:rPr>
        <w:t xml:space="preserve"> on the basis that the seven-day notice requirement in </w:t>
      </w:r>
      <w:r w:rsidR="00BB6CCC">
        <w:rPr>
          <w:rFonts w:ascii="Arial" w:hAnsi="Arial"/>
          <w:color w:val="000000"/>
          <w:sz w:val="24"/>
          <w:szCs w:val="24"/>
        </w:rPr>
        <w:t>r</w:t>
      </w:r>
      <w:r w:rsidR="009563A9" w:rsidRPr="00F44AFB">
        <w:rPr>
          <w:rFonts w:ascii="Arial" w:hAnsi="Arial"/>
          <w:color w:val="000000"/>
          <w:sz w:val="24"/>
          <w:szCs w:val="24"/>
        </w:rPr>
        <w:t xml:space="preserve">eg 7(b) had not been met. </w:t>
      </w:r>
    </w:p>
    <w:p w:rsidR="009D7747" w:rsidRPr="00F44AFB" w:rsidRDefault="009D7747" w:rsidP="006A2BB3">
      <w:pPr>
        <w:tabs>
          <w:tab w:val="left" w:pos="0"/>
        </w:tabs>
        <w:spacing w:after="0" w:line="480" w:lineRule="auto"/>
        <w:jc w:val="both"/>
        <w:rPr>
          <w:rFonts w:ascii="Arial" w:hAnsi="Arial"/>
          <w:color w:val="000000"/>
          <w:sz w:val="24"/>
          <w:szCs w:val="24"/>
        </w:rPr>
      </w:pPr>
    </w:p>
    <w:p w:rsidR="003125D7" w:rsidRPr="00694057" w:rsidRDefault="00BB6CCC" w:rsidP="006A2BB3">
      <w:pPr>
        <w:tabs>
          <w:tab w:val="left" w:pos="0"/>
        </w:tabs>
        <w:spacing w:after="0" w:line="480" w:lineRule="auto"/>
        <w:jc w:val="both"/>
        <w:rPr>
          <w:rFonts w:ascii="Arial" w:hAnsi="Arial"/>
          <w:sz w:val="24"/>
          <w:szCs w:val="24"/>
          <w:u w:val="single"/>
        </w:rPr>
      </w:pPr>
      <w:r w:rsidRPr="00BB6CCC">
        <w:rPr>
          <w:rFonts w:ascii="Arial" w:hAnsi="Arial"/>
          <w:sz w:val="24"/>
          <w:szCs w:val="24"/>
          <w:u w:val="single"/>
        </w:rPr>
        <w:t>Factual background</w:t>
      </w:r>
    </w:p>
    <w:p w:rsidR="00BF3D83" w:rsidRPr="006A2BB3" w:rsidRDefault="00842CDE" w:rsidP="006A2BB3">
      <w:pPr>
        <w:tabs>
          <w:tab w:val="left" w:pos="0"/>
        </w:tabs>
        <w:spacing w:after="0" w:line="480" w:lineRule="auto"/>
        <w:jc w:val="both"/>
        <w:rPr>
          <w:rFonts w:ascii="Arial" w:hAnsi="Arial"/>
          <w:sz w:val="24"/>
          <w:szCs w:val="24"/>
        </w:rPr>
      </w:pPr>
      <w:r w:rsidRPr="006A2BB3">
        <w:rPr>
          <w:rFonts w:ascii="Arial" w:hAnsi="Arial"/>
          <w:sz w:val="24"/>
          <w:szCs w:val="24"/>
        </w:rPr>
        <w:t>[5]</w:t>
      </w:r>
      <w:r w:rsidRPr="006A2BB3">
        <w:rPr>
          <w:rFonts w:ascii="Arial" w:hAnsi="Arial"/>
          <w:sz w:val="24"/>
          <w:szCs w:val="24"/>
        </w:rPr>
        <w:tab/>
      </w:r>
      <w:r w:rsidR="0092258F" w:rsidRPr="006A2BB3">
        <w:rPr>
          <w:rFonts w:ascii="Arial" w:hAnsi="Arial"/>
          <w:sz w:val="24"/>
          <w:szCs w:val="24"/>
        </w:rPr>
        <w:t xml:space="preserve">The respondent had enquired from the </w:t>
      </w:r>
      <w:r w:rsidR="00F475C3" w:rsidRPr="006A2BB3">
        <w:rPr>
          <w:rFonts w:ascii="Arial" w:hAnsi="Arial"/>
          <w:sz w:val="24"/>
          <w:szCs w:val="24"/>
        </w:rPr>
        <w:t>Namibia</w:t>
      </w:r>
      <w:r w:rsidR="005732B2">
        <w:rPr>
          <w:rFonts w:ascii="Arial" w:hAnsi="Arial"/>
          <w:sz w:val="24"/>
          <w:szCs w:val="24"/>
        </w:rPr>
        <w:t>n</w:t>
      </w:r>
      <w:r w:rsidR="00F475C3" w:rsidRPr="006A2BB3">
        <w:rPr>
          <w:rFonts w:ascii="Arial" w:hAnsi="Arial"/>
          <w:sz w:val="24"/>
          <w:szCs w:val="24"/>
        </w:rPr>
        <w:t xml:space="preserve"> </w:t>
      </w:r>
      <w:r w:rsidR="0092258F" w:rsidRPr="006A2BB3">
        <w:rPr>
          <w:rFonts w:ascii="Arial" w:hAnsi="Arial"/>
          <w:sz w:val="24"/>
          <w:szCs w:val="24"/>
        </w:rPr>
        <w:t>D</w:t>
      </w:r>
      <w:r w:rsidR="00F475C3" w:rsidRPr="006A2BB3">
        <w:rPr>
          <w:rFonts w:ascii="Arial" w:hAnsi="Arial"/>
          <w:sz w:val="24"/>
          <w:szCs w:val="24"/>
        </w:rPr>
        <w:t xml:space="preserve">efence </w:t>
      </w:r>
      <w:r w:rsidR="0092258F" w:rsidRPr="006A2BB3">
        <w:rPr>
          <w:rFonts w:ascii="Arial" w:hAnsi="Arial"/>
          <w:sz w:val="24"/>
          <w:szCs w:val="24"/>
        </w:rPr>
        <w:t>F</w:t>
      </w:r>
      <w:r w:rsidR="00F475C3" w:rsidRPr="006A2BB3">
        <w:rPr>
          <w:rFonts w:ascii="Arial" w:hAnsi="Arial"/>
          <w:sz w:val="24"/>
          <w:szCs w:val="24"/>
        </w:rPr>
        <w:t xml:space="preserve">orce </w:t>
      </w:r>
      <w:r w:rsidR="00BB6CCC">
        <w:rPr>
          <w:rFonts w:ascii="Arial" w:hAnsi="Arial"/>
          <w:sz w:val="24"/>
          <w:szCs w:val="24"/>
        </w:rPr>
        <w:t>(</w:t>
      </w:r>
      <w:r w:rsidR="00F475C3" w:rsidRPr="006A2BB3">
        <w:rPr>
          <w:rFonts w:ascii="Arial" w:hAnsi="Arial"/>
          <w:sz w:val="24"/>
          <w:szCs w:val="24"/>
        </w:rPr>
        <w:t>the NDF)</w:t>
      </w:r>
      <w:r w:rsidR="0092258F" w:rsidRPr="006A2BB3">
        <w:rPr>
          <w:rFonts w:ascii="Arial" w:hAnsi="Arial"/>
          <w:sz w:val="24"/>
          <w:szCs w:val="24"/>
        </w:rPr>
        <w:t xml:space="preserve"> about possible procurement opportunities to provide accommodation services to the NDF after, as was said, </w:t>
      </w:r>
      <w:r w:rsidR="00443D84" w:rsidRPr="006A2BB3">
        <w:rPr>
          <w:rFonts w:ascii="Arial" w:hAnsi="Arial"/>
          <w:sz w:val="24"/>
          <w:szCs w:val="24"/>
        </w:rPr>
        <w:t>he indicated</w:t>
      </w:r>
      <w:r w:rsidR="0092258F" w:rsidRPr="006A2BB3">
        <w:rPr>
          <w:rFonts w:ascii="Arial" w:hAnsi="Arial"/>
          <w:sz w:val="24"/>
          <w:szCs w:val="24"/>
        </w:rPr>
        <w:t xml:space="preserve"> that he </w:t>
      </w:r>
      <w:r w:rsidR="00BB6CCC">
        <w:rPr>
          <w:rFonts w:ascii="Arial" w:hAnsi="Arial"/>
          <w:sz w:val="24"/>
          <w:szCs w:val="24"/>
        </w:rPr>
        <w:t>'</w:t>
      </w:r>
      <w:r w:rsidR="0092258F" w:rsidRPr="006A2BB3">
        <w:rPr>
          <w:rFonts w:ascii="Arial" w:hAnsi="Arial"/>
          <w:sz w:val="24"/>
          <w:szCs w:val="24"/>
        </w:rPr>
        <w:t>had a guest house</w:t>
      </w:r>
      <w:r w:rsidR="00BB6CCC">
        <w:rPr>
          <w:rFonts w:ascii="Arial" w:hAnsi="Arial"/>
          <w:sz w:val="24"/>
          <w:szCs w:val="24"/>
        </w:rPr>
        <w:t>'</w:t>
      </w:r>
      <w:r w:rsidR="0092258F" w:rsidRPr="006A2BB3">
        <w:rPr>
          <w:rFonts w:ascii="Arial" w:hAnsi="Arial"/>
          <w:sz w:val="24"/>
          <w:szCs w:val="24"/>
        </w:rPr>
        <w:t>, bel</w:t>
      </w:r>
      <w:r w:rsidR="009454DD" w:rsidRPr="006A2BB3">
        <w:rPr>
          <w:rFonts w:ascii="Arial" w:hAnsi="Arial"/>
          <w:sz w:val="24"/>
          <w:szCs w:val="24"/>
        </w:rPr>
        <w:t>ieved to be called Ace’s Guest</w:t>
      </w:r>
      <w:r w:rsidR="00971FBC">
        <w:rPr>
          <w:rFonts w:ascii="Arial" w:hAnsi="Arial"/>
          <w:sz w:val="24"/>
          <w:szCs w:val="24"/>
        </w:rPr>
        <w:t xml:space="preserve"> H</w:t>
      </w:r>
      <w:r w:rsidR="0092258F" w:rsidRPr="006A2BB3">
        <w:rPr>
          <w:rFonts w:ascii="Arial" w:hAnsi="Arial"/>
          <w:sz w:val="24"/>
          <w:szCs w:val="24"/>
        </w:rPr>
        <w:t>ouse. Having been invited to do so, he submitted a quote in the amount of N$2 652 810, which was accepted.</w:t>
      </w:r>
      <w:r w:rsidR="0074328D">
        <w:rPr>
          <w:rFonts w:ascii="Arial" w:hAnsi="Arial"/>
          <w:sz w:val="24"/>
          <w:szCs w:val="24"/>
        </w:rPr>
        <w:t xml:space="preserve"> He then submitted an invoice in</w:t>
      </w:r>
      <w:r w:rsidR="0092258F" w:rsidRPr="006A2BB3">
        <w:rPr>
          <w:rFonts w:ascii="Arial" w:hAnsi="Arial"/>
          <w:sz w:val="24"/>
          <w:szCs w:val="24"/>
        </w:rPr>
        <w:t xml:space="preserve"> August 2014 for a 40% upfront payment which was not immediately paid as the quote apparently got lost. In an attempt to facilitate the payment process, </w:t>
      </w:r>
      <w:r w:rsidR="00004641">
        <w:rPr>
          <w:rFonts w:ascii="Arial" w:hAnsi="Arial"/>
          <w:sz w:val="24"/>
          <w:szCs w:val="24"/>
        </w:rPr>
        <w:t xml:space="preserve">the </w:t>
      </w:r>
      <w:r w:rsidR="0092258F" w:rsidRPr="006A2BB3">
        <w:rPr>
          <w:rFonts w:ascii="Arial" w:hAnsi="Arial"/>
          <w:sz w:val="24"/>
          <w:szCs w:val="24"/>
        </w:rPr>
        <w:t>respondent was requested to submit his identity document (the ID), a letter from the bank confirming his account number and another confirming his ownership of the CC. In response to the latter request, the respondent submitted the founding papers of the CC. Later, on inquiry, the Minist</w:t>
      </w:r>
      <w:r w:rsidR="00694057">
        <w:rPr>
          <w:rFonts w:ascii="Arial" w:hAnsi="Arial"/>
          <w:sz w:val="24"/>
          <w:szCs w:val="24"/>
        </w:rPr>
        <w:t>ry</w:t>
      </w:r>
      <w:r w:rsidR="0092258F" w:rsidRPr="006A2BB3">
        <w:rPr>
          <w:rFonts w:ascii="Arial" w:hAnsi="Arial"/>
          <w:sz w:val="24"/>
          <w:szCs w:val="24"/>
        </w:rPr>
        <w:t xml:space="preserve"> of Trade and Industry confirmed that the CC was instead registered in the name of the respondent</w:t>
      </w:r>
      <w:r w:rsidR="00694057">
        <w:rPr>
          <w:rFonts w:ascii="Arial" w:hAnsi="Arial"/>
          <w:sz w:val="24"/>
          <w:szCs w:val="24"/>
        </w:rPr>
        <w:t>'</w:t>
      </w:r>
      <w:r w:rsidR="0092258F" w:rsidRPr="006A2BB3">
        <w:rPr>
          <w:rFonts w:ascii="Arial" w:hAnsi="Arial"/>
          <w:sz w:val="24"/>
          <w:szCs w:val="24"/>
        </w:rPr>
        <w:t xml:space="preserve">s mother, </w:t>
      </w:r>
      <w:r w:rsidR="009454DD" w:rsidRPr="006A2BB3">
        <w:rPr>
          <w:rFonts w:ascii="Arial" w:hAnsi="Arial"/>
          <w:sz w:val="24"/>
          <w:szCs w:val="24"/>
        </w:rPr>
        <w:t xml:space="preserve">Mrs </w:t>
      </w:r>
      <w:r w:rsidR="0074328D">
        <w:rPr>
          <w:rFonts w:ascii="Arial" w:hAnsi="Arial"/>
          <w:sz w:val="24"/>
          <w:szCs w:val="24"/>
        </w:rPr>
        <w:t>Eunike</w:t>
      </w:r>
      <w:r w:rsidR="0092258F" w:rsidRPr="006A2BB3">
        <w:rPr>
          <w:rFonts w:ascii="Arial" w:hAnsi="Arial"/>
          <w:sz w:val="24"/>
          <w:szCs w:val="24"/>
        </w:rPr>
        <w:t xml:space="preserve"> Hamutenya, but by then the payment had already been made into his Standard Bank account. </w:t>
      </w:r>
    </w:p>
    <w:p w:rsidR="00BE2641" w:rsidRPr="006A2BB3" w:rsidRDefault="00BE2641" w:rsidP="006A2BB3">
      <w:pPr>
        <w:tabs>
          <w:tab w:val="left" w:pos="0"/>
        </w:tabs>
        <w:spacing w:after="0" w:line="480" w:lineRule="auto"/>
        <w:ind w:left="360"/>
        <w:jc w:val="both"/>
        <w:rPr>
          <w:rFonts w:ascii="Arial" w:hAnsi="Arial"/>
          <w:sz w:val="24"/>
          <w:szCs w:val="24"/>
        </w:rPr>
      </w:pPr>
    </w:p>
    <w:p w:rsidR="000C7D94" w:rsidRPr="006A2BB3" w:rsidRDefault="009C4E9F" w:rsidP="006A2BB3">
      <w:pPr>
        <w:tabs>
          <w:tab w:val="left" w:pos="90"/>
        </w:tabs>
        <w:spacing w:after="0" w:line="480" w:lineRule="auto"/>
        <w:jc w:val="both"/>
        <w:rPr>
          <w:rFonts w:ascii="Arial" w:hAnsi="Arial"/>
          <w:sz w:val="24"/>
          <w:szCs w:val="24"/>
        </w:rPr>
      </w:pPr>
      <w:r w:rsidRPr="006A2BB3">
        <w:rPr>
          <w:rFonts w:ascii="Arial" w:hAnsi="Arial"/>
          <w:sz w:val="24"/>
          <w:szCs w:val="24"/>
        </w:rPr>
        <w:t>[6</w:t>
      </w:r>
      <w:r w:rsidR="000C7D94" w:rsidRPr="006A2BB3">
        <w:rPr>
          <w:rFonts w:ascii="Arial" w:hAnsi="Arial"/>
          <w:sz w:val="24"/>
          <w:szCs w:val="24"/>
        </w:rPr>
        <w:t>]</w:t>
      </w:r>
      <w:r w:rsidR="00AA476A" w:rsidRPr="006A2BB3">
        <w:rPr>
          <w:rFonts w:ascii="Arial" w:hAnsi="Arial"/>
          <w:sz w:val="24"/>
          <w:szCs w:val="24"/>
        </w:rPr>
        <w:tab/>
      </w:r>
      <w:r w:rsidRPr="006A2BB3">
        <w:rPr>
          <w:rFonts w:ascii="Arial" w:hAnsi="Arial"/>
          <w:sz w:val="24"/>
          <w:szCs w:val="24"/>
        </w:rPr>
        <w:t xml:space="preserve">It turned out that on </w:t>
      </w:r>
      <w:r w:rsidR="000C7D94" w:rsidRPr="006A2BB3">
        <w:rPr>
          <w:rFonts w:ascii="Arial" w:hAnsi="Arial"/>
          <w:sz w:val="24"/>
          <w:szCs w:val="24"/>
        </w:rPr>
        <w:t>18 September 2014, an electron</w:t>
      </w:r>
      <w:r w:rsidR="004D36C3" w:rsidRPr="006A2BB3">
        <w:rPr>
          <w:rFonts w:ascii="Arial" w:hAnsi="Arial"/>
          <w:sz w:val="24"/>
          <w:szCs w:val="24"/>
        </w:rPr>
        <w:t xml:space="preserve">ic payment in the amount of </w:t>
      </w:r>
      <w:r w:rsidR="004D3E1F" w:rsidRPr="006A2BB3">
        <w:rPr>
          <w:rFonts w:ascii="Arial" w:hAnsi="Arial"/>
          <w:sz w:val="24"/>
          <w:szCs w:val="24"/>
        </w:rPr>
        <w:t>N$1 061 124 had been</w:t>
      </w:r>
      <w:r w:rsidR="000C7D94" w:rsidRPr="006A2BB3">
        <w:rPr>
          <w:rFonts w:ascii="Arial" w:hAnsi="Arial"/>
          <w:sz w:val="24"/>
          <w:szCs w:val="24"/>
        </w:rPr>
        <w:t xml:space="preserve"> made from the Government of Namibia State </w:t>
      </w:r>
      <w:r w:rsidR="000C7D94" w:rsidRPr="006A2BB3">
        <w:rPr>
          <w:rFonts w:ascii="Arial" w:hAnsi="Arial"/>
          <w:sz w:val="24"/>
          <w:szCs w:val="24"/>
        </w:rPr>
        <w:lastRenderedPageBreak/>
        <w:t>account for the Ministry of Defence into a Standard Bank account held in the name of Sydney Hassan &amp; Sons Trading CC (the Standard Bank account).</w:t>
      </w:r>
    </w:p>
    <w:p w:rsidR="009E1CFD" w:rsidRPr="006A2BB3" w:rsidRDefault="009E1CFD" w:rsidP="006A2BB3">
      <w:pPr>
        <w:tabs>
          <w:tab w:val="left" w:pos="0"/>
        </w:tabs>
        <w:spacing w:after="0" w:line="480" w:lineRule="auto"/>
        <w:ind w:left="360"/>
        <w:jc w:val="both"/>
        <w:rPr>
          <w:rFonts w:ascii="Arial" w:hAnsi="Arial"/>
          <w:sz w:val="24"/>
          <w:szCs w:val="24"/>
        </w:rPr>
      </w:pPr>
    </w:p>
    <w:p w:rsidR="00915F43" w:rsidRPr="006A2BB3" w:rsidRDefault="004D3E1F" w:rsidP="006A2BB3">
      <w:pPr>
        <w:tabs>
          <w:tab w:val="left" w:pos="0"/>
        </w:tabs>
        <w:spacing w:after="0" w:line="480" w:lineRule="auto"/>
        <w:jc w:val="both"/>
        <w:rPr>
          <w:rFonts w:ascii="Arial" w:hAnsi="Arial"/>
          <w:sz w:val="24"/>
          <w:szCs w:val="24"/>
        </w:rPr>
      </w:pPr>
      <w:r w:rsidRPr="006A2BB3">
        <w:rPr>
          <w:rFonts w:ascii="Arial" w:hAnsi="Arial"/>
          <w:sz w:val="24"/>
          <w:szCs w:val="24"/>
        </w:rPr>
        <w:t>[7</w:t>
      </w:r>
      <w:r w:rsidR="000C7D94" w:rsidRPr="006A2BB3">
        <w:rPr>
          <w:rFonts w:ascii="Arial" w:hAnsi="Arial"/>
          <w:sz w:val="24"/>
          <w:szCs w:val="24"/>
        </w:rPr>
        <w:t>]</w:t>
      </w:r>
      <w:r w:rsidR="0084660D" w:rsidRPr="006A2BB3">
        <w:rPr>
          <w:rFonts w:ascii="Arial" w:hAnsi="Arial"/>
          <w:sz w:val="24"/>
          <w:szCs w:val="24"/>
        </w:rPr>
        <w:tab/>
      </w:r>
      <w:r w:rsidR="000C7D94" w:rsidRPr="006A2BB3">
        <w:rPr>
          <w:rFonts w:ascii="Arial" w:hAnsi="Arial"/>
          <w:sz w:val="24"/>
          <w:szCs w:val="24"/>
        </w:rPr>
        <w:t>A day later, on 19 September 2014, a</w:t>
      </w:r>
      <w:r w:rsidRPr="006A2BB3">
        <w:rPr>
          <w:rFonts w:ascii="Arial" w:hAnsi="Arial"/>
          <w:sz w:val="24"/>
          <w:szCs w:val="24"/>
        </w:rPr>
        <w:t xml:space="preserve"> cheque for N$800 000 with</w:t>
      </w:r>
      <w:r w:rsidR="000C7D94" w:rsidRPr="006A2BB3">
        <w:rPr>
          <w:rFonts w:ascii="Arial" w:hAnsi="Arial"/>
          <w:sz w:val="24"/>
          <w:szCs w:val="24"/>
        </w:rPr>
        <w:t xml:space="preserve"> referenc</w:t>
      </w:r>
      <w:r w:rsidRPr="006A2BB3">
        <w:rPr>
          <w:rFonts w:ascii="Arial" w:hAnsi="Arial"/>
          <w:sz w:val="24"/>
          <w:szCs w:val="24"/>
        </w:rPr>
        <w:t xml:space="preserve">e </w:t>
      </w:r>
      <w:r w:rsidR="00004641">
        <w:rPr>
          <w:rFonts w:ascii="Arial" w:hAnsi="Arial"/>
          <w:sz w:val="24"/>
          <w:szCs w:val="24"/>
        </w:rPr>
        <w:t>'</w:t>
      </w:r>
      <w:r w:rsidR="000C7D94" w:rsidRPr="006A2BB3">
        <w:rPr>
          <w:rFonts w:ascii="Arial" w:hAnsi="Arial"/>
          <w:sz w:val="24"/>
          <w:szCs w:val="24"/>
        </w:rPr>
        <w:t>salary</w:t>
      </w:r>
      <w:r w:rsidR="00DC6E03">
        <w:rPr>
          <w:rFonts w:ascii="Arial" w:hAnsi="Arial"/>
          <w:sz w:val="24"/>
          <w:szCs w:val="24"/>
        </w:rPr>
        <w:t>'</w:t>
      </w:r>
      <w:r w:rsidRPr="006A2BB3">
        <w:rPr>
          <w:rFonts w:ascii="Arial" w:hAnsi="Arial"/>
          <w:sz w:val="24"/>
          <w:szCs w:val="24"/>
        </w:rPr>
        <w:t>,</w:t>
      </w:r>
      <w:r w:rsidR="000C7D94" w:rsidRPr="006A2BB3">
        <w:rPr>
          <w:rFonts w:ascii="Arial" w:hAnsi="Arial"/>
          <w:sz w:val="24"/>
          <w:szCs w:val="24"/>
        </w:rPr>
        <w:t xml:space="preserve"> was electronically transferred into a First National Bank account held in the name of Tulinane PS Hiskia, who turned out to be the respondent’s minor son.</w:t>
      </w:r>
      <w:r w:rsidR="00915F43" w:rsidRPr="006A2BB3">
        <w:rPr>
          <w:rFonts w:ascii="Arial" w:hAnsi="Arial"/>
          <w:sz w:val="24"/>
          <w:szCs w:val="24"/>
        </w:rPr>
        <w:t xml:space="preserve"> </w:t>
      </w:r>
      <w:r w:rsidR="000C7D94" w:rsidRPr="006A2BB3">
        <w:rPr>
          <w:rFonts w:ascii="Arial" w:hAnsi="Arial"/>
          <w:sz w:val="24"/>
          <w:szCs w:val="24"/>
        </w:rPr>
        <w:t>On that same day of 19 September 2014, a cheque for N$250 000 was cashed</w:t>
      </w:r>
      <w:r w:rsidR="004D36C3" w:rsidRPr="006A2BB3">
        <w:rPr>
          <w:rFonts w:ascii="Arial" w:hAnsi="Arial"/>
          <w:sz w:val="24"/>
          <w:szCs w:val="24"/>
        </w:rPr>
        <w:t xml:space="preserve"> on the Standard Bank account</w:t>
      </w:r>
      <w:r w:rsidRPr="006A2BB3">
        <w:rPr>
          <w:rFonts w:ascii="Arial" w:hAnsi="Arial"/>
          <w:sz w:val="24"/>
          <w:szCs w:val="24"/>
        </w:rPr>
        <w:t xml:space="preserve"> of the CC</w:t>
      </w:r>
      <w:r w:rsidR="004D36C3" w:rsidRPr="006A2BB3">
        <w:rPr>
          <w:rFonts w:ascii="Arial" w:hAnsi="Arial"/>
          <w:sz w:val="24"/>
          <w:szCs w:val="24"/>
        </w:rPr>
        <w:t xml:space="preserve">, </w:t>
      </w:r>
      <w:r w:rsidR="000C7D94" w:rsidRPr="006A2BB3">
        <w:rPr>
          <w:rFonts w:ascii="Arial" w:hAnsi="Arial"/>
          <w:sz w:val="24"/>
          <w:szCs w:val="24"/>
        </w:rPr>
        <w:t xml:space="preserve">with a positive balance of </w:t>
      </w:r>
      <w:r w:rsidRPr="006A2BB3">
        <w:rPr>
          <w:rFonts w:ascii="Arial" w:hAnsi="Arial"/>
          <w:sz w:val="24"/>
          <w:szCs w:val="24"/>
        </w:rPr>
        <w:t xml:space="preserve">only </w:t>
      </w:r>
      <w:r w:rsidR="000C7D94" w:rsidRPr="006A2BB3">
        <w:rPr>
          <w:rFonts w:ascii="Arial" w:hAnsi="Arial"/>
          <w:sz w:val="24"/>
          <w:szCs w:val="24"/>
        </w:rPr>
        <w:t>N$1491</w:t>
      </w:r>
      <w:r w:rsidR="00004641">
        <w:rPr>
          <w:rFonts w:ascii="Arial" w:hAnsi="Arial"/>
          <w:sz w:val="24"/>
          <w:szCs w:val="24"/>
        </w:rPr>
        <w:t>,</w:t>
      </w:r>
      <w:r w:rsidR="000C7D94" w:rsidRPr="006A2BB3">
        <w:rPr>
          <w:rFonts w:ascii="Arial" w:hAnsi="Arial"/>
          <w:sz w:val="24"/>
          <w:szCs w:val="24"/>
        </w:rPr>
        <w:t xml:space="preserve">15 remaining. </w:t>
      </w:r>
      <w:r w:rsidR="00915F43" w:rsidRPr="006A2BB3">
        <w:rPr>
          <w:rFonts w:ascii="Arial" w:hAnsi="Arial"/>
          <w:sz w:val="24"/>
          <w:szCs w:val="24"/>
        </w:rPr>
        <w:t xml:space="preserve">The </w:t>
      </w:r>
      <w:r w:rsidR="00F475C3" w:rsidRPr="006A2BB3">
        <w:rPr>
          <w:rFonts w:ascii="Arial" w:hAnsi="Arial"/>
          <w:sz w:val="24"/>
          <w:szCs w:val="24"/>
        </w:rPr>
        <w:t>NDF</w:t>
      </w:r>
      <w:r w:rsidR="0092258F" w:rsidRPr="006A2BB3">
        <w:rPr>
          <w:rFonts w:ascii="Arial" w:hAnsi="Arial"/>
          <w:sz w:val="24"/>
          <w:szCs w:val="24"/>
        </w:rPr>
        <w:t xml:space="preserve"> later confirmed that the </w:t>
      </w:r>
      <w:r w:rsidR="00915F43" w:rsidRPr="006A2BB3">
        <w:rPr>
          <w:rFonts w:ascii="Arial" w:hAnsi="Arial"/>
          <w:sz w:val="24"/>
          <w:szCs w:val="24"/>
        </w:rPr>
        <w:t>payment into</w:t>
      </w:r>
      <w:r w:rsidR="0092258F" w:rsidRPr="006A2BB3">
        <w:rPr>
          <w:rFonts w:ascii="Arial" w:hAnsi="Arial"/>
          <w:sz w:val="24"/>
          <w:szCs w:val="24"/>
        </w:rPr>
        <w:t xml:space="preserve"> the Standard Bank account of the CC</w:t>
      </w:r>
      <w:r w:rsidR="00004641">
        <w:rPr>
          <w:rFonts w:ascii="Arial" w:hAnsi="Arial"/>
          <w:sz w:val="24"/>
          <w:szCs w:val="24"/>
        </w:rPr>
        <w:t>,</w:t>
      </w:r>
      <w:r w:rsidR="0092258F" w:rsidRPr="006A2BB3">
        <w:rPr>
          <w:rFonts w:ascii="Arial" w:hAnsi="Arial"/>
          <w:sz w:val="24"/>
          <w:szCs w:val="24"/>
        </w:rPr>
        <w:t xml:space="preserve"> as stated above</w:t>
      </w:r>
      <w:r w:rsidR="00004641">
        <w:rPr>
          <w:rFonts w:ascii="Arial" w:hAnsi="Arial"/>
          <w:sz w:val="24"/>
          <w:szCs w:val="24"/>
        </w:rPr>
        <w:t>,</w:t>
      </w:r>
      <w:r w:rsidR="0092258F" w:rsidRPr="006A2BB3">
        <w:rPr>
          <w:rFonts w:ascii="Arial" w:hAnsi="Arial"/>
          <w:sz w:val="24"/>
          <w:szCs w:val="24"/>
        </w:rPr>
        <w:t xml:space="preserve"> had been</w:t>
      </w:r>
      <w:r w:rsidR="00915F43" w:rsidRPr="006A2BB3">
        <w:rPr>
          <w:rFonts w:ascii="Arial" w:hAnsi="Arial"/>
          <w:sz w:val="24"/>
          <w:szCs w:val="24"/>
        </w:rPr>
        <w:t xml:space="preserve"> made representing 40% of the amount of N$2 652 810 quoted for the provision of accommodation services requested by the NDF. </w:t>
      </w:r>
    </w:p>
    <w:p w:rsidR="009E1CFD" w:rsidRPr="006A2BB3" w:rsidRDefault="009E1CFD" w:rsidP="006A2BB3">
      <w:pPr>
        <w:tabs>
          <w:tab w:val="left" w:pos="0"/>
        </w:tabs>
        <w:spacing w:after="0" w:line="480" w:lineRule="auto"/>
        <w:jc w:val="both"/>
        <w:rPr>
          <w:rFonts w:ascii="Arial" w:hAnsi="Arial"/>
          <w:sz w:val="24"/>
          <w:szCs w:val="24"/>
        </w:rPr>
      </w:pPr>
    </w:p>
    <w:p w:rsidR="00915F43" w:rsidRPr="006A2BB3" w:rsidRDefault="00406008" w:rsidP="006A2BB3">
      <w:pPr>
        <w:tabs>
          <w:tab w:val="left" w:pos="0"/>
        </w:tabs>
        <w:spacing w:after="0" w:line="480" w:lineRule="auto"/>
        <w:jc w:val="both"/>
        <w:rPr>
          <w:rFonts w:ascii="Arial" w:hAnsi="Arial"/>
          <w:sz w:val="24"/>
          <w:szCs w:val="24"/>
        </w:rPr>
      </w:pPr>
      <w:r w:rsidRPr="006A2BB3">
        <w:rPr>
          <w:rFonts w:ascii="Arial" w:hAnsi="Arial"/>
          <w:sz w:val="24"/>
          <w:szCs w:val="24"/>
        </w:rPr>
        <w:t>[8</w:t>
      </w:r>
      <w:r w:rsidR="00915F43" w:rsidRPr="006A2BB3">
        <w:rPr>
          <w:rFonts w:ascii="Arial" w:hAnsi="Arial"/>
          <w:sz w:val="24"/>
          <w:szCs w:val="24"/>
        </w:rPr>
        <w:t>]</w:t>
      </w:r>
      <w:r w:rsidR="0084660D" w:rsidRPr="006A2BB3">
        <w:rPr>
          <w:rFonts w:ascii="Arial" w:hAnsi="Arial"/>
          <w:sz w:val="24"/>
          <w:szCs w:val="24"/>
        </w:rPr>
        <w:tab/>
      </w:r>
      <w:r w:rsidR="00915F43" w:rsidRPr="006A2BB3">
        <w:rPr>
          <w:rFonts w:ascii="Arial" w:hAnsi="Arial"/>
          <w:sz w:val="24"/>
          <w:szCs w:val="24"/>
        </w:rPr>
        <w:t xml:space="preserve">On request by the </w:t>
      </w:r>
      <w:r w:rsidR="00004641">
        <w:rPr>
          <w:rFonts w:ascii="Arial" w:hAnsi="Arial"/>
          <w:sz w:val="24"/>
          <w:szCs w:val="24"/>
        </w:rPr>
        <w:t>d</w:t>
      </w:r>
      <w:r w:rsidR="00915F43" w:rsidRPr="006A2BB3">
        <w:rPr>
          <w:rFonts w:ascii="Arial" w:hAnsi="Arial"/>
          <w:sz w:val="24"/>
          <w:szCs w:val="24"/>
        </w:rPr>
        <w:t xml:space="preserve">irector of </w:t>
      </w:r>
      <w:r w:rsidR="00004641">
        <w:rPr>
          <w:rFonts w:ascii="Arial" w:hAnsi="Arial"/>
          <w:sz w:val="24"/>
          <w:szCs w:val="24"/>
        </w:rPr>
        <w:t>the Ministry</w:t>
      </w:r>
      <w:r w:rsidR="009565DB">
        <w:rPr>
          <w:rFonts w:ascii="Arial" w:hAnsi="Arial"/>
          <w:sz w:val="24"/>
          <w:szCs w:val="24"/>
        </w:rPr>
        <w:t xml:space="preserve"> of</w:t>
      </w:r>
      <w:r w:rsidR="00004641">
        <w:rPr>
          <w:rFonts w:ascii="Arial" w:hAnsi="Arial"/>
          <w:sz w:val="24"/>
          <w:szCs w:val="24"/>
        </w:rPr>
        <w:t xml:space="preserve"> </w:t>
      </w:r>
      <w:r w:rsidR="00915F43" w:rsidRPr="006A2BB3">
        <w:rPr>
          <w:rFonts w:ascii="Arial" w:hAnsi="Arial"/>
          <w:sz w:val="24"/>
          <w:szCs w:val="24"/>
        </w:rPr>
        <w:t>Finance for details of the quotation</w:t>
      </w:r>
      <w:r w:rsidR="0092258F" w:rsidRPr="006A2BB3">
        <w:rPr>
          <w:rFonts w:ascii="Arial" w:hAnsi="Arial"/>
          <w:sz w:val="24"/>
          <w:szCs w:val="24"/>
        </w:rPr>
        <w:t xml:space="preserve">, an </w:t>
      </w:r>
      <w:r w:rsidR="00715EF2" w:rsidRPr="006A2BB3">
        <w:rPr>
          <w:rFonts w:ascii="Arial" w:hAnsi="Arial"/>
          <w:sz w:val="24"/>
          <w:szCs w:val="24"/>
        </w:rPr>
        <w:t>enquiry at Ace’s Guest</w:t>
      </w:r>
      <w:r w:rsidR="00971FBC">
        <w:rPr>
          <w:rFonts w:ascii="Arial" w:hAnsi="Arial"/>
          <w:sz w:val="24"/>
          <w:szCs w:val="24"/>
        </w:rPr>
        <w:t xml:space="preserve"> H</w:t>
      </w:r>
      <w:r w:rsidR="00915F43" w:rsidRPr="006A2BB3">
        <w:rPr>
          <w:rFonts w:ascii="Arial" w:hAnsi="Arial"/>
          <w:sz w:val="24"/>
          <w:szCs w:val="24"/>
        </w:rPr>
        <w:t>ouse</w:t>
      </w:r>
      <w:r w:rsidR="00C772FF" w:rsidRPr="006A2BB3">
        <w:rPr>
          <w:rFonts w:ascii="Arial" w:hAnsi="Arial"/>
          <w:sz w:val="24"/>
          <w:szCs w:val="24"/>
        </w:rPr>
        <w:t xml:space="preserve"> r</w:t>
      </w:r>
      <w:r w:rsidR="0092258F" w:rsidRPr="006A2BB3">
        <w:rPr>
          <w:rFonts w:ascii="Arial" w:hAnsi="Arial"/>
          <w:sz w:val="24"/>
          <w:szCs w:val="24"/>
        </w:rPr>
        <w:t>evealed that the respondent did not own the guest</w:t>
      </w:r>
      <w:r w:rsidR="00513D16">
        <w:rPr>
          <w:rFonts w:ascii="Arial" w:hAnsi="Arial"/>
          <w:sz w:val="24"/>
          <w:szCs w:val="24"/>
        </w:rPr>
        <w:t xml:space="preserve"> </w:t>
      </w:r>
      <w:r w:rsidR="0092258F" w:rsidRPr="006A2BB3">
        <w:rPr>
          <w:rFonts w:ascii="Arial" w:hAnsi="Arial"/>
          <w:sz w:val="24"/>
          <w:szCs w:val="24"/>
        </w:rPr>
        <w:t xml:space="preserve">house. It was in fact </w:t>
      </w:r>
      <w:r w:rsidR="00CA28FE" w:rsidRPr="006A2BB3">
        <w:rPr>
          <w:rFonts w:ascii="Arial" w:hAnsi="Arial"/>
          <w:sz w:val="24"/>
          <w:szCs w:val="24"/>
        </w:rPr>
        <w:t xml:space="preserve">owned by </w:t>
      </w:r>
      <w:r w:rsidR="004D36C3" w:rsidRPr="006A2BB3">
        <w:rPr>
          <w:rFonts w:ascii="Arial" w:hAnsi="Arial"/>
          <w:sz w:val="24"/>
          <w:szCs w:val="24"/>
        </w:rPr>
        <w:t>Mr</w:t>
      </w:r>
      <w:r w:rsidR="00CA28FE" w:rsidRPr="006A2BB3">
        <w:rPr>
          <w:rFonts w:ascii="Arial" w:hAnsi="Arial"/>
          <w:sz w:val="24"/>
          <w:szCs w:val="24"/>
        </w:rPr>
        <w:t xml:space="preserve"> Rodgers Kiyonga Ddung</w:t>
      </w:r>
      <w:r w:rsidR="00D35C77" w:rsidRPr="006A2BB3">
        <w:rPr>
          <w:rFonts w:ascii="Arial" w:hAnsi="Arial"/>
          <w:sz w:val="24"/>
          <w:szCs w:val="24"/>
        </w:rPr>
        <w:t>u</w:t>
      </w:r>
      <w:r w:rsidR="00CA28FE" w:rsidRPr="006A2BB3">
        <w:rPr>
          <w:rFonts w:ascii="Arial" w:hAnsi="Arial"/>
          <w:sz w:val="24"/>
          <w:szCs w:val="24"/>
        </w:rPr>
        <w:t xml:space="preserve"> who lives permanently in the United States of America. The latter</w:t>
      </w:r>
      <w:r w:rsidRPr="006A2BB3">
        <w:rPr>
          <w:rFonts w:ascii="Arial" w:hAnsi="Arial"/>
          <w:sz w:val="24"/>
          <w:szCs w:val="24"/>
        </w:rPr>
        <w:t xml:space="preserve"> was the owner of</w:t>
      </w:r>
      <w:r w:rsidR="00CA28FE" w:rsidRPr="006A2BB3">
        <w:rPr>
          <w:rFonts w:ascii="Arial" w:hAnsi="Arial"/>
          <w:sz w:val="24"/>
          <w:szCs w:val="24"/>
        </w:rPr>
        <w:t xml:space="preserve"> Lindrie Properties CC </w:t>
      </w:r>
      <w:r w:rsidR="0092258F" w:rsidRPr="006A2BB3">
        <w:rPr>
          <w:rFonts w:ascii="Arial" w:hAnsi="Arial"/>
          <w:sz w:val="24"/>
          <w:szCs w:val="24"/>
        </w:rPr>
        <w:t xml:space="preserve">which traded </w:t>
      </w:r>
      <w:r w:rsidR="009454DD" w:rsidRPr="006A2BB3">
        <w:rPr>
          <w:rFonts w:ascii="Arial" w:hAnsi="Arial"/>
          <w:sz w:val="24"/>
          <w:szCs w:val="24"/>
        </w:rPr>
        <w:t>as Ace’s Guest</w:t>
      </w:r>
      <w:r w:rsidR="00513D16">
        <w:rPr>
          <w:rFonts w:ascii="Arial" w:hAnsi="Arial"/>
          <w:sz w:val="24"/>
          <w:szCs w:val="24"/>
        </w:rPr>
        <w:t xml:space="preserve"> H</w:t>
      </w:r>
      <w:r w:rsidR="00CA28FE" w:rsidRPr="006A2BB3">
        <w:rPr>
          <w:rFonts w:ascii="Arial" w:hAnsi="Arial"/>
          <w:sz w:val="24"/>
          <w:szCs w:val="24"/>
        </w:rPr>
        <w:t>ouse</w:t>
      </w:r>
      <w:r w:rsidRPr="006A2BB3">
        <w:rPr>
          <w:rFonts w:ascii="Arial" w:hAnsi="Arial"/>
          <w:sz w:val="24"/>
          <w:szCs w:val="24"/>
        </w:rPr>
        <w:t>. The respondent, it turned</w:t>
      </w:r>
      <w:r w:rsidR="00CA28FE" w:rsidRPr="006A2BB3">
        <w:rPr>
          <w:rFonts w:ascii="Arial" w:hAnsi="Arial"/>
          <w:sz w:val="24"/>
          <w:szCs w:val="24"/>
        </w:rPr>
        <w:t xml:space="preserve"> out, was a regular client of the </w:t>
      </w:r>
      <w:r w:rsidR="00513D16">
        <w:rPr>
          <w:rFonts w:ascii="Arial" w:hAnsi="Arial"/>
          <w:sz w:val="24"/>
          <w:szCs w:val="24"/>
        </w:rPr>
        <w:t>guest house</w:t>
      </w:r>
      <w:r w:rsidR="00CA28FE" w:rsidRPr="006A2BB3">
        <w:rPr>
          <w:rFonts w:ascii="Arial" w:hAnsi="Arial"/>
          <w:sz w:val="24"/>
          <w:szCs w:val="24"/>
        </w:rPr>
        <w:t xml:space="preserve"> and </w:t>
      </w:r>
      <w:r w:rsidRPr="006A2BB3">
        <w:rPr>
          <w:rFonts w:ascii="Arial" w:hAnsi="Arial"/>
          <w:sz w:val="24"/>
          <w:szCs w:val="24"/>
        </w:rPr>
        <w:t xml:space="preserve">often brought </w:t>
      </w:r>
      <w:r w:rsidR="00443D84" w:rsidRPr="006A2BB3">
        <w:rPr>
          <w:rFonts w:ascii="Arial" w:hAnsi="Arial"/>
          <w:sz w:val="24"/>
          <w:szCs w:val="24"/>
        </w:rPr>
        <w:t xml:space="preserve">clients </w:t>
      </w:r>
      <w:r w:rsidR="00443D84">
        <w:rPr>
          <w:rFonts w:ascii="Arial" w:hAnsi="Arial"/>
          <w:sz w:val="24"/>
          <w:szCs w:val="24"/>
        </w:rPr>
        <w:t>to</w:t>
      </w:r>
      <w:r w:rsidR="00CA28FE" w:rsidRPr="006A2BB3">
        <w:rPr>
          <w:rFonts w:ascii="Arial" w:hAnsi="Arial"/>
          <w:sz w:val="24"/>
          <w:szCs w:val="24"/>
        </w:rPr>
        <w:t xml:space="preserve"> the guest</w:t>
      </w:r>
      <w:r w:rsidR="00513D16">
        <w:rPr>
          <w:rFonts w:ascii="Arial" w:hAnsi="Arial"/>
          <w:sz w:val="24"/>
          <w:szCs w:val="24"/>
        </w:rPr>
        <w:t xml:space="preserve"> </w:t>
      </w:r>
      <w:r w:rsidR="00CA28FE" w:rsidRPr="006A2BB3">
        <w:rPr>
          <w:rFonts w:ascii="Arial" w:hAnsi="Arial"/>
          <w:sz w:val="24"/>
          <w:szCs w:val="24"/>
        </w:rPr>
        <w:t xml:space="preserve">house. </w:t>
      </w:r>
    </w:p>
    <w:p w:rsidR="009E1CFD" w:rsidRPr="006A2BB3" w:rsidRDefault="009E1CFD" w:rsidP="006A2BB3">
      <w:pPr>
        <w:tabs>
          <w:tab w:val="left" w:pos="0"/>
        </w:tabs>
        <w:spacing w:after="0" w:line="480" w:lineRule="auto"/>
        <w:ind w:left="360"/>
        <w:jc w:val="both"/>
        <w:rPr>
          <w:rFonts w:ascii="Arial" w:hAnsi="Arial"/>
          <w:sz w:val="24"/>
          <w:szCs w:val="24"/>
        </w:rPr>
      </w:pPr>
    </w:p>
    <w:p w:rsidR="00CA28FE" w:rsidRPr="006A2BB3" w:rsidRDefault="00406008" w:rsidP="006A2BB3">
      <w:pPr>
        <w:tabs>
          <w:tab w:val="left" w:pos="0"/>
        </w:tabs>
        <w:spacing w:after="0" w:line="480" w:lineRule="auto"/>
        <w:jc w:val="both"/>
        <w:rPr>
          <w:rFonts w:ascii="Arial" w:hAnsi="Arial"/>
          <w:sz w:val="24"/>
          <w:szCs w:val="24"/>
        </w:rPr>
      </w:pPr>
      <w:r w:rsidRPr="006A2BB3">
        <w:rPr>
          <w:rFonts w:ascii="Arial" w:hAnsi="Arial"/>
          <w:sz w:val="24"/>
          <w:szCs w:val="24"/>
        </w:rPr>
        <w:t>[9</w:t>
      </w:r>
      <w:r w:rsidR="00CA28FE" w:rsidRPr="006A2BB3">
        <w:rPr>
          <w:rFonts w:ascii="Arial" w:hAnsi="Arial"/>
          <w:sz w:val="24"/>
          <w:szCs w:val="24"/>
        </w:rPr>
        <w:t>]</w:t>
      </w:r>
      <w:r w:rsidR="0084660D" w:rsidRPr="006A2BB3">
        <w:rPr>
          <w:rFonts w:ascii="Arial" w:hAnsi="Arial"/>
          <w:sz w:val="24"/>
          <w:szCs w:val="24"/>
        </w:rPr>
        <w:tab/>
      </w:r>
      <w:r w:rsidR="00CA28FE" w:rsidRPr="006A2BB3">
        <w:rPr>
          <w:rFonts w:ascii="Arial" w:hAnsi="Arial"/>
          <w:sz w:val="24"/>
          <w:szCs w:val="24"/>
        </w:rPr>
        <w:t xml:space="preserve">An interview by the Anti-Corruption Committee (the ACC) of </w:t>
      </w:r>
      <w:r w:rsidRPr="006A2BB3">
        <w:rPr>
          <w:rFonts w:ascii="Arial" w:hAnsi="Arial"/>
          <w:sz w:val="24"/>
          <w:szCs w:val="24"/>
        </w:rPr>
        <w:t xml:space="preserve">a </w:t>
      </w:r>
      <w:r w:rsidR="00CA28FE" w:rsidRPr="006A2BB3">
        <w:rPr>
          <w:rFonts w:ascii="Arial" w:hAnsi="Arial"/>
          <w:sz w:val="24"/>
          <w:szCs w:val="24"/>
        </w:rPr>
        <w:t xml:space="preserve">Mr Ssendi Joseph (Mr Joseph), who claimed to represent the owner of the guest house, showed that in July 2014, the respondent </w:t>
      </w:r>
      <w:r w:rsidRPr="006A2BB3">
        <w:rPr>
          <w:rFonts w:ascii="Arial" w:hAnsi="Arial"/>
          <w:sz w:val="24"/>
          <w:szCs w:val="24"/>
        </w:rPr>
        <w:t xml:space="preserve">had </w:t>
      </w:r>
      <w:r w:rsidR="00CA28FE" w:rsidRPr="006A2BB3">
        <w:rPr>
          <w:rFonts w:ascii="Arial" w:hAnsi="Arial"/>
          <w:sz w:val="24"/>
          <w:szCs w:val="24"/>
        </w:rPr>
        <w:t>asked for a</w:t>
      </w:r>
      <w:r w:rsidR="00867984" w:rsidRPr="006A2BB3">
        <w:rPr>
          <w:rFonts w:ascii="Arial" w:hAnsi="Arial"/>
          <w:sz w:val="24"/>
          <w:szCs w:val="24"/>
        </w:rPr>
        <w:t xml:space="preserve"> quote for 17 guests</w:t>
      </w:r>
      <w:r w:rsidRPr="006A2BB3">
        <w:rPr>
          <w:rFonts w:ascii="Arial" w:hAnsi="Arial"/>
          <w:sz w:val="24"/>
          <w:szCs w:val="24"/>
        </w:rPr>
        <w:t>’ accommodation over one year</w:t>
      </w:r>
      <w:r w:rsidR="00CA28FE" w:rsidRPr="006A2BB3">
        <w:rPr>
          <w:rFonts w:ascii="Arial" w:hAnsi="Arial"/>
          <w:sz w:val="24"/>
          <w:szCs w:val="24"/>
        </w:rPr>
        <w:t xml:space="preserve">, running from 20 July 2014 to 20 July 2015. </w:t>
      </w:r>
      <w:r w:rsidR="00867984" w:rsidRPr="006A2BB3">
        <w:rPr>
          <w:rFonts w:ascii="Arial" w:hAnsi="Arial"/>
          <w:sz w:val="24"/>
          <w:szCs w:val="24"/>
        </w:rPr>
        <w:t>The quote, a</w:t>
      </w:r>
      <w:r w:rsidR="00ED0372" w:rsidRPr="006A2BB3">
        <w:rPr>
          <w:rFonts w:ascii="Arial" w:hAnsi="Arial"/>
          <w:sz w:val="24"/>
          <w:szCs w:val="24"/>
        </w:rPr>
        <w:t xml:space="preserve">mounting to N$2 653 560, was provided on 4 July 2014. The owner, </w:t>
      </w:r>
      <w:r w:rsidRPr="006A2BB3">
        <w:rPr>
          <w:rFonts w:ascii="Arial" w:hAnsi="Arial"/>
          <w:sz w:val="24"/>
          <w:szCs w:val="24"/>
        </w:rPr>
        <w:t xml:space="preserve">on learning that the 17 guests were NDF </w:t>
      </w:r>
      <w:r w:rsidR="00711C58" w:rsidRPr="006A2BB3">
        <w:rPr>
          <w:rFonts w:ascii="Arial" w:hAnsi="Arial"/>
          <w:sz w:val="24"/>
          <w:szCs w:val="24"/>
        </w:rPr>
        <w:t xml:space="preserve">student </w:t>
      </w:r>
      <w:r w:rsidRPr="006A2BB3">
        <w:rPr>
          <w:rFonts w:ascii="Arial" w:hAnsi="Arial"/>
          <w:sz w:val="24"/>
          <w:szCs w:val="24"/>
        </w:rPr>
        <w:t>soldiers</w:t>
      </w:r>
      <w:r w:rsidR="00ED0372" w:rsidRPr="006A2BB3">
        <w:rPr>
          <w:rFonts w:ascii="Arial" w:hAnsi="Arial"/>
          <w:sz w:val="24"/>
          <w:szCs w:val="24"/>
        </w:rPr>
        <w:t xml:space="preserve">, was not willing to accommodate 17 </w:t>
      </w:r>
      <w:r w:rsidR="00711C58" w:rsidRPr="006A2BB3">
        <w:rPr>
          <w:rFonts w:ascii="Arial" w:hAnsi="Arial"/>
          <w:sz w:val="24"/>
          <w:szCs w:val="24"/>
        </w:rPr>
        <w:t xml:space="preserve">student </w:t>
      </w:r>
      <w:r w:rsidR="00ED0372" w:rsidRPr="006A2BB3">
        <w:rPr>
          <w:rFonts w:ascii="Arial" w:hAnsi="Arial"/>
          <w:sz w:val="24"/>
          <w:szCs w:val="24"/>
        </w:rPr>
        <w:t xml:space="preserve">soldiers for a year without the upfront payment of the total amount quoted. </w:t>
      </w:r>
    </w:p>
    <w:p w:rsidR="009E1CFD" w:rsidRPr="006A2BB3" w:rsidRDefault="009E1CFD" w:rsidP="006A2BB3">
      <w:pPr>
        <w:tabs>
          <w:tab w:val="left" w:pos="0"/>
        </w:tabs>
        <w:spacing w:after="0" w:line="480" w:lineRule="auto"/>
        <w:jc w:val="both"/>
        <w:rPr>
          <w:rFonts w:ascii="Arial" w:hAnsi="Arial"/>
          <w:sz w:val="24"/>
          <w:szCs w:val="24"/>
        </w:rPr>
      </w:pPr>
    </w:p>
    <w:p w:rsidR="00ED0372" w:rsidRPr="006A2BB3" w:rsidRDefault="00406008" w:rsidP="006A2BB3">
      <w:pPr>
        <w:tabs>
          <w:tab w:val="left" w:pos="0"/>
        </w:tabs>
        <w:spacing w:after="0" w:line="480" w:lineRule="auto"/>
        <w:jc w:val="both"/>
        <w:rPr>
          <w:rFonts w:ascii="Arial" w:hAnsi="Arial"/>
          <w:sz w:val="24"/>
          <w:szCs w:val="24"/>
        </w:rPr>
      </w:pPr>
      <w:r w:rsidRPr="006A2BB3">
        <w:rPr>
          <w:rFonts w:ascii="Arial" w:hAnsi="Arial"/>
          <w:sz w:val="24"/>
          <w:szCs w:val="24"/>
        </w:rPr>
        <w:t>[10]</w:t>
      </w:r>
      <w:r w:rsidRPr="006A2BB3">
        <w:rPr>
          <w:rFonts w:ascii="Arial" w:hAnsi="Arial"/>
          <w:sz w:val="24"/>
          <w:szCs w:val="24"/>
        </w:rPr>
        <w:tab/>
      </w:r>
      <w:r w:rsidR="00ED0372" w:rsidRPr="006A2BB3">
        <w:rPr>
          <w:rFonts w:ascii="Arial" w:hAnsi="Arial"/>
          <w:sz w:val="24"/>
          <w:szCs w:val="24"/>
        </w:rPr>
        <w:t xml:space="preserve">On 19 July 2014, the </w:t>
      </w:r>
      <w:r w:rsidR="00443D84" w:rsidRPr="006A2BB3">
        <w:rPr>
          <w:rFonts w:ascii="Arial" w:hAnsi="Arial"/>
          <w:sz w:val="24"/>
          <w:szCs w:val="24"/>
        </w:rPr>
        <w:t>respondent obtained</w:t>
      </w:r>
      <w:r w:rsidR="00ED0372" w:rsidRPr="006A2BB3">
        <w:rPr>
          <w:rFonts w:ascii="Arial" w:hAnsi="Arial"/>
          <w:sz w:val="24"/>
          <w:szCs w:val="24"/>
        </w:rPr>
        <w:t xml:space="preserve"> booked accommodation at the guest</w:t>
      </w:r>
      <w:r w:rsidR="00513D16">
        <w:rPr>
          <w:rFonts w:ascii="Arial" w:hAnsi="Arial"/>
          <w:sz w:val="24"/>
          <w:szCs w:val="24"/>
        </w:rPr>
        <w:t xml:space="preserve"> </w:t>
      </w:r>
      <w:r w:rsidR="00ED0372" w:rsidRPr="006A2BB3">
        <w:rPr>
          <w:rFonts w:ascii="Arial" w:hAnsi="Arial"/>
          <w:sz w:val="24"/>
          <w:szCs w:val="24"/>
        </w:rPr>
        <w:t xml:space="preserve">house for N$450 per room for 15 guests, who he only later revealed to be the same NDF </w:t>
      </w:r>
      <w:r w:rsidR="00D35C77" w:rsidRPr="006A2BB3">
        <w:rPr>
          <w:rFonts w:ascii="Arial" w:hAnsi="Arial"/>
          <w:sz w:val="24"/>
          <w:szCs w:val="24"/>
        </w:rPr>
        <w:t xml:space="preserve">student </w:t>
      </w:r>
      <w:r w:rsidR="00ED0372" w:rsidRPr="006A2BB3">
        <w:rPr>
          <w:rFonts w:ascii="Arial" w:hAnsi="Arial"/>
          <w:sz w:val="24"/>
          <w:szCs w:val="24"/>
        </w:rPr>
        <w:t>soldiers</w:t>
      </w:r>
      <w:r w:rsidR="00004641">
        <w:rPr>
          <w:rFonts w:ascii="Arial" w:hAnsi="Arial"/>
          <w:sz w:val="24"/>
          <w:szCs w:val="24"/>
        </w:rPr>
        <w:t xml:space="preserve"> for </w:t>
      </w:r>
      <w:r w:rsidR="009565DB">
        <w:rPr>
          <w:rFonts w:ascii="Arial" w:hAnsi="Arial"/>
          <w:sz w:val="24"/>
          <w:szCs w:val="24"/>
        </w:rPr>
        <w:t>whom</w:t>
      </w:r>
      <w:r w:rsidR="00ED0372" w:rsidRPr="006A2BB3">
        <w:rPr>
          <w:rFonts w:ascii="Arial" w:hAnsi="Arial"/>
          <w:sz w:val="24"/>
          <w:szCs w:val="24"/>
        </w:rPr>
        <w:t xml:space="preserve"> he had previously negotiated accommodation</w:t>
      </w:r>
      <w:r w:rsidR="00004641">
        <w:rPr>
          <w:rFonts w:ascii="Arial" w:hAnsi="Arial"/>
          <w:sz w:val="24"/>
          <w:szCs w:val="24"/>
        </w:rPr>
        <w:t>.</w:t>
      </w:r>
      <w:r w:rsidR="00ED0372" w:rsidRPr="006A2BB3">
        <w:rPr>
          <w:rFonts w:ascii="Arial" w:hAnsi="Arial"/>
          <w:sz w:val="24"/>
          <w:szCs w:val="24"/>
        </w:rPr>
        <w:t xml:space="preserve">  The respondent indicated that he had nowhere else to accommodate them after he had </w:t>
      </w:r>
      <w:r w:rsidR="00004641">
        <w:rPr>
          <w:rFonts w:ascii="Arial" w:hAnsi="Arial"/>
          <w:sz w:val="24"/>
          <w:szCs w:val="24"/>
        </w:rPr>
        <w:t>'</w:t>
      </w:r>
      <w:r w:rsidR="00ED0372" w:rsidRPr="006A2BB3">
        <w:rPr>
          <w:rFonts w:ascii="Arial" w:hAnsi="Arial"/>
          <w:sz w:val="24"/>
          <w:szCs w:val="24"/>
        </w:rPr>
        <w:t>won</w:t>
      </w:r>
      <w:r w:rsidR="00004641">
        <w:rPr>
          <w:rFonts w:ascii="Arial" w:hAnsi="Arial"/>
          <w:sz w:val="24"/>
          <w:szCs w:val="24"/>
        </w:rPr>
        <w:t>'</w:t>
      </w:r>
      <w:r w:rsidR="00ED0372" w:rsidRPr="006A2BB3">
        <w:rPr>
          <w:rFonts w:ascii="Arial" w:hAnsi="Arial"/>
          <w:sz w:val="24"/>
          <w:szCs w:val="24"/>
        </w:rPr>
        <w:t xml:space="preserve"> the tender from the NDF. On 20 July 2014, the </w:t>
      </w:r>
      <w:r w:rsidRPr="006A2BB3">
        <w:rPr>
          <w:rFonts w:ascii="Arial" w:hAnsi="Arial"/>
          <w:sz w:val="24"/>
          <w:szCs w:val="24"/>
        </w:rPr>
        <w:t xml:space="preserve">booking having been accepted, 16 NDF </w:t>
      </w:r>
      <w:r w:rsidR="00711C58" w:rsidRPr="006A2BB3">
        <w:rPr>
          <w:rFonts w:ascii="Arial" w:hAnsi="Arial"/>
          <w:sz w:val="24"/>
          <w:szCs w:val="24"/>
        </w:rPr>
        <w:t xml:space="preserve">student </w:t>
      </w:r>
      <w:r w:rsidRPr="006A2BB3">
        <w:rPr>
          <w:rFonts w:ascii="Arial" w:hAnsi="Arial"/>
          <w:sz w:val="24"/>
          <w:szCs w:val="24"/>
        </w:rPr>
        <w:t>soldiers were accommodated at the guest house. The respondent</w:t>
      </w:r>
      <w:r w:rsidR="00ED0372" w:rsidRPr="006A2BB3">
        <w:rPr>
          <w:rFonts w:ascii="Arial" w:hAnsi="Arial"/>
          <w:sz w:val="24"/>
          <w:szCs w:val="24"/>
        </w:rPr>
        <w:t xml:space="preserve"> paid N$84 000, bought 4 beds and a geyser, paid for water and</w:t>
      </w:r>
      <w:r w:rsidR="003A602F" w:rsidRPr="006A2BB3">
        <w:rPr>
          <w:rFonts w:ascii="Arial" w:hAnsi="Arial"/>
          <w:sz w:val="24"/>
          <w:szCs w:val="24"/>
        </w:rPr>
        <w:t xml:space="preserve"> some plumbing work done</w:t>
      </w:r>
      <w:r w:rsidR="00ED0372" w:rsidRPr="006A2BB3">
        <w:rPr>
          <w:rFonts w:ascii="Arial" w:hAnsi="Arial"/>
          <w:sz w:val="24"/>
          <w:szCs w:val="24"/>
        </w:rPr>
        <w:t>. He was then left with an outstanding amount of N$184 400.</w:t>
      </w:r>
    </w:p>
    <w:p w:rsidR="009E1CFD" w:rsidRPr="006A2BB3" w:rsidRDefault="009E1CFD" w:rsidP="006A2BB3">
      <w:pPr>
        <w:tabs>
          <w:tab w:val="left" w:pos="0"/>
        </w:tabs>
        <w:spacing w:after="0" w:line="480" w:lineRule="auto"/>
        <w:ind w:left="360"/>
        <w:jc w:val="both"/>
        <w:rPr>
          <w:rFonts w:ascii="Arial" w:hAnsi="Arial"/>
          <w:sz w:val="24"/>
          <w:szCs w:val="24"/>
        </w:rPr>
      </w:pPr>
    </w:p>
    <w:p w:rsidR="00ED0372" w:rsidRPr="006A2BB3" w:rsidRDefault="00BA44F0" w:rsidP="006A2BB3">
      <w:pPr>
        <w:tabs>
          <w:tab w:val="left" w:pos="0"/>
        </w:tabs>
        <w:spacing w:after="0" w:line="480" w:lineRule="auto"/>
        <w:jc w:val="both"/>
        <w:rPr>
          <w:rFonts w:ascii="Arial" w:hAnsi="Arial"/>
          <w:sz w:val="24"/>
          <w:szCs w:val="24"/>
        </w:rPr>
      </w:pPr>
      <w:r w:rsidRPr="006A2BB3">
        <w:rPr>
          <w:rFonts w:ascii="Arial" w:hAnsi="Arial"/>
          <w:sz w:val="24"/>
          <w:szCs w:val="24"/>
        </w:rPr>
        <w:t>[11</w:t>
      </w:r>
      <w:r w:rsidR="00ED0372" w:rsidRPr="006A2BB3">
        <w:rPr>
          <w:rFonts w:ascii="Arial" w:hAnsi="Arial"/>
          <w:sz w:val="24"/>
          <w:szCs w:val="24"/>
        </w:rPr>
        <w:t>]</w:t>
      </w:r>
      <w:r w:rsidR="00ED0372" w:rsidRPr="006A2BB3">
        <w:rPr>
          <w:rFonts w:ascii="Arial" w:hAnsi="Arial"/>
          <w:sz w:val="24"/>
          <w:szCs w:val="24"/>
        </w:rPr>
        <w:tab/>
        <w:t xml:space="preserve">In view of the NDF’s refusal to make any further payments to the respondent, </w:t>
      </w:r>
      <w:r w:rsidR="00D35C77" w:rsidRPr="006A2BB3">
        <w:rPr>
          <w:rFonts w:ascii="Arial" w:hAnsi="Arial"/>
          <w:sz w:val="24"/>
          <w:szCs w:val="24"/>
        </w:rPr>
        <w:t xml:space="preserve">he </w:t>
      </w:r>
      <w:r w:rsidR="00ED0372" w:rsidRPr="006A2BB3">
        <w:rPr>
          <w:rFonts w:ascii="Arial" w:hAnsi="Arial"/>
          <w:sz w:val="24"/>
          <w:szCs w:val="24"/>
        </w:rPr>
        <w:t xml:space="preserve">did not make any further payments to the </w:t>
      </w:r>
      <w:r w:rsidR="00513D16">
        <w:rPr>
          <w:rFonts w:ascii="Arial" w:hAnsi="Arial"/>
          <w:sz w:val="24"/>
          <w:szCs w:val="24"/>
        </w:rPr>
        <w:t>guest house</w:t>
      </w:r>
      <w:r w:rsidR="00ED0372" w:rsidRPr="006A2BB3">
        <w:rPr>
          <w:rFonts w:ascii="Arial" w:hAnsi="Arial"/>
          <w:sz w:val="24"/>
          <w:szCs w:val="24"/>
        </w:rPr>
        <w:t xml:space="preserve">. </w:t>
      </w:r>
    </w:p>
    <w:p w:rsidR="009E1CFD" w:rsidRPr="006A2BB3" w:rsidRDefault="009E1CFD" w:rsidP="006A2BB3">
      <w:pPr>
        <w:tabs>
          <w:tab w:val="left" w:pos="0"/>
        </w:tabs>
        <w:spacing w:after="0" w:line="480" w:lineRule="auto"/>
        <w:jc w:val="both"/>
        <w:rPr>
          <w:rFonts w:ascii="Arial" w:hAnsi="Arial"/>
          <w:sz w:val="24"/>
          <w:szCs w:val="24"/>
        </w:rPr>
      </w:pPr>
    </w:p>
    <w:p w:rsidR="00AD1FF9" w:rsidRPr="006A2BB3" w:rsidRDefault="004D3F6A" w:rsidP="006A2BB3">
      <w:pPr>
        <w:tabs>
          <w:tab w:val="left" w:pos="0"/>
        </w:tabs>
        <w:spacing w:after="0" w:line="480" w:lineRule="auto"/>
        <w:jc w:val="both"/>
        <w:rPr>
          <w:rFonts w:ascii="Arial" w:hAnsi="Arial"/>
          <w:sz w:val="24"/>
          <w:szCs w:val="24"/>
        </w:rPr>
      </w:pPr>
      <w:r w:rsidRPr="006A2BB3">
        <w:rPr>
          <w:rFonts w:ascii="Arial" w:hAnsi="Arial"/>
          <w:sz w:val="24"/>
          <w:szCs w:val="24"/>
        </w:rPr>
        <w:t>[12</w:t>
      </w:r>
      <w:r w:rsidR="00ED0372" w:rsidRPr="006A2BB3">
        <w:rPr>
          <w:rFonts w:ascii="Arial" w:hAnsi="Arial"/>
          <w:sz w:val="24"/>
          <w:szCs w:val="24"/>
        </w:rPr>
        <w:t>]</w:t>
      </w:r>
      <w:r w:rsidR="00ED0372" w:rsidRPr="006A2BB3">
        <w:rPr>
          <w:rFonts w:ascii="Arial" w:hAnsi="Arial"/>
          <w:sz w:val="24"/>
          <w:szCs w:val="24"/>
        </w:rPr>
        <w:tab/>
        <w:t xml:space="preserve">Investigations conducted by the ACC established that the respondent opened the Standard Bank account for the CC in March 2014. </w:t>
      </w:r>
      <w:r w:rsidR="0004013E" w:rsidRPr="006A2BB3">
        <w:rPr>
          <w:rFonts w:ascii="Arial" w:hAnsi="Arial"/>
          <w:sz w:val="24"/>
          <w:szCs w:val="24"/>
        </w:rPr>
        <w:t>The documents he had submitted t</w:t>
      </w:r>
      <w:r w:rsidR="001F7A1E" w:rsidRPr="006A2BB3">
        <w:rPr>
          <w:rFonts w:ascii="Arial" w:hAnsi="Arial"/>
          <w:sz w:val="24"/>
          <w:szCs w:val="24"/>
        </w:rPr>
        <w:t>o Standard Bank, the Ministry of Trade and Industry and the NDF at the time falsely stated that he was the sole member of the CC. At that time, the sole member of the CC</w:t>
      </w:r>
      <w:r w:rsidRPr="006A2BB3">
        <w:rPr>
          <w:rFonts w:ascii="Arial" w:hAnsi="Arial"/>
          <w:sz w:val="24"/>
          <w:szCs w:val="24"/>
        </w:rPr>
        <w:t>, as already mentioned</w:t>
      </w:r>
      <w:r w:rsidR="00004641">
        <w:rPr>
          <w:rFonts w:ascii="Arial" w:hAnsi="Arial"/>
          <w:sz w:val="24"/>
          <w:szCs w:val="24"/>
        </w:rPr>
        <w:t>,</w:t>
      </w:r>
      <w:r w:rsidR="001F7A1E" w:rsidRPr="006A2BB3">
        <w:rPr>
          <w:rFonts w:ascii="Arial" w:hAnsi="Arial"/>
          <w:sz w:val="24"/>
          <w:szCs w:val="24"/>
        </w:rPr>
        <w:t xml:space="preserve"> was the respondent</w:t>
      </w:r>
      <w:r w:rsidR="00D35C77" w:rsidRPr="006A2BB3">
        <w:rPr>
          <w:rFonts w:ascii="Arial" w:hAnsi="Arial"/>
          <w:sz w:val="24"/>
          <w:szCs w:val="24"/>
        </w:rPr>
        <w:t>’</w:t>
      </w:r>
      <w:r w:rsidR="001F7A1E" w:rsidRPr="006A2BB3">
        <w:rPr>
          <w:rFonts w:ascii="Arial" w:hAnsi="Arial"/>
          <w:sz w:val="24"/>
          <w:szCs w:val="24"/>
        </w:rPr>
        <w:t xml:space="preserve">s mother, </w:t>
      </w:r>
      <w:r w:rsidR="0084660D" w:rsidRPr="006A2BB3">
        <w:rPr>
          <w:rFonts w:ascii="Arial" w:hAnsi="Arial"/>
          <w:sz w:val="24"/>
          <w:szCs w:val="24"/>
        </w:rPr>
        <w:t xml:space="preserve">Mrs </w:t>
      </w:r>
      <w:r w:rsidR="0074328D">
        <w:rPr>
          <w:rFonts w:ascii="Arial" w:hAnsi="Arial"/>
          <w:sz w:val="24"/>
          <w:szCs w:val="24"/>
        </w:rPr>
        <w:t>Eunike</w:t>
      </w:r>
      <w:r w:rsidR="00D35C77" w:rsidRPr="006A2BB3">
        <w:rPr>
          <w:rFonts w:ascii="Arial" w:hAnsi="Arial"/>
          <w:sz w:val="24"/>
          <w:szCs w:val="24"/>
        </w:rPr>
        <w:t xml:space="preserve"> Ham</w:t>
      </w:r>
      <w:r w:rsidRPr="006A2BB3">
        <w:rPr>
          <w:rFonts w:ascii="Arial" w:hAnsi="Arial"/>
          <w:sz w:val="24"/>
          <w:szCs w:val="24"/>
        </w:rPr>
        <w:t>utenya</w:t>
      </w:r>
      <w:r w:rsidR="001F7A1E" w:rsidRPr="006A2BB3">
        <w:rPr>
          <w:rFonts w:ascii="Arial" w:hAnsi="Arial"/>
          <w:sz w:val="24"/>
          <w:szCs w:val="24"/>
        </w:rPr>
        <w:t xml:space="preserve">, who confirmed that she </w:t>
      </w:r>
      <w:r w:rsidR="00D24E82" w:rsidRPr="006A2BB3">
        <w:rPr>
          <w:rFonts w:ascii="Arial" w:hAnsi="Arial"/>
          <w:sz w:val="24"/>
          <w:szCs w:val="24"/>
        </w:rPr>
        <w:t xml:space="preserve">had given </w:t>
      </w:r>
      <w:r w:rsidR="001F7A1E" w:rsidRPr="006A2BB3">
        <w:rPr>
          <w:rFonts w:ascii="Arial" w:hAnsi="Arial"/>
          <w:sz w:val="24"/>
          <w:szCs w:val="24"/>
        </w:rPr>
        <w:t>the respondent authority to alter the CC registration from her name into the name of the respondent. Respondent</w:t>
      </w:r>
      <w:r w:rsidR="00D24E82" w:rsidRPr="006A2BB3">
        <w:rPr>
          <w:rFonts w:ascii="Arial" w:hAnsi="Arial"/>
          <w:sz w:val="24"/>
          <w:szCs w:val="24"/>
        </w:rPr>
        <w:t>, nevertheless,</w:t>
      </w:r>
      <w:r w:rsidR="001F7A1E" w:rsidRPr="006A2BB3">
        <w:rPr>
          <w:rFonts w:ascii="Arial" w:hAnsi="Arial"/>
          <w:sz w:val="24"/>
          <w:szCs w:val="24"/>
        </w:rPr>
        <w:t xml:space="preserve"> thus became </w:t>
      </w:r>
      <w:r w:rsidR="00D24E82" w:rsidRPr="006A2BB3">
        <w:rPr>
          <w:rFonts w:ascii="Arial" w:hAnsi="Arial"/>
          <w:sz w:val="24"/>
          <w:szCs w:val="24"/>
        </w:rPr>
        <w:t xml:space="preserve">a </w:t>
      </w:r>
      <w:r w:rsidR="001F7A1E" w:rsidRPr="006A2BB3">
        <w:rPr>
          <w:rFonts w:ascii="Arial" w:hAnsi="Arial"/>
          <w:sz w:val="24"/>
          <w:szCs w:val="24"/>
        </w:rPr>
        <w:t>sole member of the CC only on 9 September 2014.</w:t>
      </w:r>
    </w:p>
    <w:p w:rsidR="009E1CFD" w:rsidRPr="006A2BB3" w:rsidRDefault="009E1CFD" w:rsidP="006A2BB3">
      <w:pPr>
        <w:tabs>
          <w:tab w:val="left" w:pos="0"/>
        </w:tabs>
        <w:spacing w:after="0" w:line="480" w:lineRule="auto"/>
        <w:jc w:val="both"/>
        <w:rPr>
          <w:rFonts w:ascii="Arial" w:hAnsi="Arial"/>
          <w:sz w:val="24"/>
          <w:szCs w:val="24"/>
        </w:rPr>
      </w:pPr>
    </w:p>
    <w:p w:rsidR="001F7A1E" w:rsidRPr="006A2BB3" w:rsidRDefault="00D24E82" w:rsidP="006A2BB3">
      <w:pPr>
        <w:tabs>
          <w:tab w:val="left" w:pos="0"/>
        </w:tabs>
        <w:spacing w:after="0" w:line="480" w:lineRule="auto"/>
        <w:jc w:val="both"/>
        <w:rPr>
          <w:rFonts w:ascii="Arial" w:hAnsi="Arial"/>
          <w:sz w:val="24"/>
          <w:szCs w:val="24"/>
        </w:rPr>
      </w:pPr>
      <w:r w:rsidRPr="006A2BB3">
        <w:rPr>
          <w:rFonts w:ascii="Arial" w:hAnsi="Arial"/>
          <w:sz w:val="24"/>
          <w:szCs w:val="24"/>
        </w:rPr>
        <w:t>[13</w:t>
      </w:r>
      <w:r w:rsidR="001F7A1E" w:rsidRPr="006A2BB3">
        <w:rPr>
          <w:rFonts w:ascii="Arial" w:hAnsi="Arial"/>
          <w:sz w:val="24"/>
          <w:szCs w:val="24"/>
        </w:rPr>
        <w:t>]</w:t>
      </w:r>
      <w:r w:rsidR="001F7A1E" w:rsidRPr="006A2BB3">
        <w:rPr>
          <w:rFonts w:ascii="Arial" w:hAnsi="Arial"/>
          <w:sz w:val="24"/>
          <w:szCs w:val="24"/>
        </w:rPr>
        <w:tab/>
        <w:t>Regarding the invoices the respondent submitted to the NDF, a number</w:t>
      </w:r>
      <w:r w:rsidRPr="006A2BB3">
        <w:rPr>
          <w:rFonts w:ascii="Arial" w:hAnsi="Arial"/>
          <w:sz w:val="24"/>
          <w:szCs w:val="24"/>
        </w:rPr>
        <w:t xml:space="preserve"> of discrepancies had emerged: t</w:t>
      </w:r>
      <w:r w:rsidR="001F7A1E" w:rsidRPr="006A2BB3">
        <w:rPr>
          <w:rFonts w:ascii="Arial" w:hAnsi="Arial"/>
          <w:sz w:val="24"/>
          <w:szCs w:val="24"/>
        </w:rPr>
        <w:t xml:space="preserve">he address </w:t>
      </w:r>
      <w:r w:rsidRPr="006A2BB3">
        <w:rPr>
          <w:rFonts w:ascii="Arial" w:hAnsi="Arial"/>
          <w:sz w:val="24"/>
          <w:szCs w:val="24"/>
        </w:rPr>
        <w:t xml:space="preserve">of </w:t>
      </w:r>
      <w:r w:rsidR="001F7A1E" w:rsidRPr="006A2BB3">
        <w:rPr>
          <w:rFonts w:ascii="Arial" w:hAnsi="Arial"/>
          <w:sz w:val="24"/>
          <w:szCs w:val="24"/>
        </w:rPr>
        <w:t>the CC provid</w:t>
      </w:r>
      <w:r w:rsidRPr="006A2BB3">
        <w:rPr>
          <w:rFonts w:ascii="Arial" w:hAnsi="Arial"/>
          <w:sz w:val="24"/>
          <w:szCs w:val="24"/>
        </w:rPr>
        <w:t xml:space="preserve">ed to the NDF was that of the </w:t>
      </w:r>
      <w:r w:rsidR="00513D16">
        <w:rPr>
          <w:rFonts w:ascii="Arial" w:hAnsi="Arial"/>
          <w:sz w:val="24"/>
          <w:szCs w:val="24"/>
        </w:rPr>
        <w:t>guest house</w:t>
      </w:r>
      <w:r w:rsidR="001F7A1E" w:rsidRPr="006A2BB3">
        <w:rPr>
          <w:rFonts w:ascii="Arial" w:hAnsi="Arial"/>
          <w:sz w:val="24"/>
          <w:szCs w:val="24"/>
        </w:rPr>
        <w:t xml:space="preserve">, the VAT registration numbers for invoices AGHO35-01 for N$943 </w:t>
      </w:r>
      <w:r w:rsidR="004D36C3" w:rsidRPr="006A2BB3">
        <w:rPr>
          <w:rFonts w:ascii="Arial" w:hAnsi="Arial"/>
          <w:sz w:val="24"/>
          <w:szCs w:val="24"/>
        </w:rPr>
        <w:t xml:space="preserve">488 and AGH035-2 for N$117 </w:t>
      </w:r>
      <w:r w:rsidR="001F7A1E" w:rsidRPr="006A2BB3">
        <w:rPr>
          <w:rFonts w:ascii="Arial" w:hAnsi="Arial"/>
          <w:sz w:val="24"/>
          <w:szCs w:val="24"/>
        </w:rPr>
        <w:t>636 both dat</w:t>
      </w:r>
      <w:r w:rsidR="001451EA" w:rsidRPr="006A2BB3">
        <w:rPr>
          <w:rFonts w:ascii="Arial" w:hAnsi="Arial"/>
          <w:sz w:val="24"/>
          <w:szCs w:val="24"/>
        </w:rPr>
        <w:t>ed 8 July 2014 had</w:t>
      </w:r>
      <w:r w:rsidR="001F7A1E" w:rsidRPr="006A2BB3">
        <w:rPr>
          <w:rFonts w:ascii="Arial" w:hAnsi="Arial"/>
          <w:sz w:val="24"/>
          <w:szCs w:val="24"/>
        </w:rPr>
        <w:t xml:space="preserve"> the same VAT registration </w:t>
      </w:r>
      <w:r w:rsidRPr="006A2BB3">
        <w:rPr>
          <w:rFonts w:ascii="Arial" w:hAnsi="Arial"/>
          <w:sz w:val="24"/>
          <w:szCs w:val="24"/>
        </w:rPr>
        <w:t xml:space="preserve">number </w:t>
      </w:r>
      <w:r w:rsidR="001F7A1E" w:rsidRPr="006A2BB3">
        <w:rPr>
          <w:rFonts w:ascii="Arial" w:hAnsi="Arial"/>
          <w:sz w:val="24"/>
          <w:szCs w:val="24"/>
        </w:rPr>
        <w:t>as the invoice AGH035 pro</w:t>
      </w:r>
      <w:r w:rsidR="0084660D" w:rsidRPr="006A2BB3">
        <w:rPr>
          <w:rFonts w:ascii="Arial" w:hAnsi="Arial"/>
          <w:sz w:val="24"/>
          <w:szCs w:val="24"/>
        </w:rPr>
        <w:t xml:space="preserve">vided to the NDF by Ace’s </w:t>
      </w:r>
      <w:r w:rsidR="00513D16">
        <w:rPr>
          <w:rFonts w:ascii="Arial" w:hAnsi="Arial"/>
          <w:sz w:val="24"/>
          <w:szCs w:val="24"/>
        </w:rPr>
        <w:t>Guest house</w:t>
      </w:r>
      <w:r w:rsidR="001F7A1E" w:rsidRPr="006A2BB3">
        <w:rPr>
          <w:rFonts w:ascii="Arial" w:hAnsi="Arial"/>
          <w:sz w:val="24"/>
          <w:szCs w:val="24"/>
        </w:rPr>
        <w:t xml:space="preserve">. Further, the invoices submitted by the respondent on 18 September </w:t>
      </w:r>
      <w:r w:rsidR="00DC6E03">
        <w:rPr>
          <w:rFonts w:ascii="Arial" w:hAnsi="Arial"/>
          <w:sz w:val="24"/>
          <w:szCs w:val="24"/>
        </w:rPr>
        <w:t xml:space="preserve">2014 </w:t>
      </w:r>
      <w:r w:rsidR="001F7A1E" w:rsidRPr="006A2BB3">
        <w:rPr>
          <w:rFonts w:ascii="Arial" w:hAnsi="Arial"/>
          <w:sz w:val="24"/>
          <w:szCs w:val="24"/>
        </w:rPr>
        <w:t xml:space="preserve">after he had altered the CC with his own name had VAT registration number 6303847015 which was different from the first set of </w:t>
      </w:r>
      <w:r w:rsidRPr="006A2BB3">
        <w:rPr>
          <w:rFonts w:ascii="Arial" w:hAnsi="Arial"/>
          <w:sz w:val="24"/>
          <w:szCs w:val="24"/>
        </w:rPr>
        <w:t xml:space="preserve">VAT registration </w:t>
      </w:r>
      <w:r w:rsidR="001F7A1E" w:rsidRPr="006A2BB3">
        <w:rPr>
          <w:rFonts w:ascii="Arial" w:hAnsi="Arial"/>
          <w:sz w:val="24"/>
          <w:szCs w:val="24"/>
        </w:rPr>
        <w:t>numbers and so too were the post box address</w:t>
      </w:r>
      <w:r w:rsidRPr="006A2BB3">
        <w:rPr>
          <w:rFonts w:ascii="Arial" w:hAnsi="Arial"/>
          <w:sz w:val="24"/>
          <w:szCs w:val="24"/>
        </w:rPr>
        <w:t>es</w:t>
      </w:r>
      <w:r w:rsidR="001F7A1E" w:rsidRPr="006A2BB3">
        <w:rPr>
          <w:rFonts w:ascii="Arial" w:hAnsi="Arial"/>
          <w:sz w:val="24"/>
          <w:szCs w:val="24"/>
        </w:rPr>
        <w:t xml:space="preserve"> he provided before and after the registration changes. </w:t>
      </w:r>
    </w:p>
    <w:p w:rsidR="009E1CFD" w:rsidRPr="006A2BB3" w:rsidRDefault="009E1CFD" w:rsidP="006A2BB3">
      <w:pPr>
        <w:tabs>
          <w:tab w:val="left" w:pos="0"/>
        </w:tabs>
        <w:spacing w:after="0" w:line="480" w:lineRule="auto"/>
        <w:jc w:val="both"/>
        <w:rPr>
          <w:rFonts w:ascii="Arial" w:hAnsi="Arial"/>
          <w:sz w:val="24"/>
          <w:szCs w:val="24"/>
        </w:rPr>
      </w:pPr>
    </w:p>
    <w:p w:rsidR="001F7A1E" w:rsidRPr="006A2BB3" w:rsidRDefault="00D24E82" w:rsidP="006A2BB3">
      <w:pPr>
        <w:tabs>
          <w:tab w:val="left" w:pos="0"/>
        </w:tabs>
        <w:spacing w:after="0" w:line="480" w:lineRule="auto"/>
        <w:jc w:val="both"/>
        <w:rPr>
          <w:rFonts w:ascii="Arial" w:hAnsi="Arial"/>
          <w:sz w:val="24"/>
          <w:szCs w:val="24"/>
        </w:rPr>
      </w:pPr>
      <w:r w:rsidRPr="006A2BB3">
        <w:rPr>
          <w:rFonts w:ascii="Arial" w:hAnsi="Arial"/>
          <w:sz w:val="24"/>
          <w:szCs w:val="24"/>
        </w:rPr>
        <w:t>[14</w:t>
      </w:r>
      <w:r w:rsidR="001F7A1E" w:rsidRPr="006A2BB3">
        <w:rPr>
          <w:rFonts w:ascii="Arial" w:hAnsi="Arial"/>
          <w:sz w:val="24"/>
          <w:szCs w:val="24"/>
        </w:rPr>
        <w:t>]</w:t>
      </w:r>
      <w:r w:rsidR="001F7A1E" w:rsidRPr="006A2BB3">
        <w:rPr>
          <w:rFonts w:ascii="Arial" w:hAnsi="Arial"/>
          <w:sz w:val="24"/>
          <w:szCs w:val="24"/>
        </w:rPr>
        <w:tab/>
        <w:t>As for the Standard Bank and F</w:t>
      </w:r>
      <w:r w:rsidR="00BE2641" w:rsidRPr="006A2BB3">
        <w:rPr>
          <w:rFonts w:ascii="Arial" w:hAnsi="Arial"/>
          <w:sz w:val="24"/>
          <w:szCs w:val="24"/>
        </w:rPr>
        <w:t xml:space="preserve">irst </w:t>
      </w:r>
      <w:r w:rsidR="001F7A1E" w:rsidRPr="006A2BB3">
        <w:rPr>
          <w:rFonts w:ascii="Arial" w:hAnsi="Arial"/>
          <w:sz w:val="24"/>
          <w:szCs w:val="24"/>
        </w:rPr>
        <w:t>N</w:t>
      </w:r>
      <w:r w:rsidR="00BE2641" w:rsidRPr="006A2BB3">
        <w:rPr>
          <w:rFonts w:ascii="Arial" w:hAnsi="Arial"/>
          <w:sz w:val="24"/>
          <w:szCs w:val="24"/>
        </w:rPr>
        <w:t xml:space="preserve">ational </w:t>
      </w:r>
      <w:r w:rsidR="001F7A1E" w:rsidRPr="006A2BB3">
        <w:rPr>
          <w:rFonts w:ascii="Arial" w:hAnsi="Arial"/>
          <w:sz w:val="24"/>
          <w:szCs w:val="24"/>
        </w:rPr>
        <w:t>B</w:t>
      </w:r>
      <w:r w:rsidR="00BE2641" w:rsidRPr="006A2BB3">
        <w:rPr>
          <w:rFonts w:ascii="Arial" w:hAnsi="Arial"/>
          <w:sz w:val="24"/>
          <w:szCs w:val="24"/>
        </w:rPr>
        <w:t>ank</w:t>
      </w:r>
      <w:r w:rsidR="001F7A1E" w:rsidRPr="006A2BB3">
        <w:rPr>
          <w:rFonts w:ascii="Arial" w:hAnsi="Arial"/>
          <w:sz w:val="24"/>
          <w:szCs w:val="24"/>
        </w:rPr>
        <w:t xml:space="preserve"> accounts, information analysed by the ACC showed that the amount of N$1 061 124 was </w:t>
      </w:r>
      <w:r w:rsidRPr="006A2BB3">
        <w:rPr>
          <w:rFonts w:ascii="Arial" w:hAnsi="Arial"/>
          <w:sz w:val="24"/>
          <w:szCs w:val="24"/>
        </w:rPr>
        <w:t xml:space="preserve">then </w:t>
      </w:r>
      <w:r w:rsidR="001F7A1E" w:rsidRPr="006A2BB3">
        <w:rPr>
          <w:rFonts w:ascii="Arial" w:hAnsi="Arial"/>
          <w:sz w:val="24"/>
          <w:szCs w:val="24"/>
        </w:rPr>
        <w:t>deposited by the NDF on 18 September 2014</w:t>
      </w:r>
      <w:r w:rsidR="00360958" w:rsidRPr="006A2BB3">
        <w:rPr>
          <w:rFonts w:ascii="Arial" w:hAnsi="Arial"/>
          <w:sz w:val="24"/>
          <w:szCs w:val="24"/>
        </w:rPr>
        <w:t>. The positive balance on 10 September 2014 was N$34</w:t>
      </w:r>
      <w:r w:rsidR="00004641">
        <w:rPr>
          <w:rFonts w:ascii="Arial" w:hAnsi="Arial"/>
          <w:sz w:val="24"/>
          <w:szCs w:val="24"/>
        </w:rPr>
        <w:t>,</w:t>
      </w:r>
      <w:r w:rsidR="00360958" w:rsidRPr="006A2BB3">
        <w:rPr>
          <w:rFonts w:ascii="Arial" w:hAnsi="Arial"/>
          <w:sz w:val="24"/>
          <w:szCs w:val="24"/>
        </w:rPr>
        <w:t>15. An amount of N$800 000 referenced</w:t>
      </w:r>
      <w:r w:rsidRPr="006A2BB3">
        <w:rPr>
          <w:rFonts w:ascii="Arial" w:hAnsi="Arial"/>
          <w:sz w:val="24"/>
          <w:szCs w:val="24"/>
        </w:rPr>
        <w:t xml:space="preserve"> simply</w:t>
      </w:r>
      <w:r w:rsidR="00360958" w:rsidRPr="006A2BB3">
        <w:rPr>
          <w:rFonts w:ascii="Arial" w:hAnsi="Arial"/>
          <w:sz w:val="24"/>
          <w:szCs w:val="24"/>
        </w:rPr>
        <w:t xml:space="preserve"> as </w:t>
      </w:r>
      <w:r w:rsidR="00004641">
        <w:rPr>
          <w:rFonts w:ascii="Arial" w:hAnsi="Arial"/>
          <w:sz w:val="24"/>
          <w:szCs w:val="24"/>
        </w:rPr>
        <w:t>'</w:t>
      </w:r>
      <w:r w:rsidR="00360958" w:rsidRPr="006A2BB3">
        <w:rPr>
          <w:rFonts w:ascii="Arial" w:hAnsi="Arial"/>
          <w:sz w:val="24"/>
          <w:szCs w:val="24"/>
        </w:rPr>
        <w:t>salary</w:t>
      </w:r>
      <w:r w:rsidR="00004641">
        <w:rPr>
          <w:rFonts w:ascii="Arial" w:hAnsi="Arial"/>
          <w:sz w:val="24"/>
          <w:szCs w:val="24"/>
        </w:rPr>
        <w:t>'</w:t>
      </w:r>
      <w:r w:rsidR="00360958" w:rsidRPr="006A2BB3">
        <w:rPr>
          <w:rFonts w:ascii="Arial" w:hAnsi="Arial"/>
          <w:sz w:val="24"/>
          <w:szCs w:val="24"/>
        </w:rPr>
        <w:t xml:space="preserve"> was transferred from this account to an FNB account held in the name of the respondent’s minor son and referenced </w:t>
      </w:r>
      <w:r w:rsidRPr="006A2BB3">
        <w:rPr>
          <w:rFonts w:ascii="Arial" w:hAnsi="Arial"/>
          <w:sz w:val="24"/>
          <w:szCs w:val="24"/>
        </w:rPr>
        <w:t xml:space="preserve">in that account </w:t>
      </w:r>
      <w:r w:rsidR="00360958" w:rsidRPr="006A2BB3">
        <w:rPr>
          <w:rFonts w:ascii="Arial" w:hAnsi="Arial"/>
          <w:sz w:val="24"/>
          <w:szCs w:val="24"/>
        </w:rPr>
        <w:t xml:space="preserve">as </w:t>
      </w:r>
      <w:r w:rsidR="00004641">
        <w:rPr>
          <w:rFonts w:ascii="Arial" w:hAnsi="Arial"/>
          <w:sz w:val="24"/>
          <w:szCs w:val="24"/>
        </w:rPr>
        <w:t>'</w:t>
      </w:r>
      <w:r w:rsidR="00360958" w:rsidRPr="006A2BB3">
        <w:rPr>
          <w:rFonts w:ascii="Arial" w:hAnsi="Arial"/>
          <w:sz w:val="24"/>
          <w:szCs w:val="24"/>
        </w:rPr>
        <w:t>school benefit</w:t>
      </w:r>
      <w:r w:rsidR="00004641">
        <w:rPr>
          <w:rFonts w:ascii="Arial" w:hAnsi="Arial"/>
          <w:sz w:val="24"/>
          <w:szCs w:val="24"/>
        </w:rPr>
        <w:t>'</w:t>
      </w:r>
      <w:r w:rsidR="00360958" w:rsidRPr="006A2BB3">
        <w:rPr>
          <w:rFonts w:ascii="Arial" w:hAnsi="Arial"/>
          <w:sz w:val="24"/>
          <w:szCs w:val="24"/>
        </w:rPr>
        <w:t xml:space="preserve">. Prior to this deposit, the balance in the </w:t>
      </w:r>
      <w:r w:rsidRPr="006A2BB3">
        <w:rPr>
          <w:rFonts w:ascii="Arial" w:hAnsi="Arial"/>
          <w:sz w:val="24"/>
          <w:szCs w:val="24"/>
        </w:rPr>
        <w:t>son’s FNB account</w:t>
      </w:r>
      <w:r w:rsidR="00360958" w:rsidRPr="006A2BB3">
        <w:rPr>
          <w:rFonts w:ascii="Arial" w:hAnsi="Arial"/>
          <w:sz w:val="24"/>
          <w:szCs w:val="24"/>
        </w:rPr>
        <w:t xml:space="preserve"> had been N$458</w:t>
      </w:r>
      <w:r w:rsidR="00004641">
        <w:rPr>
          <w:rFonts w:ascii="Arial" w:hAnsi="Arial"/>
          <w:sz w:val="24"/>
          <w:szCs w:val="24"/>
        </w:rPr>
        <w:t>,</w:t>
      </w:r>
      <w:r w:rsidR="00D35C77" w:rsidRPr="006A2BB3">
        <w:rPr>
          <w:rFonts w:ascii="Arial" w:hAnsi="Arial"/>
          <w:sz w:val="24"/>
          <w:szCs w:val="24"/>
        </w:rPr>
        <w:t>70. By 23 September 2014, subsequent to</w:t>
      </w:r>
      <w:r w:rsidR="00360958" w:rsidRPr="006A2BB3">
        <w:rPr>
          <w:rFonts w:ascii="Arial" w:hAnsi="Arial"/>
          <w:sz w:val="24"/>
          <w:szCs w:val="24"/>
        </w:rPr>
        <w:t xml:space="preserve"> other activities on the Standard Bank account,</w:t>
      </w:r>
      <w:r w:rsidR="00DC6E03">
        <w:rPr>
          <w:rFonts w:ascii="Arial" w:hAnsi="Arial"/>
          <w:sz w:val="24"/>
          <w:szCs w:val="24"/>
        </w:rPr>
        <w:t xml:space="preserve"> the balance remaining was N$1 4</w:t>
      </w:r>
      <w:r w:rsidR="00360958" w:rsidRPr="006A2BB3">
        <w:rPr>
          <w:rFonts w:ascii="Arial" w:hAnsi="Arial"/>
          <w:sz w:val="24"/>
          <w:szCs w:val="24"/>
        </w:rPr>
        <w:t>91</w:t>
      </w:r>
      <w:r w:rsidR="00004641">
        <w:rPr>
          <w:rFonts w:ascii="Arial" w:hAnsi="Arial"/>
          <w:sz w:val="24"/>
          <w:szCs w:val="24"/>
        </w:rPr>
        <w:t>,</w:t>
      </w:r>
      <w:r w:rsidR="00360958" w:rsidRPr="006A2BB3">
        <w:rPr>
          <w:rFonts w:ascii="Arial" w:hAnsi="Arial"/>
          <w:sz w:val="24"/>
          <w:szCs w:val="24"/>
        </w:rPr>
        <w:t xml:space="preserve">15. </w:t>
      </w:r>
    </w:p>
    <w:p w:rsidR="009E1CFD" w:rsidRPr="006A2BB3" w:rsidRDefault="009E1CFD" w:rsidP="006A2BB3">
      <w:pPr>
        <w:tabs>
          <w:tab w:val="left" w:pos="0"/>
        </w:tabs>
        <w:spacing w:after="0" w:line="480" w:lineRule="auto"/>
        <w:ind w:left="360"/>
        <w:jc w:val="both"/>
        <w:rPr>
          <w:rFonts w:ascii="Arial" w:hAnsi="Arial"/>
          <w:sz w:val="24"/>
          <w:szCs w:val="24"/>
        </w:rPr>
      </w:pPr>
    </w:p>
    <w:p w:rsidR="00360958" w:rsidRPr="006A2BB3" w:rsidRDefault="00D24E82" w:rsidP="006A2BB3">
      <w:pPr>
        <w:tabs>
          <w:tab w:val="left" w:pos="0"/>
        </w:tabs>
        <w:spacing w:after="0" w:line="480" w:lineRule="auto"/>
        <w:jc w:val="both"/>
        <w:rPr>
          <w:rFonts w:ascii="Arial" w:hAnsi="Arial"/>
          <w:sz w:val="24"/>
          <w:szCs w:val="24"/>
        </w:rPr>
      </w:pPr>
      <w:r w:rsidRPr="006A2BB3">
        <w:rPr>
          <w:rFonts w:ascii="Arial" w:hAnsi="Arial"/>
          <w:sz w:val="24"/>
          <w:szCs w:val="24"/>
        </w:rPr>
        <w:t>[15</w:t>
      </w:r>
      <w:r w:rsidR="00360958" w:rsidRPr="006A2BB3">
        <w:rPr>
          <w:rFonts w:ascii="Arial" w:hAnsi="Arial"/>
          <w:sz w:val="24"/>
          <w:szCs w:val="24"/>
        </w:rPr>
        <w:t>]</w:t>
      </w:r>
      <w:r w:rsidR="00360958" w:rsidRPr="006A2BB3">
        <w:rPr>
          <w:rFonts w:ascii="Arial" w:hAnsi="Arial"/>
          <w:sz w:val="24"/>
          <w:szCs w:val="24"/>
        </w:rPr>
        <w:tab/>
        <w:t>Further information from the Receiver of Revenue was that the respondent’s CC only registered for VAT on 1 October 2014 and was not registered for tax</w:t>
      </w:r>
      <w:r w:rsidRPr="006A2BB3">
        <w:rPr>
          <w:rFonts w:ascii="Arial" w:hAnsi="Arial"/>
          <w:sz w:val="24"/>
          <w:szCs w:val="24"/>
        </w:rPr>
        <w:t xml:space="preserve"> at all</w:t>
      </w:r>
      <w:r w:rsidR="00360958" w:rsidRPr="006A2BB3">
        <w:rPr>
          <w:rFonts w:ascii="Arial" w:hAnsi="Arial"/>
          <w:sz w:val="24"/>
          <w:szCs w:val="24"/>
        </w:rPr>
        <w:t>.</w:t>
      </w:r>
    </w:p>
    <w:p w:rsidR="009E1CFD" w:rsidRPr="006A2BB3" w:rsidRDefault="009E1CFD" w:rsidP="006A2BB3">
      <w:pPr>
        <w:tabs>
          <w:tab w:val="left" w:pos="0"/>
        </w:tabs>
        <w:spacing w:after="0" w:line="480" w:lineRule="auto"/>
        <w:jc w:val="both"/>
        <w:rPr>
          <w:rFonts w:ascii="Arial" w:hAnsi="Arial"/>
          <w:sz w:val="24"/>
          <w:szCs w:val="24"/>
        </w:rPr>
      </w:pPr>
    </w:p>
    <w:p w:rsidR="00A824AA" w:rsidRPr="006A2BB3" w:rsidRDefault="00D24E82" w:rsidP="006A2BB3">
      <w:pPr>
        <w:tabs>
          <w:tab w:val="left" w:pos="0"/>
        </w:tabs>
        <w:spacing w:after="0" w:line="480" w:lineRule="auto"/>
        <w:jc w:val="both"/>
        <w:rPr>
          <w:rFonts w:ascii="Arial" w:hAnsi="Arial"/>
          <w:sz w:val="24"/>
          <w:szCs w:val="24"/>
        </w:rPr>
      </w:pPr>
      <w:r w:rsidRPr="006A2BB3">
        <w:rPr>
          <w:rFonts w:ascii="Arial" w:hAnsi="Arial"/>
          <w:sz w:val="24"/>
          <w:szCs w:val="24"/>
        </w:rPr>
        <w:t>[16]</w:t>
      </w:r>
      <w:r w:rsidRPr="006A2BB3">
        <w:rPr>
          <w:rFonts w:ascii="Arial" w:hAnsi="Arial"/>
          <w:sz w:val="24"/>
          <w:szCs w:val="24"/>
        </w:rPr>
        <w:tab/>
      </w:r>
      <w:r w:rsidR="00A824AA" w:rsidRPr="006A2BB3">
        <w:rPr>
          <w:rFonts w:ascii="Arial" w:hAnsi="Arial"/>
          <w:sz w:val="24"/>
          <w:szCs w:val="24"/>
        </w:rPr>
        <w:t>Having approached the High Court to be heard on an urgent basis, the PG, on</w:t>
      </w:r>
      <w:r w:rsidR="00360958" w:rsidRPr="006A2BB3">
        <w:rPr>
          <w:rFonts w:ascii="Arial" w:hAnsi="Arial"/>
          <w:sz w:val="24"/>
          <w:szCs w:val="24"/>
        </w:rPr>
        <w:t xml:space="preserve"> 10 October 2014, sought a provisional preservation of property order </w:t>
      </w:r>
      <w:r w:rsidR="00360958" w:rsidRPr="006A2BB3">
        <w:rPr>
          <w:rFonts w:ascii="Arial" w:hAnsi="Arial"/>
          <w:i/>
          <w:sz w:val="24"/>
          <w:szCs w:val="24"/>
        </w:rPr>
        <w:t>ex parte</w:t>
      </w:r>
      <w:r w:rsidR="00360958" w:rsidRPr="006A2BB3">
        <w:rPr>
          <w:rFonts w:ascii="Arial" w:hAnsi="Arial"/>
          <w:sz w:val="24"/>
          <w:szCs w:val="24"/>
        </w:rPr>
        <w:t xml:space="preserve"> against the respondent on the </w:t>
      </w:r>
      <w:r w:rsidRPr="006A2BB3">
        <w:rPr>
          <w:rFonts w:ascii="Arial" w:hAnsi="Arial"/>
          <w:sz w:val="24"/>
          <w:szCs w:val="24"/>
        </w:rPr>
        <w:t xml:space="preserve">positive </w:t>
      </w:r>
      <w:r w:rsidR="00360958" w:rsidRPr="006A2BB3">
        <w:rPr>
          <w:rFonts w:ascii="Arial" w:hAnsi="Arial"/>
          <w:sz w:val="24"/>
          <w:szCs w:val="24"/>
        </w:rPr>
        <w:t>balance of N$800 000</w:t>
      </w:r>
      <w:r w:rsidRPr="006A2BB3">
        <w:rPr>
          <w:rFonts w:ascii="Arial" w:hAnsi="Arial"/>
          <w:sz w:val="24"/>
          <w:szCs w:val="24"/>
        </w:rPr>
        <w:t xml:space="preserve"> on the FNB account </w:t>
      </w:r>
      <w:r w:rsidR="00A824AA" w:rsidRPr="006A2BB3">
        <w:rPr>
          <w:rFonts w:ascii="Arial" w:hAnsi="Arial"/>
          <w:sz w:val="24"/>
          <w:szCs w:val="24"/>
        </w:rPr>
        <w:t xml:space="preserve">which was </w:t>
      </w:r>
      <w:r w:rsidRPr="006A2BB3">
        <w:rPr>
          <w:rFonts w:ascii="Arial" w:hAnsi="Arial"/>
          <w:sz w:val="24"/>
          <w:szCs w:val="24"/>
        </w:rPr>
        <w:t>in his minor son’s name</w:t>
      </w:r>
      <w:r w:rsidR="00360958" w:rsidRPr="006A2BB3">
        <w:rPr>
          <w:rFonts w:ascii="Arial" w:hAnsi="Arial"/>
          <w:sz w:val="24"/>
          <w:szCs w:val="24"/>
        </w:rPr>
        <w:t xml:space="preserve"> and in terms of s 51(2) of the POCA, which order was granted. On the return date, </w:t>
      </w:r>
      <w:r w:rsidR="00A824AA" w:rsidRPr="006A2BB3">
        <w:rPr>
          <w:rFonts w:ascii="Arial" w:hAnsi="Arial"/>
          <w:sz w:val="24"/>
          <w:szCs w:val="24"/>
        </w:rPr>
        <w:t xml:space="preserve">the respondent, </w:t>
      </w:r>
      <w:r w:rsidR="00A824AA" w:rsidRPr="006A2BB3">
        <w:rPr>
          <w:rFonts w:ascii="Arial" w:hAnsi="Arial"/>
          <w:i/>
          <w:sz w:val="24"/>
          <w:szCs w:val="24"/>
        </w:rPr>
        <w:t>in limine</w:t>
      </w:r>
      <w:r w:rsidR="00A824AA" w:rsidRPr="006A2BB3">
        <w:rPr>
          <w:rFonts w:ascii="Arial" w:hAnsi="Arial"/>
          <w:sz w:val="24"/>
          <w:szCs w:val="24"/>
        </w:rPr>
        <w:t xml:space="preserve">, raised the procedural defence that the </w:t>
      </w:r>
      <w:r w:rsidR="00A824AA" w:rsidRPr="006A2BB3">
        <w:rPr>
          <w:rFonts w:ascii="Arial" w:hAnsi="Arial"/>
          <w:i/>
          <w:sz w:val="24"/>
          <w:szCs w:val="24"/>
        </w:rPr>
        <w:t>rule nisi</w:t>
      </w:r>
      <w:r w:rsidR="00A824AA" w:rsidRPr="006A2BB3">
        <w:rPr>
          <w:rFonts w:ascii="Arial" w:hAnsi="Arial"/>
          <w:sz w:val="24"/>
          <w:szCs w:val="24"/>
        </w:rPr>
        <w:t xml:space="preserve"> must be discharged in that the appellant had failed to comply with the mandatory provisions of </w:t>
      </w:r>
      <w:r w:rsidR="003E51B1">
        <w:rPr>
          <w:rFonts w:ascii="Arial" w:hAnsi="Arial"/>
          <w:sz w:val="24"/>
          <w:szCs w:val="24"/>
        </w:rPr>
        <w:t>r</w:t>
      </w:r>
      <w:r w:rsidR="00A824AA" w:rsidRPr="006A2BB3">
        <w:rPr>
          <w:rFonts w:ascii="Arial" w:hAnsi="Arial"/>
          <w:sz w:val="24"/>
          <w:szCs w:val="24"/>
        </w:rPr>
        <w:t xml:space="preserve">eg 7(b) read with s 91(1) and (2) and s 100 of the POCA. </w:t>
      </w:r>
    </w:p>
    <w:p w:rsidR="00A824AA" w:rsidRPr="006A2BB3" w:rsidRDefault="00A824AA" w:rsidP="006A2BB3">
      <w:pPr>
        <w:tabs>
          <w:tab w:val="left" w:pos="0"/>
        </w:tabs>
        <w:spacing w:after="0" w:line="480" w:lineRule="auto"/>
        <w:jc w:val="both"/>
        <w:rPr>
          <w:rFonts w:ascii="Arial" w:hAnsi="Arial"/>
          <w:sz w:val="24"/>
          <w:szCs w:val="24"/>
        </w:rPr>
      </w:pPr>
    </w:p>
    <w:p w:rsidR="00360958" w:rsidRPr="006A2BB3" w:rsidRDefault="00A824AA" w:rsidP="006A2BB3">
      <w:pPr>
        <w:tabs>
          <w:tab w:val="left" w:pos="0"/>
        </w:tabs>
        <w:spacing w:after="0" w:line="480" w:lineRule="auto"/>
        <w:jc w:val="both"/>
        <w:rPr>
          <w:rFonts w:ascii="Arial" w:hAnsi="Arial"/>
          <w:sz w:val="24"/>
          <w:szCs w:val="24"/>
        </w:rPr>
      </w:pPr>
      <w:r w:rsidRPr="006A2BB3">
        <w:rPr>
          <w:rFonts w:ascii="Arial" w:hAnsi="Arial"/>
          <w:sz w:val="24"/>
          <w:szCs w:val="24"/>
        </w:rPr>
        <w:t>[17]</w:t>
      </w:r>
      <w:r w:rsidRPr="006A2BB3">
        <w:rPr>
          <w:rFonts w:ascii="Arial" w:hAnsi="Arial"/>
          <w:sz w:val="24"/>
          <w:szCs w:val="24"/>
        </w:rPr>
        <w:tab/>
        <w:t>H</w:t>
      </w:r>
      <w:r w:rsidR="00360958" w:rsidRPr="006A2BB3">
        <w:rPr>
          <w:rFonts w:ascii="Arial" w:hAnsi="Arial"/>
          <w:sz w:val="24"/>
          <w:szCs w:val="24"/>
        </w:rPr>
        <w:t xml:space="preserve">aving reconsidered the issues including the requirements for such an application, the </w:t>
      </w:r>
      <w:r w:rsidR="003E51B1">
        <w:rPr>
          <w:rFonts w:ascii="Arial" w:hAnsi="Arial"/>
          <w:sz w:val="24"/>
          <w:szCs w:val="24"/>
        </w:rPr>
        <w:t>c</w:t>
      </w:r>
      <w:r w:rsidR="00360958" w:rsidRPr="006A2BB3">
        <w:rPr>
          <w:rFonts w:ascii="Arial" w:hAnsi="Arial"/>
          <w:sz w:val="24"/>
          <w:szCs w:val="24"/>
        </w:rPr>
        <w:t xml:space="preserve">ourt </w:t>
      </w:r>
      <w:r w:rsidR="00D24E82" w:rsidRPr="006A2BB3">
        <w:rPr>
          <w:rFonts w:ascii="Arial" w:hAnsi="Arial"/>
          <w:sz w:val="24"/>
          <w:szCs w:val="24"/>
        </w:rPr>
        <w:t xml:space="preserve">however </w:t>
      </w:r>
      <w:r w:rsidR="00360958" w:rsidRPr="006A2BB3">
        <w:rPr>
          <w:rFonts w:ascii="Arial" w:hAnsi="Arial"/>
          <w:sz w:val="24"/>
          <w:szCs w:val="24"/>
        </w:rPr>
        <w:t xml:space="preserve">discharged the </w:t>
      </w:r>
      <w:r w:rsidR="00360958" w:rsidRPr="006A2BB3">
        <w:rPr>
          <w:rFonts w:ascii="Arial" w:hAnsi="Arial"/>
          <w:i/>
          <w:sz w:val="24"/>
          <w:szCs w:val="24"/>
        </w:rPr>
        <w:t>rule nisi</w:t>
      </w:r>
      <w:r w:rsidR="00360958" w:rsidRPr="006A2BB3">
        <w:rPr>
          <w:rFonts w:ascii="Arial" w:hAnsi="Arial"/>
          <w:sz w:val="24"/>
          <w:szCs w:val="24"/>
        </w:rPr>
        <w:t xml:space="preserve">, refusing to confirm the provisional order. Principally, the </w:t>
      </w:r>
      <w:r w:rsidR="003E51B1">
        <w:rPr>
          <w:rFonts w:ascii="Arial" w:hAnsi="Arial"/>
          <w:sz w:val="24"/>
          <w:szCs w:val="24"/>
        </w:rPr>
        <w:t>c</w:t>
      </w:r>
      <w:r w:rsidR="00360958" w:rsidRPr="006A2BB3">
        <w:rPr>
          <w:rFonts w:ascii="Arial" w:hAnsi="Arial"/>
          <w:sz w:val="24"/>
          <w:szCs w:val="24"/>
        </w:rPr>
        <w:t xml:space="preserve">ourt’s basis for the refusal was that the PG had not complied with the prescribed procedures stipulated in </w:t>
      </w:r>
      <w:r w:rsidR="003E51B1">
        <w:rPr>
          <w:rFonts w:ascii="Arial" w:hAnsi="Arial"/>
          <w:sz w:val="24"/>
          <w:szCs w:val="24"/>
        </w:rPr>
        <w:t>r</w:t>
      </w:r>
      <w:r w:rsidR="00360958" w:rsidRPr="006A2BB3">
        <w:rPr>
          <w:rFonts w:ascii="Arial" w:hAnsi="Arial"/>
          <w:sz w:val="24"/>
          <w:szCs w:val="24"/>
        </w:rPr>
        <w:t>eg 7</w:t>
      </w:r>
      <w:r w:rsidR="00283373" w:rsidRPr="006A2BB3">
        <w:rPr>
          <w:rFonts w:ascii="Arial" w:hAnsi="Arial"/>
          <w:sz w:val="24"/>
          <w:szCs w:val="24"/>
        </w:rPr>
        <w:t xml:space="preserve"> of the POCA</w:t>
      </w:r>
      <w:r w:rsidR="00360958" w:rsidRPr="006A2BB3">
        <w:rPr>
          <w:rFonts w:ascii="Arial" w:hAnsi="Arial"/>
          <w:sz w:val="24"/>
          <w:szCs w:val="24"/>
        </w:rPr>
        <w:t xml:space="preserve">. The PG, it was held, had failed to meet the seven day notice requirement in </w:t>
      </w:r>
      <w:r w:rsidR="003E51B1">
        <w:rPr>
          <w:rFonts w:ascii="Arial" w:hAnsi="Arial"/>
          <w:sz w:val="24"/>
          <w:szCs w:val="24"/>
        </w:rPr>
        <w:t>r</w:t>
      </w:r>
      <w:r w:rsidR="00360958" w:rsidRPr="006A2BB3">
        <w:rPr>
          <w:rFonts w:ascii="Arial" w:hAnsi="Arial"/>
          <w:sz w:val="24"/>
          <w:szCs w:val="24"/>
        </w:rPr>
        <w:t>eg 7(b) and neither did she meet those in s 91 which permit</w:t>
      </w:r>
      <w:r w:rsidR="00283373" w:rsidRPr="006A2BB3">
        <w:rPr>
          <w:rFonts w:ascii="Arial" w:hAnsi="Arial"/>
          <w:sz w:val="24"/>
          <w:szCs w:val="24"/>
        </w:rPr>
        <w:t xml:space="preserve"> her to dispense with the seven-day notice if</w:t>
      </w:r>
      <w:r w:rsidR="003E51B1">
        <w:rPr>
          <w:rFonts w:ascii="Arial" w:hAnsi="Arial"/>
          <w:sz w:val="24"/>
          <w:szCs w:val="24"/>
        </w:rPr>
        <w:t>,</w:t>
      </w:r>
      <w:r w:rsidR="00283373" w:rsidRPr="006A2BB3">
        <w:rPr>
          <w:rFonts w:ascii="Arial" w:hAnsi="Arial"/>
          <w:sz w:val="24"/>
          <w:szCs w:val="24"/>
        </w:rPr>
        <w:t xml:space="preserve"> on application, </w:t>
      </w:r>
      <w:r w:rsidR="00360958" w:rsidRPr="006A2BB3">
        <w:rPr>
          <w:rFonts w:ascii="Arial" w:hAnsi="Arial"/>
          <w:sz w:val="24"/>
          <w:szCs w:val="24"/>
        </w:rPr>
        <w:t xml:space="preserve">the </w:t>
      </w:r>
      <w:r w:rsidR="003E51B1">
        <w:rPr>
          <w:rFonts w:ascii="Arial" w:hAnsi="Arial"/>
          <w:sz w:val="24"/>
          <w:szCs w:val="24"/>
        </w:rPr>
        <w:t>c</w:t>
      </w:r>
      <w:r w:rsidR="00360958" w:rsidRPr="006A2BB3">
        <w:rPr>
          <w:rFonts w:ascii="Arial" w:hAnsi="Arial"/>
          <w:sz w:val="24"/>
          <w:szCs w:val="24"/>
        </w:rPr>
        <w:t xml:space="preserve">ourt grants the </w:t>
      </w:r>
      <w:r w:rsidR="00283373" w:rsidRPr="006A2BB3">
        <w:rPr>
          <w:rFonts w:ascii="Arial" w:hAnsi="Arial"/>
          <w:sz w:val="24"/>
          <w:szCs w:val="24"/>
        </w:rPr>
        <w:t xml:space="preserve">s 91 </w:t>
      </w:r>
      <w:r w:rsidR="00360958" w:rsidRPr="006A2BB3">
        <w:rPr>
          <w:rFonts w:ascii="Arial" w:hAnsi="Arial"/>
          <w:sz w:val="24"/>
          <w:szCs w:val="24"/>
        </w:rPr>
        <w:t xml:space="preserve">dispensation. </w:t>
      </w:r>
    </w:p>
    <w:p w:rsidR="009E1CFD" w:rsidRPr="006A2BB3" w:rsidRDefault="009E1CFD" w:rsidP="006A2BB3">
      <w:pPr>
        <w:tabs>
          <w:tab w:val="left" w:pos="0"/>
        </w:tabs>
        <w:spacing w:after="0" w:line="480" w:lineRule="auto"/>
        <w:ind w:left="360"/>
        <w:jc w:val="both"/>
        <w:rPr>
          <w:rFonts w:ascii="Arial" w:hAnsi="Arial"/>
          <w:sz w:val="24"/>
          <w:szCs w:val="24"/>
        </w:rPr>
      </w:pPr>
    </w:p>
    <w:p w:rsidR="00360958" w:rsidRPr="006A2BB3" w:rsidRDefault="00283373" w:rsidP="006A2BB3">
      <w:pPr>
        <w:tabs>
          <w:tab w:val="left" w:pos="0"/>
        </w:tabs>
        <w:spacing w:after="0" w:line="480" w:lineRule="auto"/>
        <w:jc w:val="both"/>
        <w:rPr>
          <w:rFonts w:ascii="Arial" w:hAnsi="Arial"/>
          <w:sz w:val="24"/>
          <w:szCs w:val="24"/>
        </w:rPr>
      </w:pPr>
      <w:r w:rsidRPr="006A2BB3">
        <w:rPr>
          <w:rFonts w:ascii="Arial" w:hAnsi="Arial"/>
          <w:sz w:val="24"/>
          <w:szCs w:val="24"/>
        </w:rPr>
        <w:t>[18</w:t>
      </w:r>
      <w:r w:rsidR="00360958" w:rsidRPr="006A2BB3">
        <w:rPr>
          <w:rFonts w:ascii="Arial" w:hAnsi="Arial"/>
          <w:sz w:val="24"/>
          <w:szCs w:val="24"/>
        </w:rPr>
        <w:t>]</w:t>
      </w:r>
      <w:r w:rsidR="00360958" w:rsidRPr="006A2BB3">
        <w:rPr>
          <w:rFonts w:ascii="Arial" w:hAnsi="Arial"/>
          <w:sz w:val="24"/>
          <w:szCs w:val="24"/>
        </w:rPr>
        <w:tab/>
        <w:t>The</w:t>
      </w:r>
      <w:r w:rsidR="00D35C77" w:rsidRPr="006A2BB3">
        <w:rPr>
          <w:rFonts w:ascii="Arial" w:hAnsi="Arial"/>
          <w:sz w:val="24"/>
          <w:szCs w:val="24"/>
        </w:rPr>
        <w:t>refore the court</w:t>
      </w:r>
      <w:r w:rsidR="00360958" w:rsidRPr="006A2BB3">
        <w:rPr>
          <w:rFonts w:ascii="Arial" w:hAnsi="Arial"/>
          <w:sz w:val="24"/>
          <w:szCs w:val="24"/>
        </w:rPr>
        <w:t xml:space="preserve"> did not consider and decide the merits of the case against the respondent in respect of the issue whether</w:t>
      </w:r>
      <w:r w:rsidR="001C61C0" w:rsidRPr="006A2BB3">
        <w:rPr>
          <w:rFonts w:ascii="Arial" w:hAnsi="Arial"/>
          <w:sz w:val="24"/>
          <w:szCs w:val="24"/>
        </w:rPr>
        <w:t xml:space="preserve"> there are reasonable grounds that</w:t>
      </w:r>
      <w:r w:rsidR="00360958" w:rsidRPr="006A2BB3">
        <w:rPr>
          <w:rFonts w:ascii="Arial" w:hAnsi="Arial"/>
          <w:sz w:val="24"/>
          <w:szCs w:val="24"/>
        </w:rPr>
        <w:t xml:space="preserve"> the property in question constituted the proceeds of crime</w:t>
      </w:r>
      <w:r w:rsidRPr="006A2BB3">
        <w:rPr>
          <w:rFonts w:ascii="Arial" w:hAnsi="Arial"/>
          <w:sz w:val="24"/>
          <w:szCs w:val="24"/>
        </w:rPr>
        <w:t xml:space="preserve"> in terms of s 51(2) of the POCA and whether</w:t>
      </w:r>
      <w:r w:rsidR="002C37B8">
        <w:rPr>
          <w:rFonts w:ascii="Arial" w:hAnsi="Arial"/>
          <w:sz w:val="24"/>
          <w:szCs w:val="24"/>
        </w:rPr>
        <w:t>,</w:t>
      </w:r>
      <w:r w:rsidRPr="006A2BB3">
        <w:rPr>
          <w:rFonts w:ascii="Arial" w:hAnsi="Arial"/>
          <w:sz w:val="24"/>
          <w:szCs w:val="24"/>
        </w:rPr>
        <w:t xml:space="preserve"> therefore, a </w:t>
      </w:r>
      <w:r w:rsidR="00D35C77" w:rsidRPr="006A2BB3">
        <w:rPr>
          <w:rFonts w:ascii="Arial" w:hAnsi="Arial"/>
          <w:sz w:val="24"/>
          <w:szCs w:val="24"/>
        </w:rPr>
        <w:t xml:space="preserve">property </w:t>
      </w:r>
      <w:r w:rsidRPr="006A2BB3">
        <w:rPr>
          <w:rFonts w:ascii="Arial" w:hAnsi="Arial"/>
          <w:sz w:val="24"/>
          <w:szCs w:val="24"/>
        </w:rPr>
        <w:t>preservation order must be granted</w:t>
      </w:r>
      <w:r w:rsidR="00360958" w:rsidRPr="006A2BB3">
        <w:rPr>
          <w:rFonts w:ascii="Arial" w:hAnsi="Arial"/>
          <w:sz w:val="24"/>
          <w:szCs w:val="24"/>
        </w:rPr>
        <w:t xml:space="preserve">. </w:t>
      </w:r>
    </w:p>
    <w:p w:rsidR="00715EF2" w:rsidRPr="006A2BB3" w:rsidRDefault="00715EF2" w:rsidP="006A2BB3">
      <w:pPr>
        <w:tabs>
          <w:tab w:val="left" w:pos="0"/>
        </w:tabs>
        <w:spacing w:after="0" w:line="480" w:lineRule="auto"/>
        <w:jc w:val="both"/>
        <w:rPr>
          <w:rFonts w:ascii="Arial" w:hAnsi="Arial"/>
          <w:sz w:val="24"/>
          <w:szCs w:val="24"/>
        </w:rPr>
      </w:pPr>
    </w:p>
    <w:p w:rsidR="004A6D19" w:rsidRPr="002C37B8" w:rsidRDefault="002C37B8" w:rsidP="006A2BB3">
      <w:pPr>
        <w:tabs>
          <w:tab w:val="left" w:pos="0"/>
        </w:tabs>
        <w:spacing w:after="0" w:line="480" w:lineRule="auto"/>
        <w:jc w:val="both"/>
        <w:rPr>
          <w:rFonts w:ascii="Arial" w:hAnsi="Arial"/>
          <w:sz w:val="24"/>
          <w:szCs w:val="24"/>
          <w:u w:val="single"/>
        </w:rPr>
      </w:pPr>
      <w:r w:rsidRPr="002C37B8">
        <w:rPr>
          <w:rFonts w:ascii="Arial" w:hAnsi="Arial"/>
          <w:sz w:val="24"/>
          <w:szCs w:val="24"/>
          <w:u w:val="single"/>
        </w:rPr>
        <w:t>The appellant’s submissions</w:t>
      </w:r>
    </w:p>
    <w:p w:rsidR="00354ADA" w:rsidRDefault="00283373" w:rsidP="006A2BB3">
      <w:pPr>
        <w:tabs>
          <w:tab w:val="left" w:pos="0"/>
        </w:tabs>
        <w:spacing w:after="0" w:line="480" w:lineRule="auto"/>
        <w:jc w:val="both"/>
        <w:rPr>
          <w:rFonts w:ascii="Arial" w:hAnsi="Arial"/>
          <w:sz w:val="24"/>
          <w:szCs w:val="24"/>
        </w:rPr>
      </w:pPr>
      <w:r w:rsidRPr="006A2BB3">
        <w:rPr>
          <w:rFonts w:ascii="Arial" w:hAnsi="Arial"/>
          <w:sz w:val="24"/>
          <w:szCs w:val="24"/>
        </w:rPr>
        <w:t>[19</w:t>
      </w:r>
      <w:r w:rsidR="004A6D19" w:rsidRPr="006A2BB3">
        <w:rPr>
          <w:rFonts w:ascii="Arial" w:hAnsi="Arial"/>
          <w:sz w:val="24"/>
          <w:szCs w:val="24"/>
        </w:rPr>
        <w:t>]</w:t>
      </w:r>
      <w:r w:rsidR="004A6D19" w:rsidRPr="006A2BB3">
        <w:rPr>
          <w:rFonts w:ascii="Arial" w:hAnsi="Arial"/>
          <w:sz w:val="24"/>
          <w:szCs w:val="24"/>
        </w:rPr>
        <w:tab/>
        <w:t xml:space="preserve">The PG submits that the High Court erred in upholding the respondent’s objection to the granting of the provisional order raised </w:t>
      </w:r>
      <w:r w:rsidR="004A6D19" w:rsidRPr="006A2BB3">
        <w:rPr>
          <w:rFonts w:ascii="Arial" w:hAnsi="Arial"/>
          <w:i/>
          <w:sz w:val="24"/>
          <w:szCs w:val="24"/>
        </w:rPr>
        <w:t>in limine</w:t>
      </w:r>
      <w:r w:rsidR="004A6D19" w:rsidRPr="006A2BB3">
        <w:rPr>
          <w:rFonts w:ascii="Arial" w:hAnsi="Arial"/>
          <w:sz w:val="24"/>
          <w:szCs w:val="24"/>
        </w:rPr>
        <w:t xml:space="preserve">. First, based on the interpretation of s 51 of the POCA, the PG contends that s 51(1) permits her to apply for a property preservation order once </w:t>
      </w:r>
      <w:r w:rsidRPr="006A2BB3">
        <w:rPr>
          <w:rFonts w:ascii="Arial" w:hAnsi="Arial"/>
          <w:sz w:val="24"/>
          <w:szCs w:val="24"/>
        </w:rPr>
        <w:t>the requirements of s 51(</w:t>
      </w:r>
      <w:r w:rsidR="004A6D19" w:rsidRPr="006A2BB3">
        <w:rPr>
          <w:rFonts w:ascii="Arial" w:hAnsi="Arial"/>
          <w:sz w:val="24"/>
          <w:szCs w:val="24"/>
        </w:rPr>
        <w:t xml:space="preserve">2) had been met. Following the decision of this </w:t>
      </w:r>
      <w:r w:rsidR="002C37B8">
        <w:rPr>
          <w:rFonts w:ascii="Arial" w:hAnsi="Arial"/>
          <w:sz w:val="24"/>
          <w:szCs w:val="24"/>
        </w:rPr>
        <w:t>c</w:t>
      </w:r>
      <w:r w:rsidR="004A6D19" w:rsidRPr="006A2BB3">
        <w:rPr>
          <w:rFonts w:ascii="Arial" w:hAnsi="Arial"/>
          <w:sz w:val="24"/>
          <w:szCs w:val="24"/>
        </w:rPr>
        <w:t xml:space="preserve">ourt in </w:t>
      </w:r>
      <w:r w:rsidR="004A6D19" w:rsidRPr="006A2BB3">
        <w:rPr>
          <w:rFonts w:ascii="Arial" w:hAnsi="Arial"/>
          <w:i/>
          <w:sz w:val="24"/>
          <w:szCs w:val="24"/>
        </w:rPr>
        <w:t>Prosecutor</w:t>
      </w:r>
      <w:r w:rsidR="007A4E87" w:rsidRPr="006A2BB3">
        <w:rPr>
          <w:rFonts w:ascii="Arial" w:hAnsi="Arial"/>
          <w:i/>
          <w:sz w:val="24"/>
          <w:szCs w:val="24"/>
        </w:rPr>
        <w:t xml:space="preserve">-General v </w:t>
      </w:r>
      <w:r w:rsidR="009F605C" w:rsidRPr="006A2BB3">
        <w:rPr>
          <w:rFonts w:ascii="Arial" w:hAnsi="Arial"/>
          <w:i/>
          <w:sz w:val="24"/>
          <w:szCs w:val="24"/>
        </w:rPr>
        <w:t>Uuyuni</w:t>
      </w:r>
      <w:r w:rsidR="004A6D19" w:rsidRPr="006A2BB3">
        <w:rPr>
          <w:rFonts w:ascii="Arial" w:hAnsi="Arial"/>
          <w:sz w:val="24"/>
          <w:szCs w:val="24"/>
          <w:vertAlign w:val="superscript"/>
        </w:rPr>
        <w:footnoteReference w:id="1"/>
      </w:r>
      <w:r w:rsidR="004A6D19" w:rsidRPr="006A2BB3">
        <w:rPr>
          <w:rFonts w:ascii="Arial" w:hAnsi="Arial"/>
          <w:sz w:val="24"/>
          <w:szCs w:val="24"/>
        </w:rPr>
        <w:t xml:space="preserve">, the High Court must, she contends, make the preservation order on an </w:t>
      </w:r>
      <w:r w:rsidR="004A6D19" w:rsidRPr="006A2BB3">
        <w:rPr>
          <w:rFonts w:ascii="Arial" w:hAnsi="Arial"/>
          <w:i/>
          <w:sz w:val="24"/>
          <w:szCs w:val="24"/>
        </w:rPr>
        <w:t>ex parte</w:t>
      </w:r>
      <w:r w:rsidR="004A6D19" w:rsidRPr="006A2BB3">
        <w:rPr>
          <w:rFonts w:ascii="Arial" w:hAnsi="Arial"/>
          <w:sz w:val="24"/>
          <w:szCs w:val="24"/>
        </w:rPr>
        <w:t xml:space="preserve"> basis. In </w:t>
      </w:r>
      <w:r w:rsidR="009F605C" w:rsidRPr="006A2BB3">
        <w:rPr>
          <w:rFonts w:ascii="Arial" w:hAnsi="Arial"/>
          <w:i/>
          <w:sz w:val="24"/>
          <w:szCs w:val="24"/>
        </w:rPr>
        <w:t>Uuyuni</w:t>
      </w:r>
      <w:r w:rsidR="004A6D19" w:rsidRPr="006A2BB3">
        <w:rPr>
          <w:rFonts w:ascii="Arial" w:hAnsi="Arial"/>
          <w:sz w:val="24"/>
          <w:szCs w:val="24"/>
        </w:rPr>
        <w:t xml:space="preserve">, the </w:t>
      </w:r>
      <w:r w:rsidR="002C37B8">
        <w:rPr>
          <w:rFonts w:ascii="Arial" w:hAnsi="Arial"/>
          <w:sz w:val="24"/>
          <w:szCs w:val="24"/>
        </w:rPr>
        <w:t>c</w:t>
      </w:r>
      <w:r w:rsidR="004A6D19" w:rsidRPr="006A2BB3">
        <w:rPr>
          <w:rFonts w:ascii="Arial" w:hAnsi="Arial"/>
          <w:sz w:val="24"/>
          <w:szCs w:val="24"/>
        </w:rPr>
        <w:t xml:space="preserve">ourt held that s 51(2) clearly provides that </w:t>
      </w:r>
      <w:r w:rsidR="004A6D19" w:rsidRPr="006A2BB3">
        <w:rPr>
          <w:rFonts w:ascii="Arial" w:hAnsi="Arial"/>
          <w:i/>
          <w:sz w:val="24"/>
          <w:szCs w:val="24"/>
        </w:rPr>
        <w:t>ex parte</w:t>
      </w:r>
      <w:r w:rsidR="004A6D19" w:rsidRPr="006A2BB3">
        <w:rPr>
          <w:rFonts w:ascii="Arial" w:hAnsi="Arial"/>
          <w:sz w:val="24"/>
          <w:szCs w:val="24"/>
        </w:rPr>
        <w:t xml:space="preserve"> applications </w:t>
      </w:r>
    </w:p>
    <w:p w:rsidR="00354ADA" w:rsidRDefault="00354ADA" w:rsidP="006A2BB3">
      <w:pPr>
        <w:tabs>
          <w:tab w:val="left" w:pos="0"/>
        </w:tabs>
        <w:spacing w:after="0" w:line="480" w:lineRule="auto"/>
        <w:jc w:val="both"/>
        <w:rPr>
          <w:rFonts w:ascii="Arial" w:hAnsi="Arial"/>
          <w:sz w:val="24"/>
          <w:szCs w:val="24"/>
        </w:rPr>
      </w:pPr>
    </w:p>
    <w:p w:rsidR="004A6D19" w:rsidRPr="006A2BB3" w:rsidRDefault="002C37B8" w:rsidP="00354ADA">
      <w:pPr>
        <w:tabs>
          <w:tab w:val="left" w:pos="0"/>
        </w:tabs>
        <w:spacing w:after="0" w:line="360" w:lineRule="auto"/>
        <w:ind w:left="1440"/>
        <w:jc w:val="both"/>
        <w:rPr>
          <w:rFonts w:ascii="Arial" w:hAnsi="Arial"/>
          <w:sz w:val="24"/>
          <w:szCs w:val="24"/>
        </w:rPr>
      </w:pPr>
      <w:r w:rsidRPr="00354ADA">
        <w:rPr>
          <w:rFonts w:ascii="Arial" w:hAnsi="Arial"/>
          <w:i/>
        </w:rPr>
        <w:t>'</w:t>
      </w:r>
      <w:r w:rsidR="004A6D19" w:rsidRPr="00354ADA">
        <w:rPr>
          <w:rFonts w:ascii="Arial" w:hAnsi="Arial"/>
          <w:i/>
        </w:rPr>
        <w:t>must be granted without notice to any other person or the adduction of any further evidence from any other person</w:t>
      </w:r>
      <w:r w:rsidRPr="00354ADA">
        <w:rPr>
          <w:rFonts w:ascii="Arial" w:hAnsi="Arial"/>
          <w:i/>
        </w:rPr>
        <w:t>'</w:t>
      </w:r>
      <w:r w:rsidR="00BE2641" w:rsidRPr="00354ADA">
        <w:rPr>
          <w:rFonts w:ascii="Arial" w:hAnsi="Arial"/>
        </w:rPr>
        <w:t>.</w:t>
      </w:r>
      <w:r w:rsidR="004A6D19" w:rsidRPr="006A2BB3">
        <w:rPr>
          <w:rFonts w:ascii="Arial" w:hAnsi="Arial"/>
          <w:sz w:val="24"/>
          <w:szCs w:val="24"/>
          <w:vertAlign w:val="superscript"/>
        </w:rPr>
        <w:footnoteReference w:id="2"/>
      </w:r>
      <w:r w:rsidR="004A6D19" w:rsidRPr="006A2BB3">
        <w:rPr>
          <w:rFonts w:ascii="Arial" w:hAnsi="Arial"/>
          <w:sz w:val="24"/>
          <w:szCs w:val="24"/>
          <w:vertAlign w:val="superscript"/>
        </w:rPr>
        <w:t xml:space="preserve"> </w:t>
      </w:r>
    </w:p>
    <w:p w:rsidR="009E1CFD" w:rsidRPr="006A2BB3" w:rsidRDefault="009E1CFD" w:rsidP="006A2BB3">
      <w:pPr>
        <w:spacing w:after="0" w:line="480" w:lineRule="auto"/>
        <w:ind w:left="360"/>
        <w:jc w:val="both"/>
        <w:rPr>
          <w:rFonts w:ascii="Arial" w:hAnsi="Arial"/>
          <w:sz w:val="24"/>
          <w:szCs w:val="24"/>
        </w:rPr>
      </w:pPr>
    </w:p>
    <w:p w:rsidR="004A6D19" w:rsidRPr="006A2BB3" w:rsidRDefault="00283373" w:rsidP="00354ADA">
      <w:pPr>
        <w:spacing w:after="0" w:line="480" w:lineRule="auto"/>
        <w:jc w:val="both"/>
        <w:rPr>
          <w:rFonts w:ascii="Arial" w:hAnsi="Arial"/>
          <w:sz w:val="24"/>
          <w:szCs w:val="24"/>
        </w:rPr>
      </w:pPr>
      <w:r w:rsidRPr="006A2BB3">
        <w:rPr>
          <w:rFonts w:ascii="Arial" w:hAnsi="Arial"/>
          <w:sz w:val="24"/>
          <w:szCs w:val="24"/>
        </w:rPr>
        <w:t>[20</w:t>
      </w:r>
      <w:r w:rsidR="004A6D19" w:rsidRPr="006A2BB3">
        <w:rPr>
          <w:rFonts w:ascii="Arial" w:hAnsi="Arial"/>
          <w:sz w:val="24"/>
          <w:szCs w:val="24"/>
        </w:rPr>
        <w:t>]</w:t>
      </w:r>
      <w:r w:rsidR="004A6D19" w:rsidRPr="006A2BB3">
        <w:rPr>
          <w:rFonts w:ascii="Arial" w:hAnsi="Arial"/>
          <w:sz w:val="24"/>
          <w:szCs w:val="24"/>
        </w:rPr>
        <w:tab/>
        <w:t xml:space="preserve">It is the contention of the </w:t>
      </w:r>
      <w:r w:rsidRPr="006A2BB3">
        <w:rPr>
          <w:rFonts w:ascii="Arial" w:hAnsi="Arial"/>
          <w:sz w:val="24"/>
          <w:szCs w:val="24"/>
        </w:rPr>
        <w:t xml:space="preserve">PG </w:t>
      </w:r>
      <w:r w:rsidR="004A6D19" w:rsidRPr="006A2BB3">
        <w:rPr>
          <w:rFonts w:ascii="Arial" w:hAnsi="Arial"/>
          <w:sz w:val="24"/>
          <w:szCs w:val="24"/>
        </w:rPr>
        <w:t>that s 91(1) of the POCA</w:t>
      </w:r>
      <w:r w:rsidR="00D35C77" w:rsidRPr="006A2BB3">
        <w:rPr>
          <w:rFonts w:ascii="Arial" w:hAnsi="Arial"/>
          <w:sz w:val="24"/>
          <w:szCs w:val="24"/>
        </w:rPr>
        <w:t xml:space="preserve"> provides </w:t>
      </w:r>
      <w:r w:rsidR="004A6D19" w:rsidRPr="006A2BB3">
        <w:rPr>
          <w:rFonts w:ascii="Arial" w:hAnsi="Arial"/>
          <w:sz w:val="24"/>
          <w:szCs w:val="24"/>
        </w:rPr>
        <w:t>that every application in terms of s</w:t>
      </w:r>
      <w:r w:rsidR="002C37B8">
        <w:rPr>
          <w:rFonts w:ascii="Arial" w:hAnsi="Arial"/>
          <w:sz w:val="24"/>
          <w:szCs w:val="24"/>
        </w:rPr>
        <w:t>s</w:t>
      </w:r>
      <w:r w:rsidRPr="006A2BB3">
        <w:rPr>
          <w:rFonts w:ascii="Arial" w:hAnsi="Arial"/>
          <w:sz w:val="24"/>
          <w:szCs w:val="24"/>
        </w:rPr>
        <w:t xml:space="preserve"> 25, 43, 51, 59 and 64 is</w:t>
      </w:r>
      <w:r w:rsidR="004A6D19" w:rsidRPr="006A2BB3">
        <w:rPr>
          <w:rFonts w:ascii="Arial" w:hAnsi="Arial"/>
          <w:sz w:val="24"/>
          <w:szCs w:val="24"/>
        </w:rPr>
        <w:t xml:space="preserve"> required to be made </w:t>
      </w:r>
      <w:r w:rsidR="00D35C77" w:rsidRPr="006A2BB3">
        <w:rPr>
          <w:rFonts w:ascii="Arial" w:hAnsi="Arial"/>
          <w:sz w:val="24"/>
          <w:szCs w:val="24"/>
        </w:rPr>
        <w:t xml:space="preserve">in accordance with </w:t>
      </w:r>
      <w:r w:rsidR="004A6D19" w:rsidRPr="006A2BB3">
        <w:rPr>
          <w:rFonts w:ascii="Arial" w:hAnsi="Arial"/>
          <w:sz w:val="24"/>
          <w:szCs w:val="24"/>
        </w:rPr>
        <w:t xml:space="preserve">the process prescribed in </w:t>
      </w:r>
      <w:r w:rsidR="002C37B8">
        <w:rPr>
          <w:rFonts w:ascii="Arial" w:hAnsi="Arial"/>
          <w:sz w:val="24"/>
          <w:szCs w:val="24"/>
        </w:rPr>
        <w:t>r</w:t>
      </w:r>
      <w:r w:rsidR="004A6D19" w:rsidRPr="006A2BB3">
        <w:rPr>
          <w:rFonts w:ascii="Arial" w:hAnsi="Arial"/>
          <w:sz w:val="24"/>
          <w:szCs w:val="24"/>
        </w:rPr>
        <w:t>eg 7</w:t>
      </w:r>
      <w:r w:rsidR="00D35C77" w:rsidRPr="006A2BB3">
        <w:rPr>
          <w:rFonts w:ascii="Arial" w:hAnsi="Arial"/>
          <w:sz w:val="24"/>
          <w:szCs w:val="24"/>
        </w:rPr>
        <w:t>(b)</w:t>
      </w:r>
      <w:r w:rsidR="004A6D19" w:rsidRPr="006A2BB3">
        <w:rPr>
          <w:rFonts w:ascii="Arial" w:hAnsi="Arial"/>
          <w:sz w:val="24"/>
          <w:szCs w:val="24"/>
        </w:rPr>
        <w:t xml:space="preserve">. However, that is subject to s 91(2), (3) and (4) of the POCA. </w:t>
      </w:r>
      <w:r w:rsidR="009565DB">
        <w:rPr>
          <w:rFonts w:ascii="Arial" w:hAnsi="Arial"/>
          <w:sz w:val="24"/>
          <w:szCs w:val="24"/>
        </w:rPr>
        <w:t>O</w:t>
      </w:r>
      <w:r w:rsidR="004A6D19" w:rsidRPr="006A2BB3">
        <w:rPr>
          <w:rFonts w:ascii="Arial" w:hAnsi="Arial"/>
          <w:sz w:val="24"/>
          <w:szCs w:val="24"/>
        </w:rPr>
        <w:t xml:space="preserve">ne of the </w:t>
      </w:r>
      <w:r w:rsidR="002C37B8">
        <w:rPr>
          <w:rFonts w:ascii="Arial" w:hAnsi="Arial"/>
          <w:sz w:val="24"/>
          <w:szCs w:val="24"/>
        </w:rPr>
        <w:t>r</w:t>
      </w:r>
      <w:r w:rsidR="004A6D19" w:rsidRPr="006A2BB3">
        <w:rPr>
          <w:rFonts w:ascii="Arial" w:hAnsi="Arial"/>
          <w:sz w:val="24"/>
          <w:szCs w:val="24"/>
        </w:rPr>
        <w:t>eg 7</w:t>
      </w:r>
      <w:r w:rsidR="00D35C77" w:rsidRPr="006A2BB3">
        <w:rPr>
          <w:rFonts w:ascii="Arial" w:hAnsi="Arial"/>
          <w:sz w:val="24"/>
          <w:szCs w:val="24"/>
        </w:rPr>
        <w:t>(b)</w:t>
      </w:r>
      <w:r w:rsidR="004A6D19" w:rsidRPr="006A2BB3">
        <w:rPr>
          <w:rFonts w:ascii="Arial" w:hAnsi="Arial"/>
          <w:sz w:val="24"/>
          <w:szCs w:val="24"/>
        </w:rPr>
        <w:t xml:space="preserve"> requirements</w:t>
      </w:r>
      <w:r w:rsidR="002C37B8">
        <w:rPr>
          <w:rFonts w:ascii="Arial" w:hAnsi="Arial"/>
          <w:sz w:val="24"/>
          <w:szCs w:val="24"/>
        </w:rPr>
        <w:t>,</w:t>
      </w:r>
      <w:r w:rsidR="004A6D19" w:rsidRPr="006A2BB3">
        <w:rPr>
          <w:rFonts w:ascii="Arial" w:hAnsi="Arial"/>
          <w:sz w:val="24"/>
          <w:szCs w:val="24"/>
        </w:rPr>
        <w:t xml:space="preserve"> she contends</w:t>
      </w:r>
      <w:r w:rsidR="00500F1E" w:rsidRPr="006A2BB3">
        <w:rPr>
          <w:rFonts w:ascii="Arial" w:hAnsi="Arial"/>
          <w:sz w:val="24"/>
          <w:szCs w:val="24"/>
        </w:rPr>
        <w:t xml:space="preserve"> is </w:t>
      </w:r>
      <w:r w:rsidR="00D35C77" w:rsidRPr="006A2BB3">
        <w:rPr>
          <w:rFonts w:ascii="Arial" w:hAnsi="Arial"/>
          <w:sz w:val="24"/>
          <w:szCs w:val="24"/>
        </w:rPr>
        <w:t xml:space="preserve">a </w:t>
      </w:r>
      <w:r w:rsidR="00500F1E" w:rsidRPr="006A2BB3">
        <w:rPr>
          <w:rFonts w:ascii="Arial" w:hAnsi="Arial"/>
          <w:sz w:val="24"/>
          <w:szCs w:val="24"/>
        </w:rPr>
        <w:t xml:space="preserve">notice of at least seven days to be given to a respondent and any other person to be served. </w:t>
      </w:r>
      <w:r w:rsidRPr="006A2BB3">
        <w:rPr>
          <w:rFonts w:ascii="Arial" w:hAnsi="Arial"/>
          <w:sz w:val="24"/>
          <w:szCs w:val="24"/>
        </w:rPr>
        <w:t>Indeed, t</w:t>
      </w:r>
      <w:r w:rsidR="00500F1E" w:rsidRPr="006A2BB3">
        <w:rPr>
          <w:rFonts w:ascii="Arial" w:hAnsi="Arial"/>
          <w:sz w:val="24"/>
          <w:szCs w:val="24"/>
        </w:rPr>
        <w:t xml:space="preserve">he seven day notice is mandatory, she contends, unless the High Court grants leave </w:t>
      </w:r>
      <w:r w:rsidRPr="006A2BB3">
        <w:rPr>
          <w:rFonts w:ascii="Arial" w:hAnsi="Arial"/>
          <w:sz w:val="24"/>
          <w:szCs w:val="24"/>
        </w:rPr>
        <w:t>for a shorter notice to be served</w:t>
      </w:r>
      <w:r w:rsidR="00BE2641" w:rsidRPr="006A2BB3">
        <w:rPr>
          <w:rFonts w:ascii="Arial" w:hAnsi="Arial"/>
          <w:sz w:val="24"/>
          <w:szCs w:val="24"/>
        </w:rPr>
        <w:t>.</w:t>
      </w:r>
      <w:r w:rsidR="00500F1E" w:rsidRPr="006A2BB3">
        <w:rPr>
          <w:rFonts w:ascii="Arial" w:hAnsi="Arial"/>
          <w:sz w:val="24"/>
          <w:szCs w:val="24"/>
          <w:vertAlign w:val="superscript"/>
        </w:rPr>
        <w:footnoteReference w:id="3"/>
      </w:r>
      <w:r w:rsidR="00500F1E" w:rsidRPr="006A2BB3">
        <w:rPr>
          <w:rFonts w:ascii="Arial" w:hAnsi="Arial"/>
          <w:sz w:val="24"/>
          <w:szCs w:val="24"/>
          <w:vertAlign w:val="superscript"/>
        </w:rPr>
        <w:t xml:space="preserve"> </w:t>
      </w:r>
    </w:p>
    <w:p w:rsidR="009E1CFD" w:rsidRPr="006A2BB3" w:rsidRDefault="009E1CFD" w:rsidP="006A2BB3">
      <w:pPr>
        <w:spacing w:after="0" w:line="480" w:lineRule="auto"/>
        <w:ind w:left="360"/>
        <w:jc w:val="both"/>
        <w:rPr>
          <w:rFonts w:ascii="Arial" w:hAnsi="Arial"/>
          <w:sz w:val="24"/>
          <w:szCs w:val="24"/>
        </w:rPr>
      </w:pPr>
    </w:p>
    <w:p w:rsidR="00500F1E" w:rsidRPr="006A2BB3" w:rsidRDefault="00283373" w:rsidP="006A2BB3">
      <w:pPr>
        <w:spacing w:after="0" w:line="480" w:lineRule="auto"/>
        <w:jc w:val="both"/>
        <w:rPr>
          <w:rFonts w:ascii="Arial" w:hAnsi="Arial"/>
          <w:sz w:val="24"/>
          <w:szCs w:val="24"/>
        </w:rPr>
      </w:pPr>
      <w:r w:rsidRPr="006A2BB3">
        <w:rPr>
          <w:rFonts w:ascii="Arial" w:hAnsi="Arial"/>
          <w:sz w:val="24"/>
          <w:szCs w:val="24"/>
        </w:rPr>
        <w:t>[21</w:t>
      </w:r>
      <w:r w:rsidR="00500F1E" w:rsidRPr="006A2BB3">
        <w:rPr>
          <w:rFonts w:ascii="Arial" w:hAnsi="Arial"/>
          <w:sz w:val="24"/>
          <w:szCs w:val="24"/>
        </w:rPr>
        <w:t>]</w:t>
      </w:r>
      <w:r w:rsidR="00500F1E" w:rsidRPr="006A2BB3">
        <w:rPr>
          <w:rFonts w:ascii="Arial" w:hAnsi="Arial"/>
          <w:sz w:val="24"/>
          <w:szCs w:val="24"/>
        </w:rPr>
        <w:tab/>
      </w:r>
      <w:r w:rsidR="009565DB">
        <w:rPr>
          <w:rFonts w:ascii="Arial" w:hAnsi="Arial"/>
          <w:sz w:val="24"/>
          <w:szCs w:val="24"/>
        </w:rPr>
        <w:t>A</w:t>
      </w:r>
      <w:r w:rsidR="00500F1E" w:rsidRPr="006A2BB3">
        <w:rPr>
          <w:rFonts w:ascii="Arial" w:hAnsi="Arial"/>
          <w:sz w:val="24"/>
          <w:szCs w:val="24"/>
        </w:rPr>
        <w:t xml:space="preserve">s </w:t>
      </w:r>
      <w:r w:rsidRPr="006A2BB3">
        <w:rPr>
          <w:rFonts w:ascii="Arial" w:hAnsi="Arial"/>
          <w:sz w:val="24"/>
          <w:szCs w:val="24"/>
        </w:rPr>
        <w:t xml:space="preserve">had been </w:t>
      </w:r>
      <w:r w:rsidR="00500F1E" w:rsidRPr="006A2BB3">
        <w:rPr>
          <w:rFonts w:ascii="Arial" w:hAnsi="Arial"/>
          <w:sz w:val="24"/>
          <w:szCs w:val="24"/>
        </w:rPr>
        <w:t xml:space="preserve">determined in </w:t>
      </w:r>
      <w:r w:rsidR="009F605C" w:rsidRPr="006A2BB3">
        <w:rPr>
          <w:rFonts w:ascii="Arial" w:hAnsi="Arial"/>
          <w:i/>
          <w:sz w:val="24"/>
          <w:szCs w:val="24"/>
        </w:rPr>
        <w:t>Uuyuni</w:t>
      </w:r>
      <w:r w:rsidRPr="006A2BB3">
        <w:rPr>
          <w:rFonts w:ascii="Arial" w:hAnsi="Arial"/>
          <w:sz w:val="24"/>
          <w:szCs w:val="24"/>
        </w:rPr>
        <w:t>, she argues,</w:t>
      </w:r>
      <w:r w:rsidR="00500F1E" w:rsidRPr="006A2BB3">
        <w:rPr>
          <w:rFonts w:ascii="Arial" w:hAnsi="Arial"/>
          <w:sz w:val="24"/>
          <w:szCs w:val="24"/>
        </w:rPr>
        <w:t xml:space="preserve"> this </w:t>
      </w:r>
      <w:r w:rsidR="00354ADA">
        <w:rPr>
          <w:rFonts w:ascii="Arial" w:hAnsi="Arial"/>
          <w:sz w:val="24"/>
          <w:szCs w:val="24"/>
        </w:rPr>
        <w:t>c</w:t>
      </w:r>
      <w:r w:rsidR="00500F1E" w:rsidRPr="006A2BB3">
        <w:rPr>
          <w:rFonts w:ascii="Arial" w:hAnsi="Arial"/>
          <w:sz w:val="24"/>
          <w:szCs w:val="24"/>
        </w:rPr>
        <w:t xml:space="preserve">ourt has confirmed that a s 51(2) application for a property preservation order must be made </w:t>
      </w:r>
      <w:r w:rsidR="00500F1E" w:rsidRPr="006A2BB3">
        <w:rPr>
          <w:rFonts w:ascii="Arial" w:hAnsi="Arial"/>
          <w:i/>
          <w:sz w:val="24"/>
          <w:szCs w:val="24"/>
        </w:rPr>
        <w:t>ex parte</w:t>
      </w:r>
      <w:r w:rsidR="00500F1E" w:rsidRPr="006A2BB3">
        <w:rPr>
          <w:rFonts w:ascii="Arial" w:hAnsi="Arial"/>
          <w:sz w:val="24"/>
          <w:szCs w:val="24"/>
        </w:rPr>
        <w:t xml:space="preserve">, </w:t>
      </w:r>
      <w:r w:rsidRPr="006A2BB3">
        <w:rPr>
          <w:rFonts w:ascii="Arial" w:hAnsi="Arial"/>
          <w:sz w:val="24"/>
          <w:szCs w:val="24"/>
        </w:rPr>
        <w:t>in which</w:t>
      </w:r>
      <w:r w:rsidR="00500F1E" w:rsidRPr="006A2BB3">
        <w:rPr>
          <w:rFonts w:ascii="Arial" w:hAnsi="Arial"/>
          <w:sz w:val="24"/>
          <w:szCs w:val="24"/>
        </w:rPr>
        <w:t>, as a defining feature, there is no respondent.</w:t>
      </w:r>
      <w:r w:rsidR="003A602F" w:rsidRPr="006A2BB3">
        <w:rPr>
          <w:rStyle w:val="FootnoteReference"/>
          <w:rFonts w:ascii="Arial" w:hAnsi="Arial"/>
          <w:sz w:val="24"/>
          <w:szCs w:val="24"/>
        </w:rPr>
        <w:footnoteReference w:id="4"/>
      </w:r>
    </w:p>
    <w:p w:rsidR="009E1CFD" w:rsidRPr="006A2BB3" w:rsidRDefault="009E1CFD" w:rsidP="006A2BB3">
      <w:pPr>
        <w:spacing w:after="0" w:line="480" w:lineRule="auto"/>
        <w:ind w:left="360"/>
        <w:jc w:val="both"/>
        <w:rPr>
          <w:rFonts w:ascii="Arial" w:hAnsi="Arial"/>
          <w:sz w:val="24"/>
          <w:szCs w:val="24"/>
        </w:rPr>
      </w:pPr>
    </w:p>
    <w:p w:rsidR="00500F1E" w:rsidRPr="006A2BB3" w:rsidRDefault="00283373" w:rsidP="006A2BB3">
      <w:pPr>
        <w:spacing w:after="0" w:line="480" w:lineRule="auto"/>
        <w:jc w:val="both"/>
        <w:rPr>
          <w:rFonts w:ascii="Arial" w:hAnsi="Arial"/>
          <w:sz w:val="24"/>
          <w:szCs w:val="24"/>
        </w:rPr>
      </w:pPr>
      <w:r w:rsidRPr="006A2BB3">
        <w:rPr>
          <w:rFonts w:ascii="Arial" w:hAnsi="Arial"/>
          <w:sz w:val="24"/>
          <w:szCs w:val="24"/>
        </w:rPr>
        <w:t>[22</w:t>
      </w:r>
      <w:r w:rsidR="00500F1E" w:rsidRPr="006A2BB3">
        <w:rPr>
          <w:rFonts w:ascii="Arial" w:hAnsi="Arial"/>
          <w:sz w:val="24"/>
          <w:szCs w:val="24"/>
        </w:rPr>
        <w:t>]</w:t>
      </w:r>
      <w:r w:rsidR="00500F1E" w:rsidRPr="006A2BB3">
        <w:rPr>
          <w:rFonts w:ascii="Arial" w:hAnsi="Arial"/>
          <w:sz w:val="24"/>
          <w:szCs w:val="24"/>
        </w:rPr>
        <w:tab/>
        <w:t xml:space="preserve">Because an </w:t>
      </w:r>
      <w:r w:rsidR="00500F1E" w:rsidRPr="006A2BB3">
        <w:rPr>
          <w:rFonts w:ascii="Arial" w:hAnsi="Arial"/>
          <w:i/>
          <w:sz w:val="24"/>
          <w:szCs w:val="24"/>
        </w:rPr>
        <w:t>ex parte</w:t>
      </w:r>
      <w:r w:rsidR="00500F1E" w:rsidRPr="006A2BB3">
        <w:rPr>
          <w:rFonts w:ascii="Arial" w:hAnsi="Arial"/>
          <w:sz w:val="24"/>
          <w:szCs w:val="24"/>
        </w:rPr>
        <w:t xml:space="preserve"> application by definition does not have respondents and s 51 does not require service on any other person, </w:t>
      </w:r>
      <w:r w:rsidR="00354ADA">
        <w:rPr>
          <w:rFonts w:ascii="Arial" w:hAnsi="Arial"/>
          <w:sz w:val="24"/>
          <w:szCs w:val="24"/>
        </w:rPr>
        <w:t>r</w:t>
      </w:r>
      <w:r w:rsidR="00500F1E" w:rsidRPr="006A2BB3">
        <w:rPr>
          <w:rFonts w:ascii="Arial" w:hAnsi="Arial"/>
          <w:sz w:val="24"/>
          <w:szCs w:val="24"/>
        </w:rPr>
        <w:t>eg 7(b), the PG concludes</w:t>
      </w:r>
      <w:r w:rsidR="00806531">
        <w:rPr>
          <w:rFonts w:ascii="Arial" w:hAnsi="Arial"/>
          <w:sz w:val="24"/>
          <w:szCs w:val="24"/>
        </w:rPr>
        <w:t>,</w:t>
      </w:r>
      <w:r w:rsidR="00500F1E" w:rsidRPr="006A2BB3">
        <w:rPr>
          <w:rFonts w:ascii="Arial" w:hAnsi="Arial"/>
          <w:sz w:val="24"/>
          <w:szCs w:val="24"/>
        </w:rPr>
        <w:t xml:space="preserve"> does not apply in the case of a s 51(2) </w:t>
      </w:r>
      <w:r w:rsidR="00500F1E" w:rsidRPr="006A2BB3">
        <w:rPr>
          <w:rFonts w:ascii="Arial" w:hAnsi="Arial"/>
          <w:i/>
          <w:sz w:val="24"/>
          <w:szCs w:val="24"/>
        </w:rPr>
        <w:t>ex parte</w:t>
      </w:r>
      <w:r w:rsidR="00500F1E" w:rsidRPr="006A2BB3">
        <w:rPr>
          <w:rFonts w:ascii="Arial" w:hAnsi="Arial"/>
          <w:sz w:val="24"/>
          <w:szCs w:val="24"/>
        </w:rPr>
        <w:t xml:space="preserve"> </w:t>
      </w:r>
      <w:r w:rsidRPr="006A2BB3">
        <w:rPr>
          <w:rFonts w:ascii="Arial" w:hAnsi="Arial"/>
          <w:sz w:val="24"/>
          <w:szCs w:val="24"/>
        </w:rPr>
        <w:t xml:space="preserve">application for a </w:t>
      </w:r>
      <w:r w:rsidR="00500F1E" w:rsidRPr="006A2BB3">
        <w:rPr>
          <w:rFonts w:ascii="Arial" w:hAnsi="Arial"/>
          <w:sz w:val="24"/>
          <w:szCs w:val="24"/>
        </w:rPr>
        <w:t>property preservation order. For that reason, there is no conflict between s</w:t>
      </w:r>
      <w:r w:rsidR="00D35C77" w:rsidRPr="006A2BB3">
        <w:rPr>
          <w:rFonts w:ascii="Arial" w:hAnsi="Arial"/>
          <w:sz w:val="24"/>
          <w:szCs w:val="24"/>
        </w:rPr>
        <w:t xml:space="preserve"> 51(2) and </w:t>
      </w:r>
      <w:r w:rsidR="00806531">
        <w:rPr>
          <w:rFonts w:ascii="Arial" w:hAnsi="Arial"/>
          <w:sz w:val="24"/>
          <w:szCs w:val="24"/>
        </w:rPr>
        <w:t>r</w:t>
      </w:r>
      <w:r w:rsidR="00D35C77" w:rsidRPr="006A2BB3">
        <w:rPr>
          <w:rFonts w:ascii="Arial" w:hAnsi="Arial"/>
          <w:sz w:val="24"/>
          <w:szCs w:val="24"/>
        </w:rPr>
        <w:t>eg 7(b). Th</w:t>
      </w:r>
      <w:r w:rsidR="00500F1E" w:rsidRPr="006A2BB3">
        <w:rPr>
          <w:rFonts w:ascii="Arial" w:hAnsi="Arial"/>
          <w:sz w:val="24"/>
          <w:szCs w:val="24"/>
        </w:rPr>
        <w:t xml:space="preserve">us </w:t>
      </w:r>
      <w:r w:rsidRPr="006A2BB3">
        <w:rPr>
          <w:rFonts w:ascii="Arial" w:hAnsi="Arial"/>
          <w:sz w:val="24"/>
          <w:szCs w:val="24"/>
        </w:rPr>
        <w:t xml:space="preserve">the PG concludes, in this matter, </w:t>
      </w:r>
      <w:r w:rsidR="00500F1E" w:rsidRPr="006A2BB3">
        <w:rPr>
          <w:rFonts w:ascii="Arial" w:hAnsi="Arial"/>
          <w:sz w:val="24"/>
          <w:szCs w:val="24"/>
        </w:rPr>
        <w:t xml:space="preserve">an </w:t>
      </w:r>
      <w:r w:rsidR="00500F1E" w:rsidRPr="006A2BB3">
        <w:rPr>
          <w:rFonts w:ascii="Arial" w:hAnsi="Arial"/>
          <w:i/>
          <w:sz w:val="24"/>
          <w:szCs w:val="24"/>
        </w:rPr>
        <w:t>ex parte</w:t>
      </w:r>
      <w:r w:rsidR="00500F1E" w:rsidRPr="006A2BB3">
        <w:rPr>
          <w:rFonts w:ascii="Arial" w:hAnsi="Arial"/>
          <w:sz w:val="24"/>
          <w:szCs w:val="24"/>
        </w:rPr>
        <w:t xml:space="preserve"> application was proper. Further, the PG contends there was, accordingly, no basis to apply to the High Court </w:t>
      </w:r>
      <w:r w:rsidRPr="006A2BB3">
        <w:rPr>
          <w:rFonts w:ascii="Arial" w:hAnsi="Arial"/>
          <w:sz w:val="24"/>
          <w:szCs w:val="24"/>
        </w:rPr>
        <w:t xml:space="preserve">to dispense </w:t>
      </w:r>
      <w:r w:rsidR="00D35C77" w:rsidRPr="006A2BB3">
        <w:rPr>
          <w:rFonts w:ascii="Arial" w:hAnsi="Arial"/>
          <w:sz w:val="24"/>
          <w:szCs w:val="24"/>
        </w:rPr>
        <w:t>with</w:t>
      </w:r>
      <w:r w:rsidR="00500F1E" w:rsidRPr="006A2BB3">
        <w:rPr>
          <w:rFonts w:ascii="Arial" w:hAnsi="Arial"/>
          <w:sz w:val="24"/>
          <w:szCs w:val="24"/>
        </w:rPr>
        <w:t xml:space="preserve"> the </w:t>
      </w:r>
      <w:r w:rsidR="00806531">
        <w:rPr>
          <w:rFonts w:ascii="Arial" w:hAnsi="Arial"/>
          <w:sz w:val="24"/>
          <w:szCs w:val="24"/>
        </w:rPr>
        <w:t>r</w:t>
      </w:r>
      <w:r w:rsidR="00500F1E" w:rsidRPr="006A2BB3">
        <w:rPr>
          <w:rFonts w:ascii="Arial" w:hAnsi="Arial"/>
          <w:sz w:val="24"/>
          <w:szCs w:val="24"/>
        </w:rPr>
        <w:t xml:space="preserve">eg 7(b) notice. </w:t>
      </w:r>
    </w:p>
    <w:p w:rsidR="009E1CFD" w:rsidRPr="006A2BB3" w:rsidRDefault="009E1CFD" w:rsidP="006A2BB3">
      <w:pPr>
        <w:spacing w:after="0" w:line="480" w:lineRule="auto"/>
        <w:ind w:left="360"/>
        <w:jc w:val="both"/>
        <w:rPr>
          <w:rFonts w:ascii="Arial" w:hAnsi="Arial"/>
          <w:sz w:val="24"/>
          <w:szCs w:val="24"/>
        </w:rPr>
      </w:pPr>
    </w:p>
    <w:p w:rsidR="000971D6" w:rsidRPr="006A2BB3" w:rsidRDefault="00283373" w:rsidP="006A2BB3">
      <w:pPr>
        <w:spacing w:after="0" w:line="480" w:lineRule="auto"/>
        <w:jc w:val="both"/>
        <w:rPr>
          <w:rFonts w:ascii="Arial" w:hAnsi="Arial"/>
          <w:sz w:val="24"/>
          <w:szCs w:val="24"/>
        </w:rPr>
      </w:pPr>
      <w:r w:rsidRPr="006A2BB3">
        <w:rPr>
          <w:rFonts w:ascii="Arial" w:hAnsi="Arial"/>
          <w:sz w:val="24"/>
          <w:szCs w:val="24"/>
        </w:rPr>
        <w:t>[23</w:t>
      </w:r>
      <w:r w:rsidR="000971D6" w:rsidRPr="006A2BB3">
        <w:rPr>
          <w:rFonts w:ascii="Arial" w:hAnsi="Arial"/>
          <w:sz w:val="24"/>
          <w:szCs w:val="24"/>
        </w:rPr>
        <w:t>]</w:t>
      </w:r>
      <w:r w:rsidR="000971D6" w:rsidRPr="006A2BB3">
        <w:rPr>
          <w:rFonts w:ascii="Arial" w:hAnsi="Arial"/>
          <w:sz w:val="24"/>
          <w:szCs w:val="24"/>
        </w:rPr>
        <w:tab/>
        <w:t xml:space="preserve">The PG has an </w:t>
      </w:r>
      <w:r w:rsidRPr="006A2BB3">
        <w:rPr>
          <w:rFonts w:ascii="Arial" w:hAnsi="Arial"/>
          <w:sz w:val="24"/>
          <w:szCs w:val="24"/>
        </w:rPr>
        <w:t>alternative argument. She contends</w:t>
      </w:r>
      <w:r w:rsidR="000971D6" w:rsidRPr="006A2BB3">
        <w:rPr>
          <w:rFonts w:ascii="Arial" w:hAnsi="Arial"/>
          <w:sz w:val="24"/>
          <w:szCs w:val="24"/>
        </w:rPr>
        <w:t xml:space="preserve"> that even if </w:t>
      </w:r>
      <w:r w:rsidR="008D18D4">
        <w:rPr>
          <w:rFonts w:ascii="Arial" w:hAnsi="Arial"/>
          <w:sz w:val="24"/>
          <w:szCs w:val="24"/>
        </w:rPr>
        <w:t>r</w:t>
      </w:r>
      <w:r w:rsidR="000971D6" w:rsidRPr="006A2BB3">
        <w:rPr>
          <w:rFonts w:ascii="Arial" w:hAnsi="Arial"/>
          <w:sz w:val="24"/>
          <w:szCs w:val="24"/>
        </w:rPr>
        <w:t xml:space="preserve">eg 7 did apply, it would be </w:t>
      </w:r>
      <w:r w:rsidR="000971D6" w:rsidRPr="006A2BB3">
        <w:rPr>
          <w:rFonts w:ascii="Arial" w:hAnsi="Arial"/>
          <w:i/>
          <w:sz w:val="24"/>
          <w:szCs w:val="24"/>
        </w:rPr>
        <w:t>ultra vires</w:t>
      </w:r>
      <w:r w:rsidR="000971D6" w:rsidRPr="006A2BB3">
        <w:rPr>
          <w:rFonts w:ascii="Arial" w:hAnsi="Arial"/>
          <w:sz w:val="24"/>
          <w:szCs w:val="24"/>
        </w:rPr>
        <w:t xml:space="preserve"> as the Minister lacks the authority to make a regulation which contradicts parliamentary </w:t>
      </w:r>
      <w:r w:rsidRPr="006A2BB3">
        <w:rPr>
          <w:rFonts w:ascii="Arial" w:hAnsi="Arial"/>
          <w:sz w:val="24"/>
          <w:szCs w:val="24"/>
        </w:rPr>
        <w:t xml:space="preserve">enabling </w:t>
      </w:r>
      <w:r w:rsidR="000971D6" w:rsidRPr="006A2BB3">
        <w:rPr>
          <w:rFonts w:ascii="Arial" w:hAnsi="Arial"/>
          <w:sz w:val="24"/>
          <w:szCs w:val="24"/>
        </w:rPr>
        <w:t>le</w:t>
      </w:r>
      <w:r w:rsidRPr="006A2BB3">
        <w:rPr>
          <w:rFonts w:ascii="Arial" w:hAnsi="Arial"/>
          <w:sz w:val="24"/>
          <w:szCs w:val="24"/>
        </w:rPr>
        <w:t>gislation. Regulations, the PG submits</w:t>
      </w:r>
      <w:r w:rsidR="000971D6" w:rsidRPr="006A2BB3">
        <w:rPr>
          <w:rFonts w:ascii="Arial" w:hAnsi="Arial"/>
          <w:sz w:val="24"/>
          <w:szCs w:val="24"/>
        </w:rPr>
        <w:t xml:space="preserve">, must be interpreted </w:t>
      </w:r>
      <w:r w:rsidR="000971D6" w:rsidRPr="006A2BB3">
        <w:rPr>
          <w:rFonts w:ascii="Arial" w:hAnsi="Arial"/>
          <w:i/>
          <w:sz w:val="24"/>
          <w:szCs w:val="24"/>
        </w:rPr>
        <w:t>intra vires</w:t>
      </w:r>
      <w:r w:rsidR="000971D6" w:rsidRPr="006A2BB3">
        <w:rPr>
          <w:rFonts w:ascii="Arial" w:hAnsi="Arial"/>
          <w:sz w:val="24"/>
          <w:szCs w:val="24"/>
        </w:rPr>
        <w:t xml:space="preserve"> their enabling legislation</w:t>
      </w:r>
      <w:r w:rsidRPr="006A2BB3">
        <w:rPr>
          <w:rFonts w:ascii="Arial" w:hAnsi="Arial"/>
          <w:sz w:val="24"/>
          <w:szCs w:val="24"/>
        </w:rPr>
        <w:t xml:space="preserve"> to preserve their validity but</w:t>
      </w:r>
      <w:r w:rsidR="000971D6" w:rsidRPr="006A2BB3">
        <w:rPr>
          <w:rFonts w:ascii="Arial" w:hAnsi="Arial"/>
          <w:sz w:val="24"/>
          <w:szCs w:val="24"/>
        </w:rPr>
        <w:t xml:space="preserve"> only when it is reasonable to do so. The reasonable interpretation which </w:t>
      </w:r>
      <w:r w:rsidR="008D18D4">
        <w:rPr>
          <w:rFonts w:ascii="Arial" w:hAnsi="Arial"/>
          <w:sz w:val="24"/>
          <w:szCs w:val="24"/>
        </w:rPr>
        <w:t>r</w:t>
      </w:r>
      <w:r w:rsidR="000971D6" w:rsidRPr="006A2BB3">
        <w:rPr>
          <w:rFonts w:ascii="Arial" w:hAnsi="Arial"/>
          <w:sz w:val="24"/>
          <w:szCs w:val="24"/>
        </w:rPr>
        <w:t xml:space="preserve">eg 7(b) must be given to preserve its validity, she concludes, is that it does not apply to s 51(2) </w:t>
      </w:r>
      <w:r w:rsidR="000971D6" w:rsidRPr="006A2BB3">
        <w:rPr>
          <w:rFonts w:ascii="Arial" w:hAnsi="Arial"/>
          <w:i/>
          <w:sz w:val="24"/>
          <w:szCs w:val="24"/>
        </w:rPr>
        <w:t>ex parte</w:t>
      </w:r>
      <w:r w:rsidR="000971D6" w:rsidRPr="006A2BB3">
        <w:rPr>
          <w:rFonts w:ascii="Arial" w:hAnsi="Arial"/>
          <w:sz w:val="24"/>
          <w:szCs w:val="24"/>
        </w:rPr>
        <w:t xml:space="preserve"> applications. Any alternative interpreta</w:t>
      </w:r>
      <w:r w:rsidR="00757E54" w:rsidRPr="006A2BB3">
        <w:rPr>
          <w:rFonts w:ascii="Arial" w:hAnsi="Arial"/>
          <w:sz w:val="24"/>
          <w:szCs w:val="24"/>
        </w:rPr>
        <w:t>tion would be unreasonable and</w:t>
      </w:r>
      <w:r w:rsidR="000971D6" w:rsidRPr="006A2BB3">
        <w:rPr>
          <w:rFonts w:ascii="Arial" w:hAnsi="Arial"/>
          <w:sz w:val="24"/>
          <w:szCs w:val="24"/>
        </w:rPr>
        <w:t xml:space="preserve"> would render it invalid. For that reason, the PG argues, the decision of the High Court that </w:t>
      </w:r>
      <w:r w:rsidR="00757E54" w:rsidRPr="006A2BB3">
        <w:rPr>
          <w:rFonts w:ascii="Arial" w:hAnsi="Arial"/>
          <w:sz w:val="24"/>
          <w:szCs w:val="24"/>
        </w:rPr>
        <w:t xml:space="preserve">she </w:t>
      </w:r>
      <w:r w:rsidR="000971D6" w:rsidRPr="006A2BB3">
        <w:rPr>
          <w:rFonts w:ascii="Arial" w:hAnsi="Arial"/>
          <w:sz w:val="24"/>
          <w:szCs w:val="24"/>
        </w:rPr>
        <w:t>had to apply for a s 91(2) order exempting her</w:t>
      </w:r>
      <w:r w:rsidR="00757E54" w:rsidRPr="006A2BB3">
        <w:rPr>
          <w:rFonts w:ascii="Arial" w:hAnsi="Arial"/>
          <w:sz w:val="24"/>
          <w:szCs w:val="24"/>
        </w:rPr>
        <w:t xml:space="preserve"> from the </w:t>
      </w:r>
      <w:r w:rsidR="00E238F1">
        <w:rPr>
          <w:rFonts w:ascii="Arial" w:hAnsi="Arial"/>
          <w:sz w:val="24"/>
          <w:szCs w:val="24"/>
        </w:rPr>
        <w:t>r</w:t>
      </w:r>
      <w:r w:rsidR="00757E54" w:rsidRPr="006A2BB3">
        <w:rPr>
          <w:rFonts w:ascii="Arial" w:hAnsi="Arial"/>
          <w:sz w:val="24"/>
          <w:szCs w:val="24"/>
        </w:rPr>
        <w:t>eg 7(b) seven-</w:t>
      </w:r>
      <w:r w:rsidR="000971D6" w:rsidRPr="006A2BB3">
        <w:rPr>
          <w:rFonts w:ascii="Arial" w:hAnsi="Arial"/>
          <w:sz w:val="24"/>
          <w:szCs w:val="24"/>
        </w:rPr>
        <w:t xml:space="preserve">day notice as a requirement for a s 51(2) </w:t>
      </w:r>
      <w:r w:rsidR="000971D6" w:rsidRPr="006A2BB3">
        <w:rPr>
          <w:rFonts w:ascii="Arial" w:hAnsi="Arial"/>
          <w:i/>
          <w:sz w:val="24"/>
          <w:szCs w:val="24"/>
        </w:rPr>
        <w:t>ex parte</w:t>
      </w:r>
      <w:r w:rsidR="000971D6" w:rsidRPr="006A2BB3">
        <w:rPr>
          <w:rFonts w:ascii="Arial" w:hAnsi="Arial"/>
          <w:sz w:val="24"/>
          <w:szCs w:val="24"/>
        </w:rPr>
        <w:t xml:space="preserve"> property preservation order was</w:t>
      </w:r>
      <w:r w:rsidR="008D18D4">
        <w:rPr>
          <w:rFonts w:ascii="Arial" w:hAnsi="Arial"/>
          <w:sz w:val="24"/>
          <w:szCs w:val="24"/>
        </w:rPr>
        <w:t>,</w:t>
      </w:r>
      <w:r w:rsidR="000971D6" w:rsidRPr="006A2BB3">
        <w:rPr>
          <w:rFonts w:ascii="Arial" w:hAnsi="Arial"/>
          <w:sz w:val="24"/>
          <w:szCs w:val="24"/>
        </w:rPr>
        <w:t xml:space="preserve"> therefore, incorrect. </w:t>
      </w:r>
    </w:p>
    <w:p w:rsidR="009E1CFD" w:rsidRPr="006A2BB3" w:rsidRDefault="009E1CFD" w:rsidP="006A2BB3">
      <w:pPr>
        <w:spacing w:after="0" w:line="480" w:lineRule="auto"/>
        <w:ind w:left="360"/>
        <w:jc w:val="both"/>
        <w:rPr>
          <w:rFonts w:ascii="Arial" w:hAnsi="Arial"/>
          <w:sz w:val="24"/>
          <w:szCs w:val="24"/>
        </w:rPr>
      </w:pPr>
    </w:p>
    <w:p w:rsidR="000971D6" w:rsidRPr="006A2BB3" w:rsidRDefault="00757E54" w:rsidP="006A2BB3">
      <w:pPr>
        <w:spacing w:after="0" w:line="480" w:lineRule="auto"/>
        <w:jc w:val="both"/>
        <w:rPr>
          <w:rFonts w:ascii="Arial" w:hAnsi="Arial"/>
          <w:sz w:val="24"/>
          <w:szCs w:val="24"/>
        </w:rPr>
      </w:pPr>
      <w:r w:rsidRPr="006A2BB3">
        <w:rPr>
          <w:rFonts w:ascii="Arial" w:hAnsi="Arial"/>
          <w:sz w:val="24"/>
          <w:szCs w:val="24"/>
        </w:rPr>
        <w:t>[24</w:t>
      </w:r>
      <w:r w:rsidR="000971D6" w:rsidRPr="006A2BB3">
        <w:rPr>
          <w:rFonts w:ascii="Arial" w:hAnsi="Arial"/>
          <w:sz w:val="24"/>
          <w:szCs w:val="24"/>
        </w:rPr>
        <w:t>]</w:t>
      </w:r>
      <w:r w:rsidR="000971D6" w:rsidRPr="006A2BB3">
        <w:rPr>
          <w:rFonts w:ascii="Arial" w:hAnsi="Arial"/>
          <w:sz w:val="24"/>
          <w:szCs w:val="24"/>
        </w:rPr>
        <w:tab/>
      </w:r>
      <w:r w:rsidR="00D35C77" w:rsidRPr="006A2BB3">
        <w:rPr>
          <w:rFonts w:ascii="Arial" w:hAnsi="Arial"/>
          <w:sz w:val="24"/>
          <w:szCs w:val="24"/>
        </w:rPr>
        <w:t>Thus</w:t>
      </w:r>
      <w:r w:rsidRPr="006A2BB3">
        <w:rPr>
          <w:rFonts w:ascii="Arial" w:hAnsi="Arial"/>
          <w:sz w:val="24"/>
          <w:szCs w:val="24"/>
        </w:rPr>
        <w:t>, t</w:t>
      </w:r>
      <w:r w:rsidR="000971D6" w:rsidRPr="006A2BB3">
        <w:rPr>
          <w:rFonts w:ascii="Arial" w:hAnsi="Arial"/>
          <w:sz w:val="24"/>
          <w:szCs w:val="24"/>
        </w:rPr>
        <w:t>he proper interpretation of the applicable legislation, the PG</w:t>
      </w:r>
      <w:r w:rsidRPr="006A2BB3">
        <w:rPr>
          <w:rFonts w:ascii="Arial" w:hAnsi="Arial"/>
          <w:sz w:val="24"/>
          <w:szCs w:val="24"/>
        </w:rPr>
        <w:t xml:space="preserve"> concludes, is that </w:t>
      </w:r>
      <w:r w:rsidR="008D18D4">
        <w:rPr>
          <w:rFonts w:ascii="Arial" w:hAnsi="Arial"/>
          <w:sz w:val="24"/>
          <w:szCs w:val="24"/>
        </w:rPr>
        <w:t>r</w:t>
      </w:r>
      <w:r w:rsidRPr="006A2BB3">
        <w:rPr>
          <w:rFonts w:ascii="Arial" w:hAnsi="Arial"/>
          <w:sz w:val="24"/>
          <w:szCs w:val="24"/>
        </w:rPr>
        <w:t>eg 7(b) does not apply as a requirement of</w:t>
      </w:r>
      <w:r w:rsidR="000971D6" w:rsidRPr="006A2BB3">
        <w:rPr>
          <w:rFonts w:ascii="Arial" w:hAnsi="Arial"/>
          <w:sz w:val="24"/>
          <w:szCs w:val="24"/>
        </w:rPr>
        <w:t xml:space="preserve"> s 51(2). </w:t>
      </w:r>
      <w:r w:rsidRPr="006A2BB3">
        <w:rPr>
          <w:rFonts w:ascii="Arial" w:hAnsi="Arial"/>
          <w:sz w:val="24"/>
          <w:szCs w:val="24"/>
        </w:rPr>
        <w:t xml:space="preserve">For that reason, she </w:t>
      </w:r>
      <w:r w:rsidR="000971D6" w:rsidRPr="006A2BB3">
        <w:rPr>
          <w:rFonts w:ascii="Arial" w:hAnsi="Arial"/>
          <w:sz w:val="24"/>
          <w:szCs w:val="24"/>
        </w:rPr>
        <w:t xml:space="preserve">was </w:t>
      </w:r>
      <w:r w:rsidRPr="006A2BB3">
        <w:rPr>
          <w:rFonts w:ascii="Arial" w:hAnsi="Arial"/>
          <w:sz w:val="24"/>
          <w:szCs w:val="24"/>
        </w:rPr>
        <w:t xml:space="preserve">well </w:t>
      </w:r>
      <w:r w:rsidR="000971D6" w:rsidRPr="006A2BB3">
        <w:rPr>
          <w:rFonts w:ascii="Arial" w:hAnsi="Arial"/>
          <w:sz w:val="24"/>
          <w:szCs w:val="24"/>
        </w:rPr>
        <w:t xml:space="preserve">within her rights to apply </w:t>
      </w:r>
      <w:r w:rsidRPr="006A2BB3">
        <w:rPr>
          <w:rFonts w:ascii="Arial" w:hAnsi="Arial"/>
          <w:i/>
          <w:sz w:val="24"/>
          <w:szCs w:val="24"/>
        </w:rPr>
        <w:t>ex parte</w:t>
      </w:r>
      <w:r w:rsidRPr="006A2BB3">
        <w:rPr>
          <w:rFonts w:ascii="Arial" w:hAnsi="Arial"/>
          <w:sz w:val="24"/>
          <w:szCs w:val="24"/>
        </w:rPr>
        <w:t xml:space="preserve"> </w:t>
      </w:r>
      <w:r w:rsidR="000971D6" w:rsidRPr="006A2BB3">
        <w:rPr>
          <w:rFonts w:ascii="Arial" w:hAnsi="Arial"/>
          <w:sz w:val="24"/>
          <w:szCs w:val="24"/>
        </w:rPr>
        <w:t>for a s 51(2) property preservation order wi</w:t>
      </w:r>
      <w:r w:rsidRPr="006A2BB3">
        <w:rPr>
          <w:rFonts w:ascii="Arial" w:hAnsi="Arial"/>
          <w:sz w:val="24"/>
          <w:szCs w:val="24"/>
        </w:rPr>
        <w:t xml:space="preserve">thout the </w:t>
      </w:r>
      <w:r w:rsidR="008D18D4">
        <w:rPr>
          <w:rFonts w:ascii="Arial" w:hAnsi="Arial"/>
          <w:sz w:val="24"/>
          <w:szCs w:val="24"/>
        </w:rPr>
        <w:t>r</w:t>
      </w:r>
      <w:r w:rsidRPr="006A2BB3">
        <w:rPr>
          <w:rFonts w:ascii="Arial" w:hAnsi="Arial"/>
          <w:sz w:val="24"/>
          <w:szCs w:val="24"/>
        </w:rPr>
        <w:t>eg 7(b) seven-</w:t>
      </w:r>
      <w:r w:rsidR="000971D6" w:rsidRPr="006A2BB3">
        <w:rPr>
          <w:rFonts w:ascii="Arial" w:hAnsi="Arial"/>
          <w:sz w:val="24"/>
          <w:szCs w:val="24"/>
        </w:rPr>
        <w:t xml:space="preserve">day notice. And, in view of the non-application of </w:t>
      </w:r>
      <w:r w:rsidR="008D18D4">
        <w:rPr>
          <w:rFonts w:ascii="Arial" w:hAnsi="Arial"/>
          <w:sz w:val="24"/>
          <w:szCs w:val="24"/>
        </w:rPr>
        <w:t>r</w:t>
      </w:r>
      <w:r w:rsidR="000971D6" w:rsidRPr="006A2BB3">
        <w:rPr>
          <w:rFonts w:ascii="Arial" w:hAnsi="Arial"/>
          <w:sz w:val="24"/>
          <w:szCs w:val="24"/>
        </w:rPr>
        <w:t>eg 7(b)</w:t>
      </w:r>
      <w:r w:rsidR="00FB2C3A" w:rsidRPr="006A2BB3">
        <w:rPr>
          <w:rFonts w:ascii="Arial" w:hAnsi="Arial"/>
          <w:sz w:val="24"/>
          <w:szCs w:val="24"/>
        </w:rPr>
        <w:t xml:space="preserve">, there was also no need for a s 91(2) application for exemption from the notice requirements of </w:t>
      </w:r>
      <w:r w:rsidR="008D18D4">
        <w:rPr>
          <w:rFonts w:ascii="Arial" w:hAnsi="Arial"/>
          <w:sz w:val="24"/>
          <w:szCs w:val="24"/>
        </w:rPr>
        <w:t>r</w:t>
      </w:r>
      <w:r w:rsidR="00FB2C3A" w:rsidRPr="006A2BB3">
        <w:rPr>
          <w:rFonts w:ascii="Arial" w:hAnsi="Arial"/>
          <w:sz w:val="24"/>
          <w:szCs w:val="24"/>
        </w:rPr>
        <w:t xml:space="preserve">eg 7(b). </w:t>
      </w:r>
    </w:p>
    <w:p w:rsidR="009E1CFD" w:rsidRPr="006A2BB3" w:rsidRDefault="009E1CFD" w:rsidP="006A2BB3">
      <w:pPr>
        <w:spacing w:after="0" w:line="480" w:lineRule="auto"/>
        <w:ind w:left="360"/>
        <w:jc w:val="both"/>
        <w:rPr>
          <w:rFonts w:ascii="Arial" w:hAnsi="Arial"/>
          <w:sz w:val="24"/>
          <w:szCs w:val="24"/>
        </w:rPr>
      </w:pPr>
    </w:p>
    <w:p w:rsidR="00247B04" w:rsidRDefault="00757E54" w:rsidP="006A2BB3">
      <w:pPr>
        <w:spacing w:after="0" w:line="480" w:lineRule="auto"/>
        <w:jc w:val="both"/>
        <w:rPr>
          <w:rFonts w:ascii="Arial" w:hAnsi="Arial"/>
          <w:sz w:val="24"/>
          <w:szCs w:val="24"/>
        </w:rPr>
      </w:pPr>
      <w:r w:rsidRPr="006A2BB3">
        <w:rPr>
          <w:rFonts w:ascii="Arial" w:hAnsi="Arial"/>
          <w:sz w:val="24"/>
          <w:szCs w:val="24"/>
        </w:rPr>
        <w:t>[25</w:t>
      </w:r>
      <w:r w:rsidR="00FB2C3A" w:rsidRPr="006A2BB3">
        <w:rPr>
          <w:rFonts w:ascii="Arial" w:hAnsi="Arial"/>
          <w:sz w:val="24"/>
          <w:szCs w:val="24"/>
        </w:rPr>
        <w:t>]</w:t>
      </w:r>
      <w:r w:rsidR="00FB2C3A" w:rsidRPr="006A2BB3">
        <w:rPr>
          <w:rFonts w:ascii="Arial" w:hAnsi="Arial"/>
          <w:sz w:val="24"/>
          <w:szCs w:val="24"/>
        </w:rPr>
        <w:tab/>
        <w:t xml:space="preserve">If the High Court’s interpretation were </w:t>
      </w:r>
      <w:r w:rsidRPr="006A2BB3">
        <w:rPr>
          <w:rFonts w:ascii="Arial" w:hAnsi="Arial"/>
          <w:sz w:val="24"/>
          <w:szCs w:val="24"/>
        </w:rPr>
        <w:t xml:space="preserve">permitted </w:t>
      </w:r>
      <w:r w:rsidR="00FB2C3A" w:rsidRPr="006A2BB3">
        <w:rPr>
          <w:rFonts w:ascii="Arial" w:hAnsi="Arial"/>
          <w:sz w:val="24"/>
          <w:szCs w:val="24"/>
        </w:rPr>
        <w:t xml:space="preserve">to stand, the statutory right of the PG to proceed </w:t>
      </w:r>
      <w:r w:rsidR="00FB2C3A" w:rsidRPr="006A2BB3">
        <w:rPr>
          <w:rFonts w:ascii="Arial" w:hAnsi="Arial"/>
          <w:i/>
          <w:sz w:val="24"/>
          <w:szCs w:val="24"/>
        </w:rPr>
        <w:t>ex parte</w:t>
      </w:r>
      <w:r w:rsidR="00FB2C3A" w:rsidRPr="006A2BB3">
        <w:rPr>
          <w:rFonts w:ascii="Arial" w:hAnsi="Arial"/>
          <w:sz w:val="24"/>
          <w:szCs w:val="24"/>
        </w:rPr>
        <w:t xml:space="preserve"> in an application for a property preservation order would have to be sought not in s</w:t>
      </w:r>
      <w:r w:rsidRPr="006A2BB3">
        <w:rPr>
          <w:rFonts w:ascii="Arial" w:hAnsi="Arial"/>
          <w:sz w:val="24"/>
          <w:szCs w:val="24"/>
        </w:rPr>
        <w:t xml:space="preserve"> 51(2)</w:t>
      </w:r>
      <w:r w:rsidR="008D18D4">
        <w:rPr>
          <w:rFonts w:ascii="Arial" w:hAnsi="Arial"/>
          <w:sz w:val="24"/>
          <w:szCs w:val="24"/>
        </w:rPr>
        <w:t>,</w:t>
      </w:r>
      <w:r w:rsidRPr="006A2BB3">
        <w:rPr>
          <w:rFonts w:ascii="Arial" w:hAnsi="Arial"/>
          <w:sz w:val="24"/>
          <w:szCs w:val="24"/>
        </w:rPr>
        <w:t xml:space="preserve"> as was held in </w:t>
      </w:r>
      <w:r w:rsidR="009F605C" w:rsidRPr="006A2BB3">
        <w:rPr>
          <w:rFonts w:ascii="Arial" w:hAnsi="Arial"/>
          <w:i/>
          <w:sz w:val="24"/>
          <w:szCs w:val="24"/>
        </w:rPr>
        <w:t>Uuyuni</w:t>
      </w:r>
      <w:r w:rsidR="00FB2C3A" w:rsidRPr="006A2BB3">
        <w:rPr>
          <w:rFonts w:ascii="Arial" w:hAnsi="Arial"/>
          <w:sz w:val="24"/>
          <w:szCs w:val="24"/>
        </w:rPr>
        <w:t xml:space="preserve">, but in s 91. In this case, argued the PG, the error of the High Court was </w:t>
      </w:r>
      <w:r w:rsidRPr="006A2BB3">
        <w:rPr>
          <w:rFonts w:ascii="Arial" w:hAnsi="Arial"/>
          <w:sz w:val="24"/>
          <w:szCs w:val="24"/>
        </w:rPr>
        <w:t xml:space="preserve">to lose sight of the fact that </w:t>
      </w:r>
      <w:r w:rsidR="008D18D4">
        <w:rPr>
          <w:rFonts w:ascii="Arial" w:hAnsi="Arial"/>
          <w:sz w:val="24"/>
          <w:szCs w:val="24"/>
        </w:rPr>
        <w:t>r</w:t>
      </w:r>
      <w:r w:rsidR="00FB2C3A" w:rsidRPr="006A2BB3">
        <w:rPr>
          <w:rFonts w:ascii="Arial" w:hAnsi="Arial"/>
          <w:sz w:val="24"/>
          <w:szCs w:val="24"/>
        </w:rPr>
        <w:t>eg 7(b) is subordinate legislation to s 51(2) and cann</w:t>
      </w:r>
      <w:r w:rsidRPr="006A2BB3">
        <w:rPr>
          <w:rFonts w:ascii="Arial" w:hAnsi="Arial"/>
          <w:sz w:val="24"/>
          <w:szCs w:val="24"/>
        </w:rPr>
        <w:t xml:space="preserve">ot be interpreted to vary it’s </w:t>
      </w:r>
      <w:r w:rsidR="00FB2C3A" w:rsidRPr="006A2BB3">
        <w:rPr>
          <w:rFonts w:ascii="Arial" w:hAnsi="Arial"/>
          <w:sz w:val="24"/>
          <w:szCs w:val="24"/>
        </w:rPr>
        <w:t xml:space="preserve">legislative authority as if together, they are one piece of legislation. The </w:t>
      </w:r>
      <w:r w:rsidRPr="006A2BB3">
        <w:rPr>
          <w:rFonts w:ascii="Arial" w:hAnsi="Arial"/>
          <w:sz w:val="24"/>
          <w:szCs w:val="24"/>
        </w:rPr>
        <w:t xml:space="preserve">section </w:t>
      </w:r>
      <w:r w:rsidR="00FB2C3A" w:rsidRPr="006A2BB3">
        <w:rPr>
          <w:rFonts w:ascii="Arial" w:hAnsi="Arial"/>
          <w:sz w:val="24"/>
          <w:szCs w:val="24"/>
        </w:rPr>
        <w:t>must first be int</w:t>
      </w:r>
      <w:r w:rsidRPr="006A2BB3">
        <w:rPr>
          <w:rFonts w:ascii="Arial" w:hAnsi="Arial"/>
          <w:sz w:val="24"/>
          <w:szCs w:val="24"/>
        </w:rPr>
        <w:t xml:space="preserve">erpreted. And if the </w:t>
      </w:r>
      <w:r w:rsidR="008D18D4">
        <w:rPr>
          <w:rFonts w:ascii="Arial" w:hAnsi="Arial"/>
          <w:sz w:val="24"/>
          <w:szCs w:val="24"/>
        </w:rPr>
        <w:t>r</w:t>
      </w:r>
      <w:r w:rsidRPr="006A2BB3">
        <w:rPr>
          <w:rFonts w:ascii="Arial" w:hAnsi="Arial"/>
          <w:sz w:val="24"/>
          <w:szCs w:val="24"/>
        </w:rPr>
        <w:t>egulation</w:t>
      </w:r>
      <w:r w:rsidR="00FB2C3A" w:rsidRPr="006A2BB3">
        <w:rPr>
          <w:rFonts w:ascii="Arial" w:hAnsi="Arial"/>
          <w:sz w:val="24"/>
          <w:szCs w:val="24"/>
        </w:rPr>
        <w:t xml:space="preserve"> purports to alter the interp</w:t>
      </w:r>
      <w:r w:rsidRPr="006A2BB3">
        <w:rPr>
          <w:rFonts w:ascii="Arial" w:hAnsi="Arial"/>
          <w:sz w:val="24"/>
          <w:szCs w:val="24"/>
        </w:rPr>
        <w:t>retation of the section</w:t>
      </w:r>
      <w:r w:rsidR="00FB2C3A" w:rsidRPr="006A2BB3">
        <w:rPr>
          <w:rFonts w:ascii="Arial" w:hAnsi="Arial"/>
          <w:sz w:val="24"/>
          <w:szCs w:val="24"/>
        </w:rPr>
        <w:t xml:space="preserve">, </w:t>
      </w:r>
      <w:r w:rsidRPr="006A2BB3">
        <w:rPr>
          <w:rFonts w:ascii="Arial" w:hAnsi="Arial"/>
          <w:sz w:val="24"/>
          <w:szCs w:val="24"/>
        </w:rPr>
        <w:t>it must be rendered invalid</w:t>
      </w:r>
      <w:r w:rsidR="00FB2C3A" w:rsidRPr="006A2BB3">
        <w:rPr>
          <w:rFonts w:ascii="Arial" w:hAnsi="Arial"/>
          <w:sz w:val="24"/>
          <w:szCs w:val="24"/>
        </w:rPr>
        <w:t xml:space="preserve">. </w:t>
      </w:r>
    </w:p>
    <w:p w:rsidR="008D18D4" w:rsidRPr="006A2BB3" w:rsidRDefault="008D18D4" w:rsidP="006A2BB3">
      <w:pPr>
        <w:spacing w:after="0" w:line="480" w:lineRule="auto"/>
        <w:jc w:val="both"/>
        <w:rPr>
          <w:rFonts w:ascii="Arial" w:hAnsi="Arial"/>
          <w:sz w:val="24"/>
          <w:szCs w:val="24"/>
        </w:rPr>
      </w:pPr>
    </w:p>
    <w:p w:rsidR="004A347C" w:rsidRPr="006A2BB3" w:rsidRDefault="00757E54" w:rsidP="006A2BB3">
      <w:pPr>
        <w:spacing w:after="0" w:line="480" w:lineRule="auto"/>
        <w:jc w:val="both"/>
        <w:rPr>
          <w:rFonts w:ascii="Arial" w:hAnsi="Arial"/>
          <w:sz w:val="24"/>
          <w:szCs w:val="24"/>
        </w:rPr>
      </w:pPr>
      <w:r w:rsidRPr="006A2BB3">
        <w:rPr>
          <w:rFonts w:ascii="Arial" w:hAnsi="Arial"/>
          <w:sz w:val="24"/>
          <w:szCs w:val="24"/>
        </w:rPr>
        <w:t>[26</w:t>
      </w:r>
      <w:r w:rsidR="004A347C" w:rsidRPr="006A2BB3">
        <w:rPr>
          <w:rFonts w:ascii="Arial" w:hAnsi="Arial"/>
          <w:sz w:val="24"/>
          <w:szCs w:val="24"/>
        </w:rPr>
        <w:t>]</w:t>
      </w:r>
      <w:r w:rsidR="004A347C" w:rsidRPr="006A2BB3">
        <w:rPr>
          <w:rFonts w:ascii="Arial" w:hAnsi="Arial"/>
          <w:sz w:val="24"/>
          <w:szCs w:val="24"/>
        </w:rPr>
        <w:tab/>
        <w:t xml:space="preserve">The High Court’s concern that any other interpretation of </w:t>
      </w:r>
      <w:r w:rsidR="008D18D4">
        <w:rPr>
          <w:rFonts w:ascii="Arial" w:hAnsi="Arial"/>
          <w:sz w:val="24"/>
          <w:szCs w:val="24"/>
        </w:rPr>
        <w:t>r</w:t>
      </w:r>
      <w:r w:rsidR="004A347C" w:rsidRPr="006A2BB3">
        <w:rPr>
          <w:rFonts w:ascii="Arial" w:hAnsi="Arial"/>
          <w:sz w:val="24"/>
          <w:szCs w:val="24"/>
        </w:rPr>
        <w:t>eg 7(b) would make inroads into the respondent’s fair tr</w:t>
      </w:r>
      <w:r w:rsidRPr="006A2BB3">
        <w:rPr>
          <w:rFonts w:ascii="Arial" w:hAnsi="Arial"/>
          <w:sz w:val="24"/>
          <w:szCs w:val="24"/>
        </w:rPr>
        <w:t>ial and common law rights, the PG</w:t>
      </w:r>
      <w:r w:rsidR="004A347C" w:rsidRPr="006A2BB3">
        <w:rPr>
          <w:rFonts w:ascii="Arial" w:hAnsi="Arial"/>
          <w:sz w:val="24"/>
          <w:szCs w:val="24"/>
        </w:rPr>
        <w:t xml:space="preserve"> submits, is misplaced. The purpose of the </w:t>
      </w:r>
      <w:r w:rsidR="004A347C" w:rsidRPr="006A2BB3">
        <w:rPr>
          <w:rFonts w:ascii="Arial" w:hAnsi="Arial"/>
          <w:i/>
          <w:sz w:val="24"/>
          <w:szCs w:val="24"/>
        </w:rPr>
        <w:t>ex parte</w:t>
      </w:r>
      <w:r w:rsidR="004A347C" w:rsidRPr="006A2BB3">
        <w:rPr>
          <w:rFonts w:ascii="Arial" w:hAnsi="Arial"/>
          <w:sz w:val="24"/>
          <w:szCs w:val="24"/>
        </w:rPr>
        <w:t xml:space="preserve"> order is merely provisional, preventing the property from being disposed of before the </w:t>
      </w:r>
      <w:r w:rsidRPr="006A2BB3">
        <w:rPr>
          <w:rFonts w:ascii="Arial" w:hAnsi="Arial"/>
          <w:sz w:val="24"/>
          <w:szCs w:val="24"/>
        </w:rPr>
        <w:t xml:space="preserve">legal </w:t>
      </w:r>
      <w:r w:rsidR="004A347C" w:rsidRPr="006A2BB3">
        <w:rPr>
          <w:rFonts w:ascii="Arial" w:hAnsi="Arial"/>
          <w:sz w:val="24"/>
          <w:szCs w:val="24"/>
        </w:rPr>
        <w:t>proceedings take effect</w:t>
      </w:r>
      <w:r w:rsidR="00D35C77" w:rsidRPr="006A2BB3">
        <w:rPr>
          <w:rFonts w:ascii="Arial" w:hAnsi="Arial"/>
          <w:sz w:val="24"/>
          <w:szCs w:val="24"/>
        </w:rPr>
        <w:t>. So too are</w:t>
      </w:r>
      <w:r w:rsidR="004A347C" w:rsidRPr="006A2BB3">
        <w:rPr>
          <w:rFonts w:ascii="Arial" w:hAnsi="Arial"/>
          <w:sz w:val="24"/>
          <w:szCs w:val="24"/>
        </w:rPr>
        <w:t xml:space="preserve"> the </w:t>
      </w:r>
      <w:r w:rsidR="004A347C" w:rsidRPr="006A2BB3">
        <w:rPr>
          <w:rFonts w:ascii="Arial" w:hAnsi="Arial"/>
          <w:i/>
          <w:sz w:val="24"/>
          <w:szCs w:val="24"/>
        </w:rPr>
        <w:t>audi alteram partem</w:t>
      </w:r>
      <w:r w:rsidR="004A347C" w:rsidRPr="006A2BB3">
        <w:rPr>
          <w:rFonts w:ascii="Arial" w:hAnsi="Arial"/>
          <w:sz w:val="24"/>
          <w:szCs w:val="24"/>
        </w:rPr>
        <w:t xml:space="preserve"> rights r</w:t>
      </w:r>
      <w:r w:rsidRPr="006A2BB3">
        <w:rPr>
          <w:rFonts w:ascii="Arial" w:hAnsi="Arial"/>
          <w:sz w:val="24"/>
          <w:szCs w:val="24"/>
        </w:rPr>
        <w:t>eserved for the application of a final order</w:t>
      </w:r>
      <w:r w:rsidR="004A347C" w:rsidRPr="006A2BB3">
        <w:rPr>
          <w:rFonts w:ascii="Arial" w:hAnsi="Arial"/>
          <w:sz w:val="24"/>
          <w:szCs w:val="24"/>
        </w:rPr>
        <w:t xml:space="preserve">, a reasoning previously endorsed by the </w:t>
      </w:r>
      <w:r w:rsidR="00BE2641" w:rsidRPr="006A2BB3">
        <w:rPr>
          <w:rFonts w:ascii="Arial" w:hAnsi="Arial"/>
          <w:sz w:val="24"/>
          <w:szCs w:val="24"/>
        </w:rPr>
        <w:t>same</w:t>
      </w:r>
      <w:r w:rsidR="004A347C" w:rsidRPr="006A2BB3">
        <w:rPr>
          <w:rFonts w:ascii="Arial" w:hAnsi="Arial"/>
          <w:sz w:val="24"/>
          <w:szCs w:val="24"/>
        </w:rPr>
        <w:t xml:space="preserve"> High Court in </w:t>
      </w:r>
      <w:r w:rsidR="004A347C" w:rsidRPr="006A2BB3">
        <w:rPr>
          <w:rFonts w:ascii="Arial" w:hAnsi="Arial"/>
          <w:i/>
          <w:sz w:val="24"/>
          <w:szCs w:val="24"/>
        </w:rPr>
        <w:t>Shal</w:t>
      </w:r>
      <w:r w:rsidR="00331524">
        <w:rPr>
          <w:rFonts w:ascii="Arial" w:hAnsi="Arial"/>
          <w:i/>
          <w:sz w:val="24"/>
          <w:szCs w:val="24"/>
        </w:rPr>
        <w:t>li</w:t>
      </w:r>
      <w:r w:rsidR="004A347C" w:rsidRPr="006A2BB3">
        <w:rPr>
          <w:rFonts w:ascii="Arial" w:hAnsi="Arial"/>
          <w:i/>
          <w:sz w:val="24"/>
          <w:szCs w:val="24"/>
        </w:rPr>
        <w:t xml:space="preserve"> v Attorney</w:t>
      </w:r>
      <w:r w:rsidR="00096E42">
        <w:rPr>
          <w:rFonts w:ascii="Arial" w:hAnsi="Arial"/>
          <w:i/>
          <w:sz w:val="24"/>
          <w:szCs w:val="24"/>
        </w:rPr>
        <w:t>-</w:t>
      </w:r>
      <w:r w:rsidR="004A347C" w:rsidRPr="006A2BB3">
        <w:rPr>
          <w:rFonts w:ascii="Arial" w:hAnsi="Arial"/>
          <w:i/>
          <w:sz w:val="24"/>
          <w:szCs w:val="24"/>
        </w:rPr>
        <w:t>General</w:t>
      </w:r>
      <w:r w:rsidR="00BE2641" w:rsidRPr="006A2BB3">
        <w:rPr>
          <w:rFonts w:ascii="Arial" w:hAnsi="Arial"/>
          <w:i/>
          <w:sz w:val="24"/>
          <w:szCs w:val="24"/>
        </w:rPr>
        <w:t xml:space="preserve"> </w:t>
      </w:r>
      <w:r w:rsidR="00620567">
        <w:rPr>
          <w:rFonts w:ascii="Arial" w:hAnsi="Arial"/>
          <w:i/>
          <w:sz w:val="24"/>
          <w:szCs w:val="24"/>
        </w:rPr>
        <w:t>&amp; a</w:t>
      </w:r>
      <w:r w:rsidR="00BE2641" w:rsidRPr="006A2BB3">
        <w:rPr>
          <w:rFonts w:ascii="Arial" w:hAnsi="Arial"/>
          <w:i/>
          <w:sz w:val="24"/>
          <w:szCs w:val="24"/>
        </w:rPr>
        <w:t>nother</w:t>
      </w:r>
      <w:r w:rsidR="00BE2641" w:rsidRPr="006A2BB3">
        <w:rPr>
          <w:rFonts w:ascii="Arial" w:hAnsi="Arial"/>
          <w:sz w:val="24"/>
          <w:szCs w:val="24"/>
        </w:rPr>
        <w:t>.</w:t>
      </w:r>
      <w:r w:rsidR="004A347C" w:rsidRPr="006A2BB3">
        <w:rPr>
          <w:rFonts w:ascii="Arial" w:hAnsi="Arial"/>
          <w:sz w:val="24"/>
          <w:szCs w:val="24"/>
          <w:vertAlign w:val="superscript"/>
        </w:rPr>
        <w:footnoteReference w:id="5"/>
      </w:r>
      <w:r w:rsidR="004A347C" w:rsidRPr="006A2BB3">
        <w:rPr>
          <w:rFonts w:ascii="Arial" w:hAnsi="Arial"/>
          <w:sz w:val="24"/>
          <w:szCs w:val="24"/>
          <w:vertAlign w:val="superscript"/>
        </w:rPr>
        <w:t xml:space="preserve"> </w:t>
      </w:r>
    </w:p>
    <w:p w:rsidR="009E1CFD" w:rsidRPr="006A2BB3" w:rsidRDefault="009E1CFD" w:rsidP="006A2BB3">
      <w:pPr>
        <w:spacing w:after="0" w:line="480" w:lineRule="auto"/>
        <w:jc w:val="both"/>
        <w:rPr>
          <w:rFonts w:ascii="Arial" w:hAnsi="Arial"/>
          <w:sz w:val="24"/>
          <w:szCs w:val="24"/>
        </w:rPr>
      </w:pPr>
    </w:p>
    <w:p w:rsidR="004A347C" w:rsidRPr="006A2BB3" w:rsidRDefault="00757E54" w:rsidP="006A2BB3">
      <w:pPr>
        <w:spacing w:after="0" w:line="480" w:lineRule="auto"/>
        <w:jc w:val="both"/>
        <w:rPr>
          <w:rFonts w:ascii="Arial" w:hAnsi="Arial"/>
          <w:sz w:val="24"/>
          <w:szCs w:val="24"/>
        </w:rPr>
      </w:pPr>
      <w:r w:rsidRPr="006A2BB3">
        <w:rPr>
          <w:rFonts w:ascii="Arial" w:hAnsi="Arial"/>
          <w:sz w:val="24"/>
          <w:szCs w:val="24"/>
        </w:rPr>
        <w:t>[27</w:t>
      </w:r>
      <w:r w:rsidR="004A347C" w:rsidRPr="006A2BB3">
        <w:rPr>
          <w:rFonts w:ascii="Arial" w:hAnsi="Arial"/>
          <w:sz w:val="24"/>
          <w:szCs w:val="24"/>
        </w:rPr>
        <w:t>]</w:t>
      </w:r>
      <w:r w:rsidR="004A347C" w:rsidRPr="006A2BB3">
        <w:rPr>
          <w:rFonts w:ascii="Arial" w:hAnsi="Arial"/>
          <w:sz w:val="24"/>
          <w:szCs w:val="24"/>
        </w:rPr>
        <w:tab/>
        <w:t xml:space="preserve">The PG had an alternative prayer in the event that the High Court’s interpretation is found to be correct and it is this: an application was </w:t>
      </w:r>
      <w:r w:rsidR="00C751E8" w:rsidRPr="006A2BB3">
        <w:rPr>
          <w:rFonts w:ascii="Arial" w:hAnsi="Arial"/>
          <w:sz w:val="24"/>
          <w:szCs w:val="24"/>
        </w:rPr>
        <w:t>sought</w:t>
      </w:r>
      <w:r w:rsidR="004A347C" w:rsidRPr="006A2BB3">
        <w:rPr>
          <w:rFonts w:ascii="Arial" w:hAnsi="Arial"/>
          <w:sz w:val="24"/>
          <w:szCs w:val="24"/>
        </w:rPr>
        <w:t xml:space="preserve"> for the failure to comply with the Rules of Court if the PG was required to make a s 91(2) application, dispensing with the prescribed </w:t>
      </w:r>
      <w:r w:rsidR="00C751E8" w:rsidRPr="006A2BB3">
        <w:rPr>
          <w:rFonts w:ascii="Arial" w:hAnsi="Arial"/>
          <w:sz w:val="24"/>
          <w:szCs w:val="24"/>
        </w:rPr>
        <w:t>requirement</w:t>
      </w:r>
      <w:r w:rsidR="004A347C" w:rsidRPr="006A2BB3">
        <w:rPr>
          <w:rFonts w:ascii="Arial" w:hAnsi="Arial"/>
          <w:sz w:val="24"/>
          <w:szCs w:val="24"/>
        </w:rPr>
        <w:t xml:space="preserve"> for an application in ter</w:t>
      </w:r>
      <w:r w:rsidR="00C751E8" w:rsidRPr="006A2BB3">
        <w:rPr>
          <w:rFonts w:ascii="Arial" w:hAnsi="Arial"/>
          <w:sz w:val="24"/>
          <w:szCs w:val="24"/>
        </w:rPr>
        <w:t>ms of s 51. Thus, the non-</w:t>
      </w:r>
      <w:r w:rsidR="004A347C" w:rsidRPr="006A2BB3">
        <w:rPr>
          <w:rFonts w:ascii="Arial" w:hAnsi="Arial"/>
          <w:sz w:val="24"/>
          <w:szCs w:val="24"/>
        </w:rPr>
        <w:t xml:space="preserve">compliance with </w:t>
      </w:r>
      <w:r w:rsidR="00620567">
        <w:rPr>
          <w:rFonts w:ascii="Arial" w:hAnsi="Arial"/>
          <w:sz w:val="24"/>
          <w:szCs w:val="24"/>
        </w:rPr>
        <w:t>r</w:t>
      </w:r>
      <w:r w:rsidR="004A347C" w:rsidRPr="006A2BB3">
        <w:rPr>
          <w:rFonts w:ascii="Arial" w:hAnsi="Arial"/>
          <w:sz w:val="24"/>
          <w:szCs w:val="24"/>
        </w:rPr>
        <w:t>eg 7(b) would, in any case, be covered</w:t>
      </w:r>
      <w:r w:rsidRPr="006A2BB3">
        <w:rPr>
          <w:rFonts w:ascii="Arial" w:hAnsi="Arial"/>
          <w:sz w:val="24"/>
          <w:szCs w:val="24"/>
        </w:rPr>
        <w:t xml:space="preserve">, should, if so required, the exemption to comply with </w:t>
      </w:r>
      <w:r w:rsidR="003125D7" w:rsidRPr="006A2BB3">
        <w:rPr>
          <w:rFonts w:ascii="Arial" w:hAnsi="Arial"/>
          <w:sz w:val="24"/>
          <w:szCs w:val="24"/>
        </w:rPr>
        <w:t>the r</w:t>
      </w:r>
      <w:r w:rsidRPr="006A2BB3">
        <w:rPr>
          <w:rFonts w:ascii="Arial" w:hAnsi="Arial"/>
          <w:sz w:val="24"/>
          <w:szCs w:val="24"/>
        </w:rPr>
        <w:t xml:space="preserve">egulation </w:t>
      </w:r>
      <w:r w:rsidR="003125D7" w:rsidRPr="006A2BB3">
        <w:rPr>
          <w:rFonts w:ascii="Arial" w:hAnsi="Arial"/>
          <w:sz w:val="24"/>
          <w:szCs w:val="24"/>
        </w:rPr>
        <w:t xml:space="preserve">have been </w:t>
      </w:r>
      <w:r w:rsidRPr="006A2BB3">
        <w:rPr>
          <w:rFonts w:ascii="Arial" w:hAnsi="Arial"/>
          <w:sz w:val="24"/>
          <w:szCs w:val="24"/>
        </w:rPr>
        <w:t>granted</w:t>
      </w:r>
      <w:r w:rsidR="004A347C" w:rsidRPr="006A2BB3">
        <w:rPr>
          <w:rFonts w:ascii="Arial" w:hAnsi="Arial"/>
          <w:sz w:val="24"/>
          <w:szCs w:val="24"/>
        </w:rPr>
        <w:t>. Therefore, argues the PG, the High Court should have decided in her favour even on its own interpretation</w:t>
      </w:r>
      <w:r w:rsidR="003125D7" w:rsidRPr="006A2BB3">
        <w:rPr>
          <w:rFonts w:ascii="Arial" w:hAnsi="Arial"/>
          <w:sz w:val="24"/>
          <w:szCs w:val="24"/>
        </w:rPr>
        <w:t xml:space="preserve"> of the relevant legislation</w:t>
      </w:r>
      <w:r w:rsidR="004A347C" w:rsidRPr="006A2BB3">
        <w:rPr>
          <w:rFonts w:ascii="Arial" w:hAnsi="Arial"/>
          <w:sz w:val="24"/>
          <w:szCs w:val="24"/>
        </w:rPr>
        <w:t xml:space="preserve">. </w:t>
      </w:r>
    </w:p>
    <w:p w:rsidR="00BE2641" w:rsidRPr="006A2BB3" w:rsidRDefault="00BE2641" w:rsidP="006A2BB3">
      <w:pPr>
        <w:spacing w:after="0" w:line="480" w:lineRule="auto"/>
        <w:ind w:left="360"/>
        <w:jc w:val="both"/>
        <w:rPr>
          <w:rFonts w:ascii="Arial" w:hAnsi="Arial"/>
          <w:sz w:val="24"/>
          <w:szCs w:val="24"/>
        </w:rPr>
      </w:pPr>
    </w:p>
    <w:p w:rsidR="004A347C" w:rsidRPr="006A2BB3" w:rsidRDefault="00757E54" w:rsidP="006A2BB3">
      <w:pPr>
        <w:spacing w:after="0" w:line="480" w:lineRule="auto"/>
        <w:jc w:val="both"/>
        <w:rPr>
          <w:rFonts w:ascii="Arial" w:hAnsi="Arial"/>
          <w:sz w:val="24"/>
          <w:szCs w:val="24"/>
        </w:rPr>
      </w:pPr>
      <w:r w:rsidRPr="006A2BB3">
        <w:rPr>
          <w:rFonts w:ascii="Arial" w:hAnsi="Arial"/>
          <w:sz w:val="24"/>
          <w:szCs w:val="24"/>
        </w:rPr>
        <w:t>[28</w:t>
      </w:r>
      <w:r w:rsidR="004A347C" w:rsidRPr="006A2BB3">
        <w:rPr>
          <w:rFonts w:ascii="Arial" w:hAnsi="Arial"/>
          <w:sz w:val="24"/>
          <w:szCs w:val="24"/>
        </w:rPr>
        <w:t>]</w:t>
      </w:r>
      <w:r w:rsidR="004A347C" w:rsidRPr="006A2BB3">
        <w:rPr>
          <w:rFonts w:ascii="Arial" w:hAnsi="Arial"/>
          <w:sz w:val="24"/>
          <w:szCs w:val="24"/>
        </w:rPr>
        <w:tab/>
        <w:t xml:space="preserve">Thus, </w:t>
      </w:r>
      <w:r w:rsidRPr="006A2BB3">
        <w:rPr>
          <w:rFonts w:ascii="Arial" w:hAnsi="Arial"/>
          <w:sz w:val="24"/>
          <w:szCs w:val="24"/>
        </w:rPr>
        <w:t>she contends</w:t>
      </w:r>
      <w:r w:rsidR="009565DB">
        <w:rPr>
          <w:rFonts w:ascii="Arial" w:hAnsi="Arial"/>
          <w:sz w:val="24"/>
          <w:szCs w:val="24"/>
        </w:rPr>
        <w:t>,</w:t>
      </w:r>
      <w:r w:rsidR="004A347C" w:rsidRPr="006A2BB3">
        <w:rPr>
          <w:rFonts w:ascii="Arial" w:hAnsi="Arial"/>
          <w:sz w:val="24"/>
          <w:szCs w:val="24"/>
        </w:rPr>
        <w:t xml:space="preserve"> the High Court, on either basis, ought to have considered and decided the merits of the application for a provisional property preservation order.</w:t>
      </w:r>
    </w:p>
    <w:p w:rsidR="009E1CFD" w:rsidRPr="006A2BB3" w:rsidRDefault="009E1CFD" w:rsidP="006A2BB3">
      <w:pPr>
        <w:spacing w:after="0" w:line="480" w:lineRule="auto"/>
        <w:ind w:left="360"/>
        <w:jc w:val="both"/>
        <w:rPr>
          <w:rFonts w:ascii="Arial" w:hAnsi="Arial"/>
          <w:sz w:val="24"/>
          <w:szCs w:val="24"/>
        </w:rPr>
      </w:pPr>
    </w:p>
    <w:p w:rsidR="0073105E" w:rsidRPr="006A2BB3" w:rsidRDefault="00757E54" w:rsidP="006A2BB3">
      <w:pPr>
        <w:spacing w:after="0" w:line="480" w:lineRule="auto"/>
        <w:jc w:val="both"/>
        <w:rPr>
          <w:rFonts w:ascii="Arial" w:hAnsi="Arial"/>
          <w:sz w:val="24"/>
          <w:szCs w:val="24"/>
        </w:rPr>
      </w:pPr>
      <w:r w:rsidRPr="006A2BB3">
        <w:rPr>
          <w:rFonts w:ascii="Arial" w:hAnsi="Arial"/>
          <w:sz w:val="24"/>
          <w:szCs w:val="24"/>
        </w:rPr>
        <w:t>[29</w:t>
      </w:r>
      <w:r w:rsidR="004A347C" w:rsidRPr="006A2BB3">
        <w:rPr>
          <w:rFonts w:ascii="Arial" w:hAnsi="Arial"/>
          <w:sz w:val="24"/>
          <w:szCs w:val="24"/>
        </w:rPr>
        <w:t>]</w:t>
      </w:r>
      <w:r w:rsidR="004A347C" w:rsidRPr="006A2BB3">
        <w:rPr>
          <w:rFonts w:ascii="Arial" w:hAnsi="Arial"/>
          <w:sz w:val="24"/>
          <w:szCs w:val="24"/>
        </w:rPr>
        <w:tab/>
        <w:t xml:space="preserve">Thus, submitted the </w:t>
      </w:r>
      <w:r w:rsidRPr="006A2BB3">
        <w:rPr>
          <w:rFonts w:ascii="Arial" w:hAnsi="Arial"/>
          <w:sz w:val="24"/>
          <w:szCs w:val="24"/>
        </w:rPr>
        <w:t>PG</w:t>
      </w:r>
      <w:r w:rsidR="004A347C" w:rsidRPr="006A2BB3">
        <w:rPr>
          <w:rFonts w:ascii="Arial" w:hAnsi="Arial"/>
          <w:sz w:val="24"/>
          <w:szCs w:val="24"/>
        </w:rPr>
        <w:t>,</w:t>
      </w:r>
      <w:r w:rsidR="0059385C">
        <w:rPr>
          <w:rFonts w:ascii="Arial" w:hAnsi="Arial"/>
          <w:sz w:val="24"/>
          <w:szCs w:val="24"/>
        </w:rPr>
        <w:t xml:space="preserve"> </w:t>
      </w:r>
      <w:r w:rsidR="004A347C" w:rsidRPr="006A2BB3">
        <w:rPr>
          <w:rFonts w:ascii="Arial" w:hAnsi="Arial"/>
          <w:sz w:val="24"/>
          <w:szCs w:val="24"/>
        </w:rPr>
        <w:t xml:space="preserve">should this </w:t>
      </w:r>
      <w:r w:rsidR="00620567">
        <w:rPr>
          <w:rFonts w:ascii="Arial" w:hAnsi="Arial"/>
          <w:sz w:val="24"/>
          <w:szCs w:val="24"/>
        </w:rPr>
        <w:t>c</w:t>
      </w:r>
      <w:r w:rsidR="004A347C" w:rsidRPr="006A2BB3">
        <w:rPr>
          <w:rFonts w:ascii="Arial" w:hAnsi="Arial"/>
          <w:sz w:val="24"/>
          <w:szCs w:val="24"/>
        </w:rPr>
        <w:t xml:space="preserve">ourt dismiss the respondent’s point </w:t>
      </w:r>
      <w:r w:rsidR="004A347C" w:rsidRPr="006A2BB3">
        <w:rPr>
          <w:rFonts w:ascii="Arial" w:hAnsi="Arial"/>
          <w:i/>
          <w:sz w:val="24"/>
          <w:szCs w:val="24"/>
        </w:rPr>
        <w:t>in limine</w:t>
      </w:r>
      <w:r w:rsidR="004A347C" w:rsidRPr="006A2BB3">
        <w:rPr>
          <w:rFonts w:ascii="Arial" w:hAnsi="Arial"/>
          <w:sz w:val="24"/>
          <w:szCs w:val="24"/>
        </w:rPr>
        <w:t>, it would be necessary to determine and decide the merits of the provisional property preservation order.</w:t>
      </w:r>
    </w:p>
    <w:p w:rsidR="009E1CFD" w:rsidRPr="006A2BB3" w:rsidRDefault="004A347C" w:rsidP="006A2BB3">
      <w:pPr>
        <w:spacing w:after="0" w:line="480" w:lineRule="auto"/>
        <w:jc w:val="both"/>
        <w:rPr>
          <w:rFonts w:ascii="Arial" w:hAnsi="Arial"/>
          <w:sz w:val="24"/>
          <w:szCs w:val="24"/>
        </w:rPr>
      </w:pPr>
      <w:r w:rsidRPr="006A2BB3">
        <w:rPr>
          <w:rFonts w:ascii="Arial" w:hAnsi="Arial"/>
          <w:sz w:val="24"/>
          <w:szCs w:val="24"/>
        </w:rPr>
        <w:tab/>
      </w:r>
    </w:p>
    <w:p w:rsidR="004A347C" w:rsidRPr="006A2BB3" w:rsidRDefault="00B51E76" w:rsidP="006A2BB3">
      <w:pPr>
        <w:spacing w:after="0" w:line="480" w:lineRule="auto"/>
        <w:jc w:val="both"/>
        <w:rPr>
          <w:rFonts w:ascii="Arial" w:hAnsi="Arial"/>
          <w:sz w:val="24"/>
          <w:szCs w:val="24"/>
        </w:rPr>
      </w:pPr>
      <w:r w:rsidRPr="006A2BB3">
        <w:rPr>
          <w:rFonts w:ascii="Arial" w:hAnsi="Arial"/>
          <w:sz w:val="24"/>
          <w:szCs w:val="24"/>
        </w:rPr>
        <w:t>[30</w:t>
      </w:r>
      <w:r w:rsidR="004A347C" w:rsidRPr="006A2BB3">
        <w:rPr>
          <w:rFonts w:ascii="Arial" w:hAnsi="Arial"/>
          <w:sz w:val="24"/>
          <w:szCs w:val="24"/>
        </w:rPr>
        <w:t>]</w:t>
      </w:r>
      <w:r w:rsidR="00757E54" w:rsidRPr="006A2BB3">
        <w:rPr>
          <w:rFonts w:ascii="Arial" w:hAnsi="Arial"/>
          <w:sz w:val="24"/>
          <w:szCs w:val="24"/>
        </w:rPr>
        <w:tab/>
        <w:t xml:space="preserve">In that regard, the PG further submits </w:t>
      </w:r>
      <w:r w:rsidR="004A347C" w:rsidRPr="006A2BB3">
        <w:rPr>
          <w:rFonts w:ascii="Arial" w:hAnsi="Arial"/>
          <w:sz w:val="24"/>
          <w:szCs w:val="24"/>
        </w:rPr>
        <w:t>the applicable test in an application for a preservation order under s 51(2) of the POCA is that, based on the relevant facts, there are reasonable grounds to believe that the property in question is an instrumentality of unlawful activities o</w:t>
      </w:r>
      <w:r w:rsidR="009416A1">
        <w:rPr>
          <w:rFonts w:ascii="Arial" w:hAnsi="Arial"/>
          <w:sz w:val="24"/>
          <w:szCs w:val="24"/>
        </w:rPr>
        <w:t>r of an offence referred to in s</w:t>
      </w:r>
      <w:r w:rsidR="004A347C" w:rsidRPr="006A2BB3">
        <w:rPr>
          <w:rFonts w:ascii="Arial" w:hAnsi="Arial"/>
          <w:sz w:val="24"/>
          <w:szCs w:val="24"/>
        </w:rPr>
        <w:t>chedule 1 to the POCA, even where the facts are in dispute.</w:t>
      </w:r>
    </w:p>
    <w:p w:rsidR="009E1CFD" w:rsidRPr="006A2BB3" w:rsidRDefault="009E1CFD" w:rsidP="006A2BB3">
      <w:pPr>
        <w:spacing w:after="0" w:line="480" w:lineRule="auto"/>
        <w:ind w:left="360"/>
        <w:jc w:val="both"/>
        <w:rPr>
          <w:rFonts w:ascii="Arial" w:hAnsi="Arial"/>
          <w:sz w:val="24"/>
          <w:szCs w:val="24"/>
        </w:rPr>
      </w:pPr>
    </w:p>
    <w:p w:rsidR="009E1CFD" w:rsidRPr="006A2BB3" w:rsidRDefault="00B51E76" w:rsidP="006A2BB3">
      <w:pPr>
        <w:spacing w:after="0" w:line="480" w:lineRule="auto"/>
        <w:jc w:val="both"/>
        <w:rPr>
          <w:rFonts w:ascii="Arial" w:hAnsi="Arial"/>
          <w:sz w:val="24"/>
          <w:szCs w:val="24"/>
        </w:rPr>
      </w:pPr>
      <w:r w:rsidRPr="006A2BB3">
        <w:rPr>
          <w:rFonts w:ascii="Arial" w:hAnsi="Arial"/>
          <w:sz w:val="24"/>
          <w:szCs w:val="24"/>
        </w:rPr>
        <w:t>[31</w:t>
      </w:r>
      <w:r w:rsidR="004A347C" w:rsidRPr="006A2BB3">
        <w:rPr>
          <w:rFonts w:ascii="Arial" w:hAnsi="Arial"/>
          <w:sz w:val="24"/>
          <w:szCs w:val="24"/>
        </w:rPr>
        <w:t>]</w:t>
      </w:r>
      <w:r w:rsidR="004A347C" w:rsidRPr="006A2BB3">
        <w:rPr>
          <w:rFonts w:ascii="Arial" w:hAnsi="Arial"/>
          <w:sz w:val="24"/>
          <w:szCs w:val="24"/>
        </w:rPr>
        <w:tab/>
        <w:t xml:space="preserve">Once the evidence, disputed or not, provides reasonable grounds for the belief, the test in s 51(2) is met and the court must grant the preservation of property order. Thus, the PG argues further, because s 51(2) makes the granting of the order peremptory once a reasonable belief exists, the court must grant the </w:t>
      </w:r>
      <w:r w:rsidRPr="006A2BB3">
        <w:rPr>
          <w:rFonts w:ascii="Arial" w:hAnsi="Arial"/>
          <w:sz w:val="24"/>
          <w:szCs w:val="24"/>
        </w:rPr>
        <w:t xml:space="preserve">property preservation order. </w:t>
      </w:r>
      <w:r w:rsidR="008706D3" w:rsidRPr="006A2BB3">
        <w:rPr>
          <w:rFonts w:ascii="Arial" w:hAnsi="Arial"/>
          <w:sz w:val="24"/>
          <w:szCs w:val="24"/>
        </w:rPr>
        <w:t xml:space="preserve">Therefore, </w:t>
      </w:r>
      <w:r w:rsidR="004A347C" w:rsidRPr="006A2BB3">
        <w:rPr>
          <w:rFonts w:ascii="Arial" w:hAnsi="Arial"/>
          <w:sz w:val="24"/>
          <w:szCs w:val="24"/>
        </w:rPr>
        <w:t xml:space="preserve">argues the PG, the court </w:t>
      </w:r>
      <w:r w:rsidRPr="006A2BB3">
        <w:rPr>
          <w:rFonts w:ascii="Arial" w:hAnsi="Arial"/>
          <w:sz w:val="24"/>
          <w:szCs w:val="24"/>
        </w:rPr>
        <w:t xml:space="preserve">exercises </w:t>
      </w:r>
      <w:r w:rsidR="004A347C" w:rsidRPr="006A2BB3">
        <w:rPr>
          <w:rFonts w:ascii="Arial" w:hAnsi="Arial"/>
          <w:sz w:val="24"/>
          <w:szCs w:val="24"/>
        </w:rPr>
        <w:t>no di</w:t>
      </w:r>
      <w:r w:rsidR="008706D3" w:rsidRPr="006A2BB3">
        <w:rPr>
          <w:rFonts w:ascii="Arial" w:hAnsi="Arial"/>
          <w:sz w:val="24"/>
          <w:szCs w:val="24"/>
        </w:rPr>
        <w:t xml:space="preserve">scretion in granting the order and must confirm </w:t>
      </w:r>
      <w:r w:rsidR="004A347C" w:rsidRPr="006A2BB3">
        <w:rPr>
          <w:rFonts w:ascii="Arial" w:hAnsi="Arial"/>
          <w:sz w:val="24"/>
          <w:szCs w:val="24"/>
        </w:rPr>
        <w:t xml:space="preserve">the </w:t>
      </w:r>
      <w:r w:rsidR="004A347C" w:rsidRPr="006A2BB3">
        <w:rPr>
          <w:rFonts w:ascii="Arial" w:hAnsi="Arial"/>
          <w:i/>
          <w:sz w:val="24"/>
          <w:szCs w:val="24"/>
        </w:rPr>
        <w:t>rule nisi</w:t>
      </w:r>
      <w:r w:rsidR="004A347C" w:rsidRPr="006A2BB3">
        <w:rPr>
          <w:rFonts w:ascii="Arial" w:hAnsi="Arial"/>
          <w:sz w:val="24"/>
          <w:szCs w:val="24"/>
        </w:rPr>
        <w:t xml:space="preserve">. </w:t>
      </w:r>
    </w:p>
    <w:p w:rsidR="00AC7FA4" w:rsidRPr="006A2BB3" w:rsidRDefault="00AC7FA4" w:rsidP="006A2BB3">
      <w:pPr>
        <w:spacing w:after="0" w:line="480" w:lineRule="auto"/>
        <w:ind w:left="360"/>
        <w:jc w:val="both"/>
        <w:rPr>
          <w:rFonts w:ascii="Arial" w:hAnsi="Arial"/>
          <w:sz w:val="24"/>
          <w:szCs w:val="24"/>
        </w:rPr>
      </w:pPr>
    </w:p>
    <w:p w:rsidR="00C751E8" w:rsidRPr="006A2BB3" w:rsidRDefault="00AC7FA4" w:rsidP="006A2BB3">
      <w:pPr>
        <w:spacing w:after="0" w:line="480" w:lineRule="auto"/>
        <w:jc w:val="both"/>
        <w:rPr>
          <w:rFonts w:ascii="Arial" w:hAnsi="Arial"/>
          <w:sz w:val="24"/>
          <w:szCs w:val="24"/>
        </w:rPr>
      </w:pPr>
      <w:r w:rsidRPr="006A2BB3">
        <w:rPr>
          <w:rFonts w:ascii="Arial" w:hAnsi="Arial"/>
          <w:sz w:val="24"/>
          <w:szCs w:val="24"/>
        </w:rPr>
        <w:t>[32</w:t>
      </w:r>
      <w:r w:rsidR="004A347C" w:rsidRPr="006A2BB3">
        <w:rPr>
          <w:rFonts w:ascii="Arial" w:hAnsi="Arial"/>
          <w:sz w:val="24"/>
          <w:szCs w:val="24"/>
        </w:rPr>
        <w:t>]</w:t>
      </w:r>
      <w:r w:rsidR="004A347C" w:rsidRPr="006A2BB3">
        <w:rPr>
          <w:rFonts w:ascii="Arial" w:hAnsi="Arial"/>
          <w:sz w:val="24"/>
          <w:szCs w:val="24"/>
        </w:rPr>
        <w:tab/>
        <w:t xml:space="preserve">In the present case, submits the PG, it is for this </w:t>
      </w:r>
      <w:r w:rsidR="00620567">
        <w:rPr>
          <w:rFonts w:ascii="Arial" w:hAnsi="Arial"/>
          <w:sz w:val="24"/>
          <w:szCs w:val="24"/>
        </w:rPr>
        <w:t>c</w:t>
      </w:r>
      <w:r w:rsidR="004A347C" w:rsidRPr="006A2BB3">
        <w:rPr>
          <w:rFonts w:ascii="Arial" w:hAnsi="Arial"/>
          <w:sz w:val="24"/>
          <w:szCs w:val="24"/>
        </w:rPr>
        <w:t>ourt to determine</w:t>
      </w:r>
      <w:r w:rsidR="00C751E8" w:rsidRPr="006A2BB3">
        <w:rPr>
          <w:rFonts w:ascii="Arial" w:hAnsi="Arial"/>
          <w:sz w:val="24"/>
          <w:szCs w:val="24"/>
        </w:rPr>
        <w:t xml:space="preserve"> whether, based on the evidence filed by the return date, there are reasonable grounds to believe that the N$800 000 is the proceeds of </w:t>
      </w:r>
      <w:r w:rsidRPr="006A2BB3">
        <w:rPr>
          <w:rFonts w:ascii="Arial" w:hAnsi="Arial"/>
          <w:sz w:val="24"/>
          <w:szCs w:val="24"/>
        </w:rPr>
        <w:t xml:space="preserve">crime or </w:t>
      </w:r>
      <w:r w:rsidR="00C751E8" w:rsidRPr="006A2BB3">
        <w:rPr>
          <w:rFonts w:ascii="Arial" w:hAnsi="Arial"/>
          <w:sz w:val="24"/>
          <w:szCs w:val="24"/>
        </w:rPr>
        <w:t xml:space="preserve">unlawful activities. Should this </w:t>
      </w:r>
      <w:r w:rsidR="00620567">
        <w:rPr>
          <w:rFonts w:ascii="Arial" w:hAnsi="Arial"/>
          <w:sz w:val="24"/>
          <w:szCs w:val="24"/>
        </w:rPr>
        <w:t>c</w:t>
      </w:r>
      <w:r w:rsidR="00C751E8" w:rsidRPr="006A2BB3">
        <w:rPr>
          <w:rFonts w:ascii="Arial" w:hAnsi="Arial"/>
          <w:sz w:val="24"/>
          <w:szCs w:val="24"/>
        </w:rPr>
        <w:t xml:space="preserve">ourt make an affirmative finding in that regard, it would have no discretion to exercise but </w:t>
      </w:r>
      <w:r w:rsidRPr="006A2BB3">
        <w:rPr>
          <w:rFonts w:ascii="Arial" w:hAnsi="Arial"/>
          <w:sz w:val="24"/>
          <w:szCs w:val="24"/>
        </w:rPr>
        <w:t xml:space="preserve">to </w:t>
      </w:r>
      <w:r w:rsidR="00C751E8" w:rsidRPr="006A2BB3">
        <w:rPr>
          <w:rFonts w:ascii="Arial" w:hAnsi="Arial"/>
          <w:sz w:val="24"/>
          <w:szCs w:val="24"/>
        </w:rPr>
        <w:t>grant the preservation of</w:t>
      </w:r>
      <w:r w:rsidR="0063679C" w:rsidRPr="006A2BB3">
        <w:rPr>
          <w:rFonts w:ascii="Arial" w:hAnsi="Arial"/>
          <w:sz w:val="24"/>
          <w:szCs w:val="24"/>
        </w:rPr>
        <w:t xml:space="preserve"> property order. T</w:t>
      </w:r>
      <w:r w:rsidR="00C751E8" w:rsidRPr="006A2BB3">
        <w:rPr>
          <w:rFonts w:ascii="Arial" w:hAnsi="Arial"/>
          <w:sz w:val="24"/>
          <w:szCs w:val="24"/>
        </w:rPr>
        <w:t>he founding papers</w:t>
      </w:r>
      <w:r w:rsidR="0063679C" w:rsidRPr="006A2BB3">
        <w:rPr>
          <w:rFonts w:ascii="Arial" w:hAnsi="Arial"/>
          <w:sz w:val="24"/>
          <w:szCs w:val="24"/>
        </w:rPr>
        <w:t>, the PG submits,</w:t>
      </w:r>
      <w:r w:rsidR="00C751E8" w:rsidRPr="006A2BB3">
        <w:rPr>
          <w:rFonts w:ascii="Arial" w:hAnsi="Arial"/>
          <w:sz w:val="24"/>
          <w:szCs w:val="24"/>
        </w:rPr>
        <w:t xml:space="preserve"> do establish that there are reasonable grounds to b</w:t>
      </w:r>
      <w:r w:rsidR="0063679C" w:rsidRPr="006A2BB3">
        <w:rPr>
          <w:rFonts w:ascii="Arial" w:hAnsi="Arial"/>
          <w:sz w:val="24"/>
          <w:szCs w:val="24"/>
        </w:rPr>
        <w:t>elieve that the N$800 00</w:t>
      </w:r>
      <w:r w:rsidR="00DC6E03">
        <w:rPr>
          <w:rFonts w:ascii="Arial" w:hAnsi="Arial"/>
          <w:sz w:val="24"/>
          <w:szCs w:val="24"/>
        </w:rPr>
        <w:t>0</w:t>
      </w:r>
      <w:r w:rsidR="0063679C" w:rsidRPr="006A2BB3">
        <w:rPr>
          <w:rFonts w:ascii="Arial" w:hAnsi="Arial"/>
          <w:sz w:val="24"/>
          <w:szCs w:val="24"/>
        </w:rPr>
        <w:t xml:space="preserve"> is</w:t>
      </w:r>
      <w:r w:rsidR="00C751E8" w:rsidRPr="006A2BB3">
        <w:rPr>
          <w:rFonts w:ascii="Arial" w:hAnsi="Arial"/>
          <w:sz w:val="24"/>
          <w:szCs w:val="24"/>
        </w:rPr>
        <w:t xml:space="preserve"> the proceeds of the crime of fraud and money laundering liste</w:t>
      </w:r>
      <w:r w:rsidR="0063679C" w:rsidRPr="006A2BB3">
        <w:rPr>
          <w:rFonts w:ascii="Arial" w:hAnsi="Arial"/>
          <w:sz w:val="24"/>
          <w:szCs w:val="24"/>
        </w:rPr>
        <w:t xml:space="preserve">d in </w:t>
      </w:r>
      <w:r w:rsidR="00620567">
        <w:rPr>
          <w:rFonts w:ascii="Arial" w:hAnsi="Arial"/>
          <w:sz w:val="24"/>
          <w:szCs w:val="24"/>
        </w:rPr>
        <w:t>s</w:t>
      </w:r>
      <w:r w:rsidR="0063679C" w:rsidRPr="006A2BB3">
        <w:rPr>
          <w:rFonts w:ascii="Arial" w:hAnsi="Arial"/>
          <w:sz w:val="24"/>
          <w:szCs w:val="24"/>
        </w:rPr>
        <w:t xml:space="preserve">chedule 1. The </w:t>
      </w:r>
      <w:r w:rsidR="00620567">
        <w:rPr>
          <w:rFonts w:ascii="Arial" w:hAnsi="Arial"/>
          <w:sz w:val="24"/>
          <w:szCs w:val="24"/>
        </w:rPr>
        <w:t>c</w:t>
      </w:r>
      <w:r w:rsidR="0063679C" w:rsidRPr="006A2BB3">
        <w:rPr>
          <w:rFonts w:ascii="Arial" w:hAnsi="Arial"/>
          <w:sz w:val="24"/>
          <w:szCs w:val="24"/>
        </w:rPr>
        <w:t>ourt must, for that reason</w:t>
      </w:r>
      <w:r w:rsidR="00620567">
        <w:rPr>
          <w:rFonts w:ascii="Arial" w:hAnsi="Arial"/>
          <w:sz w:val="24"/>
          <w:szCs w:val="24"/>
        </w:rPr>
        <w:t>,</w:t>
      </w:r>
      <w:r w:rsidR="0063679C" w:rsidRPr="006A2BB3">
        <w:rPr>
          <w:rFonts w:ascii="Arial" w:hAnsi="Arial"/>
          <w:sz w:val="24"/>
          <w:szCs w:val="24"/>
        </w:rPr>
        <w:t xml:space="preserve"> </w:t>
      </w:r>
      <w:r w:rsidR="008706D3" w:rsidRPr="006A2BB3">
        <w:rPr>
          <w:rFonts w:ascii="Arial" w:hAnsi="Arial"/>
          <w:sz w:val="24"/>
          <w:szCs w:val="24"/>
        </w:rPr>
        <w:t xml:space="preserve">consider the merits and </w:t>
      </w:r>
      <w:r w:rsidR="00C751E8" w:rsidRPr="006A2BB3">
        <w:rPr>
          <w:rFonts w:ascii="Arial" w:hAnsi="Arial"/>
          <w:sz w:val="24"/>
          <w:szCs w:val="24"/>
        </w:rPr>
        <w:t>confirm the preservation of property order.</w:t>
      </w:r>
    </w:p>
    <w:p w:rsidR="009E1CFD" w:rsidRPr="006A2BB3" w:rsidRDefault="009E1CFD" w:rsidP="006A2BB3">
      <w:pPr>
        <w:spacing w:after="0" w:line="480" w:lineRule="auto"/>
        <w:ind w:left="360"/>
        <w:jc w:val="both"/>
        <w:rPr>
          <w:rFonts w:ascii="Arial" w:hAnsi="Arial"/>
          <w:sz w:val="24"/>
          <w:szCs w:val="24"/>
        </w:rPr>
      </w:pPr>
    </w:p>
    <w:p w:rsidR="00C751E8" w:rsidRPr="00620567" w:rsidRDefault="00620567" w:rsidP="006A2BB3">
      <w:pPr>
        <w:spacing w:after="0" w:line="480" w:lineRule="auto"/>
        <w:jc w:val="both"/>
        <w:rPr>
          <w:rFonts w:ascii="Arial" w:hAnsi="Arial"/>
          <w:sz w:val="24"/>
          <w:szCs w:val="24"/>
          <w:u w:val="single"/>
        </w:rPr>
      </w:pPr>
      <w:r w:rsidRPr="00620567">
        <w:rPr>
          <w:rFonts w:ascii="Arial" w:hAnsi="Arial"/>
          <w:sz w:val="24"/>
          <w:szCs w:val="24"/>
          <w:u w:val="single"/>
        </w:rPr>
        <w:t>The respondent’s submissions</w:t>
      </w:r>
    </w:p>
    <w:p w:rsidR="00C751E8" w:rsidRPr="006A2BB3" w:rsidRDefault="00514229" w:rsidP="006A2BB3">
      <w:pPr>
        <w:spacing w:after="0" w:line="480" w:lineRule="auto"/>
        <w:jc w:val="both"/>
        <w:rPr>
          <w:rFonts w:ascii="Arial" w:hAnsi="Arial"/>
          <w:sz w:val="24"/>
          <w:szCs w:val="24"/>
        </w:rPr>
      </w:pPr>
      <w:r w:rsidRPr="006A2BB3">
        <w:rPr>
          <w:rFonts w:ascii="Arial" w:hAnsi="Arial"/>
          <w:sz w:val="24"/>
          <w:szCs w:val="24"/>
        </w:rPr>
        <w:t>[33</w:t>
      </w:r>
      <w:r w:rsidR="00C751E8" w:rsidRPr="006A2BB3">
        <w:rPr>
          <w:rFonts w:ascii="Arial" w:hAnsi="Arial"/>
          <w:sz w:val="24"/>
          <w:szCs w:val="24"/>
        </w:rPr>
        <w:t>]</w:t>
      </w:r>
      <w:r w:rsidR="00C751E8" w:rsidRPr="006A2BB3">
        <w:rPr>
          <w:rFonts w:ascii="Arial" w:hAnsi="Arial"/>
          <w:sz w:val="24"/>
          <w:szCs w:val="24"/>
        </w:rPr>
        <w:tab/>
        <w:t xml:space="preserve">The respondent takes a different view of the issues which are up </w:t>
      </w:r>
      <w:r w:rsidR="0063679C" w:rsidRPr="006A2BB3">
        <w:rPr>
          <w:rFonts w:ascii="Arial" w:hAnsi="Arial"/>
          <w:sz w:val="24"/>
          <w:szCs w:val="24"/>
        </w:rPr>
        <w:t xml:space="preserve">for decision in this </w:t>
      </w:r>
      <w:r w:rsidR="00620567">
        <w:rPr>
          <w:rFonts w:ascii="Arial" w:hAnsi="Arial"/>
          <w:sz w:val="24"/>
          <w:szCs w:val="24"/>
        </w:rPr>
        <w:t>c</w:t>
      </w:r>
      <w:r w:rsidR="0063679C" w:rsidRPr="006A2BB3">
        <w:rPr>
          <w:rFonts w:ascii="Arial" w:hAnsi="Arial"/>
          <w:sz w:val="24"/>
          <w:szCs w:val="24"/>
        </w:rPr>
        <w:t xml:space="preserve">ourt. He </w:t>
      </w:r>
      <w:r w:rsidR="00C751E8" w:rsidRPr="006A2BB3">
        <w:rPr>
          <w:rFonts w:ascii="Arial" w:hAnsi="Arial"/>
          <w:sz w:val="24"/>
          <w:szCs w:val="24"/>
        </w:rPr>
        <w:t xml:space="preserve">essentially characterises the High Court’s decision to discharge the </w:t>
      </w:r>
      <w:r w:rsidR="00C751E8" w:rsidRPr="006A2BB3">
        <w:rPr>
          <w:rFonts w:ascii="Arial" w:hAnsi="Arial"/>
          <w:i/>
          <w:sz w:val="24"/>
          <w:szCs w:val="24"/>
        </w:rPr>
        <w:t>rule nisi</w:t>
      </w:r>
      <w:r w:rsidR="00C751E8" w:rsidRPr="006A2BB3">
        <w:rPr>
          <w:rFonts w:ascii="Arial" w:hAnsi="Arial"/>
          <w:sz w:val="24"/>
          <w:szCs w:val="24"/>
        </w:rPr>
        <w:t xml:space="preserve"> for non-compliance with </w:t>
      </w:r>
      <w:r w:rsidR="00620567">
        <w:rPr>
          <w:rFonts w:ascii="Arial" w:hAnsi="Arial"/>
          <w:sz w:val="24"/>
          <w:szCs w:val="24"/>
        </w:rPr>
        <w:t>r</w:t>
      </w:r>
      <w:r w:rsidR="00C751E8" w:rsidRPr="006A2BB3">
        <w:rPr>
          <w:rFonts w:ascii="Arial" w:hAnsi="Arial"/>
          <w:sz w:val="24"/>
          <w:szCs w:val="24"/>
        </w:rPr>
        <w:t xml:space="preserve">eg 7 in the context of </w:t>
      </w:r>
      <w:r w:rsidR="00620567" w:rsidRPr="006A2BB3">
        <w:rPr>
          <w:rFonts w:ascii="Arial" w:hAnsi="Arial"/>
          <w:sz w:val="24"/>
          <w:szCs w:val="24"/>
        </w:rPr>
        <w:t>s</w:t>
      </w:r>
      <w:r w:rsidR="00620567">
        <w:rPr>
          <w:rFonts w:ascii="Arial" w:hAnsi="Arial"/>
          <w:sz w:val="24"/>
          <w:szCs w:val="24"/>
        </w:rPr>
        <w:t>s</w:t>
      </w:r>
      <w:r w:rsidR="00620567" w:rsidRPr="006A2BB3">
        <w:rPr>
          <w:rFonts w:ascii="Arial" w:hAnsi="Arial"/>
          <w:sz w:val="24"/>
          <w:szCs w:val="24"/>
        </w:rPr>
        <w:t xml:space="preserve"> </w:t>
      </w:r>
      <w:r w:rsidR="00C751E8" w:rsidRPr="006A2BB3">
        <w:rPr>
          <w:rFonts w:ascii="Arial" w:hAnsi="Arial"/>
          <w:sz w:val="24"/>
          <w:szCs w:val="24"/>
        </w:rPr>
        <w:t>91 and 100 of the POCA as discretionary. He thus questions whether a discretionary order is appealable and if so, whether the appeal may proceed without leave of the High Court.</w:t>
      </w:r>
    </w:p>
    <w:p w:rsidR="009E1CFD" w:rsidRPr="006A2BB3" w:rsidRDefault="009E1CFD" w:rsidP="006A2BB3">
      <w:pPr>
        <w:spacing w:after="0" w:line="480" w:lineRule="auto"/>
        <w:ind w:left="360"/>
        <w:jc w:val="both"/>
        <w:rPr>
          <w:rFonts w:ascii="Arial" w:hAnsi="Arial"/>
          <w:sz w:val="24"/>
          <w:szCs w:val="24"/>
        </w:rPr>
      </w:pPr>
    </w:p>
    <w:p w:rsidR="00C751E8" w:rsidRPr="006A2BB3" w:rsidRDefault="003843EE" w:rsidP="006A2BB3">
      <w:pPr>
        <w:spacing w:after="0" w:line="480" w:lineRule="auto"/>
        <w:jc w:val="both"/>
        <w:rPr>
          <w:rFonts w:ascii="Arial" w:hAnsi="Arial"/>
          <w:sz w:val="24"/>
          <w:szCs w:val="24"/>
        </w:rPr>
      </w:pPr>
      <w:r w:rsidRPr="006A2BB3">
        <w:rPr>
          <w:rFonts w:ascii="Arial" w:hAnsi="Arial"/>
          <w:sz w:val="24"/>
          <w:szCs w:val="24"/>
        </w:rPr>
        <w:t>[34</w:t>
      </w:r>
      <w:r w:rsidR="00C751E8" w:rsidRPr="006A2BB3">
        <w:rPr>
          <w:rFonts w:ascii="Arial" w:hAnsi="Arial"/>
          <w:sz w:val="24"/>
          <w:szCs w:val="24"/>
        </w:rPr>
        <w:t>]</w:t>
      </w:r>
      <w:r w:rsidR="00C751E8" w:rsidRPr="006A2BB3">
        <w:rPr>
          <w:rFonts w:ascii="Arial" w:hAnsi="Arial"/>
          <w:sz w:val="24"/>
          <w:szCs w:val="24"/>
        </w:rPr>
        <w:tab/>
        <w:t xml:space="preserve">It is the respondent’s argument that, based on the fact that the PG did not comply with the procedures prescribed under s 91 and </w:t>
      </w:r>
      <w:r w:rsidR="00620567">
        <w:rPr>
          <w:rFonts w:ascii="Arial" w:hAnsi="Arial"/>
          <w:sz w:val="24"/>
          <w:szCs w:val="24"/>
        </w:rPr>
        <w:t>r</w:t>
      </w:r>
      <w:r w:rsidR="00C751E8" w:rsidRPr="006A2BB3">
        <w:rPr>
          <w:rFonts w:ascii="Arial" w:hAnsi="Arial"/>
          <w:sz w:val="24"/>
          <w:szCs w:val="24"/>
        </w:rPr>
        <w:t xml:space="preserve">eg 7 of the POCA, the High Court, in exercising its discretion, refused to confirm the provisional order. That being the case, he asserts, the PG is appealing against a discretionary decision (based on the determination of facts) and that, in terms of settled law, makes the power of this </w:t>
      </w:r>
      <w:r w:rsidR="00620567">
        <w:rPr>
          <w:rFonts w:ascii="Arial" w:hAnsi="Arial"/>
          <w:sz w:val="24"/>
          <w:szCs w:val="24"/>
        </w:rPr>
        <w:t>c</w:t>
      </w:r>
      <w:r w:rsidR="00C751E8" w:rsidRPr="006A2BB3">
        <w:rPr>
          <w:rFonts w:ascii="Arial" w:hAnsi="Arial"/>
          <w:sz w:val="24"/>
          <w:szCs w:val="24"/>
        </w:rPr>
        <w:t xml:space="preserve">ourt to interfere on appeal strictly circumscribed. </w:t>
      </w:r>
    </w:p>
    <w:p w:rsidR="009E1CFD" w:rsidRPr="006A2BB3" w:rsidRDefault="009E1CFD" w:rsidP="006A2BB3">
      <w:pPr>
        <w:spacing w:after="0" w:line="480" w:lineRule="auto"/>
        <w:ind w:left="360"/>
        <w:jc w:val="both"/>
        <w:rPr>
          <w:rFonts w:ascii="Arial" w:hAnsi="Arial"/>
          <w:sz w:val="24"/>
          <w:szCs w:val="24"/>
        </w:rPr>
      </w:pPr>
    </w:p>
    <w:p w:rsidR="00C751E8" w:rsidRPr="006A2BB3" w:rsidRDefault="003843EE" w:rsidP="006A2BB3">
      <w:pPr>
        <w:spacing w:after="0" w:line="480" w:lineRule="auto"/>
        <w:jc w:val="both"/>
        <w:rPr>
          <w:rFonts w:ascii="Arial" w:hAnsi="Arial"/>
          <w:sz w:val="24"/>
          <w:szCs w:val="24"/>
        </w:rPr>
      </w:pPr>
      <w:r w:rsidRPr="006A2BB3">
        <w:rPr>
          <w:rFonts w:ascii="Arial" w:hAnsi="Arial"/>
          <w:sz w:val="24"/>
          <w:szCs w:val="24"/>
        </w:rPr>
        <w:t>[35</w:t>
      </w:r>
      <w:r w:rsidR="00C751E8" w:rsidRPr="006A2BB3">
        <w:rPr>
          <w:rFonts w:ascii="Arial" w:hAnsi="Arial"/>
          <w:sz w:val="24"/>
          <w:szCs w:val="24"/>
        </w:rPr>
        <w:t>]</w:t>
      </w:r>
      <w:r w:rsidR="00C751E8" w:rsidRPr="006A2BB3">
        <w:rPr>
          <w:rFonts w:ascii="Arial" w:hAnsi="Arial"/>
          <w:sz w:val="24"/>
          <w:szCs w:val="24"/>
        </w:rPr>
        <w:tab/>
        <w:t xml:space="preserve">He further questions whether the PG may </w:t>
      </w:r>
      <w:r w:rsidR="00622739">
        <w:rPr>
          <w:rFonts w:ascii="Arial" w:hAnsi="Arial"/>
          <w:sz w:val="24"/>
          <w:szCs w:val="24"/>
        </w:rPr>
        <w:t>'</w:t>
      </w:r>
      <w:r w:rsidR="00C751E8" w:rsidRPr="006A2BB3">
        <w:rPr>
          <w:rFonts w:ascii="Arial" w:hAnsi="Arial"/>
          <w:sz w:val="24"/>
          <w:szCs w:val="24"/>
        </w:rPr>
        <w:t>attack</w:t>
      </w:r>
      <w:r w:rsidR="00622739">
        <w:rPr>
          <w:rFonts w:ascii="Arial" w:hAnsi="Arial"/>
          <w:sz w:val="24"/>
          <w:szCs w:val="24"/>
        </w:rPr>
        <w:t>'</w:t>
      </w:r>
      <w:r w:rsidR="00C751E8" w:rsidRPr="006A2BB3">
        <w:rPr>
          <w:rFonts w:ascii="Arial" w:hAnsi="Arial"/>
          <w:sz w:val="24"/>
          <w:szCs w:val="24"/>
        </w:rPr>
        <w:t xml:space="preserve"> </w:t>
      </w:r>
      <w:r w:rsidR="00622739">
        <w:rPr>
          <w:rFonts w:ascii="Arial" w:hAnsi="Arial"/>
          <w:sz w:val="24"/>
          <w:szCs w:val="24"/>
        </w:rPr>
        <w:t>r</w:t>
      </w:r>
      <w:r w:rsidR="00C751E8" w:rsidRPr="006A2BB3">
        <w:rPr>
          <w:rFonts w:ascii="Arial" w:hAnsi="Arial"/>
          <w:sz w:val="24"/>
          <w:szCs w:val="24"/>
        </w:rPr>
        <w:t>eg 7 collaterally</w:t>
      </w:r>
      <w:r w:rsidR="00A32176" w:rsidRPr="006A2BB3">
        <w:rPr>
          <w:rFonts w:ascii="Arial" w:hAnsi="Arial"/>
          <w:sz w:val="24"/>
          <w:szCs w:val="24"/>
        </w:rPr>
        <w:t xml:space="preserve"> without joining the Minister of Justice (who is the executive authority responsible for creating the </w:t>
      </w:r>
      <w:r w:rsidR="00622739">
        <w:rPr>
          <w:rFonts w:ascii="Arial" w:hAnsi="Arial"/>
          <w:sz w:val="24"/>
          <w:szCs w:val="24"/>
        </w:rPr>
        <w:t>r</w:t>
      </w:r>
      <w:r w:rsidR="00A32176" w:rsidRPr="006A2BB3">
        <w:rPr>
          <w:rFonts w:ascii="Arial" w:hAnsi="Arial"/>
          <w:sz w:val="24"/>
          <w:szCs w:val="24"/>
        </w:rPr>
        <w:t xml:space="preserve">egulations) and without impugning </w:t>
      </w:r>
      <w:r w:rsidR="00622739">
        <w:rPr>
          <w:rFonts w:ascii="Arial" w:hAnsi="Arial"/>
          <w:sz w:val="24"/>
          <w:szCs w:val="24"/>
        </w:rPr>
        <w:t>r</w:t>
      </w:r>
      <w:r w:rsidR="00A32176" w:rsidRPr="006A2BB3">
        <w:rPr>
          <w:rFonts w:ascii="Arial" w:hAnsi="Arial"/>
          <w:sz w:val="24"/>
          <w:szCs w:val="24"/>
        </w:rPr>
        <w:t xml:space="preserve">eg 7(b). </w:t>
      </w:r>
    </w:p>
    <w:p w:rsidR="009E1CFD" w:rsidRPr="006A2BB3" w:rsidRDefault="009E1CFD" w:rsidP="006A2BB3">
      <w:pPr>
        <w:spacing w:after="0" w:line="480" w:lineRule="auto"/>
        <w:jc w:val="both"/>
        <w:rPr>
          <w:rFonts w:ascii="Arial" w:hAnsi="Arial"/>
          <w:sz w:val="24"/>
          <w:szCs w:val="24"/>
        </w:rPr>
      </w:pPr>
    </w:p>
    <w:p w:rsidR="00A32176" w:rsidRPr="006A2BB3" w:rsidRDefault="003843EE" w:rsidP="006A2BB3">
      <w:pPr>
        <w:spacing w:after="0" w:line="480" w:lineRule="auto"/>
        <w:jc w:val="both"/>
        <w:rPr>
          <w:rFonts w:ascii="Arial" w:hAnsi="Arial"/>
          <w:sz w:val="24"/>
          <w:szCs w:val="24"/>
        </w:rPr>
      </w:pPr>
      <w:r w:rsidRPr="006A2BB3">
        <w:rPr>
          <w:rFonts w:ascii="Arial" w:hAnsi="Arial"/>
          <w:sz w:val="24"/>
          <w:szCs w:val="24"/>
        </w:rPr>
        <w:t>[36</w:t>
      </w:r>
      <w:r w:rsidR="00A32176" w:rsidRPr="006A2BB3">
        <w:rPr>
          <w:rFonts w:ascii="Arial" w:hAnsi="Arial"/>
          <w:sz w:val="24"/>
          <w:szCs w:val="24"/>
        </w:rPr>
        <w:t>]</w:t>
      </w:r>
      <w:r w:rsidR="00A32176" w:rsidRPr="006A2BB3">
        <w:rPr>
          <w:rFonts w:ascii="Arial" w:hAnsi="Arial"/>
          <w:sz w:val="24"/>
          <w:szCs w:val="24"/>
        </w:rPr>
        <w:tab/>
      </w:r>
      <w:r w:rsidR="007E1CCC" w:rsidRPr="006A2BB3">
        <w:rPr>
          <w:rFonts w:ascii="Arial" w:hAnsi="Arial"/>
          <w:sz w:val="24"/>
          <w:szCs w:val="24"/>
        </w:rPr>
        <w:t>F</w:t>
      </w:r>
      <w:r w:rsidR="007E1CCC">
        <w:rPr>
          <w:rFonts w:ascii="Arial" w:hAnsi="Arial"/>
          <w:sz w:val="24"/>
          <w:szCs w:val="24"/>
        </w:rPr>
        <w:t>u</w:t>
      </w:r>
      <w:r w:rsidR="007E1CCC" w:rsidRPr="006A2BB3">
        <w:rPr>
          <w:rFonts w:ascii="Arial" w:hAnsi="Arial"/>
          <w:sz w:val="24"/>
          <w:szCs w:val="24"/>
        </w:rPr>
        <w:t>rther</w:t>
      </w:r>
      <w:r w:rsidR="00A32176" w:rsidRPr="006A2BB3">
        <w:rPr>
          <w:rFonts w:ascii="Arial" w:hAnsi="Arial"/>
          <w:sz w:val="24"/>
          <w:szCs w:val="24"/>
        </w:rPr>
        <w:t xml:space="preserve">, </w:t>
      </w:r>
      <w:r w:rsidR="00096E42" w:rsidRPr="006A2BB3">
        <w:rPr>
          <w:rFonts w:ascii="Arial" w:hAnsi="Arial"/>
          <w:sz w:val="24"/>
          <w:szCs w:val="24"/>
        </w:rPr>
        <w:t>submits on</w:t>
      </w:r>
      <w:r w:rsidR="00A32176" w:rsidRPr="006A2BB3">
        <w:rPr>
          <w:rFonts w:ascii="Arial" w:hAnsi="Arial"/>
          <w:sz w:val="24"/>
          <w:szCs w:val="24"/>
        </w:rPr>
        <w:t xml:space="preserve"> </w:t>
      </w:r>
      <w:r w:rsidR="008706D3" w:rsidRPr="006A2BB3">
        <w:rPr>
          <w:rFonts w:ascii="Arial" w:hAnsi="Arial"/>
          <w:sz w:val="24"/>
          <w:szCs w:val="24"/>
        </w:rPr>
        <w:t xml:space="preserve">the basis </w:t>
      </w:r>
      <w:r w:rsidR="00A32176" w:rsidRPr="006A2BB3">
        <w:rPr>
          <w:rFonts w:ascii="Arial" w:hAnsi="Arial"/>
          <w:sz w:val="24"/>
          <w:szCs w:val="24"/>
        </w:rPr>
        <w:t>that the High Court has as yet not decided the merits of the preservation order in terms of s 51(2) of the POCA, nor whether the property constitutes proceeds or instrumentalities of</w:t>
      </w:r>
      <w:r w:rsidRPr="006A2BB3">
        <w:rPr>
          <w:rFonts w:ascii="Arial" w:hAnsi="Arial"/>
          <w:sz w:val="24"/>
          <w:szCs w:val="24"/>
        </w:rPr>
        <w:t xml:space="preserve"> a crime or</w:t>
      </w:r>
      <w:r w:rsidR="00A32176" w:rsidRPr="006A2BB3">
        <w:rPr>
          <w:rFonts w:ascii="Arial" w:hAnsi="Arial"/>
          <w:sz w:val="24"/>
          <w:szCs w:val="24"/>
        </w:rPr>
        <w:t xml:space="preserve"> unlawful activities, these issues are not </w:t>
      </w:r>
      <w:r w:rsidR="00A32176" w:rsidRPr="006A2BB3">
        <w:rPr>
          <w:rFonts w:ascii="Arial" w:hAnsi="Arial"/>
          <w:i/>
          <w:sz w:val="24"/>
          <w:szCs w:val="24"/>
        </w:rPr>
        <w:t>res judicata</w:t>
      </w:r>
      <w:r w:rsidR="00A32176" w:rsidRPr="006A2BB3">
        <w:rPr>
          <w:rFonts w:ascii="Arial" w:hAnsi="Arial"/>
          <w:sz w:val="24"/>
          <w:szCs w:val="24"/>
        </w:rPr>
        <w:t xml:space="preserve"> before the High Court and therefore not ripe </w:t>
      </w:r>
      <w:r w:rsidRPr="006A2BB3">
        <w:rPr>
          <w:rFonts w:ascii="Arial" w:hAnsi="Arial"/>
          <w:sz w:val="24"/>
          <w:szCs w:val="24"/>
        </w:rPr>
        <w:t xml:space="preserve">for an appeal </w:t>
      </w:r>
      <w:r w:rsidR="00A32176" w:rsidRPr="006A2BB3">
        <w:rPr>
          <w:rFonts w:ascii="Arial" w:hAnsi="Arial"/>
          <w:sz w:val="24"/>
          <w:szCs w:val="24"/>
        </w:rPr>
        <w:t xml:space="preserve">before this </w:t>
      </w:r>
      <w:r w:rsidR="00622739">
        <w:rPr>
          <w:rFonts w:ascii="Arial" w:hAnsi="Arial"/>
          <w:sz w:val="24"/>
          <w:szCs w:val="24"/>
        </w:rPr>
        <w:t>c</w:t>
      </w:r>
      <w:r w:rsidR="00A32176" w:rsidRPr="006A2BB3">
        <w:rPr>
          <w:rFonts w:ascii="Arial" w:hAnsi="Arial"/>
          <w:sz w:val="24"/>
          <w:szCs w:val="24"/>
        </w:rPr>
        <w:t xml:space="preserve">ourt. In any case, he contends, the appeal could not proceed without leave of the High Court. Consequently, </w:t>
      </w:r>
      <w:r w:rsidRPr="006A2BB3">
        <w:rPr>
          <w:rFonts w:ascii="Arial" w:hAnsi="Arial"/>
          <w:sz w:val="24"/>
          <w:szCs w:val="24"/>
        </w:rPr>
        <w:t>he further contends</w:t>
      </w:r>
      <w:r w:rsidR="00A32176" w:rsidRPr="006A2BB3">
        <w:rPr>
          <w:rFonts w:ascii="Arial" w:hAnsi="Arial"/>
          <w:sz w:val="24"/>
          <w:szCs w:val="24"/>
        </w:rPr>
        <w:t xml:space="preserve">, the appeal must be struck from the </w:t>
      </w:r>
      <w:r w:rsidR="00622739">
        <w:rPr>
          <w:rFonts w:ascii="Arial" w:hAnsi="Arial"/>
          <w:sz w:val="24"/>
          <w:szCs w:val="24"/>
        </w:rPr>
        <w:t>c</w:t>
      </w:r>
      <w:r w:rsidR="00A32176" w:rsidRPr="006A2BB3">
        <w:rPr>
          <w:rFonts w:ascii="Arial" w:hAnsi="Arial"/>
          <w:sz w:val="24"/>
          <w:szCs w:val="24"/>
        </w:rPr>
        <w:t xml:space="preserve">ourt’s roll. </w:t>
      </w:r>
    </w:p>
    <w:p w:rsidR="009E1CFD" w:rsidRPr="006A2BB3" w:rsidRDefault="009E1CFD" w:rsidP="006A2BB3">
      <w:pPr>
        <w:spacing w:after="0" w:line="480" w:lineRule="auto"/>
        <w:ind w:left="360"/>
        <w:jc w:val="both"/>
        <w:rPr>
          <w:rFonts w:ascii="Arial" w:hAnsi="Arial"/>
          <w:sz w:val="24"/>
          <w:szCs w:val="24"/>
        </w:rPr>
      </w:pPr>
    </w:p>
    <w:p w:rsidR="00A32176" w:rsidRPr="006A2BB3" w:rsidRDefault="003843EE" w:rsidP="006A2BB3">
      <w:pPr>
        <w:spacing w:after="0" w:line="480" w:lineRule="auto"/>
        <w:jc w:val="both"/>
        <w:rPr>
          <w:rFonts w:ascii="Arial" w:hAnsi="Arial"/>
          <w:sz w:val="24"/>
          <w:szCs w:val="24"/>
        </w:rPr>
      </w:pPr>
      <w:r w:rsidRPr="006A2BB3">
        <w:rPr>
          <w:rFonts w:ascii="Arial" w:hAnsi="Arial"/>
          <w:sz w:val="24"/>
          <w:szCs w:val="24"/>
        </w:rPr>
        <w:t>[37</w:t>
      </w:r>
      <w:r w:rsidR="00C545C3">
        <w:rPr>
          <w:rFonts w:ascii="Arial" w:hAnsi="Arial"/>
          <w:sz w:val="24"/>
          <w:szCs w:val="24"/>
        </w:rPr>
        <w:t>]</w:t>
      </w:r>
      <w:r w:rsidR="00C545C3">
        <w:rPr>
          <w:rFonts w:ascii="Arial" w:hAnsi="Arial"/>
          <w:sz w:val="24"/>
          <w:szCs w:val="24"/>
        </w:rPr>
        <w:tab/>
        <w:t>On the question whether this c</w:t>
      </w:r>
      <w:r w:rsidR="00A32176" w:rsidRPr="006A2BB3">
        <w:rPr>
          <w:rFonts w:ascii="Arial" w:hAnsi="Arial"/>
          <w:sz w:val="24"/>
          <w:szCs w:val="24"/>
        </w:rPr>
        <w:t xml:space="preserve">ourt may proceed with the determination of the property preservation order on the assumption that the High Court had erred in upholding the </w:t>
      </w:r>
      <w:r w:rsidR="00A32176" w:rsidRPr="006A2BB3">
        <w:rPr>
          <w:rFonts w:ascii="Arial" w:hAnsi="Arial"/>
          <w:i/>
          <w:sz w:val="24"/>
          <w:szCs w:val="24"/>
        </w:rPr>
        <w:t>rule nisi</w:t>
      </w:r>
      <w:r w:rsidR="00A32176" w:rsidRPr="006A2BB3">
        <w:rPr>
          <w:rFonts w:ascii="Arial" w:hAnsi="Arial"/>
          <w:sz w:val="24"/>
          <w:szCs w:val="24"/>
        </w:rPr>
        <w:t xml:space="preserve">, it is the submission of the respondent that this Court cannot do so, as the power to make preservation orders in terms of s 51(2) is that of the High Court. Thus, he contends, the question regarding the determination of the preservation order must be remitted to the High Court for further determination there as the court of first instance. In view of the apex nature of this </w:t>
      </w:r>
      <w:r w:rsidR="00622739">
        <w:rPr>
          <w:rFonts w:ascii="Arial" w:hAnsi="Arial"/>
          <w:sz w:val="24"/>
          <w:szCs w:val="24"/>
        </w:rPr>
        <w:t>c</w:t>
      </w:r>
      <w:r w:rsidR="00A32176" w:rsidRPr="006A2BB3">
        <w:rPr>
          <w:rFonts w:ascii="Arial" w:hAnsi="Arial"/>
          <w:sz w:val="24"/>
          <w:szCs w:val="24"/>
        </w:rPr>
        <w:t xml:space="preserve">ourt, it is </w:t>
      </w:r>
      <w:r w:rsidR="008552F0" w:rsidRPr="006A2BB3">
        <w:rPr>
          <w:rFonts w:ascii="Arial" w:hAnsi="Arial"/>
          <w:sz w:val="24"/>
          <w:szCs w:val="24"/>
        </w:rPr>
        <w:t xml:space="preserve">indeed </w:t>
      </w:r>
      <w:r w:rsidR="00A32176" w:rsidRPr="006A2BB3">
        <w:rPr>
          <w:rFonts w:ascii="Arial" w:hAnsi="Arial"/>
          <w:sz w:val="24"/>
          <w:szCs w:val="24"/>
        </w:rPr>
        <w:t xml:space="preserve">primarily not a court of first instance but that of appeal and therefore of ultimate resort. </w:t>
      </w:r>
    </w:p>
    <w:p w:rsidR="009E1CFD" w:rsidRPr="006A2BB3" w:rsidRDefault="009E1CFD" w:rsidP="006A2BB3">
      <w:pPr>
        <w:spacing w:after="0" w:line="480" w:lineRule="auto"/>
        <w:ind w:left="360"/>
        <w:jc w:val="both"/>
        <w:rPr>
          <w:rFonts w:ascii="Arial" w:hAnsi="Arial"/>
          <w:sz w:val="24"/>
          <w:szCs w:val="24"/>
        </w:rPr>
      </w:pPr>
    </w:p>
    <w:p w:rsidR="00A32176" w:rsidRPr="006A2BB3" w:rsidRDefault="003843EE" w:rsidP="006A2BB3">
      <w:pPr>
        <w:spacing w:after="0" w:line="480" w:lineRule="auto"/>
        <w:jc w:val="both"/>
        <w:rPr>
          <w:rFonts w:ascii="Arial" w:hAnsi="Arial"/>
          <w:sz w:val="24"/>
          <w:szCs w:val="24"/>
        </w:rPr>
      </w:pPr>
      <w:r w:rsidRPr="006A2BB3">
        <w:rPr>
          <w:rFonts w:ascii="Arial" w:hAnsi="Arial"/>
          <w:sz w:val="24"/>
          <w:szCs w:val="24"/>
        </w:rPr>
        <w:t>[38</w:t>
      </w:r>
      <w:r w:rsidR="00A32176" w:rsidRPr="006A2BB3">
        <w:rPr>
          <w:rFonts w:ascii="Arial" w:hAnsi="Arial"/>
          <w:sz w:val="24"/>
          <w:szCs w:val="24"/>
        </w:rPr>
        <w:t>]</w:t>
      </w:r>
      <w:r w:rsidR="00A32176" w:rsidRPr="006A2BB3">
        <w:rPr>
          <w:rFonts w:ascii="Arial" w:hAnsi="Arial"/>
          <w:sz w:val="24"/>
          <w:szCs w:val="24"/>
        </w:rPr>
        <w:tab/>
        <w:t xml:space="preserve">Relying on </w:t>
      </w:r>
      <w:r w:rsidR="00A32176" w:rsidRPr="006A2BB3">
        <w:rPr>
          <w:rFonts w:ascii="Arial" w:hAnsi="Arial"/>
          <w:i/>
          <w:sz w:val="24"/>
          <w:szCs w:val="24"/>
        </w:rPr>
        <w:t xml:space="preserve">Rally for Democracy and Progress </w:t>
      </w:r>
      <w:r w:rsidR="00622739">
        <w:rPr>
          <w:rFonts w:ascii="Arial" w:hAnsi="Arial"/>
          <w:i/>
          <w:sz w:val="24"/>
          <w:szCs w:val="24"/>
        </w:rPr>
        <w:t>&amp;</w:t>
      </w:r>
      <w:r w:rsidR="00622739" w:rsidRPr="006A2BB3">
        <w:rPr>
          <w:rFonts w:ascii="Arial" w:hAnsi="Arial"/>
          <w:i/>
          <w:sz w:val="24"/>
          <w:szCs w:val="24"/>
        </w:rPr>
        <w:t xml:space="preserve"> </w:t>
      </w:r>
      <w:r w:rsidR="00622739">
        <w:rPr>
          <w:rFonts w:ascii="Arial" w:hAnsi="Arial"/>
          <w:i/>
          <w:sz w:val="24"/>
          <w:szCs w:val="24"/>
        </w:rPr>
        <w:t>o</w:t>
      </w:r>
      <w:r w:rsidR="00A32176" w:rsidRPr="006A2BB3">
        <w:rPr>
          <w:rFonts w:ascii="Arial" w:hAnsi="Arial"/>
          <w:i/>
          <w:sz w:val="24"/>
          <w:szCs w:val="24"/>
        </w:rPr>
        <w:t xml:space="preserve">thers v Electoral Commission of Namibia </w:t>
      </w:r>
      <w:r w:rsidR="00622739">
        <w:rPr>
          <w:rFonts w:ascii="Arial" w:hAnsi="Arial"/>
          <w:i/>
          <w:sz w:val="24"/>
          <w:szCs w:val="24"/>
        </w:rPr>
        <w:t>&amp;</w:t>
      </w:r>
      <w:r w:rsidR="00622739" w:rsidRPr="006A2BB3">
        <w:rPr>
          <w:rFonts w:ascii="Arial" w:hAnsi="Arial"/>
          <w:i/>
          <w:sz w:val="24"/>
          <w:szCs w:val="24"/>
        </w:rPr>
        <w:t xml:space="preserve"> </w:t>
      </w:r>
      <w:r w:rsidR="00096E42">
        <w:rPr>
          <w:rFonts w:ascii="Arial" w:hAnsi="Arial"/>
          <w:i/>
          <w:sz w:val="24"/>
          <w:szCs w:val="24"/>
        </w:rPr>
        <w:t>o</w:t>
      </w:r>
      <w:r w:rsidR="00096E42" w:rsidRPr="006A2BB3">
        <w:rPr>
          <w:rFonts w:ascii="Arial" w:hAnsi="Arial"/>
          <w:i/>
          <w:sz w:val="24"/>
          <w:szCs w:val="24"/>
        </w:rPr>
        <w:t>thers</w:t>
      </w:r>
      <w:r w:rsidR="00A32176" w:rsidRPr="006A2BB3">
        <w:rPr>
          <w:rFonts w:ascii="Arial" w:hAnsi="Arial"/>
          <w:sz w:val="24"/>
          <w:szCs w:val="24"/>
          <w:vertAlign w:val="superscript"/>
        </w:rPr>
        <w:footnoteReference w:id="6"/>
      </w:r>
      <w:r w:rsidR="00A32176" w:rsidRPr="006A2BB3">
        <w:rPr>
          <w:rFonts w:ascii="Arial" w:hAnsi="Arial"/>
          <w:sz w:val="24"/>
          <w:szCs w:val="24"/>
        </w:rPr>
        <w:t xml:space="preserve">, </w:t>
      </w:r>
      <w:r w:rsidR="00622739">
        <w:rPr>
          <w:rFonts w:ascii="Arial" w:hAnsi="Arial"/>
          <w:sz w:val="24"/>
          <w:szCs w:val="24"/>
        </w:rPr>
        <w:t xml:space="preserve">the </w:t>
      </w:r>
      <w:r w:rsidR="00A32176" w:rsidRPr="006A2BB3">
        <w:rPr>
          <w:rFonts w:ascii="Arial" w:hAnsi="Arial"/>
          <w:sz w:val="24"/>
          <w:szCs w:val="24"/>
        </w:rPr>
        <w:t xml:space="preserve">respondent contends that this </w:t>
      </w:r>
      <w:r w:rsidR="00622739">
        <w:rPr>
          <w:rFonts w:ascii="Arial" w:hAnsi="Arial"/>
          <w:sz w:val="24"/>
          <w:szCs w:val="24"/>
        </w:rPr>
        <w:t>c</w:t>
      </w:r>
      <w:r w:rsidR="00A32176" w:rsidRPr="006A2BB3">
        <w:rPr>
          <w:rFonts w:ascii="Arial" w:hAnsi="Arial"/>
          <w:sz w:val="24"/>
          <w:szCs w:val="24"/>
        </w:rPr>
        <w:t>ourt, being a forum of last resort</w:t>
      </w:r>
      <w:r w:rsidR="00F644B3" w:rsidRPr="006A2BB3">
        <w:rPr>
          <w:rFonts w:ascii="Arial" w:hAnsi="Arial"/>
          <w:sz w:val="24"/>
          <w:szCs w:val="24"/>
        </w:rPr>
        <w:t xml:space="preserve">, must be slow to decide matters as if it is a court of first instance. A court of first instance is, in its procedures, structured such that parties are given ample opportunity to make their arguments and in </w:t>
      </w:r>
      <w:r w:rsidRPr="006A2BB3">
        <w:rPr>
          <w:rFonts w:ascii="Arial" w:hAnsi="Arial"/>
          <w:sz w:val="24"/>
          <w:szCs w:val="24"/>
        </w:rPr>
        <w:t xml:space="preserve">certain circumstances </w:t>
      </w:r>
      <w:r w:rsidR="00F644B3" w:rsidRPr="006A2BB3">
        <w:rPr>
          <w:rFonts w:ascii="Arial" w:hAnsi="Arial"/>
          <w:sz w:val="24"/>
          <w:szCs w:val="24"/>
        </w:rPr>
        <w:t>subject the disputes betwee</w:t>
      </w:r>
      <w:r w:rsidRPr="006A2BB3">
        <w:rPr>
          <w:rFonts w:ascii="Arial" w:hAnsi="Arial"/>
          <w:sz w:val="24"/>
          <w:szCs w:val="24"/>
        </w:rPr>
        <w:t>n the parties to oral evidence where if necessary</w:t>
      </w:r>
      <w:r w:rsidR="00F644B3" w:rsidRPr="006A2BB3">
        <w:rPr>
          <w:rFonts w:ascii="Arial" w:hAnsi="Arial"/>
          <w:sz w:val="24"/>
          <w:szCs w:val="24"/>
        </w:rPr>
        <w:t xml:space="preserve"> the court can ma</w:t>
      </w:r>
      <w:r w:rsidRPr="006A2BB3">
        <w:rPr>
          <w:rFonts w:ascii="Arial" w:hAnsi="Arial"/>
          <w:sz w:val="24"/>
          <w:szCs w:val="24"/>
        </w:rPr>
        <w:t xml:space="preserve">ke credibility findings. On that </w:t>
      </w:r>
      <w:r w:rsidR="00F644B3" w:rsidRPr="006A2BB3">
        <w:rPr>
          <w:rFonts w:ascii="Arial" w:hAnsi="Arial"/>
          <w:sz w:val="24"/>
          <w:szCs w:val="24"/>
        </w:rPr>
        <w:t xml:space="preserve">basis, concludes the respondent, it would be inappropriate for this </w:t>
      </w:r>
      <w:r w:rsidR="00622739">
        <w:rPr>
          <w:rFonts w:ascii="Arial" w:hAnsi="Arial"/>
          <w:sz w:val="24"/>
          <w:szCs w:val="24"/>
        </w:rPr>
        <w:t>c</w:t>
      </w:r>
      <w:r w:rsidR="00F644B3" w:rsidRPr="006A2BB3">
        <w:rPr>
          <w:rFonts w:ascii="Arial" w:hAnsi="Arial"/>
          <w:sz w:val="24"/>
          <w:szCs w:val="24"/>
        </w:rPr>
        <w:t>ourt, whose procedures are not suitably structured</w:t>
      </w:r>
      <w:r w:rsidRPr="006A2BB3">
        <w:rPr>
          <w:rFonts w:ascii="Arial" w:hAnsi="Arial"/>
          <w:sz w:val="24"/>
          <w:szCs w:val="24"/>
        </w:rPr>
        <w:t>,</w:t>
      </w:r>
      <w:r w:rsidR="00F644B3" w:rsidRPr="006A2BB3">
        <w:rPr>
          <w:rFonts w:ascii="Arial" w:hAnsi="Arial"/>
          <w:sz w:val="24"/>
          <w:szCs w:val="24"/>
        </w:rPr>
        <w:t xml:space="preserve"> to finally determine whether the property preservation order should be granted. </w:t>
      </w:r>
    </w:p>
    <w:p w:rsidR="009E1CFD" w:rsidRPr="006A2BB3" w:rsidRDefault="009E1CFD" w:rsidP="006A2BB3">
      <w:pPr>
        <w:spacing w:after="0" w:line="480" w:lineRule="auto"/>
        <w:ind w:left="360"/>
        <w:jc w:val="both"/>
        <w:rPr>
          <w:rFonts w:ascii="Arial" w:hAnsi="Arial"/>
          <w:sz w:val="24"/>
          <w:szCs w:val="24"/>
        </w:rPr>
      </w:pPr>
    </w:p>
    <w:p w:rsidR="00F644B3" w:rsidRPr="006A2BB3" w:rsidRDefault="00AB5AA8" w:rsidP="006A2BB3">
      <w:pPr>
        <w:spacing w:after="0" w:line="480" w:lineRule="auto"/>
        <w:jc w:val="both"/>
        <w:rPr>
          <w:rFonts w:ascii="Arial" w:hAnsi="Arial"/>
          <w:sz w:val="24"/>
          <w:szCs w:val="24"/>
        </w:rPr>
      </w:pPr>
      <w:r w:rsidRPr="006A2BB3">
        <w:rPr>
          <w:rFonts w:ascii="Arial" w:hAnsi="Arial"/>
          <w:sz w:val="24"/>
          <w:szCs w:val="24"/>
        </w:rPr>
        <w:t>[39</w:t>
      </w:r>
      <w:r w:rsidR="00F644B3" w:rsidRPr="006A2BB3">
        <w:rPr>
          <w:rFonts w:ascii="Arial" w:hAnsi="Arial"/>
          <w:sz w:val="24"/>
          <w:szCs w:val="24"/>
        </w:rPr>
        <w:t>]</w:t>
      </w:r>
      <w:r w:rsidR="00F644B3" w:rsidRPr="006A2BB3">
        <w:rPr>
          <w:rFonts w:ascii="Arial" w:hAnsi="Arial"/>
          <w:sz w:val="24"/>
          <w:szCs w:val="24"/>
        </w:rPr>
        <w:tab/>
        <w:t xml:space="preserve">Anyway, </w:t>
      </w:r>
      <w:r w:rsidR="003843EE" w:rsidRPr="006A2BB3">
        <w:rPr>
          <w:rFonts w:ascii="Arial" w:hAnsi="Arial"/>
          <w:sz w:val="24"/>
          <w:szCs w:val="24"/>
        </w:rPr>
        <w:t xml:space="preserve">his argument proceeds </w:t>
      </w:r>
      <w:r w:rsidR="00F644B3" w:rsidRPr="006A2BB3">
        <w:rPr>
          <w:rFonts w:ascii="Arial" w:hAnsi="Arial"/>
          <w:sz w:val="24"/>
          <w:szCs w:val="24"/>
        </w:rPr>
        <w:t xml:space="preserve">in the alternative, even if the court may decide the merits of the property preservation order, a case has not been made out for the order to be granted. That is so, he contends, because the test for granting a s 51(2) order is whether an opposing affidavit had been filed. The court may thus grant the order where </w:t>
      </w:r>
      <w:r w:rsidR="003843EE" w:rsidRPr="006A2BB3">
        <w:rPr>
          <w:rFonts w:ascii="Arial" w:hAnsi="Arial"/>
          <w:sz w:val="24"/>
          <w:szCs w:val="24"/>
        </w:rPr>
        <w:t>there is no such affidavit. In that event</w:t>
      </w:r>
      <w:r w:rsidR="00F644B3" w:rsidRPr="006A2BB3">
        <w:rPr>
          <w:rFonts w:ascii="Arial" w:hAnsi="Arial"/>
          <w:sz w:val="24"/>
          <w:szCs w:val="24"/>
        </w:rPr>
        <w:t xml:space="preserve">, the court will </w:t>
      </w:r>
      <w:r w:rsidR="008E19A7">
        <w:rPr>
          <w:rFonts w:ascii="Arial" w:hAnsi="Arial"/>
          <w:sz w:val="24"/>
          <w:szCs w:val="24"/>
        </w:rPr>
        <w:t xml:space="preserve"> </w:t>
      </w:r>
      <w:r w:rsidR="00F644B3" w:rsidRPr="006A2BB3">
        <w:rPr>
          <w:rFonts w:ascii="Arial" w:hAnsi="Arial"/>
          <w:sz w:val="24"/>
          <w:szCs w:val="24"/>
        </w:rPr>
        <w:t xml:space="preserve">be </w:t>
      </w:r>
      <w:r w:rsidR="008E19A7">
        <w:rPr>
          <w:rFonts w:ascii="Arial" w:hAnsi="Arial"/>
          <w:sz w:val="24"/>
          <w:szCs w:val="24"/>
        </w:rPr>
        <w:t xml:space="preserve"> </w:t>
      </w:r>
      <w:r w:rsidR="00F644B3" w:rsidRPr="006A2BB3">
        <w:rPr>
          <w:rFonts w:ascii="Arial" w:hAnsi="Arial"/>
          <w:sz w:val="24"/>
          <w:szCs w:val="24"/>
        </w:rPr>
        <w:t>entitl</w:t>
      </w:r>
      <w:r w:rsidR="003843EE" w:rsidRPr="006A2BB3">
        <w:rPr>
          <w:rFonts w:ascii="Arial" w:hAnsi="Arial"/>
          <w:sz w:val="24"/>
          <w:szCs w:val="24"/>
        </w:rPr>
        <w:t xml:space="preserve">ed to </w:t>
      </w:r>
      <w:r w:rsidR="008E19A7">
        <w:rPr>
          <w:rFonts w:ascii="Arial" w:hAnsi="Arial"/>
          <w:sz w:val="24"/>
          <w:szCs w:val="24"/>
        </w:rPr>
        <w:t xml:space="preserve"> </w:t>
      </w:r>
      <w:r w:rsidR="003843EE" w:rsidRPr="006A2BB3">
        <w:rPr>
          <w:rFonts w:ascii="Arial" w:hAnsi="Arial"/>
          <w:sz w:val="24"/>
          <w:szCs w:val="24"/>
        </w:rPr>
        <w:t xml:space="preserve">apply </w:t>
      </w:r>
      <w:r w:rsidR="008E19A7">
        <w:rPr>
          <w:rFonts w:ascii="Arial" w:hAnsi="Arial"/>
          <w:sz w:val="24"/>
          <w:szCs w:val="24"/>
        </w:rPr>
        <w:t xml:space="preserve"> </w:t>
      </w:r>
      <w:r w:rsidR="003843EE" w:rsidRPr="006A2BB3">
        <w:rPr>
          <w:rFonts w:ascii="Arial" w:hAnsi="Arial"/>
          <w:sz w:val="24"/>
          <w:szCs w:val="24"/>
        </w:rPr>
        <w:t xml:space="preserve">the </w:t>
      </w:r>
      <w:r w:rsidR="008E19A7">
        <w:rPr>
          <w:rFonts w:ascii="Arial" w:hAnsi="Arial"/>
          <w:sz w:val="24"/>
          <w:szCs w:val="24"/>
        </w:rPr>
        <w:t xml:space="preserve"> </w:t>
      </w:r>
      <w:r w:rsidR="003843EE" w:rsidRPr="00622739">
        <w:rPr>
          <w:rFonts w:ascii="Arial" w:hAnsi="Arial"/>
          <w:i/>
          <w:sz w:val="24"/>
          <w:szCs w:val="24"/>
        </w:rPr>
        <w:t>Plascon</w:t>
      </w:r>
      <w:r w:rsidR="00622739">
        <w:rPr>
          <w:rFonts w:ascii="Arial" w:hAnsi="Arial"/>
          <w:i/>
          <w:sz w:val="24"/>
          <w:szCs w:val="24"/>
        </w:rPr>
        <w:t>-</w:t>
      </w:r>
      <w:r w:rsidR="003843EE" w:rsidRPr="00622739">
        <w:rPr>
          <w:rFonts w:ascii="Arial" w:hAnsi="Arial"/>
          <w:i/>
          <w:sz w:val="24"/>
          <w:szCs w:val="24"/>
        </w:rPr>
        <w:t>Evans</w:t>
      </w:r>
      <w:r w:rsidR="003843EE" w:rsidRPr="006A2BB3">
        <w:rPr>
          <w:rFonts w:ascii="Arial" w:hAnsi="Arial"/>
          <w:sz w:val="24"/>
          <w:szCs w:val="24"/>
        </w:rPr>
        <w:t xml:space="preserve"> </w:t>
      </w:r>
      <w:r w:rsidR="008E19A7">
        <w:rPr>
          <w:rFonts w:ascii="Arial" w:hAnsi="Arial"/>
          <w:sz w:val="24"/>
          <w:szCs w:val="24"/>
        </w:rPr>
        <w:t xml:space="preserve"> </w:t>
      </w:r>
      <w:r w:rsidR="003843EE" w:rsidRPr="006A2BB3">
        <w:rPr>
          <w:rFonts w:ascii="Arial" w:hAnsi="Arial"/>
          <w:sz w:val="24"/>
          <w:szCs w:val="24"/>
        </w:rPr>
        <w:t>r</w:t>
      </w:r>
      <w:r w:rsidR="00F644B3" w:rsidRPr="006A2BB3">
        <w:rPr>
          <w:rFonts w:ascii="Arial" w:hAnsi="Arial"/>
          <w:sz w:val="24"/>
          <w:szCs w:val="24"/>
        </w:rPr>
        <w:t xml:space="preserve">ule </w:t>
      </w:r>
      <w:r w:rsidR="008E19A7">
        <w:rPr>
          <w:rFonts w:ascii="Arial" w:hAnsi="Arial"/>
          <w:sz w:val="24"/>
          <w:szCs w:val="24"/>
        </w:rPr>
        <w:t xml:space="preserve"> </w:t>
      </w:r>
      <w:r w:rsidR="00F644B3" w:rsidRPr="006A2BB3">
        <w:rPr>
          <w:rFonts w:ascii="Arial" w:hAnsi="Arial"/>
          <w:sz w:val="24"/>
          <w:szCs w:val="24"/>
        </w:rPr>
        <w:t xml:space="preserve">and grant the order once </w:t>
      </w:r>
      <w:r w:rsidR="008E19A7">
        <w:rPr>
          <w:rFonts w:ascii="Arial" w:hAnsi="Arial"/>
          <w:sz w:val="24"/>
          <w:szCs w:val="24"/>
        </w:rPr>
        <w:t xml:space="preserve"> </w:t>
      </w:r>
      <w:r w:rsidR="00F644B3" w:rsidRPr="006A2BB3">
        <w:rPr>
          <w:rFonts w:ascii="Arial" w:hAnsi="Arial"/>
          <w:sz w:val="24"/>
          <w:szCs w:val="24"/>
        </w:rPr>
        <w:t xml:space="preserve">the </w:t>
      </w:r>
      <w:r w:rsidR="008E19A7">
        <w:rPr>
          <w:rFonts w:ascii="Arial" w:hAnsi="Arial"/>
          <w:sz w:val="24"/>
          <w:szCs w:val="24"/>
        </w:rPr>
        <w:t xml:space="preserve"> </w:t>
      </w:r>
      <w:r w:rsidR="00F644B3" w:rsidRPr="006A2BB3">
        <w:rPr>
          <w:rFonts w:ascii="Arial" w:hAnsi="Arial"/>
          <w:sz w:val="24"/>
          <w:szCs w:val="24"/>
        </w:rPr>
        <w:t>s 51(2) prerequisites have been met. In this case</w:t>
      </w:r>
      <w:r w:rsidR="00622739">
        <w:rPr>
          <w:rFonts w:ascii="Arial" w:hAnsi="Arial"/>
          <w:sz w:val="24"/>
          <w:szCs w:val="24"/>
        </w:rPr>
        <w:t>,</w:t>
      </w:r>
      <w:r w:rsidR="003843EE" w:rsidRPr="006A2BB3">
        <w:rPr>
          <w:rFonts w:ascii="Arial" w:hAnsi="Arial"/>
          <w:sz w:val="24"/>
          <w:szCs w:val="24"/>
        </w:rPr>
        <w:t xml:space="preserve"> however</w:t>
      </w:r>
      <w:r w:rsidR="00F644B3" w:rsidRPr="006A2BB3">
        <w:rPr>
          <w:rFonts w:ascii="Arial" w:hAnsi="Arial"/>
          <w:sz w:val="24"/>
          <w:szCs w:val="24"/>
        </w:rPr>
        <w:t>, the respondent concludes, based on the fact of the filin</w:t>
      </w:r>
      <w:r w:rsidR="003843EE" w:rsidRPr="006A2BB3">
        <w:rPr>
          <w:rFonts w:ascii="Arial" w:hAnsi="Arial"/>
          <w:sz w:val="24"/>
          <w:szCs w:val="24"/>
        </w:rPr>
        <w:t>g of the opposing affidavit, this</w:t>
      </w:r>
      <w:r w:rsidR="00F644B3" w:rsidRPr="006A2BB3">
        <w:rPr>
          <w:rFonts w:ascii="Arial" w:hAnsi="Arial"/>
          <w:sz w:val="24"/>
          <w:szCs w:val="24"/>
        </w:rPr>
        <w:t xml:space="preserve"> court must hear the respondent before determining whether the application for the property preservation order in terms of s 51(2) may be granted.</w:t>
      </w:r>
    </w:p>
    <w:p w:rsidR="009E1CFD" w:rsidRPr="006A2BB3" w:rsidRDefault="009E1CFD" w:rsidP="006A2BB3">
      <w:pPr>
        <w:spacing w:after="0" w:line="480" w:lineRule="auto"/>
        <w:ind w:left="360"/>
        <w:jc w:val="both"/>
        <w:rPr>
          <w:rFonts w:ascii="Arial" w:hAnsi="Arial"/>
          <w:sz w:val="24"/>
          <w:szCs w:val="24"/>
        </w:rPr>
      </w:pPr>
    </w:p>
    <w:p w:rsidR="00F644B3" w:rsidRPr="006A2BB3" w:rsidRDefault="00AB5AA8" w:rsidP="006A2BB3">
      <w:pPr>
        <w:spacing w:after="0" w:line="480" w:lineRule="auto"/>
        <w:jc w:val="both"/>
        <w:rPr>
          <w:rFonts w:ascii="Arial" w:hAnsi="Arial"/>
          <w:sz w:val="24"/>
          <w:szCs w:val="24"/>
        </w:rPr>
      </w:pPr>
      <w:r w:rsidRPr="006A2BB3">
        <w:rPr>
          <w:rFonts w:ascii="Arial" w:hAnsi="Arial"/>
          <w:sz w:val="24"/>
          <w:szCs w:val="24"/>
        </w:rPr>
        <w:t>[40</w:t>
      </w:r>
      <w:r w:rsidR="00F644B3" w:rsidRPr="006A2BB3">
        <w:rPr>
          <w:rFonts w:ascii="Arial" w:hAnsi="Arial"/>
          <w:sz w:val="24"/>
          <w:szCs w:val="24"/>
        </w:rPr>
        <w:t>]</w:t>
      </w:r>
      <w:r w:rsidR="00F644B3" w:rsidRPr="006A2BB3">
        <w:rPr>
          <w:rFonts w:ascii="Arial" w:hAnsi="Arial"/>
          <w:sz w:val="24"/>
          <w:szCs w:val="24"/>
        </w:rPr>
        <w:tab/>
      </w:r>
      <w:r w:rsidR="00BC701F" w:rsidRPr="006A2BB3">
        <w:rPr>
          <w:rFonts w:ascii="Arial" w:hAnsi="Arial"/>
          <w:sz w:val="24"/>
          <w:szCs w:val="24"/>
        </w:rPr>
        <w:t xml:space="preserve">However, </w:t>
      </w:r>
      <w:r w:rsidR="003843EE" w:rsidRPr="006A2BB3">
        <w:rPr>
          <w:rFonts w:ascii="Arial" w:hAnsi="Arial"/>
          <w:sz w:val="24"/>
          <w:szCs w:val="24"/>
        </w:rPr>
        <w:t>the argument proceeds</w:t>
      </w:r>
      <w:r w:rsidR="00BC701F" w:rsidRPr="006A2BB3">
        <w:rPr>
          <w:rFonts w:ascii="Arial" w:hAnsi="Arial"/>
          <w:sz w:val="24"/>
          <w:szCs w:val="24"/>
        </w:rPr>
        <w:t xml:space="preserve">, the High Court was correct in its refusal to grant the </w:t>
      </w:r>
      <w:r w:rsidR="00BC701F" w:rsidRPr="006A2BB3">
        <w:rPr>
          <w:rFonts w:ascii="Arial" w:hAnsi="Arial"/>
          <w:i/>
          <w:sz w:val="24"/>
          <w:szCs w:val="24"/>
        </w:rPr>
        <w:t>ex parte</w:t>
      </w:r>
      <w:r w:rsidR="00BC701F" w:rsidRPr="006A2BB3">
        <w:rPr>
          <w:rFonts w:ascii="Arial" w:hAnsi="Arial"/>
          <w:sz w:val="24"/>
          <w:szCs w:val="24"/>
        </w:rPr>
        <w:t xml:space="preserve"> application for the property preservation order, determining that the </w:t>
      </w:r>
      <w:r w:rsidR="00622739">
        <w:rPr>
          <w:rFonts w:ascii="Arial" w:hAnsi="Arial"/>
          <w:sz w:val="24"/>
          <w:szCs w:val="24"/>
        </w:rPr>
        <w:t>r</w:t>
      </w:r>
      <w:r w:rsidR="00BC701F" w:rsidRPr="006A2BB3">
        <w:rPr>
          <w:rFonts w:ascii="Arial" w:hAnsi="Arial"/>
          <w:sz w:val="24"/>
          <w:szCs w:val="24"/>
        </w:rPr>
        <w:t xml:space="preserve">eg 7(b) notice had not been complied with, thus refusing to confirm the provisional order and upholding the respondent’s </w:t>
      </w:r>
      <w:r w:rsidR="00BC701F" w:rsidRPr="006A2BB3">
        <w:rPr>
          <w:rFonts w:ascii="Arial" w:hAnsi="Arial"/>
          <w:i/>
          <w:sz w:val="24"/>
          <w:szCs w:val="24"/>
        </w:rPr>
        <w:t>point in limine</w:t>
      </w:r>
      <w:r w:rsidR="00BC701F" w:rsidRPr="006A2BB3">
        <w:rPr>
          <w:rFonts w:ascii="Arial" w:hAnsi="Arial"/>
          <w:sz w:val="24"/>
          <w:szCs w:val="24"/>
        </w:rPr>
        <w:t xml:space="preserve">. It is the further submission of the respondent that the High Court order refusing to confirm the provisional order is not </w:t>
      </w:r>
      <w:r w:rsidR="00BC701F" w:rsidRPr="006A2BB3">
        <w:rPr>
          <w:rFonts w:ascii="Arial" w:hAnsi="Arial"/>
          <w:i/>
          <w:sz w:val="24"/>
          <w:szCs w:val="24"/>
        </w:rPr>
        <w:t>res judicata</w:t>
      </w:r>
      <w:r w:rsidR="00BC701F" w:rsidRPr="006A2BB3">
        <w:rPr>
          <w:rFonts w:ascii="Arial" w:hAnsi="Arial"/>
          <w:sz w:val="24"/>
          <w:szCs w:val="24"/>
        </w:rPr>
        <w:t xml:space="preserve"> of the issues, opposing the submission of the PG in that regard. For that reason</w:t>
      </w:r>
      <w:r w:rsidR="003843EE" w:rsidRPr="006A2BB3">
        <w:rPr>
          <w:rFonts w:ascii="Arial" w:hAnsi="Arial"/>
          <w:sz w:val="24"/>
          <w:szCs w:val="24"/>
        </w:rPr>
        <w:t xml:space="preserve"> too</w:t>
      </w:r>
      <w:r w:rsidR="00BC701F" w:rsidRPr="006A2BB3">
        <w:rPr>
          <w:rFonts w:ascii="Arial" w:hAnsi="Arial"/>
          <w:sz w:val="24"/>
          <w:szCs w:val="24"/>
        </w:rPr>
        <w:t xml:space="preserve">, the argument goes, the order of the High Court is not appealable in this </w:t>
      </w:r>
      <w:r w:rsidR="00622739">
        <w:rPr>
          <w:rFonts w:ascii="Arial" w:hAnsi="Arial"/>
          <w:sz w:val="24"/>
          <w:szCs w:val="24"/>
        </w:rPr>
        <w:t>c</w:t>
      </w:r>
      <w:r w:rsidR="00BC701F" w:rsidRPr="006A2BB3">
        <w:rPr>
          <w:rFonts w:ascii="Arial" w:hAnsi="Arial"/>
          <w:sz w:val="24"/>
          <w:szCs w:val="24"/>
        </w:rPr>
        <w:t xml:space="preserve">ourt. </w:t>
      </w:r>
    </w:p>
    <w:p w:rsidR="00AC53B1" w:rsidRPr="006A2BB3" w:rsidRDefault="00AC53B1" w:rsidP="006A2BB3">
      <w:pPr>
        <w:spacing w:after="0" w:line="480" w:lineRule="auto"/>
        <w:ind w:left="360"/>
        <w:jc w:val="both"/>
        <w:rPr>
          <w:rFonts w:ascii="Arial" w:hAnsi="Arial"/>
          <w:sz w:val="24"/>
          <w:szCs w:val="24"/>
        </w:rPr>
      </w:pPr>
    </w:p>
    <w:p w:rsidR="00AC53B1" w:rsidRPr="00C11869" w:rsidRDefault="00AC53B1" w:rsidP="006A2BB3">
      <w:pPr>
        <w:spacing w:after="0" w:line="480" w:lineRule="auto"/>
        <w:jc w:val="both"/>
        <w:rPr>
          <w:rFonts w:ascii="Arial" w:hAnsi="Arial"/>
          <w:color w:val="000000"/>
          <w:sz w:val="24"/>
          <w:szCs w:val="24"/>
        </w:rPr>
      </w:pPr>
      <w:r w:rsidRPr="00C11869">
        <w:rPr>
          <w:rFonts w:ascii="Arial" w:hAnsi="Arial"/>
          <w:color w:val="000000"/>
          <w:sz w:val="24"/>
          <w:szCs w:val="24"/>
        </w:rPr>
        <w:t>[41]</w:t>
      </w:r>
      <w:r w:rsidRPr="00C11869">
        <w:rPr>
          <w:rFonts w:ascii="Arial" w:hAnsi="Arial"/>
          <w:color w:val="000000"/>
          <w:sz w:val="24"/>
          <w:szCs w:val="24"/>
        </w:rPr>
        <w:tab/>
      </w:r>
      <w:r w:rsidRPr="00C11869">
        <w:rPr>
          <w:rFonts w:ascii="Arial" w:eastAsia="Times New Roman" w:hAnsi="Arial"/>
          <w:color w:val="000000"/>
          <w:sz w:val="24"/>
          <w:szCs w:val="24"/>
        </w:rPr>
        <w:t xml:space="preserve">Before proceeding to determine whether </w:t>
      </w:r>
      <w:r w:rsidR="00622739" w:rsidRPr="00C11869">
        <w:rPr>
          <w:rFonts w:ascii="Arial" w:eastAsia="Times New Roman" w:hAnsi="Arial"/>
          <w:color w:val="000000"/>
          <w:sz w:val="24"/>
          <w:szCs w:val="24"/>
        </w:rPr>
        <w:t>r</w:t>
      </w:r>
      <w:r w:rsidRPr="00C11869">
        <w:rPr>
          <w:rFonts w:ascii="Arial" w:eastAsia="Times New Roman" w:hAnsi="Arial"/>
          <w:color w:val="000000"/>
          <w:sz w:val="24"/>
          <w:szCs w:val="24"/>
        </w:rPr>
        <w:t>eg 7(b) is a requirement in the s 51(2) application, it is necessary to dispose of two preliminary arguments raised by the respondent in this court.</w:t>
      </w:r>
    </w:p>
    <w:p w:rsidR="003125D7" w:rsidRPr="006A2BB3" w:rsidRDefault="003125D7" w:rsidP="006A2BB3">
      <w:pPr>
        <w:spacing w:after="0" w:line="480" w:lineRule="auto"/>
        <w:jc w:val="both"/>
        <w:rPr>
          <w:rFonts w:ascii="Arial" w:hAnsi="Arial"/>
          <w:sz w:val="24"/>
          <w:szCs w:val="24"/>
        </w:rPr>
      </w:pPr>
    </w:p>
    <w:p w:rsidR="009E1CFD" w:rsidRPr="008A35E2" w:rsidRDefault="008A35E2" w:rsidP="006A2BB3">
      <w:pPr>
        <w:spacing w:after="0" w:line="480" w:lineRule="auto"/>
        <w:jc w:val="both"/>
        <w:rPr>
          <w:rFonts w:ascii="Arial" w:hAnsi="Arial"/>
          <w:sz w:val="24"/>
          <w:szCs w:val="24"/>
          <w:u w:val="single"/>
        </w:rPr>
      </w:pPr>
      <w:r w:rsidRPr="008A35E2">
        <w:rPr>
          <w:rFonts w:ascii="Arial" w:hAnsi="Arial"/>
          <w:sz w:val="24"/>
          <w:szCs w:val="24"/>
          <w:u w:val="single"/>
        </w:rPr>
        <w:t>Whether the High Court order is appealable before this court</w:t>
      </w:r>
    </w:p>
    <w:p w:rsidR="009E1CFD" w:rsidRPr="00C11869" w:rsidRDefault="00AC53B1" w:rsidP="006A2BB3">
      <w:pPr>
        <w:spacing w:after="0" w:line="480" w:lineRule="auto"/>
        <w:jc w:val="both"/>
        <w:rPr>
          <w:rFonts w:ascii="Arial" w:eastAsia="Times New Roman" w:hAnsi="Arial"/>
          <w:color w:val="000000"/>
          <w:sz w:val="24"/>
          <w:szCs w:val="24"/>
        </w:rPr>
      </w:pPr>
      <w:r w:rsidRPr="006A2BB3">
        <w:rPr>
          <w:rFonts w:ascii="Arial" w:hAnsi="Arial"/>
          <w:sz w:val="24"/>
          <w:szCs w:val="24"/>
        </w:rPr>
        <w:t>[42</w:t>
      </w:r>
      <w:r w:rsidR="00BC701F" w:rsidRPr="006A2BB3">
        <w:rPr>
          <w:rFonts w:ascii="Arial" w:hAnsi="Arial"/>
          <w:sz w:val="24"/>
          <w:szCs w:val="24"/>
        </w:rPr>
        <w:t>]</w:t>
      </w:r>
      <w:r w:rsidR="00BC701F" w:rsidRPr="006A2BB3">
        <w:rPr>
          <w:rFonts w:ascii="Arial" w:hAnsi="Arial"/>
          <w:sz w:val="24"/>
          <w:szCs w:val="24"/>
        </w:rPr>
        <w:tab/>
      </w:r>
      <w:r w:rsidRPr="006A2BB3">
        <w:rPr>
          <w:rFonts w:ascii="Arial" w:hAnsi="Arial"/>
          <w:sz w:val="24"/>
          <w:szCs w:val="24"/>
        </w:rPr>
        <w:t>T</w:t>
      </w:r>
      <w:r w:rsidR="001D1CB6" w:rsidRPr="006A2BB3">
        <w:rPr>
          <w:rFonts w:ascii="Arial" w:hAnsi="Arial"/>
          <w:sz w:val="24"/>
          <w:szCs w:val="24"/>
        </w:rPr>
        <w:t xml:space="preserve">he contention of the respondent is that the order of the High Court is not </w:t>
      </w:r>
      <w:r w:rsidR="001D1CB6" w:rsidRPr="00C11869">
        <w:rPr>
          <w:rFonts w:ascii="Arial" w:hAnsi="Arial"/>
          <w:color w:val="000000"/>
          <w:sz w:val="24"/>
          <w:szCs w:val="24"/>
        </w:rPr>
        <w:t>appealable before this court</w:t>
      </w:r>
      <w:r w:rsidRPr="00C11869">
        <w:rPr>
          <w:rFonts w:ascii="Arial" w:eastAsia="Times New Roman" w:hAnsi="Arial"/>
          <w:color w:val="000000"/>
          <w:sz w:val="24"/>
          <w:szCs w:val="24"/>
        </w:rPr>
        <w:t xml:space="preserve"> in that the merits of the case had not yet been dealt with by the High Court for decision. The PG</w:t>
      </w:r>
      <w:r w:rsidR="008A35E2" w:rsidRPr="00C11869">
        <w:rPr>
          <w:rFonts w:ascii="Arial" w:eastAsia="Times New Roman" w:hAnsi="Arial"/>
          <w:color w:val="000000"/>
          <w:sz w:val="24"/>
          <w:szCs w:val="24"/>
        </w:rPr>
        <w:t>,</w:t>
      </w:r>
      <w:r w:rsidRPr="00C11869">
        <w:rPr>
          <w:rFonts w:ascii="Arial" w:eastAsia="Times New Roman" w:hAnsi="Arial"/>
          <w:color w:val="000000"/>
          <w:sz w:val="24"/>
          <w:szCs w:val="24"/>
        </w:rPr>
        <w:t xml:space="preserve"> however, submitted that the appeal is proper here, arguing that the decision of the High Court in respect of the provisional order is final and ripe for appeal in this court.</w:t>
      </w:r>
    </w:p>
    <w:p w:rsidR="00AC53B1" w:rsidRPr="00C11869" w:rsidRDefault="00AC53B1" w:rsidP="006A2BB3">
      <w:pPr>
        <w:spacing w:after="0" w:line="480" w:lineRule="auto"/>
        <w:ind w:left="360"/>
        <w:jc w:val="both"/>
        <w:rPr>
          <w:rFonts w:ascii="Arial" w:hAnsi="Arial"/>
          <w:color w:val="000000"/>
          <w:sz w:val="24"/>
          <w:szCs w:val="24"/>
        </w:rPr>
      </w:pPr>
    </w:p>
    <w:p w:rsidR="00BC701F" w:rsidRPr="006A2BB3" w:rsidRDefault="00330C35" w:rsidP="006A2BB3">
      <w:pPr>
        <w:spacing w:after="0" w:line="480" w:lineRule="auto"/>
        <w:jc w:val="both"/>
        <w:rPr>
          <w:rFonts w:ascii="Arial" w:hAnsi="Arial"/>
          <w:sz w:val="24"/>
          <w:szCs w:val="24"/>
        </w:rPr>
      </w:pPr>
      <w:r w:rsidRPr="006A2BB3">
        <w:rPr>
          <w:rFonts w:ascii="Arial" w:hAnsi="Arial"/>
          <w:sz w:val="24"/>
          <w:szCs w:val="24"/>
        </w:rPr>
        <w:t>[43</w:t>
      </w:r>
      <w:r w:rsidR="00BC701F" w:rsidRPr="006A2BB3">
        <w:rPr>
          <w:rFonts w:ascii="Arial" w:hAnsi="Arial"/>
          <w:sz w:val="24"/>
          <w:szCs w:val="24"/>
        </w:rPr>
        <w:t>]</w:t>
      </w:r>
      <w:r w:rsidR="00BC701F" w:rsidRPr="006A2BB3">
        <w:rPr>
          <w:rFonts w:ascii="Arial" w:hAnsi="Arial"/>
          <w:sz w:val="24"/>
          <w:szCs w:val="24"/>
        </w:rPr>
        <w:tab/>
        <w:t xml:space="preserve">In </w:t>
      </w:r>
      <w:r w:rsidR="00BC701F" w:rsidRPr="006A2BB3">
        <w:rPr>
          <w:rFonts w:ascii="Arial" w:hAnsi="Arial"/>
          <w:i/>
          <w:sz w:val="24"/>
          <w:szCs w:val="24"/>
        </w:rPr>
        <w:t>Zweni v Minister of Law and Order</w:t>
      </w:r>
      <w:r w:rsidR="00BC701F" w:rsidRPr="006A2BB3">
        <w:rPr>
          <w:rFonts w:ascii="Arial" w:hAnsi="Arial"/>
          <w:sz w:val="24"/>
          <w:szCs w:val="24"/>
          <w:vertAlign w:val="superscript"/>
        </w:rPr>
        <w:footnoteReference w:id="7"/>
      </w:r>
      <w:r w:rsidR="006D14D3" w:rsidRPr="006A2BB3">
        <w:rPr>
          <w:rFonts w:ascii="Arial" w:hAnsi="Arial"/>
          <w:sz w:val="24"/>
          <w:szCs w:val="24"/>
        </w:rPr>
        <w:t xml:space="preserve">, </w:t>
      </w:r>
      <w:r w:rsidR="0024472A" w:rsidRPr="006A2BB3">
        <w:rPr>
          <w:rFonts w:ascii="Arial" w:hAnsi="Arial"/>
          <w:sz w:val="24"/>
          <w:szCs w:val="24"/>
        </w:rPr>
        <w:t xml:space="preserve">the </w:t>
      </w:r>
      <w:r w:rsidR="008A35E2">
        <w:rPr>
          <w:rFonts w:ascii="Arial" w:hAnsi="Arial"/>
          <w:sz w:val="24"/>
          <w:szCs w:val="24"/>
        </w:rPr>
        <w:t>c</w:t>
      </w:r>
      <w:r w:rsidR="0024472A" w:rsidRPr="006A2BB3">
        <w:rPr>
          <w:rFonts w:ascii="Arial" w:hAnsi="Arial"/>
          <w:sz w:val="24"/>
          <w:szCs w:val="24"/>
        </w:rPr>
        <w:t>ourt laid down three factors that determine the appealab</w:t>
      </w:r>
      <w:r w:rsidR="00AB5AA8" w:rsidRPr="006A2BB3">
        <w:rPr>
          <w:rFonts w:ascii="Arial" w:hAnsi="Arial"/>
          <w:sz w:val="24"/>
          <w:szCs w:val="24"/>
        </w:rPr>
        <w:t>ility of a judgment or an order: it must be final, decisive</w:t>
      </w:r>
      <w:r w:rsidR="0024472A" w:rsidRPr="006A2BB3">
        <w:rPr>
          <w:rFonts w:ascii="Arial" w:hAnsi="Arial"/>
          <w:sz w:val="24"/>
          <w:szCs w:val="24"/>
        </w:rPr>
        <w:t xml:space="preserve"> of the rights of the parties and must be dispositive of at least a substantial part of the relief claimed in the main case</w:t>
      </w:r>
      <w:r w:rsidR="009C5B7C" w:rsidRPr="006A2BB3">
        <w:rPr>
          <w:rFonts w:ascii="Arial" w:hAnsi="Arial"/>
          <w:sz w:val="24"/>
          <w:szCs w:val="24"/>
        </w:rPr>
        <w:t>.</w:t>
      </w:r>
      <w:r w:rsidR="0024472A" w:rsidRPr="006A2BB3">
        <w:rPr>
          <w:rFonts w:ascii="Arial" w:hAnsi="Arial"/>
          <w:sz w:val="24"/>
          <w:szCs w:val="24"/>
          <w:vertAlign w:val="superscript"/>
        </w:rPr>
        <w:footnoteReference w:id="8"/>
      </w:r>
    </w:p>
    <w:p w:rsidR="009E1CFD" w:rsidRPr="006A2BB3" w:rsidRDefault="009E1CFD" w:rsidP="006A2BB3">
      <w:pPr>
        <w:spacing w:after="0" w:line="480" w:lineRule="auto"/>
        <w:ind w:left="360"/>
        <w:jc w:val="both"/>
        <w:rPr>
          <w:rFonts w:ascii="Arial" w:hAnsi="Arial"/>
          <w:sz w:val="24"/>
          <w:szCs w:val="24"/>
        </w:rPr>
      </w:pPr>
    </w:p>
    <w:p w:rsidR="00117765" w:rsidRPr="006A2BB3" w:rsidRDefault="00330C35" w:rsidP="006A2BB3">
      <w:pPr>
        <w:spacing w:after="0" w:line="480" w:lineRule="auto"/>
        <w:jc w:val="both"/>
        <w:rPr>
          <w:rFonts w:ascii="Arial" w:hAnsi="Arial"/>
          <w:sz w:val="24"/>
          <w:szCs w:val="24"/>
        </w:rPr>
      </w:pPr>
      <w:r w:rsidRPr="006A2BB3">
        <w:rPr>
          <w:rFonts w:ascii="Arial" w:hAnsi="Arial"/>
          <w:sz w:val="24"/>
          <w:szCs w:val="24"/>
        </w:rPr>
        <w:t>[44</w:t>
      </w:r>
      <w:r w:rsidR="00117765" w:rsidRPr="006A2BB3">
        <w:rPr>
          <w:rFonts w:ascii="Arial" w:hAnsi="Arial"/>
          <w:sz w:val="24"/>
          <w:szCs w:val="24"/>
        </w:rPr>
        <w:t>]</w:t>
      </w:r>
      <w:r w:rsidR="00117765" w:rsidRPr="006A2BB3">
        <w:rPr>
          <w:rFonts w:ascii="Arial" w:hAnsi="Arial"/>
          <w:sz w:val="24"/>
          <w:szCs w:val="24"/>
        </w:rPr>
        <w:tab/>
        <w:t>Applying those prere</w:t>
      </w:r>
      <w:r w:rsidR="00D053AC" w:rsidRPr="006A2BB3">
        <w:rPr>
          <w:rFonts w:ascii="Arial" w:hAnsi="Arial"/>
          <w:sz w:val="24"/>
          <w:szCs w:val="24"/>
        </w:rPr>
        <w:t xml:space="preserve">quisites </w:t>
      </w:r>
      <w:r w:rsidR="00E9790D" w:rsidRPr="006A2BB3">
        <w:rPr>
          <w:rFonts w:ascii="Arial" w:hAnsi="Arial"/>
          <w:sz w:val="24"/>
          <w:szCs w:val="24"/>
        </w:rPr>
        <w:t xml:space="preserve">with approval, the court in </w:t>
      </w:r>
      <w:r w:rsidR="00586CA9">
        <w:rPr>
          <w:rFonts w:ascii="Arial" w:hAnsi="Arial"/>
          <w:sz w:val="24"/>
          <w:szCs w:val="24"/>
        </w:rPr>
        <w:t>/</w:t>
      </w:r>
      <w:r w:rsidR="00E9790D" w:rsidRPr="006A2BB3">
        <w:rPr>
          <w:rFonts w:ascii="Arial" w:hAnsi="Arial"/>
          <w:i/>
          <w:sz w:val="24"/>
          <w:szCs w:val="24"/>
        </w:rPr>
        <w:t xml:space="preserve">AE </w:t>
      </w:r>
      <w:r w:rsidR="00586CA9">
        <w:rPr>
          <w:rFonts w:ascii="Arial" w:hAnsi="Arial"/>
          <w:i/>
          <w:sz w:val="24"/>
          <w:szCs w:val="24"/>
        </w:rPr>
        <w:t>//</w:t>
      </w:r>
      <w:r w:rsidR="00E9790D" w:rsidRPr="006A2BB3">
        <w:rPr>
          <w:rFonts w:ascii="Arial" w:hAnsi="Arial"/>
          <w:i/>
          <w:sz w:val="24"/>
          <w:szCs w:val="24"/>
        </w:rPr>
        <w:t xml:space="preserve">Gams Data (Pty) Ltd </w:t>
      </w:r>
      <w:r w:rsidR="008A35E2">
        <w:rPr>
          <w:rFonts w:ascii="Arial" w:hAnsi="Arial"/>
          <w:i/>
          <w:sz w:val="24"/>
          <w:szCs w:val="24"/>
        </w:rPr>
        <w:t>&amp; o</w:t>
      </w:r>
      <w:r w:rsidR="00E9790D" w:rsidRPr="006A2BB3">
        <w:rPr>
          <w:rFonts w:ascii="Arial" w:hAnsi="Arial"/>
          <w:i/>
          <w:sz w:val="24"/>
          <w:szCs w:val="24"/>
        </w:rPr>
        <w:t xml:space="preserve">thers v </w:t>
      </w:r>
      <w:r w:rsidR="00586CA9">
        <w:rPr>
          <w:rFonts w:ascii="Arial" w:hAnsi="Arial"/>
          <w:i/>
          <w:sz w:val="24"/>
          <w:szCs w:val="24"/>
        </w:rPr>
        <w:t xml:space="preserve">St </w:t>
      </w:r>
      <w:r w:rsidR="00E9790D" w:rsidRPr="006A2BB3">
        <w:rPr>
          <w:rFonts w:ascii="Arial" w:hAnsi="Arial"/>
          <w:i/>
          <w:sz w:val="24"/>
          <w:szCs w:val="24"/>
        </w:rPr>
        <w:t>Sebata Municipal Solutions (Pty) Ltd</w:t>
      </w:r>
      <w:r w:rsidR="00E9790D" w:rsidRPr="006A2BB3">
        <w:rPr>
          <w:rFonts w:ascii="Arial" w:hAnsi="Arial"/>
          <w:sz w:val="24"/>
          <w:szCs w:val="24"/>
        </w:rPr>
        <w:t xml:space="preserve"> distinguished between a court’s decision in regard to an </w:t>
      </w:r>
      <w:r w:rsidR="001C61C0" w:rsidRPr="006A2BB3">
        <w:rPr>
          <w:rFonts w:ascii="Arial" w:hAnsi="Arial"/>
          <w:sz w:val="24"/>
          <w:szCs w:val="24"/>
        </w:rPr>
        <w:t xml:space="preserve">interim </w:t>
      </w:r>
      <w:r w:rsidR="00E9790D" w:rsidRPr="006A2BB3">
        <w:rPr>
          <w:rFonts w:ascii="Arial" w:hAnsi="Arial"/>
          <w:sz w:val="24"/>
          <w:szCs w:val="24"/>
        </w:rPr>
        <w:t xml:space="preserve">interdict and that in respect of a </w:t>
      </w:r>
      <w:r w:rsidR="00E9790D" w:rsidRPr="006A2BB3">
        <w:rPr>
          <w:rFonts w:ascii="Arial" w:hAnsi="Arial"/>
          <w:i/>
          <w:sz w:val="24"/>
          <w:szCs w:val="24"/>
        </w:rPr>
        <w:t>rule nisi</w:t>
      </w:r>
      <w:r w:rsidR="00E9790D" w:rsidRPr="006A2BB3">
        <w:rPr>
          <w:rFonts w:ascii="Arial" w:hAnsi="Arial"/>
          <w:sz w:val="24"/>
          <w:szCs w:val="24"/>
        </w:rPr>
        <w:t xml:space="preserve">. An </w:t>
      </w:r>
      <w:r w:rsidR="001C61C0" w:rsidRPr="006A2BB3">
        <w:rPr>
          <w:rFonts w:ascii="Arial" w:hAnsi="Arial"/>
          <w:sz w:val="24"/>
          <w:szCs w:val="24"/>
        </w:rPr>
        <w:t xml:space="preserve">interim </w:t>
      </w:r>
      <w:r w:rsidR="00E9790D" w:rsidRPr="006A2BB3">
        <w:rPr>
          <w:rFonts w:ascii="Arial" w:hAnsi="Arial"/>
          <w:sz w:val="24"/>
          <w:szCs w:val="24"/>
        </w:rPr>
        <w:t>interdict, it was held, was granted pending the finalisation of an action instituted by appellants and is therefore not permanent. It is an interim order by nature and not final and therefore does not meet the prerequisites for an appealable court order. Th</w:t>
      </w:r>
      <w:r w:rsidR="00D053AC" w:rsidRPr="006A2BB3">
        <w:rPr>
          <w:rFonts w:ascii="Arial" w:hAnsi="Arial"/>
          <w:sz w:val="24"/>
          <w:szCs w:val="24"/>
        </w:rPr>
        <w:t>ere, th</w:t>
      </w:r>
      <w:r w:rsidR="00E9790D" w:rsidRPr="006A2BB3">
        <w:rPr>
          <w:rFonts w:ascii="Arial" w:hAnsi="Arial"/>
          <w:sz w:val="24"/>
          <w:szCs w:val="24"/>
        </w:rPr>
        <w:t>e court therefore refused to grant leave to appeal against the interdict.</w:t>
      </w:r>
      <w:r w:rsidR="002F7637" w:rsidRPr="006A2BB3">
        <w:rPr>
          <w:rFonts w:ascii="Arial" w:hAnsi="Arial"/>
          <w:sz w:val="24"/>
          <w:szCs w:val="24"/>
          <w:vertAlign w:val="superscript"/>
        </w:rPr>
        <w:footnoteReference w:id="9"/>
      </w:r>
    </w:p>
    <w:p w:rsidR="009E1CFD" w:rsidRPr="006A2BB3" w:rsidRDefault="009E1CFD" w:rsidP="006A2BB3">
      <w:pPr>
        <w:spacing w:after="0" w:line="480" w:lineRule="auto"/>
        <w:ind w:left="360"/>
        <w:jc w:val="both"/>
        <w:rPr>
          <w:rFonts w:ascii="Arial" w:hAnsi="Arial"/>
          <w:sz w:val="24"/>
          <w:szCs w:val="24"/>
        </w:rPr>
      </w:pPr>
    </w:p>
    <w:p w:rsidR="00E9790D" w:rsidRPr="006A2BB3" w:rsidRDefault="00330C35" w:rsidP="006A2BB3">
      <w:pPr>
        <w:spacing w:after="0" w:line="480" w:lineRule="auto"/>
        <w:jc w:val="both"/>
        <w:rPr>
          <w:rFonts w:ascii="Arial" w:hAnsi="Arial"/>
          <w:sz w:val="24"/>
          <w:szCs w:val="24"/>
        </w:rPr>
      </w:pPr>
      <w:r w:rsidRPr="006A2BB3">
        <w:rPr>
          <w:rFonts w:ascii="Arial" w:hAnsi="Arial"/>
          <w:sz w:val="24"/>
          <w:szCs w:val="24"/>
        </w:rPr>
        <w:t>[45</w:t>
      </w:r>
      <w:r w:rsidR="00E9790D" w:rsidRPr="006A2BB3">
        <w:rPr>
          <w:rFonts w:ascii="Arial" w:hAnsi="Arial"/>
          <w:sz w:val="24"/>
          <w:szCs w:val="24"/>
        </w:rPr>
        <w:t>]</w:t>
      </w:r>
      <w:r w:rsidR="00E9790D" w:rsidRPr="006A2BB3">
        <w:rPr>
          <w:rFonts w:ascii="Arial" w:hAnsi="Arial"/>
          <w:sz w:val="24"/>
          <w:szCs w:val="24"/>
        </w:rPr>
        <w:tab/>
        <w:t xml:space="preserve">The court in </w:t>
      </w:r>
      <w:r w:rsidR="00E9790D" w:rsidRPr="006A2BB3">
        <w:rPr>
          <w:rFonts w:ascii="Arial" w:hAnsi="Arial"/>
          <w:i/>
          <w:sz w:val="24"/>
          <w:szCs w:val="24"/>
        </w:rPr>
        <w:t>Phillips v N</w:t>
      </w:r>
      <w:r w:rsidR="009F28BF">
        <w:rPr>
          <w:rFonts w:ascii="Arial" w:hAnsi="Arial"/>
          <w:i/>
          <w:sz w:val="24"/>
          <w:szCs w:val="24"/>
        </w:rPr>
        <w:t xml:space="preserve">ational </w:t>
      </w:r>
      <w:r w:rsidR="00E9790D" w:rsidRPr="006A2BB3">
        <w:rPr>
          <w:rFonts w:ascii="Arial" w:hAnsi="Arial"/>
          <w:i/>
          <w:sz w:val="24"/>
          <w:szCs w:val="24"/>
        </w:rPr>
        <w:t>D</w:t>
      </w:r>
      <w:r w:rsidR="009F28BF">
        <w:rPr>
          <w:rFonts w:ascii="Arial" w:hAnsi="Arial"/>
          <w:i/>
          <w:sz w:val="24"/>
          <w:szCs w:val="24"/>
        </w:rPr>
        <w:t xml:space="preserve">irector </w:t>
      </w:r>
      <w:r w:rsidR="00E9790D" w:rsidRPr="006A2BB3">
        <w:rPr>
          <w:rFonts w:ascii="Arial" w:hAnsi="Arial"/>
          <w:i/>
          <w:sz w:val="24"/>
          <w:szCs w:val="24"/>
        </w:rPr>
        <w:t>P</w:t>
      </w:r>
      <w:r w:rsidR="009F28BF">
        <w:rPr>
          <w:rFonts w:ascii="Arial" w:hAnsi="Arial"/>
          <w:i/>
          <w:sz w:val="24"/>
          <w:szCs w:val="24"/>
        </w:rPr>
        <w:t xml:space="preserve">ublic </w:t>
      </w:r>
      <w:r w:rsidR="00E9790D" w:rsidRPr="006A2BB3">
        <w:rPr>
          <w:rFonts w:ascii="Arial" w:hAnsi="Arial"/>
          <w:i/>
          <w:sz w:val="24"/>
          <w:szCs w:val="24"/>
        </w:rPr>
        <w:t>P</w:t>
      </w:r>
      <w:r w:rsidR="009F28BF">
        <w:rPr>
          <w:rFonts w:ascii="Arial" w:hAnsi="Arial"/>
          <w:i/>
          <w:sz w:val="24"/>
          <w:szCs w:val="24"/>
        </w:rPr>
        <w:t>rosecutions</w:t>
      </w:r>
      <w:r w:rsidR="00E9790D" w:rsidRPr="006A2BB3">
        <w:rPr>
          <w:rFonts w:ascii="Arial" w:hAnsi="Arial"/>
          <w:sz w:val="24"/>
          <w:szCs w:val="24"/>
          <w:vertAlign w:val="superscript"/>
        </w:rPr>
        <w:footnoteReference w:id="10"/>
      </w:r>
      <w:r w:rsidR="00247B04" w:rsidRPr="006A2BB3">
        <w:rPr>
          <w:rFonts w:ascii="Arial" w:hAnsi="Arial"/>
          <w:sz w:val="24"/>
          <w:szCs w:val="24"/>
        </w:rPr>
        <w:t>,</w:t>
      </w:r>
      <w:r w:rsidR="000C124F" w:rsidRPr="006A2BB3">
        <w:rPr>
          <w:rFonts w:ascii="Arial" w:hAnsi="Arial"/>
          <w:sz w:val="24"/>
          <w:szCs w:val="24"/>
          <w:vertAlign w:val="superscript"/>
        </w:rPr>
        <w:t xml:space="preserve"> </w:t>
      </w:r>
      <w:r w:rsidR="00E9790D" w:rsidRPr="006A2BB3">
        <w:rPr>
          <w:rFonts w:ascii="Arial" w:hAnsi="Arial"/>
          <w:sz w:val="24"/>
          <w:szCs w:val="24"/>
        </w:rPr>
        <w:t xml:space="preserve">citing </w:t>
      </w:r>
      <w:r w:rsidR="00E9790D" w:rsidRPr="006A2BB3">
        <w:rPr>
          <w:rFonts w:ascii="Arial" w:hAnsi="Arial"/>
          <w:i/>
          <w:sz w:val="24"/>
          <w:szCs w:val="24"/>
        </w:rPr>
        <w:t>Zweni</w:t>
      </w:r>
      <w:r w:rsidR="00E9790D" w:rsidRPr="006A2BB3">
        <w:rPr>
          <w:rFonts w:ascii="Arial" w:hAnsi="Arial"/>
          <w:sz w:val="24"/>
          <w:szCs w:val="24"/>
        </w:rPr>
        <w:t xml:space="preserve"> with approval, held that a judgment or an order of a court in a </w:t>
      </w:r>
      <w:r w:rsidR="00E9790D" w:rsidRPr="006A2BB3">
        <w:rPr>
          <w:rFonts w:ascii="Arial" w:hAnsi="Arial"/>
          <w:i/>
          <w:sz w:val="24"/>
          <w:szCs w:val="24"/>
        </w:rPr>
        <w:t>rule nisi</w:t>
      </w:r>
      <w:r w:rsidR="00E9790D" w:rsidRPr="006A2BB3">
        <w:rPr>
          <w:rFonts w:ascii="Arial" w:hAnsi="Arial"/>
          <w:sz w:val="24"/>
          <w:szCs w:val="24"/>
        </w:rPr>
        <w:t xml:space="preserve">, based </w:t>
      </w:r>
      <w:r w:rsidR="00D053AC" w:rsidRPr="006A2BB3">
        <w:rPr>
          <w:rFonts w:ascii="Arial" w:hAnsi="Arial"/>
          <w:sz w:val="24"/>
          <w:szCs w:val="24"/>
        </w:rPr>
        <w:t xml:space="preserve">only </w:t>
      </w:r>
      <w:r w:rsidR="00E9790D" w:rsidRPr="006A2BB3">
        <w:rPr>
          <w:rFonts w:ascii="Arial" w:hAnsi="Arial"/>
          <w:sz w:val="24"/>
          <w:szCs w:val="24"/>
        </w:rPr>
        <w:t xml:space="preserve">on its finality, is appealable. </w:t>
      </w:r>
      <w:r w:rsidR="00D053AC" w:rsidRPr="006A2BB3">
        <w:rPr>
          <w:rFonts w:ascii="Arial" w:hAnsi="Arial"/>
          <w:sz w:val="24"/>
          <w:szCs w:val="24"/>
        </w:rPr>
        <w:t xml:space="preserve">Relying </w:t>
      </w:r>
      <w:r w:rsidR="00E9790D" w:rsidRPr="006A2BB3">
        <w:rPr>
          <w:rFonts w:ascii="Arial" w:hAnsi="Arial"/>
          <w:sz w:val="24"/>
          <w:szCs w:val="24"/>
        </w:rPr>
        <w:t xml:space="preserve">on the </w:t>
      </w:r>
      <w:r w:rsidR="00E9790D" w:rsidRPr="006A2BB3">
        <w:rPr>
          <w:rFonts w:ascii="Arial" w:hAnsi="Arial"/>
          <w:i/>
          <w:sz w:val="24"/>
          <w:szCs w:val="24"/>
        </w:rPr>
        <w:t>Zweni</w:t>
      </w:r>
      <w:r w:rsidR="00D053AC" w:rsidRPr="006A2BB3">
        <w:rPr>
          <w:rFonts w:ascii="Arial" w:hAnsi="Arial"/>
          <w:sz w:val="24"/>
          <w:szCs w:val="24"/>
        </w:rPr>
        <w:t xml:space="preserve"> formulation, the court held that</w:t>
      </w:r>
      <w:r w:rsidR="00E9790D" w:rsidRPr="006A2BB3">
        <w:rPr>
          <w:rFonts w:ascii="Arial" w:hAnsi="Arial"/>
          <w:sz w:val="24"/>
          <w:szCs w:val="24"/>
        </w:rPr>
        <w:t xml:space="preserve"> even though </w:t>
      </w:r>
      <w:r w:rsidR="00D053AC" w:rsidRPr="006A2BB3">
        <w:rPr>
          <w:rFonts w:ascii="Arial" w:hAnsi="Arial"/>
          <w:sz w:val="24"/>
          <w:szCs w:val="24"/>
        </w:rPr>
        <w:t xml:space="preserve">a final </w:t>
      </w:r>
      <w:r w:rsidR="00E9790D" w:rsidRPr="006A2BB3">
        <w:rPr>
          <w:rFonts w:ascii="Arial" w:hAnsi="Arial"/>
          <w:sz w:val="24"/>
          <w:szCs w:val="24"/>
        </w:rPr>
        <w:t xml:space="preserve">court order in a </w:t>
      </w:r>
      <w:r w:rsidR="00E9790D" w:rsidRPr="006A2BB3">
        <w:rPr>
          <w:rFonts w:ascii="Arial" w:hAnsi="Arial"/>
          <w:i/>
          <w:sz w:val="24"/>
          <w:szCs w:val="24"/>
        </w:rPr>
        <w:t>rule nisi</w:t>
      </w:r>
      <w:r w:rsidR="00E9790D" w:rsidRPr="006A2BB3">
        <w:rPr>
          <w:rFonts w:ascii="Arial" w:hAnsi="Arial"/>
          <w:sz w:val="24"/>
          <w:szCs w:val="24"/>
        </w:rPr>
        <w:t xml:space="preserve"> may not comply with the other two </w:t>
      </w:r>
      <w:r w:rsidR="00E9790D" w:rsidRPr="006A2BB3">
        <w:rPr>
          <w:rFonts w:ascii="Arial" w:hAnsi="Arial"/>
          <w:i/>
          <w:sz w:val="24"/>
          <w:szCs w:val="24"/>
        </w:rPr>
        <w:t>Zweni</w:t>
      </w:r>
      <w:r w:rsidR="00D053AC" w:rsidRPr="006A2BB3">
        <w:rPr>
          <w:rFonts w:ascii="Arial" w:hAnsi="Arial"/>
          <w:sz w:val="24"/>
          <w:szCs w:val="24"/>
        </w:rPr>
        <w:t xml:space="preserve"> factors, it </w:t>
      </w:r>
      <w:r w:rsidR="00E9790D" w:rsidRPr="006A2BB3">
        <w:rPr>
          <w:rFonts w:ascii="Arial" w:hAnsi="Arial"/>
          <w:sz w:val="24"/>
          <w:szCs w:val="24"/>
        </w:rPr>
        <w:t>is appealable merely because it has final effect</w:t>
      </w:r>
      <w:r w:rsidR="009C5B7C" w:rsidRPr="006A2BB3">
        <w:rPr>
          <w:rFonts w:ascii="Arial" w:hAnsi="Arial"/>
          <w:sz w:val="24"/>
          <w:szCs w:val="24"/>
        </w:rPr>
        <w:t>.</w:t>
      </w:r>
      <w:r w:rsidR="00E9790D" w:rsidRPr="006A2BB3">
        <w:rPr>
          <w:rFonts w:ascii="Arial" w:hAnsi="Arial"/>
          <w:sz w:val="24"/>
          <w:szCs w:val="24"/>
          <w:vertAlign w:val="superscript"/>
        </w:rPr>
        <w:footnoteReference w:id="11"/>
      </w:r>
      <w:r w:rsidR="00E9790D" w:rsidRPr="006A2BB3">
        <w:rPr>
          <w:rFonts w:ascii="Arial" w:hAnsi="Arial"/>
          <w:sz w:val="24"/>
          <w:szCs w:val="24"/>
          <w:vertAlign w:val="superscript"/>
        </w:rPr>
        <w:t xml:space="preserve"> </w:t>
      </w:r>
    </w:p>
    <w:p w:rsidR="009E1CFD" w:rsidRPr="006A2BB3" w:rsidRDefault="009E1CFD" w:rsidP="006A2BB3">
      <w:pPr>
        <w:spacing w:after="0" w:line="480" w:lineRule="auto"/>
        <w:ind w:left="360"/>
        <w:jc w:val="both"/>
        <w:rPr>
          <w:rFonts w:ascii="Arial" w:hAnsi="Arial"/>
          <w:sz w:val="24"/>
          <w:szCs w:val="24"/>
        </w:rPr>
      </w:pPr>
    </w:p>
    <w:p w:rsidR="00200BAC" w:rsidRPr="006A2BB3" w:rsidRDefault="00330C35" w:rsidP="006A2BB3">
      <w:pPr>
        <w:spacing w:after="0" w:line="480" w:lineRule="auto"/>
        <w:jc w:val="both"/>
        <w:rPr>
          <w:rFonts w:ascii="Arial" w:hAnsi="Arial"/>
          <w:sz w:val="24"/>
          <w:szCs w:val="24"/>
        </w:rPr>
      </w:pPr>
      <w:r w:rsidRPr="006A2BB3">
        <w:rPr>
          <w:rFonts w:ascii="Arial" w:hAnsi="Arial"/>
          <w:sz w:val="24"/>
          <w:szCs w:val="24"/>
        </w:rPr>
        <w:t>[46</w:t>
      </w:r>
      <w:r w:rsidR="00200BAC" w:rsidRPr="006A2BB3">
        <w:rPr>
          <w:rFonts w:ascii="Arial" w:hAnsi="Arial"/>
          <w:sz w:val="24"/>
          <w:szCs w:val="24"/>
        </w:rPr>
        <w:t>]</w:t>
      </w:r>
      <w:r w:rsidR="00200BAC" w:rsidRPr="006A2BB3">
        <w:rPr>
          <w:rFonts w:ascii="Arial" w:hAnsi="Arial"/>
          <w:sz w:val="24"/>
          <w:szCs w:val="24"/>
        </w:rPr>
        <w:tab/>
        <w:t xml:space="preserve">In this matter, the High Court’s decision based on </w:t>
      </w:r>
      <w:r w:rsidR="0059385C" w:rsidRPr="006A2BB3">
        <w:rPr>
          <w:rFonts w:ascii="Arial" w:hAnsi="Arial"/>
          <w:sz w:val="24"/>
          <w:szCs w:val="24"/>
        </w:rPr>
        <w:t>its</w:t>
      </w:r>
      <w:r w:rsidR="00200BAC" w:rsidRPr="006A2BB3">
        <w:rPr>
          <w:rFonts w:ascii="Arial" w:hAnsi="Arial"/>
          <w:sz w:val="24"/>
          <w:szCs w:val="24"/>
        </w:rPr>
        <w:t xml:space="preserve"> interpretation of the requirements of s 51(2) of the POCA, in essence, was that the</w:t>
      </w:r>
      <w:r w:rsidR="00D053AC" w:rsidRPr="006A2BB3">
        <w:rPr>
          <w:rFonts w:ascii="Arial" w:hAnsi="Arial"/>
          <w:sz w:val="24"/>
          <w:szCs w:val="24"/>
        </w:rPr>
        <w:t xml:space="preserve"> PG had not complied with the seven-day notice required in </w:t>
      </w:r>
      <w:r w:rsidR="005E7FCD">
        <w:rPr>
          <w:rFonts w:ascii="Arial" w:hAnsi="Arial"/>
          <w:sz w:val="24"/>
          <w:szCs w:val="24"/>
        </w:rPr>
        <w:t>r</w:t>
      </w:r>
      <w:r w:rsidR="00D053AC" w:rsidRPr="006A2BB3">
        <w:rPr>
          <w:rFonts w:ascii="Arial" w:hAnsi="Arial"/>
          <w:sz w:val="24"/>
          <w:szCs w:val="24"/>
        </w:rPr>
        <w:t>eg 7(b). That being the basis of the</w:t>
      </w:r>
      <w:r w:rsidR="00200BAC" w:rsidRPr="006A2BB3">
        <w:rPr>
          <w:rFonts w:ascii="Arial" w:hAnsi="Arial"/>
          <w:sz w:val="24"/>
          <w:szCs w:val="24"/>
        </w:rPr>
        <w:t xml:space="preserve"> respondent’s objection to the confirmation of the </w:t>
      </w:r>
      <w:r w:rsidR="00200BAC" w:rsidRPr="006A2BB3">
        <w:rPr>
          <w:rFonts w:ascii="Arial" w:hAnsi="Arial"/>
          <w:i/>
          <w:sz w:val="24"/>
          <w:szCs w:val="24"/>
        </w:rPr>
        <w:t>rule nisi</w:t>
      </w:r>
      <w:r w:rsidR="00200BAC" w:rsidRPr="006A2BB3">
        <w:rPr>
          <w:rFonts w:ascii="Arial" w:hAnsi="Arial"/>
          <w:sz w:val="24"/>
          <w:szCs w:val="24"/>
        </w:rPr>
        <w:t xml:space="preserve">, raised </w:t>
      </w:r>
      <w:r w:rsidR="00200BAC" w:rsidRPr="006A2BB3">
        <w:rPr>
          <w:rFonts w:ascii="Arial" w:hAnsi="Arial"/>
          <w:i/>
          <w:sz w:val="24"/>
          <w:szCs w:val="24"/>
        </w:rPr>
        <w:t>in limine</w:t>
      </w:r>
      <w:r w:rsidR="00E87428" w:rsidRPr="006A2BB3">
        <w:rPr>
          <w:rFonts w:ascii="Arial" w:hAnsi="Arial"/>
          <w:sz w:val="24"/>
          <w:szCs w:val="24"/>
        </w:rPr>
        <w:t xml:space="preserve"> on the return date, the </w:t>
      </w:r>
      <w:r w:rsidR="00200BAC" w:rsidRPr="006A2BB3">
        <w:rPr>
          <w:rFonts w:ascii="Arial" w:hAnsi="Arial"/>
          <w:sz w:val="24"/>
          <w:szCs w:val="24"/>
        </w:rPr>
        <w:t xml:space="preserve">High Court discharged the </w:t>
      </w:r>
      <w:r w:rsidR="00200BAC" w:rsidRPr="006A2BB3">
        <w:rPr>
          <w:rFonts w:ascii="Arial" w:hAnsi="Arial"/>
          <w:i/>
          <w:sz w:val="24"/>
          <w:szCs w:val="24"/>
        </w:rPr>
        <w:t>rule nisi</w:t>
      </w:r>
      <w:r w:rsidR="00200BAC" w:rsidRPr="006A2BB3">
        <w:rPr>
          <w:rFonts w:ascii="Arial" w:hAnsi="Arial"/>
          <w:sz w:val="24"/>
          <w:szCs w:val="24"/>
        </w:rPr>
        <w:t xml:space="preserve"> and dismissed the application for the property preservation order. That interpretive decision was final and could not be altered by the court. It is that final decision or order which is </w:t>
      </w:r>
      <w:r w:rsidR="00E87428" w:rsidRPr="006A2BB3">
        <w:rPr>
          <w:rFonts w:ascii="Arial" w:hAnsi="Arial"/>
          <w:sz w:val="24"/>
          <w:szCs w:val="24"/>
        </w:rPr>
        <w:t xml:space="preserve">the subject of appeal </w:t>
      </w:r>
      <w:r w:rsidR="00200BAC" w:rsidRPr="006A2BB3">
        <w:rPr>
          <w:rFonts w:ascii="Arial" w:hAnsi="Arial"/>
          <w:sz w:val="24"/>
          <w:szCs w:val="24"/>
        </w:rPr>
        <w:t>in this court and correctly so</w:t>
      </w:r>
      <w:r w:rsidR="009C5B7C" w:rsidRPr="006A2BB3">
        <w:rPr>
          <w:rFonts w:ascii="Arial" w:hAnsi="Arial"/>
          <w:sz w:val="24"/>
          <w:szCs w:val="24"/>
        </w:rPr>
        <w:t>.</w:t>
      </w:r>
      <w:r w:rsidR="00200BAC" w:rsidRPr="006A2BB3">
        <w:rPr>
          <w:rFonts w:ascii="Arial" w:hAnsi="Arial"/>
          <w:sz w:val="24"/>
          <w:szCs w:val="24"/>
          <w:vertAlign w:val="superscript"/>
        </w:rPr>
        <w:footnoteReference w:id="12"/>
      </w:r>
      <w:r w:rsidR="00247B04" w:rsidRPr="006A2BB3">
        <w:rPr>
          <w:rFonts w:ascii="Arial" w:hAnsi="Arial"/>
          <w:sz w:val="24"/>
          <w:szCs w:val="24"/>
          <w:vertAlign w:val="superscript"/>
        </w:rPr>
        <w:t xml:space="preserve">  </w:t>
      </w:r>
      <w:r w:rsidR="00E87428" w:rsidRPr="006A2BB3">
        <w:rPr>
          <w:rFonts w:ascii="Arial" w:hAnsi="Arial"/>
          <w:sz w:val="24"/>
          <w:szCs w:val="24"/>
        </w:rPr>
        <w:t>The</w:t>
      </w:r>
      <w:r w:rsidR="00BD0587" w:rsidRPr="006A2BB3">
        <w:rPr>
          <w:rFonts w:ascii="Arial" w:hAnsi="Arial"/>
          <w:sz w:val="24"/>
          <w:szCs w:val="24"/>
        </w:rPr>
        <w:t xml:space="preserve"> appeal is therefore</w:t>
      </w:r>
      <w:r w:rsidR="00200BAC" w:rsidRPr="006A2BB3">
        <w:rPr>
          <w:rFonts w:ascii="Arial" w:hAnsi="Arial"/>
          <w:sz w:val="24"/>
          <w:szCs w:val="24"/>
        </w:rPr>
        <w:t xml:space="preserve"> properly before this </w:t>
      </w:r>
      <w:r w:rsidR="005E7FCD">
        <w:rPr>
          <w:rFonts w:ascii="Arial" w:hAnsi="Arial"/>
          <w:sz w:val="24"/>
          <w:szCs w:val="24"/>
        </w:rPr>
        <w:t>c</w:t>
      </w:r>
      <w:r w:rsidR="00200BAC" w:rsidRPr="006A2BB3">
        <w:rPr>
          <w:rFonts w:ascii="Arial" w:hAnsi="Arial"/>
          <w:sz w:val="24"/>
          <w:szCs w:val="24"/>
        </w:rPr>
        <w:t>ourt.</w:t>
      </w:r>
    </w:p>
    <w:p w:rsidR="009E1CFD" w:rsidRPr="006A2BB3" w:rsidRDefault="009E1CFD" w:rsidP="006A2BB3">
      <w:pPr>
        <w:spacing w:after="0" w:line="480" w:lineRule="auto"/>
        <w:ind w:left="360"/>
        <w:jc w:val="both"/>
        <w:rPr>
          <w:rFonts w:ascii="Arial" w:hAnsi="Arial"/>
          <w:sz w:val="24"/>
          <w:szCs w:val="24"/>
        </w:rPr>
      </w:pPr>
    </w:p>
    <w:p w:rsidR="00BD0587" w:rsidRPr="006A2BB3" w:rsidRDefault="00330C35" w:rsidP="006A2BB3">
      <w:pPr>
        <w:spacing w:after="0" w:line="480" w:lineRule="auto"/>
        <w:jc w:val="both"/>
        <w:rPr>
          <w:rFonts w:ascii="Arial" w:hAnsi="Arial"/>
          <w:sz w:val="24"/>
          <w:szCs w:val="24"/>
        </w:rPr>
      </w:pPr>
      <w:r w:rsidRPr="006A2BB3">
        <w:rPr>
          <w:rFonts w:ascii="Arial" w:hAnsi="Arial"/>
          <w:sz w:val="24"/>
          <w:szCs w:val="24"/>
        </w:rPr>
        <w:t>[47</w:t>
      </w:r>
      <w:r w:rsidR="00BD0587" w:rsidRPr="006A2BB3">
        <w:rPr>
          <w:rFonts w:ascii="Arial" w:hAnsi="Arial"/>
          <w:sz w:val="24"/>
          <w:szCs w:val="24"/>
        </w:rPr>
        <w:t>]</w:t>
      </w:r>
      <w:r w:rsidR="00BD0587" w:rsidRPr="006A2BB3">
        <w:rPr>
          <w:rFonts w:ascii="Arial" w:hAnsi="Arial"/>
          <w:sz w:val="24"/>
          <w:szCs w:val="24"/>
        </w:rPr>
        <w:tab/>
        <w:t>It was the submission of the respondent that should this court find that the order of the High Court was appealable, it could not be appealed against without leave from the</w:t>
      </w:r>
      <w:r w:rsidR="00E87428" w:rsidRPr="006A2BB3">
        <w:rPr>
          <w:rFonts w:ascii="Arial" w:hAnsi="Arial"/>
          <w:sz w:val="24"/>
          <w:szCs w:val="24"/>
        </w:rPr>
        <w:t xml:space="preserve"> High Court</w:t>
      </w:r>
      <w:r w:rsidR="00BD0587" w:rsidRPr="006A2BB3">
        <w:rPr>
          <w:rFonts w:ascii="Arial" w:hAnsi="Arial"/>
          <w:sz w:val="24"/>
          <w:szCs w:val="24"/>
        </w:rPr>
        <w:t xml:space="preserve">. </w:t>
      </w:r>
    </w:p>
    <w:p w:rsidR="00B12575" w:rsidRPr="006A2BB3" w:rsidRDefault="00B12575" w:rsidP="006A2BB3">
      <w:pPr>
        <w:spacing w:after="0" w:line="480" w:lineRule="auto"/>
        <w:jc w:val="both"/>
        <w:rPr>
          <w:rFonts w:ascii="Arial" w:hAnsi="Arial"/>
          <w:sz w:val="24"/>
          <w:szCs w:val="24"/>
        </w:rPr>
      </w:pPr>
    </w:p>
    <w:p w:rsidR="009E1CFD" w:rsidRPr="005E7FCD" w:rsidRDefault="005E7FCD" w:rsidP="006A2BB3">
      <w:pPr>
        <w:spacing w:after="0" w:line="480" w:lineRule="auto"/>
        <w:jc w:val="both"/>
        <w:rPr>
          <w:rFonts w:ascii="Arial" w:hAnsi="Arial"/>
          <w:sz w:val="24"/>
          <w:szCs w:val="24"/>
          <w:u w:val="single"/>
        </w:rPr>
      </w:pPr>
      <w:r w:rsidRPr="005E7FCD">
        <w:rPr>
          <w:rFonts w:ascii="Arial" w:hAnsi="Arial"/>
          <w:sz w:val="24"/>
          <w:szCs w:val="24"/>
          <w:u w:val="single"/>
        </w:rPr>
        <w:t xml:space="preserve">Whether the matter is properly before this court without leave to appeal </w:t>
      </w:r>
    </w:p>
    <w:p w:rsidR="00BD0587" w:rsidRPr="006A2BB3" w:rsidRDefault="00330C35" w:rsidP="006A2BB3">
      <w:pPr>
        <w:spacing w:after="0" w:line="480" w:lineRule="auto"/>
        <w:jc w:val="both"/>
        <w:rPr>
          <w:rFonts w:ascii="Arial" w:hAnsi="Arial"/>
          <w:sz w:val="24"/>
          <w:szCs w:val="24"/>
        </w:rPr>
      </w:pPr>
      <w:r w:rsidRPr="006A2BB3">
        <w:rPr>
          <w:rFonts w:ascii="Arial" w:hAnsi="Arial"/>
          <w:sz w:val="24"/>
          <w:szCs w:val="24"/>
        </w:rPr>
        <w:t>[48</w:t>
      </w:r>
      <w:r w:rsidR="00BD0587" w:rsidRPr="006A2BB3">
        <w:rPr>
          <w:rFonts w:ascii="Arial" w:hAnsi="Arial"/>
          <w:sz w:val="24"/>
          <w:szCs w:val="24"/>
        </w:rPr>
        <w:t>]</w:t>
      </w:r>
      <w:r w:rsidR="00BD0587" w:rsidRPr="006A2BB3">
        <w:rPr>
          <w:rFonts w:ascii="Arial" w:hAnsi="Arial"/>
          <w:sz w:val="24"/>
          <w:szCs w:val="24"/>
        </w:rPr>
        <w:tab/>
      </w:r>
      <w:r w:rsidR="00E87428" w:rsidRPr="006A2BB3">
        <w:rPr>
          <w:rFonts w:ascii="Arial" w:hAnsi="Arial"/>
          <w:sz w:val="24"/>
          <w:szCs w:val="24"/>
        </w:rPr>
        <w:t>Essentially</w:t>
      </w:r>
      <w:r w:rsidR="00BD0587" w:rsidRPr="006A2BB3">
        <w:rPr>
          <w:rFonts w:ascii="Arial" w:hAnsi="Arial"/>
          <w:sz w:val="24"/>
          <w:szCs w:val="24"/>
        </w:rPr>
        <w:t xml:space="preserve">, the PG appeals against the interpretation of the High Court </w:t>
      </w:r>
      <w:r w:rsidR="00E87428" w:rsidRPr="006A2BB3">
        <w:rPr>
          <w:rFonts w:ascii="Arial" w:hAnsi="Arial"/>
          <w:sz w:val="24"/>
          <w:szCs w:val="24"/>
        </w:rPr>
        <w:t>that the</w:t>
      </w:r>
      <w:r w:rsidR="009319AE">
        <w:rPr>
          <w:rFonts w:ascii="Arial" w:hAnsi="Arial"/>
          <w:sz w:val="24"/>
          <w:szCs w:val="24"/>
        </w:rPr>
        <w:t xml:space="preserve"> </w:t>
      </w:r>
      <w:r w:rsidR="00E87428" w:rsidRPr="006A2BB3">
        <w:rPr>
          <w:rFonts w:ascii="Arial" w:hAnsi="Arial"/>
          <w:sz w:val="24"/>
          <w:szCs w:val="24"/>
        </w:rPr>
        <w:t xml:space="preserve"> seven-day notice required in </w:t>
      </w:r>
      <w:r w:rsidR="009319AE">
        <w:rPr>
          <w:rFonts w:ascii="Arial" w:hAnsi="Arial"/>
          <w:sz w:val="24"/>
          <w:szCs w:val="24"/>
        </w:rPr>
        <w:t xml:space="preserve"> </w:t>
      </w:r>
      <w:r w:rsidR="00D27544">
        <w:rPr>
          <w:rFonts w:ascii="Arial" w:hAnsi="Arial"/>
          <w:sz w:val="24"/>
          <w:szCs w:val="24"/>
        </w:rPr>
        <w:t>r</w:t>
      </w:r>
      <w:r w:rsidR="00E87428" w:rsidRPr="006A2BB3">
        <w:rPr>
          <w:rFonts w:ascii="Arial" w:hAnsi="Arial"/>
          <w:sz w:val="24"/>
          <w:szCs w:val="24"/>
        </w:rPr>
        <w:t xml:space="preserve">eg 7(b) is a condition required to be met for </w:t>
      </w:r>
      <w:r w:rsidR="009319AE">
        <w:rPr>
          <w:rFonts w:ascii="Arial" w:hAnsi="Arial"/>
          <w:sz w:val="24"/>
          <w:szCs w:val="24"/>
        </w:rPr>
        <w:t xml:space="preserve"> </w:t>
      </w:r>
      <w:r w:rsidR="00BD0587" w:rsidRPr="006A2BB3">
        <w:rPr>
          <w:rFonts w:ascii="Arial" w:hAnsi="Arial"/>
          <w:sz w:val="24"/>
          <w:szCs w:val="24"/>
        </w:rPr>
        <w:t>a</w:t>
      </w:r>
      <w:r w:rsidR="009319AE">
        <w:rPr>
          <w:rFonts w:ascii="Arial" w:hAnsi="Arial"/>
          <w:sz w:val="24"/>
          <w:szCs w:val="24"/>
        </w:rPr>
        <w:t xml:space="preserve"> </w:t>
      </w:r>
      <w:r w:rsidR="00BD0587" w:rsidRPr="006A2BB3">
        <w:rPr>
          <w:rFonts w:ascii="Arial" w:hAnsi="Arial"/>
          <w:sz w:val="24"/>
          <w:szCs w:val="24"/>
        </w:rPr>
        <w:t xml:space="preserve"> s 51(2) </w:t>
      </w:r>
      <w:r w:rsidR="00BD0587" w:rsidRPr="006A2BB3">
        <w:rPr>
          <w:rFonts w:ascii="Arial" w:hAnsi="Arial"/>
          <w:i/>
          <w:sz w:val="24"/>
          <w:szCs w:val="24"/>
        </w:rPr>
        <w:t>ex parte</w:t>
      </w:r>
      <w:r w:rsidR="00BD0587" w:rsidRPr="006A2BB3">
        <w:rPr>
          <w:rFonts w:ascii="Arial" w:hAnsi="Arial"/>
          <w:sz w:val="24"/>
          <w:szCs w:val="24"/>
        </w:rPr>
        <w:t xml:space="preserve"> application for a property preservation order. </w:t>
      </w:r>
    </w:p>
    <w:p w:rsidR="009E1CFD" w:rsidRPr="006A2BB3" w:rsidRDefault="009E1CFD" w:rsidP="006A2BB3">
      <w:pPr>
        <w:spacing w:after="0" w:line="480" w:lineRule="auto"/>
        <w:ind w:left="360"/>
        <w:jc w:val="both"/>
        <w:rPr>
          <w:rFonts w:ascii="Arial" w:hAnsi="Arial"/>
          <w:sz w:val="24"/>
          <w:szCs w:val="24"/>
        </w:rPr>
      </w:pPr>
    </w:p>
    <w:p w:rsidR="00BD0587" w:rsidRPr="006A2BB3" w:rsidRDefault="00330C35" w:rsidP="006A2BB3">
      <w:pPr>
        <w:spacing w:after="0" w:line="480" w:lineRule="auto"/>
        <w:jc w:val="both"/>
        <w:rPr>
          <w:rFonts w:ascii="Arial" w:hAnsi="Arial"/>
          <w:sz w:val="24"/>
          <w:szCs w:val="24"/>
        </w:rPr>
      </w:pPr>
      <w:r w:rsidRPr="006A2BB3">
        <w:rPr>
          <w:rFonts w:ascii="Arial" w:hAnsi="Arial"/>
          <w:sz w:val="24"/>
          <w:szCs w:val="24"/>
        </w:rPr>
        <w:t>[49</w:t>
      </w:r>
      <w:r w:rsidR="00BD0587" w:rsidRPr="006A2BB3">
        <w:rPr>
          <w:rFonts w:ascii="Arial" w:hAnsi="Arial"/>
          <w:sz w:val="24"/>
          <w:szCs w:val="24"/>
        </w:rPr>
        <w:t>]</w:t>
      </w:r>
      <w:r w:rsidR="00BD0587" w:rsidRPr="006A2BB3">
        <w:rPr>
          <w:rFonts w:ascii="Arial" w:hAnsi="Arial"/>
          <w:sz w:val="24"/>
          <w:szCs w:val="24"/>
        </w:rPr>
        <w:tab/>
        <w:t xml:space="preserve">Whereas the High Court held that the requirements of </w:t>
      </w:r>
      <w:r w:rsidR="00D27544">
        <w:rPr>
          <w:rFonts w:ascii="Arial" w:hAnsi="Arial"/>
          <w:sz w:val="24"/>
          <w:szCs w:val="24"/>
        </w:rPr>
        <w:t>r</w:t>
      </w:r>
      <w:r w:rsidR="00BD0587" w:rsidRPr="006A2BB3">
        <w:rPr>
          <w:rFonts w:ascii="Arial" w:hAnsi="Arial"/>
          <w:sz w:val="24"/>
          <w:szCs w:val="24"/>
        </w:rPr>
        <w:t xml:space="preserve">eg 7(b) had to be fulfilled before an </w:t>
      </w:r>
      <w:r w:rsidR="00BD0587" w:rsidRPr="006A2BB3">
        <w:rPr>
          <w:rFonts w:ascii="Arial" w:hAnsi="Arial"/>
          <w:i/>
          <w:sz w:val="24"/>
          <w:szCs w:val="24"/>
        </w:rPr>
        <w:t>ex parte</w:t>
      </w:r>
      <w:r w:rsidR="00BD0587" w:rsidRPr="006A2BB3">
        <w:rPr>
          <w:rFonts w:ascii="Arial" w:hAnsi="Arial"/>
          <w:sz w:val="24"/>
          <w:szCs w:val="24"/>
        </w:rPr>
        <w:t xml:space="preserve"> application under s 51(2) is granted, it is the argument of the PG that the s 51(2) application is </w:t>
      </w:r>
      <w:r w:rsidR="00BD0587" w:rsidRPr="006A2BB3">
        <w:rPr>
          <w:rFonts w:ascii="Arial" w:hAnsi="Arial"/>
          <w:i/>
          <w:sz w:val="24"/>
          <w:szCs w:val="24"/>
        </w:rPr>
        <w:t>ex parte</w:t>
      </w:r>
      <w:r w:rsidR="00BD0587" w:rsidRPr="006A2BB3">
        <w:rPr>
          <w:rFonts w:ascii="Arial" w:hAnsi="Arial"/>
          <w:sz w:val="24"/>
          <w:szCs w:val="24"/>
        </w:rPr>
        <w:t xml:space="preserve"> and the provisions of </w:t>
      </w:r>
      <w:r w:rsidR="00D27544">
        <w:rPr>
          <w:rFonts w:ascii="Arial" w:hAnsi="Arial"/>
          <w:sz w:val="24"/>
          <w:szCs w:val="24"/>
        </w:rPr>
        <w:t>r</w:t>
      </w:r>
      <w:r w:rsidR="00BD0587" w:rsidRPr="006A2BB3">
        <w:rPr>
          <w:rFonts w:ascii="Arial" w:hAnsi="Arial"/>
          <w:sz w:val="24"/>
          <w:szCs w:val="24"/>
        </w:rPr>
        <w:t xml:space="preserve">eg 7(b) </w:t>
      </w:r>
      <w:r w:rsidR="00E87428" w:rsidRPr="006A2BB3">
        <w:rPr>
          <w:rFonts w:ascii="Arial" w:hAnsi="Arial"/>
          <w:sz w:val="24"/>
          <w:szCs w:val="24"/>
        </w:rPr>
        <w:t xml:space="preserve">do not apply for a </w:t>
      </w:r>
      <w:r w:rsidR="00BD0587" w:rsidRPr="006A2BB3">
        <w:rPr>
          <w:rFonts w:ascii="Arial" w:hAnsi="Arial"/>
          <w:sz w:val="24"/>
          <w:szCs w:val="24"/>
        </w:rPr>
        <w:t xml:space="preserve">property preservation order to be granted. For that reason, she contends before this </w:t>
      </w:r>
      <w:r w:rsidR="00D27544">
        <w:rPr>
          <w:rFonts w:ascii="Arial" w:hAnsi="Arial"/>
          <w:sz w:val="24"/>
          <w:szCs w:val="24"/>
        </w:rPr>
        <w:t>c</w:t>
      </w:r>
      <w:r w:rsidR="00BD0587" w:rsidRPr="006A2BB3">
        <w:rPr>
          <w:rFonts w:ascii="Arial" w:hAnsi="Arial"/>
          <w:sz w:val="24"/>
          <w:szCs w:val="24"/>
        </w:rPr>
        <w:t xml:space="preserve">ourt, </w:t>
      </w:r>
      <w:r w:rsidR="00D27544">
        <w:rPr>
          <w:rFonts w:ascii="Arial" w:hAnsi="Arial"/>
          <w:sz w:val="24"/>
          <w:szCs w:val="24"/>
        </w:rPr>
        <w:t>r</w:t>
      </w:r>
      <w:r w:rsidR="00BD0587" w:rsidRPr="006A2BB3">
        <w:rPr>
          <w:rFonts w:ascii="Arial" w:hAnsi="Arial"/>
          <w:sz w:val="24"/>
          <w:szCs w:val="24"/>
        </w:rPr>
        <w:t xml:space="preserve">eg 7(b) is not relevant for the purposes of a s 51(2) application. The appeal is therefore not against a discretionary decision of the High Court based merely on the facts of the case, as the </w:t>
      </w:r>
      <w:r w:rsidR="00E87428" w:rsidRPr="006A2BB3">
        <w:rPr>
          <w:rFonts w:ascii="Arial" w:hAnsi="Arial"/>
          <w:sz w:val="24"/>
          <w:szCs w:val="24"/>
        </w:rPr>
        <w:t>respondent argues. Rather, it relates to</w:t>
      </w:r>
      <w:r w:rsidR="00BD0587" w:rsidRPr="006A2BB3">
        <w:rPr>
          <w:rFonts w:ascii="Arial" w:hAnsi="Arial"/>
          <w:sz w:val="24"/>
          <w:szCs w:val="24"/>
        </w:rPr>
        <w:t xml:space="preserve"> a question of law based on the interpretation of </w:t>
      </w:r>
      <w:r w:rsidR="00D27544">
        <w:rPr>
          <w:rFonts w:ascii="Arial" w:hAnsi="Arial"/>
          <w:sz w:val="24"/>
          <w:szCs w:val="24"/>
        </w:rPr>
        <w:t>r</w:t>
      </w:r>
      <w:r w:rsidR="00EA1246" w:rsidRPr="006A2BB3">
        <w:rPr>
          <w:rFonts w:ascii="Arial" w:hAnsi="Arial"/>
          <w:sz w:val="24"/>
          <w:szCs w:val="24"/>
        </w:rPr>
        <w:t>eg 7(b</w:t>
      </w:r>
      <w:r w:rsidR="00E87428" w:rsidRPr="006A2BB3">
        <w:rPr>
          <w:rFonts w:ascii="Arial" w:hAnsi="Arial"/>
          <w:sz w:val="24"/>
          <w:szCs w:val="24"/>
        </w:rPr>
        <w:t xml:space="preserve">) relative </w:t>
      </w:r>
      <w:r w:rsidR="00EA1246" w:rsidRPr="006A2BB3">
        <w:rPr>
          <w:rFonts w:ascii="Arial" w:hAnsi="Arial"/>
          <w:sz w:val="24"/>
          <w:szCs w:val="24"/>
        </w:rPr>
        <w:t xml:space="preserve">to the statutory requirements of s 51(2). </w:t>
      </w:r>
    </w:p>
    <w:p w:rsidR="009E1CFD" w:rsidRPr="006A2BB3" w:rsidRDefault="009E1CFD" w:rsidP="006A2BB3">
      <w:pPr>
        <w:spacing w:after="0" w:line="480" w:lineRule="auto"/>
        <w:ind w:left="360"/>
        <w:jc w:val="both"/>
        <w:rPr>
          <w:rFonts w:ascii="Arial" w:hAnsi="Arial"/>
          <w:sz w:val="24"/>
          <w:szCs w:val="24"/>
        </w:rPr>
      </w:pPr>
    </w:p>
    <w:p w:rsidR="00C12109" w:rsidRPr="00C11869" w:rsidRDefault="00330C35" w:rsidP="002A3C68">
      <w:pPr>
        <w:spacing w:after="0" w:line="480" w:lineRule="auto"/>
        <w:jc w:val="both"/>
        <w:rPr>
          <w:rFonts w:ascii="Arial" w:eastAsia="Times New Roman" w:hAnsi="Arial"/>
          <w:color w:val="000000"/>
          <w:sz w:val="24"/>
          <w:szCs w:val="24"/>
          <w:lang w:val="en-US"/>
        </w:rPr>
      </w:pPr>
      <w:r w:rsidRPr="00C11869">
        <w:rPr>
          <w:rFonts w:ascii="Arial" w:hAnsi="Arial"/>
          <w:color w:val="000000"/>
          <w:sz w:val="24"/>
          <w:szCs w:val="24"/>
        </w:rPr>
        <w:t>[50</w:t>
      </w:r>
      <w:r w:rsidR="00EA1246" w:rsidRPr="00C11869">
        <w:rPr>
          <w:rFonts w:ascii="Arial" w:hAnsi="Arial"/>
          <w:color w:val="000000"/>
          <w:sz w:val="24"/>
          <w:szCs w:val="24"/>
        </w:rPr>
        <w:t>]</w:t>
      </w:r>
      <w:r w:rsidR="00EA1246" w:rsidRPr="00C11869">
        <w:rPr>
          <w:rFonts w:ascii="Arial" w:hAnsi="Arial"/>
          <w:color w:val="000000"/>
          <w:sz w:val="24"/>
          <w:szCs w:val="24"/>
        </w:rPr>
        <w:tab/>
      </w:r>
      <w:r w:rsidR="00CB5E0B" w:rsidRPr="00C11869">
        <w:rPr>
          <w:rFonts w:ascii="Arial" w:eastAsia="Times New Roman" w:hAnsi="Arial"/>
          <w:color w:val="000000"/>
          <w:sz w:val="24"/>
          <w:szCs w:val="24"/>
          <w:shd w:val="clear" w:color="auto" w:fill="FFFFFF"/>
          <w:lang w:val="en-US"/>
        </w:rPr>
        <w:t>Further, with regard to leave to appeal ag</w:t>
      </w:r>
      <w:r w:rsidR="002A3C68">
        <w:rPr>
          <w:rFonts w:ascii="Arial" w:eastAsia="Times New Roman" w:hAnsi="Arial"/>
          <w:color w:val="000000"/>
          <w:sz w:val="24"/>
          <w:szCs w:val="24"/>
          <w:shd w:val="clear" w:color="auto" w:fill="FFFFFF"/>
          <w:lang w:val="en-US"/>
        </w:rPr>
        <w:t xml:space="preserve">ainst a provisional order in an </w:t>
      </w:r>
      <w:r w:rsidR="00CB5E0B" w:rsidRPr="00C11869">
        <w:rPr>
          <w:rFonts w:ascii="Arial" w:eastAsia="Times New Roman" w:hAnsi="Arial"/>
          <w:i/>
          <w:iCs/>
          <w:color w:val="000000"/>
          <w:sz w:val="24"/>
          <w:szCs w:val="24"/>
          <w:shd w:val="clear" w:color="auto" w:fill="FFFFFF"/>
          <w:lang w:val="en-US"/>
        </w:rPr>
        <w:t>ex parte</w:t>
      </w:r>
      <w:r w:rsidR="002A3C68">
        <w:rPr>
          <w:rFonts w:ascii="Arial" w:eastAsia="Times New Roman" w:hAnsi="Arial"/>
          <w:color w:val="000000"/>
          <w:sz w:val="24"/>
          <w:szCs w:val="24"/>
          <w:shd w:val="clear" w:color="auto" w:fill="FFFFFF"/>
          <w:lang w:val="en-US"/>
        </w:rPr>
        <w:t xml:space="preserve"> </w:t>
      </w:r>
      <w:r w:rsidR="00CB5E0B" w:rsidRPr="00C11869">
        <w:rPr>
          <w:rFonts w:ascii="Arial" w:eastAsia="Times New Roman" w:hAnsi="Arial"/>
          <w:color w:val="000000"/>
          <w:sz w:val="24"/>
          <w:szCs w:val="24"/>
          <w:shd w:val="clear" w:color="auto" w:fill="FFFFFF"/>
          <w:lang w:val="en-US"/>
        </w:rPr>
        <w:t>application which is procedural in nature, in</w:t>
      </w:r>
      <w:r w:rsidR="00D27544" w:rsidRPr="00C11869">
        <w:rPr>
          <w:rFonts w:ascii="Arial" w:eastAsia="Times New Roman" w:hAnsi="Arial"/>
          <w:color w:val="000000"/>
          <w:sz w:val="24"/>
          <w:szCs w:val="24"/>
          <w:shd w:val="clear" w:color="auto" w:fill="FFFFFF"/>
          <w:lang w:val="en-US"/>
        </w:rPr>
        <w:t xml:space="preserve"> </w:t>
      </w:r>
      <w:r w:rsidR="00CB5E0B" w:rsidRPr="00C11869">
        <w:rPr>
          <w:rFonts w:ascii="Arial" w:eastAsia="Times New Roman" w:hAnsi="Arial"/>
          <w:i/>
          <w:iCs/>
          <w:color w:val="000000"/>
          <w:sz w:val="24"/>
          <w:szCs w:val="24"/>
          <w:shd w:val="clear" w:color="auto" w:fill="FFFFFF"/>
          <w:lang w:val="en-US"/>
        </w:rPr>
        <w:t>Eric Knouwds N</w:t>
      </w:r>
      <w:r w:rsidR="00D27544" w:rsidRPr="00C11869">
        <w:rPr>
          <w:rFonts w:ascii="Arial" w:eastAsia="Times New Roman" w:hAnsi="Arial"/>
          <w:i/>
          <w:iCs/>
          <w:color w:val="000000"/>
          <w:sz w:val="24"/>
          <w:szCs w:val="24"/>
          <w:shd w:val="clear" w:color="auto" w:fill="FFFFFF"/>
          <w:lang w:val="en-US"/>
        </w:rPr>
        <w:t xml:space="preserve"> </w:t>
      </w:r>
      <w:r w:rsidR="00CB5E0B" w:rsidRPr="00C11869">
        <w:rPr>
          <w:rFonts w:ascii="Arial" w:eastAsia="Times New Roman" w:hAnsi="Arial"/>
          <w:i/>
          <w:iCs/>
          <w:color w:val="000000"/>
          <w:sz w:val="24"/>
          <w:szCs w:val="24"/>
          <w:shd w:val="clear" w:color="auto" w:fill="FFFFFF"/>
          <w:lang w:val="en-US"/>
        </w:rPr>
        <w:t xml:space="preserve">O </w:t>
      </w:r>
      <w:r w:rsidR="002A3C68" w:rsidRPr="0052552A">
        <w:rPr>
          <w:rFonts w:ascii="Arial" w:hAnsi="Arial"/>
          <w:i/>
          <w:sz w:val="24"/>
          <w:szCs w:val="24"/>
        </w:rPr>
        <w:t>(in his capacity as Provisional Liquidator of Avid Investment Corporation (Pty) Ltd)</w:t>
      </w:r>
      <w:r w:rsidR="002A3C68">
        <w:rPr>
          <w:rFonts w:ascii="Arial" w:hAnsi="Arial"/>
          <w:i/>
          <w:sz w:val="24"/>
          <w:szCs w:val="24"/>
        </w:rPr>
        <w:t xml:space="preserve"> </w:t>
      </w:r>
      <w:r w:rsidR="00CB5E0B" w:rsidRPr="00C11869">
        <w:rPr>
          <w:rFonts w:ascii="Arial" w:eastAsia="Times New Roman" w:hAnsi="Arial"/>
          <w:i/>
          <w:iCs/>
          <w:color w:val="000000"/>
          <w:sz w:val="24"/>
          <w:szCs w:val="24"/>
          <w:shd w:val="clear" w:color="auto" w:fill="FFFFFF"/>
          <w:lang w:val="en-US"/>
        </w:rPr>
        <w:t xml:space="preserve">v Josea </w:t>
      </w:r>
      <w:r w:rsidR="00D27544" w:rsidRPr="00C11869">
        <w:rPr>
          <w:rFonts w:ascii="Arial" w:eastAsia="Times New Roman" w:hAnsi="Arial"/>
          <w:i/>
          <w:iCs/>
          <w:color w:val="000000"/>
          <w:sz w:val="24"/>
          <w:szCs w:val="24"/>
          <w:shd w:val="clear" w:color="auto" w:fill="FFFFFF"/>
          <w:lang w:val="en-US"/>
        </w:rPr>
        <w:t>&amp; a</w:t>
      </w:r>
      <w:r w:rsidR="00CB5E0B" w:rsidRPr="00C11869">
        <w:rPr>
          <w:rFonts w:ascii="Arial" w:eastAsia="Times New Roman" w:hAnsi="Arial"/>
          <w:i/>
          <w:iCs/>
          <w:color w:val="000000"/>
          <w:sz w:val="24"/>
          <w:szCs w:val="24"/>
          <w:shd w:val="clear" w:color="auto" w:fill="FFFFFF"/>
          <w:lang w:val="en-US"/>
        </w:rPr>
        <w:t>nother</w:t>
      </w:r>
      <w:r w:rsidR="00CB5E0B" w:rsidRPr="00C11869">
        <w:rPr>
          <w:rStyle w:val="FootnoteReference"/>
          <w:rFonts w:ascii="Arial" w:eastAsia="Times New Roman" w:hAnsi="Arial"/>
          <w:i/>
          <w:iCs/>
          <w:color w:val="000000"/>
          <w:sz w:val="24"/>
          <w:szCs w:val="24"/>
          <w:shd w:val="clear" w:color="auto" w:fill="FFFFFF"/>
          <w:lang w:val="en-US"/>
        </w:rPr>
        <w:footnoteReference w:id="13"/>
      </w:r>
      <w:r w:rsidR="00CB5E0B" w:rsidRPr="00C11869">
        <w:rPr>
          <w:rFonts w:ascii="Arial" w:eastAsia="Times New Roman" w:hAnsi="Arial"/>
          <w:color w:val="000000"/>
          <w:sz w:val="24"/>
          <w:szCs w:val="24"/>
          <w:shd w:val="clear" w:color="auto" w:fill="FFFFFF"/>
          <w:lang w:val="en-US"/>
        </w:rPr>
        <w:t xml:space="preserve"> the court discharged the provisional order which was procedural in nature but where it could be corrected by correction of the procedure in terms of </w:t>
      </w:r>
      <w:r w:rsidR="0052552A">
        <w:rPr>
          <w:rFonts w:ascii="Arial" w:eastAsia="Times New Roman" w:hAnsi="Arial"/>
          <w:color w:val="000000"/>
          <w:sz w:val="24"/>
          <w:szCs w:val="24"/>
          <w:shd w:val="clear" w:color="auto" w:fill="FFFFFF"/>
          <w:lang w:val="en-US"/>
        </w:rPr>
        <w:t>r</w:t>
      </w:r>
      <w:r w:rsidR="00CB5E0B" w:rsidRPr="00C11869">
        <w:rPr>
          <w:rFonts w:ascii="Arial" w:eastAsia="Times New Roman" w:hAnsi="Arial"/>
          <w:color w:val="000000"/>
          <w:sz w:val="24"/>
          <w:szCs w:val="24"/>
          <w:shd w:val="clear" w:color="auto" w:fill="FFFFFF"/>
          <w:lang w:val="en-US"/>
        </w:rPr>
        <w:t>ule 72(6) of the Rules of the High Court which provides</w:t>
      </w:r>
      <w:r w:rsidR="00EA1246" w:rsidRPr="00C11869">
        <w:rPr>
          <w:rFonts w:ascii="Arial" w:hAnsi="Arial"/>
          <w:color w:val="000000"/>
          <w:sz w:val="24"/>
          <w:szCs w:val="24"/>
        </w:rPr>
        <w:t>:</w:t>
      </w:r>
    </w:p>
    <w:p w:rsidR="00D27544" w:rsidRDefault="00D27544" w:rsidP="006A2BB3">
      <w:pPr>
        <w:spacing w:after="0" w:line="480" w:lineRule="auto"/>
        <w:ind w:left="720"/>
        <w:jc w:val="both"/>
        <w:rPr>
          <w:rFonts w:ascii="Arial" w:hAnsi="Arial"/>
          <w:i/>
          <w:sz w:val="24"/>
          <w:szCs w:val="24"/>
        </w:rPr>
      </w:pPr>
    </w:p>
    <w:p w:rsidR="00C12109" w:rsidRDefault="00D27544" w:rsidP="00D27544">
      <w:pPr>
        <w:spacing w:after="0" w:line="360" w:lineRule="auto"/>
        <w:ind w:left="720"/>
        <w:jc w:val="both"/>
        <w:rPr>
          <w:rFonts w:ascii="Arial" w:hAnsi="Arial"/>
        </w:rPr>
      </w:pPr>
      <w:r w:rsidRPr="00D27544">
        <w:rPr>
          <w:rFonts w:ascii="Arial" w:hAnsi="Arial"/>
        </w:rPr>
        <w:t>'</w:t>
      </w:r>
      <w:r w:rsidR="00C12109" w:rsidRPr="00D27544">
        <w:rPr>
          <w:rFonts w:ascii="Arial" w:hAnsi="Arial"/>
        </w:rPr>
        <w:t xml:space="preserve">The </w:t>
      </w:r>
      <w:r w:rsidRPr="00D27544">
        <w:rPr>
          <w:rFonts w:ascii="Arial" w:hAnsi="Arial"/>
        </w:rPr>
        <w:t>c</w:t>
      </w:r>
      <w:r w:rsidR="00C12109" w:rsidRPr="00D27544">
        <w:rPr>
          <w:rFonts w:ascii="Arial" w:hAnsi="Arial"/>
        </w:rPr>
        <w:t xml:space="preserve">ourt may refuse to make an order in an ex parte application but may grant leave to applicant to renew the application on the same papers supplemented by such further affidavits as the case or the </w:t>
      </w:r>
      <w:r w:rsidRPr="00D27544">
        <w:rPr>
          <w:rFonts w:ascii="Arial" w:hAnsi="Arial"/>
        </w:rPr>
        <w:t>c</w:t>
      </w:r>
      <w:r w:rsidR="00C12109" w:rsidRPr="00D27544">
        <w:rPr>
          <w:rFonts w:ascii="Arial" w:hAnsi="Arial"/>
        </w:rPr>
        <w:t>ourt may require</w:t>
      </w:r>
      <w:r w:rsidRPr="00D27544">
        <w:rPr>
          <w:rFonts w:ascii="Arial" w:hAnsi="Arial"/>
        </w:rPr>
        <w:t>.</w:t>
      </w:r>
      <w:r>
        <w:rPr>
          <w:rFonts w:ascii="Arial" w:hAnsi="Arial"/>
        </w:rPr>
        <w:t>'</w:t>
      </w:r>
    </w:p>
    <w:p w:rsidR="00D27544" w:rsidRPr="00443D84" w:rsidRDefault="00D27544" w:rsidP="00443D84">
      <w:pPr>
        <w:spacing w:after="0" w:line="360" w:lineRule="auto"/>
        <w:ind w:left="720"/>
        <w:jc w:val="both"/>
        <w:rPr>
          <w:rFonts w:ascii="Arial" w:hAnsi="Arial"/>
        </w:rPr>
      </w:pPr>
    </w:p>
    <w:p w:rsidR="00EA1246" w:rsidRPr="006A2BB3" w:rsidRDefault="00E87428" w:rsidP="006A2BB3">
      <w:pPr>
        <w:spacing w:after="0" w:line="480" w:lineRule="auto"/>
        <w:jc w:val="both"/>
        <w:rPr>
          <w:rFonts w:ascii="Arial" w:hAnsi="Arial"/>
          <w:sz w:val="24"/>
          <w:szCs w:val="24"/>
        </w:rPr>
      </w:pPr>
      <w:r w:rsidRPr="006A2BB3">
        <w:rPr>
          <w:rFonts w:ascii="Arial" w:hAnsi="Arial"/>
          <w:sz w:val="24"/>
          <w:szCs w:val="24"/>
        </w:rPr>
        <w:t>In thi</w:t>
      </w:r>
      <w:r w:rsidR="00EA1246" w:rsidRPr="006A2BB3">
        <w:rPr>
          <w:rFonts w:ascii="Arial" w:hAnsi="Arial"/>
          <w:sz w:val="24"/>
          <w:szCs w:val="24"/>
        </w:rPr>
        <w:t xml:space="preserve">s </w:t>
      </w:r>
      <w:r w:rsidR="00D27544">
        <w:rPr>
          <w:rFonts w:ascii="Arial" w:hAnsi="Arial"/>
          <w:sz w:val="24"/>
          <w:szCs w:val="24"/>
        </w:rPr>
        <w:t>c</w:t>
      </w:r>
      <w:r w:rsidR="00EA1246" w:rsidRPr="006A2BB3">
        <w:rPr>
          <w:rFonts w:ascii="Arial" w:hAnsi="Arial"/>
          <w:sz w:val="24"/>
          <w:szCs w:val="24"/>
        </w:rPr>
        <w:t xml:space="preserve">ourt, the PG appeals the whole of the High Court judgment and does not aim to renew the </w:t>
      </w:r>
      <w:r w:rsidR="00EA1246" w:rsidRPr="006A2BB3">
        <w:rPr>
          <w:rFonts w:ascii="Arial" w:hAnsi="Arial"/>
          <w:i/>
          <w:sz w:val="24"/>
          <w:szCs w:val="24"/>
        </w:rPr>
        <w:t>ex parte</w:t>
      </w:r>
      <w:r w:rsidR="00EA1246" w:rsidRPr="006A2BB3">
        <w:rPr>
          <w:rFonts w:ascii="Arial" w:hAnsi="Arial"/>
          <w:sz w:val="24"/>
          <w:szCs w:val="24"/>
        </w:rPr>
        <w:t xml:space="preserve"> application in terms of </w:t>
      </w:r>
      <w:r w:rsidR="00D27544">
        <w:rPr>
          <w:rFonts w:ascii="Arial" w:hAnsi="Arial"/>
          <w:sz w:val="24"/>
          <w:szCs w:val="24"/>
        </w:rPr>
        <w:t>r</w:t>
      </w:r>
      <w:r w:rsidR="00EA1246" w:rsidRPr="006A2BB3">
        <w:rPr>
          <w:rFonts w:ascii="Arial" w:hAnsi="Arial"/>
          <w:sz w:val="24"/>
          <w:szCs w:val="24"/>
        </w:rPr>
        <w:t xml:space="preserve">ule 72(6) of the Rules of the High Court, similar to the matters in </w:t>
      </w:r>
      <w:r w:rsidR="000A6E98" w:rsidRPr="006A2BB3">
        <w:rPr>
          <w:rFonts w:ascii="Arial" w:hAnsi="Arial"/>
          <w:i/>
          <w:sz w:val="24"/>
          <w:szCs w:val="24"/>
        </w:rPr>
        <w:t>Knouwds</w:t>
      </w:r>
      <w:r w:rsidR="000C124F" w:rsidRPr="006A2BB3">
        <w:rPr>
          <w:rFonts w:ascii="Arial" w:hAnsi="Arial"/>
          <w:sz w:val="24"/>
          <w:szCs w:val="24"/>
        </w:rPr>
        <w:t xml:space="preserve"> </w:t>
      </w:r>
      <w:r w:rsidRPr="006A2BB3">
        <w:rPr>
          <w:rFonts w:ascii="Arial" w:hAnsi="Arial"/>
          <w:sz w:val="24"/>
          <w:szCs w:val="24"/>
        </w:rPr>
        <w:t>relied upon</w:t>
      </w:r>
      <w:r w:rsidR="00EA1246" w:rsidRPr="006A2BB3">
        <w:rPr>
          <w:rFonts w:ascii="Arial" w:hAnsi="Arial"/>
          <w:sz w:val="24"/>
          <w:szCs w:val="24"/>
        </w:rPr>
        <w:t xml:space="preserve"> by the </w:t>
      </w:r>
      <w:r w:rsidRPr="006A2BB3">
        <w:rPr>
          <w:rFonts w:ascii="Arial" w:hAnsi="Arial"/>
          <w:sz w:val="24"/>
          <w:szCs w:val="24"/>
        </w:rPr>
        <w:t xml:space="preserve">respondent. The issues </w:t>
      </w:r>
      <w:r w:rsidR="00EA1246" w:rsidRPr="006A2BB3">
        <w:rPr>
          <w:rFonts w:ascii="Arial" w:hAnsi="Arial"/>
          <w:sz w:val="24"/>
          <w:szCs w:val="24"/>
        </w:rPr>
        <w:t xml:space="preserve">for determination here are therefore distinguishable from those decided in the above cases. </w:t>
      </w:r>
    </w:p>
    <w:p w:rsidR="009E1CFD" w:rsidRPr="006A2BB3" w:rsidRDefault="009E1CFD" w:rsidP="006A2BB3">
      <w:pPr>
        <w:spacing w:after="0" w:line="480" w:lineRule="auto"/>
        <w:ind w:left="360"/>
        <w:jc w:val="both"/>
        <w:rPr>
          <w:rFonts w:ascii="Arial" w:hAnsi="Arial"/>
          <w:sz w:val="24"/>
          <w:szCs w:val="24"/>
        </w:rPr>
      </w:pPr>
    </w:p>
    <w:p w:rsidR="00C12109" w:rsidRPr="006A2BB3" w:rsidRDefault="00330C35" w:rsidP="006A2BB3">
      <w:pPr>
        <w:spacing w:after="0" w:line="480" w:lineRule="auto"/>
        <w:jc w:val="both"/>
        <w:rPr>
          <w:rFonts w:ascii="Arial" w:hAnsi="Arial"/>
          <w:sz w:val="24"/>
          <w:szCs w:val="24"/>
        </w:rPr>
      </w:pPr>
      <w:r w:rsidRPr="006A2BB3">
        <w:rPr>
          <w:rFonts w:ascii="Arial" w:hAnsi="Arial"/>
          <w:sz w:val="24"/>
          <w:szCs w:val="24"/>
        </w:rPr>
        <w:t>[51</w:t>
      </w:r>
      <w:r w:rsidR="00C12109" w:rsidRPr="006A2BB3">
        <w:rPr>
          <w:rFonts w:ascii="Arial" w:hAnsi="Arial"/>
          <w:sz w:val="24"/>
          <w:szCs w:val="24"/>
        </w:rPr>
        <w:t>]</w:t>
      </w:r>
      <w:r w:rsidR="00C12109" w:rsidRPr="006A2BB3">
        <w:rPr>
          <w:rFonts w:ascii="Arial" w:hAnsi="Arial"/>
          <w:sz w:val="24"/>
          <w:szCs w:val="24"/>
        </w:rPr>
        <w:tab/>
      </w:r>
      <w:r w:rsidR="008706D3" w:rsidRPr="006A2BB3">
        <w:rPr>
          <w:rFonts w:ascii="Arial" w:hAnsi="Arial"/>
          <w:sz w:val="24"/>
          <w:szCs w:val="24"/>
        </w:rPr>
        <w:t xml:space="preserve">Besides, </w:t>
      </w:r>
      <w:r w:rsidR="00D27544">
        <w:rPr>
          <w:rFonts w:ascii="Arial" w:hAnsi="Arial"/>
          <w:sz w:val="24"/>
          <w:szCs w:val="24"/>
        </w:rPr>
        <w:t>s</w:t>
      </w:r>
      <w:r w:rsidR="00C12109" w:rsidRPr="006A2BB3">
        <w:rPr>
          <w:rFonts w:ascii="Arial" w:hAnsi="Arial"/>
          <w:sz w:val="24"/>
          <w:szCs w:val="24"/>
        </w:rPr>
        <w:t xml:space="preserve"> 2 of the Supreme Court Act</w:t>
      </w:r>
      <w:r w:rsidR="00247B04" w:rsidRPr="006A2BB3">
        <w:rPr>
          <w:rFonts w:ascii="Arial" w:hAnsi="Arial"/>
          <w:sz w:val="24"/>
          <w:szCs w:val="24"/>
        </w:rPr>
        <w:t xml:space="preserve"> </w:t>
      </w:r>
      <w:r w:rsidR="00D27544">
        <w:rPr>
          <w:rFonts w:ascii="Arial" w:hAnsi="Arial"/>
          <w:sz w:val="24"/>
          <w:szCs w:val="24"/>
        </w:rPr>
        <w:t>15 of 1990</w:t>
      </w:r>
      <w:r w:rsidR="00C12109" w:rsidRPr="006A2BB3">
        <w:rPr>
          <w:rFonts w:ascii="Arial" w:hAnsi="Arial"/>
          <w:sz w:val="24"/>
          <w:szCs w:val="24"/>
        </w:rPr>
        <w:t xml:space="preserve"> provides for the jurisdiction of the court to hear and determine </w:t>
      </w:r>
      <w:r w:rsidR="008706D3" w:rsidRPr="006A2BB3">
        <w:rPr>
          <w:rFonts w:ascii="Arial" w:hAnsi="Arial"/>
          <w:sz w:val="24"/>
          <w:szCs w:val="24"/>
        </w:rPr>
        <w:t xml:space="preserve">all </w:t>
      </w:r>
      <w:r w:rsidR="00C12109" w:rsidRPr="006A2BB3">
        <w:rPr>
          <w:rFonts w:ascii="Arial" w:hAnsi="Arial"/>
          <w:sz w:val="24"/>
          <w:szCs w:val="24"/>
        </w:rPr>
        <w:t>appeals from the High Court.</w:t>
      </w:r>
      <w:r w:rsidR="003125D7" w:rsidRPr="006A2BB3">
        <w:rPr>
          <w:rFonts w:ascii="Arial" w:hAnsi="Arial"/>
          <w:sz w:val="24"/>
          <w:szCs w:val="24"/>
        </w:rPr>
        <w:t xml:space="preserve"> </w:t>
      </w:r>
      <w:r w:rsidR="00C12109" w:rsidRPr="006A2BB3">
        <w:rPr>
          <w:rFonts w:ascii="Arial" w:hAnsi="Arial"/>
          <w:sz w:val="24"/>
          <w:szCs w:val="24"/>
        </w:rPr>
        <w:t>The proceedings in this matter being of a civil nature</w:t>
      </w:r>
      <w:r w:rsidR="009319AE">
        <w:rPr>
          <w:rFonts w:ascii="Arial" w:hAnsi="Arial"/>
          <w:sz w:val="24"/>
          <w:szCs w:val="24"/>
        </w:rPr>
        <w:t>,</w:t>
      </w:r>
      <w:r w:rsidR="00C12109" w:rsidRPr="006A2BB3">
        <w:rPr>
          <w:rFonts w:ascii="Arial" w:hAnsi="Arial"/>
          <w:sz w:val="24"/>
          <w:szCs w:val="24"/>
          <w:vertAlign w:val="superscript"/>
        </w:rPr>
        <w:footnoteReference w:id="14"/>
      </w:r>
      <w:r w:rsidR="00C12109" w:rsidRPr="006A2BB3">
        <w:rPr>
          <w:rFonts w:ascii="Arial" w:hAnsi="Arial"/>
          <w:sz w:val="24"/>
          <w:szCs w:val="24"/>
        </w:rPr>
        <w:t xml:space="preserve"> the PG duly filed notice to appeal the whole of the judgment of the High Court. </w:t>
      </w:r>
      <w:r w:rsidR="001C61C0" w:rsidRPr="006A2BB3">
        <w:rPr>
          <w:rFonts w:ascii="Arial" w:hAnsi="Arial"/>
          <w:sz w:val="24"/>
          <w:szCs w:val="24"/>
        </w:rPr>
        <w:t xml:space="preserve">It being final in effect, as I have already said, it was </w:t>
      </w:r>
      <w:r w:rsidR="00EE3662">
        <w:rPr>
          <w:rFonts w:ascii="Arial" w:hAnsi="Arial"/>
          <w:sz w:val="24"/>
          <w:szCs w:val="24"/>
        </w:rPr>
        <w:t xml:space="preserve">not </w:t>
      </w:r>
      <w:r w:rsidR="001C61C0" w:rsidRPr="006A2BB3">
        <w:rPr>
          <w:rFonts w:ascii="Arial" w:hAnsi="Arial"/>
          <w:sz w:val="24"/>
          <w:szCs w:val="24"/>
        </w:rPr>
        <w:t xml:space="preserve">an interlocutory application for the purpose of s 18(3) of the High Court Act, 1990, requiring leave to appeal. </w:t>
      </w:r>
      <w:r w:rsidR="00C12109" w:rsidRPr="006A2BB3">
        <w:rPr>
          <w:rFonts w:ascii="Arial" w:hAnsi="Arial"/>
          <w:sz w:val="24"/>
          <w:szCs w:val="24"/>
        </w:rPr>
        <w:t>There being no cross appeal, the respondent lodged his intention to oppose</w:t>
      </w:r>
      <w:r w:rsidR="00E87428" w:rsidRPr="006A2BB3">
        <w:rPr>
          <w:rFonts w:ascii="Arial" w:hAnsi="Arial"/>
          <w:sz w:val="24"/>
          <w:szCs w:val="24"/>
        </w:rPr>
        <w:t xml:space="preserve"> the appeal</w:t>
      </w:r>
      <w:r w:rsidR="00C12109" w:rsidRPr="006A2BB3">
        <w:rPr>
          <w:rFonts w:ascii="Arial" w:hAnsi="Arial"/>
          <w:sz w:val="24"/>
          <w:szCs w:val="24"/>
        </w:rPr>
        <w:t xml:space="preserve"> in terms of </w:t>
      </w:r>
      <w:r w:rsidR="00D27544">
        <w:rPr>
          <w:rFonts w:ascii="Arial" w:hAnsi="Arial"/>
          <w:sz w:val="24"/>
          <w:szCs w:val="24"/>
        </w:rPr>
        <w:t>r</w:t>
      </w:r>
      <w:r w:rsidR="00C12109" w:rsidRPr="006A2BB3">
        <w:rPr>
          <w:rFonts w:ascii="Arial" w:hAnsi="Arial"/>
          <w:sz w:val="24"/>
          <w:szCs w:val="24"/>
        </w:rPr>
        <w:t xml:space="preserve">ule 11 of the Supreme Court Rules. Thus, this matter is properly before this court. </w:t>
      </w:r>
    </w:p>
    <w:p w:rsidR="009C5B7C" w:rsidRPr="006A2BB3" w:rsidRDefault="009C5B7C" w:rsidP="006A2BB3">
      <w:pPr>
        <w:spacing w:after="0" w:line="480" w:lineRule="auto"/>
        <w:ind w:left="360"/>
        <w:jc w:val="both"/>
        <w:rPr>
          <w:rFonts w:ascii="Arial" w:hAnsi="Arial"/>
          <w:sz w:val="24"/>
          <w:szCs w:val="24"/>
        </w:rPr>
      </w:pPr>
    </w:p>
    <w:p w:rsidR="009E1CFD" w:rsidRPr="00D27544" w:rsidRDefault="00D27544" w:rsidP="006A2BB3">
      <w:pPr>
        <w:spacing w:after="0" w:line="480" w:lineRule="auto"/>
        <w:jc w:val="both"/>
        <w:rPr>
          <w:rFonts w:ascii="Arial" w:hAnsi="Arial"/>
          <w:sz w:val="24"/>
          <w:szCs w:val="24"/>
          <w:u w:val="single"/>
        </w:rPr>
      </w:pPr>
      <w:r w:rsidRPr="00D27544">
        <w:rPr>
          <w:rFonts w:ascii="Arial" w:hAnsi="Arial"/>
          <w:sz w:val="24"/>
          <w:szCs w:val="24"/>
          <w:u w:val="single"/>
        </w:rPr>
        <w:t xml:space="preserve">Whether reg 7(b) is a requirement in the application in terms of s 51(2) of the </w:t>
      </w:r>
      <w:r w:rsidR="00B425C4" w:rsidRPr="00D27544">
        <w:rPr>
          <w:rFonts w:ascii="Arial" w:hAnsi="Arial"/>
          <w:sz w:val="24"/>
          <w:szCs w:val="24"/>
          <w:u w:val="single"/>
        </w:rPr>
        <w:t>POCA</w:t>
      </w:r>
    </w:p>
    <w:p w:rsidR="00C12109" w:rsidRPr="006A2BB3" w:rsidRDefault="003125D7" w:rsidP="006A2BB3">
      <w:pPr>
        <w:spacing w:after="0" w:line="480" w:lineRule="auto"/>
        <w:jc w:val="both"/>
        <w:rPr>
          <w:rFonts w:ascii="Arial" w:hAnsi="Arial"/>
          <w:sz w:val="24"/>
          <w:szCs w:val="24"/>
        </w:rPr>
      </w:pPr>
      <w:r w:rsidRPr="006A2BB3">
        <w:rPr>
          <w:rFonts w:ascii="Arial" w:hAnsi="Arial"/>
          <w:sz w:val="24"/>
          <w:szCs w:val="24"/>
        </w:rPr>
        <w:t>[52</w:t>
      </w:r>
      <w:r w:rsidR="00C12109" w:rsidRPr="006A2BB3">
        <w:rPr>
          <w:rFonts w:ascii="Arial" w:hAnsi="Arial"/>
          <w:sz w:val="24"/>
          <w:szCs w:val="24"/>
        </w:rPr>
        <w:t>]</w:t>
      </w:r>
      <w:r w:rsidR="00C12109" w:rsidRPr="006A2BB3">
        <w:rPr>
          <w:rFonts w:ascii="Arial" w:hAnsi="Arial"/>
          <w:sz w:val="24"/>
          <w:szCs w:val="24"/>
        </w:rPr>
        <w:tab/>
        <w:t xml:space="preserve">On a proper analysis of the relevant provisions of the POCA, argued the PG, the High Court erred in granting the preservation of </w:t>
      </w:r>
      <w:r w:rsidR="001721FA" w:rsidRPr="006A2BB3">
        <w:rPr>
          <w:rFonts w:ascii="Arial" w:hAnsi="Arial"/>
          <w:sz w:val="24"/>
          <w:szCs w:val="24"/>
        </w:rPr>
        <w:t>property order in terms of s 51(2) o</w:t>
      </w:r>
      <w:r w:rsidR="00E87428" w:rsidRPr="006A2BB3">
        <w:rPr>
          <w:rFonts w:ascii="Arial" w:hAnsi="Arial"/>
          <w:sz w:val="24"/>
          <w:szCs w:val="24"/>
        </w:rPr>
        <w:t>n the basis of non-compliance with</w:t>
      </w:r>
      <w:r w:rsidR="001721FA" w:rsidRPr="006A2BB3">
        <w:rPr>
          <w:rFonts w:ascii="Arial" w:hAnsi="Arial"/>
          <w:sz w:val="24"/>
          <w:szCs w:val="24"/>
        </w:rPr>
        <w:t xml:space="preserve"> the seven day notice under </w:t>
      </w:r>
      <w:r w:rsidR="00B425C4">
        <w:rPr>
          <w:rFonts w:ascii="Arial" w:hAnsi="Arial"/>
          <w:sz w:val="24"/>
          <w:szCs w:val="24"/>
        </w:rPr>
        <w:t>r</w:t>
      </w:r>
      <w:r w:rsidR="001721FA" w:rsidRPr="006A2BB3">
        <w:rPr>
          <w:rFonts w:ascii="Arial" w:hAnsi="Arial"/>
          <w:sz w:val="24"/>
          <w:szCs w:val="24"/>
        </w:rPr>
        <w:t xml:space="preserve">eg 7(b). Section 51(2), the PG further contends, applies </w:t>
      </w:r>
      <w:r w:rsidR="001721FA" w:rsidRPr="006A2BB3">
        <w:rPr>
          <w:rFonts w:ascii="Arial" w:hAnsi="Arial"/>
          <w:i/>
          <w:sz w:val="24"/>
          <w:szCs w:val="24"/>
        </w:rPr>
        <w:t>ex parte</w:t>
      </w:r>
      <w:r w:rsidR="001721FA" w:rsidRPr="006A2BB3">
        <w:rPr>
          <w:rFonts w:ascii="Arial" w:hAnsi="Arial"/>
          <w:sz w:val="24"/>
          <w:szCs w:val="24"/>
        </w:rPr>
        <w:t xml:space="preserve"> and therefore requires no notice to be lodged within a stipulated time. The respondent</w:t>
      </w:r>
      <w:r w:rsidR="00B425C4">
        <w:rPr>
          <w:rFonts w:ascii="Arial" w:hAnsi="Arial"/>
          <w:sz w:val="24"/>
          <w:szCs w:val="24"/>
        </w:rPr>
        <w:t>,</w:t>
      </w:r>
      <w:r w:rsidR="001721FA" w:rsidRPr="006A2BB3">
        <w:rPr>
          <w:rFonts w:ascii="Arial" w:hAnsi="Arial"/>
          <w:sz w:val="24"/>
          <w:szCs w:val="24"/>
        </w:rPr>
        <w:t xml:space="preserve"> on the contrary</w:t>
      </w:r>
      <w:r w:rsidR="00E87428" w:rsidRPr="006A2BB3">
        <w:rPr>
          <w:rFonts w:ascii="Arial" w:hAnsi="Arial"/>
          <w:sz w:val="24"/>
          <w:szCs w:val="24"/>
        </w:rPr>
        <w:t>, submitted</w:t>
      </w:r>
      <w:r w:rsidR="001721FA" w:rsidRPr="006A2BB3">
        <w:rPr>
          <w:rFonts w:ascii="Arial" w:hAnsi="Arial"/>
          <w:sz w:val="24"/>
          <w:szCs w:val="24"/>
        </w:rPr>
        <w:t xml:space="preserve"> that </w:t>
      </w:r>
      <w:r w:rsidR="00B425C4">
        <w:rPr>
          <w:rFonts w:ascii="Arial" w:hAnsi="Arial"/>
          <w:sz w:val="24"/>
          <w:szCs w:val="24"/>
        </w:rPr>
        <w:t>r</w:t>
      </w:r>
      <w:r w:rsidR="001721FA" w:rsidRPr="006A2BB3">
        <w:rPr>
          <w:rFonts w:ascii="Arial" w:hAnsi="Arial"/>
          <w:sz w:val="24"/>
          <w:szCs w:val="24"/>
        </w:rPr>
        <w:t xml:space="preserve">eg 7(b) read with s 91 of the POCA is peremptory and therefore the </w:t>
      </w:r>
      <w:r w:rsidR="00B425C4" w:rsidRPr="006A2BB3">
        <w:rPr>
          <w:rFonts w:ascii="Arial" w:hAnsi="Arial"/>
          <w:sz w:val="24"/>
          <w:szCs w:val="24"/>
        </w:rPr>
        <w:t>seven day</w:t>
      </w:r>
      <w:r w:rsidR="001721FA" w:rsidRPr="006A2BB3">
        <w:rPr>
          <w:rFonts w:ascii="Arial" w:hAnsi="Arial"/>
          <w:sz w:val="24"/>
          <w:szCs w:val="24"/>
        </w:rPr>
        <w:t xml:space="preserve"> notice must be complied with in any application</w:t>
      </w:r>
      <w:r w:rsidR="00EB0C23" w:rsidRPr="006A2BB3">
        <w:rPr>
          <w:rFonts w:ascii="Arial" w:hAnsi="Arial"/>
          <w:sz w:val="24"/>
          <w:szCs w:val="24"/>
        </w:rPr>
        <w:t xml:space="preserve"> under s 91(1)</w:t>
      </w:r>
      <w:r w:rsidR="001721FA" w:rsidRPr="006A2BB3">
        <w:rPr>
          <w:rFonts w:ascii="Arial" w:hAnsi="Arial"/>
          <w:sz w:val="24"/>
          <w:szCs w:val="24"/>
        </w:rPr>
        <w:t xml:space="preserve"> </w:t>
      </w:r>
      <w:r w:rsidR="00E87428" w:rsidRPr="006A2BB3">
        <w:rPr>
          <w:rFonts w:ascii="Arial" w:hAnsi="Arial"/>
          <w:sz w:val="24"/>
          <w:szCs w:val="24"/>
        </w:rPr>
        <w:t xml:space="preserve">including the application for a property preservation order </w:t>
      </w:r>
      <w:r w:rsidR="001721FA" w:rsidRPr="006A2BB3">
        <w:rPr>
          <w:rFonts w:ascii="Arial" w:hAnsi="Arial"/>
          <w:sz w:val="24"/>
          <w:szCs w:val="24"/>
        </w:rPr>
        <w:t xml:space="preserve">under s 51(2) of the POCA. </w:t>
      </w:r>
    </w:p>
    <w:p w:rsidR="009E1CFD" w:rsidRPr="006A2BB3" w:rsidRDefault="009E1CFD" w:rsidP="006A2BB3">
      <w:pPr>
        <w:spacing w:after="0" w:line="480" w:lineRule="auto"/>
        <w:ind w:left="360"/>
        <w:jc w:val="both"/>
        <w:rPr>
          <w:rFonts w:ascii="Arial" w:hAnsi="Arial"/>
          <w:sz w:val="24"/>
          <w:szCs w:val="24"/>
        </w:rPr>
      </w:pPr>
    </w:p>
    <w:p w:rsidR="001721FA" w:rsidRPr="006A2BB3" w:rsidRDefault="003125D7" w:rsidP="006A2BB3">
      <w:pPr>
        <w:spacing w:after="0" w:line="480" w:lineRule="auto"/>
        <w:jc w:val="both"/>
        <w:rPr>
          <w:rFonts w:ascii="Arial" w:hAnsi="Arial"/>
          <w:sz w:val="24"/>
          <w:szCs w:val="24"/>
        </w:rPr>
      </w:pPr>
      <w:r w:rsidRPr="006A2BB3">
        <w:rPr>
          <w:rFonts w:ascii="Arial" w:hAnsi="Arial"/>
          <w:sz w:val="24"/>
          <w:szCs w:val="24"/>
        </w:rPr>
        <w:t>[53</w:t>
      </w:r>
      <w:r w:rsidR="001721FA" w:rsidRPr="006A2BB3">
        <w:rPr>
          <w:rFonts w:ascii="Arial" w:hAnsi="Arial"/>
          <w:sz w:val="24"/>
          <w:szCs w:val="24"/>
        </w:rPr>
        <w:t>]</w:t>
      </w:r>
      <w:r w:rsidR="001721FA" w:rsidRPr="006A2BB3">
        <w:rPr>
          <w:rFonts w:ascii="Arial" w:hAnsi="Arial"/>
          <w:sz w:val="24"/>
          <w:szCs w:val="24"/>
        </w:rPr>
        <w:tab/>
        <w:t>These contentions indeed call for an analysis of the relevant provisions of the POCA. Section 51(2) in terms of which a prop</w:t>
      </w:r>
      <w:r w:rsidR="009C5B7C" w:rsidRPr="006A2BB3">
        <w:rPr>
          <w:rFonts w:ascii="Arial" w:hAnsi="Arial"/>
          <w:sz w:val="24"/>
          <w:szCs w:val="24"/>
        </w:rPr>
        <w:t>erty preservation order is</w:t>
      </w:r>
      <w:r w:rsidR="001721FA" w:rsidRPr="006A2BB3">
        <w:rPr>
          <w:rFonts w:ascii="Arial" w:hAnsi="Arial"/>
          <w:sz w:val="24"/>
          <w:szCs w:val="24"/>
        </w:rPr>
        <w:t xml:space="preserve"> applied </w:t>
      </w:r>
      <w:r w:rsidR="00B425C4" w:rsidRPr="006A2BB3">
        <w:rPr>
          <w:rFonts w:ascii="Arial" w:hAnsi="Arial"/>
          <w:sz w:val="24"/>
          <w:szCs w:val="24"/>
        </w:rPr>
        <w:t>for</w:t>
      </w:r>
      <w:r w:rsidR="001721FA" w:rsidRPr="006A2BB3">
        <w:rPr>
          <w:rFonts w:ascii="Arial" w:hAnsi="Arial"/>
          <w:sz w:val="24"/>
          <w:szCs w:val="24"/>
        </w:rPr>
        <w:t xml:space="preserve"> provides: </w:t>
      </w:r>
    </w:p>
    <w:p w:rsidR="00B425C4" w:rsidRDefault="00B425C4" w:rsidP="006A2BB3">
      <w:pPr>
        <w:spacing w:after="0" w:line="480" w:lineRule="auto"/>
        <w:ind w:firstLine="720"/>
        <w:jc w:val="both"/>
        <w:rPr>
          <w:rFonts w:ascii="Arial" w:hAnsi="Arial"/>
          <w:i/>
          <w:sz w:val="24"/>
          <w:szCs w:val="24"/>
        </w:rPr>
      </w:pPr>
    </w:p>
    <w:p w:rsidR="001721FA" w:rsidRPr="00401745" w:rsidRDefault="00B425C4" w:rsidP="006A2BB3">
      <w:pPr>
        <w:spacing w:after="0" w:line="480" w:lineRule="auto"/>
        <w:ind w:firstLine="720"/>
        <w:jc w:val="both"/>
        <w:rPr>
          <w:rFonts w:ascii="Arial" w:hAnsi="Arial"/>
          <w:b/>
        </w:rPr>
      </w:pPr>
      <w:r w:rsidRPr="00401745">
        <w:rPr>
          <w:rFonts w:ascii="Arial" w:hAnsi="Arial"/>
          <w:b/>
          <w:i/>
        </w:rPr>
        <w:t>'</w:t>
      </w:r>
      <w:r w:rsidR="001721FA" w:rsidRPr="00401745">
        <w:rPr>
          <w:rFonts w:ascii="Arial" w:hAnsi="Arial"/>
          <w:b/>
        </w:rPr>
        <w:t>51</w:t>
      </w:r>
      <w:r w:rsidR="00FC5E67" w:rsidRPr="00401745">
        <w:rPr>
          <w:rFonts w:ascii="Arial" w:hAnsi="Arial"/>
          <w:b/>
        </w:rPr>
        <w:tab/>
        <w:t>Preservation of property orders</w:t>
      </w:r>
    </w:p>
    <w:p w:rsidR="001721FA" w:rsidRPr="00FC5E67" w:rsidRDefault="00FC5E67" w:rsidP="00FC5E67">
      <w:pPr>
        <w:spacing w:after="0" w:line="360" w:lineRule="auto"/>
        <w:ind w:left="720" w:firstLine="720"/>
        <w:jc w:val="both"/>
        <w:rPr>
          <w:rFonts w:ascii="Arial" w:hAnsi="Arial"/>
        </w:rPr>
      </w:pPr>
      <w:r w:rsidRPr="00FC5E67">
        <w:rPr>
          <w:rFonts w:ascii="Arial" w:hAnsi="Arial"/>
        </w:rPr>
        <w:t>(1)</w:t>
      </w:r>
      <w:r w:rsidRPr="00FC5E67">
        <w:rPr>
          <w:rFonts w:ascii="Arial" w:hAnsi="Arial"/>
        </w:rPr>
        <w:tab/>
      </w:r>
      <w:r w:rsidR="001721FA" w:rsidRPr="00FC5E67">
        <w:rPr>
          <w:rFonts w:ascii="Arial" w:hAnsi="Arial"/>
        </w:rPr>
        <w:t>The Prosecutor-General may apply to the High Court for a pre</w:t>
      </w:r>
      <w:r w:rsidR="00D57B2C" w:rsidRPr="00FC5E67">
        <w:rPr>
          <w:rFonts w:ascii="Arial" w:hAnsi="Arial"/>
        </w:rPr>
        <w:t>servation of</w:t>
      </w:r>
      <w:r w:rsidR="001721FA" w:rsidRPr="00FC5E67">
        <w:rPr>
          <w:rFonts w:ascii="Arial" w:hAnsi="Arial"/>
        </w:rPr>
        <w:t xml:space="preserve"> property order prohibiting any person, subject to such conditions and exceptions as may be specified in the order, from dealing in any manner with any property</w:t>
      </w:r>
      <w:r w:rsidR="00D57B2C" w:rsidRPr="00FC5E67">
        <w:rPr>
          <w:rFonts w:ascii="Arial" w:hAnsi="Arial"/>
        </w:rPr>
        <w:t>.</w:t>
      </w:r>
    </w:p>
    <w:p w:rsidR="00FC5E67" w:rsidRPr="00FC5E67" w:rsidRDefault="00FC5E67" w:rsidP="009C1B18">
      <w:pPr>
        <w:spacing w:after="0" w:line="360" w:lineRule="auto"/>
        <w:ind w:left="1440"/>
        <w:jc w:val="both"/>
        <w:rPr>
          <w:rFonts w:ascii="Arial" w:hAnsi="Arial"/>
        </w:rPr>
      </w:pPr>
    </w:p>
    <w:p w:rsidR="001721FA" w:rsidRPr="00FC5E67" w:rsidRDefault="00FC5E67" w:rsidP="00FC5E67">
      <w:pPr>
        <w:spacing w:after="0" w:line="360" w:lineRule="auto"/>
        <w:ind w:left="720" w:firstLine="720"/>
        <w:jc w:val="both"/>
        <w:rPr>
          <w:rFonts w:ascii="Arial" w:hAnsi="Arial"/>
        </w:rPr>
      </w:pPr>
      <w:r w:rsidRPr="00FC5E67">
        <w:rPr>
          <w:rFonts w:ascii="Arial" w:hAnsi="Arial"/>
        </w:rPr>
        <w:t>(2)</w:t>
      </w:r>
      <w:r w:rsidRPr="00FC5E67">
        <w:rPr>
          <w:rFonts w:ascii="Arial" w:hAnsi="Arial"/>
        </w:rPr>
        <w:tab/>
      </w:r>
      <w:r w:rsidR="001721FA" w:rsidRPr="00FC5E67">
        <w:rPr>
          <w:rFonts w:ascii="Arial" w:hAnsi="Arial"/>
        </w:rPr>
        <w:t>The High Court must make an order referred to in subsection (1) without requiring that notice of the application be given to any other person or adduction of any further evidence from any other person if the application is supported by an affidavit indicating that the deponent has sufficient information that the property concerned is-</w:t>
      </w:r>
    </w:p>
    <w:p w:rsidR="00FC5E67" w:rsidRPr="00FC5E67" w:rsidRDefault="00FC5E67" w:rsidP="00FC5E67">
      <w:pPr>
        <w:spacing w:after="0" w:line="360" w:lineRule="auto"/>
        <w:jc w:val="both"/>
        <w:rPr>
          <w:rFonts w:ascii="Arial" w:hAnsi="Arial"/>
        </w:rPr>
      </w:pPr>
    </w:p>
    <w:p w:rsidR="001721FA" w:rsidRPr="00FC5E67" w:rsidRDefault="001721FA" w:rsidP="00FC5E67">
      <w:pPr>
        <w:numPr>
          <w:ilvl w:val="0"/>
          <w:numId w:val="24"/>
        </w:numPr>
        <w:spacing w:after="0" w:line="360" w:lineRule="auto"/>
        <w:jc w:val="both"/>
        <w:rPr>
          <w:rFonts w:ascii="Arial" w:hAnsi="Arial"/>
        </w:rPr>
      </w:pPr>
      <w:r w:rsidRPr="00FC5E67">
        <w:rPr>
          <w:rFonts w:ascii="Arial" w:hAnsi="Arial"/>
        </w:rPr>
        <w:t>an instrumentality of an offence referred to in Schedule 1; or</w:t>
      </w:r>
    </w:p>
    <w:p w:rsidR="00FC5E67" w:rsidRPr="00FC5E67" w:rsidRDefault="00FC5E67" w:rsidP="00FC5E67">
      <w:pPr>
        <w:spacing w:after="0" w:line="360" w:lineRule="auto"/>
        <w:ind w:firstLine="720"/>
        <w:jc w:val="both"/>
        <w:rPr>
          <w:rFonts w:ascii="Arial" w:hAnsi="Arial"/>
        </w:rPr>
      </w:pPr>
    </w:p>
    <w:p w:rsidR="001721FA" w:rsidRPr="00FC5E67" w:rsidRDefault="001721FA" w:rsidP="00FC5E67">
      <w:pPr>
        <w:numPr>
          <w:ilvl w:val="0"/>
          <w:numId w:val="24"/>
        </w:numPr>
        <w:spacing w:after="0" w:line="360" w:lineRule="auto"/>
        <w:jc w:val="both"/>
        <w:rPr>
          <w:rFonts w:ascii="Arial" w:hAnsi="Arial"/>
        </w:rPr>
      </w:pPr>
      <w:r w:rsidRPr="00FC5E67">
        <w:rPr>
          <w:rFonts w:ascii="Arial" w:hAnsi="Arial"/>
        </w:rPr>
        <w:t>the proceeds of unlawful activities</w:t>
      </w:r>
    </w:p>
    <w:p w:rsidR="00FC5E67" w:rsidRPr="00FC5E67" w:rsidRDefault="00FC5E67" w:rsidP="00FC5E67">
      <w:pPr>
        <w:spacing w:after="0" w:line="360" w:lineRule="auto"/>
        <w:jc w:val="both"/>
        <w:rPr>
          <w:rFonts w:ascii="Arial" w:hAnsi="Arial"/>
        </w:rPr>
      </w:pPr>
    </w:p>
    <w:p w:rsidR="001721FA" w:rsidRPr="00FC5E67" w:rsidRDefault="001721FA" w:rsidP="00FC5E67">
      <w:pPr>
        <w:spacing w:after="0" w:line="360" w:lineRule="auto"/>
        <w:ind w:left="1080"/>
        <w:jc w:val="both"/>
        <w:rPr>
          <w:rFonts w:ascii="Arial" w:hAnsi="Arial"/>
        </w:rPr>
      </w:pPr>
      <w:r w:rsidRPr="00FC5E67">
        <w:rPr>
          <w:rFonts w:ascii="Arial" w:hAnsi="Arial"/>
        </w:rPr>
        <w:t xml:space="preserve">and the court is satisfied that the information shows on the face of it that there are reasonable grounds for that belief. </w:t>
      </w:r>
    </w:p>
    <w:p w:rsidR="00FC5E67" w:rsidRPr="00FC5E67" w:rsidRDefault="00FC5E67" w:rsidP="00FC5E67">
      <w:pPr>
        <w:spacing w:after="0" w:line="360" w:lineRule="auto"/>
        <w:jc w:val="both"/>
        <w:rPr>
          <w:rFonts w:ascii="Arial" w:hAnsi="Arial"/>
        </w:rPr>
      </w:pPr>
    </w:p>
    <w:p w:rsidR="001721FA" w:rsidRPr="00FC5E67" w:rsidRDefault="00FC5E67" w:rsidP="00FC5E67">
      <w:pPr>
        <w:spacing w:after="0" w:line="360" w:lineRule="auto"/>
        <w:ind w:left="720"/>
        <w:jc w:val="both"/>
        <w:rPr>
          <w:rFonts w:ascii="Arial" w:hAnsi="Arial"/>
        </w:rPr>
      </w:pPr>
      <w:r w:rsidRPr="00FC5E67">
        <w:rPr>
          <w:rFonts w:ascii="Arial" w:hAnsi="Arial"/>
        </w:rPr>
        <w:t>(3)</w:t>
      </w:r>
      <w:r w:rsidRPr="00FC5E67">
        <w:rPr>
          <w:rFonts w:ascii="Arial" w:hAnsi="Arial"/>
        </w:rPr>
        <w:tab/>
      </w:r>
      <w:r w:rsidR="001721FA" w:rsidRPr="00FC5E67">
        <w:rPr>
          <w:rFonts w:ascii="Arial" w:hAnsi="Arial"/>
        </w:rPr>
        <w:t xml:space="preserve">When the High Court makes a preservation of property order, it must at the same time make an order authorising the seizure of the property concerned by a member of the police, and </w:t>
      </w:r>
      <w:r w:rsidR="00B96890" w:rsidRPr="00FC5E67">
        <w:rPr>
          <w:rFonts w:ascii="Arial" w:hAnsi="Arial"/>
        </w:rPr>
        <w:t>any other ancillary orders that the court considers appropriate for the proper, fair and effective execution of the order</w:t>
      </w:r>
      <w:r w:rsidR="000C124F" w:rsidRPr="00FC5E67">
        <w:rPr>
          <w:rFonts w:ascii="Arial" w:hAnsi="Arial"/>
        </w:rPr>
        <w:t>.</w:t>
      </w:r>
      <w:r w:rsidR="00B96890" w:rsidRPr="00FC5E67">
        <w:rPr>
          <w:rFonts w:ascii="Arial" w:hAnsi="Arial"/>
        </w:rPr>
        <w:t xml:space="preserve"> </w:t>
      </w:r>
      <w:r w:rsidR="000C124F" w:rsidRPr="00FC5E67">
        <w:rPr>
          <w:rFonts w:ascii="Arial" w:hAnsi="Arial"/>
        </w:rPr>
        <w:t>(</w:t>
      </w:r>
      <w:r w:rsidR="00B425C4" w:rsidRPr="00FC5E67">
        <w:rPr>
          <w:rFonts w:ascii="Arial" w:hAnsi="Arial"/>
        </w:rPr>
        <w:t>Our</w:t>
      </w:r>
      <w:r w:rsidR="000C124F" w:rsidRPr="00FC5E67">
        <w:rPr>
          <w:rFonts w:ascii="Arial" w:hAnsi="Arial"/>
        </w:rPr>
        <w:t xml:space="preserve"> emphasis</w:t>
      </w:r>
      <w:r w:rsidR="0062717B" w:rsidRPr="00FC5E67">
        <w:rPr>
          <w:rFonts w:ascii="Arial" w:hAnsi="Arial"/>
        </w:rPr>
        <w:t>.</w:t>
      </w:r>
      <w:r w:rsidR="000C124F" w:rsidRPr="00FC5E67">
        <w:rPr>
          <w:rFonts w:ascii="Arial" w:hAnsi="Arial"/>
        </w:rPr>
        <w:t>)</w:t>
      </w:r>
    </w:p>
    <w:p w:rsidR="00FC5E67" w:rsidRPr="00FC5E67" w:rsidRDefault="00FC5E67" w:rsidP="00FC5E67">
      <w:pPr>
        <w:spacing w:after="0" w:line="360" w:lineRule="auto"/>
        <w:jc w:val="both"/>
        <w:rPr>
          <w:rFonts w:ascii="Arial" w:hAnsi="Arial"/>
        </w:rPr>
      </w:pPr>
    </w:p>
    <w:p w:rsidR="00B96890" w:rsidRPr="00FC5E67" w:rsidRDefault="00FC5E67" w:rsidP="00FC5E67">
      <w:pPr>
        <w:spacing w:after="0" w:line="360" w:lineRule="auto"/>
        <w:ind w:left="720"/>
        <w:jc w:val="both"/>
        <w:rPr>
          <w:rFonts w:ascii="Arial" w:hAnsi="Arial"/>
        </w:rPr>
      </w:pPr>
      <w:r w:rsidRPr="00FC5E67">
        <w:rPr>
          <w:rFonts w:ascii="Arial" w:hAnsi="Arial"/>
        </w:rPr>
        <w:t>(4)</w:t>
      </w:r>
      <w:r w:rsidRPr="00FC5E67">
        <w:rPr>
          <w:rFonts w:ascii="Arial" w:hAnsi="Arial"/>
        </w:rPr>
        <w:tab/>
      </w:r>
      <w:r w:rsidR="00B96890" w:rsidRPr="00FC5E67">
        <w:rPr>
          <w:rFonts w:ascii="Arial" w:hAnsi="Arial"/>
        </w:rPr>
        <w:t>Property seized under subsection (3) must be dealt with in accordance with the directions of the High Court.</w:t>
      </w:r>
      <w:r w:rsidR="00B425C4" w:rsidRPr="00FC5E67">
        <w:rPr>
          <w:rFonts w:ascii="Arial" w:hAnsi="Arial"/>
        </w:rPr>
        <w:t>'</w:t>
      </w:r>
    </w:p>
    <w:p w:rsidR="009E1CFD" w:rsidRPr="006A2BB3" w:rsidRDefault="009E1CFD" w:rsidP="006A2BB3">
      <w:pPr>
        <w:spacing w:after="0" w:line="480" w:lineRule="auto"/>
        <w:ind w:left="360"/>
        <w:jc w:val="both"/>
        <w:rPr>
          <w:rFonts w:ascii="Arial" w:hAnsi="Arial"/>
          <w:sz w:val="24"/>
          <w:szCs w:val="24"/>
        </w:rPr>
      </w:pPr>
    </w:p>
    <w:p w:rsidR="009E1CFD" w:rsidRPr="00C11869" w:rsidRDefault="003125D7" w:rsidP="006A2BB3">
      <w:pPr>
        <w:spacing w:after="0" w:line="480" w:lineRule="auto"/>
        <w:jc w:val="both"/>
        <w:rPr>
          <w:rFonts w:ascii="Arial" w:eastAsia="Times New Roman" w:hAnsi="Arial"/>
          <w:color w:val="000000"/>
          <w:sz w:val="24"/>
          <w:szCs w:val="24"/>
        </w:rPr>
      </w:pPr>
      <w:r w:rsidRPr="00C11869">
        <w:rPr>
          <w:rFonts w:ascii="Arial" w:hAnsi="Arial"/>
          <w:color w:val="000000"/>
          <w:sz w:val="24"/>
          <w:szCs w:val="24"/>
        </w:rPr>
        <w:t>[54</w:t>
      </w:r>
      <w:r w:rsidR="00B96890" w:rsidRPr="00C11869">
        <w:rPr>
          <w:rFonts w:ascii="Arial" w:hAnsi="Arial"/>
          <w:color w:val="000000"/>
          <w:sz w:val="24"/>
          <w:szCs w:val="24"/>
        </w:rPr>
        <w:t>]</w:t>
      </w:r>
      <w:r w:rsidR="00B96890" w:rsidRPr="00C11869">
        <w:rPr>
          <w:rFonts w:ascii="Arial" w:hAnsi="Arial"/>
          <w:color w:val="000000"/>
          <w:sz w:val="24"/>
          <w:szCs w:val="24"/>
        </w:rPr>
        <w:tab/>
      </w:r>
      <w:r w:rsidR="00AC53B1" w:rsidRPr="00C11869">
        <w:rPr>
          <w:rFonts w:ascii="Arial" w:eastAsia="Times New Roman" w:hAnsi="Arial"/>
          <w:color w:val="000000"/>
          <w:sz w:val="24"/>
          <w:szCs w:val="24"/>
        </w:rPr>
        <w:t>The application for a property preservation order is indeed</w:t>
      </w:r>
      <w:r w:rsidR="00B425C4" w:rsidRPr="00C11869">
        <w:rPr>
          <w:rFonts w:ascii="Arial" w:eastAsia="Times New Roman" w:hAnsi="Arial"/>
          <w:color w:val="000000"/>
          <w:sz w:val="24"/>
          <w:szCs w:val="24"/>
        </w:rPr>
        <w:t xml:space="preserve"> </w:t>
      </w:r>
      <w:r w:rsidR="00AC53B1" w:rsidRPr="00C11869">
        <w:rPr>
          <w:rFonts w:ascii="Arial" w:eastAsia="Times New Roman" w:hAnsi="Arial"/>
          <w:i/>
          <w:iCs/>
          <w:color w:val="000000"/>
          <w:sz w:val="24"/>
          <w:szCs w:val="24"/>
        </w:rPr>
        <w:t>ex parte</w:t>
      </w:r>
      <w:r w:rsidR="00B425C4" w:rsidRPr="00C11869">
        <w:rPr>
          <w:rFonts w:ascii="Arial" w:eastAsia="Times New Roman" w:hAnsi="Arial"/>
          <w:i/>
          <w:iCs/>
          <w:color w:val="000000"/>
          <w:sz w:val="24"/>
          <w:szCs w:val="24"/>
        </w:rPr>
        <w:t xml:space="preserve"> </w:t>
      </w:r>
      <w:r w:rsidR="00AC53B1" w:rsidRPr="00C11869">
        <w:rPr>
          <w:rFonts w:ascii="Arial" w:eastAsia="Times New Roman" w:hAnsi="Arial"/>
          <w:color w:val="000000"/>
          <w:sz w:val="24"/>
          <w:szCs w:val="24"/>
        </w:rPr>
        <w:t>as was held in </w:t>
      </w:r>
      <w:r w:rsidR="00AC53B1" w:rsidRPr="00C11869">
        <w:rPr>
          <w:rFonts w:ascii="Arial" w:eastAsia="Times New Roman" w:hAnsi="Arial"/>
          <w:i/>
          <w:iCs/>
          <w:color w:val="000000"/>
          <w:sz w:val="24"/>
          <w:szCs w:val="24"/>
        </w:rPr>
        <w:t>Uuyuni</w:t>
      </w:r>
      <w:r w:rsidR="00AC53B1" w:rsidRPr="00C11869">
        <w:rPr>
          <w:rFonts w:ascii="Arial" w:eastAsia="Times New Roman" w:hAnsi="Arial"/>
          <w:color w:val="000000"/>
          <w:sz w:val="24"/>
          <w:szCs w:val="24"/>
        </w:rPr>
        <w:t>. It therefore requires no notice to be given to any person nor with the addiction of any evidence from any person as it lacks a responding party. Following</w:t>
      </w:r>
      <w:r w:rsidR="00B425C4" w:rsidRPr="00C11869">
        <w:rPr>
          <w:rFonts w:ascii="Arial" w:eastAsia="Times New Roman" w:hAnsi="Arial"/>
          <w:color w:val="000000"/>
          <w:sz w:val="24"/>
          <w:szCs w:val="24"/>
        </w:rPr>
        <w:t xml:space="preserve"> </w:t>
      </w:r>
      <w:r w:rsidR="00AC53B1" w:rsidRPr="00C11869">
        <w:rPr>
          <w:rFonts w:ascii="Arial" w:eastAsia="Times New Roman" w:hAnsi="Arial"/>
          <w:i/>
          <w:iCs/>
          <w:color w:val="000000"/>
          <w:sz w:val="24"/>
          <w:szCs w:val="24"/>
        </w:rPr>
        <w:t>Uuyuni</w:t>
      </w:r>
      <w:r w:rsidR="00AC53B1" w:rsidRPr="00C11869">
        <w:rPr>
          <w:rFonts w:ascii="Arial" w:eastAsia="Times New Roman" w:hAnsi="Arial"/>
          <w:color w:val="000000"/>
          <w:sz w:val="24"/>
          <w:szCs w:val="24"/>
        </w:rPr>
        <w:t>, the High Court is therefore obliged to grant the order once the statutory requirements in s 51(2) have been met. </w:t>
      </w:r>
    </w:p>
    <w:p w:rsidR="004E06C7" w:rsidRPr="006A2BB3" w:rsidRDefault="004E06C7" w:rsidP="006A2BB3">
      <w:pPr>
        <w:spacing w:after="0" w:line="480" w:lineRule="auto"/>
        <w:ind w:left="360"/>
        <w:jc w:val="both"/>
        <w:rPr>
          <w:rFonts w:ascii="Arial" w:hAnsi="Arial"/>
          <w:sz w:val="24"/>
          <w:szCs w:val="24"/>
        </w:rPr>
      </w:pPr>
    </w:p>
    <w:p w:rsidR="00B96890" w:rsidRPr="00C11869" w:rsidRDefault="003125D7" w:rsidP="006A2BB3">
      <w:pPr>
        <w:spacing w:after="0" w:line="480" w:lineRule="auto"/>
        <w:jc w:val="both"/>
        <w:rPr>
          <w:rFonts w:ascii="Arial" w:hAnsi="Arial"/>
          <w:color w:val="000000"/>
          <w:sz w:val="24"/>
          <w:szCs w:val="24"/>
        </w:rPr>
      </w:pPr>
      <w:r w:rsidRPr="00C11869">
        <w:rPr>
          <w:rFonts w:ascii="Arial" w:hAnsi="Arial"/>
          <w:color w:val="000000"/>
          <w:sz w:val="24"/>
          <w:szCs w:val="24"/>
        </w:rPr>
        <w:t>[55</w:t>
      </w:r>
      <w:r w:rsidR="00AC53B1" w:rsidRPr="00C11869">
        <w:rPr>
          <w:rFonts w:ascii="Arial" w:hAnsi="Arial"/>
          <w:color w:val="000000"/>
          <w:sz w:val="24"/>
          <w:szCs w:val="24"/>
        </w:rPr>
        <w:t>]</w:t>
      </w:r>
      <w:r w:rsidR="00AC53B1" w:rsidRPr="00C11869">
        <w:rPr>
          <w:rFonts w:ascii="Arial" w:hAnsi="Arial"/>
          <w:color w:val="000000"/>
          <w:sz w:val="24"/>
          <w:szCs w:val="24"/>
        </w:rPr>
        <w:tab/>
      </w:r>
      <w:r w:rsidR="00B96890" w:rsidRPr="00C11869">
        <w:rPr>
          <w:rFonts w:ascii="Arial" w:hAnsi="Arial"/>
          <w:color w:val="000000"/>
          <w:sz w:val="24"/>
          <w:szCs w:val="24"/>
        </w:rPr>
        <w:t xml:space="preserve"> </w:t>
      </w:r>
      <w:r w:rsidR="00AC53B1" w:rsidRPr="00C11869">
        <w:rPr>
          <w:rFonts w:ascii="Arial" w:eastAsia="Times New Roman" w:hAnsi="Arial"/>
          <w:color w:val="000000"/>
          <w:sz w:val="24"/>
          <w:szCs w:val="24"/>
        </w:rPr>
        <w:t>It follows therefore that when s 91(1) of the POCA provides that applications under s</w:t>
      </w:r>
      <w:r w:rsidR="00B425C4" w:rsidRPr="00C11869">
        <w:rPr>
          <w:rFonts w:ascii="Arial" w:eastAsia="Times New Roman" w:hAnsi="Arial"/>
          <w:color w:val="000000"/>
          <w:sz w:val="24"/>
          <w:szCs w:val="24"/>
        </w:rPr>
        <w:t>s</w:t>
      </w:r>
      <w:r w:rsidR="00AC53B1" w:rsidRPr="00C11869">
        <w:rPr>
          <w:rFonts w:ascii="Arial" w:eastAsia="Times New Roman" w:hAnsi="Arial"/>
          <w:color w:val="000000"/>
          <w:sz w:val="24"/>
          <w:szCs w:val="24"/>
        </w:rPr>
        <w:t xml:space="preserve"> 25, 43, 51, 59 and 64 must be made </w:t>
      </w:r>
      <w:r w:rsidR="00B425C4" w:rsidRPr="00C11869">
        <w:rPr>
          <w:rFonts w:ascii="Arial" w:eastAsia="Times New Roman" w:hAnsi="Arial"/>
          <w:color w:val="000000"/>
          <w:sz w:val="24"/>
          <w:szCs w:val="24"/>
        </w:rPr>
        <w:t>'</w:t>
      </w:r>
      <w:r w:rsidR="00AC53B1" w:rsidRPr="00C11869">
        <w:rPr>
          <w:rFonts w:ascii="Arial" w:eastAsia="Times New Roman" w:hAnsi="Arial"/>
          <w:color w:val="000000"/>
          <w:sz w:val="24"/>
          <w:szCs w:val="24"/>
        </w:rPr>
        <w:t>in the prescribed manner</w:t>
      </w:r>
      <w:r w:rsidR="00B425C4" w:rsidRPr="00C11869">
        <w:rPr>
          <w:rFonts w:ascii="Arial" w:eastAsia="Times New Roman" w:hAnsi="Arial"/>
          <w:color w:val="000000"/>
          <w:sz w:val="24"/>
          <w:szCs w:val="24"/>
        </w:rPr>
        <w:t>'</w:t>
      </w:r>
      <w:r w:rsidR="0000327A" w:rsidRPr="00C11869">
        <w:rPr>
          <w:rFonts w:ascii="Arial" w:eastAsia="Times New Roman" w:hAnsi="Arial"/>
          <w:color w:val="000000"/>
          <w:sz w:val="24"/>
          <w:szCs w:val="24"/>
        </w:rPr>
        <w:t>,</w:t>
      </w:r>
      <w:r w:rsidR="00AC53B1" w:rsidRPr="00C11869">
        <w:rPr>
          <w:rFonts w:ascii="Arial" w:eastAsia="Times New Roman" w:hAnsi="Arial"/>
          <w:color w:val="000000"/>
          <w:sz w:val="24"/>
          <w:szCs w:val="24"/>
        </w:rPr>
        <w:t xml:space="preserve"> reference </w:t>
      </w:r>
      <w:r w:rsidR="00B425C4" w:rsidRPr="00C11869">
        <w:rPr>
          <w:rFonts w:ascii="Arial" w:eastAsia="Times New Roman" w:hAnsi="Arial"/>
          <w:color w:val="000000"/>
          <w:sz w:val="24"/>
          <w:szCs w:val="24"/>
        </w:rPr>
        <w:t>is to</w:t>
      </w:r>
      <w:r w:rsidR="00AC53B1" w:rsidRPr="00C11869">
        <w:rPr>
          <w:rFonts w:ascii="Arial" w:eastAsia="Times New Roman" w:hAnsi="Arial"/>
          <w:color w:val="000000"/>
          <w:sz w:val="24"/>
          <w:szCs w:val="24"/>
        </w:rPr>
        <w:t xml:space="preserve"> the seven-day notice in </w:t>
      </w:r>
      <w:r w:rsidR="00B425C4" w:rsidRPr="00C11869">
        <w:rPr>
          <w:rFonts w:ascii="Arial" w:eastAsia="Times New Roman" w:hAnsi="Arial"/>
          <w:color w:val="000000"/>
          <w:sz w:val="24"/>
          <w:szCs w:val="24"/>
        </w:rPr>
        <w:t>r</w:t>
      </w:r>
      <w:r w:rsidR="00AC53B1" w:rsidRPr="00C11869">
        <w:rPr>
          <w:rFonts w:ascii="Arial" w:eastAsia="Times New Roman" w:hAnsi="Arial"/>
          <w:color w:val="000000"/>
          <w:sz w:val="24"/>
          <w:szCs w:val="24"/>
        </w:rPr>
        <w:t xml:space="preserve">eg 7(b). The Regulation therefore makes it peremptory that notice of seven days be given to a respondent and any other person who might require service unless the High Court grants leave for shorter notice. However, the </w:t>
      </w:r>
      <w:r w:rsidR="00B425C4" w:rsidRPr="00C11869">
        <w:rPr>
          <w:rFonts w:ascii="Arial" w:eastAsia="Times New Roman" w:hAnsi="Arial"/>
          <w:color w:val="000000"/>
          <w:sz w:val="24"/>
          <w:szCs w:val="24"/>
        </w:rPr>
        <w:t>r</w:t>
      </w:r>
      <w:r w:rsidR="00AC53B1" w:rsidRPr="00C11869">
        <w:rPr>
          <w:rFonts w:ascii="Arial" w:eastAsia="Times New Roman" w:hAnsi="Arial"/>
          <w:color w:val="000000"/>
          <w:sz w:val="24"/>
          <w:szCs w:val="24"/>
        </w:rPr>
        <w:t>egulation cannot be interpreted</w:t>
      </w:r>
      <w:r w:rsidR="0073105E" w:rsidRPr="00C11869">
        <w:rPr>
          <w:rFonts w:ascii="Arial" w:eastAsia="Times New Roman" w:hAnsi="Arial"/>
          <w:color w:val="000000"/>
          <w:sz w:val="24"/>
          <w:szCs w:val="24"/>
        </w:rPr>
        <w:t xml:space="preserve"> to apply i</w:t>
      </w:r>
      <w:r w:rsidR="00AC53B1" w:rsidRPr="00C11869">
        <w:rPr>
          <w:rFonts w:ascii="Arial" w:eastAsia="Times New Roman" w:hAnsi="Arial"/>
          <w:color w:val="000000"/>
          <w:sz w:val="24"/>
          <w:szCs w:val="24"/>
        </w:rPr>
        <w:t>n the case of a s 51(2) application because</w:t>
      </w:r>
      <w:r w:rsidR="0000327A" w:rsidRPr="00C11869">
        <w:rPr>
          <w:rFonts w:ascii="Arial" w:eastAsia="Times New Roman" w:hAnsi="Arial"/>
          <w:color w:val="000000"/>
          <w:sz w:val="24"/>
          <w:szCs w:val="24"/>
        </w:rPr>
        <w:t>,</w:t>
      </w:r>
      <w:r w:rsidR="00AC53B1" w:rsidRPr="00C11869">
        <w:rPr>
          <w:rFonts w:ascii="Arial" w:eastAsia="Times New Roman" w:hAnsi="Arial"/>
          <w:color w:val="000000"/>
          <w:sz w:val="24"/>
          <w:szCs w:val="24"/>
        </w:rPr>
        <w:t xml:space="preserve"> in accordance to the </w:t>
      </w:r>
      <w:r w:rsidR="00AC53B1" w:rsidRPr="00C11869">
        <w:rPr>
          <w:rFonts w:ascii="Arial" w:eastAsia="Times New Roman" w:hAnsi="Arial"/>
          <w:i/>
          <w:color w:val="000000"/>
          <w:sz w:val="24"/>
          <w:szCs w:val="24"/>
        </w:rPr>
        <w:t>dictum</w:t>
      </w:r>
      <w:r w:rsidR="00AC53B1" w:rsidRPr="00C11869">
        <w:rPr>
          <w:rFonts w:ascii="Arial" w:eastAsia="Times New Roman" w:hAnsi="Arial"/>
          <w:color w:val="000000"/>
          <w:sz w:val="24"/>
          <w:szCs w:val="24"/>
        </w:rPr>
        <w:t xml:space="preserve"> in </w:t>
      </w:r>
      <w:r w:rsidR="00AC53B1" w:rsidRPr="00C11869">
        <w:rPr>
          <w:rFonts w:ascii="Arial" w:eastAsia="Times New Roman" w:hAnsi="Arial"/>
          <w:i/>
          <w:iCs/>
          <w:color w:val="000000"/>
          <w:sz w:val="24"/>
          <w:szCs w:val="24"/>
        </w:rPr>
        <w:t>Uuyuni</w:t>
      </w:r>
      <w:r w:rsidR="00D27DD5">
        <w:rPr>
          <w:rFonts w:ascii="Arial" w:eastAsia="Times New Roman" w:hAnsi="Arial"/>
          <w:i/>
          <w:iCs/>
          <w:color w:val="000000"/>
          <w:sz w:val="24"/>
          <w:szCs w:val="24"/>
        </w:rPr>
        <w:t>,</w:t>
      </w:r>
      <w:r w:rsidR="00AC53B1" w:rsidRPr="00C11869">
        <w:rPr>
          <w:rFonts w:ascii="Arial" w:eastAsia="Times New Roman" w:hAnsi="Arial"/>
          <w:i/>
          <w:iCs/>
          <w:color w:val="000000"/>
          <w:sz w:val="24"/>
          <w:szCs w:val="24"/>
        </w:rPr>
        <w:t> </w:t>
      </w:r>
      <w:r w:rsidR="00583E61" w:rsidRPr="00C11869">
        <w:rPr>
          <w:rFonts w:ascii="Arial" w:eastAsia="Times New Roman" w:hAnsi="Arial"/>
          <w:color w:val="000000"/>
          <w:sz w:val="24"/>
          <w:szCs w:val="24"/>
        </w:rPr>
        <w:t>it is settled that</w:t>
      </w:r>
      <w:r w:rsidR="00AC53B1" w:rsidRPr="00C11869">
        <w:rPr>
          <w:rFonts w:ascii="Arial" w:eastAsia="Times New Roman" w:hAnsi="Arial"/>
          <w:color w:val="000000"/>
          <w:sz w:val="24"/>
          <w:szCs w:val="24"/>
        </w:rPr>
        <w:t xml:space="preserve"> the latter applications are </w:t>
      </w:r>
      <w:r w:rsidR="00AC53B1" w:rsidRPr="00C11869">
        <w:rPr>
          <w:rFonts w:ascii="Arial" w:eastAsia="Times New Roman" w:hAnsi="Arial"/>
          <w:i/>
          <w:iCs/>
          <w:color w:val="000000"/>
          <w:sz w:val="24"/>
          <w:szCs w:val="24"/>
        </w:rPr>
        <w:t>ex parte </w:t>
      </w:r>
      <w:r w:rsidR="00AC53B1" w:rsidRPr="00C11869">
        <w:rPr>
          <w:rFonts w:ascii="Arial" w:eastAsia="Times New Roman" w:hAnsi="Arial"/>
          <w:color w:val="000000"/>
          <w:sz w:val="24"/>
          <w:szCs w:val="24"/>
        </w:rPr>
        <w:t>which by definition have no respondents.</w:t>
      </w:r>
    </w:p>
    <w:p w:rsidR="009E1CFD" w:rsidRPr="00C11869" w:rsidRDefault="009E1CFD" w:rsidP="006A2BB3">
      <w:pPr>
        <w:spacing w:after="0" w:line="480" w:lineRule="auto"/>
        <w:ind w:left="360"/>
        <w:jc w:val="both"/>
        <w:rPr>
          <w:rFonts w:ascii="Arial" w:hAnsi="Arial"/>
          <w:color w:val="000000"/>
          <w:sz w:val="24"/>
          <w:szCs w:val="24"/>
        </w:rPr>
      </w:pPr>
    </w:p>
    <w:p w:rsidR="00AE5E4F" w:rsidRPr="006A2BB3" w:rsidRDefault="003125D7" w:rsidP="006A2BB3">
      <w:pPr>
        <w:spacing w:after="0" w:line="480" w:lineRule="auto"/>
        <w:jc w:val="both"/>
        <w:rPr>
          <w:rFonts w:ascii="Arial" w:hAnsi="Arial"/>
          <w:sz w:val="24"/>
          <w:szCs w:val="24"/>
        </w:rPr>
      </w:pPr>
      <w:r w:rsidRPr="006A2BB3">
        <w:rPr>
          <w:rFonts w:ascii="Arial" w:hAnsi="Arial"/>
          <w:sz w:val="24"/>
          <w:szCs w:val="24"/>
        </w:rPr>
        <w:t>[56</w:t>
      </w:r>
      <w:r w:rsidR="00AE5E4F" w:rsidRPr="006A2BB3">
        <w:rPr>
          <w:rFonts w:ascii="Arial" w:hAnsi="Arial"/>
          <w:sz w:val="24"/>
          <w:szCs w:val="24"/>
        </w:rPr>
        <w:t>]</w:t>
      </w:r>
      <w:r w:rsidR="00AE5E4F" w:rsidRPr="006A2BB3">
        <w:rPr>
          <w:rFonts w:ascii="Arial" w:hAnsi="Arial"/>
          <w:sz w:val="24"/>
          <w:szCs w:val="24"/>
        </w:rPr>
        <w:tab/>
        <w:t>Making a submission in opposition, the r</w:t>
      </w:r>
      <w:r w:rsidR="00D57B2C" w:rsidRPr="006A2BB3">
        <w:rPr>
          <w:rFonts w:ascii="Arial" w:hAnsi="Arial"/>
          <w:sz w:val="24"/>
          <w:szCs w:val="24"/>
        </w:rPr>
        <w:t>espondent makes the point that</w:t>
      </w:r>
      <w:r w:rsidR="00D27DD5">
        <w:rPr>
          <w:rFonts w:ascii="Arial" w:hAnsi="Arial"/>
          <w:sz w:val="24"/>
          <w:szCs w:val="24"/>
        </w:rPr>
        <w:t xml:space="preserve"> </w:t>
      </w:r>
      <w:r w:rsidR="00D57B2C" w:rsidRPr="006A2BB3">
        <w:rPr>
          <w:rFonts w:ascii="Arial" w:hAnsi="Arial"/>
          <w:sz w:val="24"/>
          <w:szCs w:val="24"/>
        </w:rPr>
        <w:t xml:space="preserve"> </w:t>
      </w:r>
      <w:r w:rsidR="0000327A">
        <w:rPr>
          <w:rFonts w:ascii="Arial" w:hAnsi="Arial"/>
          <w:sz w:val="24"/>
          <w:szCs w:val="24"/>
        </w:rPr>
        <w:t>r</w:t>
      </w:r>
      <w:r w:rsidR="00AE5E4F" w:rsidRPr="006A2BB3">
        <w:rPr>
          <w:rFonts w:ascii="Arial" w:hAnsi="Arial"/>
          <w:sz w:val="24"/>
          <w:szCs w:val="24"/>
        </w:rPr>
        <w:t xml:space="preserve">eg 7, which is prescribed under s 91, requires </w:t>
      </w:r>
      <w:r w:rsidR="00D57B2C" w:rsidRPr="006A2BB3">
        <w:rPr>
          <w:rFonts w:ascii="Arial" w:hAnsi="Arial"/>
          <w:sz w:val="24"/>
          <w:szCs w:val="24"/>
        </w:rPr>
        <w:t xml:space="preserve">the seven-day </w:t>
      </w:r>
      <w:r w:rsidR="00AE5E4F" w:rsidRPr="006A2BB3">
        <w:rPr>
          <w:rFonts w:ascii="Arial" w:hAnsi="Arial"/>
          <w:sz w:val="24"/>
          <w:szCs w:val="24"/>
        </w:rPr>
        <w:t xml:space="preserve">notice to be given not only to the respondent in </w:t>
      </w:r>
      <w:r w:rsidR="00D57B2C" w:rsidRPr="006A2BB3">
        <w:rPr>
          <w:rFonts w:ascii="Arial" w:hAnsi="Arial"/>
          <w:sz w:val="24"/>
          <w:szCs w:val="24"/>
        </w:rPr>
        <w:t>a s 51(2) application</w:t>
      </w:r>
      <w:r w:rsidR="0000327A">
        <w:rPr>
          <w:rFonts w:ascii="Arial" w:hAnsi="Arial"/>
          <w:sz w:val="24"/>
          <w:szCs w:val="24"/>
        </w:rPr>
        <w:t>,</w:t>
      </w:r>
      <w:r w:rsidR="00D57B2C" w:rsidRPr="006A2BB3">
        <w:rPr>
          <w:rFonts w:ascii="Arial" w:hAnsi="Arial"/>
          <w:sz w:val="24"/>
          <w:szCs w:val="24"/>
        </w:rPr>
        <w:t xml:space="preserve"> </w:t>
      </w:r>
      <w:r w:rsidR="00AE5E4F" w:rsidRPr="006A2BB3">
        <w:rPr>
          <w:rFonts w:ascii="Arial" w:hAnsi="Arial"/>
          <w:sz w:val="24"/>
          <w:szCs w:val="24"/>
        </w:rPr>
        <w:t xml:space="preserve">but also to any other person affected or identified as </w:t>
      </w:r>
      <w:r w:rsidR="00D57B2C" w:rsidRPr="006A2BB3">
        <w:rPr>
          <w:rFonts w:ascii="Arial" w:hAnsi="Arial"/>
          <w:sz w:val="24"/>
          <w:szCs w:val="24"/>
        </w:rPr>
        <w:t xml:space="preserve">a </w:t>
      </w:r>
      <w:r w:rsidR="00AE5E4F" w:rsidRPr="006A2BB3">
        <w:rPr>
          <w:rFonts w:ascii="Arial" w:hAnsi="Arial"/>
          <w:sz w:val="24"/>
          <w:szCs w:val="24"/>
        </w:rPr>
        <w:t xml:space="preserve">party. Should this </w:t>
      </w:r>
      <w:r w:rsidR="0000327A">
        <w:rPr>
          <w:rFonts w:ascii="Arial" w:hAnsi="Arial"/>
          <w:sz w:val="24"/>
          <w:szCs w:val="24"/>
        </w:rPr>
        <w:t>c</w:t>
      </w:r>
      <w:r w:rsidR="00AE5E4F" w:rsidRPr="006A2BB3">
        <w:rPr>
          <w:rFonts w:ascii="Arial" w:hAnsi="Arial"/>
          <w:sz w:val="24"/>
          <w:szCs w:val="24"/>
        </w:rPr>
        <w:t xml:space="preserve">ourt adopt the interpretation advanced by the PG, the argument goes, the provisions of </w:t>
      </w:r>
      <w:r w:rsidR="00096E42">
        <w:rPr>
          <w:rFonts w:ascii="Arial" w:hAnsi="Arial"/>
          <w:sz w:val="24"/>
          <w:szCs w:val="24"/>
        </w:rPr>
        <w:t xml:space="preserve"> </w:t>
      </w:r>
      <w:r w:rsidR="00AE5E4F" w:rsidRPr="006A2BB3">
        <w:rPr>
          <w:rFonts w:ascii="Arial" w:hAnsi="Arial"/>
          <w:sz w:val="24"/>
          <w:szCs w:val="24"/>
        </w:rPr>
        <w:t xml:space="preserve">s </w:t>
      </w:r>
      <w:r w:rsidR="00096E42">
        <w:rPr>
          <w:rFonts w:ascii="Arial" w:hAnsi="Arial"/>
          <w:sz w:val="24"/>
          <w:szCs w:val="24"/>
        </w:rPr>
        <w:t xml:space="preserve"> </w:t>
      </w:r>
      <w:r w:rsidR="00AE5E4F" w:rsidRPr="006A2BB3">
        <w:rPr>
          <w:rFonts w:ascii="Arial" w:hAnsi="Arial"/>
          <w:sz w:val="24"/>
          <w:szCs w:val="24"/>
        </w:rPr>
        <w:t xml:space="preserve">91 </w:t>
      </w:r>
      <w:r w:rsidR="00096E42">
        <w:rPr>
          <w:rFonts w:ascii="Arial" w:hAnsi="Arial"/>
          <w:sz w:val="24"/>
          <w:szCs w:val="24"/>
        </w:rPr>
        <w:t xml:space="preserve"> </w:t>
      </w:r>
      <w:r w:rsidR="00AE5E4F" w:rsidRPr="006A2BB3">
        <w:rPr>
          <w:rFonts w:ascii="Arial" w:hAnsi="Arial"/>
          <w:sz w:val="24"/>
          <w:szCs w:val="24"/>
        </w:rPr>
        <w:t>which</w:t>
      </w:r>
      <w:r w:rsidR="00096E42">
        <w:rPr>
          <w:rFonts w:ascii="Arial" w:hAnsi="Arial"/>
          <w:sz w:val="24"/>
          <w:szCs w:val="24"/>
        </w:rPr>
        <w:t xml:space="preserve"> </w:t>
      </w:r>
      <w:r w:rsidR="00AE5E4F" w:rsidRPr="006A2BB3">
        <w:rPr>
          <w:rFonts w:ascii="Arial" w:hAnsi="Arial"/>
          <w:sz w:val="24"/>
          <w:szCs w:val="24"/>
        </w:rPr>
        <w:t xml:space="preserve"> requires</w:t>
      </w:r>
      <w:r w:rsidR="00096E42">
        <w:rPr>
          <w:rFonts w:ascii="Arial" w:hAnsi="Arial"/>
          <w:sz w:val="24"/>
          <w:szCs w:val="24"/>
        </w:rPr>
        <w:t xml:space="preserve"> </w:t>
      </w:r>
      <w:r w:rsidR="00AE5E4F" w:rsidRPr="006A2BB3">
        <w:rPr>
          <w:rFonts w:ascii="Arial" w:hAnsi="Arial"/>
          <w:sz w:val="24"/>
          <w:szCs w:val="24"/>
        </w:rPr>
        <w:t xml:space="preserve"> s 51(2) applications to be made in a </w:t>
      </w:r>
      <w:r w:rsidR="0000327A">
        <w:rPr>
          <w:rFonts w:ascii="Arial" w:hAnsi="Arial"/>
          <w:sz w:val="24"/>
          <w:szCs w:val="24"/>
        </w:rPr>
        <w:t>'</w:t>
      </w:r>
      <w:r w:rsidR="00AE5E4F" w:rsidRPr="006A2BB3">
        <w:rPr>
          <w:rFonts w:ascii="Arial" w:hAnsi="Arial"/>
          <w:sz w:val="24"/>
          <w:szCs w:val="24"/>
        </w:rPr>
        <w:t>prescribed manner</w:t>
      </w:r>
      <w:r w:rsidR="0000327A">
        <w:rPr>
          <w:rFonts w:ascii="Arial" w:hAnsi="Arial"/>
          <w:sz w:val="24"/>
          <w:szCs w:val="24"/>
        </w:rPr>
        <w:t>'</w:t>
      </w:r>
      <w:r w:rsidR="00AE5E4F" w:rsidRPr="006A2BB3">
        <w:rPr>
          <w:rFonts w:ascii="Arial" w:hAnsi="Arial"/>
          <w:sz w:val="24"/>
          <w:szCs w:val="24"/>
        </w:rPr>
        <w:t xml:space="preserve"> would be rendered superfluous. </w:t>
      </w:r>
    </w:p>
    <w:p w:rsidR="009E1CFD" w:rsidRPr="006A2BB3" w:rsidRDefault="009E1CFD" w:rsidP="006A2BB3">
      <w:pPr>
        <w:spacing w:after="0" w:line="480" w:lineRule="auto"/>
        <w:ind w:left="360"/>
        <w:jc w:val="both"/>
        <w:rPr>
          <w:rFonts w:ascii="Arial" w:hAnsi="Arial"/>
          <w:sz w:val="24"/>
          <w:szCs w:val="24"/>
        </w:rPr>
      </w:pPr>
    </w:p>
    <w:p w:rsidR="00AE5E4F" w:rsidRPr="006A2BB3" w:rsidRDefault="003125D7" w:rsidP="006A2BB3">
      <w:pPr>
        <w:spacing w:after="0" w:line="480" w:lineRule="auto"/>
        <w:jc w:val="both"/>
        <w:rPr>
          <w:rFonts w:ascii="Arial" w:hAnsi="Arial"/>
          <w:sz w:val="24"/>
          <w:szCs w:val="24"/>
        </w:rPr>
      </w:pPr>
      <w:r w:rsidRPr="006A2BB3">
        <w:rPr>
          <w:rFonts w:ascii="Arial" w:hAnsi="Arial"/>
          <w:sz w:val="24"/>
          <w:szCs w:val="24"/>
        </w:rPr>
        <w:t>[57</w:t>
      </w:r>
      <w:r w:rsidR="00AE5E4F" w:rsidRPr="006A2BB3">
        <w:rPr>
          <w:rFonts w:ascii="Arial" w:hAnsi="Arial"/>
          <w:sz w:val="24"/>
          <w:szCs w:val="24"/>
        </w:rPr>
        <w:t>]</w:t>
      </w:r>
      <w:r w:rsidR="00AE5E4F" w:rsidRPr="006A2BB3">
        <w:rPr>
          <w:rFonts w:ascii="Arial" w:hAnsi="Arial"/>
          <w:sz w:val="24"/>
          <w:szCs w:val="24"/>
        </w:rPr>
        <w:tab/>
        <w:t>The PG’s contention</w:t>
      </w:r>
      <w:r w:rsidR="0000327A">
        <w:rPr>
          <w:rFonts w:ascii="Arial" w:hAnsi="Arial"/>
          <w:sz w:val="24"/>
          <w:szCs w:val="24"/>
        </w:rPr>
        <w:t>,</w:t>
      </w:r>
      <w:r w:rsidR="00AE5E4F" w:rsidRPr="006A2BB3">
        <w:rPr>
          <w:rFonts w:ascii="Arial" w:hAnsi="Arial"/>
          <w:sz w:val="24"/>
          <w:szCs w:val="24"/>
        </w:rPr>
        <w:t xml:space="preserve"> however, is that based on </w:t>
      </w:r>
      <w:r w:rsidR="009F605C" w:rsidRPr="006A2BB3">
        <w:rPr>
          <w:rFonts w:ascii="Arial" w:hAnsi="Arial"/>
          <w:i/>
          <w:sz w:val="24"/>
          <w:szCs w:val="24"/>
        </w:rPr>
        <w:t>Uuyuni</w:t>
      </w:r>
      <w:r w:rsidR="00AE5E4F" w:rsidRPr="006A2BB3">
        <w:rPr>
          <w:rFonts w:ascii="Arial" w:hAnsi="Arial"/>
          <w:sz w:val="24"/>
          <w:szCs w:val="24"/>
        </w:rPr>
        <w:t xml:space="preserve">, the application for a property preservation order must be made </w:t>
      </w:r>
      <w:r w:rsidR="00AE5E4F" w:rsidRPr="006A2BB3">
        <w:rPr>
          <w:rFonts w:ascii="Arial" w:hAnsi="Arial"/>
          <w:i/>
          <w:sz w:val="24"/>
          <w:szCs w:val="24"/>
        </w:rPr>
        <w:t>ex parte</w:t>
      </w:r>
      <w:r w:rsidR="00AE5E4F" w:rsidRPr="006A2BB3">
        <w:rPr>
          <w:rFonts w:ascii="Arial" w:hAnsi="Arial"/>
          <w:sz w:val="24"/>
          <w:szCs w:val="24"/>
        </w:rPr>
        <w:t xml:space="preserve">, where, by definition, there is no respondent. </w:t>
      </w:r>
    </w:p>
    <w:p w:rsidR="009E1CFD" w:rsidRPr="006A2BB3" w:rsidRDefault="009E1CFD" w:rsidP="006A2BB3">
      <w:pPr>
        <w:spacing w:after="0" w:line="480" w:lineRule="auto"/>
        <w:ind w:left="360"/>
        <w:jc w:val="both"/>
        <w:rPr>
          <w:rFonts w:ascii="Arial" w:hAnsi="Arial"/>
          <w:sz w:val="24"/>
          <w:szCs w:val="24"/>
        </w:rPr>
      </w:pPr>
    </w:p>
    <w:p w:rsidR="00AC53B1" w:rsidRPr="006A2BB3" w:rsidRDefault="003125D7" w:rsidP="006A2BB3">
      <w:pPr>
        <w:spacing w:after="0" w:line="480" w:lineRule="auto"/>
        <w:jc w:val="both"/>
        <w:rPr>
          <w:rFonts w:ascii="Arial" w:hAnsi="Arial"/>
          <w:sz w:val="24"/>
          <w:szCs w:val="24"/>
        </w:rPr>
      </w:pPr>
      <w:r w:rsidRPr="006A2BB3">
        <w:rPr>
          <w:rFonts w:ascii="Arial" w:hAnsi="Arial"/>
          <w:sz w:val="24"/>
          <w:szCs w:val="24"/>
        </w:rPr>
        <w:t>[58</w:t>
      </w:r>
      <w:r w:rsidR="00AE5E4F" w:rsidRPr="006A2BB3">
        <w:rPr>
          <w:rFonts w:ascii="Arial" w:hAnsi="Arial"/>
          <w:sz w:val="24"/>
          <w:szCs w:val="24"/>
        </w:rPr>
        <w:t>]</w:t>
      </w:r>
      <w:r w:rsidR="00AE5E4F" w:rsidRPr="006A2BB3">
        <w:rPr>
          <w:rFonts w:ascii="Arial" w:hAnsi="Arial"/>
          <w:sz w:val="24"/>
          <w:szCs w:val="24"/>
        </w:rPr>
        <w:tab/>
      </w:r>
      <w:r w:rsidR="00AC53B1" w:rsidRPr="006A2BB3">
        <w:rPr>
          <w:rFonts w:ascii="Arial" w:hAnsi="Arial"/>
          <w:sz w:val="24"/>
          <w:szCs w:val="24"/>
        </w:rPr>
        <w:t>Following the decision in </w:t>
      </w:r>
      <w:r w:rsidR="00AC53B1" w:rsidRPr="006A2BB3">
        <w:rPr>
          <w:rFonts w:ascii="Arial" w:hAnsi="Arial"/>
          <w:i/>
          <w:sz w:val="24"/>
          <w:szCs w:val="24"/>
        </w:rPr>
        <w:t>Uuyuni</w:t>
      </w:r>
      <w:r w:rsidR="00AC53B1" w:rsidRPr="006A2BB3">
        <w:rPr>
          <w:rFonts w:ascii="Arial" w:hAnsi="Arial"/>
          <w:sz w:val="24"/>
          <w:szCs w:val="24"/>
        </w:rPr>
        <w:t>, the approach to the interpretation of the relationship between s</w:t>
      </w:r>
      <w:r w:rsidR="0000327A">
        <w:rPr>
          <w:rFonts w:ascii="Arial" w:hAnsi="Arial"/>
          <w:sz w:val="24"/>
          <w:szCs w:val="24"/>
        </w:rPr>
        <w:t>s</w:t>
      </w:r>
      <w:r w:rsidR="00AC53B1" w:rsidRPr="006A2BB3">
        <w:rPr>
          <w:rFonts w:ascii="Arial" w:hAnsi="Arial"/>
          <w:sz w:val="24"/>
          <w:szCs w:val="24"/>
        </w:rPr>
        <w:t xml:space="preserve"> 51(2), 91(2) and </w:t>
      </w:r>
      <w:r w:rsidR="0000327A">
        <w:rPr>
          <w:rFonts w:ascii="Arial" w:hAnsi="Arial"/>
          <w:sz w:val="24"/>
          <w:szCs w:val="24"/>
        </w:rPr>
        <w:t>r</w:t>
      </w:r>
      <w:r w:rsidR="00AC53B1" w:rsidRPr="006A2BB3">
        <w:rPr>
          <w:rFonts w:ascii="Arial" w:hAnsi="Arial"/>
          <w:sz w:val="24"/>
          <w:szCs w:val="24"/>
        </w:rPr>
        <w:t xml:space="preserve">eg 7(b) should indeed be that the </w:t>
      </w:r>
      <w:r w:rsidR="0000327A">
        <w:rPr>
          <w:rFonts w:ascii="Arial" w:hAnsi="Arial"/>
          <w:sz w:val="24"/>
          <w:szCs w:val="24"/>
        </w:rPr>
        <w:t>r</w:t>
      </w:r>
      <w:r w:rsidR="00AC53B1" w:rsidRPr="006A2BB3">
        <w:rPr>
          <w:rFonts w:ascii="Arial" w:hAnsi="Arial"/>
          <w:sz w:val="24"/>
          <w:szCs w:val="24"/>
        </w:rPr>
        <w:t>egulation shall not be interpreted to apply in the case of the s 51(2) application. The reasoning that in order to approach the court </w:t>
      </w:r>
      <w:r w:rsidR="00AC53B1" w:rsidRPr="006A2BB3">
        <w:rPr>
          <w:rFonts w:ascii="Arial" w:hAnsi="Arial"/>
          <w:i/>
          <w:sz w:val="24"/>
          <w:szCs w:val="24"/>
        </w:rPr>
        <w:t>ex parte </w:t>
      </w:r>
      <w:r w:rsidR="00AC53B1" w:rsidRPr="006A2BB3">
        <w:rPr>
          <w:rFonts w:ascii="Arial" w:hAnsi="Arial"/>
          <w:sz w:val="24"/>
          <w:szCs w:val="24"/>
        </w:rPr>
        <w:t xml:space="preserve">it was imperative for the PG to invoke the provisions of s 91(2), referred in </w:t>
      </w:r>
      <w:r w:rsidR="0000327A">
        <w:rPr>
          <w:rFonts w:ascii="Arial" w:hAnsi="Arial"/>
          <w:sz w:val="24"/>
          <w:szCs w:val="24"/>
        </w:rPr>
        <w:t>r</w:t>
      </w:r>
      <w:r w:rsidR="00AC53B1" w:rsidRPr="006A2BB3">
        <w:rPr>
          <w:rFonts w:ascii="Arial" w:hAnsi="Arial"/>
          <w:sz w:val="24"/>
          <w:szCs w:val="24"/>
        </w:rPr>
        <w:t>eg 7(b), cannot be correct. If that interpretation is correct it would indeed follow that the </w:t>
      </w:r>
      <w:r w:rsidR="00AC53B1" w:rsidRPr="0000327A">
        <w:rPr>
          <w:rFonts w:ascii="Arial" w:hAnsi="Arial"/>
          <w:i/>
          <w:sz w:val="24"/>
          <w:szCs w:val="24"/>
        </w:rPr>
        <w:t xml:space="preserve">ex </w:t>
      </w:r>
      <w:r w:rsidR="00096E42" w:rsidRPr="0000327A">
        <w:rPr>
          <w:rFonts w:ascii="Arial" w:hAnsi="Arial"/>
          <w:i/>
          <w:sz w:val="24"/>
          <w:szCs w:val="24"/>
        </w:rPr>
        <w:t>parte</w:t>
      </w:r>
      <w:r w:rsidR="00096E42" w:rsidRPr="006A2BB3">
        <w:rPr>
          <w:rFonts w:ascii="Arial" w:hAnsi="Arial"/>
          <w:sz w:val="24"/>
          <w:szCs w:val="24"/>
        </w:rPr>
        <w:t xml:space="preserve"> application</w:t>
      </w:r>
      <w:r w:rsidR="00AC53B1" w:rsidRPr="006A2BB3">
        <w:rPr>
          <w:rFonts w:ascii="Arial" w:hAnsi="Arial"/>
          <w:sz w:val="24"/>
          <w:szCs w:val="24"/>
        </w:rPr>
        <w:t xml:space="preserve"> would have to be provided for in s 91 and not in the current s 51(2). That would be in direct conflict with the </w:t>
      </w:r>
      <w:r w:rsidR="00AC53B1" w:rsidRPr="0000327A">
        <w:rPr>
          <w:rFonts w:ascii="Arial" w:hAnsi="Arial"/>
          <w:i/>
          <w:sz w:val="24"/>
          <w:szCs w:val="24"/>
        </w:rPr>
        <w:t>dictum</w:t>
      </w:r>
      <w:r w:rsidR="00AC53B1" w:rsidRPr="006A2BB3">
        <w:rPr>
          <w:rFonts w:ascii="Arial" w:hAnsi="Arial"/>
          <w:sz w:val="24"/>
          <w:szCs w:val="24"/>
        </w:rPr>
        <w:t xml:space="preserve"> in </w:t>
      </w:r>
      <w:r w:rsidR="00AC53B1" w:rsidRPr="006A2BB3">
        <w:rPr>
          <w:rFonts w:ascii="Arial" w:hAnsi="Arial"/>
          <w:i/>
          <w:sz w:val="24"/>
          <w:szCs w:val="24"/>
        </w:rPr>
        <w:t>Uuyuni</w:t>
      </w:r>
      <w:r w:rsidR="00AC53B1" w:rsidRPr="006A2BB3">
        <w:rPr>
          <w:rFonts w:ascii="Arial" w:hAnsi="Arial"/>
          <w:sz w:val="24"/>
          <w:szCs w:val="24"/>
        </w:rPr>
        <w:t xml:space="preserve">  which remains the authority regarding the </w:t>
      </w:r>
      <w:r w:rsidR="00AC53B1" w:rsidRPr="006A2BB3">
        <w:rPr>
          <w:rFonts w:ascii="Arial" w:hAnsi="Arial"/>
          <w:i/>
          <w:sz w:val="24"/>
          <w:szCs w:val="24"/>
        </w:rPr>
        <w:t>ex parte </w:t>
      </w:r>
      <w:r w:rsidR="00AC53B1" w:rsidRPr="006A2BB3">
        <w:rPr>
          <w:rFonts w:ascii="Arial" w:hAnsi="Arial"/>
          <w:sz w:val="24"/>
          <w:szCs w:val="24"/>
        </w:rPr>
        <w:t>nature of the application for a property preservation order in terms of</w:t>
      </w:r>
      <w:r w:rsidR="00096E42">
        <w:rPr>
          <w:rFonts w:ascii="Arial" w:hAnsi="Arial"/>
          <w:sz w:val="24"/>
          <w:szCs w:val="24"/>
        </w:rPr>
        <w:t xml:space="preserve"> </w:t>
      </w:r>
      <w:r w:rsidR="00AC53B1" w:rsidRPr="006A2BB3">
        <w:rPr>
          <w:rFonts w:ascii="Arial" w:hAnsi="Arial"/>
          <w:sz w:val="24"/>
          <w:szCs w:val="24"/>
        </w:rPr>
        <w:t xml:space="preserve"> s 51(2) of the POCA. Besides, that interpretation would render s 51(2) superfluous.</w:t>
      </w:r>
      <w:r w:rsidR="00AC53B1" w:rsidRPr="006A2BB3">
        <w:rPr>
          <w:rStyle w:val="FootnoteReference"/>
          <w:rFonts w:ascii="Arial" w:hAnsi="Arial"/>
          <w:sz w:val="24"/>
          <w:szCs w:val="24"/>
        </w:rPr>
        <w:footnoteReference w:id="15"/>
      </w:r>
      <w:r w:rsidR="00AC53B1" w:rsidRPr="006A2BB3">
        <w:rPr>
          <w:rFonts w:ascii="Arial" w:hAnsi="Arial"/>
          <w:sz w:val="24"/>
          <w:szCs w:val="24"/>
        </w:rPr>
        <w:t xml:space="preserve">  </w:t>
      </w:r>
    </w:p>
    <w:p w:rsidR="009E1CFD" w:rsidRPr="006A2BB3" w:rsidRDefault="009E1CFD" w:rsidP="006A2BB3">
      <w:pPr>
        <w:spacing w:after="0" w:line="480" w:lineRule="auto"/>
        <w:ind w:left="360"/>
        <w:jc w:val="both"/>
        <w:rPr>
          <w:rFonts w:ascii="Arial" w:hAnsi="Arial"/>
          <w:sz w:val="24"/>
          <w:szCs w:val="24"/>
        </w:rPr>
      </w:pPr>
    </w:p>
    <w:p w:rsidR="00AC53B1" w:rsidRPr="006A2BB3" w:rsidRDefault="003125D7" w:rsidP="006A2BB3">
      <w:pPr>
        <w:spacing w:after="0" w:line="480" w:lineRule="auto"/>
        <w:jc w:val="both"/>
        <w:rPr>
          <w:rFonts w:ascii="Arial" w:hAnsi="Arial"/>
          <w:sz w:val="24"/>
          <w:szCs w:val="24"/>
        </w:rPr>
      </w:pPr>
      <w:r w:rsidRPr="006A2BB3">
        <w:rPr>
          <w:rFonts w:ascii="Arial" w:hAnsi="Arial"/>
          <w:sz w:val="24"/>
          <w:szCs w:val="24"/>
        </w:rPr>
        <w:t>[59</w:t>
      </w:r>
      <w:r w:rsidR="00AE5E4F" w:rsidRPr="006A2BB3">
        <w:rPr>
          <w:rFonts w:ascii="Arial" w:hAnsi="Arial"/>
          <w:sz w:val="24"/>
          <w:szCs w:val="24"/>
        </w:rPr>
        <w:t>]</w:t>
      </w:r>
      <w:r w:rsidR="00AE5E4F" w:rsidRPr="006A2BB3">
        <w:rPr>
          <w:rFonts w:ascii="Arial" w:hAnsi="Arial"/>
          <w:sz w:val="24"/>
          <w:szCs w:val="24"/>
        </w:rPr>
        <w:tab/>
      </w:r>
      <w:r w:rsidR="00AC53B1" w:rsidRPr="006A2BB3">
        <w:rPr>
          <w:rFonts w:ascii="Arial" w:hAnsi="Arial"/>
          <w:sz w:val="24"/>
          <w:szCs w:val="24"/>
        </w:rPr>
        <w:t xml:space="preserve">This purposive and holistic approach to the interpretation of the relationship between s 51(2) and </w:t>
      </w:r>
      <w:r w:rsidR="006F083A">
        <w:rPr>
          <w:rFonts w:ascii="Arial" w:hAnsi="Arial"/>
          <w:sz w:val="24"/>
          <w:szCs w:val="24"/>
        </w:rPr>
        <w:t>r</w:t>
      </w:r>
      <w:r w:rsidR="00AC53B1" w:rsidRPr="006A2BB3">
        <w:rPr>
          <w:rFonts w:ascii="Arial" w:hAnsi="Arial"/>
          <w:sz w:val="24"/>
          <w:szCs w:val="24"/>
        </w:rPr>
        <w:t>eg 7(b) is motivated by the objectives and the social context of the POCA. In</w:t>
      </w:r>
      <w:r w:rsidR="00B059F5" w:rsidRPr="006A2BB3">
        <w:rPr>
          <w:rFonts w:ascii="Arial" w:hAnsi="Arial"/>
          <w:sz w:val="24"/>
          <w:szCs w:val="24"/>
        </w:rPr>
        <w:t xml:space="preserve"> </w:t>
      </w:r>
      <w:r w:rsidR="009C51E9" w:rsidRPr="009C51E9">
        <w:rPr>
          <w:rFonts w:ascii="Arial" w:hAnsi="Arial"/>
          <w:i/>
          <w:sz w:val="24"/>
          <w:szCs w:val="24"/>
        </w:rPr>
        <w:t>National Director of Public Prosecuti</w:t>
      </w:r>
      <w:r w:rsidR="009C51E9">
        <w:rPr>
          <w:rFonts w:ascii="Arial" w:hAnsi="Arial"/>
          <w:i/>
          <w:sz w:val="24"/>
          <w:szCs w:val="24"/>
        </w:rPr>
        <w:t>ons &amp; another v Mohamed NO &amp;</w:t>
      </w:r>
      <w:r w:rsidR="006D3935">
        <w:rPr>
          <w:rFonts w:ascii="Arial" w:hAnsi="Arial"/>
          <w:i/>
          <w:sz w:val="24"/>
          <w:szCs w:val="24"/>
        </w:rPr>
        <w:t xml:space="preserve"> o</w:t>
      </w:r>
      <w:r w:rsidR="009C51E9" w:rsidRPr="009C51E9">
        <w:rPr>
          <w:rFonts w:ascii="Arial" w:hAnsi="Arial"/>
          <w:i/>
          <w:sz w:val="24"/>
          <w:szCs w:val="24"/>
        </w:rPr>
        <w:t>thers</w:t>
      </w:r>
      <w:r w:rsidR="00AC53B1" w:rsidRPr="006A2BB3">
        <w:rPr>
          <w:rFonts w:ascii="Arial" w:hAnsi="Arial"/>
          <w:sz w:val="24"/>
          <w:szCs w:val="24"/>
        </w:rPr>
        <w:t xml:space="preserve">, the </w:t>
      </w:r>
      <w:r w:rsidR="006F083A">
        <w:rPr>
          <w:rFonts w:ascii="Arial" w:hAnsi="Arial"/>
          <w:sz w:val="24"/>
          <w:szCs w:val="24"/>
        </w:rPr>
        <w:t xml:space="preserve">South African </w:t>
      </w:r>
      <w:r w:rsidR="00AC53B1" w:rsidRPr="006A2BB3">
        <w:rPr>
          <w:rFonts w:ascii="Arial" w:hAnsi="Arial"/>
          <w:sz w:val="24"/>
          <w:szCs w:val="24"/>
        </w:rPr>
        <w:t>Constitutional Court highlighted the serious and grave security threat that the growth of crime including organi</w:t>
      </w:r>
      <w:r w:rsidR="006F083A">
        <w:rPr>
          <w:rFonts w:ascii="Arial" w:hAnsi="Arial"/>
          <w:sz w:val="24"/>
          <w:szCs w:val="24"/>
        </w:rPr>
        <w:t>s</w:t>
      </w:r>
      <w:r w:rsidR="00AC53B1" w:rsidRPr="006A2BB3">
        <w:rPr>
          <w:rFonts w:ascii="Arial" w:hAnsi="Arial"/>
          <w:sz w:val="24"/>
          <w:szCs w:val="24"/>
        </w:rPr>
        <w:t>ed crime, money laundering and racketeering have become almost impossible to solve world-wide given their covert nature.</w:t>
      </w:r>
      <w:r w:rsidR="00B059F5" w:rsidRPr="006A2BB3">
        <w:rPr>
          <w:rStyle w:val="FootnoteReference"/>
          <w:rFonts w:ascii="Arial" w:hAnsi="Arial"/>
          <w:sz w:val="24"/>
          <w:szCs w:val="24"/>
        </w:rPr>
        <w:footnoteReference w:id="16"/>
      </w:r>
      <w:r w:rsidR="00AC53B1" w:rsidRPr="006A2BB3">
        <w:rPr>
          <w:rFonts w:ascii="Arial" w:hAnsi="Arial"/>
          <w:sz w:val="24"/>
          <w:szCs w:val="24"/>
        </w:rPr>
        <w:t xml:space="preserve"> This state of affairs tended to overwhelm the efficacy of South Africa's statutory law and common law which both lag</w:t>
      </w:r>
      <w:r w:rsidR="00583E61" w:rsidRPr="006A2BB3">
        <w:rPr>
          <w:rFonts w:ascii="Arial" w:hAnsi="Arial"/>
          <w:sz w:val="24"/>
          <w:szCs w:val="24"/>
        </w:rPr>
        <w:t>ged</w:t>
      </w:r>
      <w:r w:rsidR="00AC53B1" w:rsidRPr="006A2BB3">
        <w:rPr>
          <w:rFonts w:ascii="Arial" w:hAnsi="Arial"/>
          <w:sz w:val="24"/>
          <w:szCs w:val="24"/>
        </w:rPr>
        <w:t xml:space="preserve"> far behind contemporary international measures specifically aimed at dealing effectively with those security challenges.</w:t>
      </w:r>
    </w:p>
    <w:p w:rsidR="005C082C" w:rsidRPr="006A2BB3" w:rsidRDefault="005C082C" w:rsidP="006A2BB3">
      <w:pPr>
        <w:spacing w:after="0" w:line="480" w:lineRule="auto"/>
        <w:jc w:val="both"/>
        <w:rPr>
          <w:rFonts w:ascii="Arial" w:hAnsi="Arial"/>
          <w:sz w:val="24"/>
          <w:szCs w:val="24"/>
        </w:rPr>
      </w:pPr>
    </w:p>
    <w:p w:rsidR="0029537C" w:rsidRPr="006A2BB3" w:rsidRDefault="003125D7" w:rsidP="006A2BB3">
      <w:pPr>
        <w:spacing w:after="0" w:line="480" w:lineRule="auto"/>
        <w:jc w:val="both"/>
        <w:rPr>
          <w:rFonts w:ascii="Arial" w:hAnsi="Arial"/>
          <w:sz w:val="24"/>
          <w:szCs w:val="24"/>
        </w:rPr>
      </w:pPr>
      <w:r w:rsidRPr="006A2BB3">
        <w:rPr>
          <w:rFonts w:ascii="Arial" w:hAnsi="Arial"/>
          <w:sz w:val="24"/>
          <w:szCs w:val="24"/>
        </w:rPr>
        <w:t>[60</w:t>
      </w:r>
      <w:r w:rsidR="005C082C" w:rsidRPr="006A2BB3">
        <w:rPr>
          <w:rFonts w:ascii="Arial" w:hAnsi="Arial"/>
          <w:sz w:val="24"/>
          <w:szCs w:val="24"/>
        </w:rPr>
        <w:t>]</w:t>
      </w:r>
      <w:r w:rsidR="005C082C" w:rsidRPr="006A2BB3">
        <w:rPr>
          <w:rFonts w:ascii="Arial" w:hAnsi="Arial"/>
          <w:sz w:val="24"/>
          <w:szCs w:val="24"/>
        </w:rPr>
        <w:tab/>
      </w:r>
      <w:r w:rsidR="0073105E" w:rsidRPr="006A2BB3">
        <w:rPr>
          <w:rFonts w:ascii="Arial" w:hAnsi="Arial"/>
          <w:sz w:val="24"/>
          <w:szCs w:val="24"/>
        </w:rPr>
        <w:t>The respondent’s point</w:t>
      </w:r>
      <w:r w:rsidR="0029537C" w:rsidRPr="006A2BB3">
        <w:rPr>
          <w:rFonts w:ascii="Arial" w:hAnsi="Arial"/>
          <w:sz w:val="24"/>
          <w:szCs w:val="24"/>
        </w:rPr>
        <w:t xml:space="preserve"> would also elevate the subordinate legislative status of </w:t>
      </w:r>
      <w:r w:rsidR="006F083A">
        <w:rPr>
          <w:rFonts w:ascii="Arial" w:hAnsi="Arial"/>
          <w:sz w:val="24"/>
          <w:szCs w:val="24"/>
        </w:rPr>
        <w:t>r</w:t>
      </w:r>
      <w:r w:rsidR="0029537C" w:rsidRPr="006A2BB3">
        <w:rPr>
          <w:rFonts w:ascii="Arial" w:hAnsi="Arial"/>
          <w:sz w:val="24"/>
          <w:szCs w:val="24"/>
        </w:rPr>
        <w:t xml:space="preserve">eg 7(b) equal to that of s 51(2), </w:t>
      </w:r>
      <w:r w:rsidR="005C082C" w:rsidRPr="006A2BB3">
        <w:rPr>
          <w:rFonts w:ascii="Arial" w:hAnsi="Arial"/>
          <w:sz w:val="24"/>
          <w:szCs w:val="24"/>
        </w:rPr>
        <w:t xml:space="preserve">which is </w:t>
      </w:r>
      <w:r w:rsidR="0029537C" w:rsidRPr="006A2BB3">
        <w:rPr>
          <w:rFonts w:ascii="Arial" w:hAnsi="Arial"/>
          <w:sz w:val="24"/>
          <w:szCs w:val="24"/>
        </w:rPr>
        <w:t>an enabling section of the POCA. It</w:t>
      </w:r>
      <w:r w:rsidR="003027DF" w:rsidRPr="006A2BB3">
        <w:rPr>
          <w:rFonts w:ascii="Arial" w:hAnsi="Arial"/>
          <w:sz w:val="24"/>
          <w:szCs w:val="24"/>
        </w:rPr>
        <w:t xml:space="preserve"> would indeed be contrary to a basic principle</w:t>
      </w:r>
      <w:r w:rsidR="0029537C" w:rsidRPr="006A2BB3">
        <w:rPr>
          <w:rFonts w:ascii="Arial" w:hAnsi="Arial"/>
          <w:sz w:val="24"/>
          <w:szCs w:val="24"/>
        </w:rPr>
        <w:t xml:space="preserve"> of the</w:t>
      </w:r>
      <w:r w:rsidR="006F083A">
        <w:rPr>
          <w:rFonts w:ascii="Arial" w:hAnsi="Arial"/>
          <w:sz w:val="24"/>
          <w:szCs w:val="24"/>
        </w:rPr>
        <w:t xml:space="preserve"> statutory</w:t>
      </w:r>
      <w:r w:rsidR="0029537C" w:rsidRPr="006A2BB3">
        <w:rPr>
          <w:rFonts w:ascii="Arial" w:hAnsi="Arial"/>
          <w:sz w:val="24"/>
          <w:szCs w:val="24"/>
        </w:rPr>
        <w:t xml:space="preserve"> </w:t>
      </w:r>
      <w:r w:rsidR="00096E42" w:rsidRPr="006A2BB3">
        <w:rPr>
          <w:rFonts w:ascii="Arial" w:hAnsi="Arial"/>
          <w:sz w:val="24"/>
          <w:szCs w:val="24"/>
        </w:rPr>
        <w:t>interpretation,</w:t>
      </w:r>
      <w:r w:rsidR="0029537C" w:rsidRPr="006A2BB3">
        <w:rPr>
          <w:rFonts w:ascii="Arial" w:hAnsi="Arial"/>
          <w:sz w:val="24"/>
          <w:szCs w:val="24"/>
        </w:rPr>
        <w:t xml:space="preserve"> requiring that, where reasonably possible, regulations must be given an interpretation that renders them valid as against the enabling section of an Act. The principle thus requires that an interpretation which preserves the validity of </w:t>
      </w:r>
      <w:r w:rsidR="00616D3A">
        <w:rPr>
          <w:rFonts w:ascii="Arial" w:hAnsi="Arial"/>
          <w:sz w:val="24"/>
          <w:szCs w:val="24"/>
        </w:rPr>
        <w:t xml:space="preserve"> </w:t>
      </w:r>
      <w:r w:rsidR="006F083A">
        <w:rPr>
          <w:rFonts w:ascii="Arial" w:hAnsi="Arial"/>
          <w:sz w:val="24"/>
          <w:szCs w:val="24"/>
        </w:rPr>
        <w:t>r</w:t>
      </w:r>
      <w:r w:rsidR="0029537C" w:rsidRPr="006A2BB3">
        <w:rPr>
          <w:rFonts w:ascii="Arial" w:hAnsi="Arial"/>
          <w:sz w:val="24"/>
          <w:szCs w:val="24"/>
        </w:rPr>
        <w:t>eg 7(b) must be preferred</w:t>
      </w:r>
      <w:r w:rsidR="009C5B7C" w:rsidRPr="006A2BB3">
        <w:rPr>
          <w:rFonts w:ascii="Arial" w:hAnsi="Arial"/>
          <w:sz w:val="24"/>
          <w:szCs w:val="24"/>
        </w:rPr>
        <w:t>.</w:t>
      </w:r>
      <w:r w:rsidR="0029537C" w:rsidRPr="006A2BB3">
        <w:rPr>
          <w:rFonts w:ascii="Arial" w:hAnsi="Arial"/>
          <w:sz w:val="24"/>
          <w:szCs w:val="24"/>
          <w:vertAlign w:val="superscript"/>
        </w:rPr>
        <w:footnoteReference w:id="17"/>
      </w:r>
      <w:r w:rsidR="0029537C" w:rsidRPr="006A2BB3">
        <w:rPr>
          <w:rFonts w:ascii="Arial" w:hAnsi="Arial"/>
          <w:sz w:val="24"/>
          <w:szCs w:val="24"/>
        </w:rPr>
        <w:t xml:space="preserve"> Thus, the interpretation proffered by the PG that </w:t>
      </w:r>
      <w:r w:rsidR="006F083A">
        <w:rPr>
          <w:rFonts w:ascii="Arial" w:hAnsi="Arial"/>
          <w:sz w:val="24"/>
          <w:szCs w:val="24"/>
        </w:rPr>
        <w:t>r</w:t>
      </w:r>
      <w:r w:rsidR="0029537C" w:rsidRPr="006A2BB3">
        <w:rPr>
          <w:rFonts w:ascii="Arial" w:hAnsi="Arial"/>
          <w:sz w:val="24"/>
          <w:szCs w:val="24"/>
        </w:rPr>
        <w:t>eg 7(b) which requires a s</w:t>
      </w:r>
      <w:r w:rsidR="005C082C" w:rsidRPr="006A2BB3">
        <w:rPr>
          <w:rFonts w:ascii="Arial" w:hAnsi="Arial"/>
          <w:sz w:val="24"/>
          <w:szCs w:val="24"/>
        </w:rPr>
        <w:t>even-</w:t>
      </w:r>
      <w:r w:rsidR="0029537C" w:rsidRPr="006A2BB3">
        <w:rPr>
          <w:rFonts w:ascii="Arial" w:hAnsi="Arial"/>
          <w:sz w:val="24"/>
          <w:szCs w:val="24"/>
        </w:rPr>
        <w:t>day notice to be given to a respondent does not apply in the case where a property preservation order under s 51(2) is sought, must therefore be correct. For that</w:t>
      </w:r>
      <w:r w:rsidR="00616D3A">
        <w:rPr>
          <w:rFonts w:ascii="Arial" w:hAnsi="Arial"/>
          <w:sz w:val="24"/>
          <w:szCs w:val="24"/>
        </w:rPr>
        <w:t xml:space="preserve"> </w:t>
      </w:r>
      <w:r w:rsidR="0029537C" w:rsidRPr="006A2BB3">
        <w:rPr>
          <w:rFonts w:ascii="Arial" w:hAnsi="Arial"/>
          <w:sz w:val="24"/>
          <w:szCs w:val="24"/>
        </w:rPr>
        <w:t xml:space="preserve"> reason, there</w:t>
      </w:r>
      <w:r w:rsidR="00616D3A">
        <w:rPr>
          <w:rFonts w:ascii="Arial" w:hAnsi="Arial"/>
          <w:sz w:val="24"/>
          <w:szCs w:val="24"/>
        </w:rPr>
        <w:t xml:space="preserve"> </w:t>
      </w:r>
      <w:r w:rsidR="0029537C" w:rsidRPr="006A2BB3">
        <w:rPr>
          <w:rFonts w:ascii="Arial" w:hAnsi="Arial"/>
          <w:sz w:val="24"/>
          <w:szCs w:val="24"/>
        </w:rPr>
        <w:t xml:space="preserve"> can</w:t>
      </w:r>
      <w:r w:rsidR="003027DF" w:rsidRPr="006A2BB3">
        <w:rPr>
          <w:rFonts w:ascii="Arial" w:hAnsi="Arial"/>
          <w:sz w:val="24"/>
          <w:szCs w:val="24"/>
        </w:rPr>
        <w:t xml:space="preserve"> indeed</w:t>
      </w:r>
      <w:r w:rsidR="0029537C" w:rsidRPr="006A2BB3">
        <w:rPr>
          <w:rFonts w:ascii="Arial" w:hAnsi="Arial"/>
          <w:sz w:val="24"/>
          <w:szCs w:val="24"/>
        </w:rPr>
        <w:t xml:space="preserve"> be </w:t>
      </w:r>
      <w:r w:rsidR="00616D3A">
        <w:rPr>
          <w:rFonts w:ascii="Arial" w:hAnsi="Arial"/>
          <w:sz w:val="24"/>
          <w:szCs w:val="24"/>
        </w:rPr>
        <w:t xml:space="preserve"> </w:t>
      </w:r>
      <w:r w:rsidR="0029537C" w:rsidRPr="006A2BB3">
        <w:rPr>
          <w:rFonts w:ascii="Arial" w:hAnsi="Arial"/>
          <w:sz w:val="24"/>
          <w:szCs w:val="24"/>
        </w:rPr>
        <w:t xml:space="preserve">no </w:t>
      </w:r>
      <w:r w:rsidR="00616D3A">
        <w:rPr>
          <w:rFonts w:ascii="Arial" w:hAnsi="Arial"/>
          <w:sz w:val="24"/>
          <w:szCs w:val="24"/>
        </w:rPr>
        <w:t xml:space="preserve"> </w:t>
      </w:r>
      <w:r w:rsidR="0029537C" w:rsidRPr="006A2BB3">
        <w:rPr>
          <w:rFonts w:ascii="Arial" w:hAnsi="Arial"/>
          <w:sz w:val="24"/>
          <w:szCs w:val="24"/>
        </w:rPr>
        <w:t xml:space="preserve">conflict </w:t>
      </w:r>
      <w:r w:rsidR="00616D3A">
        <w:rPr>
          <w:rFonts w:ascii="Arial" w:hAnsi="Arial"/>
          <w:sz w:val="24"/>
          <w:szCs w:val="24"/>
        </w:rPr>
        <w:t xml:space="preserve"> </w:t>
      </w:r>
      <w:r w:rsidR="0029537C" w:rsidRPr="006A2BB3">
        <w:rPr>
          <w:rFonts w:ascii="Arial" w:hAnsi="Arial"/>
          <w:sz w:val="24"/>
          <w:szCs w:val="24"/>
        </w:rPr>
        <w:t xml:space="preserve">between </w:t>
      </w:r>
      <w:r w:rsidR="00616D3A">
        <w:rPr>
          <w:rFonts w:ascii="Arial" w:hAnsi="Arial"/>
          <w:sz w:val="24"/>
          <w:szCs w:val="24"/>
        </w:rPr>
        <w:t xml:space="preserve"> </w:t>
      </w:r>
      <w:r w:rsidR="0029537C" w:rsidRPr="006A2BB3">
        <w:rPr>
          <w:rFonts w:ascii="Arial" w:hAnsi="Arial"/>
          <w:sz w:val="24"/>
          <w:szCs w:val="24"/>
        </w:rPr>
        <w:t xml:space="preserve">s 51(2) and </w:t>
      </w:r>
      <w:r w:rsidR="006F083A">
        <w:rPr>
          <w:rFonts w:ascii="Arial" w:hAnsi="Arial"/>
          <w:sz w:val="24"/>
          <w:szCs w:val="24"/>
        </w:rPr>
        <w:t>r</w:t>
      </w:r>
      <w:r w:rsidR="0029537C" w:rsidRPr="006A2BB3">
        <w:rPr>
          <w:rFonts w:ascii="Arial" w:hAnsi="Arial"/>
          <w:sz w:val="24"/>
          <w:szCs w:val="24"/>
        </w:rPr>
        <w:t xml:space="preserve">eg 7(b). The validity of the </w:t>
      </w:r>
      <w:r w:rsidR="006F083A">
        <w:rPr>
          <w:rFonts w:ascii="Arial" w:hAnsi="Arial"/>
          <w:sz w:val="24"/>
          <w:szCs w:val="24"/>
        </w:rPr>
        <w:t>r</w:t>
      </w:r>
      <w:r w:rsidR="0029537C" w:rsidRPr="006A2BB3">
        <w:rPr>
          <w:rFonts w:ascii="Arial" w:hAnsi="Arial"/>
          <w:sz w:val="24"/>
          <w:szCs w:val="24"/>
        </w:rPr>
        <w:t>egulation</w:t>
      </w:r>
      <w:r w:rsidR="003027DF" w:rsidRPr="006A2BB3">
        <w:rPr>
          <w:rFonts w:ascii="Arial" w:hAnsi="Arial"/>
          <w:sz w:val="24"/>
          <w:szCs w:val="24"/>
        </w:rPr>
        <w:t xml:space="preserve"> must therefore remain intact and cannot </w:t>
      </w:r>
      <w:r w:rsidR="00413732">
        <w:rPr>
          <w:rFonts w:ascii="Arial" w:hAnsi="Arial"/>
          <w:sz w:val="24"/>
          <w:szCs w:val="24"/>
        </w:rPr>
        <w:t>here,</w:t>
      </w:r>
      <w:r w:rsidR="003027DF" w:rsidRPr="006A2BB3">
        <w:rPr>
          <w:rFonts w:ascii="Arial" w:hAnsi="Arial"/>
          <w:sz w:val="24"/>
          <w:szCs w:val="24"/>
        </w:rPr>
        <w:t xml:space="preserve"> be impugned.</w:t>
      </w:r>
    </w:p>
    <w:p w:rsidR="009E1CFD" w:rsidRPr="00C11869" w:rsidRDefault="009E1CFD" w:rsidP="006A2BB3">
      <w:pPr>
        <w:spacing w:after="0" w:line="480" w:lineRule="auto"/>
        <w:ind w:left="360"/>
        <w:jc w:val="both"/>
        <w:rPr>
          <w:rFonts w:ascii="Arial" w:hAnsi="Arial"/>
          <w:color w:val="000000"/>
          <w:sz w:val="24"/>
          <w:szCs w:val="24"/>
        </w:rPr>
      </w:pPr>
    </w:p>
    <w:p w:rsidR="0029537C" w:rsidRPr="00C11869" w:rsidRDefault="003125D7" w:rsidP="006A2BB3">
      <w:pPr>
        <w:spacing w:after="0" w:line="480" w:lineRule="auto"/>
        <w:jc w:val="both"/>
        <w:rPr>
          <w:rFonts w:ascii="Arial" w:hAnsi="Arial"/>
          <w:color w:val="000000"/>
          <w:sz w:val="24"/>
          <w:szCs w:val="24"/>
        </w:rPr>
      </w:pPr>
      <w:r w:rsidRPr="00C11869">
        <w:rPr>
          <w:rFonts w:ascii="Arial" w:hAnsi="Arial"/>
          <w:color w:val="000000"/>
          <w:sz w:val="24"/>
          <w:szCs w:val="24"/>
        </w:rPr>
        <w:t>[61</w:t>
      </w:r>
      <w:r w:rsidR="00AC53B1" w:rsidRPr="00C11869">
        <w:rPr>
          <w:rFonts w:ascii="Arial" w:hAnsi="Arial"/>
          <w:color w:val="000000"/>
          <w:sz w:val="24"/>
          <w:szCs w:val="24"/>
        </w:rPr>
        <w:t>]</w:t>
      </w:r>
      <w:r w:rsidR="00AC53B1" w:rsidRPr="00C11869">
        <w:rPr>
          <w:rFonts w:ascii="Arial" w:hAnsi="Arial"/>
          <w:color w:val="000000"/>
          <w:sz w:val="24"/>
          <w:szCs w:val="24"/>
        </w:rPr>
        <w:tab/>
        <w:t>The</w:t>
      </w:r>
      <w:r w:rsidR="000353C4" w:rsidRPr="00C11869">
        <w:rPr>
          <w:rFonts w:ascii="Arial" w:hAnsi="Arial"/>
          <w:color w:val="000000"/>
          <w:sz w:val="24"/>
          <w:szCs w:val="24"/>
        </w:rPr>
        <w:t xml:space="preserve"> </w:t>
      </w:r>
      <w:r w:rsidR="00AC53B1" w:rsidRPr="00C11869">
        <w:rPr>
          <w:rFonts w:ascii="Arial" w:eastAsia="Times New Roman" w:hAnsi="Arial"/>
          <w:color w:val="000000"/>
          <w:sz w:val="24"/>
          <w:szCs w:val="24"/>
        </w:rPr>
        <w:t xml:space="preserve">High Court's concern that the interpretation proffered by the PG would undermine the respondent's fair trial rights protected under common law and in </w:t>
      </w:r>
      <w:r w:rsidR="00E65771">
        <w:rPr>
          <w:rFonts w:ascii="Arial" w:eastAsia="Times New Roman" w:hAnsi="Arial"/>
          <w:color w:val="000000"/>
          <w:sz w:val="24"/>
          <w:szCs w:val="24"/>
        </w:rPr>
        <w:t xml:space="preserve"> </w:t>
      </w:r>
      <w:r w:rsidR="00AC53B1" w:rsidRPr="00C11869">
        <w:rPr>
          <w:rFonts w:ascii="Arial" w:eastAsia="Times New Roman" w:hAnsi="Arial"/>
          <w:color w:val="000000"/>
          <w:sz w:val="24"/>
          <w:szCs w:val="24"/>
        </w:rPr>
        <w:t xml:space="preserve">Art 12 of the </w:t>
      </w:r>
      <w:r w:rsidR="006F083A" w:rsidRPr="00C11869">
        <w:rPr>
          <w:rFonts w:ascii="Arial" w:eastAsia="Times New Roman" w:hAnsi="Arial"/>
          <w:color w:val="000000"/>
          <w:sz w:val="24"/>
          <w:szCs w:val="24"/>
        </w:rPr>
        <w:t xml:space="preserve">Namibian </w:t>
      </w:r>
      <w:r w:rsidR="00AC53B1" w:rsidRPr="00C11869">
        <w:rPr>
          <w:rFonts w:ascii="Arial" w:eastAsia="Times New Roman" w:hAnsi="Arial"/>
          <w:color w:val="000000"/>
          <w:sz w:val="24"/>
          <w:szCs w:val="24"/>
        </w:rPr>
        <w:t>Constitution was understandable. But the concern was not necessary at this stage of the processes created by the POCA</w:t>
      </w:r>
      <w:r w:rsidR="008706D3" w:rsidRPr="00C11869">
        <w:rPr>
          <w:rFonts w:ascii="Arial" w:eastAsia="Times New Roman" w:hAnsi="Arial"/>
          <w:color w:val="000000"/>
          <w:sz w:val="24"/>
          <w:szCs w:val="24"/>
        </w:rPr>
        <w:t>.</w:t>
      </w:r>
    </w:p>
    <w:p w:rsidR="009E1CFD" w:rsidRPr="00C11869" w:rsidRDefault="009E1CFD" w:rsidP="006A2BB3">
      <w:pPr>
        <w:spacing w:after="0" w:line="480" w:lineRule="auto"/>
        <w:ind w:left="360"/>
        <w:jc w:val="both"/>
        <w:rPr>
          <w:rFonts w:ascii="Arial" w:hAnsi="Arial"/>
          <w:color w:val="000000"/>
          <w:sz w:val="24"/>
          <w:szCs w:val="24"/>
        </w:rPr>
      </w:pPr>
    </w:p>
    <w:p w:rsidR="000353C4" w:rsidRPr="006A2BB3" w:rsidRDefault="003125D7" w:rsidP="006A2BB3">
      <w:pPr>
        <w:spacing w:after="0" w:line="480" w:lineRule="auto"/>
        <w:jc w:val="both"/>
        <w:rPr>
          <w:rFonts w:ascii="Arial" w:hAnsi="Arial"/>
          <w:sz w:val="24"/>
          <w:szCs w:val="24"/>
        </w:rPr>
      </w:pPr>
      <w:r w:rsidRPr="00C11869">
        <w:rPr>
          <w:rFonts w:ascii="Arial" w:hAnsi="Arial"/>
          <w:color w:val="000000"/>
          <w:sz w:val="24"/>
          <w:szCs w:val="24"/>
        </w:rPr>
        <w:t>[62</w:t>
      </w:r>
      <w:r w:rsidR="000353C4" w:rsidRPr="00C11869">
        <w:rPr>
          <w:rFonts w:ascii="Arial" w:hAnsi="Arial"/>
          <w:color w:val="000000"/>
          <w:sz w:val="24"/>
          <w:szCs w:val="24"/>
        </w:rPr>
        <w:t>]</w:t>
      </w:r>
      <w:r w:rsidR="000353C4" w:rsidRPr="00C11869">
        <w:rPr>
          <w:rFonts w:ascii="Arial" w:hAnsi="Arial"/>
          <w:color w:val="000000"/>
          <w:sz w:val="24"/>
          <w:szCs w:val="24"/>
        </w:rPr>
        <w:tab/>
        <w:t xml:space="preserve">In </w:t>
      </w:r>
      <w:r w:rsidR="000353C4" w:rsidRPr="00C11869">
        <w:rPr>
          <w:rFonts w:ascii="Arial" w:hAnsi="Arial"/>
          <w:i/>
          <w:color w:val="000000"/>
          <w:sz w:val="24"/>
          <w:szCs w:val="24"/>
        </w:rPr>
        <w:t>Shalli</w:t>
      </w:r>
      <w:r w:rsidR="00331524">
        <w:rPr>
          <w:rFonts w:ascii="Arial" w:hAnsi="Arial"/>
          <w:i/>
          <w:color w:val="000000"/>
          <w:sz w:val="24"/>
          <w:szCs w:val="24"/>
        </w:rPr>
        <w:t>,</w:t>
      </w:r>
      <w:r w:rsidR="000353C4" w:rsidRPr="00C11869">
        <w:rPr>
          <w:rFonts w:ascii="Arial" w:hAnsi="Arial"/>
          <w:color w:val="000000"/>
          <w:sz w:val="24"/>
          <w:szCs w:val="24"/>
          <w:vertAlign w:val="superscript"/>
        </w:rPr>
        <w:footnoteReference w:id="18"/>
      </w:r>
      <w:r w:rsidR="000353C4" w:rsidRPr="00C11869">
        <w:rPr>
          <w:rFonts w:ascii="Arial" w:hAnsi="Arial"/>
          <w:color w:val="000000"/>
          <w:sz w:val="24"/>
          <w:szCs w:val="24"/>
        </w:rPr>
        <w:t xml:space="preserve"> the court held that the fair trial rights of the affected party are not</w:t>
      </w:r>
      <w:r w:rsidR="003027DF" w:rsidRPr="00C11869">
        <w:rPr>
          <w:rFonts w:ascii="Arial" w:hAnsi="Arial"/>
          <w:color w:val="000000"/>
          <w:sz w:val="24"/>
          <w:szCs w:val="24"/>
        </w:rPr>
        <w:t xml:space="preserve"> inten</w:t>
      </w:r>
      <w:r w:rsidR="003027DF" w:rsidRPr="006A2BB3">
        <w:rPr>
          <w:rFonts w:ascii="Arial" w:hAnsi="Arial"/>
          <w:sz w:val="24"/>
          <w:szCs w:val="24"/>
        </w:rPr>
        <w:t>ded to be</w:t>
      </w:r>
      <w:r w:rsidR="000353C4" w:rsidRPr="006A2BB3">
        <w:rPr>
          <w:rFonts w:ascii="Arial" w:hAnsi="Arial"/>
          <w:sz w:val="24"/>
          <w:szCs w:val="24"/>
        </w:rPr>
        <w:t xml:space="preserve"> disposed</w:t>
      </w:r>
      <w:r w:rsidR="008706D3" w:rsidRPr="006A2BB3">
        <w:rPr>
          <w:rFonts w:ascii="Arial" w:hAnsi="Arial"/>
          <w:sz w:val="24"/>
          <w:szCs w:val="24"/>
        </w:rPr>
        <w:t xml:space="preserve"> of</w:t>
      </w:r>
      <w:r w:rsidR="000353C4" w:rsidRPr="006A2BB3">
        <w:rPr>
          <w:rFonts w:ascii="Arial" w:hAnsi="Arial"/>
          <w:sz w:val="24"/>
          <w:szCs w:val="24"/>
        </w:rPr>
        <w:t xml:space="preserve"> </w:t>
      </w:r>
      <w:r w:rsidR="008706D3" w:rsidRPr="006A2BB3">
        <w:rPr>
          <w:rFonts w:ascii="Arial" w:hAnsi="Arial"/>
          <w:sz w:val="24"/>
          <w:szCs w:val="24"/>
        </w:rPr>
        <w:t>in a s 51(2) application</w:t>
      </w:r>
      <w:r w:rsidR="000353C4" w:rsidRPr="006A2BB3">
        <w:rPr>
          <w:rFonts w:ascii="Arial" w:hAnsi="Arial"/>
          <w:sz w:val="24"/>
          <w:szCs w:val="24"/>
        </w:rPr>
        <w:t xml:space="preserve"> but are merely preserved. That is so, the court held, in view of the fact that an </w:t>
      </w:r>
      <w:r w:rsidR="000353C4" w:rsidRPr="006A2BB3">
        <w:rPr>
          <w:rFonts w:ascii="Arial" w:hAnsi="Arial"/>
          <w:i/>
          <w:sz w:val="24"/>
          <w:szCs w:val="24"/>
        </w:rPr>
        <w:t>ex parte</w:t>
      </w:r>
      <w:r w:rsidR="000353C4" w:rsidRPr="006A2BB3">
        <w:rPr>
          <w:rFonts w:ascii="Arial" w:hAnsi="Arial"/>
          <w:sz w:val="24"/>
          <w:szCs w:val="24"/>
        </w:rPr>
        <w:t xml:space="preserve"> order coupled with a </w:t>
      </w:r>
      <w:r w:rsidR="000353C4" w:rsidRPr="006A2BB3">
        <w:rPr>
          <w:rFonts w:ascii="Arial" w:hAnsi="Arial"/>
          <w:i/>
          <w:sz w:val="24"/>
          <w:szCs w:val="24"/>
        </w:rPr>
        <w:t>rule nisi</w:t>
      </w:r>
      <w:r w:rsidR="000353C4" w:rsidRPr="006A2BB3">
        <w:rPr>
          <w:rFonts w:ascii="Arial" w:hAnsi="Arial"/>
          <w:sz w:val="24"/>
          <w:szCs w:val="24"/>
        </w:rPr>
        <w:t xml:space="preserve"> is provisional and may still be</w:t>
      </w:r>
      <w:r w:rsidR="003027DF" w:rsidRPr="006A2BB3">
        <w:rPr>
          <w:rFonts w:ascii="Arial" w:hAnsi="Arial"/>
          <w:sz w:val="24"/>
          <w:szCs w:val="24"/>
        </w:rPr>
        <w:t xml:space="preserve"> set aside on the return date on</w:t>
      </w:r>
      <w:r w:rsidR="000353C4" w:rsidRPr="006A2BB3">
        <w:rPr>
          <w:rFonts w:ascii="Arial" w:hAnsi="Arial"/>
          <w:sz w:val="24"/>
          <w:szCs w:val="24"/>
        </w:rPr>
        <w:t xml:space="preserve"> application by those affected by the order, an approach also adopted by the Constitutional Court of South Africa in </w:t>
      </w:r>
      <w:r w:rsidR="000353C4" w:rsidRPr="006A2BB3">
        <w:rPr>
          <w:rFonts w:ascii="Arial" w:hAnsi="Arial"/>
          <w:i/>
          <w:sz w:val="24"/>
          <w:szCs w:val="24"/>
        </w:rPr>
        <w:t>NDPP v Mohamed</w:t>
      </w:r>
      <w:r w:rsidR="009C5B7C" w:rsidRPr="006A2BB3">
        <w:rPr>
          <w:rFonts w:ascii="Arial" w:hAnsi="Arial"/>
          <w:sz w:val="24"/>
          <w:szCs w:val="24"/>
        </w:rPr>
        <w:t>.</w:t>
      </w:r>
      <w:r w:rsidR="000353C4" w:rsidRPr="006A2BB3">
        <w:rPr>
          <w:rFonts w:ascii="Arial" w:hAnsi="Arial"/>
          <w:sz w:val="24"/>
          <w:szCs w:val="24"/>
          <w:vertAlign w:val="superscript"/>
        </w:rPr>
        <w:footnoteReference w:id="19"/>
      </w:r>
      <w:r w:rsidR="000353C4" w:rsidRPr="006A2BB3">
        <w:rPr>
          <w:rFonts w:ascii="Arial" w:hAnsi="Arial"/>
          <w:sz w:val="24"/>
          <w:szCs w:val="24"/>
          <w:vertAlign w:val="superscript"/>
        </w:rPr>
        <w:t xml:space="preserve"> </w:t>
      </w:r>
    </w:p>
    <w:p w:rsidR="000C124F" w:rsidRPr="006A2BB3" w:rsidRDefault="000C124F" w:rsidP="006A2BB3">
      <w:pPr>
        <w:spacing w:after="0" w:line="480" w:lineRule="auto"/>
        <w:jc w:val="both"/>
        <w:rPr>
          <w:rFonts w:ascii="Arial" w:hAnsi="Arial"/>
          <w:sz w:val="24"/>
          <w:szCs w:val="24"/>
        </w:rPr>
      </w:pPr>
    </w:p>
    <w:p w:rsidR="00F504C9" w:rsidRPr="006A2BB3" w:rsidRDefault="00F13237" w:rsidP="006A2BB3">
      <w:pPr>
        <w:tabs>
          <w:tab w:val="left" w:pos="0"/>
        </w:tabs>
        <w:spacing w:after="0" w:line="480" w:lineRule="auto"/>
        <w:jc w:val="both"/>
        <w:rPr>
          <w:rFonts w:ascii="Arial" w:hAnsi="Arial"/>
          <w:sz w:val="24"/>
          <w:szCs w:val="24"/>
        </w:rPr>
      </w:pPr>
      <w:r w:rsidRPr="006A2BB3">
        <w:rPr>
          <w:rFonts w:ascii="Arial" w:hAnsi="Arial"/>
          <w:sz w:val="24"/>
          <w:szCs w:val="24"/>
        </w:rPr>
        <w:t>[63</w:t>
      </w:r>
      <w:r w:rsidR="00F504C9" w:rsidRPr="006A2BB3">
        <w:rPr>
          <w:rFonts w:ascii="Arial" w:hAnsi="Arial"/>
          <w:sz w:val="24"/>
          <w:szCs w:val="24"/>
        </w:rPr>
        <w:t>]</w:t>
      </w:r>
      <w:r w:rsidR="00F504C9" w:rsidRPr="006A2BB3">
        <w:rPr>
          <w:rFonts w:ascii="Arial" w:hAnsi="Arial"/>
          <w:sz w:val="24"/>
          <w:szCs w:val="24"/>
        </w:rPr>
        <w:tab/>
        <w:t xml:space="preserve">The Court </w:t>
      </w:r>
      <w:r w:rsidR="00E665F8" w:rsidRPr="006A2BB3">
        <w:rPr>
          <w:rFonts w:ascii="Arial" w:hAnsi="Arial"/>
          <w:sz w:val="24"/>
          <w:szCs w:val="24"/>
        </w:rPr>
        <w:t xml:space="preserve">in the </w:t>
      </w:r>
      <w:r w:rsidR="00E665F8" w:rsidRPr="006A2BB3">
        <w:rPr>
          <w:rFonts w:ascii="Arial" w:hAnsi="Arial"/>
          <w:i/>
          <w:sz w:val="24"/>
          <w:szCs w:val="24"/>
        </w:rPr>
        <w:t>NDPP</w:t>
      </w:r>
      <w:r w:rsidR="00E665F8" w:rsidRPr="006A2BB3">
        <w:rPr>
          <w:rFonts w:ascii="Arial" w:hAnsi="Arial"/>
          <w:sz w:val="24"/>
          <w:szCs w:val="24"/>
        </w:rPr>
        <w:t xml:space="preserve"> </w:t>
      </w:r>
      <w:r w:rsidR="00E665F8" w:rsidRPr="006A2BB3">
        <w:rPr>
          <w:rFonts w:ascii="Arial" w:hAnsi="Arial"/>
          <w:i/>
          <w:sz w:val="24"/>
          <w:szCs w:val="24"/>
        </w:rPr>
        <w:t>v Mohammed</w:t>
      </w:r>
      <w:r w:rsidR="00E665F8" w:rsidRPr="006A2BB3">
        <w:rPr>
          <w:rFonts w:ascii="Arial" w:hAnsi="Arial"/>
          <w:sz w:val="24"/>
          <w:szCs w:val="24"/>
        </w:rPr>
        <w:t xml:space="preserve"> </w:t>
      </w:r>
      <w:r w:rsidR="00F504C9" w:rsidRPr="006A2BB3">
        <w:rPr>
          <w:rFonts w:ascii="Arial" w:hAnsi="Arial"/>
          <w:sz w:val="24"/>
          <w:szCs w:val="24"/>
        </w:rPr>
        <w:t>stated further</w:t>
      </w:r>
      <w:r w:rsidR="00E65771">
        <w:rPr>
          <w:rFonts w:ascii="Arial" w:hAnsi="Arial"/>
          <w:sz w:val="24"/>
          <w:szCs w:val="24"/>
        </w:rPr>
        <w:t>:</w:t>
      </w:r>
      <w:r w:rsidR="00B059F5" w:rsidRPr="006A2BB3">
        <w:rPr>
          <w:rStyle w:val="FootnoteReference"/>
          <w:rFonts w:ascii="Arial" w:hAnsi="Arial"/>
          <w:sz w:val="24"/>
          <w:szCs w:val="24"/>
        </w:rPr>
        <w:footnoteReference w:id="20"/>
      </w:r>
    </w:p>
    <w:p w:rsidR="00413732" w:rsidRDefault="00413732" w:rsidP="006A2BB3">
      <w:pPr>
        <w:spacing w:after="0" w:line="480" w:lineRule="auto"/>
        <w:ind w:left="810"/>
        <w:jc w:val="both"/>
        <w:rPr>
          <w:rFonts w:ascii="Arial" w:hAnsi="Arial"/>
          <w:i/>
          <w:sz w:val="24"/>
          <w:szCs w:val="24"/>
        </w:rPr>
      </w:pPr>
    </w:p>
    <w:p w:rsidR="00F504C9" w:rsidRPr="00331524" w:rsidRDefault="00413732" w:rsidP="00413732">
      <w:pPr>
        <w:spacing w:after="0" w:line="360" w:lineRule="auto"/>
        <w:ind w:left="811"/>
        <w:jc w:val="both"/>
        <w:rPr>
          <w:rFonts w:ascii="Arial" w:hAnsi="Arial"/>
          <w:sz w:val="24"/>
          <w:szCs w:val="24"/>
        </w:rPr>
      </w:pPr>
      <w:r w:rsidRPr="00331524">
        <w:rPr>
          <w:rFonts w:ascii="Arial" w:hAnsi="Arial"/>
        </w:rPr>
        <w:t>'</w:t>
      </w:r>
      <w:r w:rsidR="00F504C9" w:rsidRPr="00331524">
        <w:rPr>
          <w:rFonts w:ascii="Arial" w:hAnsi="Arial"/>
        </w:rPr>
        <w:t>It is common cause that conventional criminal penalties are inadequate as measures of deterrence when organised crime leaders are able to retain the considerable gains derived from organised crime, even on those occasions when they are brought to justice</w:t>
      </w:r>
      <w:r w:rsidRPr="00331524">
        <w:rPr>
          <w:rFonts w:ascii="Arial" w:hAnsi="Arial"/>
        </w:rPr>
        <w:t>.'</w:t>
      </w:r>
      <w:r w:rsidR="00F504C9" w:rsidRPr="00331524">
        <w:rPr>
          <w:rFonts w:ascii="Arial" w:hAnsi="Arial"/>
          <w:sz w:val="24"/>
          <w:szCs w:val="24"/>
        </w:rPr>
        <w:t xml:space="preserve"> </w:t>
      </w:r>
    </w:p>
    <w:p w:rsidR="009E1CFD" w:rsidRPr="006A2BB3" w:rsidRDefault="009E1CFD" w:rsidP="006A2BB3">
      <w:pPr>
        <w:spacing w:after="0" w:line="480" w:lineRule="auto"/>
        <w:ind w:left="360"/>
        <w:jc w:val="both"/>
        <w:rPr>
          <w:rFonts w:ascii="Arial" w:hAnsi="Arial"/>
          <w:sz w:val="24"/>
          <w:szCs w:val="24"/>
        </w:rPr>
      </w:pPr>
    </w:p>
    <w:p w:rsidR="00487931" w:rsidRPr="006A2BB3" w:rsidRDefault="00F13237" w:rsidP="006A2BB3">
      <w:pPr>
        <w:tabs>
          <w:tab w:val="left" w:pos="0"/>
        </w:tabs>
        <w:spacing w:after="0" w:line="480" w:lineRule="auto"/>
        <w:jc w:val="both"/>
        <w:rPr>
          <w:rFonts w:ascii="Arial" w:hAnsi="Arial"/>
          <w:sz w:val="24"/>
          <w:szCs w:val="24"/>
        </w:rPr>
      </w:pPr>
      <w:r w:rsidRPr="006A2BB3">
        <w:rPr>
          <w:rFonts w:ascii="Arial" w:hAnsi="Arial"/>
          <w:sz w:val="24"/>
          <w:szCs w:val="24"/>
        </w:rPr>
        <w:t>[64</w:t>
      </w:r>
      <w:r w:rsidR="00F504C9" w:rsidRPr="006A2BB3">
        <w:rPr>
          <w:rFonts w:ascii="Arial" w:hAnsi="Arial"/>
          <w:sz w:val="24"/>
          <w:szCs w:val="24"/>
        </w:rPr>
        <w:t>]</w:t>
      </w:r>
      <w:r w:rsidR="00F504C9" w:rsidRPr="006A2BB3">
        <w:rPr>
          <w:rFonts w:ascii="Arial" w:hAnsi="Arial"/>
          <w:sz w:val="24"/>
          <w:szCs w:val="24"/>
        </w:rPr>
        <w:tab/>
        <w:t xml:space="preserve">Indeed, as the </w:t>
      </w:r>
      <w:r w:rsidR="00413732">
        <w:rPr>
          <w:rFonts w:ascii="Arial" w:hAnsi="Arial"/>
          <w:sz w:val="24"/>
          <w:szCs w:val="24"/>
        </w:rPr>
        <w:t>c</w:t>
      </w:r>
      <w:r w:rsidR="00F504C9" w:rsidRPr="006A2BB3">
        <w:rPr>
          <w:rFonts w:ascii="Arial" w:hAnsi="Arial"/>
          <w:sz w:val="24"/>
          <w:szCs w:val="24"/>
        </w:rPr>
        <w:t>ourt observed, the prevalence of these challenges</w:t>
      </w:r>
      <w:r w:rsidR="00487931" w:rsidRPr="006A2BB3">
        <w:rPr>
          <w:rFonts w:ascii="Arial" w:hAnsi="Arial"/>
          <w:sz w:val="24"/>
          <w:szCs w:val="24"/>
        </w:rPr>
        <w:t xml:space="preserve"> can make a devastating impact on a young democracy where state resources are </w:t>
      </w:r>
      <w:r w:rsidR="0073105E" w:rsidRPr="006A2BB3">
        <w:rPr>
          <w:rFonts w:ascii="Arial" w:hAnsi="Arial"/>
          <w:sz w:val="24"/>
          <w:szCs w:val="24"/>
        </w:rPr>
        <w:t xml:space="preserve">too </w:t>
      </w:r>
      <w:r w:rsidR="00487931" w:rsidRPr="006A2BB3">
        <w:rPr>
          <w:rFonts w:ascii="Arial" w:hAnsi="Arial"/>
          <w:sz w:val="24"/>
          <w:szCs w:val="24"/>
        </w:rPr>
        <w:t xml:space="preserve">overstretched to meet even the most basic human needs. Further, it is now internationally accepted that perpetrators of crime should be stripped of the proceeds of their criminal activities, the idea being to remove the incentive for crime, where the punishment for the crime is altogether a separate consideration. This approach to the fight against organised crime enacting the POCA has now been adopted, </w:t>
      </w:r>
      <w:r w:rsidR="00413732">
        <w:rPr>
          <w:rFonts w:ascii="Arial" w:hAnsi="Arial"/>
          <w:sz w:val="24"/>
          <w:szCs w:val="24"/>
        </w:rPr>
        <w:t xml:space="preserve">is </w:t>
      </w:r>
      <w:r w:rsidR="00487931" w:rsidRPr="006A2BB3">
        <w:rPr>
          <w:rFonts w:ascii="Arial" w:hAnsi="Arial"/>
          <w:sz w:val="24"/>
          <w:szCs w:val="24"/>
        </w:rPr>
        <w:t xml:space="preserve">similar to the position not only in South Africa </w:t>
      </w:r>
      <w:r w:rsidR="003027DF" w:rsidRPr="006A2BB3">
        <w:rPr>
          <w:rFonts w:ascii="Arial" w:hAnsi="Arial"/>
          <w:sz w:val="24"/>
          <w:szCs w:val="24"/>
        </w:rPr>
        <w:t xml:space="preserve">and Namibia </w:t>
      </w:r>
      <w:r w:rsidR="00487931" w:rsidRPr="006A2BB3">
        <w:rPr>
          <w:rFonts w:ascii="Arial" w:hAnsi="Arial"/>
          <w:sz w:val="24"/>
          <w:szCs w:val="24"/>
        </w:rPr>
        <w:t>but also in the region and globally</w:t>
      </w:r>
      <w:r w:rsidR="008128DB" w:rsidRPr="006A2BB3">
        <w:rPr>
          <w:rFonts w:ascii="Arial" w:hAnsi="Arial"/>
          <w:sz w:val="24"/>
          <w:szCs w:val="24"/>
        </w:rPr>
        <w:t>.</w:t>
      </w:r>
      <w:r w:rsidR="00487931" w:rsidRPr="006A2BB3">
        <w:rPr>
          <w:rFonts w:ascii="Arial" w:hAnsi="Arial"/>
          <w:sz w:val="24"/>
          <w:szCs w:val="24"/>
          <w:vertAlign w:val="superscript"/>
        </w:rPr>
        <w:footnoteReference w:id="21"/>
      </w:r>
    </w:p>
    <w:p w:rsidR="008128DB" w:rsidRPr="006A2BB3" w:rsidRDefault="008128DB" w:rsidP="006A2BB3">
      <w:pPr>
        <w:spacing w:after="0" w:line="480" w:lineRule="auto"/>
        <w:ind w:left="360"/>
        <w:jc w:val="both"/>
        <w:rPr>
          <w:rFonts w:ascii="Arial" w:hAnsi="Arial"/>
          <w:sz w:val="24"/>
          <w:szCs w:val="24"/>
        </w:rPr>
      </w:pPr>
    </w:p>
    <w:p w:rsidR="000C124F" w:rsidRPr="006A2BB3" w:rsidRDefault="00F13237" w:rsidP="006A2BB3">
      <w:pPr>
        <w:spacing w:after="0" w:line="480" w:lineRule="auto"/>
        <w:jc w:val="both"/>
        <w:rPr>
          <w:rFonts w:ascii="Arial" w:hAnsi="Arial"/>
          <w:sz w:val="24"/>
          <w:szCs w:val="24"/>
        </w:rPr>
      </w:pPr>
      <w:r w:rsidRPr="006A2BB3">
        <w:rPr>
          <w:rFonts w:ascii="Arial" w:hAnsi="Arial"/>
          <w:sz w:val="24"/>
          <w:szCs w:val="24"/>
        </w:rPr>
        <w:t>[65</w:t>
      </w:r>
      <w:r w:rsidR="008128DB" w:rsidRPr="006A2BB3">
        <w:rPr>
          <w:rFonts w:ascii="Arial" w:hAnsi="Arial"/>
          <w:sz w:val="24"/>
          <w:szCs w:val="24"/>
        </w:rPr>
        <w:t>]</w:t>
      </w:r>
      <w:r w:rsidR="008128DB" w:rsidRPr="006A2BB3">
        <w:rPr>
          <w:rFonts w:ascii="Arial" w:hAnsi="Arial"/>
          <w:sz w:val="24"/>
          <w:szCs w:val="24"/>
        </w:rPr>
        <w:tab/>
        <w:t xml:space="preserve">Having put to rest the </w:t>
      </w:r>
      <w:r w:rsidR="008706D3" w:rsidRPr="006A2BB3">
        <w:rPr>
          <w:rFonts w:ascii="Arial" w:hAnsi="Arial"/>
          <w:sz w:val="24"/>
          <w:szCs w:val="24"/>
        </w:rPr>
        <w:t xml:space="preserve">fair trial </w:t>
      </w:r>
      <w:r w:rsidR="008128DB" w:rsidRPr="006A2BB3">
        <w:rPr>
          <w:rFonts w:ascii="Arial" w:hAnsi="Arial"/>
          <w:sz w:val="24"/>
          <w:szCs w:val="24"/>
        </w:rPr>
        <w:t xml:space="preserve">concerns of the High Court, </w:t>
      </w:r>
      <w:r w:rsidR="008706D3" w:rsidRPr="006A2BB3">
        <w:rPr>
          <w:rFonts w:ascii="Arial" w:hAnsi="Arial"/>
          <w:sz w:val="24"/>
          <w:szCs w:val="24"/>
        </w:rPr>
        <w:t>the conclusion is</w:t>
      </w:r>
      <w:r w:rsidR="00752189" w:rsidRPr="006A2BB3">
        <w:rPr>
          <w:rFonts w:ascii="Arial" w:hAnsi="Arial"/>
          <w:sz w:val="24"/>
          <w:szCs w:val="24"/>
        </w:rPr>
        <w:t xml:space="preserve"> </w:t>
      </w:r>
      <w:r w:rsidR="008128DB" w:rsidRPr="006A2BB3">
        <w:rPr>
          <w:rFonts w:ascii="Arial" w:hAnsi="Arial"/>
          <w:sz w:val="24"/>
          <w:szCs w:val="24"/>
        </w:rPr>
        <w:t xml:space="preserve">that the s 51(2) application for a property preservation order is an </w:t>
      </w:r>
      <w:r w:rsidR="008128DB" w:rsidRPr="006A2BB3">
        <w:rPr>
          <w:rFonts w:ascii="Arial" w:hAnsi="Arial"/>
          <w:i/>
          <w:sz w:val="24"/>
          <w:szCs w:val="24"/>
        </w:rPr>
        <w:t>ex parte</w:t>
      </w:r>
      <w:r w:rsidR="008128DB" w:rsidRPr="006A2BB3">
        <w:rPr>
          <w:rFonts w:ascii="Arial" w:hAnsi="Arial"/>
          <w:sz w:val="24"/>
          <w:szCs w:val="24"/>
        </w:rPr>
        <w:t xml:space="preserve"> one. The application therefore does not make provision for an opportunity for a respondent </w:t>
      </w:r>
      <w:r w:rsidR="00752189" w:rsidRPr="006A2BB3">
        <w:rPr>
          <w:rFonts w:ascii="Arial" w:hAnsi="Arial"/>
          <w:sz w:val="24"/>
          <w:szCs w:val="24"/>
        </w:rPr>
        <w:t xml:space="preserve">or any </w:t>
      </w:r>
      <w:r w:rsidR="008128DB" w:rsidRPr="006A2BB3">
        <w:rPr>
          <w:rFonts w:ascii="Arial" w:hAnsi="Arial"/>
          <w:sz w:val="24"/>
          <w:szCs w:val="24"/>
        </w:rPr>
        <w:t xml:space="preserve">affected party to be heard. </w:t>
      </w:r>
      <w:r w:rsidR="00752189" w:rsidRPr="006A2BB3">
        <w:rPr>
          <w:rFonts w:ascii="Arial" w:hAnsi="Arial"/>
          <w:sz w:val="24"/>
          <w:szCs w:val="24"/>
        </w:rPr>
        <w:t>Therefore n</w:t>
      </w:r>
      <w:r w:rsidR="008128DB" w:rsidRPr="006A2BB3">
        <w:rPr>
          <w:rFonts w:ascii="Arial" w:hAnsi="Arial"/>
          <w:sz w:val="24"/>
          <w:szCs w:val="24"/>
        </w:rPr>
        <w:t>o notice is required to be given to any person</w:t>
      </w:r>
      <w:r w:rsidR="00752189" w:rsidRPr="006A2BB3">
        <w:rPr>
          <w:rFonts w:ascii="Arial" w:hAnsi="Arial"/>
          <w:sz w:val="24"/>
          <w:szCs w:val="24"/>
        </w:rPr>
        <w:t>,</w:t>
      </w:r>
      <w:r w:rsidR="008128DB" w:rsidRPr="006A2BB3">
        <w:rPr>
          <w:rFonts w:ascii="Arial" w:hAnsi="Arial"/>
          <w:sz w:val="24"/>
          <w:szCs w:val="24"/>
        </w:rPr>
        <w:t xml:space="preserve"> nor is the adduction of evidence required from any person other than the applicant. The application is granted based </w:t>
      </w:r>
      <w:r w:rsidR="00752189" w:rsidRPr="006A2BB3">
        <w:rPr>
          <w:rFonts w:ascii="Arial" w:hAnsi="Arial"/>
          <w:sz w:val="24"/>
          <w:szCs w:val="24"/>
        </w:rPr>
        <w:t xml:space="preserve">only </w:t>
      </w:r>
      <w:r w:rsidR="008128DB" w:rsidRPr="006A2BB3">
        <w:rPr>
          <w:rFonts w:ascii="Arial" w:hAnsi="Arial"/>
          <w:sz w:val="24"/>
          <w:szCs w:val="24"/>
        </w:rPr>
        <w:t>on the affidavit of the applicant giving sufficient information</w:t>
      </w:r>
      <w:r w:rsidR="00752189" w:rsidRPr="006A2BB3">
        <w:rPr>
          <w:rFonts w:ascii="Arial" w:hAnsi="Arial"/>
          <w:sz w:val="24"/>
          <w:szCs w:val="24"/>
        </w:rPr>
        <w:t>,</w:t>
      </w:r>
      <w:r w:rsidR="00583E61" w:rsidRPr="006A2BB3">
        <w:rPr>
          <w:rFonts w:ascii="Arial" w:hAnsi="Arial"/>
          <w:sz w:val="24"/>
          <w:szCs w:val="24"/>
        </w:rPr>
        <w:t xml:space="preserve"> establishing that </w:t>
      </w:r>
      <w:r w:rsidR="008128DB" w:rsidRPr="006A2BB3">
        <w:rPr>
          <w:rFonts w:ascii="Arial" w:hAnsi="Arial"/>
          <w:sz w:val="24"/>
          <w:szCs w:val="24"/>
        </w:rPr>
        <w:t>the property concerned is an</w:t>
      </w:r>
      <w:r w:rsidR="004D36C3" w:rsidRPr="006A2BB3">
        <w:rPr>
          <w:rFonts w:ascii="Arial" w:hAnsi="Arial"/>
          <w:sz w:val="24"/>
          <w:szCs w:val="24"/>
        </w:rPr>
        <w:t xml:space="preserve"> instrumentality of a </w:t>
      </w:r>
      <w:r w:rsidR="00413732">
        <w:rPr>
          <w:rFonts w:ascii="Arial" w:hAnsi="Arial"/>
          <w:sz w:val="24"/>
          <w:szCs w:val="24"/>
        </w:rPr>
        <w:t>s</w:t>
      </w:r>
      <w:r w:rsidR="004D36C3" w:rsidRPr="006A2BB3">
        <w:rPr>
          <w:rFonts w:ascii="Arial" w:hAnsi="Arial"/>
          <w:sz w:val="24"/>
          <w:szCs w:val="24"/>
        </w:rPr>
        <w:t>chedule 1</w:t>
      </w:r>
      <w:r w:rsidR="008128DB" w:rsidRPr="006A2BB3">
        <w:rPr>
          <w:rFonts w:ascii="Arial" w:hAnsi="Arial"/>
          <w:sz w:val="24"/>
          <w:szCs w:val="24"/>
        </w:rPr>
        <w:t xml:space="preserve"> offence</w:t>
      </w:r>
      <w:r w:rsidR="008128DB" w:rsidRPr="006A2BB3">
        <w:rPr>
          <w:rFonts w:ascii="Arial" w:hAnsi="Arial"/>
          <w:sz w:val="24"/>
          <w:szCs w:val="24"/>
          <w:vertAlign w:val="superscript"/>
        </w:rPr>
        <w:footnoteReference w:id="22"/>
      </w:r>
      <w:r w:rsidR="008128DB" w:rsidRPr="006A2BB3">
        <w:rPr>
          <w:rFonts w:ascii="Arial" w:hAnsi="Arial"/>
          <w:sz w:val="24"/>
          <w:szCs w:val="24"/>
        </w:rPr>
        <w:t xml:space="preserve"> or is the proceeds of unlawful activities generally. Accompanied by a </w:t>
      </w:r>
      <w:r w:rsidR="008128DB" w:rsidRPr="006A2BB3">
        <w:rPr>
          <w:rFonts w:ascii="Arial" w:hAnsi="Arial"/>
          <w:i/>
          <w:sz w:val="24"/>
          <w:szCs w:val="24"/>
        </w:rPr>
        <w:t>rule nisi</w:t>
      </w:r>
      <w:r w:rsidR="008128DB" w:rsidRPr="006A2BB3">
        <w:rPr>
          <w:rFonts w:ascii="Arial" w:hAnsi="Arial"/>
          <w:sz w:val="24"/>
          <w:szCs w:val="24"/>
        </w:rPr>
        <w:t xml:space="preserve">, as in this case, the effect of the property preservation order is that the right to be heard, protected in terms </w:t>
      </w:r>
      <w:r w:rsidR="00331524" w:rsidRPr="006A2BB3">
        <w:rPr>
          <w:rFonts w:ascii="Arial" w:hAnsi="Arial"/>
          <w:sz w:val="24"/>
          <w:szCs w:val="24"/>
        </w:rPr>
        <w:t xml:space="preserve">of </w:t>
      </w:r>
      <w:r w:rsidR="00331524">
        <w:rPr>
          <w:rFonts w:ascii="Arial" w:hAnsi="Arial"/>
          <w:sz w:val="24"/>
          <w:szCs w:val="24"/>
        </w:rPr>
        <w:t>Art 12</w:t>
      </w:r>
      <w:r w:rsidR="008128DB" w:rsidRPr="006A2BB3">
        <w:rPr>
          <w:rFonts w:ascii="Arial" w:hAnsi="Arial"/>
          <w:sz w:val="24"/>
          <w:szCs w:val="24"/>
        </w:rPr>
        <w:t xml:space="preserve"> of the Constitution, is not disposed of. It is preserved until the return date when the respondent </w:t>
      </w:r>
      <w:r w:rsidR="008128DB" w:rsidRPr="006A2BB3">
        <w:rPr>
          <w:rFonts w:ascii="Arial" w:hAnsi="Arial"/>
          <w:i/>
          <w:sz w:val="24"/>
          <w:szCs w:val="24"/>
        </w:rPr>
        <w:t>must</w:t>
      </w:r>
      <w:r w:rsidR="008128DB" w:rsidRPr="006A2BB3">
        <w:rPr>
          <w:rFonts w:ascii="Arial" w:hAnsi="Arial"/>
          <w:sz w:val="24"/>
          <w:szCs w:val="24"/>
        </w:rPr>
        <w:t xml:space="preserve"> be heard. Based on the facts and the surrounding circumstances of the case, the respondent has an opportunity to present her or his case, persuading the court not to confirm the </w:t>
      </w:r>
      <w:r w:rsidR="008128DB" w:rsidRPr="006A2BB3">
        <w:rPr>
          <w:rFonts w:ascii="Arial" w:hAnsi="Arial"/>
          <w:i/>
          <w:sz w:val="24"/>
          <w:szCs w:val="24"/>
        </w:rPr>
        <w:t>rule nisi</w:t>
      </w:r>
      <w:r w:rsidR="008128DB" w:rsidRPr="006A2BB3">
        <w:rPr>
          <w:rFonts w:ascii="Arial" w:hAnsi="Arial"/>
          <w:sz w:val="24"/>
          <w:szCs w:val="24"/>
        </w:rPr>
        <w:t xml:space="preserve">. </w:t>
      </w:r>
    </w:p>
    <w:p w:rsidR="00401745" w:rsidRDefault="00401745" w:rsidP="00096E42">
      <w:pPr>
        <w:spacing w:after="0" w:line="480" w:lineRule="auto"/>
        <w:jc w:val="both"/>
        <w:rPr>
          <w:rFonts w:ascii="Arial" w:hAnsi="Arial"/>
          <w:sz w:val="24"/>
          <w:szCs w:val="24"/>
          <w:u w:val="single"/>
        </w:rPr>
      </w:pPr>
    </w:p>
    <w:p w:rsidR="00752189" w:rsidRPr="00096E42" w:rsidRDefault="00413732" w:rsidP="00096E42">
      <w:pPr>
        <w:spacing w:after="0" w:line="480" w:lineRule="auto"/>
        <w:jc w:val="both"/>
        <w:rPr>
          <w:rFonts w:ascii="Arial" w:hAnsi="Arial"/>
          <w:sz w:val="24"/>
          <w:szCs w:val="24"/>
          <w:u w:val="single"/>
        </w:rPr>
      </w:pPr>
      <w:r w:rsidRPr="00096E42">
        <w:rPr>
          <w:rFonts w:ascii="Arial" w:hAnsi="Arial"/>
          <w:sz w:val="24"/>
          <w:szCs w:val="24"/>
          <w:u w:val="single"/>
        </w:rPr>
        <w:t>The property preservation order</w:t>
      </w:r>
    </w:p>
    <w:p w:rsidR="008128DB" w:rsidRPr="006A2BB3" w:rsidRDefault="00330C35" w:rsidP="006A2BB3">
      <w:pPr>
        <w:spacing w:after="0" w:line="480" w:lineRule="auto"/>
        <w:jc w:val="both"/>
        <w:rPr>
          <w:rFonts w:ascii="Arial" w:hAnsi="Arial"/>
          <w:sz w:val="24"/>
          <w:szCs w:val="24"/>
        </w:rPr>
      </w:pPr>
      <w:r w:rsidRPr="006A2BB3">
        <w:rPr>
          <w:rFonts w:ascii="Arial" w:hAnsi="Arial"/>
          <w:sz w:val="24"/>
          <w:szCs w:val="24"/>
        </w:rPr>
        <w:t>[6</w:t>
      </w:r>
      <w:r w:rsidR="00F13237" w:rsidRPr="006A2BB3">
        <w:rPr>
          <w:rFonts w:ascii="Arial" w:hAnsi="Arial"/>
          <w:sz w:val="24"/>
          <w:szCs w:val="24"/>
        </w:rPr>
        <w:t>6</w:t>
      </w:r>
      <w:r w:rsidR="008128DB" w:rsidRPr="006A2BB3">
        <w:rPr>
          <w:rFonts w:ascii="Arial" w:hAnsi="Arial"/>
          <w:sz w:val="24"/>
          <w:szCs w:val="24"/>
        </w:rPr>
        <w:t>]</w:t>
      </w:r>
      <w:r w:rsidR="008128DB" w:rsidRPr="006A2BB3">
        <w:rPr>
          <w:rFonts w:ascii="Arial" w:hAnsi="Arial"/>
          <w:sz w:val="24"/>
          <w:szCs w:val="24"/>
        </w:rPr>
        <w:tab/>
      </w:r>
      <w:r w:rsidR="00752189" w:rsidRPr="006A2BB3">
        <w:rPr>
          <w:rFonts w:ascii="Arial" w:hAnsi="Arial"/>
          <w:sz w:val="24"/>
          <w:szCs w:val="24"/>
        </w:rPr>
        <w:t>Indeed, t</w:t>
      </w:r>
      <w:r w:rsidR="008128DB" w:rsidRPr="006A2BB3">
        <w:rPr>
          <w:rFonts w:ascii="Arial" w:hAnsi="Arial"/>
          <w:sz w:val="24"/>
          <w:szCs w:val="24"/>
        </w:rPr>
        <w:t xml:space="preserve">he High Court did not proceed to deal with the merits of the property preservation order following the appeal against the court’s decision to uphold the respondent’s procedural objections raised </w:t>
      </w:r>
      <w:r w:rsidR="008128DB" w:rsidRPr="006A2BB3">
        <w:rPr>
          <w:rFonts w:ascii="Arial" w:hAnsi="Arial"/>
          <w:i/>
          <w:sz w:val="24"/>
          <w:szCs w:val="24"/>
        </w:rPr>
        <w:t>in limine</w:t>
      </w:r>
      <w:r w:rsidR="008128DB" w:rsidRPr="006A2BB3">
        <w:rPr>
          <w:rFonts w:ascii="Arial" w:hAnsi="Arial"/>
          <w:sz w:val="24"/>
          <w:szCs w:val="24"/>
        </w:rPr>
        <w:t>. In that regard, it was the contention of the PG that</w:t>
      </w:r>
      <w:r w:rsidR="00A714E1" w:rsidRPr="006A2BB3">
        <w:rPr>
          <w:rFonts w:ascii="Arial" w:hAnsi="Arial"/>
          <w:sz w:val="24"/>
          <w:szCs w:val="24"/>
        </w:rPr>
        <w:t xml:space="preserve">, should this court uphold the appeal against the High Court judgment, it will have to deal with the merits. The respondent on the other hand submitted that this court, being an apex court which primarily hears appeals from the High Court, ought not to do so as a court of first instance. </w:t>
      </w:r>
    </w:p>
    <w:p w:rsidR="00A714E1" w:rsidRPr="006A2BB3" w:rsidRDefault="00A714E1" w:rsidP="006A2BB3">
      <w:pPr>
        <w:spacing w:after="0" w:line="480" w:lineRule="auto"/>
        <w:ind w:left="360"/>
        <w:jc w:val="both"/>
        <w:rPr>
          <w:rFonts w:ascii="Arial" w:hAnsi="Arial"/>
          <w:sz w:val="24"/>
          <w:szCs w:val="24"/>
        </w:rPr>
      </w:pPr>
    </w:p>
    <w:p w:rsidR="00A714E1" w:rsidRPr="006A2BB3" w:rsidRDefault="00F13237" w:rsidP="006A2BB3">
      <w:pPr>
        <w:spacing w:after="0" w:line="480" w:lineRule="auto"/>
        <w:jc w:val="both"/>
        <w:rPr>
          <w:rFonts w:ascii="Arial" w:hAnsi="Arial"/>
          <w:sz w:val="24"/>
          <w:szCs w:val="24"/>
        </w:rPr>
      </w:pPr>
      <w:r w:rsidRPr="006A2BB3">
        <w:rPr>
          <w:rFonts w:ascii="Arial" w:hAnsi="Arial"/>
          <w:sz w:val="24"/>
          <w:szCs w:val="24"/>
        </w:rPr>
        <w:t>[67</w:t>
      </w:r>
      <w:r w:rsidR="00A714E1" w:rsidRPr="006A2BB3">
        <w:rPr>
          <w:rFonts w:ascii="Arial" w:hAnsi="Arial"/>
          <w:sz w:val="24"/>
          <w:szCs w:val="24"/>
        </w:rPr>
        <w:t>]</w:t>
      </w:r>
      <w:r w:rsidR="00A714E1" w:rsidRPr="006A2BB3">
        <w:rPr>
          <w:rFonts w:ascii="Arial" w:hAnsi="Arial"/>
          <w:sz w:val="24"/>
          <w:szCs w:val="24"/>
        </w:rPr>
        <w:tab/>
        <w:t>In terms of s 51(2)</w:t>
      </w:r>
      <w:r w:rsidR="00A714E1" w:rsidRPr="00413732">
        <w:rPr>
          <w:rFonts w:ascii="Arial" w:hAnsi="Arial"/>
          <w:i/>
          <w:sz w:val="24"/>
          <w:szCs w:val="24"/>
        </w:rPr>
        <w:t>(g)</w:t>
      </w:r>
      <w:r w:rsidR="00A714E1" w:rsidRPr="006A2BB3">
        <w:rPr>
          <w:rFonts w:ascii="Arial" w:hAnsi="Arial"/>
          <w:sz w:val="24"/>
          <w:szCs w:val="24"/>
        </w:rPr>
        <w:t xml:space="preserve"> </w:t>
      </w:r>
      <w:r w:rsidR="008706D3" w:rsidRPr="006A2BB3">
        <w:rPr>
          <w:rFonts w:ascii="Arial" w:hAnsi="Arial"/>
          <w:sz w:val="24"/>
          <w:szCs w:val="24"/>
        </w:rPr>
        <w:t>of the POCA, the court must grant</w:t>
      </w:r>
      <w:r w:rsidR="00A714E1" w:rsidRPr="006A2BB3">
        <w:rPr>
          <w:rFonts w:ascii="Arial" w:hAnsi="Arial"/>
          <w:sz w:val="24"/>
          <w:szCs w:val="24"/>
        </w:rPr>
        <w:t xml:space="preserve"> the property preservation order if the application is supported by an affidavit which shows sufficient information that the property which is the subject of the order is an instrumentality of an offence committed in </w:t>
      </w:r>
      <w:r w:rsidR="00413732">
        <w:rPr>
          <w:rFonts w:ascii="Arial" w:hAnsi="Arial"/>
          <w:sz w:val="24"/>
          <w:szCs w:val="24"/>
        </w:rPr>
        <w:t>s</w:t>
      </w:r>
      <w:r w:rsidR="00A714E1" w:rsidRPr="006A2BB3">
        <w:rPr>
          <w:rFonts w:ascii="Arial" w:hAnsi="Arial"/>
          <w:sz w:val="24"/>
          <w:szCs w:val="24"/>
        </w:rPr>
        <w:t>che</w:t>
      </w:r>
      <w:r w:rsidR="008706D3" w:rsidRPr="006A2BB3">
        <w:rPr>
          <w:rFonts w:ascii="Arial" w:hAnsi="Arial"/>
          <w:sz w:val="24"/>
          <w:szCs w:val="24"/>
        </w:rPr>
        <w:t xml:space="preserve">dule 1 or </w:t>
      </w:r>
      <w:r w:rsidR="00752189" w:rsidRPr="006A2BB3">
        <w:rPr>
          <w:rFonts w:ascii="Arial" w:hAnsi="Arial"/>
          <w:sz w:val="24"/>
          <w:szCs w:val="24"/>
        </w:rPr>
        <w:t xml:space="preserve">the </w:t>
      </w:r>
      <w:r w:rsidR="00A714E1" w:rsidRPr="006A2BB3">
        <w:rPr>
          <w:rFonts w:ascii="Arial" w:hAnsi="Arial"/>
          <w:sz w:val="24"/>
          <w:szCs w:val="24"/>
        </w:rPr>
        <w:t xml:space="preserve">proceeds of unlawful activity. The </w:t>
      </w:r>
      <w:r w:rsidR="00413732">
        <w:rPr>
          <w:rFonts w:ascii="Arial" w:hAnsi="Arial"/>
          <w:sz w:val="24"/>
          <w:szCs w:val="24"/>
        </w:rPr>
        <w:t>c</w:t>
      </w:r>
      <w:r w:rsidR="00A714E1" w:rsidRPr="006A2BB3">
        <w:rPr>
          <w:rFonts w:ascii="Arial" w:hAnsi="Arial"/>
          <w:sz w:val="24"/>
          <w:szCs w:val="24"/>
        </w:rPr>
        <w:t xml:space="preserve">ourt must further be satisfied that the information shows on the face of it, that there are reasonable grounds for that belief. </w:t>
      </w:r>
      <w:r w:rsidR="00752189" w:rsidRPr="006A2BB3">
        <w:rPr>
          <w:rFonts w:ascii="Arial" w:hAnsi="Arial"/>
          <w:sz w:val="24"/>
          <w:szCs w:val="24"/>
        </w:rPr>
        <w:t xml:space="preserve">In that case, </w:t>
      </w:r>
      <w:r w:rsidR="00A714E1" w:rsidRPr="006A2BB3">
        <w:rPr>
          <w:rFonts w:ascii="Arial" w:hAnsi="Arial"/>
          <w:sz w:val="24"/>
          <w:szCs w:val="24"/>
        </w:rPr>
        <w:t>it is peremptory that the order be granted.</w:t>
      </w:r>
    </w:p>
    <w:p w:rsidR="00A714E1" w:rsidRPr="006A2BB3" w:rsidRDefault="00A714E1" w:rsidP="006A2BB3">
      <w:pPr>
        <w:spacing w:after="0" w:line="480" w:lineRule="auto"/>
        <w:ind w:left="360"/>
        <w:jc w:val="both"/>
        <w:rPr>
          <w:rFonts w:ascii="Arial" w:hAnsi="Arial"/>
          <w:sz w:val="24"/>
          <w:szCs w:val="24"/>
        </w:rPr>
      </w:pPr>
    </w:p>
    <w:p w:rsidR="00A714E1" w:rsidRPr="006A2BB3" w:rsidRDefault="00F13237" w:rsidP="006A2BB3">
      <w:pPr>
        <w:tabs>
          <w:tab w:val="left" w:pos="0"/>
        </w:tabs>
        <w:spacing w:after="0" w:line="480" w:lineRule="auto"/>
        <w:jc w:val="both"/>
        <w:rPr>
          <w:rFonts w:ascii="Arial" w:hAnsi="Arial"/>
          <w:sz w:val="24"/>
          <w:szCs w:val="24"/>
        </w:rPr>
      </w:pPr>
      <w:r w:rsidRPr="006A2BB3">
        <w:rPr>
          <w:rFonts w:ascii="Arial" w:hAnsi="Arial"/>
          <w:sz w:val="24"/>
          <w:szCs w:val="24"/>
        </w:rPr>
        <w:t>[68</w:t>
      </w:r>
      <w:r w:rsidR="00752189" w:rsidRPr="006A2BB3">
        <w:rPr>
          <w:rFonts w:ascii="Arial" w:hAnsi="Arial"/>
          <w:sz w:val="24"/>
          <w:szCs w:val="24"/>
        </w:rPr>
        <w:t>]</w:t>
      </w:r>
      <w:r w:rsidR="00752189" w:rsidRPr="006A2BB3">
        <w:rPr>
          <w:rFonts w:ascii="Arial" w:hAnsi="Arial"/>
          <w:sz w:val="24"/>
          <w:szCs w:val="24"/>
        </w:rPr>
        <w:tab/>
        <w:t>Although</w:t>
      </w:r>
      <w:r w:rsidR="00A714E1" w:rsidRPr="006A2BB3">
        <w:rPr>
          <w:rFonts w:ascii="Arial" w:hAnsi="Arial"/>
          <w:sz w:val="24"/>
          <w:szCs w:val="24"/>
        </w:rPr>
        <w:t xml:space="preserve">, </w:t>
      </w:r>
      <w:r w:rsidR="00752189" w:rsidRPr="006A2BB3">
        <w:rPr>
          <w:rFonts w:ascii="Arial" w:hAnsi="Arial"/>
          <w:sz w:val="24"/>
          <w:szCs w:val="24"/>
        </w:rPr>
        <w:t xml:space="preserve">in this case </w:t>
      </w:r>
      <w:r w:rsidR="00A714E1" w:rsidRPr="006A2BB3">
        <w:rPr>
          <w:rFonts w:ascii="Arial" w:hAnsi="Arial"/>
          <w:sz w:val="24"/>
          <w:szCs w:val="24"/>
        </w:rPr>
        <w:t xml:space="preserve">as the PG contended, a </w:t>
      </w:r>
      <w:r w:rsidR="00A714E1" w:rsidRPr="00360B32">
        <w:rPr>
          <w:rFonts w:ascii="Arial" w:hAnsi="Arial"/>
          <w:i/>
          <w:sz w:val="24"/>
          <w:szCs w:val="24"/>
        </w:rPr>
        <w:t>prima facie</w:t>
      </w:r>
      <w:r w:rsidR="00A714E1" w:rsidRPr="006A2BB3">
        <w:rPr>
          <w:rFonts w:ascii="Arial" w:hAnsi="Arial"/>
          <w:sz w:val="24"/>
          <w:szCs w:val="24"/>
        </w:rPr>
        <w:t xml:space="preserve"> case could be established to meet the</w:t>
      </w:r>
      <w:r w:rsidR="00752189" w:rsidRPr="006A2BB3">
        <w:rPr>
          <w:rFonts w:ascii="Arial" w:hAnsi="Arial"/>
          <w:sz w:val="24"/>
          <w:szCs w:val="24"/>
        </w:rPr>
        <w:t xml:space="preserve"> reasonable belief</w:t>
      </w:r>
      <w:r w:rsidR="00A714E1" w:rsidRPr="006A2BB3">
        <w:rPr>
          <w:rFonts w:ascii="Arial" w:hAnsi="Arial"/>
          <w:sz w:val="24"/>
          <w:szCs w:val="24"/>
        </w:rPr>
        <w:t xml:space="preserve"> test, an applicant need not go that far. It is sufficient merely to show that reasonable grounds exist to believe that the property concerned answers to the test</w:t>
      </w:r>
      <w:r w:rsidR="00752189" w:rsidRPr="006A2BB3">
        <w:rPr>
          <w:rFonts w:ascii="Arial" w:hAnsi="Arial"/>
          <w:sz w:val="24"/>
          <w:szCs w:val="24"/>
        </w:rPr>
        <w:t xml:space="preserve"> in s 51(2) of the POCA</w:t>
      </w:r>
      <w:r w:rsidR="00A714E1" w:rsidRPr="006A2BB3">
        <w:rPr>
          <w:rFonts w:ascii="Arial" w:hAnsi="Arial"/>
          <w:sz w:val="24"/>
          <w:szCs w:val="24"/>
        </w:rPr>
        <w:t xml:space="preserve">, whether </w:t>
      </w:r>
      <w:r w:rsidR="00752189" w:rsidRPr="006A2BB3">
        <w:rPr>
          <w:rFonts w:ascii="Arial" w:hAnsi="Arial"/>
          <w:sz w:val="24"/>
          <w:szCs w:val="24"/>
        </w:rPr>
        <w:t xml:space="preserve">the </w:t>
      </w:r>
      <w:r w:rsidR="00A714E1" w:rsidRPr="006A2BB3">
        <w:rPr>
          <w:rFonts w:ascii="Arial" w:hAnsi="Arial"/>
          <w:sz w:val="24"/>
          <w:szCs w:val="24"/>
        </w:rPr>
        <w:t xml:space="preserve">evidence is </w:t>
      </w:r>
      <w:r w:rsidR="00752189" w:rsidRPr="006A2BB3">
        <w:rPr>
          <w:rFonts w:ascii="Arial" w:hAnsi="Arial"/>
          <w:sz w:val="24"/>
          <w:szCs w:val="24"/>
        </w:rPr>
        <w:t>disputed or not. However, a</w:t>
      </w:r>
      <w:r w:rsidR="00A714E1" w:rsidRPr="006A2BB3">
        <w:rPr>
          <w:rFonts w:ascii="Arial" w:hAnsi="Arial"/>
          <w:sz w:val="24"/>
          <w:szCs w:val="24"/>
        </w:rPr>
        <w:t xml:space="preserve">s was held in </w:t>
      </w:r>
      <w:r w:rsidR="00A714E1" w:rsidRPr="006A2BB3">
        <w:rPr>
          <w:rFonts w:ascii="Arial" w:hAnsi="Arial"/>
          <w:i/>
          <w:sz w:val="24"/>
          <w:szCs w:val="24"/>
        </w:rPr>
        <w:t>National Director of Public Prosecutions v Rautenbach</w:t>
      </w:r>
      <w:r w:rsidR="005D1DEB">
        <w:rPr>
          <w:rFonts w:ascii="Arial" w:hAnsi="Arial"/>
          <w:i/>
          <w:sz w:val="24"/>
          <w:szCs w:val="24"/>
        </w:rPr>
        <w:t xml:space="preserve"> &amp; others</w:t>
      </w:r>
      <w:r w:rsidR="0038374F" w:rsidRPr="006A2BB3">
        <w:rPr>
          <w:rFonts w:ascii="Arial" w:hAnsi="Arial"/>
          <w:sz w:val="24"/>
          <w:szCs w:val="24"/>
        </w:rPr>
        <w:t>, the evidence relied upon must not be false or unreasonable.</w:t>
      </w:r>
      <w:r w:rsidR="0038374F" w:rsidRPr="006A2BB3">
        <w:rPr>
          <w:rFonts w:ascii="Arial" w:hAnsi="Arial"/>
          <w:sz w:val="24"/>
          <w:szCs w:val="24"/>
          <w:vertAlign w:val="superscript"/>
        </w:rPr>
        <w:footnoteReference w:id="23"/>
      </w:r>
    </w:p>
    <w:p w:rsidR="0038374F" w:rsidRPr="006A2BB3" w:rsidRDefault="0038374F" w:rsidP="006A2BB3">
      <w:pPr>
        <w:spacing w:after="0" w:line="480" w:lineRule="auto"/>
        <w:ind w:left="360"/>
        <w:jc w:val="both"/>
        <w:rPr>
          <w:rFonts w:ascii="Arial" w:hAnsi="Arial"/>
          <w:sz w:val="24"/>
          <w:szCs w:val="24"/>
        </w:rPr>
      </w:pPr>
    </w:p>
    <w:p w:rsidR="0038374F" w:rsidRPr="006A2BB3" w:rsidRDefault="00F13237" w:rsidP="006A2BB3">
      <w:pPr>
        <w:spacing w:after="0" w:line="480" w:lineRule="auto"/>
        <w:jc w:val="both"/>
        <w:rPr>
          <w:rFonts w:ascii="Arial" w:hAnsi="Arial"/>
          <w:sz w:val="24"/>
          <w:szCs w:val="24"/>
        </w:rPr>
      </w:pPr>
      <w:r w:rsidRPr="006A2BB3">
        <w:rPr>
          <w:rFonts w:ascii="Arial" w:hAnsi="Arial"/>
          <w:sz w:val="24"/>
          <w:szCs w:val="24"/>
        </w:rPr>
        <w:t>[69</w:t>
      </w:r>
      <w:r w:rsidR="0038374F" w:rsidRPr="006A2BB3">
        <w:rPr>
          <w:rFonts w:ascii="Arial" w:hAnsi="Arial"/>
          <w:sz w:val="24"/>
          <w:szCs w:val="24"/>
        </w:rPr>
        <w:t>]</w:t>
      </w:r>
      <w:r w:rsidR="0038374F" w:rsidRPr="006A2BB3">
        <w:rPr>
          <w:rFonts w:ascii="Arial" w:hAnsi="Arial"/>
          <w:sz w:val="24"/>
          <w:szCs w:val="24"/>
        </w:rPr>
        <w:tab/>
        <w:t xml:space="preserve">Further, the court in </w:t>
      </w:r>
      <w:r w:rsidR="000A2B19" w:rsidRPr="006A2BB3">
        <w:rPr>
          <w:rFonts w:ascii="Arial" w:hAnsi="Arial"/>
          <w:i/>
          <w:sz w:val="24"/>
          <w:szCs w:val="24"/>
          <w:lang w:val="en-US"/>
        </w:rPr>
        <w:t>Prosecutor General v</w:t>
      </w:r>
      <w:r w:rsidR="000A2B19" w:rsidRPr="006A2BB3">
        <w:rPr>
          <w:rFonts w:ascii="Arial" w:hAnsi="Arial"/>
          <w:i/>
          <w:sz w:val="24"/>
          <w:szCs w:val="24"/>
        </w:rPr>
        <w:t xml:space="preserve"> </w:t>
      </w:r>
      <w:r w:rsidR="0038374F" w:rsidRPr="006A2BB3">
        <w:rPr>
          <w:rFonts w:ascii="Arial" w:hAnsi="Arial"/>
          <w:i/>
          <w:sz w:val="24"/>
          <w:szCs w:val="24"/>
        </w:rPr>
        <w:t>Xingpin</w:t>
      </w:r>
      <w:r w:rsidR="002F7637" w:rsidRPr="006A2BB3">
        <w:rPr>
          <w:rFonts w:ascii="Arial" w:hAnsi="Arial"/>
          <w:i/>
          <w:sz w:val="24"/>
          <w:szCs w:val="24"/>
        </w:rPr>
        <w:t>g</w:t>
      </w:r>
      <w:r w:rsidR="0038374F" w:rsidRPr="006A2BB3">
        <w:rPr>
          <w:rFonts w:ascii="Arial" w:hAnsi="Arial"/>
          <w:sz w:val="24"/>
          <w:szCs w:val="24"/>
        </w:rPr>
        <w:t xml:space="preserve">, elucidating on the nature of the evidence relied upon to confirm the </w:t>
      </w:r>
      <w:r w:rsidR="0038374F" w:rsidRPr="006A2BB3">
        <w:rPr>
          <w:rFonts w:ascii="Arial" w:hAnsi="Arial"/>
          <w:i/>
          <w:sz w:val="24"/>
          <w:szCs w:val="24"/>
        </w:rPr>
        <w:t>rule nisi</w:t>
      </w:r>
      <w:r w:rsidR="00752189" w:rsidRPr="006A2BB3">
        <w:rPr>
          <w:rFonts w:ascii="Arial" w:hAnsi="Arial"/>
          <w:sz w:val="24"/>
          <w:szCs w:val="24"/>
        </w:rPr>
        <w:t xml:space="preserve"> and thu</w:t>
      </w:r>
      <w:r w:rsidR="0038374F" w:rsidRPr="006A2BB3">
        <w:rPr>
          <w:rFonts w:ascii="Arial" w:hAnsi="Arial"/>
          <w:sz w:val="24"/>
          <w:szCs w:val="24"/>
        </w:rPr>
        <w:t>s grant the property preservation order, held that:</w:t>
      </w:r>
    </w:p>
    <w:p w:rsidR="00360B32" w:rsidRDefault="00360B32" w:rsidP="006A2BB3">
      <w:pPr>
        <w:spacing w:after="0" w:line="480" w:lineRule="auto"/>
        <w:ind w:left="900"/>
        <w:rPr>
          <w:rFonts w:ascii="Arial" w:hAnsi="Arial"/>
          <w:i/>
          <w:sz w:val="24"/>
          <w:szCs w:val="24"/>
        </w:rPr>
      </w:pPr>
    </w:p>
    <w:p w:rsidR="0038374F" w:rsidRPr="00360B32" w:rsidRDefault="00360B32" w:rsidP="00360B32">
      <w:pPr>
        <w:spacing w:after="0" w:line="360" w:lineRule="auto"/>
        <w:ind w:left="900"/>
        <w:jc w:val="both"/>
        <w:rPr>
          <w:rFonts w:ascii="Arial" w:hAnsi="Arial"/>
        </w:rPr>
      </w:pPr>
      <w:r w:rsidRPr="00360B32">
        <w:rPr>
          <w:rFonts w:ascii="Arial" w:hAnsi="Arial"/>
          <w:i/>
        </w:rPr>
        <w:t>'</w:t>
      </w:r>
      <w:r w:rsidR="0038374F" w:rsidRPr="00360B32">
        <w:rPr>
          <w:rFonts w:ascii="Arial" w:hAnsi="Arial"/>
          <w:i/>
        </w:rPr>
        <w:t>If the requisites for the remedy set out in section 51 are met, then the preservation order is to be granted by confirming the rule nisi granted by this court, except possibly where there had been abuse of the process in [the] sense of the applicant not being bona fide or failing to make proper disclosure to this court in seeking the original rule nisi on an ex parte basis</w:t>
      </w:r>
      <w:r w:rsidR="0038374F" w:rsidRPr="00360B32">
        <w:rPr>
          <w:rFonts w:ascii="Arial" w:hAnsi="Arial"/>
        </w:rPr>
        <w:t>.</w:t>
      </w:r>
      <w:r w:rsidRPr="00360B32">
        <w:rPr>
          <w:rFonts w:ascii="Arial" w:hAnsi="Arial"/>
        </w:rPr>
        <w:t>'</w:t>
      </w:r>
      <w:r w:rsidR="0038374F" w:rsidRPr="00360B32">
        <w:rPr>
          <w:rFonts w:ascii="Arial" w:hAnsi="Arial"/>
          <w:vertAlign w:val="superscript"/>
        </w:rPr>
        <w:footnoteReference w:id="24"/>
      </w:r>
    </w:p>
    <w:p w:rsidR="00E14542" w:rsidRPr="00360B32" w:rsidRDefault="00E14542" w:rsidP="00096E42">
      <w:pPr>
        <w:spacing w:after="0" w:line="480" w:lineRule="auto"/>
        <w:ind w:left="357"/>
        <w:jc w:val="both"/>
        <w:rPr>
          <w:rFonts w:ascii="Arial" w:hAnsi="Arial"/>
        </w:rPr>
      </w:pPr>
    </w:p>
    <w:p w:rsidR="00E14542" w:rsidRPr="006A2BB3" w:rsidRDefault="00F13237" w:rsidP="006A2BB3">
      <w:pPr>
        <w:spacing w:after="0" w:line="480" w:lineRule="auto"/>
        <w:jc w:val="both"/>
        <w:rPr>
          <w:rFonts w:ascii="Arial" w:hAnsi="Arial"/>
          <w:sz w:val="24"/>
          <w:szCs w:val="24"/>
        </w:rPr>
      </w:pPr>
      <w:r w:rsidRPr="006A2BB3">
        <w:rPr>
          <w:rFonts w:ascii="Arial" w:hAnsi="Arial"/>
          <w:sz w:val="24"/>
          <w:szCs w:val="24"/>
        </w:rPr>
        <w:t>[70</w:t>
      </w:r>
      <w:r w:rsidR="00E14542" w:rsidRPr="006A2BB3">
        <w:rPr>
          <w:rFonts w:ascii="Arial" w:hAnsi="Arial"/>
          <w:sz w:val="24"/>
          <w:szCs w:val="24"/>
        </w:rPr>
        <w:t>]</w:t>
      </w:r>
      <w:r w:rsidR="00E14542" w:rsidRPr="006A2BB3">
        <w:rPr>
          <w:rFonts w:ascii="Arial" w:hAnsi="Arial"/>
          <w:sz w:val="24"/>
          <w:szCs w:val="24"/>
        </w:rPr>
        <w:tab/>
        <w:t xml:space="preserve">In this case, the evidence that led to the award of the tender and the award of the tender itself are central to the case against the respondent and largely undisputed, and the case made in favour of the respondent is based on legal arguments. Those </w:t>
      </w:r>
      <w:r w:rsidR="00583E61" w:rsidRPr="006A2BB3">
        <w:rPr>
          <w:rFonts w:ascii="Arial" w:hAnsi="Arial"/>
          <w:sz w:val="24"/>
          <w:szCs w:val="24"/>
        </w:rPr>
        <w:t xml:space="preserve">are </w:t>
      </w:r>
      <w:r w:rsidR="008706D3" w:rsidRPr="006A2BB3">
        <w:rPr>
          <w:rFonts w:ascii="Arial" w:hAnsi="Arial"/>
          <w:sz w:val="24"/>
          <w:szCs w:val="24"/>
        </w:rPr>
        <w:t xml:space="preserve">questions of law and not of fact </w:t>
      </w:r>
      <w:r w:rsidR="00583E61" w:rsidRPr="006A2BB3">
        <w:rPr>
          <w:rFonts w:ascii="Arial" w:hAnsi="Arial"/>
          <w:sz w:val="24"/>
          <w:szCs w:val="24"/>
        </w:rPr>
        <w:t xml:space="preserve">and had </w:t>
      </w:r>
      <w:r w:rsidR="00E14542" w:rsidRPr="006A2BB3">
        <w:rPr>
          <w:rFonts w:ascii="Arial" w:hAnsi="Arial"/>
          <w:sz w:val="24"/>
          <w:szCs w:val="24"/>
        </w:rPr>
        <w:t>been fully traversed in the High Court</w:t>
      </w:r>
      <w:r w:rsidR="00583E61" w:rsidRPr="006A2BB3">
        <w:rPr>
          <w:rFonts w:ascii="Arial" w:hAnsi="Arial"/>
          <w:sz w:val="24"/>
          <w:szCs w:val="24"/>
        </w:rPr>
        <w:t>. It is those questions of law which</w:t>
      </w:r>
      <w:r w:rsidR="00E14542" w:rsidRPr="006A2BB3">
        <w:rPr>
          <w:rFonts w:ascii="Arial" w:hAnsi="Arial"/>
          <w:sz w:val="24"/>
          <w:szCs w:val="24"/>
        </w:rPr>
        <w:t xml:space="preserve"> are now up for appeal in this court. </w:t>
      </w:r>
    </w:p>
    <w:p w:rsidR="00247B04" w:rsidRPr="006A2BB3" w:rsidRDefault="00247B04" w:rsidP="006A2BB3">
      <w:pPr>
        <w:spacing w:after="0" w:line="480" w:lineRule="auto"/>
        <w:jc w:val="both"/>
        <w:rPr>
          <w:rFonts w:ascii="Arial" w:hAnsi="Arial"/>
          <w:sz w:val="24"/>
          <w:szCs w:val="24"/>
        </w:rPr>
      </w:pPr>
    </w:p>
    <w:p w:rsidR="00E14542" w:rsidRPr="006A2BB3" w:rsidRDefault="00F13237" w:rsidP="006A2BB3">
      <w:pPr>
        <w:spacing w:after="0" w:line="480" w:lineRule="auto"/>
        <w:jc w:val="both"/>
        <w:rPr>
          <w:rFonts w:ascii="Arial" w:hAnsi="Arial"/>
          <w:sz w:val="24"/>
          <w:szCs w:val="24"/>
        </w:rPr>
      </w:pPr>
      <w:r w:rsidRPr="006A2BB3">
        <w:rPr>
          <w:rFonts w:ascii="Arial" w:hAnsi="Arial"/>
          <w:sz w:val="24"/>
          <w:szCs w:val="24"/>
        </w:rPr>
        <w:t>[71</w:t>
      </w:r>
      <w:r w:rsidR="00E14542" w:rsidRPr="006A2BB3">
        <w:rPr>
          <w:rFonts w:ascii="Arial" w:hAnsi="Arial"/>
          <w:sz w:val="24"/>
          <w:szCs w:val="24"/>
        </w:rPr>
        <w:t>]</w:t>
      </w:r>
      <w:r w:rsidR="00E14542" w:rsidRPr="006A2BB3">
        <w:rPr>
          <w:rFonts w:ascii="Arial" w:hAnsi="Arial"/>
          <w:sz w:val="24"/>
          <w:szCs w:val="24"/>
        </w:rPr>
        <w:tab/>
        <w:t xml:space="preserve">Further, the respondent makes no allegations that the evidence relied upon in the case against him is fundamentally false; that there had been an abuse of process; that there was a lack of </w:t>
      </w:r>
      <w:r w:rsidR="00E14542" w:rsidRPr="006A2BB3">
        <w:rPr>
          <w:rFonts w:ascii="Arial" w:hAnsi="Arial"/>
          <w:i/>
          <w:sz w:val="24"/>
          <w:szCs w:val="24"/>
        </w:rPr>
        <w:t>bona fides</w:t>
      </w:r>
      <w:r w:rsidR="00E14542" w:rsidRPr="006A2BB3">
        <w:rPr>
          <w:rFonts w:ascii="Arial" w:hAnsi="Arial"/>
          <w:sz w:val="24"/>
          <w:szCs w:val="24"/>
        </w:rPr>
        <w:t xml:space="preserve"> or there had been a failure to properly disclose any information in the application for the </w:t>
      </w:r>
      <w:r w:rsidR="00E14542" w:rsidRPr="006A2BB3">
        <w:rPr>
          <w:rFonts w:ascii="Arial" w:hAnsi="Arial"/>
          <w:i/>
          <w:sz w:val="24"/>
          <w:szCs w:val="24"/>
        </w:rPr>
        <w:t>rule nisi</w:t>
      </w:r>
      <w:r w:rsidR="00E14542" w:rsidRPr="006A2BB3">
        <w:rPr>
          <w:rFonts w:ascii="Arial" w:hAnsi="Arial"/>
          <w:sz w:val="24"/>
          <w:szCs w:val="24"/>
        </w:rPr>
        <w:t xml:space="preserve"> to be confirmed.</w:t>
      </w:r>
      <w:r w:rsidR="0073105E" w:rsidRPr="006A2BB3">
        <w:rPr>
          <w:rStyle w:val="FootnoteReference"/>
          <w:rFonts w:ascii="Arial" w:hAnsi="Arial"/>
          <w:sz w:val="24"/>
          <w:szCs w:val="24"/>
        </w:rPr>
        <w:footnoteReference w:id="25"/>
      </w:r>
      <w:r w:rsidR="00E14542" w:rsidRPr="006A2BB3">
        <w:rPr>
          <w:rFonts w:ascii="Arial" w:hAnsi="Arial"/>
          <w:sz w:val="24"/>
          <w:szCs w:val="24"/>
        </w:rPr>
        <w:t xml:space="preserve"> In other words</w:t>
      </w:r>
      <w:r w:rsidR="009D4F9B">
        <w:rPr>
          <w:rFonts w:ascii="Arial" w:hAnsi="Arial"/>
          <w:sz w:val="24"/>
          <w:szCs w:val="24"/>
        </w:rPr>
        <w:t>,</w:t>
      </w:r>
      <w:r w:rsidR="00E14542" w:rsidRPr="006A2BB3">
        <w:rPr>
          <w:rFonts w:ascii="Arial" w:hAnsi="Arial"/>
          <w:sz w:val="24"/>
          <w:szCs w:val="24"/>
        </w:rPr>
        <w:t xml:space="preserve"> there remains no fundamental dispute of facts in this matter so far as it concerns the confirmation of the </w:t>
      </w:r>
      <w:r w:rsidR="00E14542" w:rsidRPr="006A2BB3">
        <w:rPr>
          <w:rFonts w:ascii="Arial" w:hAnsi="Arial"/>
          <w:i/>
          <w:sz w:val="24"/>
          <w:szCs w:val="24"/>
        </w:rPr>
        <w:t>rule nisi</w:t>
      </w:r>
      <w:r w:rsidR="00E14542" w:rsidRPr="006A2BB3">
        <w:rPr>
          <w:rFonts w:ascii="Arial" w:hAnsi="Arial"/>
          <w:sz w:val="24"/>
          <w:szCs w:val="24"/>
        </w:rPr>
        <w:t xml:space="preserve"> and </w:t>
      </w:r>
      <w:r w:rsidR="008706D3" w:rsidRPr="006A2BB3">
        <w:rPr>
          <w:rFonts w:ascii="Arial" w:hAnsi="Arial"/>
          <w:sz w:val="24"/>
          <w:szCs w:val="24"/>
        </w:rPr>
        <w:t xml:space="preserve">the </w:t>
      </w:r>
      <w:r w:rsidR="00E14542" w:rsidRPr="006A2BB3">
        <w:rPr>
          <w:rFonts w:ascii="Arial" w:hAnsi="Arial"/>
          <w:sz w:val="24"/>
          <w:szCs w:val="24"/>
        </w:rPr>
        <w:t>granting of the property preservation order.</w:t>
      </w:r>
    </w:p>
    <w:p w:rsidR="00E14542" w:rsidRPr="006A2BB3" w:rsidRDefault="00E14542" w:rsidP="006A2BB3">
      <w:pPr>
        <w:spacing w:after="0" w:line="480" w:lineRule="auto"/>
        <w:ind w:left="360"/>
        <w:jc w:val="both"/>
        <w:rPr>
          <w:rFonts w:ascii="Arial" w:hAnsi="Arial"/>
          <w:sz w:val="24"/>
          <w:szCs w:val="24"/>
        </w:rPr>
      </w:pPr>
    </w:p>
    <w:p w:rsidR="00E14542" w:rsidRPr="006A2BB3" w:rsidRDefault="00F13237" w:rsidP="006A2BB3">
      <w:pPr>
        <w:spacing w:after="0" w:line="480" w:lineRule="auto"/>
        <w:jc w:val="both"/>
        <w:rPr>
          <w:rFonts w:ascii="Arial" w:hAnsi="Arial"/>
          <w:sz w:val="24"/>
          <w:szCs w:val="24"/>
        </w:rPr>
      </w:pPr>
      <w:r w:rsidRPr="006A2BB3">
        <w:rPr>
          <w:rFonts w:ascii="Arial" w:hAnsi="Arial"/>
          <w:sz w:val="24"/>
          <w:szCs w:val="24"/>
        </w:rPr>
        <w:t>[72</w:t>
      </w:r>
      <w:r w:rsidR="00E14542" w:rsidRPr="006A2BB3">
        <w:rPr>
          <w:rFonts w:ascii="Arial" w:hAnsi="Arial"/>
          <w:sz w:val="24"/>
          <w:szCs w:val="24"/>
        </w:rPr>
        <w:t>]</w:t>
      </w:r>
      <w:r w:rsidR="00E14542" w:rsidRPr="006A2BB3">
        <w:rPr>
          <w:rFonts w:ascii="Arial" w:hAnsi="Arial"/>
          <w:sz w:val="24"/>
          <w:szCs w:val="24"/>
        </w:rPr>
        <w:tab/>
        <w:t xml:space="preserve">Indeed the High Court did not deal with the merits of the confirmation of the </w:t>
      </w:r>
      <w:r w:rsidR="00E14542" w:rsidRPr="006A2BB3">
        <w:rPr>
          <w:rFonts w:ascii="Arial" w:hAnsi="Arial"/>
          <w:i/>
          <w:sz w:val="24"/>
          <w:szCs w:val="24"/>
        </w:rPr>
        <w:t>rule nisi</w:t>
      </w:r>
      <w:r w:rsidR="00E14542" w:rsidRPr="006A2BB3">
        <w:rPr>
          <w:rFonts w:ascii="Arial" w:hAnsi="Arial"/>
          <w:sz w:val="24"/>
          <w:szCs w:val="24"/>
        </w:rPr>
        <w:t xml:space="preserve"> and there being no substantial dispute of fact remaining in that regard, the need to remit the matter back to the High Court was questioned. In </w:t>
      </w:r>
      <w:r w:rsidR="00E14542" w:rsidRPr="006A2BB3">
        <w:rPr>
          <w:rFonts w:ascii="Arial" w:hAnsi="Arial"/>
          <w:i/>
          <w:sz w:val="24"/>
          <w:szCs w:val="24"/>
        </w:rPr>
        <w:t>Teek v President of th</w:t>
      </w:r>
      <w:r w:rsidR="000C124F" w:rsidRPr="006A2BB3">
        <w:rPr>
          <w:rFonts w:ascii="Arial" w:hAnsi="Arial"/>
          <w:i/>
          <w:sz w:val="24"/>
          <w:szCs w:val="24"/>
        </w:rPr>
        <w:t xml:space="preserve">e Republic of Namibia </w:t>
      </w:r>
      <w:r w:rsidR="009D4F9B">
        <w:rPr>
          <w:rFonts w:ascii="Arial" w:hAnsi="Arial"/>
          <w:i/>
          <w:sz w:val="24"/>
          <w:szCs w:val="24"/>
        </w:rPr>
        <w:t>&amp; o</w:t>
      </w:r>
      <w:r w:rsidR="000C124F" w:rsidRPr="006A2BB3">
        <w:rPr>
          <w:rFonts w:ascii="Arial" w:hAnsi="Arial"/>
          <w:i/>
          <w:sz w:val="24"/>
          <w:szCs w:val="24"/>
        </w:rPr>
        <w:t>thers</w:t>
      </w:r>
      <w:r w:rsidR="00E14542" w:rsidRPr="006A2BB3">
        <w:rPr>
          <w:rFonts w:ascii="Arial" w:hAnsi="Arial"/>
          <w:sz w:val="24"/>
          <w:szCs w:val="24"/>
          <w:vertAlign w:val="superscript"/>
        </w:rPr>
        <w:footnoteReference w:id="26"/>
      </w:r>
      <w:r w:rsidR="001A5057" w:rsidRPr="006A2BB3">
        <w:rPr>
          <w:rFonts w:ascii="Arial" w:hAnsi="Arial"/>
          <w:sz w:val="24"/>
          <w:szCs w:val="24"/>
        </w:rPr>
        <w:t xml:space="preserve">, this court was </w:t>
      </w:r>
      <w:r w:rsidR="0073105E" w:rsidRPr="006A2BB3">
        <w:rPr>
          <w:rFonts w:ascii="Arial" w:hAnsi="Arial"/>
          <w:sz w:val="24"/>
          <w:szCs w:val="24"/>
        </w:rPr>
        <w:t>cognisant of the implications surrounding</w:t>
      </w:r>
      <w:r w:rsidR="001A5057" w:rsidRPr="006A2BB3">
        <w:rPr>
          <w:rFonts w:ascii="Arial" w:hAnsi="Arial"/>
          <w:sz w:val="24"/>
          <w:szCs w:val="24"/>
        </w:rPr>
        <w:t xml:space="preserve"> an apex court considering important constitutional issues as a co</w:t>
      </w:r>
      <w:r w:rsidR="009D250E" w:rsidRPr="006A2BB3">
        <w:rPr>
          <w:rFonts w:ascii="Arial" w:hAnsi="Arial"/>
          <w:sz w:val="24"/>
          <w:szCs w:val="24"/>
        </w:rPr>
        <w:t xml:space="preserve">urt of first and last instance and made reference to the views of the Constitutional Court </w:t>
      </w:r>
      <w:r w:rsidR="008706D3" w:rsidRPr="006A2BB3">
        <w:rPr>
          <w:rFonts w:ascii="Arial" w:hAnsi="Arial"/>
          <w:sz w:val="24"/>
          <w:szCs w:val="24"/>
        </w:rPr>
        <w:t xml:space="preserve">of South Africa </w:t>
      </w:r>
      <w:r w:rsidR="009D250E" w:rsidRPr="006A2BB3">
        <w:rPr>
          <w:rFonts w:ascii="Arial" w:hAnsi="Arial"/>
          <w:sz w:val="24"/>
          <w:szCs w:val="24"/>
        </w:rPr>
        <w:t xml:space="preserve">in </w:t>
      </w:r>
      <w:r w:rsidR="0032404F" w:rsidRPr="006A2BB3">
        <w:rPr>
          <w:rFonts w:ascii="Arial" w:hAnsi="Arial"/>
          <w:i/>
          <w:sz w:val="24"/>
          <w:szCs w:val="24"/>
        </w:rPr>
        <w:t xml:space="preserve">Bruce </w:t>
      </w:r>
      <w:r w:rsidR="009D4F9B">
        <w:rPr>
          <w:rFonts w:ascii="Arial" w:hAnsi="Arial"/>
          <w:i/>
          <w:sz w:val="24"/>
          <w:szCs w:val="24"/>
        </w:rPr>
        <w:t xml:space="preserve"> &amp;</w:t>
      </w:r>
      <w:r w:rsidR="0032404F" w:rsidRPr="006A2BB3">
        <w:rPr>
          <w:rFonts w:ascii="Arial" w:hAnsi="Arial"/>
          <w:i/>
          <w:sz w:val="24"/>
          <w:szCs w:val="24"/>
        </w:rPr>
        <w:t xml:space="preserve"> </w:t>
      </w:r>
      <w:r w:rsidR="009D4F9B">
        <w:rPr>
          <w:rFonts w:ascii="Arial" w:hAnsi="Arial"/>
          <w:i/>
          <w:sz w:val="24"/>
          <w:szCs w:val="24"/>
        </w:rPr>
        <w:t>a</w:t>
      </w:r>
      <w:r w:rsidR="0032404F" w:rsidRPr="006A2BB3">
        <w:rPr>
          <w:rFonts w:ascii="Arial" w:hAnsi="Arial"/>
          <w:i/>
          <w:sz w:val="24"/>
          <w:szCs w:val="24"/>
        </w:rPr>
        <w:t xml:space="preserve">nother v Fleecytex Johannesburg CC </w:t>
      </w:r>
      <w:r w:rsidR="009D4F9B">
        <w:rPr>
          <w:rFonts w:ascii="Arial" w:hAnsi="Arial"/>
          <w:i/>
          <w:sz w:val="24"/>
          <w:szCs w:val="24"/>
        </w:rPr>
        <w:t xml:space="preserve">&amp; </w:t>
      </w:r>
      <w:r w:rsidR="009D4F9B" w:rsidRPr="006A2BB3">
        <w:rPr>
          <w:rFonts w:ascii="Arial" w:hAnsi="Arial"/>
          <w:i/>
          <w:sz w:val="24"/>
          <w:szCs w:val="24"/>
        </w:rPr>
        <w:t xml:space="preserve"> </w:t>
      </w:r>
      <w:r w:rsidR="009D4F9B">
        <w:rPr>
          <w:rFonts w:ascii="Arial" w:hAnsi="Arial"/>
          <w:i/>
          <w:sz w:val="24"/>
          <w:szCs w:val="24"/>
        </w:rPr>
        <w:t>o</w:t>
      </w:r>
      <w:r w:rsidR="0032404F" w:rsidRPr="006A2BB3">
        <w:rPr>
          <w:rFonts w:ascii="Arial" w:hAnsi="Arial"/>
          <w:i/>
          <w:sz w:val="24"/>
          <w:szCs w:val="24"/>
        </w:rPr>
        <w:t>thers</w:t>
      </w:r>
      <w:r w:rsidR="000C124F" w:rsidRPr="006A2BB3">
        <w:rPr>
          <w:rFonts w:ascii="Arial" w:hAnsi="Arial"/>
          <w:i/>
          <w:sz w:val="24"/>
          <w:szCs w:val="24"/>
        </w:rPr>
        <w:t xml:space="preserve"> </w:t>
      </w:r>
      <w:r w:rsidR="0032404F" w:rsidRPr="006A2BB3">
        <w:rPr>
          <w:rFonts w:ascii="Arial" w:hAnsi="Arial"/>
          <w:sz w:val="24"/>
          <w:szCs w:val="24"/>
          <w:vertAlign w:val="superscript"/>
        </w:rPr>
        <w:footnoteReference w:id="27"/>
      </w:r>
      <w:r w:rsidR="00E07F11" w:rsidRPr="006A2BB3">
        <w:rPr>
          <w:rFonts w:ascii="Arial" w:hAnsi="Arial"/>
          <w:i/>
          <w:sz w:val="24"/>
          <w:szCs w:val="24"/>
        </w:rPr>
        <w:t>,</w:t>
      </w:r>
      <w:r w:rsidR="007C4413" w:rsidRPr="006A2BB3">
        <w:rPr>
          <w:rFonts w:ascii="Arial" w:hAnsi="Arial"/>
          <w:sz w:val="24"/>
          <w:szCs w:val="24"/>
          <w:vertAlign w:val="superscript"/>
        </w:rPr>
        <w:t xml:space="preserve"> </w:t>
      </w:r>
      <w:r w:rsidR="009D250E" w:rsidRPr="006A2BB3">
        <w:rPr>
          <w:rFonts w:ascii="Arial" w:hAnsi="Arial"/>
          <w:sz w:val="24"/>
          <w:szCs w:val="24"/>
        </w:rPr>
        <w:t xml:space="preserve">where it </w:t>
      </w:r>
      <w:r w:rsidR="008706D3" w:rsidRPr="006A2BB3">
        <w:rPr>
          <w:rFonts w:ascii="Arial" w:hAnsi="Arial"/>
          <w:sz w:val="24"/>
          <w:szCs w:val="24"/>
        </w:rPr>
        <w:t xml:space="preserve">was </w:t>
      </w:r>
      <w:r w:rsidR="009D250E" w:rsidRPr="006A2BB3">
        <w:rPr>
          <w:rFonts w:ascii="Arial" w:hAnsi="Arial"/>
          <w:sz w:val="24"/>
          <w:szCs w:val="24"/>
        </w:rPr>
        <w:t>held that</w:t>
      </w:r>
      <w:r w:rsidR="009D4F9B">
        <w:rPr>
          <w:rFonts w:ascii="Arial" w:hAnsi="Arial"/>
          <w:sz w:val="24"/>
          <w:szCs w:val="24"/>
        </w:rPr>
        <w:t>:</w:t>
      </w:r>
    </w:p>
    <w:p w:rsidR="009D4F9B" w:rsidRDefault="009D4F9B" w:rsidP="006A2BB3">
      <w:pPr>
        <w:spacing w:after="0" w:line="480" w:lineRule="auto"/>
        <w:ind w:left="900"/>
        <w:rPr>
          <w:rFonts w:ascii="Arial" w:hAnsi="Arial"/>
          <w:i/>
          <w:sz w:val="24"/>
          <w:szCs w:val="24"/>
        </w:rPr>
      </w:pPr>
    </w:p>
    <w:p w:rsidR="009D250E" w:rsidRPr="006A2BB3" w:rsidRDefault="009D4F9B" w:rsidP="009D4F9B">
      <w:pPr>
        <w:spacing w:after="0" w:line="360" w:lineRule="auto"/>
        <w:ind w:left="900"/>
        <w:jc w:val="both"/>
        <w:rPr>
          <w:rFonts w:ascii="Arial" w:hAnsi="Arial"/>
          <w:i/>
          <w:sz w:val="24"/>
          <w:szCs w:val="24"/>
        </w:rPr>
      </w:pPr>
      <w:r w:rsidRPr="009D4F9B">
        <w:rPr>
          <w:rFonts w:ascii="Arial" w:hAnsi="Arial"/>
        </w:rPr>
        <w:t>'</w:t>
      </w:r>
      <w:r w:rsidR="009D250E" w:rsidRPr="009D4F9B">
        <w:rPr>
          <w:rFonts w:ascii="Arial" w:hAnsi="Arial"/>
        </w:rPr>
        <w:t xml:space="preserve">It is moreover, not ordinarily in the interests of justice for a court to sit as a court of first and last instance </w:t>
      </w:r>
      <w:r w:rsidR="002E0736" w:rsidRPr="009D4F9B">
        <w:rPr>
          <w:rFonts w:ascii="Arial" w:hAnsi="Arial"/>
        </w:rPr>
        <w:t xml:space="preserve">in which matters are decided without there being any possibility of appealing against the decision given. Experience shows that decisions are more likely to be correct if more than one court has been required to consider the issues raised. In such circumstances, the losing party has an opportunity of challenging the reasoning in which the first judgment is based, and of considering and refining arguments previously raised </w:t>
      </w:r>
      <w:r w:rsidR="00FC0B0D" w:rsidRPr="009D4F9B">
        <w:rPr>
          <w:rFonts w:ascii="Arial" w:hAnsi="Arial"/>
        </w:rPr>
        <w:t xml:space="preserve">in the light of such </w:t>
      </w:r>
      <w:r w:rsidR="00247B04" w:rsidRPr="009D4F9B">
        <w:rPr>
          <w:rFonts w:ascii="Arial" w:hAnsi="Arial"/>
        </w:rPr>
        <w:t>judgment.</w:t>
      </w:r>
      <w:r w:rsidRPr="009D4F9B">
        <w:rPr>
          <w:rFonts w:ascii="Arial" w:hAnsi="Arial"/>
        </w:rPr>
        <w:t>'</w:t>
      </w:r>
      <w:r w:rsidR="00247B04" w:rsidRPr="006A2BB3">
        <w:rPr>
          <w:rFonts w:ascii="Arial" w:hAnsi="Arial"/>
          <w:i/>
          <w:sz w:val="24"/>
          <w:szCs w:val="24"/>
        </w:rPr>
        <w:t xml:space="preserve"> </w:t>
      </w:r>
      <w:r w:rsidR="00E07F11" w:rsidRPr="006A2BB3">
        <w:rPr>
          <w:rStyle w:val="FootnoteReference"/>
          <w:rFonts w:ascii="Arial" w:hAnsi="Arial"/>
          <w:i/>
          <w:sz w:val="24"/>
          <w:szCs w:val="24"/>
        </w:rPr>
        <w:footnoteReference w:id="28"/>
      </w:r>
    </w:p>
    <w:p w:rsidR="0032404F" w:rsidRPr="006A2BB3" w:rsidRDefault="0032404F" w:rsidP="006A2BB3">
      <w:pPr>
        <w:spacing w:after="0" w:line="480" w:lineRule="auto"/>
        <w:ind w:left="360"/>
        <w:jc w:val="both"/>
        <w:rPr>
          <w:rFonts w:ascii="Arial" w:hAnsi="Arial"/>
          <w:sz w:val="24"/>
          <w:szCs w:val="24"/>
        </w:rPr>
      </w:pPr>
    </w:p>
    <w:p w:rsidR="0038374F" w:rsidRPr="006A2BB3" w:rsidRDefault="00F13237" w:rsidP="006A2BB3">
      <w:pPr>
        <w:spacing w:after="0" w:line="480" w:lineRule="auto"/>
        <w:jc w:val="both"/>
        <w:rPr>
          <w:rFonts w:ascii="Arial" w:hAnsi="Arial"/>
          <w:sz w:val="24"/>
          <w:szCs w:val="24"/>
        </w:rPr>
      </w:pPr>
      <w:r w:rsidRPr="006A2BB3">
        <w:rPr>
          <w:rFonts w:ascii="Arial" w:hAnsi="Arial"/>
          <w:sz w:val="24"/>
          <w:szCs w:val="24"/>
        </w:rPr>
        <w:t>[73</w:t>
      </w:r>
      <w:r w:rsidR="0032404F" w:rsidRPr="006A2BB3">
        <w:rPr>
          <w:rFonts w:ascii="Arial" w:hAnsi="Arial"/>
          <w:sz w:val="24"/>
          <w:szCs w:val="24"/>
        </w:rPr>
        <w:t>]</w:t>
      </w:r>
      <w:r w:rsidR="0032404F" w:rsidRPr="006A2BB3">
        <w:rPr>
          <w:rFonts w:ascii="Arial" w:hAnsi="Arial"/>
          <w:sz w:val="24"/>
          <w:szCs w:val="24"/>
        </w:rPr>
        <w:tab/>
      </w:r>
      <w:r w:rsidR="00A27FE0" w:rsidRPr="006A2BB3">
        <w:rPr>
          <w:rFonts w:ascii="Arial" w:hAnsi="Arial"/>
          <w:sz w:val="24"/>
          <w:szCs w:val="24"/>
        </w:rPr>
        <w:t>That being the case</w:t>
      </w:r>
      <w:r w:rsidR="008706D3" w:rsidRPr="006A2BB3">
        <w:rPr>
          <w:rFonts w:ascii="Arial" w:hAnsi="Arial"/>
          <w:sz w:val="24"/>
          <w:szCs w:val="24"/>
        </w:rPr>
        <w:t>,</w:t>
      </w:r>
      <w:r w:rsidR="00A27FE0" w:rsidRPr="006A2BB3">
        <w:rPr>
          <w:rFonts w:ascii="Arial" w:hAnsi="Arial"/>
          <w:sz w:val="24"/>
          <w:szCs w:val="24"/>
        </w:rPr>
        <w:t xml:space="preserve"> in circumstances where the Supreme Court is in the process of considering an application for leave to appeal, it is not </w:t>
      </w:r>
      <w:r w:rsidR="000832C1" w:rsidRPr="006A2BB3">
        <w:rPr>
          <w:rFonts w:ascii="Arial" w:hAnsi="Arial"/>
          <w:sz w:val="24"/>
          <w:szCs w:val="24"/>
        </w:rPr>
        <w:t xml:space="preserve">contrary to the interests of justice </w:t>
      </w:r>
      <w:r w:rsidR="00583E61" w:rsidRPr="006A2BB3">
        <w:rPr>
          <w:rFonts w:ascii="Arial" w:hAnsi="Arial"/>
          <w:sz w:val="24"/>
          <w:szCs w:val="24"/>
        </w:rPr>
        <w:t>to determine that</w:t>
      </w:r>
      <w:r w:rsidR="00A27FE0" w:rsidRPr="006A2BB3">
        <w:rPr>
          <w:rFonts w:ascii="Arial" w:hAnsi="Arial"/>
          <w:sz w:val="24"/>
          <w:szCs w:val="24"/>
        </w:rPr>
        <w:t xml:space="preserve"> this court is entitled to determine an issue which arises for the first time during the course of an appeal, as was the case in </w:t>
      </w:r>
      <w:r w:rsidR="0007483B" w:rsidRPr="006A2BB3">
        <w:rPr>
          <w:rFonts w:ascii="Arial" w:hAnsi="Arial"/>
          <w:i/>
          <w:sz w:val="24"/>
          <w:szCs w:val="24"/>
        </w:rPr>
        <w:t xml:space="preserve">JS </w:t>
      </w:r>
      <w:r w:rsidR="00A27FE0" w:rsidRPr="006A2BB3">
        <w:rPr>
          <w:rFonts w:ascii="Arial" w:hAnsi="Arial"/>
          <w:i/>
          <w:sz w:val="24"/>
          <w:szCs w:val="24"/>
        </w:rPr>
        <w:t xml:space="preserve">v </w:t>
      </w:r>
      <w:r w:rsidR="0007483B" w:rsidRPr="006A2BB3">
        <w:rPr>
          <w:rFonts w:ascii="Arial" w:hAnsi="Arial"/>
          <w:i/>
          <w:sz w:val="24"/>
          <w:szCs w:val="24"/>
        </w:rPr>
        <w:t xml:space="preserve">LC </w:t>
      </w:r>
      <w:r w:rsidR="009D4F9B">
        <w:rPr>
          <w:rFonts w:ascii="Arial" w:hAnsi="Arial"/>
          <w:i/>
          <w:sz w:val="24"/>
          <w:szCs w:val="24"/>
        </w:rPr>
        <w:t>&amp;</w:t>
      </w:r>
      <w:r w:rsidR="009D4F9B" w:rsidRPr="006A2BB3">
        <w:rPr>
          <w:rFonts w:ascii="Arial" w:hAnsi="Arial"/>
          <w:i/>
          <w:sz w:val="24"/>
          <w:szCs w:val="24"/>
        </w:rPr>
        <w:t xml:space="preserve"> </w:t>
      </w:r>
      <w:r w:rsidR="009D4F9B">
        <w:rPr>
          <w:rFonts w:ascii="Arial" w:hAnsi="Arial"/>
          <w:i/>
          <w:sz w:val="24"/>
          <w:szCs w:val="24"/>
        </w:rPr>
        <w:t>a</w:t>
      </w:r>
      <w:r w:rsidR="00A27FE0" w:rsidRPr="006A2BB3">
        <w:rPr>
          <w:rFonts w:ascii="Arial" w:hAnsi="Arial"/>
          <w:i/>
          <w:sz w:val="24"/>
          <w:szCs w:val="24"/>
        </w:rPr>
        <w:t>nother</w:t>
      </w:r>
      <w:r w:rsidR="000A2B19" w:rsidRPr="006A2BB3">
        <w:rPr>
          <w:rFonts w:ascii="Arial" w:hAnsi="Arial"/>
          <w:i/>
          <w:sz w:val="24"/>
          <w:szCs w:val="24"/>
        </w:rPr>
        <w:t>.</w:t>
      </w:r>
      <w:r w:rsidR="00F03603" w:rsidRPr="006A2BB3">
        <w:rPr>
          <w:rFonts w:ascii="Arial" w:hAnsi="Arial"/>
          <w:sz w:val="24"/>
          <w:szCs w:val="24"/>
          <w:vertAlign w:val="superscript"/>
        </w:rPr>
        <w:footnoteReference w:id="29"/>
      </w:r>
      <w:r w:rsidR="000A2B19" w:rsidRPr="006A2BB3">
        <w:rPr>
          <w:rFonts w:ascii="Arial" w:hAnsi="Arial"/>
          <w:sz w:val="24"/>
          <w:szCs w:val="24"/>
        </w:rPr>
        <w:t xml:space="preserve"> </w:t>
      </w:r>
      <w:r w:rsidR="000832C1" w:rsidRPr="006A2BB3">
        <w:rPr>
          <w:rFonts w:ascii="Arial" w:hAnsi="Arial"/>
          <w:sz w:val="24"/>
          <w:szCs w:val="24"/>
        </w:rPr>
        <w:t xml:space="preserve">The same approach can be adopted </w:t>
      </w:r>
      <w:r w:rsidR="00A27FE0" w:rsidRPr="006A2BB3">
        <w:rPr>
          <w:rFonts w:ascii="Arial" w:hAnsi="Arial"/>
          <w:sz w:val="24"/>
          <w:szCs w:val="24"/>
        </w:rPr>
        <w:t>where the issue had already been fully traversed in the High Court and there are no lingering questions of substance</w:t>
      </w:r>
      <w:r w:rsidR="008D7196" w:rsidRPr="006A2BB3">
        <w:rPr>
          <w:rFonts w:ascii="Arial" w:hAnsi="Arial"/>
          <w:sz w:val="24"/>
          <w:szCs w:val="24"/>
        </w:rPr>
        <w:t xml:space="preserve"> in dispute. </w:t>
      </w:r>
    </w:p>
    <w:p w:rsidR="007C4413" w:rsidRPr="006A2BB3" w:rsidRDefault="007C4413" w:rsidP="006A2BB3">
      <w:pPr>
        <w:spacing w:after="0" w:line="480" w:lineRule="auto"/>
        <w:ind w:left="360"/>
        <w:jc w:val="both"/>
        <w:rPr>
          <w:rFonts w:ascii="Arial" w:hAnsi="Arial"/>
          <w:sz w:val="24"/>
          <w:szCs w:val="24"/>
        </w:rPr>
      </w:pPr>
    </w:p>
    <w:p w:rsidR="007C4413" w:rsidRPr="006A2BB3" w:rsidRDefault="00F13237" w:rsidP="006A2BB3">
      <w:pPr>
        <w:spacing w:after="0" w:line="480" w:lineRule="auto"/>
        <w:jc w:val="both"/>
        <w:rPr>
          <w:rFonts w:ascii="Arial" w:hAnsi="Arial"/>
          <w:sz w:val="24"/>
          <w:szCs w:val="24"/>
        </w:rPr>
      </w:pPr>
      <w:r w:rsidRPr="006A2BB3">
        <w:rPr>
          <w:rFonts w:ascii="Arial" w:hAnsi="Arial"/>
          <w:sz w:val="24"/>
          <w:szCs w:val="24"/>
        </w:rPr>
        <w:t>[74</w:t>
      </w:r>
      <w:r w:rsidR="007C4413" w:rsidRPr="006A2BB3">
        <w:rPr>
          <w:rFonts w:ascii="Arial" w:hAnsi="Arial"/>
          <w:sz w:val="24"/>
          <w:szCs w:val="24"/>
        </w:rPr>
        <w:t>]</w:t>
      </w:r>
      <w:r w:rsidR="007C4413" w:rsidRPr="006A2BB3">
        <w:rPr>
          <w:rFonts w:ascii="Arial" w:hAnsi="Arial"/>
          <w:sz w:val="24"/>
          <w:szCs w:val="24"/>
        </w:rPr>
        <w:tab/>
        <w:t xml:space="preserve">Although the High Court did not determine the merits of the case, the questions regarding the confirmation of the </w:t>
      </w:r>
      <w:r w:rsidR="007C4413" w:rsidRPr="006A2BB3">
        <w:rPr>
          <w:rFonts w:ascii="Arial" w:hAnsi="Arial"/>
          <w:i/>
          <w:sz w:val="24"/>
          <w:szCs w:val="24"/>
        </w:rPr>
        <w:t>rule nisi</w:t>
      </w:r>
      <w:r w:rsidR="007C4413" w:rsidRPr="006A2BB3">
        <w:rPr>
          <w:rFonts w:ascii="Arial" w:hAnsi="Arial"/>
          <w:sz w:val="24"/>
          <w:szCs w:val="24"/>
        </w:rPr>
        <w:t xml:space="preserve"> were well traversed. </w:t>
      </w:r>
      <w:r w:rsidR="00DD7ECB">
        <w:rPr>
          <w:rFonts w:ascii="Arial" w:hAnsi="Arial"/>
          <w:sz w:val="24"/>
          <w:szCs w:val="24"/>
        </w:rPr>
        <w:t>A</w:t>
      </w:r>
      <w:r w:rsidR="007C4413" w:rsidRPr="006A2BB3">
        <w:rPr>
          <w:rFonts w:ascii="Arial" w:hAnsi="Arial"/>
          <w:sz w:val="24"/>
          <w:szCs w:val="24"/>
        </w:rPr>
        <w:t>lthough remitting the matter back to the High Court would generally be the proper approach in the context of the jurisdiction of courts</w:t>
      </w:r>
      <w:r w:rsidR="000832C1" w:rsidRPr="006A2BB3">
        <w:rPr>
          <w:rFonts w:ascii="Arial" w:hAnsi="Arial"/>
          <w:sz w:val="24"/>
          <w:szCs w:val="24"/>
        </w:rPr>
        <w:t>,</w:t>
      </w:r>
      <w:r w:rsidR="007C4413" w:rsidRPr="006A2BB3">
        <w:rPr>
          <w:rFonts w:ascii="Arial" w:hAnsi="Arial"/>
          <w:sz w:val="24"/>
          <w:szCs w:val="24"/>
        </w:rPr>
        <w:t xml:space="preserve"> doing so</w:t>
      </w:r>
      <w:r w:rsidR="0073105E" w:rsidRPr="006A2BB3">
        <w:rPr>
          <w:rFonts w:ascii="Arial" w:hAnsi="Arial"/>
          <w:sz w:val="24"/>
          <w:szCs w:val="24"/>
        </w:rPr>
        <w:t xml:space="preserve"> in a constitutional dispensation where undue court delays are antithetical to the right of access to justice and moreover where remitting the matter</w:t>
      </w:r>
      <w:r w:rsidR="000832C1" w:rsidRPr="006A2BB3">
        <w:rPr>
          <w:rFonts w:ascii="Arial" w:hAnsi="Arial"/>
          <w:sz w:val="24"/>
          <w:szCs w:val="24"/>
        </w:rPr>
        <w:t xml:space="preserve"> in the particular circumstances of this case</w:t>
      </w:r>
      <w:r w:rsidR="00583E61" w:rsidRPr="006A2BB3">
        <w:rPr>
          <w:rFonts w:ascii="Arial" w:hAnsi="Arial"/>
          <w:sz w:val="24"/>
          <w:szCs w:val="24"/>
        </w:rPr>
        <w:t xml:space="preserve"> would</w:t>
      </w:r>
      <w:r w:rsidR="007C4413" w:rsidRPr="006A2BB3">
        <w:rPr>
          <w:rFonts w:ascii="Arial" w:hAnsi="Arial"/>
          <w:sz w:val="24"/>
          <w:szCs w:val="24"/>
        </w:rPr>
        <w:t xml:space="preserve"> be overly formal, favourin</w:t>
      </w:r>
      <w:r w:rsidR="000832C1" w:rsidRPr="006A2BB3">
        <w:rPr>
          <w:rFonts w:ascii="Arial" w:hAnsi="Arial"/>
          <w:sz w:val="24"/>
          <w:szCs w:val="24"/>
        </w:rPr>
        <w:t>g form before substance and undermining</w:t>
      </w:r>
      <w:r w:rsidR="007C4413" w:rsidRPr="006A2BB3">
        <w:rPr>
          <w:rFonts w:ascii="Arial" w:hAnsi="Arial"/>
          <w:sz w:val="24"/>
          <w:szCs w:val="24"/>
        </w:rPr>
        <w:t xml:space="preserve"> the interests of finality which must be a primary consideration in any proceedings before our courts. </w:t>
      </w:r>
    </w:p>
    <w:p w:rsidR="007C4413" w:rsidRPr="006A2BB3" w:rsidRDefault="007C4413" w:rsidP="006A2BB3">
      <w:pPr>
        <w:spacing w:after="0" w:line="480" w:lineRule="auto"/>
        <w:ind w:left="360"/>
        <w:jc w:val="both"/>
        <w:rPr>
          <w:rFonts w:ascii="Arial" w:hAnsi="Arial"/>
          <w:sz w:val="24"/>
          <w:szCs w:val="24"/>
        </w:rPr>
      </w:pPr>
    </w:p>
    <w:p w:rsidR="007C4413" w:rsidRPr="006A2BB3" w:rsidRDefault="00F13237" w:rsidP="006A2BB3">
      <w:pPr>
        <w:spacing w:after="0" w:line="480" w:lineRule="auto"/>
        <w:jc w:val="both"/>
        <w:rPr>
          <w:rFonts w:ascii="Arial" w:hAnsi="Arial"/>
          <w:sz w:val="24"/>
          <w:szCs w:val="24"/>
        </w:rPr>
      </w:pPr>
      <w:r w:rsidRPr="006A2BB3">
        <w:rPr>
          <w:rFonts w:ascii="Arial" w:hAnsi="Arial"/>
          <w:sz w:val="24"/>
          <w:szCs w:val="24"/>
        </w:rPr>
        <w:t>[75</w:t>
      </w:r>
      <w:r w:rsidR="007C4413" w:rsidRPr="006A2BB3">
        <w:rPr>
          <w:rFonts w:ascii="Arial" w:hAnsi="Arial"/>
          <w:sz w:val="24"/>
          <w:szCs w:val="24"/>
        </w:rPr>
        <w:t>]</w:t>
      </w:r>
      <w:r w:rsidR="007C4413" w:rsidRPr="006A2BB3">
        <w:rPr>
          <w:rFonts w:ascii="Arial" w:hAnsi="Arial"/>
          <w:sz w:val="24"/>
          <w:szCs w:val="24"/>
        </w:rPr>
        <w:tab/>
        <w:t xml:space="preserve">Mindful of the jurisdiction of this court as a court of appeal and </w:t>
      </w:r>
      <w:r w:rsidR="000832C1" w:rsidRPr="006A2BB3">
        <w:rPr>
          <w:rFonts w:ascii="Arial" w:hAnsi="Arial"/>
          <w:sz w:val="24"/>
          <w:szCs w:val="24"/>
        </w:rPr>
        <w:t xml:space="preserve">of the fact </w:t>
      </w:r>
      <w:r w:rsidR="007C4413" w:rsidRPr="006A2BB3">
        <w:rPr>
          <w:rFonts w:ascii="Arial" w:hAnsi="Arial"/>
          <w:sz w:val="24"/>
          <w:szCs w:val="24"/>
        </w:rPr>
        <w:t>that we must be ci</w:t>
      </w:r>
      <w:r w:rsidR="000832C1" w:rsidRPr="006A2BB3">
        <w:rPr>
          <w:rFonts w:ascii="Arial" w:hAnsi="Arial"/>
          <w:sz w:val="24"/>
          <w:szCs w:val="24"/>
        </w:rPr>
        <w:t>rcumspect in determining issues</w:t>
      </w:r>
      <w:r w:rsidR="007C4413" w:rsidRPr="006A2BB3">
        <w:rPr>
          <w:rFonts w:ascii="Arial" w:hAnsi="Arial"/>
          <w:sz w:val="24"/>
          <w:szCs w:val="24"/>
        </w:rPr>
        <w:t xml:space="preserve"> of fact and law as if it is a court of first instance thus usurping the role of the court of first instance, for the reasons</w:t>
      </w:r>
      <w:r w:rsidR="000832C1" w:rsidRPr="006A2BB3">
        <w:rPr>
          <w:rFonts w:ascii="Arial" w:hAnsi="Arial"/>
          <w:sz w:val="24"/>
          <w:szCs w:val="24"/>
        </w:rPr>
        <w:t xml:space="preserve"> stated above, it would not be in the interests of justice</w:t>
      </w:r>
      <w:r w:rsidR="007C4413" w:rsidRPr="006A2BB3">
        <w:rPr>
          <w:rFonts w:ascii="Arial" w:hAnsi="Arial"/>
          <w:sz w:val="24"/>
          <w:szCs w:val="24"/>
        </w:rPr>
        <w:t xml:space="preserve"> nor </w:t>
      </w:r>
      <w:r w:rsidR="000832C1" w:rsidRPr="006A2BB3">
        <w:rPr>
          <w:rFonts w:ascii="Arial" w:hAnsi="Arial"/>
          <w:sz w:val="24"/>
          <w:szCs w:val="24"/>
        </w:rPr>
        <w:t xml:space="preserve">would it be </w:t>
      </w:r>
      <w:r w:rsidR="007C4413" w:rsidRPr="006A2BB3">
        <w:rPr>
          <w:rFonts w:ascii="Arial" w:hAnsi="Arial"/>
          <w:sz w:val="24"/>
          <w:szCs w:val="24"/>
        </w:rPr>
        <w:t xml:space="preserve">just and equitable to insist on remitting the issue of the confirmation of the </w:t>
      </w:r>
      <w:r w:rsidR="007C4413" w:rsidRPr="006A2BB3">
        <w:rPr>
          <w:rFonts w:ascii="Arial" w:hAnsi="Arial"/>
          <w:i/>
          <w:sz w:val="24"/>
          <w:szCs w:val="24"/>
        </w:rPr>
        <w:t>rule nisi</w:t>
      </w:r>
      <w:r w:rsidR="007C4413" w:rsidRPr="006A2BB3">
        <w:rPr>
          <w:rFonts w:ascii="Arial" w:hAnsi="Arial"/>
          <w:sz w:val="24"/>
          <w:szCs w:val="24"/>
        </w:rPr>
        <w:t xml:space="preserve"> to the High Court. In addition, </w:t>
      </w:r>
      <w:r w:rsidR="000832C1" w:rsidRPr="006A2BB3">
        <w:rPr>
          <w:rFonts w:ascii="Arial" w:hAnsi="Arial"/>
          <w:sz w:val="24"/>
          <w:szCs w:val="24"/>
        </w:rPr>
        <w:t xml:space="preserve">the </w:t>
      </w:r>
      <w:r w:rsidR="007C4413" w:rsidRPr="006A2BB3">
        <w:rPr>
          <w:rFonts w:ascii="Arial" w:hAnsi="Arial"/>
          <w:sz w:val="24"/>
          <w:szCs w:val="24"/>
        </w:rPr>
        <w:t>reluctance to remit the matter back to the High Court takes into account the balance of convenience, bringing the matter to finality, rather than deciding it</w:t>
      </w:r>
      <w:r w:rsidR="000832C1" w:rsidRPr="006A2BB3">
        <w:rPr>
          <w:rFonts w:ascii="Arial" w:hAnsi="Arial"/>
          <w:sz w:val="24"/>
          <w:szCs w:val="24"/>
        </w:rPr>
        <w:t xml:space="preserve"> piece-meal. The condition should</w:t>
      </w:r>
      <w:r w:rsidR="007C4413" w:rsidRPr="006A2BB3">
        <w:rPr>
          <w:rFonts w:ascii="Arial" w:hAnsi="Arial"/>
          <w:sz w:val="24"/>
          <w:szCs w:val="24"/>
        </w:rPr>
        <w:t xml:space="preserve"> only be that there would be no law which precludes this court from granting the property pre</w:t>
      </w:r>
      <w:r w:rsidR="000832C1" w:rsidRPr="006A2BB3">
        <w:rPr>
          <w:rFonts w:ascii="Arial" w:hAnsi="Arial"/>
          <w:sz w:val="24"/>
          <w:szCs w:val="24"/>
        </w:rPr>
        <w:t>servation order and confirming</w:t>
      </w:r>
      <w:r w:rsidR="007C4413" w:rsidRPr="006A2BB3">
        <w:rPr>
          <w:rFonts w:ascii="Arial" w:hAnsi="Arial"/>
          <w:sz w:val="24"/>
          <w:szCs w:val="24"/>
        </w:rPr>
        <w:t xml:space="preserve"> the </w:t>
      </w:r>
      <w:r w:rsidR="007C4413" w:rsidRPr="006A2BB3">
        <w:rPr>
          <w:rFonts w:ascii="Arial" w:hAnsi="Arial"/>
          <w:i/>
          <w:sz w:val="24"/>
          <w:szCs w:val="24"/>
        </w:rPr>
        <w:t>rule nisi</w:t>
      </w:r>
      <w:r w:rsidR="007C4413" w:rsidRPr="006A2BB3">
        <w:rPr>
          <w:rFonts w:ascii="Arial" w:hAnsi="Arial"/>
          <w:sz w:val="24"/>
          <w:szCs w:val="24"/>
        </w:rPr>
        <w:t xml:space="preserve">. </w:t>
      </w:r>
    </w:p>
    <w:p w:rsidR="009D7747" w:rsidRPr="006A2BB3" w:rsidRDefault="009D7747" w:rsidP="006A2BB3">
      <w:pPr>
        <w:spacing w:after="0" w:line="480" w:lineRule="auto"/>
        <w:jc w:val="both"/>
        <w:rPr>
          <w:rFonts w:ascii="Arial" w:hAnsi="Arial"/>
          <w:sz w:val="24"/>
          <w:szCs w:val="24"/>
        </w:rPr>
      </w:pPr>
    </w:p>
    <w:p w:rsidR="0038374F" w:rsidRPr="009F7534" w:rsidRDefault="009F7534" w:rsidP="006A2BB3">
      <w:pPr>
        <w:spacing w:after="0" w:line="480" w:lineRule="auto"/>
        <w:jc w:val="both"/>
        <w:rPr>
          <w:rFonts w:ascii="Arial" w:hAnsi="Arial"/>
          <w:sz w:val="24"/>
          <w:szCs w:val="24"/>
          <w:u w:val="single"/>
        </w:rPr>
      </w:pPr>
      <w:r w:rsidRPr="009F7534">
        <w:rPr>
          <w:rFonts w:ascii="Arial" w:hAnsi="Arial"/>
          <w:sz w:val="24"/>
          <w:szCs w:val="24"/>
          <w:u w:val="single"/>
        </w:rPr>
        <w:t>The requirements for granting the property preservation order</w:t>
      </w:r>
    </w:p>
    <w:p w:rsidR="00EF76C3" w:rsidRPr="006A2BB3" w:rsidRDefault="00F13237" w:rsidP="006A2BB3">
      <w:pPr>
        <w:spacing w:after="0" w:line="480" w:lineRule="auto"/>
        <w:jc w:val="both"/>
        <w:rPr>
          <w:rFonts w:ascii="Arial" w:hAnsi="Arial"/>
          <w:sz w:val="24"/>
          <w:szCs w:val="24"/>
        </w:rPr>
      </w:pPr>
      <w:r w:rsidRPr="006A2BB3">
        <w:rPr>
          <w:rFonts w:ascii="Arial" w:hAnsi="Arial"/>
          <w:sz w:val="24"/>
          <w:szCs w:val="24"/>
        </w:rPr>
        <w:t>[76</w:t>
      </w:r>
      <w:r w:rsidR="00E37DAD" w:rsidRPr="006A2BB3">
        <w:rPr>
          <w:rFonts w:ascii="Arial" w:hAnsi="Arial"/>
          <w:sz w:val="24"/>
          <w:szCs w:val="24"/>
        </w:rPr>
        <w:t>]</w:t>
      </w:r>
      <w:r w:rsidR="00E37DAD" w:rsidRPr="006A2BB3">
        <w:rPr>
          <w:rFonts w:ascii="Arial" w:hAnsi="Arial"/>
          <w:sz w:val="24"/>
          <w:szCs w:val="24"/>
        </w:rPr>
        <w:tab/>
        <w:t xml:space="preserve">The question to respond to </w:t>
      </w:r>
      <w:r w:rsidR="00835089" w:rsidRPr="006A2BB3">
        <w:rPr>
          <w:rFonts w:ascii="Arial" w:hAnsi="Arial"/>
          <w:sz w:val="24"/>
          <w:szCs w:val="24"/>
        </w:rPr>
        <w:t xml:space="preserve">here </w:t>
      </w:r>
      <w:r w:rsidR="00E37DAD" w:rsidRPr="006A2BB3">
        <w:rPr>
          <w:rFonts w:ascii="Arial" w:hAnsi="Arial"/>
          <w:sz w:val="24"/>
          <w:szCs w:val="24"/>
        </w:rPr>
        <w:t xml:space="preserve">is whether, based on the evidence before this court, there are reasonable grounds to believe that the property </w:t>
      </w:r>
      <w:r w:rsidR="00835089" w:rsidRPr="006A2BB3">
        <w:rPr>
          <w:rFonts w:ascii="Arial" w:hAnsi="Arial"/>
          <w:sz w:val="24"/>
          <w:szCs w:val="24"/>
        </w:rPr>
        <w:t>concerned</w:t>
      </w:r>
      <w:r w:rsidR="00E37DAD" w:rsidRPr="006A2BB3">
        <w:rPr>
          <w:rFonts w:ascii="Arial" w:hAnsi="Arial"/>
          <w:sz w:val="24"/>
          <w:szCs w:val="24"/>
        </w:rPr>
        <w:t>, namely, the positive balance in the FNB account, is the p</w:t>
      </w:r>
      <w:r w:rsidR="00EF76C3" w:rsidRPr="006A2BB3">
        <w:rPr>
          <w:rFonts w:ascii="Arial" w:hAnsi="Arial"/>
          <w:sz w:val="24"/>
          <w:szCs w:val="24"/>
        </w:rPr>
        <w:t>roceeds of unlawful activities.</w:t>
      </w:r>
    </w:p>
    <w:p w:rsidR="009F7534" w:rsidRDefault="009F7534" w:rsidP="006A2BB3">
      <w:pPr>
        <w:spacing w:after="0" w:line="480" w:lineRule="auto"/>
        <w:jc w:val="both"/>
        <w:rPr>
          <w:rFonts w:ascii="Arial" w:hAnsi="Arial"/>
          <w:sz w:val="24"/>
          <w:szCs w:val="24"/>
        </w:rPr>
      </w:pPr>
    </w:p>
    <w:p w:rsidR="0038374F" w:rsidRPr="006A2BB3" w:rsidRDefault="00E37DAD" w:rsidP="006A2BB3">
      <w:pPr>
        <w:spacing w:after="0" w:line="480" w:lineRule="auto"/>
        <w:jc w:val="both"/>
        <w:rPr>
          <w:rFonts w:ascii="Arial" w:hAnsi="Arial"/>
          <w:sz w:val="24"/>
          <w:szCs w:val="24"/>
        </w:rPr>
      </w:pPr>
      <w:r w:rsidRPr="006A2BB3">
        <w:rPr>
          <w:rFonts w:ascii="Arial" w:hAnsi="Arial"/>
          <w:sz w:val="24"/>
          <w:szCs w:val="24"/>
        </w:rPr>
        <w:t>The POCA defines proceeds of unlawful activities as:</w:t>
      </w:r>
    </w:p>
    <w:p w:rsidR="009F7534" w:rsidRDefault="009F7534" w:rsidP="00096E42">
      <w:pPr>
        <w:spacing w:after="0" w:line="480" w:lineRule="auto"/>
        <w:ind w:left="811"/>
        <w:jc w:val="both"/>
        <w:rPr>
          <w:rFonts w:ascii="Arial" w:hAnsi="Arial"/>
          <w:i/>
          <w:sz w:val="24"/>
          <w:szCs w:val="24"/>
        </w:rPr>
      </w:pPr>
    </w:p>
    <w:p w:rsidR="00842CDE" w:rsidRPr="00096E42" w:rsidRDefault="009F7534" w:rsidP="00096E42">
      <w:pPr>
        <w:spacing w:after="0" w:line="360" w:lineRule="auto"/>
        <w:ind w:left="811"/>
        <w:jc w:val="both"/>
        <w:rPr>
          <w:rFonts w:ascii="Arial" w:hAnsi="Arial"/>
        </w:rPr>
      </w:pPr>
      <w:r w:rsidRPr="00096E42">
        <w:rPr>
          <w:rFonts w:ascii="Arial" w:hAnsi="Arial"/>
        </w:rPr>
        <w:t>'</w:t>
      </w:r>
      <w:r w:rsidR="00E37DAD" w:rsidRPr="00096E42">
        <w:rPr>
          <w:rFonts w:ascii="Arial" w:hAnsi="Arial"/>
        </w:rPr>
        <w:t xml:space="preserve">any property or service, advantage, benefit, directly or indirectly in Namibia or elsewhere, at any time before or after the commencement of the Act, in connection with or as a result of any unlawful activity carried on by any person, and which includes any property representing property so derived and includes property which is mingled with property that is </w:t>
      </w:r>
      <w:r w:rsidR="00835089" w:rsidRPr="00096E42">
        <w:rPr>
          <w:rFonts w:ascii="Arial" w:hAnsi="Arial"/>
        </w:rPr>
        <w:t xml:space="preserve">the </w:t>
      </w:r>
      <w:r w:rsidR="00E37DAD" w:rsidRPr="00096E42">
        <w:rPr>
          <w:rFonts w:ascii="Arial" w:hAnsi="Arial"/>
        </w:rPr>
        <w:t>proceeds of unlawful activity.</w:t>
      </w:r>
      <w:r w:rsidRPr="00096E42">
        <w:rPr>
          <w:rFonts w:ascii="Arial" w:hAnsi="Arial"/>
        </w:rPr>
        <w:t>'</w:t>
      </w:r>
    </w:p>
    <w:p w:rsidR="00096E42" w:rsidRDefault="00096E42" w:rsidP="006A2BB3">
      <w:pPr>
        <w:spacing w:after="0" w:line="480" w:lineRule="auto"/>
        <w:jc w:val="both"/>
        <w:rPr>
          <w:rFonts w:ascii="Arial" w:hAnsi="Arial"/>
          <w:sz w:val="24"/>
          <w:szCs w:val="24"/>
        </w:rPr>
      </w:pPr>
    </w:p>
    <w:p w:rsidR="00E37DAD" w:rsidRPr="00096E42" w:rsidRDefault="00E37DAD" w:rsidP="006A2BB3">
      <w:pPr>
        <w:spacing w:after="0" w:line="480" w:lineRule="auto"/>
        <w:jc w:val="both"/>
        <w:rPr>
          <w:rFonts w:ascii="Arial" w:hAnsi="Arial"/>
          <w:sz w:val="24"/>
          <w:szCs w:val="24"/>
        </w:rPr>
      </w:pPr>
      <w:r w:rsidRPr="006A2BB3">
        <w:rPr>
          <w:rFonts w:ascii="Arial" w:hAnsi="Arial"/>
          <w:sz w:val="24"/>
          <w:szCs w:val="24"/>
        </w:rPr>
        <w:t xml:space="preserve">The POCA then proceeds to define </w:t>
      </w:r>
      <w:r w:rsidR="009F7534">
        <w:rPr>
          <w:rFonts w:ascii="Arial" w:hAnsi="Arial"/>
          <w:sz w:val="24"/>
          <w:szCs w:val="24"/>
        </w:rPr>
        <w:t>'</w:t>
      </w:r>
      <w:r w:rsidRPr="006A2BB3">
        <w:rPr>
          <w:rFonts w:ascii="Arial" w:hAnsi="Arial"/>
          <w:sz w:val="24"/>
          <w:szCs w:val="24"/>
        </w:rPr>
        <w:t>unlawful activity</w:t>
      </w:r>
      <w:r w:rsidR="009F7534">
        <w:rPr>
          <w:rFonts w:ascii="Arial" w:hAnsi="Arial"/>
          <w:sz w:val="24"/>
          <w:szCs w:val="24"/>
        </w:rPr>
        <w:t>'</w:t>
      </w:r>
      <w:r w:rsidR="009F7534" w:rsidRPr="006A2BB3">
        <w:rPr>
          <w:rFonts w:ascii="Arial" w:hAnsi="Arial"/>
          <w:sz w:val="24"/>
          <w:szCs w:val="24"/>
        </w:rPr>
        <w:t xml:space="preserve"> </w:t>
      </w:r>
      <w:r w:rsidRPr="00096E42">
        <w:rPr>
          <w:rFonts w:ascii="Arial" w:hAnsi="Arial"/>
          <w:sz w:val="24"/>
          <w:szCs w:val="24"/>
        </w:rPr>
        <w:t xml:space="preserve">as </w:t>
      </w:r>
      <w:r w:rsidR="009F7534" w:rsidRPr="00096E42">
        <w:rPr>
          <w:rFonts w:ascii="Arial" w:hAnsi="Arial"/>
          <w:sz w:val="24"/>
          <w:szCs w:val="24"/>
        </w:rPr>
        <w:t>'</w:t>
      </w:r>
      <w:r w:rsidRPr="00096E42">
        <w:rPr>
          <w:rFonts w:ascii="Arial" w:hAnsi="Arial"/>
          <w:sz w:val="24"/>
          <w:szCs w:val="24"/>
        </w:rPr>
        <w:t>any conduct which constitutes an offence or which contravenes any law</w:t>
      </w:r>
      <w:r w:rsidR="009F7534" w:rsidRPr="00096E42">
        <w:rPr>
          <w:rFonts w:ascii="Arial" w:hAnsi="Arial"/>
          <w:sz w:val="24"/>
          <w:szCs w:val="24"/>
        </w:rPr>
        <w:t>'</w:t>
      </w:r>
      <w:r w:rsidR="00EF76C3" w:rsidRPr="00096E42">
        <w:rPr>
          <w:rFonts w:ascii="Arial" w:hAnsi="Arial"/>
          <w:sz w:val="24"/>
          <w:szCs w:val="24"/>
        </w:rPr>
        <w:t>.</w:t>
      </w:r>
    </w:p>
    <w:p w:rsidR="00A714E1" w:rsidRPr="00096E42" w:rsidRDefault="00A714E1" w:rsidP="006A2BB3">
      <w:pPr>
        <w:spacing w:after="0" w:line="480" w:lineRule="auto"/>
        <w:ind w:left="360"/>
        <w:jc w:val="both"/>
        <w:rPr>
          <w:rFonts w:ascii="Arial" w:hAnsi="Arial"/>
          <w:sz w:val="24"/>
          <w:szCs w:val="24"/>
        </w:rPr>
      </w:pPr>
    </w:p>
    <w:p w:rsidR="00D012D8" w:rsidRPr="006A2BB3" w:rsidRDefault="00F13237" w:rsidP="006A2BB3">
      <w:pPr>
        <w:spacing w:after="0" w:line="480" w:lineRule="auto"/>
        <w:jc w:val="both"/>
        <w:rPr>
          <w:rFonts w:ascii="Arial" w:hAnsi="Arial"/>
          <w:sz w:val="24"/>
          <w:szCs w:val="24"/>
        </w:rPr>
      </w:pPr>
      <w:r w:rsidRPr="006A2BB3">
        <w:rPr>
          <w:rFonts w:ascii="Arial" w:hAnsi="Arial"/>
          <w:sz w:val="24"/>
          <w:szCs w:val="24"/>
        </w:rPr>
        <w:t>[77</w:t>
      </w:r>
      <w:r w:rsidR="00E37DAD" w:rsidRPr="006A2BB3">
        <w:rPr>
          <w:rFonts w:ascii="Arial" w:hAnsi="Arial"/>
          <w:sz w:val="24"/>
          <w:szCs w:val="24"/>
        </w:rPr>
        <w:t>]</w:t>
      </w:r>
      <w:r w:rsidR="00E37DAD" w:rsidRPr="006A2BB3">
        <w:rPr>
          <w:rFonts w:ascii="Arial" w:hAnsi="Arial"/>
          <w:sz w:val="24"/>
          <w:szCs w:val="24"/>
        </w:rPr>
        <w:tab/>
        <w:t>The reasonable grounds for the belief must be d</w:t>
      </w:r>
      <w:r w:rsidR="00F05AF1" w:rsidRPr="006A2BB3">
        <w:rPr>
          <w:rFonts w:ascii="Arial" w:hAnsi="Arial"/>
          <w:sz w:val="24"/>
          <w:szCs w:val="24"/>
        </w:rPr>
        <w:t>etermined</w:t>
      </w:r>
      <w:r w:rsidR="00E37DAD" w:rsidRPr="006A2BB3">
        <w:rPr>
          <w:rFonts w:ascii="Arial" w:hAnsi="Arial"/>
          <w:sz w:val="24"/>
          <w:szCs w:val="24"/>
        </w:rPr>
        <w:t xml:space="preserve"> from the </w:t>
      </w:r>
      <w:r w:rsidR="00F05AF1" w:rsidRPr="006A2BB3">
        <w:rPr>
          <w:rFonts w:ascii="Arial" w:hAnsi="Arial"/>
          <w:sz w:val="24"/>
          <w:szCs w:val="24"/>
        </w:rPr>
        <w:t xml:space="preserve">evidence on </w:t>
      </w:r>
      <w:r w:rsidR="00E37DAD" w:rsidRPr="006A2BB3">
        <w:rPr>
          <w:rFonts w:ascii="Arial" w:hAnsi="Arial"/>
          <w:sz w:val="24"/>
          <w:szCs w:val="24"/>
        </w:rPr>
        <w:t xml:space="preserve">affidavit before the </w:t>
      </w:r>
      <w:r w:rsidR="009F7534">
        <w:rPr>
          <w:rFonts w:ascii="Arial" w:hAnsi="Arial"/>
          <w:sz w:val="24"/>
          <w:szCs w:val="24"/>
        </w:rPr>
        <w:t>c</w:t>
      </w:r>
      <w:r w:rsidR="00E37DAD" w:rsidRPr="006A2BB3">
        <w:rPr>
          <w:rFonts w:ascii="Arial" w:hAnsi="Arial"/>
          <w:sz w:val="24"/>
          <w:szCs w:val="24"/>
        </w:rPr>
        <w:t xml:space="preserve">ourt, on the return date, submitted in support of the </w:t>
      </w:r>
      <w:r w:rsidR="00E37DAD" w:rsidRPr="006A2BB3">
        <w:rPr>
          <w:rFonts w:ascii="Arial" w:hAnsi="Arial"/>
          <w:i/>
          <w:sz w:val="24"/>
          <w:szCs w:val="24"/>
        </w:rPr>
        <w:t>ex parte</w:t>
      </w:r>
      <w:r w:rsidR="00E37DAD" w:rsidRPr="006A2BB3">
        <w:rPr>
          <w:rFonts w:ascii="Arial" w:hAnsi="Arial"/>
          <w:sz w:val="24"/>
          <w:szCs w:val="24"/>
        </w:rPr>
        <w:t xml:space="preserve"> application for the order. What would be reasonable grounds at this stage</w:t>
      </w:r>
      <w:r w:rsidR="0068236F" w:rsidRPr="006A2BB3">
        <w:rPr>
          <w:rFonts w:ascii="Arial" w:hAnsi="Arial"/>
          <w:sz w:val="24"/>
          <w:szCs w:val="24"/>
        </w:rPr>
        <w:t xml:space="preserve"> of the process</w:t>
      </w:r>
      <w:r w:rsidR="00E37DAD" w:rsidRPr="006A2BB3">
        <w:rPr>
          <w:rFonts w:ascii="Arial" w:hAnsi="Arial"/>
          <w:sz w:val="24"/>
          <w:szCs w:val="24"/>
        </w:rPr>
        <w:t xml:space="preserve"> would </w:t>
      </w:r>
      <w:r w:rsidR="00F05AF1" w:rsidRPr="006A2BB3">
        <w:rPr>
          <w:rFonts w:ascii="Arial" w:hAnsi="Arial"/>
          <w:sz w:val="24"/>
          <w:szCs w:val="24"/>
        </w:rPr>
        <w:t>have to be based on factual</w:t>
      </w:r>
      <w:r w:rsidR="00E37DAD" w:rsidRPr="006A2BB3">
        <w:rPr>
          <w:rFonts w:ascii="Arial" w:hAnsi="Arial"/>
          <w:sz w:val="24"/>
          <w:szCs w:val="24"/>
        </w:rPr>
        <w:t xml:space="preserve"> evidence </w:t>
      </w:r>
      <w:r w:rsidR="000832C1" w:rsidRPr="006A2BB3">
        <w:rPr>
          <w:rFonts w:ascii="Arial" w:hAnsi="Arial"/>
          <w:sz w:val="24"/>
          <w:szCs w:val="24"/>
        </w:rPr>
        <w:t xml:space="preserve">and </w:t>
      </w:r>
      <w:r w:rsidR="00E37DAD" w:rsidRPr="006A2BB3">
        <w:rPr>
          <w:rFonts w:ascii="Arial" w:hAnsi="Arial"/>
          <w:sz w:val="24"/>
          <w:szCs w:val="24"/>
        </w:rPr>
        <w:t xml:space="preserve">not mere opinion </w:t>
      </w:r>
      <w:r w:rsidR="000832C1" w:rsidRPr="006A2BB3">
        <w:rPr>
          <w:rFonts w:ascii="Arial" w:hAnsi="Arial"/>
          <w:sz w:val="24"/>
          <w:szCs w:val="24"/>
        </w:rPr>
        <w:t xml:space="preserve">showing </w:t>
      </w:r>
      <w:r w:rsidR="00E37DAD" w:rsidRPr="006A2BB3">
        <w:rPr>
          <w:rFonts w:ascii="Arial" w:hAnsi="Arial"/>
          <w:sz w:val="24"/>
          <w:szCs w:val="24"/>
        </w:rPr>
        <w:t>that evidence might reasonably support a conviction and a resultant confiscation order.</w:t>
      </w:r>
      <w:r w:rsidR="00E37DAD" w:rsidRPr="006A2BB3">
        <w:rPr>
          <w:rFonts w:ascii="Arial" w:hAnsi="Arial"/>
          <w:sz w:val="24"/>
          <w:szCs w:val="24"/>
          <w:vertAlign w:val="superscript"/>
        </w:rPr>
        <w:footnoteReference w:id="30"/>
      </w:r>
      <w:r w:rsidR="00F04777" w:rsidRPr="006A2BB3">
        <w:rPr>
          <w:rFonts w:ascii="Arial" w:hAnsi="Arial"/>
          <w:sz w:val="24"/>
          <w:szCs w:val="24"/>
          <w:vertAlign w:val="superscript"/>
        </w:rPr>
        <w:t xml:space="preserve"> </w:t>
      </w:r>
      <w:r w:rsidR="00F04777" w:rsidRPr="006A2BB3">
        <w:rPr>
          <w:rFonts w:ascii="Arial" w:hAnsi="Arial"/>
          <w:sz w:val="24"/>
          <w:szCs w:val="24"/>
        </w:rPr>
        <w:t>As indicated earlier, no reliance shall be placed on evidence that</w:t>
      </w:r>
      <w:r w:rsidR="00F56385" w:rsidRPr="006A2BB3">
        <w:rPr>
          <w:rFonts w:ascii="Arial" w:hAnsi="Arial"/>
          <w:sz w:val="24"/>
          <w:szCs w:val="24"/>
        </w:rPr>
        <w:t xml:space="preserve"> is manifestly false or plainly unreliable. If</w:t>
      </w:r>
      <w:r w:rsidR="009F7534">
        <w:rPr>
          <w:rFonts w:ascii="Arial" w:hAnsi="Arial"/>
          <w:sz w:val="24"/>
          <w:szCs w:val="24"/>
        </w:rPr>
        <w:t>,</w:t>
      </w:r>
      <w:r w:rsidR="00F56385" w:rsidRPr="006A2BB3">
        <w:rPr>
          <w:rFonts w:ascii="Arial" w:hAnsi="Arial"/>
          <w:sz w:val="24"/>
          <w:szCs w:val="24"/>
        </w:rPr>
        <w:t xml:space="preserve"> therefore, the affidavits establish reasonable grounds to believe that the property meets the s 51(2) test, </w:t>
      </w:r>
      <w:r w:rsidR="00F04777" w:rsidRPr="006A2BB3">
        <w:rPr>
          <w:rFonts w:ascii="Arial" w:hAnsi="Arial"/>
          <w:sz w:val="24"/>
          <w:szCs w:val="24"/>
        </w:rPr>
        <w:t>a</w:t>
      </w:r>
      <w:r w:rsidR="00F56385" w:rsidRPr="006A2BB3">
        <w:rPr>
          <w:rFonts w:ascii="Arial" w:hAnsi="Arial"/>
          <w:sz w:val="24"/>
          <w:szCs w:val="24"/>
        </w:rPr>
        <w:t xml:space="preserve"> court is obliged to grant the </w:t>
      </w:r>
      <w:r w:rsidR="00F04777" w:rsidRPr="006A2BB3">
        <w:rPr>
          <w:rFonts w:ascii="Arial" w:hAnsi="Arial"/>
          <w:i/>
          <w:sz w:val="24"/>
          <w:szCs w:val="24"/>
        </w:rPr>
        <w:t>ex parte</w:t>
      </w:r>
      <w:r w:rsidR="00F04777" w:rsidRPr="006A2BB3">
        <w:rPr>
          <w:rFonts w:ascii="Arial" w:hAnsi="Arial"/>
          <w:sz w:val="24"/>
          <w:szCs w:val="24"/>
        </w:rPr>
        <w:t xml:space="preserve"> </w:t>
      </w:r>
      <w:r w:rsidR="00F56385" w:rsidRPr="006A2BB3">
        <w:rPr>
          <w:rFonts w:ascii="Arial" w:hAnsi="Arial"/>
          <w:sz w:val="24"/>
          <w:szCs w:val="24"/>
        </w:rPr>
        <w:t xml:space="preserve">property preservation order. </w:t>
      </w:r>
    </w:p>
    <w:p w:rsidR="00247B04" w:rsidRPr="006A2BB3" w:rsidRDefault="00247B04" w:rsidP="006A2BB3">
      <w:pPr>
        <w:spacing w:after="0" w:line="480" w:lineRule="auto"/>
        <w:jc w:val="both"/>
        <w:rPr>
          <w:rFonts w:ascii="Arial" w:hAnsi="Arial"/>
          <w:sz w:val="24"/>
          <w:szCs w:val="24"/>
        </w:rPr>
      </w:pPr>
    </w:p>
    <w:p w:rsidR="00E37DAD" w:rsidRPr="006A2BB3" w:rsidRDefault="00F04777" w:rsidP="006A2BB3">
      <w:pPr>
        <w:spacing w:after="0" w:line="480" w:lineRule="auto"/>
        <w:jc w:val="both"/>
        <w:rPr>
          <w:rFonts w:ascii="Arial" w:hAnsi="Arial"/>
          <w:sz w:val="24"/>
          <w:szCs w:val="24"/>
        </w:rPr>
      </w:pPr>
      <w:r w:rsidRPr="006A2BB3">
        <w:rPr>
          <w:rFonts w:ascii="Arial" w:hAnsi="Arial"/>
          <w:sz w:val="24"/>
          <w:szCs w:val="24"/>
        </w:rPr>
        <w:t>[</w:t>
      </w:r>
      <w:r w:rsidR="00F13237" w:rsidRPr="006A2BB3">
        <w:rPr>
          <w:rFonts w:ascii="Arial" w:hAnsi="Arial"/>
          <w:sz w:val="24"/>
          <w:szCs w:val="24"/>
        </w:rPr>
        <w:t>78</w:t>
      </w:r>
      <w:r w:rsidRPr="006A2BB3">
        <w:rPr>
          <w:rFonts w:ascii="Arial" w:hAnsi="Arial"/>
          <w:sz w:val="24"/>
          <w:szCs w:val="24"/>
        </w:rPr>
        <w:t>]</w:t>
      </w:r>
      <w:r w:rsidRPr="006A2BB3">
        <w:rPr>
          <w:rFonts w:ascii="Arial" w:hAnsi="Arial"/>
          <w:sz w:val="24"/>
          <w:szCs w:val="24"/>
        </w:rPr>
        <w:tab/>
        <w:t xml:space="preserve">Here, although the respondent takes issue with some of the allegations against him, he does not </w:t>
      </w:r>
      <w:r w:rsidR="00F56385" w:rsidRPr="006A2BB3">
        <w:rPr>
          <w:rFonts w:ascii="Arial" w:hAnsi="Arial"/>
          <w:sz w:val="24"/>
          <w:szCs w:val="24"/>
        </w:rPr>
        <w:t xml:space="preserve">dispute that the tender to provide </w:t>
      </w:r>
      <w:r w:rsidRPr="006A2BB3">
        <w:rPr>
          <w:rFonts w:ascii="Arial" w:hAnsi="Arial"/>
          <w:sz w:val="24"/>
          <w:szCs w:val="24"/>
        </w:rPr>
        <w:t>accommodation</w:t>
      </w:r>
      <w:r w:rsidR="00F56385" w:rsidRPr="006A2BB3">
        <w:rPr>
          <w:rFonts w:ascii="Arial" w:hAnsi="Arial"/>
          <w:sz w:val="24"/>
          <w:szCs w:val="24"/>
        </w:rPr>
        <w:t xml:space="preserve"> to the </w:t>
      </w:r>
      <w:r w:rsidR="00332B61" w:rsidRPr="006A2BB3">
        <w:rPr>
          <w:rFonts w:ascii="Arial" w:hAnsi="Arial"/>
          <w:sz w:val="24"/>
          <w:szCs w:val="24"/>
        </w:rPr>
        <w:t>NDF</w:t>
      </w:r>
      <w:r w:rsidRPr="006A2BB3">
        <w:rPr>
          <w:rFonts w:ascii="Arial" w:hAnsi="Arial"/>
          <w:sz w:val="24"/>
          <w:szCs w:val="24"/>
        </w:rPr>
        <w:t xml:space="preserve"> student soldiers</w:t>
      </w:r>
      <w:r w:rsidR="00F56385" w:rsidRPr="006A2BB3">
        <w:rPr>
          <w:rFonts w:ascii="Arial" w:hAnsi="Arial"/>
          <w:sz w:val="24"/>
          <w:szCs w:val="24"/>
        </w:rPr>
        <w:t xml:space="preserve"> had indeed been awarded to</w:t>
      </w:r>
      <w:r w:rsidRPr="006A2BB3">
        <w:rPr>
          <w:rFonts w:ascii="Arial" w:hAnsi="Arial"/>
          <w:sz w:val="24"/>
          <w:szCs w:val="24"/>
        </w:rPr>
        <w:t xml:space="preserve"> him</w:t>
      </w:r>
      <w:r w:rsidR="00F56385" w:rsidRPr="006A2BB3">
        <w:rPr>
          <w:rFonts w:ascii="Arial" w:hAnsi="Arial"/>
          <w:sz w:val="24"/>
          <w:szCs w:val="24"/>
        </w:rPr>
        <w:t xml:space="preserve">. All that needs to be shown before this court therefore, is </w:t>
      </w:r>
      <w:r w:rsidR="000832C1" w:rsidRPr="006A2BB3">
        <w:rPr>
          <w:rFonts w:ascii="Arial" w:hAnsi="Arial"/>
          <w:sz w:val="24"/>
          <w:szCs w:val="24"/>
        </w:rPr>
        <w:t>that</w:t>
      </w:r>
      <w:r w:rsidR="00D012D8" w:rsidRPr="006A2BB3">
        <w:rPr>
          <w:rFonts w:ascii="Arial" w:hAnsi="Arial"/>
          <w:sz w:val="24"/>
          <w:szCs w:val="24"/>
        </w:rPr>
        <w:t xml:space="preserve"> the circumstances in which the tender was granted constitute </w:t>
      </w:r>
      <w:r w:rsidR="00F56385" w:rsidRPr="006A2BB3">
        <w:rPr>
          <w:rFonts w:ascii="Arial" w:hAnsi="Arial"/>
          <w:sz w:val="24"/>
          <w:szCs w:val="24"/>
        </w:rPr>
        <w:t>reasonable grounds for this court to believe that the positive balance</w:t>
      </w:r>
      <w:r w:rsidR="00D012D8" w:rsidRPr="006A2BB3">
        <w:rPr>
          <w:rFonts w:ascii="Arial" w:hAnsi="Arial"/>
          <w:sz w:val="24"/>
          <w:szCs w:val="24"/>
        </w:rPr>
        <w:t xml:space="preserve"> in the FNB bank account was</w:t>
      </w:r>
      <w:r w:rsidR="00F56385" w:rsidRPr="006A2BB3">
        <w:rPr>
          <w:rFonts w:ascii="Arial" w:hAnsi="Arial"/>
          <w:sz w:val="24"/>
          <w:szCs w:val="24"/>
        </w:rPr>
        <w:t xml:space="preserve"> proceeds of fraud and</w:t>
      </w:r>
      <w:r w:rsidR="00D012D8" w:rsidRPr="006A2BB3">
        <w:rPr>
          <w:rFonts w:ascii="Arial" w:hAnsi="Arial"/>
          <w:sz w:val="24"/>
          <w:szCs w:val="24"/>
        </w:rPr>
        <w:t>/or</w:t>
      </w:r>
      <w:r w:rsidR="00F56385" w:rsidRPr="006A2BB3">
        <w:rPr>
          <w:rFonts w:ascii="Arial" w:hAnsi="Arial"/>
          <w:sz w:val="24"/>
          <w:szCs w:val="24"/>
        </w:rPr>
        <w:t xml:space="preserve"> money laundering.</w:t>
      </w:r>
      <w:r w:rsidR="00E07F11" w:rsidRPr="006A2BB3">
        <w:rPr>
          <w:rStyle w:val="FootnoteReference"/>
          <w:rFonts w:ascii="Arial" w:hAnsi="Arial"/>
          <w:sz w:val="24"/>
          <w:szCs w:val="24"/>
        </w:rPr>
        <w:footnoteReference w:id="31"/>
      </w:r>
      <w:r w:rsidR="00F56385" w:rsidRPr="006A2BB3">
        <w:rPr>
          <w:rFonts w:ascii="Arial" w:hAnsi="Arial"/>
          <w:sz w:val="24"/>
          <w:szCs w:val="24"/>
        </w:rPr>
        <w:t xml:space="preserve"> </w:t>
      </w:r>
    </w:p>
    <w:p w:rsidR="008D6113" w:rsidRPr="006A2BB3" w:rsidRDefault="008D6113" w:rsidP="006A2BB3">
      <w:pPr>
        <w:spacing w:after="0" w:line="480" w:lineRule="auto"/>
        <w:ind w:left="360"/>
        <w:jc w:val="both"/>
        <w:rPr>
          <w:rFonts w:ascii="Arial" w:hAnsi="Arial"/>
          <w:sz w:val="24"/>
          <w:szCs w:val="24"/>
        </w:rPr>
      </w:pPr>
    </w:p>
    <w:p w:rsidR="00D012D8" w:rsidRPr="009F7534" w:rsidRDefault="009F7534" w:rsidP="006A2BB3">
      <w:pPr>
        <w:spacing w:after="0" w:line="480" w:lineRule="auto"/>
        <w:jc w:val="both"/>
        <w:rPr>
          <w:rFonts w:ascii="Arial" w:hAnsi="Arial"/>
          <w:sz w:val="24"/>
          <w:szCs w:val="24"/>
          <w:u w:val="single"/>
        </w:rPr>
      </w:pPr>
      <w:r w:rsidRPr="009F7534">
        <w:rPr>
          <w:rFonts w:ascii="Arial" w:hAnsi="Arial"/>
          <w:sz w:val="24"/>
          <w:szCs w:val="24"/>
          <w:u w:val="single"/>
        </w:rPr>
        <w:t>Whether the property constitutes proceeds of fraud and/or money laundering</w:t>
      </w:r>
    </w:p>
    <w:p w:rsidR="008D6113" w:rsidRPr="003E7A1E" w:rsidRDefault="00F13237" w:rsidP="006A2BB3">
      <w:pPr>
        <w:spacing w:after="0" w:line="480" w:lineRule="auto"/>
        <w:jc w:val="both"/>
        <w:rPr>
          <w:rFonts w:ascii="Arial" w:hAnsi="Arial"/>
          <w:color w:val="000000"/>
          <w:sz w:val="24"/>
          <w:szCs w:val="24"/>
        </w:rPr>
      </w:pPr>
      <w:r w:rsidRPr="006A2BB3">
        <w:rPr>
          <w:rFonts w:ascii="Arial" w:hAnsi="Arial"/>
          <w:sz w:val="24"/>
          <w:szCs w:val="24"/>
        </w:rPr>
        <w:t>[79</w:t>
      </w:r>
      <w:r w:rsidR="008D6113" w:rsidRPr="006A2BB3">
        <w:rPr>
          <w:rFonts w:ascii="Arial" w:hAnsi="Arial"/>
          <w:sz w:val="24"/>
          <w:szCs w:val="24"/>
        </w:rPr>
        <w:t>]</w:t>
      </w:r>
      <w:r w:rsidR="008D6113" w:rsidRPr="006A2BB3">
        <w:rPr>
          <w:rFonts w:ascii="Arial" w:hAnsi="Arial"/>
          <w:sz w:val="24"/>
          <w:szCs w:val="24"/>
        </w:rPr>
        <w:tab/>
      </w:r>
      <w:r w:rsidR="00D012D8" w:rsidRPr="006A2BB3">
        <w:rPr>
          <w:rFonts w:ascii="Arial" w:hAnsi="Arial"/>
          <w:sz w:val="24"/>
          <w:szCs w:val="24"/>
        </w:rPr>
        <w:t>F</w:t>
      </w:r>
      <w:r w:rsidR="008D6113" w:rsidRPr="006A2BB3">
        <w:rPr>
          <w:rFonts w:ascii="Arial" w:hAnsi="Arial"/>
          <w:sz w:val="24"/>
          <w:szCs w:val="24"/>
        </w:rPr>
        <w:t>raud being the unlawful and intentional misrepresentation causing actual or potential prejudice to another</w:t>
      </w:r>
      <w:r w:rsidR="00886B8A" w:rsidRPr="006A2BB3">
        <w:rPr>
          <w:rFonts w:ascii="Arial" w:hAnsi="Arial"/>
          <w:sz w:val="24"/>
          <w:szCs w:val="24"/>
          <w:vertAlign w:val="superscript"/>
        </w:rPr>
        <w:footnoteReference w:id="32"/>
      </w:r>
      <w:r w:rsidR="008D6113" w:rsidRPr="006A2BB3">
        <w:rPr>
          <w:rFonts w:ascii="Arial" w:hAnsi="Arial"/>
          <w:sz w:val="24"/>
          <w:szCs w:val="24"/>
        </w:rPr>
        <w:t>, the founding affidavits in support of the confirmation of the property preservation order on the return date show</w:t>
      </w:r>
      <w:r w:rsidR="00D012D8" w:rsidRPr="006A2BB3">
        <w:rPr>
          <w:rFonts w:ascii="Arial" w:hAnsi="Arial"/>
          <w:sz w:val="24"/>
          <w:szCs w:val="24"/>
        </w:rPr>
        <w:t xml:space="preserve"> that</w:t>
      </w:r>
      <w:r w:rsidR="00C57520" w:rsidRPr="006A2BB3">
        <w:rPr>
          <w:rFonts w:ascii="Arial" w:hAnsi="Arial"/>
          <w:sz w:val="24"/>
          <w:szCs w:val="24"/>
        </w:rPr>
        <w:t xml:space="preserve"> </w:t>
      </w:r>
      <w:r w:rsidR="00D012D8" w:rsidRPr="006A2BB3">
        <w:rPr>
          <w:rFonts w:ascii="Arial" w:hAnsi="Arial"/>
          <w:sz w:val="24"/>
          <w:szCs w:val="24"/>
        </w:rPr>
        <w:t>t</w:t>
      </w:r>
      <w:r w:rsidR="004649F0" w:rsidRPr="006A2BB3">
        <w:rPr>
          <w:rFonts w:ascii="Arial" w:hAnsi="Arial"/>
          <w:sz w:val="24"/>
          <w:szCs w:val="24"/>
        </w:rPr>
        <w:t>he respon</w:t>
      </w:r>
      <w:r w:rsidR="00D012D8" w:rsidRPr="006A2BB3">
        <w:rPr>
          <w:rFonts w:ascii="Arial" w:hAnsi="Arial"/>
          <w:sz w:val="24"/>
          <w:szCs w:val="24"/>
        </w:rPr>
        <w:t xml:space="preserve">dent was not a member of the CC when he </w:t>
      </w:r>
      <w:r w:rsidR="004649F0" w:rsidRPr="006A2BB3">
        <w:rPr>
          <w:rFonts w:ascii="Arial" w:hAnsi="Arial"/>
          <w:sz w:val="24"/>
          <w:szCs w:val="24"/>
        </w:rPr>
        <w:t>tendered f</w:t>
      </w:r>
      <w:r w:rsidR="00D012D8" w:rsidRPr="006A2BB3">
        <w:rPr>
          <w:rFonts w:ascii="Arial" w:hAnsi="Arial"/>
          <w:sz w:val="24"/>
          <w:szCs w:val="24"/>
        </w:rPr>
        <w:t>or the accommodation services in respect of</w:t>
      </w:r>
      <w:r w:rsidR="004649F0" w:rsidRPr="006A2BB3">
        <w:rPr>
          <w:rFonts w:ascii="Arial" w:hAnsi="Arial"/>
          <w:sz w:val="24"/>
          <w:szCs w:val="24"/>
        </w:rPr>
        <w:t xml:space="preserve"> the NDF</w:t>
      </w:r>
      <w:r w:rsidR="00D012D8" w:rsidRPr="006A2BB3">
        <w:rPr>
          <w:rFonts w:ascii="Arial" w:hAnsi="Arial"/>
          <w:sz w:val="24"/>
          <w:szCs w:val="24"/>
        </w:rPr>
        <w:t xml:space="preserve"> student soldiers</w:t>
      </w:r>
      <w:r w:rsidR="004649F0" w:rsidRPr="006A2BB3">
        <w:rPr>
          <w:rFonts w:ascii="Arial" w:hAnsi="Arial"/>
          <w:sz w:val="24"/>
          <w:szCs w:val="24"/>
        </w:rPr>
        <w:t xml:space="preserve"> in July 2014. At the relevant time, the CC was registered in the name of his mother, </w:t>
      </w:r>
      <w:r w:rsidR="006E3ED5" w:rsidRPr="006A2BB3">
        <w:rPr>
          <w:rFonts w:ascii="Arial" w:hAnsi="Arial"/>
          <w:sz w:val="24"/>
          <w:szCs w:val="24"/>
        </w:rPr>
        <w:t xml:space="preserve">Mrs </w:t>
      </w:r>
      <w:r w:rsidR="0074328D">
        <w:rPr>
          <w:rFonts w:ascii="Arial" w:hAnsi="Arial"/>
          <w:sz w:val="24"/>
          <w:szCs w:val="24"/>
        </w:rPr>
        <w:t>Eunike</w:t>
      </w:r>
      <w:r w:rsidR="006E3ED5" w:rsidRPr="006A2BB3">
        <w:rPr>
          <w:rFonts w:ascii="Arial" w:hAnsi="Arial"/>
          <w:sz w:val="24"/>
          <w:szCs w:val="24"/>
        </w:rPr>
        <w:t xml:space="preserve"> Hamu</w:t>
      </w:r>
      <w:r w:rsidR="004649F0" w:rsidRPr="006A2BB3">
        <w:rPr>
          <w:rFonts w:ascii="Arial" w:hAnsi="Arial"/>
          <w:sz w:val="24"/>
          <w:szCs w:val="24"/>
        </w:rPr>
        <w:t xml:space="preserve">tenya. Although as he contends, he did not say that he owned the CC, he did tender as though he was the sole member of the entity </w:t>
      </w:r>
      <w:r w:rsidR="00886B8A" w:rsidRPr="006A2BB3">
        <w:rPr>
          <w:rFonts w:ascii="Arial" w:hAnsi="Arial"/>
          <w:sz w:val="24"/>
          <w:szCs w:val="24"/>
        </w:rPr>
        <w:t>when at the relevant time, he was not a member at all, as the facts would show. This false impression he created</w:t>
      </w:r>
      <w:r w:rsidR="00691DF1" w:rsidRPr="006A2BB3">
        <w:rPr>
          <w:rFonts w:ascii="Arial" w:hAnsi="Arial"/>
          <w:sz w:val="24"/>
          <w:szCs w:val="24"/>
        </w:rPr>
        <w:t xml:space="preserve"> </w:t>
      </w:r>
      <w:r w:rsidR="00691DF1" w:rsidRPr="003E7A1E">
        <w:rPr>
          <w:rFonts w:ascii="Arial" w:hAnsi="Arial"/>
          <w:color w:val="000000"/>
          <w:sz w:val="24"/>
          <w:szCs w:val="24"/>
        </w:rPr>
        <w:t>played an important role in him</w:t>
      </w:r>
      <w:r w:rsidR="00886B8A" w:rsidRPr="003E7A1E">
        <w:rPr>
          <w:rFonts w:ascii="Arial" w:hAnsi="Arial"/>
          <w:color w:val="000000"/>
          <w:sz w:val="24"/>
          <w:szCs w:val="24"/>
        </w:rPr>
        <w:t xml:space="preserve"> obtaining the tender worth N$2 653 560</w:t>
      </w:r>
      <w:r w:rsidR="006D14D3" w:rsidRPr="003E7A1E">
        <w:rPr>
          <w:rFonts w:ascii="Arial" w:hAnsi="Arial"/>
          <w:color w:val="000000"/>
          <w:sz w:val="24"/>
          <w:szCs w:val="24"/>
        </w:rPr>
        <w:t>.</w:t>
      </w:r>
    </w:p>
    <w:p w:rsidR="00C57520" w:rsidRPr="003E7A1E" w:rsidRDefault="00C57520" w:rsidP="006A2BB3">
      <w:pPr>
        <w:spacing w:after="0" w:line="480" w:lineRule="auto"/>
        <w:ind w:left="360"/>
        <w:jc w:val="both"/>
        <w:rPr>
          <w:rFonts w:ascii="Arial" w:hAnsi="Arial"/>
          <w:color w:val="000000"/>
          <w:sz w:val="24"/>
          <w:szCs w:val="24"/>
        </w:rPr>
      </w:pPr>
    </w:p>
    <w:p w:rsidR="00886B8A" w:rsidRPr="003E7A1E" w:rsidRDefault="00F13237" w:rsidP="006A2BB3">
      <w:pPr>
        <w:spacing w:after="0" w:line="480" w:lineRule="auto"/>
        <w:jc w:val="both"/>
        <w:rPr>
          <w:rFonts w:ascii="Arial" w:hAnsi="Arial"/>
          <w:color w:val="000000"/>
          <w:sz w:val="24"/>
          <w:szCs w:val="24"/>
        </w:rPr>
      </w:pPr>
      <w:r w:rsidRPr="003E7A1E">
        <w:rPr>
          <w:rFonts w:ascii="Arial" w:hAnsi="Arial"/>
          <w:color w:val="000000"/>
          <w:sz w:val="24"/>
          <w:szCs w:val="24"/>
        </w:rPr>
        <w:t>[80</w:t>
      </w:r>
      <w:r w:rsidR="00C57520" w:rsidRPr="003E7A1E">
        <w:rPr>
          <w:rFonts w:ascii="Arial" w:hAnsi="Arial"/>
          <w:color w:val="000000"/>
          <w:sz w:val="24"/>
          <w:szCs w:val="24"/>
        </w:rPr>
        <w:t>]</w:t>
      </w:r>
      <w:r w:rsidR="00C57520" w:rsidRPr="003E7A1E">
        <w:rPr>
          <w:rFonts w:ascii="Arial" w:hAnsi="Arial"/>
          <w:color w:val="000000"/>
          <w:sz w:val="24"/>
          <w:szCs w:val="24"/>
        </w:rPr>
        <w:tab/>
      </w:r>
      <w:r w:rsidR="003125D7" w:rsidRPr="003E7A1E">
        <w:rPr>
          <w:rFonts w:ascii="Arial" w:eastAsia="Times New Roman" w:hAnsi="Arial"/>
          <w:color w:val="000000"/>
          <w:sz w:val="24"/>
          <w:szCs w:val="24"/>
        </w:rPr>
        <w:t xml:space="preserve">Further, as appears from the facts of this case, the respondent also created the false impression that he was the owner of Ace's </w:t>
      </w:r>
      <w:r w:rsidR="00513D16">
        <w:rPr>
          <w:rFonts w:ascii="Arial" w:eastAsia="Times New Roman" w:hAnsi="Arial"/>
          <w:color w:val="000000"/>
          <w:sz w:val="24"/>
          <w:szCs w:val="24"/>
        </w:rPr>
        <w:t>Guest house</w:t>
      </w:r>
      <w:r w:rsidR="003125D7" w:rsidRPr="003E7A1E">
        <w:rPr>
          <w:rFonts w:ascii="Arial" w:eastAsia="Times New Roman" w:hAnsi="Arial"/>
          <w:color w:val="000000"/>
          <w:sz w:val="24"/>
          <w:szCs w:val="24"/>
        </w:rPr>
        <w:t xml:space="preserve">. When required to give his address on the invoices communicated to the NDF he instead provided the address of the </w:t>
      </w:r>
      <w:r w:rsidR="00513D16">
        <w:rPr>
          <w:rFonts w:ascii="Arial" w:eastAsia="Times New Roman" w:hAnsi="Arial"/>
          <w:color w:val="000000"/>
          <w:sz w:val="24"/>
          <w:szCs w:val="24"/>
        </w:rPr>
        <w:t>guest house</w:t>
      </w:r>
      <w:r w:rsidR="003125D7" w:rsidRPr="003E7A1E">
        <w:rPr>
          <w:rFonts w:ascii="Arial" w:eastAsia="Times New Roman" w:hAnsi="Arial"/>
          <w:color w:val="000000"/>
          <w:sz w:val="24"/>
          <w:szCs w:val="24"/>
        </w:rPr>
        <w:t xml:space="preserve">, thus perpetuating the false impression of his or the CC's ownership of the </w:t>
      </w:r>
      <w:r w:rsidR="00513D16">
        <w:rPr>
          <w:rFonts w:ascii="Arial" w:eastAsia="Times New Roman" w:hAnsi="Arial"/>
          <w:color w:val="000000"/>
          <w:sz w:val="24"/>
          <w:szCs w:val="24"/>
        </w:rPr>
        <w:t>guest house</w:t>
      </w:r>
      <w:r w:rsidR="003125D7" w:rsidRPr="003E7A1E">
        <w:rPr>
          <w:rFonts w:ascii="Arial" w:eastAsia="Times New Roman" w:hAnsi="Arial"/>
          <w:color w:val="000000"/>
          <w:sz w:val="24"/>
          <w:szCs w:val="24"/>
        </w:rPr>
        <w:t xml:space="preserve">. Defending his actions, saying that he used the </w:t>
      </w:r>
      <w:r w:rsidR="00513D16">
        <w:rPr>
          <w:rFonts w:ascii="Arial" w:eastAsia="Times New Roman" w:hAnsi="Arial"/>
          <w:color w:val="000000"/>
          <w:sz w:val="24"/>
          <w:szCs w:val="24"/>
        </w:rPr>
        <w:t>guest house</w:t>
      </w:r>
      <w:r w:rsidR="003125D7" w:rsidRPr="003E7A1E">
        <w:rPr>
          <w:rFonts w:ascii="Arial" w:eastAsia="Times New Roman" w:hAnsi="Arial"/>
          <w:color w:val="000000"/>
          <w:sz w:val="24"/>
          <w:szCs w:val="24"/>
        </w:rPr>
        <w:t xml:space="preserve"> address in view of the fact that it was where the NDF student soldiers were to be accommodated was indeed not a plausible explanation.</w:t>
      </w:r>
    </w:p>
    <w:p w:rsidR="00C57520" w:rsidRPr="006A2BB3" w:rsidRDefault="00C57520" w:rsidP="006A2BB3">
      <w:pPr>
        <w:spacing w:after="0" w:line="480" w:lineRule="auto"/>
        <w:ind w:left="360"/>
        <w:jc w:val="both"/>
        <w:rPr>
          <w:rFonts w:ascii="Arial" w:hAnsi="Arial"/>
          <w:sz w:val="24"/>
          <w:szCs w:val="24"/>
        </w:rPr>
      </w:pPr>
    </w:p>
    <w:p w:rsidR="00886B8A" w:rsidRPr="008E2D59" w:rsidRDefault="00F13237" w:rsidP="006A2BB3">
      <w:pPr>
        <w:spacing w:after="0" w:line="480" w:lineRule="auto"/>
        <w:jc w:val="both"/>
        <w:rPr>
          <w:rFonts w:ascii="Arial" w:hAnsi="Arial"/>
          <w:sz w:val="24"/>
          <w:szCs w:val="24"/>
        </w:rPr>
      </w:pPr>
      <w:r w:rsidRPr="006A2BB3">
        <w:rPr>
          <w:rFonts w:ascii="Arial" w:hAnsi="Arial"/>
          <w:sz w:val="24"/>
          <w:szCs w:val="24"/>
        </w:rPr>
        <w:t>[81</w:t>
      </w:r>
      <w:r w:rsidR="00C57520" w:rsidRPr="006A2BB3">
        <w:rPr>
          <w:rFonts w:ascii="Arial" w:hAnsi="Arial"/>
          <w:sz w:val="24"/>
          <w:szCs w:val="24"/>
        </w:rPr>
        <w:t>]</w:t>
      </w:r>
      <w:r w:rsidR="00C57520" w:rsidRPr="006A2BB3">
        <w:rPr>
          <w:rFonts w:ascii="Arial" w:hAnsi="Arial"/>
          <w:sz w:val="24"/>
          <w:szCs w:val="24"/>
        </w:rPr>
        <w:tab/>
      </w:r>
      <w:r w:rsidR="00CB2633" w:rsidRPr="006A2BB3">
        <w:rPr>
          <w:rFonts w:ascii="Arial" w:hAnsi="Arial"/>
          <w:sz w:val="24"/>
          <w:szCs w:val="24"/>
        </w:rPr>
        <w:t>T</w:t>
      </w:r>
      <w:r w:rsidR="00886B8A" w:rsidRPr="006A2BB3">
        <w:rPr>
          <w:rFonts w:ascii="Arial" w:hAnsi="Arial"/>
          <w:sz w:val="24"/>
          <w:szCs w:val="24"/>
        </w:rPr>
        <w:t xml:space="preserve">he owner of Ace’s </w:t>
      </w:r>
      <w:r w:rsidR="00513D16">
        <w:rPr>
          <w:rFonts w:ascii="Arial" w:hAnsi="Arial"/>
          <w:sz w:val="24"/>
          <w:szCs w:val="24"/>
        </w:rPr>
        <w:t>Guest house</w:t>
      </w:r>
      <w:r w:rsidR="00886B8A" w:rsidRPr="006A2BB3">
        <w:rPr>
          <w:rFonts w:ascii="Arial" w:hAnsi="Arial"/>
          <w:sz w:val="24"/>
          <w:szCs w:val="24"/>
        </w:rPr>
        <w:t xml:space="preserve">, </w:t>
      </w:r>
      <w:r w:rsidR="000832C1" w:rsidRPr="006A2BB3">
        <w:rPr>
          <w:rFonts w:ascii="Arial" w:hAnsi="Arial"/>
          <w:sz w:val="24"/>
          <w:szCs w:val="24"/>
        </w:rPr>
        <w:t>Mr Rodgers Kinyonga Dd</w:t>
      </w:r>
      <w:r w:rsidR="00886B8A" w:rsidRPr="006A2BB3">
        <w:rPr>
          <w:rFonts w:ascii="Arial" w:hAnsi="Arial"/>
          <w:sz w:val="24"/>
          <w:szCs w:val="24"/>
        </w:rPr>
        <w:t>ungu, and the manager</w:t>
      </w:r>
      <w:r w:rsidR="00CB2633" w:rsidRPr="006A2BB3">
        <w:rPr>
          <w:rFonts w:ascii="Arial" w:hAnsi="Arial"/>
          <w:sz w:val="24"/>
          <w:szCs w:val="24"/>
        </w:rPr>
        <w:t>,</w:t>
      </w:r>
      <w:r w:rsidR="00886B8A" w:rsidRPr="006A2BB3">
        <w:rPr>
          <w:rFonts w:ascii="Arial" w:hAnsi="Arial"/>
          <w:sz w:val="24"/>
          <w:szCs w:val="24"/>
        </w:rPr>
        <w:t xml:space="preserve"> Mr Ssendi Joseph had at no time entered into an agreement with the respondent</w:t>
      </w:r>
      <w:r w:rsidR="00CB2633" w:rsidRPr="006A2BB3">
        <w:rPr>
          <w:rFonts w:ascii="Arial" w:hAnsi="Arial"/>
          <w:sz w:val="24"/>
          <w:szCs w:val="24"/>
        </w:rPr>
        <w:t xml:space="preserve"> to acco</w:t>
      </w:r>
      <w:r w:rsidR="000832C1" w:rsidRPr="006A2BB3">
        <w:rPr>
          <w:rFonts w:ascii="Arial" w:hAnsi="Arial"/>
          <w:sz w:val="24"/>
          <w:szCs w:val="24"/>
        </w:rPr>
        <w:t>mmodate the NDF student soldiers</w:t>
      </w:r>
      <w:r w:rsidR="00CB2633" w:rsidRPr="006A2BB3">
        <w:rPr>
          <w:rFonts w:ascii="Arial" w:hAnsi="Arial"/>
          <w:sz w:val="24"/>
          <w:szCs w:val="24"/>
        </w:rPr>
        <w:t xml:space="preserve">. The </w:t>
      </w:r>
      <w:r w:rsidR="00886B8A" w:rsidRPr="006A2BB3">
        <w:rPr>
          <w:rFonts w:ascii="Arial" w:hAnsi="Arial"/>
          <w:sz w:val="24"/>
          <w:szCs w:val="24"/>
        </w:rPr>
        <w:t xml:space="preserve">facts would </w:t>
      </w:r>
      <w:r w:rsidR="00CB2633" w:rsidRPr="006A2BB3">
        <w:rPr>
          <w:rFonts w:ascii="Arial" w:hAnsi="Arial"/>
          <w:sz w:val="24"/>
          <w:szCs w:val="24"/>
        </w:rPr>
        <w:t xml:space="preserve">further </w:t>
      </w:r>
      <w:r w:rsidR="00886B8A" w:rsidRPr="006A2BB3">
        <w:rPr>
          <w:rFonts w:ascii="Arial" w:hAnsi="Arial"/>
          <w:sz w:val="24"/>
          <w:szCs w:val="24"/>
        </w:rPr>
        <w:t xml:space="preserve">show that there was no </w:t>
      </w:r>
      <w:r w:rsidR="00CB2633" w:rsidRPr="006A2BB3">
        <w:rPr>
          <w:rFonts w:ascii="Arial" w:hAnsi="Arial"/>
          <w:sz w:val="24"/>
          <w:szCs w:val="24"/>
        </w:rPr>
        <w:t>contract or</w:t>
      </w:r>
      <w:r w:rsidR="00886B8A" w:rsidRPr="006A2BB3">
        <w:rPr>
          <w:rFonts w:ascii="Arial" w:hAnsi="Arial"/>
          <w:sz w:val="24"/>
          <w:szCs w:val="24"/>
        </w:rPr>
        <w:t xml:space="preserve"> agreement between them </w:t>
      </w:r>
      <w:r w:rsidR="00CB2633" w:rsidRPr="006A2BB3">
        <w:rPr>
          <w:rFonts w:ascii="Arial" w:hAnsi="Arial"/>
          <w:sz w:val="24"/>
          <w:szCs w:val="24"/>
        </w:rPr>
        <w:t xml:space="preserve">for respondent </w:t>
      </w:r>
      <w:r w:rsidR="00886B8A" w:rsidRPr="006A2BB3">
        <w:rPr>
          <w:rFonts w:ascii="Arial" w:hAnsi="Arial"/>
          <w:sz w:val="24"/>
          <w:szCs w:val="24"/>
        </w:rPr>
        <w:t xml:space="preserve">to </w:t>
      </w:r>
      <w:r w:rsidR="00886B8A" w:rsidRPr="008E2D59">
        <w:rPr>
          <w:rFonts w:ascii="Arial" w:hAnsi="Arial"/>
          <w:sz w:val="24"/>
          <w:szCs w:val="24"/>
        </w:rPr>
        <w:t xml:space="preserve">obtain the tender. </w:t>
      </w:r>
      <w:r w:rsidR="003125D7" w:rsidRPr="008E2D59">
        <w:rPr>
          <w:rFonts w:ascii="Arial" w:eastAsia="Times New Roman" w:hAnsi="Arial"/>
          <w:sz w:val="24"/>
          <w:szCs w:val="24"/>
        </w:rPr>
        <w:t xml:space="preserve">He thus secured the tender based on his misrepresentation that he was the sole member of the CC which in turn owned Ace's </w:t>
      </w:r>
      <w:r w:rsidR="00513D16">
        <w:rPr>
          <w:rFonts w:ascii="Arial" w:eastAsia="Times New Roman" w:hAnsi="Arial"/>
          <w:sz w:val="24"/>
          <w:szCs w:val="24"/>
        </w:rPr>
        <w:t>Guest house</w:t>
      </w:r>
      <w:r w:rsidR="003125D7" w:rsidRPr="008E2D59">
        <w:rPr>
          <w:rFonts w:ascii="Arial" w:eastAsia="Times New Roman" w:hAnsi="Arial"/>
          <w:sz w:val="24"/>
          <w:szCs w:val="24"/>
        </w:rPr>
        <w:t>.</w:t>
      </w:r>
    </w:p>
    <w:p w:rsidR="00C57520" w:rsidRPr="006A2BB3" w:rsidRDefault="00C57520" w:rsidP="006A2BB3">
      <w:pPr>
        <w:spacing w:after="0" w:line="480" w:lineRule="auto"/>
        <w:ind w:left="360"/>
        <w:jc w:val="both"/>
        <w:rPr>
          <w:rFonts w:ascii="Arial" w:hAnsi="Arial"/>
          <w:sz w:val="24"/>
          <w:szCs w:val="24"/>
        </w:rPr>
      </w:pPr>
    </w:p>
    <w:p w:rsidR="00C57520" w:rsidRPr="003E7A1E" w:rsidRDefault="00F13237" w:rsidP="006A2BB3">
      <w:pPr>
        <w:spacing w:after="0" w:line="480" w:lineRule="auto"/>
        <w:jc w:val="both"/>
        <w:rPr>
          <w:rFonts w:ascii="Arial" w:hAnsi="Arial"/>
          <w:color w:val="000000"/>
          <w:sz w:val="24"/>
          <w:szCs w:val="24"/>
        </w:rPr>
      </w:pPr>
      <w:r w:rsidRPr="006A2BB3">
        <w:rPr>
          <w:rFonts w:ascii="Arial" w:hAnsi="Arial"/>
          <w:sz w:val="24"/>
          <w:szCs w:val="24"/>
        </w:rPr>
        <w:t>[82</w:t>
      </w:r>
      <w:r w:rsidR="00C57520" w:rsidRPr="006A2BB3">
        <w:rPr>
          <w:rFonts w:ascii="Arial" w:hAnsi="Arial"/>
          <w:sz w:val="24"/>
          <w:szCs w:val="24"/>
        </w:rPr>
        <w:t>]</w:t>
      </w:r>
      <w:r w:rsidR="00C57520" w:rsidRPr="006A2BB3">
        <w:rPr>
          <w:rFonts w:ascii="Arial" w:hAnsi="Arial"/>
          <w:sz w:val="24"/>
          <w:szCs w:val="24"/>
        </w:rPr>
        <w:tab/>
      </w:r>
      <w:r w:rsidR="00886B8A" w:rsidRPr="006A2BB3">
        <w:rPr>
          <w:rFonts w:ascii="Arial" w:hAnsi="Arial"/>
          <w:sz w:val="24"/>
          <w:szCs w:val="24"/>
        </w:rPr>
        <w:t>Throughout, the invoices</w:t>
      </w:r>
      <w:r w:rsidR="003B4BE7" w:rsidRPr="006A2BB3">
        <w:rPr>
          <w:rFonts w:ascii="Arial" w:hAnsi="Arial"/>
          <w:sz w:val="24"/>
          <w:szCs w:val="24"/>
        </w:rPr>
        <w:t xml:space="preserve"> furnished to the NDF reflect that the C</w:t>
      </w:r>
      <w:r w:rsidR="00C57520" w:rsidRPr="006A2BB3">
        <w:rPr>
          <w:rFonts w:ascii="Arial" w:hAnsi="Arial"/>
          <w:sz w:val="24"/>
          <w:szCs w:val="24"/>
        </w:rPr>
        <w:t>C is registered for VAT which was not the case.</w:t>
      </w:r>
      <w:r w:rsidR="009702C2" w:rsidRPr="006A2BB3">
        <w:rPr>
          <w:rFonts w:ascii="Arial" w:hAnsi="Arial"/>
          <w:sz w:val="24"/>
          <w:szCs w:val="24"/>
        </w:rPr>
        <w:t xml:space="preserve"> More than once, the respondent</w:t>
      </w:r>
      <w:r w:rsidR="00C57520" w:rsidRPr="006A2BB3">
        <w:rPr>
          <w:rFonts w:ascii="Arial" w:hAnsi="Arial"/>
          <w:sz w:val="24"/>
          <w:szCs w:val="24"/>
        </w:rPr>
        <w:t xml:space="preserve"> used </w:t>
      </w:r>
      <w:r w:rsidR="003B4BE7" w:rsidRPr="006A2BB3">
        <w:rPr>
          <w:rFonts w:ascii="Arial" w:hAnsi="Arial"/>
          <w:sz w:val="24"/>
          <w:szCs w:val="24"/>
        </w:rPr>
        <w:t>the VAT r</w:t>
      </w:r>
      <w:r w:rsidR="00C57520" w:rsidRPr="006A2BB3">
        <w:rPr>
          <w:rFonts w:ascii="Arial" w:hAnsi="Arial"/>
          <w:sz w:val="24"/>
          <w:szCs w:val="24"/>
        </w:rPr>
        <w:t xml:space="preserve">egistration number of the </w:t>
      </w:r>
      <w:r w:rsidR="00513D16">
        <w:rPr>
          <w:rFonts w:ascii="Arial" w:hAnsi="Arial"/>
          <w:sz w:val="24"/>
          <w:szCs w:val="24"/>
        </w:rPr>
        <w:t>guest house</w:t>
      </w:r>
      <w:r w:rsidR="00C57520" w:rsidRPr="006A2BB3">
        <w:rPr>
          <w:rFonts w:ascii="Arial" w:hAnsi="Arial"/>
          <w:sz w:val="24"/>
          <w:szCs w:val="24"/>
        </w:rPr>
        <w:t xml:space="preserve"> for purposes of the CC</w:t>
      </w:r>
      <w:r w:rsidR="003B4BE7" w:rsidRPr="006A2BB3">
        <w:rPr>
          <w:rFonts w:ascii="Arial" w:hAnsi="Arial"/>
          <w:sz w:val="24"/>
          <w:szCs w:val="24"/>
        </w:rPr>
        <w:t>. Th</w:t>
      </w:r>
      <w:r w:rsidR="009702C2" w:rsidRPr="006A2BB3">
        <w:rPr>
          <w:rFonts w:ascii="Arial" w:hAnsi="Arial"/>
          <w:sz w:val="24"/>
          <w:szCs w:val="24"/>
        </w:rPr>
        <w:t xml:space="preserve">e </w:t>
      </w:r>
      <w:r w:rsidR="009702C2" w:rsidRPr="003E7A1E">
        <w:rPr>
          <w:rFonts w:ascii="Arial" w:hAnsi="Arial"/>
          <w:color w:val="000000"/>
          <w:sz w:val="24"/>
          <w:szCs w:val="24"/>
        </w:rPr>
        <w:t>respondent admits as much</w:t>
      </w:r>
      <w:r w:rsidR="009F7534" w:rsidRPr="003E7A1E">
        <w:rPr>
          <w:rFonts w:ascii="Arial" w:hAnsi="Arial"/>
          <w:color w:val="000000"/>
          <w:sz w:val="24"/>
          <w:szCs w:val="24"/>
        </w:rPr>
        <w:t>,</w:t>
      </w:r>
      <w:r w:rsidR="009702C2" w:rsidRPr="003E7A1E">
        <w:rPr>
          <w:rFonts w:ascii="Arial" w:hAnsi="Arial"/>
          <w:color w:val="000000"/>
          <w:sz w:val="24"/>
          <w:szCs w:val="24"/>
        </w:rPr>
        <w:t xml:space="preserve"> but contends that it</w:t>
      </w:r>
      <w:r w:rsidR="003B4BE7" w:rsidRPr="003E7A1E">
        <w:rPr>
          <w:rFonts w:ascii="Arial" w:hAnsi="Arial"/>
          <w:color w:val="000000"/>
          <w:sz w:val="24"/>
          <w:szCs w:val="24"/>
        </w:rPr>
        <w:t xml:space="preserve"> is neither here nor there as no VAT was charged for the services</w:t>
      </w:r>
      <w:r w:rsidR="00C57520" w:rsidRPr="003E7A1E">
        <w:rPr>
          <w:rFonts w:ascii="Arial" w:hAnsi="Arial"/>
          <w:color w:val="000000"/>
          <w:sz w:val="24"/>
          <w:szCs w:val="24"/>
        </w:rPr>
        <w:t xml:space="preserve"> anyway</w:t>
      </w:r>
      <w:r w:rsidR="003B4BE7" w:rsidRPr="003E7A1E">
        <w:rPr>
          <w:rFonts w:ascii="Arial" w:hAnsi="Arial"/>
          <w:color w:val="000000"/>
          <w:sz w:val="24"/>
          <w:szCs w:val="24"/>
        </w:rPr>
        <w:t>. That</w:t>
      </w:r>
      <w:r w:rsidR="00C57520" w:rsidRPr="003E7A1E">
        <w:rPr>
          <w:rFonts w:ascii="Arial" w:hAnsi="Arial"/>
          <w:color w:val="000000"/>
          <w:sz w:val="24"/>
          <w:szCs w:val="24"/>
        </w:rPr>
        <w:t xml:space="preserve"> contention</w:t>
      </w:r>
      <w:r w:rsidR="003B4BE7" w:rsidRPr="003E7A1E">
        <w:rPr>
          <w:rFonts w:ascii="Arial" w:hAnsi="Arial"/>
          <w:color w:val="000000"/>
          <w:sz w:val="24"/>
          <w:szCs w:val="24"/>
        </w:rPr>
        <w:t>, however, misses the point</w:t>
      </w:r>
      <w:r w:rsidR="00C57520" w:rsidRPr="003E7A1E">
        <w:rPr>
          <w:rFonts w:ascii="Arial" w:hAnsi="Arial"/>
          <w:color w:val="000000"/>
          <w:sz w:val="24"/>
          <w:szCs w:val="24"/>
        </w:rPr>
        <w:t xml:space="preserve">. </w:t>
      </w:r>
      <w:r w:rsidR="003125D7" w:rsidRPr="003E7A1E">
        <w:rPr>
          <w:rFonts w:ascii="Arial" w:eastAsia="Times New Roman" w:hAnsi="Arial"/>
          <w:color w:val="000000"/>
          <w:sz w:val="24"/>
          <w:szCs w:val="24"/>
        </w:rPr>
        <w:t>What it really showed was his misrepresentation of the CC's VAT status, again perpetuating the falsehood that the CC</w:t>
      </w:r>
      <w:r w:rsidR="009F7534" w:rsidRPr="003E7A1E">
        <w:rPr>
          <w:rFonts w:ascii="Arial" w:eastAsia="Times New Roman" w:hAnsi="Arial"/>
          <w:color w:val="000000"/>
          <w:sz w:val="24"/>
          <w:szCs w:val="24"/>
        </w:rPr>
        <w:t>,</w:t>
      </w:r>
      <w:r w:rsidR="003125D7" w:rsidRPr="003E7A1E">
        <w:rPr>
          <w:rFonts w:ascii="Arial" w:eastAsia="Times New Roman" w:hAnsi="Arial"/>
          <w:color w:val="000000"/>
          <w:sz w:val="24"/>
          <w:szCs w:val="24"/>
        </w:rPr>
        <w:t xml:space="preserve"> of which he is the sole owner owns the </w:t>
      </w:r>
      <w:r w:rsidR="00513D16">
        <w:rPr>
          <w:rFonts w:ascii="Arial" w:eastAsia="Times New Roman" w:hAnsi="Arial"/>
          <w:color w:val="000000"/>
          <w:sz w:val="24"/>
          <w:szCs w:val="24"/>
        </w:rPr>
        <w:t>guest house</w:t>
      </w:r>
      <w:r w:rsidR="003125D7" w:rsidRPr="003E7A1E">
        <w:rPr>
          <w:rFonts w:ascii="Arial" w:eastAsia="Times New Roman" w:hAnsi="Arial"/>
          <w:color w:val="000000"/>
          <w:sz w:val="24"/>
          <w:szCs w:val="24"/>
        </w:rPr>
        <w:t xml:space="preserve"> which he cited in the tender application as accommodation for the NDF student soldiers.</w:t>
      </w:r>
    </w:p>
    <w:p w:rsidR="00C57520" w:rsidRPr="006A2BB3" w:rsidRDefault="00C57520" w:rsidP="006A2BB3">
      <w:pPr>
        <w:spacing w:after="0" w:line="480" w:lineRule="auto"/>
        <w:jc w:val="both"/>
        <w:rPr>
          <w:rFonts w:ascii="Arial" w:hAnsi="Arial"/>
          <w:sz w:val="24"/>
          <w:szCs w:val="24"/>
        </w:rPr>
      </w:pPr>
    </w:p>
    <w:p w:rsidR="00AC53B1" w:rsidRPr="006A2BB3" w:rsidRDefault="00F13237" w:rsidP="006A2BB3">
      <w:pPr>
        <w:spacing w:after="0" w:line="480" w:lineRule="auto"/>
        <w:jc w:val="both"/>
        <w:rPr>
          <w:rFonts w:ascii="Arial" w:hAnsi="Arial"/>
          <w:sz w:val="24"/>
          <w:szCs w:val="24"/>
        </w:rPr>
      </w:pPr>
      <w:r w:rsidRPr="006A2BB3">
        <w:rPr>
          <w:rFonts w:ascii="Arial" w:hAnsi="Arial"/>
          <w:sz w:val="24"/>
          <w:szCs w:val="24"/>
        </w:rPr>
        <w:t>[83</w:t>
      </w:r>
      <w:r w:rsidR="00C57520" w:rsidRPr="006A2BB3">
        <w:rPr>
          <w:rFonts w:ascii="Arial" w:hAnsi="Arial"/>
          <w:sz w:val="24"/>
          <w:szCs w:val="24"/>
        </w:rPr>
        <w:t>]</w:t>
      </w:r>
      <w:r w:rsidR="00C57520" w:rsidRPr="006A2BB3">
        <w:rPr>
          <w:rFonts w:ascii="Arial" w:hAnsi="Arial"/>
          <w:sz w:val="24"/>
          <w:szCs w:val="24"/>
        </w:rPr>
        <w:tab/>
      </w:r>
      <w:r w:rsidR="00AC53B1" w:rsidRPr="006A2BB3">
        <w:rPr>
          <w:rFonts w:ascii="Arial" w:hAnsi="Arial"/>
          <w:sz w:val="24"/>
          <w:szCs w:val="24"/>
        </w:rPr>
        <w:t xml:space="preserve">The respondent might not have said in so many words that he owned the </w:t>
      </w:r>
      <w:r w:rsidR="00513D16">
        <w:rPr>
          <w:rFonts w:ascii="Arial" w:hAnsi="Arial"/>
          <w:sz w:val="24"/>
          <w:szCs w:val="24"/>
        </w:rPr>
        <w:t>guest house</w:t>
      </w:r>
      <w:r w:rsidR="00AC53B1" w:rsidRPr="006A2BB3">
        <w:rPr>
          <w:rFonts w:ascii="Arial" w:hAnsi="Arial"/>
          <w:sz w:val="24"/>
          <w:szCs w:val="24"/>
        </w:rPr>
        <w:t>. However, based on the facts of this case</w:t>
      </w:r>
      <w:r w:rsidR="009F7534">
        <w:rPr>
          <w:rFonts w:ascii="Arial" w:hAnsi="Arial"/>
          <w:sz w:val="24"/>
          <w:szCs w:val="24"/>
        </w:rPr>
        <w:t>,</w:t>
      </w:r>
      <w:r w:rsidR="00AC53B1" w:rsidRPr="006A2BB3">
        <w:rPr>
          <w:rFonts w:ascii="Arial" w:hAnsi="Arial"/>
          <w:sz w:val="24"/>
          <w:szCs w:val="24"/>
        </w:rPr>
        <w:t xml:space="preserve"> he did tender to provide the required accommodation as if he was the owner of the </w:t>
      </w:r>
      <w:r w:rsidR="00513D16">
        <w:rPr>
          <w:rFonts w:ascii="Arial" w:hAnsi="Arial"/>
          <w:sz w:val="24"/>
          <w:szCs w:val="24"/>
        </w:rPr>
        <w:t>guest house</w:t>
      </w:r>
      <w:r w:rsidR="009F7534">
        <w:rPr>
          <w:rFonts w:ascii="Arial" w:hAnsi="Arial"/>
          <w:sz w:val="24"/>
          <w:szCs w:val="24"/>
        </w:rPr>
        <w:t xml:space="preserve"> and</w:t>
      </w:r>
      <w:r w:rsidR="00AC53B1" w:rsidRPr="006A2BB3">
        <w:rPr>
          <w:rFonts w:ascii="Arial" w:hAnsi="Arial"/>
          <w:sz w:val="24"/>
          <w:szCs w:val="24"/>
        </w:rPr>
        <w:t xml:space="preserve"> acquired the tender having created that impression. At no stage did </w:t>
      </w:r>
      <w:r w:rsidR="00583E61" w:rsidRPr="006A2BB3">
        <w:rPr>
          <w:rFonts w:ascii="Arial" w:hAnsi="Arial"/>
          <w:sz w:val="24"/>
          <w:szCs w:val="24"/>
        </w:rPr>
        <w:t xml:space="preserve">he </w:t>
      </w:r>
      <w:r w:rsidR="00AC53B1" w:rsidRPr="006A2BB3">
        <w:rPr>
          <w:rFonts w:ascii="Arial" w:hAnsi="Arial"/>
          <w:sz w:val="24"/>
          <w:szCs w:val="24"/>
        </w:rPr>
        <w:t xml:space="preserve">correct or attempt to correct the false impression created. Further, at no stage did </w:t>
      </w:r>
      <w:r w:rsidR="00583E61" w:rsidRPr="006A2BB3">
        <w:rPr>
          <w:rFonts w:ascii="Arial" w:hAnsi="Arial"/>
          <w:sz w:val="24"/>
          <w:szCs w:val="24"/>
        </w:rPr>
        <w:t xml:space="preserve">he </w:t>
      </w:r>
      <w:r w:rsidR="00AC53B1" w:rsidRPr="006A2BB3">
        <w:rPr>
          <w:rFonts w:ascii="Arial" w:hAnsi="Arial"/>
          <w:sz w:val="24"/>
          <w:szCs w:val="24"/>
        </w:rPr>
        <w:t>submit and or contend that any of the evidence against him was false, nor that it was obtained through some or other unlawful procedures. Based on those falsehoods among others, the NDF awarded the tender</w:t>
      </w:r>
      <w:r w:rsidR="00583E61" w:rsidRPr="006A2BB3">
        <w:rPr>
          <w:rFonts w:ascii="Arial" w:hAnsi="Arial"/>
          <w:sz w:val="24"/>
          <w:szCs w:val="24"/>
        </w:rPr>
        <w:t xml:space="preserve"> in his</w:t>
      </w:r>
      <w:r w:rsidR="00AC53B1" w:rsidRPr="006A2BB3">
        <w:rPr>
          <w:rFonts w:ascii="Arial" w:hAnsi="Arial"/>
          <w:sz w:val="24"/>
          <w:szCs w:val="24"/>
        </w:rPr>
        <w:t xml:space="preserve"> favour to the value of </w:t>
      </w:r>
      <w:r w:rsidR="009F7534">
        <w:rPr>
          <w:rFonts w:ascii="Arial" w:hAnsi="Arial"/>
          <w:sz w:val="24"/>
          <w:szCs w:val="24"/>
        </w:rPr>
        <w:t>N$</w:t>
      </w:r>
      <w:r w:rsidR="00AC53B1" w:rsidRPr="006A2BB3">
        <w:rPr>
          <w:rFonts w:ascii="Arial" w:hAnsi="Arial"/>
          <w:sz w:val="24"/>
          <w:szCs w:val="24"/>
        </w:rPr>
        <w:t>2 653 560. </w:t>
      </w:r>
    </w:p>
    <w:p w:rsidR="000A2B19" w:rsidRPr="006A2BB3" w:rsidRDefault="000A2B19" w:rsidP="006A2BB3">
      <w:pPr>
        <w:spacing w:after="0" w:line="480" w:lineRule="auto"/>
        <w:ind w:left="360"/>
        <w:jc w:val="both"/>
        <w:rPr>
          <w:rFonts w:ascii="Arial" w:hAnsi="Arial"/>
          <w:sz w:val="24"/>
          <w:szCs w:val="24"/>
        </w:rPr>
      </w:pPr>
    </w:p>
    <w:p w:rsidR="003B4BE7" w:rsidRPr="006A2BB3" w:rsidRDefault="00F13237" w:rsidP="006A2BB3">
      <w:pPr>
        <w:spacing w:after="0" w:line="480" w:lineRule="auto"/>
        <w:jc w:val="both"/>
        <w:rPr>
          <w:rFonts w:ascii="Arial" w:hAnsi="Arial"/>
          <w:sz w:val="24"/>
          <w:szCs w:val="24"/>
        </w:rPr>
      </w:pPr>
      <w:r w:rsidRPr="006A2BB3">
        <w:rPr>
          <w:rFonts w:ascii="Arial" w:hAnsi="Arial"/>
          <w:sz w:val="24"/>
          <w:szCs w:val="24"/>
        </w:rPr>
        <w:t>[84</w:t>
      </w:r>
      <w:r w:rsidR="003B4BE7" w:rsidRPr="006A2BB3">
        <w:rPr>
          <w:rFonts w:ascii="Arial" w:hAnsi="Arial"/>
          <w:sz w:val="24"/>
          <w:szCs w:val="24"/>
        </w:rPr>
        <w:t>]</w:t>
      </w:r>
      <w:r w:rsidR="003B4BE7" w:rsidRPr="006A2BB3">
        <w:rPr>
          <w:rFonts w:ascii="Arial" w:hAnsi="Arial"/>
          <w:sz w:val="24"/>
          <w:szCs w:val="24"/>
        </w:rPr>
        <w:tab/>
      </w:r>
      <w:r w:rsidR="00C57520" w:rsidRPr="006A2BB3">
        <w:rPr>
          <w:rFonts w:ascii="Arial" w:hAnsi="Arial"/>
          <w:sz w:val="24"/>
          <w:szCs w:val="24"/>
        </w:rPr>
        <w:t>C</w:t>
      </w:r>
      <w:r w:rsidR="003B4BE7" w:rsidRPr="006A2BB3">
        <w:rPr>
          <w:rFonts w:ascii="Arial" w:hAnsi="Arial"/>
          <w:sz w:val="24"/>
          <w:szCs w:val="24"/>
        </w:rPr>
        <w:t xml:space="preserve">oncerning </w:t>
      </w:r>
      <w:r w:rsidR="00C57520" w:rsidRPr="006A2BB3">
        <w:rPr>
          <w:rFonts w:ascii="Arial" w:hAnsi="Arial"/>
          <w:sz w:val="24"/>
          <w:szCs w:val="24"/>
        </w:rPr>
        <w:t xml:space="preserve">the </w:t>
      </w:r>
      <w:r w:rsidR="003B4BE7" w:rsidRPr="006A2BB3">
        <w:rPr>
          <w:rFonts w:ascii="Arial" w:hAnsi="Arial"/>
          <w:sz w:val="24"/>
          <w:szCs w:val="24"/>
        </w:rPr>
        <w:t>money laundering</w:t>
      </w:r>
      <w:r w:rsidR="00C57520" w:rsidRPr="006A2BB3">
        <w:rPr>
          <w:rFonts w:ascii="Arial" w:hAnsi="Arial"/>
          <w:sz w:val="24"/>
          <w:szCs w:val="24"/>
        </w:rPr>
        <w:t xml:space="preserve"> allegations against the respondent, following the fraudu</w:t>
      </w:r>
      <w:r w:rsidR="003B4BE7" w:rsidRPr="006A2BB3">
        <w:rPr>
          <w:rFonts w:ascii="Arial" w:hAnsi="Arial"/>
          <w:sz w:val="24"/>
          <w:szCs w:val="24"/>
        </w:rPr>
        <w:t>lent acquisition of the tender, an amount of N$1 061 124 was deposited by the NDF into the CC’s Standard Bank account on 18 September 2014. By 23 September 2014,</w:t>
      </w:r>
      <w:r w:rsidR="00C57520" w:rsidRPr="006A2BB3">
        <w:rPr>
          <w:rFonts w:ascii="Arial" w:hAnsi="Arial"/>
          <w:sz w:val="24"/>
          <w:szCs w:val="24"/>
        </w:rPr>
        <w:t xml:space="preserve"> the balance on this account had swiftly reduced to N$1 591</w:t>
      </w:r>
      <w:r w:rsidR="009F7534">
        <w:rPr>
          <w:rFonts w:ascii="Arial" w:hAnsi="Arial"/>
          <w:sz w:val="24"/>
          <w:szCs w:val="24"/>
        </w:rPr>
        <w:t>,</w:t>
      </w:r>
      <w:r w:rsidR="00C57520" w:rsidRPr="006A2BB3">
        <w:rPr>
          <w:rFonts w:ascii="Arial" w:hAnsi="Arial"/>
          <w:sz w:val="24"/>
          <w:szCs w:val="24"/>
        </w:rPr>
        <w:t>15: a</w:t>
      </w:r>
      <w:r w:rsidR="003B4BE7" w:rsidRPr="006A2BB3">
        <w:rPr>
          <w:rFonts w:ascii="Arial" w:hAnsi="Arial"/>
          <w:sz w:val="24"/>
          <w:szCs w:val="24"/>
        </w:rPr>
        <w:t xml:space="preserve"> day after the </w:t>
      </w:r>
      <w:r w:rsidR="00C57520" w:rsidRPr="006A2BB3">
        <w:rPr>
          <w:rFonts w:ascii="Arial" w:hAnsi="Arial"/>
          <w:sz w:val="24"/>
          <w:szCs w:val="24"/>
        </w:rPr>
        <w:t xml:space="preserve">NDF </w:t>
      </w:r>
      <w:r w:rsidR="003B4BE7" w:rsidRPr="006A2BB3">
        <w:rPr>
          <w:rFonts w:ascii="Arial" w:hAnsi="Arial"/>
          <w:sz w:val="24"/>
          <w:szCs w:val="24"/>
        </w:rPr>
        <w:t xml:space="preserve">amount was deposited into the CC’s account, there was a </w:t>
      </w:r>
      <w:r w:rsidR="00433CA4" w:rsidRPr="006A2BB3">
        <w:rPr>
          <w:rFonts w:ascii="Arial" w:hAnsi="Arial"/>
          <w:sz w:val="24"/>
          <w:szCs w:val="24"/>
        </w:rPr>
        <w:t xml:space="preserve">cash </w:t>
      </w:r>
      <w:r w:rsidR="003B4BE7" w:rsidRPr="006A2BB3">
        <w:rPr>
          <w:rFonts w:ascii="Arial" w:hAnsi="Arial"/>
          <w:sz w:val="24"/>
          <w:szCs w:val="24"/>
        </w:rPr>
        <w:t>withdrawal of N$5000, a cheque</w:t>
      </w:r>
      <w:r w:rsidR="00C57520" w:rsidRPr="006A2BB3">
        <w:rPr>
          <w:rFonts w:ascii="Arial" w:hAnsi="Arial"/>
          <w:sz w:val="24"/>
          <w:szCs w:val="24"/>
        </w:rPr>
        <w:t xml:space="preserve"> cashed</w:t>
      </w:r>
      <w:r w:rsidR="003B4BE7" w:rsidRPr="006A2BB3">
        <w:rPr>
          <w:rFonts w:ascii="Arial" w:hAnsi="Arial"/>
          <w:sz w:val="24"/>
          <w:szCs w:val="24"/>
        </w:rPr>
        <w:t xml:space="preserve"> in the amount of N$250 000 and N$800 000 was transferred into the respondent</w:t>
      </w:r>
      <w:r w:rsidR="009702C2" w:rsidRPr="006A2BB3">
        <w:rPr>
          <w:rFonts w:ascii="Arial" w:hAnsi="Arial"/>
          <w:sz w:val="24"/>
          <w:szCs w:val="24"/>
        </w:rPr>
        <w:t>’</w:t>
      </w:r>
      <w:r w:rsidR="003B4BE7" w:rsidRPr="006A2BB3">
        <w:rPr>
          <w:rFonts w:ascii="Arial" w:hAnsi="Arial"/>
          <w:sz w:val="24"/>
          <w:szCs w:val="24"/>
        </w:rPr>
        <w:t xml:space="preserve">s </w:t>
      </w:r>
      <w:r w:rsidR="00433733" w:rsidRPr="006A2BB3">
        <w:rPr>
          <w:rFonts w:ascii="Arial" w:hAnsi="Arial"/>
          <w:sz w:val="24"/>
          <w:szCs w:val="24"/>
        </w:rPr>
        <w:t xml:space="preserve">minor </w:t>
      </w:r>
      <w:r w:rsidR="00433CA4" w:rsidRPr="006A2BB3">
        <w:rPr>
          <w:rFonts w:ascii="Arial" w:hAnsi="Arial"/>
          <w:sz w:val="24"/>
          <w:szCs w:val="24"/>
        </w:rPr>
        <w:t xml:space="preserve">son’s FNB account with </w:t>
      </w:r>
      <w:r w:rsidR="003B4BE7" w:rsidRPr="006A2BB3">
        <w:rPr>
          <w:rFonts w:ascii="Arial" w:hAnsi="Arial"/>
          <w:sz w:val="24"/>
          <w:szCs w:val="24"/>
        </w:rPr>
        <w:t xml:space="preserve"> </w:t>
      </w:r>
      <w:r w:rsidR="009702C2" w:rsidRPr="006A2BB3">
        <w:rPr>
          <w:rFonts w:ascii="Arial" w:hAnsi="Arial"/>
          <w:sz w:val="24"/>
          <w:szCs w:val="24"/>
        </w:rPr>
        <w:t xml:space="preserve">the unlikely </w:t>
      </w:r>
      <w:r w:rsidR="003B4BE7" w:rsidRPr="006A2BB3">
        <w:rPr>
          <w:rFonts w:ascii="Arial" w:hAnsi="Arial"/>
          <w:sz w:val="24"/>
          <w:szCs w:val="24"/>
        </w:rPr>
        <w:t>reference</w:t>
      </w:r>
      <w:r w:rsidR="00433CA4" w:rsidRPr="006A2BB3">
        <w:rPr>
          <w:rFonts w:ascii="Arial" w:hAnsi="Arial"/>
          <w:sz w:val="24"/>
          <w:szCs w:val="24"/>
        </w:rPr>
        <w:t xml:space="preserve"> as</w:t>
      </w:r>
      <w:r w:rsidR="003B4BE7" w:rsidRPr="006A2BB3">
        <w:rPr>
          <w:rFonts w:ascii="Arial" w:hAnsi="Arial"/>
          <w:sz w:val="24"/>
          <w:szCs w:val="24"/>
        </w:rPr>
        <w:t xml:space="preserve"> </w:t>
      </w:r>
      <w:r w:rsidR="009F7534">
        <w:rPr>
          <w:rFonts w:ascii="Arial" w:hAnsi="Arial"/>
          <w:sz w:val="24"/>
          <w:szCs w:val="24"/>
        </w:rPr>
        <w:t>'</w:t>
      </w:r>
      <w:r w:rsidR="003B4BE7" w:rsidRPr="006A2BB3">
        <w:rPr>
          <w:rFonts w:ascii="Arial" w:hAnsi="Arial"/>
          <w:sz w:val="24"/>
          <w:szCs w:val="24"/>
        </w:rPr>
        <w:t>salary</w:t>
      </w:r>
      <w:r w:rsidR="009F7534">
        <w:rPr>
          <w:rFonts w:ascii="Arial" w:hAnsi="Arial"/>
          <w:sz w:val="24"/>
          <w:szCs w:val="24"/>
        </w:rPr>
        <w:t>'</w:t>
      </w:r>
      <w:r w:rsidR="003B4BE7" w:rsidRPr="006A2BB3">
        <w:rPr>
          <w:rFonts w:ascii="Arial" w:hAnsi="Arial"/>
          <w:sz w:val="24"/>
          <w:szCs w:val="24"/>
        </w:rPr>
        <w:t xml:space="preserve">. There was </w:t>
      </w:r>
      <w:r w:rsidR="00433CA4" w:rsidRPr="006A2BB3">
        <w:rPr>
          <w:rFonts w:ascii="Arial" w:hAnsi="Arial"/>
          <w:sz w:val="24"/>
          <w:szCs w:val="24"/>
        </w:rPr>
        <w:t xml:space="preserve">generally </w:t>
      </w:r>
      <w:r w:rsidR="003B4BE7" w:rsidRPr="006A2BB3">
        <w:rPr>
          <w:rFonts w:ascii="Arial" w:hAnsi="Arial"/>
          <w:sz w:val="24"/>
          <w:szCs w:val="24"/>
        </w:rPr>
        <w:t xml:space="preserve">no credible justification forthcoming </w:t>
      </w:r>
      <w:r w:rsidR="00433CA4" w:rsidRPr="006A2BB3">
        <w:rPr>
          <w:rFonts w:ascii="Arial" w:hAnsi="Arial"/>
          <w:sz w:val="24"/>
          <w:szCs w:val="24"/>
        </w:rPr>
        <w:t xml:space="preserve">for this substantial amount deposited into his minor son’s </w:t>
      </w:r>
      <w:r w:rsidR="009702C2" w:rsidRPr="006A2BB3">
        <w:rPr>
          <w:rFonts w:ascii="Arial" w:hAnsi="Arial"/>
          <w:sz w:val="24"/>
          <w:szCs w:val="24"/>
        </w:rPr>
        <w:t xml:space="preserve">personal </w:t>
      </w:r>
      <w:r w:rsidR="00433CA4" w:rsidRPr="006A2BB3">
        <w:rPr>
          <w:rFonts w:ascii="Arial" w:hAnsi="Arial"/>
          <w:sz w:val="24"/>
          <w:szCs w:val="24"/>
        </w:rPr>
        <w:t xml:space="preserve">bank account. Nor was there reasonable explanation for that amount of money itemised as </w:t>
      </w:r>
      <w:r w:rsidR="009F7534">
        <w:rPr>
          <w:rFonts w:ascii="Arial" w:hAnsi="Arial"/>
          <w:sz w:val="24"/>
          <w:szCs w:val="24"/>
        </w:rPr>
        <w:t>'</w:t>
      </w:r>
      <w:r w:rsidR="00433CA4" w:rsidRPr="006A2BB3">
        <w:rPr>
          <w:rFonts w:ascii="Arial" w:hAnsi="Arial"/>
          <w:sz w:val="24"/>
          <w:szCs w:val="24"/>
        </w:rPr>
        <w:t>salary</w:t>
      </w:r>
      <w:r w:rsidR="009F7534">
        <w:rPr>
          <w:rFonts w:ascii="Arial" w:hAnsi="Arial"/>
          <w:sz w:val="24"/>
          <w:szCs w:val="24"/>
        </w:rPr>
        <w:t>'</w:t>
      </w:r>
      <w:r w:rsidR="00433CA4" w:rsidRPr="006A2BB3">
        <w:rPr>
          <w:rFonts w:ascii="Arial" w:hAnsi="Arial"/>
          <w:sz w:val="24"/>
          <w:szCs w:val="24"/>
        </w:rPr>
        <w:t>.</w:t>
      </w:r>
    </w:p>
    <w:p w:rsidR="003B4BE7" w:rsidRPr="006A2BB3" w:rsidRDefault="003B4BE7" w:rsidP="006A2BB3">
      <w:pPr>
        <w:spacing w:after="0" w:line="480" w:lineRule="auto"/>
        <w:ind w:left="360"/>
        <w:jc w:val="both"/>
        <w:rPr>
          <w:rFonts w:ascii="Arial" w:hAnsi="Arial"/>
          <w:sz w:val="24"/>
          <w:szCs w:val="24"/>
        </w:rPr>
      </w:pPr>
    </w:p>
    <w:p w:rsidR="009702C2" w:rsidRPr="006A2BB3" w:rsidRDefault="00F13237" w:rsidP="006A2BB3">
      <w:pPr>
        <w:tabs>
          <w:tab w:val="left" w:pos="0"/>
        </w:tabs>
        <w:spacing w:after="0" w:line="480" w:lineRule="auto"/>
        <w:jc w:val="both"/>
        <w:rPr>
          <w:rFonts w:ascii="Arial" w:hAnsi="Arial"/>
          <w:sz w:val="24"/>
          <w:szCs w:val="24"/>
        </w:rPr>
      </w:pPr>
      <w:r w:rsidRPr="006A2BB3">
        <w:rPr>
          <w:rFonts w:ascii="Arial" w:hAnsi="Arial"/>
          <w:sz w:val="24"/>
          <w:szCs w:val="24"/>
        </w:rPr>
        <w:t>[85</w:t>
      </w:r>
      <w:r w:rsidR="003B4BE7" w:rsidRPr="006A2BB3">
        <w:rPr>
          <w:rFonts w:ascii="Arial" w:hAnsi="Arial"/>
          <w:sz w:val="24"/>
          <w:szCs w:val="24"/>
        </w:rPr>
        <w:t>]</w:t>
      </w:r>
      <w:r w:rsidR="003B4BE7" w:rsidRPr="006A2BB3">
        <w:rPr>
          <w:rFonts w:ascii="Arial" w:hAnsi="Arial"/>
          <w:sz w:val="24"/>
          <w:szCs w:val="24"/>
        </w:rPr>
        <w:tab/>
        <w:t>When questioned, the respondent</w:t>
      </w:r>
      <w:r w:rsidR="00433CA4" w:rsidRPr="006A2BB3">
        <w:rPr>
          <w:rFonts w:ascii="Arial" w:hAnsi="Arial"/>
          <w:sz w:val="24"/>
          <w:szCs w:val="24"/>
        </w:rPr>
        <w:t>’s</w:t>
      </w:r>
      <w:r w:rsidR="003B4BE7" w:rsidRPr="006A2BB3">
        <w:rPr>
          <w:rFonts w:ascii="Arial" w:hAnsi="Arial"/>
          <w:sz w:val="24"/>
          <w:szCs w:val="24"/>
        </w:rPr>
        <w:t xml:space="preserve"> reply was that, at the time of the transfer, </w:t>
      </w:r>
      <w:r w:rsidR="009702C2" w:rsidRPr="006A2BB3">
        <w:rPr>
          <w:rFonts w:ascii="Arial" w:hAnsi="Arial"/>
          <w:sz w:val="24"/>
          <w:szCs w:val="24"/>
        </w:rPr>
        <w:t>Standard Bank was experiencing challenges</w:t>
      </w:r>
      <w:r w:rsidR="003B4BE7" w:rsidRPr="006A2BB3">
        <w:rPr>
          <w:rFonts w:ascii="Arial" w:hAnsi="Arial"/>
          <w:sz w:val="24"/>
          <w:szCs w:val="24"/>
        </w:rPr>
        <w:t xml:space="preserve"> in </w:t>
      </w:r>
      <w:r w:rsidR="00433CA4" w:rsidRPr="006A2BB3">
        <w:rPr>
          <w:rFonts w:ascii="Arial" w:hAnsi="Arial"/>
          <w:sz w:val="24"/>
          <w:szCs w:val="24"/>
        </w:rPr>
        <w:t>its</w:t>
      </w:r>
      <w:r w:rsidR="003B4BE7" w:rsidRPr="006A2BB3">
        <w:rPr>
          <w:rFonts w:ascii="Arial" w:hAnsi="Arial"/>
          <w:sz w:val="24"/>
          <w:szCs w:val="24"/>
        </w:rPr>
        <w:t xml:space="preserve"> systems which created delays in the CC’s payment processes. The existence of these </w:t>
      </w:r>
      <w:r w:rsidR="004D2024">
        <w:rPr>
          <w:rFonts w:ascii="Arial" w:hAnsi="Arial"/>
          <w:sz w:val="24"/>
          <w:szCs w:val="24"/>
        </w:rPr>
        <w:t>'</w:t>
      </w:r>
      <w:r w:rsidR="003B4BE7" w:rsidRPr="006A2BB3">
        <w:rPr>
          <w:rFonts w:ascii="Arial" w:hAnsi="Arial"/>
          <w:sz w:val="24"/>
          <w:szCs w:val="24"/>
        </w:rPr>
        <w:t>problems</w:t>
      </w:r>
      <w:r w:rsidR="004D2024">
        <w:rPr>
          <w:rFonts w:ascii="Arial" w:hAnsi="Arial"/>
          <w:sz w:val="24"/>
          <w:szCs w:val="24"/>
        </w:rPr>
        <w:t>'</w:t>
      </w:r>
      <w:r w:rsidR="003B4BE7" w:rsidRPr="006A2BB3">
        <w:rPr>
          <w:rFonts w:ascii="Arial" w:hAnsi="Arial"/>
          <w:sz w:val="24"/>
          <w:szCs w:val="24"/>
        </w:rPr>
        <w:t xml:space="preserve"> were</w:t>
      </w:r>
      <w:r w:rsidR="004D2024">
        <w:rPr>
          <w:rFonts w:ascii="Arial" w:hAnsi="Arial"/>
          <w:sz w:val="24"/>
          <w:szCs w:val="24"/>
        </w:rPr>
        <w:t>,</w:t>
      </w:r>
      <w:r w:rsidR="003B4BE7" w:rsidRPr="006A2BB3">
        <w:rPr>
          <w:rFonts w:ascii="Arial" w:hAnsi="Arial"/>
          <w:sz w:val="24"/>
          <w:szCs w:val="24"/>
        </w:rPr>
        <w:t xml:space="preserve"> </w:t>
      </w:r>
      <w:r w:rsidR="00433CA4" w:rsidRPr="006A2BB3">
        <w:rPr>
          <w:rFonts w:ascii="Arial" w:hAnsi="Arial"/>
          <w:sz w:val="24"/>
          <w:szCs w:val="24"/>
        </w:rPr>
        <w:t>however</w:t>
      </w:r>
      <w:r w:rsidR="004D2024">
        <w:rPr>
          <w:rFonts w:ascii="Arial" w:hAnsi="Arial"/>
          <w:sz w:val="24"/>
          <w:szCs w:val="24"/>
        </w:rPr>
        <w:t>,</w:t>
      </w:r>
      <w:r w:rsidR="00433CA4" w:rsidRPr="006A2BB3">
        <w:rPr>
          <w:rFonts w:ascii="Arial" w:hAnsi="Arial"/>
          <w:sz w:val="24"/>
          <w:szCs w:val="24"/>
        </w:rPr>
        <w:t xml:space="preserve"> refuted under</w:t>
      </w:r>
      <w:r w:rsidR="003B4BE7" w:rsidRPr="006A2BB3">
        <w:rPr>
          <w:rFonts w:ascii="Arial" w:hAnsi="Arial"/>
          <w:sz w:val="24"/>
          <w:szCs w:val="24"/>
        </w:rPr>
        <w:t xml:space="preserve"> oath by the manager of the bank </w:t>
      </w:r>
      <w:r w:rsidR="00433CA4" w:rsidRPr="006A2BB3">
        <w:rPr>
          <w:rFonts w:ascii="Arial" w:hAnsi="Arial"/>
          <w:sz w:val="24"/>
          <w:szCs w:val="24"/>
        </w:rPr>
        <w:t xml:space="preserve">confirming </w:t>
      </w:r>
      <w:r w:rsidR="003B4BE7" w:rsidRPr="006A2BB3">
        <w:rPr>
          <w:rFonts w:ascii="Arial" w:hAnsi="Arial"/>
          <w:sz w:val="24"/>
          <w:szCs w:val="24"/>
        </w:rPr>
        <w:t>that their system problems manifested</w:t>
      </w:r>
      <w:r w:rsidR="00433733" w:rsidRPr="006A2BB3">
        <w:rPr>
          <w:rFonts w:ascii="Arial" w:hAnsi="Arial"/>
          <w:sz w:val="24"/>
          <w:szCs w:val="24"/>
        </w:rPr>
        <w:t xml:space="preserve"> only on 25 September 2014, days after the transfer of the N$800 000. Besides, no explanation</w:t>
      </w:r>
      <w:r w:rsidR="00433CA4" w:rsidRPr="006A2BB3">
        <w:rPr>
          <w:rFonts w:ascii="Arial" w:hAnsi="Arial"/>
          <w:sz w:val="24"/>
          <w:szCs w:val="24"/>
        </w:rPr>
        <w:t xml:space="preserve"> at all was provided</w:t>
      </w:r>
      <w:r w:rsidR="00433733" w:rsidRPr="006A2BB3">
        <w:rPr>
          <w:rFonts w:ascii="Arial" w:hAnsi="Arial"/>
          <w:sz w:val="24"/>
          <w:szCs w:val="24"/>
        </w:rPr>
        <w:t xml:space="preserve"> for the </w:t>
      </w:r>
      <w:r w:rsidR="004D2024">
        <w:rPr>
          <w:rFonts w:ascii="Arial" w:hAnsi="Arial"/>
          <w:sz w:val="24"/>
          <w:szCs w:val="24"/>
        </w:rPr>
        <w:t>'</w:t>
      </w:r>
      <w:r w:rsidR="00433733" w:rsidRPr="006A2BB3">
        <w:rPr>
          <w:rFonts w:ascii="Arial" w:hAnsi="Arial"/>
          <w:sz w:val="24"/>
          <w:szCs w:val="24"/>
        </w:rPr>
        <w:t>salary</w:t>
      </w:r>
      <w:r w:rsidR="004D2024">
        <w:rPr>
          <w:rFonts w:ascii="Arial" w:hAnsi="Arial"/>
          <w:sz w:val="24"/>
          <w:szCs w:val="24"/>
        </w:rPr>
        <w:t>'</w:t>
      </w:r>
      <w:r w:rsidR="00433733" w:rsidRPr="006A2BB3">
        <w:rPr>
          <w:rFonts w:ascii="Arial" w:hAnsi="Arial"/>
          <w:sz w:val="24"/>
          <w:szCs w:val="24"/>
        </w:rPr>
        <w:t xml:space="preserve"> reference. Nor was any explanation provided for the </w:t>
      </w:r>
      <w:r w:rsidR="00433CA4" w:rsidRPr="006A2BB3">
        <w:rPr>
          <w:rFonts w:ascii="Arial" w:hAnsi="Arial"/>
          <w:sz w:val="24"/>
          <w:szCs w:val="24"/>
        </w:rPr>
        <w:t xml:space="preserve">necessity of the initial </w:t>
      </w:r>
      <w:r w:rsidR="00433733" w:rsidRPr="006A2BB3">
        <w:rPr>
          <w:rFonts w:ascii="Arial" w:hAnsi="Arial"/>
          <w:sz w:val="24"/>
          <w:szCs w:val="24"/>
        </w:rPr>
        <w:t xml:space="preserve">transfer into his minor son’s FNB account </w:t>
      </w:r>
      <w:r w:rsidR="00433CA4" w:rsidRPr="006A2BB3">
        <w:rPr>
          <w:rFonts w:ascii="Arial" w:hAnsi="Arial"/>
          <w:sz w:val="24"/>
          <w:szCs w:val="24"/>
        </w:rPr>
        <w:t xml:space="preserve">when he </w:t>
      </w:r>
      <w:r w:rsidR="00433733" w:rsidRPr="006A2BB3">
        <w:rPr>
          <w:rFonts w:ascii="Arial" w:hAnsi="Arial"/>
          <w:sz w:val="24"/>
          <w:szCs w:val="24"/>
        </w:rPr>
        <w:t>also had a bank account at FNB. The inference of money laundering in regard to these activities is therefore unavoidable</w:t>
      </w:r>
      <w:r w:rsidR="009702C2" w:rsidRPr="006A2BB3">
        <w:rPr>
          <w:rFonts w:ascii="Arial" w:hAnsi="Arial"/>
          <w:sz w:val="24"/>
          <w:szCs w:val="24"/>
        </w:rPr>
        <w:t xml:space="preserve"> and reasonable to believe</w:t>
      </w:r>
      <w:r w:rsidR="00433733" w:rsidRPr="006A2BB3">
        <w:rPr>
          <w:rFonts w:ascii="Arial" w:hAnsi="Arial"/>
          <w:sz w:val="24"/>
          <w:szCs w:val="24"/>
        </w:rPr>
        <w:t>. Thus, here too, reasonable grounds exist to believe that the positive balance in the FNB account of the respondent</w:t>
      </w:r>
      <w:r w:rsidR="009702C2" w:rsidRPr="006A2BB3">
        <w:rPr>
          <w:rFonts w:ascii="Arial" w:hAnsi="Arial"/>
          <w:sz w:val="24"/>
          <w:szCs w:val="24"/>
        </w:rPr>
        <w:t>’</w:t>
      </w:r>
      <w:r w:rsidR="00433733" w:rsidRPr="006A2BB3">
        <w:rPr>
          <w:rFonts w:ascii="Arial" w:hAnsi="Arial"/>
          <w:sz w:val="24"/>
          <w:szCs w:val="24"/>
        </w:rPr>
        <w:t xml:space="preserve">s son was part of the proceeds of unlawful activities. </w:t>
      </w:r>
    </w:p>
    <w:p w:rsidR="00583E61" w:rsidRPr="003E7A1E" w:rsidRDefault="00583E61" w:rsidP="006A2BB3">
      <w:pPr>
        <w:tabs>
          <w:tab w:val="left" w:pos="0"/>
        </w:tabs>
        <w:spacing w:after="0" w:line="480" w:lineRule="auto"/>
        <w:jc w:val="both"/>
        <w:rPr>
          <w:rFonts w:ascii="Arial" w:hAnsi="Arial"/>
          <w:color w:val="000000"/>
          <w:sz w:val="24"/>
          <w:szCs w:val="24"/>
        </w:rPr>
      </w:pPr>
    </w:p>
    <w:p w:rsidR="009702C2" w:rsidRPr="003E7A1E" w:rsidRDefault="004D2024" w:rsidP="006A2BB3">
      <w:pPr>
        <w:spacing w:after="0" w:line="480" w:lineRule="auto"/>
        <w:jc w:val="both"/>
        <w:rPr>
          <w:rFonts w:ascii="Arial" w:hAnsi="Arial"/>
          <w:color w:val="000000"/>
          <w:sz w:val="24"/>
          <w:szCs w:val="24"/>
          <w:u w:val="single"/>
        </w:rPr>
      </w:pPr>
      <w:r w:rsidRPr="003E7A1E">
        <w:rPr>
          <w:rFonts w:ascii="Arial" w:hAnsi="Arial"/>
          <w:color w:val="000000"/>
          <w:sz w:val="24"/>
          <w:szCs w:val="24"/>
          <w:u w:val="single"/>
        </w:rPr>
        <w:t>Conclusion</w:t>
      </w:r>
    </w:p>
    <w:p w:rsidR="009702C2" w:rsidRPr="003E7A1E" w:rsidRDefault="00F13237" w:rsidP="00B83E5C">
      <w:pPr>
        <w:shd w:val="clear" w:color="auto" w:fill="FFFFFF"/>
        <w:spacing w:after="0" w:line="480" w:lineRule="auto"/>
        <w:jc w:val="both"/>
        <w:rPr>
          <w:rFonts w:ascii="Arial" w:eastAsia="Times New Roman" w:hAnsi="Arial"/>
          <w:color w:val="000000"/>
          <w:sz w:val="24"/>
          <w:szCs w:val="24"/>
        </w:rPr>
      </w:pPr>
      <w:r w:rsidRPr="003E7A1E">
        <w:rPr>
          <w:rFonts w:ascii="Arial" w:hAnsi="Arial"/>
          <w:color w:val="000000"/>
          <w:sz w:val="24"/>
          <w:szCs w:val="24"/>
        </w:rPr>
        <w:t>[86</w:t>
      </w:r>
      <w:r w:rsidR="00433733" w:rsidRPr="003E7A1E">
        <w:rPr>
          <w:rFonts w:ascii="Arial" w:hAnsi="Arial"/>
          <w:color w:val="000000"/>
          <w:sz w:val="24"/>
          <w:szCs w:val="24"/>
        </w:rPr>
        <w:t>]</w:t>
      </w:r>
      <w:r w:rsidR="00433733" w:rsidRPr="003E7A1E">
        <w:rPr>
          <w:rFonts w:ascii="Arial" w:hAnsi="Arial"/>
          <w:color w:val="000000"/>
          <w:sz w:val="24"/>
          <w:szCs w:val="24"/>
        </w:rPr>
        <w:tab/>
      </w:r>
      <w:r w:rsidR="001C61C0" w:rsidRPr="003E7A1E">
        <w:rPr>
          <w:rFonts w:ascii="Arial" w:eastAsia="Times New Roman" w:hAnsi="Arial"/>
          <w:color w:val="000000"/>
          <w:sz w:val="24"/>
          <w:szCs w:val="24"/>
        </w:rPr>
        <w:t>Reasonable grounds have been shown for the belief that the property, being the positive balance in the FNB account of the respondent’s minor son, had constituted the proceeds of unlawful activities, in particular, fraud and money laundering</w:t>
      </w:r>
      <w:r w:rsidR="003125D7" w:rsidRPr="003E7A1E">
        <w:rPr>
          <w:rFonts w:ascii="Arial" w:eastAsia="Times New Roman" w:hAnsi="Arial"/>
          <w:color w:val="000000"/>
          <w:sz w:val="24"/>
          <w:szCs w:val="24"/>
        </w:rPr>
        <w:t xml:space="preserve">. The test in s 51(2) has therefore been met. In that case it is peremptory </w:t>
      </w:r>
      <w:r w:rsidR="00443D84" w:rsidRPr="003E7A1E">
        <w:rPr>
          <w:rFonts w:ascii="Arial" w:eastAsia="Times New Roman" w:hAnsi="Arial"/>
          <w:color w:val="000000"/>
          <w:sz w:val="24"/>
          <w:szCs w:val="24"/>
        </w:rPr>
        <w:t>that an</w:t>
      </w:r>
      <w:r w:rsidR="008E2D59" w:rsidRPr="003E7A1E">
        <w:rPr>
          <w:rFonts w:ascii="Arial" w:eastAsia="Times New Roman" w:hAnsi="Arial"/>
          <w:color w:val="000000"/>
          <w:sz w:val="24"/>
          <w:szCs w:val="24"/>
        </w:rPr>
        <w:t xml:space="preserve"> order for the </w:t>
      </w:r>
      <w:r w:rsidR="003125D7" w:rsidRPr="003E7A1E">
        <w:rPr>
          <w:rFonts w:ascii="Arial" w:eastAsia="Times New Roman" w:hAnsi="Arial"/>
          <w:color w:val="000000"/>
          <w:sz w:val="24"/>
          <w:szCs w:val="24"/>
        </w:rPr>
        <w:t xml:space="preserve">preservation of </w:t>
      </w:r>
      <w:r w:rsidR="00443D84" w:rsidRPr="003E7A1E">
        <w:rPr>
          <w:rFonts w:ascii="Arial" w:eastAsia="Times New Roman" w:hAnsi="Arial"/>
          <w:color w:val="000000"/>
          <w:sz w:val="24"/>
          <w:szCs w:val="24"/>
        </w:rPr>
        <w:t>property be</w:t>
      </w:r>
      <w:r w:rsidR="008E2D59" w:rsidRPr="003E7A1E">
        <w:rPr>
          <w:rFonts w:ascii="Arial" w:eastAsia="Times New Roman" w:hAnsi="Arial"/>
          <w:color w:val="000000"/>
          <w:sz w:val="24"/>
          <w:szCs w:val="24"/>
        </w:rPr>
        <w:t xml:space="preserve"> granted</w:t>
      </w:r>
      <w:r w:rsidR="003125D7" w:rsidRPr="003E7A1E">
        <w:rPr>
          <w:rFonts w:ascii="Arial" w:eastAsia="Times New Roman" w:hAnsi="Arial"/>
          <w:color w:val="000000"/>
          <w:sz w:val="24"/>
          <w:szCs w:val="24"/>
        </w:rPr>
        <w:t xml:space="preserve">. </w:t>
      </w:r>
    </w:p>
    <w:p w:rsidR="009702C2" w:rsidRPr="003E7A1E" w:rsidRDefault="009702C2" w:rsidP="00B83E5C">
      <w:pPr>
        <w:shd w:val="clear" w:color="auto" w:fill="FFFFFF"/>
        <w:spacing w:after="0" w:line="480" w:lineRule="auto"/>
        <w:jc w:val="both"/>
        <w:rPr>
          <w:rFonts w:ascii="Arial" w:eastAsia="Times New Roman" w:hAnsi="Arial"/>
          <w:color w:val="000000"/>
          <w:sz w:val="24"/>
          <w:szCs w:val="24"/>
        </w:rPr>
      </w:pPr>
    </w:p>
    <w:p w:rsidR="00433733" w:rsidRPr="003E7A1E" w:rsidRDefault="00F13237" w:rsidP="00B83E5C">
      <w:pPr>
        <w:shd w:val="clear" w:color="auto" w:fill="FFFFFF"/>
        <w:spacing w:after="0" w:line="480" w:lineRule="auto"/>
        <w:jc w:val="both"/>
        <w:rPr>
          <w:rFonts w:ascii="Arial" w:eastAsia="Times New Roman" w:hAnsi="Arial"/>
          <w:color w:val="000000"/>
          <w:sz w:val="24"/>
          <w:szCs w:val="24"/>
        </w:rPr>
      </w:pPr>
      <w:r w:rsidRPr="003E7A1E">
        <w:rPr>
          <w:rFonts w:ascii="Arial" w:eastAsia="Times New Roman" w:hAnsi="Arial"/>
          <w:color w:val="000000"/>
          <w:sz w:val="24"/>
          <w:szCs w:val="24"/>
        </w:rPr>
        <w:t>[87</w:t>
      </w:r>
      <w:r w:rsidR="009702C2" w:rsidRPr="003E7A1E">
        <w:rPr>
          <w:rFonts w:ascii="Arial" w:eastAsia="Times New Roman" w:hAnsi="Arial"/>
          <w:color w:val="000000"/>
          <w:sz w:val="24"/>
          <w:szCs w:val="24"/>
        </w:rPr>
        <w:t>]</w:t>
      </w:r>
      <w:r w:rsidR="009702C2" w:rsidRPr="003E7A1E">
        <w:rPr>
          <w:rFonts w:ascii="Arial" w:eastAsia="Times New Roman" w:hAnsi="Arial"/>
          <w:color w:val="000000"/>
          <w:sz w:val="24"/>
          <w:szCs w:val="24"/>
        </w:rPr>
        <w:tab/>
      </w:r>
      <w:r w:rsidR="00583E61" w:rsidRPr="003E7A1E">
        <w:rPr>
          <w:rFonts w:ascii="Arial" w:eastAsia="Times New Roman" w:hAnsi="Arial"/>
          <w:color w:val="000000"/>
          <w:sz w:val="24"/>
          <w:szCs w:val="24"/>
        </w:rPr>
        <w:t xml:space="preserve">In the result, the appeal against the order of the High Court is upheld. Both parties contended for a costs order to be granted against each other. </w:t>
      </w:r>
      <w:r w:rsidR="00C66784" w:rsidRPr="003E7A1E">
        <w:rPr>
          <w:rFonts w:ascii="Arial" w:eastAsia="Times New Roman" w:hAnsi="Arial"/>
          <w:color w:val="000000"/>
          <w:sz w:val="24"/>
          <w:szCs w:val="24"/>
        </w:rPr>
        <w:t>However, b</w:t>
      </w:r>
      <w:r w:rsidR="009702C2" w:rsidRPr="003E7A1E">
        <w:rPr>
          <w:rFonts w:ascii="Arial" w:eastAsia="Times New Roman" w:hAnsi="Arial"/>
          <w:color w:val="000000"/>
          <w:sz w:val="24"/>
          <w:szCs w:val="24"/>
        </w:rPr>
        <w:t>ased on the</w:t>
      </w:r>
      <w:r w:rsidR="003125D7" w:rsidRPr="003E7A1E">
        <w:rPr>
          <w:rFonts w:ascii="Arial" w:eastAsia="Times New Roman" w:hAnsi="Arial"/>
          <w:color w:val="000000"/>
          <w:sz w:val="24"/>
          <w:szCs w:val="24"/>
        </w:rPr>
        <w:t xml:space="preserve"> findings and the conclusion arrived at in this matter, the costs in this case must follow the result.</w:t>
      </w:r>
    </w:p>
    <w:p w:rsidR="00247B04" w:rsidRPr="003E7A1E" w:rsidRDefault="00247B04" w:rsidP="00B83E5C">
      <w:pPr>
        <w:shd w:val="clear" w:color="auto" w:fill="FFFFFF"/>
        <w:spacing w:after="0" w:line="480" w:lineRule="auto"/>
        <w:jc w:val="both"/>
        <w:rPr>
          <w:rFonts w:ascii="Arial" w:eastAsia="Times New Roman" w:hAnsi="Arial"/>
          <w:color w:val="000000"/>
          <w:sz w:val="24"/>
          <w:szCs w:val="24"/>
        </w:rPr>
      </w:pPr>
    </w:p>
    <w:p w:rsidR="00330C35" w:rsidRPr="004D2024" w:rsidRDefault="004D2024" w:rsidP="006A2BB3">
      <w:pPr>
        <w:spacing w:after="0" w:line="480" w:lineRule="auto"/>
        <w:jc w:val="both"/>
        <w:rPr>
          <w:rFonts w:ascii="Arial" w:hAnsi="Arial"/>
          <w:sz w:val="24"/>
          <w:szCs w:val="24"/>
          <w:u w:val="single"/>
        </w:rPr>
      </w:pPr>
      <w:r w:rsidRPr="004D2024">
        <w:rPr>
          <w:rFonts w:ascii="Arial" w:hAnsi="Arial"/>
          <w:sz w:val="24"/>
          <w:szCs w:val="24"/>
          <w:u w:val="single"/>
        </w:rPr>
        <w:t>Order</w:t>
      </w:r>
    </w:p>
    <w:p w:rsidR="00433733" w:rsidRDefault="00F13237" w:rsidP="006A2BB3">
      <w:pPr>
        <w:spacing w:after="0" w:line="480" w:lineRule="auto"/>
        <w:jc w:val="both"/>
        <w:rPr>
          <w:rFonts w:ascii="Arial" w:hAnsi="Arial"/>
          <w:sz w:val="24"/>
          <w:szCs w:val="24"/>
        </w:rPr>
      </w:pPr>
      <w:r w:rsidRPr="006A2BB3">
        <w:rPr>
          <w:rFonts w:ascii="Arial" w:hAnsi="Arial"/>
          <w:sz w:val="24"/>
          <w:szCs w:val="24"/>
        </w:rPr>
        <w:t>[88</w:t>
      </w:r>
      <w:r w:rsidR="00433733" w:rsidRPr="006A2BB3">
        <w:rPr>
          <w:rFonts w:ascii="Arial" w:hAnsi="Arial"/>
          <w:sz w:val="24"/>
          <w:szCs w:val="24"/>
        </w:rPr>
        <w:t>]</w:t>
      </w:r>
      <w:r w:rsidR="00433733" w:rsidRPr="006A2BB3">
        <w:rPr>
          <w:rFonts w:ascii="Arial" w:hAnsi="Arial"/>
          <w:sz w:val="24"/>
          <w:szCs w:val="24"/>
        </w:rPr>
        <w:tab/>
        <w:t>It is ordered that:</w:t>
      </w:r>
    </w:p>
    <w:p w:rsidR="00096E42" w:rsidRDefault="00096E42" w:rsidP="00096E42">
      <w:pPr>
        <w:pStyle w:val="ORDER"/>
        <w:spacing w:line="480" w:lineRule="auto"/>
        <w:ind w:left="0" w:firstLine="0"/>
        <w:rPr>
          <w:rFonts w:ascii="Arial" w:hAnsi="Arial" w:cs="Arial"/>
          <w:color w:val="auto"/>
          <w:sz w:val="24"/>
          <w:szCs w:val="24"/>
        </w:rPr>
      </w:pPr>
    </w:p>
    <w:p w:rsidR="00433733" w:rsidRDefault="00433733" w:rsidP="00096E42">
      <w:pPr>
        <w:pStyle w:val="ORDER"/>
        <w:numPr>
          <w:ilvl w:val="0"/>
          <w:numId w:val="23"/>
        </w:numPr>
        <w:spacing w:line="480" w:lineRule="auto"/>
        <w:rPr>
          <w:rFonts w:ascii="Arial" w:hAnsi="Arial" w:cs="Arial"/>
          <w:sz w:val="24"/>
          <w:szCs w:val="24"/>
        </w:rPr>
      </w:pPr>
      <w:r w:rsidRPr="006A2BB3">
        <w:rPr>
          <w:rFonts w:ascii="Arial" w:hAnsi="Arial" w:cs="Arial"/>
          <w:sz w:val="24"/>
          <w:szCs w:val="24"/>
        </w:rPr>
        <w:t>The appeal is upheld with costs</w:t>
      </w:r>
      <w:r w:rsidR="00C66784" w:rsidRPr="006A2BB3">
        <w:rPr>
          <w:rFonts w:ascii="Arial" w:hAnsi="Arial" w:cs="Arial"/>
          <w:sz w:val="24"/>
          <w:szCs w:val="24"/>
        </w:rPr>
        <w:t>.</w:t>
      </w:r>
    </w:p>
    <w:p w:rsidR="004D2024" w:rsidRPr="006A2BB3" w:rsidRDefault="004D2024" w:rsidP="00096E42">
      <w:pPr>
        <w:pStyle w:val="ORDER"/>
        <w:spacing w:line="480" w:lineRule="auto"/>
        <w:ind w:left="0" w:firstLine="0"/>
        <w:rPr>
          <w:rFonts w:ascii="Arial" w:hAnsi="Arial" w:cs="Arial"/>
          <w:sz w:val="24"/>
          <w:szCs w:val="24"/>
        </w:rPr>
      </w:pPr>
    </w:p>
    <w:p w:rsidR="007F16B4" w:rsidRDefault="007F16B4" w:rsidP="00096E42">
      <w:pPr>
        <w:pStyle w:val="ORDER"/>
        <w:numPr>
          <w:ilvl w:val="0"/>
          <w:numId w:val="23"/>
        </w:numPr>
        <w:spacing w:line="480" w:lineRule="auto"/>
        <w:rPr>
          <w:rFonts w:ascii="Arial" w:hAnsi="Arial" w:cs="Arial"/>
          <w:sz w:val="24"/>
          <w:szCs w:val="24"/>
        </w:rPr>
      </w:pPr>
      <w:r w:rsidRPr="006A2BB3">
        <w:rPr>
          <w:rFonts w:ascii="Arial" w:hAnsi="Arial" w:cs="Arial"/>
          <w:sz w:val="24"/>
          <w:szCs w:val="24"/>
        </w:rPr>
        <w:t xml:space="preserve">The order of </w:t>
      </w:r>
      <w:r w:rsidR="001C61C0" w:rsidRPr="006A2BB3">
        <w:rPr>
          <w:rFonts w:ascii="Arial" w:hAnsi="Arial" w:cs="Arial"/>
          <w:sz w:val="24"/>
          <w:szCs w:val="24"/>
        </w:rPr>
        <w:t xml:space="preserve">the High Court </w:t>
      </w:r>
      <w:r w:rsidRPr="006A2BB3">
        <w:rPr>
          <w:rFonts w:ascii="Arial" w:hAnsi="Arial" w:cs="Arial"/>
          <w:sz w:val="24"/>
          <w:szCs w:val="24"/>
        </w:rPr>
        <w:t>is set aside and replaced with the following order:</w:t>
      </w:r>
    </w:p>
    <w:p w:rsidR="004D2024" w:rsidRDefault="004D2024" w:rsidP="00096E42">
      <w:pPr>
        <w:pStyle w:val="ListParagraph"/>
        <w:spacing w:after="0"/>
        <w:ind w:left="0"/>
        <w:rPr>
          <w:rFonts w:ascii="Arial" w:hAnsi="Arial"/>
          <w:sz w:val="24"/>
          <w:szCs w:val="24"/>
        </w:rPr>
      </w:pPr>
    </w:p>
    <w:p w:rsidR="007F16B4" w:rsidRDefault="00096E42" w:rsidP="00096E42">
      <w:pPr>
        <w:pStyle w:val="ORDER"/>
        <w:spacing w:line="480" w:lineRule="auto"/>
        <w:ind w:left="2160"/>
        <w:rPr>
          <w:rFonts w:ascii="Arial" w:hAnsi="Arial" w:cs="Arial"/>
          <w:sz w:val="24"/>
          <w:szCs w:val="24"/>
        </w:rPr>
      </w:pPr>
      <w:r>
        <w:rPr>
          <w:rFonts w:ascii="Arial" w:hAnsi="Arial" w:cs="Arial"/>
          <w:sz w:val="24"/>
          <w:szCs w:val="24"/>
        </w:rPr>
        <w:t>2.1</w:t>
      </w:r>
      <w:r>
        <w:rPr>
          <w:rFonts w:ascii="Arial" w:hAnsi="Arial" w:cs="Arial"/>
          <w:sz w:val="24"/>
          <w:szCs w:val="24"/>
        </w:rPr>
        <w:tab/>
      </w:r>
      <w:r w:rsidR="007F16B4" w:rsidRPr="006A2BB3">
        <w:rPr>
          <w:rFonts w:ascii="Arial" w:hAnsi="Arial" w:cs="Arial"/>
          <w:sz w:val="24"/>
          <w:szCs w:val="24"/>
        </w:rPr>
        <w:t xml:space="preserve">The </w:t>
      </w:r>
      <w:r w:rsidR="007F16B4" w:rsidRPr="006A2BB3">
        <w:rPr>
          <w:rFonts w:ascii="Arial" w:hAnsi="Arial" w:cs="Arial"/>
          <w:i/>
          <w:sz w:val="24"/>
          <w:szCs w:val="24"/>
        </w:rPr>
        <w:t>rule nisi</w:t>
      </w:r>
      <w:r w:rsidR="007F16B4" w:rsidRPr="006A2BB3">
        <w:rPr>
          <w:rFonts w:ascii="Arial" w:hAnsi="Arial" w:cs="Arial"/>
          <w:sz w:val="24"/>
          <w:szCs w:val="24"/>
        </w:rPr>
        <w:t xml:space="preserve"> issued by </w:t>
      </w:r>
      <w:r w:rsidR="00C66784" w:rsidRPr="006A2BB3">
        <w:rPr>
          <w:rFonts w:ascii="Arial" w:hAnsi="Arial" w:cs="Arial"/>
          <w:sz w:val="24"/>
          <w:szCs w:val="24"/>
        </w:rPr>
        <w:t xml:space="preserve">High Court </w:t>
      </w:r>
      <w:r w:rsidR="007F16B4" w:rsidRPr="006A2BB3">
        <w:rPr>
          <w:rFonts w:ascii="Arial" w:hAnsi="Arial" w:cs="Arial"/>
          <w:sz w:val="24"/>
          <w:szCs w:val="24"/>
        </w:rPr>
        <w:t xml:space="preserve">on 10 October 2014 is confirmed and </w:t>
      </w:r>
      <w:r w:rsidR="009702C2" w:rsidRPr="006A2BB3">
        <w:rPr>
          <w:rFonts w:ascii="Arial" w:hAnsi="Arial" w:cs="Arial"/>
          <w:sz w:val="24"/>
          <w:szCs w:val="24"/>
        </w:rPr>
        <w:t xml:space="preserve">the </w:t>
      </w:r>
      <w:r w:rsidR="003125D7" w:rsidRPr="006A2BB3">
        <w:rPr>
          <w:rFonts w:ascii="Arial" w:hAnsi="Arial" w:cs="Arial"/>
          <w:sz w:val="24"/>
          <w:szCs w:val="24"/>
        </w:rPr>
        <w:t xml:space="preserve">application for </w:t>
      </w:r>
      <w:r w:rsidR="007F16B4" w:rsidRPr="006A2BB3">
        <w:rPr>
          <w:rFonts w:ascii="Arial" w:hAnsi="Arial" w:cs="Arial"/>
          <w:sz w:val="24"/>
          <w:szCs w:val="24"/>
        </w:rPr>
        <w:t xml:space="preserve">the preservation of property order is granted; </w:t>
      </w:r>
    </w:p>
    <w:p w:rsidR="004D2024" w:rsidRPr="006A2BB3" w:rsidRDefault="004D2024" w:rsidP="00096E42">
      <w:pPr>
        <w:pStyle w:val="ORDER"/>
        <w:spacing w:line="480" w:lineRule="auto"/>
        <w:ind w:left="0" w:firstLine="0"/>
        <w:rPr>
          <w:rFonts w:ascii="Arial" w:hAnsi="Arial" w:cs="Arial"/>
          <w:sz w:val="24"/>
          <w:szCs w:val="24"/>
        </w:rPr>
      </w:pPr>
    </w:p>
    <w:p w:rsidR="007F16B4" w:rsidRPr="006A2BB3" w:rsidRDefault="00096E42" w:rsidP="00096E42">
      <w:pPr>
        <w:pStyle w:val="ORDER"/>
        <w:spacing w:line="480" w:lineRule="auto"/>
        <w:ind w:left="2160"/>
        <w:rPr>
          <w:rFonts w:ascii="Arial" w:hAnsi="Arial" w:cs="Arial"/>
          <w:sz w:val="24"/>
          <w:szCs w:val="24"/>
        </w:rPr>
      </w:pPr>
      <w:r>
        <w:rPr>
          <w:rFonts w:ascii="Arial" w:hAnsi="Arial" w:cs="Arial"/>
          <w:sz w:val="24"/>
          <w:szCs w:val="24"/>
        </w:rPr>
        <w:t>2.2</w:t>
      </w:r>
      <w:r>
        <w:rPr>
          <w:rFonts w:ascii="Arial" w:hAnsi="Arial" w:cs="Arial"/>
          <w:sz w:val="24"/>
          <w:szCs w:val="24"/>
        </w:rPr>
        <w:tab/>
      </w:r>
      <w:r w:rsidR="007F16B4" w:rsidRPr="006A2BB3">
        <w:rPr>
          <w:rFonts w:ascii="Arial" w:hAnsi="Arial" w:cs="Arial"/>
          <w:sz w:val="24"/>
          <w:szCs w:val="24"/>
        </w:rPr>
        <w:t>The respondent is ordered to pay the costs of this application</w:t>
      </w:r>
      <w:r w:rsidR="00D012D8" w:rsidRPr="006A2BB3">
        <w:rPr>
          <w:rFonts w:ascii="Arial" w:hAnsi="Arial" w:cs="Arial"/>
          <w:sz w:val="24"/>
          <w:szCs w:val="24"/>
        </w:rPr>
        <w:t>, including the costs of two counsel</w:t>
      </w:r>
      <w:r w:rsidR="007F16B4" w:rsidRPr="006A2BB3">
        <w:rPr>
          <w:rFonts w:ascii="Arial" w:hAnsi="Arial" w:cs="Arial"/>
          <w:sz w:val="24"/>
          <w:szCs w:val="24"/>
        </w:rPr>
        <w:t xml:space="preserve">. </w:t>
      </w:r>
    </w:p>
    <w:p w:rsidR="00332B61" w:rsidRPr="006A2BB3" w:rsidRDefault="00332B61" w:rsidP="006A2BB3">
      <w:pPr>
        <w:pStyle w:val="ORDER"/>
        <w:spacing w:line="480" w:lineRule="auto"/>
        <w:ind w:left="2880"/>
        <w:rPr>
          <w:rFonts w:ascii="Arial" w:hAnsi="Arial" w:cs="Arial"/>
          <w:sz w:val="24"/>
          <w:szCs w:val="24"/>
        </w:rPr>
      </w:pPr>
    </w:p>
    <w:p w:rsidR="00332B61" w:rsidRDefault="00332B61" w:rsidP="00CC2D6C">
      <w:pPr>
        <w:pStyle w:val="COUNSELDETAILS"/>
        <w:spacing w:line="360" w:lineRule="auto"/>
        <w:jc w:val="left"/>
        <w:rPr>
          <w:rFonts w:ascii="Arial" w:hAnsi="Arial" w:cs="Arial"/>
          <w:b/>
          <w:sz w:val="24"/>
          <w:szCs w:val="24"/>
        </w:rPr>
      </w:pPr>
    </w:p>
    <w:p w:rsidR="00D5555F" w:rsidRDefault="00D5555F" w:rsidP="00CC2D6C">
      <w:pPr>
        <w:pStyle w:val="COUNSELDETAILS"/>
        <w:spacing w:line="360" w:lineRule="auto"/>
        <w:jc w:val="left"/>
        <w:rPr>
          <w:rFonts w:ascii="Arial" w:hAnsi="Arial" w:cs="Arial"/>
          <w:b/>
          <w:sz w:val="24"/>
          <w:szCs w:val="24"/>
        </w:rPr>
      </w:pPr>
    </w:p>
    <w:p w:rsidR="00D5555F" w:rsidRDefault="00D5555F" w:rsidP="00CC2D6C">
      <w:pPr>
        <w:pStyle w:val="COUNSELDETAILS"/>
        <w:spacing w:line="360" w:lineRule="auto"/>
        <w:jc w:val="left"/>
        <w:rPr>
          <w:rFonts w:ascii="Arial" w:hAnsi="Arial" w:cs="Arial"/>
          <w:b/>
          <w:sz w:val="24"/>
          <w:szCs w:val="24"/>
        </w:rPr>
      </w:pPr>
    </w:p>
    <w:p w:rsidR="00D5555F" w:rsidRDefault="00D5555F" w:rsidP="00CC2D6C">
      <w:pPr>
        <w:pStyle w:val="COUNSELDETAILS"/>
        <w:spacing w:line="360" w:lineRule="auto"/>
        <w:jc w:val="left"/>
        <w:rPr>
          <w:rFonts w:ascii="Arial" w:hAnsi="Arial" w:cs="Arial"/>
          <w:b/>
          <w:sz w:val="24"/>
          <w:szCs w:val="24"/>
        </w:rPr>
      </w:pPr>
      <w:r>
        <w:rPr>
          <w:rFonts w:ascii="Arial" w:hAnsi="Arial" w:cs="Arial"/>
          <w:b/>
          <w:sz w:val="24"/>
          <w:szCs w:val="24"/>
        </w:rPr>
        <w:t>____________________</w:t>
      </w:r>
    </w:p>
    <w:p w:rsidR="00D5555F" w:rsidRPr="004D2024" w:rsidRDefault="00D5555F" w:rsidP="00CC2D6C">
      <w:pPr>
        <w:pStyle w:val="COUNSELDETAILS"/>
        <w:spacing w:line="360" w:lineRule="auto"/>
        <w:jc w:val="left"/>
        <w:rPr>
          <w:rFonts w:ascii="Arial" w:hAnsi="Arial" w:cs="Arial"/>
          <w:b/>
          <w:sz w:val="24"/>
          <w:szCs w:val="24"/>
        </w:rPr>
      </w:pPr>
      <w:r>
        <w:rPr>
          <w:rFonts w:ascii="Arial" w:hAnsi="Arial" w:cs="Arial"/>
          <w:b/>
          <w:sz w:val="24"/>
          <w:szCs w:val="24"/>
        </w:rPr>
        <w:t>MOKGORO AJA</w:t>
      </w:r>
    </w:p>
    <w:p w:rsidR="009D7747" w:rsidRDefault="009D7747" w:rsidP="00CC2D6C">
      <w:pPr>
        <w:pStyle w:val="COUNSELDETAILS"/>
        <w:spacing w:line="360" w:lineRule="auto"/>
        <w:jc w:val="left"/>
        <w:rPr>
          <w:rFonts w:ascii="Arial" w:hAnsi="Arial" w:cs="Arial"/>
          <w:b/>
          <w:sz w:val="24"/>
          <w:szCs w:val="24"/>
        </w:rPr>
      </w:pPr>
    </w:p>
    <w:p w:rsidR="00CC2D6C" w:rsidRDefault="00CC2D6C" w:rsidP="00CC2D6C">
      <w:pPr>
        <w:pStyle w:val="COUNSELDETAILS"/>
        <w:spacing w:line="360" w:lineRule="auto"/>
        <w:jc w:val="left"/>
        <w:rPr>
          <w:rFonts w:ascii="Arial" w:hAnsi="Arial" w:cs="Arial"/>
          <w:b/>
          <w:sz w:val="24"/>
          <w:szCs w:val="24"/>
        </w:rPr>
      </w:pPr>
    </w:p>
    <w:p w:rsidR="00902515" w:rsidRDefault="00902515" w:rsidP="00CC2D6C">
      <w:pPr>
        <w:pStyle w:val="COUNSELDETAILS"/>
        <w:spacing w:line="360" w:lineRule="auto"/>
        <w:jc w:val="left"/>
        <w:rPr>
          <w:rFonts w:ascii="Arial" w:hAnsi="Arial" w:cs="Arial"/>
          <w:b/>
          <w:sz w:val="24"/>
          <w:szCs w:val="24"/>
        </w:rPr>
      </w:pPr>
    </w:p>
    <w:p w:rsidR="00902515" w:rsidRDefault="00902515" w:rsidP="00CC2D6C">
      <w:pPr>
        <w:pStyle w:val="COUNSELDETAILS"/>
        <w:spacing w:line="360" w:lineRule="auto"/>
        <w:jc w:val="left"/>
        <w:rPr>
          <w:rFonts w:ascii="Arial" w:hAnsi="Arial" w:cs="Arial"/>
          <w:b/>
          <w:sz w:val="24"/>
          <w:szCs w:val="24"/>
        </w:rPr>
      </w:pPr>
    </w:p>
    <w:p w:rsidR="00902515" w:rsidRPr="004D2024" w:rsidRDefault="00902515" w:rsidP="00CC2D6C">
      <w:pPr>
        <w:pStyle w:val="COUNSELDETAILS"/>
        <w:spacing w:line="360" w:lineRule="auto"/>
        <w:jc w:val="left"/>
        <w:rPr>
          <w:rFonts w:ascii="Arial" w:hAnsi="Arial" w:cs="Arial"/>
          <w:b/>
          <w:sz w:val="24"/>
          <w:szCs w:val="24"/>
        </w:rPr>
      </w:pPr>
    </w:p>
    <w:p w:rsidR="00332B61" w:rsidRPr="004D2024" w:rsidRDefault="004D2024" w:rsidP="00CC2D6C">
      <w:pPr>
        <w:pStyle w:val="COUNSELDETAILS"/>
        <w:spacing w:line="360" w:lineRule="auto"/>
        <w:jc w:val="left"/>
        <w:rPr>
          <w:rFonts w:ascii="Arial" w:hAnsi="Arial" w:cs="Arial"/>
          <w:b/>
          <w:sz w:val="24"/>
          <w:szCs w:val="24"/>
        </w:rPr>
      </w:pPr>
      <w:r w:rsidRPr="004D2024">
        <w:rPr>
          <w:rFonts w:ascii="Arial" w:hAnsi="Arial" w:cs="Arial"/>
          <w:b/>
          <w:sz w:val="24"/>
          <w:szCs w:val="24"/>
        </w:rPr>
        <w:t>____________________</w:t>
      </w:r>
    </w:p>
    <w:p w:rsidR="00332B61" w:rsidRPr="004D2024" w:rsidRDefault="004D2024" w:rsidP="00CC2D6C">
      <w:pPr>
        <w:pStyle w:val="COUNSELDETAILS"/>
        <w:spacing w:line="360" w:lineRule="auto"/>
        <w:jc w:val="left"/>
        <w:rPr>
          <w:rFonts w:ascii="Arial" w:hAnsi="Arial" w:cs="Arial"/>
          <w:b/>
          <w:sz w:val="24"/>
          <w:szCs w:val="24"/>
        </w:rPr>
      </w:pPr>
      <w:r w:rsidRPr="004D2024">
        <w:rPr>
          <w:rFonts w:ascii="Arial" w:hAnsi="Arial" w:cs="Arial"/>
          <w:b/>
          <w:sz w:val="24"/>
          <w:szCs w:val="24"/>
        </w:rPr>
        <w:t>SMUTS JA</w:t>
      </w:r>
    </w:p>
    <w:p w:rsidR="00332B61" w:rsidRPr="004D2024" w:rsidRDefault="00332B61" w:rsidP="00CC2D6C">
      <w:pPr>
        <w:pStyle w:val="COUNSELDETAILS"/>
        <w:spacing w:line="360" w:lineRule="auto"/>
        <w:jc w:val="left"/>
        <w:rPr>
          <w:rFonts w:ascii="Arial" w:hAnsi="Arial" w:cs="Arial"/>
          <w:b/>
          <w:sz w:val="24"/>
          <w:szCs w:val="24"/>
        </w:rPr>
      </w:pPr>
    </w:p>
    <w:p w:rsidR="00332B61" w:rsidRPr="004D2024" w:rsidRDefault="00332B61" w:rsidP="00CC2D6C">
      <w:pPr>
        <w:pStyle w:val="COUNSELDETAILS"/>
        <w:spacing w:line="360" w:lineRule="auto"/>
        <w:jc w:val="left"/>
        <w:rPr>
          <w:rFonts w:ascii="Arial" w:hAnsi="Arial" w:cs="Arial"/>
          <w:b/>
          <w:sz w:val="24"/>
          <w:szCs w:val="24"/>
        </w:rPr>
      </w:pPr>
    </w:p>
    <w:p w:rsidR="00096E42" w:rsidRDefault="00096E42" w:rsidP="00CC2D6C">
      <w:pPr>
        <w:pStyle w:val="COUNSELDETAILS"/>
        <w:spacing w:line="360" w:lineRule="auto"/>
        <w:jc w:val="left"/>
        <w:rPr>
          <w:rFonts w:ascii="Arial" w:hAnsi="Arial" w:cs="Arial"/>
          <w:b/>
          <w:sz w:val="24"/>
          <w:szCs w:val="24"/>
        </w:rPr>
      </w:pPr>
    </w:p>
    <w:p w:rsidR="00096E42" w:rsidRDefault="00096E42" w:rsidP="00CC2D6C">
      <w:pPr>
        <w:pStyle w:val="COUNSELDETAILS"/>
        <w:spacing w:line="360" w:lineRule="auto"/>
        <w:jc w:val="left"/>
        <w:rPr>
          <w:rFonts w:ascii="Arial" w:hAnsi="Arial" w:cs="Arial"/>
          <w:b/>
          <w:sz w:val="24"/>
          <w:szCs w:val="24"/>
        </w:rPr>
      </w:pPr>
    </w:p>
    <w:p w:rsidR="00096E42" w:rsidRDefault="00096E42" w:rsidP="00CC2D6C">
      <w:pPr>
        <w:pStyle w:val="COUNSELDETAILS"/>
        <w:spacing w:line="360" w:lineRule="auto"/>
        <w:jc w:val="left"/>
        <w:rPr>
          <w:rFonts w:ascii="Arial" w:hAnsi="Arial" w:cs="Arial"/>
          <w:b/>
          <w:sz w:val="24"/>
          <w:szCs w:val="24"/>
        </w:rPr>
      </w:pPr>
    </w:p>
    <w:p w:rsidR="00330C35" w:rsidRDefault="00330C35" w:rsidP="006A2BB3">
      <w:pPr>
        <w:pStyle w:val="COUNSELDETAILS"/>
        <w:spacing w:line="480" w:lineRule="auto"/>
        <w:rPr>
          <w:rFonts w:ascii="Arial" w:hAnsi="Arial" w:cs="Arial"/>
          <w:b/>
          <w:sz w:val="24"/>
          <w:szCs w:val="24"/>
        </w:rPr>
      </w:pPr>
    </w:p>
    <w:p w:rsidR="00D5555F" w:rsidRDefault="00D5555F" w:rsidP="006A2BB3">
      <w:pPr>
        <w:pStyle w:val="COUNSELDETAILS"/>
        <w:spacing w:line="480" w:lineRule="auto"/>
        <w:rPr>
          <w:rFonts w:ascii="Arial" w:hAnsi="Arial" w:cs="Arial"/>
          <w:b/>
          <w:sz w:val="24"/>
          <w:szCs w:val="24"/>
        </w:rPr>
      </w:pPr>
    </w:p>
    <w:p w:rsidR="00D5555F" w:rsidRDefault="00D5555F" w:rsidP="006A2BB3">
      <w:pPr>
        <w:pStyle w:val="COUNSELDETAILS"/>
        <w:spacing w:line="480" w:lineRule="auto"/>
        <w:rPr>
          <w:rFonts w:ascii="Arial" w:hAnsi="Arial" w:cs="Arial"/>
          <w:b/>
          <w:sz w:val="24"/>
          <w:szCs w:val="24"/>
        </w:rPr>
      </w:pPr>
    </w:p>
    <w:p w:rsidR="00D5555F" w:rsidRDefault="00D5555F" w:rsidP="00D5555F">
      <w:pPr>
        <w:pStyle w:val="COUNSELDETAILS"/>
        <w:spacing w:line="360" w:lineRule="auto"/>
        <w:rPr>
          <w:rFonts w:ascii="Arial" w:hAnsi="Arial" w:cs="Arial"/>
          <w:b/>
          <w:sz w:val="24"/>
          <w:szCs w:val="24"/>
        </w:rPr>
      </w:pPr>
      <w:r>
        <w:rPr>
          <w:rFonts w:ascii="Arial" w:hAnsi="Arial" w:cs="Arial"/>
          <w:b/>
          <w:sz w:val="24"/>
          <w:szCs w:val="24"/>
        </w:rPr>
        <w:t>___________________</w:t>
      </w:r>
    </w:p>
    <w:p w:rsidR="00D5555F" w:rsidRPr="006A2BB3" w:rsidRDefault="00D5555F" w:rsidP="00D5555F">
      <w:pPr>
        <w:pStyle w:val="COUNSELDETAILS"/>
        <w:spacing w:line="360" w:lineRule="auto"/>
        <w:rPr>
          <w:rFonts w:ascii="Arial" w:hAnsi="Arial" w:cs="Arial"/>
          <w:sz w:val="24"/>
          <w:szCs w:val="24"/>
          <w:highlight w:val="yellow"/>
        </w:rPr>
      </w:pPr>
      <w:r>
        <w:rPr>
          <w:rFonts w:ascii="Arial" w:hAnsi="Arial" w:cs="Arial"/>
          <w:b/>
          <w:sz w:val="24"/>
          <w:szCs w:val="24"/>
        </w:rPr>
        <w:t>CHOMBA AJA</w:t>
      </w:r>
    </w:p>
    <w:p w:rsidR="00096E42" w:rsidRDefault="00096E42" w:rsidP="006A2BB3">
      <w:pPr>
        <w:pStyle w:val="COUNSELDETAILS"/>
        <w:spacing w:line="480" w:lineRule="auto"/>
        <w:rPr>
          <w:rFonts w:ascii="Arial" w:hAnsi="Arial" w:cs="Arial"/>
          <w:sz w:val="24"/>
          <w:szCs w:val="24"/>
        </w:rPr>
      </w:pPr>
    </w:p>
    <w:p w:rsidR="00096E42" w:rsidRDefault="00096E42" w:rsidP="006A2BB3">
      <w:pPr>
        <w:pStyle w:val="COUNSELDETAILS"/>
        <w:spacing w:line="480" w:lineRule="auto"/>
        <w:rPr>
          <w:rFonts w:ascii="Arial" w:hAnsi="Arial" w:cs="Arial"/>
          <w:sz w:val="24"/>
          <w:szCs w:val="24"/>
        </w:rPr>
      </w:pPr>
    </w:p>
    <w:p w:rsidR="00096E42" w:rsidRDefault="00096E42"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401745" w:rsidRDefault="00401745" w:rsidP="006A2BB3">
      <w:pPr>
        <w:pStyle w:val="COUNSELDETAILS"/>
        <w:spacing w:line="480" w:lineRule="auto"/>
        <w:rPr>
          <w:rFonts w:ascii="Arial" w:hAnsi="Arial" w:cs="Arial"/>
          <w:sz w:val="24"/>
          <w:szCs w:val="24"/>
        </w:rPr>
      </w:pPr>
    </w:p>
    <w:p w:rsidR="00330C35" w:rsidRDefault="004D2024" w:rsidP="006A2BB3">
      <w:pPr>
        <w:pStyle w:val="COUNSELDETAILS"/>
        <w:spacing w:line="480" w:lineRule="auto"/>
        <w:rPr>
          <w:rFonts w:ascii="Arial" w:hAnsi="Arial" w:cs="Arial"/>
          <w:sz w:val="24"/>
          <w:szCs w:val="24"/>
        </w:rPr>
      </w:pPr>
      <w:r w:rsidRPr="004D2024">
        <w:rPr>
          <w:rFonts w:ascii="Arial" w:hAnsi="Arial" w:cs="Arial"/>
          <w:sz w:val="24"/>
          <w:szCs w:val="24"/>
        </w:rPr>
        <w:t>APPEARANCES</w:t>
      </w:r>
    </w:p>
    <w:p w:rsidR="004D2024" w:rsidRPr="006A2BB3" w:rsidRDefault="004D2024" w:rsidP="006A2BB3">
      <w:pPr>
        <w:pStyle w:val="COUNSELDETAILS"/>
        <w:spacing w:line="480" w:lineRule="auto"/>
        <w:rPr>
          <w:rFonts w:ascii="Arial" w:hAnsi="Arial" w:cs="Arial"/>
          <w:sz w:val="24"/>
          <w:szCs w:val="24"/>
          <w:highlight w:val="yellow"/>
        </w:rPr>
      </w:pPr>
    </w:p>
    <w:p w:rsidR="004D2024" w:rsidRDefault="004D2024" w:rsidP="006A2BB3">
      <w:pPr>
        <w:pStyle w:val="COUNSELDETAILS"/>
        <w:spacing w:line="480" w:lineRule="auto"/>
        <w:rPr>
          <w:rFonts w:ascii="Arial" w:hAnsi="Arial" w:cs="Arial"/>
          <w:sz w:val="24"/>
          <w:szCs w:val="24"/>
        </w:rPr>
      </w:pPr>
      <w:r>
        <w:rPr>
          <w:rFonts w:ascii="Arial" w:hAnsi="Arial" w:cs="Arial"/>
          <w:sz w:val="24"/>
          <w:szCs w:val="24"/>
        </w:rPr>
        <w:t>APPELLANT: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 Cockrell SC</w:t>
      </w:r>
      <w:r w:rsidR="00A45001">
        <w:rPr>
          <w:rFonts w:ascii="Arial" w:hAnsi="Arial" w:cs="Arial"/>
          <w:sz w:val="24"/>
          <w:szCs w:val="24"/>
        </w:rPr>
        <w:t xml:space="preserve"> (with him M Boonzaier)</w:t>
      </w:r>
    </w:p>
    <w:p w:rsidR="004D2024" w:rsidRDefault="004D2024" w:rsidP="006A2BB3">
      <w:pPr>
        <w:pStyle w:val="COUNSELDETAIL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Instructed by the Government Attorney</w:t>
      </w:r>
    </w:p>
    <w:p w:rsidR="00332B61" w:rsidRPr="006A2BB3" w:rsidRDefault="00332B61" w:rsidP="006A2BB3">
      <w:pPr>
        <w:pStyle w:val="COUNSELDETAILS"/>
        <w:spacing w:line="480" w:lineRule="auto"/>
        <w:rPr>
          <w:rFonts w:ascii="Arial" w:hAnsi="Arial" w:cs="Arial"/>
          <w:sz w:val="24"/>
          <w:szCs w:val="24"/>
        </w:rPr>
      </w:pPr>
    </w:p>
    <w:p w:rsidR="00332B61" w:rsidRDefault="004D2024" w:rsidP="006A2BB3">
      <w:pPr>
        <w:pStyle w:val="COUNSELDETAILS"/>
        <w:spacing w:line="480" w:lineRule="auto"/>
        <w:rPr>
          <w:rFonts w:ascii="Arial" w:hAnsi="Arial" w:cs="Arial"/>
          <w:sz w:val="24"/>
          <w:szCs w:val="24"/>
        </w:rPr>
      </w:pPr>
      <w:r>
        <w:rPr>
          <w:rFonts w:ascii="Arial" w:hAnsi="Arial" w:cs="Arial"/>
          <w:sz w:val="24"/>
          <w:szCs w:val="24"/>
        </w:rPr>
        <w:t>RESPONDENT: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 Namandje</w:t>
      </w:r>
      <w:r w:rsidR="00A45001">
        <w:rPr>
          <w:rFonts w:ascii="Arial" w:hAnsi="Arial" w:cs="Arial"/>
          <w:sz w:val="24"/>
          <w:szCs w:val="24"/>
        </w:rPr>
        <w:t xml:space="preserve"> (with him M Ntinda)</w:t>
      </w:r>
    </w:p>
    <w:p w:rsidR="004D2024" w:rsidRPr="006A2BB3" w:rsidRDefault="004D2024" w:rsidP="006A2BB3">
      <w:pPr>
        <w:pStyle w:val="COUNSELDETAILS"/>
        <w:spacing w:line="48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Sisa Namandje &amp; Co Inc</w:t>
      </w:r>
    </w:p>
    <w:p w:rsidR="009702C2" w:rsidRPr="006A2BB3" w:rsidRDefault="009702C2" w:rsidP="006A2BB3">
      <w:pPr>
        <w:pStyle w:val="COUNSELDETAILS"/>
        <w:spacing w:line="480" w:lineRule="auto"/>
        <w:rPr>
          <w:rFonts w:ascii="Arial" w:hAnsi="Arial" w:cs="Arial"/>
          <w:sz w:val="24"/>
          <w:szCs w:val="24"/>
        </w:rPr>
      </w:pPr>
    </w:p>
    <w:sectPr w:rsidR="009702C2" w:rsidRPr="006A2BB3" w:rsidSect="00F44AFB">
      <w:headerReference w:type="default" r:id="rId13"/>
      <w:footerReference w:type="default" r:id="rId14"/>
      <w:pgSz w:w="11906" w:h="16838"/>
      <w:pgMar w:top="1701" w:right="1418" w:bottom="141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A0D" w:rsidRDefault="00092A0D" w:rsidP="00DF62AA">
      <w:pPr>
        <w:spacing w:after="0" w:line="240" w:lineRule="auto"/>
      </w:pPr>
      <w:r>
        <w:separator/>
      </w:r>
    </w:p>
  </w:endnote>
  <w:endnote w:type="continuationSeparator" w:id="0">
    <w:p w:rsidR="00092A0D" w:rsidRDefault="00092A0D" w:rsidP="00DF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3A" w:rsidRDefault="006F083A" w:rsidP="00F278D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A0D" w:rsidRDefault="00092A0D" w:rsidP="00DF62AA">
      <w:pPr>
        <w:spacing w:after="0" w:line="240" w:lineRule="auto"/>
      </w:pPr>
      <w:r>
        <w:separator/>
      </w:r>
    </w:p>
  </w:footnote>
  <w:footnote w:type="continuationSeparator" w:id="0">
    <w:p w:rsidR="00092A0D" w:rsidRDefault="00092A0D" w:rsidP="00DF62AA">
      <w:pPr>
        <w:spacing w:after="0" w:line="240" w:lineRule="auto"/>
      </w:pPr>
      <w:r>
        <w:continuationSeparator/>
      </w:r>
    </w:p>
  </w:footnote>
  <w:footnote w:id="1">
    <w:p w:rsidR="006F083A" w:rsidRPr="0008716C" w:rsidRDefault="006F083A">
      <w:pPr>
        <w:pStyle w:val="FootnoteText"/>
        <w:rPr>
          <w:rFonts w:ascii="Arial" w:hAnsi="Arial"/>
          <w:lang w:val="en-US"/>
        </w:rPr>
      </w:pPr>
      <w:r w:rsidRPr="0008716C">
        <w:rPr>
          <w:rStyle w:val="FootnoteReference"/>
          <w:rFonts w:ascii="Arial" w:hAnsi="Arial"/>
        </w:rPr>
        <w:footnoteRef/>
      </w:r>
      <w:r w:rsidRPr="0008716C">
        <w:rPr>
          <w:rFonts w:ascii="Arial" w:hAnsi="Arial"/>
        </w:rPr>
        <w:t xml:space="preserve"> </w:t>
      </w:r>
      <w:r w:rsidRPr="0008716C">
        <w:rPr>
          <w:rFonts w:ascii="Arial" w:hAnsi="Arial"/>
          <w:lang w:val="en-US"/>
        </w:rPr>
        <w:t>(SA 20-2013) [2015] NASC (2 July 2015) para 31.</w:t>
      </w:r>
    </w:p>
  </w:footnote>
  <w:footnote w:id="2">
    <w:p w:rsidR="006F083A" w:rsidRPr="0008716C" w:rsidRDefault="006F083A">
      <w:pPr>
        <w:pStyle w:val="FootnoteText"/>
        <w:rPr>
          <w:rFonts w:ascii="Arial" w:hAnsi="Arial"/>
          <w:lang w:val="en-US"/>
        </w:rPr>
      </w:pPr>
      <w:r w:rsidRPr="0008716C">
        <w:rPr>
          <w:rStyle w:val="FootnoteReference"/>
          <w:rFonts w:ascii="Arial" w:hAnsi="Arial"/>
        </w:rPr>
        <w:footnoteRef/>
      </w:r>
      <w:r w:rsidRPr="0008716C">
        <w:rPr>
          <w:rFonts w:ascii="Arial" w:hAnsi="Arial"/>
        </w:rPr>
        <w:t xml:space="preserve"> </w:t>
      </w:r>
      <w:r w:rsidRPr="0008716C">
        <w:rPr>
          <w:rFonts w:ascii="Arial" w:hAnsi="Arial"/>
          <w:lang w:val="en-US"/>
        </w:rPr>
        <w:t>Id</w:t>
      </w:r>
      <w:r w:rsidR="00443D84" w:rsidRPr="0008716C">
        <w:rPr>
          <w:rFonts w:ascii="Arial" w:hAnsi="Arial"/>
          <w:lang w:val="en-US"/>
        </w:rPr>
        <w:t xml:space="preserve"> </w:t>
      </w:r>
      <w:r w:rsidRPr="0008716C">
        <w:rPr>
          <w:rFonts w:ascii="Arial" w:hAnsi="Arial"/>
          <w:lang w:val="en-US"/>
        </w:rPr>
        <w:t>para 31.</w:t>
      </w:r>
    </w:p>
  </w:footnote>
  <w:footnote w:id="3">
    <w:p w:rsidR="006F083A" w:rsidRPr="0008716C" w:rsidRDefault="006F083A">
      <w:pPr>
        <w:pStyle w:val="FootnoteText"/>
        <w:rPr>
          <w:rFonts w:ascii="Arial" w:hAnsi="Arial"/>
          <w:lang w:val="en-US"/>
        </w:rPr>
      </w:pPr>
      <w:r w:rsidRPr="0008716C">
        <w:rPr>
          <w:rStyle w:val="FootnoteReference"/>
          <w:rFonts w:ascii="Arial" w:hAnsi="Arial"/>
        </w:rPr>
        <w:footnoteRef/>
      </w:r>
      <w:r w:rsidRPr="0008716C">
        <w:rPr>
          <w:rFonts w:ascii="Arial" w:hAnsi="Arial"/>
        </w:rPr>
        <w:t xml:space="preserve"> </w:t>
      </w:r>
      <w:r w:rsidR="0015009C" w:rsidRPr="0008716C">
        <w:rPr>
          <w:rFonts w:ascii="Arial" w:hAnsi="Arial"/>
        </w:rPr>
        <w:t>See reg 7(b).</w:t>
      </w:r>
    </w:p>
  </w:footnote>
  <w:footnote w:id="4">
    <w:p w:rsidR="006F083A" w:rsidRPr="0008716C" w:rsidRDefault="006F083A">
      <w:pPr>
        <w:pStyle w:val="FootnoteText"/>
        <w:rPr>
          <w:rFonts w:ascii="Arial" w:hAnsi="Arial"/>
          <w:lang w:val="en-US"/>
        </w:rPr>
      </w:pPr>
      <w:r w:rsidRPr="0008716C">
        <w:rPr>
          <w:rStyle w:val="FootnoteReference"/>
          <w:rFonts w:ascii="Arial" w:hAnsi="Arial"/>
        </w:rPr>
        <w:footnoteRef/>
      </w:r>
      <w:r w:rsidRPr="0008716C">
        <w:rPr>
          <w:rFonts w:ascii="Arial" w:hAnsi="Arial"/>
        </w:rPr>
        <w:t xml:space="preserve"> </w:t>
      </w:r>
      <w:r w:rsidRPr="0008716C">
        <w:rPr>
          <w:rFonts w:ascii="Arial" w:hAnsi="Arial"/>
          <w:lang w:val="en-US"/>
        </w:rPr>
        <w:t>Id n 1</w:t>
      </w:r>
      <w:r w:rsidR="0008716C">
        <w:rPr>
          <w:rFonts w:ascii="Arial" w:hAnsi="Arial"/>
          <w:lang w:val="en-US"/>
        </w:rPr>
        <w:t>.</w:t>
      </w:r>
    </w:p>
  </w:footnote>
  <w:footnote w:id="5">
    <w:p w:rsidR="006F083A" w:rsidRPr="008D18D4" w:rsidRDefault="006F083A">
      <w:pPr>
        <w:pStyle w:val="FootnoteText"/>
        <w:rPr>
          <w:rFonts w:ascii="Arial" w:hAnsi="Arial"/>
          <w:lang w:val="en-US"/>
        </w:rPr>
      </w:pPr>
      <w:r w:rsidRPr="00443D84">
        <w:rPr>
          <w:rStyle w:val="FootnoteReference"/>
          <w:rFonts w:ascii="Arial" w:hAnsi="Arial"/>
        </w:rPr>
        <w:footnoteRef/>
      </w:r>
      <w:r w:rsidRPr="00443D84">
        <w:rPr>
          <w:rFonts w:ascii="Arial" w:hAnsi="Arial"/>
        </w:rPr>
        <w:t xml:space="preserve"> </w:t>
      </w:r>
      <w:r w:rsidRPr="00443D84">
        <w:rPr>
          <w:rFonts w:ascii="Arial" w:eastAsia="Times New Roman" w:hAnsi="Arial"/>
          <w:bCs/>
        </w:rPr>
        <w:t>(POCA 9/2011) [2013] NAHCMD 5 (16 January 2013)</w:t>
      </w:r>
      <w:r>
        <w:rPr>
          <w:rFonts w:ascii="Arial" w:eastAsia="Times New Roman" w:hAnsi="Arial"/>
          <w:bCs/>
        </w:rPr>
        <w:t>.</w:t>
      </w:r>
    </w:p>
  </w:footnote>
  <w:footnote w:id="6">
    <w:p w:rsidR="006F083A" w:rsidRPr="00081D4D" w:rsidRDefault="006F083A">
      <w:pPr>
        <w:pStyle w:val="FootnoteText"/>
        <w:rPr>
          <w:rFonts w:ascii="Arial" w:hAnsi="Arial"/>
          <w:lang w:val="en-US"/>
        </w:rPr>
      </w:pPr>
      <w:r w:rsidRPr="00081D4D">
        <w:rPr>
          <w:rStyle w:val="FootnoteReference"/>
          <w:rFonts w:ascii="Arial" w:hAnsi="Arial"/>
        </w:rPr>
        <w:footnoteRef/>
      </w:r>
      <w:r w:rsidRPr="00081D4D">
        <w:rPr>
          <w:rFonts w:ascii="Arial" w:hAnsi="Arial"/>
        </w:rPr>
        <w:t xml:space="preserve"> </w:t>
      </w:r>
      <w:r w:rsidRPr="00081D4D">
        <w:rPr>
          <w:rFonts w:ascii="Arial" w:hAnsi="Arial"/>
          <w:lang w:val="en-US"/>
        </w:rPr>
        <w:t>2010 (2) NR 487 (SC)</w:t>
      </w:r>
      <w:r w:rsidR="00081D4D" w:rsidRPr="00081D4D">
        <w:rPr>
          <w:rFonts w:ascii="Arial" w:hAnsi="Arial"/>
          <w:lang w:val="en-US"/>
        </w:rPr>
        <w:t>.</w:t>
      </w:r>
    </w:p>
  </w:footnote>
  <w:footnote w:id="7">
    <w:p w:rsidR="006F083A" w:rsidRPr="008A35E2" w:rsidRDefault="006F083A" w:rsidP="009319AE">
      <w:pPr>
        <w:pStyle w:val="FootnoteText"/>
        <w:jc w:val="both"/>
        <w:rPr>
          <w:rFonts w:ascii="Arial" w:hAnsi="Arial"/>
          <w:lang w:val="en-US"/>
        </w:rPr>
      </w:pPr>
      <w:r w:rsidRPr="008A35E2">
        <w:rPr>
          <w:rStyle w:val="FootnoteReference"/>
          <w:rFonts w:ascii="Arial" w:hAnsi="Arial"/>
        </w:rPr>
        <w:footnoteRef/>
      </w:r>
      <w:r w:rsidRPr="008A35E2">
        <w:rPr>
          <w:rFonts w:ascii="Arial" w:hAnsi="Arial"/>
        </w:rPr>
        <w:t xml:space="preserve"> </w:t>
      </w:r>
      <w:r w:rsidRPr="008A35E2">
        <w:rPr>
          <w:rFonts w:ascii="Arial" w:hAnsi="Arial"/>
          <w:lang w:val="en-US"/>
        </w:rPr>
        <w:t xml:space="preserve">1993 (1) SA 523 (A) at 536A-B. See also, </w:t>
      </w:r>
      <w:r w:rsidRPr="008A35E2">
        <w:rPr>
          <w:rFonts w:ascii="Arial" w:hAnsi="Arial"/>
          <w:i/>
          <w:lang w:val="en-US"/>
        </w:rPr>
        <w:t>Van St</w:t>
      </w:r>
      <w:r w:rsidR="007464E6">
        <w:rPr>
          <w:rFonts w:ascii="Arial" w:hAnsi="Arial"/>
          <w:i/>
          <w:lang w:val="en-US"/>
        </w:rPr>
        <w:t>r</w:t>
      </w:r>
      <w:r w:rsidRPr="008A35E2">
        <w:rPr>
          <w:rFonts w:ascii="Arial" w:hAnsi="Arial"/>
          <w:i/>
          <w:lang w:val="en-US"/>
        </w:rPr>
        <w:t>eepen and Ge</w:t>
      </w:r>
      <w:r w:rsidR="007464E6">
        <w:rPr>
          <w:rFonts w:ascii="Arial" w:hAnsi="Arial"/>
          <w:i/>
          <w:lang w:val="en-US"/>
        </w:rPr>
        <w:t xml:space="preserve">rms (Pty) Ltd </w:t>
      </w:r>
      <w:r w:rsidRPr="008A35E2">
        <w:rPr>
          <w:rFonts w:ascii="Arial" w:hAnsi="Arial"/>
          <w:i/>
          <w:lang w:val="en-US"/>
        </w:rPr>
        <w:t>v Transvaal Provincial Administration</w:t>
      </w:r>
      <w:r w:rsidRPr="008A35E2">
        <w:rPr>
          <w:rFonts w:ascii="Arial" w:hAnsi="Arial"/>
          <w:lang w:val="en-US"/>
        </w:rPr>
        <w:t xml:space="preserve"> 1987 (4) SA 569 (A)</w:t>
      </w:r>
      <w:r>
        <w:rPr>
          <w:rFonts w:ascii="Arial" w:hAnsi="Arial"/>
          <w:lang w:val="en-US"/>
        </w:rPr>
        <w:t>.</w:t>
      </w:r>
    </w:p>
  </w:footnote>
  <w:footnote w:id="8">
    <w:p w:rsidR="006F083A" w:rsidRPr="008A35E2" w:rsidRDefault="006F083A" w:rsidP="008A35E2">
      <w:pPr>
        <w:pStyle w:val="Heading2"/>
        <w:shd w:val="clear" w:color="auto" w:fill="FFFFFF"/>
        <w:spacing w:before="0" w:beforeAutospacing="0" w:after="0" w:afterAutospacing="0"/>
        <w:rPr>
          <w:rFonts w:ascii="Arial" w:eastAsia="Times New Roman" w:hAnsi="Arial" w:cs="Arial"/>
          <w:b w:val="0"/>
          <w:bCs w:val="0"/>
          <w:color w:val="64473A"/>
          <w:sz w:val="20"/>
          <w:szCs w:val="20"/>
        </w:rPr>
      </w:pPr>
      <w:r w:rsidRPr="008A35E2">
        <w:rPr>
          <w:rStyle w:val="FootnoteReference"/>
          <w:rFonts w:ascii="Arial" w:hAnsi="Arial" w:cs="Arial"/>
          <w:b w:val="0"/>
          <w:sz w:val="20"/>
          <w:szCs w:val="20"/>
        </w:rPr>
        <w:footnoteRef/>
      </w:r>
      <w:r w:rsidRPr="008A35E2">
        <w:rPr>
          <w:rFonts w:ascii="Arial" w:hAnsi="Arial" w:cs="Arial"/>
          <w:b w:val="0"/>
          <w:sz w:val="20"/>
          <w:szCs w:val="20"/>
        </w:rPr>
        <w:t xml:space="preserve"> </w:t>
      </w:r>
      <w:r w:rsidRPr="008A35E2">
        <w:rPr>
          <w:rFonts w:ascii="Arial" w:hAnsi="Arial" w:cs="Arial"/>
          <w:b w:val="0"/>
          <w:i/>
          <w:sz w:val="20"/>
          <w:szCs w:val="20"/>
        </w:rPr>
        <w:t>Cr</w:t>
      </w:r>
      <w:r w:rsidR="007C408C">
        <w:rPr>
          <w:rFonts w:ascii="Arial" w:hAnsi="Arial" w:cs="Arial"/>
          <w:b w:val="0"/>
          <w:i/>
          <w:sz w:val="20"/>
          <w:szCs w:val="20"/>
        </w:rPr>
        <w:t>o</w:t>
      </w:r>
      <w:r w:rsidRPr="008A35E2">
        <w:rPr>
          <w:rFonts w:ascii="Arial" w:hAnsi="Arial" w:cs="Arial"/>
          <w:b w:val="0"/>
          <w:i/>
          <w:sz w:val="20"/>
          <w:szCs w:val="20"/>
        </w:rPr>
        <w:t xml:space="preserve">nshaw </w:t>
      </w:r>
      <w:r w:rsidR="007C408C">
        <w:rPr>
          <w:rFonts w:ascii="Arial" w:hAnsi="Arial" w:cs="Arial"/>
          <w:b w:val="0"/>
          <w:i/>
          <w:sz w:val="20"/>
          <w:szCs w:val="20"/>
        </w:rPr>
        <w:t xml:space="preserve">&amp; </w:t>
      </w:r>
      <w:r w:rsidR="007C408C" w:rsidRPr="008A35E2">
        <w:rPr>
          <w:rFonts w:ascii="Arial" w:hAnsi="Arial" w:cs="Arial"/>
          <w:b w:val="0"/>
          <w:i/>
          <w:sz w:val="20"/>
          <w:szCs w:val="20"/>
        </w:rPr>
        <w:t>another</w:t>
      </w:r>
      <w:r w:rsidRPr="008A35E2">
        <w:rPr>
          <w:rFonts w:ascii="Arial" w:hAnsi="Arial" w:cs="Arial"/>
          <w:b w:val="0"/>
          <w:i/>
          <w:sz w:val="20"/>
          <w:szCs w:val="20"/>
        </w:rPr>
        <w:t xml:space="preserve"> v Fidelity Guards Holdings</w:t>
      </w:r>
      <w:r w:rsidRPr="008A35E2">
        <w:rPr>
          <w:rFonts w:ascii="Arial" w:hAnsi="Arial" w:cs="Arial"/>
          <w:b w:val="0"/>
          <w:sz w:val="20"/>
          <w:szCs w:val="20"/>
        </w:rPr>
        <w:t xml:space="preserve"> 1996 (3) SA 686 (A)</w:t>
      </w:r>
      <w:r>
        <w:rPr>
          <w:rFonts w:ascii="Arial" w:hAnsi="Arial" w:cs="Arial"/>
          <w:b w:val="0"/>
          <w:sz w:val="20"/>
          <w:szCs w:val="20"/>
        </w:rPr>
        <w:t>.</w:t>
      </w:r>
    </w:p>
  </w:footnote>
  <w:footnote w:id="9">
    <w:p w:rsidR="006F083A" w:rsidRPr="008A35E2" w:rsidRDefault="006F083A" w:rsidP="008A35E2">
      <w:pPr>
        <w:pStyle w:val="Heading2"/>
        <w:shd w:val="clear" w:color="auto" w:fill="FFFFFF"/>
        <w:spacing w:before="0" w:beforeAutospacing="0" w:after="0" w:afterAutospacing="0"/>
        <w:rPr>
          <w:rFonts w:ascii="Arial" w:eastAsia="Times New Roman" w:hAnsi="Arial" w:cs="Arial"/>
          <w:b w:val="0"/>
          <w:bCs w:val="0"/>
          <w:sz w:val="20"/>
          <w:szCs w:val="20"/>
        </w:rPr>
      </w:pPr>
      <w:r w:rsidRPr="008A35E2">
        <w:rPr>
          <w:rStyle w:val="FootnoteReference"/>
          <w:rFonts w:ascii="Arial" w:hAnsi="Arial" w:cs="Arial"/>
          <w:b w:val="0"/>
          <w:sz w:val="20"/>
          <w:szCs w:val="20"/>
        </w:rPr>
        <w:footnoteRef/>
      </w:r>
      <w:r w:rsidRPr="008A35E2">
        <w:rPr>
          <w:rFonts w:ascii="Arial" w:hAnsi="Arial" w:cs="Arial"/>
          <w:b w:val="0"/>
          <w:sz w:val="20"/>
          <w:szCs w:val="20"/>
        </w:rPr>
        <w:t xml:space="preserve"> </w:t>
      </w:r>
      <w:r w:rsidR="00586CA9">
        <w:rPr>
          <w:rFonts w:ascii="Arial" w:eastAsia="Times New Roman" w:hAnsi="Arial" w:cs="Arial"/>
          <w:b w:val="0"/>
          <w:bCs w:val="0"/>
          <w:sz w:val="20"/>
          <w:szCs w:val="20"/>
        </w:rPr>
        <w:t xml:space="preserve"> </w:t>
      </w:r>
      <w:r w:rsidR="00B86A97">
        <w:rPr>
          <w:rFonts w:ascii="Arial" w:eastAsia="Times New Roman" w:hAnsi="Arial" w:cs="Arial"/>
          <w:b w:val="0"/>
          <w:bCs w:val="0"/>
          <w:sz w:val="20"/>
          <w:szCs w:val="20"/>
        </w:rPr>
        <w:t>2011 (1) NR 247 (HC)</w:t>
      </w:r>
      <w:r>
        <w:rPr>
          <w:rFonts w:ascii="Arial" w:eastAsia="Times New Roman" w:hAnsi="Arial" w:cs="Arial"/>
          <w:b w:val="0"/>
          <w:bCs w:val="0"/>
          <w:sz w:val="20"/>
          <w:szCs w:val="20"/>
        </w:rPr>
        <w:t>.</w:t>
      </w:r>
    </w:p>
  </w:footnote>
  <w:footnote w:id="10">
    <w:p w:rsidR="006F083A" w:rsidRPr="00E0077E" w:rsidRDefault="006F083A" w:rsidP="008A35E2">
      <w:pPr>
        <w:pStyle w:val="Heading2"/>
        <w:shd w:val="clear" w:color="auto" w:fill="FFFFFF"/>
        <w:spacing w:before="0" w:beforeAutospacing="0" w:after="0" w:afterAutospacing="0"/>
        <w:rPr>
          <w:rFonts w:eastAsia="Times New Roman"/>
          <w:b w:val="0"/>
          <w:bCs w:val="0"/>
          <w:color w:val="000000"/>
          <w:sz w:val="20"/>
          <w:szCs w:val="20"/>
        </w:rPr>
      </w:pPr>
      <w:r w:rsidRPr="009F28BF">
        <w:rPr>
          <w:rStyle w:val="FootnoteReference"/>
          <w:rFonts w:ascii="Arial" w:hAnsi="Arial" w:cs="Arial"/>
          <w:b w:val="0"/>
          <w:color w:val="000000"/>
          <w:sz w:val="20"/>
          <w:szCs w:val="20"/>
        </w:rPr>
        <w:footnoteRef/>
      </w:r>
      <w:r w:rsidRPr="009F28BF">
        <w:rPr>
          <w:rFonts w:ascii="Arial" w:hAnsi="Arial" w:cs="Arial"/>
          <w:b w:val="0"/>
          <w:color w:val="000000"/>
          <w:sz w:val="20"/>
          <w:szCs w:val="20"/>
        </w:rPr>
        <w:t xml:space="preserve"> </w:t>
      </w:r>
      <w:r w:rsidRPr="008A35E2">
        <w:rPr>
          <w:rFonts w:ascii="Arial" w:eastAsia="Times New Roman" w:hAnsi="Arial" w:cs="Arial"/>
          <w:b w:val="0"/>
          <w:bCs w:val="0"/>
          <w:color w:val="000000"/>
          <w:sz w:val="20"/>
          <w:szCs w:val="20"/>
        </w:rPr>
        <w:t>2006 (2) BCLR 274 (CC)</w:t>
      </w:r>
      <w:r>
        <w:rPr>
          <w:rFonts w:ascii="Arial" w:eastAsia="Times New Roman" w:hAnsi="Arial" w:cs="Arial"/>
          <w:b w:val="0"/>
          <w:bCs w:val="0"/>
          <w:color w:val="000000"/>
          <w:sz w:val="20"/>
          <w:szCs w:val="20"/>
        </w:rPr>
        <w:t>.</w:t>
      </w:r>
    </w:p>
  </w:footnote>
  <w:footnote w:id="11">
    <w:p w:rsidR="006F083A" w:rsidRPr="00D27544" w:rsidRDefault="006F083A" w:rsidP="00D27544">
      <w:pPr>
        <w:pStyle w:val="FootnoteText"/>
        <w:spacing w:line="276" w:lineRule="auto"/>
        <w:jc w:val="both"/>
        <w:rPr>
          <w:rFonts w:ascii="Arial" w:hAnsi="Arial"/>
          <w:lang w:val="en-US"/>
        </w:rPr>
      </w:pPr>
      <w:r w:rsidRPr="00D27544">
        <w:rPr>
          <w:rStyle w:val="FootnoteReference"/>
          <w:rFonts w:ascii="Arial" w:hAnsi="Arial"/>
        </w:rPr>
        <w:footnoteRef/>
      </w:r>
      <w:r w:rsidRPr="00D27544">
        <w:rPr>
          <w:rFonts w:ascii="Arial" w:hAnsi="Arial"/>
        </w:rPr>
        <w:t xml:space="preserve"> This conclusion of the court was based on the </w:t>
      </w:r>
      <w:r w:rsidRPr="00D27544">
        <w:rPr>
          <w:rFonts w:ascii="Arial" w:hAnsi="Arial"/>
          <w:i/>
        </w:rPr>
        <w:t>Zweni</w:t>
      </w:r>
      <w:r w:rsidRPr="00D27544">
        <w:rPr>
          <w:rFonts w:ascii="Arial" w:hAnsi="Arial"/>
        </w:rPr>
        <w:t xml:space="preserve"> formulation. </w:t>
      </w:r>
    </w:p>
  </w:footnote>
  <w:footnote w:id="12">
    <w:p w:rsidR="006F083A" w:rsidRPr="00D27544" w:rsidRDefault="006F083A" w:rsidP="00D27544">
      <w:pPr>
        <w:pStyle w:val="FootnoteText"/>
        <w:spacing w:line="276" w:lineRule="auto"/>
        <w:jc w:val="both"/>
        <w:rPr>
          <w:rFonts w:ascii="Arial" w:hAnsi="Arial"/>
          <w:lang w:val="en-US"/>
        </w:rPr>
      </w:pPr>
      <w:r w:rsidRPr="00D27544">
        <w:rPr>
          <w:rStyle w:val="FootnoteReference"/>
          <w:rFonts w:ascii="Arial" w:hAnsi="Arial"/>
        </w:rPr>
        <w:footnoteRef/>
      </w:r>
      <w:r w:rsidRPr="00D27544">
        <w:rPr>
          <w:rFonts w:ascii="Arial" w:hAnsi="Arial"/>
        </w:rPr>
        <w:t xml:space="preserve"> </w:t>
      </w:r>
      <w:r w:rsidRPr="00D27544">
        <w:rPr>
          <w:rFonts w:ascii="Arial" w:hAnsi="Arial"/>
          <w:lang w:val="en-US"/>
        </w:rPr>
        <w:t xml:space="preserve">See </w:t>
      </w:r>
      <w:r w:rsidRPr="00D27544">
        <w:rPr>
          <w:rFonts w:ascii="Arial" w:hAnsi="Arial"/>
          <w:i/>
          <w:lang w:val="en-US"/>
        </w:rPr>
        <w:t>Zweni</w:t>
      </w:r>
      <w:r w:rsidRPr="00D27544">
        <w:rPr>
          <w:rFonts w:ascii="Arial" w:hAnsi="Arial"/>
          <w:lang w:val="en-US"/>
        </w:rPr>
        <w:t xml:space="preserve"> for the requirements of an appealable order of court. See also </w:t>
      </w:r>
      <w:r w:rsidRPr="00D27544">
        <w:rPr>
          <w:rFonts w:ascii="Arial" w:hAnsi="Arial"/>
          <w:i/>
          <w:lang w:val="en-US"/>
        </w:rPr>
        <w:t>Prosecutor-General v Uuyuni</w:t>
      </w:r>
      <w:r w:rsidRPr="00D27544">
        <w:rPr>
          <w:rFonts w:ascii="Arial" w:hAnsi="Arial"/>
          <w:lang w:val="en-US"/>
        </w:rPr>
        <w:t xml:space="preserve"> (SA 20-2013) [2015] NASC </w:t>
      </w:r>
      <w:r w:rsidR="0052552A">
        <w:rPr>
          <w:rFonts w:ascii="Arial" w:hAnsi="Arial"/>
          <w:lang w:val="en-US"/>
        </w:rPr>
        <w:t>(</w:t>
      </w:r>
      <w:r w:rsidRPr="00D27544">
        <w:rPr>
          <w:rFonts w:ascii="Arial" w:hAnsi="Arial"/>
          <w:lang w:val="en-US"/>
        </w:rPr>
        <w:t>2 July 2015</w:t>
      </w:r>
      <w:r w:rsidR="0052552A">
        <w:rPr>
          <w:rFonts w:ascii="Arial" w:hAnsi="Arial"/>
          <w:lang w:val="en-US"/>
        </w:rPr>
        <w:t>)</w:t>
      </w:r>
      <w:r w:rsidRPr="00D27544">
        <w:rPr>
          <w:rFonts w:ascii="Arial" w:hAnsi="Arial"/>
          <w:lang w:val="en-US"/>
        </w:rPr>
        <w:t xml:space="preserve">; </w:t>
      </w:r>
      <w:r w:rsidRPr="00D27544">
        <w:rPr>
          <w:rFonts w:ascii="Arial" w:hAnsi="Arial"/>
          <w:i/>
          <w:lang w:val="en-US"/>
        </w:rPr>
        <w:t xml:space="preserve">Knox D’Arcy </w:t>
      </w:r>
      <w:r w:rsidR="002B3FAC">
        <w:rPr>
          <w:rFonts w:ascii="Arial" w:hAnsi="Arial"/>
          <w:i/>
          <w:lang w:val="en-US"/>
        </w:rPr>
        <w:t xml:space="preserve">&amp; </w:t>
      </w:r>
      <w:r w:rsidR="00096E42">
        <w:rPr>
          <w:rFonts w:ascii="Arial" w:hAnsi="Arial"/>
          <w:i/>
          <w:lang w:val="en-US"/>
        </w:rPr>
        <w:t xml:space="preserve">others </w:t>
      </w:r>
      <w:r w:rsidR="00096E42" w:rsidRPr="00D27544">
        <w:rPr>
          <w:rFonts w:ascii="Arial" w:hAnsi="Arial"/>
          <w:lang w:val="en-US"/>
        </w:rPr>
        <w:t>1996</w:t>
      </w:r>
      <w:r w:rsidRPr="00D27544">
        <w:rPr>
          <w:rFonts w:ascii="Arial" w:hAnsi="Arial"/>
          <w:lang w:val="en-US"/>
        </w:rPr>
        <w:t xml:space="preserve"> (4) SA 348</w:t>
      </w:r>
      <w:r>
        <w:rPr>
          <w:rFonts w:ascii="Arial" w:hAnsi="Arial"/>
          <w:lang w:val="en-US"/>
        </w:rPr>
        <w:t>.</w:t>
      </w:r>
    </w:p>
  </w:footnote>
  <w:footnote w:id="13">
    <w:p w:rsidR="006F083A" w:rsidRPr="00D27544" w:rsidRDefault="006F083A">
      <w:pPr>
        <w:pStyle w:val="FootnoteText"/>
        <w:rPr>
          <w:rFonts w:ascii="Arial" w:hAnsi="Arial"/>
          <w:lang w:val="en-US"/>
        </w:rPr>
      </w:pPr>
      <w:r w:rsidRPr="00D27544">
        <w:rPr>
          <w:rStyle w:val="FootnoteReference"/>
          <w:rFonts w:ascii="Arial" w:hAnsi="Arial"/>
        </w:rPr>
        <w:footnoteRef/>
      </w:r>
      <w:r w:rsidRPr="00D27544">
        <w:rPr>
          <w:rFonts w:ascii="Arial" w:hAnsi="Arial"/>
        </w:rPr>
        <w:t xml:space="preserve"> </w:t>
      </w:r>
      <w:r w:rsidRPr="00D27544">
        <w:rPr>
          <w:rFonts w:ascii="Arial" w:hAnsi="Arial"/>
          <w:lang w:val="en-US"/>
        </w:rPr>
        <w:t xml:space="preserve">2010 (2) NR 754 (SC). See also </w:t>
      </w:r>
      <w:r w:rsidRPr="00D27544">
        <w:rPr>
          <w:rFonts w:ascii="Arial" w:hAnsi="Arial"/>
          <w:i/>
        </w:rPr>
        <w:t xml:space="preserve">African Wanderers Football Club (Pty) Ltd v Wanderers Football Club </w:t>
      </w:r>
      <w:r w:rsidRPr="00D27544">
        <w:rPr>
          <w:rFonts w:ascii="Arial" w:hAnsi="Arial"/>
        </w:rPr>
        <w:t>1977 (2) SA 38 (A)</w:t>
      </w:r>
      <w:r>
        <w:rPr>
          <w:rFonts w:ascii="Arial" w:hAnsi="Arial"/>
        </w:rPr>
        <w:t>.</w:t>
      </w:r>
    </w:p>
  </w:footnote>
  <w:footnote w:id="14">
    <w:p w:rsidR="006F083A" w:rsidRPr="00C12109" w:rsidRDefault="006F083A" w:rsidP="00CB5E0B">
      <w:pPr>
        <w:pStyle w:val="FootnoteText"/>
        <w:spacing w:line="276" w:lineRule="auto"/>
        <w:rPr>
          <w:lang w:val="en-US"/>
        </w:rPr>
      </w:pPr>
      <w:r w:rsidRPr="00D27544">
        <w:rPr>
          <w:rStyle w:val="FootnoteReference"/>
          <w:rFonts w:ascii="Arial" w:hAnsi="Arial"/>
        </w:rPr>
        <w:footnoteRef/>
      </w:r>
      <w:r w:rsidRPr="00D27544">
        <w:rPr>
          <w:rFonts w:ascii="Arial" w:hAnsi="Arial"/>
        </w:rPr>
        <w:t xml:space="preserve"> See s 50 of the POCA</w:t>
      </w:r>
      <w:r>
        <w:rPr>
          <w:rFonts w:ascii="Arial" w:hAnsi="Arial"/>
        </w:rPr>
        <w:t>.</w:t>
      </w:r>
    </w:p>
  </w:footnote>
  <w:footnote w:id="15">
    <w:p w:rsidR="006F083A" w:rsidRPr="006F083A" w:rsidRDefault="006F083A" w:rsidP="00247B04">
      <w:pPr>
        <w:pStyle w:val="FootnoteText"/>
        <w:spacing w:line="276" w:lineRule="auto"/>
        <w:rPr>
          <w:rFonts w:ascii="Arial" w:hAnsi="Arial"/>
          <w:lang w:val="en-US"/>
        </w:rPr>
      </w:pPr>
      <w:r w:rsidRPr="006F083A">
        <w:rPr>
          <w:rStyle w:val="FootnoteReference"/>
          <w:rFonts w:ascii="Arial" w:hAnsi="Arial"/>
        </w:rPr>
        <w:footnoteRef/>
      </w:r>
      <w:r w:rsidRPr="006F083A">
        <w:rPr>
          <w:rFonts w:ascii="Arial" w:hAnsi="Arial"/>
        </w:rPr>
        <w:t xml:space="preserve"> </w:t>
      </w:r>
      <w:r w:rsidRPr="006F083A">
        <w:rPr>
          <w:rFonts w:ascii="Arial" w:hAnsi="Arial"/>
          <w:i/>
          <w:lang w:val="en-US"/>
        </w:rPr>
        <w:t>Prinsloo v Van Der Linde</w:t>
      </w:r>
      <w:r w:rsidRPr="006F083A">
        <w:rPr>
          <w:rFonts w:ascii="Arial" w:hAnsi="Arial"/>
          <w:lang w:val="en-US"/>
        </w:rPr>
        <w:t xml:space="preserve"> </w:t>
      </w:r>
      <w:r w:rsidR="009C1B18">
        <w:rPr>
          <w:rFonts w:ascii="Arial" w:hAnsi="Arial"/>
          <w:lang w:val="en-US"/>
        </w:rPr>
        <w:t xml:space="preserve">&amp; another </w:t>
      </w:r>
      <w:r w:rsidRPr="006F083A">
        <w:rPr>
          <w:rFonts w:ascii="Arial" w:hAnsi="Arial"/>
          <w:lang w:val="en-US"/>
        </w:rPr>
        <w:t>1997 (3) SA 1012 (CC)</w:t>
      </w:r>
      <w:r>
        <w:rPr>
          <w:rFonts w:ascii="Arial" w:hAnsi="Arial"/>
          <w:lang w:val="en-US"/>
        </w:rPr>
        <w:t>.</w:t>
      </w:r>
    </w:p>
  </w:footnote>
  <w:footnote w:id="16">
    <w:p w:rsidR="006F083A" w:rsidRPr="0073105E" w:rsidRDefault="006F083A" w:rsidP="00247B04">
      <w:pPr>
        <w:pStyle w:val="FootnoteText"/>
        <w:spacing w:line="276" w:lineRule="auto"/>
        <w:rPr>
          <w:rFonts w:ascii="Times New Roman" w:hAnsi="Times New Roman" w:cs="Times New Roman"/>
          <w:lang w:val="en-US"/>
        </w:rPr>
      </w:pPr>
      <w:r w:rsidRPr="006F083A">
        <w:rPr>
          <w:rStyle w:val="FootnoteReference"/>
          <w:rFonts w:ascii="Arial" w:hAnsi="Arial"/>
        </w:rPr>
        <w:footnoteRef/>
      </w:r>
      <w:r w:rsidRPr="006F083A">
        <w:rPr>
          <w:rFonts w:ascii="Arial" w:hAnsi="Arial"/>
        </w:rPr>
        <w:t xml:space="preserve"> </w:t>
      </w:r>
      <w:r w:rsidRPr="006F083A">
        <w:rPr>
          <w:rFonts w:ascii="Arial" w:hAnsi="Arial"/>
          <w:lang w:val="en-US"/>
        </w:rPr>
        <w:t>2003 (4) SA 1 (CC)</w:t>
      </w:r>
      <w:r>
        <w:rPr>
          <w:rFonts w:ascii="Arial" w:hAnsi="Arial"/>
          <w:lang w:val="en-US"/>
        </w:rPr>
        <w:t>.</w:t>
      </w:r>
    </w:p>
  </w:footnote>
  <w:footnote w:id="17">
    <w:p w:rsidR="006F083A" w:rsidRPr="00413732" w:rsidRDefault="006F083A" w:rsidP="00413732">
      <w:pPr>
        <w:pStyle w:val="FootnoteText"/>
        <w:rPr>
          <w:rFonts w:ascii="Arial" w:hAnsi="Arial"/>
          <w:lang w:val="en-US"/>
        </w:rPr>
      </w:pPr>
      <w:r w:rsidRPr="00413732">
        <w:rPr>
          <w:rStyle w:val="FootnoteReference"/>
          <w:rFonts w:ascii="Arial" w:hAnsi="Arial"/>
        </w:rPr>
        <w:footnoteRef/>
      </w:r>
      <w:r w:rsidRPr="00413732">
        <w:rPr>
          <w:rFonts w:ascii="Arial" w:hAnsi="Arial"/>
        </w:rPr>
        <w:t xml:space="preserve"> </w:t>
      </w:r>
      <w:r w:rsidR="00EA712A" w:rsidRPr="00EA712A">
        <w:rPr>
          <w:rFonts w:ascii="Arial" w:hAnsi="Arial"/>
          <w:i/>
          <w:lang w:val="en-US"/>
        </w:rPr>
        <w:t>Port Elizabeth</w:t>
      </w:r>
      <w:r w:rsidRPr="00413732">
        <w:rPr>
          <w:rFonts w:ascii="Arial" w:hAnsi="Arial"/>
          <w:i/>
          <w:lang w:val="en-US"/>
        </w:rPr>
        <w:t xml:space="preserve"> Municipality v Uitenhage Municipality</w:t>
      </w:r>
      <w:r w:rsidRPr="00413732">
        <w:rPr>
          <w:rFonts w:ascii="Arial" w:hAnsi="Arial"/>
          <w:lang w:val="en-US"/>
        </w:rPr>
        <w:t xml:space="preserve"> 1971 (1) SA 724 (A) at 738B-D</w:t>
      </w:r>
      <w:r w:rsidR="002A3C68">
        <w:rPr>
          <w:rFonts w:ascii="Arial" w:hAnsi="Arial"/>
          <w:lang w:val="en-US"/>
        </w:rPr>
        <w:t>.</w:t>
      </w:r>
    </w:p>
  </w:footnote>
  <w:footnote w:id="18">
    <w:p w:rsidR="006F083A" w:rsidRPr="00413732" w:rsidRDefault="006F083A" w:rsidP="00413732">
      <w:pPr>
        <w:pStyle w:val="Heading2"/>
        <w:shd w:val="clear" w:color="auto" w:fill="FFFFFF"/>
        <w:spacing w:before="0" w:beforeAutospacing="0" w:after="0" w:afterAutospacing="0"/>
        <w:rPr>
          <w:rFonts w:ascii="Arial" w:eastAsia="Times New Roman" w:hAnsi="Arial" w:cs="Arial"/>
          <w:b w:val="0"/>
          <w:bCs w:val="0"/>
          <w:color w:val="64473A"/>
          <w:sz w:val="30"/>
          <w:szCs w:val="30"/>
        </w:rPr>
      </w:pPr>
      <w:r w:rsidRPr="00413732">
        <w:rPr>
          <w:rStyle w:val="FootnoteReference"/>
          <w:rFonts w:ascii="Arial" w:hAnsi="Arial" w:cs="Arial"/>
          <w:b w:val="0"/>
          <w:sz w:val="20"/>
          <w:szCs w:val="20"/>
        </w:rPr>
        <w:footnoteRef/>
      </w:r>
      <w:r w:rsidRPr="00413732">
        <w:rPr>
          <w:rFonts w:ascii="Arial" w:hAnsi="Arial" w:cs="Arial"/>
        </w:rPr>
        <w:t xml:space="preserve"> </w:t>
      </w:r>
      <w:r w:rsidRPr="00413732">
        <w:rPr>
          <w:rFonts w:ascii="Arial" w:eastAsia="Times New Roman" w:hAnsi="Arial" w:cs="Arial"/>
          <w:b w:val="0"/>
          <w:bCs w:val="0"/>
          <w:sz w:val="20"/>
          <w:szCs w:val="20"/>
        </w:rPr>
        <w:t>Id n 5</w:t>
      </w:r>
    </w:p>
  </w:footnote>
  <w:footnote w:id="19">
    <w:p w:rsidR="006F083A" w:rsidRPr="000353C4" w:rsidRDefault="006F083A" w:rsidP="00413732">
      <w:pPr>
        <w:pStyle w:val="FootnoteText"/>
        <w:rPr>
          <w:lang w:val="en-US"/>
        </w:rPr>
      </w:pPr>
      <w:r w:rsidRPr="00413732">
        <w:rPr>
          <w:rStyle w:val="FootnoteReference"/>
          <w:rFonts w:ascii="Arial" w:hAnsi="Arial"/>
        </w:rPr>
        <w:footnoteRef/>
      </w:r>
      <w:r w:rsidRPr="00413732">
        <w:rPr>
          <w:rFonts w:ascii="Arial" w:hAnsi="Arial"/>
        </w:rPr>
        <w:t xml:space="preserve"> </w:t>
      </w:r>
      <w:r w:rsidRPr="00413732">
        <w:rPr>
          <w:rFonts w:ascii="Arial" w:hAnsi="Arial"/>
          <w:lang w:val="en-US"/>
        </w:rPr>
        <w:t xml:space="preserve">Id n 17. The reasoning in </w:t>
      </w:r>
      <w:r w:rsidRPr="00413732">
        <w:rPr>
          <w:rFonts w:ascii="Arial" w:hAnsi="Arial"/>
          <w:i/>
          <w:lang w:val="en-US"/>
        </w:rPr>
        <w:t>Shal</w:t>
      </w:r>
      <w:r w:rsidR="00E65771">
        <w:rPr>
          <w:rFonts w:ascii="Arial" w:hAnsi="Arial"/>
          <w:i/>
          <w:lang w:val="en-US"/>
        </w:rPr>
        <w:t>l</w:t>
      </w:r>
      <w:r w:rsidRPr="00413732">
        <w:rPr>
          <w:rFonts w:ascii="Arial" w:hAnsi="Arial"/>
          <w:i/>
          <w:lang w:val="en-US"/>
        </w:rPr>
        <w:t xml:space="preserve">i </w:t>
      </w:r>
      <w:r w:rsidRPr="00413732">
        <w:rPr>
          <w:rFonts w:ascii="Arial" w:hAnsi="Arial"/>
          <w:lang w:val="en-US"/>
        </w:rPr>
        <w:t xml:space="preserve">was adapted from that in </w:t>
      </w:r>
      <w:r w:rsidRPr="00413732">
        <w:rPr>
          <w:rFonts w:ascii="Arial" w:hAnsi="Arial"/>
          <w:i/>
          <w:lang w:val="en-US"/>
        </w:rPr>
        <w:t>NDPP v Mohamed</w:t>
      </w:r>
      <w:r w:rsidR="0062717B">
        <w:rPr>
          <w:rFonts w:ascii="Arial" w:hAnsi="Arial"/>
          <w:i/>
          <w:lang w:val="en-US"/>
        </w:rPr>
        <w:t>.</w:t>
      </w:r>
    </w:p>
  </w:footnote>
  <w:footnote w:id="20">
    <w:p w:rsidR="006F083A" w:rsidRPr="00413732" w:rsidRDefault="006F083A" w:rsidP="00247B04">
      <w:pPr>
        <w:pStyle w:val="FootnoteText"/>
        <w:spacing w:line="276" w:lineRule="auto"/>
        <w:rPr>
          <w:rFonts w:ascii="Arial" w:hAnsi="Arial"/>
          <w:lang w:val="en-US"/>
        </w:rPr>
      </w:pPr>
      <w:r w:rsidRPr="00413732">
        <w:rPr>
          <w:rStyle w:val="FootnoteReference"/>
          <w:rFonts w:ascii="Arial" w:hAnsi="Arial"/>
        </w:rPr>
        <w:footnoteRef/>
      </w:r>
      <w:r w:rsidRPr="00413732">
        <w:rPr>
          <w:rFonts w:ascii="Arial" w:hAnsi="Arial"/>
        </w:rPr>
        <w:t xml:space="preserve"> </w:t>
      </w:r>
      <w:r w:rsidRPr="00413732">
        <w:rPr>
          <w:rFonts w:ascii="Arial" w:hAnsi="Arial"/>
          <w:lang w:val="en-US"/>
        </w:rPr>
        <w:t>Id n 17  para 21</w:t>
      </w:r>
      <w:r w:rsidR="00413732" w:rsidRPr="00413732">
        <w:rPr>
          <w:rFonts w:ascii="Arial" w:hAnsi="Arial"/>
          <w:lang w:val="en-US"/>
        </w:rPr>
        <w:t>.</w:t>
      </w:r>
    </w:p>
  </w:footnote>
  <w:footnote w:id="21">
    <w:p w:rsidR="006F083A" w:rsidRPr="009E1CFD" w:rsidRDefault="006F083A" w:rsidP="0062717B">
      <w:pPr>
        <w:pStyle w:val="FootnoteText"/>
        <w:spacing w:line="276" w:lineRule="auto"/>
        <w:jc w:val="both"/>
        <w:rPr>
          <w:rFonts w:ascii="Times New Roman" w:hAnsi="Times New Roman" w:cs="Times New Roman"/>
          <w:lang w:val="en-US"/>
        </w:rPr>
      </w:pPr>
      <w:r w:rsidRPr="00413732">
        <w:rPr>
          <w:rStyle w:val="FootnoteReference"/>
          <w:rFonts w:ascii="Arial" w:hAnsi="Arial"/>
        </w:rPr>
        <w:footnoteRef/>
      </w:r>
      <w:r w:rsidRPr="00413732">
        <w:rPr>
          <w:rFonts w:ascii="Arial" w:hAnsi="Arial"/>
        </w:rPr>
        <w:t xml:space="preserve"> </w:t>
      </w:r>
      <w:r w:rsidRPr="00413732">
        <w:rPr>
          <w:rFonts w:ascii="Arial" w:hAnsi="Arial"/>
          <w:lang w:val="en-US"/>
        </w:rPr>
        <w:t xml:space="preserve">See </w:t>
      </w:r>
      <w:r w:rsidR="0062717B" w:rsidRPr="00413732">
        <w:rPr>
          <w:rFonts w:ascii="Arial" w:hAnsi="Arial"/>
          <w:lang w:val="en-US"/>
        </w:rPr>
        <w:t xml:space="preserve">Charles Goredema (ed); </w:t>
      </w:r>
      <w:r w:rsidR="0062717B">
        <w:rPr>
          <w:rFonts w:ascii="Arial" w:hAnsi="Arial"/>
          <w:lang w:val="en-US"/>
        </w:rPr>
        <w:t>'</w:t>
      </w:r>
      <w:r w:rsidRPr="00413732">
        <w:rPr>
          <w:rFonts w:ascii="Arial" w:hAnsi="Arial"/>
          <w:lang w:val="en-US"/>
        </w:rPr>
        <w:t>Confronting the Proceeds of Crime in Southern Africa: An Introspection</w:t>
      </w:r>
      <w:r w:rsidR="0062717B">
        <w:rPr>
          <w:rFonts w:ascii="Arial" w:hAnsi="Arial"/>
          <w:lang w:val="en-US"/>
        </w:rPr>
        <w:t>'</w:t>
      </w:r>
      <w:r w:rsidR="00B22122">
        <w:rPr>
          <w:rFonts w:ascii="Arial" w:hAnsi="Arial"/>
          <w:lang w:val="en-US"/>
        </w:rPr>
        <w:t>,</w:t>
      </w:r>
      <w:r w:rsidR="00B22122" w:rsidRPr="00413732">
        <w:rPr>
          <w:rFonts w:ascii="Arial" w:hAnsi="Arial"/>
          <w:lang w:val="en-US"/>
        </w:rPr>
        <w:t xml:space="preserve"> ISS</w:t>
      </w:r>
      <w:r w:rsidRPr="00413732">
        <w:rPr>
          <w:rFonts w:ascii="Arial" w:hAnsi="Arial"/>
          <w:lang w:val="en-US"/>
        </w:rPr>
        <w:t xml:space="preserve"> Monograph Series; No132</w:t>
      </w:r>
      <w:r w:rsidR="00B22122">
        <w:rPr>
          <w:rFonts w:ascii="Arial" w:hAnsi="Arial"/>
          <w:lang w:val="en-US"/>
        </w:rPr>
        <w:t xml:space="preserve">, </w:t>
      </w:r>
      <w:r w:rsidRPr="00413732">
        <w:rPr>
          <w:rFonts w:ascii="Arial" w:hAnsi="Arial"/>
          <w:lang w:val="en-US"/>
        </w:rPr>
        <w:t>May 2007</w:t>
      </w:r>
      <w:r w:rsidR="00413732" w:rsidRPr="00413732">
        <w:rPr>
          <w:rFonts w:ascii="Arial" w:hAnsi="Arial"/>
          <w:lang w:val="en-US"/>
        </w:rPr>
        <w:t>.</w:t>
      </w:r>
    </w:p>
  </w:footnote>
  <w:footnote w:id="22">
    <w:p w:rsidR="006F083A" w:rsidRPr="00360B32" w:rsidRDefault="006F083A" w:rsidP="00247B04">
      <w:pPr>
        <w:pStyle w:val="FootnoteText"/>
        <w:spacing w:line="276" w:lineRule="auto"/>
        <w:rPr>
          <w:rFonts w:ascii="Arial" w:hAnsi="Arial"/>
          <w:lang w:val="en-US"/>
        </w:rPr>
      </w:pPr>
      <w:r w:rsidRPr="00360B32">
        <w:rPr>
          <w:rStyle w:val="FootnoteReference"/>
          <w:rFonts w:ascii="Arial" w:hAnsi="Arial"/>
        </w:rPr>
        <w:footnoteRef/>
      </w:r>
      <w:r w:rsidRPr="00360B32">
        <w:rPr>
          <w:rFonts w:ascii="Arial" w:hAnsi="Arial"/>
        </w:rPr>
        <w:t xml:space="preserve"> </w:t>
      </w:r>
      <w:r w:rsidRPr="00360B32">
        <w:rPr>
          <w:rFonts w:ascii="Arial" w:hAnsi="Arial"/>
          <w:lang w:val="en-US"/>
        </w:rPr>
        <w:t xml:space="preserve">See offences listed in </w:t>
      </w:r>
      <w:r w:rsidR="00B22122">
        <w:rPr>
          <w:rFonts w:ascii="Arial" w:hAnsi="Arial"/>
          <w:lang w:val="en-US"/>
        </w:rPr>
        <w:t>s</w:t>
      </w:r>
      <w:r w:rsidRPr="00360B32">
        <w:rPr>
          <w:rFonts w:ascii="Arial" w:hAnsi="Arial"/>
          <w:lang w:val="en-US"/>
        </w:rPr>
        <w:t>chedule I of the POCA</w:t>
      </w:r>
      <w:r w:rsidR="00C9501B">
        <w:rPr>
          <w:rFonts w:ascii="Arial" w:hAnsi="Arial"/>
          <w:lang w:val="en-US"/>
        </w:rPr>
        <w:t>.</w:t>
      </w:r>
    </w:p>
  </w:footnote>
  <w:footnote w:id="23">
    <w:p w:rsidR="006F083A" w:rsidRPr="00360B32" w:rsidRDefault="006F083A" w:rsidP="00247B04">
      <w:pPr>
        <w:pStyle w:val="FootnoteText"/>
        <w:spacing w:line="276" w:lineRule="auto"/>
        <w:rPr>
          <w:rFonts w:ascii="Arial" w:hAnsi="Arial"/>
          <w:lang w:val="en-US"/>
        </w:rPr>
      </w:pPr>
      <w:r w:rsidRPr="00360B32">
        <w:rPr>
          <w:rStyle w:val="FootnoteReference"/>
          <w:rFonts w:ascii="Arial" w:hAnsi="Arial"/>
        </w:rPr>
        <w:footnoteRef/>
      </w:r>
      <w:r w:rsidRPr="00360B32">
        <w:rPr>
          <w:rFonts w:ascii="Arial" w:hAnsi="Arial"/>
        </w:rPr>
        <w:t xml:space="preserve"> </w:t>
      </w:r>
      <w:r w:rsidRPr="00360B32">
        <w:rPr>
          <w:rFonts w:ascii="Arial" w:hAnsi="Arial"/>
          <w:lang w:val="en-US"/>
        </w:rPr>
        <w:t xml:space="preserve">2005 (4) SA 603 (SCA) at 614C-F. See also, </w:t>
      </w:r>
      <w:r w:rsidRPr="00360B32">
        <w:rPr>
          <w:rFonts w:ascii="Arial" w:hAnsi="Arial"/>
          <w:i/>
          <w:lang w:val="en-US"/>
        </w:rPr>
        <w:t>Prosecutor</w:t>
      </w:r>
      <w:r w:rsidR="00360B32">
        <w:rPr>
          <w:rFonts w:ascii="Arial" w:hAnsi="Arial"/>
          <w:i/>
          <w:lang w:val="en-US"/>
        </w:rPr>
        <w:t>-</w:t>
      </w:r>
      <w:r w:rsidRPr="00360B32">
        <w:rPr>
          <w:rFonts w:ascii="Arial" w:hAnsi="Arial"/>
          <w:i/>
          <w:lang w:val="en-US"/>
        </w:rPr>
        <w:t>General v Xingping</w:t>
      </w:r>
      <w:r w:rsidRPr="00360B32">
        <w:rPr>
          <w:rFonts w:ascii="Arial" w:hAnsi="Arial"/>
          <w:lang w:val="en-US"/>
        </w:rPr>
        <w:t xml:space="preserve"> (POCA 4/2013) NAHCMD 300 (October 2013) and </w:t>
      </w:r>
      <w:r w:rsidRPr="00360B32">
        <w:rPr>
          <w:rFonts w:ascii="Arial" w:hAnsi="Arial"/>
          <w:i/>
          <w:lang w:val="en-US"/>
        </w:rPr>
        <w:t>Prosecutor</w:t>
      </w:r>
      <w:r w:rsidR="00360B32">
        <w:rPr>
          <w:rFonts w:ascii="Arial" w:hAnsi="Arial"/>
          <w:i/>
          <w:lang w:val="en-US"/>
        </w:rPr>
        <w:t>-</w:t>
      </w:r>
      <w:r w:rsidRPr="00360B32">
        <w:rPr>
          <w:rFonts w:ascii="Arial" w:hAnsi="Arial"/>
          <w:i/>
          <w:lang w:val="en-US"/>
        </w:rPr>
        <w:t>General v Kanime</w:t>
      </w:r>
      <w:r w:rsidRPr="00360B32">
        <w:rPr>
          <w:rFonts w:ascii="Arial" w:hAnsi="Arial"/>
          <w:lang w:val="en-US"/>
        </w:rPr>
        <w:t xml:space="preserve">  2013 (4) NR 1046 (HC)</w:t>
      </w:r>
      <w:r w:rsidR="00B22122">
        <w:rPr>
          <w:rFonts w:ascii="Arial" w:hAnsi="Arial"/>
          <w:lang w:val="en-US"/>
        </w:rPr>
        <w:t>.</w:t>
      </w:r>
    </w:p>
  </w:footnote>
  <w:footnote w:id="24">
    <w:p w:rsidR="006F083A" w:rsidRPr="0038374F" w:rsidRDefault="006F083A" w:rsidP="00247B04">
      <w:pPr>
        <w:pStyle w:val="FootnoteText"/>
        <w:spacing w:line="276" w:lineRule="auto"/>
        <w:rPr>
          <w:lang w:val="en-US"/>
        </w:rPr>
      </w:pPr>
      <w:r w:rsidRPr="00360B32">
        <w:rPr>
          <w:rStyle w:val="FootnoteReference"/>
          <w:rFonts w:ascii="Arial" w:hAnsi="Arial"/>
        </w:rPr>
        <w:footnoteRef/>
      </w:r>
      <w:r w:rsidRPr="00360B32">
        <w:rPr>
          <w:rFonts w:ascii="Arial" w:hAnsi="Arial"/>
        </w:rPr>
        <w:t xml:space="preserve"> </w:t>
      </w:r>
      <w:r w:rsidRPr="00360B32">
        <w:rPr>
          <w:rFonts w:ascii="Arial" w:hAnsi="Arial"/>
          <w:lang w:val="en-US"/>
        </w:rPr>
        <w:t>(POCA 4/2013) NAHCMD 300 (October 2013)</w:t>
      </w:r>
      <w:r w:rsidR="00B22122">
        <w:rPr>
          <w:rFonts w:ascii="Arial" w:hAnsi="Arial"/>
          <w:lang w:val="en-US"/>
        </w:rPr>
        <w:t>.</w:t>
      </w:r>
    </w:p>
  </w:footnote>
  <w:footnote w:id="25">
    <w:p w:rsidR="006F083A" w:rsidRPr="009D4F9B" w:rsidRDefault="006F083A">
      <w:pPr>
        <w:pStyle w:val="FootnoteText"/>
        <w:rPr>
          <w:rFonts w:ascii="Arial" w:hAnsi="Arial"/>
          <w:lang w:val="en-US"/>
        </w:rPr>
      </w:pPr>
      <w:r w:rsidRPr="009D4F9B">
        <w:rPr>
          <w:rStyle w:val="FootnoteReference"/>
          <w:rFonts w:ascii="Arial" w:hAnsi="Arial"/>
        </w:rPr>
        <w:footnoteRef/>
      </w:r>
      <w:r w:rsidRPr="009D4F9B">
        <w:rPr>
          <w:rFonts w:ascii="Arial" w:hAnsi="Arial"/>
        </w:rPr>
        <w:t xml:space="preserve"> </w:t>
      </w:r>
      <w:r w:rsidRPr="009D4F9B">
        <w:rPr>
          <w:rFonts w:ascii="Arial" w:hAnsi="Arial"/>
          <w:i/>
          <w:lang w:val="en-US"/>
        </w:rPr>
        <w:t>Prosecutor General v Xingping</w:t>
      </w:r>
      <w:r w:rsidRPr="009D4F9B">
        <w:rPr>
          <w:rFonts w:ascii="Arial" w:hAnsi="Arial"/>
          <w:lang w:val="en-US"/>
        </w:rPr>
        <w:t xml:space="preserve"> (POCA 4/2013) NAHCMD 300 (October 2013)</w:t>
      </w:r>
      <w:r w:rsidR="009D4F9B">
        <w:rPr>
          <w:rFonts w:ascii="Arial" w:hAnsi="Arial"/>
          <w:lang w:val="en-US"/>
        </w:rPr>
        <w:t>.</w:t>
      </w:r>
    </w:p>
  </w:footnote>
  <w:footnote w:id="26">
    <w:p w:rsidR="006F083A" w:rsidRPr="009D4F9B" w:rsidRDefault="006F083A" w:rsidP="00247B04">
      <w:pPr>
        <w:pStyle w:val="FootnoteText"/>
        <w:spacing w:line="276" w:lineRule="auto"/>
        <w:rPr>
          <w:rFonts w:ascii="Arial" w:hAnsi="Arial"/>
          <w:lang w:val="en-US"/>
        </w:rPr>
      </w:pPr>
      <w:r w:rsidRPr="009D4F9B">
        <w:rPr>
          <w:rStyle w:val="FootnoteReference"/>
          <w:rFonts w:ascii="Arial" w:hAnsi="Arial"/>
        </w:rPr>
        <w:footnoteRef/>
      </w:r>
      <w:r w:rsidR="00D84D4F">
        <w:rPr>
          <w:rFonts w:ascii="Arial" w:hAnsi="Arial"/>
          <w:lang w:val="en-US"/>
        </w:rPr>
        <w:t xml:space="preserve"> 2015 (1) NR 58 (SC)</w:t>
      </w:r>
      <w:r w:rsidR="009D4F9B">
        <w:rPr>
          <w:rFonts w:ascii="Arial" w:hAnsi="Arial"/>
          <w:lang w:val="en-US"/>
        </w:rPr>
        <w:t>.</w:t>
      </w:r>
    </w:p>
  </w:footnote>
  <w:footnote w:id="27">
    <w:p w:rsidR="006F083A" w:rsidRPr="009D7747" w:rsidRDefault="006F083A" w:rsidP="00247B04">
      <w:pPr>
        <w:pStyle w:val="FootnoteText"/>
        <w:spacing w:line="276" w:lineRule="auto"/>
        <w:rPr>
          <w:rFonts w:ascii="Times New Roman" w:hAnsi="Times New Roman" w:cs="Times New Roman"/>
          <w:lang w:val="en-US"/>
        </w:rPr>
      </w:pPr>
      <w:r w:rsidRPr="009D4F9B">
        <w:rPr>
          <w:rStyle w:val="FootnoteReference"/>
          <w:rFonts w:ascii="Arial" w:hAnsi="Arial"/>
        </w:rPr>
        <w:footnoteRef/>
      </w:r>
      <w:r w:rsidRPr="009D4F9B">
        <w:rPr>
          <w:rFonts w:ascii="Arial" w:hAnsi="Arial"/>
        </w:rPr>
        <w:t xml:space="preserve"> </w:t>
      </w:r>
      <w:r w:rsidRPr="009D4F9B">
        <w:rPr>
          <w:rFonts w:ascii="Arial" w:hAnsi="Arial"/>
          <w:lang w:val="en-US"/>
        </w:rPr>
        <w:t xml:space="preserve">1998 (2) SA 1143 (CC) paras 8 and 29. See further, </w:t>
      </w:r>
      <w:r w:rsidRPr="009D4F9B">
        <w:rPr>
          <w:rFonts w:ascii="Arial" w:hAnsi="Arial"/>
          <w:i/>
          <w:lang w:val="en-US"/>
        </w:rPr>
        <w:t xml:space="preserve">Moloko </w:t>
      </w:r>
      <w:r w:rsidR="00096E42">
        <w:rPr>
          <w:rFonts w:ascii="Arial" w:hAnsi="Arial"/>
          <w:i/>
          <w:lang w:val="en-US"/>
        </w:rPr>
        <w:t xml:space="preserve">&amp; </w:t>
      </w:r>
      <w:r w:rsidR="00096E42" w:rsidRPr="009D4F9B">
        <w:rPr>
          <w:rFonts w:ascii="Arial" w:hAnsi="Arial"/>
          <w:i/>
          <w:lang w:val="en-US"/>
        </w:rPr>
        <w:t>others v</w:t>
      </w:r>
      <w:r w:rsidRPr="009D4F9B">
        <w:rPr>
          <w:rFonts w:ascii="Arial" w:hAnsi="Arial"/>
          <w:i/>
          <w:lang w:val="en-US"/>
        </w:rPr>
        <w:t xml:space="preserve"> Minister of Home Affairs </w:t>
      </w:r>
      <w:r w:rsidR="009D4F9B">
        <w:rPr>
          <w:rFonts w:ascii="Arial" w:hAnsi="Arial"/>
          <w:i/>
          <w:lang w:val="en-US"/>
        </w:rPr>
        <w:t>&amp;</w:t>
      </w:r>
      <w:r w:rsidR="009D4F9B" w:rsidRPr="009D4F9B">
        <w:rPr>
          <w:rFonts w:ascii="Arial" w:hAnsi="Arial"/>
          <w:i/>
          <w:lang w:val="en-US"/>
        </w:rPr>
        <w:t xml:space="preserve"> </w:t>
      </w:r>
      <w:r w:rsidR="009D4F9B">
        <w:rPr>
          <w:rFonts w:ascii="Arial" w:hAnsi="Arial"/>
          <w:i/>
          <w:lang w:val="en-US"/>
        </w:rPr>
        <w:t>a</w:t>
      </w:r>
      <w:r w:rsidRPr="009D4F9B">
        <w:rPr>
          <w:rFonts w:ascii="Arial" w:hAnsi="Arial"/>
          <w:i/>
          <w:lang w:val="en-US"/>
        </w:rPr>
        <w:t>nother</w:t>
      </w:r>
      <w:r w:rsidRPr="009D4F9B">
        <w:rPr>
          <w:rFonts w:ascii="Arial" w:hAnsi="Arial"/>
          <w:lang w:val="en-US"/>
        </w:rPr>
        <w:t xml:space="preserve"> 2009 (3) SA 649 (CC)</w:t>
      </w:r>
      <w:r w:rsidR="009D4F9B">
        <w:rPr>
          <w:rFonts w:ascii="Arial" w:hAnsi="Arial"/>
          <w:lang w:val="en-US"/>
        </w:rPr>
        <w:t>.</w:t>
      </w:r>
    </w:p>
  </w:footnote>
  <w:footnote w:id="28">
    <w:p w:rsidR="006F083A" w:rsidRPr="009F7534" w:rsidRDefault="006F083A" w:rsidP="00247B04">
      <w:pPr>
        <w:pStyle w:val="FootnoteText"/>
        <w:spacing w:line="276" w:lineRule="auto"/>
        <w:rPr>
          <w:rFonts w:ascii="Arial" w:hAnsi="Arial"/>
          <w:lang w:val="en-US"/>
        </w:rPr>
      </w:pPr>
      <w:r w:rsidRPr="009F7534">
        <w:rPr>
          <w:rStyle w:val="FootnoteReference"/>
          <w:rFonts w:ascii="Arial" w:hAnsi="Arial"/>
        </w:rPr>
        <w:footnoteRef/>
      </w:r>
      <w:r w:rsidRPr="009F7534">
        <w:rPr>
          <w:rFonts w:ascii="Arial" w:hAnsi="Arial"/>
        </w:rPr>
        <w:t xml:space="preserve"> Id  para 8</w:t>
      </w:r>
      <w:r w:rsidR="009F7534">
        <w:rPr>
          <w:rFonts w:ascii="Arial" w:hAnsi="Arial"/>
        </w:rPr>
        <w:t>.</w:t>
      </w:r>
    </w:p>
  </w:footnote>
  <w:footnote w:id="29">
    <w:p w:rsidR="006F083A" w:rsidRPr="009D7747" w:rsidRDefault="006F083A" w:rsidP="00247B04">
      <w:pPr>
        <w:pStyle w:val="FootnoteText"/>
        <w:spacing w:line="276" w:lineRule="auto"/>
        <w:rPr>
          <w:rFonts w:ascii="Times New Roman" w:hAnsi="Times New Roman" w:cs="Times New Roman"/>
          <w:lang w:val="en-US"/>
        </w:rPr>
      </w:pPr>
      <w:r w:rsidRPr="009F7534">
        <w:rPr>
          <w:rStyle w:val="FootnoteReference"/>
          <w:rFonts w:ascii="Arial" w:hAnsi="Arial"/>
        </w:rPr>
        <w:footnoteRef/>
      </w:r>
      <w:r w:rsidRPr="009F7534">
        <w:rPr>
          <w:rFonts w:ascii="Arial" w:hAnsi="Arial"/>
        </w:rPr>
        <w:t xml:space="preserve"> (SA 77/2014)</w:t>
      </w:r>
      <w:r w:rsidR="00D84D4F">
        <w:rPr>
          <w:rFonts w:ascii="Arial" w:hAnsi="Arial"/>
        </w:rPr>
        <w:t xml:space="preserve"> [2016] NASC (19 August 2016)</w:t>
      </w:r>
      <w:r w:rsidR="009F7534" w:rsidRPr="00D84D4F">
        <w:rPr>
          <w:rFonts w:ascii="Arial" w:hAnsi="Arial"/>
        </w:rPr>
        <w:t>.</w:t>
      </w:r>
    </w:p>
  </w:footnote>
  <w:footnote w:id="30">
    <w:p w:rsidR="006F083A" w:rsidRPr="009F7534" w:rsidRDefault="006F083A" w:rsidP="008E2D59">
      <w:pPr>
        <w:pStyle w:val="FootnoteText"/>
        <w:rPr>
          <w:rFonts w:ascii="Arial" w:hAnsi="Arial"/>
          <w:lang w:val="en-US"/>
        </w:rPr>
      </w:pPr>
      <w:r w:rsidRPr="009F7534">
        <w:rPr>
          <w:rStyle w:val="FootnoteReference"/>
          <w:rFonts w:ascii="Arial" w:hAnsi="Arial"/>
        </w:rPr>
        <w:footnoteRef/>
      </w:r>
      <w:r w:rsidRPr="009F7534">
        <w:rPr>
          <w:rFonts w:ascii="Arial" w:hAnsi="Arial"/>
          <w:i/>
        </w:rPr>
        <w:t>National Director of Public Prosecutions v Basson</w:t>
      </w:r>
      <w:r w:rsidRPr="009F7534">
        <w:rPr>
          <w:rFonts w:ascii="Arial" w:hAnsi="Arial"/>
        </w:rPr>
        <w:t xml:space="preserve"> </w:t>
      </w:r>
      <w:r w:rsidRPr="009F7534">
        <w:rPr>
          <w:rFonts w:ascii="Arial" w:hAnsi="Arial"/>
          <w:lang w:val="en-US"/>
        </w:rPr>
        <w:t>2002 (1) SA 419 (SCA); 2001 (2) SACR at 712</w:t>
      </w:r>
      <w:r w:rsidR="009F7534">
        <w:rPr>
          <w:rFonts w:ascii="Arial" w:hAnsi="Arial"/>
          <w:lang w:val="en-US"/>
        </w:rPr>
        <w:t>.</w:t>
      </w:r>
    </w:p>
  </w:footnote>
  <w:footnote w:id="31">
    <w:p w:rsidR="006F083A" w:rsidRPr="009D7747" w:rsidRDefault="006F083A" w:rsidP="008E2D59">
      <w:pPr>
        <w:pStyle w:val="FootnoteText"/>
        <w:rPr>
          <w:rFonts w:ascii="Times New Roman" w:hAnsi="Times New Roman" w:cs="Times New Roman"/>
          <w:lang w:val="en-US"/>
        </w:rPr>
      </w:pPr>
      <w:r w:rsidRPr="009F7534">
        <w:rPr>
          <w:rStyle w:val="FootnoteReference"/>
          <w:rFonts w:ascii="Arial" w:hAnsi="Arial"/>
        </w:rPr>
        <w:footnoteRef/>
      </w:r>
      <w:r w:rsidRPr="009F7534">
        <w:rPr>
          <w:rFonts w:ascii="Arial" w:hAnsi="Arial"/>
        </w:rPr>
        <w:t xml:space="preserve"> Id n 30</w:t>
      </w:r>
      <w:r w:rsidR="009F7534">
        <w:rPr>
          <w:rFonts w:ascii="Arial" w:hAnsi="Arial"/>
        </w:rPr>
        <w:t>.</w:t>
      </w:r>
    </w:p>
  </w:footnote>
  <w:footnote w:id="32">
    <w:p w:rsidR="006F083A" w:rsidRPr="009F7534" w:rsidRDefault="006F083A" w:rsidP="00247B04">
      <w:pPr>
        <w:pStyle w:val="FootnoteText"/>
        <w:spacing w:line="276" w:lineRule="auto"/>
        <w:rPr>
          <w:rFonts w:ascii="Arial" w:hAnsi="Arial"/>
          <w:lang w:val="en-US"/>
        </w:rPr>
      </w:pPr>
      <w:r w:rsidRPr="009F7534">
        <w:rPr>
          <w:rStyle w:val="FootnoteReference"/>
          <w:rFonts w:ascii="Arial" w:hAnsi="Arial"/>
        </w:rPr>
        <w:footnoteRef/>
      </w:r>
      <w:r w:rsidRPr="009F7534">
        <w:rPr>
          <w:rFonts w:ascii="Arial" w:hAnsi="Arial"/>
        </w:rPr>
        <w:t xml:space="preserve"> See Joubert (ed), </w:t>
      </w:r>
      <w:r w:rsidRPr="009F7534">
        <w:rPr>
          <w:rFonts w:ascii="Arial" w:hAnsi="Arial"/>
          <w:i/>
        </w:rPr>
        <w:t>The Law of South Africa (LAWSA)</w:t>
      </w:r>
      <w:r w:rsidR="008E2D59">
        <w:rPr>
          <w:rFonts w:ascii="Arial" w:hAnsi="Arial"/>
          <w:i/>
        </w:rPr>
        <w:t>,</w:t>
      </w:r>
      <w:r w:rsidR="008E2D59">
        <w:rPr>
          <w:rFonts w:ascii="Arial" w:hAnsi="Arial"/>
        </w:rPr>
        <w:t xml:space="preserve"> </w:t>
      </w:r>
      <w:r w:rsidR="008E2D59" w:rsidRPr="009F7534">
        <w:rPr>
          <w:rFonts w:ascii="Arial" w:hAnsi="Arial"/>
        </w:rPr>
        <w:t>(2 ed)</w:t>
      </w:r>
      <w:r w:rsidR="008E2D59">
        <w:rPr>
          <w:rFonts w:ascii="Arial" w:hAnsi="Arial"/>
        </w:rPr>
        <w:t>,</w:t>
      </w:r>
      <w:r w:rsidRPr="009F7534">
        <w:rPr>
          <w:rFonts w:ascii="Arial" w:hAnsi="Arial"/>
        </w:rPr>
        <w:t xml:space="preserve"> </w:t>
      </w:r>
      <w:r w:rsidR="008E2D59">
        <w:rPr>
          <w:rFonts w:ascii="Arial" w:hAnsi="Arial"/>
        </w:rPr>
        <w:t>vol</w:t>
      </w:r>
      <w:r w:rsidRPr="009F7534">
        <w:rPr>
          <w:rFonts w:ascii="Arial" w:hAnsi="Arial"/>
        </w:rPr>
        <w:t xml:space="preserve"> 6  para 306</w:t>
      </w:r>
      <w:r w:rsidR="009F7534">
        <w:rPr>
          <w:rFonts w:ascii="Arial" w:hAnsi="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83A" w:rsidRPr="00F44AFB" w:rsidRDefault="006F083A">
    <w:pPr>
      <w:pStyle w:val="Header"/>
      <w:jc w:val="right"/>
      <w:rPr>
        <w:rFonts w:ascii="Arial" w:hAnsi="Arial"/>
        <w:sz w:val="24"/>
        <w:szCs w:val="24"/>
      </w:rPr>
    </w:pPr>
    <w:r w:rsidRPr="00F44AFB">
      <w:rPr>
        <w:rFonts w:ascii="Arial" w:hAnsi="Arial"/>
        <w:sz w:val="24"/>
        <w:szCs w:val="24"/>
      </w:rPr>
      <w:fldChar w:fldCharType="begin"/>
    </w:r>
    <w:r w:rsidRPr="00F44AFB">
      <w:rPr>
        <w:rFonts w:ascii="Arial" w:hAnsi="Arial"/>
        <w:sz w:val="24"/>
        <w:szCs w:val="24"/>
      </w:rPr>
      <w:instrText xml:space="preserve"> PAGE   \* MERGEFORMAT </w:instrText>
    </w:r>
    <w:r w:rsidRPr="00F44AFB">
      <w:rPr>
        <w:rFonts w:ascii="Arial" w:hAnsi="Arial"/>
        <w:sz w:val="24"/>
        <w:szCs w:val="24"/>
      </w:rPr>
      <w:fldChar w:fldCharType="separate"/>
    </w:r>
    <w:r w:rsidR="00D0397A">
      <w:rPr>
        <w:rFonts w:ascii="Arial" w:hAnsi="Arial"/>
        <w:noProof/>
        <w:sz w:val="24"/>
        <w:szCs w:val="24"/>
      </w:rPr>
      <w:t>22</w:t>
    </w:r>
    <w:r w:rsidRPr="00F44AFB">
      <w:rPr>
        <w:rFonts w:ascii="Arial" w:hAnsi="Arial"/>
        <w:noProof/>
        <w:sz w:val="24"/>
        <w:szCs w:val="24"/>
      </w:rPr>
      <w:fldChar w:fldCharType="end"/>
    </w:r>
  </w:p>
  <w:p w:rsidR="006F083A" w:rsidRDefault="006F08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C9EB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E24F9"/>
    <w:multiLevelType w:val="hybridMultilevel"/>
    <w:tmpl w:val="6B4E05CC"/>
    <w:lvl w:ilvl="0" w:tplc="CB1CA46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333B61"/>
    <w:multiLevelType w:val="hybridMultilevel"/>
    <w:tmpl w:val="610A2A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5A7A26"/>
    <w:multiLevelType w:val="hybridMultilevel"/>
    <w:tmpl w:val="902C8E3A"/>
    <w:lvl w:ilvl="0" w:tplc="C19646C0">
      <w:start w:val="1"/>
      <w:numFmt w:val="decimal"/>
      <w:pStyle w:val="JUDGMENTNUMBERED"/>
      <w:lvlText w:val="[%1]"/>
      <w:lvlJc w:val="left"/>
      <w:pPr>
        <w:ind w:left="347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B12C0C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A542C"/>
    <w:multiLevelType w:val="hybridMultilevel"/>
    <w:tmpl w:val="D32A7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102F0B"/>
    <w:multiLevelType w:val="hybridMultilevel"/>
    <w:tmpl w:val="B00415C2"/>
    <w:lvl w:ilvl="0" w:tplc="3D8A350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48C7C47"/>
    <w:multiLevelType w:val="hybridMultilevel"/>
    <w:tmpl w:val="EDC8B0E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1848AC"/>
    <w:multiLevelType w:val="hybridMultilevel"/>
    <w:tmpl w:val="1A5469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C9C558B"/>
    <w:multiLevelType w:val="hybridMultilevel"/>
    <w:tmpl w:val="D6DC4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3F5E03"/>
    <w:multiLevelType w:val="hybridMultilevel"/>
    <w:tmpl w:val="34A4C9BC"/>
    <w:lvl w:ilvl="0" w:tplc="2CE4B1F2">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72909A6"/>
    <w:multiLevelType w:val="hybridMultilevel"/>
    <w:tmpl w:val="1A5EECE8"/>
    <w:lvl w:ilvl="0" w:tplc="7D3CD29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331431"/>
    <w:multiLevelType w:val="hybridMultilevel"/>
    <w:tmpl w:val="1D8AA784"/>
    <w:lvl w:ilvl="0" w:tplc="4954993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9105C4"/>
    <w:multiLevelType w:val="hybridMultilevel"/>
    <w:tmpl w:val="A094B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C12646"/>
    <w:multiLevelType w:val="hybridMultilevel"/>
    <w:tmpl w:val="4CCC8134"/>
    <w:lvl w:ilvl="0" w:tplc="A44EF47E">
      <w:start w:val="1"/>
      <w:numFmt w:val="decimal"/>
      <w:lvlText w:val="(%1)"/>
      <w:lvlJc w:val="left"/>
      <w:pPr>
        <w:ind w:left="1420" w:hanging="360"/>
      </w:pPr>
      <w:rPr>
        <w:rFonts w:hint="default"/>
      </w:rPr>
    </w:lvl>
    <w:lvl w:ilvl="1" w:tplc="04090019">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4">
    <w:nsid w:val="39C322CE"/>
    <w:multiLevelType w:val="multilevel"/>
    <w:tmpl w:val="48F6522E"/>
    <w:lvl w:ilvl="0">
      <w:start w:val="1"/>
      <w:numFmt w:val="decimal"/>
      <w:lvlText w:val="%1."/>
      <w:lvlJc w:val="left"/>
      <w:pPr>
        <w:ind w:left="3600" w:hanging="720"/>
      </w:pPr>
      <w:rPr>
        <w:rFonts w:hint="default"/>
      </w:rPr>
    </w:lvl>
    <w:lvl w:ilvl="1">
      <w:start w:val="1"/>
      <w:numFmt w:val="decimal"/>
      <w:isLgl/>
      <w:lvlText w:val="%1.%2"/>
      <w:lvlJc w:val="left"/>
      <w:pPr>
        <w:ind w:left="396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12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920" w:hanging="144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440" w:hanging="1800"/>
      </w:pPr>
      <w:rPr>
        <w:rFonts w:hint="default"/>
      </w:rPr>
    </w:lvl>
  </w:abstractNum>
  <w:abstractNum w:abstractNumId="15">
    <w:nsid w:val="3EDF2686"/>
    <w:multiLevelType w:val="hybridMultilevel"/>
    <w:tmpl w:val="517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9E7F5B"/>
    <w:multiLevelType w:val="hybridMultilevel"/>
    <w:tmpl w:val="D35C15F4"/>
    <w:lvl w:ilvl="0" w:tplc="E6E8F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68E13B2"/>
    <w:multiLevelType w:val="hybridMultilevel"/>
    <w:tmpl w:val="2C58B25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92B6822"/>
    <w:multiLevelType w:val="hybridMultilevel"/>
    <w:tmpl w:val="48E4DA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AF9193D"/>
    <w:multiLevelType w:val="hybridMultilevel"/>
    <w:tmpl w:val="FBC435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D121BAC"/>
    <w:multiLevelType w:val="hybridMultilevel"/>
    <w:tmpl w:val="0DDAB7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98C30D5"/>
    <w:multiLevelType w:val="hybridMultilevel"/>
    <w:tmpl w:val="172C71D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7E351459"/>
    <w:multiLevelType w:val="hybridMultilevel"/>
    <w:tmpl w:val="A460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900911"/>
    <w:multiLevelType w:val="hybridMultilevel"/>
    <w:tmpl w:val="9B208E64"/>
    <w:lvl w:ilvl="0" w:tplc="F47026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19"/>
  </w:num>
  <w:num w:numId="3">
    <w:abstractNumId w:val="6"/>
  </w:num>
  <w:num w:numId="4">
    <w:abstractNumId w:val="10"/>
  </w:num>
  <w:num w:numId="5">
    <w:abstractNumId w:val="20"/>
  </w:num>
  <w:num w:numId="6">
    <w:abstractNumId w:val="17"/>
  </w:num>
  <w:num w:numId="7">
    <w:abstractNumId w:val="7"/>
  </w:num>
  <w:num w:numId="8">
    <w:abstractNumId w:val="9"/>
  </w:num>
  <w:num w:numId="9">
    <w:abstractNumId w:val="11"/>
  </w:num>
  <w:num w:numId="10">
    <w:abstractNumId w:val="23"/>
  </w:num>
  <w:num w:numId="11">
    <w:abstractNumId w:val="1"/>
  </w:num>
  <w:num w:numId="12">
    <w:abstractNumId w:val="18"/>
  </w:num>
  <w:num w:numId="13">
    <w:abstractNumId w:val="2"/>
  </w:num>
  <w:num w:numId="14">
    <w:abstractNumId w:val="4"/>
  </w:num>
  <w:num w:numId="15">
    <w:abstractNumId w:val="8"/>
  </w:num>
  <w:num w:numId="16">
    <w:abstractNumId w:val="0"/>
  </w:num>
  <w:num w:numId="17">
    <w:abstractNumId w:val="12"/>
  </w:num>
  <w:num w:numId="18">
    <w:abstractNumId w:val="22"/>
  </w:num>
  <w:num w:numId="19">
    <w:abstractNumId w:val="13"/>
  </w:num>
  <w:num w:numId="20">
    <w:abstractNumId w:val="15"/>
  </w:num>
  <w:num w:numId="21">
    <w:abstractNumId w:val="3"/>
  </w:num>
  <w:num w:numId="22">
    <w:abstractNumId w:val="14"/>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33"/>
    <w:rsid w:val="000004FE"/>
    <w:rsid w:val="00002B26"/>
    <w:rsid w:val="00002F5C"/>
    <w:rsid w:val="0000327A"/>
    <w:rsid w:val="00004641"/>
    <w:rsid w:val="00006602"/>
    <w:rsid w:val="00012A91"/>
    <w:rsid w:val="000140DD"/>
    <w:rsid w:val="00014D87"/>
    <w:rsid w:val="00015A0E"/>
    <w:rsid w:val="000168BB"/>
    <w:rsid w:val="00020570"/>
    <w:rsid w:val="000243BB"/>
    <w:rsid w:val="00025000"/>
    <w:rsid w:val="00026999"/>
    <w:rsid w:val="00030C0B"/>
    <w:rsid w:val="00030D63"/>
    <w:rsid w:val="00030FFC"/>
    <w:rsid w:val="00031B54"/>
    <w:rsid w:val="0003301B"/>
    <w:rsid w:val="00033B55"/>
    <w:rsid w:val="000353C4"/>
    <w:rsid w:val="0004013E"/>
    <w:rsid w:val="00042D96"/>
    <w:rsid w:val="0004312A"/>
    <w:rsid w:val="000434FC"/>
    <w:rsid w:val="00044049"/>
    <w:rsid w:val="00044EFB"/>
    <w:rsid w:val="00046A34"/>
    <w:rsid w:val="000471E9"/>
    <w:rsid w:val="0004733F"/>
    <w:rsid w:val="0004771A"/>
    <w:rsid w:val="00053772"/>
    <w:rsid w:val="0005402F"/>
    <w:rsid w:val="0005514F"/>
    <w:rsid w:val="000604BB"/>
    <w:rsid w:val="000633B1"/>
    <w:rsid w:val="0007144E"/>
    <w:rsid w:val="00072C0F"/>
    <w:rsid w:val="000739C5"/>
    <w:rsid w:val="0007483B"/>
    <w:rsid w:val="00074BB8"/>
    <w:rsid w:val="00074C6A"/>
    <w:rsid w:val="0007728F"/>
    <w:rsid w:val="00077FDA"/>
    <w:rsid w:val="000811D8"/>
    <w:rsid w:val="00081D4D"/>
    <w:rsid w:val="000832C1"/>
    <w:rsid w:val="0008716C"/>
    <w:rsid w:val="00092A0D"/>
    <w:rsid w:val="00092B4B"/>
    <w:rsid w:val="000954B2"/>
    <w:rsid w:val="00096E42"/>
    <w:rsid w:val="000971D6"/>
    <w:rsid w:val="000A2B19"/>
    <w:rsid w:val="000A3478"/>
    <w:rsid w:val="000A383D"/>
    <w:rsid w:val="000A3A78"/>
    <w:rsid w:val="000A4331"/>
    <w:rsid w:val="000A6E98"/>
    <w:rsid w:val="000A77C8"/>
    <w:rsid w:val="000B212E"/>
    <w:rsid w:val="000B2C21"/>
    <w:rsid w:val="000B3151"/>
    <w:rsid w:val="000B75FD"/>
    <w:rsid w:val="000B7A55"/>
    <w:rsid w:val="000C124F"/>
    <w:rsid w:val="000C142A"/>
    <w:rsid w:val="000C233F"/>
    <w:rsid w:val="000C2678"/>
    <w:rsid w:val="000C68B6"/>
    <w:rsid w:val="000C7D94"/>
    <w:rsid w:val="000D4D74"/>
    <w:rsid w:val="000D648B"/>
    <w:rsid w:val="000D7198"/>
    <w:rsid w:val="000E02C2"/>
    <w:rsid w:val="000E0DF8"/>
    <w:rsid w:val="000E2020"/>
    <w:rsid w:val="000E2E90"/>
    <w:rsid w:val="000E40E9"/>
    <w:rsid w:val="000F014D"/>
    <w:rsid w:val="000F0556"/>
    <w:rsid w:val="000F0C14"/>
    <w:rsid w:val="000F1D02"/>
    <w:rsid w:val="000F2156"/>
    <w:rsid w:val="000F2A3B"/>
    <w:rsid w:val="000F44B5"/>
    <w:rsid w:val="000F4DEC"/>
    <w:rsid w:val="00102856"/>
    <w:rsid w:val="00103C55"/>
    <w:rsid w:val="00106960"/>
    <w:rsid w:val="00107AC4"/>
    <w:rsid w:val="00114692"/>
    <w:rsid w:val="0011576A"/>
    <w:rsid w:val="0011615F"/>
    <w:rsid w:val="0011642B"/>
    <w:rsid w:val="00116EF0"/>
    <w:rsid w:val="00117765"/>
    <w:rsid w:val="00131820"/>
    <w:rsid w:val="0013251A"/>
    <w:rsid w:val="00132748"/>
    <w:rsid w:val="0013514C"/>
    <w:rsid w:val="00135406"/>
    <w:rsid w:val="00136613"/>
    <w:rsid w:val="00136CA9"/>
    <w:rsid w:val="00137BAF"/>
    <w:rsid w:val="001451EA"/>
    <w:rsid w:val="00146E83"/>
    <w:rsid w:val="0014783A"/>
    <w:rsid w:val="00150016"/>
    <w:rsid w:val="0015009C"/>
    <w:rsid w:val="00150293"/>
    <w:rsid w:val="00151C7A"/>
    <w:rsid w:val="001533D8"/>
    <w:rsid w:val="00155B5E"/>
    <w:rsid w:val="00157974"/>
    <w:rsid w:val="00160A4D"/>
    <w:rsid w:val="00162358"/>
    <w:rsid w:val="00162D59"/>
    <w:rsid w:val="001664F6"/>
    <w:rsid w:val="00166FCF"/>
    <w:rsid w:val="00167EAF"/>
    <w:rsid w:val="001709D7"/>
    <w:rsid w:val="001721FA"/>
    <w:rsid w:val="00172F9B"/>
    <w:rsid w:val="00174971"/>
    <w:rsid w:val="00177A30"/>
    <w:rsid w:val="001803AA"/>
    <w:rsid w:val="00180884"/>
    <w:rsid w:val="00183AF7"/>
    <w:rsid w:val="001920EC"/>
    <w:rsid w:val="00193F46"/>
    <w:rsid w:val="0019417F"/>
    <w:rsid w:val="001948E0"/>
    <w:rsid w:val="001A0B7E"/>
    <w:rsid w:val="001A1232"/>
    <w:rsid w:val="001A200B"/>
    <w:rsid w:val="001A3F86"/>
    <w:rsid w:val="001A5057"/>
    <w:rsid w:val="001A7260"/>
    <w:rsid w:val="001B1BFE"/>
    <w:rsid w:val="001B3814"/>
    <w:rsid w:val="001B4FE6"/>
    <w:rsid w:val="001C14B5"/>
    <w:rsid w:val="001C2681"/>
    <w:rsid w:val="001C3332"/>
    <w:rsid w:val="001C4BCD"/>
    <w:rsid w:val="001C61C0"/>
    <w:rsid w:val="001C6F79"/>
    <w:rsid w:val="001C7636"/>
    <w:rsid w:val="001D0A60"/>
    <w:rsid w:val="001D1CB6"/>
    <w:rsid w:val="001D4E07"/>
    <w:rsid w:val="001D531B"/>
    <w:rsid w:val="001D70F3"/>
    <w:rsid w:val="001E00D7"/>
    <w:rsid w:val="001E1D97"/>
    <w:rsid w:val="001E3607"/>
    <w:rsid w:val="001E5A7B"/>
    <w:rsid w:val="001E70C2"/>
    <w:rsid w:val="001E7BD4"/>
    <w:rsid w:val="001F3A5E"/>
    <w:rsid w:val="001F446A"/>
    <w:rsid w:val="001F454C"/>
    <w:rsid w:val="001F45A2"/>
    <w:rsid w:val="001F74A0"/>
    <w:rsid w:val="001F7A1E"/>
    <w:rsid w:val="002003FC"/>
    <w:rsid w:val="002008A3"/>
    <w:rsid w:val="00200BAC"/>
    <w:rsid w:val="0020295B"/>
    <w:rsid w:val="002031C3"/>
    <w:rsid w:val="002049F2"/>
    <w:rsid w:val="00205B4A"/>
    <w:rsid w:val="00207344"/>
    <w:rsid w:val="00210F07"/>
    <w:rsid w:val="00211270"/>
    <w:rsid w:val="0021177A"/>
    <w:rsid w:val="002128A3"/>
    <w:rsid w:val="002152BB"/>
    <w:rsid w:val="002159CF"/>
    <w:rsid w:val="00216146"/>
    <w:rsid w:val="002168FD"/>
    <w:rsid w:val="0022017A"/>
    <w:rsid w:val="00220F74"/>
    <w:rsid w:val="0022266F"/>
    <w:rsid w:val="00231C3D"/>
    <w:rsid w:val="00231EC5"/>
    <w:rsid w:val="0023312B"/>
    <w:rsid w:val="002343EB"/>
    <w:rsid w:val="00241804"/>
    <w:rsid w:val="0024472A"/>
    <w:rsid w:val="002464E0"/>
    <w:rsid w:val="00247148"/>
    <w:rsid w:val="00247B04"/>
    <w:rsid w:val="002510F8"/>
    <w:rsid w:val="00252347"/>
    <w:rsid w:val="00254088"/>
    <w:rsid w:val="00254AED"/>
    <w:rsid w:val="00255559"/>
    <w:rsid w:val="002556E5"/>
    <w:rsid w:val="00255851"/>
    <w:rsid w:val="00255A94"/>
    <w:rsid w:val="00256255"/>
    <w:rsid w:val="00263A53"/>
    <w:rsid w:val="00264EDE"/>
    <w:rsid w:val="002703E5"/>
    <w:rsid w:val="00270C1B"/>
    <w:rsid w:val="00271E5B"/>
    <w:rsid w:val="00272196"/>
    <w:rsid w:val="002723DB"/>
    <w:rsid w:val="00274A7C"/>
    <w:rsid w:val="00274BF2"/>
    <w:rsid w:val="00274CCD"/>
    <w:rsid w:val="00277737"/>
    <w:rsid w:val="002800F8"/>
    <w:rsid w:val="002801A0"/>
    <w:rsid w:val="002823C7"/>
    <w:rsid w:val="00283373"/>
    <w:rsid w:val="0028477F"/>
    <w:rsid w:val="00284DDC"/>
    <w:rsid w:val="00285B2F"/>
    <w:rsid w:val="00290BA8"/>
    <w:rsid w:val="0029428D"/>
    <w:rsid w:val="00294343"/>
    <w:rsid w:val="00295042"/>
    <w:rsid w:val="002951E3"/>
    <w:rsid w:val="0029537C"/>
    <w:rsid w:val="00295626"/>
    <w:rsid w:val="00297D53"/>
    <w:rsid w:val="002A03D2"/>
    <w:rsid w:val="002A0545"/>
    <w:rsid w:val="002A26C4"/>
    <w:rsid w:val="002A2952"/>
    <w:rsid w:val="002A3C68"/>
    <w:rsid w:val="002A514C"/>
    <w:rsid w:val="002A5D70"/>
    <w:rsid w:val="002A79B1"/>
    <w:rsid w:val="002A7A78"/>
    <w:rsid w:val="002B104C"/>
    <w:rsid w:val="002B3FAC"/>
    <w:rsid w:val="002B5A5D"/>
    <w:rsid w:val="002B6D75"/>
    <w:rsid w:val="002C180A"/>
    <w:rsid w:val="002C37B8"/>
    <w:rsid w:val="002C3DB9"/>
    <w:rsid w:val="002C4149"/>
    <w:rsid w:val="002C63A6"/>
    <w:rsid w:val="002C7F30"/>
    <w:rsid w:val="002D1335"/>
    <w:rsid w:val="002D23B0"/>
    <w:rsid w:val="002D252C"/>
    <w:rsid w:val="002D2EED"/>
    <w:rsid w:val="002D47A6"/>
    <w:rsid w:val="002D4A65"/>
    <w:rsid w:val="002D4D55"/>
    <w:rsid w:val="002D625F"/>
    <w:rsid w:val="002E0736"/>
    <w:rsid w:val="002E0C0D"/>
    <w:rsid w:val="002E1D5C"/>
    <w:rsid w:val="002E1D6A"/>
    <w:rsid w:val="002E317E"/>
    <w:rsid w:val="002E4A99"/>
    <w:rsid w:val="002E51C6"/>
    <w:rsid w:val="002E6222"/>
    <w:rsid w:val="002E7B50"/>
    <w:rsid w:val="002F031F"/>
    <w:rsid w:val="002F137B"/>
    <w:rsid w:val="002F2243"/>
    <w:rsid w:val="002F2E01"/>
    <w:rsid w:val="002F44BA"/>
    <w:rsid w:val="002F5704"/>
    <w:rsid w:val="002F7637"/>
    <w:rsid w:val="003005C5"/>
    <w:rsid w:val="003020EE"/>
    <w:rsid w:val="003027DF"/>
    <w:rsid w:val="0030408C"/>
    <w:rsid w:val="00304D1F"/>
    <w:rsid w:val="0030522A"/>
    <w:rsid w:val="00305AA7"/>
    <w:rsid w:val="0030684E"/>
    <w:rsid w:val="0030688F"/>
    <w:rsid w:val="00306CC2"/>
    <w:rsid w:val="00307589"/>
    <w:rsid w:val="0031025E"/>
    <w:rsid w:val="003125D7"/>
    <w:rsid w:val="0031285F"/>
    <w:rsid w:val="0031363B"/>
    <w:rsid w:val="00314BC5"/>
    <w:rsid w:val="003167AA"/>
    <w:rsid w:val="003226BE"/>
    <w:rsid w:val="0032404F"/>
    <w:rsid w:val="0032560A"/>
    <w:rsid w:val="00325F37"/>
    <w:rsid w:val="00330C35"/>
    <w:rsid w:val="00330F67"/>
    <w:rsid w:val="00331524"/>
    <w:rsid w:val="00332B61"/>
    <w:rsid w:val="00333D6C"/>
    <w:rsid w:val="00334297"/>
    <w:rsid w:val="00336979"/>
    <w:rsid w:val="0034335E"/>
    <w:rsid w:val="00347BCA"/>
    <w:rsid w:val="003503A1"/>
    <w:rsid w:val="00351162"/>
    <w:rsid w:val="00354ADA"/>
    <w:rsid w:val="00356402"/>
    <w:rsid w:val="003578AF"/>
    <w:rsid w:val="00357B90"/>
    <w:rsid w:val="00360958"/>
    <w:rsid w:val="00360B32"/>
    <w:rsid w:val="00361DC2"/>
    <w:rsid w:val="003633C9"/>
    <w:rsid w:val="003649C5"/>
    <w:rsid w:val="00365537"/>
    <w:rsid w:val="003666D5"/>
    <w:rsid w:val="00366B2F"/>
    <w:rsid w:val="00370CD9"/>
    <w:rsid w:val="00371BD4"/>
    <w:rsid w:val="00371E88"/>
    <w:rsid w:val="00375109"/>
    <w:rsid w:val="003763A9"/>
    <w:rsid w:val="00376F58"/>
    <w:rsid w:val="0038079D"/>
    <w:rsid w:val="00381B52"/>
    <w:rsid w:val="003820A2"/>
    <w:rsid w:val="0038374F"/>
    <w:rsid w:val="00383822"/>
    <w:rsid w:val="003843EE"/>
    <w:rsid w:val="00385AEF"/>
    <w:rsid w:val="003922E3"/>
    <w:rsid w:val="003922EA"/>
    <w:rsid w:val="0039339F"/>
    <w:rsid w:val="00393440"/>
    <w:rsid w:val="003938EC"/>
    <w:rsid w:val="00393B52"/>
    <w:rsid w:val="00395141"/>
    <w:rsid w:val="0039595F"/>
    <w:rsid w:val="00397102"/>
    <w:rsid w:val="003974C7"/>
    <w:rsid w:val="003A0EE1"/>
    <w:rsid w:val="003A1420"/>
    <w:rsid w:val="003A284D"/>
    <w:rsid w:val="003A339A"/>
    <w:rsid w:val="003A4F29"/>
    <w:rsid w:val="003A602F"/>
    <w:rsid w:val="003A699E"/>
    <w:rsid w:val="003A6D71"/>
    <w:rsid w:val="003A70B9"/>
    <w:rsid w:val="003B1252"/>
    <w:rsid w:val="003B4BE7"/>
    <w:rsid w:val="003C0458"/>
    <w:rsid w:val="003C0959"/>
    <w:rsid w:val="003C1A60"/>
    <w:rsid w:val="003C1DA9"/>
    <w:rsid w:val="003C67FB"/>
    <w:rsid w:val="003D1F3F"/>
    <w:rsid w:val="003D2BFB"/>
    <w:rsid w:val="003D6CB9"/>
    <w:rsid w:val="003D71DF"/>
    <w:rsid w:val="003E06CB"/>
    <w:rsid w:val="003E0B04"/>
    <w:rsid w:val="003E2F7B"/>
    <w:rsid w:val="003E4199"/>
    <w:rsid w:val="003E51B1"/>
    <w:rsid w:val="003E62B5"/>
    <w:rsid w:val="003E7A1E"/>
    <w:rsid w:val="003E7A7C"/>
    <w:rsid w:val="003F0B69"/>
    <w:rsid w:val="003F28FE"/>
    <w:rsid w:val="003F4B0F"/>
    <w:rsid w:val="00401745"/>
    <w:rsid w:val="004038B4"/>
    <w:rsid w:val="00406008"/>
    <w:rsid w:val="00406DE6"/>
    <w:rsid w:val="004105AF"/>
    <w:rsid w:val="00410C0B"/>
    <w:rsid w:val="00410DA4"/>
    <w:rsid w:val="004128A7"/>
    <w:rsid w:val="00413732"/>
    <w:rsid w:val="004164EA"/>
    <w:rsid w:val="00417D03"/>
    <w:rsid w:val="00424665"/>
    <w:rsid w:val="00425C29"/>
    <w:rsid w:val="0042609A"/>
    <w:rsid w:val="00430390"/>
    <w:rsid w:val="0043061C"/>
    <w:rsid w:val="00430A68"/>
    <w:rsid w:val="00433733"/>
    <w:rsid w:val="00433CA4"/>
    <w:rsid w:val="004348A9"/>
    <w:rsid w:val="00434F5E"/>
    <w:rsid w:val="00437928"/>
    <w:rsid w:val="004403C7"/>
    <w:rsid w:val="00440756"/>
    <w:rsid w:val="00440D31"/>
    <w:rsid w:val="004420B5"/>
    <w:rsid w:val="00443D84"/>
    <w:rsid w:val="004442DC"/>
    <w:rsid w:val="004446C4"/>
    <w:rsid w:val="00446F33"/>
    <w:rsid w:val="00446F9D"/>
    <w:rsid w:val="004471C2"/>
    <w:rsid w:val="00451830"/>
    <w:rsid w:val="0045341E"/>
    <w:rsid w:val="00456229"/>
    <w:rsid w:val="00456962"/>
    <w:rsid w:val="00461AEF"/>
    <w:rsid w:val="00462402"/>
    <w:rsid w:val="004625E5"/>
    <w:rsid w:val="00463282"/>
    <w:rsid w:val="004649F0"/>
    <w:rsid w:val="0046534F"/>
    <w:rsid w:val="00465EAC"/>
    <w:rsid w:val="0046614F"/>
    <w:rsid w:val="00466241"/>
    <w:rsid w:val="00467B52"/>
    <w:rsid w:val="00471764"/>
    <w:rsid w:val="00472235"/>
    <w:rsid w:val="0047274A"/>
    <w:rsid w:val="00472D57"/>
    <w:rsid w:val="00473D40"/>
    <w:rsid w:val="00474C91"/>
    <w:rsid w:val="00474F72"/>
    <w:rsid w:val="00476409"/>
    <w:rsid w:val="00476810"/>
    <w:rsid w:val="004768DD"/>
    <w:rsid w:val="0047712A"/>
    <w:rsid w:val="00484A6A"/>
    <w:rsid w:val="00484BB9"/>
    <w:rsid w:val="004872D3"/>
    <w:rsid w:val="00487931"/>
    <w:rsid w:val="00487E50"/>
    <w:rsid w:val="00487F85"/>
    <w:rsid w:val="00493D2B"/>
    <w:rsid w:val="004941DE"/>
    <w:rsid w:val="00494300"/>
    <w:rsid w:val="0049687E"/>
    <w:rsid w:val="004A0A70"/>
    <w:rsid w:val="004A285B"/>
    <w:rsid w:val="004A2C58"/>
    <w:rsid w:val="004A31FC"/>
    <w:rsid w:val="004A347C"/>
    <w:rsid w:val="004A508A"/>
    <w:rsid w:val="004A5E82"/>
    <w:rsid w:val="004A60A1"/>
    <w:rsid w:val="004A639A"/>
    <w:rsid w:val="004A65A2"/>
    <w:rsid w:val="004A6D19"/>
    <w:rsid w:val="004B0CB4"/>
    <w:rsid w:val="004B1439"/>
    <w:rsid w:val="004B2BB2"/>
    <w:rsid w:val="004B3735"/>
    <w:rsid w:val="004B5B1C"/>
    <w:rsid w:val="004B630E"/>
    <w:rsid w:val="004B63B2"/>
    <w:rsid w:val="004C1492"/>
    <w:rsid w:val="004C1545"/>
    <w:rsid w:val="004C2BF1"/>
    <w:rsid w:val="004C484A"/>
    <w:rsid w:val="004C62D0"/>
    <w:rsid w:val="004C6AAC"/>
    <w:rsid w:val="004C78DB"/>
    <w:rsid w:val="004D1A8B"/>
    <w:rsid w:val="004D1FCE"/>
    <w:rsid w:val="004D2024"/>
    <w:rsid w:val="004D220A"/>
    <w:rsid w:val="004D36C3"/>
    <w:rsid w:val="004D3E1F"/>
    <w:rsid w:val="004D3F6A"/>
    <w:rsid w:val="004D544B"/>
    <w:rsid w:val="004E06C7"/>
    <w:rsid w:val="004E072A"/>
    <w:rsid w:val="004E1E95"/>
    <w:rsid w:val="004E308A"/>
    <w:rsid w:val="004E5E22"/>
    <w:rsid w:val="004F0D5E"/>
    <w:rsid w:val="004F3245"/>
    <w:rsid w:val="004F363F"/>
    <w:rsid w:val="004F3C86"/>
    <w:rsid w:val="004F5D7B"/>
    <w:rsid w:val="004F70E5"/>
    <w:rsid w:val="004F7541"/>
    <w:rsid w:val="00500251"/>
    <w:rsid w:val="00500F1E"/>
    <w:rsid w:val="00502DB9"/>
    <w:rsid w:val="00503EA1"/>
    <w:rsid w:val="00505483"/>
    <w:rsid w:val="0051171B"/>
    <w:rsid w:val="00512A3C"/>
    <w:rsid w:val="00513D16"/>
    <w:rsid w:val="00514229"/>
    <w:rsid w:val="005158A6"/>
    <w:rsid w:val="00515A2F"/>
    <w:rsid w:val="00517C4D"/>
    <w:rsid w:val="0052075D"/>
    <w:rsid w:val="00520E6E"/>
    <w:rsid w:val="00521005"/>
    <w:rsid w:val="005228BD"/>
    <w:rsid w:val="0052413C"/>
    <w:rsid w:val="005253F7"/>
    <w:rsid w:val="0052552A"/>
    <w:rsid w:val="00525826"/>
    <w:rsid w:val="00527419"/>
    <w:rsid w:val="0053342C"/>
    <w:rsid w:val="0053488A"/>
    <w:rsid w:val="005376FB"/>
    <w:rsid w:val="005415A7"/>
    <w:rsid w:val="00542388"/>
    <w:rsid w:val="0054269C"/>
    <w:rsid w:val="00542EEA"/>
    <w:rsid w:val="00547828"/>
    <w:rsid w:val="0055010A"/>
    <w:rsid w:val="00550DD8"/>
    <w:rsid w:val="005531EF"/>
    <w:rsid w:val="00553D1E"/>
    <w:rsid w:val="00553D7D"/>
    <w:rsid w:val="0055516B"/>
    <w:rsid w:val="00556B6C"/>
    <w:rsid w:val="00557151"/>
    <w:rsid w:val="00560E4F"/>
    <w:rsid w:val="00561365"/>
    <w:rsid w:val="00562D35"/>
    <w:rsid w:val="00565351"/>
    <w:rsid w:val="00565FA9"/>
    <w:rsid w:val="005662C7"/>
    <w:rsid w:val="00570DF5"/>
    <w:rsid w:val="00572958"/>
    <w:rsid w:val="005732B2"/>
    <w:rsid w:val="00573A59"/>
    <w:rsid w:val="005743DE"/>
    <w:rsid w:val="00574AC7"/>
    <w:rsid w:val="00581D5E"/>
    <w:rsid w:val="0058246A"/>
    <w:rsid w:val="00582EBE"/>
    <w:rsid w:val="0058327F"/>
    <w:rsid w:val="00583E61"/>
    <w:rsid w:val="00583FF9"/>
    <w:rsid w:val="005845A2"/>
    <w:rsid w:val="0058665E"/>
    <w:rsid w:val="00586CA9"/>
    <w:rsid w:val="00591520"/>
    <w:rsid w:val="00591EB6"/>
    <w:rsid w:val="00592AFA"/>
    <w:rsid w:val="0059385C"/>
    <w:rsid w:val="0059471D"/>
    <w:rsid w:val="005A02B8"/>
    <w:rsid w:val="005A143B"/>
    <w:rsid w:val="005A1D95"/>
    <w:rsid w:val="005A2082"/>
    <w:rsid w:val="005A383E"/>
    <w:rsid w:val="005A4D9B"/>
    <w:rsid w:val="005A505D"/>
    <w:rsid w:val="005A67ED"/>
    <w:rsid w:val="005A67FC"/>
    <w:rsid w:val="005A6C23"/>
    <w:rsid w:val="005A6FA5"/>
    <w:rsid w:val="005A75D9"/>
    <w:rsid w:val="005A7799"/>
    <w:rsid w:val="005B3506"/>
    <w:rsid w:val="005B3F3B"/>
    <w:rsid w:val="005B550A"/>
    <w:rsid w:val="005B6331"/>
    <w:rsid w:val="005B798C"/>
    <w:rsid w:val="005C082C"/>
    <w:rsid w:val="005C17F9"/>
    <w:rsid w:val="005C191B"/>
    <w:rsid w:val="005C4618"/>
    <w:rsid w:val="005C52BF"/>
    <w:rsid w:val="005C575F"/>
    <w:rsid w:val="005C7951"/>
    <w:rsid w:val="005D09A3"/>
    <w:rsid w:val="005D1DEB"/>
    <w:rsid w:val="005D46FD"/>
    <w:rsid w:val="005D4BE3"/>
    <w:rsid w:val="005D7C97"/>
    <w:rsid w:val="005E0FD4"/>
    <w:rsid w:val="005E134F"/>
    <w:rsid w:val="005E1C21"/>
    <w:rsid w:val="005E2403"/>
    <w:rsid w:val="005E7FCD"/>
    <w:rsid w:val="005F49BB"/>
    <w:rsid w:val="005F5288"/>
    <w:rsid w:val="005F5D4E"/>
    <w:rsid w:val="005F6072"/>
    <w:rsid w:val="00601840"/>
    <w:rsid w:val="00604532"/>
    <w:rsid w:val="0060473D"/>
    <w:rsid w:val="0060541E"/>
    <w:rsid w:val="00606D4E"/>
    <w:rsid w:val="0061063D"/>
    <w:rsid w:val="00610B43"/>
    <w:rsid w:val="006113D1"/>
    <w:rsid w:val="00611C62"/>
    <w:rsid w:val="006140AF"/>
    <w:rsid w:val="0061467A"/>
    <w:rsid w:val="00616D3A"/>
    <w:rsid w:val="00616E6B"/>
    <w:rsid w:val="00620567"/>
    <w:rsid w:val="00620883"/>
    <w:rsid w:val="00622739"/>
    <w:rsid w:val="00623C34"/>
    <w:rsid w:val="00624047"/>
    <w:rsid w:val="00624945"/>
    <w:rsid w:val="0062717B"/>
    <w:rsid w:val="00627ECD"/>
    <w:rsid w:val="00630B2A"/>
    <w:rsid w:val="00630EAD"/>
    <w:rsid w:val="0063309F"/>
    <w:rsid w:val="00633271"/>
    <w:rsid w:val="00633BCF"/>
    <w:rsid w:val="00634645"/>
    <w:rsid w:val="0063679C"/>
    <w:rsid w:val="00636FB7"/>
    <w:rsid w:val="006374A1"/>
    <w:rsid w:val="00643227"/>
    <w:rsid w:val="00643C22"/>
    <w:rsid w:val="00647F69"/>
    <w:rsid w:val="006502E1"/>
    <w:rsid w:val="00651A3C"/>
    <w:rsid w:val="00651CCB"/>
    <w:rsid w:val="006522C7"/>
    <w:rsid w:val="00652575"/>
    <w:rsid w:val="00653288"/>
    <w:rsid w:val="0065469B"/>
    <w:rsid w:val="006549B6"/>
    <w:rsid w:val="00657B85"/>
    <w:rsid w:val="00662043"/>
    <w:rsid w:val="00664070"/>
    <w:rsid w:val="006714D9"/>
    <w:rsid w:val="00674F28"/>
    <w:rsid w:val="00675092"/>
    <w:rsid w:val="00676592"/>
    <w:rsid w:val="0068053F"/>
    <w:rsid w:val="0068102D"/>
    <w:rsid w:val="0068236F"/>
    <w:rsid w:val="00682372"/>
    <w:rsid w:val="00683B07"/>
    <w:rsid w:val="0068489D"/>
    <w:rsid w:val="00686824"/>
    <w:rsid w:val="00686AC1"/>
    <w:rsid w:val="006872EA"/>
    <w:rsid w:val="00691DF1"/>
    <w:rsid w:val="00694057"/>
    <w:rsid w:val="00694F36"/>
    <w:rsid w:val="00696048"/>
    <w:rsid w:val="00696271"/>
    <w:rsid w:val="006967BF"/>
    <w:rsid w:val="00697171"/>
    <w:rsid w:val="00697A06"/>
    <w:rsid w:val="006A2BB3"/>
    <w:rsid w:val="006A549E"/>
    <w:rsid w:val="006A6639"/>
    <w:rsid w:val="006A73D9"/>
    <w:rsid w:val="006B088A"/>
    <w:rsid w:val="006B0CEB"/>
    <w:rsid w:val="006B17AC"/>
    <w:rsid w:val="006B1E3A"/>
    <w:rsid w:val="006B2729"/>
    <w:rsid w:val="006B3817"/>
    <w:rsid w:val="006B38F2"/>
    <w:rsid w:val="006B3FD5"/>
    <w:rsid w:val="006B4433"/>
    <w:rsid w:val="006B5E22"/>
    <w:rsid w:val="006B78A8"/>
    <w:rsid w:val="006C00A5"/>
    <w:rsid w:val="006C0E9B"/>
    <w:rsid w:val="006C16DF"/>
    <w:rsid w:val="006C1830"/>
    <w:rsid w:val="006C219B"/>
    <w:rsid w:val="006C59D0"/>
    <w:rsid w:val="006C66DA"/>
    <w:rsid w:val="006C7483"/>
    <w:rsid w:val="006C7970"/>
    <w:rsid w:val="006D14D3"/>
    <w:rsid w:val="006D3935"/>
    <w:rsid w:val="006D658A"/>
    <w:rsid w:val="006E2483"/>
    <w:rsid w:val="006E3910"/>
    <w:rsid w:val="006E39AC"/>
    <w:rsid w:val="006E3ED5"/>
    <w:rsid w:val="006E4C02"/>
    <w:rsid w:val="006E6244"/>
    <w:rsid w:val="006E6506"/>
    <w:rsid w:val="006E745A"/>
    <w:rsid w:val="006E7C80"/>
    <w:rsid w:val="006F07EB"/>
    <w:rsid w:val="006F083A"/>
    <w:rsid w:val="006F2A9D"/>
    <w:rsid w:val="006F2D46"/>
    <w:rsid w:val="006F3025"/>
    <w:rsid w:val="006F30CA"/>
    <w:rsid w:val="006F311C"/>
    <w:rsid w:val="006F4B62"/>
    <w:rsid w:val="006F55DD"/>
    <w:rsid w:val="006F65DE"/>
    <w:rsid w:val="00700316"/>
    <w:rsid w:val="00700CCC"/>
    <w:rsid w:val="00702234"/>
    <w:rsid w:val="007035B2"/>
    <w:rsid w:val="0070528E"/>
    <w:rsid w:val="007058D5"/>
    <w:rsid w:val="00706527"/>
    <w:rsid w:val="00706BA6"/>
    <w:rsid w:val="00706E79"/>
    <w:rsid w:val="00707EF1"/>
    <w:rsid w:val="00711C58"/>
    <w:rsid w:val="0071207D"/>
    <w:rsid w:val="00712152"/>
    <w:rsid w:val="00715BC0"/>
    <w:rsid w:val="00715EC2"/>
    <w:rsid w:val="00715EF2"/>
    <w:rsid w:val="0072007B"/>
    <w:rsid w:val="00721C24"/>
    <w:rsid w:val="00723328"/>
    <w:rsid w:val="007262FB"/>
    <w:rsid w:val="00726B0F"/>
    <w:rsid w:val="007271F6"/>
    <w:rsid w:val="00730AF1"/>
    <w:rsid w:val="0073105E"/>
    <w:rsid w:val="007341C1"/>
    <w:rsid w:val="0073424E"/>
    <w:rsid w:val="00736823"/>
    <w:rsid w:val="00737988"/>
    <w:rsid w:val="0074328D"/>
    <w:rsid w:val="00745924"/>
    <w:rsid w:val="00745DA6"/>
    <w:rsid w:val="007464E6"/>
    <w:rsid w:val="00746D0F"/>
    <w:rsid w:val="00747C86"/>
    <w:rsid w:val="00751177"/>
    <w:rsid w:val="00752189"/>
    <w:rsid w:val="007527CF"/>
    <w:rsid w:val="0075289A"/>
    <w:rsid w:val="0075537C"/>
    <w:rsid w:val="00755849"/>
    <w:rsid w:val="0075722C"/>
    <w:rsid w:val="00757E54"/>
    <w:rsid w:val="00761176"/>
    <w:rsid w:val="007635D6"/>
    <w:rsid w:val="00763CB3"/>
    <w:rsid w:val="0077035C"/>
    <w:rsid w:val="00772145"/>
    <w:rsid w:val="00773B18"/>
    <w:rsid w:val="00775F73"/>
    <w:rsid w:val="00776064"/>
    <w:rsid w:val="00776AC9"/>
    <w:rsid w:val="00776FBC"/>
    <w:rsid w:val="00777DAC"/>
    <w:rsid w:val="00780FC3"/>
    <w:rsid w:val="00781F22"/>
    <w:rsid w:val="00783270"/>
    <w:rsid w:val="007851A5"/>
    <w:rsid w:val="007870E9"/>
    <w:rsid w:val="007873C9"/>
    <w:rsid w:val="0079098A"/>
    <w:rsid w:val="00790D2E"/>
    <w:rsid w:val="00790D56"/>
    <w:rsid w:val="00791270"/>
    <w:rsid w:val="00792F48"/>
    <w:rsid w:val="00794726"/>
    <w:rsid w:val="00795193"/>
    <w:rsid w:val="007959D3"/>
    <w:rsid w:val="0079691F"/>
    <w:rsid w:val="00797329"/>
    <w:rsid w:val="0079740B"/>
    <w:rsid w:val="007A3606"/>
    <w:rsid w:val="007A3CD7"/>
    <w:rsid w:val="007A4AE2"/>
    <w:rsid w:val="007A4DBF"/>
    <w:rsid w:val="007A4E87"/>
    <w:rsid w:val="007A5767"/>
    <w:rsid w:val="007A590D"/>
    <w:rsid w:val="007A65A4"/>
    <w:rsid w:val="007B0762"/>
    <w:rsid w:val="007B0A54"/>
    <w:rsid w:val="007B0A91"/>
    <w:rsid w:val="007B1F24"/>
    <w:rsid w:val="007C1CBE"/>
    <w:rsid w:val="007C327B"/>
    <w:rsid w:val="007C407C"/>
    <w:rsid w:val="007C408C"/>
    <w:rsid w:val="007C4413"/>
    <w:rsid w:val="007C4581"/>
    <w:rsid w:val="007C4BD8"/>
    <w:rsid w:val="007C4F67"/>
    <w:rsid w:val="007C6809"/>
    <w:rsid w:val="007C6E94"/>
    <w:rsid w:val="007C735B"/>
    <w:rsid w:val="007D2906"/>
    <w:rsid w:val="007D3DBF"/>
    <w:rsid w:val="007D4BAE"/>
    <w:rsid w:val="007E1CCC"/>
    <w:rsid w:val="007E3961"/>
    <w:rsid w:val="007E4044"/>
    <w:rsid w:val="007E5726"/>
    <w:rsid w:val="007E7256"/>
    <w:rsid w:val="007F0F11"/>
    <w:rsid w:val="007F16B4"/>
    <w:rsid w:val="007F26E0"/>
    <w:rsid w:val="007F4930"/>
    <w:rsid w:val="007F6B4A"/>
    <w:rsid w:val="007F796D"/>
    <w:rsid w:val="007F7C82"/>
    <w:rsid w:val="007F7E89"/>
    <w:rsid w:val="008005BA"/>
    <w:rsid w:val="008063AD"/>
    <w:rsid w:val="00806531"/>
    <w:rsid w:val="00806EBA"/>
    <w:rsid w:val="008072D9"/>
    <w:rsid w:val="0081015D"/>
    <w:rsid w:val="008128DB"/>
    <w:rsid w:val="00812A71"/>
    <w:rsid w:val="008136D1"/>
    <w:rsid w:val="008137F9"/>
    <w:rsid w:val="008214FF"/>
    <w:rsid w:val="00825446"/>
    <w:rsid w:val="00825BE5"/>
    <w:rsid w:val="00825D17"/>
    <w:rsid w:val="00825E48"/>
    <w:rsid w:val="008263F9"/>
    <w:rsid w:val="0082765E"/>
    <w:rsid w:val="008307DA"/>
    <w:rsid w:val="00832474"/>
    <w:rsid w:val="00835089"/>
    <w:rsid w:val="00840618"/>
    <w:rsid w:val="00840DB8"/>
    <w:rsid w:val="00841D64"/>
    <w:rsid w:val="00842CDE"/>
    <w:rsid w:val="00844093"/>
    <w:rsid w:val="0084660D"/>
    <w:rsid w:val="0085030B"/>
    <w:rsid w:val="008516F3"/>
    <w:rsid w:val="0085199B"/>
    <w:rsid w:val="00851BCB"/>
    <w:rsid w:val="00852710"/>
    <w:rsid w:val="008547D5"/>
    <w:rsid w:val="008552F0"/>
    <w:rsid w:val="00855AB3"/>
    <w:rsid w:val="008573FF"/>
    <w:rsid w:val="00862DE0"/>
    <w:rsid w:val="008631E9"/>
    <w:rsid w:val="00867984"/>
    <w:rsid w:val="00867E38"/>
    <w:rsid w:val="008706D3"/>
    <w:rsid w:val="00871A10"/>
    <w:rsid w:val="008721A5"/>
    <w:rsid w:val="00872B9F"/>
    <w:rsid w:val="00873448"/>
    <w:rsid w:val="00874764"/>
    <w:rsid w:val="008748A3"/>
    <w:rsid w:val="00874B28"/>
    <w:rsid w:val="00874BD4"/>
    <w:rsid w:val="008757D0"/>
    <w:rsid w:val="00877807"/>
    <w:rsid w:val="0088167C"/>
    <w:rsid w:val="0088381A"/>
    <w:rsid w:val="008848A7"/>
    <w:rsid w:val="00885DA3"/>
    <w:rsid w:val="0088693D"/>
    <w:rsid w:val="00886B8A"/>
    <w:rsid w:val="00887A7A"/>
    <w:rsid w:val="008905AD"/>
    <w:rsid w:val="008905FD"/>
    <w:rsid w:val="00897710"/>
    <w:rsid w:val="008A1FC3"/>
    <w:rsid w:val="008A339B"/>
    <w:rsid w:val="008A35E2"/>
    <w:rsid w:val="008A4FD6"/>
    <w:rsid w:val="008A6C30"/>
    <w:rsid w:val="008A7C4D"/>
    <w:rsid w:val="008B06FF"/>
    <w:rsid w:val="008B2F33"/>
    <w:rsid w:val="008C45D4"/>
    <w:rsid w:val="008C5FC0"/>
    <w:rsid w:val="008D0D28"/>
    <w:rsid w:val="008D1358"/>
    <w:rsid w:val="008D18D4"/>
    <w:rsid w:val="008D1EDF"/>
    <w:rsid w:val="008D254B"/>
    <w:rsid w:val="008D5807"/>
    <w:rsid w:val="008D6113"/>
    <w:rsid w:val="008D7196"/>
    <w:rsid w:val="008D78D5"/>
    <w:rsid w:val="008E05EE"/>
    <w:rsid w:val="008E19A7"/>
    <w:rsid w:val="008E1A4D"/>
    <w:rsid w:val="008E2D59"/>
    <w:rsid w:val="008E401A"/>
    <w:rsid w:val="008E43B6"/>
    <w:rsid w:val="008E4CED"/>
    <w:rsid w:val="008E6242"/>
    <w:rsid w:val="008E79F2"/>
    <w:rsid w:val="008F002A"/>
    <w:rsid w:val="008F0EB5"/>
    <w:rsid w:val="008F2B97"/>
    <w:rsid w:val="008F4B18"/>
    <w:rsid w:val="008F512E"/>
    <w:rsid w:val="008F674C"/>
    <w:rsid w:val="008F7264"/>
    <w:rsid w:val="0090058C"/>
    <w:rsid w:val="0090095E"/>
    <w:rsid w:val="00901FE0"/>
    <w:rsid w:val="009021CC"/>
    <w:rsid w:val="00902515"/>
    <w:rsid w:val="009025A0"/>
    <w:rsid w:val="00902CF8"/>
    <w:rsid w:val="009036B9"/>
    <w:rsid w:val="00905F02"/>
    <w:rsid w:val="009079E5"/>
    <w:rsid w:val="00910375"/>
    <w:rsid w:val="00911EEB"/>
    <w:rsid w:val="00913493"/>
    <w:rsid w:val="009146FE"/>
    <w:rsid w:val="00914E94"/>
    <w:rsid w:val="00915F43"/>
    <w:rsid w:val="00920283"/>
    <w:rsid w:val="0092258F"/>
    <w:rsid w:val="00923A06"/>
    <w:rsid w:val="00927E25"/>
    <w:rsid w:val="00931057"/>
    <w:rsid w:val="0093141A"/>
    <w:rsid w:val="009319AE"/>
    <w:rsid w:val="0093240A"/>
    <w:rsid w:val="00932675"/>
    <w:rsid w:val="00933C9E"/>
    <w:rsid w:val="009344A8"/>
    <w:rsid w:val="00935460"/>
    <w:rsid w:val="0093555C"/>
    <w:rsid w:val="009416A1"/>
    <w:rsid w:val="009451E8"/>
    <w:rsid w:val="009454DD"/>
    <w:rsid w:val="00947608"/>
    <w:rsid w:val="00947ABC"/>
    <w:rsid w:val="00950FA5"/>
    <w:rsid w:val="009517B2"/>
    <w:rsid w:val="00952781"/>
    <w:rsid w:val="009535A3"/>
    <w:rsid w:val="00955BE2"/>
    <w:rsid w:val="00956035"/>
    <w:rsid w:val="009563A9"/>
    <w:rsid w:val="009565DB"/>
    <w:rsid w:val="009614B1"/>
    <w:rsid w:val="00963267"/>
    <w:rsid w:val="009653A1"/>
    <w:rsid w:val="00965A7C"/>
    <w:rsid w:val="00965E9C"/>
    <w:rsid w:val="009668A0"/>
    <w:rsid w:val="00967D0F"/>
    <w:rsid w:val="009702C2"/>
    <w:rsid w:val="009705B3"/>
    <w:rsid w:val="00970BB3"/>
    <w:rsid w:val="00971269"/>
    <w:rsid w:val="00971A94"/>
    <w:rsid w:val="00971FBC"/>
    <w:rsid w:val="00973A62"/>
    <w:rsid w:val="009743F0"/>
    <w:rsid w:val="00974668"/>
    <w:rsid w:val="00976C2D"/>
    <w:rsid w:val="009775D6"/>
    <w:rsid w:val="0098333C"/>
    <w:rsid w:val="00983739"/>
    <w:rsid w:val="00985243"/>
    <w:rsid w:val="00990291"/>
    <w:rsid w:val="00991308"/>
    <w:rsid w:val="0099152F"/>
    <w:rsid w:val="00992CFA"/>
    <w:rsid w:val="00996772"/>
    <w:rsid w:val="009A033F"/>
    <w:rsid w:val="009A178F"/>
    <w:rsid w:val="009A4AB8"/>
    <w:rsid w:val="009A4EB6"/>
    <w:rsid w:val="009A5004"/>
    <w:rsid w:val="009A61B7"/>
    <w:rsid w:val="009A684A"/>
    <w:rsid w:val="009B1B0F"/>
    <w:rsid w:val="009B41A9"/>
    <w:rsid w:val="009B62FF"/>
    <w:rsid w:val="009B6368"/>
    <w:rsid w:val="009B6666"/>
    <w:rsid w:val="009B6B45"/>
    <w:rsid w:val="009B77D1"/>
    <w:rsid w:val="009B7C5C"/>
    <w:rsid w:val="009B7DE7"/>
    <w:rsid w:val="009B7FA8"/>
    <w:rsid w:val="009C13B2"/>
    <w:rsid w:val="009C16E9"/>
    <w:rsid w:val="009C1B18"/>
    <w:rsid w:val="009C2EBD"/>
    <w:rsid w:val="009C4E9F"/>
    <w:rsid w:val="009C51E9"/>
    <w:rsid w:val="009C5AD2"/>
    <w:rsid w:val="009C5B7C"/>
    <w:rsid w:val="009C5FCA"/>
    <w:rsid w:val="009C7132"/>
    <w:rsid w:val="009D0578"/>
    <w:rsid w:val="009D164F"/>
    <w:rsid w:val="009D250E"/>
    <w:rsid w:val="009D43C7"/>
    <w:rsid w:val="009D4F9B"/>
    <w:rsid w:val="009D7747"/>
    <w:rsid w:val="009D7C29"/>
    <w:rsid w:val="009E00BB"/>
    <w:rsid w:val="009E09D9"/>
    <w:rsid w:val="009E1CFD"/>
    <w:rsid w:val="009E25AE"/>
    <w:rsid w:val="009E25E3"/>
    <w:rsid w:val="009E4CE7"/>
    <w:rsid w:val="009E5965"/>
    <w:rsid w:val="009E6882"/>
    <w:rsid w:val="009E7B3A"/>
    <w:rsid w:val="009F1F73"/>
    <w:rsid w:val="009F27D5"/>
    <w:rsid w:val="009F28BF"/>
    <w:rsid w:val="009F29E9"/>
    <w:rsid w:val="009F2BA8"/>
    <w:rsid w:val="009F30D6"/>
    <w:rsid w:val="009F605C"/>
    <w:rsid w:val="009F637D"/>
    <w:rsid w:val="009F6C34"/>
    <w:rsid w:val="009F72A7"/>
    <w:rsid w:val="009F7534"/>
    <w:rsid w:val="009F7D03"/>
    <w:rsid w:val="009F7E9B"/>
    <w:rsid w:val="00A00106"/>
    <w:rsid w:val="00A00B5A"/>
    <w:rsid w:val="00A01D76"/>
    <w:rsid w:val="00A04139"/>
    <w:rsid w:val="00A0416A"/>
    <w:rsid w:val="00A0441A"/>
    <w:rsid w:val="00A0481A"/>
    <w:rsid w:val="00A04950"/>
    <w:rsid w:val="00A04A8B"/>
    <w:rsid w:val="00A05215"/>
    <w:rsid w:val="00A056A9"/>
    <w:rsid w:val="00A05869"/>
    <w:rsid w:val="00A0654D"/>
    <w:rsid w:val="00A0775B"/>
    <w:rsid w:val="00A11471"/>
    <w:rsid w:val="00A126A0"/>
    <w:rsid w:val="00A133AE"/>
    <w:rsid w:val="00A209B7"/>
    <w:rsid w:val="00A22C12"/>
    <w:rsid w:val="00A24656"/>
    <w:rsid w:val="00A24A4D"/>
    <w:rsid w:val="00A262A9"/>
    <w:rsid w:val="00A27FAB"/>
    <w:rsid w:val="00A27FE0"/>
    <w:rsid w:val="00A311E5"/>
    <w:rsid w:val="00A32106"/>
    <w:rsid w:val="00A32176"/>
    <w:rsid w:val="00A3226C"/>
    <w:rsid w:val="00A33562"/>
    <w:rsid w:val="00A33941"/>
    <w:rsid w:val="00A33C21"/>
    <w:rsid w:val="00A35BC6"/>
    <w:rsid w:val="00A40166"/>
    <w:rsid w:val="00A4032E"/>
    <w:rsid w:val="00A4089F"/>
    <w:rsid w:val="00A40B95"/>
    <w:rsid w:val="00A4230C"/>
    <w:rsid w:val="00A45001"/>
    <w:rsid w:val="00A46BF7"/>
    <w:rsid w:val="00A50381"/>
    <w:rsid w:val="00A50BE0"/>
    <w:rsid w:val="00A51328"/>
    <w:rsid w:val="00A60A75"/>
    <w:rsid w:val="00A656F0"/>
    <w:rsid w:val="00A67B0D"/>
    <w:rsid w:val="00A70032"/>
    <w:rsid w:val="00A705D5"/>
    <w:rsid w:val="00A714E1"/>
    <w:rsid w:val="00A725A4"/>
    <w:rsid w:val="00A738EA"/>
    <w:rsid w:val="00A806F8"/>
    <w:rsid w:val="00A80BA2"/>
    <w:rsid w:val="00A80FFF"/>
    <w:rsid w:val="00A824AA"/>
    <w:rsid w:val="00A82AFF"/>
    <w:rsid w:val="00A8615F"/>
    <w:rsid w:val="00A86228"/>
    <w:rsid w:val="00A862FC"/>
    <w:rsid w:val="00A86ED4"/>
    <w:rsid w:val="00A90604"/>
    <w:rsid w:val="00A92344"/>
    <w:rsid w:val="00A92E97"/>
    <w:rsid w:val="00A95C52"/>
    <w:rsid w:val="00A964B3"/>
    <w:rsid w:val="00A969B9"/>
    <w:rsid w:val="00A96A61"/>
    <w:rsid w:val="00A971F7"/>
    <w:rsid w:val="00AA1CF9"/>
    <w:rsid w:val="00AA1D5B"/>
    <w:rsid w:val="00AA1F79"/>
    <w:rsid w:val="00AA395B"/>
    <w:rsid w:val="00AA476A"/>
    <w:rsid w:val="00AA4C67"/>
    <w:rsid w:val="00AB0D10"/>
    <w:rsid w:val="00AB3E01"/>
    <w:rsid w:val="00AB43C1"/>
    <w:rsid w:val="00AB5AA8"/>
    <w:rsid w:val="00AB6602"/>
    <w:rsid w:val="00AB67D3"/>
    <w:rsid w:val="00AC0049"/>
    <w:rsid w:val="00AC0784"/>
    <w:rsid w:val="00AC080F"/>
    <w:rsid w:val="00AC0868"/>
    <w:rsid w:val="00AC1918"/>
    <w:rsid w:val="00AC3AF3"/>
    <w:rsid w:val="00AC3B0E"/>
    <w:rsid w:val="00AC53B1"/>
    <w:rsid w:val="00AC6919"/>
    <w:rsid w:val="00AC6E8E"/>
    <w:rsid w:val="00AC7CF4"/>
    <w:rsid w:val="00AC7FA4"/>
    <w:rsid w:val="00AD1FF9"/>
    <w:rsid w:val="00AD20F6"/>
    <w:rsid w:val="00AD21E4"/>
    <w:rsid w:val="00AD30ED"/>
    <w:rsid w:val="00AD362E"/>
    <w:rsid w:val="00AD48F4"/>
    <w:rsid w:val="00AD752A"/>
    <w:rsid w:val="00AE15A2"/>
    <w:rsid w:val="00AE3B1C"/>
    <w:rsid w:val="00AE478A"/>
    <w:rsid w:val="00AE4C4E"/>
    <w:rsid w:val="00AE5E4F"/>
    <w:rsid w:val="00AE7EDF"/>
    <w:rsid w:val="00AF16B5"/>
    <w:rsid w:val="00AF1A64"/>
    <w:rsid w:val="00AF1A7D"/>
    <w:rsid w:val="00AF46E2"/>
    <w:rsid w:val="00AF61A6"/>
    <w:rsid w:val="00B015E0"/>
    <w:rsid w:val="00B0329A"/>
    <w:rsid w:val="00B037BD"/>
    <w:rsid w:val="00B03B0A"/>
    <w:rsid w:val="00B040F5"/>
    <w:rsid w:val="00B05389"/>
    <w:rsid w:val="00B059F5"/>
    <w:rsid w:val="00B07180"/>
    <w:rsid w:val="00B12575"/>
    <w:rsid w:val="00B13D30"/>
    <w:rsid w:val="00B14F3F"/>
    <w:rsid w:val="00B16815"/>
    <w:rsid w:val="00B20884"/>
    <w:rsid w:val="00B20AD7"/>
    <w:rsid w:val="00B22122"/>
    <w:rsid w:val="00B221B5"/>
    <w:rsid w:val="00B23684"/>
    <w:rsid w:val="00B2482C"/>
    <w:rsid w:val="00B3167C"/>
    <w:rsid w:val="00B32CDE"/>
    <w:rsid w:val="00B36096"/>
    <w:rsid w:val="00B36D3E"/>
    <w:rsid w:val="00B36F42"/>
    <w:rsid w:val="00B37394"/>
    <w:rsid w:val="00B376AF"/>
    <w:rsid w:val="00B425C4"/>
    <w:rsid w:val="00B42820"/>
    <w:rsid w:val="00B434F4"/>
    <w:rsid w:val="00B43E9A"/>
    <w:rsid w:val="00B46C46"/>
    <w:rsid w:val="00B518FE"/>
    <w:rsid w:val="00B51E76"/>
    <w:rsid w:val="00B52504"/>
    <w:rsid w:val="00B538E4"/>
    <w:rsid w:val="00B54CDB"/>
    <w:rsid w:val="00B55409"/>
    <w:rsid w:val="00B5729B"/>
    <w:rsid w:val="00B57A4E"/>
    <w:rsid w:val="00B6063B"/>
    <w:rsid w:val="00B60D24"/>
    <w:rsid w:val="00B617FD"/>
    <w:rsid w:val="00B62072"/>
    <w:rsid w:val="00B65B7B"/>
    <w:rsid w:val="00B66DCF"/>
    <w:rsid w:val="00B73687"/>
    <w:rsid w:val="00B75CF2"/>
    <w:rsid w:val="00B7627C"/>
    <w:rsid w:val="00B767F7"/>
    <w:rsid w:val="00B82EA0"/>
    <w:rsid w:val="00B834D8"/>
    <w:rsid w:val="00B8390B"/>
    <w:rsid w:val="00B83E5C"/>
    <w:rsid w:val="00B85823"/>
    <w:rsid w:val="00B86A97"/>
    <w:rsid w:val="00B86C93"/>
    <w:rsid w:val="00B87D81"/>
    <w:rsid w:val="00B92FD8"/>
    <w:rsid w:val="00B93D4D"/>
    <w:rsid w:val="00B95C4F"/>
    <w:rsid w:val="00B9620E"/>
    <w:rsid w:val="00B96485"/>
    <w:rsid w:val="00B96890"/>
    <w:rsid w:val="00B96BBE"/>
    <w:rsid w:val="00B97310"/>
    <w:rsid w:val="00BA0AFF"/>
    <w:rsid w:val="00BA0C58"/>
    <w:rsid w:val="00BA152E"/>
    <w:rsid w:val="00BA4102"/>
    <w:rsid w:val="00BA4402"/>
    <w:rsid w:val="00BA44F0"/>
    <w:rsid w:val="00BA4712"/>
    <w:rsid w:val="00BA4785"/>
    <w:rsid w:val="00BA4B46"/>
    <w:rsid w:val="00BA6CA2"/>
    <w:rsid w:val="00BA6ED8"/>
    <w:rsid w:val="00BA79E2"/>
    <w:rsid w:val="00BB0021"/>
    <w:rsid w:val="00BB078A"/>
    <w:rsid w:val="00BB2B00"/>
    <w:rsid w:val="00BB6CCC"/>
    <w:rsid w:val="00BB783B"/>
    <w:rsid w:val="00BC034A"/>
    <w:rsid w:val="00BC13DD"/>
    <w:rsid w:val="00BC234C"/>
    <w:rsid w:val="00BC6AFB"/>
    <w:rsid w:val="00BC701F"/>
    <w:rsid w:val="00BD0587"/>
    <w:rsid w:val="00BD31A0"/>
    <w:rsid w:val="00BD3C3D"/>
    <w:rsid w:val="00BD44DF"/>
    <w:rsid w:val="00BD5BFA"/>
    <w:rsid w:val="00BD764A"/>
    <w:rsid w:val="00BD7B96"/>
    <w:rsid w:val="00BE0BF4"/>
    <w:rsid w:val="00BE0D86"/>
    <w:rsid w:val="00BE0D8A"/>
    <w:rsid w:val="00BE1A14"/>
    <w:rsid w:val="00BE2641"/>
    <w:rsid w:val="00BE2975"/>
    <w:rsid w:val="00BE3489"/>
    <w:rsid w:val="00BE3555"/>
    <w:rsid w:val="00BE3CC3"/>
    <w:rsid w:val="00BE4ADA"/>
    <w:rsid w:val="00BE5D08"/>
    <w:rsid w:val="00BE6B45"/>
    <w:rsid w:val="00BF3D83"/>
    <w:rsid w:val="00BF4395"/>
    <w:rsid w:val="00BF7817"/>
    <w:rsid w:val="00C00382"/>
    <w:rsid w:val="00C00495"/>
    <w:rsid w:val="00C013C1"/>
    <w:rsid w:val="00C01ACB"/>
    <w:rsid w:val="00C024F7"/>
    <w:rsid w:val="00C11776"/>
    <w:rsid w:val="00C11869"/>
    <w:rsid w:val="00C12109"/>
    <w:rsid w:val="00C12981"/>
    <w:rsid w:val="00C1331F"/>
    <w:rsid w:val="00C1604A"/>
    <w:rsid w:val="00C16542"/>
    <w:rsid w:val="00C16621"/>
    <w:rsid w:val="00C17ED0"/>
    <w:rsid w:val="00C17FD2"/>
    <w:rsid w:val="00C218FB"/>
    <w:rsid w:val="00C2358D"/>
    <w:rsid w:val="00C25369"/>
    <w:rsid w:val="00C2633E"/>
    <w:rsid w:val="00C26931"/>
    <w:rsid w:val="00C3183E"/>
    <w:rsid w:val="00C36795"/>
    <w:rsid w:val="00C36BA9"/>
    <w:rsid w:val="00C41296"/>
    <w:rsid w:val="00C44202"/>
    <w:rsid w:val="00C44D2B"/>
    <w:rsid w:val="00C4503F"/>
    <w:rsid w:val="00C45AB5"/>
    <w:rsid w:val="00C46EF4"/>
    <w:rsid w:val="00C50FA0"/>
    <w:rsid w:val="00C51537"/>
    <w:rsid w:val="00C5305A"/>
    <w:rsid w:val="00C545C3"/>
    <w:rsid w:val="00C5476F"/>
    <w:rsid w:val="00C568E0"/>
    <w:rsid w:val="00C57520"/>
    <w:rsid w:val="00C60473"/>
    <w:rsid w:val="00C60520"/>
    <w:rsid w:val="00C60F83"/>
    <w:rsid w:val="00C62812"/>
    <w:rsid w:val="00C63D18"/>
    <w:rsid w:val="00C64213"/>
    <w:rsid w:val="00C657EB"/>
    <w:rsid w:val="00C65F00"/>
    <w:rsid w:val="00C66506"/>
    <w:rsid w:val="00C66784"/>
    <w:rsid w:val="00C70765"/>
    <w:rsid w:val="00C73BFB"/>
    <w:rsid w:val="00C74217"/>
    <w:rsid w:val="00C751E8"/>
    <w:rsid w:val="00C754AD"/>
    <w:rsid w:val="00C7607F"/>
    <w:rsid w:val="00C76CAA"/>
    <w:rsid w:val="00C772FF"/>
    <w:rsid w:val="00C8047A"/>
    <w:rsid w:val="00C806EE"/>
    <w:rsid w:val="00C81AFB"/>
    <w:rsid w:val="00C81E38"/>
    <w:rsid w:val="00C83134"/>
    <w:rsid w:val="00C83B17"/>
    <w:rsid w:val="00C86771"/>
    <w:rsid w:val="00C872DE"/>
    <w:rsid w:val="00C877C2"/>
    <w:rsid w:val="00C877DA"/>
    <w:rsid w:val="00C9186D"/>
    <w:rsid w:val="00C931E3"/>
    <w:rsid w:val="00C93E8A"/>
    <w:rsid w:val="00C9501B"/>
    <w:rsid w:val="00C952EE"/>
    <w:rsid w:val="00C96B51"/>
    <w:rsid w:val="00CA210A"/>
    <w:rsid w:val="00CA28FE"/>
    <w:rsid w:val="00CA4164"/>
    <w:rsid w:val="00CA68BF"/>
    <w:rsid w:val="00CB2633"/>
    <w:rsid w:val="00CB2E5A"/>
    <w:rsid w:val="00CB379A"/>
    <w:rsid w:val="00CB392B"/>
    <w:rsid w:val="00CB406E"/>
    <w:rsid w:val="00CB539E"/>
    <w:rsid w:val="00CB5E0B"/>
    <w:rsid w:val="00CB6B03"/>
    <w:rsid w:val="00CC01C1"/>
    <w:rsid w:val="00CC1642"/>
    <w:rsid w:val="00CC17D9"/>
    <w:rsid w:val="00CC2D6C"/>
    <w:rsid w:val="00CC303D"/>
    <w:rsid w:val="00CC3F89"/>
    <w:rsid w:val="00CC45C0"/>
    <w:rsid w:val="00CC6074"/>
    <w:rsid w:val="00CC7DF8"/>
    <w:rsid w:val="00CC7F39"/>
    <w:rsid w:val="00CD0EA1"/>
    <w:rsid w:val="00CD4504"/>
    <w:rsid w:val="00CD4A34"/>
    <w:rsid w:val="00CD4E60"/>
    <w:rsid w:val="00CD50E0"/>
    <w:rsid w:val="00CD694E"/>
    <w:rsid w:val="00CE0F91"/>
    <w:rsid w:val="00CE1383"/>
    <w:rsid w:val="00CE2918"/>
    <w:rsid w:val="00CE3489"/>
    <w:rsid w:val="00CF16C9"/>
    <w:rsid w:val="00CF4760"/>
    <w:rsid w:val="00CF47D4"/>
    <w:rsid w:val="00D00F9E"/>
    <w:rsid w:val="00D012D8"/>
    <w:rsid w:val="00D027DF"/>
    <w:rsid w:val="00D0397A"/>
    <w:rsid w:val="00D053AC"/>
    <w:rsid w:val="00D06090"/>
    <w:rsid w:val="00D06A14"/>
    <w:rsid w:val="00D131B9"/>
    <w:rsid w:val="00D14E25"/>
    <w:rsid w:val="00D15937"/>
    <w:rsid w:val="00D20013"/>
    <w:rsid w:val="00D21C58"/>
    <w:rsid w:val="00D221E1"/>
    <w:rsid w:val="00D22D40"/>
    <w:rsid w:val="00D2350D"/>
    <w:rsid w:val="00D239BA"/>
    <w:rsid w:val="00D24033"/>
    <w:rsid w:val="00D24E82"/>
    <w:rsid w:val="00D26693"/>
    <w:rsid w:val="00D27544"/>
    <w:rsid w:val="00D27DD5"/>
    <w:rsid w:val="00D32DD5"/>
    <w:rsid w:val="00D33975"/>
    <w:rsid w:val="00D356C2"/>
    <w:rsid w:val="00D35C77"/>
    <w:rsid w:val="00D35F6E"/>
    <w:rsid w:val="00D369F1"/>
    <w:rsid w:val="00D4053A"/>
    <w:rsid w:val="00D43015"/>
    <w:rsid w:val="00D43EEE"/>
    <w:rsid w:val="00D45B32"/>
    <w:rsid w:val="00D46BDF"/>
    <w:rsid w:val="00D47119"/>
    <w:rsid w:val="00D47203"/>
    <w:rsid w:val="00D4786F"/>
    <w:rsid w:val="00D478F1"/>
    <w:rsid w:val="00D47BBB"/>
    <w:rsid w:val="00D52FEB"/>
    <w:rsid w:val="00D53308"/>
    <w:rsid w:val="00D54092"/>
    <w:rsid w:val="00D5418F"/>
    <w:rsid w:val="00D54B34"/>
    <w:rsid w:val="00D5541A"/>
    <w:rsid w:val="00D5555F"/>
    <w:rsid w:val="00D55C3C"/>
    <w:rsid w:val="00D575F7"/>
    <w:rsid w:val="00D57B2C"/>
    <w:rsid w:val="00D60080"/>
    <w:rsid w:val="00D60798"/>
    <w:rsid w:val="00D60928"/>
    <w:rsid w:val="00D626C2"/>
    <w:rsid w:val="00D62C03"/>
    <w:rsid w:val="00D660EC"/>
    <w:rsid w:val="00D6625E"/>
    <w:rsid w:val="00D66A76"/>
    <w:rsid w:val="00D674EA"/>
    <w:rsid w:val="00D703D7"/>
    <w:rsid w:val="00D71970"/>
    <w:rsid w:val="00D74579"/>
    <w:rsid w:val="00D745F6"/>
    <w:rsid w:val="00D7478A"/>
    <w:rsid w:val="00D75D1F"/>
    <w:rsid w:val="00D84D4F"/>
    <w:rsid w:val="00D84E10"/>
    <w:rsid w:val="00D85F84"/>
    <w:rsid w:val="00D87CB6"/>
    <w:rsid w:val="00D900B8"/>
    <w:rsid w:val="00D92728"/>
    <w:rsid w:val="00D93FA6"/>
    <w:rsid w:val="00D9764E"/>
    <w:rsid w:val="00DA0EBF"/>
    <w:rsid w:val="00DA3972"/>
    <w:rsid w:val="00DA55F4"/>
    <w:rsid w:val="00DA60A3"/>
    <w:rsid w:val="00DA676C"/>
    <w:rsid w:val="00DB3C60"/>
    <w:rsid w:val="00DB7E93"/>
    <w:rsid w:val="00DC04C9"/>
    <w:rsid w:val="00DC11C9"/>
    <w:rsid w:val="00DC3150"/>
    <w:rsid w:val="00DC3E59"/>
    <w:rsid w:val="00DC6B72"/>
    <w:rsid w:val="00DC6E03"/>
    <w:rsid w:val="00DC7F39"/>
    <w:rsid w:val="00DD0125"/>
    <w:rsid w:val="00DD1D40"/>
    <w:rsid w:val="00DD364F"/>
    <w:rsid w:val="00DD4BD0"/>
    <w:rsid w:val="00DD59B6"/>
    <w:rsid w:val="00DD7097"/>
    <w:rsid w:val="00DD7594"/>
    <w:rsid w:val="00DD7ECB"/>
    <w:rsid w:val="00DE0C84"/>
    <w:rsid w:val="00DE33A9"/>
    <w:rsid w:val="00DE445F"/>
    <w:rsid w:val="00DE450A"/>
    <w:rsid w:val="00DE49A3"/>
    <w:rsid w:val="00DE6104"/>
    <w:rsid w:val="00DE62F2"/>
    <w:rsid w:val="00DE66E2"/>
    <w:rsid w:val="00DF0C6B"/>
    <w:rsid w:val="00DF1E32"/>
    <w:rsid w:val="00DF4ECD"/>
    <w:rsid w:val="00DF618C"/>
    <w:rsid w:val="00DF62AA"/>
    <w:rsid w:val="00DF681C"/>
    <w:rsid w:val="00DF774A"/>
    <w:rsid w:val="00E0077E"/>
    <w:rsid w:val="00E01929"/>
    <w:rsid w:val="00E01B50"/>
    <w:rsid w:val="00E01BD2"/>
    <w:rsid w:val="00E0368E"/>
    <w:rsid w:val="00E0550E"/>
    <w:rsid w:val="00E077DD"/>
    <w:rsid w:val="00E07F11"/>
    <w:rsid w:val="00E07FEC"/>
    <w:rsid w:val="00E10A1B"/>
    <w:rsid w:val="00E10BA3"/>
    <w:rsid w:val="00E110CC"/>
    <w:rsid w:val="00E1244D"/>
    <w:rsid w:val="00E126F5"/>
    <w:rsid w:val="00E140F3"/>
    <w:rsid w:val="00E14542"/>
    <w:rsid w:val="00E149E8"/>
    <w:rsid w:val="00E153D6"/>
    <w:rsid w:val="00E15EB8"/>
    <w:rsid w:val="00E227EB"/>
    <w:rsid w:val="00E238F1"/>
    <w:rsid w:val="00E2429B"/>
    <w:rsid w:val="00E26BC7"/>
    <w:rsid w:val="00E30D02"/>
    <w:rsid w:val="00E31C5C"/>
    <w:rsid w:val="00E31D5D"/>
    <w:rsid w:val="00E32C57"/>
    <w:rsid w:val="00E33058"/>
    <w:rsid w:val="00E33C6F"/>
    <w:rsid w:val="00E35100"/>
    <w:rsid w:val="00E37DAD"/>
    <w:rsid w:val="00E41A53"/>
    <w:rsid w:val="00E434CD"/>
    <w:rsid w:val="00E44637"/>
    <w:rsid w:val="00E446FB"/>
    <w:rsid w:val="00E45183"/>
    <w:rsid w:val="00E50B90"/>
    <w:rsid w:val="00E54E2B"/>
    <w:rsid w:val="00E565FC"/>
    <w:rsid w:val="00E577D7"/>
    <w:rsid w:val="00E61CA4"/>
    <w:rsid w:val="00E63E5D"/>
    <w:rsid w:val="00E65771"/>
    <w:rsid w:val="00E65BBC"/>
    <w:rsid w:val="00E663FD"/>
    <w:rsid w:val="00E665F8"/>
    <w:rsid w:val="00E671CF"/>
    <w:rsid w:val="00E71516"/>
    <w:rsid w:val="00E734CE"/>
    <w:rsid w:val="00E75F29"/>
    <w:rsid w:val="00E77E4B"/>
    <w:rsid w:val="00E80422"/>
    <w:rsid w:val="00E8181F"/>
    <w:rsid w:val="00E831D8"/>
    <w:rsid w:val="00E83D7E"/>
    <w:rsid w:val="00E84C4A"/>
    <w:rsid w:val="00E872DE"/>
    <w:rsid w:val="00E87428"/>
    <w:rsid w:val="00E932BF"/>
    <w:rsid w:val="00E94125"/>
    <w:rsid w:val="00E95114"/>
    <w:rsid w:val="00E956F1"/>
    <w:rsid w:val="00E95D5E"/>
    <w:rsid w:val="00E974A6"/>
    <w:rsid w:val="00E9790D"/>
    <w:rsid w:val="00EA045F"/>
    <w:rsid w:val="00EA1246"/>
    <w:rsid w:val="00EA23ED"/>
    <w:rsid w:val="00EA2895"/>
    <w:rsid w:val="00EA2BB5"/>
    <w:rsid w:val="00EA712A"/>
    <w:rsid w:val="00EA7E3E"/>
    <w:rsid w:val="00EB0C23"/>
    <w:rsid w:val="00EB0F09"/>
    <w:rsid w:val="00EB12D2"/>
    <w:rsid w:val="00EB19A1"/>
    <w:rsid w:val="00EB1CA6"/>
    <w:rsid w:val="00EB6059"/>
    <w:rsid w:val="00EB789A"/>
    <w:rsid w:val="00EC11D9"/>
    <w:rsid w:val="00EC1CC2"/>
    <w:rsid w:val="00EC28CE"/>
    <w:rsid w:val="00EC3E0B"/>
    <w:rsid w:val="00EC7111"/>
    <w:rsid w:val="00EC7AF5"/>
    <w:rsid w:val="00ED0372"/>
    <w:rsid w:val="00ED1E7F"/>
    <w:rsid w:val="00ED20EC"/>
    <w:rsid w:val="00ED38CE"/>
    <w:rsid w:val="00EE0856"/>
    <w:rsid w:val="00EE0A93"/>
    <w:rsid w:val="00EE17D4"/>
    <w:rsid w:val="00EE1F12"/>
    <w:rsid w:val="00EE3662"/>
    <w:rsid w:val="00EE39A2"/>
    <w:rsid w:val="00EE4DCA"/>
    <w:rsid w:val="00EE577C"/>
    <w:rsid w:val="00EE61C2"/>
    <w:rsid w:val="00EE703F"/>
    <w:rsid w:val="00EF22C5"/>
    <w:rsid w:val="00EF35BF"/>
    <w:rsid w:val="00EF4580"/>
    <w:rsid w:val="00EF4CAC"/>
    <w:rsid w:val="00EF5175"/>
    <w:rsid w:val="00EF55D5"/>
    <w:rsid w:val="00EF5F1D"/>
    <w:rsid w:val="00EF6673"/>
    <w:rsid w:val="00EF76C3"/>
    <w:rsid w:val="00F0006F"/>
    <w:rsid w:val="00F0073A"/>
    <w:rsid w:val="00F023F6"/>
    <w:rsid w:val="00F03603"/>
    <w:rsid w:val="00F03B68"/>
    <w:rsid w:val="00F0439A"/>
    <w:rsid w:val="00F04777"/>
    <w:rsid w:val="00F048CC"/>
    <w:rsid w:val="00F053DC"/>
    <w:rsid w:val="00F05781"/>
    <w:rsid w:val="00F05A58"/>
    <w:rsid w:val="00F05AF1"/>
    <w:rsid w:val="00F06552"/>
    <w:rsid w:val="00F06993"/>
    <w:rsid w:val="00F07092"/>
    <w:rsid w:val="00F117DC"/>
    <w:rsid w:val="00F12C74"/>
    <w:rsid w:val="00F13237"/>
    <w:rsid w:val="00F145F6"/>
    <w:rsid w:val="00F160CD"/>
    <w:rsid w:val="00F179A8"/>
    <w:rsid w:val="00F202C1"/>
    <w:rsid w:val="00F20673"/>
    <w:rsid w:val="00F20E51"/>
    <w:rsid w:val="00F21DA8"/>
    <w:rsid w:val="00F24E70"/>
    <w:rsid w:val="00F2539A"/>
    <w:rsid w:val="00F253B3"/>
    <w:rsid w:val="00F2570C"/>
    <w:rsid w:val="00F278D5"/>
    <w:rsid w:val="00F27951"/>
    <w:rsid w:val="00F31338"/>
    <w:rsid w:val="00F349EF"/>
    <w:rsid w:val="00F34B00"/>
    <w:rsid w:val="00F36790"/>
    <w:rsid w:val="00F445E6"/>
    <w:rsid w:val="00F44AFB"/>
    <w:rsid w:val="00F44FF0"/>
    <w:rsid w:val="00F475C3"/>
    <w:rsid w:val="00F504C9"/>
    <w:rsid w:val="00F50FE4"/>
    <w:rsid w:val="00F516A4"/>
    <w:rsid w:val="00F536A8"/>
    <w:rsid w:val="00F549B0"/>
    <w:rsid w:val="00F54D79"/>
    <w:rsid w:val="00F56385"/>
    <w:rsid w:val="00F564CF"/>
    <w:rsid w:val="00F6058C"/>
    <w:rsid w:val="00F6116E"/>
    <w:rsid w:val="00F6143A"/>
    <w:rsid w:val="00F63807"/>
    <w:rsid w:val="00F644B3"/>
    <w:rsid w:val="00F65024"/>
    <w:rsid w:val="00F70C6B"/>
    <w:rsid w:val="00F70FCB"/>
    <w:rsid w:val="00F72E42"/>
    <w:rsid w:val="00F77E0B"/>
    <w:rsid w:val="00F82916"/>
    <w:rsid w:val="00F82924"/>
    <w:rsid w:val="00F82FCC"/>
    <w:rsid w:val="00F8357A"/>
    <w:rsid w:val="00F83DDF"/>
    <w:rsid w:val="00F84FE6"/>
    <w:rsid w:val="00F85D3E"/>
    <w:rsid w:val="00F874E1"/>
    <w:rsid w:val="00F901D7"/>
    <w:rsid w:val="00F92D84"/>
    <w:rsid w:val="00F95193"/>
    <w:rsid w:val="00F9537B"/>
    <w:rsid w:val="00F95E23"/>
    <w:rsid w:val="00FA3293"/>
    <w:rsid w:val="00FA33D2"/>
    <w:rsid w:val="00FA4A6C"/>
    <w:rsid w:val="00FA5A2D"/>
    <w:rsid w:val="00FA6F9B"/>
    <w:rsid w:val="00FA7635"/>
    <w:rsid w:val="00FB1B50"/>
    <w:rsid w:val="00FB1F3A"/>
    <w:rsid w:val="00FB2C3A"/>
    <w:rsid w:val="00FB380E"/>
    <w:rsid w:val="00FB4F78"/>
    <w:rsid w:val="00FB5E77"/>
    <w:rsid w:val="00FB6100"/>
    <w:rsid w:val="00FB7E0A"/>
    <w:rsid w:val="00FC078A"/>
    <w:rsid w:val="00FC0B0D"/>
    <w:rsid w:val="00FC3C6C"/>
    <w:rsid w:val="00FC4241"/>
    <w:rsid w:val="00FC4A44"/>
    <w:rsid w:val="00FC5AF1"/>
    <w:rsid w:val="00FC5E67"/>
    <w:rsid w:val="00FC6825"/>
    <w:rsid w:val="00FD310A"/>
    <w:rsid w:val="00FD768E"/>
    <w:rsid w:val="00FD7D17"/>
    <w:rsid w:val="00FD7F0D"/>
    <w:rsid w:val="00FE0152"/>
    <w:rsid w:val="00FE13D2"/>
    <w:rsid w:val="00FE4156"/>
    <w:rsid w:val="00FE527A"/>
    <w:rsid w:val="00FE54FD"/>
    <w:rsid w:val="00FE6719"/>
    <w:rsid w:val="00FE79F2"/>
    <w:rsid w:val="00FF1713"/>
    <w:rsid w:val="00FF3781"/>
    <w:rsid w:val="00FF49D5"/>
    <w:rsid w:val="00FF4B7A"/>
    <w:rsid w:val="00FF511C"/>
    <w:rsid w:val="00FF54CD"/>
    <w:rsid w:val="00FF6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5B4A062-A2E9-4A7C-AE22-8EEB3F56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27"/>
    <w:pPr>
      <w:spacing w:after="200" w:line="276" w:lineRule="auto"/>
    </w:pPr>
    <w:rPr>
      <w:sz w:val="22"/>
      <w:szCs w:val="22"/>
      <w:lang w:val="en-ZA"/>
    </w:rPr>
  </w:style>
  <w:style w:type="paragraph" w:styleId="Heading2">
    <w:name w:val="heading 2"/>
    <w:basedOn w:val="Normal"/>
    <w:link w:val="Heading2Char"/>
    <w:uiPriority w:val="9"/>
    <w:qFormat/>
    <w:rsid w:val="00200BAC"/>
    <w:pPr>
      <w:spacing w:before="100" w:beforeAutospacing="1" w:after="100" w:afterAutospacing="1" w:line="240" w:lineRule="auto"/>
      <w:outlineLvl w:val="1"/>
    </w:pPr>
    <w:rPr>
      <w:rFonts w:ascii="Times New Roman" w:hAnsi="Times New Roman" w:cs="Times New Roman"/>
      <w:b/>
      <w:bCs/>
      <w:sz w:val="36"/>
      <w:szCs w:val="3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F62AA"/>
    <w:pPr>
      <w:spacing w:after="0" w:line="240" w:lineRule="auto"/>
    </w:pPr>
    <w:rPr>
      <w:sz w:val="20"/>
      <w:szCs w:val="20"/>
    </w:rPr>
  </w:style>
  <w:style w:type="character" w:customStyle="1" w:styleId="FootnoteTextChar">
    <w:name w:val="Footnote Text Char"/>
    <w:link w:val="FootnoteText"/>
    <w:uiPriority w:val="99"/>
    <w:rsid w:val="00DF62AA"/>
    <w:rPr>
      <w:sz w:val="20"/>
      <w:szCs w:val="20"/>
    </w:rPr>
  </w:style>
  <w:style w:type="character" w:styleId="FootnoteReference">
    <w:name w:val="footnote reference"/>
    <w:uiPriority w:val="99"/>
    <w:unhideWhenUsed/>
    <w:rsid w:val="00DF62AA"/>
    <w:rPr>
      <w:vertAlign w:val="superscript"/>
    </w:rPr>
  </w:style>
  <w:style w:type="paragraph" w:styleId="MediumGrid1-Accent2">
    <w:name w:val="Medium Grid 1 Accent 2"/>
    <w:basedOn w:val="Normal"/>
    <w:uiPriority w:val="34"/>
    <w:qFormat/>
    <w:rsid w:val="004A2C58"/>
    <w:pPr>
      <w:ind w:left="720"/>
      <w:contextualSpacing/>
    </w:pPr>
  </w:style>
  <w:style w:type="paragraph" w:styleId="BalloonText">
    <w:name w:val="Balloon Text"/>
    <w:basedOn w:val="Normal"/>
    <w:link w:val="BalloonTextChar"/>
    <w:uiPriority w:val="99"/>
    <w:semiHidden/>
    <w:unhideWhenUsed/>
    <w:rsid w:val="002D62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625F"/>
    <w:rPr>
      <w:rFonts w:ascii="Tahoma" w:hAnsi="Tahoma" w:cs="Tahoma"/>
      <w:sz w:val="16"/>
      <w:szCs w:val="16"/>
    </w:rPr>
  </w:style>
  <w:style w:type="paragraph" w:styleId="Header">
    <w:name w:val="header"/>
    <w:basedOn w:val="Normal"/>
    <w:link w:val="HeaderChar"/>
    <w:uiPriority w:val="99"/>
    <w:unhideWhenUsed/>
    <w:rsid w:val="002D6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25F"/>
  </w:style>
  <w:style w:type="paragraph" w:styleId="Footer">
    <w:name w:val="footer"/>
    <w:basedOn w:val="Normal"/>
    <w:link w:val="FooterChar"/>
    <w:uiPriority w:val="99"/>
    <w:unhideWhenUsed/>
    <w:rsid w:val="002D6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25F"/>
  </w:style>
  <w:style w:type="paragraph" w:styleId="MediumShading1-Accent1">
    <w:name w:val="Medium Shading 1 Accent 1"/>
    <w:uiPriority w:val="1"/>
    <w:qFormat/>
    <w:rsid w:val="0098333C"/>
    <w:rPr>
      <w:sz w:val="22"/>
      <w:szCs w:val="22"/>
      <w:lang w:val="en-ZA"/>
    </w:rPr>
  </w:style>
  <w:style w:type="character" w:styleId="CommentReference">
    <w:name w:val="annotation reference"/>
    <w:uiPriority w:val="99"/>
    <w:semiHidden/>
    <w:unhideWhenUsed/>
    <w:rsid w:val="00487F85"/>
    <w:rPr>
      <w:sz w:val="16"/>
      <w:szCs w:val="16"/>
    </w:rPr>
  </w:style>
  <w:style w:type="paragraph" w:styleId="CommentText">
    <w:name w:val="annotation text"/>
    <w:basedOn w:val="Normal"/>
    <w:link w:val="CommentTextChar"/>
    <w:uiPriority w:val="99"/>
    <w:semiHidden/>
    <w:unhideWhenUsed/>
    <w:rsid w:val="00487F85"/>
    <w:pPr>
      <w:spacing w:line="240" w:lineRule="auto"/>
    </w:pPr>
    <w:rPr>
      <w:sz w:val="20"/>
      <w:szCs w:val="20"/>
    </w:rPr>
  </w:style>
  <w:style w:type="character" w:customStyle="1" w:styleId="CommentTextChar">
    <w:name w:val="Comment Text Char"/>
    <w:link w:val="CommentText"/>
    <w:uiPriority w:val="99"/>
    <w:semiHidden/>
    <w:rsid w:val="00487F85"/>
    <w:rPr>
      <w:sz w:val="20"/>
      <w:szCs w:val="20"/>
    </w:rPr>
  </w:style>
  <w:style w:type="paragraph" w:styleId="CommentSubject">
    <w:name w:val="annotation subject"/>
    <w:basedOn w:val="CommentText"/>
    <w:next w:val="CommentText"/>
    <w:link w:val="CommentSubjectChar"/>
    <w:uiPriority w:val="99"/>
    <w:semiHidden/>
    <w:unhideWhenUsed/>
    <w:rsid w:val="00487F85"/>
    <w:rPr>
      <w:b/>
      <w:bCs/>
    </w:rPr>
  </w:style>
  <w:style w:type="character" w:customStyle="1" w:styleId="CommentSubjectChar">
    <w:name w:val="Comment Subject Char"/>
    <w:link w:val="CommentSubject"/>
    <w:uiPriority w:val="99"/>
    <w:semiHidden/>
    <w:rsid w:val="00487F85"/>
    <w:rPr>
      <w:b/>
      <w:bCs/>
      <w:sz w:val="20"/>
      <w:szCs w:val="20"/>
    </w:rPr>
  </w:style>
  <w:style w:type="character" w:customStyle="1" w:styleId="gi">
    <w:name w:val="gi"/>
    <w:basedOn w:val="DefaultParagraphFont"/>
    <w:rsid w:val="00633BCF"/>
  </w:style>
  <w:style w:type="paragraph" w:styleId="ColorfulList-Accent1">
    <w:name w:val="Colorful List Accent 1"/>
    <w:basedOn w:val="Normal"/>
    <w:uiPriority w:val="34"/>
    <w:qFormat/>
    <w:rsid w:val="006B17AC"/>
    <w:pPr>
      <w:ind w:left="720"/>
      <w:contextualSpacing/>
    </w:pPr>
  </w:style>
  <w:style w:type="paragraph" w:styleId="MediumGrid2">
    <w:name w:val="Medium Grid 2"/>
    <w:uiPriority w:val="1"/>
    <w:qFormat/>
    <w:rsid w:val="006B17AC"/>
    <w:rPr>
      <w:sz w:val="22"/>
      <w:szCs w:val="22"/>
      <w:lang w:val="en-ZA"/>
    </w:rPr>
  </w:style>
  <w:style w:type="character" w:customStyle="1" w:styleId="Heading2Char">
    <w:name w:val="Heading 2 Char"/>
    <w:link w:val="Heading2"/>
    <w:uiPriority w:val="9"/>
    <w:rsid w:val="00200BAC"/>
    <w:rPr>
      <w:rFonts w:ascii="Times New Roman" w:hAnsi="Times New Roman" w:cs="Times New Roman"/>
      <w:b/>
      <w:bCs/>
      <w:sz w:val="36"/>
      <w:szCs w:val="36"/>
    </w:rPr>
  </w:style>
  <w:style w:type="paragraph" w:customStyle="1" w:styleId="JUDGMENTNUMBERED">
    <w:name w:val="JUDGMENT NUMBERED"/>
    <w:basedOn w:val="Normal"/>
    <w:next w:val="Normal"/>
    <w:link w:val="JUDGMENTNUMBEREDChar"/>
    <w:qFormat/>
    <w:rsid w:val="00433733"/>
    <w:pPr>
      <w:numPr>
        <w:numId w:val="21"/>
      </w:numPr>
      <w:spacing w:after="0" w:line="360" w:lineRule="auto"/>
      <w:ind w:left="0" w:firstLine="0"/>
      <w:jc w:val="both"/>
    </w:pPr>
    <w:rPr>
      <w:rFonts w:ascii="Times New Roman" w:hAnsi="Times New Roman" w:cs="Times New Roman"/>
      <w:color w:val="000000"/>
      <w:sz w:val="26"/>
    </w:rPr>
  </w:style>
  <w:style w:type="character" w:customStyle="1" w:styleId="JUDGMENTNUMBEREDChar">
    <w:name w:val="JUDGMENT NUMBERED Char"/>
    <w:link w:val="JUDGMENTNUMBERED"/>
    <w:rsid w:val="00433733"/>
    <w:rPr>
      <w:rFonts w:ascii="Times New Roman" w:hAnsi="Times New Roman" w:cs="Times New Roman"/>
      <w:color w:val="000000"/>
      <w:sz w:val="26"/>
      <w:szCs w:val="22"/>
      <w:lang w:val="en-ZA"/>
    </w:rPr>
  </w:style>
  <w:style w:type="paragraph" w:customStyle="1" w:styleId="ORDER">
    <w:name w:val="ORDER"/>
    <w:basedOn w:val="JUDGMENTNUMBERED"/>
    <w:link w:val="ORDERChar"/>
    <w:qFormat/>
    <w:rsid w:val="00433733"/>
    <w:pPr>
      <w:numPr>
        <w:numId w:val="0"/>
      </w:numPr>
      <w:ind w:left="1440" w:hanging="720"/>
    </w:pPr>
  </w:style>
  <w:style w:type="character" w:customStyle="1" w:styleId="ORDERChar">
    <w:name w:val="ORDER Char"/>
    <w:link w:val="ORDER"/>
    <w:rsid w:val="00433733"/>
    <w:rPr>
      <w:rFonts w:ascii="Times New Roman" w:hAnsi="Times New Roman" w:cs="Times New Roman"/>
      <w:color w:val="000000"/>
      <w:sz w:val="26"/>
      <w:szCs w:val="22"/>
      <w:lang w:val="en-ZA"/>
    </w:rPr>
  </w:style>
  <w:style w:type="paragraph" w:customStyle="1" w:styleId="COUNSELDETAILS">
    <w:name w:val="COUNSEL DETAILS"/>
    <w:basedOn w:val="Normal"/>
    <w:link w:val="COUNSELDETAILSChar"/>
    <w:rsid w:val="00332B61"/>
    <w:pPr>
      <w:spacing w:after="0" w:line="240" w:lineRule="auto"/>
      <w:jc w:val="both"/>
    </w:pPr>
    <w:rPr>
      <w:rFonts w:ascii="Times New Roman" w:hAnsi="Times New Roman" w:cs="Times New Roman"/>
      <w:sz w:val="26"/>
      <w:szCs w:val="26"/>
    </w:rPr>
  </w:style>
  <w:style w:type="character" w:customStyle="1" w:styleId="COUNSELDETAILSChar">
    <w:name w:val="COUNSEL DETAILS Char"/>
    <w:link w:val="COUNSELDETAILS"/>
    <w:rsid w:val="00332B61"/>
    <w:rPr>
      <w:rFonts w:ascii="Times New Roman" w:hAnsi="Times New Roman" w:cs="Times New Roman"/>
      <w:sz w:val="26"/>
      <w:szCs w:val="26"/>
      <w:lang w:val="en-ZA"/>
    </w:rPr>
  </w:style>
  <w:style w:type="character" w:customStyle="1" w:styleId="apple-converted-space">
    <w:name w:val="apple-converted-space"/>
    <w:rsid w:val="00CB5E0B"/>
  </w:style>
  <w:style w:type="paragraph" w:styleId="ListParagraph">
    <w:name w:val="List Paragraph"/>
    <w:basedOn w:val="Normal"/>
    <w:uiPriority w:val="72"/>
    <w:qFormat/>
    <w:rsid w:val="004D2024"/>
    <w:pPr>
      <w:ind w:left="720"/>
    </w:pPr>
  </w:style>
  <w:style w:type="table" w:styleId="TableGrid">
    <w:name w:val="Table Grid"/>
    <w:basedOn w:val="TableNormal"/>
    <w:uiPriority w:val="59"/>
    <w:rsid w:val="00170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80054">
      <w:bodyDiv w:val="1"/>
      <w:marLeft w:val="0"/>
      <w:marRight w:val="0"/>
      <w:marTop w:val="0"/>
      <w:marBottom w:val="0"/>
      <w:divBdr>
        <w:top w:val="none" w:sz="0" w:space="0" w:color="auto"/>
        <w:left w:val="none" w:sz="0" w:space="0" w:color="auto"/>
        <w:bottom w:val="none" w:sz="0" w:space="0" w:color="auto"/>
        <w:right w:val="none" w:sz="0" w:space="0" w:color="auto"/>
      </w:divBdr>
    </w:div>
    <w:div w:id="881484538">
      <w:bodyDiv w:val="1"/>
      <w:marLeft w:val="0"/>
      <w:marRight w:val="0"/>
      <w:marTop w:val="0"/>
      <w:marBottom w:val="0"/>
      <w:divBdr>
        <w:top w:val="none" w:sz="0" w:space="0" w:color="auto"/>
        <w:left w:val="none" w:sz="0" w:space="0" w:color="auto"/>
        <w:bottom w:val="none" w:sz="0" w:space="0" w:color="auto"/>
        <w:right w:val="none" w:sz="0" w:space="0" w:color="auto"/>
      </w:divBdr>
    </w:div>
    <w:div w:id="1547831399">
      <w:bodyDiv w:val="1"/>
      <w:marLeft w:val="0"/>
      <w:marRight w:val="0"/>
      <w:marTop w:val="0"/>
      <w:marBottom w:val="0"/>
      <w:divBdr>
        <w:top w:val="none" w:sz="0" w:space="0" w:color="auto"/>
        <w:left w:val="none" w:sz="0" w:space="0" w:color="auto"/>
        <w:bottom w:val="none" w:sz="0" w:space="0" w:color="auto"/>
        <w:right w:val="none" w:sz="0" w:space="0" w:color="auto"/>
      </w:divBdr>
    </w:div>
    <w:div w:id="1682314011">
      <w:bodyDiv w:val="1"/>
      <w:marLeft w:val="0"/>
      <w:marRight w:val="0"/>
      <w:marTop w:val="0"/>
      <w:marBottom w:val="0"/>
      <w:divBdr>
        <w:top w:val="none" w:sz="0" w:space="0" w:color="auto"/>
        <w:left w:val="none" w:sz="0" w:space="0" w:color="auto"/>
        <w:bottom w:val="none" w:sz="0" w:space="0" w:color="auto"/>
        <w:right w:val="none" w:sz="0" w:space="0" w:color="auto"/>
      </w:divBdr>
    </w:div>
    <w:div w:id="1856923083">
      <w:bodyDiv w:val="1"/>
      <w:marLeft w:val="0"/>
      <w:marRight w:val="0"/>
      <w:marTop w:val="0"/>
      <w:marBottom w:val="0"/>
      <w:divBdr>
        <w:top w:val="none" w:sz="0" w:space="0" w:color="auto"/>
        <w:left w:val="none" w:sz="0" w:space="0" w:color="auto"/>
        <w:bottom w:val="none" w:sz="0" w:space="0" w:color="auto"/>
        <w:right w:val="none" w:sz="0" w:space="0" w:color="auto"/>
      </w:divBdr>
    </w:div>
    <w:div w:id="196229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2017-06-19T00:00:00Z</Judgment_x0020_Date>
    <Year xmlns="63bdd487-88aa-4c54-b893-ddaa81ed2e7c">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4C56C-8431-40EC-ADC8-EE7DE1584D90}">
  <ds:schemaRefs>
    <ds:schemaRef ds:uri="http://schemas.microsoft.com/sharepoint/v3/contenttype/forms"/>
  </ds:schemaRefs>
</ds:datastoreItem>
</file>

<file path=customXml/itemProps2.xml><?xml version="1.0" encoding="utf-8"?>
<ds:datastoreItem xmlns:ds="http://schemas.openxmlformats.org/officeDocument/2006/customXml" ds:itemID="{C709A6E2-EC0A-40FE-8939-18D8728F3BE4}">
  <ds:schemaRefs>
    <ds:schemaRef ds:uri="http://schemas.microsoft.com/office/2006/metadata/longProperties"/>
  </ds:schemaRefs>
</ds:datastoreItem>
</file>

<file path=customXml/itemProps3.xml><?xml version="1.0" encoding="utf-8"?>
<ds:datastoreItem xmlns:ds="http://schemas.openxmlformats.org/officeDocument/2006/customXml" ds:itemID="{F2C881EC-9A25-4138-8425-7A41BB260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79D57-D816-44B9-8EC4-EF36AC10EDB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1be7fe3-b1af-4cce-82d4-6ea25c209236"/>
    <ds:schemaRef ds:uri="http://schemas.microsoft.com/office/2006/documentManagement/types"/>
    <ds:schemaRef ds:uri="63bdd487-88aa-4c54-b893-ddaa81ed2e7c"/>
    <ds:schemaRef ds:uri="http://www.w3.org/XML/1998/namespace"/>
    <ds:schemaRef ds:uri="http://purl.org/dc/dcmitype/"/>
  </ds:schemaRefs>
</ds:datastoreItem>
</file>

<file path=customXml/itemProps5.xml><?xml version="1.0" encoding="utf-8"?>
<ds:datastoreItem xmlns:ds="http://schemas.openxmlformats.org/officeDocument/2006/customXml" ds:itemID="{596003ED-EBAA-493B-89EA-E9AAF8E3B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7989</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Phahlane Mmabatho</dc:creator>
  <cp:keywords/>
  <cp:lastModifiedBy>W P. Oosthuizen</cp:lastModifiedBy>
  <cp:revision>2</cp:revision>
  <cp:lastPrinted>2017-06-16T14:11:00Z</cp:lastPrinted>
  <dcterms:created xsi:type="dcterms:W3CDTF">2017-06-21T12:01:00Z</dcterms:created>
  <dcterms:modified xsi:type="dcterms:W3CDTF">2017-06-21T12:01:00Z</dcterms:modified>
</cp:coreProperties>
</file>