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22" w:rsidRPr="006C3013" w:rsidRDefault="005C2022" w:rsidP="00A36F38">
      <w:pPr>
        <w:spacing w:line="240" w:lineRule="auto"/>
        <w:jc w:val="both"/>
        <w:rPr>
          <w:rFonts w:ascii="Arial" w:hAnsi="Arial" w:cs="Arial"/>
          <w:sz w:val="24"/>
          <w:szCs w:val="24"/>
          <w:lang w:val="en-ZA"/>
        </w:rPr>
      </w:pPr>
      <w:r w:rsidRPr="006C3013">
        <w:rPr>
          <w:rFonts w:ascii="Arial" w:hAnsi="Arial" w:cs="Arial"/>
          <w:noProof/>
          <w:sz w:val="24"/>
          <w:szCs w:val="24"/>
          <w:lang w:val="en-ZA" w:eastAsia="en-ZA"/>
        </w:rPr>
        <w:drawing>
          <wp:anchor distT="0" distB="0" distL="114300" distR="114300" simplePos="0" relativeHeight="251659264" behindDoc="0" locked="0" layoutInCell="1" allowOverlap="1">
            <wp:simplePos x="0" y="0"/>
            <wp:positionH relativeFrom="page">
              <wp:align>center</wp:align>
            </wp:positionH>
            <wp:positionV relativeFrom="margin">
              <wp:posOffset>-581025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5C2022" w:rsidRPr="006C3013" w:rsidRDefault="005C2022" w:rsidP="00A36F38">
      <w:pPr>
        <w:spacing w:line="240" w:lineRule="auto"/>
        <w:jc w:val="both"/>
        <w:rPr>
          <w:rFonts w:ascii="Arial" w:hAnsi="Arial" w:cs="Arial"/>
          <w:sz w:val="24"/>
          <w:szCs w:val="24"/>
          <w:lang w:val="en-ZA"/>
        </w:rPr>
      </w:pPr>
    </w:p>
    <w:p w:rsidR="005C2022" w:rsidRPr="006C3013" w:rsidRDefault="005C2022" w:rsidP="00A36F38">
      <w:pPr>
        <w:spacing w:line="240" w:lineRule="auto"/>
        <w:jc w:val="both"/>
        <w:rPr>
          <w:rFonts w:ascii="Arial" w:hAnsi="Arial" w:cs="Arial"/>
          <w:sz w:val="24"/>
          <w:szCs w:val="24"/>
          <w:lang w:val="en-ZA"/>
        </w:rPr>
      </w:pPr>
    </w:p>
    <w:p w:rsidR="005C2022" w:rsidRPr="006C3013" w:rsidRDefault="005C2022" w:rsidP="00A36F38">
      <w:pPr>
        <w:spacing w:line="240" w:lineRule="auto"/>
        <w:jc w:val="right"/>
        <w:rPr>
          <w:rFonts w:ascii="Arial" w:hAnsi="Arial" w:cs="Arial"/>
          <w:b/>
          <w:sz w:val="24"/>
          <w:szCs w:val="24"/>
          <w:lang w:val="en-ZA"/>
        </w:rPr>
      </w:pPr>
      <w:r w:rsidRPr="00B85271">
        <w:rPr>
          <w:rFonts w:ascii="Arial" w:hAnsi="Arial" w:cs="Arial"/>
          <w:b/>
          <w:sz w:val="24"/>
          <w:szCs w:val="24"/>
          <w:lang w:val="en-ZW"/>
        </w:rPr>
        <w:t>REPORTABLE</w:t>
      </w:r>
    </w:p>
    <w:p w:rsidR="005C2022" w:rsidRPr="006C3013" w:rsidRDefault="005C2022" w:rsidP="00A36F38">
      <w:pPr>
        <w:spacing w:line="240" w:lineRule="auto"/>
        <w:jc w:val="right"/>
        <w:rPr>
          <w:rFonts w:ascii="Arial" w:hAnsi="Arial" w:cs="Arial"/>
          <w:sz w:val="24"/>
          <w:szCs w:val="24"/>
          <w:lang w:val="en-ZA"/>
        </w:rPr>
      </w:pPr>
      <w:r w:rsidRPr="006C3013">
        <w:rPr>
          <w:rFonts w:ascii="Arial" w:hAnsi="Arial" w:cs="Arial"/>
          <w:sz w:val="24"/>
          <w:szCs w:val="24"/>
          <w:lang w:val="en-ZA"/>
        </w:rPr>
        <w:t xml:space="preserve">         CASE NO. SA </w:t>
      </w:r>
      <w:r>
        <w:rPr>
          <w:rFonts w:ascii="Arial" w:hAnsi="Arial" w:cs="Arial"/>
          <w:sz w:val="24"/>
          <w:szCs w:val="24"/>
          <w:lang w:val="en-ZA"/>
        </w:rPr>
        <w:t>4</w:t>
      </w:r>
      <w:r w:rsidRPr="006C3013">
        <w:rPr>
          <w:rFonts w:ascii="Arial" w:hAnsi="Arial" w:cs="Arial"/>
          <w:sz w:val="24"/>
          <w:szCs w:val="24"/>
          <w:lang w:val="en-ZA"/>
        </w:rPr>
        <w:t>4/2015</w:t>
      </w:r>
    </w:p>
    <w:p w:rsidR="005C2022" w:rsidRPr="006C3013" w:rsidRDefault="005C2022" w:rsidP="00A36F38">
      <w:pPr>
        <w:spacing w:line="240" w:lineRule="auto"/>
        <w:jc w:val="both"/>
        <w:rPr>
          <w:rFonts w:ascii="Arial" w:hAnsi="Arial" w:cs="Arial"/>
          <w:sz w:val="24"/>
          <w:szCs w:val="24"/>
          <w:lang w:val="en-ZA"/>
        </w:rPr>
      </w:pPr>
    </w:p>
    <w:p w:rsidR="005C2022" w:rsidRPr="006C3013" w:rsidRDefault="005C2022" w:rsidP="00A36F38">
      <w:pPr>
        <w:spacing w:line="240" w:lineRule="auto"/>
        <w:jc w:val="both"/>
        <w:rPr>
          <w:rFonts w:ascii="Arial" w:hAnsi="Arial" w:cs="Arial"/>
          <w:b/>
          <w:sz w:val="24"/>
          <w:szCs w:val="24"/>
          <w:lang w:val="en-ZA"/>
        </w:rPr>
      </w:pPr>
      <w:r w:rsidRPr="006C3013">
        <w:rPr>
          <w:rFonts w:ascii="Arial" w:hAnsi="Arial" w:cs="Arial"/>
          <w:b/>
          <w:sz w:val="24"/>
          <w:szCs w:val="24"/>
          <w:lang w:val="en-ZA"/>
        </w:rPr>
        <w:t>IN THE SUPREME COURT OF NAMIBIA</w:t>
      </w:r>
    </w:p>
    <w:p w:rsidR="005C2022" w:rsidRDefault="005C2022" w:rsidP="00A36F38">
      <w:pPr>
        <w:spacing w:line="240" w:lineRule="auto"/>
        <w:jc w:val="both"/>
        <w:rPr>
          <w:rFonts w:ascii="Arial" w:hAnsi="Arial" w:cs="Arial"/>
          <w:sz w:val="24"/>
          <w:szCs w:val="24"/>
          <w:lang w:val="en-ZA"/>
        </w:rPr>
      </w:pPr>
    </w:p>
    <w:p w:rsidR="005C2022" w:rsidRPr="006C3013" w:rsidRDefault="005C2022" w:rsidP="00A36F38">
      <w:pPr>
        <w:spacing w:line="240" w:lineRule="auto"/>
        <w:jc w:val="both"/>
        <w:rPr>
          <w:rFonts w:ascii="Arial" w:hAnsi="Arial" w:cs="Arial"/>
          <w:sz w:val="24"/>
          <w:szCs w:val="24"/>
          <w:lang w:val="en-ZA"/>
        </w:rPr>
      </w:pPr>
      <w:r w:rsidRPr="006C3013">
        <w:rPr>
          <w:rFonts w:ascii="Arial" w:hAnsi="Arial" w:cs="Arial"/>
          <w:sz w:val="24"/>
          <w:szCs w:val="24"/>
          <w:lang w:val="en-ZA"/>
        </w:rPr>
        <w:t>In the matter between:</w:t>
      </w:r>
    </w:p>
    <w:p w:rsidR="005C2022" w:rsidRPr="006C3013" w:rsidRDefault="005C2022" w:rsidP="00A36F38">
      <w:pPr>
        <w:spacing w:line="240" w:lineRule="auto"/>
        <w:jc w:val="both"/>
        <w:rPr>
          <w:rFonts w:ascii="Arial" w:hAnsi="Arial" w:cs="Arial"/>
          <w:b/>
          <w:sz w:val="24"/>
          <w:szCs w:val="24"/>
          <w:lang w:val="en-ZA"/>
        </w:rPr>
      </w:pPr>
      <w:r>
        <w:rPr>
          <w:rFonts w:ascii="Arial" w:hAnsi="Arial" w:cs="Arial"/>
          <w:b/>
          <w:sz w:val="24"/>
          <w:szCs w:val="24"/>
          <w:lang w:val="en-ZA"/>
        </w:rPr>
        <w:t>FREE NAMIBIA CATERERS</w:t>
      </w:r>
      <w:r w:rsidR="00343749">
        <w:rPr>
          <w:rFonts w:ascii="Arial" w:hAnsi="Arial" w:cs="Arial"/>
          <w:b/>
          <w:sz w:val="24"/>
          <w:szCs w:val="24"/>
          <w:lang w:val="en-ZA"/>
        </w:rPr>
        <w:t xml:space="preserve"> CC</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Pr="006C3013">
        <w:rPr>
          <w:rFonts w:ascii="Arial" w:hAnsi="Arial" w:cs="Arial"/>
          <w:b/>
          <w:sz w:val="24"/>
          <w:szCs w:val="24"/>
          <w:lang w:val="en-ZA"/>
        </w:rPr>
        <w:tab/>
        <w:t xml:space="preserve">      </w:t>
      </w:r>
      <w:r>
        <w:rPr>
          <w:rFonts w:ascii="Arial" w:hAnsi="Arial" w:cs="Arial"/>
          <w:b/>
          <w:sz w:val="24"/>
          <w:szCs w:val="24"/>
          <w:lang w:val="en-ZA"/>
        </w:rPr>
        <w:t xml:space="preserve">          </w:t>
      </w:r>
      <w:r w:rsidR="00213CC7">
        <w:rPr>
          <w:rFonts w:ascii="Arial" w:hAnsi="Arial" w:cs="Arial"/>
          <w:b/>
          <w:sz w:val="24"/>
          <w:szCs w:val="24"/>
          <w:lang w:val="en-ZA"/>
        </w:rPr>
        <w:t xml:space="preserve">                 </w:t>
      </w:r>
      <w:r w:rsidRPr="006C3013">
        <w:rPr>
          <w:rFonts w:ascii="Arial" w:hAnsi="Arial" w:cs="Arial"/>
          <w:b/>
          <w:sz w:val="24"/>
          <w:szCs w:val="24"/>
          <w:lang w:val="en-ZA"/>
        </w:rPr>
        <w:t>Appellant</w:t>
      </w:r>
    </w:p>
    <w:p w:rsidR="005C2022" w:rsidRDefault="005C2022" w:rsidP="004476C8">
      <w:pPr>
        <w:spacing w:line="240" w:lineRule="auto"/>
        <w:jc w:val="both"/>
        <w:rPr>
          <w:rFonts w:ascii="Arial" w:hAnsi="Arial" w:cs="Arial"/>
          <w:sz w:val="24"/>
          <w:szCs w:val="24"/>
          <w:lang w:val="en-ZA"/>
        </w:rPr>
      </w:pPr>
    </w:p>
    <w:p w:rsidR="005C2022" w:rsidRPr="006C3013" w:rsidRDefault="005C2022" w:rsidP="00A36F38">
      <w:pPr>
        <w:spacing w:line="240" w:lineRule="auto"/>
        <w:jc w:val="both"/>
        <w:rPr>
          <w:rFonts w:ascii="Arial" w:hAnsi="Arial" w:cs="Arial"/>
          <w:sz w:val="24"/>
          <w:szCs w:val="24"/>
          <w:lang w:val="en-ZA"/>
        </w:rPr>
      </w:pPr>
      <w:r w:rsidRPr="006C3013">
        <w:rPr>
          <w:rFonts w:ascii="Arial" w:hAnsi="Arial" w:cs="Arial"/>
          <w:sz w:val="24"/>
          <w:szCs w:val="24"/>
          <w:lang w:val="en-ZA"/>
        </w:rPr>
        <w:t>and</w:t>
      </w:r>
    </w:p>
    <w:p w:rsidR="005C2022" w:rsidRPr="006C3013" w:rsidRDefault="005C2022" w:rsidP="00A36F38">
      <w:pPr>
        <w:spacing w:line="240" w:lineRule="auto"/>
        <w:jc w:val="both"/>
        <w:rPr>
          <w:rFonts w:ascii="Arial" w:hAnsi="Arial" w:cs="Arial"/>
          <w:sz w:val="24"/>
          <w:szCs w:val="24"/>
          <w:lang w:val="en-ZA"/>
        </w:rPr>
      </w:pPr>
    </w:p>
    <w:p w:rsidR="004476C8" w:rsidRDefault="005C2022" w:rsidP="00A36F38">
      <w:pPr>
        <w:spacing w:line="240" w:lineRule="auto"/>
        <w:jc w:val="both"/>
        <w:rPr>
          <w:rFonts w:ascii="Arial" w:hAnsi="Arial" w:cs="Arial"/>
          <w:b/>
          <w:sz w:val="24"/>
          <w:szCs w:val="24"/>
          <w:lang w:val="en-ZA"/>
        </w:rPr>
      </w:pPr>
      <w:r>
        <w:rPr>
          <w:rFonts w:ascii="Arial" w:hAnsi="Arial" w:cs="Arial"/>
          <w:b/>
          <w:sz w:val="24"/>
          <w:szCs w:val="24"/>
          <w:lang w:val="en-ZA"/>
        </w:rPr>
        <w:t>THE CHAIRPERSON OF THE TENDER BOARD OF</w:t>
      </w:r>
      <w:r>
        <w:rPr>
          <w:rFonts w:ascii="Arial" w:hAnsi="Arial" w:cs="Arial"/>
          <w:b/>
          <w:sz w:val="24"/>
          <w:szCs w:val="24"/>
          <w:lang w:val="en-ZA"/>
        </w:rPr>
        <w:tab/>
      </w:r>
    </w:p>
    <w:p w:rsidR="005C2022" w:rsidRPr="006C3013" w:rsidRDefault="004476C8" w:rsidP="004476C8">
      <w:pPr>
        <w:spacing w:line="240" w:lineRule="auto"/>
        <w:jc w:val="both"/>
        <w:rPr>
          <w:rFonts w:ascii="Arial" w:hAnsi="Arial" w:cs="Arial"/>
          <w:b/>
          <w:sz w:val="24"/>
          <w:szCs w:val="24"/>
          <w:lang w:val="en-ZA"/>
        </w:rPr>
      </w:pPr>
      <w:r>
        <w:rPr>
          <w:rFonts w:ascii="Arial" w:hAnsi="Arial" w:cs="Arial"/>
          <w:b/>
          <w:sz w:val="24"/>
          <w:szCs w:val="24"/>
          <w:lang w:val="en-ZA"/>
        </w:rPr>
        <w:t>NAMIBIA</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005C2022">
        <w:rPr>
          <w:rFonts w:ascii="Arial" w:hAnsi="Arial" w:cs="Arial"/>
          <w:b/>
          <w:sz w:val="24"/>
          <w:szCs w:val="24"/>
          <w:lang w:val="en-ZA"/>
        </w:rPr>
        <w:t xml:space="preserve"> </w:t>
      </w:r>
      <w:r w:rsidR="00213CC7">
        <w:rPr>
          <w:rFonts w:ascii="Arial" w:hAnsi="Arial" w:cs="Arial"/>
          <w:b/>
          <w:sz w:val="24"/>
          <w:szCs w:val="24"/>
          <w:lang w:val="en-ZA"/>
        </w:rPr>
        <w:t xml:space="preserve">                 </w:t>
      </w:r>
      <w:r w:rsidR="005C2022">
        <w:rPr>
          <w:rFonts w:ascii="Arial" w:hAnsi="Arial" w:cs="Arial"/>
          <w:b/>
          <w:sz w:val="24"/>
          <w:szCs w:val="24"/>
          <w:lang w:val="en-ZA"/>
        </w:rPr>
        <w:t xml:space="preserve"> </w:t>
      </w:r>
      <w:r w:rsidR="005C2022" w:rsidRPr="006C3013">
        <w:rPr>
          <w:rFonts w:ascii="Arial" w:hAnsi="Arial" w:cs="Arial"/>
          <w:b/>
          <w:sz w:val="24"/>
          <w:szCs w:val="24"/>
          <w:lang w:val="en-ZA"/>
        </w:rPr>
        <w:t>First Respondent</w:t>
      </w:r>
    </w:p>
    <w:p w:rsidR="005C2022" w:rsidRDefault="005C2022" w:rsidP="00A36F38">
      <w:pPr>
        <w:spacing w:line="240" w:lineRule="auto"/>
        <w:jc w:val="both"/>
        <w:rPr>
          <w:rFonts w:ascii="Arial" w:hAnsi="Arial" w:cs="Arial"/>
          <w:b/>
          <w:sz w:val="24"/>
          <w:szCs w:val="24"/>
          <w:lang w:val="en-ZA"/>
        </w:rPr>
      </w:pPr>
      <w:r>
        <w:rPr>
          <w:rFonts w:ascii="Arial" w:hAnsi="Arial" w:cs="Arial"/>
          <w:b/>
          <w:sz w:val="24"/>
          <w:szCs w:val="24"/>
          <w:lang w:val="en-ZA"/>
        </w:rPr>
        <w:t>THE MINISTER OF EDUCATION</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4476C8">
        <w:rPr>
          <w:rFonts w:ascii="Arial" w:hAnsi="Arial" w:cs="Arial"/>
          <w:b/>
          <w:sz w:val="24"/>
          <w:szCs w:val="24"/>
          <w:lang w:val="en-ZA"/>
        </w:rPr>
        <w:tab/>
      </w:r>
      <w:r w:rsidR="00213CC7">
        <w:rPr>
          <w:rFonts w:ascii="Arial" w:hAnsi="Arial" w:cs="Arial"/>
          <w:b/>
          <w:sz w:val="24"/>
          <w:szCs w:val="24"/>
          <w:lang w:val="en-ZA"/>
        </w:rPr>
        <w:t xml:space="preserve">               </w:t>
      </w:r>
      <w:r>
        <w:rPr>
          <w:rFonts w:ascii="Arial" w:hAnsi="Arial" w:cs="Arial"/>
          <w:b/>
          <w:sz w:val="24"/>
          <w:szCs w:val="24"/>
          <w:lang w:val="en-ZA"/>
        </w:rPr>
        <w:t>Second Respondent</w:t>
      </w:r>
    </w:p>
    <w:p w:rsidR="004476C8" w:rsidRDefault="005C2022" w:rsidP="00A36F38">
      <w:pPr>
        <w:spacing w:line="240" w:lineRule="auto"/>
        <w:jc w:val="both"/>
        <w:rPr>
          <w:rFonts w:ascii="Arial" w:hAnsi="Arial" w:cs="Arial"/>
          <w:b/>
          <w:sz w:val="24"/>
          <w:szCs w:val="24"/>
          <w:lang w:val="en-ZA"/>
        </w:rPr>
      </w:pPr>
      <w:r>
        <w:rPr>
          <w:rFonts w:ascii="Arial" w:hAnsi="Arial" w:cs="Arial"/>
          <w:b/>
          <w:sz w:val="24"/>
          <w:szCs w:val="24"/>
          <w:lang w:val="en-ZA"/>
        </w:rPr>
        <w:t>PERMANENT SECRETARY, MINISTRY OF</w:t>
      </w:r>
      <w:r>
        <w:rPr>
          <w:rFonts w:ascii="Arial" w:hAnsi="Arial" w:cs="Arial"/>
          <w:b/>
          <w:sz w:val="24"/>
          <w:szCs w:val="24"/>
          <w:lang w:val="en-ZA"/>
        </w:rPr>
        <w:tab/>
      </w:r>
      <w:r>
        <w:rPr>
          <w:rFonts w:ascii="Arial" w:hAnsi="Arial" w:cs="Arial"/>
          <w:b/>
          <w:sz w:val="24"/>
          <w:szCs w:val="24"/>
          <w:lang w:val="en-ZA"/>
        </w:rPr>
        <w:tab/>
      </w:r>
    </w:p>
    <w:p w:rsidR="005C2022" w:rsidRDefault="004476C8" w:rsidP="00A36F38">
      <w:pPr>
        <w:spacing w:line="240" w:lineRule="auto"/>
        <w:jc w:val="both"/>
        <w:rPr>
          <w:rFonts w:ascii="Arial" w:hAnsi="Arial" w:cs="Arial"/>
          <w:b/>
          <w:sz w:val="24"/>
          <w:szCs w:val="24"/>
          <w:lang w:val="en-ZA"/>
        </w:rPr>
      </w:pPr>
      <w:r>
        <w:rPr>
          <w:rFonts w:ascii="Arial" w:hAnsi="Arial" w:cs="Arial"/>
          <w:b/>
          <w:sz w:val="24"/>
          <w:szCs w:val="24"/>
          <w:lang w:val="en-ZA"/>
        </w:rPr>
        <w:t>EDUCATION</w:t>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r>
      <w:r w:rsidR="00213CC7">
        <w:rPr>
          <w:rFonts w:ascii="Arial" w:hAnsi="Arial" w:cs="Arial"/>
          <w:b/>
          <w:sz w:val="24"/>
          <w:szCs w:val="24"/>
          <w:lang w:val="en-ZA"/>
        </w:rPr>
        <w:t xml:space="preserve">        </w:t>
      </w:r>
      <w:r>
        <w:rPr>
          <w:rFonts w:ascii="Arial" w:hAnsi="Arial" w:cs="Arial"/>
          <w:b/>
          <w:sz w:val="24"/>
          <w:szCs w:val="24"/>
          <w:lang w:val="en-ZA"/>
        </w:rPr>
        <w:t>Third Respondent</w:t>
      </w:r>
    </w:p>
    <w:p w:rsidR="005C2022" w:rsidRPr="006C3013" w:rsidRDefault="005C2022" w:rsidP="00A36F38">
      <w:pPr>
        <w:spacing w:line="240" w:lineRule="auto"/>
        <w:jc w:val="both"/>
        <w:rPr>
          <w:rFonts w:ascii="Arial" w:hAnsi="Arial" w:cs="Arial"/>
          <w:b/>
          <w:sz w:val="24"/>
          <w:szCs w:val="24"/>
          <w:lang w:val="en-ZA"/>
        </w:rPr>
      </w:pPr>
      <w:r>
        <w:rPr>
          <w:rFonts w:ascii="Arial" w:hAnsi="Arial" w:cs="Arial"/>
          <w:b/>
          <w:sz w:val="24"/>
          <w:szCs w:val="24"/>
          <w:lang w:val="en-ZA"/>
        </w:rPr>
        <w:t xml:space="preserve">DIRECTOR (PQA) MINISTRY OF EDUCATION         </w:t>
      </w:r>
      <w:r w:rsidR="00213CC7">
        <w:rPr>
          <w:rFonts w:ascii="Arial" w:hAnsi="Arial" w:cs="Arial"/>
          <w:b/>
          <w:sz w:val="24"/>
          <w:szCs w:val="24"/>
          <w:lang w:val="en-ZA"/>
        </w:rPr>
        <w:t xml:space="preserve">                 </w:t>
      </w:r>
      <w:r>
        <w:rPr>
          <w:rFonts w:ascii="Arial" w:hAnsi="Arial" w:cs="Arial"/>
          <w:b/>
          <w:sz w:val="24"/>
          <w:szCs w:val="24"/>
          <w:lang w:val="en-ZA"/>
        </w:rPr>
        <w:t>Fourth Respondent</w:t>
      </w:r>
    </w:p>
    <w:p w:rsidR="005C2022" w:rsidRPr="006C3013" w:rsidRDefault="005C2022" w:rsidP="00A36F38">
      <w:pPr>
        <w:spacing w:line="240" w:lineRule="auto"/>
        <w:jc w:val="both"/>
        <w:rPr>
          <w:rFonts w:ascii="Arial" w:hAnsi="Arial" w:cs="Arial"/>
          <w:sz w:val="24"/>
          <w:szCs w:val="24"/>
        </w:rPr>
      </w:pPr>
    </w:p>
    <w:p w:rsidR="005C2022" w:rsidRPr="006C3013" w:rsidRDefault="005C2022" w:rsidP="00A36F38">
      <w:pPr>
        <w:spacing w:line="240" w:lineRule="auto"/>
        <w:jc w:val="both"/>
        <w:rPr>
          <w:rFonts w:ascii="Arial" w:hAnsi="Arial" w:cs="Arial"/>
          <w:sz w:val="24"/>
          <w:szCs w:val="24"/>
        </w:rPr>
      </w:pPr>
      <w:r w:rsidRPr="006C3013">
        <w:rPr>
          <w:rFonts w:ascii="Arial" w:hAnsi="Arial" w:cs="Arial"/>
          <w:b/>
          <w:sz w:val="24"/>
          <w:szCs w:val="24"/>
        </w:rPr>
        <w:t>Coram:</w:t>
      </w:r>
      <w:r w:rsidRPr="006C3013">
        <w:rPr>
          <w:rFonts w:ascii="Arial" w:hAnsi="Arial" w:cs="Arial"/>
          <w:sz w:val="24"/>
          <w:szCs w:val="24"/>
        </w:rPr>
        <w:tab/>
      </w:r>
      <w:r w:rsidRPr="006C3013">
        <w:rPr>
          <w:rFonts w:ascii="Arial" w:hAnsi="Arial" w:cs="Arial"/>
          <w:sz w:val="24"/>
          <w:szCs w:val="24"/>
        </w:rPr>
        <w:tab/>
        <w:t xml:space="preserve">SHIVUTE CJ, MAINGA JA and </w:t>
      </w:r>
      <w:r>
        <w:rPr>
          <w:rFonts w:ascii="Arial" w:hAnsi="Arial" w:cs="Arial"/>
          <w:sz w:val="24"/>
          <w:szCs w:val="24"/>
        </w:rPr>
        <w:t>HOFF</w:t>
      </w:r>
      <w:r w:rsidRPr="006C3013">
        <w:rPr>
          <w:rFonts w:ascii="Arial" w:hAnsi="Arial" w:cs="Arial"/>
          <w:sz w:val="24"/>
          <w:szCs w:val="24"/>
        </w:rPr>
        <w:t xml:space="preserve"> JA</w:t>
      </w:r>
    </w:p>
    <w:p w:rsidR="005C2022" w:rsidRPr="006C3013" w:rsidRDefault="005C2022" w:rsidP="00A36F38">
      <w:pPr>
        <w:spacing w:line="240" w:lineRule="auto"/>
        <w:jc w:val="both"/>
        <w:rPr>
          <w:rFonts w:ascii="Arial" w:hAnsi="Arial" w:cs="Arial"/>
          <w:sz w:val="24"/>
          <w:szCs w:val="24"/>
          <w:lang w:val="en-ZW"/>
        </w:rPr>
      </w:pPr>
      <w:r w:rsidRPr="006C3013">
        <w:rPr>
          <w:rFonts w:ascii="Arial" w:hAnsi="Arial" w:cs="Arial"/>
          <w:b/>
          <w:sz w:val="24"/>
          <w:szCs w:val="24"/>
          <w:lang w:val="en-ZW"/>
        </w:rPr>
        <w:t>Heard:</w:t>
      </w:r>
      <w:r w:rsidRPr="006C3013">
        <w:rPr>
          <w:rFonts w:ascii="Arial" w:hAnsi="Arial" w:cs="Arial"/>
          <w:sz w:val="24"/>
          <w:szCs w:val="24"/>
          <w:lang w:val="en-ZW"/>
        </w:rPr>
        <w:tab/>
      </w:r>
      <w:r w:rsidRPr="006C3013">
        <w:rPr>
          <w:rFonts w:ascii="Arial" w:hAnsi="Arial" w:cs="Arial"/>
          <w:sz w:val="24"/>
          <w:szCs w:val="24"/>
          <w:lang w:val="en-ZW"/>
        </w:rPr>
        <w:tab/>
      </w:r>
      <w:r w:rsidRPr="004476C8">
        <w:rPr>
          <w:rFonts w:ascii="Arial" w:hAnsi="Arial" w:cs="Arial"/>
          <w:b/>
          <w:sz w:val="24"/>
          <w:szCs w:val="24"/>
          <w:lang w:val="en-ZW"/>
        </w:rPr>
        <w:t>19 June 2017</w:t>
      </w:r>
    </w:p>
    <w:p w:rsidR="000519CF" w:rsidRDefault="005C2022" w:rsidP="00A36F38">
      <w:pPr>
        <w:spacing w:line="240" w:lineRule="auto"/>
        <w:jc w:val="both"/>
        <w:rPr>
          <w:rFonts w:ascii="Arial" w:hAnsi="Arial" w:cs="Arial"/>
          <w:b/>
          <w:sz w:val="24"/>
          <w:szCs w:val="24"/>
          <w:lang w:val="en-ZW"/>
        </w:rPr>
      </w:pPr>
      <w:r w:rsidRPr="006C3013">
        <w:rPr>
          <w:rFonts w:ascii="Arial" w:hAnsi="Arial" w:cs="Arial"/>
          <w:b/>
          <w:sz w:val="24"/>
          <w:szCs w:val="24"/>
          <w:lang w:val="en-ZW"/>
        </w:rPr>
        <w:t>Delivered:</w:t>
      </w:r>
      <w:r>
        <w:rPr>
          <w:rFonts w:ascii="Arial" w:hAnsi="Arial" w:cs="Arial"/>
          <w:sz w:val="24"/>
          <w:szCs w:val="24"/>
          <w:lang w:val="en-ZW"/>
        </w:rPr>
        <w:tab/>
      </w:r>
      <w:r>
        <w:rPr>
          <w:rFonts w:ascii="Arial" w:hAnsi="Arial" w:cs="Arial"/>
          <w:sz w:val="24"/>
          <w:szCs w:val="24"/>
          <w:lang w:val="en-ZW"/>
        </w:rPr>
        <w:tab/>
      </w:r>
      <w:r w:rsidR="00C90E07">
        <w:rPr>
          <w:rFonts w:ascii="Arial" w:hAnsi="Arial" w:cs="Arial"/>
          <w:b/>
          <w:sz w:val="24"/>
          <w:szCs w:val="24"/>
          <w:lang w:val="en-ZW"/>
        </w:rPr>
        <w:t>28</w:t>
      </w:r>
      <w:r w:rsidR="00704DAF" w:rsidRPr="004476C8">
        <w:rPr>
          <w:rFonts w:ascii="Arial" w:hAnsi="Arial" w:cs="Arial"/>
          <w:b/>
          <w:sz w:val="24"/>
          <w:szCs w:val="24"/>
          <w:lang w:val="en-ZW"/>
        </w:rPr>
        <w:t xml:space="preserve"> </w:t>
      </w:r>
      <w:r w:rsidR="009758ED" w:rsidRPr="004476C8">
        <w:rPr>
          <w:rFonts w:ascii="Arial" w:hAnsi="Arial" w:cs="Arial"/>
          <w:b/>
          <w:sz w:val="24"/>
          <w:szCs w:val="24"/>
          <w:lang w:val="en-ZW"/>
        </w:rPr>
        <w:t>July</w:t>
      </w:r>
      <w:r w:rsidRPr="004476C8">
        <w:rPr>
          <w:rFonts w:ascii="Arial" w:hAnsi="Arial" w:cs="Arial"/>
          <w:b/>
          <w:sz w:val="24"/>
          <w:szCs w:val="24"/>
          <w:lang w:val="en-ZW"/>
        </w:rPr>
        <w:t xml:space="preserve"> 2017</w:t>
      </w:r>
    </w:p>
    <w:p w:rsidR="004476C8" w:rsidRDefault="004476C8" w:rsidP="00A36F38">
      <w:pPr>
        <w:spacing w:line="240" w:lineRule="auto"/>
        <w:jc w:val="both"/>
        <w:rPr>
          <w:rFonts w:ascii="Arial" w:hAnsi="Arial" w:cs="Arial"/>
          <w:sz w:val="24"/>
          <w:szCs w:val="24"/>
          <w:lang w:val="en-ZW"/>
        </w:rPr>
      </w:pPr>
    </w:p>
    <w:p w:rsidR="00CE5F71" w:rsidRDefault="005C2022" w:rsidP="00CE5F71">
      <w:pPr>
        <w:spacing w:line="480" w:lineRule="auto"/>
        <w:jc w:val="both"/>
        <w:rPr>
          <w:rFonts w:ascii="Arial" w:hAnsi="Arial" w:cs="Arial"/>
          <w:sz w:val="24"/>
          <w:szCs w:val="24"/>
        </w:rPr>
      </w:pPr>
      <w:r w:rsidRPr="009A64B0">
        <w:rPr>
          <w:rFonts w:ascii="Arial" w:hAnsi="Arial" w:cs="Arial"/>
          <w:b/>
          <w:sz w:val="24"/>
          <w:szCs w:val="24"/>
          <w:lang w:val="en-GB"/>
        </w:rPr>
        <w:t>Summary</w:t>
      </w:r>
      <w:r>
        <w:rPr>
          <w:rFonts w:ascii="Arial" w:hAnsi="Arial" w:cs="Arial"/>
          <w:b/>
          <w:sz w:val="24"/>
          <w:szCs w:val="24"/>
          <w:lang w:val="en-GB"/>
        </w:rPr>
        <w:t xml:space="preserve">: </w:t>
      </w:r>
      <w:r w:rsidR="00E41BD1">
        <w:rPr>
          <w:rFonts w:ascii="Arial" w:hAnsi="Arial" w:cs="Arial"/>
          <w:sz w:val="24"/>
          <w:szCs w:val="24"/>
        </w:rPr>
        <w:t xml:space="preserve">This </w:t>
      </w:r>
      <w:r w:rsidR="00590D74">
        <w:rPr>
          <w:rFonts w:ascii="Arial" w:hAnsi="Arial" w:cs="Arial"/>
          <w:sz w:val="24"/>
          <w:szCs w:val="24"/>
        </w:rPr>
        <w:t xml:space="preserve">appeal </w:t>
      </w:r>
      <w:r w:rsidR="006A528F">
        <w:rPr>
          <w:rFonts w:ascii="Arial" w:hAnsi="Arial" w:cs="Arial"/>
          <w:sz w:val="24"/>
          <w:szCs w:val="24"/>
        </w:rPr>
        <w:t xml:space="preserve">arises </w:t>
      </w:r>
      <w:r w:rsidR="00590D74">
        <w:rPr>
          <w:rFonts w:ascii="Arial" w:hAnsi="Arial" w:cs="Arial"/>
          <w:sz w:val="24"/>
          <w:szCs w:val="24"/>
        </w:rPr>
        <w:t>from</w:t>
      </w:r>
      <w:r w:rsidR="00B874C9" w:rsidRPr="00B874C9">
        <w:rPr>
          <w:rFonts w:ascii="Arial" w:hAnsi="Arial" w:cs="Arial"/>
          <w:sz w:val="24"/>
          <w:szCs w:val="24"/>
        </w:rPr>
        <w:t xml:space="preserve"> </w:t>
      </w:r>
      <w:r w:rsidR="007F0994">
        <w:rPr>
          <w:rFonts w:ascii="Arial" w:hAnsi="Arial" w:cs="Arial"/>
          <w:sz w:val="24"/>
          <w:szCs w:val="24"/>
        </w:rPr>
        <w:t xml:space="preserve">a tender for the provision of </w:t>
      </w:r>
      <w:r w:rsidR="00E41BD1" w:rsidRPr="00E41BD1">
        <w:rPr>
          <w:rFonts w:ascii="Arial" w:hAnsi="Arial" w:cs="Arial"/>
          <w:sz w:val="24"/>
          <w:szCs w:val="24"/>
          <w:lang w:val="en-ZW"/>
        </w:rPr>
        <w:t xml:space="preserve">catering services </w:t>
      </w:r>
      <w:r w:rsidR="007F0994">
        <w:rPr>
          <w:rFonts w:ascii="Arial" w:hAnsi="Arial" w:cs="Arial"/>
          <w:sz w:val="24"/>
          <w:szCs w:val="24"/>
          <w:lang w:val="en-ZW"/>
        </w:rPr>
        <w:t xml:space="preserve">to </w:t>
      </w:r>
      <w:r w:rsidR="00E41BD1" w:rsidRPr="00E41BD1">
        <w:rPr>
          <w:rFonts w:ascii="Arial" w:hAnsi="Arial" w:cs="Arial"/>
          <w:sz w:val="24"/>
          <w:szCs w:val="24"/>
          <w:lang w:val="en-ZW"/>
        </w:rPr>
        <w:t>government school hostels</w:t>
      </w:r>
      <w:r w:rsidR="00E41BD1">
        <w:rPr>
          <w:rFonts w:ascii="Arial" w:hAnsi="Arial" w:cs="Arial"/>
          <w:sz w:val="24"/>
          <w:szCs w:val="24"/>
          <w:lang w:val="en-ZW"/>
        </w:rPr>
        <w:t xml:space="preserve"> </w:t>
      </w:r>
      <w:r w:rsidR="009C5F9B">
        <w:rPr>
          <w:rFonts w:ascii="Arial" w:hAnsi="Arial" w:cs="Arial"/>
          <w:sz w:val="24"/>
          <w:szCs w:val="24"/>
          <w:lang w:val="en-ZW"/>
        </w:rPr>
        <w:t>countrywide</w:t>
      </w:r>
      <w:r w:rsidR="00E41BD1">
        <w:rPr>
          <w:rFonts w:ascii="Arial" w:hAnsi="Arial" w:cs="Arial"/>
          <w:sz w:val="24"/>
          <w:szCs w:val="24"/>
          <w:lang w:val="en-ZW"/>
        </w:rPr>
        <w:t xml:space="preserve">. The </w:t>
      </w:r>
      <w:r w:rsidR="007F0994">
        <w:rPr>
          <w:rFonts w:ascii="Arial" w:hAnsi="Arial" w:cs="Arial"/>
          <w:sz w:val="24"/>
          <w:szCs w:val="24"/>
          <w:lang w:val="en-ZW"/>
        </w:rPr>
        <w:t xml:space="preserve">Tender Board invited suitably qualified entities to submit tenders </w:t>
      </w:r>
      <w:r w:rsidR="00E41BD1" w:rsidRPr="000519CF">
        <w:rPr>
          <w:rFonts w:ascii="Arial" w:hAnsi="Arial" w:cs="Arial"/>
          <w:sz w:val="24"/>
          <w:szCs w:val="24"/>
          <w:lang w:val="en-ZW"/>
        </w:rPr>
        <w:t xml:space="preserve">for </w:t>
      </w:r>
      <w:r w:rsidR="006A528F">
        <w:rPr>
          <w:rFonts w:ascii="Arial" w:hAnsi="Arial" w:cs="Arial"/>
          <w:sz w:val="24"/>
          <w:szCs w:val="24"/>
          <w:lang w:val="en-ZW"/>
        </w:rPr>
        <w:t xml:space="preserve">the supply of foodstuffs to </w:t>
      </w:r>
      <w:r w:rsidR="00E41BD1" w:rsidRPr="000519CF">
        <w:rPr>
          <w:rFonts w:ascii="Arial" w:hAnsi="Arial" w:cs="Arial"/>
          <w:sz w:val="24"/>
          <w:szCs w:val="24"/>
          <w:lang w:val="en-ZW"/>
        </w:rPr>
        <w:t>school</w:t>
      </w:r>
      <w:r w:rsidR="006A528F">
        <w:rPr>
          <w:rFonts w:ascii="Arial" w:hAnsi="Arial" w:cs="Arial"/>
          <w:sz w:val="24"/>
          <w:szCs w:val="24"/>
          <w:lang w:val="en-ZW"/>
        </w:rPr>
        <w:t xml:space="preserve"> hostels </w:t>
      </w:r>
      <w:r w:rsidR="00E41BD1" w:rsidRPr="000519CF">
        <w:rPr>
          <w:rFonts w:ascii="Arial" w:hAnsi="Arial" w:cs="Arial"/>
          <w:sz w:val="24"/>
          <w:szCs w:val="24"/>
          <w:lang w:val="en-ZW"/>
        </w:rPr>
        <w:t xml:space="preserve">in each of the eight designated regions. </w:t>
      </w:r>
      <w:r w:rsidR="00851FF1">
        <w:rPr>
          <w:rFonts w:ascii="Arial" w:hAnsi="Arial" w:cs="Arial"/>
          <w:sz w:val="24"/>
          <w:szCs w:val="24"/>
          <w:lang w:val="en-ZW"/>
        </w:rPr>
        <w:t xml:space="preserve">The </w:t>
      </w:r>
      <w:r w:rsidR="007F0994">
        <w:rPr>
          <w:rFonts w:ascii="Arial" w:hAnsi="Arial" w:cs="Arial"/>
          <w:sz w:val="24"/>
          <w:szCs w:val="24"/>
          <w:lang w:val="en-ZW"/>
        </w:rPr>
        <w:t xml:space="preserve">appeal concerns the </w:t>
      </w:r>
      <w:r w:rsidR="009C5F9B">
        <w:rPr>
          <w:rFonts w:ascii="Arial" w:hAnsi="Arial" w:cs="Arial"/>
          <w:sz w:val="24"/>
          <w:szCs w:val="24"/>
          <w:lang w:val="en-ZW"/>
        </w:rPr>
        <w:t xml:space="preserve">rendering </w:t>
      </w:r>
      <w:r w:rsidR="007F0994">
        <w:rPr>
          <w:rFonts w:ascii="Arial" w:hAnsi="Arial" w:cs="Arial"/>
          <w:sz w:val="24"/>
          <w:szCs w:val="24"/>
          <w:lang w:val="en-ZW"/>
        </w:rPr>
        <w:t xml:space="preserve">of catering services to hostels </w:t>
      </w:r>
      <w:r w:rsidR="00851FF1">
        <w:rPr>
          <w:rFonts w:ascii="Arial" w:hAnsi="Arial" w:cs="Arial"/>
          <w:sz w:val="24"/>
          <w:szCs w:val="24"/>
          <w:lang w:val="en-ZW"/>
        </w:rPr>
        <w:t>i</w:t>
      </w:r>
      <w:r w:rsidR="007F0994">
        <w:rPr>
          <w:rFonts w:ascii="Arial" w:hAnsi="Arial" w:cs="Arial"/>
          <w:sz w:val="24"/>
          <w:szCs w:val="24"/>
          <w:lang w:val="en-ZW"/>
        </w:rPr>
        <w:t>n</w:t>
      </w:r>
      <w:r w:rsidR="00851FF1">
        <w:rPr>
          <w:rFonts w:ascii="Arial" w:hAnsi="Arial" w:cs="Arial"/>
          <w:sz w:val="24"/>
          <w:szCs w:val="24"/>
          <w:lang w:val="en-ZW"/>
        </w:rPr>
        <w:t xml:space="preserve"> </w:t>
      </w:r>
      <w:r w:rsidR="00851FF1" w:rsidRPr="00851FF1">
        <w:rPr>
          <w:rFonts w:ascii="Arial" w:hAnsi="Arial" w:cs="Arial"/>
          <w:sz w:val="24"/>
          <w:szCs w:val="24"/>
          <w:lang w:val="en-ZA"/>
        </w:rPr>
        <w:t>Ohangwena</w:t>
      </w:r>
      <w:r w:rsidR="00FD6FE0">
        <w:rPr>
          <w:rFonts w:ascii="Arial" w:hAnsi="Arial" w:cs="Arial"/>
          <w:sz w:val="24"/>
          <w:szCs w:val="24"/>
          <w:lang w:val="en-ZA"/>
        </w:rPr>
        <w:t xml:space="preserve"> </w:t>
      </w:r>
      <w:r w:rsidR="00851FF1" w:rsidRPr="00851FF1">
        <w:rPr>
          <w:rFonts w:ascii="Arial" w:hAnsi="Arial" w:cs="Arial"/>
          <w:sz w:val="24"/>
          <w:szCs w:val="24"/>
          <w:lang w:val="en-ZA"/>
        </w:rPr>
        <w:t>/</w:t>
      </w:r>
      <w:r w:rsidR="00FD6FE0">
        <w:rPr>
          <w:rFonts w:ascii="Arial" w:hAnsi="Arial" w:cs="Arial"/>
          <w:sz w:val="24"/>
          <w:szCs w:val="24"/>
          <w:lang w:val="en-ZA"/>
        </w:rPr>
        <w:t xml:space="preserve"> </w:t>
      </w:r>
      <w:bookmarkStart w:id="0" w:name="_GoBack"/>
      <w:bookmarkEnd w:id="0"/>
      <w:r w:rsidR="00851FF1" w:rsidRPr="00851FF1">
        <w:rPr>
          <w:rFonts w:ascii="Arial" w:hAnsi="Arial" w:cs="Arial"/>
          <w:sz w:val="24"/>
          <w:szCs w:val="24"/>
          <w:lang w:val="en-ZA"/>
        </w:rPr>
        <w:t>Oshikoto</w:t>
      </w:r>
      <w:r w:rsidR="007F0994">
        <w:rPr>
          <w:rFonts w:ascii="Arial" w:hAnsi="Arial" w:cs="Arial"/>
          <w:sz w:val="24"/>
          <w:szCs w:val="24"/>
          <w:lang w:val="en-ZA"/>
        </w:rPr>
        <w:t xml:space="preserve"> educational region</w:t>
      </w:r>
      <w:r w:rsidR="00851FF1">
        <w:rPr>
          <w:rFonts w:ascii="Arial" w:hAnsi="Arial" w:cs="Arial"/>
          <w:sz w:val="24"/>
          <w:szCs w:val="24"/>
          <w:lang w:val="en-ZA"/>
        </w:rPr>
        <w:t xml:space="preserve">. </w:t>
      </w:r>
      <w:r w:rsidR="007F0994">
        <w:rPr>
          <w:rFonts w:ascii="Arial" w:hAnsi="Arial" w:cs="Arial"/>
          <w:sz w:val="24"/>
          <w:szCs w:val="24"/>
          <w:lang w:val="en-ZA"/>
        </w:rPr>
        <w:t xml:space="preserve">It was a </w:t>
      </w:r>
      <w:r w:rsidR="00416A16">
        <w:rPr>
          <w:rFonts w:ascii="Arial" w:hAnsi="Arial" w:cs="Arial"/>
          <w:sz w:val="24"/>
          <w:szCs w:val="24"/>
          <w:lang w:val="en-ZA"/>
        </w:rPr>
        <w:t>c</w:t>
      </w:r>
      <w:r w:rsidR="000519CF" w:rsidRPr="000519CF">
        <w:rPr>
          <w:rFonts w:ascii="Arial" w:hAnsi="Arial" w:cs="Arial"/>
          <w:sz w:val="24"/>
          <w:szCs w:val="24"/>
          <w:lang w:val="en-ZA"/>
        </w:rPr>
        <w:t>ondition of </w:t>
      </w:r>
      <w:r w:rsidR="007F0994">
        <w:rPr>
          <w:rFonts w:ascii="Arial" w:hAnsi="Arial" w:cs="Arial"/>
          <w:sz w:val="24"/>
          <w:szCs w:val="24"/>
          <w:lang w:val="en-ZA"/>
        </w:rPr>
        <w:t xml:space="preserve">the </w:t>
      </w:r>
      <w:r w:rsidR="00416A16">
        <w:rPr>
          <w:rFonts w:ascii="Arial" w:hAnsi="Arial" w:cs="Arial"/>
          <w:sz w:val="24"/>
          <w:szCs w:val="24"/>
          <w:lang w:val="en-ZA"/>
        </w:rPr>
        <w:lastRenderedPageBreak/>
        <w:t>t</w:t>
      </w:r>
      <w:r w:rsidR="000519CF" w:rsidRPr="000519CF">
        <w:rPr>
          <w:rFonts w:ascii="Arial" w:hAnsi="Arial" w:cs="Arial"/>
          <w:bCs/>
          <w:sz w:val="24"/>
          <w:szCs w:val="24"/>
          <w:lang w:val="en-ZA"/>
        </w:rPr>
        <w:t>ender</w:t>
      </w:r>
      <w:r w:rsidR="000519CF" w:rsidRPr="000519CF">
        <w:rPr>
          <w:rFonts w:ascii="Arial" w:hAnsi="Arial" w:cs="Arial"/>
          <w:sz w:val="24"/>
          <w:szCs w:val="24"/>
          <w:lang w:val="en-ZA"/>
        </w:rPr>
        <w:t> </w:t>
      </w:r>
      <w:r w:rsidR="0060282B">
        <w:rPr>
          <w:rFonts w:ascii="Arial" w:hAnsi="Arial" w:cs="Arial"/>
          <w:sz w:val="24"/>
          <w:szCs w:val="24"/>
          <w:lang w:val="en-ZA"/>
        </w:rPr>
        <w:t>that</w:t>
      </w:r>
      <w:r w:rsidR="00416A16">
        <w:rPr>
          <w:rFonts w:ascii="Arial" w:hAnsi="Arial" w:cs="Arial"/>
          <w:sz w:val="24"/>
          <w:szCs w:val="24"/>
          <w:lang w:val="en-ZA"/>
        </w:rPr>
        <w:t xml:space="preserve"> a successful tender</w:t>
      </w:r>
      <w:r w:rsidR="007F0994">
        <w:rPr>
          <w:rFonts w:ascii="Arial" w:hAnsi="Arial" w:cs="Arial"/>
          <w:sz w:val="24"/>
          <w:szCs w:val="24"/>
          <w:lang w:val="en-ZA"/>
        </w:rPr>
        <w:t>er</w:t>
      </w:r>
      <w:r w:rsidR="00416A16">
        <w:rPr>
          <w:rFonts w:ascii="Arial" w:hAnsi="Arial" w:cs="Arial"/>
          <w:sz w:val="24"/>
          <w:szCs w:val="24"/>
          <w:lang w:val="en-ZA"/>
        </w:rPr>
        <w:t xml:space="preserve"> </w:t>
      </w:r>
      <w:r w:rsidR="0060282B">
        <w:rPr>
          <w:rFonts w:ascii="Arial" w:hAnsi="Arial" w:cs="Arial"/>
          <w:sz w:val="24"/>
          <w:szCs w:val="24"/>
          <w:lang w:val="en-ZA"/>
        </w:rPr>
        <w:t>w</w:t>
      </w:r>
      <w:r w:rsidR="003A62D2">
        <w:rPr>
          <w:rFonts w:ascii="Arial" w:hAnsi="Arial" w:cs="Arial"/>
          <w:sz w:val="24"/>
          <w:szCs w:val="24"/>
          <w:lang w:val="en-ZA"/>
        </w:rPr>
        <w:t>ould</w:t>
      </w:r>
      <w:r w:rsidR="0060282B">
        <w:rPr>
          <w:rFonts w:ascii="Arial" w:hAnsi="Arial" w:cs="Arial"/>
          <w:sz w:val="24"/>
          <w:szCs w:val="24"/>
          <w:lang w:val="en-ZA"/>
        </w:rPr>
        <w:t xml:space="preserve"> be </w:t>
      </w:r>
      <w:r w:rsidR="00416A16">
        <w:rPr>
          <w:rFonts w:ascii="Arial" w:hAnsi="Arial" w:cs="Arial"/>
          <w:sz w:val="24"/>
          <w:szCs w:val="24"/>
          <w:lang w:val="en-ZA"/>
        </w:rPr>
        <w:t xml:space="preserve">required to </w:t>
      </w:r>
      <w:r w:rsidR="0060282B">
        <w:rPr>
          <w:rFonts w:ascii="Arial" w:hAnsi="Arial" w:cs="Arial"/>
          <w:sz w:val="24"/>
          <w:szCs w:val="24"/>
          <w:lang w:val="en-ZA"/>
        </w:rPr>
        <w:t>provide catering</w:t>
      </w:r>
      <w:r w:rsidR="00416A16">
        <w:rPr>
          <w:rFonts w:ascii="Arial" w:hAnsi="Arial" w:cs="Arial"/>
          <w:sz w:val="24"/>
          <w:szCs w:val="24"/>
          <w:lang w:val="en-ZA"/>
        </w:rPr>
        <w:t xml:space="preserve"> </w:t>
      </w:r>
      <w:r w:rsidR="00416A16" w:rsidRPr="00416A16">
        <w:rPr>
          <w:rFonts w:ascii="Arial" w:hAnsi="Arial" w:cs="Arial"/>
          <w:sz w:val="24"/>
          <w:szCs w:val="24"/>
        </w:rPr>
        <w:t xml:space="preserve">services </w:t>
      </w:r>
      <w:r w:rsidR="003761C1">
        <w:rPr>
          <w:rFonts w:ascii="Arial" w:hAnsi="Arial" w:cs="Arial"/>
          <w:sz w:val="24"/>
          <w:szCs w:val="24"/>
        </w:rPr>
        <w:t>for five years c</w:t>
      </w:r>
      <w:r w:rsidR="00416A16" w:rsidRPr="00416A16">
        <w:rPr>
          <w:rFonts w:ascii="Arial" w:hAnsi="Arial" w:cs="Arial"/>
          <w:sz w:val="24"/>
          <w:szCs w:val="24"/>
        </w:rPr>
        <w:t>ommencing on 1 April 20</w:t>
      </w:r>
      <w:r w:rsidR="004476C8">
        <w:rPr>
          <w:rFonts w:ascii="Arial" w:hAnsi="Arial" w:cs="Arial"/>
          <w:sz w:val="24"/>
          <w:szCs w:val="24"/>
        </w:rPr>
        <w:t>09 and ending on 31 March 2014.</w:t>
      </w:r>
    </w:p>
    <w:p w:rsidR="004476C8" w:rsidRPr="00CE5F71" w:rsidRDefault="004476C8" w:rsidP="004476C8">
      <w:pPr>
        <w:spacing w:after="0" w:line="480" w:lineRule="auto"/>
        <w:jc w:val="both"/>
        <w:rPr>
          <w:rFonts w:ascii="Arial" w:hAnsi="Arial" w:cs="Arial"/>
          <w:sz w:val="24"/>
          <w:szCs w:val="24"/>
          <w:lang w:val="en-ZA"/>
        </w:rPr>
      </w:pPr>
    </w:p>
    <w:p w:rsidR="00E633D9" w:rsidRDefault="00E20388" w:rsidP="001F2C71">
      <w:pPr>
        <w:tabs>
          <w:tab w:val="num" w:pos="720"/>
        </w:tabs>
        <w:spacing w:line="480" w:lineRule="auto"/>
        <w:jc w:val="both"/>
        <w:rPr>
          <w:rFonts w:ascii="Arial" w:hAnsi="Arial" w:cs="Arial"/>
          <w:sz w:val="24"/>
          <w:szCs w:val="24"/>
          <w:lang w:val="en-ZA"/>
        </w:rPr>
      </w:pPr>
      <w:r>
        <w:rPr>
          <w:rFonts w:ascii="Arial" w:hAnsi="Arial" w:cs="Arial"/>
          <w:sz w:val="24"/>
          <w:szCs w:val="24"/>
        </w:rPr>
        <w:t xml:space="preserve">Several </w:t>
      </w:r>
      <w:r w:rsidR="001B1BFC">
        <w:rPr>
          <w:rFonts w:ascii="Arial" w:hAnsi="Arial" w:cs="Arial"/>
          <w:sz w:val="24"/>
          <w:szCs w:val="24"/>
        </w:rPr>
        <w:t>tenders</w:t>
      </w:r>
      <w:r>
        <w:rPr>
          <w:rFonts w:ascii="Arial" w:hAnsi="Arial" w:cs="Arial"/>
          <w:sz w:val="24"/>
          <w:szCs w:val="24"/>
        </w:rPr>
        <w:t xml:space="preserve"> were received, including that of the appellant.</w:t>
      </w:r>
      <w:r w:rsidR="002A5BC6">
        <w:rPr>
          <w:rFonts w:ascii="Arial" w:hAnsi="Arial" w:cs="Arial"/>
          <w:sz w:val="24"/>
          <w:szCs w:val="24"/>
          <w:lang w:val="en-ZA"/>
        </w:rPr>
        <w:t xml:space="preserve"> </w:t>
      </w:r>
      <w:r w:rsidR="00CE5F71" w:rsidRPr="00CE5F71">
        <w:rPr>
          <w:rFonts w:ascii="Arial" w:hAnsi="Arial" w:cs="Arial"/>
          <w:sz w:val="24"/>
          <w:szCs w:val="24"/>
          <w:lang w:val="en-ZA"/>
        </w:rPr>
        <w:t xml:space="preserve">Having been considered by the relevant </w:t>
      </w:r>
      <w:r w:rsidR="009C5F9B">
        <w:rPr>
          <w:rFonts w:ascii="Arial" w:hAnsi="Arial" w:cs="Arial"/>
          <w:sz w:val="24"/>
          <w:szCs w:val="24"/>
          <w:lang w:val="en-ZA"/>
        </w:rPr>
        <w:t>Ministerial C</w:t>
      </w:r>
      <w:r w:rsidR="00CE5F71" w:rsidRPr="00CE5F71">
        <w:rPr>
          <w:rFonts w:ascii="Arial" w:hAnsi="Arial" w:cs="Arial"/>
          <w:sz w:val="24"/>
          <w:szCs w:val="24"/>
          <w:lang w:val="en-ZA"/>
        </w:rPr>
        <w:t xml:space="preserve">ommittee, and after recommendations had been made, </w:t>
      </w:r>
      <w:r w:rsidRPr="00E20388">
        <w:rPr>
          <w:rFonts w:ascii="Arial" w:hAnsi="Arial" w:cs="Arial"/>
          <w:sz w:val="24"/>
          <w:szCs w:val="24"/>
          <w:lang w:val="en-ZA"/>
        </w:rPr>
        <w:t xml:space="preserve">the </w:t>
      </w:r>
      <w:r w:rsidR="009C5F9B">
        <w:rPr>
          <w:rFonts w:ascii="Arial" w:hAnsi="Arial" w:cs="Arial"/>
          <w:sz w:val="24"/>
          <w:szCs w:val="24"/>
          <w:lang w:val="en-ZA"/>
        </w:rPr>
        <w:t>Tender Board</w:t>
      </w:r>
      <w:r w:rsidRPr="00E20388">
        <w:rPr>
          <w:rFonts w:ascii="Arial" w:hAnsi="Arial" w:cs="Arial"/>
          <w:sz w:val="24"/>
          <w:szCs w:val="24"/>
          <w:lang w:val="en-ZA"/>
        </w:rPr>
        <w:t xml:space="preserve"> awarded the tender to </w:t>
      </w:r>
      <w:r w:rsidRPr="00E20388">
        <w:rPr>
          <w:rFonts w:ascii="Arial" w:hAnsi="Arial" w:cs="Arial"/>
          <w:sz w:val="24"/>
          <w:szCs w:val="24"/>
        </w:rPr>
        <w:t xml:space="preserve">a company named Conger Investments (Pty) </w:t>
      </w:r>
      <w:r w:rsidR="003761C1">
        <w:rPr>
          <w:rFonts w:ascii="Arial" w:hAnsi="Arial" w:cs="Arial"/>
          <w:sz w:val="24"/>
          <w:szCs w:val="24"/>
        </w:rPr>
        <w:t xml:space="preserve">Ltd </w:t>
      </w:r>
      <w:r w:rsidRPr="00E20388">
        <w:rPr>
          <w:rFonts w:ascii="Arial" w:hAnsi="Arial" w:cs="Arial"/>
          <w:sz w:val="24"/>
          <w:szCs w:val="24"/>
        </w:rPr>
        <w:t>t/a Atlantic Food Services, which is not a party to these proceedings</w:t>
      </w:r>
      <w:r w:rsidRPr="00E20388">
        <w:rPr>
          <w:rFonts w:ascii="Arial" w:hAnsi="Arial" w:cs="Arial"/>
          <w:sz w:val="24"/>
          <w:szCs w:val="24"/>
          <w:lang w:val="en-ZA"/>
        </w:rPr>
        <w:t>.</w:t>
      </w:r>
    </w:p>
    <w:p w:rsidR="004476C8" w:rsidRDefault="004476C8" w:rsidP="004476C8">
      <w:pPr>
        <w:tabs>
          <w:tab w:val="num" w:pos="720"/>
        </w:tabs>
        <w:spacing w:after="0" w:line="480" w:lineRule="auto"/>
        <w:jc w:val="both"/>
        <w:rPr>
          <w:rFonts w:ascii="Arial" w:hAnsi="Arial" w:cs="Arial"/>
          <w:sz w:val="24"/>
          <w:szCs w:val="24"/>
          <w:lang w:val="en-ZA"/>
        </w:rPr>
      </w:pPr>
    </w:p>
    <w:p w:rsidR="001F2C71" w:rsidRDefault="0060282B" w:rsidP="001F2C71">
      <w:pPr>
        <w:tabs>
          <w:tab w:val="num" w:pos="720"/>
        </w:tabs>
        <w:spacing w:line="480" w:lineRule="auto"/>
        <w:jc w:val="both"/>
        <w:rPr>
          <w:rFonts w:ascii="Arial" w:hAnsi="Arial" w:cs="Arial"/>
          <w:sz w:val="24"/>
          <w:szCs w:val="24"/>
          <w:lang w:val="en-ZA"/>
        </w:rPr>
      </w:pPr>
      <w:r w:rsidRPr="0060282B">
        <w:rPr>
          <w:rFonts w:ascii="Arial" w:hAnsi="Arial" w:cs="Arial"/>
          <w:sz w:val="24"/>
          <w:szCs w:val="24"/>
          <w:lang w:val="en-ZA"/>
        </w:rPr>
        <w:t xml:space="preserve">After being advised of this decision of the </w:t>
      </w:r>
      <w:r w:rsidR="009C5F9B">
        <w:rPr>
          <w:rFonts w:ascii="Arial" w:hAnsi="Arial" w:cs="Arial"/>
          <w:sz w:val="24"/>
          <w:szCs w:val="24"/>
          <w:lang w:val="en-ZA"/>
        </w:rPr>
        <w:t>Tender Board</w:t>
      </w:r>
      <w:r w:rsidRPr="0060282B">
        <w:rPr>
          <w:rFonts w:ascii="Arial" w:hAnsi="Arial" w:cs="Arial"/>
          <w:sz w:val="24"/>
          <w:szCs w:val="24"/>
          <w:lang w:val="en-ZA"/>
        </w:rPr>
        <w:t xml:space="preserve">, the </w:t>
      </w:r>
      <w:r w:rsidR="00A80520">
        <w:rPr>
          <w:rFonts w:ascii="Arial" w:hAnsi="Arial" w:cs="Arial"/>
          <w:sz w:val="24"/>
          <w:szCs w:val="24"/>
          <w:lang w:val="en-ZA"/>
        </w:rPr>
        <w:t xml:space="preserve">appellant </w:t>
      </w:r>
      <w:r w:rsidR="009C5F9B">
        <w:rPr>
          <w:rFonts w:ascii="Arial" w:hAnsi="Arial" w:cs="Arial"/>
          <w:sz w:val="24"/>
          <w:szCs w:val="24"/>
          <w:lang w:val="en-ZA"/>
        </w:rPr>
        <w:t xml:space="preserve">brought </w:t>
      </w:r>
      <w:r w:rsidR="00A80520">
        <w:rPr>
          <w:rFonts w:ascii="Arial" w:hAnsi="Arial" w:cs="Arial"/>
          <w:sz w:val="24"/>
          <w:szCs w:val="24"/>
          <w:lang w:val="en-ZA"/>
        </w:rPr>
        <w:t>an application in the High</w:t>
      </w:r>
      <w:r w:rsidRPr="0060282B">
        <w:rPr>
          <w:rFonts w:ascii="Arial" w:hAnsi="Arial" w:cs="Arial"/>
          <w:sz w:val="24"/>
          <w:szCs w:val="24"/>
          <w:lang w:val="en-ZA"/>
        </w:rPr>
        <w:t xml:space="preserve"> Court </w:t>
      </w:r>
      <w:r w:rsidR="00A80520" w:rsidRPr="00A80520">
        <w:rPr>
          <w:rFonts w:ascii="Arial" w:hAnsi="Arial" w:cs="Arial"/>
          <w:sz w:val="24"/>
          <w:szCs w:val="24"/>
        </w:rPr>
        <w:t xml:space="preserve">to review and set aside </w:t>
      </w:r>
      <w:r w:rsidR="00A80520">
        <w:rPr>
          <w:rFonts w:ascii="Arial" w:hAnsi="Arial" w:cs="Arial"/>
          <w:sz w:val="24"/>
          <w:szCs w:val="24"/>
        </w:rPr>
        <w:t xml:space="preserve">the </w:t>
      </w:r>
      <w:r w:rsidR="00A80520" w:rsidRPr="00A80520">
        <w:rPr>
          <w:rFonts w:ascii="Arial" w:hAnsi="Arial" w:cs="Arial"/>
          <w:sz w:val="24"/>
          <w:szCs w:val="24"/>
        </w:rPr>
        <w:t xml:space="preserve">decision of the </w:t>
      </w:r>
      <w:r w:rsidR="009C5F9B">
        <w:rPr>
          <w:rFonts w:ascii="Arial" w:hAnsi="Arial" w:cs="Arial"/>
          <w:sz w:val="24"/>
          <w:szCs w:val="24"/>
        </w:rPr>
        <w:t>Tender Board and joined the rest of the respondents to the application</w:t>
      </w:r>
      <w:r w:rsidR="00A80520" w:rsidRPr="00A80520">
        <w:rPr>
          <w:rFonts w:ascii="Arial" w:hAnsi="Arial" w:cs="Arial"/>
          <w:sz w:val="24"/>
          <w:szCs w:val="24"/>
        </w:rPr>
        <w:t>. The app</w:t>
      </w:r>
      <w:r w:rsidR="00111090">
        <w:rPr>
          <w:rFonts w:ascii="Arial" w:hAnsi="Arial" w:cs="Arial"/>
          <w:sz w:val="24"/>
          <w:szCs w:val="24"/>
        </w:rPr>
        <w:t>ellant</w:t>
      </w:r>
      <w:r w:rsidR="00A80520" w:rsidRPr="00A80520">
        <w:rPr>
          <w:rFonts w:ascii="Arial" w:hAnsi="Arial" w:cs="Arial"/>
          <w:sz w:val="24"/>
          <w:szCs w:val="24"/>
        </w:rPr>
        <w:t xml:space="preserve"> also sought for an order that the tender for this region be awarded to it.</w:t>
      </w:r>
      <w:r w:rsidR="00A80520">
        <w:rPr>
          <w:rFonts w:ascii="Arial" w:hAnsi="Arial" w:cs="Arial"/>
          <w:sz w:val="24"/>
          <w:szCs w:val="24"/>
        </w:rPr>
        <w:t xml:space="preserve"> </w:t>
      </w:r>
      <w:r w:rsidR="006E5F1B">
        <w:rPr>
          <w:rFonts w:ascii="Arial" w:hAnsi="Arial" w:cs="Arial"/>
          <w:sz w:val="24"/>
          <w:szCs w:val="24"/>
        </w:rPr>
        <w:t xml:space="preserve">The respondents opposed the application. </w:t>
      </w:r>
      <w:r w:rsidR="001F2C71" w:rsidRPr="001F2C71">
        <w:rPr>
          <w:rFonts w:ascii="Arial" w:hAnsi="Arial" w:cs="Arial"/>
          <w:sz w:val="24"/>
          <w:szCs w:val="24"/>
        </w:rPr>
        <w:t>T</w:t>
      </w:r>
      <w:r w:rsidR="001F2C71" w:rsidRPr="001F2C71">
        <w:rPr>
          <w:rFonts w:ascii="Arial" w:hAnsi="Arial" w:cs="Arial"/>
          <w:sz w:val="24"/>
          <w:szCs w:val="24"/>
          <w:lang w:val="en-ZA"/>
        </w:rPr>
        <w:t xml:space="preserve">he High Court found that the </w:t>
      </w:r>
      <w:r w:rsidR="003761C1">
        <w:rPr>
          <w:rFonts w:ascii="Arial" w:hAnsi="Arial" w:cs="Arial"/>
          <w:sz w:val="24"/>
          <w:szCs w:val="24"/>
          <w:lang w:val="en-ZA"/>
        </w:rPr>
        <w:t xml:space="preserve">tender awarded to Conger Investments (Pty) Ltd was tainted by administrative irregularities and was </w:t>
      </w:r>
      <w:r w:rsidR="001F2C71" w:rsidRPr="001F2C71">
        <w:rPr>
          <w:rFonts w:ascii="Arial" w:hAnsi="Arial" w:cs="Arial"/>
          <w:sz w:val="24"/>
          <w:szCs w:val="24"/>
          <w:lang w:val="en-ZA"/>
        </w:rPr>
        <w:t>unfair. It set aside the tender award but refused to award the tender to the appellant.</w:t>
      </w:r>
    </w:p>
    <w:p w:rsidR="004476C8" w:rsidRPr="00E633D9" w:rsidRDefault="004476C8" w:rsidP="004476C8">
      <w:pPr>
        <w:tabs>
          <w:tab w:val="num" w:pos="720"/>
        </w:tabs>
        <w:spacing w:after="0" w:line="480" w:lineRule="auto"/>
        <w:jc w:val="both"/>
        <w:rPr>
          <w:rFonts w:ascii="Arial" w:hAnsi="Arial" w:cs="Arial"/>
          <w:sz w:val="24"/>
          <w:szCs w:val="24"/>
          <w:lang w:val="en-ZA"/>
        </w:rPr>
      </w:pPr>
    </w:p>
    <w:p w:rsidR="00EE192E" w:rsidRDefault="009C5F9B" w:rsidP="001F2C71">
      <w:pPr>
        <w:spacing w:line="480" w:lineRule="auto"/>
        <w:jc w:val="both"/>
        <w:rPr>
          <w:rFonts w:ascii="Arial" w:hAnsi="Arial" w:cs="Arial"/>
          <w:sz w:val="24"/>
          <w:szCs w:val="24"/>
        </w:rPr>
      </w:pPr>
      <w:r>
        <w:rPr>
          <w:rFonts w:ascii="Arial" w:hAnsi="Arial" w:cs="Arial"/>
          <w:sz w:val="24"/>
          <w:szCs w:val="24"/>
        </w:rPr>
        <w:t xml:space="preserve">Dissatisfied with </w:t>
      </w:r>
      <w:r w:rsidR="004E6779" w:rsidRPr="004E6779">
        <w:rPr>
          <w:rFonts w:ascii="Arial" w:hAnsi="Arial" w:cs="Arial"/>
          <w:sz w:val="24"/>
          <w:szCs w:val="24"/>
        </w:rPr>
        <w:t xml:space="preserve">the setting aside of the tender, </w:t>
      </w:r>
      <w:r>
        <w:rPr>
          <w:rFonts w:ascii="Arial" w:hAnsi="Arial" w:cs="Arial"/>
          <w:sz w:val="24"/>
          <w:szCs w:val="24"/>
        </w:rPr>
        <w:t xml:space="preserve">the respondents </w:t>
      </w:r>
      <w:r w:rsidR="004E6779" w:rsidRPr="004E6779">
        <w:rPr>
          <w:rFonts w:ascii="Arial" w:hAnsi="Arial" w:cs="Arial"/>
          <w:sz w:val="24"/>
          <w:szCs w:val="24"/>
        </w:rPr>
        <w:t>appealed to the Supreme Court.</w:t>
      </w:r>
      <w:r w:rsidR="004E6779">
        <w:rPr>
          <w:rFonts w:ascii="Arial" w:hAnsi="Arial" w:cs="Arial"/>
          <w:sz w:val="24"/>
          <w:szCs w:val="24"/>
        </w:rPr>
        <w:t xml:space="preserve"> </w:t>
      </w:r>
      <w:r w:rsidR="006B2397" w:rsidRPr="006B2397">
        <w:rPr>
          <w:rFonts w:ascii="Arial" w:hAnsi="Arial" w:cs="Arial"/>
          <w:sz w:val="24"/>
          <w:szCs w:val="24"/>
        </w:rPr>
        <w:t xml:space="preserve">The appellant, also dissatisfied with the decision of the court </w:t>
      </w:r>
      <w:r w:rsidR="006B2397" w:rsidRPr="006B2397">
        <w:rPr>
          <w:rFonts w:ascii="Arial" w:hAnsi="Arial" w:cs="Arial"/>
          <w:i/>
          <w:sz w:val="24"/>
          <w:szCs w:val="24"/>
        </w:rPr>
        <w:t xml:space="preserve">a quo </w:t>
      </w:r>
      <w:r w:rsidR="006B2397" w:rsidRPr="006B2397">
        <w:rPr>
          <w:rFonts w:ascii="Arial" w:hAnsi="Arial" w:cs="Arial"/>
          <w:sz w:val="24"/>
          <w:szCs w:val="24"/>
        </w:rPr>
        <w:t xml:space="preserve">refusing its request for the tender to be awarded to it, noted a cross-appeal against that part of the judgment.  After hearing argument, the Supreme Court dismissed both the appeal and </w:t>
      </w:r>
      <w:r w:rsidR="00590D74">
        <w:rPr>
          <w:rFonts w:ascii="Arial" w:hAnsi="Arial" w:cs="Arial"/>
          <w:sz w:val="24"/>
          <w:szCs w:val="24"/>
        </w:rPr>
        <w:t xml:space="preserve">the </w:t>
      </w:r>
      <w:r w:rsidR="006B2397" w:rsidRPr="006B2397">
        <w:rPr>
          <w:rFonts w:ascii="Arial" w:hAnsi="Arial" w:cs="Arial"/>
          <w:sz w:val="24"/>
          <w:szCs w:val="24"/>
        </w:rPr>
        <w:t xml:space="preserve">cross-appeal, with the consequence that the award of the tender remained set aside and meaning that the order of the court </w:t>
      </w:r>
      <w:r w:rsidR="006B2397" w:rsidRPr="006B2397">
        <w:rPr>
          <w:rFonts w:ascii="Arial" w:hAnsi="Arial" w:cs="Arial"/>
          <w:i/>
          <w:sz w:val="24"/>
          <w:szCs w:val="24"/>
        </w:rPr>
        <w:t xml:space="preserve">a quo </w:t>
      </w:r>
      <w:r w:rsidR="006B2397" w:rsidRPr="006B2397">
        <w:rPr>
          <w:rFonts w:ascii="Arial" w:hAnsi="Arial" w:cs="Arial"/>
          <w:sz w:val="24"/>
          <w:szCs w:val="24"/>
        </w:rPr>
        <w:t xml:space="preserve">remained unchanged. </w:t>
      </w:r>
      <w:r w:rsidR="008517C3">
        <w:rPr>
          <w:rFonts w:ascii="Arial" w:hAnsi="Arial" w:cs="Arial"/>
          <w:sz w:val="24"/>
          <w:szCs w:val="24"/>
        </w:rPr>
        <w:t>T</w:t>
      </w:r>
      <w:r w:rsidR="008517C3" w:rsidRPr="008517C3">
        <w:rPr>
          <w:rFonts w:ascii="Arial" w:hAnsi="Arial" w:cs="Arial"/>
          <w:sz w:val="24"/>
          <w:szCs w:val="24"/>
        </w:rPr>
        <w:t xml:space="preserve">he Supreme Court </w:t>
      </w:r>
      <w:r w:rsidR="008517C3">
        <w:rPr>
          <w:rFonts w:ascii="Arial" w:hAnsi="Arial" w:cs="Arial"/>
          <w:sz w:val="24"/>
          <w:szCs w:val="24"/>
        </w:rPr>
        <w:t xml:space="preserve">further </w:t>
      </w:r>
      <w:r w:rsidR="008517C3" w:rsidRPr="008517C3">
        <w:rPr>
          <w:rFonts w:ascii="Arial" w:hAnsi="Arial" w:cs="Arial"/>
          <w:sz w:val="24"/>
          <w:szCs w:val="24"/>
        </w:rPr>
        <w:t>directed that the tender be referred back to the T</w:t>
      </w:r>
      <w:r w:rsidR="004E6779">
        <w:rPr>
          <w:rFonts w:ascii="Arial" w:hAnsi="Arial" w:cs="Arial"/>
          <w:sz w:val="24"/>
          <w:szCs w:val="24"/>
        </w:rPr>
        <w:t>ender Board for reconsider</w:t>
      </w:r>
      <w:r w:rsidR="004476C8">
        <w:rPr>
          <w:rFonts w:ascii="Arial" w:hAnsi="Arial" w:cs="Arial"/>
          <w:sz w:val="24"/>
          <w:szCs w:val="24"/>
        </w:rPr>
        <w:t>ation.</w:t>
      </w:r>
    </w:p>
    <w:p w:rsidR="00F85BD8" w:rsidRDefault="004029A1" w:rsidP="001F2C71">
      <w:pPr>
        <w:spacing w:line="480" w:lineRule="auto"/>
        <w:jc w:val="both"/>
        <w:rPr>
          <w:rFonts w:ascii="Arial" w:hAnsi="Arial" w:cs="Arial"/>
          <w:sz w:val="24"/>
          <w:szCs w:val="24"/>
        </w:rPr>
      </w:pPr>
      <w:r w:rsidRPr="004029A1">
        <w:rPr>
          <w:rFonts w:ascii="Arial" w:hAnsi="Arial" w:cs="Arial"/>
          <w:sz w:val="24"/>
          <w:szCs w:val="24"/>
          <w:lang w:val="en-GB"/>
        </w:rPr>
        <w:lastRenderedPageBreak/>
        <w:t xml:space="preserve">The Tender Board gave effect to </w:t>
      </w:r>
      <w:r w:rsidR="00E633D9">
        <w:rPr>
          <w:rFonts w:ascii="Arial" w:hAnsi="Arial" w:cs="Arial"/>
          <w:sz w:val="24"/>
          <w:szCs w:val="24"/>
          <w:lang w:val="en-GB"/>
        </w:rPr>
        <w:t xml:space="preserve">the directives of the Supreme Court and </w:t>
      </w:r>
      <w:r w:rsidRPr="004029A1">
        <w:rPr>
          <w:rFonts w:ascii="Arial" w:hAnsi="Arial" w:cs="Arial"/>
          <w:sz w:val="24"/>
          <w:szCs w:val="24"/>
          <w:lang w:val="en-GB"/>
        </w:rPr>
        <w:t xml:space="preserve">eventually awarded </w:t>
      </w:r>
      <w:r w:rsidR="00A521F4">
        <w:rPr>
          <w:rFonts w:ascii="Arial" w:hAnsi="Arial" w:cs="Arial"/>
          <w:sz w:val="24"/>
          <w:szCs w:val="24"/>
          <w:lang w:val="en-GB"/>
        </w:rPr>
        <w:t xml:space="preserve">the tender </w:t>
      </w:r>
      <w:r w:rsidRPr="004029A1">
        <w:rPr>
          <w:rFonts w:ascii="Arial" w:hAnsi="Arial" w:cs="Arial"/>
          <w:sz w:val="24"/>
          <w:szCs w:val="24"/>
          <w:lang w:val="en-GB"/>
        </w:rPr>
        <w:t xml:space="preserve">to the appellant. </w:t>
      </w:r>
      <w:r w:rsidRPr="004029A1">
        <w:rPr>
          <w:rFonts w:ascii="Arial" w:hAnsi="Arial" w:cs="Arial"/>
          <w:sz w:val="24"/>
          <w:szCs w:val="24"/>
        </w:rPr>
        <w:t xml:space="preserve">The notice to the appellant informing it of the successful award did not state the term of the tender. Instead, the appellant was informed that the period would be indicated in the contract. </w:t>
      </w:r>
      <w:r w:rsidR="003761C1">
        <w:rPr>
          <w:rFonts w:ascii="Arial" w:hAnsi="Arial" w:cs="Arial"/>
          <w:sz w:val="24"/>
          <w:szCs w:val="24"/>
        </w:rPr>
        <w:t>The appellant brought a</w:t>
      </w:r>
      <w:r w:rsidR="005779A5">
        <w:rPr>
          <w:rFonts w:ascii="Arial" w:hAnsi="Arial" w:cs="Arial"/>
          <w:sz w:val="24"/>
          <w:szCs w:val="24"/>
        </w:rPr>
        <w:t xml:space="preserve">nother </w:t>
      </w:r>
      <w:r w:rsidR="003761C1">
        <w:rPr>
          <w:rFonts w:ascii="Arial" w:hAnsi="Arial" w:cs="Arial"/>
          <w:sz w:val="24"/>
          <w:szCs w:val="24"/>
        </w:rPr>
        <w:t xml:space="preserve">review application in the High Court </w:t>
      </w:r>
      <w:r w:rsidR="005779A5">
        <w:rPr>
          <w:rFonts w:ascii="Arial" w:hAnsi="Arial" w:cs="Arial"/>
          <w:sz w:val="24"/>
          <w:szCs w:val="24"/>
        </w:rPr>
        <w:t xml:space="preserve">this time </w:t>
      </w:r>
      <w:r w:rsidR="003761C1">
        <w:rPr>
          <w:rFonts w:ascii="Arial" w:hAnsi="Arial" w:cs="Arial"/>
          <w:sz w:val="24"/>
          <w:szCs w:val="24"/>
        </w:rPr>
        <w:t xml:space="preserve">seeking, amongst others, </w:t>
      </w:r>
      <w:r w:rsidR="00F85BD8">
        <w:rPr>
          <w:rFonts w:ascii="Arial" w:hAnsi="Arial" w:cs="Arial"/>
          <w:sz w:val="24"/>
          <w:szCs w:val="24"/>
        </w:rPr>
        <w:t xml:space="preserve">an order </w:t>
      </w:r>
      <w:r w:rsidR="003761C1">
        <w:rPr>
          <w:rFonts w:ascii="Arial" w:hAnsi="Arial" w:cs="Arial"/>
          <w:sz w:val="24"/>
          <w:szCs w:val="24"/>
        </w:rPr>
        <w:t xml:space="preserve">that the </w:t>
      </w:r>
      <w:r w:rsidR="00F85BD8">
        <w:rPr>
          <w:rFonts w:ascii="Arial" w:hAnsi="Arial" w:cs="Arial"/>
          <w:sz w:val="24"/>
          <w:szCs w:val="24"/>
        </w:rPr>
        <w:t>tender awarded to it was for a five year period reckoned from 10 January 2014 to 10 January 2019. The High Court found that the Tender Board was directed by the Supreme Court to reconsider the original tender and not one for a longer term.  Dissatisfied with the judgment and order of the High Court, the appellant has no</w:t>
      </w:r>
      <w:r w:rsidR="003A62D2">
        <w:rPr>
          <w:rFonts w:ascii="Arial" w:hAnsi="Arial" w:cs="Arial"/>
          <w:sz w:val="24"/>
          <w:szCs w:val="24"/>
        </w:rPr>
        <w:t>w</w:t>
      </w:r>
      <w:r w:rsidR="00F85BD8">
        <w:rPr>
          <w:rFonts w:ascii="Arial" w:hAnsi="Arial" w:cs="Arial"/>
          <w:sz w:val="24"/>
          <w:szCs w:val="24"/>
        </w:rPr>
        <w:t xml:space="preserve"> appealed to th</w:t>
      </w:r>
      <w:r w:rsidR="003A62D2">
        <w:rPr>
          <w:rFonts w:ascii="Arial" w:hAnsi="Arial" w:cs="Arial"/>
          <w:sz w:val="24"/>
          <w:szCs w:val="24"/>
        </w:rPr>
        <w:t xml:space="preserve">is </w:t>
      </w:r>
      <w:r w:rsidR="004476C8">
        <w:rPr>
          <w:rFonts w:ascii="Arial" w:hAnsi="Arial" w:cs="Arial"/>
          <w:sz w:val="24"/>
          <w:szCs w:val="24"/>
        </w:rPr>
        <w:t>Court.</w:t>
      </w:r>
    </w:p>
    <w:p w:rsidR="004476C8" w:rsidRDefault="004476C8" w:rsidP="004476C8">
      <w:pPr>
        <w:spacing w:after="0" w:line="480" w:lineRule="auto"/>
        <w:jc w:val="both"/>
        <w:rPr>
          <w:rFonts w:ascii="Arial" w:hAnsi="Arial" w:cs="Arial"/>
          <w:sz w:val="24"/>
          <w:szCs w:val="24"/>
        </w:rPr>
      </w:pPr>
    </w:p>
    <w:p w:rsidR="00213CC7" w:rsidRPr="00213CC7" w:rsidRDefault="00F85BD8" w:rsidP="004476C8">
      <w:pPr>
        <w:spacing w:after="0" w:line="480" w:lineRule="auto"/>
        <w:jc w:val="both"/>
        <w:rPr>
          <w:rFonts w:ascii="Arial" w:hAnsi="Arial" w:cs="Arial"/>
          <w:sz w:val="24"/>
          <w:szCs w:val="24"/>
          <w:lang w:val="en-GB"/>
        </w:rPr>
      </w:pPr>
      <w:r>
        <w:rPr>
          <w:rFonts w:ascii="Arial" w:hAnsi="Arial" w:cs="Arial"/>
          <w:sz w:val="24"/>
          <w:szCs w:val="24"/>
        </w:rPr>
        <w:t xml:space="preserve">The Court </w:t>
      </w:r>
      <w:r w:rsidR="00E42690" w:rsidRPr="00E42690">
        <w:rPr>
          <w:rFonts w:ascii="Arial" w:hAnsi="Arial" w:cs="Arial"/>
          <w:i/>
          <w:sz w:val="24"/>
          <w:szCs w:val="24"/>
          <w:lang w:val="en-GB"/>
        </w:rPr>
        <w:t>held</w:t>
      </w:r>
      <w:r w:rsidR="00E42690">
        <w:rPr>
          <w:rFonts w:ascii="Arial" w:hAnsi="Arial" w:cs="Arial"/>
          <w:sz w:val="24"/>
          <w:szCs w:val="24"/>
          <w:lang w:val="en-GB"/>
        </w:rPr>
        <w:t xml:space="preserve"> that </w:t>
      </w:r>
      <w:r w:rsidR="00EE192E">
        <w:rPr>
          <w:rFonts w:ascii="Arial" w:hAnsi="Arial" w:cs="Arial"/>
          <w:sz w:val="24"/>
          <w:szCs w:val="24"/>
          <w:lang w:val="en-GB"/>
        </w:rPr>
        <w:t xml:space="preserve">the </w:t>
      </w:r>
      <w:r w:rsidR="003A62D2">
        <w:rPr>
          <w:rFonts w:ascii="Arial" w:hAnsi="Arial" w:cs="Arial"/>
          <w:sz w:val="24"/>
          <w:szCs w:val="24"/>
          <w:lang w:val="en-GB"/>
        </w:rPr>
        <w:t>High C</w:t>
      </w:r>
      <w:r w:rsidR="00EE192E">
        <w:rPr>
          <w:rFonts w:ascii="Arial" w:hAnsi="Arial" w:cs="Arial"/>
          <w:sz w:val="24"/>
          <w:szCs w:val="24"/>
          <w:lang w:val="en-GB"/>
        </w:rPr>
        <w:t>ourt was correct in finding</w:t>
      </w:r>
      <w:r w:rsidR="00117516">
        <w:rPr>
          <w:rFonts w:ascii="Arial" w:hAnsi="Arial" w:cs="Arial"/>
          <w:sz w:val="24"/>
          <w:szCs w:val="24"/>
          <w:lang w:val="en-GB"/>
        </w:rPr>
        <w:t xml:space="preserve"> that </w:t>
      </w:r>
      <w:r w:rsidR="00117516" w:rsidRPr="00117516">
        <w:rPr>
          <w:rFonts w:ascii="Arial" w:hAnsi="Arial" w:cs="Arial"/>
          <w:sz w:val="24"/>
          <w:szCs w:val="24"/>
        </w:rPr>
        <w:t>the Tender Board was directed to re-consider the original tende</w:t>
      </w:r>
      <w:r w:rsidR="00117516">
        <w:rPr>
          <w:rFonts w:ascii="Arial" w:hAnsi="Arial" w:cs="Arial"/>
          <w:sz w:val="24"/>
          <w:szCs w:val="24"/>
        </w:rPr>
        <w:t xml:space="preserve">r </w:t>
      </w:r>
      <w:r w:rsidR="004476C8">
        <w:rPr>
          <w:rFonts w:ascii="Arial" w:hAnsi="Arial" w:cs="Arial"/>
          <w:sz w:val="24"/>
          <w:szCs w:val="24"/>
        </w:rPr>
        <w:t>and not one for a longer term. Appeal</w:t>
      </w:r>
      <w:r w:rsidR="00F91787">
        <w:rPr>
          <w:rFonts w:ascii="Arial" w:hAnsi="Arial" w:cs="Arial"/>
          <w:sz w:val="24"/>
          <w:szCs w:val="24"/>
          <w:lang w:val="en-GB"/>
        </w:rPr>
        <w:t xml:space="preserve"> dismissed with costs.</w:t>
      </w:r>
    </w:p>
    <w:p w:rsidR="005C2022" w:rsidRPr="006C3013" w:rsidRDefault="005C2022" w:rsidP="005C2022">
      <w:pPr>
        <w:spacing w:line="360" w:lineRule="auto"/>
        <w:jc w:val="both"/>
        <w:rPr>
          <w:rFonts w:ascii="Arial" w:hAnsi="Arial" w:cs="Arial"/>
          <w:sz w:val="24"/>
          <w:szCs w:val="24"/>
          <w:lang w:val="en-ZA"/>
        </w:rPr>
      </w:pPr>
      <w:r w:rsidRPr="006C3013">
        <w:rPr>
          <w:rFonts w:ascii="Arial" w:hAnsi="Arial" w:cs="Arial"/>
          <w:sz w:val="24"/>
          <w:szCs w:val="24"/>
          <w:lang w:val="en-ZA"/>
        </w:rPr>
        <w:t>_________________________________</w:t>
      </w:r>
      <w:r>
        <w:rPr>
          <w:rFonts w:ascii="Arial" w:hAnsi="Arial" w:cs="Arial"/>
          <w:sz w:val="24"/>
          <w:szCs w:val="24"/>
          <w:lang w:val="en-ZA"/>
        </w:rPr>
        <w:t>__________________________</w:t>
      </w:r>
      <w:r w:rsidR="004476C8">
        <w:rPr>
          <w:rFonts w:ascii="Arial" w:hAnsi="Arial" w:cs="Arial"/>
          <w:sz w:val="24"/>
          <w:szCs w:val="24"/>
          <w:lang w:val="en-ZA"/>
        </w:rPr>
        <w:t>________</w:t>
      </w:r>
    </w:p>
    <w:p w:rsidR="005C2022" w:rsidRPr="006C3013" w:rsidRDefault="005C2022" w:rsidP="004476C8">
      <w:pPr>
        <w:spacing w:after="0" w:line="360" w:lineRule="auto"/>
        <w:jc w:val="center"/>
        <w:rPr>
          <w:rFonts w:ascii="Arial" w:hAnsi="Arial" w:cs="Arial"/>
          <w:b/>
          <w:sz w:val="24"/>
          <w:szCs w:val="24"/>
          <w:lang w:val="en-ZA"/>
        </w:rPr>
      </w:pPr>
      <w:r>
        <w:rPr>
          <w:rFonts w:ascii="Arial" w:hAnsi="Arial" w:cs="Arial"/>
          <w:b/>
          <w:sz w:val="24"/>
          <w:szCs w:val="24"/>
          <w:lang w:val="en-ZA"/>
        </w:rPr>
        <w:t>APPEAL</w:t>
      </w:r>
      <w:r w:rsidR="00C90E07">
        <w:rPr>
          <w:rFonts w:ascii="Arial" w:hAnsi="Arial" w:cs="Arial"/>
          <w:b/>
          <w:sz w:val="24"/>
          <w:szCs w:val="24"/>
          <w:lang w:val="en-ZA"/>
        </w:rPr>
        <w:t xml:space="preserve"> JUDGMENT</w:t>
      </w:r>
    </w:p>
    <w:p w:rsidR="005C2022" w:rsidRPr="006C3013" w:rsidRDefault="005C2022" w:rsidP="005C2022">
      <w:pPr>
        <w:spacing w:line="360" w:lineRule="auto"/>
        <w:jc w:val="both"/>
        <w:rPr>
          <w:rFonts w:ascii="Arial" w:hAnsi="Arial" w:cs="Arial"/>
          <w:sz w:val="24"/>
          <w:szCs w:val="24"/>
          <w:lang w:val="en-ZA"/>
        </w:rPr>
      </w:pPr>
      <w:r w:rsidRPr="006C3013">
        <w:rPr>
          <w:rFonts w:ascii="Arial" w:hAnsi="Arial" w:cs="Arial"/>
          <w:sz w:val="24"/>
          <w:szCs w:val="24"/>
          <w:lang w:val="en-ZA"/>
        </w:rPr>
        <w:t>_________________________________</w:t>
      </w:r>
      <w:r>
        <w:rPr>
          <w:rFonts w:ascii="Arial" w:hAnsi="Arial" w:cs="Arial"/>
          <w:sz w:val="24"/>
          <w:szCs w:val="24"/>
          <w:lang w:val="en-ZA"/>
        </w:rPr>
        <w:t>__________________________</w:t>
      </w:r>
      <w:r w:rsidR="004476C8">
        <w:rPr>
          <w:rFonts w:ascii="Arial" w:hAnsi="Arial" w:cs="Arial"/>
          <w:sz w:val="24"/>
          <w:szCs w:val="24"/>
          <w:lang w:val="en-ZA"/>
        </w:rPr>
        <w:t>________</w:t>
      </w:r>
    </w:p>
    <w:p w:rsidR="005C2022" w:rsidRPr="006C3013" w:rsidRDefault="005C2022" w:rsidP="005C2022">
      <w:pPr>
        <w:spacing w:after="0" w:line="480" w:lineRule="auto"/>
        <w:jc w:val="both"/>
        <w:rPr>
          <w:rFonts w:ascii="Arial" w:hAnsi="Arial" w:cs="Arial"/>
          <w:sz w:val="24"/>
          <w:szCs w:val="24"/>
          <w:lang w:val="en-ZA"/>
        </w:rPr>
      </w:pPr>
      <w:r w:rsidRPr="006C3013">
        <w:rPr>
          <w:rFonts w:ascii="Arial" w:hAnsi="Arial" w:cs="Arial"/>
          <w:sz w:val="24"/>
          <w:szCs w:val="24"/>
          <w:lang w:val="en-ZA"/>
        </w:rPr>
        <w:t>SHIVUTE CJ (</w:t>
      </w:r>
      <w:r w:rsidRPr="00A95DD9">
        <w:rPr>
          <w:rFonts w:ascii="Arial" w:hAnsi="Arial" w:cs="Arial"/>
          <w:sz w:val="24"/>
          <w:szCs w:val="24"/>
          <w:lang w:val="en-ZA"/>
        </w:rPr>
        <w:t xml:space="preserve">MAINGA JA </w:t>
      </w:r>
      <w:r>
        <w:rPr>
          <w:rFonts w:ascii="Arial" w:hAnsi="Arial" w:cs="Arial"/>
          <w:sz w:val="24"/>
          <w:szCs w:val="24"/>
          <w:lang w:val="en-ZA"/>
        </w:rPr>
        <w:t xml:space="preserve">and HOFF JA </w:t>
      </w:r>
      <w:r w:rsidRPr="006C3013">
        <w:rPr>
          <w:rFonts w:ascii="Arial" w:hAnsi="Arial" w:cs="Arial"/>
          <w:sz w:val="24"/>
          <w:szCs w:val="24"/>
          <w:lang w:val="en-ZA"/>
        </w:rPr>
        <w:t>concurring)</w:t>
      </w:r>
      <w:r w:rsidR="009758ED">
        <w:rPr>
          <w:rFonts w:ascii="Arial" w:hAnsi="Arial" w:cs="Arial"/>
          <w:sz w:val="24"/>
          <w:szCs w:val="24"/>
          <w:lang w:val="en-ZA"/>
        </w:rPr>
        <w:t>:</w:t>
      </w:r>
      <w:r w:rsidRPr="006C3013">
        <w:rPr>
          <w:rFonts w:ascii="Arial" w:hAnsi="Arial" w:cs="Arial"/>
          <w:sz w:val="24"/>
          <w:szCs w:val="24"/>
          <w:lang w:val="en-ZA"/>
        </w:rPr>
        <w:t xml:space="preserve"> </w:t>
      </w:r>
    </w:p>
    <w:p w:rsidR="005C2022" w:rsidRPr="00AB695C" w:rsidRDefault="00F07B8D" w:rsidP="00B90190">
      <w:pPr>
        <w:pStyle w:val="ListParagraph"/>
        <w:numPr>
          <w:ilvl w:val="0"/>
          <w:numId w:val="8"/>
        </w:numPr>
        <w:spacing w:after="0" w:line="480" w:lineRule="auto"/>
        <w:ind w:left="0" w:hanging="11"/>
        <w:jc w:val="both"/>
        <w:rPr>
          <w:rFonts w:ascii="Arial" w:eastAsia="Times New Roman" w:hAnsi="Arial" w:cs="Arial"/>
          <w:sz w:val="24"/>
          <w:szCs w:val="24"/>
        </w:rPr>
      </w:pPr>
      <w:r w:rsidRPr="00230D9B">
        <w:rPr>
          <w:rFonts w:ascii="Arial" w:eastAsia="Times New Roman" w:hAnsi="Arial" w:cs="Arial"/>
          <w:sz w:val="24"/>
          <w:szCs w:val="24"/>
          <w:lang w:val="en-GB"/>
        </w:rPr>
        <w:t>This</w:t>
      </w:r>
      <w:r w:rsidR="005C2022" w:rsidRPr="00230D9B">
        <w:rPr>
          <w:rFonts w:ascii="Arial" w:eastAsia="Times New Roman" w:hAnsi="Arial" w:cs="Arial"/>
          <w:sz w:val="24"/>
          <w:szCs w:val="24"/>
          <w:lang w:val="en-GB"/>
        </w:rPr>
        <w:t xml:space="preserve"> </w:t>
      </w:r>
      <w:r>
        <w:rPr>
          <w:rFonts w:ascii="Arial" w:eastAsia="Times New Roman" w:hAnsi="Arial" w:cs="Arial"/>
          <w:sz w:val="24"/>
          <w:szCs w:val="24"/>
          <w:lang w:val="en-GB"/>
        </w:rPr>
        <w:t xml:space="preserve">is an </w:t>
      </w:r>
      <w:r w:rsidR="005C2022" w:rsidRPr="00230D9B">
        <w:rPr>
          <w:rFonts w:ascii="Arial" w:eastAsia="Times New Roman" w:hAnsi="Arial" w:cs="Arial"/>
          <w:sz w:val="24"/>
          <w:szCs w:val="24"/>
          <w:lang w:val="en-GB"/>
        </w:rPr>
        <w:t>appeal</w:t>
      </w:r>
      <w:bookmarkStart w:id="1" w:name="disp"/>
      <w:bookmarkEnd w:id="1"/>
      <w:r w:rsidR="005C2022" w:rsidRPr="00230D9B">
        <w:rPr>
          <w:rFonts w:ascii="Arial" w:eastAsia="Times New Roman" w:hAnsi="Arial" w:cs="Arial"/>
          <w:b/>
          <w:bCs/>
          <w:sz w:val="24"/>
          <w:szCs w:val="24"/>
          <w:lang w:val="en-ZA"/>
        </w:rPr>
        <w:t xml:space="preserve"> </w:t>
      </w:r>
      <w:r w:rsidR="005C2022" w:rsidRPr="00230D9B">
        <w:rPr>
          <w:rFonts w:ascii="Arial" w:eastAsia="Times New Roman" w:hAnsi="Arial" w:cs="Arial"/>
          <w:sz w:val="24"/>
          <w:szCs w:val="24"/>
          <w:lang w:val="en-GB"/>
        </w:rPr>
        <w:t xml:space="preserve">against the judgment and order of the High Court </w:t>
      </w:r>
      <w:r w:rsidR="005C2022" w:rsidRPr="00230D9B">
        <w:rPr>
          <w:rFonts w:ascii="Arial" w:eastAsia="Times New Roman" w:hAnsi="Arial" w:cs="Arial"/>
          <w:sz w:val="24"/>
          <w:szCs w:val="24"/>
          <w:lang w:val="en-ZA"/>
        </w:rPr>
        <w:t xml:space="preserve">dismissing a review application by the appellant. </w:t>
      </w:r>
      <w:r w:rsidR="005C2022">
        <w:rPr>
          <w:rFonts w:ascii="Arial" w:eastAsia="Times New Roman" w:hAnsi="Arial" w:cs="Arial"/>
          <w:sz w:val="24"/>
          <w:szCs w:val="24"/>
          <w:lang w:val="en-GB"/>
        </w:rPr>
        <w:t xml:space="preserve">The </w:t>
      </w:r>
      <w:r w:rsidR="005C2022" w:rsidRPr="00230D9B">
        <w:rPr>
          <w:rFonts w:ascii="Arial" w:eastAsia="Times New Roman" w:hAnsi="Arial" w:cs="Arial"/>
          <w:sz w:val="24"/>
          <w:szCs w:val="24"/>
          <w:lang w:val="en-GB"/>
        </w:rPr>
        <w:t xml:space="preserve">application was </w:t>
      </w:r>
      <w:r w:rsidR="00F27DB6">
        <w:rPr>
          <w:rFonts w:ascii="Arial" w:eastAsia="Times New Roman" w:hAnsi="Arial" w:cs="Arial"/>
          <w:sz w:val="24"/>
          <w:szCs w:val="24"/>
          <w:lang w:val="en-GB"/>
        </w:rPr>
        <w:t xml:space="preserve">principally </w:t>
      </w:r>
      <w:r w:rsidR="005C2022" w:rsidRPr="00230D9B">
        <w:rPr>
          <w:rFonts w:ascii="Arial" w:eastAsia="Times New Roman" w:hAnsi="Arial" w:cs="Arial"/>
          <w:sz w:val="24"/>
          <w:szCs w:val="24"/>
          <w:lang w:val="en-GB"/>
        </w:rPr>
        <w:t xml:space="preserve">aimed at </w:t>
      </w:r>
      <w:r w:rsidR="005C2022">
        <w:rPr>
          <w:rFonts w:ascii="Arial" w:eastAsia="Times New Roman" w:hAnsi="Arial" w:cs="Arial"/>
          <w:sz w:val="24"/>
          <w:szCs w:val="24"/>
          <w:lang w:val="en-GB"/>
        </w:rPr>
        <w:t>exerting the assertion that the tender awarded to the appellant terminates on</w:t>
      </w:r>
      <w:r w:rsidR="005C2022" w:rsidRPr="00F53D3D">
        <w:rPr>
          <w:rFonts w:ascii="Arial" w:eastAsia="Times New Roman" w:hAnsi="Arial" w:cs="Arial"/>
          <w:sz w:val="24"/>
          <w:szCs w:val="24"/>
          <w:lang w:val="en-GB"/>
        </w:rPr>
        <w:t xml:space="preserve"> 10 January 2019</w:t>
      </w:r>
      <w:r>
        <w:rPr>
          <w:rFonts w:ascii="Arial" w:eastAsia="Times New Roman" w:hAnsi="Arial" w:cs="Arial"/>
          <w:sz w:val="24"/>
          <w:szCs w:val="24"/>
          <w:lang w:val="en-GB"/>
        </w:rPr>
        <w:t xml:space="preserve"> and not on 31 March 2014</w:t>
      </w:r>
      <w:r w:rsidR="005C2022" w:rsidRPr="00F53D3D">
        <w:rPr>
          <w:rFonts w:ascii="Arial" w:eastAsia="Times New Roman" w:hAnsi="Arial" w:cs="Arial"/>
          <w:sz w:val="24"/>
          <w:szCs w:val="24"/>
          <w:lang w:val="en-GB"/>
        </w:rPr>
        <w:t xml:space="preserve">. </w:t>
      </w:r>
    </w:p>
    <w:p w:rsidR="00AB695C" w:rsidRDefault="00AB695C" w:rsidP="00AB695C">
      <w:pPr>
        <w:pStyle w:val="ListParagraph"/>
        <w:spacing w:after="0" w:line="480" w:lineRule="auto"/>
        <w:ind w:left="0"/>
        <w:jc w:val="both"/>
        <w:rPr>
          <w:rFonts w:ascii="Arial" w:eastAsia="Times New Roman" w:hAnsi="Arial" w:cs="Arial"/>
          <w:sz w:val="24"/>
          <w:szCs w:val="24"/>
        </w:rPr>
      </w:pPr>
    </w:p>
    <w:p w:rsidR="00A56E73" w:rsidRDefault="00A56E73" w:rsidP="00B90190">
      <w:pPr>
        <w:pStyle w:val="ListParagraph"/>
        <w:spacing w:after="0" w:line="480" w:lineRule="auto"/>
        <w:ind w:left="0"/>
        <w:jc w:val="both"/>
        <w:rPr>
          <w:rFonts w:ascii="Arial" w:hAnsi="Arial" w:cs="Arial"/>
          <w:sz w:val="24"/>
          <w:szCs w:val="24"/>
          <w:u w:val="single"/>
        </w:rPr>
      </w:pPr>
    </w:p>
    <w:p w:rsidR="00A56E73" w:rsidRDefault="00A56E73" w:rsidP="00B90190">
      <w:pPr>
        <w:pStyle w:val="ListParagraph"/>
        <w:spacing w:after="0" w:line="480" w:lineRule="auto"/>
        <w:ind w:left="0"/>
        <w:jc w:val="both"/>
        <w:rPr>
          <w:rFonts w:ascii="Arial" w:hAnsi="Arial" w:cs="Arial"/>
          <w:sz w:val="24"/>
          <w:szCs w:val="24"/>
          <w:u w:val="single"/>
        </w:rPr>
      </w:pPr>
    </w:p>
    <w:p w:rsidR="005C2022" w:rsidRPr="00593840" w:rsidRDefault="005C2022" w:rsidP="00B90190">
      <w:pPr>
        <w:pStyle w:val="ListParagraph"/>
        <w:spacing w:after="0" w:line="480" w:lineRule="auto"/>
        <w:ind w:left="0"/>
        <w:jc w:val="both"/>
        <w:rPr>
          <w:rFonts w:ascii="Arial" w:hAnsi="Arial" w:cs="Arial"/>
          <w:sz w:val="24"/>
          <w:szCs w:val="24"/>
          <w:u w:val="single"/>
        </w:rPr>
      </w:pPr>
      <w:r>
        <w:rPr>
          <w:rFonts w:ascii="Arial" w:hAnsi="Arial" w:cs="Arial"/>
          <w:sz w:val="24"/>
          <w:szCs w:val="24"/>
          <w:u w:val="single"/>
        </w:rPr>
        <w:lastRenderedPageBreak/>
        <w:t xml:space="preserve">Background </w:t>
      </w:r>
    </w:p>
    <w:p w:rsidR="005C2022" w:rsidRPr="00A16F0A" w:rsidRDefault="005C2022" w:rsidP="00B90190">
      <w:pPr>
        <w:pStyle w:val="ListParagraph"/>
        <w:numPr>
          <w:ilvl w:val="0"/>
          <w:numId w:val="8"/>
        </w:numPr>
        <w:spacing w:after="0" w:line="480" w:lineRule="auto"/>
        <w:ind w:left="0" w:firstLine="0"/>
        <w:jc w:val="both"/>
        <w:rPr>
          <w:rFonts w:ascii="Arial" w:hAnsi="Arial" w:cs="Arial"/>
          <w:sz w:val="24"/>
          <w:szCs w:val="24"/>
          <w:u w:val="single"/>
        </w:rPr>
      </w:pPr>
      <w:r w:rsidRPr="00A16F0A">
        <w:rPr>
          <w:rFonts w:ascii="Arial" w:hAnsi="Arial" w:cs="Arial"/>
          <w:sz w:val="24"/>
          <w:szCs w:val="24"/>
          <w:lang w:val="en-GB"/>
        </w:rPr>
        <w:t>The appellant</w:t>
      </w:r>
      <w:r w:rsidR="00343749">
        <w:rPr>
          <w:rFonts w:ascii="Arial" w:hAnsi="Arial" w:cs="Arial"/>
          <w:sz w:val="24"/>
          <w:szCs w:val="24"/>
          <w:lang w:val="en-GB"/>
        </w:rPr>
        <w:t xml:space="preserve"> </w:t>
      </w:r>
      <w:r w:rsidRPr="00A16F0A">
        <w:rPr>
          <w:rFonts w:ascii="Arial" w:hAnsi="Arial" w:cs="Arial"/>
          <w:sz w:val="24"/>
          <w:szCs w:val="24"/>
          <w:lang w:val="en-GB"/>
        </w:rPr>
        <w:t>is</w:t>
      </w:r>
      <w:r w:rsidRPr="00A16F0A">
        <w:rPr>
          <w:rFonts w:ascii="Arial" w:hAnsi="Arial" w:cs="Arial"/>
          <w:sz w:val="24"/>
          <w:szCs w:val="24"/>
        </w:rPr>
        <w:t xml:space="preserve"> a </w:t>
      </w:r>
      <w:r w:rsidR="00F07B8D">
        <w:rPr>
          <w:rFonts w:ascii="Arial" w:hAnsi="Arial" w:cs="Arial"/>
          <w:sz w:val="24"/>
          <w:szCs w:val="24"/>
        </w:rPr>
        <w:t xml:space="preserve">close corporation </w:t>
      </w:r>
      <w:r w:rsidRPr="00A16F0A">
        <w:rPr>
          <w:rFonts w:ascii="Arial" w:hAnsi="Arial" w:cs="Arial"/>
          <w:sz w:val="24"/>
          <w:szCs w:val="24"/>
        </w:rPr>
        <w:t>provid</w:t>
      </w:r>
      <w:r w:rsidR="00F07B8D">
        <w:rPr>
          <w:rFonts w:ascii="Arial" w:hAnsi="Arial" w:cs="Arial"/>
          <w:sz w:val="24"/>
          <w:szCs w:val="24"/>
        </w:rPr>
        <w:t xml:space="preserve">ing, amongst others, </w:t>
      </w:r>
      <w:r w:rsidRPr="00A16F0A">
        <w:rPr>
          <w:rFonts w:ascii="Arial" w:hAnsi="Arial" w:cs="Arial"/>
          <w:sz w:val="24"/>
          <w:szCs w:val="24"/>
        </w:rPr>
        <w:t xml:space="preserve">catering services. </w:t>
      </w:r>
      <w:r>
        <w:rPr>
          <w:rFonts w:ascii="Arial" w:hAnsi="Arial" w:cs="Arial"/>
          <w:sz w:val="24"/>
          <w:szCs w:val="24"/>
        </w:rPr>
        <w:t xml:space="preserve">The appellant </w:t>
      </w:r>
      <w:r w:rsidRPr="001A1CFF">
        <w:rPr>
          <w:rFonts w:ascii="Arial" w:hAnsi="Arial" w:cs="Arial"/>
          <w:sz w:val="24"/>
          <w:szCs w:val="24"/>
          <w:lang w:val="en-ZA"/>
        </w:rPr>
        <w:t>has cited as respondents</w:t>
      </w:r>
      <w:r>
        <w:rPr>
          <w:rFonts w:ascii="Arial" w:hAnsi="Arial" w:cs="Arial"/>
          <w:sz w:val="24"/>
          <w:szCs w:val="24"/>
          <w:lang w:val="en-ZA"/>
        </w:rPr>
        <w:t>,</w:t>
      </w:r>
      <w:r w:rsidRPr="001A1CFF">
        <w:rPr>
          <w:rFonts w:ascii="Arial" w:hAnsi="Arial" w:cs="Arial"/>
          <w:sz w:val="24"/>
          <w:szCs w:val="24"/>
          <w:lang w:val="en-ZA"/>
        </w:rPr>
        <w:t xml:space="preserve"> </w:t>
      </w:r>
      <w:r w:rsidRPr="00A16F0A">
        <w:rPr>
          <w:rFonts w:ascii="Arial" w:hAnsi="Arial" w:cs="Arial"/>
          <w:sz w:val="24"/>
          <w:szCs w:val="24"/>
        </w:rPr>
        <w:t>the Chairperson of the Tender Board of Namibia</w:t>
      </w:r>
      <w:r>
        <w:rPr>
          <w:rFonts w:ascii="Arial" w:hAnsi="Arial" w:cs="Arial"/>
          <w:sz w:val="24"/>
          <w:szCs w:val="24"/>
        </w:rPr>
        <w:t xml:space="preserve"> (</w:t>
      </w:r>
      <w:r w:rsidR="00343749">
        <w:rPr>
          <w:rFonts w:ascii="Arial" w:hAnsi="Arial" w:cs="Arial"/>
          <w:sz w:val="24"/>
          <w:szCs w:val="24"/>
        </w:rPr>
        <w:t>the</w:t>
      </w:r>
      <w:r>
        <w:rPr>
          <w:rFonts w:ascii="Arial" w:hAnsi="Arial" w:cs="Arial"/>
          <w:sz w:val="24"/>
          <w:szCs w:val="24"/>
        </w:rPr>
        <w:t xml:space="preserve"> </w:t>
      </w:r>
      <w:r w:rsidR="0053349E">
        <w:rPr>
          <w:rFonts w:ascii="Arial" w:hAnsi="Arial" w:cs="Arial"/>
          <w:sz w:val="24"/>
          <w:szCs w:val="24"/>
        </w:rPr>
        <w:t>Tender Board</w:t>
      </w:r>
      <w:r>
        <w:rPr>
          <w:rFonts w:ascii="Arial" w:hAnsi="Arial" w:cs="Arial"/>
          <w:sz w:val="24"/>
          <w:szCs w:val="24"/>
        </w:rPr>
        <w:t>),</w:t>
      </w:r>
      <w:r w:rsidRPr="00A16F0A">
        <w:rPr>
          <w:rFonts w:ascii="Arial" w:hAnsi="Arial" w:cs="Arial"/>
          <w:sz w:val="24"/>
          <w:szCs w:val="24"/>
        </w:rPr>
        <w:t xml:space="preserve"> the Minister of Education</w:t>
      </w:r>
      <w:r>
        <w:rPr>
          <w:rFonts w:ascii="Arial" w:hAnsi="Arial" w:cs="Arial"/>
          <w:sz w:val="24"/>
          <w:szCs w:val="24"/>
        </w:rPr>
        <w:t xml:space="preserve"> (the Minister), </w:t>
      </w:r>
      <w:r w:rsidRPr="00A16F0A">
        <w:rPr>
          <w:rFonts w:ascii="Arial" w:hAnsi="Arial" w:cs="Arial"/>
          <w:sz w:val="24"/>
          <w:szCs w:val="24"/>
        </w:rPr>
        <w:t xml:space="preserve">the Permanent Secretary </w:t>
      </w:r>
      <w:r w:rsidR="00343749">
        <w:rPr>
          <w:rFonts w:ascii="Arial" w:hAnsi="Arial" w:cs="Arial"/>
          <w:sz w:val="24"/>
          <w:szCs w:val="24"/>
        </w:rPr>
        <w:t>in</w:t>
      </w:r>
      <w:r w:rsidRPr="00A16F0A">
        <w:rPr>
          <w:rFonts w:ascii="Arial" w:hAnsi="Arial" w:cs="Arial"/>
          <w:sz w:val="24"/>
          <w:szCs w:val="24"/>
        </w:rPr>
        <w:t xml:space="preserve"> the Ministry of E</w:t>
      </w:r>
      <w:r>
        <w:rPr>
          <w:rFonts w:ascii="Arial" w:hAnsi="Arial" w:cs="Arial"/>
          <w:sz w:val="24"/>
          <w:szCs w:val="24"/>
        </w:rPr>
        <w:t>ducation (the P</w:t>
      </w:r>
      <w:r w:rsidR="00262442">
        <w:rPr>
          <w:rFonts w:ascii="Arial" w:hAnsi="Arial" w:cs="Arial"/>
          <w:sz w:val="24"/>
          <w:szCs w:val="24"/>
        </w:rPr>
        <w:t xml:space="preserve">ermanent </w:t>
      </w:r>
      <w:r>
        <w:rPr>
          <w:rFonts w:ascii="Arial" w:hAnsi="Arial" w:cs="Arial"/>
          <w:sz w:val="24"/>
          <w:szCs w:val="24"/>
        </w:rPr>
        <w:t>S</w:t>
      </w:r>
      <w:r w:rsidR="00262442">
        <w:rPr>
          <w:rFonts w:ascii="Arial" w:hAnsi="Arial" w:cs="Arial"/>
          <w:sz w:val="24"/>
          <w:szCs w:val="24"/>
        </w:rPr>
        <w:t>ecretary</w:t>
      </w:r>
      <w:r>
        <w:rPr>
          <w:rFonts w:ascii="Arial" w:hAnsi="Arial" w:cs="Arial"/>
          <w:sz w:val="24"/>
          <w:szCs w:val="24"/>
        </w:rPr>
        <w:t xml:space="preserve">) and the </w:t>
      </w:r>
      <w:r w:rsidRPr="00A16F0A">
        <w:rPr>
          <w:rFonts w:ascii="Arial" w:hAnsi="Arial" w:cs="Arial"/>
          <w:sz w:val="24"/>
          <w:szCs w:val="24"/>
        </w:rPr>
        <w:t>Director</w:t>
      </w:r>
      <w:r w:rsidR="00AF7003">
        <w:rPr>
          <w:rFonts w:ascii="Arial" w:hAnsi="Arial" w:cs="Arial"/>
          <w:sz w:val="24"/>
          <w:szCs w:val="24"/>
        </w:rPr>
        <w:t xml:space="preserve"> of </w:t>
      </w:r>
      <w:r>
        <w:rPr>
          <w:rFonts w:ascii="Arial" w:hAnsi="Arial" w:cs="Arial"/>
          <w:sz w:val="24"/>
          <w:szCs w:val="24"/>
        </w:rPr>
        <w:t>P</w:t>
      </w:r>
      <w:r w:rsidR="00857D0B">
        <w:rPr>
          <w:rFonts w:ascii="Arial" w:hAnsi="Arial" w:cs="Arial"/>
          <w:sz w:val="24"/>
          <w:szCs w:val="24"/>
        </w:rPr>
        <w:t>rogramme</w:t>
      </w:r>
      <w:r w:rsidR="005779A5">
        <w:rPr>
          <w:rFonts w:ascii="Arial" w:hAnsi="Arial" w:cs="Arial"/>
          <w:sz w:val="24"/>
          <w:szCs w:val="24"/>
        </w:rPr>
        <w:t>s</w:t>
      </w:r>
      <w:r w:rsidR="00857D0B">
        <w:rPr>
          <w:rFonts w:ascii="Arial" w:hAnsi="Arial" w:cs="Arial"/>
          <w:sz w:val="24"/>
          <w:szCs w:val="24"/>
        </w:rPr>
        <w:t xml:space="preserve"> and </w:t>
      </w:r>
      <w:r>
        <w:rPr>
          <w:rFonts w:ascii="Arial" w:hAnsi="Arial" w:cs="Arial"/>
          <w:sz w:val="24"/>
          <w:szCs w:val="24"/>
        </w:rPr>
        <w:t>Q</w:t>
      </w:r>
      <w:r w:rsidR="00857D0B">
        <w:rPr>
          <w:rFonts w:ascii="Arial" w:hAnsi="Arial" w:cs="Arial"/>
          <w:sz w:val="24"/>
          <w:szCs w:val="24"/>
        </w:rPr>
        <w:t>uality Assurance</w:t>
      </w:r>
      <w:r w:rsidR="00343749">
        <w:rPr>
          <w:rFonts w:ascii="Arial" w:hAnsi="Arial" w:cs="Arial"/>
          <w:sz w:val="24"/>
          <w:szCs w:val="24"/>
        </w:rPr>
        <w:t xml:space="preserve"> in the</w:t>
      </w:r>
      <w:r>
        <w:rPr>
          <w:rFonts w:ascii="Arial" w:hAnsi="Arial" w:cs="Arial"/>
          <w:sz w:val="24"/>
          <w:szCs w:val="24"/>
        </w:rPr>
        <w:t xml:space="preserve"> </w:t>
      </w:r>
      <w:r w:rsidRPr="00A16F0A">
        <w:rPr>
          <w:rFonts w:ascii="Arial" w:hAnsi="Arial" w:cs="Arial"/>
          <w:sz w:val="24"/>
          <w:szCs w:val="24"/>
        </w:rPr>
        <w:t>Ministry of Education</w:t>
      </w:r>
      <w:r>
        <w:rPr>
          <w:rFonts w:ascii="Arial" w:hAnsi="Arial" w:cs="Arial"/>
          <w:sz w:val="24"/>
          <w:szCs w:val="24"/>
        </w:rPr>
        <w:t xml:space="preserve"> (the Director)</w:t>
      </w:r>
      <w:r w:rsidR="00343749">
        <w:rPr>
          <w:rFonts w:ascii="Arial" w:hAnsi="Arial" w:cs="Arial"/>
          <w:sz w:val="24"/>
          <w:szCs w:val="24"/>
        </w:rPr>
        <w:t xml:space="preserve"> who will collectively be referred to as </w:t>
      </w:r>
      <w:r>
        <w:rPr>
          <w:rFonts w:ascii="Arial" w:hAnsi="Arial" w:cs="Arial"/>
          <w:sz w:val="24"/>
          <w:szCs w:val="24"/>
        </w:rPr>
        <w:t>‘the respondents’</w:t>
      </w:r>
      <w:r w:rsidR="00343749">
        <w:rPr>
          <w:rFonts w:ascii="Arial" w:hAnsi="Arial" w:cs="Arial"/>
          <w:sz w:val="24"/>
          <w:szCs w:val="24"/>
        </w:rPr>
        <w:t>.</w:t>
      </w:r>
    </w:p>
    <w:p w:rsidR="005C2022" w:rsidRPr="00C660C3" w:rsidRDefault="005C2022" w:rsidP="00B90190">
      <w:pPr>
        <w:pStyle w:val="ListParagraph"/>
        <w:spacing w:after="0" w:line="480" w:lineRule="auto"/>
        <w:ind w:left="0"/>
        <w:jc w:val="both"/>
        <w:rPr>
          <w:rFonts w:ascii="Arial" w:hAnsi="Arial" w:cs="Arial"/>
          <w:color w:val="000000" w:themeColor="text1"/>
          <w:sz w:val="24"/>
          <w:szCs w:val="24"/>
          <w:lang w:val="en-GB"/>
        </w:rPr>
      </w:pPr>
    </w:p>
    <w:p w:rsidR="005C2022" w:rsidRDefault="009758ED" w:rsidP="00B90190">
      <w:pPr>
        <w:pStyle w:val="ListParagraph"/>
        <w:numPr>
          <w:ilvl w:val="0"/>
          <w:numId w:val="8"/>
        </w:numPr>
        <w:spacing w:after="0" w:line="480" w:lineRule="auto"/>
        <w:ind w:left="0" w:firstLine="0"/>
        <w:jc w:val="both"/>
        <w:rPr>
          <w:rFonts w:ascii="Arial" w:hAnsi="Arial" w:cs="Arial"/>
          <w:sz w:val="24"/>
          <w:szCs w:val="24"/>
        </w:rPr>
      </w:pPr>
      <w:r>
        <w:rPr>
          <w:rFonts w:ascii="Arial" w:hAnsi="Arial" w:cs="Arial"/>
          <w:sz w:val="24"/>
          <w:szCs w:val="24"/>
        </w:rPr>
        <w:t xml:space="preserve">Briefly, events </w:t>
      </w:r>
      <w:r w:rsidR="005C2022" w:rsidRPr="00E41356">
        <w:rPr>
          <w:rFonts w:ascii="Arial" w:hAnsi="Arial" w:cs="Arial"/>
          <w:sz w:val="24"/>
          <w:szCs w:val="24"/>
        </w:rPr>
        <w:t xml:space="preserve">leading to this appeal are </w:t>
      </w:r>
      <w:r>
        <w:rPr>
          <w:rFonts w:ascii="Arial" w:hAnsi="Arial" w:cs="Arial"/>
          <w:sz w:val="24"/>
          <w:szCs w:val="24"/>
        </w:rPr>
        <w:t xml:space="preserve">as </w:t>
      </w:r>
      <w:r w:rsidR="005C2022" w:rsidRPr="00E41356">
        <w:rPr>
          <w:rFonts w:ascii="Arial" w:hAnsi="Arial" w:cs="Arial"/>
          <w:sz w:val="24"/>
          <w:szCs w:val="24"/>
        </w:rPr>
        <w:t>follow</w:t>
      </w:r>
      <w:r>
        <w:rPr>
          <w:rFonts w:ascii="Arial" w:hAnsi="Arial" w:cs="Arial"/>
          <w:sz w:val="24"/>
          <w:szCs w:val="24"/>
        </w:rPr>
        <w:t>s</w:t>
      </w:r>
      <w:r w:rsidR="005C2022" w:rsidRPr="00E41356">
        <w:rPr>
          <w:rFonts w:ascii="Arial" w:hAnsi="Arial" w:cs="Arial"/>
          <w:sz w:val="24"/>
          <w:szCs w:val="24"/>
        </w:rPr>
        <w:t xml:space="preserve">. </w:t>
      </w:r>
      <w:r w:rsidR="005C2022">
        <w:rPr>
          <w:rFonts w:ascii="Arial" w:hAnsi="Arial" w:cs="Arial"/>
          <w:sz w:val="24"/>
          <w:szCs w:val="24"/>
        </w:rPr>
        <w:t>In January 2</w:t>
      </w:r>
      <w:r w:rsidR="005C2022" w:rsidRPr="00E41356">
        <w:rPr>
          <w:rFonts w:ascii="Arial" w:hAnsi="Arial" w:cs="Arial"/>
          <w:sz w:val="24"/>
          <w:szCs w:val="24"/>
        </w:rPr>
        <w:t>009 the</w:t>
      </w:r>
      <w:r w:rsidR="0053349E">
        <w:rPr>
          <w:rFonts w:ascii="Arial" w:hAnsi="Arial" w:cs="Arial"/>
          <w:sz w:val="24"/>
          <w:szCs w:val="24"/>
        </w:rPr>
        <w:t xml:space="preserve"> Tender Board</w:t>
      </w:r>
      <w:r w:rsidR="005C2022" w:rsidRPr="00E41356">
        <w:rPr>
          <w:rFonts w:ascii="Arial" w:hAnsi="Arial" w:cs="Arial"/>
          <w:sz w:val="24"/>
          <w:szCs w:val="24"/>
        </w:rPr>
        <w:t xml:space="preserve"> put up </w:t>
      </w:r>
      <w:r w:rsidR="00343749">
        <w:rPr>
          <w:rFonts w:ascii="Arial" w:hAnsi="Arial" w:cs="Arial"/>
          <w:sz w:val="24"/>
          <w:szCs w:val="24"/>
        </w:rPr>
        <w:t>T</w:t>
      </w:r>
      <w:r w:rsidR="005C2022" w:rsidRPr="00E41356">
        <w:rPr>
          <w:rFonts w:ascii="Arial" w:hAnsi="Arial" w:cs="Arial"/>
          <w:sz w:val="24"/>
          <w:szCs w:val="24"/>
        </w:rPr>
        <w:t>ender Number A9-11/2009 for the rendering of catering services to government</w:t>
      </w:r>
      <w:r w:rsidR="005C2022">
        <w:rPr>
          <w:rFonts w:ascii="Arial" w:hAnsi="Arial" w:cs="Arial"/>
          <w:sz w:val="24"/>
          <w:szCs w:val="24"/>
        </w:rPr>
        <w:t xml:space="preserve"> </w:t>
      </w:r>
      <w:r w:rsidR="005C2022" w:rsidRPr="009C08AC">
        <w:rPr>
          <w:rFonts w:ascii="Arial" w:hAnsi="Arial" w:cs="Arial"/>
          <w:sz w:val="24"/>
          <w:szCs w:val="24"/>
          <w:lang w:val="en-ZA"/>
        </w:rPr>
        <w:t>primary a</w:t>
      </w:r>
      <w:r w:rsidR="005C2022">
        <w:rPr>
          <w:rFonts w:ascii="Arial" w:hAnsi="Arial" w:cs="Arial"/>
          <w:sz w:val="24"/>
          <w:szCs w:val="24"/>
          <w:lang w:val="en-ZA"/>
        </w:rPr>
        <w:t>nd secondary school</w:t>
      </w:r>
      <w:r w:rsidR="005C2022" w:rsidRPr="00E41356">
        <w:rPr>
          <w:rFonts w:ascii="Arial" w:hAnsi="Arial" w:cs="Arial"/>
          <w:sz w:val="24"/>
          <w:szCs w:val="24"/>
        </w:rPr>
        <w:t xml:space="preserve"> hostels countrywide</w:t>
      </w:r>
      <w:r w:rsidR="00A85CDA">
        <w:rPr>
          <w:rFonts w:ascii="Arial" w:hAnsi="Arial" w:cs="Arial"/>
          <w:sz w:val="24"/>
          <w:szCs w:val="24"/>
        </w:rPr>
        <w:t xml:space="preserve"> </w:t>
      </w:r>
      <w:r w:rsidR="000A11B9" w:rsidRPr="007951EB">
        <w:rPr>
          <w:rFonts w:ascii="Arial" w:hAnsi="Arial" w:cs="Arial"/>
          <w:color w:val="000000" w:themeColor="text1"/>
          <w:sz w:val="24"/>
          <w:szCs w:val="24"/>
        </w:rPr>
        <w:t xml:space="preserve">for the period </w:t>
      </w:r>
      <w:r w:rsidR="003A62D2">
        <w:rPr>
          <w:rFonts w:ascii="Arial" w:hAnsi="Arial" w:cs="Arial"/>
          <w:color w:val="000000" w:themeColor="text1"/>
          <w:sz w:val="24"/>
          <w:szCs w:val="24"/>
        </w:rPr>
        <w:t xml:space="preserve">of 5 years beginning on </w:t>
      </w:r>
      <w:r w:rsidR="00DD53C0" w:rsidRPr="007951EB">
        <w:rPr>
          <w:rFonts w:ascii="Arial" w:hAnsi="Arial" w:cs="Arial"/>
          <w:color w:val="000000" w:themeColor="text1"/>
          <w:sz w:val="24"/>
          <w:szCs w:val="24"/>
        </w:rPr>
        <w:t xml:space="preserve">1 April 2009 </w:t>
      </w:r>
      <w:r w:rsidR="003A62D2">
        <w:rPr>
          <w:rFonts w:ascii="Arial" w:hAnsi="Arial" w:cs="Arial"/>
          <w:color w:val="000000" w:themeColor="text1"/>
          <w:sz w:val="24"/>
          <w:szCs w:val="24"/>
        </w:rPr>
        <w:t>and ending on</w:t>
      </w:r>
      <w:r w:rsidR="00DD53C0" w:rsidRPr="007951EB">
        <w:rPr>
          <w:rFonts w:ascii="Arial" w:hAnsi="Arial" w:cs="Arial"/>
          <w:color w:val="000000" w:themeColor="text1"/>
          <w:sz w:val="24"/>
          <w:szCs w:val="24"/>
        </w:rPr>
        <w:t xml:space="preserve"> </w:t>
      </w:r>
      <w:r w:rsidR="00AF7003" w:rsidRPr="007951EB">
        <w:rPr>
          <w:rFonts w:ascii="Arial" w:hAnsi="Arial" w:cs="Arial"/>
          <w:color w:val="000000" w:themeColor="text1"/>
          <w:sz w:val="24"/>
          <w:szCs w:val="24"/>
        </w:rPr>
        <w:t>31 M</w:t>
      </w:r>
      <w:r w:rsidR="00DD53C0">
        <w:rPr>
          <w:rFonts w:ascii="Arial" w:hAnsi="Arial" w:cs="Arial"/>
          <w:sz w:val="24"/>
          <w:szCs w:val="24"/>
        </w:rPr>
        <w:t xml:space="preserve">arch 2014. </w:t>
      </w:r>
      <w:r w:rsidR="005C2022">
        <w:rPr>
          <w:rFonts w:ascii="Arial" w:hAnsi="Arial" w:cs="Arial"/>
          <w:sz w:val="24"/>
          <w:szCs w:val="24"/>
        </w:rPr>
        <w:t xml:space="preserve">The tender was demarcated in eight </w:t>
      </w:r>
      <w:r w:rsidR="00A85CDA">
        <w:rPr>
          <w:rFonts w:ascii="Arial" w:hAnsi="Arial" w:cs="Arial"/>
          <w:sz w:val="24"/>
          <w:szCs w:val="24"/>
        </w:rPr>
        <w:t xml:space="preserve">educational </w:t>
      </w:r>
      <w:r w:rsidR="005C2022">
        <w:rPr>
          <w:rFonts w:ascii="Arial" w:hAnsi="Arial" w:cs="Arial"/>
          <w:sz w:val="24"/>
          <w:szCs w:val="24"/>
        </w:rPr>
        <w:t xml:space="preserve">regions of </w:t>
      </w:r>
      <w:r w:rsidR="0053349E">
        <w:rPr>
          <w:rFonts w:ascii="Arial" w:hAnsi="Arial" w:cs="Arial"/>
          <w:sz w:val="24"/>
          <w:szCs w:val="24"/>
        </w:rPr>
        <w:t>Namibia,</w:t>
      </w:r>
      <w:r w:rsidR="0053349E" w:rsidRPr="0050516E">
        <w:rPr>
          <w:rFonts w:ascii="Arial" w:hAnsi="Arial" w:cs="Arial"/>
          <w:sz w:val="24"/>
          <w:szCs w:val="24"/>
        </w:rPr>
        <w:t xml:space="preserve"> na</w:t>
      </w:r>
      <w:r w:rsidR="007951EB">
        <w:rPr>
          <w:rFonts w:ascii="Arial" w:hAnsi="Arial" w:cs="Arial"/>
          <w:sz w:val="24"/>
          <w:szCs w:val="24"/>
        </w:rPr>
        <w:t xml:space="preserve">mely Caprivi/Kavango, </w:t>
      </w:r>
      <w:r w:rsidR="005C2022">
        <w:rPr>
          <w:rFonts w:ascii="Arial" w:hAnsi="Arial" w:cs="Arial"/>
          <w:sz w:val="24"/>
          <w:szCs w:val="24"/>
        </w:rPr>
        <w:t>Ohangwena/Oshikoto,</w:t>
      </w:r>
      <w:r w:rsidR="0053349E">
        <w:rPr>
          <w:rFonts w:ascii="Arial" w:hAnsi="Arial" w:cs="Arial"/>
          <w:sz w:val="24"/>
          <w:szCs w:val="24"/>
        </w:rPr>
        <w:t xml:space="preserve"> </w:t>
      </w:r>
      <w:r w:rsidR="005C2022" w:rsidRPr="0050516E">
        <w:rPr>
          <w:rFonts w:ascii="Arial" w:hAnsi="Arial" w:cs="Arial"/>
          <w:sz w:val="24"/>
          <w:szCs w:val="24"/>
        </w:rPr>
        <w:t>Omusati/Oshana, Erongo/Kunene, Khomas, Otjozondjupa, Omaheke and Hardap/Karas.</w:t>
      </w:r>
      <w:r w:rsidR="005C2022">
        <w:rPr>
          <w:rFonts w:ascii="Arial" w:hAnsi="Arial" w:cs="Arial"/>
          <w:sz w:val="24"/>
          <w:szCs w:val="24"/>
        </w:rPr>
        <w:t xml:space="preserve"> </w:t>
      </w:r>
    </w:p>
    <w:p w:rsidR="005C2022" w:rsidRPr="0050516E" w:rsidRDefault="005C2022" w:rsidP="00A56E73">
      <w:pPr>
        <w:pStyle w:val="ListParagraph"/>
        <w:spacing w:after="0" w:line="480" w:lineRule="auto"/>
        <w:jc w:val="both"/>
        <w:rPr>
          <w:rFonts w:ascii="Arial" w:hAnsi="Arial" w:cs="Arial"/>
          <w:sz w:val="24"/>
          <w:szCs w:val="24"/>
        </w:rPr>
      </w:pPr>
    </w:p>
    <w:p w:rsidR="005C2022" w:rsidRPr="00616C93" w:rsidRDefault="005C2022" w:rsidP="00B90190">
      <w:pPr>
        <w:pStyle w:val="ListParagraph"/>
        <w:numPr>
          <w:ilvl w:val="0"/>
          <w:numId w:val="8"/>
        </w:numPr>
        <w:spacing w:after="0" w:line="480" w:lineRule="auto"/>
        <w:ind w:left="0" w:firstLine="0"/>
        <w:jc w:val="both"/>
        <w:rPr>
          <w:rFonts w:ascii="Arial" w:hAnsi="Arial" w:cs="Arial"/>
          <w:color w:val="000000" w:themeColor="text1"/>
          <w:sz w:val="24"/>
          <w:szCs w:val="24"/>
          <w:lang w:val="en-GB"/>
        </w:rPr>
      </w:pPr>
      <w:r w:rsidRPr="00DA02C6">
        <w:rPr>
          <w:rFonts w:ascii="Arial" w:hAnsi="Arial" w:cs="Arial"/>
          <w:sz w:val="24"/>
          <w:szCs w:val="24"/>
        </w:rPr>
        <w:t>The tender</w:t>
      </w:r>
      <w:r w:rsidR="00A85CDA">
        <w:rPr>
          <w:rFonts w:ascii="Arial" w:hAnsi="Arial" w:cs="Arial"/>
          <w:sz w:val="24"/>
          <w:szCs w:val="24"/>
        </w:rPr>
        <w:t xml:space="preserve">, which is the subject matter of these </w:t>
      </w:r>
      <w:r w:rsidR="00794028">
        <w:rPr>
          <w:rFonts w:ascii="Arial" w:hAnsi="Arial" w:cs="Arial"/>
          <w:sz w:val="24"/>
          <w:szCs w:val="24"/>
        </w:rPr>
        <w:t>proceedings required</w:t>
      </w:r>
      <w:r w:rsidRPr="00DA02C6">
        <w:rPr>
          <w:rFonts w:ascii="Arial" w:hAnsi="Arial" w:cs="Arial"/>
          <w:sz w:val="24"/>
          <w:szCs w:val="24"/>
          <w:lang w:val="en-ZA"/>
        </w:rPr>
        <w:t xml:space="preserve"> </w:t>
      </w:r>
      <w:r w:rsidR="00A85CDA">
        <w:rPr>
          <w:rFonts w:ascii="Arial" w:hAnsi="Arial" w:cs="Arial"/>
          <w:sz w:val="24"/>
          <w:szCs w:val="24"/>
          <w:lang w:val="en-ZA"/>
        </w:rPr>
        <w:t xml:space="preserve">of </w:t>
      </w:r>
      <w:r>
        <w:rPr>
          <w:rFonts w:ascii="Arial" w:hAnsi="Arial" w:cs="Arial"/>
          <w:sz w:val="24"/>
          <w:szCs w:val="24"/>
          <w:lang w:val="en-ZA"/>
        </w:rPr>
        <w:t xml:space="preserve">the successful </w:t>
      </w:r>
      <w:r w:rsidRPr="00D8619E">
        <w:rPr>
          <w:rFonts w:ascii="Arial" w:hAnsi="Arial" w:cs="Arial"/>
          <w:sz w:val="24"/>
          <w:szCs w:val="24"/>
          <w:lang w:val="en-ZA"/>
        </w:rPr>
        <w:t>tender</w:t>
      </w:r>
      <w:r>
        <w:rPr>
          <w:rFonts w:ascii="Arial" w:hAnsi="Arial" w:cs="Arial"/>
          <w:sz w:val="24"/>
          <w:szCs w:val="24"/>
          <w:lang w:val="en-ZA"/>
        </w:rPr>
        <w:t>er</w:t>
      </w:r>
      <w:r w:rsidRPr="00D8619E">
        <w:rPr>
          <w:rFonts w:ascii="Arial" w:hAnsi="Arial" w:cs="Arial"/>
          <w:sz w:val="24"/>
          <w:szCs w:val="24"/>
          <w:lang w:val="en-ZA"/>
        </w:rPr>
        <w:t xml:space="preserve"> </w:t>
      </w:r>
      <w:r>
        <w:rPr>
          <w:rFonts w:ascii="Arial" w:hAnsi="Arial" w:cs="Arial"/>
          <w:sz w:val="24"/>
          <w:szCs w:val="24"/>
          <w:lang w:val="en-ZA"/>
        </w:rPr>
        <w:t xml:space="preserve">to </w:t>
      </w:r>
      <w:r w:rsidRPr="00D8619E">
        <w:rPr>
          <w:rFonts w:ascii="Arial" w:hAnsi="Arial" w:cs="Arial"/>
          <w:sz w:val="24"/>
          <w:szCs w:val="24"/>
          <w:lang w:val="en-ZA"/>
        </w:rPr>
        <w:t xml:space="preserve">supply </w:t>
      </w:r>
      <w:r w:rsidRPr="009C08AC">
        <w:rPr>
          <w:rFonts w:ascii="Arial" w:hAnsi="Arial" w:cs="Arial"/>
          <w:sz w:val="24"/>
          <w:szCs w:val="24"/>
          <w:lang w:val="en-ZA"/>
        </w:rPr>
        <w:t xml:space="preserve">a variety of foodstuffs to </w:t>
      </w:r>
      <w:r w:rsidR="0053349E">
        <w:rPr>
          <w:rFonts w:ascii="Arial" w:hAnsi="Arial" w:cs="Arial"/>
          <w:sz w:val="24"/>
          <w:szCs w:val="24"/>
          <w:lang w:val="en-ZA"/>
        </w:rPr>
        <w:t xml:space="preserve">public </w:t>
      </w:r>
      <w:r>
        <w:rPr>
          <w:rFonts w:ascii="Arial" w:hAnsi="Arial" w:cs="Arial"/>
          <w:sz w:val="24"/>
          <w:szCs w:val="24"/>
          <w:lang w:val="en-ZA"/>
        </w:rPr>
        <w:t xml:space="preserve">school hostels </w:t>
      </w:r>
      <w:r w:rsidR="00FC2DC6">
        <w:rPr>
          <w:rFonts w:ascii="Arial" w:hAnsi="Arial" w:cs="Arial"/>
          <w:sz w:val="24"/>
          <w:szCs w:val="24"/>
          <w:lang w:val="en-ZA"/>
        </w:rPr>
        <w:t>in</w:t>
      </w:r>
      <w:r>
        <w:rPr>
          <w:rFonts w:ascii="Arial" w:hAnsi="Arial" w:cs="Arial"/>
          <w:sz w:val="24"/>
          <w:szCs w:val="24"/>
          <w:lang w:val="en-ZA"/>
        </w:rPr>
        <w:t xml:space="preserve"> Ohangwena/</w:t>
      </w:r>
      <w:r w:rsidRPr="009C08AC">
        <w:rPr>
          <w:rFonts w:ascii="Arial" w:hAnsi="Arial" w:cs="Arial"/>
          <w:sz w:val="24"/>
          <w:szCs w:val="24"/>
          <w:lang w:val="en-ZA"/>
        </w:rPr>
        <w:t>Oshikoto</w:t>
      </w:r>
      <w:r>
        <w:rPr>
          <w:rFonts w:ascii="Arial" w:hAnsi="Arial" w:cs="Arial"/>
          <w:sz w:val="24"/>
          <w:szCs w:val="24"/>
          <w:lang w:val="en-ZA"/>
        </w:rPr>
        <w:t xml:space="preserve"> </w:t>
      </w:r>
      <w:r w:rsidR="006A528F">
        <w:rPr>
          <w:rFonts w:ascii="Arial" w:hAnsi="Arial" w:cs="Arial"/>
          <w:sz w:val="24"/>
          <w:szCs w:val="24"/>
          <w:lang w:val="en-ZA"/>
        </w:rPr>
        <w:t>educational r</w:t>
      </w:r>
      <w:r>
        <w:rPr>
          <w:rFonts w:ascii="Arial" w:hAnsi="Arial" w:cs="Arial"/>
          <w:sz w:val="24"/>
          <w:szCs w:val="24"/>
          <w:lang w:val="en-ZA"/>
        </w:rPr>
        <w:t>egion</w:t>
      </w:r>
      <w:r w:rsidRPr="00DA02C6">
        <w:rPr>
          <w:rFonts w:ascii="Arial" w:hAnsi="Arial" w:cs="Arial"/>
          <w:sz w:val="24"/>
          <w:szCs w:val="24"/>
          <w:lang w:val="en-ZA"/>
        </w:rPr>
        <w:t>. The</w:t>
      </w:r>
      <w:r w:rsidR="00FC2DC6">
        <w:rPr>
          <w:rFonts w:ascii="Arial" w:hAnsi="Arial" w:cs="Arial"/>
          <w:sz w:val="24"/>
          <w:szCs w:val="24"/>
          <w:lang w:val="en-ZA"/>
        </w:rPr>
        <w:t xml:space="preserve"> </w:t>
      </w:r>
      <w:r w:rsidRPr="00DA02C6">
        <w:rPr>
          <w:rFonts w:ascii="Arial" w:hAnsi="Arial" w:cs="Arial"/>
          <w:sz w:val="24"/>
          <w:szCs w:val="24"/>
          <w:lang w:val="en-ZA"/>
        </w:rPr>
        <w:t xml:space="preserve">tender </w:t>
      </w:r>
      <w:r w:rsidR="007951EB">
        <w:rPr>
          <w:rFonts w:ascii="Arial" w:hAnsi="Arial" w:cs="Arial"/>
          <w:sz w:val="24"/>
          <w:szCs w:val="24"/>
          <w:lang w:val="en-ZA"/>
        </w:rPr>
        <w:t xml:space="preserve">invitation </w:t>
      </w:r>
      <w:r>
        <w:rPr>
          <w:rFonts w:ascii="Arial" w:hAnsi="Arial" w:cs="Arial"/>
          <w:sz w:val="24"/>
          <w:szCs w:val="24"/>
          <w:lang w:val="en-ZA"/>
        </w:rPr>
        <w:t xml:space="preserve">specified </w:t>
      </w:r>
      <w:r w:rsidRPr="00DA02C6">
        <w:rPr>
          <w:rFonts w:ascii="Arial" w:hAnsi="Arial" w:cs="Arial"/>
          <w:sz w:val="24"/>
          <w:szCs w:val="24"/>
          <w:lang w:val="en-ZA"/>
        </w:rPr>
        <w:t xml:space="preserve">that </w:t>
      </w:r>
      <w:r>
        <w:rPr>
          <w:rFonts w:ascii="Arial" w:hAnsi="Arial" w:cs="Arial"/>
          <w:sz w:val="24"/>
          <w:szCs w:val="24"/>
        </w:rPr>
        <w:t xml:space="preserve">catering services were </w:t>
      </w:r>
      <w:r w:rsidRPr="008B4F46">
        <w:rPr>
          <w:rFonts w:ascii="Arial" w:hAnsi="Arial" w:cs="Arial"/>
          <w:sz w:val="24"/>
          <w:szCs w:val="24"/>
        </w:rPr>
        <w:t xml:space="preserve">to be provided over a period </w:t>
      </w:r>
      <w:r>
        <w:rPr>
          <w:rFonts w:ascii="Arial" w:hAnsi="Arial" w:cs="Arial"/>
          <w:sz w:val="24"/>
          <w:szCs w:val="24"/>
        </w:rPr>
        <w:t xml:space="preserve">commencing </w:t>
      </w:r>
      <w:r w:rsidR="00634B0A">
        <w:rPr>
          <w:rFonts w:ascii="Arial" w:hAnsi="Arial" w:cs="Arial"/>
          <w:sz w:val="24"/>
          <w:szCs w:val="24"/>
        </w:rPr>
        <w:t xml:space="preserve">on </w:t>
      </w:r>
      <w:r w:rsidRPr="008B4F46">
        <w:rPr>
          <w:rFonts w:ascii="Arial" w:hAnsi="Arial" w:cs="Arial"/>
          <w:sz w:val="24"/>
          <w:szCs w:val="24"/>
        </w:rPr>
        <w:t xml:space="preserve">1 April 2009 </w:t>
      </w:r>
      <w:r w:rsidR="00634B0A">
        <w:rPr>
          <w:rFonts w:ascii="Arial" w:hAnsi="Arial" w:cs="Arial"/>
          <w:sz w:val="24"/>
          <w:szCs w:val="24"/>
        </w:rPr>
        <w:t>and ending on</w:t>
      </w:r>
      <w:r>
        <w:rPr>
          <w:rFonts w:ascii="Arial" w:hAnsi="Arial" w:cs="Arial"/>
          <w:sz w:val="24"/>
          <w:szCs w:val="24"/>
        </w:rPr>
        <w:t xml:space="preserve"> </w:t>
      </w:r>
      <w:r w:rsidRPr="008B4F46">
        <w:rPr>
          <w:rFonts w:ascii="Arial" w:hAnsi="Arial" w:cs="Arial"/>
          <w:sz w:val="24"/>
          <w:szCs w:val="24"/>
        </w:rPr>
        <w:t>31 March 2014</w:t>
      </w:r>
      <w:r w:rsidR="00A56E73">
        <w:rPr>
          <w:rFonts w:ascii="Arial" w:hAnsi="Arial" w:cs="Arial"/>
          <w:sz w:val="24"/>
          <w:szCs w:val="24"/>
        </w:rPr>
        <w:t>.</w:t>
      </w:r>
    </w:p>
    <w:p w:rsidR="00616C93" w:rsidRPr="00616C93" w:rsidRDefault="00616C93" w:rsidP="00A56E73">
      <w:pPr>
        <w:pStyle w:val="ListParagraph"/>
        <w:spacing w:after="0" w:line="480" w:lineRule="auto"/>
        <w:jc w:val="both"/>
        <w:rPr>
          <w:rFonts w:ascii="Arial" w:hAnsi="Arial" w:cs="Arial"/>
          <w:color w:val="000000" w:themeColor="text1"/>
          <w:sz w:val="24"/>
          <w:szCs w:val="24"/>
          <w:lang w:val="en-GB"/>
        </w:rPr>
      </w:pPr>
    </w:p>
    <w:p w:rsidR="005C2022" w:rsidRDefault="005C2022" w:rsidP="00B90190">
      <w:pPr>
        <w:pStyle w:val="ListParagraph"/>
        <w:numPr>
          <w:ilvl w:val="0"/>
          <w:numId w:val="8"/>
        </w:numPr>
        <w:spacing w:after="0" w:line="480" w:lineRule="auto"/>
        <w:ind w:left="0" w:firstLine="0"/>
        <w:jc w:val="both"/>
        <w:rPr>
          <w:rFonts w:ascii="Arial" w:hAnsi="Arial" w:cs="Arial"/>
          <w:sz w:val="24"/>
          <w:szCs w:val="24"/>
          <w:lang w:val="en-ZA"/>
        </w:rPr>
      </w:pPr>
      <w:r>
        <w:rPr>
          <w:rFonts w:ascii="Arial" w:hAnsi="Arial" w:cs="Arial"/>
          <w:sz w:val="24"/>
          <w:szCs w:val="24"/>
          <w:lang w:val="en-ZA"/>
        </w:rPr>
        <w:t xml:space="preserve">Appellant </w:t>
      </w:r>
      <w:r w:rsidRPr="000F6A62">
        <w:rPr>
          <w:rFonts w:ascii="Arial" w:hAnsi="Arial" w:cs="Arial"/>
          <w:sz w:val="24"/>
          <w:szCs w:val="24"/>
        </w:rPr>
        <w:t xml:space="preserve">together with other </w:t>
      </w:r>
      <w:r w:rsidR="009758ED">
        <w:rPr>
          <w:rFonts w:ascii="Arial" w:hAnsi="Arial" w:cs="Arial"/>
          <w:sz w:val="24"/>
          <w:szCs w:val="24"/>
        </w:rPr>
        <w:t>entities</w:t>
      </w:r>
      <w:r w:rsidRPr="000F6A62">
        <w:rPr>
          <w:rFonts w:ascii="Arial" w:hAnsi="Arial" w:cs="Arial"/>
          <w:sz w:val="24"/>
          <w:szCs w:val="24"/>
        </w:rPr>
        <w:t xml:space="preserve"> </w:t>
      </w:r>
      <w:r w:rsidRPr="00E035AC">
        <w:rPr>
          <w:rFonts w:ascii="Arial" w:hAnsi="Arial" w:cs="Arial"/>
          <w:sz w:val="24"/>
          <w:szCs w:val="24"/>
          <w:lang w:val="en-ZA"/>
        </w:rPr>
        <w:t xml:space="preserve">responded to the </w:t>
      </w:r>
      <w:r w:rsidR="00634B0A">
        <w:rPr>
          <w:rFonts w:ascii="Arial" w:hAnsi="Arial" w:cs="Arial"/>
          <w:sz w:val="24"/>
          <w:szCs w:val="24"/>
          <w:lang w:val="en-ZA"/>
        </w:rPr>
        <w:t>invitation</w:t>
      </w:r>
      <w:r w:rsidRPr="00E035AC">
        <w:rPr>
          <w:rFonts w:ascii="Arial" w:hAnsi="Arial" w:cs="Arial"/>
          <w:sz w:val="24"/>
          <w:szCs w:val="24"/>
          <w:lang w:val="en-ZA"/>
        </w:rPr>
        <w:t xml:space="preserve"> and </w:t>
      </w:r>
      <w:r>
        <w:rPr>
          <w:rFonts w:ascii="Arial" w:hAnsi="Arial" w:cs="Arial"/>
          <w:sz w:val="24"/>
          <w:szCs w:val="24"/>
          <w:lang w:val="en-ZA"/>
        </w:rPr>
        <w:t xml:space="preserve">submitted </w:t>
      </w:r>
      <w:r w:rsidRPr="00665023">
        <w:rPr>
          <w:rFonts w:ascii="Arial" w:hAnsi="Arial" w:cs="Arial"/>
          <w:sz w:val="24"/>
          <w:szCs w:val="24"/>
        </w:rPr>
        <w:t xml:space="preserve">their </w:t>
      </w:r>
      <w:r w:rsidR="00634B0A">
        <w:rPr>
          <w:rFonts w:ascii="Arial" w:hAnsi="Arial" w:cs="Arial"/>
          <w:sz w:val="24"/>
          <w:szCs w:val="24"/>
        </w:rPr>
        <w:t xml:space="preserve">tenders </w:t>
      </w:r>
      <w:r>
        <w:rPr>
          <w:rFonts w:ascii="Arial" w:hAnsi="Arial" w:cs="Arial"/>
          <w:sz w:val="24"/>
          <w:szCs w:val="24"/>
          <w:lang w:val="en-ZA"/>
        </w:rPr>
        <w:t>for</w:t>
      </w:r>
      <w:r w:rsidRPr="00376942">
        <w:rPr>
          <w:rFonts w:ascii="Arial" w:hAnsi="Arial" w:cs="Arial"/>
          <w:sz w:val="24"/>
          <w:szCs w:val="24"/>
          <w:lang w:val="en-ZA"/>
        </w:rPr>
        <w:t xml:space="preserve"> </w:t>
      </w:r>
      <w:r>
        <w:rPr>
          <w:rFonts w:ascii="Arial" w:hAnsi="Arial" w:cs="Arial"/>
          <w:sz w:val="24"/>
          <w:szCs w:val="24"/>
          <w:lang w:val="en-ZA"/>
        </w:rPr>
        <w:t xml:space="preserve">the concerned </w:t>
      </w:r>
      <w:r w:rsidRPr="000F57F8">
        <w:rPr>
          <w:rFonts w:ascii="Arial" w:hAnsi="Arial" w:cs="Arial"/>
          <w:sz w:val="24"/>
          <w:szCs w:val="24"/>
          <w:lang w:val="en-ZA"/>
        </w:rPr>
        <w:t>region</w:t>
      </w:r>
      <w:r w:rsidRPr="00376942">
        <w:rPr>
          <w:rFonts w:ascii="Arial" w:hAnsi="Arial" w:cs="Arial"/>
          <w:sz w:val="24"/>
          <w:szCs w:val="24"/>
          <w:lang w:val="en-ZA"/>
        </w:rPr>
        <w:t xml:space="preserve">.  </w:t>
      </w:r>
      <w:r w:rsidR="00AD0F7D" w:rsidRPr="00AD0F7D">
        <w:rPr>
          <w:rFonts w:ascii="Arial" w:hAnsi="Arial" w:cs="Arial"/>
          <w:sz w:val="24"/>
          <w:szCs w:val="24"/>
          <w:lang w:val="en-ZA"/>
        </w:rPr>
        <w:t>On the basis of its overall evaluation of the tenders</w:t>
      </w:r>
      <w:r w:rsidRPr="00376942">
        <w:rPr>
          <w:rFonts w:ascii="Arial" w:hAnsi="Arial" w:cs="Arial"/>
          <w:sz w:val="24"/>
          <w:szCs w:val="24"/>
          <w:lang w:val="en-ZA"/>
        </w:rPr>
        <w:t xml:space="preserve">, </w:t>
      </w:r>
      <w:r>
        <w:rPr>
          <w:rFonts w:ascii="Arial" w:hAnsi="Arial" w:cs="Arial"/>
          <w:sz w:val="24"/>
          <w:szCs w:val="24"/>
          <w:lang w:val="en-ZA"/>
        </w:rPr>
        <w:t xml:space="preserve">the </w:t>
      </w:r>
      <w:r w:rsidR="00634B0A">
        <w:rPr>
          <w:rFonts w:ascii="Arial" w:hAnsi="Arial" w:cs="Arial"/>
          <w:sz w:val="24"/>
          <w:szCs w:val="24"/>
          <w:lang w:val="en-ZA"/>
        </w:rPr>
        <w:t>Tender Board</w:t>
      </w:r>
      <w:r>
        <w:rPr>
          <w:rFonts w:ascii="Arial" w:hAnsi="Arial" w:cs="Arial"/>
          <w:sz w:val="24"/>
          <w:szCs w:val="24"/>
          <w:lang w:val="en-ZA"/>
        </w:rPr>
        <w:t xml:space="preserve"> awarded the tender </w:t>
      </w:r>
      <w:r w:rsidRPr="00376942">
        <w:rPr>
          <w:rFonts w:ascii="Arial" w:hAnsi="Arial" w:cs="Arial"/>
          <w:sz w:val="24"/>
          <w:szCs w:val="24"/>
          <w:lang w:val="en-ZA"/>
        </w:rPr>
        <w:t xml:space="preserve">to </w:t>
      </w:r>
      <w:r w:rsidRPr="00376942">
        <w:rPr>
          <w:rFonts w:ascii="Arial" w:hAnsi="Arial" w:cs="Arial"/>
          <w:sz w:val="24"/>
          <w:szCs w:val="24"/>
        </w:rPr>
        <w:t>a</w:t>
      </w:r>
      <w:r w:rsidR="009758ED">
        <w:rPr>
          <w:rFonts w:ascii="Arial" w:hAnsi="Arial" w:cs="Arial"/>
          <w:sz w:val="24"/>
          <w:szCs w:val="24"/>
        </w:rPr>
        <w:t xml:space="preserve"> company </w:t>
      </w:r>
      <w:r w:rsidRPr="00376942">
        <w:rPr>
          <w:rFonts w:ascii="Arial" w:hAnsi="Arial" w:cs="Arial"/>
          <w:sz w:val="24"/>
          <w:szCs w:val="24"/>
        </w:rPr>
        <w:t xml:space="preserve">named Conger </w:t>
      </w:r>
      <w:r w:rsidRPr="00376942">
        <w:rPr>
          <w:rFonts w:ascii="Arial" w:hAnsi="Arial" w:cs="Arial"/>
          <w:sz w:val="24"/>
          <w:szCs w:val="24"/>
        </w:rPr>
        <w:lastRenderedPageBreak/>
        <w:t xml:space="preserve">Investments (Pty) </w:t>
      </w:r>
      <w:r w:rsidR="005779A5">
        <w:rPr>
          <w:rFonts w:ascii="Arial" w:hAnsi="Arial" w:cs="Arial"/>
          <w:sz w:val="24"/>
          <w:szCs w:val="24"/>
        </w:rPr>
        <w:t xml:space="preserve">Ltd </w:t>
      </w:r>
      <w:r w:rsidRPr="00376942">
        <w:rPr>
          <w:rFonts w:ascii="Arial" w:hAnsi="Arial" w:cs="Arial"/>
          <w:sz w:val="24"/>
          <w:szCs w:val="24"/>
        </w:rPr>
        <w:t>t/a Atlantic Food Services,</w:t>
      </w:r>
      <w:r w:rsidR="00634B0A">
        <w:rPr>
          <w:rFonts w:ascii="Arial" w:hAnsi="Arial" w:cs="Arial"/>
          <w:sz w:val="24"/>
          <w:szCs w:val="24"/>
        </w:rPr>
        <w:t xml:space="preserve"> </w:t>
      </w:r>
      <w:r>
        <w:rPr>
          <w:rFonts w:ascii="Arial" w:hAnsi="Arial" w:cs="Arial"/>
          <w:sz w:val="24"/>
          <w:szCs w:val="24"/>
        </w:rPr>
        <w:t xml:space="preserve">which is </w:t>
      </w:r>
      <w:r w:rsidRPr="00376942">
        <w:rPr>
          <w:rFonts w:ascii="Arial" w:hAnsi="Arial" w:cs="Arial"/>
          <w:sz w:val="24"/>
          <w:szCs w:val="24"/>
        </w:rPr>
        <w:t>not a party to these proceedings</w:t>
      </w:r>
      <w:r w:rsidRPr="00376942">
        <w:rPr>
          <w:rFonts w:ascii="Arial" w:hAnsi="Arial" w:cs="Arial"/>
          <w:sz w:val="24"/>
          <w:szCs w:val="24"/>
          <w:lang w:val="en-ZA"/>
        </w:rPr>
        <w:t>.</w:t>
      </w:r>
    </w:p>
    <w:p w:rsidR="005C2022" w:rsidRPr="007B7329" w:rsidRDefault="005C2022" w:rsidP="00A56E73">
      <w:pPr>
        <w:pStyle w:val="ListParagraph"/>
        <w:spacing w:after="0" w:line="480" w:lineRule="auto"/>
        <w:jc w:val="both"/>
        <w:rPr>
          <w:rFonts w:ascii="Arial" w:hAnsi="Arial" w:cs="Arial"/>
          <w:sz w:val="24"/>
          <w:szCs w:val="24"/>
          <w:lang w:val="en-ZA"/>
        </w:rPr>
      </w:pPr>
    </w:p>
    <w:p w:rsidR="005C2022" w:rsidRPr="00070B1D" w:rsidRDefault="00A85CDA" w:rsidP="00B90190">
      <w:pPr>
        <w:pStyle w:val="ListParagraph"/>
        <w:numPr>
          <w:ilvl w:val="0"/>
          <w:numId w:val="8"/>
        </w:numPr>
        <w:spacing w:after="0" w:line="480" w:lineRule="auto"/>
        <w:ind w:left="0" w:firstLine="0"/>
        <w:jc w:val="both"/>
        <w:rPr>
          <w:rFonts w:ascii="Arial" w:hAnsi="Arial" w:cs="Arial"/>
          <w:sz w:val="24"/>
          <w:szCs w:val="24"/>
          <w:lang w:val="en-ZA"/>
        </w:rPr>
      </w:pPr>
      <w:r>
        <w:rPr>
          <w:rFonts w:ascii="Arial" w:hAnsi="Arial" w:cs="Arial"/>
          <w:sz w:val="24"/>
          <w:szCs w:val="24"/>
          <w:lang w:val="en-ZA"/>
        </w:rPr>
        <w:t>Aggrieved by this decision, t</w:t>
      </w:r>
      <w:r w:rsidR="00430071" w:rsidRPr="00070B1D">
        <w:rPr>
          <w:rFonts w:ascii="Arial" w:hAnsi="Arial" w:cs="Arial"/>
          <w:sz w:val="24"/>
          <w:szCs w:val="24"/>
          <w:lang w:val="en-ZA"/>
        </w:rPr>
        <w:t xml:space="preserve">he appellant </w:t>
      </w:r>
      <w:r>
        <w:rPr>
          <w:rFonts w:ascii="Arial" w:hAnsi="Arial" w:cs="Arial"/>
          <w:sz w:val="24"/>
          <w:szCs w:val="24"/>
          <w:lang w:val="en-ZA"/>
        </w:rPr>
        <w:t>a</w:t>
      </w:r>
      <w:r w:rsidR="005C2022" w:rsidRPr="00070B1D">
        <w:rPr>
          <w:rFonts w:ascii="Arial" w:hAnsi="Arial" w:cs="Arial"/>
          <w:sz w:val="24"/>
          <w:szCs w:val="24"/>
          <w:lang w:val="en-ZA"/>
        </w:rPr>
        <w:t>pproached the High Court on notice o</w:t>
      </w:r>
      <w:r w:rsidR="00430071" w:rsidRPr="00070B1D">
        <w:rPr>
          <w:rFonts w:ascii="Arial" w:hAnsi="Arial" w:cs="Arial"/>
          <w:sz w:val="24"/>
          <w:szCs w:val="24"/>
          <w:lang w:val="en-ZA"/>
        </w:rPr>
        <w:t>f motion to have the decision of</w:t>
      </w:r>
      <w:r w:rsidR="005C2022" w:rsidRPr="00070B1D">
        <w:rPr>
          <w:rFonts w:ascii="Arial" w:hAnsi="Arial" w:cs="Arial"/>
          <w:sz w:val="24"/>
          <w:szCs w:val="24"/>
          <w:lang w:val="en-ZA"/>
        </w:rPr>
        <w:t xml:space="preserve"> the </w:t>
      </w:r>
      <w:r w:rsidR="00634B0A" w:rsidRPr="00070B1D">
        <w:rPr>
          <w:rFonts w:ascii="Arial" w:hAnsi="Arial" w:cs="Arial"/>
          <w:sz w:val="24"/>
          <w:szCs w:val="24"/>
          <w:lang w:val="en-ZA"/>
        </w:rPr>
        <w:t>Tender Board</w:t>
      </w:r>
      <w:r w:rsidR="005C2022" w:rsidRPr="00070B1D">
        <w:rPr>
          <w:rFonts w:ascii="Arial" w:hAnsi="Arial" w:cs="Arial"/>
          <w:sz w:val="24"/>
          <w:szCs w:val="24"/>
          <w:lang w:val="en-ZA"/>
        </w:rPr>
        <w:t xml:space="preserve"> reviewed and set aside. </w:t>
      </w:r>
      <w:r w:rsidR="00070B1D" w:rsidRPr="00070B1D">
        <w:rPr>
          <w:rFonts w:ascii="Arial" w:hAnsi="Arial" w:cs="Arial"/>
          <w:sz w:val="24"/>
          <w:szCs w:val="24"/>
        </w:rPr>
        <w:t xml:space="preserve">The appellant also sought an order awarding the tender for </w:t>
      </w:r>
      <w:r w:rsidR="001952B7">
        <w:rPr>
          <w:rFonts w:ascii="Arial" w:hAnsi="Arial" w:cs="Arial"/>
          <w:sz w:val="24"/>
          <w:szCs w:val="24"/>
        </w:rPr>
        <w:t xml:space="preserve">Ohangwena/Oshikoto </w:t>
      </w:r>
      <w:r w:rsidR="003A62D2">
        <w:rPr>
          <w:rFonts w:ascii="Arial" w:hAnsi="Arial" w:cs="Arial"/>
          <w:sz w:val="24"/>
          <w:szCs w:val="24"/>
        </w:rPr>
        <w:t>re</w:t>
      </w:r>
      <w:r w:rsidR="00070B1D" w:rsidRPr="00070B1D">
        <w:rPr>
          <w:rFonts w:ascii="Arial" w:hAnsi="Arial" w:cs="Arial"/>
          <w:sz w:val="24"/>
          <w:szCs w:val="24"/>
        </w:rPr>
        <w:t xml:space="preserve">gion to </w:t>
      </w:r>
      <w:r>
        <w:rPr>
          <w:rFonts w:ascii="Arial" w:hAnsi="Arial" w:cs="Arial"/>
          <w:sz w:val="24"/>
          <w:szCs w:val="24"/>
        </w:rPr>
        <w:t>i</w:t>
      </w:r>
      <w:r w:rsidR="00070B1D" w:rsidRPr="00070B1D">
        <w:rPr>
          <w:rFonts w:ascii="Arial" w:hAnsi="Arial" w:cs="Arial"/>
          <w:sz w:val="24"/>
          <w:szCs w:val="24"/>
        </w:rPr>
        <w:t>t. The respondents oppose</w:t>
      </w:r>
      <w:r w:rsidR="00DC08E1">
        <w:rPr>
          <w:rFonts w:ascii="Arial" w:hAnsi="Arial" w:cs="Arial"/>
          <w:sz w:val="24"/>
          <w:szCs w:val="24"/>
        </w:rPr>
        <w:t>d</w:t>
      </w:r>
      <w:r w:rsidR="00A56E73">
        <w:rPr>
          <w:rFonts w:ascii="Arial" w:hAnsi="Arial" w:cs="Arial"/>
          <w:sz w:val="24"/>
          <w:szCs w:val="24"/>
        </w:rPr>
        <w:t xml:space="preserve"> the application.</w:t>
      </w:r>
    </w:p>
    <w:p w:rsidR="00070B1D" w:rsidRPr="00070B1D" w:rsidRDefault="00070B1D" w:rsidP="00B90190">
      <w:pPr>
        <w:pStyle w:val="ListParagraph"/>
        <w:spacing w:after="0" w:line="480" w:lineRule="auto"/>
        <w:ind w:left="0"/>
        <w:jc w:val="both"/>
        <w:rPr>
          <w:rFonts w:ascii="Arial" w:hAnsi="Arial" w:cs="Arial"/>
          <w:sz w:val="24"/>
          <w:szCs w:val="24"/>
          <w:lang w:val="en-ZA"/>
        </w:rPr>
      </w:pPr>
    </w:p>
    <w:p w:rsidR="005C2022" w:rsidRPr="00B56D69" w:rsidRDefault="00BB673E" w:rsidP="00B90190">
      <w:pPr>
        <w:pStyle w:val="ListParagraph"/>
        <w:numPr>
          <w:ilvl w:val="0"/>
          <w:numId w:val="8"/>
        </w:numPr>
        <w:spacing w:after="0" w:line="480" w:lineRule="auto"/>
        <w:ind w:left="0" w:firstLine="0"/>
        <w:jc w:val="both"/>
        <w:rPr>
          <w:rFonts w:ascii="Arial" w:hAnsi="Arial" w:cs="Arial"/>
          <w:sz w:val="24"/>
          <w:szCs w:val="24"/>
          <w:lang w:val="en-ZA"/>
        </w:rPr>
      </w:pPr>
      <w:r>
        <w:rPr>
          <w:rFonts w:ascii="Arial" w:hAnsi="Arial" w:cs="Arial"/>
          <w:sz w:val="24"/>
          <w:szCs w:val="24"/>
          <w:lang w:val="en-ZA"/>
        </w:rPr>
        <w:t>T</w:t>
      </w:r>
      <w:r w:rsidR="00071FE3">
        <w:rPr>
          <w:rFonts w:ascii="Arial" w:hAnsi="Arial" w:cs="Arial"/>
          <w:sz w:val="24"/>
          <w:szCs w:val="24"/>
          <w:lang w:val="en-ZA"/>
        </w:rPr>
        <w:t xml:space="preserve">he </w:t>
      </w:r>
      <w:r w:rsidR="001952B7">
        <w:rPr>
          <w:rFonts w:ascii="Arial" w:hAnsi="Arial" w:cs="Arial"/>
          <w:sz w:val="24"/>
          <w:szCs w:val="24"/>
          <w:lang w:val="en-ZA"/>
        </w:rPr>
        <w:t>High C</w:t>
      </w:r>
      <w:r w:rsidR="00071FE3">
        <w:rPr>
          <w:rFonts w:ascii="Arial" w:hAnsi="Arial" w:cs="Arial"/>
          <w:sz w:val="24"/>
          <w:szCs w:val="24"/>
          <w:lang w:val="en-ZA"/>
        </w:rPr>
        <w:t xml:space="preserve">ourt </w:t>
      </w:r>
      <w:r w:rsidR="005C2022">
        <w:rPr>
          <w:rFonts w:ascii="Arial" w:hAnsi="Arial" w:cs="Arial"/>
          <w:sz w:val="24"/>
          <w:szCs w:val="24"/>
          <w:lang w:val="en-ZA"/>
        </w:rPr>
        <w:t xml:space="preserve">granted </w:t>
      </w:r>
      <w:r w:rsidR="00430071">
        <w:rPr>
          <w:rFonts w:ascii="Arial" w:hAnsi="Arial" w:cs="Arial"/>
          <w:sz w:val="24"/>
          <w:szCs w:val="24"/>
          <w:lang w:val="en-ZA"/>
        </w:rPr>
        <w:t xml:space="preserve">the </w:t>
      </w:r>
      <w:r w:rsidR="005C2022">
        <w:rPr>
          <w:rFonts w:ascii="Arial" w:hAnsi="Arial" w:cs="Arial"/>
          <w:sz w:val="24"/>
          <w:szCs w:val="24"/>
          <w:lang w:val="en-ZA"/>
        </w:rPr>
        <w:t xml:space="preserve">application in part and </w:t>
      </w:r>
      <w:r w:rsidR="005C2022" w:rsidRPr="00B56D69">
        <w:rPr>
          <w:rFonts w:ascii="Arial" w:hAnsi="Arial" w:cs="Arial"/>
          <w:sz w:val="24"/>
          <w:szCs w:val="24"/>
        </w:rPr>
        <w:t xml:space="preserve">set aside the decision awarding the tender but did not order that it be awarded </w:t>
      </w:r>
      <w:r w:rsidR="001952B7">
        <w:rPr>
          <w:rFonts w:ascii="Arial" w:hAnsi="Arial" w:cs="Arial"/>
          <w:sz w:val="24"/>
          <w:szCs w:val="24"/>
        </w:rPr>
        <w:t>to the appellant</w:t>
      </w:r>
      <w:r w:rsidR="005C2022" w:rsidRPr="00B56D69">
        <w:rPr>
          <w:rFonts w:ascii="Arial" w:hAnsi="Arial" w:cs="Arial"/>
          <w:sz w:val="24"/>
          <w:szCs w:val="24"/>
        </w:rPr>
        <w:t xml:space="preserve">. </w:t>
      </w:r>
      <w:r w:rsidR="001952B7">
        <w:rPr>
          <w:rFonts w:ascii="Arial" w:hAnsi="Arial" w:cs="Arial"/>
          <w:sz w:val="24"/>
          <w:szCs w:val="24"/>
        </w:rPr>
        <w:t xml:space="preserve">Dissatisfied with the decision setting aside the tender, the </w:t>
      </w:r>
      <w:r w:rsidR="005C2022" w:rsidRPr="00B56D69">
        <w:rPr>
          <w:rFonts w:ascii="Arial" w:hAnsi="Arial" w:cs="Arial"/>
          <w:sz w:val="24"/>
          <w:szCs w:val="24"/>
        </w:rPr>
        <w:t>r</w:t>
      </w:r>
      <w:r w:rsidR="005C2022">
        <w:rPr>
          <w:rFonts w:ascii="Arial" w:hAnsi="Arial" w:cs="Arial"/>
          <w:sz w:val="24"/>
          <w:szCs w:val="24"/>
        </w:rPr>
        <w:t>espondents</w:t>
      </w:r>
      <w:r w:rsidR="005C2022" w:rsidRPr="00B56D69">
        <w:rPr>
          <w:rFonts w:ascii="Arial" w:hAnsi="Arial" w:cs="Arial"/>
          <w:sz w:val="24"/>
          <w:szCs w:val="24"/>
        </w:rPr>
        <w:t xml:space="preserve"> </w:t>
      </w:r>
      <w:r w:rsidR="008E67ED">
        <w:rPr>
          <w:rFonts w:ascii="Arial" w:hAnsi="Arial" w:cs="Arial"/>
          <w:sz w:val="24"/>
          <w:szCs w:val="24"/>
        </w:rPr>
        <w:t xml:space="preserve">noted an appeal to the Supreme </w:t>
      </w:r>
      <w:r w:rsidR="005C2022">
        <w:rPr>
          <w:rFonts w:ascii="Arial" w:hAnsi="Arial" w:cs="Arial"/>
          <w:sz w:val="24"/>
          <w:szCs w:val="24"/>
        </w:rPr>
        <w:t>Court</w:t>
      </w:r>
      <w:r w:rsidR="005C2022" w:rsidRPr="00B56D69">
        <w:rPr>
          <w:rFonts w:ascii="Arial" w:hAnsi="Arial" w:cs="Arial"/>
          <w:sz w:val="24"/>
          <w:szCs w:val="24"/>
        </w:rPr>
        <w:t xml:space="preserve">. The appellant, also dissatisfied with the decision of the court </w:t>
      </w:r>
      <w:r w:rsidR="005C2022">
        <w:rPr>
          <w:rFonts w:ascii="Arial" w:hAnsi="Arial" w:cs="Arial"/>
          <w:i/>
          <w:sz w:val="24"/>
          <w:szCs w:val="24"/>
        </w:rPr>
        <w:t xml:space="preserve">a quo </w:t>
      </w:r>
      <w:r w:rsidR="005C2022" w:rsidRPr="00B56D69">
        <w:rPr>
          <w:rFonts w:ascii="Arial" w:hAnsi="Arial" w:cs="Arial"/>
          <w:sz w:val="24"/>
          <w:szCs w:val="24"/>
        </w:rPr>
        <w:t xml:space="preserve">refusing its request for the tender </w:t>
      </w:r>
      <w:r w:rsidR="00315FAB">
        <w:rPr>
          <w:rFonts w:ascii="Arial" w:hAnsi="Arial" w:cs="Arial"/>
          <w:sz w:val="24"/>
          <w:szCs w:val="24"/>
        </w:rPr>
        <w:t>to be</w:t>
      </w:r>
      <w:r w:rsidR="005C2022" w:rsidRPr="00B56D69">
        <w:rPr>
          <w:rFonts w:ascii="Arial" w:hAnsi="Arial" w:cs="Arial"/>
          <w:sz w:val="24"/>
          <w:szCs w:val="24"/>
        </w:rPr>
        <w:t xml:space="preserve"> awarded to it, noted a cross-appeal against that part of the </w:t>
      </w:r>
      <w:r w:rsidR="005C2022">
        <w:rPr>
          <w:rFonts w:ascii="Arial" w:hAnsi="Arial" w:cs="Arial"/>
          <w:sz w:val="24"/>
          <w:szCs w:val="24"/>
        </w:rPr>
        <w:t>judgment</w:t>
      </w:r>
      <w:r w:rsidR="005C2022" w:rsidRPr="00B56D69">
        <w:rPr>
          <w:rFonts w:ascii="Arial" w:hAnsi="Arial" w:cs="Arial"/>
          <w:sz w:val="24"/>
          <w:szCs w:val="24"/>
        </w:rPr>
        <w:t>.</w:t>
      </w:r>
    </w:p>
    <w:p w:rsidR="005C2022" w:rsidRPr="00B56D69" w:rsidRDefault="005C2022" w:rsidP="00A56E73">
      <w:pPr>
        <w:pStyle w:val="ListParagraph"/>
        <w:spacing w:after="0" w:line="480" w:lineRule="auto"/>
        <w:jc w:val="both"/>
        <w:rPr>
          <w:rFonts w:ascii="Arial" w:hAnsi="Arial" w:cs="Arial"/>
          <w:sz w:val="24"/>
          <w:szCs w:val="24"/>
          <w:lang w:val="en-ZA"/>
        </w:rPr>
      </w:pPr>
    </w:p>
    <w:p w:rsidR="005C2022" w:rsidRPr="009D0942" w:rsidRDefault="005C2022" w:rsidP="00B90190">
      <w:pPr>
        <w:pStyle w:val="ListParagraph"/>
        <w:numPr>
          <w:ilvl w:val="0"/>
          <w:numId w:val="8"/>
        </w:numPr>
        <w:spacing w:after="0" w:line="480" w:lineRule="auto"/>
        <w:ind w:left="0" w:firstLine="0"/>
        <w:jc w:val="both"/>
        <w:rPr>
          <w:rFonts w:ascii="Arial" w:hAnsi="Arial" w:cs="Arial"/>
          <w:color w:val="000000" w:themeColor="text1"/>
          <w:sz w:val="24"/>
          <w:szCs w:val="24"/>
          <w:lang w:val="en-GB"/>
        </w:rPr>
      </w:pPr>
      <w:r w:rsidRPr="000B7ADB">
        <w:rPr>
          <w:rFonts w:ascii="Arial" w:hAnsi="Arial" w:cs="Arial"/>
          <w:sz w:val="24"/>
          <w:szCs w:val="24"/>
        </w:rPr>
        <w:t xml:space="preserve">After hearing argument, </w:t>
      </w:r>
      <w:r w:rsidR="008E67ED">
        <w:rPr>
          <w:rFonts w:ascii="Arial" w:hAnsi="Arial" w:cs="Arial"/>
          <w:sz w:val="24"/>
          <w:szCs w:val="24"/>
        </w:rPr>
        <w:t xml:space="preserve">the Supreme </w:t>
      </w:r>
      <w:r>
        <w:rPr>
          <w:rFonts w:ascii="Arial" w:hAnsi="Arial" w:cs="Arial"/>
          <w:sz w:val="24"/>
          <w:szCs w:val="24"/>
        </w:rPr>
        <w:t xml:space="preserve">Court </w:t>
      </w:r>
      <w:r w:rsidRPr="000B7ADB">
        <w:rPr>
          <w:rFonts w:ascii="Arial" w:hAnsi="Arial" w:cs="Arial"/>
          <w:sz w:val="24"/>
          <w:szCs w:val="24"/>
        </w:rPr>
        <w:t xml:space="preserve">dismissed both the appeal and cross-appeal, </w:t>
      </w:r>
      <w:r>
        <w:rPr>
          <w:rFonts w:ascii="Arial" w:hAnsi="Arial" w:cs="Arial"/>
          <w:sz w:val="24"/>
          <w:szCs w:val="24"/>
        </w:rPr>
        <w:t xml:space="preserve">with the consequence that </w:t>
      </w:r>
      <w:r w:rsidRPr="000B7ADB">
        <w:rPr>
          <w:rFonts w:ascii="Arial" w:hAnsi="Arial" w:cs="Arial"/>
          <w:sz w:val="24"/>
          <w:szCs w:val="24"/>
        </w:rPr>
        <w:t xml:space="preserve">the award of the tender remained set aside and </w:t>
      </w:r>
      <w:r w:rsidR="00315FAB">
        <w:rPr>
          <w:rFonts w:ascii="Arial" w:hAnsi="Arial" w:cs="Arial"/>
          <w:sz w:val="24"/>
          <w:szCs w:val="24"/>
        </w:rPr>
        <w:t xml:space="preserve">meaning that </w:t>
      </w:r>
      <w:r w:rsidRPr="000B7ADB">
        <w:rPr>
          <w:rFonts w:ascii="Arial" w:hAnsi="Arial" w:cs="Arial"/>
          <w:sz w:val="24"/>
          <w:szCs w:val="24"/>
        </w:rPr>
        <w:t xml:space="preserve">the order of the court </w:t>
      </w:r>
      <w:r w:rsidRPr="000B7ADB">
        <w:rPr>
          <w:rFonts w:ascii="Arial" w:hAnsi="Arial" w:cs="Arial"/>
          <w:i/>
          <w:sz w:val="24"/>
          <w:szCs w:val="24"/>
        </w:rPr>
        <w:t xml:space="preserve">a quo </w:t>
      </w:r>
      <w:r w:rsidRPr="000B7ADB">
        <w:rPr>
          <w:rFonts w:ascii="Arial" w:hAnsi="Arial" w:cs="Arial"/>
          <w:sz w:val="24"/>
          <w:szCs w:val="24"/>
        </w:rPr>
        <w:t xml:space="preserve">remained unchanged.  </w:t>
      </w:r>
    </w:p>
    <w:p w:rsidR="009D0942" w:rsidRPr="009D0942" w:rsidRDefault="009D0942" w:rsidP="00A56E73">
      <w:pPr>
        <w:pStyle w:val="ListParagraph"/>
        <w:spacing w:after="0" w:line="480" w:lineRule="auto"/>
        <w:jc w:val="both"/>
        <w:rPr>
          <w:rFonts w:ascii="Arial" w:hAnsi="Arial" w:cs="Arial"/>
          <w:color w:val="000000" w:themeColor="text1"/>
          <w:sz w:val="24"/>
          <w:szCs w:val="24"/>
          <w:lang w:val="en-GB"/>
        </w:rPr>
      </w:pPr>
    </w:p>
    <w:p w:rsidR="005C2022" w:rsidRPr="00A56E73" w:rsidRDefault="005C2022" w:rsidP="00B90190">
      <w:pPr>
        <w:pStyle w:val="ListParagraph"/>
        <w:numPr>
          <w:ilvl w:val="0"/>
          <w:numId w:val="8"/>
        </w:numPr>
        <w:spacing w:after="0" w:line="480" w:lineRule="auto"/>
        <w:ind w:left="0" w:firstLine="0"/>
        <w:jc w:val="both"/>
        <w:rPr>
          <w:rFonts w:ascii="Arial" w:hAnsi="Arial" w:cs="Arial"/>
          <w:color w:val="000000" w:themeColor="text1"/>
          <w:sz w:val="24"/>
          <w:szCs w:val="24"/>
          <w:lang w:val="en-GB"/>
        </w:rPr>
      </w:pPr>
      <w:r>
        <w:rPr>
          <w:rFonts w:ascii="Arial" w:hAnsi="Arial" w:cs="Arial"/>
          <w:sz w:val="24"/>
          <w:szCs w:val="24"/>
        </w:rPr>
        <w:t>T</w:t>
      </w:r>
      <w:r w:rsidRPr="000B7ADB">
        <w:rPr>
          <w:rFonts w:ascii="Arial" w:hAnsi="Arial" w:cs="Arial"/>
          <w:color w:val="000000" w:themeColor="text1"/>
          <w:sz w:val="24"/>
          <w:szCs w:val="24"/>
          <w:lang w:val="en-GB"/>
        </w:rPr>
        <w:t>h</w:t>
      </w:r>
      <w:r w:rsidR="00315FAB">
        <w:rPr>
          <w:rFonts w:ascii="Arial" w:hAnsi="Arial" w:cs="Arial"/>
          <w:color w:val="000000" w:themeColor="text1"/>
          <w:sz w:val="24"/>
          <w:szCs w:val="24"/>
          <w:lang w:val="en-GB"/>
        </w:rPr>
        <w:t xml:space="preserve">e Supreme </w:t>
      </w:r>
      <w:r>
        <w:rPr>
          <w:rFonts w:ascii="Arial" w:hAnsi="Arial" w:cs="Arial"/>
          <w:color w:val="000000" w:themeColor="text1"/>
          <w:sz w:val="24"/>
          <w:szCs w:val="24"/>
          <w:lang w:val="en-GB"/>
        </w:rPr>
        <w:t>C</w:t>
      </w:r>
      <w:r w:rsidRPr="000B7ADB">
        <w:rPr>
          <w:rFonts w:ascii="Arial" w:hAnsi="Arial" w:cs="Arial"/>
          <w:color w:val="000000" w:themeColor="text1"/>
          <w:sz w:val="24"/>
          <w:szCs w:val="24"/>
          <w:lang w:val="en-GB"/>
        </w:rPr>
        <w:t xml:space="preserve">ourt considered how the tender could be corrected and </w:t>
      </w:r>
      <w:r w:rsidR="00315FAB">
        <w:rPr>
          <w:rFonts w:ascii="Arial" w:hAnsi="Arial" w:cs="Arial"/>
          <w:color w:val="000000" w:themeColor="text1"/>
          <w:sz w:val="24"/>
          <w:szCs w:val="24"/>
          <w:lang w:val="en-GB"/>
        </w:rPr>
        <w:t xml:space="preserve">ordered </w:t>
      </w:r>
      <w:r w:rsidRPr="000B7ADB">
        <w:rPr>
          <w:rFonts w:ascii="Arial" w:hAnsi="Arial" w:cs="Arial"/>
          <w:color w:val="000000" w:themeColor="text1"/>
          <w:sz w:val="24"/>
          <w:szCs w:val="24"/>
          <w:lang w:val="en-GB"/>
        </w:rPr>
        <w:t>that the tender</w:t>
      </w:r>
      <w:r>
        <w:rPr>
          <w:rFonts w:ascii="Arial" w:hAnsi="Arial" w:cs="Arial"/>
          <w:color w:val="000000" w:themeColor="text1"/>
          <w:sz w:val="24"/>
          <w:szCs w:val="24"/>
          <w:lang w:val="en-GB"/>
        </w:rPr>
        <w:t xml:space="preserve"> should be referred back to the </w:t>
      </w:r>
      <w:r w:rsidRPr="000B7ADB">
        <w:rPr>
          <w:rFonts w:ascii="Arial" w:hAnsi="Arial" w:cs="Arial"/>
          <w:color w:val="000000" w:themeColor="text1"/>
          <w:sz w:val="24"/>
          <w:szCs w:val="24"/>
          <w:lang w:val="en-GB"/>
        </w:rPr>
        <w:t>Tender Board for reconsideration by it. Specifically</w:t>
      </w:r>
      <w:r w:rsidR="00315FAB">
        <w:rPr>
          <w:rFonts w:ascii="Arial" w:hAnsi="Arial" w:cs="Arial"/>
          <w:color w:val="000000" w:themeColor="text1"/>
          <w:sz w:val="24"/>
          <w:szCs w:val="24"/>
          <w:lang w:val="en-GB"/>
        </w:rPr>
        <w:t>,</w:t>
      </w:r>
      <w:r w:rsidRPr="000B7ADB">
        <w:rPr>
          <w:rFonts w:ascii="Arial" w:hAnsi="Arial" w:cs="Arial"/>
          <w:color w:val="000000" w:themeColor="text1"/>
          <w:sz w:val="24"/>
          <w:szCs w:val="24"/>
          <w:lang w:val="en-GB"/>
        </w:rPr>
        <w:t xml:space="preserve"> th</w:t>
      </w:r>
      <w:r w:rsidR="00315FAB">
        <w:rPr>
          <w:rFonts w:ascii="Arial" w:hAnsi="Arial" w:cs="Arial"/>
          <w:color w:val="000000" w:themeColor="text1"/>
          <w:sz w:val="24"/>
          <w:szCs w:val="24"/>
          <w:lang w:val="en-GB"/>
        </w:rPr>
        <w:t xml:space="preserve">e Supreme </w:t>
      </w:r>
      <w:r>
        <w:rPr>
          <w:rFonts w:ascii="Arial" w:hAnsi="Arial" w:cs="Arial"/>
          <w:color w:val="000000" w:themeColor="text1"/>
          <w:sz w:val="24"/>
          <w:szCs w:val="24"/>
          <w:lang w:val="en-GB"/>
        </w:rPr>
        <w:t>C</w:t>
      </w:r>
      <w:r w:rsidRPr="000B7ADB">
        <w:rPr>
          <w:rFonts w:ascii="Arial" w:hAnsi="Arial" w:cs="Arial"/>
          <w:color w:val="000000" w:themeColor="text1"/>
          <w:sz w:val="24"/>
          <w:szCs w:val="24"/>
          <w:lang w:val="en-GB"/>
        </w:rPr>
        <w:t>ourt directed that the only tende</w:t>
      </w:r>
      <w:r w:rsidR="00315FAB">
        <w:rPr>
          <w:rFonts w:ascii="Arial" w:hAnsi="Arial" w:cs="Arial"/>
          <w:color w:val="000000" w:themeColor="text1"/>
          <w:sz w:val="24"/>
          <w:szCs w:val="24"/>
          <w:lang w:val="en-GB"/>
        </w:rPr>
        <w:t>r</w:t>
      </w:r>
      <w:r w:rsidRPr="000B7ADB">
        <w:rPr>
          <w:rFonts w:ascii="Arial" w:hAnsi="Arial" w:cs="Arial"/>
          <w:color w:val="000000" w:themeColor="text1"/>
          <w:sz w:val="24"/>
          <w:szCs w:val="24"/>
          <w:lang w:val="en-GB"/>
        </w:rPr>
        <w:t xml:space="preserve">s to be re-considered are those of the appellant and two other </w:t>
      </w:r>
      <w:r w:rsidR="00447EB4">
        <w:rPr>
          <w:rFonts w:ascii="Arial" w:hAnsi="Arial" w:cs="Arial"/>
          <w:color w:val="000000" w:themeColor="text1"/>
          <w:sz w:val="24"/>
          <w:szCs w:val="24"/>
          <w:lang w:val="en-GB"/>
        </w:rPr>
        <w:t>entities</w:t>
      </w:r>
      <w:r w:rsidRPr="000B7ADB">
        <w:rPr>
          <w:rFonts w:ascii="Arial" w:hAnsi="Arial" w:cs="Arial"/>
          <w:color w:val="000000" w:themeColor="text1"/>
          <w:sz w:val="24"/>
          <w:szCs w:val="24"/>
          <w:lang w:val="en-GB"/>
        </w:rPr>
        <w:t xml:space="preserve"> that submitted tenders for the </w:t>
      </w:r>
      <w:r>
        <w:rPr>
          <w:rFonts w:ascii="Arial" w:hAnsi="Arial" w:cs="Arial"/>
          <w:color w:val="000000" w:themeColor="text1"/>
          <w:sz w:val="24"/>
          <w:szCs w:val="24"/>
          <w:lang w:val="en-GB"/>
        </w:rPr>
        <w:t xml:space="preserve">concerned </w:t>
      </w:r>
      <w:r w:rsidRPr="000B7ADB">
        <w:rPr>
          <w:rFonts w:ascii="Arial" w:hAnsi="Arial" w:cs="Arial"/>
          <w:color w:val="000000" w:themeColor="text1"/>
          <w:sz w:val="24"/>
          <w:szCs w:val="24"/>
          <w:lang w:val="en-GB"/>
        </w:rPr>
        <w:t xml:space="preserve">region, </w:t>
      </w:r>
      <w:r w:rsidR="00910812">
        <w:rPr>
          <w:rFonts w:ascii="Arial" w:hAnsi="Arial" w:cs="Arial"/>
          <w:sz w:val="24"/>
          <w:szCs w:val="24"/>
        </w:rPr>
        <w:t xml:space="preserve">excluding Conger Investments (Pty) </w:t>
      </w:r>
      <w:r w:rsidR="00630D98">
        <w:rPr>
          <w:rFonts w:ascii="Arial" w:hAnsi="Arial" w:cs="Arial"/>
          <w:sz w:val="24"/>
          <w:szCs w:val="24"/>
        </w:rPr>
        <w:t xml:space="preserve">Ltd </w:t>
      </w:r>
      <w:r w:rsidR="00910812">
        <w:rPr>
          <w:rFonts w:ascii="Arial" w:hAnsi="Arial" w:cs="Arial"/>
          <w:sz w:val="24"/>
          <w:szCs w:val="24"/>
        </w:rPr>
        <w:t>t/a Atlantic Food Services</w:t>
      </w:r>
      <w:r w:rsidR="00910812" w:rsidRPr="000B7ADB">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w</w:t>
      </w:r>
      <w:r w:rsidRPr="000B7ADB">
        <w:rPr>
          <w:rFonts w:ascii="Arial" w:hAnsi="Arial" w:cs="Arial"/>
          <w:color w:val="000000" w:themeColor="text1"/>
          <w:sz w:val="24"/>
          <w:szCs w:val="24"/>
          <w:lang w:val="en-GB"/>
        </w:rPr>
        <w:t xml:space="preserve">hich had </w:t>
      </w:r>
      <w:r w:rsidR="002E6D8D">
        <w:rPr>
          <w:rFonts w:ascii="Arial" w:hAnsi="Arial" w:cs="Arial"/>
          <w:color w:val="000000" w:themeColor="text1"/>
          <w:sz w:val="24"/>
          <w:szCs w:val="24"/>
          <w:lang w:val="en-GB"/>
        </w:rPr>
        <w:t xml:space="preserve">received </w:t>
      </w:r>
      <w:r w:rsidRPr="000B7ADB">
        <w:rPr>
          <w:rFonts w:ascii="Arial" w:hAnsi="Arial" w:cs="Arial"/>
          <w:color w:val="000000" w:themeColor="text1"/>
          <w:sz w:val="24"/>
          <w:szCs w:val="24"/>
          <w:lang w:val="en-GB"/>
        </w:rPr>
        <w:t>the tender in a</w:t>
      </w:r>
      <w:r w:rsidR="002E6D8D">
        <w:rPr>
          <w:rFonts w:ascii="Arial" w:hAnsi="Arial" w:cs="Arial"/>
          <w:color w:val="000000" w:themeColor="text1"/>
          <w:sz w:val="24"/>
          <w:szCs w:val="24"/>
          <w:lang w:val="en-GB"/>
        </w:rPr>
        <w:t>n</w:t>
      </w:r>
      <w:r w:rsidRPr="000B7ADB">
        <w:rPr>
          <w:rFonts w:ascii="Arial" w:hAnsi="Arial" w:cs="Arial"/>
          <w:color w:val="000000" w:themeColor="text1"/>
          <w:sz w:val="24"/>
          <w:szCs w:val="24"/>
          <w:lang w:val="en-GB"/>
        </w:rPr>
        <w:t xml:space="preserve"> </w:t>
      </w:r>
      <w:r w:rsidR="002E6D8D">
        <w:rPr>
          <w:rFonts w:ascii="Arial" w:hAnsi="Arial" w:cs="Arial"/>
          <w:color w:val="000000" w:themeColor="text1"/>
          <w:sz w:val="24"/>
          <w:szCs w:val="24"/>
          <w:lang w:val="en-GB"/>
        </w:rPr>
        <w:t xml:space="preserve">irregular </w:t>
      </w:r>
      <w:r w:rsidRPr="000B7ADB">
        <w:rPr>
          <w:rFonts w:ascii="Arial" w:hAnsi="Arial" w:cs="Arial"/>
          <w:color w:val="000000" w:themeColor="text1"/>
          <w:sz w:val="24"/>
          <w:szCs w:val="24"/>
          <w:lang w:val="en-GB"/>
        </w:rPr>
        <w:t xml:space="preserve">manner </w:t>
      </w:r>
      <w:r w:rsidR="002E6D8D">
        <w:rPr>
          <w:rFonts w:ascii="Arial" w:hAnsi="Arial" w:cs="Arial"/>
          <w:color w:val="000000" w:themeColor="text1"/>
          <w:sz w:val="24"/>
          <w:szCs w:val="24"/>
          <w:lang w:val="en-GB"/>
        </w:rPr>
        <w:t xml:space="preserve">resulting in </w:t>
      </w:r>
      <w:r w:rsidRPr="000B7ADB">
        <w:rPr>
          <w:rFonts w:ascii="Arial" w:hAnsi="Arial" w:cs="Arial"/>
          <w:color w:val="000000" w:themeColor="text1"/>
          <w:sz w:val="24"/>
          <w:szCs w:val="24"/>
          <w:lang w:val="en-GB"/>
        </w:rPr>
        <w:t xml:space="preserve">the </w:t>
      </w:r>
      <w:r w:rsidR="002E6D8D">
        <w:rPr>
          <w:rFonts w:ascii="Arial" w:hAnsi="Arial" w:cs="Arial"/>
          <w:color w:val="000000" w:themeColor="text1"/>
          <w:sz w:val="24"/>
          <w:szCs w:val="24"/>
          <w:lang w:val="en-GB"/>
        </w:rPr>
        <w:t>setting aside of the tender</w:t>
      </w:r>
      <w:r w:rsidRPr="000B7ADB">
        <w:rPr>
          <w:rFonts w:ascii="Arial" w:hAnsi="Arial" w:cs="Arial"/>
          <w:color w:val="000000" w:themeColor="text1"/>
          <w:sz w:val="24"/>
          <w:szCs w:val="24"/>
          <w:lang w:val="en-GB"/>
        </w:rPr>
        <w:t>.</w:t>
      </w:r>
      <w:r>
        <w:rPr>
          <w:rFonts w:ascii="Arial" w:hAnsi="Arial" w:cs="Arial"/>
          <w:color w:val="000000" w:themeColor="text1"/>
          <w:sz w:val="24"/>
          <w:szCs w:val="24"/>
          <w:lang w:val="en-GB"/>
        </w:rPr>
        <w:t xml:space="preserve"> </w:t>
      </w:r>
      <w:r w:rsidR="00327417">
        <w:rPr>
          <w:rFonts w:ascii="Arial" w:hAnsi="Arial" w:cs="Arial"/>
          <w:color w:val="000000" w:themeColor="text1"/>
          <w:sz w:val="24"/>
          <w:szCs w:val="24"/>
        </w:rPr>
        <w:lastRenderedPageBreak/>
        <w:t xml:space="preserve">In that way </w:t>
      </w:r>
      <w:r w:rsidR="00327417">
        <w:rPr>
          <w:rFonts w:ascii="Arial" w:hAnsi="Arial" w:cs="Arial"/>
          <w:sz w:val="24"/>
          <w:szCs w:val="24"/>
        </w:rPr>
        <w:t xml:space="preserve">Conger Investments (Pty) </w:t>
      </w:r>
      <w:r w:rsidR="00630D98">
        <w:rPr>
          <w:rFonts w:ascii="Arial" w:hAnsi="Arial" w:cs="Arial"/>
          <w:sz w:val="24"/>
          <w:szCs w:val="24"/>
        </w:rPr>
        <w:t xml:space="preserve">Ltd </w:t>
      </w:r>
      <w:r w:rsidR="00327417">
        <w:rPr>
          <w:rFonts w:ascii="Arial" w:hAnsi="Arial" w:cs="Arial"/>
          <w:sz w:val="24"/>
          <w:szCs w:val="24"/>
        </w:rPr>
        <w:t>t/a Atlantic Food Services</w:t>
      </w:r>
      <w:r w:rsidR="00327417" w:rsidRPr="00B9658C">
        <w:rPr>
          <w:rFonts w:ascii="Arial" w:hAnsi="Arial" w:cs="Arial"/>
          <w:color w:val="000000" w:themeColor="text1"/>
          <w:sz w:val="24"/>
          <w:szCs w:val="24"/>
        </w:rPr>
        <w:t xml:space="preserve"> </w:t>
      </w:r>
      <w:r w:rsidRPr="001C6763">
        <w:rPr>
          <w:rFonts w:ascii="Arial" w:hAnsi="Arial" w:cs="Arial"/>
          <w:color w:val="000000" w:themeColor="text1"/>
          <w:sz w:val="24"/>
          <w:szCs w:val="24"/>
        </w:rPr>
        <w:t xml:space="preserve">fell off the litigation </w:t>
      </w:r>
      <w:r w:rsidR="002E6D8D">
        <w:rPr>
          <w:rFonts w:ascii="Arial" w:hAnsi="Arial" w:cs="Arial"/>
          <w:color w:val="000000" w:themeColor="text1"/>
          <w:sz w:val="24"/>
          <w:szCs w:val="24"/>
        </w:rPr>
        <w:t>radar</w:t>
      </w:r>
      <w:r w:rsidRPr="001C6763">
        <w:rPr>
          <w:rFonts w:ascii="Arial" w:hAnsi="Arial" w:cs="Arial"/>
          <w:color w:val="000000" w:themeColor="text1"/>
          <w:sz w:val="24"/>
          <w:szCs w:val="24"/>
        </w:rPr>
        <w:t>.</w:t>
      </w:r>
    </w:p>
    <w:p w:rsidR="00A56E73" w:rsidRPr="00A56E73" w:rsidRDefault="00A56E73" w:rsidP="00A56E73">
      <w:pPr>
        <w:spacing w:after="0" w:line="480" w:lineRule="auto"/>
        <w:jc w:val="both"/>
        <w:rPr>
          <w:rFonts w:ascii="Arial" w:hAnsi="Arial" w:cs="Arial"/>
          <w:color w:val="000000" w:themeColor="text1"/>
          <w:sz w:val="24"/>
          <w:szCs w:val="24"/>
          <w:lang w:val="en-GB"/>
        </w:rPr>
      </w:pPr>
    </w:p>
    <w:p w:rsidR="005C2022" w:rsidRPr="00F91D58" w:rsidRDefault="005C2022" w:rsidP="00B90190">
      <w:pPr>
        <w:pStyle w:val="ListParagraph"/>
        <w:numPr>
          <w:ilvl w:val="0"/>
          <w:numId w:val="8"/>
        </w:numPr>
        <w:spacing w:after="0" w:line="480" w:lineRule="auto"/>
        <w:ind w:left="0" w:firstLine="0"/>
        <w:jc w:val="both"/>
        <w:rPr>
          <w:rFonts w:ascii="Arial" w:hAnsi="Arial" w:cs="Arial"/>
          <w:color w:val="000000" w:themeColor="text1"/>
          <w:sz w:val="24"/>
          <w:szCs w:val="24"/>
        </w:rPr>
      </w:pPr>
      <w:r w:rsidRPr="00C01A7C">
        <w:rPr>
          <w:rFonts w:ascii="Arial" w:hAnsi="Arial" w:cs="Arial"/>
          <w:color w:val="000000" w:themeColor="text1"/>
          <w:sz w:val="24"/>
          <w:szCs w:val="24"/>
          <w:lang w:val="en-GB"/>
        </w:rPr>
        <w:t xml:space="preserve">The </w:t>
      </w:r>
      <w:r>
        <w:rPr>
          <w:rFonts w:ascii="Arial" w:hAnsi="Arial" w:cs="Arial"/>
          <w:color w:val="000000" w:themeColor="text1"/>
          <w:sz w:val="24"/>
          <w:szCs w:val="24"/>
          <w:lang w:val="en-GB"/>
        </w:rPr>
        <w:t>Tender Board gave effect to this C</w:t>
      </w:r>
      <w:r w:rsidRPr="00C01A7C">
        <w:rPr>
          <w:rFonts w:ascii="Arial" w:hAnsi="Arial" w:cs="Arial"/>
          <w:color w:val="000000" w:themeColor="text1"/>
          <w:sz w:val="24"/>
          <w:szCs w:val="24"/>
          <w:lang w:val="en-GB"/>
        </w:rPr>
        <w:t>ourt’s order by re-evaluating the tender. The result of the re-evaluation was that the tender was</w:t>
      </w:r>
      <w:r>
        <w:rPr>
          <w:rFonts w:ascii="Arial" w:hAnsi="Arial" w:cs="Arial"/>
          <w:color w:val="000000" w:themeColor="text1"/>
          <w:sz w:val="24"/>
          <w:szCs w:val="24"/>
          <w:lang w:val="en-GB"/>
        </w:rPr>
        <w:t xml:space="preserve"> eventually</w:t>
      </w:r>
      <w:r w:rsidRPr="00C01A7C">
        <w:rPr>
          <w:rFonts w:ascii="Arial" w:hAnsi="Arial" w:cs="Arial"/>
          <w:color w:val="000000" w:themeColor="text1"/>
          <w:sz w:val="24"/>
          <w:szCs w:val="24"/>
          <w:lang w:val="en-GB"/>
        </w:rPr>
        <w:t xml:space="preserve"> awarded to the appellant. </w:t>
      </w:r>
      <w:r w:rsidRPr="00C01A7C">
        <w:rPr>
          <w:rFonts w:ascii="Arial" w:hAnsi="Arial" w:cs="Arial"/>
          <w:color w:val="000000" w:themeColor="text1"/>
          <w:sz w:val="24"/>
          <w:szCs w:val="24"/>
        </w:rPr>
        <w:t xml:space="preserve">The notice to the appellant informing it </w:t>
      </w:r>
      <w:r w:rsidR="002E6D8D">
        <w:rPr>
          <w:rFonts w:ascii="Arial" w:hAnsi="Arial" w:cs="Arial"/>
          <w:color w:val="000000" w:themeColor="text1"/>
          <w:sz w:val="24"/>
          <w:szCs w:val="24"/>
        </w:rPr>
        <w:t xml:space="preserve">of </w:t>
      </w:r>
      <w:r w:rsidRPr="00C01A7C">
        <w:rPr>
          <w:rFonts w:ascii="Arial" w:hAnsi="Arial" w:cs="Arial"/>
          <w:color w:val="000000" w:themeColor="text1"/>
          <w:sz w:val="24"/>
          <w:szCs w:val="24"/>
        </w:rPr>
        <w:t xml:space="preserve">the successful </w:t>
      </w:r>
      <w:r w:rsidR="002E6D8D">
        <w:rPr>
          <w:rFonts w:ascii="Arial" w:hAnsi="Arial" w:cs="Arial"/>
          <w:color w:val="000000" w:themeColor="text1"/>
          <w:sz w:val="24"/>
          <w:szCs w:val="24"/>
        </w:rPr>
        <w:t xml:space="preserve">award </w:t>
      </w:r>
      <w:r w:rsidRPr="00C01A7C">
        <w:rPr>
          <w:rFonts w:ascii="Arial" w:hAnsi="Arial" w:cs="Arial"/>
          <w:color w:val="000000" w:themeColor="text1"/>
          <w:sz w:val="24"/>
          <w:szCs w:val="24"/>
        </w:rPr>
        <w:t>did not state the te</w:t>
      </w:r>
      <w:r w:rsidR="002E6D8D">
        <w:rPr>
          <w:rFonts w:ascii="Arial" w:hAnsi="Arial" w:cs="Arial"/>
          <w:color w:val="000000" w:themeColor="text1"/>
          <w:sz w:val="24"/>
          <w:szCs w:val="24"/>
        </w:rPr>
        <w:t xml:space="preserve">rm </w:t>
      </w:r>
      <w:r w:rsidRPr="00C01A7C">
        <w:rPr>
          <w:rFonts w:ascii="Arial" w:hAnsi="Arial" w:cs="Arial"/>
          <w:color w:val="000000" w:themeColor="text1"/>
          <w:sz w:val="24"/>
          <w:szCs w:val="24"/>
        </w:rPr>
        <w:t>of the tender</w:t>
      </w:r>
      <w:r w:rsidR="002E6D8D">
        <w:rPr>
          <w:rFonts w:ascii="Arial" w:hAnsi="Arial" w:cs="Arial"/>
          <w:color w:val="000000" w:themeColor="text1"/>
          <w:sz w:val="24"/>
          <w:szCs w:val="24"/>
        </w:rPr>
        <w:t xml:space="preserve">. Instead, the appellant was informed </w:t>
      </w:r>
      <w:r w:rsidRPr="00C01A7C">
        <w:rPr>
          <w:rFonts w:ascii="Arial" w:hAnsi="Arial" w:cs="Arial"/>
          <w:color w:val="000000" w:themeColor="text1"/>
          <w:sz w:val="24"/>
          <w:szCs w:val="24"/>
        </w:rPr>
        <w:t>that the period w</w:t>
      </w:r>
      <w:r w:rsidR="002E6D8D">
        <w:rPr>
          <w:rFonts w:ascii="Arial" w:hAnsi="Arial" w:cs="Arial"/>
          <w:color w:val="000000" w:themeColor="text1"/>
          <w:sz w:val="24"/>
          <w:szCs w:val="24"/>
        </w:rPr>
        <w:t>ou</w:t>
      </w:r>
      <w:r w:rsidRPr="00C01A7C">
        <w:rPr>
          <w:rFonts w:ascii="Arial" w:hAnsi="Arial" w:cs="Arial"/>
          <w:color w:val="000000" w:themeColor="text1"/>
          <w:sz w:val="24"/>
          <w:szCs w:val="24"/>
        </w:rPr>
        <w:t>l</w:t>
      </w:r>
      <w:r w:rsidR="002E6D8D">
        <w:rPr>
          <w:rFonts w:ascii="Arial" w:hAnsi="Arial" w:cs="Arial"/>
          <w:color w:val="000000" w:themeColor="text1"/>
          <w:sz w:val="24"/>
          <w:szCs w:val="24"/>
        </w:rPr>
        <w:t>d</w:t>
      </w:r>
      <w:r w:rsidRPr="00C01A7C">
        <w:rPr>
          <w:rFonts w:ascii="Arial" w:hAnsi="Arial" w:cs="Arial"/>
          <w:color w:val="000000" w:themeColor="text1"/>
          <w:sz w:val="24"/>
          <w:szCs w:val="24"/>
        </w:rPr>
        <w:t xml:space="preserve"> be indicated in the contract. </w:t>
      </w:r>
      <w:r w:rsidRPr="00C01A7C">
        <w:rPr>
          <w:rFonts w:ascii="Arial" w:hAnsi="Arial" w:cs="Arial"/>
          <w:color w:val="000000" w:themeColor="text1"/>
          <w:sz w:val="24"/>
          <w:szCs w:val="24"/>
          <w:lang w:val="en-GB"/>
        </w:rPr>
        <w:t xml:space="preserve">This is </w:t>
      </w:r>
      <w:r w:rsidR="00F02186">
        <w:rPr>
          <w:rFonts w:ascii="Arial" w:hAnsi="Arial" w:cs="Arial"/>
          <w:color w:val="000000" w:themeColor="text1"/>
          <w:sz w:val="24"/>
          <w:szCs w:val="24"/>
          <w:lang w:val="en-GB"/>
        </w:rPr>
        <w:t xml:space="preserve">the principal dispute between the parties both in the High Court and here on appeal: what is </w:t>
      </w:r>
      <w:r w:rsidRPr="00C01A7C">
        <w:rPr>
          <w:rFonts w:ascii="Arial" w:hAnsi="Arial" w:cs="Arial"/>
          <w:color w:val="000000" w:themeColor="text1"/>
          <w:sz w:val="24"/>
          <w:szCs w:val="24"/>
          <w:lang w:val="en-GB"/>
        </w:rPr>
        <w:t xml:space="preserve">the period for which the tender </w:t>
      </w:r>
      <w:r w:rsidR="003A62D2">
        <w:rPr>
          <w:rFonts w:ascii="Arial" w:hAnsi="Arial" w:cs="Arial"/>
          <w:color w:val="000000" w:themeColor="text1"/>
          <w:sz w:val="24"/>
          <w:szCs w:val="24"/>
          <w:lang w:val="en-GB"/>
        </w:rPr>
        <w:t xml:space="preserve">had been </w:t>
      </w:r>
      <w:r w:rsidRPr="00C01A7C">
        <w:rPr>
          <w:rFonts w:ascii="Arial" w:hAnsi="Arial" w:cs="Arial"/>
          <w:color w:val="000000" w:themeColor="text1"/>
          <w:sz w:val="24"/>
          <w:szCs w:val="24"/>
          <w:lang w:val="en-GB"/>
        </w:rPr>
        <w:t>awarded to the appellant</w:t>
      </w:r>
      <w:r w:rsidR="00F02186">
        <w:rPr>
          <w:rFonts w:ascii="Arial" w:hAnsi="Arial" w:cs="Arial"/>
          <w:color w:val="000000" w:themeColor="text1"/>
          <w:sz w:val="24"/>
          <w:szCs w:val="24"/>
          <w:lang w:val="en-GB"/>
        </w:rPr>
        <w:t>?</w:t>
      </w:r>
      <w:r w:rsidRPr="00C01A7C">
        <w:rPr>
          <w:rFonts w:ascii="Arial" w:hAnsi="Arial" w:cs="Arial"/>
          <w:color w:val="000000" w:themeColor="text1"/>
          <w:sz w:val="24"/>
          <w:szCs w:val="24"/>
          <w:lang w:val="en-GB"/>
        </w:rPr>
        <w:t xml:space="preserve"> </w:t>
      </w:r>
    </w:p>
    <w:p w:rsidR="00F91D58" w:rsidRPr="00440FAD" w:rsidRDefault="00F91D58" w:rsidP="00F91D58">
      <w:pPr>
        <w:pStyle w:val="ListParagraph"/>
        <w:spacing w:after="0" w:line="480" w:lineRule="auto"/>
        <w:ind w:left="0"/>
        <w:jc w:val="both"/>
        <w:rPr>
          <w:rFonts w:ascii="Arial" w:hAnsi="Arial" w:cs="Arial"/>
          <w:color w:val="000000" w:themeColor="text1"/>
          <w:sz w:val="24"/>
          <w:szCs w:val="24"/>
        </w:rPr>
      </w:pPr>
    </w:p>
    <w:p w:rsidR="005C2022" w:rsidRPr="00A81D6A" w:rsidRDefault="00A56E73" w:rsidP="00B90190">
      <w:pPr>
        <w:spacing w:after="0" w:line="480" w:lineRule="auto"/>
        <w:jc w:val="both"/>
        <w:rPr>
          <w:rFonts w:ascii="Arial" w:hAnsi="Arial" w:cs="Arial"/>
          <w:color w:val="000000" w:themeColor="text1"/>
          <w:sz w:val="24"/>
          <w:szCs w:val="24"/>
          <w:u w:val="single"/>
          <w:lang w:val="en-GB"/>
        </w:rPr>
      </w:pPr>
      <w:r>
        <w:rPr>
          <w:rFonts w:ascii="Arial" w:hAnsi="Arial" w:cs="Arial"/>
          <w:color w:val="000000" w:themeColor="text1"/>
          <w:sz w:val="24"/>
          <w:szCs w:val="24"/>
          <w:u w:val="single"/>
          <w:lang w:val="en-GB"/>
        </w:rPr>
        <w:t>Findings</w:t>
      </w:r>
      <w:r w:rsidR="005C2022">
        <w:rPr>
          <w:rFonts w:ascii="Arial" w:hAnsi="Arial" w:cs="Arial"/>
          <w:color w:val="000000" w:themeColor="text1"/>
          <w:sz w:val="24"/>
          <w:szCs w:val="24"/>
          <w:u w:val="single"/>
          <w:lang w:val="en-GB"/>
        </w:rPr>
        <w:t xml:space="preserve"> </w:t>
      </w:r>
      <w:r w:rsidR="005C2022" w:rsidRPr="00A81D6A">
        <w:rPr>
          <w:rFonts w:ascii="Arial" w:hAnsi="Arial" w:cs="Arial"/>
          <w:color w:val="000000" w:themeColor="text1"/>
          <w:sz w:val="24"/>
          <w:szCs w:val="24"/>
          <w:u w:val="single"/>
          <w:lang w:val="en-GB"/>
        </w:rPr>
        <w:t xml:space="preserve">of the High Court </w:t>
      </w:r>
    </w:p>
    <w:p w:rsidR="005C2022" w:rsidRDefault="005C2022"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[1</w:t>
      </w:r>
      <w:r w:rsidR="00F02186">
        <w:rPr>
          <w:rFonts w:ascii="Arial" w:hAnsi="Arial" w:cs="Arial"/>
          <w:color w:val="000000" w:themeColor="text1"/>
          <w:sz w:val="24"/>
          <w:szCs w:val="24"/>
          <w:lang w:val="en-GB"/>
        </w:rPr>
        <w:t>1</w:t>
      </w:r>
      <w:r>
        <w:rPr>
          <w:rFonts w:ascii="Arial" w:hAnsi="Arial" w:cs="Arial"/>
          <w:color w:val="000000" w:themeColor="text1"/>
          <w:sz w:val="24"/>
          <w:szCs w:val="24"/>
          <w:lang w:val="en-GB"/>
        </w:rPr>
        <w:t>]</w:t>
      </w:r>
      <w:r>
        <w:rPr>
          <w:rFonts w:ascii="Arial" w:hAnsi="Arial" w:cs="Arial"/>
          <w:color w:val="000000" w:themeColor="text1"/>
          <w:sz w:val="24"/>
          <w:szCs w:val="24"/>
          <w:lang w:val="en-GB"/>
        </w:rPr>
        <w:tab/>
      </w:r>
      <w:r w:rsidRPr="00B44F81">
        <w:rPr>
          <w:rFonts w:ascii="Arial" w:hAnsi="Arial" w:cs="Arial"/>
          <w:color w:val="000000" w:themeColor="text1"/>
          <w:sz w:val="24"/>
          <w:szCs w:val="24"/>
        </w:rPr>
        <w:t>I</w:t>
      </w:r>
      <w:r w:rsidR="00B565AE">
        <w:rPr>
          <w:rFonts w:ascii="Arial" w:hAnsi="Arial" w:cs="Arial"/>
          <w:color w:val="000000" w:themeColor="text1"/>
          <w:sz w:val="24"/>
          <w:szCs w:val="24"/>
        </w:rPr>
        <w:t>t was contended i</w:t>
      </w:r>
      <w:r w:rsidRPr="00B44F81">
        <w:rPr>
          <w:rFonts w:ascii="Arial" w:hAnsi="Arial" w:cs="Arial"/>
          <w:color w:val="000000" w:themeColor="text1"/>
          <w:sz w:val="24"/>
          <w:szCs w:val="24"/>
        </w:rPr>
        <w:t xml:space="preserve">n </w:t>
      </w:r>
      <w:r>
        <w:rPr>
          <w:rFonts w:ascii="Arial" w:hAnsi="Arial" w:cs="Arial"/>
          <w:color w:val="000000" w:themeColor="text1"/>
          <w:sz w:val="24"/>
          <w:szCs w:val="24"/>
        </w:rPr>
        <w:t xml:space="preserve">the </w:t>
      </w:r>
      <w:r w:rsidR="00B565AE">
        <w:rPr>
          <w:rFonts w:ascii="Arial" w:hAnsi="Arial" w:cs="Arial"/>
          <w:color w:val="000000" w:themeColor="text1"/>
          <w:sz w:val="24"/>
          <w:szCs w:val="24"/>
        </w:rPr>
        <w:t>High C</w:t>
      </w:r>
      <w:r>
        <w:rPr>
          <w:rFonts w:ascii="Arial" w:hAnsi="Arial" w:cs="Arial"/>
          <w:color w:val="000000" w:themeColor="text1"/>
          <w:sz w:val="24"/>
          <w:szCs w:val="24"/>
        </w:rPr>
        <w:t xml:space="preserve">ourt </w:t>
      </w:r>
      <w:r w:rsidRPr="00B44F81">
        <w:rPr>
          <w:rFonts w:ascii="Arial" w:hAnsi="Arial" w:cs="Arial"/>
          <w:color w:val="000000" w:themeColor="text1"/>
          <w:sz w:val="24"/>
          <w:szCs w:val="24"/>
        </w:rPr>
        <w:t>t</w:t>
      </w:r>
      <w:r w:rsidR="00B565AE">
        <w:rPr>
          <w:rFonts w:ascii="Arial" w:hAnsi="Arial" w:cs="Arial"/>
          <w:color w:val="000000" w:themeColor="text1"/>
          <w:sz w:val="24"/>
          <w:szCs w:val="24"/>
        </w:rPr>
        <w:t>hat</w:t>
      </w:r>
      <w:r w:rsidRPr="00B44F81">
        <w:rPr>
          <w:rFonts w:ascii="Arial" w:hAnsi="Arial" w:cs="Arial"/>
          <w:color w:val="000000" w:themeColor="text1"/>
          <w:sz w:val="24"/>
          <w:szCs w:val="24"/>
        </w:rPr>
        <w:t xml:space="preserve"> </w:t>
      </w:r>
      <w:r w:rsidRPr="00364649">
        <w:rPr>
          <w:rFonts w:ascii="Arial" w:hAnsi="Arial" w:cs="Arial"/>
          <w:color w:val="000000" w:themeColor="text1"/>
          <w:sz w:val="24"/>
          <w:szCs w:val="24"/>
          <w:lang w:val="en-GB"/>
        </w:rPr>
        <w:t xml:space="preserve">the tender </w:t>
      </w:r>
      <w:r w:rsidR="00B565AE">
        <w:rPr>
          <w:rFonts w:ascii="Arial" w:hAnsi="Arial" w:cs="Arial"/>
          <w:color w:val="000000" w:themeColor="text1"/>
          <w:sz w:val="24"/>
          <w:szCs w:val="24"/>
          <w:lang w:val="en-GB"/>
        </w:rPr>
        <w:t xml:space="preserve">was </w:t>
      </w:r>
      <w:r>
        <w:rPr>
          <w:rFonts w:ascii="Arial" w:hAnsi="Arial" w:cs="Arial"/>
          <w:color w:val="000000" w:themeColor="text1"/>
          <w:sz w:val="24"/>
          <w:szCs w:val="24"/>
          <w:lang w:val="en-GB"/>
        </w:rPr>
        <w:t>awarded to t</w:t>
      </w:r>
      <w:r w:rsidR="00B565AE">
        <w:rPr>
          <w:rFonts w:ascii="Arial" w:hAnsi="Arial" w:cs="Arial"/>
          <w:color w:val="000000" w:themeColor="text1"/>
          <w:sz w:val="24"/>
          <w:szCs w:val="24"/>
          <w:lang w:val="en-GB"/>
        </w:rPr>
        <w:t xml:space="preserve">he appellant </w:t>
      </w:r>
      <w:r w:rsidRPr="00364649">
        <w:rPr>
          <w:rFonts w:ascii="Arial" w:hAnsi="Arial" w:cs="Arial"/>
          <w:color w:val="000000" w:themeColor="text1"/>
          <w:sz w:val="24"/>
          <w:szCs w:val="24"/>
          <w:lang w:val="en-GB"/>
        </w:rPr>
        <w:t>for the period up to 10 Ja</w:t>
      </w:r>
      <w:r>
        <w:rPr>
          <w:rFonts w:ascii="Arial" w:hAnsi="Arial" w:cs="Arial"/>
          <w:color w:val="000000" w:themeColor="text1"/>
          <w:sz w:val="24"/>
          <w:szCs w:val="24"/>
          <w:lang w:val="en-GB"/>
        </w:rPr>
        <w:t xml:space="preserve">nuary 2019. The respondents </w:t>
      </w:r>
      <w:r w:rsidR="001F6C6B">
        <w:rPr>
          <w:rFonts w:ascii="Arial" w:hAnsi="Arial" w:cs="Arial"/>
          <w:color w:val="000000" w:themeColor="text1"/>
          <w:sz w:val="24"/>
          <w:szCs w:val="24"/>
          <w:lang w:val="en-GB"/>
        </w:rPr>
        <w:t>rejected th</w:t>
      </w:r>
      <w:r w:rsidR="00B565AE">
        <w:rPr>
          <w:rFonts w:ascii="Arial" w:hAnsi="Arial" w:cs="Arial"/>
          <w:color w:val="000000" w:themeColor="text1"/>
          <w:sz w:val="24"/>
          <w:szCs w:val="24"/>
          <w:lang w:val="en-GB"/>
        </w:rPr>
        <w:t xml:space="preserve">is </w:t>
      </w:r>
      <w:r w:rsidR="001F6C6B">
        <w:rPr>
          <w:rFonts w:ascii="Arial" w:hAnsi="Arial" w:cs="Arial"/>
          <w:color w:val="000000" w:themeColor="text1"/>
          <w:sz w:val="24"/>
          <w:szCs w:val="24"/>
          <w:lang w:val="en-GB"/>
        </w:rPr>
        <w:t xml:space="preserve">proposition </w:t>
      </w:r>
      <w:r>
        <w:rPr>
          <w:rFonts w:ascii="Arial" w:hAnsi="Arial" w:cs="Arial"/>
          <w:color w:val="000000" w:themeColor="text1"/>
          <w:sz w:val="24"/>
          <w:szCs w:val="24"/>
          <w:lang w:val="en-GB"/>
        </w:rPr>
        <w:t xml:space="preserve">and </w:t>
      </w:r>
      <w:r w:rsidR="00B565AE">
        <w:rPr>
          <w:rFonts w:ascii="Arial" w:hAnsi="Arial" w:cs="Arial"/>
          <w:color w:val="000000" w:themeColor="text1"/>
          <w:sz w:val="24"/>
          <w:szCs w:val="24"/>
          <w:lang w:val="en-GB"/>
        </w:rPr>
        <w:t xml:space="preserve">maintained </w:t>
      </w:r>
      <w:r>
        <w:rPr>
          <w:rFonts w:ascii="Arial" w:hAnsi="Arial" w:cs="Arial"/>
          <w:color w:val="000000" w:themeColor="text1"/>
          <w:sz w:val="24"/>
          <w:szCs w:val="24"/>
          <w:lang w:val="en-GB"/>
        </w:rPr>
        <w:t xml:space="preserve">that </w:t>
      </w:r>
      <w:r w:rsidRPr="00364649">
        <w:rPr>
          <w:rFonts w:ascii="Arial" w:hAnsi="Arial" w:cs="Arial"/>
          <w:color w:val="000000" w:themeColor="text1"/>
          <w:sz w:val="24"/>
          <w:szCs w:val="24"/>
          <w:lang w:val="en-GB"/>
        </w:rPr>
        <w:t>the tender was up to 31 March 2014</w:t>
      </w:r>
      <w:r w:rsidR="00516B58">
        <w:rPr>
          <w:rFonts w:ascii="Arial" w:hAnsi="Arial" w:cs="Arial"/>
          <w:color w:val="000000" w:themeColor="text1"/>
          <w:sz w:val="24"/>
          <w:szCs w:val="24"/>
          <w:lang w:val="en-GB"/>
        </w:rPr>
        <w:t>, the period the original tender would have ended</w:t>
      </w:r>
      <w:r w:rsidRPr="00364649">
        <w:rPr>
          <w:rFonts w:ascii="Arial" w:hAnsi="Arial" w:cs="Arial"/>
          <w:color w:val="000000" w:themeColor="text1"/>
          <w:sz w:val="24"/>
          <w:szCs w:val="24"/>
          <w:lang w:val="en-GB"/>
        </w:rPr>
        <w:t>.</w:t>
      </w:r>
      <w:r>
        <w:rPr>
          <w:rFonts w:ascii="Arial" w:hAnsi="Arial" w:cs="Arial"/>
          <w:color w:val="000000" w:themeColor="text1"/>
          <w:sz w:val="24"/>
          <w:szCs w:val="24"/>
          <w:lang w:val="en-GB"/>
        </w:rPr>
        <w:t xml:space="preserve"> The respondents </w:t>
      </w:r>
      <w:r w:rsidR="001F6C6B">
        <w:rPr>
          <w:rFonts w:ascii="Arial" w:hAnsi="Arial" w:cs="Arial"/>
          <w:color w:val="000000" w:themeColor="text1"/>
          <w:sz w:val="24"/>
          <w:szCs w:val="24"/>
          <w:lang w:val="en-GB"/>
        </w:rPr>
        <w:t xml:space="preserve">further </w:t>
      </w:r>
      <w:r w:rsidR="00B565AE">
        <w:rPr>
          <w:rFonts w:ascii="Arial" w:hAnsi="Arial" w:cs="Arial"/>
          <w:color w:val="000000" w:themeColor="text1"/>
          <w:sz w:val="24"/>
          <w:szCs w:val="24"/>
          <w:lang w:val="en-GB"/>
        </w:rPr>
        <w:t>argued t</w:t>
      </w:r>
      <w:r>
        <w:rPr>
          <w:rFonts w:ascii="Arial" w:hAnsi="Arial" w:cs="Arial"/>
          <w:color w:val="000000" w:themeColor="text1"/>
          <w:sz w:val="24"/>
          <w:szCs w:val="24"/>
          <w:lang w:val="en-GB"/>
        </w:rPr>
        <w:t xml:space="preserve">hat </w:t>
      </w:r>
      <w:r w:rsidR="001F6C6B">
        <w:rPr>
          <w:rFonts w:ascii="Arial" w:hAnsi="Arial" w:cs="Arial"/>
          <w:color w:val="000000" w:themeColor="text1"/>
          <w:sz w:val="24"/>
          <w:szCs w:val="24"/>
          <w:lang w:val="en-GB"/>
        </w:rPr>
        <w:t>th</w:t>
      </w:r>
      <w:r w:rsidR="00B565AE">
        <w:rPr>
          <w:rFonts w:ascii="Arial" w:hAnsi="Arial" w:cs="Arial"/>
          <w:color w:val="000000" w:themeColor="text1"/>
          <w:sz w:val="24"/>
          <w:szCs w:val="24"/>
          <w:lang w:val="en-GB"/>
        </w:rPr>
        <w:t xml:space="preserve">e </w:t>
      </w:r>
      <w:r w:rsidR="00516B58">
        <w:rPr>
          <w:rFonts w:ascii="Arial" w:hAnsi="Arial" w:cs="Arial"/>
          <w:color w:val="000000" w:themeColor="text1"/>
          <w:sz w:val="24"/>
          <w:szCs w:val="24"/>
          <w:lang w:val="en-GB"/>
        </w:rPr>
        <w:t xml:space="preserve">appellant’s </w:t>
      </w:r>
      <w:r w:rsidR="001D043F">
        <w:rPr>
          <w:rFonts w:ascii="Arial" w:hAnsi="Arial" w:cs="Arial"/>
          <w:color w:val="000000" w:themeColor="text1"/>
          <w:sz w:val="24"/>
          <w:szCs w:val="24"/>
          <w:lang w:val="en-GB"/>
        </w:rPr>
        <w:t>contention</w:t>
      </w:r>
      <w:r>
        <w:rPr>
          <w:rFonts w:ascii="Arial" w:hAnsi="Arial" w:cs="Arial"/>
          <w:color w:val="000000" w:themeColor="text1"/>
          <w:sz w:val="24"/>
          <w:szCs w:val="24"/>
          <w:lang w:val="en-GB"/>
        </w:rPr>
        <w:t xml:space="preserve"> </w:t>
      </w:r>
      <w:r w:rsidR="00B565AE">
        <w:rPr>
          <w:rFonts w:ascii="Arial" w:hAnsi="Arial" w:cs="Arial"/>
          <w:color w:val="000000" w:themeColor="text1"/>
          <w:sz w:val="24"/>
          <w:szCs w:val="24"/>
          <w:lang w:val="en-GB"/>
        </w:rPr>
        <w:t xml:space="preserve">would be contrary to the order of the Supreme Court </w:t>
      </w:r>
      <w:r>
        <w:rPr>
          <w:rFonts w:ascii="Arial" w:hAnsi="Arial" w:cs="Arial"/>
          <w:color w:val="000000" w:themeColor="text1"/>
          <w:sz w:val="24"/>
          <w:szCs w:val="24"/>
        </w:rPr>
        <w:t>made in earlier proceedings.</w:t>
      </w:r>
    </w:p>
    <w:p w:rsidR="005C2022" w:rsidRDefault="005C2022" w:rsidP="00B90190">
      <w:pPr>
        <w:spacing w:after="0" w:line="480" w:lineRule="auto"/>
        <w:jc w:val="both"/>
        <w:rPr>
          <w:rFonts w:ascii="Arial" w:hAnsi="Arial" w:cs="Arial"/>
          <w:color w:val="000000" w:themeColor="text1"/>
          <w:sz w:val="24"/>
          <w:szCs w:val="24"/>
          <w:lang w:val="en-GB"/>
        </w:rPr>
      </w:pPr>
    </w:p>
    <w:p w:rsidR="005C2022" w:rsidRPr="00C56F1A" w:rsidRDefault="005C2022"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[1</w:t>
      </w:r>
      <w:r w:rsidR="0079405C">
        <w:rPr>
          <w:rFonts w:ascii="Arial" w:hAnsi="Arial" w:cs="Arial"/>
          <w:color w:val="000000" w:themeColor="text1"/>
          <w:sz w:val="24"/>
          <w:szCs w:val="24"/>
          <w:lang w:val="en-GB"/>
        </w:rPr>
        <w:t>2</w:t>
      </w:r>
      <w:r>
        <w:rPr>
          <w:rFonts w:ascii="Arial" w:hAnsi="Arial" w:cs="Arial"/>
          <w:color w:val="000000" w:themeColor="text1"/>
          <w:sz w:val="24"/>
          <w:szCs w:val="24"/>
          <w:lang w:val="en-GB"/>
        </w:rPr>
        <w:t>]</w:t>
      </w:r>
      <w:r>
        <w:rPr>
          <w:rFonts w:ascii="Arial" w:hAnsi="Arial" w:cs="Arial"/>
          <w:color w:val="000000" w:themeColor="text1"/>
          <w:sz w:val="24"/>
          <w:szCs w:val="24"/>
          <w:lang w:val="en-GB"/>
        </w:rPr>
        <w:tab/>
      </w:r>
      <w:r w:rsidRPr="00C56F1A">
        <w:rPr>
          <w:rFonts w:ascii="Arial" w:hAnsi="Arial" w:cs="Arial"/>
          <w:sz w:val="24"/>
          <w:szCs w:val="24"/>
        </w:rPr>
        <w:t xml:space="preserve">The </w:t>
      </w:r>
      <w:r w:rsidR="00B565AE">
        <w:rPr>
          <w:rFonts w:ascii="Arial" w:hAnsi="Arial" w:cs="Arial"/>
          <w:sz w:val="24"/>
          <w:szCs w:val="24"/>
        </w:rPr>
        <w:t>High C</w:t>
      </w:r>
      <w:r w:rsidRPr="00C56F1A">
        <w:rPr>
          <w:rFonts w:ascii="Arial" w:hAnsi="Arial" w:cs="Arial"/>
          <w:sz w:val="24"/>
          <w:szCs w:val="24"/>
        </w:rPr>
        <w:t>ourt</w:t>
      </w:r>
      <w:r w:rsidR="00786C0D">
        <w:rPr>
          <w:rFonts w:ascii="Arial" w:hAnsi="Arial" w:cs="Arial"/>
          <w:sz w:val="24"/>
          <w:szCs w:val="24"/>
        </w:rPr>
        <w:t xml:space="preserve"> </w:t>
      </w:r>
      <w:r w:rsidR="00B565AE">
        <w:rPr>
          <w:rFonts w:ascii="Arial" w:hAnsi="Arial" w:cs="Arial"/>
          <w:sz w:val="24"/>
          <w:szCs w:val="24"/>
        </w:rPr>
        <w:t xml:space="preserve">observed </w:t>
      </w:r>
      <w:r w:rsidRPr="00C56F1A">
        <w:rPr>
          <w:rFonts w:ascii="Arial" w:hAnsi="Arial" w:cs="Arial"/>
          <w:sz w:val="24"/>
          <w:szCs w:val="24"/>
        </w:rPr>
        <w:t xml:space="preserve">that the </w:t>
      </w:r>
      <w:r>
        <w:rPr>
          <w:rFonts w:ascii="Arial" w:hAnsi="Arial" w:cs="Arial"/>
          <w:sz w:val="24"/>
          <w:szCs w:val="24"/>
        </w:rPr>
        <w:t>Tender Board was directed by th</w:t>
      </w:r>
      <w:r w:rsidR="00B565AE">
        <w:rPr>
          <w:rFonts w:ascii="Arial" w:hAnsi="Arial" w:cs="Arial"/>
          <w:sz w:val="24"/>
          <w:szCs w:val="24"/>
        </w:rPr>
        <w:t xml:space="preserve">e Supreme Court </w:t>
      </w:r>
      <w:r>
        <w:rPr>
          <w:rFonts w:ascii="Arial" w:hAnsi="Arial" w:cs="Arial"/>
          <w:sz w:val="24"/>
          <w:szCs w:val="24"/>
        </w:rPr>
        <w:t>to</w:t>
      </w:r>
      <w:r w:rsidRPr="00C56F1A">
        <w:rPr>
          <w:rFonts w:ascii="Arial" w:hAnsi="Arial" w:cs="Arial"/>
          <w:sz w:val="24"/>
          <w:szCs w:val="24"/>
        </w:rPr>
        <w:t xml:space="preserve"> re-consider the original tender, which was to run until </w:t>
      </w:r>
      <w:r w:rsidR="002E1EE8">
        <w:rPr>
          <w:rFonts w:ascii="Arial" w:hAnsi="Arial" w:cs="Arial"/>
          <w:sz w:val="24"/>
          <w:szCs w:val="24"/>
        </w:rPr>
        <w:t xml:space="preserve">the </w:t>
      </w:r>
      <w:r w:rsidRPr="00C56F1A">
        <w:rPr>
          <w:rFonts w:ascii="Arial" w:hAnsi="Arial" w:cs="Arial"/>
          <w:sz w:val="24"/>
          <w:szCs w:val="24"/>
        </w:rPr>
        <w:t xml:space="preserve">end </w:t>
      </w:r>
      <w:r w:rsidR="002E1EE8">
        <w:rPr>
          <w:rFonts w:ascii="Arial" w:hAnsi="Arial" w:cs="Arial"/>
          <w:sz w:val="24"/>
          <w:szCs w:val="24"/>
        </w:rPr>
        <w:t xml:space="preserve">of </w:t>
      </w:r>
      <w:r w:rsidRPr="00C56F1A">
        <w:rPr>
          <w:rFonts w:ascii="Arial" w:hAnsi="Arial" w:cs="Arial"/>
          <w:sz w:val="24"/>
          <w:szCs w:val="24"/>
        </w:rPr>
        <w:t xml:space="preserve">March 2014. The </w:t>
      </w:r>
      <w:r w:rsidR="002E1EE8">
        <w:rPr>
          <w:rFonts w:ascii="Arial" w:hAnsi="Arial" w:cs="Arial"/>
          <w:sz w:val="24"/>
          <w:szCs w:val="24"/>
        </w:rPr>
        <w:t>c</w:t>
      </w:r>
      <w:r>
        <w:rPr>
          <w:rFonts w:ascii="Arial" w:hAnsi="Arial" w:cs="Arial"/>
          <w:sz w:val="24"/>
          <w:szCs w:val="24"/>
        </w:rPr>
        <w:t>ourt concluded that th</w:t>
      </w:r>
      <w:r w:rsidR="002E1EE8">
        <w:rPr>
          <w:rFonts w:ascii="Arial" w:hAnsi="Arial" w:cs="Arial"/>
          <w:sz w:val="24"/>
          <w:szCs w:val="24"/>
        </w:rPr>
        <w:t xml:space="preserve">e Supreme </w:t>
      </w:r>
      <w:r w:rsidRPr="00C56F1A">
        <w:rPr>
          <w:rFonts w:ascii="Arial" w:hAnsi="Arial" w:cs="Arial"/>
          <w:sz w:val="24"/>
          <w:szCs w:val="24"/>
        </w:rPr>
        <w:t xml:space="preserve">Court never extended the original tender. On this basis, the court held that the tender </w:t>
      </w:r>
      <w:r w:rsidR="002E1EE8">
        <w:rPr>
          <w:rFonts w:ascii="Arial" w:hAnsi="Arial" w:cs="Arial"/>
          <w:sz w:val="24"/>
          <w:szCs w:val="24"/>
        </w:rPr>
        <w:t xml:space="preserve">awarded </w:t>
      </w:r>
      <w:r w:rsidRPr="00C56F1A">
        <w:rPr>
          <w:rFonts w:ascii="Arial" w:hAnsi="Arial" w:cs="Arial"/>
          <w:sz w:val="24"/>
          <w:szCs w:val="24"/>
        </w:rPr>
        <w:t xml:space="preserve">to the appellant was for the remainder of the original tender period.  </w:t>
      </w:r>
      <w:r w:rsidR="001760BE">
        <w:rPr>
          <w:rFonts w:ascii="Arial" w:hAnsi="Arial" w:cs="Arial"/>
          <w:sz w:val="24"/>
          <w:szCs w:val="24"/>
        </w:rPr>
        <w:t>In the result</w:t>
      </w:r>
      <w:r w:rsidR="007F2706">
        <w:rPr>
          <w:rFonts w:ascii="Arial" w:hAnsi="Arial" w:cs="Arial"/>
          <w:sz w:val="24"/>
          <w:szCs w:val="24"/>
        </w:rPr>
        <w:t>,</w:t>
      </w:r>
      <w:r w:rsidRPr="00C56F1A">
        <w:rPr>
          <w:rFonts w:ascii="Arial" w:hAnsi="Arial" w:cs="Arial"/>
          <w:sz w:val="24"/>
          <w:szCs w:val="24"/>
        </w:rPr>
        <w:t xml:space="preserve"> the application </w:t>
      </w:r>
      <w:r w:rsidR="00666F6D">
        <w:rPr>
          <w:rFonts w:ascii="Arial" w:hAnsi="Arial" w:cs="Arial"/>
          <w:sz w:val="24"/>
          <w:szCs w:val="24"/>
        </w:rPr>
        <w:t xml:space="preserve">was dismissed </w:t>
      </w:r>
      <w:r>
        <w:rPr>
          <w:rFonts w:ascii="Arial" w:hAnsi="Arial" w:cs="Arial"/>
          <w:sz w:val="24"/>
          <w:szCs w:val="24"/>
        </w:rPr>
        <w:t>with</w:t>
      </w:r>
      <w:r w:rsidRPr="00C56F1A">
        <w:rPr>
          <w:rFonts w:ascii="Arial" w:hAnsi="Arial" w:cs="Arial"/>
          <w:sz w:val="24"/>
          <w:szCs w:val="24"/>
          <w:lang w:val="en-ZW"/>
        </w:rPr>
        <w:t xml:space="preserve"> costs.</w:t>
      </w:r>
    </w:p>
    <w:p w:rsidR="005C2022" w:rsidRDefault="005C2022" w:rsidP="00B90190">
      <w:pPr>
        <w:spacing w:after="0" w:line="480" w:lineRule="auto"/>
        <w:jc w:val="both"/>
        <w:rPr>
          <w:rFonts w:ascii="Arial" w:hAnsi="Arial" w:cs="Arial"/>
          <w:color w:val="000000" w:themeColor="text1"/>
          <w:sz w:val="24"/>
          <w:szCs w:val="24"/>
          <w:u w:val="single"/>
          <w:lang w:val="en-GB"/>
        </w:rPr>
      </w:pPr>
    </w:p>
    <w:p w:rsidR="00A56E73" w:rsidRDefault="00A56E73" w:rsidP="00B90190">
      <w:pPr>
        <w:spacing w:after="0" w:line="480" w:lineRule="auto"/>
        <w:jc w:val="both"/>
        <w:rPr>
          <w:rFonts w:ascii="Arial" w:hAnsi="Arial" w:cs="Arial"/>
          <w:color w:val="000000" w:themeColor="text1"/>
          <w:sz w:val="24"/>
          <w:szCs w:val="24"/>
          <w:u w:val="single"/>
          <w:lang w:val="en-GB"/>
        </w:rPr>
      </w:pPr>
    </w:p>
    <w:p w:rsidR="005C2022" w:rsidRPr="00B83A9C" w:rsidRDefault="005C2022" w:rsidP="00B90190">
      <w:pPr>
        <w:spacing w:after="0" w:line="480" w:lineRule="auto"/>
        <w:jc w:val="both"/>
        <w:rPr>
          <w:rFonts w:ascii="Arial" w:hAnsi="Arial" w:cs="Arial"/>
          <w:color w:val="000000" w:themeColor="text1"/>
          <w:sz w:val="24"/>
          <w:szCs w:val="24"/>
          <w:u w:val="single"/>
          <w:lang w:val="en-GB"/>
        </w:rPr>
      </w:pPr>
      <w:r w:rsidRPr="00B83A9C">
        <w:rPr>
          <w:rFonts w:ascii="Arial" w:hAnsi="Arial" w:cs="Arial"/>
          <w:color w:val="000000" w:themeColor="text1"/>
          <w:sz w:val="24"/>
          <w:szCs w:val="24"/>
          <w:u w:val="single"/>
          <w:lang w:val="en-GB"/>
        </w:rPr>
        <w:lastRenderedPageBreak/>
        <w:t>I</w:t>
      </w:r>
      <w:r w:rsidR="002E1EE8">
        <w:rPr>
          <w:rFonts w:ascii="Arial" w:hAnsi="Arial" w:cs="Arial"/>
          <w:color w:val="000000" w:themeColor="text1"/>
          <w:sz w:val="24"/>
          <w:szCs w:val="24"/>
          <w:u w:val="single"/>
          <w:lang w:val="en-GB"/>
        </w:rPr>
        <w:t>ssues o</w:t>
      </w:r>
      <w:r w:rsidRPr="00B83A9C">
        <w:rPr>
          <w:rFonts w:ascii="Arial" w:hAnsi="Arial" w:cs="Arial"/>
          <w:color w:val="000000" w:themeColor="text1"/>
          <w:sz w:val="24"/>
          <w:szCs w:val="24"/>
          <w:u w:val="single"/>
          <w:lang w:val="en-GB"/>
        </w:rPr>
        <w:t xml:space="preserve">n </w:t>
      </w:r>
      <w:r w:rsidR="002E1EE8">
        <w:rPr>
          <w:rFonts w:ascii="Arial" w:hAnsi="Arial" w:cs="Arial"/>
          <w:color w:val="000000" w:themeColor="text1"/>
          <w:sz w:val="24"/>
          <w:szCs w:val="24"/>
          <w:u w:val="single"/>
          <w:lang w:val="en-GB"/>
        </w:rPr>
        <w:t>appeal</w:t>
      </w:r>
    </w:p>
    <w:p w:rsidR="005C2022" w:rsidRDefault="0079405C"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[13</w:t>
      </w:r>
      <w:r w:rsidR="005C2022">
        <w:rPr>
          <w:rFonts w:ascii="Arial" w:hAnsi="Arial" w:cs="Arial"/>
          <w:color w:val="000000" w:themeColor="text1"/>
          <w:sz w:val="24"/>
          <w:szCs w:val="24"/>
          <w:lang w:val="en-GB"/>
        </w:rPr>
        <w:t>]</w:t>
      </w:r>
      <w:r w:rsidR="005C2022">
        <w:rPr>
          <w:rFonts w:ascii="Arial" w:hAnsi="Arial" w:cs="Arial"/>
          <w:color w:val="000000" w:themeColor="text1"/>
          <w:sz w:val="24"/>
          <w:szCs w:val="24"/>
          <w:lang w:val="en-GB"/>
        </w:rPr>
        <w:tab/>
      </w:r>
      <w:r w:rsidR="005C2022" w:rsidRPr="00137019">
        <w:rPr>
          <w:rFonts w:ascii="Arial" w:hAnsi="Arial" w:cs="Arial"/>
          <w:color w:val="000000" w:themeColor="text1"/>
          <w:sz w:val="24"/>
          <w:szCs w:val="24"/>
        </w:rPr>
        <w:t xml:space="preserve">Aside from challenging the merits of </w:t>
      </w:r>
      <w:r w:rsidR="005C2022">
        <w:rPr>
          <w:rFonts w:ascii="Arial" w:hAnsi="Arial" w:cs="Arial"/>
          <w:color w:val="000000" w:themeColor="text1"/>
          <w:sz w:val="24"/>
          <w:szCs w:val="24"/>
        </w:rPr>
        <w:t>the appeal</w:t>
      </w:r>
      <w:r w:rsidR="005C2022" w:rsidRPr="00137019">
        <w:rPr>
          <w:rFonts w:ascii="Arial" w:hAnsi="Arial" w:cs="Arial"/>
          <w:color w:val="000000" w:themeColor="text1"/>
          <w:sz w:val="24"/>
          <w:szCs w:val="24"/>
        </w:rPr>
        <w:t xml:space="preserve">, the </w:t>
      </w:r>
      <w:r w:rsidR="005C2022">
        <w:rPr>
          <w:rFonts w:ascii="Arial" w:hAnsi="Arial" w:cs="Arial"/>
          <w:color w:val="000000" w:themeColor="text1"/>
          <w:sz w:val="24"/>
          <w:szCs w:val="24"/>
        </w:rPr>
        <w:t xml:space="preserve">respondents </w:t>
      </w:r>
      <w:r w:rsidR="005C2022" w:rsidRPr="00137019">
        <w:rPr>
          <w:rFonts w:ascii="Arial" w:hAnsi="Arial" w:cs="Arial"/>
          <w:color w:val="000000" w:themeColor="text1"/>
          <w:sz w:val="24"/>
          <w:szCs w:val="24"/>
        </w:rPr>
        <w:t>raise</w:t>
      </w:r>
      <w:r w:rsidR="005C2022">
        <w:rPr>
          <w:rFonts w:ascii="Arial" w:hAnsi="Arial" w:cs="Arial"/>
          <w:color w:val="000000" w:themeColor="text1"/>
          <w:sz w:val="24"/>
          <w:szCs w:val="24"/>
        </w:rPr>
        <w:t>d</w:t>
      </w:r>
      <w:r w:rsidR="005C2022" w:rsidRPr="00137019">
        <w:rPr>
          <w:rFonts w:ascii="Arial" w:hAnsi="Arial" w:cs="Arial"/>
          <w:color w:val="000000" w:themeColor="text1"/>
          <w:sz w:val="24"/>
          <w:szCs w:val="24"/>
        </w:rPr>
        <w:t xml:space="preserve"> two </w:t>
      </w:r>
      <w:r w:rsidR="005C2022">
        <w:rPr>
          <w:rFonts w:ascii="Arial" w:hAnsi="Arial" w:cs="Arial"/>
          <w:color w:val="000000" w:themeColor="text1"/>
          <w:sz w:val="24"/>
          <w:szCs w:val="24"/>
        </w:rPr>
        <w:t xml:space="preserve">preliminary </w:t>
      </w:r>
      <w:r w:rsidR="005C2022" w:rsidRPr="00137019">
        <w:rPr>
          <w:rFonts w:ascii="Arial" w:hAnsi="Arial" w:cs="Arial"/>
          <w:color w:val="000000" w:themeColor="text1"/>
          <w:sz w:val="24"/>
          <w:szCs w:val="24"/>
        </w:rPr>
        <w:t>poi</w:t>
      </w:r>
      <w:r w:rsidR="005C2022">
        <w:rPr>
          <w:rFonts w:ascii="Arial" w:hAnsi="Arial" w:cs="Arial"/>
          <w:color w:val="000000" w:themeColor="text1"/>
          <w:sz w:val="24"/>
          <w:szCs w:val="24"/>
        </w:rPr>
        <w:t>nts</w:t>
      </w:r>
      <w:r w:rsidR="005C2022" w:rsidRPr="00137019">
        <w:rPr>
          <w:rFonts w:ascii="Arial" w:hAnsi="Arial" w:cs="Arial"/>
          <w:color w:val="000000" w:themeColor="text1"/>
          <w:sz w:val="24"/>
          <w:szCs w:val="24"/>
        </w:rPr>
        <w:t xml:space="preserve">. </w:t>
      </w:r>
      <w:r w:rsidR="00516B58">
        <w:rPr>
          <w:rFonts w:ascii="Arial" w:hAnsi="Arial" w:cs="Arial"/>
          <w:color w:val="000000" w:themeColor="text1"/>
          <w:sz w:val="24"/>
          <w:szCs w:val="24"/>
        </w:rPr>
        <w:t xml:space="preserve">The first </w:t>
      </w:r>
      <w:r w:rsidR="005C2022" w:rsidRPr="00137019">
        <w:rPr>
          <w:rFonts w:ascii="Arial" w:hAnsi="Arial" w:cs="Arial"/>
          <w:color w:val="000000" w:themeColor="text1"/>
          <w:sz w:val="24"/>
          <w:szCs w:val="24"/>
        </w:rPr>
        <w:t xml:space="preserve">is the </w:t>
      </w:r>
      <w:r w:rsidR="002E1EE8">
        <w:rPr>
          <w:rFonts w:ascii="Arial" w:hAnsi="Arial" w:cs="Arial"/>
          <w:color w:val="000000" w:themeColor="text1"/>
          <w:sz w:val="24"/>
          <w:szCs w:val="24"/>
        </w:rPr>
        <w:t xml:space="preserve">alleged </w:t>
      </w:r>
      <w:r w:rsidR="005C2022">
        <w:rPr>
          <w:rFonts w:ascii="Arial" w:hAnsi="Arial" w:cs="Arial"/>
          <w:color w:val="000000" w:themeColor="text1"/>
          <w:sz w:val="24"/>
          <w:szCs w:val="24"/>
        </w:rPr>
        <w:t xml:space="preserve">misjoinder </w:t>
      </w:r>
      <w:r w:rsidR="005C2022" w:rsidRPr="00137019">
        <w:rPr>
          <w:rFonts w:ascii="Arial" w:hAnsi="Arial" w:cs="Arial"/>
          <w:color w:val="000000" w:themeColor="text1"/>
          <w:sz w:val="24"/>
          <w:szCs w:val="24"/>
        </w:rPr>
        <w:t xml:space="preserve">of the </w:t>
      </w:r>
      <w:r w:rsidR="005C2022">
        <w:rPr>
          <w:rFonts w:ascii="Arial" w:hAnsi="Arial" w:cs="Arial"/>
          <w:color w:val="000000" w:themeColor="text1"/>
          <w:sz w:val="24"/>
          <w:szCs w:val="24"/>
        </w:rPr>
        <w:t>Minister, the Perma</w:t>
      </w:r>
      <w:r w:rsidR="00262442">
        <w:rPr>
          <w:rFonts w:ascii="Arial" w:hAnsi="Arial" w:cs="Arial"/>
          <w:color w:val="000000" w:themeColor="text1"/>
          <w:sz w:val="24"/>
          <w:szCs w:val="24"/>
        </w:rPr>
        <w:t>nent Secretary and the Director</w:t>
      </w:r>
      <w:r w:rsidR="002E1EE8">
        <w:rPr>
          <w:rFonts w:ascii="Arial" w:hAnsi="Arial" w:cs="Arial"/>
          <w:color w:val="000000" w:themeColor="text1"/>
          <w:sz w:val="24"/>
          <w:szCs w:val="24"/>
        </w:rPr>
        <w:t>. T</w:t>
      </w:r>
      <w:r w:rsidR="00262442">
        <w:rPr>
          <w:rFonts w:ascii="Arial" w:hAnsi="Arial" w:cs="Arial"/>
          <w:color w:val="000000" w:themeColor="text1"/>
          <w:sz w:val="24"/>
          <w:szCs w:val="24"/>
        </w:rPr>
        <w:t xml:space="preserve">he </w:t>
      </w:r>
      <w:r w:rsidR="005C2022" w:rsidRPr="00137019">
        <w:rPr>
          <w:rFonts w:ascii="Arial" w:hAnsi="Arial" w:cs="Arial"/>
          <w:color w:val="000000" w:themeColor="text1"/>
          <w:sz w:val="24"/>
          <w:szCs w:val="24"/>
        </w:rPr>
        <w:t>other</w:t>
      </w:r>
      <w:r w:rsidR="005C2022">
        <w:rPr>
          <w:rFonts w:ascii="Arial" w:hAnsi="Arial" w:cs="Arial"/>
          <w:color w:val="000000" w:themeColor="text1"/>
          <w:sz w:val="24"/>
          <w:szCs w:val="24"/>
        </w:rPr>
        <w:t xml:space="preserve"> </w:t>
      </w:r>
      <w:r w:rsidR="005C2022" w:rsidRPr="00137019">
        <w:rPr>
          <w:rFonts w:ascii="Arial" w:hAnsi="Arial" w:cs="Arial"/>
          <w:color w:val="000000" w:themeColor="text1"/>
          <w:sz w:val="24"/>
          <w:szCs w:val="24"/>
        </w:rPr>
        <w:t>is the</w:t>
      </w:r>
      <w:r w:rsidR="004B6993">
        <w:rPr>
          <w:rFonts w:ascii="Arial" w:hAnsi="Arial" w:cs="Arial"/>
          <w:color w:val="000000" w:themeColor="text1"/>
          <w:sz w:val="24"/>
          <w:szCs w:val="24"/>
        </w:rPr>
        <w:t xml:space="preserve"> alleged</w:t>
      </w:r>
      <w:r w:rsidR="005C2022">
        <w:rPr>
          <w:rFonts w:ascii="Arial" w:hAnsi="Arial" w:cs="Arial"/>
          <w:color w:val="000000" w:themeColor="text1"/>
          <w:sz w:val="24"/>
          <w:szCs w:val="24"/>
        </w:rPr>
        <w:t xml:space="preserve"> incompetency of prayer 1 of Part B </w:t>
      </w:r>
      <w:r w:rsidR="004B6993">
        <w:rPr>
          <w:rFonts w:ascii="Arial" w:hAnsi="Arial" w:cs="Arial"/>
          <w:color w:val="000000" w:themeColor="text1"/>
          <w:sz w:val="24"/>
          <w:szCs w:val="24"/>
        </w:rPr>
        <w:t>of the am</w:t>
      </w:r>
      <w:r w:rsidR="005C2022">
        <w:rPr>
          <w:rFonts w:ascii="Arial" w:hAnsi="Arial" w:cs="Arial"/>
          <w:color w:val="000000" w:themeColor="text1"/>
          <w:sz w:val="24"/>
          <w:szCs w:val="24"/>
        </w:rPr>
        <w:t xml:space="preserve">ended notice of motion. Before the merits of the appeal and the defences raised by the respondents are considered, I </w:t>
      </w:r>
      <w:r w:rsidR="00262442">
        <w:rPr>
          <w:rFonts w:ascii="Arial" w:hAnsi="Arial" w:cs="Arial"/>
          <w:color w:val="000000" w:themeColor="text1"/>
          <w:sz w:val="24"/>
          <w:szCs w:val="24"/>
        </w:rPr>
        <w:t xml:space="preserve">deem it necessary to </w:t>
      </w:r>
      <w:r w:rsidR="005C2022">
        <w:rPr>
          <w:rFonts w:ascii="Arial" w:hAnsi="Arial" w:cs="Arial"/>
          <w:color w:val="000000" w:themeColor="text1"/>
          <w:sz w:val="24"/>
          <w:szCs w:val="24"/>
        </w:rPr>
        <w:t xml:space="preserve">firstly consider </w:t>
      </w:r>
      <w:r w:rsidR="00860C48">
        <w:rPr>
          <w:rFonts w:ascii="Arial" w:hAnsi="Arial" w:cs="Arial"/>
          <w:color w:val="000000" w:themeColor="text1"/>
          <w:sz w:val="24"/>
          <w:szCs w:val="24"/>
        </w:rPr>
        <w:t>the</w:t>
      </w:r>
      <w:r w:rsidR="00097DF5">
        <w:rPr>
          <w:rFonts w:ascii="Arial" w:hAnsi="Arial" w:cs="Arial"/>
          <w:color w:val="000000" w:themeColor="text1"/>
          <w:sz w:val="24"/>
          <w:szCs w:val="24"/>
        </w:rPr>
        <w:t>se</w:t>
      </w:r>
      <w:r w:rsidR="00860C48">
        <w:rPr>
          <w:rFonts w:ascii="Arial" w:hAnsi="Arial" w:cs="Arial"/>
          <w:color w:val="000000" w:themeColor="text1"/>
          <w:sz w:val="24"/>
          <w:szCs w:val="24"/>
        </w:rPr>
        <w:t xml:space="preserve"> two </w:t>
      </w:r>
      <w:r w:rsidR="005C2022">
        <w:rPr>
          <w:rFonts w:ascii="Arial" w:hAnsi="Arial" w:cs="Arial"/>
          <w:color w:val="000000" w:themeColor="text1"/>
          <w:sz w:val="24"/>
          <w:szCs w:val="24"/>
        </w:rPr>
        <w:t xml:space="preserve">points. </w:t>
      </w:r>
    </w:p>
    <w:p w:rsidR="0079405C" w:rsidRDefault="0079405C" w:rsidP="00B90190">
      <w:pPr>
        <w:spacing w:after="0" w:line="480" w:lineRule="auto"/>
        <w:jc w:val="both"/>
        <w:rPr>
          <w:rFonts w:ascii="Arial" w:hAnsi="Arial" w:cs="Arial"/>
          <w:color w:val="000000" w:themeColor="text1"/>
          <w:sz w:val="24"/>
          <w:szCs w:val="24"/>
          <w:lang w:val="en-GB"/>
        </w:rPr>
      </w:pPr>
    </w:p>
    <w:p w:rsidR="005C2022" w:rsidRPr="00A50BC4" w:rsidRDefault="005C2022" w:rsidP="00B90190">
      <w:pPr>
        <w:spacing w:after="0" w:line="480" w:lineRule="auto"/>
        <w:jc w:val="both"/>
        <w:rPr>
          <w:rFonts w:ascii="Arial" w:hAnsi="Arial" w:cs="Arial"/>
          <w:color w:val="000000" w:themeColor="text1"/>
          <w:sz w:val="24"/>
          <w:szCs w:val="24"/>
          <w:u w:val="single"/>
          <w:lang w:val="en-GB"/>
        </w:rPr>
      </w:pPr>
      <w:r w:rsidRPr="00A50BC4">
        <w:rPr>
          <w:rFonts w:ascii="Arial" w:hAnsi="Arial" w:cs="Arial"/>
          <w:color w:val="000000" w:themeColor="text1"/>
          <w:sz w:val="24"/>
          <w:szCs w:val="24"/>
          <w:u w:val="single"/>
          <w:lang w:val="en-GB"/>
        </w:rPr>
        <w:t>Preliminary points</w:t>
      </w:r>
    </w:p>
    <w:p w:rsidR="005C2022" w:rsidRPr="00581DC8" w:rsidRDefault="00A56E73" w:rsidP="00B90190">
      <w:pPr>
        <w:spacing w:after="0" w:line="480" w:lineRule="auto"/>
        <w:jc w:val="both"/>
        <w:rPr>
          <w:rFonts w:ascii="Arial" w:hAnsi="Arial" w:cs="Arial"/>
          <w:i/>
          <w:color w:val="000000" w:themeColor="text1"/>
          <w:sz w:val="24"/>
          <w:szCs w:val="24"/>
          <w:lang w:val="en-GB"/>
        </w:rPr>
      </w:pPr>
      <w:r>
        <w:rPr>
          <w:rFonts w:ascii="Arial" w:hAnsi="Arial" w:cs="Arial"/>
          <w:i/>
          <w:color w:val="000000" w:themeColor="text1"/>
          <w:sz w:val="24"/>
          <w:szCs w:val="24"/>
          <w:lang w:val="en-GB"/>
        </w:rPr>
        <w:t>The alleged m</w:t>
      </w:r>
      <w:r w:rsidR="005C2022" w:rsidRPr="00581DC8">
        <w:rPr>
          <w:rFonts w:ascii="Arial" w:hAnsi="Arial" w:cs="Arial"/>
          <w:i/>
          <w:color w:val="000000" w:themeColor="text1"/>
          <w:sz w:val="24"/>
          <w:szCs w:val="24"/>
          <w:lang w:val="en-GB"/>
        </w:rPr>
        <w:t>isjoinder of the Minister, P</w:t>
      </w:r>
      <w:r w:rsidR="00262442">
        <w:rPr>
          <w:rFonts w:ascii="Arial" w:hAnsi="Arial" w:cs="Arial"/>
          <w:i/>
          <w:color w:val="000000" w:themeColor="text1"/>
          <w:sz w:val="24"/>
          <w:szCs w:val="24"/>
          <w:lang w:val="en-GB"/>
        </w:rPr>
        <w:t xml:space="preserve">ermanent </w:t>
      </w:r>
      <w:r w:rsidR="005C2022" w:rsidRPr="00581DC8">
        <w:rPr>
          <w:rFonts w:ascii="Arial" w:hAnsi="Arial" w:cs="Arial"/>
          <w:i/>
          <w:color w:val="000000" w:themeColor="text1"/>
          <w:sz w:val="24"/>
          <w:szCs w:val="24"/>
          <w:lang w:val="en-GB"/>
        </w:rPr>
        <w:t>S</w:t>
      </w:r>
      <w:r w:rsidR="00262442">
        <w:rPr>
          <w:rFonts w:ascii="Arial" w:hAnsi="Arial" w:cs="Arial"/>
          <w:i/>
          <w:color w:val="000000" w:themeColor="text1"/>
          <w:sz w:val="24"/>
          <w:szCs w:val="24"/>
          <w:lang w:val="en-GB"/>
        </w:rPr>
        <w:t>ecretary</w:t>
      </w:r>
      <w:r w:rsidR="005C2022" w:rsidRPr="00581DC8">
        <w:rPr>
          <w:rFonts w:ascii="Arial" w:hAnsi="Arial" w:cs="Arial"/>
          <w:i/>
          <w:color w:val="000000" w:themeColor="text1"/>
          <w:sz w:val="24"/>
          <w:szCs w:val="24"/>
          <w:lang w:val="en-GB"/>
        </w:rPr>
        <w:t xml:space="preserve"> and Director</w:t>
      </w:r>
    </w:p>
    <w:p w:rsidR="005C2022" w:rsidRDefault="0079405C"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[14</w:t>
      </w:r>
      <w:r w:rsidR="005C2022">
        <w:rPr>
          <w:rFonts w:ascii="Arial" w:hAnsi="Arial" w:cs="Arial"/>
          <w:color w:val="000000" w:themeColor="text1"/>
          <w:sz w:val="24"/>
          <w:szCs w:val="24"/>
          <w:lang w:val="en-GB"/>
        </w:rPr>
        <w:t>]</w:t>
      </w:r>
      <w:r w:rsidR="005C2022">
        <w:rPr>
          <w:rFonts w:ascii="Arial" w:hAnsi="Arial" w:cs="Arial"/>
          <w:color w:val="000000" w:themeColor="text1"/>
          <w:sz w:val="24"/>
          <w:szCs w:val="24"/>
          <w:lang w:val="en-GB"/>
        </w:rPr>
        <w:tab/>
        <w:t xml:space="preserve">On behalf of the respondents, </w:t>
      </w:r>
      <w:r w:rsidR="005C2022" w:rsidRPr="00F07CB2">
        <w:rPr>
          <w:rFonts w:ascii="Arial" w:hAnsi="Arial" w:cs="Arial"/>
          <w:color w:val="000000" w:themeColor="text1"/>
          <w:sz w:val="24"/>
          <w:szCs w:val="24"/>
          <w:lang w:val="en-GB"/>
        </w:rPr>
        <w:t xml:space="preserve">Ms van der Westhuizen </w:t>
      </w:r>
      <w:r w:rsidR="005C2022">
        <w:rPr>
          <w:rFonts w:ascii="Arial" w:hAnsi="Arial" w:cs="Arial"/>
          <w:color w:val="000000" w:themeColor="text1"/>
          <w:sz w:val="24"/>
          <w:szCs w:val="24"/>
          <w:lang w:val="en-GB"/>
        </w:rPr>
        <w:t xml:space="preserve">submitted </w:t>
      </w:r>
      <w:r w:rsidR="005C2022" w:rsidRPr="005D0DEF">
        <w:rPr>
          <w:rFonts w:ascii="Arial" w:hAnsi="Arial" w:cs="Arial"/>
          <w:color w:val="000000" w:themeColor="text1"/>
          <w:sz w:val="24"/>
          <w:szCs w:val="24"/>
          <w:lang w:val="en-GB"/>
        </w:rPr>
        <w:t xml:space="preserve">that there has been a misjoinder of the </w:t>
      </w:r>
      <w:r w:rsidR="005C2022">
        <w:rPr>
          <w:rFonts w:ascii="Arial" w:hAnsi="Arial" w:cs="Arial"/>
          <w:color w:val="000000" w:themeColor="text1"/>
          <w:sz w:val="24"/>
          <w:szCs w:val="24"/>
          <w:lang w:val="en-GB"/>
        </w:rPr>
        <w:t>Minister, the Permanent Secretary and the Director</w:t>
      </w:r>
      <w:r w:rsidR="005C2022" w:rsidRPr="005D0DEF">
        <w:rPr>
          <w:rFonts w:ascii="Arial" w:hAnsi="Arial" w:cs="Arial"/>
          <w:color w:val="000000" w:themeColor="text1"/>
          <w:sz w:val="24"/>
          <w:szCs w:val="24"/>
          <w:lang w:val="en-GB"/>
        </w:rPr>
        <w:t xml:space="preserve">. </w:t>
      </w:r>
      <w:r w:rsidR="005C2022">
        <w:rPr>
          <w:rFonts w:ascii="Arial" w:hAnsi="Arial" w:cs="Arial"/>
          <w:color w:val="000000" w:themeColor="text1"/>
          <w:sz w:val="24"/>
          <w:szCs w:val="24"/>
          <w:lang w:val="en-GB"/>
        </w:rPr>
        <w:t xml:space="preserve">Counsel contended that </w:t>
      </w:r>
      <w:r w:rsidR="005C2022" w:rsidRPr="00F81F8F">
        <w:rPr>
          <w:rFonts w:ascii="Arial" w:hAnsi="Arial" w:cs="Arial"/>
          <w:color w:val="000000" w:themeColor="text1"/>
          <w:sz w:val="24"/>
          <w:szCs w:val="24"/>
          <w:lang w:val="en-GB"/>
        </w:rPr>
        <w:t xml:space="preserve">the decision sought to be reviewed </w:t>
      </w:r>
      <w:r w:rsidR="005C2022">
        <w:rPr>
          <w:rFonts w:ascii="Arial" w:hAnsi="Arial" w:cs="Arial"/>
          <w:color w:val="000000" w:themeColor="text1"/>
          <w:sz w:val="24"/>
          <w:szCs w:val="24"/>
          <w:lang w:val="en-GB"/>
        </w:rPr>
        <w:t xml:space="preserve">is that of the </w:t>
      </w:r>
      <w:r w:rsidR="00262442">
        <w:rPr>
          <w:rFonts w:ascii="Arial" w:hAnsi="Arial" w:cs="Arial"/>
          <w:color w:val="000000" w:themeColor="text1"/>
          <w:sz w:val="24"/>
          <w:szCs w:val="24"/>
          <w:lang w:val="en-GB"/>
        </w:rPr>
        <w:t>Tender Board</w:t>
      </w:r>
      <w:r w:rsidR="005C2022">
        <w:rPr>
          <w:rFonts w:ascii="Arial" w:hAnsi="Arial" w:cs="Arial"/>
          <w:color w:val="000000" w:themeColor="text1"/>
          <w:sz w:val="24"/>
          <w:szCs w:val="24"/>
          <w:lang w:val="en-GB"/>
        </w:rPr>
        <w:t>. According</w:t>
      </w:r>
      <w:r w:rsidR="00262442">
        <w:rPr>
          <w:rFonts w:ascii="Arial" w:hAnsi="Arial" w:cs="Arial"/>
          <w:color w:val="000000" w:themeColor="text1"/>
          <w:sz w:val="24"/>
          <w:szCs w:val="24"/>
          <w:lang w:val="en-GB"/>
        </w:rPr>
        <w:t>ly</w:t>
      </w:r>
      <w:r w:rsidR="005C2022">
        <w:rPr>
          <w:rFonts w:ascii="Arial" w:hAnsi="Arial" w:cs="Arial"/>
          <w:color w:val="000000" w:themeColor="text1"/>
          <w:sz w:val="24"/>
          <w:szCs w:val="24"/>
          <w:lang w:val="en-GB"/>
        </w:rPr>
        <w:t xml:space="preserve">, it was </w:t>
      </w:r>
      <w:r w:rsidR="005C2022" w:rsidRPr="00F81F8F">
        <w:rPr>
          <w:rFonts w:ascii="Arial" w:hAnsi="Arial" w:cs="Arial"/>
          <w:color w:val="000000" w:themeColor="text1"/>
          <w:sz w:val="24"/>
          <w:szCs w:val="24"/>
        </w:rPr>
        <w:t>not</w:t>
      </w:r>
      <w:r w:rsidR="005C2022">
        <w:rPr>
          <w:rFonts w:ascii="Arial" w:hAnsi="Arial" w:cs="Arial"/>
          <w:color w:val="000000" w:themeColor="text1"/>
          <w:sz w:val="24"/>
          <w:szCs w:val="24"/>
        </w:rPr>
        <w:t xml:space="preserve"> necessary to join the Minister, </w:t>
      </w:r>
      <w:r w:rsidR="005C2022">
        <w:rPr>
          <w:rFonts w:ascii="Arial" w:hAnsi="Arial" w:cs="Arial"/>
          <w:color w:val="000000" w:themeColor="text1"/>
          <w:sz w:val="24"/>
          <w:szCs w:val="24"/>
          <w:lang w:val="en-GB"/>
        </w:rPr>
        <w:t>the Permanent Secretary and the</w:t>
      </w:r>
      <w:r w:rsidR="005C2022">
        <w:rPr>
          <w:rFonts w:ascii="Arial" w:hAnsi="Arial" w:cs="Arial"/>
          <w:color w:val="000000" w:themeColor="text1"/>
          <w:sz w:val="24"/>
          <w:szCs w:val="24"/>
        </w:rPr>
        <w:t xml:space="preserve"> Director to the present proceedings as they merely made recommendations to the</w:t>
      </w:r>
      <w:r w:rsidR="00262442">
        <w:rPr>
          <w:rFonts w:ascii="Arial" w:hAnsi="Arial" w:cs="Arial"/>
          <w:color w:val="000000" w:themeColor="text1"/>
          <w:sz w:val="24"/>
          <w:szCs w:val="24"/>
        </w:rPr>
        <w:t xml:space="preserve"> Tender Board</w:t>
      </w:r>
      <w:r w:rsidR="005C2022">
        <w:rPr>
          <w:rFonts w:ascii="Arial" w:hAnsi="Arial" w:cs="Arial"/>
          <w:color w:val="000000" w:themeColor="text1"/>
          <w:sz w:val="24"/>
          <w:szCs w:val="24"/>
        </w:rPr>
        <w:t xml:space="preserve"> regarding the tender. </w:t>
      </w:r>
    </w:p>
    <w:p w:rsidR="005C2022" w:rsidRDefault="005C2022" w:rsidP="00B90190">
      <w:pPr>
        <w:spacing w:after="0" w:line="480" w:lineRule="auto"/>
        <w:jc w:val="both"/>
        <w:rPr>
          <w:rFonts w:ascii="Arial" w:hAnsi="Arial" w:cs="Arial"/>
          <w:color w:val="000000" w:themeColor="text1"/>
          <w:sz w:val="24"/>
          <w:szCs w:val="24"/>
          <w:lang w:val="en-GB"/>
        </w:rPr>
      </w:pPr>
    </w:p>
    <w:p w:rsidR="005C2022" w:rsidRDefault="0079405C"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[15</w:t>
      </w:r>
      <w:r w:rsidR="005C2022">
        <w:rPr>
          <w:rFonts w:ascii="Arial" w:hAnsi="Arial" w:cs="Arial"/>
          <w:color w:val="000000" w:themeColor="text1"/>
          <w:sz w:val="24"/>
          <w:szCs w:val="24"/>
          <w:lang w:val="en-GB"/>
        </w:rPr>
        <w:t>]</w:t>
      </w:r>
      <w:r w:rsidR="005C2022">
        <w:rPr>
          <w:rFonts w:ascii="Arial" w:hAnsi="Arial" w:cs="Arial"/>
          <w:color w:val="000000" w:themeColor="text1"/>
          <w:sz w:val="24"/>
          <w:szCs w:val="24"/>
          <w:lang w:val="en-GB"/>
        </w:rPr>
        <w:tab/>
        <w:t xml:space="preserve">If I understand this </w:t>
      </w:r>
      <w:r w:rsidR="00A50BC4">
        <w:rPr>
          <w:rFonts w:ascii="Arial" w:hAnsi="Arial" w:cs="Arial"/>
          <w:color w:val="000000" w:themeColor="text1"/>
          <w:sz w:val="24"/>
          <w:szCs w:val="24"/>
          <w:lang w:val="en-GB"/>
        </w:rPr>
        <w:t>submission correctly</w:t>
      </w:r>
      <w:r w:rsidR="005C2022">
        <w:rPr>
          <w:rFonts w:ascii="Arial" w:hAnsi="Arial" w:cs="Arial"/>
          <w:color w:val="000000" w:themeColor="text1"/>
          <w:sz w:val="24"/>
          <w:szCs w:val="24"/>
          <w:lang w:val="en-GB"/>
        </w:rPr>
        <w:t xml:space="preserve">, counsel </w:t>
      </w:r>
      <w:r w:rsidR="00A50BC4">
        <w:rPr>
          <w:rFonts w:ascii="Arial" w:hAnsi="Arial" w:cs="Arial"/>
          <w:color w:val="000000" w:themeColor="text1"/>
          <w:sz w:val="24"/>
          <w:szCs w:val="24"/>
          <w:lang w:val="en-GB"/>
        </w:rPr>
        <w:t xml:space="preserve">appears </w:t>
      </w:r>
      <w:r w:rsidR="005C2022" w:rsidRPr="005D0DEF">
        <w:rPr>
          <w:rFonts w:ascii="Arial" w:hAnsi="Arial" w:cs="Arial"/>
          <w:color w:val="000000" w:themeColor="text1"/>
          <w:sz w:val="24"/>
          <w:szCs w:val="24"/>
          <w:lang w:val="en-GB"/>
        </w:rPr>
        <w:t xml:space="preserve">to </w:t>
      </w:r>
      <w:r w:rsidR="00A50BC4">
        <w:rPr>
          <w:rFonts w:ascii="Arial" w:hAnsi="Arial" w:cs="Arial"/>
          <w:color w:val="000000" w:themeColor="text1"/>
          <w:sz w:val="24"/>
          <w:szCs w:val="24"/>
          <w:lang w:val="en-GB"/>
        </w:rPr>
        <w:t xml:space="preserve">contend </w:t>
      </w:r>
      <w:r w:rsidR="005C2022" w:rsidRPr="005D0DEF">
        <w:rPr>
          <w:rFonts w:ascii="Arial" w:hAnsi="Arial" w:cs="Arial"/>
          <w:color w:val="000000" w:themeColor="text1"/>
          <w:sz w:val="24"/>
          <w:szCs w:val="24"/>
          <w:lang w:val="en-GB"/>
        </w:rPr>
        <w:t xml:space="preserve">that the appellant should not have </w:t>
      </w:r>
      <w:r w:rsidR="005C2022">
        <w:rPr>
          <w:rFonts w:ascii="Arial" w:hAnsi="Arial" w:cs="Arial"/>
          <w:color w:val="000000" w:themeColor="text1"/>
          <w:sz w:val="24"/>
          <w:szCs w:val="24"/>
          <w:lang w:val="en-GB"/>
        </w:rPr>
        <w:t xml:space="preserve">joined </w:t>
      </w:r>
      <w:r w:rsidR="005C2022" w:rsidRPr="00150C71">
        <w:rPr>
          <w:rFonts w:ascii="Arial" w:hAnsi="Arial" w:cs="Arial"/>
          <w:color w:val="000000" w:themeColor="text1"/>
          <w:sz w:val="24"/>
          <w:szCs w:val="24"/>
        </w:rPr>
        <w:t xml:space="preserve">the Minister, </w:t>
      </w:r>
      <w:r w:rsidR="005C2022">
        <w:rPr>
          <w:rFonts w:ascii="Arial" w:hAnsi="Arial" w:cs="Arial"/>
          <w:color w:val="000000" w:themeColor="text1"/>
          <w:sz w:val="24"/>
          <w:szCs w:val="24"/>
          <w:lang w:val="en-GB"/>
        </w:rPr>
        <w:t xml:space="preserve">the Permanent Secretary and the </w:t>
      </w:r>
      <w:r w:rsidR="005C2022" w:rsidRPr="00150C71">
        <w:rPr>
          <w:rFonts w:ascii="Arial" w:hAnsi="Arial" w:cs="Arial"/>
          <w:color w:val="000000" w:themeColor="text1"/>
          <w:sz w:val="24"/>
          <w:szCs w:val="24"/>
        </w:rPr>
        <w:t>Director</w:t>
      </w:r>
      <w:r w:rsidR="005C2022" w:rsidRPr="00150C71">
        <w:rPr>
          <w:rFonts w:ascii="Arial" w:hAnsi="Arial" w:cs="Arial"/>
          <w:color w:val="000000" w:themeColor="text1"/>
          <w:sz w:val="24"/>
          <w:szCs w:val="24"/>
          <w:lang w:val="en-GB"/>
        </w:rPr>
        <w:t xml:space="preserve"> </w:t>
      </w:r>
      <w:r w:rsidR="005C2022" w:rsidRPr="005D0DEF">
        <w:rPr>
          <w:rFonts w:ascii="Arial" w:hAnsi="Arial" w:cs="Arial"/>
          <w:color w:val="000000" w:themeColor="text1"/>
          <w:sz w:val="24"/>
          <w:szCs w:val="24"/>
          <w:lang w:val="en-GB"/>
        </w:rPr>
        <w:t xml:space="preserve">because they do not have a </w:t>
      </w:r>
      <w:r w:rsidR="005C2022">
        <w:rPr>
          <w:rFonts w:ascii="Arial" w:hAnsi="Arial" w:cs="Arial"/>
          <w:color w:val="000000" w:themeColor="text1"/>
          <w:sz w:val="24"/>
          <w:szCs w:val="24"/>
          <w:lang w:val="en-GB"/>
        </w:rPr>
        <w:t xml:space="preserve">direct and </w:t>
      </w:r>
      <w:r w:rsidR="005C2022" w:rsidRPr="005D0DEF">
        <w:rPr>
          <w:rFonts w:ascii="Arial" w:hAnsi="Arial" w:cs="Arial"/>
          <w:color w:val="000000" w:themeColor="text1"/>
          <w:sz w:val="24"/>
          <w:szCs w:val="24"/>
          <w:lang w:val="en-GB"/>
        </w:rPr>
        <w:t>substantial interest in the case or will not be affected by the outcome of the case.</w:t>
      </w:r>
      <w:r w:rsidR="005C2022">
        <w:rPr>
          <w:rFonts w:ascii="Arial" w:hAnsi="Arial" w:cs="Arial"/>
          <w:color w:val="000000" w:themeColor="text1"/>
          <w:sz w:val="24"/>
          <w:szCs w:val="24"/>
          <w:lang w:val="en-GB"/>
        </w:rPr>
        <w:t xml:space="preserve"> </w:t>
      </w:r>
    </w:p>
    <w:p w:rsidR="005C2022" w:rsidRDefault="005C2022" w:rsidP="00B90190">
      <w:pPr>
        <w:spacing w:after="0" w:line="480" w:lineRule="auto"/>
        <w:jc w:val="both"/>
        <w:rPr>
          <w:rFonts w:ascii="Arial" w:hAnsi="Arial" w:cs="Arial"/>
          <w:color w:val="000000" w:themeColor="text1"/>
          <w:sz w:val="24"/>
          <w:szCs w:val="24"/>
          <w:lang w:val="en-GB"/>
        </w:rPr>
      </w:pPr>
    </w:p>
    <w:p w:rsidR="001817BA" w:rsidRDefault="0079405C" w:rsidP="00B90190">
      <w:pPr>
        <w:spacing w:after="0" w:line="480" w:lineRule="auto"/>
        <w:jc w:val="both"/>
        <w:rPr>
          <w:rFonts w:ascii="Arial" w:hAnsi="Arial" w:cs="Arial"/>
          <w:color w:val="000000" w:themeColor="text1"/>
          <w:sz w:val="24"/>
          <w:szCs w:val="24"/>
          <w:lang w:val="en-ZA"/>
        </w:rPr>
      </w:pPr>
      <w:r>
        <w:rPr>
          <w:rFonts w:ascii="Arial" w:hAnsi="Arial" w:cs="Arial"/>
          <w:color w:val="000000" w:themeColor="text1"/>
          <w:sz w:val="24"/>
          <w:szCs w:val="24"/>
          <w:lang w:val="en-GB"/>
        </w:rPr>
        <w:t>[16</w:t>
      </w:r>
      <w:r w:rsidR="005C2022" w:rsidRPr="007523DD">
        <w:rPr>
          <w:rFonts w:ascii="Arial" w:hAnsi="Arial" w:cs="Arial"/>
          <w:color w:val="000000" w:themeColor="text1"/>
          <w:sz w:val="24"/>
          <w:szCs w:val="24"/>
          <w:lang w:val="en-GB"/>
        </w:rPr>
        <w:t>]</w:t>
      </w:r>
      <w:r w:rsidR="005C2022" w:rsidRPr="007523DD">
        <w:rPr>
          <w:rFonts w:ascii="Arial" w:hAnsi="Arial" w:cs="Arial"/>
          <w:color w:val="000000" w:themeColor="text1"/>
          <w:sz w:val="24"/>
          <w:szCs w:val="24"/>
          <w:lang w:val="en-GB"/>
        </w:rPr>
        <w:tab/>
      </w:r>
      <w:r w:rsidR="00EA3A4E">
        <w:rPr>
          <w:rFonts w:ascii="Arial" w:hAnsi="Arial" w:cs="Arial"/>
          <w:color w:val="000000" w:themeColor="text1"/>
          <w:sz w:val="24"/>
          <w:szCs w:val="24"/>
        </w:rPr>
        <w:t>I</w:t>
      </w:r>
      <w:r w:rsidR="008A443D">
        <w:rPr>
          <w:rFonts w:ascii="Arial" w:hAnsi="Arial" w:cs="Arial"/>
          <w:color w:val="000000" w:themeColor="text1"/>
          <w:sz w:val="24"/>
          <w:szCs w:val="24"/>
        </w:rPr>
        <w:t>t is trite that</w:t>
      </w:r>
      <w:r w:rsidR="005C2022">
        <w:rPr>
          <w:rFonts w:ascii="Arial" w:hAnsi="Arial" w:cs="Arial"/>
          <w:color w:val="000000" w:themeColor="text1"/>
          <w:sz w:val="24"/>
          <w:szCs w:val="24"/>
        </w:rPr>
        <w:t xml:space="preserve"> for a p</w:t>
      </w:r>
      <w:r w:rsidR="00EA3A4E">
        <w:rPr>
          <w:rFonts w:ascii="Arial" w:hAnsi="Arial" w:cs="Arial"/>
          <w:color w:val="000000" w:themeColor="text1"/>
          <w:sz w:val="24"/>
          <w:szCs w:val="24"/>
        </w:rPr>
        <w:t>a</w:t>
      </w:r>
      <w:r w:rsidR="005C2022">
        <w:rPr>
          <w:rFonts w:ascii="Arial" w:hAnsi="Arial" w:cs="Arial"/>
          <w:color w:val="000000" w:themeColor="text1"/>
          <w:sz w:val="24"/>
          <w:szCs w:val="24"/>
        </w:rPr>
        <w:t>rty to be properly joined</w:t>
      </w:r>
      <w:r w:rsidR="008A443D">
        <w:rPr>
          <w:rFonts w:ascii="Arial" w:hAnsi="Arial" w:cs="Arial"/>
          <w:color w:val="000000" w:themeColor="text1"/>
          <w:sz w:val="24"/>
          <w:szCs w:val="24"/>
        </w:rPr>
        <w:t xml:space="preserve"> to court proceedings</w:t>
      </w:r>
      <w:r w:rsidR="005C2022">
        <w:rPr>
          <w:rFonts w:ascii="Arial" w:hAnsi="Arial" w:cs="Arial"/>
          <w:color w:val="000000" w:themeColor="text1"/>
          <w:sz w:val="24"/>
          <w:szCs w:val="24"/>
        </w:rPr>
        <w:t xml:space="preserve">, </w:t>
      </w:r>
      <w:r w:rsidR="00A50BC4">
        <w:rPr>
          <w:rFonts w:ascii="Arial" w:hAnsi="Arial" w:cs="Arial"/>
          <w:color w:val="000000" w:themeColor="text1"/>
          <w:sz w:val="24"/>
          <w:szCs w:val="24"/>
        </w:rPr>
        <w:t xml:space="preserve">the requirement is that </w:t>
      </w:r>
      <w:r w:rsidR="005C2022">
        <w:rPr>
          <w:rFonts w:ascii="Arial" w:hAnsi="Arial" w:cs="Arial"/>
          <w:color w:val="000000" w:themeColor="text1"/>
          <w:sz w:val="24"/>
          <w:szCs w:val="24"/>
        </w:rPr>
        <w:t xml:space="preserve">such party must have substantial interest in the proceedings or the outcome of the proceedings will have an effect on such party, whether direct or </w:t>
      </w:r>
      <w:r w:rsidR="005C2022">
        <w:rPr>
          <w:rFonts w:ascii="Arial" w:hAnsi="Arial" w:cs="Arial"/>
          <w:color w:val="000000" w:themeColor="text1"/>
          <w:sz w:val="24"/>
          <w:szCs w:val="24"/>
        </w:rPr>
        <w:lastRenderedPageBreak/>
        <w:t>indirect</w:t>
      </w:r>
      <w:r w:rsidR="00A50BC4">
        <w:rPr>
          <w:rFonts w:ascii="Arial" w:hAnsi="Arial" w:cs="Arial"/>
          <w:color w:val="000000" w:themeColor="text1"/>
          <w:sz w:val="24"/>
          <w:szCs w:val="24"/>
        </w:rPr>
        <w:t>.</w:t>
      </w:r>
      <w:r w:rsidR="00A50BC4">
        <w:rPr>
          <w:rStyle w:val="FootnoteReference"/>
          <w:rFonts w:ascii="Arial" w:hAnsi="Arial" w:cs="Arial"/>
          <w:color w:val="000000" w:themeColor="text1"/>
          <w:sz w:val="24"/>
          <w:szCs w:val="24"/>
        </w:rPr>
        <w:footnoteReference w:id="1"/>
      </w:r>
      <w:r w:rsidR="005C2022">
        <w:rPr>
          <w:rFonts w:ascii="Arial" w:hAnsi="Arial" w:cs="Arial"/>
          <w:color w:val="000000" w:themeColor="text1"/>
          <w:sz w:val="24"/>
          <w:szCs w:val="24"/>
        </w:rPr>
        <w:t xml:space="preserve"> </w:t>
      </w:r>
      <w:r w:rsidR="00E9281A">
        <w:rPr>
          <w:rFonts w:ascii="Arial" w:hAnsi="Arial" w:cs="Arial"/>
          <w:color w:val="000000" w:themeColor="text1"/>
          <w:sz w:val="24"/>
          <w:szCs w:val="24"/>
        </w:rPr>
        <w:t>I</w:t>
      </w:r>
      <w:r w:rsidR="001817BA" w:rsidRPr="001817BA">
        <w:rPr>
          <w:rFonts w:ascii="Arial" w:hAnsi="Arial" w:cs="Arial"/>
          <w:color w:val="000000" w:themeColor="text1"/>
          <w:sz w:val="24"/>
          <w:szCs w:val="24"/>
          <w:lang w:val="en-ZA"/>
        </w:rPr>
        <w:t xml:space="preserve">t is incumbent upon a court to ensure that all persons, with the requisite interest in the subject matter of the dispute </w:t>
      </w:r>
      <w:r w:rsidR="008A443D">
        <w:rPr>
          <w:rFonts w:ascii="Arial" w:hAnsi="Arial" w:cs="Arial"/>
          <w:color w:val="000000" w:themeColor="text1"/>
          <w:sz w:val="24"/>
          <w:szCs w:val="24"/>
          <w:lang w:val="en-ZA"/>
        </w:rPr>
        <w:t xml:space="preserve">before it </w:t>
      </w:r>
      <w:r w:rsidR="001817BA" w:rsidRPr="001817BA">
        <w:rPr>
          <w:rFonts w:ascii="Arial" w:hAnsi="Arial" w:cs="Arial"/>
          <w:color w:val="000000" w:themeColor="text1"/>
          <w:sz w:val="24"/>
          <w:szCs w:val="24"/>
          <w:lang w:val="en-ZA"/>
        </w:rPr>
        <w:t>and whose rights may be affected</w:t>
      </w:r>
      <w:r w:rsidR="008A443D">
        <w:rPr>
          <w:rFonts w:ascii="Arial" w:hAnsi="Arial" w:cs="Arial"/>
          <w:color w:val="000000" w:themeColor="text1"/>
          <w:sz w:val="24"/>
          <w:szCs w:val="24"/>
          <w:lang w:val="en-ZA"/>
        </w:rPr>
        <w:t xml:space="preserve"> by such dispute, are before the c</w:t>
      </w:r>
      <w:r w:rsidR="001817BA" w:rsidRPr="001817BA">
        <w:rPr>
          <w:rFonts w:ascii="Arial" w:hAnsi="Arial" w:cs="Arial"/>
          <w:color w:val="000000" w:themeColor="text1"/>
          <w:sz w:val="24"/>
          <w:szCs w:val="24"/>
          <w:lang w:val="en-ZA"/>
        </w:rPr>
        <w:t xml:space="preserve">ourt </w:t>
      </w:r>
      <w:r w:rsidR="008A443D">
        <w:rPr>
          <w:rFonts w:ascii="Arial" w:hAnsi="Arial" w:cs="Arial"/>
          <w:color w:val="000000" w:themeColor="text1"/>
          <w:sz w:val="24"/>
          <w:szCs w:val="24"/>
          <w:lang w:val="en-ZA"/>
        </w:rPr>
        <w:t xml:space="preserve">as such notion is </w:t>
      </w:r>
      <w:r w:rsidR="001817BA" w:rsidRPr="001817BA">
        <w:rPr>
          <w:rFonts w:ascii="Arial" w:hAnsi="Arial" w:cs="Arial"/>
          <w:color w:val="000000" w:themeColor="text1"/>
          <w:sz w:val="24"/>
          <w:szCs w:val="24"/>
          <w:lang w:val="en-ZA"/>
        </w:rPr>
        <w:t xml:space="preserve">in line with the strict requirements of the </w:t>
      </w:r>
      <w:r w:rsidR="001817BA" w:rsidRPr="009758ED">
        <w:rPr>
          <w:rFonts w:ascii="Arial" w:hAnsi="Arial" w:cs="Arial"/>
          <w:sz w:val="24"/>
          <w:szCs w:val="24"/>
          <w:lang w:val="en-ZA"/>
        </w:rPr>
        <w:t>rules of natural justice</w:t>
      </w:r>
      <w:r w:rsidR="001817BA" w:rsidRPr="001817BA">
        <w:rPr>
          <w:rFonts w:ascii="Arial" w:hAnsi="Arial" w:cs="Arial"/>
          <w:color w:val="000000" w:themeColor="text1"/>
          <w:sz w:val="24"/>
          <w:szCs w:val="24"/>
          <w:lang w:val="en-ZA"/>
        </w:rPr>
        <w:t xml:space="preserve">. </w:t>
      </w:r>
    </w:p>
    <w:p w:rsidR="00240A19" w:rsidRDefault="00240A19" w:rsidP="00B90190">
      <w:pPr>
        <w:spacing w:after="0" w:line="480" w:lineRule="auto"/>
        <w:jc w:val="both"/>
        <w:rPr>
          <w:rFonts w:ascii="Arial" w:hAnsi="Arial" w:cs="Arial"/>
          <w:color w:val="000000" w:themeColor="text1"/>
          <w:sz w:val="24"/>
          <w:szCs w:val="24"/>
          <w:lang w:val="en-ZA"/>
        </w:rPr>
      </w:pPr>
    </w:p>
    <w:p w:rsidR="005C2022" w:rsidRDefault="0079405C" w:rsidP="00B90190">
      <w:pPr>
        <w:spacing w:after="0" w:line="480" w:lineRule="auto"/>
        <w:jc w:val="both"/>
        <w:rPr>
          <w:rFonts w:ascii="Arial" w:hAnsi="Arial" w:cs="Arial"/>
          <w:sz w:val="24"/>
          <w:szCs w:val="24"/>
        </w:rPr>
      </w:pPr>
      <w:r>
        <w:rPr>
          <w:rFonts w:ascii="Arial" w:hAnsi="Arial" w:cs="Arial"/>
          <w:color w:val="000000" w:themeColor="text1"/>
          <w:sz w:val="24"/>
          <w:szCs w:val="24"/>
        </w:rPr>
        <w:t>[17</w:t>
      </w:r>
      <w:r w:rsidR="00E9281A">
        <w:rPr>
          <w:rFonts w:ascii="Arial" w:hAnsi="Arial" w:cs="Arial"/>
          <w:color w:val="000000" w:themeColor="text1"/>
          <w:sz w:val="24"/>
          <w:szCs w:val="24"/>
        </w:rPr>
        <w:t>]</w:t>
      </w:r>
      <w:r w:rsidR="00E9281A">
        <w:rPr>
          <w:rFonts w:ascii="Arial" w:hAnsi="Arial" w:cs="Arial"/>
          <w:color w:val="000000" w:themeColor="text1"/>
          <w:sz w:val="24"/>
          <w:szCs w:val="24"/>
        </w:rPr>
        <w:tab/>
      </w:r>
      <w:r w:rsidR="004F425B">
        <w:rPr>
          <w:rFonts w:ascii="Arial" w:hAnsi="Arial" w:cs="Arial"/>
          <w:color w:val="000000" w:themeColor="text1"/>
          <w:sz w:val="24"/>
          <w:szCs w:val="24"/>
        </w:rPr>
        <w:t>I</w:t>
      </w:r>
      <w:r w:rsidR="00824A93">
        <w:rPr>
          <w:rFonts w:ascii="Arial" w:hAnsi="Arial" w:cs="Arial"/>
          <w:color w:val="000000" w:themeColor="text1"/>
          <w:sz w:val="24"/>
          <w:szCs w:val="24"/>
        </w:rPr>
        <w:t>n its review application</w:t>
      </w:r>
      <w:r w:rsidR="004F425B">
        <w:rPr>
          <w:rFonts w:ascii="Arial" w:hAnsi="Arial" w:cs="Arial"/>
          <w:color w:val="000000" w:themeColor="text1"/>
          <w:sz w:val="24"/>
          <w:szCs w:val="24"/>
        </w:rPr>
        <w:t xml:space="preserve">, the appellant </w:t>
      </w:r>
      <w:r w:rsidR="00824A93">
        <w:rPr>
          <w:rFonts w:ascii="Arial" w:hAnsi="Arial" w:cs="Arial"/>
          <w:color w:val="000000" w:themeColor="text1"/>
          <w:sz w:val="24"/>
          <w:szCs w:val="24"/>
        </w:rPr>
        <w:t>s</w:t>
      </w:r>
      <w:r w:rsidR="00183CC1">
        <w:rPr>
          <w:rFonts w:ascii="Arial" w:hAnsi="Arial" w:cs="Arial"/>
          <w:color w:val="000000" w:themeColor="text1"/>
          <w:sz w:val="24"/>
          <w:szCs w:val="24"/>
        </w:rPr>
        <w:t>ought</w:t>
      </w:r>
      <w:r w:rsidR="00824A93">
        <w:rPr>
          <w:rFonts w:ascii="Arial" w:hAnsi="Arial" w:cs="Arial"/>
          <w:color w:val="000000" w:themeColor="text1"/>
          <w:sz w:val="24"/>
          <w:szCs w:val="24"/>
        </w:rPr>
        <w:t xml:space="preserve"> </w:t>
      </w:r>
      <w:r w:rsidR="005C2022" w:rsidRPr="007F7950">
        <w:rPr>
          <w:rFonts w:ascii="Arial" w:hAnsi="Arial" w:cs="Arial"/>
          <w:color w:val="000000" w:themeColor="text1"/>
          <w:sz w:val="24"/>
          <w:szCs w:val="24"/>
          <w:lang w:val="en-GB"/>
        </w:rPr>
        <w:t xml:space="preserve">wide-ranging relief </w:t>
      </w:r>
      <w:r w:rsidR="005C2022">
        <w:rPr>
          <w:rFonts w:ascii="Arial" w:hAnsi="Arial" w:cs="Arial"/>
          <w:sz w:val="24"/>
          <w:szCs w:val="24"/>
        </w:rPr>
        <w:t>from the four respondents</w:t>
      </w:r>
      <w:r w:rsidR="005C2022">
        <w:rPr>
          <w:rFonts w:ascii="Arial" w:hAnsi="Arial" w:cs="Arial"/>
          <w:color w:val="000000" w:themeColor="text1"/>
          <w:sz w:val="24"/>
          <w:szCs w:val="24"/>
          <w:lang w:val="en-GB"/>
        </w:rPr>
        <w:t xml:space="preserve">. </w:t>
      </w:r>
      <w:r w:rsidR="00E9281A" w:rsidRPr="00E9281A">
        <w:rPr>
          <w:rFonts w:ascii="Arial" w:hAnsi="Arial" w:cs="Arial"/>
          <w:color w:val="000000" w:themeColor="text1"/>
          <w:sz w:val="24"/>
          <w:szCs w:val="24"/>
          <w:lang w:val="en-ZA"/>
        </w:rPr>
        <w:t xml:space="preserve">It is not in dispute that </w:t>
      </w:r>
      <w:r w:rsidR="00824A93">
        <w:rPr>
          <w:rFonts w:ascii="Arial" w:hAnsi="Arial" w:cs="Arial"/>
          <w:color w:val="000000" w:themeColor="text1"/>
          <w:sz w:val="24"/>
          <w:szCs w:val="24"/>
          <w:lang w:val="en-ZA"/>
        </w:rPr>
        <w:t>specific</w:t>
      </w:r>
      <w:r w:rsidR="005C2022">
        <w:rPr>
          <w:rFonts w:ascii="Arial" w:hAnsi="Arial" w:cs="Arial"/>
          <w:color w:val="000000" w:themeColor="text1"/>
          <w:sz w:val="24"/>
          <w:szCs w:val="24"/>
          <w:lang w:val="en-GB"/>
        </w:rPr>
        <w:t xml:space="preserve"> relief </w:t>
      </w:r>
      <w:r w:rsidR="004F425B">
        <w:rPr>
          <w:rFonts w:ascii="Arial" w:hAnsi="Arial" w:cs="Arial"/>
          <w:color w:val="000000" w:themeColor="text1"/>
          <w:sz w:val="24"/>
          <w:szCs w:val="24"/>
          <w:lang w:val="en-GB"/>
        </w:rPr>
        <w:t xml:space="preserve">was </w:t>
      </w:r>
      <w:r w:rsidR="00E9281A">
        <w:rPr>
          <w:rFonts w:ascii="Arial" w:hAnsi="Arial" w:cs="Arial"/>
          <w:color w:val="000000" w:themeColor="text1"/>
          <w:sz w:val="24"/>
          <w:szCs w:val="24"/>
          <w:lang w:val="en-GB"/>
        </w:rPr>
        <w:t xml:space="preserve">directed at the </w:t>
      </w:r>
      <w:r w:rsidR="005C2022">
        <w:rPr>
          <w:rFonts w:ascii="Arial" w:hAnsi="Arial" w:cs="Arial"/>
          <w:color w:val="000000" w:themeColor="text1"/>
          <w:sz w:val="24"/>
          <w:szCs w:val="24"/>
          <w:lang w:val="en-GB"/>
        </w:rPr>
        <w:t xml:space="preserve">Minister, </w:t>
      </w:r>
      <w:r w:rsidR="004F425B">
        <w:rPr>
          <w:rFonts w:ascii="Arial" w:hAnsi="Arial" w:cs="Arial"/>
          <w:color w:val="000000" w:themeColor="text1"/>
          <w:sz w:val="24"/>
          <w:szCs w:val="24"/>
          <w:lang w:val="en-GB"/>
        </w:rPr>
        <w:t xml:space="preserve">the </w:t>
      </w:r>
      <w:r w:rsidR="005C2022">
        <w:rPr>
          <w:rFonts w:ascii="Arial" w:hAnsi="Arial" w:cs="Arial"/>
          <w:color w:val="000000" w:themeColor="text1"/>
          <w:sz w:val="24"/>
          <w:szCs w:val="24"/>
          <w:lang w:val="en-GB"/>
        </w:rPr>
        <w:t>P</w:t>
      </w:r>
      <w:r w:rsidR="006828AC">
        <w:rPr>
          <w:rFonts w:ascii="Arial" w:hAnsi="Arial" w:cs="Arial"/>
          <w:color w:val="000000" w:themeColor="text1"/>
          <w:sz w:val="24"/>
          <w:szCs w:val="24"/>
          <w:lang w:val="en-GB"/>
        </w:rPr>
        <w:t xml:space="preserve">ermanent </w:t>
      </w:r>
      <w:r w:rsidR="005C2022">
        <w:rPr>
          <w:rFonts w:ascii="Arial" w:hAnsi="Arial" w:cs="Arial"/>
          <w:color w:val="000000" w:themeColor="text1"/>
          <w:sz w:val="24"/>
          <w:szCs w:val="24"/>
          <w:lang w:val="en-GB"/>
        </w:rPr>
        <w:t>S</w:t>
      </w:r>
      <w:r w:rsidR="006828AC">
        <w:rPr>
          <w:rFonts w:ascii="Arial" w:hAnsi="Arial" w:cs="Arial"/>
          <w:color w:val="000000" w:themeColor="text1"/>
          <w:sz w:val="24"/>
          <w:szCs w:val="24"/>
          <w:lang w:val="en-GB"/>
        </w:rPr>
        <w:t>ecretary</w:t>
      </w:r>
      <w:r w:rsidR="00183CC1">
        <w:rPr>
          <w:rFonts w:ascii="Arial" w:hAnsi="Arial" w:cs="Arial"/>
          <w:color w:val="000000" w:themeColor="text1"/>
          <w:sz w:val="24"/>
          <w:szCs w:val="24"/>
          <w:lang w:val="en-GB"/>
        </w:rPr>
        <w:t xml:space="preserve"> and </w:t>
      </w:r>
      <w:r w:rsidR="004F425B">
        <w:rPr>
          <w:rFonts w:ascii="Arial" w:hAnsi="Arial" w:cs="Arial"/>
          <w:color w:val="000000" w:themeColor="text1"/>
          <w:sz w:val="24"/>
          <w:szCs w:val="24"/>
          <w:lang w:val="en-GB"/>
        </w:rPr>
        <w:t xml:space="preserve">the </w:t>
      </w:r>
      <w:r w:rsidR="00183CC1">
        <w:rPr>
          <w:rFonts w:ascii="Arial" w:hAnsi="Arial" w:cs="Arial"/>
          <w:color w:val="000000" w:themeColor="text1"/>
          <w:sz w:val="24"/>
          <w:szCs w:val="24"/>
          <w:lang w:val="en-GB"/>
        </w:rPr>
        <w:t xml:space="preserve">Director. </w:t>
      </w:r>
      <w:r w:rsidR="006344A3">
        <w:rPr>
          <w:rFonts w:ascii="Arial" w:hAnsi="Arial" w:cs="Arial"/>
          <w:color w:val="000000" w:themeColor="text1"/>
          <w:sz w:val="24"/>
          <w:szCs w:val="24"/>
          <w:lang w:val="en-GB"/>
        </w:rPr>
        <w:t>It is common cause that</w:t>
      </w:r>
      <w:r w:rsidR="00824A93" w:rsidRPr="00824A93">
        <w:rPr>
          <w:rFonts w:ascii="Arial" w:hAnsi="Arial" w:cs="Arial"/>
          <w:color w:val="000000" w:themeColor="text1"/>
          <w:sz w:val="24"/>
          <w:szCs w:val="24"/>
          <w:lang w:val="en-ZA"/>
        </w:rPr>
        <w:t xml:space="preserve"> </w:t>
      </w:r>
      <w:r w:rsidR="00BA173B" w:rsidRPr="00BA173B">
        <w:rPr>
          <w:rFonts w:ascii="Arial" w:hAnsi="Arial" w:cs="Arial"/>
          <w:color w:val="000000" w:themeColor="text1"/>
          <w:sz w:val="24"/>
          <w:szCs w:val="24"/>
          <w:lang w:val="en-GB"/>
        </w:rPr>
        <w:t>the</w:t>
      </w:r>
      <w:r w:rsidR="006828AC">
        <w:rPr>
          <w:rFonts w:ascii="Arial" w:hAnsi="Arial" w:cs="Arial"/>
          <w:color w:val="000000" w:themeColor="text1"/>
          <w:sz w:val="24"/>
          <w:szCs w:val="24"/>
          <w:lang w:val="en-GB"/>
        </w:rPr>
        <w:t xml:space="preserve"> respondents </w:t>
      </w:r>
      <w:r w:rsidR="005C2022" w:rsidRPr="00F3087C">
        <w:rPr>
          <w:rFonts w:ascii="Arial" w:hAnsi="Arial" w:cs="Arial"/>
          <w:sz w:val="24"/>
          <w:szCs w:val="24"/>
          <w:lang w:val="en-GB"/>
        </w:rPr>
        <w:t xml:space="preserve">were not only joined to the review application but also participated in the proceedings before the court </w:t>
      </w:r>
      <w:r w:rsidR="005C2022" w:rsidRPr="00F3087C">
        <w:rPr>
          <w:rFonts w:ascii="Arial" w:hAnsi="Arial" w:cs="Arial"/>
          <w:i/>
          <w:sz w:val="24"/>
          <w:szCs w:val="24"/>
          <w:lang w:val="en-GB"/>
        </w:rPr>
        <w:t>a quo</w:t>
      </w:r>
      <w:r w:rsidR="005C2022" w:rsidRPr="00F3087C">
        <w:rPr>
          <w:rFonts w:ascii="Arial" w:hAnsi="Arial" w:cs="Arial"/>
          <w:sz w:val="24"/>
          <w:szCs w:val="24"/>
          <w:lang w:val="en-GB"/>
        </w:rPr>
        <w:t xml:space="preserve">. </w:t>
      </w:r>
      <w:r w:rsidR="009611A3">
        <w:rPr>
          <w:rFonts w:ascii="Arial" w:hAnsi="Arial" w:cs="Arial"/>
          <w:sz w:val="24"/>
          <w:szCs w:val="24"/>
        </w:rPr>
        <w:t xml:space="preserve">What it is not explained is why </w:t>
      </w:r>
      <w:r w:rsidR="005C6DB9">
        <w:rPr>
          <w:rFonts w:ascii="Arial" w:hAnsi="Arial" w:cs="Arial"/>
          <w:sz w:val="24"/>
          <w:szCs w:val="24"/>
          <w:lang w:val="en-GB"/>
        </w:rPr>
        <w:t>this point was</w:t>
      </w:r>
      <w:r w:rsidR="005C2022">
        <w:rPr>
          <w:rFonts w:ascii="Arial" w:hAnsi="Arial" w:cs="Arial"/>
          <w:sz w:val="24"/>
          <w:szCs w:val="24"/>
          <w:lang w:val="en-GB"/>
        </w:rPr>
        <w:t xml:space="preserve"> not raised </w:t>
      </w:r>
      <w:r w:rsidR="00F3087C">
        <w:rPr>
          <w:rFonts w:ascii="Arial" w:hAnsi="Arial" w:cs="Arial"/>
          <w:sz w:val="24"/>
          <w:szCs w:val="24"/>
          <w:lang w:val="en-GB"/>
        </w:rPr>
        <w:t>at the commencement of t</w:t>
      </w:r>
      <w:r w:rsidR="0011347F">
        <w:rPr>
          <w:rFonts w:ascii="Arial" w:hAnsi="Arial" w:cs="Arial"/>
          <w:sz w:val="24"/>
          <w:szCs w:val="24"/>
          <w:lang w:val="en-GB"/>
        </w:rPr>
        <w:t xml:space="preserve">he review </w:t>
      </w:r>
      <w:r w:rsidR="005C2022">
        <w:rPr>
          <w:rFonts w:ascii="Arial" w:hAnsi="Arial" w:cs="Arial"/>
          <w:sz w:val="24"/>
          <w:szCs w:val="24"/>
          <w:lang w:val="en-GB"/>
        </w:rPr>
        <w:t xml:space="preserve">proceedings between the same parties on the same </w:t>
      </w:r>
      <w:r w:rsidR="00F3087C">
        <w:rPr>
          <w:rFonts w:ascii="Arial" w:hAnsi="Arial" w:cs="Arial"/>
          <w:sz w:val="24"/>
          <w:szCs w:val="24"/>
          <w:lang w:val="en-GB"/>
        </w:rPr>
        <w:t xml:space="preserve">issues. </w:t>
      </w:r>
      <w:r w:rsidR="005C2022" w:rsidRPr="00DA3A25">
        <w:rPr>
          <w:rFonts w:ascii="Arial" w:hAnsi="Arial" w:cs="Arial"/>
          <w:sz w:val="24"/>
          <w:szCs w:val="24"/>
          <w:lang w:val="en-GB"/>
        </w:rPr>
        <w:t xml:space="preserve">I am </w:t>
      </w:r>
      <w:r w:rsidR="00625CCE">
        <w:rPr>
          <w:rFonts w:ascii="Arial" w:hAnsi="Arial" w:cs="Arial"/>
          <w:sz w:val="24"/>
          <w:szCs w:val="24"/>
          <w:lang w:val="en-GB"/>
        </w:rPr>
        <w:t>p</w:t>
      </w:r>
      <w:r w:rsidR="00C90E07">
        <w:rPr>
          <w:rFonts w:ascii="Arial" w:hAnsi="Arial" w:cs="Arial"/>
          <w:sz w:val="24"/>
          <w:szCs w:val="24"/>
          <w:lang w:val="en-GB"/>
        </w:rPr>
        <w:t>ersuaded</w:t>
      </w:r>
      <w:r w:rsidR="006344A3">
        <w:rPr>
          <w:rFonts w:ascii="Arial" w:hAnsi="Arial" w:cs="Arial"/>
          <w:sz w:val="24"/>
          <w:szCs w:val="24"/>
          <w:lang w:val="en-GB"/>
        </w:rPr>
        <w:t xml:space="preserve"> that in the circumstances of this matter,</w:t>
      </w:r>
      <w:r w:rsidR="005C2022" w:rsidRPr="00DA3A25">
        <w:rPr>
          <w:rFonts w:ascii="Arial" w:hAnsi="Arial" w:cs="Arial"/>
          <w:sz w:val="24"/>
          <w:szCs w:val="24"/>
          <w:lang w:val="en-GB"/>
        </w:rPr>
        <w:t xml:space="preserve"> the Minister, </w:t>
      </w:r>
      <w:r w:rsidR="005C2022">
        <w:rPr>
          <w:rFonts w:ascii="Arial" w:hAnsi="Arial" w:cs="Arial"/>
          <w:sz w:val="24"/>
          <w:szCs w:val="24"/>
          <w:lang w:val="en-GB"/>
        </w:rPr>
        <w:t xml:space="preserve">the Permanent Secretary </w:t>
      </w:r>
      <w:r w:rsidR="005C2022" w:rsidRPr="00DA3A25">
        <w:rPr>
          <w:rFonts w:ascii="Arial" w:hAnsi="Arial" w:cs="Arial"/>
          <w:sz w:val="24"/>
          <w:szCs w:val="24"/>
          <w:lang w:val="en-GB"/>
        </w:rPr>
        <w:t xml:space="preserve">and </w:t>
      </w:r>
      <w:r w:rsidR="005C2022">
        <w:rPr>
          <w:rFonts w:ascii="Arial" w:hAnsi="Arial" w:cs="Arial"/>
          <w:sz w:val="24"/>
          <w:szCs w:val="24"/>
          <w:lang w:val="en-GB"/>
        </w:rPr>
        <w:t xml:space="preserve">the </w:t>
      </w:r>
      <w:r w:rsidR="005C2022" w:rsidRPr="00DA3A25">
        <w:rPr>
          <w:rFonts w:ascii="Arial" w:hAnsi="Arial" w:cs="Arial"/>
          <w:sz w:val="24"/>
          <w:szCs w:val="24"/>
          <w:lang w:val="en-GB"/>
        </w:rPr>
        <w:t>Director have</w:t>
      </w:r>
      <w:r w:rsidR="005C2022" w:rsidRPr="00DA3A25">
        <w:rPr>
          <w:rFonts w:ascii="Arial" w:hAnsi="Arial" w:cs="Arial"/>
          <w:sz w:val="24"/>
          <w:szCs w:val="24"/>
        </w:rPr>
        <w:t xml:space="preserve"> a direct and substantial interest in these proceedings and that their interests will</w:t>
      </w:r>
      <w:r w:rsidR="005C2022">
        <w:rPr>
          <w:rFonts w:ascii="Arial" w:hAnsi="Arial" w:cs="Arial"/>
          <w:sz w:val="24"/>
          <w:szCs w:val="24"/>
        </w:rPr>
        <w:t xml:space="preserve"> </w:t>
      </w:r>
      <w:r w:rsidR="005C2022" w:rsidRPr="00DA3A25">
        <w:rPr>
          <w:rFonts w:ascii="Arial" w:hAnsi="Arial" w:cs="Arial"/>
          <w:sz w:val="24"/>
          <w:szCs w:val="24"/>
        </w:rPr>
        <w:t>undeniabl</w:t>
      </w:r>
      <w:r w:rsidR="005C2022">
        <w:rPr>
          <w:rFonts w:ascii="Arial" w:hAnsi="Arial" w:cs="Arial"/>
          <w:sz w:val="24"/>
          <w:szCs w:val="24"/>
        </w:rPr>
        <w:t>y</w:t>
      </w:r>
      <w:r w:rsidR="005C2022" w:rsidRPr="00DA3A25">
        <w:rPr>
          <w:rFonts w:ascii="Arial" w:hAnsi="Arial" w:cs="Arial"/>
          <w:sz w:val="24"/>
          <w:szCs w:val="24"/>
        </w:rPr>
        <w:t xml:space="preserve"> be affected</w:t>
      </w:r>
      <w:r w:rsidR="00255332">
        <w:rPr>
          <w:rFonts w:ascii="Arial" w:hAnsi="Arial" w:cs="Arial"/>
          <w:sz w:val="24"/>
          <w:szCs w:val="24"/>
        </w:rPr>
        <w:t xml:space="preserve"> by such proceedings. As such they were therefore properly joined as interested parties</w:t>
      </w:r>
      <w:r w:rsidR="005C2022" w:rsidRPr="00DA3A25">
        <w:rPr>
          <w:rFonts w:ascii="Arial" w:hAnsi="Arial" w:cs="Arial"/>
          <w:sz w:val="24"/>
          <w:szCs w:val="24"/>
        </w:rPr>
        <w:t>.</w:t>
      </w:r>
      <w:r w:rsidR="00BD6694">
        <w:rPr>
          <w:rFonts w:ascii="Arial" w:hAnsi="Arial" w:cs="Arial"/>
          <w:sz w:val="24"/>
          <w:szCs w:val="24"/>
        </w:rPr>
        <w:t xml:space="preserve"> The point of misjoinder was argued as part of the process of arguing the appeal on the merits and not much time was spent on it.</w:t>
      </w:r>
    </w:p>
    <w:p w:rsidR="007A2682" w:rsidRDefault="007A2682" w:rsidP="00B90190">
      <w:pPr>
        <w:spacing w:after="0" w:line="480" w:lineRule="auto"/>
        <w:jc w:val="both"/>
        <w:rPr>
          <w:rFonts w:ascii="Arial" w:hAnsi="Arial" w:cs="Arial"/>
          <w:sz w:val="24"/>
          <w:szCs w:val="24"/>
        </w:rPr>
      </w:pPr>
    </w:p>
    <w:p w:rsidR="005918D9" w:rsidRPr="00625CCE" w:rsidRDefault="007A2682" w:rsidP="00B90190">
      <w:pPr>
        <w:spacing w:after="0" w:line="480" w:lineRule="auto"/>
        <w:jc w:val="both"/>
        <w:rPr>
          <w:rFonts w:ascii="Arial" w:hAnsi="Arial" w:cs="Arial"/>
          <w:i/>
          <w:color w:val="000000" w:themeColor="text1"/>
          <w:sz w:val="24"/>
          <w:szCs w:val="24"/>
          <w:lang w:val="en-GB"/>
        </w:rPr>
      </w:pPr>
      <w:r w:rsidRPr="00625CCE">
        <w:rPr>
          <w:rFonts w:ascii="Arial" w:hAnsi="Arial" w:cs="Arial"/>
          <w:i/>
          <w:color w:val="000000" w:themeColor="text1"/>
          <w:sz w:val="24"/>
          <w:szCs w:val="24"/>
          <w:lang w:val="en-GB"/>
        </w:rPr>
        <w:t>Incompetent relief</w:t>
      </w:r>
    </w:p>
    <w:p w:rsidR="00D72712" w:rsidRDefault="0079405C" w:rsidP="00B90190">
      <w:pPr>
        <w:spacing w:after="0" w:line="480" w:lineRule="auto"/>
        <w:jc w:val="both"/>
        <w:rPr>
          <w:rFonts w:ascii="Arial" w:hAnsi="Arial" w:cs="Arial"/>
          <w:sz w:val="24"/>
          <w:szCs w:val="24"/>
          <w:lang w:val="en-GB"/>
        </w:rPr>
      </w:pPr>
      <w:r>
        <w:rPr>
          <w:rFonts w:ascii="Arial" w:hAnsi="Arial" w:cs="Arial"/>
          <w:color w:val="000000" w:themeColor="text1"/>
          <w:sz w:val="24"/>
          <w:szCs w:val="24"/>
          <w:lang w:val="en-GB"/>
        </w:rPr>
        <w:t>[18</w:t>
      </w:r>
      <w:r w:rsidR="005C2022">
        <w:rPr>
          <w:rFonts w:ascii="Arial" w:hAnsi="Arial" w:cs="Arial"/>
          <w:color w:val="000000" w:themeColor="text1"/>
          <w:sz w:val="24"/>
          <w:szCs w:val="24"/>
          <w:lang w:val="en-GB"/>
        </w:rPr>
        <w:t>]</w:t>
      </w:r>
      <w:r w:rsidR="006C1E54">
        <w:rPr>
          <w:rFonts w:ascii="Arial" w:hAnsi="Arial" w:cs="Arial"/>
          <w:color w:val="000000" w:themeColor="text1"/>
          <w:sz w:val="24"/>
          <w:szCs w:val="24"/>
          <w:lang w:val="en-GB"/>
        </w:rPr>
        <w:tab/>
      </w:r>
      <w:r w:rsidR="007A2682">
        <w:rPr>
          <w:rFonts w:ascii="Arial" w:hAnsi="Arial" w:cs="Arial"/>
          <w:color w:val="000000" w:themeColor="text1"/>
          <w:sz w:val="24"/>
          <w:szCs w:val="24"/>
          <w:lang w:val="en-GB"/>
        </w:rPr>
        <w:t>Counsel for the respondents,</w:t>
      </w:r>
      <w:r w:rsidR="005C2022">
        <w:rPr>
          <w:rFonts w:ascii="Arial" w:hAnsi="Arial" w:cs="Arial"/>
          <w:sz w:val="24"/>
          <w:szCs w:val="24"/>
          <w:lang w:val="en-GB"/>
        </w:rPr>
        <w:t xml:space="preserve"> </w:t>
      </w:r>
      <w:r w:rsidR="005C2022" w:rsidRPr="00E04885">
        <w:rPr>
          <w:rFonts w:ascii="Arial" w:hAnsi="Arial" w:cs="Arial"/>
          <w:sz w:val="24"/>
          <w:szCs w:val="24"/>
          <w:lang w:val="en-GB"/>
        </w:rPr>
        <w:t>s</w:t>
      </w:r>
      <w:r w:rsidR="005C2022">
        <w:rPr>
          <w:rFonts w:ascii="Arial" w:hAnsi="Arial" w:cs="Arial"/>
          <w:sz w:val="24"/>
          <w:szCs w:val="24"/>
          <w:lang w:val="en-GB"/>
        </w:rPr>
        <w:t>ubmitted</w:t>
      </w:r>
      <w:r w:rsidR="005C2022" w:rsidRPr="00E04885">
        <w:rPr>
          <w:rFonts w:ascii="Arial" w:hAnsi="Arial" w:cs="Arial"/>
          <w:sz w:val="24"/>
          <w:szCs w:val="24"/>
          <w:lang w:val="en-GB"/>
        </w:rPr>
        <w:t xml:space="preserve"> that </w:t>
      </w:r>
      <w:r w:rsidR="00DF3C1F">
        <w:rPr>
          <w:rFonts w:ascii="Arial" w:hAnsi="Arial" w:cs="Arial"/>
          <w:sz w:val="24"/>
          <w:szCs w:val="24"/>
          <w:lang w:val="en-GB"/>
        </w:rPr>
        <w:t xml:space="preserve">it </w:t>
      </w:r>
      <w:r w:rsidR="00255332">
        <w:rPr>
          <w:rFonts w:ascii="Arial" w:hAnsi="Arial" w:cs="Arial"/>
          <w:sz w:val="24"/>
          <w:szCs w:val="24"/>
          <w:lang w:val="en-GB"/>
        </w:rPr>
        <w:t>wa</w:t>
      </w:r>
      <w:r w:rsidR="00DF3C1F">
        <w:rPr>
          <w:rFonts w:ascii="Arial" w:hAnsi="Arial" w:cs="Arial"/>
          <w:sz w:val="24"/>
          <w:szCs w:val="24"/>
          <w:lang w:val="en-GB"/>
        </w:rPr>
        <w:t xml:space="preserve">s incompetent for the </w:t>
      </w:r>
      <w:r w:rsidR="00D72712">
        <w:rPr>
          <w:rFonts w:ascii="Arial" w:hAnsi="Arial" w:cs="Arial"/>
          <w:sz w:val="24"/>
          <w:szCs w:val="24"/>
          <w:lang w:val="en-GB"/>
        </w:rPr>
        <w:t xml:space="preserve">appellant to </w:t>
      </w:r>
      <w:r w:rsidR="00DF3C1F">
        <w:rPr>
          <w:rFonts w:ascii="Arial" w:hAnsi="Arial" w:cs="Arial"/>
          <w:sz w:val="24"/>
          <w:szCs w:val="24"/>
          <w:lang w:val="en-GB"/>
        </w:rPr>
        <w:t xml:space="preserve">seek relief against the decision of the </w:t>
      </w:r>
      <w:r w:rsidR="00255332">
        <w:rPr>
          <w:rFonts w:ascii="Arial" w:hAnsi="Arial" w:cs="Arial"/>
          <w:sz w:val="24"/>
          <w:szCs w:val="24"/>
          <w:lang w:val="en-GB"/>
        </w:rPr>
        <w:t>M</w:t>
      </w:r>
      <w:r w:rsidR="00F028C0">
        <w:rPr>
          <w:rFonts w:ascii="Arial" w:hAnsi="Arial" w:cs="Arial"/>
          <w:sz w:val="24"/>
          <w:szCs w:val="24"/>
          <w:lang w:val="en-GB"/>
        </w:rPr>
        <w:t xml:space="preserve">inistry's </w:t>
      </w:r>
      <w:r w:rsidR="00255332">
        <w:rPr>
          <w:rFonts w:ascii="Arial" w:hAnsi="Arial" w:cs="Arial"/>
          <w:sz w:val="24"/>
          <w:szCs w:val="24"/>
          <w:lang w:val="en-GB"/>
        </w:rPr>
        <w:t>T</w:t>
      </w:r>
      <w:r w:rsidR="00F028C0">
        <w:rPr>
          <w:rFonts w:ascii="Arial" w:hAnsi="Arial" w:cs="Arial"/>
          <w:sz w:val="24"/>
          <w:szCs w:val="24"/>
          <w:lang w:val="en-GB"/>
        </w:rPr>
        <w:t xml:space="preserve">ender </w:t>
      </w:r>
      <w:r w:rsidR="00255332">
        <w:rPr>
          <w:rFonts w:ascii="Arial" w:hAnsi="Arial" w:cs="Arial"/>
          <w:sz w:val="24"/>
          <w:szCs w:val="24"/>
          <w:lang w:val="en-GB"/>
        </w:rPr>
        <w:t>C</w:t>
      </w:r>
      <w:r w:rsidR="00F028C0">
        <w:rPr>
          <w:rFonts w:ascii="Arial" w:hAnsi="Arial" w:cs="Arial"/>
          <w:sz w:val="24"/>
          <w:szCs w:val="24"/>
          <w:lang w:val="en-GB"/>
        </w:rPr>
        <w:t>ommittee</w:t>
      </w:r>
      <w:r w:rsidR="00255332">
        <w:rPr>
          <w:rFonts w:ascii="Arial" w:hAnsi="Arial" w:cs="Arial"/>
          <w:sz w:val="24"/>
          <w:szCs w:val="24"/>
          <w:lang w:val="en-GB"/>
        </w:rPr>
        <w:t xml:space="preserve"> to make </w:t>
      </w:r>
      <w:r w:rsidR="003E0222">
        <w:rPr>
          <w:rFonts w:ascii="Arial" w:hAnsi="Arial" w:cs="Arial"/>
          <w:sz w:val="24"/>
          <w:szCs w:val="24"/>
          <w:lang w:val="en-GB"/>
        </w:rPr>
        <w:t>re</w:t>
      </w:r>
      <w:r w:rsidR="00F028C0">
        <w:rPr>
          <w:rFonts w:ascii="Arial" w:hAnsi="Arial" w:cs="Arial"/>
          <w:sz w:val="24"/>
          <w:szCs w:val="24"/>
          <w:lang w:val="en-GB"/>
        </w:rPr>
        <w:t>com</w:t>
      </w:r>
      <w:r w:rsidR="00240A19">
        <w:rPr>
          <w:rFonts w:ascii="Arial" w:hAnsi="Arial" w:cs="Arial"/>
          <w:sz w:val="24"/>
          <w:szCs w:val="24"/>
          <w:lang w:val="en-GB"/>
        </w:rPr>
        <w:t>mendations to the Tender Board</w:t>
      </w:r>
      <w:r w:rsidR="00255332">
        <w:rPr>
          <w:rFonts w:ascii="Arial" w:hAnsi="Arial" w:cs="Arial"/>
          <w:sz w:val="24"/>
          <w:szCs w:val="24"/>
          <w:lang w:val="en-GB"/>
        </w:rPr>
        <w:t>,</w:t>
      </w:r>
      <w:r w:rsidR="00240A19">
        <w:rPr>
          <w:rFonts w:ascii="Arial" w:hAnsi="Arial" w:cs="Arial"/>
          <w:sz w:val="24"/>
          <w:szCs w:val="24"/>
          <w:lang w:val="en-GB"/>
        </w:rPr>
        <w:t xml:space="preserve"> because that decision is not </w:t>
      </w:r>
      <w:r w:rsidR="00C27674">
        <w:rPr>
          <w:rFonts w:ascii="Arial" w:hAnsi="Arial" w:cs="Arial"/>
          <w:sz w:val="24"/>
          <w:szCs w:val="24"/>
          <w:lang w:val="en-GB"/>
        </w:rPr>
        <w:t xml:space="preserve">an </w:t>
      </w:r>
      <w:r w:rsidR="00240A19">
        <w:rPr>
          <w:rFonts w:ascii="Arial" w:hAnsi="Arial" w:cs="Arial"/>
          <w:sz w:val="24"/>
          <w:szCs w:val="24"/>
          <w:lang w:val="en-GB"/>
        </w:rPr>
        <w:t>administrative action subject to judicial review.</w:t>
      </w:r>
    </w:p>
    <w:p w:rsidR="005C2022" w:rsidRDefault="00D72712" w:rsidP="00B90190">
      <w:pPr>
        <w:spacing w:after="0" w:line="480" w:lineRule="auto"/>
        <w:jc w:val="both"/>
        <w:rPr>
          <w:rFonts w:ascii="Arial" w:hAnsi="Arial" w:cs="Arial"/>
          <w:sz w:val="24"/>
          <w:szCs w:val="24"/>
          <w:lang w:val="en-GB"/>
        </w:rPr>
      </w:pPr>
      <w:r>
        <w:rPr>
          <w:rFonts w:ascii="Arial" w:hAnsi="Arial" w:cs="Arial"/>
          <w:sz w:val="24"/>
          <w:szCs w:val="24"/>
          <w:lang w:val="en-GB"/>
        </w:rPr>
        <w:lastRenderedPageBreak/>
        <w:t>[</w:t>
      </w:r>
      <w:r w:rsidR="0079405C">
        <w:rPr>
          <w:rFonts w:ascii="Arial" w:hAnsi="Arial" w:cs="Arial"/>
          <w:sz w:val="24"/>
          <w:szCs w:val="24"/>
          <w:lang w:val="en-GB"/>
        </w:rPr>
        <w:t>19</w:t>
      </w:r>
      <w:r>
        <w:rPr>
          <w:rFonts w:ascii="Arial" w:hAnsi="Arial" w:cs="Arial"/>
          <w:sz w:val="24"/>
          <w:szCs w:val="24"/>
          <w:lang w:val="en-GB"/>
        </w:rPr>
        <w:t>]</w:t>
      </w:r>
      <w:r>
        <w:rPr>
          <w:rFonts w:ascii="Arial" w:hAnsi="Arial" w:cs="Arial"/>
          <w:sz w:val="24"/>
          <w:szCs w:val="24"/>
          <w:lang w:val="en-GB"/>
        </w:rPr>
        <w:tab/>
      </w:r>
      <w:r w:rsidR="005C2022">
        <w:rPr>
          <w:rFonts w:ascii="Arial" w:hAnsi="Arial" w:cs="Arial"/>
          <w:sz w:val="24"/>
          <w:szCs w:val="24"/>
          <w:lang w:val="en-GB"/>
        </w:rPr>
        <w:t xml:space="preserve">In order to </w:t>
      </w:r>
      <w:r w:rsidR="00255332">
        <w:rPr>
          <w:rFonts w:ascii="Arial" w:hAnsi="Arial" w:cs="Arial"/>
          <w:sz w:val="24"/>
          <w:szCs w:val="24"/>
          <w:lang w:val="en-GB"/>
        </w:rPr>
        <w:t xml:space="preserve">fully </w:t>
      </w:r>
      <w:r w:rsidR="005C2022">
        <w:rPr>
          <w:rFonts w:ascii="Arial" w:hAnsi="Arial" w:cs="Arial"/>
          <w:sz w:val="24"/>
          <w:szCs w:val="24"/>
          <w:lang w:val="en-GB"/>
        </w:rPr>
        <w:t xml:space="preserve">appreciate the </w:t>
      </w:r>
      <w:r w:rsidR="00255332">
        <w:rPr>
          <w:rFonts w:ascii="Arial" w:hAnsi="Arial" w:cs="Arial"/>
          <w:sz w:val="24"/>
          <w:szCs w:val="24"/>
          <w:lang w:val="en-GB"/>
        </w:rPr>
        <w:t xml:space="preserve">conclusion </w:t>
      </w:r>
      <w:r w:rsidR="005C2022">
        <w:rPr>
          <w:rFonts w:ascii="Arial" w:hAnsi="Arial" w:cs="Arial"/>
          <w:sz w:val="24"/>
          <w:szCs w:val="24"/>
          <w:lang w:val="en-GB"/>
        </w:rPr>
        <w:t xml:space="preserve">I reach on this aspect, I deem it necessary to reproduce the </w:t>
      </w:r>
      <w:r w:rsidR="00255332">
        <w:rPr>
          <w:rFonts w:ascii="Arial" w:hAnsi="Arial" w:cs="Arial"/>
          <w:sz w:val="24"/>
          <w:szCs w:val="24"/>
          <w:lang w:val="en-GB"/>
        </w:rPr>
        <w:t xml:space="preserve">impugned </w:t>
      </w:r>
      <w:r w:rsidR="005C2022">
        <w:rPr>
          <w:rFonts w:ascii="Arial" w:hAnsi="Arial" w:cs="Arial"/>
          <w:sz w:val="24"/>
          <w:szCs w:val="24"/>
          <w:lang w:val="en-GB"/>
        </w:rPr>
        <w:t>prayer in its entirety</w:t>
      </w:r>
      <w:r w:rsidR="00255332">
        <w:rPr>
          <w:rFonts w:ascii="Arial" w:hAnsi="Arial" w:cs="Arial"/>
          <w:sz w:val="24"/>
          <w:szCs w:val="24"/>
          <w:lang w:val="en-GB"/>
        </w:rPr>
        <w:t>. I</w:t>
      </w:r>
      <w:r w:rsidR="005C2022">
        <w:rPr>
          <w:rFonts w:ascii="Arial" w:hAnsi="Arial" w:cs="Arial"/>
          <w:sz w:val="24"/>
          <w:szCs w:val="24"/>
          <w:lang w:val="en-GB"/>
        </w:rPr>
        <w:t xml:space="preserve">t </w:t>
      </w:r>
      <w:r w:rsidR="00C14A6C">
        <w:rPr>
          <w:rFonts w:ascii="Arial" w:hAnsi="Arial" w:cs="Arial"/>
          <w:sz w:val="24"/>
          <w:szCs w:val="24"/>
          <w:lang w:val="en-GB"/>
        </w:rPr>
        <w:t xml:space="preserve">is </w:t>
      </w:r>
      <w:r w:rsidR="00255332">
        <w:rPr>
          <w:rFonts w:ascii="Arial" w:hAnsi="Arial" w:cs="Arial"/>
          <w:sz w:val="24"/>
          <w:szCs w:val="24"/>
          <w:lang w:val="en-GB"/>
        </w:rPr>
        <w:t xml:space="preserve">formulated </w:t>
      </w:r>
      <w:r w:rsidR="005C2022">
        <w:rPr>
          <w:rFonts w:ascii="Arial" w:hAnsi="Arial" w:cs="Arial"/>
          <w:sz w:val="24"/>
          <w:szCs w:val="24"/>
          <w:lang w:val="en-GB"/>
        </w:rPr>
        <w:t>as follows:</w:t>
      </w:r>
    </w:p>
    <w:p w:rsidR="006C1E54" w:rsidRDefault="006C1E54" w:rsidP="00B90190">
      <w:pPr>
        <w:spacing w:after="0" w:line="480" w:lineRule="auto"/>
        <w:jc w:val="both"/>
        <w:rPr>
          <w:rFonts w:ascii="Arial" w:hAnsi="Arial" w:cs="Arial"/>
          <w:sz w:val="24"/>
          <w:szCs w:val="24"/>
          <w:lang w:val="en-GB"/>
        </w:rPr>
      </w:pPr>
    </w:p>
    <w:p w:rsidR="005C2022" w:rsidRDefault="009758ED" w:rsidP="0099756E">
      <w:pPr>
        <w:widowControl w:val="0"/>
        <w:autoSpaceDE w:val="0"/>
        <w:autoSpaceDN w:val="0"/>
        <w:adjustRightInd w:val="0"/>
        <w:spacing w:after="0" w:line="360" w:lineRule="auto"/>
        <w:ind w:left="720"/>
        <w:jc w:val="both"/>
        <w:rPr>
          <w:rFonts w:ascii="Arial" w:hAnsi="Arial" w:cs="Arial"/>
        </w:rPr>
      </w:pPr>
      <w:r>
        <w:rPr>
          <w:rFonts w:ascii="Arial" w:hAnsi="Arial" w:cs="Arial"/>
          <w:lang w:val="en-GB"/>
        </w:rPr>
        <w:t>‘</w:t>
      </w:r>
      <w:r w:rsidR="003A62D2">
        <w:rPr>
          <w:rFonts w:ascii="Arial" w:hAnsi="Arial" w:cs="Arial"/>
          <w:lang w:val="en-GB"/>
        </w:rPr>
        <w:t xml:space="preserve">Reviewing the decision by </w:t>
      </w:r>
      <w:r w:rsidR="005C2022" w:rsidRPr="00D50195">
        <w:rPr>
          <w:rFonts w:ascii="Arial" w:hAnsi="Arial" w:cs="Arial"/>
        </w:rPr>
        <w:t>the Ministry of Education</w:t>
      </w:r>
      <w:r w:rsidR="005C2022" w:rsidRPr="00D50195">
        <w:rPr>
          <w:rFonts w:ascii="Arial" w:hAnsi="Arial" w:cs="Arial"/>
          <w:b/>
        </w:rPr>
        <w:t xml:space="preserve"> </w:t>
      </w:r>
      <w:r w:rsidR="005C2022" w:rsidRPr="00D50195">
        <w:rPr>
          <w:rFonts w:ascii="Arial" w:hAnsi="Arial" w:cs="Arial"/>
        </w:rPr>
        <w:t xml:space="preserve">(MOE) Tender Committee </w:t>
      </w:r>
      <w:r w:rsidR="003A62D2">
        <w:rPr>
          <w:rFonts w:ascii="Arial" w:hAnsi="Arial" w:cs="Arial"/>
        </w:rPr>
        <w:t>chaired by fifth respondent reflected in the written recommendation dated</w:t>
      </w:r>
      <w:r w:rsidR="005C2022" w:rsidRPr="00D50195">
        <w:rPr>
          <w:rFonts w:ascii="Arial" w:hAnsi="Arial" w:cs="Arial"/>
        </w:rPr>
        <w:t xml:space="preserve"> 4 November 2013 </w:t>
      </w:r>
      <w:r w:rsidR="003A62D2">
        <w:rPr>
          <w:rFonts w:ascii="Arial" w:hAnsi="Arial" w:cs="Arial"/>
        </w:rPr>
        <w:t xml:space="preserve">(Annexure “ES1” to first respondent’s answering affidavit deposed to on 19 March 2014) to </w:t>
      </w:r>
      <w:r w:rsidR="005C2022" w:rsidRPr="00D50195">
        <w:rPr>
          <w:rFonts w:ascii="Arial" w:hAnsi="Arial" w:cs="Arial"/>
        </w:rPr>
        <w:t>recommend that the Tender Board award Tender A9-11/2009 for the Ohangwena/Oshikoto hostel catering region to Free Namibia Caterers C</w:t>
      </w:r>
      <w:r w:rsidR="00BE2849">
        <w:rPr>
          <w:rFonts w:ascii="Arial" w:hAnsi="Arial" w:cs="Arial"/>
        </w:rPr>
        <w:t>C</w:t>
      </w:r>
      <w:r w:rsidR="005C2022" w:rsidRPr="00D50195">
        <w:rPr>
          <w:rFonts w:ascii="Arial" w:hAnsi="Arial" w:cs="Arial"/>
        </w:rPr>
        <w:t xml:space="preserve"> for the period 1 October to 31 March 2014 and correct</w:t>
      </w:r>
      <w:r w:rsidR="003A62D2">
        <w:rPr>
          <w:rFonts w:ascii="Arial" w:hAnsi="Arial" w:cs="Arial"/>
        </w:rPr>
        <w:t>ing</w:t>
      </w:r>
      <w:r w:rsidR="005C2022" w:rsidRPr="00D50195">
        <w:rPr>
          <w:rFonts w:ascii="Arial" w:hAnsi="Arial" w:cs="Arial"/>
        </w:rPr>
        <w:t xml:space="preserve"> </w:t>
      </w:r>
      <w:r w:rsidR="003A62D2">
        <w:rPr>
          <w:rFonts w:ascii="Arial" w:hAnsi="Arial" w:cs="Arial"/>
        </w:rPr>
        <w:t>it to</w:t>
      </w:r>
      <w:r w:rsidR="005C2022" w:rsidRPr="00D50195">
        <w:rPr>
          <w:rFonts w:ascii="Arial" w:hAnsi="Arial" w:cs="Arial"/>
        </w:rPr>
        <w:t xml:space="preserve"> recommend the award of the tender for the period 10 January 2014 to 10 January 2019.</w:t>
      </w:r>
      <w:r>
        <w:rPr>
          <w:rFonts w:ascii="Arial" w:hAnsi="Arial" w:cs="Arial"/>
        </w:rPr>
        <w:t>’</w:t>
      </w:r>
    </w:p>
    <w:p w:rsidR="000A6780" w:rsidRPr="006C1E54" w:rsidRDefault="000A6780" w:rsidP="006C1E54">
      <w:pPr>
        <w:widowControl w:val="0"/>
        <w:autoSpaceDE w:val="0"/>
        <w:autoSpaceDN w:val="0"/>
        <w:adjustRightInd w:val="0"/>
        <w:spacing w:after="0" w:line="480" w:lineRule="auto"/>
        <w:ind w:left="720"/>
        <w:jc w:val="both"/>
        <w:rPr>
          <w:rFonts w:ascii="Arial" w:hAnsi="Arial" w:cs="Arial"/>
          <w:sz w:val="24"/>
          <w:szCs w:val="24"/>
        </w:rPr>
      </w:pPr>
    </w:p>
    <w:p w:rsidR="005C2022" w:rsidRDefault="005C2022" w:rsidP="00B90190">
      <w:pPr>
        <w:spacing w:after="0" w:line="480" w:lineRule="auto"/>
        <w:jc w:val="both"/>
        <w:rPr>
          <w:rFonts w:ascii="Arial" w:hAnsi="Arial" w:cs="Arial"/>
          <w:sz w:val="24"/>
          <w:szCs w:val="24"/>
        </w:rPr>
      </w:pPr>
      <w:r>
        <w:rPr>
          <w:rFonts w:ascii="Arial" w:hAnsi="Arial" w:cs="Arial"/>
          <w:sz w:val="24"/>
          <w:szCs w:val="24"/>
        </w:rPr>
        <w:t>[</w:t>
      </w:r>
      <w:r w:rsidR="00F028C0">
        <w:rPr>
          <w:rFonts w:ascii="Arial" w:hAnsi="Arial" w:cs="Arial"/>
          <w:sz w:val="24"/>
          <w:szCs w:val="24"/>
        </w:rPr>
        <w:t>2</w:t>
      </w:r>
      <w:r w:rsidR="0079405C">
        <w:rPr>
          <w:rFonts w:ascii="Arial" w:hAnsi="Arial" w:cs="Arial"/>
          <w:sz w:val="24"/>
          <w:szCs w:val="24"/>
        </w:rPr>
        <w:t>0</w:t>
      </w:r>
      <w:r>
        <w:rPr>
          <w:rFonts w:ascii="Arial" w:hAnsi="Arial" w:cs="Arial"/>
          <w:sz w:val="24"/>
          <w:szCs w:val="24"/>
        </w:rPr>
        <w:t>]</w:t>
      </w:r>
      <w:r>
        <w:rPr>
          <w:rFonts w:ascii="Arial" w:hAnsi="Arial" w:cs="Arial"/>
          <w:sz w:val="24"/>
          <w:szCs w:val="24"/>
        </w:rPr>
        <w:tab/>
      </w:r>
      <w:r w:rsidR="00C14A6C">
        <w:rPr>
          <w:rFonts w:ascii="Arial" w:hAnsi="Arial" w:cs="Arial"/>
          <w:sz w:val="24"/>
          <w:szCs w:val="24"/>
        </w:rPr>
        <w:t xml:space="preserve">The </w:t>
      </w:r>
      <w:r w:rsidR="003760B8">
        <w:rPr>
          <w:rFonts w:ascii="Arial" w:hAnsi="Arial" w:cs="Arial"/>
          <w:sz w:val="24"/>
          <w:szCs w:val="24"/>
        </w:rPr>
        <w:t xml:space="preserve">decision </w:t>
      </w:r>
      <w:r w:rsidR="00BE2849">
        <w:rPr>
          <w:rFonts w:ascii="Arial" w:hAnsi="Arial" w:cs="Arial"/>
          <w:sz w:val="24"/>
          <w:szCs w:val="24"/>
        </w:rPr>
        <w:t xml:space="preserve">in question </w:t>
      </w:r>
      <w:r w:rsidR="00BD6694">
        <w:rPr>
          <w:rFonts w:ascii="Arial" w:hAnsi="Arial" w:cs="Arial"/>
          <w:sz w:val="24"/>
          <w:szCs w:val="24"/>
        </w:rPr>
        <w:t xml:space="preserve">was made </w:t>
      </w:r>
      <w:r>
        <w:rPr>
          <w:rFonts w:ascii="Arial" w:hAnsi="Arial" w:cs="Arial"/>
          <w:sz w:val="24"/>
          <w:szCs w:val="24"/>
        </w:rPr>
        <w:t xml:space="preserve">in the following </w:t>
      </w:r>
      <w:r w:rsidR="00BD6694">
        <w:rPr>
          <w:rFonts w:ascii="Arial" w:hAnsi="Arial" w:cs="Arial"/>
          <w:sz w:val="24"/>
          <w:szCs w:val="24"/>
        </w:rPr>
        <w:t>context</w:t>
      </w:r>
      <w:r>
        <w:rPr>
          <w:rFonts w:ascii="Arial" w:hAnsi="Arial" w:cs="Arial"/>
          <w:sz w:val="24"/>
          <w:szCs w:val="24"/>
        </w:rPr>
        <w:t xml:space="preserve">. The </w:t>
      </w:r>
      <w:r w:rsidR="00C14A6C">
        <w:rPr>
          <w:rFonts w:ascii="Arial" w:hAnsi="Arial" w:cs="Arial"/>
          <w:sz w:val="24"/>
          <w:szCs w:val="24"/>
        </w:rPr>
        <w:t>Tender Board</w:t>
      </w:r>
      <w:r>
        <w:rPr>
          <w:rFonts w:ascii="Arial" w:hAnsi="Arial" w:cs="Arial"/>
          <w:sz w:val="24"/>
          <w:szCs w:val="24"/>
        </w:rPr>
        <w:t xml:space="preserve"> put up an advertisement calling </w:t>
      </w:r>
      <w:r w:rsidR="00A77290">
        <w:rPr>
          <w:rFonts w:ascii="Arial" w:hAnsi="Arial" w:cs="Arial"/>
          <w:sz w:val="24"/>
          <w:szCs w:val="24"/>
        </w:rPr>
        <w:t xml:space="preserve">for </w:t>
      </w:r>
      <w:r>
        <w:rPr>
          <w:rFonts w:ascii="Arial" w:hAnsi="Arial" w:cs="Arial"/>
          <w:sz w:val="24"/>
          <w:szCs w:val="24"/>
        </w:rPr>
        <w:t>public tender</w:t>
      </w:r>
      <w:r w:rsidR="00BD6694">
        <w:rPr>
          <w:rFonts w:ascii="Arial" w:hAnsi="Arial" w:cs="Arial"/>
          <w:sz w:val="24"/>
          <w:szCs w:val="24"/>
        </w:rPr>
        <w:t>s</w:t>
      </w:r>
      <w:r>
        <w:rPr>
          <w:rFonts w:ascii="Arial" w:hAnsi="Arial" w:cs="Arial"/>
          <w:sz w:val="24"/>
          <w:szCs w:val="24"/>
        </w:rPr>
        <w:t xml:space="preserve"> </w:t>
      </w:r>
      <w:r w:rsidR="00BD6694">
        <w:rPr>
          <w:rFonts w:ascii="Arial" w:hAnsi="Arial" w:cs="Arial"/>
          <w:sz w:val="24"/>
          <w:szCs w:val="24"/>
        </w:rPr>
        <w:t>f</w:t>
      </w:r>
      <w:r>
        <w:rPr>
          <w:rFonts w:ascii="Arial" w:hAnsi="Arial" w:cs="Arial"/>
          <w:sz w:val="24"/>
          <w:szCs w:val="24"/>
        </w:rPr>
        <w:t>o</w:t>
      </w:r>
      <w:r w:rsidR="00BD6694">
        <w:rPr>
          <w:rFonts w:ascii="Arial" w:hAnsi="Arial" w:cs="Arial"/>
          <w:sz w:val="24"/>
          <w:szCs w:val="24"/>
        </w:rPr>
        <w:t>r</w:t>
      </w:r>
      <w:r>
        <w:rPr>
          <w:rFonts w:ascii="Arial" w:hAnsi="Arial" w:cs="Arial"/>
          <w:sz w:val="24"/>
          <w:szCs w:val="24"/>
        </w:rPr>
        <w:t xml:space="preserve"> </w:t>
      </w:r>
      <w:r w:rsidR="00BD6694">
        <w:rPr>
          <w:rFonts w:ascii="Arial" w:hAnsi="Arial" w:cs="Arial"/>
          <w:sz w:val="24"/>
          <w:szCs w:val="24"/>
        </w:rPr>
        <w:t xml:space="preserve">the rendering of </w:t>
      </w:r>
      <w:r>
        <w:rPr>
          <w:rFonts w:ascii="Arial" w:hAnsi="Arial" w:cs="Arial"/>
          <w:sz w:val="24"/>
          <w:szCs w:val="24"/>
        </w:rPr>
        <w:t xml:space="preserve">catering services to government school hostels countrywide. Once the tenders were received, the </w:t>
      </w:r>
      <w:r w:rsidR="00A77290">
        <w:rPr>
          <w:rFonts w:ascii="Arial" w:hAnsi="Arial" w:cs="Arial"/>
          <w:sz w:val="24"/>
          <w:szCs w:val="24"/>
        </w:rPr>
        <w:t>Ministry of Education’s T</w:t>
      </w:r>
      <w:r>
        <w:rPr>
          <w:rFonts w:ascii="Arial" w:hAnsi="Arial" w:cs="Arial"/>
          <w:sz w:val="24"/>
          <w:szCs w:val="24"/>
        </w:rPr>
        <w:t xml:space="preserve">ender </w:t>
      </w:r>
      <w:r w:rsidR="00A77290">
        <w:rPr>
          <w:rFonts w:ascii="Arial" w:hAnsi="Arial" w:cs="Arial"/>
          <w:sz w:val="24"/>
          <w:szCs w:val="24"/>
        </w:rPr>
        <w:t>C</w:t>
      </w:r>
      <w:r>
        <w:rPr>
          <w:rFonts w:ascii="Arial" w:hAnsi="Arial" w:cs="Arial"/>
          <w:sz w:val="24"/>
          <w:szCs w:val="24"/>
        </w:rPr>
        <w:t>ommittee assessed the tenders and then made</w:t>
      </w:r>
      <w:r w:rsidRPr="00286C2A">
        <w:rPr>
          <w:rFonts w:ascii="Arial" w:hAnsi="Arial" w:cs="Arial"/>
          <w:sz w:val="24"/>
          <w:szCs w:val="24"/>
        </w:rPr>
        <w:t xml:space="preserve"> recommendations to </w:t>
      </w:r>
      <w:r>
        <w:rPr>
          <w:rFonts w:ascii="Arial" w:hAnsi="Arial" w:cs="Arial"/>
          <w:sz w:val="24"/>
          <w:szCs w:val="24"/>
        </w:rPr>
        <w:t>the Tende</w:t>
      </w:r>
      <w:r w:rsidR="003760B8">
        <w:rPr>
          <w:rFonts w:ascii="Arial" w:hAnsi="Arial" w:cs="Arial"/>
          <w:sz w:val="24"/>
          <w:szCs w:val="24"/>
        </w:rPr>
        <w:t>r Board</w:t>
      </w:r>
      <w:r>
        <w:rPr>
          <w:rFonts w:ascii="Arial" w:hAnsi="Arial" w:cs="Arial"/>
          <w:sz w:val="24"/>
          <w:szCs w:val="24"/>
        </w:rPr>
        <w:t xml:space="preserve">. The Tender Board </w:t>
      </w:r>
      <w:r w:rsidR="00A77290">
        <w:rPr>
          <w:rFonts w:ascii="Arial" w:hAnsi="Arial" w:cs="Arial"/>
          <w:sz w:val="24"/>
          <w:szCs w:val="24"/>
        </w:rPr>
        <w:t xml:space="preserve">in turn </w:t>
      </w:r>
      <w:r>
        <w:rPr>
          <w:rFonts w:ascii="Arial" w:hAnsi="Arial" w:cs="Arial"/>
          <w:sz w:val="24"/>
          <w:szCs w:val="24"/>
        </w:rPr>
        <w:t>assessed</w:t>
      </w:r>
      <w:r w:rsidRPr="00286C2A">
        <w:rPr>
          <w:rFonts w:ascii="Arial" w:hAnsi="Arial" w:cs="Arial"/>
          <w:sz w:val="24"/>
          <w:szCs w:val="24"/>
        </w:rPr>
        <w:t xml:space="preserve"> the recommendations made to it and award</w:t>
      </w:r>
      <w:r w:rsidR="00A77290">
        <w:rPr>
          <w:rFonts w:ascii="Arial" w:hAnsi="Arial" w:cs="Arial"/>
          <w:sz w:val="24"/>
          <w:szCs w:val="24"/>
        </w:rPr>
        <w:t>ed</w:t>
      </w:r>
      <w:r w:rsidRPr="00286C2A">
        <w:rPr>
          <w:rFonts w:ascii="Arial" w:hAnsi="Arial" w:cs="Arial"/>
          <w:sz w:val="24"/>
          <w:szCs w:val="24"/>
        </w:rPr>
        <w:t xml:space="preserve"> the tender.</w:t>
      </w:r>
    </w:p>
    <w:p w:rsidR="0099735D" w:rsidRDefault="0099735D" w:rsidP="00B90190">
      <w:pPr>
        <w:spacing w:after="0" w:line="480" w:lineRule="auto"/>
        <w:jc w:val="both"/>
        <w:rPr>
          <w:rFonts w:ascii="Arial" w:hAnsi="Arial" w:cs="Arial"/>
          <w:color w:val="000000" w:themeColor="text1"/>
          <w:sz w:val="24"/>
          <w:szCs w:val="24"/>
          <w:lang w:val="en-GB"/>
        </w:rPr>
      </w:pPr>
    </w:p>
    <w:p w:rsidR="005C2022" w:rsidRDefault="005C2022"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[2</w:t>
      </w:r>
      <w:r w:rsidR="0079405C">
        <w:rPr>
          <w:rFonts w:ascii="Arial" w:hAnsi="Arial" w:cs="Arial"/>
          <w:color w:val="000000" w:themeColor="text1"/>
          <w:sz w:val="24"/>
          <w:szCs w:val="24"/>
          <w:lang w:val="en-GB"/>
        </w:rPr>
        <w:t>1</w:t>
      </w:r>
      <w:r>
        <w:rPr>
          <w:rFonts w:ascii="Arial" w:hAnsi="Arial" w:cs="Arial"/>
          <w:color w:val="000000" w:themeColor="text1"/>
          <w:sz w:val="24"/>
          <w:szCs w:val="24"/>
          <w:lang w:val="en-GB"/>
        </w:rPr>
        <w:t>]</w:t>
      </w:r>
      <w:r>
        <w:rPr>
          <w:rFonts w:ascii="Arial" w:hAnsi="Arial" w:cs="Arial"/>
          <w:color w:val="000000" w:themeColor="text1"/>
          <w:sz w:val="24"/>
          <w:szCs w:val="24"/>
          <w:lang w:val="en-GB"/>
        </w:rPr>
        <w:tab/>
        <w:t xml:space="preserve">The decision-making process noted above demonstrates that the </w:t>
      </w:r>
      <w:r w:rsidR="00A77290">
        <w:rPr>
          <w:rFonts w:ascii="Arial" w:hAnsi="Arial" w:cs="Arial"/>
          <w:color w:val="000000" w:themeColor="text1"/>
          <w:sz w:val="24"/>
          <w:szCs w:val="24"/>
          <w:lang w:val="en-GB"/>
        </w:rPr>
        <w:t>T</w:t>
      </w:r>
      <w:r w:rsidRPr="00E9351D">
        <w:rPr>
          <w:rFonts w:ascii="Arial" w:hAnsi="Arial" w:cs="Arial"/>
          <w:color w:val="000000" w:themeColor="text1"/>
          <w:sz w:val="24"/>
          <w:szCs w:val="24"/>
          <w:lang w:val="en-GB"/>
        </w:rPr>
        <w:t xml:space="preserve">ender </w:t>
      </w:r>
      <w:r w:rsidR="00A77290">
        <w:rPr>
          <w:rFonts w:ascii="Arial" w:hAnsi="Arial" w:cs="Arial"/>
          <w:color w:val="000000" w:themeColor="text1"/>
          <w:sz w:val="24"/>
          <w:szCs w:val="24"/>
          <w:lang w:val="en-GB"/>
        </w:rPr>
        <w:t>C</w:t>
      </w:r>
      <w:r w:rsidRPr="00E9351D">
        <w:rPr>
          <w:rFonts w:ascii="Arial" w:hAnsi="Arial" w:cs="Arial"/>
          <w:color w:val="000000" w:themeColor="text1"/>
          <w:sz w:val="24"/>
          <w:szCs w:val="24"/>
          <w:lang w:val="en-GB"/>
        </w:rPr>
        <w:t xml:space="preserve">ommittee </w:t>
      </w:r>
      <w:r>
        <w:rPr>
          <w:rFonts w:ascii="Arial" w:hAnsi="Arial" w:cs="Arial"/>
          <w:color w:val="000000" w:themeColor="text1"/>
          <w:sz w:val="24"/>
          <w:szCs w:val="24"/>
          <w:lang w:val="en-GB"/>
        </w:rPr>
        <w:t xml:space="preserve">merely made recommendations to the Tender Board and the ultimate decision as to how and to whom to award the tender was made by the Tender Board. Therefore the decision to be </w:t>
      </w:r>
      <w:r w:rsidR="00A77290">
        <w:rPr>
          <w:rFonts w:ascii="Arial" w:hAnsi="Arial" w:cs="Arial"/>
          <w:color w:val="000000" w:themeColor="text1"/>
          <w:sz w:val="24"/>
          <w:szCs w:val="24"/>
          <w:lang w:val="en-GB"/>
        </w:rPr>
        <w:t xml:space="preserve">impugned, </w:t>
      </w:r>
      <w:r>
        <w:rPr>
          <w:rFonts w:ascii="Arial" w:hAnsi="Arial" w:cs="Arial"/>
          <w:color w:val="000000" w:themeColor="text1"/>
          <w:sz w:val="24"/>
          <w:szCs w:val="24"/>
          <w:lang w:val="en-GB"/>
        </w:rPr>
        <w:t xml:space="preserve">if </w:t>
      </w:r>
      <w:r w:rsidR="00A77290">
        <w:rPr>
          <w:rFonts w:ascii="Arial" w:hAnsi="Arial" w:cs="Arial"/>
          <w:color w:val="000000" w:themeColor="text1"/>
          <w:sz w:val="24"/>
          <w:szCs w:val="24"/>
          <w:lang w:val="en-GB"/>
        </w:rPr>
        <w:t>at all,</w:t>
      </w:r>
      <w:r>
        <w:rPr>
          <w:rFonts w:ascii="Arial" w:hAnsi="Arial" w:cs="Arial"/>
          <w:color w:val="000000" w:themeColor="text1"/>
          <w:sz w:val="24"/>
          <w:szCs w:val="24"/>
          <w:lang w:val="en-GB"/>
        </w:rPr>
        <w:t xml:space="preserve"> is that of the Tender Board </w:t>
      </w:r>
      <w:r w:rsidR="00A77290">
        <w:rPr>
          <w:rFonts w:ascii="Arial" w:hAnsi="Arial" w:cs="Arial"/>
          <w:color w:val="000000" w:themeColor="text1"/>
          <w:sz w:val="24"/>
          <w:szCs w:val="24"/>
          <w:lang w:val="en-GB"/>
        </w:rPr>
        <w:t>a</w:t>
      </w:r>
      <w:r>
        <w:rPr>
          <w:rFonts w:ascii="Arial" w:hAnsi="Arial" w:cs="Arial"/>
          <w:color w:val="000000" w:themeColor="text1"/>
          <w:sz w:val="24"/>
          <w:szCs w:val="24"/>
          <w:lang w:val="en-GB"/>
        </w:rPr>
        <w:t>n</w:t>
      </w:r>
      <w:r w:rsidR="00A77290">
        <w:rPr>
          <w:rFonts w:ascii="Arial" w:hAnsi="Arial" w:cs="Arial"/>
          <w:color w:val="000000" w:themeColor="text1"/>
          <w:sz w:val="24"/>
          <w:szCs w:val="24"/>
          <w:lang w:val="en-GB"/>
        </w:rPr>
        <w:t>d n</w:t>
      </w:r>
      <w:r>
        <w:rPr>
          <w:rFonts w:ascii="Arial" w:hAnsi="Arial" w:cs="Arial"/>
          <w:color w:val="000000" w:themeColor="text1"/>
          <w:sz w:val="24"/>
          <w:szCs w:val="24"/>
          <w:lang w:val="en-GB"/>
        </w:rPr>
        <w:t xml:space="preserve">ot that </w:t>
      </w:r>
      <w:r w:rsidR="00A77290">
        <w:rPr>
          <w:rFonts w:ascii="Arial" w:hAnsi="Arial" w:cs="Arial"/>
          <w:color w:val="000000" w:themeColor="text1"/>
          <w:sz w:val="24"/>
          <w:szCs w:val="24"/>
          <w:lang w:val="en-GB"/>
        </w:rPr>
        <w:t>of the T</w:t>
      </w:r>
      <w:r w:rsidRPr="00E9351D">
        <w:rPr>
          <w:rFonts w:ascii="Arial" w:hAnsi="Arial" w:cs="Arial"/>
          <w:color w:val="000000" w:themeColor="text1"/>
          <w:sz w:val="24"/>
          <w:szCs w:val="24"/>
          <w:lang w:val="en-GB"/>
        </w:rPr>
        <w:t xml:space="preserve">ender </w:t>
      </w:r>
      <w:r w:rsidR="00A77290">
        <w:rPr>
          <w:rFonts w:ascii="Arial" w:hAnsi="Arial" w:cs="Arial"/>
          <w:color w:val="000000" w:themeColor="text1"/>
          <w:sz w:val="24"/>
          <w:szCs w:val="24"/>
          <w:lang w:val="en-GB"/>
        </w:rPr>
        <w:t>C</w:t>
      </w:r>
      <w:r w:rsidRPr="00E9351D">
        <w:rPr>
          <w:rFonts w:ascii="Arial" w:hAnsi="Arial" w:cs="Arial"/>
          <w:color w:val="000000" w:themeColor="text1"/>
          <w:sz w:val="24"/>
          <w:szCs w:val="24"/>
          <w:lang w:val="en-GB"/>
        </w:rPr>
        <w:t>ommittee</w:t>
      </w:r>
      <w:r>
        <w:rPr>
          <w:rFonts w:ascii="Arial" w:hAnsi="Arial" w:cs="Arial"/>
          <w:color w:val="000000" w:themeColor="text1"/>
          <w:sz w:val="24"/>
          <w:szCs w:val="24"/>
          <w:lang w:val="en-GB"/>
        </w:rPr>
        <w:t>. As the decision</w:t>
      </w:r>
      <w:r w:rsidRPr="008C07A2">
        <w:rPr>
          <w:rFonts w:ascii="Arial" w:hAnsi="Arial" w:cs="Arial"/>
          <w:color w:val="000000" w:themeColor="text1"/>
          <w:sz w:val="24"/>
          <w:szCs w:val="24"/>
          <w:lang w:val="en-GB"/>
        </w:rPr>
        <w:t xml:space="preserve"> sought to be reviewed </w:t>
      </w:r>
      <w:r>
        <w:rPr>
          <w:rFonts w:ascii="Arial" w:hAnsi="Arial" w:cs="Arial"/>
          <w:color w:val="000000" w:themeColor="text1"/>
          <w:sz w:val="24"/>
          <w:szCs w:val="24"/>
          <w:lang w:val="en-GB"/>
        </w:rPr>
        <w:t xml:space="preserve">is that of the </w:t>
      </w:r>
      <w:r w:rsidR="00A77290">
        <w:rPr>
          <w:rFonts w:ascii="Arial" w:hAnsi="Arial" w:cs="Arial"/>
          <w:color w:val="000000" w:themeColor="text1"/>
          <w:sz w:val="24"/>
          <w:szCs w:val="24"/>
          <w:lang w:val="en-GB"/>
        </w:rPr>
        <w:t>T</w:t>
      </w:r>
      <w:r>
        <w:rPr>
          <w:rFonts w:ascii="Arial" w:hAnsi="Arial" w:cs="Arial"/>
          <w:color w:val="000000" w:themeColor="text1"/>
          <w:sz w:val="24"/>
          <w:szCs w:val="24"/>
          <w:lang w:val="en-GB"/>
        </w:rPr>
        <w:t xml:space="preserve">ender </w:t>
      </w:r>
      <w:r w:rsidR="00A77290">
        <w:rPr>
          <w:rFonts w:ascii="Arial" w:hAnsi="Arial" w:cs="Arial"/>
          <w:color w:val="000000" w:themeColor="text1"/>
          <w:sz w:val="24"/>
          <w:szCs w:val="24"/>
          <w:lang w:val="en-GB"/>
        </w:rPr>
        <w:t>C</w:t>
      </w:r>
      <w:r>
        <w:rPr>
          <w:rFonts w:ascii="Arial" w:hAnsi="Arial" w:cs="Arial"/>
          <w:color w:val="000000" w:themeColor="text1"/>
          <w:sz w:val="24"/>
          <w:szCs w:val="24"/>
          <w:lang w:val="en-GB"/>
        </w:rPr>
        <w:t>ommittee</w:t>
      </w:r>
      <w:r w:rsidRPr="008C07A2">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I accept the appellant’s contention that the </w:t>
      </w:r>
      <w:r w:rsidRPr="00E04885">
        <w:rPr>
          <w:rFonts w:ascii="Arial" w:hAnsi="Arial" w:cs="Arial"/>
          <w:sz w:val="24"/>
          <w:szCs w:val="24"/>
          <w:lang w:val="en-GB"/>
        </w:rPr>
        <w:t xml:space="preserve">relief sought </w:t>
      </w:r>
      <w:r>
        <w:rPr>
          <w:rFonts w:ascii="Arial" w:hAnsi="Arial" w:cs="Arial"/>
          <w:sz w:val="24"/>
          <w:szCs w:val="24"/>
          <w:lang w:val="en-GB"/>
        </w:rPr>
        <w:t xml:space="preserve">in this prayer is </w:t>
      </w:r>
      <w:r w:rsidRPr="00E04885">
        <w:rPr>
          <w:rFonts w:ascii="Arial" w:hAnsi="Arial" w:cs="Arial"/>
          <w:sz w:val="24"/>
          <w:szCs w:val="24"/>
          <w:lang w:val="en-GB"/>
        </w:rPr>
        <w:t>incompetent.</w:t>
      </w:r>
      <w:r>
        <w:rPr>
          <w:rFonts w:ascii="Arial" w:hAnsi="Arial" w:cs="Arial"/>
          <w:sz w:val="24"/>
          <w:szCs w:val="24"/>
          <w:lang w:val="en-GB"/>
        </w:rPr>
        <w:t xml:space="preserve"> </w:t>
      </w:r>
      <w:r>
        <w:rPr>
          <w:rFonts w:ascii="Arial" w:hAnsi="Arial" w:cs="Arial"/>
          <w:color w:val="000000" w:themeColor="text1"/>
          <w:sz w:val="24"/>
          <w:szCs w:val="24"/>
          <w:lang w:val="en-GB"/>
        </w:rPr>
        <w:t xml:space="preserve">Accordingly, the </w:t>
      </w:r>
      <w:r w:rsidR="00841761">
        <w:rPr>
          <w:rFonts w:ascii="Arial" w:hAnsi="Arial" w:cs="Arial"/>
          <w:color w:val="000000" w:themeColor="text1"/>
          <w:sz w:val="24"/>
          <w:szCs w:val="24"/>
          <w:lang w:val="en-GB"/>
        </w:rPr>
        <w:t xml:space="preserve">point </w:t>
      </w:r>
      <w:r>
        <w:rPr>
          <w:rFonts w:ascii="Arial" w:hAnsi="Arial" w:cs="Arial"/>
          <w:color w:val="000000" w:themeColor="text1"/>
          <w:sz w:val="24"/>
          <w:szCs w:val="24"/>
          <w:lang w:val="en-GB"/>
        </w:rPr>
        <w:t xml:space="preserve">on the incompetent relief </w:t>
      </w:r>
      <w:r w:rsidR="00841761">
        <w:rPr>
          <w:rFonts w:ascii="Arial" w:hAnsi="Arial" w:cs="Arial"/>
          <w:color w:val="000000" w:themeColor="text1"/>
          <w:sz w:val="24"/>
          <w:szCs w:val="24"/>
          <w:lang w:val="en-GB"/>
        </w:rPr>
        <w:t>sought is well taken</w:t>
      </w:r>
      <w:r>
        <w:rPr>
          <w:rFonts w:ascii="Arial" w:hAnsi="Arial" w:cs="Arial"/>
          <w:color w:val="000000" w:themeColor="text1"/>
          <w:sz w:val="24"/>
          <w:szCs w:val="24"/>
          <w:lang w:val="en-GB"/>
        </w:rPr>
        <w:t>.</w:t>
      </w:r>
    </w:p>
    <w:p w:rsidR="005C2022" w:rsidRPr="00037CDF" w:rsidRDefault="005C2022" w:rsidP="00B90190">
      <w:pPr>
        <w:spacing w:after="0" w:line="480" w:lineRule="auto"/>
        <w:jc w:val="both"/>
        <w:rPr>
          <w:rFonts w:ascii="Arial" w:hAnsi="Arial" w:cs="Arial"/>
          <w:color w:val="000000" w:themeColor="text1"/>
          <w:sz w:val="24"/>
          <w:szCs w:val="24"/>
          <w:lang w:val="en-GB"/>
        </w:rPr>
      </w:pPr>
    </w:p>
    <w:p w:rsidR="005C2022" w:rsidRPr="004A6BE9" w:rsidRDefault="005C2022" w:rsidP="00B90190">
      <w:pPr>
        <w:spacing w:after="0" w:line="480" w:lineRule="auto"/>
        <w:jc w:val="both"/>
        <w:rPr>
          <w:rFonts w:ascii="Arial" w:hAnsi="Arial" w:cs="Arial"/>
          <w:color w:val="000000" w:themeColor="text1"/>
          <w:sz w:val="24"/>
          <w:szCs w:val="24"/>
          <w:u w:val="single"/>
          <w:lang w:val="en-GB"/>
        </w:rPr>
      </w:pPr>
      <w:r w:rsidRPr="004A6BE9">
        <w:rPr>
          <w:rFonts w:ascii="Arial" w:hAnsi="Arial" w:cs="Arial"/>
          <w:color w:val="000000" w:themeColor="text1"/>
          <w:sz w:val="24"/>
          <w:szCs w:val="24"/>
          <w:u w:val="single"/>
          <w:lang w:val="en-GB"/>
        </w:rPr>
        <w:lastRenderedPageBreak/>
        <w:t>Argument on the merits</w:t>
      </w:r>
    </w:p>
    <w:p w:rsidR="005C2022" w:rsidRDefault="005C2022" w:rsidP="00B90190">
      <w:pPr>
        <w:spacing w:after="0" w:line="480" w:lineRule="auto"/>
        <w:jc w:val="both"/>
        <w:rPr>
          <w:rFonts w:ascii="Arial" w:hAnsi="Arial" w:cs="Arial"/>
          <w:color w:val="000000" w:themeColor="text1"/>
          <w:sz w:val="24"/>
          <w:szCs w:val="24"/>
          <w:lang w:val="en-ZA"/>
        </w:rPr>
      </w:pPr>
      <w:r w:rsidRPr="004A6BE9">
        <w:rPr>
          <w:rFonts w:ascii="Arial" w:hAnsi="Arial" w:cs="Arial"/>
          <w:color w:val="000000" w:themeColor="text1"/>
          <w:sz w:val="24"/>
          <w:szCs w:val="24"/>
          <w:u w:val="single"/>
          <w:lang w:val="en-GB"/>
        </w:rPr>
        <w:t>[</w:t>
      </w:r>
      <w:r>
        <w:rPr>
          <w:rFonts w:ascii="Arial" w:hAnsi="Arial" w:cs="Arial"/>
          <w:color w:val="000000" w:themeColor="text1"/>
          <w:sz w:val="24"/>
          <w:szCs w:val="24"/>
          <w:lang w:val="en-GB"/>
        </w:rPr>
        <w:t>2</w:t>
      </w:r>
      <w:r w:rsidR="0079405C">
        <w:rPr>
          <w:rFonts w:ascii="Arial" w:hAnsi="Arial" w:cs="Arial"/>
          <w:color w:val="000000" w:themeColor="text1"/>
          <w:sz w:val="24"/>
          <w:szCs w:val="24"/>
          <w:lang w:val="en-GB"/>
        </w:rPr>
        <w:t>2</w:t>
      </w:r>
      <w:r w:rsidRPr="00EE61F2">
        <w:rPr>
          <w:rFonts w:ascii="Arial" w:hAnsi="Arial" w:cs="Arial"/>
          <w:color w:val="000000" w:themeColor="text1"/>
          <w:sz w:val="24"/>
          <w:szCs w:val="24"/>
          <w:lang w:val="en-GB"/>
        </w:rPr>
        <w:t>]</w:t>
      </w:r>
      <w:r w:rsidRPr="00EE61F2">
        <w:rPr>
          <w:rFonts w:ascii="Arial" w:hAnsi="Arial" w:cs="Arial"/>
          <w:color w:val="000000" w:themeColor="text1"/>
          <w:sz w:val="24"/>
          <w:szCs w:val="24"/>
          <w:lang w:val="en-GB"/>
        </w:rPr>
        <w:tab/>
      </w:r>
      <w:r>
        <w:rPr>
          <w:rFonts w:ascii="Arial" w:hAnsi="Arial" w:cs="Arial"/>
          <w:color w:val="000000" w:themeColor="text1"/>
          <w:sz w:val="24"/>
          <w:szCs w:val="24"/>
          <w:lang w:val="en-GB"/>
        </w:rPr>
        <w:t>Mr. Coleman</w:t>
      </w:r>
      <w:r w:rsidR="00841761">
        <w:rPr>
          <w:rFonts w:ascii="Arial" w:hAnsi="Arial" w:cs="Arial"/>
          <w:color w:val="000000" w:themeColor="text1"/>
          <w:sz w:val="24"/>
          <w:szCs w:val="24"/>
          <w:lang w:val="en-GB"/>
        </w:rPr>
        <w:t>,</w:t>
      </w:r>
      <w:r>
        <w:rPr>
          <w:rFonts w:ascii="Arial" w:hAnsi="Arial" w:cs="Arial"/>
          <w:color w:val="000000" w:themeColor="text1"/>
          <w:sz w:val="24"/>
          <w:szCs w:val="24"/>
          <w:lang w:val="en-GB"/>
        </w:rPr>
        <w:t xml:space="preserve"> appearing for the appellant</w:t>
      </w:r>
      <w:r w:rsidR="00841761">
        <w:rPr>
          <w:rFonts w:ascii="Arial" w:hAnsi="Arial" w:cs="Arial"/>
          <w:color w:val="000000" w:themeColor="text1"/>
          <w:sz w:val="24"/>
          <w:szCs w:val="24"/>
          <w:lang w:val="en-GB"/>
        </w:rPr>
        <w:t>,</w:t>
      </w:r>
      <w:r>
        <w:rPr>
          <w:rFonts w:ascii="Arial" w:hAnsi="Arial" w:cs="Arial"/>
          <w:color w:val="000000" w:themeColor="text1"/>
          <w:sz w:val="24"/>
          <w:szCs w:val="24"/>
          <w:lang w:val="en-GB"/>
        </w:rPr>
        <w:t xml:space="preserve"> commenced his argument by submitting that </w:t>
      </w:r>
      <w:r w:rsidR="00841761">
        <w:rPr>
          <w:rFonts w:ascii="Arial" w:hAnsi="Arial" w:cs="Arial"/>
          <w:color w:val="000000" w:themeColor="text1"/>
          <w:sz w:val="24"/>
          <w:szCs w:val="24"/>
          <w:lang w:val="en-GB"/>
        </w:rPr>
        <w:t>t</w:t>
      </w:r>
      <w:r>
        <w:rPr>
          <w:rFonts w:ascii="Arial" w:hAnsi="Arial" w:cs="Arial"/>
          <w:color w:val="000000" w:themeColor="text1"/>
          <w:sz w:val="24"/>
          <w:szCs w:val="24"/>
          <w:lang w:val="en-GB"/>
        </w:rPr>
        <w:t>h</w:t>
      </w:r>
      <w:r w:rsidR="00841761">
        <w:rPr>
          <w:rFonts w:ascii="Arial" w:hAnsi="Arial" w:cs="Arial"/>
          <w:color w:val="000000" w:themeColor="text1"/>
          <w:sz w:val="24"/>
          <w:szCs w:val="24"/>
          <w:lang w:val="en-GB"/>
        </w:rPr>
        <w:t xml:space="preserve">e appellant </w:t>
      </w:r>
      <w:r w:rsidRPr="00716FD7">
        <w:rPr>
          <w:rFonts w:ascii="Arial" w:hAnsi="Arial" w:cs="Arial"/>
          <w:color w:val="000000" w:themeColor="text1"/>
          <w:sz w:val="24"/>
          <w:szCs w:val="24"/>
          <w:lang w:val="en-GB"/>
        </w:rPr>
        <w:t xml:space="preserve">lost </w:t>
      </w:r>
      <w:r>
        <w:rPr>
          <w:rFonts w:ascii="Arial" w:hAnsi="Arial" w:cs="Arial"/>
          <w:color w:val="000000" w:themeColor="text1"/>
          <w:sz w:val="24"/>
          <w:szCs w:val="24"/>
          <w:lang w:val="en-GB"/>
        </w:rPr>
        <w:t>the</w:t>
      </w:r>
      <w:r w:rsidRPr="00716FD7">
        <w:rPr>
          <w:rFonts w:ascii="Arial" w:hAnsi="Arial" w:cs="Arial"/>
          <w:color w:val="000000" w:themeColor="text1"/>
          <w:sz w:val="24"/>
          <w:szCs w:val="24"/>
          <w:lang w:val="en-GB"/>
        </w:rPr>
        <w:t xml:space="preserve"> five year</w:t>
      </w:r>
      <w:r>
        <w:rPr>
          <w:rFonts w:ascii="Arial" w:hAnsi="Arial" w:cs="Arial"/>
          <w:color w:val="000000" w:themeColor="text1"/>
          <w:sz w:val="24"/>
          <w:szCs w:val="24"/>
          <w:lang w:val="en-GB"/>
        </w:rPr>
        <w:t xml:space="preserve"> tender</w:t>
      </w:r>
      <w:r w:rsidRPr="00716FD7">
        <w:rPr>
          <w:rFonts w:ascii="Arial" w:hAnsi="Arial" w:cs="Arial"/>
          <w:color w:val="000000" w:themeColor="text1"/>
          <w:sz w:val="24"/>
          <w:szCs w:val="24"/>
          <w:lang w:val="en-GB"/>
        </w:rPr>
        <w:t xml:space="preserve"> due to unlawful </w:t>
      </w:r>
      <w:r w:rsidR="00E11062">
        <w:rPr>
          <w:rFonts w:ascii="Arial" w:hAnsi="Arial" w:cs="Arial"/>
          <w:color w:val="000000" w:themeColor="text1"/>
          <w:sz w:val="24"/>
          <w:szCs w:val="24"/>
          <w:lang w:val="en-GB"/>
        </w:rPr>
        <w:t xml:space="preserve">conduct on the part </w:t>
      </w:r>
      <w:r>
        <w:rPr>
          <w:rFonts w:ascii="Arial" w:hAnsi="Arial" w:cs="Arial"/>
          <w:color w:val="000000" w:themeColor="text1"/>
          <w:sz w:val="24"/>
          <w:szCs w:val="24"/>
          <w:lang w:val="en-GB"/>
        </w:rPr>
        <w:t>o</w:t>
      </w:r>
      <w:r w:rsidR="00841761">
        <w:rPr>
          <w:rFonts w:ascii="Arial" w:hAnsi="Arial" w:cs="Arial"/>
          <w:color w:val="000000" w:themeColor="text1"/>
          <w:sz w:val="24"/>
          <w:szCs w:val="24"/>
          <w:lang w:val="en-GB"/>
        </w:rPr>
        <w:t>f a senior Ministry of Education official</w:t>
      </w:r>
      <w:r w:rsidR="00E11062">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As a result of this conduct, </w:t>
      </w:r>
      <w:r w:rsidR="00E11062">
        <w:rPr>
          <w:rFonts w:ascii="Arial" w:hAnsi="Arial" w:cs="Arial"/>
          <w:color w:val="000000" w:themeColor="text1"/>
          <w:sz w:val="24"/>
          <w:szCs w:val="24"/>
          <w:lang w:val="en-GB"/>
        </w:rPr>
        <w:t xml:space="preserve">so </w:t>
      </w:r>
      <w:r>
        <w:rPr>
          <w:rFonts w:ascii="Arial" w:hAnsi="Arial" w:cs="Arial"/>
          <w:color w:val="000000" w:themeColor="text1"/>
          <w:sz w:val="24"/>
          <w:szCs w:val="24"/>
          <w:lang w:val="en-GB"/>
        </w:rPr>
        <w:t>counsel argued</w:t>
      </w:r>
      <w:r w:rsidR="00E11062">
        <w:rPr>
          <w:rFonts w:ascii="Arial" w:hAnsi="Arial" w:cs="Arial"/>
          <w:color w:val="000000" w:themeColor="text1"/>
          <w:sz w:val="24"/>
          <w:szCs w:val="24"/>
          <w:lang w:val="en-GB"/>
        </w:rPr>
        <w:t>,</w:t>
      </w:r>
      <w:r>
        <w:rPr>
          <w:rFonts w:ascii="Arial" w:hAnsi="Arial" w:cs="Arial"/>
          <w:color w:val="000000" w:themeColor="text1"/>
          <w:sz w:val="24"/>
          <w:szCs w:val="24"/>
          <w:lang w:val="en-GB"/>
        </w:rPr>
        <w:t xml:space="preserve"> the appellant </w:t>
      </w:r>
      <w:r w:rsidR="00E11062">
        <w:rPr>
          <w:rFonts w:ascii="Arial" w:hAnsi="Arial" w:cs="Arial"/>
          <w:color w:val="000000" w:themeColor="text1"/>
          <w:sz w:val="24"/>
          <w:szCs w:val="24"/>
          <w:lang w:val="en-GB"/>
        </w:rPr>
        <w:t>wa</w:t>
      </w:r>
      <w:r>
        <w:rPr>
          <w:rFonts w:ascii="Arial" w:hAnsi="Arial" w:cs="Arial"/>
          <w:color w:val="000000" w:themeColor="text1"/>
          <w:sz w:val="24"/>
          <w:szCs w:val="24"/>
          <w:lang w:val="en-GB"/>
        </w:rPr>
        <w:t xml:space="preserve">s </w:t>
      </w:r>
      <w:r w:rsidRPr="00716FD7">
        <w:rPr>
          <w:rFonts w:ascii="Arial" w:hAnsi="Arial" w:cs="Arial"/>
          <w:color w:val="000000" w:themeColor="text1"/>
          <w:sz w:val="24"/>
          <w:szCs w:val="24"/>
          <w:lang w:val="en-GB"/>
        </w:rPr>
        <w:t xml:space="preserve">entitled to damages or </w:t>
      </w:r>
      <w:r w:rsidR="00E11062">
        <w:rPr>
          <w:rFonts w:ascii="Arial" w:hAnsi="Arial" w:cs="Arial"/>
          <w:color w:val="000000" w:themeColor="text1"/>
          <w:sz w:val="24"/>
          <w:szCs w:val="24"/>
          <w:lang w:val="en-GB"/>
        </w:rPr>
        <w:t xml:space="preserve">to </w:t>
      </w:r>
      <w:r w:rsidRPr="00716FD7">
        <w:rPr>
          <w:rFonts w:ascii="Arial" w:hAnsi="Arial" w:cs="Arial"/>
          <w:color w:val="000000" w:themeColor="text1"/>
          <w:sz w:val="24"/>
          <w:szCs w:val="24"/>
          <w:lang w:val="en-GB"/>
        </w:rPr>
        <w:t xml:space="preserve">be placed in a position it would have been </w:t>
      </w:r>
      <w:r w:rsidR="00E11062">
        <w:rPr>
          <w:rFonts w:ascii="Arial" w:hAnsi="Arial" w:cs="Arial"/>
          <w:color w:val="000000" w:themeColor="text1"/>
          <w:sz w:val="24"/>
          <w:szCs w:val="24"/>
          <w:lang w:val="en-GB"/>
        </w:rPr>
        <w:t xml:space="preserve">in </w:t>
      </w:r>
      <w:r w:rsidRPr="00716FD7">
        <w:rPr>
          <w:rFonts w:ascii="Arial" w:hAnsi="Arial" w:cs="Arial"/>
          <w:color w:val="000000" w:themeColor="text1"/>
          <w:sz w:val="24"/>
          <w:szCs w:val="24"/>
          <w:lang w:val="en-GB"/>
        </w:rPr>
        <w:t xml:space="preserve">but for the commission of the wrong by </w:t>
      </w:r>
      <w:r w:rsidR="00E11062">
        <w:rPr>
          <w:rFonts w:ascii="Arial" w:hAnsi="Arial" w:cs="Arial"/>
          <w:color w:val="000000" w:themeColor="text1"/>
          <w:sz w:val="24"/>
          <w:szCs w:val="24"/>
          <w:lang w:val="en-GB"/>
        </w:rPr>
        <w:t xml:space="preserve">the </w:t>
      </w:r>
      <w:r>
        <w:rPr>
          <w:rFonts w:ascii="Arial" w:hAnsi="Arial" w:cs="Arial"/>
          <w:color w:val="000000" w:themeColor="text1"/>
          <w:sz w:val="24"/>
          <w:szCs w:val="24"/>
          <w:lang w:val="en-GB"/>
        </w:rPr>
        <w:t>official</w:t>
      </w:r>
      <w:r w:rsidRPr="00716FD7">
        <w:rPr>
          <w:rFonts w:ascii="Arial" w:hAnsi="Arial" w:cs="Arial"/>
          <w:color w:val="000000" w:themeColor="text1"/>
          <w:sz w:val="24"/>
          <w:szCs w:val="24"/>
          <w:lang w:val="en-GB"/>
        </w:rPr>
        <w:t xml:space="preserve">. </w:t>
      </w:r>
      <w:r w:rsidR="00E11062">
        <w:rPr>
          <w:rFonts w:ascii="Arial" w:hAnsi="Arial" w:cs="Arial"/>
          <w:color w:val="000000" w:themeColor="text1"/>
          <w:sz w:val="24"/>
          <w:szCs w:val="24"/>
          <w:lang w:val="en-GB"/>
        </w:rPr>
        <w:t xml:space="preserve">In support of this </w:t>
      </w:r>
      <w:r w:rsidR="006A156C">
        <w:rPr>
          <w:rFonts w:ascii="Arial" w:hAnsi="Arial" w:cs="Arial"/>
          <w:color w:val="000000" w:themeColor="text1"/>
          <w:sz w:val="24"/>
          <w:szCs w:val="24"/>
          <w:lang w:val="en-GB"/>
        </w:rPr>
        <w:t>contention</w:t>
      </w:r>
      <w:r w:rsidR="00E11062">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counsel cited </w:t>
      </w:r>
      <w:r w:rsidR="00E11062">
        <w:rPr>
          <w:rFonts w:ascii="Arial" w:hAnsi="Arial" w:cs="Arial"/>
          <w:color w:val="000000" w:themeColor="text1"/>
          <w:sz w:val="24"/>
          <w:szCs w:val="24"/>
          <w:lang w:val="en-GB"/>
        </w:rPr>
        <w:t xml:space="preserve">as authority </w:t>
      </w:r>
      <w:r w:rsidR="006A156C">
        <w:rPr>
          <w:rFonts w:ascii="Arial" w:hAnsi="Arial" w:cs="Arial"/>
          <w:color w:val="000000" w:themeColor="text1"/>
          <w:sz w:val="24"/>
          <w:szCs w:val="24"/>
          <w:lang w:val="en-GB"/>
        </w:rPr>
        <w:t xml:space="preserve">the work of </w:t>
      </w:r>
      <w:r>
        <w:rPr>
          <w:rFonts w:ascii="Arial" w:hAnsi="Arial" w:cs="Arial"/>
          <w:color w:val="000000" w:themeColor="text1"/>
          <w:sz w:val="24"/>
          <w:szCs w:val="24"/>
          <w:lang w:val="en-ZA"/>
        </w:rPr>
        <w:t>Visser and Potgieter</w:t>
      </w:r>
      <w:r w:rsidRPr="001776B1">
        <w:rPr>
          <w:rFonts w:ascii="Arial" w:hAnsi="Arial" w:cs="Arial"/>
          <w:color w:val="000000" w:themeColor="text1"/>
          <w:sz w:val="24"/>
          <w:szCs w:val="24"/>
          <w:vertAlign w:val="superscript"/>
          <w:lang w:val="en-ZA"/>
        </w:rPr>
        <w:footnoteReference w:id="2"/>
      </w:r>
      <w:r w:rsidRPr="001776B1">
        <w:rPr>
          <w:rFonts w:ascii="Arial" w:hAnsi="Arial" w:cs="Arial"/>
          <w:color w:val="000000" w:themeColor="text1"/>
          <w:sz w:val="24"/>
          <w:szCs w:val="24"/>
          <w:lang w:val="en-ZA"/>
        </w:rPr>
        <w:t xml:space="preserve"> </w:t>
      </w:r>
      <w:r>
        <w:rPr>
          <w:rFonts w:ascii="Arial" w:hAnsi="Arial" w:cs="Arial"/>
          <w:color w:val="000000" w:themeColor="text1"/>
          <w:sz w:val="24"/>
          <w:szCs w:val="24"/>
          <w:lang w:val="en-ZA"/>
        </w:rPr>
        <w:t xml:space="preserve">and submitted that as a basic principle a party is entitled to be placed in </w:t>
      </w:r>
      <w:r w:rsidR="006A156C">
        <w:rPr>
          <w:rFonts w:ascii="Arial" w:hAnsi="Arial" w:cs="Arial"/>
          <w:color w:val="000000" w:themeColor="text1"/>
          <w:sz w:val="24"/>
          <w:szCs w:val="24"/>
          <w:lang w:val="en-ZA"/>
        </w:rPr>
        <w:t>a</w:t>
      </w:r>
      <w:r>
        <w:rPr>
          <w:rFonts w:ascii="Arial" w:hAnsi="Arial" w:cs="Arial"/>
          <w:color w:val="000000" w:themeColor="text1"/>
          <w:sz w:val="24"/>
          <w:szCs w:val="24"/>
          <w:lang w:val="en-ZA"/>
        </w:rPr>
        <w:t xml:space="preserve"> position it would have been but for the commission of the wrong.</w:t>
      </w:r>
    </w:p>
    <w:p w:rsidR="000632EF" w:rsidRDefault="000632EF" w:rsidP="00B90190">
      <w:pPr>
        <w:spacing w:after="0" w:line="480" w:lineRule="auto"/>
        <w:jc w:val="both"/>
        <w:rPr>
          <w:rFonts w:ascii="Arial" w:hAnsi="Arial" w:cs="Arial"/>
          <w:color w:val="000000" w:themeColor="text1"/>
          <w:sz w:val="24"/>
          <w:szCs w:val="24"/>
          <w:lang w:val="en-GB"/>
        </w:rPr>
      </w:pPr>
    </w:p>
    <w:p w:rsidR="005C2022" w:rsidRDefault="005C2022"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[2</w:t>
      </w:r>
      <w:r w:rsidR="0079405C">
        <w:rPr>
          <w:rFonts w:ascii="Arial" w:hAnsi="Arial" w:cs="Arial"/>
          <w:color w:val="000000" w:themeColor="text1"/>
          <w:sz w:val="24"/>
          <w:szCs w:val="24"/>
          <w:lang w:val="en-GB"/>
        </w:rPr>
        <w:t>3</w:t>
      </w:r>
      <w:r>
        <w:rPr>
          <w:rFonts w:ascii="Arial" w:hAnsi="Arial" w:cs="Arial"/>
          <w:color w:val="000000" w:themeColor="text1"/>
          <w:sz w:val="24"/>
          <w:szCs w:val="24"/>
          <w:lang w:val="en-GB"/>
        </w:rPr>
        <w:t>]</w:t>
      </w:r>
      <w:r>
        <w:rPr>
          <w:rFonts w:ascii="Arial" w:hAnsi="Arial" w:cs="Arial"/>
          <w:color w:val="000000" w:themeColor="text1"/>
          <w:sz w:val="24"/>
          <w:szCs w:val="24"/>
          <w:lang w:val="en-GB"/>
        </w:rPr>
        <w:tab/>
        <w:t>The</w:t>
      </w:r>
      <w:r w:rsidR="00D61FD8">
        <w:rPr>
          <w:rFonts w:ascii="Arial" w:hAnsi="Arial" w:cs="Arial"/>
          <w:color w:val="000000" w:themeColor="text1"/>
          <w:sz w:val="24"/>
          <w:szCs w:val="24"/>
          <w:lang w:val="en-GB"/>
        </w:rPr>
        <w:t xml:space="preserve"> appellant’s </w:t>
      </w:r>
      <w:r>
        <w:rPr>
          <w:rFonts w:ascii="Arial" w:hAnsi="Arial" w:cs="Arial"/>
          <w:color w:val="000000" w:themeColor="text1"/>
          <w:sz w:val="24"/>
          <w:szCs w:val="24"/>
          <w:lang w:val="en-GB"/>
        </w:rPr>
        <w:t xml:space="preserve">basic assertion on this point </w:t>
      </w:r>
      <w:r w:rsidRPr="00716FD7">
        <w:rPr>
          <w:rFonts w:ascii="Arial" w:hAnsi="Arial" w:cs="Arial"/>
          <w:color w:val="000000" w:themeColor="text1"/>
          <w:sz w:val="24"/>
          <w:szCs w:val="24"/>
          <w:lang w:val="en-GB"/>
        </w:rPr>
        <w:t xml:space="preserve">is that it lost a period of the tender due to the </w:t>
      </w:r>
      <w:r w:rsidR="00E11062">
        <w:rPr>
          <w:rFonts w:ascii="Arial" w:hAnsi="Arial" w:cs="Arial"/>
          <w:color w:val="000000" w:themeColor="text1"/>
          <w:sz w:val="24"/>
          <w:szCs w:val="24"/>
          <w:lang w:val="en-GB"/>
        </w:rPr>
        <w:t xml:space="preserve">tainted </w:t>
      </w:r>
      <w:r w:rsidRPr="00716FD7">
        <w:rPr>
          <w:rFonts w:ascii="Arial" w:hAnsi="Arial" w:cs="Arial"/>
          <w:color w:val="000000" w:themeColor="text1"/>
          <w:sz w:val="24"/>
          <w:szCs w:val="24"/>
          <w:lang w:val="en-GB"/>
        </w:rPr>
        <w:t>award initially</w:t>
      </w:r>
      <w:r>
        <w:rPr>
          <w:rFonts w:ascii="Arial" w:hAnsi="Arial" w:cs="Arial"/>
          <w:color w:val="000000" w:themeColor="text1"/>
          <w:sz w:val="24"/>
          <w:szCs w:val="24"/>
          <w:lang w:val="en-GB"/>
        </w:rPr>
        <w:t xml:space="preserve"> made by the </w:t>
      </w:r>
      <w:r w:rsidR="003760B8">
        <w:rPr>
          <w:rFonts w:ascii="Arial" w:hAnsi="Arial" w:cs="Arial"/>
          <w:color w:val="000000" w:themeColor="text1"/>
          <w:sz w:val="24"/>
          <w:szCs w:val="24"/>
          <w:lang w:val="en-GB"/>
        </w:rPr>
        <w:t>Tender Board</w:t>
      </w:r>
      <w:r w:rsidRPr="00716FD7">
        <w:rPr>
          <w:rFonts w:ascii="Arial" w:hAnsi="Arial" w:cs="Arial"/>
          <w:color w:val="000000" w:themeColor="text1"/>
          <w:sz w:val="24"/>
          <w:szCs w:val="24"/>
          <w:lang w:val="en-GB"/>
        </w:rPr>
        <w:t>. Consequently</w:t>
      </w:r>
      <w:r w:rsidR="00D61FD8">
        <w:rPr>
          <w:rFonts w:ascii="Arial" w:hAnsi="Arial" w:cs="Arial"/>
          <w:color w:val="000000" w:themeColor="text1"/>
          <w:sz w:val="24"/>
          <w:szCs w:val="24"/>
          <w:lang w:val="en-GB"/>
        </w:rPr>
        <w:t>,</w:t>
      </w:r>
      <w:r w:rsidRPr="00716FD7">
        <w:rPr>
          <w:rFonts w:ascii="Arial" w:hAnsi="Arial" w:cs="Arial"/>
          <w:color w:val="000000" w:themeColor="text1"/>
          <w:sz w:val="24"/>
          <w:szCs w:val="24"/>
          <w:lang w:val="en-GB"/>
        </w:rPr>
        <w:t xml:space="preserve"> it is entitled to be put in the position it would have been in had the initial wrong not been committed</w:t>
      </w:r>
      <w:r w:rsidR="00D61FD8">
        <w:rPr>
          <w:rFonts w:ascii="Arial" w:hAnsi="Arial" w:cs="Arial"/>
          <w:color w:val="000000" w:themeColor="text1"/>
          <w:sz w:val="24"/>
          <w:szCs w:val="24"/>
          <w:lang w:val="en-GB"/>
        </w:rPr>
        <w:t>,</w:t>
      </w:r>
      <w:r>
        <w:rPr>
          <w:rFonts w:ascii="Arial" w:hAnsi="Arial" w:cs="Arial"/>
          <w:color w:val="000000" w:themeColor="text1"/>
          <w:sz w:val="24"/>
          <w:szCs w:val="24"/>
          <w:lang w:val="en-GB"/>
        </w:rPr>
        <w:t xml:space="preserve"> amongst others, </w:t>
      </w:r>
      <w:r w:rsidR="00D61FD8">
        <w:rPr>
          <w:rFonts w:ascii="Arial" w:hAnsi="Arial" w:cs="Arial"/>
          <w:color w:val="000000" w:themeColor="text1"/>
          <w:sz w:val="24"/>
          <w:szCs w:val="24"/>
          <w:lang w:val="en-GB"/>
        </w:rPr>
        <w:t>by the official in the Ministry of Education</w:t>
      </w:r>
      <w:r w:rsidR="007A2682">
        <w:rPr>
          <w:rFonts w:ascii="Arial" w:hAnsi="Arial" w:cs="Arial"/>
          <w:color w:val="000000" w:themeColor="text1"/>
          <w:sz w:val="24"/>
          <w:szCs w:val="24"/>
          <w:lang w:val="en-GB"/>
        </w:rPr>
        <w:t xml:space="preserve"> (the Ministry)</w:t>
      </w:r>
      <w:r w:rsidRPr="00716FD7">
        <w:rPr>
          <w:rFonts w:ascii="Arial" w:hAnsi="Arial" w:cs="Arial"/>
          <w:color w:val="000000" w:themeColor="text1"/>
          <w:sz w:val="24"/>
          <w:szCs w:val="24"/>
          <w:lang w:val="en-GB"/>
        </w:rPr>
        <w:t>.</w:t>
      </w:r>
    </w:p>
    <w:p w:rsidR="005C2022" w:rsidRDefault="005C2022" w:rsidP="00B90190">
      <w:pPr>
        <w:spacing w:after="0" w:line="480" w:lineRule="auto"/>
        <w:jc w:val="both"/>
        <w:rPr>
          <w:rFonts w:ascii="Arial" w:hAnsi="Arial" w:cs="Arial"/>
          <w:color w:val="000000" w:themeColor="text1"/>
          <w:sz w:val="24"/>
          <w:szCs w:val="24"/>
          <w:lang w:val="en-GB"/>
        </w:rPr>
      </w:pPr>
    </w:p>
    <w:p w:rsidR="005C2022" w:rsidRDefault="005C2022" w:rsidP="00B90190">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lang w:val="en-GB"/>
        </w:rPr>
        <w:t>[2</w:t>
      </w:r>
      <w:r w:rsidR="0079405C">
        <w:rPr>
          <w:rFonts w:ascii="Arial" w:hAnsi="Arial" w:cs="Arial"/>
          <w:color w:val="000000" w:themeColor="text1"/>
          <w:sz w:val="24"/>
          <w:szCs w:val="24"/>
          <w:lang w:val="en-GB"/>
        </w:rPr>
        <w:t>4</w:t>
      </w:r>
      <w:r w:rsidRPr="00357580">
        <w:rPr>
          <w:rFonts w:ascii="Arial" w:hAnsi="Arial" w:cs="Arial"/>
          <w:color w:val="000000" w:themeColor="text1"/>
          <w:sz w:val="24"/>
          <w:szCs w:val="24"/>
          <w:lang w:val="en-GB"/>
        </w:rPr>
        <w:t>]</w:t>
      </w:r>
      <w:r w:rsidRPr="00357580">
        <w:rPr>
          <w:rFonts w:ascii="Arial" w:hAnsi="Arial" w:cs="Arial"/>
          <w:color w:val="000000" w:themeColor="text1"/>
          <w:sz w:val="24"/>
          <w:szCs w:val="24"/>
          <w:lang w:val="en-GB"/>
        </w:rPr>
        <w:tab/>
      </w:r>
      <w:r>
        <w:rPr>
          <w:rFonts w:ascii="Arial" w:hAnsi="Arial" w:cs="Arial"/>
          <w:color w:val="000000" w:themeColor="text1"/>
          <w:sz w:val="24"/>
          <w:szCs w:val="24"/>
          <w:lang w:val="en-ZA"/>
        </w:rPr>
        <w:t xml:space="preserve">Counsel </w:t>
      </w:r>
      <w:r w:rsidR="003126F9">
        <w:rPr>
          <w:rFonts w:ascii="Arial" w:hAnsi="Arial" w:cs="Arial"/>
          <w:color w:val="000000" w:themeColor="text1"/>
          <w:sz w:val="24"/>
          <w:szCs w:val="24"/>
          <w:lang w:val="en-ZA"/>
        </w:rPr>
        <w:t xml:space="preserve">continued to argue </w:t>
      </w:r>
      <w:r w:rsidRPr="00716FD7">
        <w:rPr>
          <w:rFonts w:ascii="Arial" w:hAnsi="Arial" w:cs="Arial"/>
          <w:color w:val="000000" w:themeColor="text1"/>
          <w:sz w:val="24"/>
          <w:szCs w:val="24"/>
          <w:lang w:val="en-GB"/>
        </w:rPr>
        <w:t xml:space="preserve">that the respondents created an impression and a legitimate expectation that the contract would be for 5 years. </w:t>
      </w:r>
      <w:r>
        <w:rPr>
          <w:rFonts w:ascii="Arial" w:hAnsi="Arial" w:cs="Arial"/>
          <w:color w:val="000000" w:themeColor="text1"/>
          <w:sz w:val="24"/>
          <w:szCs w:val="24"/>
          <w:lang w:val="en-GB"/>
        </w:rPr>
        <w:t xml:space="preserve">The contention advanced </w:t>
      </w:r>
      <w:r w:rsidR="001F194A">
        <w:rPr>
          <w:rFonts w:ascii="Arial" w:hAnsi="Arial" w:cs="Arial"/>
          <w:color w:val="000000" w:themeColor="text1"/>
          <w:sz w:val="24"/>
          <w:szCs w:val="24"/>
          <w:lang w:val="en-GB"/>
        </w:rPr>
        <w:t xml:space="preserve">by </w:t>
      </w:r>
      <w:r>
        <w:rPr>
          <w:rFonts w:ascii="Arial" w:hAnsi="Arial" w:cs="Arial"/>
          <w:color w:val="000000" w:themeColor="text1"/>
          <w:sz w:val="24"/>
          <w:szCs w:val="24"/>
          <w:lang w:val="en-GB"/>
        </w:rPr>
        <w:t xml:space="preserve">the appellant is that </w:t>
      </w:r>
      <w:r w:rsidRPr="00177365">
        <w:rPr>
          <w:rFonts w:ascii="Arial" w:hAnsi="Arial" w:cs="Arial"/>
          <w:color w:val="000000" w:themeColor="text1"/>
          <w:sz w:val="24"/>
          <w:szCs w:val="24"/>
        </w:rPr>
        <w:t xml:space="preserve">the </w:t>
      </w:r>
      <w:r w:rsidR="003760B8">
        <w:rPr>
          <w:rFonts w:ascii="Arial" w:hAnsi="Arial" w:cs="Arial"/>
          <w:color w:val="000000" w:themeColor="text1"/>
          <w:sz w:val="24"/>
          <w:szCs w:val="24"/>
        </w:rPr>
        <w:t>Tender Board</w:t>
      </w:r>
      <w:r>
        <w:rPr>
          <w:rFonts w:ascii="Arial" w:hAnsi="Arial" w:cs="Arial"/>
          <w:color w:val="000000" w:themeColor="text1"/>
          <w:sz w:val="24"/>
          <w:szCs w:val="24"/>
        </w:rPr>
        <w:t xml:space="preserve"> did not stipulate the period of the tender in </w:t>
      </w:r>
      <w:r w:rsidR="0030385E">
        <w:rPr>
          <w:rFonts w:ascii="Arial" w:hAnsi="Arial" w:cs="Arial"/>
          <w:color w:val="000000" w:themeColor="text1"/>
          <w:sz w:val="24"/>
          <w:szCs w:val="24"/>
        </w:rPr>
        <w:t xml:space="preserve">its </w:t>
      </w:r>
      <w:r w:rsidRPr="00177365">
        <w:rPr>
          <w:rFonts w:ascii="Arial" w:hAnsi="Arial" w:cs="Arial"/>
          <w:color w:val="000000" w:themeColor="text1"/>
          <w:sz w:val="24"/>
          <w:szCs w:val="24"/>
        </w:rPr>
        <w:t>notification</w:t>
      </w:r>
      <w:r w:rsidR="00090CA5">
        <w:rPr>
          <w:rFonts w:ascii="Arial" w:hAnsi="Arial" w:cs="Arial"/>
          <w:color w:val="000000" w:themeColor="text1"/>
          <w:sz w:val="24"/>
          <w:szCs w:val="24"/>
        </w:rPr>
        <w:t xml:space="preserve"> of the award</w:t>
      </w:r>
      <w:r w:rsidRPr="00177365">
        <w:rPr>
          <w:rFonts w:ascii="Arial" w:hAnsi="Arial" w:cs="Arial"/>
          <w:color w:val="000000" w:themeColor="text1"/>
          <w:sz w:val="24"/>
          <w:szCs w:val="24"/>
        </w:rPr>
        <w:t xml:space="preserve"> </w:t>
      </w:r>
      <w:r w:rsidR="0030385E">
        <w:rPr>
          <w:rFonts w:ascii="Arial" w:hAnsi="Arial" w:cs="Arial"/>
          <w:color w:val="000000" w:themeColor="text1"/>
          <w:sz w:val="24"/>
          <w:szCs w:val="24"/>
        </w:rPr>
        <w:t xml:space="preserve">to </w:t>
      </w:r>
      <w:r w:rsidR="001F194A">
        <w:rPr>
          <w:rFonts w:ascii="Arial" w:hAnsi="Arial" w:cs="Arial"/>
          <w:color w:val="000000" w:themeColor="text1"/>
          <w:sz w:val="24"/>
          <w:szCs w:val="24"/>
        </w:rPr>
        <w:t>it</w:t>
      </w:r>
      <w:r w:rsidR="0030385E">
        <w:rPr>
          <w:rFonts w:ascii="Arial" w:hAnsi="Arial" w:cs="Arial"/>
          <w:color w:val="000000" w:themeColor="text1"/>
          <w:sz w:val="24"/>
          <w:szCs w:val="24"/>
        </w:rPr>
        <w:t>.</w:t>
      </w:r>
      <w:r>
        <w:rPr>
          <w:rFonts w:ascii="Arial" w:hAnsi="Arial" w:cs="Arial"/>
          <w:color w:val="000000" w:themeColor="text1"/>
          <w:sz w:val="24"/>
          <w:szCs w:val="24"/>
        </w:rPr>
        <w:t xml:space="preserve"> </w:t>
      </w:r>
      <w:r w:rsidR="003760B8">
        <w:rPr>
          <w:rFonts w:ascii="Arial" w:hAnsi="Arial" w:cs="Arial"/>
          <w:color w:val="000000" w:themeColor="text1"/>
          <w:sz w:val="24"/>
          <w:szCs w:val="24"/>
        </w:rPr>
        <w:t>C</w:t>
      </w:r>
      <w:r w:rsidRPr="00981B45">
        <w:rPr>
          <w:rFonts w:ascii="Arial" w:hAnsi="Arial" w:cs="Arial"/>
          <w:color w:val="000000" w:themeColor="text1"/>
          <w:sz w:val="24"/>
          <w:szCs w:val="24"/>
        </w:rPr>
        <w:t>ounsel</w:t>
      </w:r>
      <w:r w:rsidR="00090CA5">
        <w:rPr>
          <w:rFonts w:ascii="Arial" w:hAnsi="Arial" w:cs="Arial"/>
          <w:color w:val="000000" w:themeColor="text1"/>
          <w:sz w:val="24"/>
          <w:szCs w:val="24"/>
        </w:rPr>
        <w:t xml:space="preserve"> submitted </w:t>
      </w:r>
      <w:r w:rsidRPr="00981B45">
        <w:rPr>
          <w:rFonts w:ascii="Arial" w:hAnsi="Arial" w:cs="Arial"/>
          <w:color w:val="000000" w:themeColor="text1"/>
          <w:sz w:val="24"/>
          <w:szCs w:val="24"/>
        </w:rPr>
        <w:t>that the</w:t>
      </w:r>
      <w:r>
        <w:rPr>
          <w:rFonts w:ascii="Arial" w:hAnsi="Arial" w:cs="Arial"/>
          <w:color w:val="000000" w:themeColor="text1"/>
          <w:sz w:val="24"/>
          <w:szCs w:val="24"/>
        </w:rPr>
        <w:t xml:space="preserve"> </w:t>
      </w:r>
      <w:r w:rsidR="003760B8">
        <w:rPr>
          <w:rFonts w:ascii="Arial" w:hAnsi="Arial" w:cs="Arial"/>
          <w:color w:val="000000" w:themeColor="text1"/>
          <w:sz w:val="24"/>
          <w:szCs w:val="24"/>
        </w:rPr>
        <w:t>Tender Board</w:t>
      </w:r>
      <w:r>
        <w:rPr>
          <w:rFonts w:ascii="Arial" w:hAnsi="Arial" w:cs="Arial"/>
          <w:color w:val="000000" w:themeColor="text1"/>
          <w:sz w:val="24"/>
          <w:szCs w:val="24"/>
        </w:rPr>
        <w:t xml:space="preserve"> expressly informed his client that the period of the tender w</w:t>
      </w:r>
      <w:r w:rsidR="003126F9">
        <w:rPr>
          <w:rFonts w:ascii="Arial" w:hAnsi="Arial" w:cs="Arial"/>
          <w:color w:val="000000" w:themeColor="text1"/>
          <w:sz w:val="24"/>
          <w:szCs w:val="24"/>
        </w:rPr>
        <w:t>ou</w:t>
      </w:r>
      <w:r>
        <w:rPr>
          <w:rFonts w:ascii="Arial" w:hAnsi="Arial" w:cs="Arial"/>
          <w:color w:val="000000" w:themeColor="text1"/>
          <w:sz w:val="24"/>
          <w:szCs w:val="24"/>
        </w:rPr>
        <w:t>l</w:t>
      </w:r>
      <w:r w:rsidR="003126F9">
        <w:rPr>
          <w:rFonts w:ascii="Arial" w:hAnsi="Arial" w:cs="Arial"/>
          <w:color w:val="000000" w:themeColor="text1"/>
          <w:sz w:val="24"/>
          <w:szCs w:val="24"/>
        </w:rPr>
        <w:t>d</w:t>
      </w:r>
      <w:r>
        <w:rPr>
          <w:rFonts w:ascii="Arial" w:hAnsi="Arial" w:cs="Arial"/>
          <w:color w:val="000000" w:themeColor="text1"/>
          <w:sz w:val="24"/>
          <w:szCs w:val="24"/>
        </w:rPr>
        <w:t xml:space="preserve"> be indicated in the contract</w:t>
      </w:r>
      <w:r w:rsidRPr="00177365">
        <w:rPr>
          <w:rFonts w:ascii="Arial" w:hAnsi="Arial" w:cs="Arial"/>
          <w:color w:val="000000" w:themeColor="text1"/>
          <w:sz w:val="24"/>
          <w:szCs w:val="24"/>
        </w:rPr>
        <w:t>.</w:t>
      </w:r>
    </w:p>
    <w:p w:rsidR="005C2022" w:rsidRDefault="005C2022" w:rsidP="00B90190">
      <w:pPr>
        <w:spacing w:after="0" w:line="480" w:lineRule="auto"/>
        <w:jc w:val="both"/>
        <w:rPr>
          <w:rFonts w:ascii="Arial" w:hAnsi="Arial" w:cs="Arial"/>
          <w:color w:val="000000" w:themeColor="text1"/>
          <w:sz w:val="24"/>
          <w:szCs w:val="24"/>
        </w:rPr>
      </w:pPr>
    </w:p>
    <w:p w:rsidR="005C2022" w:rsidRDefault="0079405C" w:rsidP="00B90190">
      <w:pPr>
        <w:spacing w:after="0" w:line="480" w:lineRule="auto"/>
        <w:jc w:val="both"/>
        <w:rPr>
          <w:rFonts w:ascii="Arial" w:hAnsi="Arial" w:cs="Arial"/>
          <w:color w:val="000000" w:themeColor="text1"/>
          <w:sz w:val="24"/>
          <w:szCs w:val="24"/>
          <w:lang w:val="en-ZA"/>
        </w:rPr>
      </w:pPr>
      <w:r>
        <w:rPr>
          <w:rFonts w:ascii="Arial" w:hAnsi="Arial" w:cs="Arial"/>
          <w:color w:val="000000" w:themeColor="text1"/>
          <w:sz w:val="24"/>
          <w:szCs w:val="24"/>
        </w:rPr>
        <w:t>[25</w:t>
      </w:r>
      <w:r w:rsidR="003760B8">
        <w:rPr>
          <w:rFonts w:ascii="Arial" w:hAnsi="Arial" w:cs="Arial"/>
          <w:color w:val="000000" w:themeColor="text1"/>
          <w:sz w:val="24"/>
          <w:szCs w:val="24"/>
        </w:rPr>
        <w:t>]</w:t>
      </w:r>
      <w:r w:rsidR="003760B8">
        <w:rPr>
          <w:rFonts w:ascii="Arial" w:hAnsi="Arial" w:cs="Arial"/>
          <w:color w:val="000000" w:themeColor="text1"/>
          <w:sz w:val="24"/>
          <w:szCs w:val="24"/>
        </w:rPr>
        <w:tab/>
        <w:t>Counsel</w:t>
      </w:r>
      <w:r w:rsidR="005C2022">
        <w:rPr>
          <w:rFonts w:ascii="Arial" w:hAnsi="Arial" w:cs="Arial"/>
          <w:color w:val="000000" w:themeColor="text1"/>
          <w:sz w:val="24"/>
          <w:szCs w:val="24"/>
        </w:rPr>
        <w:t xml:space="preserve"> </w:t>
      </w:r>
      <w:r w:rsidR="00090CA5">
        <w:rPr>
          <w:rFonts w:ascii="Arial" w:hAnsi="Arial" w:cs="Arial"/>
          <w:color w:val="000000" w:themeColor="text1"/>
          <w:sz w:val="24"/>
          <w:szCs w:val="24"/>
        </w:rPr>
        <w:t xml:space="preserve">further </w:t>
      </w:r>
      <w:r w:rsidR="00A07AF0">
        <w:rPr>
          <w:rFonts w:ascii="Arial" w:hAnsi="Arial" w:cs="Arial"/>
          <w:color w:val="000000" w:themeColor="text1"/>
          <w:sz w:val="24"/>
          <w:szCs w:val="24"/>
        </w:rPr>
        <w:t xml:space="preserve">argued </w:t>
      </w:r>
      <w:r w:rsidR="005C2022" w:rsidRPr="00177365">
        <w:rPr>
          <w:rFonts w:ascii="Arial" w:hAnsi="Arial" w:cs="Arial"/>
          <w:color w:val="000000" w:themeColor="text1"/>
          <w:sz w:val="24"/>
          <w:szCs w:val="24"/>
        </w:rPr>
        <w:t xml:space="preserve">that the issue of the term of the contract </w:t>
      </w:r>
      <w:r w:rsidR="00A07AF0">
        <w:rPr>
          <w:rFonts w:ascii="Arial" w:hAnsi="Arial" w:cs="Arial"/>
          <w:color w:val="000000" w:themeColor="text1"/>
          <w:sz w:val="24"/>
          <w:szCs w:val="24"/>
        </w:rPr>
        <w:t xml:space="preserve">had been raised with the respondents </w:t>
      </w:r>
      <w:r w:rsidR="005C2022" w:rsidRPr="00177365">
        <w:rPr>
          <w:rFonts w:ascii="Arial" w:hAnsi="Arial" w:cs="Arial"/>
          <w:color w:val="000000" w:themeColor="text1"/>
          <w:sz w:val="24"/>
          <w:szCs w:val="24"/>
        </w:rPr>
        <w:t>at least on five occasions, to which they</w:t>
      </w:r>
      <w:r w:rsidR="005C2022">
        <w:rPr>
          <w:rFonts w:ascii="Arial" w:hAnsi="Arial" w:cs="Arial"/>
          <w:color w:val="000000" w:themeColor="text1"/>
          <w:sz w:val="24"/>
          <w:szCs w:val="24"/>
        </w:rPr>
        <w:t xml:space="preserve"> all</w:t>
      </w:r>
      <w:r w:rsidR="005C2022" w:rsidRPr="00177365">
        <w:rPr>
          <w:rFonts w:ascii="Arial" w:hAnsi="Arial" w:cs="Arial"/>
          <w:color w:val="000000" w:themeColor="text1"/>
          <w:sz w:val="24"/>
          <w:szCs w:val="24"/>
        </w:rPr>
        <w:t xml:space="preserve"> failed to react. </w:t>
      </w:r>
      <w:r w:rsidR="006344A3">
        <w:rPr>
          <w:rFonts w:ascii="Arial" w:hAnsi="Arial" w:cs="Arial"/>
          <w:color w:val="000000" w:themeColor="text1"/>
          <w:sz w:val="24"/>
          <w:szCs w:val="24"/>
        </w:rPr>
        <w:t>To illustrate his argument</w:t>
      </w:r>
      <w:r w:rsidR="005C2022">
        <w:rPr>
          <w:rFonts w:ascii="Arial" w:hAnsi="Arial" w:cs="Arial"/>
          <w:color w:val="000000" w:themeColor="text1"/>
          <w:sz w:val="24"/>
          <w:szCs w:val="24"/>
        </w:rPr>
        <w:t xml:space="preserve">, counsel referred the court to </w:t>
      </w:r>
      <w:r w:rsidR="005C2022" w:rsidRPr="00177365">
        <w:rPr>
          <w:rFonts w:ascii="Arial" w:hAnsi="Arial" w:cs="Arial"/>
          <w:color w:val="000000" w:themeColor="text1"/>
          <w:sz w:val="24"/>
          <w:szCs w:val="24"/>
        </w:rPr>
        <w:t>a series of lette</w:t>
      </w:r>
      <w:r w:rsidR="005C2022">
        <w:rPr>
          <w:rFonts w:ascii="Arial" w:hAnsi="Arial" w:cs="Arial"/>
          <w:color w:val="000000" w:themeColor="text1"/>
          <w:sz w:val="24"/>
          <w:szCs w:val="24"/>
        </w:rPr>
        <w:t xml:space="preserve">rs addressed to </w:t>
      </w:r>
      <w:r w:rsidR="005C2022">
        <w:rPr>
          <w:rFonts w:ascii="Arial" w:hAnsi="Arial" w:cs="Arial"/>
          <w:color w:val="000000" w:themeColor="text1"/>
          <w:sz w:val="24"/>
          <w:szCs w:val="24"/>
        </w:rPr>
        <w:lastRenderedPageBreak/>
        <w:t xml:space="preserve">the respondents. </w:t>
      </w:r>
      <w:r w:rsidR="005C2022" w:rsidRPr="001C78AA">
        <w:rPr>
          <w:rFonts w:ascii="Arial" w:hAnsi="Arial" w:cs="Arial"/>
          <w:color w:val="000000" w:themeColor="text1"/>
          <w:sz w:val="24"/>
          <w:szCs w:val="24"/>
        </w:rPr>
        <w:t xml:space="preserve">Counsel </w:t>
      </w:r>
      <w:r w:rsidR="00A07AF0">
        <w:rPr>
          <w:rFonts w:ascii="Arial" w:hAnsi="Arial" w:cs="Arial"/>
          <w:color w:val="000000" w:themeColor="text1"/>
          <w:sz w:val="24"/>
          <w:szCs w:val="24"/>
        </w:rPr>
        <w:t xml:space="preserve">maintained </w:t>
      </w:r>
      <w:r w:rsidR="005C2022" w:rsidRPr="001C78AA">
        <w:rPr>
          <w:rFonts w:ascii="Arial" w:hAnsi="Arial" w:cs="Arial"/>
          <w:color w:val="000000" w:themeColor="text1"/>
          <w:sz w:val="24"/>
          <w:szCs w:val="24"/>
        </w:rPr>
        <w:t xml:space="preserve">that as a result of the respondents’ failure to stipulate the period of the tender and </w:t>
      </w:r>
      <w:r w:rsidR="00A07AF0">
        <w:rPr>
          <w:rFonts w:ascii="Arial" w:hAnsi="Arial" w:cs="Arial"/>
          <w:color w:val="000000" w:themeColor="text1"/>
          <w:sz w:val="24"/>
          <w:szCs w:val="24"/>
        </w:rPr>
        <w:t xml:space="preserve">their </w:t>
      </w:r>
      <w:r w:rsidR="005C2022" w:rsidRPr="001C78AA">
        <w:rPr>
          <w:rFonts w:ascii="Arial" w:hAnsi="Arial" w:cs="Arial"/>
          <w:color w:val="000000" w:themeColor="text1"/>
          <w:sz w:val="24"/>
          <w:szCs w:val="24"/>
        </w:rPr>
        <w:t>su</w:t>
      </w:r>
      <w:r w:rsidR="005C2022">
        <w:rPr>
          <w:rFonts w:ascii="Arial" w:hAnsi="Arial" w:cs="Arial"/>
          <w:color w:val="000000" w:themeColor="text1"/>
          <w:sz w:val="24"/>
          <w:szCs w:val="24"/>
        </w:rPr>
        <w:t xml:space="preserve">bsequent failure to react to </w:t>
      </w:r>
      <w:r w:rsidR="00A07AF0">
        <w:rPr>
          <w:rFonts w:ascii="Arial" w:hAnsi="Arial" w:cs="Arial"/>
          <w:color w:val="000000" w:themeColor="text1"/>
          <w:sz w:val="24"/>
          <w:szCs w:val="24"/>
        </w:rPr>
        <w:t>the appellant</w:t>
      </w:r>
      <w:r w:rsidR="005C2022">
        <w:rPr>
          <w:rFonts w:ascii="Arial" w:hAnsi="Arial" w:cs="Arial"/>
          <w:color w:val="000000" w:themeColor="text1"/>
          <w:sz w:val="24"/>
          <w:szCs w:val="24"/>
        </w:rPr>
        <w:t>'s</w:t>
      </w:r>
      <w:r w:rsidR="005C2022" w:rsidRPr="001C78AA">
        <w:rPr>
          <w:rFonts w:ascii="Arial" w:hAnsi="Arial" w:cs="Arial"/>
          <w:color w:val="000000" w:themeColor="text1"/>
          <w:sz w:val="24"/>
          <w:szCs w:val="24"/>
        </w:rPr>
        <w:t xml:space="preserve"> letters on the issue, the </w:t>
      </w:r>
      <w:r w:rsidR="005C2022">
        <w:rPr>
          <w:rFonts w:ascii="Arial" w:hAnsi="Arial" w:cs="Arial"/>
          <w:color w:val="000000" w:themeColor="text1"/>
          <w:sz w:val="24"/>
          <w:szCs w:val="24"/>
        </w:rPr>
        <w:t xml:space="preserve">appellant </w:t>
      </w:r>
      <w:r w:rsidR="005C2022" w:rsidRPr="001C78AA">
        <w:rPr>
          <w:rFonts w:ascii="Arial" w:hAnsi="Arial" w:cs="Arial"/>
          <w:color w:val="000000" w:themeColor="text1"/>
          <w:sz w:val="24"/>
          <w:szCs w:val="24"/>
        </w:rPr>
        <w:t>assumed that the tender awarded to it was for the five years</w:t>
      </w:r>
      <w:r w:rsidR="005C2022">
        <w:rPr>
          <w:rFonts w:ascii="Arial" w:hAnsi="Arial" w:cs="Arial"/>
          <w:color w:val="000000" w:themeColor="text1"/>
          <w:sz w:val="24"/>
          <w:szCs w:val="24"/>
        </w:rPr>
        <w:t xml:space="preserve"> up to January 2019</w:t>
      </w:r>
      <w:r w:rsidR="005C2022" w:rsidRPr="001C78AA">
        <w:rPr>
          <w:rFonts w:ascii="Arial" w:hAnsi="Arial" w:cs="Arial"/>
          <w:color w:val="000000" w:themeColor="text1"/>
          <w:sz w:val="24"/>
          <w:szCs w:val="24"/>
        </w:rPr>
        <w:t xml:space="preserve">. </w:t>
      </w:r>
      <w:r w:rsidR="005C2022">
        <w:rPr>
          <w:rFonts w:ascii="Arial" w:hAnsi="Arial" w:cs="Arial"/>
          <w:color w:val="000000" w:themeColor="text1"/>
          <w:sz w:val="24"/>
          <w:szCs w:val="24"/>
        </w:rPr>
        <w:t xml:space="preserve"> Counsel c</w:t>
      </w:r>
      <w:r w:rsidR="00A07AF0">
        <w:rPr>
          <w:rFonts w:ascii="Arial" w:hAnsi="Arial" w:cs="Arial"/>
          <w:color w:val="000000" w:themeColor="text1"/>
          <w:sz w:val="24"/>
          <w:szCs w:val="24"/>
        </w:rPr>
        <w:t xml:space="preserve">ontended </w:t>
      </w:r>
      <w:r w:rsidR="005C2022">
        <w:rPr>
          <w:rFonts w:ascii="Arial" w:hAnsi="Arial" w:cs="Arial"/>
          <w:color w:val="000000" w:themeColor="text1"/>
          <w:sz w:val="24"/>
          <w:szCs w:val="24"/>
        </w:rPr>
        <w:t xml:space="preserve">with reference to </w:t>
      </w:r>
      <w:r w:rsidR="005C2022" w:rsidRPr="00DD0B55">
        <w:rPr>
          <w:rFonts w:ascii="Arial" w:hAnsi="Arial" w:cs="Arial"/>
          <w:i/>
          <w:sz w:val="24"/>
        </w:rPr>
        <w:t>Minister of Mines and Energy and Others v Petroneft International Ltd and Others</w:t>
      </w:r>
      <w:r w:rsidR="005C2022" w:rsidRPr="00DD0B55">
        <w:rPr>
          <w:rFonts w:ascii="Arial" w:hAnsi="Arial" w:cs="Arial"/>
          <w:sz w:val="24"/>
        </w:rPr>
        <w:t xml:space="preserve"> 2012 (2) </w:t>
      </w:r>
      <w:r w:rsidR="005C2022">
        <w:rPr>
          <w:rFonts w:ascii="Arial" w:hAnsi="Arial" w:cs="Arial"/>
          <w:sz w:val="24"/>
        </w:rPr>
        <w:t>NR 781 (SC</w:t>
      </w:r>
      <w:r w:rsidR="005C2022" w:rsidRPr="00DD0B55">
        <w:rPr>
          <w:rFonts w:ascii="Arial" w:hAnsi="Arial" w:cs="Arial"/>
          <w:sz w:val="24"/>
        </w:rPr>
        <w:t>)</w:t>
      </w:r>
      <w:r w:rsidR="005C2022">
        <w:rPr>
          <w:rFonts w:ascii="Arial" w:hAnsi="Arial" w:cs="Arial"/>
          <w:sz w:val="24"/>
        </w:rPr>
        <w:t xml:space="preserve">, </w:t>
      </w:r>
      <w:r w:rsidR="005C2022" w:rsidRPr="006D556B">
        <w:rPr>
          <w:rFonts w:ascii="Arial" w:hAnsi="Arial" w:cs="Arial"/>
          <w:sz w:val="24"/>
        </w:rPr>
        <w:t xml:space="preserve">that </w:t>
      </w:r>
      <w:r w:rsidR="005C2022">
        <w:rPr>
          <w:rFonts w:ascii="Arial" w:hAnsi="Arial" w:cs="Arial"/>
          <w:sz w:val="24"/>
        </w:rPr>
        <w:t xml:space="preserve">his client </w:t>
      </w:r>
      <w:r w:rsidR="005C2022" w:rsidRPr="006D556B">
        <w:rPr>
          <w:rFonts w:ascii="Arial" w:hAnsi="Arial" w:cs="Arial"/>
          <w:sz w:val="24"/>
        </w:rPr>
        <w:t>had a 'legitimate expectation' to be heard before the</w:t>
      </w:r>
      <w:r w:rsidR="005C2022">
        <w:rPr>
          <w:rFonts w:ascii="Arial" w:hAnsi="Arial" w:cs="Arial"/>
          <w:sz w:val="24"/>
        </w:rPr>
        <w:t xml:space="preserve"> </w:t>
      </w:r>
      <w:r w:rsidR="00090CA5">
        <w:rPr>
          <w:rFonts w:ascii="Arial" w:hAnsi="Arial" w:cs="Arial"/>
          <w:sz w:val="24"/>
        </w:rPr>
        <w:t xml:space="preserve">Tender Board </w:t>
      </w:r>
      <w:r w:rsidR="005C2022">
        <w:rPr>
          <w:rFonts w:ascii="Arial" w:hAnsi="Arial" w:cs="Arial"/>
          <w:sz w:val="24"/>
        </w:rPr>
        <w:t>could impose a shorter period of the tender.</w:t>
      </w:r>
    </w:p>
    <w:p w:rsidR="00000FBD" w:rsidRPr="00E71FCF" w:rsidRDefault="00000FBD" w:rsidP="00B90190">
      <w:pPr>
        <w:spacing w:after="0" w:line="480" w:lineRule="auto"/>
        <w:jc w:val="both"/>
        <w:rPr>
          <w:rFonts w:ascii="Arial" w:hAnsi="Arial" w:cs="Arial"/>
          <w:color w:val="000000" w:themeColor="text1"/>
          <w:sz w:val="24"/>
          <w:szCs w:val="24"/>
        </w:rPr>
      </w:pPr>
    </w:p>
    <w:p w:rsidR="005C2022" w:rsidRDefault="0079405C" w:rsidP="00B90190">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[26</w:t>
      </w:r>
      <w:r w:rsidR="005C2022">
        <w:rPr>
          <w:rFonts w:ascii="Arial" w:hAnsi="Arial" w:cs="Arial"/>
          <w:color w:val="000000" w:themeColor="text1"/>
          <w:sz w:val="24"/>
          <w:szCs w:val="24"/>
        </w:rPr>
        <w:t>]</w:t>
      </w:r>
      <w:r w:rsidR="005C2022">
        <w:rPr>
          <w:rFonts w:ascii="Arial" w:hAnsi="Arial" w:cs="Arial"/>
          <w:color w:val="000000" w:themeColor="text1"/>
          <w:sz w:val="24"/>
          <w:szCs w:val="24"/>
        </w:rPr>
        <w:tab/>
        <w:t>On the facts stated above, counsel contended that the respondents let appellant to believe that its</w:t>
      </w:r>
      <w:r w:rsidR="00A07AF0">
        <w:rPr>
          <w:rFonts w:ascii="Arial" w:hAnsi="Arial" w:cs="Arial"/>
          <w:color w:val="000000" w:themeColor="text1"/>
          <w:sz w:val="24"/>
          <w:szCs w:val="24"/>
        </w:rPr>
        <w:t xml:space="preserve"> assumption regarding the term wa</w:t>
      </w:r>
      <w:r w:rsidR="005C2022">
        <w:rPr>
          <w:rFonts w:ascii="Arial" w:hAnsi="Arial" w:cs="Arial"/>
          <w:color w:val="000000" w:themeColor="text1"/>
          <w:sz w:val="24"/>
          <w:szCs w:val="24"/>
        </w:rPr>
        <w:t xml:space="preserve">s not contradicted and as such, the respondents </w:t>
      </w:r>
      <w:r w:rsidR="00A07AF0">
        <w:rPr>
          <w:rFonts w:ascii="Arial" w:hAnsi="Arial" w:cs="Arial"/>
          <w:color w:val="000000" w:themeColor="text1"/>
          <w:sz w:val="24"/>
          <w:szCs w:val="24"/>
        </w:rPr>
        <w:t>we</w:t>
      </w:r>
      <w:r w:rsidR="005C2022">
        <w:rPr>
          <w:rFonts w:ascii="Arial" w:hAnsi="Arial" w:cs="Arial"/>
          <w:color w:val="000000" w:themeColor="text1"/>
          <w:sz w:val="24"/>
          <w:szCs w:val="24"/>
        </w:rPr>
        <w:t xml:space="preserve">re estopped from vindicating that the tender was to end by March 2014. Counsel further </w:t>
      </w:r>
      <w:r w:rsidR="00A07AF0">
        <w:rPr>
          <w:rFonts w:ascii="Arial" w:hAnsi="Arial" w:cs="Arial"/>
          <w:color w:val="000000" w:themeColor="text1"/>
          <w:sz w:val="24"/>
          <w:szCs w:val="24"/>
        </w:rPr>
        <w:t xml:space="preserve">submitted </w:t>
      </w:r>
      <w:r w:rsidR="005C2022">
        <w:rPr>
          <w:rFonts w:ascii="Arial" w:hAnsi="Arial" w:cs="Arial"/>
          <w:color w:val="000000" w:themeColor="text1"/>
          <w:sz w:val="24"/>
          <w:szCs w:val="24"/>
        </w:rPr>
        <w:t xml:space="preserve">that </w:t>
      </w:r>
      <w:r w:rsidR="005C2022" w:rsidRPr="007605DD">
        <w:rPr>
          <w:rFonts w:ascii="Arial" w:hAnsi="Arial" w:cs="Arial"/>
          <w:color w:val="000000" w:themeColor="text1"/>
          <w:sz w:val="24"/>
          <w:szCs w:val="24"/>
          <w:lang w:val="en-GB"/>
        </w:rPr>
        <w:t>the contractual framework on which the</w:t>
      </w:r>
      <w:r w:rsidR="005C2022">
        <w:rPr>
          <w:rFonts w:ascii="Arial" w:hAnsi="Arial" w:cs="Arial"/>
          <w:color w:val="000000" w:themeColor="text1"/>
          <w:sz w:val="24"/>
          <w:szCs w:val="24"/>
          <w:lang w:val="en-GB"/>
        </w:rPr>
        <w:t xml:space="preserve"> Permanent Secretary relied</w:t>
      </w:r>
      <w:r w:rsidR="005C2022" w:rsidRPr="007605DD">
        <w:rPr>
          <w:rFonts w:ascii="Arial" w:hAnsi="Arial" w:cs="Arial"/>
          <w:color w:val="000000" w:themeColor="text1"/>
          <w:sz w:val="24"/>
          <w:szCs w:val="24"/>
          <w:lang w:val="en-GB"/>
        </w:rPr>
        <w:t xml:space="preserve"> </w:t>
      </w:r>
      <w:r w:rsidR="00A07AF0">
        <w:rPr>
          <w:rFonts w:ascii="Arial" w:hAnsi="Arial" w:cs="Arial"/>
          <w:color w:val="000000" w:themeColor="text1"/>
          <w:sz w:val="24"/>
          <w:szCs w:val="24"/>
          <w:lang w:val="en-GB"/>
        </w:rPr>
        <w:t xml:space="preserve">on </w:t>
      </w:r>
      <w:r w:rsidR="005C2022" w:rsidRPr="007605DD">
        <w:rPr>
          <w:rFonts w:ascii="Arial" w:hAnsi="Arial" w:cs="Arial"/>
          <w:color w:val="000000" w:themeColor="text1"/>
          <w:sz w:val="24"/>
          <w:szCs w:val="24"/>
          <w:lang w:val="en-GB"/>
        </w:rPr>
        <w:t>to impose the obl</w:t>
      </w:r>
      <w:r w:rsidR="005C2022">
        <w:rPr>
          <w:rFonts w:ascii="Arial" w:hAnsi="Arial" w:cs="Arial"/>
          <w:color w:val="000000" w:themeColor="text1"/>
          <w:sz w:val="24"/>
          <w:szCs w:val="24"/>
          <w:lang w:val="en-GB"/>
        </w:rPr>
        <w:t>igations on appellant stipulated</w:t>
      </w:r>
      <w:r w:rsidR="005C2022" w:rsidRPr="007605DD">
        <w:rPr>
          <w:rFonts w:ascii="Arial" w:hAnsi="Arial" w:cs="Arial"/>
          <w:color w:val="000000" w:themeColor="text1"/>
          <w:sz w:val="24"/>
          <w:szCs w:val="24"/>
          <w:lang w:val="en-GB"/>
        </w:rPr>
        <w:t xml:space="preserve"> a five year term</w:t>
      </w:r>
      <w:r w:rsidR="005C2022">
        <w:rPr>
          <w:rFonts w:ascii="Arial" w:hAnsi="Arial" w:cs="Arial"/>
          <w:color w:val="000000" w:themeColor="text1"/>
          <w:sz w:val="24"/>
          <w:szCs w:val="24"/>
          <w:lang w:val="en-GB"/>
        </w:rPr>
        <w:t xml:space="preserve"> and as such the P</w:t>
      </w:r>
      <w:r w:rsidR="009A028D">
        <w:rPr>
          <w:rFonts w:ascii="Arial" w:hAnsi="Arial" w:cs="Arial"/>
          <w:color w:val="000000" w:themeColor="text1"/>
          <w:sz w:val="24"/>
          <w:szCs w:val="24"/>
          <w:lang w:val="en-GB"/>
        </w:rPr>
        <w:t xml:space="preserve">ermanent </w:t>
      </w:r>
      <w:r w:rsidR="005C2022">
        <w:rPr>
          <w:rFonts w:ascii="Arial" w:hAnsi="Arial" w:cs="Arial"/>
          <w:color w:val="000000" w:themeColor="text1"/>
          <w:sz w:val="24"/>
          <w:szCs w:val="24"/>
          <w:lang w:val="en-GB"/>
        </w:rPr>
        <w:t>S</w:t>
      </w:r>
      <w:r w:rsidR="009A028D">
        <w:rPr>
          <w:rFonts w:ascii="Arial" w:hAnsi="Arial" w:cs="Arial"/>
          <w:color w:val="000000" w:themeColor="text1"/>
          <w:sz w:val="24"/>
          <w:szCs w:val="24"/>
          <w:lang w:val="en-GB"/>
        </w:rPr>
        <w:t>ecretary</w:t>
      </w:r>
      <w:r w:rsidR="005C2022">
        <w:rPr>
          <w:rFonts w:ascii="Arial" w:hAnsi="Arial" w:cs="Arial"/>
          <w:color w:val="000000" w:themeColor="text1"/>
          <w:sz w:val="24"/>
          <w:szCs w:val="24"/>
          <w:lang w:val="en-GB"/>
        </w:rPr>
        <w:t xml:space="preserve"> should not be allowed to ignore the appell</w:t>
      </w:r>
      <w:r w:rsidR="00E92FDF">
        <w:rPr>
          <w:rFonts w:ascii="Arial" w:hAnsi="Arial" w:cs="Arial"/>
          <w:color w:val="000000" w:themeColor="text1"/>
          <w:sz w:val="24"/>
          <w:szCs w:val="24"/>
          <w:lang w:val="en-GB"/>
        </w:rPr>
        <w:t>ant's rights as contained in that</w:t>
      </w:r>
      <w:r w:rsidR="005C2022">
        <w:rPr>
          <w:rFonts w:ascii="Arial" w:hAnsi="Arial" w:cs="Arial"/>
          <w:color w:val="000000" w:themeColor="text1"/>
          <w:sz w:val="24"/>
          <w:szCs w:val="24"/>
          <w:lang w:val="en-GB"/>
        </w:rPr>
        <w:t xml:space="preserve"> contract</w:t>
      </w:r>
      <w:r w:rsidR="005C2022" w:rsidRPr="007605DD">
        <w:rPr>
          <w:rFonts w:ascii="Arial" w:hAnsi="Arial" w:cs="Arial"/>
          <w:color w:val="000000" w:themeColor="text1"/>
          <w:sz w:val="24"/>
          <w:szCs w:val="24"/>
          <w:lang w:val="en-GB"/>
        </w:rPr>
        <w:t xml:space="preserve">. </w:t>
      </w:r>
      <w:r w:rsidR="005C2022">
        <w:rPr>
          <w:rFonts w:ascii="Arial" w:hAnsi="Arial" w:cs="Arial"/>
          <w:color w:val="000000" w:themeColor="text1"/>
          <w:sz w:val="24"/>
          <w:szCs w:val="24"/>
          <w:lang w:val="en-GB"/>
        </w:rPr>
        <w:t>In support of</w:t>
      </w:r>
      <w:r w:rsidR="00944A66">
        <w:rPr>
          <w:rFonts w:ascii="Arial" w:hAnsi="Arial" w:cs="Arial"/>
          <w:color w:val="000000" w:themeColor="text1"/>
          <w:sz w:val="24"/>
          <w:szCs w:val="24"/>
          <w:lang w:val="en-GB"/>
        </w:rPr>
        <w:t xml:space="preserve"> the estoppel ground</w:t>
      </w:r>
      <w:r w:rsidR="005C2022">
        <w:rPr>
          <w:rFonts w:ascii="Arial" w:hAnsi="Arial" w:cs="Arial"/>
          <w:color w:val="000000" w:themeColor="text1"/>
          <w:sz w:val="24"/>
          <w:szCs w:val="24"/>
          <w:lang w:val="en-GB"/>
        </w:rPr>
        <w:t xml:space="preserve">, </w:t>
      </w:r>
      <w:r w:rsidR="00A07AF0">
        <w:rPr>
          <w:rFonts w:ascii="Arial" w:hAnsi="Arial" w:cs="Arial"/>
          <w:color w:val="000000" w:themeColor="text1"/>
          <w:sz w:val="24"/>
          <w:szCs w:val="24"/>
          <w:lang w:val="en-GB"/>
        </w:rPr>
        <w:t xml:space="preserve">counsel relied on </w:t>
      </w:r>
      <w:r w:rsidR="005C2022" w:rsidRPr="00945715">
        <w:rPr>
          <w:rFonts w:ascii="Arial" w:hAnsi="Arial" w:cs="Arial"/>
          <w:i/>
          <w:color w:val="000000" w:themeColor="text1"/>
          <w:sz w:val="24"/>
          <w:szCs w:val="24"/>
          <w:lang w:val="en-GB"/>
        </w:rPr>
        <w:t>Concor Holdings (Pty) Ltd t/a Concor Technicrete v Potgieter</w:t>
      </w:r>
      <w:r w:rsidR="005C2022" w:rsidRPr="008E5694">
        <w:rPr>
          <w:rFonts w:ascii="Arial" w:hAnsi="Arial" w:cs="Arial"/>
          <w:color w:val="000000" w:themeColor="text1"/>
          <w:sz w:val="24"/>
          <w:szCs w:val="24"/>
          <w:lang w:val="en-GB"/>
        </w:rPr>
        <w:t xml:space="preserve"> 2004 (6) </w:t>
      </w:r>
      <w:r w:rsidR="005C2022">
        <w:rPr>
          <w:rFonts w:ascii="Arial" w:hAnsi="Arial" w:cs="Arial"/>
          <w:color w:val="000000" w:themeColor="text1"/>
          <w:sz w:val="24"/>
          <w:szCs w:val="24"/>
          <w:lang w:val="en-GB"/>
        </w:rPr>
        <w:t xml:space="preserve">SA </w:t>
      </w:r>
      <w:r w:rsidR="005C2022" w:rsidRPr="008E5694">
        <w:rPr>
          <w:rFonts w:ascii="Arial" w:hAnsi="Arial" w:cs="Arial"/>
          <w:color w:val="000000" w:themeColor="text1"/>
          <w:sz w:val="24"/>
          <w:szCs w:val="24"/>
          <w:lang w:val="en-GB"/>
        </w:rPr>
        <w:t>491 (</w:t>
      </w:r>
      <w:r w:rsidR="005C2022">
        <w:rPr>
          <w:rFonts w:ascii="Arial" w:hAnsi="Arial" w:cs="Arial"/>
          <w:color w:val="000000" w:themeColor="text1"/>
          <w:sz w:val="24"/>
          <w:szCs w:val="24"/>
          <w:lang w:val="en-GB"/>
        </w:rPr>
        <w:t>SCA</w:t>
      </w:r>
      <w:r w:rsidR="005C2022" w:rsidRPr="008E5694">
        <w:rPr>
          <w:rFonts w:ascii="Arial" w:hAnsi="Arial" w:cs="Arial"/>
          <w:color w:val="000000" w:themeColor="text1"/>
          <w:sz w:val="24"/>
          <w:szCs w:val="24"/>
          <w:lang w:val="en-GB"/>
        </w:rPr>
        <w:t>)</w:t>
      </w:r>
      <w:r w:rsidR="005C2022">
        <w:rPr>
          <w:rFonts w:ascii="Arial" w:hAnsi="Arial" w:cs="Arial"/>
          <w:color w:val="000000" w:themeColor="text1"/>
          <w:sz w:val="24"/>
          <w:szCs w:val="24"/>
          <w:lang w:val="en-GB"/>
        </w:rPr>
        <w:t xml:space="preserve">, in which the </w:t>
      </w:r>
      <w:r w:rsidR="008E7449">
        <w:rPr>
          <w:rFonts w:ascii="Arial" w:hAnsi="Arial" w:cs="Arial"/>
          <w:color w:val="000000" w:themeColor="text1"/>
          <w:sz w:val="24"/>
          <w:szCs w:val="24"/>
          <w:lang w:val="en-GB"/>
        </w:rPr>
        <w:t xml:space="preserve">South African </w:t>
      </w:r>
      <w:r w:rsidR="005C2022">
        <w:rPr>
          <w:rFonts w:ascii="Arial" w:hAnsi="Arial" w:cs="Arial"/>
          <w:color w:val="000000" w:themeColor="text1"/>
          <w:sz w:val="24"/>
          <w:szCs w:val="24"/>
          <w:lang w:val="en-GB"/>
        </w:rPr>
        <w:t>Supreme Court of Appeal dealt with the doctrine and set out the r</w:t>
      </w:r>
      <w:r w:rsidR="005C2022" w:rsidRPr="00945715">
        <w:rPr>
          <w:rFonts w:ascii="Arial" w:hAnsi="Arial" w:cs="Arial"/>
          <w:color w:val="000000" w:themeColor="text1"/>
          <w:sz w:val="24"/>
          <w:szCs w:val="24"/>
          <w:lang w:val="en-GB"/>
        </w:rPr>
        <w:t>equirements for representation by conduct</w:t>
      </w:r>
      <w:r w:rsidR="005C2022">
        <w:rPr>
          <w:rFonts w:ascii="Arial" w:hAnsi="Arial" w:cs="Arial"/>
          <w:color w:val="000000" w:themeColor="text1"/>
          <w:sz w:val="24"/>
          <w:szCs w:val="24"/>
          <w:lang w:val="en-GB"/>
        </w:rPr>
        <w:t>.</w:t>
      </w:r>
      <w:r w:rsidR="004C79D4">
        <w:rPr>
          <w:rFonts w:ascii="Arial" w:hAnsi="Arial" w:cs="Arial"/>
          <w:color w:val="000000" w:themeColor="text1"/>
          <w:sz w:val="24"/>
          <w:szCs w:val="24"/>
          <w:lang w:val="en-GB"/>
        </w:rPr>
        <w:t xml:space="preserve"> It should immediately be noted that the contract on the basis of which the Permanent Secretary allegedly relied to impose obligations on the appellant has not been signed by the parties.</w:t>
      </w:r>
    </w:p>
    <w:p w:rsidR="005C2022" w:rsidRDefault="005C2022" w:rsidP="00B90190">
      <w:pPr>
        <w:spacing w:after="0" w:line="480" w:lineRule="auto"/>
        <w:jc w:val="both"/>
        <w:rPr>
          <w:rFonts w:ascii="Arial" w:hAnsi="Arial" w:cs="Arial"/>
          <w:color w:val="000000" w:themeColor="text1"/>
          <w:sz w:val="24"/>
          <w:szCs w:val="24"/>
        </w:rPr>
      </w:pPr>
    </w:p>
    <w:p w:rsidR="005C2022" w:rsidRDefault="005C2022"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[2</w:t>
      </w:r>
      <w:r w:rsidR="0079405C">
        <w:rPr>
          <w:rFonts w:ascii="Arial" w:hAnsi="Arial" w:cs="Arial"/>
          <w:color w:val="000000" w:themeColor="text1"/>
          <w:sz w:val="24"/>
          <w:szCs w:val="24"/>
          <w:lang w:val="en-GB"/>
        </w:rPr>
        <w:t>7</w:t>
      </w:r>
      <w:r>
        <w:rPr>
          <w:rFonts w:ascii="Arial" w:hAnsi="Arial" w:cs="Arial"/>
          <w:color w:val="000000" w:themeColor="text1"/>
          <w:sz w:val="24"/>
          <w:szCs w:val="24"/>
          <w:lang w:val="en-GB"/>
        </w:rPr>
        <w:t>]</w:t>
      </w:r>
      <w:r>
        <w:rPr>
          <w:rFonts w:ascii="Arial" w:hAnsi="Arial" w:cs="Arial"/>
          <w:color w:val="000000" w:themeColor="text1"/>
          <w:sz w:val="24"/>
          <w:szCs w:val="24"/>
          <w:lang w:val="en-GB"/>
        </w:rPr>
        <w:tab/>
        <w:t xml:space="preserve">On the restitution argument, </w:t>
      </w:r>
      <w:r w:rsidR="007A2682">
        <w:rPr>
          <w:rFonts w:ascii="Arial" w:hAnsi="Arial" w:cs="Arial"/>
          <w:color w:val="000000" w:themeColor="text1"/>
          <w:sz w:val="24"/>
          <w:szCs w:val="24"/>
          <w:lang w:val="en-GB"/>
        </w:rPr>
        <w:t>counsel</w:t>
      </w:r>
      <w:r>
        <w:rPr>
          <w:rFonts w:ascii="Arial" w:hAnsi="Arial" w:cs="Arial"/>
          <w:color w:val="000000" w:themeColor="text1"/>
          <w:sz w:val="24"/>
          <w:szCs w:val="24"/>
          <w:lang w:val="en-GB"/>
        </w:rPr>
        <w:t xml:space="preserve"> </w:t>
      </w:r>
      <w:r w:rsidR="006A156C">
        <w:rPr>
          <w:rFonts w:ascii="Arial" w:hAnsi="Arial" w:cs="Arial"/>
          <w:color w:val="000000" w:themeColor="text1"/>
          <w:sz w:val="24"/>
          <w:szCs w:val="24"/>
          <w:lang w:val="en-GB"/>
        </w:rPr>
        <w:t>for the respondents</w:t>
      </w:r>
      <w:r>
        <w:rPr>
          <w:rFonts w:ascii="Arial" w:hAnsi="Arial" w:cs="Arial"/>
          <w:sz w:val="24"/>
          <w:szCs w:val="24"/>
        </w:rPr>
        <w:t xml:space="preserve"> submitted</w:t>
      </w:r>
      <w:r>
        <w:rPr>
          <w:rFonts w:ascii="Arial" w:hAnsi="Arial" w:cs="Arial"/>
          <w:color w:val="000000" w:themeColor="text1"/>
          <w:sz w:val="24"/>
          <w:szCs w:val="24"/>
          <w:lang w:val="en-GB"/>
        </w:rPr>
        <w:t xml:space="preserve"> that the appellant's attempt to equate review proceedings </w:t>
      </w:r>
      <w:r w:rsidRPr="00005A29">
        <w:rPr>
          <w:rFonts w:ascii="Arial" w:hAnsi="Arial" w:cs="Arial"/>
          <w:sz w:val="24"/>
          <w:szCs w:val="24"/>
          <w:lang w:val="en-GB"/>
        </w:rPr>
        <w:t>to</w:t>
      </w:r>
      <w:r>
        <w:rPr>
          <w:rFonts w:ascii="Arial" w:hAnsi="Arial" w:cs="Arial"/>
          <w:color w:val="000000" w:themeColor="text1"/>
          <w:sz w:val="24"/>
          <w:szCs w:val="24"/>
          <w:lang w:val="en-GB"/>
        </w:rPr>
        <w:t xml:space="preserve"> an action for damages </w:t>
      </w:r>
      <w:r w:rsidRPr="00DE7FCF">
        <w:rPr>
          <w:rFonts w:ascii="Arial" w:hAnsi="Arial" w:cs="Arial"/>
          <w:color w:val="000000" w:themeColor="text1"/>
          <w:sz w:val="24"/>
          <w:szCs w:val="24"/>
        </w:rPr>
        <w:t>based on equity and fairness</w:t>
      </w:r>
      <w:r w:rsidRPr="00DE7FCF">
        <w:rPr>
          <w:rFonts w:ascii="Arial" w:hAnsi="Arial" w:cs="Arial"/>
          <w:color w:val="000000" w:themeColor="text1"/>
          <w:sz w:val="24"/>
          <w:szCs w:val="24"/>
          <w:lang w:val="en-GB"/>
        </w:rPr>
        <w:t xml:space="preserve"> </w:t>
      </w:r>
      <w:r w:rsidRPr="00C75EB4">
        <w:rPr>
          <w:rFonts w:ascii="Arial" w:hAnsi="Arial" w:cs="Arial"/>
          <w:color w:val="000000" w:themeColor="text1"/>
          <w:sz w:val="24"/>
          <w:szCs w:val="24"/>
          <w:lang w:val="en-GB"/>
        </w:rPr>
        <w:t>is a misconception of the n</w:t>
      </w:r>
      <w:r>
        <w:rPr>
          <w:rFonts w:ascii="Arial" w:hAnsi="Arial" w:cs="Arial"/>
          <w:color w:val="000000" w:themeColor="text1"/>
          <w:sz w:val="24"/>
          <w:szCs w:val="24"/>
          <w:lang w:val="en-GB"/>
        </w:rPr>
        <w:t xml:space="preserve">ature of review </w:t>
      </w:r>
      <w:r w:rsidR="008E7449">
        <w:rPr>
          <w:rFonts w:ascii="Arial" w:hAnsi="Arial" w:cs="Arial"/>
          <w:color w:val="000000" w:themeColor="text1"/>
          <w:sz w:val="24"/>
          <w:szCs w:val="24"/>
          <w:lang w:val="en-GB"/>
        </w:rPr>
        <w:t>proceedings</w:t>
      </w:r>
      <w:r>
        <w:rPr>
          <w:rFonts w:ascii="Arial" w:hAnsi="Arial" w:cs="Arial"/>
          <w:color w:val="000000" w:themeColor="text1"/>
          <w:sz w:val="24"/>
          <w:szCs w:val="24"/>
          <w:lang w:val="en-GB"/>
        </w:rPr>
        <w:t xml:space="preserve">. Counsel </w:t>
      </w:r>
      <w:r>
        <w:rPr>
          <w:rFonts w:ascii="Arial" w:hAnsi="Arial" w:cs="Arial"/>
          <w:color w:val="000000" w:themeColor="text1"/>
          <w:sz w:val="24"/>
          <w:szCs w:val="24"/>
          <w:lang w:val="en-GB"/>
        </w:rPr>
        <w:lastRenderedPageBreak/>
        <w:t>contended that the appellant fail</w:t>
      </w:r>
      <w:r w:rsidR="00FD7C6A">
        <w:rPr>
          <w:rFonts w:ascii="Arial" w:hAnsi="Arial" w:cs="Arial"/>
          <w:color w:val="000000" w:themeColor="text1"/>
          <w:sz w:val="24"/>
          <w:szCs w:val="24"/>
          <w:lang w:val="en-GB"/>
        </w:rPr>
        <w:t>ed</w:t>
      </w:r>
      <w:r>
        <w:rPr>
          <w:rFonts w:ascii="Arial" w:hAnsi="Arial" w:cs="Arial"/>
          <w:color w:val="000000" w:themeColor="text1"/>
          <w:sz w:val="24"/>
          <w:szCs w:val="24"/>
          <w:lang w:val="en-GB"/>
        </w:rPr>
        <w:t xml:space="preserve"> to appreciate the unique nature of review applications and the distinction drawn between it and contractual or delictual claims. Counsel </w:t>
      </w:r>
      <w:r w:rsidR="00137330">
        <w:rPr>
          <w:rFonts w:ascii="Arial" w:hAnsi="Arial" w:cs="Arial"/>
          <w:color w:val="000000" w:themeColor="text1"/>
          <w:sz w:val="24"/>
          <w:szCs w:val="24"/>
          <w:lang w:val="en-GB"/>
        </w:rPr>
        <w:t xml:space="preserve">therefore </w:t>
      </w:r>
      <w:r>
        <w:rPr>
          <w:rFonts w:ascii="Arial" w:hAnsi="Arial" w:cs="Arial"/>
          <w:color w:val="000000" w:themeColor="text1"/>
          <w:sz w:val="24"/>
          <w:szCs w:val="24"/>
          <w:lang w:val="en-GB"/>
        </w:rPr>
        <w:t xml:space="preserve">argued that if the appellant felt aggrieved by </w:t>
      </w:r>
      <w:r w:rsidR="008E7449">
        <w:rPr>
          <w:rFonts w:ascii="Arial" w:hAnsi="Arial" w:cs="Arial"/>
          <w:color w:val="000000" w:themeColor="text1"/>
          <w:sz w:val="24"/>
          <w:szCs w:val="24"/>
          <w:lang w:val="en-GB"/>
        </w:rPr>
        <w:t xml:space="preserve">the </w:t>
      </w:r>
      <w:r>
        <w:rPr>
          <w:rFonts w:ascii="Arial" w:hAnsi="Arial" w:cs="Arial"/>
          <w:color w:val="000000" w:themeColor="text1"/>
          <w:sz w:val="24"/>
          <w:szCs w:val="24"/>
          <w:lang w:val="en-GB"/>
        </w:rPr>
        <w:t xml:space="preserve">conduct of the </w:t>
      </w:r>
      <w:r w:rsidR="004621FF">
        <w:rPr>
          <w:rFonts w:ascii="Arial" w:hAnsi="Arial" w:cs="Arial"/>
          <w:color w:val="000000" w:themeColor="text1"/>
          <w:sz w:val="24"/>
          <w:szCs w:val="24"/>
          <w:lang w:val="en-GB"/>
        </w:rPr>
        <w:t>Ministry</w:t>
      </w:r>
      <w:r w:rsidR="007A2682">
        <w:rPr>
          <w:rFonts w:ascii="Arial" w:hAnsi="Arial" w:cs="Arial"/>
          <w:color w:val="000000" w:themeColor="text1"/>
          <w:sz w:val="24"/>
          <w:szCs w:val="24"/>
          <w:lang w:val="en-GB"/>
        </w:rPr>
        <w:t>'s</w:t>
      </w:r>
      <w:r w:rsidR="004621FF">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officials, which led to the appellant suffering </w:t>
      </w:r>
      <w:r w:rsidR="004621FF">
        <w:rPr>
          <w:rFonts w:ascii="Arial" w:hAnsi="Arial" w:cs="Arial"/>
          <w:color w:val="000000" w:themeColor="text1"/>
          <w:sz w:val="24"/>
          <w:szCs w:val="24"/>
          <w:lang w:val="en-GB"/>
        </w:rPr>
        <w:t xml:space="preserve">alleged </w:t>
      </w:r>
      <w:r>
        <w:rPr>
          <w:rFonts w:ascii="Arial" w:hAnsi="Arial" w:cs="Arial"/>
          <w:color w:val="000000" w:themeColor="text1"/>
          <w:sz w:val="24"/>
          <w:szCs w:val="24"/>
          <w:lang w:val="en-GB"/>
        </w:rPr>
        <w:t xml:space="preserve">loss or damages, the appropriate course of action </w:t>
      </w:r>
      <w:r w:rsidR="004621FF">
        <w:rPr>
          <w:rFonts w:ascii="Arial" w:hAnsi="Arial" w:cs="Arial"/>
          <w:color w:val="000000" w:themeColor="text1"/>
          <w:sz w:val="24"/>
          <w:szCs w:val="24"/>
          <w:lang w:val="en-GB"/>
        </w:rPr>
        <w:t xml:space="preserve">open </w:t>
      </w:r>
      <w:r>
        <w:rPr>
          <w:rFonts w:ascii="Arial" w:hAnsi="Arial" w:cs="Arial"/>
          <w:color w:val="000000" w:themeColor="text1"/>
          <w:sz w:val="24"/>
          <w:szCs w:val="24"/>
          <w:lang w:val="en-GB"/>
        </w:rPr>
        <w:t xml:space="preserve">to the appellant would be </w:t>
      </w:r>
      <w:r w:rsidR="004621FF">
        <w:rPr>
          <w:rFonts w:ascii="Arial" w:hAnsi="Arial" w:cs="Arial"/>
          <w:color w:val="000000" w:themeColor="text1"/>
          <w:sz w:val="24"/>
          <w:szCs w:val="24"/>
          <w:lang w:val="en-GB"/>
        </w:rPr>
        <w:t xml:space="preserve">to institute </w:t>
      </w:r>
      <w:r>
        <w:rPr>
          <w:rFonts w:ascii="Arial" w:hAnsi="Arial" w:cs="Arial"/>
          <w:color w:val="000000" w:themeColor="text1"/>
          <w:sz w:val="24"/>
          <w:szCs w:val="24"/>
          <w:lang w:val="en-GB"/>
        </w:rPr>
        <w:t xml:space="preserve">a damages claim, either </w:t>
      </w:r>
      <w:r w:rsidR="004621FF">
        <w:rPr>
          <w:rFonts w:ascii="Arial" w:hAnsi="Arial" w:cs="Arial"/>
          <w:color w:val="000000" w:themeColor="text1"/>
          <w:sz w:val="24"/>
          <w:szCs w:val="24"/>
          <w:lang w:val="en-GB"/>
        </w:rPr>
        <w:t xml:space="preserve">in </w:t>
      </w:r>
      <w:r>
        <w:rPr>
          <w:rFonts w:ascii="Arial" w:hAnsi="Arial" w:cs="Arial"/>
          <w:color w:val="000000" w:themeColor="text1"/>
          <w:sz w:val="24"/>
          <w:szCs w:val="24"/>
          <w:lang w:val="en-GB"/>
        </w:rPr>
        <w:t xml:space="preserve">delict or </w:t>
      </w:r>
      <w:r w:rsidR="004621FF">
        <w:rPr>
          <w:rFonts w:ascii="Arial" w:hAnsi="Arial" w:cs="Arial"/>
          <w:color w:val="000000" w:themeColor="text1"/>
          <w:sz w:val="24"/>
          <w:szCs w:val="24"/>
          <w:lang w:val="en-GB"/>
        </w:rPr>
        <w:t xml:space="preserve">in </w:t>
      </w:r>
      <w:r>
        <w:rPr>
          <w:rFonts w:ascii="Arial" w:hAnsi="Arial" w:cs="Arial"/>
          <w:color w:val="000000" w:themeColor="text1"/>
          <w:sz w:val="24"/>
          <w:szCs w:val="24"/>
          <w:lang w:val="en-GB"/>
        </w:rPr>
        <w:t xml:space="preserve">contract. </w:t>
      </w:r>
    </w:p>
    <w:p w:rsidR="00E036EE" w:rsidRDefault="00E036EE" w:rsidP="00B90190">
      <w:pPr>
        <w:spacing w:after="0" w:line="480" w:lineRule="auto"/>
        <w:jc w:val="both"/>
        <w:rPr>
          <w:rFonts w:ascii="Arial" w:hAnsi="Arial" w:cs="Arial"/>
          <w:color w:val="000000" w:themeColor="text1"/>
          <w:sz w:val="24"/>
          <w:szCs w:val="24"/>
          <w:lang w:val="en-GB"/>
        </w:rPr>
      </w:pPr>
    </w:p>
    <w:p w:rsidR="005C2022" w:rsidRDefault="0079405C"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[28</w:t>
      </w:r>
      <w:r w:rsidR="005C2022">
        <w:rPr>
          <w:rFonts w:ascii="Arial" w:hAnsi="Arial" w:cs="Arial"/>
          <w:color w:val="000000" w:themeColor="text1"/>
          <w:sz w:val="24"/>
          <w:szCs w:val="24"/>
          <w:lang w:val="en-GB"/>
        </w:rPr>
        <w:t>]</w:t>
      </w:r>
      <w:r w:rsidR="005C2022">
        <w:rPr>
          <w:rFonts w:ascii="Arial" w:hAnsi="Arial" w:cs="Arial"/>
          <w:color w:val="000000" w:themeColor="text1"/>
          <w:sz w:val="24"/>
          <w:szCs w:val="24"/>
          <w:lang w:val="en-GB"/>
        </w:rPr>
        <w:tab/>
        <w:t xml:space="preserve">Counsel </w:t>
      </w:r>
      <w:r w:rsidR="005C2022" w:rsidRPr="003506C3">
        <w:rPr>
          <w:rFonts w:ascii="Arial" w:hAnsi="Arial" w:cs="Arial"/>
          <w:color w:val="000000" w:themeColor="text1"/>
          <w:sz w:val="24"/>
          <w:szCs w:val="24"/>
          <w:lang w:val="en-GB"/>
        </w:rPr>
        <w:t xml:space="preserve">also raised issue with the way the appellant wanted its predicament to be </w:t>
      </w:r>
      <w:r w:rsidR="004621FF">
        <w:rPr>
          <w:rFonts w:ascii="Arial" w:hAnsi="Arial" w:cs="Arial"/>
          <w:color w:val="000000" w:themeColor="text1"/>
          <w:sz w:val="24"/>
          <w:szCs w:val="24"/>
          <w:lang w:val="en-GB"/>
        </w:rPr>
        <w:t>addressed</w:t>
      </w:r>
      <w:r w:rsidR="005C2022" w:rsidRPr="003506C3">
        <w:rPr>
          <w:rFonts w:ascii="Arial" w:hAnsi="Arial" w:cs="Arial"/>
          <w:color w:val="000000" w:themeColor="text1"/>
          <w:sz w:val="24"/>
          <w:szCs w:val="24"/>
          <w:lang w:val="en-GB"/>
        </w:rPr>
        <w:t xml:space="preserve">. </w:t>
      </w:r>
      <w:r w:rsidR="005C2022">
        <w:rPr>
          <w:rFonts w:ascii="Arial" w:hAnsi="Arial" w:cs="Arial"/>
          <w:color w:val="000000" w:themeColor="text1"/>
          <w:sz w:val="24"/>
          <w:szCs w:val="24"/>
          <w:lang w:val="en-GB"/>
        </w:rPr>
        <w:t xml:space="preserve">Counsel submitted that </w:t>
      </w:r>
      <w:r w:rsidR="005C2022" w:rsidRPr="00011AB1">
        <w:rPr>
          <w:rFonts w:ascii="Arial" w:hAnsi="Arial" w:cs="Arial"/>
          <w:color w:val="000000" w:themeColor="text1"/>
          <w:sz w:val="24"/>
          <w:szCs w:val="24"/>
          <w:lang w:val="en-GB"/>
        </w:rPr>
        <w:t xml:space="preserve">the main purpose of a review (which is a discretionary remedy) is the setting aside, correction, prevention or remedying of the impugned action. </w:t>
      </w:r>
      <w:r w:rsidR="005C2022">
        <w:rPr>
          <w:rFonts w:ascii="Arial" w:hAnsi="Arial" w:cs="Arial"/>
          <w:color w:val="000000" w:themeColor="text1"/>
          <w:sz w:val="24"/>
          <w:szCs w:val="24"/>
          <w:lang w:val="en-GB"/>
        </w:rPr>
        <w:t xml:space="preserve">Counsel contended that although </w:t>
      </w:r>
      <w:r w:rsidR="005C2022" w:rsidRPr="00011AB1">
        <w:rPr>
          <w:rFonts w:ascii="Arial" w:hAnsi="Arial" w:cs="Arial"/>
          <w:color w:val="000000" w:themeColor="text1"/>
          <w:sz w:val="24"/>
          <w:szCs w:val="24"/>
          <w:lang w:val="en-GB"/>
        </w:rPr>
        <w:t>court</w:t>
      </w:r>
      <w:r w:rsidR="005C2022">
        <w:rPr>
          <w:rFonts w:ascii="Arial" w:hAnsi="Arial" w:cs="Arial"/>
          <w:color w:val="000000" w:themeColor="text1"/>
          <w:sz w:val="24"/>
          <w:szCs w:val="24"/>
          <w:lang w:val="en-GB"/>
        </w:rPr>
        <w:t>s have</w:t>
      </w:r>
      <w:r w:rsidR="005C2022" w:rsidRPr="00D95655">
        <w:rPr>
          <w:rFonts w:ascii="Arial" w:hAnsi="Arial" w:cs="Arial"/>
          <w:color w:val="000000" w:themeColor="text1"/>
          <w:sz w:val="24"/>
          <w:szCs w:val="24"/>
          <w:lang w:val="en-GB"/>
        </w:rPr>
        <w:t xml:space="preserve"> wide powers and can give extensive directions when deciding on appropriate remedy</w:t>
      </w:r>
      <w:r w:rsidR="005C2022" w:rsidRPr="00011AB1">
        <w:rPr>
          <w:rFonts w:ascii="Arial" w:hAnsi="Arial" w:cs="Arial"/>
          <w:color w:val="000000" w:themeColor="text1"/>
          <w:sz w:val="24"/>
          <w:szCs w:val="24"/>
          <w:lang w:val="en-GB"/>
        </w:rPr>
        <w:t xml:space="preserve">, </w:t>
      </w:r>
      <w:r w:rsidR="005C2022">
        <w:rPr>
          <w:rFonts w:ascii="Arial" w:hAnsi="Arial" w:cs="Arial"/>
          <w:color w:val="000000" w:themeColor="text1"/>
          <w:sz w:val="24"/>
          <w:szCs w:val="24"/>
          <w:lang w:val="en-GB"/>
        </w:rPr>
        <w:t xml:space="preserve">such powers can only be exercised if a party asks for it at the commencement of the review application. It was submitted </w:t>
      </w:r>
      <w:r w:rsidR="00CC556D">
        <w:rPr>
          <w:rFonts w:ascii="Arial" w:hAnsi="Arial" w:cs="Arial"/>
          <w:color w:val="000000" w:themeColor="text1"/>
          <w:sz w:val="24"/>
          <w:szCs w:val="24"/>
          <w:lang w:val="en-GB"/>
        </w:rPr>
        <w:t xml:space="preserve">that </w:t>
      </w:r>
      <w:r w:rsidR="004621FF">
        <w:rPr>
          <w:rFonts w:ascii="Arial" w:hAnsi="Arial" w:cs="Arial"/>
          <w:color w:val="000000" w:themeColor="text1"/>
          <w:sz w:val="24"/>
          <w:szCs w:val="24"/>
          <w:lang w:val="en-GB"/>
        </w:rPr>
        <w:t>in considering the appropriate remedy,</w:t>
      </w:r>
      <w:r w:rsidR="005C2022" w:rsidRPr="00011AB1">
        <w:rPr>
          <w:rFonts w:ascii="Arial" w:hAnsi="Arial" w:cs="Arial"/>
          <w:color w:val="000000" w:themeColor="text1"/>
          <w:sz w:val="24"/>
          <w:szCs w:val="24"/>
          <w:lang w:val="en-GB"/>
        </w:rPr>
        <w:t xml:space="preserve"> </w:t>
      </w:r>
      <w:r w:rsidR="004621FF">
        <w:rPr>
          <w:rFonts w:ascii="Arial" w:hAnsi="Arial" w:cs="Arial"/>
          <w:color w:val="000000" w:themeColor="text1"/>
          <w:sz w:val="24"/>
          <w:szCs w:val="24"/>
          <w:lang w:val="en-GB"/>
        </w:rPr>
        <w:t xml:space="preserve">in a </w:t>
      </w:r>
      <w:r w:rsidR="005C2022">
        <w:rPr>
          <w:rFonts w:ascii="Arial" w:hAnsi="Arial" w:cs="Arial"/>
          <w:color w:val="000000" w:themeColor="text1"/>
          <w:sz w:val="24"/>
          <w:szCs w:val="24"/>
          <w:lang w:val="en-GB"/>
        </w:rPr>
        <w:t xml:space="preserve">particular case, </w:t>
      </w:r>
      <w:r w:rsidR="004621FF">
        <w:rPr>
          <w:rFonts w:ascii="Arial" w:hAnsi="Arial" w:cs="Arial"/>
          <w:color w:val="000000" w:themeColor="text1"/>
          <w:sz w:val="24"/>
          <w:szCs w:val="24"/>
          <w:lang w:val="en-GB"/>
        </w:rPr>
        <w:t xml:space="preserve">courts </w:t>
      </w:r>
      <w:r w:rsidR="005C2022" w:rsidRPr="00011AB1">
        <w:rPr>
          <w:rFonts w:ascii="Arial" w:hAnsi="Arial" w:cs="Arial"/>
          <w:color w:val="000000" w:themeColor="text1"/>
          <w:sz w:val="24"/>
          <w:szCs w:val="24"/>
          <w:lang w:val="en-GB"/>
        </w:rPr>
        <w:t xml:space="preserve">must first establish the presence of various </w:t>
      </w:r>
      <w:r w:rsidR="00821F3D">
        <w:rPr>
          <w:rFonts w:ascii="Arial" w:hAnsi="Arial" w:cs="Arial"/>
          <w:color w:val="000000" w:themeColor="text1"/>
          <w:sz w:val="24"/>
          <w:szCs w:val="24"/>
          <w:lang w:val="en-GB"/>
        </w:rPr>
        <w:t>aspects</w:t>
      </w:r>
      <w:r w:rsidR="005C2022" w:rsidRPr="00011AB1">
        <w:rPr>
          <w:rFonts w:ascii="Arial" w:hAnsi="Arial" w:cs="Arial"/>
          <w:color w:val="000000" w:themeColor="text1"/>
          <w:sz w:val="24"/>
          <w:szCs w:val="24"/>
          <w:lang w:val="en-GB"/>
        </w:rPr>
        <w:t xml:space="preserve"> as demonstrated in </w:t>
      </w:r>
      <w:r w:rsidR="005C2022" w:rsidRPr="00011AB1">
        <w:rPr>
          <w:rFonts w:ascii="Arial" w:hAnsi="Arial" w:cs="Arial"/>
          <w:i/>
          <w:color w:val="000000" w:themeColor="text1"/>
          <w:sz w:val="24"/>
          <w:szCs w:val="24"/>
          <w:lang w:val="en-GB"/>
        </w:rPr>
        <w:t xml:space="preserve">Allpay Consolidated investments Holdings (Pty) Ltd and </w:t>
      </w:r>
      <w:r w:rsidR="007A2682">
        <w:rPr>
          <w:rFonts w:ascii="Arial" w:hAnsi="Arial" w:cs="Arial"/>
          <w:i/>
          <w:color w:val="000000" w:themeColor="text1"/>
          <w:sz w:val="24"/>
          <w:szCs w:val="24"/>
          <w:lang w:val="en-GB"/>
        </w:rPr>
        <w:t>o</w:t>
      </w:r>
      <w:r w:rsidR="005C2022" w:rsidRPr="00011AB1">
        <w:rPr>
          <w:rFonts w:ascii="Arial" w:hAnsi="Arial" w:cs="Arial"/>
          <w:i/>
          <w:color w:val="000000" w:themeColor="text1"/>
          <w:sz w:val="24"/>
          <w:szCs w:val="24"/>
          <w:lang w:val="en-GB"/>
        </w:rPr>
        <w:t xml:space="preserve">thers v Chief Executive Officer of the South African Social Security Agency and </w:t>
      </w:r>
      <w:r w:rsidR="007A2682">
        <w:rPr>
          <w:rFonts w:ascii="Arial" w:hAnsi="Arial" w:cs="Arial"/>
          <w:i/>
          <w:color w:val="000000" w:themeColor="text1"/>
          <w:sz w:val="24"/>
          <w:szCs w:val="24"/>
          <w:lang w:val="en-GB"/>
        </w:rPr>
        <w:t>o</w:t>
      </w:r>
      <w:r w:rsidR="005C2022" w:rsidRPr="00011AB1">
        <w:rPr>
          <w:rFonts w:ascii="Arial" w:hAnsi="Arial" w:cs="Arial"/>
          <w:i/>
          <w:color w:val="000000" w:themeColor="text1"/>
          <w:sz w:val="24"/>
          <w:szCs w:val="24"/>
          <w:lang w:val="en-GB"/>
        </w:rPr>
        <w:t xml:space="preserve">thers </w:t>
      </w:r>
      <w:r w:rsidR="005C2022" w:rsidRPr="00011AB1">
        <w:rPr>
          <w:rFonts w:ascii="Arial" w:hAnsi="Arial" w:cs="Arial"/>
          <w:color w:val="000000" w:themeColor="text1"/>
          <w:sz w:val="24"/>
          <w:szCs w:val="24"/>
          <w:lang w:val="en-GB"/>
        </w:rPr>
        <w:t>2014(1) SA 604 (CC) at paras 4-5</w:t>
      </w:r>
      <w:r w:rsidR="00821F3D">
        <w:rPr>
          <w:rFonts w:ascii="Arial" w:hAnsi="Arial" w:cs="Arial"/>
          <w:color w:val="000000" w:themeColor="text1"/>
          <w:sz w:val="24"/>
          <w:szCs w:val="24"/>
          <w:lang w:val="en-GB"/>
        </w:rPr>
        <w:t xml:space="preserve"> of the order</w:t>
      </w:r>
      <w:r w:rsidR="006344A3">
        <w:rPr>
          <w:rFonts w:ascii="Arial" w:hAnsi="Arial" w:cs="Arial"/>
          <w:color w:val="000000" w:themeColor="text1"/>
          <w:sz w:val="24"/>
          <w:szCs w:val="24"/>
          <w:lang w:val="en-GB"/>
        </w:rPr>
        <w:t>.</w:t>
      </w:r>
    </w:p>
    <w:p w:rsidR="005C2022" w:rsidRDefault="005C2022" w:rsidP="00B90190">
      <w:pPr>
        <w:spacing w:after="0" w:line="480" w:lineRule="auto"/>
        <w:jc w:val="both"/>
        <w:rPr>
          <w:rFonts w:ascii="Arial" w:hAnsi="Arial" w:cs="Arial"/>
          <w:color w:val="000000" w:themeColor="text1"/>
          <w:sz w:val="24"/>
          <w:szCs w:val="24"/>
          <w:lang w:val="en-GB"/>
        </w:rPr>
      </w:pPr>
    </w:p>
    <w:p w:rsidR="005C2022" w:rsidRDefault="005A3E6D"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w:t>
      </w:r>
      <w:r w:rsidR="0079405C">
        <w:rPr>
          <w:rFonts w:ascii="Arial" w:hAnsi="Arial" w:cs="Arial"/>
          <w:color w:val="000000" w:themeColor="text1"/>
          <w:sz w:val="24"/>
          <w:szCs w:val="24"/>
          <w:lang w:val="en-GB"/>
        </w:rPr>
        <w:t>29</w:t>
      </w:r>
      <w:r w:rsidR="005C2022" w:rsidRPr="00011AB1">
        <w:rPr>
          <w:rFonts w:ascii="Arial" w:hAnsi="Arial" w:cs="Arial"/>
          <w:color w:val="000000" w:themeColor="text1"/>
          <w:sz w:val="24"/>
          <w:szCs w:val="24"/>
          <w:lang w:val="en-GB"/>
        </w:rPr>
        <w:t>]</w:t>
      </w:r>
      <w:r w:rsidR="005C2022" w:rsidRPr="00011AB1">
        <w:rPr>
          <w:rFonts w:ascii="Arial" w:hAnsi="Arial" w:cs="Arial"/>
          <w:color w:val="000000" w:themeColor="text1"/>
          <w:sz w:val="24"/>
          <w:szCs w:val="24"/>
          <w:lang w:val="en-GB"/>
        </w:rPr>
        <w:tab/>
      </w:r>
      <w:r w:rsidR="005C2022" w:rsidRPr="009B4524">
        <w:rPr>
          <w:rFonts w:ascii="Arial" w:hAnsi="Arial" w:cs="Arial"/>
          <w:color w:val="000000" w:themeColor="text1"/>
          <w:sz w:val="24"/>
          <w:szCs w:val="24"/>
          <w:lang w:val="en-GB"/>
        </w:rPr>
        <w:t>Counsel submit</w:t>
      </w:r>
      <w:r w:rsidR="005C2022">
        <w:rPr>
          <w:rFonts w:ascii="Arial" w:hAnsi="Arial" w:cs="Arial"/>
          <w:color w:val="000000" w:themeColor="text1"/>
          <w:sz w:val="24"/>
          <w:szCs w:val="24"/>
          <w:lang w:val="en-GB"/>
        </w:rPr>
        <w:t>ted</w:t>
      </w:r>
      <w:r w:rsidR="005C2022" w:rsidRPr="009B4524">
        <w:rPr>
          <w:rFonts w:ascii="Arial" w:hAnsi="Arial" w:cs="Arial"/>
          <w:color w:val="000000" w:themeColor="text1"/>
          <w:sz w:val="24"/>
          <w:szCs w:val="24"/>
          <w:lang w:val="en-GB"/>
        </w:rPr>
        <w:t xml:space="preserve"> that </w:t>
      </w:r>
      <w:r w:rsidR="001D75AE">
        <w:rPr>
          <w:rFonts w:ascii="Arial" w:hAnsi="Arial" w:cs="Arial"/>
          <w:color w:val="000000" w:themeColor="text1"/>
          <w:sz w:val="24"/>
          <w:szCs w:val="24"/>
          <w:lang w:val="en-GB"/>
        </w:rPr>
        <w:t xml:space="preserve">the appellant’s </w:t>
      </w:r>
      <w:r w:rsidR="005C2022" w:rsidRPr="009B4524">
        <w:rPr>
          <w:rFonts w:ascii="Arial" w:hAnsi="Arial" w:cs="Arial"/>
          <w:color w:val="000000" w:themeColor="text1"/>
          <w:sz w:val="24"/>
          <w:szCs w:val="24"/>
          <w:lang w:val="en-GB"/>
        </w:rPr>
        <w:t xml:space="preserve">amended notice of </w:t>
      </w:r>
      <w:r w:rsidR="00D86A69" w:rsidRPr="009B4524">
        <w:rPr>
          <w:rFonts w:ascii="Arial" w:hAnsi="Arial" w:cs="Arial"/>
          <w:color w:val="000000" w:themeColor="text1"/>
          <w:sz w:val="24"/>
          <w:szCs w:val="24"/>
          <w:lang w:val="en-GB"/>
        </w:rPr>
        <w:t xml:space="preserve">motion </w:t>
      </w:r>
      <w:r w:rsidR="001D75AE">
        <w:rPr>
          <w:rFonts w:ascii="Arial" w:hAnsi="Arial" w:cs="Arial"/>
          <w:color w:val="000000" w:themeColor="text1"/>
          <w:sz w:val="24"/>
          <w:szCs w:val="24"/>
          <w:lang w:val="en-GB"/>
        </w:rPr>
        <w:t>h</w:t>
      </w:r>
      <w:r w:rsidR="005C2022" w:rsidRPr="009B4524">
        <w:rPr>
          <w:rFonts w:ascii="Arial" w:hAnsi="Arial" w:cs="Arial"/>
          <w:color w:val="000000" w:themeColor="text1"/>
          <w:sz w:val="24"/>
          <w:szCs w:val="24"/>
          <w:lang w:val="en-GB"/>
        </w:rPr>
        <w:t xml:space="preserve">ad failed </w:t>
      </w:r>
      <w:r w:rsidR="005C2022">
        <w:rPr>
          <w:rFonts w:ascii="Arial" w:hAnsi="Arial" w:cs="Arial"/>
          <w:color w:val="000000" w:themeColor="text1"/>
          <w:sz w:val="24"/>
          <w:szCs w:val="24"/>
          <w:lang w:val="en-GB"/>
        </w:rPr>
        <w:t xml:space="preserve">to </w:t>
      </w:r>
      <w:r w:rsidR="005C2022" w:rsidRPr="009B4524">
        <w:rPr>
          <w:rFonts w:ascii="Arial" w:hAnsi="Arial" w:cs="Arial"/>
          <w:color w:val="000000" w:themeColor="text1"/>
          <w:sz w:val="24"/>
          <w:szCs w:val="24"/>
          <w:lang w:val="en-GB"/>
        </w:rPr>
        <w:t xml:space="preserve">assert a claim based on damages.  </w:t>
      </w:r>
      <w:r w:rsidR="005C2022">
        <w:rPr>
          <w:rFonts w:ascii="Arial" w:hAnsi="Arial" w:cs="Arial"/>
          <w:color w:val="000000" w:themeColor="text1"/>
          <w:sz w:val="24"/>
          <w:szCs w:val="24"/>
          <w:lang w:val="en-GB"/>
        </w:rPr>
        <w:t xml:space="preserve">Counsel argued that the appellant at all times wanted the tender </w:t>
      </w:r>
      <w:r w:rsidR="001D75AE">
        <w:rPr>
          <w:rFonts w:ascii="Arial" w:hAnsi="Arial" w:cs="Arial"/>
          <w:color w:val="000000" w:themeColor="text1"/>
          <w:sz w:val="24"/>
          <w:szCs w:val="24"/>
          <w:lang w:val="en-GB"/>
        </w:rPr>
        <w:t xml:space="preserve">to </w:t>
      </w:r>
      <w:r w:rsidR="005C2022">
        <w:rPr>
          <w:rFonts w:ascii="Arial" w:hAnsi="Arial" w:cs="Arial"/>
          <w:color w:val="000000" w:themeColor="text1"/>
          <w:sz w:val="24"/>
          <w:szCs w:val="24"/>
          <w:lang w:val="en-GB"/>
        </w:rPr>
        <w:t xml:space="preserve">be set aside and </w:t>
      </w:r>
      <w:r w:rsidR="001D75AE">
        <w:rPr>
          <w:rFonts w:ascii="Arial" w:hAnsi="Arial" w:cs="Arial"/>
          <w:color w:val="000000" w:themeColor="text1"/>
          <w:sz w:val="24"/>
          <w:szCs w:val="24"/>
          <w:lang w:val="en-GB"/>
        </w:rPr>
        <w:t xml:space="preserve">to be </w:t>
      </w:r>
      <w:r w:rsidR="005C2022">
        <w:rPr>
          <w:rFonts w:ascii="Arial" w:hAnsi="Arial" w:cs="Arial"/>
          <w:color w:val="000000" w:themeColor="text1"/>
          <w:sz w:val="24"/>
          <w:szCs w:val="24"/>
          <w:lang w:val="en-GB"/>
        </w:rPr>
        <w:t>awarded to it</w:t>
      </w:r>
      <w:r w:rsidR="001D75AE">
        <w:rPr>
          <w:rFonts w:ascii="Arial" w:hAnsi="Arial" w:cs="Arial"/>
          <w:color w:val="000000" w:themeColor="text1"/>
          <w:sz w:val="24"/>
          <w:szCs w:val="24"/>
          <w:lang w:val="en-GB"/>
        </w:rPr>
        <w:t xml:space="preserve">, the </w:t>
      </w:r>
      <w:r w:rsidR="005C2022">
        <w:rPr>
          <w:rFonts w:ascii="Arial" w:hAnsi="Arial" w:cs="Arial"/>
          <w:color w:val="000000" w:themeColor="text1"/>
          <w:sz w:val="24"/>
          <w:szCs w:val="24"/>
          <w:lang w:val="en-GB"/>
        </w:rPr>
        <w:t>position confirmed by the relief sought in the amended notice of motion. It was</w:t>
      </w:r>
      <w:r w:rsidR="005C2022" w:rsidRPr="00011AB1">
        <w:rPr>
          <w:rFonts w:ascii="Arial" w:hAnsi="Arial" w:cs="Arial"/>
          <w:color w:val="000000" w:themeColor="text1"/>
          <w:sz w:val="24"/>
          <w:szCs w:val="24"/>
          <w:lang w:val="en-GB"/>
        </w:rPr>
        <w:t xml:space="preserve"> further</w:t>
      </w:r>
      <w:r w:rsidR="00FD7C6A">
        <w:rPr>
          <w:rFonts w:ascii="Arial" w:hAnsi="Arial" w:cs="Arial"/>
          <w:color w:val="000000" w:themeColor="text1"/>
          <w:sz w:val="24"/>
          <w:szCs w:val="24"/>
          <w:lang w:val="en-GB"/>
        </w:rPr>
        <w:t>more</w:t>
      </w:r>
      <w:r w:rsidR="005C2022" w:rsidRPr="00011AB1">
        <w:rPr>
          <w:rFonts w:ascii="Arial" w:hAnsi="Arial" w:cs="Arial"/>
          <w:color w:val="000000" w:themeColor="text1"/>
          <w:sz w:val="24"/>
          <w:szCs w:val="24"/>
          <w:lang w:val="en-GB"/>
        </w:rPr>
        <w:t xml:space="preserve"> </w:t>
      </w:r>
      <w:r w:rsidR="005C2022">
        <w:rPr>
          <w:rFonts w:ascii="Arial" w:hAnsi="Arial" w:cs="Arial"/>
          <w:color w:val="000000" w:themeColor="text1"/>
          <w:sz w:val="24"/>
          <w:szCs w:val="24"/>
          <w:lang w:val="en-GB"/>
        </w:rPr>
        <w:t xml:space="preserve">argued </w:t>
      </w:r>
      <w:r w:rsidR="005C2022" w:rsidRPr="00011AB1">
        <w:rPr>
          <w:rFonts w:ascii="Arial" w:hAnsi="Arial" w:cs="Arial"/>
          <w:color w:val="000000" w:themeColor="text1"/>
          <w:sz w:val="24"/>
          <w:szCs w:val="24"/>
          <w:lang w:val="en-GB"/>
        </w:rPr>
        <w:t xml:space="preserve">that the </w:t>
      </w:r>
      <w:r w:rsidR="001D75AE">
        <w:rPr>
          <w:rFonts w:ascii="Arial" w:hAnsi="Arial" w:cs="Arial"/>
          <w:color w:val="000000" w:themeColor="text1"/>
          <w:sz w:val="24"/>
          <w:szCs w:val="24"/>
          <w:lang w:val="en-GB"/>
        </w:rPr>
        <w:t xml:space="preserve">notion </w:t>
      </w:r>
      <w:r w:rsidR="005C2022" w:rsidRPr="00011AB1">
        <w:rPr>
          <w:rFonts w:ascii="Arial" w:hAnsi="Arial" w:cs="Arial"/>
          <w:color w:val="000000" w:themeColor="text1"/>
          <w:sz w:val="24"/>
          <w:szCs w:val="24"/>
          <w:lang w:val="en-GB"/>
        </w:rPr>
        <w:t xml:space="preserve">based on the </w:t>
      </w:r>
      <w:r w:rsidR="001D75AE">
        <w:rPr>
          <w:rFonts w:ascii="Arial" w:hAnsi="Arial" w:cs="Arial"/>
          <w:color w:val="000000" w:themeColor="text1"/>
          <w:sz w:val="24"/>
          <w:szCs w:val="24"/>
          <w:lang w:val="en-GB"/>
        </w:rPr>
        <w:t xml:space="preserve">alleged </w:t>
      </w:r>
      <w:r w:rsidR="005C2022" w:rsidRPr="00011AB1">
        <w:rPr>
          <w:rFonts w:ascii="Arial" w:hAnsi="Arial" w:cs="Arial"/>
          <w:color w:val="000000" w:themeColor="text1"/>
          <w:sz w:val="24"/>
          <w:szCs w:val="24"/>
          <w:lang w:val="en-GB"/>
        </w:rPr>
        <w:t xml:space="preserve">wrong done cannot prevail </w:t>
      </w:r>
      <w:r w:rsidR="001D75AE">
        <w:rPr>
          <w:rFonts w:ascii="Arial" w:hAnsi="Arial" w:cs="Arial"/>
          <w:color w:val="000000" w:themeColor="text1"/>
          <w:sz w:val="24"/>
          <w:szCs w:val="24"/>
          <w:lang w:val="en-GB"/>
        </w:rPr>
        <w:t xml:space="preserve">given that </w:t>
      </w:r>
      <w:r w:rsidR="005C2022" w:rsidRPr="00011AB1">
        <w:rPr>
          <w:rFonts w:ascii="Arial" w:hAnsi="Arial" w:cs="Arial"/>
          <w:color w:val="000000" w:themeColor="text1"/>
          <w:sz w:val="24"/>
          <w:szCs w:val="24"/>
          <w:lang w:val="en-GB"/>
        </w:rPr>
        <w:t>the judgment of the Supreme Court confine</w:t>
      </w:r>
      <w:r w:rsidR="001D75AE">
        <w:rPr>
          <w:rFonts w:ascii="Arial" w:hAnsi="Arial" w:cs="Arial"/>
          <w:color w:val="000000" w:themeColor="text1"/>
          <w:sz w:val="24"/>
          <w:szCs w:val="24"/>
          <w:lang w:val="en-GB"/>
        </w:rPr>
        <w:t>d</w:t>
      </w:r>
      <w:r w:rsidR="005C2022" w:rsidRPr="00011AB1">
        <w:rPr>
          <w:rFonts w:ascii="Arial" w:hAnsi="Arial" w:cs="Arial"/>
          <w:color w:val="000000" w:themeColor="text1"/>
          <w:sz w:val="24"/>
          <w:szCs w:val="24"/>
          <w:lang w:val="en-GB"/>
        </w:rPr>
        <w:t xml:space="preserve"> the award of the tender to the then existing tender. The </w:t>
      </w:r>
      <w:r w:rsidR="005C2022" w:rsidRPr="00011AB1">
        <w:rPr>
          <w:rFonts w:ascii="Arial" w:hAnsi="Arial" w:cs="Arial"/>
          <w:color w:val="000000" w:themeColor="text1"/>
          <w:sz w:val="24"/>
          <w:szCs w:val="24"/>
          <w:lang w:val="en-GB"/>
        </w:rPr>
        <w:lastRenderedPageBreak/>
        <w:t>reason for this</w:t>
      </w:r>
      <w:r w:rsidR="001D75AE">
        <w:rPr>
          <w:rFonts w:ascii="Arial" w:hAnsi="Arial" w:cs="Arial"/>
          <w:color w:val="000000" w:themeColor="text1"/>
          <w:sz w:val="24"/>
          <w:szCs w:val="24"/>
          <w:lang w:val="en-GB"/>
        </w:rPr>
        <w:t>,</w:t>
      </w:r>
      <w:r w:rsidR="005C2022" w:rsidRPr="00011AB1">
        <w:rPr>
          <w:rFonts w:ascii="Arial" w:hAnsi="Arial" w:cs="Arial"/>
          <w:color w:val="000000" w:themeColor="text1"/>
          <w:sz w:val="24"/>
          <w:szCs w:val="24"/>
          <w:lang w:val="en-GB"/>
        </w:rPr>
        <w:t xml:space="preserve"> </w:t>
      </w:r>
      <w:r w:rsidR="001D75AE">
        <w:rPr>
          <w:rFonts w:ascii="Arial" w:hAnsi="Arial" w:cs="Arial"/>
          <w:color w:val="000000" w:themeColor="text1"/>
          <w:sz w:val="24"/>
          <w:szCs w:val="24"/>
          <w:lang w:val="en-GB"/>
        </w:rPr>
        <w:t>so the argument progresse</w:t>
      </w:r>
      <w:r w:rsidR="00FD7C6A">
        <w:rPr>
          <w:rFonts w:ascii="Arial" w:hAnsi="Arial" w:cs="Arial"/>
          <w:color w:val="000000" w:themeColor="text1"/>
          <w:sz w:val="24"/>
          <w:szCs w:val="24"/>
          <w:lang w:val="en-GB"/>
        </w:rPr>
        <w:t>d</w:t>
      </w:r>
      <w:r w:rsidR="001D75AE">
        <w:rPr>
          <w:rFonts w:ascii="Arial" w:hAnsi="Arial" w:cs="Arial"/>
          <w:color w:val="000000" w:themeColor="text1"/>
          <w:sz w:val="24"/>
          <w:szCs w:val="24"/>
          <w:lang w:val="en-GB"/>
        </w:rPr>
        <w:t xml:space="preserve">, </w:t>
      </w:r>
      <w:r w:rsidR="005C2022" w:rsidRPr="00011AB1">
        <w:rPr>
          <w:rFonts w:ascii="Arial" w:hAnsi="Arial" w:cs="Arial"/>
          <w:color w:val="000000" w:themeColor="text1"/>
          <w:sz w:val="24"/>
          <w:szCs w:val="24"/>
          <w:lang w:val="en-GB"/>
        </w:rPr>
        <w:t>is that such a situation would mean that the Supreme Court has to review and set aside its own previous decision. This would be untenable given that the appellant did not ask the Supreme Court in the p</w:t>
      </w:r>
      <w:r w:rsidR="005C2022">
        <w:rPr>
          <w:rFonts w:ascii="Arial" w:hAnsi="Arial" w:cs="Arial"/>
          <w:color w:val="000000" w:themeColor="text1"/>
          <w:sz w:val="24"/>
          <w:szCs w:val="24"/>
          <w:lang w:val="en-GB"/>
        </w:rPr>
        <w:t>revious appeal to de</w:t>
      </w:r>
      <w:r w:rsidR="001D75AE">
        <w:rPr>
          <w:rFonts w:ascii="Arial" w:hAnsi="Arial" w:cs="Arial"/>
          <w:color w:val="000000" w:themeColor="text1"/>
          <w:sz w:val="24"/>
          <w:szCs w:val="24"/>
          <w:lang w:val="en-GB"/>
        </w:rPr>
        <w:t xml:space="preserve">cide </w:t>
      </w:r>
      <w:r w:rsidR="00F05EF6">
        <w:rPr>
          <w:rFonts w:ascii="Arial" w:hAnsi="Arial" w:cs="Arial"/>
          <w:color w:val="000000" w:themeColor="text1"/>
          <w:sz w:val="24"/>
          <w:szCs w:val="24"/>
          <w:lang w:val="en-GB"/>
        </w:rPr>
        <w:t>the duration of the tender.</w:t>
      </w:r>
    </w:p>
    <w:p w:rsidR="009A4B86" w:rsidRDefault="009A4B86" w:rsidP="00B90190">
      <w:pPr>
        <w:spacing w:after="0" w:line="480" w:lineRule="auto"/>
        <w:jc w:val="both"/>
        <w:rPr>
          <w:rFonts w:ascii="Arial" w:hAnsi="Arial" w:cs="Arial"/>
          <w:color w:val="000000" w:themeColor="text1"/>
          <w:sz w:val="24"/>
          <w:szCs w:val="24"/>
          <w:lang w:val="en-GB"/>
        </w:rPr>
      </w:pPr>
    </w:p>
    <w:p w:rsidR="005C2022" w:rsidRPr="00AC03A3" w:rsidRDefault="005C2022" w:rsidP="00B90190">
      <w:pPr>
        <w:spacing w:after="0" w:line="480" w:lineRule="auto"/>
        <w:jc w:val="both"/>
        <w:rPr>
          <w:rFonts w:ascii="Arial" w:hAnsi="Arial" w:cs="Arial"/>
          <w:color w:val="000000" w:themeColor="text1"/>
          <w:sz w:val="24"/>
          <w:szCs w:val="24"/>
          <w:lang w:val="en-GB"/>
        </w:rPr>
      </w:pPr>
      <w:r w:rsidRPr="00AC03A3">
        <w:rPr>
          <w:rFonts w:ascii="Arial" w:hAnsi="Arial" w:cs="Arial"/>
          <w:color w:val="000000" w:themeColor="text1"/>
          <w:sz w:val="24"/>
          <w:szCs w:val="24"/>
          <w:lang w:val="en-GB"/>
        </w:rPr>
        <w:t>[</w:t>
      </w:r>
      <w:r w:rsidR="00D86A69">
        <w:rPr>
          <w:rFonts w:ascii="Arial" w:hAnsi="Arial" w:cs="Arial"/>
          <w:color w:val="000000" w:themeColor="text1"/>
          <w:sz w:val="24"/>
          <w:szCs w:val="24"/>
          <w:lang w:val="en-GB"/>
        </w:rPr>
        <w:t>3</w:t>
      </w:r>
      <w:r w:rsidR="0079405C">
        <w:rPr>
          <w:rFonts w:ascii="Arial" w:hAnsi="Arial" w:cs="Arial"/>
          <w:color w:val="000000" w:themeColor="text1"/>
          <w:sz w:val="24"/>
          <w:szCs w:val="24"/>
          <w:lang w:val="en-GB"/>
        </w:rPr>
        <w:t>0</w:t>
      </w:r>
      <w:r w:rsidRPr="00AC03A3">
        <w:rPr>
          <w:rFonts w:ascii="Arial" w:hAnsi="Arial" w:cs="Arial"/>
          <w:color w:val="000000" w:themeColor="text1"/>
          <w:sz w:val="24"/>
          <w:szCs w:val="24"/>
          <w:lang w:val="en-GB"/>
        </w:rPr>
        <w:t>]</w:t>
      </w:r>
      <w:r w:rsidRPr="00AC03A3">
        <w:rPr>
          <w:rFonts w:ascii="Arial" w:hAnsi="Arial" w:cs="Arial"/>
          <w:color w:val="000000" w:themeColor="text1"/>
          <w:sz w:val="24"/>
          <w:szCs w:val="24"/>
          <w:lang w:val="en-GB"/>
        </w:rPr>
        <w:tab/>
        <w:t>Regarding the issue of legitimate expectation, counsel</w:t>
      </w:r>
      <w:r>
        <w:rPr>
          <w:rFonts w:ascii="Arial" w:hAnsi="Arial" w:cs="Arial"/>
          <w:color w:val="000000" w:themeColor="text1"/>
          <w:sz w:val="24"/>
          <w:szCs w:val="24"/>
          <w:lang w:val="en-GB"/>
        </w:rPr>
        <w:t xml:space="preserve"> </w:t>
      </w:r>
      <w:r w:rsidRPr="00AC03A3">
        <w:rPr>
          <w:rFonts w:ascii="Arial" w:hAnsi="Arial" w:cs="Arial"/>
          <w:color w:val="000000" w:themeColor="text1"/>
          <w:sz w:val="24"/>
          <w:szCs w:val="24"/>
          <w:lang w:val="en-GB"/>
        </w:rPr>
        <w:t>submit</w:t>
      </w:r>
      <w:r>
        <w:rPr>
          <w:rFonts w:ascii="Arial" w:hAnsi="Arial" w:cs="Arial"/>
          <w:color w:val="000000" w:themeColor="text1"/>
          <w:sz w:val="24"/>
          <w:szCs w:val="24"/>
          <w:lang w:val="en-GB"/>
        </w:rPr>
        <w:t>ted</w:t>
      </w:r>
      <w:r w:rsidRPr="00AC03A3">
        <w:rPr>
          <w:rFonts w:ascii="Arial" w:hAnsi="Arial" w:cs="Arial"/>
          <w:color w:val="000000" w:themeColor="text1"/>
          <w:sz w:val="24"/>
          <w:szCs w:val="24"/>
          <w:lang w:val="en-GB"/>
        </w:rPr>
        <w:t xml:space="preserve"> that the arguments based on legitimate expectation cannot stand </w:t>
      </w:r>
      <w:r>
        <w:rPr>
          <w:rFonts w:ascii="Arial" w:hAnsi="Arial" w:cs="Arial"/>
          <w:color w:val="000000" w:themeColor="text1"/>
          <w:sz w:val="24"/>
          <w:szCs w:val="24"/>
          <w:lang w:val="en-GB"/>
        </w:rPr>
        <w:t xml:space="preserve">as </w:t>
      </w:r>
      <w:r w:rsidRPr="00AC03A3">
        <w:rPr>
          <w:rFonts w:ascii="Arial" w:hAnsi="Arial" w:cs="Arial"/>
          <w:color w:val="000000" w:themeColor="text1"/>
          <w:sz w:val="24"/>
          <w:szCs w:val="24"/>
          <w:lang w:val="en-GB"/>
        </w:rPr>
        <w:t xml:space="preserve">the appellant </w:t>
      </w:r>
      <w:r w:rsidR="00F05EF6">
        <w:rPr>
          <w:rFonts w:ascii="Arial" w:hAnsi="Arial" w:cs="Arial"/>
          <w:color w:val="000000" w:themeColor="text1"/>
          <w:sz w:val="24"/>
          <w:szCs w:val="24"/>
          <w:lang w:val="en-GB"/>
        </w:rPr>
        <w:t xml:space="preserve">had </w:t>
      </w:r>
      <w:r w:rsidRPr="00AC03A3">
        <w:rPr>
          <w:rFonts w:ascii="Arial" w:hAnsi="Arial" w:cs="Arial"/>
          <w:color w:val="000000" w:themeColor="text1"/>
          <w:sz w:val="24"/>
          <w:szCs w:val="24"/>
          <w:lang w:val="en-GB"/>
        </w:rPr>
        <w:t>failed to request an extension of the original tender</w:t>
      </w:r>
      <w:r>
        <w:rPr>
          <w:rFonts w:ascii="Arial" w:hAnsi="Arial" w:cs="Arial"/>
          <w:color w:val="000000" w:themeColor="text1"/>
          <w:sz w:val="24"/>
          <w:szCs w:val="24"/>
          <w:lang w:val="en-GB"/>
        </w:rPr>
        <w:t xml:space="preserve"> from the </w:t>
      </w:r>
      <w:r w:rsidR="00D86A69">
        <w:rPr>
          <w:rFonts w:ascii="Arial" w:hAnsi="Arial" w:cs="Arial"/>
          <w:color w:val="000000" w:themeColor="text1"/>
          <w:sz w:val="24"/>
          <w:szCs w:val="24"/>
          <w:lang w:val="en-GB"/>
        </w:rPr>
        <w:t>Tender Board</w:t>
      </w:r>
      <w:r>
        <w:rPr>
          <w:rFonts w:ascii="Arial" w:hAnsi="Arial" w:cs="Arial"/>
          <w:color w:val="000000" w:themeColor="text1"/>
          <w:sz w:val="24"/>
          <w:szCs w:val="24"/>
          <w:lang w:val="en-GB"/>
        </w:rPr>
        <w:t xml:space="preserve"> and no </w:t>
      </w:r>
      <w:r w:rsidR="0099735D">
        <w:rPr>
          <w:rFonts w:ascii="Arial" w:hAnsi="Arial" w:cs="Arial"/>
          <w:color w:val="000000" w:themeColor="text1"/>
          <w:sz w:val="24"/>
          <w:szCs w:val="24"/>
          <w:lang w:val="en-GB"/>
        </w:rPr>
        <w:t xml:space="preserve">such </w:t>
      </w:r>
      <w:r>
        <w:rPr>
          <w:rFonts w:ascii="Arial" w:hAnsi="Arial" w:cs="Arial"/>
          <w:color w:val="000000" w:themeColor="text1"/>
          <w:sz w:val="24"/>
          <w:szCs w:val="24"/>
          <w:lang w:val="en-GB"/>
        </w:rPr>
        <w:t xml:space="preserve">extension </w:t>
      </w:r>
      <w:r w:rsidR="0099735D">
        <w:rPr>
          <w:rFonts w:ascii="Arial" w:hAnsi="Arial" w:cs="Arial"/>
          <w:color w:val="000000" w:themeColor="text1"/>
          <w:sz w:val="24"/>
          <w:szCs w:val="24"/>
          <w:lang w:val="en-GB"/>
        </w:rPr>
        <w:t xml:space="preserve">had been </w:t>
      </w:r>
      <w:r>
        <w:rPr>
          <w:rFonts w:ascii="Arial" w:hAnsi="Arial" w:cs="Arial"/>
          <w:color w:val="000000" w:themeColor="text1"/>
          <w:sz w:val="24"/>
          <w:szCs w:val="24"/>
          <w:lang w:val="en-GB"/>
        </w:rPr>
        <w:t>granted</w:t>
      </w:r>
      <w:r w:rsidRPr="00AC03A3">
        <w:rPr>
          <w:rFonts w:ascii="Arial" w:hAnsi="Arial" w:cs="Arial"/>
          <w:sz w:val="24"/>
          <w:szCs w:val="24"/>
          <w:lang w:val="en-GB"/>
        </w:rPr>
        <w:t xml:space="preserve">. </w:t>
      </w:r>
      <w:r w:rsidRPr="00AC03A3">
        <w:rPr>
          <w:rFonts w:ascii="Arial" w:hAnsi="Arial" w:cs="Arial"/>
          <w:color w:val="000000" w:themeColor="text1"/>
          <w:sz w:val="24"/>
          <w:szCs w:val="24"/>
          <w:lang w:val="en-GB"/>
        </w:rPr>
        <w:t>Counsel contend</w:t>
      </w:r>
      <w:r>
        <w:rPr>
          <w:rFonts w:ascii="Arial" w:hAnsi="Arial" w:cs="Arial"/>
          <w:color w:val="000000" w:themeColor="text1"/>
          <w:sz w:val="24"/>
          <w:szCs w:val="24"/>
          <w:lang w:val="en-GB"/>
        </w:rPr>
        <w:t>ed</w:t>
      </w:r>
      <w:r w:rsidRPr="00AC03A3">
        <w:rPr>
          <w:rFonts w:ascii="Arial" w:hAnsi="Arial" w:cs="Arial"/>
          <w:color w:val="000000" w:themeColor="text1"/>
          <w:sz w:val="24"/>
          <w:szCs w:val="24"/>
          <w:lang w:val="en-GB"/>
        </w:rPr>
        <w:t xml:space="preserve"> that </w:t>
      </w:r>
      <w:r w:rsidR="00F05EF6">
        <w:rPr>
          <w:rFonts w:ascii="Arial" w:hAnsi="Arial" w:cs="Arial"/>
          <w:color w:val="000000" w:themeColor="text1"/>
          <w:sz w:val="24"/>
          <w:szCs w:val="24"/>
          <w:lang w:val="en-GB"/>
        </w:rPr>
        <w:t xml:space="preserve">in awarding the tender to the appellant, </w:t>
      </w:r>
      <w:r w:rsidRPr="00AC03A3">
        <w:rPr>
          <w:rFonts w:ascii="Arial" w:hAnsi="Arial" w:cs="Arial"/>
          <w:color w:val="000000" w:themeColor="text1"/>
          <w:sz w:val="24"/>
          <w:szCs w:val="24"/>
          <w:lang w:val="en-GB"/>
        </w:rPr>
        <w:t xml:space="preserve">the </w:t>
      </w:r>
      <w:r>
        <w:rPr>
          <w:rFonts w:ascii="Arial" w:hAnsi="Arial" w:cs="Arial"/>
          <w:color w:val="000000" w:themeColor="text1"/>
          <w:sz w:val="24"/>
          <w:szCs w:val="24"/>
          <w:lang w:val="en-GB"/>
        </w:rPr>
        <w:t xml:space="preserve">Tender Board </w:t>
      </w:r>
      <w:r w:rsidRPr="00AC03A3">
        <w:rPr>
          <w:rFonts w:ascii="Arial" w:hAnsi="Arial" w:cs="Arial"/>
          <w:color w:val="000000" w:themeColor="text1"/>
          <w:sz w:val="24"/>
          <w:szCs w:val="24"/>
          <w:lang w:val="en-GB"/>
        </w:rPr>
        <w:t xml:space="preserve">had </w:t>
      </w:r>
      <w:r w:rsidR="00F05EF6">
        <w:rPr>
          <w:rFonts w:ascii="Arial" w:hAnsi="Arial" w:cs="Arial"/>
          <w:color w:val="000000" w:themeColor="text1"/>
          <w:sz w:val="24"/>
          <w:szCs w:val="24"/>
          <w:lang w:val="en-GB"/>
        </w:rPr>
        <w:t xml:space="preserve">complied with </w:t>
      </w:r>
      <w:r w:rsidRPr="00AC03A3">
        <w:rPr>
          <w:rFonts w:ascii="Arial" w:hAnsi="Arial" w:cs="Arial"/>
          <w:color w:val="000000" w:themeColor="text1"/>
          <w:sz w:val="24"/>
          <w:szCs w:val="24"/>
          <w:lang w:val="en-GB"/>
        </w:rPr>
        <w:t xml:space="preserve">the </w:t>
      </w:r>
      <w:r w:rsidR="00F05EF6">
        <w:rPr>
          <w:rFonts w:ascii="Arial" w:hAnsi="Arial" w:cs="Arial"/>
          <w:color w:val="000000" w:themeColor="text1"/>
          <w:sz w:val="24"/>
          <w:szCs w:val="24"/>
          <w:lang w:val="en-GB"/>
        </w:rPr>
        <w:t xml:space="preserve">order </w:t>
      </w:r>
      <w:r w:rsidRPr="00AC03A3">
        <w:rPr>
          <w:rFonts w:ascii="Arial" w:hAnsi="Arial" w:cs="Arial"/>
          <w:color w:val="000000" w:themeColor="text1"/>
          <w:sz w:val="24"/>
          <w:szCs w:val="24"/>
          <w:lang w:val="en-GB"/>
        </w:rPr>
        <w:t xml:space="preserve">of the Supreme Court and there were no irregularities on its part. According to counsel, there was no duty on the </w:t>
      </w:r>
      <w:r>
        <w:rPr>
          <w:rFonts w:ascii="Arial" w:hAnsi="Arial" w:cs="Arial"/>
          <w:color w:val="000000" w:themeColor="text1"/>
          <w:sz w:val="24"/>
          <w:szCs w:val="24"/>
          <w:lang w:val="en-GB"/>
        </w:rPr>
        <w:t xml:space="preserve">Tender Board </w:t>
      </w:r>
      <w:r w:rsidRPr="00AC03A3">
        <w:rPr>
          <w:rFonts w:ascii="Arial" w:hAnsi="Arial" w:cs="Arial"/>
          <w:color w:val="000000" w:themeColor="text1"/>
          <w:sz w:val="24"/>
          <w:szCs w:val="24"/>
          <w:lang w:val="en-GB"/>
        </w:rPr>
        <w:t xml:space="preserve">to go out of its way and determine a new term. Counsel </w:t>
      </w:r>
      <w:r>
        <w:rPr>
          <w:rFonts w:ascii="Arial" w:hAnsi="Arial" w:cs="Arial"/>
          <w:color w:val="000000" w:themeColor="text1"/>
          <w:sz w:val="24"/>
          <w:szCs w:val="24"/>
          <w:lang w:val="en-GB"/>
        </w:rPr>
        <w:t>argued</w:t>
      </w:r>
      <w:r w:rsidRPr="00AC03A3">
        <w:rPr>
          <w:rFonts w:ascii="Arial" w:hAnsi="Arial" w:cs="Arial"/>
          <w:color w:val="000000" w:themeColor="text1"/>
          <w:sz w:val="24"/>
          <w:szCs w:val="24"/>
          <w:lang w:val="en-GB"/>
        </w:rPr>
        <w:t xml:space="preserve"> that if the appellant wanted to extend the original term, it should have approached the </w:t>
      </w:r>
      <w:r>
        <w:rPr>
          <w:rFonts w:ascii="Arial" w:hAnsi="Arial" w:cs="Arial"/>
          <w:color w:val="000000" w:themeColor="text1"/>
          <w:sz w:val="24"/>
          <w:szCs w:val="24"/>
          <w:lang w:val="en-GB"/>
        </w:rPr>
        <w:t xml:space="preserve">Tender Board </w:t>
      </w:r>
      <w:r w:rsidRPr="00AC03A3">
        <w:rPr>
          <w:rFonts w:ascii="Arial" w:hAnsi="Arial" w:cs="Arial"/>
          <w:color w:val="000000" w:themeColor="text1"/>
          <w:sz w:val="24"/>
          <w:szCs w:val="24"/>
          <w:lang w:val="en-GB"/>
        </w:rPr>
        <w:t>and enquired about the</w:t>
      </w:r>
      <w:r>
        <w:rPr>
          <w:rFonts w:ascii="Arial" w:hAnsi="Arial" w:cs="Arial"/>
          <w:color w:val="000000" w:themeColor="text1"/>
          <w:sz w:val="24"/>
          <w:szCs w:val="24"/>
          <w:lang w:val="en-GB"/>
        </w:rPr>
        <w:t xml:space="preserve"> extension of the term. </w:t>
      </w:r>
      <w:r w:rsidR="00D86A69">
        <w:rPr>
          <w:rFonts w:ascii="Arial" w:hAnsi="Arial" w:cs="Arial"/>
          <w:color w:val="000000" w:themeColor="text1"/>
          <w:sz w:val="24"/>
          <w:szCs w:val="24"/>
          <w:lang w:val="en-GB"/>
        </w:rPr>
        <w:t>It</w:t>
      </w:r>
      <w:r>
        <w:rPr>
          <w:rFonts w:ascii="Arial" w:hAnsi="Arial" w:cs="Arial"/>
          <w:color w:val="000000" w:themeColor="text1"/>
          <w:sz w:val="24"/>
          <w:szCs w:val="24"/>
          <w:lang w:val="en-GB"/>
        </w:rPr>
        <w:t xml:space="preserve"> was further contented on behalf of the </w:t>
      </w:r>
      <w:r w:rsidR="00D86A69">
        <w:rPr>
          <w:rFonts w:ascii="Arial" w:hAnsi="Arial" w:cs="Arial"/>
          <w:color w:val="000000" w:themeColor="text1"/>
          <w:sz w:val="24"/>
          <w:szCs w:val="24"/>
          <w:lang w:val="en-GB"/>
        </w:rPr>
        <w:t>respondents that</w:t>
      </w:r>
      <w:r>
        <w:rPr>
          <w:rFonts w:ascii="Arial" w:hAnsi="Arial" w:cs="Arial"/>
          <w:color w:val="000000" w:themeColor="text1"/>
          <w:sz w:val="24"/>
          <w:szCs w:val="24"/>
          <w:lang w:val="en-GB"/>
        </w:rPr>
        <w:t xml:space="preserve"> if the appellant had wished for the term of the tender to be extended, it should have made out a case for such extension in </w:t>
      </w:r>
      <w:r w:rsidR="00F05EF6">
        <w:rPr>
          <w:rFonts w:ascii="Arial" w:hAnsi="Arial" w:cs="Arial"/>
          <w:color w:val="000000" w:themeColor="text1"/>
          <w:sz w:val="24"/>
          <w:szCs w:val="24"/>
          <w:lang w:val="en-GB"/>
        </w:rPr>
        <w:t xml:space="preserve">the </w:t>
      </w:r>
      <w:r>
        <w:rPr>
          <w:rFonts w:ascii="Arial" w:hAnsi="Arial" w:cs="Arial"/>
          <w:color w:val="000000" w:themeColor="text1"/>
          <w:sz w:val="24"/>
          <w:szCs w:val="24"/>
          <w:lang w:val="en-GB"/>
        </w:rPr>
        <w:t>previous litigation, which it failed to do.</w:t>
      </w:r>
    </w:p>
    <w:p w:rsidR="005C2022" w:rsidRDefault="005C2022" w:rsidP="00B90190">
      <w:pPr>
        <w:spacing w:after="0" w:line="480" w:lineRule="auto"/>
        <w:jc w:val="both"/>
        <w:rPr>
          <w:rFonts w:ascii="Arial" w:hAnsi="Arial" w:cs="Arial"/>
          <w:color w:val="000000" w:themeColor="text1"/>
          <w:sz w:val="24"/>
          <w:szCs w:val="24"/>
        </w:rPr>
      </w:pPr>
    </w:p>
    <w:p w:rsidR="005C2022" w:rsidRDefault="005C2022" w:rsidP="00B90190">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w:t>
      </w:r>
      <w:r w:rsidR="0079405C">
        <w:rPr>
          <w:rFonts w:ascii="Arial" w:hAnsi="Arial" w:cs="Arial"/>
          <w:color w:val="000000" w:themeColor="text1"/>
          <w:sz w:val="24"/>
          <w:szCs w:val="24"/>
        </w:rPr>
        <w:t>1</w:t>
      </w:r>
      <w:r>
        <w:rPr>
          <w:rFonts w:ascii="Arial" w:hAnsi="Arial" w:cs="Arial"/>
          <w:color w:val="000000" w:themeColor="text1"/>
          <w:sz w:val="24"/>
          <w:szCs w:val="24"/>
        </w:rPr>
        <w:t>]</w:t>
      </w:r>
      <w:r>
        <w:rPr>
          <w:rFonts w:ascii="Arial" w:hAnsi="Arial" w:cs="Arial"/>
          <w:color w:val="000000" w:themeColor="text1"/>
          <w:sz w:val="24"/>
          <w:szCs w:val="24"/>
          <w:lang w:val="en-GB"/>
        </w:rPr>
        <w:tab/>
        <w:t xml:space="preserve">Counsel </w:t>
      </w:r>
      <w:r>
        <w:rPr>
          <w:rFonts w:ascii="Arial" w:hAnsi="Arial" w:cs="Arial"/>
          <w:color w:val="000000" w:themeColor="text1"/>
          <w:sz w:val="24"/>
          <w:szCs w:val="24"/>
        </w:rPr>
        <w:t xml:space="preserve">submitted </w:t>
      </w:r>
      <w:r w:rsidRPr="004D3C18">
        <w:rPr>
          <w:rFonts w:ascii="Arial" w:hAnsi="Arial" w:cs="Arial"/>
          <w:color w:val="000000" w:themeColor="text1"/>
          <w:sz w:val="24"/>
          <w:szCs w:val="24"/>
        </w:rPr>
        <w:t xml:space="preserve">that the attempt by the </w:t>
      </w:r>
      <w:r>
        <w:rPr>
          <w:rFonts w:ascii="Arial" w:hAnsi="Arial" w:cs="Arial"/>
          <w:color w:val="000000" w:themeColor="text1"/>
          <w:sz w:val="24"/>
          <w:szCs w:val="24"/>
        </w:rPr>
        <w:t xml:space="preserve">appellant </w:t>
      </w:r>
      <w:r w:rsidR="00132A44">
        <w:rPr>
          <w:rFonts w:ascii="Arial" w:hAnsi="Arial" w:cs="Arial"/>
          <w:color w:val="000000" w:themeColor="text1"/>
          <w:sz w:val="24"/>
          <w:szCs w:val="24"/>
        </w:rPr>
        <w:t xml:space="preserve">to review </w:t>
      </w:r>
      <w:r w:rsidRPr="004D3C18">
        <w:rPr>
          <w:rFonts w:ascii="Arial" w:hAnsi="Arial" w:cs="Arial"/>
          <w:color w:val="000000" w:themeColor="text1"/>
          <w:sz w:val="24"/>
          <w:szCs w:val="24"/>
        </w:rPr>
        <w:t xml:space="preserve">in a roundabout manner the decision of the Supreme Court should not be </w:t>
      </w:r>
      <w:r w:rsidR="00132A44">
        <w:rPr>
          <w:rFonts w:ascii="Arial" w:hAnsi="Arial" w:cs="Arial"/>
          <w:color w:val="000000" w:themeColor="text1"/>
          <w:sz w:val="24"/>
          <w:szCs w:val="24"/>
        </w:rPr>
        <w:t>accepted</w:t>
      </w:r>
      <w:r w:rsidRPr="004D3C18">
        <w:rPr>
          <w:rFonts w:ascii="Arial" w:hAnsi="Arial" w:cs="Arial"/>
          <w:color w:val="000000" w:themeColor="text1"/>
          <w:sz w:val="24"/>
          <w:szCs w:val="24"/>
        </w:rPr>
        <w:t>. The Supreme Court directed that the Tender Board re-consider the original tender - and not one for a longer term</w:t>
      </w:r>
      <w:r w:rsidR="0099735D">
        <w:rPr>
          <w:rFonts w:ascii="Arial" w:hAnsi="Arial" w:cs="Arial"/>
          <w:color w:val="000000" w:themeColor="text1"/>
          <w:sz w:val="24"/>
          <w:szCs w:val="24"/>
        </w:rPr>
        <w:t xml:space="preserve"> </w:t>
      </w:r>
      <w:r w:rsidRPr="004D3C18">
        <w:rPr>
          <w:rFonts w:ascii="Arial" w:hAnsi="Arial" w:cs="Arial"/>
          <w:color w:val="000000" w:themeColor="text1"/>
          <w:sz w:val="24"/>
          <w:szCs w:val="24"/>
        </w:rPr>
        <w:t xml:space="preserve">- and that is exactly what the Tender Board did. In this respect the </w:t>
      </w:r>
      <w:r>
        <w:rPr>
          <w:rFonts w:ascii="Arial" w:hAnsi="Arial" w:cs="Arial"/>
          <w:color w:val="000000" w:themeColor="text1"/>
          <w:sz w:val="24"/>
          <w:szCs w:val="24"/>
        </w:rPr>
        <w:t>appellant</w:t>
      </w:r>
      <w:r w:rsidRPr="004D3C18">
        <w:rPr>
          <w:rFonts w:ascii="Arial" w:hAnsi="Arial" w:cs="Arial"/>
          <w:color w:val="000000" w:themeColor="text1"/>
          <w:sz w:val="24"/>
          <w:szCs w:val="24"/>
        </w:rPr>
        <w:t xml:space="preserve"> cannot, because it failed to persuade the Supreme Court to correct the decision by extending the term of the tender, now attempt to rectify that failure </w:t>
      </w:r>
      <w:r>
        <w:rPr>
          <w:rFonts w:ascii="Arial" w:hAnsi="Arial" w:cs="Arial"/>
          <w:color w:val="000000" w:themeColor="text1"/>
          <w:sz w:val="24"/>
          <w:szCs w:val="24"/>
        </w:rPr>
        <w:t xml:space="preserve">to </w:t>
      </w:r>
      <w:r w:rsidRPr="004D3C18">
        <w:rPr>
          <w:rFonts w:ascii="Arial" w:hAnsi="Arial" w:cs="Arial"/>
          <w:color w:val="000000" w:themeColor="text1"/>
          <w:sz w:val="24"/>
          <w:szCs w:val="24"/>
        </w:rPr>
        <w:t xml:space="preserve">get </w:t>
      </w:r>
      <w:r w:rsidRPr="004D3C18">
        <w:rPr>
          <w:rFonts w:ascii="Arial" w:hAnsi="Arial" w:cs="Arial"/>
          <w:color w:val="000000" w:themeColor="text1"/>
          <w:sz w:val="24"/>
          <w:szCs w:val="24"/>
        </w:rPr>
        <w:lastRenderedPageBreak/>
        <w:t>the High Court ‘correct’ that should have been sought and obtained in the or</w:t>
      </w:r>
      <w:r>
        <w:rPr>
          <w:rFonts w:ascii="Arial" w:hAnsi="Arial" w:cs="Arial"/>
          <w:color w:val="000000" w:themeColor="text1"/>
          <w:sz w:val="24"/>
          <w:szCs w:val="24"/>
        </w:rPr>
        <w:t>igi</w:t>
      </w:r>
      <w:r w:rsidR="00625CCE">
        <w:rPr>
          <w:rFonts w:ascii="Arial" w:hAnsi="Arial" w:cs="Arial"/>
          <w:color w:val="000000" w:themeColor="text1"/>
          <w:sz w:val="24"/>
          <w:szCs w:val="24"/>
        </w:rPr>
        <w:t>nal review application.</w:t>
      </w:r>
    </w:p>
    <w:p w:rsidR="00000FBD" w:rsidRDefault="00000FBD" w:rsidP="00B90190">
      <w:pPr>
        <w:spacing w:after="0" w:line="480" w:lineRule="auto"/>
        <w:jc w:val="both"/>
        <w:rPr>
          <w:rFonts w:ascii="Arial" w:hAnsi="Arial" w:cs="Arial"/>
          <w:color w:val="000000" w:themeColor="text1"/>
          <w:sz w:val="24"/>
          <w:szCs w:val="24"/>
        </w:rPr>
      </w:pPr>
    </w:p>
    <w:p w:rsidR="00114C6F" w:rsidRDefault="0079405C" w:rsidP="00B90190">
      <w:pPr>
        <w:spacing w:after="0" w:line="480" w:lineRule="auto"/>
        <w:jc w:val="both"/>
        <w:rPr>
          <w:rFonts w:ascii="Arial" w:hAnsi="Arial" w:cs="Arial"/>
          <w:color w:val="000000" w:themeColor="text1"/>
          <w:sz w:val="24"/>
          <w:szCs w:val="24"/>
          <w:lang w:val="en-ZA"/>
        </w:rPr>
      </w:pPr>
      <w:r>
        <w:rPr>
          <w:rFonts w:ascii="Arial" w:hAnsi="Arial" w:cs="Arial"/>
          <w:color w:val="000000" w:themeColor="text1"/>
          <w:sz w:val="24"/>
          <w:szCs w:val="24"/>
        </w:rPr>
        <w:t>[32</w:t>
      </w:r>
      <w:r w:rsidR="005C2022">
        <w:rPr>
          <w:rFonts w:ascii="Arial" w:hAnsi="Arial" w:cs="Arial"/>
          <w:color w:val="000000" w:themeColor="text1"/>
          <w:sz w:val="24"/>
          <w:szCs w:val="24"/>
        </w:rPr>
        <w:t>]</w:t>
      </w:r>
      <w:r w:rsidR="005C2022">
        <w:rPr>
          <w:rFonts w:ascii="Arial" w:hAnsi="Arial" w:cs="Arial"/>
          <w:color w:val="000000" w:themeColor="text1"/>
          <w:sz w:val="24"/>
          <w:szCs w:val="24"/>
        </w:rPr>
        <w:tab/>
        <w:t>Counsel further submitted t</w:t>
      </w:r>
      <w:r w:rsidR="005C2022" w:rsidRPr="00C2512F">
        <w:rPr>
          <w:rFonts w:ascii="Arial" w:hAnsi="Arial" w:cs="Arial"/>
          <w:color w:val="000000" w:themeColor="text1"/>
          <w:sz w:val="24"/>
          <w:szCs w:val="24"/>
        </w:rPr>
        <w:t>hat in the circumstances of this case</w:t>
      </w:r>
      <w:r w:rsidR="005C2022">
        <w:rPr>
          <w:rFonts w:ascii="Arial" w:hAnsi="Arial" w:cs="Arial"/>
          <w:color w:val="000000" w:themeColor="text1"/>
          <w:sz w:val="24"/>
          <w:szCs w:val="24"/>
        </w:rPr>
        <w:t>,</w:t>
      </w:r>
      <w:r w:rsidR="005C2022" w:rsidRPr="00C2512F">
        <w:rPr>
          <w:rFonts w:ascii="Arial" w:hAnsi="Arial" w:cs="Arial"/>
          <w:color w:val="000000" w:themeColor="text1"/>
          <w:sz w:val="24"/>
          <w:szCs w:val="24"/>
        </w:rPr>
        <w:t xml:space="preserve"> a legitimate expectation to be heard did not a</w:t>
      </w:r>
      <w:r w:rsidR="005C2022" w:rsidRPr="004E15A1">
        <w:rPr>
          <w:rFonts w:ascii="Arial" w:hAnsi="Arial" w:cs="Arial"/>
          <w:color w:val="000000" w:themeColor="text1"/>
          <w:sz w:val="24"/>
          <w:szCs w:val="24"/>
        </w:rPr>
        <w:t>rise at all. Counsel contended that the appellant initially accepted that the award to it would be for the re</w:t>
      </w:r>
      <w:r w:rsidR="00132A44">
        <w:rPr>
          <w:rFonts w:ascii="Arial" w:hAnsi="Arial" w:cs="Arial"/>
          <w:color w:val="000000" w:themeColor="text1"/>
          <w:sz w:val="24"/>
          <w:szCs w:val="24"/>
        </w:rPr>
        <w:t xml:space="preserve">mainder </w:t>
      </w:r>
      <w:r w:rsidR="005C2022" w:rsidRPr="004E15A1">
        <w:rPr>
          <w:rFonts w:ascii="Arial" w:hAnsi="Arial" w:cs="Arial"/>
          <w:color w:val="000000" w:themeColor="text1"/>
          <w:sz w:val="24"/>
          <w:szCs w:val="24"/>
        </w:rPr>
        <w:t xml:space="preserve">of the initial term. </w:t>
      </w:r>
      <w:r w:rsidR="005C2022" w:rsidRPr="004E15A1">
        <w:rPr>
          <w:rFonts w:ascii="Arial" w:hAnsi="Arial" w:cs="Arial"/>
          <w:color w:val="000000" w:themeColor="text1"/>
          <w:sz w:val="24"/>
          <w:szCs w:val="24"/>
          <w:lang w:val="en-ZA"/>
        </w:rPr>
        <w:t xml:space="preserve">In support of this contention, </w:t>
      </w:r>
      <w:r w:rsidR="005C2022">
        <w:rPr>
          <w:rFonts w:ascii="Arial" w:hAnsi="Arial" w:cs="Arial"/>
          <w:color w:val="000000" w:themeColor="text1"/>
          <w:sz w:val="24"/>
          <w:szCs w:val="24"/>
          <w:lang w:val="en-ZA"/>
        </w:rPr>
        <w:t xml:space="preserve">counsel </w:t>
      </w:r>
      <w:r w:rsidR="005C2022" w:rsidRPr="004E15A1">
        <w:rPr>
          <w:rFonts w:ascii="Arial" w:hAnsi="Arial" w:cs="Arial"/>
          <w:color w:val="000000" w:themeColor="text1"/>
          <w:sz w:val="24"/>
          <w:szCs w:val="24"/>
          <w:lang w:val="en-ZA"/>
        </w:rPr>
        <w:t xml:space="preserve">referred to two letters addressed by the appellant to the Government Attorney and </w:t>
      </w:r>
      <w:r w:rsidR="00880661">
        <w:rPr>
          <w:rFonts w:ascii="Arial" w:hAnsi="Arial" w:cs="Arial"/>
          <w:color w:val="000000" w:themeColor="text1"/>
          <w:sz w:val="24"/>
          <w:szCs w:val="24"/>
          <w:lang w:val="en-ZA"/>
        </w:rPr>
        <w:t xml:space="preserve">the </w:t>
      </w:r>
      <w:r w:rsidR="005C2022" w:rsidRPr="004E15A1">
        <w:rPr>
          <w:rFonts w:ascii="Arial" w:hAnsi="Arial" w:cs="Arial"/>
          <w:color w:val="000000" w:themeColor="text1"/>
          <w:sz w:val="24"/>
          <w:szCs w:val="24"/>
          <w:lang w:val="en-ZA"/>
        </w:rPr>
        <w:t xml:space="preserve">Secretary </w:t>
      </w:r>
      <w:r w:rsidR="00880661">
        <w:rPr>
          <w:rFonts w:ascii="Arial" w:hAnsi="Arial" w:cs="Arial"/>
          <w:color w:val="000000" w:themeColor="text1"/>
          <w:sz w:val="24"/>
          <w:szCs w:val="24"/>
          <w:lang w:val="en-ZA"/>
        </w:rPr>
        <w:t>to</w:t>
      </w:r>
      <w:r w:rsidR="005C2022" w:rsidRPr="004E15A1">
        <w:rPr>
          <w:rFonts w:ascii="Arial" w:hAnsi="Arial" w:cs="Arial"/>
          <w:color w:val="000000" w:themeColor="text1"/>
          <w:sz w:val="24"/>
          <w:szCs w:val="24"/>
          <w:lang w:val="en-ZA"/>
        </w:rPr>
        <w:t xml:space="preserve"> the Tender Board dated 22 July </w:t>
      </w:r>
      <w:r w:rsidR="00880661">
        <w:rPr>
          <w:rFonts w:ascii="Arial" w:hAnsi="Arial" w:cs="Arial"/>
          <w:color w:val="000000" w:themeColor="text1"/>
          <w:sz w:val="24"/>
          <w:szCs w:val="24"/>
          <w:lang w:val="en-ZA"/>
        </w:rPr>
        <w:t xml:space="preserve">2013 </w:t>
      </w:r>
      <w:r w:rsidR="005C2022" w:rsidRPr="004E15A1">
        <w:rPr>
          <w:rFonts w:ascii="Arial" w:hAnsi="Arial" w:cs="Arial"/>
          <w:color w:val="000000" w:themeColor="text1"/>
          <w:sz w:val="24"/>
          <w:szCs w:val="24"/>
          <w:lang w:val="en-ZA"/>
        </w:rPr>
        <w:t xml:space="preserve">and 22 August 2013 respectively. </w:t>
      </w:r>
      <w:r w:rsidR="004610FB">
        <w:rPr>
          <w:rFonts w:ascii="Arial" w:hAnsi="Arial" w:cs="Arial"/>
          <w:color w:val="000000" w:themeColor="text1"/>
          <w:sz w:val="24"/>
          <w:szCs w:val="24"/>
          <w:lang w:val="en-ZA"/>
        </w:rPr>
        <w:t>I</w:t>
      </w:r>
      <w:r w:rsidR="000B7FB5">
        <w:rPr>
          <w:rFonts w:ascii="Arial" w:hAnsi="Arial" w:cs="Arial"/>
          <w:color w:val="000000" w:themeColor="text1"/>
          <w:sz w:val="24"/>
          <w:szCs w:val="24"/>
          <w:lang w:val="en-ZA"/>
        </w:rPr>
        <w:t xml:space="preserve">t is not </w:t>
      </w:r>
      <w:r w:rsidR="005C2022" w:rsidRPr="003025C5">
        <w:rPr>
          <w:rFonts w:ascii="Arial" w:hAnsi="Arial" w:cs="Arial"/>
          <w:color w:val="000000" w:themeColor="text1"/>
          <w:sz w:val="24"/>
          <w:szCs w:val="24"/>
        </w:rPr>
        <w:t xml:space="preserve">necessary to reproduce </w:t>
      </w:r>
      <w:r w:rsidR="005C2022">
        <w:rPr>
          <w:rFonts w:ascii="Arial" w:hAnsi="Arial" w:cs="Arial"/>
          <w:color w:val="000000" w:themeColor="text1"/>
          <w:sz w:val="24"/>
          <w:szCs w:val="24"/>
        </w:rPr>
        <w:t xml:space="preserve">the </w:t>
      </w:r>
      <w:r w:rsidR="00132A44">
        <w:rPr>
          <w:rFonts w:ascii="Arial" w:hAnsi="Arial" w:cs="Arial"/>
          <w:color w:val="000000" w:themeColor="text1"/>
          <w:sz w:val="24"/>
          <w:szCs w:val="24"/>
        </w:rPr>
        <w:t xml:space="preserve">entire </w:t>
      </w:r>
      <w:r w:rsidR="007E6D97">
        <w:rPr>
          <w:rFonts w:ascii="Arial" w:hAnsi="Arial" w:cs="Arial"/>
          <w:color w:val="000000" w:themeColor="text1"/>
          <w:sz w:val="24"/>
          <w:szCs w:val="24"/>
        </w:rPr>
        <w:t xml:space="preserve">content of </w:t>
      </w:r>
      <w:r w:rsidR="00132A44">
        <w:rPr>
          <w:rFonts w:ascii="Arial" w:hAnsi="Arial" w:cs="Arial"/>
          <w:color w:val="000000" w:themeColor="text1"/>
          <w:sz w:val="24"/>
          <w:szCs w:val="24"/>
        </w:rPr>
        <w:t xml:space="preserve">the </w:t>
      </w:r>
      <w:r w:rsidR="007E6D97">
        <w:rPr>
          <w:rFonts w:ascii="Arial" w:hAnsi="Arial" w:cs="Arial"/>
          <w:color w:val="000000" w:themeColor="text1"/>
          <w:sz w:val="24"/>
          <w:szCs w:val="24"/>
        </w:rPr>
        <w:t>le</w:t>
      </w:r>
      <w:r w:rsidR="005C2022" w:rsidRPr="003025C5">
        <w:rPr>
          <w:rFonts w:ascii="Arial" w:hAnsi="Arial" w:cs="Arial"/>
          <w:color w:val="000000" w:themeColor="text1"/>
          <w:sz w:val="24"/>
          <w:szCs w:val="24"/>
        </w:rPr>
        <w:t>tter</w:t>
      </w:r>
      <w:r w:rsidR="007E6D97">
        <w:rPr>
          <w:rFonts w:ascii="Arial" w:hAnsi="Arial" w:cs="Arial"/>
          <w:color w:val="000000" w:themeColor="text1"/>
          <w:sz w:val="24"/>
          <w:szCs w:val="24"/>
        </w:rPr>
        <w:t>s</w:t>
      </w:r>
      <w:r w:rsidR="00132A44">
        <w:rPr>
          <w:rFonts w:ascii="Arial" w:hAnsi="Arial" w:cs="Arial"/>
          <w:color w:val="000000" w:themeColor="text1"/>
          <w:sz w:val="24"/>
          <w:szCs w:val="24"/>
        </w:rPr>
        <w:t>.</w:t>
      </w:r>
      <w:r w:rsidR="007E6D97">
        <w:rPr>
          <w:rFonts w:ascii="Arial" w:hAnsi="Arial" w:cs="Arial"/>
          <w:color w:val="000000" w:themeColor="text1"/>
          <w:sz w:val="24"/>
          <w:szCs w:val="24"/>
        </w:rPr>
        <w:t xml:space="preserve"> </w:t>
      </w:r>
      <w:r w:rsidR="00132A44">
        <w:rPr>
          <w:rFonts w:ascii="Arial" w:hAnsi="Arial" w:cs="Arial"/>
          <w:color w:val="000000" w:themeColor="text1"/>
          <w:sz w:val="24"/>
          <w:szCs w:val="24"/>
        </w:rPr>
        <w:t xml:space="preserve">It is enough to </w:t>
      </w:r>
      <w:r w:rsidR="005C2022">
        <w:rPr>
          <w:rFonts w:ascii="Arial" w:hAnsi="Arial" w:cs="Arial"/>
          <w:color w:val="000000" w:themeColor="text1"/>
          <w:sz w:val="24"/>
          <w:szCs w:val="24"/>
        </w:rPr>
        <w:t xml:space="preserve">highlight </w:t>
      </w:r>
      <w:r w:rsidR="00132A44">
        <w:rPr>
          <w:rFonts w:ascii="Arial" w:hAnsi="Arial" w:cs="Arial"/>
          <w:color w:val="000000" w:themeColor="text1"/>
          <w:sz w:val="24"/>
          <w:szCs w:val="24"/>
        </w:rPr>
        <w:t>the</w:t>
      </w:r>
      <w:r w:rsidR="006E6BBF">
        <w:rPr>
          <w:rFonts w:ascii="Arial" w:hAnsi="Arial" w:cs="Arial"/>
          <w:color w:val="000000" w:themeColor="text1"/>
          <w:sz w:val="24"/>
          <w:szCs w:val="24"/>
        </w:rPr>
        <w:t>ir</w:t>
      </w:r>
      <w:r w:rsidR="00132A44">
        <w:rPr>
          <w:rFonts w:ascii="Arial" w:hAnsi="Arial" w:cs="Arial"/>
          <w:color w:val="000000" w:themeColor="text1"/>
          <w:sz w:val="24"/>
          <w:szCs w:val="24"/>
        </w:rPr>
        <w:t xml:space="preserve"> </w:t>
      </w:r>
      <w:r w:rsidR="005C2022">
        <w:rPr>
          <w:rFonts w:ascii="Arial" w:hAnsi="Arial" w:cs="Arial"/>
          <w:color w:val="000000" w:themeColor="text1"/>
          <w:sz w:val="24"/>
          <w:szCs w:val="24"/>
        </w:rPr>
        <w:t>relevant parts.</w:t>
      </w:r>
      <w:r w:rsidR="005C2022">
        <w:rPr>
          <w:rFonts w:ascii="Arial" w:hAnsi="Arial" w:cs="Arial"/>
          <w:color w:val="000000" w:themeColor="text1"/>
          <w:sz w:val="24"/>
          <w:szCs w:val="24"/>
          <w:lang w:val="en-ZA"/>
        </w:rPr>
        <w:t xml:space="preserve"> </w:t>
      </w:r>
      <w:r w:rsidR="000B7FB5">
        <w:rPr>
          <w:rFonts w:ascii="Arial" w:hAnsi="Arial" w:cs="Arial"/>
          <w:color w:val="000000" w:themeColor="text1"/>
          <w:sz w:val="24"/>
          <w:szCs w:val="24"/>
          <w:lang w:val="en-ZA"/>
        </w:rPr>
        <w:t>In the letter dated 22 July</w:t>
      </w:r>
      <w:r w:rsidR="00880661">
        <w:rPr>
          <w:rFonts w:ascii="Arial" w:hAnsi="Arial" w:cs="Arial"/>
          <w:color w:val="000000" w:themeColor="text1"/>
          <w:sz w:val="24"/>
          <w:szCs w:val="24"/>
          <w:lang w:val="en-ZA"/>
        </w:rPr>
        <w:t xml:space="preserve"> 2013</w:t>
      </w:r>
      <w:r w:rsidR="000B7FB5">
        <w:rPr>
          <w:rFonts w:ascii="Arial" w:hAnsi="Arial" w:cs="Arial"/>
          <w:color w:val="000000" w:themeColor="text1"/>
          <w:sz w:val="24"/>
          <w:szCs w:val="24"/>
          <w:lang w:val="en-ZA"/>
        </w:rPr>
        <w:t>,</w:t>
      </w:r>
      <w:r w:rsidR="005C2022">
        <w:rPr>
          <w:rFonts w:ascii="Arial" w:hAnsi="Arial" w:cs="Arial"/>
          <w:color w:val="000000" w:themeColor="text1"/>
          <w:sz w:val="24"/>
          <w:szCs w:val="24"/>
          <w:lang w:val="en-ZA"/>
        </w:rPr>
        <w:t xml:space="preserve"> </w:t>
      </w:r>
      <w:r w:rsidR="00880661">
        <w:rPr>
          <w:rFonts w:ascii="Arial" w:hAnsi="Arial" w:cs="Arial"/>
          <w:color w:val="000000" w:themeColor="text1"/>
          <w:sz w:val="24"/>
          <w:szCs w:val="24"/>
          <w:lang w:val="en-ZA"/>
        </w:rPr>
        <w:t xml:space="preserve">the appellant’s legal practitioners, </w:t>
      </w:r>
      <w:r w:rsidR="006E6BBF">
        <w:rPr>
          <w:rFonts w:ascii="Arial" w:hAnsi="Arial" w:cs="Arial"/>
          <w:color w:val="000000" w:themeColor="text1"/>
          <w:sz w:val="24"/>
          <w:szCs w:val="24"/>
          <w:lang w:val="en-ZA"/>
        </w:rPr>
        <w:t xml:space="preserve">recorded that the appellant was prepared to render the services pending the evaluation of the tender, adding: </w:t>
      </w:r>
      <w:r w:rsidR="0099735D">
        <w:rPr>
          <w:rFonts w:ascii="Arial" w:hAnsi="Arial" w:cs="Arial"/>
          <w:color w:val="000000" w:themeColor="text1"/>
          <w:sz w:val="24"/>
          <w:szCs w:val="24"/>
          <w:lang w:val="en-ZA"/>
        </w:rPr>
        <w:t>‘</w:t>
      </w:r>
      <w:r w:rsidR="005C2022" w:rsidRPr="006E6BBF">
        <w:rPr>
          <w:rFonts w:ascii="Arial" w:hAnsi="Arial" w:cs="Arial"/>
          <w:color w:val="000000" w:themeColor="text1"/>
          <w:sz w:val="24"/>
          <w:szCs w:val="24"/>
          <w:lang w:val="en-ZA"/>
        </w:rPr>
        <w:t xml:space="preserve">Due to the substantial time that has already lapsed </w:t>
      </w:r>
      <w:r w:rsidR="005C2022" w:rsidRPr="004E15A1">
        <w:rPr>
          <w:rFonts w:ascii="Arial" w:hAnsi="Arial" w:cs="Arial"/>
          <w:i/>
          <w:color w:val="000000" w:themeColor="text1"/>
          <w:sz w:val="24"/>
          <w:szCs w:val="24"/>
          <w:lang w:val="en-ZA"/>
        </w:rPr>
        <w:t xml:space="preserve">and </w:t>
      </w:r>
      <w:r w:rsidR="006E6BBF">
        <w:rPr>
          <w:rFonts w:ascii="Arial" w:hAnsi="Arial" w:cs="Arial"/>
          <w:i/>
          <w:color w:val="000000" w:themeColor="text1"/>
          <w:sz w:val="24"/>
          <w:szCs w:val="24"/>
          <w:lang w:val="en-ZA"/>
        </w:rPr>
        <w:t xml:space="preserve">the </w:t>
      </w:r>
      <w:r w:rsidR="005C2022" w:rsidRPr="004E15A1">
        <w:rPr>
          <w:rFonts w:ascii="Arial" w:hAnsi="Arial" w:cs="Arial"/>
          <w:i/>
          <w:color w:val="000000" w:themeColor="text1"/>
          <w:sz w:val="24"/>
          <w:szCs w:val="24"/>
          <w:lang w:val="en-ZA"/>
        </w:rPr>
        <w:t xml:space="preserve">short period left before the tender expires, </w:t>
      </w:r>
      <w:r w:rsidR="005C2022" w:rsidRPr="006E6BBF">
        <w:rPr>
          <w:rFonts w:ascii="Arial" w:hAnsi="Arial" w:cs="Arial"/>
          <w:color w:val="000000" w:themeColor="text1"/>
          <w:sz w:val="24"/>
          <w:szCs w:val="24"/>
          <w:lang w:val="en-ZA"/>
        </w:rPr>
        <w:t>we</w:t>
      </w:r>
      <w:r w:rsidR="006E6BBF" w:rsidRPr="006E6BBF">
        <w:rPr>
          <w:rFonts w:ascii="Arial" w:hAnsi="Arial" w:cs="Arial"/>
          <w:color w:val="000000" w:themeColor="text1"/>
          <w:sz w:val="24"/>
          <w:szCs w:val="24"/>
          <w:lang w:val="en-ZA"/>
        </w:rPr>
        <w:t xml:space="preserve"> are instructed to</w:t>
      </w:r>
      <w:r w:rsidR="005C2022" w:rsidRPr="006E6BBF">
        <w:rPr>
          <w:rFonts w:ascii="Arial" w:hAnsi="Arial" w:cs="Arial"/>
          <w:color w:val="000000" w:themeColor="text1"/>
          <w:sz w:val="24"/>
          <w:szCs w:val="24"/>
          <w:lang w:val="en-ZA"/>
        </w:rPr>
        <w:t xml:space="preserve"> request that the order of the Supreme Court be implemented without delay</w:t>
      </w:r>
      <w:r w:rsidR="006E6BBF">
        <w:rPr>
          <w:rFonts w:ascii="Arial" w:hAnsi="Arial" w:cs="Arial"/>
          <w:color w:val="000000" w:themeColor="text1"/>
          <w:sz w:val="24"/>
          <w:szCs w:val="24"/>
          <w:lang w:val="en-ZA"/>
        </w:rPr>
        <w:t>.</w:t>
      </w:r>
      <w:r w:rsidR="0081367D" w:rsidRPr="006E6BBF">
        <w:rPr>
          <w:rFonts w:ascii="Arial" w:hAnsi="Arial" w:cs="Arial"/>
          <w:color w:val="000000" w:themeColor="text1"/>
          <w:sz w:val="24"/>
          <w:szCs w:val="24"/>
          <w:lang w:val="en-ZA"/>
        </w:rPr>
        <w:t>’</w:t>
      </w:r>
      <w:r w:rsidR="006E6BBF">
        <w:rPr>
          <w:rFonts w:ascii="Arial" w:hAnsi="Arial" w:cs="Arial"/>
          <w:color w:val="000000" w:themeColor="text1"/>
          <w:sz w:val="24"/>
          <w:szCs w:val="24"/>
          <w:lang w:val="en-ZA"/>
        </w:rPr>
        <w:t xml:space="preserve"> (Emphasis supplied). </w:t>
      </w:r>
      <w:r w:rsidR="005C2022">
        <w:rPr>
          <w:rFonts w:ascii="Arial" w:hAnsi="Arial" w:cs="Arial"/>
          <w:color w:val="000000" w:themeColor="text1"/>
          <w:sz w:val="24"/>
          <w:szCs w:val="24"/>
          <w:lang w:val="en-ZA"/>
        </w:rPr>
        <w:t>In the letter</w:t>
      </w:r>
      <w:r w:rsidR="00FC0955">
        <w:rPr>
          <w:rFonts w:ascii="Arial" w:hAnsi="Arial" w:cs="Arial"/>
          <w:color w:val="000000" w:themeColor="text1"/>
          <w:sz w:val="24"/>
          <w:szCs w:val="24"/>
          <w:lang w:val="en-ZA"/>
        </w:rPr>
        <w:t xml:space="preserve"> date</w:t>
      </w:r>
      <w:r w:rsidR="0099735D">
        <w:rPr>
          <w:rFonts w:ascii="Arial" w:hAnsi="Arial" w:cs="Arial"/>
          <w:color w:val="000000" w:themeColor="text1"/>
          <w:sz w:val="24"/>
          <w:szCs w:val="24"/>
          <w:lang w:val="en-ZA"/>
        </w:rPr>
        <w:t>d</w:t>
      </w:r>
      <w:r w:rsidR="00FC0955">
        <w:rPr>
          <w:rFonts w:ascii="Arial" w:hAnsi="Arial" w:cs="Arial"/>
          <w:color w:val="000000" w:themeColor="text1"/>
          <w:sz w:val="24"/>
          <w:szCs w:val="24"/>
          <w:lang w:val="en-ZA"/>
        </w:rPr>
        <w:t xml:space="preserve"> 22 August 2013</w:t>
      </w:r>
      <w:r w:rsidR="005C2022">
        <w:rPr>
          <w:rFonts w:ascii="Arial" w:hAnsi="Arial" w:cs="Arial"/>
          <w:color w:val="000000" w:themeColor="text1"/>
          <w:sz w:val="24"/>
          <w:szCs w:val="24"/>
          <w:lang w:val="en-ZA"/>
        </w:rPr>
        <w:t>,</w:t>
      </w:r>
      <w:r w:rsidR="00FC0955" w:rsidRPr="00FC0955">
        <w:rPr>
          <w:rFonts w:ascii="Arial" w:hAnsi="Arial" w:cs="Arial"/>
          <w:color w:val="000000" w:themeColor="text1"/>
          <w:sz w:val="24"/>
          <w:szCs w:val="24"/>
          <w:lang w:val="en-ZA"/>
        </w:rPr>
        <w:t xml:space="preserve"> </w:t>
      </w:r>
      <w:r w:rsidR="00FC0955">
        <w:rPr>
          <w:rFonts w:ascii="Arial" w:hAnsi="Arial" w:cs="Arial"/>
          <w:color w:val="000000" w:themeColor="text1"/>
          <w:sz w:val="24"/>
          <w:szCs w:val="24"/>
          <w:lang w:val="en-ZA"/>
        </w:rPr>
        <w:t xml:space="preserve">the appellant’s legal practitioners, amongst other things, urged the Tender Board to award the tender to the appellant and </w:t>
      </w:r>
      <w:r w:rsidR="0099735D">
        <w:rPr>
          <w:rFonts w:ascii="Arial" w:hAnsi="Arial" w:cs="Arial"/>
          <w:color w:val="000000" w:themeColor="text1"/>
          <w:sz w:val="24"/>
          <w:szCs w:val="24"/>
          <w:lang w:val="en-ZA"/>
        </w:rPr>
        <w:t xml:space="preserve">demanded </w:t>
      </w:r>
      <w:r w:rsidR="00FC0955">
        <w:rPr>
          <w:rFonts w:ascii="Arial" w:hAnsi="Arial" w:cs="Arial"/>
          <w:color w:val="000000" w:themeColor="text1"/>
          <w:sz w:val="24"/>
          <w:szCs w:val="24"/>
          <w:lang w:val="en-ZA"/>
        </w:rPr>
        <w:t>that: ‘</w:t>
      </w:r>
      <w:r w:rsidR="00FC0955" w:rsidRPr="00FC0955">
        <w:rPr>
          <w:rFonts w:ascii="Arial" w:hAnsi="Arial" w:cs="Arial"/>
          <w:i/>
          <w:color w:val="000000" w:themeColor="text1"/>
          <w:sz w:val="24"/>
          <w:szCs w:val="24"/>
          <w:lang w:val="en-ZA"/>
        </w:rPr>
        <w:t>This should happen as soon as possible because</w:t>
      </w:r>
      <w:r w:rsidR="005C2022">
        <w:rPr>
          <w:rFonts w:ascii="Arial" w:hAnsi="Arial" w:cs="Arial"/>
          <w:color w:val="000000" w:themeColor="text1"/>
          <w:sz w:val="24"/>
          <w:szCs w:val="24"/>
          <w:lang w:val="en-ZA"/>
        </w:rPr>
        <w:t xml:space="preserve"> </w:t>
      </w:r>
      <w:r w:rsidR="00880661" w:rsidRPr="00FC0955">
        <w:rPr>
          <w:rFonts w:ascii="Arial" w:hAnsi="Arial" w:cs="Arial"/>
          <w:i/>
          <w:color w:val="000000" w:themeColor="text1"/>
          <w:sz w:val="24"/>
          <w:szCs w:val="24"/>
          <w:lang w:val="en-ZA"/>
        </w:rPr>
        <w:t>the</w:t>
      </w:r>
      <w:r w:rsidR="00880661">
        <w:rPr>
          <w:rFonts w:ascii="Arial" w:hAnsi="Arial" w:cs="Arial"/>
          <w:color w:val="000000" w:themeColor="text1"/>
          <w:sz w:val="24"/>
          <w:szCs w:val="24"/>
          <w:lang w:val="en-ZA"/>
        </w:rPr>
        <w:t xml:space="preserve"> </w:t>
      </w:r>
      <w:r w:rsidR="005C2022" w:rsidRPr="00D3343B">
        <w:rPr>
          <w:rFonts w:ascii="Arial" w:hAnsi="Arial" w:cs="Arial"/>
          <w:i/>
          <w:color w:val="000000" w:themeColor="text1"/>
          <w:sz w:val="24"/>
          <w:szCs w:val="24"/>
          <w:lang w:val="en-ZA"/>
        </w:rPr>
        <w:t xml:space="preserve">tender expires on 31 </w:t>
      </w:r>
      <w:r w:rsidR="0099735D">
        <w:rPr>
          <w:rFonts w:ascii="Arial" w:hAnsi="Arial" w:cs="Arial"/>
          <w:i/>
          <w:color w:val="000000" w:themeColor="text1"/>
          <w:sz w:val="24"/>
          <w:szCs w:val="24"/>
          <w:lang w:val="en-ZA"/>
        </w:rPr>
        <w:t>March 2014</w:t>
      </w:r>
      <w:r w:rsidR="00CE1029">
        <w:rPr>
          <w:rFonts w:ascii="Arial" w:hAnsi="Arial" w:cs="Arial"/>
          <w:i/>
          <w:color w:val="000000" w:themeColor="text1"/>
          <w:sz w:val="24"/>
          <w:szCs w:val="24"/>
          <w:lang w:val="en-ZA"/>
        </w:rPr>
        <w:t>. . . .</w:t>
      </w:r>
      <w:r w:rsidR="0099735D">
        <w:rPr>
          <w:rFonts w:ascii="Arial" w:hAnsi="Arial" w:cs="Arial"/>
          <w:i/>
          <w:color w:val="000000" w:themeColor="text1"/>
          <w:sz w:val="24"/>
          <w:szCs w:val="24"/>
          <w:lang w:val="en-ZA"/>
        </w:rPr>
        <w:t>’</w:t>
      </w:r>
      <w:r w:rsidR="00CE1029">
        <w:rPr>
          <w:rFonts w:ascii="Arial" w:hAnsi="Arial" w:cs="Arial"/>
          <w:i/>
          <w:color w:val="000000" w:themeColor="text1"/>
          <w:sz w:val="24"/>
          <w:szCs w:val="24"/>
          <w:lang w:val="en-ZA"/>
        </w:rPr>
        <w:t xml:space="preserve"> </w:t>
      </w:r>
      <w:r w:rsidR="00FC0955">
        <w:rPr>
          <w:rFonts w:ascii="Arial" w:hAnsi="Arial" w:cs="Arial"/>
          <w:color w:val="000000" w:themeColor="text1"/>
          <w:sz w:val="24"/>
          <w:szCs w:val="24"/>
          <w:lang w:val="en-ZA"/>
        </w:rPr>
        <w:t>(Emphasis added).</w:t>
      </w:r>
    </w:p>
    <w:p w:rsidR="00114C6F" w:rsidRDefault="00114C6F" w:rsidP="00B90190">
      <w:pPr>
        <w:spacing w:after="0" w:line="480" w:lineRule="auto"/>
        <w:jc w:val="both"/>
        <w:rPr>
          <w:rFonts w:ascii="Arial" w:hAnsi="Arial" w:cs="Arial"/>
          <w:color w:val="000000" w:themeColor="text1"/>
          <w:sz w:val="24"/>
          <w:szCs w:val="24"/>
          <w:lang w:val="en-ZA"/>
        </w:rPr>
      </w:pPr>
    </w:p>
    <w:p w:rsidR="005C2022" w:rsidRDefault="00114C6F" w:rsidP="00B90190">
      <w:pPr>
        <w:spacing w:after="0" w:line="48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[33]</w:t>
      </w:r>
      <w:r>
        <w:rPr>
          <w:rFonts w:ascii="Arial" w:hAnsi="Arial" w:cs="Arial"/>
          <w:color w:val="000000" w:themeColor="text1"/>
          <w:sz w:val="24"/>
          <w:szCs w:val="24"/>
          <w:lang w:val="en-ZA"/>
        </w:rPr>
        <w:tab/>
      </w:r>
      <w:r w:rsidR="005C2022">
        <w:rPr>
          <w:rFonts w:ascii="Arial" w:hAnsi="Arial" w:cs="Arial"/>
          <w:color w:val="000000" w:themeColor="text1"/>
          <w:sz w:val="24"/>
          <w:szCs w:val="24"/>
          <w:lang w:val="en-ZA"/>
        </w:rPr>
        <w:t xml:space="preserve">According to counsel, these observations by the appellant </w:t>
      </w:r>
      <w:r w:rsidR="005C2022">
        <w:rPr>
          <w:rFonts w:ascii="Arial" w:hAnsi="Arial" w:cs="Arial"/>
          <w:sz w:val="24"/>
          <w:szCs w:val="24"/>
        </w:rPr>
        <w:t xml:space="preserve">are </w:t>
      </w:r>
      <w:r w:rsidR="005C2022" w:rsidRPr="002513CC">
        <w:rPr>
          <w:rFonts w:ascii="Arial" w:hAnsi="Arial" w:cs="Arial"/>
          <w:sz w:val="24"/>
          <w:szCs w:val="24"/>
        </w:rPr>
        <w:t xml:space="preserve">wholly at odds with </w:t>
      </w:r>
      <w:r w:rsidR="0081367D">
        <w:rPr>
          <w:rFonts w:ascii="Arial" w:hAnsi="Arial" w:cs="Arial"/>
          <w:sz w:val="24"/>
          <w:szCs w:val="24"/>
        </w:rPr>
        <w:t xml:space="preserve">its </w:t>
      </w:r>
      <w:r w:rsidR="005C2022">
        <w:rPr>
          <w:rFonts w:ascii="Arial" w:hAnsi="Arial" w:cs="Arial"/>
          <w:sz w:val="24"/>
          <w:szCs w:val="24"/>
        </w:rPr>
        <w:t>contention</w:t>
      </w:r>
      <w:r w:rsidR="00977F02">
        <w:rPr>
          <w:rFonts w:ascii="Arial" w:hAnsi="Arial" w:cs="Arial"/>
          <w:sz w:val="24"/>
          <w:szCs w:val="24"/>
        </w:rPr>
        <w:t xml:space="preserve"> now </w:t>
      </w:r>
      <w:r w:rsidR="005C2022">
        <w:rPr>
          <w:rFonts w:ascii="Arial" w:hAnsi="Arial" w:cs="Arial"/>
          <w:sz w:val="24"/>
          <w:szCs w:val="24"/>
        </w:rPr>
        <w:t xml:space="preserve">that it was unaware of the term of the tender. Counsel </w:t>
      </w:r>
      <w:r w:rsidR="0081367D">
        <w:rPr>
          <w:rFonts w:ascii="Arial" w:hAnsi="Arial" w:cs="Arial"/>
          <w:sz w:val="24"/>
          <w:szCs w:val="24"/>
        </w:rPr>
        <w:t xml:space="preserve">submitted </w:t>
      </w:r>
      <w:r w:rsidR="005C2022">
        <w:rPr>
          <w:rFonts w:ascii="Arial" w:hAnsi="Arial" w:cs="Arial"/>
          <w:sz w:val="24"/>
          <w:szCs w:val="24"/>
        </w:rPr>
        <w:t>that the appellant explicitly in the</w:t>
      </w:r>
      <w:r w:rsidR="00977F02">
        <w:rPr>
          <w:rFonts w:ascii="Arial" w:hAnsi="Arial" w:cs="Arial"/>
          <w:sz w:val="24"/>
          <w:szCs w:val="24"/>
        </w:rPr>
        <w:t>se</w:t>
      </w:r>
      <w:r w:rsidR="005C2022">
        <w:rPr>
          <w:rFonts w:ascii="Arial" w:hAnsi="Arial" w:cs="Arial"/>
          <w:sz w:val="24"/>
          <w:szCs w:val="24"/>
        </w:rPr>
        <w:t xml:space="preserve"> letters acknowledged </w:t>
      </w:r>
      <w:r w:rsidR="005C2022">
        <w:rPr>
          <w:rFonts w:ascii="Arial" w:hAnsi="Arial" w:cs="Arial"/>
          <w:color w:val="000000" w:themeColor="text1"/>
          <w:sz w:val="24"/>
          <w:szCs w:val="24"/>
        </w:rPr>
        <w:t>that the tender was coming to end by 31 March 2014</w:t>
      </w:r>
      <w:r w:rsidR="00977F02">
        <w:rPr>
          <w:rFonts w:ascii="Arial" w:hAnsi="Arial" w:cs="Arial"/>
          <w:color w:val="000000" w:themeColor="text1"/>
          <w:sz w:val="24"/>
          <w:szCs w:val="24"/>
        </w:rPr>
        <w:t xml:space="preserve"> and urged this Court to dismiss the appellant's reliance on legitimate expectation on this basis</w:t>
      </w:r>
      <w:r w:rsidR="005C2022">
        <w:rPr>
          <w:rFonts w:ascii="Arial" w:hAnsi="Arial" w:cs="Arial"/>
          <w:color w:val="000000" w:themeColor="text1"/>
          <w:sz w:val="24"/>
          <w:szCs w:val="24"/>
        </w:rPr>
        <w:t xml:space="preserve">. </w:t>
      </w:r>
    </w:p>
    <w:p w:rsidR="005C2022" w:rsidRDefault="005C2022" w:rsidP="00B90190">
      <w:pPr>
        <w:spacing w:after="0" w:line="480" w:lineRule="auto"/>
        <w:jc w:val="both"/>
        <w:rPr>
          <w:rFonts w:ascii="Arial" w:hAnsi="Arial" w:cs="Arial"/>
          <w:color w:val="000000" w:themeColor="text1"/>
          <w:sz w:val="24"/>
          <w:szCs w:val="24"/>
        </w:rPr>
      </w:pPr>
    </w:p>
    <w:p w:rsidR="005C2022" w:rsidRPr="00213902" w:rsidRDefault="005C2022" w:rsidP="00B90190">
      <w:pPr>
        <w:spacing w:after="0" w:line="480" w:lineRule="auto"/>
        <w:jc w:val="both"/>
        <w:rPr>
          <w:rFonts w:ascii="Arial" w:hAnsi="Arial" w:cs="Arial"/>
          <w:color w:val="000000" w:themeColor="text1"/>
          <w:sz w:val="24"/>
          <w:szCs w:val="24"/>
          <w:lang w:val="en-ZA"/>
        </w:rPr>
      </w:pPr>
      <w:r>
        <w:rPr>
          <w:rFonts w:ascii="Arial" w:hAnsi="Arial" w:cs="Arial"/>
          <w:color w:val="000000" w:themeColor="text1"/>
          <w:sz w:val="24"/>
          <w:szCs w:val="24"/>
        </w:rPr>
        <w:lastRenderedPageBreak/>
        <w:t>[3</w:t>
      </w:r>
      <w:r w:rsidR="00114C6F">
        <w:rPr>
          <w:rFonts w:ascii="Arial" w:hAnsi="Arial" w:cs="Arial"/>
          <w:color w:val="000000" w:themeColor="text1"/>
          <w:sz w:val="24"/>
          <w:szCs w:val="24"/>
        </w:rPr>
        <w:t>4</w:t>
      </w:r>
      <w:r>
        <w:rPr>
          <w:rFonts w:ascii="Arial" w:hAnsi="Arial" w:cs="Arial"/>
          <w:color w:val="000000" w:themeColor="text1"/>
          <w:sz w:val="24"/>
          <w:szCs w:val="24"/>
        </w:rPr>
        <w:t>]</w:t>
      </w:r>
      <w:r>
        <w:rPr>
          <w:rFonts w:ascii="Arial" w:hAnsi="Arial" w:cs="Arial"/>
          <w:color w:val="000000" w:themeColor="text1"/>
          <w:sz w:val="24"/>
          <w:szCs w:val="24"/>
        </w:rPr>
        <w:tab/>
        <w:t xml:space="preserve">As for the alleged breach of contract </w:t>
      </w:r>
      <w:r w:rsidRPr="00005A29">
        <w:rPr>
          <w:rFonts w:ascii="Arial" w:hAnsi="Arial" w:cs="Arial"/>
          <w:sz w:val="24"/>
          <w:szCs w:val="24"/>
        </w:rPr>
        <w:t xml:space="preserve">relied upon </w:t>
      </w:r>
      <w:r w:rsidR="00FD7C6A">
        <w:rPr>
          <w:rFonts w:ascii="Arial" w:hAnsi="Arial" w:cs="Arial"/>
          <w:sz w:val="24"/>
          <w:szCs w:val="24"/>
        </w:rPr>
        <w:t xml:space="preserve">by </w:t>
      </w:r>
      <w:r w:rsidRPr="00005A29">
        <w:rPr>
          <w:rFonts w:ascii="Arial" w:hAnsi="Arial" w:cs="Arial"/>
          <w:sz w:val="24"/>
          <w:szCs w:val="24"/>
        </w:rPr>
        <w:t xml:space="preserve">the </w:t>
      </w:r>
      <w:r w:rsidR="00005A29" w:rsidRPr="00005A29">
        <w:rPr>
          <w:rFonts w:ascii="Arial" w:hAnsi="Arial" w:cs="Arial"/>
          <w:sz w:val="24"/>
          <w:szCs w:val="24"/>
        </w:rPr>
        <w:t>appellant</w:t>
      </w:r>
      <w:r>
        <w:rPr>
          <w:rFonts w:ascii="Arial" w:hAnsi="Arial" w:cs="Arial"/>
          <w:color w:val="000000" w:themeColor="text1"/>
          <w:sz w:val="24"/>
          <w:szCs w:val="24"/>
        </w:rPr>
        <w:t>, counsel contended that this allegation is without merit. Counsel submitted that the purported agreement the appellant relie</w:t>
      </w:r>
      <w:r w:rsidR="00CE1029">
        <w:rPr>
          <w:rFonts w:ascii="Arial" w:hAnsi="Arial" w:cs="Arial"/>
          <w:color w:val="000000" w:themeColor="text1"/>
          <w:sz w:val="24"/>
          <w:szCs w:val="24"/>
        </w:rPr>
        <w:t>s</w:t>
      </w:r>
      <w:r>
        <w:rPr>
          <w:rFonts w:ascii="Arial" w:hAnsi="Arial" w:cs="Arial"/>
          <w:color w:val="000000" w:themeColor="text1"/>
          <w:sz w:val="24"/>
          <w:szCs w:val="24"/>
        </w:rPr>
        <w:t xml:space="preserve"> on for enforcement of its rights relating to this tender was not signed by the parties. Counsel further submitted that </w:t>
      </w:r>
      <w:r w:rsidR="00CE1029">
        <w:rPr>
          <w:rFonts w:ascii="Arial" w:hAnsi="Arial" w:cs="Arial"/>
          <w:color w:val="000000" w:themeColor="text1"/>
          <w:sz w:val="24"/>
          <w:szCs w:val="24"/>
        </w:rPr>
        <w:t>in any event,</w:t>
      </w:r>
      <w:r>
        <w:rPr>
          <w:rFonts w:ascii="Arial" w:hAnsi="Arial" w:cs="Arial"/>
          <w:color w:val="000000" w:themeColor="text1"/>
          <w:sz w:val="24"/>
          <w:szCs w:val="24"/>
        </w:rPr>
        <w:t xml:space="preserve"> the very agreement relied upon by the appellant clearly states that the term of the tender is fixed as from 1 April 2009 to 31 March 2014. Therefore counsel urged this Court to dismiss this ground as well. </w:t>
      </w:r>
    </w:p>
    <w:p w:rsidR="00136B41" w:rsidRPr="005D124C" w:rsidRDefault="00136B41" w:rsidP="00B90190">
      <w:pPr>
        <w:spacing w:after="0" w:line="480" w:lineRule="auto"/>
        <w:jc w:val="both"/>
        <w:rPr>
          <w:rFonts w:ascii="Arial" w:hAnsi="Arial" w:cs="Arial"/>
          <w:color w:val="000000" w:themeColor="text1"/>
          <w:sz w:val="24"/>
          <w:szCs w:val="24"/>
        </w:rPr>
      </w:pPr>
    </w:p>
    <w:p w:rsidR="005C2022" w:rsidRPr="005D124C" w:rsidRDefault="005C2022" w:rsidP="00B90190">
      <w:pPr>
        <w:spacing w:after="0" w:line="480" w:lineRule="auto"/>
        <w:jc w:val="both"/>
        <w:rPr>
          <w:rFonts w:ascii="Arial" w:hAnsi="Arial" w:cs="Arial"/>
          <w:color w:val="000000" w:themeColor="text1"/>
          <w:sz w:val="24"/>
          <w:szCs w:val="24"/>
          <w:u w:val="single"/>
        </w:rPr>
      </w:pPr>
      <w:r w:rsidRPr="005D124C">
        <w:rPr>
          <w:rFonts w:ascii="Arial" w:hAnsi="Arial" w:cs="Arial"/>
          <w:color w:val="000000" w:themeColor="text1"/>
          <w:sz w:val="24"/>
          <w:szCs w:val="24"/>
          <w:u w:val="single"/>
        </w:rPr>
        <w:t>Analysis of the submissions</w:t>
      </w:r>
    </w:p>
    <w:p w:rsidR="005C2022" w:rsidRDefault="00F520EC" w:rsidP="00B90190">
      <w:pPr>
        <w:spacing w:after="0" w:line="480" w:lineRule="auto"/>
        <w:jc w:val="both"/>
        <w:rPr>
          <w:rFonts w:ascii="Arial" w:hAnsi="Arial" w:cs="Arial"/>
          <w:color w:val="000000" w:themeColor="text1"/>
          <w:sz w:val="24"/>
          <w:szCs w:val="24"/>
          <w:lang w:val="en-GB"/>
        </w:rPr>
      </w:pPr>
      <w:r>
        <w:rPr>
          <w:rFonts w:ascii="Arial" w:hAnsi="Arial" w:cs="Arial"/>
          <w:color w:val="000000" w:themeColor="text1"/>
          <w:sz w:val="24"/>
          <w:szCs w:val="24"/>
          <w:lang w:val="en-GB"/>
        </w:rPr>
        <w:t>[3</w:t>
      </w:r>
      <w:r w:rsidR="00114C6F">
        <w:rPr>
          <w:rFonts w:ascii="Arial" w:hAnsi="Arial" w:cs="Arial"/>
          <w:color w:val="000000" w:themeColor="text1"/>
          <w:sz w:val="24"/>
          <w:szCs w:val="24"/>
          <w:lang w:val="en-GB"/>
        </w:rPr>
        <w:t>5</w:t>
      </w:r>
      <w:r w:rsidR="005C2022">
        <w:rPr>
          <w:rFonts w:ascii="Arial" w:hAnsi="Arial" w:cs="Arial"/>
          <w:color w:val="000000" w:themeColor="text1"/>
          <w:sz w:val="24"/>
          <w:szCs w:val="24"/>
          <w:lang w:val="en-GB"/>
        </w:rPr>
        <w:t>]</w:t>
      </w:r>
      <w:r w:rsidR="005C2022">
        <w:rPr>
          <w:rFonts w:ascii="Arial" w:hAnsi="Arial" w:cs="Arial"/>
          <w:color w:val="000000" w:themeColor="text1"/>
          <w:sz w:val="24"/>
          <w:szCs w:val="24"/>
          <w:lang w:val="en-GB"/>
        </w:rPr>
        <w:tab/>
      </w:r>
      <w:r w:rsidR="005C2022" w:rsidRPr="00CE029F">
        <w:rPr>
          <w:rFonts w:ascii="Arial" w:hAnsi="Arial" w:cs="Arial"/>
          <w:color w:val="000000" w:themeColor="text1"/>
          <w:sz w:val="24"/>
          <w:szCs w:val="24"/>
        </w:rPr>
        <w:t xml:space="preserve">The </w:t>
      </w:r>
      <w:r w:rsidR="004C79D4">
        <w:rPr>
          <w:rFonts w:ascii="Arial" w:hAnsi="Arial" w:cs="Arial"/>
          <w:color w:val="000000" w:themeColor="text1"/>
          <w:sz w:val="24"/>
          <w:szCs w:val="24"/>
        </w:rPr>
        <w:t xml:space="preserve">thrust of the appellant’s argument in this </w:t>
      </w:r>
      <w:r w:rsidR="005C2022" w:rsidRPr="00CE029F">
        <w:rPr>
          <w:rFonts w:ascii="Arial" w:hAnsi="Arial" w:cs="Arial"/>
          <w:color w:val="000000" w:themeColor="text1"/>
          <w:sz w:val="24"/>
          <w:szCs w:val="24"/>
        </w:rPr>
        <w:t xml:space="preserve">appeal is that the court </w:t>
      </w:r>
      <w:r w:rsidR="005C2022" w:rsidRPr="00CE029F">
        <w:rPr>
          <w:rFonts w:ascii="Arial" w:hAnsi="Arial" w:cs="Arial"/>
          <w:i/>
          <w:color w:val="000000" w:themeColor="text1"/>
          <w:sz w:val="24"/>
          <w:szCs w:val="24"/>
        </w:rPr>
        <w:t>a quo</w:t>
      </w:r>
      <w:r w:rsidR="005C2022" w:rsidRPr="00CE029F">
        <w:rPr>
          <w:rFonts w:ascii="Arial" w:hAnsi="Arial" w:cs="Arial"/>
          <w:color w:val="000000" w:themeColor="text1"/>
          <w:sz w:val="24"/>
          <w:szCs w:val="24"/>
        </w:rPr>
        <w:t xml:space="preserve"> had erred in finding that the period of the tender awarded to </w:t>
      </w:r>
      <w:r w:rsidR="009817C9">
        <w:rPr>
          <w:rFonts w:ascii="Arial" w:hAnsi="Arial" w:cs="Arial"/>
          <w:color w:val="000000" w:themeColor="text1"/>
          <w:sz w:val="24"/>
          <w:szCs w:val="24"/>
        </w:rPr>
        <w:t xml:space="preserve">it </w:t>
      </w:r>
      <w:r w:rsidR="005C2022" w:rsidRPr="00CE029F">
        <w:rPr>
          <w:rFonts w:ascii="Arial" w:hAnsi="Arial" w:cs="Arial"/>
          <w:color w:val="000000" w:themeColor="text1"/>
          <w:sz w:val="24"/>
          <w:szCs w:val="24"/>
        </w:rPr>
        <w:t>was</w:t>
      </w:r>
      <w:r w:rsidR="004C79D4">
        <w:rPr>
          <w:rFonts w:ascii="Arial" w:hAnsi="Arial" w:cs="Arial"/>
          <w:color w:val="000000" w:themeColor="text1"/>
          <w:sz w:val="24"/>
          <w:szCs w:val="24"/>
        </w:rPr>
        <w:t xml:space="preserve"> to endure </w:t>
      </w:r>
      <w:r w:rsidR="005C2022" w:rsidRPr="00CE029F">
        <w:rPr>
          <w:rFonts w:ascii="Arial" w:hAnsi="Arial" w:cs="Arial"/>
          <w:color w:val="000000" w:themeColor="text1"/>
          <w:sz w:val="24"/>
          <w:szCs w:val="24"/>
        </w:rPr>
        <w:t xml:space="preserve">until March 2014. </w:t>
      </w:r>
      <w:r w:rsidR="004C79D4">
        <w:rPr>
          <w:rFonts w:ascii="Arial" w:hAnsi="Arial" w:cs="Arial"/>
          <w:color w:val="000000" w:themeColor="text1"/>
          <w:sz w:val="24"/>
          <w:szCs w:val="24"/>
        </w:rPr>
        <w:t>According to t</w:t>
      </w:r>
      <w:r w:rsidR="005C2022">
        <w:rPr>
          <w:rFonts w:ascii="Arial" w:hAnsi="Arial" w:cs="Arial"/>
          <w:color w:val="000000" w:themeColor="text1"/>
          <w:sz w:val="24"/>
          <w:szCs w:val="24"/>
        </w:rPr>
        <w:t>he</w:t>
      </w:r>
      <w:r w:rsidR="005C2022" w:rsidRPr="00716FD7">
        <w:rPr>
          <w:rFonts w:ascii="Arial" w:hAnsi="Arial" w:cs="Arial"/>
          <w:color w:val="000000" w:themeColor="text1"/>
          <w:sz w:val="24"/>
          <w:szCs w:val="24"/>
          <w:lang w:val="en-GB"/>
        </w:rPr>
        <w:t xml:space="preserve"> </w:t>
      </w:r>
      <w:r w:rsidR="005C2022">
        <w:rPr>
          <w:rFonts w:ascii="Arial" w:hAnsi="Arial" w:cs="Arial"/>
          <w:color w:val="000000" w:themeColor="text1"/>
          <w:sz w:val="24"/>
          <w:szCs w:val="24"/>
          <w:lang w:val="en-GB"/>
        </w:rPr>
        <w:t>a</w:t>
      </w:r>
      <w:r w:rsidR="005C2022" w:rsidRPr="00716FD7">
        <w:rPr>
          <w:rFonts w:ascii="Arial" w:hAnsi="Arial" w:cs="Arial"/>
          <w:color w:val="000000" w:themeColor="text1"/>
          <w:sz w:val="24"/>
          <w:szCs w:val="24"/>
          <w:lang w:val="en-GB"/>
        </w:rPr>
        <w:t>ppellant</w:t>
      </w:r>
      <w:r w:rsidR="004C79D4">
        <w:rPr>
          <w:rFonts w:ascii="Arial" w:hAnsi="Arial" w:cs="Arial"/>
          <w:color w:val="000000" w:themeColor="text1"/>
          <w:sz w:val="24"/>
          <w:szCs w:val="24"/>
          <w:lang w:val="en-GB"/>
        </w:rPr>
        <w:t xml:space="preserve">, </w:t>
      </w:r>
      <w:r w:rsidR="005C2022" w:rsidRPr="00716FD7">
        <w:rPr>
          <w:rFonts w:ascii="Arial" w:hAnsi="Arial" w:cs="Arial"/>
          <w:color w:val="000000" w:themeColor="text1"/>
          <w:sz w:val="24"/>
          <w:szCs w:val="24"/>
          <w:lang w:val="en-GB"/>
        </w:rPr>
        <w:t>the contract was</w:t>
      </w:r>
      <w:r w:rsidR="005C2022">
        <w:rPr>
          <w:rFonts w:ascii="Arial" w:hAnsi="Arial" w:cs="Arial"/>
          <w:color w:val="000000" w:themeColor="text1"/>
          <w:sz w:val="24"/>
          <w:szCs w:val="24"/>
          <w:lang w:val="en-GB"/>
        </w:rPr>
        <w:t xml:space="preserve"> supposed to run </w:t>
      </w:r>
      <w:r w:rsidR="005C2022" w:rsidRPr="00716FD7">
        <w:rPr>
          <w:rFonts w:ascii="Arial" w:hAnsi="Arial" w:cs="Arial"/>
          <w:color w:val="000000" w:themeColor="text1"/>
          <w:sz w:val="24"/>
          <w:szCs w:val="24"/>
          <w:lang w:val="en-GB"/>
        </w:rPr>
        <w:t>until 2019</w:t>
      </w:r>
      <w:r w:rsidR="004C79D4">
        <w:rPr>
          <w:rFonts w:ascii="Arial" w:hAnsi="Arial" w:cs="Arial"/>
          <w:color w:val="000000" w:themeColor="text1"/>
          <w:sz w:val="24"/>
          <w:szCs w:val="24"/>
          <w:lang w:val="en-GB"/>
        </w:rPr>
        <w:t>.</w:t>
      </w:r>
      <w:r w:rsidR="005C2022">
        <w:rPr>
          <w:rFonts w:ascii="Arial" w:hAnsi="Arial" w:cs="Arial"/>
          <w:color w:val="000000" w:themeColor="text1"/>
          <w:sz w:val="24"/>
          <w:szCs w:val="24"/>
          <w:lang w:val="en-GB"/>
        </w:rPr>
        <w:t xml:space="preserve"> </w:t>
      </w:r>
      <w:r w:rsidR="004C79D4">
        <w:rPr>
          <w:rFonts w:ascii="Arial" w:hAnsi="Arial" w:cs="Arial"/>
          <w:color w:val="000000" w:themeColor="text1"/>
          <w:sz w:val="24"/>
          <w:szCs w:val="24"/>
          <w:lang w:val="en-GB"/>
        </w:rPr>
        <w:t>T</w:t>
      </w:r>
      <w:r w:rsidR="005C2022">
        <w:rPr>
          <w:rFonts w:ascii="Arial" w:hAnsi="Arial" w:cs="Arial"/>
          <w:color w:val="000000" w:themeColor="text1"/>
          <w:sz w:val="24"/>
          <w:szCs w:val="24"/>
          <w:lang w:val="en-GB"/>
        </w:rPr>
        <w:t xml:space="preserve">he </w:t>
      </w:r>
      <w:r w:rsidR="005C2022" w:rsidRPr="00716FD7">
        <w:rPr>
          <w:rFonts w:ascii="Arial" w:hAnsi="Arial" w:cs="Arial"/>
          <w:color w:val="000000" w:themeColor="text1"/>
          <w:sz w:val="24"/>
          <w:szCs w:val="24"/>
          <w:lang w:val="en-GB"/>
        </w:rPr>
        <w:t xml:space="preserve">respondents </w:t>
      </w:r>
      <w:r>
        <w:rPr>
          <w:rFonts w:ascii="Arial" w:hAnsi="Arial" w:cs="Arial"/>
          <w:color w:val="000000" w:themeColor="text1"/>
          <w:sz w:val="24"/>
          <w:szCs w:val="24"/>
          <w:lang w:val="en-GB"/>
        </w:rPr>
        <w:t xml:space="preserve">on the other </w:t>
      </w:r>
      <w:r w:rsidR="004C79D4">
        <w:rPr>
          <w:rFonts w:ascii="Arial" w:hAnsi="Arial" w:cs="Arial"/>
          <w:color w:val="000000" w:themeColor="text1"/>
          <w:sz w:val="24"/>
          <w:szCs w:val="24"/>
          <w:lang w:val="en-GB"/>
        </w:rPr>
        <w:t xml:space="preserve">hand </w:t>
      </w:r>
      <w:r w:rsidR="005C2022">
        <w:rPr>
          <w:rFonts w:ascii="Arial" w:hAnsi="Arial" w:cs="Arial"/>
          <w:color w:val="000000" w:themeColor="text1"/>
          <w:sz w:val="24"/>
          <w:szCs w:val="24"/>
          <w:lang w:val="en-GB"/>
        </w:rPr>
        <w:t xml:space="preserve">contended that </w:t>
      </w:r>
      <w:r w:rsidR="005C2022" w:rsidRPr="003F2303">
        <w:rPr>
          <w:rFonts w:ascii="Arial" w:hAnsi="Arial" w:cs="Arial"/>
          <w:color w:val="000000" w:themeColor="text1"/>
          <w:sz w:val="24"/>
          <w:szCs w:val="24"/>
          <w:lang w:val="en-GB"/>
        </w:rPr>
        <w:t xml:space="preserve">the contract offered </w:t>
      </w:r>
      <w:r w:rsidR="005C2022">
        <w:rPr>
          <w:rFonts w:ascii="Arial" w:hAnsi="Arial" w:cs="Arial"/>
          <w:color w:val="000000" w:themeColor="text1"/>
          <w:sz w:val="24"/>
          <w:szCs w:val="24"/>
          <w:lang w:val="en-GB"/>
        </w:rPr>
        <w:t>was to</w:t>
      </w:r>
      <w:r w:rsidR="005C2022" w:rsidRPr="003F2303">
        <w:rPr>
          <w:rFonts w:ascii="Arial" w:hAnsi="Arial" w:cs="Arial"/>
          <w:color w:val="000000" w:themeColor="text1"/>
          <w:sz w:val="24"/>
          <w:szCs w:val="24"/>
          <w:lang w:val="en-GB"/>
        </w:rPr>
        <w:t xml:space="preserve"> r</w:t>
      </w:r>
      <w:r w:rsidR="005C2022">
        <w:rPr>
          <w:rFonts w:ascii="Arial" w:hAnsi="Arial" w:cs="Arial"/>
          <w:color w:val="000000" w:themeColor="text1"/>
          <w:sz w:val="24"/>
          <w:szCs w:val="24"/>
          <w:lang w:val="en-GB"/>
        </w:rPr>
        <w:t>u</w:t>
      </w:r>
      <w:r w:rsidR="005C2022" w:rsidRPr="003F2303">
        <w:rPr>
          <w:rFonts w:ascii="Arial" w:hAnsi="Arial" w:cs="Arial"/>
          <w:color w:val="000000" w:themeColor="text1"/>
          <w:sz w:val="24"/>
          <w:szCs w:val="24"/>
          <w:lang w:val="en-GB"/>
        </w:rPr>
        <w:t>n up to 2014</w:t>
      </w:r>
      <w:r w:rsidR="005C2022">
        <w:rPr>
          <w:rFonts w:ascii="Arial" w:hAnsi="Arial" w:cs="Arial"/>
          <w:color w:val="000000" w:themeColor="text1"/>
          <w:sz w:val="24"/>
          <w:szCs w:val="24"/>
          <w:lang w:val="en-GB"/>
        </w:rPr>
        <w:t>.</w:t>
      </w:r>
    </w:p>
    <w:p w:rsidR="005C2022" w:rsidRDefault="005C2022" w:rsidP="00B90190">
      <w:pPr>
        <w:spacing w:after="0" w:line="480" w:lineRule="auto"/>
        <w:jc w:val="both"/>
        <w:rPr>
          <w:rFonts w:ascii="Arial" w:hAnsi="Arial" w:cs="Arial"/>
          <w:color w:val="000000" w:themeColor="text1"/>
          <w:sz w:val="24"/>
          <w:szCs w:val="24"/>
          <w:lang w:val="en-GB"/>
        </w:rPr>
      </w:pPr>
    </w:p>
    <w:p w:rsidR="005C2022" w:rsidRDefault="005C2022" w:rsidP="00B90190">
      <w:pPr>
        <w:spacing w:after="0" w:line="480" w:lineRule="auto"/>
        <w:jc w:val="both"/>
        <w:rPr>
          <w:rFonts w:ascii="Arial" w:hAnsi="Arial" w:cs="Arial"/>
          <w:color w:val="000000" w:themeColor="text1"/>
          <w:sz w:val="24"/>
          <w:szCs w:val="24"/>
          <w:lang w:val="en-ZA"/>
        </w:rPr>
      </w:pPr>
      <w:r>
        <w:rPr>
          <w:rFonts w:ascii="Arial" w:hAnsi="Arial" w:cs="Arial"/>
          <w:color w:val="000000" w:themeColor="text1"/>
          <w:sz w:val="24"/>
          <w:szCs w:val="24"/>
          <w:lang w:val="en-GB"/>
        </w:rPr>
        <w:t>[3</w:t>
      </w:r>
      <w:r w:rsidR="00114C6F">
        <w:rPr>
          <w:rFonts w:ascii="Arial" w:hAnsi="Arial" w:cs="Arial"/>
          <w:color w:val="000000" w:themeColor="text1"/>
          <w:sz w:val="24"/>
          <w:szCs w:val="24"/>
          <w:lang w:val="en-GB"/>
        </w:rPr>
        <w:t>6</w:t>
      </w:r>
      <w:r w:rsidRPr="006F13F3">
        <w:rPr>
          <w:rFonts w:ascii="Arial" w:hAnsi="Arial" w:cs="Arial"/>
          <w:color w:val="000000" w:themeColor="text1"/>
          <w:sz w:val="24"/>
          <w:szCs w:val="24"/>
          <w:lang w:val="en-GB"/>
        </w:rPr>
        <w:t>]</w:t>
      </w:r>
      <w:r w:rsidRPr="006F13F3">
        <w:rPr>
          <w:rFonts w:ascii="Arial" w:hAnsi="Arial" w:cs="Arial"/>
          <w:color w:val="000000" w:themeColor="text1"/>
          <w:sz w:val="24"/>
          <w:szCs w:val="24"/>
          <w:lang w:val="en-GB"/>
        </w:rPr>
        <w:tab/>
      </w:r>
      <w:r>
        <w:rPr>
          <w:rFonts w:ascii="Arial" w:hAnsi="Arial" w:cs="Arial"/>
          <w:color w:val="000000" w:themeColor="text1"/>
          <w:sz w:val="24"/>
          <w:szCs w:val="24"/>
          <w:lang w:val="en-GB"/>
        </w:rPr>
        <w:t>On the issue of appropriate remedy</w:t>
      </w:r>
      <w:r w:rsidRPr="006F13F3">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principles regulating administrative law are</w:t>
      </w:r>
      <w:r w:rsidRPr="006F13F3">
        <w:rPr>
          <w:rFonts w:ascii="Arial" w:hAnsi="Arial" w:cs="Arial"/>
          <w:color w:val="000000" w:themeColor="text1"/>
          <w:sz w:val="24"/>
          <w:szCs w:val="24"/>
          <w:lang w:val="en-GB"/>
        </w:rPr>
        <w:t xml:space="preserve"> clear. </w:t>
      </w:r>
      <w:r>
        <w:rPr>
          <w:rFonts w:ascii="Arial" w:hAnsi="Arial" w:cs="Arial"/>
          <w:color w:val="000000" w:themeColor="text1"/>
          <w:sz w:val="24"/>
          <w:szCs w:val="24"/>
          <w:lang w:val="en-GB"/>
        </w:rPr>
        <w:t xml:space="preserve">Any </w:t>
      </w:r>
      <w:r w:rsidRPr="006F13F3">
        <w:rPr>
          <w:rFonts w:ascii="Arial" w:hAnsi="Arial" w:cs="Arial"/>
          <w:color w:val="000000" w:themeColor="text1"/>
          <w:sz w:val="24"/>
          <w:szCs w:val="24"/>
          <w:lang w:val="en-ZA"/>
        </w:rPr>
        <w:t>improper performance of a</w:t>
      </w:r>
      <w:r>
        <w:rPr>
          <w:rFonts w:ascii="Arial" w:hAnsi="Arial" w:cs="Arial"/>
          <w:color w:val="000000" w:themeColor="text1"/>
          <w:sz w:val="24"/>
          <w:szCs w:val="24"/>
          <w:lang w:val="en-ZA"/>
        </w:rPr>
        <w:t>n administrative function attracts the application of A</w:t>
      </w:r>
      <w:r w:rsidRPr="00EF00E2">
        <w:rPr>
          <w:rFonts w:ascii="Arial" w:hAnsi="Arial" w:cs="Arial"/>
          <w:color w:val="000000" w:themeColor="text1"/>
          <w:sz w:val="24"/>
          <w:szCs w:val="24"/>
          <w:lang w:val="en-ZA"/>
        </w:rPr>
        <w:t xml:space="preserve">rt 18 of the </w:t>
      </w:r>
      <w:r>
        <w:rPr>
          <w:rFonts w:ascii="Arial" w:hAnsi="Arial" w:cs="Arial"/>
          <w:color w:val="000000" w:themeColor="text1"/>
          <w:sz w:val="24"/>
          <w:szCs w:val="24"/>
          <w:lang w:val="en-ZA"/>
        </w:rPr>
        <w:t xml:space="preserve">Namibian Constitution. </w:t>
      </w:r>
      <w:r w:rsidR="00745C84">
        <w:rPr>
          <w:rFonts w:ascii="Arial" w:hAnsi="Arial" w:cs="Arial"/>
          <w:color w:val="000000" w:themeColor="text1"/>
          <w:sz w:val="24"/>
          <w:szCs w:val="24"/>
          <w:lang w:val="en-ZA"/>
        </w:rPr>
        <w:t xml:space="preserve">With </w:t>
      </w:r>
      <w:r>
        <w:rPr>
          <w:rFonts w:ascii="Arial" w:hAnsi="Arial" w:cs="Arial"/>
          <w:color w:val="000000" w:themeColor="text1"/>
          <w:sz w:val="24"/>
          <w:szCs w:val="24"/>
          <w:lang w:val="en-ZA"/>
        </w:rPr>
        <w:t>the advent of our constitutional dispensation, a</w:t>
      </w:r>
      <w:r w:rsidRPr="00550FF3">
        <w:rPr>
          <w:rFonts w:ascii="Arial" w:hAnsi="Arial" w:cs="Arial"/>
          <w:color w:val="000000" w:themeColor="text1"/>
          <w:sz w:val="24"/>
          <w:szCs w:val="24"/>
          <w:lang w:val="en-ZA"/>
        </w:rPr>
        <w:t xml:space="preserve"> breach of the right to administrative justice entitles an aggrieved party to </w:t>
      </w:r>
      <w:r w:rsidR="00745C84">
        <w:rPr>
          <w:rFonts w:ascii="Arial" w:hAnsi="Arial" w:cs="Arial"/>
          <w:color w:val="000000" w:themeColor="text1"/>
          <w:sz w:val="24"/>
          <w:szCs w:val="24"/>
          <w:lang w:val="en-ZA"/>
        </w:rPr>
        <w:t>‘</w:t>
      </w:r>
      <w:r w:rsidRPr="00550FF3">
        <w:rPr>
          <w:rFonts w:ascii="Arial" w:hAnsi="Arial" w:cs="Arial"/>
          <w:color w:val="000000" w:themeColor="text1"/>
          <w:sz w:val="24"/>
          <w:szCs w:val="24"/>
          <w:lang w:val="en-ZA"/>
        </w:rPr>
        <w:t>appropriate relief</w:t>
      </w:r>
      <w:r w:rsidR="00745C84">
        <w:rPr>
          <w:rFonts w:ascii="Arial" w:hAnsi="Arial" w:cs="Arial"/>
          <w:color w:val="000000" w:themeColor="text1"/>
          <w:sz w:val="24"/>
          <w:szCs w:val="24"/>
          <w:lang w:val="en-ZA"/>
        </w:rPr>
        <w:t>’</w:t>
      </w:r>
      <w:r w:rsidRPr="00550FF3">
        <w:rPr>
          <w:rFonts w:ascii="Arial" w:hAnsi="Arial" w:cs="Arial"/>
          <w:color w:val="000000" w:themeColor="text1"/>
          <w:sz w:val="24"/>
          <w:szCs w:val="24"/>
          <w:lang w:val="en-ZA"/>
        </w:rPr>
        <w:t xml:space="preserve"> </w:t>
      </w:r>
      <w:r w:rsidR="00745C84">
        <w:rPr>
          <w:rFonts w:ascii="Arial" w:hAnsi="Arial" w:cs="Arial"/>
          <w:color w:val="000000" w:themeColor="text1"/>
          <w:sz w:val="24"/>
          <w:szCs w:val="24"/>
          <w:lang w:val="en-ZA"/>
        </w:rPr>
        <w:t xml:space="preserve">as contemplated by </w:t>
      </w:r>
      <w:r>
        <w:rPr>
          <w:rFonts w:ascii="Arial" w:hAnsi="Arial" w:cs="Arial"/>
          <w:color w:val="000000" w:themeColor="text1"/>
          <w:sz w:val="24"/>
          <w:szCs w:val="24"/>
          <w:lang w:val="en-ZA"/>
        </w:rPr>
        <w:t>Art 25 of the C</w:t>
      </w:r>
      <w:r w:rsidRPr="00550FF3">
        <w:rPr>
          <w:rFonts w:ascii="Arial" w:hAnsi="Arial" w:cs="Arial"/>
          <w:color w:val="000000" w:themeColor="text1"/>
          <w:sz w:val="24"/>
          <w:szCs w:val="24"/>
          <w:lang w:val="en-ZA"/>
        </w:rPr>
        <w:t xml:space="preserve">onstitution.  </w:t>
      </w:r>
      <w:r>
        <w:rPr>
          <w:rFonts w:ascii="Arial" w:hAnsi="Arial" w:cs="Arial"/>
          <w:color w:val="000000" w:themeColor="text1"/>
          <w:sz w:val="24"/>
          <w:szCs w:val="24"/>
          <w:lang w:val="en-ZA"/>
        </w:rPr>
        <w:t>What the court will consider an appropriate remedy depend</w:t>
      </w:r>
      <w:r w:rsidR="00745C84">
        <w:rPr>
          <w:rFonts w:ascii="Arial" w:hAnsi="Arial" w:cs="Arial"/>
          <w:color w:val="000000" w:themeColor="text1"/>
          <w:sz w:val="24"/>
          <w:szCs w:val="24"/>
          <w:lang w:val="en-ZA"/>
        </w:rPr>
        <w:t>s</w:t>
      </w:r>
      <w:r>
        <w:rPr>
          <w:rFonts w:ascii="Arial" w:hAnsi="Arial" w:cs="Arial"/>
          <w:color w:val="000000" w:themeColor="text1"/>
          <w:sz w:val="24"/>
          <w:szCs w:val="24"/>
          <w:lang w:val="en-ZA"/>
        </w:rPr>
        <w:t xml:space="preserve"> on the </w:t>
      </w:r>
      <w:r w:rsidR="00745C84">
        <w:rPr>
          <w:rFonts w:ascii="Arial" w:hAnsi="Arial" w:cs="Arial"/>
          <w:color w:val="000000" w:themeColor="text1"/>
          <w:sz w:val="24"/>
          <w:szCs w:val="24"/>
          <w:lang w:val="en-ZA"/>
        </w:rPr>
        <w:t xml:space="preserve">facts and </w:t>
      </w:r>
      <w:r>
        <w:rPr>
          <w:rFonts w:ascii="Arial" w:hAnsi="Arial" w:cs="Arial"/>
          <w:color w:val="000000" w:themeColor="text1"/>
          <w:sz w:val="24"/>
          <w:szCs w:val="24"/>
          <w:lang w:val="en-ZA"/>
        </w:rPr>
        <w:t xml:space="preserve">circumstances of </w:t>
      </w:r>
      <w:r w:rsidR="00745C84">
        <w:rPr>
          <w:rFonts w:ascii="Arial" w:hAnsi="Arial" w:cs="Arial"/>
          <w:color w:val="000000" w:themeColor="text1"/>
          <w:sz w:val="24"/>
          <w:szCs w:val="24"/>
          <w:lang w:val="en-ZA"/>
        </w:rPr>
        <w:t xml:space="preserve">each </w:t>
      </w:r>
      <w:r>
        <w:rPr>
          <w:rFonts w:ascii="Arial" w:hAnsi="Arial" w:cs="Arial"/>
          <w:color w:val="000000" w:themeColor="text1"/>
          <w:sz w:val="24"/>
          <w:szCs w:val="24"/>
          <w:lang w:val="en-ZA"/>
        </w:rPr>
        <w:t xml:space="preserve">case. However, it is essential </w:t>
      </w:r>
      <w:r w:rsidR="00320827">
        <w:rPr>
          <w:rFonts w:ascii="Arial" w:hAnsi="Arial" w:cs="Arial"/>
          <w:color w:val="000000" w:themeColor="text1"/>
          <w:sz w:val="24"/>
          <w:szCs w:val="24"/>
          <w:lang w:val="en-ZA"/>
        </w:rPr>
        <w:t xml:space="preserve">that </w:t>
      </w:r>
      <w:r>
        <w:rPr>
          <w:rFonts w:ascii="Arial" w:hAnsi="Arial" w:cs="Arial"/>
          <w:color w:val="000000" w:themeColor="text1"/>
          <w:sz w:val="24"/>
          <w:szCs w:val="24"/>
          <w:lang w:val="en-ZA"/>
        </w:rPr>
        <w:t>this point is made at the outset</w:t>
      </w:r>
      <w:r w:rsidR="00745C84">
        <w:rPr>
          <w:rFonts w:ascii="Arial" w:hAnsi="Arial" w:cs="Arial"/>
          <w:color w:val="000000" w:themeColor="text1"/>
          <w:sz w:val="24"/>
          <w:szCs w:val="24"/>
          <w:lang w:val="en-ZA"/>
        </w:rPr>
        <w:t>.</w:t>
      </w:r>
      <w:r>
        <w:rPr>
          <w:rFonts w:ascii="Arial" w:hAnsi="Arial" w:cs="Arial"/>
          <w:color w:val="000000" w:themeColor="text1"/>
          <w:sz w:val="24"/>
          <w:szCs w:val="24"/>
          <w:lang w:val="en-ZA"/>
        </w:rPr>
        <w:t xml:space="preserve"> </w:t>
      </w:r>
      <w:r w:rsidR="00745C84">
        <w:rPr>
          <w:rFonts w:ascii="Arial" w:hAnsi="Arial" w:cs="Arial"/>
          <w:sz w:val="24"/>
          <w:szCs w:val="24"/>
        </w:rPr>
        <w:t>O</w:t>
      </w:r>
      <w:r w:rsidRPr="00EF00E2">
        <w:rPr>
          <w:rFonts w:ascii="Arial" w:hAnsi="Arial" w:cs="Arial"/>
          <w:sz w:val="24"/>
          <w:szCs w:val="24"/>
        </w:rPr>
        <w:t>rdinarily</w:t>
      </w:r>
      <w:r w:rsidR="00745C84">
        <w:rPr>
          <w:rFonts w:ascii="Arial" w:hAnsi="Arial" w:cs="Arial"/>
          <w:sz w:val="24"/>
          <w:szCs w:val="24"/>
        </w:rPr>
        <w:t>,</w:t>
      </w:r>
      <w:r w:rsidRPr="00EF00E2">
        <w:rPr>
          <w:rFonts w:ascii="Arial" w:hAnsi="Arial" w:cs="Arial"/>
          <w:sz w:val="24"/>
          <w:szCs w:val="24"/>
        </w:rPr>
        <w:t xml:space="preserve"> a breach of administrative justice attracts public law reme</w:t>
      </w:r>
      <w:r w:rsidRPr="003D237A">
        <w:rPr>
          <w:rFonts w:ascii="Arial" w:hAnsi="Arial" w:cs="Arial"/>
          <w:sz w:val="24"/>
          <w:szCs w:val="24"/>
        </w:rPr>
        <w:t>dies and not private law remedies.</w:t>
      </w:r>
      <w:r>
        <w:rPr>
          <w:rFonts w:ascii="Arial" w:hAnsi="Arial" w:cs="Arial"/>
          <w:color w:val="000000" w:themeColor="text1"/>
          <w:sz w:val="24"/>
          <w:szCs w:val="24"/>
          <w:lang w:val="en-ZA"/>
        </w:rPr>
        <w:t xml:space="preserve"> Thus </w:t>
      </w:r>
      <w:r>
        <w:rPr>
          <w:rFonts w:ascii="Arial" w:hAnsi="Arial" w:cs="Arial"/>
          <w:color w:val="000000" w:themeColor="text1"/>
          <w:sz w:val="24"/>
          <w:szCs w:val="24"/>
          <w:lang w:val="en-ZA"/>
        </w:rPr>
        <w:lastRenderedPageBreak/>
        <w:t xml:space="preserve">it is only in exceptional cases that private law remedies will be granted to a party for a breach </w:t>
      </w:r>
      <w:r w:rsidR="00320827">
        <w:rPr>
          <w:rFonts w:ascii="Arial" w:hAnsi="Arial" w:cs="Arial"/>
          <w:color w:val="000000" w:themeColor="text1"/>
          <w:sz w:val="24"/>
          <w:szCs w:val="24"/>
          <w:lang w:val="en-ZA"/>
        </w:rPr>
        <w:t xml:space="preserve">of a right </w:t>
      </w:r>
      <w:r>
        <w:rPr>
          <w:rFonts w:ascii="Arial" w:hAnsi="Arial" w:cs="Arial"/>
          <w:color w:val="000000" w:themeColor="text1"/>
          <w:sz w:val="24"/>
          <w:szCs w:val="24"/>
          <w:lang w:val="en-ZA"/>
        </w:rPr>
        <w:t>in public law domain.</w:t>
      </w:r>
      <w:r w:rsidR="00745C84">
        <w:rPr>
          <w:rStyle w:val="FootnoteReference"/>
          <w:rFonts w:ascii="Arial" w:hAnsi="Arial" w:cs="Arial"/>
          <w:color w:val="000000" w:themeColor="text1"/>
          <w:sz w:val="24"/>
          <w:szCs w:val="24"/>
          <w:lang w:val="en-ZA"/>
        </w:rPr>
        <w:footnoteReference w:id="3"/>
      </w:r>
      <w:r>
        <w:rPr>
          <w:rFonts w:ascii="Arial" w:hAnsi="Arial" w:cs="Arial"/>
          <w:color w:val="000000" w:themeColor="text1"/>
          <w:sz w:val="24"/>
          <w:szCs w:val="24"/>
          <w:lang w:val="en-ZA"/>
        </w:rPr>
        <w:t xml:space="preserve"> </w:t>
      </w:r>
    </w:p>
    <w:p w:rsidR="00AB695C" w:rsidRDefault="00AB695C" w:rsidP="00B90190">
      <w:pPr>
        <w:spacing w:after="0" w:line="480" w:lineRule="auto"/>
        <w:jc w:val="both"/>
        <w:rPr>
          <w:rFonts w:ascii="Arial" w:hAnsi="Arial" w:cs="Arial"/>
          <w:color w:val="000000" w:themeColor="text1"/>
          <w:sz w:val="24"/>
          <w:szCs w:val="24"/>
          <w:lang w:val="en-ZA"/>
        </w:rPr>
      </w:pPr>
    </w:p>
    <w:p w:rsidR="005C2022" w:rsidRDefault="005C2022" w:rsidP="00B90190">
      <w:pPr>
        <w:spacing w:after="0" w:line="48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[3</w:t>
      </w:r>
      <w:r w:rsidR="00114C6F">
        <w:rPr>
          <w:rFonts w:ascii="Arial" w:hAnsi="Arial" w:cs="Arial"/>
          <w:color w:val="000000" w:themeColor="text1"/>
          <w:sz w:val="24"/>
          <w:szCs w:val="24"/>
          <w:lang w:val="en-ZA"/>
        </w:rPr>
        <w:t>7</w:t>
      </w:r>
      <w:r>
        <w:rPr>
          <w:rFonts w:ascii="Arial" w:hAnsi="Arial" w:cs="Arial"/>
          <w:color w:val="000000" w:themeColor="text1"/>
          <w:sz w:val="24"/>
          <w:szCs w:val="24"/>
          <w:lang w:val="en-ZA"/>
        </w:rPr>
        <w:t>]</w:t>
      </w:r>
      <w:r>
        <w:rPr>
          <w:rFonts w:ascii="Arial" w:hAnsi="Arial" w:cs="Arial"/>
          <w:color w:val="000000" w:themeColor="text1"/>
          <w:sz w:val="24"/>
          <w:szCs w:val="24"/>
          <w:lang w:val="en-ZA"/>
        </w:rPr>
        <w:tab/>
      </w:r>
      <w:r w:rsidR="00745C84">
        <w:rPr>
          <w:rFonts w:ascii="Arial" w:hAnsi="Arial" w:cs="Arial"/>
          <w:color w:val="000000" w:themeColor="text1"/>
          <w:sz w:val="24"/>
          <w:szCs w:val="24"/>
          <w:lang w:val="en-ZA"/>
        </w:rPr>
        <w:t>As already noted, t</w:t>
      </w:r>
      <w:r>
        <w:rPr>
          <w:rFonts w:ascii="Arial" w:hAnsi="Arial" w:cs="Arial"/>
          <w:color w:val="000000" w:themeColor="text1"/>
          <w:sz w:val="24"/>
          <w:szCs w:val="24"/>
          <w:lang w:val="en-ZA"/>
        </w:rPr>
        <w:t>he appellant contended that</w:t>
      </w:r>
      <w:r w:rsidRPr="00EF00E2">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because of the unlawful action </w:t>
      </w:r>
      <w:r w:rsidR="00745C84">
        <w:rPr>
          <w:rFonts w:ascii="Arial" w:hAnsi="Arial" w:cs="Arial"/>
          <w:color w:val="000000" w:themeColor="text1"/>
          <w:sz w:val="24"/>
          <w:szCs w:val="24"/>
          <w:lang w:val="en-GB"/>
        </w:rPr>
        <w:t xml:space="preserve">by a senior Ministry official, </w:t>
      </w:r>
      <w:r>
        <w:rPr>
          <w:rFonts w:ascii="Arial" w:hAnsi="Arial" w:cs="Arial"/>
          <w:color w:val="000000" w:themeColor="text1"/>
          <w:sz w:val="24"/>
          <w:szCs w:val="24"/>
          <w:lang w:val="en-GB"/>
        </w:rPr>
        <w:t xml:space="preserve">it has been deprived of the full benefits of the five year tender and for that, it </w:t>
      </w:r>
      <w:r w:rsidR="00745C84">
        <w:rPr>
          <w:rFonts w:ascii="Arial" w:hAnsi="Arial" w:cs="Arial"/>
          <w:color w:val="000000" w:themeColor="text1"/>
          <w:sz w:val="24"/>
          <w:szCs w:val="24"/>
          <w:lang w:val="en-GB"/>
        </w:rPr>
        <w:t>wa</w:t>
      </w:r>
      <w:r>
        <w:rPr>
          <w:rFonts w:ascii="Arial" w:hAnsi="Arial" w:cs="Arial"/>
          <w:color w:val="000000" w:themeColor="text1"/>
          <w:sz w:val="24"/>
          <w:szCs w:val="24"/>
          <w:lang w:val="en-GB"/>
        </w:rPr>
        <w:t xml:space="preserve">s </w:t>
      </w:r>
      <w:r w:rsidRPr="00716FD7">
        <w:rPr>
          <w:rFonts w:ascii="Arial" w:hAnsi="Arial" w:cs="Arial"/>
          <w:color w:val="000000" w:themeColor="text1"/>
          <w:sz w:val="24"/>
          <w:szCs w:val="24"/>
          <w:lang w:val="en-GB"/>
        </w:rPr>
        <w:t xml:space="preserve">entitled to damages or </w:t>
      </w:r>
      <w:r w:rsidR="00745C84">
        <w:rPr>
          <w:rFonts w:ascii="Arial" w:hAnsi="Arial" w:cs="Arial"/>
          <w:color w:val="000000" w:themeColor="text1"/>
          <w:sz w:val="24"/>
          <w:szCs w:val="24"/>
          <w:lang w:val="en-GB"/>
        </w:rPr>
        <w:t xml:space="preserve">to </w:t>
      </w:r>
      <w:r w:rsidRPr="00716FD7">
        <w:rPr>
          <w:rFonts w:ascii="Arial" w:hAnsi="Arial" w:cs="Arial"/>
          <w:color w:val="000000" w:themeColor="text1"/>
          <w:sz w:val="24"/>
          <w:szCs w:val="24"/>
          <w:lang w:val="en-GB"/>
        </w:rPr>
        <w:t xml:space="preserve">be placed in a position it would have been </w:t>
      </w:r>
      <w:r>
        <w:rPr>
          <w:rFonts w:ascii="Arial" w:hAnsi="Arial" w:cs="Arial"/>
          <w:color w:val="000000" w:themeColor="text1"/>
          <w:sz w:val="24"/>
          <w:szCs w:val="24"/>
          <w:lang w:val="en-GB"/>
        </w:rPr>
        <w:t>in had th</w:t>
      </w:r>
      <w:r w:rsidRPr="00716FD7">
        <w:rPr>
          <w:rFonts w:ascii="Arial" w:hAnsi="Arial" w:cs="Arial"/>
          <w:color w:val="000000" w:themeColor="text1"/>
          <w:sz w:val="24"/>
          <w:szCs w:val="24"/>
          <w:lang w:val="en-GB"/>
        </w:rPr>
        <w:t xml:space="preserve">e wrong </w:t>
      </w:r>
      <w:r>
        <w:rPr>
          <w:rFonts w:ascii="Arial" w:hAnsi="Arial" w:cs="Arial"/>
          <w:color w:val="000000" w:themeColor="text1"/>
          <w:sz w:val="24"/>
          <w:szCs w:val="24"/>
          <w:lang w:val="en-GB"/>
        </w:rPr>
        <w:t>not been committed</w:t>
      </w:r>
      <w:r w:rsidRPr="00716FD7">
        <w:rPr>
          <w:rFonts w:ascii="Arial" w:hAnsi="Arial" w:cs="Arial"/>
          <w:color w:val="000000" w:themeColor="text1"/>
          <w:sz w:val="24"/>
          <w:szCs w:val="24"/>
          <w:lang w:val="en-GB"/>
        </w:rPr>
        <w:t>.</w:t>
      </w:r>
      <w:r>
        <w:rPr>
          <w:rFonts w:ascii="Arial" w:hAnsi="Arial" w:cs="Arial"/>
          <w:color w:val="000000" w:themeColor="text1"/>
          <w:sz w:val="24"/>
          <w:szCs w:val="24"/>
          <w:lang w:val="en-ZA"/>
        </w:rPr>
        <w:t xml:space="preserve"> The respondents on the contrary argued that the appellant in </w:t>
      </w:r>
      <w:r w:rsidR="00745C84">
        <w:rPr>
          <w:rFonts w:ascii="Arial" w:hAnsi="Arial" w:cs="Arial"/>
          <w:color w:val="000000" w:themeColor="text1"/>
          <w:sz w:val="24"/>
          <w:szCs w:val="24"/>
          <w:lang w:val="en-ZA"/>
        </w:rPr>
        <w:t xml:space="preserve">its </w:t>
      </w:r>
      <w:r>
        <w:rPr>
          <w:rFonts w:ascii="Arial" w:hAnsi="Arial" w:cs="Arial"/>
          <w:color w:val="000000" w:themeColor="text1"/>
          <w:sz w:val="24"/>
          <w:szCs w:val="24"/>
          <w:lang w:val="en-ZA"/>
        </w:rPr>
        <w:t>application</w:t>
      </w:r>
      <w:r w:rsidR="00745C84">
        <w:rPr>
          <w:rFonts w:ascii="Arial" w:hAnsi="Arial" w:cs="Arial"/>
          <w:color w:val="000000" w:themeColor="text1"/>
          <w:sz w:val="24"/>
          <w:szCs w:val="24"/>
          <w:lang w:val="en-ZA"/>
        </w:rPr>
        <w:t xml:space="preserve"> in the High Court </w:t>
      </w:r>
      <w:r>
        <w:rPr>
          <w:rFonts w:ascii="Arial" w:hAnsi="Arial" w:cs="Arial"/>
          <w:color w:val="000000" w:themeColor="text1"/>
          <w:sz w:val="24"/>
          <w:szCs w:val="24"/>
          <w:lang w:val="en-ZA"/>
        </w:rPr>
        <w:t xml:space="preserve">failed to seek such corrective remedy. The respondents </w:t>
      </w:r>
      <w:r w:rsidR="00A1651B">
        <w:rPr>
          <w:rFonts w:ascii="Arial" w:hAnsi="Arial" w:cs="Arial"/>
          <w:color w:val="000000" w:themeColor="text1"/>
          <w:sz w:val="24"/>
          <w:szCs w:val="24"/>
          <w:lang w:val="en-ZA"/>
        </w:rPr>
        <w:t xml:space="preserve">further </w:t>
      </w:r>
      <w:r>
        <w:rPr>
          <w:rFonts w:ascii="Arial" w:hAnsi="Arial" w:cs="Arial"/>
          <w:color w:val="000000" w:themeColor="text1"/>
          <w:sz w:val="24"/>
          <w:szCs w:val="24"/>
          <w:lang w:val="en-ZA"/>
        </w:rPr>
        <w:t xml:space="preserve">argued that the appellant at all times wanted the tender </w:t>
      </w:r>
      <w:r w:rsidR="00745C84">
        <w:rPr>
          <w:rFonts w:ascii="Arial" w:hAnsi="Arial" w:cs="Arial"/>
          <w:color w:val="000000" w:themeColor="text1"/>
          <w:sz w:val="24"/>
          <w:szCs w:val="24"/>
          <w:lang w:val="en-ZA"/>
        </w:rPr>
        <w:t xml:space="preserve">to </w:t>
      </w:r>
      <w:r>
        <w:rPr>
          <w:rFonts w:ascii="Arial" w:hAnsi="Arial" w:cs="Arial"/>
          <w:color w:val="000000" w:themeColor="text1"/>
          <w:sz w:val="24"/>
          <w:szCs w:val="24"/>
          <w:lang w:val="en-ZA"/>
        </w:rPr>
        <w:t>be reviewed</w:t>
      </w:r>
      <w:r w:rsidR="00745C84">
        <w:rPr>
          <w:rFonts w:ascii="Arial" w:hAnsi="Arial" w:cs="Arial"/>
          <w:color w:val="000000" w:themeColor="text1"/>
          <w:sz w:val="24"/>
          <w:szCs w:val="24"/>
          <w:lang w:val="en-ZA"/>
        </w:rPr>
        <w:t>,</w:t>
      </w:r>
      <w:r>
        <w:rPr>
          <w:rFonts w:ascii="Arial" w:hAnsi="Arial" w:cs="Arial"/>
          <w:color w:val="000000" w:themeColor="text1"/>
          <w:sz w:val="24"/>
          <w:szCs w:val="24"/>
          <w:lang w:val="en-ZA"/>
        </w:rPr>
        <w:t xml:space="preserve"> set aside and </w:t>
      </w:r>
      <w:r w:rsidR="00745C84">
        <w:rPr>
          <w:rFonts w:ascii="Arial" w:hAnsi="Arial" w:cs="Arial"/>
          <w:color w:val="000000" w:themeColor="text1"/>
          <w:sz w:val="24"/>
          <w:szCs w:val="24"/>
          <w:lang w:val="en-ZA"/>
        </w:rPr>
        <w:t xml:space="preserve">to </w:t>
      </w:r>
      <w:r>
        <w:rPr>
          <w:rFonts w:ascii="Arial" w:hAnsi="Arial" w:cs="Arial"/>
          <w:color w:val="000000" w:themeColor="text1"/>
          <w:sz w:val="24"/>
          <w:szCs w:val="24"/>
          <w:lang w:val="en-ZA"/>
        </w:rPr>
        <w:t>be awarded to it</w:t>
      </w:r>
      <w:r w:rsidR="00A1651B">
        <w:rPr>
          <w:rFonts w:ascii="Arial" w:hAnsi="Arial" w:cs="Arial"/>
          <w:color w:val="000000" w:themeColor="text1"/>
          <w:sz w:val="24"/>
          <w:szCs w:val="24"/>
          <w:lang w:val="en-ZA"/>
        </w:rPr>
        <w:t xml:space="preserve">, not that </w:t>
      </w:r>
      <w:r w:rsidR="001A7825">
        <w:rPr>
          <w:rFonts w:ascii="Arial" w:hAnsi="Arial" w:cs="Arial"/>
          <w:color w:val="000000" w:themeColor="text1"/>
          <w:sz w:val="24"/>
          <w:szCs w:val="24"/>
          <w:lang w:val="en-ZA"/>
        </w:rPr>
        <w:t>t</w:t>
      </w:r>
      <w:r w:rsidR="00745C84">
        <w:rPr>
          <w:rFonts w:ascii="Arial" w:hAnsi="Arial" w:cs="Arial"/>
          <w:color w:val="000000" w:themeColor="text1"/>
          <w:sz w:val="24"/>
          <w:szCs w:val="24"/>
          <w:lang w:val="en-ZA"/>
        </w:rPr>
        <w:t xml:space="preserve">he appellant </w:t>
      </w:r>
      <w:r w:rsidR="001A7825">
        <w:rPr>
          <w:rFonts w:ascii="Arial" w:hAnsi="Arial" w:cs="Arial"/>
          <w:color w:val="000000" w:themeColor="text1"/>
          <w:sz w:val="24"/>
          <w:szCs w:val="24"/>
          <w:lang w:val="en-ZA"/>
        </w:rPr>
        <w:t>should be placed in the same position it would have been</w:t>
      </w:r>
      <w:r w:rsidR="00745C84">
        <w:rPr>
          <w:rFonts w:ascii="Arial" w:hAnsi="Arial" w:cs="Arial"/>
          <w:color w:val="000000" w:themeColor="text1"/>
          <w:sz w:val="24"/>
          <w:szCs w:val="24"/>
          <w:lang w:val="en-ZA"/>
        </w:rPr>
        <w:t xml:space="preserve"> in</w:t>
      </w:r>
      <w:r>
        <w:rPr>
          <w:rFonts w:ascii="Arial" w:hAnsi="Arial" w:cs="Arial"/>
          <w:color w:val="000000" w:themeColor="text1"/>
          <w:sz w:val="24"/>
          <w:szCs w:val="24"/>
          <w:lang w:val="en-ZA"/>
        </w:rPr>
        <w:t xml:space="preserve">.   </w:t>
      </w:r>
    </w:p>
    <w:p w:rsidR="005C2022" w:rsidRDefault="005C2022" w:rsidP="00B90190">
      <w:pPr>
        <w:spacing w:after="0" w:line="480" w:lineRule="auto"/>
        <w:jc w:val="both"/>
        <w:rPr>
          <w:rFonts w:ascii="Arial" w:hAnsi="Arial" w:cs="Arial"/>
          <w:color w:val="000000" w:themeColor="text1"/>
          <w:sz w:val="24"/>
          <w:szCs w:val="24"/>
          <w:lang w:val="en-ZA"/>
        </w:rPr>
      </w:pPr>
    </w:p>
    <w:p w:rsidR="00FD7C6A" w:rsidRDefault="00114C6F" w:rsidP="00B90190">
      <w:pPr>
        <w:spacing w:after="0" w:line="480" w:lineRule="auto"/>
        <w:jc w:val="both"/>
        <w:rPr>
          <w:rFonts w:ascii="Arial" w:hAnsi="Arial" w:cs="Arial"/>
          <w:sz w:val="24"/>
          <w:szCs w:val="24"/>
        </w:rPr>
      </w:pPr>
      <w:r>
        <w:rPr>
          <w:rFonts w:ascii="Arial" w:hAnsi="Arial" w:cs="Arial"/>
          <w:color w:val="000000" w:themeColor="text1"/>
          <w:sz w:val="24"/>
          <w:szCs w:val="24"/>
          <w:lang w:val="en-ZA"/>
        </w:rPr>
        <w:t>[38</w:t>
      </w:r>
      <w:r w:rsidR="005C2022">
        <w:rPr>
          <w:rFonts w:ascii="Arial" w:hAnsi="Arial" w:cs="Arial"/>
          <w:color w:val="000000" w:themeColor="text1"/>
          <w:sz w:val="24"/>
          <w:szCs w:val="24"/>
          <w:lang w:val="en-ZA"/>
        </w:rPr>
        <w:t>]</w:t>
      </w:r>
      <w:r w:rsidR="005C2022">
        <w:rPr>
          <w:rFonts w:ascii="Arial" w:hAnsi="Arial" w:cs="Arial"/>
          <w:color w:val="000000" w:themeColor="text1"/>
          <w:sz w:val="24"/>
          <w:szCs w:val="24"/>
          <w:lang w:val="en-ZA"/>
        </w:rPr>
        <w:tab/>
      </w:r>
      <w:r w:rsidR="001A170B">
        <w:rPr>
          <w:rFonts w:ascii="Arial" w:hAnsi="Arial" w:cs="Arial"/>
          <w:color w:val="000000" w:themeColor="text1"/>
          <w:sz w:val="24"/>
          <w:szCs w:val="24"/>
          <w:lang w:val="en-ZA"/>
        </w:rPr>
        <w:t xml:space="preserve">On the facts of this case, </w:t>
      </w:r>
      <w:r w:rsidR="00745C84">
        <w:rPr>
          <w:rFonts w:ascii="Arial" w:hAnsi="Arial" w:cs="Arial"/>
          <w:color w:val="000000" w:themeColor="text1"/>
          <w:sz w:val="24"/>
          <w:szCs w:val="24"/>
          <w:lang w:val="en-ZA"/>
        </w:rPr>
        <w:t>I</w:t>
      </w:r>
      <w:r w:rsidR="001A170B">
        <w:rPr>
          <w:rFonts w:ascii="Arial" w:hAnsi="Arial" w:cs="Arial"/>
          <w:color w:val="000000" w:themeColor="text1"/>
          <w:sz w:val="24"/>
          <w:szCs w:val="24"/>
          <w:lang w:val="en-ZA"/>
        </w:rPr>
        <w:t xml:space="preserve"> am of the </w:t>
      </w:r>
      <w:r w:rsidR="00745C84">
        <w:rPr>
          <w:rFonts w:ascii="Arial" w:hAnsi="Arial" w:cs="Arial"/>
          <w:color w:val="000000" w:themeColor="text1"/>
          <w:sz w:val="24"/>
          <w:szCs w:val="24"/>
          <w:lang w:val="en-ZA"/>
        </w:rPr>
        <w:t>view</w:t>
      </w:r>
      <w:r w:rsidR="001A170B">
        <w:rPr>
          <w:rFonts w:ascii="Arial" w:hAnsi="Arial" w:cs="Arial"/>
          <w:color w:val="000000" w:themeColor="text1"/>
          <w:sz w:val="24"/>
          <w:szCs w:val="24"/>
          <w:lang w:val="en-ZA"/>
        </w:rPr>
        <w:t xml:space="preserve"> that </w:t>
      </w:r>
      <w:r w:rsidR="00745C84">
        <w:rPr>
          <w:rFonts w:ascii="Arial" w:hAnsi="Arial" w:cs="Arial"/>
          <w:color w:val="000000" w:themeColor="text1"/>
          <w:sz w:val="24"/>
          <w:szCs w:val="24"/>
          <w:lang w:val="en-ZA"/>
        </w:rPr>
        <w:t xml:space="preserve">the appellant’s reliance on delictual or contractual principles </w:t>
      </w:r>
      <w:r w:rsidR="00EB44CD">
        <w:rPr>
          <w:rFonts w:ascii="Arial" w:hAnsi="Arial" w:cs="Arial"/>
          <w:color w:val="000000" w:themeColor="text1"/>
          <w:sz w:val="24"/>
          <w:szCs w:val="24"/>
          <w:lang w:val="en-ZA"/>
        </w:rPr>
        <w:t xml:space="preserve">of an award of damages and restitution </w:t>
      </w:r>
      <w:r w:rsidR="00745C84">
        <w:rPr>
          <w:rFonts w:ascii="Arial" w:hAnsi="Arial" w:cs="Arial"/>
          <w:color w:val="000000" w:themeColor="text1"/>
          <w:sz w:val="24"/>
          <w:szCs w:val="24"/>
          <w:lang w:val="en-ZA"/>
        </w:rPr>
        <w:t xml:space="preserve">in review proceedings </w:t>
      </w:r>
      <w:r w:rsidR="00EB44CD">
        <w:rPr>
          <w:rFonts w:ascii="Arial" w:hAnsi="Arial" w:cs="Arial"/>
          <w:color w:val="000000" w:themeColor="text1"/>
          <w:sz w:val="24"/>
          <w:szCs w:val="24"/>
          <w:lang w:val="en-ZA"/>
        </w:rPr>
        <w:t xml:space="preserve">cannot be accepted as correct. The appellant has always approached the courts to review </w:t>
      </w:r>
      <w:r w:rsidR="005C2022" w:rsidRPr="005841C0">
        <w:rPr>
          <w:rFonts w:ascii="Arial" w:hAnsi="Arial" w:cs="Arial"/>
          <w:color w:val="000000" w:themeColor="text1"/>
          <w:sz w:val="24"/>
          <w:szCs w:val="24"/>
        </w:rPr>
        <w:t>the decision</w:t>
      </w:r>
      <w:r w:rsidR="00EB44CD">
        <w:rPr>
          <w:rFonts w:ascii="Arial" w:hAnsi="Arial" w:cs="Arial"/>
          <w:color w:val="000000" w:themeColor="text1"/>
          <w:sz w:val="24"/>
          <w:szCs w:val="24"/>
        </w:rPr>
        <w:t>s</w:t>
      </w:r>
      <w:r w:rsidR="005C2022" w:rsidRPr="005841C0">
        <w:rPr>
          <w:rFonts w:ascii="Arial" w:hAnsi="Arial" w:cs="Arial"/>
          <w:color w:val="000000" w:themeColor="text1"/>
          <w:sz w:val="24"/>
          <w:szCs w:val="24"/>
        </w:rPr>
        <w:t xml:space="preserve"> of the respondents and </w:t>
      </w:r>
      <w:r w:rsidR="005C2022" w:rsidRPr="005841C0">
        <w:rPr>
          <w:rFonts w:ascii="Arial" w:hAnsi="Arial" w:cs="Arial"/>
          <w:sz w:val="24"/>
          <w:szCs w:val="24"/>
        </w:rPr>
        <w:t xml:space="preserve">that is </w:t>
      </w:r>
      <w:r w:rsidR="001A170B">
        <w:rPr>
          <w:rFonts w:ascii="Arial" w:hAnsi="Arial" w:cs="Arial"/>
          <w:sz w:val="24"/>
          <w:szCs w:val="24"/>
        </w:rPr>
        <w:t xml:space="preserve">the </w:t>
      </w:r>
      <w:r w:rsidR="005C2022" w:rsidRPr="005841C0">
        <w:rPr>
          <w:rFonts w:ascii="Arial" w:hAnsi="Arial" w:cs="Arial"/>
          <w:sz w:val="24"/>
          <w:szCs w:val="24"/>
        </w:rPr>
        <w:t>exact</w:t>
      </w:r>
      <w:r w:rsidR="00EB44CD">
        <w:rPr>
          <w:rFonts w:ascii="Arial" w:hAnsi="Arial" w:cs="Arial"/>
          <w:sz w:val="24"/>
          <w:szCs w:val="24"/>
        </w:rPr>
        <w:t xml:space="preserve"> issue </w:t>
      </w:r>
      <w:r w:rsidR="005C2022">
        <w:rPr>
          <w:rFonts w:ascii="Arial" w:hAnsi="Arial" w:cs="Arial"/>
          <w:sz w:val="24"/>
          <w:szCs w:val="24"/>
        </w:rPr>
        <w:t xml:space="preserve">this court and the court </w:t>
      </w:r>
      <w:r w:rsidR="005C2022" w:rsidRPr="00BC3795">
        <w:rPr>
          <w:rFonts w:ascii="Arial" w:hAnsi="Arial" w:cs="Arial"/>
          <w:i/>
          <w:sz w:val="24"/>
          <w:szCs w:val="24"/>
        </w:rPr>
        <w:t>a quo</w:t>
      </w:r>
      <w:r w:rsidR="005C2022">
        <w:rPr>
          <w:rFonts w:ascii="Arial" w:hAnsi="Arial" w:cs="Arial"/>
          <w:sz w:val="24"/>
          <w:szCs w:val="24"/>
        </w:rPr>
        <w:t xml:space="preserve"> have adjudicated upon in previous proceedings.</w:t>
      </w:r>
    </w:p>
    <w:p w:rsidR="0079405C" w:rsidRDefault="0079405C" w:rsidP="00B90190">
      <w:pPr>
        <w:spacing w:after="0" w:line="480" w:lineRule="auto"/>
        <w:jc w:val="both"/>
        <w:rPr>
          <w:rFonts w:ascii="Arial" w:hAnsi="Arial" w:cs="Arial"/>
          <w:color w:val="000000" w:themeColor="text1"/>
          <w:sz w:val="24"/>
          <w:szCs w:val="24"/>
          <w:lang w:val="en-GB"/>
        </w:rPr>
      </w:pPr>
    </w:p>
    <w:p w:rsidR="005C2022" w:rsidRPr="00E71FCF" w:rsidRDefault="00511E11" w:rsidP="00B90190">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w:t>
      </w:r>
      <w:r w:rsidR="0079405C">
        <w:rPr>
          <w:rFonts w:ascii="Arial" w:hAnsi="Arial" w:cs="Arial"/>
          <w:color w:val="000000" w:themeColor="text1"/>
          <w:sz w:val="24"/>
          <w:szCs w:val="24"/>
        </w:rPr>
        <w:t>3</w:t>
      </w:r>
      <w:r w:rsidR="00114C6F">
        <w:rPr>
          <w:rFonts w:ascii="Arial" w:hAnsi="Arial" w:cs="Arial"/>
          <w:color w:val="000000" w:themeColor="text1"/>
          <w:sz w:val="24"/>
          <w:szCs w:val="24"/>
        </w:rPr>
        <w:t>9</w:t>
      </w:r>
      <w:r w:rsidR="005C2022">
        <w:rPr>
          <w:rFonts w:ascii="Arial" w:hAnsi="Arial" w:cs="Arial"/>
          <w:color w:val="000000" w:themeColor="text1"/>
          <w:sz w:val="24"/>
          <w:szCs w:val="24"/>
        </w:rPr>
        <w:t>]</w:t>
      </w:r>
      <w:r w:rsidR="005C2022">
        <w:rPr>
          <w:rFonts w:ascii="Arial" w:hAnsi="Arial" w:cs="Arial"/>
          <w:color w:val="000000" w:themeColor="text1"/>
          <w:sz w:val="24"/>
          <w:szCs w:val="24"/>
        </w:rPr>
        <w:tab/>
      </w:r>
      <w:r w:rsidR="005C2022" w:rsidRPr="00E71FCF">
        <w:rPr>
          <w:rFonts w:ascii="Arial" w:hAnsi="Arial" w:cs="Arial"/>
          <w:color w:val="000000" w:themeColor="text1"/>
          <w:sz w:val="24"/>
          <w:szCs w:val="24"/>
        </w:rPr>
        <w:t>The appellant a</w:t>
      </w:r>
      <w:r w:rsidR="005C2022" w:rsidRPr="007534D5">
        <w:rPr>
          <w:rFonts w:ascii="Arial" w:hAnsi="Arial" w:cs="Arial"/>
          <w:sz w:val="24"/>
          <w:szCs w:val="24"/>
        </w:rPr>
        <w:t xml:space="preserve">lso raised </w:t>
      </w:r>
      <w:r w:rsidR="005C2022" w:rsidRPr="007534D5">
        <w:rPr>
          <w:rFonts w:ascii="Arial" w:hAnsi="Arial" w:cs="Arial"/>
          <w:sz w:val="24"/>
          <w:szCs w:val="24"/>
          <w:lang w:val="en-ZA"/>
        </w:rPr>
        <w:t xml:space="preserve">the issue of tacit </w:t>
      </w:r>
      <w:r w:rsidR="005C2022">
        <w:rPr>
          <w:rFonts w:ascii="Arial" w:hAnsi="Arial" w:cs="Arial"/>
          <w:sz w:val="24"/>
          <w:szCs w:val="24"/>
          <w:lang w:val="en-ZA"/>
        </w:rPr>
        <w:t>acceptance o</w:t>
      </w:r>
      <w:r w:rsidR="00CE1029">
        <w:rPr>
          <w:rFonts w:ascii="Arial" w:hAnsi="Arial" w:cs="Arial"/>
          <w:sz w:val="24"/>
          <w:szCs w:val="24"/>
          <w:lang w:val="en-ZA"/>
        </w:rPr>
        <w:t xml:space="preserve">f the term of the tender by </w:t>
      </w:r>
      <w:r w:rsidR="005C2022">
        <w:rPr>
          <w:rFonts w:ascii="Arial" w:hAnsi="Arial" w:cs="Arial"/>
          <w:sz w:val="24"/>
          <w:szCs w:val="24"/>
          <w:lang w:val="en-ZA"/>
        </w:rPr>
        <w:t>the respondents</w:t>
      </w:r>
      <w:r w:rsidR="005C2022" w:rsidRPr="007534D5">
        <w:rPr>
          <w:rFonts w:ascii="Arial" w:hAnsi="Arial" w:cs="Arial"/>
          <w:sz w:val="24"/>
          <w:szCs w:val="24"/>
          <w:lang w:val="en-ZA"/>
        </w:rPr>
        <w:t xml:space="preserve">. The appellant had argued </w:t>
      </w:r>
      <w:r w:rsidR="005C2022" w:rsidRPr="007534D5">
        <w:rPr>
          <w:rFonts w:ascii="Arial" w:hAnsi="Arial" w:cs="Arial"/>
          <w:sz w:val="24"/>
          <w:szCs w:val="24"/>
        </w:rPr>
        <w:t>that the respondents let appellant to believe that its assumption regarding</w:t>
      </w:r>
      <w:r w:rsidR="005C2022">
        <w:rPr>
          <w:rFonts w:ascii="Arial" w:hAnsi="Arial" w:cs="Arial"/>
          <w:color w:val="000000" w:themeColor="text1"/>
          <w:sz w:val="24"/>
          <w:szCs w:val="24"/>
        </w:rPr>
        <w:t xml:space="preserve"> the </w:t>
      </w:r>
      <w:r w:rsidR="001A170B">
        <w:rPr>
          <w:rFonts w:ascii="Arial" w:hAnsi="Arial" w:cs="Arial"/>
          <w:color w:val="000000" w:themeColor="text1"/>
          <w:sz w:val="24"/>
          <w:szCs w:val="24"/>
        </w:rPr>
        <w:t xml:space="preserve">period of the tender had not been </w:t>
      </w:r>
      <w:r w:rsidR="005C2022">
        <w:rPr>
          <w:rFonts w:ascii="Arial" w:hAnsi="Arial" w:cs="Arial"/>
          <w:color w:val="000000" w:themeColor="text1"/>
          <w:sz w:val="24"/>
          <w:szCs w:val="24"/>
        </w:rPr>
        <w:t xml:space="preserve">contradicted. The appellant also </w:t>
      </w:r>
      <w:r w:rsidR="001A170B">
        <w:rPr>
          <w:rFonts w:ascii="Arial" w:hAnsi="Arial" w:cs="Arial"/>
          <w:color w:val="000000" w:themeColor="text1"/>
          <w:sz w:val="24"/>
          <w:szCs w:val="24"/>
        </w:rPr>
        <w:t xml:space="preserve">contended </w:t>
      </w:r>
      <w:r w:rsidR="005C2022">
        <w:rPr>
          <w:rFonts w:ascii="Arial" w:hAnsi="Arial" w:cs="Arial"/>
          <w:color w:val="000000" w:themeColor="text1"/>
          <w:sz w:val="24"/>
          <w:szCs w:val="24"/>
        </w:rPr>
        <w:t xml:space="preserve">that the facts of the case created a legitimate expectation with appellant regarding its entitlement to a five year tender and it should have been granted </w:t>
      </w:r>
      <w:r w:rsidR="00864DE7">
        <w:rPr>
          <w:rFonts w:ascii="Arial" w:hAnsi="Arial" w:cs="Arial"/>
          <w:color w:val="000000" w:themeColor="text1"/>
          <w:sz w:val="24"/>
          <w:szCs w:val="24"/>
        </w:rPr>
        <w:t xml:space="preserve">a hearing </w:t>
      </w:r>
      <w:r w:rsidR="005C2022">
        <w:rPr>
          <w:rFonts w:ascii="Arial" w:hAnsi="Arial" w:cs="Arial"/>
          <w:color w:val="000000" w:themeColor="text1"/>
          <w:sz w:val="24"/>
          <w:szCs w:val="24"/>
          <w:lang w:val="en-ZA"/>
        </w:rPr>
        <w:t xml:space="preserve">by the </w:t>
      </w:r>
      <w:r>
        <w:rPr>
          <w:rFonts w:ascii="Arial" w:hAnsi="Arial" w:cs="Arial"/>
          <w:color w:val="000000" w:themeColor="text1"/>
          <w:sz w:val="24"/>
          <w:szCs w:val="24"/>
          <w:lang w:val="en-ZA"/>
        </w:rPr>
        <w:t>Tender Board</w:t>
      </w:r>
      <w:r w:rsidR="005C2022">
        <w:rPr>
          <w:rFonts w:ascii="Arial" w:hAnsi="Arial" w:cs="Arial"/>
          <w:color w:val="000000" w:themeColor="text1"/>
          <w:sz w:val="24"/>
          <w:szCs w:val="24"/>
          <w:lang w:val="en-ZA"/>
        </w:rPr>
        <w:t xml:space="preserve"> </w:t>
      </w:r>
      <w:r w:rsidR="005C2022" w:rsidRPr="00AA6D28">
        <w:rPr>
          <w:rFonts w:ascii="Arial" w:hAnsi="Arial" w:cs="Arial"/>
          <w:color w:val="000000" w:themeColor="text1"/>
          <w:sz w:val="24"/>
          <w:szCs w:val="24"/>
          <w:lang w:val="en-ZA"/>
        </w:rPr>
        <w:t xml:space="preserve">prior to the taking of </w:t>
      </w:r>
      <w:r w:rsidR="005C2022">
        <w:rPr>
          <w:rFonts w:ascii="Arial" w:hAnsi="Arial" w:cs="Arial"/>
          <w:color w:val="000000" w:themeColor="text1"/>
          <w:sz w:val="24"/>
          <w:szCs w:val="24"/>
          <w:lang w:val="en-ZA"/>
        </w:rPr>
        <w:t>its</w:t>
      </w:r>
      <w:r w:rsidR="005C2022" w:rsidRPr="00AA6D28">
        <w:rPr>
          <w:rFonts w:ascii="Arial" w:hAnsi="Arial" w:cs="Arial"/>
          <w:color w:val="000000" w:themeColor="text1"/>
          <w:sz w:val="24"/>
          <w:szCs w:val="24"/>
          <w:lang w:val="en-ZA"/>
        </w:rPr>
        <w:t xml:space="preserve"> </w:t>
      </w:r>
      <w:r w:rsidR="005C2022" w:rsidRPr="00AA6D28">
        <w:rPr>
          <w:rFonts w:ascii="Arial" w:hAnsi="Arial" w:cs="Arial"/>
          <w:color w:val="000000" w:themeColor="text1"/>
          <w:sz w:val="24"/>
          <w:szCs w:val="24"/>
          <w:lang w:val="en-ZA"/>
        </w:rPr>
        <w:lastRenderedPageBreak/>
        <w:t>decision to</w:t>
      </w:r>
      <w:r w:rsidR="005C2022" w:rsidRPr="00AA6D28">
        <w:rPr>
          <w:rFonts w:ascii="Arial" w:hAnsi="Arial" w:cs="Arial"/>
          <w:color w:val="000000" w:themeColor="text1"/>
          <w:sz w:val="24"/>
          <w:szCs w:val="24"/>
        </w:rPr>
        <w:t xml:space="preserve"> </w:t>
      </w:r>
      <w:r>
        <w:rPr>
          <w:rFonts w:ascii="Arial" w:hAnsi="Arial" w:cs="Arial"/>
          <w:color w:val="000000" w:themeColor="text1"/>
          <w:sz w:val="24"/>
          <w:szCs w:val="24"/>
        </w:rPr>
        <w:t xml:space="preserve">impose a shorter </w:t>
      </w:r>
      <w:r w:rsidR="00864DE7">
        <w:rPr>
          <w:rFonts w:ascii="Arial" w:hAnsi="Arial" w:cs="Arial"/>
          <w:color w:val="000000" w:themeColor="text1"/>
          <w:sz w:val="24"/>
          <w:szCs w:val="24"/>
        </w:rPr>
        <w:t xml:space="preserve">period of the </w:t>
      </w:r>
      <w:r>
        <w:rPr>
          <w:rFonts w:ascii="Arial" w:hAnsi="Arial" w:cs="Arial"/>
          <w:color w:val="000000" w:themeColor="text1"/>
          <w:sz w:val="24"/>
          <w:szCs w:val="24"/>
        </w:rPr>
        <w:t xml:space="preserve">tender. </w:t>
      </w:r>
      <w:r w:rsidR="00F30838">
        <w:rPr>
          <w:rFonts w:ascii="Arial" w:hAnsi="Arial" w:cs="Arial"/>
          <w:color w:val="000000" w:themeColor="text1"/>
          <w:sz w:val="24"/>
          <w:szCs w:val="24"/>
        </w:rPr>
        <w:t>In light of the assumption</w:t>
      </w:r>
      <w:r w:rsidR="00864DE7">
        <w:rPr>
          <w:rFonts w:ascii="Arial" w:hAnsi="Arial" w:cs="Arial"/>
          <w:color w:val="000000" w:themeColor="text1"/>
          <w:sz w:val="24"/>
          <w:szCs w:val="24"/>
        </w:rPr>
        <w:t xml:space="preserve"> on its part</w:t>
      </w:r>
      <w:r w:rsidR="005C2022">
        <w:rPr>
          <w:rFonts w:ascii="Arial" w:hAnsi="Arial" w:cs="Arial"/>
          <w:color w:val="000000" w:themeColor="text1"/>
          <w:sz w:val="24"/>
          <w:szCs w:val="24"/>
        </w:rPr>
        <w:t xml:space="preserve">, the appellant raised the doctrines of estoppel and legitimate expectation to support its </w:t>
      </w:r>
      <w:r w:rsidR="00864DE7">
        <w:rPr>
          <w:rFonts w:ascii="Arial" w:hAnsi="Arial" w:cs="Arial"/>
          <w:color w:val="000000" w:themeColor="text1"/>
          <w:sz w:val="24"/>
          <w:szCs w:val="24"/>
        </w:rPr>
        <w:t xml:space="preserve">contention </w:t>
      </w:r>
      <w:r w:rsidR="005C2022">
        <w:rPr>
          <w:rFonts w:ascii="Arial" w:hAnsi="Arial" w:cs="Arial"/>
          <w:color w:val="000000" w:themeColor="text1"/>
          <w:sz w:val="24"/>
          <w:szCs w:val="24"/>
        </w:rPr>
        <w:t xml:space="preserve">that the tender </w:t>
      </w:r>
      <w:r w:rsidR="00864DE7">
        <w:rPr>
          <w:rFonts w:ascii="Arial" w:hAnsi="Arial" w:cs="Arial"/>
          <w:color w:val="000000" w:themeColor="text1"/>
          <w:sz w:val="24"/>
          <w:szCs w:val="24"/>
        </w:rPr>
        <w:t xml:space="preserve">awarded </w:t>
      </w:r>
      <w:r w:rsidR="005C2022">
        <w:rPr>
          <w:rFonts w:ascii="Arial" w:hAnsi="Arial" w:cs="Arial"/>
          <w:color w:val="000000" w:themeColor="text1"/>
          <w:sz w:val="24"/>
          <w:szCs w:val="24"/>
        </w:rPr>
        <w:t xml:space="preserve">to it was for a five year period </w:t>
      </w:r>
      <w:r w:rsidR="00864DE7">
        <w:rPr>
          <w:rFonts w:ascii="Arial" w:hAnsi="Arial" w:cs="Arial"/>
          <w:color w:val="000000" w:themeColor="text1"/>
          <w:sz w:val="24"/>
          <w:szCs w:val="24"/>
        </w:rPr>
        <w:t xml:space="preserve">ending in </w:t>
      </w:r>
      <w:r w:rsidR="00F30838">
        <w:rPr>
          <w:rFonts w:ascii="Arial" w:hAnsi="Arial" w:cs="Arial"/>
          <w:color w:val="000000" w:themeColor="text1"/>
          <w:sz w:val="24"/>
          <w:szCs w:val="24"/>
        </w:rPr>
        <w:t xml:space="preserve">January </w:t>
      </w:r>
      <w:r w:rsidR="005C2022">
        <w:rPr>
          <w:rFonts w:ascii="Arial" w:hAnsi="Arial" w:cs="Arial"/>
          <w:color w:val="000000" w:themeColor="text1"/>
          <w:sz w:val="24"/>
          <w:szCs w:val="24"/>
        </w:rPr>
        <w:t>2019.</w:t>
      </w:r>
    </w:p>
    <w:p w:rsidR="005C2022" w:rsidRPr="0001513E" w:rsidRDefault="005C2022" w:rsidP="00B90190">
      <w:pPr>
        <w:spacing w:after="0" w:line="480" w:lineRule="auto"/>
        <w:jc w:val="both"/>
        <w:rPr>
          <w:rFonts w:ascii="Arial" w:hAnsi="Arial" w:cs="Arial"/>
          <w:sz w:val="24"/>
          <w:szCs w:val="24"/>
        </w:rPr>
      </w:pPr>
    </w:p>
    <w:p w:rsidR="005C2022" w:rsidRPr="0001513E" w:rsidRDefault="005C2022" w:rsidP="00B90190">
      <w:pPr>
        <w:spacing w:after="0" w:line="480" w:lineRule="auto"/>
        <w:jc w:val="both"/>
        <w:rPr>
          <w:rFonts w:ascii="Arial" w:hAnsi="Arial" w:cs="Arial"/>
          <w:sz w:val="24"/>
          <w:szCs w:val="24"/>
          <w:u w:val="single"/>
          <w:lang w:val="en-ZA"/>
        </w:rPr>
      </w:pPr>
      <w:r w:rsidRPr="0001513E">
        <w:rPr>
          <w:rFonts w:ascii="Arial" w:hAnsi="Arial" w:cs="Arial"/>
          <w:sz w:val="24"/>
          <w:szCs w:val="24"/>
        </w:rPr>
        <w:t>[</w:t>
      </w:r>
      <w:r w:rsidR="00114C6F">
        <w:rPr>
          <w:rFonts w:ascii="Arial" w:hAnsi="Arial" w:cs="Arial"/>
          <w:sz w:val="24"/>
          <w:szCs w:val="24"/>
        </w:rPr>
        <w:t>40</w:t>
      </w:r>
      <w:r w:rsidRPr="0001513E">
        <w:rPr>
          <w:rFonts w:ascii="Arial" w:hAnsi="Arial" w:cs="Arial"/>
          <w:sz w:val="24"/>
          <w:szCs w:val="24"/>
        </w:rPr>
        <w:t>]</w:t>
      </w:r>
      <w:r w:rsidRPr="0001513E">
        <w:rPr>
          <w:rFonts w:ascii="Arial" w:hAnsi="Arial" w:cs="Arial"/>
          <w:sz w:val="24"/>
          <w:szCs w:val="24"/>
        </w:rPr>
        <w:tab/>
      </w:r>
      <w:r w:rsidR="00C21557">
        <w:rPr>
          <w:rFonts w:ascii="Arial" w:hAnsi="Arial" w:cs="Arial"/>
          <w:sz w:val="24"/>
          <w:szCs w:val="24"/>
        </w:rPr>
        <w:t xml:space="preserve">In reply, the </w:t>
      </w:r>
      <w:r w:rsidRPr="0001513E">
        <w:rPr>
          <w:rFonts w:ascii="Arial" w:hAnsi="Arial" w:cs="Arial"/>
          <w:sz w:val="24"/>
          <w:szCs w:val="24"/>
          <w:lang w:val="en-ZA"/>
        </w:rPr>
        <w:t xml:space="preserve">respondents submitted that there was no tacit acceptance on the part of the respondents that the tender </w:t>
      </w:r>
      <w:r>
        <w:rPr>
          <w:rFonts w:ascii="Arial" w:hAnsi="Arial" w:cs="Arial"/>
          <w:sz w:val="24"/>
          <w:szCs w:val="24"/>
          <w:lang w:val="en-ZA"/>
        </w:rPr>
        <w:t xml:space="preserve">awarded to the appellant </w:t>
      </w:r>
      <w:r w:rsidR="00864DE7">
        <w:rPr>
          <w:rFonts w:ascii="Arial" w:hAnsi="Arial" w:cs="Arial"/>
          <w:sz w:val="24"/>
          <w:szCs w:val="24"/>
          <w:lang w:val="en-ZA"/>
        </w:rPr>
        <w:t xml:space="preserve">was </w:t>
      </w:r>
      <w:r w:rsidRPr="0001513E">
        <w:rPr>
          <w:rFonts w:ascii="Arial" w:hAnsi="Arial" w:cs="Arial"/>
          <w:sz w:val="24"/>
          <w:szCs w:val="24"/>
          <w:lang w:val="en-ZA"/>
        </w:rPr>
        <w:t xml:space="preserve">for the period </w:t>
      </w:r>
      <w:r>
        <w:rPr>
          <w:rFonts w:ascii="Arial" w:hAnsi="Arial" w:cs="Arial"/>
          <w:sz w:val="24"/>
          <w:szCs w:val="24"/>
          <w:lang w:val="en-ZA"/>
        </w:rPr>
        <w:t>until 2019</w:t>
      </w:r>
      <w:r w:rsidRPr="0001513E">
        <w:rPr>
          <w:rFonts w:ascii="Arial" w:hAnsi="Arial" w:cs="Arial"/>
          <w:sz w:val="24"/>
          <w:szCs w:val="24"/>
          <w:lang w:val="en-ZA"/>
        </w:rPr>
        <w:t xml:space="preserve"> </w:t>
      </w:r>
      <w:r w:rsidR="00864DE7">
        <w:rPr>
          <w:rFonts w:ascii="Arial" w:hAnsi="Arial" w:cs="Arial"/>
          <w:sz w:val="24"/>
          <w:szCs w:val="24"/>
          <w:lang w:val="en-ZA"/>
        </w:rPr>
        <w:t xml:space="preserve">and </w:t>
      </w:r>
      <w:r w:rsidRPr="0001513E">
        <w:rPr>
          <w:rFonts w:ascii="Arial" w:hAnsi="Arial" w:cs="Arial"/>
          <w:sz w:val="24"/>
          <w:szCs w:val="24"/>
          <w:lang w:val="en-ZA"/>
        </w:rPr>
        <w:t xml:space="preserve">that the principle of </w:t>
      </w:r>
      <w:r w:rsidRPr="00C21557">
        <w:rPr>
          <w:rFonts w:ascii="Arial" w:hAnsi="Arial" w:cs="Arial"/>
          <w:sz w:val="24"/>
          <w:szCs w:val="24"/>
          <w:lang w:val="en-ZA"/>
        </w:rPr>
        <w:t xml:space="preserve">estoppel </w:t>
      </w:r>
      <w:r w:rsidR="00864DE7">
        <w:rPr>
          <w:rFonts w:ascii="Arial" w:hAnsi="Arial" w:cs="Arial"/>
          <w:sz w:val="24"/>
          <w:szCs w:val="24"/>
          <w:lang w:val="en-ZA"/>
        </w:rPr>
        <w:t xml:space="preserve">was not </w:t>
      </w:r>
      <w:r w:rsidRPr="0001513E">
        <w:rPr>
          <w:rFonts w:ascii="Arial" w:hAnsi="Arial" w:cs="Arial"/>
          <w:sz w:val="24"/>
          <w:szCs w:val="24"/>
          <w:lang w:val="en-ZA"/>
        </w:rPr>
        <w:t>of application to the facts of this matter.</w:t>
      </w:r>
      <w:r>
        <w:rPr>
          <w:rFonts w:ascii="Arial" w:hAnsi="Arial" w:cs="Arial"/>
          <w:sz w:val="24"/>
          <w:szCs w:val="24"/>
          <w:lang w:val="en-ZA"/>
        </w:rPr>
        <w:t xml:space="preserve"> </w:t>
      </w:r>
    </w:p>
    <w:p w:rsidR="005C2022" w:rsidRDefault="005C2022" w:rsidP="00B90190">
      <w:pPr>
        <w:spacing w:after="0" w:line="480" w:lineRule="auto"/>
        <w:jc w:val="both"/>
        <w:rPr>
          <w:rFonts w:ascii="Arial" w:hAnsi="Arial" w:cs="Arial"/>
          <w:sz w:val="24"/>
          <w:szCs w:val="24"/>
          <w:lang w:val="en-ZA"/>
        </w:rPr>
      </w:pPr>
    </w:p>
    <w:p w:rsidR="005C2022" w:rsidRDefault="005C2022" w:rsidP="00B90190">
      <w:pPr>
        <w:spacing w:after="0" w:line="480" w:lineRule="auto"/>
        <w:jc w:val="both"/>
        <w:rPr>
          <w:rFonts w:ascii="Arial" w:hAnsi="Arial" w:cs="Arial"/>
          <w:b/>
          <w:sz w:val="24"/>
          <w:szCs w:val="24"/>
          <w:lang w:val="en-ZA"/>
        </w:rPr>
      </w:pPr>
      <w:r>
        <w:rPr>
          <w:rFonts w:ascii="Arial" w:hAnsi="Arial" w:cs="Arial"/>
          <w:sz w:val="24"/>
          <w:szCs w:val="24"/>
          <w:lang w:val="en-ZA"/>
        </w:rPr>
        <w:t>[4</w:t>
      </w:r>
      <w:r w:rsidR="00114C6F">
        <w:rPr>
          <w:rFonts w:ascii="Arial" w:hAnsi="Arial" w:cs="Arial"/>
          <w:sz w:val="24"/>
          <w:szCs w:val="24"/>
          <w:lang w:val="en-ZA"/>
        </w:rPr>
        <w:t>1</w:t>
      </w:r>
      <w:r w:rsidRPr="00961E30">
        <w:rPr>
          <w:rFonts w:ascii="Arial" w:hAnsi="Arial" w:cs="Arial"/>
          <w:sz w:val="24"/>
          <w:szCs w:val="24"/>
          <w:lang w:val="en-ZA"/>
        </w:rPr>
        <w:t>]</w:t>
      </w:r>
      <w:r w:rsidRPr="00961E30">
        <w:rPr>
          <w:rFonts w:ascii="Arial" w:hAnsi="Arial" w:cs="Arial"/>
          <w:sz w:val="24"/>
          <w:szCs w:val="24"/>
          <w:lang w:val="en-ZA"/>
        </w:rPr>
        <w:tab/>
        <w:t xml:space="preserve">I </w:t>
      </w:r>
      <w:r w:rsidR="00E036EE">
        <w:rPr>
          <w:rFonts w:ascii="Arial" w:hAnsi="Arial" w:cs="Arial"/>
          <w:sz w:val="24"/>
          <w:szCs w:val="24"/>
          <w:lang w:val="en-ZA"/>
        </w:rPr>
        <w:t xml:space="preserve">commence the </w:t>
      </w:r>
      <w:r w:rsidRPr="00961E30">
        <w:rPr>
          <w:rFonts w:ascii="Arial" w:hAnsi="Arial" w:cs="Arial"/>
          <w:sz w:val="24"/>
          <w:szCs w:val="24"/>
          <w:lang w:val="en-ZA"/>
        </w:rPr>
        <w:t>analysis with the doctrine of estoppel.</w:t>
      </w:r>
      <w:r>
        <w:rPr>
          <w:rFonts w:ascii="Arial" w:hAnsi="Arial" w:cs="Arial"/>
          <w:sz w:val="24"/>
          <w:szCs w:val="24"/>
          <w:lang w:val="en-ZA"/>
        </w:rPr>
        <w:t xml:space="preserve"> This doctrine is based on the English doctrine of promissory estoppel emanating from equity. This remedy can only be granted at the discretion of the court.</w:t>
      </w:r>
      <w:r>
        <w:rPr>
          <w:rStyle w:val="FootnoteReference"/>
          <w:rFonts w:ascii="Arial" w:hAnsi="Arial" w:cs="Arial"/>
          <w:sz w:val="24"/>
          <w:szCs w:val="24"/>
          <w:lang w:val="en-ZA"/>
        </w:rPr>
        <w:footnoteReference w:id="4"/>
      </w:r>
      <w:r>
        <w:rPr>
          <w:rFonts w:ascii="Arial" w:hAnsi="Arial" w:cs="Arial"/>
          <w:sz w:val="24"/>
          <w:szCs w:val="24"/>
          <w:lang w:val="en-ZA"/>
        </w:rPr>
        <w:t xml:space="preserve"> </w:t>
      </w:r>
      <w:r w:rsidRPr="00961E30">
        <w:rPr>
          <w:rFonts w:ascii="Arial" w:hAnsi="Arial" w:cs="Arial"/>
          <w:sz w:val="24"/>
          <w:szCs w:val="24"/>
          <w:lang w:val="en-ZA"/>
        </w:rPr>
        <w:t xml:space="preserve"> It is trite law that estoppel cannot operate where there is a clear contravention of the regulatory statute by a statutory body</w:t>
      </w:r>
      <w:r>
        <w:rPr>
          <w:rFonts w:ascii="Arial" w:hAnsi="Arial" w:cs="Arial"/>
          <w:sz w:val="24"/>
          <w:szCs w:val="24"/>
          <w:lang w:val="en-ZA"/>
        </w:rPr>
        <w:t xml:space="preserve"> or person</w:t>
      </w:r>
      <w:r w:rsidRPr="00961E30">
        <w:rPr>
          <w:rFonts w:ascii="Arial" w:hAnsi="Arial" w:cs="Arial"/>
          <w:sz w:val="24"/>
          <w:szCs w:val="24"/>
          <w:lang w:val="en-ZA"/>
        </w:rPr>
        <w:t xml:space="preserve"> to render legal what is clearly unlawful.</w:t>
      </w:r>
      <w:r>
        <w:rPr>
          <w:rStyle w:val="FootnoteReference"/>
          <w:rFonts w:ascii="Arial" w:hAnsi="Arial" w:cs="Arial"/>
          <w:sz w:val="24"/>
          <w:szCs w:val="24"/>
          <w:lang w:val="en-ZA"/>
        </w:rPr>
        <w:footnoteReference w:id="5"/>
      </w:r>
      <w:r w:rsidRPr="00961E30">
        <w:rPr>
          <w:rFonts w:ascii="Arial" w:hAnsi="Arial" w:cs="Arial"/>
          <w:sz w:val="24"/>
          <w:szCs w:val="24"/>
          <w:lang w:val="en-ZA"/>
        </w:rPr>
        <w:t xml:space="preserve">  The courts have rejected the operation of estoppel where it would have led to the authorisation of </w:t>
      </w:r>
      <w:r w:rsidRPr="00961E30">
        <w:rPr>
          <w:rFonts w:ascii="Arial" w:hAnsi="Arial" w:cs="Arial"/>
          <w:i/>
          <w:sz w:val="24"/>
          <w:szCs w:val="24"/>
          <w:lang w:val="en-ZA"/>
        </w:rPr>
        <w:t>ultra vires</w:t>
      </w:r>
      <w:r w:rsidRPr="00961E30">
        <w:rPr>
          <w:rFonts w:ascii="Arial" w:hAnsi="Arial" w:cs="Arial"/>
          <w:sz w:val="24"/>
          <w:szCs w:val="24"/>
          <w:lang w:val="en-ZA"/>
        </w:rPr>
        <w:t xml:space="preserve"> action, such as where a public authority exceeds its powers</w:t>
      </w:r>
      <w:r w:rsidRPr="00961E30">
        <w:rPr>
          <w:rFonts w:ascii="Arial" w:hAnsi="Arial" w:cs="Arial"/>
          <w:sz w:val="24"/>
          <w:szCs w:val="24"/>
          <w:vertAlign w:val="superscript"/>
          <w:lang w:val="en-ZA"/>
        </w:rPr>
        <w:footnoteReference w:id="6"/>
      </w:r>
      <w:r w:rsidRPr="00961E30">
        <w:rPr>
          <w:rFonts w:ascii="Arial" w:hAnsi="Arial" w:cs="Arial"/>
          <w:sz w:val="24"/>
          <w:szCs w:val="24"/>
          <w:lang w:val="en-ZA"/>
        </w:rPr>
        <w:t>, acts in contravention of prescribed formalities</w:t>
      </w:r>
      <w:r w:rsidRPr="00961E30">
        <w:rPr>
          <w:rFonts w:ascii="Arial" w:hAnsi="Arial" w:cs="Arial"/>
          <w:sz w:val="24"/>
          <w:szCs w:val="24"/>
          <w:vertAlign w:val="superscript"/>
          <w:lang w:val="en-ZA"/>
        </w:rPr>
        <w:footnoteReference w:id="7"/>
      </w:r>
      <w:r w:rsidRPr="00961E30">
        <w:rPr>
          <w:rFonts w:ascii="Arial" w:hAnsi="Arial" w:cs="Arial"/>
          <w:sz w:val="24"/>
          <w:szCs w:val="24"/>
          <w:lang w:val="en-ZA"/>
        </w:rPr>
        <w:t>, acts without authority</w:t>
      </w:r>
      <w:r w:rsidRPr="00961E30">
        <w:rPr>
          <w:rFonts w:ascii="Arial" w:hAnsi="Arial" w:cs="Arial"/>
          <w:sz w:val="24"/>
          <w:szCs w:val="24"/>
          <w:vertAlign w:val="superscript"/>
          <w:lang w:val="en-ZA"/>
        </w:rPr>
        <w:footnoteReference w:id="8"/>
      </w:r>
      <w:r w:rsidRPr="00961E30">
        <w:rPr>
          <w:rFonts w:ascii="Arial" w:hAnsi="Arial" w:cs="Arial"/>
          <w:sz w:val="24"/>
          <w:szCs w:val="24"/>
          <w:lang w:val="en-ZA"/>
        </w:rPr>
        <w:t>, or w</w:t>
      </w:r>
      <w:r w:rsidRPr="002221A2">
        <w:rPr>
          <w:rFonts w:ascii="Arial" w:hAnsi="Arial" w:cs="Arial"/>
          <w:sz w:val="24"/>
          <w:szCs w:val="24"/>
          <w:lang w:val="en-ZA"/>
        </w:rPr>
        <w:t>here the operation of estoppel would lead to the non-performance of a mandatory statutory duty</w:t>
      </w:r>
      <w:r w:rsidRPr="002221A2">
        <w:rPr>
          <w:rFonts w:ascii="Arial" w:hAnsi="Arial" w:cs="Arial"/>
          <w:sz w:val="24"/>
          <w:szCs w:val="24"/>
          <w:vertAlign w:val="superscript"/>
          <w:lang w:val="en-ZA"/>
        </w:rPr>
        <w:footnoteReference w:id="9"/>
      </w:r>
      <w:r w:rsidRPr="002221A2">
        <w:rPr>
          <w:rFonts w:ascii="Arial" w:hAnsi="Arial" w:cs="Arial"/>
          <w:sz w:val="24"/>
          <w:szCs w:val="24"/>
          <w:lang w:val="en-ZA"/>
        </w:rPr>
        <w:t>.</w:t>
      </w:r>
    </w:p>
    <w:p w:rsidR="002C18CB" w:rsidRPr="00961E30" w:rsidRDefault="002C18CB" w:rsidP="00B90190">
      <w:pPr>
        <w:spacing w:after="0" w:line="480" w:lineRule="auto"/>
        <w:jc w:val="both"/>
        <w:rPr>
          <w:rFonts w:ascii="Arial" w:hAnsi="Arial" w:cs="Arial"/>
          <w:sz w:val="24"/>
          <w:szCs w:val="24"/>
          <w:lang w:val="en-ZA"/>
        </w:rPr>
      </w:pPr>
    </w:p>
    <w:p w:rsidR="005C2022" w:rsidRPr="00492031" w:rsidRDefault="005C2022" w:rsidP="00B90190">
      <w:pPr>
        <w:spacing w:after="0" w:line="480" w:lineRule="auto"/>
        <w:jc w:val="both"/>
      </w:pPr>
      <w:r>
        <w:rPr>
          <w:rFonts w:ascii="Arial" w:hAnsi="Arial" w:cs="Arial"/>
          <w:color w:val="000000" w:themeColor="text1"/>
          <w:sz w:val="24"/>
          <w:szCs w:val="24"/>
        </w:rPr>
        <w:lastRenderedPageBreak/>
        <w:t>[4</w:t>
      </w:r>
      <w:r w:rsidR="00114C6F">
        <w:rPr>
          <w:rFonts w:ascii="Arial" w:hAnsi="Arial" w:cs="Arial"/>
          <w:color w:val="000000" w:themeColor="text1"/>
          <w:sz w:val="24"/>
          <w:szCs w:val="24"/>
        </w:rPr>
        <w:t>2</w:t>
      </w:r>
      <w:r w:rsidR="0079405C">
        <w:rPr>
          <w:rFonts w:ascii="Arial" w:hAnsi="Arial" w:cs="Arial"/>
          <w:color w:val="000000" w:themeColor="text1"/>
          <w:sz w:val="24"/>
          <w:szCs w:val="24"/>
        </w:rPr>
        <w:t>]</w:t>
      </w:r>
      <w:r>
        <w:rPr>
          <w:rFonts w:ascii="Arial" w:hAnsi="Arial" w:cs="Arial"/>
          <w:color w:val="000000" w:themeColor="text1"/>
          <w:sz w:val="24"/>
          <w:szCs w:val="24"/>
        </w:rPr>
        <w:tab/>
        <w:t xml:space="preserve">I agree with the respondents </w:t>
      </w:r>
      <w:r w:rsidR="00FD7C6A">
        <w:rPr>
          <w:rFonts w:ascii="Arial" w:hAnsi="Arial" w:cs="Arial"/>
          <w:color w:val="000000" w:themeColor="text1"/>
          <w:sz w:val="24"/>
          <w:szCs w:val="24"/>
        </w:rPr>
        <w:t xml:space="preserve">and the court below </w:t>
      </w:r>
      <w:r w:rsidR="00DA042D">
        <w:rPr>
          <w:rFonts w:ascii="Arial" w:hAnsi="Arial" w:cs="Arial"/>
          <w:color w:val="000000" w:themeColor="text1"/>
          <w:sz w:val="24"/>
          <w:szCs w:val="24"/>
        </w:rPr>
        <w:t>that the</w:t>
      </w:r>
      <w:r>
        <w:rPr>
          <w:rFonts w:ascii="Arial" w:hAnsi="Arial" w:cs="Arial"/>
          <w:color w:val="000000" w:themeColor="text1"/>
          <w:sz w:val="24"/>
          <w:szCs w:val="24"/>
        </w:rPr>
        <w:t xml:space="preserve"> Tender Board in accordance with the order of this court</w:t>
      </w:r>
      <w:r>
        <w:rPr>
          <w:rFonts w:ascii="Arial" w:hAnsi="Arial" w:cs="Arial"/>
          <w:snapToGrid w:val="0"/>
          <w:sz w:val="24"/>
          <w:szCs w:val="24"/>
        </w:rPr>
        <w:t xml:space="preserve"> </w:t>
      </w:r>
      <w:r w:rsidR="00864DE7">
        <w:rPr>
          <w:rFonts w:ascii="Arial" w:hAnsi="Arial" w:cs="Arial"/>
          <w:snapToGrid w:val="0"/>
          <w:sz w:val="24"/>
          <w:szCs w:val="24"/>
        </w:rPr>
        <w:t xml:space="preserve">had </w:t>
      </w:r>
      <w:r>
        <w:rPr>
          <w:rFonts w:ascii="Arial" w:hAnsi="Arial" w:cs="Arial"/>
          <w:snapToGrid w:val="0"/>
          <w:sz w:val="24"/>
          <w:szCs w:val="24"/>
        </w:rPr>
        <w:t xml:space="preserve">reconsidered the original tender - and not one for a longer term. </w:t>
      </w:r>
      <w:r w:rsidR="00864DE7">
        <w:rPr>
          <w:rFonts w:ascii="Arial" w:hAnsi="Arial" w:cs="Arial"/>
          <w:snapToGrid w:val="0"/>
          <w:sz w:val="24"/>
          <w:szCs w:val="24"/>
        </w:rPr>
        <w:t>Subsequent to the Supreme Court order</w:t>
      </w:r>
      <w:r w:rsidR="00864DE7" w:rsidRPr="00F51D1A">
        <w:rPr>
          <w:rFonts w:ascii="Arial" w:hAnsi="Arial" w:cs="Arial"/>
          <w:snapToGrid w:val="0"/>
          <w:sz w:val="24"/>
          <w:szCs w:val="24"/>
        </w:rPr>
        <w:t>,</w:t>
      </w:r>
      <w:r w:rsidR="00864DE7">
        <w:rPr>
          <w:rFonts w:ascii="Arial" w:hAnsi="Arial" w:cs="Arial"/>
          <w:snapToGrid w:val="0"/>
          <w:sz w:val="24"/>
          <w:szCs w:val="24"/>
        </w:rPr>
        <w:t xml:space="preserve"> t</w:t>
      </w:r>
      <w:r>
        <w:rPr>
          <w:rFonts w:ascii="Arial" w:hAnsi="Arial" w:cs="Arial"/>
          <w:snapToGrid w:val="0"/>
          <w:sz w:val="24"/>
          <w:szCs w:val="24"/>
        </w:rPr>
        <w:t xml:space="preserve">he </w:t>
      </w:r>
      <w:r w:rsidR="00DA042D">
        <w:rPr>
          <w:rFonts w:ascii="Arial" w:hAnsi="Arial" w:cs="Arial"/>
          <w:snapToGrid w:val="0"/>
          <w:sz w:val="24"/>
          <w:szCs w:val="24"/>
        </w:rPr>
        <w:t>Tender Board</w:t>
      </w:r>
      <w:r>
        <w:rPr>
          <w:rFonts w:ascii="Arial" w:hAnsi="Arial" w:cs="Arial"/>
          <w:snapToGrid w:val="0"/>
          <w:sz w:val="24"/>
          <w:szCs w:val="24"/>
        </w:rPr>
        <w:t xml:space="preserve"> </w:t>
      </w:r>
      <w:r w:rsidRPr="00F51D1A">
        <w:rPr>
          <w:rFonts w:ascii="Arial" w:hAnsi="Arial" w:cs="Arial"/>
          <w:snapToGrid w:val="0"/>
          <w:sz w:val="24"/>
          <w:szCs w:val="24"/>
        </w:rPr>
        <w:t xml:space="preserve">sought to give effect to the underlying </w:t>
      </w:r>
      <w:r>
        <w:rPr>
          <w:rFonts w:ascii="Arial" w:hAnsi="Arial" w:cs="Arial"/>
          <w:snapToGrid w:val="0"/>
          <w:sz w:val="24"/>
          <w:szCs w:val="24"/>
        </w:rPr>
        <w:t xml:space="preserve">directives of the </w:t>
      </w:r>
      <w:r w:rsidR="00864DE7">
        <w:rPr>
          <w:rFonts w:ascii="Arial" w:hAnsi="Arial" w:cs="Arial"/>
          <w:snapToGrid w:val="0"/>
          <w:sz w:val="24"/>
          <w:szCs w:val="24"/>
        </w:rPr>
        <w:t>c</w:t>
      </w:r>
      <w:r>
        <w:rPr>
          <w:rFonts w:ascii="Arial" w:hAnsi="Arial" w:cs="Arial"/>
          <w:snapToGrid w:val="0"/>
          <w:sz w:val="24"/>
          <w:szCs w:val="24"/>
        </w:rPr>
        <w:t>ourt</w:t>
      </w:r>
      <w:r w:rsidRPr="00F51D1A">
        <w:rPr>
          <w:rFonts w:ascii="Arial" w:hAnsi="Arial" w:cs="Arial"/>
          <w:snapToGrid w:val="0"/>
          <w:sz w:val="24"/>
          <w:szCs w:val="24"/>
        </w:rPr>
        <w:t xml:space="preserve">. </w:t>
      </w:r>
      <w:r>
        <w:rPr>
          <w:rFonts w:ascii="Arial" w:hAnsi="Arial" w:cs="Arial"/>
          <w:snapToGrid w:val="0"/>
          <w:sz w:val="24"/>
          <w:szCs w:val="24"/>
        </w:rPr>
        <w:t xml:space="preserve">In my view, to have expected the </w:t>
      </w:r>
      <w:r w:rsidR="00DA042D">
        <w:rPr>
          <w:rFonts w:ascii="Arial" w:hAnsi="Arial" w:cs="Arial"/>
          <w:snapToGrid w:val="0"/>
          <w:sz w:val="24"/>
          <w:szCs w:val="24"/>
        </w:rPr>
        <w:t xml:space="preserve">Tender Board </w:t>
      </w:r>
      <w:r>
        <w:rPr>
          <w:rFonts w:ascii="Arial" w:hAnsi="Arial" w:cs="Arial"/>
          <w:snapToGrid w:val="0"/>
          <w:sz w:val="24"/>
          <w:szCs w:val="24"/>
        </w:rPr>
        <w:t>to act otherwise would</w:t>
      </w:r>
      <w:r w:rsidRPr="00492031">
        <w:rPr>
          <w:rFonts w:ascii="Arial" w:hAnsi="Arial" w:cs="Arial"/>
          <w:snapToGrid w:val="0"/>
          <w:sz w:val="24"/>
          <w:szCs w:val="24"/>
        </w:rPr>
        <w:t xml:space="preserve"> </w:t>
      </w:r>
      <w:r>
        <w:rPr>
          <w:rFonts w:ascii="Arial" w:hAnsi="Arial" w:cs="Arial"/>
          <w:snapToGrid w:val="0"/>
          <w:sz w:val="24"/>
          <w:szCs w:val="24"/>
        </w:rPr>
        <w:t xml:space="preserve">have </w:t>
      </w:r>
      <w:r w:rsidRPr="00492031">
        <w:rPr>
          <w:rFonts w:ascii="Arial" w:hAnsi="Arial" w:cs="Arial"/>
          <w:snapToGrid w:val="0"/>
          <w:sz w:val="24"/>
          <w:szCs w:val="24"/>
        </w:rPr>
        <w:t>amount</w:t>
      </w:r>
      <w:r>
        <w:rPr>
          <w:rFonts w:ascii="Arial" w:hAnsi="Arial" w:cs="Arial"/>
          <w:snapToGrid w:val="0"/>
          <w:sz w:val="24"/>
          <w:szCs w:val="24"/>
        </w:rPr>
        <w:t>ed</w:t>
      </w:r>
      <w:r w:rsidRPr="00492031">
        <w:rPr>
          <w:rFonts w:ascii="Arial" w:hAnsi="Arial" w:cs="Arial"/>
          <w:snapToGrid w:val="0"/>
          <w:sz w:val="24"/>
          <w:szCs w:val="24"/>
        </w:rPr>
        <w:t xml:space="preserve"> to </w:t>
      </w:r>
      <w:r w:rsidR="00864DE7">
        <w:rPr>
          <w:rFonts w:ascii="Arial" w:hAnsi="Arial" w:cs="Arial"/>
          <w:snapToGrid w:val="0"/>
          <w:sz w:val="24"/>
          <w:szCs w:val="24"/>
        </w:rPr>
        <w:t xml:space="preserve">exercising a power </w:t>
      </w:r>
      <w:r w:rsidR="00CE1029">
        <w:rPr>
          <w:rFonts w:ascii="Arial" w:hAnsi="Arial" w:cs="Arial"/>
          <w:snapToGrid w:val="0"/>
          <w:sz w:val="24"/>
          <w:szCs w:val="24"/>
        </w:rPr>
        <w:t>beyond</w:t>
      </w:r>
      <w:r w:rsidR="00864DE7">
        <w:rPr>
          <w:rFonts w:ascii="Arial" w:hAnsi="Arial" w:cs="Arial"/>
          <w:snapToGrid w:val="0"/>
          <w:sz w:val="24"/>
          <w:szCs w:val="24"/>
        </w:rPr>
        <w:t xml:space="preserve"> </w:t>
      </w:r>
      <w:r w:rsidR="00625CCE">
        <w:rPr>
          <w:rFonts w:ascii="Arial" w:hAnsi="Arial" w:cs="Arial"/>
          <w:snapToGrid w:val="0"/>
          <w:sz w:val="24"/>
          <w:szCs w:val="24"/>
        </w:rPr>
        <w:t xml:space="preserve">the directions </w:t>
      </w:r>
      <w:r w:rsidR="00F92133">
        <w:rPr>
          <w:rFonts w:ascii="Arial" w:hAnsi="Arial" w:cs="Arial"/>
          <w:snapToGrid w:val="0"/>
          <w:sz w:val="24"/>
          <w:szCs w:val="24"/>
        </w:rPr>
        <w:t>o</w:t>
      </w:r>
      <w:r w:rsidR="00864DE7">
        <w:rPr>
          <w:rFonts w:ascii="Arial" w:hAnsi="Arial" w:cs="Arial"/>
          <w:snapToGrid w:val="0"/>
          <w:sz w:val="24"/>
          <w:szCs w:val="24"/>
        </w:rPr>
        <w:t>f the Supreme Court</w:t>
      </w:r>
      <w:r w:rsidRPr="00492031">
        <w:rPr>
          <w:rFonts w:ascii="Arial" w:hAnsi="Arial" w:cs="Arial"/>
          <w:snapToGrid w:val="0"/>
          <w:sz w:val="24"/>
          <w:szCs w:val="24"/>
        </w:rPr>
        <w:t xml:space="preserve">. </w:t>
      </w:r>
      <w:r>
        <w:rPr>
          <w:rFonts w:ascii="Arial" w:hAnsi="Arial" w:cs="Arial"/>
          <w:snapToGrid w:val="0"/>
          <w:sz w:val="24"/>
          <w:szCs w:val="24"/>
        </w:rPr>
        <w:t>This the law does not sanction.</w:t>
      </w:r>
      <w:r w:rsidR="00CE31FB">
        <w:rPr>
          <w:rStyle w:val="FootnoteReference"/>
          <w:rFonts w:ascii="Arial" w:hAnsi="Arial" w:cs="Arial"/>
          <w:snapToGrid w:val="0"/>
          <w:sz w:val="24"/>
          <w:szCs w:val="24"/>
        </w:rPr>
        <w:footnoteReference w:id="10"/>
      </w:r>
      <w:r>
        <w:rPr>
          <w:rFonts w:ascii="Arial" w:hAnsi="Arial" w:cs="Arial"/>
          <w:snapToGrid w:val="0"/>
          <w:sz w:val="24"/>
          <w:szCs w:val="24"/>
        </w:rPr>
        <w:t xml:space="preserve"> </w:t>
      </w:r>
      <w:r w:rsidR="0098035B">
        <w:rPr>
          <w:rFonts w:ascii="Arial" w:hAnsi="Arial" w:cs="Arial"/>
          <w:snapToGrid w:val="0"/>
          <w:sz w:val="24"/>
          <w:szCs w:val="24"/>
        </w:rPr>
        <w:t xml:space="preserve">It thus follows that the </w:t>
      </w:r>
      <w:r w:rsidRPr="00492031">
        <w:rPr>
          <w:rFonts w:ascii="Arial" w:eastAsia="Arial" w:hAnsi="Arial" w:cs="Arial"/>
          <w:sz w:val="24"/>
        </w:rPr>
        <w:t>reliance upon the doctrin</w:t>
      </w:r>
      <w:r w:rsidR="00F92133">
        <w:rPr>
          <w:rFonts w:ascii="Arial" w:eastAsia="Arial" w:hAnsi="Arial" w:cs="Arial"/>
          <w:sz w:val="24"/>
        </w:rPr>
        <w:t>e</w:t>
      </w:r>
      <w:r w:rsidRPr="00492031">
        <w:rPr>
          <w:rFonts w:ascii="Arial" w:eastAsia="Arial" w:hAnsi="Arial" w:cs="Arial"/>
          <w:sz w:val="24"/>
        </w:rPr>
        <w:t xml:space="preserve"> of estoppel</w:t>
      </w:r>
      <w:r w:rsidR="0098035B">
        <w:rPr>
          <w:rFonts w:ascii="Arial" w:eastAsia="Arial" w:hAnsi="Arial" w:cs="Arial"/>
          <w:sz w:val="24"/>
        </w:rPr>
        <w:t xml:space="preserve"> </w:t>
      </w:r>
      <w:r w:rsidR="0098035B" w:rsidRPr="0098035B">
        <w:rPr>
          <w:rFonts w:ascii="Arial" w:eastAsia="Arial" w:hAnsi="Arial" w:cs="Arial"/>
          <w:sz w:val="24"/>
          <w:lang w:val="en-ZA"/>
        </w:rPr>
        <w:t xml:space="preserve">is of </w:t>
      </w:r>
      <w:r w:rsidR="0098035B">
        <w:rPr>
          <w:rFonts w:ascii="Arial" w:eastAsia="Arial" w:hAnsi="Arial" w:cs="Arial"/>
          <w:sz w:val="24"/>
          <w:lang w:val="en-ZA"/>
        </w:rPr>
        <w:t>no</w:t>
      </w:r>
      <w:r w:rsidR="00F92133">
        <w:rPr>
          <w:rFonts w:ascii="Arial" w:eastAsia="Arial" w:hAnsi="Arial" w:cs="Arial"/>
          <w:sz w:val="24"/>
          <w:lang w:val="en-ZA"/>
        </w:rPr>
        <w:t>t much assistance to the appellant and the contention falls to be rejected.</w:t>
      </w:r>
    </w:p>
    <w:p w:rsidR="005C2022" w:rsidRDefault="005C2022" w:rsidP="00B90190">
      <w:pPr>
        <w:spacing w:after="0" w:line="480" w:lineRule="auto"/>
        <w:jc w:val="both"/>
        <w:rPr>
          <w:rFonts w:ascii="Arial" w:hAnsi="Arial" w:cs="Arial"/>
          <w:color w:val="000000" w:themeColor="text1"/>
          <w:sz w:val="24"/>
          <w:szCs w:val="24"/>
        </w:rPr>
      </w:pPr>
    </w:p>
    <w:p w:rsidR="005C2022" w:rsidRDefault="0082203C" w:rsidP="00B90190">
      <w:pPr>
        <w:spacing w:after="0" w:line="480" w:lineRule="auto"/>
        <w:jc w:val="both"/>
        <w:rPr>
          <w:rFonts w:ascii="Arial" w:hAnsi="Arial" w:cs="Arial"/>
          <w:sz w:val="24"/>
          <w:szCs w:val="24"/>
        </w:rPr>
      </w:pPr>
      <w:r>
        <w:rPr>
          <w:rFonts w:ascii="Arial" w:hAnsi="Arial" w:cs="Arial"/>
          <w:color w:val="000000" w:themeColor="text1"/>
          <w:sz w:val="24"/>
          <w:szCs w:val="24"/>
        </w:rPr>
        <w:t>[4</w:t>
      </w:r>
      <w:r w:rsidR="00114C6F">
        <w:rPr>
          <w:rFonts w:ascii="Arial" w:hAnsi="Arial" w:cs="Arial"/>
          <w:color w:val="000000" w:themeColor="text1"/>
          <w:sz w:val="24"/>
          <w:szCs w:val="24"/>
        </w:rPr>
        <w:t>3</w:t>
      </w:r>
      <w:r w:rsidR="005C2022">
        <w:rPr>
          <w:rFonts w:ascii="Arial" w:hAnsi="Arial" w:cs="Arial"/>
          <w:color w:val="000000" w:themeColor="text1"/>
          <w:sz w:val="24"/>
          <w:szCs w:val="24"/>
        </w:rPr>
        <w:t>]</w:t>
      </w:r>
      <w:r w:rsidR="005C2022">
        <w:rPr>
          <w:rFonts w:ascii="Arial" w:hAnsi="Arial" w:cs="Arial"/>
          <w:color w:val="000000" w:themeColor="text1"/>
          <w:sz w:val="24"/>
          <w:szCs w:val="24"/>
        </w:rPr>
        <w:tab/>
        <w:t xml:space="preserve">I now move to consider </w:t>
      </w:r>
      <w:r w:rsidR="005C2022" w:rsidRPr="00961287">
        <w:rPr>
          <w:rFonts w:ascii="Arial" w:hAnsi="Arial" w:cs="Arial"/>
          <w:sz w:val="24"/>
        </w:rPr>
        <w:t>the doctrine of legitimate expectation</w:t>
      </w:r>
      <w:r w:rsidR="005C2022" w:rsidRPr="00961287">
        <w:rPr>
          <w:rFonts w:ascii="Arial" w:hAnsi="Arial" w:cs="Arial"/>
          <w:color w:val="000000" w:themeColor="text1"/>
          <w:sz w:val="24"/>
          <w:szCs w:val="24"/>
        </w:rPr>
        <w:t xml:space="preserve">. </w:t>
      </w:r>
      <w:r w:rsidR="005C2022">
        <w:rPr>
          <w:rFonts w:ascii="Arial" w:hAnsi="Arial" w:cs="Arial"/>
          <w:sz w:val="24"/>
          <w:szCs w:val="24"/>
        </w:rPr>
        <w:t xml:space="preserve">In determining whether the appellant had a legitimate expectation, it is helpful that I set out some of the authorities on the issue. One such authority is the </w:t>
      </w:r>
      <w:r w:rsidR="00F92133">
        <w:rPr>
          <w:rFonts w:ascii="Arial" w:hAnsi="Arial" w:cs="Arial"/>
          <w:sz w:val="24"/>
          <w:szCs w:val="24"/>
        </w:rPr>
        <w:t xml:space="preserve">celebrated </w:t>
      </w:r>
      <w:r w:rsidR="005C2022" w:rsidRPr="000E409C">
        <w:rPr>
          <w:rFonts w:ascii="Arial" w:hAnsi="Arial" w:cs="Arial"/>
          <w:sz w:val="24"/>
          <w:szCs w:val="24"/>
        </w:rPr>
        <w:t>English case of</w:t>
      </w:r>
      <w:r w:rsidR="005C2022" w:rsidRPr="000E409C">
        <w:rPr>
          <w:rFonts w:ascii="Arial" w:hAnsi="Arial" w:cs="Arial"/>
          <w:i/>
          <w:sz w:val="24"/>
          <w:szCs w:val="24"/>
        </w:rPr>
        <w:t xml:space="preserve"> Council of Church Services C v Minister of the Civil Service</w:t>
      </w:r>
      <w:r w:rsidR="005C2022" w:rsidRPr="000E409C">
        <w:rPr>
          <w:rStyle w:val="FootnoteReference"/>
          <w:rFonts w:ascii="Arial" w:hAnsi="Arial" w:cs="Arial"/>
          <w:i/>
          <w:sz w:val="24"/>
          <w:szCs w:val="24"/>
        </w:rPr>
        <w:footnoteReference w:id="11"/>
      </w:r>
      <w:r w:rsidR="005C2022">
        <w:rPr>
          <w:rFonts w:ascii="Arial" w:hAnsi="Arial" w:cs="Arial"/>
          <w:sz w:val="24"/>
          <w:szCs w:val="24"/>
        </w:rPr>
        <w:t xml:space="preserve"> where it was stated that legitimate expectation arises either from an expressed promise on behalf of a public authority or from the existence of a regular practice which the claimant can reasonably expect to continue. </w:t>
      </w:r>
    </w:p>
    <w:p w:rsidR="005C2022" w:rsidRDefault="005C2022" w:rsidP="00B90190">
      <w:pPr>
        <w:spacing w:after="0" w:line="480" w:lineRule="auto"/>
        <w:jc w:val="both"/>
        <w:rPr>
          <w:rFonts w:ascii="Arial" w:hAnsi="Arial" w:cs="Arial"/>
          <w:sz w:val="24"/>
          <w:szCs w:val="24"/>
        </w:rPr>
      </w:pPr>
    </w:p>
    <w:p w:rsidR="005C2022" w:rsidRDefault="00114C6F" w:rsidP="00B90190">
      <w:pPr>
        <w:spacing w:after="0" w:line="480" w:lineRule="auto"/>
        <w:jc w:val="both"/>
        <w:rPr>
          <w:rFonts w:ascii="Arial" w:hAnsi="Arial" w:cs="Arial"/>
          <w:color w:val="000000" w:themeColor="text1"/>
          <w:sz w:val="24"/>
          <w:szCs w:val="24"/>
        </w:rPr>
      </w:pPr>
      <w:r>
        <w:rPr>
          <w:rFonts w:ascii="Arial" w:hAnsi="Arial" w:cs="Arial"/>
          <w:sz w:val="24"/>
          <w:szCs w:val="24"/>
        </w:rPr>
        <w:t>[44</w:t>
      </w:r>
      <w:r w:rsidR="005C2022">
        <w:rPr>
          <w:rFonts w:ascii="Arial" w:hAnsi="Arial" w:cs="Arial"/>
          <w:sz w:val="24"/>
          <w:szCs w:val="24"/>
        </w:rPr>
        <w:t>]</w:t>
      </w:r>
      <w:r w:rsidR="005C2022">
        <w:rPr>
          <w:rFonts w:ascii="Arial" w:hAnsi="Arial" w:cs="Arial"/>
          <w:sz w:val="24"/>
          <w:szCs w:val="24"/>
        </w:rPr>
        <w:tab/>
      </w:r>
      <w:r w:rsidR="0079473B">
        <w:rPr>
          <w:rFonts w:ascii="Arial" w:hAnsi="Arial" w:cs="Arial"/>
          <w:color w:val="000000" w:themeColor="text1"/>
          <w:sz w:val="24"/>
          <w:szCs w:val="24"/>
        </w:rPr>
        <w:t>In a judgment of this Court</w:t>
      </w:r>
      <w:r w:rsidR="0079473B">
        <w:rPr>
          <w:rStyle w:val="FootnoteReference"/>
          <w:rFonts w:ascii="Arial" w:hAnsi="Arial" w:cs="Arial"/>
          <w:color w:val="000000" w:themeColor="text1"/>
          <w:sz w:val="24"/>
          <w:szCs w:val="24"/>
        </w:rPr>
        <w:footnoteReference w:id="12"/>
      </w:r>
      <w:r w:rsidR="0079473B">
        <w:rPr>
          <w:rFonts w:ascii="Arial" w:hAnsi="Arial" w:cs="Arial"/>
          <w:color w:val="000000" w:themeColor="text1"/>
          <w:sz w:val="24"/>
          <w:szCs w:val="24"/>
        </w:rPr>
        <w:t xml:space="preserve"> relied </w:t>
      </w:r>
      <w:r w:rsidR="0099735D">
        <w:rPr>
          <w:rFonts w:ascii="Arial" w:hAnsi="Arial" w:cs="Arial"/>
          <w:color w:val="000000" w:themeColor="text1"/>
          <w:sz w:val="24"/>
          <w:szCs w:val="24"/>
        </w:rPr>
        <w:t>up</w:t>
      </w:r>
      <w:r w:rsidR="0079473B">
        <w:rPr>
          <w:rFonts w:ascii="Arial" w:hAnsi="Arial" w:cs="Arial"/>
          <w:color w:val="000000" w:themeColor="text1"/>
          <w:sz w:val="24"/>
          <w:szCs w:val="24"/>
        </w:rPr>
        <w:t xml:space="preserve">on by the appellant for </w:t>
      </w:r>
      <w:r w:rsidR="0079473B" w:rsidRPr="00A77D71">
        <w:rPr>
          <w:rFonts w:ascii="Arial" w:hAnsi="Arial" w:cs="Arial"/>
          <w:color w:val="000000" w:themeColor="text1"/>
          <w:sz w:val="24"/>
          <w:szCs w:val="24"/>
        </w:rPr>
        <w:t xml:space="preserve">the </w:t>
      </w:r>
      <w:r w:rsidR="0079473B">
        <w:rPr>
          <w:rFonts w:ascii="Arial" w:hAnsi="Arial" w:cs="Arial"/>
          <w:color w:val="000000" w:themeColor="text1"/>
          <w:sz w:val="24"/>
          <w:szCs w:val="24"/>
        </w:rPr>
        <w:t xml:space="preserve">submission based on </w:t>
      </w:r>
      <w:r w:rsidR="0079473B" w:rsidRPr="00A77D71">
        <w:rPr>
          <w:rFonts w:ascii="Arial" w:hAnsi="Arial" w:cs="Arial"/>
          <w:color w:val="000000" w:themeColor="text1"/>
          <w:sz w:val="24"/>
          <w:szCs w:val="24"/>
        </w:rPr>
        <w:t>legitimate expectation</w:t>
      </w:r>
      <w:r w:rsidR="0079473B">
        <w:rPr>
          <w:rFonts w:ascii="Arial" w:hAnsi="Arial" w:cs="Arial"/>
          <w:color w:val="000000" w:themeColor="text1"/>
          <w:sz w:val="24"/>
          <w:szCs w:val="24"/>
        </w:rPr>
        <w:t>,</w:t>
      </w:r>
      <w:r w:rsidR="0079473B">
        <w:rPr>
          <w:rFonts w:ascii="Arial" w:hAnsi="Arial" w:cs="Arial"/>
          <w:sz w:val="24"/>
          <w:szCs w:val="24"/>
        </w:rPr>
        <w:t xml:space="preserve"> </w:t>
      </w:r>
      <w:r w:rsidR="005C2022" w:rsidRPr="00A77D71">
        <w:rPr>
          <w:rFonts w:ascii="Arial" w:hAnsi="Arial" w:cs="Arial"/>
          <w:color w:val="000000" w:themeColor="text1"/>
          <w:sz w:val="24"/>
          <w:szCs w:val="24"/>
        </w:rPr>
        <w:t>O'Regan AJA</w:t>
      </w:r>
      <w:r w:rsidR="005C2022">
        <w:rPr>
          <w:rFonts w:ascii="Arial" w:hAnsi="Arial" w:cs="Arial"/>
          <w:color w:val="000000" w:themeColor="text1"/>
          <w:sz w:val="24"/>
          <w:szCs w:val="24"/>
        </w:rPr>
        <w:t xml:space="preserve"> stated </w:t>
      </w:r>
      <w:r w:rsidR="00FD1926">
        <w:rPr>
          <w:rFonts w:ascii="Arial" w:hAnsi="Arial" w:cs="Arial"/>
          <w:color w:val="000000" w:themeColor="text1"/>
          <w:sz w:val="24"/>
          <w:szCs w:val="24"/>
        </w:rPr>
        <w:t xml:space="preserve">to the same effect </w:t>
      </w:r>
      <w:r w:rsidR="005C2022">
        <w:rPr>
          <w:rFonts w:ascii="Arial" w:hAnsi="Arial" w:cs="Arial"/>
          <w:color w:val="000000" w:themeColor="text1"/>
          <w:sz w:val="24"/>
          <w:szCs w:val="24"/>
        </w:rPr>
        <w:t xml:space="preserve">that </w:t>
      </w:r>
      <w:r w:rsidR="005C2022" w:rsidRPr="00A77D71">
        <w:rPr>
          <w:rFonts w:ascii="Arial" w:hAnsi="Arial" w:cs="Arial"/>
          <w:color w:val="000000" w:themeColor="text1"/>
          <w:sz w:val="24"/>
          <w:szCs w:val="24"/>
        </w:rPr>
        <w:t xml:space="preserve">a legitimate expectation of consultation ordinarily only </w:t>
      </w:r>
      <w:r w:rsidR="005C2022">
        <w:rPr>
          <w:rFonts w:ascii="Arial" w:hAnsi="Arial" w:cs="Arial"/>
          <w:color w:val="000000" w:themeColor="text1"/>
          <w:sz w:val="24"/>
          <w:szCs w:val="24"/>
        </w:rPr>
        <w:t xml:space="preserve">arises </w:t>
      </w:r>
      <w:r w:rsidR="005C2022" w:rsidRPr="00A77D71">
        <w:rPr>
          <w:rFonts w:ascii="Arial" w:hAnsi="Arial" w:cs="Arial"/>
          <w:color w:val="000000" w:themeColor="text1"/>
          <w:sz w:val="24"/>
          <w:szCs w:val="24"/>
        </w:rPr>
        <w:t>where there was an established practice of consultation, or where a promise or representation had been made that consultation would occur.</w:t>
      </w:r>
      <w:r w:rsidR="005C2022">
        <w:rPr>
          <w:rFonts w:ascii="Arial" w:hAnsi="Arial" w:cs="Arial"/>
          <w:color w:val="000000" w:themeColor="text1"/>
          <w:sz w:val="24"/>
          <w:szCs w:val="24"/>
        </w:rPr>
        <w:t xml:space="preserve"> </w:t>
      </w:r>
    </w:p>
    <w:p w:rsidR="005C2022" w:rsidRDefault="0079405C" w:rsidP="00B90190">
      <w:pPr>
        <w:spacing w:after="0" w:line="480" w:lineRule="auto"/>
        <w:jc w:val="both"/>
        <w:rPr>
          <w:rFonts w:ascii="Arial" w:hAnsi="Arial" w:cs="Arial"/>
          <w:color w:val="000000" w:themeColor="text1"/>
          <w:sz w:val="24"/>
          <w:szCs w:val="24"/>
        </w:rPr>
      </w:pPr>
      <w:r>
        <w:rPr>
          <w:rFonts w:ascii="Arial" w:hAnsi="Arial" w:cs="Arial"/>
          <w:sz w:val="24"/>
          <w:szCs w:val="24"/>
        </w:rPr>
        <w:lastRenderedPageBreak/>
        <w:t>[4</w:t>
      </w:r>
      <w:r w:rsidR="00114C6F">
        <w:rPr>
          <w:rFonts w:ascii="Arial" w:hAnsi="Arial" w:cs="Arial"/>
          <w:sz w:val="24"/>
          <w:szCs w:val="24"/>
        </w:rPr>
        <w:t>5</w:t>
      </w:r>
      <w:r w:rsidR="005C2022">
        <w:rPr>
          <w:rFonts w:ascii="Arial" w:hAnsi="Arial" w:cs="Arial"/>
          <w:sz w:val="24"/>
          <w:szCs w:val="24"/>
        </w:rPr>
        <w:t>]</w:t>
      </w:r>
      <w:r w:rsidR="005C2022">
        <w:rPr>
          <w:rFonts w:ascii="Arial" w:hAnsi="Arial" w:cs="Arial"/>
          <w:sz w:val="24"/>
          <w:szCs w:val="24"/>
        </w:rPr>
        <w:tab/>
      </w:r>
      <w:r w:rsidR="005C2022">
        <w:rPr>
          <w:rFonts w:ascii="Arial" w:hAnsi="Arial" w:cs="Arial"/>
          <w:color w:val="000000" w:themeColor="text1"/>
          <w:sz w:val="24"/>
          <w:szCs w:val="24"/>
        </w:rPr>
        <w:t xml:space="preserve">In </w:t>
      </w:r>
      <w:r w:rsidR="005C2022">
        <w:rPr>
          <w:rFonts w:ascii="Arial" w:hAnsi="Arial" w:cs="Arial"/>
          <w:i/>
          <w:color w:val="000000" w:themeColor="text1"/>
          <w:sz w:val="24"/>
          <w:szCs w:val="24"/>
        </w:rPr>
        <w:t>Uffindell t/a A</w:t>
      </w:r>
      <w:r w:rsidR="005C2022" w:rsidRPr="00A2772A">
        <w:rPr>
          <w:rFonts w:ascii="Arial" w:hAnsi="Arial" w:cs="Arial"/>
          <w:i/>
          <w:color w:val="000000" w:themeColor="text1"/>
          <w:sz w:val="24"/>
          <w:szCs w:val="24"/>
        </w:rPr>
        <w:t xml:space="preserve">loe </w:t>
      </w:r>
      <w:r w:rsidR="005C2022">
        <w:rPr>
          <w:rFonts w:ascii="Arial" w:hAnsi="Arial" w:cs="Arial"/>
          <w:i/>
          <w:color w:val="000000" w:themeColor="text1"/>
          <w:sz w:val="24"/>
          <w:szCs w:val="24"/>
        </w:rPr>
        <w:t>H</w:t>
      </w:r>
      <w:r w:rsidR="005C2022" w:rsidRPr="00A2772A">
        <w:rPr>
          <w:rFonts w:ascii="Arial" w:hAnsi="Arial" w:cs="Arial"/>
          <w:i/>
          <w:color w:val="000000" w:themeColor="text1"/>
          <w:sz w:val="24"/>
          <w:szCs w:val="24"/>
        </w:rPr>
        <w:t xml:space="preserve">unting </w:t>
      </w:r>
      <w:r w:rsidR="005C2022">
        <w:rPr>
          <w:rFonts w:ascii="Arial" w:hAnsi="Arial" w:cs="Arial"/>
          <w:i/>
          <w:color w:val="000000" w:themeColor="text1"/>
          <w:sz w:val="24"/>
          <w:szCs w:val="24"/>
        </w:rPr>
        <w:t>S</w:t>
      </w:r>
      <w:r w:rsidR="005C2022" w:rsidRPr="00A2772A">
        <w:rPr>
          <w:rFonts w:ascii="Arial" w:hAnsi="Arial" w:cs="Arial"/>
          <w:i/>
          <w:color w:val="000000" w:themeColor="text1"/>
          <w:sz w:val="24"/>
          <w:szCs w:val="24"/>
        </w:rPr>
        <w:t xml:space="preserve">afaris v </w:t>
      </w:r>
      <w:r w:rsidR="005C2022">
        <w:rPr>
          <w:rFonts w:ascii="Arial" w:hAnsi="Arial" w:cs="Arial"/>
          <w:i/>
          <w:color w:val="000000" w:themeColor="text1"/>
          <w:sz w:val="24"/>
          <w:szCs w:val="24"/>
        </w:rPr>
        <w:t>G</w:t>
      </w:r>
      <w:r w:rsidR="005C2022" w:rsidRPr="00A2772A">
        <w:rPr>
          <w:rFonts w:ascii="Arial" w:hAnsi="Arial" w:cs="Arial"/>
          <w:i/>
          <w:color w:val="000000" w:themeColor="text1"/>
          <w:sz w:val="24"/>
          <w:szCs w:val="24"/>
        </w:rPr>
        <w:t xml:space="preserve">overnment of </w:t>
      </w:r>
      <w:r w:rsidR="005C2022">
        <w:rPr>
          <w:rFonts w:ascii="Arial" w:hAnsi="Arial" w:cs="Arial"/>
          <w:i/>
          <w:color w:val="000000" w:themeColor="text1"/>
          <w:sz w:val="24"/>
          <w:szCs w:val="24"/>
        </w:rPr>
        <w:t>N</w:t>
      </w:r>
      <w:r w:rsidR="005C2022" w:rsidRPr="00A2772A">
        <w:rPr>
          <w:rFonts w:ascii="Arial" w:hAnsi="Arial" w:cs="Arial"/>
          <w:i/>
          <w:color w:val="000000" w:themeColor="text1"/>
          <w:sz w:val="24"/>
          <w:szCs w:val="24"/>
        </w:rPr>
        <w:t>amibia and others</w:t>
      </w:r>
      <w:r w:rsidR="005C2022">
        <w:rPr>
          <w:rFonts w:ascii="Arial" w:hAnsi="Arial" w:cs="Arial"/>
          <w:color w:val="000000" w:themeColor="text1"/>
          <w:sz w:val="24"/>
          <w:szCs w:val="24"/>
        </w:rPr>
        <w:t>,</w:t>
      </w:r>
      <w:r w:rsidR="005C2022">
        <w:rPr>
          <w:rStyle w:val="FootnoteReference"/>
          <w:rFonts w:ascii="Arial" w:hAnsi="Arial" w:cs="Arial"/>
          <w:color w:val="000000" w:themeColor="text1"/>
          <w:sz w:val="24"/>
          <w:szCs w:val="24"/>
        </w:rPr>
        <w:footnoteReference w:id="13"/>
      </w:r>
      <w:r w:rsidR="005C2022">
        <w:rPr>
          <w:rFonts w:ascii="Arial" w:hAnsi="Arial" w:cs="Arial"/>
          <w:color w:val="000000" w:themeColor="text1"/>
          <w:sz w:val="24"/>
          <w:szCs w:val="24"/>
        </w:rPr>
        <w:t xml:space="preserve"> </w:t>
      </w:r>
      <w:r w:rsidR="0082203C">
        <w:rPr>
          <w:rFonts w:ascii="Arial" w:hAnsi="Arial" w:cs="Arial"/>
          <w:color w:val="000000" w:themeColor="text1"/>
          <w:sz w:val="24"/>
          <w:szCs w:val="24"/>
        </w:rPr>
        <w:t xml:space="preserve">the </w:t>
      </w:r>
      <w:r w:rsidR="0079473B">
        <w:rPr>
          <w:rFonts w:ascii="Arial" w:hAnsi="Arial" w:cs="Arial"/>
          <w:color w:val="000000" w:themeColor="text1"/>
          <w:sz w:val="24"/>
          <w:szCs w:val="24"/>
        </w:rPr>
        <w:t>High C</w:t>
      </w:r>
      <w:r w:rsidR="0082203C">
        <w:rPr>
          <w:rFonts w:ascii="Arial" w:hAnsi="Arial" w:cs="Arial"/>
          <w:color w:val="000000" w:themeColor="text1"/>
          <w:sz w:val="24"/>
          <w:szCs w:val="24"/>
        </w:rPr>
        <w:t xml:space="preserve">ourt </w:t>
      </w:r>
      <w:r w:rsidR="00D140B5">
        <w:rPr>
          <w:rFonts w:ascii="Arial" w:hAnsi="Arial" w:cs="Arial"/>
          <w:color w:val="000000" w:themeColor="text1"/>
          <w:sz w:val="24"/>
          <w:szCs w:val="24"/>
        </w:rPr>
        <w:t xml:space="preserve">observed </w:t>
      </w:r>
      <w:r w:rsidR="0082203C">
        <w:rPr>
          <w:rFonts w:ascii="Arial" w:hAnsi="Arial" w:cs="Arial"/>
          <w:color w:val="000000" w:themeColor="text1"/>
          <w:sz w:val="24"/>
          <w:szCs w:val="24"/>
        </w:rPr>
        <w:t xml:space="preserve">that the </w:t>
      </w:r>
      <w:r w:rsidR="005C2022">
        <w:rPr>
          <w:rFonts w:ascii="Arial" w:hAnsi="Arial" w:cs="Arial"/>
          <w:color w:val="000000" w:themeColor="text1"/>
          <w:sz w:val="24"/>
          <w:szCs w:val="24"/>
        </w:rPr>
        <w:t xml:space="preserve">test for legitimate expectation is </w:t>
      </w:r>
      <w:r w:rsidR="005C2022" w:rsidRPr="00CB6D1D">
        <w:rPr>
          <w:rFonts w:ascii="Arial" w:hAnsi="Arial" w:cs="Arial"/>
          <w:color w:val="000000" w:themeColor="text1"/>
          <w:sz w:val="24"/>
          <w:szCs w:val="24"/>
        </w:rPr>
        <w:t>whether</w:t>
      </w:r>
      <w:r w:rsidR="00D140B5">
        <w:rPr>
          <w:rFonts w:ascii="Arial" w:hAnsi="Arial" w:cs="Arial"/>
          <w:color w:val="000000" w:themeColor="text1"/>
          <w:sz w:val="24"/>
          <w:szCs w:val="24"/>
        </w:rPr>
        <w:t xml:space="preserve"> </w:t>
      </w:r>
      <w:r w:rsidR="005C2022" w:rsidRPr="00CB6D1D">
        <w:rPr>
          <w:rFonts w:ascii="Arial" w:hAnsi="Arial" w:cs="Arial"/>
          <w:color w:val="000000" w:themeColor="text1"/>
          <w:sz w:val="24"/>
          <w:szCs w:val="24"/>
        </w:rPr>
        <w:t xml:space="preserve">the demand for procedural fairness required such a hearing before the decision was taken. </w:t>
      </w:r>
      <w:r w:rsidR="005C2022" w:rsidRPr="001B2D72">
        <w:rPr>
          <w:rFonts w:ascii="Arial" w:hAnsi="Arial" w:cs="Arial"/>
          <w:color w:val="000000" w:themeColor="text1"/>
          <w:sz w:val="24"/>
          <w:szCs w:val="24"/>
        </w:rPr>
        <w:t xml:space="preserve">In dealing with </w:t>
      </w:r>
      <w:r w:rsidR="005C2022">
        <w:rPr>
          <w:rFonts w:ascii="Arial" w:hAnsi="Arial" w:cs="Arial"/>
          <w:color w:val="000000" w:themeColor="text1"/>
          <w:sz w:val="24"/>
          <w:szCs w:val="24"/>
        </w:rPr>
        <w:t xml:space="preserve">the concept, the court approved the </w:t>
      </w:r>
      <w:r w:rsidR="00D140B5">
        <w:rPr>
          <w:rFonts w:ascii="Arial" w:hAnsi="Arial" w:cs="Arial"/>
          <w:color w:val="000000" w:themeColor="text1"/>
          <w:sz w:val="24"/>
          <w:szCs w:val="24"/>
        </w:rPr>
        <w:t xml:space="preserve">approach adopted </w:t>
      </w:r>
      <w:r w:rsidR="005C2022" w:rsidRPr="00CB6D1D">
        <w:rPr>
          <w:rFonts w:ascii="Arial" w:hAnsi="Arial" w:cs="Arial"/>
          <w:color w:val="000000" w:themeColor="text1"/>
          <w:sz w:val="24"/>
          <w:szCs w:val="24"/>
        </w:rPr>
        <w:t xml:space="preserve">in </w:t>
      </w:r>
      <w:r w:rsidR="005C2022" w:rsidRPr="000339AB">
        <w:rPr>
          <w:rFonts w:ascii="Arial" w:hAnsi="Arial" w:cs="Arial"/>
          <w:i/>
          <w:color w:val="000000" w:themeColor="text1"/>
          <w:sz w:val="24"/>
          <w:szCs w:val="24"/>
        </w:rPr>
        <w:t>President of the Republic of South Africa and Others v South African Rugby Football Union and Others</w:t>
      </w:r>
      <w:r w:rsidR="005C2022">
        <w:rPr>
          <w:rFonts w:ascii="Arial" w:hAnsi="Arial" w:cs="Arial"/>
          <w:color w:val="000000" w:themeColor="text1"/>
          <w:sz w:val="24"/>
          <w:szCs w:val="24"/>
        </w:rPr>
        <w:t>,</w:t>
      </w:r>
      <w:r w:rsidR="005C2022">
        <w:rPr>
          <w:rStyle w:val="FootnoteReference"/>
          <w:rFonts w:ascii="Arial" w:hAnsi="Arial" w:cs="Arial"/>
          <w:color w:val="000000" w:themeColor="text1"/>
          <w:sz w:val="24"/>
          <w:szCs w:val="24"/>
        </w:rPr>
        <w:footnoteReference w:id="14"/>
      </w:r>
      <w:r w:rsidR="005C2022">
        <w:rPr>
          <w:rFonts w:ascii="Arial" w:hAnsi="Arial" w:cs="Arial"/>
          <w:color w:val="000000" w:themeColor="text1"/>
          <w:sz w:val="24"/>
          <w:szCs w:val="24"/>
        </w:rPr>
        <w:t xml:space="preserve"> where it was stated that the </w:t>
      </w:r>
      <w:r w:rsidR="005C2022" w:rsidRPr="00CB6D1D">
        <w:rPr>
          <w:rFonts w:ascii="Arial" w:hAnsi="Arial" w:cs="Arial"/>
          <w:color w:val="000000" w:themeColor="text1"/>
          <w:sz w:val="24"/>
          <w:szCs w:val="24"/>
        </w:rPr>
        <w:t>question whether an expectation is legitimate and will give rise to the right to a hearing in any particular case depend</w:t>
      </w:r>
      <w:r w:rsidR="00FD1926">
        <w:rPr>
          <w:rFonts w:ascii="Arial" w:hAnsi="Arial" w:cs="Arial"/>
          <w:color w:val="000000" w:themeColor="text1"/>
          <w:sz w:val="24"/>
          <w:szCs w:val="24"/>
        </w:rPr>
        <w:t>ed</w:t>
      </w:r>
      <w:r w:rsidR="005C2022" w:rsidRPr="00CB6D1D">
        <w:rPr>
          <w:rFonts w:ascii="Arial" w:hAnsi="Arial" w:cs="Arial"/>
          <w:color w:val="000000" w:themeColor="text1"/>
          <w:sz w:val="24"/>
          <w:szCs w:val="24"/>
        </w:rPr>
        <w:t xml:space="preserve"> on whether, in the context of that case, procedural fairness require</w:t>
      </w:r>
      <w:r w:rsidR="00FD1926">
        <w:rPr>
          <w:rFonts w:ascii="Arial" w:hAnsi="Arial" w:cs="Arial"/>
          <w:color w:val="000000" w:themeColor="text1"/>
          <w:sz w:val="24"/>
          <w:szCs w:val="24"/>
        </w:rPr>
        <w:t>d</w:t>
      </w:r>
      <w:r w:rsidR="005C2022" w:rsidRPr="00CB6D1D">
        <w:rPr>
          <w:rFonts w:ascii="Arial" w:hAnsi="Arial" w:cs="Arial"/>
          <w:color w:val="000000" w:themeColor="text1"/>
          <w:sz w:val="24"/>
          <w:szCs w:val="24"/>
        </w:rPr>
        <w:t xml:space="preserve"> a decision-making authority to afford a hearing to a particular individual before taking the decision.</w:t>
      </w:r>
    </w:p>
    <w:p w:rsidR="005C2022" w:rsidRPr="0082203C" w:rsidRDefault="005C2022" w:rsidP="00B90190">
      <w:pPr>
        <w:spacing w:after="0" w:line="480" w:lineRule="auto"/>
        <w:jc w:val="both"/>
        <w:rPr>
          <w:rFonts w:ascii="Arial" w:hAnsi="Arial" w:cs="Arial"/>
          <w:color w:val="000000" w:themeColor="text1"/>
          <w:sz w:val="24"/>
          <w:szCs w:val="24"/>
        </w:rPr>
      </w:pPr>
    </w:p>
    <w:p w:rsidR="005C2022" w:rsidRDefault="00114C6F" w:rsidP="00B90190">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[46</w:t>
      </w:r>
      <w:r w:rsidR="005C2022" w:rsidRPr="0082203C">
        <w:rPr>
          <w:rFonts w:ascii="Arial" w:hAnsi="Arial" w:cs="Arial"/>
          <w:color w:val="000000" w:themeColor="text1"/>
          <w:sz w:val="24"/>
          <w:szCs w:val="24"/>
        </w:rPr>
        <w:t>]</w:t>
      </w:r>
      <w:r w:rsidR="005C2022" w:rsidRPr="0082203C">
        <w:rPr>
          <w:rFonts w:ascii="Arial" w:hAnsi="Arial" w:cs="Arial"/>
          <w:color w:val="000000" w:themeColor="text1"/>
          <w:sz w:val="24"/>
          <w:szCs w:val="24"/>
        </w:rPr>
        <w:tab/>
        <w:t>In the present</w:t>
      </w:r>
      <w:r w:rsidR="007B500D">
        <w:rPr>
          <w:rFonts w:ascii="Arial" w:hAnsi="Arial" w:cs="Arial"/>
          <w:color w:val="000000" w:themeColor="text1"/>
          <w:sz w:val="24"/>
          <w:szCs w:val="24"/>
        </w:rPr>
        <w:t xml:space="preserve"> matter</w:t>
      </w:r>
      <w:r w:rsidR="005C2022" w:rsidRPr="0082203C">
        <w:rPr>
          <w:rFonts w:ascii="Arial" w:hAnsi="Arial" w:cs="Arial"/>
          <w:color w:val="000000" w:themeColor="text1"/>
          <w:sz w:val="24"/>
          <w:szCs w:val="24"/>
        </w:rPr>
        <w:t xml:space="preserve">, the </w:t>
      </w:r>
      <w:r w:rsidR="0082203C">
        <w:rPr>
          <w:rFonts w:ascii="Arial" w:hAnsi="Arial" w:cs="Arial"/>
          <w:color w:val="000000" w:themeColor="text1"/>
          <w:sz w:val="24"/>
          <w:szCs w:val="24"/>
        </w:rPr>
        <w:t>Tender Board</w:t>
      </w:r>
      <w:r w:rsidR="005C2022" w:rsidRPr="0082203C">
        <w:rPr>
          <w:rFonts w:ascii="Arial" w:hAnsi="Arial" w:cs="Arial"/>
          <w:color w:val="000000" w:themeColor="text1"/>
          <w:sz w:val="24"/>
          <w:szCs w:val="24"/>
        </w:rPr>
        <w:t xml:space="preserve"> in its notification informed the appellant that the tenure of the tender w</w:t>
      </w:r>
      <w:r w:rsidR="00FD1926">
        <w:rPr>
          <w:rFonts w:ascii="Arial" w:hAnsi="Arial" w:cs="Arial"/>
          <w:color w:val="000000" w:themeColor="text1"/>
          <w:sz w:val="24"/>
          <w:szCs w:val="24"/>
        </w:rPr>
        <w:t>ould</w:t>
      </w:r>
      <w:r w:rsidR="005C2022" w:rsidRPr="0082203C">
        <w:rPr>
          <w:rFonts w:ascii="Arial" w:hAnsi="Arial" w:cs="Arial"/>
          <w:color w:val="000000" w:themeColor="text1"/>
          <w:sz w:val="24"/>
          <w:szCs w:val="24"/>
        </w:rPr>
        <w:t xml:space="preserve"> be indicated in the contract. In the notification, no representation is made to the effect that the tenure will be up to 2019. It is also clear that no representation </w:t>
      </w:r>
      <w:r w:rsidR="00D140B5">
        <w:rPr>
          <w:rFonts w:ascii="Arial" w:hAnsi="Arial" w:cs="Arial"/>
          <w:color w:val="000000" w:themeColor="text1"/>
          <w:sz w:val="24"/>
          <w:szCs w:val="24"/>
        </w:rPr>
        <w:t xml:space="preserve">by word </w:t>
      </w:r>
      <w:r w:rsidR="005C2022" w:rsidRPr="0082203C">
        <w:rPr>
          <w:rFonts w:ascii="Arial" w:hAnsi="Arial" w:cs="Arial"/>
          <w:color w:val="000000" w:themeColor="text1"/>
          <w:sz w:val="24"/>
          <w:szCs w:val="24"/>
        </w:rPr>
        <w:t xml:space="preserve">or conduct is made that the term of the contract will be negotiated by the parties. </w:t>
      </w:r>
      <w:r w:rsidR="00D140B5">
        <w:rPr>
          <w:rFonts w:ascii="Arial" w:hAnsi="Arial" w:cs="Arial"/>
          <w:color w:val="000000" w:themeColor="text1"/>
          <w:sz w:val="24"/>
          <w:szCs w:val="24"/>
        </w:rPr>
        <w:t>I</w:t>
      </w:r>
      <w:r w:rsidR="005C2022" w:rsidRPr="0082203C">
        <w:rPr>
          <w:rFonts w:ascii="Arial" w:hAnsi="Arial" w:cs="Arial"/>
          <w:color w:val="000000" w:themeColor="text1"/>
          <w:sz w:val="24"/>
          <w:szCs w:val="24"/>
        </w:rPr>
        <w:t xml:space="preserve">t </w:t>
      </w:r>
      <w:r w:rsidR="00D140B5">
        <w:rPr>
          <w:rFonts w:ascii="Arial" w:hAnsi="Arial" w:cs="Arial"/>
          <w:color w:val="000000" w:themeColor="text1"/>
          <w:sz w:val="24"/>
          <w:szCs w:val="24"/>
        </w:rPr>
        <w:t>is apparent</w:t>
      </w:r>
      <w:r w:rsidR="005C2022" w:rsidRPr="0082203C">
        <w:rPr>
          <w:rFonts w:ascii="Arial" w:hAnsi="Arial" w:cs="Arial"/>
          <w:color w:val="000000" w:themeColor="text1"/>
          <w:sz w:val="24"/>
          <w:szCs w:val="24"/>
        </w:rPr>
        <w:t xml:space="preserve"> from the notification</w:t>
      </w:r>
      <w:r w:rsidR="00D140B5">
        <w:rPr>
          <w:rFonts w:ascii="Arial" w:hAnsi="Arial" w:cs="Arial"/>
          <w:color w:val="000000" w:themeColor="text1"/>
          <w:sz w:val="24"/>
          <w:szCs w:val="24"/>
        </w:rPr>
        <w:t xml:space="preserve"> that </w:t>
      </w:r>
      <w:r w:rsidR="005C2022" w:rsidRPr="0082203C">
        <w:rPr>
          <w:rFonts w:ascii="Arial" w:hAnsi="Arial" w:cs="Arial"/>
          <w:color w:val="000000" w:themeColor="text1"/>
          <w:sz w:val="24"/>
          <w:szCs w:val="24"/>
        </w:rPr>
        <w:t xml:space="preserve">all the </w:t>
      </w:r>
      <w:r w:rsidR="007B500D" w:rsidRPr="007B500D">
        <w:rPr>
          <w:rFonts w:ascii="Arial" w:hAnsi="Arial" w:cs="Arial"/>
          <w:color w:val="000000" w:themeColor="text1"/>
          <w:sz w:val="24"/>
          <w:szCs w:val="24"/>
        </w:rPr>
        <w:t xml:space="preserve">Tender Board </w:t>
      </w:r>
      <w:r w:rsidR="005C2022" w:rsidRPr="0082203C">
        <w:rPr>
          <w:rFonts w:ascii="Arial" w:hAnsi="Arial" w:cs="Arial"/>
          <w:color w:val="000000" w:themeColor="text1"/>
          <w:sz w:val="24"/>
          <w:szCs w:val="24"/>
        </w:rPr>
        <w:t xml:space="preserve">promised was that, the term </w:t>
      </w:r>
      <w:r w:rsidR="00D140B5">
        <w:rPr>
          <w:rFonts w:ascii="Arial" w:hAnsi="Arial" w:cs="Arial"/>
          <w:color w:val="000000" w:themeColor="text1"/>
          <w:sz w:val="24"/>
          <w:szCs w:val="24"/>
        </w:rPr>
        <w:t xml:space="preserve">of the contract </w:t>
      </w:r>
      <w:r w:rsidR="005C2022" w:rsidRPr="0082203C">
        <w:rPr>
          <w:rFonts w:ascii="Arial" w:hAnsi="Arial" w:cs="Arial"/>
          <w:color w:val="000000" w:themeColor="text1"/>
          <w:sz w:val="24"/>
          <w:szCs w:val="24"/>
        </w:rPr>
        <w:t>w</w:t>
      </w:r>
      <w:r w:rsidR="00D140B5">
        <w:rPr>
          <w:rFonts w:ascii="Arial" w:hAnsi="Arial" w:cs="Arial"/>
          <w:color w:val="000000" w:themeColor="text1"/>
          <w:sz w:val="24"/>
          <w:szCs w:val="24"/>
        </w:rPr>
        <w:t>ou</w:t>
      </w:r>
      <w:r w:rsidR="005C2022" w:rsidRPr="0082203C">
        <w:rPr>
          <w:rFonts w:ascii="Arial" w:hAnsi="Arial" w:cs="Arial"/>
          <w:color w:val="000000" w:themeColor="text1"/>
          <w:sz w:val="24"/>
          <w:szCs w:val="24"/>
        </w:rPr>
        <w:t>l</w:t>
      </w:r>
      <w:r w:rsidR="00D140B5">
        <w:rPr>
          <w:rFonts w:ascii="Arial" w:hAnsi="Arial" w:cs="Arial"/>
          <w:color w:val="000000" w:themeColor="text1"/>
          <w:sz w:val="24"/>
          <w:szCs w:val="24"/>
        </w:rPr>
        <w:t>d</w:t>
      </w:r>
      <w:r w:rsidR="005C2022" w:rsidRPr="0082203C">
        <w:rPr>
          <w:rFonts w:ascii="Arial" w:hAnsi="Arial" w:cs="Arial"/>
          <w:color w:val="000000" w:themeColor="text1"/>
          <w:sz w:val="24"/>
          <w:szCs w:val="24"/>
        </w:rPr>
        <w:t xml:space="preserve"> be indicated in the contract. </w:t>
      </w:r>
      <w:r w:rsidR="005C2022" w:rsidRPr="008D191D">
        <w:rPr>
          <w:rFonts w:ascii="Arial" w:hAnsi="Arial" w:cs="Arial"/>
          <w:color w:val="000000" w:themeColor="text1"/>
          <w:sz w:val="24"/>
          <w:szCs w:val="24"/>
        </w:rPr>
        <w:t xml:space="preserve">Indeed </w:t>
      </w:r>
      <w:r w:rsidR="00F83437" w:rsidRPr="008D191D">
        <w:rPr>
          <w:rFonts w:ascii="Arial" w:hAnsi="Arial" w:cs="Arial"/>
          <w:color w:val="000000" w:themeColor="text1"/>
          <w:sz w:val="24"/>
          <w:szCs w:val="24"/>
        </w:rPr>
        <w:t xml:space="preserve">this was so indicated in the </w:t>
      </w:r>
      <w:r w:rsidR="00D140B5" w:rsidRPr="008D191D">
        <w:rPr>
          <w:rFonts w:ascii="Arial" w:hAnsi="Arial" w:cs="Arial"/>
          <w:color w:val="000000" w:themeColor="text1"/>
          <w:sz w:val="24"/>
          <w:szCs w:val="24"/>
        </w:rPr>
        <w:t xml:space="preserve">draft contract, but as already noted, the contract </w:t>
      </w:r>
      <w:r w:rsidR="00F83437" w:rsidRPr="008D191D">
        <w:rPr>
          <w:rFonts w:ascii="Arial" w:hAnsi="Arial" w:cs="Arial"/>
          <w:color w:val="000000" w:themeColor="text1"/>
          <w:sz w:val="24"/>
          <w:szCs w:val="24"/>
        </w:rPr>
        <w:t xml:space="preserve">document </w:t>
      </w:r>
      <w:r w:rsidR="00D140B5" w:rsidRPr="008D191D">
        <w:rPr>
          <w:rFonts w:ascii="Arial" w:hAnsi="Arial" w:cs="Arial"/>
          <w:color w:val="000000" w:themeColor="text1"/>
          <w:sz w:val="24"/>
          <w:szCs w:val="24"/>
        </w:rPr>
        <w:t>had not been signed by the part</w:t>
      </w:r>
      <w:r w:rsidR="0039477F" w:rsidRPr="008D191D">
        <w:rPr>
          <w:rFonts w:ascii="Arial" w:hAnsi="Arial" w:cs="Arial"/>
          <w:color w:val="000000" w:themeColor="text1"/>
          <w:sz w:val="24"/>
          <w:szCs w:val="24"/>
        </w:rPr>
        <w:t xml:space="preserve">ies due to a dispute regarding the production of </w:t>
      </w:r>
      <w:r w:rsidR="00FD1926">
        <w:rPr>
          <w:rFonts w:ascii="Arial" w:hAnsi="Arial" w:cs="Arial"/>
          <w:color w:val="000000" w:themeColor="text1"/>
          <w:sz w:val="24"/>
          <w:szCs w:val="24"/>
        </w:rPr>
        <w:t xml:space="preserve">a </w:t>
      </w:r>
      <w:r w:rsidR="0039477F" w:rsidRPr="008D191D">
        <w:rPr>
          <w:rFonts w:ascii="Arial" w:hAnsi="Arial" w:cs="Arial"/>
          <w:color w:val="000000" w:themeColor="text1"/>
          <w:sz w:val="24"/>
          <w:szCs w:val="24"/>
        </w:rPr>
        <w:t>performance bond and overdraft facility.</w:t>
      </w:r>
      <w:r w:rsidR="005C2022" w:rsidRPr="008D191D">
        <w:rPr>
          <w:rFonts w:ascii="Arial" w:hAnsi="Arial" w:cs="Arial"/>
          <w:color w:val="000000" w:themeColor="text1"/>
          <w:sz w:val="24"/>
          <w:szCs w:val="24"/>
        </w:rPr>
        <w:t xml:space="preserve"> </w:t>
      </w:r>
      <w:r w:rsidR="00F83437">
        <w:rPr>
          <w:rFonts w:ascii="Arial" w:hAnsi="Arial" w:cs="Arial"/>
          <w:color w:val="000000" w:themeColor="text1"/>
          <w:sz w:val="24"/>
          <w:szCs w:val="24"/>
        </w:rPr>
        <w:t>In my respectful view, t</w:t>
      </w:r>
      <w:r w:rsidR="005C2022" w:rsidRPr="0082203C">
        <w:rPr>
          <w:rFonts w:ascii="Arial" w:hAnsi="Arial" w:cs="Arial"/>
          <w:color w:val="000000" w:themeColor="text1"/>
          <w:sz w:val="24"/>
          <w:szCs w:val="24"/>
        </w:rPr>
        <w:t xml:space="preserve">he </w:t>
      </w:r>
      <w:r w:rsidR="007B500D" w:rsidRPr="007B500D">
        <w:rPr>
          <w:rFonts w:ascii="Arial" w:hAnsi="Arial" w:cs="Arial"/>
          <w:color w:val="000000" w:themeColor="text1"/>
          <w:sz w:val="24"/>
          <w:szCs w:val="24"/>
        </w:rPr>
        <w:t xml:space="preserve">Tender Board </w:t>
      </w:r>
      <w:r w:rsidR="005C2022" w:rsidRPr="0082203C">
        <w:rPr>
          <w:rFonts w:ascii="Arial" w:hAnsi="Arial" w:cs="Arial"/>
          <w:color w:val="000000" w:themeColor="text1"/>
          <w:sz w:val="24"/>
          <w:szCs w:val="24"/>
        </w:rPr>
        <w:t>did its part in terms of what it promised the appellant and</w:t>
      </w:r>
      <w:r w:rsidR="00CE31FB">
        <w:rPr>
          <w:rFonts w:ascii="Arial" w:hAnsi="Arial" w:cs="Arial"/>
          <w:color w:val="000000" w:themeColor="text1"/>
          <w:sz w:val="24"/>
          <w:szCs w:val="24"/>
        </w:rPr>
        <w:t xml:space="preserve"> for that it cannot be faulted.</w:t>
      </w:r>
    </w:p>
    <w:p w:rsidR="00CE31FB" w:rsidRPr="0082203C" w:rsidRDefault="00CE31FB" w:rsidP="00B90190">
      <w:pPr>
        <w:spacing w:after="0" w:line="480" w:lineRule="auto"/>
        <w:jc w:val="both"/>
        <w:rPr>
          <w:rFonts w:ascii="Arial" w:hAnsi="Arial" w:cs="Arial"/>
          <w:color w:val="000000" w:themeColor="text1"/>
          <w:sz w:val="24"/>
          <w:szCs w:val="24"/>
        </w:rPr>
      </w:pPr>
    </w:p>
    <w:p w:rsidR="005C2022" w:rsidRDefault="0079405C" w:rsidP="00B90190">
      <w:pPr>
        <w:spacing w:after="0" w:line="480" w:lineRule="auto"/>
        <w:jc w:val="both"/>
        <w:rPr>
          <w:rFonts w:ascii="Arial" w:hAnsi="Arial" w:cs="Arial"/>
          <w:bCs/>
          <w:iCs/>
          <w:color w:val="000000" w:themeColor="text1"/>
          <w:sz w:val="24"/>
          <w:szCs w:val="24"/>
          <w:lang w:val="en-ZA"/>
        </w:rPr>
      </w:pPr>
      <w:r>
        <w:rPr>
          <w:rFonts w:ascii="Arial" w:hAnsi="Arial" w:cs="Arial"/>
          <w:color w:val="000000" w:themeColor="text1"/>
          <w:sz w:val="24"/>
          <w:szCs w:val="24"/>
        </w:rPr>
        <w:t>[4</w:t>
      </w:r>
      <w:r w:rsidR="00114C6F">
        <w:rPr>
          <w:rFonts w:ascii="Arial" w:hAnsi="Arial" w:cs="Arial"/>
          <w:color w:val="000000" w:themeColor="text1"/>
          <w:sz w:val="24"/>
          <w:szCs w:val="24"/>
        </w:rPr>
        <w:t>7</w:t>
      </w:r>
      <w:r w:rsidR="005C2022" w:rsidRPr="0082203C">
        <w:rPr>
          <w:rFonts w:ascii="Arial" w:hAnsi="Arial" w:cs="Arial"/>
          <w:color w:val="000000" w:themeColor="text1"/>
          <w:sz w:val="24"/>
          <w:szCs w:val="24"/>
        </w:rPr>
        <w:t>]</w:t>
      </w:r>
      <w:r w:rsidR="005C2022" w:rsidRPr="0082203C">
        <w:rPr>
          <w:rFonts w:ascii="Arial" w:hAnsi="Arial" w:cs="Arial"/>
          <w:color w:val="000000" w:themeColor="text1"/>
          <w:sz w:val="24"/>
          <w:szCs w:val="24"/>
        </w:rPr>
        <w:tab/>
      </w:r>
      <w:r w:rsidR="008E5F1C">
        <w:rPr>
          <w:rFonts w:ascii="Arial" w:hAnsi="Arial" w:cs="Arial"/>
          <w:color w:val="000000" w:themeColor="text1"/>
          <w:sz w:val="24"/>
          <w:szCs w:val="24"/>
        </w:rPr>
        <w:t>I</w:t>
      </w:r>
      <w:r w:rsidR="002B2A31">
        <w:rPr>
          <w:rFonts w:ascii="Arial" w:hAnsi="Arial" w:cs="Arial"/>
          <w:color w:val="000000" w:themeColor="text1"/>
          <w:sz w:val="24"/>
          <w:szCs w:val="24"/>
        </w:rPr>
        <w:t xml:space="preserve">t must further be </w:t>
      </w:r>
      <w:r w:rsidR="005C2022">
        <w:rPr>
          <w:rFonts w:ascii="Arial" w:hAnsi="Arial" w:cs="Arial"/>
          <w:color w:val="000000" w:themeColor="text1"/>
          <w:sz w:val="24"/>
          <w:szCs w:val="24"/>
        </w:rPr>
        <w:t>point</w:t>
      </w:r>
      <w:r w:rsidR="002B2A31">
        <w:rPr>
          <w:rFonts w:ascii="Arial" w:hAnsi="Arial" w:cs="Arial"/>
          <w:color w:val="000000" w:themeColor="text1"/>
          <w:sz w:val="24"/>
          <w:szCs w:val="24"/>
        </w:rPr>
        <w:t>ed</w:t>
      </w:r>
      <w:r w:rsidR="005C2022">
        <w:rPr>
          <w:rFonts w:ascii="Arial" w:hAnsi="Arial" w:cs="Arial"/>
          <w:color w:val="000000" w:themeColor="text1"/>
          <w:sz w:val="24"/>
          <w:szCs w:val="24"/>
        </w:rPr>
        <w:t xml:space="preserve"> out that </w:t>
      </w:r>
      <w:r w:rsidR="005C2022" w:rsidRPr="00853DAB">
        <w:rPr>
          <w:rFonts w:ascii="Arial" w:hAnsi="Arial" w:cs="Arial"/>
          <w:color w:val="000000" w:themeColor="text1"/>
          <w:sz w:val="24"/>
          <w:szCs w:val="24"/>
        </w:rPr>
        <w:t xml:space="preserve">the appellant’s argument loses sight, not only of the directives of this court in earlier proceedings, but more importantly, the </w:t>
      </w:r>
      <w:r w:rsidR="005C2022" w:rsidRPr="00853DAB">
        <w:rPr>
          <w:rFonts w:ascii="Arial" w:hAnsi="Arial" w:cs="Arial"/>
          <w:color w:val="000000" w:themeColor="text1"/>
          <w:sz w:val="24"/>
          <w:szCs w:val="24"/>
        </w:rPr>
        <w:lastRenderedPageBreak/>
        <w:t xml:space="preserve">appellant’s own admission as seen from its letters of 22 July </w:t>
      </w:r>
      <w:r w:rsidR="00FD1926">
        <w:rPr>
          <w:rFonts w:ascii="Arial" w:hAnsi="Arial" w:cs="Arial"/>
          <w:color w:val="000000" w:themeColor="text1"/>
          <w:sz w:val="24"/>
          <w:szCs w:val="24"/>
        </w:rPr>
        <w:t xml:space="preserve">2013 </w:t>
      </w:r>
      <w:r w:rsidR="005C2022" w:rsidRPr="00853DAB">
        <w:rPr>
          <w:rFonts w:ascii="Arial" w:hAnsi="Arial" w:cs="Arial"/>
          <w:color w:val="000000" w:themeColor="text1"/>
          <w:sz w:val="24"/>
          <w:szCs w:val="24"/>
        </w:rPr>
        <w:t xml:space="preserve">and 22 August 2013 </w:t>
      </w:r>
      <w:r w:rsidR="00C348DA">
        <w:rPr>
          <w:rFonts w:ascii="Arial" w:hAnsi="Arial" w:cs="Arial"/>
          <w:color w:val="000000" w:themeColor="text1"/>
          <w:sz w:val="24"/>
          <w:szCs w:val="24"/>
        </w:rPr>
        <w:t>referred to above</w:t>
      </w:r>
      <w:r w:rsidR="005C2022" w:rsidRPr="00853DAB">
        <w:rPr>
          <w:rFonts w:ascii="Arial" w:hAnsi="Arial" w:cs="Arial"/>
          <w:color w:val="000000" w:themeColor="text1"/>
          <w:sz w:val="24"/>
          <w:szCs w:val="24"/>
        </w:rPr>
        <w:t xml:space="preserve">, </w:t>
      </w:r>
      <w:r w:rsidR="00C348DA">
        <w:rPr>
          <w:rFonts w:ascii="Arial" w:hAnsi="Arial" w:cs="Arial"/>
          <w:color w:val="000000" w:themeColor="text1"/>
          <w:sz w:val="24"/>
          <w:szCs w:val="24"/>
        </w:rPr>
        <w:t xml:space="preserve">one of which </w:t>
      </w:r>
      <w:r w:rsidR="005C2022" w:rsidRPr="00853DAB">
        <w:rPr>
          <w:rFonts w:ascii="Arial" w:hAnsi="Arial" w:cs="Arial"/>
          <w:color w:val="000000" w:themeColor="text1"/>
          <w:sz w:val="24"/>
          <w:szCs w:val="24"/>
        </w:rPr>
        <w:t>explicitly acknowledg</w:t>
      </w:r>
      <w:r w:rsidR="00C348DA">
        <w:rPr>
          <w:rFonts w:ascii="Arial" w:hAnsi="Arial" w:cs="Arial"/>
          <w:color w:val="000000" w:themeColor="text1"/>
          <w:sz w:val="24"/>
          <w:szCs w:val="24"/>
        </w:rPr>
        <w:t>e</w:t>
      </w:r>
      <w:r w:rsidR="005C2022" w:rsidRPr="00853DAB">
        <w:rPr>
          <w:rFonts w:ascii="Arial" w:hAnsi="Arial" w:cs="Arial"/>
          <w:color w:val="000000" w:themeColor="text1"/>
          <w:sz w:val="24"/>
          <w:szCs w:val="24"/>
        </w:rPr>
        <w:t xml:space="preserve"> that the tender in question was to run up to March 2014. The appellant's letters are </w:t>
      </w:r>
      <w:r w:rsidR="005C2022" w:rsidRPr="00853DAB">
        <w:rPr>
          <w:rFonts w:ascii="Arial" w:hAnsi="Arial" w:cs="Arial"/>
          <w:bCs/>
          <w:iCs/>
          <w:color w:val="000000" w:themeColor="text1"/>
          <w:sz w:val="24"/>
          <w:szCs w:val="24"/>
          <w:lang w:val="en-ZA"/>
        </w:rPr>
        <w:t xml:space="preserve">not only clear but </w:t>
      </w:r>
      <w:r w:rsidR="005C2022">
        <w:rPr>
          <w:rFonts w:ascii="Arial" w:hAnsi="Arial" w:cs="Arial"/>
          <w:bCs/>
          <w:iCs/>
          <w:color w:val="000000" w:themeColor="text1"/>
          <w:sz w:val="24"/>
          <w:szCs w:val="24"/>
          <w:lang w:val="en-ZA"/>
        </w:rPr>
        <w:t>are</w:t>
      </w:r>
      <w:r w:rsidR="005C2022" w:rsidRPr="00853DAB">
        <w:rPr>
          <w:rFonts w:ascii="Arial" w:hAnsi="Arial" w:cs="Arial"/>
          <w:bCs/>
          <w:iCs/>
          <w:color w:val="000000" w:themeColor="text1"/>
          <w:sz w:val="24"/>
          <w:szCs w:val="24"/>
          <w:lang w:val="en-ZA"/>
        </w:rPr>
        <w:t xml:space="preserve"> also unequivocal. </w:t>
      </w:r>
      <w:r w:rsidR="005C2022">
        <w:rPr>
          <w:rFonts w:ascii="Arial" w:hAnsi="Arial" w:cs="Arial"/>
          <w:bCs/>
          <w:iCs/>
          <w:color w:val="000000" w:themeColor="text1"/>
          <w:sz w:val="24"/>
          <w:szCs w:val="24"/>
          <w:lang w:val="en-ZA"/>
        </w:rPr>
        <w:t>Therefore t</w:t>
      </w:r>
      <w:r w:rsidR="005C2022" w:rsidRPr="00853DAB">
        <w:rPr>
          <w:rFonts w:ascii="Arial" w:hAnsi="Arial" w:cs="Arial"/>
          <w:bCs/>
          <w:iCs/>
          <w:color w:val="000000" w:themeColor="text1"/>
          <w:sz w:val="24"/>
          <w:szCs w:val="24"/>
          <w:lang w:val="en-ZA"/>
        </w:rPr>
        <w:t>he appellant</w:t>
      </w:r>
      <w:r w:rsidR="005C2022">
        <w:rPr>
          <w:rFonts w:ascii="Arial" w:hAnsi="Arial" w:cs="Arial"/>
          <w:bCs/>
          <w:iCs/>
          <w:color w:val="000000" w:themeColor="text1"/>
          <w:sz w:val="24"/>
          <w:szCs w:val="24"/>
          <w:lang w:val="en-ZA"/>
        </w:rPr>
        <w:t>’</w:t>
      </w:r>
      <w:r w:rsidR="005C2022" w:rsidRPr="00853DAB">
        <w:rPr>
          <w:rFonts w:ascii="Arial" w:hAnsi="Arial" w:cs="Arial"/>
          <w:bCs/>
          <w:iCs/>
          <w:color w:val="000000" w:themeColor="text1"/>
          <w:sz w:val="24"/>
          <w:szCs w:val="24"/>
          <w:lang w:val="en-ZA"/>
        </w:rPr>
        <w:t>s contention</w:t>
      </w:r>
      <w:r w:rsidR="0051702C">
        <w:rPr>
          <w:rFonts w:ascii="Arial" w:hAnsi="Arial" w:cs="Arial"/>
          <w:bCs/>
          <w:iCs/>
          <w:color w:val="000000" w:themeColor="text1"/>
          <w:sz w:val="24"/>
          <w:szCs w:val="24"/>
          <w:lang w:val="en-ZA"/>
        </w:rPr>
        <w:t xml:space="preserve"> on the term of the tender</w:t>
      </w:r>
      <w:r w:rsidR="005C2022" w:rsidRPr="00853DAB">
        <w:rPr>
          <w:rFonts w:ascii="Arial" w:hAnsi="Arial" w:cs="Arial"/>
          <w:bCs/>
          <w:iCs/>
          <w:color w:val="000000" w:themeColor="text1"/>
          <w:sz w:val="24"/>
          <w:szCs w:val="24"/>
          <w:lang w:val="en-ZA"/>
        </w:rPr>
        <w:t>, in my view, is not borne out by the contents of these two letters</w:t>
      </w:r>
      <w:r w:rsidR="005C2022">
        <w:rPr>
          <w:rFonts w:ascii="Arial" w:hAnsi="Arial" w:cs="Arial"/>
          <w:bCs/>
          <w:iCs/>
          <w:color w:val="000000" w:themeColor="text1"/>
          <w:sz w:val="24"/>
          <w:szCs w:val="24"/>
          <w:lang w:val="en-ZA"/>
        </w:rPr>
        <w:t>.</w:t>
      </w:r>
      <w:r w:rsidR="005C2022" w:rsidRPr="00853DAB">
        <w:rPr>
          <w:rFonts w:ascii="Arial" w:hAnsi="Arial" w:cs="Arial"/>
          <w:bCs/>
          <w:iCs/>
          <w:color w:val="000000" w:themeColor="text1"/>
          <w:sz w:val="24"/>
          <w:szCs w:val="24"/>
          <w:lang w:val="en-ZA"/>
        </w:rPr>
        <w:t xml:space="preserve"> </w:t>
      </w:r>
      <w:r w:rsidR="008E5F1C">
        <w:rPr>
          <w:rFonts w:ascii="Arial" w:hAnsi="Arial" w:cs="Arial"/>
          <w:bCs/>
          <w:iCs/>
          <w:color w:val="000000" w:themeColor="text1"/>
          <w:sz w:val="24"/>
          <w:szCs w:val="24"/>
          <w:lang w:val="en-ZA"/>
        </w:rPr>
        <w:t>It follows that the contention based on legitimate expectation must also fail.</w:t>
      </w:r>
    </w:p>
    <w:p w:rsidR="00CE31FB" w:rsidRPr="00853DAB" w:rsidRDefault="00CE31FB" w:rsidP="00B90190">
      <w:pPr>
        <w:spacing w:after="0" w:line="480" w:lineRule="auto"/>
        <w:jc w:val="both"/>
        <w:rPr>
          <w:rFonts w:ascii="Arial" w:hAnsi="Arial" w:cs="Arial"/>
          <w:color w:val="000000" w:themeColor="text1"/>
          <w:sz w:val="24"/>
          <w:szCs w:val="24"/>
        </w:rPr>
      </w:pPr>
    </w:p>
    <w:p w:rsidR="005C2022" w:rsidRDefault="005C2022" w:rsidP="00B90190">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w:t>
      </w:r>
      <w:r w:rsidR="0079405C">
        <w:rPr>
          <w:rFonts w:ascii="Arial" w:hAnsi="Arial" w:cs="Arial"/>
          <w:color w:val="000000" w:themeColor="text1"/>
          <w:sz w:val="24"/>
          <w:szCs w:val="24"/>
        </w:rPr>
        <w:t>4</w:t>
      </w:r>
      <w:r w:rsidR="00114C6F">
        <w:rPr>
          <w:rFonts w:ascii="Arial" w:hAnsi="Arial" w:cs="Arial"/>
          <w:color w:val="000000" w:themeColor="text1"/>
          <w:sz w:val="24"/>
          <w:szCs w:val="24"/>
        </w:rPr>
        <w:t>8</w:t>
      </w:r>
      <w:r>
        <w:rPr>
          <w:rFonts w:ascii="Arial" w:hAnsi="Arial" w:cs="Arial"/>
          <w:color w:val="000000" w:themeColor="text1"/>
          <w:sz w:val="24"/>
          <w:szCs w:val="24"/>
        </w:rPr>
        <w:t>]</w:t>
      </w:r>
      <w:r>
        <w:rPr>
          <w:rFonts w:ascii="Arial" w:hAnsi="Arial" w:cs="Arial"/>
          <w:color w:val="000000" w:themeColor="text1"/>
          <w:sz w:val="24"/>
          <w:szCs w:val="24"/>
        </w:rPr>
        <w:tab/>
        <w:t xml:space="preserve">One issue that needs further attention is </w:t>
      </w:r>
      <w:r w:rsidR="004C374B">
        <w:rPr>
          <w:rFonts w:ascii="Arial" w:hAnsi="Arial" w:cs="Arial"/>
          <w:color w:val="000000" w:themeColor="text1"/>
          <w:sz w:val="24"/>
          <w:szCs w:val="24"/>
        </w:rPr>
        <w:t xml:space="preserve">the question of </w:t>
      </w:r>
      <w:r>
        <w:rPr>
          <w:rFonts w:ascii="Arial" w:hAnsi="Arial" w:cs="Arial"/>
          <w:color w:val="000000" w:themeColor="text1"/>
          <w:sz w:val="24"/>
          <w:szCs w:val="24"/>
        </w:rPr>
        <w:t xml:space="preserve">whether an adverse inference </w:t>
      </w:r>
      <w:r w:rsidR="004C374B">
        <w:rPr>
          <w:rFonts w:ascii="Arial" w:hAnsi="Arial" w:cs="Arial"/>
          <w:color w:val="000000" w:themeColor="text1"/>
          <w:sz w:val="24"/>
          <w:szCs w:val="24"/>
        </w:rPr>
        <w:t xml:space="preserve">should </w:t>
      </w:r>
      <w:r>
        <w:rPr>
          <w:rFonts w:ascii="Arial" w:hAnsi="Arial" w:cs="Arial"/>
          <w:color w:val="000000" w:themeColor="text1"/>
          <w:sz w:val="24"/>
          <w:szCs w:val="24"/>
        </w:rPr>
        <w:t xml:space="preserve">be made against the respondents on the basis of their </w:t>
      </w:r>
      <w:r w:rsidR="004C374B">
        <w:rPr>
          <w:rFonts w:ascii="Arial" w:hAnsi="Arial" w:cs="Arial"/>
          <w:color w:val="000000" w:themeColor="text1"/>
          <w:sz w:val="24"/>
          <w:szCs w:val="24"/>
        </w:rPr>
        <w:t>failure to respond t</w:t>
      </w:r>
      <w:r>
        <w:rPr>
          <w:rFonts w:ascii="Arial" w:hAnsi="Arial" w:cs="Arial"/>
          <w:color w:val="000000" w:themeColor="text1"/>
          <w:sz w:val="24"/>
          <w:szCs w:val="24"/>
        </w:rPr>
        <w:t>o the appellant’s letters</w:t>
      </w:r>
      <w:r w:rsidR="004C374B">
        <w:rPr>
          <w:rFonts w:ascii="Arial" w:hAnsi="Arial" w:cs="Arial"/>
          <w:color w:val="000000" w:themeColor="text1"/>
          <w:sz w:val="24"/>
          <w:szCs w:val="24"/>
        </w:rPr>
        <w:t xml:space="preserve"> regarding its assumption of the term of the tender</w:t>
      </w:r>
      <w:r>
        <w:rPr>
          <w:rFonts w:ascii="Arial" w:hAnsi="Arial" w:cs="Arial"/>
          <w:color w:val="000000" w:themeColor="text1"/>
          <w:sz w:val="24"/>
          <w:szCs w:val="24"/>
        </w:rPr>
        <w:t>. The appellant in oral argument raised the issue of tacit agreement founded on the respondents’ failure to express their stance regard</w:t>
      </w:r>
      <w:r w:rsidR="004C374B">
        <w:rPr>
          <w:rFonts w:ascii="Arial" w:hAnsi="Arial" w:cs="Arial"/>
          <w:color w:val="000000" w:themeColor="text1"/>
          <w:sz w:val="24"/>
          <w:szCs w:val="24"/>
        </w:rPr>
        <w:t>ing</w:t>
      </w:r>
      <w:r>
        <w:rPr>
          <w:rFonts w:ascii="Arial" w:hAnsi="Arial" w:cs="Arial"/>
          <w:color w:val="000000" w:themeColor="text1"/>
          <w:sz w:val="24"/>
          <w:szCs w:val="24"/>
        </w:rPr>
        <w:t xml:space="preserve"> the </w:t>
      </w:r>
      <w:r w:rsidR="004C374B">
        <w:rPr>
          <w:rFonts w:ascii="Arial" w:hAnsi="Arial" w:cs="Arial"/>
          <w:color w:val="000000" w:themeColor="text1"/>
          <w:sz w:val="24"/>
          <w:szCs w:val="24"/>
        </w:rPr>
        <w:t xml:space="preserve">duration </w:t>
      </w:r>
      <w:r>
        <w:rPr>
          <w:rFonts w:ascii="Arial" w:hAnsi="Arial" w:cs="Arial"/>
          <w:color w:val="000000" w:themeColor="text1"/>
          <w:sz w:val="24"/>
          <w:szCs w:val="24"/>
        </w:rPr>
        <w:t xml:space="preserve">of the tender </w:t>
      </w:r>
      <w:r w:rsidR="004C374B">
        <w:rPr>
          <w:rFonts w:ascii="Arial" w:hAnsi="Arial" w:cs="Arial"/>
          <w:color w:val="000000" w:themeColor="text1"/>
          <w:sz w:val="24"/>
          <w:szCs w:val="24"/>
        </w:rPr>
        <w:t xml:space="preserve">in the face of the letters written for the appellant </w:t>
      </w:r>
      <w:r>
        <w:rPr>
          <w:rFonts w:ascii="Arial" w:hAnsi="Arial" w:cs="Arial"/>
          <w:color w:val="000000" w:themeColor="text1"/>
          <w:sz w:val="24"/>
          <w:szCs w:val="24"/>
        </w:rPr>
        <w:t>reflect</w:t>
      </w:r>
      <w:r w:rsidR="00793408">
        <w:rPr>
          <w:rFonts w:ascii="Arial" w:hAnsi="Arial" w:cs="Arial"/>
          <w:color w:val="000000" w:themeColor="text1"/>
          <w:sz w:val="24"/>
          <w:szCs w:val="24"/>
        </w:rPr>
        <w:t>ing its understanding of the period of the tender.</w:t>
      </w:r>
    </w:p>
    <w:p w:rsidR="00F2506B" w:rsidRDefault="00F2506B" w:rsidP="00B90190">
      <w:pPr>
        <w:spacing w:after="0" w:line="480" w:lineRule="auto"/>
        <w:jc w:val="both"/>
        <w:rPr>
          <w:rFonts w:ascii="Arial" w:hAnsi="Arial" w:cs="Arial"/>
          <w:color w:val="000000" w:themeColor="text1"/>
          <w:sz w:val="24"/>
          <w:szCs w:val="24"/>
        </w:rPr>
      </w:pPr>
    </w:p>
    <w:p w:rsidR="0099756E" w:rsidRDefault="005C2022" w:rsidP="009132F5">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w:t>
      </w:r>
      <w:r w:rsidR="00114C6F">
        <w:rPr>
          <w:rFonts w:ascii="Arial" w:hAnsi="Arial" w:cs="Arial"/>
          <w:color w:val="000000" w:themeColor="text1"/>
          <w:sz w:val="24"/>
          <w:szCs w:val="24"/>
        </w:rPr>
        <w:t>49</w:t>
      </w:r>
      <w:r>
        <w:rPr>
          <w:rFonts w:ascii="Arial" w:hAnsi="Arial" w:cs="Arial"/>
          <w:color w:val="000000" w:themeColor="text1"/>
          <w:sz w:val="24"/>
          <w:szCs w:val="24"/>
        </w:rPr>
        <w:t>]</w:t>
      </w:r>
      <w:r>
        <w:rPr>
          <w:rFonts w:ascii="Arial" w:hAnsi="Arial" w:cs="Arial"/>
          <w:color w:val="000000" w:themeColor="text1"/>
          <w:sz w:val="24"/>
          <w:szCs w:val="24"/>
        </w:rPr>
        <w:tab/>
        <w:t xml:space="preserve">In </w:t>
      </w:r>
      <w:r w:rsidRPr="004928D0">
        <w:rPr>
          <w:rFonts w:ascii="Arial" w:hAnsi="Arial" w:cs="Arial"/>
          <w:i/>
          <w:color w:val="000000" w:themeColor="text1"/>
          <w:sz w:val="24"/>
          <w:szCs w:val="24"/>
        </w:rPr>
        <w:t xml:space="preserve">McWilliams v </w:t>
      </w:r>
      <w:r>
        <w:rPr>
          <w:rFonts w:ascii="Arial" w:hAnsi="Arial" w:cs="Arial"/>
          <w:i/>
          <w:color w:val="000000" w:themeColor="text1"/>
          <w:sz w:val="24"/>
          <w:szCs w:val="24"/>
        </w:rPr>
        <w:t>First Consolidated H</w:t>
      </w:r>
      <w:r w:rsidRPr="004928D0">
        <w:rPr>
          <w:rFonts w:ascii="Arial" w:hAnsi="Arial" w:cs="Arial"/>
          <w:i/>
          <w:color w:val="000000" w:themeColor="text1"/>
          <w:sz w:val="24"/>
          <w:szCs w:val="24"/>
        </w:rPr>
        <w:t>oldings (</w:t>
      </w:r>
      <w:r>
        <w:rPr>
          <w:rFonts w:ascii="Arial" w:hAnsi="Arial" w:cs="Arial"/>
          <w:i/>
          <w:color w:val="000000" w:themeColor="text1"/>
          <w:sz w:val="24"/>
          <w:szCs w:val="24"/>
        </w:rPr>
        <w:t>P</w:t>
      </w:r>
      <w:r w:rsidRPr="004928D0">
        <w:rPr>
          <w:rFonts w:ascii="Arial" w:hAnsi="Arial" w:cs="Arial"/>
          <w:i/>
          <w:color w:val="000000" w:themeColor="text1"/>
          <w:sz w:val="24"/>
          <w:szCs w:val="24"/>
        </w:rPr>
        <w:t xml:space="preserve">ty) </w:t>
      </w:r>
      <w:r>
        <w:rPr>
          <w:rFonts w:ascii="Arial" w:hAnsi="Arial" w:cs="Arial"/>
          <w:i/>
          <w:color w:val="000000" w:themeColor="text1"/>
          <w:sz w:val="24"/>
          <w:szCs w:val="24"/>
        </w:rPr>
        <w:t>L</w:t>
      </w:r>
      <w:r w:rsidRPr="004928D0">
        <w:rPr>
          <w:rFonts w:ascii="Arial" w:hAnsi="Arial" w:cs="Arial"/>
          <w:i/>
          <w:color w:val="000000" w:themeColor="text1"/>
          <w:sz w:val="24"/>
          <w:szCs w:val="24"/>
        </w:rPr>
        <w:t xml:space="preserve">td </w:t>
      </w:r>
      <w:r w:rsidRPr="004928D0">
        <w:rPr>
          <w:rFonts w:ascii="Arial" w:hAnsi="Arial" w:cs="Arial"/>
          <w:color w:val="000000" w:themeColor="text1"/>
          <w:sz w:val="24"/>
          <w:szCs w:val="24"/>
        </w:rPr>
        <w:t>1982 (2) SA 1 (A)</w:t>
      </w:r>
      <w:r>
        <w:rPr>
          <w:rFonts w:ascii="Arial" w:hAnsi="Arial" w:cs="Arial"/>
          <w:color w:val="000000" w:themeColor="text1"/>
          <w:sz w:val="24"/>
          <w:szCs w:val="24"/>
        </w:rPr>
        <w:t xml:space="preserve">, Miller JA stated </w:t>
      </w:r>
      <w:r w:rsidR="00825819">
        <w:rPr>
          <w:rFonts w:ascii="Arial" w:hAnsi="Arial" w:cs="Arial"/>
          <w:color w:val="000000" w:themeColor="text1"/>
          <w:sz w:val="24"/>
          <w:szCs w:val="24"/>
        </w:rPr>
        <w:t>at</w:t>
      </w:r>
      <w:r w:rsidR="0093580A">
        <w:rPr>
          <w:rFonts w:ascii="Arial" w:hAnsi="Arial" w:cs="Arial"/>
          <w:color w:val="000000" w:themeColor="text1"/>
          <w:sz w:val="24"/>
          <w:szCs w:val="24"/>
        </w:rPr>
        <w:t xml:space="preserve"> 10E- G:</w:t>
      </w:r>
    </w:p>
    <w:p w:rsidR="00CE31FB" w:rsidRDefault="00CE31FB" w:rsidP="009132F5">
      <w:pPr>
        <w:spacing w:after="0" w:line="480" w:lineRule="auto"/>
        <w:jc w:val="both"/>
        <w:rPr>
          <w:rFonts w:ascii="Arial" w:hAnsi="Arial" w:cs="Arial"/>
          <w:color w:val="000000" w:themeColor="text1"/>
          <w:sz w:val="24"/>
          <w:szCs w:val="24"/>
        </w:rPr>
      </w:pPr>
    </w:p>
    <w:p w:rsidR="009132F5" w:rsidRDefault="00C348DA" w:rsidP="0099756E">
      <w:pPr>
        <w:spacing w:after="0" w:line="360" w:lineRule="auto"/>
        <w:ind w:left="720"/>
        <w:jc w:val="both"/>
        <w:rPr>
          <w:rFonts w:ascii="Arial" w:hAnsi="Arial" w:cs="Arial"/>
          <w:color w:val="000000" w:themeColor="text1"/>
          <w:sz w:val="24"/>
          <w:szCs w:val="24"/>
        </w:rPr>
      </w:pPr>
      <w:r w:rsidRPr="0099756E">
        <w:rPr>
          <w:rFonts w:ascii="Arial" w:hAnsi="Arial" w:cs="Arial"/>
          <w:color w:val="000000" w:themeColor="text1"/>
        </w:rPr>
        <w:t>‘</w:t>
      </w:r>
      <w:r w:rsidR="00825819" w:rsidRPr="0099756E">
        <w:rPr>
          <w:rFonts w:ascii="Arial" w:hAnsi="Arial" w:cs="Arial"/>
          <w:color w:val="000000" w:themeColor="text1"/>
        </w:rPr>
        <w:t xml:space="preserve">I accept that </w:t>
      </w:r>
      <w:r w:rsidRPr="0099756E">
        <w:rPr>
          <w:rFonts w:ascii="Arial" w:hAnsi="Arial" w:cs="Arial"/>
          <w:color w:val="000000" w:themeColor="text1"/>
        </w:rPr>
        <w:t>“</w:t>
      </w:r>
      <w:r w:rsidR="00825819" w:rsidRPr="0099756E">
        <w:rPr>
          <w:rFonts w:ascii="Arial" w:hAnsi="Arial" w:cs="Arial"/>
          <w:color w:val="000000" w:themeColor="text1"/>
        </w:rPr>
        <w:t>quiescence is not necessarily acquiescence</w:t>
      </w:r>
      <w:r w:rsidRPr="0099756E">
        <w:rPr>
          <w:rFonts w:ascii="Arial" w:hAnsi="Arial" w:cs="Arial"/>
          <w:color w:val="000000" w:themeColor="text1"/>
        </w:rPr>
        <w:t>”</w:t>
      </w:r>
      <w:r w:rsidR="00825819" w:rsidRPr="0099756E">
        <w:rPr>
          <w:rFonts w:ascii="Arial" w:hAnsi="Arial" w:cs="Arial"/>
          <w:color w:val="000000" w:themeColor="text1"/>
        </w:rPr>
        <w:t xml:space="preserve"> and that a party's failure to reply to a letter asserting the existence of an obligation owed by such party to the writer does not always justify an inference that the assertion was accepted as the truth. But in general, when according to ordinary commercial practice and human expectation firm repudiation of such an assertion would be the norm if it was not accepted as correct, such party's silence and inaction, unless satisfactorily explained, may be taken to constitute an admission by him of the truth of the assertion, or at least will be an important factor telling against him in the assessment of the probabilities and in the final determination of the dispute. And an adverse inference will the more readily be drawn when the unchallenged assertion had been preceded by correspondence or </w:t>
      </w:r>
      <w:r w:rsidR="00825819" w:rsidRPr="0099756E">
        <w:rPr>
          <w:rFonts w:ascii="Arial" w:hAnsi="Arial" w:cs="Arial"/>
          <w:color w:val="000000" w:themeColor="text1"/>
        </w:rPr>
        <w:lastRenderedPageBreak/>
        <w:t>negotiations between the parties relative to the subject-matter of the assertion.</w:t>
      </w:r>
      <w:r w:rsidRPr="0099756E">
        <w:rPr>
          <w:rFonts w:ascii="Arial" w:hAnsi="Arial" w:cs="Arial"/>
          <w:color w:val="000000" w:themeColor="text1"/>
        </w:rPr>
        <w:t>’</w:t>
      </w:r>
      <w:r w:rsidR="0099756E">
        <w:rPr>
          <w:rFonts w:ascii="Arial" w:hAnsi="Arial" w:cs="Arial"/>
          <w:color w:val="000000" w:themeColor="text1"/>
          <w:sz w:val="24"/>
          <w:szCs w:val="24"/>
        </w:rPr>
        <w:t xml:space="preserve"> </w:t>
      </w:r>
      <w:r w:rsidR="0099756E" w:rsidRPr="0099756E">
        <w:rPr>
          <w:rFonts w:ascii="Arial" w:hAnsi="Arial" w:cs="Arial"/>
          <w:color w:val="000000" w:themeColor="text1"/>
        </w:rPr>
        <w:t>(Reference to authorities omitted).</w:t>
      </w:r>
    </w:p>
    <w:p w:rsidR="005C2022" w:rsidRDefault="005C2022" w:rsidP="0099756E">
      <w:pPr>
        <w:spacing w:after="0" w:line="480" w:lineRule="auto"/>
        <w:ind w:left="720"/>
        <w:jc w:val="both"/>
        <w:rPr>
          <w:rFonts w:ascii="Arial" w:hAnsi="Arial" w:cs="Arial"/>
          <w:color w:val="000000" w:themeColor="text1"/>
          <w:sz w:val="24"/>
          <w:szCs w:val="24"/>
        </w:rPr>
      </w:pPr>
    </w:p>
    <w:p w:rsidR="005C2022" w:rsidRDefault="00B318F5" w:rsidP="00B90190">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w:t>
      </w:r>
      <w:r w:rsidR="00114C6F">
        <w:rPr>
          <w:rFonts w:ascii="Arial" w:hAnsi="Arial" w:cs="Arial"/>
          <w:color w:val="000000" w:themeColor="text1"/>
          <w:sz w:val="24"/>
          <w:szCs w:val="24"/>
        </w:rPr>
        <w:t>50</w:t>
      </w:r>
      <w:r w:rsidR="005C2022">
        <w:rPr>
          <w:rFonts w:ascii="Arial" w:hAnsi="Arial" w:cs="Arial"/>
          <w:color w:val="000000" w:themeColor="text1"/>
          <w:sz w:val="24"/>
          <w:szCs w:val="24"/>
        </w:rPr>
        <w:t>]</w:t>
      </w:r>
      <w:r w:rsidR="005C2022">
        <w:rPr>
          <w:rFonts w:ascii="Arial" w:hAnsi="Arial" w:cs="Arial"/>
          <w:color w:val="000000" w:themeColor="text1"/>
          <w:sz w:val="24"/>
          <w:szCs w:val="24"/>
        </w:rPr>
        <w:tab/>
      </w:r>
      <w:r w:rsidR="005C2022" w:rsidRPr="00182DA5">
        <w:rPr>
          <w:rFonts w:ascii="Arial" w:hAnsi="Arial" w:cs="Arial"/>
          <w:color w:val="000000" w:themeColor="text1"/>
          <w:sz w:val="24"/>
          <w:szCs w:val="24"/>
        </w:rPr>
        <w:t xml:space="preserve">In its </w:t>
      </w:r>
      <w:r w:rsidR="005C2022">
        <w:rPr>
          <w:rFonts w:ascii="Arial" w:hAnsi="Arial" w:cs="Arial"/>
          <w:color w:val="000000" w:themeColor="text1"/>
          <w:sz w:val="24"/>
          <w:szCs w:val="24"/>
        </w:rPr>
        <w:t xml:space="preserve">application </w:t>
      </w:r>
      <w:r w:rsidR="005C2022" w:rsidRPr="00182DA5">
        <w:rPr>
          <w:rFonts w:ascii="Arial" w:hAnsi="Arial" w:cs="Arial"/>
          <w:color w:val="000000" w:themeColor="text1"/>
          <w:sz w:val="24"/>
          <w:szCs w:val="24"/>
        </w:rPr>
        <w:t xml:space="preserve">the </w:t>
      </w:r>
      <w:r w:rsidR="005C2022">
        <w:rPr>
          <w:rFonts w:ascii="Arial" w:hAnsi="Arial" w:cs="Arial"/>
          <w:color w:val="000000" w:themeColor="text1"/>
          <w:sz w:val="24"/>
          <w:szCs w:val="24"/>
        </w:rPr>
        <w:t>appellant aver</w:t>
      </w:r>
      <w:r w:rsidR="00964429">
        <w:rPr>
          <w:rFonts w:ascii="Arial" w:hAnsi="Arial" w:cs="Arial"/>
          <w:color w:val="000000" w:themeColor="text1"/>
          <w:sz w:val="24"/>
          <w:szCs w:val="24"/>
        </w:rPr>
        <w:t>red</w:t>
      </w:r>
      <w:r w:rsidR="005C2022">
        <w:rPr>
          <w:rFonts w:ascii="Arial" w:hAnsi="Arial" w:cs="Arial"/>
          <w:color w:val="000000" w:themeColor="text1"/>
          <w:sz w:val="24"/>
          <w:szCs w:val="24"/>
        </w:rPr>
        <w:t xml:space="preserve"> </w:t>
      </w:r>
      <w:r w:rsidR="0099735D">
        <w:rPr>
          <w:rFonts w:ascii="Arial" w:hAnsi="Arial" w:cs="Arial"/>
          <w:color w:val="000000" w:themeColor="text1"/>
          <w:sz w:val="24"/>
          <w:szCs w:val="24"/>
        </w:rPr>
        <w:t xml:space="preserve">correctly </w:t>
      </w:r>
      <w:r w:rsidR="005C2022">
        <w:rPr>
          <w:rFonts w:ascii="Arial" w:hAnsi="Arial" w:cs="Arial"/>
          <w:color w:val="000000" w:themeColor="text1"/>
          <w:sz w:val="24"/>
          <w:szCs w:val="24"/>
        </w:rPr>
        <w:t>that it was informed that the term of the tender w</w:t>
      </w:r>
      <w:r w:rsidR="00964429">
        <w:rPr>
          <w:rFonts w:ascii="Arial" w:hAnsi="Arial" w:cs="Arial"/>
          <w:color w:val="000000" w:themeColor="text1"/>
          <w:sz w:val="24"/>
          <w:szCs w:val="24"/>
        </w:rPr>
        <w:t>ould</w:t>
      </w:r>
      <w:r w:rsidR="005C2022">
        <w:rPr>
          <w:rFonts w:ascii="Arial" w:hAnsi="Arial" w:cs="Arial"/>
          <w:color w:val="000000" w:themeColor="text1"/>
          <w:sz w:val="24"/>
          <w:szCs w:val="24"/>
        </w:rPr>
        <w:t xml:space="preserve"> be indicated in the contract. The application further reveals that the </w:t>
      </w:r>
      <w:r w:rsidR="005C2022" w:rsidRPr="00182DA5">
        <w:rPr>
          <w:rFonts w:ascii="Arial" w:hAnsi="Arial" w:cs="Arial"/>
          <w:color w:val="000000" w:themeColor="text1"/>
          <w:sz w:val="24"/>
          <w:szCs w:val="24"/>
        </w:rPr>
        <w:t xml:space="preserve">Tender Board </w:t>
      </w:r>
      <w:r w:rsidR="005C2022">
        <w:rPr>
          <w:rFonts w:ascii="Arial" w:hAnsi="Arial" w:cs="Arial"/>
          <w:color w:val="000000" w:themeColor="text1"/>
          <w:sz w:val="24"/>
          <w:szCs w:val="24"/>
        </w:rPr>
        <w:t>ha</w:t>
      </w:r>
      <w:r w:rsidR="00964429">
        <w:rPr>
          <w:rFonts w:ascii="Arial" w:hAnsi="Arial" w:cs="Arial"/>
          <w:color w:val="000000" w:themeColor="text1"/>
          <w:sz w:val="24"/>
          <w:szCs w:val="24"/>
        </w:rPr>
        <w:t>d</w:t>
      </w:r>
      <w:r w:rsidR="005C2022" w:rsidRPr="00182DA5">
        <w:rPr>
          <w:rFonts w:ascii="Arial" w:hAnsi="Arial" w:cs="Arial"/>
          <w:color w:val="000000" w:themeColor="text1"/>
          <w:sz w:val="24"/>
          <w:szCs w:val="24"/>
        </w:rPr>
        <w:t xml:space="preserve"> not pronounced itself on the term of the tender</w:t>
      </w:r>
      <w:r w:rsidR="005C2022">
        <w:rPr>
          <w:rFonts w:ascii="Arial" w:hAnsi="Arial" w:cs="Arial"/>
          <w:color w:val="000000" w:themeColor="text1"/>
          <w:sz w:val="24"/>
          <w:szCs w:val="24"/>
        </w:rPr>
        <w:t xml:space="preserve"> awarded to the appellant. This understanding </w:t>
      </w:r>
      <w:r w:rsidR="00964429">
        <w:rPr>
          <w:rFonts w:ascii="Arial" w:hAnsi="Arial" w:cs="Arial"/>
          <w:color w:val="000000" w:themeColor="text1"/>
          <w:sz w:val="24"/>
          <w:szCs w:val="24"/>
        </w:rPr>
        <w:t>wa</w:t>
      </w:r>
      <w:r w:rsidR="005C2022">
        <w:rPr>
          <w:rFonts w:ascii="Arial" w:hAnsi="Arial" w:cs="Arial"/>
          <w:color w:val="000000" w:themeColor="text1"/>
          <w:sz w:val="24"/>
          <w:szCs w:val="24"/>
        </w:rPr>
        <w:t>s confirmed by th</w:t>
      </w:r>
      <w:r w:rsidR="005A13BC">
        <w:rPr>
          <w:rFonts w:ascii="Arial" w:hAnsi="Arial" w:cs="Arial"/>
          <w:color w:val="000000" w:themeColor="text1"/>
          <w:sz w:val="24"/>
          <w:szCs w:val="24"/>
        </w:rPr>
        <w:t>e content of the letter dated 12 December 2013</w:t>
      </w:r>
      <w:r w:rsidR="005C2022">
        <w:rPr>
          <w:rFonts w:ascii="Arial" w:hAnsi="Arial" w:cs="Arial"/>
          <w:color w:val="000000" w:themeColor="text1"/>
          <w:sz w:val="24"/>
          <w:szCs w:val="24"/>
        </w:rPr>
        <w:t xml:space="preserve"> </w:t>
      </w:r>
      <w:r w:rsidR="00964429">
        <w:rPr>
          <w:rFonts w:ascii="Arial" w:hAnsi="Arial" w:cs="Arial"/>
          <w:color w:val="000000" w:themeColor="text1"/>
          <w:sz w:val="24"/>
          <w:szCs w:val="24"/>
        </w:rPr>
        <w:t xml:space="preserve">addressed </w:t>
      </w:r>
      <w:r w:rsidR="005C2022">
        <w:rPr>
          <w:rFonts w:ascii="Arial" w:hAnsi="Arial" w:cs="Arial"/>
          <w:color w:val="000000" w:themeColor="text1"/>
          <w:sz w:val="24"/>
          <w:szCs w:val="24"/>
        </w:rPr>
        <w:t xml:space="preserve">to the </w:t>
      </w:r>
      <w:r w:rsidR="005A13BC">
        <w:rPr>
          <w:rFonts w:ascii="Arial" w:hAnsi="Arial" w:cs="Arial"/>
          <w:color w:val="000000" w:themeColor="text1"/>
          <w:sz w:val="24"/>
          <w:szCs w:val="24"/>
        </w:rPr>
        <w:t xml:space="preserve">Secretary </w:t>
      </w:r>
      <w:r w:rsidR="00C348DA">
        <w:rPr>
          <w:rFonts w:ascii="Arial" w:hAnsi="Arial" w:cs="Arial"/>
          <w:color w:val="000000" w:themeColor="text1"/>
          <w:sz w:val="24"/>
          <w:szCs w:val="24"/>
        </w:rPr>
        <w:t>t</w:t>
      </w:r>
      <w:r w:rsidR="005A13BC">
        <w:rPr>
          <w:rFonts w:ascii="Arial" w:hAnsi="Arial" w:cs="Arial"/>
          <w:color w:val="000000" w:themeColor="text1"/>
          <w:sz w:val="24"/>
          <w:szCs w:val="24"/>
        </w:rPr>
        <w:t xml:space="preserve">o the </w:t>
      </w:r>
      <w:r w:rsidR="005C2022">
        <w:rPr>
          <w:rFonts w:ascii="Arial" w:hAnsi="Arial" w:cs="Arial"/>
          <w:color w:val="000000" w:themeColor="text1"/>
          <w:sz w:val="24"/>
          <w:szCs w:val="24"/>
        </w:rPr>
        <w:t>Tender Board</w:t>
      </w:r>
      <w:r w:rsidR="00964429">
        <w:rPr>
          <w:rFonts w:ascii="Arial" w:hAnsi="Arial" w:cs="Arial"/>
          <w:color w:val="000000" w:themeColor="text1"/>
          <w:sz w:val="24"/>
          <w:szCs w:val="24"/>
        </w:rPr>
        <w:t xml:space="preserve"> by a member of the appellant</w:t>
      </w:r>
      <w:r w:rsidR="005C2022">
        <w:rPr>
          <w:rFonts w:ascii="Arial" w:hAnsi="Arial" w:cs="Arial"/>
          <w:color w:val="000000" w:themeColor="text1"/>
          <w:sz w:val="24"/>
          <w:szCs w:val="24"/>
        </w:rPr>
        <w:t xml:space="preserve"> in which </w:t>
      </w:r>
      <w:r w:rsidR="00964429">
        <w:rPr>
          <w:rFonts w:ascii="Arial" w:hAnsi="Arial" w:cs="Arial"/>
          <w:color w:val="000000" w:themeColor="text1"/>
          <w:sz w:val="24"/>
          <w:szCs w:val="24"/>
        </w:rPr>
        <w:t>i</w:t>
      </w:r>
      <w:r w:rsidR="005C2022">
        <w:rPr>
          <w:rFonts w:ascii="Arial" w:hAnsi="Arial" w:cs="Arial"/>
          <w:color w:val="000000" w:themeColor="text1"/>
          <w:sz w:val="24"/>
          <w:szCs w:val="24"/>
        </w:rPr>
        <w:t>t</w:t>
      </w:r>
      <w:r w:rsidR="00964429">
        <w:rPr>
          <w:rFonts w:ascii="Arial" w:hAnsi="Arial" w:cs="Arial"/>
          <w:color w:val="000000" w:themeColor="text1"/>
          <w:sz w:val="24"/>
          <w:szCs w:val="24"/>
        </w:rPr>
        <w:t xml:space="preserve"> was </w:t>
      </w:r>
      <w:r w:rsidR="005C2022">
        <w:rPr>
          <w:rFonts w:ascii="Arial" w:hAnsi="Arial" w:cs="Arial"/>
          <w:color w:val="000000" w:themeColor="text1"/>
          <w:sz w:val="24"/>
          <w:szCs w:val="24"/>
        </w:rPr>
        <w:t>state</w:t>
      </w:r>
      <w:r w:rsidR="00964429">
        <w:rPr>
          <w:rFonts w:ascii="Arial" w:hAnsi="Arial" w:cs="Arial"/>
          <w:color w:val="000000" w:themeColor="text1"/>
          <w:sz w:val="24"/>
          <w:szCs w:val="24"/>
        </w:rPr>
        <w:t>d</w:t>
      </w:r>
      <w:r w:rsidR="005C2022">
        <w:rPr>
          <w:rFonts w:ascii="Arial" w:hAnsi="Arial" w:cs="Arial"/>
          <w:color w:val="000000" w:themeColor="text1"/>
          <w:sz w:val="24"/>
          <w:szCs w:val="24"/>
        </w:rPr>
        <w:t xml:space="preserve"> that </w:t>
      </w:r>
      <w:r w:rsidR="00793408">
        <w:rPr>
          <w:rFonts w:ascii="Arial" w:hAnsi="Arial" w:cs="Arial"/>
          <w:color w:val="000000" w:themeColor="text1"/>
          <w:sz w:val="24"/>
          <w:szCs w:val="24"/>
        </w:rPr>
        <w:t>‘</w:t>
      </w:r>
      <w:r w:rsidR="00625CCE">
        <w:rPr>
          <w:rFonts w:ascii="Arial" w:hAnsi="Arial" w:cs="Arial"/>
          <w:color w:val="000000" w:themeColor="text1"/>
          <w:sz w:val="24"/>
          <w:szCs w:val="24"/>
        </w:rPr>
        <w:t>[</w:t>
      </w:r>
      <w:r w:rsidR="00CE31FB">
        <w:rPr>
          <w:rFonts w:ascii="Arial" w:hAnsi="Arial" w:cs="Arial"/>
          <w:color w:val="000000" w:themeColor="text1"/>
          <w:sz w:val="24"/>
          <w:szCs w:val="24"/>
        </w:rPr>
        <w:t>t</w:t>
      </w:r>
      <w:r w:rsidR="00625CCE">
        <w:rPr>
          <w:rFonts w:ascii="Arial" w:hAnsi="Arial" w:cs="Arial"/>
          <w:color w:val="000000" w:themeColor="text1"/>
          <w:sz w:val="24"/>
          <w:szCs w:val="24"/>
        </w:rPr>
        <w:t>]</w:t>
      </w:r>
      <w:r w:rsidR="005A13BC">
        <w:rPr>
          <w:rFonts w:ascii="Arial" w:hAnsi="Arial" w:cs="Arial"/>
          <w:color w:val="000000" w:themeColor="text1"/>
          <w:sz w:val="24"/>
          <w:szCs w:val="24"/>
        </w:rPr>
        <w:t xml:space="preserve">he Tender Board has not pronounced themselves </w:t>
      </w:r>
      <w:r w:rsidR="005C2022">
        <w:rPr>
          <w:rFonts w:ascii="Arial" w:hAnsi="Arial" w:cs="Arial"/>
          <w:color w:val="000000" w:themeColor="text1"/>
          <w:sz w:val="24"/>
          <w:szCs w:val="24"/>
        </w:rPr>
        <w:t>(</w:t>
      </w:r>
      <w:r w:rsidR="005C2022" w:rsidRPr="005A13BC">
        <w:rPr>
          <w:rFonts w:ascii="Arial" w:hAnsi="Arial" w:cs="Arial"/>
          <w:i/>
          <w:color w:val="000000" w:themeColor="text1"/>
          <w:sz w:val="24"/>
          <w:szCs w:val="24"/>
        </w:rPr>
        <w:t>sic</w:t>
      </w:r>
      <w:r w:rsidR="005C2022">
        <w:rPr>
          <w:rFonts w:ascii="Arial" w:hAnsi="Arial" w:cs="Arial"/>
          <w:color w:val="000000" w:themeColor="text1"/>
          <w:sz w:val="24"/>
          <w:szCs w:val="24"/>
        </w:rPr>
        <w:t xml:space="preserve">) </w:t>
      </w:r>
      <w:r w:rsidR="005A13BC">
        <w:rPr>
          <w:rFonts w:ascii="Arial" w:hAnsi="Arial" w:cs="Arial"/>
          <w:color w:val="000000" w:themeColor="text1"/>
          <w:sz w:val="24"/>
          <w:szCs w:val="24"/>
        </w:rPr>
        <w:t>on the pricing and term of contract, when granting this tender to us, or inviting us to make presentation on the pricing and term.</w:t>
      </w:r>
      <w:r w:rsidR="00793408">
        <w:rPr>
          <w:rFonts w:ascii="Arial" w:hAnsi="Arial" w:cs="Arial"/>
          <w:color w:val="000000" w:themeColor="text1"/>
          <w:sz w:val="24"/>
          <w:szCs w:val="24"/>
        </w:rPr>
        <w:t>’</w:t>
      </w:r>
      <w:r w:rsidR="005A13BC">
        <w:rPr>
          <w:rFonts w:ascii="Arial" w:hAnsi="Arial" w:cs="Arial"/>
          <w:color w:val="000000" w:themeColor="text1"/>
          <w:sz w:val="24"/>
          <w:szCs w:val="24"/>
        </w:rPr>
        <w:t xml:space="preserve"> </w:t>
      </w:r>
    </w:p>
    <w:p w:rsidR="005C2022" w:rsidRDefault="005C2022" w:rsidP="00B90190">
      <w:pPr>
        <w:spacing w:after="0" w:line="480" w:lineRule="auto"/>
        <w:jc w:val="both"/>
        <w:rPr>
          <w:rFonts w:ascii="Arial" w:hAnsi="Arial" w:cs="Arial"/>
          <w:color w:val="000000" w:themeColor="text1"/>
          <w:sz w:val="24"/>
          <w:szCs w:val="24"/>
        </w:rPr>
      </w:pPr>
    </w:p>
    <w:p w:rsidR="005C2022" w:rsidRDefault="00F83437" w:rsidP="00B90190">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[5</w:t>
      </w:r>
      <w:r w:rsidR="00114C6F">
        <w:rPr>
          <w:rFonts w:ascii="Arial" w:hAnsi="Arial" w:cs="Arial"/>
          <w:color w:val="000000" w:themeColor="text1"/>
          <w:sz w:val="24"/>
          <w:szCs w:val="24"/>
        </w:rPr>
        <w:t>1</w:t>
      </w:r>
      <w:r w:rsidR="005C2022">
        <w:rPr>
          <w:rFonts w:ascii="Arial" w:hAnsi="Arial" w:cs="Arial"/>
          <w:color w:val="000000" w:themeColor="text1"/>
          <w:sz w:val="24"/>
          <w:szCs w:val="24"/>
        </w:rPr>
        <w:t>]</w:t>
      </w:r>
      <w:r w:rsidR="005C2022">
        <w:rPr>
          <w:rFonts w:ascii="Arial" w:hAnsi="Arial" w:cs="Arial"/>
          <w:color w:val="000000" w:themeColor="text1"/>
          <w:sz w:val="24"/>
          <w:szCs w:val="24"/>
        </w:rPr>
        <w:tab/>
      </w:r>
      <w:r w:rsidR="005C2022" w:rsidRPr="00596C28">
        <w:rPr>
          <w:rFonts w:ascii="Arial" w:hAnsi="Arial" w:cs="Arial"/>
          <w:color w:val="000000" w:themeColor="text1"/>
          <w:sz w:val="24"/>
          <w:szCs w:val="24"/>
        </w:rPr>
        <w:t xml:space="preserve">Unlike in the </w:t>
      </w:r>
      <w:r w:rsidR="005C2022" w:rsidRPr="00596C28">
        <w:rPr>
          <w:rFonts w:ascii="Arial" w:hAnsi="Arial" w:cs="Arial"/>
          <w:i/>
          <w:color w:val="000000" w:themeColor="text1"/>
          <w:sz w:val="24"/>
          <w:szCs w:val="24"/>
        </w:rPr>
        <w:t>McWilliams</w:t>
      </w:r>
      <w:r w:rsidR="005C2022" w:rsidRPr="00596C28">
        <w:rPr>
          <w:rFonts w:ascii="Arial" w:hAnsi="Arial" w:cs="Arial"/>
          <w:color w:val="000000" w:themeColor="text1"/>
          <w:sz w:val="24"/>
          <w:szCs w:val="24"/>
        </w:rPr>
        <w:t xml:space="preserve"> matter, the appellant in this case does not communicate in the clearest terms that </w:t>
      </w:r>
      <w:r w:rsidR="005C2022">
        <w:rPr>
          <w:rFonts w:ascii="Arial" w:hAnsi="Arial" w:cs="Arial"/>
          <w:color w:val="000000" w:themeColor="text1"/>
          <w:sz w:val="24"/>
          <w:szCs w:val="24"/>
        </w:rPr>
        <w:t xml:space="preserve">the tender awarded to it is </w:t>
      </w:r>
      <w:r w:rsidR="005C2022" w:rsidRPr="00596C28">
        <w:rPr>
          <w:rFonts w:ascii="Arial" w:hAnsi="Arial" w:cs="Arial"/>
          <w:color w:val="000000" w:themeColor="text1"/>
          <w:sz w:val="24"/>
          <w:szCs w:val="24"/>
        </w:rPr>
        <w:t xml:space="preserve">up to </w:t>
      </w:r>
      <w:r w:rsidR="005C2022">
        <w:rPr>
          <w:rFonts w:ascii="Arial" w:hAnsi="Arial" w:cs="Arial"/>
          <w:color w:val="000000" w:themeColor="text1"/>
          <w:sz w:val="24"/>
          <w:szCs w:val="24"/>
        </w:rPr>
        <w:t xml:space="preserve">January </w:t>
      </w:r>
      <w:r w:rsidR="005C2022" w:rsidRPr="00596C28">
        <w:rPr>
          <w:rFonts w:ascii="Arial" w:hAnsi="Arial" w:cs="Arial"/>
          <w:color w:val="000000" w:themeColor="text1"/>
          <w:sz w:val="24"/>
          <w:szCs w:val="24"/>
        </w:rPr>
        <w:t xml:space="preserve">2019. </w:t>
      </w:r>
      <w:r w:rsidR="005C2022">
        <w:rPr>
          <w:rFonts w:ascii="Arial" w:hAnsi="Arial" w:cs="Arial"/>
          <w:color w:val="000000" w:themeColor="text1"/>
          <w:sz w:val="24"/>
          <w:szCs w:val="24"/>
        </w:rPr>
        <w:t xml:space="preserve">At best, what the appellant is communicating is </w:t>
      </w:r>
      <w:r w:rsidR="005A13BC">
        <w:rPr>
          <w:rFonts w:ascii="Arial" w:hAnsi="Arial" w:cs="Arial"/>
          <w:color w:val="000000" w:themeColor="text1"/>
          <w:sz w:val="24"/>
          <w:szCs w:val="24"/>
        </w:rPr>
        <w:t xml:space="preserve">its understanding </w:t>
      </w:r>
      <w:r w:rsidR="005C2022">
        <w:rPr>
          <w:rFonts w:ascii="Arial" w:hAnsi="Arial" w:cs="Arial"/>
          <w:color w:val="000000" w:themeColor="text1"/>
          <w:sz w:val="24"/>
          <w:szCs w:val="24"/>
        </w:rPr>
        <w:t>that the tender awarded to it is for a period of five years not that the tender r</w:t>
      </w:r>
      <w:r w:rsidR="00233F43">
        <w:rPr>
          <w:rFonts w:ascii="Arial" w:hAnsi="Arial" w:cs="Arial"/>
          <w:color w:val="000000" w:themeColor="text1"/>
          <w:sz w:val="24"/>
          <w:szCs w:val="24"/>
        </w:rPr>
        <w:t>a</w:t>
      </w:r>
      <w:r w:rsidR="005C2022">
        <w:rPr>
          <w:rFonts w:ascii="Arial" w:hAnsi="Arial" w:cs="Arial"/>
          <w:color w:val="000000" w:themeColor="text1"/>
          <w:sz w:val="24"/>
          <w:szCs w:val="24"/>
        </w:rPr>
        <w:t xml:space="preserve">n for five years to January 2019. </w:t>
      </w:r>
      <w:r w:rsidR="00233F43">
        <w:rPr>
          <w:rFonts w:ascii="Arial" w:hAnsi="Arial" w:cs="Arial"/>
          <w:color w:val="000000" w:themeColor="text1"/>
          <w:sz w:val="24"/>
          <w:szCs w:val="24"/>
        </w:rPr>
        <w:t xml:space="preserve">This coupled with its </w:t>
      </w:r>
      <w:r w:rsidR="005D2D30">
        <w:rPr>
          <w:rFonts w:ascii="Arial" w:hAnsi="Arial" w:cs="Arial"/>
          <w:color w:val="000000" w:themeColor="text1"/>
          <w:sz w:val="24"/>
          <w:szCs w:val="24"/>
        </w:rPr>
        <w:t xml:space="preserve">apparent </w:t>
      </w:r>
      <w:r w:rsidR="00233F43">
        <w:rPr>
          <w:rFonts w:ascii="Arial" w:hAnsi="Arial" w:cs="Arial"/>
          <w:color w:val="000000" w:themeColor="text1"/>
          <w:sz w:val="24"/>
          <w:szCs w:val="24"/>
        </w:rPr>
        <w:t xml:space="preserve">acceptance </w:t>
      </w:r>
      <w:r w:rsidR="00C348DA">
        <w:rPr>
          <w:rFonts w:ascii="Arial" w:hAnsi="Arial" w:cs="Arial"/>
          <w:color w:val="000000" w:themeColor="text1"/>
          <w:sz w:val="24"/>
          <w:szCs w:val="24"/>
        </w:rPr>
        <w:t xml:space="preserve">at the very least </w:t>
      </w:r>
      <w:r w:rsidR="00233F43">
        <w:rPr>
          <w:rFonts w:ascii="Arial" w:hAnsi="Arial" w:cs="Arial"/>
          <w:color w:val="000000" w:themeColor="text1"/>
          <w:sz w:val="24"/>
          <w:szCs w:val="24"/>
        </w:rPr>
        <w:t xml:space="preserve">in </w:t>
      </w:r>
      <w:r w:rsidR="00C348DA">
        <w:rPr>
          <w:rFonts w:ascii="Arial" w:hAnsi="Arial" w:cs="Arial"/>
          <w:color w:val="000000" w:themeColor="text1"/>
          <w:sz w:val="24"/>
          <w:szCs w:val="24"/>
        </w:rPr>
        <w:t xml:space="preserve">its </w:t>
      </w:r>
      <w:r w:rsidR="00233F43">
        <w:rPr>
          <w:rFonts w:ascii="Arial" w:hAnsi="Arial" w:cs="Arial"/>
          <w:color w:val="000000" w:themeColor="text1"/>
          <w:sz w:val="24"/>
          <w:szCs w:val="24"/>
        </w:rPr>
        <w:t xml:space="preserve">letter of </w:t>
      </w:r>
      <w:r w:rsidR="005D2D30">
        <w:rPr>
          <w:rFonts w:ascii="Arial" w:hAnsi="Arial" w:cs="Arial"/>
          <w:color w:val="000000" w:themeColor="text1"/>
          <w:sz w:val="24"/>
          <w:szCs w:val="24"/>
        </w:rPr>
        <w:t>22 August 2013</w:t>
      </w:r>
      <w:r w:rsidR="00233F43">
        <w:rPr>
          <w:rFonts w:ascii="Arial" w:hAnsi="Arial" w:cs="Arial"/>
          <w:color w:val="000000" w:themeColor="text1"/>
          <w:sz w:val="24"/>
          <w:szCs w:val="24"/>
        </w:rPr>
        <w:t xml:space="preserve"> that </w:t>
      </w:r>
      <w:r w:rsidR="005D2D30">
        <w:rPr>
          <w:rFonts w:ascii="Arial" w:hAnsi="Arial" w:cs="Arial"/>
          <w:color w:val="000000" w:themeColor="text1"/>
          <w:sz w:val="24"/>
          <w:szCs w:val="24"/>
        </w:rPr>
        <w:t xml:space="preserve">the tender expires on 31 March 2014, </w:t>
      </w:r>
      <w:r w:rsidR="005C2022" w:rsidRPr="00035314">
        <w:rPr>
          <w:rFonts w:ascii="Arial" w:hAnsi="Arial" w:cs="Arial"/>
          <w:color w:val="000000" w:themeColor="text1"/>
          <w:sz w:val="24"/>
          <w:szCs w:val="24"/>
        </w:rPr>
        <w:t xml:space="preserve">I am </w:t>
      </w:r>
      <w:r w:rsidR="005C2022">
        <w:rPr>
          <w:rFonts w:ascii="Arial" w:hAnsi="Arial" w:cs="Arial"/>
          <w:color w:val="000000" w:themeColor="text1"/>
          <w:sz w:val="24"/>
          <w:szCs w:val="24"/>
        </w:rPr>
        <w:t xml:space="preserve">not </w:t>
      </w:r>
      <w:r w:rsidR="005D2D30">
        <w:rPr>
          <w:rFonts w:ascii="Arial" w:hAnsi="Arial" w:cs="Arial"/>
          <w:color w:val="000000" w:themeColor="text1"/>
          <w:sz w:val="24"/>
          <w:szCs w:val="24"/>
        </w:rPr>
        <w:t xml:space="preserve">persuaded </w:t>
      </w:r>
      <w:r w:rsidR="00233F43">
        <w:rPr>
          <w:rFonts w:ascii="Arial" w:hAnsi="Arial" w:cs="Arial"/>
          <w:color w:val="000000" w:themeColor="text1"/>
          <w:sz w:val="24"/>
          <w:szCs w:val="24"/>
        </w:rPr>
        <w:t xml:space="preserve">that </w:t>
      </w:r>
      <w:r w:rsidR="005C2022">
        <w:rPr>
          <w:rFonts w:ascii="Arial" w:hAnsi="Arial" w:cs="Arial"/>
          <w:color w:val="000000" w:themeColor="text1"/>
          <w:sz w:val="24"/>
          <w:szCs w:val="24"/>
        </w:rPr>
        <w:t xml:space="preserve">an adverse inference </w:t>
      </w:r>
      <w:r w:rsidR="005D2D30">
        <w:rPr>
          <w:rFonts w:ascii="Arial" w:hAnsi="Arial" w:cs="Arial"/>
          <w:color w:val="000000" w:themeColor="text1"/>
          <w:sz w:val="24"/>
          <w:szCs w:val="24"/>
        </w:rPr>
        <w:t xml:space="preserve">should be </w:t>
      </w:r>
      <w:r w:rsidR="005C2022">
        <w:rPr>
          <w:rFonts w:ascii="Arial" w:hAnsi="Arial" w:cs="Arial"/>
          <w:color w:val="000000" w:themeColor="text1"/>
          <w:sz w:val="24"/>
          <w:szCs w:val="24"/>
        </w:rPr>
        <w:t>made against the respondents</w:t>
      </w:r>
      <w:r w:rsidR="005D2D30">
        <w:rPr>
          <w:rFonts w:ascii="Arial" w:hAnsi="Arial" w:cs="Arial"/>
          <w:color w:val="000000" w:themeColor="text1"/>
          <w:sz w:val="24"/>
          <w:szCs w:val="24"/>
        </w:rPr>
        <w:t xml:space="preserve"> on this score</w:t>
      </w:r>
      <w:r w:rsidR="005C2022">
        <w:rPr>
          <w:rFonts w:ascii="Arial" w:hAnsi="Arial" w:cs="Arial"/>
          <w:color w:val="000000" w:themeColor="text1"/>
          <w:sz w:val="24"/>
          <w:szCs w:val="24"/>
        </w:rPr>
        <w:t xml:space="preserve">. </w:t>
      </w:r>
      <w:r w:rsidR="008A5F5D">
        <w:rPr>
          <w:rFonts w:ascii="Arial" w:hAnsi="Arial" w:cs="Arial"/>
          <w:color w:val="000000" w:themeColor="text1"/>
          <w:sz w:val="24"/>
          <w:szCs w:val="24"/>
        </w:rPr>
        <w:t>It must further be noted on the authorities cited above</w:t>
      </w:r>
      <w:r w:rsidR="00233F43">
        <w:rPr>
          <w:rFonts w:ascii="Arial" w:hAnsi="Arial" w:cs="Arial"/>
          <w:color w:val="000000" w:themeColor="text1"/>
          <w:sz w:val="24"/>
          <w:szCs w:val="24"/>
        </w:rPr>
        <w:t xml:space="preserve"> that </w:t>
      </w:r>
      <w:r w:rsidR="008A5F5D">
        <w:rPr>
          <w:rFonts w:ascii="Arial" w:hAnsi="Arial" w:cs="Arial"/>
          <w:color w:val="000000" w:themeColor="text1"/>
          <w:sz w:val="24"/>
          <w:szCs w:val="24"/>
        </w:rPr>
        <w:t xml:space="preserve">an adverse inference cannot also be made against </w:t>
      </w:r>
      <w:r w:rsidR="00206A3C">
        <w:rPr>
          <w:rFonts w:ascii="Arial" w:hAnsi="Arial" w:cs="Arial"/>
          <w:color w:val="000000" w:themeColor="text1"/>
          <w:sz w:val="24"/>
          <w:szCs w:val="24"/>
        </w:rPr>
        <w:t>the respondents</w:t>
      </w:r>
      <w:r w:rsidR="008A5F5D">
        <w:rPr>
          <w:rFonts w:ascii="Arial" w:hAnsi="Arial" w:cs="Arial"/>
          <w:color w:val="000000" w:themeColor="text1"/>
          <w:sz w:val="24"/>
          <w:szCs w:val="24"/>
        </w:rPr>
        <w:t xml:space="preserve"> </w:t>
      </w:r>
      <w:r w:rsidR="00206A3C">
        <w:rPr>
          <w:rFonts w:ascii="Arial" w:hAnsi="Arial" w:cs="Arial"/>
          <w:color w:val="000000" w:themeColor="text1"/>
          <w:sz w:val="24"/>
          <w:szCs w:val="24"/>
        </w:rPr>
        <w:t>in the absence of a</w:t>
      </w:r>
      <w:r w:rsidR="008A5F5D">
        <w:rPr>
          <w:rFonts w:ascii="Arial" w:hAnsi="Arial" w:cs="Arial"/>
          <w:color w:val="000000" w:themeColor="text1"/>
          <w:sz w:val="24"/>
          <w:szCs w:val="24"/>
        </w:rPr>
        <w:t xml:space="preserve"> representation either </w:t>
      </w:r>
      <w:r w:rsidR="00206A3C">
        <w:rPr>
          <w:rFonts w:ascii="Arial" w:hAnsi="Arial" w:cs="Arial"/>
          <w:color w:val="000000" w:themeColor="text1"/>
          <w:sz w:val="24"/>
          <w:szCs w:val="24"/>
        </w:rPr>
        <w:t xml:space="preserve">by </w:t>
      </w:r>
      <w:r w:rsidR="00233F43">
        <w:rPr>
          <w:rFonts w:ascii="Arial" w:hAnsi="Arial" w:cs="Arial"/>
          <w:color w:val="000000" w:themeColor="text1"/>
          <w:sz w:val="24"/>
          <w:szCs w:val="24"/>
        </w:rPr>
        <w:t xml:space="preserve">word </w:t>
      </w:r>
      <w:r w:rsidR="00206A3C">
        <w:rPr>
          <w:rFonts w:ascii="Arial" w:hAnsi="Arial" w:cs="Arial"/>
          <w:color w:val="000000" w:themeColor="text1"/>
          <w:sz w:val="24"/>
          <w:szCs w:val="24"/>
        </w:rPr>
        <w:t xml:space="preserve">or conduct that the term of the contract will be negotiated by the parties. </w:t>
      </w:r>
      <w:r w:rsidR="00B272C3">
        <w:rPr>
          <w:rFonts w:ascii="Arial" w:hAnsi="Arial" w:cs="Arial"/>
          <w:color w:val="000000" w:themeColor="text1"/>
          <w:sz w:val="24"/>
          <w:szCs w:val="24"/>
        </w:rPr>
        <w:t>In the result th</w:t>
      </w:r>
      <w:r w:rsidR="00233F43">
        <w:rPr>
          <w:rFonts w:ascii="Arial" w:hAnsi="Arial" w:cs="Arial"/>
          <w:color w:val="000000" w:themeColor="text1"/>
          <w:sz w:val="24"/>
          <w:szCs w:val="24"/>
        </w:rPr>
        <w:t xml:space="preserve">e argument based on </w:t>
      </w:r>
      <w:r w:rsidR="005D2D30">
        <w:rPr>
          <w:rFonts w:ascii="Arial" w:hAnsi="Arial" w:cs="Arial"/>
          <w:color w:val="000000" w:themeColor="text1"/>
          <w:sz w:val="24"/>
          <w:szCs w:val="24"/>
        </w:rPr>
        <w:t xml:space="preserve">the failure to react to the appellant’s assumption of the term of the tender </w:t>
      </w:r>
      <w:r w:rsidR="00B272C3">
        <w:rPr>
          <w:rFonts w:ascii="Arial" w:hAnsi="Arial" w:cs="Arial"/>
          <w:color w:val="000000" w:themeColor="text1"/>
          <w:sz w:val="24"/>
          <w:szCs w:val="24"/>
        </w:rPr>
        <w:t>also fails.</w:t>
      </w:r>
    </w:p>
    <w:p w:rsidR="009132F5" w:rsidRDefault="009132F5" w:rsidP="00B90190">
      <w:pPr>
        <w:spacing w:after="0" w:line="480" w:lineRule="auto"/>
        <w:jc w:val="both"/>
        <w:rPr>
          <w:rFonts w:ascii="Arial" w:hAnsi="Arial" w:cs="Arial"/>
          <w:color w:val="000000" w:themeColor="text1"/>
          <w:sz w:val="24"/>
          <w:szCs w:val="24"/>
        </w:rPr>
      </w:pPr>
    </w:p>
    <w:p w:rsidR="005C2022" w:rsidRDefault="005D2D30" w:rsidP="00B90190">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[5</w:t>
      </w:r>
      <w:r w:rsidR="00114C6F">
        <w:rPr>
          <w:rFonts w:ascii="Arial" w:hAnsi="Arial" w:cs="Arial"/>
          <w:color w:val="000000" w:themeColor="text1"/>
          <w:sz w:val="24"/>
          <w:szCs w:val="24"/>
        </w:rPr>
        <w:t>2</w:t>
      </w:r>
      <w:r w:rsidR="005C2022">
        <w:rPr>
          <w:rFonts w:ascii="Arial" w:hAnsi="Arial" w:cs="Arial"/>
          <w:color w:val="000000" w:themeColor="text1"/>
          <w:sz w:val="24"/>
          <w:szCs w:val="24"/>
        </w:rPr>
        <w:t>]</w:t>
      </w:r>
      <w:r w:rsidR="005C2022">
        <w:rPr>
          <w:rFonts w:ascii="Arial" w:hAnsi="Arial" w:cs="Arial"/>
          <w:color w:val="000000" w:themeColor="text1"/>
          <w:sz w:val="24"/>
          <w:szCs w:val="24"/>
        </w:rPr>
        <w:tab/>
      </w:r>
      <w:r>
        <w:rPr>
          <w:rFonts w:ascii="Arial" w:hAnsi="Arial" w:cs="Arial"/>
          <w:color w:val="000000" w:themeColor="text1"/>
          <w:sz w:val="24"/>
          <w:szCs w:val="24"/>
        </w:rPr>
        <w:t>T</w:t>
      </w:r>
      <w:r w:rsidR="005C2022">
        <w:rPr>
          <w:rFonts w:ascii="Arial" w:hAnsi="Arial" w:cs="Arial"/>
          <w:color w:val="000000" w:themeColor="text1"/>
          <w:sz w:val="24"/>
          <w:szCs w:val="24"/>
        </w:rPr>
        <w:t xml:space="preserve">he court was informed </w:t>
      </w:r>
      <w:r>
        <w:rPr>
          <w:rFonts w:ascii="Arial" w:hAnsi="Arial" w:cs="Arial"/>
          <w:color w:val="000000" w:themeColor="text1"/>
          <w:sz w:val="24"/>
          <w:szCs w:val="24"/>
        </w:rPr>
        <w:t xml:space="preserve">from the Bar </w:t>
      </w:r>
      <w:r w:rsidR="005C2022">
        <w:rPr>
          <w:rFonts w:ascii="Arial" w:hAnsi="Arial" w:cs="Arial"/>
          <w:color w:val="000000" w:themeColor="text1"/>
          <w:sz w:val="24"/>
          <w:szCs w:val="24"/>
        </w:rPr>
        <w:t xml:space="preserve">that at present the appellant is rendering </w:t>
      </w:r>
      <w:r>
        <w:rPr>
          <w:rFonts w:ascii="Arial" w:hAnsi="Arial" w:cs="Arial"/>
          <w:color w:val="000000" w:themeColor="text1"/>
          <w:sz w:val="24"/>
          <w:szCs w:val="24"/>
        </w:rPr>
        <w:t xml:space="preserve">catering </w:t>
      </w:r>
      <w:r w:rsidR="005C2022">
        <w:rPr>
          <w:rFonts w:ascii="Arial" w:hAnsi="Arial" w:cs="Arial"/>
          <w:color w:val="000000" w:themeColor="text1"/>
          <w:sz w:val="24"/>
          <w:szCs w:val="24"/>
        </w:rPr>
        <w:t xml:space="preserve">services </w:t>
      </w:r>
      <w:r>
        <w:rPr>
          <w:rFonts w:ascii="Arial" w:hAnsi="Arial" w:cs="Arial"/>
          <w:color w:val="000000" w:themeColor="text1"/>
          <w:sz w:val="24"/>
          <w:szCs w:val="24"/>
        </w:rPr>
        <w:t xml:space="preserve">to </w:t>
      </w:r>
      <w:r w:rsidR="00964429">
        <w:rPr>
          <w:rFonts w:ascii="Arial" w:hAnsi="Arial" w:cs="Arial"/>
          <w:color w:val="000000" w:themeColor="text1"/>
          <w:sz w:val="24"/>
          <w:szCs w:val="24"/>
        </w:rPr>
        <w:t xml:space="preserve">the Ohangwena/Oshikoto </w:t>
      </w:r>
      <w:r w:rsidR="0099735D">
        <w:rPr>
          <w:rFonts w:ascii="Arial" w:hAnsi="Arial" w:cs="Arial"/>
          <w:color w:val="000000" w:themeColor="text1"/>
          <w:sz w:val="24"/>
          <w:szCs w:val="24"/>
        </w:rPr>
        <w:t>e</w:t>
      </w:r>
      <w:r w:rsidR="00964429">
        <w:rPr>
          <w:rFonts w:ascii="Arial" w:hAnsi="Arial" w:cs="Arial"/>
          <w:color w:val="000000" w:themeColor="text1"/>
          <w:sz w:val="24"/>
          <w:szCs w:val="24"/>
        </w:rPr>
        <w:t xml:space="preserve">ducational </w:t>
      </w:r>
      <w:r w:rsidR="0099735D">
        <w:rPr>
          <w:rFonts w:ascii="Arial" w:hAnsi="Arial" w:cs="Arial"/>
          <w:color w:val="000000" w:themeColor="text1"/>
          <w:sz w:val="24"/>
          <w:szCs w:val="24"/>
        </w:rPr>
        <w:t>r</w:t>
      </w:r>
      <w:r w:rsidR="00964429">
        <w:rPr>
          <w:rFonts w:ascii="Arial" w:hAnsi="Arial" w:cs="Arial"/>
          <w:color w:val="000000" w:themeColor="text1"/>
          <w:sz w:val="24"/>
          <w:szCs w:val="24"/>
        </w:rPr>
        <w:t xml:space="preserve">egion </w:t>
      </w:r>
      <w:r w:rsidR="005C2022">
        <w:rPr>
          <w:rFonts w:ascii="Arial" w:hAnsi="Arial" w:cs="Arial"/>
          <w:color w:val="000000" w:themeColor="text1"/>
          <w:sz w:val="24"/>
          <w:szCs w:val="24"/>
        </w:rPr>
        <w:t xml:space="preserve">pursuant to a temporary interdict obtained in the earlier application before the </w:t>
      </w:r>
      <w:r w:rsidR="00964429">
        <w:rPr>
          <w:rFonts w:ascii="Arial" w:hAnsi="Arial" w:cs="Arial"/>
          <w:color w:val="000000" w:themeColor="text1"/>
          <w:sz w:val="24"/>
          <w:szCs w:val="24"/>
        </w:rPr>
        <w:t>High C</w:t>
      </w:r>
      <w:r w:rsidR="005C2022">
        <w:rPr>
          <w:rFonts w:ascii="Arial" w:hAnsi="Arial" w:cs="Arial"/>
          <w:color w:val="000000" w:themeColor="text1"/>
          <w:sz w:val="24"/>
          <w:szCs w:val="24"/>
        </w:rPr>
        <w:t xml:space="preserve">ourt. The court </w:t>
      </w:r>
      <w:r w:rsidR="00794028">
        <w:rPr>
          <w:rFonts w:ascii="Arial" w:hAnsi="Arial" w:cs="Arial"/>
          <w:color w:val="000000" w:themeColor="text1"/>
          <w:sz w:val="24"/>
          <w:szCs w:val="24"/>
        </w:rPr>
        <w:t xml:space="preserve">then </w:t>
      </w:r>
      <w:r w:rsidR="005C2022">
        <w:rPr>
          <w:rFonts w:ascii="Arial" w:hAnsi="Arial" w:cs="Arial"/>
          <w:color w:val="000000" w:themeColor="text1"/>
          <w:sz w:val="24"/>
          <w:szCs w:val="24"/>
        </w:rPr>
        <w:t xml:space="preserve">enquired from the parties what </w:t>
      </w:r>
      <w:r w:rsidR="00964429">
        <w:rPr>
          <w:rFonts w:ascii="Arial" w:hAnsi="Arial" w:cs="Arial"/>
          <w:color w:val="000000" w:themeColor="text1"/>
          <w:sz w:val="24"/>
          <w:szCs w:val="24"/>
        </w:rPr>
        <w:t>effect the possible dismissal of the appeal woul</w:t>
      </w:r>
      <w:r w:rsidR="005C2022">
        <w:rPr>
          <w:rFonts w:ascii="Arial" w:hAnsi="Arial" w:cs="Arial"/>
          <w:color w:val="000000" w:themeColor="text1"/>
          <w:sz w:val="24"/>
          <w:szCs w:val="24"/>
        </w:rPr>
        <w:t xml:space="preserve">d </w:t>
      </w:r>
      <w:r w:rsidR="00964429">
        <w:rPr>
          <w:rFonts w:ascii="Arial" w:hAnsi="Arial" w:cs="Arial"/>
          <w:color w:val="000000" w:themeColor="text1"/>
          <w:sz w:val="24"/>
          <w:szCs w:val="24"/>
        </w:rPr>
        <w:t>have on the services now b</w:t>
      </w:r>
      <w:r w:rsidR="00CE31FB">
        <w:rPr>
          <w:rFonts w:ascii="Arial" w:hAnsi="Arial" w:cs="Arial"/>
          <w:color w:val="000000" w:themeColor="text1"/>
          <w:sz w:val="24"/>
          <w:szCs w:val="24"/>
        </w:rPr>
        <w:t>eing rendered by the appellant.</w:t>
      </w:r>
    </w:p>
    <w:p w:rsidR="0099735D" w:rsidRDefault="0099735D" w:rsidP="00CE31FB">
      <w:pPr>
        <w:spacing w:after="0" w:line="480" w:lineRule="auto"/>
        <w:jc w:val="both"/>
        <w:rPr>
          <w:rFonts w:ascii="Arial" w:hAnsi="Arial" w:cs="Arial"/>
          <w:color w:val="000000" w:themeColor="text1"/>
          <w:sz w:val="24"/>
          <w:szCs w:val="24"/>
        </w:rPr>
      </w:pPr>
    </w:p>
    <w:p w:rsidR="00272456" w:rsidRDefault="00114C6F" w:rsidP="00B90190">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[53</w:t>
      </w:r>
      <w:r w:rsidR="005C2022">
        <w:rPr>
          <w:rFonts w:ascii="Arial" w:hAnsi="Arial" w:cs="Arial"/>
          <w:color w:val="000000" w:themeColor="text1"/>
          <w:sz w:val="24"/>
          <w:szCs w:val="24"/>
        </w:rPr>
        <w:t>]</w:t>
      </w:r>
      <w:r w:rsidR="005C2022">
        <w:rPr>
          <w:rFonts w:ascii="Arial" w:hAnsi="Arial" w:cs="Arial"/>
          <w:color w:val="000000" w:themeColor="text1"/>
          <w:sz w:val="24"/>
          <w:szCs w:val="24"/>
        </w:rPr>
        <w:tab/>
      </w:r>
      <w:r w:rsidR="00272456">
        <w:rPr>
          <w:rFonts w:ascii="Arial" w:hAnsi="Arial" w:cs="Arial"/>
          <w:color w:val="000000" w:themeColor="text1"/>
          <w:sz w:val="24"/>
          <w:szCs w:val="24"/>
        </w:rPr>
        <w:t>Counsel for the appellant submitted that theoretical</w:t>
      </w:r>
      <w:r w:rsidR="00D02015">
        <w:rPr>
          <w:rFonts w:ascii="Arial" w:hAnsi="Arial" w:cs="Arial"/>
          <w:color w:val="000000" w:themeColor="text1"/>
          <w:sz w:val="24"/>
          <w:szCs w:val="24"/>
        </w:rPr>
        <w:t>ly</w:t>
      </w:r>
      <w:r w:rsidR="00272456">
        <w:rPr>
          <w:rFonts w:ascii="Arial" w:hAnsi="Arial" w:cs="Arial"/>
          <w:color w:val="000000" w:themeColor="text1"/>
          <w:sz w:val="24"/>
          <w:szCs w:val="24"/>
        </w:rPr>
        <w:t xml:space="preserve"> the respondents w</w:t>
      </w:r>
      <w:r w:rsidR="00964429">
        <w:rPr>
          <w:rFonts w:ascii="Arial" w:hAnsi="Arial" w:cs="Arial"/>
          <w:color w:val="000000" w:themeColor="text1"/>
          <w:sz w:val="24"/>
          <w:szCs w:val="24"/>
        </w:rPr>
        <w:t xml:space="preserve">ould </w:t>
      </w:r>
      <w:r w:rsidR="00272456">
        <w:rPr>
          <w:rFonts w:ascii="Arial" w:hAnsi="Arial" w:cs="Arial"/>
          <w:color w:val="000000" w:themeColor="text1"/>
          <w:sz w:val="24"/>
          <w:szCs w:val="24"/>
        </w:rPr>
        <w:t xml:space="preserve">demand that the appellant vacate the premises and stop the services immediately because </w:t>
      </w:r>
      <w:r w:rsidR="00715932">
        <w:rPr>
          <w:rFonts w:ascii="Arial" w:hAnsi="Arial" w:cs="Arial"/>
          <w:color w:val="000000" w:themeColor="text1"/>
          <w:sz w:val="24"/>
          <w:szCs w:val="24"/>
        </w:rPr>
        <w:t>it w</w:t>
      </w:r>
      <w:r w:rsidR="00964429">
        <w:rPr>
          <w:rFonts w:ascii="Arial" w:hAnsi="Arial" w:cs="Arial"/>
          <w:color w:val="000000" w:themeColor="text1"/>
          <w:sz w:val="24"/>
          <w:szCs w:val="24"/>
        </w:rPr>
        <w:t xml:space="preserve">ould </w:t>
      </w:r>
      <w:r w:rsidR="00715932">
        <w:rPr>
          <w:rFonts w:ascii="Arial" w:hAnsi="Arial" w:cs="Arial"/>
          <w:color w:val="000000" w:themeColor="text1"/>
          <w:sz w:val="24"/>
          <w:szCs w:val="24"/>
        </w:rPr>
        <w:t xml:space="preserve">mean that </w:t>
      </w:r>
      <w:r w:rsidR="00272456">
        <w:rPr>
          <w:rFonts w:ascii="Arial" w:hAnsi="Arial" w:cs="Arial"/>
          <w:color w:val="000000" w:themeColor="text1"/>
          <w:sz w:val="24"/>
          <w:szCs w:val="24"/>
        </w:rPr>
        <w:t xml:space="preserve">the appellant </w:t>
      </w:r>
      <w:r w:rsidR="00D02015">
        <w:rPr>
          <w:rFonts w:ascii="Arial" w:hAnsi="Arial" w:cs="Arial"/>
          <w:color w:val="000000" w:themeColor="text1"/>
          <w:sz w:val="24"/>
          <w:szCs w:val="24"/>
        </w:rPr>
        <w:t xml:space="preserve">is not entitled </w:t>
      </w:r>
      <w:r w:rsidR="00715932">
        <w:rPr>
          <w:rFonts w:ascii="Arial" w:hAnsi="Arial" w:cs="Arial"/>
          <w:color w:val="000000" w:themeColor="text1"/>
          <w:sz w:val="24"/>
          <w:szCs w:val="24"/>
        </w:rPr>
        <w:t>to continue providing the service. The practical effect of such disruption is that the appellant w</w:t>
      </w:r>
      <w:r w:rsidR="00964429">
        <w:rPr>
          <w:rFonts w:ascii="Arial" w:hAnsi="Arial" w:cs="Arial"/>
          <w:color w:val="000000" w:themeColor="text1"/>
          <w:sz w:val="24"/>
          <w:szCs w:val="24"/>
        </w:rPr>
        <w:t xml:space="preserve">ould </w:t>
      </w:r>
      <w:r w:rsidR="00715932">
        <w:rPr>
          <w:rFonts w:ascii="Arial" w:hAnsi="Arial" w:cs="Arial"/>
          <w:color w:val="000000" w:themeColor="text1"/>
          <w:sz w:val="24"/>
          <w:szCs w:val="24"/>
        </w:rPr>
        <w:t>incur damages as it w</w:t>
      </w:r>
      <w:r w:rsidR="00964429">
        <w:rPr>
          <w:rFonts w:ascii="Arial" w:hAnsi="Arial" w:cs="Arial"/>
          <w:color w:val="000000" w:themeColor="text1"/>
          <w:sz w:val="24"/>
          <w:szCs w:val="24"/>
        </w:rPr>
        <w:t xml:space="preserve">ould </w:t>
      </w:r>
      <w:r w:rsidR="00067F52">
        <w:rPr>
          <w:rFonts w:ascii="Arial" w:hAnsi="Arial" w:cs="Arial"/>
          <w:color w:val="000000" w:themeColor="text1"/>
          <w:sz w:val="24"/>
          <w:szCs w:val="24"/>
        </w:rPr>
        <w:t xml:space="preserve">sit </w:t>
      </w:r>
      <w:r w:rsidR="00715932">
        <w:rPr>
          <w:rFonts w:ascii="Arial" w:hAnsi="Arial" w:cs="Arial"/>
          <w:color w:val="000000" w:themeColor="text1"/>
          <w:sz w:val="24"/>
          <w:szCs w:val="24"/>
        </w:rPr>
        <w:t xml:space="preserve">with stock </w:t>
      </w:r>
      <w:r w:rsidR="00FE00E8">
        <w:rPr>
          <w:rFonts w:ascii="Arial" w:hAnsi="Arial" w:cs="Arial"/>
          <w:color w:val="000000" w:themeColor="text1"/>
          <w:sz w:val="24"/>
          <w:szCs w:val="24"/>
        </w:rPr>
        <w:t xml:space="preserve">and </w:t>
      </w:r>
      <w:r w:rsidR="00067F52">
        <w:rPr>
          <w:rFonts w:ascii="Arial" w:hAnsi="Arial" w:cs="Arial"/>
          <w:color w:val="000000" w:themeColor="text1"/>
          <w:sz w:val="24"/>
          <w:szCs w:val="24"/>
        </w:rPr>
        <w:t xml:space="preserve">infrastructure </w:t>
      </w:r>
      <w:r w:rsidR="00FE00E8">
        <w:rPr>
          <w:rFonts w:ascii="Arial" w:hAnsi="Arial" w:cs="Arial"/>
          <w:color w:val="000000" w:themeColor="text1"/>
          <w:sz w:val="24"/>
          <w:szCs w:val="24"/>
        </w:rPr>
        <w:t xml:space="preserve">that the appellant had been using in the furtherance of the service. </w:t>
      </w:r>
      <w:r w:rsidR="00067F52">
        <w:rPr>
          <w:rFonts w:ascii="Arial" w:hAnsi="Arial" w:cs="Arial"/>
          <w:color w:val="000000" w:themeColor="text1"/>
          <w:sz w:val="24"/>
          <w:szCs w:val="24"/>
        </w:rPr>
        <w:t xml:space="preserve">Counsel submitted that the immediate disruption of the catering services </w:t>
      </w:r>
      <w:r w:rsidR="00D7637B">
        <w:rPr>
          <w:rFonts w:ascii="Arial" w:hAnsi="Arial" w:cs="Arial"/>
          <w:color w:val="000000" w:themeColor="text1"/>
          <w:sz w:val="24"/>
          <w:szCs w:val="24"/>
        </w:rPr>
        <w:t>might conceivably be prejudic</w:t>
      </w:r>
      <w:r w:rsidR="00964429">
        <w:rPr>
          <w:rFonts w:ascii="Arial" w:hAnsi="Arial" w:cs="Arial"/>
          <w:color w:val="000000" w:themeColor="text1"/>
          <w:sz w:val="24"/>
          <w:szCs w:val="24"/>
        </w:rPr>
        <w:t xml:space="preserve">ial </w:t>
      </w:r>
      <w:r w:rsidR="0027264A">
        <w:rPr>
          <w:rFonts w:ascii="Arial" w:hAnsi="Arial" w:cs="Arial"/>
          <w:color w:val="000000" w:themeColor="text1"/>
          <w:sz w:val="24"/>
          <w:szCs w:val="24"/>
        </w:rPr>
        <w:t xml:space="preserve">to the </w:t>
      </w:r>
      <w:r w:rsidR="00964429">
        <w:rPr>
          <w:rFonts w:ascii="Arial" w:hAnsi="Arial" w:cs="Arial"/>
          <w:color w:val="000000" w:themeColor="text1"/>
          <w:sz w:val="24"/>
          <w:szCs w:val="24"/>
        </w:rPr>
        <w:t xml:space="preserve">affected </w:t>
      </w:r>
      <w:r w:rsidR="0027264A">
        <w:rPr>
          <w:rFonts w:ascii="Arial" w:hAnsi="Arial" w:cs="Arial"/>
          <w:color w:val="000000" w:themeColor="text1"/>
          <w:sz w:val="24"/>
          <w:szCs w:val="24"/>
        </w:rPr>
        <w:t xml:space="preserve">schools. </w:t>
      </w:r>
      <w:r w:rsidR="00A41184">
        <w:rPr>
          <w:rFonts w:ascii="Arial" w:hAnsi="Arial" w:cs="Arial"/>
          <w:color w:val="000000" w:themeColor="text1"/>
          <w:sz w:val="24"/>
          <w:szCs w:val="24"/>
        </w:rPr>
        <w:t xml:space="preserve">Counsel on behalf of the respondents had little to add </w:t>
      </w:r>
      <w:r w:rsidR="00936256">
        <w:rPr>
          <w:rFonts w:ascii="Arial" w:hAnsi="Arial" w:cs="Arial"/>
          <w:color w:val="000000" w:themeColor="text1"/>
          <w:sz w:val="24"/>
          <w:szCs w:val="24"/>
        </w:rPr>
        <w:t xml:space="preserve">on </w:t>
      </w:r>
      <w:r w:rsidR="00A41184">
        <w:rPr>
          <w:rFonts w:ascii="Arial" w:hAnsi="Arial" w:cs="Arial"/>
          <w:color w:val="000000" w:themeColor="text1"/>
          <w:sz w:val="24"/>
          <w:szCs w:val="24"/>
        </w:rPr>
        <w:t xml:space="preserve">this aspect </w:t>
      </w:r>
      <w:r w:rsidR="00663ABF">
        <w:rPr>
          <w:rFonts w:ascii="Arial" w:hAnsi="Arial" w:cs="Arial"/>
          <w:color w:val="000000" w:themeColor="text1"/>
          <w:sz w:val="24"/>
          <w:szCs w:val="24"/>
        </w:rPr>
        <w:t xml:space="preserve">except </w:t>
      </w:r>
      <w:r w:rsidR="00A41184">
        <w:rPr>
          <w:rFonts w:ascii="Arial" w:hAnsi="Arial" w:cs="Arial"/>
          <w:color w:val="000000" w:themeColor="text1"/>
          <w:sz w:val="24"/>
          <w:szCs w:val="24"/>
        </w:rPr>
        <w:t>that the</w:t>
      </w:r>
      <w:r w:rsidR="00964429">
        <w:rPr>
          <w:rFonts w:ascii="Arial" w:hAnsi="Arial" w:cs="Arial"/>
          <w:color w:val="000000" w:themeColor="text1"/>
          <w:sz w:val="24"/>
          <w:szCs w:val="24"/>
        </w:rPr>
        <w:t xml:space="preserve"> responsible authority would</w:t>
      </w:r>
      <w:r w:rsidR="00936256">
        <w:rPr>
          <w:rFonts w:ascii="Arial" w:hAnsi="Arial" w:cs="Arial"/>
          <w:color w:val="000000" w:themeColor="text1"/>
          <w:sz w:val="24"/>
          <w:szCs w:val="24"/>
        </w:rPr>
        <w:t xml:space="preserve"> </w:t>
      </w:r>
      <w:r w:rsidR="00663ABF">
        <w:rPr>
          <w:rFonts w:ascii="Arial" w:hAnsi="Arial" w:cs="Arial"/>
          <w:color w:val="000000" w:themeColor="text1"/>
          <w:sz w:val="24"/>
          <w:szCs w:val="24"/>
        </w:rPr>
        <w:t xml:space="preserve">ensure </w:t>
      </w:r>
      <w:r w:rsidR="00653696">
        <w:rPr>
          <w:rFonts w:ascii="Arial" w:hAnsi="Arial" w:cs="Arial"/>
          <w:color w:val="000000" w:themeColor="text1"/>
          <w:sz w:val="24"/>
          <w:szCs w:val="24"/>
        </w:rPr>
        <w:t xml:space="preserve">that </w:t>
      </w:r>
      <w:r w:rsidR="00663ABF">
        <w:rPr>
          <w:rFonts w:ascii="Arial" w:hAnsi="Arial" w:cs="Arial"/>
          <w:color w:val="000000" w:themeColor="text1"/>
          <w:sz w:val="24"/>
          <w:szCs w:val="24"/>
        </w:rPr>
        <w:t xml:space="preserve">appropriate </w:t>
      </w:r>
      <w:r w:rsidR="00936256">
        <w:rPr>
          <w:rFonts w:ascii="Arial" w:hAnsi="Arial" w:cs="Arial"/>
          <w:color w:val="000000" w:themeColor="text1"/>
          <w:sz w:val="24"/>
          <w:szCs w:val="24"/>
        </w:rPr>
        <w:t>step</w:t>
      </w:r>
      <w:r w:rsidR="00663ABF">
        <w:rPr>
          <w:rFonts w:ascii="Arial" w:hAnsi="Arial" w:cs="Arial"/>
          <w:color w:val="000000" w:themeColor="text1"/>
          <w:sz w:val="24"/>
          <w:szCs w:val="24"/>
        </w:rPr>
        <w:t xml:space="preserve">s </w:t>
      </w:r>
      <w:r w:rsidR="00964429">
        <w:rPr>
          <w:rFonts w:ascii="Arial" w:hAnsi="Arial" w:cs="Arial"/>
          <w:color w:val="000000" w:themeColor="text1"/>
          <w:sz w:val="24"/>
          <w:szCs w:val="24"/>
        </w:rPr>
        <w:t>were</w:t>
      </w:r>
      <w:r w:rsidR="00663ABF">
        <w:rPr>
          <w:rFonts w:ascii="Arial" w:hAnsi="Arial" w:cs="Arial"/>
          <w:color w:val="000000" w:themeColor="text1"/>
          <w:sz w:val="24"/>
          <w:szCs w:val="24"/>
        </w:rPr>
        <w:t xml:space="preserve"> </w:t>
      </w:r>
      <w:r w:rsidR="00600DCD">
        <w:rPr>
          <w:rFonts w:ascii="Arial" w:hAnsi="Arial" w:cs="Arial"/>
          <w:color w:val="000000" w:themeColor="text1"/>
          <w:sz w:val="24"/>
          <w:szCs w:val="24"/>
        </w:rPr>
        <w:t xml:space="preserve">taken </w:t>
      </w:r>
      <w:r w:rsidR="00653696">
        <w:rPr>
          <w:rFonts w:ascii="Arial" w:hAnsi="Arial" w:cs="Arial"/>
          <w:color w:val="000000" w:themeColor="text1"/>
          <w:sz w:val="24"/>
          <w:szCs w:val="24"/>
        </w:rPr>
        <w:t xml:space="preserve">to </w:t>
      </w:r>
      <w:r w:rsidR="00600DCD">
        <w:rPr>
          <w:rFonts w:ascii="Arial" w:hAnsi="Arial" w:cs="Arial"/>
          <w:color w:val="000000" w:themeColor="text1"/>
          <w:sz w:val="24"/>
          <w:szCs w:val="24"/>
        </w:rPr>
        <w:t>avoid</w:t>
      </w:r>
      <w:r w:rsidR="00653696">
        <w:rPr>
          <w:rFonts w:ascii="Arial" w:hAnsi="Arial" w:cs="Arial"/>
          <w:color w:val="000000" w:themeColor="text1"/>
          <w:sz w:val="24"/>
          <w:szCs w:val="24"/>
        </w:rPr>
        <w:t xml:space="preserve"> disruption.</w:t>
      </w:r>
    </w:p>
    <w:p w:rsidR="00534520" w:rsidRDefault="00534520" w:rsidP="00534520">
      <w:pPr>
        <w:spacing w:after="0" w:line="480" w:lineRule="auto"/>
        <w:jc w:val="both"/>
        <w:rPr>
          <w:rFonts w:ascii="Arial" w:hAnsi="Arial" w:cs="Arial"/>
          <w:color w:val="000000" w:themeColor="text1"/>
          <w:sz w:val="24"/>
          <w:szCs w:val="24"/>
        </w:rPr>
      </w:pPr>
    </w:p>
    <w:p w:rsidR="005C2022" w:rsidRDefault="00114C6F" w:rsidP="00B90190">
      <w:pPr>
        <w:spacing w:line="480" w:lineRule="auto"/>
        <w:jc w:val="both"/>
        <w:rPr>
          <w:rFonts w:ascii="Arial" w:hAnsi="Arial" w:cs="Arial"/>
          <w:color w:val="000000" w:themeColor="text1"/>
          <w:sz w:val="24"/>
          <w:szCs w:val="24"/>
          <w:lang w:val="en-ZA"/>
        </w:rPr>
      </w:pPr>
      <w:r>
        <w:rPr>
          <w:rFonts w:ascii="Arial" w:hAnsi="Arial" w:cs="Arial"/>
          <w:color w:val="000000" w:themeColor="text1"/>
          <w:sz w:val="24"/>
          <w:szCs w:val="24"/>
          <w:lang w:val="en-ZA"/>
        </w:rPr>
        <w:t>[54</w:t>
      </w:r>
      <w:r w:rsidR="00440FAD">
        <w:rPr>
          <w:rFonts w:ascii="Arial" w:hAnsi="Arial" w:cs="Arial"/>
          <w:color w:val="000000" w:themeColor="text1"/>
          <w:sz w:val="24"/>
          <w:szCs w:val="24"/>
          <w:lang w:val="en-ZA"/>
        </w:rPr>
        <w:t>]</w:t>
      </w:r>
      <w:r w:rsidR="00440FAD">
        <w:rPr>
          <w:rFonts w:ascii="Arial" w:hAnsi="Arial" w:cs="Arial"/>
          <w:color w:val="000000" w:themeColor="text1"/>
          <w:sz w:val="24"/>
          <w:szCs w:val="24"/>
          <w:lang w:val="en-ZA"/>
        </w:rPr>
        <w:tab/>
      </w:r>
      <w:r w:rsidR="009C1978" w:rsidRPr="009C1978">
        <w:rPr>
          <w:rFonts w:ascii="Arial" w:hAnsi="Arial" w:cs="Arial"/>
          <w:color w:val="000000" w:themeColor="text1"/>
          <w:sz w:val="24"/>
          <w:szCs w:val="24"/>
        </w:rPr>
        <w:t xml:space="preserve">Following the </w:t>
      </w:r>
      <w:r w:rsidR="007E752B">
        <w:rPr>
          <w:rFonts w:ascii="Arial" w:hAnsi="Arial" w:cs="Arial"/>
          <w:color w:val="000000" w:themeColor="text1"/>
          <w:sz w:val="24"/>
          <w:szCs w:val="24"/>
        </w:rPr>
        <w:t>probable</w:t>
      </w:r>
      <w:r w:rsidR="00993FDD">
        <w:rPr>
          <w:rFonts w:ascii="Arial" w:hAnsi="Arial" w:cs="Arial"/>
          <w:color w:val="000000" w:themeColor="text1"/>
          <w:sz w:val="24"/>
          <w:szCs w:val="24"/>
        </w:rPr>
        <w:t xml:space="preserve"> </w:t>
      </w:r>
      <w:r w:rsidR="007E752B">
        <w:rPr>
          <w:rFonts w:ascii="Arial" w:hAnsi="Arial" w:cs="Arial"/>
          <w:color w:val="000000" w:themeColor="text1"/>
          <w:sz w:val="24"/>
          <w:szCs w:val="24"/>
        </w:rPr>
        <w:t>ramifications</w:t>
      </w:r>
      <w:r w:rsidR="009C1978">
        <w:rPr>
          <w:rFonts w:ascii="Arial" w:hAnsi="Arial" w:cs="Arial"/>
          <w:color w:val="000000" w:themeColor="text1"/>
          <w:sz w:val="24"/>
          <w:szCs w:val="24"/>
        </w:rPr>
        <w:t xml:space="preserve"> </w:t>
      </w:r>
      <w:r w:rsidR="009C1978" w:rsidRPr="009C1978">
        <w:rPr>
          <w:rFonts w:ascii="Arial" w:hAnsi="Arial" w:cs="Arial"/>
          <w:color w:val="000000" w:themeColor="text1"/>
          <w:sz w:val="24"/>
          <w:szCs w:val="24"/>
        </w:rPr>
        <w:t>provided to this Court</w:t>
      </w:r>
      <w:r w:rsidR="009C1978">
        <w:rPr>
          <w:rFonts w:ascii="Arial" w:hAnsi="Arial" w:cs="Arial"/>
          <w:color w:val="000000" w:themeColor="text1"/>
          <w:sz w:val="24"/>
          <w:szCs w:val="24"/>
        </w:rPr>
        <w:t>,</w:t>
      </w:r>
      <w:r w:rsidR="009C1978" w:rsidRPr="009C1978">
        <w:rPr>
          <w:rFonts w:ascii="Arial" w:hAnsi="Arial" w:cs="Arial"/>
          <w:color w:val="000000" w:themeColor="text1"/>
          <w:sz w:val="24"/>
          <w:szCs w:val="24"/>
        </w:rPr>
        <w:t xml:space="preserve"> it be</w:t>
      </w:r>
      <w:r w:rsidR="00993FDD">
        <w:rPr>
          <w:rFonts w:ascii="Arial" w:hAnsi="Arial" w:cs="Arial"/>
          <w:color w:val="000000" w:themeColor="text1"/>
          <w:sz w:val="24"/>
          <w:szCs w:val="24"/>
        </w:rPr>
        <w:t>comes</w:t>
      </w:r>
      <w:r w:rsidR="009C1978" w:rsidRPr="009C1978">
        <w:rPr>
          <w:rFonts w:ascii="Arial" w:hAnsi="Arial" w:cs="Arial"/>
          <w:color w:val="000000" w:themeColor="text1"/>
          <w:sz w:val="24"/>
          <w:szCs w:val="24"/>
        </w:rPr>
        <w:t xml:space="preserve"> clear that the </w:t>
      </w:r>
      <w:r w:rsidR="002921E1">
        <w:rPr>
          <w:rFonts w:ascii="Arial" w:hAnsi="Arial" w:cs="Arial"/>
          <w:color w:val="000000" w:themeColor="text1"/>
          <w:sz w:val="24"/>
          <w:szCs w:val="24"/>
        </w:rPr>
        <w:t>disruption</w:t>
      </w:r>
      <w:r w:rsidR="00993FDD">
        <w:rPr>
          <w:rFonts w:ascii="Arial" w:hAnsi="Arial" w:cs="Arial"/>
          <w:color w:val="000000" w:themeColor="text1"/>
          <w:sz w:val="24"/>
          <w:szCs w:val="24"/>
        </w:rPr>
        <w:t xml:space="preserve"> of catering services</w:t>
      </w:r>
      <w:r w:rsidR="002921E1">
        <w:rPr>
          <w:rFonts w:ascii="Arial" w:hAnsi="Arial" w:cs="Arial"/>
          <w:color w:val="000000" w:themeColor="text1"/>
          <w:sz w:val="24"/>
          <w:szCs w:val="24"/>
        </w:rPr>
        <w:t xml:space="preserve"> </w:t>
      </w:r>
      <w:r w:rsidR="00534520">
        <w:rPr>
          <w:rFonts w:ascii="Arial" w:hAnsi="Arial" w:cs="Arial"/>
          <w:color w:val="000000" w:themeColor="text1"/>
          <w:sz w:val="24"/>
          <w:szCs w:val="24"/>
        </w:rPr>
        <w:t>will be deleterious</w:t>
      </w:r>
      <w:r w:rsidR="005C2022" w:rsidRPr="00DF21E9">
        <w:rPr>
          <w:rFonts w:ascii="Arial" w:hAnsi="Arial" w:cs="Arial"/>
          <w:color w:val="000000" w:themeColor="text1"/>
          <w:sz w:val="24"/>
          <w:szCs w:val="24"/>
          <w:lang w:val="en-ZA"/>
        </w:rPr>
        <w:t xml:space="preserve"> </w:t>
      </w:r>
      <w:r w:rsidR="002921E1">
        <w:rPr>
          <w:rFonts w:ascii="Arial" w:hAnsi="Arial" w:cs="Arial"/>
          <w:color w:val="000000" w:themeColor="text1"/>
          <w:sz w:val="24"/>
          <w:szCs w:val="24"/>
          <w:lang w:val="en-ZA"/>
        </w:rPr>
        <w:t xml:space="preserve">to </w:t>
      </w:r>
      <w:r w:rsidR="00993FDD">
        <w:rPr>
          <w:rFonts w:ascii="Arial" w:hAnsi="Arial" w:cs="Arial"/>
          <w:color w:val="000000" w:themeColor="text1"/>
          <w:sz w:val="24"/>
          <w:szCs w:val="24"/>
          <w:lang w:val="en-ZA"/>
        </w:rPr>
        <w:t>t</w:t>
      </w:r>
      <w:r w:rsidR="002921E1">
        <w:rPr>
          <w:rFonts w:ascii="Arial" w:hAnsi="Arial" w:cs="Arial"/>
          <w:color w:val="000000" w:themeColor="text1"/>
          <w:sz w:val="24"/>
          <w:szCs w:val="24"/>
          <w:lang w:val="en-ZA"/>
        </w:rPr>
        <w:t xml:space="preserve">he </w:t>
      </w:r>
      <w:r w:rsidR="00600DCD">
        <w:rPr>
          <w:rFonts w:ascii="Arial" w:hAnsi="Arial" w:cs="Arial"/>
          <w:color w:val="000000" w:themeColor="text1"/>
          <w:sz w:val="24"/>
          <w:szCs w:val="24"/>
          <w:lang w:val="en-ZA"/>
        </w:rPr>
        <w:t xml:space="preserve">affected </w:t>
      </w:r>
      <w:r w:rsidR="002921E1">
        <w:rPr>
          <w:rFonts w:ascii="Arial" w:hAnsi="Arial" w:cs="Arial"/>
          <w:color w:val="000000" w:themeColor="text1"/>
          <w:sz w:val="24"/>
          <w:szCs w:val="24"/>
          <w:lang w:val="en-ZA"/>
        </w:rPr>
        <w:t>schools</w:t>
      </w:r>
      <w:r w:rsidR="00B23086">
        <w:rPr>
          <w:rFonts w:ascii="Arial" w:hAnsi="Arial" w:cs="Arial"/>
          <w:color w:val="000000" w:themeColor="text1"/>
          <w:sz w:val="24"/>
          <w:szCs w:val="24"/>
          <w:lang w:val="en-ZA"/>
        </w:rPr>
        <w:t xml:space="preserve"> and learners</w:t>
      </w:r>
      <w:r w:rsidR="002921E1">
        <w:rPr>
          <w:rFonts w:ascii="Arial" w:hAnsi="Arial" w:cs="Arial"/>
          <w:color w:val="000000" w:themeColor="text1"/>
          <w:sz w:val="24"/>
          <w:szCs w:val="24"/>
          <w:lang w:val="en-ZA"/>
        </w:rPr>
        <w:t xml:space="preserve">. </w:t>
      </w:r>
      <w:r w:rsidR="009047CD">
        <w:rPr>
          <w:rFonts w:ascii="Arial" w:hAnsi="Arial" w:cs="Arial"/>
          <w:color w:val="000000" w:themeColor="text1"/>
          <w:sz w:val="24"/>
          <w:szCs w:val="24"/>
          <w:lang w:val="en-ZA"/>
        </w:rPr>
        <w:t>The ap</w:t>
      </w:r>
      <w:r w:rsidR="002921E1">
        <w:rPr>
          <w:rFonts w:ascii="Arial" w:hAnsi="Arial" w:cs="Arial"/>
          <w:color w:val="000000" w:themeColor="text1"/>
          <w:sz w:val="24"/>
          <w:szCs w:val="24"/>
          <w:lang w:val="en-ZA"/>
        </w:rPr>
        <w:t xml:space="preserve">pellant </w:t>
      </w:r>
      <w:r w:rsidR="00C84ED2">
        <w:rPr>
          <w:rFonts w:ascii="Arial" w:hAnsi="Arial" w:cs="Arial"/>
          <w:color w:val="000000" w:themeColor="text1"/>
          <w:sz w:val="24"/>
          <w:szCs w:val="24"/>
          <w:lang w:val="en-ZA"/>
        </w:rPr>
        <w:t>w</w:t>
      </w:r>
      <w:r w:rsidR="00600DCD">
        <w:rPr>
          <w:rFonts w:ascii="Arial" w:hAnsi="Arial" w:cs="Arial"/>
          <w:color w:val="000000" w:themeColor="text1"/>
          <w:sz w:val="24"/>
          <w:szCs w:val="24"/>
          <w:lang w:val="en-ZA"/>
        </w:rPr>
        <w:t xml:space="preserve">ould </w:t>
      </w:r>
      <w:r w:rsidR="00C84ED2">
        <w:rPr>
          <w:rFonts w:ascii="Arial" w:hAnsi="Arial" w:cs="Arial"/>
          <w:color w:val="000000" w:themeColor="text1"/>
          <w:sz w:val="24"/>
          <w:szCs w:val="24"/>
          <w:lang w:val="en-ZA"/>
        </w:rPr>
        <w:t xml:space="preserve">cease </w:t>
      </w:r>
      <w:r w:rsidR="009047CD">
        <w:rPr>
          <w:rFonts w:ascii="Arial" w:hAnsi="Arial" w:cs="Arial"/>
          <w:color w:val="000000" w:themeColor="text1"/>
          <w:sz w:val="24"/>
          <w:szCs w:val="24"/>
          <w:lang w:val="en-ZA"/>
        </w:rPr>
        <w:t xml:space="preserve">with </w:t>
      </w:r>
      <w:r w:rsidR="00C84ED2">
        <w:rPr>
          <w:rFonts w:ascii="Arial" w:hAnsi="Arial" w:cs="Arial"/>
          <w:color w:val="000000" w:themeColor="text1"/>
          <w:sz w:val="24"/>
          <w:szCs w:val="24"/>
          <w:lang w:val="en-ZA"/>
        </w:rPr>
        <w:t xml:space="preserve">the delivery of </w:t>
      </w:r>
      <w:r w:rsidR="002921E1">
        <w:rPr>
          <w:rFonts w:ascii="Arial" w:hAnsi="Arial" w:cs="Arial"/>
          <w:color w:val="000000" w:themeColor="text1"/>
          <w:sz w:val="24"/>
          <w:szCs w:val="24"/>
          <w:lang w:val="en-ZA"/>
        </w:rPr>
        <w:t xml:space="preserve">food stuffs to schools and </w:t>
      </w:r>
      <w:r w:rsidR="002921E1" w:rsidRPr="002921E1">
        <w:rPr>
          <w:rFonts w:ascii="Arial" w:hAnsi="Arial" w:cs="Arial"/>
          <w:color w:val="000000" w:themeColor="text1"/>
          <w:sz w:val="24"/>
          <w:szCs w:val="24"/>
          <w:lang w:val="en-ZA"/>
        </w:rPr>
        <w:t xml:space="preserve">thousands of </w:t>
      </w:r>
      <w:r w:rsidR="009047CD">
        <w:rPr>
          <w:rFonts w:ascii="Arial" w:hAnsi="Arial" w:cs="Arial"/>
          <w:color w:val="000000" w:themeColor="text1"/>
          <w:sz w:val="24"/>
          <w:szCs w:val="24"/>
          <w:lang w:val="en-ZA"/>
        </w:rPr>
        <w:t xml:space="preserve">innocent </w:t>
      </w:r>
      <w:r w:rsidR="002921E1" w:rsidRPr="002921E1">
        <w:rPr>
          <w:rFonts w:ascii="Arial" w:hAnsi="Arial" w:cs="Arial"/>
          <w:color w:val="000000" w:themeColor="text1"/>
          <w:sz w:val="24"/>
          <w:szCs w:val="24"/>
          <w:lang w:val="en-ZA"/>
        </w:rPr>
        <w:t xml:space="preserve">learners at </w:t>
      </w:r>
      <w:r w:rsidR="002921E1">
        <w:rPr>
          <w:rFonts w:ascii="Arial" w:hAnsi="Arial" w:cs="Arial"/>
          <w:color w:val="000000" w:themeColor="text1"/>
          <w:sz w:val="24"/>
          <w:szCs w:val="24"/>
          <w:lang w:val="en-ZA"/>
        </w:rPr>
        <w:t>th</w:t>
      </w:r>
      <w:r w:rsidR="00600DCD">
        <w:rPr>
          <w:rFonts w:ascii="Arial" w:hAnsi="Arial" w:cs="Arial"/>
          <w:color w:val="000000" w:themeColor="text1"/>
          <w:sz w:val="24"/>
          <w:szCs w:val="24"/>
          <w:lang w:val="en-ZA"/>
        </w:rPr>
        <w:t>os</w:t>
      </w:r>
      <w:r w:rsidR="002921E1">
        <w:rPr>
          <w:rFonts w:ascii="Arial" w:hAnsi="Arial" w:cs="Arial"/>
          <w:color w:val="000000" w:themeColor="text1"/>
          <w:sz w:val="24"/>
          <w:szCs w:val="24"/>
          <w:lang w:val="en-ZA"/>
        </w:rPr>
        <w:t xml:space="preserve">e </w:t>
      </w:r>
      <w:r w:rsidR="002921E1" w:rsidRPr="002921E1">
        <w:rPr>
          <w:rFonts w:ascii="Arial" w:hAnsi="Arial" w:cs="Arial"/>
          <w:color w:val="000000" w:themeColor="text1"/>
          <w:sz w:val="24"/>
          <w:szCs w:val="24"/>
          <w:lang w:val="en-ZA"/>
        </w:rPr>
        <w:t xml:space="preserve">schools </w:t>
      </w:r>
      <w:r w:rsidR="00600DCD">
        <w:rPr>
          <w:rFonts w:ascii="Arial" w:hAnsi="Arial" w:cs="Arial"/>
          <w:color w:val="000000" w:themeColor="text1"/>
          <w:sz w:val="24"/>
          <w:szCs w:val="24"/>
          <w:lang w:val="en-ZA"/>
        </w:rPr>
        <w:t xml:space="preserve">may </w:t>
      </w:r>
      <w:r w:rsidR="00727C16">
        <w:rPr>
          <w:rFonts w:ascii="Arial" w:hAnsi="Arial" w:cs="Arial"/>
          <w:color w:val="000000" w:themeColor="text1"/>
          <w:sz w:val="24"/>
          <w:szCs w:val="24"/>
          <w:lang w:val="en-ZA"/>
        </w:rPr>
        <w:t xml:space="preserve">be deprived of </w:t>
      </w:r>
      <w:r w:rsidR="00F80BE7">
        <w:rPr>
          <w:rFonts w:ascii="Arial" w:hAnsi="Arial" w:cs="Arial"/>
          <w:color w:val="000000" w:themeColor="text1"/>
          <w:sz w:val="24"/>
          <w:szCs w:val="24"/>
          <w:lang w:val="en-ZA"/>
        </w:rPr>
        <w:t xml:space="preserve">food </w:t>
      </w:r>
      <w:r w:rsidR="009047CD">
        <w:rPr>
          <w:rFonts w:ascii="Arial" w:hAnsi="Arial" w:cs="Arial"/>
          <w:color w:val="000000" w:themeColor="text1"/>
          <w:sz w:val="24"/>
          <w:szCs w:val="24"/>
          <w:lang w:val="en-ZA"/>
        </w:rPr>
        <w:t xml:space="preserve">stuffs </w:t>
      </w:r>
      <w:r w:rsidR="00F80BE7">
        <w:rPr>
          <w:rFonts w:ascii="Arial" w:hAnsi="Arial" w:cs="Arial"/>
          <w:color w:val="000000" w:themeColor="text1"/>
          <w:sz w:val="24"/>
          <w:szCs w:val="24"/>
          <w:lang w:val="en-ZA"/>
        </w:rPr>
        <w:t xml:space="preserve">during the period of disruption. </w:t>
      </w:r>
      <w:r w:rsidR="00B23086">
        <w:rPr>
          <w:rFonts w:ascii="Arial" w:hAnsi="Arial" w:cs="Arial"/>
          <w:color w:val="000000" w:themeColor="text1"/>
          <w:sz w:val="24"/>
          <w:szCs w:val="24"/>
          <w:lang w:val="en-ZA"/>
        </w:rPr>
        <w:t xml:space="preserve">The practical consequences of such a </w:t>
      </w:r>
      <w:r w:rsidR="00B23086" w:rsidRPr="00B23086">
        <w:rPr>
          <w:rFonts w:ascii="Arial" w:hAnsi="Arial" w:cs="Arial"/>
          <w:color w:val="000000" w:themeColor="text1"/>
          <w:sz w:val="24"/>
          <w:szCs w:val="24"/>
          <w:lang w:val="en-ZA"/>
        </w:rPr>
        <w:t xml:space="preserve">disruption </w:t>
      </w:r>
      <w:r w:rsidR="00600DCD">
        <w:rPr>
          <w:rFonts w:ascii="Arial" w:hAnsi="Arial" w:cs="Arial"/>
          <w:color w:val="000000" w:themeColor="text1"/>
          <w:sz w:val="24"/>
          <w:szCs w:val="24"/>
          <w:lang w:val="en-ZA"/>
        </w:rPr>
        <w:t xml:space="preserve">may </w:t>
      </w:r>
      <w:r w:rsidR="00B23086" w:rsidRPr="00B23086">
        <w:rPr>
          <w:rFonts w:ascii="Arial" w:hAnsi="Arial" w:cs="Arial"/>
          <w:color w:val="000000" w:themeColor="text1"/>
          <w:sz w:val="24"/>
          <w:szCs w:val="24"/>
          <w:lang w:val="en-ZA"/>
        </w:rPr>
        <w:t xml:space="preserve">threaten </w:t>
      </w:r>
      <w:r w:rsidR="00B23086">
        <w:rPr>
          <w:rFonts w:ascii="Arial" w:hAnsi="Arial" w:cs="Arial"/>
          <w:color w:val="000000" w:themeColor="text1"/>
          <w:sz w:val="24"/>
          <w:szCs w:val="24"/>
          <w:lang w:val="en-ZA"/>
        </w:rPr>
        <w:t>t</w:t>
      </w:r>
      <w:r w:rsidR="00B23086" w:rsidRPr="00B23086">
        <w:rPr>
          <w:rFonts w:ascii="Arial" w:hAnsi="Arial" w:cs="Arial"/>
          <w:color w:val="000000" w:themeColor="text1"/>
          <w:sz w:val="24"/>
          <w:szCs w:val="24"/>
          <w:lang w:val="en-ZA"/>
        </w:rPr>
        <w:t>he right of thousands of learners to education</w:t>
      </w:r>
      <w:r w:rsidR="00600DCD">
        <w:rPr>
          <w:rFonts w:ascii="Arial" w:hAnsi="Arial" w:cs="Arial"/>
          <w:color w:val="000000" w:themeColor="text1"/>
          <w:sz w:val="24"/>
          <w:szCs w:val="24"/>
          <w:lang w:val="en-ZA"/>
        </w:rPr>
        <w:t xml:space="preserve"> and food</w:t>
      </w:r>
      <w:r w:rsidR="00B23086">
        <w:rPr>
          <w:rFonts w:ascii="Arial" w:hAnsi="Arial" w:cs="Arial"/>
          <w:color w:val="000000" w:themeColor="text1"/>
          <w:sz w:val="24"/>
          <w:szCs w:val="24"/>
          <w:lang w:val="en-ZA"/>
        </w:rPr>
        <w:t>.</w:t>
      </w:r>
      <w:r w:rsidR="00B23086" w:rsidRPr="00B23086">
        <w:rPr>
          <w:rFonts w:ascii="Arial" w:hAnsi="Arial" w:cs="Arial"/>
          <w:color w:val="000000" w:themeColor="text1"/>
          <w:sz w:val="24"/>
          <w:szCs w:val="24"/>
          <w:lang w:val="en-ZA"/>
        </w:rPr>
        <w:t xml:space="preserve"> </w:t>
      </w:r>
      <w:r w:rsidR="00E254B3">
        <w:rPr>
          <w:rFonts w:ascii="Arial" w:hAnsi="Arial" w:cs="Arial"/>
          <w:color w:val="000000" w:themeColor="text1"/>
          <w:sz w:val="24"/>
          <w:szCs w:val="24"/>
          <w:lang w:val="en-ZA"/>
        </w:rPr>
        <w:t>It is</w:t>
      </w:r>
      <w:r w:rsidR="00600DCD">
        <w:rPr>
          <w:rFonts w:ascii="Arial" w:hAnsi="Arial" w:cs="Arial"/>
          <w:color w:val="000000" w:themeColor="text1"/>
          <w:sz w:val="24"/>
          <w:szCs w:val="24"/>
          <w:lang w:val="en-ZA"/>
        </w:rPr>
        <w:t xml:space="preserve"> thus to be expected that </w:t>
      </w:r>
      <w:r w:rsidR="006D77D8" w:rsidRPr="006D77D8">
        <w:rPr>
          <w:rFonts w:ascii="Arial" w:hAnsi="Arial" w:cs="Arial"/>
          <w:color w:val="000000" w:themeColor="text1"/>
          <w:sz w:val="24"/>
          <w:szCs w:val="24"/>
          <w:lang w:val="en-ZA"/>
        </w:rPr>
        <w:t xml:space="preserve">the parties </w:t>
      </w:r>
      <w:r w:rsidR="00534520">
        <w:rPr>
          <w:rFonts w:ascii="Arial" w:hAnsi="Arial" w:cs="Arial"/>
          <w:color w:val="000000" w:themeColor="text1"/>
          <w:sz w:val="24"/>
          <w:szCs w:val="24"/>
          <w:lang w:val="en-ZA"/>
        </w:rPr>
        <w:t xml:space="preserve">will </w:t>
      </w:r>
      <w:r w:rsidR="00D9661B">
        <w:rPr>
          <w:rFonts w:ascii="Arial" w:hAnsi="Arial" w:cs="Arial"/>
          <w:color w:val="000000" w:themeColor="text1"/>
          <w:sz w:val="24"/>
          <w:szCs w:val="24"/>
          <w:lang w:val="en-ZA"/>
        </w:rPr>
        <w:t xml:space="preserve">regulate their </w:t>
      </w:r>
      <w:r w:rsidR="00600DCD">
        <w:rPr>
          <w:rFonts w:ascii="Arial" w:hAnsi="Arial" w:cs="Arial"/>
          <w:color w:val="000000" w:themeColor="text1"/>
          <w:sz w:val="24"/>
          <w:szCs w:val="24"/>
          <w:lang w:val="en-ZA"/>
        </w:rPr>
        <w:t xml:space="preserve">relationship </w:t>
      </w:r>
      <w:r w:rsidR="00534520">
        <w:rPr>
          <w:rFonts w:ascii="Arial" w:hAnsi="Arial" w:cs="Arial"/>
          <w:color w:val="000000" w:themeColor="text1"/>
          <w:sz w:val="24"/>
          <w:szCs w:val="24"/>
          <w:lang w:val="en-ZA"/>
        </w:rPr>
        <w:t>in such a way that</w:t>
      </w:r>
      <w:r w:rsidR="006D77D8">
        <w:rPr>
          <w:rFonts w:ascii="Arial" w:hAnsi="Arial" w:cs="Arial"/>
          <w:color w:val="000000" w:themeColor="text1"/>
          <w:sz w:val="24"/>
          <w:szCs w:val="24"/>
          <w:lang w:val="en-ZA"/>
        </w:rPr>
        <w:t xml:space="preserve"> </w:t>
      </w:r>
      <w:r w:rsidR="001F50E2">
        <w:rPr>
          <w:rFonts w:ascii="Arial" w:hAnsi="Arial" w:cs="Arial"/>
          <w:color w:val="000000" w:themeColor="text1"/>
          <w:sz w:val="24"/>
          <w:szCs w:val="24"/>
          <w:lang w:val="en-ZA"/>
        </w:rPr>
        <w:t xml:space="preserve">such </w:t>
      </w:r>
      <w:r w:rsidR="00534520">
        <w:rPr>
          <w:rFonts w:ascii="Arial" w:hAnsi="Arial" w:cs="Arial"/>
          <w:color w:val="000000" w:themeColor="text1"/>
          <w:sz w:val="24"/>
          <w:szCs w:val="24"/>
          <w:lang w:val="en-ZA"/>
        </w:rPr>
        <w:t xml:space="preserve">possible </w:t>
      </w:r>
      <w:r w:rsidR="006D77D8">
        <w:rPr>
          <w:rFonts w:ascii="Arial" w:hAnsi="Arial" w:cs="Arial"/>
          <w:color w:val="000000" w:themeColor="text1"/>
          <w:sz w:val="24"/>
          <w:szCs w:val="24"/>
          <w:lang w:val="en-ZA"/>
        </w:rPr>
        <w:t>disruption</w:t>
      </w:r>
      <w:r w:rsidR="00534520">
        <w:rPr>
          <w:rFonts w:ascii="Arial" w:hAnsi="Arial" w:cs="Arial"/>
          <w:color w:val="000000" w:themeColor="text1"/>
          <w:sz w:val="24"/>
          <w:szCs w:val="24"/>
          <w:lang w:val="en-ZA"/>
        </w:rPr>
        <w:t xml:space="preserve"> is avoided</w:t>
      </w:r>
      <w:r w:rsidR="009C7C9B">
        <w:rPr>
          <w:rFonts w:ascii="Arial" w:hAnsi="Arial" w:cs="Arial"/>
          <w:color w:val="000000" w:themeColor="text1"/>
          <w:sz w:val="24"/>
          <w:szCs w:val="24"/>
          <w:lang w:val="en-ZA"/>
        </w:rPr>
        <w:t xml:space="preserve">. </w:t>
      </w:r>
      <w:r w:rsidR="005C2022">
        <w:rPr>
          <w:rFonts w:ascii="Arial" w:hAnsi="Arial" w:cs="Arial"/>
          <w:color w:val="000000" w:themeColor="text1"/>
          <w:sz w:val="24"/>
          <w:szCs w:val="24"/>
          <w:lang w:val="en-ZA"/>
        </w:rPr>
        <w:t xml:space="preserve">Having </w:t>
      </w:r>
      <w:r w:rsidR="00B805FD">
        <w:rPr>
          <w:rFonts w:ascii="Arial" w:hAnsi="Arial" w:cs="Arial"/>
          <w:color w:val="000000" w:themeColor="text1"/>
          <w:sz w:val="24"/>
          <w:szCs w:val="24"/>
          <w:lang w:val="en-ZA"/>
        </w:rPr>
        <w:t xml:space="preserve">made these </w:t>
      </w:r>
      <w:r w:rsidR="00712BEC">
        <w:rPr>
          <w:rFonts w:ascii="Arial" w:hAnsi="Arial" w:cs="Arial"/>
          <w:color w:val="000000" w:themeColor="text1"/>
          <w:sz w:val="24"/>
          <w:szCs w:val="24"/>
          <w:lang w:val="en-ZA"/>
        </w:rPr>
        <w:t>remark</w:t>
      </w:r>
      <w:r w:rsidR="00B805FD">
        <w:rPr>
          <w:rFonts w:ascii="Arial" w:hAnsi="Arial" w:cs="Arial"/>
          <w:color w:val="000000" w:themeColor="text1"/>
          <w:sz w:val="24"/>
          <w:szCs w:val="24"/>
          <w:lang w:val="en-ZA"/>
        </w:rPr>
        <w:t>s</w:t>
      </w:r>
      <w:r w:rsidR="005C2022">
        <w:rPr>
          <w:rFonts w:ascii="Arial" w:hAnsi="Arial" w:cs="Arial"/>
          <w:color w:val="000000" w:themeColor="text1"/>
          <w:sz w:val="24"/>
          <w:szCs w:val="24"/>
          <w:lang w:val="en-ZA"/>
        </w:rPr>
        <w:t xml:space="preserve">, </w:t>
      </w:r>
      <w:r w:rsidR="0099735D">
        <w:rPr>
          <w:rFonts w:ascii="Arial" w:hAnsi="Arial" w:cs="Arial"/>
          <w:color w:val="000000" w:themeColor="text1"/>
          <w:sz w:val="24"/>
          <w:szCs w:val="24"/>
          <w:lang w:val="en-ZA"/>
        </w:rPr>
        <w:t xml:space="preserve">it </w:t>
      </w:r>
      <w:r w:rsidR="005C2022">
        <w:rPr>
          <w:rFonts w:ascii="Arial" w:hAnsi="Arial" w:cs="Arial"/>
          <w:color w:val="000000" w:themeColor="text1"/>
          <w:sz w:val="24"/>
          <w:szCs w:val="24"/>
          <w:lang w:val="en-ZA"/>
        </w:rPr>
        <w:t xml:space="preserve">remains of me to </w:t>
      </w:r>
      <w:r w:rsidR="009B12C7">
        <w:rPr>
          <w:rFonts w:ascii="Arial" w:hAnsi="Arial" w:cs="Arial"/>
          <w:color w:val="000000" w:themeColor="text1"/>
          <w:sz w:val="24"/>
          <w:szCs w:val="24"/>
          <w:lang w:val="en-ZA"/>
        </w:rPr>
        <w:t>propose the order of the court</w:t>
      </w:r>
      <w:r w:rsidR="005C2022">
        <w:rPr>
          <w:rFonts w:ascii="Arial" w:hAnsi="Arial" w:cs="Arial"/>
          <w:color w:val="000000" w:themeColor="text1"/>
          <w:sz w:val="24"/>
          <w:szCs w:val="24"/>
          <w:lang w:val="en-ZA"/>
        </w:rPr>
        <w:t>.</w:t>
      </w:r>
      <w:r w:rsidR="00E06E4C" w:rsidRPr="00E06E4C">
        <w:rPr>
          <w:rFonts w:ascii="Arial" w:hAnsi="Arial" w:cs="Arial"/>
          <w:color w:val="000000" w:themeColor="text1"/>
          <w:sz w:val="24"/>
          <w:szCs w:val="24"/>
          <w:lang w:val="en-ZA"/>
        </w:rPr>
        <w:t xml:space="preserve"> </w:t>
      </w:r>
    </w:p>
    <w:p w:rsidR="009B12C7" w:rsidRDefault="005C2022" w:rsidP="009B12C7">
      <w:pPr>
        <w:pStyle w:val="ListParagraph"/>
        <w:spacing w:after="0" w:line="480" w:lineRule="auto"/>
        <w:ind w:left="0"/>
        <w:jc w:val="both"/>
        <w:rPr>
          <w:rFonts w:ascii="Arial" w:hAnsi="Arial" w:cs="Arial"/>
          <w:sz w:val="24"/>
          <w:szCs w:val="24"/>
          <w:u w:val="single"/>
        </w:rPr>
      </w:pPr>
      <w:r w:rsidRPr="00B56D69">
        <w:rPr>
          <w:rFonts w:ascii="Arial" w:hAnsi="Arial" w:cs="Arial"/>
          <w:sz w:val="24"/>
          <w:szCs w:val="24"/>
          <w:u w:val="single"/>
        </w:rPr>
        <w:lastRenderedPageBreak/>
        <w:t>Order</w:t>
      </w:r>
    </w:p>
    <w:p w:rsidR="009B12C7" w:rsidRPr="009B12C7" w:rsidRDefault="00114C6F" w:rsidP="009B12C7">
      <w:pPr>
        <w:pStyle w:val="ListParagraph"/>
        <w:spacing w:after="0" w:line="480" w:lineRule="auto"/>
        <w:ind w:left="0"/>
        <w:jc w:val="both"/>
        <w:rPr>
          <w:rFonts w:ascii="Arial" w:hAnsi="Arial" w:cs="Arial"/>
          <w:sz w:val="24"/>
          <w:szCs w:val="24"/>
          <w:u w:val="single"/>
        </w:rPr>
      </w:pPr>
      <w:r>
        <w:rPr>
          <w:rFonts w:ascii="Arial" w:hAnsi="Arial" w:cs="Arial"/>
          <w:sz w:val="24"/>
          <w:szCs w:val="24"/>
        </w:rPr>
        <w:t>[55</w:t>
      </w:r>
      <w:r w:rsidR="005C2022">
        <w:rPr>
          <w:rFonts w:ascii="Arial" w:hAnsi="Arial" w:cs="Arial"/>
          <w:sz w:val="24"/>
          <w:szCs w:val="24"/>
        </w:rPr>
        <w:t>]</w:t>
      </w:r>
      <w:r w:rsidR="005C2022">
        <w:rPr>
          <w:rFonts w:ascii="Arial" w:hAnsi="Arial" w:cs="Arial"/>
          <w:sz w:val="24"/>
          <w:szCs w:val="24"/>
        </w:rPr>
        <w:tab/>
      </w:r>
      <w:r w:rsidR="0099735D">
        <w:rPr>
          <w:rFonts w:ascii="Arial" w:hAnsi="Arial" w:cs="Arial"/>
          <w:sz w:val="24"/>
          <w:szCs w:val="24"/>
        </w:rPr>
        <w:t>T</w:t>
      </w:r>
      <w:r w:rsidR="009B12C7" w:rsidRPr="009B12C7">
        <w:rPr>
          <w:rFonts w:ascii="Arial" w:hAnsi="Arial" w:cs="Arial"/>
          <w:sz w:val="24"/>
          <w:szCs w:val="24"/>
          <w:lang w:val="en-GB"/>
        </w:rPr>
        <w:t>he following order is made:</w:t>
      </w:r>
    </w:p>
    <w:p w:rsidR="005C2022" w:rsidRPr="0099735D" w:rsidRDefault="005C2022" w:rsidP="0099735D">
      <w:pPr>
        <w:pStyle w:val="ListParagraph"/>
        <w:numPr>
          <w:ilvl w:val="0"/>
          <w:numId w:val="33"/>
        </w:numPr>
        <w:spacing w:after="0" w:line="480" w:lineRule="auto"/>
        <w:jc w:val="both"/>
        <w:rPr>
          <w:rFonts w:ascii="Arial" w:hAnsi="Arial" w:cs="Arial"/>
          <w:sz w:val="24"/>
          <w:szCs w:val="24"/>
        </w:rPr>
      </w:pPr>
      <w:r w:rsidRPr="0099735D">
        <w:rPr>
          <w:rFonts w:ascii="Arial" w:eastAsia="Times New Roman" w:hAnsi="Arial" w:cs="Arial"/>
          <w:sz w:val="24"/>
          <w:szCs w:val="24"/>
        </w:rPr>
        <w:t>The appeal is dismissed.</w:t>
      </w:r>
    </w:p>
    <w:p w:rsidR="006B04D4" w:rsidRPr="006B04D4" w:rsidRDefault="006B04D4" w:rsidP="006B04D4">
      <w:pPr>
        <w:pStyle w:val="ListParagraph"/>
        <w:rPr>
          <w:rFonts w:ascii="Arial" w:hAnsi="Arial" w:cs="Arial"/>
          <w:sz w:val="24"/>
          <w:szCs w:val="24"/>
        </w:rPr>
      </w:pPr>
    </w:p>
    <w:p w:rsidR="003B7E52" w:rsidRPr="003B7E52" w:rsidRDefault="005C2022" w:rsidP="0099735D">
      <w:pPr>
        <w:pStyle w:val="ListParagraph"/>
        <w:numPr>
          <w:ilvl w:val="0"/>
          <w:numId w:val="33"/>
        </w:numPr>
        <w:spacing w:after="0" w:line="480" w:lineRule="auto"/>
        <w:jc w:val="both"/>
        <w:rPr>
          <w:rFonts w:ascii="Arial" w:hAnsi="Arial" w:cs="Arial"/>
          <w:sz w:val="24"/>
          <w:szCs w:val="24"/>
        </w:rPr>
      </w:pPr>
      <w:r w:rsidRPr="0099735D">
        <w:rPr>
          <w:rFonts w:ascii="Arial" w:eastAsia="Times New Roman" w:hAnsi="Arial" w:cs="Arial"/>
          <w:sz w:val="24"/>
          <w:szCs w:val="24"/>
        </w:rPr>
        <w:t>The appellant is ordered to pay the respondents'</w:t>
      </w:r>
      <w:r w:rsidR="006B04D4" w:rsidRPr="0099735D">
        <w:rPr>
          <w:rFonts w:ascii="Arial" w:eastAsia="Times New Roman" w:hAnsi="Arial" w:cs="Arial"/>
          <w:sz w:val="24"/>
          <w:szCs w:val="24"/>
        </w:rPr>
        <w:t xml:space="preserve"> costs in this</w:t>
      </w:r>
      <w:r w:rsidR="003B7E52">
        <w:rPr>
          <w:rFonts w:ascii="Arial" w:eastAsia="Times New Roman" w:hAnsi="Arial" w:cs="Arial"/>
          <w:sz w:val="24"/>
          <w:szCs w:val="24"/>
        </w:rPr>
        <w:t xml:space="preserve"> Court and in the High Court.</w:t>
      </w:r>
    </w:p>
    <w:p w:rsidR="003B7E52" w:rsidRPr="003B7E52" w:rsidRDefault="003B7E52" w:rsidP="003B7E52">
      <w:pPr>
        <w:pStyle w:val="ListParagraph"/>
        <w:rPr>
          <w:rFonts w:ascii="Arial" w:eastAsia="Times New Roman" w:hAnsi="Arial" w:cs="Arial"/>
          <w:sz w:val="24"/>
          <w:szCs w:val="24"/>
        </w:rPr>
      </w:pPr>
    </w:p>
    <w:p w:rsidR="005C2022" w:rsidRPr="0099735D" w:rsidRDefault="003B7E52" w:rsidP="0099735D">
      <w:pPr>
        <w:pStyle w:val="ListParagraph"/>
        <w:numPr>
          <w:ilvl w:val="0"/>
          <w:numId w:val="33"/>
        </w:numPr>
        <w:spacing w:after="0" w:line="480" w:lineRule="auto"/>
        <w:jc w:val="both"/>
        <w:rPr>
          <w:rFonts w:ascii="Arial" w:hAnsi="Arial" w:cs="Arial"/>
          <w:sz w:val="24"/>
          <w:szCs w:val="24"/>
        </w:rPr>
      </w:pPr>
      <w:r>
        <w:rPr>
          <w:rFonts w:ascii="Arial" w:eastAsia="Times New Roman" w:hAnsi="Arial" w:cs="Arial"/>
          <w:sz w:val="24"/>
          <w:szCs w:val="24"/>
        </w:rPr>
        <w:t xml:space="preserve">Such costs to include the </w:t>
      </w:r>
      <w:r w:rsidR="005C2022" w:rsidRPr="0099735D">
        <w:rPr>
          <w:rFonts w:ascii="Arial" w:eastAsia="Times New Roman" w:hAnsi="Arial" w:cs="Arial"/>
          <w:sz w:val="24"/>
          <w:szCs w:val="24"/>
        </w:rPr>
        <w:t>costs of one instructing</w:t>
      </w:r>
      <w:r w:rsidR="00536685" w:rsidRPr="0099735D">
        <w:rPr>
          <w:rFonts w:ascii="Arial" w:eastAsia="Times New Roman" w:hAnsi="Arial" w:cs="Arial"/>
          <w:sz w:val="24"/>
          <w:szCs w:val="24"/>
        </w:rPr>
        <w:t xml:space="preserve"> </w:t>
      </w:r>
      <w:r>
        <w:rPr>
          <w:rFonts w:ascii="Arial" w:eastAsia="Times New Roman" w:hAnsi="Arial" w:cs="Arial"/>
          <w:sz w:val="24"/>
          <w:szCs w:val="24"/>
        </w:rPr>
        <w:t xml:space="preserve">counsel </w:t>
      </w:r>
      <w:r w:rsidR="00536685" w:rsidRPr="0099735D">
        <w:rPr>
          <w:rFonts w:ascii="Arial" w:eastAsia="Times New Roman" w:hAnsi="Arial" w:cs="Arial"/>
          <w:sz w:val="24"/>
          <w:szCs w:val="24"/>
        </w:rPr>
        <w:t>and one</w:t>
      </w:r>
      <w:r>
        <w:rPr>
          <w:rFonts w:ascii="Arial" w:eastAsia="Times New Roman" w:hAnsi="Arial" w:cs="Arial"/>
          <w:sz w:val="24"/>
          <w:szCs w:val="24"/>
        </w:rPr>
        <w:t xml:space="preserve"> instructed counsel</w:t>
      </w:r>
      <w:r w:rsidR="005C2022" w:rsidRPr="0099735D">
        <w:rPr>
          <w:rFonts w:ascii="Arial" w:eastAsia="Times New Roman" w:hAnsi="Arial" w:cs="Arial"/>
          <w:sz w:val="24"/>
          <w:szCs w:val="24"/>
        </w:rPr>
        <w:t>.</w:t>
      </w:r>
    </w:p>
    <w:p w:rsidR="004251A3" w:rsidRDefault="004251A3" w:rsidP="00D955FD">
      <w:pPr>
        <w:spacing w:after="0" w:line="240" w:lineRule="auto"/>
        <w:jc w:val="both"/>
        <w:rPr>
          <w:rFonts w:ascii="Arial" w:hAnsi="Arial" w:cs="Arial"/>
          <w:sz w:val="24"/>
          <w:szCs w:val="24"/>
          <w:lang w:val="en-GB"/>
        </w:rPr>
      </w:pPr>
    </w:p>
    <w:p w:rsidR="00534520" w:rsidRDefault="00534520" w:rsidP="00D955FD">
      <w:pPr>
        <w:spacing w:after="0" w:line="240" w:lineRule="auto"/>
        <w:jc w:val="both"/>
        <w:rPr>
          <w:rFonts w:ascii="Arial" w:hAnsi="Arial" w:cs="Arial"/>
          <w:sz w:val="24"/>
          <w:szCs w:val="24"/>
          <w:lang w:val="en-GB"/>
        </w:rPr>
      </w:pPr>
    </w:p>
    <w:p w:rsidR="004251A3" w:rsidRDefault="004251A3" w:rsidP="00D955FD">
      <w:pPr>
        <w:spacing w:after="0" w:line="240" w:lineRule="auto"/>
        <w:jc w:val="both"/>
        <w:rPr>
          <w:rFonts w:ascii="Arial" w:hAnsi="Arial" w:cs="Arial"/>
          <w:sz w:val="24"/>
          <w:szCs w:val="24"/>
          <w:lang w:val="en-GB"/>
        </w:rPr>
      </w:pPr>
    </w:p>
    <w:p w:rsidR="004251A3" w:rsidRDefault="004251A3" w:rsidP="00D955FD">
      <w:pPr>
        <w:spacing w:after="0" w:line="240" w:lineRule="auto"/>
        <w:jc w:val="both"/>
        <w:rPr>
          <w:rFonts w:ascii="Arial" w:hAnsi="Arial" w:cs="Arial"/>
          <w:sz w:val="24"/>
          <w:szCs w:val="24"/>
          <w:lang w:val="en-GB"/>
        </w:rPr>
      </w:pPr>
    </w:p>
    <w:p w:rsidR="00AB695C" w:rsidRDefault="00D955FD" w:rsidP="00D955FD">
      <w:pPr>
        <w:spacing w:after="0" w:line="240" w:lineRule="auto"/>
        <w:jc w:val="both"/>
        <w:rPr>
          <w:rFonts w:ascii="Arial" w:hAnsi="Arial" w:cs="Arial"/>
          <w:sz w:val="24"/>
          <w:szCs w:val="24"/>
          <w:lang w:val="en-GB"/>
        </w:rPr>
      </w:pPr>
      <w:r>
        <w:rPr>
          <w:rFonts w:ascii="Arial" w:hAnsi="Arial" w:cs="Arial"/>
          <w:sz w:val="24"/>
          <w:szCs w:val="24"/>
          <w:lang w:val="en-GB"/>
        </w:rPr>
        <w:t>___________</w:t>
      </w:r>
      <w:r w:rsidR="00534520">
        <w:rPr>
          <w:rFonts w:ascii="Arial" w:hAnsi="Arial" w:cs="Arial"/>
          <w:sz w:val="24"/>
          <w:szCs w:val="24"/>
          <w:lang w:val="en-GB"/>
        </w:rPr>
        <w:t>_____</w:t>
      </w:r>
    </w:p>
    <w:p w:rsidR="00AB695C" w:rsidRPr="00534520" w:rsidRDefault="00D955FD" w:rsidP="00D955FD">
      <w:pPr>
        <w:spacing w:after="0" w:line="240" w:lineRule="auto"/>
        <w:jc w:val="both"/>
        <w:rPr>
          <w:rFonts w:ascii="Arial" w:hAnsi="Arial" w:cs="Arial"/>
          <w:b/>
          <w:sz w:val="24"/>
          <w:szCs w:val="24"/>
          <w:lang w:val="en-GB"/>
        </w:rPr>
      </w:pPr>
      <w:r w:rsidRPr="00534520">
        <w:rPr>
          <w:rFonts w:ascii="Arial" w:hAnsi="Arial" w:cs="Arial"/>
          <w:b/>
          <w:sz w:val="24"/>
          <w:szCs w:val="24"/>
          <w:lang w:val="en-GB"/>
        </w:rPr>
        <w:t>SHIVUTE CJ</w:t>
      </w:r>
    </w:p>
    <w:p w:rsidR="00D955FD" w:rsidRDefault="00D955FD" w:rsidP="00D955FD">
      <w:pPr>
        <w:spacing w:after="0" w:line="240" w:lineRule="auto"/>
        <w:jc w:val="both"/>
        <w:rPr>
          <w:rFonts w:ascii="Arial" w:hAnsi="Arial" w:cs="Arial"/>
          <w:sz w:val="24"/>
          <w:szCs w:val="24"/>
          <w:lang w:val="en-GB"/>
        </w:rPr>
      </w:pPr>
    </w:p>
    <w:p w:rsidR="00D955FD" w:rsidRDefault="00D955FD" w:rsidP="00D955FD">
      <w:pPr>
        <w:spacing w:after="0" w:line="240" w:lineRule="auto"/>
        <w:jc w:val="both"/>
        <w:rPr>
          <w:rFonts w:ascii="Arial" w:hAnsi="Arial" w:cs="Arial"/>
          <w:sz w:val="24"/>
          <w:szCs w:val="24"/>
          <w:lang w:val="en-GB"/>
        </w:rPr>
      </w:pPr>
    </w:p>
    <w:p w:rsidR="00D955FD" w:rsidRDefault="00D955FD" w:rsidP="00D955FD">
      <w:pPr>
        <w:spacing w:after="0" w:line="240" w:lineRule="auto"/>
        <w:jc w:val="both"/>
        <w:rPr>
          <w:rFonts w:ascii="Arial" w:hAnsi="Arial" w:cs="Arial"/>
          <w:sz w:val="24"/>
          <w:szCs w:val="24"/>
          <w:lang w:val="en-GB"/>
        </w:rPr>
      </w:pPr>
    </w:p>
    <w:p w:rsidR="004251A3" w:rsidRDefault="004251A3" w:rsidP="00D955FD">
      <w:pPr>
        <w:spacing w:after="0" w:line="240" w:lineRule="auto"/>
        <w:jc w:val="both"/>
        <w:rPr>
          <w:rFonts w:ascii="Arial" w:hAnsi="Arial" w:cs="Arial"/>
          <w:sz w:val="24"/>
          <w:szCs w:val="24"/>
          <w:lang w:val="en-GB"/>
        </w:rPr>
      </w:pPr>
    </w:p>
    <w:p w:rsidR="00D955FD" w:rsidRDefault="00D955FD" w:rsidP="00D955FD">
      <w:pPr>
        <w:spacing w:after="0" w:line="240" w:lineRule="auto"/>
        <w:jc w:val="both"/>
        <w:rPr>
          <w:rFonts w:ascii="Arial" w:hAnsi="Arial" w:cs="Arial"/>
          <w:sz w:val="24"/>
          <w:szCs w:val="24"/>
          <w:lang w:val="en-GB"/>
        </w:rPr>
      </w:pPr>
      <w:r>
        <w:rPr>
          <w:rFonts w:ascii="Arial" w:hAnsi="Arial" w:cs="Arial"/>
          <w:sz w:val="24"/>
          <w:szCs w:val="24"/>
          <w:lang w:val="en-GB"/>
        </w:rPr>
        <w:t>__________</w:t>
      </w:r>
      <w:r w:rsidR="00534520">
        <w:rPr>
          <w:rFonts w:ascii="Arial" w:hAnsi="Arial" w:cs="Arial"/>
          <w:sz w:val="24"/>
          <w:szCs w:val="24"/>
          <w:lang w:val="en-GB"/>
        </w:rPr>
        <w:t>______</w:t>
      </w:r>
    </w:p>
    <w:p w:rsidR="00D955FD" w:rsidRPr="00534520" w:rsidRDefault="00D955FD" w:rsidP="005C2022">
      <w:pPr>
        <w:spacing w:after="0" w:line="480" w:lineRule="auto"/>
        <w:jc w:val="both"/>
        <w:rPr>
          <w:rFonts w:ascii="Arial" w:hAnsi="Arial" w:cs="Arial"/>
          <w:b/>
          <w:sz w:val="24"/>
          <w:szCs w:val="24"/>
          <w:lang w:val="en-GB"/>
        </w:rPr>
      </w:pPr>
      <w:r w:rsidRPr="00534520">
        <w:rPr>
          <w:rFonts w:ascii="Arial" w:hAnsi="Arial" w:cs="Arial"/>
          <w:b/>
          <w:sz w:val="24"/>
          <w:szCs w:val="24"/>
          <w:lang w:val="en-GB"/>
        </w:rPr>
        <w:t>MAINGA JA</w:t>
      </w:r>
    </w:p>
    <w:p w:rsidR="00D955FD" w:rsidRDefault="00D955FD" w:rsidP="005C2022">
      <w:pPr>
        <w:spacing w:after="0" w:line="480" w:lineRule="auto"/>
        <w:jc w:val="both"/>
        <w:rPr>
          <w:rFonts w:ascii="Arial" w:hAnsi="Arial" w:cs="Arial"/>
          <w:sz w:val="24"/>
          <w:szCs w:val="24"/>
          <w:lang w:val="en-GB"/>
        </w:rPr>
      </w:pPr>
    </w:p>
    <w:p w:rsidR="004251A3" w:rsidRDefault="004251A3" w:rsidP="00D955FD">
      <w:pPr>
        <w:spacing w:after="0" w:line="240" w:lineRule="auto"/>
        <w:jc w:val="both"/>
        <w:rPr>
          <w:rFonts w:ascii="Arial" w:hAnsi="Arial" w:cs="Arial"/>
          <w:sz w:val="24"/>
          <w:szCs w:val="24"/>
          <w:lang w:val="en-GB"/>
        </w:rPr>
      </w:pPr>
    </w:p>
    <w:p w:rsidR="00AB695C" w:rsidRDefault="00D955FD" w:rsidP="00D955FD">
      <w:pPr>
        <w:spacing w:after="0" w:line="240" w:lineRule="auto"/>
        <w:jc w:val="both"/>
        <w:rPr>
          <w:rFonts w:ascii="Arial" w:hAnsi="Arial" w:cs="Arial"/>
          <w:sz w:val="24"/>
          <w:szCs w:val="24"/>
          <w:lang w:val="en-GB"/>
        </w:rPr>
      </w:pPr>
      <w:r>
        <w:rPr>
          <w:rFonts w:ascii="Arial" w:hAnsi="Arial" w:cs="Arial"/>
          <w:sz w:val="24"/>
          <w:szCs w:val="24"/>
          <w:lang w:val="en-GB"/>
        </w:rPr>
        <w:t>_________</w:t>
      </w:r>
      <w:r w:rsidR="00534520">
        <w:rPr>
          <w:rFonts w:ascii="Arial" w:hAnsi="Arial" w:cs="Arial"/>
          <w:sz w:val="24"/>
          <w:szCs w:val="24"/>
          <w:lang w:val="en-GB"/>
        </w:rPr>
        <w:t>________</w:t>
      </w:r>
    </w:p>
    <w:p w:rsidR="00AB695C" w:rsidRPr="00534520" w:rsidRDefault="00D955FD" w:rsidP="00D955FD">
      <w:pPr>
        <w:spacing w:after="0" w:line="240" w:lineRule="auto"/>
        <w:jc w:val="both"/>
        <w:rPr>
          <w:rFonts w:ascii="Arial" w:hAnsi="Arial" w:cs="Arial"/>
          <w:b/>
          <w:sz w:val="24"/>
          <w:szCs w:val="24"/>
          <w:lang w:val="en-GB"/>
        </w:rPr>
      </w:pPr>
      <w:r w:rsidRPr="00534520">
        <w:rPr>
          <w:rFonts w:ascii="Arial" w:hAnsi="Arial" w:cs="Arial"/>
          <w:b/>
          <w:sz w:val="24"/>
          <w:szCs w:val="24"/>
          <w:lang w:val="en-GB"/>
        </w:rPr>
        <w:t>HOFF JA</w:t>
      </w:r>
    </w:p>
    <w:p w:rsidR="00AB695C" w:rsidRDefault="00AB695C" w:rsidP="005C2022">
      <w:pPr>
        <w:spacing w:after="0" w:line="480" w:lineRule="auto"/>
        <w:jc w:val="both"/>
        <w:rPr>
          <w:rFonts w:ascii="Arial" w:hAnsi="Arial" w:cs="Arial"/>
          <w:sz w:val="24"/>
          <w:szCs w:val="24"/>
          <w:lang w:val="en-GB"/>
        </w:rPr>
      </w:pPr>
    </w:p>
    <w:p w:rsidR="00AB695C" w:rsidRDefault="00AB695C" w:rsidP="005C2022">
      <w:pPr>
        <w:spacing w:after="0" w:line="480" w:lineRule="auto"/>
        <w:jc w:val="both"/>
        <w:rPr>
          <w:rFonts w:ascii="Arial" w:hAnsi="Arial" w:cs="Arial"/>
          <w:sz w:val="24"/>
          <w:szCs w:val="24"/>
          <w:lang w:val="en-GB"/>
        </w:rPr>
      </w:pPr>
    </w:p>
    <w:p w:rsidR="00AB695C" w:rsidRDefault="00AB695C" w:rsidP="005C2022">
      <w:pPr>
        <w:spacing w:after="0" w:line="480" w:lineRule="auto"/>
        <w:jc w:val="both"/>
        <w:rPr>
          <w:rFonts w:ascii="Arial" w:hAnsi="Arial" w:cs="Arial"/>
          <w:sz w:val="24"/>
          <w:szCs w:val="24"/>
          <w:lang w:val="en-GB"/>
        </w:rPr>
      </w:pPr>
    </w:p>
    <w:p w:rsidR="00AB695C" w:rsidRDefault="00AB695C" w:rsidP="005C2022">
      <w:pPr>
        <w:spacing w:after="0" w:line="480" w:lineRule="auto"/>
        <w:jc w:val="both"/>
        <w:rPr>
          <w:rFonts w:ascii="Arial" w:hAnsi="Arial" w:cs="Arial"/>
          <w:sz w:val="24"/>
          <w:szCs w:val="24"/>
          <w:lang w:val="en-GB"/>
        </w:rPr>
      </w:pPr>
    </w:p>
    <w:p w:rsidR="00AB695C" w:rsidRDefault="00AB695C" w:rsidP="005C2022">
      <w:pPr>
        <w:spacing w:after="0" w:line="480" w:lineRule="auto"/>
        <w:jc w:val="both"/>
        <w:rPr>
          <w:rFonts w:ascii="Arial" w:hAnsi="Arial" w:cs="Arial"/>
          <w:sz w:val="24"/>
          <w:szCs w:val="24"/>
          <w:lang w:val="en-GB"/>
        </w:rPr>
      </w:pPr>
    </w:p>
    <w:p w:rsidR="00AB695C" w:rsidRDefault="00AB695C" w:rsidP="005C2022">
      <w:pPr>
        <w:spacing w:after="0" w:line="480" w:lineRule="auto"/>
        <w:jc w:val="both"/>
        <w:rPr>
          <w:rFonts w:ascii="Arial" w:hAnsi="Arial" w:cs="Arial"/>
          <w:sz w:val="24"/>
          <w:szCs w:val="24"/>
          <w:lang w:val="en-GB"/>
        </w:rPr>
      </w:pPr>
    </w:p>
    <w:p w:rsidR="00AB695C" w:rsidRDefault="00AB695C" w:rsidP="005C2022">
      <w:pPr>
        <w:spacing w:after="0" w:line="480" w:lineRule="auto"/>
        <w:jc w:val="both"/>
        <w:rPr>
          <w:rFonts w:ascii="Arial" w:hAnsi="Arial" w:cs="Arial"/>
          <w:sz w:val="24"/>
          <w:szCs w:val="24"/>
          <w:lang w:val="en-GB"/>
        </w:rPr>
      </w:pPr>
    </w:p>
    <w:p w:rsidR="00AB695C" w:rsidRDefault="00AB695C" w:rsidP="005C2022">
      <w:pPr>
        <w:spacing w:after="0" w:line="480" w:lineRule="auto"/>
        <w:jc w:val="both"/>
        <w:rPr>
          <w:rFonts w:ascii="Arial" w:hAnsi="Arial" w:cs="Arial"/>
          <w:sz w:val="24"/>
          <w:szCs w:val="24"/>
          <w:lang w:val="en-GB"/>
        </w:rPr>
      </w:pPr>
    </w:p>
    <w:p w:rsidR="005C2022" w:rsidRDefault="005C2022" w:rsidP="005C2022">
      <w:pPr>
        <w:spacing w:after="0" w:line="480" w:lineRule="auto"/>
        <w:jc w:val="both"/>
        <w:rPr>
          <w:rFonts w:ascii="Arial" w:hAnsi="Arial" w:cs="Arial"/>
          <w:sz w:val="24"/>
          <w:szCs w:val="24"/>
          <w:lang w:val="en-GB"/>
        </w:rPr>
      </w:pPr>
      <w:r w:rsidRPr="002C5C8A">
        <w:rPr>
          <w:rFonts w:ascii="Arial" w:hAnsi="Arial" w:cs="Arial"/>
          <w:sz w:val="24"/>
          <w:szCs w:val="24"/>
          <w:lang w:val="en-GB"/>
        </w:rPr>
        <w:lastRenderedPageBreak/>
        <w:t>APPEARANCES</w:t>
      </w:r>
    </w:p>
    <w:p w:rsidR="005C2022" w:rsidRPr="002C5C8A" w:rsidRDefault="005C2022" w:rsidP="005C2022">
      <w:pPr>
        <w:spacing w:after="0" w:line="480" w:lineRule="auto"/>
        <w:jc w:val="both"/>
        <w:rPr>
          <w:rFonts w:ascii="Arial"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4387"/>
      </w:tblGrid>
      <w:tr w:rsidR="005C2022" w:rsidRPr="002C5C8A" w:rsidTr="001D75AE">
        <w:tc>
          <w:tcPr>
            <w:tcW w:w="3784" w:type="dxa"/>
          </w:tcPr>
          <w:p w:rsidR="005C2022" w:rsidRPr="002C5C8A" w:rsidRDefault="005C2022" w:rsidP="001D75AE">
            <w:pPr>
              <w:spacing w:line="480" w:lineRule="auto"/>
              <w:jc w:val="both"/>
              <w:rPr>
                <w:rFonts w:ascii="Arial" w:hAnsi="Arial" w:cs="Arial"/>
                <w:sz w:val="24"/>
                <w:szCs w:val="24"/>
                <w:lang w:val="en-GB"/>
              </w:rPr>
            </w:pPr>
            <w:r w:rsidRPr="002C5C8A">
              <w:rPr>
                <w:rFonts w:ascii="Arial" w:hAnsi="Arial" w:cs="Arial"/>
                <w:sz w:val="24"/>
                <w:szCs w:val="24"/>
                <w:lang w:val="en-GB"/>
              </w:rPr>
              <w:t>APPELLANT:</w:t>
            </w:r>
          </w:p>
        </w:tc>
        <w:tc>
          <w:tcPr>
            <w:tcW w:w="4387" w:type="dxa"/>
          </w:tcPr>
          <w:p w:rsidR="005C2022" w:rsidRDefault="005C2022" w:rsidP="001D75AE">
            <w:pPr>
              <w:spacing w:line="480" w:lineRule="auto"/>
              <w:jc w:val="both"/>
              <w:rPr>
                <w:rFonts w:ascii="Arial" w:hAnsi="Arial" w:cs="Arial"/>
                <w:sz w:val="24"/>
                <w:szCs w:val="24"/>
                <w:lang w:val="en-GB"/>
              </w:rPr>
            </w:pPr>
            <w:r w:rsidRPr="002C5C8A">
              <w:rPr>
                <w:rFonts w:ascii="Arial" w:hAnsi="Arial" w:cs="Arial"/>
                <w:sz w:val="24"/>
                <w:szCs w:val="24"/>
                <w:lang w:val="en-GB"/>
              </w:rPr>
              <w:t>G</w:t>
            </w:r>
            <w:r w:rsidR="00534520">
              <w:rPr>
                <w:rFonts w:ascii="Arial" w:hAnsi="Arial" w:cs="Arial"/>
                <w:sz w:val="24"/>
                <w:szCs w:val="24"/>
                <w:lang w:val="en-GB"/>
              </w:rPr>
              <w:t xml:space="preserve"> </w:t>
            </w:r>
            <w:r w:rsidRPr="002C5C8A">
              <w:rPr>
                <w:rFonts w:ascii="Arial" w:hAnsi="Arial" w:cs="Arial"/>
                <w:sz w:val="24"/>
                <w:szCs w:val="24"/>
                <w:lang w:val="en-GB"/>
              </w:rPr>
              <w:t>B Coleman</w:t>
            </w:r>
          </w:p>
          <w:p w:rsidR="00534520" w:rsidRDefault="005C2022" w:rsidP="001D75AE">
            <w:pPr>
              <w:spacing w:line="480" w:lineRule="auto"/>
              <w:jc w:val="both"/>
              <w:rPr>
                <w:rFonts w:ascii="Arial" w:hAnsi="Arial" w:cs="Arial"/>
                <w:bCs/>
                <w:sz w:val="24"/>
                <w:szCs w:val="24"/>
                <w:lang w:val="en-ZW"/>
              </w:rPr>
            </w:pPr>
            <w:r>
              <w:rPr>
                <w:rFonts w:ascii="Arial" w:hAnsi="Arial" w:cs="Arial"/>
                <w:sz w:val="24"/>
                <w:szCs w:val="24"/>
                <w:lang w:val="en-ZW"/>
              </w:rPr>
              <w:t xml:space="preserve">Instructed </w:t>
            </w:r>
            <w:r w:rsidRPr="002C5C8A">
              <w:rPr>
                <w:rFonts w:ascii="Arial" w:hAnsi="Arial" w:cs="Arial"/>
                <w:sz w:val="24"/>
                <w:szCs w:val="24"/>
                <w:lang w:val="en-ZW"/>
              </w:rPr>
              <w:t xml:space="preserve">by </w:t>
            </w:r>
            <w:r>
              <w:rPr>
                <w:rFonts w:ascii="Arial" w:hAnsi="Arial" w:cs="Arial"/>
                <w:sz w:val="24"/>
                <w:szCs w:val="24"/>
                <w:lang w:val="en-ZW"/>
              </w:rPr>
              <w:t>AngulaCo.</w:t>
            </w:r>
            <w:r w:rsidRPr="002C5C8A">
              <w:rPr>
                <w:rFonts w:ascii="Arial" w:hAnsi="Arial" w:cs="Arial"/>
                <w:bCs/>
                <w:sz w:val="24"/>
                <w:szCs w:val="24"/>
                <w:lang w:val="en-ZW"/>
              </w:rPr>
              <w:t xml:space="preserve"> Inc.</w:t>
            </w:r>
          </w:p>
          <w:p w:rsidR="005C2022" w:rsidRPr="002C5C8A" w:rsidRDefault="005C2022" w:rsidP="001D75AE">
            <w:pPr>
              <w:spacing w:line="480" w:lineRule="auto"/>
              <w:jc w:val="both"/>
              <w:rPr>
                <w:rFonts w:ascii="Arial" w:hAnsi="Arial" w:cs="Arial"/>
                <w:sz w:val="24"/>
                <w:szCs w:val="24"/>
                <w:lang w:val="en-ZW"/>
              </w:rPr>
            </w:pPr>
            <w:r w:rsidRPr="002C5C8A">
              <w:rPr>
                <w:rFonts w:ascii="Arial" w:hAnsi="Arial" w:cs="Arial"/>
                <w:sz w:val="24"/>
                <w:szCs w:val="24"/>
                <w:lang w:val="en-ZW"/>
              </w:rPr>
              <w:t>Windhoek.</w:t>
            </w:r>
          </w:p>
          <w:p w:rsidR="005C2022" w:rsidRPr="002C5C8A" w:rsidRDefault="005C2022" w:rsidP="001D75AE">
            <w:pPr>
              <w:spacing w:line="480" w:lineRule="auto"/>
              <w:jc w:val="both"/>
              <w:rPr>
                <w:rFonts w:ascii="Arial" w:hAnsi="Arial" w:cs="Arial"/>
                <w:sz w:val="24"/>
                <w:szCs w:val="24"/>
                <w:lang w:val="en-GB"/>
              </w:rPr>
            </w:pPr>
          </w:p>
        </w:tc>
      </w:tr>
      <w:tr w:rsidR="005C2022" w:rsidRPr="002C5C8A" w:rsidTr="001D75AE">
        <w:tc>
          <w:tcPr>
            <w:tcW w:w="3784" w:type="dxa"/>
          </w:tcPr>
          <w:p w:rsidR="005C2022" w:rsidRPr="002C5C8A" w:rsidRDefault="005C2022" w:rsidP="001D75AE">
            <w:pPr>
              <w:spacing w:line="480" w:lineRule="auto"/>
              <w:jc w:val="both"/>
              <w:rPr>
                <w:rFonts w:ascii="Arial" w:hAnsi="Arial" w:cs="Arial"/>
                <w:sz w:val="24"/>
                <w:szCs w:val="24"/>
                <w:lang w:val="en-GB"/>
              </w:rPr>
            </w:pPr>
            <w:r>
              <w:rPr>
                <w:rFonts w:ascii="Arial" w:hAnsi="Arial" w:cs="Arial"/>
                <w:sz w:val="24"/>
                <w:szCs w:val="24"/>
                <w:lang w:val="en-GB"/>
              </w:rPr>
              <w:t>RESPONDENTS</w:t>
            </w:r>
            <w:r w:rsidRPr="002C5C8A">
              <w:rPr>
                <w:rFonts w:ascii="Arial" w:hAnsi="Arial" w:cs="Arial"/>
                <w:sz w:val="24"/>
                <w:szCs w:val="24"/>
                <w:lang w:val="en-GB"/>
              </w:rPr>
              <w:t>:</w:t>
            </w:r>
          </w:p>
        </w:tc>
        <w:tc>
          <w:tcPr>
            <w:tcW w:w="4387" w:type="dxa"/>
          </w:tcPr>
          <w:p w:rsidR="005C2022" w:rsidRPr="002C5C8A" w:rsidRDefault="00534520" w:rsidP="001D75AE">
            <w:pPr>
              <w:spacing w:line="480" w:lineRule="auto"/>
              <w:jc w:val="both"/>
              <w:rPr>
                <w:rFonts w:ascii="Arial" w:hAnsi="Arial" w:cs="Arial"/>
                <w:sz w:val="24"/>
                <w:szCs w:val="24"/>
                <w:lang w:val="en-ZW"/>
              </w:rPr>
            </w:pPr>
            <w:r>
              <w:rPr>
                <w:rFonts w:ascii="Arial" w:hAnsi="Arial" w:cs="Arial"/>
                <w:sz w:val="24"/>
                <w:szCs w:val="24"/>
                <w:lang w:val="en-ZW"/>
              </w:rPr>
              <w:t xml:space="preserve">C </w:t>
            </w:r>
            <w:r w:rsidR="005C2022">
              <w:rPr>
                <w:rFonts w:ascii="Arial" w:hAnsi="Arial" w:cs="Arial"/>
                <w:sz w:val="24"/>
                <w:szCs w:val="24"/>
                <w:lang w:val="en-ZW"/>
              </w:rPr>
              <w:t>E van der Westhuizen</w:t>
            </w:r>
          </w:p>
          <w:p w:rsidR="005C2022" w:rsidRPr="002C5C8A" w:rsidRDefault="005C2022" w:rsidP="00534520">
            <w:pPr>
              <w:spacing w:line="480" w:lineRule="auto"/>
              <w:jc w:val="both"/>
              <w:rPr>
                <w:rFonts w:ascii="Arial" w:hAnsi="Arial" w:cs="Arial"/>
                <w:sz w:val="24"/>
                <w:szCs w:val="24"/>
                <w:lang w:val="en-ZW"/>
              </w:rPr>
            </w:pPr>
            <w:r>
              <w:rPr>
                <w:rFonts w:ascii="Arial" w:hAnsi="Arial" w:cs="Arial"/>
                <w:sz w:val="24"/>
                <w:szCs w:val="24"/>
                <w:lang w:val="en-ZW"/>
              </w:rPr>
              <w:t>Instructed by the Government Attorney</w:t>
            </w:r>
          </w:p>
        </w:tc>
      </w:tr>
      <w:tr w:rsidR="005C2022" w:rsidRPr="002C5C8A" w:rsidTr="001D75AE">
        <w:tc>
          <w:tcPr>
            <w:tcW w:w="3784" w:type="dxa"/>
          </w:tcPr>
          <w:p w:rsidR="005C2022" w:rsidRPr="002C5C8A" w:rsidRDefault="005C2022" w:rsidP="001D75AE">
            <w:pPr>
              <w:spacing w:line="480" w:lineRule="auto"/>
              <w:jc w:val="both"/>
              <w:rPr>
                <w:rFonts w:ascii="Arial" w:hAnsi="Arial" w:cs="Arial"/>
                <w:sz w:val="24"/>
                <w:szCs w:val="24"/>
                <w:lang w:val="en-GB"/>
              </w:rPr>
            </w:pPr>
          </w:p>
        </w:tc>
        <w:tc>
          <w:tcPr>
            <w:tcW w:w="4387" w:type="dxa"/>
          </w:tcPr>
          <w:p w:rsidR="005C2022" w:rsidRPr="002C5C8A" w:rsidRDefault="005C2022" w:rsidP="001D75AE">
            <w:pPr>
              <w:spacing w:line="480" w:lineRule="auto"/>
              <w:jc w:val="both"/>
              <w:rPr>
                <w:rFonts w:ascii="Arial" w:hAnsi="Arial" w:cs="Arial"/>
                <w:sz w:val="24"/>
                <w:szCs w:val="24"/>
                <w:lang w:val="en-ZW"/>
              </w:rPr>
            </w:pPr>
          </w:p>
        </w:tc>
      </w:tr>
    </w:tbl>
    <w:p w:rsidR="005C2022" w:rsidRPr="002C5C8A" w:rsidRDefault="005C2022" w:rsidP="005C2022">
      <w:pPr>
        <w:spacing w:after="0" w:line="480" w:lineRule="auto"/>
        <w:jc w:val="both"/>
        <w:rPr>
          <w:rFonts w:ascii="Arial" w:hAnsi="Arial" w:cs="Arial"/>
          <w:sz w:val="24"/>
          <w:szCs w:val="24"/>
          <w:lang w:val="en-ZW"/>
        </w:rPr>
      </w:pPr>
    </w:p>
    <w:p w:rsidR="005C2022" w:rsidRPr="006C3013" w:rsidRDefault="005C2022" w:rsidP="005C2022">
      <w:pPr>
        <w:spacing w:after="0" w:line="480" w:lineRule="auto"/>
        <w:jc w:val="both"/>
        <w:rPr>
          <w:rFonts w:ascii="Arial" w:hAnsi="Arial" w:cs="Arial"/>
          <w:sz w:val="24"/>
          <w:szCs w:val="24"/>
          <w:lang w:val="en-ZA"/>
        </w:rPr>
      </w:pPr>
    </w:p>
    <w:sectPr w:rsidR="005C2022" w:rsidRPr="006C3013" w:rsidSect="00A36F38">
      <w:headerReference w:type="default" r:id="rId9"/>
      <w:headerReference w:type="first" r:id="rId10"/>
      <w:pgSz w:w="11907" w:h="16840" w:code="9"/>
      <w:pgMar w:top="1440" w:right="1275" w:bottom="1440"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DB" w:rsidRDefault="008638DB" w:rsidP="005C2022">
      <w:pPr>
        <w:spacing w:after="0" w:line="240" w:lineRule="auto"/>
      </w:pPr>
      <w:r>
        <w:separator/>
      </w:r>
    </w:p>
  </w:endnote>
  <w:endnote w:type="continuationSeparator" w:id="0">
    <w:p w:rsidR="008638DB" w:rsidRDefault="008638DB" w:rsidP="005C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DB" w:rsidRDefault="008638DB" w:rsidP="005C2022">
      <w:pPr>
        <w:spacing w:after="0" w:line="240" w:lineRule="auto"/>
      </w:pPr>
      <w:r>
        <w:separator/>
      </w:r>
    </w:p>
  </w:footnote>
  <w:footnote w:type="continuationSeparator" w:id="0">
    <w:p w:rsidR="008638DB" w:rsidRDefault="008638DB" w:rsidP="005C2022">
      <w:pPr>
        <w:spacing w:after="0" w:line="240" w:lineRule="auto"/>
      </w:pPr>
      <w:r>
        <w:continuationSeparator/>
      </w:r>
    </w:p>
  </w:footnote>
  <w:footnote w:id="1">
    <w:p w:rsidR="001D75AE" w:rsidRPr="00AE1B7F" w:rsidRDefault="001D75AE" w:rsidP="008A6A6D">
      <w:pPr>
        <w:pStyle w:val="FootnoteText"/>
        <w:jc w:val="both"/>
        <w:rPr>
          <w:rFonts w:ascii="Arial" w:hAnsi="Arial" w:cs="Arial"/>
          <w:i/>
          <w:lang w:val="en-GB"/>
        </w:rPr>
      </w:pPr>
      <w:r w:rsidRPr="00977288">
        <w:rPr>
          <w:rStyle w:val="FootnoteReference"/>
          <w:rFonts w:ascii="Arial" w:hAnsi="Arial" w:cs="Arial"/>
          <w:i/>
          <w:color w:val="000000" w:themeColor="text1"/>
        </w:rPr>
        <w:footnoteRef/>
      </w:r>
      <w:r w:rsidR="00AE1B7F" w:rsidRPr="00977288">
        <w:rPr>
          <w:rFonts w:ascii="Arial" w:hAnsi="Arial" w:cs="Arial"/>
          <w:i/>
          <w:color w:val="000000" w:themeColor="text1"/>
        </w:rPr>
        <w:t xml:space="preserve"> </w:t>
      </w:r>
      <w:r w:rsidR="00AE1B7F" w:rsidRPr="00977288">
        <w:rPr>
          <w:rFonts w:ascii="Arial" w:hAnsi="Arial" w:cs="Arial"/>
          <w:color w:val="000000" w:themeColor="text1"/>
        </w:rPr>
        <w:t xml:space="preserve">See </w:t>
      </w:r>
      <w:r w:rsidR="00AE1B7F" w:rsidRPr="00977288">
        <w:rPr>
          <w:rFonts w:ascii="Arial" w:hAnsi="Arial" w:cs="Arial"/>
          <w:i/>
          <w:color w:val="000000" w:themeColor="text1"/>
        </w:rPr>
        <w:t xml:space="preserve">Amalgamated Engineering Union v Minister of Labour </w:t>
      </w:r>
      <w:r w:rsidR="00AE1B7F" w:rsidRPr="00977288">
        <w:rPr>
          <w:rFonts w:ascii="Arial" w:hAnsi="Arial" w:cs="Arial"/>
          <w:color w:val="000000" w:themeColor="text1"/>
        </w:rPr>
        <w:t>1949 (3) SA 637 (</w:t>
      </w:r>
      <w:r w:rsidR="001D043F">
        <w:rPr>
          <w:rFonts w:ascii="Arial" w:hAnsi="Arial" w:cs="Arial"/>
          <w:color w:val="000000" w:themeColor="text1"/>
        </w:rPr>
        <w:t>A</w:t>
      </w:r>
      <w:r w:rsidR="00AE1B7F" w:rsidRPr="00977288">
        <w:rPr>
          <w:rFonts w:ascii="Arial" w:hAnsi="Arial" w:cs="Arial"/>
          <w:color w:val="000000" w:themeColor="text1"/>
        </w:rPr>
        <w:t>);</w:t>
      </w:r>
      <w:r w:rsidR="00AE1B7F" w:rsidRPr="00977288">
        <w:rPr>
          <w:rFonts w:ascii="Arial" w:hAnsi="Arial" w:cs="Arial"/>
          <w:i/>
          <w:color w:val="000000" w:themeColor="text1"/>
        </w:rPr>
        <w:t xml:space="preserve"> Kleynhans v Chairperson of the Council for the Municipality of Walvis Bay and others </w:t>
      </w:r>
      <w:r w:rsidR="00AE1B7F" w:rsidRPr="00977288">
        <w:rPr>
          <w:rFonts w:ascii="Arial" w:hAnsi="Arial" w:cs="Arial"/>
          <w:color w:val="000000" w:themeColor="text1"/>
        </w:rPr>
        <w:t>2011 (2) NR 437 (HC).</w:t>
      </w:r>
    </w:p>
  </w:footnote>
  <w:footnote w:id="2">
    <w:p w:rsidR="001D75AE" w:rsidRPr="0011675B" w:rsidRDefault="001D75AE" w:rsidP="005C2022">
      <w:pPr>
        <w:pStyle w:val="FootnoteText"/>
        <w:rPr>
          <w:rFonts w:ascii="Arial" w:hAnsi="Arial" w:cs="Arial"/>
          <w:lang w:val="en-ZA"/>
        </w:rPr>
      </w:pPr>
      <w:r w:rsidRPr="00AC2C12">
        <w:rPr>
          <w:rStyle w:val="FootnoteReference"/>
          <w:rFonts w:ascii="Arial" w:hAnsi="Arial" w:cs="Arial"/>
        </w:rPr>
        <w:footnoteRef/>
      </w:r>
      <w:r w:rsidRPr="00AC2C12">
        <w:rPr>
          <w:rFonts w:ascii="Arial" w:hAnsi="Arial" w:cs="Arial"/>
        </w:rPr>
        <w:t xml:space="preserve"> </w:t>
      </w:r>
      <w:r>
        <w:rPr>
          <w:rFonts w:ascii="Arial" w:hAnsi="Arial" w:cs="Arial"/>
        </w:rPr>
        <w:t xml:space="preserve">P.J. Visser and J.M. Potgieter. </w:t>
      </w:r>
      <w:r w:rsidRPr="0011675B">
        <w:rPr>
          <w:rFonts w:ascii="Arial" w:hAnsi="Arial" w:cs="Arial"/>
          <w:i/>
          <w:lang w:val="en-ZA"/>
        </w:rPr>
        <w:t xml:space="preserve">Visser and Potgieter's </w:t>
      </w:r>
      <w:r>
        <w:rPr>
          <w:rFonts w:ascii="Arial" w:hAnsi="Arial" w:cs="Arial"/>
          <w:i/>
          <w:lang w:val="en-ZA"/>
        </w:rPr>
        <w:t>L</w:t>
      </w:r>
      <w:r w:rsidRPr="0011675B">
        <w:rPr>
          <w:rFonts w:ascii="Arial" w:hAnsi="Arial" w:cs="Arial"/>
          <w:i/>
          <w:lang w:val="en-ZA"/>
        </w:rPr>
        <w:t xml:space="preserve">aw of </w:t>
      </w:r>
      <w:r>
        <w:rPr>
          <w:rFonts w:ascii="Arial" w:hAnsi="Arial" w:cs="Arial"/>
          <w:i/>
          <w:lang w:val="en-ZA"/>
        </w:rPr>
        <w:t>D</w:t>
      </w:r>
      <w:r w:rsidRPr="0011675B">
        <w:rPr>
          <w:rFonts w:ascii="Arial" w:hAnsi="Arial" w:cs="Arial"/>
          <w:i/>
          <w:lang w:val="en-ZA"/>
        </w:rPr>
        <w:t>amages</w:t>
      </w:r>
      <w:r>
        <w:rPr>
          <w:rFonts w:ascii="Arial" w:hAnsi="Arial" w:cs="Arial"/>
          <w:lang w:val="en-ZA"/>
        </w:rPr>
        <w:t xml:space="preserve"> </w:t>
      </w:r>
      <w:r w:rsidRPr="00AC2C12">
        <w:rPr>
          <w:rFonts w:ascii="Arial" w:hAnsi="Arial" w:cs="Arial"/>
          <w:lang w:val="en-GB"/>
        </w:rPr>
        <w:t>(</w:t>
      </w:r>
      <w:r>
        <w:rPr>
          <w:rFonts w:ascii="Arial" w:hAnsi="Arial" w:cs="Arial"/>
          <w:lang w:val="en-GB"/>
        </w:rPr>
        <w:t>2003</w:t>
      </w:r>
      <w:r w:rsidRPr="00AC2C12">
        <w:rPr>
          <w:rFonts w:ascii="Arial" w:hAnsi="Arial" w:cs="Arial"/>
          <w:lang w:val="en-GB"/>
        </w:rPr>
        <w:t xml:space="preserve">) at </w:t>
      </w:r>
      <w:r>
        <w:rPr>
          <w:rFonts w:ascii="Arial" w:hAnsi="Arial" w:cs="Arial"/>
          <w:lang w:val="en-GB"/>
        </w:rPr>
        <w:t>14-15</w:t>
      </w:r>
      <w:r w:rsidRPr="00AC2C12">
        <w:rPr>
          <w:rFonts w:ascii="Arial" w:hAnsi="Arial" w:cs="Arial"/>
          <w:lang w:val="en-GB"/>
        </w:rPr>
        <w:t xml:space="preserve"> </w:t>
      </w:r>
    </w:p>
  </w:footnote>
  <w:footnote w:id="3">
    <w:p w:rsidR="00745C84" w:rsidRPr="00BC4773" w:rsidRDefault="00745C84" w:rsidP="00BC4773">
      <w:pPr>
        <w:pStyle w:val="FootnoteText"/>
        <w:jc w:val="both"/>
        <w:rPr>
          <w:rFonts w:ascii="Arial" w:hAnsi="Arial" w:cs="Arial"/>
          <w:lang w:val="en-GB"/>
        </w:rPr>
      </w:pPr>
      <w:r w:rsidRPr="005D124C">
        <w:rPr>
          <w:rStyle w:val="FootnoteReference"/>
          <w:rFonts w:ascii="Arial" w:hAnsi="Arial" w:cs="Arial"/>
          <w:i/>
          <w:color w:val="000000" w:themeColor="text1"/>
        </w:rPr>
        <w:footnoteRef/>
      </w:r>
      <w:r w:rsidRPr="005D124C">
        <w:rPr>
          <w:rFonts w:ascii="Arial" w:hAnsi="Arial" w:cs="Arial"/>
          <w:i/>
          <w:color w:val="000000" w:themeColor="text1"/>
        </w:rPr>
        <w:t xml:space="preserve"> </w:t>
      </w:r>
      <w:r w:rsidR="00BC4773" w:rsidRPr="005D124C">
        <w:rPr>
          <w:rFonts w:ascii="Arial" w:hAnsi="Arial" w:cs="Arial"/>
          <w:i/>
          <w:color w:val="000000" w:themeColor="text1"/>
        </w:rPr>
        <w:t>S</w:t>
      </w:r>
      <w:r w:rsidR="009C64D1" w:rsidRPr="005D124C">
        <w:rPr>
          <w:rFonts w:ascii="Arial" w:hAnsi="Arial" w:cs="Arial"/>
          <w:i/>
          <w:color w:val="000000" w:themeColor="text1"/>
        </w:rPr>
        <w:t xml:space="preserve">teenkamp NO v Provincial Tender Board, Eastern Cape </w:t>
      </w:r>
      <w:r w:rsidR="009C64D1" w:rsidRPr="005D124C">
        <w:rPr>
          <w:rFonts w:ascii="Arial" w:hAnsi="Arial" w:cs="Arial"/>
          <w:color w:val="000000" w:themeColor="text1"/>
        </w:rPr>
        <w:t>2007 (3)</w:t>
      </w:r>
      <w:r w:rsidR="009C64D1" w:rsidRPr="005D124C">
        <w:rPr>
          <w:rFonts w:ascii="Arial" w:hAnsi="Arial" w:cs="Arial"/>
          <w:i/>
          <w:color w:val="000000" w:themeColor="text1"/>
        </w:rPr>
        <w:t xml:space="preserve"> </w:t>
      </w:r>
      <w:r w:rsidR="009C64D1" w:rsidRPr="005D124C">
        <w:rPr>
          <w:rFonts w:ascii="Arial" w:hAnsi="Arial" w:cs="Arial"/>
          <w:color w:val="000000" w:themeColor="text1"/>
        </w:rPr>
        <w:t>SA</w:t>
      </w:r>
      <w:r w:rsidR="009C64D1" w:rsidRPr="005D124C">
        <w:rPr>
          <w:rFonts w:ascii="Arial" w:hAnsi="Arial" w:cs="Arial"/>
          <w:i/>
          <w:color w:val="000000" w:themeColor="text1"/>
        </w:rPr>
        <w:t xml:space="preserve"> </w:t>
      </w:r>
      <w:r w:rsidR="009C64D1" w:rsidRPr="005D124C">
        <w:rPr>
          <w:rFonts w:ascii="Arial" w:hAnsi="Arial" w:cs="Arial"/>
          <w:color w:val="000000" w:themeColor="text1"/>
        </w:rPr>
        <w:t>121 (CC) para 29</w:t>
      </w:r>
    </w:p>
  </w:footnote>
  <w:footnote w:id="4">
    <w:p w:rsidR="001D75AE" w:rsidRPr="00547CFE" w:rsidRDefault="001D75AE" w:rsidP="005C2022">
      <w:pPr>
        <w:pStyle w:val="FootnoteText"/>
        <w:rPr>
          <w:rFonts w:ascii="Arial" w:hAnsi="Arial" w:cs="Arial"/>
        </w:rPr>
      </w:pPr>
      <w:r w:rsidRPr="00547CFE">
        <w:rPr>
          <w:rStyle w:val="FootnoteReference"/>
          <w:rFonts w:ascii="Arial" w:hAnsi="Arial" w:cs="Arial"/>
        </w:rPr>
        <w:footnoteRef/>
      </w:r>
      <w:r w:rsidRPr="00547CFE">
        <w:rPr>
          <w:rFonts w:ascii="Arial" w:hAnsi="Arial" w:cs="Arial"/>
        </w:rPr>
        <w:t xml:space="preserve"> </w:t>
      </w:r>
      <w:r w:rsidRPr="00547CFE">
        <w:rPr>
          <w:rFonts w:ascii="Arial" w:hAnsi="Arial" w:cs="Arial"/>
          <w:i/>
        </w:rPr>
        <w:t>Durham Fancy Goods v Michael Jackson (Fancy Goods) Ltd</w:t>
      </w:r>
      <w:r w:rsidRPr="00547CFE">
        <w:rPr>
          <w:rFonts w:ascii="Arial" w:hAnsi="Arial" w:cs="Arial"/>
        </w:rPr>
        <w:t xml:space="preserve"> [1968] 2 All ER 987. </w:t>
      </w:r>
      <w:r w:rsidRPr="00547CFE">
        <w:rPr>
          <w:rFonts w:ascii="Arial" w:hAnsi="Arial" w:cs="Arial"/>
          <w:i/>
        </w:rPr>
        <w:t>Combe v Combe</w:t>
      </w:r>
      <w:r w:rsidRPr="00547CFE">
        <w:rPr>
          <w:rFonts w:ascii="Arial" w:hAnsi="Arial" w:cs="Arial"/>
        </w:rPr>
        <w:t xml:space="preserve"> [1951] 2 KB 215.</w:t>
      </w:r>
    </w:p>
  </w:footnote>
  <w:footnote w:id="5">
    <w:p w:rsidR="001D75AE" w:rsidRPr="00547CFE" w:rsidRDefault="001D75AE" w:rsidP="005C2022">
      <w:pPr>
        <w:pStyle w:val="FootnoteText"/>
        <w:rPr>
          <w:rFonts w:ascii="Arial" w:hAnsi="Arial" w:cs="Arial"/>
        </w:rPr>
      </w:pPr>
      <w:r w:rsidRPr="00547CFE">
        <w:rPr>
          <w:rStyle w:val="FootnoteReference"/>
          <w:rFonts w:ascii="Arial" w:hAnsi="Arial" w:cs="Arial"/>
        </w:rPr>
        <w:footnoteRef/>
      </w:r>
      <w:r w:rsidRPr="00547CFE">
        <w:rPr>
          <w:rFonts w:ascii="Arial" w:hAnsi="Arial" w:cs="Arial"/>
        </w:rPr>
        <w:t xml:space="preserve"> </w:t>
      </w:r>
      <w:r w:rsidRPr="00547CFE">
        <w:rPr>
          <w:rFonts w:ascii="Arial" w:hAnsi="Arial" w:cs="Arial"/>
          <w:i/>
        </w:rPr>
        <w:t>Bekker v Administrateur, Oranje-Vrystaat</w:t>
      </w:r>
      <w:r w:rsidRPr="00547CFE">
        <w:rPr>
          <w:rFonts w:ascii="Arial" w:hAnsi="Arial" w:cs="Arial"/>
        </w:rPr>
        <w:t xml:space="preserve"> 1993 (1) SA 829 (O), 823B – C</w:t>
      </w:r>
    </w:p>
  </w:footnote>
  <w:footnote w:id="6">
    <w:p w:rsidR="001D75AE" w:rsidRPr="00547CFE" w:rsidRDefault="001D75AE" w:rsidP="005C2022">
      <w:pPr>
        <w:pStyle w:val="FootnoteText"/>
        <w:jc w:val="both"/>
        <w:rPr>
          <w:rFonts w:ascii="Arial" w:hAnsi="Arial" w:cs="Arial"/>
        </w:rPr>
      </w:pPr>
      <w:r w:rsidRPr="00547CFE">
        <w:rPr>
          <w:rStyle w:val="FootnoteReference"/>
          <w:rFonts w:ascii="Arial" w:hAnsi="Arial" w:cs="Arial"/>
        </w:rPr>
        <w:footnoteRef/>
      </w:r>
      <w:r w:rsidRPr="00547CFE">
        <w:rPr>
          <w:rFonts w:ascii="Arial" w:hAnsi="Arial" w:cs="Arial"/>
        </w:rPr>
        <w:t xml:space="preserve"> </w:t>
      </w:r>
      <w:r w:rsidRPr="00547CFE">
        <w:rPr>
          <w:rFonts w:ascii="Arial" w:hAnsi="Arial" w:cs="Arial"/>
          <w:i/>
        </w:rPr>
        <w:t>Ibid.</w:t>
      </w:r>
    </w:p>
  </w:footnote>
  <w:footnote w:id="7">
    <w:p w:rsidR="001D75AE" w:rsidRPr="00547CFE" w:rsidRDefault="001D75AE" w:rsidP="005C2022">
      <w:pPr>
        <w:pStyle w:val="FootnoteText"/>
        <w:jc w:val="both"/>
        <w:rPr>
          <w:rFonts w:ascii="Arial" w:hAnsi="Arial" w:cs="Arial"/>
        </w:rPr>
      </w:pPr>
      <w:r w:rsidRPr="00547CFE">
        <w:rPr>
          <w:rStyle w:val="FootnoteReference"/>
          <w:rFonts w:ascii="Arial" w:hAnsi="Arial" w:cs="Arial"/>
        </w:rPr>
        <w:footnoteRef/>
      </w:r>
      <w:r w:rsidRPr="00547CFE">
        <w:rPr>
          <w:rFonts w:ascii="Arial" w:hAnsi="Arial" w:cs="Arial"/>
        </w:rPr>
        <w:t xml:space="preserve"> </w:t>
      </w:r>
      <w:r w:rsidRPr="00547CFE">
        <w:rPr>
          <w:rFonts w:ascii="Arial" w:hAnsi="Arial" w:cs="Arial"/>
          <w:i/>
        </w:rPr>
        <w:t>Strydom v Die Land –en Landboubank van Suid-Afrika,</w:t>
      </w:r>
      <w:r w:rsidRPr="00547CFE">
        <w:rPr>
          <w:rFonts w:ascii="Arial" w:hAnsi="Arial" w:cs="Arial"/>
        </w:rPr>
        <w:t xml:space="preserve"> 1972 (1) SA 801 (A).</w:t>
      </w:r>
    </w:p>
  </w:footnote>
  <w:footnote w:id="8">
    <w:p w:rsidR="001D75AE" w:rsidRPr="00547CFE" w:rsidRDefault="001D75AE" w:rsidP="005C2022">
      <w:pPr>
        <w:pStyle w:val="FootnoteText"/>
        <w:spacing w:before="240"/>
        <w:jc w:val="both"/>
        <w:rPr>
          <w:rFonts w:ascii="Arial" w:hAnsi="Arial" w:cs="Arial"/>
        </w:rPr>
      </w:pPr>
      <w:r w:rsidRPr="00547CFE">
        <w:rPr>
          <w:rStyle w:val="FootnoteReference"/>
          <w:rFonts w:ascii="Arial" w:hAnsi="Arial" w:cs="Arial"/>
        </w:rPr>
        <w:footnoteRef/>
      </w:r>
      <w:r w:rsidRPr="00547CFE">
        <w:rPr>
          <w:rFonts w:ascii="Arial" w:hAnsi="Arial" w:cs="Arial"/>
        </w:rPr>
        <w:t xml:space="preserve"> </w:t>
      </w:r>
      <w:r w:rsidRPr="00547CFE">
        <w:rPr>
          <w:rFonts w:ascii="Arial" w:hAnsi="Arial" w:cs="Arial"/>
          <w:i/>
        </w:rPr>
        <w:t>Khani v Premier Vrystaat en Andere,</w:t>
      </w:r>
      <w:r w:rsidRPr="00547CFE">
        <w:rPr>
          <w:rFonts w:ascii="Arial" w:hAnsi="Arial" w:cs="Arial"/>
        </w:rPr>
        <w:t xml:space="preserve"> 1999 (2) SA 863 (O).</w:t>
      </w:r>
    </w:p>
  </w:footnote>
  <w:footnote w:id="9">
    <w:p w:rsidR="001D75AE" w:rsidRDefault="001D75AE" w:rsidP="005C2022">
      <w:pPr>
        <w:pStyle w:val="FootnoteText"/>
        <w:jc w:val="both"/>
      </w:pPr>
      <w:r w:rsidRPr="00547CFE">
        <w:rPr>
          <w:rStyle w:val="FootnoteReference"/>
          <w:rFonts w:ascii="Arial" w:hAnsi="Arial" w:cs="Arial"/>
        </w:rPr>
        <w:footnoteRef/>
      </w:r>
      <w:r w:rsidRPr="00547CFE">
        <w:rPr>
          <w:rFonts w:ascii="Arial" w:hAnsi="Arial" w:cs="Arial"/>
        </w:rPr>
        <w:t xml:space="preserve"> </w:t>
      </w:r>
      <w:r w:rsidRPr="00547CFE">
        <w:rPr>
          <w:rFonts w:ascii="Arial" w:hAnsi="Arial" w:cs="Arial"/>
          <w:i/>
        </w:rPr>
        <w:t>Jacobs en ‘n Andere v Waksen Andere,</w:t>
      </w:r>
      <w:r w:rsidRPr="00547CFE">
        <w:rPr>
          <w:rFonts w:ascii="Arial" w:hAnsi="Arial" w:cs="Arial"/>
        </w:rPr>
        <w:t xml:space="preserve"> 1992(1) SA 521 (A); </w:t>
      </w:r>
      <w:r w:rsidRPr="00547CFE">
        <w:rPr>
          <w:rFonts w:ascii="Arial" w:hAnsi="Arial" w:cs="Arial"/>
          <w:i/>
        </w:rPr>
        <w:t>Durban City Council v Glenmore Supermarket and Café,</w:t>
      </w:r>
      <w:r w:rsidRPr="00547CFE">
        <w:rPr>
          <w:rFonts w:ascii="Arial" w:hAnsi="Arial" w:cs="Arial"/>
        </w:rPr>
        <w:t xml:space="preserve"> 1981(1) SA 470 (D), 475A – 479G</w:t>
      </w:r>
    </w:p>
  </w:footnote>
  <w:footnote w:id="10">
    <w:p w:rsidR="00CE31FB" w:rsidRPr="00CE31FB" w:rsidRDefault="00CE31FB">
      <w:pPr>
        <w:pStyle w:val="FootnoteText"/>
        <w:rPr>
          <w:rFonts w:ascii="Arial" w:hAnsi="Arial" w:cs="Arial"/>
          <w:lang w:val="en-ZA"/>
        </w:rPr>
      </w:pPr>
      <w:r>
        <w:rPr>
          <w:rStyle w:val="FootnoteReference"/>
        </w:rPr>
        <w:footnoteRef/>
      </w:r>
      <w:r>
        <w:t xml:space="preserve"> </w:t>
      </w:r>
      <w:r>
        <w:rPr>
          <w:rFonts w:ascii="Arial" w:hAnsi="Arial" w:cs="Arial"/>
          <w:lang w:val="en-ZA"/>
        </w:rPr>
        <w:t xml:space="preserve">See, for example, </w:t>
      </w:r>
      <w:r w:rsidRPr="00CE31FB">
        <w:rPr>
          <w:rFonts w:ascii="Arial" w:hAnsi="Arial" w:cs="Arial"/>
          <w:i/>
          <w:lang w:val="en-ZA"/>
        </w:rPr>
        <w:t>University of the Western Cape v MEC for Health and Social Services</w:t>
      </w:r>
      <w:r>
        <w:rPr>
          <w:rFonts w:ascii="Arial" w:hAnsi="Arial" w:cs="Arial"/>
          <w:lang w:val="en-ZA"/>
        </w:rPr>
        <w:t xml:space="preserve"> 1998 (3) SA 124 (C) at 134C-G.</w:t>
      </w:r>
    </w:p>
  </w:footnote>
  <w:footnote w:id="11">
    <w:p w:rsidR="001D75AE" w:rsidRPr="000339AB" w:rsidRDefault="001D75AE" w:rsidP="005C2022">
      <w:pPr>
        <w:pStyle w:val="FootnoteText"/>
        <w:rPr>
          <w:rFonts w:ascii="Arial" w:hAnsi="Arial" w:cs="Arial"/>
        </w:rPr>
      </w:pPr>
      <w:r w:rsidRPr="000339AB">
        <w:rPr>
          <w:rStyle w:val="FootnoteReference"/>
          <w:rFonts w:ascii="Arial" w:hAnsi="Arial" w:cs="Arial"/>
        </w:rPr>
        <w:footnoteRef/>
      </w:r>
      <w:r w:rsidRPr="000339AB">
        <w:rPr>
          <w:rFonts w:ascii="Arial" w:hAnsi="Arial" w:cs="Arial"/>
        </w:rPr>
        <w:t xml:space="preserve"> [1984] 3 A</w:t>
      </w:r>
      <w:r w:rsidR="00F92133">
        <w:rPr>
          <w:rFonts w:ascii="Arial" w:hAnsi="Arial" w:cs="Arial"/>
        </w:rPr>
        <w:t>ll ER</w:t>
      </w:r>
      <w:r w:rsidRPr="000339AB">
        <w:rPr>
          <w:rFonts w:ascii="Arial" w:hAnsi="Arial" w:cs="Arial"/>
        </w:rPr>
        <w:t xml:space="preserve"> 935 (HL).</w:t>
      </w:r>
    </w:p>
  </w:footnote>
  <w:footnote w:id="12">
    <w:p w:rsidR="0079473B" w:rsidRDefault="0079473B" w:rsidP="0079473B">
      <w:pPr>
        <w:pStyle w:val="FootnoteText"/>
      </w:pPr>
      <w:r w:rsidRPr="00A77D71">
        <w:rPr>
          <w:rStyle w:val="FootnoteReference"/>
          <w:rFonts w:ascii="Arial" w:hAnsi="Arial" w:cs="Arial"/>
        </w:rPr>
        <w:footnoteRef/>
      </w:r>
      <w:r w:rsidRPr="00A77D71">
        <w:rPr>
          <w:rFonts w:ascii="Arial" w:hAnsi="Arial" w:cs="Arial"/>
        </w:rPr>
        <w:t xml:space="preserve"> </w:t>
      </w:r>
      <w:r>
        <w:rPr>
          <w:rFonts w:ascii="Arial" w:hAnsi="Arial" w:cs="Arial"/>
          <w:i/>
        </w:rPr>
        <w:t>M</w:t>
      </w:r>
      <w:r w:rsidRPr="00A77D71">
        <w:rPr>
          <w:rFonts w:ascii="Arial" w:hAnsi="Arial" w:cs="Arial"/>
          <w:i/>
          <w:color w:val="000000" w:themeColor="text1"/>
        </w:rPr>
        <w:t xml:space="preserve">inister of </w:t>
      </w:r>
      <w:r>
        <w:rPr>
          <w:rFonts w:ascii="Arial" w:hAnsi="Arial" w:cs="Arial"/>
          <w:i/>
          <w:color w:val="000000" w:themeColor="text1"/>
        </w:rPr>
        <w:t>M</w:t>
      </w:r>
      <w:r w:rsidRPr="00A77D71">
        <w:rPr>
          <w:rFonts w:ascii="Arial" w:hAnsi="Arial" w:cs="Arial"/>
          <w:i/>
          <w:color w:val="000000" w:themeColor="text1"/>
        </w:rPr>
        <w:t xml:space="preserve">ines and </w:t>
      </w:r>
      <w:r>
        <w:rPr>
          <w:rFonts w:ascii="Arial" w:hAnsi="Arial" w:cs="Arial"/>
          <w:i/>
          <w:color w:val="000000" w:themeColor="text1"/>
        </w:rPr>
        <w:t>E</w:t>
      </w:r>
      <w:r w:rsidRPr="00A77D71">
        <w:rPr>
          <w:rFonts w:ascii="Arial" w:hAnsi="Arial" w:cs="Arial"/>
          <w:i/>
          <w:color w:val="000000" w:themeColor="text1"/>
        </w:rPr>
        <w:t xml:space="preserve">nergy and others v </w:t>
      </w:r>
      <w:r>
        <w:rPr>
          <w:rFonts w:ascii="Arial" w:hAnsi="Arial" w:cs="Arial"/>
          <w:i/>
          <w:color w:val="000000" w:themeColor="text1"/>
        </w:rPr>
        <w:t>P</w:t>
      </w:r>
      <w:r w:rsidRPr="00A77D71">
        <w:rPr>
          <w:rFonts w:ascii="Arial" w:hAnsi="Arial" w:cs="Arial"/>
          <w:i/>
          <w:color w:val="000000" w:themeColor="text1"/>
        </w:rPr>
        <w:t xml:space="preserve">etroneft </w:t>
      </w:r>
      <w:r>
        <w:rPr>
          <w:rFonts w:ascii="Arial" w:hAnsi="Arial" w:cs="Arial"/>
          <w:i/>
          <w:color w:val="000000" w:themeColor="text1"/>
        </w:rPr>
        <w:t>I</w:t>
      </w:r>
      <w:r w:rsidRPr="00A77D71">
        <w:rPr>
          <w:rFonts w:ascii="Arial" w:hAnsi="Arial" w:cs="Arial"/>
          <w:i/>
          <w:color w:val="000000" w:themeColor="text1"/>
        </w:rPr>
        <w:t xml:space="preserve">nternational </w:t>
      </w:r>
      <w:r>
        <w:rPr>
          <w:rFonts w:ascii="Arial" w:hAnsi="Arial" w:cs="Arial"/>
          <w:i/>
          <w:color w:val="000000" w:themeColor="text1"/>
        </w:rPr>
        <w:t>L</w:t>
      </w:r>
      <w:r w:rsidRPr="00A77D71">
        <w:rPr>
          <w:rFonts w:ascii="Arial" w:hAnsi="Arial" w:cs="Arial"/>
          <w:i/>
          <w:color w:val="000000" w:themeColor="text1"/>
        </w:rPr>
        <w:t>td and others 2012</w:t>
      </w:r>
      <w:r w:rsidRPr="00A77D71">
        <w:rPr>
          <w:rFonts w:ascii="Arial" w:hAnsi="Arial" w:cs="Arial"/>
          <w:color w:val="000000" w:themeColor="text1"/>
        </w:rPr>
        <w:t xml:space="preserve"> (2) NR 781 (SC)</w:t>
      </w:r>
      <w:r>
        <w:rPr>
          <w:rFonts w:ascii="Arial" w:hAnsi="Arial" w:cs="Arial"/>
          <w:color w:val="000000" w:themeColor="text1"/>
        </w:rPr>
        <w:t>.</w:t>
      </w:r>
    </w:p>
  </w:footnote>
  <w:footnote w:id="13">
    <w:p w:rsidR="001D75AE" w:rsidRPr="00A77D71" w:rsidRDefault="001D75AE" w:rsidP="005C2022">
      <w:pPr>
        <w:pStyle w:val="FootnoteText"/>
        <w:rPr>
          <w:rFonts w:ascii="Arial" w:hAnsi="Arial" w:cs="Arial"/>
        </w:rPr>
      </w:pPr>
      <w:r w:rsidRPr="000339AB">
        <w:rPr>
          <w:rStyle w:val="FootnoteReference"/>
          <w:rFonts w:ascii="Arial" w:hAnsi="Arial" w:cs="Arial"/>
        </w:rPr>
        <w:footnoteRef/>
      </w:r>
      <w:r w:rsidRPr="000339AB">
        <w:rPr>
          <w:rFonts w:ascii="Arial" w:hAnsi="Arial" w:cs="Arial"/>
        </w:rPr>
        <w:t xml:space="preserve"> </w:t>
      </w:r>
      <w:r w:rsidRPr="000339AB">
        <w:rPr>
          <w:rFonts w:ascii="Arial" w:hAnsi="Arial" w:cs="Arial"/>
          <w:color w:val="000000" w:themeColor="text1"/>
        </w:rPr>
        <w:t>2009 (2) NR 670 (HC)</w:t>
      </w:r>
      <w:r>
        <w:rPr>
          <w:rFonts w:ascii="Arial" w:hAnsi="Arial" w:cs="Arial"/>
          <w:color w:val="000000" w:themeColor="text1"/>
        </w:rPr>
        <w:t>.</w:t>
      </w:r>
    </w:p>
  </w:footnote>
  <w:footnote w:id="14">
    <w:p w:rsidR="001D75AE" w:rsidRPr="00A77D71" w:rsidRDefault="001D75AE" w:rsidP="005C2022">
      <w:pPr>
        <w:pStyle w:val="FootnoteText"/>
        <w:rPr>
          <w:rFonts w:ascii="Arial" w:hAnsi="Arial" w:cs="Arial"/>
        </w:rPr>
      </w:pPr>
      <w:r w:rsidRPr="00A77D71">
        <w:rPr>
          <w:rStyle w:val="FootnoteReference"/>
          <w:rFonts w:ascii="Arial" w:hAnsi="Arial" w:cs="Arial"/>
        </w:rPr>
        <w:footnoteRef/>
      </w:r>
      <w:r w:rsidRPr="00A77D71">
        <w:rPr>
          <w:rFonts w:ascii="Arial" w:hAnsi="Arial" w:cs="Arial"/>
        </w:rPr>
        <w:t xml:space="preserve"> 2000 (1) SA 1 (CC) at para</w:t>
      </w:r>
      <w:r w:rsidR="0093580A">
        <w:rPr>
          <w:rFonts w:ascii="Arial" w:hAnsi="Arial" w:cs="Arial"/>
        </w:rPr>
        <w:t xml:space="preserve"> </w:t>
      </w:r>
      <w:r w:rsidRPr="00A77D71">
        <w:rPr>
          <w:rFonts w:ascii="Arial" w:hAnsi="Arial" w:cs="Arial"/>
        </w:rPr>
        <w:t>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05243"/>
      <w:docPartObj>
        <w:docPartGallery w:val="Page Numbers (Top of Page)"/>
        <w:docPartUnique/>
      </w:docPartObj>
    </w:sdtPr>
    <w:sdtEndPr>
      <w:rPr>
        <w:noProof/>
      </w:rPr>
    </w:sdtEndPr>
    <w:sdtContent>
      <w:p w:rsidR="00000FCC" w:rsidRDefault="00000FCC">
        <w:pPr>
          <w:pStyle w:val="Header"/>
          <w:jc w:val="right"/>
        </w:pPr>
        <w:r>
          <w:fldChar w:fldCharType="begin"/>
        </w:r>
        <w:r>
          <w:instrText xml:space="preserve"> PAGE   \* MERGEFORMAT </w:instrText>
        </w:r>
        <w:r>
          <w:fldChar w:fldCharType="separate"/>
        </w:r>
        <w:r w:rsidR="00FD6FE0">
          <w:rPr>
            <w:noProof/>
          </w:rPr>
          <w:t>20</w:t>
        </w:r>
        <w:r>
          <w:rPr>
            <w:noProof/>
          </w:rPr>
          <w:fldChar w:fldCharType="end"/>
        </w:r>
      </w:p>
    </w:sdtContent>
  </w:sdt>
  <w:p w:rsidR="00A973E9" w:rsidRDefault="00A97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AE" w:rsidRDefault="001D75AE">
    <w:pPr>
      <w:pStyle w:val="Header"/>
      <w:jc w:val="right"/>
    </w:pPr>
  </w:p>
  <w:p w:rsidR="001D75AE" w:rsidRDefault="001D7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3"/>
    <w:lvl w:ilvl="0">
      <w:start w:val="2"/>
      <w:numFmt w:val="decimal"/>
      <w:lvlText w:val="%1."/>
      <w:lvlJc w:val="left"/>
      <w:pPr>
        <w:ind w:left="1520" w:hanging="800"/>
      </w:pPr>
      <w:rPr>
        <w:rFonts w:cs="Times New Roman"/>
      </w:rPr>
    </w:lvl>
    <w:lvl w:ilvl="1">
      <w:start w:val="1"/>
      <w:numFmt w:val="decimal"/>
      <w:lvlText w:val="%1.%2"/>
      <w:lvlJc w:val="left"/>
      <w:pPr>
        <w:ind w:left="2240" w:hanging="720"/>
      </w:pPr>
      <w:rPr>
        <w:rFonts w:cs="Times New Roman"/>
      </w:rPr>
    </w:lvl>
    <w:lvl w:ilvl="2">
      <w:start w:val="1"/>
      <w:numFmt w:val="decimal"/>
      <w:lvlText w:val="%1.%2.%3"/>
      <w:lvlJc w:val="left"/>
      <w:pPr>
        <w:ind w:left="3040" w:hanging="720"/>
      </w:pPr>
      <w:rPr>
        <w:rFonts w:cs="Times New Roman"/>
      </w:rPr>
    </w:lvl>
    <w:lvl w:ilvl="3">
      <w:start w:val="1"/>
      <w:numFmt w:val="decimal"/>
      <w:lvlText w:val="%1.%2.%3.%4"/>
      <w:lvlJc w:val="left"/>
      <w:pPr>
        <w:ind w:left="4200" w:hanging="1080"/>
      </w:pPr>
      <w:rPr>
        <w:rFonts w:cs="Times New Roman"/>
      </w:rPr>
    </w:lvl>
    <w:lvl w:ilvl="4">
      <w:start w:val="1"/>
      <w:numFmt w:val="decimal"/>
      <w:lvlText w:val="%1.%2.%3.%4.%5"/>
      <w:lvlJc w:val="left"/>
      <w:pPr>
        <w:ind w:left="5360" w:hanging="1440"/>
      </w:pPr>
      <w:rPr>
        <w:rFonts w:cs="Times New Roman"/>
      </w:rPr>
    </w:lvl>
    <w:lvl w:ilvl="5">
      <w:start w:val="1"/>
      <w:numFmt w:val="decimal"/>
      <w:lvlText w:val="%1.%2.%3.%4.%5.%6"/>
      <w:lvlJc w:val="left"/>
      <w:pPr>
        <w:ind w:left="6160" w:hanging="1440"/>
      </w:pPr>
      <w:rPr>
        <w:rFonts w:cs="Times New Roman"/>
      </w:rPr>
    </w:lvl>
    <w:lvl w:ilvl="6">
      <w:start w:val="1"/>
      <w:numFmt w:val="decimal"/>
      <w:lvlText w:val="%1.%2.%3.%4.%5.%6.%7"/>
      <w:lvlJc w:val="left"/>
      <w:pPr>
        <w:ind w:left="7320" w:hanging="1800"/>
      </w:pPr>
      <w:rPr>
        <w:rFonts w:cs="Times New Roman"/>
      </w:rPr>
    </w:lvl>
    <w:lvl w:ilvl="7">
      <w:start w:val="1"/>
      <w:numFmt w:val="decimal"/>
      <w:lvlText w:val="%1.%2.%3.%4.%5.%6.%7.%8"/>
      <w:lvlJc w:val="left"/>
      <w:pPr>
        <w:ind w:left="8480" w:hanging="2160"/>
      </w:pPr>
      <w:rPr>
        <w:rFonts w:cs="Times New Roman"/>
      </w:rPr>
    </w:lvl>
    <w:lvl w:ilvl="8">
      <w:start w:val="1"/>
      <w:numFmt w:val="decimal"/>
      <w:lvlText w:val="%1.%2.%3.%4.%5.%6.%7.%8.%9"/>
      <w:lvlJc w:val="left"/>
      <w:pPr>
        <w:ind w:left="9280" w:hanging="2160"/>
      </w:pPr>
      <w:rPr>
        <w:rFonts w:cs="Times New Roman"/>
      </w:rPr>
    </w:lvl>
  </w:abstractNum>
  <w:abstractNum w:abstractNumId="1" w15:restartNumberingAfterBreak="0">
    <w:nsid w:val="00000002"/>
    <w:multiLevelType w:val="singleLevel"/>
    <w:tmpl w:val="00000002"/>
    <w:name w:val="WW8Num32"/>
    <w:lvl w:ilvl="0">
      <w:start w:val="2"/>
      <w:numFmt w:val="decimal"/>
      <w:lvlText w:val="[%1]"/>
      <w:lvlJc w:val="left"/>
      <w:pPr>
        <w:ind w:left="0" w:firstLine="0"/>
      </w:pPr>
      <w:rPr>
        <w:rFonts w:cs="Times New Roman"/>
      </w:rPr>
    </w:lvl>
  </w:abstractNum>
  <w:abstractNum w:abstractNumId="2" w15:restartNumberingAfterBreak="0">
    <w:nsid w:val="00000004"/>
    <w:multiLevelType w:val="singleLevel"/>
    <w:tmpl w:val="00000004"/>
    <w:name w:val="WW8Num2"/>
    <w:lvl w:ilvl="0">
      <w:start w:val="1"/>
      <w:numFmt w:val="lowerLetter"/>
      <w:lvlText w:val="(%1)"/>
      <w:lvlJc w:val="left"/>
      <w:pPr>
        <w:ind w:left="720" w:hanging="720"/>
      </w:pPr>
    </w:lvl>
  </w:abstractNum>
  <w:abstractNum w:abstractNumId="3" w15:restartNumberingAfterBreak="0">
    <w:nsid w:val="00000009"/>
    <w:multiLevelType w:val="singleLevel"/>
    <w:tmpl w:val="00000009"/>
    <w:name w:val="WW8Num19"/>
    <w:lvl w:ilvl="0">
      <w:start w:val="7"/>
      <w:numFmt w:val="decimal"/>
      <w:lvlText w:val="[%1]"/>
      <w:lvlJc w:val="left"/>
      <w:pPr>
        <w:ind w:left="0" w:firstLine="0"/>
      </w:pPr>
      <w:rPr>
        <w:rFonts w:cs="Times New Roman"/>
      </w:rPr>
    </w:lvl>
  </w:abstractNum>
  <w:abstractNum w:abstractNumId="4" w15:restartNumberingAfterBreak="0">
    <w:nsid w:val="06AA4B35"/>
    <w:multiLevelType w:val="hybridMultilevel"/>
    <w:tmpl w:val="3A449BAA"/>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9D36F1"/>
    <w:multiLevelType w:val="multilevel"/>
    <w:tmpl w:val="F2E6FF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C10FC8"/>
    <w:multiLevelType w:val="hybridMultilevel"/>
    <w:tmpl w:val="7D6861EC"/>
    <w:lvl w:ilvl="0" w:tplc="1DDA9794">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771F"/>
    <w:multiLevelType w:val="multilevel"/>
    <w:tmpl w:val="4F1674BA"/>
    <w:lvl w:ilvl="0">
      <w:start w:val="39"/>
      <w:numFmt w:val="decimal"/>
      <w:lvlText w:val="%1"/>
      <w:lvlJc w:val="left"/>
      <w:pPr>
        <w:ind w:left="465" w:hanging="465"/>
      </w:pPr>
      <w:rPr>
        <w:rFonts w:hint="default"/>
        <w:color w:val="000000" w:themeColor="text1"/>
      </w:rPr>
    </w:lvl>
    <w:lvl w:ilvl="1">
      <w:start w:val="1"/>
      <w:numFmt w:val="decimal"/>
      <w:lvlText w:val="%1.%2"/>
      <w:lvlJc w:val="left"/>
      <w:pPr>
        <w:ind w:left="1185" w:hanging="465"/>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8" w15:restartNumberingAfterBreak="0">
    <w:nsid w:val="103F7611"/>
    <w:multiLevelType w:val="hybridMultilevel"/>
    <w:tmpl w:val="3A449BAA"/>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91687C"/>
    <w:multiLevelType w:val="multilevel"/>
    <w:tmpl w:val="4708877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FB0592"/>
    <w:multiLevelType w:val="singleLevel"/>
    <w:tmpl w:val="BC44189A"/>
    <w:lvl w:ilvl="0">
      <w:start w:val="1"/>
      <w:numFmt w:val="decimal"/>
      <w:lvlText w:val="(%1)"/>
      <w:legacy w:legacy="1" w:legacySpace="0" w:legacyIndent="0"/>
      <w:lvlJc w:val="left"/>
      <w:rPr>
        <w:rFonts w:ascii="Arial" w:hAnsi="Arial" w:cs="Arial" w:hint="default"/>
      </w:rPr>
    </w:lvl>
  </w:abstractNum>
  <w:abstractNum w:abstractNumId="11" w15:restartNumberingAfterBreak="0">
    <w:nsid w:val="298052E7"/>
    <w:multiLevelType w:val="singleLevel"/>
    <w:tmpl w:val="630E9540"/>
    <w:lvl w:ilvl="0">
      <w:start w:val="1"/>
      <w:numFmt w:val="lowerLetter"/>
      <w:lvlText w:val="(%1)"/>
      <w:legacy w:legacy="1" w:legacySpace="0" w:legacyIndent="0"/>
      <w:lvlJc w:val="left"/>
      <w:rPr>
        <w:rFonts w:ascii="Arial" w:hAnsi="Arial" w:cs="Arial" w:hint="default"/>
      </w:rPr>
    </w:lvl>
  </w:abstractNum>
  <w:abstractNum w:abstractNumId="12" w15:restartNumberingAfterBreak="0">
    <w:nsid w:val="2C420FEA"/>
    <w:multiLevelType w:val="hybridMultilevel"/>
    <w:tmpl w:val="603689B0"/>
    <w:lvl w:ilvl="0" w:tplc="9A5A1EF0">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12387D"/>
    <w:multiLevelType w:val="multilevel"/>
    <w:tmpl w:val="C21073AE"/>
    <w:lvl w:ilvl="0">
      <w:start w:val="53"/>
      <w:numFmt w:val="decimal"/>
      <w:lvlText w:val="%1"/>
      <w:lvlJc w:val="left"/>
      <w:pPr>
        <w:ind w:left="465" w:hanging="465"/>
      </w:pPr>
      <w:rPr>
        <w:rFonts w:hint="default"/>
        <w:color w:val="000000" w:themeColor="text1"/>
      </w:rPr>
    </w:lvl>
    <w:lvl w:ilvl="1">
      <w:start w:val="1"/>
      <w:numFmt w:val="decimal"/>
      <w:lvlText w:val="%1.%2"/>
      <w:lvlJc w:val="left"/>
      <w:pPr>
        <w:ind w:left="1185" w:hanging="465"/>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14" w15:restartNumberingAfterBreak="0">
    <w:nsid w:val="3CE97F2D"/>
    <w:multiLevelType w:val="hybridMultilevel"/>
    <w:tmpl w:val="51348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A3511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137CF9"/>
    <w:multiLevelType w:val="multilevel"/>
    <w:tmpl w:val="3D6E262C"/>
    <w:lvl w:ilvl="0">
      <w:start w:val="38"/>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B443C0A"/>
    <w:multiLevelType w:val="multilevel"/>
    <w:tmpl w:val="FCDAF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09B21C9"/>
    <w:multiLevelType w:val="hybridMultilevel"/>
    <w:tmpl w:val="FDAAECD2"/>
    <w:lvl w:ilvl="0" w:tplc="03680C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3733944"/>
    <w:multiLevelType w:val="multilevel"/>
    <w:tmpl w:val="3520828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AA36B8"/>
    <w:multiLevelType w:val="hybridMultilevel"/>
    <w:tmpl w:val="DAAA3BEA"/>
    <w:lvl w:ilvl="0" w:tplc="F30E1826">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6353F"/>
    <w:multiLevelType w:val="hybridMultilevel"/>
    <w:tmpl w:val="C8866FA0"/>
    <w:lvl w:ilvl="0" w:tplc="D5E8B92E">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E052C55"/>
    <w:multiLevelType w:val="hybridMultilevel"/>
    <w:tmpl w:val="C59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C7F29"/>
    <w:multiLevelType w:val="hybridMultilevel"/>
    <w:tmpl w:val="5134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50085"/>
    <w:multiLevelType w:val="multilevel"/>
    <w:tmpl w:val="3A1EDB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605F06"/>
    <w:multiLevelType w:val="multilevel"/>
    <w:tmpl w:val="4FFE4220"/>
    <w:lvl w:ilvl="0">
      <w:start w:val="14"/>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6AE6D0E"/>
    <w:multiLevelType w:val="hybridMultilevel"/>
    <w:tmpl w:val="11A06862"/>
    <w:lvl w:ilvl="0" w:tplc="D75A4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F076C"/>
    <w:multiLevelType w:val="hybridMultilevel"/>
    <w:tmpl w:val="11A06862"/>
    <w:lvl w:ilvl="0" w:tplc="D75A4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D5BD4"/>
    <w:multiLevelType w:val="hybridMultilevel"/>
    <w:tmpl w:val="1A4657AC"/>
    <w:lvl w:ilvl="0" w:tplc="02EA4A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B224E3A"/>
    <w:multiLevelType w:val="hybridMultilevel"/>
    <w:tmpl w:val="16284BF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BB37721"/>
    <w:multiLevelType w:val="hybridMultilevel"/>
    <w:tmpl w:val="05E207A4"/>
    <w:lvl w:ilvl="0" w:tplc="E990BC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F041679"/>
    <w:multiLevelType w:val="multilevel"/>
    <w:tmpl w:val="B0820170"/>
    <w:lvl w:ilvl="0">
      <w:start w:val="52"/>
      <w:numFmt w:val="decimal"/>
      <w:lvlText w:val="%1"/>
      <w:lvlJc w:val="left"/>
      <w:pPr>
        <w:ind w:left="465" w:hanging="465"/>
      </w:pPr>
      <w:rPr>
        <w:rFonts w:hint="default"/>
        <w:color w:val="000000" w:themeColor="text1"/>
      </w:rPr>
    </w:lvl>
    <w:lvl w:ilvl="1">
      <w:start w:val="1"/>
      <w:numFmt w:val="decimal"/>
      <w:lvlText w:val="%1.%2"/>
      <w:lvlJc w:val="left"/>
      <w:pPr>
        <w:ind w:left="1185" w:hanging="465"/>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3240" w:hanging="108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5040" w:hanging="144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840" w:hanging="180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num w:numId="1">
    <w:abstractNumId w:val="1"/>
    <w:lvlOverride w:ilvl="0">
      <w:startOverride w:val="2"/>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num>
  <w:num w:numId="4">
    <w:abstractNumId w:val="10"/>
  </w:num>
  <w:num w:numId="5">
    <w:abstractNumId w:val="11"/>
  </w:num>
  <w:num w:numId="6">
    <w:abstractNumId w:val="29"/>
  </w:num>
  <w:num w:numId="7">
    <w:abstractNumId w:val="12"/>
  </w:num>
  <w:num w:numId="8">
    <w:abstractNumId w:val="4"/>
  </w:num>
  <w:num w:numId="9">
    <w:abstractNumId w:val="31"/>
  </w:num>
  <w:num w:numId="10">
    <w:abstractNumId w:val="23"/>
  </w:num>
  <w:num w:numId="11">
    <w:abstractNumId w:val="24"/>
  </w:num>
  <w:num w:numId="12">
    <w:abstractNumId w:val="27"/>
  </w:num>
  <w:num w:numId="13">
    <w:abstractNumId w:val="18"/>
  </w:num>
  <w:num w:numId="14">
    <w:abstractNumId w:val="8"/>
  </w:num>
  <w:num w:numId="15">
    <w:abstractNumId w:val="26"/>
  </w:num>
  <w:num w:numId="16">
    <w:abstractNumId w:val="9"/>
  </w:num>
  <w:num w:numId="17">
    <w:abstractNumId w:val="20"/>
  </w:num>
  <w:num w:numId="18">
    <w:abstractNumId w:val="28"/>
  </w:num>
  <w:num w:numId="19">
    <w:abstractNumId w:val="16"/>
  </w:num>
  <w:num w:numId="20">
    <w:abstractNumId w:val="7"/>
  </w:num>
  <w:num w:numId="21">
    <w:abstractNumId w:val="15"/>
  </w:num>
  <w:num w:numId="22">
    <w:abstractNumId w:val="2"/>
  </w:num>
  <w:num w:numId="23">
    <w:abstractNumId w:val="19"/>
  </w:num>
  <w:num w:numId="24">
    <w:abstractNumId w:val="32"/>
  </w:num>
  <w:num w:numId="25">
    <w:abstractNumId w:val="13"/>
  </w:num>
  <w:num w:numId="26">
    <w:abstractNumId w:val="21"/>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7"/>
  </w:num>
  <w:num w:numId="31">
    <w:abstractNumId w:val="25"/>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2"/>
    <w:rsid w:val="00000FBD"/>
    <w:rsid w:val="00000FCC"/>
    <w:rsid w:val="00005A29"/>
    <w:rsid w:val="00006114"/>
    <w:rsid w:val="000122E9"/>
    <w:rsid w:val="00021192"/>
    <w:rsid w:val="000236B3"/>
    <w:rsid w:val="00025649"/>
    <w:rsid w:val="00034FB9"/>
    <w:rsid w:val="000519CF"/>
    <w:rsid w:val="00053B07"/>
    <w:rsid w:val="00055C74"/>
    <w:rsid w:val="000632EF"/>
    <w:rsid w:val="00067F52"/>
    <w:rsid w:val="00070B1D"/>
    <w:rsid w:val="00071FE3"/>
    <w:rsid w:val="0008111D"/>
    <w:rsid w:val="00090CA5"/>
    <w:rsid w:val="00097DF5"/>
    <w:rsid w:val="000A11B9"/>
    <w:rsid w:val="000A6780"/>
    <w:rsid w:val="000B0E3F"/>
    <w:rsid w:val="000B1FAC"/>
    <w:rsid w:val="000B4B13"/>
    <w:rsid w:val="000B7FB5"/>
    <w:rsid w:val="000C4104"/>
    <w:rsid w:val="000C4BFB"/>
    <w:rsid w:val="000D5E1A"/>
    <w:rsid w:val="000F36F5"/>
    <w:rsid w:val="00106246"/>
    <w:rsid w:val="00110235"/>
    <w:rsid w:val="00111090"/>
    <w:rsid w:val="0011347F"/>
    <w:rsid w:val="00114C6F"/>
    <w:rsid w:val="00117516"/>
    <w:rsid w:val="00132A44"/>
    <w:rsid w:val="00135AD1"/>
    <w:rsid w:val="001368A8"/>
    <w:rsid w:val="00136B41"/>
    <w:rsid w:val="00137330"/>
    <w:rsid w:val="00160D31"/>
    <w:rsid w:val="00161C07"/>
    <w:rsid w:val="00166F35"/>
    <w:rsid w:val="001760BE"/>
    <w:rsid w:val="001817BA"/>
    <w:rsid w:val="00183CC1"/>
    <w:rsid w:val="00194D61"/>
    <w:rsid w:val="001952B7"/>
    <w:rsid w:val="001A170B"/>
    <w:rsid w:val="001A7825"/>
    <w:rsid w:val="001B1BFC"/>
    <w:rsid w:val="001B6FBD"/>
    <w:rsid w:val="001D043F"/>
    <w:rsid w:val="001D75AE"/>
    <w:rsid w:val="001E0A69"/>
    <w:rsid w:val="001F194A"/>
    <w:rsid w:val="001F2C71"/>
    <w:rsid w:val="001F50E2"/>
    <w:rsid w:val="001F6C6B"/>
    <w:rsid w:val="00206A3C"/>
    <w:rsid w:val="00213CC7"/>
    <w:rsid w:val="00233F43"/>
    <w:rsid w:val="00240A19"/>
    <w:rsid w:val="002454F8"/>
    <w:rsid w:val="00255332"/>
    <w:rsid w:val="00262442"/>
    <w:rsid w:val="00272456"/>
    <w:rsid w:val="0027264A"/>
    <w:rsid w:val="002921E1"/>
    <w:rsid w:val="002A128D"/>
    <w:rsid w:val="002A5BC6"/>
    <w:rsid w:val="002B2A31"/>
    <w:rsid w:val="002B31F6"/>
    <w:rsid w:val="002B3ECC"/>
    <w:rsid w:val="002C18CB"/>
    <w:rsid w:val="002C4F35"/>
    <w:rsid w:val="002E1B0D"/>
    <w:rsid w:val="002E1EE8"/>
    <w:rsid w:val="002E4469"/>
    <w:rsid w:val="002E6D8D"/>
    <w:rsid w:val="002F0491"/>
    <w:rsid w:val="002F20E4"/>
    <w:rsid w:val="002F264E"/>
    <w:rsid w:val="0030385E"/>
    <w:rsid w:val="003057BE"/>
    <w:rsid w:val="003126F9"/>
    <w:rsid w:val="00315FAB"/>
    <w:rsid w:val="00317A64"/>
    <w:rsid w:val="00320827"/>
    <w:rsid w:val="00327417"/>
    <w:rsid w:val="00343749"/>
    <w:rsid w:val="0034384A"/>
    <w:rsid w:val="00354F61"/>
    <w:rsid w:val="003760B8"/>
    <w:rsid w:val="003761C1"/>
    <w:rsid w:val="0039477F"/>
    <w:rsid w:val="003A62D2"/>
    <w:rsid w:val="003B7E52"/>
    <w:rsid w:val="003D4E9F"/>
    <w:rsid w:val="003E0222"/>
    <w:rsid w:val="003E4B9D"/>
    <w:rsid w:val="003F66B8"/>
    <w:rsid w:val="00400B5C"/>
    <w:rsid w:val="004029A1"/>
    <w:rsid w:val="004053F7"/>
    <w:rsid w:val="00416A16"/>
    <w:rsid w:val="004251A3"/>
    <w:rsid w:val="00430071"/>
    <w:rsid w:val="00440FAD"/>
    <w:rsid w:val="004476C8"/>
    <w:rsid w:val="00447EB4"/>
    <w:rsid w:val="004529AD"/>
    <w:rsid w:val="004610FB"/>
    <w:rsid w:val="004619A5"/>
    <w:rsid w:val="004621FF"/>
    <w:rsid w:val="0047247A"/>
    <w:rsid w:val="00487457"/>
    <w:rsid w:val="004A6BE9"/>
    <w:rsid w:val="004B6993"/>
    <w:rsid w:val="004C374B"/>
    <w:rsid w:val="004C79D4"/>
    <w:rsid w:val="004D79C1"/>
    <w:rsid w:val="004E6779"/>
    <w:rsid w:val="004F425B"/>
    <w:rsid w:val="004F5FB0"/>
    <w:rsid w:val="0050662D"/>
    <w:rsid w:val="0051179E"/>
    <w:rsid w:val="00511E11"/>
    <w:rsid w:val="00516B58"/>
    <w:rsid w:val="0051702C"/>
    <w:rsid w:val="00526F97"/>
    <w:rsid w:val="0053349E"/>
    <w:rsid w:val="00534520"/>
    <w:rsid w:val="00536685"/>
    <w:rsid w:val="005368F0"/>
    <w:rsid w:val="00544EED"/>
    <w:rsid w:val="00547CFE"/>
    <w:rsid w:val="00552112"/>
    <w:rsid w:val="005779A5"/>
    <w:rsid w:val="00580A18"/>
    <w:rsid w:val="005859AC"/>
    <w:rsid w:val="00590D74"/>
    <w:rsid w:val="005918D9"/>
    <w:rsid w:val="005A13BC"/>
    <w:rsid w:val="005A3178"/>
    <w:rsid w:val="005A3E6D"/>
    <w:rsid w:val="005B2B5C"/>
    <w:rsid w:val="005C1811"/>
    <w:rsid w:val="005C2022"/>
    <w:rsid w:val="005C6DB9"/>
    <w:rsid w:val="005D124C"/>
    <w:rsid w:val="005D2576"/>
    <w:rsid w:val="005D2D30"/>
    <w:rsid w:val="005D4604"/>
    <w:rsid w:val="005D5410"/>
    <w:rsid w:val="005E04A5"/>
    <w:rsid w:val="00600DCD"/>
    <w:rsid w:val="006010FD"/>
    <w:rsid w:val="00601913"/>
    <w:rsid w:val="0060282B"/>
    <w:rsid w:val="00616C93"/>
    <w:rsid w:val="00625CCE"/>
    <w:rsid w:val="00630D98"/>
    <w:rsid w:val="006344A3"/>
    <w:rsid w:val="00634B0A"/>
    <w:rsid w:val="00636F32"/>
    <w:rsid w:val="00653696"/>
    <w:rsid w:val="00663ABF"/>
    <w:rsid w:val="00666F6D"/>
    <w:rsid w:val="00670F57"/>
    <w:rsid w:val="00675CAE"/>
    <w:rsid w:val="006828AC"/>
    <w:rsid w:val="0069026D"/>
    <w:rsid w:val="00697AAD"/>
    <w:rsid w:val="006A156C"/>
    <w:rsid w:val="006A190B"/>
    <w:rsid w:val="006A528F"/>
    <w:rsid w:val="006B04D4"/>
    <w:rsid w:val="006B2397"/>
    <w:rsid w:val="006C1E54"/>
    <w:rsid w:val="006C6F97"/>
    <w:rsid w:val="006D77D8"/>
    <w:rsid w:val="006E5F1B"/>
    <w:rsid w:val="006E6BBF"/>
    <w:rsid w:val="00704DAF"/>
    <w:rsid w:val="00712BEC"/>
    <w:rsid w:val="00715932"/>
    <w:rsid w:val="00722A67"/>
    <w:rsid w:val="007255A1"/>
    <w:rsid w:val="00727C16"/>
    <w:rsid w:val="00745C84"/>
    <w:rsid w:val="0075651A"/>
    <w:rsid w:val="007671B1"/>
    <w:rsid w:val="00781C39"/>
    <w:rsid w:val="00782E15"/>
    <w:rsid w:val="0078367A"/>
    <w:rsid w:val="00786B6C"/>
    <w:rsid w:val="00786C0D"/>
    <w:rsid w:val="00790344"/>
    <w:rsid w:val="00793408"/>
    <w:rsid w:val="00794028"/>
    <w:rsid w:val="0079405C"/>
    <w:rsid w:val="0079473B"/>
    <w:rsid w:val="007951EB"/>
    <w:rsid w:val="007A124A"/>
    <w:rsid w:val="007A241E"/>
    <w:rsid w:val="007A2682"/>
    <w:rsid w:val="007B500D"/>
    <w:rsid w:val="007C3368"/>
    <w:rsid w:val="007C46CD"/>
    <w:rsid w:val="007E6D97"/>
    <w:rsid w:val="007E752B"/>
    <w:rsid w:val="007F0994"/>
    <w:rsid w:val="007F2706"/>
    <w:rsid w:val="007F7807"/>
    <w:rsid w:val="0081367D"/>
    <w:rsid w:val="00821F3D"/>
    <w:rsid w:val="0082203C"/>
    <w:rsid w:val="00824A93"/>
    <w:rsid w:val="00825819"/>
    <w:rsid w:val="0083760B"/>
    <w:rsid w:val="00841761"/>
    <w:rsid w:val="0084209D"/>
    <w:rsid w:val="00846D47"/>
    <w:rsid w:val="008517C3"/>
    <w:rsid w:val="00851FF1"/>
    <w:rsid w:val="00857D0B"/>
    <w:rsid w:val="00860C48"/>
    <w:rsid w:val="008638DB"/>
    <w:rsid w:val="00864DE7"/>
    <w:rsid w:val="00871CAC"/>
    <w:rsid w:val="00872ABC"/>
    <w:rsid w:val="00880661"/>
    <w:rsid w:val="00880C7B"/>
    <w:rsid w:val="0089280C"/>
    <w:rsid w:val="00893931"/>
    <w:rsid w:val="008A443D"/>
    <w:rsid w:val="008A5F5D"/>
    <w:rsid w:val="008A6A6D"/>
    <w:rsid w:val="008B117F"/>
    <w:rsid w:val="008B54A3"/>
    <w:rsid w:val="008B6C49"/>
    <w:rsid w:val="008D191D"/>
    <w:rsid w:val="008E439B"/>
    <w:rsid w:val="008E558E"/>
    <w:rsid w:val="008E5F1C"/>
    <w:rsid w:val="008E67ED"/>
    <w:rsid w:val="008E7449"/>
    <w:rsid w:val="008F5514"/>
    <w:rsid w:val="009047CD"/>
    <w:rsid w:val="00910812"/>
    <w:rsid w:val="009132F5"/>
    <w:rsid w:val="00915771"/>
    <w:rsid w:val="00923881"/>
    <w:rsid w:val="0093580A"/>
    <w:rsid w:val="00936256"/>
    <w:rsid w:val="0094427E"/>
    <w:rsid w:val="00944A66"/>
    <w:rsid w:val="0094587F"/>
    <w:rsid w:val="009517A5"/>
    <w:rsid w:val="009611A3"/>
    <w:rsid w:val="00964429"/>
    <w:rsid w:val="00975625"/>
    <w:rsid w:val="009758ED"/>
    <w:rsid w:val="00977288"/>
    <w:rsid w:val="00977F02"/>
    <w:rsid w:val="0098035B"/>
    <w:rsid w:val="009817C9"/>
    <w:rsid w:val="009911FF"/>
    <w:rsid w:val="00993FDD"/>
    <w:rsid w:val="0099735D"/>
    <w:rsid w:val="0099756E"/>
    <w:rsid w:val="009A00F0"/>
    <w:rsid w:val="009A028D"/>
    <w:rsid w:val="009A4B86"/>
    <w:rsid w:val="009B12C7"/>
    <w:rsid w:val="009C1978"/>
    <w:rsid w:val="009C33CA"/>
    <w:rsid w:val="009C5F9B"/>
    <w:rsid w:val="009C64D1"/>
    <w:rsid w:val="009C7C9B"/>
    <w:rsid w:val="009D0942"/>
    <w:rsid w:val="00A0426A"/>
    <w:rsid w:val="00A0799D"/>
    <w:rsid w:val="00A07AF0"/>
    <w:rsid w:val="00A1651B"/>
    <w:rsid w:val="00A33F46"/>
    <w:rsid w:val="00A34382"/>
    <w:rsid w:val="00A355D4"/>
    <w:rsid w:val="00A36F38"/>
    <w:rsid w:val="00A372C2"/>
    <w:rsid w:val="00A4020F"/>
    <w:rsid w:val="00A41184"/>
    <w:rsid w:val="00A4775A"/>
    <w:rsid w:val="00A47A00"/>
    <w:rsid w:val="00A50BC4"/>
    <w:rsid w:val="00A51A94"/>
    <w:rsid w:val="00A521F4"/>
    <w:rsid w:val="00A56E73"/>
    <w:rsid w:val="00A70E53"/>
    <w:rsid w:val="00A77290"/>
    <w:rsid w:val="00A80520"/>
    <w:rsid w:val="00A85CDA"/>
    <w:rsid w:val="00A973E9"/>
    <w:rsid w:val="00AB695C"/>
    <w:rsid w:val="00AC52D8"/>
    <w:rsid w:val="00AD0F7D"/>
    <w:rsid w:val="00AD5DE9"/>
    <w:rsid w:val="00AE13D0"/>
    <w:rsid w:val="00AE1B7F"/>
    <w:rsid w:val="00AF2705"/>
    <w:rsid w:val="00AF7003"/>
    <w:rsid w:val="00B027A9"/>
    <w:rsid w:val="00B15253"/>
    <w:rsid w:val="00B15730"/>
    <w:rsid w:val="00B23086"/>
    <w:rsid w:val="00B272C3"/>
    <w:rsid w:val="00B318F5"/>
    <w:rsid w:val="00B42B47"/>
    <w:rsid w:val="00B47C87"/>
    <w:rsid w:val="00B53EA5"/>
    <w:rsid w:val="00B565AE"/>
    <w:rsid w:val="00B80461"/>
    <w:rsid w:val="00B805FD"/>
    <w:rsid w:val="00B874C9"/>
    <w:rsid w:val="00B90190"/>
    <w:rsid w:val="00B90EE2"/>
    <w:rsid w:val="00BA173B"/>
    <w:rsid w:val="00BA68F2"/>
    <w:rsid w:val="00BB673E"/>
    <w:rsid w:val="00BC4773"/>
    <w:rsid w:val="00BC4E0C"/>
    <w:rsid w:val="00BC50E1"/>
    <w:rsid w:val="00BD6694"/>
    <w:rsid w:val="00BE2849"/>
    <w:rsid w:val="00BE5219"/>
    <w:rsid w:val="00BF5F1D"/>
    <w:rsid w:val="00C14A6C"/>
    <w:rsid w:val="00C21557"/>
    <w:rsid w:val="00C27674"/>
    <w:rsid w:val="00C345DA"/>
    <w:rsid w:val="00C348DA"/>
    <w:rsid w:val="00C40B62"/>
    <w:rsid w:val="00C7280F"/>
    <w:rsid w:val="00C80FCF"/>
    <w:rsid w:val="00C84ED2"/>
    <w:rsid w:val="00C86BCE"/>
    <w:rsid w:val="00C90E07"/>
    <w:rsid w:val="00C93139"/>
    <w:rsid w:val="00CB1446"/>
    <w:rsid w:val="00CB5D50"/>
    <w:rsid w:val="00CC556D"/>
    <w:rsid w:val="00CE1029"/>
    <w:rsid w:val="00CE31FB"/>
    <w:rsid w:val="00CE5F71"/>
    <w:rsid w:val="00CF3DB3"/>
    <w:rsid w:val="00D02015"/>
    <w:rsid w:val="00D07BE6"/>
    <w:rsid w:val="00D140B5"/>
    <w:rsid w:val="00D328B9"/>
    <w:rsid w:val="00D369F5"/>
    <w:rsid w:val="00D45197"/>
    <w:rsid w:val="00D61FD8"/>
    <w:rsid w:val="00D660BC"/>
    <w:rsid w:val="00D72712"/>
    <w:rsid w:val="00D7637B"/>
    <w:rsid w:val="00D849CA"/>
    <w:rsid w:val="00D86A69"/>
    <w:rsid w:val="00D955FD"/>
    <w:rsid w:val="00D9661B"/>
    <w:rsid w:val="00DA042D"/>
    <w:rsid w:val="00DA252F"/>
    <w:rsid w:val="00DA618B"/>
    <w:rsid w:val="00DB6BC1"/>
    <w:rsid w:val="00DC08E1"/>
    <w:rsid w:val="00DC2FEE"/>
    <w:rsid w:val="00DD4879"/>
    <w:rsid w:val="00DD53C0"/>
    <w:rsid w:val="00DE0605"/>
    <w:rsid w:val="00DF3C1F"/>
    <w:rsid w:val="00E036EE"/>
    <w:rsid w:val="00E06E4C"/>
    <w:rsid w:val="00E11062"/>
    <w:rsid w:val="00E1442D"/>
    <w:rsid w:val="00E20388"/>
    <w:rsid w:val="00E254B3"/>
    <w:rsid w:val="00E30B7A"/>
    <w:rsid w:val="00E34A52"/>
    <w:rsid w:val="00E3655C"/>
    <w:rsid w:val="00E41BD1"/>
    <w:rsid w:val="00E42690"/>
    <w:rsid w:val="00E45535"/>
    <w:rsid w:val="00E50815"/>
    <w:rsid w:val="00E53430"/>
    <w:rsid w:val="00E6338B"/>
    <w:rsid w:val="00E633D9"/>
    <w:rsid w:val="00E70984"/>
    <w:rsid w:val="00E7699C"/>
    <w:rsid w:val="00E9281A"/>
    <w:rsid w:val="00E92FDF"/>
    <w:rsid w:val="00EA3A4E"/>
    <w:rsid w:val="00EB44CD"/>
    <w:rsid w:val="00EE1377"/>
    <w:rsid w:val="00EE192E"/>
    <w:rsid w:val="00EF3F23"/>
    <w:rsid w:val="00F00FF4"/>
    <w:rsid w:val="00F02186"/>
    <w:rsid w:val="00F028C0"/>
    <w:rsid w:val="00F05EF6"/>
    <w:rsid w:val="00F07B8D"/>
    <w:rsid w:val="00F123C7"/>
    <w:rsid w:val="00F16D07"/>
    <w:rsid w:val="00F21B1A"/>
    <w:rsid w:val="00F2330C"/>
    <w:rsid w:val="00F2506B"/>
    <w:rsid w:val="00F27DB6"/>
    <w:rsid w:val="00F30838"/>
    <w:rsid w:val="00F3087C"/>
    <w:rsid w:val="00F5022C"/>
    <w:rsid w:val="00F520EC"/>
    <w:rsid w:val="00F649B0"/>
    <w:rsid w:val="00F71002"/>
    <w:rsid w:val="00F73268"/>
    <w:rsid w:val="00F746DB"/>
    <w:rsid w:val="00F76F6F"/>
    <w:rsid w:val="00F80BE7"/>
    <w:rsid w:val="00F82B50"/>
    <w:rsid w:val="00F83437"/>
    <w:rsid w:val="00F85BD8"/>
    <w:rsid w:val="00F87C9D"/>
    <w:rsid w:val="00F91787"/>
    <w:rsid w:val="00F91D58"/>
    <w:rsid w:val="00F92133"/>
    <w:rsid w:val="00FA02FA"/>
    <w:rsid w:val="00FA20D6"/>
    <w:rsid w:val="00FC08A1"/>
    <w:rsid w:val="00FC0955"/>
    <w:rsid w:val="00FC2DC6"/>
    <w:rsid w:val="00FD1926"/>
    <w:rsid w:val="00FD6FE0"/>
    <w:rsid w:val="00FD7C6A"/>
    <w:rsid w:val="00FE00E8"/>
    <w:rsid w:val="00FE2DC1"/>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EAB4D-2323-49EE-A773-C9FAA31C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22"/>
  </w:style>
  <w:style w:type="paragraph" w:styleId="Heading1">
    <w:name w:val="heading 1"/>
    <w:basedOn w:val="Normal"/>
    <w:next w:val="Normal"/>
    <w:link w:val="Heading1Char"/>
    <w:uiPriority w:val="9"/>
    <w:qFormat/>
    <w:rsid w:val="005C20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02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C2022"/>
    <w:pPr>
      <w:ind w:left="720"/>
      <w:contextualSpacing/>
    </w:pPr>
  </w:style>
  <w:style w:type="paragraph" w:customStyle="1" w:styleId="Style">
    <w:name w:val="Style"/>
    <w:uiPriority w:val="99"/>
    <w:rsid w:val="005C2022"/>
    <w:pPr>
      <w:widowControl w:val="0"/>
      <w:autoSpaceDE w:val="0"/>
      <w:autoSpaceDN w:val="0"/>
      <w:adjustRightInd w:val="0"/>
      <w:spacing w:after="0" w:line="240" w:lineRule="auto"/>
    </w:pPr>
    <w:rPr>
      <w:rFonts w:ascii="Arial" w:eastAsiaTheme="minorEastAsia" w:hAnsi="Arial" w:cs="Arial"/>
      <w:sz w:val="24"/>
      <w:szCs w:val="24"/>
    </w:rPr>
  </w:style>
  <w:style w:type="paragraph" w:styleId="BodyText">
    <w:name w:val="Body Text"/>
    <w:basedOn w:val="Normal"/>
    <w:link w:val="BodyTextChar"/>
    <w:uiPriority w:val="99"/>
    <w:rsid w:val="005C2022"/>
    <w:pPr>
      <w:spacing w:after="220" w:line="220" w:lineRule="atLeast"/>
      <w:ind w:left="835"/>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5C2022"/>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C20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022"/>
    <w:rPr>
      <w:sz w:val="20"/>
      <w:szCs w:val="20"/>
    </w:rPr>
  </w:style>
  <w:style w:type="character" w:styleId="FootnoteReference">
    <w:name w:val="footnote reference"/>
    <w:aliases w:val="-E Fußnotenzeichen"/>
    <w:uiPriority w:val="99"/>
    <w:qFormat/>
    <w:rsid w:val="005C2022"/>
    <w:rPr>
      <w:vertAlign w:val="superscript"/>
    </w:rPr>
  </w:style>
  <w:style w:type="paragraph" w:styleId="NoSpacing">
    <w:name w:val="No Spacing"/>
    <w:uiPriority w:val="1"/>
    <w:qFormat/>
    <w:rsid w:val="005C2022"/>
    <w:pPr>
      <w:widowControl w:val="0"/>
      <w:spacing w:after="0" w:line="240" w:lineRule="auto"/>
      <w:jc w:val="both"/>
    </w:pPr>
    <w:rPr>
      <w:rFonts w:ascii="Arial" w:eastAsia="Times New Roman" w:hAnsi="Arial" w:cs="Arial"/>
      <w:spacing w:val="-3"/>
      <w:sz w:val="24"/>
      <w:szCs w:val="24"/>
      <w:lang w:val="en-GB"/>
    </w:rPr>
  </w:style>
  <w:style w:type="paragraph" w:styleId="Header">
    <w:name w:val="header"/>
    <w:basedOn w:val="Normal"/>
    <w:link w:val="HeaderChar"/>
    <w:uiPriority w:val="99"/>
    <w:unhideWhenUsed/>
    <w:rsid w:val="005C2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022"/>
  </w:style>
  <w:style w:type="paragraph" w:styleId="Footer">
    <w:name w:val="footer"/>
    <w:basedOn w:val="Normal"/>
    <w:link w:val="FooterChar"/>
    <w:uiPriority w:val="99"/>
    <w:unhideWhenUsed/>
    <w:rsid w:val="005C2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022"/>
  </w:style>
  <w:style w:type="paragraph" w:styleId="NormalWeb">
    <w:name w:val="Normal (Web)"/>
    <w:basedOn w:val="Normal"/>
    <w:uiPriority w:val="99"/>
    <w:semiHidden/>
    <w:unhideWhenUsed/>
    <w:rsid w:val="005C2022"/>
    <w:rPr>
      <w:rFonts w:ascii="Times New Roman" w:hAnsi="Times New Roman" w:cs="Times New Roman"/>
      <w:sz w:val="24"/>
      <w:szCs w:val="24"/>
    </w:rPr>
  </w:style>
  <w:style w:type="character" w:styleId="Hyperlink">
    <w:name w:val="Hyperlink"/>
    <w:basedOn w:val="DefaultParagraphFont"/>
    <w:uiPriority w:val="99"/>
    <w:unhideWhenUsed/>
    <w:rsid w:val="005C2022"/>
    <w:rPr>
      <w:color w:val="0000FF" w:themeColor="hyperlink"/>
      <w:u w:val="single"/>
    </w:rPr>
  </w:style>
  <w:style w:type="table" w:styleId="TableGrid">
    <w:name w:val="Table Grid"/>
    <w:basedOn w:val="TableNormal"/>
    <w:uiPriority w:val="59"/>
    <w:rsid w:val="005C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022"/>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C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22"/>
    <w:rPr>
      <w:rFonts w:ascii="Tahoma" w:hAnsi="Tahoma" w:cs="Tahoma"/>
      <w:sz w:val="16"/>
      <w:szCs w:val="16"/>
    </w:rPr>
  </w:style>
  <w:style w:type="paragraph" w:styleId="EndnoteText">
    <w:name w:val="endnote text"/>
    <w:basedOn w:val="Normal"/>
    <w:link w:val="EndnoteTextChar"/>
    <w:uiPriority w:val="99"/>
    <w:semiHidden/>
    <w:unhideWhenUsed/>
    <w:rsid w:val="00CE10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1029"/>
    <w:rPr>
      <w:sz w:val="20"/>
      <w:szCs w:val="20"/>
    </w:rPr>
  </w:style>
  <w:style w:type="character" w:styleId="EndnoteReference">
    <w:name w:val="endnote reference"/>
    <w:basedOn w:val="DefaultParagraphFont"/>
    <w:uiPriority w:val="99"/>
    <w:semiHidden/>
    <w:unhideWhenUsed/>
    <w:rsid w:val="00CE1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2890">
      <w:bodyDiv w:val="1"/>
      <w:marLeft w:val="0"/>
      <w:marRight w:val="0"/>
      <w:marTop w:val="0"/>
      <w:marBottom w:val="0"/>
      <w:divBdr>
        <w:top w:val="none" w:sz="0" w:space="0" w:color="auto"/>
        <w:left w:val="none" w:sz="0" w:space="0" w:color="auto"/>
        <w:bottom w:val="none" w:sz="0" w:space="0" w:color="auto"/>
        <w:right w:val="none" w:sz="0" w:space="0" w:color="auto"/>
      </w:divBdr>
    </w:div>
    <w:div w:id="862326271">
      <w:bodyDiv w:val="1"/>
      <w:marLeft w:val="0"/>
      <w:marRight w:val="0"/>
      <w:marTop w:val="0"/>
      <w:marBottom w:val="0"/>
      <w:divBdr>
        <w:top w:val="none" w:sz="0" w:space="0" w:color="auto"/>
        <w:left w:val="none" w:sz="0" w:space="0" w:color="auto"/>
        <w:bottom w:val="none" w:sz="0" w:space="0" w:color="auto"/>
        <w:right w:val="none" w:sz="0" w:space="0" w:color="auto"/>
      </w:divBdr>
    </w:div>
    <w:div w:id="990791156">
      <w:bodyDiv w:val="1"/>
      <w:marLeft w:val="0"/>
      <w:marRight w:val="0"/>
      <w:marTop w:val="0"/>
      <w:marBottom w:val="0"/>
      <w:divBdr>
        <w:top w:val="none" w:sz="0" w:space="0" w:color="auto"/>
        <w:left w:val="none" w:sz="0" w:space="0" w:color="auto"/>
        <w:bottom w:val="none" w:sz="0" w:space="0" w:color="auto"/>
        <w:right w:val="none" w:sz="0" w:space="0" w:color="auto"/>
      </w:divBdr>
    </w:div>
    <w:div w:id="1339884960">
      <w:bodyDiv w:val="1"/>
      <w:marLeft w:val="0"/>
      <w:marRight w:val="0"/>
      <w:marTop w:val="0"/>
      <w:marBottom w:val="0"/>
      <w:divBdr>
        <w:top w:val="none" w:sz="0" w:space="0" w:color="auto"/>
        <w:left w:val="none" w:sz="0" w:space="0" w:color="auto"/>
        <w:bottom w:val="none" w:sz="0" w:space="0" w:color="auto"/>
        <w:right w:val="none" w:sz="0" w:space="0" w:color="auto"/>
      </w:divBdr>
    </w:div>
    <w:div w:id="1543832538">
      <w:bodyDiv w:val="1"/>
      <w:marLeft w:val="0"/>
      <w:marRight w:val="0"/>
      <w:marTop w:val="0"/>
      <w:marBottom w:val="0"/>
      <w:divBdr>
        <w:top w:val="none" w:sz="0" w:space="0" w:color="auto"/>
        <w:left w:val="none" w:sz="0" w:space="0" w:color="auto"/>
        <w:bottom w:val="none" w:sz="0" w:space="0" w:color="auto"/>
        <w:right w:val="none" w:sz="0" w:space="0" w:color="auto"/>
      </w:divBdr>
    </w:div>
    <w:div w:id="17738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B2FF-CC98-4536-808F-BE715048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CLEVER</dc:creator>
  <cp:lastModifiedBy>User</cp:lastModifiedBy>
  <cp:revision>2</cp:revision>
  <cp:lastPrinted>2017-07-26T14:28:00Z</cp:lastPrinted>
  <dcterms:created xsi:type="dcterms:W3CDTF">2017-07-28T11:18:00Z</dcterms:created>
  <dcterms:modified xsi:type="dcterms:W3CDTF">2017-07-28T11:18:00Z</dcterms:modified>
</cp:coreProperties>
</file>