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val="en-US"/>
        </w:rPr>
        <w:drawing>
          <wp:inline distT="0" distB="0" distL="0" distR="0" wp14:anchorId="2248508C" wp14:editId="4B46E0C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4064AC" w:rsidRPr="00496CEE" w:rsidRDefault="004064AC" w:rsidP="004064AC">
      <w:pPr>
        <w:spacing w:line="480" w:lineRule="auto"/>
        <w:ind w:left="1701"/>
        <w:jc w:val="right"/>
        <w:rPr>
          <w:rFonts w:ascii="Arial" w:hAnsi="Arial" w:cs="Arial"/>
          <w:b/>
          <w:sz w:val="24"/>
          <w:szCs w:val="24"/>
        </w:rPr>
      </w:pPr>
      <w:r w:rsidRPr="00496CEE">
        <w:rPr>
          <w:rFonts w:ascii="Arial" w:hAnsi="Arial" w:cs="Arial"/>
          <w:b/>
          <w:sz w:val="24"/>
          <w:szCs w:val="24"/>
        </w:rPr>
        <w:t>REPORTABLE</w:t>
      </w:r>
    </w:p>
    <w:p w:rsidR="004064AC" w:rsidRPr="00496CEE" w:rsidRDefault="004064AC" w:rsidP="004064AC">
      <w:pPr>
        <w:spacing w:line="480" w:lineRule="auto"/>
        <w:ind w:left="1701"/>
        <w:jc w:val="right"/>
        <w:rPr>
          <w:rFonts w:ascii="Arial" w:hAnsi="Arial" w:cs="Arial"/>
          <w:sz w:val="24"/>
          <w:szCs w:val="24"/>
        </w:rPr>
      </w:pPr>
      <w:r w:rsidRPr="00496CEE">
        <w:rPr>
          <w:rFonts w:ascii="Arial" w:hAnsi="Arial" w:cs="Arial"/>
          <w:sz w:val="24"/>
          <w:szCs w:val="24"/>
        </w:rPr>
        <w:t xml:space="preserve">CASE NO: SA </w:t>
      </w:r>
      <w:r>
        <w:rPr>
          <w:rFonts w:ascii="Arial" w:hAnsi="Arial" w:cs="Arial"/>
          <w:sz w:val="24"/>
          <w:szCs w:val="24"/>
        </w:rPr>
        <w:t>21</w:t>
      </w:r>
      <w:r w:rsidRPr="00496CEE">
        <w:rPr>
          <w:rFonts w:ascii="Arial" w:hAnsi="Arial" w:cs="Arial"/>
          <w:sz w:val="24"/>
          <w:szCs w:val="24"/>
        </w:rPr>
        <w:t>/201</w:t>
      </w:r>
      <w:r>
        <w:rPr>
          <w:rFonts w:ascii="Arial" w:hAnsi="Arial" w:cs="Arial"/>
          <w:sz w:val="24"/>
          <w:szCs w:val="24"/>
        </w:rPr>
        <w:t>6</w:t>
      </w:r>
    </w:p>
    <w:p w:rsidR="004064AC" w:rsidRPr="00480D26" w:rsidRDefault="004064AC" w:rsidP="00CA34AF">
      <w:pPr>
        <w:pStyle w:val="NoSpacing"/>
        <w:spacing w:line="360" w:lineRule="auto"/>
        <w:rPr>
          <w:rFonts w:ascii="Arial" w:hAnsi="Arial" w:cs="Arial"/>
          <w:b/>
          <w:sz w:val="24"/>
          <w:szCs w:val="24"/>
        </w:rPr>
      </w:pPr>
      <w:r w:rsidRPr="00480D26">
        <w:rPr>
          <w:rFonts w:ascii="Arial" w:hAnsi="Arial" w:cs="Arial"/>
          <w:b/>
          <w:sz w:val="24"/>
          <w:szCs w:val="24"/>
        </w:rPr>
        <w:t>IN THE SUPREME COURT OF NAMIBIA</w:t>
      </w:r>
    </w:p>
    <w:tbl>
      <w:tblPr>
        <w:tblW w:w="8897" w:type="dxa"/>
        <w:tblInd w:w="-142" w:type="dxa"/>
        <w:tblLook w:val="04A0" w:firstRow="1" w:lastRow="0" w:firstColumn="1" w:lastColumn="0" w:noHBand="0" w:noVBand="1"/>
      </w:tblPr>
      <w:tblGrid>
        <w:gridCol w:w="2693"/>
        <w:gridCol w:w="3511"/>
        <w:gridCol w:w="2693"/>
      </w:tblGrid>
      <w:tr w:rsidR="004064AC" w:rsidRPr="00480D26" w:rsidTr="007A5543">
        <w:tc>
          <w:tcPr>
            <w:tcW w:w="6204" w:type="dxa"/>
            <w:gridSpan w:val="2"/>
            <w:shd w:val="clear" w:color="auto" w:fill="auto"/>
          </w:tcPr>
          <w:p w:rsidR="00480D26" w:rsidRDefault="00480D26" w:rsidP="00CA34AF">
            <w:pPr>
              <w:pStyle w:val="NoSpacing"/>
              <w:spacing w:line="360" w:lineRule="auto"/>
              <w:rPr>
                <w:rFonts w:ascii="Arial" w:hAnsi="Arial" w:cs="Arial"/>
                <w:sz w:val="24"/>
                <w:szCs w:val="24"/>
              </w:rPr>
            </w:pPr>
          </w:p>
          <w:p w:rsidR="004064AC" w:rsidRPr="00480D26" w:rsidRDefault="004064AC" w:rsidP="00CA34AF">
            <w:pPr>
              <w:pStyle w:val="NoSpacing"/>
              <w:spacing w:line="360" w:lineRule="auto"/>
              <w:rPr>
                <w:rFonts w:ascii="Arial" w:hAnsi="Arial" w:cs="Arial"/>
                <w:sz w:val="24"/>
                <w:szCs w:val="24"/>
              </w:rPr>
            </w:pPr>
            <w:r w:rsidRPr="00480D26">
              <w:rPr>
                <w:rFonts w:ascii="Arial" w:hAnsi="Arial" w:cs="Arial"/>
                <w:sz w:val="24"/>
                <w:szCs w:val="24"/>
              </w:rPr>
              <w:t>In the matter between:</w:t>
            </w:r>
          </w:p>
          <w:p w:rsidR="00480D26" w:rsidRPr="00480D26" w:rsidRDefault="00480D26" w:rsidP="00CA34AF">
            <w:pPr>
              <w:pStyle w:val="NoSpacing"/>
              <w:spacing w:line="360" w:lineRule="auto"/>
              <w:rPr>
                <w:rFonts w:ascii="Arial" w:hAnsi="Arial" w:cs="Arial"/>
                <w:sz w:val="24"/>
                <w:szCs w:val="24"/>
                <w:lang w:val="fr-BE"/>
              </w:rPr>
            </w:pPr>
          </w:p>
          <w:p w:rsidR="004064AC" w:rsidRPr="00480D26" w:rsidRDefault="004064AC" w:rsidP="00CA34AF">
            <w:pPr>
              <w:pStyle w:val="NoSpacing"/>
              <w:spacing w:line="360" w:lineRule="auto"/>
              <w:rPr>
                <w:rFonts w:ascii="Arial" w:hAnsi="Arial" w:cs="Arial"/>
                <w:b/>
                <w:sz w:val="24"/>
                <w:szCs w:val="24"/>
                <w:lang w:val="fr-BE"/>
              </w:rPr>
            </w:pPr>
            <w:r w:rsidRPr="00480D26">
              <w:rPr>
                <w:rFonts w:ascii="Arial" w:hAnsi="Arial" w:cs="Arial"/>
                <w:b/>
                <w:sz w:val="24"/>
                <w:szCs w:val="24"/>
                <w:lang w:val="fr-BE"/>
              </w:rPr>
              <w:t>THE COUNCIL OF THE ITIRELENG VILLAGE COMMUNITY</w:t>
            </w:r>
            <w:r w:rsidR="009161DB">
              <w:rPr>
                <w:rFonts w:ascii="Arial" w:hAnsi="Arial" w:cs="Arial"/>
                <w:b/>
                <w:sz w:val="24"/>
                <w:szCs w:val="24"/>
                <w:lang w:val="fr-BE"/>
              </w:rPr>
              <w:t xml:space="preserve"> (Comprising the members listed per annexure ABM1)</w:t>
            </w:r>
            <w:r w:rsidRPr="00480D26">
              <w:rPr>
                <w:rFonts w:ascii="Arial" w:hAnsi="Arial" w:cs="Arial"/>
                <w:b/>
                <w:sz w:val="24"/>
                <w:szCs w:val="24"/>
                <w:lang w:val="fr-BE"/>
              </w:rPr>
              <w:t xml:space="preserve">  </w:t>
            </w:r>
          </w:p>
          <w:p w:rsidR="004064AC" w:rsidRPr="00480D26" w:rsidRDefault="004064AC" w:rsidP="00CA34AF">
            <w:pPr>
              <w:pStyle w:val="NoSpacing"/>
              <w:spacing w:line="360" w:lineRule="auto"/>
              <w:rPr>
                <w:rFonts w:ascii="Arial" w:hAnsi="Arial" w:cs="Arial"/>
                <w:sz w:val="24"/>
                <w:szCs w:val="24"/>
              </w:rPr>
            </w:pPr>
          </w:p>
        </w:tc>
        <w:tc>
          <w:tcPr>
            <w:tcW w:w="2693" w:type="dxa"/>
            <w:shd w:val="clear" w:color="auto" w:fill="auto"/>
          </w:tcPr>
          <w:p w:rsidR="004064AC" w:rsidRPr="00480D26" w:rsidRDefault="004064AC" w:rsidP="00CA34AF">
            <w:pPr>
              <w:pStyle w:val="NoSpacing"/>
              <w:spacing w:line="360" w:lineRule="auto"/>
              <w:rPr>
                <w:rFonts w:ascii="Arial" w:hAnsi="Arial" w:cs="Arial"/>
                <w:sz w:val="24"/>
                <w:szCs w:val="24"/>
              </w:rPr>
            </w:pPr>
          </w:p>
          <w:p w:rsidR="004064AC" w:rsidRPr="00480D26" w:rsidRDefault="004064AC" w:rsidP="00CA34AF">
            <w:pPr>
              <w:pStyle w:val="NoSpacing"/>
              <w:spacing w:line="360" w:lineRule="auto"/>
              <w:rPr>
                <w:rFonts w:ascii="Arial" w:hAnsi="Arial" w:cs="Arial"/>
                <w:sz w:val="24"/>
                <w:szCs w:val="24"/>
              </w:rPr>
            </w:pPr>
          </w:p>
          <w:p w:rsidR="00480D26" w:rsidRDefault="00480D26" w:rsidP="00CA34AF">
            <w:pPr>
              <w:pStyle w:val="NoSpacing"/>
              <w:spacing w:line="360" w:lineRule="auto"/>
              <w:jc w:val="right"/>
              <w:rPr>
                <w:rFonts w:ascii="Arial" w:hAnsi="Arial" w:cs="Arial"/>
                <w:sz w:val="24"/>
                <w:szCs w:val="24"/>
              </w:rPr>
            </w:pPr>
          </w:p>
          <w:p w:rsidR="00480D26" w:rsidRDefault="00480D26" w:rsidP="00CA34AF">
            <w:pPr>
              <w:pStyle w:val="NoSpacing"/>
              <w:spacing w:line="360" w:lineRule="auto"/>
              <w:jc w:val="right"/>
              <w:rPr>
                <w:rFonts w:ascii="Arial" w:hAnsi="Arial" w:cs="Arial"/>
                <w:b/>
                <w:sz w:val="24"/>
                <w:szCs w:val="24"/>
              </w:rPr>
            </w:pPr>
          </w:p>
          <w:p w:rsidR="009161DB" w:rsidRDefault="009161DB" w:rsidP="00CA34AF">
            <w:pPr>
              <w:pStyle w:val="NoSpacing"/>
              <w:spacing w:line="360" w:lineRule="auto"/>
              <w:jc w:val="right"/>
              <w:rPr>
                <w:rFonts w:ascii="Arial" w:hAnsi="Arial" w:cs="Arial"/>
                <w:b/>
                <w:sz w:val="24"/>
                <w:szCs w:val="24"/>
              </w:rPr>
            </w:pPr>
          </w:p>
          <w:p w:rsidR="004064AC" w:rsidRPr="00480D26" w:rsidRDefault="004064AC" w:rsidP="00CA34AF">
            <w:pPr>
              <w:pStyle w:val="NoSpacing"/>
              <w:spacing w:line="360" w:lineRule="auto"/>
              <w:jc w:val="right"/>
              <w:rPr>
                <w:rFonts w:ascii="Arial" w:hAnsi="Arial" w:cs="Arial"/>
                <w:b/>
                <w:sz w:val="24"/>
                <w:szCs w:val="24"/>
              </w:rPr>
            </w:pPr>
            <w:r w:rsidRPr="00480D26">
              <w:rPr>
                <w:rFonts w:ascii="Arial" w:hAnsi="Arial" w:cs="Arial"/>
                <w:b/>
                <w:sz w:val="24"/>
                <w:szCs w:val="24"/>
              </w:rPr>
              <w:t>1</w:t>
            </w:r>
            <w:r w:rsidRPr="00480D26">
              <w:rPr>
                <w:rFonts w:ascii="Arial" w:hAnsi="Arial" w:cs="Arial"/>
                <w:b/>
                <w:sz w:val="24"/>
                <w:szCs w:val="24"/>
                <w:vertAlign w:val="superscript"/>
              </w:rPr>
              <w:t>st</w:t>
            </w:r>
            <w:r w:rsidRPr="00480D26">
              <w:rPr>
                <w:rFonts w:ascii="Arial" w:hAnsi="Arial" w:cs="Arial"/>
                <w:b/>
                <w:sz w:val="24"/>
                <w:szCs w:val="24"/>
              </w:rPr>
              <w:t xml:space="preserve"> Appellant</w:t>
            </w:r>
          </w:p>
        </w:tc>
      </w:tr>
      <w:tr w:rsidR="004064AC" w:rsidRPr="00480D26" w:rsidTr="007A5543">
        <w:tc>
          <w:tcPr>
            <w:tcW w:w="6204" w:type="dxa"/>
            <w:gridSpan w:val="2"/>
            <w:shd w:val="clear" w:color="auto" w:fill="auto"/>
          </w:tcPr>
          <w:p w:rsidR="004064AC" w:rsidRPr="00480D26" w:rsidRDefault="009161DB" w:rsidP="00480D26">
            <w:pPr>
              <w:pStyle w:val="NoSpacing"/>
              <w:rPr>
                <w:rFonts w:ascii="Arial" w:hAnsi="Arial" w:cs="Arial"/>
                <w:b/>
                <w:sz w:val="24"/>
                <w:szCs w:val="24"/>
                <w:lang w:val="fr-BE"/>
              </w:rPr>
            </w:pPr>
            <w:r>
              <w:rPr>
                <w:rFonts w:ascii="Arial" w:hAnsi="Arial" w:cs="Arial"/>
                <w:b/>
                <w:sz w:val="24"/>
                <w:szCs w:val="24"/>
                <w:lang w:val="fr-BE"/>
              </w:rPr>
              <w:t>AUGUSTINUS BEBENG MODISA</w:t>
            </w:r>
          </w:p>
        </w:tc>
        <w:tc>
          <w:tcPr>
            <w:tcW w:w="2693" w:type="dxa"/>
            <w:shd w:val="clear" w:color="auto" w:fill="auto"/>
          </w:tcPr>
          <w:p w:rsidR="004064AC" w:rsidRPr="00480D26" w:rsidRDefault="004064AC" w:rsidP="00480D26">
            <w:pPr>
              <w:pStyle w:val="NoSpacing"/>
              <w:jc w:val="right"/>
              <w:rPr>
                <w:rFonts w:ascii="Arial" w:hAnsi="Arial" w:cs="Arial"/>
                <w:b/>
                <w:sz w:val="24"/>
                <w:szCs w:val="24"/>
              </w:rPr>
            </w:pPr>
            <w:r w:rsidRPr="00480D26">
              <w:rPr>
                <w:rFonts w:ascii="Arial" w:hAnsi="Arial" w:cs="Arial"/>
                <w:b/>
                <w:sz w:val="24"/>
                <w:szCs w:val="24"/>
              </w:rPr>
              <w:t>2</w:t>
            </w:r>
            <w:r w:rsidRPr="00480D26">
              <w:rPr>
                <w:rFonts w:ascii="Arial" w:hAnsi="Arial" w:cs="Arial"/>
                <w:b/>
                <w:sz w:val="24"/>
                <w:szCs w:val="24"/>
                <w:vertAlign w:val="superscript"/>
              </w:rPr>
              <w:t>nd</w:t>
            </w:r>
            <w:r w:rsidRPr="00480D26">
              <w:rPr>
                <w:rFonts w:ascii="Arial" w:hAnsi="Arial" w:cs="Arial"/>
                <w:b/>
                <w:sz w:val="24"/>
                <w:szCs w:val="24"/>
              </w:rPr>
              <w:t xml:space="preserve"> Appellant</w:t>
            </w:r>
          </w:p>
        </w:tc>
      </w:tr>
      <w:tr w:rsidR="00480D26" w:rsidRPr="00480D26" w:rsidTr="007A5543">
        <w:trPr>
          <w:gridAfter w:val="2"/>
          <w:wAfter w:w="6204" w:type="dxa"/>
        </w:trPr>
        <w:tc>
          <w:tcPr>
            <w:tcW w:w="2693" w:type="dxa"/>
            <w:shd w:val="clear" w:color="auto" w:fill="auto"/>
          </w:tcPr>
          <w:p w:rsidR="00480D26" w:rsidRPr="00480D26" w:rsidRDefault="00480D26" w:rsidP="00480D26">
            <w:pPr>
              <w:pStyle w:val="NoSpacing"/>
              <w:rPr>
                <w:rFonts w:ascii="Arial" w:hAnsi="Arial" w:cs="Arial"/>
                <w:sz w:val="24"/>
                <w:szCs w:val="24"/>
              </w:rPr>
            </w:pPr>
          </w:p>
        </w:tc>
      </w:tr>
      <w:tr w:rsidR="004064AC" w:rsidRPr="00496CEE" w:rsidTr="007A5543">
        <w:tc>
          <w:tcPr>
            <w:tcW w:w="6204" w:type="dxa"/>
            <w:gridSpan w:val="2"/>
            <w:shd w:val="clear" w:color="auto" w:fill="auto"/>
          </w:tcPr>
          <w:p w:rsidR="004064AC" w:rsidRPr="00480D26" w:rsidRDefault="00480D26" w:rsidP="007A5543">
            <w:pPr>
              <w:pStyle w:val="NoSpacing"/>
              <w:jc w:val="both"/>
              <w:rPr>
                <w:rFonts w:ascii="Arial" w:hAnsi="Arial" w:cs="Arial"/>
                <w:sz w:val="24"/>
                <w:szCs w:val="24"/>
              </w:rPr>
            </w:pPr>
            <w:r w:rsidRPr="00480D26">
              <w:rPr>
                <w:rFonts w:ascii="Arial" w:hAnsi="Arial" w:cs="Arial"/>
                <w:sz w:val="24"/>
                <w:szCs w:val="24"/>
              </w:rPr>
              <w:t>a</w:t>
            </w:r>
            <w:r w:rsidR="004064AC" w:rsidRPr="00480D26">
              <w:rPr>
                <w:rFonts w:ascii="Arial" w:hAnsi="Arial" w:cs="Arial"/>
                <w:sz w:val="24"/>
                <w:szCs w:val="24"/>
              </w:rPr>
              <w:t>nd</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r>
              <w:rPr>
                <w:rFonts w:ascii="Arial" w:hAnsi="Arial" w:cs="Arial"/>
                <w:b/>
                <w:sz w:val="24"/>
                <w:szCs w:val="24"/>
              </w:rPr>
              <w:t xml:space="preserve">FELIX MADI </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sidRPr="00496CEE">
              <w:rPr>
                <w:rFonts w:ascii="Arial" w:hAnsi="Arial" w:cs="Arial"/>
                <w:b/>
                <w:sz w:val="24"/>
                <w:szCs w:val="24"/>
              </w:rPr>
              <w:t>1</w:t>
            </w:r>
            <w:r>
              <w:rPr>
                <w:rFonts w:ascii="Arial" w:hAnsi="Arial" w:cs="Arial"/>
                <w:b/>
                <w:sz w:val="24"/>
                <w:szCs w:val="24"/>
                <w:vertAlign w:val="superscript"/>
              </w:rPr>
              <w:t>st</w:t>
            </w:r>
            <w:r w:rsidRPr="00496CEE">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rPr>
          <w:trHeight w:val="154"/>
        </w:trPr>
        <w:tc>
          <w:tcPr>
            <w:tcW w:w="6204" w:type="dxa"/>
            <w:gridSpan w:val="2"/>
            <w:shd w:val="clear" w:color="auto" w:fill="auto"/>
          </w:tcPr>
          <w:p w:rsidR="004064AC" w:rsidRPr="00496CEE" w:rsidRDefault="009161DB" w:rsidP="007A5543">
            <w:pPr>
              <w:pStyle w:val="NoSpacing"/>
              <w:jc w:val="both"/>
              <w:rPr>
                <w:rFonts w:ascii="Arial" w:hAnsi="Arial" w:cs="Arial"/>
                <w:b/>
                <w:sz w:val="24"/>
                <w:szCs w:val="24"/>
              </w:rPr>
            </w:pPr>
            <w:r>
              <w:rPr>
                <w:rFonts w:ascii="Arial" w:hAnsi="Arial" w:cs="Arial"/>
                <w:b/>
                <w:sz w:val="24"/>
                <w:szCs w:val="24"/>
              </w:rPr>
              <w:t>BERNHARD LANGMAN</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sidRPr="00496CEE">
              <w:rPr>
                <w:rFonts w:ascii="Arial" w:hAnsi="Arial" w:cs="Arial"/>
                <w:b/>
                <w:sz w:val="24"/>
                <w:szCs w:val="24"/>
              </w:rPr>
              <w:t>2</w:t>
            </w:r>
            <w:r>
              <w:rPr>
                <w:rFonts w:ascii="Arial" w:hAnsi="Arial" w:cs="Arial"/>
                <w:b/>
                <w:sz w:val="24"/>
                <w:szCs w:val="24"/>
                <w:vertAlign w:val="superscript"/>
              </w:rPr>
              <w:t>nd</w:t>
            </w:r>
            <w:r w:rsidRPr="00496CEE">
              <w:rPr>
                <w:rFonts w:ascii="Arial" w:hAnsi="Arial" w:cs="Arial"/>
                <w:b/>
                <w:sz w:val="24"/>
                <w:szCs w:val="24"/>
              </w:rPr>
              <w:t xml:space="preserve"> Respondent</w:t>
            </w:r>
          </w:p>
        </w:tc>
      </w:tr>
      <w:tr w:rsidR="004064AC" w:rsidRPr="00496CEE" w:rsidTr="007A5543">
        <w:trPr>
          <w:trHeight w:val="80"/>
        </w:trPr>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GENOVEFA MOKALENG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3</w:t>
            </w:r>
            <w:r>
              <w:rPr>
                <w:rFonts w:ascii="Arial" w:hAnsi="Arial" w:cs="Arial"/>
                <w:b/>
                <w:sz w:val="24"/>
                <w:szCs w:val="24"/>
                <w:vertAlign w:val="superscript"/>
              </w:rPr>
              <w:t>rd</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EUPHORSINE MBUENDE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4</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VICTUS EDUARD</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5</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REINHARD MORWE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6</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CYNTHIA MADI</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7</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HEDWID TIBINYANE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8</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MICHAEL KAPENG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9</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LAZARUS SEBETWANE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10</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JASPER MADI</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11</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CYPRIANUS POGISHO</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12</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MARIA THEKWANE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13</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THEODOR TSHABANG MAKGONE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14</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Default="004064AC" w:rsidP="007A5543">
            <w:pPr>
              <w:pStyle w:val="NoSpacing"/>
              <w:jc w:val="both"/>
              <w:rPr>
                <w:rFonts w:ascii="Arial" w:hAnsi="Arial" w:cs="Arial"/>
                <w:b/>
                <w:sz w:val="24"/>
                <w:szCs w:val="24"/>
              </w:rPr>
            </w:pPr>
          </w:p>
          <w:p w:rsidR="004064AC" w:rsidRPr="00496CEE" w:rsidRDefault="000547F7" w:rsidP="007A5543">
            <w:pPr>
              <w:pStyle w:val="NoSpacing"/>
              <w:jc w:val="both"/>
              <w:rPr>
                <w:rFonts w:ascii="Arial" w:hAnsi="Arial" w:cs="Arial"/>
                <w:b/>
                <w:sz w:val="24"/>
                <w:szCs w:val="24"/>
              </w:rPr>
            </w:pPr>
            <w:r>
              <w:rPr>
                <w:rFonts w:ascii="Arial" w:hAnsi="Arial" w:cs="Arial"/>
                <w:b/>
                <w:sz w:val="24"/>
                <w:szCs w:val="24"/>
              </w:rPr>
              <w:t>PIO MOSALA</w:t>
            </w:r>
          </w:p>
        </w:tc>
        <w:tc>
          <w:tcPr>
            <w:tcW w:w="2693" w:type="dxa"/>
            <w:shd w:val="clear" w:color="auto" w:fill="auto"/>
          </w:tcPr>
          <w:p w:rsidR="004064AC" w:rsidRDefault="004064AC" w:rsidP="007A5543">
            <w:pPr>
              <w:pStyle w:val="NoSpacing"/>
              <w:jc w:val="right"/>
              <w:rPr>
                <w:rFonts w:ascii="Arial" w:hAnsi="Arial" w:cs="Arial"/>
                <w:b/>
                <w:sz w:val="24"/>
                <w:szCs w:val="24"/>
              </w:rPr>
            </w:pPr>
          </w:p>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15</w:t>
            </w:r>
            <w:r>
              <w:rPr>
                <w:rFonts w:ascii="Arial" w:hAnsi="Arial" w:cs="Arial"/>
                <w:b/>
                <w:sz w:val="24"/>
                <w:szCs w:val="24"/>
                <w:vertAlign w:val="superscript"/>
              </w:rPr>
              <w:t xml:space="preserve">th </w:t>
            </w:r>
            <w:r>
              <w:rPr>
                <w:rFonts w:ascii="Arial" w:hAnsi="Arial" w:cs="Arial"/>
                <w:b/>
                <w:sz w:val="24"/>
                <w:szCs w:val="24"/>
              </w:rPr>
              <w:t>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ANNA MOKALENG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16</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BERNARD MOKALENG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17</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AUGUSTINUS MOKALENG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18</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OSWALD TIBINYANE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19</w:t>
            </w:r>
            <w:r>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ARNOLD MORWE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20</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ALEXIS UDIGENG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21</w:t>
            </w:r>
            <w:r w:rsidRPr="005036B3">
              <w:rPr>
                <w:rFonts w:ascii="Arial" w:hAnsi="Arial" w:cs="Arial"/>
                <w:b/>
                <w:sz w:val="24"/>
                <w:szCs w:val="24"/>
                <w:vertAlign w:val="superscript"/>
              </w:rPr>
              <w:t>st</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BERLINDIS UDIGENG</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22</w:t>
            </w:r>
            <w:r w:rsidRPr="005036B3">
              <w:rPr>
                <w:rFonts w:ascii="Arial" w:hAnsi="Arial" w:cs="Arial"/>
                <w:b/>
                <w:sz w:val="24"/>
                <w:szCs w:val="24"/>
                <w:vertAlign w:val="superscript"/>
              </w:rPr>
              <w:t>nd</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RILEU KENE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23</w:t>
            </w:r>
            <w:r w:rsidRPr="005036B3">
              <w:rPr>
                <w:rFonts w:ascii="Arial" w:hAnsi="Arial" w:cs="Arial"/>
                <w:b/>
                <w:sz w:val="24"/>
                <w:szCs w:val="24"/>
                <w:vertAlign w:val="superscript"/>
              </w:rPr>
              <w:t>rd</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JOSEPH ARNAT</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24</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INGRID MOKWENA</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25</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APPOLINIA TIBINYANE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26</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HANS KEDIAMOGETSE MAKGONE</w:t>
            </w:r>
          </w:p>
        </w:tc>
        <w:tc>
          <w:tcPr>
            <w:tcW w:w="2693" w:type="dxa"/>
            <w:shd w:val="clear" w:color="auto" w:fill="auto"/>
          </w:tcPr>
          <w:p w:rsidR="004064AC" w:rsidRDefault="004064AC" w:rsidP="007A5543">
            <w:pPr>
              <w:pStyle w:val="NoSpacing"/>
              <w:jc w:val="right"/>
              <w:rPr>
                <w:rFonts w:ascii="Arial" w:hAnsi="Arial" w:cs="Arial"/>
                <w:b/>
                <w:sz w:val="24"/>
                <w:szCs w:val="24"/>
              </w:rPr>
            </w:pPr>
            <w:r>
              <w:rPr>
                <w:rFonts w:ascii="Arial" w:hAnsi="Arial" w:cs="Arial"/>
                <w:b/>
                <w:sz w:val="24"/>
                <w:szCs w:val="24"/>
              </w:rPr>
              <w:t>27</w:t>
            </w:r>
            <w:r w:rsidRPr="005036B3">
              <w:rPr>
                <w:rFonts w:ascii="Arial" w:hAnsi="Arial" w:cs="Arial"/>
                <w:b/>
                <w:sz w:val="24"/>
                <w:szCs w:val="24"/>
                <w:vertAlign w:val="superscript"/>
              </w:rPr>
              <w:t>th</w:t>
            </w:r>
            <w:r>
              <w:rPr>
                <w:rFonts w:ascii="Arial" w:hAnsi="Arial" w:cs="Arial"/>
                <w:b/>
                <w:sz w:val="24"/>
                <w:szCs w:val="24"/>
              </w:rPr>
              <w:t xml:space="preserve"> Respondent</w:t>
            </w:r>
          </w:p>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0547F7" w:rsidP="007A5543">
            <w:pPr>
              <w:pStyle w:val="NoSpacing"/>
              <w:jc w:val="both"/>
              <w:rPr>
                <w:rFonts w:ascii="Arial" w:hAnsi="Arial" w:cs="Arial"/>
                <w:b/>
                <w:sz w:val="24"/>
                <w:szCs w:val="24"/>
              </w:rPr>
            </w:pPr>
            <w:r>
              <w:rPr>
                <w:rFonts w:ascii="Arial" w:hAnsi="Arial" w:cs="Arial"/>
                <w:b/>
                <w:sz w:val="24"/>
                <w:szCs w:val="24"/>
              </w:rPr>
              <w:t>HERBERTHA BONTLEENG TIBINYANE</w:t>
            </w:r>
          </w:p>
        </w:tc>
        <w:tc>
          <w:tcPr>
            <w:tcW w:w="2693" w:type="dxa"/>
            <w:shd w:val="clear" w:color="auto" w:fill="auto"/>
          </w:tcPr>
          <w:p w:rsidR="004064AC" w:rsidRPr="00496CEE" w:rsidRDefault="004064AC" w:rsidP="007A5543">
            <w:pPr>
              <w:pStyle w:val="NoSpacing"/>
              <w:jc w:val="right"/>
              <w:rPr>
                <w:rFonts w:ascii="Arial" w:hAnsi="Arial" w:cs="Arial"/>
                <w:b/>
                <w:sz w:val="24"/>
                <w:szCs w:val="24"/>
              </w:rPr>
            </w:pPr>
            <w:r>
              <w:rPr>
                <w:rFonts w:ascii="Arial" w:hAnsi="Arial" w:cs="Arial"/>
                <w:b/>
                <w:sz w:val="24"/>
                <w:szCs w:val="24"/>
              </w:rPr>
              <w:t>28</w:t>
            </w:r>
            <w:r w:rsidRPr="005036B3">
              <w:rPr>
                <w:rFonts w:ascii="Arial" w:hAnsi="Arial" w:cs="Arial"/>
                <w:b/>
                <w:sz w:val="24"/>
                <w:szCs w:val="24"/>
                <w:vertAlign w:val="superscript"/>
              </w:rPr>
              <w:t>th</w:t>
            </w:r>
            <w:r>
              <w:rPr>
                <w:rFonts w:ascii="Arial" w:hAnsi="Arial" w:cs="Arial"/>
                <w:b/>
                <w:sz w:val="24"/>
                <w:szCs w:val="24"/>
              </w:rPr>
              <w:t xml:space="preserve"> Respondent</w:t>
            </w: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r w:rsidR="004064AC" w:rsidRPr="00496CEE" w:rsidTr="007A5543">
        <w:tc>
          <w:tcPr>
            <w:tcW w:w="6204" w:type="dxa"/>
            <w:gridSpan w:val="2"/>
            <w:shd w:val="clear" w:color="auto" w:fill="auto"/>
          </w:tcPr>
          <w:p w:rsidR="004064AC" w:rsidRPr="00496CEE" w:rsidRDefault="004064AC" w:rsidP="007A5543">
            <w:pPr>
              <w:pStyle w:val="NoSpacing"/>
              <w:jc w:val="both"/>
              <w:rPr>
                <w:rFonts w:ascii="Arial" w:hAnsi="Arial" w:cs="Arial"/>
                <w:b/>
                <w:sz w:val="24"/>
                <w:szCs w:val="24"/>
              </w:rPr>
            </w:pPr>
          </w:p>
        </w:tc>
        <w:tc>
          <w:tcPr>
            <w:tcW w:w="2693" w:type="dxa"/>
            <w:shd w:val="clear" w:color="auto" w:fill="auto"/>
          </w:tcPr>
          <w:p w:rsidR="004064AC" w:rsidRPr="00496CEE" w:rsidRDefault="004064AC" w:rsidP="007A5543">
            <w:pPr>
              <w:pStyle w:val="NoSpacing"/>
              <w:jc w:val="right"/>
              <w:rPr>
                <w:rFonts w:ascii="Arial" w:hAnsi="Arial" w:cs="Arial"/>
                <w:b/>
                <w:sz w:val="24"/>
                <w:szCs w:val="24"/>
              </w:rPr>
            </w:pPr>
          </w:p>
        </w:tc>
      </w:tr>
    </w:tbl>
    <w:p w:rsidR="004064AC" w:rsidRPr="00CA34AF" w:rsidRDefault="004064AC" w:rsidP="00CA34AF">
      <w:pPr>
        <w:pStyle w:val="NoSpacing"/>
        <w:spacing w:line="360" w:lineRule="auto"/>
        <w:rPr>
          <w:rFonts w:ascii="Arial" w:hAnsi="Arial" w:cs="Arial"/>
          <w:sz w:val="24"/>
          <w:szCs w:val="24"/>
          <w:lang w:val="en-US"/>
        </w:rPr>
      </w:pPr>
      <w:r w:rsidRPr="00CA34AF">
        <w:rPr>
          <w:rFonts w:ascii="Arial" w:hAnsi="Arial" w:cs="Arial"/>
          <w:b/>
          <w:sz w:val="24"/>
          <w:szCs w:val="24"/>
          <w:lang w:val="en-US"/>
        </w:rPr>
        <w:t>Coram:</w:t>
      </w:r>
      <w:r w:rsidRPr="00CA34AF">
        <w:rPr>
          <w:rFonts w:ascii="Arial" w:hAnsi="Arial" w:cs="Arial"/>
          <w:sz w:val="24"/>
          <w:szCs w:val="24"/>
          <w:lang w:val="en-US"/>
        </w:rPr>
        <w:tab/>
      </w:r>
      <w:r w:rsidRPr="00CA34AF">
        <w:rPr>
          <w:rFonts w:ascii="Arial" w:hAnsi="Arial" w:cs="Arial"/>
          <w:sz w:val="24"/>
          <w:szCs w:val="24"/>
          <w:lang w:val="en-US"/>
        </w:rPr>
        <w:tab/>
        <w:t>DAMASEB DCJ, SMUTS JA, and FRANK, AJA</w:t>
      </w:r>
    </w:p>
    <w:p w:rsidR="004064AC" w:rsidRPr="00CA34AF" w:rsidRDefault="004064AC" w:rsidP="00CA34AF">
      <w:pPr>
        <w:pStyle w:val="NoSpacing"/>
        <w:spacing w:line="360" w:lineRule="auto"/>
        <w:rPr>
          <w:rFonts w:ascii="Arial" w:hAnsi="Arial" w:cs="Arial"/>
          <w:b/>
          <w:sz w:val="24"/>
          <w:szCs w:val="24"/>
        </w:rPr>
      </w:pPr>
      <w:r w:rsidRPr="00CA34AF">
        <w:rPr>
          <w:rFonts w:ascii="Arial" w:hAnsi="Arial" w:cs="Arial"/>
          <w:b/>
          <w:sz w:val="24"/>
          <w:szCs w:val="24"/>
        </w:rPr>
        <w:t>Heard:</w:t>
      </w:r>
      <w:r w:rsidRPr="00CA34AF">
        <w:rPr>
          <w:rFonts w:ascii="Arial" w:hAnsi="Arial" w:cs="Arial"/>
          <w:b/>
          <w:sz w:val="24"/>
          <w:szCs w:val="24"/>
        </w:rPr>
        <w:tab/>
      </w:r>
      <w:r w:rsidRPr="00CA34AF">
        <w:rPr>
          <w:rFonts w:ascii="Arial" w:hAnsi="Arial" w:cs="Arial"/>
          <w:b/>
          <w:sz w:val="24"/>
          <w:szCs w:val="24"/>
        </w:rPr>
        <w:tab/>
        <w:t>5 October 2017</w:t>
      </w:r>
    </w:p>
    <w:p w:rsidR="004064AC" w:rsidRDefault="004064AC" w:rsidP="00CA34AF">
      <w:pPr>
        <w:pStyle w:val="NoSpacing"/>
        <w:spacing w:line="360" w:lineRule="auto"/>
        <w:rPr>
          <w:rFonts w:ascii="Arial" w:hAnsi="Arial" w:cs="Arial"/>
          <w:b/>
          <w:sz w:val="24"/>
          <w:szCs w:val="24"/>
        </w:rPr>
      </w:pPr>
      <w:r w:rsidRPr="00CA34AF">
        <w:rPr>
          <w:rFonts w:ascii="Arial" w:hAnsi="Arial" w:cs="Arial"/>
          <w:b/>
          <w:sz w:val="24"/>
          <w:szCs w:val="24"/>
        </w:rPr>
        <w:t>Delivered:</w:t>
      </w:r>
      <w:r w:rsidRPr="00CA34AF">
        <w:rPr>
          <w:rFonts w:ascii="Arial" w:hAnsi="Arial" w:cs="Arial"/>
          <w:b/>
          <w:sz w:val="24"/>
          <w:szCs w:val="24"/>
        </w:rPr>
        <w:tab/>
      </w:r>
      <w:r w:rsidRPr="00CA34AF">
        <w:rPr>
          <w:rFonts w:ascii="Arial" w:hAnsi="Arial" w:cs="Arial"/>
          <w:b/>
          <w:sz w:val="24"/>
          <w:szCs w:val="24"/>
        </w:rPr>
        <w:tab/>
      </w:r>
      <w:r w:rsidR="009D7F0F">
        <w:rPr>
          <w:rFonts w:ascii="Arial" w:hAnsi="Arial" w:cs="Arial"/>
          <w:b/>
          <w:sz w:val="24"/>
          <w:szCs w:val="24"/>
        </w:rPr>
        <w:t>25 October</w:t>
      </w:r>
      <w:r w:rsidRPr="00CA34AF">
        <w:rPr>
          <w:rFonts w:ascii="Arial" w:hAnsi="Arial" w:cs="Arial"/>
          <w:b/>
          <w:sz w:val="24"/>
          <w:szCs w:val="24"/>
        </w:rPr>
        <w:t xml:space="preserve"> 2017</w:t>
      </w:r>
    </w:p>
    <w:p w:rsidR="00D55ED9" w:rsidRDefault="00D55ED9" w:rsidP="00CA34AF">
      <w:pPr>
        <w:pStyle w:val="NoSpacing"/>
        <w:spacing w:line="360" w:lineRule="auto"/>
        <w:rPr>
          <w:rFonts w:ascii="Arial" w:hAnsi="Arial" w:cs="Arial"/>
          <w:b/>
          <w:sz w:val="24"/>
          <w:szCs w:val="24"/>
        </w:rPr>
      </w:pPr>
    </w:p>
    <w:p w:rsidR="00D55ED9" w:rsidRDefault="00D55ED9" w:rsidP="00D55ED9">
      <w:pPr>
        <w:pStyle w:val="NoSpacing"/>
        <w:spacing w:line="480" w:lineRule="auto"/>
        <w:jc w:val="both"/>
        <w:rPr>
          <w:rFonts w:ascii="Arial" w:hAnsi="Arial" w:cs="Arial"/>
          <w:sz w:val="24"/>
          <w:szCs w:val="24"/>
        </w:rPr>
      </w:pPr>
      <w:r w:rsidRPr="00D55ED9">
        <w:rPr>
          <w:rFonts w:ascii="Arial" w:hAnsi="Arial" w:cs="Arial"/>
          <w:b/>
          <w:sz w:val="24"/>
          <w:szCs w:val="24"/>
        </w:rPr>
        <w:t>Summary:</w:t>
      </w:r>
      <w:r>
        <w:rPr>
          <w:rFonts w:ascii="Arial" w:hAnsi="Arial" w:cs="Arial"/>
          <w:b/>
          <w:sz w:val="24"/>
          <w:szCs w:val="24"/>
        </w:rPr>
        <w:tab/>
      </w:r>
      <w:r w:rsidRPr="00DB332E">
        <w:rPr>
          <w:rFonts w:ascii="Arial" w:hAnsi="Arial" w:cs="Arial"/>
          <w:sz w:val="24"/>
          <w:szCs w:val="24"/>
        </w:rPr>
        <w:t xml:space="preserve">The two issues raised in this appeal concern whether the appellants have legal standing </w:t>
      </w:r>
      <w:r w:rsidRPr="00DB332E">
        <w:rPr>
          <w:rFonts w:ascii="Arial" w:hAnsi="Arial" w:cs="Arial"/>
          <w:i/>
          <w:sz w:val="24"/>
          <w:szCs w:val="24"/>
        </w:rPr>
        <w:t xml:space="preserve">(locus standi) </w:t>
      </w:r>
      <w:r w:rsidRPr="00DB332E">
        <w:rPr>
          <w:rFonts w:ascii="Arial" w:hAnsi="Arial" w:cs="Arial"/>
          <w:sz w:val="24"/>
          <w:szCs w:val="24"/>
        </w:rPr>
        <w:t xml:space="preserve">to seek </w:t>
      </w:r>
      <w:r>
        <w:rPr>
          <w:rFonts w:ascii="Arial" w:hAnsi="Arial" w:cs="Arial"/>
          <w:sz w:val="24"/>
          <w:szCs w:val="24"/>
        </w:rPr>
        <w:t xml:space="preserve"> the </w:t>
      </w:r>
      <w:r w:rsidRPr="00DB332E">
        <w:rPr>
          <w:rFonts w:ascii="Arial" w:hAnsi="Arial" w:cs="Arial"/>
          <w:sz w:val="24"/>
          <w:szCs w:val="24"/>
        </w:rPr>
        <w:t>relief set out in the notice of motion and secon</w:t>
      </w:r>
      <w:r>
        <w:rPr>
          <w:rFonts w:ascii="Arial" w:hAnsi="Arial" w:cs="Arial"/>
          <w:sz w:val="24"/>
          <w:szCs w:val="24"/>
        </w:rPr>
        <w:t>dly whether the claimed relief h</w:t>
      </w:r>
      <w:r w:rsidRPr="00DB332E">
        <w:rPr>
          <w:rFonts w:ascii="Arial" w:hAnsi="Arial" w:cs="Arial"/>
          <w:sz w:val="24"/>
          <w:szCs w:val="24"/>
        </w:rPr>
        <w:t xml:space="preserve">as prescribed or not. These two issues served before the High Court as preliminary </w:t>
      </w:r>
      <w:r>
        <w:rPr>
          <w:rFonts w:ascii="Arial" w:hAnsi="Arial" w:cs="Arial"/>
          <w:sz w:val="24"/>
          <w:szCs w:val="24"/>
        </w:rPr>
        <w:t>questions and were</w:t>
      </w:r>
      <w:r w:rsidRPr="00DB332E">
        <w:rPr>
          <w:rFonts w:ascii="Arial" w:hAnsi="Arial" w:cs="Arial"/>
          <w:sz w:val="24"/>
          <w:szCs w:val="24"/>
        </w:rPr>
        <w:t xml:space="preserve"> argued separately from the merits of the application. The High Court (per Angula DJP) found that the </w:t>
      </w:r>
      <w:r w:rsidRPr="00DB332E">
        <w:rPr>
          <w:rFonts w:ascii="Arial" w:hAnsi="Arial" w:cs="Arial"/>
          <w:sz w:val="24"/>
          <w:szCs w:val="24"/>
        </w:rPr>
        <w:lastRenderedPageBreak/>
        <w:t>appellants lacked standing an</w:t>
      </w:r>
      <w:r>
        <w:rPr>
          <w:rFonts w:ascii="Arial" w:hAnsi="Arial" w:cs="Arial"/>
          <w:sz w:val="24"/>
          <w:szCs w:val="24"/>
        </w:rPr>
        <w:t>d that seven of the ten items of the</w:t>
      </w:r>
      <w:r w:rsidRPr="00DB332E">
        <w:rPr>
          <w:rFonts w:ascii="Arial" w:hAnsi="Arial" w:cs="Arial"/>
          <w:sz w:val="24"/>
          <w:szCs w:val="24"/>
        </w:rPr>
        <w:t xml:space="preserve"> relief</w:t>
      </w:r>
      <w:r>
        <w:rPr>
          <w:rFonts w:ascii="Arial" w:hAnsi="Arial" w:cs="Arial"/>
          <w:sz w:val="24"/>
          <w:szCs w:val="24"/>
        </w:rPr>
        <w:t xml:space="preserve"> sought</w:t>
      </w:r>
      <w:r w:rsidRPr="00DB332E">
        <w:rPr>
          <w:rFonts w:ascii="Arial" w:hAnsi="Arial" w:cs="Arial"/>
          <w:sz w:val="24"/>
          <w:szCs w:val="24"/>
        </w:rPr>
        <w:t xml:space="preserve"> had prescribed and </w:t>
      </w:r>
      <w:r>
        <w:rPr>
          <w:rFonts w:ascii="Arial" w:hAnsi="Arial" w:cs="Arial"/>
          <w:sz w:val="24"/>
          <w:szCs w:val="24"/>
        </w:rPr>
        <w:t xml:space="preserve">struck </w:t>
      </w:r>
      <w:r w:rsidRPr="00DB332E">
        <w:rPr>
          <w:rFonts w:ascii="Arial" w:hAnsi="Arial" w:cs="Arial"/>
          <w:sz w:val="24"/>
          <w:szCs w:val="24"/>
        </w:rPr>
        <w:t xml:space="preserve">the application </w:t>
      </w:r>
      <w:r>
        <w:rPr>
          <w:rFonts w:ascii="Arial" w:hAnsi="Arial" w:cs="Arial"/>
          <w:sz w:val="24"/>
          <w:szCs w:val="24"/>
        </w:rPr>
        <w:t xml:space="preserve">from the roll </w:t>
      </w:r>
      <w:r w:rsidRPr="00DB332E">
        <w:rPr>
          <w:rFonts w:ascii="Arial" w:hAnsi="Arial" w:cs="Arial"/>
          <w:sz w:val="24"/>
          <w:szCs w:val="24"/>
        </w:rPr>
        <w:t>on those grounds. Th</w:t>
      </w:r>
      <w:r>
        <w:rPr>
          <w:rFonts w:ascii="Arial" w:hAnsi="Arial" w:cs="Arial"/>
          <w:sz w:val="24"/>
          <w:szCs w:val="24"/>
        </w:rPr>
        <w:t xml:space="preserve">is is an </w:t>
      </w:r>
      <w:r w:rsidRPr="00DB332E">
        <w:rPr>
          <w:rFonts w:ascii="Arial" w:hAnsi="Arial" w:cs="Arial"/>
          <w:sz w:val="24"/>
          <w:szCs w:val="24"/>
        </w:rPr>
        <w:t>appeal against th</w:t>
      </w:r>
      <w:r>
        <w:rPr>
          <w:rFonts w:ascii="Arial" w:hAnsi="Arial" w:cs="Arial"/>
          <w:sz w:val="24"/>
          <w:szCs w:val="24"/>
        </w:rPr>
        <w:t>at</w:t>
      </w:r>
      <w:r w:rsidRPr="00DB332E">
        <w:rPr>
          <w:rFonts w:ascii="Arial" w:hAnsi="Arial" w:cs="Arial"/>
          <w:sz w:val="24"/>
          <w:szCs w:val="24"/>
        </w:rPr>
        <w:t xml:space="preserve"> decision.</w:t>
      </w:r>
    </w:p>
    <w:p w:rsidR="00D55ED9" w:rsidRDefault="00D55ED9" w:rsidP="00D55ED9">
      <w:pPr>
        <w:pStyle w:val="NoSpacing"/>
        <w:spacing w:line="480" w:lineRule="auto"/>
        <w:jc w:val="both"/>
        <w:rPr>
          <w:rFonts w:ascii="Arial" w:hAnsi="Arial" w:cs="Arial"/>
          <w:sz w:val="24"/>
          <w:szCs w:val="24"/>
        </w:rPr>
      </w:pPr>
    </w:p>
    <w:p w:rsidR="00D55ED9" w:rsidRDefault="00D55ED9" w:rsidP="00D55ED9">
      <w:pPr>
        <w:pStyle w:val="NoSpacing"/>
        <w:spacing w:line="480" w:lineRule="auto"/>
        <w:jc w:val="both"/>
        <w:rPr>
          <w:rFonts w:ascii="Arial" w:hAnsi="Arial" w:cs="Arial"/>
          <w:sz w:val="24"/>
          <w:szCs w:val="24"/>
        </w:rPr>
      </w:pPr>
      <w:r>
        <w:rPr>
          <w:rFonts w:ascii="Arial" w:hAnsi="Arial" w:cs="Arial"/>
          <w:i/>
          <w:sz w:val="24"/>
          <w:szCs w:val="24"/>
        </w:rPr>
        <w:t>Locus standi</w:t>
      </w:r>
      <w:r>
        <w:rPr>
          <w:rFonts w:ascii="Arial" w:hAnsi="Arial" w:cs="Arial"/>
          <w:sz w:val="24"/>
          <w:szCs w:val="24"/>
        </w:rPr>
        <w:t xml:space="preserve"> – to prove </w:t>
      </w:r>
      <w:r w:rsidRPr="001532C8">
        <w:rPr>
          <w:rFonts w:ascii="Arial" w:hAnsi="Arial" w:cs="Arial"/>
          <w:i/>
          <w:sz w:val="24"/>
          <w:szCs w:val="24"/>
        </w:rPr>
        <w:t>locus standi</w:t>
      </w:r>
      <w:r>
        <w:rPr>
          <w:rFonts w:ascii="Arial" w:hAnsi="Arial" w:cs="Arial"/>
          <w:sz w:val="24"/>
          <w:szCs w:val="24"/>
        </w:rPr>
        <w:t xml:space="preserve">, </w:t>
      </w:r>
      <w:r w:rsidR="006B2B9C">
        <w:rPr>
          <w:rFonts w:ascii="Arial" w:hAnsi="Arial" w:cs="Arial"/>
          <w:sz w:val="24"/>
          <w:szCs w:val="24"/>
        </w:rPr>
        <w:t>a</w:t>
      </w:r>
      <w:r>
        <w:rPr>
          <w:rFonts w:ascii="Arial" w:hAnsi="Arial" w:cs="Arial"/>
          <w:sz w:val="24"/>
          <w:szCs w:val="24"/>
        </w:rPr>
        <w:t xml:space="preserve"> litigant must show sufficient and direct interest in the proceedings.</w:t>
      </w:r>
      <w:r w:rsidR="006B2B9C">
        <w:rPr>
          <w:rFonts w:ascii="Arial" w:hAnsi="Arial" w:cs="Arial"/>
          <w:sz w:val="24"/>
          <w:szCs w:val="24"/>
        </w:rPr>
        <w:t xml:space="preserve"> I</w:t>
      </w:r>
      <w:r>
        <w:rPr>
          <w:rFonts w:ascii="Arial" w:hAnsi="Arial" w:cs="Arial"/>
          <w:sz w:val="24"/>
          <w:szCs w:val="24"/>
        </w:rPr>
        <w:t xml:space="preserve">t was agreed between the parties during judicial case management proceedings that </w:t>
      </w:r>
      <w:r w:rsidR="006B2B9C">
        <w:rPr>
          <w:rFonts w:ascii="Arial" w:hAnsi="Arial" w:cs="Arial"/>
          <w:sz w:val="24"/>
          <w:szCs w:val="24"/>
        </w:rPr>
        <w:t>the It</w:t>
      </w:r>
      <w:r w:rsidR="001C2AC5">
        <w:rPr>
          <w:rFonts w:ascii="Arial" w:hAnsi="Arial" w:cs="Arial"/>
          <w:sz w:val="24"/>
          <w:szCs w:val="24"/>
        </w:rPr>
        <w:t>i</w:t>
      </w:r>
      <w:r w:rsidR="006B2B9C">
        <w:rPr>
          <w:rFonts w:ascii="Arial" w:hAnsi="Arial" w:cs="Arial"/>
          <w:sz w:val="24"/>
          <w:szCs w:val="24"/>
        </w:rPr>
        <w:t xml:space="preserve">releng Village Community </w:t>
      </w:r>
      <w:r>
        <w:rPr>
          <w:rFonts w:ascii="Arial" w:hAnsi="Arial" w:cs="Arial"/>
          <w:sz w:val="24"/>
          <w:szCs w:val="24"/>
        </w:rPr>
        <w:t>is</w:t>
      </w:r>
      <w:r w:rsidR="006B2B9C">
        <w:rPr>
          <w:rFonts w:ascii="Arial" w:hAnsi="Arial" w:cs="Arial"/>
          <w:sz w:val="24"/>
          <w:szCs w:val="24"/>
        </w:rPr>
        <w:t xml:space="preserve"> a</w:t>
      </w:r>
      <w:r>
        <w:rPr>
          <w:rFonts w:ascii="Arial" w:hAnsi="Arial" w:cs="Arial"/>
          <w:sz w:val="24"/>
          <w:szCs w:val="24"/>
        </w:rPr>
        <w:t xml:space="preserve"> </w:t>
      </w:r>
      <w:r w:rsidRPr="00B9367E">
        <w:rPr>
          <w:rFonts w:ascii="Arial" w:hAnsi="Arial" w:cs="Arial"/>
          <w:i/>
          <w:sz w:val="24"/>
          <w:szCs w:val="24"/>
        </w:rPr>
        <w:t>universitas</w:t>
      </w:r>
      <w:r>
        <w:rPr>
          <w:rFonts w:ascii="Arial" w:hAnsi="Arial" w:cs="Arial"/>
          <w:sz w:val="24"/>
          <w:szCs w:val="24"/>
        </w:rPr>
        <w:t xml:space="preserve"> in the form of a voluntary association with legal personality distinct from its members with the power to own property and with perpetual existence. The association would thus have the power to sue </w:t>
      </w:r>
      <w:r w:rsidR="006B2B9C">
        <w:rPr>
          <w:rFonts w:ascii="Arial" w:hAnsi="Arial" w:cs="Arial"/>
          <w:sz w:val="24"/>
          <w:szCs w:val="24"/>
        </w:rPr>
        <w:t>and be sued in its own name. It</w:t>
      </w:r>
      <w:r>
        <w:rPr>
          <w:rFonts w:ascii="Arial" w:hAnsi="Arial" w:cs="Arial"/>
          <w:sz w:val="24"/>
          <w:szCs w:val="24"/>
        </w:rPr>
        <w:t>s Council (first appellan</w:t>
      </w:r>
      <w:r w:rsidR="006B2B9C">
        <w:rPr>
          <w:rFonts w:ascii="Arial" w:hAnsi="Arial" w:cs="Arial"/>
          <w:sz w:val="24"/>
          <w:szCs w:val="24"/>
        </w:rPr>
        <w:t>t) i</w:t>
      </w:r>
      <w:r>
        <w:rPr>
          <w:rFonts w:ascii="Arial" w:hAnsi="Arial" w:cs="Arial"/>
          <w:sz w:val="24"/>
          <w:szCs w:val="24"/>
        </w:rPr>
        <w:t>s a constituent organ of the association. Its thus has no</w:t>
      </w:r>
      <w:r w:rsidRPr="00E63565">
        <w:rPr>
          <w:rFonts w:ascii="Arial" w:hAnsi="Arial" w:cs="Arial"/>
          <w:sz w:val="24"/>
          <w:szCs w:val="24"/>
        </w:rPr>
        <w:t xml:space="preserve"> standing</w:t>
      </w:r>
      <w:r>
        <w:rPr>
          <w:rFonts w:ascii="Arial" w:hAnsi="Arial" w:cs="Arial"/>
          <w:sz w:val="24"/>
          <w:szCs w:val="24"/>
        </w:rPr>
        <w:t xml:space="preserve"> to act on behalf of the association under rule 42 of the High Court Rules.</w:t>
      </w:r>
      <w:r w:rsidR="006B2B9C">
        <w:rPr>
          <w:rFonts w:ascii="Arial" w:hAnsi="Arial" w:cs="Arial"/>
          <w:sz w:val="24"/>
          <w:szCs w:val="24"/>
        </w:rPr>
        <w:t xml:space="preserve"> Proceedings would need to be brought by the association.</w:t>
      </w:r>
      <w:r>
        <w:rPr>
          <w:rFonts w:ascii="Arial" w:hAnsi="Arial" w:cs="Arial"/>
          <w:sz w:val="24"/>
          <w:szCs w:val="24"/>
        </w:rPr>
        <w:t xml:space="preserve"> First appellant’s reliance on rule 42 as a basis for standing is misconceived and must fail.</w:t>
      </w:r>
    </w:p>
    <w:p w:rsidR="00D55ED9" w:rsidRDefault="00D55ED9" w:rsidP="00D55ED9">
      <w:pPr>
        <w:pStyle w:val="NoSpacing"/>
        <w:spacing w:line="480" w:lineRule="auto"/>
        <w:jc w:val="both"/>
        <w:rPr>
          <w:rFonts w:ascii="Arial" w:hAnsi="Arial" w:cs="Arial"/>
          <w:sz w:val="24"/>
          <w:szCs w:val="24"/>
        </w:rPr>
      </w:pPr>
    </w:p>
    <w:p w:rsidR="00D55ED9" w:rsidRDefault="00D55ED9" w:rsidP="00D55ED9">
      <w:pPr>
        <w:pStyle w:val="NoSpacing"/>
        <w:spacing w:line="480" w:lineRule="auto"/>
        <w:jc w:val="both"/>
        <w:rPr>
          <w:rFonts w:ascii="Arial" w:hAnsi="Arial" w:cs="Arial"/>
          <w:sz w:val="24"/>
          <w:szCs w:val="24"/>
        </w:rPr>
      </w:pPr>
      <w:r w:rsidRPr="00E63565">
        <w:rPr>
          <w:rFonts w:ascii="Arial" w:hAnsi="Arial" w:cs="Arial"/>
          <w:i/>
          <w:sz w:val="24"/>
          <w:szCs w:val="24"/>
        </w:rPr>
        <w:t>Locus standi</w:t>
      </w:r>
      <w:r>
        <w:rPr>
          <w:rFonts w:ascii="Arial" w:hAnsi="Arial" w:cs="Arial"/>
          <w:sz w:val="24"/>
          <w:szCs w:val="24"/>
        </w:rPr>
        <w:t xml:space="preserve"> – second appellant asserts that he has standing in his official capacity as headman of the It</w:t>
      </w:r>
      <w:r w:rsidR="001C2AC5">
        <w:rPr>
          <w:rFonts w:ascii="Arial" w:hAnsi="Arial" w:cs="Arial"/>
          <w:sz w:val="24"/>
          <w:szCs w:val="24"/>
        </w:rPr>
        <w:t>i</w:t>
      </w:r>
      <w:r>
        <w:rPr>
          <w:rFonts w:ascii="Arial" w:hAnsi="Arial" w:cs="Arial"/>
          <w:sz w:val="24"/>
          <w:szCs w:val="24"/>
        </w:rPr>
        <w:t xml:space="preserve">releng Community, by </w:t>
      </w:r>
      <w:r w:rsidR="006B2B9C">
        <w:rPr>
          <w:rFonts w:ascii="Arial" w:hAnsi="Arial" w:cs="Arial"/>
          <w:sz w:val="24"/>
          <w:szCs w:val="24"/>
        </w:rPr>
        <w:t xml:space="preserve">reason of his </w:t>
      </w:r>
      <w:r>
        <w:rPr>
          <w:rFonts w:ascii="Arial" w:hAnsi="Arial" w:cs="Arial"/>
          <w:sz w:val="24"/>
          <w:szCs w:val="24"/>
        </w:rPr>
        <w:t>appointment to the position of senior traditional councillor under the Traditional Authorities Act</w:t>
      </w:r>
      <w:r w:rsidR="006B2B9C">
        <w:rPr>
          <w:rFonts w:ascii="Arial" w:hAnsi="Arial" w:cs="Arial"/>
          <w:sz w:val="24"/>
          <w:szCs w:val="24"/>
        </w:rPr>
        <w:t>, 25 of 2000</w:t>
      </w:r>
      <w:r>
        <w:rPr>
          <w:rFonts w:ascii="Arial" w:hAnsi="Arial" w:cs="Arial"/>
          <w:sz w:val="24"/>
          <w:szCs w:val="24"/>
        </w:rPr>
        <w:t xml:space="preserve"> and in his capacity as member and chairperson of council in terms of the community’s constitution. Firstly, the powers of the traditional authority</w:t>
      </w:r>
      <w:r w:rsidR="006B2B9C">
        <w:rPr>
          <w:rFonts w:ascii="Arial" w:hAnsi="Arial" w:cs="Arial"/>
          <w:sz w:val="24"/>
          <w:szCs w:val="24"/>
        </w:rPr>
        <w:t xml:space="preserve"> in question</w:t>
      </w:r>
      <w:r>
        <w:rPr>
          <w:rFonts w:ascii="Arial" w:hAnsi="Arial" w:cs="Arial"/>
          <w:sz w:val="24"/>
          <w:szCs w:val="24"/>
        </w:rPr>
        <w:t xml:space="preserve"> and senior traditional councillors are confined to those set out in the Act. The association having its own separate and distinct legal personality means that the Act provides no authority affording second appellant any power over it. Secondly, proceedings instituted on behalf of the association as a separate and distinct legal personality would need to be brought by the association </w:t>
      </w:r>
      <w:r w:rsidR="006B2B9C">
        <w:rPr>
          <w:rFonts w:ascii="Arial" w:hAnsi="Arial" w:cs="Arial"/>
          <w:sz w:val="24"/>
          <w:szCs w:val="24"/>
        </w:rPr>
        <w:t xml:space="preserve">itself </w:t>
      </w:r>
      <w:r>
        <w:rPr>
          <w:rFonts w:ascii="Arial" w:hAnsi="Arial" w:cs="Arial"/>
          <w:sz w:val="24"/>
          <w:szCs w:val="24"/>
        </w:rPr>
        <w:t xml:space="preserve">and not by someone claiming to be its chairperson or council member. The second appellant would however have </w:t>
      </w:r>
      <w:r>
        <w:rPr>
          <w:rFonts w:ascii="Arial" w:hAnsi="Arial" w:cs="Arial"/>
          <w:sz w:val="24"/>
          <w:szCs w:val="24"/>
        </w:rPr>
        <w:lastRenderedPageBreak/>
        <w:t xml:space="preserve">standing in respect of the relief claimed in paragraph 6 as it concerned </w:t>
      </w:r>
      <w:r w:rsidR="006B2B9C">
        <w:rPr>
          <w:rFonts w:ascii="Arial" w:hAnsi="Arial" w:cs="Arial"/>
          <w:sz w:val="24"/>
          <w:szCs w:val="24"/>
        </w:rPr>
        <w:t>terminating his position as chairperson of the council</w:t>
      </w:r>
      <w:r>
        <w:rPr>
          <w:rFonts w:ascii="Arial" w:hAnsi="Arial" w:cs="Arial"/>
          <w:sz w:val="24"/>
          <w:szCs w:val="24"/>
        </w:rPr>
        <w:t>.</w:t>
      </w:r>
    </w:p>
    <w:p w:rsidR="00D55ED9" w:rsidRDefault="00D55ED9" w:rsidP="00D55ED9">
      <w:pPr>
        <w:pStyle w:val="NoSpacing"/>
        <w:spacing w:line="480" w:lineRule="auto"/>
        <w:jc w:val="both"/>
        <w:rPr>
          <w:rFonts w:ascii="Arial" w:hAnsi="Arial" w:cs="Arial"/>
          <w:sz w:val="24"/>
          <w:szCs w:val="24"/>
        </w:rPr>
      </w:pPr>
    </w:p>
    <w:p w:rsidR="00D55ED9" w:rsidRDefault="00D55ED9" w:rsidP="00D55ED9">
      <w:pPr>
        <w:pStyle w:val="NoSpacing"/>
        <w:spacing w:line="480" w:lineRule="auto"/>
        <w:jc w:val="both"/>
        <w:rPr>
          <w:rFonts w:ascii="Arial" w:hAnsi="Arial" w:cs="Arial"/>
          <w:sz w:val="24"/>
          <w:szCs w:val="24"/>
        </w:rPr>
      </w:pPr>
      <w:r>
        <w:rPr>
          <w:rFonts w:ascii="Arial" w:hAnsi="Arial" w:cs="Arial"/>
          <w:sz w:val="24"/>
          <w:szCs w:val="24"/>
        </w:rPr>
        <w:t xml:space="preserve">Prescription – </w:t>
      </w:r>
      <w:r w:rsidR="006B2B9C">
        <w:rPr>
          <w:rFonts w:ascii="Arial" w:hAnsi="Arial" w:cs="Arial"/>
          <w:sz w:val="24"/>
          <w:szCs w:val="24"/>
        </w:rPr>
        <w:t>a</w:t>
      </w:r>
      <w:r>
        <w:rPr>
          <w:rFonts w:ascii="Arial" w:hAnsi="Arial" w:cs="Arial"/>
          <w:sz w:val="24"/>
          <w:szCs w:val="24"/>
        </w:rPr>
        <w:t xml:space="preserve"> plea of prescription has not been established in respect of the reliefs sought in paragraph 6 (as well as </w:t>
      </w:r>
      <w:r w:rsidR="006B2B9C">
        <w:rPr>
          <w:rFonts w:ascii="Arial" w:hAnsi="Arial" w:cs="Arial"/>
          <w:sz w:val="24"/>
          <w:szCs w:val="24"/>
        </w:rPr>
        <w:t xml:space="preserve">in respect of </w:t>
      </w:r>
      <w:r>
        <w:rPr>
          <w:rFonts w:ascii="Arial" w:hAnsi="Arial" w:cs="Arial"/>
          <w:sz w:val="24"/>
          <w:szCs w:val="24"/>
        </w:rPr>
        <w:t>para</w:t>
      </w:r>
      <w:r w:rsidR="006B2B9C">
        <w:rPr>
          <w:rFonts w:ascii="Arial" w:hAnsi="Arial" w:cs="Arial"/>
          <w:sz w:val="24"/>
          <w:szCs w:val="24"/>
        </w:rPr>
        <w:t>graph</w:t>
      </w:r>
      <w:r>
        <w:rPr>
          <w:rFonts w:ascii="Arial" w:hAnsi="Arial" w:cs="Arial"/>
          <w:sz w:val="24"/>
          <w:szCs w:val="24"/>
        </w:rPr>
        <w:t>s 1-5). This is because the relief claimed in these paragraphs does not constitute a ‘debt’ within the meaning of the Prescription Act. The relief sought in paragraph 6 is in essence a review of a decision by 14</w:t>
      </w:r>
      <w:r w:rsidRPr="00422588">
        <w:rPr>
          <w:rFonts w:ascii="Arial" w:hAnsi="Arial" w:cs="Arial"/>
          <w:sz w:val="24"/>
          <w:szCs w:val="24"/>
          <w:vertAlign w:val="superscript"/>
        </w:rPr>
        <w:t>th</w:t>
      </w:r>
      <w:r>
        <w:rPr>
          <w:rFonts w:ascii="Arial" w:hAnsi="Arial" w:cs="Arial"/>
          <w:sz w:val="24"/>
          <w:szCs w:val="24"/>
        </w:rPr>
        <w:t xml:space="preserve"> respondent </w:t>
      </w:r>
      <w:r w:rsidR="006B2B9C">
        <w:rPr>
          <w:rFonts w:ascii="Arial" w:hAnsi="Arial" w:cs="Arial"/>
          <w:sz w:val="24"/>
          <w:szCs w:val="24"/>
        </w:rPr>
        <w:t>to</w:t>
      </w:r>
      <w:r>
        <w:rPr>
          <w:rFonts w:ascii="Arial" w:hAnsi="Arial" w:cs="Arial"/>
          <w:sz w:val="24"/>
          <w:szCs w:val="24"/>
        </w:rPr>
        <w:t xml:space="preserve"> terminate second appellant’s membership of council. Applying the principles set out by Wallis AJ in </w:t>
      </w:r>
      <w:r w:rsidRPr="00B806F0">
        <w:rPr>
          <w:rFonts w:ascii="Arial" w:hAnsi="Arial" w:cs="Arial"/>
          <w:i/>
          <w:sz w:val="24"/>
          <w:szCs w:val="24"/>
        </w:rPr>
        <w:t>Makate</w:t>
      </w:r>
      <w:r>
        <w:rPr>
          <w:rFonts w:ascii="Arial" w:hAnsi="Arial" w:cs="Arial"/>
          <w:i/>
          <w:sz w:val="24"/>
          <w:szCs w:val="24"/>
        </w:rPr>
        <w:t xml:space="preserve"> v Vodacom Ltd</w:t>
      </w:r>
      <w:r w:rsidRPr="004416F5">
        <w:rPr>
          <w:rFonts w:ascii="Arial" w:hAnsi="Arial" w:cs="Arial"/>
          <w:sz w:val="24"/>
          <w:szCs w:val="24"/>
        </w:rPr>
        <w:t xml:space="preserve"> 2016 (4) SA 121 (CC) </w:t>
      </w:r>
      <w:r>
        <w:rPr>
          <w:rFonts w:ascii="Arial" w:hAnsi="Arial" w:cs="Arial"/>
          <w:sz w:val="24"/>
          <w:szCs w:val="24"/>
        </w:rPr>
        <w:t>in relation to paragraph 6, the relief claimed by second appellant</w:t>
      </w:r>
      <w:r w:rsidR="0061388B">
        <w:rPr>
          <w:rFonts w:ascii="Arial" w:hAnsi="Arial" w:cs="Arial"/>
          <w:sz w:val="24"/>
          <w:szCs w:val="24"/>
        </w:rPr>
        <w:t xml:space="preserve"> – </w:t>
      </w:r>
      <w:r w:rsidR="006B2B9C">
        <w:rPr>
          <w:rFonts w:ascii="Arial" w:hAnsi="Arial" w:cs="Arial"/>
          <w:sz w:val="24"/>
          <w:szCs w:val="24"/>
        </w:rPr>
        <w:t xml:space="preserve">a </w:t>
      </w:r>
      <w:r w:rsidR="0061388B">
        <w:rPr>
          <w:rFonts w:ascii="Arial" w:hAnsi="Arial" w:cs="Arial"/>
          <w:sz w:val="24"/>
          <w:szCs w:val="24"/>
        </w:rPr>
        <w:t>review - i</w:t>
      </w:r>
      <w:r>
        <w:rPr>
          <w:rFonts w:ascii="Arial" w:hAnsi="Arial" w:cs="Arial"/>
          <w:sz w:val="24"/>
          <w:szCs w:val="24"/>
        </w:rPr>
        <w:t xml:space="preserve">s not a right of action for money or </w:t>
      </w:r>
      <w:r w:rsidR="006B2B9C">
        <w:rPr>
          <w:rFonts w:ascii="Arial" w:hAnsi="Arial" w:cs="Arial"/>
          <w:sz w:val="24"/>
          <w:szCs w:val="24"/>
        </w:rPr>
        <w:t xml:space="preserve">the </w:t>
      </w:r>
      <w:r>
        <w:rPr>
          <w:rFonts w:ascii="Arial" w:hAnsi="Arial" w:cs="Arial"/>
          <w:sz w:val="24"/>
          <w:szCs w:val="24"/>
        </w:rPr>
        <w:t>delivery of good</w:t>
      </w:r>
      <w:r w:rsidR="006B2B9C">
        <w:rPr>
          <w:rFonts w:ascii="Arial" w:hAnsi="Arial" w:cs="Arial"/>
          <w:sz w:val="24"/>
          <w:szCs w:val="24"/>
        </w:rPr>
        <w:t>s</w:t>
      </w:r>
      <w:r>
        <w:rPr>
          <w:rFonts w:ascii="Arial" w:hAnsi="Arial" w:cs="Arial"/>
          <w:sz w:val="24"/>
          <w:szCs w:val="24"/>
        </w:rPr>
        <w:t>, or the rendering of services which can be extinguished by prescription. The claim basically entailed the setting aside of disciplinary action of a voluntary association</w:t>
      </w:r>
      <w:r w:rsidR="006B2B9C">
        <w:rPr>
          <w:rFonts w:ascii="Arial" w:hAnsi="Arial" w:cs="Arial"/>
          <w:sz w:val="24"/>
          <w:szCs w:val="24"/>
        </w:rPr>
        <w:t xml:space="preserve"> and is not a ‘debt’ for purposes of prescription</w:t>
      </w:r>
      <w:r>
        <w:rPr>
          <w:rFonts w:ascii="Arial" w:hAnsi="Arial" w:cs="Arial"/>
          <w:sz w:val="24"/>
          <w:szCs w:val="24"/>
        </w:rPr>
        <w:t>. But a review is to be brought without unreasonable delay. The period of more than 5 years from the decision</w:t>
      </w:r>
      <w:r w:rsidR="006B2B9C">
        <w:rPr>
          <w:rFonts w:ascii="Arial" w:hAnsi="Arial" w:cs="Arial"/>
          <w:sz w:val="24"/>
          <w:szCs w:val="24"/>
        </w:rPr>
        <w:t xml:space="preserve"> in question</w:t>
      </w:r>
      <w:r>
        <w:rPr>
          <w:rFonts w:ascii="Arial" w:hAnsi="Arial" w:cs="Arial"/>
          <w:sz w:val="24"/>
          <w:szCs w:val="24"/>
        </w:rPr>
        <w:t xml:space="preserve"> to bring</w:t>
      </w:r>
      <w:r w:rsidR="006B2B9C">
        <w:rPr>
          <w:rFonts w:ascii="Arial" w:hAnsi="Arial" w:cs="Arial"/>
          <w:sz w:val="24"/>
          <w:szCs w:val="24"/>
        </w:rPr>
        <w:t>ing</w:t>
      </w:r>
      <w:r>
        <w:rPr>
          <w:rFonts w:ascii="Arial" w:hAnsi="Arial" w:cs="Arial"/>
          <w:sz w:val="24"/>
          <w:szCs w:val="24"/>
        </w:rPr>
        <w:t xml:space="preserve"> the application amounted to an unreasonable delay and should have resulted in this relief being dismissed.</w:t>
      </w:r>
    </w:p>
    <w:p w:rsidR="00D55ED9" w:rsidRDefault="00D55ED9" w:rsidP="00D55ED9">
      <w:pPr>
        <w:pStyle w:val="NoSpacing"/>
        <w:spacing w:line="480" w:lineRule="auto"/>
        <w:jc w:val="both"/>
        <w:rPr>
          <w:rFonts w:ascii="Arial" w:hAnsi="Arial" w:cs="Arial"/>
          <w:sz w:val="24"/>
          <w:szCs w:val="24"/>
        </w:rPr>
      </w:pPr>
    </w:p>
    <w:p w:rsidR="00D55ED9" w:rsidRDefault="006B2B9C" w:rsidP="00D55ED9">
      <w:pPr>
        <w:pStyle w:val="NoSpacing"/>
        <w:spacing w:line="480" w:lineRule="auto"/>
        <w:jc w:val="both"/>
        <w:rPr>
          <w:rFonts w:ascii="Arial" w:hAnsi="Arial" w:cs="Arial"/>
          <w:sz w:val="24"/>
          <w:szCs w:val="24"/>
        </w:rPr>
      </w:pPr>
      <w:r w:rsidRPr="006B2B9C">
        <w:rPr>
          <w:rFonts w:ascii="Arial" w:hAnsi="Arial" w:cs="Arial"/>
          <w:i/>
          <w:sz w:val="24"/>
          <w:szCs w:val="24"/>
        </w:rPr>
        <w:t>Held</w:t>
      </w:r>
      <w:r>
        <w:rPr>
          <w:rFonts w:ascii="Arial" w:hAnsi="Arial" w:cs="Arial"/>
          <w:sz w:val="24"/>
          <w:szCs w:val="24"/>
        </w:rPr>
        <w:t xml:space="preserve"> - </w:t>
      </w:r>
      <w:r w:rsidR="00D55ED9">
        <w:rPr>
          <w:rFonts w:ascii="Arial" w:hAnsi="Arial" w:cs="Arial"/>
          <w:sz w:val="24"/>
          <w:szCs w:val="24"/>
        </w:rPr>
        <w:t xml:space="preserve">the court a quo should have dismissed the application and not merely struck it from the roll. It thus follows that the appeal </w:t>
      </w:r>
      <w:r>
        <w:rPr>
          <w:rFonts w:ascii="Arial" w:hAnsi="Arial" w:cs="Arial"/>
          <w:sz w:val="24"/>
          <w:szCs w:val="24"/>
        </w:rPr>
        <w:t>failed</w:t>
      </w:r>
      <w:r w:rsidR="00D55ED9">
        <w:rPr>
          <w:rFonts w:ascii="Arial" w:hAnsi="Arial" w:cs="Arial"/>
          <w:sz w:val="24"/>
          <w:szCs w:val="24"/>
        </w:rPr>
        <w:t>.</w:t>
      </w:r>
    </w:p>
    <w:p w:rsidR="004064AC" w:rsidRPr="00496CEE" w:rsidRDefault="004064AC" w:rsidP="004064AC">
      <w:pPr>
        <w:spacing w:line="240" w:lineRule="auto"/>
        <w:jc w:val="both"/>
        <w:rPr>
          <w:rFonts w:ascii="Arial" w:hAnsi="Arial" w:cs="Arial"/>
          <w:b/>
          <w:sz w:val="24"/>
          <w:szCs w:val="24"/>
        </w:rPr>
      </w:pPr>
    </w:p>
    <w:p w:rsidR="004064AC" w:rsidRPr="00496CEE" w:rsidRDefault="004064AC" w:rsidP="004064AC">
      <w:pPr>
        <w:pBdr>
          <w:top w:val="single" w:sz="12" w:space="1" w:color="auto"/>
          <w:bottom w:val="single" w:sz="12" w:space="1" w:color="auto"/>
        </w:pBdr>
        <w:spacing w:line="240" w:lineRule="auto"/>
        <w:jc w:val="both"/>
        <w:rPr>
          <w:rFonts w:ascii="Arial" w:hAnsi="Arial" w:cs="Arial"/>
          <w:b/>
          <w:sz w:val="24"/>
          <w:szCs w:val="24"/>
        </w:rPr>
      </w:pPr>
    </w:p>
    <w:p w:rsidR="004064AC" w:rsidRPr="00496CEE" w:rsidRDefault="004064AC" w:rsidP="004064AC">
      <w:pPr>
        <w:pBdr>
          <w:top w:val="single" w:sz="12" w:space="1" w:color="auto"/>
          <w:bottom w:val="single" w:sz="12" w:space="1" w:color="auto"/>
        </w:pBdr>
        <w:spacing w:line="240" w:lineRule="auto"/>
        <w:jc w:val="center"/>
        <w:rPr>
          <w:rFonts w:ascii="Arial" w:hAnsi="Arial" w:cs="Arial"/>
          <w:b/>
          <w:sz w:val="24"/>
          <w:szCs w:val="24"/>
        </w:rPr>
      </w:pPr>
      <w:r w:rsidRPr="00496CEE">
        <w:rPr>
          <w:rFonts w:ascii="Arial" w:hAnsi="Arial" w:cs="Arial"/>
          <w:b/>
          <w:sz w:val="24"/>
          <w:szCs w:val="24"/>
        </w:rPr>
        <w:t>APPEAL JUDGMENT</w:t>
      </w:r>
    </w:p>
    <w:p w:rsidR="004064AC" w:rsidRPr="00496CEE" w:rsidRDefault="004064AC" w:rsidP="004064AC">
      <w:pPr>
        <w:pBdr>
          <w:top w:val="single" w:sz="12" w:space="1" w:color="auto"/>
          <w:bottom w:val="single" w:sz="12" w:space="1" w:color="auto"/>
        </w:pBdr>
        <w:spacing w:line="240" w:lineRule="auto"/>
        <w:jc w:val="both"/>
        <w:rPr>
          <w:rFonts w:ascii="Arial" w:hAnsi="Arial" w:cs="Arial"/>
          <w:b/>
          <w:sz w:val="24"/>
          <w:szCs w:val="24"/>
        </w:rPr>
      </w:pPr>
    </w:p>
    <w:p w:rsidR="004064AC" w:rsidRPr="00CA34AF" w:rsidRDefault="004064AC" w:rsidP="00CA34AF">
      <w:pPr>
        <w:pStyle w:val="NoSpacing"/>
        <w:spacing w:line="360" w:lineRule="auto"/>
        <w:rPr>
          <w:rFonts w:ascii="Arial" w:hAnsi="Arial" w:cs="Arial"/>
          <w:sz w:val="24"/>
          <w:szCs w:val="24"/>
          <w:lang w:val="en-US"/>
        </w:rPr>
      </w:pPr>
    </w:p>
    <w:p w:rsidR="004064AC" w:rsidRPr="00CA34AF" w:rsidRDefault="004064AC" w:rsidP="00CA34AF">
      <w:pPr>
        <w:pStyle w:val="NoSpacing"/>
        <w:spacing w:line="360" w:lineRule="auto"/>
        <w:rPr>
          <w:rFonts w:ascii="Arial" w:hAnsi="Arial" w:cs="Arial"/>
          <w:sz w:val="24"/>
          <w:szCs w:val="24"/>
          <w:lang w:val="en-US"/>
        </w:rPr>
      </w:pPr>
      <w:r w:rsidRPr="00CA34AF">
        <w:rPr>
          <w:rFonts w:ascii="Arial" w:hAnsi="Arial" w:cs="Arial"/>
          <w:sz w:val="24"/>
          <w:szCs w:val="24"/>
          <w:lang w:val="en-US"/>
        </w:rPr>
        <w:t>SMUTS JA (DAMASEB DCJ and FRANK AJA concurring):</w:t>
      </w:r>
    </w:p>
    <w:p w:rsidR="004064AC" w:rsidRPr="00CA34AF" w:rsidRDefault="004064AC" w:rsidP="00CA34AF">
      <w:pPr>
        <w:pStyle w:val="NoSpacing"/>
        <w:spacing w:line="360" w:lineRule="auto"/>
        <w:rPr>
          <w:rFonts w:ascii="Arial" w:hAnsi="Arial" w:cs="Arial"/>
          <w:sz w:val="24"/>
          <w:szCs w:val="24"/>
        </w:rPr>
      </w:pPr>
    </w:p>
    <w:p w:rsidR="004064AC" w:rsidRDefault="00670411" w:rsidP="00670411">
      <w:pPr>
        <w:pStyle w:val="NoSpacing"/>
        <w:numPr>
          <w:ilvl w:val="0"/>
          <w:numId w:val="14"/>
        </w:numPr>
        <w:spacing w:line="480" w:lineRule="auto"/>
        <w:ind w:left="0" w:firstLine="0"/>
        <w:jc w:val="both"/>
        <w:rPr>
          <w:rFonts w:ascii="Arial" w:hAnsi="Arial" w:cs="Arial"/>
          <w:sz w:val="24"/>
          <w:szCs w:val="24"/>
        </w:rPr>
      </w:pPr>
      <w:r w:rsidRPr="00DB332E">
        <w:rPr>
          <w:rFonts w:ascii="Arial" w:hAnsi="Arial" w:cs="Arial"/>
          <w:sz w:val="24"/>
          <w:szCs w:val="24"/>
        </w:rPr>
        <w:lastRenderedPageBreak/>
        <w:t xml:space="preserve">The two issues raised in this appeal concern whether the appellants have legal standing </w:t>
      </w:r>
      <w:r w:rsidRPr="00DB332E">
        <w:rPr>
          <w:rFonts w:ascii="Arial" w:hAnsi="Arial" w:cs="Arial"/>
          <w:i/>
          <w:sz w:val="24"/>
          <w:szCs w:val="24"/>
        </w:rPr>
        <w:t xml:space="preserve">(locus standi) </w:t>
      </w:r>
      <w:r w:rsidRPr="00DB332E">
        <w:rPr>
          <w:rFonts w:ascii="Arial" w:hAnsi="Arial" w:cs="Arial"/>
          <w:sz w:val="24"/>
          <w:szCs w:val="24"/>
        </w:rPr>
        <w:t xml:space="preserve">to seek </w:t>
      </w:r>
      <w:r w:rsidR="000A3E7F">
        <w:rPr>
          <w:rFonts w:ascii="Arial" w:hAnsi="Arial" w:cs="Arial"/>
          <w:sz w:val="24"/>
          <w:szCs w:val="24"/>
        </w:rPr>
        <w:t xml:space="preserve"> the </w:t>
      </w:r>
      <w:r w:rsidRPr="00DB332E">
        <w:rPr>
          <w:rFonts w:ascii="Arial" w:hAnsi="Arial" w:cs="Arial"/>
          <w:sz w:val="24"/>
          <w:szCs w:val="24"/>
        </w:rPr>
        <w:t>relief set out in the notice of motion and secon</w:t>
      </w:r>
      <w:r w:rsidR="000A3E7F">
        <w:rPr>
          <w:rFonts w:ascii="Arial" w:hAnsi="Arial" w:cs="Arial"/>
          <w:sz w:val="24"/>
          <w:szCs w:val="24"/>
        </w:rPr>
        <w:t>dly whether the claimed relief h</w:t>
      </w:r>
      <w:r w:rsidRPr="00DB332E">
        <w:rPr>
          <w:rFonts w:ascii="Arial" w:hAnsi="Arial" w:cs="Arial"/>
          <w:sz w:val="24"/>
          <w:szCs w:val="24"/>
        </w:rPr>
        <w:t xml:space="preserve">as prescribed or not. These two issues served before the High Court as preliminary </w:t>
      </w:r>
      <w:r w:rsidR="000A3E7F">
        <w:rPr>
          <w:rFonts w:ascii="Arial" w:hAnsi="Arial" w:cs="Arial"/>
          <w:sz w:val="24"/>
          <w:szCs w:val="24"/>
        </w:rPr>
        <w:t>questions and were</w:t>
      </w:r>
      <w:r w:rsidRPr="00DB332E">
        <w:rPr>
          <w:rFonts w:ascii="Arial" w:hAnsi="Arial" w:cs="Arial"/>
          <w:sz w:val="24"/>
          <w:szCs w:val="24"/>
        </w:rPr>
        <w:t xml:space="preserve"> argued separately from the merits of the application. The High Court (per Angula DJP) found that the appellants lacked standing an</w:t>
      </w:r>
      <w:r w:rsidR="000A3E7F">
        <w:rPr>
          <w:rFonts w:ascii="Arial" w:hAnsi="Arial" w:cs="Arial"/>
          <w:sz w:val="24"/>
          <w:szCs w:val="24"/>
        </w:rPr>
        <w:t>d that seven of the ten items of the</w:t>
      </w:r>
      <w:r w:rsidRPr="00DB332E">
        <w:rPr>
          <w:rFonts w:ascii="Arial" w:hAnsi="Arial" w:cs="Arial"/>
          <w:sz w:val="24"/>
          <w:szCs w:val="24"/>
        </w:rPr>
        <w:t xml:space="preserve"> relief</w:t>
      </w:r>
      <w:r w:rsidR="000A3E7F">
        <w:rPr>
          <w:rFonts w:ascii="Arial" w:hAnsi="Arial" w:cs="Arial"/>
          <w:sz w:val="24"/>
          <w:szCs w:val="24"/>
        </w:rPr>
        <w:t xml:space="preserve"> sought</w:t>
      </w:r>
      <w:r w:rsidRPr="00DB332E">
        <w:rPr>
          <w:rFonts w:ascii="Arial" w:hAnsi="Arial" w:cs="Arial"/>
          <w:sz w:val="24"/>
          <w:szCs w:val="24"/>
        </w:rPr>
        <w:t xml:space="preserve"> had prescribed and </w:t>
      </w:r>
      <w:r w:rsidR="000A3E7F">
        <w:rPr>
          <w:rFonts w:ascii="Arial" w:hAnsi="Arial" w:cs="Arial"/>
          <w:sz w:val="24"/>
          <w:szCs w:val="24"/>
        </w:rPr>
        <w:t xml:space="preserve">struck </w:t>
      </w:r>
      <w:r w:rsidRPr="00DB332E">
        <w:rPr>
          <w:rFonts w:ascii="Arial" w:hAnsi="Arial" w:cs="Arial"/>
          <w:sz w:val="24"/>
          <w:szCs w:val="24"/>
        </w:rPr>
        <w:t xml:space="preserve">the application </w:t>
      </w:r>
      <w:r w:rsidR="000A3E7F">
        <w:rPr>
          <w:rFonts w:ascii="Arial" w:hAnsi="Arial" w:cs="Arial"/>
          <w:sz w:val="24"/>
          <w:szCs w:val="24"/>
        </w:rPr>
        <w:t xml:space="preserve">from the roll </w:t>
      </w:r>
      <w:r w:rsidRPr="00DB332E">
        <w:rPr>
          <w:rFonts w:ascii="Arial" w:hAnsi="Arial" w:cs="Arial"/>
          <w:sz w:val="24"/>
          <w:szCs w:val="24"/>
        </w:rPr>
        <w:t>on those grounds. The appellants appeal against th</w:t>
      </w:r>
      <w:r w:rsidR="000A3E7F">
        <w:rPr>
          <w:rFonts w:ascii="Arial" w:hAnsi="Arial" w:cs="Arial"/>
          <w:sz w:val="24"/>
          <w:szCs w:val="24"/>
        </w:rPr>
        <w:t>at</w:t>
      </w:r>
      <w:r w:rsidRPr="00DB332E">
        <w:rPr>
          <w:rFonts w:ascii="Arial" w:hAnsi="Arial" w:cs="Arial"/>
          <w:sz w:val="24"/>
          <w:szCs w:val="24"/>
        </w:rPr>
        <w:t xml:space="preserve"> decision.</w:t>
      </w:r>
    </w:p>
    <w:p w:rsidR="00670411" w:rsidRDefault="00670411" w:rsidP="00670411">
      <w:pPr>
        <w:pStyle w:val="NoSpacing"/>
        <w:spacing w:line="480" w:lineRule="auto"/>
        <w:jc w:val="both"/>
        <w:rPr>
          <w:rFonts w:ascii="Arial" w:hAnsi="Arial" w:cs="Arial"/>
          <w:sz w:val="24"/>
          <w:szCs w:val="24"/>
        </w:rPr>
      </w:pPr>
    </w:p>
    <w:p w:rsidR="00670411" w:rsidRPr="00DB332E" w:rsidRDefault="00B610C7" w:rsidP="00670411">
      <w:pPr>
        <w:pStyle w:val="NoSpacing"/>
        <w:spacing w:line="480" w:lineRule="auto"/>
        <w:jc w:val="both"/>
        <w:rPr>
          <w:rFonts w:ascii="Arial" w:hAnsi="Arial" w:cs="Arial"/>
          <w:sz w:val="24"/>
          <w:szCs w:val="24"/>
          <w:u w:val="single"/>
        </w:rPr>
      </w:pPr>
      <w:r>
        <w:rPr>
          <w:rFonts w:ascii="Arial" w:hAnsi="Arial" w:cs="Arial"/>
          <w:sz w:val="24"/>
          <w:szCs w:val="24"/>
          <w:u w:val="single"/>
        </w:rPr>
        <w:t>Factual b</w:t>
      </w:r>
      <w:r w:rsidR="00670411" w:rsidRPr="00DB332E">
        <w:rPr>
          <w:rFonts w:ascii="Arial" w:hAnsi="Arial" w:cs="Arial"/>
          <w:sz w:val="24"/>
          <w:szCs w:val="24"/>
          <w:u w:val="single"/>
        </w:rPr>
        <w:t xml:space="preserve">ackground </w:t>
      </w: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w:t>
      </w:r>
      <w:r w:rsidR="000A3E7F">
        <w:rPr>
          <w:rFonts w:ascii="Arial" w:hAnsi="Arial" w:cs="Arial"/>
          <w:sz w:val="24"/>
          <w:szCs w:val="24"/>
        </w:rPr>
        <w:t xml:space="preserve">underlying </w:t>
      </w:r>
      <w:r>
        <w:rPr>
          <w:rFonts w:ascii="Arial" w:hAnsi="Arial" w:cs="Arial"/>
          <w:sz w:val="24"/>
          <w:szCs w:val="24"/>
        </w:rPr>
        <w:t>dispute</w:t>
      </w:r>
      <w:r w:rsidR="000A3E7F">
        <w:rPr>
          <w:rFonts w:ascii="Arial" w:hAnsi="Arial" w:cs="Arial"/>
          <w:sz w:val="24"/>
          <w:szCs w:val="24"/>
        </w:rPr>
        <w:t xml:space="preserve"> between the appellants on the one hand </w:t>
      </w:r>
      <w:r w:rsidR="007410AA">
        <w:rPr>
          <w:rFonts w:ascii="Arial" w:hAnsi="Arial" w:cs="Arial"/>
          <w:sz w:val="24"/>
          <w:szCs w:val="24"/>
        </w:rPr>
        <w:t>and the respondents on the other</w:t>
      </w:r>
      <w:r>
        <w:rPr>
          <w:rFonts w:ascii="Arial" w:hAnsi="Arial" w:cs="Arial"/>
          <w:sz w:val="24"/>
          <w:szCs w:val="24"/>
        </w:rPr>
        <w:t xml:space="preserve"> essentially relates to the control of a voluntary </w:t>
      </w:r>
      <w:r w:rsidR="007410AA">
        <w:rPr>
          <w:rFonts w:ascii="Arial" w:hAnsi="Arial" w:cs="Arial"/>
          <w:sz w:val="24"/>
          <w:szCs w:val="24"/>
        </w:rPr>
        <w:t>association</w:t>
      </w:r>
      <w:r>
        <w:rPr>
          <w:rFonts w:ascii="Arial" w:hAnsi="Arial" w:cs="Arial"/>
          <w:sz w:val="24"/>
          <w:szCs w:val="24"/>
        </w:rPr>
        <w:t xml:space="preserve"> known as the Itireleng Village Community </w:t>
      </w:r>
      <w:r w:rsidR="007410AA">
        <w:rPr>
          <w:rFonts w:ascii="Arial" w:hAnsi="Arial" w:cs="Arial"/>
          <w:sz w:val="24"/>
          <w:szCs w:val="24"/>
        </w:rPr>
        <w:t xml:space="preserve">(the association) </w:t>
      </w:r>
      <w:r>
        <w:rPr>
          <w:rFonts w:ascii="Arial" w:hAnsi="Arial" w:cs="Arial"/>
          <w:sz w:val="24"/>
          <w:szCs w:val="24"/>
        </w:rPr>
        <w:t>which in turn enjoys the servitude</w:t>
      </w:r>
      <w:r w:rsidR="007410AA">
        <w:rPr>
          <w:rFonts w:ascii="Arial" w:hAnsi="Arial" w:cs="Arial"/>
          <w:sz w:val="24"/>
          <w:szCs w:val="24"/>
        </w:rPr>
        <w:t>s</w:t>
      </w:r>
      <w:r>
        <w:rPr>
          <w:rFonts w:ascii="Arial" w:hAnsi="Arial" w:cs="Arial"/>
          <w:sz w:val="24"/>
          <w:szCs w:val="24"/>
        </w:rPr>
        <w:t xml:space="preserve"> of </w:t>
      </w:r>
      <w:r w:rsidRPr="007410AA">
        <w:rPr>
          <w:rFonts w:ascii="Arial" w:hAnsi="Arial" w:cs="Arial"/>
          <w:i/>
          <w:sz w:val="24"/>
          <w:szCs w:val="24"/>
        </w:rPr>
        <w:t>us</w:t>
      </w:r>
      <w:r w:rsidR="007410AA" w:rsidRPr="007410AA">
        <w:rPr>
          <w:rFonts w:ascii="Arial" w:hAnsi="Arial" w:cs="Arial"/>
          <w:i/>
          <w:sz w:val="24"/>
          <w:szCs w:val="24"/>
        </w:rPr>
        <w:t>us</w:t>
      </w:r>
      <w:r w:rsidRPr="007410AA">
        <w:rPr>
          <w:rFonts w:ascii="Arial" w:hAnsi="Arial" w:cs="Arial"/>
          <w:i/>
          <w:sz w:val="24"/>
          <w:szCs w:val="24"/>
        </w:rPr>
        <w:t xml:space="preserve"> </w:t>
      </w:r>
      <w:r>
        <w:rPr>
          <w:rFonts w:ascii="Arial" w:hAnsi="Arial" w:cs="Arial"/>
          <w:sz w:val="24"/>
          <w:szCs w:val="24"/>
        </w:rPr>
        <w:t xml:space="preserve">and </w:t>
      </w:r>
      <w:r w:rsidRPr="000325BE">
        <w:rPr>
          <w:rFonts w:ascii="Arial" w:hAnsi="Arial" w:cs="Arial"/>
          <w:i/>
          <w:sz w:val="24"/>
          <w:szCs w:val="24"/>
        </w:rPr>
        <w:t>habitatio</w:t>
      </w:r>
      <w:r>
        <w:rPr>
          <w:rFonts w:ascii="Arial" w:hAnsi="Arial" w:cs="Arial"/>
          <w:sz w:val="24"/>
          <w:szCs w:val="24"/>
        </w:rPr>
        <w:t xml:space="preserve"> over agricultural land at Epikuro in the </w:t>
      </w:r>
      <w:r w:rsidR="007410AA">
        <w:rPr>
          <w:rFonts w:ascii="Arial" w:hAnsi="Arial" w:cs="Arial"/>
          <w:sz w:val="24"/>
          <w:szCs w:val="24"/>
        </w:rPr>
        <w:t>Omaheke region</w:t>
      </w:r>
      <w:r>
        <w:rPr>
          <w:rFonts w:ascii="Arial" w:hAnsi="Arial" w:cs="Arial"/>
          <w:sz w:val="24"/>
          <w:szCs w:val="24"/>
        </w:rPr>
        <w:t>.</w:t>
      </w:r>
    </w:p>
    <w:p w:rsidR="00670411" w:rsidRDefault="00670411" w:rsidP="00670411">
      <w:pPr>
        <w:pStyle w:val="NoSpacing"/>
        <w:spacing w:line="480" w:lineRule="auto"/>
        <w:jc w:val="bot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Roman Catholic Church acquired the farm land in about 1903 for the purpose of taking care of and providing shelter to members of the Tswana community residing in the area. This community became known as the Itireleng Village Community. The community has resided on </w:t>
      </w:r>
      <w:r w:rsidR="007410AA">
        <w:rPr>
          <w:rFonts w:ascii="Arial" w:hAnsi="Arial" w:cs="Arial"/>
          <w:sz w:val="24"/>
          <w:szCs w:val="24"/>
        </w:rPr>
        <w:t>the farm</w:t>
      </w:r>
      <w:r>
        <w:rPr>
          <w:rFonts w:ascii="Arial" w:hAnsi="Arial" w:cs="Arial"/>
          <w:sz w:val="24"/>
          <w:szCs w:val="24"/>
        </w:rPr>
        <w:t xml:space="preserve"> since then.</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the process of regularizing the position, a constitution for the community was adopted which formally established the </w:t>
      </w:r>
      <w:r w:rsidR="007410AA">
        <w:rPr>
          <w:rFonts w:ascii="Arial" w:hAnsi="Arial" w:cs="Arial"/>
          <w:sz w:val="24"/>
          <w:szCs w:val="24"/>
        </w:rPr>
        <w:t>association</w:t>
      </w:r>
      <w:r>
        <w:rPr>
          <w:rFonts w:ascii="Arial" w:hAnsi="Arial" w:cs="Arial"/>
          <w:sz w:val="24"/>
          <w:szCs w:val="24"/>
        </w:rPr>
        <w:t xml:space="preserve"> in 1983. </w:t>
      </w:r>
      <w:r w:rsidR="00B610C7">
        <w:rPr>
          <w:rFonts w:ascii="Arial" w:hAnsi="Arial" w:cs="Arial"/>
          <w:sz w:val="24"/>
          <w:szCs w:val="24"/>
        </w:rPr>
        <w:t>It is attached to the appellant</w:t>
      </w:r>
      <w:r>
        <w:rPr>
          <w:rFonts w:ascii="Arial" w:hAnsi="Arial" w:cs="Arial"/>
          <w:sz w:val="24"/>
          <w:szCs w:val="24"/>
        </w:rPr>
        <w:t>s</w:t>
      </w:r>
      <w:r w:rsidR="00B610C7">
        <w:rPr>
          <w:rFonts w:ascii="Arial" w:hAnsi="Arial" w:cs="Arial"/>
          <w:sz w:val="24"/>
          <w:szCs w:val="24"/>
        </w:rPr>
        <w:t>’</w:t>
      </w:r>
      <w:r>
        <w:rPr>
          <w:rFonts w:ascii="Arial" w:hAnsi="Arial" w:cs="Arial"/>
          <w:sz w:val="24"/>
          <w:szCs w:val="24"/>
        </w:rPr>
        <w:t xml:space="preserve"> founding papers.</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A lease agreement at a nominal rental</w:t>
      </w:r>
      <w:r w:rsidR="007410AA">
        <w:rPr>
          <w:rFonts w:ascii="Arial" w:hAnsi="Arial" w:cs="Arial"/>
          <w:sz w:val="24"/>
          <w:szCs w:val="24"/>
        </w:rPr>
        <w:t xml:space="preserve"> of the farm</w:t>
      </w:r>
      <w:r>
        <w:rPr>
          <w:rFonts w:ascii="Arial" w:hAnsi="Arial" w:cs="Arial"/>
          <w:sz w:val="24"/>
          <w:szCs w:val="24"/>
        </w:rPr>
        <w:t xml:space="preserve"> was thereupon agreed upon with the Church in 1983. After this agreement lapsed, the Church in 2003 granted the community </w:t>
      </w:r>
      <w:r w:rsidR="007410AA">
        <w:rPr>
          <w:rFonts w:ascii="Arial" w:hAnsi="Arial" w:cs="Arial"/>
          <w:sz w:val="24"/>
          <w:szCs w:val="24"/>
        </w:rPr>
        <w:t xml:space="preserve">through the association servitudes of </w:t>
      </w:r>
      <w:r w:rsidR="007410AA" w:rsidRPr="007410AA">
        <w:rPr>
          <w:rFonts w:ascii="Arial" w:hAnsi="Arial" w:cs="Arial"/>
          <w:i/>
          <w:sz w:val="24"/>
          <w:szCs w:val="24"/>
        </w:rPr>
        <w:t>usu</w:t>
      </w:r>
      <w:r w:rsidRPr="007410AA">
        <w:rPr>
          <w:rFonts w:ascii="Arial" w:hAnsi="Arial" w:cs="Arial"/>
          <w:i/>
          <w:sz w:val="24"/>
          <w:szCs w:val="24"/>
        </w:rPr>
        <w:t>s</w:t>
      </w:r>
      <w:r>
        <w:rPr>
          <w:rFonts w:ascii="Arial" w:hAnsi="Arial" w:cs="Arial"/>
          <w:sz w:val="24"/>
          <w:szCs w:val="24"/>
        </w:rPr>
        <w:t xml:space="preserve"> and </w:t>
      </w:r>
      <w:r w:rsidRPr="000325BE">
        <w:rPr>
          <w:rFonts w:ascii="Arial" w:hAnsi="Arial" w:cs="Arial"/>
          <w:i/>
          <w:sz w:val="24"/>
          <w:szCs w:val="24"/>
        </w:rPr>
        <w:t>habitatio</w:t>
      </w:r>
      <w:r w:rsidR="007410AA">
        <w:rPr>
          <w:rFonts w:ascii="Arial" w:hAnsi="Arial" w:cs="Arial"/>
          <w:sz w:val="24"/>
          <w:szCs w:val="24"/>
        </w:rPr>
        <w:t xml:space="preserve"> over the farm</w:t>
      </w:r>
      <w:r>
        <w:rPr>
          <w:rFonts w:ascii="Arial" w:hAnsi="Arial" w:cs="Arial"/>
          <w:sz w:val="24"/>
          <w:szCs w:val="24"/>
        </w:rPr>
        <w:t>.</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Membership of </w:t>
      </w:r>
      <w:r w:rsidR="00B610C7">
        <w:rPr>
          <w:rFonts w:ascii="Arial" w:hAnsi="Arial" w:cs="Arial"/>
          <w:sz w:val="24"/>
          <w:szCs w:val="24"/>
        </w:rPr>
        <w:t xml:space="preserve">the </w:t>
      </w:r>
      <w:r w:rsidR="007410AA">
        <w:rPr>
          <w:rFonts w:ascii="Arial" w:hAnsi="Arial" w:cs="Arial"/>
          <w:sz w:val="24"/>
          <w:szCs w:val="24"/>
        </w:rPr>
        <w:t>association</w:t>
      </w:r>
      <w:r>
        <w:rPr>
          <w:rFonts w:ascii="Arial" w:hAnsi="Arial" w:cs="Arial"/>
          <w:sz w:val="24"/>
          <w:szCs w:val="24"/>
        </w:rPr>
        <w:t xml:space="preserve"> is regulated </w:t>
      </w:r>
      <w:r w:rsidR="00B610C7">
        <w:rPr>
          <w:rFonts w:ascii="Arial" w:hAnsi="Arial" w:cs="Arial"/>
          <w:sz w:val="24"/>
          <w:szCs w:val="24"/>
        </w:rPr>
        <w:t>in its</w:t>
      </w:r>
      <w:r>
        <w:rPr>
          <w:rFonts w:ascii="Arial" w:hAnsi="Arial" w:cs="Arial"/>
          <w:sz w:val="24"/>
          <w:szCs w:val="24"/>
        </w:rPr>
        <w:t xml:space="preserve"> constitution. The </w:t>
      </w:r>
      <w:r w:rsidR="00B610C7">
        <w:rPr>
          <w:rFonts w:ascii="Arial" w:hAnsi="Arial" w:cs="Arial"/>
          <w:sz w:val="24"/>
          <w:szCs w:val="24"/>
        </w:rPr>
        <w:t xml:space="preserve">constitution vests the </w:t>
      </w:r>
      <w:r>
        <w:rPr>
          <w:rFonts w:ascii="Arial" w:hAnsi="Arial" w:cs="Arial"/>
          <w:sz w:val="24"/>
          <w:szCs w:val="24"/>
        </w:rPr>
        <w:t xml:space="preserve">management of the </w:t>
      </w:r>
      <w:r w:rsidR="007410AA">
        <w:rPr>
          <w:rFonts w:ascii="Arial" w:hAnsi="Arial" w:cs="Arial"/>
          <w:sz w:val="24"/>
          <w:szCs w:val="24"/>
        </w:rPr>
        <w:t>association</w:t>
      </w:r>
      <w:r>
        <w:rPr>
          <w:rFonts w:ascii="Arial" w:hAnsi="Arial" w:cs="Arial"/>
          <w:sz w:val="24"/>
          <w:szCs w:val="24"/>
        </w:rPr>
        <w:t xml:space="preserve"> in a council of 15 elected members, comprising a headman who chairs the council, an ‘under chairperson’, </w:t>
      </w:r>
      <w:r w:rsidR="007410AA">
        <w:rPr>
          <w:rFonts w:ascii="Arial" w:hAnsi="Arial" w:cs="Arial"/>
          <w:sz w:val="24"/>
          <w:szCs w:val="24"/>
        </w:rPr>
        <w:t xml:space="preserve">a </w:t>
      </w:r>
      <w:r>
        <w:rPr>
          <w:rFonts w:ascii="Arial" w:hAnsi="Arial" w:cs="Arial"/>
          <w:sz w:val="24"/>
          <w:szCs w:val="24"/>
        </w:rPr>
        <w:t xml:space="preserve">secretary, two treasurers and nine ordinary members. Members of the community </w:t>
      </w:r>
      <w:r w:rsidR="007410AA">
        <w:rPr>
          <w:rFonts w:ascii="Arial" w:hAnsi="Arial" w:cs="Arial"/>
          <w:sz w:val="24"/>
          <w:szCs w:val="24"/>
        </w:rPr>
        <w:t xml:space="preserve">and association </w:t>
      </w:r>
      <w:r>
        <w:rPr>
          <w:rFonts w:ascii="Arial" w:hAnsi="Arial" w:cs="Arial"/>
          <w:sz w:val="24"/>
          <w:szCs w:val="24"/>
        </w:rPr>
        <w:t xml:space="preserve">elect council members at 3 year intervals. Office bearers are in turn elected </w:t>
      </w:r>
      <w:r w:rsidR="007410AA">
        <w:rPr>
          <w:rFonts w:ascii="Arial" w:hAnsi="Arial" w:cs="Arial"/>
          <w:sz w:val="24"/>
          <w:szCs w:val="24"/>
        </w:rPr>
        <w:t xml:space="preserve">to their positions </w:t>
      </w:r>
      <w:r>
        <w:rPr>
          <w:rFonts w:ascii="Arial" w:hAnsi="Arial" w:cs="Arial"/>
          <w:sz w:val="24"/>
          <w:szCs w:val="24"/>
        </w:rPr>
        <w:t>at the first meeting of a council.</w:t>
      </w:r>
    </w:p>
    <w:p w:rsidR="00670411" w:rsidRDefault="00670411" w:rsidP="00670411">
      <w:pPr>
        <w:pStyle w:val="ListParagraph"/>
        <w:rPr>
          <w:rFonts w:ascii="Arial" w:hAnsi="Arial" w:cs="Arial"/>
          <w:sz w:val="24"/>
          <w:szCs w:val="24"/>
        </w:rPr>
      </w:pPr>
    </w:p>
    <w:p w:rsidR="00670411" w:rsidRDefault="00B610C7"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It is common cause that fa</w:t>
      </w:r>
      <w:r w:rsidR="00670411">
        <w:rPr>
          <w:rFonts w:ascii="Arial" w:hAnsi="Arial" w:cs="Arial"/>
          <w:sz w:val="24"/>
          <w:szCs w:val="24"/>
        </w:rPr>
        <w:t xml:space="preserve">ctional disputes in the </w:t>
      </w:r>
      <w:r w:rsidR="007410AA">
        <w:rPr>
          <w:rFonts w:ascii="Arial" w:hAnsi="Arial" w:cs="Arial"/>
          <w:sz w:val="24"/>
          <w:szCs w:val="24"/>
        </w:rPr>
        <w:t>association</w:t>
      </w:r>
      <w:r w:rsidR="00670411">
        <w:rPr>
          <w:rFonts w:ascii="Arial" w:hAnsi="Arial" w:cs="Arial"/>
          <w:sz w:val="24"/>
          <w:szCs w:val="24"/>
        </w:rPr>
        <w:t xml:space="preserve"> emerged from about</w:t>
      </w:r>
      <w:r w:rsidR="007410AA">
        <w:rPr>
          <w:rFonts w:ascii="Arial" w:hAnsi="Arial" w:cs="Arial"/>
          <w:sz w:val="24"/>
          <w:szCs w:val="24"/>
        </w:rPr>
        <w:t xml:space="preserve"> late</w:t>
      </w:r>
      <w:r w:rsidR="00670411">
        <w:rPr>
          <w:rFonts w:ascii="Arial" w:hAnsi="Arial" w:cs="Arial"/>
          <w:sz w:val="24"/>
          <w:szCs w:val="24"/>
        </w:rPr>
        <w:t xml:space="preserve"> 2005 </w:t>
      </w:r>
      <w:r w:rsidR="00EC3642">
        <w:rPr>
          <w:rFonts w:ascii="Arial" w:hAnsi="Arial" w:cs="Arial"/>
          <w:sz w:val="24"/>
          <w:szCs w:val="24"/>
        </w:rPr>
        <w:t xml:space="preserve">or </w:t>
      </w:r>
      <w:r w:rsidR="00670411">
        <w:rPr>
          <w:rFonts w:ascii="Arial" w:hAnsi="Arial" w:cs="Arial"/>
          <w:sz w:val="24"/>
          <w:szCs w:val="24"/>
        </w:rPr>
        <w:t>early 2006</w:t>
      </w:r>
      <w:r w:rsidR="00EC3642">
        <w:rPr>
          <w:rFonts w:ascii="Arial" w:hAnsi="Arial" w:cs="Arial"/>
          <w:sz w:val="24"/>
          <w:szCs w:val="24"/>
        </w:rPr>
        <w:t xml:space="preserve"> and have festered, culminating in the application launched in the High Court in early 2015</w:t>
      </w:r>
      <w:r w:rsidR="00670411">
        <w:rPr>
          <w:rFonts w:ascii="Arial" w:hAnsi="Arial" w:cs="Arial"/>
          <w:sz w:val="24"/>
          <w:szCs w:val="24"/>
        </w:rPr>
        <w:t>.</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first applicant</w:t>
      </w:r>
      <w:r w:rsidR="00EC3642">
        <w:rPr>
          <w:rFonts w:ascii="Arial" w:hAnsi="Arial" w:cs="Arial"/>
          <w:sz w:val="24"/>
          <w:szCs w:val="24"/>
        </w:rPr>
        <w:t xml:space="preserve"> (</w:t>
      </w:r>
      <w:r w:rsidR="00B610C7">
        <w:rPr>
          <w:rFonts w:ascii="Arial" w:hAnsi="Arial" w:cs="Arial"/>
          <w:sz w:val="24"/>
          <w:szCs w:val="24"/>
        </w:rPr>
        <w:t xml:space="preserve">first </w:t>
      </w:r>
      <w:r w:rsidR="00EC3642">
        <w:rPr>
          <w:rFonts w:ascii="Arial" w:hAnsi="Arial" w:cs="Arial"/>
          <w:sz w:val="24"/>
          <w:szCs w:val="24"/>
        </w:rPr>
        <w:t>appellant)</w:t>
      </w:r>
      <w:r>
        <w:rPr>
          <w:rFonts w:ascii="Arial" w:hAnsi="Arial" w:cs="Arial"/>
          <w:sz w:val="24"/>
          <w:szCs w:val="24"/>
        </w:rPr>
        <w:t xml:space="preserve"> is referred to as the Council for the Itireleng Village Community. It is described as being ‘established in terms of the constitution of the (community)’. It is said to consist of </w:t>
      </w:r>
      <w:r w:rsidR="00B610C7">
        <w:rPr>
          <w:rFonts w:ascii="Arial" w:hAnsi="Arial" w:cs="Arial"/>
          <w:sz w:val="24"/>
          <w:szCs w:val="24"/>
        </w:rPr>
        <w:t xml:space="preserve">certain </w:t>
      </w:r>
      <w:r>
        <w:rPr>
          <w:rFonts w:ascii="Arial" w:hAnsi="Arial" w:cs="Arial"/>
          <w:sz w:val="24"/>
          <w:szCs w:val="24"/>
        </w:rPr>
        <w:t xml:space="preserve">elected members set out on an attached list ‘and a headman who </w:t>
      </w:r>
      <w:r>
        <w:rPr>
          <w:rFonts w:ascii="Arial" w:hAnsi="Arial" w:cs="Arial"/>
          <w:i/>
          <w:sz w:val="24"/>
          <w:szCs w:val="24"/>
        </w:rPr>
        <w:t>ex-offfio</w:t>
      </w:r>
      <w:r>
        <w:rPr>
          <w:rFonts w:ascii="Arial" w:hAnsi="Arial" w:cs="Arial"/>
          <w:sz w:val="24"/>
          <w:szCs w:val="24"/>
        </w:rPr>
        <w:t xml:space="preserve"> is the chairperson of the Council’</w:t>
      </w:r>
      <w:r w:rsidR="00EC3642">
        <w:rPr>
          <w:rFonts w:ascii="Arial" w:hAnsi="Arial" w:cs="Arial"/>
          <w:sz w:val="24"/>
          <w:szCs w:val="24"/>
        </w:rPr>
        <w:t>, identified as the second appellant</w:t>
      </w:r>
      <w:r>
        <w:rPr>
          <w:rFonts w:ascii="Arial" w:hAnsi="Arial" w:cs="Arial"/>
          <w:sz w:val="24"/>
          <w:szCs w:val="24"/>
        </w:rPr>
        <w:t>.</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second applicant </w:t>
      </w:r>
      <w:r w:rsidR="00EC3642">
        <w:rPr>
          <w:rFonts w:ascii="Arial" w:hAnsi="Arial" w:cs="Arial"/>
          <w:sz w:val="24"/>
          <w:szCs w:val="24"/>
        </w:rPr>
        <w:t>(</w:t>
      </w:r>
      <w:r w:rsidR="00B610C7">
        <w:rPr>
          <w:rFonts w:ascii="Arial" w:hAnsi="Arial" w:cs="Arial"/>
          <w:sz w:val="24"/>
          <w:szCs w:val="24"/>
        </w:rPr>
        <w:t xml:space="preserve">second </w:t>
      </w:r>
      <w:r w:rsidR="00EC3642">
        <w:rPr>
          <w:rFonts w:ascii="Arial" w:hAnsi="Arial" w:cs="Arial"/>
          <w:sz w:val="24"/>
          <w:szCs w:val="24"/>
        </w:rPr>
        <w:t xml:space="preserve">appellant) </w:t>
      </w:r>
      <w:r>
        <w:rPr>
          <w:rFonts w:ascii="Arial" w:hAnsi="Arial" w:cs="Arial"/>
          <w:sz w:val="24"/>
          <w:szCs w:val="24"/>
        </w:rPr>
        <w:t xml:space="preserve">is a senior traditional councillor of the Batswana Ba Namibia Traditional Authority (appointed in that capacity </w:t>
      </w:r>
      <w:r w:rsidR="00EC3642">
        <w:rPr>
          <w:rFonts w:ascii="Arial" w:hAnsi="Arial" w:cs="Arial"/>
          <w:sz w:val="24"/>
          <w:szCs w:val="24"/>
        </w:rPr>
        <w:t>in terms of</w:t>
      </w:r>
      <w:r>
        <w:rPr>
          <w:rFonts w:ascii="Arial" w:hAnsi="Arial" w:cs="Arial"/>
          <w:sz w:val="24"/>
          <w:szCs w:val="24"/>
        </w:rPr>
        <w:t xml:space="preserve"> the Traditional Authorities Act, 25 of 2000 </w:t>
      </w:r>
      <w:r w:rsidR="00EC3642">
        <w:rPr>
          <w:rFonts w:ascii="Arial" w:hAnsi="Arial" w:cs="Arial"/>
          <w:sz w:val="24"/>
          <w:szCs w:val="24"/>
        </w:rPr>
        <w:t>-</w:t>
      </w:r>
      <w:r>
        <w:rPr>
          <w:rFonts w:ascii="Arial" w:hAnsi="Arial" w:cs="Arial"/>
          <w:sz w:val="24"/>
          <w:szCs w:val="24"/>
        </w:rPr>
        <w:t xml:space="preserve"> the Act). He also claims to be chairperson of the community and their headman. Although his name is however </w:t>
      </w:r>
      <w:r>
        <w:rPr>
          <w:rFonts w:ascii="Arial" w:hAnsi="Arial" w:cs="Arial"/>
          <w:sz w:val="24"/>
          <w:szCs w:val="24"/>
        </w:rPr>
        <w:lastRenderedPageBreak/>
        <w:t>set out on the attached list</w:t>
      </w:r>
      <w:r w:rsidR="00EC3642">
        <w:rPr>
          <w:rFonts w:ascii="Arial" w:hAnsi="Arial" w:cs="Arial"/>
          <w:sz w:val="24"/>
          <w:szCs w:val="24"/>
        </w:rPr>
        <w:t xml:space="preserve"> (annexure ABM1)</w:t>
      </w:r>
      <w:r>
        <w:rPr>
          <w:rFonts w:ascii="Arial" w:hAnsi="Arial" w:cs="Arial"/>
          <w:sz w:val="24"/>
          <w:szCs w:val="24"/>
        </w:rPr>
        <w:t xml:space="preserve"> of </w:t>
      </w:r>
      <w:r w:rsidR="00EC3642">
        <w:rPr>
          <w:rFonts w:ascii="Arial" w:hAnsi="Arial" w:cs="Arial"/>
          <w:sz w:val="24"/>
          <w:szCs w:val="24"/>
        </w:rPr>
        <w:t xml:space="preserve">persons he says were </w:t>
      </w:r>
      <w:r>
        <w:rPr>
          <w:rFonts w:ascii="Arial" w:hAnsi="Arial" w:cs="Arial"/>
          <w:sz w:val="24"/>
          <w:szCs w:val="24"/>
        </w:rPr>
        <w:t xml:space="preserve">elected </w:t>
      </w:r>
      <w:r w:rsidR="00B610C7">
        <w:rPr>
          <w:rFonts w:ascii="Arial" w:hAnsi="Arial" w:cs="Arial"/>
          <w:sz w:val="24"/>
          <w:szCs w:val="24"/>
        </w:rPr>
        <w:t xml:space="preserve">as </w:t>
      </w:r>
      <w:r>
        <w:rPr>
          <w:rFonts w:ascii="Arial" w:hAnsi="Arial" w:cs="Arial"/>
          <w:sz w:val="24"/>
          <w:szCs w:val="24"/>
        </w:rPr>
        <w:t xml:space="preserve">council members in 2004, he claims that he serves as chairperson of the </w:t>
      </w:r>
      <w:r w:rsidR="00EC3642">
        <w:rPr>
          <w:rFonts w:ascii="Arial" w:hAnsi="Arial" w:cs="Arial"/>
          <w:sz w:val="24"/>
          <w:szCs w:val="24"/>
        </w:rPr>
        <w:t>association</w:t>
      </w:r>
      <w:r>
        <w:rPr>
          <w:rFonts w:ascii="Arial" w:hAnsi="Arial" w:cs="Arial"/>
          <w:sz w:val="24"/>
          <w:szCs w:val="24"/>
        </w:rPr>
        <w:t xml:space="preserve"> by virtue of his position of senior traditional councillor as that incumbency</w:t>
      </w:r>
      <w:r w:rsidR="00EC3642">
        <w:rPr>
          <w:rFonts w:ascii="Arial" w:hAnsi="Arial" w:cs="Arial"/>
          <w:sz w:val="24"/>
          <w:szCs w:val="24"/>
        </w:rPr>
        <w:t>, so he asserts,</w:t>
      </w:r>
      <w:r>
        <w:rPr>
          <w:rFonts w:ascii="Arial" w:hAnsi="Arial" w:cs="Arial"/>
          <w:sz w:val="24"/>
          <w:szCs w:val="24"/>
        </w:rPr>
        <w:t xml:space="preserve"> renders him the headman of the community</w:t>
      </w:r>
      <w:r w:rsidR="00595105">
        <w:rPr>
          <w:rFonts w:ascii="Arial" w:hAnsi="Arial" w:cs="Arial"/>
          <w:sz w:val="24"/>
          <w:szCs w:val="24"/>
        </w:rPr>
        <w:t xml:space="preserve"> and the association</w:t>
      </w:r>
      <w:r>
        <w:rPr>
          <w:rFonts w:ascii="Arial" w:hAnsi="Arial" w:cs="Arial"/>
          <w:sz w:val="24"/>
          <w:szCs w:val="24"/>
        </w:rPr>
        <w:t>.</w:t>
      </w:r>
      <w:r w:rsidR="00B610C7">
        <w:rPr>
          <w:rFonts w:ascii="Arial" w:hAnsi="Arial" w:cs="Arial"/>
          <w:sz w:val="24"/>
          <w:szCs w:val="24"/>
        </w:rPr>
        <w:t xml:space="preserve"> He asserts that the position as headman of the association is not subject to election and is held </w:t>
      </w:r>
      <w:r w:rsidR="00B610C7">
        <w:rPr>
          <w:rFonts w:ascii="Arial" w:hAnsi="Arial" w:cs="Arial"/>
          <w:i/>
          <w:sz w:val="24"/>
          <w:szCs w:val="24"/>
        </w:rPr>
        <w:t xml:space="preserve">ex-officio </w:t>
      </w:r>
      <w:r w:rsidR="00B610C7">
        <w:rPr>
          <w:rFonts w:ascii="Arial" w:hAnsi="Arial" w:cs="Arial"/>
          <w:sz w:val="24"/>
          <w:szCs w:val="24"/>
        </w:rPr>
        <w:t>by the senior traditional councillor.</w:t>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That status is disputed by the respondents. They do not dispute his appointment</w:t>
      </w:r>
      <w:r w:rsidR="00595105">
        <w:rPr>
          <w:rFonts w:ascii="Arial" w:hAnsi="Arial" w:cs="Arial"/>
          <w:sz w:val="24"/>
          <w:szCs w:val="24"/>
        </w:rPr>
        <w:t xml:space="preserve"> as senior traditional councillor</w:t>
      </w:r>
      <w:r>
        <w:rPr>
          <w:rFonts w:ascii="Arial" w:hAnsi="Arial" w:cs="Arial"/>
          <w:sz w:val="24"/>
          <w:szCs w:val="24"/>
        </w:rPr>
        <w:t xml:space="preserve"> under the Act, but state that prior to the brin</w:t>
      </w:r>
      <w:r w:rsidR="00595105">
        <w:rPr>
          <w:rFonts w:ascii="Arial" w:hAnsi="Arial" w:cs="Arial"/>
          <w:sz w:val="24"/>
          <w:szCs w:val="24"/>
        </w:rPr>
        <w:t>g</w:t>
      </w:r>
      <w:r>
        <w:rPr>
          <w:rFonts w:ascii="Arial" w:hAnsi="Arial" w:cs="Arial"/>
          <w:sz w:val="24"/>
          <w:szCs w:val="24"/>
        </w:rPr>
        <w:t xml:space="preserve">ing of the application in </w:t>
      </w:r>
      <w:r w:rsidR="00595105">
        <w:rPr>
          <w:rFonts w:ascii="Arial" w:hAnsi="Arial" w:cs="Arial"/>
          <w:sz w:val="24"/>
          <w:szCs w:val="24"/>
        </w:rPr>
        <w:t>early</w:t>
      </w:r>
      <w:r>
        <w:rPr>
          <w:rFonts w:ascii="Arial" w:hAnsi="Arial" w:cs="Arial"/>
          <w:sz w:val="24"/>
          <w:szCs w:val="24"/>
        </w:rPr>
        <w:t xml:space="preserve"> 2015, two subsequent council elections were held in 2010 and 2013</w:t>
      </w:r>
      <w:r w:rsidR="00595105">
        <w:rPr>
          <w:rFonts w:ascii="Arial" w:hAnsi="Arial" w:cs="Arial"/>
          <w:sz w:val="24"/>
          <w:szCs w:val="24"/>
        </w:rPr>
        <w:t>. T</w:t>
      </w:r>
      <w:r>
        <w:rPr>
          <w:rFonts w:ascii="Arial" w:hAnsi="Arial" w:cs="Arial"/>
          <w:sz w:val="24"/>
          <w:szCs w:val="24"/>
        </w:rPr>
        <w:t>hose elected</w:t>
      </w:r>
      <w:r w:rsidR="00595105">
        <w:rPr>
          <w:rFonts w:ascii="Arial" w:hAnsi="Arial" w:cs="Arial"/>
          <w:sz w:val="24"/>
          <w:szCs w:val="24"/>
        </w:rPr>
        <w:t xml:space="preserve"> </w:t>
      </w:r>
      <w:r w:rsidR="00B610C7">
        <w:rPr>
          <w:rFonts w:ascii="Arial" w:hAnsi="Arial" w:cs="Arial"/>
          <w:sz w:val="24"/>
          <w:szCs w:val="24"/>
        </w:rPr>
        <w:t>in</w:t>
      </w:r>
      <w:r w:rsidR="00595105">
        <w:rPr>
          <w:rFonts w:ascii="Arial" w:hAnsi="Arial" w:cs="Arial"/>
          <w:sz w:val="24"/>
          <w:szCs w:val="24"/>
        </w:rPr>
        <w:t xml:space="preserve"> those elections</w:t>
      </w:r>
      <w:r>
        <w:rPr>
          <w:rFonts w:ascii="Arial" w:hAnsi="Arial" w:cs="Arial"/>
          <w:sz w:val="24"/>
          <w:szCs w:val="24"/>
        </w:rPr>
        <w:t xml:space="preserve"> are cited as respondents. The respondents aver with reference to the constitution that members of council including the headman</w:t>
      </w:r>
      <w:r w:rsidR="00595105">
        <w:rPr>
          <w:rFonts w:ascii="Arial" w:hAnsi="Arial" w:cs="Arial"/>
          <w:sz w:val="24"/>
          <w:szCs w:val="24"/>
        </w:rPr>
        <w:t xml:space="preserve"> </w:t>
      </w:r>
      <w:r>
        <w:rPr>
          <w:rFonts w:ascii="Arial" w:hAnsi="Arial" w:cs="Arial"/>
          <w:sz w:val="24"/>
          <w:szCs w:val="24"/>
        </w:rPr>
        <w:t xml:space="preserve">are elected and dispute the second appellant’s claim to incumbency to the position of </w:t>
      </w:r>
      <w:r w:rsidR="00595105">
        <w:rPr>
          <w:rFonts w:ascii="Arial" w:hAnsi="Arial" w:cs="Arial"/>
          <w:sz w:val="24"/>
          <w:szCs w:val="24"/>
        </w:rPr>
        <w:t>‘</w:t>
      </w:r>
      <w:r>
        <w:rPr>
          <w:rFonts w:ascii="Arial" w:hAnsi="Arial" w:cs="Arial"/>
          <w:sz w:val="24"/>
          <w:szCs w:val="24"/>
        </w:rPr>
        <w:t>headman</w:t>
      </w:r>
      <w:r w:rsidR="00595105">
        <w:rPr>
          <w:rFonts w:ascii="Arial" w:hAnsi="Arial" w:cs="Arial"/>
          <w:sz w:val="24"/>
          <w:szCs w:val="24"/>
        </w:rPr>
        <w:t>’</w:t>
      </w:r>
      <w:r>
        <w:rPr>
          <w:rFonts w:ascii="Arial" w:hAnsi="Arial" w:cs="Arial"/>
          <w:sz w:val="24"/>
          <w:szCs w:val="24"/>
        </w:rPr>
        <w:t xml:space="preserve"> </w:t>
      </w:r>
      <w:r w:rsidR="00B610C7">
        <w:rPr>
          <w:rFonts w:ascii="Arial" w:hAnsi="Arial" w:cs="Arial"/>
          <w:sz w:val="24"/>
          <w:szCs w:val="24"/>
        </w:rPr>
        <w:t>under</w:t>
      </w:r>
      <w:r w:rsidR="00595105">
        <w:rPr>
          <w:rFonts w:ascii="Arial" w:hAnsi="Arial" w:cs="Arial"/>
          <w:sz w:val="24"/>
          <w:szCs w:val="24"/>
        </w:rPr>
        <w:t xml:space="preserve"> the constitution </w:t>
      </w:r>
      <w:r>
        <w:rPr>
          <w:rFonts w:ascii="Arial" w:hAnsi="Arial" w:cs="Arial"/>
          <w:sz w:val="24"/>
          <w:szCs w:val="24"/>
        </w:rPr>
        <w:t>by virtue of his appointment as a senior traditional councillor under the Act.</w:t>
      </w:r>
    </w:p>
    <w:p w:rsidR="00670411" w:rsidRDefault="00670411" w:rsidP="00670411">
      <w:pPr>
        <w:pStyle w:val="ListParagraph"/>
        <w:rPr>
          <w:rFonts w:ascii="Arial" w:hAnsi="Arial" w:cs="Arial"/>
          <w:sz w:val="24"/>
          <w:szCs w:val="24"/>
        </w:rPr>
      </w:pPr>
    </w:p>
    <w:p w:rsidR="0026483F" w:rsidRDefault="00595105" w:rsidP="009A2CC6">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w:t>
      </w:r>
      <w:r w:rsidR="00B610C7">
        <w:rPr>
          <w:rFonts w:ascii="Arial" w:hAnsi="Arial" w:cs="Arial"/>
          <w:sz w:val="24"/>
          <w:szCs w:val="24"/>
        </w:rPr>
        <w:t>seco</w:t>
      </w:r>
      <w:r w:rsidR="00670411" w:rsidRPr="00670411">
        <w:rPr>
          <w:rFonts w:ascii="Arial" w:hAnsi="Arial" w:cs="Arial"/>
          <w:sz w:val="24"/>
          <w:szCs w:val="24"/>
        </w:rPr>
        <w:t>nd appellant</w:t>
      </w:r>
      <w:r>
        <w:rPr>
          <w:rFonts w:ascii="Arial" w:hAnsi="Arial" w:cs="Arial"/>
          <w:sz w:val="24"/>
          <w:szCs w:val="24"/>
        </w:rPr>
        <w:t>’s</w:t>
      </w:r>
      <w:r w:rsidR="00670411" w:rsidRPr="00670411">
        <w:rPr>
          <w:rFonts w:ascii="Arial" w:hAnsi="Arial" w:cs="Arial"/>
          <w:sz w:val="24"/>
          <w:szCs w:val="24"/>
        </w:rPr>
        <w:t xml:space="preserve"> appoint</w:t>
      </w:r>
      <w:r>
        <w:rPr>
          <w:rFonts w:ascii="Arial" w:hAnsi="Arial" w:cs="Arial"/>
          <w:sz w:val="24"/>
          <w:szCs w:val="24"/>
        </w:rPr>
        <w:t>m</w:t>
      </w:r>
      <w:r w:rsidR="00670411" w:rsidRPr="00670411">
        <w:rPr>
          <w:rFonts w:ascii="Arial" w:hAnsi="Arial" w:cs="Arial"/>
          <w:sz w:val="24"/>
          <w:szCs w:val="24"/>
        </w:rPr>
        <w:t>e</w:t>
      </w:r>
      <w:r>
        <w:rPr>
          <w:rFonts w:ascii="Arial" w:hAnsi="Arial" w:cs="Arial"/>
          <w:sz w:val="24"/>
          <w:szCs w:val="24"/>
        </w:rPr>
        <w:t>nt</w:t>
      </w:r>
      <w:r w:rsidR="00670411" w:rsidRPr="00670411">
        <w:rPr>
          <w:rFonts w:ascii="Arial" w:hAnsi="Arial" w:cs="Arial"/>
          <w:sz w:val="24"/>
          <w:szCs w:val="24"/>
        </w:rPr>
        <w:t xml:space="preserve"> as senior traditio</w:t>
      </w:r>
      <w:r>
        <w:rPr>
          <w:rFonts w:ascii="Arial" w:hAnsi="Arial" w:cs="Arial"/>
          <w:sz w:val="24"/>
          <w:szCs w:val="24"/>
        </w:rPr>
        <w:t xml:space="preserve">nal councillor was </w:t>
      </w:r>
      <w:r w:rsidR="00670411" w:rsidRPr="00670411">
        <w:rPr>
          <w:rFonts w:ascii="Arial" w:hAnsi="Arial" w:cs="Arial"/>
          <w:sz w:val="24"/>
          <w:szCs w:val="24"/>
        </w:rPr>
        <w:t>published in the Gov</w:t>
      </w:r>
      <w:r>
        <w:rPr>
          <w:rFonts w:ascii="Arial" w:hAnsi="Arial" w:cs="Arial"/>
          <w:sz w:val="24"/>
          <w:szCs w:val="24"/>
        </w:rPr>
        <w:t xml:space="preserve">ernment Gazette on 14 June 2004. At the time of bringing </w:t>
      </w:r>
      <w:r w:rsidR="00085B13">
        <w:rPr>
          <w:rFonts w:ascii="Arial" w:hAnsi="Arial" w:cs="Arial"/>
          <w:sz w:val="24"/>
          <w:szCs w:val="24"/>
        </w:rPr>
        <w:t xml:space="preserve">of </w:t>
      </w:r>
      <w:r>
        <w:rPr>
          <w:rFonts w:ascii="Arial" w:hAnsi="Arial" w:cs="Arial"/>
          <w:sz w:val="24"/>
          <w:szCs w:val="24"/>
        </w:rPr>
        <w:t>the application</w:t>
      </w:r>
      <w:r w:rsidR="00085B13">
        <w:rPr>
          <w:rFonts w:ascii="Arial" w:hAnsi="Arial" w:cs="Arial"/>
          <w:sz w:val="24"/>
          <w:szCs w:val="24"/>
        </w:rPr>
        <w:t>,</w:t>
      </w:r>
      <w:r>
        <w:rPr>
          <w:rFonts w:ascii="Arial" w:hAnsi="Arial" w:cs="Arial"/>
          <w:sz w:val="24"/>
          <w:szCs w:val="24"/>
        </w:rPr>
        <w:t xml:space="preserve"> he still occupied t</w:t>
      </w:r>
      <w:r w:rsidR="00670411" w:rsidRPr="00670411">
        <w:rPr>
          <w:rFonts w:ascii="Arial" w:hAnsi="Arial" w:cs="Arial"/>
          <w:sz w:val="24"/>
          <w:szCs w:val="24"/>
        </w:rPr>
        <w:t>hat position. He and the members appearing in</w:t>
      </w:r>
      <w:r>
        <w:rPr>
          <w:rFonts w:ascii="Arial" w:hAnsi="Arial" w:cs="Arial"/>
          <w:sz w:val="24"/>
          <w:szCs w:val="24"/>
        </w:rPr>
        <w:t xml:space="preserve"> annexure</w:t>
      </w:r>
      <w:r w:rsidR="00670411" w:rsidRPr="00670411">
        <w:rPr>
          <w:rFonts w:ascii="Arial" w:hAnsi="Arial" w:cs="Arial"/>
          <w:sz w:val="24"/>
          <w:szCs w:val="24"/>
        </w:rPr>
        <w:t xml:space="preserve"> ABM1 were elected</w:t>
      </w:r>
      <w:r>
        <w:rPr>
          <w:rFonts w:ascii="Arial" w:hAnsi="Arial" w:cs="Arial"/>
          <w:sz w:val="24"/>
          <w:szCs w:val="24"/>
        </w:rPr>
        <w:t xml:space="preserve"> in 2004</w:t>
      </w:r>
      <w:r w:rsidR="00670411" w:rsidRPr="00670411">
        <w:rPr>
          <w:rFonts w:ascii="Arial" w:hAnsi="Arial" w:cs="Arial"/>
          <w:sz w:val="24"/>
          <w:szCs w:val="24"/>
        </w:rPr>
        <w:t xml:space="preserve"> as members of the council of the It</w:t>
      </w:r>
      <w:r w:rsidR="001C2AC5">
        <w:rPr>
          <w:rFonts w:ascii="Arial" w:hAnsi="Arial" w:cs="Arial"/>
          <w:sz w:val="24"/>
          <w:szCs w:val="24"/>
        </w:rPr>
        <w:t>i</w:t>
      </w:r>
      <w:r w:rsidR="00670411" w:rsidRPr="00670411">
        <w:rPr>
          <w:rFonts w:ascii="Arial" w:hAnsi="Arial" w:cs="Arial"/>
          <w:sz w:val="24"/>
          <w:szCs w:val="24"/>
        </w:rPr>
        <w:t>releng in accordance with the provisions of the constitution</w:t>
      </w:r>
      <w:r>
        <w:rPr>
          <w:rFonts w:ascii="Arial" w:hAnsi="Arial" w:cs="Arial"/>
          <w:sz w:val="24"/>
          <w:szCs w:val="24"/>
        </w:rPr>
        <w:t>.</w:t>
      </w:r>
      <w:r w:rsidR="00670411" w:rsidRPr="00670411">
        <w:rPr>
          <w:rFonts w:ascii="Arial" w:hAnsi="Arial" w:cs="Arial"/>
          <w:sz w:val="24"/>
          <w:szCs w:val="24"/>
        </w:rPr>
        <w:t xml:space="preserve"> In 2005, allegations of theft were made against</w:t>
      </w:r>
      <w:r>
        <w:rPr>
          <w:rFonts w:ascii="Arial" w:hAnsi="Arial" w:cs="Arial"/>
          <w:sz w:val="24"/>
          <w:szCs w:val="24"/>
        </w:rPr>
        <w:t xml:space="preserve"> members of</w:t>
      </w:r>
      <w:r w:rsidR="00670411" w:rsidRPr="00670411">
        <w:rPr>
          <w:rFonts w:ascii="Arial" w:hAnsi="Arial" w:cs="Arial"/>
          <w:sz w:val="24"/>
          <w:szCs w:val="24"/>
        </w:rPr>
        <w:t xml:space="preserve"> the erstwhile council</w:t>
      </w:r>
      <w:r w:rsidR="00323443">
        <w:rPr>
          <w:rFonts w:ascii="Arial" w:hAnsi="Arial" w:cs="Arial"/>
          <w:sz w:val="24"/>
          <w:szCs w:val="24"/>
        </w:rPr>
        <w:t>. This,</w:t>
      </w:r>
      <w:r w:rsidR="00670411" w:rsidRPr="00670411">
        <w:rPr>
          <w:rFonts w:ascii="Arial" w:hAnsi="Arial" w:cs="Arial"/>
          <w:sz w:val="24"/>
          <w:szCs w:val="24"/>
        </w:rPr>
        <w:t xml:space="preserve"> led to their suspension. There was an investigation into the allegations and an interim committee was appointed to serve in their stead. The investigation </w:t>
      </w:r>
      <w:r w:rsidR="00323443">
        <w:rPr>
          <w:rFonts w:ascii="Arial" w:hAnsi="Arial" w:cs="Arial"/>
          <w:sz w:val="24"/>
          <w:szCs w:val="24"/>
        </w:rPr>
        <w:t xml:space="preserve">did not result </w:t>
      </w:r>
      <w:r w:rsidR="00B610C7">
        <w:rPr>
          <w:rFonts w:ascii="Arial" w:hAnsi="Arial" w:cs="Arial"/>
          <w:sz w:val="24"/>
          <w:szCs w:val="24"/>
        </w:rPr>
        <w:t xml:space="preserve">in </w:t>
      </w:r>
      <w:r w:rsidR="00323443">
        <w:rPr>
          <w:rFonts w:ascii="Arial" w:hAnsi="Arial" w:cs="Arial"/>
          <w:sz w:val="24"/>
          <w:szCs w:val="24"/>
        </w:rPr>
        <w:t>findings</w:t>
      </w:r>
      <w:r w:rsidR="00670411" w:rsidRPr="00670411">
        <w:rPr>
          <w:rFonts w:ascii="Arial" w:hAnsi="Arial" w:cs="Arial"/>
          <w:sz w:val="24"/>
          <w:szCs w:val="24"/>
        </w:rPr>
        <w:t xml:space="preserve"> of theft or wrongdoing by the suspended members. They were reinstated on 22 November 2008. The </w:t>
      </w:r>
      <w:r w:rsidR="00323443">
        <w:rPr>
          <w:rFonts w:ascii="Arial" w:hAnsi="Arial" w:cs="Arial"/>
          <w:sz w:val="24"/>
          <w:szCs w:val="24"/>
        </w:rPr>
        <w:lastRenderedPageBreak/>
        <w:t>second appellant</w:t>
      </w:r>
      <w:r w:rsidR="00670411" w:rsidRPr="00670411">
        <w:rPr>
          <w:rFonts w:ascii="Arial" w:hAnsi="Arial" w:cs="Arial"/>
          <w:sz w:val="24"/>
          <w:szCs w:val="24"/>
        </w:rPr>
        <w:t xml:space="preserve"> state</w:t>
      </w:r>
      <w:r w:rsidR="00323443">
        <w:rPr>
          <w:rFonts w:ascii="Arial" w:hAnsi="Arial" w:cs="Arial"/>
          <w:sz w:val="24"/>
          <w:szCs w:val="24"/>
        </w:rPr>
        <w:t>s</w:t>
      </w:r>
      <w:r w:rsidR="00670411" w:rsidRPr="00670411">
        <w:rPr>
          <w:rFonts w:ascii="Arial" w:hAnsi="Arial" w:cs="Arial"/>
          <w:sz w:val="24"/>
          <w:szCs w:val="24"/>
        </w:rPr>
        <w:t xml:space="preserve"> that the members of the interim committee did not </w:t>
      </w:r>
      <w:r w:rsidR="00323443">
        <w:rPr>
          <w:rFonts w:ascii="Arial" w:hAnsi="Arial" w:cs="Arial"/>
          <w:sz w:val="24"/>
          <w:szCs w:val="24"/>
        </w:rPr>
        <w:t xml:space="preserve">however </w:t>
      </w:r>
      <w:r w:rsidR="00670411" w:rsidRPr="00670411">
        <w:rPr>
          <w:rFonts w:ascii="Arial" w:hAnsi="Arial" w:cs="Arial"/>
          <w:sz w:val="24"/>
          <w:szCs w:val="24"/>
        </w:rPr>
        <w:t xml:space="preserve">vacate their positions. </w:t>
      </w:r>
    </w:p>
    <w:p w:rsidR="0026483F" w:rsidRDefault="0026483F" w:rsidP="0026483F">
      <w:pPr>
        <w:pStyle w:val="ListParagraph"/>
        <w:rPr>
          <w:rFonts w:ascii="Arial" w:hAnsi="Arial" w:cs="Arial"/>
          <w:sz w:val="24"/>
          <w:szCs w:val="24"/>
        </w:rPr>
      </w:pPr>
    </w:p>
    <w:p w:rsidR="00323443" w:rsidRDefault="00323443" w:rsidP="009A2CC6">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 hiatus </w:t>
      </w:r>
      <w:r w:rsidR="00432B3E">
        <w:rPr>
          <w:rFonts w:ascii="Arial" w:hAnsi="Arial" w:cs="Arial"/>
          <w:sz w:val="24"/>
          <w:szCs w:val="24"/>
        </w:rPr>
        <w:t xml:space="preserve">then </w:t>
      </w:r>
      <w:r>
        <w:rPr>
          <w:rFonts w:ascii="Arial" w:hAnsi="Arial" w:cs="Arial"/>
          <w:sz w:val="24"/>
          <w:szCs w:val="24"/>
        </w:rPr>
        <w:t xml:space="preserve">developed which has remained unresolved. </w:t>
      </w:r>
      <w:r w:rsidR="00670411" w:rsidRPr="00670411">
        <w:rPr>
          <w:rFonts w:ascii="Arial" w:hAnsi="Arial" w:cs="Arial"/>
          <w:sz w:val="24"/>
          <w:szCs w:val="24"/>
        </w:rPr>
        <w:t>The parties provided different version</w:t>
      </w:r>
      <w:r>
        <w:rPr>
          <w:rFonts w:ascii="Arial" w:hAnsi="Arial" w:cs="Arial"/>
          <w:sz w:val="24"/>
          <w:szCs w:val="24"/>
        </w:rPr>
        <w:t>s as to</w:t>
      </w:r>
      <w:r w:rsidR="00670411" w:rsidRPr="00670411">
        <w:rPr>
          <w:rFonts w:ascii="Arial" w:hAnsi="Arial" w:cs="Arial"/>
          <w:sz w:val="24"/>
          <w:szCs w:val="24"/>
        </w:rPr>
        <w:t xml:space="preserve"> why the interim committee </w:t>
      </w:r>
      <w:r>
        <w:rPr>
          <w:rFonts w:ascii="Arial" w:hAnsi="Arial" w:cs="Arial"/>
          <w:sz w:val="24"/>
          <w:szCs w:val="24"/>
        </w:rPr>
        <w:t>continued</w:t>
      </w:r>
      <w:r w:rsidR="00670411" w:rsidRPr="00670411">
        <w:rPr>
          <w:rFonts w:ascii="Arial" w:hAnsi="Arial" w:cs="Arial"/>
          <w:sz w:val="24"/>
          <w:szCs w:val="24"/>
        </w:rPr>
        <w:t xml:space="preserve"> after the </w:t>
      </w:r>
      <w:r w:rsidR="00432B3E">
        <w:rPr>
          <w:rFonts w:ascii="Arial" w:hAnsi="Arial" w:cs="Arial"/>
          <w:sz w:val="24"/>
          <w:szCs w:val="24"/>
        </w:rPr>
        <w:t xml:space="preserve">others’ </w:t>
      </w:r>
      <w:r w:rsidR="00670411" w:rsidRPr="00670411">
        <w:rPr>
          <w:rFonts w:ascii="Arial" w:hAnsi="Arial" w:cs="Arial"/>
          <w:sz w:val="24"/>
          <w:szCs w:val="24"/>
        </w:rPr>
        <w:t>reinsta</w:t>
      </w:r>
      <w:r w:rsidR="009A2CC6">
        <w:rPr>
          <w:rFonts w:ascii="Arial" w:hAnsi="Arial" w:cs="Arial"/>
          <w:sz w:val="24"/>
          <w:szCs w:val="24"/>
        </w:rPr>
        <w:t>te</w:t>
      </w:r>
      <w:r>
        <w:rPr>
          <w:rFonts w:ascii="Arial" w:hAnsi="Arial" w:cs="Arial"/>
          <w:sz w:val="24"/>
          <w:szCs w:val="24"/>
        </w:rPr>
        <w:t>ment. The second a</w:t>
      </w:r>
      <w:r w:rsidR="00670411" w:rsidRPr="00670411">
        <w:rPr>
          <w:rFonts w:ascii="Arial" w:hAnsi="Arial" w:cs="Arial"/>
          <w:sz w:val="24"/>
          <w:szCs w:val="24"/>
        </w:rPr>
        <w:t>ppellant allege</w:t>
      </w:r>
      <w:r>
        <w:rPr>
          <w:rFonts w:ascii="Arial" w:hAnsi="Arial" w:cs="Arial"/>
          <w:sz w:val="24"/>
          <w:szCs w:val="24"/>
        </w:rPr>
        <w:t>s</w:t>
      </w:r>
      <w:r w:rsidR="00670411" w:rsidRPr="00670411">
        <w:rPr>
          <w:rFonts w:ascii="Arial" w:hAnsi="Arial" w:cs="Arial"/>
          <w:sz w:val="24"/>
          <w:szCs w:val="24"/>
        </w:rPr>
        <w:t xml:space="preserve"> that the members of the interim committee refused to relinquish their positions and hand over assets and books of account</w:t>
      </w:r>
      <w:r w:rsidR="00432B3E">
        <w:rPr>
          <w:rFonts w:ascii="Arial" w:hAnsi="Arial" w:cs="Arial"/>
          <w:sz w:val="24"/>
          <w:szCs w:val="24"/>
        </w:rPr>
        <w:t>. He l</w:t>
      </w:r>
      <w:r>
        <w:rPr>
          <w:rFonts w:ascii="Arial" w:hAnsi="Arial" w:cs="Arial"/>
          <w:sz w:val="24"/>
          <w:szCs w:val="24"/>
        </w:rPr>
        <w:t>evels a</w:t>
      </w:r>
      <w:r w:rsidR="00670411" w:rsidRPr="00670411">
        <w:rPr>
          <w:rFonts w:ascii="Arial" w:hAnsi="Arial" w:cs="Arial"/>
          <w:sz w:val="24"/>
          <w:szCs w:val="24"/>
        </w:rPr>
        <w:t>ccusations of financial irregularities committed by the interim committee members. One concern</w:t>
      </w:r>
      <w:r>
        <w:rPr>
          <w:rFonts w:ascii="Arial" w:hAnsi="Arial" w:cs="Arial"/>
          <w:sz w:val="24"/>
          <w:szCs w:val="24"/>
        </w:rPr>
        <w:t>s</w:t>
      </w:r>
      <w:r w:rsidR="00280A33">
        <w:rPr>
          <w:rFonts w:ascii="Arial" w:hAnsi="Arial" w:cs="Arial"/>
          <w:sz w:val="24"/>
          <w:szCs w:val="24"/>
        </w:rPr>
        <w:t xml:space="preserve"> a claim that N$</w:t>
      </w:r>
      <w:r w:rsidR="00670411" w:rsidRPr="00670411">
        <w:rPr>
          <w:rFonts w:ascii="Arial" w:hAnsi="Arial" w:cs="Arial"/>
          <w:sz w:val="24"/>
          <w:szCs w:val="24"/>
        </w:rPr>
        <w:t xml:space="preserve">159 510,90 was withdrawn from the </w:t>
      </w:r>
      <w:r>
        <w:rPr>
          <w:rFonts w:ascii="Arial" w:hAnsi="Arial" w:cs="Arial"/>
          <w:sz w:val="24"/>
          <w:szCs w:val="24"/>
        </w:rPr>
        <w:t>association</w:t>
      </w:r>
      <w:r w:rsidR="00670411" w:rsidRPr="00670411">
        <w:rPr>
          <w:rFonts w:ascii="Arial" w:hAnsi="Arial" w:cs="Arial"/>
          <w:sz w:val="24"/>
          <w:szCs w:val="24"/>
        </w:rPr>
        <w:t>’s bank account and deposited in the personal bank accounts of the 1</w:t>
      </w:r>
      <w:r w:rsidR="00280A33" w:rsidRPr="00280A33">
        <w:rPr>
          <w:rFonts w:ascii="Arial" w:hAnsi="Arial" w:cs="Arial"/>
          <w:sz w:val="24"/>
          <w:szCs w:val="24"/>
          <w:vertAlign w:val="superscript"/>
        </w:rPr>
        <w:t>st</w:t>
      </w:r>
      <w:r w:rsidR="00670411" w:rsidRPr="00670411">
        <w:rPr>
          <w:rFonts w:ascii="Arial" w:hAnsi="Arial" w:cs="Arial"/>
          <w:sz w:val="24"/>
          <w:szCs w:val="24"/>
        </w:rPr>
        <w:t xml:space="preserve">, </w:t>
      </w:r>
      <w:r>
        <w:rPr>
          <w:rFonts w:ascii="Arial" w:hAnsi="Arial" w:cs="Arial"/>
          <w:sz w:val="24"/>
          <w:szCs w:val="24"/>
        </w:rPr>
        <w:t>2</w:t>
      </w:r>
      <w:r w:rsidR="00280A33" w:rsidRPr="00280A33">
        <w:rPr>
          <w:rFonts w:ascii="Arial" w:hAnsi="Arial" w:cs="Arial"/>
          <w:sz w:val="24"/>
          <w:szCs w:val="24"/>
          <w:vertAlign w:val="superscript"/>
        </w:rPr>
        <w:t>nd</w:t>
      </w:r>
      <w:r>
        <w:rPr>
          <w:rFonts w:ascii="Arial" w:hAnsi="Arial" w:cs="Arial"/>
          <w:sz w:val="24"/>
          <w:szCs w:val="24"/>
        </w:rPr>
        <w:t>, 3</w:t>
      </w:r>
      <w:r w:rsidR="00280A33" w:rsidRPr="00280A33">
        <w:rPr>
          <w:rFonts w:ascii="Arial" w:hAnsi="Arial" w:cs="Arial"/>
          <w:sz w:val="24"/>
          <w:szCs w:val="24"/>
          <w:vertAlign w:val="superscript"/>
        </w:rPr>
        <w:t>rd</w:t>
      </w:r>
      <w:r>
        <w:rPr>
          <w:rFonts w:ascii="Arial" w:hAnsi="Arial" w:cs="Arial"/>
          <w:sz w:val="24"/>
          <w:szCs w:val="24"/>
        </w:rPr>
        <w:t>, 6</w:t>
      </w:r>
      <w:r w:rsidR="00280A33" w:rsidRPr="00280A33">
        <w:rPr>
          <w:rFonts w:ascii="Arial" w:hAnsi="Arial" w:cs="Arial"/>
          <w:sz w:val="24"/>
          <w:szCs w:val="24"/>
          <w:vertAlign w:val="superscript"/>
        </w:rPr>
        <w:t>th</w:t>
      </w:r>
      <w:r>
        <w:rPr>
          <w:rFonts w:ascii="Arial" w:hAnsi="Arial" w:cs="Arial"/>
          <w:sz w:val="24"/>
          <w:szCs w:val="24"/>
        </w:rPr>
        <w:t>, 10</w:t>
      </w:r>
      <w:r w:rsidR="00280A33" w:rsidRPr="00280A33">
        <w:rPr>
          <w:rFonts w:ascii="Arial" w:hAnsi="Arial" w:cs="Arial"/>
          <w:sz w:val="24"/>
          <w:szCs w:val="24"/>
          <w:vertAlign w:val="superscript"/>
        </w:rPr>
        <w:t>th</w:t>
      </w:r>
      <w:r>
        <w:rPr>
          <w:rFonts w:ascii="Arial" w:hAnsi="Arial" w:cs="Arial"/>
          <w:sz w:val="24"/>
          <w:szCs w:val="24"/>
        </w:rPr>
        <w:t>, 11</w:t>
      </w:r>
      <w:r w:rsidR="00280A33" w:rsidRPr="00280A33">
        <w:rPr>
          <w:rFonts w:ascii="Arial" w:hAnsi="Arial" w:cs="Arial"/>
          <w:sz w:val="24"/>
          <w:szCs w:val="24"/>
          <w:vertAlign w:val="superscript"/>
        </w:rPr>
        <w:t>th</w:t>
      </w:r>
      <w:r>
        <w:rPr>
          <w:rFonts w:ascii="Arial" w:hAnsi="Arial" w:cs="Arial"/>
          <w:sz w:val="24"/>
          <w:szCs w:val="24"/>
        </w:rPr>
        <w:t>, 18</w:t>
      </w:r>
      <w:r w:rsidR="00280A33" w:rsidRPr="00280A33">
        <w:rPr>
          <w:rFonts w:ascii="Arial" w:hAnsi="Arial" w:cs="Arial"/>
          <w:sz w:val="24"/>
          <w:szCs w:val="24"/>
          <w:vertAlign w:val="superscript"/>
        </w:rPr>
        <w:t>th</w:t>
      </w:r>
      <w:r w:rsidR="00670411" w:rsidRPr="00670411">
        <w:rPr>
          <w:rFonts w:ascii="Arial" w:hAnsi="Arial" w:cs="Arial"/>
          <w:sz w:val="24"/>
          <w:szCs w:val="24"/>
        </w:rPr>
        <w:t xml:space="preserve"> and 26</w:t>
      </w:r>
      <w:r w:rsidR="00280A33" w:rsidRPr="00280A33">
        <w:rPr>
          <w:rFonts w:ascii="Arial" w:hAnsi="Arial" w:cs="Arial"/>
          <w:sz w:val="24"/>
          <w:szCs w:val="24"/>
          <w:vertAlign w:val="superscript"/>
        </w:rPr>
        <w:t>th</w:t>
      </w:r>
      <w:r w:rsidR="00670411" w:rsidRPr="00670411">
        <w:rPr>
          <w:rFonts w:ascii="Arial" w:hAnsi="Arial" w:cs="Arial"/>
          <w:sz w:val="24"/>
          <w:szCs w:val="24"/>
        </w:rPr>
        <w:t xml:space="preserve"> respondents. Further claims include the unlawful and unauthorised sale of community livestock. </w:t>
      </w:r>
    </w:p>
    <w:p w:rsidR="00323443" w:rsidRDefault="00323443" w:rsidP="00323443">
      <w:pPr>
        <w:pStyle w:val="NoSpacing"/>
        <w:spacing w:line="480" w:lineRule="auto"/>
        <w:jc w:val="both"/>
        <w:rPr>
          <w:rFonts w:ascii="Arial" w:hAnsi="Arial" w:cs="Arial"/>
          <w:sz w:val="24"/>
          <w:szCs w:val="24"/>
        </w:rPr>
      </w:pPr>
    </w:p>
    <w:p w:rsidR="00670411" w:rsidRPr="00670411" w:rsidRDefault="00670411" w:rsidP="009A2CC6">
      <w:pPr>
        <w:pStyle w:val="NoSpacing"/>
        <w:numPr>
          <w:ilvl w:val="0"/>
          <w:numId w:val="14"/>
        </w:numPr>
        <w:spacing w:line="480" w:lineRule="auto"/>
        <w:ind w:left="0" w:firstLine="0"/>
        <w:jc w:val="both"/>
        <w:rPr>
          <w:rFonts w:ascii="Arial" w:hAnsi="Arial" w:cs="Arial"/>
          <w:sz w:val="24"/>
          <w:szCs w:val="24"/>
        </w:rPr>
      </w:pPr>
      <w:r w:rsidRPr="00670411">
        <w:rPr>
          <w:rFonts w:ascii="Arial" w:hAnsi="Arial" w:cs="Arial"/>
          <w:sz w:val="24"/>
          <w:szCs w:val="24"/>
        </w:rPr>
        <w:t>The respondents however claim that the members of the community were not incline</w:t>
      </w:r>
      <w:r w:rsidR="00432B3E">
        <w:rPr>
          <w:rFonts w:ascii="Arial" w:hAnsi="Arial" w:cs="Arial"/>
          <w:sz w:val="24"/>
          <w:szCs w:val="24"/>
        </w:rPr>
        <w:t>d to have the seco</w:t>
      </w:r>
      <w:r w:rsidRPr="00670411">
        <w:rPr>
          <w:rFonts w:ascii="Arial" w:hAnsi="Arial" w:cs="Arial"/>
          <w:sz w:val="24"/>
          <w:szCs w:val="24"/>
        </w:rPr>
        <w:t xml:space="preserve">nd appellant and the members listed in ABM1 reinstated. </w:t>
      </w:r>
      <w:r w:rsidR="00323443">
        <w:rPr>
          <w:rFonts w:ascii="Arial" w:hAnsi="Arial" w:cs="Arial"/>
          <w:sz w:val="24"/>
          <w:szCs w:val="24"/>
        </w:rPr>
        <w:t>M</w:t>
      </w:r>
      <w:r w:rsidRPr="00670411">
        <w:rPr>
          <w:rFonts w:ascii="Arial" w:hAnsi="Arial" w:cs="Arial"/>
          <w:sz w:val="24"/>
          <w:szCs w:val="24"/>
        </w:rPr>
        <w:t xml:space="preserve">embers of the interim committee continued to act as council members </w:t>
      </w:r>
      <w:r w:rsidR="00323443">
        <w:rPr>
          <w:rFonts w:ascii="Arial" w:hAnsi="Arial" w:cs="Arial"/>
          <w:sz w:val="24"/>
          <w:szCs w:val="24"/>
        </w:rPr>
        <w:t>until a disputed council election was held in</w:t>
      </w:r>
      <w:r w:rsidRPr="00670411">
        <w:rPr>
          <w:rFonts w:ascii="Arial" w:hAnsi="Arial" w:cs="Arial"/>
          <w:sz w:val="24"/>
          <w:szCs w:val="24"/>
        </w:rPr>
        <w:t xml:space="preserve"> </w:t>
      </w:r>
      <w:r w:rsidR="00323443" w:rsidRPr="00670411">
        <w:rPr>
          <w:rFonts w:ascii="Arial" w:hAnsi="Arial" w:cs="Arial"/>
          <w:sz w:val="24"/>
          <w:szCs w:val="24"/>
        </w:rPr>
        <w:t>2010.</w:t>
      </w:r>
      <w:r w:rsidR="00323443">
        <w:rPr>
          <w:rFonts w:ascii="Arial" w:hAnsi="Arial" w:cs="Arial"/>
          <w:sz w:val="24"/>
          <w:szCs w:val="24"/>
        </w:rPr>
        <w:t xml:space="preserve"> Another election took place</w:t>
      </w:r>
      <w:r w:rsidR="00432B3E">
        <w:rPr>
          <w:rFonts w:ascii="Arial" w:hAnsi="Arial" w:cs="Arial"/>
          <w:sz w:val="24"/>
          <w:szCs w:val="24"/>
        </w:rPr>
        <w:t xml:space="preserve"> subsequently</w:t>
      </w:r>
      <w:r w:rsidR="00323443">
        <w:rPr>
          <w:rFonts w:ascii="Arial" w:hAnsi="Arial" w:cs="Arial"/>
          <w:sz w:val="24"/>
          <w:szCs w:val="24"/>
        </w:rPr>
        <w:t xml:space="preserve"> in 2013.</w:t>
      </w:r>
      <w:r w:rsidR="00323443" w:rsidRPr="00670411">
        <w:rPr>
          <w:rFonts w:ascii="Arial" w:hAnsi="Arial" w:cs="Arial"/>
          <w:sz w:val="24"/>
          <w:szCs w:val="24"/>
        </w:rPr>
        <w:t xml:space="preserve"> </w:t>
      </w:r>
    </w:p>
    <w:p w:rsidR="00670411" w:rsidRDefault="00670411" w:rsidP="009A2CC6">
      <w:pPr>
        <w:pStyle w:val="NoSpacing"/>
        <w:spacing w:line="480" w:lineRule="auto"/>
        <w:jc w:val="both"/>
        <w:rPr>
          <w:rFonts w:ascii="Arial" w:hAnsi="Arial" w:cs="Arial"/>
          <w:sz w:val="24"/>
          <w:szCs w:val="24"/>
        </w:rPr>
      </w:pPr>
    </w:p>
    <w:p w:rsidR="00432B3E" w:rsidRPr="00432B3E" w:rsidRDefault="00432B3E" w:rsidP="009A2CC6">
      <w:pPr>
        <w:pStyle w:val="NoSpacing"/>
        <w:spacing w:line="480" w:lineRule="auto"/>
        <w:jc w:val="both"/>
        <w:rPr>
          <w:rFonts w:ascii="Arial" w:hAnsi="Arial" w:cs="Arial"/>
          <w:sz w:val="24"/>
          <w:szCs w:val="24"/>
          <w:u w:val="single"/>
        </w:rPr>
      </w:pPr>
      <w:r>
        <w:rPr>
          <w:rFonts w:ascii="Arial" w:hAnsi="Arial" w:cs="Arial"/>
          <w:sz w:val="24"/>
          <w:szCs w:val="24"/>
          <w:u w:val="single"/>
        </w:rPr>
        <w:t>The relief sought</w:t>
      </w:r>
    </w:p>
    <w:p w:rsidR="00670411" w:rsidRDefault="00323443" w:rsidP="009A2CC6">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With</w:t>
      </w:r>
      <w:r w:rsidR="00670411" w:rsidRPr="00670411">
        <w:rPr>
          <w:rFonts w:ascii="Arial" w:hAnsi="Arial" w:cs="Arial"/>
          <w:sz w:val="24"/>
          <w:szCs w:val="24"/>
        </w:rPr>
        <w:t xml:space="preserve"> these disputes</w:t>
      </w:r>
      <w:r>
        <w:rPr>
          <w:rFonts w:ascii="Arial" w:hAnsi="Arial" w:cs="Arial"/>
          <w:sz w:val="24"/>
          <w:szCs w:val="24"/>
        </w:rPr>
        <w:t xml:space="preserve"> as a backdrop, the</w:t>
      </w:r>
      <w:r w:rsidR="00670411" w:rsidRPr="00670411">
        <w:rPr>
          <w:rFonts w:ascii="Arial" w:hAnsi="Arial" w:cs="Arial"/>
          <w:sz w:val="24"/>
          <w:szCs w:val="24"/>
        </w:rPr>
        <w:t xml:space="preserve"> appellants brought </w:t>
      </w:r>
      <w:r>
        <w:rPr>
          <w:rFonts w:ascii="Arial" w:hAnsi="Arial" w:cs="Arial"/>
          <w:sz w:val="24"/>
          <w:szCs w:val="24"/>
        </w:rPr>
        <w:t>an</w:t>
      </w:r>
      <w:r w:rsidR="00670411" w:rsidRPr="00670411">
        <w:rPr>
          <w:rFonts w:ascii="Arial" w:hAnsi="Arial" w:cs="Arial"/>
          <w:sz w:val="24"/>
          <w:szCs w:val="24"/>
        </w:rPr>
        <w:t xml:space="preserve"> application</w:t>
      </w:r>
      <w:r>
        <w:rPr>
          <w:rFonts w:ascii="Arial" w:hAnsi="Arial" w:cs="Arial"/>
          <w:sz w:val="24"/>
          <w:szCs w:val="24"/>
        </w:rPr>
        <w:t xml:space="preserve"> in the High Court in early 2015</w:t>
      </w:r>
      <w:r w:rsidR="00670411" w:rsidRPr="00670411">
        <w:rPr>
          <w:rFonts w:ascii="Arial" w:hAnsi="Arial" w:cs="Arial"/>
          <w:sz w:val="24"/>
          <w:szCs w:val="24"/>
        </w:rPr>
        <w:t xml:space="preserve"> seeking the following relief:</w:t>
      </w:r>
    </w:p>
    <w:p w:rsidR="00670411" w:rsidRDefault="00670411" w:rsidP="00670411">
      <w:pPr>
        <w:pStyle w:val="ListParagrap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‘1.</w:t>
      </w:r>
      <w:r>
        <w:rPr>
          <w:rFonts w:ascii="Arial" w:hAnsi="Arial" w:cs="Arial"/>
          <w:sz w:val="24"/>
          <w:szCs w:val="24"/>
        </w:rPr>
        <w:tab/>
      </w:r>
      <w:r w:rsidR="00670411" w:rsidRPr="00D55010">
        <w:rPr>
          <w:rFonts w:ascii="Arial" w:hAnsi="Arial" w:cs="Arial"/>
          <w:sz w:val="24"/>
          <w:szCs w:val="24"/>
        </w:rPr>
        <w:t xml:space="preserve">An order declaring that only a senior or traditional councillor appointed or elected as such in terms of the provisions of section 10 of the Traditional Authorities Act, Act No. 25 of 2000 may act as headman of the community </w:t>
      </w:r>
      <w:r w:rsidR="00670411" w:rsidRPr="00D55010">
        <w:rPr>
          <w:rFonts w:ascii="Arial" w:hAnsi="Arial" w:cs="Arial"/>
          <w:sz w:val="24"/>
          <w:szCs w:val="24"/>
        </w:rPr>
        <w:lastRenderedPageBreak/>
        <w:t>of It</w:t>
      </w:r>
      <w:r w:rsidR="001C2AC5">
        <w:rPr>
          <w:rFonts w:ascii="Arial" w:hAnsi="Arial" w:cs="Arial"/>
          <w:sz w:val="24"/>
          <w:szCs w:val="24"/>
        </w:rPr>
        <w:t>i</w:t>
      </w:r>
      <w:r w:rsidR="00670411" w:rsidRPr="00D55010">
        <w:rPr>
          <w:rFonts w:ascii="Arial" w:hAnsi="Arial" w:cs="Arial"/>
          <w:sz w:val="24"/>
          <w:szCs w:val="24"/>
        </w:rPr>
        <w:t>releng and that person, shall by virtue of that incumbency be the Chairperson of the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2.</w:t>
      </w:r>
      <w:r>
        <w:rPr>
          <w:rFonts w:ascii="Arial" w:hAnsi="Arial" w:cs="Arial"/>
          <w:sz w:val="24"/>
          <w:szCs w:val="24"/>
        </w:rPr>
        <w:tab/>
      </w:r>
      <w:r w:rsidR="00670411" w:rsidRPr="00D55010">
        <w:rPr>
          <w:rFonts w:ascii="Arial" w:hAnsi="Arial" w:cs="Arial"/>
          <w:sz w:val="24"/>
          <w:szCs w:val="24"/>
        </w:rPr>
        <w:t>An order declaring that the persons listed on Annexure ABM1 are currently the duly elected members of the Council of It</w:t>
      </w:r>
      <w:r w:rsidR="001C2AC5">
        <w:rPr>
          <w:rFonts w:ascii="Arial" w:hAnsi="Arial" w:cs="Arial"/>
          <w:sz w:val="24"/>
          <w:szCs w:val="24"/>
        </w:rPr>
        <w:t>i</w:t>
      </w:r>
      <w:r w:rsidR="00670411" w:rsidRPr="00D55010">
        <w:rPr>
          <w:rFonts w:ascii="Arial" w:hAnsi="Arial" w:cs="Arial"/>
          <w:sz w:val="24"/>
          <w:szCs w:val="24"/>
        </w:rPr>
        <w:t>releng Village Community (the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3.</w:t>
      </w:r>
      <w:r>
        <w:rPr>
          <w:rFonts w:ascii="Arial" w:hAnsi="Arial" w:cs="Arial"/>
          <w:sz w:val="24"/>
          <w:szCs w:val="24"/>
        </w:rPr>
        <w:tab/>
      </w:r>
      <w:r w:rsidR="00670411" w:rsidRPr="00D55010">
        <w:rPr>
          <w:rFonts w:ascii="Arial" w:hAnsi="Arial" w:cs="Arial"/>
          <w:sz w:val="24"/>
          <w:szCs w:val="24"/>
        </w:rPr>
        <w:t>An order interdicting and restraining the respondents or any one of them from acting or purporting to act as a headman of the It</w:t>
      </w:r>
      <w:r w:rsidR="001C2AC5">
        <w:rPr>
          <w:rFonts w:ascii="Arial" w:hAnsi="Arial" w:cs="Arial"/>
          <w:sz w:val="24"/>
          <w:szCs w:val="24"/>
        </w:rPr>
        <w:t>i</w:t>
      </w:r>
      <w:r w:rsidR="00670411" w:rsidRPr="00D55010">
        <w:rPr>
          <w:rFonts w:ascii="Arial" w:hAnsi="Arial" w:cs="Arial"/>
          <w:sz w:val="24"/>
          <w:szCs w:val="24"/>
        </w:rPr>
        <w:t>releng Village Community in contravention of the provisions of section 10 of the Traditional Authorities Act, Act No. 25 of 2000;</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4.</w:t>
      </w:r>
      <w:r>
        <w:rPr>
          <w:rFonts w:ascii="Arial" w:hAnsi="Arial" w:cs="Arial"/>
          <w:sz w:val="24"/>
          <w:szCs w:val="24"/>
        </w:rPr>
        <w:tab/>
      </w:r>
      <w:r w:rsidR="00670411" w:rsidRPr="00D55010">
        <w:rPr>
          <w:rFonts w:ascii="Arial" w:hAnsi="Arial" w:cs="Arial"/>
          <w:sz w:val="24"/>
          <w:szCs w:val="24"/>
        </w:rPr>
        <w:t>An order interdicting and restraining the respondents or any one of them from acting or purporting to act as the Chairperson of the Council of the It</w:t>
      </w:r>
      <w:r w:rsidR="001C2AC5">
        <w:rPr>
          <w:rFonts w:ascii="Arial" w:hAnsi="Arial" w:cs="Arial"/>
          <w:sz w:val="24"/>
          <w:szCs w:val="24"/>
        </w:rPr>
        <w:t>i</w:t>
      </w:r>
      <w:r w:rsidR="00670411" w:rsidRPr="00D55010">
        <w:rPr>
          <w:rFonts w:ascii="Arial" w:hAnsi="Arial" w:cs="Arial"/>
          <w:sz w:val="24"/>
          <w:szCs w:val="24"/>
        </w:rPr>
        <w:t>releng Village Community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 in contravention of the provisions of the constitutions of the town community of It</w:t>
      </w:r>
      <w:r w:rsidR="001C2AC5">
        <w:rPr>
          <w:rFonts w:ascii="Arial" w:hAnsi="Arial" w:cs="Arial"/>
          <w:sz w:val="24"/>
          <w:szCs w:val="24"/>
        </w:rPr>
        <w:t>i</w:t>
      </w:r>
      <w:r w:rsidR="00670411" w:rsidRPr="00D55010">
        <w:rPr>
          <w:rFonts w:ascii="Arial" w:hAnsi="Arial" w:cs="Arial"/>
          <w:sz w:val="24"/>
          <w:szCs w:val="24"/>
        </w:rPr>
        <w:t>releng;</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5.</w:t>
      </w:r>
      <w:r>
        <w:rPr>
          <w:rFonts w:ascii="Arial" w:hAnsi="Arial" w:cs="Arial"/>
          <w:sz w:val="24"/>
          <w:szCs w:val="24"/>
        </w:rPr>
        <w:tab/>
      </w:r>
      <w:r w:rsidR="00670411" w:rsidRPr="00D55010">
        <w:rPr>
          <w:rFonts w:ascii="Arial" w:hAnsi="Arial" w:cs="Arial"/>
          <w:sz w:val="24"/>
          <w:szCs w:val="24"/>
        </w:rPr>
        <w:t>An order interdicting and restraining the respondents or any one of them from acting or purporting to act as a duly elected member of the Council of the It</w:t>
      </w:r>
      <w:r w:rsidR="001C2AC5">
        <w:rPr>
          <w:rFonts w:ascii="Arial" w:hAnsi="Arial" w:cs="Arial"/>
          <w:sz w:val="24"/>
          <w:szCs w:val="24"/>
        </w:rPr>
        <w:t>i</w:t>
      </w:r>
      <w:r w:rsidR="00670411" w:rsidRPr="00D55010">
        <w:rPr>
          <w:rFonts w:ascii="Arial" w:hAnsi="Arial" w:cs="Arial"/>
          <w:sz w:val="24"/>
          <w:szCs w:val="24"/>
        </w:rPr>
        <w:t>releng Village Community (the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 in contravention of the provisions of the constitution of the town community of It</w:t>
      </w:r>
      <w:r w:rsidR="001C2AC5">
        <w:rPr>
          <w:rFonts w:ascii="Arial" w:hAnsi="Arial" w:cs="Arial"/>
          <w:sz w:val="24"/>
          <w:szCs w:val="24"/>
        </w:rPr>
        <w:t>i</w:t>
      </w:r>
      <w:r w:rsidR="00670411" w:rsidRPr="00D55010">
        <w:rPr>
          <w:rFonts w:ascii="Arial" w:hAnsi="Arial" w:cs="Arial"/>
          <w:sz w:val="24"/>
          <w:szCs w:val="24"/>
        </w:rPr>
        <w:t>releng;</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6.</w:t>
      </w:r>
      <w:r>
        <w:rPr>
          <w:rFonts w:ascii="Arial" w:hAnsi="Arial" w:cs="Arial"/>
          <w:sz w:val="24"/>
          <w:szCs w:val="24"/>
        </w:rPr>
        <w:tab/>
      </w:r>
      <w:r w:rsidR="00670411" w:rsidRPr="00D55010">
        <w:rPr>
          <w:rFonts w:ascii="Arial" w:hAnsi="Arial" w:cs="Arial"/>
          <w:sz w:val="24"/>
          <w:szCs w:val="24"/>
        </w:rPr>
        <w:t>An order declaring that, the decision taken by the 14</w:t>
      </w:r>
      <w:r w:rsidR="00670411" w:rsidRPr="00D55010">
        <w:rPr>
          <w:rFonts w:ascii="Arial" w:hAnsi="Arial" w:cs="Arial"/>
          <w:sz w:val="24"/>
          <w:szCs w:val="24"/>
          <w:vertAlign w:val="superscript"/>
        </w:rPr>
        <w:t>th</w:t>
      </w:r>
      <w:r w:rsidR="00670411" w:rsidRPr="00D55010">
        <w:rPr>
          <w:rFonts w:ascii="Arial" w:hAnsi="Arial" w:cs="Arial"/>
          <w:sz w:val="24"/>
          <w:szCs w:val="24"/>
        </w:rPr>
        <w:t xml:space="preserve"> respondent on the 31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of October 2009 was null and void;</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7.</w:t>
      </w:r>
      <w:r>
        <w:rPr>
          <w:rFonts w:ascii="Arial" w:hAnsi="Arial" w:cs="Arial"/>
          <w:sz w:val="24"/>
          <w:szCs w:val="24"/>
        </w:rPr>
        <w:tab/>
      </w:r>
      <w:r w:rsidR="00670411" w:rsidRPr="00D55010">
        <w:rPr>
          <w:rFonts w:ascii="Arial" w:hAnsi="Arial" w:cs="Arial"/>
          <w:sz w:val="24"/>
          <w:szCs w:val="24"/>
        </w:rPr>
        <w:t>Ordering the respondents to forthwith restore ante Omnia the 2</w:t>
      </w:r>
      <w:r w:rsidR="00670411" w:rsidRPr="00D55010">
        <w:rPr>
          <w:rFonts w:ascii="Arial" w:hAnsi="Arial" w:cs="Arial"/>
          <w:sz w:val="24"/>
          <w:szCs w:val="24"/>
          <w:vertAlign w:val="superscript"/>
        </w:rPr>
        <w:t>nd</w:t>
      </w:r>
      <w:r w:rsidR="00670411" w:rsidRPr="00D55010">
        <w:rPr>
          <w:rFonts w:ascii="Arial" w:hAnsi="Arial" w:cs="Arial"/>
          <w:sz w:val="24"/>
          <w:szCs w:val="24"/>
        </w:rPr>
        <w:t xml:space="preserve"> applicant’s possession and control of the keys of the community hall at Epukiro;</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8.</w:t>
      </w:r>
      <w:r>
        <w:rPr>
          <w:rFonts w:ascii="Arial" w:hAnsi="Arial" w:cs="Arial"/>
          <w:sz w:val="24"/>
          <w:szCs w:val="24"/>
        </w:rPr>
        <w:tab/>
      </w:r>
      <w:r w:rsidR="00670411" w:rsidRPr="00D55010">
        <w:rPr>
          <w:rFonts w:ascii="Arial" w:hAnsi="Arial" w:cs="Arial"/>
          <w:sz w:val="24"/>
          <w:szCs w:val="24"/>
        </w:rPr>
        <w:t>Ordering the respond</w:t>
      </w:r>
      <w:r w:rsidR="00323443" w:rsidRPr="00D55010">
        <w:rPr>
          <w:rFonts w:ascii="Arial" w:hAnsi="Arial" w:cs="Arial"/>
          <w:sz w:val="24"/>
          <w:szCs w:val="24"/>
        </w:rPr>
        <w:t xml:space="preserve">ents to forthwith restore </w:t>
      </w:r>
      <w:r w:rsidR="00323443" w:rsidRPr="00D55010">
        <w:rPr>
          <w:rFonts w:ascii="Arial" w:hAnsi="Arial" w:cs="Arial"/>
          <w:i/>
          <w:sz w:val="24"/>
          <w:szCs w:val="24"/>
        </w:rPr>
        <w:t>ante o</w:t>
      </w:r>
      <w:r w:rsidR="00670411" w:rsidRPr="00D55010">
        <w:rPr>
          <w:rFonts w:ascii="Arial" w:hAnsi="Arial" w:cs="Arial"/>
          <w:i/>
          <w:sz w:val="24"/>
          <w:szCs w:val="24"/>
        </w:rPr>
        <w:t>mnia</w:t>
      </w:r>
      <w:r w:rsidR="00670411" w:rsidRPr="00D55010">
        <w:rPr>
          <w:rFonts w:ascii="Arial" w:hAnsi="Arial" w:cs="Arial"/>
          <w:sz w:val="24"/>
          <w:szCs w:val="24"/>
        </w:rPr>
        <w:t xml:space="preserve"> the 2</w:t>
      </w:r>
      <w:r w:rsidR="00670411" w:rsidRPr="00D55010">
        <w:rPr>
          <w:rFonts w:ascii="Arial" w:hAnsi="Arial" w:cs="Arial"/>
          <w:sz w:val="24"/>
          <w:szCs w:val="24"/>
          <w:vertAlign w:val="superscript"/>
        </w:rPr>
        <w:t>nd</w:t>
      </w:r>
      <w:r w:rsidR="00670411" w:rsidRPr="00D55010">
        <w:rPr>
          <w:rFonts w:ascii="Arial" w:hAnsi="Arial" w:cs="Arial"/>
          <w:sz w:val="24"/>
          <w:szCs w:val="24"/>
        </w:rPr>
        <w:t xml:space="preserve"> applicants’ peaceful, undisturbed, unhindered access, occupation and control of the community hall at Epukiro;</w:t>
      </w:r>
    </w:p>
    <w:p w:rsidR="00D55010" w:rsidRDefault="00D55010" w:rsidP="00D55010">
      <w:pPr>
        <w:spacing w:after="0" w:line="360" w:lineRule="auto"/>
        <w:ind w:left="851" w:hanging="491"/>
        <w:jc w:val="both"/>
        <w:rPr>
          <w:rFonts w:ascii="Arial" w:hAnsi="Arial" w:cs="Arial"/>
          <w:sz w:val="24"/>
          <w:szCs w:val="24"/>
        </w:rPr>
      </w:pPr>
    </w:p>
    <w:p w:rsid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9.</w:t>
      </w:r>
      <w:r>
        <w:rPr>
          <w:rFonts w:ascii="Arial" w:hAnsi="Arial" w:cs="Arial"/>
          <w:sz w:val="24"/>
          <w:szCs w:val="24"/>
        </w:rPr>
        <w:tab/>
      </w:r>
      <w:r w:rsidR="00670411" w:rsidRPr="00D55010">
        <w:rPr>
          <w:rFonts w:ascii="Arial" w:hAnsi="Arial" w:cs="Arial"/>
          <w:sz w:val="24"/>
          <w:szCs w:val="24"/>
        </w:rPr>
        <w:t>Ordering the 1</w:t>
      </w:r>
      <w:r w:rsidR="00670411" w:rsidRPr="00D55010">
        <w:rPr>
          <w:rFonts w:ascii="Arial" w:hAnsi="Arial" w:cs="Arial"/>
          <w:sz w:val="24"/>
          <w:szCs w:val="24"/>
          <w:vertAlign w:val="superscript"/>
        </w:rPr>
        <w:t>st</w:t>
      </w:r>
      <w:r w:rsidR="00670411" w:rsidRPr="00D55010">
        <w:rPr>
          <w:rFonts w:ascii="Arial" w:hAnsi="Arial" w:cs="Arial"/>
          <w:sz w:val="24"/>
          <w:szCs w:val="24"/>
        </w:rPr>
        <w:t>, 2</w:t>
      </w:r>
      <w:r w:rsidR="00670411" w:rsidRPr="00D55010">
        <w:rPr>
          <w:rFonts w:ascii="Arial" w:hAnsi="Arial" w:cs="Arial"/>
          <w:sz w:val="24"/>
          <w:szCs w:val="24"/>
          <w:vertAlign w:val="superscript"/>
        </w:rPr>
        <w:t>nd</w:t>
      </w:r>
      <w:r w:rsidR="00670411" w:rsidRPr="00D55010">
        <w:rPr>
          <w:rFonts w:ascii="Arial" w:hAnsi="Arial" w:cs="Arial"/>
          <w:sz w:val="24"/>
          <w:szCs w:val="24"/>
        </w:rPr>
        <w:t>, 3</w:t>
      </w:r>
      <w:r w:rsidR="00670411" w:rsidRPr="00D55010">
        <w:rPr>
          <w:rFonts w:ascii="Arial" w:hAnsi="Arial" w:cs="Arial"/>
          <w:sz w:val="24"/>
          <w:szCs w:val="24"/>
          <w:vertAlign w:val="superscript"/>
        </w:rPr>
        <w:t>rd</w:t>
      </w:r>
      <w:r w:rsidR="00670411" w:rsidRPr="00D55010">
        <w:rPr>
          <w:rFonts w:ascii="Arial" w:hAnsi="Arial" w:cs="Arial"/>
          <w:sz w:val="24"/>
          <w:szCs w:val="24"/>
        </w:rPr>
        <w:t>, 6</w:t>
      </w:r>
      <w:r w:rsidR="00670411" w:rsidRPr="00D55010">
        <w:rPr>
          <w:rFonts w:ascii="Arial" w:hAnsi="Arial" w:cs="Arial"/>
          <w:sz w:val="24"/>
          <w:szCs w:val="24"/>
          <w:vertAlign w:val="superscript"/>
        </w:rPr>
        <w:t>th</w:t>
      </w:r>
      <w:r w:rsidR="00670411" w:rsidRPr="00D55010">
        <w:rPr>
          <w:rFonts w:ascii="Arial" w:hAnsi="Arial" w:cs="Arial"/>
          <w:sz w:val="24"/>
          <w:szCs w:val="24"/>
        </w:rPr>
        <w:t>, 11</w:t>
      </w:r>
      <w:r w:rsidR="00670411" w:rsidRPr="00D55010">
        <w:rPr>
          <w:rFonts w:ascii="Arial" w:hAnsi="Arial" w:cs="Arial"/>
          <w:sz w:val="24"/>
          <w:szCs w:val="24"/>
          <w:vertAlign w:val="superscript"/>
        </w:rPr>
        <w:t>th</w:t>
      </w:r>
      <w:r w:rsidR="00670411" w:rsidRPr="00D55010">
        <w:rPr>
          <w:rFonts w:ascii="Arial" w:hAnsi="Arial" w:cs="Arial"/>
          <w:sz w:val="24"/>
          <w:szCs w:val="24"/>
        </w:rPr>
        <w:t>, 12</w:t>
      </w:r>
      <w:r w:rsidR="00670411" w:rsidRPr="00D55010">
        <w:rPr>
          <w:rFonts w:ascii="Arial" w:hAnsi="Arial" w:cs="Arial"/>
          <w:sz w:val="24"/>
          <w:szCs w:val="24"/>
          <w:vertAlign w:val="superscript"/>
        </w:rPr>
        <w:t>th</w:t>
      </w:r>
      <w:r w:rsidR="00670411" w:rsidRPr="00D55010">
        <w:rPr>
          <w:rFonts w:ascii="Arial" w:hAnsi="Arial" w:cs="Arial"/>
          <w:sz w:val="24"/>
          <w:szCs w:val="24"/>
        </w:rPr>
        <w:t>, 18</w:t>
      </w:r>
      <w:r w:rsidR="00670411" w:rsidRPr="00D55010">
        <w:rPr>
          <w:rFonts w:ascii="Arial" w:hAnsi="Arial" w:cs="Arial"/>
          <w:sz w:val="24"/>
          <w:szCs w:val="24"/>
          <w:vertAlign w:val="superscript"/>
        </w:rPr>
        <w:t>th</w:t>
      </w:r>
      <w:r w:rsidR="00670411" w:rsidRPr="00D55010">
        <w:rPr>
          <w:rFonts w:ascii="Arial" w:hAnsi="Arial" w:cs="Arial"/>
          <w:sz w:val="24"/>
          <w:szCs w:val="24"/>
        </w:rPr>
        <w:t xml:space="preserve"> and 26</w:t>
      </w:r>
      <w:r w:rsidR="00670411" w:rsidRPr="00D55010">
        <w:rPr>
          <w:rFonts w:ascii="Arial" w:hAnsi="Arial" w:cs="Arial"/>
          <w:sz w:val="24"/>
          <w:szCs w:val="24"/>
          <w:vertAlign w:val="superscript"/>
        </w:rPr>
        <w:t>th</w:t>
      </w:r>
      <w:r w:rsidR="00670411" w:rsidRPr="00D55010">
        <w:rPr>
          <w:rFonts w:ascii="Arial" w:hAnsi="Arial" w:cs="Arial"/>
          <w:sz w:val="24"/>
          <w:szCs w:val="24"/>
        </w:rPr>
        <w:t xml:space="preserve"> respondents to reimburse the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 within 30 days from date of this court’s order an </w:t>
      </w:r>
      <w:r w:rsidR="00670411" w:rsidRPr="00D55010">
        <w:rPr>
          <w:rFonts w:ascii="Arial" w:hAnsi="Arial" w:cs="Arial"/>
          <w:sz w:val="24"/>
          <w:szCs w:val="24"/>
        </w:rPr>
        <w:lastRenderedPageBreak/>
        <w:t>amount of N$159 510,90 that they jointly and individually misappropriated  from the funds of the It</w:t>
      </w:r>
      <w:r w:rsidR="001C2AC5">
        <w:rPr>
          <w:rFonts w:ascii="Arial" w:hAnsi="Arial" w:cs="Arial"/>
          <w:sz w:val="24"/>
          <w:szCs w:val="24"/>
        </w:rPr>
        <w:t>i</w:t>
      </w:r>
      <w:r w:rsidR="00670411" w:rsidRPr="00D55010">
        <w:rPr>
          <w:rFonts w:ascii="Arial" w:hAnsi="Arial" w:cs="Arial"/>
          <w:sz w:val="24"/>
          <w:szCs w:val="24"/>
        </w:rPr>
        <w:t>releng Village Community;</w:t>
      </w:r>
    </w:p>
    <w:p w:rsidR="00D55010" w:rsidRDefault="00D55010" w:rsidP="00D55010">
      <w:pPr>
        <w:spacing w:after="0" w:line="360" w:lineRule="auto"/>
        <w:ind w:left="851" w:hanging="491"/>
        <w:jc w:val="both"/>
        <w:rPr>
          <w:rFonts w:ascii="Arial" w:hAnsi="Arial" w:cs="Arial"/>
          <w:sz w:val="24"/>
          <w:szCs w:val="24"/>
        </w:rPr>
      </w:pPr>
    </w:p>
    <w:p w:rsidR="00670411" w:rsidRPr="00D55010" w:rsidRDefault="00D55010" w:rsidP="00D55010">
      <w:pPr>
        <w:spacing w:after="0" w:line="360" w:lineRule="auto"/>
        <w:ind w:left="851" w:hanging="49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70411" w:rsidRPr="00D55010">
        <w:rPr>
          <w:rFonts w:ascii="Arial" w:hAnsi="Arial" w:cs="Arial"/>
          <w:sz w:val="24"/>
          <w:szCs w:val="24"/>
        </w:rPr>
        <w:t>Ordering the respondent</w:t>
      </w:r>
      <w:r w:rsidR="0054791A">
        <w:rPr>
          <w:rFonts w:ascii="Arial" w:hAnsi="Arial" w:cs="Arial"/>
          <w:sz w:val="24"/>
          <w:szCs w:val="24"/>
        </w:rPr>
        <w:t>s</w:t>
      </w:r>
      <w:r w:rsidR="00670411" w:rsidRPr="00D55010">
        <w:rPr>
          <w:rFonts w:ascii="Arial" w:hAnsi="Arial" w:cs="Arial"/>
          <w:sz w:val="24"/>
          <w:szCs w:val="24"/>
        </w:rPr>
        <w:t xml:space="preserve"> to reimburse the 1</w:t>
      </w:r>
      <w:r w:rsidR="00670411" w:rsidRPr="00D55010">
        <w:rPr>
          <w:rFonts w:ascii="Arial" w:hAnsi="Arial" w:cs="Arial"/>
          <w:sz w:val="24"/>
          <w:szCs w:val="24"/>
          <w:vertAlign w:val="superscript"/>
        </w:rPr>
        <w:t>st</w:t>
      </w:r>
      <w:r w:rsidR="00670411" w:rsidRPr="00D55010">
        <w:rPr>
          <w:rFonts w:ascii="Arial" w:hAnsi="Arial" w:cs="Arial"/>
          <w:sz w:val="24"/>
          <w:szCs w:val="24"/>
        </w:rPr>
        <w:t xml:space="preserve"> applicant within 30 days from date of this court’s order the full amount of money including interest if any that they jointly, collectively and individually received from the sale of 45 cattle that they sold or was sold on their behalf or at their behest at an auction that took place in the 27</w:t>
      </w:r>
      <w:r w:rsidR="00670411" w:rsidRPr="00D55010">
        <w:rPr>
          <w:rFonts w:ascii="Arial" w:hAnsi="Arial" w:cs="Arial"/>
          <w:sz w:val="24"/>
          <w:szCs w:val="24"/>
          <w:vertAlign w:val="superscript"/>
        </w:rPr>
        <w:t>th</w:t>
      </w:r>
      <w:r w:rsidR="00670411" w:rsidRPr="00D55010">
        <w:rPr>
          <w:rFonts w:ascii="Arial" w:hAnsi="Arial" w:cs="Arial"/>
          <w:sz w:val="24"/>
          <w:szCs w:val="24"/>
        </w:rPr>
        <w:t xml:space="preserve"> November </w:t>
      </w:r>
      <w:r w:rsidR="009D7D59" w:rsidRPr="00D55010">
        <w:rPr>
          <w:rFonts w:ascii="Arial" w:hAnsi="Arial" w:cs="Arial"/>
          <w:sz w:val="24"/>
          <w:szCs w:val="24"/>
        </w:rPr>
        <w:t>2014 at Karoo Osche, in Gobabis.’</w:t>
      </w:r>
    </w:p>
    <w:p w:rsidR="009D7D59" w:rsidRDefault="009D7D59" w:rsidP="009D7D59">
      <w:pPr>
        <w:rPr>
          <w:rFonts w:ascii="Arial" w:hAnsi="Arial" w:cs="Arial"/>
          <w:sz w:val="24"/>
          <w:szCs w:val="24"/>
        </w:rPr>
      </w:pPr>
    </w:p>
    <w:p w:rsidR="009D7D59" w:rsidRPr="009D7D59" w:rsidRDefault="009D7D59" w:rsidP="009D7D59">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appellants also sought a costs order against any respondents opposing the application.</w:t>
      </w:r>
    </w:p>
    <w:p w:rsidR="009D7D59" w:rsidRPr="009D7D59" w:rsidRDefault="009D7D59" w:rsidP="009D7D59">
      <w:pPr>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respondents disputed both appellants’ </w:t>
      </w:r>
      <w:r>
        <w:rPr>
          <w:rFonts w:ascii="Arial" w:hAnsi="Arial" w:cs="Arial"/>
          <w:i/>
          <w:sz w:val="24"/>
          <w:szCs w:val="24"/>
        </w:rPr>
        <w:t>locus standi</w:t>
      </w:r>
      <w:r>
        <w:rPr>
          <w:rFonts w:ascii="Arial" w:hAnsi="Arial" w:cs="Arial"/>
          <w:sz w:val="24"/>
          <w:szCs w:val="24"/>
        </w:rPr>
        <w:t xml:space="preserve"> to bring the application and also took the point that all the relief claimed had prescribed. In the course of judicial case management the parties agreed that these two issues be determined as preliminary issues.</w:t>
      </w:r>
    </w:p>
    <w:p w:rsidR="0026483F" w:rsidRDefault="0026483F" w:rsidP="0026483F">
      <w:pPr>
        <w:pStyle w:val="NoSpacing"/>
        <w:spacing w:line="480" w:lineRule="auto"/>
        <w:jc w:val="both"/>
        <w:rPr>
          <w:rFonts w:ascii="Arial" w:hAnsi="Arial" w:cs="Arial"/>
          <w:sz w:val="24"/>
          <w:szCs w:val="24"/>
        </w:rPr>
      </w:pPr>
    </w:p>
    <w:p w:rsidR="00670411" w:rsidRPr="004A0A31" w:rsidRDefault="00670411" w:rsidP="00670411">
      <w:pPr>
        <w:rPr>
          <w:rFonts w:ascii="Arial" w:hAnsi="Arial" w:cs="Arial"/>
          <w:sz w:val="24"/>
          <w:szCs w:val="24"/>
          <w:u w:val="single"/>
        </w:rPr>
      </w:pPr>
      <w:r>
        <w:rPr>
          <w:rFonts w:ascii="Arial" w:hAnsi="Arial" w:cs="Arial"/>
          <w:sz w:val="24"/>
          <w:szCs w:val="24"/>
          <w:u w:val="single"/>
        </w:rPr>
        <w:t xml:space="preserve">The approach of the High Court </w:t>
      </w:r>
    </w:p>
    <w:p w:rsidR="009E1988" w:rsidRPr="009E1988" w:rsidRDefault="009E1988" w:rsidP="009E1988">
      <w:pPr>
        <w:pStyle w:val="NoSpacing"/>
        <w:numPr>
          <w:ilvl w:val="0"/>
          <w:numId w:val="14"/>
        </w:numPr>
        <w:spacing w:line="480" w:lineRule="auto"/>
        <w:ind w:left="0" w:firstLine="0"/>
        <w:jc w:val="both"/>
        <w:rPr>
          <w:rFonts w:ascii="Arial" w:hAnsi="Arial" w:cs="Arial"/>
          <w:sz w:val="24"/>
          <w:szCs w:val="24"/>
        </w:rPr>
      </w:pPr>
      <w:r w:rsidRPr="009E1988">
        <w:rPr>
          <w:rFonts w:ascii="Arial" w:hAnsi="Arial" w:cs="Arial"/>
          <w:sz w:val="24"/>
          <w:szCs w:val="24"/>
        </w:rPr>
        <w:t xml:space="preserve">The High Court </w:t>
      </w:r>
      <w:r w:rsidR="009D7D59">
        <w:rPr>
          <w:rFonts w:ascii="Arial" w:hAnsi="Arial" w:cs="Arial"/>
          <w:sz w:val="24"/>
          <w:szCs w:val="24"/>
        </w:rPr>
        <w:t xml:space="preserve">first dealt with the issue of prescription and </w:t>
      </w:r>
      <w:r w:rsidRPr="009E1988">
        <w:rPr>
          <w:rFonts w:ascii="Arial" w:hAnsi="Arial" w:cs="Arial"/>
          <w:sz w:val="24"/>
          <w:szCs w:val="24"/>
        </w:rPr>
        <w:t>held that the relief sought in para</w:t>
      </w:r>
      <w:r w:rsidR="00280A33">
        <w:rPr>
          <w:rFonts w:ascii="Arial" w:hAnsi="Arial" w:cs="Arial"/>
          <w:sz w:val="24"/>
          <w:szCs w:val="24"/>
        </w:rPr>
        <w:t>graph</w:t>
      </w:r>
      <w:r w:rsidRPr="009E1988">
        <w:rPr>
          <w:rFonts w:ascii="Arial" w:hAnsi="Arial" w:cs="Arial"/>
          <w:sz w:val="24"/>
          <w:szCs w:val="24"/>
        </w:rPr>
        <w:t xml:space="preserve">s 1, 2, 3, 4 and 5 of the notice of motion arose on </w:t>
      </w:r>
      <w:r w:rsidR="00D55010" w:rsidRPr="009E1988">
        <w:rPr>
          <w:rFonts w:ascii="Arial" w:hAnsi="Arial" w:cs="Arial"/>
          <w:sz w:val="24"/>
          <w:szCs w:val="24"/>
        </w:rPr>
        <w:t xml:space="preserve">at least </w:t>
      </w:r>
      <w:r w:rsidRPr="009E1988">
        <w:rPr>
          <w:rFonts w:ascii="Arial" w:hAnsi="Arial" w:cs="Arial"/>
          <w:sz w:val="24"/>
          <w:szCs w:val="24"/>
        </w:rPr>
        <w:t>4 July 2010 when the election of a new council and a chairperson took place. As more than three years ha</w:t>
      </w:r>
      <w:r w:rsidR="0054791A">
        <w:rPr>
          <w:rFonts w:ascii="Arial" w:hAnsi="Arial" w:cs="Arial"/>
          <w:sz w:val="24"/>
          <w:szCs w:val="24"/>
        </w:rPr>
        <w:t>d</w:t>
      </w:r>
      <w:r w:rsidRPr="009E1988">
        <w:rPr>
          <w:rFonts w:ascii="Arial" w:hAnsi="Arial" w:cs="Arial"/>
          <w:sz w:val="24"/>
          <w:szCs w:val="24"/>
        </w:rPr>
        <w:t xml:space="preserve"> elapsed </w:t>
      </w:r>
      <w:r w:rsidR="00D55010">
        <w:rPr>
          <w:rFonts w:ascii="Arial" w:hAnsi="Arial" w:cs="Arial"/>
          <w:sz w:val="24"/>
          <w:szCs w:val="24"/>
        </w:rPr>
        <w:t>by the time</w:t>
      </w:r>
      <w:r w:rsidRPr="009E1988">
        <w:rPr>
          <w:rFonts w:ascii="Arial" w:hAnsi="Arial" w:cs="Arial"/>
          <w:sz w:val="24"/>
          <w:szCs w:val="24"/>
        </w:rPr>
        <w:t xml:space="preserve"> the proceedings were served on the respondents on 20 February 2015, those claims had prescribed. The</w:t>
      </w:r>
      <w:r w:rsidR="009D7D59">
        <w:rPr>
          <w:rFonts w:ascii="Arial" w:hAnsi="Arial" w:cs="Arial"/>
          <w:sz w:val="24"/>
          <w:szCs w:val="24"/>
        </w:rPr>
        <w:t xml:space="preserve"> court found that the</w:t>
      </w:r>
      <w:r w:rsidRPr="009E1988">
        <w:rPr>
          <w:rFonts w:ascii="Arial" w:hAnsi="Arial" w:cs="Arial"/>
          <w:sz w:val="24"/>
          <w:szCs w:val="24"/>
        </w:rPr>
        <w:t xml:space="preserve"> claim for a declarator in para</w:t>
      </w:r>
      <w:r w:rsidR="009D7D59">
        <w:rPr>
          <w:rFonts w:ascii="Arial" w:hAnsi="Arial" w:cs="Arial"/>
          <w:sz w:val="24"/>
          <w:szCs w:val="24"/>
        </w:rPr>
        <w:t>.</w:t>
      </w:r>
      <w:r w:rsidRPr="009E1988">
        <w:rPr>
          <w:rFonts w:ascii="Arial" w:hAnsi="Arial" w:cs="Arial"/>
          <w:sz w:val="24"/>
          <w:szCs w:val="24"/>
        </w:rPr>
        <w:t xml:space="preserve"> 6 arose on 31 October 2009 when the second appellant received a letter dismissing him as the chairpe</w:t>
      </w:r>
      <w:r w:rsidR="009D7D59">
        <w:rPr>
          <w:rFonts w:ascii="Arial" w:hAnsi="Arial" w:cs="Arial"/>
          <w:sz w:val="24"/>
          <w:szCs w:val="24"/>
        </w:rPr>
        <w:t>rson of the council. The court held</w:t>
      </w:r>
      <w:r w:rsidRPr="009E1988">
        <w:rPr>
          <w:rFonts w:ascii="Arial" w:hAnsi="Arial" w:cs="Arial"/>
          <w:sz w:val="24"/>
          <w:szCs w:val="24"/>
        </w:rPr>
        <w:t xml:space="preserve"> that the relief claimed had prescribed as more than three years had elapsed </w:t>
      </w:r>
      <w:r w:rsidR="00D55010">
        <w:rPr>
          <w:rFonts w:ascii="Arial" w:hAnsi="Arial" w:cs="Arial"/>
          <w:sz w:val="24"/>
          <w:szCs w:val="24"/>
        </w:rPr>
        <w:t>before</w:t>
      </w:r>
      <w:r w:rsidRPr="009E1988">
        <w:rPr>
          <w:rFonts w:ascii="Arial" w:hAnsi="Arial" w:cs="Arial"/>
          <w:sz w:val="24"/>
          <w:szCs w:val="24"/>
        </w:rPr>
        <w:t xml:space="preserve"> the proceedings were served on the respondents. </w:t>
      </w:r>
      <w:r w:rsidR="009D7D59">
        <w:rPr>
          <w:rFonts w:ascii="Arial" w:hAnsi="Arial" w:cs="Arial"/>
          <w:sz w:val="24"/>
          <w:szCs w:val="24"/>
        </w:rPr>
        <w:t>It had been</w:t>
      </w:r>
      <w:r w:rsidRPr="009E1988">
        <w:rPr>
          <w:rFonts w:ascii="Arial" w:hAnsi="Arial" w:cs="Arial"/>
          <w:sz w:val="24"/>
          <w:szCs w:val="24"/>
        </w:rPr>
        <w:t xml:space="preserve"> </w:t>
      </w:r>
      <w:r w:rsidRPr="009E1988">
        <w:rPr>
          <w:rFonts w:ascii="Arial" w:hAnsi="Arial" w:cs="Arial"/>
          <w:sz w:val="24"/>
          <w:szCs w:val="24"/>
        </w:rPr>
        <w:lastRenderedPageBreak/>
        <w:t xml:space="preserve">correctly conceded by the appellants’ legal practitioner that </w:t>
      </w:r>
      <w:r w:rsidR="00280A33">
        <w:rPr>
          <w:rFonts w:ascii="Arial" w:hAnsi="Arial" w:cs="Arial"/>
          <w:sz w:val="24"/>
          <w:szCs w:val="24"/>
        </w:rPr>
        <w:t>the claim for the payment of N$159 510,</w:t>
      </w:r>
      <w:r w:rsidRPr="009E1988">
        <w:rPr>
          <w:rFonts w:ascii="Arial" w:hAnsi="Arial" w:cs="Arial"/>
          <w:sz w:val="24"/>
          <w:szCs w:val="24"/>
        </w:rPr>
        <w:t>90 ha</w:t>
      </w:r>
      <w:r w:rsidR="009D7D59">
        <w:rPr>
          <w:rFonts w:ascii="Arial" w:hAnsi="Arial" w:cs="Arial"/>
          <w:sz w:val="24"/>
          <w:szCs w:val="24"/>
        </w:rPr>
        <w:t>d</w:t>
      </w:r>
      <w:r w:rsidRPr="009E1988">
        <w:rPr>
          <w:rFonts w:ascii="Arial" w:hAnsi="Arial" w:cs="Arial"/>
          <w:sz w:val="24"/>
          <w:szCs w:val="24"/>
        </w:rPr>
        <w:t xml:space="preserve"> prescribed.</w:t>
      </w:r>
      <w:r w:rsidR="00D55010" w:rsidRPr="00D55010">
        <w:rPr>
          <w:rFonts w:ascii="Arial" w:hAnsi="Arial" w:cs="Arial"/>
          <w:sz w:val="24"/>
          <w:szCs w:val="24"/>
        </w:rPr>
        <w:t xml:space="preserve"> </w:t>
      </w:r>
      <w:r w:rsidR="00D55010" w:rsidRPr="009E1988">
        <w:rPr>
          <w:rFonts w:ascii="Arial" w:hAnsi="Arial" w:cs="Arial"/>
          <w:sz w:val="24"/>
          <w:szCs w:val="24"/>
        </w:rPr>
        <w:t>The relief claimed in para</w:t>
      </w:r>
      <w:r w:rsidR="00280A33">
        <w:rPr>
          <w:rFonts w:ascii="Arial" w:hAnsi="Arial" w:cs="Arial"/>
          <w:sz w:val="24"/>
          <w:szCs w:val="24"/>
        </w:rPr>
        <w:t>graph</w:t>
      </w:r>
      <w:r w:rsidR="00D55010" w:rsidRPr="009E1988">
        <w:rPr>
          <w:rFonts w:ascii="Arial" w:hAnsi="Arial" w:cs="Arial"/>
          <w:sz w:val="24"/>
          <w:szCs w:val="24"/>
        </w:rPr>
        <w:t xml:space="preserve"> 9 was also held to have prescribed.</w:t>
      </w:r>
    </w:p>
    <w:p w:rsidR="009E1988" w:rsidRPr="009E1988" w:rsidRDefault="009E1988" w:rsidP="009E1988">
      <w:pPr>
        <w:pStyle w:val="NoSpacing"/>
        <w:spacing w:line="480" w:lineRule="auto"/>
        <w:jc w:val="both"/>
        <w:rPr>
          <w:rFonts w:ascii="Arial" w:hAnsi="Arial" w:cs="Arial"/>
          <w:sz w:val="24"/>
          <w:szCs w:val="24"/>
        </w:rPr>
      </w:pPr>
    </w:p>
    <w:p w:rsidR="009E1988" w:rsidRDefault="009E1988" w:rsidP="009E1988">
      <w:pPr>
        <w:pStyle w:val="NoSpacing"/>
        <w:numPr>
          <w:ilvl w:val="0"/>
          <w:numId w:val="14"/>
        </w:numPr>
        <w:spacing w:line="480" w:lineRule="auto"/>
        <w:ind w:left="0" w:firstLine="0"/>
        <w:jc w:val="both"/>
        <w:rPr>
          <w:rFonts w:ascii="Arial" w:hAnsi="Arial" w:cs="Arial"/>
          <w:sz w:val="24"/>
          <w:szCs w:val="24"/>
        </w:rPr>
      </w:pPr>
      <w:r w:rsidRPr="009E1988">
        <w:rPr>
          <w:rFonts w:ascii="Arial" w:hAnsi="Arial" w:cs="Arial"/>
          <w:sz w:val="24"/>
          <w:szCs w:val="24"/>
        </w:rPr>
        <w:t>The court found that the relief claimed in para</w:t>
      </w:r>
      <w:r w:rsidR="00280A33">
        <w:rPr>
          <w:rFonts w:ascii="Arial" w:hAnsi="Arial" w:cs="Arial"/>
          <w:sz w:val="24"/>
          <w:szCs w:val="24"/>
        </w:rPr>
        <w:t>graph</w:t>
      </w:r>
      <w:r w:rsidRPr="009E1988">
        <w:rPr>
          <w:rFonts w:ascii="Arial" w:hAnsi="Arial" w:cs="Arial"/>
          <w:sz w:val="24"/>
          <w:szCs w:val="24"/>
        </w:rPr>
        <w:t xml:space="preserve">s 7, 8 and 10 had not prescribed. The court then turned to the issue of </w:t>
      </w:r>
      <w:r w:rsidRPr="009D7D59">
        <w:rPr>
          <w:rFonts w:ascii="Arial" w:hAnsi="Arial" w:cs="Arial"/>
          <w:i/>
          <w:sz w:val="24"/>
          <w:szCs w:val="24"/>
        </w:rPr>
        <w:t>locus standi</w:t>
      </w:r>
      <w:r w:rsidRPr="009E1988">
        <w:rPr>
          <w:rFonts w:ascii="Arial" w:hAnsi="Arial" w:cs="Arial"/>
          <w:sz w:val="24"/>
          <w:szCs w:val="24"/>
        </w:rPr>
        <w:t>.</w:t>
      </w:r>
    </w:p>
    <w:p w:rsidR="009E1988" w:rsidRDefault="009E1988" w:rsidP="009E1988">
      <w:pPr>
        <w:rPr>
          <w:rFonts w:ascii="Arial" w:hAnsi="Arial" w:cs="Arial"/>
          <w:sz w:val="24"/>
          <w:szCs w:val="24"/>
        </w:rPr>
      </w:pPr>
    </w:p>
    <w:p w:rsidR="009E1988" w:rsidRDefault="009E1988" w:rsidP="009E1988">
      <w:pPr>
        <w:pStyle w:val="NoSpacing"/>
        <w:numPr>
          <w:ilvl w:val="0"/>
          <w:numId w:val="14"/>
        </w:numPr>
        <w:spacing w:line="480" w:lineRule="auto"/>
        <w:ind w:left="0" w:firstLine="0"/>
        <w:jc w:val="both"/>
        <w:rPr>
          <w:rFonts w:ascii="Arial" w:hAnsi="Arial" w:cs="Arial"/>
          <w:sz w:val="24"/>
          <w:szCs w:val="24"/>
        </w:rPr>
      </w:pPr>
      <w:r w:rsidRPr="009E1988">
        <w:rPr>
          <w:rFonts w:ascii="Arial" w:hAnsi="Arial" w:cs="Arial"/>
          <w:sz w:val="24"/>
          <w:szCs w:val="24"/>
        </w:rPr>
        <w:t xml:space="preserve">In their joint case management report, </w:t>
      </w:r>
      <w:r w:rsidR="009D7D59">
        <w:rPr>
          <w:rFonts w:ascii="Arial" w:hAnsi="Arial" w:cs="Arial"/>
          <w:sz w:val="24"/>
          <w:szCs w:val="24"/>
        </w:rPr>
        <w:t xml:space="preserve">the parties had agreed that </w:t>
      </w:r>
      <w:r w:rsidRPr="009E1988">
        <w:rPr>
          <w:rFonts w:ascii="Arial" w:hAnsi="Arial" w:cs="Arial"/>
          <w:sz w:val="24"/>
          <w:szCs w:val="24"/>
        </w:rPr>
        <w:t>the It</w:t>
      </w:r>
      <w:r w:rsidR="001C2AC5">
        <w:rPr>
          <w:rFonts w:ascii="Arial" w:hAnsi="Arial" w:cs="Arial"/>
          <w:sz w:val="24"/>
          <w:szCs w:val="24"/>
        </w:rPr>
        <w:t>i</w:t>
      </w:r>
      <w:r w:rsidRPr="009E1988">
        <w:rPr>
          <w:rFonts w:ascii="Arial" w:hAnsi="Arial" w:cs="Arial"/>
          <w:sz w:val="24"/>
          <w:szCs w:val="24"/>
        </w:rPr>
        <w:t xml:space="preserve">releng Village Community is a voluntary association with a constitution and </w:t>
      </w:r>
      <w:r w:rsidR="00D55010">
        <w:rPr>
          <w:rFonts w:ascii="Arial" w:hAnsi="Arial" w:cs="Arial"/>
          <w:sz w:val="24"/>
          <w:szCs w:val="24"/>
        </w:rPr>
        <w:t>vested with</w:t>
      </w:r>
      <w:r w:rsidRPr="009E1988">
        <w:rPr>
          <w:rFonts w:ascii="Arial" w:hAnsi="Arial" w:cs="Arial"/>
          <w:sz w:val="24"/>
          <w:szCs w:val="24"/>
        </w:rPr>
        <w:t xml:space="preserve"> legal personality, </w:t>
      </w:r>
      <w:r w:rsidR="00D55010">
        <w:rPr>
          <w:rFonts w:ascii="Arial" w:hAnsi="Arial" w:cs="Arial"/>
          <w:sz w:val="24"/>
          <w:szCs w:val="24"/>
        </w:rPr>
        <w:t xml:space="preserve">and that it </w:t>
      </w:r>
      <w:r w:rsidRPr="009E1988">
        <w:rPr>
          <w:rFonts w:ascii="Arial" w:hAnsi="Arial" w:cs="Arial"/>
          <w:sz w:val="24"/>
          <w:szCs w:val="24"/>
        </w:rPr>
        <w:t>owns property and ha</w:t>
      </w:r>
      <w:r w:rsidR="009D7D59">
        <w:rPr>
          <w:rFonts w:ascii="Arial" w:hAnsi="Arial" w:cs="Arial"/>
          <w:sz w:val="24"/>
          <w:szCs w:val="24"/>
        </w:rPr>
        <w:t xml:space="preserve">s perpetual existence distinct </w:t>
      </w:r>
      <w:r w:rsidRPr="009E1988">
        <w:rPr>
          <w:rFonts w:ascii="Arial" w:hAnsi="Arial" w:cs="Arial"/>
          <w:sz w:val="24"/>
          <w:szCs w:val="24"/>
        </w:rPr>
        <w:t>f</w:t>
      </w:r>
      <w:r w:rsidR="009D7D59">
        <w:rPr>
          <w:rFonts w:ascii="Arial" w:hAnsi="Arial" w:cs="Arial"/>
          <w:sz w:val="24"/>
          <w:szCs w:val="24"/>
        </w:rPr>
        <w:t>rom</w:t>
      </w:r>
      <w:r w:rsidRPr="009E1988">
        <w:rPr>
          <w:rFonts w:ascii="Arial" w:hAnsi="Arial" w:cs="Arial"/>
          <w:sz w:val="24"/>
          <w:szCs w:val="24"/>
        </w:rPr>
        <w:t xml:space="preserve"> its members. The court</w:t>
      </w:r>
      <w:r w:rsidR="009D7D59">
        <w:rPr>
          <w:rFonts w:ascii="Arial" w:hAnsi="Arial" w:cs="Arial"/>
          <w:sz w:val="24"/>
          <w:szCs w:val="24"/>
        </w:rPr>
        <w:t xml:space="preserve"> </w:t>
      </w:r>
      <w:r w:rsidR="009D7D59" w:rsidRPr="009D7D59">
        <w:rPr>
          <w:rFonts w:ascii="Arial" w:hAnsi="Arial" w:cs="Arial"/>
          <w:i/>
          <w:sz w:val="24"/>
          <w:szCs w:val="24"/>
        </w:rPr>
        <w:t>a quo</w:t>
      </w:r>
      <w:r w:rsidRPr="009E1988">
        <w:rPr>
          <w:rFonts w:ascii="Arial" w:hAnsi="Arial" w:cs="Arial"/>
          <w:sz w:val="24"/>
          <w:szCs w:val="24"/>
        </w:rPr>
        <w:t xml:space="preserve"> found that this agreement meant that the appellants’ citation of the first appellant is wrong. The court rejected </w:t>
      </w:r>
      <w:r w:rsidR="00D55010">
        <w:rPr>
          <w:rFonts w:ascii="Arial" w:hAnsi="Arial" w:cs="Arial"/>
          <w:sz w:val="24"/>
          <w:szCs w:val="24"/>
        </w:rPr>
        <w:t xml:space="preserve">the </w:t>
      </w:r>
      <w:r w:rsidRPr="009E1988">
        <w:rPr>
          <w:rFonts w:ascii="Arial" w:hAnsi="Arial" w:cs="Arial"/>
          <w:sz w:val="24"/>
          <w:szCs w:val="24"/>
        </w:rPr>
        <w:t>appellants’ argument that the association’s constitution gave the appellants authority to act in their own right on behalf of the community of It</w:t>
      </w:r>
      <w:r w:rsidR="001C2AC5">
        <w:rPr>
          <w:rFonts w:ascii="Arial" w:hAnsi="Arial" w:cs="Arial"/>
          <w:sz w:val="24"/>
          <w:szCs w:val="24"/>
        </w:rPr>
        <w:t>i</w:t>
      </w:r>
      <w:r w:rsidRPr="009E1988">
        <w:rPr>
          <w:rFonts w:ascii="Arial" w:hAnsi="Arial" w:cs="Arial"/>
          <w:sz w:val="24"/>
          <w:szCs w:val="24"/>
        </w:rPr>
        <w:t>releng</w:t>
      </w:r>
      <w:r w:rsidR="00D55010">
        <w:rPr>
          <w:rFonts w:ascii="Arial" w:hAnsi="Arial" w:cs="Arial"/>
          <w:sz w:val="24"/>
          <w:szCs w:val="24"/>
        </w:rPr>
        <w:t xml:space="preserve"> to bring the application</w:t>
      </w:r>
      <w:r w:rsidRPr="009E1988">
        <w:rPr>
          <w:rFonts w:ascii="Arial" w:hAnsi="Arial" w:cs="Arial"/>
          <w:sz w:val="24"/>
          <w:szCs w:val="24"/>
        </w:rPr>
        <w:t>.</w:t>
      </w:r>
    </w:p>
    <w:p w:rsidR="009E1988" w:rsidRDefault="009E1988" w:rsidP="009E1988">
      <w:pPr>
        <w:pStyle w:val="NoSpacing"/>
        <w:spacing w:line="480" w:lineRule="auto"/>
        <w:jc w:val="both"/>
        <w:rPr>
          <w:rFonts w:ascii="Arial" w:hAnsi="Arial" w:cs="Arial"/>
          <w:sz w:val="24"/>
          <w:szCs w:val="24"/>
        </w:rPr>
      </w:pPr>
    </w:p>
    <w:p w:rsidR="009E1988" w:rsidRPr="009E1988" w:rsidRDefault="009E1988" w:rsidP="009E1988">
      <w:pPr>
        <w:pStyle w:val="NoSpacing"/>
        <w:numPr>
          <w:ilvl w:val="0"/>
          <w:numId w:val="14"/>
        </w:numPr>
        <w:spacing w:line="480" w:lineRule="auto"/>
        <w:ind w:left="0" w:firstLine="0"/>
        <w:jc w:val="both"/>
        <w:rPr>
          <w:rFonts w:ascii="Arial" w:hAnsi="Arial" w:cs="Arial"/>
          <w:sz w:val="24"/>
          <w:szCs w:val="24"/>
        </w:rPr>
      </w:pPr>
      <w:r w:rsidRPr="009E1988">
        <w:rPr>
          <w:rFonts w:ascii="Arial" w:hAnsi="Arial" w:cs="Arial"/>
          <w:sz w:val="24"/>
          <w:szCs w:val="24"/>
        </w:rPr>
        <w:t xml:space="preserve">The court reasoned that, even though the constitution of the association does not contain an express provision stating that the association as a legal person has the power to sue or be sued, </w:t>
      </w:r>
      <w:r w:rsidR="009D7D59">
        <w:rPr>
          <w:rFonts w:ascii="Arial" w:hAnsi="Arial" w:cs="Arial"/>
          <w:sz w:val="24"/>
          <w:szCs w:val="24"/>
        </w:rPr>
        <w:t xml:space="preserve">this followed </w:t>
      </w:r>
      <w:r w:rsidRPr="009E1988">
        <w:rPr>
          <w:rFonts w:ascii="Arial" w:hAnsi="Arial" w:cs="Arial"/>
          <w:sz w:val="24"/>
          <w:szCs w:val="24"/>
        </w:rPr>
        <w:t xml:space="preserve">by implication of its legal nature, </w:t>
      </w:r>
      <w:r w:rsidR="009D7D59">
        <w:rPr>
          <w:rFonts w:ascii="Arial" w:hAnsi="Arial" w:cs="Arial"/>
          <w:sz w:val="24"/>
          <w:szCs w:val="24"/>
        </w:rPr>
        <w:t xml:space="preserve">given that </w:t>
      </w:r>
      <w:r w:rsidRPr="009E1988">
        <w:rPr>
          <w:rFonts w:ascii="Arial" w:hAnsi="Arial" w:cs="Arial"/>
          <w:sz w:val="24"/>
          <w:szCs w:val="24"/>
        </w:rPr>
        <w:t xml:space="preserve">it is capable of entering into agreements and thereby incurring rights and obligations in its own name </w:t>
      </w:r>
      <w:r w:rsidR="009D7D59">
        <w:rPr>
          <w:rFonts w:ascii="Arial" w:hAnsi="Arial" w:cs="Arial"/>
          <w:sz w:val="24"/>
          <w:szCs w:val="24"/>
        </w:rPr>
        <w:t xml:space="preserve">as an association </w:t>
      </w:r>
      <w:r w:rsidRPr="009E1988">
        <w:rPr>
          <w:rFonts w:ascii="Arial" w:hAnsi="Arial" w:cs="Arial"/>
          <w:sz w:val="24"/>
          <w:szCs w:val="24"/>
        </w:rPr>
        <w:t xml:space="preserve">and not the council. Its elected council members </w:t>
      </w:r>
      <w:r w:rsidR="00D55010">
        <w:rPr>
          <w:rFonts w:ascii="Arial" w:hAnsi="Arial" w:cs="Arial"/>
          <w:sz w:val="24"/>
          <w:szCs w:val="24"/>
        </w:rPr>
        <w:t xml:space="preserve">could only act on behalf of or </w:t>
      </w:r>
      <w:r w:rsidRPr="009E1988">
        <w:rPr>
          <w:rFonts w:ascii="Arial" w:hAnsi="Arial" w:cs="Arial"/>
          <w:sz w:val="24"/>
          <w:szCs w:val="24"/>
        </w:rPr>
        <w:t>represent the association when the association enters into transaction in its own name. This meant that the association would need to be a party to the proceedings and not the council</w:t>
      </w:r>
      <w:r w:rsidR="00D55010">
        <w:rPr>
          <w:rFonts w:ascii="Arial" w:hAnsi="Arial" w:cs="Arial"/>
          <w:sz w:val="24"/>
          <w:szCs w:val="24"/>
        </w:rPr>
        <w:t>, so the court held</w:t>
      </w:r>
      <w:r w:rsidRPr="009E1988">
        <w:rPr>
          <w:rFonts w:ascii="Arial" w:hAnsi="Arial" w:cs="Arial"/>
          <w:sz w:val="24"/>
          <w:szCs w:val="24"/>
        </w:rPr>
        <w:t>.</w:t>
      </w:r>
    </w:p>
    <w:p w:rsidR="00670411" w:rsidRPr="004A4CEB" w:rsidRDefault="00670411" w:rsidP="004A4CEB">
      <w:pPr>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respondents had also challenged the first appellant’s standing on the basis that the resolution authorising the bringing of the application had been passed </w:t>
      </w:r>
      <w:r>
        <w:rPr>
          <w:rFonts w:ascii="Arial" w:hAnsi="Arial" w:cs="Arial"/>
          <w:sz w:val="24"/>
          <w:szCs w:val="24"/>
        </w:rPr>
        <w:lastRenderedPageBreak/>
        <w:t xml:space="preserve">on 20 November 2011 and </w:t>
      </w:r>
      <w:r w:rsidR="00D55010">
        <w:rPr>
          <w:rFonts w:ascii="Arial" w:hAnsi="Arial" w:cs="Arial"/>
          <w:sz w:val="24"/>
          <w:szCs w:val="24"/>
        </w:rPr>
        <w:t xml:space="preserve">that </w:t>
      </w:r>
      <w:r>
        <w:rPr>
          <w:rFonts w:ascii="Arial" w:hAnsi="Arial" w:cs="Arial"/>
          <w:sz w:val="24"/>
          <w:szCs w:val="24"/>
        </w:rPr>
        <w:t xml:space="preserve">those referred to in it (and set out </w:t>
      </w:r>
      <w:r w:rsidR="0026483F">
        <w:rPr>
          <w:rFonts w:ascii="Arial" w:hAnsi="Arial" w:cs="Arial"/>
          <w:sz w:val="24"/>
          <w:szCs w:val="24"/>
        </w:rPr>
        <w:t>in annexure ABM1</w:t>
      </w:r>
      <w:r>
        <w:rPr>
          <w:rFonts w:ascii="Arial" w:hAnsi="Arial" w:cs="Arial"/>
          <w:sz w:val="24"/>
          <w:szCs w:val="24"/>
        </w:rPr>
        <w:t xml:space="preserve">) were no longer members of council as a new council had been elected on 4 July 2010. The appellants’ response in reply was an unsubstantiated assertion that the election </w:t>
      </w:r>
      <w:r w:rsidR="0054791A">
        <w:rPr>
          <w:rFonts w:ascii="Arial" w:hAnsi="Arial" w:cs="Arial"/>
          <w:sz w:val="24"/>
          <w:szCs w:val="24"/>
        </w:rPr>
        <w:t>was</w:t>
      </w:r>
      <w:r>
        <w:rPr>
          <w:rFonts w:ascii="Arial" w:hAnsi="Arial" w:cs="Arial"/>
          <w:sz w:val="24"/>
          <w:szCs w:val="24"/>
        </w:rPr>
        <w:t xml:space="preserve"> not </w:t>
      </w:r>
      <w:r w:rsidR="0026483F">
        <w:rPr>
          <w:rFonts w:ascii="Arial" w:hAnsi="Arial" w:cs="Arial"/>
          <w:sz w:val="24"/>
          <w:szCs w:val="24"/>
        </w:rPr>
        <w:t>conducted</w:t>
      </w:r>
      <w:r>
        <w:rPr>
          <w:rFonts w:ascii="Arial" w:hAnsi="Arial" w:cs="Arial"/>
          <w:sz w:val="24"/>
          <w:szCs w:val="24"/>
        </w:rPr>
        <w:t xml:space="preserve"> in terms of the constitution. The appellants disavowed any material disputes of fact and did not apply for a referral of disputes to evidence. The court applied the rule in </w:t>
      </w:r>
      <w:r>
        <w:rPr>
          <w:rFonts w:ascii="Arial" w:hAnsi="Arial" w:cs="Arial"/>
          <w:i/>
          <w:sz w:val="24"/>
          <w:szCs w:val="24"/>
        </w:rPr>
        <w:t>Plascon Evans</w:t>
      </w:r>
      <w:r w:rsidR="0026483F">
        <w:rPr>
          <w:rStyle w:val="FootnoteReference"/>
          <w:rFonts w:ascii="Arial" w:hAnsi="Arial" w:cs="Arial"/>
          <w:i/>
          <w:sz w:val="24"/>
          <w:szCs w:val="24"/>
        </w:rPr>
        <w:footnoteReference w:id="1"/>
      </w:r>
      <w:r>
        <w:rPr>
          <w:rFonts w:ascii="Arial" w:hAnsi="Arial" w:cs="Arial"/>
          <w:sz w:val="24"/>
          <w:szCs w:val="24"/>
        </w:rPr>
        <w:t xml:space="preserve"> and accepted the respondents’ version concerning the elections in 2010 and 2013 and found that the members listed</w:t>
      </w:r>
      <w:r w:rsidR="0054791A">
        <w:rPr>
          <w:rFonts w:ascii="Arial" w:hAnsi="Arial" w:cs="Arial"/>
          <w:sz w:val="24"/>
          <w:szCs w:val="24"/>
        </w:rPr>
        <w:t xml:space="preserve"> on</w:t>
      </w:r>
      <w:r>
        <w:rPr>
          <w:rFonts w:ascii="Arial" w:hAnsi="Arial" w:cs="Arial"/>
          <w:sz w:val="24"/>
          <w:szCs w:val="24"/>
        </w:rPr>
        <w:t xml:space="preserve"> </w:t>
      </w:r>
      <w:r w:rsidR="00D55010">
        <w:rPr>
          <w:rFonts w:ascii="Arial" w:hAnsi="Arial" w:cs="Arial"/>
          <w:sz w:val="24"/>
          <w:szCs w:val="24"/>
        </w:rPr>
        <w:t xml:space="preserve">annexure ABM1 </w:t>
      </w:r>
      <w:r>
        <w:rPr>
          <w:rFonts w:ascii="Arial" w:hAnsi="Arial" w:cs="Arial"/>
          <w:sz w:val="24"/>
          <w:szCs w:val="24"/>
        </w:rPr>
        <w:t xml:space="preserve">were no longer council members. The court found that the first appellant </w:t>
      </w:r>
      <w:r w:rsidR="0026483F">
        <w:rPr>
          <w:rFonts w:ascii="Arial" w:hAnsi="Arial" w:cs="Arial"/>
          <w:sz w:val="24"/>
          <w:szCs w:val="24"/>
        </w:rPr>
        <w:t xml:space="preserve">furthermore and in any event </w:t>
      </w:r>
      <w:r>
        <w:rPr>
          <w:rFonts w:ascii="Arial" w:hAnsi="Arial" w:cs="Arial"/>
          <w:sz w:val="24"/>
          <w:szCs w:val="24"/>
        </w:rPr>
        <w:t xml:space="preserve">lacked </w:t>
      </w:r>
      <w:r>
        <w:rPr>
          <w:rFonts w:ascii="Arial" w:hAnsi="Arial" w:cs="Arial"/>
          <w:i/>
          <w:sz w:val="24"/>
          <w:szCs w:val="24"/>
        </w:rPr>
        <w:t>locus</w:t>
      </w:r>
      <w:r w:rsidR="00D55010">
        <w:rPr>
          <w:rFonts w:ascii="Arial" w:hAnsi="Arial" w:cs="Arial"/>
          <w:i/>
          <w:sz w:val="24"/>
          <w:szCs w:val="24"/>
        </w:rPr>
        <w:t xml:space="preserve"> standi</w:t>
      </w:r>
      <w:r>
        <w:rPr>
          <w:rFonts w:ascii="Arial" w:hAnsi="Arial" w:cs="Arial"/>
          <w:sz w:val="24"/>
          <w:szCs w:val="24"/>
        </w:rPr>
        <w:t xml:space="preserve"> in the form of authority to bring the application.</w:t>
      </w:r>
    </w:p>
    <w:p w:rsidR="00670411" w:rsidRDefault="00670411" w:rsidP="00670411">
      <w:pPr>
        <w:pStyle w:val="ListParagraph"/>
        <w:rPr>
          <w:rFonts w:ascii="Arial" w:hAnsi="Arial" w:cs="Arial"/>
          <w:sz w:val="24"/>
          <w:szCs w:val="24"/>
        </w:rPr>
      </w:pPr>
    </w:p>
    <w:p w:rsidR="00F80F4F" w:rsidRDefault="00670411" w:rsidP="00F80F4F">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As </w:t>
      </w:r>
      <w:r w:rsidR="0026483F">
        <w:rPr>
          <w:rFonts w:ascii="Arial" w:hAnsi="Arial" w:cs="Arial"/>
          <w:sz w:val="24"/>
          <w:szCs w:val="24"/>
        </w:rPr>
        <w:t>for</w:t>
      </w:r>
      <w:r>
        <w:rPr>
          <w:rFonts w:ascii="Arial" w:hAnsi="Arial" w:cs="Arial"/>
          <w:sz w:val="24"/>
          <w:szCs w:val="24"/>
        </w:rPr>
        <w:t xml:space="preserve"> the second appellant, the High Court referred to the two grounds asserted for his standing. The court found that he lacked standing as a senior traditional councillor to bring it on behalf of the Batswana Ba Traditional Authority</w:t>
      </w:r>
      <w:r w:rsidR="0026483F">
        <w:rPr>
          <w:rFonts w:ascii="Arial" w:hAnsi="Arial" w:cs="Arial"/>
          <w:sz w:val="24"/>
          <w:szCs w:val="24"/>
        </w:rPr>
        <w:t>,</w:t>
      </w:r>
      <w:r>
        <w:rPr>
          <w:rFonts w:ascii="Arial" w:hAnsi="Arial" w:cs="Arial"/>
          <w:sz w:val="24"/>
          <w:szCs w:val="24"/>
        </w:rPr>
        <w:t xml:space="preserve"> a separate legal personality established under the Act. It </w:t>
      </w:r>
      <w:r w:rsidR="00ED01E4">
        <w:rPr>
          <w:rFonts w:ascii="Arial" w:hAnsi="Arial" w:cs="Arial"/>
          <w:sz w:val="24"/>
          <w:szCs w:val="24"/>
        </w:rPr>
        <w:t>w</w:t>
      </w:r>
      <w:r w:rsidRPr="00F80F4F">
        <w:rPr>
          <w:rFonts w:ascii="Arial" w:hAnsi="Arial" w:cs="Arial"/>
          <w:sz w:val="24"/>
          <w:szCs w:val="24"/>
        </w:rPr>
        <w:t xml:space="preserve">ould have standing to institute legal proceedings and not individual councillors. </w:t>
      </w:r>
    </w:p>
    <w:p w:rsidR="00F80F4F" w:rsidRDefault="00F80F4F" w:rsidP="00F80F4F">
      <w:pPr>
        <w:pStyle w:val="ListParagraph"/>
        <w:rPr>
          <w:rFonts w:ascii="Arial" w:hAnsi="Arial" w:cs="Arial"/>
          <w:sz w:val="24"/>
          <w:szCs w:val="24"/>
        </w:rPr>
      </w:pPr>
    </w:p>
    <w:p w:rsidR="00EE729F" w:rsidRPr="00F80F4F" w:rsidRDefault="00670411" w:rsidP="00F80F4F">
      <w:pPr>
        <w:pStyle w:val="NoSpacing"/>
        <w:numPr>
          <w:ilvl w:val="0"/>
          <w:numId w:val="14"/>
        </w:numPr>
        <w:spacing w:line="480" w:lineRule="auto"/>
        <w:ind w:left="0" w:firstLine="0"/>
        <w:jc w:val="both"/>
        <w:rPr>
          <w:rFonts w:ascii="Arial" w:hAnsi="Arial" w:cs="Arial"/>
          <w:sz w:val="24"/>
          <w:szCs w:val="24"/>
        </w:rPr>
      </w:pPr>
      <w:r w:rsidRPr="00F80F4F">
        <w:rPr>
          <w:rFonts w:ascii="Arial" w:hAnsi="Arial" w:cs="Arial"/>
          <w:sz w:val="24"/>
          <w:szCs w:val="24"/>
        </w:rPr>
        <w:t>The second basis asserted was in his capacity as appointed headman of the traditional authority</w:t>
      </w:r>
      <w:r w:rsidR="0026483F" w:rsidRPr="00F80F4F">
        <w:rPr>
          <w:rFonts w:ascii="Arial" w:hAnsi="Arial" w:cs="Arial"/>
          <w:sz w:val="24"/>
          <w:szCs w:val="24"/>
        </w:rPr>
        <w:t>, serving by virtue of that office as headman of the community</w:t>
      </w:r>
      <w:r w:rsidRPr="00F80F4F">
        <w:rPr>
          <w:rFonts w:ascii="Arial" w:hAnsi="Arial" w:cs="Arial"/>
          <w:sz w:val="24"/>
          <w:szCs w:val="24"/>
        </w:rPr>
        <w:t>. But this</w:t>
      </w:r>
      <w:r w:rsidR="0026483F" w:rsidRPr="00F80F4F">
        <w:rPr>
          <w:rFonts w:ascii="Arial" w:hAnsi="Arial" w:cs="Arial"/>
          <w:sz w:val="24"/>
          <w:szCs w:val="24"/>
        </w:rPr>
        <w:t>,</w:t>
      </w:r>
      <w:r w:rsidRPr="00F80F4F">
        <w:rPr>
          <w:rFonts w:ascii="Arial" w:hAnsi="Arial" w:cs="Arial"/>
          <w:sz w:val="24"/>
          <w:szCs w:val="24"/>
        </w:rPr>
        <w:t xml:space="preserve"> the court pointed out, was contrary to the</w:t>
      </w:r>
      <w:r w:rsidR="00EE729F" w:rsidRPr="00F80F4F">
        <w:rPr>
          <w:rFonts w:ascii="Arial" w:hAnsi="Arial" w:cs="Arial"/>
          <w:sz w:val="24"/>
          <w:szCs w:val="24"/>
        </w:rPr>
        <w:t xml:space="preserve"> association’s</w:t>
      </w:r>
      <w:r w:rsidRPr="00F80F4F">
        <w:rPr>
          <w:rFonts w:ascii="Arial" w:hAnsi="Arial" w:cs="Arial"/>
          <w:sz w:val="24"/>
          <w:szCs w:val="24"/>
        </w:rPr>
        <w:t xml:space="preserve"> constitution which required that the headman </w:t>
      </w:r>
      <w:r w:rsidR="00EE729F" w:rsidRPr="00F80F4F">
        <w:rPr>
          <w:rFonts w:ascii="Arial" w:hAnsi="Arial" w:cs="Arial"/>
          <w:sz w:val="24"/>
          <w:szCs w:val="24"/>
        </w:rPr>
        <w:t>as contemplated by it</w:t>
      </w:r>
      <w:r w:rsidRPr="00F80F4F">
        <w:rPr>
          <w:rFonts w:ascii="Arial" w:hAnsi="Arial" w:cs="Arial"/>
          <w:sz w:val="24"/>
          <w:szCs w:val="24"/>
        </w:rPr>
        <w:t xml:space="preserve"> was to be elected. The court concluded that the second appellant thus lacked standing to bring the application as headman or council member. </w:t>
      </w:r>
    </w:p>
    <w:p w:rsidR="00EE729F" w:rsidRDefault="00EE729F" w:rsidP="00EE729F">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upheld the two points in </w:t>
      </w:r>
      <w:r>
        <w:rPr>
          <w:rFonts w:ascii="Arial" w:hAnsi="Arial" w:cs="Arial"/>
          <w:i/>
          <w:sz w:val="24"/>
          <w:szCs w:val="24"/>
        </w:rPr>
        <w:t>limine</w:t>
      </w:r>
      <w:r>
        <w:rPr>
          <w:rFonts w:ascii="Arial" w:hAnsi="Arial" w:cs="Arial"/>
          <w:sz w:val="24"/>
          <w:szCs w:val="24"/>
        </w:rPr>
        <w:t xml:space="preserve"> and struck the application from the roll and ordered the individuals listed in annexure ABM1 to pay the respondents’ costs, jointly and severally.</w:t>
      </w:r>
    </w:p>
    <w:p w:rsidR="00670411" w:rsidRDefault="00670411" w:rsidP="00670411">
      <w:pPr>
        <w:rPr>
          <w:rFonts w:ascii="Arial" w:hAnsi="Arial" w:cs="Arial"/>
          <w:sz w:val="24"/>
          <w:szCs w:val="24"/>
        </w:rPr>
      </w:pPr>
    </w:p>
    <w:p w:rsidR="00670411" w:rsidRPr="00BD61F1" w:rsidRDefault="00670411" w:rsidP="00670411">
      <w:pPr>
        <w:rPr>
          <w:rFonts w:ascii="Arial" w:hAnsi="Arial" w:cs="Arial"/>
          <w:sz w:val="24"/>
          <w:szCs w:val="24"/>
          <w:u w:val="single"/>
        </w:rPr>
      </w:pPr>
      <w:r>
        <w:rPr>
          <w:rFonts w:ascii="Arial" w:hAnsi="Arial" w:cs="Arial"/>
          <w:sz w:val="24"/>
          <w:szCs w:val="24"/>
          <w:u w:val="single"/>
        </w:rPr>
        <w:t>Submissions on appeal</w:t>
      </w: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Mr Khama, for the appellant</w:t>
      </w:r>
      <w:r w:rsidR="00D55010">
        <w:rPr>
          <w:rFonts w:ascii="Arial" w:hAnsi="Arial" w:cs="Arial"/>
          <w:sz w:val="24"/>
          <w:szCs w:val="24"/>
        </w:rPr>
        <w:t>s</w:t>
      </w:r>
      <w:r>
        <w:rPr>
          <w:rFonts w:ascii="Arial" w:hAnsi="Arial" w:cs="Arial"/>
          <w:sz w:val="24"/>
          <w:szCs w:val="24"/>
        </w:rPr>
        <w:t xml:space="preserve">, argued that the question of standing is to be resolved in favour of the appellants as they both had a direct and substantial interest in the relief claimed. Once that is established, he submitted that </w:t>
      </w:r>
      <w:r w:rsidR="00D55010">
        <w:rPr>
          <w:rFonts w:ascii="Arial" w:hAnsi="Arial" w:cs="Arial"/>
          <w:sz w:val="24"/>
          <w:szCs w:val="24"/>
        </w:rPr>
        <w:t>t</w:t>
      </w:r>
      <w:r>
        <w:rPr>
          <w:rFonts w:ascii="Arial" w:hAnsi="Arial" w:cs="Arial"/>
          <w:sz w:val="24"/>
          <w:szCs w:val="24"/>
        </w:rPr>
        <w:t xml:space="preserve">his </w:t>
      </w:r>
      <w:r w:rsidR="00D55010">
        <w:rPr>
          <w:rFonts w:ascii="Arial" w:hAnsi="Arial" w:cs="Arial"/>
          <w:sz w:val="24"/>
          <w:szCs w:val="24"/>
        </w:rPr>
        <w:t>w</w:t>
      </w:r>
      <w:r>
        <w:rPr>
          <w:rFonts w:ascii="Arial" w:hAnsi="Arial" w:cs="Arial"/>
          <w:sz w:val="24"/>
          <w:szCs w:val="24"/>
        </w:rPr>
        <w:t>ould be sufficient to establish their respective standing.</w:t>
      </w:r>
    </w:p>
    <w:p w:rsidR="00670411" w:rsidRDefault="00670411" w:rsidP="00670411">
      <w:pPr>
        <w:pStyle w:val="NoSpacing"/>
        <w:spacing w:line="480" w:lineRule="auto"/>
        <w:jc w:val="bot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As far as the first appellant was concerned, </w:t>
      </w:r>
      <w:r w:rsidR="00D55010">
        <w:rPr>
          <w:rFonts w:ascii="Arial" w:hAnsi="Arial" w:cs="Arial"/>
          <w:sz w:val="24"/>
          <w:szCs w:val="24"/>
        </w:rPr>
        <w:t>Mr Khama</w:t>
      </w:r>
      <w:r>
        <w:rPr>
          <w:rFonts w:ascii="Arial" w:hAnsi="Arial" w:cs="Arial"/>
          <w:sz w:val="24"/>
          <w:szCs w:val="24"/>
        </w:rPr>
        <w:t xml:space="preserve"> argued that despite the legal personality of the community as an association, the first appellant had standing because of rule 42 of the High Court Rules. He argued that the council of the community is an association for the purpose of rule 42 and that this rule changed the common law to </w:t>
      </w:r>
      <w:r w:rsidR="00EE729F">
        <w:rPr>
          <w:rFonts w:ascii="Arial" w:hAnsi="Arial" w:cs="Arial"/>
          <w:sz w:val="24"/>
          <w:szCs w:val="24"/>
        </w:rPr>
        <w:t>vest</w:t>
      </w:r>
      <w:r>
        <w:rPr>
          <w:rFonts w:ascii="Arial" w:hAnsi="Arial" w:cs="Arial"/>
          <w:sz w:val="24"/>
          <w:szCs w:val="24"/>
        </w:rPr>
        <w:t xml:space="preserve"> such an </w:t>
      </w:r>
      <w:r w:rsidR="00EE729F">
        <w:rPr>
          <w:rFonts w:ascii="Arial" w:hAnsi="Arial" w:cs="Arial"/>
          <w:sz w:val="24"/>
          <w:szCs w:val="24"/>
        </w:rPr>
        <w:t xml:space="preserve">unincorporated </w:t>
      </w:r>
      <w:r>
        <w:rPr>
          <w:rFonts w:ascii="Arial" w:hAnsi="Arial" w:cs="Arial"/>
          <w:sz w:val="24"/>
          <w:szCs w:val="24"/>
        </w:rPr>
        <w:t>association with standing.</w:t>
      </w:r>
    </w:p>
    <w:p w:rsidR="00EE729F" w:rsidRDefault="00EE729F" w:rsidP="00EE729F">
      <w:pPr>
        <w:pStyle w:val="ListParagraph"/>
        <w:rPr>
          <w:rFonts w:ascii="Arial" w:hAnsi="Arial" w:cs="Arial"/>
          <w:sz w:val="24"/>
          <w:szCs w:val="24"/>
        </w:rPr>
      </w:pPr>
    </w:p>
    <w:p w:rsidR="00EE729F" w:rsidRDefault="00EE729F"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Mr Khama argued that the second appellant had standing as senior traditional councillor under the Act</w:t>
      </w:r>
      <w:r w:rsidR="00E97453">
        <w:rPr>
          <w:rFonts w:ascii="Arial" w:hAnsi="Arial" w:cs="Arial"/>
          <w:sz w:val="24"/>
          <w:szCs w:val="24"/>
        </w:rPr>
        <w:t xml:space="preserve"> in that </w:t>
      </w:r>
      <w:r w:rsidR="00D55010">
        <w:rPr>
          <w:rFonts w:ascii="Arial" w:hAnsi="Arial" w:cs="Arial"/>
          <w:sz w:val="24"/>
          <w:szCs w:val="24"/>
        </w:rPr>
        <w:t>he</w:t>
      </w:r>
      <w:r>
        <w:rPr>
          <w:rFonts w:ascii="Arial" w:hAnsi="Arial" w:cs="Arial"/>
          <w:sz w:val="24"/>
          <w:szCs w:val="24"/>
        </w:rPr>
        <w:t xml:space="preserve"> </w:t>
      </w:r>
      <w:r w:rsidR="00E97453">
        <w:rPr>
          <w:rFonts w:ascii="Arial" w:hAnsi="Arial" w:cs="Arial"/>
          <w:sz w:val="24"/>
          <w:szCs w:val="24"/>
        </w:rPr>
        <w:t xml:space="preserve">automatically </w:t>
      </w:r>
      <w:r>
        <w:rPr>
          <w:rFonts w:ascii="Arial" w:hAnsi="Arial" w:cs="Arial"/>
          <w:sz w:val="24"/>
          <w:szCs w:val="24"/>
        </w:rPr>
        <w:t>occupied the position of headman for the community</w:t>
      </w:r>
      <w:r w:rsidR="00D55010" w:rsidRPr="00D55010">
        <w:rPr>
          <w:rFonts w:ascii="Arial" w:hAnsi="Arial" w:cs="Arial"/>
          <w:sz w:val="24"/>
          <w:szCs w:val="24"/>
        </w:rPr>
        <w:t xml:space="preserve"> </w:t>
      </w:r>
      <w:r w:rsidR="00D55010">
        <w:rPr>
          <w:rFonts w:ascii="Arial" w:hAnsi="Arial" w:cs="Arial"/>
          <w:sz w:val="24"/>
          <w:szCs w:val="24"/>
        </w:rPr>
        <w:t>by virtue of that position</w:t>
      </w:r>
      <w:r>
        <w:rPr>
          <w:rFonts w:ascii="Arial" w:hAnsi="Arial" w:cs="Arial"/>
          <w:sz w:val="24"/>
          <w:szCs w:val="24"/>
        </w:rPr>
        <w:t>.</w:t>
      </w:r>
    </w:p>
    <w:p w:rsidR="00EE729F" w:rsidRDefault="00EE729F" w:rsidP="00EE729F">
      <w:pPr>
        <w:pStyle w:val="ListParagraph"/>
        <w:rPr>
          <w:rFonts w:ascii="Arial" w:hAnsi="Arial" w:cs="Arial"/>
          <w:sz w:val="24"/>
          <w:szCs w:val="24"/>
        </w:rPr>
      </w:pPr>
    </w:p>
    <w:p w:rsidR="00EE729F" w:rsidRDefault="00EE729F"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Mr Khama also argued that all the claims, save for the financial claim in para</w:t>
      </w:r>
      <w:r w:rsidR="00F31E6D">
        <w:rPr>
          <w:rFonts w:ascii="Arial" w:hAnsi="Arial" w:cs="Arial"/>
          <w:sz w:val="24"/>
          <w:szCs w:val="24"/>
        </w:rPr>
        <w:t>graph</w:t>
      </w:r>
      <w:r>
        <w:rPr>
          <w:rFonts w:ascii="Arial" w:hAnsi="Arial" w:cs="Arial"/>
          <w:sz w:val="24"/>
          <w:szCs w:val="24"/>
        </w:rPr>
        <w:t xml:space="preserve"> 9 of the notice of motion, did not constitute </w:t>
      </w:r>
      <w:r w:rsidR="009F38B3">
        <w:rPr>
          <w:rFonts w:ascii="Arial" w:hAnsi="Arial" w:cs="Arial"/>
          <w:sz w:val="24"/>
          <w:szCs w:val="24"/>
        </w:rPr>
        <w:t>debts for the purpose of the Prescription Act and had not thus prescribed.</w:t>
      </w:r>
    </w:p>
    <w:p w:rsidR="009F38B3" w:rsidRDefault="009F38B3" w:rsidP="009F38B3">
      <w:pPr>
        <w:pStyle w:val="ListParagraph"/>
        <w:rPr>
          <w:rFonts w:ascii="Arial" w:hAnsi="Arial" w:cs="Arial"/>
          <w:sz w:val="24"/>
          <w:szCs w:val="24"/>
        </w:rPr>
      </w:pPr>
    </w:p>
    <w:p w:rsidR="009F38B3" w:rsidRDefault="009F38B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P Barnard, who appeared for the respondents, submitted that neither appellant had </w:t>
      </w:r>
      <w:r w:rsidR="00D55010">
        <w:rPr>
          <w:rFonts w:ascii="Arial" w:hAnsi="Arial" w:cs="Arial"/>
          <w:sz w:val="24"/>
          <w:szCs w:val="24"/>
        </w:rPr>
        <w:t xml:space="preserve">legal </w:t>
      </w:r>
      <w:r>
        <w:rPr>
          <w:rFonts w:ascii="Arial" w:hAnsi="Arial" w:cs="Arial"/>
          <w:sz w:val="24"/>
          <w:szCs w:val="24"/>
        </w:rPr>
        <w:t xml:space="preserve">standing for the relief </w:t>
      </w:r>
      <w:r w:rsidR="00D55010">
        <w:rPr>
          <w:rFonts w:ascii="Arial" w:hAnsi="Arial" w:cs="Arial"/>
          <w:sz w:val="24"/>
          <w:szCs w:val="24"/>
        </w:rPr>
        <w:t xml:space="preserve">sought </w:t>
      </w:r>
      <w:r>
        <w:rPr>
          <w:rFonts w:ascii="Arial" w:hAnsi="Arial" w:cs="Arial"/>
          <w:sz w:val="24"/>
          <w:szCs w:val="24"/>
        </w:rPr>
        <w:t xml:space="preserve">and supported the </w:t>
      </w:r>
      <w:r w:rsidR="00D55010">
        <w:rPr>
          <w:rFonts w:ascii="Arial" w:hAnsi="Arial" w:cs="Arial"/>
          <w:sz w:val="24"/>
          <w:szCs w:val="24"/>
        </w:rPr>
        <w:t>findings of</w:t>
      </w:r>
      <w:r>
        <w:rPr>
          <w:rFonts w:ascii="Arial" w:hAnsi="Arial" w:cs="Arial"/>
          <w:sz w:val="24"/>
          <w:szCs w:val="24"/>
        </w:rPr>
        <w:t xml:space="preserve"> the High Court on prescription.</w:t>
      </w:r>
    </w:p>
    <w:p w:rsidR="009F38B3" w:rsidRDefault="009F38B3" w:rsidP="009F38B3">
      <w:pPr>
        <w:rPr>
          <w:rFonts w:ascii="Arial" w:hAnsi="Arial" w:cs="Arial"/>
          <w:sz w:val="24"/>
          <w:szCs w:val="24"/>
        </w:rPr>
      </w:pPr>
    </w:p>
    <w:p w:rsidR="009F38B3" w:rsidRPr="009F38B3" w:rsidRDefault="009F38B3" w:rsidP="009F38B3">
      <w:pPr>
        <w:rPr>
          <w:rFonts w:ascii="Arial" w:hAnsi="Arial" w:cs="Arial"/>
          <w:sz w:val="24"/>
          <w:szCs w:val="24"/>
          <w:u w:val="single"/>
        </w:rPr>
      </w:pPr>
      <w:r>
        <w:rPr>
          <w:rFonts w:ascii="Arial" w:hAnsi="Arial" w:cs="Arial"/>
          <w:sz w:val="24"/>
          <w:szCs w:val="24"/>
          <w:u w:val="single"/>
        </w:rPr>
        <w:t>First appellant’s claim for legal standing</w:t>
      </w:r>
    </w:p>
    <w:p w:rsidR="009F38B3" w:rsidRPr="007F3637" w:rsidRDefault="009F38B3" w:rsidP="007F3637">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As has been made clear by the South African Supreme Court of Appeal, the question of legal standing is in a sense procedural, but it also bears </w:t>
      </w:r>
      <w:r w:rsidR="0036202B">
        <w:rPr>
          <w:rFonts w:ascii="Arial" w:hAnsi="Arial" w:cs="Arial"/>
          <w:sz w:val="24"/>
          <w:szCs w:val="24"/>
        </w:rPr>
        <w:t>on</w:t>
      </w:r>
      <w:r>
        <w:rPr>
          <w:rFonts w:ascii="Arial" w:hAnsi="Arial" w:cs="Arial"/>
          <w:sz w:val="24"/>
          <w:szCs w:val="24"/>
        </w:rPr>
        <w:t xml:space="preserve"> substance.</w:t>
      </w:r>
      <w:r w:rsidR="00B77595">
        <w:rPr>
          <w:rStyle w:val="FootnoteReference"/>
          <w:rFonts w:ascii="Arial" w:hAnsi="Arial" w:cs="Arial"/>
          <w:sz w:val="24"/>
          <w:szCs w:val="24"/>
        </w:rPr>
        <w:footnoteReference w:id="2"/>
      </w:r>
      <w:r>
        <w:rPr>
          <w:rFonts w:ascii="Arial" w:hAnsi="Arial" w:cs="Arial"/>
          <w:sz w:val="24"/>
          <w:szCs w:val="24"/>
        </w:rPr>
        <w:t xml:space="preserve"> It concerns the sufficiency and directness of interest in the proceedings which warrants a party’s title to prosecute a claim.</w:t>
      </w:r>
      <w:r w:rsidR="00B77595">
        <w:rPr>
          <w:rStyle w:val="FootnoteReference"/>
          <w:rFonts w:ascii="Arial" w:hAnsi="Arial" w:cs="Arial"/>
          <w:sz w:val="24"/>
          <w:szCs w:val="24"/>
        </w:rPr>
        <w:footnoteReference w:id="3"/>
      </w:r>
      <w:r>
        <w:rPr>
          <w:rFonts w:ascii="Arial" w:hAnsi="Arial" w:cs="Arial"/>
          <w:sz w:val="24"/>
          <w:szCs w:val="24"/>
        </w:rPr>
        <w:t xml:space="preserve"> The </w:t>
      </w:r>
      <w:r w:rsidR="00095323">
        <w:rPr>
          <w:rFonts w:ascii="Arial" w:hAnsi="Arial" w:cs="Arial"/>
          <w:sz w:val="24"/>
          <w:szCs w:val="24"/>
        </w:rPr>
        <w:t>onus is upon a party instituting proceedings to establish legal standing.</w:t>
      </w:r>
      <w:r w:rsidR="00095323">
        <w:rPr>
          <w:rStyle w:val="FootnoteReference"/>
          <w:rFonts w:ascii="Arial" w:hAnsi="Arial" w:cs="Arial"/>
          <w:sz w:val="24"/>
          <w:szCs w:val="24"/>
        </w:rPr>
        <w:footnoteReference w:id="4"/>
      </w:r>
      <w:r w:rsidR="00095323">
        <w:rPr>
          <w:rFonts w:ascii="Arial" w:hAnsi="Arial" w:cs="Arial"/>
          <w:sz w:val="24"/>
          <w:szCs w:val="24"/>
        </w:rPr>
        <w:t xml:space="preserve"> This not only concerns establishing sufficiency and directness o</w:t>
      </w:r>
      <w:r w:rsidR="0036202B">
        <w:rPr>
          <w:rFonts w:ascii="Arial" w:hAnsi="Arial" w:cs="Arial"/>
          <w:sz w:val="24"/>
          <w:szCs w:val="24"/>
        </w:rPr>
        <w:t>f</w:t>
      </w:r>
      <w:r w:rsidR="00095323">
        <w:rPr>
          <w:rFonts w:ascii="Arial" w:hAnsi="Arial" w:cs="Arial"/>
          <w:sz w:val="24"/>
          <w:szCs w:val="24"/>
        </w:rPr>
        <w:t xml:space="preserve"> interest but also that </w:t>
      </w:r>
      <w:r w:rsidR="00095323" w:rsidRPr="0036202B">
        <w:rPr>
          <w:rFonts w:ascii="Arial" w:hAnsi="Arial" w:cs="Arial"/>
          <w:sz w:val="24"/>
          <w:szCs w:val="24"/>
          <w:u w:val="single"/>
        </w:rPr>
        <w:t>it</w:t>
      </w:r>
      <w:r w:rsidR="00095323">
        <w:rPr>
          <w:rFonts w:ascii="Arial" w:hAnsi="Arial" w:cs="Arial"/>
          <w:sz w:val="24"/>
          <w:szCs w:val="24"/>
        </w:rPr>
        <w:t xml:space="preserve"> is the rights-bearing entity or acting on the authority of that entity or has acquired the rights.</w:t>
      </w:r>
      <w:r w:rsidR="00095323">
        <w:rPr>
          <w:rStyle w:val="FootnoteReference"/>
          <w:rFonts w:ascii="Arial" w:hAnsi="Arial" w:cs="Arial"/>
          <w:sz w:val="24"/>
          <w:szCs w:val="24"/>
        </w:rPr>
        <w:footnoteReference w:id="5"/>
      </w:r>
      <w:r w:rsidR="00095323">
        <w:rPr>
          <w:rFonts w:ascii="Arial" w:hAnsi="Arial" w:cs="Arial"/>
          <w:sz w:val="24"/>
          <w:szCs w:val="24"/>
        </w:rPr>
        <w:t xml:space="preserve"> Where the issue of legal standing is argued separately, as was the </w:t>
      </w:r>
      <w:r w:rsidR="0036202B">
        <w:rPr>
          <w:rFonts w:ascii="Arial" w:hAnsi="Arial" w:cs="Arial"/>
          <w:sz w:val="24"/>
          <w:szCs w:val="24"/>
        </w:rPr>
        <w:t>c</w:t>
      </w:r>
      <w:r w:rsidR="00095323">
        <w:rPr>
          <w:rFonts w:ascii="Arial" w:hAnsi="Arial" w:cs="Arial"/>
          <w:sz w:val="24"/>
          <w:szCs w:val="24"/>
        </w:rPr>
        <w:t>ase here, a lack of legal standing on the part of the applicants, if upheld, would finally resolve the issues. This would obviate the need on the part</w:t>
      </w:r>
      <w:r w:rsidR="0036202B">
        <w:rPr>
          <w:rFonts w:ascii="Arial" w:hAnsi="Arial" w:cs="Arial"/>
          <w:sz w:val="24"/>
          <w:szCs w:val="24"/>
        </w:rPr>
        <w:t xml:space="preserve"> of</w:t>
      </w:r>
      <w:r w:rsidR="00095323">
        <w:rPr>
          <w:rFonts w:ascii="Arial" w:hAnsi="Arial" w:cs="Arial"/>
          <w:sz w:val="24"/>
          <w:szCs w:val="24"/>
        </w:rPr>
        <w:t xml:space="preserve"> the court to determine other issues and the merits of the application.</w:t>
      </w:r>
      <w:r w:rsidR="00095323">
        <w:rPr>
          <w:rStyle w:val="FootnoteReference"/>
          <w:rFonts w:ascii="Arial" w:hAnsi="Arial" w:cs="Arial"/>
          <w:sz w:val="24"/>
          <w:szCs w:val="24"/>
        </w:rPr>
        <w:footnoteReference w:id="6"/>
      </w:r>
    </w:p>
    <w:p w:rsidR="00670411" w:rsidRDefault="00670411" w:rsidP="00670411">
      <w:pPr>
        <w:pStyle w:val="ListParagraph"/>
        <w:rPr>
          <w:rFonts w:ascii="Arial" w:hAnsi="Arial" w:cs="Arial"/>
          <w:sz w:val="24"/>
          <w:szCs w:val="24"/>
        </w:rPr>
      </w:pPr>
    </w:p>
    <w:p w:rsidR="00670411" w:rsidRDefault="0067041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rule 42 an association is defined for the purpose of that rule as ‘any </w:t>
      </w:r>
      <w:r w:rsidR="00D429A6">
        <w:rPr>
          <w:rFonts w:ascii="Arial" w:hAnsi="Arial" w:cs="Arial"/>
          <w:sz w:val="24"/>
          <w:szCs w:val="24"/>
        </w:rPr>
        <w:t>un</w:t>
      </w:r>
      <w:r>
        <w:rPr>
          <w:rFonts w:ascii="Arial" w:hAnsi="Arial" w:cs="Arial"/>
          <w:sz w:val="24"/>
          <w:szCs w:val="24"/>
        </w:rPr>
        <w:t>incorporated body of persons not being a partnership’. Sub</w:t>
      </w:r>
      <w:r w:rsidR="0036202B">
        <w:rPr>
          <w:rFonts w:ascii="Arial" w:hAnsi="Arial" w:cs="Arial"/>
          <w:sz w:val="24"/>
          <w:szCs w:val="24"/>
        </w:rPr>
        <w:t>-</w:t>
      </w:r>
      <w:r>
        <w:rPr>
          <w:rFonts w:ascii="Arial" w:hAnsi="Arial" w:cs="Arial"/>
          <w:sz w:val="24"/>
          <w:szCs w:val="24"/>
        </w:rPr>
        <w:t xml:space="preserve">rule 42(2) provides that a partnership, firm or association may sue or be sued in its own name. </w:t>
      </w:r>
      <w:r w:rsidR="00E81D67">
        <w:rPr>
          <w:rFonts w:ascii="Arial" w:hAnsi="Arial" w:cs="Arial"/>
          <w:sz w:val="24"/>
          <w:szCs w:val="24"/>
        </w:rPr>
        <w:t>It</w:t>
      </w:r>
      <w:r>
        <w:rPr>
          <w:rFonts w:ascii="Arial" w:hAnsi="Arial" w:cs="Arial"/>
          <w:sz w:val="24"/>
          <w:szCs w:val="24"/>
        </w:rPr>
        <w:t xml:space="preserve"> proceeds to </w:t>
      </w:r>
      <w:r w:rsidR="0036202B">
        <w:rPr>
          <w:rFonts w:ascii="Arial" w:hAnsi="Arial" w:cs="Arial"/>
          <w:sz w:val="24"/>
          <w:szCs w:val="24"/>
        </w:rPr>
        <w:t>set out</w:t>
      </w:r>
      <w:r>
        <w:rPr>
          <w:rFonts w:ascii="Arial" w:hAnsi="Arial" w:cs="Arial"/>
          <w:sz w:val="24"/>
          <w:szCs w:val="24"/>
        </w:rPr>
        <w:t xml:space="preserve"> the mechanism whereby parties being sued by or suing a firm or partnership may require the names and addresses of partners or proprietors</w:t>
      </w:r>
      <w:r w:rsidR="00D429A6">
        <w:rPr>
          <w:rFonts w:ascii="Arial" w:hAnsi="Arial" w:cs="Arial"/>
          <w:sz w:val="24"/>
          <w:szCs w:val="24"/>
        </w:rPr>
        <w:t xml:space="preserve"> to </w:t>
      </w:r>
      <w:r w:rsidR="00D429A6">
        <w:rPr>
          <w:rFonts w:ascii="Arial" w:hAnsi="Arial" w:cs="Arial"/>
          <w:sz w:val="24"/>
          <w:szCs w:val="24"/>
        </w:rPr>
        <w:lastRenderedPageBreak/>
        <w:t>be provided</w:t>
      </w:r>
      <w:r>
        <w:rPr>
          <w:rFonts w:ascii="Arial" w:hAnsi="Arial" w:cs="Arial"/>
          <w:sz w:val="24"/>
          <w:szCs w:val="24"/>
        </w:rPr>
        <w:t>. In the case of an association, sub</w:t>
      </w:r>
      <w:r w:rsidR="0036202B">
        <w:rPr>
          <w:rFonts w:ascii="Arial" w:hAnsi="Arial" w:cs="Arial"/>
          <w:sz w:val="24"/>
          <w:szCs w:val="24"/>
        </w:rPr>
        <w:t>-</w:t>
      </w:r>
      <w:r>
        <w:rPr>
          <w:rFonts w:ascii="Arial" w:hAnsi="Arial" w:cs="Arial"/>
          <w:sz w:val="24"/>
          <w:szCs w:val="24"/>
        </w:rPr>
        <w:t>rules 42(16) to (19), the other parties</w:t>
      </w:r>
      <w:r w:rsidR="00D429A6">
        <w:rPr>
          <w:rFonts w:ascii="Arial" w:hAnsi="Arial" w:cs="Arial"/>
          <w:sz w:val="24"/>
          <w:szCs w:val="24"/>
        </w:rPr>
        <w:t xml:space="preserve"> to the proceedings</w:t>
      </w:r>
      <w:r>
        <w:rPr>
          <w:rFonts w:ascii="Arial" w:hAnsi="Arial" w:cs="Arial"/>
          <w:sz w:val="24"/>
          <w:szCs w:val="24"/>
        </w:rPr>
        <w:t xml:space="preserve"> can by notice require a copy of the constitution of the association and a list of names and addresses of office bearers.</w:t>
      </w:r>
    </w:p>
    <w:p w:rsidR="00670411" w:rsidRPr="00DB332E" w:rsidRDefault="00670411" w:rsidP="00670411">
      <w:pPr>
        <w:pStyle w:val="NoSpacing"/>
        <w:spacing w:line="480" w:lineRule="auto"/>
        <w:jc w:val="both"/>
        <w:rPr>
          <w:rFonts w:ascii="Arial" w:hAnsi="Arial" w:cs="Arial"/>
          <w:sz w:val="24"/>
          <w:szCs w:val="24"/>
        </w:rPr>
      </w:pPr>
    </w:p>
    <w:p w:rsidR="00670411" w:rsidRDefault="00D429A6"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support of his argument on rule 42, </w:t>
      </w:r>
      <w:r w:rsidR="00E81D67">
        <w:rPr>
          <w:rFonts w:ascii="Arial" w:hAnsi="Arial" w:cs="Arial"/>
          <w:sz w:val="24"/>
          <w:szCs w:val="24"/>
        </w:rPr>
        <w:t>Mr Khama placed heavy reliance upon a full bench decision of the High Court, as it was previously constituted</w:t>
      </w:r>
      <w:r>
        <w:rPr>
          <w:rFonts w:ascii="Arial" w:hAnsi="Arial" w:cs="Arial"/>
          <w:sz w:val="24"/>
          <w:szCs w:val="24"/>
        </w:rPr>
        <w:t>,</w:t>
      </w:r>
      <w:r w:rsidR="00E81D67">
        <w:rPr>
          <w:rFonts w:ascii="Arial" w:hAnsi="Arial" w:cs="Arial"/>
          <w:sz w:val="24"/>
          <w:szCs w:val="24"/>
        </w:rPr>
        <w:t xml:space="preserve"> in </w:t>
      </w:r>
      <w:r w:rsidR="00E81D67" w:rsidRPr="00E81D67">
        <w:rPr>
          <w:rFonts w:ascii="Arial" w:hAnsi="Arial" w:cs="Arial"/>
          <w:i/>
          <w:sz w:val="24"/>
          <w:szCs w:val="24"/>
        </w:rPr>
        <w:t>Parents’ Committee of Namibia and other</w:t>
      </w:r>
      <w:r w:rsidR="0014241F">
        <w:rPr>
          <w:rFonts w:ascii="Arial" w:hAnsi="Arial" w:cs="Arial"/>
          <w:i/>
          <w:sz w:val="24"/>
          <w:szCs w:val="24"/>
        </w:rPr>
        <w:t>s</w:t>
      </w:r>
      <w:r w:rsidR="00E81D67">
        <w:rPr>
          <w:rFonts w:ascii="Arial" w:hAnsi="Arial" w:cs="Arial"/>
          <w:i/>
          <w:sz w:val="24"/>
          <w:szCs w:val="24"/>
        </w:rPr>
        <w:t xml:space="preserve"> v Nujoma and others</w:t>
      </w:r>
      <w:r w:rsidR="00E81D67">
        <w:rPr>
          <w:rFonts w:ascii="Arial" w:hAnsi="Arial" w:cs="Arial"/>
          <w:sz w:val="24"/>
          <w:szCs w:val="24"/>
        </w:rPr>
        <w:t>.</w:t>
      </w:r>
      <w:r w:rsidR="0036202B">
        <w:rPr>
          <w:rStyle w:val="FootnoteReference"/>
          <w:rFonts w:ascii="Arial" w:hAnsi="Arial" w:cs="Arial"/>
          <w:sz w:val="24"/>
          <w:szCs w:val="24"/>
        </w:rPr>
        <w:footnoteReference w:id="7"/>
      </w:r>
      <w:r w:rsidR="00E81D67">
        <w:rPr>
          <w:rFonts w:ascii="Arial" w:hAnsi="Arial" w:cs="Arial"/>
          <w:sz w:val="24"/>
          <w:szCs w:val="24"/>
        </w:rPr>
        <w:t xml:space="preserve"> In that matter, the full bench found that the first applicant</w:t>
      </w:r>
      <w:r w:rsidR="0036202B">
        <w:rPr>
          <w:rFonts w:ascii="Arial" w:hAnsi="Arial" w:cs="Arial"/>
          <w:sz w:val="24"/>
          <w:szCs w:val="24"/>
        </w:rPr>
        <w:t>,</w:t>
      </w:r>
      <w:r w:rsidR="00E81D67">
        <w:rPr>
          <w:rFonts w:ascii="Arial" w:hAnsi="Arial" w:cs="Arial"/>
          <w:sz w:val="24"/>
          <w:szCs w:val="24"/>
        </w:rPr>
        <w:t xml:space="preserve"> which had its own constitution, although probably not a </w:t>
      </w:r>
      <w:r w:rsidR="00E81D67" w:rsidRPr="0036202B">
        <w:rPr>
          <w:rFonts w:ascii="Arial" w:hAnsi="Arial" w:cs="Arial"/>
          <w:i/>
          <w:sz w:val="24"/>
          <w:szCs w:val="24"/>
        </w:rPr>
        <w:t>universitas</w:t>
      </w:r>
      <w:r w:rsidR="00E81D67">
        <w:rPr>
          <w:rFonts w:ascii="Arial" w:hAnsi="Arial" w:cs="Arial"/>
          <w:sz w:val="24"/>
          <w:szCs w:val="24"/>
        </w:rPr>
        <w:t>, fell within the definition of association in rule 42’s</w:t>
      </w:r>
      <w:r>
        <w:rPr>
          <w:rFonts w:ascii="Arial" w:hAnsi="Arial" w:cs="Arial"/>
          <w:sz w:val="24"/>
          <w:szCs w:val="24"/>
        </w:rPr>
        <w:t xml:space="preserve"> similarly worded predecessor</w:t>
      </w:r>
      <w:r w:rsidR="0036202B">
        <w:rPr>
          <w:rFonts w:ascii="Arial" w:hAnsi="Arial" w:cs="Arial"/>
          <w:sz w:val="24"/>
          <w:szCs w:val="24"/>
        </w:rPr>
        <w:t>,</w:t>
      </w:r>
      <w:r>
        <w:rPr>
          <w:rFonts w:ascii="Arial" w:hAnsi="Arial" w:cs="Arial"/>
          <w:sz w:val="24"/>
          <w:szCs w:val="24"/>
        </w:rPr>
        <w:t xml:space="preserve"> </w:t>
      </w:r>
      <w:r w:rsidR="00E81D67">
        <w:rPr>
          <w:rFonts w:ascii="Arial" w:hAnsi="Arial" w:cs="Arial"/>
          <w:sz w:val="24"/>
          <w:szCs w:val="24"/>
        </w:rPr>
        <w:t>rule 14</w:t>
      </w:r>
      <w:r>
        <w:rPr>
          <w:rFonts w:ascii="Arial" w:hAnsi="Arial" w:cs="Arial"/>
          <w:sz w:val="24"/>
          <w:szCs w:val="24"/>
        </w:rPr>
        <w:t>,</w:t>
      </w:r>
      <w:r w:rsidR="00E81D67">
        <w:rPr>
          <w:rFonts w:ascii="Arial" w:hAnsi="Arial" w:cs="Arial"/>
          <w:sz w:val="24"/>
          <w:szCs w:val="24"/>
        </w:rPr>
        <w:t xml:space="preserve"> which defined an association as being ‘any unincorporated body’. The full bench held that</w:t>
      </w:r>
      <w:r>
        <w:rPr>
          <w:rFonts w:ascii="Arial" w:hAnsi="Arial" w:cs="Arial"/>
          <w:sz w:val="24"/>
          <w:szCs w:val="24"/>
        </w:rPr>
        <w:t>,</w:t>
      </w:r>
      <w:r w:rsidR="00E81D67">
        <w:rPr>
          <w:rFonts w:ascii="Arial" w:hAnsi="Arial" w:cs="Arial"/>
          <w:sz w:val="24"/>
          <w:szCs w:val="24"/>
        </w:rPr>
        <w:t xml:space="preserve"> as an unincorporated voluntary association, it f</w:t>
      </w:r>
      <w:r>
        <w:rPr>
          <w:rFonts w:ascii="Arial" w:hAnsi="Arial" w:cs="Arial"/>
          <w:sz w:val="24"/>
          <w:szCs w:val="24"/>
        </w:rPr>
        <w:t>ell within the ambit of rule 14(</w:t>
      </w:r>
      <w:r w:rsidR="00E81D67">
        <w:rPr>
          <w:rFonts w:ascii="Arial" w:hAnsi="Arial" w:cs="Arial"/>
          <w:sz w:val="24"/>
          <w:szCs w:val="24"/>
        </w:rPr>
        <w:t xml:space="preserve">2) and thus had </w:t>
      </w:r>
      <w:r w:rsidR="00E81D67">
        <w:rPr>
          <w:rFonts w:ascii="Arial" w:hAnsi="Arial" w:cs="Arial"/>
          <w:i/>
          <w:sz w:val="24"/>
          <w:szCs w:val="24"/>
        </w:rPr>
        <w:t>locus standi</w:t>
      </w:r>
      <w:r w:rsidR="00E81D67">
        <w:rPr>
          <w:rFonts w:ascii="Arial" w:hAnsi="Arial" w:cs="Arial"/>
          <w:sz w:val="24"/>
          <w:szCs w:val="24"/>
        </w:rPr>
        <w:t xml:space="preserve"> to bring the application before court. The full bench followed the approach in </w:t>
      </w:r>
      <w:r w:rsidR="00E81D67">
        <w:rPr>
          <w:rFonts w:ascii="Arial" w:hAnsi="Arial" w:cs="Arial"/>
          <w:i/>
          <w:sz w:val="24"/>
          <w:szCs w:val="24"/>
        </w:rPr>
        <w:t>De Me</w:t>
      </w:r>
      <w:r w:rsidR="00B838CB">
        <w:rPr>
          <w:rFonts w:ascii="Arial" w:hAnsi="Arial" w:cs="Arial"/>
          <w:i/>
          <w:sz w:val="24"/>
          <w:szCs w:val="24"/>
        </w:rPr>
        <w:t>i</w:t>
      </w:r>
      <w:r w:rsidR="00E81D67">
        <w:rPr>
          <w:rFonts w:ascii="Arial" w:hAnsi="Arial" w:cs="Arial"/>
          <w:i/>
          <w:sz w:val="24"/>
          <w:szCs w:val="24"/>
        </w:rPr>
        <w:t>llon v</w:t>
      </w:r>
      <w:r w:rsidR="0014241F">
        <w:rPr>
          <w:rFonts w:ascii="Arial" w:hAnsi="Arial" w:cs="Arial"/>
          <w:i/>
          <w:sz w:val="24"/>
          <w:szCs w:val="24"/>
        </w:rPr>
        <w:t xml:space="preserve"> Montclair Society of the Methodist Church of Southern Africa </w:t>
      </w:r>
      <w:r>
        <w:rPr>
          <w:rFonts w:ascii="Arial" w:hAnsi="Arial" w:cs="Arial"/>
          <w:sz w:val="24"/>
          <w:szCs w:val="24"/>
        </w:rPr>
        <w:t>1973</w:t>
      </w:r>
      <w:r w:rsidR="00F31E6D">
        <w:rPr>
          <w:rFonts w:ascii="Arial" w:hAnsi="Arial" w:cs="Arial"/>
          <w:sz w:val="24"/>
          <w:szCs w:val="24"/>
        </w:rPr>
        <w:t xml:space="preserve"> </w:t>
      </w:r>
      <w:r>
        <w:rPr>
          <w:rFonts w:ascii="Arial" w:hAnsi="Arial" w:cs="Arial"/>
          <w:sz w:val="24"/>
          <w:szCs w:val="24"/>
        </w:rPr>
        <w:t>(</w:t>
      </w:r>
      <w:r w:rsidR="0014241F">
        <w:rPr>
          <w:rFonts w:ascii="Arial" w:hAnsi="Arial" w:cs="Arial"/>
          <w:sz w:val="24"/>
          <w:szCs w:val="24"/>
        </w:rPr>
        <w:t>3) SA 1365 (D):</w:t>
      </w:r>
    </w:p>
    <w:p w:rsidR="0014241F" w:rsidRPr="0014241F" w:rsidRDefault="0014241F" w:rsidP="0014241F">
      <w:pPr>
        <w:pStyle w:val="NoSpacing"/>
        <w:spacing w:line="360" w:lineRule="auto"/>
        <w:rPr>
          <w:rFonts w:ascii="Arial" w:hAnsi="Arial" w:cs="Arial"/>
        </w:rPr>
      </w:pPr>
    </w:p>
    <w:p w:rsidR="0014241F" w:rsidRPr="0014241F" w:rsidRDefault="0014241F" w:rsidP="00D429A6">
      <w:pPr>
        <w:pStyle w:val="NoSpacing"/>
        <w:spacing w:line="360" w:lineRule="auto"/>
        <w:ind w:left="720"/>
        <w:jc w:val="both"/>
        <w:rPr>
          <w:rFonts w:ascii="Arial" w:hAnsi="Arial" w:cs="Arial"/>
        </w:rPr>
      </w:pPr>
      <w:r w:rsidRPr="0014241F">
        <w:rPr>
          <w:rFonts w:ascii="Arial" w:hAnsi="Arial" w:cs="Arial"/>
        </w:rPr>
        <w:t>‘</w:t>
      </w:r>
      <w:r w:rsidR="00D429A6" w:rsidRPr="00D429A6">
        <w:rPr>
          <w:rFonts w:ascii="Arial" w:hAnsi="Arial" w:cs="Arial"/>
        </w:rPr>
        <w:t xml:space="preserve">If Rule 14(2) was intended to be no more nor less than an indication that a common law </w:t>
      </w:r>
      <w:r w:rsidR="00D429A6" w:rsidRPr="00D429A6">
        <w:rPr>
          <w:rFonts w:ascii="Arial" w:hAnsi="Arial" w:cs="Arial"/>
          <w:i/>
        </w:rPr>
        <w:t>universitas</w:t>
      </w:r>
      <w:r w:rsidR="00D429A6" w:rsidRPr="00D429A6">
        <w:rPr>
          <w:rFonts w:ascii="Arial" w:hAnsi="Arial" w:cs="Arial"/>
        </w:rPr>
        <w:t xml:space="preserve"> may sue or be </w:t>
      </w:r>
      <w:r w:rsidR="00D429A6">
        <w:rPr>
          <w:rFonts w:ascii="Arial" w:hAnsi="Arial" w:cs="Arial"/>
        </w:rPr>
        <w:t xml:space="preserve">sued in its name, then the </w:t>
      </w:r>
      <w:r w:rsidR="00D429A6" w:rsidRPr="00D429A6">
        <w:rPr>
          <w:rFonts w:ascii="Arial" w:hAnsi="Arial" w:cs="Arial"/>
        </w:rPr>
        <w:t>Rule would have been entirely superfluous since that would have been in any event a necessary consequence of the common law</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 At common law it would have been possible in circumstances such as the present to have cited as respondents those individuals being the members at the relevant time of the Montclair Society of the Methodist Church of Southern Africa</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w:t>
      </w:r>
      <w:r w:rsidR="00D429A6">
        <w:rPr>
          <w:rFonts w:ascii="Arial" w:hAnsi="Arial" w:cs="Arial"/>
        </w:rPr>
        <w:t xml:space="preserve"> </w:t>
      </w:r>
      <w:r w:rsidR="00D429A6" w:rsidRPr="00D429A6">
        <w:rPr>
          <w:rFonts w:ascii="Arial" w:hAnsi="Arial" w:cs="Arial"/>
        </w:rPr>
        <w:t>. It seems to me that the purpose of the Rule was to render it unnecessary to cite each and every individual forming part of an unincorporated body of persons and was designed to simplify the method of citation by enabling that body of persons to be sued in the name which that body</w:t>
      </w:r>
      <w:r w:rsidR="00D429A6">
        <w:rPr>
          <w:rFonts w:ascii="Arial" w:hAnsi="Arial" w:cs="Arial"/>
        </w:rPr>
        <w:t xml:space="preserve"> </w:t>
      </w:r>
      <w:r w:rsidR="00D429A6" w:rsidRPr="00D429A6">
        <w:rPr>
          <w:rFonts w:ascii="Arial" w:hAnsi="Arial" w:cs="Arial"/>
        </w:rPr>
        <w:t>normally bears and which is descriptive of it. Further in Rule 14 provision is made, in circumstances where it might become necessary, for the names and addresses of each member or person forming part of that associa</w:t>
      </w:r>
      <w:r w:rsidR="00D429A6">
        <w:rPr>
          <w:rFonts w:ascii="Arial" w:hAnsi="Arial" w:cs="Arial"/>
        </w:rPr>
        <w:t>tion to be brought to the fore.</w:t>
      </w:r>
      <w:r>
        <w:rPr>
          <w:rFonts w:ascii="Arial" w:hAnsi="Arial" w:cs="Arial"/>
        </w:rPr>
        <w:t>’</w:t>
      </w:r>
    </w:p>
    <w:p w:rsidR="0014241F" w:rsidRPr="0014241F" w:rsidRDefault="0014241F" w:rsidP="0014241F">
      <w:pPr>
        <w:pStyle w:val="NoSpacing"/>
        <w:spacing w:line="360" w:lineRule="auto"/>
        <w:rPr>
          <w:rFonts w:ascii="Arial" w:hAnsi="Arial" w:cs="Arial"/>
        </w:rPr>
      </w:pPr>
    </w:p>
    <w:p w:rsidR="0014241F" w:rsidRDefault="0014241F"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36202B">
        <w:rPr>
          <w:rFonts w:ascii="Arial" w:hAnsi="Arial" w:cs="Arial"/>
          <w:sz w:val="24"/>
          <w:szCs w:val="24"/>
        </w:rPr>
        <w:t>full bench</w:t>
      </w:r>
      <w:r>
        <w:rPr>
          <w:rFonts w:ascii="Arial" w:hAnsi="Arial" w:cs="Arial"/>
          <w:sz w:val="24"/>
          <w:szCs w:val="24"/>
        </w:rPr>
        <w:t xml:space="preserve"> concluded that rule 14(2) was nothing more than a procedural aid when citing partnerships, firms and associations.</w:t>
      </w:r>
      <w:r>
        <w:rPr>
          <w:rStyle w:val="FootnoteReference"/>
          <w:rFonts w:ascii="Arial" w:hAnsi="Arial" w:cs="Arial"/>
          <w:sz w:val="24"/>
          <w:szCs w:val="24"/>
        </w:rPr>
        <w:footnoteReference w:id="8"/>
      </w:r>
    </w:p>
    <w:p w:rsidR="0014241F" w:rsidRDefault="0014241F" w:rsidP="0014241F">
      <w:pPr>
        <w:pStyle w:val="ListParagraph"/>
        <w:rPr>
          <w:rFonts w:ascii="Arial" w:hAnsi="Arial" w:cs="Arial"/>
          <w:sz w:val="24"/>
          <w:szCs w:val="24"/>
        </w:rPr>
      </w:pPr>
    </w:p>
    <w:p w:rsidR="0014241F" w:rsidRDefault="00D429A6"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Rule 42</w:t>
      </w:r>
      <w:r w:rsidR="0014241F">
        <w:rPr>
          <w:rFonts w:ascii="Arial" w:hAnsi="Arial" w:cs="Arial"/>
          <w:sz w:val="24"/>
          <w:szCs w:val="24"/>
        </w:rPr>
        <w:t xml:space="preserve"> </w:t>
      </w:r>
      <w:r>
        <w:rPr>
          <w:rFonts w:ascii="Arial" w:hAnsi="Arial" w:cs="Arial"/>
          <w:sz w:val="24"/>
          <w:szCs w:val="24"/>
        </w:rPr>
        <w:t xml:space="preserve">thus </w:t>
      </w:r>
      <w:r w:rsidR="0014241F">
        <w:rPr>
          <w:rFonts w:ascii="Arial" w:hAnsi="Arial" w:cs="Arial"/>
          <w:sz w:val="24"/>
          <w:szCs w:val="24"/>
        </w:rPr>
        <w:t>enables an applicant or plaintiff to cite legal entities that do not have any existence separate from their members or owners</w:t>
      </w:r>
      <w:r w:rsidR="0014241F">
        <w:rPr>
          <w:rStyle w:val="FootnoteReference"/>
          <w:rFonts w:ascii="Arial" w:hAnsi="Arial" w:cs="Arial"/>
          <w:sz w:val="24"/>
          <w:szCs w:val="24"/>
        </w:rPr>
        <w:footnoteReference w:id="9"/>
      </w:r>
      <w:r w:rsidR="0036202B">
        <w:rPr>
          <w:rFonts w:ascii="Arial" w:hAnsi="Arial" w:cs="Arial"/>
          <w:sz w:val="24"/>
          <w:szCs w:val="24"/>
        </w:rPr>
        <w:t xml:space="preserve"> in this way.</w:t>
      </w:r>
    </w:p>
    <w:p w:rsidR="0014241F" w:rsidRDefault="0014241F" w:rsidP="0014241F">
      <w:pPr>
        <w:pStyle w:val="ListParagraph"/>
        <w:rPr>
          <w:rFonts w:ascii="Arial" w:hAnsi="Arial" w:cs="Arial"/>
          <w:sz w:val="24"/>
          <w:szCs w:val="24"/>
        </w:rPr>
      </w:pPr>
    </w:p>
    <w:p w:rsidR="0014241F" w:rsidRDefault="00A30950"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As was correctly found in </w:t>
      </w:r>
      <w:r>
        <w:rPr>
          <w:rFonts w:ascii="Arial" w:hAnsi="Arial" w:cs="Arial"/>
          <w:i/>
          <w:sz w:val="24"/>
          <w:szCs w:val="24"/>
        </w:rPr>
        <w:t xml:space="preserve">Ex-TRTC, </w:t>
      </w:r>
      <w:r>
        <w:rPr>
          <w:rFonts w:ascii="Arial" w:hAnsi="Arial" w:cs="Arial"/>
          <w:sz w:val="24"/>
          <w:szCs w:val="24"/>
        </w:rPr>
        <w:t xml:space="preserve">the rule would </w:t>
      </w:r>
      <w:r w:rsidRPr="0036202B">
        <w:rPr>
          <w:rFonts w:ascii="Arial" w:hAnsi="Arial" w:cs="Arial"/>
          <w:sz w:val="24"/>
          <w:szCs w:val="24"/>
          <w:u w:val="single"/>
        </w:rPr>
        <w:t>not</w:t>
      </w:r>
      <w:r>
        <w:rPr>
          <w:rFonts w:ascii="Arial" w:hAnsi="Arial" w:cs="Arial"/>
          <w:sz w:val="24"/>
          <w:szCs w:val="24"/>
        </w:rPr>
        <w:t xml:space="preserve"> apply to an artificial or juristic person constituting a legal entity with perpetual succession and the capacity to acquire rights and incur obligations and own property separate from its members.</w:t>
      </w:r>
      <w:r>
        <w:rPr>
          <w:rStyle w:val="FootnoteReference"/>
          <w:rFonts w:ascii="Arial" w:hAnsi="Arial" w:cs="Arial"/>
          <w:sz w:val="24"/>
          <w:szCs w:val="24"/>
        </w:rPr>
        <w:footnoteReference w:id="10"/>
      </w:r>
      <w:r>
        <w:rPr>
          <w:rFonts w:ascii="Arial" w:hAnsi="Arial" w:cs="Arial"/>
          <w:sz w:val="24"/>
          <w:szCs w:val="24"/>
        </w:rPr>
        <w:t xml:space="preserve"> As is explained in </w:t>
      </w:r>
      <w:r>
        <w:rPr>
          <w:rFonts w:ascii="Arial" w:hAnsi="Arial" w:cs="Arial"/>
          <w:i/>
          <w:sz w:val="24"/>
          <w:szCs w:val="24"/>
        </w:rPr>
        <w:t>Ex-TRTC</w:t>
      </w:r>
      <w:r>
        <w:rPr>
          <w:rFonts w:ascii="Arial" w:hAnsi="Arial" w:cs="Arial"/>
          <w:sz w:val="24"/>
          <w:szCs w:val="24"/>
        </w:rPr>
        <w:t>:</w:t>
      </w:r>
      <w:r>
        <w:rPr>
          <w:rStyle w:val="FootnoteReference"/>
          <w:rFonts w:ascii="Arial" w:hAnsi="Arial" w:cs="Arial"/>
          <w:sz w:val="24"/>
          <w:szCs w:val="24"/>
        </w:rPr>
        <w:footnoteReference w:id="11"/>
      </w:r>
    </w:p>
    <w:p w:rsidR="00A30950" w:rsidRPr="00B838CB" w:rsidRDefault="00A30950" w:rsidP="00B838CB">
      <w:pPr>
        <w:pStyle w:val="NoSpacing"/>
        <w:spacing w:line="360" w:lineRule="auto"/>
        <w:ind w:left="720"/>
        <w:rPr>
          <w:rFonts w:ascii="Arial" w:hAnsi="Arial" w:cs="Arial"/>
        </w:rPr>
      </w:pPr>
    </w:p>
    <w:p w:rsidR="00A30950" w:rsidRPr="00B838CB" w:rsidRDefault="00A30950" w:rsidP="00B838CB">
      <w:pPr>
        <w:pStyle w:val="NoSpacing"/>
        <w:spacing w:line="360" w:lineRule="auto"/>
        <w:ind w:left="720"/>
        <w:rPr>
          <w:rFonts w:ascii="Arial" w:hAnsi="Arial" w:cs="Arial"/>
        </w:rPr>
      </w:pPr>
      <w:r w:rsidRPr="00B838CB">
        <w:rPr>
          <w:rFonts w:ascii="Arial" w:hAnsi="Arial" w:cs="Arial"/>
        </w:rPr>
        <w:t xml:space="preserve">‘The reason for this is simply that a juristic person may in any event sue or be sued in its own name. </w:t>
      </w:r>
      <w:r w:rsidR="00B838CB" w:rsidRPr="00B838CB">
        <w:rPr>
          <w:rFonts w:ascii="Arial" w:hAnsi="Arial" w:cs="Arial"/>
        </w:rPr>
        <w:t>It</w:t>
      </w:r>
      <w:r w:rsidRPr="00B838CB">
        <w:rPr>
          <w:rFonts w:ascii="Arial" w:hAnsi="Arial" w:cs="Arial"/>
        </w:rPr>
        <w:t xml:space="preserve"> does not need the procedural assistance of rule 14.’</w:t>
      </w:r>
    </w:p>
    <w:p w:rsidR="00A30950" w:rsidRPr="00B838CB" w:rsidRDefault="00A30950" w:rsidP="008E52FB">
      <w:pPr>
        <w:pStyle w:val="NoSpacing"/>
        <w:spacing w:line="480" w:lineRule="auto"/>
        <w:rPr>
          <w:rFonts w:ascii="Arial" w:hAnsi="Arial" w:cs="Arial"/>
        </w:rPr>
      </w:pPr>
    </w:p>
    <w:p w:rsidR="00A30950" w:rsidRDefault="00B838C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approach of the full bench in </w:t>
      </w:r>
      <w:r>
        <w:rPr>
          <w:rFonts w:ascii="Arial" w:hAnsi="Arial" w:cs="Arial"/>
          <w:i/>
          <w:sz w:val="24"/>
          <w:szCs w:val="24"/>
        </w:rPr>
        <w:t>Parents’ Committee</w:t>
      </w:r>
      <w:r>
        <w:rPr>
          <w:rFonts w:ascii="Arial" w:hAnsi="Arial" w:cs="Arial"/>
          <w:sz w:val="24"/>
          <w:szCs w:val="24"/>
        </w:rPr>
        <w:t xml:space="preserve"> is to similar effect in approving the approach in </w:t>
      </w:r>
      <w:r>
        <w:rPr>
          <w:rFonts w:ascii="Arial" w:hAnsi="Arial" w:cs="Arial"/>
          <w:i/>
          <w:sz w:val="24"/>
          <w:szCs w:val="24"/>
        </w:rPr>
        <w:t xml:space="preserve">De Meillon </w:t>
      </w:r>
      <w:r>
        <w:rPr>
          <w:rFonts w:ascii="Arial" w:hAnsi="Arial" w:cs="Arial"/>
          <w:sz w:val="24"/>
          <w:szCs w:val="24"/>
        </w:rPr>
        <w:t>at 879B-E.</w:t>
      </w:r>
    </w:p>
    <w:p w:rsidR="00A30950" w:rsidRDefault="00A30950" w:rsidP="00A30950">
      <w:pPr>
        <w:pStyle w:val="ListParagraph"/>
        <w:rPr>
          <w:rFonts w:ascii="Arial" w:hAnsi="Arial" w:cs="Arial"/>
          <w:sz w:val="24"/>
          <w:szCs w:val="24"/>
        </w:rPr>
      </w:pPr>
    </w:p>
    <w:p w:rsidR="00A30950" w:rsidRDefault="00B838C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Once it is accepted – as the parties had expressly agreed in the course of judicial case management</w:t>
      </w:r>
      <w:r w:rsidR="00D429A6">
        <w:rPr>
          <w:rFonts w:ascii="Arial" w:hAnsi="Arial" w:cs="Arial"/>
          <w:sz w:val="24"/>
          <w:szCs w:val="24"/>
        </w:rPr>
        <w:t xml:space="preserve"> -</w:t>
      </w:r>
      <w:r>
        <w:rPr>
          <w:rFonts w:ascii="Arial" w:hAnsi="Arial" w:cs="Arial"/>
          <w:sz w:val="24"/>
          <w:szCs w:val="24"/>
        </w:rPr>
        <w:t xml:space="preserve"> that the </w:t>
      </w:r>
      <w:r w:rsidR="00D429A6">
        <w:rPr>
          <w:rFonts w:ascii="Arial" w:hAnsi="Arial" w:cs="Arial"/>
          <w:sz w:val="24"/>
          <w:szCs w:val="24"/>
        </w:rPr>
        <w:t>association</w:t>
      </w:r>
      <w:r>
        <w:rPr>
          <w:rFonts w:ascii="Arial" w:hAnsi="Arial" w:cs="Arial"/>
          <w:sz w:val="24"/>
          <w:szCs w:val="24"/>
        </w:rPr>
        <w:t xml:space="preserve"> is a </w:t>
      </w:r>
      <w:r w:rsidRPr="00D429A6">
        <w:rPr>
          <w:rFonts w:ascii="Arial" w:hAnsi="Arial" w:cs="Arial"/>
          <w:i/>
          <w:sz w:val="24"/>
          <w:szCs w:val="24"/>
        </w:rPr>
        <w:t>universitas</w:t>
      </w:r>
      <w:r>
        <w:rPr>
          <w:rFonts w:ascii="Arial" w:hAnsi="Arial" w:cs="Arial"/>
          <w:sz w:val="24"/>
          <w:szCs w:val="24"/>
        </w:rPr>
        <w:t xml:space="preserve"> in the form of a voluntary association with legal personality distinct from its members with the power to own property and </w:t>
      </w:r>
      <w:r w:rsidR="00D429A6">
        <w:rPr>
          <w:rFonts w:ascii="Arial" w:hAnsi="Arial" w:cs="Arial"/>
          <w:sz w:val="24"/>
          <w:szCs w:val="24"/>
        </w:rPr>
        <w:t>with</w:t>
      </w:r>
      <w:r>
        <w:rPr>
          <w:rFonts w:ascii="Arial" w:hAnsi="Arial" w:cs="Arial"/>
          <w:sz w:val="24"/>
          <w:szCs w:val="24"/>
        </w:rPr>
        <w:t xml:space="preserve"> perpetual existence, it (as a legal personality) would have the power to sue and be sued.</w:t>
      </w:r>
    </w:p>
    <w:p w:rsidR="00A30950" w:rsidRDefault="00A30950" w:rsidP="00A30950">
      <w:pPr>
        <w:pStyle w:val="ListParagraph"/>
        <w:rPr>
          <w:rFonts w:ascii="Arial" w:hAnsi="Arial" w:cs="Arial"/>
          <w:sz w:val="24"/>
          <w:szCs w:val="24"/>
        </w:rPr>
      </w:pPr>
    </w:p>
    <w:p w:rsidR="00A30950" w:rsidRPr="00B8392C" w:rsidRDefault="00B838C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legal entity would in accordance with its constitution have </w:t>
      </w:r>
      <w:r>
        <w:rPr>
          <w:rFonts w:ascii="Arial" w:hAnsi="Arial" w:cs="Arial"/>
          <w:i/>
          <w:sz w:val="24"/>
          <w:szCs w:val="24"/>
        </w:rPr>
        <w:t>locus standi</w:t>
      </w:r>
      <w:r>
        <w:rPr>
          <w:rFonts w:ascii="Arial" w:hAnsi="Arial" w:cs="Arial"/>
          <w:sz w:val="24"/>
          <w:szCs w:val="24"/>
        </w:rPr>
        <w:t xml:space="preserve"> to sue in its own name. Its council would not</w:t>
      </w:r>
      <w:r w:rsidR="00D429A6">
        <w:rPr>
          <w:rFonts w:ascii="Arial" w:hAnsi="Arial" w:cs="Arial"/>
          <w:sz w:val="24"/>
          <w:szCs w:val="24"/>
        </w:rPr>
        <w:t>,</w:t>
      </w:r>
      <w:r>
        <w:rPr>
          <w:rFonts w:ascii="Arial" w:hAnsi="Arial" w:cs="Arial"/>
          <w:sz w:val="24"/>
          <w:szCs w:val="24"/>
        </w:rPr>
        <w:t xml:space="preserve"> as its council, have standing as an ‘unincorporated association’ to sue on </w:t>
      </w:r>
      <w:r w:rsidRPr="00E97453">
        <w:rPr>
          <w:rFonts w:ascii="Arial" w:hAnsi="Arial" w:cs="Arial"/>
          <w:sz w:val="24"/>
          <w:szCs w:val="24"/>
          <w:u w:val="single"/>
        </w:rPr>
        <w:t>its</w:t>
      </w:r>
      <w:r>
        <w:rPr>
          <w:rFonts w:ascii="Arial" w:hAnsi="Arial" w:cs="Arial"/>
          <w:sz w:val="24"/>
          <w:szCs w:val="24"/>
        </w:rPr>
        <w:t xml:space="preserve"> behalf under rule 42 where that right</w:t>
      </w:r>
      <w:r w:rsidR="00D429A6">
        <w:rPr>
          <w:rFonts w:ascii="Arial" w:hAnsi="Arial" w:cs="Arial"/>
          <w:sz w:val="24"/>
          <w:szCs w:val="24"/>
        </w:rPr>
        <w:t xml:space="preserve"> (to sue)</w:t>
      </w:r>
      <w:r>
        <w:rPr>
          <w:rFonts w:ascii="Arial" w:hAnsi="Arial" w:cs="Arial"/>
          <w:sz w:val="24"/>
          <w:szCs w:val="24"/>
        </w:rPr>
        <w:t xml:space="preserve"> would otherwise not exist or render an unauthorised act </w:t>
      </w:r>
      <w:r w:rsidR="00B8392C">
        <w:rPr>
          <w:rFonts w:ascii="Arial" w:hAnsi="Arial" w:cs="Arial"/>
          <w:i/>
          <w:sz w:val="24"/>
          <w:szCs w:val="24"/>
        </w:rPr>
        <w:t>intra</w:t>
      </w:r>
      <w:r>
        <w:rPr>
          <w:rFonts w:ascii="Arial" w:hAnsi="Arial" w:cs="Arial"/>
          <w:i/>
          <w:sz w:val="24"/>
          <w:szCs w:val="24"/>
        </w:rPr>
        <w:t xml:space="preserve"> vires.</w:t>
      </w:r>
    </w:p>
    <w:p w:rsidR="00B8392C" w:rsidRDefault="00B8392C" w:rsidP="00B8392C">
      <w:pPr>
        <w:pStyle w:val="ListParagraph"/>
        <w:spacing w:line="480" w:lineRule="auto"/>
        <w:jc w:val="both"/>
        <w:rPr>
          <w:rFonts w:ascii="Arial" w:hAnsi="Arial" w:cs="Arial"/>
          <w:sz w:val="24"/>
          <w:szCs w:val="24"/>
        </w:rPr>
      </w:pPr>
    </w:p>
    <w:p w:rsidR="00B8392C" w:rsidRPr="00B8392C" w:rsidRDefault="00B8392C" w:rsidP="00B8392C">
      <w:pPr>
        <w:pStyle w:val="ListParagraph"/>
        <w:numPr>
          <w:ilvl w:val="0"/>
          <w:numId w:val="14"/>
        </w:numPr>
        <w:spacing w:line="480" w:lineRule="auto"/>
        <w:ind w:left="0" w:firstLine="0"/>
        <w:jc w:val="both"/>
        <w:rPr>
          <w:rFonts w:ascii="Arial" w:hAnsi="Arial" w:cs="Arial"/>
          <w:sz w:val="24"/>
          <w:szCs w:val="24"/>
        </w:rPr>
      </w:pPr>
      <w:r w:rsidRPr="00B8392C">
        <w:rPr>
          <w:rFonts w:ascii="Arial" w:hAnsi="Arial" w:cs="Arial"/>
          <w:sz w:val="24"/>
          <w:szCs w:val="24"/>
        </w:rPr>
        <w:t>Once an artificial legal person sues, then those proceedings are to be brought properly by that entity</w:t>
      </w:r>
      <w:r w:rsidR="0036202B">
        <w:rPr>
          <w:rStyle w:val="FootnoteReference"/>
          <w:rFonts w:ascii="Arial" w:hAnsi="Arial" w:cs="Arial"/>
          <w:sz w:val="24"/>
          <w:szCs w:val="24"/>
        </w:rPr>
        <w:footnoteReference w:id="12"/>
      </w:r>
      <w:r w:rsidRPr="00B8392C">
        <w:rPr>
          <w:rFonts w:ascii="Arial" w:hAnsi="Arial" w:cs="Arial"/>
          <w:sz w:val="24"/>
          <w:szCs w:val="24"/>
        </w:rPr>
        <w:t xml:space="preserve"> - and not in the name of one of its constituent organs, such as the council in the case of the association. The analogy </w:t>
      </w:r>
      <w:r w:rsidR="0036202B">
        <w:rPr>
          <w:rFonts w:ascii="Arial" w:hAnsi="Arial" w:cs="Arial"/>
          <w:sz w:val="24"/>
          <w:szCs w:val="24"/>
        </w:rPr>
        <w:t>provided by</w:t>
      </w:r>
      <w:r w:rsidRPr="00B8392C">
        <w:rPr>
          <w:rFonts w:ascii="Arial" w:hAnsi="Arial" w:cs="Arial"/>
          <w:sz w:val="24"/>
          <w:szCs w:val="24"/>
        </w:rPr>
        <w:t xml:space="preserve"> the High Court </w:t>
      </w:r>
      <w:r w:rsidR="0036202B">
        <w:rPr>
          <w:rFonts w:ascii="Arial" w:hAnsi="Arial" w:cs="Arial"/>
          <w:sz w:val="24"/>
          <w:szCs w:val="24"/>
        </w:rPr>
        <w:t>in referring to</w:t>
      </w:r>
      <w:r w:rsidRPr="00B8392C">
        <w:rPr>
          <w:rFonts w:ascii="Arial" w:hAnsi="Arial" w:cs="Arial"/>
          <w:sz w:val="24"/>
          <w:szCs w:val="24"/>
        </w:rPr>
        <w:t xml:space="preserve"> a board of directors of a company attempting to sue as a board when the company is the entity before court, is apposite</w:t>
      </w:r>
      <w:r w:rsidR="00E97453">
        <w:rPr>
          <w:rFonts w:ascii="Arial" w:hAnsi="Arial" w:cs="Arial"/>
          <w:sz w:val="24"/>
          <w:szCs w:val="24"/>
        </w:rPr>
        <w:t xml:space="preserve"> in demonstrating the misconceived approach in contending that the association’s council would have legal standing to sue on behalf of the association</w:t>
      </w:r>
      <w:r w:rsidRPr="00B8392C">
        <w:rPr>
          <w:rFonts w:ascii="Arial" w:hAnsi="Arial" w:cs="Arial"/>
          <w:sz w:val="24"/>
          <w:szCs w:val="24"/>
        </w:rPr>
        <w:t xml:space="preserve">. </w:t>
      </w:r>
    </w:p>
    <w:p w:rsidR="00A30950" w:rsidRDefault="00A30950" w:rsidP="00B8392C">
      <w:pPr>
        <w:pStyle w:val="ListParagraph"/>
        <w:spacing w:line="480" w:lineRule="auto"/>
        <w:jc w:val="both"/>
        <w:rPr>
          <w:rFonts w:ascii="Arial" w:hAnsi="Arial" w:cs="Arial"/>
          <w:sz w:val="24"/>
          <w:szCs w:val="24"/>
        </w:rPr>
      </w:pPr>
    </w:p>
    <w:p w:rsidR="00A30950" w:rsidRDefault="00B838C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reliance upon rule 42 as a basis for standing for the first applicant is thus misconceived and must fail.</w:t>
      </w:r>
    </w:p>
    <w:p w:rsidR="00B8392C" w:rsidRPr="00B8392C" w:rsidRDefault="00B8392C" w:rsidP="00B8392C">
      <w:pPr>
        <w:rPr>
          <w:rFonts w:ascii="Arial" w:hAnsi="Arial" w:cs="Arial"/>
          <w:sz w:val="24"/>
          <w:szCs w:val="24"/>
        </w:rPr>
      </w:pPr>
    </w:p>
    <w:p w:rsidR="00A30950" w:rsidRDefault="00381D9E"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conclusion by the High Court that the </w:t>
      </w:r>
      <w:r w:rsidR="00B8392C">
        <w:rPr>
          <w:rFonts w:ascii="Arial" w:hAnsi="Arial" w:cs="Arial"/>
          <w:sz w:val="24"/>
          <w:szCs w:val="24"/>
        </w:rPr>
        <w:t>first</w:t>
      </w:r>
      <w:r>
        <w:rPr>
          <w:rFonts w:ascii="Arial" w:hAnsi="Arial" w:cs="Arial"/>
          <w:sz w:val="24"/>
          <w:szCs w:val="24"/>
        </w:rPr>
        <w:t xml:space="preserve"> appellant as council </w:t>
      </w:r>
      <w:r w:rsidR="0036202B">
        <w:rPr>
          <w:rFonts w:ascii="Arial" w:hAnsi="Arial" w:cs="Arial"/>
          <w:sz w:val="24"/>
          <w:szCs w:val="24"/>
        </w:rPr>
        <w:t xml:space="preserve">of the association </w:t>
      </w:r>
      <w:r>
        <w:rPr>
          <w:rFonts w:ascii="Arial" w:hAnsi="Arial" w:cs="Arial"/>
          <w:sz w:val="24"/>
          <w:szCs w:val="24"/>
        </w:rPr>
        <w:t xml:space="preserve">does not have </w:t>
      </w:r>
      <w:r w:rsidR="0036202B">
        <w:rPr>
          <w:rFonts w:ascii="Arial" w:hAnsi="Arial" w:cs="Arial"/>
          <w:sz w:val="24"/>
          <w:szCs w:val="24"/>
        </w:rPr>
        <w:t xml:space="preserve">legal </w:t>
      </w:r>
      <w:r>
        <w:rPr>
          <w:rFonts w:ascii="Arial" w:hAnsi="Arial" w:cs="Arial"/>
          <w:sz w:val="24"/>
          <w:szCs w:val="24"/>
        </w:rPr>
        <w:t>standing or the right to sue in its own name cannot be faulted. The proceedings should have been brought in the name of the association.</w:t>
      </w:r>
    </w:p>
    <w:p w:rsidR="00A30950" w:rsidRDefault="00A30950" w:rsidP="00F374D6">
      <w:pPr>
        <w:rPr>
          <w:rFonts w:ascii="Arial" w:hAnsi="Arial" w:cs="Arial"/>
          <w:sz w:val="24"/>
          <w:szCs w:val="24"/>
        </w:rPr>
      </w:pPr>
    </w:p>
    <w:p w:rsidR="00F374D6" w:rsidRPr="00F374D6" w:rsidRDefault="00F374D6" w:rsidP="00F374D6">
      <w:pPr>
        <w:rPr>
          <w:rFonts w:ascii="Arial" w:hAnsi="Arial" w:cs="Arial"/>
          <w:sz w:val="24"/>
          <w:szCs w:val="24"/>
          <w:u w:val="single"/>
        </w:rPr>
      </w:pPr>
      <w:r w:rsidRPr="00F374D6">
        <w:rPr>
          <w:rFonts w:ascii="Arial" w:hAnsi="Arial" w:cs="Arial"/>
          <w:sz w:val="24"/>
          <w:szCs w:val="24"/>
          <w:u w:val="single"/>
        </w:rPr>
        <w:t>The second appellant</w:t>
      </w:r>
    </w:p>
    <w:p w:rsidR="00A30950" w:rsidRDefault="00F374D6"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second appellant’s claim for standing </w:t>
      </w:r>
      <w:r w:rsidR="00B8392C">
        <w:rPr>
          <w:rFonts w:ascii="Arial" w:hAnsi="Arial" w:cs="Arial"/>
          <w:sz w:val="24"/>
          <w:szCs w:val="24"/>
        </w:rPr>
        <w:t>is asserted</w:t>
      </w:r>
      <w:r>
        <w:rPr>
          <w:rFonts w:ascii="Arial" w:hAnsi="Arial" w:cs="Arial"/>
          <w:sz w:val="24"/>
          <w:szCs w:val="24"/>
        </w:rPr>
        <w:t xml:space="preserve"> on a twofold basis. Firstly in ‘his official capacity of headman of the Itireleng Community’ and in his </w:t>
      </w:r>
      <w:r>
        <w:rPr>
          <w:rFonts w:ascii="Arial" w:hAnsi="Arial" w:cs="Arial"/>
          <w:sz w:val="24"/>
          <w:szCs w:val="24"/>
        </w:rPr>
        <w:lastRenderedPageBreak/>
        <w:t>capacity as a member and chairperson of council in terms of the community’s constitution.</w:t>
      </w:r>
    </w:p>
    <w:p w:rsidR="00A30950" w:rsidRDefault="00A30950" w:rsidP="00A30950">
      <w:pPr>
        <w:pStyle w:val="ListParagraph"/>
        <w:rPr>
          <w:rFonts w:ascii="Arial" w:hAnsi="Arial" w:cs="Arial"/>
          <w:sz w:val="24"/>
          <w:szCs w:val="24"/>
        </w:rPr>
      </w:pPr>
    </w:p>
    <w:p w:rsidR="00A30950" w:rsidRDefault="00F374D6"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first basis as head</w:t>
      </w:r>
      <w:r w:rsidR="00B8392C">
        <w:rPr>
          <w:rFonts w:ascii="Arial" w:hAnsi="Arial" w:cs="Arial"/>
          <w:sz w:val="24"/>
          <w:szCs w:val="24"/>
        </w:rPr>
        <w:t>man</w:t>
      </w:r>
      <w:r>
        <w:rPr>
          <w:rFonts w:ascii="Arial" w:hAnsi="Arial" w:cs="Arial"/>
          <w:sz w:val="24"/>
          <w:szCs w:val="24"/>
        </w:rPr>
        <w:t xml:space="preserve"> is explained with reference to his appointment by the hereditary chief to the position of senior traditional councillor under the Act. By virtue of that appointment, the second appellant claims to exercise </w:t>
      </w:r>
      <w:r w:rsidR="00B8392C">
        <w:rPr>
          <w:rFonts w:ascii="Arial" w:hAnsi="Arial" w:cs="Arial"/>
          <w:sz w:val="24"/>
          <w:szCs w:val="24"/>
        </w:rPr>
        <w:t xml:space="preserve">the </w:t>
      </w:r>
      <w:r>
        <w:rPr>
          <w:rFonts w:ascii="Arial" w:hAnsi="Arial" w:cs="Arial"/>
          <w:sz w:val="24"/>
          <w:szCs w:val="24"/>
        </w:rPr>
        <w:t>powers of headman over the community. Despite a contradictory statement elsewhere in his affidavit to the effect that the council (which includes position of ‘headman’) was elected with reference to</w:t>
      </w:r>
      <w:r w:rsidR="00B8392C">
        <w:rPr>
          <w:rFonts w:ascii="Arial" w:hAnsi="Arial" w:cs="Arial"/>
          <w:sz w:val="24"/>
          <w:szCs w:val="24"/>
        </w:rPr>
        <w:t xml:space="preserve"> the names on</w:t>
      </w:r>
      <w:r>
        <w:rPr>
          <w:rFonts w:ascii="Arial" w:hAnsi="Arial" w:cs="Arial"/>
          <w:sz w:val="24"/>
          <w:szCs w:val="24"/>
        </w:rPr>
        <w:t xml:space="preserve"> annexure ABM1</w:t>
      </w:r>
      <w:r w:rsidR="0036202B">
        <w:rPr>
          <w:rFonts w:ascii="Arial" w:hAnsi="Arial" w:cs="Arial"/>
          <w:sz w:val="24"/>
          <w:szCs w:val="24"/>
        </w:rPr>
        <w:t>,</w:t>
      </w:r>
      <w:r>
        <w:rPr>
          <w:rFonts w:ascii="Arial" w:hAnsi="Arial" w:cs="Arial"/>
          <w:sz w:val="24"/>
          <w:szCs w:val="24"/>
        </w:rPr>
        <w:t xml:space="preserve"> </w:t>
      </w:r>
      <w:r w:rsidR="00B8392C">
        <w:rPr>
          <w:rFonts w:ascii="Arial" w:hAnsi="Arial" w:cs="Arial"/>
          <w:sz w:val="24"/>
          <w:szCs w:val="24"/>
        </w:rPr>
        <w:t>which includes</w:t>
      </w:r>
      <w:r>
        <w:rPr>
          <w:rFonts w:ascii="Arial" w:hAnsi="Arial" w:cs="Arial"/>
          <w:sz w:val="24"/>
          <w:szCs w:val="24"/>
        </w:rPr>
        <w:t xml:space="preserve"> his name on that list, </w:t>
      </w:r>
      <w:r w:rsidR="00B8392C">
        <w:rPr>
          <w:rFonts w:ascii="Arial" w:hAnsi="Arial" w:cs="Arial"/>
          <w:sz w:val="24"/>
          <w:szCs w:val="24"/>
        </w:rPr>
        <w:t>t</w:t>
      </w:r>
      <w:r>
        <w:rPr>
          <w:rFonts w:ascii="Arial" w:hAnsi="Arial" w:cs="Arial"/>
          <w:sz w:val="24"/>
          <w:szCs w:val="24"/>
        </w:rPr>
        <w:t>he</w:t>
      </w:r>
      <w:r w:rsidR="00B8392C">
        <w:rPr>
          <w:rFonts w:ascii="Arial" w:hAnsi="Arial" w:cs="Arial"/>
          <w:sz w:val="24"/>
          <w:szCs w:val="24"/>
        </w:rPr>
        <w:t xml:space="preserve"> second appellant</w:t>
      </w:r>
      <w:r>
        <w:rPr>
          <w:rFonts w:ascii="Arial" w:hAnsi="Arial" w:cs="Arial"/>
          <w:sz w:val="24"/>
          <w:szCs w:val="24"/>
        </w:rPr>
        <w:t xml:space="preserve"> </w:t>
      </w:r>
      <w:r w:rsidR="0036202B">
        <w:rPr>
          <w:rFonts w:ascii="Arial" w:hAnsi="Arial" w:cs="Arial"/>
          <w:sz w:val="24"/>
          <w:szCs w:val="24"/>
        </w:rPr>
        <w:t xml:space="preserve">repeatedly </w:t>
      </w:r>
      <w:r>
        <w:rPr>
          <w:rFonts w:ascii="Arial" w:hAnsi="Arial" w:cs="Arial"/>
          <w:sz w:val="24"/>
          <w:szCs w:val="24"/>
        </w:rPr>
        <w:t>states elsewhere</w:t>
      </w:r>
      <w:r w:rsidR="0036202B">
        <w:rPr>
          <w:rFonts w:ascii="Arial" w:hAnsi="Arial" w:cs="Arial"/>
          <w:sz w:val="24"/>
          <w:szCs w:val="24"/>
        </w:rPr>
        <w:t xml:space="preserve"> and in reply</w:t>
      </w:r>
      <w:r>
        <w:rPr>
          <w:rFonts w:ascii="Arial" w:hAnsi="Arial" w:cs="Arial"/>
          <w:sz w:val="24"/>
          <w:szCs w:val="24"/>
        </w:rPr>
        <w:t xml:space="preserve"> that the position of headman under the </w:t>
      </w:r>
      <w:r w:rsidR="00B8392C">
        <w:rPr>
          <w:rFonts w:ascii="Arial" w:hAnsi="Arial" w:cs="Arial"/>
          <w:sz w:val="24"/>
          <w:szCs w:val="24"/>
        </w:rPr>
        <w:t xml:space="preserve">association’s </w:t>
      </w:r>
      <w:r>
        <w:rPr>
          <w:rFonts w:ascii="Arial" w:hAnsi="Arial" w:cs="Arial"/>
          <w:sz w:val="24"/>
          <w:szCs w:val="24"/>
        </w:rPr>
        <w:t xml:space="preserve">constitution is not elected and that he </w:t>
      </w:r>
      <w:r w:rsidR="0036202B">
        <w:rPr>
          <w:rFonts w:ascii="Arial" w:hAnsi="Arial" w:cs="Arial"/>
          <w:sz w:val="24"/>
          <w:szCs w:val="24"/>
        </w:rPr>
        <w:t>occupies</w:t>
      </w:r>
      <w:r>
        <w:rPr>
          <w:rFonts w:ascii="Arial" w:hAnsi="Arial" w:cs="Arial"/>
          <w:sz w:val="24"/>
          <w:szCs w:val="24"/>
        </w:rPr>
        <w:t xml:space="preserve"> it by virtue of his position as appointed traditional councillor under the Act.</w:t>
      </w:r>
    </w:p>
    <w:p w:rsidR="00F374D6" w:rsidRDefault="00F374D6" w:rsidP="00F374D6">
      <w:pPr>
        <w:pStyle w:val="ListParagraph"/>
        <w:rPr>
          <w:rFonts w:ascii="Arial" w:hAnsi="Arial" w:cs="Arial"/>
          <w:sz w:val="24"/>
          <w:szCs w:val="24"/>
        </w:rPr>
      </w:pPr>
    </w:p>
    <w:p w:rsidR="00B8392C" w:rsidRDefault="00F374D6" w:rsidP="00EF5A6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the course of oral argument, Mr Khama was unable to point to any provision in the Act which vests the second applicant with the power to institute the proceedings on behalf of the traditional authority in question or in his capacity as a senior traditional councillor. The powers of the traditional </w:t>
      </w:r>
      <w:r w:rsidR="00960FE1">
        <w:rPr>
          <w:rFonts w:ascii="Arial" w:hAnsi="Arial" w:cs="Arial"/>
          <w:sz w:val="24"/>
          <w:szCs w:val="24"/>
        </w:rPr>
        <w:t xml:space="preserve">authority, and senior traditional councillors are confined to those set out in the Act. The </w:t>
      </w:r>
      <w:r w:rsidR="00B8392C">
        <w:rPr>
          <w:rFonts w:ascii="Arial" w:hAnsi="Arial" w:cs="Arial"/>
          <w:sz w:val="24"/>
          <w:szCs w:val="24"/>
        </w:rPr>
        <w:t>association</w:t>
      </w:r>
      <w:r w:rsidR="00960FE1">
        <w:rPr>
          <w:rFonts w:ascii="Arial" w:hAnsi="Arial" w:cs="Arial"/>
          <w:sz w:val="24"/>
          <w:szCs w:val="24"/>
        </w:rPr>
        <w:t xml:space="preserve"> is a dist</w:t>
      </w:r>
      <w:r w:rsidR="00B8392C">
        <w:rPr>
          <w:rFonts w:ascii="Arial" w:hAnsi="Arial" w:cs="Arial"/>
          <w:sz w:val="24"/>
          <w:szCs w:val="24"/>
        </w:rPr>
        <w:t>in</w:t>
      </w:r>
      <w:r w:rsidR="00960FE1">
        <w:rPr>
          <w:rFonts w:ascii="Arial" w:hAnsi="Arial" w:cs="Arial"/>
          <w:sz w:val="24"/>
          <w:szCs w:val="24"/>
        </w:rPr>
        <w:t xml:space="preserve">ct legal personality. The Act does not afford the second appellant any power over the association </w:t>
      </w:r>
      <w:r w:rsidR="00B8392C">
        <w:rPr>
          <w:rFonts w:ascii="Arial" w:hAnsi="Arial" w:cs="Arial"/>
          <w:sz w:val="24"/>
          <w:szCs w:val="24"/>
        </w:rPr>
        <w:t>established</w:t>
      </w:r>
      <w:r w:rsidR="00960FE1">
        <w:rPr>
          <w:rFonts w:ascii="Arial" w:hAnsi="Arial" w:cs="Arial"/>
          <w:sz w:val="24"/>
          <w:szCs w:val="24"/>
        </w:rPr>
        <w:t xml:space="preserve"> under </w:t>
      </w:r>
      <w:r w:rsidR="00B8392C">
        <w:rPr>
          <w:rFonts w:ascii="Arial" w:hAnsi="Arial" w:cs="Arial"/>
          <w:sz w:val="24"/>
          <w:szCs w:val="24"/>
        </w:rPr>
        <w:t>its</w:t>
      </w:r>
      <w:r w:rsidR="00960FE1">
        <w:rPr>
          <w:rFonts w:ascii="Arial" w:hAnsi="Arial" w:cs="Arial"/>
          <w:sz w:val="24"/>
          <w:szCs w:val="24"/>
        </w:rPr>
        <w:t xml:space="preserve"> constitution. </w:t>
      </w:r>
    </w:p>
    <w:p w:rsidR="00B8392C" w:rsidRDefault="00B8392C" w:rsidP="00B8392C">
      <w:pPr>
        <w:pStyle w:val="ListParagraph"/>
        <w:rPr>
          <w:rFonts w:ascii="Arial" w:hAnsi="Arial" w:cs="Arial"/>
          <w:sz w:val="24"/>
          <w:szCs w:val="24"/>
        </w:rPr>
      </w:pPr>
    </w:p>
    <w:p w:rsidR="008F1A3A" w:rsidRDefault="00960FE1" w:rsidP="00EF5A6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fact that he may be regarded as a </w:t>
      </w:r>
      <w:r w:rsidR="00B8392C">
        <w:rPr>
          <w:rFonts w:ascii="Arial" w:hAnsi="Arial" w:cs="Arial"/>
          <w:sz w:val="24"/>
          <w:szCs w:val="24"/>
        </w:rPr>
        <w:t>‘</w:t>
      </w:r>
      <w:r>
        <w:rPr>
          <w:rFonts w:ascii="Arial" w:hAnsi="Arial" w:cs="Arial"/>
          <w:sz w:val="24"/>
          <w:szCs w:val="24"/>
        </w:rPr>
        <w:t>headman</w:t>
      </w:r>
      <w:r w:rsidR="00B8392C">
        <w:rPr>
          <w:rFonts w:ascii="Arial" w:hAnsi="Arial" w:cs="Arial"/>
          <w:sz w:val="24"/>
          <w:szCs w:val="24"/>
        </w:rPr>
        <w:t>’</w:t>
      </w:r>
      <w:r>
        <w:rPr>
          <w:rFonts w:ascii="Arial" w:hAnsi="Arial" w:cs="Arial"/>
          <w:sz w:val="24"/>
          <w:szCs w:val="24"/>
        </w:rPr>
        <w:t xml:space="preserve"> for the purpose of the traditional authority by virtue of his position as a senior traditional councillor under the Act, does not afford the second appellant </w:t>
      </w:r>
      <w:r w:rsidR="00B8392C">
        <w:rPr>
          <w:rFonts w:ascii="Arial" w:hAnsi="Arial" w:cs="Arial"/>
          <w:sz w:val="24"/>
          <w:szCs w:val="24"/>
        </w:rPr>
        <w:t xml:space="preserve">any </w:t>
      </w:r>
      <w:r>
        <w:rPr>
          <w:rFonts w:ascii="Arial" w:hAnsi="Arial" w:cs="Arial"/>
          <w:sz w:val="24"/>
          <w:szCs w:val="24"/>
        </w:rPr>
        <w:t>powers under the constitution</w:t>
      </w:r>
      <w:r w:rsidR="00B8392C">
        <w:rPr>
          <w:rFonts w:ascii="Arial" w:hAnsi="Arial" w:cs="Arial"/>
          <w:sz w:val="24"/>
          <w:szCs w:val="24"/>
        </w:rPr>
        <w:t xml:space="preserve">. The fact that the constitution uses the term </w:t>
      </w:r>
      <w:r w:rsidR="0036202B">
        <w:rPr>
          <w:rFonts w:ascii="Arial" w:hAnsi="Arial" w:cs="Arial"/>
          <w:sz w:val="24"/>
          <w:szCs w:val="24"/>
        </w:rPr>
        <w:t>‘</w:t>
      </w:r>
      <w:r w:rsidR="00B8392C">
        <w:rPr>
          <w:rFonts w:ascii="Arial" w:hAnsi="Arial" w:cs="Arial"/>
          <w:sz w:val="24"/>
          <w:szCs w:val="24"/>
        </w:rPr>
        <w:t>headman</w:t>
      </w:r>
      <w:r w:rsidR="0036202B">
        <w:rPr>
          <w:rFonts w:ascii="Arial" w:hAnsi="Arial" w:cs="Arial"/>
          <w:sz w:val="24"/>
          <w:szCs w:val="24"/>
        </w:rPr>
        <w:t>’</w:t>
      </w:r>
      <w:r w:rsidR="00B8392C">
        <w:rPr>
          <w:rFonts w:ascii="Arial" w:hAnsi="Arial" w:cs="Arial"/>
          <w:sz w:val="24"/>
          <w:szCs w:val="24"/>
        </w:rPr>
        <w:t xml:space="preserve"> </w:t>
      </w:r>
      <w:r w:rsidR="0036202B">
        <w:rPr>
          <w:rFonts w:ascii="Arial" w:hAnsi="Arial" w:cs="Arial"/>
          <w:sz w:val="24"/>
          <w:szCs w:val="24"/>
        </w:rPr>
        <w:t>for</w:t>
      </w:r>
      <w:r w:rsidR="00B8392C">
        <w:rPr>
          <w:rFonts w:ascii="Arial" w:hAnsi="Arial" w:cs="Arial"/>
          <w:sz w:val="24"/>
          <w:szCs w:val="24"/>
        </w:rPr>
        <w:t xml:space="preserve"> the chairperson of council does not assist the second appellant</w:t>
      </w:r>
      <w:r>
        <w:rPr>
          <w:rFonts w:ascii="Arial" w:hAnsi="Arial" w:cs="Arial"/>
          <w:sz w:val="24"/>
          <w:szCs w:val="24"/>
        </w:rPr>
        <w:t>.</w:t>
      </w:r>
      <w:r w:rsidR="008E52FB">
        <w:rPr>
          <w:rFonts w:ascii="Arial" w:hAnsi="Arial" w:cs="Arial"/>
          <w:sz w:val="24"/>
          <w:szCs w:val="24"/>
        </w:rPr>
        <w:t xml:space="preserve"> His standing would need to arise from the </w:t>
      </w:r>
      <w:r w:rsidR="008E52FB">
        <w:rPr>
          <w:rFonts w:ascii="Arial" w:hAnsi="Arial" w:cs="Arial"/>
          <w:sz w:val="24"/>
          <w:szCs w:val="24"/>
        </w:rPr>
        <w:lastRenderedPageBreak/>
        <w:t>constitution.</w:t>
      </w:r>
      <w:r>
        <w:rPr>
          <w:rFonts w:ascii="Arial" w:hAnsi="Arial" w:cs="Arial"/>
          <w:sz w:val="24"/>
          <w:szCs w:val="24"/>
        </w:rPr>
        <w:t xml:space="preserve"> It expressly states that council members, including the</w:t>
      </w:r>
      <w:r w:rsidR="00B8392C">
        <w:rPr>
          <w:rFonts w:ascii="Arial" w:hAnsi="Arial" w:cs="Arial"/>
          <w:sz w:val="24"/>
          <w:szCs w:val="24"/>
        </w:rPr>
        <w:t xml:space="preserve"> designated</w:t>
      </w:r>
      <w:r>
        <w:rPr>
          <w:rFonts w:ascii="Arial" w:hAnsi="Arial" w:cs="Arial"/>
          <w:sz w:val="24"/>
          <w:szCs w:val="24"/>
        </w:rPr>
        <w:t xml:space="preserve"> position of headman</w:t>
      </w:r>
      <w:r w:rsidR="00EF5A61">
        <w:rPr>
          <w:rFonts w:ascii="Arial" w:hAnsi="Arial" w:cs="Arial"/>
          <w:sz w:val="24"/>
          <w:szCs w:val="24"/>
        </w:rPr>
        <w:t xml:space="preserve"> under the constitution are elected. Council elections are also</w:t>
      </w:r>
      <w:r w:rsidR="0036202B">
        <w:rPr>
          <w:rFonts w:ascii="Arial" w:hAnsi="Arial" w:cs="Arial"/>
          <w:sz w:val="24"/>
          <w:szCs w:val="24"/>
        </w:rPr>
        <w:t xml:space="preserve"> separately</w:t>
      </w:r>
      <w:r w:rsidR="00EF5A61">
        <w:rPr>
          <w:rFonts w:ascii="Arial" w:hAnsi="Arial" w:cs="Arial"/>
          <w:sz w:val="24"/>
          <w:szCs w:val="24"/>
        </w:rPr>
        <w:t xml:space="preserve"> expressly provided for and </w:t>
      </w:r>
      <w:r w:rsidR="009B7C45">
        <w:rPr>
          <w:rFonts w:ascii="Arial" w:hAnsi="Arial" w:cs="Arial"/>
          <w:sz w:val="24"/>
          <w:szCs w:val="24"/>
        </w:rPr>
        <w:t xml:space="preserve">there is a further </w:t>
      </w:r>
      <w:r w:rsidR="00EF5A61">
        <w:rPr>
          <w:rFonts w:ascii="Arial" w:hAnsi="Arial" w:cs="Arial"/>
          <w:sz w:val="24"/>
          <w:szCs w:val="24"/>
        </w:rPr>
        <w:t>reference</w:t>
      </w:r>
      <w:r w:rsidR="009B7C45">
        <w:rPr>
          <w:rFonts w:ascii="Arial" w:hAnsi="Arial" w:cs="Arial"/>
          <w:sz w:val="24"/>
          <w:szCs w:val="24"/>
        </w:rPr>
        <w:t xml:space="preserve"> in the clause dealing with elections</w:t>
      </w:r>
      <w:r w:rsidR="00EF5A61">
        <w:rPr>
          <w:rFonts w:ascii="Arial" w:hAnsi="Arial" w:cs="Arial"/>
          <w:sz w:val="24"/>
          <w:szCs w:val="24"/>
        </w:rPr>
        <w:t xml:space="preserve"> to the</w:t>
      </w:r>
      <w:r w:rsidR="008F1A3A">
        <w:rPr>
          <w:rFonts w:ascii="Arial" w:hAnsi="Arial" w:cs="Arial"/>
          <w:sz w:val="24"/>
          <w:szCs w:val="24"/>
        </w:rPr>
        <w:t xml:space="preserve"> association’s</w:t>
      </w:r>
      <w:r w:rsidR="00EF5A61">
        <w:rPr>
          <w:rFonts w:ascii="Arial" w:hAnsi="Arial" w:cs="Arial"/>
          <w:sz w:val="24"/>
          <w:szCs w:val="24"/>
        </w:rPr>
        <w:t xml:space="preserve"> headman under the constitution being elected. </w:t>
      </w:r>
    </w:p>
    <w:p w:rsidR="008F1A3A" w:rsidRDefault="008F1A3A" w:rsidP="008F1A3A">
      <w:pPr>
        <w:pStyle w:val="ListParagraph"/>
        <w:rPr>
          <w:rFonts w:ascii="Arial" w:hAnsi="Arial" w:cs="Arial"/>
          <w:sz w:val="24"/>
          <w:szCs w:val="24"/>
        </w:rPr>
      </w:pPr>
    </w:p>
    <w:p w:rsidR="00EF5A61" w:rsidRPr="00EF5A61" w:rsidRDefault="00EF5A61" w:rsidP="00EF5A6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second appellant does not rely on an election under the constitution to occupy his position as headman</w:t>
      </w:r>
      <w:r w:rsidR="008E52FB">
        <w:rPr>
          <w:rFonts w:ascii="Arial" w:hAnsi="Arial" w:cs="Arial"/>
          <w:sz w:val="24"/>
          <w:szCs w:val="24"/>
        </w:rPr>
        <w:t>. I</w:t>
      </w:r>
      <w:r>
        <w:rPr>
          <w:rFonts w:ascii="Arial" w:hAnsi="Arial" w:cs="Arial"/>
          <w:sz w:val="24"/>
          <w:szCs w:val="24"/>
        </w:rPr>
        <w:t>n fact</w:t>
      </w:r>
      <w:r w:rsidR="008E52FB">
        <w:rPr>
          <w:rFonts w:ascii="Arial" w:hAnsi="Arial" w:cs="Arial"/>
          <w:sz w:val="24"/>
          <w:szCs w:val="24"/>
        </w:rPr>
        <w:t>,</w:t>
      </w:r>
      <w:r>
        <w:rPr>
          <w:rFonts w:ascii="Arial" w:hAnsi="Arial" w:cs="Arial"/>
          <w:sz w:val="24"/>
          <w:szCs w:val="24"/>
        </w:rPr>
        <w:t xml:space="preserve"> in reply </w:t>
      </w:r>
      <w:r w:rsidR="008E52FB">
        <w:rPr>
          <w:rFonts w:ascii="Arial" w:hAnsi="Arial" w:cs="Arial"/>
          <w:sz w:val="24"/>
          <w:szCs w:val="24"/>
        </w:rPr>
        <w:t xml:space="preserve">he </w:t>
      </w:r>
      <w:r>
        <w:rPr>
          <w:rFonts w:ascii="Arial" w:hAnsi="Arial" w:cs="Arial"/>
          <w:sz w:val="24"/>
          <w:szCs w:val="24"/>
        </w:rPr>
        <w:t>states that the powers he asserts as headman arise by virtue of his appointment as senior traditional councillor and claims that he serves on the council by virtue of that appointment</w:t>
      </w:r>
      <w:r w:rsidR="008E52FB">
        <w:rPr>
          <w:rFonts w:ascii="Arial" w:hAnsi="Arial" w:cs="Arial"/>
          <w:sz w:val="24"/>
          <w:szCs w:val="24"/>
        </w:rPr>
        <w:t xml:space="preserve"> and is not subject to any election</w:t>
      </w:r>
      <w:r>
        <w:rPr>
          <w:rFonts w:ascii="Arial" w:hAnsi="Arial" w:cs="Arial"/>
          <w:sz w:val="24"/>
          <w:szCs w:val="24"/>
        </w:rPr>
        <w:t xml:space="preserve">. As I have made clear, this is expressly gainsaid by the </w:t>
      </w:r>
      <w:r w:rsidR="008E52FB">
        <w:rPr>
          <w:rFonts w:ascii="Arial" w:hAnsi="Arial" w:cs="Arial"/>
          <w:sz w:val="24"/>
          <w:szCs w:val="24"/>
        </w:rPr>
        <w:t xml:space="preserve">association’s </w:t>
      </w:r>
      <w:r>
        <w:rPr>
          <w:rFonts w:ascii="Arial" w:hAnsi="Arial" w:cs="Arial"/>
          <w:sz w:val="24"/>
          <w:szCs w:val="24"/>
        </w:rPr>
        <w:t>constitution</w:t>
      </w:r>
      <w:r w:rsidR="008E52FB">
        <w:rPr>
          <w:rFonts w:ascii="Arial" w:hAnsi="Arial" w:cs="Arial"/>
          <w:sz w:val="24"/>
          <w:szCs w:val="24"/>
        </w:rPr>
        <w:t>. The fact that he may also use the title of headman is of no consequence when it comes to exercising powers under the association’s constitution. T</w:t>
      </w:r>
      <w:r>
        <w:rPr>
          <w:rFonts w:ascii="Arial" w:hAnsi="Arial" w:cs="Arial"/>
          <w:sz w:val="24"/>
          <w:szCs w:val="24"/>
        </w:rPr>
        <w:t xml:space="preserve">he Act </w:t>
      </w:r>
      <w:r w:rsidR="008E52FB">
        <w:rPr>
          <w:rFonts w:ascii="Arial" w:hAnsi="Arial" w:cs="Arial"/>
          <w:sz w:val="24"/>
          <w:szCs w:val="24"/>
        </w:rPr>
        <w:t xml:space="preserve">furthermore </w:t>
      </w:r>
      <w:r>
        <w:rPr>
          <w:rFonts w:ascii="Arial" w:hAnsi="Arial" w:cs="Arial"/>
          <w:sz w:val="24"/>
          <w:szCs w:val="24"/>
        </w:rPr>
        <w:t>affords no such power</w:t>
      </w:r>
      <w:r w:rsidR="009B7C45">
        <w:rPr>
          <w:rFonts w:ascii="Arial" w:hAnsi="Arial" w:cs="Arial"/>
          <w:sz w:val="24"/>
          <w:szCs w:val="24"/>
        </w:rPr>
        <w:t xml:space="preserve"> to senior traditional councillors</w:t>
      </w:r>
      <w:r>
        <w:rPr>
          <w:rFonts w:ascii="Arial" w:hAnsi="Arial" w:cs="Arial"/>
          <w:sz w:val="24"/>
          <w:szCs w:val="24"/>
        </w:rPr>
        <w:t>.</w:t>
      </w:r>
    </w:p>
    <w:p w:rsidR="00F374D6" w:rsidRDefault="00EF5A61" w:rsidP="00EF5A61">
      <w:pPr>
        <w:pStyle w:val="ListParagraph"/>
        <w:tabs>
          <w:tab w:val="left" w:pos="3420"/>
        </w:tabs>
        <w:rPr>
          <w:rFonts w:ascii="Arial" w:hAnsi="Arial" w:cs="Arial"/>
          <w:sz w:val="24"/>
          <w:szCs w:val="24"/>
        </w:rPr>
      </w:pPr>
      <w:r>
        <w:rPr>
          <w:rFonts w:ascii="Arial" w:hAnsi="Arial" w:cs="Arial"/>
          <w:sz w:val="24"/>
          <w:szCs w:val="24"/>
        </w:rPr>
        <w:tab/>
      </w:r>
    </w:p>
    <w:p w:rsidR="00F374D6" w:rsidRDefault="00EF5A6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second appellant does thus not have any standing to bring those proceedings by virtue of his appointment under the Act.</w:t>
      </w:r>
    </w:p>
    <w:p w:rsidR="00EF5A61" w:rsidRDefault="00EF5A61" w:rsidP="00EF5A61">
      <w:pPr>
        <w:pStyle w:val="ListParagraph"/>
        <w:rPr>
          <w:rFonts w:ascii="Arial" w:hAnsi="Arial" w:cs="Arial"/>
          <w:sz w:val="24"/>
          <w:szCs w:val="24"/>
        </w:rPr>
      </w:pPr>
    </w:p>
    <w:p w:rsidR="00EF5A61" w:rsidRDefault="00EF5A6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There remain</w:t>
      </w:r>
      <w:r w:rsidR="009B7C45">
        <w:rPr>
          <w:rFonts w:ascii="Arial" w:hAnsi="Arial" w:cs="Arial"/>
          <w:sz w:val="24"/>
          <w:szCs w:val="24"/>
        </w:rPr>
        <w:t>s</w:t>
      </w:r>
      <w:r>
        <w:rPr>
          <w:rFonts w:ascii="Arial" w:hAnsi="Arial" w:cs="Arial"/>
          <w:sz w:val="24"/>
          <w:szCs w:val="24"/>
        </w:rPr>
        <w:t xml:space="preserve"> his second basis for standing claimed – in his capacity as a member and chairperson of council under the constitution. He </w:t>
      </w:r>
      <w:r w:rsidR="008E52FB">
        <w:rPr>
          <w:rFonts w:ascii="Arial" w:hAnsi="Arial" w:cs="Arial"/>
          <w:sz w:val="24"/>
          <w:szCs w:val="24"/>
        </w:rPr>
        <w:t xml:space="preserve">expressly </w:t>
      </w:r>
      <w:r>
        <w:rPr>
          <w:rFonts w:ascii="Arial" w:hAnsi="Arial" w:cs="Arial"/>
          <w:sz w:val="24"/>
          <w:szCs w:val="24"/>
        </w:rPr>
        <w:t xml:space="preserve">does not claim to bring the proceedings in his personal capacity as a member of the community, as was confirmed </w:t>
      </w:r>
      <w:r w:rsidR="009B7C45">
        <w:rPr>
          <w:rFonts w:ascii="Arial" w:hAnsi="Arial" w:cs="Arial"/>
          <w:sz w:val="24"/>
          <w:szCs w:val="24"/>
        </w:rPr>
        <w:t xml:space="preserve">in argument </w:t>
      </w:r>
      <w:r>
        <w:rPr>
          <w:rFonts w:ascii="Arial" w:hAnsi="Arial" w:cs="Arial"/>
          <w:sz w:val="24"/>
          <w:szCs w:val="24"/>
        </w:rPr>
        <w:t>by Mr Khama.</w:t>
      </w:r>
    </w:p>
    <w:p w:rsidR="00EF5A61" w:rsidRDefault="00EF5A61" w:rsidP="00EF5A61">
      <w:pPr>
        <w:pStyle w:val="ListParagraph"/>
        <w:rPr>
          <w:rFonts w:ascii="Arial" w:hAnsi="Arial" w:cs="Arial"/>
          <w:sz w:val="24"/>
          <w:szCs w:val="24"/>
        </w:rPr>
      </w:pPr>
    </w:p>
    <w:p w:rsidR="008E52FB" w:rsidRDefault="00EF5A61"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For the reasons already stated with reference to the claim</w:t>
      </w:r>
      <w:r w:rsidR="008A592B">
        <w:rPr>
          <w:rFonts w:ascii="Arial" w:hAnsi="Arial" w:cs="Arial"/>
          <w:sz w:val="24"/>
          <w:szCs w:val="24"/>
        </w:rPr>
        <w:t xml:space="preserve"> of standing of the first appellant, proceedings instituted on its behalf as a </w:t>
      </w:r>
      <w:r w:rsidR="009B7C45">
        <w:rPr>
          <w:rFonts w:ascii="Arial" w:hAnsi="Arial" w:cs="Arial"/>
          <w:sz w:val="24"/>
          <w:szCs w:val="24"/>
        </w:rPr>
        <w:t xml:space="preserve">separate and distinct </w:t>
      </w:r>
      <w:r w:rsidR="008A592B">
        <w:rPr>
          <w:rFonts w:ascii="Arial" w:hAnsi="Arial" w:cs="Arial"/>
          <w:sz w:val="24"/>
          <w:szCs w:val="24"/>
        </w:rPr>
        <w:t xml:space="preserve">legal </w:t>
      </w:r>
      <w:r w:rsidR="008A592B">
        <w:rPr>
          <w:rFonts w:ascii="Arial" w:hAnsi="Arial" w:cs="Arial"/>
          <w:sz w:val="24"/>
          <w:szCs w:val="24"/>
        </w:rPr>
        <w:lastRenderedPageBreak/>
        <w:t xml:space="preserve">personality would need to be brought by </w:t>
      </w:r>
      <w:r w:rsidR="008A592B" w:rsidRPr="008E52FB">
        <w:rPr>
          <w:rFonts w:ascii="Arial" w:hAnsi="Arial" w:cs="Arial"/>
          <w:sz w:val="24"/>
          <w:szCs w:val="24"/>
          <w:u w:val="single"/>
        </w:rPr>
        <w:t>it</w:t>
      </w:r>
      <w:r w:rsidR="008A592B">
        <w:rPr>
          <w:rFonts w:ascii="Arial" w:hAnsi="Arial" w:cs="Arial"/>
          <w:sz w:val="24"/>
          <w:szCs w:val="24"/>
        </w:rPr>
        <w:t xml:space="preserve"> </w:t>
      </w:r>
      <w:r w:rsidR="008E52FB">
        <w:rPr>
          <w:rFonts w:ascii="Arial" w:hAnsi="Arial" w:cs="Arial"/>
          <w:sz w:val="24"/>
          <w:szCs w:val="24"/>
        </w:rPr>
        <w:t xml:space="preserve">and not by </w:t>
      </w:r>
      <w:r w:rsidR="008A592B">
        <w:rPr>
          <w:rFonts w:ascii="Arial" w:hAnsi="Arial" w:cs="Arial"/>
          <w:sz w:val="24"/>
          <w:szCs w:val="24"/>
        </w:rPr>
        <w:t xml:space="preserve">and someone claiming to be its chairperson or council member. </w:t>
      </w:r>
    </w:p>
    <w:p w:rsidR="008E52FB" w:rsidRDefault="008E52FB" w:rsidP="008E52FB">
      <w:pPr>
        <w:pStyle w:val="ListParagraph"/>
        <w:rPr>
          <w:rFonts w:ascii="Arial" w:hAnsi="Arial" w:cs="Arial"/>
          <w:sz w:val="24"/>
          <w:szCs w:val="24"/>
        </w:rPr>
      </w:pPr>
    </w:p>
    <w:p w:rsidR="00EF5A61" w:rsidRDefault="008A592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relief sought in respect of para</w:t>
      </w:r>
      <w:r w:rsidR="00F31E6D">
        <w:rPr>
          <w:rFonts w:ascii="Arial" w:hAnsi="Arial" w:cs="Arial"/>
          <w:sz w:val="24"/>
          <w:szCs w:val="24"/>
        </w:rPr>
        <w:t>graph</w:t>
      </w:r>
      <w:r>
        <w:rPr>
          <w:rFonts w:ascii="Arial" w:hAnsi="Arial" w:cs="Arial"/>
          <w:sz w:val="24"/>
          <w:szCs w:val="24"/>
        </w:rPr>
        <w:t>s</w:t>
      </w:r>
      <w:r w:rsidR="00280A33">
        <w:rPr>
          <w:rFonts w:ascii="Arial" w:hAnsi="Arial" w:cs="Arial"/>
          <w:sz w:val="24"/>
          <w:szCs w:val="24"/>
        </w:rPr>
        <w:t xml:space="preserve"> </w:t>
      </w:r>
      <w:r>
        <w:rPr>
          <w:rFonts w:ascii="Arial" w:hAnsi="Arial" w:cs="Arial"/>
          <w:sz w:val="24"/>
          <w:szCs w:val="24"/>
        </w:rPr>
        <w:t>1, 2, 3, 4, 5, 9 and 10</w:t>
      </w:r>
      <w:r w:rsidR="009B7C45">
        <w:rPr>
          <w:rFonts w:ascii="Arial" w:hAnsi="Arial" w:cs="Arial"/>
          <w:sz w:val="24"/>
          <w:szCs w:val="24"/>
        </w:rPr>
        <w:t xml:space="preserve"> </w:t>
      </w:r>
      <w:r w:rsidR="00E97453">
        <w:rPr>
          <w:rFonts w:ascii="Arial" w:hAnsi="Arial" w:cs="Arial"/>
          <w:sz w:val="24"/>
          <w:szCs w:val="24"/>
        </w:rPr>
        <w:t xml:space="preserve">is </w:t>
      </w:r>
      <w:r w:rsidR="009B7C45">
        <w:rPr>
          <w:rFonts w:ascii="Arial" w:hAnsi="Arial" w:cs="Arial"/>
          <w:sz w:val="24"/>
          <w:szCs w:val="24"/>
        </w:rPr>
        <w:t>asserted</w:t>
      </w:r>
      <w:r>
        <w:rPr>
          <w:rFonts w:ascii="Arial" w:hAnsi="Arial" w:cs="Arial"/>
          <w:sz w:val="24"/>
          <w:szCs w:val="24"/>
        </w:rPr>
        <w:t xml:space="preserve"> on behalf of the association. The proceedings would need to </w:t>
      </w:r>
      <w:r w:rsidR="008E52FB">
        <w:rPr>
          <w:rFonts w:ascii="Arial" w:hAnsi="Arial" w:cs="Arial"/>
          <w:sz w:val="24"/>
          <w:szCs w:val="24"/>
        </w:rPr>
        <w:t>have been</w:t>
      </w:r>
      <w:r>
        <w:rPr>
          <w:rFonts w:ascii="Arial" w:hAnsi="Arial" w:cs="Arial"/>
          <w:sz w:val="24"/>
          <w:szCs w:val="24"/>
        </w:rPr>
        <w:t xml:space="preserve"> brought by it. The second appellant in his claimed position of chairperson or councillor would not have standing to do so in his own name in those capacities.</w:t>
      </w:r>
    </w:p>
    <w:p w:rsidR="008A592B" w:rsidRDefault="008A592B" w:rsidP="008A592B">
      <w:pPr>
        <w:pStyle w:val="ListParagraph"/>
        <w:rPr>
          <w:rFonts w:ascii="Arial" w:hAnsi="Arial" w:cs="Arial"/>
          <w:sz w:val="24"/>
          <w:szCs w:val="24"/>
        </w:rPr>
      </w:pPr>
    </w:p>
    <w:p w:rsidR="008A592B" w:rsidRDefault="008A592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relief in para</w:t>
      </w:r>
      <w:r w:rsidR="00F31E6D">
        <w:rPr>
          <w:rFonts w:ascii="Arial" w:hAnsi="Arial" w:cs="Arial"/>
          <w:sz w:val="24"/>
          <w:szCs w:val="24"/>
        </w:rPr>
        <w:t>graph</w:t>
      </w:r>
      <w:r>
        <w:rPr>
          <w:rFonts w:ascii="Arial" w:hAnsi="Arial" w:cs="Arial"/>
          <w:sz w:val="24"/>
          <w:szCs w:val="24"/>
        </w:rPr>
        <w:t>s 7 and 8 concern the second appellant’s claim of spoliation of possession of the community hall and access to and control of it.</w:t>
      </w:r>
    </w:p>
    <w:p w:rsidR="008A592B" w:rsidRDefault="008A592B" w:rsidP="008A592B">
      <w:pPr>
        <w:pStyle w:val="ListParagraph"/>
        <w:rPr>
          <w:rFonts w:ascii="Arial" w:hAnsi="Arial" w:cs="Arial"/>
          <w:sz w:val="24"/>
          <w:szCs w:val="24"/>
        </w:rPr>
      </w:pPr>
    </w:p>
    <w:p w:rsidR="008A592B" w:rsidRDefault="008A592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the first instance, </w:t>
      </w:r>
      <w:r w:rsidR="008E52FB">
        <w:rPr>
          <w:rFonts w:ascii="Arial" w:hAnsi="Arial" w:cs="Arial"/>
          <w:sz w:val="24"/>
          <w:szCs w:val="24"/>
        </w:rPr>
        <w:t xml:space="preserve">the basis for </w:t>
      </w:r>
      <w:r>
        <w:rPr>
          <w:rFonts w:ascii="Arial" w:hAnsi="Arial" w:cs="Arial"/>
          <w:sz w:val="24"/>
          <w:szCs w:val="24"/>
        </w:rPr>
        <w:t>his claim is for use of the community hall in his capacity as senior traditional councillor</w:t>
      </w:r>
      <w:r w:rsidR="008E52FB">
        <w:rPr>
          <w:rFonts w:ascii="Arial" w:hAnsi="Arial" w:cs="Arial"/>
          <w:sz w:val="24"/>
          <w:szCs w:val="24"/>
        </w:rPr>
        <w:t>. H</w:t>
      </w:r>
      <w:r>
        <w:rPr>
          <w:rFonts w:ascii="Arial" w:hAnsi="Arial" w:cs="Arial"/>
          <w:sz w:val="24"/>
          <w:szCs w:val="24"/>
        </w:rPr>
        <w:t xml:space="preserve">is statement </w:t>
      </w:r>
      <w:r w:rsidR="008E52FB">
        <w:rPr>
          <w:rFonts w:ascii="Arial" w:hAnsi="Arial" w:cs="Arial"/>
          <w:sz w:val="24"/>
          <w:szCs w:val="24"/>
        </w:rPr>
        <w:t xml:space="preserve">is </w:t>
      </w:r>
      <w:r>
        <w:rPr>
          <w:rFonts w:ascii="Arial" w:hAnsi="Arial" w:cs="Arial"/>
          <w:sz w:val="24"/>
          <w:szCs w:val="24"/>
        </w:rPr>
        <w:t xml:space="preserve">that it is in that capacity that he had control of the hall for the performance of official functions. This is elaborated </w:t>
      </w:r>
      <w:r w:rsidR="008E52FB">
        <w:rPr>
          <w:rFonts w:ascii="Arial" w:hAnsi="Arial" w:cs="Arial"/>
          <w:sz w:val="24"/>
          <w:szCs w:val="24"/>
        </w:rPr>
        <w:t xml:space="preserve">upon </w:t>
      </w:r>
      <w:r>
        <w:rPr>
          <w:rFonts w:ascii="Arial" w:hAnsi="Arial" w:cs="Arial"/>
          <w:sz w:val="24"/>
          <w:szCs w:val="24"/>
        </w:rPr>
        <w:t>by stating that t</w:t>
      </w:r>
      <w:r w:rsidR="00686A76">
        <w:rPr>
          <w:rFonts w:ascii="Arial" w:hAnsi="Arial" w:cs="Arial"/>
          <w:sz w:val="24"/>
          <w:szCs w:val="24"/>
        </w:rPr>
        <w:t xml:space="preserve">he hall was government property because it had been erected by erstwhile second </w:t>
      </w:r>
      <w:r w:rsidR="008E52FB">
        <w:rPr>
          <w:rFonts w:ascii="Arial" w:hAnsi="Arial" w:cs="Arial"/>
          <w:sz w:val="24"/>
          <w:szCs w:val="24"/>
        </w:rPr>
        <w:t>tier</w:t>
      </w:r>
      <w:r w:rsidR="00686A76">
        <w:rPr>
          <w:rFonts w:ascii="Arial" w:hAnsi="Arial" w:cs="Arial"/>
          <w:sz w:val="24"/>
          <w:szCs w:val="24"/>
        </w:rPr>
        <w:t xml:space="preserve"> authority for Twanas</w:t>
      </w:r>
      <w:r w:rsidR="008E52FB">
        <w:rPr>
          <w:rFonts w:ascii="Arial" w:hAnsi="Arial" w:cs="Arial"/>
          <w:sz w:val="24"/>
          <w:szCs w:val="24"/>
        </w:rPr>
        <w:t xml:space="preserve"> prior to independence</w:t>
      </w:r>
      <w:r w:rsidR="00686A76">
        <w:rPr>
          <w:rFonts w:ascii="Arial" w:hAnsi="Arial" w:cs="Arial"/>
          <w:sz w:val="24"/>
          <w:szCs w:val="24"/>
        </w:rPr>
        <w:t xml:space="preserve">. As is pointed out in the answering papers, the hall is constructed on church property and would not constitute government property. But more importantly, if </w:t>
      </w:r>
      <w:r w:rsidR="00BE6663">
        <w:rPr>
          <w:rFonts w:ascii="Arial" w:hAnsi="Arial" w:cs="Arial"/>
          <w:sz w:val="24"/>
          <w:szCs w:val="24"/>
        </w:rPr>
        <w:t>his</w:t>
      </w:r>
      <w:r w:rsidR="00686A76">
        <w:rPr>
          <w:rFonts w:ascii="Arial" w:hAnsi="Arial" w:cs="Arial"/>
          <w:sz w:val="24"/>
          <w:szCs w:val="24"/>
        </w:rPr>
        <w:t xml:space="preserve"> possession was held in his official capacity under the Act to perform official functions under that Act, then</w:t>
      </w:r>
      <w:r w:rsidR="00BE6663">
        <w:rPr>
          <w:rFonts w:ascii="Arial" w:hAnsi="Arial" w:cs="Arial"/>
          <w:sz w:val="24"/>
          <w:szCs w:val="24"/>
        </w:rPr>
        <w:t xml:space="preserve"> he would need to look to the Act</w:t>
      </w:r>
      <w:r w:rsidR="00686A76">
        <w:rPr>
          <w:rFonts w:ascii="Arial" w:hAnsi="Arial" w:cs="Arial"/>
          <w:sz w:val="24"/>
          <w:szCs w:val="24"/>
        </w:rPr>
        <w:t xml:space="preserve"> </w:t>
      </w:r>
      <w:r w:rsidR="00E97453">
        <w:rPr>
          <w:rFonts w:ascii="Arial" w:hAnsi="Arial" w:cs="Arial"/>
          <w:sz w:val="24"/>
          <w:szCs w:val="24"/>
        </w:rPr>
        <w:t xml:space="preserve">for standing as a </w:t>
      </w:r>
      <w:r w:rsidR="00686A76">
        <w:rPr>
          <w:rFonts w:ascii="Arial" w:hAnsi="Arial" w:cs="Arial"/>
          <w:sz w:val="24"/>
          <w:szCs w:val="24"/>
        </w:rPr>
        <w:t xml:space="preserve">senior traditional councillor. </w:t>
      </w:r>
      <w:r w:rsidR="00BE6663">
        <w:rPr>
          <w:rFonts w:ascii="Arial" w:hAnsi="Arial" w:cs="Arial"/>
          <w:sz w:val="24"/>
          <w:szCs w:val="24"/>
        </w:rPr>
        <w:t>Mr Khama could not pinpoint any provision in the Act affording him standing.</w:t>
      </w:r>
      <w:r w:rsidR="00B11DCF">
        <w:rPr>
          <w:rFonts w:ascii="Arial" w:hAnsi="Arial" w:cs="Arial"/>
          <w:sz w:val="24"/>
          <w:szCs w:val="24"/>
        </w:rPr>
        <w:t xml:space="preserve"> There is none.</w:t>
      </w:r>
      <w:r w:rsidR="00BE6663">
        <w:rPr>
          <w:rFonts w:ascii="Arial" w:hAnsi="Arial" w:cs="Arial"/>
          <w:sz w:val="24"/>
          <w:szCs w:val="24"/>
        </w:rPr>
        <w:t xml:space="preserve"> T</w:t>
      </w:r>
      <w:r w:rsidR="00B11DCF">
        <w:rPr>
          <w:rFonts w:ascii="Arial" w:hAnsi="Arial" w:cs="Arial"/>
          <w:sz w:val="24"/>
          <w:szCs w:val="24"/>
        </w:rPr>
        <w:t>he Act</w:t>
      </w:r>
      <w:r w:rsidR="00BE6663">
        <w:rPr>
          <w:rFonts w:ascii="Arial" w:hAnsi="Arial" w:cs="Arial"/>
          <w:sz w:val="24"/>
          <w:szCs w:val="24"/>
        </w:rPr>
        <w:t xml:space="preserve"> does </w:t>
      </w:r>
      <w:r w:rsidR="00B11DCF">
        <w:rPr>
          <w:rFonts w:ascii="Arial" w:hAnsi="Arial" w:cs="Arial"/>
          <w:sz w:val="24"/>
          <w:szCs w:val="24"/>
        </w:rPr>
        <w:t xml:space="preserve">thus </w:t>
      </w:r>
      <w:r w:rsidR="00BE6663">
        <w:rPr>
          <w:rFonts w:ascii="Arial" w:hAnsi="Arial" w:cs="Arial"/>
          <w:sz w:val="24"/>
          <w:szCs w:val="24"/>
        </w:rPr>
        <w:t>not afford him standing</w:t>
      </w:r>
      <w:r w:rsidR="00E97453">
        <w:rPr>
          <w:rFonts w:ascii="Arial" w:hAnsi="Arial" w:cs="Arial"/>
          <w:sz w:val="24"/>
          <w:szCs w:val="24"/>
        </w:rPr>
        <w:t xml:space="preserve"> in that capacity</w:t>
      </w:r>
      <w:r w:rsidR="00BE6663">
        <w:rPr>
          <w:rFonts w:ascii="Arial" w:hAnsi="Arial" w:cs="Arial"/>
          <w:sz w:val="24"/>
          <w:szCs w:val="24"/>
        </w:rPr>
        <w:t xml:space="preserve">. </w:t>
      </w:r>
      <w:r w:rsidR="00686A76">
        <w:rPr>
          <w:rFonts w:ascii="Arial" w:hAnsi="Arial" w:cs="Arial"/>
          <w:sz w:val="24"/>
          <w:szCs w:val="24"/>
        </w:rPr>
        <w:t>Although the second appellant also claims possession of the hall in his capacity as ‘headman’, this is with reference to his appointment as senior traditional councillor</w:t>
      </w:r>
      <w:r w:rsidR="00E97453">
        <w:rPr>
          <w:rFonts w:ascii="Arial" w:hAnsi="Arial" w:cs="Arial"/>
          <w:sz w:val="24"/>
          <w:szCs w:val="24"/>
        </w:rPr>
        <w:t xml:space="preserve"> under the Act and is similarly flawed</w:t>
      </w:r>
      <w:r w:rsidR="00686A76">
        <w:rPr>
          <w:rFonts w:ascii="Arial" w:hAnsi="Arial" w:cs="Arial"/>
          <w:sz w:val="24"/>
          <w:szCs w:val="24"/>
        </w:rPr>
        <w:t>.</w:t>
      </w:r>
    </w:p>
    <w:p w:rsidR="00686A76" w:rsidRDefault="00686A76" w:rsidP="00686A76">
      <w:pPr>
        <w:pStyle w:val="ListParagraph"/>
        <w:rPr>
          <w:rFonts w:ascii="Arial" w:hAnsi="Arial" w:cs="Arial"/>
          <w:sz w:val="24"/>
          <w:szCs w:val="24"/>
        </w:rPr>
      </w:pPr>
    </w:p>
    <w:p w:rsidR="00686A76" w:rsidRDefault="00686A76"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Even if his claim for spoliation </w:t>
      </w:r>
      <w:r w:rsidR="00C258CE">
        <w:rPr>
          <w:rFonts w:ascii="Arial" w:hAnsi="Arial" w:cs="Arial"/>
          <w:sz w:val="24"/>
          <w:szCs w:val="24"/>
        </w:rPr>
        <w:t>were</w:t>
      </w:r>
      <w:r w:rsidR="00B11DCF">
        <w:rPr>
          <w:rFonts w:ascii="Arial" w:hAnsi="Arial" w:cs="Arial"/>
          <w:sz w:val="24"/>
          <w:szCs w:val="24"/>
        </w:rPr>
        <w:t xml:space="preserve"> to be</w:t>
      </w:r>
      <w:r w:rsidR="00C258CE">
        <w:rPr>
          <w:rFonts w:ascii="Arial" w:hAnsi="Arial" w:cs="Arial"/>
          <w:sz w:val="24"/>
          <w:szCs w:val="24"/>
        </w:rPr>
        <w:t xml:space="preserve"> raised</w:t>
      </w:r>
      <w:r>
        <w:rPr>
          <w:rFonts w:ascii="Arial" w:hAnsi="Arial" w:cs="Arial"/>
          <w:sz w:val="24"/>
          <w:szCs w:val="24"/>
        </w:rPr>
        <w:t xml:space="preserve"> in </w:t>
      </w:r>
      <w:r w:rsidR="00C258CE">
        <w:rPr>
          <w:rFonts w:ascii="Arial" w:hAnsi="Arial" w:cs="Arial"/>
          <w:sz w:val="24"/>
          <w:szCs w:val="24"/>
        </w:rPr>
        <w:t>his</w:t>
      </w:r>
      <w:r>
        <w:rPr>
          <w:rFonts w:ascii="Arial" w:hAnsi="Arial" w:cs="Arial"/>
          <w:sz w:val="24"/>
          <w:szCs w:val="24"/>
        </w:rPr>
        <w:t xml:space="preserve"> capacity as headman under the constitution, this would not vest him with standing to claim that relief, as he claims no rights of his own.</w:t>
      </w:r>
      <w:r w:rsidR="00B11DCF">
        <w:rPr>
          <w:rFonts w:ascii="Arial" w:hAnsi="Arial" w:cs="Arial"/>
          <w:sz w:val="24"/>
          <w:szCs w:val="24"/>
        </w:rPr>
        <w:t xml:space="preserve"> As has been made clear in </w:t>
      </w:r>
      <w:r w:rsidR="00B11DCF">
        <w:rPr>
          <w:rFonts w:ascii="Arial" w:hAnsi="Arial" w:cs="Arial"/>
          <w:i/>
          <w:sz w:val="24"/>
          <w:szCs w:val="24"/>
        </w:rPr>
        <w:t>Yeko v Qana</w:t>
      </w:r>
      <w:r w:rsidR="00B11DCF">
        <w:rPr>
          <w:rStyle w:val="FootnoteReference"/>
          <w:rFonts w:ascii="Arial" w:hAnsi="Arial" w:cs="Arial"/>
          <w:i/>
          <w:sz w:val="24"/>
          <w:szCs w:val="24"/>
        </w:rPr>
        <w:footnoteReference w:id="13"/>
      </w:r>
      <w:r w:rsidR="00B11DCF">
        <w:rPr>
          <w:rFonts w:ascii="Arial" w:hAnsi="Arial" w:cs="Arial"/>
          <w:i/>
          <w:sz w:val="24"/>
          <w:szCs w:val="24"/>
        </w:rPr>
        <w:t xml:space="preserve"> </w:t>
      </w:r>
      <w:r w:rsidR="00B11DCF">
        <w:rPr>
          <w:rFonts w:ascii="Arial" w:hAnsi="Arial" w:cs="Arial"/>
          <w:sz w:val="24"/>
          <w:szCs w:val="24"/>
        </w:rPr>
        <w:t xml:space="preserve">the fundamental principle underpinning the remedy of spoliation is that </w:t>
      </w:r>
      <w:r w:rsidR="00E97453">
        <w:rPr>
          <w:rFonts w:ascii="Arial" w:hAnsi="Arial" w:cs="Arial"/>
          <w:sz w:val="24"/>
          <w:szCs w:val="24"/>
        </w:rPr>
        <w:t xml:space="preserve">no </w:t>
      </w:r>
      <w:r w:rsidR="00B11DCF">
        <w:rPr>
          <w:rFonts w:ascii="Arial" w:hAnsi="Arial" w:cs="Arial"/>
          <w:sz w:val="24"/>
          <w:szCs w:val="24"/>
        </w:rPr>
        <w:t xml:space="preserve">one is allowed to take the law into their own hands and that all that an applicant </w:t>
      </w:r>
      <w:r w:rsidR="00E97453">
        <w:rPr>
          <w:rFonts w:ascii="Arial" w:hAnsi="Arial" w:cs="Arial"/>
          <w:sz w:val="24"/>
          <w:szCs w:val="24"/>
        </w:rPr>
        <w:t xml:space="preserve">would </w:t>
      </w:r>
      <w:r w:rsidR="00B11DCF">
        <w:rPr>
          <w:rFonts w:ascii="Arial" w:hAnsi="Arial" w:cs="Arial"/>
          <w:sz w:val="24"/>
          <w:szCs w:val="24"/>
        </w:rPr>
        <w:t xml:space="preserve">need </w:t>
      </w:r>
      <w:r w:rsidR="00E97453">
        <w:rPr>
          <w:rFonts w:ascii="Arial" w:hAnsi="Arial" w:cs="Arial"/>
          <w:sz w:val="24"/>
          <w:szCs w:val="24"/>
        </w:rPr>
        <w:t xml:space="preserve">to </w:t>
      </w:r>
      <w:r w:rsidR="00B11DCF">
        <w:rPr>
          <w:rFonts w:ascii="Arial" w:hAnsi="Arial" w:cs="Arial"/>
          <w:sz w:val="24"/>
          <w:szCs w:val="24"/>
        </w:rPr>
        <w:t>establish is possession of</w:t>
      </w:r>
      <w:r w:rsidR="00E97453">
        <w:rPr>
          <w:rFonts w:ascii="Arial" w:hAnsi="Arial" w:cs="Arial"/>
          <w:sz w:val="24"/>
          <w:szCs w:val="24"/>
        </w:rPr>
        <w:t xml:space="preserve"> a</w:t>
      </w:r>
      <w:r w:rsidR="00B11DCF">
        <w:rPr>
          <w:rFonts w:ascii="Arial" w:hAnsi="Arial" w:cs="Arial"/>
          <w:sz w:val="24"/>
          <w:szCs w:val="24"/>
        </w:rPr>
        <w:t xml:space="preserve"> kind which warrants </w:t>
      </w:r>
      <w:r w:rsidR="00E97453">
        <w:rPr>
          <w:rFonts w:ascii="Arial" w:hAnsi="Arial" w:cs="Arial"/>
          <w:sz w:val="24"/>
          <w:szCs w:val="24"/>
        </w:rPr>
        <w:t xml:space="preserve">the </w:t>
      </w:r>
      <w:r w:rsidR="00B11DCF">
        <w:rPr>
          <w:rFonts w:ascii="Arial" w:hAnsi="Arial" w:cs="Arial"/>
          <w:sz w:val="24"/>
          <w:szCs w:val="24"/>
        </w:rPr>
        <w:t xml:space="preserve">protection accorded by the remedy and that the applicant was unlawfully ousted. Possession need not be in a juridical sense and it </w:t>
      </w:r>
      <w:r w:rsidR="00E97453">
        <w:rPr>
          <w:rFonts w:ascii="Arial" w:hAnsi="Arial" w:cs="Arial"/>
          <w:sz w:val="24"/>
          <w:szCs w:val="24"/>
        </w:rPr>
        <w:t>would ordinarily</w:t>
      </w:r>
      <w:r w:rsidR="00B11DCF">
        <w:rPr>
          <w:rFonts w:ascii="Arial" w:hAnsi="Arial" w:cs="Arial"/>
          <w:sz w:val="24"/>
          <w:szCs w:val="24"/>
        </w:rPr>
        <w:t xml:space="preserve"> be enough if the holding by the applicant was with the intention of sec</w:t>
      </w:r>
      <w:r w:rsidR="003D7C6C">
        <w:rPr>
          <w:rFonts w:ascii="Arial" w:hAnsi="Arial" w:cs="Arial"/>
          <w:sz w:val="24"/>
          <w:szCs w:val="24"/>
        </w:rPr>
        <w:t>uring some benefit for himself.</w:t>
      </w:r>
      <w:r w:rsidR="003D7C6C">
        <w:rPr>
          <w:rStyle w:val="FootnoteReference"/>
          <w:rFonts w:ascii="Arial" w:hAnsi="Arial" w:cs="Arial"/>
          <w:sz w:val="24"/>
          <w:szCs w:val="24"/>
        </w:rPr>
        <w:footnoteReference w:id="14"/>
      </w:r>
    </w:p>
    <w:p w:rsidR="00686A76" w:rsidRDefault="00686A76" w:rsidP="00686A76">
      <w:pPr>
        <w:pStyle w:val="ListParagraph"/>
        <w:rPr>
          <w:rFonts w:ascii="Arial" w:hAnsi="Arial" w:cs="Arial"/>
          <w:sz w:val="24"/>
          <w:szCs w:val="24"/>
        </w:rPr>
      </w:pPr>
    </w:p>
    <w:p w:rsidR="00686A76" w:rsidRDefault="00E9745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dictum in </w:t>
      </w:r>
      <w:r>
        <w:rPr>
          <w:rFonts w:ascii="Arial" w:hAnsi="Arial" w:cs="Arial"/>
          <w:i/>
          <w:sz w:val="24"/>
          <w:szCs w:val="24"/>
        </w:rPr>
        <w:t xml:space="preserve">Yeko </w:t>
      </w:r>
      <w:r>
        <w:rPr>
          <w:rFonts w:ascii="Arial" w:hAnsi="Arial" w:cs="Arial"/>
          <w:sz w:val="24"/>
          <w:szCs w:val="24"/>
        </w:rPr>
        <w:t>was applied in</w:t>
      </w:r>
      <w:r w:rsidR="00686A76">
        <w:rPr>
          <w:rFonts w:ascii="Arial" w:hAnsi="Arial" w:cs="Arial"/>
          <w:sz w:val="24"/>
          <w:szCs w:val="24"/>
        </w:rPr>
        <w:t xml:space="preserve"> </w:t>
      </w:r>
      <w:r w:rsidR="00686A76">
        <w:rPr>
          <w:rFonts w:ascii="Arial" w:hAnsi="Arial" w:cs="Arial"/>
          <w:i/>
          <w:sz w:val="24"/>
          <w:szCs w:val="24"/>
        </w:rPr>
        <w:t>Mpunga v Malaba</w:t>
      </w:r>
      <w:r>
        <w:rPr>
          <w:rFonts w:ascii="Arial" w:hAnsi="Arial" w:cs="Arial"/>
          <w:i/>
          <w:sz w:val="24"/>
          <w:szCs w:val="24"/>
        </w:rPr>
        <w:t>.</w:t>
      </w:r>
      <w:r w:rsidR="003D7C6C">
        <w:rPr>
          <w:rStyle w:val="FootnoteReference"/>
          <w:rFonts w:ascii="Arial" w:hAnsi="Arial" w:cs="Arial"/>
          <w:sz w:val="24"/>
          <w:szCs w:val="24"/>
        </w:rPr>
        <w:footnoteReference w:id="15"/>
      </w:r>
      <w:r w:rsidR="00686A76">
        <w:rPr>
          <w:rFonts w:ascii="Arial" w:hAnsi="Arial" w:cs="Arial"/>
          <w:sz w:val="24"/>
          <w:szCs w:val="24"/>
        </w:rPr>
        <w:t xml:space="preserve"> </w:t>
      </w:r>
      <w:r>
        <w:rPr>
          <w:rFonts w:ascii="Arial" w:hAnsi="Arial" w:cs="Arial"/>
          <w:sz w:val="24"/>
          <w:szCs w:val="24"/>
        </w:rPr>
        <w:t>T</w:t>
      </w:r>
      <w:r w:rsidR="00686A76">
        <w:rPr>
          <w:rFonts w:ascii="Arial" w:hAnsi="Arial" w:cs="Arial"/>
          <w:sz w:val="24"/>
          <w:szCs w:val="24"/>
        </w:rPr>
        <w:t xml:space="preserve">here was a split in a church. Under its constitution, its controlling body was the Deacons’ Court which was also split. The plaintiff’s faction had control and use </w:t>
      </w:r>
      <w:r w:rsidR="00C258CE">
        <w:rPr>
          <w:rFonts w:ascii="Arial" w:hAnsi="Arial" w:cs="Arial"/>
          <w:sz w:val="24"/>
          <w:szCs w:val="24"/>
        </w:rPr>
        <w:t>o</w:t>
      </w:r>
      <w:r w:rsidR="00686A76">
        <w:rPr>
          <w:rFonts w:ascii="Arial" w:hAnsi="Arial" w:cs="Arial"/>
          <w:sz w:val="24"/>
          <w:szCs w:val="24"/>
        </w:rPr>
        <w:t xml:space="preserve">f the church. The defendant had broken in and replaced the locks and obtained possession of the church. The court held that a </w:t>
      </w:r>
      <w:r w:rsidR="00C258CE">
        <w:rPr>
          <w:rFonts w:ascii="Arial" w:hAnsi="Arial" w:cs="Arial"/>
          <w:sz w:val="24"/>
          <w:szCs w:val="24"/>
        </w:rPr>
        <w:t xml:space="preserve">person </w:t>
      </w:r>
      <w:r w:rsidR="00686A76">
        <w:rPr>
          <w:rFonts w:ascii="Arial" w:hAnsi="Arial" w:cs="Arial"/>
          <w:sz w:val="24"/>
          <w:szCs w:val="24"/>
        </w:rPr>
        <w:t xml:space="preserve">in </w:t>
      </w:r>
      <w:r w:rsidR="00C258CE">
        <w:rPr>
          <w:rFonts w:ascii="Arial" w:hAnsi="Arial" w:cs="Arial"/>
          <w:sz w:val="24"/>
          <w:szCs w:val="24"/>
        </w:rPr>
        <w:t xml:space="preserve">the </w:t>
      </w:r>
      <w:r w:rsidR="00686A76">
        <w:rPr>
          <w:rFonts w:ascii="Arial" w:hAnsi="Arial" w:cs="Arial"/>
          <w:sz w:val="24"/>
          <w:szCs w:val="24"/>
        </w:rPr>
        <w:t>position of the plaintiff was akin to a servant who held no right on his own behalf</w:t>
      </w:r>
      <w:r w:rsidR="003D7C6C">
        <w:rPr>
          <w:rFonts w:ascii="Arial" w:hAnsi="Arial" w:cs="Arial"/>
          <w:sz w:val="24"/>
          <w:szCs w:val="24"/>
        </w:rPr>
        <w:t xml:space="preserve"> to bring proceedings for spoliation</w:t>
      </w:r>
      <w:r w:rsidR="00686A76">
        <w:rPr>
          <w:rFonts w:ascii="Arial" w:hAnsi="Arial" w:cs="Arial"/>
          <w:sz w:val="24"/>
          <w:szCs w:val="24"/>
        </w:rPr>
        <w:t>, except in so far as the rights derive from an autho</w:t>
      </w:r>
      <w:r w:rsidR="003D7C6C">
        <w:rPr>
          <w:rFonts w:ascii="Arial" w:hAnsi="Arial" w:cs="Arial"/>
          <w:sz w:val="24"/>
          <w:szCs w:val="24"/>
        </w:rPr>
        <w:t>rity given to him by the master</w:t>
      </w:r>
      <w:r w:rsidR="00686A76">
        <w:rPr>
          <w:rFonts w:ascii="Arial" w:hAnsi="Arial" w:cs="Arial"/>
          <w:sz w:val="24"/>
          <w:szCs w:val="24"/>
        </w:rPr>
        <w:t xml:space="preserve">. This was because the right to </w:t>
      </w:r>
      <w:r w:rsidR="00C258CE">
        <w:rPr>
          <w:rFonts w:ascii="Arial" w:hAnsi="Arial" w:cs="Arial"/>
          <w:sz w:val="24"/>
          <w:szCs w:val="24"/>
        </w:rPr>
        <w:t xml:space="preserve">invoke </w:t>
      </w:r>
      <w:r w:rsidR="00686A76">
        <w:rPr>
          <w:rFonts w:ascii="Arial" w:hAnsi="Arial" w:cs="Arial"/>
          <w:sz w:val="24"/>
          <w:szCs w:val="24"/>
        </w:rPr>
        <w:t>spoliation</w:t>
      </w:r>
      <w:r w:rsidR="00C258CE">
        <w:rPr>
          <w:rFonts w:ascii="Arial" w:hAnsi="Arial" w:cs="Arial"/>
          <w:sz w:val="24"/>
          <w:szCs w:val="24"/>
        </w:rPr>
        <w:t xml:space="preserve"> proceedings</w:t>
      </w:r>
      <w:r w:rsidR="00686A76">
        <w:rPr>
          <w:rFonts w:ascii="Arial" w:hAnsi="Arial" w:cs="Arial"/>
          <w:sz w:val="24"/>
          <w:szCs w:val="24"/>
        </w:rPr>
        <w:t xml:space="preserve"> is not something he had over and above his interest as employee. The court held that the use and possession of the </w:t>
      </w:r>
      <w:r w:rsidR="00A40B10">
        <w:rPr>
          <w:rFonts w:ascii="Arial" w:hAnsi="Arial" w:cs="Arial"/>
          <w:sz w:val="24"/>
          <w:szCs w:val="24"/>
        </w:rPr>
        <w:t>plaintiff was not for any purpose of his own, but for the Deacons’ Court.</w:t>
      </w:r>
    </w:p>
    <w:p w:rsidR="00A40B10" w:rsidRDefault="00A40B10" w:rsidP="00A40B10">
      <w:pPr>
        <w:pStyle w:val="ListParagraph"/>
        <w:rPr>
          <w:rFonts w:ascii="Arial" w:hAnsi="Arial" w:cs="Arial"/>
          <w:sz w:val="24"/>
          <w:szCs w:val="24"/>
        </w:rPr>
      </w:pPr>
    </w:p>
    <w:p w:rsidR="00A40B10" w:rsidRDefault="00A40B10"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A similar approach was adopted in </w:t>
      </w:r>
      <w:r>
        <w:rPr>
          <w:rFonts w:ascii="Arial" w:hAnsi="Arial" w:cs="Arial"/>
          <w:i/>
          <w:sz w:val="24"/>
          <w:szCs w:val="24"/>
        </w:rPr>
        <w:t>Dlamini and another v Mavi and others</w:t>
      </w:r>
      <w:r w:rsidR="003D7C6C">
        <w:rPr>
          <w:rStyle w:val="FootnoteReference"/>
          <w:rFonts w:ascii="Arial" w:hAnsi="Arial" w:cs="Arial"/>
          <w:i/>
          <w:sz w:val="24"/>
          <w:szCs w:val="24"/>
        </w:rPr>
        <w:footnoteReference w:id="16"/>
      </w:r>
      <w:r>
        <w:rPr>
          <w:rFonts w:ascii="Arial" w:hAnsi="Arial" w:cs="Arial"/>
          <w:i/>
          <w:sz w:val="24"/>
          <w:szCs w:val="24"/>
        </w:rPr>
        <w:t xml:space="preserve"> </w:t>
      </w:r>
      <w:r>
        <w:rPr>
          <w:rFonts w:ascii="Arial" w:hAnsi="Arial" w:cs="Arial"/>
          <w:sz w:val="24"/>
          <w:szCs w:val="24"/>
        </w:rPr>
        <w:t xml:space="preserve">where the applicants were trade union office bearers - secretary and treasurer. They were evicted from the union offices they occupied. It was held that their occupation of those offices was merely in their capacities as office bearers and employees of the union and </w:t>
      </w:r>
      <w:r w:rsidR="006403AF">
        <w:rPr>
          <w:rFonts w:ascii="Arial" w:hAnsi="Arial" w:cs="Arial"/>
          <w:sz w:val="24"/>
          <w:szCs w:val="24"/>
        </w:rPr>
        <w:t>that they were consequently not entitled to spoliation relief.</w:t>
      </w:r>
      <w:r w:rsidR="00C258CE">
        <w:rPr>
          <w:rStyle w:val="FootnoteReference"/>
          <w:rFonts w:ascii="Arial" w:hAnsi="Arial" w:cs="Arial"/>
          <w:sz w:val="24"/>
          <w:szCs w:val="24"/>
        </w:rPr>
        <w:footnoteReference w:id="17"/>
      </w:r>
    </w:p>
    <w:p w:rsidR="00F374D6" w:rsidRDefault="00F374D6" w:rsidP="00F374D6">
      <w:pPr>
        <w:pStyle w:val="ListParagraph"/>
        <w:rPr>
          <w:rFonts w:ascii="Arial" w:hAnsi="Arial" w:cs="Arial"/>
          <w:sz w:val="24"/>
          <w:szCs w:val="24"/>
        </w:rPr>
      </w:pPr>
    </w:p>
    <w:p w:rsidR="00F374D6" w:rsidRDefault="006403AF"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this matter, the second appellant has failed to show that he has a right of which he has been </w:t>
      </w:r>
      <w:r w:rsidR="00C258CE">
        <w:rPr>
          <w:rFonts w:ascii="Arial" w:hAnsi="Arial" w:cs="Arial"/>
          <w:sz w:val="24"/>
          <w:szCs w:val="24"/>
        </w:rPr>
        <w:t>spoliated</w:t>
      </w:r>
      <w:r>
        <w:rPr>
          <w:rFonts w:ascii="Arial" w:hAnsi="Arial" w:cs="Arial"/>
          <w:sz w:val="24"/>
          <w:szCs w:val="24"/>
        </w:rPr>
        <w:t xml:space="preserve"> over and above an interest he has claimed as chairperson or council member or senior traditional councillor.</w:t>
      </w:r>
      <w:r w:rsidR="00E97453">
        <w:rPr>
          <w:rFonts w:ascii="Arial" w:hAnsi="Arial" w:cs="Arial"/>
          <w:sz w:val="24"/>
          <w:szCs w:val="24"/>
        </w:rPr>
        <w:t xml:space="preserve"> His possession was in that capacity and for no benefit to himself.</w:t>
      </w:r>
    </w:p>
    <w:p w:rsidR="006403AF" w:rsidRDefault="006403AF" w:rsidP="006403AF">
      <w:pPr>
        <w:pStyle w:val="ListParagraph"/>
        <w:rPr>
          <w:rFonts w:ascii="Arial" w:hAnsi="Arial" w:cs="Arial"/>
          <w:sz w:val="24"/>
          <w:szCs w:val="24"/>
        </w:rPr>
      </w:pPr>
    </w:p>
    <w:p w:rsidR="006403AF" w:rsidRDefault="006403AF"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second appellant </w:t>
      </w:r>
      <w:r w:rsidR="00E97453">
        <w:rPr>
          <w:rFonts w:ascii="Arial" w:hAnsi="Arial" w:cs="Arial"/>
          <w:sz w:val="24"/>
          <w:szCs w:val="24"/>
        </w:rPr>
        <w:t xml:space="preserve">also </w:t>
      </w:r>
      <w:r>
        <w:rPr>
          <w:rFonts w:ascii="Arial" w:hAnsi="Arial" w:cs="Arial"/>
          <w:sz w:val="24"/>
          <w:szCs w:val="24"/>
        </w:rPr>
        <w:t>faced the further difficulty on the facts properly approached by failing to</w:t>
      </w:r>
      <w:r w:rsidR="0050635E">
        <w:rPr>
          <w:rFonts w:ascii="Arial" w:hAnsi="Arial" w:cs="Arial"/>
          <w:sz w:val="24"/>
          <w:szCs w:val="24"/>
        </w:rPr>
        <w:t xml:space="preserve"> establish that he is in any event a council member elected under the constitution. As the High Court correctly held, the respondents’ version of two subsequent elections in 2010 and 2013 following </w:t>
      </w:r>
      <w:r w:rsidR="007003B1">
        <w:rPr>
          <w:rFonts w:ascii="Arial" w:hAnsi="Arial" w:cs="Arial"/>
          <w:sz w:val="24"/>
          <w:szCs w:val="24"/>
        </w:rPr>
        <w:t>the election of</w:t>
      </w:r>
      <w:r w:rsidR="0050635E">
        <w:rPr>
          <w:rFonts w:ascii="Arial" w:hAnsi="Arial" w:cs="Arial"/>
          <w:sz w:val="24"/>
          <w:szCs w:val="24"/>
        </w:rPr>
        <w:t xml:space="preserve"> those</w:t>
      </w:r>
      <w:r w:rsidR="007003B1">
        <w:rPr>
          <w:rFonts w:ascii="Arial" w:hAnsi="Arial" w:cs="Arial"/>
          <w:sz w:val="24"/>
          <w:szCs w:val="24"/>
        </w:rPr>
        <w:t xml:space="preserve"> person</w:t>
      </w:r>
      <w:r w:rsidR="002B7062">
        <w:rPr>
          <w:rFonts w:ascii="Arial" w:hAnsi="Arial" w:cs="Arial"/>
          <w:sz w:val="24"/>
          <w:szCs w:val="24"/>
        </w:rPr>
        <w:t>s</w:t>
      </w:r>
      <w:r w:rsidR="007003B1">
        <w:rPr>
          <w:rFonts w:ascii="Arial" w:hAnsi="Arial" w:cs="Arial"/>
          <w:sz w:val="24"/>
          <w:szCs w:val="24"/>
        </w:rPr>
        <w:t xml:space="preserve"> set out </w:t>
      </w:r>
      <w:r w:rsidR="0050635E">
        <w:rPr>
          <w:rFonts w:ascii="Arial" w:hAnsi="Arial" w:cs="Arial"/>
          <w:sz w:val="24"/>
          <w:szCs w:val="24"/>
        </w:rPr>
        <w:t>on ABM1,</w:t>
      </w:r>
      <w:r w:rsidR="007003B1">
        <w:rPr>
          <w:rFonts w:ascii="Arial" w:hAnsi="Arial" w:cs="Arial"/>
          <w:sz w:val="24"/>
          <w:szCs w:val="24"/>
        </w:rPr>
        <w:t xml:space="preserve"> including the second appellant</w:t>
      </w:r>
      <w:r w:rsidR="00E97453">
        <w:rPr>
          <w:rFonts w:ascii="Arial" w:hAnsi="Arial" w:cs="Arial"/>
          <w:sz w:val="24"/>
          <w:szCs w:val="24"/>
        </w:rPr>
        <w:t xml:space="preserve"> was to be accepted</w:t>
      </w:r>
      <w:r w:rsidR="0050635E">
        <w:rPr>
          <w:rFonts w:ascii="Arial" w:hAnsi="Arial" w:cs="Arial"/>
          <w:sz w:val="24"/>
          <w:szCs w:val="24"/>
        </w:rPr>
        <w:t>. The appellants’ bare denial (that the elections were not in accordance with the constitution without amplification) cannot avail the appel</w:t>
      </w:r>
      <w:r w:rsidR="002B7062">
        <w:rPr>
          <w:rFonts w:ascii="Arial" w:hAnsi="Arial" w:cs="Arial"/>
          <w:sz w:val="24"/>
          <w:szCs w:val="24"/>
        </w:rPr>
        <w:t>lants in the face of the detailed account</w:t>
      </w:r>
      <w:r w:rsidR="0050635E">
        <w:rPr>
          <w:rFonts w:ascii="Arial" w:hAnsi="Arial" w:cs="Arial"/>
          <w:sz w:val="24"/>
          <w:szCs w:val="24"/>
        </w:rPr>
        <w:t xml:space="preserve"> of the two elections</w:t>
      </w:r>
      <w:r w:rsidR="007003B1">
        <w:rPr>
          <w:rFonts w:ascii="Arial" w:hAnsi="Arial" w:cs="Arial"/>
          <w:sz w:val="24"/>
          <w:szCs w:val="24"/>
        </w:rPr>
        <w:t xml:space="preserve"> provided by the respondents</w:t>
      </w:r>
      <w:r w:rsidR="0050635E">
        <w:rPr>
          <w:rFonts w:ascii="Arial" w:hAnsi="Arial" w:cs="Arial"/>
          <w:sz w:val="24"/>
          <w:szCs w:val="24"/>
        </w:rPr>
        <w:t xml:space="preserve">. This yet further difficulty would in any event preclude the second </w:t>
      </w:r>
      <w:r w:rsidR="00ED02C5">
        <w:rPr>
          <w:rFonts w:ascii="Arial" w:hAnsi="Arial" w:cs="Arial"/>
          <w:sz w:val="24"/>
          <w:szCs w:val="24"/>
        </w:rPr>
        <w:t xml:space="preserve">appellant from establishing </w:t>
      </w:r>
      <w:r w:rsidR="00ED02C5">
        <w:rPr>
          <w:rFonts w:ascii="Arial" w:hAnsi="Arial" w:cs="Arial"/>
          <w:i/>
          <w:sz w:val="24"/>
          <w:szCs w:val="24"/>
        </w:rPr>
        <w:t>locus standi</w:t>
      </w:r>
      <w:r w:rsidR="00ED02C5">
        <w:rPr>
          <w:rFonts w:ascii="Arial" w:hAnsi="Arial" w:cs="Arial"/>
          <w:sz w:val="24"/>
          <w:szCs w:val="24"/>
        </w:rPr>
        <w:t xml:space="preserve"> as</w:t>
      </w:r>
      <w:r w:rsidR="007003B1">
        <w:rPr>
          <w:rFonts w:ascii="Arial" w:hAnsi="Arial" w:cs="Arial"/>
          <w:sz w:val="24"/>
          <w:szCs w:val="24"/>
        </w:rPr>
        <w:t xml:space="preserve"> chairperson</w:t>
      </w:r>
      <w:r w:rsidR="00E97453">
        <w:rPr>
          <w:rFonts w:ascii="Arial" w:hAnsi="Arial" w:cs="Arial"/>
          <w:sz w:val="24"/>
          <w:szCs w:val="24"/>
        </w:rPr>
        <w:t xml:space="preserve"> or as</w:t>
      </w:r>
      <w:r w:rsidR="00ED02C5">
        <w:rPr>
          <w:rFonts w:ascii="Arial" w:hAnsi="Arial" w:cs="Arial"/>
          <w:sz w:val="24"/>
          <w:szCs w:val="24"/>
        </w:rPr>
        <w:t xml:space="preserve"> a member of council even if he were to establish a right which could be protected in spoliation</w:t>
      </w:r>
      <w:r w:rsidR="007003B1">
        <w:rPr>
          <w:rFonts w:ascii="Arial" w:hAnsi="Arial" w:cs="Arial"/>
          <w:sz w:val="24"/>
          <w:szCs w:val="24"/>
        </w:rPr>
        <w:t xml:space="preserve"> which I have shown he had failed to do so</w:t>
      </w:r>
      <w:r w:rsidR="00ED02C5">
        <w:rPr>
          <w:rFonts w:ascii="Arial" w:hAnsi="Arial" w:cs="Arial"/>
          <w:sz w:val="24"/>
          <w:szCs w:val="24"/>
        </w:rPr>
        <w:t>.</w:t>
      </w:r>
    </w:p>
    <w:p w:rsidR="00E97453" w:rsidRDefault="00E97453" w:rsidP="00E97453">
      <w:pPr>
        <w:pStyle w:val="ListParagraph"/>
        <w:rPr>
          <w:rFonts w:ascii="Arial" w:hAnsi="Arial" w:cs="Arial"/>
          <w:sz w:val="24"/>
          <w:szCs w:val="24"/>
        </w:rPr>
      </w:pPr>
    </w:p>
    <w:p w:rsidR="00E97453" w:rsidRDefault="00E9745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second applicant thus failed to establish legal standing to </w:t>
      </w:r>
      <w:r w:rsidR="00280A33">
        <w:rPr>
          <w:rFonts w:ascii="Arial" w:hAnsi="Arial" w:cs="Arial"/>
          <w:sz w:val="24"/>
          <w:szCs w:val="24"/>
        </w:rPr>
        <w:t>seek the relief set out in paragraph</w:t>
      </w:r>
      <w:r>
        <w:rPr>
          <w:rFonts w:ascii="Arial" w:hAnsi="Arial" w:cs="Arial"/>
          <w:sz w:val="24"/>
          <w:szCs w:val="24"/>
        </w:rPr>
        <w:t>s 1, 2, 3, 4, 5, 7, 8, 9 and 10 of the notice of motion, as found by the court below.</w:t>
      </w:r>
    </w:p>
    <w:p w:rsidR="00F374D6" w:rsidRDefault="00F374D6" w:rsidP="00F374D6">
      <w:pPr>
        <w:pStyle w:val="ListParagraph"/>
        <w:rPr>
          <w:rFonts w:ascii="Arial" w:hAnsi="Arial" w:cs="Arial"/>
          <w:sz w:val="24"/>
          <w:szCs w:val="24"/>
        </w:rPr>
      </w:pPr>
    </w:p>
    <w:p w:rsidR="00F374D6" w:rsidRDefault="00ED02C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There remains the relief set out in paragraphs 6</w:t>
      </w:r>
      <w:r w:rsidR="002B7062">
        <w:rPr>
          <w:rFonts w:ascii="Arial" w:hAnsi="Arial" w:cs="Arial"/>
          <w:sz w:val="24"/>
          <w:szCs w:val="24"/>
        </w:rPr>
        <w:t>,</w:t>
      </w:r>
      <w:r>
        <w:rPr>
          <w:rFonts w:ascii="Arial" w:hAnsi="Arial" w:cs="Arial"/>
          <w:sz w:val="24"/>
          <w:szCs w:val="24"/>
        </w:rPr>
        <w:t xml:space="preserve"> declaring</w:t>
      </w:r>
      <w:r w:rsidR="002B7062">
        <w:rPr>
          <w:rFonts w:ascii="Arial" w:hAnsi="Arial" w:cs="Arial"/>
          <w:sz w:val="24"/>
          <w:szCs w:val="24"/>
        </w:rPr>
        <w:t xml:space="preserve"> that</w:t>
      </w:r>
      <w:r>
        <w:rPr>
          <w:rFonts w:ascii="Arial" w:hAnsi="Arial" w:cs="Arial"/>
          <w:sz w:val="24"/>
          <w:szCs w:val="24"/>
        </w:rPr>
        <w:t xml:space="preserve"> a decision taken by the 14</w:t>
      </w:r>
      <w:r w:rsidRPr="00ED02C5">
        <w:rPr>
          <w:rFonts w:ascii="Arial" w:hAnsi="Arial" w:cs="Arial"/>
          <w:sz w:val="24"/>
          <w:szCs w:val="24"/>
          <w:vertAlign w:val="superscript"/>
        </w:rPr>
        <w:t>th</w:t>
      </w:r>
      <w:r>
        <w:rPr>
          <w:rFonts w:ascii="Arial" w:hAnsi="Arial" w:cs="Arial"/>
          <w:sz w:val="24"/>
          <w:szCs w:val="24"/>
        </w:rPr>
        <w:t xml:space="preserve"> resp</w:t>
      </w:r>
      <w:r w:rsidR="007003B1">
        <w:rPr>
          <w:rFonts w:ascii="Arial" w:hAnsi="Arial" w:cs="Arial"/>
          <w:sz w:val="24"/>
          <w:szCs w:val="24"/>
        </w:rPr>
        <w:t>ondent on 31 October 2009 was nu</w:t>
      </w:r>
      <w:r>
        <w:rPr>
          <w:rFonts w:ascii="Arial" w:hAnsi="Arial" w:cs="Arial"/>
          <w:sz w:val="24"/>
          <w:szCs w:val="24"/>
        </w:rPr>
        <w:t>ll and void. The decision is not stated in the notice of motion. It is dealt with in a solitary paragraph in the second appellant’s founding affidavit in these terms.</w:t>
      </w:r>
    </w:p>
    <w:p w:rsidR="007F3637" w:rsidRDefault="007F3637" w:rsidP="007F3637">
      <w:pPr>
        <w:pStyle w:val="ListParagraph"/>
        <w:rPr>
          <w:rFonts w:ascii="Arial" w:hAnsi="Arial" w:cs="Arial"/>
        </w:rPr>
      </w:pPr>
    </w:p>
    <w:p w:rsidR="00ED02C5" w:rsidRPr="007F3637" w:rsidRDefault="00ED02C5" w:rsidP="007F3637">
      <w:pPr>
        <w:pStyle w:val="NoSpacing"/>
        <w:spacing w:line="480" w:lineRule="auto"/>
        <w:ind w:left="720"/>
        <w:jc w:val="both"/>
        <w:rPr>
          <w:rFonts w:ascii="Arial" w:hAnsi="Arial" w:cs="Arial"/>
        </w:rPr>
      </w:pPr>
      <w:r w:rsidRPr="007F3637">
        <w:rPr>
          <w:rFonts w:ascii="Arial" w:hAnsi="Arial" w:cs="Arial"/>
        </w:rPr>
        <w:t>‘</w:t>
      </w:r>
      <w:r w:rsidR="00900815" w:rsidRPr="007F3637">
        <w:rPr>
          <w:rFonts w:ascii="Arial" w:eastAsia="Times New Roman" w:hAnsi="Arial" w:cs="Arial"/>
          <w:lang w:val="en-US" w:eastAsia="en-ZA"/>
        </w:rPr>
        <w:t>On 31 October 2009 whilst I was still a senior traditional councilor and whilst I was still the chairperson of the first applicant's council, I and other members of the 1</w:t>
      </w:r>
      <w:r w:rsidR="00900815" w:rsidRPr="007F3637">
        <w:rPr>
          <w:rFonts w:ascii="Arial" w:eastAsia="Times New Roman" w:hAnsi="Arial" w:cs="Arial"/>
          <w:vertAlign w:val="superscript"/>
          <w:lang w:val="en-US" w:eastAsia="en-ZA"/>
        </w:rPr>
        <w:t>st</w:t>
      </w:r>
      <w:r w:rsidR="00900815" w:rsidRPr="007F3637">
        <w:rPr>
          <w:rFonts w:ascii="Arial" w:eastAsia="Times New Roman" w:hAnsi="Arial" w:cs="Arial"/>
          <w:lang w:val="en-US" w:eastAsia="en-ZA"/>
        </w:rPr>
        <w:t xml:space="preserve"> applicant received letters authored and signed by the 14</w:t>
      </w:r>
      <w:r w:rsidR="00900815" w:rsidRPr="007F3637">
        <w:rPr>
          <w:rFonts w:ascii="Arial" w:eastAsia="Times New Roman" w:hAnsi="Arial" w:cs="Arial"/>
          <w:vertAlign w:val="superscript"/>
          <w:lang w:val="en-US" w:eastAsia="en-ZA"/>
        </w:rPr>
        <w:t>th</w:t>
      </w:r>
      <w:r w:rsidR="00900815" w:rsidRPr="007F3637">
        <w:rPr>
          <w:rFonts w:ascii="Arial" w:eastAsia="Times New Roman" w:hAnsi="Arial" w:cs="Arial"/>
          <w:lang w:val="en-US" w:eastAsia="en-ZA"/>
        </w:rPr>
        <w:t xml:space="preserve"> respondent terminating our respective incumbencies and membership of the first applicant's council. I attach hereto copies of the letters and mark </w:t>
      </w:r>
      <w:r w:rsidR="00900815" w:rsidRPr="00E97453">
        <w:rPr>
          <w:rFonts w:ascii="Arial" w:eastAsia="Times New Roman" w:hAnsi="Arial" w:cs="Arial"/>
          <w:lang w:val="en-US" w:eastAsia="en-ZA"/>
        </w:rPr>
        <w:t xml:space="preserve">them </w:t>
      </w:r>
      <w:r w:rsidR="00E97453" w:rsidRPr="00E97453">
        <w:rPr>
          <w:rFonts w:ascii="Arial" w:eastAsia="Times New Roman" w:hAnsi="Arial" w:cs="Arial"/>
          <w:lang w:val="en-US" w:eastAsia="en-ZA"/>
        </w:rPr>
        <w:t>“</w:t>
      </w:r>
      <w:r w:rsidR="00900815" w:rsidRPr="00E97453">
        <w:rPr>
          <w:rFonts w:ascii="Arial" w:eastAsia="Times New Roman" w:hAnsi="Arial" w:cs="Arial"/>
          <w:bCs/>
          <w:lang w:val="en-US" w:eastAsia="en-ZA"/>
        </w:rPr>
        <w:t>ABM 20</w:t>
      </w:r>
      <w:r w:rsidR="00E97453" w:rsidRPr="00E97453">
        <w:rPr>
          <w:rFonts w:ascii="Arial" w:eastAsia="Times New Roman" w:hAnsi="Arial" w:cs="Arial"/>
          <w:bCs/>
          <w:lang w:val="en-US" w:eastAsia="en-ZA"/>
        </w:rPr>
        <w:t>”</w:t>
      </w:r>
      <w:r w:rsidR="00900815" w:rsidRPr="00E97453">
        <w:rPr>
          <w:rFonts w:ascii="Arial" w:eastAsia="Times New Roman" w:hAnsi="Arial" w:cs="Arial"/>
          <w:bCs/>
          <w:lang w:val="en-US" w:eastAsia="en-ZA"/>
        </w:rPr>
        <w:t>.</w:t>
      </w:r>
      <w:r w:rsidR="00900815" w:rsidRPr="007F3637">
        <w:rPr>
          <w:rFonts w:ascii="Arial" w:eastAsia="Times New Roman" w:hAnsi="Arial" w:cs="Arial"/>
          <w:b/>
          <w:bCs/>
          <w:lang w:val="en-US" w:eastAsia="en-ZA"/>
        </w:rPr>
        <w:t xml:space="preserve"> </w:t>
      </w:r>
      <w:r w:rsidR="00900815" w:rsidRPr="007F3637">
        <w:rPr>
          <w:rFonts w:ascii="Arial" w:eastAsia="Times New Roman" w:hAnsi="Arial" w:cs="Arial"/>
          <w:lang w:val="en-US" w:eastAsia="en-ZA"/>
        </w:rPr>
        <w:t>It is apparent from the terms of this letter that the 14</w:t>
      </w:r>
      <w:r w:rsidR="00900815" w:rsidRPr="007F3637">
        <w:rPr>
          <w:rFonts w:ascii="Arial" w:eastAsia="Times New Roman" w:hAnsi="Arial" w:cs="Arial"/>
          <w:vertAlign w:val="superscript"/>
          <w:lang w:val="en-US" w:eastAsia="en-ZA"/>
        </w:rPr>
        <w:t>th</w:t>
      </w:r>
      <w:r w:rsidR="00900815" w:rsidRPr="007F3637">
        <w:rPr>
          <w:rFonts w:ascii="Arial" w:eastAsia="Times New Roman" w:hAnsi="Arial" w:cs="Arial"/>
          <w:lang w:val="en-US" w:eastAsia="en-ZA"/>
        </w:rPr>
        <w:t xml:space="preserve"> respondent claims to have acted in his purported capacity of chairman of interim committee. I point out that, I was never given a hearing or an opportunity to be heard before this decision was taken. I assert in any event that the 14</w:t>
      </w:r>
      <w:r w:rsidR="00900815" w:rsidRPr="007F3637">
        <w:rPr>
          <w:rFonts w:ascii="Arial" w:eastAsia="Times New Roman" w:hAnsi="Arial" w:cs="Arial"/>
          <w:vertAlign w:val="superscript"/>
          <w:lang w:val="en-US" w:eastAsia="en-ZA"/>
        </w:rPr>
        <w:t>th</w:t>
      </w:r>
      <w:r w:rsidR="00900815" w:rsidRPr="007F3637">
        <w:rPr>
          <w:rFonts w:ascii="Arial" w:eastAsia="Times New Roman" w:hAnsi="Arial" w:cs="Arial"/>
          <w:lang w:val="en-US" w:eastAsia="en-ZA"/>
        </w:rPr>
        <w:t xml:space="preserve"> respondent had no legal authority to terminate my incumbency as chairman of the first applicant's council.</w:t>
      </w:r>
      <w:r w:rsidRPr="007F3637">
        <w:rPr>
          <w:rFonts w:ascii="Arial" w:hAnsi="Arial" w:cs="Arial"/>
        </w:rPr>
        <w:t>’</w:t>
      </w:r>
    </w:p>
    <w:p w:rsidR="00ED02C5" w:rsidRPr="00ED02C5" w:rsidRDefault="00ED02C5" w:rsidP="007F3637">
      <w:pPr>
        <w:pStyle w:val="NoSpacing"/>
        <w:spacing w:line="480" w:lineRule="auto"/>
        <w:rPr>
          <w:rFonts w:ascii="Arial" w:hAnsi="Arial" w:cs="Arial"/>
        </w:rPr>
      </w:pPr>
    </w:p>
    <w:p w:rsidR="00ED02C5" w:rsidRDefault="00ED02C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Only three letters were attached</w:t>
      </w:r>
      <w:r w:rsidR="007003B1">
        <w:rPr>
          <w:rFonts w:ascii="Arial" w:hAnsi="Arial" w:cs="Arial"/>
          <w:sz w:val="24"/>
          <w:szCs w:val="24"/>
        </w:rPr>
        <w:t xml:space="preserve">. They were </w:t>
      </w:r>
      <w:r>
        <w:rPr>
          <w:rFonts w:ascii="Arial" w:hAnsi="Arial" w:cs="Arial"/>
          <w:sz w:val="24"/>
          <w:szCs w:val="24"/>
        </w:rPr>
        <w:t xml:space="preserve">addressed to three of the persons listed in annexure ABM1, none of whom made affidavits. </w:t>
      </w:r>
      <w:r w:rsidR="007003B1">
        <w:rPr>
          <w:rFonts w:ascii="Arial" w:hAnsi="Arial" w:cs="Arial"/>
          <w:sz w:val="24"/>
          <w:szCs w:val="24"/>
        </w:rPr>
        <w:t xml:space="preserve">No letter addressed to the second appellant was attached. </w:t>
      </w:r>
      <w:r>
        <w:rPr>
          <w:rFonts w:ascii="Arial" w:hAnsi="Arial" w:cs="Arial"/>
          <w:sz w:val="24"/>
          <w:szCs w:val="24"/>
        </w:rPr>
        <w:t>The letters sought to terminate the addressee’s services as members of the Itireleng ‘Reinstated Council’.</w:t>
      </w:r>
    </w:p>
    <w:p w:rsidR="00ED02C5" w:rsidRDefault="00ED02C5" w:rsidP="00ED02C5">
      <w:pPr>
        <w:pStyle w:val="ListParagraph"/>
        <w:rPr>
          <w:rFonts w:ascii="Arial" w:hAnsi="Arial" w:cs="Arial"/>
          <w:sz w:val="24"/>
          <w:szCs w:val="24"/>
        </w:rPr>
      </w:pPr>
    </w:p>
    <w:p w:rsidR="00ED02C5" w:rsidRDefault="00ED02C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second appellant contends that </w:t>
      </w:r>
      <w:r w:rsidR="00AA5F84">
        <w:rPr>
          <w:rFonts w:ascii="Arial" w:hAnsi="Arial" w:cs="Arial"/>
          <w:sz w:val="24"/>
          <w:szCs w:val="24"/>
        </w:rPr>
        <w:t>the 14</w:t>
      </w:r>
      <w:r w:rsidR="00AA5F84" w:rsidRPr="00AA5F84">
        <w:rPr>
          <w:rFonts w:ascii="Arial" w:hAnsi="Arial" w:cs="Arial"/>
          <w:sz w:val="24"/>
          <w:szCs w:val="24"/>
          <w:vertAlign w:val="superscript"/>
        </w:rPr>
        <w:t>th</w:t>
      </w:r>
      <w:r w:rsidR="00AA5F84">
        <w:rPr>
          <w:rFonts w:ascii="Arial" w:hAnsi="Arial" w:cs="Arial"/>
          <w:sz w:val="24"/>
          <w:szCs w:val="24"/>
        </w:rPr>
        <w:t xml:space="preserve"> respondent sought to terminate his membership and chairmanship of the council in a similarly worded letter. </w:t>
      </w:r>
      <w:r w:rsidR="002B7062">
        <w:rPr>
          <w:rFonts w:ascii="Arial" w:hAnsi="Arial" w:cs="Arial"/>
          <w:sz w:val="24"/>
          <w:szCs w:val="24"/>
        </w:rPr>
        <w:t xml:space="preserve">The </w:t>
      </w:r>
      <w:r w:rsidR="002B7062">
        <w:rPr>
          <w:rFonts w:ascii="Arial" w:hAnsi="Arial" w:cs="Arial"/>
          <w:sz w:val="24"/>
          <w:szCs w:val="24"/>
        </w:rPr>
        <w:lastRenderedPageBreak/>
        <w:t>second appellant</w:t>
      </w:r>
      <w:r w:rsidR="00AA5F84">
        <w:rPr>
          <w:rFonts w:ascii="Arial" w:hAnsi="Arial" w:cs="Arial"/>
          <w:sz w:val="24"/>
          <w:szCs w:val="24"/>
        </w:rPr>
        <w:t xml:space="preserve"> would have standing to contest </w:t>
      </w:r>
      <w:r w:rsidR="007003B1">
        <w:rPr>
          <w:rFonts w:ascii="Arial" w:hAnsi="Arial" w:cs="Arial"/>
          <w:sz w:val="24"/>
          <w:szCs w:val="24"/>
        </w:rPr>
        <w:t>his</w:t>
      </w:r>
      <w:r w:rsidR="00AA5F84">
        <w:rPr>
          <w:rFonts w:ascii="Arial" w:hAnsi="Arial" w:cs="Arial"/>
          <w:sz w:val="24"/>
          <w:szCs w:val="24"/>
        </w:rPr>
        <w:t xml:space="preserve"> termination in </w:t>
      </w:r>
      <w:r w:rsidR="007003B1">
        <w:rPr>
          <w:rFonts w:ascii="Arial" w:hAnsi="Arial" w:cs="Arial"/>
          <w:sz w:val="24"/>
          <w:szCs w:val="24"/>
        </w:rPr>
        <w:t>the position of</w:t>
      </w:r>
      <w:r w:rsidR="00AA5F84">
        <w:rPr>
          <w:rFonts w:ascii="Arial" w:hAnsi="Arial" w:cs="Arial"/>
          <w:sz w:val="24"/>
          <w:szCs w:val="24"/>
        </w:rPr>
        <w:t xml:space="preserve"> chairperson and member of council</w:t>
      </w:r>
      <w:r w:rsidR="007003B1">
        <w:rPr>
          <w:rFonts w:ascii="Arial" w:hAnsi="Arial" w:cs="Arial"/>
          <w:sz w:val="24"/>
          <w:szCs w:val="24"/>
        </w:rPr>
        <w:t xml:space="preserve"> in his claimed capacity</w:t>
      </w:r>
      <w:r w:rsidR="00AA5F84">
        <w:rPr>
          <w:rFonts w:ascii="Arial" w:hAnsi="Arial" w:cs="Arial"/>
          <w:sz w:val="24"/>
          <w:szCs w:val="24"/>
        </w:rPr>
        <w:t>. The High Court thus erred in holding that the second appellant lacked standing</w:t>
      </w:r>
      <w:r w:rsidR="007003B1">
        <w:rPr>
          <w:rFonts w:ascii="Arial" w:hAnsi="Arial" w:cs="Arial"/>
          <w:sz w:val="24"/>
          <w:szCs w:val="24"/>
        </w:rPr>
        <w:t xml:space="preserve"> in</w:t>
      </w:r>
      <w:r w:rsidR="00AA5F84">
        <w:rPr>
          <w:rFonts w:ascii="Arial" w:hAnsi="Arial" w:cs="Arial"/>
          <w:sz w:val="24"/>
          <w:szCs w:val="24"/>
        </w:rPr>
        <w:t xml:space="preserve"> the capacities asserted for this relief. The High Court however found that this claim as well as those set out in paragraphs 1, 2, 3, 4 and 5 had prescribed. It </w:t>
      </w:r>
      <w:r w:rsidR="007003B1">
        <w:rPr>
          <w:rFonts w:ascii="Arial" w:hAnsi="Arial" w:cs="Arial"/>
          <w:sz w:val="24"/>
          <w:szCs w:val="24"/>
        </w:rPr>
        <w:t>had been</w:t>
      </w:r>
      <w:r w:rsidR="00AA5F84">
        <w:rPr>
          <w:rFonts w:ascii="Arial" w:hAnsi="Arial" w:cs="Arial"/>
          <w:sz w:val="24"/>
          <w:szCs w:val="24"/>
        </w:rPr>
        <w:t xml:space="preserve"> correctly conceded that the claim in paragraph 9 had prescribed</w:t>
      </w:r>
      <w:r w:rsidR="007003B1">
        <w:rPr>
          <w:rFonts w:ascii="Arial" w:hAnsi="Arial" w:cs="Arial"/>
          <w:sz w:val="24"/>
          <w:szCs w:val="24"/>
        </w:rPr>
        <w:t>. T</w:t>
      </w:r>
      <w:r w:rsidR="00AA5F84">
        <w:rPr>
          <w:rFonts w:ascii="Arial" w:hAnsi="Arial" w:cs="Arial"/>
          <w:sz w:val="24"/>
          <w:szCs w:val="24"/>
        </w:rPr>
        <w:t xml:space="preserve">he High Court correctly found that the spoliation relief sought in paragraphs 7 and 8 would not prescribe. The relief sought in paragraph 10 was alleged to have </w:t>
      </w:r>
      <w:r w:rsidR="002B7062">
        <w:rPr>
          <w:rFonts w:ascii="Arial" w:hAnsi="Arial" w:cs="Arial"/>
          <w:sz w:val="24"/>
          <w:szCs w:val="24"/>
        </w:rPr>
        <w:t>a</w:t>
      </w:r>
      <w:r w:rsidR="00AA5F84">
        <w:rPr>
          <w:rFonts w:ascii="Arial" w:hAnsi="Arial" w:cs="Arial"/>
          <w:sz w:val="24"/>
          <w:szCs w:val="24"/>
        </w:rPr>
        <w:t>risen less than three years before the application was brought.</w:t>
      </w:r>
    </w:p>
    <w:p w:rsidR="00ED02C5" w:rsidRDefault="00ED02C5" w:rsidP="00ED02C5">
      <w:pPr>
        <w:pStyle w:val="ListParagraph"/>
        <w:rPr>
          <w:rFonts w:ascii="Arial" w:hAnsi="Arial" w:cs="Arial"/>
          <w:sz w:val="24"/>
          <w:szCs w:val="24"/>
        </w:rPr>
      </w:pPr>
    </w:p>
    <w:p w:rsidR="00ED02C5" w:rsidRDefault="00AA5F84"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It is accordingly necessary to determine whether the court below was correct in ruling that the relief sought in paragraph 6 had prescribed.</w:t>
      </w:r>
    </w:p>
    <w:p w:rsidR="00ED02C5" w:rsidRDefault="00ED02C5" w:rsidP="007003B1">
      <w:pPr>
        <w:rPr>
          <w:rFonts w:ascii="Arial" w:hAnsi="Arial" w:cs="Arial"/>
          <w:sz w:val="24"/>
          <w:szCs w:val="24"/>
        </w:rPr>
      </w:pPr>
    </w:p>
    <w:p w:rsidR="007003B1" w:rsidRPr="007003B1" w:rsidRDefault="007003B1" w:rsidP="007003B1">
      <w:pPr>
        <w:rPr>
          <w:rFonts w:ascii="Arial" w:hAnsi="Arial" w:cs="Arial"/>
          <w:sz w:val="24"/>
          <w:szCs w:val="24"/>
          <w:u w:val="single"/>
        </w:rPr>
      </w:pPr>
      <w:r w:rsidRPr="007003B1">
        <w:rPr>
          <w:rFonts w:ascii="Arial" w:hAnsi="Arial" w:cs="Arial"/>
          <w:sz w:val="24"/>
          <w:szCs w:val="24"/>
          <w:u w:val="single"/>
        </w:rPr>
        <w:t>The plea of prescription</w:t>
      </w:r>
      <w:r w:rsidR="002B7062">
        <w:rPr>
          <w:rFonts w:ascii="Arial" w:hAnsi="Arial" w:cs="Arial"/>
          <w:sz w:val="24"/>
          <w:szCs w:val="24"/>
          <w:u w:val="single"/>
        </w:rPr>
        <w:t xml:space="preserve"> in respect of the relief </w:t>
      </w:r>
      <w:r w:rsidR="00280A33">
        <w:rPr>
          <w:rFonts w:ascii="Arial" w:hAnsi="Arial" w:cs="Arial"/>
          <w:sz w:val="24"/>
          <w:szCs w:val="24"/>
          <w:u w:val="single"/>
        </w:rPr>
        <w:t xml:space="preserve">in </w:t>
      </w:r>
      <w:r w:rsidR="002B7062">
        <w:rPr>
          <w:rFonts w:ascii="Arial" w:hAnsi="Arial" w:cs="Arial"/>
          <w:sz w:val="24"/>
          <w:szCs w:val="24"/>
          <w:u w:val="single"/>
        </w:rPr>
        <w:t>paragraph 6</w:t>
      </w:r>
    </w:p>
    <w:p w:rsidR="00ED02C5" w:rsidRDefault="00AA5F84"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w:t>
      </w:r>
      <w:r w:rsidR="007003B1">
        <w:rPr>
          <w:rFonts w:ascii="Arial" w:hAnsi="Arial" w:cs="Arial"/>
          <w:sz w:val="24"/>
          <w:szCs w:val="24"/>
        </w:rPr>
        <w:t>High C</w:t>
      </w:r>
      <w:r>
        <w:rPr>
          <w:rFonts w:ascii="Arial" w:hAnsi="Arial" w:cs="Arial"/>
          <w:sz w:val="24"/>
          <w:szCs w:val="24"/>
        </w:rPr>
        <w:t xml:space="preserve">ourt held that </w:t>
      </w:r>
      <w:r w:rsidR="007003B1">
        <w:rPr>
          <w:rFonts w:ascii="Arial" w:hAnsi="Arial" w:cs="Arial"/>
          <w:sz w:val="24"/>
          <w:szCs w:val="24"/>
        </w:rPr>
        <w:t>for</w:t>
      </w:r>
      <w:r>
        <w:rPr>
          <w:rFonts w:ascii="Arial" w:hAnsi="Arial" w:cs="Arial"/>
          <w:sz w:val="24"/>
          <w:szCs w:val="24"/>
        </w:rPr>
        <w:t xml:space="preserve"> the purposes of prescription, a debt arises when a per</w:t>
      </w:r>
      <w:r w:rsidR="007104AA">
        <w:rPr>
          <w:rFonts w:ascii="Arial" w:hAnsi="Arial" w:cs="Arial"/>
          <w:sz w:val="24"/>
          <w:szCs w:val="24"/>
        </w:rPr>
        <w:t xml:space="preserve">son acquires a right or when he or she ought to have been reasonably aware of the right to take legal action. The court further held the right to apply for declaratory relief or an interdict is a personal right and falls </w:t>
      </w:r>
      <w:r w:rsidR="007003B1">
        <w:rPr>
          <w:rFonts w:ascii="Arial" w:hAnsi="Arial" w:cs="Arial"/>
          <w:sz w:val="24"/>
          <w:szCs w:val="24"/>
        </w:rPr>
        <w:t>within</w:t>
      </w:r>
      <w:r w:rsidR="007104AA">
        <w:rPr>
          <w:rFonts w:ascii="Arial" w:hAnsi="Arial" w:cs="Arial"/>
          <w:sz w:val="24"/>
          <w:szCs w:val="24"/>
        </w:rPr>
        <w:t xml:space="preserve"> the meaning of ‘debt’ as envisaged by the Prescription Act, 68 of 1969. This was the basis for holding that the relief sought in paragraphs 1 to 6 had prescribed.</w:t>
      </w:r>
    </w:p>
    <w:p w:rsidR="007104AA" w:rsidRDefault="007104AA" w:rsidP="007104AA">
      <w:pPr>
        <w:pStyle w:val="ListParagraph"/>
        <w:rPr>
          <w:rFonts w:ascii="Arial" w:hAnsi="Arial" w:cs="Arial"/>
          <w:sz w:val="24"/>
          <w:szCs w:val="24"/>
        </w:rPr>
      </w:pPr>
    </w:p>
    <w:p w:rsidR="007104AA" w:rsidRDefault="007104AA"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In my view, the plea of prescription is not established in respect of paragraph 6 (as well as </w:t>
      </w:r>
      <w:r w:rsidR="007003B1">
        <w:rPr>
          <w:rFonts w:ascii="Arial" w:hAnsi="Arial" w:cs="Arial"/>
          <w:sz w:val="24"/>
          <w:szCs w:val="24"/>
        </w:rPr>
        <w:t xml:space="preserve">in respect of </w:t>
      </w:r>
      <w:r>
        <w:rPr>
          <w:rFonts w:ascii="Arial" w:hAnsi="Arial" w:cs="Arial"/>
          <w:sz w:val="24"/>
          <w:szCs w:val="24"/>
        </w:rPr>
        <w:t xml:space="preserve">paragraphs 1 to </w:t>
      </w:r>
      <w:r w:rsidR="007003B1">
        <w:rPr>
          <w:rFonts w:ascii="Arial" w:hAnsi="Arial" w:cs="Arial"/>
          <w:sz w:val="24"/>
          <w:szCs w:val="24"/>
        </w:rPr>
        <w:t>5</w:t>
      </w:r>
      <w:r w:rsidR="00EE363D">
        <w:rPr>
          <w:rFonts w:ascii="Arial" w:hAnsi="Arial" w:cs="Arial"/>
          <w:sz w:val="24"/>
          <w:szCs w:val="24"/>
        </w:rPr>
        <w:t xml:space="preserve"> although it is not necessary for present purposes to further elaborate in respect of these items, given the lack of legal standing of the applicants to seek that relief</w:t>
      </w:r>
      <w:r>
        <w:rPr>
          <w:rFonts w:ascii="Arial" w:hAnsi="Arial" w:cs="Arial"/>
          <w:sz w:val="24"/>
          <w:szCs w:val="24"/>
        </w:rPr>
        <w:t xml:space="preserve">) because the relief claimed in </w:t>
      </w:r>
      <w:r w:rsidR="007003B1">
        <w:rPr>
          <w:rFonts w:ascii="Arial" w:hAnsi="Arial" w:cs="Arial"/>
          <w:sz w:val="24"/>
          <w:szCs w:val="24"/>
        </w:rPr>
        <w:t xml:space="preserve">each of </w:t>
      </w:r>
      <w:r w:rsidR="007003B1">
        <w:rPr>
          <w:rFonts w:ascii="Arial" w:hAnsi="Arial" w:cs="Arial"/>
          <w:sz w:val="24"/>
          <w:szCs w:val="24"/>
        </w:rPr>
        <w:lastRenderedPageBreak/>
        <w:t>these</w:t>
      </w:r>
      <w:r>
        <w:rPr>
          <w:rFonts w:ascii="Arial" w:hAnsi="Arial" w:cs="Arial"/>
          <w:sz w:val="24"/>
          <w:szCs w:val="24"/>
        </w:rPr>
        <w:t xml:space="preserve"> paragraphs do</w:t>
      </w:r>
      <w:r w:rsidR="007003B1">
        <w:rPr>
          <w:rFonts w:ascii="Arial" w:hAnsi="Arial" w:cs="Arial"/>
          <w:sz w:val="24"/>
          <w:szCs w:val="24"/>
        </w:rPr>
        <w:t>es</w:t>
      </w:r>
      <w:r>
        <w:rPr>
          <w:rFonts w:ascii="Arial" w:hAnsi="Arial" w:cs="Arial"/>
          <w:sz w:val="24"/>
          <w:szCs w:val="24"/>
        </w:rPr>
        <w:t xml:space="preserve"> not constitute</w:t>
      </w:r>
      <w:r w:rsidR="007003B1">
        <w:rPr>
          <w:rFonts w:ascii="Arial" w:hAnsi="Arial" w:cs="Arial"/>
          <w:sz w:val="24"/>
          <w:szCs w:val="24"/>
        </w:rPr>
        <w:t xml:space="preserve"> a</w:t>
      </w:r>
      <w:r>
        <w:rPr>
          <w:rFonts w:ascii="Arial" w:hAnsi="Arial" w:cs="Arial"/>
          <w:sz w:val="24"/>
          <w:szCs w:val="24"/>
        </w:rPr>
        <w:t xml:space="preserve"> ‘debt’ within the meaning of the Prescription Act.</w:t>
      </w:r>
    </w:p>
    <w:p w:rsidR="007104AA" w:rsidRDefault="007104AA" w:rsidP="007104AA">
      <w:pPr>
        <w:pStyle w:val="ListParagraph"/>
        <w:rPr>
          <w:rFonts w:ascii="Arial" w:hAnsi="Arial" w:cs="Arial"/>
          <w:sz w:val="24"/>
          <w:szCs w:val="24"/>
        </w:rPr>
      </w:pPr>
    </w:p>
    <w:p w:rsidR="007104AA" w:rsidRDefault="007104AA"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w:t>
      </w:r>
      <w:r w:rsidR="002B7062">
        <w:rPr>
          <w:rFonts w:ascii="Arial" w:hAnsi="Arial" w:cs="Arial"/>
          <w:sz w:val="24"/>
          <w:szCs w:val="24"/>
        </w:rPr>
        <w:t>applicable principles were</w:t>
      </w:r>
      <w:r>
        <w:rPr>
          <w:rFonts w:ascii="Arial" w:hAnsi="Arial" w:cs="Arial"/>
          <w:sz w:val="24"/>
          <w:szCs w:val="24"/>
        </w:rPr>
        <w:t xml:space="preserve"> rece</w:t>
      </w:r>
      <w:r w:rsidR="002B7062">
        <w:rPr>
          <w:rFonts w:ascii="Arial" w:hAnsi="Arial" w:cs="Arial"/>
          <w:sz w:val="24"/>
          <w:szCs w:val="24"/>
        </w:rPr>
        <w:t>ntly eloquently summarised by Wa</w:t>
      </w:r>
      <w:r>
        <w:rPr>
          <w:rFonts w:ascii="Arial" w:hAnsi="Arial" w:cs="Arial"/>
          <w:sz w:val="24"/>
          <w:szCs w:val="24"/>
        </w:rPr>
        <w:t>llis AJ</w:t>
      </w:r>
      <w:r w:rsidR="002B7062">
        <w:rPr>
          <w:rFonts w:ascii="Arial" w:hAnsi="Arial" w:cs="Arial"/>
          <w:sz w:val="24"/>
          <w:szCs w:val="24"/>
        </w:rPr>
        <w:t xml:space="preserve"> in the South African Constitutional Court</w:t>
      </w:r>
      <w:r>
        <w:rPr>
          <w:rFonts w:ascii="Arial" w:hAnsi="Arial" w:cs="Arial"/>
          <w:sz w:val="24"/>
          <w:szCs w:val="24"/>
        </w:rPr>
        <w:t xml:space="preserve"> in </w:t>
      </w:r>
      <w:r>
        <w:rPr>
          <w:rFonts w:ascii="Arial" w:hAnsi="Arial" w:cs="Arial"/>
          <w:i/>
          <w:sz w:val="24"/>
          <w:szCs w:val="24"/>
        </w:rPr>
        <w:t>Makate v Vodacom Ltd</w:t>
      </w:r>
      <w:r w:rsidR="002B7062">
        <w:rPr>
          <w:rStyle w:val="FootnoteReference"/>
          <w:rFonts w:ascii="Arial" w:hAnsi="Arial" w:cs="Arial"/>
          <w:i/>
          <w:sz w:val="24"/>
          <w:szCs w:val="24"/>
        </w:rPr>
        <w:footnoteReference w:id="18"/>
      </w:r>
      <w:r>
        <w:rPr>
          <w:rFonts w:ascii="Arial" w:hAnsi="Arial" w:cs="Arial"/>
          <w:sz w:val="24"/>
          <w:szCs w:val="24"/>
        </w:rPr>
        <w:t xml:space="preserve"> in the following way:</w:t>
      </w:r>
    </w:p>
    <w:p w:rsidR="007104AA" w:rsidRPr="007104AA" w:rsidRDefault="007104AA" w:rsidP="007104AA">
      <w:pPr>
        <w:pStyle w:val="NoSpacing"/>
        <w:spacing w:line="360" w:lineRule="auto"/>
        <w:rPr>
          <w:rFonts w:ascii="Arial" w:hAnsi="Arial" w:cs="Arial"/>
        </w:rPr>
      </w:pPr>
    </w:p>
    <w:p w:rsidR="007F3637" w:rsidRDefault="007F3637" w:rsidP="007F3637">
      <w:pPr>
        <w:pStyle w:val="NoSpacing"/>
        <w:spacing w:line="360" w:lineRule="auto"/>
        <w:ind w:left="720"/>
        <w:jc w:val="both"/>
        <w:rPr>
          <w:rFonts w:ascii="Arial" w:hAnsi="Arial" w:cs="Arial"/>
          <w:lang w:val="en-GB"/>
        </w:rPr>
      </w:pPr>
      <w:r w:rsidRPr="007F3637">
        <w:rPr>
          <w:rFonts w:ascii="Arial" w:hAnsi="Arial" w:cs="Arial"/>
        </w:rPr>
        <w:t>‘</w:t>
      </w:r>
      <w:r>
        <w:rPr>
          <w:rFonts w:ascii="Arial" w:hAnsi="Arial" w:cs="Arial"/>
          <w:lang w:val="en-GB"/>
        </w:rPr>
        <w:t>[187]</w:t>
      </w:r>
      <w:r>
        <w:rPr>
          <w:rFonts w:ascii="Arial" w:hAnsi="Arial" w:cs="Arial"/>
          <w:lang w:val="en-GB"/>
        </w:rPr>
        <w:tab/>
      </w:r>
      <w:r w:rsidRPr="007F3637">
        <w:rPr>
          <w:rFonts w:ascii="Arial" w:hAnsi="Arial" w:cs="Arial"/>
          <w:lang w:val="en-GB"/>
        </w:rPr>
        <w:t>Section 10 of the Prescription Act provides for a “debt” to be extinguished by prescription.  In terms of section 12(1) prescription begins to run when the debt is due.  The meaning that has been given to the word “debt” since the Prescription Act came into force has been in accordance with the definition in the New Shorter Oxford Dictionary, namely:</w:t>
      </w:r>
    </w:p>
    <w:p w:rsidR="007F3637" w:rsidRPr="007F3637" w:rsidRDefault="007F3637" w:rsidP="007F3637">
      <w:pPr>
        <w:pStyle w:val="NoSpacing"/>
        <w:spacing w:line="360" w:lineRule="auto"/>
        <w:ind w:left="720"/>
        <w:jc w:val="both"/>
        <w:rPr>
          <w:rFonts w:ascii="Arial" w:hAnsi="Arial" w:cs="Arial"/>
        </w:rPr>
      </w:pPr>
    </w:p>
    <w:p w:rsidR="007F3637" w:rsidRPr="007F3637" w:rsidRDefault="007F3637" w:rsidP="007F3637">
      <w:pPr>
        <w:pStyle w:val="NoSpacing"/>
        <w:spacing w:line="360" w:lineRule="auto"/>
        <w:ind w:left="1440"/>
        <w:jc w:val="both"/>
        <w:rPr>
          <w:rFonts w:ascii="Arial" w:hAnsi="Arial" w:cs="Arial"/>
        </w:rPr>
      </w:pPr>
      <w:r w:rsidRPr="007F3637">
        <w:rPr>
          <w:rFonts w:ascii="Arial" w:hAnsi="Arial" w:cs="Arial"/>
        </w:rPr>
        <w:t>“1. Something owed or due: something (as money, goods or service) which one person is under an obligation to pay or render to another.</w:t>
      </w:r>
    </w:p>
    <w:p w:rsidR="007F3637" w:rsidRPr="007F3637" w:rsidRDefault="007F3637" w:rsidP="007F3637">
      <w:pPr>
        <w:pStyle w:val="NoSpacing"/>
        <w:spacing w:line="360" w:lineRule="auto"/>
        <w:ind w:left="1440"/>
        <w:jc w:val="both"/>
        <w:rPr>
          <w:rFonts w:ascii="Arial" w:hAnsi="Arial" w:cs="Arial"/>
        </w:rPr>
      </w:pPr>
      <w:r w:rsidRPr="007F3637">
        <w:rPr>
          <w:rFonts w:ascii="Arial" w:hAnsi="Arial" w:cs="Arial"/>
        </w:rPr>
        <w:t xml:space="preserve">2. A liability or obligation to pay or render something; the condition of being so obligated.” </w:t>
      </w:r>
    </w:p>
    <w:p w:rsidR="00EE363D" w:rsidRDefault="00EE363D" w:rsidP="007F3637">
      <w:pPr>
        <w:pStyle w:val="NoSpacing"/>
        <w:spacing w:line="360" w:lineRule="auto"/>
        <w:ind w:left="720"/>
        <w:jc w:val="both"/>
        <w:rPr>
          <w:rFonts w:ascii="Arial" w:hAnsi="Arial" w:cs="Arial"/>
        </w:rPr>
      </w:pPr>
    </w:p>
    <w:p w:rsidR="007F3637" w:rsidRPr="007F3637" w:rsidRDefault="007F3637" w:rsidP="007F3637">
      <w:pPr>
        <w:pStyle w:val="NoSpacing"/>
        <w:spacing w:line="360" w:lineRule="auto"/>
        <w:ind w:left="720"/>
        <w:jc w:val="both"/>
        <w:rPr>
          <w:rFonts w:ascii="Arial" w:hAnsi="Arial" w:cs="Arial"/>
        </w:rPr>
      </w:pPr>
      <w:r w:rsidRPr="007F3637">
        <w:rPr>
          <w:rFonts w:ascii="Arial" w:hAnsi="Arial" w:cs="Arial"/>
        </w:rPr>
        <w:t>I agree with the main judgment that if the statement in </w:t>
      </w:r>
      <w:r w:rsidRPr="007F3637">
        <w:rPr>
          <w:rFonts w:ascii="Arial" w:hAnsi="Arial" w:cs="Arial"/>
          <w:i/>
          <w:iCs/>
        </w:rPr>
        <w:t>Desai</w:t>
      </w:r>
      <w:r w:rsidRPr="007F3637">
        <w:rPr>
          <w:rFonts w:ascii="Arial" w:hAnsi="Arial" w:cs="Arial"/>
        </w:rPr>
        <w:t xml:space="preserve"> that debt “has a wide and general meaning, and includes an obligation to do something or refrain from doing something” was intended to extend this meaning, that was an error. </w:t>
      </w:r>
    </w:p>
    <w:p w:rsidR="007F3637" w:rsidRDefault="007F3637" w:rsidP="007F3637">
      <w:pPr>
        <w:pStyle w:val="NoSpacing"/>
        <w:spacing w:line="360" w:lineRule="auto"/>
        <w:jc w:val="both"/>
        <w:rPr>
          <w:rFonts w:ascii="Arial" w:hAnsi="Arial" w:cs="Arial"/>
          <w:lang w:val="en-GB"/>
        </w:rPr>
      </w:pPr>
    </w:p>
    <w:p w:rsidR="007F3637" w:rsidRPr="007F3637" w:rsidRDefault="007F3637" w:rsidP="007F3637">
      <w:pPr>
        <w:pStyle w:val="NoSpacing"/>
        <w:spacing w:line="360" w:lineRule="auto"/>
        <w:ind w:left="720"/>
        <w:jc w:val="both"/>
        <w:rPr>
          <w:rFonts w:ascii="Arial" w:hAnsi="Arial" w:cs="Arial"/>
        </w:rPr>
      </w:pPr>
      <w:r>
        <w:rPr>
          <w:rFonts w:ascii="Arial" w:hAnsi="Arial" w:cs="Arial"/>
          <w:lang w:val="en-GB"/>
        </w:rPr>
        <w:t>[188]</w:t>
      </w:r>
      <w:r>
        <w:rPr>
          <w:rFonts w:ascii="Arial" w:hAnsi="Arial" w:cs="Arial"/>
          <w:lang w:val="en-GB"/>
        </w:rPr>
        <w:tab/>
      </w:r>
      <w:r w:rsidRPr="007F3637">
        <w:rPr>
          <w:rFonts w:ascii="Arial" w:hAnsi="Arial" w:cs="Arial"/>
          <w:lang w:val="en-GB"/>
        </w:rPr>
        <w:t>The correlative of a debt in this sense is a right of action vested in the creditor in which the payment of money, or the delivery of goods, or the rendering of services is claimed.  And, when payment, delivery or the rendering of services extinguishes the debt, the right of action is likewise extinguished.  That is why section 12(1) of the Prescription Act provides that prescription will commence to run once the debt is due.  If the debt is not due then prescription cannot run. Debts become due when they are immediately claimable or recoverable.</w:t>
      </w:r>
      <w:bookmarkStart w:id="1" w:name="_ftnref184"/>
      <w:r w:rsidRPr="007F3637">
        <w:rPr>
          <w:rFonts w:ascii="Arial" w:hAnsi="Arial" w:cs="Arial"/>
        </w:rPr>
        <w:fldChar w:fldCharType="begin"/>
      </w:r>
      <w:r w:rsidRPr="007F3637">
        <w:rPr>
          <w:rFonts w:ascii="Arial" w:hAnsi="Arial" w:cs="Arial"/>
        </w:rPr>
        <w:instrText xml:space="preserve"> HYPERLINK "http://www.saflii.org/za/cases/ZACC/2016/13.html" \l "_ftn184" </w:instrText>
      </w:r>
      <w:r w:rsidRPr="007F3637">
        <w:rPr>
          <w:rFonts w:ascii="Arial" w:hAnsi="Arial" w:cs="Arial"/>
        </w:rPr>
        <w:fldChar w:fldCharType="end"/>
      </w:r>
      <w:bookmarkEnd w:id="1"/>
    </w:p>
    <w:p w:rsidR="007F3637" w:rsidRDefault="007F3637" w:rsidP="007F3637">
      <w:pPr>
        <w:pStyle w:val="NoSpacing"/>
        <w:spacing w:line="360" w:lineRule="auto"/>
        <w:jc w:val="both"/>
        <w:rPr>
          <w:rFonts w:ascii="Arial" w:hAnsi="Arial" w:cs="Arial"/>
          <w:lang w:val="en-GB"/>
        </w:rPr>
      </w:pPr>
    </w:p>
    <w:p w:rsidR="007F3637" w:rsidRPr="007F3637" w:rsidRDefault="007F3637" w:rsidP="007F3637">
      <w:pPr>
        <w:pStyle w:val="NoSpacing"/>
        <w:spacing w:line="360" w:lineRule="auto"/>
        <w:ind w:left="720"/>
        <w:jc w:val="both"/>
        <w:rPr>
          <w:rFonts w:ascii="Arial" w:hAnsi="Arial" w:cs="Arial"/>
        </w:rPr>
      </w:pPr>
      <w:r>
        <w:rPr>
          <w:rFonts w:ascii="Arial" w:hAnsi="Arial" w:cs="Arial"/>
          <w:lang w:val="en-GB"/>
        </w:rPr>
        <w:t>[189]</w:t>
      </w:r>
      <w:r>
        <w:rPr>
          <w:rFonts w:ascii="Arial" w:hAnsi="Arial" w:cs="Arial"/>
          <w:lang w:val="en-GB"/>
        </w:rPr>
        <w:tab/>
      </w:r>
      <w:r w:rsidRPr="007F3637">
        <w:rPr>
          <w:rFonts w:ascii="Arial" w:hAnsi="Arial" w:cs="Arial"/>
          <w:lang w:val="en-GB"/>
        </w:rPr>
        <w:t>Not all rights of action give rise to debts.  That is well illustrated by the recent decision in </w:t>
      </w:r>
      <w:r w:rsidRPr="007F3637">
        <w:rPr>
          <w:rFonts w:ascii="Arial" w:hAnsi="Arial" w:cs="Arial"/>
          <w:i/>
          <w:iCs/>
          <w:lang w:val="en-GB"/>
        </w:rPr>
        <w:t>Keet</w:t>
      </w:r>
      <w:r w:rsidRPr="007F3637">
        <w:rPr>
          <w:rFonts w:ascii="Arial" w:hAnsi="Arial" w:cs="Arial"/>
          <w:lang w:val="en-GB"/>
        </w:rPr>
        <w:t>.  Based on an ambiguous and obiter statement in the first instance Court in </w:t>
      </w:r>
      <w:r w:rsidRPr="007F3637">
        <w:rPr>
          <w:rFonts w:ascii="Arial" w:hAnsi="Arial" w:cs="Arial"/>
          <w:i/>
          <w:iCs/>
          <w:lang w:val="en-GB"/>
        </w:rPr>
        <w:t>Evins</w:t>
      </w:r>
      <w:r w:rsidRPr="007F3637">
        <w:rPr>
          <w:rFonts w:ascii="Arial" w:hAnsi="Arial" w:cs="Arial"/>
          <w:lang w:val="en-GB"/>
        </w:rPr>
        <w:t xml:space="preserve"> it had been said in a series of cases in the Supreme Court of </w:t>
      </w:r>
      <w:r w:rsidRPr="007F3637">
        <w:rPr>
          <w:rFonts w:ascii="Arial" w:hAnsi="Arial" w:cs="Arial"/>
          <w:lang w:val="en-GB"/>
        </w:rPr>
        <w:lastRenderedPageBreak/>
        <w:t>Appeal that a vindicatory claim, that is, a claim to assert a right of ownership in an asset, gave rise to a debt capable of being extinguished by extinctive prescription under section 10 of the Prescription Act.  This occasioned confusion because the owner would remain the owner of the asset, but would not be entitled to exercise its rights of ownership against the possessor thereof.  In effect it would be deprived of its rights of ownership by way of extinctive prescription, whereas the loss of the right of ownership by way of prescription is a matter of acquisitive prescription, which is dealt with in Chapter I and sections 1 to 5 of the Prescription Act, not Chapter III and sections 10 to 12 of that Act.</w:t>
      </w:r>
    </w:p>
    <w:p w:rsidR="007F3637" w:rsidRDefault="007F3637" w:rsidP="007F3637">
      <w:pPr>
        <w:pStyle w:val="NoSpacing"/>
        <w:spacing w:line="360" w:lineRule="auto"/>
        <w:jc w:val="both"/>
        <w:rPr>
          <w:rFonts w:ascii="Arial" w:hAnsi="Arial" w:cs="Arial"/>
          <w:lang w:val="en-GB"/>
        </w:rPr>
      </w:pPr>
    </w:p>
    <w:p w:rsidR="007F3637" w:rsidRPr="007F3637" w:rsidRDefault="007F3637" w:rsidP="007F3637">
      <w:pPr>
        <w:pStyle w:val="NoSpacing"/>
        <w:spacing w:line="360" w:lineRule="auto"/>
        <w:ind w:left="720"/>
        <w:jc w:val="both"/>
        <w:rPr>
          <w:rFonts w:ascii="Arial" w:hAnsi="Arial" w:cs="Arial"/>
        </w:rPr>
      </w:pPr>
      <w:r>
        <w:rPr>
          <w:rFonts w:ascii="Arial" w:hAnsi="Arial" w:cs="Arial"/>
          <w:lang w:val="en-GB"/>
        </w:rPr>
        <w:t>[190]</w:t>
      </w:r>
      <w:r>
        <w:rPr>
          <w:rFonts w:ascii="Arial" w:hAnsi="Arial" w:cs="Arial"/>
          <w:lang w:val="en-GB"/>
        </w:rPr>
        <w:tab/>
      </w:r>
      <w:r w:rsidRPr="007F3637">
        <w:rPr>
          <w:rFonts w:ascii="Arial" w:hAnsi="Arial" w:cs="Arial"/>
          <w:lang w:val="en-GB"/>
        </w:rPr>
        <w:t>The Court in </w:t>
      </w:r>
      <w:r w:rsidRPr="007F3637">
        <w:rPr>
          <w:rFonts w:ascii="Arial" w:hAnsi="Arial" w:cs="Arial"/>
          <w:i/>
          <w:iCs/>
          <w:lang w:val="en-GB"/>
        </w:rPr>
        <w:t>Keet </w:t>
      </w:r>
      <w:r w:rsidRPr="007F3637">
        <w:rPr>
          <w:rFonts w:ascii="Arial" w:hAnsi="Arial" w:cs="Arial"/>
          <w:lang w:val="en-GB"/>
        </w:rPr>
        <w:t>overruled these earlier cases and held that acquisitive prescription dealt with the acquisition (and corresponding loss) of real rights such as ownership, while extinctive prescription dealt with the extinguishment of debts and their correlative rights of action, in other words, with personal rights.  The relevance of the case to the present one is that it illustrates that not every right to approach a court for relief will amount to a debt for the purposes of extinctive prescription.  So the right to claim delivery of the motor vehicle in that case did not give rise to a “debt” for the purposes of extinctive prescription in terms of section 10 of the Prescription Act.</w:t>
      </w:r>
    </w:p>
    <w:p w:rsidR="007F3637" w:rsidRDefault="007F3637" w:rsidP="007F3637">
      <w:pPr>
        <w:pStyle w:val="NoSpacing"/>
        <w:spacing w:line="360" w:lineRule="auto"/>
        <w:jc w:val="both"/>
        <w:rPr>
          <w:rFonts w:ascii="Arial" w:hAnsi="Arial" w:cs="Arial"/>
          <w:lang w:val="en-GB"/>
        </w:rPr>
      </w:pPr>
    </w:p>
    <w:p w:rsidR="007F3637" w:rsidRPr="007F3637" w:rsidRDefault="007F3637" w:rsidP="007F3637">
      <w:pPr>
        <w:pStyle w:val="NoSpacing"/>
        <w:spacing w:line="360" w:lineRule="auto"/>
        <w:ind w:left="720"/>
        <w:jc w:val="both"/>
        <w:rPr>
          <w:rFonts w:ascii="Arial" w:hAnsi="Arial" w:cs="Arial"/>
        </w:rPr>
      </w:pPr>
      <w:r>
        <w:rPr>
          <w:rFonts w:ascii="Arial" w:hAnsi="Arial" w:cs="Arial"/>
          <w:lang w:val="en-GB"/>
        </w:rPr>
        <w:t>[191]</w:t>
      </w:r>
      <w:r>
        <w:rPr>
          <w:rFonts w:ascii="Arial" w:hAnsi="Arial" w:cs="Arial"/>
          <w:lang w:val="en-GB"/>
        </w:rPr>
        <w:tab/>
      </w:r>
      <w:r w:rsidRPr="007F3637">
        <w:rPr>
          <w:rFonts w:ascii="Arial" w:hAnsi="Arial" w:cs="Arial"/>
          <w:lang w:val="en-GB"/>
        </w:rPr>
        <w:t>It will be apparent from this that, depending on their source, rights of action directed at the same purpose and seeking identical relief may in one case give rise to a debt for the purposes of prescription and in another not.  For example a right to claim occupation under a lease is a personal right and the obligation to satisfy that right by delivering possession of the property leased will be a debt capable of prescribing.  But a claim to possession of the same property arising from a registered right of </w:t>
      </w:r>
      <w:r w:rsidRPr="007F3637">
        <w:rPr>
          <w:rFonts w:ascii="Arial" w:hAnsi="Arial" w:cs="Arial"/>
          <w:i/>
          <w:iCs/>
          <w:lang w:val="en-GB"/>
        </w:rPr>
        <w:t>usus </w:t>
      </w:r>
      <w:r w:rsidRPr="007F3637">
        <w:rPr>
          <w:rFonts w:ascii="Arial" w:hAnsi="Arial" w:cs="Arial"/>
          <w:lang w:val="en-GB"/>
        </w:rPr>
        <w:t>or </w:t>
      </w:r>
      <w:r w:rsidRPr="007F3637">
        <w:rPr>
          <w:rFonts w:ascii="Arial" w:hAnsi="Arial" w:cs="Arial"/>
          <w:i/>
          <w:iCs/>
          <w:lang w:val="en-GB"/>
        </w:rPr>
        <w:t>habitatio </w:t>
      </w:r>
      <w:r w:rsidRPr="007F3637">
        <w:rPr>
          <w:rFonts w:ascii="Arial" w:hAnsi="Arial" w:cs="Arial"/>
          <w:lang w:val="en-GB"/>
        </w:rPr>
        <w:t>will not.</w:t>
      </w:r>
    </w:p>
    <w:p w:rsidR="007F3637" w:rsidRDefault="007F3637" w:rsidP="007F3637">
      <w:pPr>
        <w:pStyle w:val="NoSpacing"/>
        <w:spacing w:line="360" w:lineRule="auto"/>
        <w:jc w:val="both"/>
        <w:rPr>
          <w:rFonts w:ascii="Arial" w:hAnsi="Arial" w:cs="Arial"/>
          <w:lang w:val="en-GB"/>
        </w:rPr>
      </w:pPr>
    </w:p>
    <w:p w:rsidR="007F3637" w:rsidRPr="007F3637" w:rsidRDefault="007F3637" w:rsidP="007F3637">
      <w:pPr>
        <w:pStyle w:val="NoSpacing"/>
        <w:spacing w:line="360" w:lineRule="auto"/>
        <w:ind w:left="720"/>
        <w:jc w:val="both"/>
        <w:rPr>
          <w:rFonts w:ascii="Arial" w:hAnsi="Arial" w:cs="Arial"/>
        </w:rPr>
      </w:pPr>
      <w:r w:rsidRPr="007F3637">
        <w:rPr>
          <w:rFonts w:ascii="Arial" w:hAnsi="Arial" w:cs="Arial"/>
          <w:lang w:val="en-GB"/>
        </w:rPr>
        <w:t>[192]</w:t>
      </w:r>
      <w:r>
        <w:rPr>
          <w:rFonts w:ascii="Arial" w:hAnsi="Arial" w:cs="Arial"/>
          <w:lang w:val="en-GB"/>
        </w:rPr>
        <w:tab/>
      </w:r>
      <w:r w:rsidRPr="007F3637">
        <w:rPr>
          <w:rFonts w:ascii="Arial" w:hAnsi="Arial" w:cs="Arial"/>
          <w:lang w:val="en-GB"/>
        </w:rPr>
        <w:t xml:space="preserve">In the case of a continuing wrong there can be no question of prescription even though the wrong arises from a single act long in the past.  The reason, which may appear somewhat artificial, but which is well established, is said to be that while the original wrongful act may have occurred at a past time the wrong itself continues for so long as it is not abated.  But the running of prescription in respect of any financial claim arising from the same wrong will not be postponed.  Accordingly, if financial loss was occasioned by the original wrongful act, the debt in relation to that loss would become due and prescription would commence to run when the original wrongful act occurred and loss was suffered. The result is that the impact of </w:t>
      </w:r>
      <w:r w:rsidRPr="007F3637">
        <w:rPr>
          <w:rFonts w:ascii="Arial" w:hAnsi="Arial" w:cs="Arial"/>
          <w:lang w:val="en-GB"/>
        </w:rPr>
        <w:lastRenderedPageBreak/>
        <w:t>prescription on claims having their source in the same right may differ depending on the nature of the claim.</w:t>
      </w:r>
      <w:r>
        <w:rPr>
          <w:rFonts w:ascii="Arial" w:hAnsi="Arial" w:cs="Arial"/>
          <w:lang w:val="en-GB"/>
        </w:rPr>
        <w:t>’</w:t>
      </w:r>
    </w:p>
    <w:p w:rsidR="007104AA" w:rsidRPr="007104AA" w:rsidRDefault="007104AA" w:rsidP="007F3637">
      <w:pPr>
        <w:pStyle w:val="NoSpacing"/>
        <w:spacing w:line="480" w:lineRule="auto"/>
        <w:rPr>
          <w:rFonts w:ascii="Arial" w:hAnsi="Arial" w:cs="Arial"/>
        </w:rPr>
      </w:pPr>
    </w:p>
    <w:p w:rsidR="002B7062" w:rsidRDefault="007104AA"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relief sought in paragraph 6 is to declare an alleged decision to terminate</w:t>
      </w:r>
      <w:r w:rsidR="002B7062">
        <w:rPr>
          <w:rFonts w:ascii="Arial" w:hAnsi="Arial" w:cs="Arial"/>
          <w:sz w:val="24"/>
          <w:szCs w:val="24"/>
        </w:rPr>
        <w:t xml:space="preserve"> the second </w:t>
      </w:r>
      <w:r w:rsidR="00431E65">
        <w:rPr>
          <w:rFonts w:ascii="Arial" w:hAnsi="Arial" w:cs="Arial"/>
          <w:sz w:val="24"/>
          <w:szCs w:val="24"/>
        </w:rPr>
        <w:t>appellant’s</w:t>
      </w:r>
      <w:r>
        <w:rPr>
          <w:rFonts w:ascii="Arial" w:hAnsi="Arial" w:cs="Arial"/>
          <w:sz w:val="24"/>
          <w:szCs w:val="24"/>
        </w:rPr>
        <w:t xml:space="preserve"> membership of council as null and void. </w:t>
      </w:r>
      <w:r w:rsidR="007003B1">
        <w:rPr>
          <w:rFonts w:ascii="Arial" w:hAnsi="Arial" w:cs="Arial"/>
          <w:sz w:val="24"/>
          <w:szCs w:val="24"/>
        </w:rPr>
        <w:t>Even though t</w:t>
      </w:r>
      <w:r>
        <w:rPr>
          <w:rFonts w:ascii="Arial" w:hAnsi="Arial" w:cs="Arial"/>
          <w:sz w:val="24"/>
          <w:szCs w:val="24"/>
        </w:rPr>
        <w:t>he cause of action is barely specified</w:t>
      </w:r>
      <w:r w:rsidR="007003B1">
        <w:rPr>
          <w:rFonts w:ascii="Arial" w:hAnsi="Arial" w:cs="Arial"/>
          <w:sz w:val="24"/>
          <w:szCs w:val="24"/>
        </w:rPr>
        <w:t>,</w:t>
      </w:r>
      <w:r>
        <w:rPr>
          <w:rFonts w:ascii="Arial" w:hAnsi="Arial" w:cs="Arial"/>
          <w:sz w:val="24"/>
          <w:szCs w:val="24"/>
        </w:rPr>
        <w:t xml:space="preserve"> </w:t>
      </w:r>
      <w:r w:rsidR="00EE363D">
        <w:rPr>
          <w:rFonts w:ascii="Arial" w:hAnsi="Arial" w:cs="Arial"/>
          <w:sz w:val="24"/>
          <w:szCs w:val="24"/>
        </w:rPr>
        <w:t xml:space="preserve">it </w:t>
      </w:r>
      <w:r>
        <w:rPr>
          <w:rFonts w:ascii="Arial" w:hAnsi="Arial" w:cs="Arial"/>
          <w:sz w:val="24"/>
          <w:szCs w:val="24"/>
        </w:rPr>
        <w:t>would appear to rely upon the failure to accord the second appellant the right to be heard and thus a breach of natural justice</w:t>
      </w:r>
      <w:r w:rsidR="002B7062">
        <w:rPr>
          <w:rFonts w:ascii="Arial" w:hAnsi="Arial" w:cs="Arial"/>
          <w:sz w:val="24"/>
          <w:szCs w:val="24"/>
        </w:rPr>
        <w:t xml:space="preserve"> and the 14</w:t>
      </w:r>
      <w:r w:rsidR="002B7062" w:rsidRPr="002B7062">
        <w:rPr>
          <w:rFonts w:ascii="Arial" w:hAnsi="Arial" w:cs="Arial"/>
          <w:sz w:val="24"/>
          <w:szCs w:val="24"/>
          <w:vertAlign w:val="superscript"/>
        </w:rPr>
        <w:t>th</w:t>
      </w:r>
      <w:r w:rsidR="002B7062">
        <w:rPr>
          <w:rFonts w:ascii="Arial" w:hAnsi="Arial" w:cs="Arial"/>
          <w:sz w:val="24"/>
          <w:szCs w:val="24"/>
        </w:rPr>
        <w:t xml:space="preserve"> respondent exceeding his powers</w:t>
      </w:r>
      <w:r>
        <w:rPr>
          <w:rFonts w:ascii="Arial" w:hAnsi="Arial" w:cs="Arial"/>
          <w:sz w:val="24"/>
          <w:szCs w:val="24"/>
        </w:rPr>
        <w:t xml:space="preserve">. The </w:t>
      </w:r>
      <w:r w:rsidR="00087515">
        <w:rPr>
          <w:rFonts w:ascii="Arial" w:hAnsi="Arial" w:cs="Arial"/>
          <w:sz w:val="24"/>
          <w:szCs w:val="24"/>
        </w:rPr>
        <w:t xml:space="preserve">relief is in essence a review of </w:t>
      </w:r>
      <w:r w:rsidR="007003B1">
        <w:rPr>
          <w:rFonts w:ascii="Arial" w:hAnsi="Arial" w:cs="Arial"/>
          <w:sz w:val="24"/>
          <w:szCs w:val="24"/>
        </w:rPr>
        <w:t>a</w:t>
      </w:r>
      <w:r w:rsidR="00087515">
        <w:rPr>
          <w:rFonts w:ascii="Arial" w:hAnsi="Arial" w:cs="Arial"/>
          <w:sz w:val="24"/>
          <w:szCs w:val="24"/>
        </w:rPr>
        <w:t xml:space="preserve"> decision of the 14</w:t>
      </w:r>
      <w:r w:rsidR="00087515" w:rsidRPr="00087515">
        <w:rPr>
          <w:rFonts w:ascii="Arial" w:hAnsi="Arial" w:cs="Arial"/>
          <w:sz w:val="24"/>
          <w:szCs w:val="24"/>
          <w:vertAlign w:val="superscript"/>
        </w:rPr>
        <w:t>th</w:t>
      </w:r>
      <w:r w:rsidR="00087515">
        <w:rPr>
          <w:rFonts w:ascii="Arial" w:hAnsi="Arial" w:cs="Arial"/>
          <w:sz w:val="24"/>
          <w:szCs w:val="24"/>
        </w:rPr>
        <w:t xml:space="preserve"> respondent. </w:t>
      </w:r>
    </w:p>
    <w:p w:rsidR="002B7062" w:rsidRDefault="002B7062" w:rsidP="002B7062">
      <w:pPr>
        <w:pStyle w:val="NoSpacing"/>
        <w:spacing w:line="480" w:lineRule="auto"/>
        <w:jc w:val="both"/>
        <w:rPr>
          <w:rFonts w:ascii="Arial" w:hAnsi="Arial" w:cs="Arial"/>
          <w:sz w:val="24"/>
          <w:szCs w:val="24"/>
        </w:rPr>
      </w:pPr>
    </w:p>
    <w:p w:rsidR="007104AA" w:rsidRDefault="0008751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This does not in my view amount to debt as contemplated in the Prescription Act. It is not a right of action for money or the delivery of goods or the rendering of services which can be extinguished by prescription, as they could by payment or performance as </w:t>
      </w:r>
      <w:r w:rsidR="002B7062">
        <w:rPr>
          <w:rFonts w:ascii="Arial" w:hAnsi="Arial" w:cs="Arial"/>
          <w:sz w:val="24"/>
          <w:szCs w:val="24"/>
        </w:rPr>
        <w:t>explained</w:t>
      </w:r>
      <w:r>
        <w:rPr>
          <w:rFonts w:ascii="Arial" w:hAnsi="Arial" w:cs="Arial"/>
          <w:sz w:val="24"/>
          <w:szCs w:val="24"/>
        </w:rPr>
        <w:t xml:space="preserve"> by Wallis AJ in </w:t>
      </w:r>
      <w:r>
        <w:rPr>
          <w:rFonts w:ascii="Arial" w:hAnsi="Arial" w:cs="Arial"/>
          <w:i/>
          <w:sz w:val="24"/>
          <w:szCs w:val="24"/>
        </w:rPr>
        <w:t>Makate.</w:t>
      </w:r>
      <w:r>
        <w:rPr>
          <w:rStyle w:val="FootnoteReference"/>
          <w:rFonts w:ascii="Arial" w:hAnsi="Arial" w:cs="Arial"/>
          <w:i/>
          <w:sz w:val="24"/>
          <w:szCs w:val="24"/>
        </w:rPr>
        <w:footnoteReference w:id="19"/>
      </w:r>
      <w:r>
        <w:rPr>
          <w:rFonts w:ascii="Arial" w:hAnsi="Arial" w:cs="Arial"/>
          <w:sz w:val="24"/>
          <w:szCs w:val="24"/>
        </w:rPr>
        <w:t xml:space="preserve"> Certainly a claim for payment for damages arising from the termination would constitute a debt </w:t>
      </w:r>
      <w:r w:rsidR="00260FCC">
        <w:rPr>
          <w:rFonts w:ascii="Arial" w:hAnsi="Arial" w:cs="Arial"/>
          <w:sz w:val="24"/>
          <w:szCs w:val="24"/>
        </w:rPr>
        <w:t>and be susceptible to prescription. B</w:t>
      </w:r>
      <w:r>
        <w:rPr>
          <w:rFonts w:ascii="Arial" w:hAnsi="Arial" w:cs="Arial"/>
          <w:sz w:val="24"/>
          <w:szCs w:val="24"/>
        </w:rPr>
        <w:t xml:space="preserve">ut the setting aside of disciplinary action of a voluntary association would not in my </w:t>
      </w:r>
      <w:r w:rsidR="0036166B">
        <w:rPr>
          <w:rFonts w:ascii="Arial" w:hAnsi="Arial" w:cs="Arial"/>
          <w:sz w:val="24"/>
          <w:szCs w:val="24"/>
        </w:rPr>
        <w:t xml:space="preserve">view </w:t>
      </w:r>
      <w:r>
        <w:rPr>
          <w:rFonts w:ascii="Arial" w:hAnsi="Arial" w:cs="Arial"/>
          <w:sz w:val="24"/>
          <w:szCs w:val="24"/>
        </w:rPr>
        <w:t>amount to a debt even though damages</w:t>
      </w:r>
      <w:r w:rsidR="0036166B">
        <w:rPr>
          <w:rFonts w:ascii="Arial" w:hAnsi="Arial" w:cs="Arial"/>
          <w:sz w:val="24"/>
          <w:szCs w:val="24"/>
        </w:rPr>
        <w:t>,</w:t>
      </w:r>
      <w:r>
        <w:rPr>
          <w:rFonts w:ascii="Arial" w:hAnsi="Arial" w:cs="Arial"/>
          <w:sz w:val="24"/>
          <w:szCs w:val="24"/>
        </w:rPr>
        <w:t xml:space="preserve"> which may arise from it</w:t>
      </w:r>
      <w:r w:rsidR="0036166B">
        <w:rPr>
          <w:rFonts w:ascii="Arial" w:hAnsi="Arial" w:cs="Arial"/>
          <w:sz w:val="24"/>
          <w:szCs w:val="24"/>
        </w:rPr>
        <w:t>,</w:t>
      </w:r>
      <w:r>
        <w:rPr>
          <w:rFonts w:ascii="Arial" w:hAnsi="Arial" w:cs="Arial"/>
          <w:sz w:val="24"/>
          <w:szCs w:val="24"/>
        </w:rPr>
        <w:t xml:space="preserve"> </w:t>
      </w:r>
      <w:r w:rsidR="00EE363D">
        <w:rPr>
          <w:rFonts w:ascii="Arial" w:hAnsi="Arial" w:cs="Arial"/>
          <w:sz w:val="24"/>
          <w:szCs w:val="24"/>
        </w:rPr>
        <w:t xml:space="preserve">conceivably </w:t>
      </w:r>
      <w:r>
        <w:rPr>
          <w:rFonts w:ascii="Arial" w:hAnsi="Arial" w:cs="Arial"/>
          <w:sz w:val="24"/>
          <w:szCs w:val="24"/>
        </w:rPr>
        <w:t>could. Nor would interdictory relief arising from an ongoing wrong prescribe for the reasons articulated by Wallis AJ.</w:t>
      </w:r>
    </w:p>
    <w:p w:rsidR="00087515" w:rsidRDefault="00087515" w:rsidP="00087515">
      <w:pPr>
        <w:pStyle w:val="NoSpacing"/>
        <w:spacing w:line="480" w:lineRule="auto"/>
        <w:jc w:val="both"/>
        <w:rPr>
          <w:rFonts w:ascii="Arial" w:hAnsi="Arial" w:cs="Arial"/>
          <w:sz w:val="24"/>
          <w:szCs w:val="24"/>
        </w:rPr>
      </w:pPr>
    </w:p>
    <w:p w:rsidR="00087515" w:rsidRDefault="0008751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It follows that the relief sought in paragraph 6 had not prescribed. But insofar as it is directed at setting aside decision making by way of review – even though the appellants did not seek to invoke the procedural aid of rule </w:t>
      </w:r>
      <w:r w:rsidR="00260FCC">
        <w:rPr>
          <w:rFonts w:ascii="Arial" w:hAnsi="Arial" w:cs="Arial"/>
          <w:sz w:val="24"/>
          <w:szCs w:val="24"/>
        </w:rPr>
        <w:t>76 (form</w:t>
      </w:r>
      <w:r w:rsidR="0036166B">
        <w:rPr>
          <w:rFonts w:ascii="Arial" w:hAnsi="Arial" w:cs="Arial"/>
          <w:sz w:val="24"/>
          <w:szCs w:val="24"/>
        </w:rPr>
        <w:t>erly</w:t>
      </w:r>
      <w:r w:rsidR="00260FCC">
        <w:rPr>
          <w:rFonts w:ascii="Arial" w:hAnsi="Arial" w:cs="Arial"/>
          <w:sz w:val="24"/>
          <w:szCs w:val="24"/>
        </w:rPr>
        <w:t xml:space="preserve"> rule 53).</w:t>
      </w:r>
      <w:r>
        <w:rPr>
          <w:rFonts w:ascii="Arial" w:hAnsi="Arial" w:cs="Arial"/>
          <w:sz w:val="24"/>
          <w:szCs w:val="24"/>
        </w:rPr>
        <w:t xml:space="preserve"> Clearly a court will have regard to the actual nature of the relief sought and not the procedure adopted or the way in which it is formulated.</w:t>
      </w:r>
    </w:p>
    <w:p w:rsidR="007104AA" w:rsidRDefault="007104AA" w:rsidP="007104AA">
      <w:pPr>
        <w:pStyle w:val="ListParagraph"/>
        <w:rPr>
          <w:rFonts w:ascii="Arial" w:hAnsi="Arial" w:cs="Arial"/>
          <w:sz w:val="24"/>
          <w:szCs w:val="24"/>
        </w:rPr>
      </w:pPr>
    </w:p>
    <w:p w:rsidR="007104AA" w:rsidRDefault="0008751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parties were invited to address this court as to whether there had been an unreasonable delay on the part of the second appellant in seeking to declare the decision to terminate his services on council (and as chairperson) as null and void – and thus set it aside.</w:t>
      </w:r>
    </w:p>
    <w:p w:rsidR="007104AA" w:rsidRDefault="007104AA" w:rsidP="007104AA">
      <w:pPr>
        <w:pStyle w:val="ListParagraph"/>
        <w:rPr>
          <w:rFonts w:ascii="Arial" w:hAnsi="Arial" w:cs="Arial"/>
          <w:sz w:val="24"/>
          <w:szCs w:val="24"/>
        </w:rPr>
      </w:pPr>
    </w:p>
    <w:p w:rsidR="007104AA" w:rsidRDefault="00087515"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Mr Khama argued that the delay was not unreasonable in the context of the disputes between the parties. He contended that no time period </w:t>
      </w:r>
      <w:r w:rsidR="00260FCC">
        <w:rPr>
          <w:rFonts w:ascii="Arial" w:hAnsi="Arial" w:cs="Arial"/>
          <w:sz w:val="24"/>
          <w:szCs w:val="24"/>
        </w:rPr>
        <w:t xml:space="preserve">is </w:t>
      </w:r>
      <w:r>
        <w:rPr>
          <w:rFonts w:ascii="Arial" w:hAnsi="Arial" w:cs="Arial"/>
          <w:sz w:val="24"/>
          <w:szCs w:val="24"/>
        </w:rPr>
        <w:t xml:space="preserve">specified for a challenge to </w:t>
      </w:r>
      <w:r w:rsidR="00260FCC">
        <w:rPr>
          <w:rFonts w:ascii="Arial" w:hAnsi="Arial" w:cs="Arial"/>
          <w:sz w:val="24"/>
          <w:szCs w:val="24"/>
        </w:rPr>
        <w:t xml:space="preserve">administrative </w:t>
      </w:r>
      <w:r>
        <w:rPr>
          <w:rFonts w:ascii="Arial" w:hAnsi="Arial" w:cs="Arial"/>
          <w:sz w:val="24"/>
          <w:szCs w:val="24"/>
        </w:rPr>
        <w:t>decision</w:t>
      </w:r>
      <w:r w:rsidR="00260FCC">
        <w:rPr>
          <w:rFonts w:ascii="Arial" w:hAnsi="Arial" w:cs="Arial"/>
          <w:sz w:val="24"/>
          <w:szCs w:val="24"/>
        </w:rPr>
        <w:t>-making</w:t>
      </w:r>
      <w:r>
        <w:rPr>
          <w:rFonts w:ascii="Arial" w:hAnsi="Arial" w:cs="Arial"/>
          <w:sz w:val="24"/>
          <w:szCs w:val="24"/>
        </w:rPr>
        <w:t xml:space="preserve"> and that there was no factual basis to asse</w:t>
      </w:r>
      <w:r w:rsidR="00260FCC">
        <w:rPr>
          <w:rFonts w:ascii="Arial" w:hAnsi="Arial" w:cs="Arial"/>
          <w:sz w:val="24"/>
          <w:szCs w:val="24"/>
        </w:rPr>
        <w:t xml:space="preserve">rt that the time taken to </w:t>
      </w:r>
      <w:r>
        <w:rPr>
          <w:rFonts w:ascii="Arial" w:hAnsi="Arial" w:cs="Arial"/>
          <w:sz w:val="24"/>
          <w:szCs w:val="24"/>
        </w:rPr>
        <w:t>mount that challenge was unreasonable.</w:t>
      </w:r>
    </w:p>
    <w:p w:rsidR="007104AA" w:rsidRDefault="007104AA" w:rsidP="007104AA">
      <w:pPr>
        <w:pStyle w:val="ListParagraph"/>
        <w:rPr>
          <w:rFonts w:ascii="Arial" w:hAnsi="Arial" w:cs="Arial"/>
          <w:sz w:val="24"/>
          <w:szCs w:val="24"/>
        </w:rPr>
      </w:pPr>
    </w:p>
    <w:p w:rsidR="007104AA" w:rsidRDefault="0036166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Mr Barnard </w:t>
      </w:r>
      <w:r w:rsidR="00087515">
        <w:rPr>
          <w:rFonts w:ascii="Arial" w:hAnsi="Arial" w:cs="Arial"/>
          <w:sz w:val="24"/>
          <w:szCs w:val="24"/>
        </w:rPr>
        <w:t xml:space="preserve">submitted that the time taken to challenge the decision was </w:t>
      </w:r>
      <w:r w:rsidR="001121BB">
        <w:rPr>
          <w:rFonts w:ascii="Arial" w:hAnsi="Arial" w:cs="Arial"/>
          <w:sz w:val="24"/>
          <w:szCs w:val="24"/>
        </w:rPr>
        <w:t xml:space="preserve">unreasonable in the extreme. He referred to the fact that on the papers two further </w:t>
      </w:r>
      <w:r w:rsidR="00260FCC">
        <w:rPr>
          <w:rFonts w:ascii="Arial" w:hAnsi="Arial" w:cs="Arial"/>
          <w:sz w:val="24"/>
          <w:szCs w:val="24"/>
        </w:rPr>
        <w:t xml:space="preserve">council </w:t>
      </w:r>
      <w:r w:rsidR="001121BB">
        <w:rPr>
          <w:rFonts w:ascii="Arial" w:hAnsi="Arial" w:cs="Arial"/>
          <w:sz w:val="24"/>
          <w:szCs w:val="24"/>
        </w:rPr>
        <w:t>elections had taken place (in 2010 and 2013) prior to the bringing of the application</w:t>
      </w:r>
      <w:r w:rsidR="00260FCC">
        <w:rPr>
          <w:rFonts w:ascii="Arial" w:hAnsi="Arial" w:cs="Arial"/>
          <w:sz w:val="24"/>
          <w:szCs w:val="24"/>
        </w:rPr>
        <w:t xml:space="preserve"> and that council members only had terms of three years</w:t>
      </w:r>
      <w:r w:rsidR="001121BB">
        <w:rPr>
          <w:rFonts w:ascii="Arial" w:hAnsi="Arial" w:cs="Arial"/>
          <w:sz w:val="24"/>
          <w:szCs w:val="24"/>
        </w:rPr>
        <w:t>. He argued that no facts were set out in support of condonation</w:t>
      </w:r>
      <w:r w:rsidR="00260FCC">
        <w:rPr>
          <w:rFonts w:ascii="Arial" w:hAnsi="Arial" w:cs="Arial"/>
          <w:sz w:val="24"/>
          <w:szCs w:val="24"/>
        </w:rPr>
        <w:t xml:space="preserve"> for the delay</w:t>
      </w:r>
      <w:r w:rsidR="001121BB">
        <w:rPr>
          <w:rFonts w:ascii="Arial" w:hAnsi="Arial" w:cs="Arial"/>
          <w:sz w:val="24"/>
          <w:szCs w:val="24"/>
        </w:rPr>
        <w:t>.</w:t>
      </w:r>
    </w:p>
    <w:p w:rsidR="001121BB" w:rsidRDefault="001121BB" w:rsidP="001121BB">
      <w:pPr>
        <w:pStyle w:val="ListParagraph"/>
        <w:rPr>
          <w:rFonts w:ascii="Arial" w:hAnsi="Arial" w:cs="Arial"/>
          <w:sz w:val="24"/>
          <w:szCs w:val="24"/>
        </w:rPr>
      </w:pPr>
    </w:p>
    <w:p w:rsidR="001121BB" w:rsidRDefault="001121BB"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The question as to whether there had been an unreasonable delay in instituting proceedings is one which a court may raise of its own accord </w:t>
      </w:r>
      <w:r w:rsidRPr="001121BB">
        <w:rPr>
          <w:rFonts w:ascii="Arial" w:hAnsi="Arial" w:cs="Arial"/>
          <w:i/>
          <w:sz w:val="24"/>
          <w:szCs w:val="24"/>
        </w:rPr>
        <w:t>(mero motu)</w:t>
      </w:r>
      <w:r>
        <w:rPr>
          <w:rFonts w:ascii="Arial" w:hAnsi="Arial" w:cs="Arial"/>
          <w:i/>
          <w:sz w:val="24"/>
          <w:szCs w:val="24"/>
        </w:rPr>
        <w:t>.</w:t>
      </w:r>
      <w:r w:rsidR="0036166B">
        <w:rPr>
          <w:rStyle w:val="FootnoteReference"/>
          <w:rFonts w:ascii="Arial" w:hAnsi="Arial" w:cs="Arial"/>
          <w:i/>
          <w:sz w:val="24"/>
          <w:szCs w:val="24"/>
        </w:rPr>
        <w:footnoteReference w:id="20"/>
      </w:r>
      <w:r>
        <w:rPr>
          <w:rFonts w:ascii="Arial" w:hAnsi="Arial" w:cs="Arial"/>
          <w:sz w:val="24"/>
          <w:szCs w:val="24"/>
        </w:rPr>
        <w:t xml:space="preserve"> It is well settled that the question entails </w:t>
      </w:r>
      <w:r w:rsidR="0054791A">
        <w:rPr>
          <w:rFonts w:ascii="Arial" w:hAnsi="Arial" w:cs="Arial"/>
          <w:sz w:val="24"/>
          <w:szCs w:val="24"/>
        </w:rPr>
        <w:t xml:space="preserve">a </w:t>
      </w:r>
      <w:r>
        <w:rPr>
          <w:rFonts w:ascii="Arial" w:hAnsi="Arial" w:cs="Arial"/>
          <w:sz w:val="24"/>
          <w:szCs w:val="24"/>
        </w:rPr>
        <w:t>dual enquiry. The first is whether the time taken to institute the proceedings was unreasonable. That enquiry is</w:t>
      </w:r>
      <w:r w:rsidR="00260FCC">
        <w:rPr>
          <w:rFonts w:ascii="Arial" w:hAnsi="Arial" w:cs="Arial"/>
          <w:sz w:val="24"/>
          <w:szCs w:val="24"/>
        </w:rPr>
        <w:t xml:space="preserve"> factual and does not entail the exercise of a </w:t>
      </w:r>
      <w:r>
        <w:rPr>
          <w:rFonts w:ascii="Arial" w:hAnsi="Arial" w:cs="Arial"/>
          <w:sz w:val="24"/>
          <w:szCs w:val="24"/>
        </w:rPr>
        <w:t xml:space="preserve">discretion. If a court finds that the delay is </w:t>
      </w:r>
      <w:r>
        <w:rPr>
          <w:rFonts w:ascii="Arial" w:hAnsi="Arial" w:cs="Arial"/>
          <w:sz w:val="24"/>
          <w:szCs w:val="24"/>
        </w:rPr>
        <w:lastRenderedPageBreak/>
        <w:t>unreasonable, the question arises as to whether a court would</w:t>
      </w:r>
      <w:r w:rsidR="00260FCC">
        <w:rPr>
          <w:rFonts w:ascii="Arial" w:hAnsi="Arial" w:cs="Arial"/>
          <w:sz w:val="24"/>
          <w:szCs w:val="24"/>
        </w:rPr>
        <w:t>,</w:t>
      </w:r>
      <w:r>
        <w:rPr>
          <w:rFonts w:ascii="Arial" w:hAnsi="Arial" w:cs="Arial"/>
          <w:sz w:val="24"/>
          <w:szCs w:val="24"/>
        </w:rPr>
        <w:t xml:space="preserve"> in the exercise of discretion, grant condonation for the unreasonable delay.</w:t>
      </w:r>
      <w:r>
        <w:rPr>
          <w:rStyle w:val="FootnoteReference"/>
          <w:rFonts w:ascii="Arial" w:hAnsi="Arial" w:cs="Arial"/>
          <w:sz w:val="24"/>
          <w:szCs w:val="24"/>
        </w:rPr>
        <w:footnoteReference w:id="21"/>
      </w:r>
    </w:p>
    <w:p w:rsidR="001121BB" w:rsidRDefault="001121BB" w:rsidP="001121BB">
      <w:pPr>
        <w:pStyle w:val="ListParagraph"/>
        <w:rPr>
          <w:rFonts w:ascii="Arial" w:hAnsi="Arial" w:cs="Arial"/>
          <w:sz w:val="24"/>
          <w:szCs w:val="24"/>
        </w:rPr>
      </w:pPr>
    </w:p>
    <w:p w:rsidR="00260FCC" w:rsidRDefault="001121BB" w:rsidP="008F4DD5">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 xml:space="preserve">As has also been </w:t>
      </w:r>
      <w:r w:rsidR="00260FCC">
        <w:rPr>
          <w:rFonts w:ascii="Arial" w:hAnsi="Arial" w:cs="Arial"/>
          <w:sz w:val="24"/>
          <w:szCs w:val="24"/>
        </w:rPr>
        <w:t>repeatedly stated</w:t>
      </w:r>
      <w:r>
        <w:rPr>
          <w:rFonts w:ascii="Arial" w:hAnsi="Arial" w:cs="Arial"/>
          <w:sz w:val="24"/>
          <w:szCs w:val="24"/>
        </w:rPr>
        <w:t xml:space="preserve">, each case is to be determined </w:t>
      </w:r>
      <w:r w:rsidR="008F4DD5">
        <w:rPr>
          <w:rFonts w:ascii="Arial" w:hAnsi="Arial" w:cs="Arial"/>
          <w:sz w:val="24"/>
          <w:szCs w:val="24"/>
        </w:rPr>
        <w:t>on its</w:t>
      </w:r>
      <w:r w:rsidR="00260FCC">
        <w:rPr>
          <w:rFonts w:ascii="Arial" w:hAnsi="Arial" w:cs="Arial"/>
          <w:sz w:val="24"/>
          <w:szCs w:val="24"/>
        </w:rPr>
        <w:t xml:space="preserve"> own</w:t>
      </w:r>
      <w:r w:rsidR="008F4DD5">
        <w:rPr>
          <w:rFonts w:ascii="Arial" w:hAnsi="Arial" w:cs="Arial"/>
          <w:sz w:val="24"/>
          <w:szCs w:val="24"/>
        </w:rPr>
        <w:t xml:space="preserve"> facts as to whether the delay i</w:t>
      </w:r>
      <w:r w:rsidR="00260FCC">
        <w:rPr>
          <w:rFonts w:ascii="Arial" w:hAnsi="Arial" w:cs="Arial"/>
          <w:sz w:val="24"/>
          <w:szCs w:val="24"/>
        </w:rPr>
        <w:t>s</w:t>
      </w:r>
      <w:r w:rsidR="008F4DD5">
        <w:rPr>
          <w:rFonts w:ascii="Arial" w:hAnsi="Arial" w:cs="Arial"/>
          <w:sz w:val="24"/>
          <w:szCs w:val="24"/>
        </w:rPr>
        <w:t xml:space="preserve"> unreasonable or not.</w:t>
      </w:r>
      <w:r w:rsidR="008F4DD5">
        <w:rPr>
          <w:rStyle w:val="FootnoteReference"/>
          <w:rFonts w:ascii="Arial" w:hAnsi="Arial" w:cs="Arial"/>
          <w:sz w:val="24"/>
          <w:szCs w:val="24"/>
        </w:rPr>
        <w:footnoteReference w:id="22"/>
      </w:r>
      <w:r w:rsidR="008F4DD5">
        <w:rPr>
          <w:rFonts w:ascii="Arial" w:hAnsi="Arial" w:cs="Arial"/>
          <w:sz w:val="24"/>
          <w:szCs w:val="24"/>
        </w:rPr>
        <w:t xml:space="preserve"> The reasons for this delay rule were cogently summarised by this court in </w:t>
      </w:r>
      <w:r w:rsidR="008F4DD5">
        <w:rPr>
          <w:rFonts w:ascii="Arial" w:hAnsi="Arial" w:cs="Arial"/>
          <w:i/>
          <w:sz w:val="24"/>
          <w:szCs w:val="24"/>
        </w:rPr>
        <w:t>Keya.</w:t>
      </w:r>
      <w:r w:rsidR="008F4DD5">
        <w:rPr>
          <w:rStyle w:val="FootnoteReference"/>
          <w:rFonts w:ascii="Arial" w:hAnsi="Arial" w:cs="Arial"/>
          <w:i/>
          <w:sz w:val="24"/>
          <w:szCs w:val="24"/>
        </w:rPr>
        <w:footnoteReference w:id="23"/>
      </w:r>
      <w:r w:rsidR="008F4DD5">
        <w:rPr>
          <w:rFonts w:ascii="Arial" w:hAnsi="Arial" w:cs="Arial"/>
          <w:i/>
          <w:sz w:val="24"/>
          <w:szCs w:val="24"/>
        </w:rPr>
        <w:t xml:space="preserve"> </w:t>
      </w:r>
      <w:r w:rsidR="008F4DD5">
        <w:rPr>
          <w:rFonts w:ascii="Arial" w:hAnsi="Arial" w:cs="Arial"/>
          <w:sz w:val="24"/>
          <w:szCs w:val="24"/>
        </w:rPr>
        <w:t xml:space="preserve">They </w:t>
      </w:r>
      <w:r w:rsidR="00260FCC">
        <w:rPr>
          <w:rFonts w:ascii="Arial" w:hAnsi="Arial" w:cs="Arial"/>
          <w:sz w:val="24"/>
          <w:szCs w:val="24"/>
        </w:rPr>
        <w:t xml:space="preserve">essentially </w:t>
      </w:r>
      <w:r w:rsidR="008F4DD5">
        <w:rPr>
          <w:rFonts w:ascii="Arial" w:hAnsi="Arial" w:cs="Arial"/>
          <w:sz w:val="24"/>
          <w:szCs w:val="24"/>
        </w:rPr>
        <w:t xml:space="preserve">relate to the public interest </w:t>
      </w:r>
      <w:r w:rsidR="00260FCC">
        <w:rPr>
          <w:rFonts w:ascii="Arial" w:hAnsi="Arial" w:cs="Arial"/>
          <w:sz w:val="24"/>
          <w:szCs w:val="24"/>
        </w:rPr>
        <w:t xml:space="preserve">being </w:t>
      </w:r>
      <w:r w:rsidR="008F4DD5">
        <w:rPr>
          <w:rFonts w:ascii="Arial" w:hAnsi="Arial" w:cs="Arial"/>
          <w:sz w:val="24"/>
          <w:szCs w:val="24"/>
        </w:rPr>
        <w:t xml:space="preserve">served by finality and certainty in respect of administrative action. Delays may also cause prejudice to others if administrative decision making is challenged after an unduly lengthy delay. </w:t>
      </w:r>
    </w:p>
    <w:p w:rsidR="00260FCC" w:rsidRDefault="00260FCC" w:rsidP="00260FCC">
      <w:pPr>
        <w:pStyle w:val="ListParagraph"/>
        <w:rPr>
          <w:rFonts w:ascii="Arial" w:hAnsi="Arial" w:cs="Arial"/>
          <w:sz w:val="24"/>
          <w:szCs w:val="24"/>
        </w:rPr>
      </w:pPr>
    </w:p>
    <w:p w:rsidR="008F4DD5" w:rsidRPr="008F4DD5" w:rsidRDefault="008F4DD5" w:rsidP="008F4DD5">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In this case, the second appellant alleges he receive</w:t>
      </w:r>
      <w:r w:rsidR="00260FCC">
        <w:rPr>
          <w:rFonts w:ascii="Arial" w:hAnsi="Arial" w:cs="Arial"/>
          <w:sz w:val="24"/>
          <w:szCs w:val="24"/>
        </w:rPr>
        <w:t>d</w:t>
      </w:r>
      <w:r>
        <w:rPr>
          <w:rFonts w:ascii="Arial" w:hAnsi="Arial" w:cs="Arial"/>
          <w:sz w:val="24"/>
          <w:szCs w:val="24"/>
        </w:rPr>
        <w:t xml:space="preserve"> a letter terminating his services as chairperson and member of the council fr</w:t>
      </w:r>
      <w:r w:rsidR="0036166B">
        <w:rPr>
          <w:rFonts w:ascii="Arial" w:hAnsi="Arial" w:cs="Arial"/>
          <w:sz w:val="24"/>
          <w:szCs w:val="24"/>
        </w:rPr>
        <w:t>o</w:t>
      </w:r>
      <w:r>
        <w:rPr>
          <w:rFonts w:ascii="Arial" w:hAnsi="Arial" w:cs="Arial"/>
          <w:sz w:val="24"/>
          <w:szCs w:val="24"/>
        </w:rPr>
        <w:t>m the 14</w:t>
      </w:r>
      <w:r w:rsidRPr="008F4DD5">
        <w:rPr>
          <w:rFonts w:ascii="Arial" w:hAnsi="Arial" w:cs="Arial"/>
          <w:sz w:val="24"/>
          <w:szCs w:val="24"/>
          <w:vertAlign w:val="superscript"/>
        </w:rPr>
        <w:t>th</w:t>
      </w:r>
      <w:r>
        <w:rPr>
          <w:rFonts w:ascii="Arial" w:hAnsi="Arial" w:cs="Arial"/>
          <w:sz w:val="24"/>
          <w:szCs w:val="24"/>
        </w:rPr>
        <w:t xml:space="preserve"> respondent. The letter (which was not attached to the papers) was said to be addressed to him on 31 October 2009. The proceedings were served on the respondents </w:t>
      </w:r>
      <w:r w:rsidR="0036166B">
        <w:rPr>
          <w:rFonts w:ascii="Arial" w:hAnsi="Arial" w:cs="Arial"/>
          <w:sz w:val="24"/>
          <w:szCs w:val="24"/>
        </w:rPr>
        <w:t>o</w:t>
      </w:r>
      <w:r>
        <w:rPr>
          <w:rFonts w:ascii="Arial" w:hAnsi="Arial" w:cs="Arial"/>
          <w:sz w:val="24"/>
          <w:szCs w:val="24"/>
        </w:rPr>
        <w:t xml:space="preserve">n </w:t>
      </w:r>
      <w:r w:rsidR="0036166B">
        <w:rPr>
          <w:rFonts w:ascii="Arial" w:hAnsi="Arial" w:cs="Arial"/>
          <w:sz w:val="24"/>
          <w:szCs w:val="24"/>
        </w:rPr>
        <w:t xml:space="preserve">20 </w:t>
      </w:r>
      <w:r>
        <w:rPr>
          <w:rFonts w:ascii="Arial" w:hAnsi="Arial" w:cs="Arial"/>
          <w:sz w:val="24"/>
          <w:szCs w:val="24"/>
        </w:rPr>
        <w:t xml:space="preserve">February 2015 – </w:t>
      </w:r>
      <w:r w:rsidR="00F80F4F">
        <w:rPr>
          <w:rFonts w:ascii="Arial" w:hAnsi="Arial" w:cs="Arial"/>
          <w:sz w:val="24"/>
          <w:szCs w:val="24"/>
        </w:rPr>
        <w:t>nearly</w:t>
      </w:r>
      <w:r>
        <w:rPr>
          <w:rFonts w:ascii="Arial" w:hAnsi="Arial" w:cs="Arial"/>
          <w:sz w:val="24"/>
          <w:szCs w:val="24"/>
        </w:rPr>
        <w:t xml:space="preserve"> </w:t>
      </w:r>
      <w:r w:rsidR="00F80F4F">
        <w:rPr>
          <w:rFonts w:ascii="Arial" w:hAnsi="Arial" w:cs="Arial"/>
          <w:sz w:val="24"/>
          <w:szCs w:val="24"/>
        </w:rPr>
        <w:t>five</w:t>
      </w:r>
      <w:r>
        <w:rPr>
          <w:rFonts w:ascii="Arial" w:hAnsi="Arial" w:cs="Arial"/>
          <w:sz w:val="24"/>
          <w:szCs w:val="24"/>
        </w:rPr>
        <w:t xml:space="preserve"> years </w:t>
      </w:r>
      <w:r w:rsidR="00260FCC">
        <w:rPr>
          <w:rFonts w:ascii="Arial" w:hAnsi="Arial" w:cs="Arial"/>
          <w:sz w:val="24"/>
          <w:szCs w:val="24"/>
        </w:rPr>
        <w:t xml:space="preserve">and three months </w:t>
      </w:r>
      <w:r>
        <w:rPr>
          <w:rFonts w:ascii="Arial" w:hAnsi="Arial" w:cs="Arial"/>
          <w:sz w:val="24"/>
          <w:szCs w:val="24"/>
        </w:rPr>
        <w:t xml:space="preserve">later. </w:t>
      </w:r>
      <w:r w:rsidR="00260FCC">
        <w:rPr>
          <w:rFonts w:ascii="Arial" w:hAnsi="Arial" w:cs="Arial"/>
          <w:sz w:val="24"/>
          <w:szCs w:val="24"/>
        </w:rPr>
        <w:t>T</w:t>
      </w:r>
      <w:r>
        <w:rPr>
          <w:rFonts w:ascii="Arial" w:hAnsi="Arial" w:cs="Arial"/>
          <w:sz w:val="24"/>
          <w:szCs w:val="24"/>
        </w:rPr>
        <w:t xml:space="preserve">he challenge is to be viewed in the context of the </w:t>
      </w:r>
      <w:r w:rsidR="0036166B">
        <w:rPr>
          <w:rFonts w:ascii="Arial" w:hAnsi="Arial" w:cs="Arial"/>
          <w:sz w:val="24"/>
          <w:szCs w:val="24"/>
        </w:rPr>
        <w:t xml:space="preserve">association’s </w:t>
      </w:r>
      <w:r>
        <w:rPr>
          <w:rFonts w:ascii="Arial" w:hAnsi="Arial" w:cs="Arial"/>
          <w:sz w:val="24"/>
          <w:szCs w:val="24"/>
        </w:rPr>
        <w:t xml:space="preserve">constitution. It provides for members of council being elected at three year intervals. By the time the second appellant had instituted these proceedings, his term of office under the constitution would have long since </w:t>
      </w:r>
      <w:r w:rsidR="00260FCC">
        <w:rPr>
          <w:rFonts w:ascii="Arial" w:hAnsi="Arial" w:cs="Arial"/>
          <w:sz w:val="24"/>
          <w:szCs w:val="24"/>
        </w:rPr>
        <w:t>expired</w:t>
      </w:r>
      <w:r>
        <w:rPr>
          <w:rFonts w:ascii="Arial" w:hAnsi="Arial" w:cs="Arial"/>
          <w:sz w:val="24"/>
          <w:szCs w:val="24"/>
        </w:rPr>
        <w:t>. Upon the facts, properly approached, there were council elections in 2010 and 2013</w:t>
      </w:r>
      <w:r w:rsidR="00260FCC">
        <w:rPr>
          <w:rFonts w:ascii="Arial" w:hAnsi="Arial" w:cs="Arial"/>
          <w:sz w:val="24"/>
          <w:szCs w:val="24"/>
        </w:rPr>
        <w:t>.</w:t>
      </w:r>
      <w:r>
        <w:rPr>
          <w:rFonts w:ascii="Arial" w:hAnsi="Arial" w:cs="Arial"/>
          <w:sz w:val="24"/>
          <w:szCs w:val="24"/>
        </w:rPr>
        <w:t xml:space="preserve"> </w:t>
      </w:r>
      <w:r w:rsidR="00260FCC">
        <w:rPr>
          <w:rFonts w:ascii="Arial" w:hAnsi="Arial" w:cs="Arial"/>
          <w:sz w:val="24"/>
          <w:szCs w:val="24"/>
        </w:rPr>
        <w:t>I</w:t>
      </w:r>
      <w:r>
        <w:rPr>
          <w:rFonts w:ascii="Arial" w:hAnsi="Arial" w:cs="Arial"/>
          <w:sz w:val="24"/>
          <w:szCs w:val="24"/>
        </w:rPr>
        <w:t>n</w:t>
      </w:r>
      <w:r w:rsidR="00260FCC">
        <w:rPr>
          <w:rFonts w:ascii="Arial" w:hAnsi="Arial" w:cs="Arial"/>
          <w:sz w:val="24"/>
          <w:szCs w:val="24"/>
        </w:rPr>
        <w:t xml:space="preserve"> the course of those elections, other</w:t>
      </w:r>
      <w:r>
        <w:rPr>
          <w:rFonts w:ascii="Arial" w:hAnsi="Arial" w:cs="Arial"/>
          <w:sz w:val="24"/>
          <w:szCs w:val="24"/>
        </w:rPr>
        <w:t xml:space="preserve"> council members were elected</w:t>
      </w:r>
      <w:r w:rsidR="0036166B">
        <w:rPr>
          <w:rFonts w:ascii="Arial" w:hAnsi="Arial" w:cs="Arial"/>
          <w:sz w:val="24"/>
          <w:szCs w:val="24"/>
        </w:rPr>
        <w:t xml:space="preserve"> upon the facts properly approached in motion proceedings</w:t>
      </w:r>
      <w:r>
        <w:rPr>
          <w:rFonts w:ascii="Arial" w:hAnsi="Arial" w:cs="Arial"/>
          <w:sz w:val="24"/>
          <w:szCs w:val="24"/>
        </w:rPr>
        <w:t>.</w:t>
      </w:r>
    </w:p>
    <w:p w:rsidR="007104AA" w:rsidRDefault="007104AA" w:rsidP="007104AA">
      <w:pPr>
        <w:pStyle w:val="ListParagraph"/>
        <w:rPr>
          <w:rFonts w:ascii="Arial" w:hAnsi="Arial" w:cs="Arial"/>
          <w:sz w:val="24"/>
          <w:szCs w:val="24"/>
        </w:rPr>
      </w:pPr>
    </w:p>
    <w:p w:rsidR="007104AA" w:rsidRDefault="007A554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delay of more than </w:t>
      </w:r>
      <w:r w:rsidR="00F80F4F">
        <w:rPr>
          <w:rFonts w:ascii="Arial" w:hAnsi="Arial" w:cs="Arial"/>
          <w:sz w:val="24"/>
          <w:szCs w:val="24"/>
        </w:rPr>
        <w:t>5</w:t>
      </w:r>
      <w:r>
        <w:rPr>
          <w:rFonts w:ascii="Arial" w:hAnsi="Arial" w:cs="Arial"/>
          <w:sz w:val="24"/>
          <w:szCs w:val="24"/>
        </w:rPr>
        <w:t xml:space="preserve"> years</w:t>
      </w:r>
      <w:r w:rsidR="0036166B">
        <w:rPr>
          <w:rFonts w:ascii="Arial" w:hAnsi="Arial" w:cs="Arial"/>
          <w:sz w:val="24"/>
          <w:szCs w:val="24"/>
        </w:rPr>
        <w:t xml:space="preserve"> </w:t>
      </w:r>
      <w:r>
        <w:rPr>
          <w:rFonts w:ascii="Arial" w:hAnsi="Arial" w:cs="Arial"/>
          <w:sz w:val="24"/>
          <w:szCs w:val="24"/>
        </w:rPr>
        <w:t xml:space="preserve">in challenging the decision </w:t>
      </w:r>
      <w:r w:rsidR="0036166B">
        <w:rPr>
          <w:rFonts w:ascii="Arial" w:hAnsi="Arial" w:cs="Arial"/>
          <w:sz w:val="24"/>
          <w:szCs w:val="24"/>
        </w:rPr>
        <w:t xml:space="preserve">to remove him from the council </w:t>
      </w:r>
      <w:r>
        <w:rPr>
          <w:rFonts w:ascii="Arial" w:hAnsi="Arial" w:cs="Arial"/>
          <w:sz w:val="24"/>
          <w:szCs w:val="24"/>
        </w:rPr>
        <w:t>is patently unreasonable in the circumstances. No factual matter at all is adduced in seeking to condone this inordinate delay. Indeed, the application inexplicably</w:t>
      </w:r>
      <w:r w:rsidR="00260FCC">
        <w:rPr>
          <w:rFonts w:ascii="Arial" w:hAnsi="Arial" w:cs="Arial"/>
          <w:sz w:val="24"/>
          <w:szCs w:val="24"/>
        </w:rPr>
        <w:t xml:space="preserve"> does not even</w:t>
      </w:r>
      <w:r>
        <w:rPr>
          <w:rFonts w:ascii="Arial" w:hAnsi="Arial" w:cs="Arial"/>
          <w:sz w:val="24"/>
          <w:szCs w:val="24"/>
        </w:rPr>
        <w:t xml:space="preserve"> make mention of the need to do so.</w:t>
      </w:r>
    </w:p>
    <w:p w:rsidR="007A5543" w:rsidRDefault="007A5543" w:rsidP="007A5543">
      <w:pPr>
        <w:pStyle w:val="ListParagraph"/>
        <w:rPr>
          <w:rFonts w:ascii="Arial" w:hAnsi="Arial" w:cs="Arial"/>
          <w:sz w:val="24"/>
          <w:szCs w:val="24"/>
        </w:rPr>
      </w:pPr>
    </w:p>
    <w:p w:rsidR="007A5543" w:rsidRDefault="007A554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In the absence of any factual matter raised to condone this unreasonable delay, it would follow that the relief sought in paragraph 6 should be dismissed on this ground.</w:t>
      </w:r>
    </w:p>
    <w:p w:rsidR="007104AA" w:rsidRDefault="007104AA" w:rsidP="00260FCC">
      <w:pPr>
        <w:rPr>
          <w:rFonts w:ascii="Arial" w:hAnsi="Arial" w:cs="Arial"/>
          <w:sz w:val="24"/>
          <w:szCs w:val="24"/>
        </w:rPr>
      </w:pPr>
    </w:p>
    <w:p w:rsidR="00260FCC" w:rsidRPr="00260FCC" w:rsidRDefault="00260FCC" w:rsidP="00260FCC">
      <w:pPr>
        <w:rPr>
          <w:rFonts w:ascii="Arial" w:hAnsi="Arial" w:cs="Arial"/>
          <w:sz w:val="24"/>
          <w:szCs w:val="24"/>
          <w:u w:val="single"/>
        </w:rPr>
      </w:pPr>
      <w:r>
        <w:rPr>
          <w:rFonts w:ascii="Arial" w:hAnsi="Arial" w:cs="Arial"/>
          <w:sz w:val="24"/>
          <w:szCs w:val="24"/>
          <w:u w:val="single"/>
        </w:rPr>
        <w:t>Conclusion</w:t>
      </w:r>
    </w:p>
    <w:p w:rsidR="00260FCC" w:rsidRDefault="007A554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In view of the finding that the appellants</w:t>
      </w:r>
      <w:r w:rsidR="00260FCC">
        <w:rPr>
          <w:rFonts w:ascii="Arial" w:hAnsi="Arial" w:cs="Arial"/>
          <w:sz w:val="24"/>
          <w:szCs w:val="24"/>
        </w:rPr>
        <w:t>’</w:t>
      </w:r>
      <w:r>
        <w:rPr>
          <w:rFonts w:ascii="Arial" w:hAnsi="Arial" w:cs="Arial"/>
          <w:sz w:val="24"/>
          <w:szCs w:val="24"/>
        </w:rPr>
        <w:t xml:space="preserve"> lack </w:t>
      </w:r>
      <w:r w:rsidR="00260FCC">
        <w:rPr>
          <w:rFonts w:ascii="Arial" w:hAnsi="Arial" w:cs="Arial"/>
          <w:sz w:val="24"/>
          <w:szCs w:val="24"/>
        </w:rPr>
        <w:t xml:space="preserve">of </w:t>
      </w:r>
      <w:r>
        <w:rPr>
          <w:rFonts w:ascii="Arial" w:hAnsi="Arial" w:cs="Arial"/>
          <w:sz w:val="24"/>
          <w:szCs w:val="24"/>
        </w:rPr>
        <w:t>standing in respect of all the other relief sought</w:t>
      </w:r>
      <w:r w:rsidR="00260FCC">
        <w:rPr>
          <w:rFonts w:ascii="Arial" w:hAnsi="Arial" w:cs="Arial"/>
          <w:sz w:val="24"/>
          <w:szCs w:val="24"/>
        </w:rPr>
        <w:t xml:space="preserve"> and the unreasonable delay in respect of applying for the relief in paragraph 6</w:t>
      </w:r>
      <w:r>
        <w:rPr>
          <w:rFonts w:ascii="Arial" w:hAnsi="Arial" w:cs="Arial"/>
          <w:sz w:val="24"/>
          <w:szCs w:val="24"/>
        </w:rPr>
        <w:t xml:space="preserve">, </w:t>
      </w:r>
      <w:r w:rsidR="0036166B">
        <w:rPr>
          <w:rFonts w:ascii="Arial" w:hAnsi="Arial" w:cs="Arial"/>
          <w:sz w:val="24"/>
          <w:szCs w:val="24"/>
          <w:u w:val="single"/>
        </w:rPr>
        <w:t>the</w:t>
      </w:r>
      <w:r w:rsidR="0036166B">
        <w:rPr>
          <w:rFonts w:ascii="Arial" w:hAnsi="Arial" w:cs="Arial"/>
          <w:sz w:val="24"/>
          <w:szCs w:val="24"/>
        </w:rPr>
        <w:t xml:space="preserve"> appeal to this court must fail. T</w:t>
      </w:r>
      <w:r>
        <w:rPr>
          <w:rFonts w:ascii="Arial" w:hAnsi="Arial" w:cs="Arial"/>
          <w:sz w:val="24"/>
          <w:szCs w:val="24"/>
        </w:rPr>
        <w:t>he application should</w:t>
      </w:r>
      <w:r w:rsidR="00B22293">
        <w:rPr>
          <w:rFonts w:ascii="Arial" w:hAnsi="Arial" w:cs="Arial"/>
          <w:sz w:val="24"/>
          <w:szCs w:val="24"/>
        </w:rPr>
        <w:t xml:space="preserve"> </w:t>
      </w:r>
      <w:r w:rsidR="0036166B">
        <w:rPr>
          <w:rFonts w:ascii="Arial" w:hAnsi="Arial" w:cs="Arial"/>
          <w:sz w:val="24"/>
          <w:szCs w:val="24"/>
        </w:rPr>
        <w:t xml:space="preserve">however </w:t>
      </w:r>
      <w:r w:rsidR="00B22293">
        <w:rPr>
          <w:rFonts w:ascii="Arial" w:hAnsi="Arial" w:cs="Arial"/>
          <w:sz w:val="24"/>
          <w:szCs w:val="24"/>
        </w:rPr>
        <w:t>have been dismissed by the High Court</w:t>
      </w:r>
      <w:r w:rsidR="0036166B">
        <w:rPr>
          <w:rFonts w:ascii="Arial" w:hAnsi="Arial" w:cs="Arial"/>
          <w:sz w:val="24"/>
          <w:szCs w:val="24"/>
        </w:rPr>
        <w:t xml:space="preserve"> for those reasons and not merely struck from the roll. The order of that court needs to be corrected</w:t>
      </w:r>
      <w:r w:rsidR="00B22293">
        <w:rPr>
          <w:rFonts w:ascii="Arial" w:hAnsi="Arial" w:cs="Arial"/>
          <w:sz w:val="24"/>
          <w:szCs w:val="24"/>
        </w:rPr>
        <w:t xml:space="preserve">. It also follows that the appeal to this court must fail. </w:t>
      </w:r>
    </w:p>
    <w:p w:rsidR="00260FCC" w:rsidRDefault="00260FCC" w:rsidP="00260FCC">
      <w:pPr>
        <w:pStyle w:val="NoSpacing"/>
        <w:spacing w:line="480" w:lineRule="auto"/>
        <w:jc w:val="both"/>
        <w:rPr>
          <w:rFonts w:ascii="Arial" w:hAnsi="Arial" w:cs="Arial"/>
          <w:sz w:val="24"/>
          <w:szCs w:val="24"/>
        </w:rPr>
      </w:pPr>
    </w:p>
    <w:p w:rsidR="007104AA" w:rsidRDefault="00B2229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High Court ordered that the persons set out in ABM1 are to pay the respondents</w:t>
      </w:r>
      <w:r w:rsidR="00260FCC">
        <w:rPr>
          <w:rFonts w:ascii="Arial" w:hAnsi="Arial" w:cs="Arial"/>
          <w:sz w:val="24"/>
          <w:szCs w:val="24"/>
        </w:rPr>
        <w:t>’</w:t>
      </w:r>
      <w:r>
        <w:rPr>
          <w:rFonts w:ascii="Arial" w:hAnsi="Arial" w:cs="Arial"/>
          <w:sz w:val="24"/>
          <w:szCs w:val="24"/>
        </w:rPr>
        <w:t xml:space="preserve"> costs jointly and severally with the second appellant. Even though none of </w:t>
      </w:r>
      <w:r w:rsidR="00260FCC">
        <w:rPr>
          <w:rFonts w:ascii="Arial" w:hAnsi="Arial" w:cs="Arial"/>
          <w:sz w:val="24"/>
          <w:szCs w:val="24"/>
        </w:rPr>
        <w:t>those listed in ABM1</w:t>
      </w:r>
      <w:r>
        <w:rPr>
          <w:rFonts w:ascii="Arial" w:hAnsi="Arial" w:cs="Arial"/>
          <w:sz w:val="24"/>
          <w:szCs w:val="24"/>
        </w:rPr>
        <w:t xml:space="preserve"> filed an affidavit, some of them made common cause with the application by signing the resolution</w:t>
      </w:r>
      <w:r w:rsidR="00260FCC">
        <w:rPr>
          <w:rFonts w:ascii="Arial" w:hAnsi="Arial" w:cs="Arial"/>
          <w:sz w:val="24"/>
          <w:szCs w:val="24"/>
        </w:rPr>
        <w:t xml:space="preserve"> authorising it, even though this was done in November 2011</w:t>
      </w:r>
      <w:r>
        <w:rPr>
          <w:rFonts w:ascii="Arial" w:hAnsi="Arial" w:cs="Arial"/>
          <w:sz w:val="24"/>
          <w:szCs w:val="24"/>
        </w:rPr>
        <w:t xml:space="preserve">. A costs order should be restricted to those persons </w:t>
      </w:r>
      <w:r w:rsidR="00260FCC">
        <w:rPr>
          <w:rFonts w:ascii="Arial" w:hAnsi="Arial" w:cs="Arial"/>
          <w:sz w:val="24"/>
          <w:szCs w:val="24"/>
        </w:rPr>
        <w:t>listed in</w:t>
      </w:r>
      <w:r>
        <w:rPr>
          <w:rFonts w:ascii="Arial" w:hAnsi="Arial" w:cs="Arial"/>
          <w:sz w:val="24"/>
          <w:szCs w:val="24"/>
        </w:rPr>
        <w:t xml:space="preserve"> annexure ABM1 who signed the resolution</w:t>
      </w:r>
      <w:r w:rsidR="00260FCC">
        <w:rPr>
          <w:rFonts w:ascii="Arial" w:hAnsi="Arial" w:cs="Arial"/>
          <w:sz w:val="24"/>
          <w:szCs w:val="24"/>
        </w:rPr>
        <w:t>,</w:t>
      </w:r>
      <w:r>
        <w:rPr>
          <w:rFonts w:ascii="Arial" w:hAnsi="Arial" w:cs="Arial"/>
          <w:sz w:val="24"/>
          <w:szCs w:val="24"/>
        </w:rPr>
        <w:t xml:space="preserve"> annexure ABM2. For the sake of clarity they are the second appellant, E Morwe, R Mokaleng, B Kauta, M Modisa, A Motonane, J Kasuto, C Goeieman, I Arma</w:t>
      </w:r>
      <w:r w:rsidR="00260FCC">
        <w:rPr>
          <w:rFonts w:ascii="Arial" w:hAnsi="Arial" w:cs="Arial"/>
          <w:sz w:val="24"/>
          <w:szCs w:val="24"/>
        </w:rPr>
        <w:t>t</w:t>
      </w:r>
      <w:r>
        <w:rPr>
          <w:rFonts w:ascii="Arial" w:hAnsi="Arial" w:cs="Arial"/>
          <w:sz w:val="24"/>
          <w:szCs w:val="24"/>
        </w:rPr>
        <w:t xml:space="preserve"> and F Molelekeng.</w:t>
      </w:r>
    </w:p>
    <w:p w:rsidR="0063197F" w:rsidRDefault="0063197F" w:rsidP="00B22293">
      <w:pPr>
        <w:rPr>
          <w:rFonts w:ascii="Arial" w:hAnsi="Arial" w:cs="Arial"/>
          <w:sz w:val="24"/>
          <w:szCs w:val="24"/>
        </w:rPr>
      </w:pPr>
    </w:p>
    <w:p w:rsidR="00B22293" w:rsidRPr="00B22293" w:rsidRDefault="00B22293" w:rsidP="00B22293">
      <w:pPr>
        <w:rPr>
          <w:rFonts w:ascii="Arial" w:hAnsi="Arial" w:cs="Arial"/>
          <w:sz w:val="24"/>
          <w:szCs w:val="24"/>
          <w:u w:val="single"/>
        </w:rPr>
      </w:pPr>
      <w:r>
        <w:rPr>
          <w:rFonts w:ascii="Arial" w:hAnsi="Arial" w:cs="Arial"/>
          <w:sz w:val="24"/>
          <w:szCs w:val="24"/>
          <w:u w:val="single"/>
        </w:rPr>
        <w:lastRenderedPageBreak/>
        <w:t>Order</w:t>
      </w:r>
    </w:p>
    <w:p w:rsidR="0063197F" w:rsidRDefault="00B22293" w:rsidP="00670411">
      <w:pPr>
        <w:pStyle w:val="NoSpacing"/>
        <w:numPr>
          <w:ilvl w:val="0"/>
          <w:numId w:val="1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ED02C5" w:rsidRDefault="00ED02C5" w:rsidP="00ED02C5">
      <w:pPr>
        <w:pStyle w:val="ListParagraph"/>
        <w:rPr>
          <w:rFonts w:ascii="Arial" w:hAnsi="Arial" w:cs="Arial"/>
          <w:sz w:val="24"/>
          <w:szCs w:val="24"/>
        </w:rPr>
      </w:pPr>
    </w:p>
    <w:p w:rsidR="004064AC" w:rsidRDefault="00B22293" w:rsidP="00B22293">
      <w:pPr>
        <w:pStyle w:val="ListParagraph"/>
        <w:numPr>
          <w:ilvl w:val="0"/>
          <w:numId w:val="15"/>
        </w:numPr>
        <w:spacing w:line="480" w:lineRule="auto"/>
        <w:ind w:left="1418" w:hanging="698"/>
        <w:jc w:val="both"/>
        <w:rPr>
          <w:rFonts w:ascii="Arial" w:hAnsi="Arial" w:cs="Arial"/>
          <w:sz w:val="24"/>
          <w:szCs w:val="24"/>
        </w:rPr>
      </w:pPr>
      <w:r>
        <w:rPr>
          <w:rFonts w:ascii="Arial" w:hAnsi="Arial" w:cs="Arial"/>
          <w:sz w:val="24"/>
          <w:szCs w:val="24"/>
        </w:rPr>
        <w:t>The appeal is dismissed with costs.</w:t>
      </w:r>
    </w:p>
    <w:p w:rsidR="00B22293" w:rsidRDefault="00B22293" w:rsidP="00B22293">
      <w:pPr>
        <w:pStyle w:val="ListParagraph"/>
        <w:numPr>
          <w:ilvl w:val="0"/>
          <w:numId w:val="15"/>
        </w:numPr>
        <w:spacing w:line="480" w:lineRule="auto"/>
        <w:ind w:left="1418" w:hanging="698"/>
        <w:jc w:val="both"/>
        <w:rPr>
          <w:rFonts w:ascii="Arial" w:hAnsi="Arial" w:cs="Arial"/>
          <w:sz w:val="24"/>
          <w:szCs w:val="24"/>
        </w:rPr>
      </w:pPr>
      <w:r>
        <w:rPr>
          <w:rFonts w:ascii="Arial" w:hAnsi="Arial" w:cs="Arial"/>
          <w:sz w:val="24"/>
          <w:szCs w:val="24"/>
        </w:rPr>
        <w:t>The order of the High Court is set aside and replaced with the following order:</w:t>
      </w:r>
    </w:p>
    <w:p w:rsidR="00B22293" w:rsidRDefault="00B22293" w:rsidP="00B22293">
      <w:pPr>
        <w:spacing w:line="480" w:lineRule="auto"/>
        <w:ind w:left="698"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22293">
        <w:rPr>
          <w:rFonts w:ascii="Arial" w:hAnsi="Arial" w:cs="Arial"/>
          <w:sz w:val="24"/>
          <w:szCs w:val="24"/>
        </w:rPr>
        <w:t>The application is dismissed with costs;</w:t>
      </w:r>
    </w:p>
    <w:p w:rsidR="00B22293" w:rsidRDefault="00B22293" w:rsidP="00B22293">
      <w:pPr>
        <w:spacing w:line="480" w:lineRule="auto"/>
        <w:ind w:left="2153" w:hanging="73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22293">
        <w:rPr>
          <w:rFonts w:ascii="Arial" w:hAnsi="Arial" w:cs="Arial"/>
          <w:sz w:val="24"/>
          <w:szCs w:val="24"/>
        </w:rPr>
        <w:t>The persons who signed annexure ABM2, as listed above are ordered to pay the respondents’ costs, jointly and severally, together with the second appellant, the one paying the others to be absolved. These costs include the costs of one instructing and one instructed coun</w:t>
      </w:r>
      <w:r w:rsidR="00CD25A6">
        <w:rPr>
          <w:rFonts w:ascii="Arial" w:hAnsi="Arial" w:cs="Arial"/>
          <w:sz w:val="24"/>
          <w:szCs w:val="24"/>
        </w:rPr>
        <w:t>se</w:t>
      </w:r>
      <w:r w:rsidRPr="00B22293">
        <w:rPr>
          <w:rFonts w:ascii="Arial" w:hAnsi="Arial" w:cs="Arial"/>
          <w:sz w:val="24"/>
          <w:szCs w:val="24"/>
        </w:rPr>
        <w:t>l.”</w:t>
      </w:r>
    </w:p>
    <w:p w:rsidR="00B22293" w:rsidRPr="00B22293" w:rsidRDefault="00B22293" w:rsidP="00CD25A6">
      <w:pPr>
        <w:spacing w:line="480" w:lineRule="auto"/>
        <w:ind w:left="1418" w:hanging="698"/>
        <w:jc w:val="both"/>
        <w:rPr>
          <w:rFonts w:ascii="Arial" w:hAnsi="Arial" w:cs="Arial"/>
          <w:sz w:val="24"/>
          <w:szCs w:val="24"/>
        </w:rPr>
      </w:pPr>
      <w:r>
        <w:rPr>
          <w:rFonts w:ascii="Arial" w:hAnsi="Arial" w:cs="Arial"/>
          <w:sz w:val="24"/>
          <w:szCs w:val="24"/>
        </w:rPr>
        <w:t>(c)</w:t>
      </w:r>
      <w:r>
        <w:rPr>
          <w:rFonts w:ascii="Arial" w:hAnsi="Arial" w:cs="Arial"/>
          <w:sz w:val="24"/>
          <w:szCs w:val="24"/>
        </w:rPr>
        <w:tab/>
        <w:t>The costs on appeal include thos</w:t>
      </w:r>
      <w:r w:rsidR="00CD25A6">
        <w:rPr>
          <w:rFonts w:ascii="Arial" w:hAnsi="Arial" w:cs="Arial"/>
          <w:sz w:val="24"/>
          <w:szCs w:val="24"/>
        </w:rPr>
        <w:t>e consequent upon the engagement of one instructing and one instructed counsel and are to be paid by the second appellant an</w:t>
      </w:r>
      <w:r w:rsidR="00260FCC">
        <w:rPr>
          <w:rFonts w:ascii="Arial" w:hAnsi="Arial" w:cs="Arial"/>
          <w:sz w:val="24"/>
          <w:szCs w:val="24"/>
        </w:rPr>
        <w:t>d</w:t>
      </w:r>
      <w:r w:rsidR="00CD25A6">
        <w:rPr>
          <w:rFonts w:ascii="Arial" w:hAnsi="Arial" w:cs="Arial"/>
          <w:sz w:val="24"/>
          <w:szCs w:val="24"/>
        </w:rPr>
        <w:t xml:space="preserve"> those persons who signed annexure ABM2, as listed above, jointly and severally, the one paying the others to be absolved.</w:t>
      </w:r>
    </w:p>
    <w:p w:rsidR="00F31E6D" w:rsidRDefault="00F31E6D" w:rsidP="004064AC">
      <w:pPr>
        <w:spacing w:line="480" w:lineRule="auto"/>
        <w:jc w:val="both"/>
        <w:rPr>
          <w:rFonts w:ascii="Arial" w:hAnsi="Arial" w:cs="Arial"/>
          <w:b/>
          <w:sz w:val="24"/>
          <w:szCs w:val="24"/>
          <w:lang w:val="nl-NL"/>
        </w:rPr>
      </w:pPr>
    </w:p>
    <w:p w:rsidR="0061388B" w:rsidRPr="00496CEE" w:rsidRDefault="0061388B" w:rsidP="004064AC">
      <w:pPr>
        <w:spacing w:line="480" w:lineRule="auto"/>
        <w:jc w:val="both"/>
        <w:rPr>
          <w:rFonts w:ascii="Arial" w:hAnsi="Arial" w:cs="Arial"/>
          <w:b/>
          <w:sz w:val="24"/>
          <w:szCs w:val="24"/>
          <w:lang w:val="nl-NL"/>
        </w:rPr>
      </w:pP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SMUTS JA</w:t>
      </w:r>
    </w:p>
    <w:p w:rsidR="004064AC" w:rsidRPr="00F374D6" w:rsidRDefault="004064AC" w:rsidP="00F374D6">
      <w:pPr>
        <w:pStyle w:val="NoSpacing"/>
        <w:rPr>
          <w:rFonts w:ascii="Arial" w:hAnsi="Arial" w:cs="Arial"/>
          <w:sz w:val="24"/>
          <w:szCs w:val="24"/>
          <w:lang w:val="nl-NL"/>
        </w:rPr>
      </w:pPr>
    </w:p>
    <w:p w:rsidR="004064AC" w:rsidRPr="00F374D6" w:rsidRDefault="004064AC" w:rsidP="00F374D6">
      <w:pPr>
        <w:pStyle w:val="NoSpacing"/>
        <w:rPr>
          <w:rFonts w:ascii="Arial" w:hAnsi="Arial" w:cs="Arial"/>
          <w:sz w:val="24"/>
          <w:szCs w:val="24"/>
          <w:lang w:val="nl-NL"/>
        </w:rPr>
      </w:pPr>
    </w:p>
    <w:p w:rsidR="007F3637" w:rsidRPr="00F374D6" w:rsidRDefault="007F3637" w:rsidP="00F374D6">
      <w:pPr>
        <w:pStyle w:val="NoSpacing"/>
        <w:rPr>
          <w:rFonts w:ascii="Arial" w:hAnsi="Arial" w:cs="Arial"/>
          <w:sz w:val="24"/>
          <w:szCs w:val="24"/>
          <w:lang w:val="nl-NL"/>
        </w:rPr>
      </w:pPr>
    </w:p>
    <w:p w:rsidR="004064AC" w:rsidRDefault="004064AC"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Default="00F31E6D" w:rsidP="00F374D6">
      <w:pPr>
        <w:pStyle w:val="NoSpacing"/>
        <w:rPr>
          <w:rFonts w:ascii="Arial" w:hAnsi="Arial" w:cs="Arial"/>
          <w:sz w:val="24"/>
          <w:szCs w:val="24"/>
          <w:lang w:val="nl-NL"/>
        </w:rPr>
      </w:pPr>
    </w:p>
    <w:p w:rsidR="00F31E6D" w:rsidRPr="00F374D6" w:rsidRDefault="00F31E6D" w:rsidP="00F374D6">
      <w:pPr>
        <w:pStyle w:val="NoSpacing"/>
        <w:rPr>
          <w:rFonts w:ascii="Arial" w:hAnsi="Arial" w:cs="Arial"/>
          <w:sz w:val="24"/>
          <w:szCs w:val="24"/>
          <w:lang w:val="nl-NL"/>
        </w:rPr>
      </w:pP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DAMASEB DCJ</w:t>
      </w:r>
    </w:p>
    <w:p w:rsidR="004064AC" w:rsidRPr="00F374D6" w:rsidRDefault="004064AC" w:rsidP="00F374D6">
      <w:pPr>
        <w:pStyle w:val="NoSpacing"/>
        <w:rPr>
          <w:rFonts w:ascii="Arial" w:hAnsi="Arial" w:cs="Arial"/>
          <w:sz w:val="24"/>
          <w:szCs w:val="24"/>
          <w:lang w:val="nl-NL"/>
        </w:rPr>
      </w:pPr>
    </w:p>
    <w:p w:rsidR="004064AC" w:rsidRDefault="004064AC" w:rsidP="00F374D6">
      <w:pPr>
        <w:pStyle w:val="NoSpacing"/>
        <w:rPr>
          <w:rFonts w:ascii="Arial" w:hAnsi="Arial" w:cs="Arial"/>
          <w:sz w:val="24"/>
          <w:szCs w:val="24"/>
          <w:lang w:val="nl-NL"/>
        </w:rPr>
      </w:pPr>
    </w:p>
    <w:p w:rsidR="00F31E6D" w:rsidRPr="00F374D6" w:rsidRDefault="00F31E6D" w:rsidP="00F374D6">
      <w:pPr>
        <w:pStyle w:val="NoSpacing"/>
        <w:rPr>
          <w:rFonts w:ascii="Arial" w:hAnsi="Arial" w:cs="Arial"/>
          <w:sz w:val="24"/>
          <w:szCs w:val="24"/>
          <w:lang w:val="nl-NL"/>
        </w:rPr>
      </w:pPr>
    </w:p>
    <w:p w:rsidR="004064AC" w:rsidRPr="00F374D6" w:rsidRDefault="004064AC" w:rsidP="00F374D6">
      <w:pPr>
        <w:pStyle w:val="NoSpacing"/>
        <w:rPr>
          <w:rFonts w:ascii="Arial" w:hAnsi="Arial" w:cs="Arial"/>
          <w:sz w:val="24"/>
          <w:szCs w:val="24"/>
          <w:lang w:val="nl-NL"/>
        </w:rPr>
      </w:pPr>
    </w:p>
    <w:p w:rsidR="004064AC" w:rsidRPr="00F374D6" w:rsidRDefault="004064AC" w:rsidP="00F374D6">
      <w:pPr>
        <w:pStyle w:val="NoSpacing"/>
        <w:rPr>
          <w:rFonts w:ascii="Arial" w:hAnsi="Arial" w:cs="Arial"/>
          <w:sz w:val="24"/>
          <w:szCs w:val="24"/>
          <w:lang w:val="nl-NL"/>
        </w:rPr>
      </w:pP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4064AC" w:rsidRPr="00F374D6" w:rsidRDefault="004064AC" w:rsidP="00F374D6">
      <w:pPr>
        <w:pStyle w:val="NoSpacing"/>
        <w:spacing w:line="360" w:lineRule="auto"/>
        <w:rPr>
          <w:rFonts w:ascii="Arial" w:hAnsi="Arial" w:cs="Arial"/>
          <w:b/>
          <w:sz w:val="24"/>
          <w:szCs w:val="24"/>
          <w:lang w:val="nl-NL"/>
        </w:rPr>
      </w:pPr>
      <w:r w:rsidRPr="00F374D6">
        <w:rPr>
          <w:rFonts w:ascii="Arial" w:hAnsi="Arial" w:cs="Arial"/>
          <w:b/>
          <w:sz w:val="24"/>
          <w:szCs w:val="24"/>
          <w:lang w:val="nl-NL"/>
        </w:rPr>
        <w:t>FRANK AJA</w:t>
      </w:r>
    </w:p>
    <w:p w:rsidR="004064AC" w:rsidRPr="00504551" w:rsidRDefault="004064AC" w:rsidP="00504551">
      <w:pPr>
        <w:pStyle w:val="NoSpacing"/>
        <w:rPr>
          <w:rFonts w:ascii="Arial" w:hAnsi="Arial" w:cs="Arial"/>
          <w:sz w:val="24"/>
          <w:szCs w:val="24"/>
          <w:lang w:val="en-US"/>
        </w:rPr>
      </w:pPr>
      <w:r w:rsidRPr="00496CEE">
        <w:rPr>
          <w:b/>
          <w:lang w:val="nl-NL"/>
        </w:rPr>
        <w:br w:type="page"/>
      </w:r>
      <w:r w:rsidRPr="00504551">
        <w:rPr>
          <w:rFonts w:ascii="Arial" w:hAnsi="Arial" w:cs="Arial"/>
          <w:sz w:val="24"/>
          <w:szCs w:val="24"/>
          <w:lang w:val="en-US"/>
        </w:rPr>
        <w:lastRenderedPageBreak/>
        <w:t>APPEARANCES</w:t>
      </w:r>
    </w:p>
    <w:p w:rsidR="004064AC" w:rsidRDefault="004064AC" w:rsidP="00504551">
      <w:pPr>
        <w:pStyle w:val="NoSpacing"/>
        <w:rPr>
          <w:rFonts w:ascii="Arial" w:hAnsi="Arial" w:cs="Arial"/>
          <w:sz w:val="24"/>
          <w:szCs w:val="24"/>
          <w:lang w:val="en-US"/>
        </w:rPr>
      </w:pPr>
    </w:p>
    <w:p w:rsidR="00504551" w:rsidRPr="00504551" w:rsidRDefault="00504551" w:rsidP="00504551">
      <w:pPr>
        <w:pStyle w:val="NoSpacing"/>
        <w:rPr>
          <w:rFonts w:ascii="Arial" w:hAnsi="Arial" w:cs="Arial"/>
          <w:sz w:val="24"/>
          <w:szCs w:val="24"/>
          <w:lang w:val="en-US"/>
        </w:rPr>
      </w:pPr>
    </w:p>
    <w:tbl>
      <w:tblPr>
        <w:tblW w:w="0" w:type="auto"/>
        <w:tblInd w:w="-142" w:type="dxa"/>
        <w:tblLook w:val="04A0" w:firstRow="1" w:lastRow="0" w:firstColumn="1" w:lastColumn="0" w:noHBand="0" w:noVBand="1"/>
      </w:tblPr>
      <w:tblGrid>
        <w:gridCol w:w="4380"/>
        <w:gridCol w:w="4407"/>
      </w:tblGrid>
      <w:tr w:rsidR="004064AC" w:rsidRPr="00496CEE" w:rsidTr="00504551">
        <w:tc>
          <w:tcPr>
            <w:tcW w:w="4380" w:type="dxa"/>
            <w:shd w:val="clear" w:color="auto" w:fill="auto"/>
          </w:tcPr>
          <w:p w:rsidR="004064AC" w:rsidRPr="00504551" w:rsidRDefault="004064AC" w:rsidP="00504551">
            <w:pPr>
              <w:pStyle w:val="NoSpacing"/>
              <w:spacing w:line="360" w:lineRule="auto"/>
              <w:rPr>
                <w:rFonts w:ascii="Arial" w:hAnsi="Arial" w:cs="Arial"/>
                <w:sz w:val="24"/>
                <w:szCs w:val="24"/>
                <w:lang w:val="nl-NL"/>
              </w:rPr>
            </w:pPr>
            <w:r w:rsidRPr="00504551">
              <w:rPr>
                <w:rFonts w:ascii="Arial" w:hAnsi="Arial" w:cs="Arial"/>
                <w:sz w:val="24"/>
                <w:szCs w:val="24"/>
                <w:lang w:val="nl-NL"/>
              </w:rPr>
              <w:t>APPELLANT</w:t>
            </w:r>
            <w:r w:rsidR="00B0600C">
              <w:rPr>
                <w:rFonts w:ascii="Arial" w:hAnsi="Arial" w:cs="Arial"/>
                <w:sz w:val="24"/>
                <w:szCs w:val="24"/>
                <w:lang w:val="nl-NL"/>
              </w:rPr>
              <w:t>S</w:t>
            </w:r>
            <w:r w:rsidRPr="00504551">
              <w:rPr>
                <w:rFonts w:ascii="Arial" w:hAnsi="Arial" w:cs="Arial"/>
                <w:sz w:val="24"/>
                <w:szCs w:val="24"/>
                <w:lang w:val="nl-NL"/>
              </w:rPr>
              <w:t>:</w:t>
            </w:r>
          </w:p>
        </w:tc>
        <w:tc>
          <w:tcPr>
            <w:tcW w:w="4407" w:type="dxa"/>
            <w:shd w:val="clear" w:color="auto" w:fill="auto"/>
          </w:tcPr>
          <w:p w:rsidR="004064AC" w:rsidRPr="00504551" w:rsidRDefault="004064AC" w:rsidP="00504551">
            <w:pPr>
              <w:pStyle w:val="NoSpacing"/>
              <w:spacing w:line="360" w:lineRule="auto"/>
              <w:rPr>
                <w:rFonts w:ascii="Arial" w:hAnsi="Arial" w:cs="Arial"/>
                <w:sz w:val="24"/>
                <w:szCs w:val="24"/>
              </w:rPr>
            </w:pPr>
            <w:r w:rsidRPr="00504551">
              <w:rPr>
                <w:rFonts w:ascii="Arial" w:hAnsi="Arial" w:cs="Arial"/>
                <w:sz w:val="24"/>
                <w:szCs w:val="24"/>
              </w:rPr>
              <w:t>D Khama</w:t>
            </w:r>
          </w:p>
        </w:tc>
      </w:tr>
      <w:tr w:rsidR="004064AC" w:rsidRPr="00496CEE" w:rsidTr="00504551">
        <w:tc>
          <w:tcPr>
            <w:tcW w:w="4380" w:type="dxa"/>
            <w:shd w:val="clear" w:color="auto" w:fill="auto"/>
          </w:tcPr>
          <w:p w:rsidR="004064AC" w:rsidRPr="00504551" w:rsidRDefault="004064AC" w:rsidP="00504551">
            <w:pPr>
              <w:pStyle w:val="NoSpacing"/>
              <w:spacing w:line="360" w:lineRule="auto"/>
              <w:rPr>
                <w:rFonts w:ascii="Arial" w:hAnsi="Arial" w:cs="Arial"/>
                <w:sz w:val="24"/>
                <w:szCs w:val="24"/>
              </w:rPr>
            </w:pPr>
          </w:p>
        </w:tc>
        <w:tc>
          <w:tcPr>
            <w:tcW w:w="4407" w:type="dxa"/>
            <w:shd w:val="clear" w:color="auto" w:fill="auto"/>
          </w:tcPr>
          <w:p w:rsidR="004064AC" w:rsidRPr="00504551" w:rsidRDefault="004064AC" w:rsidP="00504551">
            <w:pPr>
              <w:pStyle w:val="NoSpacing"/>
              <w:spacing w:line="360" w:lineRule="auto"/>
              <w:rPr>
                <w:rFonts w:ascii="Arial" w:hAnsi="Arial" w:cs="Arial"/>
                <w:sz w:val="24"/>
                <w:szCs w:val="24"/>
              </w:rPr>
            </w:pPr>
          </w:p>
          <w:p w:rsidR="004064AC" w:rsidRPr="00504551" w:rsidRDefault="004064AC" w:rsidP="00504551">
            <w:pPr>
              <w:pStyle w:val="NoSpacing"/>
              <w:spacing w:line="360" w:lineRule="auto"/>
              <w:rPr>
                <w:rFonts w:ascii="Arial" w:hAnsi="Arial" w:cs="Arial"/>
                <w:sz w:val="24"/>
                <w:szCs w:val="24"/>
              </w:rPr>
            </w:pPr>
            <w:r w:rsidRPr="00504551">
              <w:rPr>
                <w:rFonts w:ascii="Arial" w:hAnsi="Arial" w:cs="Arial"/>
                <w:sz w:val="24"/>
                <w:szCs w:val="24"/>
              </w:rPr>
              <w:t>Instructed by Government Attorney</w:t>
            </w:r>
          </w:p>
          <w:p w:rsidR="004064AC" w:rsidRPr="00504551" w:rsidRDefault="004064AC" w:rsidP="00504551">
            <w:pPr>
              <w:pStyle w:val="NoSpacing"/>
              <w:spacing w:line="360" w:lineRule="auto"/>
              <w:rPr>
                <w:rFonts w:ascii="Arial" w:hAnsi="Arial" w:cs="Arial"/>
                <w:sz w:val="24"/>
                <w:szCs w:val="24"/>
              </w:rPr>
            </w:pPr>
          </w:p>
        </w:tc>
      </w:tr>
      <w:tr w:rsidR="004064AC" w:rsidRPr="00496CEE" w:rsidTr="00504551">
        <w:trPr>
          <w:trHeight w:val="328"/>
        </w:trPr>
        <w:tc>
          <w:tcPr>
            <w:tcW w:w="4380" w:type="dxa"/>
            <w:shd w:val="clear" w:color="auto" w:fill="auto"/>
          </w:tcPr>
          <w:p w:rsidR="004064AC" w:rsidRPr="00504551" w:rsidRDefault="004064AC" w:rsidP="00504551">
            <w:pPr>
              <w:pStyle w:val="NoSpacing"/>
              <w:spacing w:line="360" w:lineRule="auto"/>
              <w:rPr>
                <w:rFonts w:ascii="Arial" w:hAnsi="Arial" w:cs="Arial"/>
                <w:sz w:val="24"/>
                <w:szCs w:val="24"/>
                <w:lang w:val="en-US"/>
              </w:rPr>
            </w:pPr>
            <w:r w:rsidRPr="00504551">
              <w:rPr>
                <w:rFonts w:ascii="Arial" w:hAnsi="Arial" w:cs="Arial"/>
                <w:sz w:val="24"/>
                <w:szCs w:val="24"/>
                <w:lang w:val="en-US"/>
              </w:rPr>
              <w:t>RESPONDENTS:</w:t>
            </w:r>
          </w:p>
        </w:tc>
        <w:tc>
          <w:tcPr>
            <w:tcW w:w="4407" w:type="dxa"/>
            <w:shd w:val="clear" w:color="auto" w:fill="auto"/>
          </w:tcPr>
          <w:p w:rsidR="004064AC" w:rsidRPr="00504551" w:rsidRDefault="004064AC" w:rsidP="00504551">
            <w:pPr>
              <w:pStyle w:val="NoSpacing"/>
              <w:spacing w:line="360" w:lineRule="auto"/>
              <w:rPr>
                <w:rFonts w:ascii="Arial" w:hAnsi="Arial" w:cs="Arial"/>
                <w:sz w:val="24"/>
                <w:szCs w:val="24"/>
              </w:rPr>
            </w:pPr>
            <w:r w:rsidRPr="00504551">
              <w:rPr>
                <w:rFonts w:ascii="Arial" w:hAnsi="Arial" w:cs="Arial"/>
                <w:sz w:val="24"/>
                <w:szCs w:val="24"/>
              </w:rPr>
              <w:t>P Barnard</w:t>
            </w:r>
          </w:p>
          <w:p w:rsidR="004064AC" w:rsidRPr="00504551" w:rsidRDefault="004064AC" w:rsidP="00504551">
            <w:pPr>
              <w:pStyle w:val="NoSpacing"/>
              <w:spacing w:line="360" w:lineRule="auto"/>
              <w:rPr>
                <w:rFonts w:ascii="Arial" w:hAnsi="Arial" w:cs="Arial"/>
                <w:sz w:val="24"/>
                <w:szCs w:val="24"/>
              </w:rPr>
            </w:pPr>
          </w:p>
          <w:p w:rsidR="004064AC" w:rsidRPr="00504551" w:rsidRDefault="004064AC" w:rsidP="00504551">
            <w:pPr>
              <w:pStyle w:val="NoSpacing"/>
              <w:spacing w:line="360" w:lineRule="auto"/>
              <w:rPr>
                <w:rFonts w:ascii="Arial" w:hAnsi="Arial" w:cs="Arial"/>
                <w:sz w:val="24"/>
                <w:szCs w:val="24"/>
              </w:rPr>
            </w:pPr>
            <w:r w:rsidRPr="00504551">
              <w:rPr>
                <w:rFonts w:ascii="Arial" w:hAnsi="Arial" w:cs="Arial"/>
                <w:sz w:val="24"/>
                <w:szCs w:val="24"/>
              </w:rPr>
              <w:t>Instructed by Du Pisani Legal Practitioners</w:t>
            </w:r>
          </w:p>
          <w:p w:rsidR="004064AC" w:rsidRPr="00504551" w:rsidRDefault="004064AC" w:rsidP="00504551">
            <w:pPr>
              <w:pStyle w:val="NoSpacing"/>
              <w:spacing w:line="360" w:lineRule="auto"/>
              <w:rPr>
                <w:rFonts w:ascii="Arial" w:hAnsi="Arial" w:cs="Arial"/>
                <w:sz w:val="24"/>
                <w:szCs w:val="24"/>
              </w:rPr>
            </w:pPr>
          </w:p>
        </w:tc>
      </w:tr>
    </w:tbl>
    <w:p w:rsidR="004064AC" w:rsidRPr="00496CEE" w:rsidRDefault="004064AC" w:rsidP="004064AC">
      <w:pPr>
        <w:pStyle w:val="MediumGrid1-Accent21"/>
        <w:spacing w:line="480" w:lineRule="auto"/>
        <w:ind w:left="0"/>
        <w:jc w:val="both"/>
        <w:rPr>
          <w:rFonts w:ascii="Arial" w:hAnsi="Arial" w:cs="Arial"/>
          <w:sz w:val="24"/>
          <w:szCs w:val="24"/>
          <w:lang w:val="en-US"/>
        </w:rPr>
      </w:pPr>
    </w:p>
    <w:p w:rsidR="004064AC" w:rsidRPr="00595EA4" w:rsidRDefault="004064AC" w:rsidP="008C3367">
      <w:pPr>
        <w:keepNext/>
        <w:spacing w:line="360" w:lineRule="auto"/>
        <w:jc w:val="center"/>
        <w:outlineLvl w:val="0"/>
        <w:rPr>
          <w:rFonts w:ascii="Arial" w:hAnsi="Arial" w:cs="Arial"/>
          <w:b/>
          <w:bCs/>
          <w:sz w:val="24"/>
          <w:szCs w:val="24"/>
        </w:rPr>
      </w:pPr>
    </w:p>
    <w:sectPr w:rsidR="004064AC" w:rsidRPr="00595EA4"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11" w:rsidRDefault="00132E11" w:rsidP="00B5013F">
      <w:pPr>
        <w:spacing w:after="0" w:line="240" w:lineRule="auto"/>
      </w:pPr>
      <w:r>
        <w:separator/>
      </w:r>
    </w:p>
  </w:endnote>
  <w:endnote w:type="continuationSeparator" w:id="0">
    <w:p w:rsidR="00132E11" w:rsidRDefault="00132E11"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11" w:rsidRDefault="00132E11" w:rsidP="00B5013F">
      <w:pPr>
        <w:spacing w:after="0" w:line="240" w:lineRule="auto"/>
      </w:pPr>
      <w:r>
        <w:separator/>
      </w:r>
    </w:p>
  </w:footnote>
  <w:footnote w:type="continuationSeparator" w:id="0">
    <w:p w:rsidR="00132E11" w:rsidRDefault="00132E11" w:rsidP="00B5013F">
      <w:pPr>
        <w:spacing w:after="0" w:line="240" w:lineRule="auto"/>
      </w:pPr>
      <w:r>
        <w:continuationSeparator/>
      </w:r>
    </w:p>
  </w:footnote>
  <w:footnote w:id="1">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Plascon Evan Paints Ltd v Van Riebeeck Paints (Pty) Ltd </w:t>
      </w:r>
      <w:r w:rsidRPr="006125E8">
        <w:rPr>
          <w:rFonts w:ascii="Arial" w:hAnsi="Arial" w:cs="Arial"/>
        </w:rPr>
        <w:t>1984</w:t>
      </w:r>
      <w:r w:rsidR="006D09C0">
        <w:rPr>
          <w:rFonts w:ascii="Arial" w:hAnsi="Arial" w:cs="Arial"/>
        </w:rPr>
        <w:t xml:space="preserve"> </w:t>
      </w:r>
      <w:r w:rsidRPr="006125E8">
        <w:rPr>
          <w:rFonts w:ascii="Arial" w:hAnsi="Arial" w:cs="Arial"/>
        </w:rPr>
        <w:t>(3) 623 (A).</w:t>
      </w:r>
    </w:p>
  </w:footnote>
  <w:footnote w:id="2">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Gross and others v Pentz</w:t>
      </w:r>
      <w:r w:rsidRPr="006125E8">
        <w:rPr>
          <w:rFonts w:ascii="Arial" w:hAnsi="Arial" w:cs="Arial"/>
        </w:rPr>
        <w:t xml:space="preserve"> 1994</w:t>
      </w:r>
      <w:r w:rsidR="006D09C0">
        <w:rPr>
          <w:rFonts w:ascii="Arial" w:hAnsi="Arial" w:cs="Arial"/>
        </w:rPr>
        <w:t xml:space="preserve"> </w:t>
      </w:r>
      <w:r w:rsidRPr="006125E8">
        <w:rPr>
          <w:rFonts w:ascii="Arial" w:hAnsi="Arial" w:cs="Arial"/>
        </w:rPr>
        <w:t xml:space="preserve">(4) SA 617 (A) per Harms JA </w:t>
      </w:r>
      <w:r w:rsidRPr="006125E8">
        <w:rPr>
          <w:rFonts w:ascii="Arial" w:hAnsi="Arial" w:cs="Arial"/>
          <w:i/>
        </w:rPr>
        <w:t>(diss) at 632</w:t>
      </w:r>
      <w:r w:rsidRPr="006125E8">
        <w:rPr>
          <w:rFonts w:ascii="Arial" w:hAnsi="Arial" w:cs="Arial"/>
        </w:rPr>
        <w:t xml:space="preserve">; </w:t>
      </w:r>
      <w:r w:rsidRPr="006125E8">
        <w:rPr>
          <w:rFonts w:ascii="Arial" w:hAnsi="Arial" w:cs="Arial"/>
          <w:i/>
        </w:rPr>
        <w:t xml:space="preserve">Sandton Civic Precinct (Pty) Ltd v City of Johannesburg and another </w:t>
      </w:r>
      <w:r w:rsidRPr="006125E8">
        <w:rPr>
          <w:rFonts w:ascii="Arial" w:hAnsi="Arial" w:cs="Arial"/>
        </w:rPr>
        <w:t>2009(1) SA 317 (SCA) at para 19.</w:t>
      </w:r>
    </w:p>
  </w:footnote>
  <w:footnote w:id="3">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Sandton Civic Precinct </w:t>
      </w:r>
      <w:r w:rsidRPr="006125E8">
        <w:rPr>
          <w:rFonts w:ascii="Arial" w:hAnsi="Arial" w:cs="Arial"/>
        </w:rPr>
        <w:t>at para 19.</w:t>
      </w:r>
    </w:p>
  </w:footnote>
  <w:footnote w:id="4">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Gross </w:t>
      </w:r>
      <w:r w:rsidRPr="006125E8">
        <w:rPr>
          <w:rFonts w:ascii="Arial" w:hAnsi="Arial" w:cs="Arial"/>
        </w:rPr>
        <w:t>at p 632D-E.</w:t>
      </w:r>
    </w:p>
  </w:footnote>
  <w:footnote w:id="5">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See </w:t>
      </w:r>
      <w:r w:rsidRPr="006125E8">
        <w:rPr>
          <w:rFonts w:ascii="Arial" w:hAnsi="Arial" w:cs="Arial"/>
          <w:i/>
        </w:rPr>
        <w:t xml:space="preserve">Sandon Civic Precinct </w:t>
      </w:r>
      <w:r w:rsidRPr="006125E8">
        <w:rPr>
          <w:rFonts w:ascii="Arial" w:hAnsi="Arial" w:cs="Arial"/>
        </w:rPr>
        <w:t>at para 19.</w:t>
      </w:r>
    </w:p>
  </w:footnote>
  <w:footnote w:id="6">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Kerry McNamar</w:t>
      </w:r>
      <w:r w:rsidR="006D09C0">
        <w:rPr>
          <w:rFonts w:ascii="Arial" w:hAnsi="Arial" w:cs="Arial"/>
          <w:i/>
        </w:rPr>
        <w:t>a</w:t>
      </w:r>
      <w:r w:rsidRPr="006125E8">
        <w:rPr>
          <w:rFonts w:ascii="Arial" w:hAnsi="Arial" w:cs="Arial"/>
          <w:i/>
        </w:rPr>
        <w:t xml:space="preserve"> Architects Inc and other v Minister of Works, Transport and Communications and others </w:t>
      </w:r>
      <w:r w:rsidRPr="006125E8">
        <w:rPr>
          <w:rFonts w:ascii="Arial" w:hAnsi="Arial" w:cs="Arial"/>
        </w:rPr>
        <w:t>2000 NR 1 (HC) (full bench).</w:t>
      </w:r>
    </w:p>
  </w:footnote>
  <w:footnote w:id="7">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1990(1) SA 873 (SWA).</w:t>
      </w:r>
    </w:p>
  </w:footnote>
  <w:footnote w:id="8">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At 879B.</w:t>
      </w:r>
    </w:p>
  </w:footnote>
  <w:footnote w:id="9">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Ex-TRTC United Workers’ Front and others v Premier, Eastern Cape Province</w:t>
      </w:r>
      <w:r w:rsidRPr="006125E8">
        <w:rPr>
          <w:rFonts w:ascii="Arial" w:hAnsi="Arial" w:cs="Arial"/>
        </w:rPr>
        <w:t xml:space="preserve"> 2010</w:t>
      </w:r>
      <w:r w:rsidR="00280A33">
        <w:rPr>
          <w:rFonts w:ascii="Arial" w:hAnsi="Arial" w:cs="Arial"/>
        </w:rPr>
        <w:t xml:space="preserve"> </w:t>
      </w:r>
      <w:r w:rsidRPr="006125E8">
        <w:rPr>
          <w:rFonts w:ascii="Arial" w:hAnsi="Arial" w:cs="Arial"/>
        </w:rPr>
        <w:t>(2) SA 114 (SE) at para 15 and for a helpful discussion of rule 14.</w:t>
      </w:r>
    </w:p>
  </w:footnote>
  <w:footnote w:id="10">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At para 15.</w:t>
      </w:r>
    </w:p>
  </w:footnote>
  <w:footnote w:id="11">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At para 15.</w:t>
      </w:r>
    </w:p>
  </w:footnote>
  <w:footnote w:id="12">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Mall (Cape) (Pty) </w:t>
      </w:r>
      <w:r w:rsidR="00280A33">
        <w:rPr>
          <w:rFonts w:ascii="Arial" w:hAnsi="Arial" w:cs="Arial"/>
          <w:i/>
        </w:rPr>
        <w:t>L</w:t>
      </w:r>
      <w:r w:rsidRPr="006125E8">
        <w:rPr>
          <w:rFonts w:ascii="Arial" w:hAnsi="Arial" w:cs="Arial"/>
          <w:i/>
        </w:rPr>
        <w:t xml:space="preserve">td v Nerubi Ko-operasie Bpk </w:t>
      </w:r>
      <w:r w:rsidRPr="006125E8">
        <w:rPr>
          <w:rFonts w:ascii="Arial" w:hAnsi="Arial" w:cs="Arial"/>
        </w:rPr>
        <w:t>1957</w:t>
      </w:r>
      <w:r w:rsidR="00F31E6D">
        <w:rPr>
          <w:rFonts w:ascii="Arial" w:hAnsi="Arial" w:cs="Arial"/>
        </w:rPr>
        <w:t xml:space="preserve"> </w:t>
      </w:r>
      <w:r w:rsidRPr="006125E8">
        <w:rPr>
          <w:rFonts w:ascii="Arial" w:hAnsi="Arial" w:cs="Arial"/>
        </w:rPr>
        <w:t xml:space="preserve">(2) SA 347 (C); </w:t>
      </w:r>
      <w:r w:rsidRPr="006125E8">
        <w:rPr>
          <w:rFonts w:ascii="Arial" w:hAnsi="Arial" w:cs="Arial"/>
          <w:i/>
        </w:rPr>
        <w:t xml:space="preserve">Ondonga Tribal Authority v Elifas and another </w:t>
      </w:r>
      <w:r w:rsidR="00F31E6D">
        <w:rPr>
          <w:rFonts w:ascii="Arial" w:hAnsi="Arial" w:cs="Arial"/>
        </w:rPr>
        <w:t>[2017] NAHCMD 142 (</w:t>
      </w:r>
      <w:r w:rsidRPr="006125E8">
        <w:rPr>
          <w:rFonts w:ascii="Arial" w:hAnsi="Arial" w:cs="Arial"/>
        </w:rPr>
        <w:t xml:space="preserve">5 </w:t>
      </w:r>
      <w:r w:rsidR="00F31E6D">
        <w:rPr>
          <w:rFonts w:ascii="Arial" w:hAnsi="Arial" w:cs="Arial"/>
        </w:rPr>
        <w:t>M</w:t>
      </w:r>
      <w:r w:rsidRPr="006125E8">
        <w:rPr>
          <w:rFonts w:ascii="Arial" w:hAnsi="Arial" w:cs="Arial"/>
        </w:rPr>
        <w:t>ay 2017) at paras 18 and 19.</w:t>
      </w:r>
    </w:p>
  </w:footnote>
  <w:footnote w:id="13">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1973</w:t>
      </w:r>
      <w:r w:rsidR="00280A33">
        <w:rPr>
          <w:rFonts w:ascii="Arial" w:hAnsi="Arial" w:cs="Arial"/>
        </w:rPr>
        <w:t xml:space="preserve"> </w:t>
      </w:r>
      <w:r w:rsidRPr="006125E8">
        <w:rPr>
          <w:rFonts w:ascii="Arial" w:hAnsi="Arial" w:cs="Arial"/>
        </w:rPr>
        <w:t>(3) SA 735</w:t>
      </w:r>
      <w:r w:rsidR="00280A33">
        <w:rPr>
          <w:rFonts w:ascii="Arial" w:hAnsi="Arial" w:cs="Arial"/>
        </w:rPr>
        <w:t xml:space="preserve"> </w:t>
      </w:r>
      <w:r w:rsidRPr="006125E8">
        <w:rPr>
          <w:rFonts w:ascii="Arial" w:hAnsi="Arial" w:cs="Arial"/>
        </w:rPr>
        <w:t>(A) at 739.</w:t>
      </w:r>
    </w:p>
  </w:footnote>
  <w:footnote w:id="14">
    <w:p w:rsidR="003D7C6C" w:rsidRPr="006125E8" w:rsidRDefault="003D7C6C"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Yeko </w:t>
      </w:r>
      <w:r w:rsidRPr="006125E8">
        <w:rPr>
          <w:rFonts w:ascii="Arial" w:hAnsi="Arial" w:cs="Arial"/>
        </w:rPr>
        <w:t>at p 739E.</w:t>
      </w:r>
    </w:p>
  </w:footnote>
  <w:footnote w:id="15">
    <w:p w:rsidR="003D7C6C" w:rsidRPr="006125E8" w:rsidRDefault="003D7C6C"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1959</w:t>
      </w:r>
      <w:r w:rsidR="00280A33">
        <w:rPr>
          <w:rFonts w:ascii="Arial" w:hAnsi="Arial" w:cs="Arial"/>
        </w:rPr>
        <w:t xml:space="preserve"> </w:t>
      </w:r>
      <w:r w:rsidRPr="006125E8">
        <w:rPr>
          <w:rFonts w:ascii="Arial" w:hAnsi="Arial" w:cs="Arial"/>
        </w:rPr>
        <w:t>(1) SA 853 (W).</w:t>
      </w:r>
    </w:p>
  </w:footnote>
  <w:footnote w:id="16">
    <w:p w:rsidR="003D7C6C" w:rsidRPr="006125E8" w:rsidRDefault="003D7C6C"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1982</w:t>
      </w:r>
      <w:r w:rsidR="00280A33">
        <w:rPr>
          <w:rFonts w:ascii="Arial" w:hAnsi="Arial" w:cs="Arial"/>
        </w:rPr>
        <w:t xml:space="preserve"> </w:t>
      </w:r>
      <w:r w:rsidRPr="006125E8">
        <w:rPr>
          <w:rFonts w:ascii="Arial" w:hAnsi="Arial" w:cs="Arial"/>
        </w:rPr>
        <w:t>(2) SA 490 (W).</w:t>
      </w:r>
    </w:p>
  </w:footnote>
  <w:footnote w:id="17">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See also </w:t>
      </w:r>
      <w:r w:rsidRPr="006125E8">
        <w:rPr>
          <w:rFonts w:ascii="Arial" w:hAnsi="Arial" w:cs="Arial"/>
          <w:i/>
        </w:rPr>
        <w:t xml:space="preserve">Mbuku v Mdinwa </w:t>
      </w:r>
      <w:r w:rsidRPr="006125E8">
        <w:rPr>
          <w:rFonts w:ascii="Arial" w:hAnsi="Arial" w:cs="Arial"/>
        </w:rPr>
        <w:t>1982</w:t>
      </w:r>
      <w:r w:rsidR="00280A33">
        <w:rPr>
          <w:rFonts w:ascii="Arial" w:hAnsi="Arial" w:cs="Arial"/>
        </w:rPr>
        <w:t xml:space="preserve"> </w:t>
      </w:r>
      <w:r w:rsidRPr="006125E8">
        <w:rPr>
          <w:rFonts w:ascii="Arial" w:hAnsi="Arial" w:cs="Arial"/>
        </w:rPr>
        <w:t xml:space="preserve">(1) SA 219 (Tk SC), </w:t>
      </w:r>
      <w:r w:rsidRPr="006125E8">
        <w:rPr>
          <w:rFonts w:ascii="Arial" w:hAnsi="Arial" w:cs="Arial"/>
          <w:i/>
        </w:rPr>
        <w:t>Barbo</w:t>
      </w:r>
      <w:r w:rsidR="002B7062" w:rsidRPr="006125E8">
        <w:rPr>
          <w:rFonts w:ascii="Arial" w:hAnsi="Arial" w:cs="Arial"/>
          <w:i/>
        </w:rPr>
        <w:t>w</w:t>
      </w:r>
      <w:r w:rsidRPr="006125E8">
        <w:rPr>
          <w:rFonts w:ascii="Arial" w:hAnsi="Arial" w:cs="Arial"/>
          <w:i/>
        </w:rPr>
        <w:t xml:space="preserve"> Motors Investment Ltd v Smart </w:t>
      </w:r>
      <w:r w:rsidRPr="006125E8">
        <w:rPr>
          <w:rFonts w:ascii="Arial" w:hAnsi="Arial" w:cs="Arial"/>
        </w:rPr>
        <w:t>1993</w:t>
      </w:r>
      <w:r w:rsidR="00280A33">
        <w:rPr>
          <w:rFonts w:ascii="Arial" w:hAnsi="Arial" w:cs="Arial"/>
        </w:rPr>
        <w:t xml:space="preserve"> </w:t>
      </w:r>
      <w:r w:rsidRPr="006125E8">
        <w:rPr>
          <w:rFonts w:ascii="Arial" w:hAnsi="Arial" w:cs="Arial"/>
        </w:rPr>
        <w:t>(1) SA 347 (W) at 351D-H.</w:t>
      </w:r>
    </w:p>
  </w:footnote>
  <w:footnote w:id="18">
    <w:p w:rsidR="002B7062" w:rsidRPr="006125E8" w:rsidRDefault="002B7062"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2016</w:t>
      </w:r>
      <w:r w:rsidR="00280A33">
        <w:rPr>
          <w:rFonts w:ascii="Arial" w:hAnsi="Arial" w:cs="Arial"/>
        </w:rPr>
        <w:t xml:space="preserve"> </w:t>
      </w:r>
      <w:r w:rsidRPr="006125E8">
        <w:rPr>
          <w:rFonts w:ascii="Arial" w:hAnsi="Arial" w:cs="Arial"/>
        </w:rPr>
        <w:t>(4) SA 121 (CC).</w:t>
      </w:r>
    </w:p>
  </w:footnote>
  <w:footnote w:id="19">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At para 186.</w:t>
      </w:r>
    </w:p>
  </w:footnote>
  <w:footnote w:id="20">
    <w:p w:rsidR="0036166B" w:rsidRPr="006125E8" w:rsidRDefault="0036166B"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Disposable Medical Products (Pty) Ltd v Tender Board of Namibia and others</w:t>
      </w:r>
      <w:r w:rsidRPr="006125E8">
        <w:rPr>
          <w:rFonts w:ascii="Arial" w:hAnsi="Arial" w:cs="Arial"/>
        </w:rPr>
        <w:t xml:space="preserve"> 1997 NR 129 (HC) (full bench) at 133 H-I. See also </w:t>
      </w:r>
      <w:r w:rsidRPr="006125E8">
        <w:rPr>
          <w:rFonts w:ascii="Arial" w:hAnsi="Arial" w:cs="Arial"/>
          <w:i/>
        </w:rPr>
        <w:t xml:space="preserve">Radebe v Government of the Republic of South African and others </w:t>
      </w:r>
      <w:r w:rsidRPr="006125E8">
        <w:rPr>
          <w:rFonts w:ascii="Arial" w:hAnsi="Arial" w:cs="Arial"/>
        </w:rPr>
        <w:t>1995</w:t>
      </w:r>
      <w:r w:rsidR="00280A33">
        <w:rPr>
          <w:rFonts w:ascii="Arial" w:hAnsi="Arial" w:cs="Arial"/>
        </w:rPr>
        <w:t xml:space="preserve"> </w:t>
      </w:r>
      <w:r w:rsidRPr="006125E8">
        <w:rPr>
          <w:rFonts w:ascii="Arial" w:hAnsi="Arial" w:cs="Arial"/>
        </w:rPr>
        <w:t>(3) SA 787 (N) at 798G-H.</w:t>
      </w:r>
    </w:p>
  </w:footnote>
  <w:footnote w:id="21">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w:t>
      </w:r>
      <w:r w:rsidRPr="006125E8">
        <w:rPr>
          <w:rFonts w:ascii="Arial" w:hAnsi="Arial" w:cs="Arial"/>
          <w:i/>
        </w:rPr>
        <w:t xml:space="preserve">Keya v Chief of the Defence Force and others </w:t>
      </w:r>
      <w:r w:rsidRPr="006125E8">
        <w:rPr>
          <w:rFonts w:ascii="Arial" w:hAnsi="Arial" w:cs="Arial"/>
        </w:rPr>
        <w:t>2013</w:t>
      </w:r>
      <w:r w:rsidR="00280A33">
        <w:rPr>
          <w:rFonts w:ascii="Arial" w:hAnsi="Arial" w:cs="Arial"/>
        </w:rPr>
        <w:t xml:space="preserve"> </w:t>
      </w:r>
      <w:r w:rsidRPr="006125E8">
        <w:rPr>
          <w:rFonts w:ascii="Arial" w:hAnsi="Arial" w:cs="Arial"/>
        </w:rPr>
        <w:t xml:space="preserve">(3) NR 770 (SC) at para 21; </w:t>
      </w:r>
      <w:r w:rsidRPr="006125E8">
        <w:rPr>
          <w:rFonts w:ascii="Arial" w:hAnsi="Arial" w:cs="Arial"/>
          <w:i/>
        </w:rPr>
        <w:t xml:space="preserve">Kruger v Transnamib Ltd (Air Namibia) and others </w:t>
      </w:r>
      <w:r w:rsidRPr="006125E8">
        <w:rPr>
          <w:rFonts w:ascii="Arial" w:hAnsi="Arial" w:cs="Arial"/>
        </w:rPr>
        <w:t>1996 NR 168 (SC).</w:t>
      </w:r>
    </w:p>
  </w:footnote>
  <w:footnote w:id="22">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See </w:t>
      </w:r>
      <w:r w:rsidRPr="006125E8">
        <w:rPr>
          <w:rFonts w:ascii="Arial" w:hAnsi="Arial" w:cs="Arial"/>
          <w:i/>
        </w:rPr>
        <w:t xml:space="preserve">Keya </w:t>
      </w:r>
      <w:r w:rsidRPr="006125E8">
        <w:rPr>
          <w:rFonts w:ascii="Arial" w:hAnsi="Arial" w:cs="Arial"/>
        </w:rPr>
        <w:t>at para 21.</w:t>
      </w:r>
    </w:p>
  </w:footnote>
  <w:footnote w:id="23">
    <w:p w:rsidR="00B11DCF" w:rsidRPr="006125E8" w:rsidRDefault="00B11DCF" w:rsidP="00F31E6D">
      <w:pPr>
        <w:pStyle w:val="FootnoteText"/>
        <w:jc w:val="both"/>
        <w:rPr>
          <w:rFonts w:ascii="Arial" w:hAnsi="Arial" w:cs="Arial"/>
        </w:rPr>
      </w:pPr>
      <w:r w:rsidRPr="006125E8">
        <w:rPr>
          <w:rStyle w:val="FootnoteReference"/>
          <w:rFonts w:ascii="Arial" w:hAnsi="Arial" w:cs="Arial"/>
        </w:rPr>
        <w:footnoteRef/>
      </w:r>
      <w:r w:rsidRPr="006125E8">
        <w:rPr>
          <w:rFonts w:ascii="Arial" w:hAnsi="Arial" w:cs="Arial"/>
        </w:rPr>
        <w:t xml:space="preserve"> In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noProof/>
      </w:rPr>
    </w:sdtEndPr>
    <w:sdtContent>
      <w:p w:rsidR="00B11DCF" w:rsidRDefault="00B11DCF">
        <w:pPr>
          <w:pStyle w:val="Header"/>
          <w:jc w:val="right"/>
        </w:pPr>
        <w:r>
          <w:fldChar w:fldCharType="begin"/>
        </w:r>
        <w:r>
          <w:instrText xml:space="preserve"> PAGE   \* MERGEFORMAT </w:instrText>
        </w:r>
        <w:r>
          <w:fldChar w:fldCharType="separate"/>
        </w:r>
        <w:r w:rsidR="00E04A77">
          <w:rPr>
            <w:noProof/>
          </w:rPr>
          <w:t>23</w:t>
        </w:r>
        <w:r>
          <w:rPr>
            <w:noProof/>
          </w:rPr>
          <w:fldChar w:fldCharType="end"/>
        </w:r>
      </w:p>
    </w:sdtContent>
  </w:sdt>
  <w:p w:rsidR="00B11DCF" w:rsidRDefault="00B11DCF" w:rsidP="00EF5A61">
    <w:pPr>
      <w:pStyle w:val="Header"/>
      <w:tabs>
        <w:tab w:val="clear" w:pos="4513"/>
        <w:tab w:val="clear" w:pos="9026"/>
        <w:tab w:val="left" w:pos="4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8BA5"/>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1" w15:restartNumberingAfterBreak="0">
    <w:nsid w:val="13246F45"/>
    <w:multiLevelType w:val="hybridMultilevel"/>
    <w:tmpl w:val="8DEC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86D"/>
    <w:multiLevelType w:val="hybridMultilevel"/>
    <w:tmpl w:val="AAFE3ED6"/>
    <w:lvl w:ilvl="0" w:tplc="A4AAA0AE">
      <w:start w:val="1"/>
      <w:numFmt w:val="decimal"/>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53C637E"/>
    <w:multiLevelType w:val="hybridMultilevel"/>
    <w:tmpl w:val="37A40FA8"/>
    <w:lvl w:ilvl="0" w:tplc="BF22F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49C"/>
    <w:multiLevelType w:val="hybridMultilevel"/>
    <w:tmpl w:val="B9DA7E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67FBC"/>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7" w15:restartNumberingAfterBreak="0">
    <w:nsid w:val="47246EDA"/>
    <w:multiLevelType w:val="hybridMultilevel"/>
    <w:tmpl w:val="C79087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3D136C"/>
    <w:multiLevelType w:val="hybridMultilevel"/>
    <w:tmpl w:val="4B44CB4A"/>
    <w:lvl w:ilvl="0" w:tplc="D0503798">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33AA3"/>
    <w:multiLevelType w:val="hybridMultilevel"/>
    <w:tmpl w:val="DCCCF976"/>
    <w:lvl w:ilvl="0" w:tplc="A808DA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F7852F1"/>
    <w:multiLevelType w:val="hybridMultilevel"/>
    <w:tmpl w:val="6EC881D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C4C7E"/>
    <w:multiLevelType w:val="hybridMultilevel"/>
    <w:tmpl w:val="00A88C4C"/>
    <w:lvl w:ilvl="0" w:tplc="E6A619B8">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512A51"/>
    <w:multiLevelType w:val="hybridMultilevel"/>
    <w:tmpl w:val="27B6FCB0"/>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7"/>
  </w:num>
  <w:num w:numId="5">
    <w:abstractNumId w:val="15"/>
  </w:num>
  <w:num w:numId="6">
    <w:abstractNumId w:val="4"/>
  </w:num>
  <w:num w:numId="7">
    <w:abstractNumId w:val="9"/>
  </w:num>
  <w:num w:numId="8">
    <w:abstractNumId w:val="2"/>
  </w:num>
  <w:num w:numId="9">
    <w:abstractNumId w:val="0"/>
    <w:lvlOverride w:ilvl="0">
      <w:lvl w:ilvl="0">
        <w:numFmt w:val="decimal"/>
        <w:lvlText w:val="%1."/>
        <w:lvlJc w:val="left"/>
        <w:pPr>
          <w:tabs>
            <w:tab w:val="num" w:pos="720"/>
          </w:tabs>
          <w:ind w:left="144"/>
        </w:pPr>
        <w:rPr>
          <w:rFonts w:ascii="Arial" w:hAnsi="Arial" w:cs="Arial"/>
          <w:snapToGrid/>
          <w:sz w:val="21"/>
          <w:szCs w:val="21"/>
        </w:rPr>
      </w:lvl>
    </w:lvlOverride>
  </w:num>
  <w:num w:numId="10">
    <w:abstractNumId w:val="6"/>
  </w:num>
  <w:num w:numId="11">
    <w:abstractNumId w:val="12"/>
  </w:num>
  <w:num w:numId="12">
    <w:abstractNumId w:val="8"/>
  </w:num>
  <w:num w:numId="13">
    <w:abstractNumId w:val="1"/>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12F64"/>
    <w:rsid w:val="00017329"/>
    <w:rsid w:val="00020736"/>
    <w:rsid w:val="00022490"/>
    <w:rsid w:val="000276F0"/>
    <w:rsid w:val="000328DA"/>
    <w:rsid w:val="00052B8A"/>
    <w:rsid w:val="000547F7"/>
    <w:rsid w:val="00057B7B"/>
    <w:rsid w:val="00063E6F"/>
    <w:rsid w:val="00064087"/>
    <w:rsid w:val="000657A4"/>
    <w:rsid w:val="00077B52"/>
    <w:rsid w:val="000834AF"/>
    <w:rsid w:val="000840CA"/>
    <w:rsid w:val="00085B13"/>
    <w:rsid w:val="00087515"/>
    <w:rsid w:val="00093352"/>
    <w:rsid w:val="00095323"/>
    <w:rsid w:val="000A3E7F"/>
    <w:rsid w:val="000B2A75"/>
    <w:rsid w:val="000D1ADC"/>
    <w:rsid w:val="000D3FDB"/>
    <w:rsid w:val="000D79A2"/>
    <w:rsid w:val="00104231"/>
    <w:rsid w:val="001063D8"/>
    <w:rsid w:val="001121BB"/>
    <w:rsid w:val="00117B62"/>
    <w:rsid w:val="00117E9E"/>
    <w:rsid w:val="001227DB"/>
    <w:rsid w:val="00132E11"/>
    <w:rsid w:val="00135FAD"/>
    <w:rsid w:val="0013608D"/>
    <w:rsid w:val="0014241F"/>
    <w:rsid w:val="00147FCD"/>
    <w:rsid w:val="00151FFA"/>
    <w:rsid w:val="00165C1B"/>
    <w:rsid w:val="00167EC2"/>
    <w:rsid w:val="0018002C"/>
    <w:rsid w:val="00190911"/>
    <w:rsid w:val="001C0900"/>
    <w:rsid w:val="001C2AC5"/>
    <w:rsid w:val="001D4856"/>
    <w:rsid w:val="001D614E"/>
    <w:rsid w:val="001D74FF"/>
    <w:rsid w:val="001E4503"/>
    <w:rsid w:val="001E6251"/>
    <w:rsid w:val="001F1F2D"/>
    <w:rsid w:val="00207D05"/>
    <w:rsid w:val="0021321C"/>
    <w:rsid w:val="00215D8F"/>
    <w:rsid w:val="00224757"/>
    <w:rsid w:val="00235698"/>
    <w:rsid w:val="00237F11"/>
    <w:rsid w:val="0024384F"/>
    <w:rsid w:val="00260FCC"/>
    <w:rsid w:val="00262874"/>
    <w:rsid w:val="0026483F"/>
    <w:rsid w:val="002662E3"/>
    <w:rsid w:val="00267E36"/>
    <w:rsid w:val="00280A33"/>
    <w:rsid w:val="002831CE"/>
    <w:rsid w:val="0028326E"/>
    <w:rsid w:val="00283DA3"/>
    <w:rsid w:val="0029794E"/>
    <w:rsid w:val="002A40F9"/>
    <w:rsid w:val="002A4385"/>
    <w:rsid w:val="002B7062"/>
    <w:rsid w:val="002C24A2"/>
    <w:rsid w:val="002D50B1"/>
    <w:rsid w:val="002E060A"/>
    <w:rsid w:val="002E4E6A"/>
    <w:rsid w:val="0030737F"/>
    <w:rsid w:val="0030775E"/>
    <w:rsid w:val="00310940"/>
    <w:rsid w:val="00320C4F"/>
    <w:rsid w:val="00323443"/>
    <w:rsid w:val="00333E58"/>
    <w:rsid w:val="0033527B"/>
    <w:rsid w:val="00337BE9"/>
    <w:rsid w:val="0035172A"/>
    <w:rsid w:val="00357C85"/>
    <w:rsid w:val="0036166B"/>
    <w:rsid w:val="0036202B"/>
    <w:rsid w:val="00363A01"/>
    <w:rsid w:val="003745AA"/>
    <w:rsid w:val="003801E5"/>
    <w:rsid w:val="00381349"/>
    <w:rsid w:val="00381D9E"/>
    <w:rsid w:val="00390541"/>
    <w:rsid w:val="003A2101"/>
    <w:rsid w:val="003A68C1"/>
    <w:rsid w:val="003A78BA"/>
    <w:rsid w:val="003B3FA4"/>
    <w:rsid w:val="003B71A9"/>
    <w:rsid w:val="003C231E"/>
    <w:rsid w:val="003C52D8"/>
    <w:rsid w:val="003D19CC"/>
    <w:rsid w:val="003D7C6C"/>
    <w:rsid w:val="003E7F28"/>
    <w:rsid w:val="004064AC"/>
    <w:rsid w:val="00413FB2"/>
    <w:rsid w:val="00427400"/>
    <w:rsid w:val="00431E65"/>
    <w:rsid w:val="00432B3E"/>
    <w:rsid w:val="00446BE0"/>
    <w:rsid w:val="00450CAD"/>
    <w:rsid w:val="00457F24"/>
    <w:rsid w:val="00475114"/>
    <w:rsid w:val="00480D26"/>
    <w:rsid w:val="0048752F"/>
    <w:rsid w:val="004A3E5F"/>
    <w:rsid w:val="004A4CEB"/>
    <w:rsid w:val="004A52E4"/>
    <w:rsid w:val="004A60BA"/>
    <w:rsid w:val="004B2A80"/>
    <w:rsid w:val="004C0B99"/>
    <w:rsid w:val="004C0E0B"/>
    <w:rsid w:val="004C4D6B"/>
    <w:rsid w:val="004E2834"/>
    <w:rsid w:val="004E7A36"/>
    <w:rsid w:val="004F15DB"/>
    <w:rsid w:val="004F2F75"/>
    <w:rsid w:val="004F7771"/>
    <w:rsid w:val="00503269"/>
    <w:rsid w:val="00504551"/>
    <w:rsid w:val="0050635E"/>
    <w:rsid w:val="00512F75"/>
    <w:rsid w:val="005200BB"/>
    <w:rsid w:val="00526BE5"/>
    <w:rsid w:val="005355CC"/>
    <w:rsid w:val="00546D94"/>
    <w:rsid w:val="0054791A"/>
    <w:rsid w:val="00555D1D"/>
    <w:rsid w:val="00576598"/>
    <w:rsid w:val="0058394C"/>
    <w:rsid w:val="00584213"/>
    <w:rsid w:val="0059459C"/>
    <w:rsid w:val="00595105"/>
    <w:rsid w:val="005A531E"/>
    <w:rsid w:val="005B461D"/>
    <w:rsid w:val="005B7FBF"/>
    <w:rsid w:val="005E3190"/>
    <w:rsid w:val="006125E8"/>
    <w:rsid w:val="0061388B"/>
    <w:rsid w:val="0063197F"/>
    <w:rsid w:val="006369BD"/>
    <w:rsid w:val="006403AF"/>
    <w:rsid w:val="00644C54"/>
    <w:rsid w:val="006558B2"/>
    <w:rsid w:val="00664C3C"/>
    <w:rsid w:val="00670411"/>
    <w:rsid w:val="00670783"/>
    <w:rsid w:val="00673B76"/>
    <w:rsid w:val="00682C7E"/>
    <w:rsid w:val="00686A76"/>
    <w:rsid w:val="00696F27"/>
    <w:rsid w:val="006A7919"/>
    <w:rsid w:val="006B2B9C"/>
    <w:rsid w:val="006B30C3"/>
    <w:rsid w:val="006C3C24"/>
    <w:rsid w:val="006C66D5"/>
    <w:rsid w:val="006D09C0"/>
    <w:rsid w:val="007003B1"/>
    <w:rsid w:val="007104AA"/>
    <w:rsid w:val="00711D32"/>
    <w:rsid w:val="0071371C"/>
    <w:rsid w:val="00721889"/>
    <w:rsid w:val="007363BA"/>
    <w:rsid w:val="007410AA"/>
    <w:rsid w:val="00742D5B"/>
    <w:rsid w:val="00744B36"/>
    <w:rsid w:val="00745BF5"/>
    <w:rsid w:val="0077206A"/>
    <w:rsid w:val="0078007C"/>
    <w:rsid w:val="00782D22"/>
    <w:rsid w:val="007A5543"/>
    <w:rsid w:val="007B28AB"/>
    <w:rsid w:val="007D69FA"/>
    <w:rsid w:val="007E349A"/>
    <w:rsid w:val="007E479F"/>
    <w:rsid w:val="007E4BBB"/>
    <w:rsid w:val="007F3637"/>
    <w:rsid w:val="007F632F"/>
    <w:rsid w:val="007F6CEC"/>
    <w:rsid w:val="008001EA"/>
    <w:rsid w:val="008005AC"/>
    <w:rsid w:val="008225ED"/>
    <w:rsid w:val="008238F3"/>
    <w:rsid w:val="00823CF0"/>
    <w:rsid w:val="00826CFE"/>
    <w:rsid w:val="008330F4"/>
    <w:rsid w:val="00843E37"/>
    <w:rsid w:val="00845E43"/>
    <w:rsid w:val="00847ADC"/>
    <w:rsid w:val="008534A8"/>
    <w:rsid w:val="0086001D"/>
    <w:rsid w:val="0086095A"/>
    <w:rsid w:val="00860DA9"/>
    <w:rsid w:val="00865CB7"/>
    <w:rsid w:val="008A1B3F"/>
    <w:rsid w:val="008A592B"/>
    <w:rsid w:val="008A6B97"/>
    <w:rsid w:val="008B396E"/>
    <w:rsid w:val="008C024E"/>
    <w:rsid w:val="008C075B"/>
    <w:rsid w:val="008C3367"/>
    <w:rsid w:val="008E50CD"/>
    <w:rsid w:val="008E52FB"/>
    <w:rsid w:val="008F1A3A"/>
    <w:rsid w:val="008F3E78"/>
    <w:rsid w:val="008F45CA"/>
    <w:rsid w:val="008F4DD5"/>
    <w:rsid w:val="008F5AF1"/>
    <w:rsid w:val="00900815"/>
    <w:rsid w:val="00906CCA"/>
    <w:rsid w:val="00915E6F"/>
    <w:rsid w:val="009161DB"/>
    <w:rsid w:val="00922881"/>
    <w:rsid w:val="009509F3"/>
    <w:rsid w:val="00950BEE"/>
    <w:rsid w:val="00955972"/>
    <w:rsid w:val="00956095"/>
    <w:rsid w:val="00960FE1"/>
    <w:rsid w:val="00971638"/>
    <w:rsid w:val="009818A1"/>
    <w:rsid w:val="00990236"/>
    <w:rsid w:val="009917BB"/>
    <w:rsid w:val="00992845"/>
    <w:rsid w:val="009A2CC6"/>
    <w:rsid w:val="009B3E55"/>
    <w:rsid w:val="009B49AE"/>
    <w:rsid w:val="009B712C"/>
    <w:rsid w:val="009B7C45"/>
    <w:rsid w:val="009D0357"/>
    <w:rsid w:val="009D68C2"/>
    <w:rsid w:val="009D7D59"/>
    <w:rsid w:val="009D7F0F"/>
    <w:rsid w:val="009E1988"/>
    <w:rsid w:val="009E7CF0"/>
    <w:rsid w:val="009F0D89"/>
    <w:rsid w:val="009F38B3"/>
    <w:rsid w:val="009F54F5"/>
    <w:rsid w:val="009F5D6D"/>
    <w:rsid w:val="00A25D5C"/>
    <w:rsid w:val="00A265A7"/>
    <w:rsid w:val="00A30950"/>
    <w:rsid w:val="00A40B10"/>
    <w:rsid w:val="00A42A96"/>
    <w:rsid w:val="00A528F9"/>
    <w:rsid w:val="00A577F9"/>
    <w:rsid w:val="00A944AB"/>
    <w:rsid w:val="00A97F7E"/>
    <w:rsid w:val="00AA5F84"/>
    <w:rsid w:val="00AD0B1B"/>
    <w:rsid w:val="00AD7F23"/>
    <w:rsid w:val="00B0600C"/>
    <w:rsid w:val="00B06B54"/>
    <w:rsid w:val="00B06BAE"/>
    <w:rsid w:val="00B11DCF"/>
    <w:rsid w:val="00B22293"/>
    <w:rsid w:val="00B26C68"/>
    <w:rsid w:val="00B32436"/>
    <w:rsid w:val="00B33983"/>
    <w:rsid w:val="00B40CD3"/>
    <w:rsid w:val="00B45E78"/>
    <w:rsid w:val="00B5013F"/>
    <w:rsid w:val="00B56F30"/>
    <w:rsid w:val="00B610C7"/>
    <w:rsid w:val="00B61A3D"/>
    <w:rsid w:val="00B64E5C"/>
    <w:rsid w:val="00B65AAF"/>
    <w:rsid w:val="00B76AE2"/>
    <w:rsid w:val="00B77595"/>
    <w:rsid w:val="00B838CB"/>
    <w:rsid w:val="00B8392C"/>
    <w:rsid w:val="00B853C0"/>
    <w:rsid w:val="00B97E3E"/>
    <w:rsid w:val="00BA6518"/>
    <w:rsid w:val="00BB4BBA"/>
    <w:rsid w:val="00BD516C"/>
    <w:rsid w:val="00BE0088"/>
    <w:rsid w:val="00BE6663"/>
    <w:rsid w:val="00BF17E1"/>
    <w:rsid w:val="00C258CE"/>
    <w:rsid w:val="00C27B12"/>
    <w:rsid w:val="00C40889"/>
    <w:rsid w:val="00C522BA"/>
    <w:rsid w:val="00C543B6"/>
    <w:rsid w:val="00C57896"/>
    <w:rsid w:val="00C720A8"/>
    <w:rsid w:val="00C73D99"/>
    <w:rsid w:val="00C8032B"/>
    <w:rsid w:val="00C86D67"/>
    <w:rsid w:val="00C97523"/>
    <w:rsid w:val="00C97DFE"/>
    <w:rsid w:val="00CA34AF"/>
    <w:rsid w:val="00CB197D"/>
    <w:rsid w:val="00CC4297"/>
    <w:rsid w:val="00CD25A6"/>
    <w:rsid w:val="00CF20FE"/>
    <w:rsid w:val="00D11E3A"/>
    <w:rsid w:val="00D21784"/>
    <w:rsid w:val="00D24A8F"/>
    <w:rsid w:val="00D429A6"/>
    <w:rsid w:val="00D51216"/>
    <w:rsid w:val="00D538CB"/>
    <w:rsid w:val="00D55010"/>
    <w:rsid w:val="00D55ED9"/>
    <w:rsid w:val="00D80240"/>
    <w:rsid w:val="00D86519"/>
    <w:rsid w:val="00D86876"/>
    <w:rsid w:val="00D9303E"/>
    <w:rsid w:val="00DA1ECF"/>
    <w:rsid w:val="00DB03BA"/>
    <w:rsid w:val="00DB39B3"/>
    <w:rsid w:val="00DC0068"/>
    <w:rsid w:val="00DC0849"/>
    <w:rsid w:val="00DD2E73"/>
    <w:rsid w:val="00DD756E"/>
    <w:rsid w:val="00DE20AF"/>
    <w:rsid w:val="00DE4719"/>
    <w:rsid w:val="00DF4AD5"/>
    <w:rsid w:val="00E04A77"/>
    <w:rsid w:val="00E17E65"/>
    <w:rsid w:val="00E27FA8"/>
    <w:rsid w:val="00E34535"/>
    <w:rsid w:val="00E42454"/>
    <w:rsid w:val="00E51ACC"/>
    <w:rsid w:val="00E54895"/>
    <w:rsid w:val="00E57961"/>
    <w:rsid w:val="00E63D3D"/>
    <w:rsid w:val="00E65443"/>
    <w:rsid w:val="00E65BD2"/>
    <w:rsid w:val="00E770D7"/>
    <w:rsid w:val="00E81D67"/>
    <w:rsid w:val="00E81F2A"/>
    <w:rsid w:val="00E8762F"/>
    <w:rsid w:val="00E97453"/>
    <w:rsid w:val="00EA0987"/>
    <w:rsid w:val="00EA5675"/>
    <w:rsid w:val="00EB13EA"/>
    <w:rsid w:val="00EC3642"/>
    <w:rsid w:val="00EC41CC"/>
    <w:rsid w:val="00EC58AD"/>
    <w:rsid w:val="00EC5C7D"/>
    <w:rsid w:val="00ED01E4"/>
    <w:rsid w:val="00ED02C5"/>
    <w:rsid w:val="00ED74ED"/>
    <w:rsid w:val="00EE363D"/>
    <w:rsid w:val="00EE729F"/>
    <w:rsid w:val="00EF5A61"/>
    <w:rsid w:val="00EF68AC"/>
    <w:rsid w:val="00F255FF"/>
    <w:rsid w:val="00F26021"/>
    <w:rsid w:val="00F31E6D"/>
    <w:rsid w:val="00F36C83"/>
    <w:rsid w:val="00F374D6"/>
    <w:rsid w:val="00F43978"/>
    <w:rsid w:val="00F47692"/>
    <w:rsid w:val="00F523D7"/>
    <w:rsid w:val="00F560A6"/>
    <w:rsid w:val="00F7039E"/>
    <w:rsid w:val="00F7134F"/>
    <w:rsid w:val="00F713EC"/>
    <w:rsid w:val="00F80F4F"/>
    <w:rsid w:val="00F810A7"/>
    <w:rsid w:val="00F85EE4"/>
    <w:rsid w:val="00F87651"/>
    <w:rsid w:val="00F921E8"/>
    <w:rsid w:val="00F94253"/>
    <w:rsid w:val="00F96BC1"/>
    <w:rsid w:val="00FB31DF"/>
    <w:rsid w:val="00FC361E"/>
    <w:rsid w:val="00FD2C12"/>
    <w:rsid w:val="00FE5E27"/>
    <w:rsid w:val="00FF4533"/>
    <w:rsid w:val="00FF4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paragraph" w:customStyle="1" w:styleId="MediumGrid1-Accent21">
    <w:name w:val="Medium Grid 1 - Accent 21"/>
    <w:basedOn w:val="Normal"/>
    <w:uiPriority w:val="34"/>
    <w:qFormat/>
    <w:rsid w:val="004064AC"/>
    <w:pPr>
      <w:spacing w:after="0"/>
      <w:ind w:left="720"/>
      <w:contextualSpacing/>
    </w:pPr>
    <w:rPr>
      <w:rFonts w:ascii="Calibri" w:eastAsia="Calibri" w:hAnsi="Calibri" w:cs="Times New Roman"/>
      <w:lang w:val="en-ZW"/>
    </w:rPr>
  </w:style>
  <w:style w:type="paragraph" w:styleId="NormalWeb">
    <w:name w:val="Normal (Web)"/>
    <w:basedOn w:val="Normal"/>
    <w:uiPriority w:val="99"/>
    <w:semiHidden/>
    <w:unhideWhenUsed/>
    <w:rsid w:val="007F36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F3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1932">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2017-10-24T18:30:00+00:00</Judgment_x0020_Date>
    <Year xmlns="63bdd487-88aa-4c54-b893-ddaa81ed2e7c">2017</Year>
  </documentManagement>
</p:properties>
</file>

<file path=customXml/itemProps1.xml><?xml version="1.0" encoding="utf-8"?>
<ds:datastoreItem xmlns:ds="http://schemas.openxmlformats.org/officeDocument/2006/customXml" ds:itemID="{007D3440-8843-4A3E-AA9F-981A0F8C19AF}"/>
</file>

<file path=customXml/itemProps2.xml><?xml version="1.0" encoding="utf-8"?>
<ds:datastoreItem xmlns:ds="http://schemas.openxmlformats.org/officeDocument/2006/customXml" ds:itemID="{634D3537-DC02-4E40-9CA9-20AE70E3046A}"/>
</file>

<file path=customXml/itemProps3.xml><?xml version="1.0" encoding="utf-8"?>
<ds:datastoreItem xmlns:ds="http://schemas.openxmlformats.org/officeDocument/2006/customXml" ds:itemID="{2B0035BE-C5A7-4542-9D95-8043845AFCBF}"/>
</file>

<file path=customXml/itemProps4.xml><?xml version="1.0" encoding="utf-8"?>
<ds:datastoreItem xmlns:ds="http://schemas.openxmlformats.org/officeDocument/2006/customXml" ds:itemID="{4B49FBCF-D06C-48F4-840F-90E04B1D4CA3}"/>
</file>

<file path=docProps/app.xml><?xml version="1.0" encoding="utf-8"?>
<Properties xmlns="http://schemas.openxmlformats.org/officeDocument/2006/extended-properties" xmlns:vt="http://schemas.openxmlformats.org/officeDocument/2006/docPropsVTypes">
  <Template>Normal</Template>
  <TotalTime>1</TotalTime>
  <Pages>33</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2017-10-24T10:17:00Z</cp:lastPrinted>
  <dcterms:created xsi:type="dcterms:W3CDTF">2017-10-27T16:21:00Z</dcterms:created>
  <dcterms:modified xsi:type="dcterms:W3CDTF">2017-10-27T16:21:00Z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