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22" w:rsidRDefault="00CF6F22" w:rsidP="00C96792">
      <w:pPr>
        <w:spacing w:before="100" w:beforeAutospacing="1" w:after="100" w:afterAutospacing="1" w:line="240" w:lineRule="auto"/>
        <w:jc w:val="center"/>
        <w:rPr>
          <w:rFonts w:ascii="Arial" w:hAnsi="Arial" w:cs="Arial"/>
          <w:b/>
          <w:sz w:val="32"/>
          <w:szCs w:val="32"/>
        </w:rPr>
      </w:pPr>
      <w:bookmarkStart w:id="0" w:name="_GoBack"/>
      <w:bookmarkEnd w:id="0"/>
      <w:r w:rsidRPr="00631743">
        <w:rPr>
          <w:rFonts w:ascii="Arial" w:hAnsi="Arial" w:cs="Arial"/>
          <w:b/>
          <w:noProof/>
          <w:sz w:val="32"/>
          <w:szCs w:val="32"/>
        </w:rPr>
        <w:drawing>
          <wp:inline distT="0" distB="0" distL="0" distR="0" wp14:anchorId="3BA8AD48" wp14:editId="510C7D5F">
            <wp:extent cx="1035050" cy="1043940"/>
            <wp:effectExtent l="0" t="0" r="0" b="381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43940"/>
                    </a:xfrm>
                    <a:prstGeom prst="rect">
                      <a:avLst/>
                    </a:prstGeom>
                    <a:noFill/>
                    <a:ln>
                      <a:noFill/>
                    </a:ln>
                  </pic:spPr>
                </pic:pic>
              </a:graphicData>
            </a:graphic>
          </wp:inline>
        </w:drawing>
      </w:r>
    </w:p>
    <w:p w:rsidR="00A06D7F" w:rsidRPr="00A06D7F" w:rsidRDefault="00A06D7F" w:rsidP="00A06D7F">
      <w:pPr>
        <w:spacing w:before="100" w:beforeAutospacing="1" w:after="100" w:afterAutospacing="1" w:line="240" w:lineRule="auto"/>
        <w:jc w:val="right"/>
        <w:rPr>
          <w:rFonts w:ascii="Arial" w:hAnsi="Arial" w:cs="Arial"/>
          <w:b/>
          <w:sz w:val="24"/>
          <w:szCs w:val="24"/>
        </w:rPr>
      </w:pPr>
      <w:r>
        <w:rPr>
          <w:rFonts w:ascii="Arial" w:hAnsi="Arial" w:cs="Arial"/>
          <w:b/>
          <w:sz w:val="24"/>
          <w:szCs w:val="24"/>
        </w:rPr>
        <w:t>REPORTABLE</w:t>
      </w:r>
    </w:p>
    <w:p w:rsidR="00CF6F22" w:rsidRPr="00631743" w:rsidRDefault="00CF6F22" w:rsidP="00A06D7F">
      <w:pPr>
        <w:tabs>
          <w:tab w:val="right" w:pos="9000"/>
        </w:tabs>
        <w:spacing w:before="100" w:beforeAutospacing="1" w:after="100" w:afterAutospacing="1" w:line="240" w:lineRule="auto"/>
        <w:jc w:val="right"/>
        <w:rPr>
          <w:rFonts w:ascii="Arial" w:hAnsi="Arial" w:cs="Arial"/>
          <w:b/>
          <w:sz w:val="24"/>
          <w:szCs w:val="24"/>
        </w:rPr>
      </w:pPr>
      <w:r w:rsidRPr="00631743">
        <w:rPr>
          <w:rFonts w:ascii="Arial" w:hAnsi="Arial" w:cs="Arial"/>
          <w:b/>
          <w:sz w:val="24"/>
          <w:szCs w:val="24"/>
        </w:rPr>
        <w:tab/>
      </w:r>
      <w:r w:rsidR="00B161D6" w:rsidRPr="00631743">
        <w:rPr>
          <w:rFonts w:ascii="Arial" w:hAnsi="Arial" w:cs="Arial"/>
          <w:sz w:val="24"/>
          <w:szCs w:val="24"/>
        </w:rPr>
        <w:t>Case no: SA</w:t>
      </w:r>
      <w:r w:rsidRPr="00631743">
        <w:rPr>
          <w:rFonts w:ascii="Arial" w:hAnsi="Arial" w:cs="Arial"/>
          <w:sz w:val="24"/>
          <w:szCs w:val="24"/>
        </w:rPr>
        <w:t xml:space="preserve"> </w:t>
      </w:r>
      <w:r w:rsidR="00A40DC5" w:rsidRPr="00631743">
        <w:rPr>
          <w:rFonts w:ascii="Arial" w:hAnsi="Arial" w:cs="Arial"/>
          <w:sz w:val="24"/>
          <w:szCs w:val="24"/>
        </w:rPr>
        <w:t>15/201</w:t>
      </w:r>
      <w:r w:rsidR="00A06D7F">
        <w:rPr>
          <w:rFonts w:ascii="Arial" w:hAnsi="Arial" w:cs="Arial"/>
          <w:sz w:val="24"/>
          <w:szCs w:val="24"/>
        </w:rPr>
        <w:t>6</w:t>
      </w:r>
    </w:p>
    <w:p w:rsidR="00A06D7F" w:rsidRDefault="00A635B8" w:rsidP="004012CE">
      <w:pPr>
        <w:spacing w:before="100" w:beforeAutospacing="1" w:after="100" w:afterAutospacing="1" w:line="480" w:lineRule="auto"/>
        <w:jc w:val="both"/>
        <w:rPr>
          <w:rFonts w:ascii="Arial" w:eastAsia="Calibri" w:hAnsi="Arial" w:cs="Arial"/>
          <w:color w:val="000000" w:themeColor="text1"/>
          <w:sz w:val="24"/>
          <w:szCs w:val="24"/>
        </w:rPr>
      </w:pPr>
      <w:r>
        <w:rPr>
          <w:rFonts w:ascii="Arial" w:hAnsi="Arial" w:cs="Arial"/>
          <w:b/>
          <w:sz w:val="24"/>
          <w:szCs w:val="24"/>
        </w:rPr>
        <w:t>IN THE SUPREME CO</w:t>
      </w:r>
      <w:r w:rsidR="00A06D7F">
        <w:rPr>
          <w:rFonts w:ascii="Arial" w:hAnsi="Arial" w:cs="Arial"/>
          <w:b/>
          <w:sz w:val="24"/>
          <w:szCs w:val="24"/>
        </w:rPr>
        <w:t>URT OF NAMIBIA</w:t>
      </w:r>
    </w:p>
    <w:p w:rsidR="007E6D9D" w:rsidRPr="00631743" w:rsidRDefault="00A40DC5" w:rsidP="004012CE">
      <w:pPr>
        <w:spacing w:before="100" w:beforeAutospacing="1" w:after="100" w:afterAutospacing="1" w:line="480" w:lineRule="auto"/>
        <w:jc w:val="both"/>
        <w:rPr>
          <w:rFonts w:ascii="Arial" w:eastAsia="Calibri" w:hAnsi="Arial" w:cs="Arial"/>
          <w:b/>
          <w:color w:val="000000" w:themeColor="text1"/>
          <w:sz w:val="24"/>
          <w:szCs w:val="24"/>
        </w:rPr>
      </w:pPr>
      <w:r w:rsidRPr="00631743">
        <w:rPr>
          <w:rFonts w:ascii="Arial" w:eastAsia="Calibri" w:hAnsi="Arial" w:cs="Arial"/>
          <w:color w:val="000000" w:themeColor="text1"/>
          <w:sz w:val="24"/>
          <w:szCs w:val="24"/>
        </w:rPr>
        <w:t>In the matter between:</w:t>
      </w:r>
    </w:p>
    <w:p w:rsidR="00A40DC5" w:rsidRPr="00631743" w:rsidRDefault="00A40DC5" w:rsidP="004012CE">
      <w:pPr>
        <w:spacing w:before="100" w:beforeAutospacing="1" w:after="100" w:afterAutospacing="1" w:line="480" w:lineRule="auto"/>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KAI-UWE DENKER</w:t>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t xml:space="preserve"> </w:t>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t xml:space="preserve">                     </w:t>
      </w:r>
      <w:r w:rsidRPr="00631743">
        <w:rPr>
          <w:rFonts w:ascii="Arial" w:eastAsia="Calibri" w:hAnsi="Arial" w:cs="Arial"/>
          <w:b/>
          <w:color w:val="000000" w:themeColor="text1"/>
          <w:sz w:val="24"/>
          <w:szCs w:val="24"/>
        </w:rPr>
        <w:tab/>
        <w:t xml:space="preserve">     </w:t>
      </w:r>
      <w:r w:rsidRPr="00631743">
        <w:rPr>
          <w:rFonts w:ascii="Arial" w:eastAsia="Calibri" w:hAnsi="Arial" w:cs="Arial"/>
          <w:b/>
          <w:color w:val="000000" w:themeColor="text1"/>
          <w:sz w:val="24"/>
          <w:szCs w:val="24"/>
        </w:rPr>
        <w:tab/>
        <w:t xml:space="preserve">         </w:t>
      </w:r>
      <w:r w:rsidR="007E6D9D" w:rsidRPr="00631743">
        <w:rPr>
          <w:rFonts w:ascii="Arial" w:eastAsia="Calibri" w:hAnsi="Arial" w:cs="Arial"/>
          <w:b/>
          <w:color w:val="000000" w:themeColor="text1"/>
          <w:sz w:val="24"/>
          <w:szCs w:val="24"/>
        </w:rPr>
        <w:t xml:space="preserve">    APPELLANT</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 xml:space="preserve">and </w:t>
      </w:r>
    </w:p>
    <w:p w:rsidR="00A40DC5" w:rsidRPr="00631743" w:rsidRDefault="007E6D9D" w:rsidP="004012CE">
      <w:pPr>
        <w:spacing w:before="100" w:beforeAutospacing="1" w:after="100" w:afterAutospacing="1" w:line="480" w:lineRule="auto"/>
        <w:ind w:right="-22"/>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AMEIB RHINO SANCTUARY (PTY) LTD</w:t>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t xml:space="preserve">         FIRST RESPONDENT</w:t>
      </w:r>
    </w:p>
    <w:p w:rsidR="00A40DC5" w:rsidRPr="00631743" w:rsidRDefault="007E6D9D" w:rsidP="004012CE">
      <w:pPr>
        <w:spacing w:before="100" w:beforeAutospacing="1" w:after="100" w:afterAutospacing="1" w:line="480" w:lineRule="auto"/>
        <w:ind w:right="-22"/>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REGISTRAR OF COMPANIES</w:t>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t xml:space="preserve">    SECOND RESPONDENT</w:t>
      </w:r>
    </w:p>
    <w:p w:rsidR="00A40DC5" w:rsidRPr="00631743" w:rsidRDefault="007E6D9D" w:rsidP="004012CE">
      <w:pPr>
        <w:spacing w:before="100" w:beforeAutospacing="1" w:after="100" w:afterAutospacing="1" w:line="480" w:lineRule="auto"/>
        <w:ind w:right="-22"/>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THE TRUSTEES OF MICHAEL VILJOEN TRUST</w:t>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t xml:space="preserve">        THIRD RESPONDENT</w:t>
      </w:r>
    </w:p>
    <w:p w:rsidR="00A40DC5" w:rsidRPr="00631743" w:rsidRDefault="007E6D9D" w:rsidP="004012CE">
      <w:pPr>
        <w:spacing w:before="100" w:beforeAutospacing="1" w:after="100" w:afterAutospacing="1" w:line="480" w:lineRule="auto"/>
        <w:ind w:right="-22"/>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MINISTER OF LANDS AND RESETTLEMENT</w:t>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t xml:space="preserve">    FOURTH RESPONDENT</w:t>
      </w:r>
    </w:p>
    <w:p w:rsidR="00A40DC5" w:rsidRPr="00631743" w:rsidRDefault="007E6D9D" w:rsidP="004012CE">
      <w:pPr>
        <w:spacing w:before="100" w:beforeAutospacing="1" w:after="100" w:afterAutospacing="1" w:line="480" w:lineRule="auto"/>
        <w:ind w:right="-22"/>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MICHAEL HERCULES VILJOEN</w:t>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r>
      <w:r w:rsidRPr="00631743">
        <w:rPr>
          <w:rFonts w:ascii="Arial" w:eastAsia="Calibri" w:hAnsi="Arial" w:cs="Arial"/>
          <w:b/>
          <w:color w:val="000000" w:themeColor="text1"/>
          <w:sz w:val="24"/>
          <w:szCs w:val="24"/>
        </w:rPr>
        <w:tab/>
        <w:t xml:space="preserve">         FIFTH RESPONDENT</w:t>
      </w:r>
    </w:p>
    <w:p w:rsidR="00A40DC5" w:rsidRPr="00631743" w:rsidRDefault="00A40DC5" w:rsidP="00C96792">
      <w:pPr>
        <w:spacing w:before="100" w:beforeAutospacing="1" w:after="100" w:afterAutospacing="1" w:line="240" w:lineRule="auto"/>
        <w:jc w:val="both"/>
        <w:rPr>
          <w:rFonts w:ascii="Arial" w:eastAsia="Calibri" w:hAnsi="Arial" w:cs="Arial"/>
          <w:color w:val="000000" w:themeColor="text1"/>
          <w:sz w:val="24"/>
          <w:szCs w:val="24"/>
        </w:rPr>
      </w:pPr>
    </w:p>
    <w:p w:rsidR="00A40DC5" w:rsidRPr="00631743" w:rsidRDefault="00A40DC5" w:rsidP="00C96792">
      <w:pPr>
        <w:spacing w:before="100" w:beforeAutospacing="1" w:after="100" w:afterAutospacing="1" w:line="240" w:lineRule="auto"/>
        <w:ind w:left="1440" w:hanging="1440"/>
        <w:jc w:val="both"/>
        <w:rPr>
          <w:rFonts w:ascii="Arial" w:eastAsia="Calibri" w:hAnsi="Arial" w:cs="Arial"/>
          <w:color w:val="000000" w:themeColor="text1"/>
          <w:sz w:val="24"/>
          <w:szCs w:val="24"/>
        </w:rPr>
      </w:pPr>
      <w:r w:rsidRPr="00631743">
        <w:rPr>
          <w:rFonts w:ascii="Arial" w:eastAsia="Calibri" w:hAnsi="Arial" w:cs="Arial"/>
          <w:b/>
          <w:color w:val="000000" w:themeColor="text1"/>
          <w:sz w:val="24"/>
          <w:szCs w:val="24"/>
        </w:rPr>
        <w:t>Coram:</w:t>
      </w:r>
      <w:r w:rsidRPr="00631743">
        <w:rPr>
          <w:rFonts w:ascii="Arial" w:eastAsia="Calibri" w:hAnsi="Arial" w:cs="Arial"/>
          <w:color w:val="000000" w:themeColor="text1"/>
          <w:sz w:val="24"/>
          <w:szCs w:val="24"/>
        </w:rPr>
        <w:tab/>
        <w:t>DAMASEB DCJ, SMUTS JA and HOFF JA</w:t>
      </w:r>
      <w:r w:rsidRPr="00631743">
        <w:rPr>
          <w:rFonts w:ascii="Arial" w:eastAsia="Calibri" w:hAnsi="Arial" w:cs="Arial"/>
          <w:b/>
          <w:color w:val="000000" w:themeColor="text1"/>
          <w:sz w:val="24"/>
          <w:szCs w:val="24"/>
        </w:rPr>
        <w:t xml:space="preserve">                      </w:t>
      </w:r>
    </w:p>
    <w:p w:rsidR="00A40DC5" w:rsidRPr="00631743" w:rsidRDefault="00A40DC5" w:rsidP="00C96792">
      <w:pPr>
        <w:spacing w:before="100" w:beforeAutospacing="1" w:after="100" w:afterAutospacing="1" w:line="240" w:lineRule="auto"/>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Heard:</w:t>
      </w:r>
      <w:r w:rsidRPr="00631743">
        <w:rPr>
          <w:rFonts w:ascii="Arial" w:eastAsia="Calibri" w:hAnsi="Arial" w:cs="Arial"/>
          <w:b/>
          <w:color w:val="000000" w:themeColor="text1"/>
          <w:sz w:val="24"/>
          <w:szCs w:val="24"/>
        </w:rPr>
        <w:tab/>
        <w:t>2 November 2017</w:t>
      </w:r>
      <w:r w:rsidR="007E6D9D" w:rsidRPr="00631743">
        <w:rPr>
          <w:rFonts w:ascii="Arial" w:eastAsia="Calibri" w:hAnsi="Arial" w:cs="Arial"/>
          <w:b/>
          <w:color w:val="000000" w:themeColor="text1"/>
          <w:sz w:val="24"/>
          <w:szCs w:val="24"/>
        </w:rPr>
        <w:t xml:space="preserve"> </w:t>
      </w:r>
    </w:p>
    <w:p w:rsidR="00A40DC5" w:rsidRDefault="00A40DC5" w:rsidP="00C96792">
      <w:pPr>
        <w:spacing w:before="100" w:beforeAutospacing="1" w:after="100" w:afterAutospacing="1" w:line="240" w:lineRule="auto"/>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 xml:space="preserve">Delivered: </w:t>
      </w:r>
      <w:r w:rsidRPr="00631743">
        <w:rPr>
          <w:rFonts w:ascii="Arial" w:eastAsia="Calibri" w:hAnsi="Arial" w:cs="Arial"/>
          <w:b/>
          <w:color w:val="000000" w:themeColor="text1"/>
          <w:sz w:val="24"/>
          <w:szCs w:val="24"/>
        </w:rPr>
        <w:tab/>
      </w:r>
      <w:r w:rsidR="009D3E6A">
        <w:rPr>
          <w:rFonts w:ascii="Arial" w:eastAsia="Calibri" w:hAnsi="Arial" w:cs="Arial"/>
          <w:b/>
          <w:color w:val="000000" w:themeColor="text1"/>
          <w:sz w:val="24"/>
          <w:szCs w:val="24"/>
        </w:rPr>
        <w:t xml:space="preserve">22 </w:t>
      </w:r>
      <w:r w:rsidRPr="00631743">
        <w:rPr>
          <w:rFonts w:ascii="Arial" w:eastAsia="Calibri" w:hAnsi="Arial" w:cs="Arial"/>
          <w:b/>
          <w:color w:val="000000" w:themeColor="text1"/>
          <w:sz w:val="24"/>
          <w:szCs w:val="24"/>
        </w:rPr>
        <w:t>November 2017</w:t>
      </w:r>
    </w:p>
    <w:p w:rsidR="00A06D7F" w:rsidRPr="00631743" w:rsidRDefault="00A06D7F" w:rsidP="00C96792">
      <w:pPr>
        <w:spacing w:before="100" w:beforeAutospacing="1" w:after="100" w:afterAutospacing="1" w:line="240" w:lineRule="auto"/>
        <w:jc w:val="both"/>
        <w:rPr>
          <w:rFonts w:ascii="Arial" w:eastAsia="Calibri" w:hAnsi="Arial" w:cs="Arial"/>
          <w:b/>
          <w:color w:val="000000" w:themeColor="text1"/>
          <w:sz w:val="24"/>
          <w:szCs w:val="24"/>
        </w:rPr>
      </w:pPr>
    </w:p>
    <w:p w:rsidR="00380F37" w:rsidRPr="00631743" w:rsidRDefault="00380F37" w:rsidP="00380F37">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b/>
          <w:color w:val="000000" w:themeColor="text1"/>
          <w:sz w:val="24"/>
          <w:szCs w:val="24"/>
        </w:rPr>
        <w:lastRenderedPageBreak/>
        <w:t xml:space="preserve">Summary: </w:t>
      </w:r>
      <w:r w:rsidRPr="00631743">
        <w:rPr>
          <w:rFonts w:ascii="Arial" w:eastAsia="Calibri" w:hAnsi="Arial" w:cs="Arial"/>
          <w:color w:val="000000" w:themeColor="text1"/>
          <w:sz w:val="24"/>
          <w:szCs w:val="24"/>
        </w:rPr>
        <w:t xml:space="preserve">The appellant (Denker) brought an application in the High Court seeking an order declaring that the transfer of his 1% share in a Namibian-registered company owning agricultural land to a foreign national </w:t>
      </w:r>
      <w:r w:rsidR="00FC4825">
        <w:rPr>
          <w:rFonts w:ascii="Arial" w:eastAsia="Calibri" w:hAnsi="Arial" w:cs="Arial"/>
          <w:color w:val="000000" w:themeColor="text1"/>
          <w:sz w:val="24"/>
          <w:szCs w:val="24"/>
        </w:rPr>
        <w:t>(a trust)</w:t>
      </w:r>
      <w:r w:rsidR="00A870C8">
        <w:rPr>
          <w:rFonts w:ascii="Arial" w:eastAsia="Calibri" w:hAnsi="Arial" w:cs="Arial"/>
          <w:color w:val="000000" w:themeColor="text1"/>
          <w:sz w:val="24"/>
          <w:szCs w:val="24"/>
        </w:rPr>
        <w:t>,</w:t>
      </w:r>
      <w:r w:rsidRPr="00631743">
        <w:rPr>
          <w:rFonts w:ascii="Arial" w:eastAsia="Calibri" w:hAnsi="Arial" w:cs="Arial"/>
          <w:color w:val="000000" w:themeColor="text1"/>
          <w:sz w:val="24"/>
          <w:szCs w:val="24"/>
        </w:rPr>
        <w:t xml:space="preserve"> was unlawful and invalid. Since it was in breach of s 58(1)(a) for th</w:t>
      </w:r>
      <w:r w:rsidR="00FC4825">
        <w:rPr>
          <w:rFonts w:ascii="Arial" w:eastAsia="Calibri" w:hAnsi="Arial" w:cs="Arial"/>
          <w:color w:val="000000" w:themeColor="text1"/>
          <w:sz w:val="24"/>
          <w:szCs w:val="24"/>
        </w:rPr>
        <w:t xml:space="preserve">e company, in which a Namibian </w:t>
      </w:r>
      <w:r w:rsidRPr="00631743">
        <w:rPr>
          <w:rFonts w:ascii="Arial" w:eastAsia="Calibri" w:hAnsi="Arial" w:cs="Arial"/>
          <w:color w:val="000000" w:themeColor="text1"/>
          <w:sz w:val="24"/>
          <w:szCs w:val="24"/>
        </w:rPr>
        <w:t xml:space="preserve">did not hold a controlling interest, to acquire agricultural land, the acquisition by the company was void. </w:t>
      </w:r>
      <w:r w:rsidR="00FC4825">
        <w:rPr>
          <w:rFonts w:ascii="Arial" w:eastAsia="Calibri" w:hAnsi="Arial" w:cs="Arial"/>
          <w:color w:val="000000" w:themeColor="text1"/>
          <w:sz w:val="24"/>
          <w:szCs w:val="24"/>
        </w:rPr>
        <w:t>Denker</w:t>
      </w:r>
      <w:r w:rsidRPr="00631743">
        <w:rPr>
          <w:rFonts w:ascii="Arial" w:eastAsia="Calibri" w:hAnsi="Arial" w:cs="Arial"/>
          <w:color w:val="000000" w:themeColor="text1"/>
          <w:sz w:val="24"/>
          <w:szCs w:val="24"/>
        </w:rPr>
        <w:t xml:space="preserve"> requested the court, in addition to declaring the share transfer invalid, to rectify the share register of the company in terms of s 122 of the Companies Act, 2004 (Act no. 28 of 2004) making him 51% shareholder and </w:t>
      </w:r>
      <w:r w:rsidR="00FC4825">
        <w:rPr>
          <w:rFonts w:ascii="Arial" w:eastAsia="Calibri" w:hAnsi="Arial" w:cs="Arial"/>
          <w:color w:val="000000" w:themeColor="text1"/>
          <w:sz w:val="24"/>
          <w:szCs w:val="24"/>
        </w:rPr>
        <w:t>the foreign national</w:t>
      </w:r>
      <w:r w:rsidRPr="00631743">
        <w:rPr>
          <w:rFonts w:ascii="Arial" w:eastAsia="Calibri" w:hAnsi="Arial" w:cs="Arial"/>
          <w:color w:val="000000" w:themeColor="text1"/>
          <w:sz w:val="24"/>
          <w:szCs w:val="24"/>
        </w:rPr>
        <w:t xml:space="preserve"> 49% shareholder. The relief was justified on three principal grounds. The first was that </w:t>
      </w:r>
      <w:r w:rsidR="00FC4825">
        <w:rPr>
          <w:rFonts w:ascii="Arial" w:eastAsia="Calibri" w:hAnsi="Arial" w:cs="Arial"/>
          <w:color w:val="000000" w:themeColor="text1"/>
          <w:sz w:val="24"/>
          <w:szCs w:val="24"/>
        </w:rPr>
        <w:t>the</w:t>
      </w:r>
      <w:r w:rsidRPr="00631743">
        <w:rPr>
          <w:rFonts w:ascii="Arial" w:eastAsia="Calibri" w:hAnsi="Arial" w:cs="Arial"/>
          <w:color w:val="000000" w:themeColor="text1"/>
          <w:sz w:val="24"/>
          <w:szCs w:val="24"/>
        </w:rPr>
        <w:t xml:space="preserve"> </w:t>
      </w:r>
      <w:r w:rsidR="00FC4825">
        <w:rPr>
          <w:rFonts w:ascii="Arial" w:eastAsia="Calibri" w:hAnsi="Arial" w:cs="Arial"/>
          <w:color w:val="000000" w:themeColor="text1"/>
          <w:sz w:val="24"/>
          <w:szCs w:val="24"/>
        </w:rPr>
        <w:t xml:space="preserve">fifth respondent </w:t>
      </w:r>
      <w:r w:rsidRPr="00631743">
        <w:rPr>
          <w:rFonts w:ascii="Arial" w:eastAsia="Calibri" w:hAnsi="Arial" w:cs="Arial"/>
          <w:color w:val="000000" w:themeColor="text1"/>
          <w:sz w:val="24"/>
          <w:szCs w:val="24"/>
        </w:rPr>
        <w:t>had misrepresented to him that Namibian law permitted him (a foreigner) t</w:t>
      </w:r>
      <w:r w:rsidR="00FC4825">
        <w:rPr>
          <w:rFonts w:ascii="Arial" w:eastAsia="Calibri" w:hAnsi="Arial" w:cs="Arial"/>
          <w:color w:val="000000" w:themeColor="text1"/>
          <w:sz w:val="24"/>
          <w:szCs w:val="24"/>
        </w:rPr>
        <w:t>o own shares in the company (acquiring</w:t>
      </w:r>
      <w:r w:rsidRPr="00631743">
        <w:rPr>
          <w:rFonts w:ascii="Arial" w:eastAsia="Calibri" w:hAnsi="Arial" w:cs="Arial"/>
          <w:color w:val="000000" w:themeColor="text1"/>
          <w:sz w:val="24"/>
          <w:szCs w:val="24"/>
        </w:rPr>
        <w:t xml:space="preserve"> agricultural land) in equal proportion (50/50) when in truth that was not permitted by law. The second basis was that the documents evidencing the share transfer were not affixed with stamp duty as required by s 23 </w:t>
      </w:r>
      <w:r w:rsidR="00FC4825">
        <w:rPr>
          <w:rFonts w:ascii="Arial" w:eastAsia="Calibri" w:hAnsi="Arial" w:cs="Arial"/>
          <w:color w:val="000000" w:themeColor="text1"/>
          <w:sz w:val="24"/>
          <w:szCs w:val="24"/>
        </w:rPr>
        <w:t>and</w:t>
      </w:r>
      <w:r w:rsidRPr="00631743">
        <w:rPr>
          <w:rFonts w:ascii="Arial" w:eastAsia="Calibri" w:hAnsi="Arial" w:cs="Arial"/>
          <w:color w:val="000000" w:themeColor="text1"/>
          <w:sz w:val="24"/>
          <w:szCs w:val="24"/>
        </w:rPr>
        <w:t xml:space="preserve"> s 10(6) of the Stamp Duties Act, 1993 (Act no. 15 of 1993)</w:t>
      </w:r>
      <w:r w:rsidR="00FC4825">
        <w:rPr>
          <w:rFonts w:ascii="Arial" w:eastAsia="Calibri" w:hAnsi="Arial" w:cs="Arial"/>
          <w:color w:val="000000" w:themeColor="text1"/>
          <w:sz w:val="24"/>
          <w:szCs w:val="24"/>
        </w:rPr>
        <w:t>, read with s 140 of the Com</w:t>
      </w:r>
      <w:r w:rsidR="00B6566F">
        <w:rPr>
          <w:rFonts w:ascii="Arial" w:eastAsia="Calibri" w:hAnsi="Arial" w:cs="Arial"/>
          <w:color w:val="000000" w:themeColor="text1"/>
          <w:sz w:val="24"/>
          <w:szCs w:val="24"/>
        </w:rPr>
        <w:t xml:space="preserve">panies Act </w:t>
      </w:r>
      <w:r w:rsidR="00FC4825">
        <w:rPr>
          <w:rFonts w:ascii="Arial" w:eastAsia="Calibri" w:hAnsi="Arial" w:cs="Arial"/>
          <w:color w:val="000000" w:themeColor="text1"/>
          <w:sz w:val="24"/>
          <w:szCs w:val="24"/>
        </w:rPr>
        <w:t>-</w:t>
      </w:r>
      <w:r w:rsidR="00B6566F">
        <w:rPr>
          <w:rFonts w:ascii="Arial" w:eastAsia="Calibri" w:hAnsi="Arial" w:cs="Arial"/>
          <w:color w:val="000000" w:themeColor="text1"/>
          <w:sz w:val="24"/>
          <w:szCs w:val="24"/>
        </w:rPr>
        <w:t xml:space="preserve"> </w:t>
      </w:r>
      <w:r w:rsidRPr="00631743">
        <w:rPr>
          <w:rFonts w:ascii="Arial" w:eastAsia="Calibri" w:hAnsi="Arial" w:cs="Arial"/>
          <w:color w:val="000000" w:themeColor="text1"/>
          <w:sz w:val="24"/>
          <w:szCs w:val="24"/>
        </w:rPr>
        <w:t xml:space="preserve">rendering the transaction void and unenforceable. </w:t>
      </w:r>
      <w:r w:rsidR="00FC4825">
        <w:rPr>
          <w:rFonts w:ascii="Arial" w:eastAsia="Calibri" w:hAnsi="Arial" w:cs="Arial"/>
          <w:color w:val="000000" w:themeColor="text1"/>
          <w:sz w:val="24"/>
          <w:szCs w:val="24"/>
        </w:rPr>
        <w:t>The third ground</w:t>
      </w:r>
      <w:r w:rsidR="00594560" w:rsidRPr="00631743">
        <w:rPr>
          <w:rFonts w:ascii="Arial" w:eastAsia="Calibri" w:hAnsi="Arial" w:cs="Arial"/>
          <w:color w:val="000000" w:themeColor="text1"/>
          <w:sz w:val="24"/>
          <w:szCs w:val="24"/>
        </w:rPr>
        <w:t xml:space="preserve"> was that since a trust was not in law capable of </w:t>
      </w:r>
      <w:r w:rsidR="0038759A" w:rsidRPr="00631743">
        <w:rPr>
          <w:rFonts w:ascii="Arial" w:eastAsia="Calibri" w:hAnsi="Arial" w:cs="Arial"/>
          <w:color w:val="000000" w:themeColor="text1"/>
          <w:sz w:val="24"/>
          <w:szCs w:val="24"/>
        </w:rPr>
        <w:t xml:space="preserve">holding shares, the transaction was void </w:t>
      </w:r>
      <w:r w:rsidR="00594560" w:rsidRPr="00631743">
        <w:rPr>
          <w:rFonts w:ascii="Arial" w:eastAsia="Calibri" w:hAnsi="Arial" w:cs="Arial"/>
          <w:color w:val="000000" w:themeColor="text1"/>
          <w:sz w:val="24"/>
          <w:szCs w:val="24"/>
        </w:rPr>
        <w:t xml:space="preserve">because it was </w:t>
      </w:r>
      <w:r w:rsidR="0038759A" w:rsidRPr="00631743">
        <w:rPr>
          <w:rFonts w:ascii="Arial" w:eastAsia="Calibri" w:hAnsi="Arial" w:cs="Arial"/>
          <w:color w:val="000000" w:themeColor="text1"/>
          <w:sz w:val="24"/>
          <w:szCs w:val="24"/>
        </w:rPr>
        <w:t xml:space="preserve">a </w:t>
      </w:r>
      <w:r w:rsidR="00594560" w:rsidRPr="00631743">
        <w:rPr>
          <w:rFonts w:ascii="Arial" w:eastAsia="Calibri" w:hAnsi="Arial" w:cs="Arial"/>
          <w:color w:val="000000" w:themeColor="text1"/>
          <w:sz w:val="24"/>
          <w:szCs w:val="24"/>
        </w:rPr>
        <w:t xml:space="preserve">foreign trust which, together with Denker, held the </w:t>
      </w:r>
      <w:r w:rsidR="0038759A" w:rsidRPr="00631743">
        <w:rPr>
          <w:rFonts w:ascii="Arial" w:eastAsia="Calibri" w:hAnsi="Arial" w:cs="Arial"/>
          <w:color w:val="000000" w:themeColor="text1"/>
          <w:sz w:val="24"/>
          <w:szCs w:val="24"/>
        </w:rPr>
        <w:t>shares</w:t>
      </w:r>
      <w:r w:rsidR="00594560" w:rsidRPr="00631743">
        <w:rPr>
          <w:rFonts w:ascii="Arial" w:eastAsia="Calibri" w:hAnsi="Arial" w:cs="Arial"/>
          <w:color w:val="000000" w:themeColor="text1"/>
          <w:sz w:val="24"/>
          <w:szCs w:val="24"/>
        </w:rPr>
        <w:t xml:space="preserve"> in the company.</w:t>
      </w:r>
    </w:p>
    <w:p w:rsidR="00380F37" w:rsidRPr="00631743" w:rsidRDefault="00FC4825" w:rsidP="00380F37">
      <w:pPr>
        <w:spacing w:before="100" w:beforeAutospacing="1" w:after="100" w:afterAutospacing="1" w:line="48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fifth respondent</w:t>
      </w:r>
      <w:r w:rsidR="00380F37" w:rsidRPr="00631743">
        <w:rPr>
          <w:rFonts w:ascii="Arial" w:eastAsia="Calibri" w:hAnsi="Arial" w:cs="Arial"/>
          <w:color w:val="000000" w:themeColor="text1"/>
          <w:sz w:val="24"/>
          <w:szCs w:val="24"/>
        </w:rPr>
        <w:t xml:space="preserve"> and </w:t>
      </w:r>
      <w:r w:rsidR="00A54E61">
        <w:rPr>
          <w:rFonts w:ascii="Arial" w:eastAsia="Calibri" w:hAnsi="Arial" w:cs="Arial"/>
          <w:color w:val="000000" w:themeColor="text1"/>
          <w:sz w:val="24"/>
          <w:szCs w:val="24"/>
        </w:rPr>
        <w:t>the trustees of the third respondent</w:t>
      </w:r>
      <w:r w:rsidR="00380F37" w:rsidRPr="00631743">
        <w:rPr>
          <w:rFonts w:ascii="Arial" w:eastAsia="Calibri" w:hAnsi="Arial" w:cs="Arial"/>
          <w:color w:val="000000" w:themeColor="text1"/>
          <w:sz w:val="24"/>
          <w:szCs w:val="24"/>
        </w:rPr>
        <w:t xml:space="preserve"> opposed the application and brought a counter application</w:t>
      </w:r>
      <w:r w:rsidR="00A54E61">
        <w:rPr>
          <w:rFonts w:ascii="Arial" w:eastAsia="Calibri" w:hAnsi="Arial" w:cs="Arial"/>
          <w:color w:val="000000" w:themeColor="text1"/>
          <w:sz w:val="24"/>
          <w:szCs w:val="24"/>
        </w:rPr>
        <w:t>,</w:t>
      </w:r>
      <w:r w:rsidR="00380F37" w:rsidRPr="00631743">
        <w:rPr>
          <w:rFonts w:ascii="Arial" w:eastAsia="Calibri" w:hAnsi="Arial" w:cs="Arial"/>
          <w:color w:val="000000" w:themeColor="text1"/>
          <w:sz w:val="24"/>
          <w:szCs w:val="24"/>
        </w:rPr>
        <w:t xml:space="preserve"> relying on the illegality of the transaction and asked the court a quo in terms of s 60 of the Agricultural (Commercial) Land Reform Act, 1995 (Act 6 of 1995), to order the Minister of Land, Resettlement and Rehabilitation to direct a forced sale on public auction. Alternatively, the winding up of the company was sought due to </w:t>
      </w:r>
      <w:r w:rsidR="00A54E61">
        <w:rPr>
          <w:rFonts w:ascii="Arial" w:eastAsia="Calibri" w:hAnsi="Arial" w:cs="Arial"/>
          <w:color w:val="000000" w:themeColor="text1"/>
          <w:sz w:val="24"/>
          <w:szCs w:val="24"/>
        </w:rPr>
        <w:t xml:space="preserve">its alleged </w:t>
      </w:r>
      <w:r w:rsidR="00380F37" w:rsidRPr="00631743">
        <w:rPr>
          <w:rFonts w:ascii="Arial" w:eastAsia="Calibri" w:hAnsi="Arial" w:cs="Arial"/>
          <w:color w:val="000000" w:themeColor="text1"/>
          <w:sz w:val="24"/>
          <w:szCs w:val="24"/>
        </w:rPr>
        <w:t>inability to pay its debts as contemplated by s 349 (1)(</w:t>
      </w:r>
      <w:r w:rsidR="00380F37" w:rsidRPr="00631743">
        <w:rPr>
          <w:rFonts w:ascii="Arial" w:eastAsia="Calibri" w:hAnsi="Arial" w:cs="Arial"/>
          <w:i/>
          <w:color w:val="000000" w:themeColor="text1"/>
          <w:sz w:val="24"/>
          <w:szCs w:val="24"/>
        </w:rPr>
        <w:t>f</w:t>
      </w:r>
      <w:r w:rsidR="00380F37" w:rsidRPr="00631743">
        <w:rPr>
          <w:rFonts w:ascii="Arial" w:eastAsia="Calibri" w:hAnsi="Arial" w:cs="Arial"/>
          <w:color w:val="000000" w:themeColor="text1"/>
          <w:sz w:val="24"/>
          <w:szCs w:val="24"/>
        </w:rPr>
        <w:t>) (read with s 350(1)(</w:t>
      </w:r>
      <w:r w:rsidR="00380F37" w:rsidRPr="00631743">
        <w:rPr>
          <w:rFonts w:ascii="Arial" w:eastAsia="Calibri" w:hAnsi="Arial" w:cs="Arial"/>
          <w:i/>
          <w:color w:val="000000" w:themeColor="text1"/>
          <w:sz w:val="24"/>
          <w:szCs w:val="24"/>
        </w:rPr>
        <w:t>a</w:t>
      </w:r>
      <w:r w:rsidR="00380F37" w:rsidRPr="00631743">
        <w:rPr>
          <w:rFonts w:ascii="Arial" w:eastAsia="Calibri" w:hAnsi="Arial" w:cs="Arial"/>
          <w:color w:val="000000" w:themeColor="text1"/>
          <w:sz w:val="24"/>
          <w:szCs w:val="24"/>
        </w:rPr>
        <w:t xml:space="preserve">) of the </w:t>
      </w:r>
      <w:r w:rsidR="00380F37" w:rsidRPr="00631743">
        <w:rPr>
          <w:rFonts w:ascii="Arial" w:eastAsia="Calibri" w:hAnsi="Arial" w:cs="Arial"/>
          <w:color w:val="000000" w:themeColor="text1"/>
          <w:sz w:val="24"/>
          <w:szCs w:val="24"/>
        </w:rPr>
        <w:lastRenderedPageBreak/>
        <w:t>Companies Act</w:t>
      </w:r>
      <w:r w:rsidR="00594560" w:rsidRPr="00631743">
        <w:rPr>
          <w:rFonts w:ascii="Arial" w:eastAsia="Calibri" w:hAnsi="Arial" w:cs="Arial"/>
          <w:color w:val="000000" w:themeColor="text1"/>
          <w:sz w:val="24"/>
          <w:szCs w:val="24"/>
        </w:rPr>
        <w:t>,</w:t>
      </w:r>
      <w:r w:rsidR="00380F37" w:rsidRPr="00631743">
        <w:rPr>
          <w:rFonts w:ascii="Arial" w:eastAsia="Calibri" w:hAnsi="Arial" w:cs="Arial"/>
          <w:color w:val="000000" w:themeColor="text1"/>
          <w:sz w:val="24"/>
          <w:szCs w:val="24"/>
        </w:rPr>
        <w:t xml:space="preserve"> </w:t>
      </w:r>
      <w:r w:rsidR="00594560" w:rsidRPr="00631743">
        <w:rPr>
          <w:rFonts w:ascii="Arial" w:eastAsia="Calibri" w:hAnsi="Arial" w:cs="Arial"/>
          <w:color w:val="000000" w:themeColor="text1"/>
          <w:sz w:val="24"/>
          <w:szCs w:val="24"/>
        </w:rPr>
        <w:t>alternatively</w:t>
      </w:r>
      <w:r w:rsidR="00380F37" w:rsidRPr="00631743">
        <w:rPr>
          <w:rFonts w:ascii="Arial" w:eastAsia="Calibri" w:hAnsi="Arial" w:cs="Arial"/>
          <w:color w:val="000000" w:themeColor="text1"/>
          <w:sz w:val="24"/>
          <w:szCs w:val="24"/>
        </w:rPr>
        <w:t xml:space="preserve"> that it will be just an equitable to do so in terms of s 349(1)(</w:t>
      </w:r>
      <w:r w:rsidR="00380F37" w:rsidRPr="00631743">
        <w:rPr>
          <w:rFonts w:ascii="Arial" w:eastAsia="Calibri" w:hAnsi="Arial" w:cs="Arial"/>
          <w:i/>
          <w:color w:val="000000" w:themeColor="text1"/>
          <w:sz w:val="24"/>
          <w:szCs w:val="24"/>
        </w:rPr>
        <w:t>h</w:t>
      </w:r>
      <w:r w:rsidR="00380F37" w:rsidRPr="00631743">
        <w:rPr>
          <w:rFonts w:ascii="Arial" w:eastAsia="Calibri" w:hAnsi="Arial" w:cs="Arial"/>
          <w:color w:val="000000" w:themeColor="text1"/>
          <w:sz w:val="24"/>
          <w:szCs w:val="24"/>
        </w:rPr>
        <w:t>), read with s 350 (1)(</w:t>
      </w:r>
      <w:r w:rsidR="00380F37" w:rsidRPr="00631743">
        <w:rPr>
          <w:rFonts w:ascii="Arial" w:eastAsia="Calibri" w:hAnsi="Arial" w:cs="Arial"/>
          <w:i/>
          <w:color w:val="000000" w:themeColor="text1"/>
          <w:sz w:val="24"/>
          <w:szCs w:val="24"/>
        </w:rPr>
        <w:t>c</w:t>
      </w:r>
      <w:r w:rsidR="00380F37" w:rsidRPr="00631743">
        <w:rPr>
          <w:rFonts w:ascii="Arial" w:eastAsia="Calibri" w:hAnsi="Arial" w:cs="Arial"/>
          <w:color w:val="000000" w:themeColor="text1"/>
          <w:sz w:val="24"/>
          <w:szCs w:val="24"/>
        </w:rPr>
        <w:t>) of the Companies Act.</w:t>
      </w:r>
    </w:p>
    <w:p w:rsidR="00380F37" w:rsidRPr="00631743" w:rsidRDefault="00380F37" w:rsidP="00380F37">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 xml:space="preserve">The High Court refused the </w:t>
      </w:r>
      <w:r w:rsidR="00A54E61">
        <w:rPr>
          <w:rFonts w:ascii="Arial" w:eastAsia="Calibri" w:hAnsi="Arial" w:cs="Arial"/>
          <w:color w:val="000000" w:themeColor="text1"/>
          <w:sz w:val="24"/>
          <w:szCs w:val="24"/>
        </w:rPr>
        <w:t xml:space="preserve">main </w:t>
      </w:r>
      <w:r w:rsidRPr="00631743">
        <w:rPr>
          <w:rFonts w:ascii="Arial" w:eastAsia="Calibri" w:hAnsi="Arial" w:cs="Arial"/>
          <w:color w:val="000000" w:themeColor="text1"/>
          <w:sz w:val="24"/>
          <w:szCs w:val="24"/>
        </w:rPr>
        <w:t xml:space="preserve">relief </w:t>
      </w:r>
      <w:r w:rsidR="00A54E61">
        <w:rPr>
          <w:rFonts w:ascii="Arial" w:eastAsia="Calibri" w:hAnsi="Arial" w:cs="Arial"/>
          <w:color w:val="000000" w:themeColor="text1"/>
          <w:sz w:val="24"/>
          <w:szCs w:val="24"/>
        </w:rPr>
        <w:t xml:space="preserve">sought </w:t>
      </w:r>
      <w:r w:rsidRPr="00631743">
        <w:rPr>
          <w:rFonts w:ascii="Arial" w:eastAsia="Calibri" w:hAnsi="Arial" w:cs="Arial"/>
          <w:color w:val="000000" w:themeColor="text1"/>
          <w:sz w:val="24"/>
          <w:szCs w:val="24"/>
        </w:rPr>
        <w:t xml:space="preserve">in terms of s 122(1) of the Companies Act. On the contrary, the </w:t>
      </w:r>
      <w:r w:rsidR="00A54E61">
        <w:rPr>
          <w:rFonts w:ascii="Arial" w:eastAsia="Calibri" w:hAnsi="Arial" w:cs="Arial"/>
          <w:color w:val="000000" w:themeColor="text1"/>
          <w:sz w:val="24"/>
          <w:szCs w:val="24"/>
        </w:rPr>
        <w:t>High Court partially allowed the</w:t>
      </w:r>
      <w:r w:rsidRPr="00631743">
        <w:rPr>
          <w:rFonts w:ascii="Arial" w:eastAsia="Calibri" w:hAnsi="Arial" w:cs="Arial"/>
          <w:color w:val="000000" w:themeColor="text1"/>
          <w:sz w:val="24"/>
          <w:szCs w:val="24"/>
        </w:rPr>
        <w:t xml:space="preserve"> counter application which sought an invalidation of the purchase of the agricultural land by the company and directed the Minister to order a forced sale under s 60 of the Land Reform Act, premised on the common cause illegality of the transaction in so far as it involved</w:t>
      </w:r>
      <w:r w:rsidR="00A54E61">
        <w:rPr>
          <w:rFonts w:ascii="Arial" w:eastAsia="Calibri" w:hAnsi="Arial" w:cs="Arial"/>
          <w:color w:val="000000" w:themeColor="text1"/>
          <w:sz w:val="24"/>
          <w:szCs w:val="24"/>
        </w:rPr>
        <w:t xml:space="preserve"> </w:t>
      </w:r>
      <w:r w:rsidRPr="00631743">
        <w:rPr>
          <w:rFonts w:ascii="Arial" w:eastAsia="Calibri" w:hAnsi="Arial" w:cs="Arial"/>
          <w:color w:val="000000" w:themeColor="text1"/>
          <w:sz w:val="24"/>
          <w:szCs w:val="24"/>
        </w:rPr>
        <w:t xml:space="preserve">a </w:t>
      </w:r>
      <w:r w:rsidR="00A54E61">
        <w:rPr>
          <w:rFonts w:ascii="Arial" w:eastAsia="Calibri" w:hAnsi="Arial" w:cs="Arial"/>
          <w:color w:val="000000" w:themeColor="text1"/>
          <w:sz w:val="24"/>
          <w:szCs w:val="24"/>
        </w:rPr>
        <w:t>foreign national</w:t>
      </w:r>
      <w:r w:rsidRPr="00631743">
        <w:rPr>
          <w:rFonts w:ascii="Arial" w:eastAsia="Calibri" w:hAnsi="Arial" w:cs="Arial"/>
          <w:color w:val="000000" w:themeColor="text1"/>
          <w:sz w:val="24"/>
          <w:szCs w:val="24"/>
        </w:rPr>
        <w:t xml:space="preserve"> acquiring </w:t>
      </w:r>
      <w:r w:rsidR="00594560" w:rsidRPr="00631743">
        <w:rPr>
          <w:rFonts w:ascii="Arial" w:eastAsia="Calibri" w:hAnsi="Arial" w:cs="Arial"/>
          <w:color w:val="000000" w:themeColor="text1"/>
          <w:sz w:val="24"/>
          <w:szCs w:val="24"/>
        </w:rPr>
        <w:t>a controlling interest</w:t>
      </w:r>
      <w:r w:rsidRPr="00631743">
        <w:rPr>
          <w:rFonts w:ascii="Arial" w:eastAsia="Calibri" w:hAnsi="Arial" w:cs="Arial"/>
          <w:color w:val="000000" w:themeColor="text1"/>
          <w:sz w:val="24"/>
          <w:szCs w:val="24"/>
        </w:rPr>
        <w:t xml:space="preserve"> in the company. </w:t>
      </w:r>
    </w:p>
    <w:p w:rsidR="00380F37" w:rsidRPr="00631743" w:rsidRDefault="00380F37" w:rsidP="00380F37">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 xml:space="preserve">On appeal, </w:t>
      </w:r>
      <w:r w:rsidR="00594560" w:rsidRPr="00631743">
        <w:rPr>
          <w:rFonts w:ascii="Arial" w:eastAsia="Calibri" w:hAnsi="Arial" w:cs="Arial"/>
          <w:color w:val="000000" w:themeColor="text1"/>
          <w:sz w:val="24"/>
          <w:szCs w:val="24"/>
        </w:rPr>
        <w:t xml:space="preserve">held that </w:t>
      </w:r>
      <w:r w:rsidRPr="00631743">
        <w:rPr>
          <w:rFonts w:ascii="Arial" w:eastAsia="Calibri" w:hAnsi="Arial" w:cs="Arial"/>
          <w:color w:val="000000" w:themeColor="text1"/>
          <w:sz w:val="24"/>
          <w:szCs w:val="24"/>
        </w:rPr>
        <w:t xml:space="preserve">defective instruments of transfer did not necessarily </w:t>
      </w:r>
      <w:r w:rsidR="00A54E61">
        <w:rPr>
          <w:rFonts w:ascii="Arial" w:eastAsia="Calibri" w:hAnsi="Arial" w:cs="Arial"/>
          <w:color w:val="000000" w:themeColor="text1"/>
          <w:sz w:val="24"/>
          <w:szCs w:val="24"/>
        </w:rPr>
        <w:t>result in a</w:t>
      </w:r>
      <w:r w:rsidRPr="00631743">
        <w:rPr>
          <w:rFonts w:ascii="Arial" w:eastAsia="Calibri" w:hAnsi="Arial" w:cs="Arial"/>
          <w:color w:val="000000" w:themeColor="text1"/>
          <w:sz w:val="24"/>
          <w:szCs w:val="24"/>
        </w:rPr>
        <w:t xml:space="preserve"> nullity and that the legislature did not intend the transaction to be vitiated by a nullity. Further held that both parties were equally culpable in the creation of the defective instruments of transfer and that justice and equity dictates that none of them benefit to the prejudice of the other.</w:t>
      </w:r>
    </w:p>
    <w:p w:rsidR="00380F37" w:rsidRPr="00631743" w:rsidRDefault="00380F37" w:rsidP="00380F37">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Held further that the allegation that the appellant was induced to act to his prejudice by a misrepresentation of the law was, on the facts of the case, im</w:t>
      </w:r>
      <w:r w:rsidR="00594560" w:rsidRPr="00631743">
        <w:rPr>
          <w:rFonts w:ascii="Arial" w:eastAsia="Calibri" w:hAnsi="Arial" w:cs="Arial"/>
          <w:color w:val="000000" w:themeColor="text1"/>
          <w:sz w:val="24"/>
          <w:szCs w:val="24"/>
        </w:rPr>
        <w:t>probable as the appellan</w:t>
      </w:r>
      <w:r w:rsidR="005E3C95" w:rsidRPr="00631743">
        <w:rPr>
          <w:rFonts w:ascii="Arial" w:eastAsia="Calibri" w:hAnsi="Arial" w:cs="Arial"/>
          <w:color w:val="000000" w:themeColor="text1"/>
          <w:sz w:val="24"/>
          <w:szCs w:val="24"/>
        </w:rPr>
        <w:t xml:space="preserve">t could, without any difficulty, </w:t>
      </w:r>
      <w:r w:rsidRPr="00631743">
        <w:rPr>
          <w:rFonts w:ascii="Arial" w:eastAsia="Calibri" w:hAnsi="Arial" w:cs="Arial"/>
          <w:color w:val="000000" w:themeColor="text1"/>
          <w:sz w:val="24"/>
          <w:szCs w:val="24"/>
        </w:rPr>
        <w:t>have sought independent professional advice to establish it was wrong</w:t>
      </w:r>
      <w:r w:rsidR="00A54E61">
        <w:rPr>
          <w:rFonts w:ascii="Arial" w:eastAsia="Calibri" w:hAnsi="Arial" w:cs="Arial"/>
          <w:color w:val="000000" w:themeColor="text1"/>
          <w:sz w:val="24"/>
          <w:szCs w:val="24"/>
        </w:rPr>
        <w:t xml:space="preserve"> and to</w:t>
      </w:r>
      <w:r w:rsidR="00E9566C">
        <w:rPr>
          <w:rFonts w:ascii="Arial" w:eastAsia="Calibri" w:hAnsi="Arial" w:cs="Arial"/>
          <w:color w:val="000000" w:themeColor="text1"/>
          <w:sz w:val="24"/>
          <w:szCs w:val="24"/>
        </w:rPr>
        <w:t xml:space="preserve"> protect </w:t>
      </w:r>
      <w:r w:rsidR="00A54E61">
        <w:rPr>
          <w:rFonts w:ascii="Arial" w:eastAsia="Calibri" w:hAnsi="Arial" w:cs="Arial"/>
          <w:color w:val="000000" w:themeColor="text1"/>
          <w:sz w:val="24"/>
          <w:szCs w:val="24"/>
        </w:rPr>
        <w:t>his interests</w:t>
      </w:r>
      <w:r w:rsidRPr="00631743">
        <w:rPr>
          <w:rFonts w:ascii="Arial" w:eastAsia="Calibri" w:hAnsi="Arial" w:cs="Arial"/>
          <w:color w:val="000000" w:themeColor="text1"/>
          <w:sz w:val="24"/>
          <w:szCs w:val="24"/>
        </w:rPr>
        <w:t>.</w:t>
      </w:r>
    </w:p>
    <w:p w:rsidR="00380F37" w:rsidRPr="00631743" w:rsidRDefault="00380F37" w:rsidP="00380F37">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Held further that the issue of whether a trust can own shares had become moot.</w:t>
      </w:r>
    </w:p>
    <w:p w:rsidR="00380F37" w:rsidRPr="00631743" w:rsidRDefault="00380F37" w:rsidP="00380F37">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Held further that</w:t>
      </w:r>
      <w:r w:rsidR="00A54E61">
        <w:rPr>
          <w:rFonts w:ascii="Arial" w:eastAsia="Calibri" w:hAnsi="Arial" w:cs="Arial"/>
          <w:color w:val="000000" w:themeColor="text1"/>
          <w:sz w:val="24"/>
          <w:szCs w:val="24"/>
        </w:rPr>
        <w:t xml:space="preserve"> since</w:t>
      </w:r>
      <w:r w:rsidRPr="00631743">
        <w:rPr>
          <w:rFonts w:ascii="Arial" w:eastAsia="Calibri" w:hAnsi="Arial" w:cs="Arial"/>
          <w:color w:val="000000" w:themeColor="text1"/>
          <w:sz w:val="24"/>
          <w:szCs w:val="24"/>
        </w:rPr>
        <w:t xml:space="preserve"> the transaction is invalid for being in breach of s 58(1)(</w:t>
      </w:r>
      <w:r w:rsidRPr="00631743">
        <w:rPr>
          <w:rFonts w:ascii="Arial" w:eastAsia="Calibri" w:hAnsi="Arial" w:cs="Arial"/>
          <w:i/>
          <w:color w:val="000000" w:themeColor="text1"/>
          <w:sz w:val="24"/>
          <w:szCs w:val="24"/>
        </w:rPr>
        <w:t>a</w:t>
      </w:r>
      <w:r w:rsidR="00CE1B41">
        <w:rPr>
          <w:rFonts w:ascii="Arial" w:eastAsia="Calibri" w:hAnsi="Arial" w:cs="Arial"/>
          <w:color w:val="000000" w:themeColor="text1"/>
          <w:sz w:val="24"/>
          <w:szCs w:val="24"/>
        </w:rPr>
        <w:t xml:space="preserve">) of the Land Reform Act, </w:t>
      </w:r>
      <w:r w:rsidRPr="00631743">
        <w:rPr>
          <w:rFonts w:ascii="Arial" w:eastAsia="Calibri" w:hAnsi="Arial" w:cs="Arial"/>
          <w:color w:val="000000" w:themeColor="text1"/>
          <w:sz w:val="24"/>
          <w:szCs w:val="24"/>
        </w:rPr>
        <w:t>the</w:t>
      </w:r>
      <w:r w:rsidR="00463907">
        <w:rPr>
          <w:rFonts w:ascii="Arial" w:eastAsia="Calibri" w:hAnsi="Arial" w:cs="Arial"/>
          <w:color w:val="000000" w:themeColor="text1"/>
          <w:sz w:val="24"/>
          <w:szCs w:val="24"/>
        </w:rPr>
        <w:t xml:space="preserve"> Minister was obliged to invoke</w:t>
      </w:r>
      <w:r w:rsidRPr="00631743">
        <w:rPr>
          <w:rFonts w:ascii="Arial" w:eastAsia="Calibri" w:hAnsi="Arial" w:cs="Arial"/>
          <w:color w:val="000000" w:themeColor="text1"/>
          <w:sz w:val="24"/>
          <w:szCs w:val="24"/>
        </w:rPr>
        <w:t xml:space="preserve"> s 60. Appeal dismissed, with costs against the appellant.</w:t>
      </w:r>
    </w:p>
    <w:p w:rsidR="00380F37" w:rsidRPr="00631743" w:rsidRDefault="00380F37" w:rsidP="00380F37">
      <w:pPr>
        <w:spacing w:before="100" w:beforeAutospacing="1" w:after="100" w:afterAutospacing="1" w:line="480" w:lineRule="auto"/>
        <w:jc w:val="both"/>
        <w:rPr>
          <w:rFonts w:ascii="Arial" w:eastAsia="Calibri" w:hAnsi="Arial" w:cs="Arial"/>
          <w:color w:val="000000" w:themeColor="text1"/>
          <w:sz w:val="24"/>
          <w:szCs w:val="24"/>
        </w:rPr>
      </w:pPr>
    </w:p>
    <w:p w:rsidR="00A40DC5" w:rsidRPr="00631743" w:rsidRDefault="00A40DC5" w:rsidP="00434071">
      <w:pPr>
        <w:spacing w:before="100" w:beforeAutospacing="1" w:after="100" w:afterAutospacing="1" w:line="240" w:lineRule="auto"/>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lastRenderedPageBreak/>
        <w:t>___________________________________________________________</w:t>
      </w:r>
      <w:r w:rsidR="00F2343A" w:rsidRPr="00631743">
        <w:rPr>
          <w:rFonts w:ascii="Arial" w:eastAsia="Calibri" w:hAnsi="Arial" w:cs="Arial"/>
          <w:b/>
          <w:color w:val="000000" w:themeColor="text1"/>
          <w:sz w:val="24"/>
          <w:szCs w:val="24"/>
        </w:rPr>
        <w:t>_____</w:t>
      </w:r>
      <w:r w:rsidRPr="00631743">
        <w:rPr>
          <w:rFonts w:ascii="Arial" w:eastAsia="Calibri" w:hAnsi="Arial" w:cs="Arial"/>
          <w:b/>
          <w:color w:val="000000" w:themeColor="text1"/>
          <w:sz w:val="24"/>
          <w:szCs w:val="24"/>
        </w:rPr>
        <w:t>______</w:t>
      </w:r>
      <w:r w:rsidR="00D02C4C" w:rsidRPr="00631743">
        <w:rPr>
          <w:rFonts w:ascii="Arial" w:eastAsia="Calibri" w:hAnsi="Arial" w:cs="Arial"/>
          <w:b/>
          <w:color w:val="000000" w:themeColor="text1"/>
          <w:sz w:val="24"/>
          <w:szCs w:val="24"/>
        </w:rPr>
        <w:t>__</w:t>
      </w:r>
    </w:p>
    <w:p w:rsidR="00A40DC5" w:rsidRPr="00631743" w:rsidRDefault="00BC61F9" w:rsidP="00434071">
      <w:pPr>
        <w:spacing w:before="100" w:beforeAutospacing="1" w:after="100" w:afterAutospacing="1"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APPEAL JUDGMENT</w:t>
      </w:r>
    </w:p>
    <w:p w:rsidR="00A40DC5" w:rsidRPr="00631743" w:rsidRDefault="00A40DC5" w:rsidP="00434071">
      <w:pPr>
        <w:spacing w:before="100" w:beforeAutospacing="1" w:after="100" w:afterAutospacing="1" w:line="240" w:lineRule="auto"/>
        <w:jc w:val="both"/>
        <w:rPr>
          <w:rFonts w:ascii="Arial" w:eastAsia="Calibri" w:hAnsi="Arial" w:cs="Arial"/>
          <w:b/>
          <w:color w:val="000000" w:themeColor="text1"/>
          <w:sz w:val="24"/>
          <w:szCs w:val="24"/>
        </w:rPr>
      </w:pPr>
      <w:r w:rsidRPr="00631743">
        <w:rPr>
          <w:rFonts w:ascii="Arial" w:eastAsia="Calibri" w:hAnsi="Arial" w:cs="Arial"/>
          <w:b/>
          <w:color w:val="000000" w:themeColor="text1"/>
          <w:sz w:val="24"/>
          <w:szCs w:val="24"/>
        </w:rPr>
        <w:t>___________________________________________________________________</w:t>
      </w:r>
      <w:r w:rsidR="00F2343A" w:rsidRPr="00631743">
        <w:rPr>
          <w:rFonts w:ascii="Arial" w:eastAsia="Calibri" w:hAnsi="Arial" w:cs="Arial"/>
          <w:b/>
          <w:color w:val="000000" w:themeColor="text1"/>
          <w:sz w:val="24"/>
          <w:szCs w:val="24"/>
        </w:rPr>
        <w:t>_____</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 xml:space="preserve">DAMASEB DCJ (SMUTS JA and HOFF JA concurring): </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u w:val="single"/>
        </w:rPr>
      </w:pPr>
      <w:r w:rsidRPr="00631743">
        <w:rPr>
          <w:rFonts w:ascii="Arial" w:eastAsia="Calibri" w:hAnsi="Arial" w:cs="Arial"/>
          <w:color w:val="000000" w:themeColor="text1"/>
          <w:sz w:val="24"/>
          <w:szCs w:val="24"/>
          <w:u w:val="single"/>
        </w:rPr>
        <w:t>Background</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[1</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Pr="00631743">
        <w:rPr>
          <w:rFonts w:ascii="Arial" w:eastAsia="Calibri" w:hAnsi="Arial" w:cs="Arial"/>
          <w:color w:val="000000" w:themeColor="text1"/>
          <w:sz w:val="24"/>
          <w:szCs w:val="24"/>
        </w:rPr>
        <w:t xml:space="preserve">The central dispute in this case concerns what should be the shareholding ratio between two shareholders (one Namibian, the other South African) of a </w:t>
      </w:r>
      <w:r w:rsidR="002B75FE" w:rsidRPr="00631743">
        <w:rPr>
          <w:rFonts w:ascii="Arial" w:eastAsia="Calibri" w:hAnsi="Arial" w:cs="Arial"/>
          <w:color w:val="000000" w:themeColor="text1"/>
          <w:sz w:val="24"/>
          <w:szCs w:val="24"/>
        </w:rPr>
        <w:t xml:space="preserve">private </w:t>
      </w:r>
      <w:r w:rsidRPr="00631743">
        <w:rPr>
          <w:rFonts w:ascii="Arial" w:eastAsia="Calibri" w:hAnsi="Arial" w:cs="Arial"/>
          <w:color w:val="000000" w:themeColor="text1"/>
          <w:sz w:val="24"/>
          <w:szCs w:val="24"/>
        </w:rPr>
        <w:t xml:space="preserve">limited liability company registered in Namibia and which owns agricultural land in the country. As owner </w:t>
      </w:r>
      <w:r w:rsidR="002B75FE" w:rsidRPr="00631743">
        <w:rPr>
          <w:rFonts w:ascii="Arial" w:eastAsia="Calibri" w:hAnsi="Arial" w:cs="Arial"/>
          <w:color w:val="000000" w:themeColor="text1"/>
          <w:sz w:val="24"/>
          <w:szCs w:val="24"/>
        </w:rPr>
        <w:t>of agricultural land</w:t>
      </w:r>
      <w:r w:rsidRPr="00631743">
        <w:rPr>
          <w:rFonts w:ascii="Arial" w:eastAsia="Calibri" w:hAnsi="Arial" w:cs="Arial"/>
          <w:color w:val="000000" w:themeColor="text1"/>
          <w:sz w:val="24"/>
          <w:szCs w:val="24"/>
        </w:rPr>
        <w:t xml:space="preserve">, the company </w:t>
      </w:r>
      <w:r w:rsidR="002B75FE" w:rsidRPr="00631743">
        <w:rPr>
          <w:rFonts w:ascii="Arial" w:eastAsia="Calibri" w:hAnsi="Arial" w:cs="Arial"/>
          <w:color w:val="000000" w:themeColor="text1"/>
          <w:sz w:val="24"/>
          <w:szCs w:val="24"/>
        </w:rPr>
        <w:t>concerned is caught by s 58(1)</w:t>
      </w:r>
      <w:r w:rsidR="002B75FE" w:rsidRPr="00631743">
        <w:rPr>
          <w:rFonts w:ascii="Arial" w:eastAsia="Calibri" w:hAnsi="Arial" w:cs="Arial"/>
          <w:i/>
          <w:color w:val="000000" w:themeColor="text1"/>
          <w:sz w:val="24"/>
          <w:szCs w:val="24"/>
        </w:rPr>
        <w:t>(a</w:t>
      </w:r>
      <w:r w:rsidRPr="00631743">
        <w:rPr>
          <w:rFonts w:ascii="Arial" w:eastAsia="Calibri" w:hAnsi="Arial" w:cs="Arial"/>
          <w:i/>
          <w:color w:val="000000" w:themeColor="text1"/>
          <w:sz w:val="24"/>
          <w:szCs w:val="24"/>
        </w:rPr>
        <w:t>)</w:t>
      </w:r>
      <w:r w:rsidRPr="00631743">
        <w:rPr>
          <w:rFonts w:ascii="Arial" w:eastAsia="Calibri" w:hAnsi="Arial" w:cs="Arial"/>
          <w:color w:val="000000" w:themeColor="text1"/>
          <w:sz w:val="24"/>
          <w:szCs w:val="24"/>
        </w:rPr>
        <w:t xml:space="preserve"> of the Agricultural (Commercial) Land Reform Act 6 of 1995 (the Land Reform Act). It states: </w:t>
      </w:r>
    </w:p>
    <w:p w:rsidR="00A40DC5" w:rsidRPr="00631743" w:rsidRDefault="008079CC" w:rsidP="00631743">
      <w:pPr>
        <w:spacing w:after="0" w:line="360" w:lineRule="auto"/>
        <w:ind w:left="720"/>
        <w:jc w:val="both"/>
        <w:rPr>
          <w:rFonts w:ascii="Arial" w:eastAsia="Calibri" w:hAnsi="Arial" w:cs="Arial"/>
          <w:color w:val="000000" w:themeColor="text1"/>
        </w:rPr>
      </w:pPr>
      <w:r w:rsidRPr="00631743">
        <w:rPr>
          <w:rFonts w:ascii="Arial" w:eastAsia="Calibri" w:hAnsi="Arial" w:cs="Arial"/>
          <w:color w:val="000000" w:themeColor="text1"/>
        </w:rPr>
        <w:t>‘</w:t>
      </w:r>
      <w:r w:rsidR="00A40DC5" w:rsidRPr="00631743">
        <w:rPr>
          <w:rFonts w:ascii="Arial" w:eastAsia="Calibri" w:hAnsi="Arial" w:cs="Arial"/>
          <w:color w:val="000000" w:themeColor="text1"/>
        </w:rPr>
        <w:t>Notwithstanding anything to the contrary in any other law contained</w:t>
      </w:r>
      <w:r w:rsidR="00434071" w:rsidRPr="00631743">
        <w:rPr>
          <w:rFonts w:ascii="Arial" w:eastAsia="Calibri" w:hAnsi="Arial" w:cs="Arial"/>
          <w:color w:val="000000" w:themeColor="text1"/>
        </w:rPr>
        <w:t xml:space="preserve">. . . </w:t>
      </w:r>
      <w:r w:rsidR="00A40DC5" w:rsidRPr="00631743">
        <w:rPr>
          <w:rFonts w:ascii="Arial" w:eastAsia="Calibri" w:hAnsi="Arial" w:cs="Arial"/>
          <w:color w:val="000000" w:themeColor="text1"/>
        </w:rPr>
        <w:t>, no foreign national shall</w:t>
      </w:r>
      <w:r w:rsidR="00434071" w:rsidRPr="00631743">
        <w:rPr>
          <w:rFonts w:ascii="Arial" w:eastAsia="Calibri" w:hAnsi="Arial" w:cs="Arial"/>
          <w:color w:val="000000" w:themeColor="text1"/>
        </w:rPr>
        <w:t xml:space="preserve"> . . .</w:t>
      </w:r>
      <w:r w:rsidR="00A40DC5" w:rsidRPr="00631743">
        <w:rPr>
          <w:rFonts w:ascii="Arial" w:eastAsia="Calibri" w:hAnsi="Arial" w:cs="Arial"/>
          <w:color w:val="000000" w:themeColor="text1"/>
        </w:rPr>
        <w:t>, without the prior written consent of the Minister, be competent –</w:t>
      </w:r>
    </w:p>
    <w:p w:rsidR="00A40DC5" w:rsidRPr="00631743" w:rsidRDefault="00A40DC5" w:rsidP="00631743">
      <w:pPr>
        <w:spacing w:after="0" w:line="360" w:lineRule="auto"/>
        <w:ind w:left="720"/>
        <w:jc w:val="both"/>
        <w:rPr>
          <w:rFonts w:ascii="Arial" w:eastAsia="Calibri" w:hAnsi="Arial" w:cs="Arial"/>
          <w:color w:val="000000" w:themeColor="text1"/>
        </w:rPr>
      </w:pPr>
      <w:r w:rsidRPr="00631743">
        <w:rPr>
          <w:rFonts w:ascii="Arial" w:eastAsia="Calibri" w:hAnsi="Arial" w:cs="Arial"/>
          <w:color w:val="000000" w:themeColor="text1"/>
        </w:rPr>
        <w:t>(a) to acquire agricultural land through the registration of transfer of ownership in the deed</w:t>
      </w:r>
      <w:r w:rsidR="002B75FE" w:rsidRPr="00631743">
        <w:rPr>
          <w:rFonts w:ascii="Arial" w:eastAsia="Calibri" w:hAnsi="Arial" w:cs="Arial"/>
          <w:color w:val="000000" w:themeColor="text1"/>
        </w:rPr>
        <w:t>s</w:t>
      </w:r>
      <w:r w:rsidR="00434071" w:rsidRPr="00631743">
        <w:rPr>
          <w:rFonts w:ascii="Arial" w:eastAsia="Calibri" w:hAnsi="Arial" w:cs="Arial"/>
          <w:color w:val="000000" w:themeColor="text1"/>
        </w:rPr>
        <w:t xml:space="preserve"> registry. . . </w:t>
      </w:r>
      <w:r w:rsidRPr="00631743">
        <w:rPr>
          <w:rFonts w:ascii="Arial" w:eastAsia="Calibri" w:hAnsi="Arial" w:cs="Arial"/>
          <w:color w:val="000000" w:themeColor="text1"/>
        </w:rPr>
        <w:t>’</w:t>
      </w:r>
    </w:p>
    <w:p w:rsidR="00F27DA7" w:rsidRPr="00631743" w:rsidRDefault="00E15257"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[2</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As</w:t>
      </w:r>
      <w:r w:rsidR="00A40DC5" w:rsidRPr="00631743">
        <w:rPr>
          <w:rFonts w:ascii="Arial" w:eastAsia="Calibri" w:hAnsi="Arial" w:cs="Arial"/>
          <w:color w:val="000000" w:themeColor="text1"/>
          <w:sz w:val="24"/>
          <w:szCs w:val="24"/>
        </w:rPr>
        <w:t xml:space="preserve"> regards a company, the </w:t>
      </w:r>
      <w:r w:rsidR="006F099B" w:rsidRPr="00631743">
        <w:rPr>
          <w:rFonts w:ascii="Arial" w:eastAsia="Calibri" w:hAnsi="Arial" w:cs="Arial"/>
          <w:color w:val="000000" w:themeColor="text1"/>
          <w:sz w:val="24"/>
          <w:szCs w:val="24"/>
        </w:rPr>
        <w:t xml:space="preserve">Land Reform </w:t>
      </w:r>
      <w:r w:rsidR="00A40DC5" w:rsidRPr="00631743">
        <w:rPr>
          <w:rFonts w:ascii="Arial" w:eastAsia="Calibri" w:hAnsi="Arial" w:cs="Arial"/>
          <w:color w:val="000000" w:themeColor="text1"/>
          <w:sz w:val="24"/>
          <w:szCs w:val="24"/>
        </w:rPr>
        <w:t>Act defines a foreign national as: (i) a company incorporated under the laws of any country other than Namibia; or (ii) a company incorporated in Namibia in which the controlling interest is not held by Namibian citizens</w:t>
      </w:r>
      <w:r w:rsidR="00F27DA7" w:rsidRPr="00631743">
        <w:rPr>
          <w:rFonts w:ascii="Arial" w:eastAsia="Calibri" w:hAnsi="Arial" w:cs="Arial"/>
          <w:color w:val="000000" w:themeColor="text1"/>
          <w:sz w:val="24"/>
          <w:szCs w:val="24"/>
        </w:rPr>
        <w:t>.</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[3</w:t>
      </w:r>
      <w:r w:rsidR="00E15257"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Pr="00631743">
        <w:rPr>
          <w:rFonts w:ascii="Arial" w:eastAsia="Calibri" w:hAnsi="Arial" w:cs="Arial"/>
          <w:color w:val="000000" w:themeColor="text1"/>
          <w:sz w:val="24"/>
          <w:szCs w:val="24"/>
        </w:rPr>
        <w:t xml:space="preserve">A controlling interest in a company is in turn defined as ‘more than 50 percent of the issued share capital of the company’. It was settled by this court in </w:t>
      </w:r>
      <w:r w:rsidRPr="00631743">
        <w:rPr>
          <w:rFonts w:ascii="Arial" w:eastAsia="Calibri" w:hAnsi="Arial" w:cs="Arial"/>
          <w:i/>
          <w:color w:val="000000" w:themeColor="text1"/>
          <w:sz w:val="24"/>
          <w:szCs w:val="24"/>
        </w:rPr>
        <w:t xml:space="preserve">Marot and others v Cotterell </w:t>
      </w:r>
      <w:r w:rsidRPr="00631743">
        <w:rPr>
          <w:rFonts w:ascii="Arial" w:eastAsia="Calibri" w:hAnsi="Arial" w:cs="Arial"/>
          <w:color w:val="000000" w:themeColor="text1"/>
          <w:sz w:val="24"/>
          <w:szCs w:val="24"/>
        </w:rPr>
        <w:t>2014 (2) NR 340 (SC)</w:t>
      </w:r>
      <w:r w:rsidRPr="00631743">
        <w:rPr>
          <w:rFonts w:ascii="Arial" w:eastAsia="Calibri" w:hAnsi="Arial" w:cs="Arial"/>
          <w:i/>
          <w:color w:val="000000" w:themeColor="text1"/>
          <w:sz w:val="24"/>
          <w:szCs w:val="24"/>
        </w:rPr>
        <w:t xml:space="preserve"> </w:t>
      </w:r>
      <w:r w:rsidRPr="00631743">
        <w:rPr>
          <w:rFonts w:ascii="Arial" w:eastAsia="Calibri" w:hAnsi="Arial" w:cs="Arial"/>
          <w:color w:val="000000" w:themeColor="text1"/>
          <w:sz w:val="24"/>
          <w:szCs w:val="24"/>
        </w:rPr>
        <w:t>at 350G-H</w:t>
      </w:r>
      <w:r w:rsidRPr="00631743">
        <w:rPr>
          <w:rFonts w:ascii="Arial" w:eastAsia="Calibri" w:hAnsi="Arial" w:cs="Arial"/>
          <w:i/>
          <w:color w:val="000000" w:themeColor="text1"/>
          <w:sz w:val="24"/>
          <w:szCs w:val="24"/>
        </w:rPr>
        <w:t xml:space="preserve"> </w:t>
      </w:r>
      <w:r w:rsidRPr="00631743">
        <w:rPr>
          <w:rFonts w:ascii="Arial" w:eastAsia="Calibri" w:hAnsi="Arial" w:cs="Arial"/>
          <w:color w:val="000000" w:themeColor="text1"/>
          <w:sz w:val="24"/>
          <w:szCs w:val="24"/>
        </w:rPr>
        <w:t xml:space="preserve">that for purposes of the Land Reform Act, ownership of 50% in a company by a foreign national constitutes a controlling interest. </w:t>
      </w:r>
    </w:p>
    <w:p w:rsidR="00A40DC5" w:rsidRPr="00631743" w:rsidRDefault="002353A1"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[4</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If</w:t>
      </w:r>
      <w:r w:rsidR="00A40DC5" w:rsidRPr="00631743">
        <w:rPr>
          <w:rFonts w:ascii="Arial" w:eastAsia="Calibri" w:hAnsi="Arial" w:cs="Arial"/>
          <w:color w:val="000000" w:themeColor="text1"/>
          <w:sz w:val="24"/>
          <w:szCs w:val="24"/>
        </w:rPr>
        <w:t xml:space="preserve"> it is established that on the date a company acquired the agricultural land, a Namibian did not hold a controlling interest in co-ownership with a foreign-national, that </w:t>
      </w:r>
      <w:r w:rsidR="00A40DC5" w:rsidRPr="00631743">
        <w:rPr>
          <w:rFonts w:ascii="Arial" w:eastAsia="Calibri" w:hAnsi="Arial" w:cs="Arial"/>
          <w:color w:val="000000" w:themeColor="text1"/>
          <w:sz w:val="24"/>
          <w:szCs w:val="24"/>
        </w:rPr>
        <w:lastRenderedPageBreak/>
        <w:t xml:space="preserve">acquisition would be </w:t>
      </w:r>
      <w:r w:rsidR="00A40DC5" w:rsidRPr="00631743">
        <w:rPr>
          <w:rFonts w:ascii="Arial" w:eastAsia="Calibri" w:hAnsi="Arial" w:cs="Arial"/>
          <w:i/>
          <w:color w:val="000000" w:themeColor="text1"/>
          <w:sz w:val="24"/>
          <w:szCs w:val="24"/>
        </w:rPr>
        <w:t>void</w:t>
      </w:r>
      <w:r w:rsidR="00A40DC5" w:rsidRPr="00631743">
        <w:rPr>
          <w:rFonts w:ascii="Arial" w:eastAsia="Calibri" w:hAnsi="Arial" w:cs="Arial"/>
          <w:color w:val="000000" w:themeColor="text1"/>
          <w:sz w:val="24"/>
          <w:szCs w:val="24"/>
        </w:rPr>
        <w:t xml:space="preserve"> and</w:t>
      </w:r>
      <w:r w:rsidR="00AF6C7A" w:rsidRPr="00631743">
        <w:rPr>
          <w:rFonts w:ascii="Arial" w:eastAsia="Calibri" w:hAnsi="Arial" w:cs="Arial"/>
          <w:color w:val="000000" w:themeColor="text1"/>
          <w:sz w:val="24"/>
          <w:szCs w:val="24"/>
        </w:rPr>
        <w:t xml:space="preserve"> therefore trigger s 60 of the L</w:t>
      </w:r>
      <w:r w:rsidR="00A40DC5" w:rsidRPr="00631743">
        <w:rPr>
          <w:rFonts w:ascii="Arial" w:eastAsia="Calibri" w:hAnsi="Arial" w:cs="Arial"/>
          <w:color w:val="000000" w:themeColor="text1"/>
          <w:sz w:val="24"/>
          <w:szCs w:val="24"/>
        </w:rPr>
        <w:t xml:space="preserve">and Reform Act which, in relevant part, states: </w:t>
      </w:r>
    </w:p>
    <w:p w:rsidR="00A40DC5" w:rsidRPr="00631743" w:rsidRDefault="00A40DC5" w:rsidP="00434071">
      <w:pPr>
        <w:spacing w:before="100" w:beforeAutospacing="1" w:after="100" w:afterAutospacing="1" w:line="360" w:lineRule="auto"/>
        <w:ind w:firstLine="720"/>
        <w:jc w:val="both"/>
        <w:rPr>
          <w:rFonts w:ascii="Arial" w:eastAsia="Calibri" w:hAnsi="Arial" w:cs="Arial"/>
          <w:color w:val="000000" w:themeColor="text1"/>
        </w:rPr>
      </w:pPr>
      <w:r w:rsidRPr="00631743">
        <w:rPr>
          <w:rFonts w:ascii="Arial" w:eastAsia="Calibri" w:hAnsi="Arial" w:cs="Arial"/>
          <w:color w:val="000000" w:themeColor="text1"/>
        </w:rPr>
        <w:t>‘(1)</w:t>
      </w:r>
      <w:r w:rsidRPr="00631743">
        <w:rPr>
          <w:rFonts w:ascii="Arial" w:eastAsia="Calibri" w:hAnsi="Arial" w:cs="Arial"/>
          <w:color w:val="000000" w:themeColor="text1"/>
        </w:rPr>
        <w:tab/>
        <w:t>Where any agricultural land has been acquired-</w:t>
      </w:r>
    </w:p>
    <w:p w:rsidR="00A40DC5" w:rsidRPr="00631743" w:rsidRDefault="00A40DC5" w:rsidP="00434071">
      <w:pPr>
        <w:pStyle w:val="ListParagraph"/>
        <w:numPr>
          <w:ilvl w:val="0"/>
          <w:numId w:val="17"/>
        </w:numPr>
        <w:spacing w:before="100" w:beforeAutospacing="1" w:after="100" w:afterAutospacing="1" w:line="360" w:lineRule="auto"/>
        <w:jc w:val="both"/>
        <w:rPr>
          <w:rFonts w:ascii="Arial" w:eastAsia="Calibri" w:hAnsi="Arial" w:cs="Arial"/>
          <w:color w:val="000000" w:themeColor="text1"/>
        </w:rPr>
      </w:pPr>
      <w:r w:rsidRPr="00631743">
        <w:rPr>
          <w:rFonts w:ascii="Arial" w:eastAsia="Calibri" w:hAnsi="Arial" w:cs="Arial"/>
          <w:color w:val="000000" w:themeColor="text1"/>
        </w:rPr>
        <w:t>by a foreign national in contravention of section 58 (1) (a) or</w:t>
      </w:r>
    </w:p>
    <w:p w:rsidR="00A40DC5" w:rsidRPr="00631743" w:rsidRDefault="00A40DC5" w:rsidP="00434071">
      <w:pPr>
        <w:pStyle w:val="ListParagraph"/>
        <w:numPr>
          <w:ilvl w:val="0"/>
          <w:numId w:val="17"/>
        </w:numPr>
        <w:spacing w:before="100" w:beforeAutospacing="1" w:after="100" w:afterAutospacing="1" w:line="360" w:lineRule="auto"/>
        <w:jc w:val="both"/>
        <w:rPr>
          <w:rFonts w:ascii="Arial" w:eastAsia="Calibri" w:hAnsi="Arial" w:cs="Arial"/>
          <w:color w:val="000000" w:themeColor="text1"/>
        </w:rPr>
      </w:pPr>
      <w:r w:rsidRPr="00631743">
        <w:rPr>
          <w:rFonts w:ascii="Arial" w:eastAsia="Calibri" w:hAnsi="Arial" w:cs="Arial"/>
          <w:color w:val="000000" w:themeColor="text1"/>
        </w:rPr>
        <w:t>…</w:t>
      </w:r>
    </w:p>
    <w:p w:rsidR="00A40DC5" w:rsidRPr="00631743" w:rsidRDefault="00A40DC5" w:rsidP="00631743">
      <w:pPr>
        <w:spacing w:after="0" w:line="360" w:lineRule="auto"/>
        <w:ind w:left="720"/>
        <w:jc w:val="both"/>
        <w:rPr>
          <w:rFonts w:ascii="Arial" w:eastAsia="Calibri" w:hAnsi="Arial" w:cs="Arial"/>
          <w:color w:val="000000" w:themeColor="text1"/>
        </w:rPr>
      </w:pPr>
      <w:r w:rsidRPr="00631743">
        <w:rPr>
          <w:rFonts w:ascii="Arial" w:eastAsia="Calibri" w:hAnsi="Arial" w:cs="Arial"/>
          <w:color w:val="000000" w:themeColor="text1"/>
        </w:rPr>
        <w:t>the Minister may issue an order that such agricultural land be sold, unless the Minister decides to acquire such land in accordance with the provisions of Part IV for the purpose of section 14 (1).’</w:t>
      </w:r>
    </w:p>
    <w:p w:rsidR="00A40DC5" w:rsidRPr="00631743" w:rsidRDefault="002353A1"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[5</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Section</w:t>
      </w:r>
      <w:r w:rsidR="00AF6C7A" w:rsidRPr="00631743">
        <w:rPr>
          <w:rFonts w:ascii="Arial" w:eastAsia="Calibri" w:hAnsi="Arial" w:cs="Arial"/>
          <w:color w:val="000000" w:themeColor="text1"/>
          <w:sz w:val="24"/>
          <w:szCs w:val="24"/>
        </w:rPr>
        <w:t xml:space="preserve"> 14(1) of the L</w:t>
      </w:r>
      <w:r w:rsidR="00A40DC5" w:rsidRPr="00631743">
        <w:rPr>
          <w:rFonts w:ascii="Arial" w:eastAsia="Calibri" w:hAnsi="Arial" w:cs="Arial"/>
          <w:color w:val="000000" w:themeColor="text1"/>
          <w:sz w:val="24"/>
          <w:szCs w:val="24"/>
        </w:rPr>
        <w:t>and Reform Act empowers the Minister</w:t>
      </w:r>
      <w:r w:rsidR="000A372A" w:rsidRPr="00631743">
        <w:rPr>
          <w:rFonts w:ascii="Arial" w:eastAsia="Calibri" w:hAnsi="Arial" w:cs="Arial"/>
          <w:color w:val="000000" w:themeColor="text1"/>
          <w:sz w:val="24"/>
          <w:szCs w:val="24"/>
        </w:rPr>
        <w:t>,</w:t>
      </w:r>
      <w:r w:rsidR="00A40DC5" w:rsidRPr="00631743">
        <w:rPr>
          <w:rFonts w:ascii="Arial" w:eastAsia="Calibri" w:hAnsi="Arial" w:cs="Arial"/>
          <w:color w:val="000000" w:themeColor="text1"/>
          <w:sz w:val="24"/>
          <w:szCs w:val="24"/>
        </w:rPr>
        <w:t xml:space="preserve"> out of moneys appropriated in the Land Acquisition and Development Fund (established by s 13A)</w:t>
      </w:r>
      <w:r w:rsidR="000A372A" w:rsidRPr="00631743">
        <w:rPr>
          <w:rFonts w:ascii="Arial" w:eastAsia="Calibri" w:hAnsi="Arial" w:cs="Arial"/>
          <w:color w:val="000000" w:themeColor="text1"/>
          <w:sz w:val="24"/>
          <w:szCs w:val="24"/>
        </w:rPr>
        <w:t>,</w:t>
      </w:r>
      <w:r w:rsidR="00F27DA7" w:rsidRPr="00631743">
        <w:rPr>
          <w:rFonts w:ascii="Arial" w:eastAsia="Calibri" w:hAnsi="Arial" w:cs="Arial"/>
          <w:color w:val="000000" w:themeColor="text1"/>
          <w:sz w:val="24"/>
          <w:szCs w:val="24"/>
        </w:rPr>
        <w:t xml:space="preserve"> </w:t>
      </w:r>
      <w:r w:rsidR="00AF6C7A" w:rsidRPr="00631743">
        <w:rPr>
          <w:rFonts w:ascii="Arial" w:eastAsia="Calibri" w:hAnsi="Arial" w:cs="Arial"/>
          <w:color w:val="000000" w:themeColor="text1"/>
          <w:sz w:val="24"/>
          <w:szCs w:val="24"/>
        </w:rPr>
        <w:t xml:space="preserve">to </w:t>
      </w:r>
      <w:r w:rsidR="00A40DC5" w:rsidRPr="00631743">
        <w:rPr>
          <w:rFonts w:ascii="Arial" w:eastAsia="Calibri" w:hAnsi="Arial" w:cs="Arial"/>
          <w:color w:val="000000" w:themeColor="text1"/>
          <w:sz w:val="24"/>
          <w:szCs w:val="24"/>
        </w:rPr>
        <w:t>acquire agricultural land</w:t>
      </w:r>
      <w:r w:rsidR="000A372A" w:rsidRPr="00631743">
        <w:rPr>
          <w:rFonts w:ascii="Arial" w:eastAsia="Calibri" w:hAnsi="Arial" w:cs="Arial"/>
          <w:color w:val="000000" w:themeColor="text1"/>
          <w:sz w:val="24"/>
          <w:szCs w:val="24"/>
        </w:rPr>
        <w:t>,</w:t>
      </w:r>
      <w:r w:rsidR="00A40DC5" w:rsidRPr="00631743">
        <w:rPr>
          <w:rFonts w:ascii="Arial" w:eastAsia="Calibri" w:hAnsi="Arial" w:cs="Arial"/>
          <w:color w:val="000000" w:themeColor="text1"/>
          <w:sz w:val="24"/>
          <w:szCs w:val="24"/>
        </w:rPr>
        <w:t xml:space="preserve"> chiefly to resettle previously disadvantaged Namibians </w:t>
      </w:r>
      <w:r w:rsidR="000A372A" w:rsidRPr="00631743">
        <w:rPr>
          <w:rFonts w:ascii="Arial" w:eastAsia="Calibri" w:hAnsi="Arial" w:cs="Arial"/>
          <w:color w:val="000000" w:themeColor="text1"/>
          <w:sz w:val="24"/>
          <w:szCs w:val="24"/>
        </w:rPr>
        <w:t xml:space="preserve">in order </w:t>
      </w:r>
      <w:r w:rsidR="00A40DC5" w:rsidRPr="00631743">
        <w:rPr>
          <w:rFonts w:ascii="Arial" w:eastAsia="Calibri" w:hAnsi="Arial" w:cs="Arial"/>
          <w:color w:val="000000" w:themeColor="text1"/>
          <w:sz w:val="24"/>
          <w:szCs w:val="24"/>
        </w:rPr>
        <w:t>to address the ravages of inequality brought about by Namibia’s colonial past.</w:t>
      </w:r>
      <w:r w:rsidR="00A40DC5" w:rsidRPr="00631743">
        <w:rPr>
          <w:rStyle w:val="FootnoteReference"/>
          <w:rFonts w:ascii="Arial" w:eastAsia="Calibri" w:hAnsi="Arial" w:cs="Arial"/>
          <w:color w:val="000000" w:themeColor="text1"/>
          <w:sz w:val="24"/>
          <w:szCs w:val="24"/>
        </w:rPr>
        <w:footnoteReference w:id="1"/>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[6</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The</w:t>
      </w:r>
      <w:r w:rsidRPr="00631743">
        <w:rPr>
          <w:rFonts w:ascii="Arial" w:eastAsia="Calibri" w:hAnsi="Arial" w:cs="Arial"/>
          <w:color w:val="000000" w:themeColor="text1"/>
          <w:sz w:val="24"/>
          <w:szCs w:val="24"/>
        </w:rPr>
        <w:t xml:space="preserve"> first respondent, Ameib Rhino Sanctuary (Pty) Ltd (the company), is registered in Namibia. It is common ground that on 22 August 2012 (the date of transfer) the company ostensibly acquired agricultural land constituting Portions A and B of the farm Ameib No. 60, Registration Division </w:t>
      </w:r>
      <w:r w:rsidR="000A372A" w:rsidRPr="00631743">
        <w:rPr>
          <w:rFonts w:ascii="Arial" w:eastAsia="Calibri" w:hAnsi="Arial" w:cs="Arial"/>
          <w:color w:val="000000" w:themeColor="text1"/>
          <w:sz w:val="24"/>
          <w:szCs w:val="24"/>
        </w:rPr>
        <w:t>‘</w:t>
      </w:r>
      <w:r w:rsidRPr="00631743">
        <w:rPr>
          <w:rFonts w:ascii="Arial" w:eastAsia="Calibri" w:hAnsi="Arial" w:cs="Arial"/>
          <w:color w:val="000000" w:themeColor="text1"/>
          <w:sz w:val="24"/>
          <w:szCs w:val="24"/>
        </w:rPr>
        <w:t>H</w:t>
      </w:r>
      <w:r w:rsidR="000A372A" w:rsidRPr="00631743">
        <w:rPr>
          <w:rFonts w:ascii="Arial" w:eastAsia="Calibri" w:hAnsi="Arial" w:cs="Arial"/>
          <w:color w:val="000000" w:themeColor="text1"/>
          <w:sz w:val="24"/>
          <w:szCs w:val="24"/>
        </w:rPr>
        <w:t>’</w:t>
      </w:r>
      <w:r w:rsidRPr="00631743">
        <w:rPr>
          <w:rFonts w:ascii="Arial" w:eastAsia="Calibri" w:hAnsi="Arial" w:cs="Arial"/>
          <w:color w:val="000000" w:themeColor="text1"/>
          <w:sz w:val="24"/>
          <w:szCs w:val="24"/>
        </w:rPr>
        <w:t xml:space="preserve"> in the Erongo Region (farm Ameib). It is also common cause that on the date of transfer of farm Ameib, the share register of the comp</w:t>
      </w:r>
      <w:r w:rsidR="00AF6C7A" w:rsidRPr="00631743">
        <w:rPr>
          <w:rFonts w:ascii="Arial" w:eastAsia="Calibri" w:hAnsi="Arial" w:cs="Arial"/>
          <w:color w:val="000000" w:themeColor="text1"/>
          <w:sz w:val="24"/>
          <w:szCs w:val="24"/>
        </w:rPr>
        <w:t>any reflected the appellant (</w:t>
      </w:r>
      <w:r w:rsidRPr="00631743">
        <w:rPr>
          <w:rFonts w:ascii="Arial" w:eastAsia="Calibri" w:hAnsi="Arial" w:cs="Arial"/>
          <w:color w:val="000000" w:themeColor="text1"/>
          <w:sz w:val="24"/>
          <w:szCs w:val="24"/>
        </w:rPr>
        <w:t>Denker), a Namibian, as holding 50% of its issued shares, while a South African Mr.</w:t>
      </w:r>
      <w:r w:rsidR="00AF6C7A" w:rsidRPr="00631743">
        <w:rPr>
          <w:rFonts w:ascii="Arial" w:eastAsia="Calibri" w:hAnsi="Arial" w:cs="Arial"/>
          <w:color w:val="000000" w:themeColor="text1"/>
          <w:sz w:val="24"/>
          <w:szCs w:val="24"/>
        </w:rPr>
        <w:t xml:space="preserve"> Michael Hercules Viljoen (</w:t>
      </w:r>
      <w:r w:rsidRPr="00631743">
        <w:rPr>
          <w:rFonts w:ascii="Arial" w:eastAsia="Calibri" w:hAnsi="Arial" w:cs="Arial"/>
          <w:color w:val="000000" w:themeColor="text1"/>
          <w:sz w:val="24"/>
          <w:szCs w:val="24"/>
        </w:rPr>
        <w:t>Viljoen)</w:t>
      </w:r>
      <w:r w:rsidR="00AF6C7A" w:rsidRPr="00631743">
        <w:rPr>
          <w:rFonts w:ascii="Arial" w:eastAsia="Calibri" w:hAnsi="Arial" w:cs="Arial"/>
          <w:color w:val="000000" w:themeColor="text1"/>
          <w:sz w:val="24"/>
          <w:szCs w:val="24"/>
        </w:rPr>
        <w:t>,</w:t>
      </w:r>
      <w:r w:rsidRPr="00631743">
        <w:rPr>
          <w:rFonts w:ascii="Arial" w:eastAsia="Calibri" w:hAnsi="Arial" w:cs="Arial"/>
          <w:color w:val="000000" w:themeColor="text1"/>
          <w:sz w:val="24"/>
          <w:szCs w:val="24"/>
        </w:rPr>
        <w:t xml:space="preserve"> held the remaining 50% of the issued shares.</w:t>
      </w:r>
      <w:r w:rsidR="00B056CF" w:rsidRPr="00631743">
        <w:rPr>
          <w:rFonts w:ascii="Arial" w:eastAsia="Times New Roman" w:hAnsi="Arial" w:cs="Arial"/>
          <w:sz w:val="24"/>
          <w:szCs w:val="24"/>
        </w:rPr>
        <w:t xml:space="preserve"> A resolution was passed on 22 August 2012, although eventually signed by Denker only on 24 October 2012, revoking the 25 January 2012 resolution and which directed that Denker transfer 1% share to the Michael Viljoen Trust and that the </w:t>
      </w:r>
      <w:r w:rsidR="00EC410F" w:rsidRPr="00631743">
        <w:rPr>
          <w:rFonts w:ascii="Arial" w:eastAsia="Times New Roman" w:hAnsi="Arial" w:cs="Arial"/>
          <w:sz w:val="24"/>
          <w:szCs w:val="24"/>
        </w:rPr>
        <w:t>Cobbett</w:t>
      </w:r>
      <w:r w:rsidR="00B056CF" w:rsidRPr="00631743">
        <w:rPr>
          <w:rFonts w:ascii="Arial" w:eastAsia="Times New Roman" w:hAnsi="Arial" w:cs="Arial"/>
          <w:sz w:val="24"/>
          <w:szCs w:val="24"/>
        </w:rPr>
        <w:t xml:space="preserve"> Trust transfer 49% </w:t>
      </w:r>
      <w:r w:rsidR="00B056CF" w:rsidRPr="00631743">
        <w:rPr>
          <w:rFonts w:ascii="Arial" w:eastAsia="Times New Roman" w:hAnsi="Arial" w:cs="Arial"/>
          <w:sz w:val="24"/>
          <w:szCs w:val="24"/>
        </w:rPr>
        <w:lastRenderedPageBreak/>
        <w:t xml:space="preserve">shares to the Michael Viljoen Trust. The transfer was done and the register reflects a 50/50 shareholding split between Denker and the Michael Viljoen Trust. </w:t>
      </w:r>
    </w:p>
    <w:p w:rsidR="00A40DC5" w:rsidRPr="00631743" w:rsidRDefault="002353A1"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[7</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It</w:t>
      </w:r>
      <w:r w:rsidR="00A40DC5" w:rsidRPr="00631743">
        <w:rPr>
          <w:rFonts w:ascii="Arial" w:eastAsia="Calibri" w:hAnsi="Arial" w:cs="Arial"/>
          <w:color w:val="000000" w:themeColor="text1"/>
          <w:sz w:val="24"/>
          <w:szCs w:val="24"/>
        </w:rPr>
        <w:t xml:space="preserve"> follows that on the date of the company’s acquisition of farm Ameib, a Namibian did not hold a controlling interest in the company. It is for that reason illegal and void </w:t>
      </w:r>
      <w:r w:rsidR="00A40DC5" w:rsidRPr="00631743">
        <w:rPr>
          <w:rFonts w:ascii="Arial" w:eastAsia="Calibri" w:hAnsi="Arial" w:cs="Arial"/>
          <w:i/>
          <w:color w:val="000000" w:themeColor="text1"/>
          <w:sz w:val="24"/>
          <w:szCs w:val="24"/>
        </w:rPr>
        <w:t>ab initio</w:t>
      </w:r>
      <w:r w:rsidR="00A40DC5" w:rsidRPr="00631743">
        <w:rPr>
          <w:rStyle w:val="FootnoteReference"/>
          <w:rFonts w:ascii="Arial" w:eastAsia="Calibri" w:hAnsi="Arial" w:cs="Arial"/>
          <w:color w:val="000000" w:themeColor="text1"/>
          <w:sz w:val="24"/>
          <w:szCs w:val="24"/>
        </w:rPr>
        <w:footnoteReference w:id="2"/>
      </w:r>
      <w:r w:rsidR="00A40DC5" w:rsidRPr="00631743">
        <w:rPr>
          <w:rFonts w:ascii="Arial" w:eastAsia="Calibri" w:hAnsi="Arial" w:cs="Arial"/>
          <w:color w:val="000000" w:themeColor="text1"/>
          <w:sz w:val="24"/>
          <w:szCs w:val="24"/>
        </w:rPr>
        <w:t xml:space="preserve"> and incapable of</w:t>
      </w:r>
      <w:r w:rsidR="00A40DC5" w:rsidRPr="00631743">
        <w:rPr>
          <w:rFonts w:ascii="Arial" w:eastAsia="Calibri" w:hAnsi="Arial" w:cs="Arial"/>
          <w:sz w:val="24"/>
          <w:szCs w:val="24"/>
        </w:rPr>
        <w:t xml:space="preserve"> producing</w:t>
      </w:r>
      <w:r w:rsidR="00AF6C7A" w:rsidRPr="00631743">
        <w:rPr>
          <w:rFonts w:ascii="Arial" w:eastAsia="Calibri" w:hAnsi="Arial" w:cs="Arial"/>
          <w:sz w:val="24"/>
          <w:szCs w:val="24"/>
        </w:rPr>
        <w:t xml:space="preserve"> legal</w:t>
      </w:r>
      <w:r w:rsidR="00A40DC5" w:rsidRPr="00631743">
        <w:rPr>
          <w:rFonts w:ascii="Arial" w:eastAsia="Calibri" w:hAnsi="Arial" w:cs="Arial"/>
          <w:sz w:val="24"/>
          <w:szCs w:val="24"/>
        </w:rPr>
        <w:t xml:space="preserve"> rights and obligations. It remains </w:t>
      </w:r>
      <w:r w:rsidR="00A40DC5" w:rsidRPr="00631743">
        <w:rPr>
          <w:rFonts w:ascii="Arial" w:eastAsia="Calibri" w:hAnsi="Arial" w:cs="Arial"/>
          <w:color w:val="000000" w:themeColor="text1"/>
          <w:sz w:val="24"/>
          <w:szCs w:val="24"/>
        </w:rPr>
        <w:t>unenf</w:t>
      </w:r>
      <w:r w:rsidR="006F099B" w:rsidRPr="00631743">
        <w:rPr>
          <w:rFonts w:ascii="Arial" w:eastAsia="Calibri" w:hAnsi="Arial" w:cs="Arial"/>
          <w:color w:val="000000" w:themeColor="text1"/>
          <w:sz w:val="24"/>
          <w:szCs w:val="24"/>
        </w:rPr>
        <w:t>orceable. (</w:t>
      </w:r>
      <w:r w:rsidR="00A40DC5" w:rsidRPr="00631743">
        <w:rPr>
          <w:rFonts w:ascii="Arial" w:eastAsia="Calibri" w:hAnsi="Arial" w:cs="Arial"/>
          <w:i/>
          <w:color w:val="000000" w:themeColor="text1"/>
          <w:sz w:val="24"/>
          <w:szCs w:val="24"/>
        </w:rPr>
        <w:t>Jajbay v Cassim</w:t>
      </w:r>
      <w:r w:rsidR="00A40DC5" w:rsidRPr="00631743">
        <w:rPr>
          <w:rFonts w:ascii="Arial" w:eastAsia="Calibri" w:hAnsi="Arial" w:cs="Arial"/>
          <w:color w:val="000000" w:themeColor="text1"/>
          <w:sz w:val="24"/>
          <w:szCs w:val="24"/>
        </w:rPr>
        <w:t xml:space="preserve"> 1939 AD 537 at </w:t>
      </w:r>
      <w:r w:rsidR="00892C90" w:rsidRPr="00631743">
        <w:rPr>
          <w:rFonts w:ascii="Arial" w:eastAsia="Calibri" w:hAnsi="Arial" w:cs="Arial"/>
          <w:color w:val="000000" w:themeColor="text1"/>
          <w:sz w:val="24"/>
          <w:szCs w:val="24"/>
        </w:rPr>
        <w:t>554-555</w:t>
      </w:r>
      <w:r w:rsidR="006F099B" w:rsidRPr="00631743">
        <w:rPr>
          <w:rFonts w:ascii="Arial" w:eastAsia="Calibri" w:hAnsi="Arial" w:cs="Arial"/>
          <w:color w:val="000000" w:themeColor="text1"/>
          <w:sz w:val="24"/>
          <w:szCs w:val="24"/>
        </w:rPr>
        <w:t>)</w:t>
      </w:r>
      <w:r w:rsidR="008079CC" w:rsidRPr="00631743">
        <w:rPr>
          <w:rFonts w:ascii="Arial" w:eastAsia="Calibri" w:hAnsi="Arial" w:cs="Arial"/>
          <w:color w:val="000000" w:themeColor="text1"/>
          <w:sz w:val="24"/>
          <w:szCs w:val="24"/>
        </w:rPr>
        <w:t>.</w:t>
      </w:r>
      <w:r w:rsidR="00A40DC5" w:rsidRPr="00631743">
        <w:rPr>
          <w:rFonts w:ascii="Arial" w:eastAsia="Calibri" w:hAnsi="Arial" w:cs="Arial"/>
          <w:color w:val="000000" w:themeColor="text1"/>
          <w:sz w:val="24"/>
          <w:szCs w:val="24"/>
        </w:rPr>
        <w:t xml:space="preserve"> The litigation initiated by </w:t>
      </w:r>
      <w:r w:rsidR="00AF6C7A" w:rsidRPr="00631743">
        <w:rPr>
          <w:rFonts w:ascii="Arial" w:eastAsia="Calibri" w:hAnsi="Arial" w:cs="Arial"/>
          <w:color w:val="000000" w:themeColor="text1"/>
          <w:sz w:val="24"/>
          <w:szCs w:val="24"/>
        </w:rPr>
        <w:t>Denker</w:t>
      </w:r>
      <w:r w:rsidR="00A40DC5" w:rsidRPr="00631743">
        <w:rPr>
          <w:rFonts w:ascii="Arial" w:eastAsia="Calibri" w:hAnsi="Arial" w:cs="Arial"/>
          <w:color w:val="000000" w:themeColor="text1"/>
          <w:sz w:val="24"/>
          <w:szCs w:val="24"/>
        </w:rPr>
        <w:t xml:space="preserve"> (as applicant in the High Court), and which is the subject of the present appeal, was intended to avoid that consequence. </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[8</w:t>
      </w:r>
      <w:r w:rsidR="00F2343A" w:rsidRPr="00631743">
        <w:rPr>
          <w:rFonts w:ascii="Arial" w:eastAsia="Calibri" w:hAnsi="Arial" w:cs="Arial"/>
          <w:color w:val="000000" w:themeColor="text1"/>
          <w:sz w:val="24"/>
          <w:szCs w:val="24"/>
        </w:rPr>
        <w:t xml:space="preserve">] </w:t>
      </w:r>
      <w:r w:rsidR="00F2343A" w:rsidRPr="00631743">
        <w:rPr>
          <w:rFonts w:ascii="Arial" w:eastAsia="Calibri" w:hAnsi="Arial" w:cs="Arial"/>
          <w:color w:val="000000" w:themeColor="text1"/>
          <w:sz w:val="24"/>
          <w:szCs w:val="24"/>
        </w:rPr>
        <w:tab/>
      </w:r>
      <w:r w:rsidRPr="00631743">
        <w:rPr>
          <w:rFonts w:ascii="Arial" w:eastAsia="Calibri" w:hAnsi="Arial" w:cs="Arial"/>
          <w:color w:val="000000" w:themeColor="text1"/>
          <w:sz w:val="24"/>
          <w:szCs w:val="24"/>
        </w:rPr>
        <w:t>As</w:t>
      </w:r>
      <w:r w:rsidR="00AF6C7A" w:rsidRPr="00631743">
        <w:rPr>
          <w:rFonts w:ascii="Arial" w:eastAsia="Calibri" w:hAnsi="Arial" w:cs="Arial"/>
          <w:color w:val="000000" w:themeColor="text1"/>
          <w:sz w:val="24"/>
          <w:szCs w:val="24"/>
        </w:rPr>
        <w:t xml:space="preserve"> will soon become apparent, Denker </w:t>
      </w:r>
      <w:r w:rsidRPr="00631743">
        <w:rPr>
          <w:rFonts w:ascii="Arial" w:eastAsia="Calibri" w:hAnsi="Arial" w:cs="Arial"/>
          <w:color w:val="000000" w:themeColor="text1"/>
          <w:sz w:val="24"/>
          <w:szCs w:val="24"/>
        </w:rPr>
        <w:t xml:space="preserve">endeavored </w:t>
      </w:r>
      <w:r w:rsidR="00A115EC" w:rsidRPr="00631743">
        <w:rPr>
          <w:rFonts w:ascii="Arial" w:eastAsia="Calibri" w:hAnsi="Arial" w:cs="Arial"/>
          <w:color w:val="000000" w:themeColor="text1"/>
          <w:sz w:val="24"/>
          <w:szCs w:val="24"/>
        </w:rPr>
        <w:t>to persuade the High Court that,</w:t>
      </w:r>
      <w:r w:rsidR="00D23A29" w:rsidRPr="00631743">
        <w:rPr>
          <w:rFonts w:ascii="Arial" w:eastAsia="Calibri" w:hAnsi="Arial" w:cs="Arial"/>
          <w:color w:val="000000" w:themeColor="text1"/>
          <w:sz w:val="24"/>
          <w:szCs w:val="24"/>
        </w:rPr>
        <w:t xml:space="preserve"> </w:t>
      </w:r>
      <w:r w:rsidRPr="00631743">
        <w:rPr>
          <w:rFonts w:ascii="Arial" w:eastAsia="Calibri" w:hAnsi="Arial" w:cs="Arial"/>
          <w:color w:val="000000" w:themeColor="text1"/>
          <w:sz w:val="24"/>
          <w:szCs w:val="24"/>
        </w:rPr>
        <w:t>based on (a) the manner (not complying with legislation</w:t>
      </w:r>
      <w:r w:rsidR="00D07C8E" w:rsidRPr="00631743">
        <w:rPr>
          <w:rStyle w:val="FootnoteReference"/>
          <w:rFonts w:ascii="Arial" w:eastAsia="Calibri" w:hAnsi="Arial" w:cs="Arial"/>
          <w:sz w:val="24"/>
          <w:szCs w:val="24"/>
        </w:rPr>
        <w:footnoteReference w:id="3"/>
      </w:r>
      <w:r w:rsidRPr="00631743">
        <w:rPr>
          <w:rFonts w:ascii="Arial" w:eastAsia="Calibri" w:hAnsi="Arial" w:cs="Arial"/>
          <w:color w:val="000000" w:themeColor="text1"/>
          <w:sz w:val="24"/>
          <w:szCs w:val="24"/>
        </w:rPr>
        <w:t xml:space="preserve">) in which he surrendered a </w:t>
      </w:r>
      <w:r w:rsidR="006F099B" w:rsidRPr="00631743">
        <w:rPr>
          <w:rFonts w:ascii="Arial" w:eastAsia="Calibri" w:hAnsi="Arial" w:cs="Arial"/>
          <w:color w:val="000000" w:themeColor="text1"/>
          <w:sz w:val="24"/>
          <w:szCs w:val="24"/>
        </w:rPr>
        <w:t>1%</w:t>
      </w:r>
      <w:r w:rsidRPr="00631743">
        <w:rPr>
          <w:rFonts w:ascii="Arial" w:eastAsia="Calibri" w:hAnsi="Arial" w:cs="Arial"/>
          <w:color w:val="000000" w:themeColor="text1"/>
          <w:sz w:val="24"/>
          <w:szCs w:val="24"/>
        </w:rPr>
        <w:t xml:space="preserve"> share he owned in the c</w:t>
      </w:r>
      <w:r w:rsidR="00CE1B41">
        <w:rPr>
          <w:rFonts w:ascii="Arial" w:eastAsia="Calibri" w:hAnsi="Arial" w:cs="Arial"/>
          <w:color w:val="000000" w:themeColor="text1"/>
          <w:sz w:val="24"/>
          <w:szCs w:val="24"/>
        </w:rPr>
        <w:t>ompany to a foreign-registered t</w:t>
      </w:r>
      <w:r w:rsidRPr="00631743">
        <w:rPr>
          <w:rFonts w:ascii="Arial" w:eastAsia="Calibri" w:hAnsi="Arial" w:cs="Arial"/>
          <w:color w:val="000000" w:themeColor="text1"/>
          <w:sz w:val="24"/>
          <w:szCs w:val="24"/>
        </w:rPr>
        <w:t>rust</w:t>
      </w:r>
      <w:r w:rsidR="00D07C8E" w:rsidRPr="00631743">
        <w:rPr>
          <w:rFonts w:ascii="Arial" w:eastAsia="Calibri" w:hAnsi="Arial" w:cs="Arial"/>
          <w:color w:val="000000" w:themeColor="text1"/>
          <w:sz w:val="24"/>
          <w:szCs w:val="24"/>
        </w:rPr>
        <w:t xml:space="preserve"> (the Michael Viljoen Trust)</w:t>
      </w:r>
      <w:r w:rsidRPr="00631743">
        <w:rPr>
          <w:rFonts w:ascii="Arial" w:eastAsia="Calibri" w:hAnsi="Arial" w:cs="Arial"/>
          <w:color w:val="000000" w:themeColor="text1"/>
          <w:sz w:val="24"/>
          <w:szCs w:val="24"/>
        </w:rPr>
        <w:t xml:space="preserve">; (b) the fact that it was a </w:t>
      </w:r>
      <w:r w:rsidR="009C28B4" w:rsidRPr="00631743">
        <w:rPr>
          <w:rFonts w:ascii="Arial" w:eastAsia="Calibri" w:hAnsi="Arial" w:cs="Arial"/>
          <w:color w:val="000000" w:themeColor="text1"/>
          <w:sz w:val="24"/>
          <w:szCs w:val="24"/>
        </w:rPr>
        <w:t>t</w:t>
      </w:r>
      <w:r w:rsidRPr="00631743">
        <w:rPr>
          <w:rFonts w:ascii="Arial" w:eastAsia="Calibri" w:hAnsi="Arial" w:cs="Arial"/>
          <w:color w:val="000000" w:themeColor="text1"/>
          <w:sz w:val="24"/>
          <w:szCs w:val="24"/>
        </w:rPr>
        <w:t>rust which co-owned the issued shares in the company (which he maintained was not legally permissible</w:t>
      </w:r>
      <w:r w:rsidRPr="00631743">
        <w:rPr>
          <w:rStyle w:val="FootnoteReference"/>
          <w:rFonts w:ascii="Arial" w:eastAsia="Calibri" w:hAnsi="Arial" w:cs="Arial"/>
          <w:color w:val="000000" w:themeColor="text1"/>
          <w:sz w:val="24"/>
          <w:szCs w:val="24"/>
        </w:rPr>
        <w:footnoteReference w:id="4"/>
      </w:r>
      <w:r w:rsidRPr="00631743">
        <w:rPr>
          <w:rFonts w:ascii="Arial" w:eastAsia="Calibri" w:hAnsi="Arial" w:cs="Arial"/>
          <w:color w:val="000000" w:themeColor="text1"/>
          <w:sz w:val="24"/>
          <w:szCs w:val="24"/>
        </w:rPr>
        <w:t xml:space="preserve">), and (c) a misrepresentation </w:t>
      </w:r>
      <w:r w:rsidR="00B640CB" w:rsidRPr="00631743">
        <w:rPr>
          <w:rFonts w:ascii="Arial" w:eastAsia="Calibri" w:hAnsi="Arial" w:cs="Arial"/>
          <w:color w:val="000000" w:themeColor="text1"/>
          <w:sz w:val="24"/>
          <w:szCs w:val="24"/>
        </w:rPr>
        <w:t xml:space="preserve">of law </w:t>
      </w:r>
      <w:r w:rsidRPr="00631743">
        <w:rPr>
          <w:rFonts w:ascii="Arial" w:eastAsia="Calibri" w:hAnsi="Arial" w:cs="Arial"/>
          <w:color w:val="000000" w:themeColor="text1"/>
          <w:sz w:val="24"/>
          <w:szCs w:val="24"/>
        </w:rPr>
        <w:t>as t</w:t>
      </w:r>
      <w:r w:rsidR="00B640CB" w:rsidRPr="00631743">
        <w:rPr>
          <w:rFonts w:ascii="Arial" w:eastAsia="Calibri" w:hAnsi="Arial" w:cs="Arial"/>
          <w:color w:val="000000" w:themeColor="text1"/>
          <w:sz w:val="24"/>
          <w:szCs w:val="24"/>
        </w:rPr>
        <w:t>o the effect of s 58(1)</w:t>
      </w:r>
      <w:r w:rsidR="00B640CB" w:rsidRPr="00631743">
        <w:rPr>
          <w:rFonts w:ascii="Arial" w:eastAsia="Calibri" w:hAnsi="Arial" w:cs="Arial"/>
          <w:i/>
          <w:color w:val="000000" w:themeColor="text1"/>
          <w:sz w:val="24"/>
          <w:szCs w:val="24"/>
        </w:rPr>
        <w:t xml:space="preserve">(a) </w:t>
      </w:r>
      <w:r w:rsidR="00B640CB" w:rsidRPr="00631743">
        <w:rPr>
          <w:rFonts w:ascii="Arial" w:eastAsia="Calibri" w:hAnsi="Arial" w:cs="Arial"/>
          <w:color w:val="000000" w:themeColor="text1"/>
          <w:sz w:val="24"/>
          <w:szCs w:val="24"/>
        </w:rPr>
        <w:t>by</w:t>
      </w:r>
      <w:r w:rsidRPr="00631743">
        <w:rPr>
          <w:rFonts w:ascii="Arial" w:eastAsia="Calibri" w:hAnsi="Arial" w:cs="Arial"/>
          <w:color w:val="000000" w:themeColor="text1"/>
          <w:sz w:val="24"/>
          <w:szCs w:val="24"/>
        </w:rPr>
        <w:t xml:space="preserve"> Viljoen for whose benefit he surrendered his </w:t>
      </w:r>
      <w:r w:rsidR="00F2343A" w:rsidRPr="00631743">
        <w:rPr>
          <w:rFonts w:ascii="Arial" w:eastAsia="Calibri" w:hAnsi="Arial" w:cs="Arial"/>
          <w:color w:val="000000" w:themeColor="text1"/>
          <w:sz w:val="24"/>
          <w:szCs w:val="24"/>
        </w:rPr>
        <w:t>1%</w:t>
      </w:r>
      <w:r w:rsidRPr="00631743">
        <w:rPr>
          <w:rFonts w:ascii="Arial" w:eastAsia="Calibri" w:hAnsi="Arial" w:cs="Arial"/>
          <w:color w:val="000000" w:themeColor="text1"/>
          <w:sz w:val="24"/>
          <w:szCs w:val="24"/>
        </w:rPr>
        <w:t xml:space="preserve"> share</w:t>
      </w:r>
      <w:r w:rsidR="00D07C8E" w:rsidRPr="00631743">
        <w:rPr>
          <w:rFonts w:ascii="Arial" w:eastAsia="Calibri" w:hAnsi="Arial" w:cs="Arial"/>
          <w:color w:val="000000" w:themeColor="text1"/>
          <w:sz w:val="24"/>
          <w:szCs w:val="24"/>
        </w:rPr>
        <w:t xml:space="preserve"> to the Michel Viljoen Trust</w:t>
      </w:r>
      <w:r w:rsidRPr="00631743">
        <w:rPr>
          <w:rFonts w:ascii="Arial" w:eastAsia="Calibri" w:hAnsi="Arial" w:cs="Arial"/>
          <w:color w:val="000000" w:themeColor="text1"/>
          <w:sz w:val="24"/>
          <w:szCs w:val="24"/>
        </w:rPr>
        <w:t>, the company remained under the control of a Namibian and, therefore</w:t>
      </w:r>
      <w:r w:rsidR="00892C90" w:rsidRPr="00631743">
        <w:rPr>
          <w:rFonts w:ascii="Arial" w:eastAsia="Calibri" w:hAnsi="Arial" w:cs="Arial"/>
          <w:color w:val="000000" w:themeColor="text1"/>
          <w:sz w:val="24"/>
          <w:szCs w:val="24"/>
        </w:rPr>
        <w:t>, did not fall foul of s 58(1)</w:t>
      </w:r>
      <w:r w:rsidRPr="00631743">
        <w:rPr>
          <w:rFonts w:ascii="Arial" w:eastAsia="Calibri" w:hAnsi="Arial" w:cs="Arial"/>
          <w:i/>
          <w:color w:val="000000" w:themeColor="text1"/>
          <w:sz w:val="24"/>
          <w:szCs w:val="24"/>
        </w:rPr>
        <w:t>(a)</w:t>
      </w:r>
      <w:r w:rsidRPr="00631743">
        <w:rPr>
          <w:rFonts w:ascii="Arial" w:eastAsia="Calibri" w:hAnsi="Arial" w:cs="Arial"/>
          <w:color w:val="000000" w:themeColor="text1"/>
          <w:sz w:val="24"/>
          <w:szCs w:val="24"/>
        </w:rPr>
        <w:t xml:space="preserve"> of the Land Reform Act.</w:t>
      </w:r>
    </w:p>
    <w:p w:rsidR="00147BA3" w:rsidRPr="00631743" w:rsidRDefault="00F2343A" w:rsidP="00147BA3">
      <w:pPr>
        <w:spacing w:before="100" w:beforeAutospacing="1" w:after="100" w:afterAutospacing="1" w:line="480" w:lineRule="auto"/>
        <w:jc w:val="both"/>
        <w:rPr>
          <w:rFonts w:ascii="Arial" w:hAnsi="Arial" w:cs="Arial"/>
          <w:bCs/>
          <w:color w:val="000000" w:themeColor="text1"/>
        </w:rPr>
      </w:pPr>
      <w:r w:rsidRPr="00631743">
        <w:rPr>
          <w:rFonts w:ascii="Arial" w:eastAsia="Calibri" w:hAnsi="Arial" w:cs="Arial"/>
          <w:sz w:val="24"/>
          <w:szCs w:val="24"/>
        </w:rPr>
        <w:t>[9]</w:t>
      </w:r>
      <w:r w:rsidRPr="00631743">
        <w:rPr>
          <w:rFonts w:ascii="Arial" w:eastAsia="Calibri" w:hAnsi="Arial" w:cs="Arial"/>
          <w:sz w:val="24"/>
          <w:szCs w:val="24"/>
        </w:rPr>
        <w:tab/>
      </w:r>
      <w:r w:rsidR="00147BA3" w:rsidRPr="00631743">
        <w:rPr>
          <w:rFonts w:ascii="Arial" w:hAnsi="Arial" w:cs="Arial"/>
          <w:bCs/>
          <w:color w:val="000000" w:themeColor="text1"/>
          <w:sz w:val="24"/>
          <w:szCs w:val="24"/>
        </w:rPr>
        <w:t xml:space="preserve">In terms of s 23, read with s 10(6) of the Stamp Duties Act, an instrument of transfer must bear </w:t>
      </w:r>
      <w:r w:rsidR="009C28B4" w:rsidRPr="00631743">
        <w:rPr>
          <w:rFonts w:ascii="Arial" w:hAnsi="Arial" w:cs="Arial"/>
          <w:bCs/>
          <w:color w:val="000000" w:themeColor="text1"/>
          <w:sz w:val="24"/>
          <w:szCs w:val="24"/>
        </w:rPr>
        <w:t>a revenue stamp</w:t>
      </w:r>
      <w:r w:rsidR="00147BA3" w:rsidRPr="00631743">
        <w:rPr>
          <w:rFonts w:ascii="Arial" w:hAnsi="Arial" w:cs="Arial"/>
          <w:bCs/>
          <w:color w:val="000000" w:themeColor="text1"/>
          <w:sz w:val="24"/>
          <w:szCs w:val="24"/>
        </w:rPr>
        <w:t>, be dated with the true dates of the signatures of the transferor and t</w:t>
      </w:r>
      <w:r w:rsidR="009C28B4" w:rsidRPr="00631743">
        <w:rPr>
          <w:rFonts w:ascii="Arial" w:hAnsi="Arial" w:cs="Arial"/>
          <w:bCs/>
          <w:color w:val="000000" w:themeColor="text1"/>
          <w:sz w:val="24"/>
          <w:szCs w:val="24"/>
        </w:rPr>
        <w:t>ransferee and the revenue stamp</w:t>
      </w:r>
      <w:r w:rsidR="00147BA3" w:rsidRPr="00631743">
        <w:rPr>
          <w:rFonts w:ascii="Arial" w:hAnsi="Arial" w:cs="Arial"/>
          <w:bCs/>
          <w:color w:val="000000" w:themeColor="text1"/>
          <w:sz w:val="24"/>
          <w:szCs w:val="24"/>
        </w:rPr>
        <w:t xml:space="preserve"> must be defaced by an authorised person recording </w:t>
      </w:r>
      <w:r w:rsidR="00147BA3" w:rsidRPr="00631743">
        <w:rPr>
          <w:rFonts w:ascii="Arial" w:hAnsi="Arial" w:cs="Arial"/>
          <w:bCs/>
          <w:color w:val="000000" w:themeColor="text1"/>
          <w:sz w:val="24"/>
          <w:szCs w:val="24"/>
        </w:rPr>
        <w:lastRenderedPageBreak/>
        <w:t>the true date of the defacement before the company may register the transfer. For its part s 140(2</w:t>
      </w:r>
      <w:r w:rsidR="00147BA3" w:rsidRPr="00631743">
        <w:rPr>
          <w:rFonts w:ascii="Arial" w:hAnsi="Arial" w:cs="Arial"/>
          <w:bCs/>
          <w:color w:val="000000" w:themeColor="text1"/>
        </w:rPr>
        <w:t xml:space="preserve">) </w:t>
      </w:r>
      <w:r w:rsidR="00147BA3" w:rsidRPr="00631743">
        <w:rPr>
          <w:rFonts w:ascii="Arial" w:hAnsi="Arial" w:cs="Arial"/>
          <w:bCs/>
          <w:color w:val="000000" w:themeColor="text1"/>
          <w:sz w:val="24"/>
          <w:szCs w:val="24"/>
        </w:rPr>
        <w:t>of the Companies Act states:</w:t>
      </w:r>
    </w:p>
    <w:p w:rsidR="00147BA3" w:rsidRPr="00631743" w:rsidRDefault="00147BA3" w:rsidP="00631743">
      <w:pPr>
        <w:spacing w:before="100" w:beforeAutospacing="1" w:after="100" w:afterAutospacing="1" w:line="360" w:lineRule="auto"/>
        <w:ind w:left="851"/>
        <w:jc w:val="both"/>
        <w:rPr>
          <w:rFonts w:ascii="Arial" w:hAnsi="Arial" w:cs="Arial"/>
          <w:bCs/>
        </w:rPr>
      </w:pPr>
      <w:r w:rsidRPr="00631743">
        <w:rPr>
          <w:rFonts w:ascii="Arial" w:hAnsi="Arial" w:cs="Arial"/>
          <w:bCs/>
        </w:rPr>
        <w:t>‘Notwithstanding anything in the articles of a company, it is not lawful for the company to register a transfer of shares of or interest in the company unless a proper instrument of transfer has been delivered to the company, but nothing in this section prejudices any power of the company to register as</w:t>
      </w:r>
      <w:r w:rsidR="006F099B" w:rsidRPr="00631743">
        <w:rPr>
          <w:rFonts w:ascii="Arial" w:hAnsi="Arial" w:cs="Arial"/>
          <w:bCs/>
        </w:rPr>
        <w:t xml:space="preserve"> a</w:t>
      </w:r>
      <w:r w:rsidRPr="00631743">
        <w:rPr>
          <w:rFonts w:ascii="Arial" w:hAnsi="Arial" w:cs="Arial"/>
          <w:bCs/>
        </w:rPr>
        <w:t xml:space="preserve"> member any person to whom the right to any share of the company has been transmitted by operation of law.’</w:t>
      </w:r>
    </w:p>
    <w:p w:rsidR="00B056CF" w:rsidRPr="00631743" w:rsidRDefault="00106F89" w:rsidP="00B056CF">
      <w:pPr>
        <w:spacing w:before="100" w:beforeAutospacing="1" w:after="100" w:afterAutospacing="1" w:line="480" w:lineRule="auto"/>
        <w:jc w:val="both"/>
        <w:rPr>
          <w:rFonts w:ascii="Arial" w:hAnsi="Arial" w:cs="Arial"/>
          <w:bCs/>
          <w:sz w:val="24"/>
          <w:szCs w:val="24"/>
        </w:rPr>
      </w:pPr>
      <w:r w:rsidRPr="00631743">
        <w:rPr>
          <w:rFonts w:ascii="Arial" w:hAnsi="Arial" w:cs="Arial"/>
          <w:bCs/>
          <w:sz w:val="24"/>
          <w:szCs w:val="24"/>
        </w:rPr>
        <w:t>[10]</w:t>
      </w:r>
      <w:r w:rsidRPr="00631743">
        <w:rPr>
          <w:rFonts w:ascii="Arial" w:hAnsi="Arial" w:cs="Arial"/>
          <w:bCs/>
          <w:sz w:val="24"/>
          <w:szCs w:val="24"/>
        </w:rPr>
        <w:tab/>
      </w:r>
      <w:r w:rsidR="00B056CF" w:rsidRPr="00631743">
        <w:rPr>
          <w:rFonts w:ascii="Arial" w:hAnsi="Arial" w:cs="Arial"/>
          <w:bCs/>
          <w:sz w:val="24"/>
          <w:szCs w:val="24"/>
        </w:rPr>
        <w:t>Section 140(4) states that:</w:t>
      </w:r>
    </w:p>
    <w:p w:rsidR="00B056CF" w:rsidRPr="00631743" w:rsidRDefault="00B056CF" w:rsidP="00631743">
      <w:pPr>
        <w:spacing w:after="0" w:line="360" w:lineRule="auto"/>
        <w:ind w:left="720"/>
        <w:jc w:val="both"/>
        <w:rPr>
          <w:rFonts w:ascii="Arial" w:hAnsi="Arial" w:cs="Arial"/>
          <w:bCs/>
          <w:sz w:val="24"/>
          <w:szCs w:val="24"/>
        </w:rPr>
      </w:pPr>
      <w:r w:rsidRPr="00631743">
        <w:rPr>
          <w:rFonts w:ascii="Arial" w:hAnsi="Arial" w:cs="Arial"/>
          <w:bCs/>
        </w:rPr>
        <w:t>‘(4) The registration of any transfer of shares of or interest in a company is subject to the law relating to stamp duty and estate duty.</w:t>
      </w:r>
    </w:p>
    <w:p w:rsidR="00290673" w:rsidRPr="00631743" w:rsidRDefault="00106F89" w:rsidP="004012CE">
      <w:pPr>
        <w:spacing w:before="100" w:beforeAutospacing="1" w:after="100" w:afterAutospacing="1" w:line="480" w:lineRule="auto"/>
        <w:jc w:val="both"/>
        <w:rPr>
          <w:rFonts w:ascii="Arial" w:eastAsia="Calibri" w:hAnsi="Arial" w:cs="Arial"/>
          <w:sz w:val="24"/>
          <w:szCs w:val="24"/>
        </w:rPr>
      </w:pPr>
      <w:r w:rsidRPr="00631743">
        <w:rPr>
          <w:rFonts w:ascii="Arial" w:hAnsi="Arial" w:cs="Arial"/>
          <w:bCs/>
          <w:sz w:val="24"/>
          <w:szCs w:val="24"/>
        </w:rPr>
        <w:t>[11</w:t>
      </w:r>
      <w:r w:rsidR="006F099B" w:rsidRPr="00631743">
        <w:rPr>
          <w:rFonts w:ascii="Arial" w:hAnsi="Arial" w:cs="Arial"/>
          <w:bCs/>
          <w:sz w:val="24"/>
          <w:szCs w:val="24"/>
        </w:rPr>
        <w:t>]</w:t>
      </w:r>
      <w:r w:rsidR="006F099B" w:rsidRPr="00631743">
        <w:rPr>
          <w:rFonts w:ascii="Arial" w:hAnsi="Arial" w:cs="Arial"/>
          <w:bCs/>
          <w:sz w:val="24"/>
          <w:szCs w:val="24"/>
        </w:rPr>
        <w:tab/>
      </w:r>
      <w:r w:rsidR="00290673" w:rsidRPr="00631743">
        <w:rPr>
          <w:rFonts w:ascii="Arial" w:hAnsi="Arial" w:cs="Arial"/>
          <w:bCs/>
          <w:sz w:val="24"/>
          <w:szCs w:val="24"/>
        </w:rPr>
        <w:t xml:space="preserve">It is not in dispute that the instruments of transfer which gave effect to the transfer of 1% share from Denker to the Michael Viljoen Trust and the 49% shares from the </w:t>
      </w:r>
      <w:r w:rsidR="00EC410F" w:rsidRPr="00631743">
        <w:rPr>
          <w:rFonts w:ascii="Arial" w:hAnsi="Arial" w:cs="Arial"/>
          <w:bCs/>
          <w:sz w:val="24"/>
          <w:szCs w:val="24"/>
        </w:rPr>
        <w:t>Cobbett</w:t>
      </w:r>
      <w:r w:rsidR="006F099B" w:rsidRPr="00631743">
        <w:rPr>
          <w:rFonts w:ascii="Arial" w:hAnsi="Arial" w:cs="Arial"/>
          <w:bCs/>
          <w:sz w:val="24"/>
          <w:szCs w:val="24"/>
        </w:rPr>
        <w:t xml:space="preserve"> Trust to the Michael Viljoen T</w:t>
      </w:r>
      <w:r w:rsidR="00290673" w:rsidRPr="00631743">
        <w:rPr>
          <w:rFonts w:ascii="Arial" w:hAnsi="Arial" w:cs="Arial"/>
          <w:bCs/>
          <w:sz w:val="24"/>
          <w:szCs w:val="24"/>
        </w:rPr>
        <w:t>rust</w:t>
      </w:r>
      <w:r w:rsidR="008079CC" w:rsidRPr="00631743">
        <w:rPr>
          <w:rFonts w:ascii="Arial" w:hAnsi="Arial" w:cs="Arial"/>
          <w:bCs/>
          <w:sz w:val="24"/>
          <w:szCs w:val="24"/>
        </w:rPr>
        <w:t xml:space="preserve">, </w:t>
      </w:r>
      <w:r w:rsidR="00290673" w:rsidRPr="00631743">
        <w:rPr>
          <w:rFonts w:ascii="Arial" w:hAnsi="Arial" w:cs="Arial"/>
          <w:bCs/>
          <w:sz w:val="24"/>
          <w:szCs w:val="24"/>
        </w:rPr>
        <w:t xml:space="preserve">did not bear revenue stamps; </w:t>
      </w:r>
      <w:r w:rsidR="00290673" w:rsidRPr="00631743">
        <w:rPr>
          <w:rFonts w:ascii="Arial" w:eastAsia="Calibri" w:hAnsi="Arial" w:cs="Arial"/>
          <w:sz w:val="24"/>
          <w:szCs w:val="24"/>
        </w:rPr>
        <w:t>the revenue stamps were not defaced by an authorised person to record the true date of the defacement;</w:t>
      </w:r>
      <w:r w:rsidR="00290673" w:rsidRPr="00631743">
        <w:rPr>
          <w:rFonts w:ascii="Arial" w:hAnsi="Arial" w:cs="Arial"/>
          <w:bCs/>
          <w:sz w:val="24"/>
          <w:szCs w:val="24"/>
        </w:rPr>
        <w:t xml:space="preserve"> and bore a date other than the one on which the actual transactions took place</w:t>
      </w:r>
      <w:r w:rsidR="00290673" w:rsidRPr="00631743">
        <w:rPr>
          <w:rFonts w:ascii="Arial" w:eastAsia="Calibri" w:hAnsi="Arial" w:cs="Arial"/>
          <w:sz w:val="24"/>
          <w:szCs w:val="24"/>
        </w:rPr>
        <w:t xml:space="preserve">. </w:t>
      </w:r>
      <w:r w:rsidR="003E40E5" w:rsidRPr="00631743">
        <w:rPr>
          <w:rFonts w:ascii="Arial" w:eastAsia="Calibri" w:hAnsi="Arial" w:cs="Arial"/>
          <w:sz w:val="24"/>
          <w:szCs w:val="24"/>
        </w:rPr>
        <w:t xml:space="preserve">That was in breach of </w:t>
      </w:r>
      <w:r w:rsidR="008079CC" w:rsidRPr="00631743">
        <w:rPr>
          <w:rFonts w:ascii="Arial" w:eastAsia="Calibri" w:hAnsi="Arial" w:cs="Arial"/>
          <w:color w:val="000000" w:themeColor="text1"/>
          <w:sz w:val="24"/>
          <w:szCs w:val="24"/>
        </w:rPr>
        <w:t>s 23, read with s 10</w:t>
      </w:r>
      <w:r w:rsidR="00B640CB" w:rsidRPr="00631743">
        <w:rPr>
          <w:rFonts w:ascii="Arial" w:eastAsia="Calibri" w:hAnsi="Arial" w:cs="Arial"/>
          <w:color w:val="000000" w:themeColor="text1"/>
          <w:sz w:val="24"/>
          <w:szCs w:val="24"/>
        </w:rPr>
        <w:t xml:space="preserve">(6) of the Stamp Duties Act and </w:t>
      </w:r>
      <w:r w:rsidR="003E40E5" w:rsidRPr="00631743">
        <w:rPr>
          <w:rFonts w:ascii="Arial" w:eastAsia="Calibri" w:hAnsi="Arial" w:cs="Arial"/>
          <w:color w:val="000000" w:themeColor="text1"/>
          <w:sz w:val="24"/>
          <w:szCs w:val="24"/>
        </w:rPr>
        <w:t xml:space="preserve">the instruments of transfer </w:t>
      </w:r>
      <w:r w:rsidR="00B640CB" w:rsidRPr="00631743">
        <w:rPr>
          <w:rFonts w:ascii="Arial" w:eastAsia="Calibri" w:hAnsi="Arial" w:cs="Arial"/>
          <w:color w:val="000000" w:themeColor="text1"/>
          <w:sz w:val="24"/>
          <w:szCs w:val="24"/>
        </w:rPr>
        <w:t>were therefore not valid instruments of transfer for the purposes of s 140 of the Companies Act.</w:t>
      </w:r>
      <w:r w:rsidR="00F5569A" w:rsidRPr="00631743">
        <w:rPr>
          <w:rFonts w:ascii="Arial" w:eastAsia="Calibri" w:hAnsi="Arial" w:cs="Arial"/>
          <w:color w:val="000000" w:themeColor="text1"/>
          <w:sz w:val="24"/>
          <w:szCs w:val="24"/>
        </w:rPr>
        <w:t xml:space="preserve"> </w:t>
      </w:r>
      <w:r w:rsidR="00F5569A" w:rsidRPr="00631743">
        <w:rPr>
          <w:rFonts w:ascii="Arial" w:eastAsia="Times New Roman" w:hAnsi="Arial" w:cs="Arial"/>
          <w:sz w:val="24"/>
          <w:szCs w:val="24"/>
          <w:lang w:eastAsia="en-ZA"/>
        </w:rPr>
        <w:t xml:space="preserve">The documents in question being: the </w:t>
      </w:r>
      <w:r w:rsidR="006F099B" w:rsidRPr="00631743">
        <w:rPr>
          <w:rFonts w:ascii="Arial" w:hAnsi="Arial" w:cs="Arial"/>
          <w:sz w:val="24"/>
          <w:szCs w:val="24"/>
        </w:rPr>
        <w:t>‘</w:t>
      </w:r>
      <w:r w:rsidR="00F5569A" w:rsidRPr="00631743">
        <w:rPr>
          <w:rFonts w:ascii="Arial" w:hAnsi="Arial" w:cs="Arial"/>
          <w:sz w:val="24"/>
          <w:szCs w:val="24"/>
        </w:rPr>
        <w:t>Transfer of Share</w:t>
      </w:r>
      <w:r w:rsidR="00B056CF" w:rsidRPr="00631743">
        <w:rPr>
          <w:rFonts w:ascii="Arial" w:hAnsi="Arial" w:cs="Arial"/>
          <w:sz w:val="24"/>
          <w:szCs w:val="24"/>
        </w:rPr>
        <w:t>s, Stock, Debentures or Options’</w:t>
      </w:r>
      <w:r w:rsidR="00F5569A" w:rsidRPr="00631743">
        <w:rPr>
          <w:rFonts w:ascii="Arial" w:hAnsi="Arial" w:cs="Arial"/>
          <w:sz w:val="24"/>
          <w:szCs w:val="24"/>
        </w:rPr>
        <w:t xml:space="preserve"> dated 25 January 2012 in terms of which Denker transferred the one share for no consideration to Viljoen and the ‘Transfer of Shares, Stock, Debentures or Options’ dated 25 January 2012 in terms of which the </w:t>
      </w:r>
      <w:r w:rsidR="00EC410F" w:rsidRPr="00631743">
        <w:rPr>
          <w:rFonts w:ascii="Arial" w:hAnsi="Arial" w:cs="Arial"/>
          <w:sz w:val="24"/>
          <w:szCs w:val="24"/>
        </w:rPr>
        <w:t>Cobbett</w:t>
      </w:r>
      <w:r w:rsidR="00F5569A" w:rsidRPr="00631743">
        <w:rPr>
          <w:rFonts w:ascii="Arial" w:hAnsi="Arial" w:cs="Arial"/>
          <w:sz w:val="24"/>
          <w:szCs w:val="24"/>
        </w:rPr>
        <w:t xml:space="preserve"> Trust transferred the 49 shares to Viljoen. </w:t>
      </w:r>
      <w:r w:rsidR="00F5569A" w:rsidRPr="00631743">
        <w:rPr>
          <w:rFonts w:ascii="Arial" w:eastAsia="Calibri" w:hAnsi="Arial" w:cs="Arial"/>
          <w:sz w:val="24"/>
          <w:szCs w:val="24"/>
        </w:rPr>
        <w:t xml:space="preserve">It is common cause that the relevant instruments of transfer were backdated to 25 January 2012 while the transaction was completed on </w:t>
      </w:r>
      <w:r w:rsidR="00B056CF" w:rsidRPr="00631743">
        <w:rPr>
          <w:rFonts w:ascii="Arial" w:eastAsia="Calibri" w:hAnsi="Arial" w:cs="Arial"/>
          <w:sz w:val="24"/>
          <w:szCs w:val="24"/>
        </w:rPr>
        <w:t>24 October</w:t>
      </w:r>
      <w:r w:rsidR="00F5569A" w:rsidRPr="00631743">
        <w:rPr>
          <w:rFonts w:ascii="Arial" w:eastAsia="Calibri" w:hAnsi="Arial" w:cs="Arial"/>
          <w:sz w:val="24"/>
          <w:szCs w:val="24"/>
        </w:rPr>
        <w:t xml:space="preserve"> 2012. That was done on the instruction of Viljoen with the full knowledge and participation of Denker. </w:t>
      </w:r>
      <w:r w:rsidR="009C28B4" w:rsidRPr="00631743">
        <w:rPr>
          <w:rFonts w:ascii="Arial" w:eastAsia="Calibri" w:hAnsi="Arial" w:cs="Arial"/>
          <w:sz w:val="24"/>
          <w:szCs w:val="24"/>
        </w:rPr>
        <w:t>His involvement notwithstanding</w:t>
      </w:r>
      <w:r w:rsidR="00290673" w:rsidRPr="00631743">
        <w:rPr>
          <w:rFonts w:ascii="Arial" w:eastAsia="Calibri" w:hAnsi="Arial" w:cs="Arial"/>
          <w:sz w:val="24"/>
          <w:szCs w:val="24"/>
        </w:rPr>
        <w:t xml:space="preserve">, </w:t>
      </w:r>
      <w:r w:rsidR="00290673" w:rsidRPr="00631743">
        <w:rPr>
          <w:rFonts w:ascii="Arial" w:eastAsia="Calibri" w:hAnsi="Arial" w:cs="Arial"/>
          <w:sz w:val="24"/>
          <w:szCs w:val="24"/>
        </w:rPr>
        <w:lastRenderedPageBreak/>
        <w:t xml:space="preserve">Denker contends, </w:t>
      </w:r>
      <w:r w:rsidR="009C28B4" w:rsidRPr="00631743">
        <w:rPr>
          <w:rFonts w:ascii="Arial" w:eastAsia="Calibri" w:hAnsi="Arial" w:cs="Arial"/>
          <w:sz w:val="24"/>
          <w:szCs w:val="24"/>
        </w:rPr>
        <w:t xml:space="preserve">that </w:t>
      </w:r>
      <w:r w:rsidR="00290673" w:rsidRPr="00631743">
        <w:rPr>
          <w:rFonts w:ascii="Arial" w:eastAsia="Calibri" w:hAnsi="Arial" w:cs="Arial"/>
          <w:sz w:val="24"/>
          <w:szCs w:val="24"/>
        </w:rPr>
        <w:t xml:space="preserve">the company was not competent to register the transfer of </w:t>
      </w:r>
      <w:r w:rsidR="00147BA3" w:rsidRPr="00631743">
        <w:rPr>
          <w:rFonts w:ascii="Arial" w:eastAsia="Calibri" w:hAnsi="Arial" w:cs="Arial"/>
          <w:sz w:val="24"/>
          <w:szCs w:val="24"/>
        </w:rPr>
        <w:t>his 1 % share</w:t>
      </w:r>
      <w:r w:rsidR="00290673" w:rsidRPr="00631743">
        <w:rPr>
          <w:rFonts w:ascii="Arial" w:eastAsia="Calibri" w:hAnsi="Arial" w:cs="Arial"/>
          <w:sz w:val="24"/>
          <w:szCs w:val="24"/>
        </w:rPr>
        <w:t xml:space="preserve"> and to change its register of members on the strength of those instruments.</w:t>
      </w:r>
      <w:r w:rsidR="00290673" w:rsidRPr="00631743">
        <w:rPr>
          <w:rFonts w:ascii="Arial" w:eastAsia="Calibri" w:hAnsi="Arial" w:cs="Arial"/>
        </w:rPr>
        <w:t xml:space="preserve"> </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w:t>
      </w:r>
      <w:r w:rsidR="00F5569A" w:rsidRPr="00631743">
        <w:rPr>
          <w:rFonts w:ascii="Arial" w:eastAsia="Calibri" w:hAnsi="Arial" w:cs="Arial"/>
          <w:color w:val="000000" w:themeColor="text1"/>
          <w:sz w:val="24"/>
          <w:szCs w:val="24"/>
        </w:rPr>
        <w:t>1</w:t>
      </w:r>
      <w:r w:rsidR="00106F89" w:rsidRPr="00631743">
        <w:rPr>
          <w:rFonts w:ascii="Arial" w:eastAsia="Calibri" w:hAnsi="Arial" w:cs="Arial"/>
          <w:color w:val="000000" w:themeColor="text1"/>
          <w:sz w:val="24"/>
          <w:szCs w:val="24"/>
        </w:rPr>
        <w:t>2</w:t>
      </w:r>
      <w:r w:rsidR="002353A1" w:rsidRPr="00631743">
        <w:rPr>
          <w:rFonts w:ascii="Arial" w:eastAsia="Calibri" w:hAnsi="Arial" w:cs="Arial"/>
          <w:color w:val="000000" w:themeColor="text1"/>
          <w:sz w:val="24"/>
          <w:szCs w:val="24"/>
        </w:rPr>
        <w:t xml:space="preserve">]  </w:t>
      </w:r>
      <w:r w:rsidRPr="00631743">
        <w:rPr>
          <w:rFonts w:ascii="Arial" w:eastAsia="Calibri" w:hAnsi="Arial" w:cs="Arial"/>
          <w:color w:val="000000" w:themeColor="text1"/>
          <w:sz w:val="24"/>
          <w:szCs w:val="24"/>
        </w:rPr>
        <w:t>It is undisputed that at some point before the change in the sha</w:t>
      </w:r>
      <w:r w:rsidR="00DF7F92" w:rsidRPr="00631743">
        <w:rPr>
          <w:rFonts w:ascii="Arial" w:eastAsia="Calibri" w:hAnsi="Arial" w:cs="Arial"/>
          <w:color w:val="000000" w:themeColor="text1"/>
          <w:sz w:val="24"/>
          <w:szCs w:val="24"/>
        </w:rPr>
        <w:t xml:space="preserve">re register which reflected </w:t>
      </w:r>
      <w:r w:rsidRPr="00631743">
        <w:rPr>
          <w:rFonts w:ascii="Arial" w:eastAsia="Calibri" w:hAnsi="Arial" w:cs="Arial"/>
          <w:color w:val="000000" w:themeColor="text1"/>
          <w:sz w:val="24"/>
          <w:szCs w:val="24"/>
        </w:rPr>
        <w:t xml:space="preserve">Denker and the Michael Viljoen Trust as equal shareholders (as evidenced by </w:t>
      </w:r>
      <w:r w:rsidR="00DF7F92" w:rsidRPr="00631743">
        <w:rPr>
          <w:rFonts w:ascii="Arial" w:eastAsia="Calibri" w:hAnsi="Arial" w:cs="Arial"/>
          <w:color w:val="000000" w:themeColor="text1"/>
          <w:sz w:val="24"/>
          <w:szCs w:val="24"/>
        </w:rPr>
        <w:t xml:space="preserve">the </w:t>
      </w:r>
      <w:r w:rsidRPr="00631743">
        <w:rPr>
          <w:rFonts w:ascii="Arial" w:eastAsia="Calibri" w:hAnsi="Arial" w:cs="Arial"/>
          <w:color w:val="000000" w:themeColor="text1"/>
          <w:sz w:val="24"/>
          <w:szCs w:val="24"/>
        </w:rPr>
        <w:t>transactions done on 25 J</w:t>
      </w:r>
      <w:r w:rsidR="00B056CF" w:rsidRPr="00631743">
        <w:rPr>
          <w:rFonts w:ascii="Arial" w:eastAsia="Calibri" w:hAnsi="Arial" w:cs="Arial"/>
          <w:color w:val="000000" w:themeColor="text1"/>
          <w:sz w:val="24"/>
          <w:szCs w:val="24"/>
        </w:rPr>
        <w:t>anuary 2012, 22 August 2012,  22</w:t>
      </w:r>
      <w:r w:rsidRPr="00631743">
        <w:rPr>
          <w:rFonts w:ascii="Arial" w:eastAsia="Calibri" w:hAnsi="Arial" w:cs="Arial"/>
          <w:color w:val="000000" w:themeColor="text1"/>
          <w:sz w:val="24"/>
          <w:szCs w:val="24"/>
        </w:rPr>
        <w:t xml:space="preserve"> August 2012 and 24 October 2012</w:t>
      </w:r>
      <w:r w:rsidR="00DF7F92" w:rsidRPr="00631743">
        <w:rPr>
          <w:rFonts w:ascii="Arial" w:eastAsia="Calibri" w:hAnsi="Arial" w:cs="Arial"/>
          <w:color w:val="000000" w:themeColor="text1"/>
          <w:sz w:val="24"/>
          <w:szCs w:val="24"/>
        </w:rPr>
        <w:t xml:space="preserve">), by agreement between Denker and </w:t>
      </w:r>
      <w:r w:rsidRPr="00631743">
        <w:rPr>
          <w:rFonts w:ascii="Arial" w:eastAsia="Calibri" w:hAnsi="Arial" w:cs="Arial"/>
          <w:color w:val="000000" w:themeColor="text1"/>
          <w:sz w:val="24"/>
          <w:szCs w:val="24"/>
        </w:rPr>
        <w:t>Viljoe</w:t>
      </w:r>
      <w:r w:rsidR="00DF7F92" w:rsidRPr="00631743">
        <w:rPr>
          <w:rFonts w:ascii="Arial" w:eastAsia="Calibri" w:hAnsi="Arial" w:cs="Arial"/>
          <w:color w:val="000000" w:themeColor="text1"/>
          <w:sz w:val="24"/>
          <w:szCs w:val="24"/>
        </w:rPr>
        <w:t>n (concluded on 8 July 2010),</w:t>
      </w:r>
      <w:r w:rsidRPr="00631743">
        <w:rPr>
          <w:rFonts w:ascii="Arial" w:eastAsia="Calibri" w:hAnsi="Arial" w:cs="Arial"/>
          <w:color w:val="000000" w:themeColor="text1"/>
          <w:sz w:val="24"/>
          <w:szCs w:val="24"/>
        </w:rPr>
        <w:t xml:space="preserve"> Denker held 5</w:t>
      </w:r>
      <w:r w:rsidR="00463907">
        <w:rPr>
          <w:rFonts w:ascii="Arial" w:eastAsia="Calibri" w:hAnsi="Arial" w:cs="Arial"/>
          <w:color w:val="000000" w:themeColor="text1"/>
          <w:sz w:val="24"/>
          <w:szCs w:val="24"/>
        </w:rPr>
        <w:t>1% of the issued shares, and a t</w:t>
      </w:r>
      <w:r w:rsidRPr="00631743">
        <w:rPr>
          <w:rFonts w:ascii="Arial" w:eastAsia="Calibri" w:hAnsi="Arial" w:cs="Arial"/>
          <w:color w:val="000000" w:themeColor="text1"/>
          <w:sz w:val="24"/>
          <w:szCs w:val="24"/>
        </w:rPr>
        <w:t xml:space="preserve">rust known as The </w:t>
      </w:r>
      <w:r w:rsidR="00EC410F" w:rsidRPr="00631743">
        <w:rPr>
          <w:rFonts w:ascii="Arial" w:eastAsia="Calibri" w:hAnsi="Arial" w:cs="Arial"/>
          <w:color w:val="000000" w:themeColor="text1"/>
          <w:sz w:val="24"/>
          <w:szCs w:val="24"/>
        </w:rPr>
        <w:t>Cobbett</w:t>
      </w:r>
      <w:r w:rsidR="00CE1B41">
        <w:rPr>
          <w:rFonts w:ascii="Arial" w:eastAsia="Calibri" w:hAnsi="Arial" w:cs="Arial"/>
          <w:color w:val="000000" w:themeColor="text1"/>
          <w:sz w:val="24"/>
          <w:szCs w:val="24"/>
        </w:rPr>
        <w:t xml:space="preserve"> t</w:t>
      </w:r>
      <w:r w:rsidRPr="00631743">
        <w:rPr>
          <w:rFonts w:ascii="Arial" w:eastAsia="Calibri" w:hAnsi="Arial" w:cs="Arial"/>
          <w:color w:val="000000" w:themeColor="text1"/>
          <w:sz w:val="24"/>
          <w:szCs w:val="24"/>
        </w:rPr>
        <w:t>rust (also foreign-registered) held the remaining 49% of th</w:t>
      </w:r>
      <w:r w:rsidR="00DF7F92" w:rsidRPr="00631743">
        <w:rPr>
          <w:rFonts w:ascii="Arial" w:eastAsia="Calibri" w:hAnsi="Arial" w:cs="Arial"/>
          <w:color w:val="000000" w:themeColor="text1"/>
          <w:sz w:val="24"/>
          <w:szCs w:val="24"/>
        </w:rPr>
        <w:t xml:space="preserve">e issued shares representing </w:t>
      </w:r>
      <w:r w:rsidRPr="00631743">
        <w:rPr>
          <w:rFonts w:ascii="Arial" w:eastAsia="Calibri" w:hAnsi="Arial" w:cs="Arial"/>
          <w:color w:val="000000" w:themeColor="text1"/>
          <w:sz w:val="24"/>
          <w:szCs w:val="24"/>
        </w:rPr>
        <w:t xml:space="preserve">Viljoen’s interest. </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[1</w:t>
      </w:r>
      <w:r w:rsidR="00106F89" w:rsidRPr="00631743">
        <w:rPr>
          <w:rFonts w:ascii="Arial" w:eastAsia="Calibri" w:hAnsi="Arial" w:cs="Arial"/>
          <w:color w:val="000000" w:themeColor="text1"/>
          <w:sz w:val="24"/>
          <w:szCs w:val="24"/>
        </w:rPr>
        <w:t>3</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There</w:t>
      </w:r>
      <w:r w:rsidRPr="00631743">
        <w:rPr>
          <w:rFonts w:ascii="Arial" w:eastAsia="Calibri" w:hAnsi="Arial" w:cs="Arial"/>
          <w:color w:val="000000" w:themeColor="text1"/>
          <w:sz w:val="24"/>
          <w:szCs w:val="24"/>
        </w:rPr>
        <w:t xml:space="preserve"> is no dispute between the parties that the 51% / 49% sp</w:t>
      </w:r>
      <w:r w:rsidR="000325B2" w:rsidRPr="00631743">
        <w:rPr>
          <w:rFonts w:ascii="Arial" w:eastAsia="Calibri" w:hAnsi="Arial" w:cs="Arial"/>
          <w:color w:val="000000" w:themeColor="text1"/>
          <w:sz w:val="24"/>
          <w:szCs w:val="24"/>
        </w:rPr>
        <w:t xml:space="preserve">lit </w:t>
      </w:r>
      <w:r w:rsidRPr="00631743">
        <w:rPr>
          <w:rFonts w:ascii="Arial" w:eastAsia="Calibri" w:hAnsi="Arial" w:cs="Arial"/>
          <w:color w:val="000000" w:themeColor="text1"/>
          <w:sz w:val="24"/>
          <w:szCs w:val="24"/>
        </w:rPr>
        <w:t xml:space="preserve">was done on the advice of </w:t>
      </w:r>
      <w:r w:rsidR="00DF7F92" w:rsidRPr="00631743">
        <w:rPr>
          <w:rFonts w:ascii="Arial" w:eastAsia="Calibri" w:hAnsi="Arial" w:cs="Arial"/>
          <w:color w:val="000000" w:themeColor="text1"/>
          <w:sz w:val="24"/>
          <w:szCs w:val="24"/>
        </w:rPr>
        <w:t xml:space="preserve">a </w:t>
      </w:r>
      <w:r w:rsidRPr="00631743">
        <w:rPr>
          <w:rFonts w:ascii="Arial" w:eastAsia="Calibri" w:hAnsi="Arial" w:cs="Arial"/>
          <w:color w:val="000000" w:themeColor="text1"/>
          <w:sz w:val="24"/>
          <w:szCs w:val="24"/>
        </w:rPr>
        <w:t>lawyer</w:t>
      </w:r>
      <w:r w:rsidR="000A372A" w:rsidRPr="00631743">
        <w:rPr>
          <w:rFonts w:ascii="Arial" w:eastAsia="Calibri" w:hAnsi="Arial" w:cs="Arial"/>
          <w:color w:val="000000" w:themeColor="text1"/>
          <w:sz w:val="24"/>
          <w:szCs w:val="24"/>
        </w:rPr>
        <w:t>,</w:t>
      </w:r>
      <w:r w:rsidRPr="00631743">
        <w:rPr>
          <w:rFonts w:ascii="Arial" w:eastAsia="Calibri" w:hAnsi="Arial" w:cs="Arial"/>
          <w:color w:val="000000" w:themeColor="text1"/>
          <w:sz w:val="24"/>
          <w:szCs w:val="24"/>
        </w:rPr>
        <w:t xml:space="preserve"> Mr Erasmus</w:t>
      </w:r>
      <w:r w:rsidR="000A372A" w:rsidRPr="00631743">
        <w:rPr>
          <w:rFonts w:ascii="Arial" w:eastAsia="Calibri" w:hAnsi="Arial" w:cs="Arial"/>
          <w:color w:val="000000" w:themeColor="text1"/>
          <w:sz w:val="24"/>
          <w:szCs w:val="24"/>
        </w:rPr>
        <w:t>,</w:t>
      </w:r>
      <w:r w:rsidRPr="00631743">
        <w:rPr>
          <w:rFonts w:ascii="Arial" w:eastAsia="Calibri" w:hAnsi="Arial" w:cs="Arial"/>
          <w:color w:val="000000" w:themeColor="text1"/>
          <w:sz w:val="24"/>
          <w:szCs w:val="24"/>
        </w:rPr>
        <w:t xml:space="preserve"> who advised both Denker and Viljoen</w:t>
      </w:r>
      <w:r w:rsidR="00DF7F92" w:rsidRPr="00631743">
        <w:rPr>
          <w:rFonts w:ascii="Arial" w:eastAsia="Calibri" w:hAnsi="Arial" w:cs="Arial"/>
          <w:color w:val="000000" w:themeColor="text1"/>
          <w:sz w:val="24"/>
          <w:szCs w:val="24"/>
        </w:rPr>
        <w:t xml:space="preserve"> </w:t>
      </w:r>
      <w:r w:rsidR="009C28B4" w:rsidRPr="00631743">
        <w:rPr>
          <w:rFonts w:ascii="Arial" w:eastAsia="Calibri" w:hAnsi="Arial" w:cs="Arial"/>
          <w:color w:val="000000" w:themeColor="text1"/>
          <w:sz w:val="24"/>
          <w:szCs w:val="24"/>
        </w:rPr>
        <w:t xml:space="preserve">as such </w:t>
      </w:r>
      <w:r w:rsidR="00DF7F92" w:rsidRPr="00631743">
        <w:rPr>
          <w:rFonts w:ascii="Arial" w:eastAsia="Calibri" w:hAnsi="Arial" w:cs="Arial"/>
          <w:color w:val="000000" w:themeColor="text1"/>
          <w:sz w:val="24"/>
          <w:szCs w:val="24"/>
        </w:rPr>
        <w:t>so as</w:t>
      </w:r>
      <w:r w:rsidRPr="00631743">
        <w:rPr>
          <w:rFonts w:ascii="Arial" w:eastAsia="Calibri" w:hAnsi="Arial" w:cs="Arial"/>
          <w:color w:val="000000" w:themeColor="text1"/>
          <w:sz w:val="24"/>
          <w:szCs w:val="24"/>
        </w:rPr>
        <w:t xml:space="preserve"> to bring the company within the four corners of s 58(1)</w:t>
      </w:r>
      <w:r w:rsidRPr="00631743">
        <w:rPr>
          <w:rFonts w:ascii="Arial" w:eastAsia="Calibri" w:hAnsi="Arial" w:cs="Arial"/>
          <w:i/>
          <w:color w:val="000000" w:themeColor="text1"/>
          <w:sz w:val="24"/>
          <w:szCs w:val="24"/>
        </w:rPr>
        <w:t>(a)</w:t>
      </w:r>
      <w:r w:rsidR="000A372A" w:rsidRPr="00631743">
        <w:rPr>
          <w:rFonts w:ascii="Arial" w:eastAsia="Calibri" w:hAnsi="Arial" w:cs="Arial"/>
          <w:color w:val="000000" w:themeColor="text1"/>
          <w:sz w:val="24"/>
          <w:szCs w:val="24"/>
        </w:rPr>
        <w:t xml:space="preserve"> as Denker and</w:t>
      </w:r>
      <w:r w:rsidRPr="00631743">
        <w:rPr>
          <w:rFonts w:ascii="Arial" w:eastAsia="Calibri" w:hAnsi="Arial" w:cs="Arial"/>
          <w:color w:val="000000" w:themeColor="text1"/>
          <w:sz w:val="24"/>
          <w:szCs w:val="24"/>
        </w:rPr>
        <w:t xml:space="preserve"> Viljoen (a foreigner) formed a common intent to, through a special purpose vehicle, the company, purchase farm Ameib. At that </w:t>
      </w:r>
      <w:r w:rsidR="00DE2FC1" w:rsidRPr="00631743">
        <w:rPr>
          <w:rFonts w:ascii="Arial" w:eastAsia="Calibri" w:hAnsi="Arial" w:cs="Arial"/>
          <w:color w:val="000000" w:themeColor="text1"/>
          <w:sz w:val="24"/>
          <w:szCs w:val="24"/>
        </w:rPr>
        <w:t>time,</w:t>
      </w:r>
      <w:r w:rsidRPr="00631743">
        <w:rPr>
          <w:rFonts w:ascii="Arial" w:eastAsia="Calibri" w:hAnsi="Arial" w:cs="Arial"/>
          <w:color w:val="000000" w:themeColor="text1"/>
          <w:sz w:val="24"/>
          <w:szCs w:val="24"/>
        </w:rPr>
        <w:t xml:space="preserve"> </w:t>
      </w:r>
      <w:r w:rsidR="000A372A" w:rsidRPr="00631743">
        <w:rPr>
          <w:rFonts w:ascii="Arial" w:eastAsia="Calibri" w:hAnsi="Arial" w:cs="Arial"/>
          <w:color w:val="000000" w:themeColor="text1"/>
          <w:sz w:val="24"/>
          <w:szCs w:val="24"/>
        </w:rPr>
        <w:t xml:space="preserve">the two men </w:t>
      </w:r>
      <w:r w:rsidRPr="00631743">
        <w:rPr>
          <w:rFonts w:ascii="Arial" w:eastAsia="Calibri" w:hAnsi="Arial" w:cs="Arial"/>
          <w:color w:val="000000" w:themeColor="text1"/>
          <w:sz w:val="24"/>
          <w:szCs w:val="24"/>
        </w:rPr>
        <w:t xml:space="preserve">were </w:t>
      </w:r>
      <w:r w:rsidRPr="00631743">
        <w:rPr>
          <w:rFonts w:ascii="Arial" w:eastAsia="Calibri" w:hAnsi="Arial" w:cs="Arial"/>
          <w:i/>
          <w:color w:val="000000" w:themeColor="text1"/>
          <w:sz w:val="24"/>
          <w:szCs w:val="24"/>
        </w:rPr>
        <w:t>ad idem</w:t>
      </w:r>
      <w:r w:rsidRPr="00631743">
        <w:rPr>
          <w:rFonts w:ascii="Arial" w:eastAsia="Calibri" w:hAnsi="Arial" w:cs="Arial"/>
          <w:color w:val="000000" w:themeColor="text1"/>
          <w:sz w:val="24"/>
          <w:szCs w:val="24"/>
        </w:rPr>
        <w:t xml:space="preserve">, </w:t>
      </w:r>
      <w:r w:rsidR="00DF7F92" w:rsidRPr="00631743">
        <w:rPr>
          <w:rFonts w:ascii="Arial" w:eastAsia="Calibri" w:hAnsi="Arial" w:cs="Arial"/>
          <w:color w:val="000000" w:themeColor="text1"/>
          <w:sz w:val="24"/>
          <w:szCs w:val="24"/>
        </w:rPr>
        <w:t>on the strength of lawyer</w:t>
      </w:r>
      <w:r w:rsidR="00D23A29" w:rsidRPr="00631743">
        <w:rPr>
          <w:rFonts w:ascii="Arial" w:eastAsia="Calibri" w:hAnsi="Arial" w:cs="Arial"/>
          <w:color w:val="000000" w:themeColor="text1"/>
          <w:sz w:val="24"/>
          <w:szCs w:val="24"/>
        </w:rPr>
        <w:t xml:space="preserve"> Erasmus’ advice</w:t>
      </w:r>
      <w:r w:rsidRPr="00631743">
        <w:rPr>
          <w:rFonts w:ascii="Arial" w:eastAsia="Calibri" w:hAnsi="Arial" w:cs="Arial"/>
          <w:color w:val="000000" w:themeColor="text1"/>
          <w:sz w:val="24"/>
          <w:szCs w:val="24"/>
        </w:rPr>
        <w:t>, that si</w:t>
      </w:r>
      <w:r w:rsidR="000A372A" w:rsidRPr="00631743">
        <w:rPr>
          <w:rFonts w:ascii="Arial" w:eastAsia="Calibri" w:hAnsi="Arial" w:cs="Arial"/>
          <w:color w:val="000000" w:themeColor="text1"/>
          <w:sz w:val="24"/>
          <w:szCs w:val="24"/>
        </w:rPr>
        <w:t>nce</w:t>
      </w:r>
      <w:r w:rsidRPr="00631743">
        <w:rPr>
          <w:rFonts w:ascii="Arial" w:eastAsia="Calibri" w:hAnsi="Arial" w:cs="Arial"/>
          <w:color w:val="000000" w:themeColor="text1"/>
          <w:sz w:val="24"/>
          <w:szCs w:val="24"/>
        </w:rPr>
        <w:t xml:space="preserve"> Viljoen was a foreign national they needed to structure the shareholding in the company in the ratio </w:t>
      </w:r>
      <w:r w:rsidR="000325B2" w:rsidRPr="00631743">
        <w:rPr>
          <w:rFonts w:ascii="Arial" w:eastAsia="Calibri" w:hAnsi="Arial" w:cs="Arial"/>
          <w:color w:val="000000" w:themeColor="text1"/>
          <w:sz w:val="24"/>
          <w:szCs w:val="24"/>
        </w:rPr>
        <w:t xml:space="preserve">of 51% for </w:t>
      </w:r>
      <w:r w:rsidR="000A372A" w:rsidRPr="00631743">
        <w:rPr>
          <w:rFonts w:ascii="Arial" w:eastAsia="Calibri" w:hAnsi="Arial" w:cs="Arial"/>
          <w:color w:val="000000" w:themeColor="text1"/>
          <w:sz w:val="24"/>
          <w:szCs w:val="24"/>
        </w:rPr>
        <w:t>Denker and 49% for</w:t>
      </w:r>
      <w:r w:rsidRPr="00631743">
        <w:rPr>
          <w:rFonts w:ascii="Arial" w:eastAsia="Calibri" w:hAnsi="Arial" w:cs="Arial"/>
          <w:color w:val="000000" w:themeColor="text1"/>
          <w:sz w:val="24"/>
          <w:szCs w:val="24"/>
        </w:rPr>
        <w:t xml:space="preserve"> Viljoen. </w:t>
      </w:r>
    </w:p>
    <w:p w:rsidR="003C0680" w:rsidRPr="00631743" w:rsidRDefault="00A40DC5" w:rsidP="003C0680">
      <w:pPr>
        <w:spacing w:before="100" w:beforeAutospacing="1" w:after="100" w:afterAutospacing="1" w:line="480" w:lineRule="auto"/>
        <w:jc w:val="both"/>
        <w:rPr>
          <w:rFonts w:ascii="Arial" w:eastAsia="Calibri" w:hAnsi="Arial" w:cs="Arial"/>
          <w:color w:val="000000" w:themeColor="text1"/>
          <w:sz w:val="24"/>
          <w:szCs w:val="24"/>
          <w:u w:val="single"/>
        </w:rPr>
      </w:pPr>
      <w:r w:rsidRPr="00631743">
        <w:rPr>
          <w:rFonts w:ascii="Arial" w:eastAsia="Calibri" w:hAnsi="Arial" w:cs="Arial"/>
          <w:color w:val="000000" w:themeColor="text1"/>
          <w:sz w:val="24"/>
          <w:szCs w:val="24"/>
        </w:rPr>
        <w:t>[1</w:t>
      </w:r>
      <w:r w:rsidR="00106F89" w:rsidRPr="00631743">
        <w:rPr>
          <w:rFonts w:ascii="Arial" w:eastAsia="Calibri" w:hAnsi="Arial" w:cs="Arial"/>
          <w:color w:val="000000" w:themeColor="text1"/>
          <w:sz w:val="24"/>
          <w:szCs w:val="24"/>
        </w:rPr>
        <w:t>4</w:t>
      </w:r>
      <w:r w:rsidR="00135EDC"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After</w:t>
      </w:r>
      <w:r w:rsidRPr="00631743">
        <w:rPr>
          <w:rFonts w:ascii="Arial" w:eastAsia="Calibri" w:hAnsi="Arial" w:cs="Arial"/>
          <w:color w:val="000000" w:themeColor="text1"/>
          <w:sz w:val="24"/>
          <w:szCs w:val="24"/>
        </w:rPr>
        <w:t xml:space="preserve"> the 51/49 split</w:t>
      </w:r>
      <w:r w:rsidR="002F0A3B" w:rsidRPr="00631743">
        <w:rPr>
          <w:rFonts w:ascii="Arial" w:eastAsia="Calibri" w:hAnsi="Arial" w:cs="Arial"/>
          <w:color w:val="000000" w:themeColor="text1"/>
          <w:sz w:val="24"/>
          <w:szCs w:val="24"/>
        </w:rPr>
        <w:t>,</w:t>
      </w:r>
      <w:r w:rsidRPr="00631743">
        <w:rPr>
          <w:rFonts w:ascii="Arial" w:eastAsia="Calibri" w:hAnsi="Arial" w:cs="Arial"/>
          <w:color w:val="000000" w:themeColor="text1"/>
          <w:sz w:val="24"/>
          <w:szCs w:val="24"/>
        </w:rPr>
        <w:t xml:space="preserve"> </w:t>
      </w:r>
      <w:r w:rsidR="000A372A" w:rsidRPr="00631743">
        <w:rPr>
          <w:rFonts w:ascii="Arial" w:eastAsia="Calibri" w:hAnsi="Arial" w:cs="Arial"/>
          <w:color w:val="000000" w:themeColor="text1"/>
          <w:sz w:val="24"/>
          <w:szCs w:val="24"/>
        </w:rPr>
        <w:t>but before the transfer date, Viljoen informed</w:t>
      </w:r>
      <w:r w:rsidR="001C5EE7" w:rsidRPr="00631743">
        <w:rPr>
          <w:rFonts w:ascii="Arial" w:eastAsia="Calibri" w:hAnsi="Arial" w:cs="Arial"/>
          <w:color w:val="000000" w:themeColor="text1"/>
          <w:sz w:val="24"/>
          <w:szCs w:val="24"/>
        </w:rPr>
        <w:t xml:space="preserve"> Denker </w:t>
      </w:r>
      <w:r w:rsidR="00135EDC" w:rsidRPr="00631743">
        <w:rPr>
          <w:rFonts w:ascii="Arial" w:eastAsia="Calibri" w:hAnsi="Arial" w:cs="Arial"/>
          <w:color w:val="000000" w:themeColor="text1"/>
          <w:sz w:val="24"/>
          <w:szCs w:val="24"/>
        </w:rPr>
        <w:t>in</w:t>
      </w:r>
      <w:r w:rsidR="001C5EE7" w:rsidRPr="00631743">
        <w:rPr>
          <w:rFonts w:ascii="Arial" w:eastAsia="Calibri" w:hAnsi="Arial" w:cs="Arial"/>
          <w:color w:val="000000" w:themeColor="text1"/>
          <w:sz w:val="24"/>
          <w:szCs w:val="24"/>
        </w:rPr>
        <w:t xml:space="preserve"> January</w:t>
      </w:r>
      <w:r w:rsidR="005E3C95" w:rsidRPr="00631743">
        <w:rPr>
          <w:rFonts w:ascii="Arial" w:eastAsia="Calibri" w:hAnsi="Arial" w:cs="Arial"/>
          <w:color w:val="000000" w:themeColor="text1"/>
          <w:sz w:val="24"/>
          <w:szCs w:val="24"/>
        </w:rPr>
        <w:t xml:space="preserve"> 2012</w:t>
      </w:r>
      <w:r w:rsidRPr="00631743">
        <w:rPr>
          <w:rFonts w:ascii="Arial" w:eastAsia="Calibri" w:hAnsi="Arial" w:cs="Arial"/>
          <w:color w:val="000000" w:themeColor="text1"/>
          <w:sz w:val="24"/>
          <w:szCs w:val="24"/>
        </w:rPr>
        <w:t xml:space="preserve"> that he had sourced legal advice to the effect that s 58(1)(</w:t>
      </w:r>
      <w:r w:rsidRPr="00631743">
        <w:rPr>
          <w:rFonts w:ascii="Arial" w:eastAsia="Calibri" w:hAnsi="Arial" w:cs="Arial"/>
          <w:i/>
          <w:color w:val="000000" w:themeColor="text1"/>
          <w:sz w:val="24"/>
          <w:szCs w:val="24"/>
        </w:rPr>
        <w:t>a</w:t>
      </w:r>
      <w:r w:rsidRPr="00631743">
        <w:rPr>
          <w:rFonts w:ascii="Arial" w:eastAsia="Calibri" w:hAnsi="Arial" w:cs="Arial"/>
          <w:color w:val="000000" w:themeColor="text1"/>
          <w:sz w:val="24"/>
          <w:szCs w:val="24"/>
        </w:rPr>
        <w:t>) of the Land Reform Act wo</w:t>
      </w:r>
      <w:r w:rsidR="000A372A" w:rsidRPr="00631743">
        <w:rPr>
          <w:rFonts w:ascii="Arial" w:eastAsia="Calibri" w:hAnsi="Arial" w:cs="Arial"/>
          <w:color w:val="000000" w:themeColor="text1"/>
          <w:sz w:val="24"/>
          <w:szCs w:val="24"/>
        </w:rPr>
        <w:t xml:space="preserve">uld not be violated if he </w:t>
      </w:r>
      <w:r w:rsidR="00DE2FC1" w:rsidRPr="00631743">
        <w:rPr>
          <w:rFonts w:ascii="Arial" w:eastAsia="Calibri" w:hAnsi="Arial" w:cs="Arial"/>
          <w:color w:val="000000" w:themeColor="text1"/>
          <w:sz w:val="24"/>
          <w:szCs w:val="24"/>
        </w:rPr>
        <w:t>and Denker</w:t>
      </w:r>
      <w:r w:rsidRPr="00631743">
        <w:rPr>
          <w:rFonts w:ascii="Arial" w:eastAsia="Calibri" w:hAnsi="Arial" w:cs="Arial"/>
          <w:color w:val="000000" w:themeColor="text1"/>
          <w:sz w:val="24"/>
          <w:szCs w:val="24"/>
        </w:rPr>
        <w:t xml:space="preserve"> held the shares in the company in equal proportion. It</w:t>
      </w:r>
      <w:r w:rsidR="000A372A" w:rsidRPr="00631743">
        <w:rPr>
          <w:rFonts w:ascii="Arial" w:eastAsia="Calibri" w:hAnsi="Arial" w:cs="Arial"/>
          <w:color w:val="000000" w:themeColor="text1"/>
          <w:sz w:val="24"/>
          <w:szCs w:val="24"/>
        </w:rPr>
        <w:t xml:space="preserve"> is that information given by Viljoen to </w:t>
      </w:r>
      <w:r w:rsidRPr="00631743">
        <w:rPr>
          <w:rFonts w:ascii="Arial" w:eastAsia="Calibri" w:hAnsi="Arial" w:cs="Arial"/>
          <w:color w:val="000000" w:themeColor="text1"/>
          <w:sz w:val="24"/>
          <w:szCs w:val="24"/>
        </w:rPr>
        <w:t>Denker and which resulted in the alteration of the share register to reflect a 50/50 per cent shareholding in the company as at the transfer date,</w:t>
      </w:r>
      <w:r w:rsidR="00F2343A" w:rsidRPr="00631743">
        <w:rPr>
          <w:rFonts w:ascii="Arial" w:eastAsia="Calibri" w:hAnsi="Arial" w:cs="Arial"/>
          <w:color w:val="000000" w:themeColor="text1"/>
          <w:sz w:val="24"/>
          <w:szCs w:val="24"/>
        </w:rPr>
        <w:t xml:space="preserve"> </w:t>
      </w:r>
      <w:r w:rsidRPr="00631743">
        <w:rPr>
          <w:rFonts w:ascii="Arial" w:eastAsia="Calibri" w:hAnsi="Arial" w:cs="Arial"/>
          <w:color w:val="000000" w:themeColor="text1"/>
          <w:sz w:val="24"/>
          <w:szCs w:val="24"/>
        </w:rPr>
        <w:t>that is at the heart of the litigation now before court.</w:t>
      </w:r>
      <w:r w:rsidR="000A372A" w:rsidRPr="00631743">
        <w:rPr>
          <w:rFonts w:ascii="Arial" w:eastAsia="Calibri" w:hAnsi="Arial" w:cs="Arial"/>
          <w:color w:val="000000" w:themeColor="text1"/>
          <w:sz w:val="24"/>
          <w:szCs w:val="24"/>
        </w:rPr>
        <w:t xml:space="preserve"> According to </w:t>
      </w:r>
      <w:r w:rsidR="00DF7F92" w:rsidRPr="00631743">
        <w:rPr>
          <w:rFonts w:ascii="Arial" w:eastAsia="Calibri" w:hAnsi="Arial" w:cs="Arial"/>
          <w:color w:val="000000" w:themeColor="text1"/>
          <w:sz w:val="24"/>
          <w:szCs w:val="24"/>
        </w:rPr>
        <w:t>Denker</w:t>
      </w:r>
      <w:r w:rsidR="000A372A" w:rsidRPr="00631743">
        <w:rPr>
          <w:rFonts w:ascii="Arial" w:eastAsia="Calibri" w:hAnsi="Arial" w:cs="Arial"/>
          <w:color w:val="000000" w:themeColor="text1"/>
          <w:sz w:val="24"/>
          <w:szCs w:val="24"/>
        </w:rPr>
        <w:t xml:space="preserve">, but </w:t>
      </w:r>
      <w:r w:rsidR="003C0680" w:rsidRPr="00631743">
        <w:rPr>
          <w:rFonts w:ascii="Arial" w:eastAsia="Calibri" w:hAnsi="Arial" w:cs="Arial"/>
          <w:color w:val="000000" w:themeColor="text1"/>
          <w:sz w:val="24"/>
          <w:szCs w:val="24"/>
        </w:rPr>
        <w:t>f</w:t>
      </w:r>
      <w:r w:rsidR="000A372A" w:rsidRPr="00631743">
        <w:rPr>
          <w:rFonts w:ascii="Arial" w:eastAsia="Calibri" w:hAnsi="Arial" w:cs="Arial"/>
          <w:color w:val="000000" w:themeColor="text1"/>
          <w:sz w:val="24"/>
          <w:szCs w:val="24"/>
        </w:rPr>
        <w:t>or the advice given by Viljoen</w:t>
      </w:r>
      <w:r w:rsidR="00DF7F92" w:rsidRPr="00631743">
        <w:rPr>
          <w:rFonts w:ascii="Arial" w:eastAsia="Calibri" w:hAnsi="Arial" w:cs="Arial"/>
          <w:color w:val="000000" w:themeColor="text1"/>
          <w:sz w:val="24"/>
          <w:szCs w:val="24"/>
        </w:rPr>
        <w:t>,</w:t>
      </w:r>
      <w:r w:rsidR="000A372A" w:rsidRPr="00631743">
        <w:rPr>
          <w:rFonts w:ascii="Arial" w:eastAsia="Calibri" w:hAnsi="Arial" w:cs="Arial"/>
          <w:color w:val="000000" w:themeColor="text1"/>
          <w:sz w:val="24"/>
          <w:szCs w:val="24"/>
        </w:rPr>
        <w:t xml:space="preserve"> he would not have transferred his 1% share to the Michael Viljoen Trust.</w:t>
      </w:r>
      <w:r w:rsidR="003C0680" w:rsidRPr="00631743">
        <w:rPr>
          <w:rFonts w:ascii="Arial" w:eastAsia="Calibri" w:hAnsi="Arial" w:cs="Arial"/>
          <w:color w:val="000000" w:themeColor="text1"/>
          <w:sz w:val="24"/>
          <w:szCs w:val="24"/>
          <w:u w:val="single"/>
        </w:rPr>
        <w:t xml:space="preserve"> </w:t>
      </w:r>
    </w:p>
    <w:p w:rsidR="003C0680" w:rsidRPr="00631743" w:rsidRDefault="003C0680" w:rsidP="003C0680">
      <w:pPr>
        <w:spacing w:before="100" w:beforeAutospacing="1" w:after="100" w:afterAutospacing="1" w:line="480" w:lineRule="auto"/>
        <w:jc w:val="both"/>
        <w:rPr>
          <w:rFonts w:ascii="Arial" w:eastAsia="Calibri" w:hAnsi="Arial" w:cs="Arial"/>
          <w:color w:val="000000" w:themeColor="text1"/>
          <w:sz w:val="24"/>
          <w:szCs w:val="24"/>
          <w:u w:val="single"/>
        </w:rPr>
      </w:pPr>
      <w:r w:rsidRPr="00631743">
        <w:rPr>
          <w:rFonts w:ascii="Arial" w:eastAsia="Calibri" w:hAnsi="Arial" w:cs="Arial"/>
          <w:color w:val="000000" w:themeColor="text1"/>
          <w:sz w:val="24"/>
          <w:szCs w:val="24"/>
          <w:u w:val="single"/>
        </w:rPr>
        <w:lastRenderedPageBreak/>
        <w:t>The relief sought by Denker</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[1</w:t>
      </w:r>
      <w:r w:rsidR="00106F89" w:rsidRPr="00631743">
        <w:rPr>
          <w:rFonts w:ascii="Arial" w:eastAsia="Calibri" w:hAnsi="Arial" w:cs="Arial"/>
          <w:color w:val="000000" w:themeColor="text1"/>
          <w:sz w:val="24"/>
          <w:szCs w:val="24"/>
        </w:rPr>
        <w:t>5</w:t>
      </w:r>
      <w:r w:rsidR="000A372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Pr="00631743">
        <w:rPr>
          <w:rFonts w:ascii="Arial" w:eastAsia="Calibri" w:hAnsi="Arial" w:cs="Arial"/>
          <w:color w:val="000000" w:themeColor="text1"/>
          <w:sz w:val="24"/>
          <w:szCs w:val="24"/>
        </w:rPr>
        <w:t>Denker approached the High Court on notice of motion to reverse the</w:t>
      </w:r>
      <w:r w:rsidR="00DF7F92" w:rsidRPr="00631743">
        <w:rPr>
          <w:rFonts w:ascii="Arial" w:eastAsia="Calibri" w:hAnsi="Arial" w:cs="Arial"/>
          <w:color w:val="000000" w:themeColor="text1"/>
          <w:sz w:val="24"/>
          <w:szCs w:val="24"/>
        </w:rPr>
        <w:t xml:space="preserve"> equal</w:t>
      </w:r>
      <w:r w:rsidRPr="00631743">
        <w:rPr>
          <w:rFonts w:ascii="Arial" w:eastAsia="Calibri" w:hAnsi="Arial" w:cs="Arial"/>
          <w:color w:val="000000" w:themeColor="text1"/>
          <w:sz w:val="24"/>
          <w:szCs w:val="24"/>
        </w:rPr>
        <w:t xml:space="preserve"> shareholding </w:t>
      </w:r>
      <w:r w:rsidR="00DF7F92" w:rsidRPr="00631743">
        <w:rPr>
          <w:rFonts w:ascii="Arial" w:eastAsia="Calibri" w:hAnsi="Arial" w:cs="Arial"/>
          <w:color w:val="000000" w:themeColor="text1"/>
          <w:sz w:val="24"/>
          <w:szCs w:val="24"/>
        </w:rPr>
        <w:t xml:space="preserve">distribution </w:t>
      </w:r>
      <w:r w:rsidRPr="00631743">
        <w:rPr>
          <w:rFonts w:ascii="Arial" w:eastAsia="Calibri" w:hAnsi="Arial" w:cs="Arial"/>
          <w:color w:val="000000" w:themeColor="text1"/>
          <w:sz w:val="24"/>
          <w:szCs w:val="24"/>
        </w:rPr>
        <w:t xml:space="preserve">in the </w:t>
      </w:r>
      <w:r w:rsidR="00F2343A" w:rsidRPr="00631743">
        <w:rPr>
          <w:rFonts w:ascii="Arial" w:eastAsia="Calibri" w:hAnsi="Arial" w:cs="Arial"/>
          <w:color w:val="000000" w:themeColor="text1"/>
          <w:sz w:val="24"/>
          <w:szCs w:val="24"/>
        </w:rPr>
        <w:t>company as at the transfer date</w:t>
      </w:r>
      <w:r w:rsidRPr="00631743">
        <w:rPr>
          <w:rFonts w:ascii="Arial" w:eastAsia="Calibri" w:hAnsi="Arial" w:cs="Arial"/>
          <w:color w:val="000000" w:themeColor="text1"/>
          <w:sz w:val="24"/>
          <w:szCs w:val="24"/>
        </w:rPr>
        <w:t xml:space="preserve"> to 51/49. He made clear in his </w:t>
      </w:r>
      <w:r w:rsidR="00DF7F92" w:rsidRPr="00631743">
        <w:rPr>
          <w:rFonts w:ascii="Arial" w:eastAsia="Calibri" w:hAnsi="Arial" w:cs="Arial"/>
          <w:color w:val="000000" w:themeColor="text1"/>
          <w:sz w:val="24"/>
          <w:szCs w:val="24"/>
        </w:rPr>
        <w:t>founding affidavit</w:t>
      </w:r>
      <w:r w:rsidRPr="00631743">
        <w:rPr>
          <w:rFonts w:ascii="Arial" w:eastAsia="Calibri" w:hAnsi="Arial" w:cs="Arial"/>
          <w:color w:val="000000" w:themeColor="text1"/>
          <w:sz w:val="24"/>
          <w:szCs w:val="24"/>
        </w:rPr>
        <w:t xml:space="preserve"> that the reversal was necessary to avoid the </w:t>
      </w:r>
      <w:r w:rsidR="005B2A65" w:rsidRPr="00631743">
        <w:rPr>
          <w:rFonts w:ascii="Arial" w:eastAsia="Calibri" w:hAnsi="Arial" w:cs="Arial"/>
          <w:color w:val="000000" w:themeColor="text1"/>
          <w:sz w:val="24"/>
          <w:szCs w:val="24"/>
        </w:rPr>
        <w:t>acquisition</w:t>
      </w:r>
      <w:r w:rsidRPr="00631743">
        <w:rPr>
          <w:rFonts w:ascii="Arial" w:eastAsia="Calibri" w:hAnsi="Arial" w:cs="Arial"/>
          <w:color w:val="000000" w:themeColor="text1"/>
          <w:sz w:val="24"/>
          <w:szCs w:val="24"/>
        </w:rPr>
        <w:t xml:space="preserve"> of farm Ameib by the company be</w:t>
      </w:r>
      <w:r w:rsidR="005B2A65" w:rsidRPr="00631743">
        <w:rPr>
          <w:rFonts w:ascii="Arial" w:eastAsia="Calibri" w:hAnsi="Arial" w:cs="Arial"/>
          <w:color w:val="000000" w:themeColor="text1"/>
          <w:sz w:val="24"/>
          <w:szCs w:val="24"/>
        </w:rPr>
        <w:t>ing void as a result of s 58(1)</w:t>
      </w:r>
      <w:r w:rsidR="005B2A65" w:rsidRPr="00631743">
        <w:rPr>
          <w:rFonts w:ascii="Arial" w:eastAsia="Calibri" w:hAnsi="Arial" w:cs="Arial"/>
          <w:i/>
          <w:color w:val="000000" w:themeColor="text1"/>
          <w:sz w:val="24"/>
          <w:szCs w:val="24"/>
        </w:rPr>
        <w:t>(</w:t>
      </w:r>
      <w:r w:rsidRPr="00631743">
        <w:rPr>
          <w:rFonts w:ascii="Arial" w:eastAsia="Calibri" w:hAnsi="Arial" w:cs="Arial"/>
          <w:i/>
          <w:color w:val="000000" w:themeColor="text1"/>
          <w:sz w:val="24"/>
          <w:szCs w:val="24"/>
        </w:rPr>
        <w:t>a)</w:t>
      </w:r>
      <w:r w:rsidR="005B2A65" w:rsidRPr="00631743">
        <w:rPr>
          <w:rFonts w:ascii="Arial" w:eastAsia="Calibri" w:hAnsi="Arial" w:cs="Arial"/>
          <w:i/>
          <w:color w:val="000000" w:themeColor="text1"/>
          <w:sz w:val="24"/>
          <w:szCs w:val="24"/>
        </w:rPr>
        <w:t>.</w:t>
      </w:r>
      <w:r w:rsidR="009F640E" w:rsidRPr="00631743">
        <w:rPr>
          <w:rFonts w:ascii="Arial" w:eastAsia="Calibri" w:hAnsi="Arial" w:cs="Arial"/>
          <w:i/>
          <w:color w:val="000000" w:themeColor="text1"/>
          <w:sz w:val="24"/>
          <w:szCs w:val="24"/>
        </w:rPr>
        <w:t xml:space="preserve"> </w:t>
      </w:r>
      <w:r w:rsidRPr="00631743">
        <w:rPr>
          <w:rFonts w:ascii="Arial" w:eastAsia="Calibri" w:hAnsi="Arial" w:cs="Arial"/>
          <w:color w:val="000000" w:themeColor="text1"/>
          <w:sz w:val="24"/>
          <w:szCs w:val="24"/>
        </w:rPr>
        <w:t>Denker anchored his relief on s 122 (1) o</w:t>
      </w:r>
      <w:r w:rsidR="000325B2" w:rsidRPr="00631743">
        <w:rPr>
          <w:rFonts w:ascii="Arial" w:eastAsia="Calibri" w:hAnsi="Arial" w:cs="Arial"/>
          <w:color w:val="000000" w:themeColor="text1"/>
          <w:sz w:val="24"/>
          <w:szCs w:val="24"/>
        </w:rPr>
        <w:t>f the Companies Act</w:t>
      </w:r>
      <w:r w:rsidRPr="00631743">
        <w:rPr>
          <w:rFonts w:ascii="Arial" w:eastAsia="Calibri" w:hAnsi="Arial" w:cs="Arial"/>
          <w:color w:val="000000" w:themeColor="text1"/>
          <w:sz w:val="24"/>
          <w:szCs w:val="24"/>
        </w:rPr>
        <w:t xml:space="preserve">. </w:t>
      </w:r>
    </w:p>
    <w:p w:rsidR="00A40DC5" w:rsidRPr="00631743" w:rsidRDefault="00A40DC5" w:rsidP="004012CE">
      <w:pPr>
        <w:spacing w:before="100" w:beforeAutospacing="1" w:after="100" w:afterAutospacing="1" w:line="48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[1</w:t>
      </w:r>
      <w:r w:rsidR="00106F89" w:rsidRPr="00631743">
        <w:rPr>
          <w:rFonts w:ascii="Arial" w:eastAsia="Calibri" w:hAnsi="Arial" w:cs="Arial"/>
          <w:color w:val="000000" w:themeColor="text1"/>
          <w:sz w:val="24"/>
          <w:szCs w:val="24"/>
        </w:rPr>
        <w:t>6</w:t>
      </w:r>
      <w:r w:rsidR="00135EDC"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According</w:t>
      </w:r>
      <w:r w:rsidRPr="00631743">
        <w:rPr>
          <w:rFonts w:ascii="Arial" w:eastAsia="Calibri" w:hAnsi="Arial" w:cs="Arial"/>
          <w:color w:val="000000" w:themeColor="text1"/>
          <w:sz w:val="24"/>
          <w:szCs w:val="24"/>
        </w:rPr>
        <w:t xml:space="preserve"> to s 122(1) </w:t>
      </w:r>
      <w:r w:rsidR="003C0680" w:rsidRPr="00631743">
        <w:rPr>
          <w:rFonts w:ascii="Arial" w:eastAsia="Calibri" w:hAnsi="Arial" w:cs="Arial"/>
          <w:color w:val="000000" w:themeColor="text1"/>
          <w:sz w:val="24"/>
          <w:szCs w:val="24"/>
        </w:rPr>
        <w:t xml:space="preserve">and (3) </w:t>
      </w:r>
      <w:r w:rsidRPr="00631743">
        <w:rPr>
          <w:rFonts w:ascii="Arial" w:eastAsia="Calibri" w:hAnsi="Arial" w:cs="Arial"/>
          <w:color w:val="000000" w:themeColor="text1"/>
          <w:sz w:val="24"/>
          <w:szCs w:val="24"/>
        </w:rPr>
        <w:t>of the Companies Act:</w:t>
      </w:r>
    </w:p>
    <w:p w:rsidR="00A40DC5" w:rsidRPr="00631743" w:rsidRDefault="00A40DC5" w:rsidP="00631743">
      <w:pPr>
        <w:spacing w:after="0" w:line="360" w:lineRule="auto"/>
        <w:ind w:firstLine="720"/>
        <w:jc w:val="both"/>
        <w:rPr>
          <w:rFonts w:ascii="Arial" w:eastAsia="Calibri" w:hAnsi="Arial" w:cs="Arial"/>
          <w:color w:val="000000" w:themeColor="text1"/>
        </w:rPr>
      </w:pPr>
      <w:r w:rsidRPr="00631743">
        <w:rPr>
          <w:rFonts w:ascii="Arial" w:eastAsia="Calibri" w:hAnsi="Arial" w:cs="Arial"/>
          <w:color w:val="000000" w:themeColor="text1"/>
        </w:rPr>
        <w:t>‘(1) If –</w:t>
      </w:r>
    </w:p>
    <w:p w:rsidR="00A40DC5" w:rsidRPr="00631743" w:rsidRDefault="00A40DC5" w:rsidP="00631743">
      <w:pPr>
        <w:pStyle w:val="ListParagraph"/>
        <w:numPr>
          <w:ilvl w:val="0"/>
          <w:numId w:val="18"/>
        </w:numPr>
        <w:spacing w:after="0" w:line="360" w:lineRule="auto"/>
        <w:jc w:val="both"/>
        <w:rPr>
          <w:rFonts w:ascii="Arial" w:eastAsia="Calibri" w:hAnsi="Arial" w:cs="Arial"/>
          <w:color w:val="000000" w:themeColor="text1"/>
        </w:rPr>
      </w:pPr>
      <w:r w:rsidRPr="00631743">
        <w:rPr>
          <w:rFonts w:ascii="Arial" w:eastAsia="Calibri" w:hAnsi="Arial" w:cs="Arial"/>
          <w:color w:val="000000" w:themeColor="text1"/>
        </w:rPr>
        <w:t xml:space="preserve">the name of any person is, </w:t>
      </w:r>
      <w:r w:rsidRPr="00631743">
        <w:rPr>
          <w:rFonts w:ascii="Arial" w:eastAsia="Calibri" w:hAnsi="Arial" w:cs="Arial"/>
          <w:color w:val="000000" w:themeColor="text1"/>
          <w:u w:val="single"/>
        </w:rPr>
        <w:t>without just cause</w:t>
      </w:r>
      <w:r w:rsidRPr="00631743">
        <w:rPr>
          <w:rFonts w:ascii="Arial" w:eastAsia="Calibri" w:hAnsi="Arial" w:cs="Arial"/>
          <w:color w:val="000000" w:themeColor="text1"/>
        </w:rPr>
        <w:t>, entered in or omitted from the register of members of a company; or</w:t>
      </w:r>
    </w:p>
    <w:p w:rsidR="00A40DC5" w:rsidRPr="00631743" w:rsidRDefault="00A40DC5" w:rsidP="00631743">
      <w:pPr>
        <w:pStyle w:val="ListParagraph"/>
        <w:numPr>
          <w:ilvl w:val="0"/>
          <w:numId w:val="18"/>
        </w:numPr>
        <w:spacing w:after="0" w:line="360" w:lineRule="auto"/>
        <w:jc w:val="both"/>
        <w:rPr>
          <w:rFonts w:ascii="Arial" w:eastAsia="Calibri" w:hAnsi="Arial" w:cs="Arial"/>
          <w:color w:val="000000" w:themeColor="text1"/>
        </w:rPr>
      </w:pPr>
      <w:r w:rsidRPr="00631743">
        <w:rPr>
          <w:rFonts w:ascii="Arial" w:eastAsia="Calibri" w:hAnsi="Arial" w:cs="Arial"/>
          <w:color w:val="000000" w:themeColor="text1"/>
        </w:rPr>
        <w:t>default is made or unnecessary delay takes place in entering in the register the fact of any person having ceased to be a member,</w:t>
      </w:r>
    </w:p>
    <w:p w:rsidR="00A40DC5" w:rsidRPr="00631743" w:rsidRDefault="00A40DC5" w:rsidP="00631743">
      <w:pPr>
        <w:spacing w:after="0" w:line="360" w:lineRule="auto"/>
        <w:ind w:left="720"/>
        <w:jc w:val="both"/>
        <w:rPr>
          <w:rFonts w:ascii="Arial" w:eastAsia="Calibri" w:hAnsi="Arial" w:cs="Arial"/>
          <w:color w:val="000000" w:themeColor="text1"/>
        </w:rPr>
      </w:pPr>
      <w:r w:rsidRPr="00631743">
        <w:rPr>
          <w:rFonts w:ascii="Arial" w:eastAsia="Calibri" w:hAnsi="Arial" w:cs="Arial"/>
          <w:color w:val="000000" w:themeColor="text1"/>
        </w:rPr>
        <w:t>the person concerned or the company or any member of the company, may apply to the Court for rectification of the register.</w:t>
      </w:r>
    </w:p>
    <w:p w:rsidR="00A40DC5" w:rsidRPr="00631743" w:rsidRDefault="00596F82" w:rsidP="00631743">
      <w:pPr>
        <w:spacing w:after="0" w:line="360" w:lineRule="auto"/>
        <w:ind w:left="720"/>
        <w:jc w:val="both"/>
        <w:rPr>
          <w:rFonts w:ascii="Arial" w:eastAsia="Calibri" w:hAnsi="Arial" w:cs="Arial"/>
          <w:color w:val="000000" w:themeColor="text1"/>
        </w:rPr>
      </w:pPr>
      <w:r w:rsidRPr="00631743">
        <w:rPr>
          <w:rFonts w:ascii="Arial" w:eastAsia="Calibri" w:hAnsi="Arial" w:cs="Arial"/>
          <w:color w:val="000000" w:themeColor="text1"/>
        </w:rPr>
        <w:t xml:space="preserve">. . . </w:t>
      </w:r>
    </w:p>
    <w:p w:rsidR="00F2343A" w:rsidRPr="00631743" w:rsidRDefault="00A40DC5" w:rsidP="00631743">
      <w:pPr>
        <w:spacing w:after="0" w:line="360" w:lineRule="auto"/>
        <w:ind w:left="720"/>
        <w:jc w:val="both"/>
        <w:rPr>
          <w:rFonts w:ascii="Arial" w:eastAsia="Calibri" w:hAnsi="Arial" w:cs="Arial"/>
          <w:color w:val="000000" w:themeColor="text1"/>
        </w:rPr>
      </w:pPr>
      <w:r w:rsidRPr="00631743">
        <w:rPr>
          <w:rFonts w:ascii="Arial" w:eastAsia="Calibri" w:hAnsi="Arial" w:cs="Arial"/>
          <w:color w:val="000000" w:themeColor="text1"/>
        </w:rPr>
        <w:t>(3) On any application under the section the Court may decide any question relating to title of any person who is a party to the application to have his or her name entered in or omitted from the register concerned, whether the question arises between the members or alleged members or between members and alleged members on the one hand and the company on the other hand, and generally may decide any question necessary or expedient to be decided for the rectification of the register’. (Emphasis added).</w:t>
      </w:r>
    </w:p>
    <w:p w:rsidR="00A40DC5" w:rsidRPr="00631743" w:rsidRDefault="003C0680" w:rsidP="00631743">
      <w:pPr>
        <w:spacing w:after="0" w:line="360" w:lineRule="auto"/>
        <w:jc w:val="both"/>
        <w:rPr>
          <w:rFonts w:ascii="Arial" w:eastAsia="Calibri" w:hAnsi="Arial" w:cs="Arial"/>
          <w:color w:val="000000" w:themeColor="text1"/>
          <w:sz w:val="24"/>
          <w:szCs w:val="24"/>
        </w:rPr>
      </w:pPr>
      <w:r w:rsidRPr="00631743">
        <w:rPr>
          <w:rFonts w:ascii="Arial" w:eastAsia="Calibri" w:hAnsi="Arial" w:cs="Arial"/>
          <w:color w:val="000000" w:themeColor="text1"/>
          <w:sz w:val="24"/>
          <w:szCs w:val="24"/>
        </w:rPr>
        <w:t xml:space="preserve"> </w:t>
      </w:r>
      <w:r w:rsidR="00A40DC5" w:rsidRPr="00631743">
        <w:rPr>
          <w:rFonts w:ascii="Arial" w:eastAsia="Calibri" w:hAnsi="Arial" w:cs="Arial"/>
          <w:color w:val="000000" w:themeColor="text1"/>
          <w:sz w:val="24"/>
          <w:szCs w:val="24"/>
        </w:rPr>
        <w:t>[1</w:t>
      </w:r>
      <w:r w:rsidR="00106F89" w:rsidRPr="00631743">
        <w:rPr>
          <w:rFonts w:ascii="Arial" w:eastAsia="Calibri" w:hAnsi="Arial" w:cs="Arial"/>
          <w:color w:val="000000" w:themeColor="text1"/>
          <w:sz w:val="24"/>
          <w:szCs w:val="24"/>
        </w:rPr>
        <w:t>7</w:t>
      </w:r>
      <w:r w:rsidR="00F2343A" w:rsidRPr="00631743">
        <w:rPr>
          <w:rFonts w:ascii="Arial" w:eastAsia="Calibri" w:hAnsi="Arial" w:cs="Arial"/>
          <w:color w:val="000000" w:themeColor="text1"/>
          <w:sz w:val="24"/>
          <w:szCs w:val="24"/>
        </w:rPr>
        <w:t>]</w:t>
      </w:r>
      <w:r w:rsidR="00F2343A" w:rsidRPr="00631743">
        <w:rPr>
          <w:rFonts w:ascii="Arial" w:eastAsia="Calibri" w:hAnsi="Arial" w:cs="Arial"/>
          <w:color w:val="000000" w:themeColor="text1"/>
          <w:sz w:val="24"/>
          <w:szCs w:val="24"/>
        </w:rPr>
        <w:tab/>
      </w:r>
      <w:r w:rsidR="00135EDC" w:rsidRPr="00631743">
        <w:rPr>
          <w:rFonts w:ascii="Arial" w:eastAsia="Calibri" w:hAnsi="Arial" w:cs="Arial"/>
          <w:color w:val="000000" w:themeColor="text1"/>
          <w:sz w:val="24"/>
          <w:szCs w:val="24"/>
        </w:rPr>
        <w:t>The</w:t>
      </w:r>
      <w:r w:rsidR="00DF7F92" w:rsidRPr="00631743">
        <w:rPr>
          <w:rFonts w:ascii="Arial" w:eastAsia="Calibri" w:hAnsi="Arial" w:cs="Arial"/>
          <w:color w:val="000000" w:themeColor="text1"/>
          <w:sz w:val="24"/>
          <w:szCs w:val="24"/>
        </w:rPr>
        <w:t xml:space="preserve"> relevant part of the relief </w:t>
      </w:r>
      <w:r w:rsidR="00A40DC5" w:rsidRPr="00631743">
        <w:rPr>
          <w:rFonts w:ascii="Arial" w:eastAsia="Calibri" w:hAnsi="Arial" w:cs="Arial"/>
          <w:color w:val="000000" w:themeColor="text1"/>
          <w:sz w:val="24"/>
          <w:szCs w:val="24"/>
        </w:rPr>
        <w:t xml:space="preserve">Denker sought reads as follows: </w:t>
      </w:r>
    </w:p>
    <w:p w:rsidR="00A40DC5" w:rsidRPr="00631743" w:rsidRDefault="00A40DC5" w:rsidP="00631743">
      <w:pPr>
        <w:spacing w:after="0" w:line="360" w:lineRule="auto"/>
        <w:ind w:left="1440" w:hanging="720"/>
        <w:jc w:val="both"/>
        <w:rPr>
          <w:rFonts w:ascii="Arial" w:eastAsia="Calibri" w:hAnsi="Arial" w:cs="Arial"/>
          <w:color w:val="000000" w:themeColor="text1"/>
        </w:rPr>
      </w:pPr>
      <w:r w:rsidRPr="00631743">
        <w:rPr>
          <w:rFonts w:ascii="Arial" w:eastAsia="Calibri" w:hAnsi="Arial" w:cs="Arial"/>
          <w:color w:val="000000" w:themeColor="text1"/>
        </w:rPr>
        <w:t xml:space="preserve">1. </w:t>
      </w:r>
      <w:r w:rsidR="008B7359" w:rsidRPr="00631743">
        <w:rPr>
          <w:rFonts w:ascii="Arial" w:eastAsia="Calibri" w:hAnsi="Arial" w:cs="Arial"/>
          <w:color w:val="000000" w:themeColor="text1"/>
        </w:rPr>
        <w:tab/>
      </w:r>
      <w:r w:rsidRPr="00631743">
        <w:rPr>
          <w:rFonts w:ascii="Arial" w:eastAsia="Calibri" w:hAnsi="Arial" w:cs="Arial"/>
          <w:color w:val="000000" w:themeColor="text1"/>
        </w:rPr>
        <w:t>An order declaring that the purported registration of transfer of the applicant’s one share to 5</w:t>
      </w:r>
      <w:r w:rsidRPr="00631743">
        <w:rPr>
          <w:rFonts w:ascii="Arial" w:eastAsia="Calibri" w:hAnsi="Arial" w:cs="Arial"/>
          <w:color w:val="000000" w:themeColor="text1"/>
          <w:vertAlign w:val="superscript"/>
        </w:rPr>
        <w:t>th</w:t>
      </w:r>
      <w:r w:rsidRPr="00631743">
        <w:rPr>
          <w:rFonts w:ascii="Arial" w:eastAsia="Calibri" w:hAnsi="Arial" w:cs="Arial"/>
          <w:color w:val="000000" w:themeColor="text1"/>
        </w:rPr>
        <w:t xml:space="preserve"> respondent on 25 January 2012 was unlawful and illegal.</w:t>
      </w:r>
    </w:p>
    <w:p w:rsidR="00A40DC5" w:rsidRPr="00631743" w:rsidRDefault="00A40DC5" w:rsidP="00631743">
      <w:pPr>
        <w:spacing w:after="0" w:line="360" w:lineRule="auto"/>
        <w:ind w:left="1440" w:hanging="720"/>
        <w:jc w:val="both"/>
        <w:rPr>
          <w:rFonts w:ascii="Arial" w:eastAsia="Calibri" w:hAnsi="Arial" w:cs="Arial"/>
          <w:color w:val="000000" w:themeColor="text1"/>
        </w:rPr>
      </w:pPr>
      <w:r w:rsidRPr="00631743">
        <w:rPr>
          <w:rFonts w:ascii="Arial" w:eastAsia="Calibri" w:hAnsi="Arial" w:cs="Arial"/>
          <w:color w:val="000000" w:themeColor="text1"/>
        </w:rPr>
        <w:t xml:space="preserve">2. </w:t>
      </w:r>
      <w:r w:rsidR="008B7359" w:rsidRPr="00631743">
        <w:rPr>
          <w:rFonts w:ascii="Arial" w:eastAsia="Calibri" w:hAnsi="Arial" w:cs="Arial"/>
          <w:color w:val="000000" w:themeColor="text1"/>
        </w:rPr>
        <w:tab/>
      </w:r>
      <w:r w:rsidRPr="00631743">
        <w:rPr>
          <w:rFonts w:ascii="Arial" w:eastAsia="Calibri" w:hAnsi="Arial" w:cs="Arial"/>
          <w:color w:val="000000" w:themeColor="text1"/>
        </w:rPr>
        <w:t>that the first respondent is directed, pursuant to section 122 of the Companies Act (Act 28 of 2004), to rectify its register of members by deleting the entry indicating a transfer of one share registered on 25 January 2012 from applicant to the Michael Viljoen Trust.</w:t>
      </w:r>
    </w:p>
    <w:p w:rsidR="00A40DC5" w:rsidRPr="00631743" w:rsidRDefault="00A40DC5" w:rsidP="00631743">
      <w:pPr>
        <w:spacing w:after="0" w:line="360" w:lineRule="auto"/>
        <w:ind w:left="1440" w:hanging="720"/>
        <w:jc w:val="both"/>
        <w:rPr>
          <w:rFonts w:ascii="Arial" w:eastAsia="Calibri" w:hAnsi="Arial" w:cs="Arial"/>
          <w:color w:val="000000" w:themeColor="text1"/>
        </w:rPr>
      </w:pPr>
      <w:r w:rsidRPr="00631743">
        <w:rPr>
          <w:rFonts w:ascii="Arial" w:eastAsia="Calibri" w:hAnsi="Arial" w:cs="Arial"/>
          <w:color w:val="000000" w:themeColor="text1"/>
        </w:rPr>
        <w:t xml:space="preserve">3. </w:t>
      </w:r>
      <w:r w:rsidR="008B7359" w:rsidRPr="00631743">
        <w:rPr>
          <w:rFonts w:ascii="Arial" w:eastAsia="Calibri" w:hAnsi="Arial" w:cs="Arial"/>
          <w:color w:val="000000" w:themeColor="text1"/>
        </w:rPr>
        <w:tab/>
      </w:r>
      <w:r w:rsidRPr="00631743">
        <w:rPr>
          <w:rFonts w:ascii="Arial" w:eastAsia="Calibri" w:hAnsi="Arial" w:cs="Arial"/>
          <w:color w:val="000000" w:themeColor="text1"/>
        </w:rPr>
        <w:t xml:space="preserve">In the alternative to paragraph 2 above – </w:t>
      </w:r>
    </w:p>
    <w:p w:rsidR="00A40DC5" w:rsidRPr="00631743" w:rsidRDefault="00A40DC5" w:rsidP="00631743">
      <w:pPr>
        <w:spacing w:after="0" w:line="360" w:lineRule="auto"/>
        <w:ind w:left="2160" w:hanging="720"/>
        <w:jc w:val="both"/>
        <w:rPr>
          <w:rFonts w:ascii="Arial" w:eastAsia="Calibri" w:hAnsi="Arial" w:cs="Arial"/>
          <w:color w:val="000000" w:themeColor="text1"/>
        </w:rPr>
      </w:pPr>
      <w:r w:rsidRPr="00631743">
        <w:rPr>
          <w:rFonts w:ascii="Arial" w:eastAsia="Calibri" w:hAnsi="Arial" w:cs="Arial"/>
          <w:color w:val="000000" w:themeColor="text1"/>
        </w:rPr>
        <w:lastRenderedPageBreak/>
        <w:t>3.1</w:t>
      </w:r>
      <w:r w:rsidRPr="00631743">
        <w:rPr>
          <w:rFonts w:ascii="Arial" w:eastAsia="Calibri" w:hAnsi="Arial" w:cs="Arial"/>
          <w:color w:val="000000" w:themeColor="text1"/>
        </w:rPr>
        <w:tab/>
        <w:t>To reflect the transfer of one share from applicant to the Michael Viljoen Trust on its true date, namely 24 October 2012;</w:t>
      </w:r>
    </w:p>
    <w:p w:rsidR="00A40DC5" w:rsidRPr="00631743" w:rsidRDefault="00A40DC5" w:rsidP="00631743">
      <w:pPr>
        <w:spacing w:after="0" w:line="360" w:lineRule="auto"/>
        <w:ind w:left="2160" w:hanging="720"/>
        <w:jc w:val="both"/>
        <w:rPr>
          <w:rFonts w:ascii="Arial" w:eastAsia="Calibri" w:hAnsi="Arial" w:cs="Arial"/>
          <w:color w:val="000000" w:themeColor="text1"/>
        </w:rPr>
      </w:pPr>
      <w:r w:rsidRPr="00631743">
        <w:rPr>
          <w:rFonts w:ascii="Arial" w:eastAsia="Calibri" w:hAnsi="Arial" w:cs="Arial"/>
          <w:color w:val="000000" w:themeColor="text1"/>
        </w:rPr>
        <w:t>3.2</w:t>
      </w:r>
      <w:r w:rsidRPr="00631743">
        <w:rPr>
          <w:rFonts w:ascii="Arial" w:eastAsia="Calibri" w:hAnsi="Arial" w:cs="Arial"/>
          <w:color w:val="000000" w:themeColor="text1"/>
        </w:rPr>
        <w:tab/>
        <w:t xml:space="preserve">to confirm the cancellation of the transfer of the one share from the applicant to the Michael Viljoen Trust; and </w:t>
      </w:r>
    </w:p>
    <w:p w:rsidR="00A40DC5" w:rsidRPr="00631743" w:rsidRDefault="00A40DC5" w:rsidP="00631743">
      <w:pPr>
        <w:spacing w:after="0" w:line="360" w:lineRule="auto"/>
        <w:ind w:left="2160" w:hanging="720"/>
        <w:jc w:val="both"/>
        <w:rPr>
          <w:rFonts w:ascii="Arial" w:eastAsia="Calibri" w:hAnsi="Arial" w:cs="Arial"/>
          <w:color w:val="000000" w:themeColor="text1"/>
        </w:rPr>
      </w:pPr>
      <w:r w:rsidRPr="00631743">
        <w:rPr>
          <w:rFonts w:ascii="Arial" w:eastAsia="Calibri" w:hAnsi="Arial" w:cs="Arial"/>
          <w:color w:val="000000" w:themeColor="text1"/>
        </w:rPr>
        <w:t>3.3</w:t>
      </w:r>
      <w:r w:rsidRPr="00631743">
        <w:rPr>
          <w:rFonts w:ascii="Arial" w:eastAsia="Calibri" w:hAnsi="Arial" w:cs="Arial"/>
          <w:color w:val="000000" w:themeColor="text1"/>
        </w:rPr>
        <w:tab/>
        <w:t xml:space="preserve">directing the trustees of the Michael Viljoen Trust to execute the necessary instrument of transfer within 14 days and deliver it to first respondent to have the said transfer reversed and the share retransferred to applicant; </w:t>
      </w:r>
    </w:p>
    <w:p w:rsidR="00A40DC5" w:rsidRPr="00631743" w:rsidRDefault="00A40DC5" w:rsidP="00631743">
      <w:pPr>
        <w:spacing w:after="0" w:line="360" w:lineRule="auto"/>
        <w:ind w:left="2160" w:hanging="720"/>
        <w:jc w:val="both"/>
        <w:rPr>
          <w:rFonts w:ascii="Arial" w:eastAsia="Calibri" w:hAnsi="Arial" w:cs="Arial"/>
          <w:color w:val="000000" w:themeColor="text1"/>
        </w:rPr>
      </w:pPr>
      <w:r w:rsidRPr="00631743">
        <w:rPr>
          <w:rFonts w:ascii="Arial" w:eastAsia="Calibri" w:hAnsi="Arial" w:cs="Arial"/>
          <w:color w:val="000000" w:themeColor="text1"/>
        </w:rPr>
        <w:t>. . .</w:t>
      </w:r>
      <w:r w:rsidR="00F2343A" w:rsidRPr="00631743">
        <w:rPr>
          <w:rFonts w:ascii="Arial" w:eastAsia="Calibri" w:hAnsi="Arial" w:cs="Arial"/>
          <w:color w:val="000000" w:themeColor="text1"/>
        </w:rPr>
        <w:t>’</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u w:val="single"/>
        </w:rPr>
      </w:pPr>
      <w:r w:rsidRPr="00631743">
        <w:rPr>
          <w:rFonts w:ascii="Arial" w:hAnsi="Arial" w:cs="Arial"/>
          <w:color w:val="000000" w:themeColor="text1"/>
          <w:sz w:val="24"/>
          <w:szCs w:val="24"/>
          <w:u w:val="single"/>
        </w:rPr>
        <w:t>Counter application</w:t>
      </w:r>
    </w:p>
    <w:p w:rsidR="008B7359" w:rsidRPr="00631743" w:rsidRDefault="00A40DC5" w:rsidP="004012CE">
      <w:pPr>
        <w:spacing w:before="100" w:beforeAutospacing="1" w:after="100" w:afterAutospacing="1" w:line="480" w:lineRule="auto"/>
        <w:jc w:val="both"/>
        <w:rPr>
          <w:rFonts w:ascii="Arial" w:eastAsia="Times New Roman" w:hAnsi="Arial" w:cs="Arial"/>
          <w:sz w:val="24"/>
          <w:szCs w:val="24"/>
        </w:rPr>
      </w:pPr>
      <w:r w:rsidRPr="00631743">
        <w:rPr>
          <w:rFonts w:ascii="Arial" w:eastAsia="Times New Roman" w:hAnsi="Arial" w:cs="Arial"/>
          <w:sz w:val="24"/>
          <w:szCs w:val="24"/>
        </w:rPr>
        <w:t>[1</w:t>
      </w:r>
      <w:r w:rsidR="00106F89" w:rsidRPr="00631743">
        <w:rPr>
          <w:rFonts w:ascii="Arial" w:eastAsia="Times New Roman" w:hAnsi="Arial" w:cs="Arial"/>
          <w:sz w:val="24"/>
          <w:szCs w:val="24"/>
        </w:rPr>
        <w:t>8</w:t>
      </w:r>
      <w:r w:rsidR="00F2343A" w:rsidRPr="00631743">
        <w:rPr>
          <w:rFonts w:ascii="Arial" w:eastAsia="Times New Roman" w:hAnsi="Arial" w:cs="Arial"/>
          <w:sz w:val="24"/>
          <w:szCs w:val="24"/>
        </w:rPr>
        <w:t>]</w:t>
      </w:r>
      <w:r w:rsidR="00F2343A" w:rsidRPr="00631743">
        <w:rPr>
          <w:rFonts w:ascii="Arial" w:eastAsia="Times New Roman" w:hAnsi="Arial" w:cs="Arial"/>
          <w:sz w:val="24"/>
          <w:szCs w:val="24"/>
        </w:rPr>
        <w:tab/>
      </w:r>
      <w:r w:rsidR="009F640E" w:rsidRPr="00631743">
        <w:rPr>
          <w:rFonts w:ascii="Arial" w:eastAsia="Times New Roman" w:hAnsi="Arial" w:cs="Arial"/>
          <w:sz w:val="24"/>
          <w:szCs w:val="24"/>
        </w:rPr>
        <w:t xml:space="preserve">Denker’s </w:t>
      </w:r>
      <w:r w:rsidRPr="00631743">
        <w:rPr>
          <w:rFonts w:ascii="Arial" w:eastAsia="Times New Roman" w:hAnsi="Arial" w:cs="Arial"/>
          <w:sz w:val="24"/>
          <w:szCs w:val="24"/>
        </w:rPr>
        <w:t>application</w:t>
      </w:r>
      <w:r w:rsidR="009F640E" w:rsidRPr="00631743">
        <w:rPr>
          <w:rFonts w:ascii="Arial" w:eastAsia="Times New Roman" w:hAnsi="Arial" w:cs="Arial"/>
          <w:sz w:val="24"/>
          <w:szCs w:val="24"/>
        </w:rPr>
        <w:t xml:space="preserve"> (the main application) </w:t>
      </w:r>
      <w:r w:rsidRPr="00631743">
        <w:rPr>
          <w:rFonts w:ascii="Arial" w:eastAsia="Times New Roman" w:hAnsi="Arial" w:cs="Arial"/>
          <w:sz w:val="24"/>
          <w:szCs w:val="24"/>
        </w:rPr>
        <w:t xml:space="preserve">was opposed by </w:t>
      </w:r>
      <w:r w:rsidR="009F640E" w:rsidRPr="00631743">
        <w:rPr>
          <w:rFonts w:ascii="Arial" w:eastAsia="Times New Roman" w:hAnsi="Arial" w:cs="Arial"/>
          <w:sz w:val="24"/>
          <w:szCs w:val="24"/>
        </w:rPr>
        <w:t>the Michael Viljoen Trust and Viljoen</w:t>
      </w:r>
      <w:r w:rsidRPr="00631743">
        <w:rPr>
          <w:rFonts w:ascii="Arial" w:eastAsia="Times New Roman" w:hAnsi="Arial" w:cs="Arial"/>
          <w:sz w:val="24"/>
          <w:szCs w:val="24"/>
        </w:rPr>
        <w:t xml:space="preserve"> who, </w:t>
      </w:r>
      <w:r w:rsidR="009F640E" w:rsidRPr="00631743">
        <w:rPr>
          <w:rFonts w:ascii="Arial" w:eastAsia="Times New Roman" w:hAnsi="Arial" w:cs="Arial"/>
          <w:sz w:val="24"/>
          <w:szCs w:val="24"/>
        </w:rPr>
        <w:t>toge</w:t>
      </w:r>
      <w:r w:rsidR="00CE1B41">
        <w:rPr>
          <w:rFonts w:ascii="Arial" w:eastAsia="Times New Roman" w:hAnsi="Arial" w:cs="Arial"/>
          <w:sz w:val="24"/>
          <w:szCs w:val="24"/>
        </w:rPr>
        <w:t>ther with the trustees of that t</w:t>
      </w:r>
      <w:r w:rsidR="009F640E" w:rsidRPr="00631743">
        <w:rPr>
          <w:rFonts w:ascii="Arial" w:eastAsia="Times New Roman" w:hAnsi="Arial" w:cs="Arial"/>
          <w:sz w:val="24"/>
          <w:szCs w:val="24"/>
        </w:rPr>
        <w:t>rust</w:t>
      </w:r>
      <w:r w:rsidR="00DF7F92" w:rsidRPr="00631743">
        <w:rPr>
          <w:rFonts w:ascii="Arial" w:eastAsia="Times New Roman" w:hAnsi="Arial" w:cs="Arial"/>
          <w:sz w:val="24"/>
          <w:szCs w:val="24"/>
        </w:rPr>
        <w:t>,</w:t>
      </w:r>
      <w:r w:rsidR="009F640E" w:rsidRPr="00631743">
        <w:rPr>
          <w:rFonts w:ascii="Arial" w:eastAsia="Times New Roman" w:hAnsi="Arial" w:cs="Arial"/>
          <w:sz w:val="24"/>
          <w:szCs w:val="24"/>
        </w:rPr>
        <w:t xml:space="preserve"> </w:t>
      </w:r>
      <w:r w:rsidR="00DF7F92" w:rsidRPr="00631743">
        <w:rPr>
          <w:rFonts w:ascii="Arial" w:eastAsia="Times New Roman" w:hAnsi="Arial" w:cs="Arial"/>
          <w:sz w:val="24"/>
          <w:szCs w:val="24"/>
        </w:rPr>
        <w:t>simultaneously</w:t>
      </w:r>
      <w:r w:rsidRPr="00631743">
        <w:rPr>
          <w:rFonts w:ascii="Arial" w:eastAsia="Times New Roman" w:hAnsi="Arial" w:cs="Arial"/>
          <w:sz w:val="24"/>
          <w:szCs w:val="24"/>
        </w:rPr>
        <w:t xml:space="preserve"> filed a counter application in which they asked for (a)</w:t>
      </w:r>
      <w:r w:rsidR="00857209" w:rsidRPr="00631743">
        <w:rPr>
          <w:rFonts w:ascii="Arial" w:eastAsia="Times New Roman" w:hAnsi="Arial" w:cs="Arial"/>
          <w:sz w:val="24"/>
          <w:szCs w:val="24"/>
        </w:rPr>
        <w:t xml:space="preserve"> a</w:t>
      </w:r>
      <w:r w:rsidRPr="00631743">
        <w:rPr>
          <w:rFonts w:ascii="Arial" w:eastAsia="Times New Roman" w:hAnsi="Arial" w:cs="Arial"/>
          <w:sz w:val="24"/>
          <w:szCs w:val="24"/>
        </w:rPr>
        <w:t xml:space="preserve"> forced sale of farm Ameib in terms of s 60 of the Land Reform Act based on a breach of s 58(1)</w:t>
      </w:r>
      <w:r w:rsidRPr="00631743">
        <w:rPr>
          <w:rFonts w:ascii="Arial" w:eastAsia="Times New Roman" w:hAnsi="Arial" w:cs="Arial"/>
          <w:i/>
          <w:sz w:val="24"/>
          <w:szCs w:val="24"/>
        </w:rPr>
        <w:t>(a)</w:t>
      </w:r>
      <w:r w:rsidR="00857209" w:rsidRPr="00631743">
        <w:rPr>
          <w:rFonts w:ascii="Arial" w:eastAsia="Times New Roman" w:hAnsi="Arial" w:cs="Arial"/>
          <w:sz w:val="24"/>
          <w:szCs w:val="24"/>
        </w:rPr>
        <w:t>;</w:t>
      </w:r>
      <w:r w:rsidR="00857209" w:rsidRPr="00631743">
        <w:rPr>
          <w:rFonts w:ascii="Arial" w:eastAsia="Times New Roman" w:hAnsi="Arial" w:cs="Arial"/>
          <w:i/>
          <w:sz w:val="24"/>
          <w:szCs w:val="24"/>
        </w:rPr>
        <w:t xml:space="preserve"> </w:t>
      </w:r>
      <w:r w:rsidRPr="00631743">
        <w:rPr>
          <w:rFonts w:ascii="Arial" w:eastAsia="Times New Roman" w:hAnsi="Arial" w:cs="Arial"/>
          <w:sz w:val="24"/>
          <w:szCs w:val="24"/>
        </w:rPr>
        <w:t xml:space="preserve">(b) </w:t>
      </w:r>
      <w:r w:rsidR="009F640E" w:rsidRPr="00631743">
        <w:rPr>
          <w:rFonts w:ascii="Arial" w:eastAsia="Times New Roman" w:hAnsi="Arial" w:cs="Arial"/>
          <w:sz w:val="24"/>
          <w:szCs w:val="24"/>
        </w:rPr>
        <w:t xml:space="preserve">provisional </w:t>
      </w:r>
      <w:r w:rsidRPr="00631743">
        <w:rPr>
          <w:rFonts w:ascii="Arial" w:eastAsia="Times New Roman" w:hAnsi="Arial" w:cs="Arial"/>
          <w:sz w:val="24"/>
          <w:szCs w:val="24"/>
        </w:rPr>
        <w:t xml:space="preserve">winding up of the company on the alternative grounds that (i) because of the illegality the company’s substratum had disappeared and the relationship between </w:t>
      </w:r>
      <w:r w:rsidR="00DF7F92" w:rsidRPr="00631743">
        <w:rPr>
          <w:rFonts w:ascii="Arial" w:eastAsia="Times New Roman" w:hAnsi="Arial" w:cs="Arial"/>
          <w:sz w:val="24"/>
          <w:szCs w:val="24"/>
        </w:rPr>
        <w:t>Viljoen and</w:t>
      </w:r>
      <w:r w:rsidRPr="00631743">
        <w:rPr>
          <w:rFonts w:ascii="Arial" w:eastAsia="Times New Roman" w:hAnsi="Arial" w:cs="Arial"/>
          <w:sz w:val="24"/>
          <w:szCs w:val="24"/>
        </w:rPr>
        <w:t xml:space="preserve"> Denker had irretrievably broken down;  and (ii) that the company was unable to pay its debts. </w:t>
      </w:r>
      <w:r w:rsidR="008E4BB9" w:rsidRPr="00631743">
        <w:rPr>
          <w:rFonts w:ascii="Arial" w:eastAsia="Times New Roman" w:hAnsi="Arial" w:cs="Arial"/>
          <w:sz w:val="24"/>
          <w:szCs w:val="24"/>
        </w:rPr>
        <w:t xml:space="preserve">In the </w:t>
      </w:r>
      <w:r w:rsidR="002F0A3B" w:rsidRPr="00631743">
        <w:rPr>
          <w:rFonts w:ascii="Arial" w:eastAsia="Times New Roman" w:hAnsi="Arial" w:cs="Arial"/>
          <w:sz w:val="24"/>
          <w:szCs w:val="24"/>
        </w:rPr>
        <w:t>view</w:t>
      </w:r>
      <w:r w:rsidR="00F2343A" w:rsidRPr="00631743">
        <w:rPr>
          <w:rFonts w:ascii="Arial" w:eastAsia="Times New Roman" w:hAnsi="Arial" w:cs="Arial"/>
          <w:sz w:val="24"/>
          <w:szCs w:val="24"/>
        </w:rPr>
        <w:t xml:space="preserve"> I</w:t>
      </w:r>
      <w:r w:rsidR="008E4BB9" w:rsidRPr="00631743">
        <w:rPr>
          <w:rFonts w:ascii="Arial" w:eastAsia="Times New Roman" w:hAnsi="Arial" w:cs="Arial"/>
          <w:sz w:val="24"/>
          <w:szCs w:val="24"/>
        </w:rPr>
        <w:t xml:space="preserve"> take of the matter on the </w:t>
      </w:r>
      <w:r w:rsidR="001A0DA3" w:rsidRPr="00631743">
        <w:rPr>
          <w:rFonts w:ascii="Arial" w:eastAsia="Times New Roman" w:hAnsi="Arial" w:cs="Arial"/>
          <w:sz w:val="24"/>
          <w:szCs w:val="24"/>
        </w:rPr>
        <w:t xml:space="preserve">illegality </w:t>
      </w:r>
      <w:r w:rsidR="00DF7F92" w:rsidRPr="00631743">
        <w:rPr>
          <w:rFonts w:ascii="Arial" w:eastAsia="Times New Roman" w:hAnsi="Arial" w:cs="Arial"/>
          <w:sz w:val="24"/>
          <w:szCs w:val="24"/>
        </w:rPr>
        <w:t>f</w:t>
      </w:r>
      <w:r w:rsidR="001A0DA3" w:rsidRPr="00631743">
        <w:rPr>
          <w:rFonts w:ascii="Arial" w:eastAsia="Times New Roman" w:hAnsi="Arial" w:cs="Arial"/>
          <w:sz w:val="24"/>
          <w:szCs w:val="24"/>
        </w:rPr>
        <w:t>lowing from a breach of</w:t>
      </w:r>
      <w:r w:rsidR="008E4BB9" w:rsidRPr="00631743">
        <w:rPr>
          <w:rFonts w:ascii="Arial" w:eastAsia="Times New Roman" w:hAnsi="Arial" w:cs="Arial"/>
          <w:sz w:val="24"/>
          <w:szCs w:val="24"/>
        </w:rPr>
        <w:t xml:space="preserve"> s 58(1)(</w:t>
      </w:r>
      <w:r w:rsidR="008E4BB9" w:rsidRPr="00631743">
        <w:rPr>
          <w:rFonts w:ascii="Arial" w:eastAsia="Times New Roman" w:hAnsi="Arial" w:cs="Arial"/>
          <w:i/>
          <w:sz w:val="24"/>
          <w:szCs w:val="24"/>
        </w:rPr>
        <w:t>a),</w:t>
      </w:r>
      <w:r w:rsidR="008E4BB9" w:rsidRPr="00631743">
        <w:rPr>
          <w:rFonts w:ascii="Arial" w:eastAsia="Times New Roman" w:hAnsi="Arial" w:cs="Arial"/>
          <w:sz w:val="24"/>
          <w:szCs w:val="24"/>
        </w:rPr>
        <w:t xml:space="preserve"> </w:t>
      </w:r>
      <w:r w:rsidR="002F0A3B" w:rsidRPr="00631743">
        <w:rPr>
          <w:rFonts w:ascii="Arial" w:eastAsia="Times New Roman" w:hAnsi="Arial" w:cs="Arial"/>
          <w:sz w:val="24"/>
          <w:szCs w:val="24"/>
        </w:rPr>
        <w:t>it</w:t>
      </w:r>
      <w:r w:rsidRPr="00631743">
        <w:rPr>
          <w:rFonts w:ascii="Arial" w:eastAsia="Times New Roman" w:hAnsi="Arial" w:cs="Arial"/>
          <w:sz w:val="24"/>
          <w:szCs w:val="24"/>
        </w:rPr>
        <w:t xml:space="preserve"> is unnecessary to dwell on the aspects of the case dealing with winding up. As regards the counter application, I will confine the analysis to s 60 of the Land Reform Act. The latter issue is bound up with the main appli</w:t>
      </w:r>
      <w:r w:rsidR="009F640E" w:rsidRPr="00631743">
        <w:rPr>
          <w:rFonts w:ascii="Arial" w:eastAsia="Times New Roman" w:hAnsi="Arial" w:cs="Arial"/>
          <w:sz w:val="24"/>
          <w:szCs w:val="24"/>
        </w:rPr>
        <w:t xml:space="preserve">cation and hinges on whether </w:t>
      </w:r>
      <w:r w:rsidR="001A0DA3" w:rsidRPr="00631743">
        <w:rPr>
          <w:rFonts w:ascii="Arial" w:eastAsia="Times New Roman" w:hAnsi="Arial" w:cs="Arial"/>
          <w:sz w:val="24"/>
          <w:szCs w:val="24"/>
        </w:rPr>
        <w:t xml:space="preserve">or not </w:t>
      </w:r>
      <w:r w:rsidR="009F640E" w:rsidRPr="00631743">
        <w:rPr>
          <w:rFonts w:ascii="Arial" w:eastAsia="Times New Roman" w:hAnsi="Arial" w:cs="Arial"/>
          <w:sz w:val="24"/>
          <w:szCs w:val="24"/>
        </w:rPr>
        <w:t>D</w:t>
      </w:r>
      <w:r w:rsidR="001A0DA3" w:rsidRPr="00631743">
        <w:rPr>
          <w:rFonts w:ascii="Arial" w:eastAsia="Times New Roman" w:hAnsi="Arial" w:cs="Arial"/>
          <w:sz w:val="24"/>
          <w:szCs w:val="24"/>
        </w:rPr>
        <w:t>enker</w:t>
      </w:r>
      <w:r w:rsidRPr="00631743">
        <w:rPr>
          <w:rFonts w:ascii="Arial" w:eastAsia="Times New Roman" w:hAnsi="Arial" w:cs="Arial"/>
          <w:sz w:val="24"/>
          <w:szCs w:val="24"/>
        </w:rPr>
        <w:t xml:space="preserve"> made out the case for the relief he seeks.</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u w:val="single"/>
        </w:rPr>
      </w:pPr>
      <w:r w:rsidRPr="00631743">
        <w:rPr>
          <w:rFonts w:ascii="Arial" w:hAnsi="Arial" w:cs="Arial"/>
          <w:color w:val="000000" w:themeColor="text1"/>
          <w:sz w:val="24"/>
          <w:szCs w:val="24"/>
          <w:u w:val="single"/>
        </w:rPr>
        <w:t xml:space="preserve">The evidence </w:t>
      </w:r>
    </w:p>
    <w:p w:rsidR="00A40DC5" w:rsidRPr="00631743" w:rsidRDefault="00A40DC5" w:rsidP="004012CE">
      <w:pPr>
        <w:pStyle w:val="p1"/>
        <w:spacing w:line="480" w:lineRule="auto"/>
        <w:jc w:val="both"/>
        <w:rPr>
          <w:rStyle w:val="s1"/>
          <w:rFonts w:ascii="Arial" w:hAnsi="Arial" w:cs="Arial"/>
        </w:rPr>
      </w:pPr>
      <w:r w:rsidRPr="00631743">
        <w:rPr>
          <w:rStyle w:val="s1"/>
          <w:rFonts w:ascii="Arial" w:hAnsi="Arial" w:cs="Arial"/>
        </w:rPr>
        <w:t>[1</w:t>
      </w:r>
      <w:r w:rsidR="00106F89" w:rsidRPr="00631743">
        <w:rPr>
          <w:rStyle w:val="s1"/>
          <w:rFonts w:ascii="Arial" w:hAnsi="Arial" w:cs="Arial"/>
        </w:rPr>
        <w:t>9</w:t>
      </w:r>
      <w:r w:rsidR="00F2343A" w:rsidRPr="00631743">
        <w:rPr>
          <w:rStyle w:val="s1"/>
          <w:rFonts w:ascii="Arial" w:hAnsi="Arial" w:cs="Arial"/>
        </w:rPr>
        <w:t>]</w:t>
      </w:r>
      <w:r w:rsidR="00F2343A" w:rsidRPr="00631743">
        <w:rPr>
          <w:rStyle w:val="s1"/>
          <w:rFonts w:ascii="Arial" w:hAnsi="Arial" w:cs="Arial"/>
        </w:rPr>
        <w:tab/>
      </w:r>
      <w:r w:rsidR="00135EDC" w:rsidRPr="00631743">
        <w:rPr>
          <w:rStyle w:val="s1"/>
          <w:rFonts w:ascii="Arial" w:hAnsi="Arial" w:cs="Arial"/>
        </w:rPr>
        <w:t>The</w:t>
      </w:r>
      <w:r w:rsidRPr="00631743">
        <w:rPr>
          <w:rStyle w:val="s1"/>
          <w:rFonts w:ascii="Arial" w:hAnsi="Arial" w:cs="Arial"/>
        </w:rPr>
        <w:t xml:space="preserve"> parties have traversed a great deal of factual material which, I regret to say, is for the most part argumentative and irrelevant. It is </w:t>
      </w:r>
      <w:r w:rsidR="001A0DA3" w:rsidRPr="00631743">
        <w:rPr>
          <w:rStyle w:val="s1"/>
          <w:rFonts w:ascii="Arial" w:hAnsi="Arial" w:cs="Arial"/>
        </w:rPr>
        <w:t>necessary that we</w:t>
      </w:r>
      <w:r w:rsidRPr="00631743">
        <w:rPr>
          <w:rStyle w:val="s1"/>
          <w:rFonts w:ascii="Arial" w:hAnsi="Arial" w:cs="Arial"/>
        </w:rPr>
        <w:t xml:space="preserve"> remind ourselves that </w:t>
      </w:r>
      <w:r w:rsidRPr="00631743">
        <w:rPr>
          <w:rStyle w:val="s1"/>
          <w:rFonts w:ascii="Arial" w:hAnsi="Arial" w:cs="Arial"/>
        </w:rPr>
        <w:lastRenderedPageBreak/>
        <w:t>motion proceedings are not suited for the resolution of disputed facts</w:t>
      </w:r>
      <w:r w:rsidR="002F0A3B" w:rsidRPr="00631743">
        <w:rPr>
          <w:rStyle w:val="s1"/>
          <w:rFonts w:ascii="Arial" w:hAnsi="Arial" w:cs="Arial"/>
        </w:rPr>
        <w:t>.</w:t>
      </w:r>
      <w:r w:rsidR="00E20AE0" w:rsidRPr="00631743">
        <w:rPr>
          <w:rStyle w:val="FootnoteReference"/>
          <w:rFonts w:ascii="Arial" w:hAnsi="Arial" w:cs="Arial"/>
        </w:rPr>
        <w:footnoteReference w:id="5"/>
      </w:r>
      <w:r w:rsidRPr="00631743">
        <w:rPr>
          <w:rStyle w:val="s1"/>
          <w:rFonts w:ascii="Arial" w:hAnsi="Arial" w:cs="Arial"/>
        </w:rPr>
        <w:t xml:space="preserve"> They are intended for the determination of legal issues based on common cause facts. Unless a respondent’s version consists of bald or ‘uncreditworthy denials, raises fictitious disputes of fact, is palpably implausible, far-fetched or so clearly untenable’,</w:t>
      </w:r>
      <w:r w:rsidR="000325B2" w:rsidRPr="00631743">
        <w:rPr>
          <w:rStyle w:val="FootnoteReference"/>
          <w:rFonts w:ascii="Arial" w:hAnsi="Arial" w:cs="Arial"/>
        </w:rPr>
        <w:footnoteReference w:id="6"/>
      </w:r>
      <w:r w:rsidR="00E20AE0" w:rsidRPr="00631743">
        <w:rPr>
          <w:rStyle w:val="s1"/>
          <w:rFonts w:ascii="Arial" w:hAnsi="Arial" w:cs="Arial"/>
        </w:rPr>
        <w:t xml:space="preserve"> </w:t>
      </w:r>
      <w:r w:rsidRPr="00631743">
        <w:rPr>
          <w:rStyle w:val="s1"/>
          <w:rFonts w:ascii="Arial" w:hAnsi="Arial" w:cs="Arial"/>
        </w:rPr>
        <w:t>the respondent’s version must prevail</w:t>
      </w:r>
      <w:r w:rsidR="002F0A3B" w:rsidRPr="00631743">
        <w:rPr>
          <w:rStyle w:val="s1"/>
          <w:rFonts w:ascii="Arial" w:hAnsi="Arial" w:cs="Arial"/>
        </w:rPr>
        <w:t>.</w:t>
      </w:r>
      <w:r w:rsidRPr="00631743">
        <w:rPr>
          <w:rStyle w:val="FootnoteReference"/>
          <w:rFonts w:ascii="Arial" w:hAnsi="Arial" w:cs="Arial"/>
        </w:rPr>
        <w:footnoteReference w:id="7"/>
      </w:r>
      <w:r w:rsidRPr="00631743">
        <w:rPr>
          <w:rStyle w:val="s1"/>
          <w:rFonts w:ascii="Arial" w:hAnsi="Arial" w:cs="Arial"/>
        </w:rPr>
        <w:t xml:space="preserve"> </w:t>
      </w:r>
      <w:r w:rsidR="00653B73" w:rsidRPr="00631743">
        <w:rPr>
          <w:rStyle w:val="s1"/>
          <w:rFonts w:ascii="Arial" w:hAnsi="Arial" w:cs="Arial"/>
        </w:rPr>
        <w:t>(</w:t>
      </w:r>
      <w:r w:rsidR="005E3C95" w:rsidRPr="00631743">
        <w:rPr>
          <w:rStyle w:val="s1"/>
          <w:rFonts w:ascii="Arial" w:hAnsi="Arial" w:cs="Arial"/>
        </w:rPr>
        <w:t>That is the so-called Plascon-</w:t>
      </w:r>
      <w:r w:rsidR="00653B73" w:rsidRPr="00631743">
        <w:rPr>
          <w:rStyle w:val="s1"/>
          <w:rFonts w:ascii="Arial" w:hAnsi="Arial" w:cs="Arial"/>
        </w:rPr>
        <w:t>Evans test).</w:t>
      </w:r>
      <w:r w:rsidR="005E3C95" w:rsidRPr="00631743">
        <w:rPr>
          <w:rStyle w:val="s1"/>
          <w:rFonts w:ascii="Arial" w:hAnsi="Arial" w:cs="Arial"/>
        </w:rPr>
        <w:t xml:space="preserve"> </w:t>
      </w:r>
      <w:r w:rsidRPr="00631743">
        <w:rPr>
          <w:rStyle w:val="s1"/>
          <w:rFonts w:ascii="Arial" w:hAnsi="Arial" w:cs="Arial"/>
        </w:rPr>
        <w:t>That i</w:t>
      </w:r>
      <w:r w:rsidR="001A0DA3" w:rsidRPr="00631743">
        <w:rPr>
          <w:rStyle w:val="s1"/>
          <w:rFonts w:ascii="Arial" w:hAnsi="Arial" w:cs="Arial"/>
        </w:rPr>
        <w:t>s even more apt considering</w:t>
      </w:r>
      <w:r w:rsidRPr="00631743">
        <w:rPr>
          <w:rStyle w:val="s1"/>
          <w:rFonts w:ascii="Arial" w:hAnsi="Arial" w:cs="Arial"/>
        </w:rPr>
        <w:t xml:space="preserve"> we are here concerned with a s 122(1</w:t>
      </w:r>
      <w:r w:rsidR="00135EDC" w:rsidRPr="00631743">
        <w:rPr>
          <w:rStyle w:val="s1"/>
          <w:rFonts w:ascii="Arial" w:hAnsi="Arial" w:cs="Arial"/>
        </w:rPr>
        <w:t xml:space="preserve">) </w:t>
      </w:r>
      <w:r w:rsidR="000325B2" w:rsidRPr="00631743">
        <w:rPr>
          <w:rStyle w:val="s1"/>
          <w:rFonts w:ascii="Arial" w:hAnsi="Arial" w:cs="Arial"/>
        </w:rPr>
        <w:t xml:space="preserve">of the </w:t>
      </w:r>
      <w:r w:rsidR="00135EDC" w:rsidRPr="00631743">
        <w:rPr>
          <w:rStyle w:val="s1"/>
          <w:rFonts w:ascii="Arial" w:hAnsi="Arial" w:cs="Arial"/>
        </w:rPr>
        <w:t>Companies</w:t>
      </w:r>
      <w:r w:rsidR="008E4BB9" w:rsidRPr="00631743">
        <w:rPr>
          <w:rStyle w:val="s1"/>
          <w:rFonts w:ascii="Arial" w:hAnsi="Arial" w:cs="Arial"/>
        </w:rPr>
        <w:t xml:space="preserve"> Act </w:t>
      </w:r>
      <w:r w:rsidRPr="00631743">
        <w:rPr>
          <w:rStyle w:val="s1"/>
          <w:rFonts w:ascii="Arial" w:hAnsi="Arial" w:cs="Arial"/>
        </w:rPr>
        <w:t>jurisdiction which is supposed to be a robust summary procedure</w:t>
      </w:r>
      <w:r w:rsidR="001A0DA3" w:rsidRPr="00631743">
        <w:rPr>
          <w:rStyle w:val="s1"/>
          <w:rFonts w:ascii="Arial" w:hAnsi="Arial" w:cs="Arial"/>
        </w:rPr>
        <w:t>.</w:t>
      </w:r>
      <w:r w:rsidRPr="00631743">
        <w:rPr>
          <w:rStyle w:val="s1"/>
          <w:rFonts w:ascii="Arial" w:hAnsi="Arial" w:cs="Arial"/>
        </w:rPr>
        <w:t xml:space="preserve"> </w:t>
      </w:r>
    </w:p>
    <w:p w:rsidR="003C0680" w:rsidRPr="00631743" w:rsidRDefault="003C0680" w:rsidP="004012CE">
      <w:pPr>
        <w:pStyle w:val="p1"/>
        <w:spacing w:line="480" w:lineRule="auto"/>
        <w:jc w:val="both"/>
        <w:rPr>
          <w:rFonts w:ascii="Arial" w:hAnsi="Arial" w:cs="Arial"/>
          <w:i/>
        </w:rPr>
      </w:pPr>
      <w:r w:rsidRPr="00631743">
        <w:rPr>
          <w:rStyle w:val="s1"/>
          <w:rFonts w:ascii="Arial" w:hAnsi="Arial" w:cs="Arial"/>
          <w:i/>
        </w:rPr>
        <w:t>Material common cause facts</w:t>
      </w:r>
    </w:p>
    <w:p w:rsidR="00A40DC5" w:rsidRPr="00631743" w:rsidRDefault="00106F89" w:rsidP="004012CE">
      <w:pPr>
        <w:pStyle w:val="p1"/>
        <w:spacing w:line="480" w:lineRule="auto"/>
        <w:jc w:val="both"/>
        <w:rPr>
          <w:rFonts w:ascii="Arial" w:hAnsi="Arial" w:cs="Arial"/>
        </w:rPr>
      </w:pPr>
      <w:r w:rsidRPr="00631743">
        <w:rPr>
          <w:rStyle w:val="s1"/>
          <w:rFonts w:ascii="Arial" w:hAnsi="Arial" w:cs="Arial"/>
        </w:rPr>
        <w:t>[20</w:t>
      </w:r>
      <w:r w:rsidR="00F2343A" w:rsidRPr="00631743">
        <w:rPr>
          <w:rStyle w:val="s1"/>
          <w:rFonts w:ascii="Arial" w:hAnsi="Arial" w:cs="Arial"/>
        </w:rPr>
        <w:t>]</w:t>
      </w:r>
      <w:r w:rsidR="00F2343A" w:rsidRPr="00631743">
        <w:rPr>
          <w:rStyle w:val="s1"/>
          <w:rFonts w:ascii="Arial" w:hAnsi="Arial" w:cs="Arial"/>
        </w:rPr>
        <w:tab/>
      </w:r>
      <w:r w:rsidR="00135EDC" w:rsidRPr="00631743">
        <w:rPr>
          <w:rStyle w:val="s1"/>
          <w:rFonts w:ascii="Arial" w:hAnsi="Arial" w:cs="Arial"/>
        </w:rPr>
        <w:t>I</w:t>
      </w:r>
      <w:r w:rsidR="00A40DC5" w:rsidRPr="00631743">
        <w:rPr>
          <w:rStyle w:val="s1"/>
          <w:rFonts w:ascii="Arial" w:hAnsi="Arial" w:cs="Arial"/>
        </w:rPr>
        <w:t xml:space="preserve"> will now briefly set out the material common cause facts shorn of the legal spin put on them by the parties. In so far as it is necessary,</w:t>
      </w:r>
      <w:r w:rsidR="00A40DC5" w:rsidRPr="00631743">
        <w:rPr>
          <w:rStyle w:val="apple-converted-space"/>
          <w:rFonts w:ascii="Arial" w:hAnsi="Arial" w:cs="Arial"/>
        </w:rPr>
        <w:t> </w:t>
      </w:r>
      <w:r w:rsidR="00A40DC5" w:rsidRPr="00631743">
        <w:rPr>
          <w:rStyle w:val="s1"/>
          <w:rFonts w:ascii="Arial" w:hAnsi="Arial" w:cs="Arial"/>
        </w:rPr>
        <w:t xml:space="preserve">I will record (and accept) the version of the respondents on the disputed material facts. </w:t>
      </w:r>
    </w:p>
    <w:p w:rsidR="00A40DC5" w:rsidRPr="00631743" w:rsidRDefault="00106F89" w:rsidP="004012CE">
      <w:pPr>
        <w:spacing w:before="100" w:beforeAutospacing="1" w:after="100" w:afterAutospacing="1" w:line="480" w:lineRule="auto"/>
        <w:jc w:val="both"/>
        <w:rPr>
          <w:rFonts w:ascii="Arial" w:eastAsia="Times New Roman" w:hAnsi="Arial" w:cs="Arial"/>
          <w:sz w:val="24"/>
          <w:szCs w:val="24"/>
        </w:rPr>
      </w:pPr>
      <w:r w:rsidRPr="00631743">
        <w:rPr>
          <w:rFonts w:ascii="Arial" w:eastAsia="Calibri" w:hAnsi="Arial" w:cs="Arial"/>
          <w:sz w:val="24"/>
          <w:szCs w:val="24"/>
        </w:rPr>
        <w:t>[21</w:t>
      </w:r>
      <w:r w:rsidR="00F2343A" w:rsidRPr="00631743">
        <w:rPr>
          <w:rFonts w:ascii="Arial" w:eastAsia="Calibri" w:hAnsi="Arial" w:cs="Arial"/>
          <w:sz w:val="24"/>
          <w:szCs w:val="24"/>
        </w:rPr>
        <w:t>]</w:t>
      </w:r>
      <w:r w:rsidR="00F2343A" w:rsidRPr="00631743">
        <w:rPr>
          <w:rFonts w:ascii="Arial" w:eastAsia="Calibri" w:hAnsi="Arial" w:cs="Arial"/>
          <w:sz w:val="24"/>
          <w:szCs w:val="24"/>
        </w:rPr>
        <w:tab/>
      </w:r>
      <w:r w:rsidR="00135EDC" w:rsidRPr="00631743">
        <w:rPr>
          <w:rFonts w:ascii="Arial" w:eastAsia="Calibri" w:hAnsi="Arial" w:cs="Arial"/>
          <w:sz w:val="24"/>
          <w:szCs w:val="24"/>
        </w:rPr>
        <w:t>Based</w:t>
      </w:r>
      <w:r w:rsidR="00A40DC5" w:rsidRPr="00631743">
        <w:rPr>
          <w:rFonts w:ascii="Arial" w:eastAsia="Times New Roman" w:hAnsi="Arial" w:cs="Arial"/>
          <w:sz w:val="24"/>
          <w:szCs w:val="24"/>
        </w:rPr>
        <w:t xml:space="preserve"> on dis</w:t>
      </w:r>
      <w:r w:rsidR="00E20AE0" w:rsidRPr="00631743">
        <w:rPr>
          <w:rFonts w:ascii="Arial" w:eastAsia="Times New Roman" w:hAnsi="Arial" w:cs="Arial"/>
          <w:sz w:val="24"/>
          <w:szCs w:val="24"/>
        </w:rPr>
        <w:t>cussions they had through email</w:t>
      </w:r>
      <w:r w:rsidR="00A40DC5" w:rsidRPr="00631743">
        <w:rPr>
          <w:rFonts w:ascii="Arial" w:eastAsia="Times New Roman" w:hAnsi="Arial" w:cs="Arial"/>
          <w:sz w:val="24"/>
          <w:szCs w:val="24"/>
        </w:rPr>
        <w:t>, telephone and face t</w:t>
      </w:r>
      <w:r w:rsidR="001A0DA3" w:rsidRPr="00631743">
        <w:rPr>
          <w:rFonts w:ascii="Arial" w:eastAsia="Times New Roman" w:hAnsi="Arial" w:cs="Arial"/>
          <w:sz w:val="24"/>
          <w:szCs w:val="24"/>
        </w:rPr>
        <w:t>o face contact, Denker and</w:t>
      </w:r>
      <w:r w:rsidR="00A40DC5" w:rsidRPr="00631743">
        <w:rPr>
          <w:rFonts w:ascii="Arial" w:eastAsia="Times New Roman" w:hAnsi="Arial" w:cs="Arial"/>
          <w:sz w:val="24"/>
          <w:szCs w:val="24"/>
        </w:rPr>
        <w:t xml:space="preserve"> Viljoen came to an understanding sometime in </w:t>
      </w:r>
      <w:r w:rsidR="001A0DA3" w:rsidRPr="00631743">
        <w:rPr>
          <w:rFonts w:ascii="Arial" w:eastAsia="Times New Roman" w:hAnsi="Arial" w:cs="Arial"/>
          <w:sz w:val="24"/>
          <w:szCs w:val="24"/>
        </w:rPr>
        <w:t xml:space="preserve">July </w:t>
      </w:r>
      <w:r w:rsidR="00A40DC5" w:rsidRPr="00631743">
        <w:rPr>
          <w:rFonts w:ascii="Arial" w:eastAsia="Times New Roman" w:hAnsi="Arial" w:cs="Arial"/>
          <w:sz w:val="24"/>
          <w:szCs w:val="24"/>
        </w:rPr>
        <w:t xml:space="preserve">2010 to jointly purchase </w:t>
      </w:r>
      <w:r w:rsidR="001A0DA3" w:rsidRPr="00631743">
        <w:rPr>
          <w:rFonts w:ascii="Arial" w:eastAsia="Times New Roman" w:hAnsi="Arial" w:cs="Arial"/>
          <w:sz w:val="24"/>
          <w:szCs w:val="24"/>
        </w:rPr>
        <w:t>agricultural land in Namibia.</w:t>
      </w:r>
      <w:r w:rsidR="00A40DC5" w:rsidRPr="00631743">
        <w:rPr>
          <w:rFonts w:ascii="Arial" w:eastAsia="Times New Roman" w:hAnsi="Arial" w:cs="Arial"/>
          <w:sz w:val="24"/>
          <w:szCs w:val="24"/>
        </w:rPr>
        <w:t xml:space="preserve"> Denker identified the land to be bought and shared its </w:t>
      </w:r>
      <w:r w:rsidR="001A0DA3" w:rsidRPr="00631743">
        <w:rPr>
          <w:rFonts w:ascii="Arial" w:eastAsia="Times New Roman" w:hAnsi="Arial" w:cs="Arial"/>
          <w:sz w:val="24"/>
          <w:szCs w:val="24"/>
        </w:rPr>
        <w:t>attributes with</w:t>
      </w:r>
      <w:r w:rsidR="00A40DC5" w:rsidRPr="00631743">
        <w:rPr>
          <w:rFonts w:ascii="Arial" w:eastAsia="Times New Roman" w:hAnsi="Arial" w:cs="Arial"/>
          <w:sz w:val="24"/>
          <w:szCs w:val="24"/>
        </w:rPr>
        <w:t xml:space="preserve"> Viljoen who was quite keen to acquire a piece of agricultural land in Namibia. In his founding </w:t>
      </w:r>
      <w:r w:rsidR="000A6C90" w:rsidRPr="00631743">
        <w:rPr>
          <w:rFonts w:ascii="Arial" w:eastAsia="Times New Roman" w:hAnsi="Arial" w:cs="Arial"/>
          <w:sz w:val="24"/>
          <w:szCs w:val="24"/>
        </w:rPr>
        <w:t>affidavit,</w:t>
      </w:r>
      <w:r w:rsidR="00B91CD3" w:rsidRPr="00631743">
        <w:rPr>
          <w:rFonts w:ascii="Arial" w:eastAsia="Times New Roman" w:hAnsi="Arial" w:cs="Arial"/>
          <w:sz w:val="24"/>
          <w:szCs w:val="24"/>
        </w:rPr>
        <w:t xml:space="preserve"> Denker admits</w:t>
      </w:r>
      <w:r w:rsidR="000A6C90" w:rsidRPr="00631743">
        <w:rPr>
          <w:rFonts w:ascii="Arial" w:eastAsia="Times New Roman" w:hAnsi="Arial" w:cs="Arial"/>
          <w:sz w:val="24"/>
          <w:szCs w:val="24"/>
        </w:rPr>
        <w:t xml:space="preserve"> that both he and</w:t>
      </w:r>
      <w:r w:rsidR="00A40DC5" w:rsidRPr="00631743">
        <w:rPr>
          <w:rFonts w:ascii="Arial" w:eastAsia="Times New Roman" w:hAnsi="Arial" w:cs="Arial"/>
          <w:sz w:val="24"/>
          <w:szCs w:val="24"/>
        </w:rPr>
        <w:t xml:space="preserve"> Viljoen knew that there were restrictions on the purchase of agricultural land by non-Namibians. An agreement was </w:t>
      </w:r>
      <w:r w:rsidR="00370E04" w:rsidRPr="00631743">
        <w:rPr>
          <w:rFonts w:ascii="Arial" w:eastAsia="Times New Roman" w:hAnsi="Arial" w:cs="Arial"/>
          <w:sz w:val="24"/>
          <w:szCs w:val="24"/>
        </w:rPr>
        <w:t>however</w:t>
      </w:r>
      <w:r w:rsidR="00A40DC5" w:rsidRPr="00631743">
        <w:rPr>
          <w:rFonts w:ascii="Arial" w:eastAsia="Times New Roman" w:hAnsi="Arial" w:cs="Arial"/>
          <w:sz w:val="24"/>
          <w:szCs w:val="24"/>
        </w:rPr>
        <w:t xml:space="preserve"> reached that the duo wo</w:t>
      </w:r>
      <w:r w:rsidR="00F2343A" w:rsidRPr="00631743">
        <w:rPr>
          <w:rFonts w:ascii="Arial" w:eastAsia="Times New Roman" w:hAnsi="Arial" w:cs="Arial"/>
          <w:sz w:val="24"/>
          <w:szCs w:val="24"/>
        </w:rPr>
        <w:t xml:space="preserve">uld purchase agricultural land; </w:t>
      </w:r>
      <w:r w:rsidR="00A40DC5" w:rsidRPr="00631743">
        <w:rPr>
          <w:rFonts w:ascii="Arial" w:eastAsia="Times New Roman" w:hAnsi="Arial" w:cs="Arial"/>
          <w:sz w:val="24"/>
          <w:szCs w:val="24"/>
        </w:rPr>
        <w:t>and would equally contribute to the purchase price and that they would bid for the land up to a maximum amount of N$ 12 million, with each contributing N$ 6 million towards the purchase price.</w:t>
      </w:r>
    </w:p>
    <w:p w:rsidR="00A40DC5" w:rsidRPr="00631743" w:rsidRDefault="00A40DC5" w:rsidP="004012CE">
      <w:pPr>
        <w:spacing w:before="100" w:beforeAutospacing="1" w:after="100" w:afterAutospacing="1" w:line="480" w:lineRule="auto"/>
        <w:jc w:val="both"/>
        <w:rPr>
          <w:rFonts w:ascii="Arial" w:eastAsia="Times New Roman" w:hAnsi="Arial" w:cs="Arial"/>
          <w:color w:val="000000" w:themeColor="text1"/>
          <w:sz w:val="24"/>
          <w:szCs w:val="24"/>
        </w:rPr>
      </w:pPr>
      <w:r w:rsidRPr="00631743">
        <w:rPr>
          <w:rFonts w:ascii="Arial" w:eastAsia="Times New Roman" w:hAnsi="Arial" w:cs="Arial"/>
          <w:sz w:val="24"/>
          <w:szCs w:val="24"/>
        </w:rPr>
        <w:lastRenderedPageBreak/>
        <w:t>[</w:t>
      </w:r>
      <w:r w:rsidR="00106F89" w:rsidRPr="00631743">
        <w:rPr>
          <w:rFonts w:ascii="Arial" w:eastAsia="Times New Roman" w:hAnsi="Arial" w:cs="Arial"/>
          <w:sz w:val="24"/>
          <w:szCs w:val="24"/>
        </w:rPr>
        <w:t>22</w:t>
      </w:r>
      <w:r w:rsidR="00F2343A" w:rsidRPr="00631743">
        <w:rPr>
          <w:rFonts w:ascii="Arial" w:eastAsia="Times New Roman" w:hAnsi="Arial" w:cs="Arial"/>
          <w:sz w:val="24"/>
          <w:szCs w:val="24"/>
        </w:rPr>
        <w:t>]</w:t>
      </w:r>
      <w:r w:rsidR="00F2343A" w:rsidRPr="00631743">
        <w:rPr>
          <w:rFonts w:ascii="Arial" w:eastAsia="Times New Roman" w:hAnsi="Arial" w:cs="Arial"/>
          <w:sz w:val="24"/>
          <w:szCs w:val="24"/>
        </w:rPr>
        <w:tab/>
      </w:r>
      <w:r w:rsidR="00135EDC" w:rsidRPr="00631743">
        <w:rPr>
          <w:rFonts w:ascii="Arial" w:eastAsia="Times New Roman" w:hAnsi="Arial" w:cs="Arial"/>
          <w:sz w:val="24"/>
          <w:szCs w:val="24"/>
        </w:rPr>
        <w:t>On</w:t>
      </w:r>
      <w:r w:rsidR="000A6C90" w:rsidRPr="00631743">
        <w:rPr>
          <w:rFonts w:ascii="Arial" w:eastAsia="Times New Roman" w:hAnsi="Arial" w:cs="Arial"/>
          <w:sz w:val="24"/>
          <w:szCs w:val="24"/>
        </w:rPr>
        <w:t xml:space="preserve"> 8 July 2010,</w:t>
      </w:r>
      <w:r w:rsidRPr="00631743">
        <w:rPr>
          <w:rFonts w:ascii="Arial" w:eastAsia="Times New Roman" w:hAnsi="Arial" w:cs="Arial"/>
          <w:sz w:val="24"/>
          <w:szCs w:val="24"/>
        </w:rPr>
        <w:t xml:space="preserve"> Denke</w:t>
      </w:r>
      <w:r w:rsidR="00E20AE0" w:rsidRPr="00631743">
        <w:rPr>
          <w:rFonts w:ascii="Arial" w:eastAsia="Times New Roman" w:hAnsi="Arial" w:cs="Arial"/>
          <w:sz w:val="24"/>
          <w:szCs w:val="24"/>
        </w:rPr>
        <w:t xml:space="preserve">r bid at a sale in execution for </w:t>
      </w:r>
      <w:r w:rsidRPr="00631743">
        <w:rPr>
          <w:rFonts w:ascii="Arial" w:eastAsia="Times New Roman" w:hAnsi="Arial" w:cs="Arial"/>
          <w:sz w:val="24"/>
          <w:szCs w:val="24"/>
        </w:rPr>
        <w:t xml:space="preserve">farm Ameib and </w:t>
      </w:r>
      <w:r w:rsidR="00E20AE0" w:rsidRPr="00631743">
        <w:rPr>
          <w:rFonts w:ascii="Arial" w:eastAsia="Times New Roman" w:hAnsi="Arial" w:cs="Arial"/>
          <w:sz w:val="24"/>
          <w:szCs w:val="24"/>
        </w:rPr>
        <w:t>his bid was</w:t>
      </w:r>
      <w:r w:rsidRPr="00631743">
        <w:rPr>
          <w:rFonts w:ascii="Arial" w:eastAsia="Times New Roman" w:hAnsi="Arial" w:cs="Arial"/>
          <w:sz w:val="24"/>
          <w:szCs w:val="24"/>
        </w:rPr>
        <w:t xml:space="preserve"> </w:t>
      </w:r>
      <w:r w:rsidR="00E20AE0" w:rsidRPr="00631743">
        <w:rPr>
          <w:rFonts w:ascii="Arial" w:eastAsia="Times New Roman" w:hAnsi="Arial" w:cs="Arial"/>
          <w:sz w:val="24"/>
          <w:szCs w:val="24"/>
        </w:rPr>
        <w:t xml:space="preserve">accepted for </w:t>
      </w:r>
      <w:r w:rsidRPr="00631743">
        <w:rPr>
          <w:rFonts w:ascii="Arial" w:eastAsia="Times New Roman" w:hAnsi="Arial" w:cs="Arial"/>
          <w:sz w:val="24"/>
          <w:szCs w:val="24"/>
        </w:rPr>
        <w:t xml:space="preserve">the amount of </w:t>
      </w:r>
      <w:r w:rsidR="00E20AE0" w:rsidRPr="00631743">
        <w:rPr>
          <w:rFonts w:ascii="Arial" w:eastAsia="Times New Roman" w:hAnsi="Arial" w:cs="Arial"/>
          <w:sz w:val="24"/>
          <w:szCs w:val="24"/>
        </w:rPr>
        <w:t>N$</w:t>
      </w:r>
      <w:r w:rsidR="000D7FBF" w:rsidRPr="00631743">
        <w:rPr>
          <w:rFonts w:ascii="Arial" w:eastAsia="Times New Roman" w:hAnsi="Arial" w:cs="Arial"/>
          <w:sz w:val="24"/>
          <w:szCs w:val="24"/>
        </w:rPr>
        <w:t xml:space="preserve">10, 3 million. Both he and </w:t>
      </w:r>
      <w:r w:rsidRPr="00631743">
        <w:rPr>
          <w:rFonts w:ascii="Arial" w:eastAsia="Times New Roman" w:hAnsi="Arial" w:cs="Arial"/>
          <w:sz w:val="24"/>
          <w:szCs w:val="24"/>
        </w:rPr>
        <w:t>Viljoen then</w:t>
      </w:r>
      <w:r w:rsidR="00E20AE0" w:rsidRPr="00631743">
        <w:rPr>
          <w:rFonts w:ascii="Arial" w:eastAsia="Times New Roman" w:hAnsi="Arial" w:cs="Arial"/>
          <w:sz w:val="24"/>
          <w:szCs w:val="24"/>
        </w:rPr>
        <w:t>,</w:t>
      </w:r>
      <w:r w:rsidRPr="00631743">
        <w:rPr>
          <w:rFonts w:ascii="Arial" w:eastAsia="Times New Roman" w:hAnsi="Arial" w:cs="Arial"/>
          <w:sz w:val="24"/>
          <w:szCs w:val="24"/>
        </w:rPr>
        <w:t xml:space="preserve"> </w:t>
      </w:r>
      <w:r w:rsidR="00DD4A53" w:rsidRPr="00631743">
        <w:rPr>
          <w:rFonts w:ascii="Arial" w:eastAsia="Times New Roman" w:hAnsi="Arial" w:cs="Arial"/>
          <w:sz w:val="24"/>
          <w:szCs w:val="24"/>
        </w:rPr>
        <w:t>in their personal capacities</w:t>
      </w:r>
      <w:r w:rsidR="00E20AE0" w:rsidRPr="00631743">
        <w:rPr>
          <w:rFonts w:ascii="Arial" w:eastAsia="Times New Roman" w:hAnsi="Arial" w:cs="Arial"/>
          <w:sz w:val="24"/>
          <w:szCs w:val="24"/>
        </w:rPr>
        <w:t>,</w:t>
      </w:r>
      <w:r w:rsidR="00DD4A53" w:rsidRPr="00631743">
        <w:rPr>
          <w:rFonts w:ascii="Arial" w:eastAsia="Times New Roman" w:hAnsi="Arial" w:cs="Arial"/>
          <w:sz w:val="24"/>
          <w:szCs w:val="24"/>
        </w:rPr>
        <w:t xml:space="preserve"> </w:t>
      </w:r>
      <w:r w:rsidRPr="00631743">
        <w:rPr>
          <w:rFonts w:ascii="Arial" w:eastAsia="Times New Roman" w:hAnsi="Arial" w:cs="Arial"/>
          <w:sz w:val="24"/>
          <w:szCs w:val="24"/>
        </w:rPr>
        <w:t xml:space="preserve">signed the ‘conditions of sale in execution of immovable property’ </w:t>
      </w:r>
      <w:r w:rsidR="00B91CD3" w:rsidRPr="00631743">
        <w:rPr>
          <w:rFonts w:ascii="Arial" w:eastAsia="Times New Roman" w:hAnsi="Arial" w:cs="Arial"/>
          <w:sz w:val="24"/>
          <w:szCs w:val="24"/>
        </w:rPr>
        <w:t>required by the executing deputy sheriff</w:t>
      </w:r>
      <w:r w:rsidR="00DD4A53" w:rsidRPr="00631743">
        <w:rPr>
          <w:rFonts w:ascii="Arial" w:eastAsia="Times New Roman" w:hAnsi="Arial" w:cs="Arial"/>
          <w:sz w:val="24"/>
          <w:szCs w:val="24"/>
        </w:rPr>
        <w:t>.</w:t>
      </w:r>
      <w:r w:rsidR="00B91CD3" w:rsidRPr="00631743">
        <w:rPr>
          <w:rFonts w:ascii="Arial" w:eastAsia="Times New Roman" w:hAnsi="Arial" w:cs="Arial"/>
          <w:sz w:val="24"/>
          <w:szCs w:val="24"/>
        </w:rPr>
        <w:t xml:space="preserve"> </w:t>
      </w:r>
      <w:r w:rsidRPr="00631743">
        <w:rPr>
          <w:rFonts w:ascii="Arial" w:eastAsia="Times New Roman" w:hAnsi="Arial" w:cs="Arial"/>
          <w:sz w:val="24"/>
          <w:szCs w:val="24"/>
        </w:rPr>
        <w:t>Th</w:t>
      </w:r>
      <w:r w:rsidR="00DD4A53" w:rsidRPr="00631743">
        <w:rPr>
          <w:rFonts w:ascii="Arial" w:eastAsia="Times New Roman" w:hAnsi="Arial" w:cs="Arial"/>
          <w:sz w:val="24"/>
          <w:szCs w:val="24"/>
        </w:rPr>
        <w:t>ose</w:t>
      </w:r>
      <w:r w:rsidRPr="00631743">
        <w:rPr>
          <w:rFonts w:ascii="Arial" w:eastAsia="Times New Roman" w:hAnsi="Arial" w:cs="Arial"/>
          <w:sz w:val="24"/>
          <w:szCs w:val="24"/>
        </w:rPr>
        <w:t xml:space="preserve"> condition</w:t>
      </w:r>
      <w:r w:rsidR="00DD4A53" w:rsidRPr="00631743">
        <w:rPr>
          <w:rFonts w:ascii="Arial" w:eastAsia="Times New Roman" w:hAnsi="Arial" w:cs="Arial"/>
          <w:sz w:val="24"/>
          <w:szCs w:val="24"/>
        </w:rPr>
        <w:t>s of sale</w:t>
      </w:r>
      <w:r w:rsidR="00B91CD3" w:rsidRPr="00631743">
        <w:rPr>
          <w:rFonts w:ascii="Arial" w:eastAsia="Times New Roman" w:hAnsi="Arial" w:cs="Arial"/>
          <w:sz w:val="24"/>
          <w:szCs w:val="24"/>
        </w:rPr>
        <w:t xml:space="preserve"> recorded </w:t>
      </w:r>
      <w:r w:rsidRPr="00631743">
        <w:rPr>
          <w:rFonts w:ascii="Arial" w:eastAsia="Times New Roman" w:hAnsi="Arial" w:cs="Arial"/>
          <w:sz w:val="24"/>
          <w:szCs w:val="24"/>
        </w:rPr>
        <w:t>that a nominee would be the e</w:t>
      </w:r>
      <w:r w:rsidR="00DD4A53" w:rsidRPr="00631743">
        <w:rPr>
          <w:rFonts w:ascii="Arial" w:eastAsia="Times New Roman" w:hAnsi="Arial" w:cs="Arial"/>
          <w:sz w:val="24"/>
          <w:szCs w:val="24"/>
        </w:rPr>
        <w:t>ventual acquirer of the land.</w:t>
      </w:r>
      <w:r w:rsidRPr="00631743">
        <w:rPr>
          <w:rFonts w:ascii="Arial" w:eastAsia="Times New Roman" w:hAnsi="Arial" w:cs="Arial"/>
          <w:sz w:val="24"/>
          <w:szCs w:val="24"/>
        </w:rPr>
        <w:t xml:space="preserve"> Viljoen on the same day paid an amount of N$ 460 000 towards the deputy sheriff’s commission and a deposit of N$ 1 </w:t>
      </w:r>
      <w:r w:rsidRPr="00631743">
        <w:rPr>
          <w:rFonts w:ascii="Arial" w:eastAsia="Times New Roman" w:hAnsi="Arial" w:cs="Arial"/>
          <w:color w:val="000000" w:themeColor="text1"/>
          <w:sz w:val="24"/>
          <w:szCs w:val="24"/>
        </w:rPr>
        <w:t xml:space="preserve">030 000 towards the purchase price. </w:t>
      </w:r>
      <w:r w:rsidR="00DD4A53" w:rsidRPr="00631743">
        <w:rPr>
          <w:rFonts w:ascii="Arial" w:eastAsia="Times New Roman" w:hAnsi="Arial" w:cs="Arial"/>
          <w:color w:val="000000" w:themeColor="text1"/>
          <w:sz w:val="24"/>
          <w:szCs w:val="24"/>
        </w:rPr>
        <w:t xml:space="preserve">He </w:t>
      </w:r>
      <w:r w:rsidRPr="00631743">
        <w:rPr>
          <w:rFonts w:ascii="Arial" w:eastAsia="Times New Roman" w:hAnsi="Arial" w:cs="Arial"/>
          <w:color w:val="000000" w:themeColor="text1"/>
          <w:sz w:val="24"/>
          <w:szCs w:val="24"/>
        </w:rPr>
        <w:t>also transferred N$ 3 900 000 as security for his share of the joint guarantee and to cover his 50% o</w:t>
      </w:r>
      <w:r w:rsidR="00951BA0" w:rsidRPr="00631743">
        <w:rPr>
          <w:rFonts w:ascii="Arial" w:eastAsia="Times New Roman" w:hAnsi="Arial" w:cs="Arial"/>
          <w:color w:val="000000" w:themeColor="text1"/>
          <w:sz w:val="24"/>
          <w:szCs w:val="24"/>
        </w:rPr>
        <w:t>f the purchase</w:t>
      </w:r>
      <w:r w:rsidR="002F0A3B" w:rsidRPr="00631743">
        <w:rPr>
          <w:rFonts w:ascii="Arial" w:eastAsia="Times New Roman" w:hAnsi="Arial" w:cs="Arial"/>
          <w:color w:val="000000" w:themeColor="text1"/>
          <w:sz w:val="24"/>
          <w:szCs w:val="24"/>
        </w:rPr>
        <w:t xml:space="preserve"> </w:t>
      </w:r>
      <w:r w:rsidR="00951BA0" w:rsidRPr="00631743">
        <w:rPr>
          <w:rFonts w:ascii="Arial" w:eastAsia="Times New Roman" w:hAnsi="Arial" w:cs="Arial"/>
          <w:color w:val="000000" w:themeColor="text1"/>
          <w:sz w:val="24"/>
          <w:szCs w:val="24"/>
        </w:rPr>
        <w:t>price</w:t>
      </w:r>
      <w:r w:rsidR="002F0A3B" w:rsidRPr="00631743">
        <w:rPr>
          <w:rFonts w:ascii="Arial" w:eastAsia="Times New Roman" w:hAnsi="Arial" w:cs="Arial"/>
          <w:color w:val="000000" w:themeColor="text1"/>
          <w:sz w:val="24"/>
          <w:szCs w:val="24"/>
        </w:rPr>
        <w:t xml:space="preserve"> (N$ 5 380 000.00</w:t>
      </w:r>
      <w:r w:rsidR="000D7FBF" w:rsidRPr="00631743">
        <w:rPr>
          <w:rFonts w:ascii="Arial" w:eastAsia="Times New Roman" w:hAnsi="Arial" w:cs="Arial"/>
          <w:color w:val="000000" w:themeColor="text1"/>
          <w:sz w:val="24"/>
          <w:szCs w:val="24"/>
        </w:rPr>
        <w:t>)</w:t>
      </w:r>
      <w:r w:rsidR="00951BA0" w:rsidRPr="00631743">
        <w:rPr>
          <w:rFonts w:ascii="Arial" w:eastAsia="Times New Roman" w:hAnsi="Arial" w:cs="Arial"/>
          <w:color w:val="000000" w:themeColor="text1"/>
          <w:sz w:val="24"/>
          <w:szCs w:val="24"/>
        </w:rPr>
        <w:t xml:space="preserve">. </w:t>
      </w:r>
      <w:r w:rsidRPr="00631743">
        <w:rPr>
          <w:rFonts w:ascii="Arial" w:eastAsia="Times New Roman" w:hAnsi="Arial" w:cs="Arial"/>
          <w:color w:val="000000" w:themeColor="text1"/>
          <w:sz w:val="24"/>
          <w:szCs w:val="24"/>
        </w:rPr>
        <w:t xml:space="preserve">Denker similarly </w:t>
      </w:r>
      <w:r w:rsidR="00B91CD3" w:rsidRPr="00631743">
        <w:rPr>
          <w:rFonts w:ascii="Arial" w:eastAsia="Times New Roman" w:hAnsi="Arial" w:cs="Arial"/>
          <w:color w:val="000000" w:themeColor="text1"/>
          <w:sz w:val="24"/>
          <w:szCs w:val="24"/>
        </w:rPr>
        <w:t xml:space="preserve">paid </w:t>
      </w:r>
      <w:r w:rsidR="00F2343A" w:rsidRPr="00631743">
        <w:rPr>
          <w:rFonts w:ascii="Arial" w:eastAsia="Times New Roman" w:hAnsi="Arial" w:cs="Arial"/>
          <w:color w:val="000000" w:themeColor="text1"/>
          <w:sz w:val="24"/>
          <w:szCs w:val="24"/>
        </w:rPr>
        <w:t xml:space="preserve">50% of the </w:t>
      </w:r>
      <w:r w:rsidR="00B91CD3" w:rsidRPr="00631743">
        <w:rPr>
          <w:rFonts w:ascii="Arial" w:eastAsia="Times New Roman" w:hAnsi="Arial" w:cs="Arial"/>
          <w:color w:val="000000" w:themeColor="text1"/>
          <w:sz w:val="24"/>
          <w:szCs w:val="24"/>
        </w:rPr>
        <w:t xml:space="preserve">purchase </w:t>
      </w:r>
      <w:r w:rsidRPr="00631743">
        <w:rPr>
          <w:rFonts w:ascii="Arial" w:eastAsia="Times New Roman" w:hAnsi="Arial" w:cs="Arial"/>
          <w:color w:val="000000" w:themeColor="text1"/>
          <w:sz w:val="24"/>
          <w:szCs w:val="24"/>
        </w:rPr>
        <w:t xml:space="preserve">price </w:t>
      </w:r>
      <w:r w:rsidR="00B91CD3" w:rsidRPr="00631743">
        <w:rPr>
          <w:rFonts w:ascii="Arial" w:eastAsia="Times New Roman" w:hAnsi="Arial" w:cs="Arial"/>
          <w:color w:val="000000" w:themeColor="text1"/>
          <w:sz w:val="24"/>
          <w:szCs w:val="24"/>
        </w:rPr>
        <w:t xml:space="preserve">of </w:t>
      </w:r>
      <w:r w:rsidR="00F2343A" w:rsidRPr="00631743">
        <w:rPr>
          <w:rFonts w:ascii="Arial" w:eastAsia="Times New Roman" w:hAnsi="Arial" w:cs="Arial"/>
          <w:color w:val="000000" w:themeColor="text1"/>
          <w:sz w:val="24"/>
          <w:szCs w:val="24"/>
        </w:rPr>
        <w:t>N$ 5 380 000,00</w:t>
      </w:r>
      <w:r w:rsidR="004012CE" w:rsidRPr="00631743">
        <w:rPr>
          <w:rFonts w:ascii="Arial" w:eastAsia="Times New Roman" w:hAnsi="Arial" w:cs="Arial"/>
          <w:color w:val="000000" w:themeColor="text1"/>
          <w:sz w:val="24"/>
          <w:szCs w:val="24"/>
        </w:rPr>
        <w:t xml:space="preserve"> </w:t>
      </w:r>
      <w:r w:rsidR="00135EDC" w:rsidRPr="00631743">
        <w:rPr>
          <w:rFonts w:ascii="Arial" w:eastAsia="Times New Roman" w:hAnsi="Arial" w:cs="Arial"/>
          <w:color w:val="000000" w:themeColor="text1"/>
          <w:sz w:val="24"/>
          <w:szCs w:val="24"/>
        </w:rPr>
        <w:t>(</w:t>
      </w:r>
      <w:r w:rsidRPr="00631743">
        <w:rPr>
          <w:rFonts w:ascii="Arial" w:eastAsia="Times New Roman" w:hAnsi="Arial" w:cs="Arial"/>
          <w:color w:val="000000" w:themeColor="text1"/>
          <w:sz w:val="24"/>
          <w:szCs w:val="24"/>
        </w:rPr>
        <w:t>N$ 10 300 000.00 plus N$ 460 000.00 commission).</w:t>
      </w:r>
    </w:p>
    <w:p w:rsidR="00A40DC5" w:rsidRPr="00631743" w:rsidRDefault="00A40DC5" w:rsidP="004012CE">
      <w:pPr>
        <w:spacing w:before="100" w:beforeAutospacing="1" w:after="100" w:afterAutospacing="1" w:line="480" w:lineRule="auto"/>
        <w:jc w:val="both"/>
        <w:rPr>
          <w:rFonts w:ascii="Arial" w:eastAsia="Times New Roman" w:hAnsi="Arial" w:cs="Arial"/>
          <w:sz w:val="24"/>
          <w:szCs w:val="24"/>
        </w:rPr>
      </w:pPr>
      <w:r w:rsidRPr="00631743">
        <w:rPr>
          <w:rFonts w:ascii="Arial" w:eastAsia="Times New Roman" w:hAnsi="Arial" w:cs="Arial"/>
          <w:sz w:val="24"/>
          <w:szCs w:val="24"/>
        </w:rPr>
        <w:t>[2</w:t>
      </w:r>
      <w:r w:rsidR="00106F89" w:rsidRPr="00631743">
        <w:rPr>
          <w:rFonts w:ascii="Arial" w:eastAsia="Times New Roman" w:hAnsi="Arial" w:cs="Arial"/>
          <w:sz w:val="24"/>
          <w:szCs w:val="24"/>
        </w:rPr>
        <w:t>3</w:t>
      </w:r>
      <w:r w:rsidR="00B91CD3" w:rsidRPr="00631743">
        <w:rPr>
          <w:rFonts w:ascii="Arial" w:eastAsia="Times New Roman" w:hAnsi="Arial" w:cs="Arial"/>
          <w:sz w:val="24"/>
          <w:szCs w:val="24"/>
        </w:rPr>
        <w:t>]</w:t>
      </w:r>
      <w:r w:rsidR="004012CE" w:rsidRPr="00631743">
        <w:rPr>
          <w:rFonts w:ascii="Arial" w:eastAsia="Times New Roman" w:hAnsi="Arial" w:cs="Arial"/>
          <w:sz w:val="24"/>
          <w:szCs w:val="24"/>
        </w:rPr>
        <w:tab/>
      </w:r>
      <w:r w:rsidRPr="00631743">
        <w:rPr>
          <w:rFonts w:ascii="Arial" w:eastAsia="Times New Roman" w:hAnsi="Arial" w:cs="Arial"/>
          <w:sz w:val="24"/>
          <w:szCs w:val="24"/>
        </w:rPr>
        <w:t xml:space="preserve">On 1 July </w:t>
      </w:r>
      <w:r w:rsidR="00DD4A53" w:rsidRPr="00631743">
        <w:rPr>
          <w:rFonts w:ascii="Arial" w:eastAsia="Times New Roman" w:hAnsi="Arial" w:cs="Arial"/>
          <w:sz w:val="24"/>
          <w:szCs w:val="24"/>
        </w:rPr>
        <w:t>2010, Denker and</w:t>
      </w:r>
      <w:r w:rsidRPr="00631743">
        <w:rPr>
          <w:rFonts w:ascii="Arial" w:eastAsia="Times New Roman" w:hAnsi="Arial" w:cs="Arial"/>
          <w:sz w:val="24"/>
          <w:szCs w:val="24"/>
        </w:rPr>
        <w:t xml:space="preserve"> Viljoen purchased a shelf company, then called Bonsai Investment </w:t>
      </w:r>
      <w:r w:rsidR="00135EDC" w:rsidRPr="00631743">
        <w:rPr>
          <w:rFonts w:ascii="Arial" w:eastAsia="Times New Roman" w:hAnsi="Arial" w:cs="Arial"/>
          <w:sz w:val="24"/>
          <w:szCs w:val="24"/>
        </w:rPr>
        <w:t>Eighty-Three</w:t>
      </w:r>
      <w:r w:rsidRPr="00631743">
        <w:rPr>
          <w:rFonts w:ascii="Arial" w:eastAsia="Times New Roman" w:hAnsi="Arial" w:cs="Arial"/>
          <w:sz w:val="24"/>
          <w:szCs w:val="24"/>
        </w:rPr>
        <w:t xml:space="preserve"> (Pty) Ltd (Bonsai) and later changed to </w:t>
      </w:r>
      <w:r w:rsidR="00B91CD3" w:rsidRPr="00631743">
        <w:rPr>
          <w:rFonts w:ascii="Arial" w:eastAsia="Times New Roman" w:hAnsi="Arial" w:cs="Arial"/>
          <w:sz w:val="24"/>
          <w:szCs w:val="24"/>
        </w:rPr>
        <w:t xml:space="preserve">its present name </w:t>
      </w:r>
      <w:r w:rsidRPr="00631743">
        <w:rPr>
          <w:rFonts w:ascii="Arial" w:eastAsia="Times New Roman" w:hAnsi="Arial" w:cs="Arial"/>
          <w:sz w:val="24"/>
          <w:szCs w:val="24"/>
        </w:rPr>
        <w:t>Ameib Rhino Sanctuary (Pty) Ltd. They had chosen it to be the appropriate ‘vehicle’ to own farm Ameib</w:t>
      </w:r>
      <w:r w:rsidR="00DD4A53" w:rsidRPr="00631743">
        <w:rPr>
          <w:rFonts w:ascii="Arial" w:eastAsia="Times New Roman" w:hAnsi="Arial" w:cs="Arial"/>
          <w:sz w:val="24"/>
          <w:szCs w:val="24"/>
        </w:rPr>
        <w:t>.</w:t>
      </w:r>
      <w:r w:rsidRPr="00631743">
        <w:rPr>
          <w:rFonts w:ascii="Arial" w:eastAsia="Times New Roman" w:hAnsi="Arial" w:cs="Arial"/>
          <w:sz w:val="24"/>
          <w:szCs w:val="24"/>
        </w:rPr>
        <w:t xml:space="preserve"> </w:t>
      </w:r>
    </w:p>
    <w:p w:rsidR="00A40DC5" w:rsidRPr="00631743" w:rsidRDefault="00106F89" w:rsidP="004012CE">
      <w:pPr>
        <w:spacing w:before="100" w:beforeAutospacing="1" w:after="100" w:afterAutospacing="1" w:line="480" w:lineRule="auto"/>
        <w:jc w:val="both"/>
        <w:rPr>
          <w:rFonts w:ascii="Arial" w:eastAsia="Times New Roman" w:hAnsi="Arial" w:cs="Arial"/>
          <w:sz w:val="24"/>
          <w:szCs w:val="24"/>
        </w:rPr>
      </w:pPr>
      <w:r w:rsidRPr="00631743">
        <w:rPr>
          <w:rFonts w:ascii="Arial" w:eastAsia="Times New Roman" w:hAnsi="Arial" w:cs="Arial"/>
          <w:sz w:val="24"/>
          <w:szCs w:val="24"/>
        </w:rPr>
        <w:t>[24</w:t>
      </w:r>
      <w:r w:rsidR="004012CE" w:rsidRPr="00631743">
        <w:rPr>
          <w:rFonts w:ascii="Arial" w:eastAsia="Times New Roman" w:hAnsi="Arial" w:cs="Arial"/>
          <w:sz w:val="24"/>
          <w:szCs w:val="24"/>
        </w:rPr>
        <w:t>]</w:t>
      </w:r>
      <w:r w:rsidR="004012CE" w:rsidRPr="00631743">
        <w:rPr>
          <w:rFonts w:ascii="Arial" w:eastAsia="Times New Roman" w:hAnsi="Arial" w:cs="Arial"/>
          <w:sz w:val="24"/>
          <w:szCs w:val="24"/>
        </w:rPr>
        <w:tab/>
      </w:r>
      <w:r w:rsidR="00135EDC" w:rsidRPr="00631743">
        <w:rPr>
          <w:rFonts w:ascii="Arial" w:eastAsia="Times New Roman" w:hAnsi="Arial" w:cs="Arial"/>
          <w:sz w:val="24"/>
          <w:szCs w:val="24"/>
        </w:rPr>
        <w:t>A</w:t>
      </w:r>
      <w:r w:rsidR="00A40DC5" w:rsidRPr="00631743">
        <w:rPr>
          <w:rFonts w:ascii="Arial" w:eastAsia="Times New Roman" w:hAnsi="Arial" w:cs="Arial"/>
          <w:sz w:val="24"/>
          <w:szCs w:val="24"/>
        </w:rPr>
        <w:t xml:space="preserve"> resolution was passed </w:t>
      </w:r>
      <w:r w:rsidR="00135EDC" w:rsidRPr="00631743">
        <w:rPr>
          <w:rFonts w:ascii="Arial" w:eastAsia="Times New Roman" w:hAnsi="Arial" w:cs="Arial"/>
          <w:sz w:val="24"/>
          <w:szCs w:val="24"/>
        </w:rPr>
        <w:t>on 1</w:t>
      </w:r>
      <w:r w:rsidR="00A40DC5" w:rsidRPr="00631743">
        <w:rPr>
          <w:rFonts w:ascii="Arial" w:eastAsia="Times New Roman" w:hAnsi="Arial" w:cs="Arial"/>
          <w:sz w:val="24"/>
          <w:szCs w:val="24"/>
        </w:rPr>
        <w:t xml:space="preserve"> July 2010</w:t>
      </w:r>
      <w:r w:rsidR="00DD4A53" w:rsidRPr="00631743">
        <w:rPr>
          <w:rFonts w:ascii="Arial" w:eastAsia="Times New Roman" w:hAnsi="Arial" w:cs="Arial"/>
          <w:sz w:val="24"/>
          <w:szCs w:val="24"/>
        </w:rPr>
        <w:t xml:space="preserve"> appointing Denker and</w:t>
      </w:r>
      <w:r w:rsidR="00A40DC5" w:rsidRPr="00631743">
        <w:rPr>
          <w:rFonts w:ascii="Arial" w:eastAsia="Times New Roman" w:hAnsi="Arial" w:cs="Arial"/>
          <w:sz w:val="24"/>
          <w:szCs w:val="24"/>
        </w:rPr>
        <w:t xml:space="preserve"> Vi</w:t>
      </w:r>
      <w:r w:rsidR="00951BA0" w:rsidRPr="00631743">
        <w:rPr>
          <w:rFonts w:ascii="Arial" w:eastAsia="Times New Roman" w:hAnsi="Arial" w:cs="Arial"/>
          <w:sz w:val="24"/>
          <w:szCs w:val="24"/>
        </w:rPr>
        <w:t>ljo</w:t>
      </w:r>
      <w:r w:rsidR="00B96E0A" w:rsidRPr="00631743">
        <w:rPr>
          <w:rFonts w:ascii="Arial" w:eastAsia="Times New Roman" w:hAnsi="Arial" w:cs="Arial"/>
          <w:sz w:val="24"/>
          <w:szCs w:val="24"/>
        </w:rPr>
        <w:t>en as the new directors, and</w:t>
      </w:r>
      <w:r w:rsidR="00951BA0" w:rsidRPr="00631743">
        <w:rPr>
          <w:rFonts w:ascii="Arial" w:eastAsia="Times New Roman" w:hAnsi="Arial" w:cs="Arial"/>
          <w:sz w:val="24"/>
          <w:szCs w:val="24"/>
        </w:rPr>
        <w:t xml:space="preserve"> s</w:t>
      </w:r>
      <w:r w:rsidR="00A40DC5" w:rsidRPr="00631743">
        <w:rPr>
          <w:rFonts w:ascii="Arial" w:eastAsia="Times New Roman" w:hAnsi="Arial" w:cs="Arial"/>
          <w:sz w:val="24"/>
          <w:szCs w:val="24"/>
        </w:rPr>
        <w:t>hareholders in the rati</w:t>
      </w:r>
      <w:r w:rsidR="00951BA0" w:rsidRPr="00631743">
        <w:rPr>
          <w:rFonts w:ascii="Arial" w:eastAsia="Times New Roman" w:hAnsi="Arial" w:cs="Arial"/>
          <w:sz w:val="24"/>
          <w:szCs w:val="24"/>
        </w:rPr>
        <w:t xml:space="preserve">o of 51 shares in respect of </w:t>
      </w:r>
      <w:r w:rsidR="00A40DC5" w:rsidRPr="00631743">
        <w:rPr>
          <w:rFonts w:ascii="Arial" w:eastAsia="Times New Roman" w:hAnsi="Arial" w:cs="Arial"/>
          <w:sz w:val="24"/>
          <w:szCs w:val="24"/>
        </w:rPr>
        <w:t>Denker and 49 shares in the name of t</w:t>
      </w:r>
      <w:r w:rsidR="00951BA0" w:rsidRPr="00631743">
        <w:rPr>
          <w:rFonts w:ascii="Arial" w:eastAsia="Times New Roman" w:hAnsi="Arial" w:cs="Arial"/>
          <w:sz w:val="24"/>
          <w:szCs w:val="24"/>
        </w:rPr>
        <w:t xml:space="preserve">he </w:t>
      </w:r>
      <w:r w:rsidR="00EC410F" w:rsidRPr="00631743">
        <w:rPr>
          <w:rFonts w:ascii="Arial" w:eastAsia="Times New Roman" w:hAnsi="Arial" w:cs="Arial"/>
          <w:sz w:val="24"/>
          <w:szCs w:val="24"/>
        </w:rPr>
        <w:t>Cobbett</w:t>
      </w:r>
      <w:r w:rsidR="00951BA0" w:rsidRPr="00631743">
        <w:rPr>
          <w:rFonts w:ascii="Arial" w:eastAsia="Times New Roman" w:hAnsi="Arial" w:cs="Arial"/>
          <w:sz w:val="24"/>
          <w:szCs w:val="24"/>
        </w:rPr>
        <w:t xml:space="preserve"> Trust nominated by </w:t>
      </w:r>
      <w:r w:rsidR="00A40DC5" w:rsidRPr="00631743">
        <w:rPr>
          <w:rFonts w:ascii="Arial" w:eastAsia="Times New Roman" w:hAnsi="Arial" w:cs="Arial"/>
          <w:sz w:val="24"/>
          <w:szCs w:val="24"/>
        </w:rPr>
        <w:t>Viljoen. On 26 July 2010, the directors deposed to an af</w:t>
      </w:r>
      <w:r w:rsidR="00EC5DCA" w:rsidRPr="00631743">
        <w:rPr>
          <w:rFonts w:ascii="Arial" w:eastAsia="Times New Roman" w:hAnsi="Arial" w:cs="Arial"/>
          <w:sz w:val="24"/>
          <w:szCs w:val="24"/>
        </w:rPr>
        <w:t>fidavit in terms of s 61(1)</w:t>
      </w:r>
      <w:r w:rsidR="00A40DC5" w:rsidRPr="00631743">
        <w:rPr>
          <w:rFonts w:ascii="Arial" w:eastAsia="Times New Roman" w:hAnsi="Arial" w:cs="Arial"/>
          <w:i/>
          <w:sz w:val="24"/>
          <w:szCs w:val="24"/>
        </w:rPr>
        <w:t>(a)</w:t>
      </w:r>
      <w:r w:rsidR="00A40DC5" w:rsidRPr="00631743">
        <w:rPr>
          <w:rFonts w:ascii="Arial" w:eastAsia="Times New Roman" w:hAnsi="Arial" w:cs="Arial"/>
          <w:sz w:val="24"/>
          <w:szCs w:val="24"/>
        </w:rPr>
        <w:t xml:space="preserve"> of the Land Reform Act declaring that the controlling interest in the nominee company is not held by a foreign national and that the land to be transferred is not held by the directors as nominee owner on behalf of or in the interest of any foreign national. The transfer of farm Ameib to the company was </w:t>
      </w:r>
      <w:r w:rsidR="00E45131" w:rsidRPr="00631743">
        <w:rPr>
          <w:rFonts w:ascii="Arial" w:eastAsia="Times New Roman" w:hAnsi="Arial" w:cs="Arial"/>
          <w:sz w:val="24"/>
          <w:szCs w:val="24"/>
        </w:rPr>
        <w:t>only effected on 22 August 2012 on the strength of that affidavit,</w:t>
      </w:r>
      <w:r w:rsidR="00A40DC5" w:rsidRPr="00631743">
        <w:rPr>
          <w:rFonts w:ascii="Arial" w:eastAsia="Times New Roman" w:hAnsi="Arial" w:cs="Arial"/>
          <w:sz w:val="24"/>
          <w:szCs w:val="24"/>
        </w:rPr>
        <w:t xml:space="preserve"> two years after the sale in execution.  </w:t>
      </w:r>
    </w:p>
    <w:p w:rsidR="00A40DC5" w:rsidRPr="00631743" w:rsidRDefault="00A40DC5" w:rsidP="004012CE">
      <w:pPr>
        <w:spacing w:before="100" w:beforeAutospacing="1" w:after="100" w:afterAutospacing="1" w:line="480" w:lineRule="auto"/>
        <w:jc w:val="both"/>
        <w:rPr>
          <w:rFonts w:ascii="Arial" w:eastAsia="Times New Roman" w:hAnsi="Arial" w:cs="Arial"/>
          <w:sz w:val="24"/>
          <w:szCs w:val="24"/>
        </w:rPr>
      </w:pPr>
      <w:r w:rsidRPr="00631743">
        <w:rPr>
          <w:rFonts w:ascii="Arial" w:eastAsia="Times New Roman" w:hAnsi="Arial" w:cs="Arial"/>
          <w:sz w:val="24"/>
          <w:szCs w:val="24"/>
        </w:rPr>
        <w:lastRenderedPageBreak/>
        <w:t>[2</w:t>
      </w:r>
      <w:r w:rsidR="00106F89" w:rsidRPr="00631743">
        <w:rPr>
          <w:rFonts w:ascii="Arial" w:eastAsia="Times New Roman" w:hAnsi="Arial" w:cs="Arial"/>
          <w:sz w:val="24"/>
          <w:szCs w:val="24"/>
        </w:rPr>
        <w:t>5</w:t>
      </w:r>
      <w:r w:rsidR="004012CE" w:rsidRPr="00631743">
        <w:rPr>
          <w:rFonts w:ascii="Arial" w:eastAsia="Times New Roman" w:hAnsi="Arial" w:cs="Arial"/>
          <w:sz w:val="24"/>
          <w:szCs w:val="24"/>
        </w:rPr>
        <w:t>]</w:t>
      </w:r>
      <w:r w:rsidR="004012CE" w:rsidRPr="00631743">
        <w:rPr>
          <w:rFonts w:ascii="Arial" w:eastAsia="Times New Roman" w:hAnsi="Arial" w:cs="Arial"/>
          <w:sz w:val="24"/>
          <w:szCs w:val="24"/>
        </w:rPr>
        <w:tab/>
      </w:r>
      <w:r w:rsidR="00D969D2" w:rsidRPr="00631743">
        <w:rPr>
          <w:rFonts w:ascii="Arial" w:eastAsia="Times New Roman" w:hAnsi="Arial" w:cs="Arial"/>
          <w:sz w:val="24"/>
          <w:szCs w:val="24"/>
        </w:rPr>
        <w:t>The</w:t>
      </w:r>
      <w:r w:rsidR="00951BA0" w:rsidRPr="00631743">
        <w:rPr>
          <w:rFonts w:ascii="Arial" w:eastAsia="Times New Roman" w:hAnsi="Arial" w:cs="Arial"/>
          <w:sz w:val="24"/>
          <w:szCs w:val="24"/>
        </w:rPr>
        <w:t xml:space="preserve"> affidavit</w:t>
      </w:r>
      <w:r w:rsidR="00D969D2" w:rsidRPr="00631743">
        <w:rPr>
          <w:rFonts w:ascii="Arial" w:eastAsia="Times New Roman" w:hAnsi="Arial" w:cs="Arial"/>
          <w:sz w:val="24"/>
          <w:szCs w:val="24"/>
        </w:rPr>
        <w:t xml:space="preserve"> evidence of Viljoen amply demonstrates that the </w:t>
      </w:r>
      <w:r w:rsidRPr="00631743">
        <w:rPr>
          <w:rFonts w:ascii="Arial" w:eastAsia="Times New Roman" w:hAnsi="Arial" w:cs="Arial"/>
          <w:sz w:val="24"/>
          <w:szCs w:val="24"/>
        </w:rPr>
        <w:t>relationship between</w:t>
      </w:r>
      <w:r w:rsidR="00951BA0" w:rsidRPr="00631743">
        <w:rPr>
          <w:rFonts w:ascii="Arial" w:eastAsia="Times New Roman" w:hAnsi="Arial" w:cs="Arial"/>
          <w:sz w:val="24"/>
          <w:szCs w:val="24"/>
        </w:rPr>
        <w:t xml:space="preserve"> Denker and him</w:t>
      </w:r>
      <w:r w:rsidR="001A6420" w:rsidRPr="00631743">
        <w:rPr>
          <w:rFonts w:ascii="Arial" w:eastAsia="Times New Roman" w:hAnsi="Arial" w:cs="Arial"/>
          <w:sz w:val="24"/>
          <w:szCs w:val="24"/>
        </w:rPr>
        <w:t>self</w:t>
      </w:r>
      <w:r w:rsidRPr="00631743">
        <w:rPr>
          <w:rFonts w:ascii="Arial" w:eastAsia="Times New Roman" w:hAnsi="Arial" w:cs="Arial"/>
          <w:sz w:val="24"/>
          <w:szCs w:val="24"/>
        </w:rPr>
        <w:t xml:space="preserve"> deteriorated and completely b</w:t>
      </w:r>
      <w:r w:rsidR="00D969D2" w:rsidRPr="00631743">
        <w:rPr>
          <w:rFonts w:ascii="Arial" w:eastAsia="Times New Roman" w:hAnsi="Arial" w:cs="Arial"/>
          <w:sz w:val="24"/>
          <w:szCs w:val="24"/>
        </w:rPr>
        <w:t>roke down during the year 2013</w:t>
      </w:r>
      <w:r w:rsidRPr="00631743">
        <w:rPr>
          <w:rFonts w:ascii="Arial" w:eastAsia="Calibri" w:hAnsi="Arial" w:cs="Arial"/>
          <w:sz w:val="24"/>
          <w:szCs w:val="24"/>
        </w:rPr>
        <w:t xml:space="preserve"> to the extent that the</w:t>
      </w:r>
      <w:r w:rsidR="00951BA0" w:rsidRPr="00631743">
        <w:rPr>
          <w:rFonts w:ascii="Arial" w:eastAsia="Calibri" w:hAnsi="Arial" w:cs="Arial"/>
          <w:sz w:val="24"/>
          <w:szCs w:val="24"/>
        </w:rPr>
        <w:t>y</w:t>
      </w:r>
      <w:r w:rsidRPr="00631743">
        <w:rPr>
          <w:rFonts w:ascii="Arial" w:eastAsia="Calibri" w:hAnsi="Arial" w:cs="Arial"/>
          <w:sz w:val="24"/>
          <w:szCs w:val="24"/>
        </w:rPr>
        <w:t xml:space="preserve"> could not agree </w:t>
      </w:r>
      <w:r w:rsidR="00D64A2E" w:rsidRPr="00631743">
        <w:rPr>
          <w:rFonts w:ascii="Arial" w:eastAsia="Calibri" w:hAnsi="Arial" w:cs="Arial"/>
          <w:sz w:val="24"/>
          <w:szCs w:val="24"/>
        </w:rPr>
        <w:t>on</w:t>
      </w:r>
      <w:r w:rsidRPr="00631743">
        <w:rPr>
          <w:rFonts w:ascii="Arial" w:eastAsia="Calibri" w:hAnsi="Arial" w:cs="Arial"/>
          <w:sz w:val="24"/>
          <w:szCs w:val="24"/>
        </w:rPr>
        <w:t xml:space="preserve"> the purpose of acquiring farm Ameib and, importantly, the legal position with regard to the shareholding split. Both parties sought legal </w:t>
      </w:r>
      <w:r w:rsidR="00D64A2E" w:rsidRPr="00631743">
        <w:rPr>
          <w:rFonts w:ascii="Arial" w:eastAsia="Calibri" w:hAnsi="Arial" w:cs="Arial"/>
          <w:sz w:val="24"/>
          <w:szCs w:val="24"/>
        </w:rPr>
        <w:t>advice</w:t>
      </w:r>
      <w:r w:rsidRPr="00631743">
        <w:rPr>
          <w:rFonts w:ascii="Arial" w:eastAsia="Calibri" w:hAnsi="Arial" w:cs="Arial"/>
          <w:sz w:val="24"/>
          <w:szCs w:val="24"/>
        </w:rPr>
        <w:t xml:space="preserve"> from their respective legal teams. Towards the end of August 2013, </w:t>
      </w:r>
      <w:r w:rsidRPr="00631743">
        <w:rPr>
          <w:rFonts w:ascii="Arial" w:eastAsia="Times New Roman" w:hAnsi="Arial" w:cs="Arial"/>
          <w:sz w:val="24"/>
          <w:szCs w:val="24"/>
        </w:rPr>
        <w:t xml:space="preserve">Denker received an opinion from senior counsel that the acquisition of farm Ameib contravened the Land Reform Act. </w:t>
      </w:r>
      <w:r w:rsidR="001409B0" w:rsidRPr="00631743">
        <w:rPr>
          <w:rFonts w:ascii="Arial" w:eastAsia="Times New Roman" w:hAnsi="Arial" w:cs="Arial"/>
          <w:sz w:val="24"/>
          <w:szCs w:val="24"/>
        </w:rPr>
        <w:t>Hence the present litigation.</w:t>
      </w:r>
    </w:p>
    <w:p w:rsidR="003C0680" w:rsidRPr="00631743" w:rsidRDefault="00CD607E" w:rsidP="004012CE">
      <w:pPr>
        <w:spacing w:before="100" w:beforeAutospacing="1" w:after="100" w:afterAutospacing="1" w:line="480" w:lineRule="auto"/>
        <w:jc w:val="both"/>
        <w:rPr>
          <w:rFonts w:ascii="Arial" w:eastAsia="Times New Roman" w:hAnsi="Arial" w:cs="Arial"/>
          <w:i/>
          <w:sz w:val="24"/>
          <w:szCs w:val="24"/>
        </w:rPr>
      </w:pPr>
      <w:r w:rsidRPr="00631743">
        <w:rPr>
          <w:rFonts w:ascii="Arial" w:eastAsia="Times New Roman" w:hAnsi="Arial" w:cs="Arial"/>
          <w:i/>
          <w:sz w:val="24"/>
          <w:szCs w:val="24"/>
        </w:rPr>
        <w:t>Main grounds for Denker’s application</w:t>
      </w:r>
    </w:p>
    <w:p w:rsidR="00A40DC5" w:rsidRPr="00631743" w:rsidRDefault="00A40DC5" w:rsidP="004012CE">
      <w:pPr>
        <w:spacing w:before="100" w:beforeAutospacing="1" w:after="100" w:afterAutospacing="1" w:line="480" w:lineRule="auto"/>
        <w:jc w:val="both"/>
        <w:rPr>
          <w:rFonts w:ascii="Arial" w:eastAsia="Calibri" w:hAnsi="Arial" w:cs="Arial"/>
          <w:sz w:val="24"/>
          <w:szCs w:val="24"/>
        </w:rPr>
      </w:pPr>
      <w:r w:rsidRPr="00631743">
        <w:rPr>
          <w:rFonts w:ascii="Arial" w:eastAsia="Calibri" w:hAnsi="Arial" w:cs="Arial"/>
          <w:sz w:val="24"/>
          <w:szCs w:val="24"/>
        </w:rPr>
        <w:t>[2</w:t>
      </w:r>
      <w:r w:rsidR="00106F89" w:rsidRPr="00631743">
        <w:rPr>
          <w:rFonts w:ascii="Arial" w:eastAsia="Calibri" w:hAnsi="Arial" w:cs="Arial"/>
          <w:sz w:val="24"/>
          <w:szCs w:val="24"/>
        </w:rPr>
        <w:t>6</w:t>
      </w:r>
      <w:r w:rsidR="001409B0" w:rsidRPr="00631743">
        <w:rPr>
          <w:rFonts w:ascii="Arial" w:eastAsia="Calibri" w:hAnsi="Arial" w:cs="Arial"/>
          <w:sz w:val="24"/>
          <w:szCs w:val="24"/>
        </w:rPr>
        <w:t>]</w:t>
      </w:r>
      <w:r w:rsidR="004012CE" w:rsidRPr="00631743">
        <w:rPr>
          <w:rFonts w:ascii="Arial" w:eastAsia="Calibri" w:hAnsi="Arial" w:cs="Arial"/>
          <w:sz w:val="24"/>
          <w:szCs w:val="24"/>
        </w:rPr>
        <w:tab/>
      </w:r>
      <w:r w:rsidRPr="00631743">
        <w:rPr>
          <w:rFonts w:ascii="Arial" w:eastAsia="Calibri" w:hAnsi="Arial" w:cs="Arial"/>
          <w:sz w:val="24"/>
          <w:szCs w:val="24"/>
        </w:rPr>
        <w:t xml:space="preserve">Denker based his application to invalidate the transfer </w:t>
      </w:r>
      <w:r w:rsidR="001409B0" w:rsidRPr="00631743">
        <w:rPr>
          <w:rFonts w:ascii="Arial" w:eastAsia="Calibri" w:hAnsi="Arial" w:cs="Arial"/>
          <w:sz w:val="24"/>
          <w:szCs w:val="24"/>
        </w:rPr>
        <w:t>of his 1% share</w:t>
      </w:r>
      <w:r w:rsidR="00FC6808" w:rsidRPr="00631743">
        <w:rPr>
          <w:rFonts w:ascii="Arial" w:eastAsia="Calibri" w:hAnsi="Arial" w:cs="Arial"/>
          <w:sz w:val="24"/>
          <w:szCs w:val="24"/>
        </w:rPr>
        <w:t>,</w:t>
      </w:r>
      <w:r w:rsidR="001409B0" w:rsidRPr="00631743">
        <w:rPr>
          <w:rFonts w:ascii="Arial" w:eastAsia="Calibri" w:hAnsi="Arial" w:cs="Arial"/>
          <w:sz w:val="24"/>
          <w:szCs w:val="24"/>
        </w:rPr>
        <w:t xml:space="preserve"> </w:t>
      </w:r>
      <w:r w:rsidRPr="00631743">
        <w:rPr>
          <w:rFonts w:ascii="Arial" w:eastAsia="Calibri" w:hAnsi="Arial" w:cs="Arial"/>
          <w:sz w:val="24"/>
          <w:szCs w:val="24"/>
        </w:rPr>
        <w:t>firstly, on an</w:t>
      </w:r>
      <w:r w:rsidR="001409B0" w:rsidRPr="00631743">
        <w:rPr>
          <w:rFonts w:ascii="Arial" w:eastAsia="Calibri" w:hAnsi="Arial" w:cs="Arial"/>
          <w:sz w:val="24"/>
          <w:szCs w:val="24"/>
        </w:rPr>
        <w:t xml:space="preserve"> alleged misrepresentation by</w:t>
      </w:r>
      <w:r w:rsidRPr="00631743">
        <w:rPr>
          <w:rFonts w:ascii="Arial" w:eastAsia="Calibri" w:hAnsi="Arial" w:cs="Arial"/>
          <w:sz w:val="24"/>
          <w:szCs w:val="24"/>
        </w:rPr>
        <w:t xml:space="preserve"> Viljoen as regards the legality of him owning 50% of the shares which induced him to </w:t>
      </w:r>
      <w:r w:rsidR="00FC6808" w:rsidRPr="00631743">
        <w:rPr>
          <w:rFonts w:ascii="Arial" w:eastAsia="Calibri" w:hAnsi="Arial" w:cs="Arial"/>
          <w:sz w:val="24"/>
          <w:szCs w:val="24"/>
        </w:rPr>
        <w:t>cede his 1% share as described.</w:t>
      </w:r>
      <w:r w:rsidR="000D7FBF" w:rsidRPr="00631743">
        <w:rPr>
          <w:rFonts w:ascii="Arial" w:eastAsia="Calibri" w:hAnsi="Arial" w:cs="Arial"/>
          <w:sz w:val="24"/>
          <w:szCs w:val="24"/>
        </w:rPr>
        <w:t xml:space="preserve"> </w:t>
      </w:r>
      <w:r w:rsidR="000D7FBF" w:rsidRPr="00631743">
        <w:rPr>
          <w:rFonts w:ascii="Arial" w:eastAsia="Times New Roman" w:hAnsi="Arial" w:cs="Arial"/>
          <w:sz w:val="24"/>
          <w:szCs w:val="24"/>
        </w:rPr>
        <w:t xml:space="preserve">It was during January 2012 that Viljoen informed Denker that he received advice that he could as a foreign national under the Land Reform Act hold 50% shares in the company. </w:t>
      </w:r>
      <w:r w:rsidRPr="00631743">
        <w:rPr>
          <w:rFonts w:ascii="Arial" w:eastAsia="Calibri" w:hAnsi="Arial" w:cs="Arial"/>
          <w:sz w:val="24"/>
          <w:szCs w:val="24"/>
        </w:rPr>
        <w:t xml:space="preserve">As </w:t>
      </w:r>
      <w:r w:rsidR="00CE1B41">
        <w:rPr>
          <w:rFonts w:ascii="Arial" w:eastAsia="Calibri" w:hAnsi="Arial" w:cs="Arial"/>
          <w:sz w:val="24"/>
          <w:szCs w:val="24"/>
        </w:rPr>
        <w:t>Denker</w:t>
      </w:r>
      <w:r w:rsidR="00E45131" w:rsidRPr="00631743">
        <w:rPr>
          <w:rFonts w:ascii="Arial" w:eastAsia="Calibri" w:hAnsi="Arial" w:cs="Arial"/>
          <w:sz w:val="24"/>
          <w:szCs w:val="24"/>
        </w:rPr>
        <w:t xml:space="preserve"> </w:t>
      </w:r>
      <w:r w:rsidRPr="00631743">
        <w:rPr>
          <w:rFonts w:ascii="Arial" w:eastAsia="Calibri" w:hAnsi="Arial" w:cs="Arial"/>
          <w:sz w:val="24"/>
          <w:szCs w:val="24"/>
        </w:rPr>
        <w:t xml:space="preserve">put it in his affidavit: </w:t>
      </w:r>
    </w:p>
    <w:p w:rsidR="00A40DC5" w:rsidRPr="00631743" w:rsidRDefault="00A40DC5" w:rsidP="004D2193">
      <w:pPr>
        <w:spacing w:after="0" w:line="360" w:lineRule="auto"/>
        <w:ind w:left="720"/>
        <w:jc w:val="both"/>
        <w:rPr>
          <w:rFonts w:ascii="Arial" w:eastAsia="Calibri" w:hAnsi="Arial" w:cs="Arial"/>
        </w:rPr>
      </w:pPr>
      <w:r w:rsidRPr="00631743">
        <w:rPr>
          <w:rFonts w:ascii="Arial" w:eastAsia="Calibri" w:hAnsi="Arial" w:cs="Arial"/>
        </w:rPr>
        <w:t>‘Although I was reluctant to sign he insisted that the transfer was above board and legal. It was in those circumstances and based on the advice that he said he had received that I signed. If I had known that the advice was wrong and that it in actual fact meant that the company would be acquiring the farm in contravention of the Agricultural Land Reform Act or that we would require the consent of the Minister to have the farm transferred to the company, I would not have agreed to the transfer or sign</w:t>
      </w:r>
      <w:r w:rsidR="00EC5DCA" w:rsidRPr="00631743">
        <w:rPr>
          <w:rFonts w:ascii="Arial" w:eastAsia="Calibri" w:hAnsi="Arial" w:cs="Arial"/>
        </w:rPr>
        <w:t xml:space="preserve">ed any documents. </w:t>
      </w:r>
      <w:r w:rsidRPr="00631743">
        <w:rPr>
          <w:rFonts w:ascii="Arial" w:eastAsia="Calibri" w:hAnsi="Arial" w:cs="Arial"/>
        </w:rPr>
        <w:t>. Had I known then what I know now, that Mr Viljoen’s assurance was ill-advised and wrong and that as a result payment was made for property that the company would not be in a position to lawfully acquire, I would most definitely not have agreed to transfer one share to Mr Viljoen and nor would I have signed any documentation to this effect.’</w:t>
      </w:r>
    </w:p>
    <w:p w:rsidR="00A40DC5" w:rsidRPr="00631743" w:rsidRDefault="00106F89" w:rsidP="004012CE">
      <w:pPr>
        <w:spacing w:before="100" w:beforeAutospacing="1" w:after="100" w:afterAutospacing="1" w:line="480" w:lineRule="auto"/>
        <w:jc w:val="both"/>
        <w:rPr>
          <w:rFonts w:ascii="Arial" w:eastAsia="Calibri" w:hAnsi="Arial" w:cs="Arial"/>
          <w:sz w:val="24"/>
          <w:szCs w:val="24"/>
        </w:rPr>
      </w:pPr>
      <w:r w:rsidRPr="00631743">
        <w:rPr>
          <w:rFonts w:ascii="Arial" w:eastAsia="Calibri" w:hAnsi="Arial" w:cs="Arial"/>
          <w:sz w:val="24"/>
          <w:szCs w:val="24"/>
        </w:rPr>
        <w:t>[27</w:t>
      </w:r>
      <w:r w:rsidR="004012CE" w:rsidRPr="00631743">
        <w:rPr>
          <w:rFonts w:ascii="Arial" w:eastAsia="Calibri" w:hAnsi="Arial" w:cs="Arial"/>
          <w:sz w:val="24"/>
          <w:szCs w:val="24"/>
        </w:rPr>
        <w:t>]</w:t>
      </w:r>
      <w:r w:rsidR="004012CE" w:rsidRPr="00631743">
        <w:rPr>
          <w:rFonts w:ascii="Arial" w:eastAsia="Calibri" w:hAnsi="Arial" w:cs="Arial"/>
          <w:sz w:val="24"/>
          <w:szCs w:val="24"/>
        </w:rPr>
        <w:tab/>
      </w:r>
      <w:r w:rsidR="00A40DC5" w:rsidRPr="00631743">
        <w:rPr>
          <w:rFonts w:ascii="Arial" w:eastAsia="Calibri" w:hAnsi="Arial" w:cs="Arial"/>
          <w:sz w:val="24"/>
          <w:szCs w:val="24"/>
        </w:rPr>
        <w:t>Viljoen retorted thus:</w:t>
      </w:r>
    </w:p>
    <w:p w:rsidR="004012CE" w:rsidRPr="00631743" w:rsidRDefault="00AA0159" w:rsidP="004D2193">
      <w:pPr>
        <w:spacing w:before="100" w:beforeAutospacing="1" w:after="100" w:afterAutospacing="1" w:line="360" w:lineRule="auto"/>
        <w:ind w:left="720"/>
        <w:jc w:val="both"/>
        <w:rPr>
          <w:rFonts w:ascii="Arial" w:eastAsia="Calibri" w:hAnsi="Arial" w:cs="Arial"/>
        </w:rPr>
      </w:pPr>
      <w:r w:rsidRPr="00631743">
        <w:rPr>
          <w:rFonts w:ascii="Arial" w:eastAsia="Calibri" w:hAnsi="Arial" w:cs="Arial"/>
        </w:rPr>
        <w:t>‘</w:t>
      </w:r>
      <w:r w:rsidR="004012CE" w:rsidRPr="00631743">
        <w:rPr>
          <w:rFonts w:ascii="Arial" w:eastAsia="Calibri" w:hAnsi="Arial" w:cs="Arial"/>
        </w:rPr>
        <w:t xml:space="preserve">I did not </w:t>
      </w:r>
      <w:r w:rsidR="00FC6808" w:rsidRPr="00631743">
        <w:rPr>
          <w:rFonts w:ascii="Arial" w:eastAsia="Calibri" w:hAnsi="Arial" w:cs="Arial"/>
        </w:rPr>
        <w:t>a</w:t>
      </w:r>
      <w:r w:rsidR="004012CE" w:rsidRPr="00631743">
        <w:rPr>
          <w:rFonts w:ascii="Arial" w:eastAsia="Calibri" w:hAnsi="Arial" w:cs="Arial"/>
        </w:rPr>
        <w:t>c</w:t>
      </w:r>
      <w:r w:rsidR="00FC6808" w:rsidRPr="00631743">
        <w:rPr>
          <w:rFonts w:ascii="Arial" w:eastAsia="Calibri" w:hAnsi="Arial" w:cs="Arial"/>
        </w:rPr>
        <w:t>c</w:t>
      </w:r>
      <w:r w:rsidR="004012CE" w:rsidRPr="00631743">
        <w:rPr>
          <w:rFonts w:ascii="Arial" w:eastAsia="Calibri" w:hAnsi="Arial" w:cs="Arial"/>
        </w:rPr>
        <w:t xml:space="preserve">ompany </w:t>
      </w:r>
      <w:r w:rsidRPr="00631743">
        <w:rPr>
          <w:rFonts w:ascii="Arial" w:eastAsia="Calibri" w:hAnsi="Arial" w:cs="Arial"/>
        </w:rPr>
        <w:t>D</w:t>
      </w:r>
      <w:r w:rsidR="004012CE" w:rsidRPr="00631743">
        <w:rPr>
          <w:rFonts w:ascii="Arial" w:eastAsia="Calibri" w:hAnsi="Arial" w:cs="Arial"/>
        </w:rPr>
        <w:t xml:space="preserve">enker when </w:t>
      </w:r>
      <w:r w:rsidRPr="00631743">
        <w:rPr>
          <w:rFonts w:ascii="Arial" w:eastAsia="Calibri" w:hAnsi="Arial" w:cs="Arial"/>
        </w:rPr>
        <w:t>he signed the documents at van Z</w:t>
      </w:r>
      <w:r w:rsidR="004012CE" w:rsidRPr="00631743">
        <w:rPr>
          <w:rFonts w:ascii="Arial" w:eastAsia="Calibri" w:hAnsi="Arial" w:cs="Arial"/>
        </w:rPr>
        <w:t>yl. I could therefore not insist on anything or have said that anything was above board. I</w:t>
      </w:r>
      <w:r w:rsidRPr="00631743">
        <w:rPr>
          <w:rFonts w:ascii="Arial" w:eastAsia="Calibri" w:hAnsi="Arial" w:cs="Arial"/>
        </w:rPr>
        <w:t xml:space="preserve"> say that D</w:t>
      </w:r>
      <w:r w:rsidR="004012CE" w:rsidRPr="00631743">
        <w:rPr>
          <w:rFonts w:ascii="Arial" w:eastAsia="Calibri" w:hAnsi="Arial" w:cs="Arial"/>
        </w:rPr>
        <w:t xml:space="preserve">enker knew that </w:t>
      </w:r>
      <w:r w:rsidR="004012CE" w:rsidRPr="00631743">
        <w:rPr>
          <w:rFonts w:ascii="Arial" w:eastAsia="Calibri" w:hAnsi="Arial" w:cs="Arial"/>
        </w:rPr>
        <w:lastRenderedPageBreak/>
        <w:t>our agreement was all along a 50:50 arrangement. He thought that the advice I received was wrong and jumped at the opportunity to become the majority shareholder. When I told him about the advice I received from Steyn, there was no reluctance whatsoever. He may have been, in his own mind, disappointed that I received the correct advice, but there was no reluctance in the manner as explained by him</w:t>
      </w:r>
      <w:r w:rsidR="008B7359" w:rsidRPr="00631743">
        <w:rPr>
          <w:rFonts w:ascii="Arial" w:eastAsia="Calibri" w:hAnsi="Arial" w:cs="Arial"/>
        </w:rPr>
        <w:t xml:space="preserve"> </w:t>
      </w:r>
      <w:r w:rsidR="004012CE" w:rsidRPr="00631743">
        <w:rPr>
          <w:rFonts w:ascii="Arial" w:eastAsia="Calibri" w:hAnsi="Arial" w:cs="Arial"/>
        </w:rPr>
        <w:t xml:space="preserve">. </w:t>
      </w:r>
      <w:r w:rsidR="008B7359" w:rsidRPr="00631743">
        <w:rPr>
          <w:rFonts w:ascii="Arial" w:eastAsia="Calibri" w:hAnsi="Arial" w:cs="Arial"/>
        </w:rPr>
        <w:t xml:space="preserve">. . </w:t>
      </w:r>
      <w:r w:rsidRPr="00631743">
        <w:rPr>
          <w:rFonts w:ascii="Arial" w:eastAsia="Calibri" w:hAnsi="Arial" w:cs="Arial"/>
        </w:rPr>
        <w:t xml:space="preserve"> what Denker fails to mention is that I paid 50% of the purchase price. Yet, he wants the transfer of one share without tendering payment thereof. Also, he complaints about stamp duties. Yet he would be 50% liable for payment of such stamp duties. I did not mislead Denker. He misled me. Had I known then what I know now, I would never have agreed to acquire 49% of the shares.’</w:t>
      </w:r>
    </w:p>
    <w:p w:rsidR="00F5569A" w:rsidRPr="00631743" w:rsidRDefault="00106F89" w:rsidP="004012CE">
      <w:pPr>
        <w:spacing w:before="100" w:beforeAutospacing="1" w:after="100" w:afterAutospacing="1" w:line="480" w:lineRule="auto"/>
        <w:jc w:val="both"/>
        <w:rPr>
          <w:rFonts w:ascii="Arial" w:eastAsia="Calibri" w:hAnsi="Arial" w:cs="Arial"/>
          <w:sz w:val="24"/>
          <w:szCs w:val="24"/>
        </w:rPr>
      </w:pPr>
      <w:r w:rsidRPr="00631743">
        <w:rPr>
          <w:rFonts w:ascii="Arial" w:eastAsia="Calibri" w:hAnsi="Arial" w:cs="Arial"/>
          <w:sz w:val="24"/>
          <w:szCs w:val="24"/>
        </w:rPr>
        <w:t>[28</w:t>
      </w:r>
      <w:r w:rsidR="006E0A5B" w:rsidRPr="00631743">
        <w:rPr>
          <w:rFonts w:ascii="Arial" w:eastAsia="Calibri" w:hAnsi="Arial" w:cs="Arial"/>
          <w:sz w:val="24"/>
          <w:szCs w:val="24"/>
        </w:rPr>
        <w:t>]</w:t>
      </w:r>
      <w:r w:rsidR="004012CE" w:rsidRPr="00631743">
        <w:rPr>
          <w:rFonts w:ascii="Arial" w:eastAsia="Calibri" w:hAnsi="Arial" w:cs="Arial"/>
          <w:sz w:val="24"/>
          <w:szCs w:val="24"/>
        </w:rPr>
        <w:tab/>
      </w:r>
      <w:r w:rsidR="00D64A2E" w:rsidRPr="00631743">
        <w:rPr>
          <w:rFonts w:ascii="Arial" w:eastAsia="Calibri" w:hAnsi="Arial" w:cs="Arial"/>
          <w:sz w:val="24"/>
          <w:szCs w:val="24"/>
        </w:rPr>
        <w:t>In addition,</w:t>
      </w:r>
      <w:r w:rsidR="00AA0159" w:rsidRPr="00631743">
        <w:rPr>
          <w:rFonts w:ascii="Arial" w:eastAsia="Calibri" w:hAnsi="Arial" w:cs="Arial"/>
          <w:sz w:val="24"/>
          <w:szCs w:val="24"/>
        </w:rPr>
        <w:t xml:space="preserve"> Denker relied on the </w:t>
      </w:r>
      <w:r w:rsidR="00CA3F7A" w:rsidRPr="00631743">
        <w:rPr>
          <w:rFonts w:ascii="Arial" w:eastAsia="Calibri" w:hAnsi="Arial" w:cs="Arial"/>
          <w:sz w:val="24"/>
          <w:szCs w:val="24"/>
        </w:rPr>
        <w:t xml:space="preserve">common cause </w:t>
      </w:r>
      <w:r w:rsidR="00AA0159" w:rsidRPr="00631743">
        <w:rPr>
          <w:rFonts w:ascii="Arial" w:eastAsia="Calibri" w:hAnsi="Arial" w:cs="Arial"/>
          <w:sz w:val="24"/>
          <w:szCs w:val="24"/>
        </w:rPr>
        <w:t xml:space="preserve">fact that </w:t>
      </w:r>
      <w:r w:rsidR="00D969D2" w:rsidRPr="00631743">
        <w:rPr>
          <w:rFonts w:ascii="Arial" w:eastAsia="Calibri" w:hAnsi="Arial" w:cs="Arial"/>
          <w:sz w:val="24"/>
          <w:szCs w:val="24"/>
        </w:rPr>
        <w:t xml:space="preserve">invalid </w:t>
      </w:r>
      <w:r w:rsidR="00A40DC5" w:rsidRPr="00631743">
        <w:rPr>
          <w:rFonts w:ascii="Arial" w:eastAsia="Calibri" w:hAnsi="Arial" w:cs="Arial"/>
          <w:sz w:val="24"/>
          <w:szCs w:val="24"/>
        </w:rPr>
        <w:t>instruments of transfer were de</w:t>
      </w:r>
      <w:r w:rsidR="006909B8" w:rsidRPr="00631743">
        <w:rPr>
          <w:rFonts w:ascii="Arial" w:eastAsia="Calibri" w:hAnsi="Arial" w:cs="Arial"/>
          <w:sz w:val="24"/>
          <w:szCs w:val="24"/>
        </w:rPr>
        <w:t>livered to the company to cause</w:t>
      </w:r>
      <w:r w:rsidR="00A40DC5" w:rsidRPr="00631743">
        <w:rPr>
          <w:rFonts w:ascii="Arial" w:eastAsia="Calibri" w:hAnsi="Arial" w:cs="Arial"/>
          <w:sz w:val="24"/>
          <w:szCs w:val="24"/>
        </w:rPr>
        <w:t xml:space="preserve"> </w:t>
      </w:r>
      <w:r w:rsidR="00D969D2" w:rsidRPr="00631743">
        <w:rPr>
          <w:rFonts w:ascii="Arial" w:eastAsia="Calibri" w:hAnsi="Arial" w:cs="Arial"/>
          <w:sz w:val="24"/>
          <w:szCs w:val="24"/>
        </w:rPr>
        <w:t xml:space="preserve">the </w:t>
      </w:r>
      <w:r w:rsidR="00A40DC5" w:rsidRPr="00631743">
        <w:rPr>
          <w:rFonts w:ascii="Arial" w:eastAsia="Calibri" w:hAnsi="Arial" w:cs="Arial"/>
          <w:sz w:val="24"/>
          <w:szCs w:val="24"/>
        </w:rPr>
        <w:t xml:space="preserve">transfer of </w:t>
      </w:r>
      <w:r w:rsidR="00D969D2" w:rsidRPr="00631743">
        <w:rPr>
          <w:rFonts w:ascii="Arial" w:eastAsia="Calibri" w:hAnsi="Arial" w:cs="Arial"/>
          <w:sz w:val="24"/>
          <w:szCs w:val="24"/>
        </w:rPr>
        <w:t>his 1% share</w:t>
      </w:r>
      <w:r w:rsidR="00A40DC5" w:rsidRPr="00631743">
        <w:rPr>
          <w:rFonts w:ascii="Arial" w:eastAsia="Calibri" w:hAnsi="Arial" w:cs="Arial"/>
          <w:sz w:val="24"/>
          <w:szCs w:val="24"/>
        </w:rPr>
        <w:t xml:space="preserve">. </w:t>
      </w:r>
    </w:p>
    <w:p w:rsidR="00A40DC5" w:rsidRPr="00631743" w:rsidRDefault="00A40DC5" w:rsidP="004012CE">
      <w:pPr>
        <w:spacing w:before="100" w:beforeAutospacing="1" w:after="100" w:afterAutospacing="1" w:line="480" w:lineRule="auto"/>
        <w:jc w:val="both"/>
        <w:rPr>
          <w:rFonts w:ascii="Arial" w:eastAsia="Calibri" w:hAnsi="Arial" w:cs="Arial"/>
          <w:sz w:val="24"/>
          <w:szCs w:val="24"/>
        </w:rPr>
      </w:pPr>
      <w:r w:rsidRPr="00631743">
        <w:rPr>
          <w:rFonts w:ascii="Arial" w:eastAsia="Calibri" w:hAnsi="Arial" w:cs="Arial"/>
          <w:sz w:val="24"/>
          <w:szCs w:val="24"/>
        </w:rPr>
        <w:t>[</w:t>
      </w:r>
      <w:r w:rsidR="00106F89" w:rsidRPr="00631743">
        <w:rPr>
          <w:rFonts w:ascii="Arial" w:eastAsia="Calibri" w:hAnsi="Arial" w:cs="Arial"/>
          <w:sz w:val="24"/>
          <w:szCs w:val="24"/>
        </w:rPr>
        <w:t>29</w:t>
      </w:r>
      <w:r w:rsidRPr="00631743">
        <w:rPr>
          <w:rFonts w:ascii="Arial" w:eastAsia="Calibri" w:hAnsi="Arial" w:cs="Arial"/>
          <w:sz w:val="24"/>
          <w:szCs w:val="24"/>
        </w:rPr>
        <w:t>]</w:t>
      </w:r>
      <w:r w:rsidR="00AA0159" w:rsidRPr="00631743">
        <w:rPr>
          <w:rFonts w:ascii="Arial" w:eastAsia="Calibri" w:hAnsi="Arial" w:cs="Arial"/>
          <w:sz w:val="24"/>
          <w:szCs w:val="24"/>
        </w:rPr>
        <w:tab/>
      </w:r>
      <w:r w:rsidRPr="00631743">
        <w:rPr>
          <w:rFonts w:ascii="Arial" w:eastAsia="Calibri" w:hAnsi="Arial" w:cs="Arial"/>
          <w:sz w:val="24"/>
          <w:szCs w:val="24"/>
        </w:rPr>
        <w:t xml:space="preserve">The last leg of the attack on the share transfer was that it was illegal to transfer shares in the name of a </w:t>
      </w:r>
      <w:r w:rsidR="00E45131" w:rsidRPr="00631743">
        <w:rPr>
          <w:rFonts w:ascii="Arial" w:eastAsia="Calibri" w:hAnsi="Arial" w:cs="Arial"/>
          <w:sz w:val="24"/>
          <w:szCs w:val="24"/>
        </w:rPr>
        <w:t>t</w:t>
      </w:r>
      <w:r w:rsidRPr="00631743">
        <w:rPr>
          <w:rFonts w:ascii="Arial" w:eastAsia="Calibri" w:hAnsi="Arial" w:cs="Arial"/>
          <w:sz w:val="24"/>
          <w:szCs w:val="24"/>
        </w:rPr>
        <w:t xml:space="preserve">rust </w:t>
      </w:r>
      <w:r w:rsidR="00D64A2E" w:rsidRPr="00631743">
        <w:rPr>
          <w:rFonts w:ascii="Arial" w:eastAsia="Calibri" w:hAnsi="Arial" w:cs="Arial"/>
          <w:sz w:val="24"/>
          <w:szCs w:val="24"/>
        </w:rPr>
        <w:t xml:space="preserve">(the Michael Viljoen Trust) </w:t>
      </w:r>
      <w:r w:rsidR="00302CBF" w:rsidRPr="00631743">
        <w:rPr>
          <w:rFonts w:ascii="Arial" w:eastAsia="Calibri" w:hAnsi="Arial" w:cs="Arial"/>
          <w:sz w:val="24"/>
          <w:szCs w:val="24"/>
        </w:rPr>
        <w:t xml:space="preserve">as it is not a legal </w:t>
      </w:r>
      <w:r w:rsidR="00302CBF" w:rsidRPr="00631743">
        <w:rPr>
          <w:rFonts w:ascii="Arial" w:eastAsia="Calibri" w:hAnsi="Arial" w:cs="Arial"/>
          <w:i/>
          <w:sz w:val="24"/>
          <w:szCs w:val="24"/>
        </w:rPr>
        <w:t>persona</w:t>
      </w:r>
      <w:r w:rsidR="00302CBF" w:rsidRPr="00631743">
        <w:rPr>
          <w:rFonts w:ascii="Arial" w:eastAsia="Calibri" w:hAnsi="Arial" w:cs="Arial"/>
          <w:sz w:val="24"/>
          <w:szCs w:val="24"/>
        </w:rPr>
        <w:t xml:space="preserve"> and thus incapable of owning property. </w:t>
      </w:r>
      <w:r w:rsidRPr="00631743">
        <w:rPr>
          <w:rFonts w:ascii="Arial" w:eastAsia="Calibri" w:hAnsi="Arial" w:cs="Arial"/>
          <w:sz w:val="24"/>
          <w:szCs w:val="24"/>
        </w:rPr>
        <w:t xml:space="preserve"> </w:t>
      </w:r>
    </w:p>
    <w:p w:rsidR="00A40DC5" w:rsidRPr="00631743" w:rsidRDefault="00A40DC5" w:rsidP="004012CE">
      <w:pPr>
        <w:spacing w:before="100" w:beforeAutospacing="1" w:after="100" w:afterAutospacing="1" w:line="480" w:lineRule="auto"/>
        <w:jc w:val="both"/>
        <w:rPr>
          <w:rFonts w:ascii="Arial" w:eastAsia="Calibri" w:hAnsi="Arial" w:cs="Arial"/>
          <w:sz w:val="24"/>
          <w:szCs w:val="24"/>
        </w:rPr>
      </w:pPr>
      <w:r w:rsidRPr="00631743">
        <w:rPr>
          <w:rFonts w:ascii="Arial" w:eastAsia="Calibri" w:hAnsi="Arial" w:cs="Arial"/>
          <w:sz w:val="24"/>
          <w:szCs w:val="24"/>
        </w:rPr>
        <w:t>[3</w:t>
      </w:r>
      <w:r w:rsidR="00106F89" w:rsidRPr="00631743">
        <w:rPr>
          <w:rFonts w:ascii="Arial" w:eastAsia="Calibri" w:hAnsi="Arial" w:cs="Arial"/>
          <w:sz w:val="24"/>
          <w:szCs w:val="24"/>
        </w:rPr>
        <w:t>0</w:t>
      </w:r>
      <w:r w:rsidR="00AA0159" w:rsidRPr="00631743">
        <w:rPr>
          <w:rFonts w:ascii="Arial" w:eastAsia="Calibri" w:hAnsi="Arial" w:cs="Arial"/>
          <w:sz w:val="24"/>
          <w:szCs w:val="24"/>
        </w:rPr>
        <w:t>]</w:t>
      </w:r>
      <w:r w:rsidR="00AA0159" w:rsidRPr="00631743">
        <w:rPr>
          <w:rFonts w:ascii="Arial" w:eastAsia="Calibri" w:hAnsi="Arial" w:cs="Arial"/>
          <w:sz w:val="24"/>
          <w:szCs w:val="24"/>
        </w:rPr>
        <w:tab/>
      </w:r>
      <w:r w:rsidR="00223024" w:rsidRPr="00631743">
        <w:rPr>
          <w:rFonts w:ascii="Arial" w:eastAsia="Calibri" w:hAnsi="Arial" w:cs="Arial"/>
          <w:sz w:val="24"/>
          <w:szCs w:val="24"/>
        </w:rPr>
        <w:t>According to</w:t>
      </w:r>
      <w:r w:rsidRPr="00631743">
        <w:rPr>
          <w:rFonts w:ascii="Arial" w:eastAsia="Calibri" w:hAnsi="Arial" w:cs="Arial"/>
          <w:sz w:val="24"/>
          <w:szCs w:val="24"/>
        </w:rPr>
        <w:t xml:space="preserve"> Viljoen, although it was the duty of the company secretary to ensure that the documents were duly stamped, non-compliance with the Stamp Duties Act does not affect the transfer of ownership at all and that the share register was already updated by the Registrar of Companies on 31 January 2012.</w:t>
      </w:r>
    </w:p>
    <w:p w:rsidR="00A40DC5" w:rsidRPr="00631743" w:rsidRDefault="00A40DC5" w:rsidP="004012CE">
      <w:pPr>
        <w:spacing w:before="100" w:beforeAutospacing="1" w:after="100" w:afterAutospacing="1" w:line="480" w:lineRule="auto"/>
        <w:rPr>
          <w:rFonts w:ascii="Arial" w:hAnsi="Arial" w:cs="Arial"/>
          <w:color w:val="000000" w:themeColor="text1"/>
          <w:sz w:val="24"/>
          <w:szCs w:val="24"/>
          <w:u w:val="single"/>
        </w:rPr>
      </w:pPr>
      <w:r w:rsidRPr="00631743">
        <w:rPr>
          <w:rFonts w:ascii="Arial" w:hAnsi="Arial" w:cs="Arial"/>
          <w:color w:val="000000" w:themeColor="text1"/>
          <w:sz w:val="24"/>
          <w:szCs w:val="24"/>
          <w:u w:val="single"/>
        </w:rPr>
        <w:t>The ambit of s 122(1) of the Companies Act</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[3</w:t>
      </w:r>
      <w:r w:rsidR="00106F89" w:rsidRPr="00631743">
        <w:rPr>
          <w:rFonts w:ascii="Arial" w:hAnsi="Arial" w:cs="Arial"/>
          <w:color w:val="000000" w:themeColor="text1"/>
          <w:sz w:val="24"/>
          <w:szCs w:val="24"/>
        </w:rPr>
        <w:t>1</w:t>
      </w:r>
      <w:r w:rsidR="00AA0159"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00135EDC" w:rsidRPr="00631743">
        <w:rPr>
          <w:rFonts w:ascii="Arial" w:hAnsi="Arial" w:cs="Arial"/>
          <w:color w:val="000000" w:themeColor="text1"/>
          <w:sz w:val="24"/>
          <w:szCs w:val="24"/>
        </w:rPr>
        <w:t>Section</w:t>
      </w:r>
      <w:r w:rsidRPr="00631743">
        <w:rPr>
          <w:rFonts w:ascii="Arial" w:hAnsi="Arial" w:cs="Arial"/>
          <w:color w:val="000000" w:themeColor="text1"/>
          <w:sz w:val="24"/>
          <w:szCs w:val="24"/>
        </w:rPr>
        <w:t xml:space="preserve"> 122(1) of the Companies Act, both parties accept, is no different to s 155(1) of the now-repealed Companies Act </w:t>
      </w:r>
      <w:r w:rsidR="00955463" w:rsidRPr="00631743">
        <w:rPr>
          <w:rFonts w:ascii="Arial" w:hAnsi="Arial" w:cs="Arial"/>
          <w:color w:val="000000" w:themeColor="text1"/>
          <w:sz w:val="24"/>
          <w:szCs w:val="24"/>
        </w:rPr>
        <w:t xml:space="preserve">61 of </w:t>
      </w:r>
      <w:r w:rsidRPr="00631743">
        <w:rPr>
          <w:rFonts w:ascii="Arial" w:hAnsi="Arial" w:cs="Arial"/>
          <w:color w:val="000000" w:themeColor="text1"/>
          <w:sz w:val="24"/>
          <w:szCs w:val="24"/>
        </w:rPr>
        <w:t>1973 and its statutory predecessors. The power conferred under the section has been described as vesting in the court a ‘summary jurisdiction’ ‘analogous to a spoliation order’.</w:t>
      </w:r>
      <w:r w:rsidRPr="00631743">
        <w:rPr>
          <w:rStyle w:val="FootnoteReference"/>
          <w:rFonts w:ascii="Arial" w:hAnsi="Arial" w:cs="Arial"/>
          <w:color w:val="000000" w:themeColor="text1"/>
          <w:sz w:val="24"/>
          <w:szCs w:val="24"/>
        </w:rPr>
        <w:footnoteReference w:id="8"/>
      </w:r>
      <w:r w:rsidRPr="00631743">
        <w:rPr>
          <w:rFonts w:ascii="Arial" w:hAnsi="Arial" w:cs="Arial"/>
          <w:color w:val="000000" w:themeColor="text1"/>
          <w:sz w:val="24"/>
          <w:szCs w:val="24"/>
        </w:rPr>
        <w:t xml:space="preserve"> Under the section the request to rectify the </w:t>
      </w:r>
      <w:r w:rsidRPr="00631743">
        <w:rPr>
          <w:rFonts w:ascii="Arial" w:hAnsi="Arial" w:cs="Arial"/>
          <w:color w:val="000000" w:themeColor="text1"/>
          <w:sz w:val="24"/>
          <w:szCs w:val="24"/>
        </w:rPr>
        <w:lastRenderedPageBreak/>
        <w:t xml:space="preserve">share register is not granted as of right </w:t>
      </w:r>
      <w:r w:rsidR="00223024" w:rsidRPr="00631743">
        <w:rPr>
          <w:rFonts w:ascii="Arial" w:hAnsi="Arial" w:cs="Arial"/>
          <w:color w:val="000000" w:themeColor="text1"/>
          <w:sz w:val="24"/>
          <w:szCs w:val="24"/>
        </w:rPr>
        <w:t>or</w:t>
      </w:r>
      <w:r w:rsidRPr="00631743">
        <w:rPr>
          <w:rFonts w:ascii="Arial" w:hAnsi="Arial" w:cs="Arial"/>
          <w:color w:val="000000" w:themeColor="text1"/>
          <w:sz w:val="24"/>
          <w:szCs w:val="24"/>
        </w:rPr>
        <w:t xml:space="preserve"> for the asking</w:t>
      </w:r>
      <w:r w:rsidRPr="00631743">
        <w:rPr>
          <w:rStyle w:val="FootnoteReference"/>
          <w:rFonts w:ascii="Arial" w:hAnsi="Arial" w:cs="Arial"/>
          <w:color w:val="000000" w:themeColor="text1"/>
          <w:sz w:val="24"/>
          <w:szCs w:val="24"/>
        </w:rPr>
        <w:footnoteReference w:id="9"/>
      </w:r>
      <w:r w:rsidRPr="00631743">
        <w:rPr>
          <w:rFonts w:ascii="Arial" w:hAnsi="Arial" w:cs="Arial"/>
          <w:color w:val="000000" w:themeColor="text1"/>
          <w:sz w:val="24"/>
          <w:szCs w:val="24"/>
        </w:rPr>
        <w:t>; the remedy is rooted in equity as ‘the court is bound to go into all the circumstances of the case and to consider what equity’ the party seeking it has established for it to be granted.</w:t>
      </w:r>
      <w:r w:rsidRPr="00631743">
        <w:rPr>
          <w:rStyle w:val="FootnoteReference"/>
          <w:rFonts w:ascii="Arial" w:hAnsi="Arial" w:cs="Arial"/>
          <w:color w:val="000000" w:themeColor="text1"/>
          <w:sz w:val="24"/>
          <w:szCs w:val="24"/>
        </w:rPr>
        <w:footnoteReference w:id="10"/>
      </w:r>
      <w:r w:rsidRPr="00631743">
        <w:rPr>
          <w:rFonts w:ascii="Arial" w:hAnsi="Arial" w:cs="Arial"/>
          <w:color w:val="000000" w:themeColor="text1"/>
          <w:sz w:val="24"/>
          <w:szCs w:val="24"/>
        </w:rPr>
        <w:t xml:space="preserve"> The application will be denied if the applicant does not apply for rectification with promptitude after becoming aware of the relevant facts.</w:t>
      </w:r>
      <w:r w:rsidRPr="00631743">
        <w:rPr>
          <w:rStyle w:val="FootnoteReference"/>
          <w:rFonts w:ascii="Arial" w:hAnsi="Arial" w:cs="Arial"/>
          <w:color w:val="000000" w:themeColor="text1"/>
          <w:sz w:val="24"/>
          <w:szCs w:val="24"/>
        </w:rPr>
        <w:footnoteReference w:id="11"/>
      </w:r>
      <w:r w:rsidRPr="00631743">
        <w:rPr>
          <w:rFonts w:ascii="Arial" w:hAnsi="Arial" w:cs="Arial"/>
          <w:color w:val="000000" w:themeColor="text1"/>
          <w:sz w:val="24"/>
          <w:szCs w:val="24"/>
        </w:rPr>
        <w:t xml:space="preserve"> The rectification remedy is discouraged where the issues to be decided are complex such that they better lend themselves to resolution by way of action as opposed to motion proceedings.</w:t>
      </w:r>
      <w:r w:rsidRPr="00631743">
        <w:rPr>
          <w:rStyle w:val="FootnoteReference"/>
          <w:rFonts w:ascii="Arial" w:hAnsi="Arial" w:cs="Arial"/>
          <w:color w:val="000000" w:themeColor="text1"/>
          <w:sz w:val="24"/>
          <w:szCs w:val="24"/>
        </w:rPr>
        <w:footnoteReference w:id="12"/>
      </w:r>
    </w:p>
    <w:p w:rsidR="00A40DC5" w:rsidRPr="00631743" w:rsidRDefault="00A40DC5" w:rsidP="00AA0159">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[3</w:t>
      </w:r>
      <w:r w:rsidR="00106F89" w:rsidRPr="00631743">
        <w:rPr>
          <w:rFonts w:ascii="Arial" w:hAnsi="Arial" w:cs="Arial"/>
          <w:color w:val="000000" w:themeColor="text1"/>
          <w:sz w:val="24"/>
          <w:szCs w:val="24"/>
        </w:rPr>
        <w:t>2</w:t>
      </w:r>
      <w:r w:rsidR="00135EDC" w:rsidRPr="00631743">
        <w:rPr>
          <w:rFonts w:ascii="Arial" w:hAnsi="Arial" w:cs="Arial"/>
          <w:color w:val="000000" w:themeColor="text1"/>
          <w:sz w:val="24"/>
          <w:szCs w:val="24"/>
        </w:rPr>
        <w:t xml:space="preserve">] </w:t>
      </w:r>
      <w:r w:rsidR="00AA0159" w:rsidRPr="00631743">
        <w:rPr>
          <w:rFonts w:ascii="Arial" w:hAnsi="Arial" w:cs="Arial"/>
          <w:color w:val="000000" w:themeColor="text1"/>
          <w:sz w:val="24"/>
          <w:szCs w:val="24"/>
        </w:rPr>
        <w:tab/>
      </w:r>
      <w:r w:rsidR="00135EDC" w:rsidRPr="00631743">
        <w:rPr>
          <w:rFonts w:ascii="Arial" w:hAnsi="Arial" w:cs="Arial"/>
          <w:color w:val="000000" w:themeColor="text1"/>
          <w:sz w:val="24"/>
          <w:szCs w:val="24"/>
        </w:rPr>
        <w:t>In</w:t>
      </w:r>
      <w:r w:rsidRPr="00631743">
        <w:rPr>
          <w:rFonts w:ascii="Arial" w:hAnsi="Arial" w:cs="Arial"/>
          <w:color w:val="000000" w:themeColor="text1"/>
          <w:sz w:val="24"/>
          <w:szCs w:val="24"/>
        </w:rPr>
        <w:t xml:space="preserve"> the light of the above </w:t>
      </w:r>
      <w:r w:rsidRPr="00631743">
        <w:rPr>
          <w:rFonts w:ascii="Arial" w:hAnsi="Arial" w:cs="Arial"/>
          <w:i/>
          <w:color w:val="000000" w:themeColor="text1"/>
          <w:sz w:val="24"/>
          <w:szCs w:val="24"/>
        </w:rPr>
        <w:t>dicta</w:t>
      </w:r>
      <w:r w:rsidRPr="00631743">
        <w:rPr>
          <w:rFonts w:ascii="Arial" w:hAnsi="Arial" w:cs="Arial"/>
          <w:color w:val="000000" w:themeColor="text1"/>
          <w:sz w:val="24"/>
          <w:szCs w:val="24"/>
        </w:rPr>
        <w:t xml:space="preserve"> and the </w:t>
      </w:r>
      <w:r w:rsidRPr="00631743">
        <w:rPr>
          <w:rFonts w:ascii="Arial" w:hAnsi="Arial" w:cs="Arial"/>
          <w:i/>
          <w:color w:val="000000" w:themeColor="text1"/>
          <w:sz w:val="24"/>
          <w:szCs w:val="24"/>
        </w:rPr>
        <w:t>Plascon-Evans</w:t>
      </w:r>
      <w:r w:rsidRPr="00631743">
        <w:rPr>
          <w:rFonts w:ascii="Arial" w:hAnsi="Arial" w:cs="Arial"/>
          <w:color w:val="000000" w:themeColor="text1"/>
          <w:sz w:val="24"/>
          <w:szCs w:val="24"/>
        </w:rPr>
        <w:t xml:space="preserve"> </w:t>
      </w:r>
      <w:r w:rsidR="00135EDC" w:rsidRPr="00631743">
        <w:rPr>
          <w:rFonts w:ascii="Arial" w:hAnsi="Arial" w:cs="Arial"/>
          <w:color w:val="000000" w:themeColor="text1"/>
          <w:sz w:val="24"/>
          <w:szCs w:val="24"/>
        </w:rPr>
        <w:t>test,</w:t>
      </w:r>
      <w:r w:rsidRPr="00631743">
        <w:rPr>
          <w:rFonts w:ascii="Arial" w:hAnsi="Arial" w:cs="Arial"/>
          <w:color w:val="000000" w:themeColor="text1"/>
          <w:sz w:val="24"/>
          <w:szCs w:val="24"/>
        </w:rPr>
        <w:t xml:space="preserve"> the following </w:t>
      </w:r>
      <w:r w:rsidR="00AA0159" w:rsidRPr="00631743">
        <w:rPr>
          <w:rFonts w:ascii="Arial" w:hAnsi="Arial" w:cs="Arial"/>
          <w:color w:val="000000" w:themeColor="text1"/>
          <w:sz w:val="24"/>
          <w:szCs w:val="24"/>
        </w:rPr>
        <w:t>o</w:t>
      </w:r>
      <w:r w:rsidRPr="00631743">
        <w:rPr>
          <w:rFonts w:ascii="Arial" w:hAnsi="Arial" w:cs="Arial"/>
          <w:color w:val="000000" w:themeColor="text1"/>
          <w:sz w:val="24"/>
          <w:szCs w:val="24"/>
        </w:rPr>
        <w:t>bservations need to be made because of their importance to the outcome of this appeal:</w:t>
      </w:r>
    </w:p>
    <w:p w:rsidR="00A40DC5" w:rsidRPr="00631743" w:rsidRDefault="00A40DC5" w:rsidP="004012CE">
      <w:pPr>
        <w:pStyle w:val="ListParagraph"/>
        <w:numPr>
          <w:ilvl w:val="0"/>
          <w:numId w:val="19"/>
        </w:numPr>
        <w:spacing w:before="100" w:beforeAutospacing="1" w:after="100" w:afterAutospacing="1" w:line="480" w:lineRule="auto"/>
        <w:ind w:left="1440" w:hanging="720"/>
        <w:jc w:val="both"/>
        <w:rPr>
          <w:rFonts w:ascii="Arial" w:hAnsi="Arial" w:cs="Arial"/>
          <w:color w:val="000000" w:themeColor="text1"/>
          <w:sz w:val="24"/>
          <w:szCs w:val="24"/>
        </w:rPr>
      </w:pPr>
      <w:r w:rsidRPr="00631743">
        <w:rPr>
          <w:rFonts w:ascii="Arial" w:hAnsi="Arial" w:cs="Arial"/>
          <w:color w:val="000000" w:themeColor="text1"/>
          <w:sz w:val="24"/>
          <w:szCs w:val="24"/>
        </w:rPr>
        <w:t xml:space="preserve">At the </w:t>
      </w:r>
      <w:r w:rsidR="00D64A2E" w:rsidRPr="00631743">
        <w:rPr>
          <w:rFonts w:ascii="Arial" w:hAnsi="Arial" w:cs="Arial"/>
          <w:color w:val="000000" w:themeColor="text1"/>
          <w:sz w:val="24"/>
          <w:szCs w:val="24"/>
        </w:rPr>
        <w:t xml:space="preserve">time </w:t>
      </w:r>
      <w:r w:rsidR="00223024" w:rsidRPr="00631743">
        <w:rPr>
          <w:rFonts w:ascii="Arial" w:hAnsi="Arial" w:cs="Arial"/>
          <w:color w:val="000000" w:themeColor="text1"/>
          <w:sz w:val="24"/>
          <w:szCs w:val="24"/>
        </w:rPr>
        <w:t xml:space="preserve">Viljoen informed </w:t>
      </w:r>
      <w:r w:rsidRPr="00631743">
        <w:rPr>
          <w:rFonts w:ascii="Arial" w:hAnsi="Arial" w:cs="Arial"/>
          <w:color w:val="000000" w:themeColor="text1"/>
          <w:sz w:val="24"/>
          <w:szCs w:val="24"/>
        </w:rPr>
        <w:t>Denker that a 50/50 split of shareholding in the company was permissible under</w:t>
      </w:r>
      <w:r w:rsidR="00EC5DCA" w:rsidRPr="00631743">
        <w:rPr>
          <w:rFonts w:ascii="Arial" w:hAnsi="Arial" w:cs="Arial"/>
          <w:color w:val="000000" w:themeColor="text1"/>
          <w:sz w:val="24"/>
          <w:szCs w:val="24"/>
        </w:rPr>
        <w:t xml:space="preserve"> s</w:t>
      </w:r>
      <w:r w:rsidR="00E82CC4" w:rsidRPr="00631743">
        <w:rPr>
          <w:rFonts w:ascii="Arial" w:hAnsi="Arial" w:cs="Arial"/>
          <w:color w:val="000000" w:themeColor="text1"/>
          <w:sz w:val="24"/>
          <w:szCs w:val="24"/>
        </w:rPr>
        <w:t xml:space="preserve"> </w:t>
      </w:r>
      <w:r w:rsidR="00223024" w:rsidRPr="00631743">
        <w:rPr>
          <w:rFonts w:ascii="Arial" w:hAnsi="Arial" w:cs="Arial"/>
          <w:color w:val="000000" w:themeColor="text1"/>
          <w:sz w:val="24"/>
          <w:szCs w:val="24"/>
        </w:rPr>
        <w:t xml:space="preserve">58 </w:t>
      </w:r>
      <w:r w:rsidR="00D64A2E" w:rsidRPr="00631743">
        <w:rPr>
          <w:rFonts w:ascii="Arial" w:hAnsi="Arial" w:cs="Arial"/>
          <w:color w:val="000000" w:themeColor="text1"/>
          <w:sz w:val="24"/>
          <w:szCs w:val="24"/>
        </w:rPr>
        <w:t>(1)(</w:t>
      </w:r>
      <w:r w:rsidR="00D64A2E" w:rsidRPr="00631743">
        <w:rPr>
          <w:rFonts w:ascii="Arial" w:hAnsi="Arial" w:cs="Arial"/>
          <w:i/>
          <w:color w:val="000000" w:themeColor="text1"/>
          <w:sz w:val="24"/>
          <w:szCs w:val="24"/>
        </w:rPr>
        <w:t>a)</w:t>
      </w:r>
      <w:r w:rsidR="00EC5DCA" w:rsidRPr="00631743">
        <w:rPr>
          <w:rFonts w:ascii="Arial" w:hAnsi="Arial" w:cs="Arial"/>
          <w:color w:val="000000" w:themeColor="text1"/>
          <w:sz w:val="24"/>
          <w:szCs w:val="24"/>
        </w:rPr>
        <w:t xml:space="preserve"> </w:t>
      </w:r>
      <w:r w:rsidR="00223024" w:rsidRPr="00631743">
        <w:rPr>
          <w:rFonts w:ascii="Arial" w:hAnsi="Arial" w:cs="Arial"/>
          <w:color w:val="000000" w:themeColor="text1"/>
          <w:sz w:val="24"/>
          <w:szCs w:val="24"/>
        </w:rPr>
        <w:t xml:space="preserve">of the Land Reform Act, Denker and </w:t>
      </w:r>
      <w:r w:rsidRPr="00631743">
        <w:rPr>
          <w:rFonts w:ascii="Arial" w:hAnsi="Arial" w:cs="Arial"/>
          <w:color w:val="000000" w:themeColor="text1"/>
          <w:sz w:val="24"/>
          <w:szCs w:val="24"/>
        </w:rPr>
        <w:t xml:space="preserve">Viljoen had already received legal advice that no less than a 51/49 </w:t>
      </w:r>
      <w:r w:rsidR="00223024" w:rsidRPr="00631743">
        <w:rPr>
          <w:rFonts w:ascii="Arial" w:hAnsi="Arial" w:cs="Arial"/>
          <w:color w:val="000000" w:themeColor="text1"/>
          <w:sz w:val="24"/>
          <w:szCs w:val="24"/>
        </w:rPr>
        <w:t xml:space="preserve">split </w:t>
      </w:r>
      <w:r w:rsidRPr="00631743">
        <w:rPr>
          <w:rFonts w:ascii="Arial" w:hAnsi="Arial" w:cs="Arial"/>
          <w:color w:val="000000" w:themeColor="text1"/>
          <w:sz w:val="24"/>
          <w:szCs w:val="24"/>
        </w:rPr>
        <w:t>(in favour of a Namibian) would bring the inte</w:t>
      </w:r>
      <w:r w:rsidR="00223024" w:rsidRPr="00631743">
        <w:rPr>
          <w:rFonts w:ascii="Arial" w:hAnsi="Arial" w:cs="Arial"/>
          <w:color w:val="000000" w:themeColor="text1"/>
          <w:sz w:val="24"/>
          <w:szCs w:val="24"/>
        </w:rPr>
        <w:t xml:space="preserve">nded transaction within the law. Viljoen’s version </w:t>
      </w:r>
      <w:r w:rsidR="00D64A2E" w:rsidRPr="00631743">
        <w:rPr>
          <w:rFonts w:ascii="Arial" w:hAnsi="Arial" w:cs="Arial"/>
          <w:color w:val="000000" w:themeColor="text1"/>
          <w:sz w:val="24"/>
          <w:szCs w:val="24"/>
        </w:rPr>
        <w:t xml:space="preserve">(which we must accept) </w:t>
      </w:r>
      <w:r w:rsidR="00223024" w:rsidRPr="00631743">
        <w:rPr>
          <w:rFonts w:ascii="Arial" w:hAnsi="Arial" w:cs="Arial"/>
          <w:color w:val="000000" w:themeColor="text1"/>
          <w:sz w:val="24"/>
          <w:szCs w:val="24"/>
        </w:rPr>
        <w:t>is that he invited Denker to obtain independent legal advice to satisfy himself about the correctness of the new advice Viljoen received.</w:t>
      </w:r>
    </w:p>
    <w:p w:rsidR="00A40DC5" w:rsidRPr="00631743" w:rsidRDefault="00223024" w:rsidP="004012CE">
      <w:pPr>
        <w:pStyle w:val="ListParagraph"/>
        <w:numPr>
          <w:ilvl w:val="0"/>
          <w:numId w:val="19"/>
        </w:numPr>
        <w:spacing w:before="100" w:beforeAutospacing="1" w:after="100" w:afterAutospacing="1" w:line="480" w:lineRule="auto"/>
        <w:ind w:left="1440" w:hanging="720"/>
        <w:jc w:val="both"/>
        <w:rPr>
          <w:rFonts w:ascii="Arial" w:hAnsi="Arial" w:cs="Arial"/>
          <w:color w:val="000000" w:themeColor="text1"/>
          <w:sz w:val="24"/>
          <w:szCs w:val="24"/>
        </w:rPr>
      </w:pPr>
      <w:r w:rsidRPr="00631743">
        <w:rPr>
          <w:rFonts w:ascii="Arial" w:hAnsi="Arial" w:cs="Arial"/>
          <w:color w:val="000000" w:themeColor="text1"/>
          <w:sz w:val="24"/>
          <w:szCs w:val="24"/>
        </w:rPr>
        <w:t>Denker and</w:t>
      </w:r>
      <w:r w:rsidR="00A40DC5" w:rsidRPr="00631743">
        <w:rPr>
          <w:rFonts w:ascii="Arial" w:hAnsi="Arial" w:cs="Arial"/>
          <w:color w:val="000000" w:themeColor="text1"/>
          <w:sz w:val="24"/>
          <w:szCs w:val="24"/>
        </w:rPr>
        <w:t xml:space="preserve"> Viljoen had signed an affidavit required under s 61 of the Land Reform Act in which they declared that a foreign national did not hold a cont</w:t>
      </w:r>
      <w:r w:rsidR="003C4B1C" w:rsidRPr="00631743">
        <w:rPr>
          <w:rFonts w:ascii="Arial" w:hAnsi="Arial" w:cs="Arial"/>
          <w:color w:val="000000" w:themeColor="text1"/>
          <w:sz w:val="24"/>
          <w:szCs w:val="24"/>
        </w:rPr>
        <w:t>rolling interest in the company.</w:t>
      </w:r>
    </w:p>
    <w:p w:rsidR="00A40DC5" w:rsidRPr="00631743" w:rsidRDefault="00BD4F7C" w:rsidP="004012CE">
      <w:pPr>
        <w:pStyle w:val="ListParagraph"/>
        <w:numPr>
          <w:ilvl w:val="0"/>
          <w:numId w:val="19"/>
        </w:numPr>
        <w:spacing w:before="100" w:beforeAutospacing="1" w:after="100" w:afterAutospacing="1" w:line="48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On Viljoen</w:t>
      </w:r>
      <w:r w:rsidR="009A6D6B">
        <w:rPr>
          <w:rFonts w:ascii="Arial" w:hAnsi="Arial" w:cs="Arial"/>
          <w:color w:val="000000" w:themeColor="text1"/>
          <w:sz w:val="24"/>
          <w:szCs w:val="24"/>
        </w:rPr>
        <w:t xml:space="preserve">’s version </w:t>
      </w:r>
      <w:r w:rsidR="00A40DC5" w:rsidRPr="00631743">
        <w:rPr>
          <w:rFonts w:ascii="Arial" w:hAnsi="Arial" w:cs="Arial"/>
          <w:color w:val="000000" w:themeColor="text1"/>
          <w:sz w:val="24"/>
          <w:szCs w:val="24"/>
        </w:rPr>
        <w:t>Denker offere</w:t>
      </w:r>
      <w:r w:rsidR="003C4B1C" w:rsidRPr="00631743">
        <w:rPr>
          <w:rFonts w:ascii="Arial" w:hAnsi="Arial" w:cs="Arial"/>
          <w:color w:val="000000" w:themeColor="text1"/>
          <w:sz w:val="24"/>
          <w:szCs w:val="24"/>
        </w:rPr>
        <w:t xml:space="preserve">d no protest of any kind to </w:t>
      </w:r>
      <w:r w:rsidR="00A40DC5" w:rsidRPr="00631743">
        <w:rPr>
          <w:rFonts w:ascii="Arial" w:hAnsi="Arial" w:cs="Arial"/>
          <w:color w:val="000000" w:themeColor="text1"/>
          <w:sz w:val="24"/>
          <w:szCs w:val="24"/>
        </w:rPr>
        <w:t>Viljoen’s claim to an additional 1% share to make his own sharehol</w:t>
      </w:r>
      <w:r w:rsidR="00D64A2E" w:rsidRPr="00631743">
        <w:rPr>
          <w:rFonts w:ascii="Arial" w:hAnsi="Arial" w:cs="Arial"/>
          <w:color w:val="000000" w:themeColor="text1"/>
          <w:sz w:val="24"/>
          <w:szCs w:val="24"/>
        </w:rPr>
        <w:t>ding in the company equal to</w:t>
      </w:r>
      <w:r w:rsidR="00A40DC5" w:rsidRPr="00631743">
        <w:rPr>
          <w:rFonts w:ascii="Arial" w:hAnsi="Arial" w:cs="Arial"/>
          <w:color w:val="000000" w:themeColor="text1"/>
          <w:sz w:val="24"/>
          <w:szCs w:val="24"/>
        </w:rPr>
        <w:t xml:space="preserve"> Denker’s;</w:t>
      </w:r>
    </w:p>
    <w:p w:rsidR="00A40DC5" w:rsidRPr="00631743" w:rsidRDefault="00A40DC5" w:rsidP="004012CE">
      <w:pPr>
        <w:pStyle w:val="ListParagraph"/>
        <w:numPr>
          <w:ilvl w:val="0"/>
          <w:numId w:val="19"/>
        </w:numPr>
        <w:spacing w:before="100" w:beforeAutospacing="1" w:after="100" w:afterAutospacing="1" w:line="480" w:lineRule="auto"/>
        <w:ind w:left="1440" w:hanging="720"/>
        <w:jc w:val="both"/>
        <w:rPr>
          <w:rFonts w:ascii="Arial" w:hAnsi="Arial" w:cs="Arial"/>
          <w:color w:val="000000" w:themeColor="text1"/>
          <w:sz w:val="24"/>
          <w:szCs w:val="24"/>
        </w:rPr>
      </w:pPr>
      <w:r w:rsidRPr="00631743">
        <w:rPr>
          <w:rFonts w:ascii="Arial" w:hAnsi="Arial" w:cs="Arial"/>
          <w:color w:val="000000" w:themeColor="text1"/>
          <w:sz w:val="24"/>
          <w:szCs w:val="24"/>
        </w:rPr>
        <w:t>All of the instruments of transfer, with their common cause legal defec</w:t>
      </w:r>
      <w:r w:rsidR="003C4B1C" w:rsidRPr="00631743">
        <w:rPr>
          <w:rFonts w:ascii="Arial" w:hAnsi="Arial" w:cs="Arial"/>
          <w:color w:val="000000" w:themeColor="text1"/>
          <w:sz w:val="24"/>
          <w:szCs w:val="24"/>
        </w:rPr>
        <w:t>ts, were sanctioned by both Denker and</w:t>
      </w:r>
      <w:r w:rsidRPr="00631743">
        <w:rPr>
          <w:rFonts w:ascii="Arial" w:hAnsi="Arial" w:cs="Arial"/>
          <w:color w:val="000000" w:themeColor="text1"/>
          <w:sz w:val="24"/>
          <w:szCs w:val="24"/>
        </w:rPr>
        <w:t xml:space="preserve"> Viljoen;</w:t>
      </w:r>
    </w:p>
    <w:p w:rsidR="00A40DC5" w:rsidRPr="00631743" w:rsidRDefault="00A40DC5" w:rsidP="004012CE">
      <w:pPr>
        <w:pStyle w:val="ListParagraph"/>
        <w:numPr>
          <w:ilvl w:val="0"/>
          <w:numId w:val="19"/>
        </w:numPr>
        <w:spacing w:before="100" w:beforeAutospacing="1" w:after="100" w:afterAutospacing="1" w:line="480" w:lineRule="auto"/>
        <w:ind w:left="1440" w:hanging="720"/>
        <w:jc w:val="both"/>
        <w:rPr>
          <w:rFonts w:ascii="Arial" w:hAnsi="Arial" w:cs="Arial"/>
          <w:color w:val="000000" w:themeColor="text1"/>
          <w:sz w:val="24"/>
          <w:szCs w:val="24"/>
        </w:rPr>
      </w:pPr>
      <w:r w:rsidRPr="00631743">
        <w:rPr>
          <w:rFonts w:ascii="Arial" w:hAnsi="Arial" w:cs="Arial"/>
          <w:color w:val="000000" w:themeColor="text1"/>
          <w:sz w:val="24"/>
          <w:szCs w:val="24"/>
        </w:rPr>
        <w:t xml:space="preserve"> After the company </w:t>
      </w:r>
      <w:r w:rsidR="003C4B1C" w:rsidRPr="00631743">
        <w:rPr>
          <w:rFonts w:ascii="Arial" w:hAnsi="Arial" w:cs="Arial"/>
          <w:color w:val="000000" w:themeColor="text1"/>
          <w:sz w:val="24"/>
          <w:szCs w:val="24"/>
        </w:rPr>
        <w:t>took transfer of farm Ameib, Denker and</w:t>
      </w:r>
      <w:r w:rsidRPr="00631743">
        <w:rPr>
          <w:rFonts w:ascii="Arial" w:hAnsi="Arial" w:cs="Arial"/>
          <w:color w:val="000000" w:themeColor="text1"/>
          <w:sz w:val="24"/>
          <w:szCs w:val="24"/>
        </w:rPr>
        <w:t xml:space="preserve"> Viljoen began to beneficiate the farm by running a lo</w:t>
      </w:r>
      <w:r w:rsidR="003C4B1C" w:rsidRPr="00631743">
        <w:rPr>
          <w:rFonts w:ascii="Arial" w:hAnsi="Arial" w:cs="Arial"/>
          <w:color w:val="000000" w:themeColor="text1"/>
          <w:sz w:val="24"/>
          <w:szCs w:val="24"/>
        </w:rPr>
        <w:t>dge and a conservancy.</w:t>
      </w:r>
    </w:p>
    <w:p w:rsidR="00F5569A" w:rsidRPr="00631743" w:rsidRDefault="00A40DC5" w:rsidP="003E6676">
      <w:pPr>
        <w:pStyle w:val="ListParagraph"/>
        <w:numPr>
          <w:ilvl w:val="0"/>
          <w:numId w:val="19"/>
        </w:numPr>
        <w:spacing w:before="100" w:beforeAutospacing="1" w:after="100" w:afterAutospacing="1" w:line="480" w:lineRule="auto"/>
        <w:ind w:left="1440" w:hanging="720"/>
        <w:jc w:val="both"/>
        <w:rPr>
          <w:rFonts w:ascii="Arial" w:hAnsi="Arial" w:cs="Arial"/>
          <w:color w:val="000000" w:themeColor="text1"/>
          <w:sz w:val="24"/>
          <w:szCs w:val="24"/>
          <w:u w:val="single"/>
        </w:rPr>
      </w:pPr>
      <w:r w:rsidRPr="00631743">
        <w:rPr>
          <w:rFonts w:ascii="Arial" w:hAnsi="Arial" w:cs="Arial"/>
          <w:color w:val="000000" w:themeColor="text1"/>
          <w:sz w:val="24"/>
          <w:szCs w:val="24"/>
        </w:rPr>
        <w:t>With the full knowledge of Denker</w:t>
      </w:r>
      <w:r w:rsidR="00D64A2E" w:rsidRPr="00631743">
        <w:rPr>
          <w:rFonts w:ascii="Arial" w:hAnsi="Arial" w:cs="Arial"/>
          <w:color w:val="000000" w:themeColor="text1"/>
          <w:sz w:val="24"/>
          <w:szCs w:val="24"/>
        </w:rPr>
        <w:t xml:space="preserve"> and at times on his demand, </w:t>
      </w:r>
      <w:r w:rsidRPr="00631743">
        <w:rPr>
          <w:rFonts w:ascii="Arial" w:hAnsi="Arial" w:cs="Arial"/>
          <w:color w:val="000000" w:themeColor="text1"/>
          <w:sz w:val="24"/>
          <w:szCs w:val="24"/>
        </w:rPr>
        <w:t>Viljoen advanced substantial sums of money for the expenses necessary to sustain the business of the company carried on farm Ameib.</w:t>
      </w:r>
      <w:r w:rsidR="003C4B1C" w:rsidRPr="00631743">
        <w:rPr>
          <w:rFonts w:ascii="Arial" w:hAnsi="Arial" w:cs="Arial"/>
          <w:color w:val="000000" w:themeColor="text1"/>
          <w:sz w:val="24"/>
          <w:szCs w:val="24"/>
        </w:rPr>
        <w:t xml:space="preserve"> </w:t>
      </w:r>
      <w:r w:rsidR="00955463" w:rsidRPr="00631743">
        <w:rPr>
          <w:rFonts w:ascii="Arial" w:hAnsi="Arial" w:cs="Arial"/>
          <w:color w:val="000000" w:themeColor="text1"/>
          <w:sz w:val="24"/>
          <w:szCs w:val="24"/>
        </w:rPr>
        <w:t>In fact these are the sums which Viljoen, in his counter application, says the company is unable to repay after due demand was made.</w:t>
      </w:r>
    </w:p>
    <w:p w:rsidR="00E82CC4" w:rsidRPr="00631743" w:rsidRDefault="00E82CC4" w:rsidP="00E82CC4">
      <w:pPr>
        <w:pStyle w:val="ListParagraph"/>
        <w:spacing w:before="100" w:beforeAutospacing="1" w:after="100" w:afterAutospacing="1" w:line="480" w:lineRule="auto"/>
        <w:ind w:left="1440"/>
        <w:jc w:val="both"/>
        <w:rPr>
          <w:rFonts w:ascii="Arial" w:hAnsi="Arial" w:cs="Arial"/>
          <w:color w:val="000000" w:themeColor="text1"/>
          <w:sz w:val="24"/>
          <w:szCs w:val="24"/>
        </w:rPr>
      </w:pPr>
    </w:p>
    <w:p w:rsidR="00A40DC5" w:rsidRPr="00631743" w:rsidRDefault="00A40DC5" w:rsidP="00F5569A">
      <w:pPr>
        <w:spacing w:before="100" w:beforeAutospacing="1" w:after="100" w:afterAutospacing="1" w:line="480" w:lineRule="auto"/>
        <w:jc w:val="both"/>
        <w:rPr>
          <w:rFonts w:ascii="Arial" w:hAnsi="Arial" w:cs="Arial"/>
          <w:color w:val="000000" w:themeColor="text1"/>
          <w:sz w:val="24"/>
          <w:szCs w:val="24"/>
          <w:u w:val="single"/>
        </w:rPr>
      </w:pPr>
      <w:r w:rsidRPr="00631743">
        <w:rPr>
          <w:rFonts w:ascii="Arial" w:hAnsi="Arial" w:cs="Arial"/>
          <w:color w:val="000000" w:themeColor="text1"/>
          <w:sz w:val="24"/>
          <w:szCs w:val="24"/>
          <w:u w:val="single"/>
        </w:rPr>
        <w:t>The High Court’s approach</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[3</w:t>
      </w:r>
      <w:r w:rsidR="00D812C4" w:rsidRPr="00631743">
        <w:rPr>
          <w:rFonts w:ascii="Arial" w:hAnsi="Arial" w:cs="Arial"/>
          <w:color w:val="000000" w:themeColor="text1"/>
          <w:sz w:val="24"/>
          <w:szCs w:val="24"/>
        </w:rPr>
        <w:t>3</w:t>
      </w:r>
      <w:r w:rsidR="00AA0159"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00DA47D4" w:rsidRPr="00631743">
        <w:rPr>
          <w:rFonts w:ascii="Arial" w:hAnsi="Arial" w:cs="Arial"/>
          <w:color w:val="000000" w:themeColor="text1"/>
          <w:sz w:val="24"/>
          <w:szCs w:val="24"/>
        </w:rPr>
        <w:t xml:space="preserve">A quo , </w:t>
      </w:r>
      <w:r w:rsidR="00135EDC" w:rsidRPr="00631743">
        <w:rPr>
          <w:rFonts w:ascii="Arial" w:hAnsi="Arial" w:cs="Arial"/>
          <w:color w:val="000000" w:themeColor="text1"/>
          <w:sz w:val="24"/>
          <w:szCs w:val="24"/>
        </w:rPr>
        <w:t>Ueitele</w:t>
      </w:r>
      <w:r w:rsidRPr="00631743">
        <w:rPr>
          <w:rFonts w:ascii="Arial" w:hAnsi="Arial" w:cs="Arial"/>
          <w:color w:val="000000" w:themeColor="text1"/>
          <w:sz w:val="24"/>
          <w:szCs w:val="24"/>
        </w:rPr>
        <w:t xml:space="preserve"> J concluded that the demonstrated legal defects in the instruments of transfer did not have the result contended by </w:t>
      </w:r>
      <w:r w:rsidR="00D64A2E" w:rsidRPr="00631743">
        <w:rPr>
          <w:rFonts w:ascii="Arial" w:hAnsi="Arial" w:cs="Arial"/>
          <w:color w:val="000000" w:themeColor="text1"/>
          <w:sz w:val="24"/>
          <w:szCs w:val="24"/>
        </w:rPr>
        <w:t>Denker</w:t>
      </w:r>
      <w:r w:rsidRPr="00631743">
        <w:rPr>
          <w:rFonts w:ascii="Arial" w:hAnsi="Arial" w:cs="Arial"/>
          <w:color w:val="000000" w:themeColor="text1"/>
          <w:sz w:val="24"/>
          <w:szCs w:val="24"/>
        </w:rPr>
        <w:t xml:space="preserve"> and that the share register remained valid as at 22 August </w:t>
      </w:r>
      <w:r w:rsidR="00E82CC4" w:rsidRPr="00631743">
        <w:rPr>
          <w:rFonts w:ascii="Arial" w:hAnsi="Arial" w:cs="Arial"/>
          <w:color w:val="000000" w:themeColor="text1"/>
          <w:sz w:val="24"/>
          <w:szCs w:val="24"/>
        </w:rPr>
        <w:t xml:space="preserve">2012 </w:t>
      </w:r>
      <w:r w:rsidRPr="00631743">
        <w:rPr>
          <w:rFonts w:ascii="Arial" w:hAnsi="Arial" w:cs="Arial"/>
          <w:color w:val="000000" w:themeColor="text1"/>
          <w:sz w:val="24"/>
          <w:szCs w:val="24"/>
        </w:rPr>
        <w:t>when the company took transfer of farm Aimeb contrary to s 58</w:t>
      </w:r>
      <w:r w:rsidR="00302CBF" w:rsidRPr="00631743">
        <w:rPr>
          <w:rFonts w:ascii="Arial" w:hAnsi="Arial" w:cs="Arial"/>
          <w:color w:val="000000" w:themeColor="text1"/>
          <w:sz w:val="24"/>
          <w:szCs w:val="24"/>
        </w:rPr>
        <w:t>(1)(</w:t>
      </w:r>
      <w:r w:rsidR="00302CBF" w:rsidRPr="00631743">
        <w:rPr>
          <w:rFonts w:ascii="Arial" w:hAnsi="Arial" w:cs="Arial"/>
          <w:i/>
          <w:color w:val="000000" w:themeColor="text1"/>
          <w:sz w:val="24"/>
          <w:szCs w:val="24"/>
        </w:rPr>
        <w:t>a</w:t>
      </w:r>
      <w:r w:rsidR="00302CBF" w:rsidRPr="00631743">
        <w:rPr>
          <w:rFonts w:ascii="Arial" w:hAnsi="Arial" w:cs="Arial"/>
          <w:color w:val="000000" w:themeColor="text1"/>
          <w:sz w:val="24"/>
          <w:szCs w:val="24"/>
        </w:rPr>
        <w:t>)</w:t>
      </w:r>
      <w:r w:rsidRPr="00631743">
        <w:rPr>
          <w:rFonts w:ascii="Arial" w:hAnsi="Arial" w:cs="Arial"/>
          <w:color w:val="000000" w:themeColor="text1"/>
          <w:sz w:val="24"/>
          <w:szCs w:val="24"/>
        </w:rPr>
        <w:t xml:space="preserve"> of the </w:t>
      </w:r>
      <w:r w:rsidR="00302CBF" w:rsidRPr="00631743">
        <w:rPr>
          <w:rFonts w:ascii="Arial" w:hAnsi="Arial" w:cs="Arial"/>
          <w:color w:val="000000" w:themeColor="text1"/>
          <w:sz w:val="24"/>
          <w:szCs w:val="24"/>
        </w:rPr>
        <w:t>L</w:t>
      </w:r>
      <w:r w:rsidRPr="00631743">
        <w:rPr>
          <w:rFonts w:ascii="Arial" w:hAnsi="Arial" w:cs="Arial"/>
          <w:color w:val="000000" w:themeColor="text1"/>
          <w:sz w:val="24"/>
          <w:szCs w:val="24"/>
        </w:rPr>
        <w:t xml:space="preserve">and Reform Act. </w:t>
      </w:r>
      <w:r w:rsidR="003C4B1C" w:rsidRPr="00631743">
        <w:rPr>
          <w:rFonts w:ascii="Arial" w:hAnsi="Arial" w:cs="Arial"/>
          <w:color w:val="000000" w:themeColor="text1"/>
          <w:sz w:val="24"/>
          <w:szCs w:val="24"/>
        </w:rPr>
        <w:t>He concluded that s 58(1</w:t>
      </w:r>
      <w:r w:rsidR="00EC5DCA" w:rsidRPr="00631743">
        <w:rPr>
          <w:rFonts w:ascii="Arial" w:hAnsi="Arial" w:cs="Arial"/>
          <w:color w:val="000000" w:themeColor="text1"/>
          <w:sz w:val="24"/>
          <w:szCs w:val="24"/>
        </w:rPr>
        <w:t>)</w:t>
      </w:r>
      <w:r w:rsidR="003C4B1C" w:rsidRPr="00631743">
        <w:rPr>
          <w:rFonts w:ascii="Arial" w:hAnsi="Arial" w:cs="Arial"/>
          <w:i/>
          <w:color w:val="000000" w:themeColor="text1"/>
          <w:sz w:val="24"/>
          <w:szCs w:val="24"/>
        </w:rPr>
        <w:t>(a)</w:t>
      </w:r>
      <w:r w:rsidR="003C4B1C" w:rsidRPr="00631743">
        <w:rPr>
          <w:rFonts w:ascii="Arial" w:hAnsi="Arial" w:cs="Arial"/>
          <w:color w:val="000000" w:themeColor="text1"/>
          <w:sz w:val="24"/>
          <w:szCs w:val="24"/>
        </w:rPr>
        <w:t xml:space="preserve"> was breached. He rejected t</w:t>
      </w:r>
      <w:r w:rsidR="00C81358" w:rsidRPr="00631743">
        <w:rPr>
          <w:rFonts w:ascii="Arial" w:hAnsi="Arial" w:cs="Arial"/>
          <w:color w:val="000000" w:themeColor="text1"/>
          <w:sz w:val="24"/>
          <w:szCs w:val="24"/>
        </w:rPr>
        <w:t xml:space="preserve">he allegation that </w:t>
      </w:r>
      <w:r w:rsidR="00955463" w:rsidRPr="00631743">
        <w:rPr>
          <w:rFonts w:ascii="Arial" w:hAnsi="Arial" w:cs="Arial"/>
          <w:color w:val="000000" w:themeColor="text1"/>
          <w:sz w:val="24"/>
          <w:szCs w:val="24"/>
        </w:rPr>
        <w:t>Denker</w:t>
      </w:r>
      <w:r w:rsidR="00C81358" w:rsidRPr="00631743">
        <w:rPr>
          <w:rFonts w:ascii="Arial" w:hAnsi="Arial" w:cs="Arial"/>
          <w:color w:val="000000" w:themeColor="text1"/>
          <w:sz w:val="24"/>
          <w:szCs w:val="24"/>
        </w:rPr>
        <w:t>’s transfer of the 1% share to the Michael Viljoen Trust was induced by Viljoen’s misrepresentation.</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[3</w:t>
      </w:r>
      <w:r w:rsidR="00D812C4" w:rsidRPr="00631743">
        <w:rPr>
          <w:rFonts w:ascii="Arial" w:hAnsi="Arial" w:cs="Arial"/>
          <w:color w:val="000000" w:themeColor="text1"/>
          <w:sz w:val="24"/>
          <w:szCs w:val="24"/>
        </w:rPr>
        <w:t>4</w:t>
      </w:r>
      <w:r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Pr="00631743">
        <w:rPr>
          <w:rFonts w:ascii="Arial" w:hAnsi="Arial" w:cs="Arial"/>
          <w:color w:val="000000" w:themeColor="text1"/>
          <w:sz w:val="24"/>
          <w:szCs w:val="24"/>
        </w:rPr>
        <w:t xml:space="preserve">Since he rejected the relief sought by </w:t>
      </w:r>
      <w:r w:rsidR="00D64A2E" w:rsidRPr="00631743">
        <w:rPr>
          <w:rFonts w:ascii="Arial" w:hAnsi="Arial" w:cs="Arial"/>
          <w:color w:val="000000" w:themeColor="text1"/>
          <w:sz w:val="24"/>
          <w:szCs w:val="24"/>
        </w:rPr>
        <w:t>Denker</w:t>
      </w:r>
      <w:r w:rsidRPr="00631743">
        <w:rPr>
          <w:rFonts w:ascii="Arial" w:hAnsi="Arial" w:cs="Arial"/>
          <w:color w:val="000000" w:themeColor="text1"/>
          <w:sz w:val="24"/>
          <w:szCs w:val="24"/>
        </w:rPr>
        <w:t xml:space="preserve"> for rectification and the basis therefor, the learned judge </w:t>
      </w:r>
      <w:r w:rsidRPr="00631743">
        <w:rPr>
          <w:rFonts w:ascii="Arial" w:hAnsi="Arial" w:cs="Arial"/>
          <w:i/>
          <w:color w:val="000000" w:themeColor="text1"/>
          <w:sz w:val="24"/>
          <w:szCs w:val="24"/>
        </w:rPr>
        <w:t>a quo</w:t>
      </w:r>
      <w:r w:rsidRPr="00631743">
        <w:rPr>
          <w:rFonts w:ascii="Arial" w:hAnsi="Arial" w:cs="Arial"/>
          <w:color w:val="000000" w:themeColor="text1"/>
          <w:sz w:val="24"/>
          <w:szCs w:val="24"/>
        </w:rPr>
        <w:t xml:space="preserve"> declined t</w:t>
      </w:r>
      <w:r w:rsidR="005E5BEE" w:rsidRPr="00631743">
        <w:rPr>
          <w:rFonts w:ascii="Arial" w:hAnsi="Arial" w:cs="Arial"/>
          <w:color w:val="000000" w:themeColor="text1"/>
          <w:sz w:val="24"/>
          <w:szCs w:val="24"/>
        </w:rPr>
        <w:t>o consider the question whether</w:t>
      </w:r>
      <w:r w:rsidRPr="00631743">
        <w:rPr>
          <w:rFonts w:ascii="Arial" w:hAnsi="Arial" w:cs="Arial"/>
          <w:color w:val="000000" w:themeColor="text1"/>
          <w:sz w:val="24"/>
          <w:szCs w:val="24"/>
        </w:rPr>
        <w:t xml:space="preserve"> the Michael Viljo</w:t>
      </w:r>
      <w:r w:rsidR="00AA0159" w:rsidRPr="00631743">
        <w:rPr>
          <w:rFonts w:ascii="Arial" w:hAnsi="Arial" w:cs="Arial"/>
          <w:color w:val="000000" w:themeColor="text1"/>
          <w:sz w:val="24"/>
          <w:szCs w:val="24"/>
        </w:rPr>
        <w:t>en T</w:t>
      </w:r>
      <w:r w:rsidRPr="00631743">
        <w:rPr>
          <w:rFonts w:ascii="Arial" w:hAnsi="Arial" w:cs="Arial"/>
          <w:color w:val="000000" w:themeColor="text1"/>
          <w:sz w:val="24"/>
          <w:szCs w:val="24"/>
        </w:rPr>
        <w:t>rust could in law hold shares. It then became unnecessary to decide the</w:t>
      </w:r>
      <w:r w:rsidR="00C81358" w:rsidRPr="00631743">
        <w:rPr>
          <w:rFonts w:ascii="Arial" w:hAnsi="Arial" w:cs="Arial"/>
          <w:color w:val="000000" w:themeColor="text1"/>
          <w:sz w:val="24"/>
          <w:szCs w:val="24"/>
        </w:rPr>
        <w:t xml:space="preserve"> counter </w:t>
      </w:r>
      <w:r w:rsidRPr="00631743">
        <w:rPr>
          <w:rFonts w:ascii="Arial" w:hAnsi="Arial" w:cs="Arial"/>
          <w:color w:val="000000" w:themeColor="text1"/>
          <w:sz w:val="24"/>
          <w:szCs w:val="24"/>
        </w:rPr>
        <w:t xml:space="preserve">winding up </w:t>
      </w:r>
      <w:r w:rsidRPr="00631743">
        <w:rPr>
          <w:rFonts w:ascii="Arial" w:hAnsi="Arial" w:cs="Arial"/>
          <w:color w:val="000000" w:themeColor="text1"/>
          <w:sz w:val="24"/>
          <w:szCs w:val="24"/>
        </w:rPr>
        <w:lastRenderedPageBreak/>
        <w:t>application</w:t>
      </w:r>
      <w:r w:rsidR="00C81358" w:rsidRPr="00631743">
        <w:rPr>
          <w:rFonts w:ascii="Arial" w:hAnsi="Arial" w:cs="Arial"/>
          <w:color w:val="000000" w:themeColor="text1"/>
          <w:sz w:val="24"/>
          <w:szCs w:val="24"/>
        </w:rPr>
        <w:t>.</w:t>
      </w:r>
      <w:r w:rsidR="005E5BEE" w:rsidRPr="00631743">
        <w:rPr>
          <w:rFonts w:ascii="Arial" w:hAnsi="Arial" w:cs="Arial"/>
          <w:color w:val="000000" w:themeColor="text1"/>
          <w:sz w:val="24"/>
          <w:szCs w:val="24"/>
        </w:rPr>
        <w:t xml:space="preserve"> On the basis that the Michael</w:t>
      </w:r>
      <w:r w:rsidRPr="00631743">
        <w:rPr>
          <w:rFonts w:ascii="Arial" w:hAnsi="Arial" w:cs="Arial"/>
          <w:color w:val="000000" w:themeColor="text1"/>
          <w:sz w:val="24"/>
          <w:szCs w:val="24"/>
        </w:rPr>
        <w:t xml:space="preserve"> Viljoen Trust’s 50% shares in the company had the effect that it held a controlling interest in the company in breach of s 58(1)(</w:t>
      </w:r>
      <w:r w:rsidRPr="00631743">
        <w:rPr>
          <w:rFonts w:ascii="Arial" w:hAnsi="Arial" w:cs="Arial"/>
          <w:i/>
          <w:color w:val="000000" w:themeColor="text1"/>
          <w:sz w:val="24"/>
          <w:szCs w:val="24"/>
        </w:rPr>
        <w:t>a</w:t>
      </w:r>
      <w:r w:rsidRPr="00631743">
        <w:rPr>
          <w:rFonts w:ascii="Arial" w:hAnsi="Arial" w:cs="Arial"/>
          <w:color w:val="000000" w:themeColor="text1"/>
          <w:sz w:val="24"/>
          <w:szCs w:val="24"/>
        </w:rPr>
        <w:t>), Ueitele J allowed the counter application in so far as it sought an order directing that th</w:t>
      </w:r>
      <w:r w:rsidR="00362DE3" w:rsidRPr="00631743">
        <w:rPr>
          <w:rFonts w:ascii="Arial" w:hAnsi="Arial" w:cs="Arial"/>
          <w:color w:val="000000" w:themeColor="text1"/>
          <w:sz w:val="24"/>
          <w:szCs w:val="24"/>
        </w:rPr>
        <w:t xml:space="preserve">e Minister must ‘deal with </w:t>
      </w:r>
      <w:r w:rsidR="00AA0159" w:rsidRPr="00631743">
        <w:rPr>
          <w:rFonts w:ascii="Arial" w:hAnsi="Arial" w:cs="Arial"/>
          <w:color w:val="000000" w:themeColor="text1"/>
          <w:sz w:val="24"/>
          <w:szCs w:val="24"/>
        </w:rPr>
        <w:t xml:space="preserve">farm Ameib </w:t>
      </w:r>
      <w:r w:rsidRPr="00631743">
        <w:rPr>
          <w:rFonts w:ascii="Arial" w:hAnsi="Arial" w:cs="Arial"/>
          <w:color w:val="000000" w:themeColor="text1"/>
          <w:sz w:val="24"/>
          <w:szCs w:val="24"/>
        </w:rPr>
        <w:t xml:space="preserve">as contemplated in s 60’ of the Land Reform Act. </w:t>
      </w:r>
      <w:r w:rsidR="005E3C95" w:rsidRPr="00631743">
        <w:rPr>
          <w:rFonts w:ascii="Arial" w:hAnsi="Arial" w:cs="Arial"/>
          <w:color w:val="000000" w:themeColor="text1"/>
          <w:sz w:val="24"/>
          <w:szCs w:val="24"/>
        </w:rPr>
        <w:t xml:space="preserve">The appeal </w:t>
      </w:r>
      <w:r w:rsidR="00E221F5" w:rsidRPr="00631743">
        <w:rPr>
          <w:rFonts w:ascii="Arial" w:hAnsi="Arial" w:cs="Arial"/>
          <w:color w:val="000000" w:themeColor="text1"/>
          <w:sz w:val="24"/>
          <w:szCs w:val="24"/>
        </w:rPr>
        <w:t>lies against all these</w:t>
      </w:r>
      <w:r w:rsidR="005E3C95" w:rsidRPr="00631743">
        <w:rPr>
          <w:rFonts w:ascii="Arial" w:hAnsi="Arial" w:cs="Arial"/>
          <w:color w:val="000000" w:themeColor="text1"/>
          <w:sz w:val="24"/>
          <w:szCs w:val="24"/>
        </w:rPr>
        <w:t xml:space="preserve"> </w:t>
      </w:r>
      <w:r w:rsidR="00097153" w:rsidRPr="00631743">
        <w:rPr>
          <w:rFonts w:ascii="Arial" w:hAnsi="Arial" w:cs="Arial"/>
          <w:color w:val="000000" w:themeColor="text1"/>
          <w:sz w:val="24"/>
          <w:szCs w:val="24"/>
        </w:rPr>
        <w:t>conclusions</w:t>
      </w:r>
      <w:r w:rsidR="005E3C95" w:rsidRPr="00631743">
        <w:rPr>
          <w:rFonts w:ascii="Arial" w:hAnsi="Arial" w:cs="Arial"/>
          <w:color w:val="000000" w:themeColor="text1"/>
          <w:sz w:val="24"/>
          <w:szCs w:val="24"/>
        </w:rPr>
        <w:t xml:space="preserve"> and resultant orders.</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u w:val="single"/>
        </w:rPr>
      </w:pPr>
      <w:r w:rsidRPr="00631743">
        <w:rPr>
          <w:rFonts w:ascii="Arial" w:hAnsi="Arial" w:cs="Arial"/>
          <w:color w:val="000000" w:themeColor="text1"/>
          <w:sz w:val="24"/>
          <w:szCs w:val="24"/>
          <w:u w:val="single"/>
        </w:rPr>
        <w:t xml:space="preserve">Analysis </w:t>
      </w:r>
    </w:p>
    <w:p w:rsidR="00986367" w:rsidRPr="00631743" w:rsidRDefault="00A40DC5"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i/>
          <w:color w:val="000000" w:themeColor="text1"/>
          <w:sz w:val="24"/>
          <w:szCs w:val="24"/>
        </w:rPr>
        <w:t xml:space="preserve">Invalid instruments of transfer </w:t>
      </w:r>
    </w:p>
    <w:p w:rsidR="00A40DC5" w:rsidRPr="00631743" w:rsidRDefault="00D812C4"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[35</w:t>
      </w:r>
      <w:r w:rsidR="00AA0159" w:rsidRPr="00631743">
        <w:rPr>
          <w:rFonts w:ascii="Arial" w:hAnsi="Arial" w:cs="Arial"/>
          <w:sz w:val="24"/>
          <w:szCs w:val="24"/>
        </w:rPr>
        <w:t>]</w:t>
      </w:r>
      <w:r w:rsidR="00AA0159" w:rsidRPr="00631743">
        <w:rPr>
          <w:rFonts w:ascii="Arial" w:hAnsi="Arial" w:cs="Arial"/>
          <w:sz w:val="24"/>
          <w:szCs w:val="24"/>
        </w:rPr>
        <w:tab/>
      </w:r>
      <w:r w:rsidR="00135EDC" w:rsidRPr="00631743">
        <w:rPr>
          <w:rFonts w:ascii="Arial" w:hAnsi="Arial" w:cs="Arial"/>
          <w:sz w:val="24"/>
          <w:szCs w:val="24"/>
        </w:rPr>
        <w:t>There</w:t>
      </w:r>
      <w:r w:rsidR="00A40DC5" w:rsidRPr="00631743">
        <w:rPr>
          <w:rFonts w:ascii="Arial" w:hAnsi="Arial" w:cs="Arial"/>
          <w:sz w:val="24"/>
          <w:szCs w:val="24"/>
        </w:rPr>
        <w:t xml:space="preserve"> is common ground that the </w:t>
      </w:r>
      <w:r w:rsidR="00986367" w:rsidRPr="00631743">
        <w:rPr>
          <w:rFonts w:ascii="Arial" w:hAnsi="Arial" w:cs="Arial"/>
          <w:sz w:val="24"/>
          <w:szCs w:val="24"/>
        </w:rPr>
        <w:t xml:space="preserve">relevant </w:t>
      </w:r>
      <w:r w:rsidR="00A40DC5" w:rsidRPr="00631743">
        <w:rPr>
          <w:rFonts w:ascii="Arial" w:hAnsi="Arial" w:cs="Arial"/>
          <w:sz w:val="24"/>
          <w:szCs w:val="24"/>
        </w:rPr>
        <w:t xml:space="preserve">instruments of transfer </w:t>
      </w:r>
      <w:r w:rsidR="00C81358" w:rsidRPr="00631743">
        <w:rPr>
          <w:rFonts w:ascii="Arial" w:hAnsi="Arial" w:cs="Arial"/>
          <w:sz w:val="24"/>
          <w:szCs w:val="24"/>
        </w:rPr>
        <w:t xml:space="preserve">were defective in the respects pleaded by Denker. His </w:t>
      </w:r>
      <w:r w:rsidR="00A40DC5" w:rsidRPr="00631743">
        <w:rPr>
          <w:rFonts w:ascii="Arial" w:hAnsi="Arial" w:cs="Arial"/>
          <w:sz w:val="24"/>
          <w:szCs w:val="24"/>
        </w:rPr>
        <w:t xml:space="preserve">case a </w:t>
      </w:r>
      <w:r w:rsidR="00A40DC5" w:rsidRPr="00631743">
        <w:rPr>
          <w:rFonts w:ascii="Arial" w:hAnsi="Arial" w:cs="Arial"/>
          <w:i/>
          <w:sz w:val="24"/>
          <w:szCs w:val="24"/>
        </w:rPr>
        <w:t>quo</w:t>
      </w:r>
      <w:r w:rsidR="00A40DC5" w:rsidRPr="00631743">
        <w:rPr>
          <w:rFonts w:ascii="Arial" w:hAnsi="Arial" w:cs="Arial"/>
          <w:sz w:val="24"/>
          <w:szCs w:val="24"/>
        </w:rPr>
        <w:t>, persisted with in the appeal, is that th</w:t>
      </w:r>
      <w:r w:rsidR="00C81358" w:rsidRPr="00631743">
        <w:rPr>
          <w:rFonts w:ascii="Arial" w:hAnsi="Arial" w:cs="Arial"/>
          <w:sz w:val="24"/>
          <w:szCs w:val="24"/>
        </w:rPr>
        <w:t xml:space="preserve">ose defects </w:t>
      </w:r>
      <w:r w:rsidR="00A40DC5" w:rsidRPr="00631743">
        <w:rPr>
          <w:rFonts w:ascii="Arial" w:hAnsi="Arial" w:cs="Arial"/>
          <w:sz w:val="24"/>
          <w:szCs w:val="24"/>
        </w:rPr>
        <w:t>render the</w:t>
      </w:r>
      <w:r w:rsidR="00C81358" w:rsidRPr="00631743">
        <w:rPr>
          <w:rFonts w:ascii="Arial" w:hAnsi="Arial" w:cs="Arial"/>
          <w:sz w:val="24"/>
          <w:szCs w:val="24"/>
        </w:rPr>
        <w:t xml:space="preserve"> transfer of his 1% share to the Michael </w:t>
      </w:r>
      <w:r w:rsidR="00A40DC5" w:rsidRPr="00631743">
        <w:rPr>
          <w:rFonts w:ascii="Arial" w:hAnsi="Arial" w:cs="Arial"/>
          <w:sz w:val="24"/>
          <w:szCs w:val="24"/>
        </w:rPr>
        <w:t xml:space="preserve">Viljoen </w:t>
      </w:r>
      <w:r w:rsidR="00C81358" w:rsidRPr="00631743">
        <w:rPr>
          <w:rFonts w:ascii="Arial" w:hAnsi="Arial" w:cs="Arial"/>
          <w:sz w:val="24"/>
          <w:szCs w:val="24"/>
        </w:rPr>
        <w:t xml:space="preserve">Trust </w:t>
      </w:r>
      <w:r w:rsidR="00A40DC5" w:rsidRPr="00631743">
        <w:rPr>
          <w:rFonts w:ascii="Arial" w:hAnsi="Arial" w:cs="Arial"/>
          <w:sz w:val="24"/>
          <w:szCs w:val="24"/>
        </w:rPr>
        <w:t xml:space="preserve">void </w:t>
      </w:r>
      <w:r w:rsidR="00A40DC5" w:rsidRPr="00631743">
        <w:rPr>
          <w:rFonts w:ascii="Arial" w:hAnsi="Arial" w:cs="Arial"/>
          <w:i/>
          <w:sz w:val="24"/>
          <w:szCs w:val="24"/>
        </w:rPr>
        <w:t>ab initio</w:t>
      </w:r>
      <w:r w:rsidR="00A40DC5" w:rsidRPr="00631743">
        <w:rPr>
          <w:rFonts w:ascii="Arial" w:hAnsi="Arial" w:cs="Arial"/>
          <w:sz w:val="24"/>
          <w:szCs w:val="24"/>
        </w:rPr>
        <w:t xml:space="preserve"> - with the result that the true state of affairs, in law, is that at the time of the acquisition of farm Ameib by the company, he held the controlling interest in the company. The result is that the acquisition did not fall foul of s 58</w:t>
      </w:r>
      <w:r w:rsidR="00EC5DCA" w:rsidRPr="00631743">
        <w:rPr>
          <w:rFonts w:ascii="Arial" w:hAnsi="Arial" w:cs="Arial"/>
          <w:sz w:val="24"/>
          <w:szCs w:val="24"/>
        </w:rPr>
        <w:t>(1)</w:t>
      </w:r>
      <w:r w:rsidR="00EC5DCA" w:rsidRPr="00631743">
        <w:rPr>
          <w:rFonts w:ascii="Arial" w:hAnsi="Arial" w:cs="Arial"/>
          <w:i/>
          <w:sz w:val="24"/>
          <w:szCs w:val="24"/>
        </w:rPr>
        <w:t>(a)</w:t>
      </w:r>
      <w:r w:rsidR="00A40DC5" w:rsidRPr="00631743">
        <w:rPr>
          <w:rFonts w:ascii="Arial" w:hAnsi="Arial" w:cs="Arial"/>
          <w:sz w:val="24"/>
          <w:szCs w:val="24"/>
        </w:rPr>
        <w:t xml:space="preserve"> of the Land Reform Act and paves the way for the rectification of the company’s share register in his favour in the ratio of 51% /49%.</w:t>
      </w:r>
      <w:r w:rsidR="00986367" w:rsidRPr="00631743">
        <w:rPr>
          <w:rFonts w:ascii="Arial" w:hAnsi="Arial" w:cs="Arial"/>
          <w:sz w:val="24"/>
          <w:szCs w:val="24"/>
        </w:rPr>
        <w:t xml:space="preserve"> </w:t>
      </w:r>
      <w:r w:rsidR="00D54DBA" w:rsidRPr="00631743">
        <w:rPr>
          <w:rFonts w:ascii="Arial" w:hAnsi="Arial" w:cs="Arial"/>
          <w:sz w:val="24"/>
          <w:szCs w:val="24"/>
        </w:rPr>
        <w:t>That is the complaint that the</w:t>
      </w:r>
      <w:r w:rsidR="00D64A2E" w:rsidRPr="00631743">
        <w:rPr>
          <w:rFonts w:ascii="Arial" w:hAnsi="Arial" w:cs="Arial"/>
          <w:sz w:val="24"/>
          <w:szCs w:val="24"/>
        </w:rPr>
        <w:t xml:space="preserve"> High Court was called upon to adjudicate</w:t>
      </w:r>
      <w:r w:rsidR="00D54DBA" w:rsidRPr="00631743">
        <w:rPr>
          <w:rFonts w:ascii="Arial" w:hAnsi="Arial" w:cs="Arial"/>
          <w:sz w:val="24"/>
          <w:szCs w:val="24"/>
        </w:rPr>
        <w:t>.</w:t>
      </w:r>
    </w:p>
    <w:p w:rsidR="00986367" w:rsidRPr="00631743" w:rsidRDefault="00D812C4" w:rsidP="004012CE">
      <w:pPr>
        <w:spacing w:before="100" w:beforeAutospacing="1" w:after="100" w:afterAutospacing="1" w:line="480" w:lineRule="auto"/>
        <w:jc w:val="both"/>
        <w:rPr>
          <w:rFonts w:ascii="Arial" w:hAnsi="Arial" w:cs="Arial"/>
          <w:color w:val="000000" w:themeColor="text1"/>
        </w:rPr>
      </w:pPr>
      <w:r w:rsidRPr="00631743">
        <w:rPr>
          <w:rFonts w:ascii="Arial" w:hAnsi="Arial" w:cs="Arial"/>
          <w:color w:val="000000" w:themeColor="text1"/>
          <w:sz w:val="24"/>
          <w:szCs w:val="24"/>
        </w:rPr>
        <w:t>[36</w:t>
      </w:r>
      <w:r w:rsidR="00AA0159"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00986367" w:rsidRPr="00631743">
        <w:rPr>
          <w:rFonts w:ascii="Arial" w:hAnsi="Arial" w:cs="Arial"/>
          <w:color w:val="000000" w:themeColor="text1"/>
          <w:sz w:val="24"/>
          <w:szCs w:val="24"/>
        </w:rPr>
        <w:t xml:space="preserve">The relevant allegations </w:t>
      </w:r>
      <w:r w:rsidR="00D64A2E" w:rsidRPr="00631743">
        <w:rPr>
          <w:rFonts w:ascii="Arial" w:hAnsi="Arial" w:cs="Arial"/>
          <w:color w:val="000000" w:themeColor="text1"/>
          <w:sz w:val="24"/>
          <w:szCs w:val="24"/>
        </w:rPr>
        <w:t>by Denker</w:t>
      </w:r>
      <w:r w:rsidR="00764629" w:rsidRPr="00631743">
        <w:rPr>
          <w:rFonts w:ascii="Arial" w:hAnsi="Arial" w:cs="Arial"/>
          <w:color w:val="000000" w:themeColor="text1"/>
          <w:sz w:val="24"/>
          <w:szCs w:val="24"/>
        </w:rPr>
        <w:t xml:space="preserve"> </w:t>
      </w:r>
      <w:r w:rsidR="00986367" w:rsidRPr="00631743">
        <w:rPr>
          <w:rFonts w:ascii="Arial" w:hAnsi="Arial" w:cs="Arial"/>
          <w:color w:val="000000" w:themeColor="text1"/>
          <w:sz w:val="24"/>
          <w:szCs w:val="24"/>
        </w:rPr>
        <w:t xml:space="preserve">appear </w:t>
      </w:r>
      <w:r w:rsidR="00BD4F7C">
        <w:rPr>
          <w:rFonts w:ascii="Arial" w:hAnsi="Arial" w:cs="Arial"/>
          <w:color w:val="000000" w:themeColor="text1"/>
          <w:sz w:val="24"/>
          <w:szCs w:val="24"/>
        </w:rPr>
        <w:t>at</w:t>
      </w:r>
      <w:r w:rsidR="00986367" w:rsidRPr="00631743">
        <w:rPr>
          <w:rFonts w:ascii="Arial" w:hAnsi="Arial" w:cs="Arial"/>
          <w:color w:val="000000" w:themeColor="text1"/>
          <w:sz w:val="24"/>
          <w:szCs w:val="24"/>
        </w:rPr>
        <w:t xml:space="preserve"> paragraphs 20 and 21 of </w:t>
      </w:r>
      <w:r w:rsidR="004A357F" w:rsidRPr="00631743">
        <w:rPr>
          <w:rFonts w:ascii="Arial" w:hAnsi="Arial" w:cs="Arial"/>
          <w:color w:val="000000" w:themeColor="text1"/>
          <w:sz w:val="24"/>
          <w:szCs w:val="24"/>
        </w:rPr>
        <w:t>his</w:t>
      </w:r>
      <w:r w:rsidR="00986367" w:rsidRPr="00631743">
        <w:rPr>
          <w:rFonts w:ascii="Arial" w:hAnsi="Arial" w:cs="Arial"/>
          <w:color w:val="000000" w:themeColor="text1"/>
          <w:sz w:val="24"/>
          <w:szCs w:val="24"/>
        </w:rPr>
        <w:t xml:space="preserve"> founding affidavit in the following terms:</w:t>
      </w:r>
    </w:p>
    <w:p w:rsidR="00B66CAB" w:rsidRPr="00631743" w:rsidRDefault="00B66CAB" w:rsidP="004D2193">
      <w:pPr>
        <w:spacing w:before="100" w:beforeAutospacing="1" w:after="100" w:afterAutospacing="1" w:line="360" w:lineRule="auto"/>
        <w:jc w:val="center"/>
        <w:rPr>
          <w:rFonts w:ascii="Arial" w:hAnsi="Arial" w:cs="Arial"/>
        </w:rPr>
      </w:pPr>
      <w:r w:rsidRPr="00631743">
        <w:rPr>
          <w:rFonts w:ascii="Arial" w:hAnsi="Arial" w:cs="Arial"/>
        </w:rPr>
        <w:t>‘20.</w:t>
      </w:r>
    </w:p>
    <w:p w:rsidR="00B66CAB" w:rsidRPr="00631743" w:rsidRDefault="00B66CAB" w:rsidP="004D2193">
      <w:pPr>
        <w:spacing w:before="100" w:beforeAutospacing="1" w:after="100" w:afterAutospacing="1" w:line="360" w:lineRule="auto"/>
        <w:ind w:left="709"/>
        <w:jc w:val="both"/>
        <w:rPr>
          <w:rFonts w:ascii="Arial" w:hAnsi="Arial" w:cs="Arial"/>
        </w:rPr>
      </w:pPr>
      <w:r w:rsidRPr="00631743">
        <w:rPr>
          <w:rFonts w:ascii="Arial" w:hAnsi="Arial" w:cs="Arial"/>
        </w:rPr>
        <w:t>Although none of the aforementioned transfer documents were stamped, it would appear from a printout of the members’ Register printed on 31 January 2012 (provided to my attorney under cover of a letter dated 31 January 2014 by Mr Erasmus) that the transfers were in fact registered. I am advised that the company was not legally entitled to register these transfers for the following reasons:</w:t>
      </w:r>
    </w:p>
    <w:p w:rsidR="00B66CAB" w:rsidRPr="00631743" w:rsidRDefault="00B66CAB" w:rsidP="004D2193">
      <w:pPr>
        <w:spacing w:before="100" w:beforeAutospacing="1" w:after="100" w:afterAutospacing="1" w:line="360" w:lineRule="auto"/>
        <w:jc w:val="both"/>
        <w:rPr>
          <w:rFonts w:ascii="Arial" w:hAnsi="Arial" w:cs="Arial"/>
          <w:sz w:val="24"/>
          <w:szCs w:val="24"/>
        </w:rPr>
      </w:pPr>
    </w:p>
    <w:p w:rsidR="00B66CAB" w:rsidRPr="00631743" w:rsidRDefault="00B66CAB" w:rsidP="004D2193">
      <w:pPr>
        <w:pStyle w:val="ListParagraph"/>
        <w:numPr>
          <w:ilvl w:val="0"/>
          <w:numId w:val="21"/>
        </w:numPr>
        <w:spacing w:before="100" w:beforeAutospacing="1" w:after="100" w:afterAutospacing="1" w:line="360" w:lineRule="auto"/>
        <w:ind w:left="720" w:firstLine="0"/>
        <w:jc w:val="both"/>
        <w:rPr>
          <w:rFonts w:ascii="Arial" w:hAnsi="Arial" w:cs="Arial"/>
        </w:rPr>
      </w:pPr>
      <w:r w:rsidRPr="00631743">
        <w:rPr>
          <w:rFonts w:ascii="Arial" w:hAnsi="Arial" w:cs="Arial"/>
        </w:rPr>
        <w:t xml:space="preserve">In terms of </w:t>
      </w:r>
      <w:r w:rsidRPr="00631743">
        <w:rPr>
          <w:rFonts w:ascii="Arial" w:hAnsi="Arial" w:cs="Arial"/>
          <w:u w:val="single"/>
        </w:rPr>
        <w:t>section 140 of the Companies Act</w:t>
      </w:r>
      <w:r w:rsidRPr="00631743">
        <w:rPr>
          <w:rFonts w:ascii="Arial" w:hAnsi="Arial" w:cs="Arial"/>
        </w:rPr>
        <w:t xml:space="preserve">, 28 of 2004 </w:t>
      </w:r>
      <w:r w:rsidR="00AA0159" w:rsidRPr="00631743">
        <w:rPr>
          <w:rFonts w:ascii="Arial" w:hAnsi="Arial" w:cs="Arial"/>
        </w:rPr>
        <w:t xml:space="preserve">. . . </w:t>
      </w:r>
      <w:r w:rsidRPr="00631743">
        <w:rPr>
          <w:rFonts w:ascii="Arial" w:hAnsi="Arial" w:cs="Arial"/>
        </w:rPr>
        <w:t>it is not lawful for a company to register a transfer of shares unless a proper instrument of transfer has been delivered to it. A proper instrument of transfer is one that complies with the law on stamp duty.</w:t>
      </w:r>
    </w:p>
    <w:p w:rsidR="00B66CAB" w:rsidRPr="00631743" w:rsidRDefault="00B66CAB" w:rsidP="00AA0159">
      <w:pPr>
        <w:pStyle w:val="ListParagraph"/>
        <w:spacing w:before="100" w:beforeAutospacing="1" w:after="100" w:afterAutospacing="1" w:line="480" w:lineRule="auto"/>
        <w:jc w:val="both"/>
        <w:rPr>
          <w:rFonts w:ascii="Arial" w:hAnsi="Arial" w:cs="Arial"/>
        </w:rPr>
      </w:pPr>
    </w:p>
    <w:p w:rsidR="00B66CAB" w:rsidRPr="00631743" w:rsidRDefault="00B66CAB" w:rsidP="004D2193">
      <w:pPr>
        <w:pStyle w:val="ListParagraph"/>
        <w:spacing w:before="100" w:beforeAutospacing="1" w:after="100" w:afterAutospacing="1" w:line="360" w:lineRule="auto"/>
        <w:jc w:val="both"/>
        <w:rPr>
          <w:rFonts w:ascii="Arial" w:hAnsi="Arial" w:cs="Arial"/>
        </w:rPr>
      </w:pPr>
      <w:r w:rsidRPr="00631743">
        <w:rPr>
          <w:rFonts w:ascii="Arial" w:hAnsi="Arial" w:cs="Arial"/>
        </w:rPr>
        <w:t>20.2</w:t>
      </w:r>
      <w:r w:rsidRPr="00631743">
        <w:rPr>
          <w:rFonts w:ascii="Arial" w:hAnsi="Arial" w:cs="Arial"/>
        </w:rPr>
        <w:tab/>
      </w:r>
      <w:r w:rsidRPr="00631743">
        <w:rPr>
          <w:rFonts w:ascii="Arial" w:hAnsi="Arial" w:cs="Arial"/>
          <w:u w:val="single"/>
        </w:rPr>
        <w:t>in terms of section 23 (read with section 10(6) of the Stamp Duties Act</w:t>
      </w:r>
      <w:r w:rsidRPr="00631743">
        <w:rPr>
          <w:rFonts w:ascii="Arial" w:hAnsi="Arial" w:cs="Arial"/>
        </w:rPr>
        <w:t xml:space="preserve">, 15 of 1993 </w:t>
      </w:r>
      <w:r w:rsidR="00AA0159" w:rsidRPr="00631743">
        <w:rPr>
          <w:rFonts w:ascii="Arial" w:hAnsi="Arial" w:cs="Arial"/>
        </w:rPr>
        <w:t xml:space="preserve">. . . </w:t>
      </w:r>
      <w:r w:rsidR="00DA46FB" w:rsidRPr="00631743">
        <w:rPr>
          <w:rFonts w:ascii="Arial" w:hAnsi="Arial" w:cs="Arial"/>
        </w:rPr>
        <w:t>)</w:t>
      </w:r>
      <w:r w:rsidRPr="00631743">
        <w:rPr>
          <w:rFonts w:ascii="Arial" w:hAnsi="Arial" w:cs="Arial"/>
        </w:rPr>
        <w:t xml:space="preserve"> an instrument of transfer must be dated with the true dates of the signatures of the transferor and transferee and the stamps must be defaced by an authorised person recording the true date of the defacement before the company may register the transfer.</w:t>
      </w:r>
    </w:p>
    <w:p w:rsidR="00B66CAB" w:rsidRPr="00631743" w:rsidRDefault="00B66CAB" w:rsidP="004D2193">
      <w:pPr>
        <w:pStyle w:val="ListParagraph"/>
        <w:spacing w:before="100" w:beforeAutospacing="1" w:after="100" w:afterAutospacing="1" w:line="360" w:lineRule="auto"/>
        <w:jc w:val="both"/>
        <w:rPr>
          <w:rFonts w:ascii="Arial" w:hAnsi="Arial" w:cs="Arial"/>
        </w:rPr>
      </w:pPr>
    </w:p>
    <w:p w:rsidR="00B66CAB" w:rsidRPr="00631743" w:rsidRDefault="00B66CAB" w:rsidP="004D2193">
      <w:pPr>
        <w:pStyle w:val="ListParagraph"/>
        <w:spacing w:before="100" w:beforeAutospacing="1" w:after="100" w:afterAutospacing="1" w:line="360" w:lineRule="auto"/>
        <w:jc w:val="both"/>
        <w:rPr>
          <w:rFonts w:ascii="Arial" w:hAnsi="Arial" w:cs="Arial"/>
        </w:rPr>
      </w:pPr>
      <w:r w:rsidRPr="00631743">
        <w:rPr>
          <w:rFonts w:ascii="Arial" w:hAnsi="Arial" w:cs="Arial"/>
        </w:rPr>
        <w:t>20.3</w:t>
      </w:r>
      <w:r w:rsidRPr="00631743">
        <w:rPr>
          <w:rFonts w:ascii="Arial" w:hAnsi="Arial" w:cs="Arial"/>
        </w:rPr>
        <w:tab/>
        <w:t xml:space="preserve">As the instruments of the transfer did not comply with either of the </w:t>
      </w:r>
      <w:r w:rsidRPr="00631743">
        <w:rPr>
          <w:rFonts w:ascii="Arial" w:hAnsi="Arial" w:cs="Arial"/>
          <w:u w:val="single"/>
        </w:rPr>
        <w:t>aforementioned requirements</w:t>
      </w:r>
      <w:r w:rsidRPr="00631743">
        <w:rPr>
          <w:rFonts w:ascii="Arial" w:hAnsi="Arial" w:cs="Arial"/>
        </w:rPr>
        <w:t xml:space="preserve"> it was not competent for the company to act on the said instruments and change its register of members based on the said instruments.’</w:t>
      </w:r>
    </w:p>
    <w:p w:rsidR="00AA0159" w:rsidRPr="00631743" w:rsidRDefault="00AA0159" w:rsidP="00AA0159">
      <w:pPr>
        <w:pStyle w:val="ListParagraph"/>
        <w:spacing w:before="100" w:beforeAutospacing="1" w:after="100" w:afterAutospacing="1" w:line="480" w:lineRule="auto"/>
        <w:jc w:val="both"/>
        <w:rPr>
          <w:rFonts w:ascii="Arial" w:hAnsi="Arial" w:cs="Arial"/>
        </w:rPr>
      </w:pPr>
    </w:p>
    <w:p w:rsidR="00B66CAB" w:rsidRPr="00631743" w:rsidRDefault="00B66CAB" w:rsidP="00AA0159">
      <w:pPr>
        <w:pStyle w:val="ListParagraph"/>
        <w:spacing w:before="100" w:beforeAutospacing="1" w:after="100" w:afterAutospacing="1" w:line="480" w:lineRule="auto"/>
        <w:jc w:val="center"/>
        <w:rPr>
          <w:rFonts w:ascii="Arial" w:hAnsi="Arial" w:cs="Arial"/>
        </w:rPr>
      </w:pPr>
      <w:r w:rsidRPr="00631743">
        <w:rPr>
          <w:rFonts w:ascii="Arial" w:hAnsi="Arial" w:cs="Arial"/>
        </w:rPr>
        <w:t>21.</w:t>
      </w:r>
    </w:p>
    <w:p w:rsidR="00B66CAB" w:rsidRPr="00631743" w:rsidRDefault="00DE2FC1" w:rsidP="004D2193">
      <w:pPr>
        <w:spacing w:before="100" w:beforeAutospacing="1" w:after="100" w:afterAutospacing="1" w:line="360" w:lineRule="auto"/>
        <w:ind w:left="720"/>
        <w:jc w:val="both"/>
        <w:rPr>
          <w:rFonts w:ascii="Arial" w:hAnsi="Arial" w:cs="Arial"/>
        </w:rPr>
      </w:pPr>
      <w:r w:rsidRPr="00631743">
        <w:rPr>
          <w:rFonts w:ascii="Arial" w:hAnsi="Arial" w:cs="Arial"/>
        </w:rPr>
        <w:t xml:space="preserve">On 22 August 2012, the farm was transferred to the company. </w:t>
      </w:r>
      <w:r w:rsidR="00B66CAB" w:rsidRPr="00631743">
        <w:rPr>
          <w:rFonts w:ascii="Arial" w:hAnsi="Arial" w:cs="Arial"/>
        </w:rPr>
        <w:t xml:space="preserve">I am advised and submit that if at that stage 50% of the issued shares were held by Mr Viljoen (a South African citizen) the company was not one in which Namibians held a controlling interest and was a foreign national (as defined in the Land Reform Act) and it acquired the farm contrary to section 58 of the Land Reform Act as the Minister’s consent was not obtained prior to the transfer. I attach a copy of the Deed of Transfer marked </w:t>
      </w:r>
      <w:r w:rsidR="00B66CAB" w:rsidRPr="00631743">
        <w:rPr>
          <w:rFonts w:ascii="Arial" w:hAnsi="Arial" w:cs="Arial"/>
          <w:b/>
        </w:rPr>
        <w:t>“Q”</w:t>
      </w:r>
      <w:r w:rsidR="00B66CAB" w:rsidRPr="00631743">
        <w:rPr>
          <w:rFonts w:ascii="Arial" w:hAnsi="Arial" w:cs="Arial"/>
        </w:rPr>
        <w:t xml:space="preserve"> and refer the Court thereto. Inasmuch as there had been an agreement on 18 January 2012 between me and Mr Viljoen in terms of which I was liable to cede and transfer to him one of my shares in the company, this was never completed and in any event not in accordance with a proper instrument of transfer. Mr Viljoen, I submit, never became the holder of that share as this would have required his name being entered into the register of members of the company upon delivery to it of </w:t>
      </w:r>
      <w:r w:rsidR="00B66CAB" w:rsidRPr="00631743">
        <w:rPr>
          <w:rFonts w:ascii="Arial" w:hAnsi="Arial" w:cs="Arial"/>
          <w:u w:val="single"/>
        </w:rPr>
        <w:t xml:space="preserve">an instrument of transfer which complied with the requirements </w:t>
      </w:r>
      <w:r w:rsidR="00DA46FB" w:rsidRPr="00631743">
        <w:rPr>
          <w:rFonts w:ascii="Arial" w:hAnsi="Arial" w:cs="Arial"/>
          <w:u w:val="single"/>
        </w:rPr>
        <w:t>of the Companies Act and Stamp</w:t>
      </w:r>
      <w:r w:rsidR="00B66CAB" w:rsidRPr="00631743">
        <w:rPr>
          <w:rFonts w:ascii="Arial" w:hAnsi="Arial" w:cs="Arial"/>
          <w:u w:val="single"/>
        </w:rPr>
        <w:t xml:space="preserve"> Duties Act.</w:t>
      </w:r>
      <w:r w:rsidR="00B66CAB" w:rsidRPr="00631743">
        <w:rPr>
          <w:rFonts w:ascii="Arial" w:hAnsi="Arial" w:cs="Arial"/>
        </w:rPr>
        <w:t xml:space="preserve"> I submit, that on 22 August, Mr Viljoen at best had a right to claim from me or the company, in case of the latter subject to compliance with legal requirements for a proper instrument of transfer, registration as a member of or holder of shares in the company, and that he was therefore not ac</w:t>
      </w:r>
      <w:r w:rsidR="00E82CC4" w:rsidRPr="00631743">
        <w:rPr>
          <w:rFonts w:ascii="Arial" w:hAnsi="Arial" w:cs="Arial"/>
        </w:rPr>
        <w:t>tually the holder of that share.’</w:t>
      </w:r>
      <w:r w:rsidR="004F0BB2" w:rsidRPr="00631743">
        <w:rPr>
          <w:rFonts w:ascii="Arial" w:hAnsi="Arial" w:cs="Arial"/>
        </w:rPr>
        <w:t xml:space="preserve"> </w:t>
      </w:r>
      <w:r w:rsidRPr="00631743">
        <w:rPr>
          <w:rFonts w:ascii="Arial" w:hAnsi="Arial" w:cs="Arial"/>
        </w:rPr>
        <w:t>(My</w:t>
      </w:r>
      <w:r w:rsidR="004F0BB2" w:rsidRPr="00631743">
        <w:rPr>
          <w:rFonts w:ascii="Arial" w:hAnsi="Arial" w:cs="Arial"/>
        </w:rPr>
        <w:t xml:space="preserve"> underlining).</w:t>
      </w:r>
    </w:p>
    <w:p w:rsidR="00747779"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lastRenderedPageBreak/>
        <w:t>[37</w:t>
      </w:r>
      <w:r w:rsidR="00AA0159"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00DA46FB" w:rsidRPr="00631743">
        <w:rPr>
          <w:rFonts w:ascii="Arial" w:hAnsi="Arial" w:cs="Arial"/>
          <w:color w:val="000000" w:themeColor="text1"/>
          <w:sz w:val="24"/>
          <w:szCs w:val="24"/>
        </w:rPr>
        <w:t>T</w:t>
      </w:r>
      <w:r w:rsidR="00986367" w:rsidRPr="00631743">
        <w:rPr>
          <w:rFonts w:ascii="Arial" w:hAnsi="Arial" w:cs="Arial"/>
          <w:color w:val="000000" w:themeColor="text1"/>
          <w:sz w:val="24"/>
          <w:szCs w:val="24"/>
        </w:rPr>
        <w:t>herefore</w:t>
      </w:r>
      <w:r w:rsidR="00DA46FB" w:rsidRPr="00631743">
        <w:rPr>
          <w:rFonts w:ascii="Arial" w:hAnsi="Arial" w:cs="Arial"/>
          <w:color w:val="000000" w:themeColor="text1"/>
          <w:sz w:val="24"/>
          <w:szCs w:val="24"/>
        </w:rPr>
        <w:t>,</w:t>
      </w:r>
      <w:r w:rsidR="00986367" w:rsidRPr="00631743">
        <w:rPr>
          <w:rFonts w:ascii="Arial" w:hAnsi="Arial" w:cs="Arial"/>
          <w:color w:val="000000" w:themeColor="text1"/>
          <w:sz w:val="24"/>
          <w:szCs w:val="24"/>
        </w:rPr>
        <w:t xml:space="preserve"> </w:t>
      </w:r>
      <w:r w:rsidR="00637A7B" w:rsidRPr="00631743">
        <w:rPr>
          <w:rFonts w:ascii="Arial" w:hAnsi="Arial" w:cs="Arial"/>
          <w:color w:val="000000" w:themeColor="text1"/>
          <w:sz w:val="24"/>
          <w:szCs w:val="24"/>
        </w:rPr>
        <w:t>Denker</w:t>
      </w:r>
      <w:r w:rsidR="00986367" w:rsidRPr="00631743">
        <w:rPr>
          <w:rFonts w:ascii="Arial" w:hAnsi="Arial" w:cs="Arial"/>
          <w:color w:val="000000" w:themeColor="text1"/>
          <w:sz w:val="24"/>
          <w:szCs w:val="24"/>
        </w:rPr>
        <w:t xml:space="preserve"> relied on </w:t>
      </w:r>
      <w:r w:rsidR="00747779" w:rsidRPr="00631743">
        <w:rPr>
          <w:rFonts w:ascii="Arial" w:hAnsi="Arial" w:cs="Arial"/>
          <w:color w:val="000000" w:themeColor="text1"/>
          <w:sz w:val="24"/>
          <w:szCs w:val="24"/>
        </w:rPr>
        <w:t xml:space="preserve">non-compliance with </w:t>
      </w:r>
      <w:r w:rsidR="00DA46FB" w:rsidRPr="00631743">
        <w:rPr>
          <w:rFonts w:ascii="Arial" w:hAnsi="Arial" w:cs="Arial"/>
          <w:color w:val="000000" w:themeColor="text1"/>
          <w:sz w:val="24"/>
          <w:szCs w:val="24"/>
        </w:rPr>
        <w:t xml:space="preserve">s 140 of the </w:t>
      </w:r>
      <w:r w:rsidR="00747779" w:rsidRPr="00631743">
        <w:rPr>
          <w:rFonts w:ascii="Arial" w:hAnsi="Arial" w:cs="Arial"/>
          <w:color w:val="000000" w:themeColor="text1"/>
          <w:sz w:val="24"/>
          <w:szCs w:val="24"/>
        </w:rPr>
        <w:t>Companies Act</w:t>
      </w:r>
      <w:r w:rsidR="00DA46FB" w:rsidRPr="00631743">
        <w:rPr>
          <w:rFonts w:ascii="Arial" w:hAnsi="Arial" w:cs="Arial"/>
          <w:color w:val="000000" w:themeColor="text1"/>
          <w:sz w:val="24"/>
          <w:szCs w:val="24"/>
        </w:rPr>
        <w:t xml:space="preserve"> (without specifying the subsection(s)), as </w:t>
      </w:r>
      <w:r w:rsidR="00747779" w:rsidRPr="00631743">
        <w:rPr>
          <w:rFonts w:ascii="Arial" w:hAnsi="Arial" w:cs="Arial"/>
          <w:color w:val="000000" w:themeColor="text1"/>
          <w:sz w:val="24"/>
          <w:szCs w:val="24"/>
        </w:rPr>
        <w:t xml:space="preserve">read with </w:t>
      </w:r>
      <w:r w:rsidR="00A029F7" w:rsidRPr="00631743">
        <w:rPr>
          <w:rFonts w:ascii="Arial" w:hAnsi="Arial" w:cs="Arial"/>
          <w:color w:val="000000" w:themeColor="text1"/>
          <w:sz w:val="24"/>
          <w:szCs w:val="24"/>
        </w:rPr>
        <w:t xml:space="preserve">the following provisions of the Stamp Duties </w:t>
      </w:r>
      <w:r w:rsidR="00DE2FC1" w:rsidRPr="00631743">
        <w:rPr>
          <w:rFonts w:ascii="Arial" w:hAnsi="Arial" w:cs="Arial"/>
          <w:color w:val="000000" w:themeColor="text1"/>
          <w:sz w:val="24"/>
          <w:szCs w:val="24"/>
        </w:rPr>
        <w:t>Act:</w:t>
      </w:r>
      <w:r w:rsidR="00A029F7" w:rsidRPr="00631743">
        <w:rPr>
          <w:rFonts w:ascii="Arial" w:hAnsi="Arial" w:cs="Arial"/>
          <w:color w:val="000000" w:themeColor="text1"/>
          <w:sz w:val="24"/>
          <w:szCs w:val="24"/>
        </w:rPr>
        <w:t xml:space="preserve"> </w:t>
      </w:r>
      <w:r w:rsidR="00747779" w:rsidRPr="00631743">
        <w:rPr>
          <w:rFonts w:ascii="Arial" w:hAnsi="Arial" w:cs="Arial"/>
          <w:color w:val="000000" w:themeColor="text1"/>
          <w:sz w:val="24"/>
          <w:szCs w:val="24"/>
        </w:rPr>
        <w:t>s 10(6)</w:t>
      </w:r>
      <w:r w:rsidR="00A029F7" w:rsidRPr="00631743">
        <w:rPr>
          <w:rFonts w:ascii="Arial" w:hAnsi="Arial" w:cs="Arial"/>
          <w:color w:val="000000" w:themeColor="text1"/>
          <w:sz w:val="24"/>
          <w:szCs w:val="24"/>
        </w:rPr>
        <w:t xml:space="preserve"> and s</w:t>
      </w:r>
      <w:r w:rsidR="00DA46FB" w:rsidRPr="00631743">
        <w:rPr>
          <w:rFonts w:ascii="Arial" w:hAnsi="Arial" w:cs="Arial"/>
          <w:color w:val="000000" w:themeColor="text1"/>
          <w:sz w:val="24"/>
          <w:szCs w:val="24"/>
        </w:rPr>
        <w:t xml:space="preserve"> 23</w:t>
      </w:r>
      <w:r w:rsidR="00A029F7" w:rsidRPr="00631743">
        <w:rPr>
          <w:rFonts w:ascii="Arial" w:hAnsi="Arial" w:cs="Arial"/>
          <w:color w:val="000000" w:themeColor="text1"/>
          <w:sz w:val="24"/>
          <w:szCs w:val="24"/>
        </w:rPr>
        <w:t xml:space="preserve"> (without specifying the subsection(s)</w:t>
      </w:r>
      <w:r w:rsidR="00AA0159" w:rsidRPr="00631743">
        <w:rPr>
          <w:rFonts w:ascii="Arial" w:hAnsi="Arial" w:cs="Arial"/>
          <w:color w:val="000000" w:themeColor="text1"/>
          <w:sz w:val="24"/>
          <w:szCs w:val="24"/>
        </w:rPr>
        <w:t>)</w:t>
      </w:r>
      <w:r w:rsidR="00A029F7" w:rsidRPr="00631743">
        <w:rPr>
          <w:rFonts w:ascii="Arial" w:hAnsi="Arial" w:cs="Arial"/>
          <w:color w:val="000000" w:themeColor="text1"/>
          <w:sz w:val="24"/>
          <w:szCs w:val="24"/>
        </w:rPr>
        <w:t>.</w:t>
      </w:r>
      <w:r w:rsidR="00DA46FB" w:rsidRPr="00631743">
        <w:rPr>
          <w:rFonts w:ascii="Arial" w:hAnsi="Arial" w:cs="Arial"/>
          <w:color w:val="000000" w:themeColor="text1"/>
          <w:sz w:val="24"/>
          <w:szCs w:val="24"/>
        </w:rPr>
        <w:t xml:space="preserve"> </w:t>
      </w:r>
      <w:r w:rsidR="00747779" w:rsidRPr="00631743">
        <w:rPr>
          <w:rFonts w:ascii="Arial" w:hAnsi="Arial" w:cs="Arial"/>
          <w:color w:val="000000" w:themeColor="text1"/>
          <w:sz w:val="24"/>
          <w:szCs w:val="24"/>
        </w:rPr>
        <w:t xml:space="preserve">Having identified the sections relied on by </w:t>
      </w:r>
      <w:r w:rsidR="00362DE3" w:rsidRPr="00631743">
        <w:rPr>
          <w:rFonts w:ascii="Arial" w:hAnsi="Arial" w:cs="Arial"/>
          <w:color w:val="000000" w:themeColor="text1"/>
          <w:sz w:val="24"/>
          <w:szCs w:val="24"/>
        </w:rPr>
        <w:t>Denker</w:t>
      </w:r>
      <w:r w:rsidR="00747779" w:rsidRPr="00631743">
        <w:rPr>
          <w:rFonts w:ascii="Arial" w:hAnsi="Arial" w:cs="Arial"/>
          <w:color w:val="000000" w:themeColor="text1"/>
          <w:sz w:val="24"/>
          <w:szCs w:val="24"/>
        </w:rPr>
        <w:t xml:space="preserve">, the learned judge a </w:t>
      </w:r>
      <w:r w:rsidR="00747779" w:rsidRPr="00631743">
        <w:rPr>
          <w:rFonts w:ascii="Arial" w:hAnsi="Arial" w:cs="Arial"/>
          <w:i/>
          <w:color w:val="000000" w:themeColor="text1"/>
          <w:sz w:val="24"/>
          <w:szCs w:val="24"/>
        </w:rPr>
        <w:t>quo</w:t>
      </w:r>
      <w:r w:rsidR="00747779" w:rsidRPr="00631743">
        <w:rPr>
          <w:rFonts w:ascii="Arial" w:hAnsi="Arial" w:cs="Arial"/>
          <w:color w:val="000000" w:themeColor="text1"/>
          <w:sz w:val="24"/>
          <w:szCs w:val="24"/>
        </w:rPr>
        <w:t xml:space="preserve"> went on to state at paragraph 37</w:t>
      </w:r>
      <w:r w:rsidR="005E57DA" w:rsidRPr="00631743">
        <w:rPr>
          <w:rFonts w:ascii="Arial" w:hAnsi="Arial" w:cs="Arial"/>
          <w:color w:val="000000" w:themeColor="text1"/>
          <w:sz w:val="24"/>
          <w:szCs w:val="24"/>
        </w:rPr>
        <w:t xml:space="preserve"> of the judgment</w:t>
      </w:r>
      <w:r w:rsidR="00747779" w:rsidRPr="00631743">
        <w:rPr>
          <w:rFonts w:ascii="Arial" w:hAnsi="Arial" w:cs="Arial"/>
          <w:color w:val="000000" w:themeColor="text1"/>
          <w:sz w:val="24"/>
          <w:szCs w:val="24"/>
        </w:rPr>
        <w:t>:</w:t>
      </w:r>
    </w:p>
    <w:p w:rsidR="00747779" w:rsidRPr="00631743" w:rsidRDefault="00E82CC4" w:rsidP="004D2193">
      <w:pPr>
        <w:spacing w:before="100" w:beforeAutospacing="1" w:after="100" w:afterAutospacing="1" w:line="360" w:lineRule="auto"/>
        <w:ind w:left="720"/>
        <w:jc w:val="both"/>
        <w:rPr>
          <w:rFonts w:ascii="Arial" w:hAnsi="Arial" w:cs="Arial"/>
          <w:color w:val="000000" w:themeColor="text1"/>
        </w:rPr>
      </w:pPr>
      <w:r w:rsidRPr="00631743">
        <w:rPr>
          <w:rFonts w:ascii="Arial" w:hAnsi="Arial" w:cs="Arial"/>
          <w:color w:val="000000" w:themeColor="text1"/>
        </w:rPr>
        <w:t xml:space="preserve">‘. . . </w:t>
      </w:r>
      <w:r w:rsidR="00DE2FC1" w:rsidRPr="00631743">
        <w:rPr>
          <w:rFonts w:ascii="Arial" w:hAnsi="Arial" w:cs="Arial"/>
          <w:color w:val="000000" w:themeColor="text1"/>
        </w:rPr>
        <w:t>Mr</w:t>
      </w:r>
      <w:r w:rsidR="00747779" w:rsidRPr="00631743">
        <w:rPr>
          <w:rFonts w:ascii="Arial" w:hAnsi="Arial" w:cs="Arial"/>
          <w:color w:val="000000" w:themeColor="text1"/>
        </w:rPr>
        <w:t xml:space="preserve"> Frank who appeared for Denker submitted that no one has the right to be on a register of members of a company, as the transferee of shares unless the transferor has delivered a proper share transfer instrument duly stamped in respect of those shares. </w:t>
      </w:r>
      <w:r w:rsidR="00747779" w:rsidRPr="00631743">
        <w:rPr>
          <w:rFonts w:ascii="Arial" w:hAnsi="Arial" w:cs="Arial"/>
          <w:color w:val="000000" w:themeColor="text1"/>
          <w:u w:val="single"/>
        </w:rPr>
        <w:t xml:space="preserve">He further submitted that without compliance with the applicable legislation no one is </w:t>
      </w:r>
      <w:r w:rsidR="005E57DA" w:rsidRPr="00631743">
        <w:rPr>
          <w:rFonts w:ascii="Arial" w:hAnsi="Arial" w:cs="Arial"/>
          <w:color w:val="000000" w:themeColor="text1"/>
          <w:u w:val="single"/>
        </w:rPr>
        <w:t>entitled to be registered in the share register as a member of the company.</w:t>
      </w:r>
      <w:r w:rsidR="005E57DA" w:rsidRPr="00631743">
        <w:rPr>
          <w:rFonts w:ascii="Arial" w:hAnsi="Arial" w:cs="Arial"/>
          <w:color w:val="000000" w:themeColor="text1"/>
        </w:rPr>
        <w:t xml:space="preserve"> The question that needs to be answered is</w:t>
      </w:r>
      <w:r w:rsidR="00AA0159" w:rsidRPr="00631743">
        <w:rPr>
          <w:rFonts w:ascii="Arial" w:hAnsi="Arial" w:cs="Arial"/>
          <w:color w:val="000000" w:themeColor="text1"/>
        </w:rPr>
        <w:t xml:space="preserve"> . . . </w:t>
      </w:r>
      <w:r w:rsidR="005E57DA" w:rsidRPr="00631743">
        <w:rPr>
          <w:rFonts w:ascii="Arial" w:hAnsi="Arial" w:cs="Arial"/>
          <w:color w:val="000000" w:themeColor="text1"/>
        </w:rPr>
        <w:t>whether the failure to stamp the documents renders the transfer of the shares a nullity’.</w:t>
      </w:r>
      <w:r w:rsidR="00DA46FB" w:rsidRPr="00631743">
        <w:rPr>
          <w:rFonts w:ascii="Arial" w:hAnsi="Arial" w:cs="Arial"/>
          <w:color w:val="000000" w:themeColor="text1"/>
        </w:rPr>
        <w:t xml:space="preserve"> </w:t>
      </w:r>
      <w:r w:rsidR="00DE2FC1" w:rsidRPr="00631743">
        <w:rPr>
          <w:rFonts w:ascii="Arial" w:hAnsi="Arial" w:cs="Arial"/>
          <w:color w:val="000000" w:themeColor="text1"/>
          <w:sz w:val="24"/>
          <w:szCs w:val="24"/>
        </w:rPr>
        <w:t>(My</w:t>
      </w:r>
      <w:r w:rsidR="00DA46FB" w:rsidRPr="00631743">
        <w:rPr>
          <w:rFonts w:ascii="Arial" w:hAnsi="Arial" w:cs="Arial"/>
          <w:color w:val="000000" w:themeColor="text1"/>
          <w:sz w:val="24"/>
          <w:szCs w:val="24"/>
        </w:rPr>
        <w:t xml:space="preserve"> underlining)</w:t>
      </w:r>
    </w:p>
    <w:p w:rsidR="00CD5C52"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[38</w:t>
      </w:r>
      <w:r w:rsidR="00135EDC"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0001630E" w:rsidRPr="00631743">
        <w:rPr>
          <w:rFonts w:ascii="Arial" w:hAnsi="Arial" w:cs="Arial"/>
          <w:color w:val="000000" w:themeColor="text1"/>
          <w:sz w:val="24"/>
          <w:szCs w:val="24"/>
        </w:rPr>
        <w:t>In the written heads of argument</w:t>
      </w:r>
      <w:r w:rsidR="00362DE3" w:rsidRPr="00631743">
        <w:rPr>
          <w:rFonts w:ascii="Arial" w:hAnsi="Arial" w:cs="Arial"/>
          <w:color w:val="000000" w:themeColor="text1"/>
          <w:sz w:val="24"/>
          <w:szCs w:val="24"/>
        </w:rPr>
        <w:t>,</w:t>
      </w:r>
      <w:r w:rsidR="0001630E" w:rsidRPr="00631743">
        <w:rPr>
          <w:rFonts w:ascii="Arial" w:hAnsi="Arial" w:cs="Arial"/>
          <w:color w:val="000000" w:themeColor="text1"/>
          <w:sz w:val="24"/>
          <w:szCs w:val="24"/>
        </w:rPr>
        <w:t xml:space="preserve"> it is </w:t>
      </w:r>
      <w:r w:rsidR="00D54DBA" w:rsidRPr="00631743">
        <w:rPr>
          <w:rFonts w:ascii="Arial" w:hAnsi="Arial" w:cs="Arial"/>
          <w:color w:val="000000" w:themeColor="text1"/>
          <w:sz w:val="24"/>
          <w:szCs w:val="24"/>
        </w:rPr>
        <w:t xml:space="preserve">submitted by Mr </w:t>
      </w:r>
      <w:r w:rsidR="00DE2FC1" w:rsidRPr="00631743">
        <w:rPr>
          <w:rFonts w:ascii="Arial" w:hAnsi="Arial" w:cs="Arial"/>
          <w:color w:val="000000" w:themeColor="text1"/>
          <w:sz w:val="24"/>
          <w:szCs w:val="24"/>
        </w:rPr>
        <w:t>Tötemeyer</w:t>
      </w:r>
      <w:r w:rsidR="00E45131" w:rsidRPr="00631743">
        <w:rPr>
          <w:rFonts w:ascii="Arial" w:hAnsi="Arial" w:cs="Arial"/>
          <w:color w:val="000000" w:themeColor="text1"/>
          <w:sz w:val="24"/>
          <w:szCs w:val="24"/>
        </w:rPr>
        <w:t xml:space="preserve"> for Denker </w:t>
      </w:r>
      <w:r w:rsidR="00D54DBA" w:rsidRPr="00631743">
        <w:rPr>
          <w:rFonts w:ascii="Arial" w:hAnsi="Arial" w:cs="Arial"/>
          <w:color w:val="000000" w:themeColor="text1"/>
          <w:sz w:val="24"/>
          <w:szCs w:val="24"/>
        </w:rPr>
        <w:t>that the instruments of transfer</w:t>
      </w:r>
      <w:r w:rsidR="00CD5C52" w:rsidRPr="00631743">
        <w:rPr>
          <w:rFonts w:ascii="Arial" w:hAnsi="Arial" w:cs="Arial"/>
          <w:color w:val="000000" w:themeColor="text1"/>
          <w:sz w:val="24"/>
          <w:szCs w:val="24"/>
        </w:rPr>
        <w:t>,</w:t>
      </w:r>
      <w:r w:rsidR="00D54DBA" w:rsidRPr="00631743">
        <w:rPr>
          <w:rFonts w:ascii="Arial" w:hAnsi="Arial" w:cs="Arial"/>
          <w:color w:val="000000" w:themeColor="text1"/>
          <w:sz w:val="24"/>
          <w:szCs w:val="24"/>
        </w:rPr>
        <w:t xml:space="preserve"> </w:t>
      </w:r>
      <w:r w:rsidR="00CD5C52" w:rsidRPr="00631743">
        <w:rPr>
          <w:rFonts w:ascii="Arial" w:hAnsi="Arial" w:cs="Arial"/>
          <w:color w:val="000000" w:themeColor="text1"/>
          <w:sz w:val="24"/>
          <w:szCs w:val="24"/>
        </w:rPr>
        <w:t xml:space="preserve">in so far as they were not stamped, the true date was not inserted and the </w:t>
      </w:r>
      <w:r w:rsidR="00362DE3" w:rsidRPr="00631743">
        <w:rPr>
          <w:rFonts w:ascii="Arial" w:hAnsi="Arial" w:cs="Arial"/>
          <w:color w:val="000000" w:themeColor="text1"/>
          <w:sz w:val="24"/>
          <w:szCs w:val="24"/>
        </w:rPr>
        <w:t xml:space="preserve">prescribed </w:t>
      </w:r>
      <w:r w:rsidR="00CD5C52" w:rsidRPr="00631743">
        <w:rPr>
          <w:rFonts w:ascii="Arial" w:hAnsi="Arial" w:cs="Arial"/>
          <w:color w:val="000000" w:themeColor="text1"/>
          <w:sz w:val="24"/>
          <w:szCs w:val="24"/>
        </w:rPr>
        <w:t>stamp duties not paid</w:t>
      </w:r>
      <w:r w:rsidR="0001630E" w:rsidRPr="00631743">
        <w:rPr>
          <w:rFonts w:ascii="Arial" w:hAnsi="Arial" w:cs="Arial"/>
          <w:color w:val="000000" w:themeColor="text1"/>
          <w:sz w:val="24"/>
          <w:szCs w:val="24"/>
        </w:rPr>
        <w:t>,</w:t>
      </w:r>
      <w:r w:rsidR="00CD5C52" w:rsidRPr="00631743">
        <w:rPr>
          <w:rFonts w:ascii="Arial" w:hAnsi="Arial" w:cs="Arial"/>
          <w:color w:val="000000" w:themeColor="text1"/>
          <w:sz w:val="24"/>
          <w:szCs w:val="24"/>
        </w:rPr>
        <w:t xml:space="preserve"> </w:t>
      </w:r>
      <w:r w:rsidR="00D54DBA" w:rsidRPr="00631743">
        <w:rPr>
          <w:rFonts w:ascii="Arial" w:hAnsi="Arial" w:cs="Arial"/>
          <w:color w:val="000000" w:themeColor="text1"/>
          <w:sz w:val="24"/>
          <w:szCs w:val="24"/>
        </w:rPr>
        <w:t>did not comply with s 140(2) of the Companies Act</w:t>
      </w:r>
      <w:r w:rsidR="00CD5C52" w:rsidRPr="00631743">
        <w:rPr>
          <w:rFonts w:ascii="Arial" w:hAnsi="Arial" w:cs="Arial"/>
          <w:color w:val="000000" w:themeColor="text1"/>
          <w:sz w:val="24"/>
          <w:szCs w:val="24"/>
        </w:rPr>
        <w:t>.</w:t>
      </w:r>
      <w:r w:rsidR="00D54DBA" w:rsidRPr="00631743">
        <w:rPr>
          <w:rFonts w:ascii="Arial" w:hAnsi="Arial" w:cs="Arial"/>
          <w:color w:val="000000" w:themeColor="text1"/>
          <w:sz w:val="24"/>
          <w:szCs w:val="24"/>
        </w:rPr>
        <w:t xml:space="preserve"> </w:t>
      </w:r>
      <w:r w:rsidR="00CD5C52" w:rsidRPr="00631743">
        <w:rPr>
          <w:rFonts w:ascii="Arial" w:hAnsi="Arial" w:cs="Arial"/>
          <w:color w:val="000000" w:themeColor="text1"/>
          <w:sz w:val="24"/>
          <w:szCs w:val="24"/>
        </w:rPr>
        <w:t xml:space="preserve">According to counsel, the court a </w:t>
      </w:r>
      <w:r w:rsidR="00CD5C52" w:rsidRPr="00631743">
        <w:rPr>
          <w:rFonts w:ascii="Arial" w:hAnsi="Arial" w:cs="Arial"/>
          <w:i/>
          <w:color w:val="000000" w:themeColor="text1"/>
          <w:sz w:val="24"/>
          <w:szCs w:val="24"/>
        </w:rPr>
        <w:t>quo</w:t>
      </w:r>
      <w:r w:rsidR="00CD5C52" w:rsidRPr="00631743">
        <w:rPr>
          <w:rFonts w:ascii="Arial" w:hAnsi="Arial" w:cs="Arial"/>
          <w:color w:val="000000" w:themeColor="text1"/>
          <w:sz w:val="24"/>
          <w:szCs w:val="24"/>
        </w:rPr>
        <w:t xml:space="preserve"> in addressing this complaint</w:t>
      </w:r>
      <w:r w:rsidR="00637A7B" w:rsidRPr="00631743">
        <w:rPr>
          <w:rFonts w:ascii="Arial" w:hAnsi="Arial" w:cs="Arial"/>
          <w:color w:val="000000" w:themeColor="text1"/>
          <w:sz w:val="24"/>
          <w:szCs w:val="24"/>
        </w:rPr>
        <w:t>:</w:t>
      </w:r>
    </w:p>
    <w:p w:rsidR="00D54DBA" w:rsidRPr="00631743" w:rsidRDefault="00CD5C52" w:rsidP="004D2193">
      <w:pPr>
        <w:spacing w:after="0" w:line="360" w:lineRule="auto"/>
        <w:ind w:left="720"/>
        <w:jc w:val="both"/>
        <w:rPr>
          <w:rFonts w:ascii="Arial" w:hAnsi="Arial" w:cs="Arial"/>
          <w:color w:val="000000" w:themeColor="text1"/>
        </w:rPr>
      </w:pPr>
      <w:r w:rsidRPr="00631743">
        <w:rPr>
          <w:rFonts w:ascii="Arial" w:hAnsi="Arial" w:cs="Arial"/>
          <w:color w:val="000000" w:themeColor="text1"/>
        </w:rPr>
        <w:t xml:space="preserve">‘[F]ailed to consider section 23(5), read with </w:t>
      </w:r>
      <w:r w:rsidR="00362DE3" w:rsidRPr="00631743">
        <w:rPr>
          <w:rFonts w:ascii="Arial" w:hAnsi="Arial" w:cs="Arial"/>
          <w:color w:val="000000" w:themeColor="text1"/>
        </w:rPr>
        <w:t>I</w:t>
      </w:r>
      <w:r w:rsidRPr="00631743">
        <w:rPr>
          <w:rFonts w:ascii="Arial" w:hAnsi="Arial" w:cs="Arial"/>
          <w:color w:val="000000" w:themeColor="text1"/>
        </w:rPr>
        <w:t>tem</w:t>
      </w:r>
      <w:r w:rsidR="00362DE3" w:rsidRPr="00631743">
        <w:rPr>
          <w:rFonts w:ascii="Arial" w:hAnsi="Arial" w:cs="Arial"/>
          <w:color w:val="000000" w:themeColor="text1"/>
        </w:rPr>
        <w:t xml:space="preserve"> </w:t>
      </w:r>
      <w:r w:rsidRPr="00631743">
        <w:rPr>
          <w:rFonts w:ascii="Arial" w:hAnsi="Arial" w:cs="Arial"/>
          <w:color w:val="000000" w:themeColor="text1"/>
        </w:rPr>
        <w:t xml:space="preserve">11(3) of Schedule 1 of the Stamp </w:t>
      </w:r>
      <w:r w:rsidR="00DE2FC1" w:rsidRPr="00631743">
        <w:rPr>
          <w:rFonts w:ascii="Arial" w:hAnsi="Arial" w:cs="Arial"/>
          <w:color w:val="000000" w:themeColor="text1"/>
        </w:rPr>
        <w:t>Duties</w:t>
      </w:r>
      <w:r w:rsidRPr="00631743">
        <w:rPr>
          <w:rFonts w:ascii="Arial" w:hAnsi="Arial" w:cs="Arial"/>
          <w:color w:val="000000" w:themeColor="text1"/>
        </w:rPr>
        <w:t xml:space="preserve"> Act, to be read with the definition rend</w:t>
      </w:r>
      <w:r w:rsidR="00E82CC4" w:rsidRPr="00631743">
        <w:rPr>
          <w:rFonts w:ascii="Arial" w:hAnsi="Arial" w:cs="Arial"/>
          <w:color w:val="000000" w:themeColor="text1"/>
        </w:rPr>
        <w:t>ered to “marketable security”</w:t>
      </w:r>
      <w:r w:rsidRPr="00631743">
        <w:rPr>
          <w:rFonts w:ascii="Arial" w:hAnsi="Arial" w:cs="Arial"/>
          <w:color w:val="000000" w:themeColor="text1"/>
        </w:rPr>
        <w:t xml:space="preserve"> (section 23), and section 1</w:t>
      </w:r>
      <w:r w:rsidR="0001630E" w:rsidRPr="00631743">
        <w:rPr>
          <w:rFonts w:ascii="Arial" w:hAnsi="Arial" w:cs="Arial"/>
          <w:color w:val="000000" w:themeColor="text1"/>
        </w:rPr>
        <w:t>42</w:t>
      </w:r>
      <w:r w:rsidRPr="00631743">
        <w:rPr>
          <w:rFonts w:ascii="Arial" w:hAnsi="Arial" w:cs="Arial"/>
          <w:color w:val="000000" w:themeColor="text1"/>
        </w:rPr>
        <w:t xml:space="preserve">, contained in the Stamp Duties Act and read together with section 140(4) of the Companies Act. These provisions create a direct statutory </w:t>
      </w:r>
      <w:r w:rsidR="00DE2FC1" w:rsidRPr="00631743">
        <w:rPr>
          <w:rFonts w:ascii="Arial" w:hAnsi="Arial" w:cs="Arial"/>
          <w:color w:val="000000" w:themeColor="text1"/>
        </w:rPr>
        <w:t>prohibition. A</w:t>
      </w:r>
      <w:r w:rsidRPr="00631743">
        <w:rPr>
          <w:rFonts w:ascii="Arial" w:hAnsi="Arial" w:cs="Arial"/>
          <w:color w:val="000000" w:themeColor="text1"/>
        </w:rPr>
        <w:t xml:space="preserve"> proper instrument of transfer means one that complies with the law. An act contrary to a statutory prohibition results in a nullity.’</w:t>
      </w:r>
    </w:p>
    <w:p w:rsidR="00634ACD"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[39</w:t>
      </w:r>
      <w:r w:rsidR="00AA0159"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0001630E" w:rsidRPr="00631743">
        <w:rPr>
          <w:rFonts w:ascii="Arial" w:hAnsi="Arial" w:cs="Arial"/>
          <w:color w:val="000000" w:themeColor="text1"/>
          <w:sz w:val="24"/>
          <w:szCs w:val="24"/>
        </w:rPr>
        <w:t>During oral argument</w:t>
      </w:r>
      <w:r w:rsidR="00764629" w:rsidRPr="00631743">
        <w:rPr>
          <w:rFonts w:ascii="Arial" w:hAnsi="Arial" w:cs="Arial"/>
          <w:color w:val="000000" w:themeColor="text1"/>
          <w:sz w:val="24"/>
          <w:szCs w:val="24"/>
        </w:rPr>
        <w:t>,</w:t>
      </w:r>
      <w:r w:rsidR="0001630E" w:rsidRPr="00631743">
        <w:rPr>
          <w:rFonts w:ascii="Arial" w:hAnsi="Arial" w:cs="Arial"/>
          <w:color w:val="000000" w:themeColor="text1"/>
          <w:sz w:val="24"/>
          <w:szCs w:val="24"/>
        </w:rPr>
        <w:t xml:space="preserve"> </w:t>
      </w:r>
      <w:r w:rsidR="00A40DC5" w:rsidRPr="00631743">
        <w:rPr>
          <w:rFonts w:ascii="Arial" w:hAnsi="Arial" w:cs="Arial"/>
          <w:color w:val="000000" w:themeColor="text1"/>
          <w:sz w:val="24"/>
          <w:szCs w:val="24"/>
        </w:rPr>
        <w:t xml:space="preserve">Mr Tötemeyer </w:t>
      </w:r>
      <w:r w:rsidR="0001630E" w:rsidRPr="00631743">
        <w:rPr>
          <w:rFonts w:ascii="Arial" w:hAnsi="Arial" w:cs="Arial"/>
          <w:color w:val="000000" w:themeColor="text1"/>
          <w:sz w:val="24"/>
          <w:szCs w:val="24"/>
        </w:rPr>
        <w:t>stated that</w:t>
      </w:r>
      <w:r w:rsidR="00A40DC5" w:rsidRPr="00631743">
        <w:rPr>
          <w:rFonts w:ascii="Arial" w:hAnsi="Arial" w:cs="Arial"/>
          <w:color w:val="000000" w:themeColor="text1"/>
          <w:sz w:val="24"/>
          <w:szCs w:val="24"/>
        </w:rPr>
        <w:t xml:space="preserve"> the court a </w:t>
      </w:r>
      <w:r w:rsidR="00A40DC5" w:rsidRPr="00631743">
        <w:rPr>
          <w:rFonts w:ascii="Arial" w:hAnsi="Arial" w:cs="Arial"/>
          <w:i/>
          <w:color w:val="000000" w:themeColor="text1"/>
          <w:sz w:val="24"/>
          <w:szCs w:val="24"/>
        </w:rPr>
        <w:t>quo</w:t>
      </w:r>
      <w:r w:rsidR="00A40DC5" w:rsidRPr="00631743">
        <w:rPr>
          <w:rFonts w:ascii="Arial" w:hAnsi="Arial" w:cs="Arial"/>
          <w:color w:val="000000" w:themeColor="text1"/>
          <w:sz w:val="24"/>
          <w:szCs w:val="24"/>
        </w:rPr>
        <w:t xml:space="preserve"> answered the wrong question. According to him, it should rather have considered whether or not it was competent in law for an instrument of transfer executed against the prescripts of the law to be used to pass a valid transfer of his 1% share to the </w:t>
      </w:r>
      <w:r w:rsidR="00362DE3" w:rsidRPr="00631743">
        <w:rPr>
          <w:rFonts w:ascii="Arial" w:hAnsi="Arial" w:cs="Arial"/>
          <w:color w:val="000000" w:themeColor="text1"/>
          <w:sz w:val="24"/>
          <w:szCs w:val="24"/>
        </w:rPr>
        <w:t xml:space="preserve">Michael </w:t>
      </w:r>
      <w:r w:rsidR="00A40DC5" w:rsidRPr="00631743">
        <w:rPr>
          <w:rFonts w:ascii="Arial" w:hAnsi="Arial" w:cs="Arial"/>
          <w:color w:val="000000" w:themeColor="text1"/>
          <w:sz w:val="24"/>
          <w:szCs w:val="24"/>
        </w:rPr>
        <w:t xml:space="preserve">Viljoen Trust. </w:t>
      </w:r>
      <w:r w:rsidR="0001630E" w:rsidRPr="00631743">
        <w:rPr>
          <w:rFonts w:ascii="Arial" w:hAnsi="Arial" w:cs="Arial"/>
          <w:color w:val="000000" w:themeColor="text1"/>
          <w:sz w:val="24"/>
          <w:szCs w:val="24"/>
        </w:rPr>
        <w:t xml:space="preserve">I wish to make a few observations on this. The first is that in the pleadings no reliance was placed on s 142 </w:t>
      </w:r>
      <w:r w:rsidR="0001630E" w:rsidRPr="00631743">
        <w:rPr>
          <w:rFonts w:ascii="Arial" w:hAnsi="Arial" w:cs="Arial"/>
          <w:color w:val="000000" w:themeColor="text1"/>
          <w:sz w:val="24"/>
          <w:szCs w:val="24"/>
        </w:rPr>
        <w:lastRenderedPageBreak/>
        <w:t>(</w:t>
      </w:r>
      <w:r w:rsidR="00637A7B" w:rsidRPr="00631743">
        <w:rPr>
          <w:rFonts w:ascii="Arial" w:hAnsi="Arial" w:cs="Arial"/>
          <w:color w:val="000000" w:themeColor="text1"/>
          <w:sz w:val="24"/>
          <w:szCs w:val="24"/>
        </w:rPr>
        <w:t>‘</w:t>
      </w:r>
      <w:r w:rsidR="0001630E" w:rsidRPr="00631743">
        <w:rPr>
          <w:rFonts w:ascii="Arial" w:hAnsi="Arial" w:cs="Arial"/>
          <w:color w:val="000000" w:themeColor="text1"/>
          <w:sz w:val="24"/>
          <w:szCs w:val="24"/>
        </w:rPr>
        <w:t>manner in which securities may be transferred</w:t>
      </w:r>
      <w:r w:rsidR="00637A7B" w:rsidRPr="00631743">
        <w:rPr>
          <w:rFonts w:ascii="Arial" w:hAnsi="Arial" w:cs="Arial"/>
          <w:color w:val="000000" w:themeColor="text1"/>
          <w:sz w:val="24"/>
          <w:szCs w:val="24"/>
        </w:rPr>
        <w:t>’</w:t>
      </w:r>
      <w:r w:rsidR="0001630E" w:rsidRPr="00631743">
        <w:rPr>
          <w:rFonts w:ascii="Arial" w:hAnsi="Arial" w:cs="Arial"/>
          <w:color w:val="000000" w:themeColor="text1"/>
          <w:sz w:val="24"/>
          <w:szCs w:val="24"/>
        </w:rPr>
        <w:t>) of the Companies Act. The second is that in respect of s 23 of the Stamp Duties Act</w:t>
      </w:r>
      <w:r w:rsidR="00764629" w:rsidRPr="00631743">
        <w:rPr>
          <w:rFonts w:ascii="Arial" w:hAnsi="Arial" w:cs="Arial"/>
          <w:color w:val="000000" w:themeColor="text1"/>
          <w:sz w:val="24"/>
          <w:szCs w:val="24"/>
        </w:rPr>
        <w:t>,</w:t>
      </w:r>
      <w:r w:rsidR="0001630E" w:rsidRPr="00631743">
        <w:rPr>
          <w:rFonts w:ascii="Arial" w:hAnsi="Arial" w:cs="Arial"/>
          <w:color w:val="000000" w:themeColor="text1"/>
          <w:sz w:val="24"/>
          <w:szCs w:val="24"/>
        </w:rPr>
        <w:t xml:space="preserve"> the particular subsections relied on were not specified. Now</w:t>
      </w:r>
      <w:r w:rsidR="00E82CC4" w:rsidRPr="00631743">
        <w:rPr>
          <w:rFonts w:ascii="Arial" w:hAnsi="Arial" w:cs="Arial"/>
          <w:color w:val="000000" w:themeColor="text1"/>
          <w:sz w:val="24"/>
          <w:szCs w:val="24"/>
        </w:rPr>
        <w:t xml:space="preserve"> o</w:t>
      </w:r>
      <w:r w:rsidR="00764629" w:rsidRPr="00631743">
        <w:rPr>
          <w:rFonts w:ascii="Arial" w:hAnsi="Arial" w:cs="Arial"/>
          <w:color w:val="000000" w:themeColor="text1"/>
          <w:sz w:val="24"/>
          <w:szCs w:val="24"/>
        </w:rPr>
        <w:t>n appeal</w:t>
      </w:r>
      <w:r w:rsidR="0001630E" w:rsidRPr="00631743">
        <w:rPr>
          <w:rFonts w:ascii="Arial" w:hAnsi="Arial" w:cs="Arial"/>
          <w:color w:val="000000" w:themeColor="text1"/>
          <w:sz w:val="24"/>
          <w:szCs w:val="24"/>
        </w:rPr>
        <w:t xml:space="preserve"> it is said the court </w:t>
      </w:r>
      <w:r w:rsidR="0001630E" w:rsidRPr="00631743">
        <w:rPr>
          <w:rFonts w:ascii="Arial" w:hAnsi="Arial" w:cs="Arial"/>
          <w:i/>
          <w:color w:val="000000" w:themeColor="text1"/>
          <w:sz w:val="24"/>
          <w:szCs w:val="24"/>
        </w:rPr>
        <w:t>a quo</w:t>
      </w:r>
      <w:r w:rsidR="0001630E" w:rsidRPr="00631743">
        <w:rPr>
          <w:rFonts w:ascii="Arial" w:hAnsi="Arial" w:cs="Arial"/>
          <w:color w:val="000000" w:themeColor="text1"/>
          <w:sz w:val="24"/>
          <w:szCs w:val="24"/>
        </w:rPr>
        <w:t xml:space="preserve"> failed to consider subsection (5) which deals with </w:t>
      </w:r>
      <w:r w:rsidR="00637A7B" w:rsidRPr="00631743">
        <w:rPr>
          <w:rFonts w:ascii="Arial" w:hAnsi="Arial" w:cs="Arial"/>
          <w:color w:val="000000" w:themeColor="text1"/>
          <w:sz w:val="24"/>
          <w:szCs w:val="24"/>
        </w:rPr>
        <w:t>‘</w:t>
      </w:r>
      <w:r w:rsidR="0001630E" w:rsidRPr="00631743">
        <w:rPr>
          <w:rFonts w:ascii="Arial" w:hAnsi="Arial" w:cs="Arial"/>
          <w:color w:val="000000" w:themeColor="text1"/>
          <w:sz w:val="24"/>
          <w:szCs w:val="24"/>
        </w:rPr>
        <w:t>marketable securities</w:t>
      </w:r>
      <w:r w:rsidR="00637A7B" w:rsidRPr="00631743">
        <w:rPr>
          <w:rFonts w:ascii="Arial" w:hAnsi="Arial" w:cs="Arial"/>
          <w:color w:val="000000" w:themeColor="text1"/>
          <w:sz w:val="24"/>
          <w:szCs w:val="24"/>
        </w:rPr>
        <w:t>’</w:t>
      </w:r>
      <w:r w:rsidR="0001630E" w:rsidRPr="00631743">
        <w:rPr>
          <w:rFonts w:ascii="Arial" w:hAnsi="Arial" w:cs="Arial"/>
          <w:color w:val="000000" w:themeColor="text1"/>
          <w:sz w:val="24"/>
          <w:szCs w:val="24"/>
        </w:rPr>
        <w:t xml:space="preserve">. </w:t>
      </w:r>
      <w:r w:rsidR="00CA22C5" w:rsidRPr="00631743">
        <w:rPr>
          <w:rFonts w:ascii="Arial" w:hAnsi="Arial" w:cs="Arial"/>
          <w:color w:val="000000" w:themeColor="text1"/>
          <w:sz w:val="24"/>
          <w:szCs w:val="24"/>
        </w:rPr>
        <w:t>Similarly, s 140(4) of the Companies Act was not specifically relied on in the affidavit.</w:t>
      </w:r>
    </w:p>
    <w:p w:rsidR="0001630E"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[40</w:t>
      </w:r>
      <w:r w:rsidR="00AA0159" w:rsidRPr="00631743">
        <w:rPr>
          <w:rFonts w:ascii="Arial" w:hAnsi="Arial" w:cs="Arial"/>
          <w:color w:val="000000" w:themeColor="text1"/>
          <w:sz w:val="24"/>
          <w:szCs w:val="24"/>
        </w:rPr>
        <w:t>]</w:t>
      </w:r>
      <w:r w:rsidR="00AA0159" w:rsidRPr="00631743">
        <w:rPr>
          <w:rFonts w:ascii="Arial" w:hAnsi="Arial" w:cs="Arial"/>
          <w:color w:val="000000" w:themeColor="text1"/>
          <w:sz w:val="24"/>
          <w:szCs w:val="24"/>
        </w:rPr>
        <w:tab/>
      </w:r>
      <w:r w:rsidR="0001630E" w:rsidRPr="00631743">
        <w:rPr>
          <w:rFonts w:ascii="Arial" w:hAnsi="Arial" w:cs="Arial"/>
          <w:color w:val="000000" w:themeColor="text1"/>
          <w:sz w:val="24"/>
          <w:szCs w:val="24"/>
        </w:rPr>
        <w:t xml:space="preserve">Although I accept that </w:t>
      </w:r>
      <w:r w:rsidR="00F20185" w:rsidRPr="00631743">
        <w:rPr>
          <w:rFonts w:ascii="Arial" w:hAnsi="Arial" w:cs="Arial"/>
          <w:color w:val="000000" w:themeColor="text1"/>
          <w:sz w:val="24"/>
          <w:szCs w:val="24"/>
        </w:rPr>
        <w:t>a party who relies on a statutory provision need not necessarily refer to the statute or section relied on</w:t>
      </w:r>
      <w:r w:rsidR="00F20185" w:rsidRPr="00631743">
        <w:rPr>
          <w:rStyle w:val="FootnoteReference"/>
          <w:rFonts w:ascii="Arial" w:hAnsi="Arial" w:cs="Arial"/>
          <w:color w:val="000000" w:themeColor="text1"/>
          <w:sz w:val="24"/>
          <w:szCs w:val="24"/>
        </w:rPr>
        <w:footnoteReference w:id="13"/>
      </w:r>
      <w:r w:rsidR="00F20185" w:rsidRPr="00631743">
        <w:rPr>
          <w:rFonts w:ascii="Arial" w:hAnsi="Arial" w:cs="Arial"/>
          <w:color w:val="000000" w:themeColor="text1"/>
          <w:sz w:val="24"/>
          <w:szCs w:val="24"/>
        </w:rPr>
        <w:t xml:space="preserve">, </w:t>
      </w:r>
      <w:r w:rsidR="0059058C" w:rsidRPr="00631743">
        <w:rPr>
          <w:rFonts w:ascii="Arial" w:hAnsi="Arial" w:cs="Arial"/>
          <w:color w:val="000000" w:themeColor="text1"/>
          <w:sz w:val="24"/>
          <w:szCs w:val="24"/>
        </w:rPr>
        <w:t xml:space="preserve">provided that </w:t>
      </w:r>
      <w:r w:rsidR="00634ACD" w:rsidRPr="00631743">
        <w:rPr>
          <w:rFonts w:ascii="Arial" w:hAnsi="Arial" w:cs="Arial"/>
          <w:color w:val="000000" w:themeColor="text1"/>
          <w:sz w:val="24"/>
          <w:szCs w:val="24"/>
        </w:rPr>
        <w:t>where it does not</w:t>
      </w:r>
      <w:r w:rsidR="00E82CC4" w:rsidRPr="00631743">
        <w:rPr>
          <w:rFonts w:ascii="Arial" w:hAnsi="Arial" w:cs="Arial"/>
          <w:color w:val="000000" w:themeColor="text1"/>
          <w:sz w:val="24"/>
          <w:szCs w:val="24"/>
        </w:rPr>
        <w:t>,</w:t>
      </w:r>
      <w:r w:rsidR="00634ACD" w:rsidRPr="00631743">
        <w:rPr>
          <w:rFonts w:ascii="Arial" w:hAnsi="Arial" w:cs="Arial"/>
          <w:color w:val="000000" w:themeColor="text1"/>
          <w:sz w:val="24"/>
          <w:szCs w:val="24"/>
        </w:rPr>
        <w:t xml:space="preserve"> </w:t>
      </w:r>
      <w:r w:rsidR="00F20185" w:rsidRPr="00631743">
        <w:rPr>
          <w:rFonts w:ascii="Arial" w:hAnsi="Arial" w:cs="Arial"/>
          <w:color w:val="000000" w:themeColor="text1"/>
          <w:sz w:val="24"/>
          <w:szCs w:val="24"/>
        </w:rPr>
        <w:t>its case must be formulated in clear terms to enable the opponent, and the court, to appreciate just what the pleader’s case is with reference to the provision relied upon</w:t>
      </w:r>
      <w:r w:rsidR="00634ACD" w:rsidRPr="00631743">
        <w:rPr>
          <w:rFonts w:ascii="Arial" w:hAnsi="Arial" w:cs="Arial"/>
          <w:color w:val="000000" w:themeColor="text1"/>
          <w:sz w:val="24"/>
          <w:szCs w:val="24"/>
        </w:rPr>
        <w:t xml:space="preserve">. As was said by Trollip JA in </w:t>
      </w:r>
      <w:r w:rsidR="00634ACD" w:rsidRPr="00631743">
        <w:rPr>
          <w:rFonts w:ascii="Arial" w:hAnsi="Arial" w:cs="Arial"/>
          <w:i/>
          <w:color w:val="000000" w:themeColor="text1"/>
          <w:sz w:val="24"/>
          <w:szCs w:val="24"/>
        </w:rPr>
        <w:t>Yannakou v Apollo Club</w:t>
      </w:r>
      <w:r w:rsidR="00CA22C5" w:rsidRPr="00631743">
        <w:rPr>
          <w:rFonts w:ascii="Arial" w:hAnsi="Arial" w:cs="Arial"/>
          <w:i/>
          <w:color w:val="000000" w:themeColor="text1"/>
          <w:sz w:val="24"/>
          <w:szCs w:val="24"/>
        </w:rPr>
        <w:t xml:space="preserve"> </w:t>
      </w:r>
      <w:r w:rsidR="00CA22C5" w:rsidRPr="00631743">
        <w:rPr>
          <w:rFonts w:ascii="Arial" w:hAnsi="Arial" w:cs="Arial"/>
          <w:color w:val="000000" w:themeColor="text1"/>
          <w:sz w:val="24"/>
          <w:szCs w:val="24"/>
        </w:rPr>
        <w:t>1974 (1) SA 614 (A) at 632G</w:t>
      </w:r>
      <w:r w:rsidR="00634ACD" w:rsidRPr="00631743">
        <w:rPr>
          <w:rFonts w:ascii="Arial" w:hAnsi="Arial" w:cs="Arial"/>
          <w:color w:val="000000" w:themeColor="text1"/>
          <w:sz w:val="24"/>
          <w:szCs w:val="24"/>
        </w:rPr>
        <w:t>:</w:t>
      </w:r>
    </w:p>
    <w:p w:rsidR="00634ACD" w:rsidRPr="00631743" w:rsidRDefault="00DE2FC1" w:rsidP="004D2193">
      <w:pPr>
        <w:spacing w:after="0" w:line="360" w:lineRule="auto"/>
        <w:ind w:left="720"/>
        <w:jc w:val="both"/>
        <w:rPr>
          <w:rFonts w:ascii="Arial" w:hAnsi="Arial" w:cs="Arial"/>
          <w:color w:val="000000" w:themeColor="text1"/>
        </w:rPr>
      </w:pPr>
      <w:r w:rsidRPr="00631743">
        <w:rPr>
          <w:rFonts w:ascii="Arial" w:hAnsi="Arial" w:cs="Arial"/>
          <w:color w:val="000000" w:themeColor="text1"/>
        </w:rPr>
        <w:t>‘Hence</w:t>
      </w:r>
      <w:r w:rsidR="00634ACD" w:rsidRPr="00631743">
        <w:rPr>
          <w:rFonts w:ascii="Arial" w:hAnsi="Arial" w:cs="Arial"/>
          <w:color w:val="000000" w:themeColor="text1"/>
        </w:rPr>
        <w:t>, if he relies on a particular section of a statute, he must either s</w:t>
      </w:r>
      <w:r w:rsidR="0097009C" w:rsidRPr="00631743">
        <w:rPr>
          <w:rFonts w:ascii="Arial" w:hAnsi="Arial" w:cs="Arial"/>
          <w:color w:val="000000" w:themeColor="text1"/>
        </w:rPr>
        <w:t>tate</w:t>
      </w:r>
      <w:r w:rsidR="00634ACD" w:rsidRPr="00631743">
        <w:rPr>
          <w:rFonts w:ascii="Arial" w:hAnsi="Arial" w:cs="Arial"/>
          <w:color w:val="000000" w:themeColor="text1"/>
        </w:rPr>
        <w:t xml:space="preserve"> the number of the section and the statute he is relying on or formulate his [case] sufficiently clearly so as to indicate that he is relying on it.’</w:t>
      </w:r>
      <w:r w:rsidR="00D62021" w:rsidRPr="00631743">
        <w:rPr>
          <w:rStyle w:val="FootnoteReference"/>
          <w:rFonts w:ascii="Arial" w:hAnsi="Arial" w:cs="Arial"/>
          <w:color w:val="000000" w:themeColor="text1"/>
        </w:rPr>
        <w:footnoteReference w:id="14"/>
      </w:r>
    </w:p>
    <w:p w:rsidR="00673C78"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[41</w:t>
      </w:r>
      <w:r w:rsidR="00637A7B" w:rsidRPr="00631743">
        <w:rPr>
          <w:rFonts w:ascii="Arial" w:hAnsi="Arial" w:cs="Arial"/>
          <w:color w:val="000000" w:themeColor="text1"/>
          <w:sz w:val="24"/>
          <w:szCs w:val="24"/>
        </w:rPr>
        <w:t>]</w:t>
      </w:r>
      <w:r w:rsidR="0097009C" w:rsidRPr="00631743">
        <w:rPr>
          <w:rFonts w:ascii="Arial" w:hAnsi="Arial" w:cs="Arial"/>
          <w:color w:val="000000" w:themeColor="text1"/>
          <w:sz w:val="24"/>
          <w:szCs w:val="24"/>
        </w:rPr>
        <w:tab/>
      </w:r>
      <w:r w:rsidR="00637A7B" w:rsidRPr="00631743">
        <w:rPr>
          <w:rFonts w:ascii="Arial" w:hAnsi="Arial" w:cs="Arial"/>
          <w:color w:val="000000" w:themeColor="text1"/>
          <w:sz w:val="24"/>
          <w:szCs w:val="24"/>
        </w:rPr>
        <w:t xml:space="preserve">Denker in his founding affidavit </w:t>
      </w:r>
      <w:r w:rsidR="00634ACD" w:rsidRPr="00631743">
        <w:rPr>
          <w:rFonts w:ascii="Arial" w:hAnsi="Arial" w:cs="Arial"/>
          <w:color w:val="000000" w:themeColor="text1"/>
          <w:sz w:val="24"/>
          <w:szCs w:val="24"/>
        </w:rPr>
        <w:t xml:space="preserve">specified the sections </w:t>
      </w:r>
      <w:r w:rsidR="00673C78" w:rsidRPr="00631743">
        <w:rPr>
          <w:rFonts w:ascii="Arial" w:hAnsi="Arial" w:cs="Arial"/>
          <w:color w:val="000000" w:themeColor="text1"/>
          <w:sz w:val="24"/>
          <w:szCs w:val="24"/>
        </w:rPr>
        <w:t xml:space="preserve">(and in certain respects the subsections) </w:t>
      </w:r>
      <w:r w:rsidR="00634ACD" w:rsidRPr="00631743">
        <w:rPr>
          <w:rFonts w:ascii="Arial" w:hAnsi="Arial" w:cs="Arial"/>
          <w:color w:val="000000" w:themeColor="text1"/>
          <w:sz w:val="24"/>
          <w:szCs w:val="24"/>
        </w:rPr>
        <w:t xml:space="preserve">he relied on and </w:t>
      </w:r>
      <w:r w:rsidR="00637A7B" w:rsidRPr="00631743">
        <w:rPr>
          <w:rFonts w:ascii="Arial" w:hAnsi="Arial" w:cs="Arial"/>
          <w:color w:val="000000" w:themeColor="text1"/>
          <w:sz w:val="24"/>
          <w:szCs w:val="24"/>
        </w:rPr>
        <w:t xml:space="preserve">in that way </w:t>
      </w:r>
      <w:r w:rsidR="00634ACD" w:rsidRPr="00631743">
        <w:rPr>
          <w:rFonts w:ascii="Arial" w:hAnsi="Arial" w:cs="Arial"/>
          <w:color w:val="000000" w:themeColor="text1"/>
          <w:sz w:val="24"/>
          <w:szCs w:val="24"/>
        </w:rPr>
        <w:t xml:space="preserve">directed the court’s attention to them. He chose to leave out one </w:t>
      </w:r>
      <w:r w:rsidR="00D62021" w:rsidRPr="00631743">
        <w:rPr>
          <w:rFonts w:ascii="Arial" w:hAnsi="Arial" w:cs="Arial"/>
          <w:color w:val="000000" w:themeColor="text1"/>
          <w:sz w:val="24"/>
          <w:szCs w:val="24"/>
        </w:rPr>
        <w:t>sub</w:t>
      </w:r>
      <w:r w:rsidR="00637A7B" w:rsidRPr="00631743">
        <w:rPr>
          <w:rFonts w:ascii="Arial" w:hAnsi="Arial" w:cs="Arial"/>
          <w:color w:val="000000" w:themeColor="text1"/>
          <w:sz w:val="24"/>
          <w:szCs w:val="24"/>
        </w:rPr>
        <w:t xml:space="preserve">section </w:t>
      </w:r>
      <w:r w:rsidR="00D62021" w:rsidRPr="00631743">
        <w:rPr>
          <w:rFonts w:ascii="Arial" w:hAnsi="Arial" w:cs="Arial"/>
          <w:color w:val="000000" w:themeColor="text1"/>
          <w:sz w:val="24"/>
          <w:szCs w:val="24"/>
        </w:rPr>
        <w:t xml:space="preserve">and a section </w:t>
      </w:r>
      <w:r w:rsidR="00637A7B" w:rsidRPr="00631743">
        <w:rPr>
          <w:rFonts w:ascii="Arial" w:hAnsi="Arial" w:cs="Arial"/>
          <w:color w:val="000000" w:themeColor="text1"/>
          <w:sz w:val="24"/>
          <w:szCs w:val="24"/>
        </w:rPr>
        <w:t>(s</w:t>
      </w:r>
      <w:r w:rsidR="00AE50B0" w:rsidRPr="00631743">
        <w:rPr>
          <w:rFonts w:ascii="Arial" w:hAnsi="Arial" w:cs="Arial"/>
          <w:color w:val="000000" w:themeColor="text1"/>
          <w:sz w:val="24"/>
          <w:szCs w:val="24"/>
        </w:rPr>
        <w:t xml:space="preserve"> 140(4) and s</w:t>
      </w:r>
      <w:r w:rsidR="00637A7B" w:rsidRPr="00631743">
        <w:rPr>
          <w:rFonts w:ascii="Arial" w:hAnsi="Arial" w:cs="Arial"/>
          <w:color w:val="000000" w:themeColor="text1"/>
          <w:sz w:val="24"/>
          <w:szCs w:val="24"/>
        </w:rPr>
        <w:t xml:space="preserve"> 142- Companies Act)</w:t>
      </w:r>
      <w:r w:rsidR="00673C78" w:rsidRPr="00631743">
        <w:rPr>
          <w:rFonts w:ascii="Arial" w:hAnsi="Arial" w:cs="Arial"/>
          <w:color w:val="000000" w:themeColor="text1"/>
          <w:sz w:val="24"/>
          <w:szCs w:val="24"/>
        </w:rPr>
        <w:t xml:space="preserve"> </w:t>
      </w:r>
      <w:r w:rsidR="00634ACD" w:rsidRPr="00631743">
        <w:rPr>
          <w:rFonts w:ascii="Arial" w:hAnsi="Arial" w:cs="Arial"/>
          <w:color w:val="000000" w:themeColor="text1"/>
          <w:sz w:val="24"/>
          <w:szCs w:val="24"/>
        </w:rPr>
        <w:t>he now relies on in the appeal and criticizes the learned judge of having ignored</w:t>
      </w:r>
      <w:r w:rsidR="00673C78" w:rsidRPr="00631743">
        <w:rPr>
          <w:rFonts w:ascii="Arial" w:hAnsi="Arial" w:cs="Arial"/>
          <w:color w:val="000000" w:themeColor="text1"/>
          <w:sz w:val="24"/>
          <w:szCs w:val="24"/>
        </w:rPr>
        <w:t>; while on the other hand he criticizes him for not considering a particular subsect</w:t>
      </w:r>
      <w:r w:rsidR="00637A7B" w:rsidRPr="00631743">
        <w:rPr>
          <w:rFonts w:ascii="Arial" w:hAnsi="Arial" w:cs="Arial"/>
          <w:color w:val="000000" w:themeColor="text1"/>
          <w:sz w:val="24"/>
          <w:szCs w:val="24"/>
        </w:rPr>
        <w:t>ion (s 23(5) -Stamp Duties Act)</w:t>
      </w:r>
      <w:r w:rsidR="00673C78" w:rsidRPr="00631743">
        <w:rPr>
          <w:rFonts w:ascii="Arial" w:hAnsi="Arial" w:cs="Arial"/>
          <w:color w:val="000000" w:themeColor="text1"/>
          <w:sz w:val="24"/>
          <w:szCs w:val="24"/>
        </w:rPr>
        <w:t xml:space="preserve"> which he had not identified in his pleading</w:t>
      </w:r>
      <w:r w:rsidR="00634ACD" w:rsidRPr="00631743">
        <w:rPr>
          <w:rFonts w:ascii="Arial" w:hAnsi="Arial" w:cs="Arial"/>
          <w:color w:val="000000" w:themeColor="text1"/>
          <w:sz w:val="24"/>
          <w:szCs w:val="24"/>
        </w:rPr>
        <w:t xml:space="preserve">. </w:t>
      </w:r>
      <w:r w:rsidR="00673C78" w:rsidRPr="00631743">
        <w:rPr>
          <w:rFonts w:ascii="Arial" w:hAnsi="Arial" w:cs="Arial"/>
          <w:color w:val="000000" w:themeColor="text1"/>
          <w:sz w:val="24"/>
          <w:szCs w:val="24"/>
        </w:rPr>
        <w:t xml:space="preserve">For what it is worth, s 23 of the Stamp Duties Act contains </w:t>
      </w:r>
      <w:r w:rsidR="0097009C" w:rsidRPr="00631743">
        <w:rPr>
          <w:rFonts w:ascii="Arial" w:hAnsi="Arial" w:cs="Arial"/>
          <w:color w:val="000000" w:themeColor="text1"/>
          <w:sz w:val="24"/>
          <w:szCs w:val="24"/>
        </w:rPr>
        <w:t>21</w:t>
      </w:r>
      <w:r w:rsidR="00673C78" w:rsidRPr="00631743">
        <w:rPr>
          <w:rFonts w:ascii="Arial" w:hAnsi="Arial" w:cs="Arial"/>
          <w:color w:val="000000" w:themeColor="text1"/>
          <w:sz w:val="24"/>
          <w:szCs w:val="24"/>
        </w:rPr>
        <w:t xml:space="preserve"> subsections.</w:t>
      </w:r>
    </w:p>
    <w:p w:rsidR="00A40DC5"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lastRenderedPageBreak/>
        <w:t>[42</w:t>
      </w:r>
      <w:r w:rsidR="007D6115" w:rsidRPr="00631743">
        <w:rPr>
          <w:rFonts w:ascii="Arial" w:hAnsi="Arial" w:cs="Arial"/>
          <w:color w:val="000000" w:themeColor="text1"/>
          <w:sz w:val="24"/>
          <w:szCs w:val="24"/>
        </w:rPr>
        <w:t>]</w:t>
      </w:r>
      <w:r w:rsidR="0097009C" w:rsidRPr="00631743">
        <w:rPr>
          <w:rFonts w:ascii="Arial" w:hAnsi="Arial" w:cs="Arial"/>
          <w:color w:val="000000" w:themeColor="text1"/>
          <w:sz w:val="24"/>
          <w:szCs w:val="24"/>
        </w:rPr>
        <w:tab/>
      </w:r>
      <w:r w:rsidR="00634ACD" w:rsidRPr="00631743">
        <w:rPr>
          <w:rFonts w:ascii="Arial" w:hAnsi="Arial" w:cs="Arial"/>
          <w:color w:val="000000" w:themeColor="text1"/>
          <w:sz w:val="24"/>
          <w:szCs w:val="24"/>
        </w:rPr>
        <w:t xml:space="preserve">I do not think that is a fair criticism. </w:t>
      </w:r>
      <w:r w:rsidR="00AE50B0" w:rsidRPr="00631743">
        <w:rPr>
          <w:rFonts w:ascii="Arial" w:hAnsi="Arial" w:cs="Arial"/>
          <w:color w:val="000000" w:themeColor="text1"/>
          <w:sz w:val="24"/>
          <w:szCs w:val="24"/>
        </w:rPr>
        <w:t>Denker</w:t>
      </w:r>
      <w:r w:rsidR="007D6115" w:rsidRPr="00631743">
        <w:rPr>
          <w:rFonts w:ascii="Arial" w:hAnsi="Arial" w:cs="Arial"/>
          <w:color w:val="000000" w:themeColor="text1"/>
          <w:sz w:val="24"/>
          <w:szCs w:val="24"/>
        </w:rPr>
        <w:t xml:space="preserve"> </w:t>
      </w:r>
      <w:r w:rsidR="00634ACD" w:rsidRPr="00631743">
        <w:rPr>
          <w:rFonts w:ascii="Arial" w:hAnsi="Arial" w:cs="Arial"/>
          <w:color w:val="000000" w:themeColor="text1"/>
          <w:sz w:val="24"/>
          <w:szCs w:val="24"/>
        </w:rPr>
        <w:t xml:space="preserve">cast his complaint in broad terms of invalidity </w:t>
      </w:r>
      <w:r w:rsidR="00673C78" w:rsidRPr="00631743">
        <w:rPr>
          <w:rFonts w:ascii="Arial" w:hAnsi="Arial" w:cs="Arial"/>
          <w:color w:val="000000" w:themeColor="text1"/>
          <w:sz w:val="24"/>
          <w:szCs w:val="24"/>
        </w:rPr>
        <w:t xml:space="preserve">of instruments of transfer arising from non- payment of stamp duty. The court approached the matter in those broad terms </w:t>
      </w:r>
      <w:r w:rsidR="007D6115" w:rsidRPr="00631743">
        <w:rPr>
          <w:rFonts w:ascii="Arial" w:hAnsi="Arial" w:cs="Arial"/>
          <w:color w:val="000000" w:themeColor="text1"/>
          <w:sz w:val="24"/>
          <w:szCs w:val="24"/>
        </w:rPr>
        <w:t xml:space="preserve">by looking at the scheme of the legislation overall and concluding that nullity was not what the legislature intended. The fact that the learned judge did not make specific reference to a particular provision or a subsection which was not specifically referenced is, firstly, not a misdirection and, secondly does not mean that it was not had regard to by the </w:t>
      </w:r>
      <w:r w:rsidR="0047363B" w:rsidRPr="00631743">
        <w:rPr>
          <w:rFonts w:ascii="Arial" w:hAnsi="Arial" w:cs="Arial"/>
          <w:color w:val="000000" w:themeColor="text1"/>
          <w:sz w:val="24"/>
          <w:szCs w:val="24"/>
        </w:rPr>
        <w:t>first instance judge. The pleader, Denker,</w:t>
      </w:r>
      <w:r w:rsidR="007D6115" w:rsidRPr="00631743">
        <w:rPr>
          <w:rFonts w:ascii="Arial" w:hAnsi="Arial" w:cs="Arial"/>
          <w:color w:val="000000" w:themeColor="text1"/>
          <w:sz w:val="24"/>
          <w:szCs w:val="24"/>
        </w:rPr>
        <w:t xml:space="preserve"> has only himself to blame for not drawing the court’s attention directly to </w:t>
      </w:r>
      <w:r w:rsidR="00637A7B" w:rsidRPr="00631743">
        <w:rPr>
          <w:rFonts w:ascii="Arial" w:hAnsi="Arial" w:cs="Arial"/>
          <w:color w:val="000000" w:themeColor="text1"/>
          <w:sz w:val="24"/>
          <w:szCs w:val="24"/>
        </w:rPr>
        <w:t xml:space="preserve">those provisions he now says were not considered. </w:t>
      </w:r>
      <w:r w:rsidR="00DF6633" w:rsidRPr="00631743">
        <w:rPr>
          <w:rFonts w:ascii="Arial" w:hAnsi="Arial" w:cs="Arial"/>
          <w:color w:val="000000" w:themeColor="text1"/>
          <w:sz w:val="24"/>
          <w:szCs w:val="24"/>
        </w:rPr>
        <w:t xml:space="preserve">It is not an irrelevant consideration that the remedy pursued is of a summary kind, eschewing determination of complex and difficult issues, making it all the more important for an applicant relying on statutory provisions to be as precise as possible to allow a summary disposition. </w:t>
      </w:r>
    </w:p>
    <w:p w:rsidR="0097009C" w:rsidRPr="00631743" w:rsidRDefault="0097009C" w:rsidP="0097009C">
      <w:pPr>
        <w:pStyle w:val="p1"/>
        <w:spacing w:line="480" w:lineRule="auto"/>
        <w:jc w:val="both"/>
        <w:rPr>
          <w:rStyle w:val="s1"/>
          <w:rFonts w:ascii="Arial" w:hAnsi="Arial" w:cs="Arial"/>
        </w:rPr>
      </w:pPr>
      <w:r w:rsidRPr="00631743">
        <w:rPr>
          <w:rFonts w:ascii="Arial" w:hAnsi="Arial" w:cs="Arial"/>
        </w:rPr>
        <w:t>[</w:t>
      </w:r>
      <w:r w:rsidR="00D812C4" w:rsidRPr="00631743">
        <w:rPr>
          <w:rFonts w:ascii="Arial" w:hAnsi="Arial" w:cs="Arial"/>
        </w:rPr>
        <w:t>43</w:t>
      </w:r>
      <w:r w:rsidRPr="00631743">
        <w:rPr>
          <w:rFonts w:ascii="Arial" w:hAnsi="Arial" w:cs="Arial"/>
        </w:rPr>
        <w:t>]</w:t>
      </w:r>
      <w:r w:rsidRPr="00631743">
        <w:rPr>
          <w:rFonts w:ascii="Arial" w:hAnsi="Arial" w:cs="Arial"/>
        </w:rPr>
        <w:tab/>
      </w:r>
      <w:r w:rsidR="00E45131" w:rsidRPr="00631743">
        <w:rPr>
          <w:rFonts w:ascii="Arial" w:hAnsi="Arial" w:cs="Arial"/>
        </w:rPr>
        <w:t xml:space="preserve">On behalf of Denker, </w:t>
      </w:r>
      <w:r w:rsidRPr="00631743">
        <w:rPr>
          <w:rFonts w:ascii="Arial" w:hAnsi="Arial" w:cs="Arial"/>
        </w:rPr>
        <w:t>Mr Tötemeyer</w:t>
      </w:r>
      <w:r w:rsidR="009246C1" w:rsidRPr="00631743">
        <w:rPr>
          <w:rFonts w:ascii="Arial" w:hAnsi="Arial" w:cs="Arial"/>
        </w:rPr>
        <w:t xml:space="preserve">, </w:t>
      </w:r>
      <w:r w:rsidRPr="00631743">
        <w:rPr>
          <w:rStyle w:val="s1"/>
          <w:rFonts w:ascii="Arial" w:hAnsi="Arial" w:cs="Arial"/>
        </w:rPr>
        <w:t>submitted that the l</w:t>
      </w:r>
      <w:r w:rsidR="009246C1" w:rsidRPr="00631743">
        <w:rPr>
          <w:rStyle w:val="s1"/>
          <w:rFonts w:ascii="Arial" w:hAnsi="Arial" w:cs="Arial"/>
        </w:rPr>
        <w:t>anguage of s 122(1) permits the</w:t>
      </w:r>
      <w:r w:rsidR="00276614" w:rsidRPr="00631743">
        <w:rPr>
          <w:rStyle w:val="s1"/>
          <w:rFonts w:ascii="Arial" w:hAnsi="Arial" w:cs="Arial"/>
        </w:rPr>
        <w:t xml:space="preserve"> </w:t>
      </w:r>
      <w:r w:rsidRPr="00631743">
        <w:rPr>
          <w:rStyle w:val="s1"/>
          <w:rFonts w:ascii="Arial" w:hAnsi="Arial" w:cs="Arial"/>
        </w:rPr>
        <w:t xml:space="preserve">court to confine itself to the right to be on the share register independent of the right to ownership of the share; alternatively to inquire into the true ownership of the shares. Next, he submitted that the court </w:t>
      </w:r>
      <w:r w:rsidRPr="00631743">
        <w:rPr>
          <w:rStyle w:val="s1"/>
          <w:rFonts w:ascii="Arial" w:hAnsi="Arial" w:cs="Arial"/>
          <w:i/>
        </w:rPr>
        <w:t>a quo</w:t>
      </w:r>
      <w:r w:rsidRPr="00631743">
        <w:rPr>
          <w:rStyle w:val="s1"/>
          <w:rFonts w:ascii="Arial" w:hAnsi="Arial" w:cs="Arial"/>
        </w:rPr>
        <w:t xml:space="preserve"> should have confined itself to the first mentioned ‘narrow’ issue based on the common cause invalid instruments of transfer which d</w:t>
      </w:r>
      <w:r w:rsidR="00E82CC4" w:rsidRPr="00631743">
        <w:rPr>
          <w:rStyle w:val="s1"/>
          <w:rFonts w:ascii="Arial" w:hAnsi="Arial" w:cs="Arial"/>
        </w:rPr>
        <w:t>isentitled the Michael Viljoen T</w:t>
      </w:r>
      <w:r w:rsidRPr="00631743">
        <w:rPr>
          <w:rStyle w:val="s1"/>
          <w:rFonts w:ascii="Arial" w:hAnsi="Arial" w:cs="Arial"/>
        </w:rPr>
        <w:t xml:space="preserve">rust from being on the share register and to leave </w:t>
      </w:r>
      <w:r w:rsidR="00AE50B0" w:rsidRPr="00631743">
        <w:rPr>
          <w:rStyle w:val="s1"/>
          <w:rFonts w:ascii="Arial" w:hAnsi="Arial" w:cs="Arial"/>
        </w:rPr>
        <w:t xml:space="preserve">it to </w:t>
      </w:r>
      <w:r w:rsidRPr="00631743">
        <w:rPr>
          <w:rStyle w:val="s1"/>
          <w:rFonts w:ascii="Arial" w:hAnsi="Arial" w:cs="Arial"/>
        </w:rPr>
        <w:t xml:space="preserve">the parties to later resolve that issue either amicably or through litigation. In that respect, counsel suggested that because the instruments of transfer evidencing the transfer of his share to the Michael Viljoen Trust were invalid, no </w:t>
      </w:r>
      <w:r w:rsidR="009246C1" w:rsidRPr="00631743">
        <w:rPr>
          <w:rStyle w:val="s1"/>
          <w:rFonts w:ascii="Arial" w:hAnsi="Arial" w:cs="Arial"/>
        </w:rPr>
        <w:t>effective transfer of the 1% share</w:t>
      </w:r>
      <w:r w:rsidRPr="00631743">
        <w:rPr>
          <w:rStyle w:val="s1"/>
          <w:rFonts w:ascii="Arial" w:hAnsi="Arial" w:cs="Arial"/>
        </w:rPr>
        <w:t xml:space="preserve"> took place.</w:t>
      </w:r>
    </w:p>
    <w:p w:rsidR="00296F8D" w:rsidRPr="00631743" w:rsidRDefault="00296F8D" w:rsidP="00296F8D">
      <w:pPr>
        <w:spacing w:line="480" w:lineRule="auto"/>
        <w:jc w:val="both"/>
        <w:rPr>
          <w:rFonts w:ascii="Arial" w:hAnsi="Arial" w:cs="Arial"/>
          <w:sz w:val="24"/>
          <w:szCs w:val="24"/>
        </w:rPr>
      </w:pPr>
      <w:r w:rsidRPr="00631743">
        <w:rPr>
          <w:rFonts w:ascii="Arial" w:hAnsi="Arial" w:cs="Arial"/>
          <w:sz w:val="24"/>
          <w:szCs w:val="24"/>
        </w:rPr>
        <w:t>[</w:t>
      </w:r>
      <w:r w:rsidR="00D812C4" w:rsidRPr="00631743">
        <w:rPr>
          <w:rFonts w:ascii="Arial" w:hAnsi="Arial" w:cs="Arial"/>
          <w:sz w:val="24"/>
          <w:szCs w:val="24"/>
        </w:rPr>
        <w:t>44</w:t>
      </w:r>
      <w:r w:rsidRPr="00631743">
        <w:rPr>
          <w:rFonts w:ascii="Arial" w:hAnsi="Arial" w:cs="Arial"/>
          <w:sz w:val="24"/>
          <w:szCs w:val="24"/>
        </w:rPr>
        <w:t>]</w:t>
      </w:r>
      <w:r w:rsidRPr="00631743">
        <w:rPr>
          <w:rFonts w:ascii="Arial" w:hAnsi="Arial" w:cs="Arial"/>
          <w:sz w:val="24"/>
          <w:szCs w:val="24"/>
        </w:rPr>
        <w:tab/>
        <w:t>Mr Gauntlett SC for the respondents submitted that in applying s 122(1), the High Court exercised a discretionary power which can only be interfered with on appeal if there is shown to have been a misdirection on material facts or misconception of leg</w:t>
      </w:r>
      <w:r w:rsidR="009246C1" w:rsidRPr="00631743">
        <w:rPr>
          <w:rFonts w:ascii="Arial" w:hAnsi="Arial" w:cs="Arial"/>
          <w:sz w:val="24"/>
          <w:szCs w:val="24"/>
        </w:rPr>
        <w:t xml:space="preserve">al principle – </w:t>
      </w:r>
      <w:r w:rsidR="009246C1" w:rsidRPr="00631743">
        <w:rPr>
          <w:rFonts w:ascii="Arial" w:hAnsi="Arial" w:cs="Arial"/>
          <w:sz w:val="24"/>
          <w:szCs w:val="24"/>
        </w:rPr>
        <w:lastRenderedPageBreak/>
        <w:t>none of which</w:t>
      </w:r>
      <w:r w:rsidRPr="00631743">
        <w:rPr>
          <w:rFonts w:ascii="Arial" w:hAnsi="Arial" w:cs="Arial"/>
          <w:sz w:val="24"/>
          <w:szCs w:val="24"/>
        </w:rPr>
        <w:t xml:space="preserve"> Denker demonstrated</w:t>
      </w:r>
      <w:r w:rsidR="009246C1" w:rsidRPr="00631743">
        <w:rPr>
          <w:rFonts w:ascii="Arial" w:hAnsi="Arial" w:cs="Arial"/>
          <w:sz w:val="24"/>
          <w:szCs w:val="24"/>
        </w:rPr>
        <w:t xml:space="preserve"> in the appeal</w:t>
      </w:r>
      <w:r w:rsidRPr="00631743">
        <w:rPr>
          <w:rFonts w:ascii="Arial" w:hAnsi="Arial" w:cs="Arial"/>
          <w:sz w:val="24"/>
          <w:szCs w:val="24"/>
        </w:rPr>
        <w:t>.  He added that in the context of s 122, the raising of ‘black-letter’ issues as dispositive of the High Court’s equitable jurisdiction is not s</w:t>
      </w:r>
      <w:r w:rsidR="009246C1" w:rsidRPr="00631743">
        <w:rPr>
          <w:rFonts w:ascii="Arial" w:hAnsi="Arial" w:cs="Arial"/>
          <w:sz w:val="24"/>
          <w:szCs w:val="24"/>
        </w:rPr>
        <w:t>ound. He next submitted that</w:t>
      </w:r>
      <w:r w:rsidRPr="00631743">
        <w:rPr>
          <w:rFonts w:ascii="Arial" w:hAnsi="Arial" w:cs="Arial"/>
          <w:sz w:val="24"/>
          <w:szCs w:val="24"/>
        </w:rPr>
        <w:t xml:space="preserve"> Denker ignores the equitable nature of the discretion. A manifestation of the latter is that a finding against the correctness of the register will not necessarily lead to an alteration of the register.</w:t>
      </w:r>
      <w:r w:rsidRPr="00631743">
        <w:rPr>
          <w:rStyle w:val="FootnoteReference"/>
          <w:rFonts w:ascii="Arial" w:hAnsi="Arial" w:cs="Arial"/>
          <w:sz w:val="24"/>
          <w:szCs w:val="24"/>
        </w:rPr>
        <w:footnoteReference w:id="15"/>
      </w:r>
    </w:p>
    <w:p w:rsidR="00296F8D" w:rsidRPr="00631743" w:rsidRDefault="00296F8D" w:rsidP="00296F8D">
      <w:pPr>
        <w:spacing w:line="360" w:lineRule="auto"/>
        <w:jc w:val="both"/>
        <w:rPr>
          <w:rFonts w:ascii="Arial" w:hAnsi="Arial" w:cs="Arial"/>
          <w:sz w:val="24"/>
          <w:szCs w:val="24"/>
        </w:rPr>
      </w:pPr>
    </w:p>
    <w:p w:rsidR="00296F8D" w:rsidRPr="00631743" w:rsidRDefault="00296F8D" w:rsidP="00744BA6">
      <w:pPr>
        <w:spacing w:line="480" w:lineRule="auto"/>
        <w:jc w:val="both"/>
        <w:rPr>
          <w:rFonts w:ascii="Arial" w:hAnsi="Arial" w:cs="Arial"/>
          <w:sz w:val="24"/>
          <w:szCs w:val="24"/>
        </w:rPr>
      </w:pPr>
      <w:r w:rsidRPr="00631743">
        <w:rPr>
          <w:rFonts w:ascii="Arial" w:hAnsi="Arial" w:cs="Arial"/>
          <w:sz w:val="24"/>
          <w:szCs w:val="24"/>
        </w:rPr>
        <w:t>[</w:t>
      </w:r>
      <w:r w:rsidR="00D812C4" w:rsidRPr="00631743">
        <w:rPr>
          <w:rFonts w:ascii="Arial" w:hAnsi="Arial" w:cs="Arial"/>
          <w:sz w:val="24"/>
          <w:szCs w:val="24"/>
        </w:rPr>
        <w:t>45</w:t>
      </w:r>
      <w:r w:rsidRPr="00631743">
        <w:rPr>
          <w:rFonts w:ascii="Arial" w:hAnsi="Arial" w:cs="Arial"/>
          <w:sz w:val="24"/>
          <w:szCs w:val="24"/>
        </w:rPr>
        <w:t>]</w:t>
      </w:r>
      <w:r w:rsidRPr="00631743">
        <w:rPr>
          <w:rFonts w:ascii="Arial" w:hAnsi="Arial" w:cs="Arial"/>
          <w:sz w:val="24"/>
          <w:szCs w:val="24"/>
        </w:rPr>
        <w:tab/>
        <w:t xml:space="preserve">In reference to the non-compliance with the Stamp Duties Act read with the Companies Act, Mr </w:t>
      </w:r>
      <w:r w:rsidR="00744BA6" w:rsidRPr="00631743">
        <w:rPr>
          <w:rFonts w:ascii="Arial" w:hAnsi="Arial" w:cs="Arial"/>
          <w:sz w:val="24"/>
          <w:szCs w:val="24"/>
        </w:rPr>
        <w:t>Gauntle</w:t>
      </w:r>
      <w:r w:rsidR="0059058C" w:rsidRPr="00631743">
        <w:rPr>
          <w:rFonts w:ascii="Arial" w:hAnsi="Arial" w:cs="Arial"/>
          <w:sz w:val="24"/>
          <w:szCs w:val="24"/>
        </w:rPr>
        <w:t>t</w:t>
      </w:r>
      <w:r w:rsidR="00744BA6" w:rsidRPr="00631743">
        <w:rPr>
          <w:rFonts w:ascii="Arial" w:hAnsi="Arial" w:cs="Arial"/>
          <w:sz w:val="24"/>
          <w:szCs w:val="24"/>
        </w:rPr>
        <w:t>t</w:t>
      </w:r>
      <w:r w:rsidRPr="00631743">
        <w:rPr>
          <w:rFonts w:ascii="Arial" w:hAnsi="Arial" w:cs="Arial"/>
          <w:sz w:val="24"/>
          <w:szCs w:val="24"/>
        </w:rPr>
        <w:t xml:space="preserve"> took the view that several factors militated against </w:t>
      </w:r>
      <w:r w:rsidR="00AE50B0" w:rsidRPr="00631743">
        <w:rPr>
          <w:rFonts w:ascii="Arial" w:hAnsi="Arial" w:cs="Arial"/>
          <w:sz w:val="24"/>
          <w:szCs w:val="24"/>
        </w:rPr>
        <w:t>Denker</w:t>
      </w:r>
      <w:r w:rsidRPr="00631743">
        <w:rPr>
          <w:rFonts w:ascii="Arial" w:hAnsi="Arial" w:cs="Arial"/>
          <w:sz w:val="24"/>
          <w:szCs w:val="24"/>
        </w:rPr>
        <w:t xml:space="preserve"> obtaining the relief under s 122(1). For starters, the company had recognised the transfer of the disputed share and therefore cannot impeach it.</w:t>
      </w:r>
      <w:r w:rsidRPr="00631743">
        <w:rPr>
          <w:rStyle w:val="FootnoteReference"/>
          <w:rFonts w:ascii="Arial" w:hAnsi="Arial" w:cs="Arial"/>
          <w:sz w:val="24"/>
          <w:szCs w:val="24"/>
        </w:rPr>
        <w:footnoteReference w:id="16"/>
      </w:r>
      <w:r w:rsidR="00AE50B0" w:rsidRPr="00631743">
        <w:rPr>
          <w:rFonts w:ascii="Arial" w:hAnsi="Arial" w:cs="Arial"/>
          <w:sz w:val="24"/>
          <w:szCs w:val="24"/>
        </w:rPr>
        <w:t xml:space="preserve"> </w:t>
      </w:r>
      <w:r w:rsidRPr="00631743">
        <w:rPr>
          <w:rFonts w:ascii="Arial" w:hAnsi="Arial" w:cs="Arial"/>
          <w:sz w:val="24"/>
          <w:szCs w:val="24"/>
        </w:rPr>
        <w:t>Mr. Denker was complicit in the creation of the defective instruments of transfer which he now relies on for the relief he seeks. He twice authorised the transfer of th</w:t>
      </w:r>
      <w:r w:rsidR="00A92D26" w:rsidRPr="00631743">
        <w:rPr>
          <w:rFonts w:ascii="Arial" w:hAnsi="Arial" w:cs="Arial"/>
          <w:sz w:val="24"/>
          <w:szCs w:val="24"/>
        </w:rPr>
        <w:t xml:space="preserve">e disputed share and the </w:t>
      </w:r>
      <w:r w:rsidR="00AE50B0" w:rsidRPr="00631743">
        <w:rPr>
          <w:rFonts w:ascii="Arial" w:hAnsi="Arial" w:cs="Arial"/>
          <w:sz w:val="24"/>
          <w:szCs w:val="24"/>
        </w:rPr>
        <w:t xml:space="preserve">Michael Viljoen </w:t>
      </w:r>
      <w:r w:rsidR="00A92D26" w:rsidRPr="00631743">
        <w:rPr>
          <w:rFonts w:ascii="Arial" w:hAnsi="Arial" w:cs="Arial"/>
          <w:sz w:val="24"/>
          <w:szCs w:val="24"/>
        </w:rPr>
        <w:t>T</w:t>
      </w:r>
      <w:r w:rsidRPr="00631743">
        <w:rPr>
          <w:rFonts w:ascii="Arial" w:hAnsi="Arial" w:cs="Arial"/>
          <w:sz w:val="24"/>
          <w:szCs w:val="24"/>
        </w:rPr>
        <w:t xml:space="preserve">rust was accepted by the company as a shareholder. </w:t>
      </w:r>
      <w:r w:rsidR="00AE50B0" w:rsidRPr="00631743">
        <w:rPr>
          <w:rFonts w:ascii="Arial" w:hAnsi="Arial" w:cs="Arial"/>
          <w:sz w:val="24"/>
          <w:szCs w:val="24"/>
        </w:rPr>
        <w:t>Mr Gauntle</w:t>
      </w:r>
      <w:r w:rsidR="0059058C" w:rsidRPr="00631743">
        <w:rPr>
          <w:rFonts w:ascii="Arial" w:hAnsi="Arial" w:cs="Arial"/>
          <w:sz w:val="24"/>
          <w:szCs w:val="24"/>
        </w:rPr>
        <w:t>t</w:t>
      </w:r>
      <w:r w:rsidR="00AE50B0" w:rsidRPr="00631743">
        <w:rPr>
          <w:rFonts w:ascii="Arial" w:hAnsi="Arial" w:cs="Arial"/>
          <w:sz w:val="24"/>
          <w:szCs w:val="24"/>
        </w:rPr>
        <w:t>t</w:t>
      </w:r>
      <w:r w:rsidRPr="00631743">
        <w:rPr>
          <w:rFonts w:ascii="Arial" w:hAnsi="Arial" w:cs="Arial"/>
          <w:sz w:val="24"/>
          <w:szCs w:val="24"/>
        </w:rPr>
        <w:t xml:space="preserve"> relied for this proportion on </w:t>
      </w:r>
      <w:r w:rsidRPr="00631743">
        <w:rPr>
          <w:rFonts w:ascii="Arial" w:hAnsi="Arial" w:cs="Arial"/>
          <w:i/>
          <w:sz w:val="24"/>
          <w:szCs w:val="24"/>
        </w:rPr>
        <w:t>Maceys Consolidated v Charterhoune Rhodesia</w:t>
      </w:r>
      <w:r w:rsidR="00AE50B0" w:rsidRPr="00631743">
        <w:rPr>
          <w:rFonts w:ascii="Arial" w:hAnsi="Arial" w:cs="Arial"/>
          <w:i/>
          <w:sz w:val="24"/>
          <w:szCs w:val="24"/>
        </w:rPr>
        <w:t xml:space="preserve"> </w:t>
      </w:r>
      <w:r w:rsidR="00AE50B0" w:rsidRPr="00631743">
        <w:rPr>
          <w:rFonts w:ascii="Arial" w:hAnsi="Arial" w:cs="Arial"/>
          <w:sz w:val="24"/>
          <w:szCs w:val="24"/>
        </w:rPr>
        <w:t xml:space="preserve">1981 (4) SA 453 </w:t>
      </w:r>
      <w:r w:rsidR="00FA3679" w:rsidRPr="00631743">
        <w:rPr>
          <w:rFonts w:ascii="Arial" w:hAnsi="Arial" w:cs="Arial"/>
          <w:sz w:val="24"/>
          <w:szCs w:val="24"/>
        </w:rPr>
        <w:t>(ZR)</w:t>
      </w:r>
      <w:r w:rsidRPr="00631743">
        <w:rPr>
          <w:rFonts w:ascii="Arial" w:hAnsi="Arial" w:cs="Arial"/>
          <w:sz w:val="24"/>
          <w:szCs w:val="24"/>
        </w:rPr>
        <w:t xml:space="preserve"> where the transfer of the disputed shares was not duly completed; the requisite resolutions were not passed; fictitious minutes were generated concerning the shares; transfer forms were not duly completed, and a proper register of shares not kept.  At f</w:t>
      </w:r>
      <w:r w:rsidR="005B4535" w:rsidRPr="00631743">
        <w:rPr>
          <w:rFonts w:ascii="Arial" w:hAnsi="Arial" w:cs="Arial"/>
          <w:sz w:val="24"/>
          <w:szCs w:val="24"/>
        </w:rPr>
        <w:t xml:space="preserve">irst </w:t>
      </w:r>
      <w:r w:rsidRPr="00631743">
        <w:rPr>
          <w:rFonts w:ascii="Arial" w:hAnsi="Arial" w:cs="Arial"/>
          <w:sz w:val="24"/>
          <w:szCs w:val="24"/>
        </w:rPr>
        <w:t>instance, the High Court refused to grant rectification even in the face of the irregularities. This was upheld on appeal.</w:t>
      </w:r>
    </w:p>
    <w:p w:rsidR="00744BA6" w:rsidRPr="00631743" w:rsidRDefault="00744BA6" w:rsidP="00744BA6">
      <w:pPr>
        <w:spacing w:line="480" w:lineRule="auto"/>
        <w:jc w:val="both"/>
        <w:rPr>
          <w:rFonts w:ascii="Arial" w:hAnsi="Arial" w:cs="Arial"/>
          <w:sz w:val="24"/>
          <w:szCs w:val="24"/>
        </w:rPr>
      </w:pPr>
    </w:p>
    <w:p w:rsidR="00296F8D" w:rsidRPr="00631743" w:rsidRDefault="00744BA6" w:rsidP="005B4535">
      <w:pPr>
        <w:spacing w:line="480" w:lineRule="auto"/>
        <w:jc w:val="both"/>
        <w:rPr>
          <w:rFonts w:ascii="Arial" w:hAnsi="Arial" w:cs="Arial"/>
          <w:sz w:val="24"/>
          <w:szCs w:val="24"/>
        </w:rPr>
      </w:pPr>
      <w:r w:rsidRPr="00631743">
        <w:rPr>
          <w:rFonts w:ascii="Arial" w:hAnsi="Arial" w:cs="Arial"/>
          <w:sz w:val="24"/>
          <w:szCs w:val="24"/>
        </w:rPr>
        <w:t>[</w:t>
      </w:r>
      <w:r w:rsidR="00D812C4" w:rsidRPr="00631743">
        <w:rPr>
          <w:rFonts w:ascii="Arial" w:hAnsi="Arial" w:cs="Arial"/>
          <w:sz w:val="24"/>
          <w:szCs w:val="24"/>
        </w:rPr>
        <w:t>46</w:t>
      </w:r>
      <w:r w:rsidRPr="00631743">
        <w:rPr>
          <w:rFonts w:ascii="Arial" w:hAnsi="Arial" w:cs="Arial"/>
          <w:sz w:val="24"/>
          <w:szCs w:val="24"/>
        </w:rPr>
        <w:t>]</w:t>
      </w:r>
      <w:r w:rsidRPr="00631743">
        <w:rPr>
          <w:rFonts w:ascii="Arial" w:hAnsi="Arial" w:cs="Arial"/>
          <w:sz w:val="24"/>
          <w:szCs w:val="24"/>
        </w:rPr>
        <w:tab/>
      </w:r>
      <w:r w:rsidR="00296F8D" w:rsidRPr="00631743">
        <w:rPr>
          <w:rFonts w:ascii="Arial" w:hAnsi="Arial" w:cs="Arial"/>
          <w:sz w:val="24"/>
          <w:szCs w:val="24"/>
        </w:rPr>
        <w:t>As concerns the alleged misrepresentation of law by Viljoen, Mr Gauntlett accepted that if established</w:t>
      </w:r>
      <w:r w:rsidR="00A92D26" w:rsidRPr="00631743">
        <w:rPr>
          <w:rFonts w:ascii="Arial" w:hAnsi="Arial" w:cs="Arial"/>
          <w:sz w:val="24"/>
          <w:szCs w:val="24"/>
        </w:rPr>
        <w:t>,</w:t>
      </w:r>
      <w:r w:rsidR="00296F8D" w:rsidRPr="00631743">
        <w:rPr>
          <w:rFonts w:ascii="Arial" w:hAnsi="Arial" w:cs="Arial"/>
          <w:sz w:val="24"/>
          <w:szCs w:val="24"/>
        </w:rPr>
        <w:t xml:space="preserve"> it could be a material factor for a court rectifying the share register in terms of s 122(1).</w:t>
      </w:r>
      <w:r w:rsidR="005B4535" w:rsidRPr="00631743">
        <w:rPr>
          <w:rFonts w:ascii="Arial" w:hAnsi="Arial" w:cs="Arial"/>
          <w:sz w:val="24"/>
          <w:szCs w:val="24"/>
        </w:rPr>
        <w:t xml:space="preserve">  He maintained however that</w:t>
      </w:r>
      <w:r w:rsidR="00296F8D" w:rsidRPr="00631743">
        <w:rPr>
          <w:rFonts w:ascii="Arial" w:hAnsi="Arial" w:cs="Arial"/>
          <w:sz w:val="24"/>
          <w:szCs w:val="24"/>
        </w:rPr>
        <w:t xml:space="preserve"> Denker had failed to establish that his belief </w:t>
      </w:r>
      <w:r w:rsidR="005B4535" w:rsidRPr="00631743">
        <w:rPr>
          <w:rFonts w:ascii="Arial" w:hAnsi="Arial" w:cs="Arial"/>
          <w:sz w:val="24"/>
          <w:szCs w:val="24"/>
        </w:rPr>
        <w:lastRenderedPageBreak/>
        <w:t xml:space="preserve">in the representation made by </w:t>
      </w:r>
      <w:r w:rsidR="00296F8D" w:rsidRPr="00631743">
        <w:rPr>
          <w:rFonts w:ascii="Arial" w:hAnsi="Arial" w:cs="Arial"/>
          <w:sz w:val="24"/>
          <w:szCs w:val="24"/>
        </w:rPr>
        <w:t xml:space="preserve">Viljoen was reasonable.  In any event, he added, applying </w:t>
      </w:r>
      <w:r w:rsidR="00296F8D" w:rsidRPr="00631743">
        <w:rPr>
          <w:rFonts w:ascii="Arial" w:hAnsi="Arial" w:cs="Arial"/>
          <w:i/>
          <w:sz w:val="24"/>
          <w:szCs w:val="24"/>
        </w:rPr>
        <w:t>Plascon-Evans</w:t>
      </w:r>
      <w:r w:rsidR="00296F8D" w:rsidRPr="00631743">
        <w:rPr>
          <w:rFonts w:ascii="Arial" w:hAnsi="Arial" w:cs="Arial"/>
          <w:sz w:val="24"/>
          <w:szCs w:val="24"/>
        </w:rPr>
        <w:t xml:space="preserve">, the facts do not support any </w:t>
      </w:r>
      <w:r w:rsidR="00FA3679" w:rsidRPr="00631743">
        <w:rPr>
          <w:rFonts w:ascii="Arial" w:hAnsi="Arial" w:cs="Arial"/>
          <w:sz w:val="24"/>
          <w:szCs w:val="24"/>
        </w:rPr>
        <w:t>mis</w:t>
      </w:r>
      <w:r w:rsidR="00296F8D" w:rsidRPr="00631743">
        <w:rPr>
          <w:rFonts w:ascii="Arial" w:hAnsi="Arial" w:cs="Arial"/>
          <w:sz w:val="24"/>
          <w:szCs w:val="24"/>
        </w:rPr>
        <w:t>representation being made and that the reliance for the first time on appeal on a lack of consensus vitiating the transfer was not pleaded an</w:t>
      </w:r>
      <w:r w:rsidR="005B4535" w:rsidRPr="00631743">
        <w:rPr>
          <w:rFonts w:ascii="Arial" w:hAnsi="Arial" w:cs="Arial"/>
          <w:sz w:val="24"/>
          <w:szCs w:val="24"/>
        </w:rPr>
        <w:t>d therefore not available to</w:t>
      </w:r>
      <w:r w:rsidR="00296F8D" w:rsidRPr="00631743">
        <w:rPr>
          <w:rFonts w:ascii="Arial" w:hAnsi="Arial" w:cs="Arial"/>
          <w:sz w:val="24"/>
          <w:szCs w:val="24"/>
        </w:rPr>
        <w:t xml:space="preserve"> Denker.</w:t>
      </w:r>
    </w:p>
    <w:p w:rsidR="00D812C4" w:rsidRPr="00631743" w:rsidRDefault="00D812C4" w:rsidP="005B4535">
      <w:pPr>
        <w:spacing w:line="480" w:lineRule="auto"/>
        <w:jc w:val="both"/>
        <w:rPr>
          <w:rFonts w:ascii="Arial" w:hAnsi="Arial" w:cs="Arial"/>
          <w:sz w:val="24"/>
          <w:szCs w:val="24"/>
        </w:rPr>
      </w:pPr>
    </w:p>
    <w:p w:rsidR="00296F8D" w:rsidRPr="00631743" w:rsidRDefault="00744BA6" w:rsidP="00744BA6">
      <w:pPr>
        <w:spacing w:line="480" w:lineRule="auto"/>
        <w:jc w:val="both"/>
        <w:rPr>
          <w:rFonts w:ascii="Arial" w:hAnsi="Arial" w:cs="Arial"/>
          <w:sz w:val="24"/>
          <w:szCs w:val="24"/>
        </w:rPr>
      </w:pPr>
      <w:r w:rsidRPr="00631743">
        <w:rPr>
          <w:rFonts w:ascii="Arial" w:hAnsi="Arial" w:cs="Arial"/>
          <w:sz w:val="24"/>
          <w:szCs w:val="24"/>
        </w:rPr>
        <w:t>[</w:t>
      </w:r>
      <w:r w:rsidR="00D812C4" w:rsidRPr="00631743">
        <w:rPr>
          <w:rFonts w:ascii="Arial" w:hAnsi="Arial" w:cs="Arial"/>
          <w:sz w:val="24"/>
          <w:szCs w:val="24"/>
        </w:rPr>
        <w:t>47</w:t>
      </w:r>
      <w:r w:rsidRPr="00631743">
        <w:rPr>
          <w:rFonts w:ascii="Arial" w:hAnsi="Arial" w:cs="Arial"/>
          <w:sz w:val="24"/>
          <w:szCs w:val="24"/>
        </w:rPr>
        <w:t>]</w:t>
      </w:r>
      <w:r w:rsidRPr="00631743">
        <w:rPr>
          <w:rFonts w:ascii="Arial" w:hAnsi="Arial" w:cs="Arial"/>
          <w:sz w:val="24"/>
          <w:szCs w:val="24"/>
        </w:rPr>
        <w:tab/>
      </w:r>
      <w:r w:rsidR="00A92D26" w:rsidRPr="00631743">
        <w:rPr>
          <w:rFonts w:ascii="Arial" w:hAnsi="Arial" w:cs="Arial"/>
          <w:sz w:val="24"/>
          <w:szCs w:val="24"/>
        </w:rPr>
        <w:t>As regards the ground that a T</w:t>
      </w:r>
      <w:r w:rsidR="00296F8D" w:rsidRPr="00631743">
        <w:rPr>
          <w:rFonts w:ascii="Arial" w:hAnsi="Arial" w:cs="Arial"/>
          <w:sz w:val="24"/>
          <w:szCs w:val="24"/>
        </w:rPr>
        <w:t xml:space="preserve">rust is incapable of owing shares, Mr </w:t>
      </w:r>
      <w:r w:rsidRPr="00631743">
        <w:rPr>
          <w:rFonts w:ascii="Arial" w:hAnsi="Arial" w:cs="Arial"/>
          <w:sz w:val="24"/>
          <w:szCs w:val="24"/>
        </w:rPr>
        <w:t>Gauntlett</w:t>
      </w:r>
      <w:r w:rsidR="00296F8D" w:rsidRPr="00631743">
        <w:rPr>
          <w:rFonts w:ascii="Arial" w:hAnsi="Arial" w:cs="Arial"/>
          <w:sz w:val="24"/>
          <w:szCs w:val="24"/>
        </w:rPr>
        <w:t xml:space="preserve"> submitted that the High Court, given the equitable jurisdiction, was not bound to pronounce itself on the matter.</w:t>
      </w:r>
    </w:p>
    <w:p w:rsidR="005B4535" w:rsidRPr="00631743" w:rsidRDefault="005B4535" w:rsidP="004012CE">
      <w:pPr>
        <w:spacing w:before="100" w:beforeAutospacing="1" w:after="100" w:afterAutospacing="1" w:line="480" w:lineRule="auto"/>
        <w:jc w:val="both"/>
        <w:rPr>
          <w:rFonts w:ascii="Arial" w:hAnsi="Arial" w:cs="Arial"/>
          <w:color w:val="000000" w:themeColor="text1"/>
          <w:sz w:val="24"/>
          <w:szCs w:val="24"/>
          <w:u w:val="single"/>
        </w:rPr>
      </w:pPr>
      <w:r w:rsidRPr="00631743">
        <w:rPr>
          <w:rFonts w:ascii="Arial" w:hAnsi="Arial" w:cs="Arial"/>
          <w:color w:val="000000" w:themeColor="text1"/>
          <w:sz w:val="24"/>
          <w:szCs w:val="24"/>
          <w:u w:val="single"/>
        </w:rPr>
        <w:t>Disposal</w:t>
      </w:r>
    </w:p>
    <w:p w:rsidR="00BD6616" w:rsidRPr="00631743" w:rsidRDefault="0097009C"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w:t>
      </w:r>
      <w:r w:rsidR="00D812C4" w:rsidRPr="00631743">
        <w:rPr>
          <w:rFonts w:ascii="Arial" w:hAnsi="Arial" w:cs="Arial"/>
          <w:color w:val="000000" w:themeColor="text1"/>
          <w:sz w:val="24"/>
          <w:szCs w:val="24"/>
        </w:rPr>
        <w:t>48</w:t>
      </w:r>
      <w:r w:rsidRPr="00631743">
        <w:rPr>
          <w:rFonts w:ascii="Arial" w:hAnsi="Arial" w:cs="Arial"/>
          <w:color w:val="000000" w:themeColor="text1"/>
          <w:sz w:val="24"/>
          <w:szCs w:val="24"/>
        </w:rPr>
        <w:t>]</w:t>
      </w:r>
      <w:r w:rsidRPr="00631743">
        <w:rPr>
          <w:rFonts w:ascii="Arial" w:hAnsi="Arial" w:cs="Arial"/>
          <w:color w:val="000000" w:themeColor="text1"/>
          <w:sz w:val="24"/>
          <w:szCs w:val="24"/>
        </w:rPr>
        <w:tab/>
      </w:r>
      <w:r w:rsidR="00135EDC" w:rsidRPr="00631743">
        <w:rPr>
          <w:rFonts w:ascii="Arial" w:hAnsi="Arial" w:cs="Arial"/>
          <w:color w:val="000000" w:themeColor="text1"/>
          <w:sz w:val="24"/>
          <w:szCs w:val="24"/>
        </w:rPr>
        <w:t xml:space="preserve">The High Court’s approach as regards </w:t>
      </w:r>
      <w:r w:rsidR="005B4535" w:rsidRPr="00631743">
        <w:rPr>
          <w:rFonts w:ascii="Arial" w:hAnsi="Arial" w:cs="Arial"/>
          <w:color w:val="000000" w:themeColor="text1"/>
          <w:sz w:val="24"/>
          <w:szCs w:val="24"/>
        </w:rPr>
        <w:t>the effect of</w:t>
      </w:r>
      <w:r w:rsidR="00135EDC" w:rsidRPr="00631743">
        <w:rPr>
          <w:rFonts w:ascii="Arial" w:hAnsi="Arial" w:cs="Arial"/>
          <w:color w:val="000000" w:themeColor="text1"/>
          <w:sz w:val="24"/>
          <w:szCs w:val="24"/>
        </w:rPr>
        <w:t xml:space="preserve"> </w:t>
      </w:r>
      <w:r w:rsidR="00BD6616" w:rsidRPr="00631743">
        <w:rPr>
          <w:rFonts w:ascii="Arial" w:hAnsi="Arial" w:cs="Arial"/>
          <w:color w:val="000000" w:themeColor="text1"/>
          <w:sz w:val="24"/>
          <w:szCs w:val="24"/>
        </w:rPr>
        <w:t xml:space="preserve">non-compliance with the </w:t>
      </w:r>
      <w:r w:rsidR="00135EDC" w:rsidRPr="00631743">
        <w:rPr>
          <w:rFonts w:ascii="Arial" w:hAnsi="Arial" w:cs="Arial"/>
          <w:color w:val="000000" w:themeColor="text1"/>
          <w:sz w:val="24"/>
          <w:szCs w:val="24"/>
        </w:rPr>
        <w:t xml:space="preserve">Stamp Duties Act </w:t>
      </w:r>
      <w:r w:rsidR="00BD6616" w:rsidRPr="00631743">
        <w:rPr>
          <w:rFonts w:ascii="Arial" w:hAnsi="Arial" w:cs="Arial"/>
          <w:color w:val="000000" w:themeColor="text1"/>
          <w:sz w:val="24"/>
          <w:szCs w:val="24"/>
        </w:rPr>
        <w:t>accords with t</w:t>
      </w:r>
      <w:r w:rsidR="001A6420" w:rsidRPr="00631743">
        <w:rPr>
          <w:rFonts w:ascii="Arial" w:hAnsi="Arial" w:cs="Arial"/>
          <w:color w:val="000000" w:themeColor="text1"/>
          <w:sz w:val="24"/>
          <w:szCs w:val="24"/>
        </w:rPr>
        <w:t>he modern</w:t>
      </w:r>
      <w:r w:rsidR="00BD6616" w:rsidRPr="00631743">
        <w:rPr>
          <w:rFonts w:ascii="Arial" w:hAnsi="Arial" w:cs="Arial"/>
          <w:color w:val="000000" w:themeColor="text1"/>
          <w:sz w:val="24"/>
          <w:szCs w:val="24"/>
        </w:rPr>
        <w:t xml:space="preserve"> trend in interpreting a provision which places an obligation on a legal actor to do something</w:t>
      </w:r>
      <w:r w:rsidR="00DF1D63" w:rsidRPr="00631743">
        <w:rPr>
          <w:rFonts w:ascii="Arial" w:hAnsi="Arial" w:cs="Arial"/>
          <w:color w:val="000000" w:themeColor="text1"/>
          <w:sz w:val="24"/>
          <w:szCs w:val="24"/>
        </w:rPr>
        <w:t>.</w:t>
      </w:r>
      <w:r w:rsidR="00BD6616" w:rsidRPr="00631743">
        <w:rPr>
          <w:rStyle w:val="FootnoteReference"/>
          <w:rFonts w:ascii="Arial" w:hAnsi="Arial" w:cs="Arial"/>
          <w:color w:val="000000" w:themeColor="text1"/>
          <w:sz w:val="24"/>
          <w:szCs w:val="24"/>
        </w:rPr>
        <w:footnoteReference w:id="17"/>
      </w:r>
      <w:r w:rsidR="00BD6616" w:rsidRPr="00631743">
        <w:rPr>
          <w:rFonts w:ascii="Arial" w:hAnsi="Arial" w:cs="Arial"/>
          <w:color w:val="000000" w:themeColor="text1"/>
          <w:sz w:val="24"/>
          <w:szCs w:val="24"/>
        </w:rPr>
        <w:t xml:space="preserve"> Th</w:t>
      </w:r>
      <w:r w:rsidR="005B4535" w:rsidRPr="00631743">
        <w:rPr>
          <w:rFonts w:ascii="Arial" w:hAnsi="Arial" w:cs="Arial"/>
          <w:color w:val="000000" w:themeColor="text1"/>
          <w:sz w:val="24"/>
          <w:szCs w:val="24"/>
        </w:rPr>
        <w:t xml:space="preserve">at </w:t>
      </w:r>
      <w:r w:rsidR="00BD6616" w:rsidRPr="00631743">
        <w:rPr>
          <w:rFonts w:ascii="Arial" w:hAnsi="Arial" w:cs="Arial"/>
          <w:color w:val="000000" w:themeColor="text1"/>
          <w:sz w:val="24"/>
          <w:szCs w:val="24"/>
        </w:rPr>
        <w:t>approach is to consider if the legislative intent was to visit non-compliance with a nullity</w:t>
      </w:r>
      <w:r w:rsidR="00DF1D63" w:rsidRPr="00631743">
        <w:rPr>
          <w:rFonts w:ascii="Arial" w:hAnsi="Arial" w:cs="Arial"/>
          <w:color w:val="000000" w:themeColor="text1"/>
          <w:sz w:val="24"/>
          <w:szCs w:val="24"/>
        </w:rPr>
        <w:t>.</w:t>
      </w:r>
      <w:r w:rsidR="00BD6616" w:rsidRPr="00631743">
        <w:rPr>
          <w:rFonts w:ascii="Arial" w:hAnsi="Arial" w:cs="Arial"/>
          <w:color w:val="000000" w:themeColor="text1"/>
          <w:sz w:val="24"/>
          <w:szCs w:val="24"/>
        </w:rPr>
        <w:t xml:space="preserve"> The learned judge approached the matter on correct principle. He held:</w:t>
      </w:r>
    </w:p>
    <w:p w:rsidR="00BD6616" w:rsidRPr="00631743" w:rsidRDefault="00BD6616" w:rsidP="004D2193">
      <w:pPr>
        <w:spacing w:before="100" w:beforeAutospacing="1" w:after="100" w:afterAutospacing="1" w:line="360" w:lineRule="auto"/>
        <w:ind w:left="720"/>
        <w:jc w:val="both"/>
        <w:rPr>
          <w:rFonts w:ascii="Arial" w:hAnsi="Arial" w:cs="Arial"/>
          <w:color w:val="000000" w:themeColor="text1"/>
          <w:szCs w:val="24"/>
        </w:rPr>
      </w:pPr>
      <w:r w:rsidRPr="00631743">
        <w:rPr>
          <w:rFonts w:ascii="Arial" w:hAnsi="Arial" w:cs="Arial"/>
          <w:color w:val="000000" w:themeColor="text1"/>
          <w:szCs w:val="24"/>
        </w:rPr>
        <w:t>‘</w:t>
      </w:r>
      <w:r w:rsidRPr="00631743">
        <w:rPr>
          <w:rFonts w:ascii="Arial" w:hAnsi="Arial" w:cs="Arial"/>
          <w:szCs w:val="24"/>
        </w:rPr>
        <w:t>I am of the view that the existence of sections 12 and 13</w:t>
      </w:r>
      <w:r w:rsidR="00D62021" w:rsidRPr="00631743">
        <w:rPr>
          <w:rFonts w:ascii="Arial" w:hAnsi="Arial" w:cs="Arial"/>
          <w:szCs w:val="24"/>
        </w:rPr>
        <w:t xml:space="preserve"> [of the Stamp Duties Act]</w:t>
      </w:r>
      <w:r w:rsidRPr="00631743">
        <w:rPr>
          <w:rFonts w:ascii="Arial" w:hAnsi="Arial" w:cs="Arial"/>
          <w:szCs w:val="24"/>
        </w:rPr>
        <w:t xml:space="preserve"> is an indication that the legislature did not intend that if a document is not stamped such failure would lead to a nullity of the document. I am of the further view that the court when faced with a document which is not stamped may order that the document be stamped in accordance with the Stamp Duty Act, 1993.’</w:t>
      </w:r>
    </w:p>
    <w:p w:rsidR="00A40DC5"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lastRenderedPageBreak/>
        <w:t>[49</w:t>
      </w:r>
      <w:r w:rsidR="00296F8D" w:rsidRPr="00631743">
        <w:rPr>
          <w:rFonts w:ascii="Arial" w:hAnsi="Arial" w:cs="Arial"/>
          <w:color w:val="000000" w:themeColor="text1"/>
          <w:sz w:val="24"/>
          <w:szCs w:val="24"/>
        </w:rPr>
        <w:t>]</w:t>
      </w:r>
      <w:r w:rsidR="00296F8D" w:rsidRPr="00631743">
        <w:rPr>
          <w:rFonts w:ascii="Arial" w:hAnsi="Arial" w:cs="Arial"/>
          <w:color w:val="000000" w:themeColor="text1"/>
          <w:sz w:val="24"/>
          <w:szCs w:val="24"/>
        </w:rPr>
        <w:tab/>
      </w:r>
      <w:r w:rsidR="002E7F1E" w:rsidRPr="00631743">
        <w:rPr>
          <w:rFonts w:ascii="Arial" w:hAnsi="Arial" w:cs="Arial"/>
          <w:color w:val="000000" w:themeColor="text1"/>
          <w:sz w:val="24"/>
          <w:szCs w:val="24"/>
        </w:rPr>
        <w:t>The issue in the form it has</w:t>
      </w:r>
      <w:r w:rsidR="00A40DC5" w:rsidRPr="00631743">
        <w:rPr>
          <w:rFonts w:ascii="Arial" w:hAnsi="Arial" w:cs="Arial"/>
          <w:color w:val="000000" w:themeColor="text1"/>
          <w:sz w:val="24"/>
          <w:szCs w:val="24"/>
        </w:rPr>
        <w:t xml:space="preserve"> been articulated </w:t>
      </w:r>
      <w:r w:rsidR="004A12AE" w:rsidRPr="00631743">
        <w:rPr>
          <w:rFonts w:ascii="Arial" w:hAnsi="Arial" w:cs="Arial"/>
          <w:color w:val="000000" w:themeColor="text1"/>
          <w:sz w:val="24"/>
          <w:szCs w:val="24"/>
        </w:rPr>
        <w:t>in ora</w:t>
      </w:r>
      <w:r w:rsidR="00637A7B" w:rsidRPr="00631743">
        <w:rPr>
          <w:rFonts w:ascii="Arial" w:hAnsi="Arial" w:cs="Arial"/>
          <w:color w:val="000000" w:themeColor="text1"/>
          <w:sz w:val="24"/>
          <w:szCs w:val="24"/>
        </w:rPr>
        <w:t>l argument</w:t>
      </w:r>
      <w:r w:rsidR="00A40DC5" w:rsidRPr="00631743">
        <w:rPr>
          <w:rFonts w:ascii="Arial" w:hAnsi="Arial" w:cs="Arial"/>
          <w:color w:val="000000" w:themeColor="text1"/>
          <w:sz w:val="24"/>
          <w:szCs w:val="24"/>
        </w:rPr>
        <w:t xml:space="preserve"> does not absolve </w:t>
      </w:r>
      <w:r w:rsidR="00DF1860" w:rsidRPr="00631743">
        <w:rPr>
          <w:rFonts w:ascii="Arial" w:hAnsi="Arial" w:cs="Arial"/>
          <w:color w:val="000000" w:themeColor="text1"/>
          <w:sz w:val="24"/>
          <w:szCs w:val="24"/>
        </w:rPr>
        <w:t>Denker</w:t>
      </w:r>
      <w:r w:rsidR="00A40DC5" w:rsidRPr="00631743">
        <w:rPr>
          <w:rFonts w:ascii="Arial" w:hAnsi="Arial" w:cs="Arial"/>
          <w:color w:val="000000" w:themeColor="text1"/>
          <w:sz w:val="24"/>
          <w:szCs w:val="24"/>
        </w:rPr>
        <w:t xml:space="preserve"> from addressing the question whether the High Court was wrong in treating it as a matter to be approached on equity. This is what Ueitele J said:</w:t>
      </w:r>
    </w:p>
    <w:p w:rsidR="00A40DC5" w:rsidRPr="00631743" w:rsidRDefault="00A40DC5" w:rsidP="004D2193">
      <w:pPr>
        <w:pStyle w:val="hcr003a00200020numbering003a0020affidavit"/>
        <w:spacing w:before="100" w:beforeAutospacing="1" w:after="100" w:afterAutospacing="1" w:line="360" w:lineRule="auto"/>
        <w:ind w:left="720"/>
        <w:rPr>
          <w:sz w:val="22"/>
        </w:rPr>
      </w:pPr>
      <w:r w:rsidRPr="00631743">
        <w:rPr>
          <w:color w:val="000000" w:themeColor="text1"/>
          <w:sz w:val="22"/>
        </w:rPr>
        <w:t>‘</w:t>
      </w:r>
      <w:r w:rsidRPr="00631743">
        <w:rPr>
          <w:sz w:val="22"/>
        </w:rPr>
        <w:t>A further question that I have to answer here is whether fairness and justice favour Denker thus requiring of me to interpose and order a rectification the register. On the face of it, it seems to me that Denker was the architect of the transaction to purchase farm Ameib with Viljoen, he succeeded in that design and is now trying, by relying on a technicality, to take control of the company because of the difficulties which have subsequently arisen between him and his co-director, Viljoen. I am of the view that it is unconscionable and unjust that Denker must take money from somebody and thereafter attempt to wrestle control of the company from that person. In the circumstances I am not persuaded that justice and equity require that an order for rectification of the register should be made in his matter.’</w:t>
      </w:r>
    </w:p>
    <w:p w:rsidR="00CE7915" w:rsidRPr="00631743" w:rsidRDefault="00E003CA"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w:t>
      </w:r>
      <w:r w:rsidR="00D812C4" w:rsidRPr="00631743">
        <w:rPr>
          <w:rFonts w:ascii="Arial" w:hAnsi="Arial" w:cs="Arial"/>
          <w:color w:val="000000" w:themeColor="text1"/>
          <w:sz w:val="24"/>
          <w:szCs w:val="24"/>
        </w:rPr>
        <w:t>50</w:t>
      </w:r>
      <w:r w:rsidR="00296F8D" w:rsidRPr="00631743">
        <w:rPr>
          <w:rFonts w:ascii="Arial" w:hAnsi="Arial" w:cs="Arial"/>
          <w:color w:val="000000" w:themeColor="text1"/>
          <w:sz w:val="24"/>
          <w:szCs w:val="24"/>
        </w:rPr>
        <w:t>]</w:t>
      </w:r>
      <w:r w:rsidR="00296F8D" w:rsidRPr="00631743">
        <w:rPr>
          <w:rFonts w:ascii="Arial" w:hAnsi="Arial" w:cs="Arial"/>
          <w:color w:val="000000" w:themeColor="text1"/>
          <w:sz w:val="24"/>
          <w:szCs w:val="24"/>
        </w:rPr>
        <w:tab/>
      </w:r>
      <w:r w:rsidR="00135EDC" w:rsidRPr="00631743">
        <w:rPr>
          <w:rFonts w:ascii="Arial" w:hAnsi="Arial" w:cs="Arial"/>
          <w:color w:val="000000" w:themeColor="text1"/>
          <w:sz w:val="24"/>
          <w:szCs w:val="24"/>
        </w:rPr>
        <w:t>The</w:t>
      </w:r>
      <w:r w:rsidR="00A40DC5" w:rsidRPr="00631743">
        <w:rPr>
          <w:rFonts w:ascii="Arial" w:hAnsi="Arial" w:cs="Arial"/>
          <w:color w:val="000000" w:themeColor="text1"/>
          <w:sz w:val="24"/>
          <w:szCs w:val="24"/>
        </w:rPr>
        <w:t xml:space="preserve"> question is, was he wrong? </w:t>
      </w:r>
      <w:r w:rsidR="00CE7915" w:rsidRPr="00631743">
        <w:rPr>
          <w:rFonts w:ascii="Arial" w:hAnsi="Arial" w:cs="Arial"/>
          <w:color w:val="000000" w:themeColor="text1"/>
          <w:sz w:val="24"/>
          <w:szCs w:val="24"/>
        </w:rPr>
        <w:t>As was s</w:t>
      </w:r>
      <w:r w:rsidR="00764629" w:rsidRPr="00631743">
        <w:rPr>
          <w:rFonts w:ascii="Arial" w:hAnsi="Arial" w:cs="Arial"/>
          <w:color w:val="000000" w:themeColor="text1"/>
          <w:sz w:val="24"/>
          <w:szCs w:val="24"/>
        </w:rPr>
        <w:t>t</w:t>
      </w:r>
      <w:r w:rsidR="00CE7915" w:rsidRPr="00631743">
        <w:rPr>
          <w:rFonts w:ascii="Arial" w:hAnsi="Arial" w:cs="Arial"/>
          <w:color w:val="000000" w:themeColor="text1"/>
          <w:sz w:val="24"/>
          <w:szCs w:val="24"/>
        </w:rPr>
        <w:t xml:space="preserve">ated by Stratford JA in </w:t>
      </w:r>
      <w:r w:rsidR="00CE7915" w:rsidRPr="00631743">
        <w:rPr>
          <w:rFonts w:ascii="Arial" w:hAnsi="Arial" w:cs="Arial"/>
          <w:i/>
          <w:color w:val="000000" w:themeColor="text1"/>
          <w:sz w:val="24"/>
          <w:szCs w:val="24"/>
        </w:rPr>
        <w:t>Jeffrey v Pollack</w:t>
      </w:r>
      <w:r w:rsidR="00CE7915" w:rsidRPr="00631743">
        <w:rPr>
          <w:rFonts w:ascii="Arial" w:hAnsi="Arial" w:cs="Arial"/>
          <w:color w:val="000000" w:themeColor="text1"/>
          <w:sz w:val="24"/>
          <w:szCs w:val="24"/>
        </w:rPr>
        <w:t xml:space="preserve"> </w:t>
      </w:r>
      <w:r w:rsidR="00CE7915" w:rsidRPr="00631743">
        <w:rPr>
          <w:rFonts w:ascii="Arial" w:hAnsi="Arial" w:cs="Arial"/>
          <w:i/>
          <w:color w:val="000000" w:themeColor="text1"/>
          <w:sz w:val="24"/>
          <w:szCs w:val="24"/>
        </w:rPr>
        <w:t>and Freemantle</w:t>
      </w:r>
      <w:r w:rsidR="00A92D26" w:rsidRPr="00631743">
        <w:rPr>
          <w:rFonts w:ascii="Arial" w:hAnsi="Arial" w:cs="Arial"/>
          <w:i/>
          <w:color w:val="000000" w:themeColor="text1"/>
          <w:sz w:val="24"/>
          <w:szCs w:val="24"/>
        </w:rPr>
        <w:t xml:space="preserve"> </w:t>
      </w:r>
      <w:r w:rsidR="00A92D26" w:rsidRPr="00631743">
        <w:rPr>
          <w:rFonts w:ascii="Arial" w:hAnsi="Arial" w:cs="Arial"/>
          <w:color w:val="000000" w:themeColor="text1"/>
          <w:sz w:val="24"/>
          <w:szCs w:val="24"/>
        </w:rPr>
        <w:t>1938 AD 1 at 18</w:t>
      </w:r>
      <w:r w:rsidR="00764629" w:rsidRPr="00631743">
        <w:rPr>
          <w:rFonts w:ascii="Arial" w:hAnsi="Arial" w:cs="Arial"/>
          <w:color w:val="000000" w:themeColor="text1"/>
          <w:sz w:val="24"/>
          <w:szCs w:val="24"/>
        </w:rPr>
        <w:t xml:space="preserve">, </w:t>
      </w:r>
      <w:r w:rsidR="00CE7915" w:rsidRPr="00631743">
        <w:rPr>
          <w:rFonts w:ascii="Arial" w:hAnsi="Arial" w:cs="Arial"/>
          <w:color w:val="000000" w:themeColor="text1"/>
          <w:sz w:val="24"/>
          <w:szCs w:val="24"/>
        </w:rPr>
        <w:t>concerning a provision similar to our s 122:</w:t>
      </w:r>
    </w:p>
    <w:p w:rsidR="00CE7915" w:rsidRPr="00631743" w:rsidRDefault="00CE7915" w:rsidP="004012CE">
      <w:pPr>
        <w:spacing w:before="100" w:beforeAutospacing="1" w:after="100" w:afterAutospacing="1" w:line="480" w:lineRule="auto"/>
        <w:ind w:left="720"/>
        <w:jc w:val="both"/>
        <w:rPr>
          <w:rFonts w:ascii="Arial" w:hAnsi="Arial" w:cs="Arial"/>
          <w:color w:val="000000" w:themeColor="text1"/>
        </w:rPr>
      </w:pPr>
      <w:r w:rsidRPr="00631743">
        <w:rPr>
          <w:rFonts w:ascii="Arial" w:hAnsi="Arial" w:cs="Arial"/>
          <w:color w:val="000000" w:themeColor="text1"/>
        </w:rPr>
        <w:t xml:space="preserve">‘The importance of a proper appreciation of the terms of the section is two-fold. In the first </w:t>
      </w:r>
      <w:r w:rsidR="00DE2FC1" w:rsidRPr="00631743">
        <w:rPr>
          <w:rFonts w:ascii="Arial" w:hAnsi="Arial" w:cs="Arial"/>
          <w:color w:val="000000" w:themeColor="text1"/>
        </w:rPr>
        <w:t>place,</w:t>
      </w:r>
      <w:r w:rsidRPr="00631743">
        <w:rPr>
          <w:rFonts w:ascii="Arial" w:hAnsi="Arial" w:cs="Arial"/>
          <w:color w:val="000000" w:themeColor="text1"/>
        </w:rPr>
        <w:t xml:space="preserve"> </w:t>
      </w:r>
      <w:r w:rsidRPr="00631743">
        <w:rPr>
          <w:rFonts w:ascii="Arial" w:hAnsi="Arial" w:cs="Arial"/>
          <w:color w:val="000000" w:themeColor="text1"/>
          <w:u w:val="single"/>
        </w:rPr>
        <w:t xml:space="preserve">there is no onus </w:t>
      </w:r>
      <w:r w:rsidRPr="00631743">
        <w:rPr>
          <w:rFonts w:ascii="Arial" w:hAnsi="Arial" w:cs="Arial"/>
          <w:color w:val="000000" w:themeColor="text1"/>
        </w:rPr>
        <w:t>on the person previously on the register to prove his ownership and secondly the Court is not necessarily concerned with ownership at all</w:t>
      </w:r>
      <w:r w:rsidR="00296F8D" w:rsidRPr="00631743">
        <w:rPr>
          <w:rFonts w:ascii="Arial" w:hAnsi="Arial" w:cs="Arial"/>
          <w:color w:val="000000" w:themeColor="text1"/>
        </w:rPr>
        <w:t xml:space="preserve">. . . </w:t>
      </w:r>
      <w:r w:rsidRPr="00631743">
        <w:rPr>
          <w:rFonts w:ascii="Arial" w:hAnsi="Arial" w:cs="Arial"/>
          <w:color w:val="000000" w:themeColor="text1"/>
        </w:rPr>
        <w:t>’</w:t>
      </w:r>
      <w:r w:rsidR="009A6D6B">
        <w:rPr>
          <w:rFonts w:ascii="Arial" w:hAnsi="Arial" w:cs="Arial"/>
          <w:color w:val="000000" w:themeColor="text1"/>
        </w:rPr>
        <w:t xml:space="preserve"> </w:t>
      </w:r>
      <w:r w:rsidR="009A6D6B" w:rsidRPr="009A6D6B">
        <w:rPr>
          <w:rFonts w:ascii="Arial" w:hAnsi="Arial" w:cs="Arial"/>
          <w:color w:val="000000" w:themeColor="text1"/>
          <w:sz w:val="24"/>
          <w:szCs w:val="24"/>
        </w:rPr>
        <w:t>(my underlining).</w:t>
      </w:r>
    </w:p>
    <w:p w:rsidR="00A40DC5" w:rsidRPr="00631743" w:rsidRDefault="00E003CA"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w:t>
      </w:r>
      <w:r w:rsidR="00D812C4" w:rsidRPr="00631743">
        <w:rPr>
          <w:rFonts w:ascii="Arial" w:hAnsi="Arial" w:cs="Arial"/>
          <w:color w:val="000000" w:themeColor="text1"/>
          <w:sz w:val="24"/>
          <w:szCs w:val="24"/>
        </w:rPr>
        <w:t>51</w:t>
      </w:r>
      <w:r w:rsidR="00296F8D" w:rsidRPr="00631743">
        <w:rPr>
          <w:rFonts w:ascii="Arial" w:hAnsi="Arial" w:cs="Arial"/>
          <w:color w:val="000000" w:themeColor="text1"/>
          <w:sz w:val="24"/>
          <w:szCs w:val="24"/>
        </w:rPr>
        <w:t>]</w:t>
      </w:r>
      <w:r w:rsidR="00296F8D" w:rsidRPr="00631743">
        <w:rPr>
          <w:rFonts w:ascii="Arial" w:hAnsi="Arial" w:cs="Arial"/>
          <w:color w:val="000000" w:themeColor="text1"/>
          <w:sz w:val="24"/>
          <w:szCs w:val="24"/>
        </w:rPr>
        <w:tab/>
      </w:r>
      <w:r w:rsidR="00CE7915" w:rsidRPr="00631743">
        <w:rPr>
          <w:rFonts w:ascii="Arial" w:hAnsi="Arial" w:cs="Arial"/>
          <w:color w:val="000000" w:themeColor="text1"/>
          <w:sz w:val="24"/>
          <w:szCs w:val="24"/>
        </w:rPr>
        <w:t>And</w:t>
      </w:r>
      <w:r w:rsidR="00A40DC5" w:rsidRPr="00631743">
        <w:rPr>
          <w:rFonts w:ascii="Arial" w:hAnsi="Arial" w:cs="Arial"/>
          <w:color w:val="000000" w:themeColor="text1"/>
          <w:sz w:val="24"/>
          <w:szCs w:val="24"/>
        </w:rPr>
        <w:t xml:space="preserve"> to borrow from the language of Nicholas J in </w:t>
      </w:r>
      <w:r w:rsidR="00A40DC5" w:rsidRPr="00631743">
        <w:rPr>
          <w:rFonts w:ascii="Arial" w:hAnsi="Arial" w:cs="Arial"/>
          <w:i/>
          <w:color w:val="000000" w:themeColor="text1"/>
          <w:sz w:val="24"/>
          <w:szCs w:val="24"/>
        </w:rPr>
        <w:t>Bauermeister</w:t>
      </w:r>
      <w:r w:rsidR="00A40DC5" w:rsidRPr="00631743">
        <w:rPr>
          <w:rFonts w:ascii="Arial" w:hAnsi="Arial" w:cs="Arial"/>
          <w:color w:val="000000" w:themeColor="text1"/>
          <w:sz w:val="24"/>
          <w:szCs w:val="24"/>
        </w:rPr>
        <w:t xml:space="preserve">, what equity did </w:t>
      </w:r>
      <w:r w:rsidR="00637A7B" w:rsidRPr="00631743">
        <w:rPr>
          <w:rFonts w:ascii="Arial" w:hAnsi="Arial" w:cs="Arial"/>
          <w:color w:val="000000" w:themeColor="text1"/>
          <w:sz w:val="24"/>
          <w:szCs w:val="24"/>
        </w:rPr>
        <w:t xml:space="preserve">Denker </w:t>
      </w:r>
      <w:r w:rsidR="00A40DC5" w:rsidRPr="00631743">
        <w:rPr>
          <w:rFonts w:ascii="Arial" w:hAnsi="Arial" w:cs="Arial"/>
          <w:color w:val="000000" w:themeColor="text1"/>
          <w:sz w:val="24"/>
          <w:szCs w:val="24"/>
        </w:rPr>
        <w:t xml:space="preserve">have to call for the rectification of the share register under s 122(1)? The High Court was satisfied, </w:t>
      </w:r>
      <w:r w:rsidR="00CE7915" w:rsidRPr="00631743">
        <w:rPr>
          <w:rFonts w:ascii="Arial" w:hAnsi="Arial" w:cs="Arial"/>
          <w:color w:val="000000" w:themeColor="text1"/>
          <w:sz w:val="24"/>
          <w:szCs w:val="24"/>
        </w:rPr>
        <w:t xml:space="preserve">not least </w:t>
      </w:r>
      <w:r w:rsidR="00764629" w:rsidRPr="00631743">
        <w:rPr>
          <w:rFonts w:ascii="Arial" w:hAnsi="Arial" w:cs="Arial"/>
          <w:color w:val="000000" w:themeColor="text1"/>
          <w:sz w:val="24"/>
          <w:szCs w:val="24"/>
        </w:rPr>
        <w:t>because of the complicity of</w:t>
      </w:r>
      <w:r w:rsidR="00A40DC5" w:rsidRPr="00631743">
        <w:rPr>
          <w:rFonts w:ascii="Arial" w:hAnsi="Arial" w:cs="Arial"/>
          <w:color w:val="000000" w:themeColor="text1"/>
          <w:sz w:val="24"/>
          <w:szCs w:val="24"/>
        </w:rPr>
        <w:t xml:space="preserve"> Denker in the creation of the instrumen</w:t>
      </w:r>
      <w:r w:rsidR="00A92D26" w:rsidRPr="00631743">
        <w:rPr>
          <w:rFonts w:ascii="Arial" w:hAnsi="Arial" w:cs="Arial"/>
          <w:color w:val="000000" w:themeColor="text1"/>
          <w:sz w:val="24"/>
          <w:szCs w:val="24"/>
        </w:rPr>
        <w:t xml:space="preserve">ts of transfer contrary to law, </w:t>
      </w:r>
      <w:r w:rsidR="00A40DC5" w:rsidRPr="00631743">
        <w:rPr>
          <w:rFonts w:ascii="Arial" w:hAnsi="Arial" w:cs="Arial"/>
          <w:color w:val="000000" w:themeColor="text1"/>
          <w:sz w:val="24"/>
          <w:szCs w:val="24"/>
        </w:rPr>
        <w:t xml:space="preserve">that he had not persuaded it of the justice and equity of rectifying the share register. (Compare </w:t>
      </w:r>
      <w:r w:rsidR="00A40DC5" w:rsidRPr="00631743">
        <w:rPr>
          <w:rFonts w:ascii="Arial" w:hAnsi="Arial" w:cs="Arial"/>
          <w:i/>
          <w:color w:val="000000" w:themeColor="text1"/>
          <w:sz w:val="24"/>
          <w:szCs w:val="24"/>
        </w:rPr>
        <w:t>Bauermeister</w:t>
      </w:r>
      <w:r w:rsidR="00A40DC5" w:rsidRPr="00631743">
        <w:rPr>
          <w:rFonts w:ascii="Arial" w:hAnsi="Arial" w:cs="Arial"/>
          <w:color w:val="000000" w:themeColor="text1"/>
          <w:sz w:val="24"/>
          <w:szCs w:val="24"/>
        </w:rPr>
        <w:t xml:space="preserve"> at 278H). </w:t>
      </w:r>
      <w:r w:rsidR="00CE7915" w:rsidRPr="00631743">
        <w:rPr>
          <w:rFonts w:ascii="Arial" w:hAnsi="Arial" w:cs="Arial"/>
          <w:color w:val="000000" w:themeColor="text1"/>
          <w:sz w:val="24"/>
          <w:szCs w:val="24"/>
        </w:rPr>
        <w:t xml:space="preserve">It is trite that a finding that </w:t>
      </w:r>
      <w:r w:rsidR="00760CB8" w:rsidRPr="00631743">
        <w:rPr>
          <w:rFonts w:ascii="Arial" w:hAnsi="Arial" w:cs="Arial"/>
          <w:color w:val="000000" w:themeColor="text1"/>
          <w:sz w:val="24"/>
          <w:szCs w:val="24"/>
        </w:rPr>
        <w:t>the allotment of the share was irregular does not necessarily mean rectification will be ordered.</w:t>
      </w:r>
      <w:r w:rsidR="00760CB8" w:rsidRPr="00631743">
        <w:rPr>
          <w:rStyle w:val="FootnoteReference"/>
          <w:rFonts w:ascii="Arial" w:hAnsi="Arial" w:cs="Arial"/>
          <w:color w:val="000000" w:themeColor="text1"/>
          <w:sz w:val="24"/>
          <w:szCs w:val="24"/>
        </w:rPr>
        <w:footnoteReference w:id="18"/>
      </w:r>
      <w:r w:rsidR="00760CB8" w:rsidRPr="00631743">
        <w:rPr>
          <w:rFonts w:ascii="Arial" w:hAnsi="Arial" w:cs="Arial"/>
          <w:color w:val="000000" w:themeColor="text1"/>
          <w:sz w:val="24"/>
          <w:szCs w:val="24"/>
        </w:rPr>
        <w:t xml:space="preserve"> </w:t>
      </w:r>
      <w:r w:rsidR="00276614" w:rsidRPr="00631743">
        <w:rPr>
          <w:rFonts w:ascii="Arial" w:eastAsia="Times New Roman" w:hAnsi="Arial" w:cs="Arial"/>
          <w:sz w:val="24"/>
          <w:szCs w:val="24"/>
        </w:rPr>
        <w:t xml:space="preserve">It is important to stress that the </w:t>
      </w:r>
      <w:r w:rsidR="00276614" w:rsidRPr="00631743">
        <w:rPr>
          <w:rFonts w:ascii="Arial" w:eastAsia="Times New Roman" w:hAnsi="Arial" w:cs="Arial"/>
          <w:i/>
          <w:sz w:val="24"/>
          <w:szCs w:val="24"/>
        </w:rPr>
        <w:t>ratio</w:t>
      </w:r>
      <w:r w:rsidR="00276614" w:rsidRPr="00631743">
        <w:rPr>
          <w:rFonts w:ascii="Arial" w:eastAsia="Times New Roman" w:hAnsi="Arial" w:cs="Arial"/>
          <w:sz w:val="24"/>
          <w:szCs w:val="24"/>
        </w:rPr>
        <w:t xml:space="preserve"> for the High Court’s conclusion is that the matters about </w:t>
      </w:r>
      <w:r w:rsidR="00276614" w:rsidRPr="00631743">
        <w:rPr>
          <w:rFonts w:ascii="Arial" w:eastAsia="Times New Roman" w:hAnsi="Arial" w:cs="Arial"/>
          <w:sz w:val="24"/>
          <w:szCs w:val="24"/>
        </w:rPr>
        <w:lastRenderedPageBreak/>
        <w:t xml:space="preserve">which Denker complain are of his own making just as they are of Viljoen and that justice dictates that he not benefit therefrom to the prejudice of Viljoen. We see no reason to fault that conclusion. Therefore, it is without </w:t>
      </w:r>
      <w:r w:rsidR="00DF1860" w:rsidRPr="00631743">
        <w:rPr>
          <w:rFonts w:ascii="Arial" w:eastAsia="Times New Roman" w:hAnsi="Arial" w:cs="Arial"/>
          <w:sz w:val="24"/>
          <w:szCs w:val="24"/>
        </w:rPr>
        <w:t>merit to suggest that the court</w:t>
      </w:r>
      <w:r w:rsidR="00A92D26" w:rsidRPr="00631743">
        <w:rPr>
          <w:rFonts w:ascii="Arial" w:eastAsia="Times New Roman" w:hAnsi="Arial" w:cs="Arial"/>
          <w:sz w:val="24"/>
          <w:szCs w:val="24"/>
        </w:rPr>
        <w:t xml:space="preserve"> a </w:t>
      </w:r>
      <w:r w:rsidR="00A92D26" w:rsidRPr="00631743">
        <w:rPr>
          <w:rFonts w:ascii="Arial" w:eastAsia="Times New Roman" w:hAnsi="Arial" w:cs="Arial"/>
          <w:i/>
          <w:sz w:val="24"/>
          <w:szCs w:val="24"/>
        </w:rPr>
        <w:t>quo</w:t>
      </w:r>
      <w:r w:rsidR="00A92D26" w:rsidRPr="00631743">
        <w:rPr>
          <w:rFonts w:ascii="Arial" w:eastAsia="Times New Roman" w:hAnsi="Arial" w:cs="Arial"/>
          <w:sz w:val="24"/>
          <w:szCs w:val="24"/>
        </w:rPr>
        <w:t xml:space="preserve"> </w:t>
      </w:r>
      <w:r w:rsidR="00276614" w:rsidRPr="00631743">
        <w:rPr>
          <w:rFonts w:ascii="Arial" w:eastAsia="Times New Roman" w:hAnsi="Arial" w:cs="Arial"/>
          <w:sz w:val="24"/>
          <w:szCs w:val="24"/>
        </w:rPr>
        <w:t>did not deal with the matter appropriately. </w:t>
      </w:r>
      <w:r w:rsidR="00A40DC5" w:rsidRPr="00631743">
        <w:rPr>
          <w:rFonts w:ascii="Arial" w:hAnsi="Arial" w:cs="Arial"/>
          <w:color w:val="000000" w:themeColor="text1"/>
          <w:sz w:val="24"/>
          <w:szCs w:val="24"/>
        </w:rPr>
        <w:t>We are unconvinced that in approaching the matter as he did Ueitele J was wrong.</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i/>
          <w:color w:val="000000" w:themeColor="text1"/>
          <w:sz w:val="24"/>
          <w:szCs w:val="24"/>
        </w:rPr>
        <w:t>Facts and circumstances that negative misrepresentation</w:t>
      </w:r>
    </w:p>
    <w:p w:rsidR="00A40DC5" w:rsidRPr="00631743" w:rsidRDefault="00E003CA"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w:t>
      </w:r>
      <w:r w:rsidR="00D812C4" w:rsidRPr="00631743">
        <w:rPr>
          <w:rFonts w:ascii="Arial" w:hAnsi="Arial" w:cs="Arial"/>
          <w:color w:val="000000" w:themeColor="text1"/>
          <w:sz w:val="24"/>
          <w:szCs w:val="24"/>
        </w:rPr>
        <w:t>52</w:t>
      </w:r>
      <w:r w:rsidR="00744BA6" w:rsidRPr="00631743">
        <w:rPr>
          <w:rFonts w:ascii="Arial" w:hAnsi="Arial" w:cs="Arial"/>
          <w:color w:val="000000" w:themeColor="text1"/>
          <w:sz w:val="24"/>
          <w:szCs w:val="24"/>
        </w:rPr>
        <w:t>]</w:t>
      </w:r>
      <w:r w:rsidR="00744BA6" w:rsidRPr="00631743">
        <w:rPr>
          <w:rFonts w:ascii="Arial" w:hAnsi="Arial" w:cs="Arial"/>
          <w:color w:val="000000" w:themeColor="text1"/>
          <w:sz w:val="24"/>
          <w:szCs w:val="24"/>
        </w:rPr>
        <w:tab/>
      </w:r>
      <w:r w:rsidR="00135EDC" w:rsidRPr="00631743">
        <w:rPr>
          <w:rFonts w:ascii="Arial" w:hAnsi="Arial" w:cs="Arial"/>
          <w:color w:val="000000" w:themeColor="text1"/>
          <w:sz w:val="24"/>
          <w:szCs w:val="24"/>
        </w:rPr>
        <w:t>I</w:t>
      </w:r>
      <w:r w:rsidR="00A40DC5" w:rsidRPr="00631743">
        <w:rPr>
          <w:rFonts w:ascii="Arial" w:hAnsi="Arial" w:cs="Arial"/>
          <w:color w:val="000000" w:themeColor="text1"/>
          <w:sz w:val="24"/>
          <w:szCs w:val="24"/>
        </w:rPr>
        <w:t xml:space="preserve"> must state at the outset that I agree with </w:t>
      </w:r>
      <w:r w:rsidR="00DF1860" w:rsidRPr="00631743">
        <w:rPr>
          <w:rFonts w:ascii="Arial" w:hAnsi="Arial" w:cs="Arial"/>
          <w:color w:val="000000" w:themeColor="text1"/>
          <w:sz w:val="24"/>
          <w:szCs w:val="24"/>
        </w:rPr>
        <w:t>Viljoen’s</w:t>
      </w:r>
      <w:r w:rsidR="00A40DC5" w:rsidRPr="00631743">
        <w:rPr>
          <w:rFonts w:ascii="Arial" w:hAnsi="Arial" w:cs="Arial"/>
          <w:color w:val="000000" w:themeColor="text1"/>
          <w:sz w:val="24"/>
          <w:szCs w:val="24"/>
        </w:rPr>
        <w:t xml:space="preserve"> objection that since it was not raised on the papers, </w:t>
      </w:r>
      <w:r w:rsidR="00EF2531" w:rsidRPr="00631743">
        <w:rPr>
          <w:rFonts w:ascii="Arial" w:hAnsi="Arial" w:cs="Arial"/>
          <w:color w:val="000000" w:themeColor="text1"/>
          <w:sz w:val="24"/>
          <w:szCs w:val="24"/>
        </w:rPr>
        <w:t xml:space="preserve">lack of consensus </w:t>
      </w:r>
      <w:r w:rsidR="00A40DC5" w:rsidRPr="00631743">
        <w:rPr>
          <w:rFonts w:ascii="Arial" w:hAnsi="Arial" w:cs="Arial"/>
          <w:color w:val="000000" w:themeColor="text1"/>
          <w:sz w:val="24"/>
          <w:szCs w:val="24"/>
        </w:rPr>
        <w:t xml:space="preserve">is not available to </w:t>
      </w:r>
      <w:r w:rsidR="00F513ED" w:rsidRPr="00631743">
        <w:rPr>
          <w:rFonts w:ascii="Arial" w:hAnsi="Arial" w:cs="Arial"/>
          <w:color w:val="000000" w:themeColor="text1"/>
          <w:sz w:val="24"/>
          <w:szCs w:val="24"/>
        </w:rPr>
        <w:t>Denker</w:t>
      </w:r>
      <w:r w:rsidR="00A40DC5" w:rsidRPr="00631743">
        <w:rPr>
          <w:rFonts w:ascii="Arial" w:hAnsi="Arial" w:cs="Arial"/>
          <w:color w:val="000000" w:themeColor="text1"/>
          <w:sz w:val="24"/>
          <w:szCs w:val="24"/>
        </w:rPr>
        <w:t xml:space="preserve"> as a ground vitiating the share transfer (</w:t>
      </w:r>
      <w:r w:rsidR="00A40DC5" w:rsidRPr="00631743">
        <w:rPr>
          <w:rFonts w:ascii="Arial" w:hAnsi="Arial" w:cs="Arial"/>
          <w:i/>
          <w:color w:val="000000" w:themeColor="text1"/>
          <w:sz w:val="24"/>
          <w:szCs w:val="24"/>
        </w:rPr>
        <w:t>Nelumbu and Others v Hikumwah and Others</w:t>
      </w:r>
      <w:r w:rsidR="00A40DC5" w:rsidRPr="00631743">
        <w:rPr>
          <w:rFonts w:ascii="Arial" w:hAnsi="Arial" w:cs="Arial"/>
          <w:color w:val="000000" w:themeColor="text1"/>
          <w:sz w:val="24"/>
          <w:szCs w:val="24"/>
        </w:rPr>
        <w:t xml:space="preserve"> 2017 (2) NR 433 (SC) at</w:t>
      </w:r>
      <w:r w:rsidR="00744BA6" w:rsidRPr="00631743">
        <w:rPr>
          <w:rFonts w:ascii="Arial" w:hAnsi="Arial" w:cs="Arial"/>
          <w:color w:val="000000" w:themeColor="text1"/>
          <w:sz w:val="24"/>
          <w:szCs w:val="24"/>
        </w:rPr>
        <w:t xml:space="preserve"> 442A-F</w:t>
      </w:r>
      <w:r w:rsidR="00A40DC5" w:rsidRPr="00631743">
        <w:rPr>
          <w:rFonts w:ascii="Arial" w:hAnsi="Arial" w:cs="Arial"/>
          <w:color w:val="000000" w:themeColor="text1"/>
          <w:sz w:val="24"/>
          <w:szCs w:val="24"/>
        </w:rPr>
        <w:t xml:space="preserve">). </w:t>
      </w:r>
    </w:p>
    <w:p w:rsidR="00A40DC5" w:rsidRPr="00631743" w:rsidRDefault="00A40DC5"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t>[</w:t>
      </w:r>
      <w:r w:rsidR="00D812C4" w:rsidRPr="00631743">
        <w:rPr>
          <w:rFonts w:ascii="Arial" w:hAnsi="Arial" w:cs="Arial"/>
          <w:color w:val="000000" w:themeColor="text1"/>
          <w:sz w:val="24"/>
          <w:szCs w:val="24"/>
        </w:rPr>
        <w:t>53</w:t>
      </w:r>
      <w:r w:rsidR="00744BA6" w:rsidRPr="00631743">
        <w:rPr>
          <w:rFonts w:ascii="Arial" w:hAnsi="Arial" w:cs="Arial"/>
          <w:color w:val="000000" w:themeColor="text1"/>
          <w:sz w:val="24"/>
          <w:szCs w:val="24"/>
        </w:rPr>
        <w:t>]</w:t>
      </w:r>
      <w:r w:rsidR="00744BA6" w:rsidRPr="00631743">
        <w:rPr>
          <w:rFonts w:ascii="Arial" w:hAnsi="Arial" w:cs="Arial"/>
          <w:color w:val="000000" w:themeColor="text1"/>
          <w:sz w:val="24"/>
          <w:szCs w:val="24"/>
        </w:rPr>
        <w:tab/>
      </w:r>
      <w:r w:rsidR="00135EDC" w:rsidRPr="00631743">
        <w:rPr>
          <w:rFonts w:ascii="Arial" w:hAnsi="Arial" w:cs="Arial"/>
          <w:color w:val="000000" w:themeColor="text1"/>
          <w:sz w:val="24"/>
          <w:szCs w:val="24"/>
        </w:rPr>
        <w:t>As</w:t>
      </w:r>
      <w:r w:rsidR="00EF2531" w:rsidRPr="00631743">
        <w:rPr>
          <w:rFonts w:ascii="Arial" w:hAnsi="Arial" w:cs="Arial"/>
          <w:color w:val="000000" w:themeColor="text1"/>
          <w:sz w:val="24"/>
          <w:szCs w:val="24"/>
        </w:rPr>
        <w:t xml:space="preserve"> regards</w:t>
      </w:r>
      <w:r w:rsidRPr="00631743">
        <w:rPr>
          <w:rFonts w:ascii="Arial" w:hAnsi="Arial" w:cs="Arial"/>
          <w:color w:val="000000" w:themeColor="text1"/>
          <w:sz w:val="24"/>
          <w:szCs w:val="24"/>
        </w:rPr>
        <w:t xml:space="preserve"> Viljoen’s alleged misrepresentation as pleaded, it is commo</w:t>
      </w:r>
      <w:r w:rsidR="002E7F1E" w:rsidRPr="00631743">
        <w:rPr>
          <w:rFonts w:ascii="Arial" w:hAnsi="Arial" w:cs="Arial"/>
          <w:color w:val="000000" w:themeColor="text1"/>
          <w:sz w:val="24"/>
          <w:szCs w:val="24"/>
        </w:rPr>
        <w:t xml:space="preserve">n </w:t>
      </w:r>
      <w:r w:rsidRPr="00631743">
        <w:rPr>
          <w:rFonts w:ascii="Arial" w:hAnsi="Arial" w:cs="Arial"/>
          <w:color w:val="000000" w:themeColor="text1"/>
          <w:sz w:val="24"/>
          <w:szCs w:val="24"/>
        </w:rPr>
        <w:t>cause that it relates, not to fact, but to law.  There is scant Namibian authority to provide guidance if a misrepresentation of the law by one party can be prayed in aid by the other contracting party.</w:t>
      </w:r>
      <w:r w:rsidRPr="00631743">
        <w:rPr>
          <w:rStyle w:val="FootnoteReference"/>
          <w:rFonts w:ascii="Arial" w:hAnsi="Arial" w:cs="Arial"/>
          <w:color w:val="000000" w:themeColor="text1"/>
          <w:sz w:val="24"/>
          <w:szCs w:val="24"/>
        </w:rPr>
        <w:footnoteReference w:id="19"/>
      </w:r>
      <w:r w:rsidRPr="00631743">
        <w:rPr>
          <w:rFonts w:ascii="Arial" w:hAnsi="Arial" w:cs="Arial"/>
          <w:color w:val="000000" w:themeColor="text1"/>
          <w:sz w:val="24"/>
          <w:szCs w:val="24"/>
        </w:rPr>
        <w:t xml:space="preserve"> Both parties, however, proceed from what appears in my view to be the correct premise that the innocent party’s belief must be reasonable. As has famously been put in South Africa, if the party alleging a misrepresentation of the law:</w:t>
      </w:r>
    </w:p>
    <w:p w:rsidR="00A40DC5" w:rsidRPr="00631743" w:rsidRDefault="00A40DC5" w:rsidP="004D2193">
      <w:pPr>
        <w:spacing w:before="100" w:beforeAutospacing="1" w:after="100" w:afterAutospacing="1" w:line="360" w:lineRule="auto"/>
        <w:ind w:left="360"/>
        <w:jc w:val="both"/>
        <w:rPr>
          <w:rFonts w:ascii="Arial" w:hAnsi="Arial" w:cs="Arial"/>
          <w:color w:val="000000" w:themeColor="text1"/>
          <w:sz w:val="24"/>
          <w:szCs w:val="24"/>
        </w:rPr>
      </w:pPr>
      <w:r w:rsidRPr="00631743">
        <w:rPr>
          <w:rFonts w:ascii="Arial" w:hAnsi="Arial" w:cs="Arial"/>
          <w:color w:val="000000" w:themeColor="text1"/>
        </w:rPr>
        <w:t>‘is so slack that he does not in the courts’ view deserve the protection of the law, he should, as a matter of policy, not receive it’</w:t>
      </w:r>
      <w:r w:rsidRPr="00631743">
        <w:rPr>
          <w:rFonts w:ascii="Arial" w:hAnsi="Arial" w:cs="Arial"/>
          <w:color w:val="000000" w:themeColor="text1"/>
          <w:sz w:val="24"/>
          <w:szCs w:val="24"/>
        </w:rPr>
        <w:t>.</w:t>
      </w:r>
      <w:r w:rsidRPr="00631743">
        <w:rPr>
          <w:rStyle w:val="FootnoteReference"/>
          <w:rFonts w:ascii="Arial" w:hAnsi="Arial" w:cs="Arial"/>
          <w:color w:val="000000" w:themeColor="text1"/>
          <w:sz w:val="24"/>
          <w:szCs w:val="24"/>
        </w:rPr>
        <w:footnoteReference w:id="20"/>
      </w:r>
    </w:p>
    <w:p w:rsidR="00A40DC5" w:rsidRPr="00631743" w:rsidRDefault="00D812C4" w:rsidP="004012CE">
      <w:pPr>
        <w:spacing w:before="100" w:beforeAutospacing="1" w:after="100" w:afterAutospacing="1" w:line="480" w:lineRule="auto"/>
        <w:jc w:val="both"/>
        <w:rPr>
          <w:rFonts w:ascii="Arial" w:hAnsi="Arial" w:cs="Arial"/>
          <w:color w:val="000000" w:themeColor="text1"/>
          <w:sz w:val="24"/>
          <w:szCs w:val="24"/>
        </w:rPr>
      </w:pPr>
      <w:r w:rsidRPr="00631743">
        <w:rPr>
          <w:rFonts w:ascii="Arial" w:hAnsi="Arial" w:cs="Arial"/>
          <w:color w:val="000000" w:themeColor="text1"/>
          <w:sz w:val="24"/>
          <w:szCs w:val="24"/>
        </w:rPr>
        <w:lastRenderedPageBreak/>
        <w:t>[54</w:t>
      </w:r>
      <w:r w:rsidR="00744BA6" w:rsidRPr="00631743">
        <w:rPr>
          <w:rFonts w:ascii="Arial" w:hAnsi="Arial" w:cs="Arial"/>
          <w:color w:val="000000" w:themeColor="text1"/>
          <w:sz w:val="24"/>
          <w:szCs w:val="24"/>
        </w:rPr>
        <w:t>]</w:t>
      </w:r>
      <w:r w:rsidR="00744BA6" w:rsidRPr="00631743">
        <w:rPr>
          <w:rFonts w:ascii="Arial" w:hAnsi="Arial" w:cs="Arial"/>
          <w:color w:val="000000" w:themeColor="text1"/>
          <w:sz w:val="24"/>
          <w:szCs w:val="24"/>
        </w:rPr>
        <w:tab/>
      </w:r>
      <w:r w:rsidR="00135EDC" w:rsidRPr="00631743">
        <w:rPr>
          <w:rFonts w:ascii="Arial" w:hAnsi="Arial" w:cs="Arial"/>
          <w:color w:val="000000" w:themeColor="text1"/>
          <w:sz w:val="24"/>
          <w:szCs w:val="24"/>
        </w:rPr>
        <w:t>On</w:t>
      </w:r>
      <w:r w:rsidR="00A40DC5" w:rsidRPr="00631743">
        <w:rPr>
          <w:rFonts w:ascii="Arial" w:hAnsi="Arial" w:cs="Arial"/>
          <w:color w:val="000000" w:themeColor="text1"/>
          <w:sz w:val="24"/>
          <w:szCs w:val="24"/>
        </w:rPr>
        <w:t xml:space="preserve"> the papers there is no supp</w:t>
      </w:r>
      <w:r w:rsidR="00EF2531" w:rsidRPr="00631743">
        <w:rPr>
          <w:rFonts w:ascii="Arial" w:hAnsi="Arial" w:cs="Arial"/>
          <w:color w:val="000000" w:themeColor="text1"/>
          <w:sz w:val="24"/>
          <w:szCs w:val="24"/>
        </w:rPr>
        <w:t>ort for the proposition that</w:t>
      </w:r>
      <w:r w:rsidR="00A40DC5" w:rsidRPr="00631743">
        <w:rPr>
          <w:rFonts w:ascii="Arial" w:hAnsi="Arial" w:cs="Arial"/>
          <w:color w:val="000000" w:themeColor="text1"/>
          <w:sz w:val="24"/>
          <w:szCs w:val="24"/>
        </w:rPr>
        <w:t xml:space="preserve"> </w:t>
      </w:r>
      <w:r w:rsidR="00135EDC" w:rsidRPr="00631743">
        <w:rPr>
          <w:rFonts w:ascii="Arial" w:hAnsi="Arial" w:cs="Arial"/>
          <w:color w:val="000000" w:themeColor="text1"/>
          <w:sz w:val="24"/>
          <w:szCs w:val="24"/>
        </w:rPr>
        <w:t>Denker’s misapprehension</w:t>
      </w:r>
      <w:r w:rsidR="00A40DC5" w:rsidRPr="00631743">
        <w:rPr>
          <w:rFonts w:ascii="Arial" w:hAnsi="Arial" w:cs="Arial"/>
          <w:color w:val="000000" w:themeColor="text1"/>
          <w:sz w:val="24"/>
          <w:szCs w:val="24"/>
        </w:rPr>
        <w:t xml:space="preserve"> of the t</w:t>
      </w:r>
      <w:r w:rsidR="00EF2531" w:rsidRPr="00631743">
        <w:rPr>
          <w:rFonts w:ascii="Arial" w:hAnsi="Arial" w:cs="Arial"/>
          <w:color w:val="000000" w:themeColor="text1"/>
          <w:sz w:val="24"/>
          <w:szCs w:val="24"/>
        </w:rPr>
        <w:t>rue legal position, based on</w:t>
      </w:r>
      <w:r w:rsidR="00A40DC5" w:rsidRPr="00631743">
        <w:rPr>
          <w:rFonts w:ascii="Arial" w:hAnsi="Arial" w:cs="Arial"/>
          <w:color w:val="000000" w:themeColor="text1"/>
          <w:sz w:val="24"/>
          <w:szCs w:val="24"/>
        </w:rPr>
        <w:t xml:space="preserve"> Viljoen’s advice, was reasonable. As found by the High Court, it is amply demonstrated on the papers</w:t>
      </w:r>
      <w:r w:rsidR="00C43F8B" w:rsidRPr="00631743">
        <w:rPr>
          <w:rFonts w:ascii="Arial" w:hAnsi="Arial" w:cs="Arial"/>
          <w:color w:val="000000" w:themeColor="text1"/>
          <w:sz w:val="24"/>
          <w:szCs w:val="24"/>
        </w:rPr>
        <w:t xml:space="preserve"> that</w:t>
      </w:r>
      <w:r w:rsidR="00A40DC5" w:rsidRPr="00631743">
        <w:rPr>
          <w:rFonts w:ascii="Arial" w:hAnsi="Arial" w:cs="Arial"/>
          <w:color w:val="000000" w:themeColor="text1"/>
          <w:sz w:val="24"/>
          <w:szCs w:val="24"/>
        </w:rPr>
        <w:t xml:space="preserve"> it was not the first transaction in which he was involved </w:t>
      </w:r>
      <w:r w:rsidR="00C43F8B" w:rsidRPr="00631743">
        <w:rPr>
          <w:rFonts w:ascii="Arial" w:hAnsi="Arial" w:cs="Arial"/>
          <w:color w:val="000000" w:themeColor="text1"/>
          <w:sz w:val="24"/>
          <w:szCs w:val="24"/>
        </w:rPr>
        <w:t>in</w:t>
      </w:r>
      <w:r w:rsidR="00A40DC5" w:rsidRPr="00631743">
        <w:rPr>
          <w:rFonts w:ascii="Arial" w:hAnsi="Arial" w:cs="Arial"/>
          <w:color w:val="000000" w:themeColor="text1"/>
          <w:sz w:val="24"/>
          <w:szCs w:val="24"/>
        </w:rPr>
        <w:t xml:space="preserve"> the purchase of agricultural land in collaboration with foreign nationals.  He was aware that there is a law which circumscribes the ownership of land by foreign nationals. That, by itself, must have placed him on guard to seek independent legal advice which, according to him, he did not do.  There is no explanation why not, esp</w:t>
      </w:r>
      <w:r w:rsidR="00E57908" w:rsidRPr="00631743">
        <w:rPr>
          <w:rFonts w:ascii="Arial" w:hAnsi="Arial" w:cs="Arial"/>
          <w:color w:val="000000" w:themeColor="text1"/>
          <w:sz w:val="24"/>
          <w:szCs w:val="24"/>
        </w:rPr>
        <w:t>ecially if one considers that</w:t>
      </w:r>
      <w:r w:rsidR="00A40DC5" w:rsidRPr="00631743">
        <w:rPr>
          <w:rFonts w:ascii="Arial" w:hAnsi="Arial" w:cs="Arial"/>
          <w:color w:val="000000" w:themeColor="text1"/>
          <w:sz w:val="24"/>
          <w:szCs w:val="24"/>
        </w:rPr>
        <w:t xml:space="preserve"> Viljoen was pursuing a personal interest</w:t>
      </w:r>
      <w:r w:rsidR="00E57908" w:rsidRPr="00631743">
        <w:rPr>
          <w:rFonts w:ascii="Arial" w:hAnsi="Arial" w:cs="Arial"/>
          <w:color w:val="000000" w:themeColor="text1"/>
          <w:sz w:val="24"/>
          <w:szCs w:val="24"/>
        </w:rPr>
        <w:t xml:space="preserve"> which Den</w:t>
      </w:r>
      <w:r w:rsidR="00C43F8B" w:rsidRPr="00631743">
        <w:rPr>
          <w:rFonts w:ascii="Arial" w:hAnsi="Arial" w:cs="Arial"/>
          <w:color w:val="000000" w:themeColor="text1"/>
          <w:sz w:val="24"/>
          <w:szCs w:val="24"/>
        </w:rPr>
        <w:t>ker should have guarded against.</w:t>
      </w:r>
      <w:r w:rsidR="00E57908" w:rsidRPr="00631743">
        <w:rPr>
          <w:rFonts w:ascii="Arial" w:hAnsi="Arial" w:cs="Arial"/>
          <w:color w:val="000000" w:themeColor="text1"/>
          <w:sz w:val="24"/>
          <w:szCs w:val="24"/>
        </w:rPr>
        <w:t xml:space="preserve"> </w:t>
      </w:r>
      <w:r w:rsidR="00A40DC5" w:rsidRPr="00631743">
        <w:rPr>
          <w:rFonts w:ascii="Arial" w:hAnsi="Arial" w:cs="Arial"/>
          <w:color w:val="000000" w:themeColor="text1"/>
          <w:sz w:val="24"/>
          <w:szCs w:val="24"/>
        </w:rPr>
        <w:t xml:space="preserve">Denker was aware that he had deposed to </w:t>
      </w:r>
      <w:r w:rsidR="002E7F1E" w:rsidRPr="00631743">
        <w:rPr>
          <w:rFonts w:ascii="Arial" w:hAnsi="Arial" w:cs="Arial"/>
          <w:color w:val="000000" w:themeColor="text1"/>
          <w:sz w:val="24"/>
          <w:szCs w:val="24"/>
        </w:rPr>
        <w:t>an affidavit in terms of s 61(1</w:t>
      </w:r>
      <w:r w:rsidR="00A40DC5" w:rsidRPr="00631743">
        <w:rPr>
          <w:rFonts w:ascii="Arial" w:hAnsi="Arial" w:cs="Arial"/>
          <w:color w:val="000000" w:themeColor="text1"/>
          <w:sz w:val="24"/>
          <w:szCs w:val="24"/>
        </w:rPr>
        <w:t xml:space="preserve">) </w:t>
      </w:r>
      <w:r w:rsidR="00764629" w:rsidRPr="00631743">
        <w:rPr>
          <w:rFonts w:ascii="Arial" w:hAnsi="Arial" w:cs="Arial"/>
          <w:color w:val="000000" w:themeColor="text1"/>
          <w:sz w:val="24"/>
          <w:szCs w:val="24"/>
        </w:rPr>
        <w:t xml:space="preserve">of the Land Reform Act </w:t>
      </w:r>
      <w:r w:rsidR="00A40DC5" w:rsidRPr="00631743">
        <w:rPr>
          <w:rFonts w:ascii="Arial" w:hAnsi="Arial" w:cs="Arial"/>
          <w:color w:val="000000" w:themeColor="text1"/>
          <w:sz w:val="24"/>
          <w:szCs w:val="24"/>
        </w:rPr>
        <w:t>which</w:t>
      </w:r>
      <w:r w:rsidR="00E57908" w:rsidRPr="00631743">
        <w:rPr>
          <w:rFonts w:ascii="Arial" w:hAnsi="Arial" w:cs="Arial"/>
          <w:color w:val="000000" w:themeColor="text1"/>
          <w:sz w:val="24"/>
          <w:szCs w:val="24"/>
        </w:rPr>
        <w:t xml:space="preserve"> similarly</w:t>
      </w:r>
      <w:r w:rsidR="00A40DC5" w:rsidRPr="00631743">
        <w:rPr>
          <w:rFonts w:ascii="Arial" w:hAnsi="Arial" w:cs="Arial"/>
          <w:color w:val="000000" w:themeColor="text1"/>
          <w:sz w:val="24"/>
          <w:szCs w:val="24"/>
        </w:rPr>
        <w:t xml:space="preserve"> should have </w:t>
      </w:r>
      <w:r w:rsidR="00E57908" w:rsidRPr="00631743">
        <w:rPr>
          <w:rFonts w:ascii="Arial" w:hAnsi="Arial" w:cs="Arial"/>
          <w:color w:val="000000" w:themeColor="text1"/>
          <w:sz w:val="24"/>
          <w:szCs w:val="24"/>
        </w:rPr>
        <w:t>rung alarm bells and made him more cautious and, crucially</w:t>
      </w:r>
      <w:r w:rsidR="00A40DC5" w:rsidRPr="00631743">
        <w:rPr>
          <w:rFonts w:ascii="Arial" w:hAnsi="Arial" w:cs="Arial"/>
          <w:color w:val="000000" w:themeColor="text1"/>
          <w:sz w:val="24"/>
          <w:szCs w:val="24"/>
        </w:rPr>
        <w:t xml:space="preserve">, he had the benefit of previous advice that only a 51/ 49 split would do.  One would have expected him </w:t>
      </w:r>
      <w:r w:rsidR="00E57908" w:rsidRPr="00631743">
        <w:rPr>
          <w:rFonts w:ascii="Arial" w:hAnsi="Arial" w:cs="Arial"/>
          <w:color w:val="000000" w:themeColor="text1"/>
          <w:sz w:val="24"/>
          <w:szCs w:val="24"/>
        </w:rPr>
        <w:t xml:space="preserve">in those circumstances </w:t>
      </w:r>
      <w:r w:rsidR="00A40DC5" w:rsidRPr="00631743">
        <w:rPr>
          <w:rFonts w:ascii="Arial" w:hAnsi="Arial" w:cs="Arial"/>
          <w:color w:val="000000" w:themeColor="text1"/>
          <w:sz w:val="24"/>
          <w:szCs w:val="24"/>
        </w:rPr>
        <w:t>to seek independent legal advice concerning a transaction in which he was committing himself to investing in excess of N$6 million.  More so when, on his own admission, at t</w:t>
      </w:r>
      <w:r w:rsidR="00E57908" w:rsidRPr="00631743">
        <w:rPr>
          <w:rFonts w:ascii="Arial" w:hAnsi="Arial" w:cs="Arial"/>
          <w:color w:val="000000" w:themeColor="text1"/>
          <w:sz w:val="24"/>
          <w:szCs w:val="24"/>
        </w:rPr>
        <w:t>he time</w:t>
      </w:r>
      <w:r w:rsidR="00A40DC5" w:rsidRPr="00631743">
        <w:rPr>
          <w:rFonts w:ascii="Arial" w:hAnsi="Arial" w:cs="Arial"/>
          <w:color w:val="000000" w:themeColor="text1"/>
          <w:sz w:val="24"/>
          <w:szCs w:val="24"/>
        </w:rPr>
        <w:t xml:space="preserve"> Viljoen conveyed </w:t>
      </w:r>
      <w:r w:rsidR="00E57908" w:rsidRPr="00631743">
        <w:rPr>
          <w:rFonts w:ascii="Arial" w:hAnsi="Arial" w:cs="Arial"/>
          <w:color w:val="000000" w:themeColor="text1"/>
          <w:sz w:val="24"/>
          <w:szCs w:val="24"/>
        </w:rPr>
        <w:t>the new advice,</w:t>
      </w:r>
      <w:r w:rsidR="00A40DC5" w:rsidRPr="00631743">
        <w:rPr>
          <w:rFonts w:ascii="Arial" w:hAnsi="Arial" w:cs="Arial"/>
          <w:color w:val="000000" w:themeColor="text1"/>
          <w:sz w:val="24"/>
          <w:szCs w:val="24"/>
        </w:rPr>
        <w:t xml:space="preserve"> Denker had the </w:t>
      </w:r>
      <w:r w:rsidR="00E57908" w:rsidRPr="00631743">
        <w:rPr>
          <w:rFonts w:ascii="Arial" w:hAnsi="Arial" w:cs="Arial"/>
          <w:color w:val="000000" w:themeColor="text1"/>
          <w:sz w:val="24"/>
          <w:szCs w:val="24"/>
        </w:rPr>
        <w:t>benefit of</w:t>
      </w:r>
      <w:r w:rsidR="00A40DC5" w:rsidRPr="00631743">
        <w:rPr>
          <w:rFonts w:ascii="Arial" w:hAnsi="Arial" w:cs="Arial"/>
          <w:color w:val="000000" w:themeColor="text1"/>
          <w:sz w:val="24"/>
          <w:szCs w:val="24"/>
        </w:rPr>
        <w:t xml:space="preserve"> contrary advice that for such a transaction to be valid he, as a Namibian, must have the controlling interest.</w:t>
      </w:r>
    </w:p>
    <w:p w:rsidR="00E57908" w:rsidRPr="00631743" w:rsidRDefault="00A40DC5" w:rsidP="004012CE">
      <w:pPr>
        <w:pStyle w:val="hcr003a00200020numbering003a0020affidavit"/>
        <w:tabs>
          <w:tab w:val="left" w:pos="709"/>
        </w:tabs>
        <w:spacing w:before="100" w:beforeAutospacing="1" w:after="100" w:afterAutospacing="1" w:line="480" w:lineRule="auto"/>
        <w:rPr>
          <w:color w:val="000000" w:themeColor="text1"/>
        </w:rPr>
      </w:pPr>
      <w:r w:rsidRPr="00631743">
        <w:rPr>
          <w:color w:val="000000" w:themeColor="text1"/>
        </w:rPr>
        <w:t>[</w:t>
      </w:r>
      <w:r w:rsidR="00D812C4" w:rsidRPr="00631743">
        <w:rPr>
          <w:color w:val="000000" w:themeColor="text1"/>
        </w:rPr>
        <w:t>55</w:t>
      </w:r>
      <w:r w:rsidR="00744BA6" w:rsidRPr="00631743">
        <w:rPr>
          <w:color w:val="000000" w:themeColor="text1"/>
        </w:rPr>
        <w:t xml:space="preserve">] </w:t>
      </w:r>
      <w:r w:rsidR="00744BA6" w:rsidRPr="00631743">
        <w:rPr>
          <w:color w:val="000000" w:themeColor="text1"/>
        </w:rPr>
        <w:tab/>
      </w:r>
      <w:r w:rsidRPr="00631743">
        <w:rPr>
          <w:color w:val="000000" w:themeColor="text1"/>
        </w:rPr>
        <w:t>What is apparent from the pleadings, based on the common cause fa</w:t>
      </w:r>
      <w:r w:rsidR="00744BA6" w:rsidRPr="00631743">
        <w:rPr>
          <w:color w:val="000000" w:themeColor="text1"/>
        </w:rPr>
        <w:t xml:space="preserve">cts </w:t>
      </w:r>
      <w:r w:rsidR="00E57908" w:rsidRPr="00631743">
        <w:rPr>
          <w:color w:val="000000" w:themeColor="text1"/>
        </w:rPr>
        <w:t>and the version of</w:t>
      </w:r>
      <w:r w:rsidRPr="00631743">
        <w:rPr>
          <w:color w:val="000000" w:themeColor="text1"/>
        </w:rPr>
        <w:t xml:space="preserve"> Viljoen</w:t>
      </w:r>
      <w:r w:rsidR="00601FCF" w:rsidRPr="00631743">
        <w:rPr>
          <w:color w:val="000000" w:themeColor="text1"/>
        </w:rPr>
        <w:t>,</w:t>
      </w:r>
      <w:r w:rsidRPr="00631743">
        <w:rPr>
          <w:color w:val="000000" w:themeColor="text1"/>
        </w:rPr>
        <w:t xml:space="preserve"> is that the dominan</w:t>
      </w:r>
      <w:r w:rsidR="00E57908" w:rsidRPr="00631743">
        <w:rPr>
          <w:color w:val="000000" w:themeColor="text1"/>
        </w:rPr>
        <w:t>t motive on the part of both Denker and</w:t>
      </w:r>
      <w:r w:rsidRPr="00631743">
        <w:rPr>
          <w:color w:val="000000" w:themeColor="text1"/>
        </w:rPr>
        <w:t xml:space="preserve"> Viljoen was to </w:t>
      </w:r>
      <w:r w:rsidR="002E7F1E" w:rsidRPr="00631743">
        <w:rPr>
          <w:color w:val="000000" w:themeColor="text1"/>
        </w:rPr>
        <w:t>find a way around</w:t>
      </w:r>
      <w:r w:rsidRPr="00631743">
        <w:rPr>
          <w:color w:val="000000" w:themeColor="text1"/>
        </w:rPr>
        <w:t xml:space="preserve"> the </w:t>
      </w:r>
      <w:r w:rsidR="002E7F1E" w:rsidRPr="00631743">
        <w:rPr>
          <w:color w:val="000000" w:themeColor="text1"/>
        </w:rPr>
        <w:t xml:space="preserve">strictures of the </w:t>
      </w:r>
      <w:r w:rsidR="00FE1B9D" w:rsidRPr="00631743">
        <w:rPr>
          <w:color w:val="000000" w:themeColor="text1"/>
        </w:rPr>
        <w:t xml:space="preserve">Land Reform Act. </w:t>
      </w:r>
      <w:r w:rsidR="00E57908" w:rsidRPr="00631743">
        <w:rPr>
          <w:color w:val="000000" w:themeColor="text1"/>
        </w:rPr>
        <w:t>Nowhere i</w:t>
      </w:r>
      <w:r w:rsidRPr="00631743">
        <w:rPr>
          <w:color w:val="000000" w:themeColor="text1"/>
        </w:rPr>
        <w:t xml:space="preserve">n the papers is any suggestion made that the unequal 51/49 shareholding split was for a reason other than to bring the commercial transaction between the two men within the ambit of </w:t>
      </w:r>
      <w:r w:rsidR="00C43F8B" w:rsidRPr="00631743">
        <w:rPr>
          <w:color w:val="000000" w:themeColor="text1"/>
        </w:rPr>
        <w:t>s</w:t>
      </w:r>
      <w:r w:rsidR="00FE1B9D" w:rsidRPr="00631743">
        <w:rPr>
          <w:color w:val="000000" w:themeColor="text1"/>
        </w:rPr>
        <w:t xml:space="preserve"> 58(1)(</w:t>
      </w:r>
      <w:r w:rsidR="00FE1B9D" w:rsidRPr="00631743">
        <w:rPr>
          <w:i/>
          <w:color w:val="000000" w:themeColor="text1"/>
        </w:rPr>
        <w:t>a</w:t>
      </w:r>
      <w:r w:rsidR="00FE1B9D" w:rsidRPr="00631743">
        <w:rPr>
          <w:color w:val="000000" w:themeColor="text1"/>
        </w:rPr>
        <w:t>)</w:t>
      </w:r>
      <w:r w:rsidR="002E7F1E" w:rsidRPr="00631743">
        <w:rPr>
          <w:color w:val="000000" w:themeColor="text1"/>
        </w:rPr>
        <w:t>.</w:t>
      </w:r>
      <w:r w:rsidRPr="00631743">
        <w:rPr>
          <w:color w:val="000000" w:themeColor="text1"/>
        </w:rPr>
        <w:t xml:space="preserve"> In other word</w:t>
      </w:r>
      <w:r w:rsidR="002E7F1E" w:rsidRPr="00631743">
        <w:rPr>
          <w:color w:val="000000" w:themeColor="text1"/>
        </w:rPr>
        <w:t>s</w:t>
      </w:r>
      <w:r w:rsidR="00FE1B9D" w:rsidRPr="00631743">
        <w:rPr>
          <w:color w:val="000000" w:themeColor="text1"/>
        </w:rPr>
        <w:t xml:space="preserve"> it was</w:t>
      </w:r>
      <w:r w:rsidR="00C74EFB" w:rsidRPr="00631743">
        <w:rPr>
          <w:color w:val="000000" w:themeColor="text1"/>
        </w:rPr>
        <w:t>,</w:t>
      </w:r>
      <w:r w:rsidR="00FE1B9D" w:rsidRPr="00631743">
        <w:rPr>
          <w:color w:val="000000" w:themeColor="text1"/>
        </w:rPr>
        <w:t xml:space="preserve"> at its core,</w:t>
      </w:r>
      <w:r w:rsidR="00915C5B" w:rsidRPr="00631743">
        <w:rPr>
          <w:color w:val="000000" w:themeColor="text1"/>
        </w:rPr>
        <w:t xml:space="preserve"> </w:t>
      </w:r>
      <w:r w:rsidRPr="00631743">
        <w:rPr>
          <w:color w:val="000000" w:themeColor="text1"/>
        </w:rPr>
        <w:t xml:space="preserve">an artificial arrangement unrelated to the actual (equal) contributions made by them for the purchase of farm Ameib. </w:t>
      </w:r>
    </w:p>
    <w:p w:rsidR="00A40DC5" w:rsidRPr="00631743" w:rsidRDefault="00A40DC5" w:rsidP="004012CE">
      <w:pPr>
        <w:pStyle w:val="hcr003a00200020numbering003a0020affidavit"/>
        <w:tabs>
          <w:tab w:val="left" w:pos="709"/>
        </w:tabs>
        <w:spacing w:before="100" w:beforeAutospacing="1" w:after="100" w:afterAutospacing="1" w:line="480" w:lineRule="auto"/>
        <w:rPr>
          <w:color w:val="000000" w:themeColor="text1"/>
        </w:rPr>
      </w:pPr>
      <w:r w:rsidRPr="00631743">
        <w:rPr>
          <w:color w:val="000000" w:themeColor="text1"/>
        </w:rPr>
        <w:lastRenderedPageBreak/>
        <w:t>[</w:t>
      </w:r>
      <w:r w:rsidR="00D812C4" w:rsidRPr="00631743">
        <w:rPr>
          <w:color w:val="000000" w:themeColor="text1"/>
        </w:rPr>
        <w:t>56</w:t>
      </w:r>
      <w:r w:rsidR="00744BA6" w:rsidRPr="00631743">
        <w:rPr>
          <w:color w:val="000000" w:themeColor="text1"/>
        </w:rPr>
        <w:t xml:space="preserve">] </w:t>
      </w:r>
      <w:r w:rsidR="00744BA6" w:rsidRPr="00631743">
        <w:rPr>
          <w:color w:val="000000" w:themeColor="text1"/>
        </w:rPr>
        <w:tab/>
      </w:r>
      <w:r w:rsidRPr="00631743">
        <w:rPr>
          <w:color w:val="000000" w:themeColor="text1"/>
        </w:rPr>
        <w:t xml:space="preserve">It becomes obvious therefore that had it not been </w:t>
      </w:r>
      <w:r w:rsidR="0099492A" w:rsidRPr="00631743">
        <w:rPr>
          <w:color w:val="000000" w:themeColor="text1"/>
        </w:rPr>
        <w:t>f</w:t>
      </w:r>
      <w:r w:rsidRPr="00631743">
        <w:rPr>
          <w:color w:val="000000" w:themeColor="text1"/>
        </w:rPr>
        <w:t>or the limitation imposed by s 58(1)(</w:t>
      </w:r>
      <w:r w:rsidRPr="00631743">
        <w:rPr>
          <w:i/>
          <w:color w:val="000000" w:themeColor="text1"/>
        </w:rPr>
        <w:t>a</w:t>
      </w:r>
      <w:r w:rsidRPr="00631743">
        <w:rPr>
          <w:color w:val="000000" w:themeColor="text1"/>
        </w:rPr>
        <w:t>) on Viljoen, a 50/50 split is what the parties intended. The High Court came to that conclusion, and on the evidential material available to it</w:t>
      </w:r>
      <w:r w:rsidR="00557340" w:rsidRPr="00631743">
        <w:rPr>
          <w:color w:val="000000" w:themeColor="text1"/>
        </w:rPr>
        <w:t>, it is</w:t>
      </w:r>
      <w:r w:rsidRPr="00631743">
        <w:rPr>
          <w:color w:val="000000" w:themeColor="text1"/>
        </w:rPr>
        <w:t xml:space="preserve"> a conclusion which is not perverse. The High Court correctly concluded on </w:t>
      </w:r>
      <w:r w:rsidRPr="00631743">
        <w:rPr>
          <w:i/>
          <w:color w:val="000000" w:themeColor="text1"/>
        </w:rPr>
        <w:t>Plascon-Evans</w:t>
      </w:r>
      <w:r w:rsidRPr="00631743">
        <w:rPr>
          <w:color w:val="000000" w:themeColor="text1"/>
        </w:rPr>
        <w:t xml:space="preserve"> that it was their intention from the start that they would jointly and in equal shares acquire farm Ameib through a nominee. The eventual re-ordering of the ratio of shareholding from 49/51 to 50/50 must be viewed in that light.  Having thus found, </w:t>
      </w:r>
      <w:r w:rsidR="00557340" w:rsidRPr="00631743">
        <w:rPr>
          <w:color w:val="000000" w:themeColor="text1"/>
        </w:rPr>
        <w:t xml:space="preserve">the High Court </w:t>
      </w:r>
      <w:r w:rsidRPr="00631743">
        <w:rPr>
          <w:color w:val="000000" w:themeColor="text1"/>
        </w:rPr>
        <w:t>went on to say that the justice of the case did not ju</w:t>
      </w:r>
      <w:r w:rsidR="00557340" w:rsidRPr="00631743">
        <w:rPr>
          <w:color w:val="000000" w:themeColor="text1"/>
        </w:rPr>
        <w:t>stify it coming to</w:t>
      </w:r>
      <w:r w:rsidRPr="00631743">
        <w:rPr>
          <w:color w:val="000000" w:themeColor="text1"/>
        </w:rPr>
        <w:t xml:space="preserve"> Denker’s assistance under s 122(1) of the Companies Act.</w:t>
      </w:r>
    </w:p>
    <w:p w:rsidR="00A40DC5" w:rsidRPr="00631743" w:rsidRDefault="00D812C4" w:rsidP="004012CE">
      <w:pPr>
        <w:pStyle w:val="hcr003a00200020numbering003a0020affidavit"/>
        <w:tabs>
          <w:tab w:val="left" w:pos="709"/>
        </w:tabs>
        <w:spacing w:before="100" w:beforeAutospacing="1" w:after="100" w:afterAutospacing="1" w:line="480" w:lineRule="auto"/>
        <w:rPr>
          <w:color w:val="000000" w:themeColor="text1"/>
        </w:rPr>
      </w:pPr>
      <w:r w:rsidRPr="00631743">
        <w:rPr>
          <w:color w:val="000000" w:themeColor="text1"/>
        </w:rPr>
        <w:t>[57</w:t>
      </w:r>
      <w:r w:rsidR="00744BA6" w:rsidRPr="00631743">
        <w:rPr>
          <w:color w:val="000000" w:themeColor="text1"/>
        </w:rPr>
        <w:t xml:space="preserve">] </w:t>
      </w:r>
      <w:r w:rsidR="00744BA6" w:rsidRPr="00631743">
        <w:rPr>
          <w:color w:val="000000" w:themeColor="text1"/>
        </w:rPr>
        <w:tab/>
      </w:r>
      <w:r w:rsidR="00A40DC5" w:rsidRPr="00631743">
        <w:rPr>
          <w:color w:val="000000" w:themeColor="text1"/>
        </w:rPr>
        <w:t>It is apparent from the papers that if, from the start, the l</w:t>
      </w:r>
      <w:r w:rsidR="00557340" w:rsidRPr="00631743">
        <w:rPr>
          <w:color w:val="000000" w:themeColor="text1"/>
        </w:rPr>
        <w:t xml:space="preserve">aw permitted a 50/50 split, </w:t>
      </w:r>
      <w:r w:rsidR="00A40DC5" w:rsidRPr="00631743">
        <w:rPr>
          <w:color w:val="000000" w:themeColor="text1"/>
        </w:rPr>
        <w:t>Denker would quite happily have gone along with such a shareholding ratio. In other words, he does not lay claim to</w:t>
      </w:r>
      <w:r w:rsidR="00557340" w:rsidRPr="00631743">
        <w:rPr>
          <w:color w:val="000000" w:themeColor="text1"/>
        </w:rPr>
        <w:t xml:space="preserve"> the 1% share surrendered to</w:t>
      </w:r>
      <w:r w:rsidR="00A40DC5" w:rsidRPr="00631743">
        <w:rPr>
          <w:color w:val="000000" w:themeColor="text1"/>
        </w:rPr>
        <w:t xml:space="preserve"> Viljoen on the strength of his own contribution value </w:t>
      </w:r>
      <w:r w:rsidR="00FE1B9D" w:rsidRPr="00631743">
        <w:rPr>
          <w:color w:val="000000" w:themeColor="text1"/>
        </w:rPr>
        <w:t xml:space="preserve">being </w:t>
      </w:r>
      <w:r w:rsidR="00A40DC5" w:rsidRPr="00631743">
        <w:rPr>
          <w:color w:val="000000" w:themeColor="text1"/>
        </w:rPr>
        <w:t>hig</w:t>
      </w:r>
      <w:r w:rsidR="00557340" w:rsidRPr="00631743">
        <w:rPr>
          <w:color w:val="000000" w:themeColor="text1"/>
        </w:rPr>
        <w:t>her than that contributed by</w:t>
      </w:r>
      <w:r w:rsidR="00A40DC5" w:rsidRPr="00631743">
        <w:rPr>
          <w:color w:val="000000" w:themeColor="text1"/>
        </w:rPr>
        <w:t xml:space="preserve"> Viljoen for the acquisition by the company of farm Ameib. What is even more telling, and </w:t>
      </w:r>
      <w:r w:rsidR="00557340" w:rsidRPr="00631743">
        <w:rPr>
          <w:color w:val="000000" w:themeColor="text1"/>
        </w:rPr>
        <w:t xml:space="preserve">supports </w:t>
      </w:r>
      <w:r w:rsidR="00A40DC5" w:rsidRPr="00631743">
        <w:rPr>
          <w:color w:val="000000" w:themeColor="text1"/>
        </w:rPr>
        <w:t>Viljoen’s version, is the undisputed fact that the two men accepted (and contributed) equal</w:t>
      </w:r>
      <w:r w:rsidR="00F513ED" w:rsidRPr="00631743">
        <w:rPr>
          <w:color w:val="000000" w:themeColor="text1"/>
        </w:rPr>
        <w:t>ly</w:t>
      </w:r>
      <w:r w:rsidR="00A40DC5" w:rsidRPr="00631743">
        <w:rPr>
          <w:color w:val="000000" w:themeColor="text1"/>
        </w:rPr>
        <w:t xml:space="preserve"> fo</w:t>
      </w:r>
      <w:r w:rsidR="00F513ED" w:rsidRPr="00631743">
        <w:rPr>
          <w:color w:val="000000" w:themeColor="text1"/>
        </w:rPr>
        <w:t>r the purchase price of farm Ameib</w:t>
      </w:r>
      <w:r w:rsidR="00A40DC5" w:rsidRPr="00631743">
        <w:rPr>
          <w:color w:val="000000" w:themeColor="text1"/>
        </w:rPr>
        <w:t xml:space="preserve">. The High Court therefore did not misdirect itself in concluding that </w:t>
      </w:r>
      <w:r w:rsidR="00F513ED" w:rsidRPr="00631743">
        <w:rPr>
          <w:color w:val="000000" w:themeColor="text1"/>
        </w:rPr>
        <w:t xml:space="preserve">Denker </w:t>
      </w:r>
      <w:r w:rsidR="00A40DC5" w:rsidRPr="00631743">
        <w:rPr>
          <w:color w:val="000000" w:themeColor="text1"/>
        </w:rPr>
        <w:t>failed to establish misrepresentation.</w:t>
      </w:r>
    </w:p>
    <w:p w:rsidR="00A40DC5" w:rsidRPr="00631743" w:rsidRDefault="00E003CA" w:rsidP="004012CE">
      <w:pPr>
        <w:spacing w:before="100" w:beforeAutospacing="1" w:after="100" w:afterAutospacing="1" w:line="480" w:lineRule="auto"/>
        <w:jc w:val="both"/>
        <w:rPr>
          <w:rFonts w:ascii="Arial" w:eastAsia="Times New Roman" w:hAnsi="Arial" w:cs="Arial"/>
          <w:sz w:val="24"/>
          <w:szCs w:val="24"/>
        </w:rPr>
      </w:pPr>
      <w:r w:rsidRPr="00631743">
        <w:rPr>
          <w:rFonts w:ascii="Arial" w:hAnsi="Arial" w:cs="Arial"/>
          <w:sz w:val="24"/>
          <w:szCs w:val="24"/>
        </w:rPr>
        <w:t>[5</w:t>
      </w:r>
      <w:r w:rsidR="00D812C4" w:rsidRPr="00631743">
        <w:rPr>
          <w:rFonts w:ascii="Arial" w:hAnsi="Arial" w:cs="Arial"/>
          <w:sz w:val="24"/>
          <w:szCs w:val="24"/>
        </w:rPr>
        <w:t>8</w:t>
      </w:r>
      <w:r w:rsidR="00135EDC" w:rsidRPr="00631743">
        <w:rPr>
          <w:rFonts w:ascii="Arial" w:hAnsi="Arial" w:cs="Arial"/>
          <w:sz w:val="24"/>
          <w:szCs w:val="24"/>
        </w:rPr>
        <w:t>]</w:t>
      </w:r>
      <w:r w:rsidR="00744BA6" w:rsidRPr="00631743">
        <w:rPr>
          <w:rFonts w:ascii="Arial" w:hAnsi="Arial" w:cs="Arial"/>
          <w:sz w:val="24"/>
          <w:szCs w:val="24"/>
        </w:rPr>
        <w:tab/>
      </w:r>
      <w:r w:rsidR="00135EDC" w:rsidRPr="00631743">
        <w:rPr>
          <w:rFonts w:ascii="Arial" w:hAnsi="Arial" w:cs="Arial"/>
          <w:sz w:val="24"/>
          <w:szCs w:val="24"/>
        </w:rPr>
        <w:t>It</w:t>
      </w:r>
      <w:r w:rsidR="00A40DC5" w:rsidRPr="00631743">
        <w:rPr>
          <w:rFonts w:ascii="Arial" w:hAnsi="Arial" w:cs="Arial"/>
          <w:sz w:val="24"/>
          <w:szCs w:val="24"/>
        </w:rPr>
        <w:t xml:space="preserve"> </w:t>
      </w:r>
      <w:r w:rsidR="00FE1B9D" w:rsidRPr="00631743">
        <w:rPr>
          <w:rFonts w:ascii="Arial" w:hAnsi="Arial" w:cs="Arial"/>
          <w:sz w:val="24"/>
          <w:szCs w:val="24"/>
        </w:rPr>
        <w:t>was</w:t>
      </w:r>
      <w:r w:rsidR="00A40DC5" w:rsidRPr="00631743">
        <w:rPr>
          <w:rFonts w:ascii="Arial" w:hAnsi="Arial" w:cs="Arial"/>
          <w:sz w:val="24"/>
          <w:szCs w:val="24"/>
        </w:rPr>
        <w:t xml:space="preserve"> suggested</w:t>
      </w:r>
      <w:r w:rsidR="00744BA6" w:rsidRPr="00631743">
        <w:rPr>
          <w:rFonts w:ascii="Arial" w:hAnsi="Arial" w:cs="Arial"/>
          <w:sz w:val="24"/>
          <w:szCs w:val="24"/>
        </w:rPr>
        <w:t xml:space="preserve"> in oral argument</w:t>
      </w:r>
      <w:r w:rsidR="00A40DC5" w:rsidRPr="00631743">
        <w:rPr>
          <w:rFonts w:ascii="Arial" w:hAnsi="Arial" w:cs="Arial"/>
          <w:sz w:val="24"/>
          <w:szCs w:val="24"/>
        </w:rPr>
        <w:t xml:space="preserve"> </w:t>
      </w:r>
      <w:r w:rsidR="00E57908" w:rsidRPr="00631743">
        <w:rPr>
          <w:rFonts w:ascii="Arial" w:hAnsi="Arial" w:cs="Arial"/>
          <w:sz w:val="24"/>
          <w:szCs w:val="24"/>
        </w:rPr>
        <w:t xml:space="preserve">on behalf of Denker </w:t>
      </w:r>
      <w:r w:rsidR="00A40DC5" w:rsidRPr="00631743">
        <w:rPr>
          <w:rFonts w:ascii="Arial" w:hAnsi="Arial" w:cs="Arial"/>
          <w:sz w:val="24"/>
          <w:szCs w:val="24"/>
        </w:rPr>
        <w:t>that instead of dealing with the misrepresentation which induced the transfer of Denker’s 1% share, the court below concerned itself with the original agreement in terms whereof the part</w:t>
      </w:r>
      <w:r w:rsidR="00C43F8B" w:rsidRPr="00631743">
        <w:rPr>
          <w:rFonts w:ascii="Arial" w:hAnsi="Arial" w:cs="Arial"/>
          <w:sz w:val="24"/>
          <w:szCs w:val="24"/>
        </w:rPr>
        <w:t>ies had agreed to a 50/50 split.</w:t>
      </w:r>
      <w:r w:rsidR="00A40DC5" w:rsidRPr="00631743">
        <w:rPr>
          <w:rFonts w:ascii="Arial" w:hAnsi="Arial" w:cs="Arial"/>
          <w:sz w:val="24"/>
          <w:szCs w:val="24"/>
        </w:rPr>
        <w:t xml:space="preserve"> </w:t>
      </w:r>
      <w:r w:rsidR="00A40DC5" w:rsidRPr="00631743">
        <w:rPr>
          <w:rFonts w:ascii="Arial" w:eastAsia="Times New Roman" w:hAnsi="Arial" w:cs="Arial"/>
          <w:sz w:val="24"/>
          <w:szCs w:val="24"/>
        </w:rPr>
        <w:t xml:space="preserve">The distinction is artificial and does not produce a different legal outcome. As I understand the position, the court declined to upset the agreement to transfer the 1% from Denker to Viljoen because it accorded with what was the original intent of the parties which was altered to </w:t>
      </w:r>
      <w:r w:rsidR="0099492A" w:rsidRPr="00631743">
        <w:rPr>
          <w:rFonts w:ascii="Arial" w:eastAsia="Times New Roman" w:hAnsi="Arial" w:cs="Arial"/>
          <w:sz w:val="24"/>
          <w:szCs w:val="24"/>
        </w:rPr>
        <w:t>fall within</w:t>
      </w:r>
      <w:r w:rsidR="00A40DC5" w:rsidRPr="00631743">
        <w:rPr>
          <w:rFonts w:ascii="Arial" w:eastAsia="Times New Roman" w:hAnsi="Arial" w:cs="Arial"/>
          <w:sz w:val="24"/>
          <w:szCs w:val="24"/>
        </w:rPr>
        <w:t xml:space="preserve"> s 58</w:t>
      </w:r>
      <w:r w:rsidR="0099492A" w:rsidRPr="00631743">
        <w:rPr>
          <w:rFonts w:ascii="Arial" w:eastAsia="Times New Roman" w:hAnsi="Arial" w:cs="Arial"/>
          <w:sz w:val="24"/>
          <w:szCs w:val="24"/>
        </w:rPr>
        <w:t>(1)(</w:t>
      </w:r>
      <w:r w:rsidR="0099492A" w:rsidRPr="00631743">
        <w:rPr>
          <w:rFonts w:ascii="Arial" w:eastAsia="Times New Roman" w:hAnsi="Arial" w:cs="Arial"/>
          <w:i/>
          <w:sz w:val="24"/>
          <w:szCs w:val="24"/>
        </w:rPr>
        <w:t>a</w:t>
      </w:r>
      <w:r w:rsidR="0099492A" w:rsidRPr="00631743">
        <w:rPr>
          <w:rFonts w:ascii="Arial" w:eastAsia="Times New Roman" w:hAnsi="Arial" w:cs="Arial"/>
          <w:sz w:val="24"/>
          <w:szCs w:val="24"/>
        </w:rPr>
        <w:t>)</w:t>
      </w:r>
      <w:r w:rsidR="00A40DC5" w:rsidRPr="00631743">
        <w:rPr>
          <w:rFonts w:ascii="Arial" w:eastAsia="Times New Roman" w:hAnsi="Arial" w:cs="Arial"/>
          <w:sz w:val="24"/>
          <w:szCs w:val="24"/>
        </w:rPr>
        <w:t xml:space="preserve"> of the Land Reform Act. </w:t>
      </w:r>
    </w:p>
    <w:p w:rsidR="0012095C" w:rsidRPr="00631743" w:rsidRDefault="00D812C4" w:rsidP="00C43F8B">
      <w:pPr>
        <w:spacing w:line="480" w:lineRule="auto"/>
        <w:jc w:val="both"/>
        <w:rPr>
          <w:rFonts w:ascii="Arial" w:eastAsia="Times New Roman" w:hAnsi="Arial" w:cs="Arial"/>
          <w:sz w:val="24"/>
          <w:szCs w:val="24"/>
        </w:rPr>
      </w:pPr>
      <w:r w:rsidRPr="00631743">
        <w:rPr>
          <w:rFonts w:ascii="Arial" w:eastAsia="Times New Roman" w:hAnsi="Arial" w:cs="Arial"/>
          <w:sz w:val="24"/>
          <w:szCs w:val="24"/>
        </w:rPr>
        <w:lastRenderedPageBreak/>
        <w:t>[59</w:t>
      </w:r>
      <w:r w:rsidR="00135EDC" w:rsidRPr="00631743">
        <w:rPr>
          <w:rFonts w:ascii="Arial" w:eastAsia="Times New Roman" w:hAnsi="Arial" w:cs="Arial"/>
          <w:sz w:val="24"/>
          <w:szCs w:val="24"/>
        </w:rPr>
        <w:t>]</w:t>
      </w:r>
      <w:r w:rsidR="00C43F8B" w:rsidRPr="00631743">
        <w:rPr>
          <w:rFonts w:ascii="Arial" w:eastAsia="Times New Roman" w:hAnsi="Arial" w:cs="Arial"/>
          <w:sz w:val="24"/>
          <w:szCs w:val="24"/>
        </w:rPr>
        <w:tab/>
      </w:r>
      <w:r w:rsidR="0012095C" w:rsidRPr="00631743">
        <w:rPr>
          <w:rFonts w:ascii="Arial" w:eastAsia="Times New Roman" w:hAnsi="Arial" w:cs="Arial"/>
          <w:color w:val="000000"/>
          <w:sz w:val="24"/>
          <w:szCs w:val="24"/>
        </w:rPr>
        <w:t xml:space="preserve">What makes the allegation of misrepresentation inducing prejudicial action on Denker's part so improbable is the ease with which it could have been exposed as wrong by Denker who labored under no apparent or demonstrable handicap to source professional advice to protect his interests. </w:t>
      </w:r>
      <w:r w:rsidR="0012095C" w:rsidRPr="00631743">
        <w:rPr>
          <w:rFonts w:ascii="Arial" w:eastAsia="Times New Roman" w:hAnsi="Arial" w:cs="Arial"/>
          <w:sz w:val="24"/>
          <w:szCs w:val="24"/>
        </w:rPr>
        <w:t>The advice purportedly relied on by Denker was not colorless disinterested advice on Viljoen’s part</w:t>
      </w:r>
      <w:r w:rsidR="00C43F8B" w:rsidRPr="00631743">
        <w:rPr>
          <w:rFonts w:ascii="Arial" w:eastAsia="Times New Roman" w:hAnsi="Arial" w:cs="Arial"/>
          <w:color w:val="FF0000"/>
          <w:sz w:val="24"/>
          <w:szCs w:val="24"/>
        </w:rPr>
        <w:t xml:space="preserve">. </w:t>
      </w:r>
      <w:r w:rsidR="00674E4B" w:rsidRPr="00631743">
        <w:rPr>
          <w:rFonts w:ascii="Arial" w:eastAsia="Times New Roman" w:hAnsi="Arial" w:cs="Arial"/>
          <w:color w:val="000000"/>
          <w:sz w:val="24"/>
          <w:szCs w:val="24"/>
        </w:rPr>
        <w:t xml:space="preserve">It was intended to serve </w:t>
      </w:r>
      <w:r w:rsidR="00F513ED" w:rsidRPr="00631743">
        <w:rPr>
          <w:rFonts w:ascii="Arial" w:eastAsia="Times New Roman" w:hAnsi="Arial" w:cs="Arial"/>
          <w:color w:val="000000"/>
          <w:sz w:val="24"/>
          <w:szCs w:val="24"/>
        </w:rPr>
        <w:t>a selfish commercial interest.</w:t>
      </w:r>
      <w:r w:rsidR="00674E4B" w:rsidRPr="00631743">
        <w:rPr>
          <w:rFonts w:ascii="Arial" w:eastAsia="Times New Roman" w:hAnsi="Arial" w:cs="Arial"/>
          <w:color w:val="000000"/>
          <w:sz w:val="24"/>
          <w:szCs w:val="24"/>
        </w:rPr>
        <w:t xml:space="preserve"> This consideration should have made Denker approach it with circumspection</w:t>
      </w:r>
      <w:r w:rsidR="0012095C" w:rsidRPr="00631743">
        <w:rPr>
          <w:rFonts w:ascii="Arial" w:eastAsia="Times New Roman" w:hAnsi="Arial" w:cs="Arial"/>
          <w:color w:val="000000"/>
          <w:sz w:val="24"/>
          <w:szCs w:val="24"/>
        </w:rPr>
        <w:t xml:space="preserve">. The suggestion that </w:t>
      </w:r>
      <w:r w:rsidR="00674E4B" w:rsidRPr="00631743">
        <w:rPr>
          <w:rFonts w:ascii="Arial" w:eastAsia="Times New Roman" w:hAnsi="Arial" w:cs="Arial"/>
          <w:color w:val="000000"/>
          <w:sz w:val="24"/>
          <w:szCs w:val="24"/>
        </w:rPr>
        <w:t>Denker</w:t>
      </w:r>
      <w:r w:rsidR="0012095C" w:rsidRPr="00631743">
        <w:rPr>
          <w:rFonts w:ascii="Arial" w:eastAsia="Times New Roman" w:hAnsi="Arial" w:cs="Arial"/>
          <w:color w:val="000000"/>
          <w:sz w:val="24"/>
          <w:szCs w:val="24"/>
        </w:rPr>
        <w:t xml:space="preserve"> simply accepted Viljoen's advice without more is a proposition which, if accepted by the courts, is potentially a ready-made toolkit for every person who wishes to extricate themselves from inconvenient contracts. Therefore, for reasons of</w:t>
      </w:r>
      <w:r w:rsidR="00F513ED" w:rsidRPr="00631743">
        <w:rPr>
          <w:rFonts w:ascii="Arial" w:eastAsia="Times New Roman" w:hAnsi="Arial" w:cs="Arial"/>
          <w:color w:val="000000"/>
          <w:sz w:val="24"/>
          <w:szCs w:val="24"/>
        </w:rPr>
        <w:t xml:space="preserve"> legal </w:t>
      </w:r>
      <w:r w:rsidR="0012095C" w:rsidRPr="00631743">
        <w:rPr>
          <w:rFonts w:ascii="Arial" w:eastAsia="Times New Roman" w:hAnsi="Arial" w:cs="Arial"/>
          <w:color w:val="000000"/>
          <w:sz w:val="24"/>
          <w:szCs w:val="24"/>
        </w:rPr>
        <w:t xml:space="preserve"> policy</w:t>
      </w:r>
      <w:r w:rsidR="00674E4B" w:rsidRPr="00631743">
        <w:rPr>
          <w:rFonts w:ascii="Arial" w:eastAsia="Times New Roman" w:hAnsi="Arial" w:cs="Arial"/>
          <w:color w:val="000000"/>
          <w:sz w:val="24"/>
          <w:szCs w:val="24"/>
        </w:rPr>
        <w:t xml:space="preserve"> too,</w:t>
      </w:r>
      <w:r w:rsidR="0012095C" w:rsidRPr="00631743">
        <w:rPr>
          <w:rFonts w:ascii="Arial" w:eastAsia="Times New Roman" w:hAnsi="Arial" w:cs="Arial"/>
          <w:color w:val="000000"/>
          <w:sz w:val="24"/>
          <w:szCs w:val="24"/>
        </w:rPr>
        <w:t xml:space="preserve"> his reliance on misrepresentation of law must fail. </w:t>
      </w:r>
    </w:p>
    <w:p w:rsidR="007F0282" w:rsidRPr="00631743" w:rsidRDefault="00F513ED" w:rsidP="004012CE">
      <w:pPr>
        <w:pStyle w:val="hcr003a00200020numbering003a0020affidavit"/>
        <w:spacing w:before="100" w:beforeAutospacing="1" w:after="100" w:afterAutospacing="1" w:line="480" w:lineRule="auto"/>
      </w:pPr>
      <w:r w:rsidRPr="00631743">
        <w:rPr>
          <w:i/>
        </w:rPr>
        <w:t>May a T</w:t>
      </w:r>
      <w:r w:rsidR="00A40DC5" w:rsidRPr="00631743">
        <w:rPr>
          <w:i/>
        </w:rPr>
        <w:t>rust own shares</w:t>
      </w:r>
      <w:r w:rsidR="00A40DC5" w:rsidRPr="00631743">
        <w:t>?</w:t>
      </w:r>
    </w:p>
    <w:p w:rsidR="00A40DC5" w:rsidRPr="00631743" w:rsidRDefault="00E003CA" w:rsidP="004012CE">
      <w:pPr>
        <w:pStyle w:val="hcr003a00200020numbering003a0020affidavit"/>
        <w:spacing w:before="100" w:beforeAutospacing="1" w:after="100" w:afterAutospacing="1" w:line="480" w:lineRule="auto"/>
      </w:pPr>
      <w:r w:rsidRPr="00631743">
        <w:t>[</w:t>
      </w:r>
      <w:r w:rsidR="00D812C4" w:rsidRPr="00631743">
        <w:t>60</w:t>
      </w:r>
      <w:r w:rsidR="00A40DC5" w:rsidRPr="00631743">
        <w:t xml:space="preserve">] </w:t>
      </w:r>
      <w:r w:rsidR="000A2EA1" w:rsidRPr="00631743">
        <w:tab/>
      </w:r>
      <w:r w:rsidR="00A40DC5" w:rsidRPr="00631743">
        <w:t xml:space="preserve">Having found that (a) </w:t>
      </w:r>
      <w:r w:rsidR="00F513ED" w:rsidRPr="00631743">
        <w:t>Denker</w:t>
      </w:r>
      <w:r w:rsidR="00A40DC5" w:rsidRPr="00631743">
        <w:t xml:space="preserve"> failed to establish a misrepresentation, (b) that the invalid instruments o</w:t>
      </w:r>
      <w:r w:rsidR="002C4FF1" w:rsidRPr="00631743">
        <w:t>f</w:t>
      </w:r>
      <w:r w:rsidR="00A40DC5" w:rsidRPr="00631743">
        <w:t xml:space="preserve"> transfer di</w:t>
      </w:r>
      <w:r w:rsidR="00C74EFB" w:rsidRPr="00631743">
        <w:t>d not render the share transfer</w:t>
      </w:r>
      <w:r w:rsidR="00A40DC5" w:rsidRPr="00631743">
        <w:t xml:space="preserve"> a nullity, and that (c) in any event, </w:t>
      </w:r>
      <w:r w:rsidR="00FE1B9D" w:rsidRPr="00631743">
        <w:t xml:space="preserve">Denker’s </w:t>
      </w:r>
      <w:r w:rsidR="00A40DC5" w:rsidRPr="00631743">
        <w:t>c</w:t>
      </w:r>
      <w:r w:rsidR="00C74EFB" w:rsidRPr="00631743">
        <w:t>omplicity in the share transfer</w:t>
      </w:r>
      <w:r w:rsidR="00A40DC5" w:rsidRPr="00631743">
        <w:t xml:space="preserve"> made it inequitable for the granting of the relief in terms of s 122, </w:t>
      </w:r>
      <w:r w:rsidR="000A2EA1" w:rsidRPr="00631743">
        <w:t>Uietele</w:t>
      </w:r>
      <w:r w:rsidR="00A40DC5" w:rsidRPr="00631743">
        <w:t xml:space="preserve"> J took the v</w:t>
      </w:r>
      <w:r w:rsidR="003B4448" w:rsidRPr="00631743">
        <w:t>iew that it was unnecessary</w:t>
      </w:r>
      <w:r w:rsidR="0026638A" w:rsidRPr="00631743">
        <w:t xml:space="preserve"> to decide if a t</w:t>
      </w:r>
      <w:r w:rsidR="00A40DC5" w:rsidRPr="00631743">
        <w:t xml:space="preserve">rust could be the holder of shares in a company. </w:t>
      </w:r>
    </w:p>
    <w:p w:rsidR="00A40DC5" w:rsidRPr="00631743" w:rsidRDefault="00E003CA" w:rsidP="004012CE">
      <w:pPr>
        <w:pStyle w:val="hcr003a00200020numbering003a0020affidavit"/>
        <w:spacing w:before="100" w:beforeAutospacing="1" w:after="100" w:afterAutospacing="1" w:line="480" w:lineRule="auto"/>
      </w:pPr>
      <w:r w:rsidRPr="00631743">
        <w:t>[</w:t>
      </w:r>
      <w:r w:rsidR="00D812C4" w:rsidRPr="00631743">
        <w:t>61</w:t>
      </w:r>
      <w:r w:rsidR="000A2EA1" w:rsidRPr="00631743">
        <w:t>]</w:t>
      </w:r>
      <w:r w:rsidR="000A2EA1" w:rsidRPr="00631743">
        <w:tab/>
      </w:r>
      <w:r w:rsidR="00FE1B9D" w:rsidRPr="00631743">
        <w:t>Denker</w:t>
      </w:r>
      <w:r w:rsidR="00A40DC5" w:rsidRPr="00631743">
        <w:t xml:space="preserve"> relies on s 111 of the Companies Act and the silence of the </w:t>
      </w:r>
      <w:r w:rsidR="00FE1B9D" w:rsidRPr="00631743">
        <w:t xml:space="preserve">company’s </w:t>
      </w:r>
      <w:r w:rsidR="00A40DC5" w:rsidRPr="00631743">
        <w:t>articles of association o</w:t>
      </w:r>
      <w:r w:rsidR="0026638A" w:rsidRPr="00631743">
        <w:t>n the ownership of shares by a t</w:t>
      </w:r>
      <w:r w:rsidR="00A40DC5" w:rsidRPr="00631743">
        <w:t>rust</w:t>
      </w:r>
      <w:r w:rsidR="003B4448" w:rsidRPr="00631743">
        <w:t>,</w:t>
      </w:r>
      <w:r w:rsidR="00A40DC5" w:rsidRPr="00631743">
        <w:t xml:space="preserve"> </w:t>
      </w:r>
      <w:r w:rsidR="002C4FF1" w:rsidRPr="00631743">
        <w:t>f</w:t>
      </w:r>
      <w:r w:rsidR="00A40DC5" w:rsidRPr="00631743">
        <w:t>or th</w:t>
      </w:r>
      <w:r w:rsidR="007F0282" w:rsidRPr="00631743">
        <w:t xml:space="preserve">e proposition that the Michael </w:t>
      </w:r>
      <w:r w:rsidR="00A40DC5" w:rsidRPr="00631743">
        <w:t>Viljoen Trust cannot in law hold shares in the company. I will assume for the purposes of the ap</w:t>
      </w:r>
      <w:r w:rsidR="00E9566C">
        <w:t>peal (without deciding) that a t</w:t>
      </w:r>
      <w:r w:rsidR="00A40DC5" w:rsidRPr="00631743">
        <w:t xml:space="preserve">rust is incapable of </w:t>
      </w:r>
      <w:r w:rsidR="005437BD">
        <w:t>holding</w:t>
      </w:r>
      <w:r w:rsidR="00A40DC5" w:rsidRPr="00631743">
        <w:t xml:space="preserve"> shares</w:t>
      </w:r>
      <w:r w:rsidR="005437BD">
        <w:t>, even as nominee,</w:t>
      </w:r>
      <w:r w:rsidR="00A40DC5" w:rsidRPr="00631743">
        <w:t xml:space="preserve"> in a company. That said, as a court of appeal we are bereft of the views of the High Court which</w:t>
      </w:r>
      <w:r w:rsidR="00FE1B9D" w:rsidRPr="00631743">
        <w:t>,</w:t>
      </w:r>
      <w:r w:rsidR="00A40DC5" w:rsidRPr="00631743">
        <w:t xml:space="preserve"> in the exercise of its discretion</w:t>
      </w:r>
      <w:r w:rsidR="00FE1B9D" w:rsidRPr="00631743">
        <w:t>,</w:t>
      </w:r>
      <w:r w:rsidR="00A40DC5" w:rsidRPr="00631743">
        <w:t xml:space="preserve"> chose not to deal with the matter. </w:t>
      </w:r>
    </w:p>
    <w:p w:rsidR="00A40DC5" w:rsidRPr="00631743" w:rsidRDefault="00E003CA" w:rsidP="004012CE">
      <w:pPr>
        <w:pStyle w:val="hcr003a00200020numbering003a0020affidavit"/>
        <w:spacing w:before="100" w:beforeAutospacing="1" w:after="100" w:afterAutospacing="1" w:line="480" w:lineRule="auto"/>
      </w:pPr>
      <w:r w:rsidRPr="00631743">
        <w:lastRenderedPageBreak/>
        <w:t>[</w:t>
      </w:r>
      <w:r w:rsidR="00D812C4" w:rsidRPr="00631743">
        <w:t>62</w:t>
      </w:r>
      <w:r w:rsidR="000A2EA1" w:rsidRPr="00631743">
        <w:t>]</w:t>
      </w:r>
      <w:r w:rsidR="000A2EA1" w:rsidRPr="00631743">
        <w:tab/>
      </w:r>
      <w:r w:rsidR="00A40DC5" w:rsidRPr="00631743">
        <w:t>As correctl</w:t>
      </w:r>
      <w:r w:rsidR="00C74EFB" w:rsidRPr="00631743">
        <w:t>y pointed out by Mr Gauntlett</w:t>
      </w:r>
      <w:r w:rsidR="00A40DC5" w:rsidRPr="00631743">
        <w:t xml:space="preserve">, there is no suggestion by </w:t>
      </w:r>
      <w:r w:rsidR="003B4448" w:rsidRPr="00631743">
        <w:t xml:space="preserve">Denker </w:t>
      </w:r>
      <w:r w:rsidR="00A40DC5" w:rsidRPr="00631743">
        <w:t xml:space="preserve">that the discretion was improperly exercised – a consideration which makes </w:t>
      </w:r>
      <w:r w:rsidR="00C74EFB" w:rsidRPr="00631743">
        <w:t xml:space="preserve">it </w:t>
      </w:r>
      <w:r w:rsidR="00FE1B9D" w:rsidRPr="00631743">
        <w:t>intolerable</w:t>
      </w:r>
      <w:r w:rsidR="00A40DC5" w:rsidRPr="00631743">
        <w:t xml:space="preserve"> for us on appeal to guess on what basis the judge’s approach stands to be impugned. The reality remains that even if the share register were to be excised of the </w:t>
      </w:r>
      <w:r w:rsidR="003B4448" w:rsidRPr="00631743">
        <w:t xml:space="preserve">Michael Viljoen </w:t>
      </w:r>
      <w:r w:rsidR="00A40DC5" w:rsidRPr="00631743">
        <w:t xml:space="preserve">Trust as a registered shareholder, it does not follow that </w:t>
      </w:r>
      <w:r w:rsidR="00180105" w:rsidRPr="00631743">
        <w:t>Denker</w:t>
      </w:r>
      <w:r w:rsidR="00A40DC5" w:rsidRPr="00631743">
        <w:t xml:space="preserve"> is, by that fact, entitled to be reflected – which is the order he seeks - as the holder of the shares being removed from the </w:t>
      </w:r>
      <w:r w:rsidR="00180105" w:rsidRPr="00631743">
        <w:t xml:space="preserve">Michael Viljoen </w:t>
      </w:r>
      <w:r w:rsidR="00A40DC5" w:rsidRPr="00631743">
        <w:t xml:space="preserve">Trust. As already </w:t>
      </w:r>
      <w:r w:rsidR="003B4448" w:rsidRPr="00631743">
        <w:t xml:space="preserve">demonstrated, the version of </w:t>
      </w:r>
      <w:r w:rsidR="00A40DC5" w:rsidRPr="00631743">
        <w:t>Viljoen is the one tha</w:t>
      </w:r>
      <w:r w:rsidR="003B4448" w:rsidRPr="00631743">
        <w:t>t must prevail on what share</w:t>
      </w:r>
      <w:r w:rsidR="00A40DC5" w:rsidRPr="00631743">
        <w:t xml:space="preserve"> Denker became entitled to when the parties agre</w:t>
      </w:r>
      <w:r w:rsidR="00715236" w:rsidRPr="00631743">
        <w:t>ed to the purchase of</w:t>
      </w:r>
      <w:r w:rsidR="00A40DC5" w:rsidRPr="00631743">
        <w:t xml:space="preserve"> farm</w:t>
      </w:r>
      <w:r w:rsidR="00715236" w:rsidRPr="00631743">
        <w:t xml:space="preserve"> Ameib</w:t>
      </w:r>
      <w:r w:rsidR="00A40DC5" w:rsidRPr="00631743">
        <w:t>. That version does not support the claim that he was entitled to 51% of the shares in the company. Therefore,</w:t>
      </w:r>
      <w:r w:rsidR="0026638A" w:rsidRPr="00631743">
        <w:t xml:space="preserve"> even on the scenario that the t</w:t>
      </w:r>
      <w:r w:rsidR="00A40DC5" w:rsidRPr="00631743">
        <w:t>rust is no lon</w:t>
      </w:r>
      <w:r w:rsidR="003B4448" w:rsidRPr="00631743">
        <w:t>ger reflected as a shareholder i</w:t>
      </w:r>
      <w:r w:rsidR="00A40DC5" w:rsidRPr="00631743">
        <w:t>n t</w:t>
      </w:r>
      <w:r w:rsidR="003B4448" w:rsidRPr="00631743">
        <w:t>he company’s share register,</w:t>
      </w:r>
      <w:r w:rsidR="00A40DC5" w:rsidRPr="00631743">
        <w:t xml:space="preserve"> Denker would still not be the holder of 51% of the issued shares in the company. </w:t>
      </w:r>
    </w:p>
    <w:p w:rsidR="00A40DC5" w:rsidRPr="00631743" w:rsidRDefault="00D812C4" w:rsidP="004012CE">
      <w:pPr>
        <w:pStyle w:val="hcr003a00200020numbering003a0020affidavit"/>
        <w:spacing w:before="100" w:beforeAutospacing="1" w:after="100" w:afterAutospacing="1" w:line="480" w:lineRule="auto"/>
      </w:pPr>
      <w:r w:rsidRPr="00631743">
        <w:t>[6</w:t>
      </w:r>
      <w:r w:rsidR="0026638A" w:rsidRPr="00631743">
        <w:t>3</w:t>
      </w:r>
      <w:r w:rsidR="000A2EA1" w:rsidRPr="00631743">
        <w:t xml:space="preserve">] </w:t>
      </w:r>
      <w:r w:rsidR="000A2EA1" w:rsidRPr="00631743">
        <w:tab/>
      </w:r>
      <w:r w:rsidR="00A40DC5" w:rsidRPr="00631743">
        <w:t xml:space="preserve">The result is that, just as the High Court did, we find it unnecessary to decide whether or not the Michael Viljoen Trust, </w:t>
      </w:r>
      <w:r w:rsidR="00A40DC5" w:rsidRPr="00631743">
        <w:rPr>
          <w:i/>
        </w:rPr>
        <w:t>qua</w:t>
      </w:r>
      <w:r w:rsidR="0026638A" w:rsidRPr="00631743">
        <w:t xml:space="preserve"> t</w:t>
      </w:r>
      <w:r w:rsidR="00A40DC5" w:rsidRPr="00631743">
        <w:t>rust was properly registered as the holder of shares in the company - including</w:t>
      </w:r>
      <w:r w:rsidR="003B4448" w:rsidRPr="00631743">
        <w:t xml:space="preserve"> the 1% </w:t>
      </w:r>
      <w:r w:rsidR="00180105" w:rsidRPr="00631743">
        <w:t xml:space="preserve">share </w:t>
      </w:r>
      <w:r w:rsidR="003B4448" w:rsidRPr="00631743">
        <w:t>surrendered to it by Denker. Against that backdrop,</w:t>
      </w:r>
      <w:r w:rsidR="00A40DC5" w:rsidRPr="00631743">
        <w:t xml:space="preserve"> the question as to who should be the holders of th</w:t>
      </w:r>
      <w:r w:rsidR="0026638A" w:rsidRPr="00631743">
        <w:t>e shares otherwise held by the t</w:t>
      </w:r>
      <w:r w:rsidR="00A40DC5" w:rsidRPr="00631743">
        <w:t xml:space="preserve">rust is one so fraught with difficulty which the parties will more appropriately have to ventilate by way of action. </w:t>
      </w:r>
      <w:r w:rsidR="00B63BE9" w:rsidRPr="00631743">
        <w:t>That is a pros</w:t>
      </w:r>
      <w:r w:rsidR="000F3EF3" w:rsidRPr="00631743">
        <w:t xml:space="preserve">pect foreshadowed </w:t>
      </w:r>
      <w:r w:rsidR="00C7082E" w:rsidRPr="00631743">
        <w:t xml:space="preserve">by Mr </w:t>
      </w:r>
      <w:r w:rsidR="008B1E6F" w:rsidRPr="00631743">
        <w:t>Tötemeyer</w:t>
      </w:r>
      <w:r w:rsidR="00C7082E" w:rsidRPr="00631743">
        <w:t xml:space="preserve"> when he suggested </w:t>
      </w:r>
      <w:r w:rsidR="001E1887" w:rsidRPr="00631743">
        <w:t xml:space="preserve">in argument </w:t>
      </w:r>
      <w:r w:rsidR="00C7082E" w:rsidRPr="00631743">
        <w:t xml:space="preserve">that the court had a discretion not to determine the ownership </w:t>
      </w:r>
      <w:r w:rsidR="008B1E6F" w:rsidRPr="00631743">
        <w:t>of</w:t>
      </w:r>
      <w:r w:rsidR="0049052F" w:rsidRPr="00631743">
        <w:t xml:space="preserve"> the </w:t>
      </w:r>
      <w:r w:rsidR="00D85F7E" w:rsidRPr="00631743">
        <w:t xml:space="preserve">shares and rather leave it to the parties to fight the issue out </w:t>
      </w:r>
      <w:r w:rsidR="00F41F19" w:rsidRPr="00631743">
        <w:t>at a later stage.</w:t>
      </w:r>
    </w:p>
    <w:p w:rsidR="00A40DC5" w:rsidRPr="00631743" w:rsidRDefault="00A40DC5" w:rsidP="004012CE">
      <w:pPr>
        <w:spacing w:before="100" w:beforeAutospacing="1" w:after="100" w:afterAutospacing="1" w:line="480" w:lineRule="auto"/>
        <w:rPr>
          <w:rFonts w:ascii="Arial" w:hAnsi="Arial" w:cs="Arial"/>
          <w:sz w:val="24"/>
          <w:szCs w:val="24"/>
          <w:u w:val="single"/>
        </w:rPr>
      </w:pPr>
      <w:r w:rsidRPr="00631743">
        <w:rPr>
          <w:rFonts w:ascii="Arial" w:hAnsi="Arial" w:cs="Arial"/>
          <w:sz w:val="24"/>
          <w:szCs w:val="24"/>
          <w:u w:val="single"/>
        </w:rPr>
        <w:t xml:space="preserve">Section 60 of the </w:t>
      </w:r>
      <w:r w:rsidR="00A93804" w:rsidRPr="00631743">
        <w:rPr>
          <w:rFonts w:ascii="Arial" w:hAnsi="Arial" w:cs="Arial"/>
          <w:sz w:val="24"/>
          <w:szCs w:val="24"/>
          <w:u w:val="single"/>
        </w:rPr>
        <w:t>Land Reform Act</w:t>
      </w:r>
      <w:r w:rsidRPr="00631743">
        <w:rPr>
          <w:rFonts w:ascii="Arial" w:hAnsi="Arial" w:cs="Arial"/>
          <w:sz w:val="24"/>
          <w:szCs w:val="24"/>
        </w:rPr>
        <w:t xml:space="preserve"> </w:t>
      </w:r>
    </w:p>
    <w:p w:rsidR="00A40DC5" w:rsidRPr="00631743" w:rsidRDefault="00A40DC5"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6638A" w:rsidRPr="00631743">
        <w:rPr>
          <w:rFonts w:ascii="Arial" w:hAnsi="Arial" w:cs="Arial"/>
          <w:sz w:val="24"/>
          <w:szCs w:val="24"/>
        </w:rPr>
        <w:t>64</w:t>
      </w:r>
      <w:r w:rsidR="000A2EA1" w:rsidRPr="00631743">
        <w:rPr>
          <w:rFonts w:ascii="Arial" w:hAnsi="Arial" w:cs="Arial"/>
          <w:sz w:val="24"/>
          <w:szCs w:val="24"/>
        </w:rPr>
        <w:t>]</w:t>
      </w:r>
      <w:r w:rsidR="000A2EA1" w:rsidRPr="00631743">
        <w:rPr>
          <w:rFonts w:ascii="Arial" w:hAnsi="Arial" w:cs="Arial"/>
          <w:sz w:val="24"/>
          <w:szCs w:val="24"/>
        </w:rPr>
        <w:tab/>
      </w:r>
      <w:r w:rsidR="00135EDC" w:rsidRPr="00631743">
        <w:rPr>
          <w:rFonts w:ascii="Arial" w:hAnsi="Arial" w:cs="Arial"/>
          <w:sz w:val="24"/>
          <w:szCs w:val="24"/>
        </w:rPr>
        <w:t>Mr</w:t>
      </w:r>
      <w:r w:rsidRPr="00631743">
        <w:rPr>
          <w:rFonts w:ascii="Arial" w:hAnsi="Arial" w:cs="Arial"/>
          <w:sz w:val="24"/>
          <w:szCs w:val="24"/>
        </w:rPr>
        <w:t xml:space="preserve"> Tötemeyer submitted that in the event that the appeal fails, this court should nevertheless allow the appeal in respect of the High Court’s order directing the Minister to </w:t>
      </w:r>
      <w:r w:rsidRPr="00631743">
        <w:rPr>
          <w:rFonts w:ascii="Arial" w:hAnsi="Arial" w:cs="Arial"/>
          <w:sz w:val="24"/>
          <w:szCs w:val="24"/>
        </w:rPr>
        <w:lastRenderedPageBreak/>
        <w:t>proceed under s 60 of the Land Reform Act. Counsel argued that a finding that s 58(1)(</w:t>
      </w:r>
      <w:r w:rsidRPr="00631743">
        <w:rPr>
          <w:rFonts w:ascii="Arial" w:hAnsi="Arial" w:cs="Arial"/>
          <w:i/>
          <w:sz w:val="24"/>
          <w:szCs w:val="24"/>
        </w:rPr>
        <w:t>a</w:t>
      </w:r>
      <w:r w:rsidRPr="00631743">
        <w:rPr>
          <w:rFonts w:ascii="Arial" w:hAnsi="Arial" w:cs="Arial"/>
          <w:sz w:val="24"/>
          <w:szCs w:val="24"/>
        </w:rPr>
        <w:t>) had been breached does not necessarily mean that the Minister must exercise the power given by s 60. According to counsel, the Minister has a discretion whether or not to invoke the section and, at all events, after complying with Art</w:t>
      </w:r>
      <w:r w:rsidR="00180105" w:rsidRPr="00631743">
        <w:rPr>
          <w:rFonts w:ascii="Arial" w:hAnsi="Arial" w:cs="Arial"/>
          <w:sz w:val="24"/>
          <w:szCs w:val="24"/>
        </w:rPr>
        <w:t>.</w:t>
      </w:r>
      <w:r w:rsidRPr="00631743">
        <w:rPr>
          <w:rFonts w:ascii="Arial" w:hAnsi="Arial" w:cs="Arial"/>
          <w:sz w:val="24"/>
          <w:szCs w:val="24"/>
        </w:rPr>
        <w:t xml:space="preserve"> 18 of the Constitution by affording an affected party </w:t>
      </w:r>
      <w:r w:rsidRPr="00631743">
        <w:rPr>
          <w:rFonts w:ascii="Arial" w:hAnsi="Arial" w:cs="Arial"/>
          <w:i/>
          <w:sz w:val="24"/>
          <w:szCs w:val="24"/>
        </w:rPr>
        <w:t>audi</w:t>
      </w:r>
      <w:r w:rsidRPr="00631743">
        <w:rPr>
          <w:rFonts w:ascii="Arial" w:hAnsi="Arial" w:cs="Arial"/>
          <w:sz w:val="24"/>
          <w:szCs w:val="24"/>
        </w:rPr>
        <w:t xml:space="preserve">. As I will demonstrate, Mr Tötemeyer seeks to read into s 60 rights of </w:t>
      </w:r>
      <w:r w:rsidRPr="00631743">
        <w:rPr>
          <w:rFonts w:ascii="Arial" w:hAnsi="Arial" w:cs="Arial"/>
          <w:i/>
          <w:sz w:val="24"/>
          <w:szCs w:val="24"/>
        </w:rPr>
        <w:t>audi</w:t>
      </w:r>
      <w:r w:rsidRPr="00631743">
        <w:rPr>
          <w:rFonts w:ascii="Arial" w:hAnsi="Arial" w:cs="Arial"/>
          <w:sz w:val="24"/>
          <w:szCs w:val="24"/>
        </w:rPr>
        <w:t xml:space="preserve"> </w:t>
      </w:r>
      <w:r w:rsidRPr="00631743">
        <w:rPr>
          <w:rFonts w:ascii="Arial" w:hAnsi="Arial" w:cs="Arial"/>
          <w:i/>
          <w:sz w:val="24"/>
          <w:szCs w:val="24"/>
        </w:rPr>
        <w:t>dehors</w:t>
      </w:r>
      <w:r w:rsidRPr="00631743">
        <w:rPr>
          <w:rFonts w:ascii="Arial" w:hAnsi="Arial" w:cs="Arial"/>
          <w:sz w:val="24"/>
          <w:szCs w:val="24"/>
        </w:rPr>
        <w:t xml:space="preserve"> those contained in </w:t>
      </w:r>
      <w:r w:rsidR="0026638A" w:rsidRPr="00631743">
        <w:rPr>
          <w:rFonts w:ascii="Arial" w:hAnsi="Arial" w:cs="Arial"/>
          <w:sz w:val="24"/>
          <w:szCs w:val="24"/>
        </w:rPr>
        <w:t>that section.</w:t>
      </w:r>
      <w:r w:rsidRPr="00631743">
        <w:rPr>
          <w:rFonts w:ascii="Arial" w:hAnsi="Arial" w:cs="Arial"/>
          <w:sz w:val="24"/>
          <w:szCs w:val="24"/>
        </w:rPr>
        <w:t xml:space="preserve"> </w:t>
      </w:r>
    </w:p>
    <w:p w:rsidR="00A40DC5" w:rsidRPr="00631743" w:rsidRDefault="00A40DC5"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6638A" w:rsidRPr="00631743">
        <w:rPr>
          <w:rFonts w:ascii="Arial" w:hAnsi="Arial" w:cs="Arial"/>
          <w:sz w:val="24"/>
          <w:szCs w:val="24"/>
        </w:rPr>
        <w:t>65</w:t>
      </w:r>
      <w:r w:rsidR="000A2EA1" w:rsidRPr="00631743">
        <w:rPr>
          <w:rFonts w:ascii="Arial" w:hAnsi="Arial" w:cs="Arial"/>
          <w:sz w:val="24"/>
          <w:szCs w:val="24"/>
        </w:rPr>
        <w:t>]</w:t>
      </w:r>
      <w:r w:rsidR="000A2EA1" w:rsidRPr="00631743">
        <w:rPr>
          <w:rFonts w:ascii="Arial" w:hAnsi="Arial" w:cs="Arial"/>
          <w:sz w:val="24"/>
          <w:szCs w:val="24"/>
        </w:rPr>
        <w:tab/>
      </w:r>
      <w:r w:rsidR="00135EDC" w:rsidRPr="00631743">
        <w:rPr>
          <w:rFonts w:ascii="Arial" w:hAnsi="Arial" w:cs="Arial"/>
          <w:sz w:val="24"/>
          <w:szCs w:val="24"/>
        </w:rPr>
        <w:t>Mr</w:t>
      </w:r>
      <w:r w:rsidRPr="00631743">
        <w:rPr>
          <w:rFonts w:ascii="Arial" w:hAnsi="Arial" w:cs="Arial"/>
          <w:sz w:val="24"/>
          <w:szCs w:val="24"/>
        </w:rPr>
        <w:t xml:space="preserve"> Gauntlet</w:t>
      </w:r>
      <w:r w:rsidR="0052753E" w:rsidRPr="00631743">
        <w:rPr>
          <w:rFonts w:ascii="Arial" w:hAnsi="Arial" w:cs="Arial"/>
          <w:sz w:val="24"/>
          <w:szCs w:val="24"/>
        </w:rPr>
        <w:t>t</w:t>
      </w:r>
      <w:r w:rsidRPr="00631743">
        <w:rPr>
          <w:rFonts w:ascii="Arial" w:hAnsi="Arial" w:cs="Arial"/>
          <w:sz w:val="24"/>
          <w:szCs w:val="24"/>
        </w:rPr>
        <w:t xml:space="preserve"> took the contrary view, maintaining that once s 58</w:t>
      </w:r>
      <w:r w:rsidR="002C4FF1" w:rsidRPr="00631743">
        <w:rPr>
          <w:rFonts w:ascii="Arial" w:hAnsi="Arial" w:cs="Arial"/>
          <w:sz w:val="24"/>
          <w:szCs w:val="24"/>
        </w:rPr>
        <w:t>(1)(</w:t>
      </w:r>
      <w:r w:rsidR="002C4FF1" w:rsidRPr="00631743">
        <w:rPr>
          <w:rFonts w:ascii="Arial" w:hAnsi="Arial" w:cs="Arial"/>
          <w:i/>
          <w:sz w:val="24"/>
          <w:szCs w:val="24"/>
        </w:rPr>
        <w:t>a</w:t>
      </w:r>
      <w:r w:rsidR="002C4FF1" w:rsidRPr="00631743">
        <w:rPr>
          <w:rFonts w:ascii="Arial" w:hAnsi="Arial" w:cs="Arial"/>
          <w:sz w:val="24"/>
          <w:szCs w:val="24"/>
        </w:rPr>
        <w:t>)</w:t>
      </w:r>
      <w:r w:rsidRPr="00631743">
        <w:rPr>
          <w:rFonts w:ascii="Arial" w:hAnsi="Arial" w:cs="Arial"/>
          <w:sz w:val="24"/>
          <w:szCs w:val="24"/>
        </w:rPr>
        <w:t xml:space="preserve"> has been breached, the Minister is obligated to apply s 60 and has a discretion only in so far as he may choose to expropriate the land or order a forced sale.</w:t>
      </w:r>
    </w:p>
    <w:p w:rsidR="00A40DC5" w:rsidRPr="00631743" w:rsidRDefault="00D812C4"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[6</w:t>
      </w:r>
      <w:r w:rsidR="0026638A" w:rsidRPr="00631743">
        <w:rPr>
          <w:rFonts w:ascii="Arial" w:hAnsi="Arial" w:cs="Arial"/>
          <w:sz w:val="24"/>
          <w:szCs w:val="24"/>
        </w:rPr>
        <w:t>6</w:t>
      </w:r>
      <w:r w:rsidR="000A2EA1" w:rsidRPr="00631743">
        <w:rPr>
          <w:rFonts w:ascii="Arial" w:hAnsi="Arial" w:cs="Arial"/>
          <w:sz w:val="24"/>
          <w:szCs w:val="24"/>
        </w:rPr>
        <w:t>]</w:t>
      </w:r>
      <w:r w:rsidR="000A2EA1" w:rsidRPr="00631743">
        <w:rPr>
          <w:rFonts w:ascii="Arial" w:hAnsi="Arial" w:cs="Arial"/>
          <w:sz w:val="24"/>
          <w:szCs w:val="24"/>
        </w:rPr>
        <w:tab/>
      </w:r>
      <w:r w:rsidR="00135EDC" w:rsidRPr="00631743">
        <w:rPr>
          <w:rFonts w:ascii="Arial" w:hAnsi="Arial" w:cs="Arial"/>
          <w:sz w:val="24"/>
          <w:szCs w:val="24"/>
        </w:rPr>
        <w:t>Section</w:t>
      </w:r>
      <w:r w:rsidR="00A40DC5" w:rsidRPr="00631743">
        <w:rPr>
          <w:rFonts w:ascii="Arial" w:hAnsi="Arial" w:cs="Arial"/>
          <w:sz w:val="24"/>
          <w:szCs w:val="24"/>
        </w:rPr>
        <w:t xml:space="preserve"> 60 contains elaborate provisions as regards the process to be followed when the Minister, instead of expropriating the land, chooses to order a forced sale.</w:t>
      </w:r>
      <w:r w:rsidR="00A40DC5" w:rsidRPr="00631743">
        <w:rPr>
          <w:rStyle w:val="FootnoteReference"/>
          <w:rFonts w:ascii="Arial" w:hAnsi="Arial" w:cs="Arial"/>
          <w:sz w:val="24"/>
          <w:szCs w:val="24"/>
        </w:rPr>
        <w:footnoteReference w:id="21"/>
      </w:r>
      <w:r w:rsidR="00A40DC5" w:rsidRPr="00631743">
        <w:rPr>
          <w:rFonts w:ascii="Arial" w:hAnsi="Arial" w:cs="Arial"/>
          <w:sz w:val="24"/>
          <w:szCs w:val="24"/>
        </w:rPr>
        <w:t xml:space="preserve"> In the first place, it requires</w:t>
      </w:r>
      <w:r w:rsidR="0026638A" w:rsidRPr="00631743">
        <w:rPr>
          <w:rFonts w:ascii="Arial" w:hAnsi="Arial" w:cs="Arial"/>
          <w:sz w:val="24"/>
          <w:szCs w:val="24"/>
        </w:rPr>
        <w:t xml:space="preserve"> of</w:t>
      </w:r>
      <w:r w:rsidR="00A40DC5" w:rsidRPr="00631743">
        <w:rPr>
          <w:rFonts w:ascii="Arial" w:hAnsi="Arial" w:cs="Arial"/>
          <w:sz w:val="24"/>
          <w:szCs w:val="24"/>
        </w:rPr>
        <w:t xml:space="preserve"> the Minister to</w:t>
      </w:r>
      <w:r w:rsidR="00180105" w:rsidRPr="00631743">
        <w:rPr>
          <w:rFonts w:ascii="Arial" w:hAnsi="Arial" w:cs="Arial"/>
          <w:sz w:val="24"/>
          <w:szCs w:val="24"/>
        </w:rPr>
        <w:t>,</w:t>
      </w:r>
      <w:r w:rsidR="00A40DC5" w:rsidRPr="00631743">
        <w:rPr>
          <w:rFonts w:ascii="Arial" w:hAnsi="Arial" w:cs="Arial"/>
          <w:sz w:val="24"/>
          <w:szCs w:val="24"/>
        </w:rPr>
        <w:t xml:space="preserve"> in his notice</w:t>
      </w:r>
      <w:r w:rsidR="00180105" w:rsidRPr="00631743">
        <w:rPr>
          <w:rFonts w:ascii="Arial" w:hAnsi="Arial" w:cs="Arial"/>
          <w:sz w:val="24"/>
          <w:szCs w:val="24"/>
        </w:rPr>
        <w:t>,</w:t>
      </w:r>
      <w:r w:rsidR="00A40DC5" w:rsidRPr="00631743">
        <w:rPr>
          <w:rFonts w:ascii="Arial" w:hAnsi="Arial" w:cs="Arial"/>
          <w:sz w:val="24"/>
          <w:szCs w:val="24"/>
        </w:rPr>
        <w:t xml:space="preserve"> afford the foreign national the opportunity to provide within 90 days of the notice ‘an agreement of sale or disposal otherwise </w:t>
      </w:r>
      <w:r w:rsidR="00135EDC" w:rsidRPr="00631743">
        <w:rPr>
          <w:rFonts w:ascii="Arial" w:hAnsi="Arial" w:cs="Arial"/>
          <w:sz w:val="24"/>
          <w:szCs w:val="24"/>
        </w:rPr>
        <w:t>of the</w:t>
      </w:r>
      <w:r w:rsidR="00A40DC5" w:rsidRPr="00631743">
        <w:rPr>
          <w:rFonts w:ascii="Arial" w:hAnsi="Arial" w:cs="Arial"/>
          <w:sz w:val="24"/>
          <w:szCs w:val="24"/>
        </w:rPr>
        <w:t xml:space="preserve"> land concerned to a person who is not by law disqualified from acquiring it.’ Only if that fails is the Minister empowered to order </w:t>
      </w:r>
      <w:r w:rsidR="001E1887" w:rsidRPr="00631743">
        <w:rPr>
          <w:rFonts w:ascii="Arial" w:hAnsi="Arial" w:cs="Arial"/>
          <w:sz w:val="24"/>
          <w:szCs w:val="24"/>
        </w:rPr>
        <w:t>the sale of the land. Mortgage-holders</w:t>
      </w:r>
      <w:r w:rsidR="00A40DC5" w:rsidRPr="00631743">
        <w:rPr>
          <w:rFonts w:ascii="Arial" w:hAnsi="Arial" w:cs="Arial"/>
          <w:sz w:val="24"/>
          <w:szCs w:val="24"/>
        </w:rPr>
        <w:t xml:space="preserve"> and others with encumbrances and other real rights over the land must all be given notice of the Minister’s notice.</w:t>
      </w:r>
      <w:r w:rsidR="00A40DC5" w:rsidRPr="00631743">
        <w:rPr>
          <w:rStyle w:val="FootnoteReference"/>
          <w:rFonts w:ascii="Arial" w:hAnsi="Arial" w:cs="Arial"/>
          <w:sz w:val="24"/>
          <w:szCs w:val="24"/>
        </w:rPr>
        <w:footnoteReference w:id="22"/>
      </w:r>
      <w:r w:rsidR="00A40DC5" w:rsidRPr="00631743">
        <w:rPr>
          <w:rFonts w:ascii="Arial" w:hAnsi="Arial" w:cs="Arial"/>
          <w:sz w:val="24"/>
          <w:szCs w:val="24"/>
        </w:rPr>
        <w:t xml:space="preserve"> Due pro</w:t>
      </w:r>
      <w:r w:rsidR="007F0282" w:rsidRPr="00631743">
        <w:rPr>
          <w:rFonts w:ascii="Arial" w:hAnsi="Arial" w:cs="Arial"/>
          <w:sz w:val="24"/>
          <w:szCs w:val="24"/>
        </w:rPr>
        <w:t xml:space="preserve">cess has therefore been weaved </w:t>
      </w:r>
      <w:r w:rsidR="00A40DC5" w:rsidRPr="00631743">
        <w:rPr>
          <w:rFonts w:ascii="Arial" w:hAnsi="Arial" w:cs="Arial"/>
          <w:sz w:val="24"/>
          <w:szCs w:val="24"/>
        </w:rPr>
        <w:t xml:space="preserve">into the procedure to be followed </w:t>
      </w:r>
      <w:r w:rsidR="002C4FF1" w:rsidRPr="00631743">
        <w:rPr>
          <w:rFonts w:ascii="Arial" w:hAnsi="Arial" w:cs="Arial"/>
          <w:sz w:val="24"/>
          <w:szCs w:val="24"/>
        </w:rPr>
        <w:t xml:space="preserve">for </w:t>
      </w:r>
      <w:r w:rsidR="00A40DC5" w:rsidRPr="00631743">
        <w:rPr>
          <w:rFonts w:ascii="Arial" w:hAnsi="Arial" w:cs="Arial"/>
          <w:sz w:val="24"/>
          <w:szCs w:val="24"/>
        </w:rPr>
        <w:t xml:space="preserve">a forced </w:t>
      </w:r>
      <w:r w:rsidR="002C4FF1" w:rsidRPr="00631743">
        <w:rPr>
          <w:rFonts w:ascii="Arial" w:hAnsi="Arial" w:cs="Arial"/>
          <w:sz w:val="24"/>
          <w:szCs w:val="24"/>
        </w:rPr>
        <w:t>sale</w:t>
      </w:r>
      <w:r w:rsidR="00A40DC5" w:rsidRPr="00631743">
        <w:rPr>
          <w:rFonts w:ascii="Arial" w:hAnsi="Arial" w:cs="Arial"/>
          <w:sz w:val="24"/>
          <w:szCs w:val="24"/>
        </w:rPr>
        <w:t xml:space="preserve">. </w:t>
      </w:r>
    </w:p>
    <w:p w:rsidR="00A40DC5" w:rsidRPr="00631743" w:rsidRDefault="0026638A"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[67</w:t>
      </w:r>
      <w:r w:rsidR="000A2EA1" w:rsidRPr="00631743">
        <w:rPr>
          <w:rFonts w:ascii="Arial" w:hAnsi="Arial" w:cs="Arial"/>
          <w:sz w:val="24"/>
          <w:szCs w:val="24"/>
        </w:rPr>
        <w:t>]</w:t>
      </w:r>
      <w:r w:rsidR="000A2EA1" w:rsidRPr="00631743">
        <w:rPr>
          <w:rFonts w:ascii="Arial" w:hAnsi="Arial" w:cs="Arial"/>
          <w:sz w:val="24"/>
          <w:szCs w:val="24"/>
        </w:rPr>
        <w:tab/>
      </w:r>
      <w:r w:rsidR="00135EDC" w:rsidRPr="00631743">
        <w:rPr>
          <w:rFonts w:ascii="Arial" w:hAnsi="Arial" w:cs="Arial"/>
          <w:sz w:val="24"/>
          <w:szCs w:val="24"/>
        </w:rPr>
        <w:t>On</w:t>
      </w:r>
      <w:r w:rsidR="00A40DC5" w:rsidRPr="00631743">
        <w:rPr>
          <w:rFonts w:ascii="Arial" w:hAnsi="Arial" w:cs="Arial"/>
          <w:sz w:val="24"/>
          <w:szCs w:val="24"/>
        </w:rPr>
        <w:t xml:space="preserve"> the contrary, where expropriation is the alterna</w:t>
      </w:r>
      <w:r w:rsidR="002C4FF1" w:rsidRPr="00631743">
        <w:rPr>
          <w:rFonts w:ascii="Arial" w:hAnsi="Arial" w:cs="Arial"/>
          <w:sz w:val="24"/>
          <w:szCs w:val="24"/>
        </w:rPr>
        <w:t xml:space="preserve">tive chosen by the </w:t>
      </w:r>
      <w:r w:rsidR="00135EDC" w:rsidRPr="00631743">
        <w:rPr>
          <w:rFonts w:ascii="Arial" w:hAnsi="Arial" w:cs="Arial"/>
          <w:sz w:val="24"/>
          <w:szCs w:val="24"/>
        </w:rPr>
        <w:t>Minister, Part</w:t>
      </w:r>
      <w:r w:rsidR="00A40DC5" w:rsidRPr="00631743">
        <w:rPr>
          <w:rFonts w:ascii="Arial" w:hAnsi="Arial" w:cs="Arial"/>
          <w:sz w:val="24"/>
          <w:szCs w:val="24"/>
        </w:rPr>
        <w:t xml:space="preserve"> IV of the Land Reform Act appl</w:t>
      </w:r>
      <w:r w:rsidR="003B4448" w:rsidRPr="00631743">
        <w:rPr>
          <w:rFonts w:ascii="Arial" w:hAnsi="Arial" w:cs="Arial"/>
          <w:sz w:val="24"/>
          <w:szCs w:val="24"/>
        </w:rPr>
        <w:t>ies</w:t>
      </w:r>
      <w:r w:rsidR="00A40DC5" w:rsidRPr="00631743">
        <w:rPr>
          <w:rFonts w:ascii="Arial" w:hAnsi="Arial" w:cs="Arial"/>
          <w:sz w:val="24"/>
          <w:szCs w:val="24"/>
        </w:rPr>
        <w:t xml:space="preserve"> which, similarly but for different outcomes, contains </w:t>
      </w:r>
      <w:r w:rsidR="00A40DC5" w:rsidRPr="00631743">
        <w:rPr>
          <w:rFonts w:ascii="Arial" w:hAnsi="Arial" w:cs="Arial"/>
          <w:sz w:val="24"/>
          <w:szCs w:val="24"/>
        </w:rPr>
        <w:lastRenderedPageBreak/>
        <w:t>detailed provisions, including the rights of the affected persons and third parties with interests in the land.</w:t>
      </w:r>
    </w:p>
    <w:p w:rsidR="00A40DC5" w:rsidRPr="00631743" w:rsidRDefault="00E003CA"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6638A" w:rsidRPr="00631743">
        <w:rPr>
          <w:rFonts w:ascii="Arial" w:hAnsi="Arial" w:cs="Arial"/>
          <w:sz w:val="24"/>
          <w:szCs w:val="24"/>
        </w:rPr>
        <w:t>68</w:t>
      </w:r>
      <w:r w:rsidR="00135EDC" w:rsidRPr="00631743">
        <w:rPr>
          <w:rFonts w:ascii="Arial" w:hAnsi="Arial" w:cs="Arial"/>
          <w:sz w:val="24"/>
          <w:szCs w:val="24"/>
        </w:rPr>
        <w:t>]</w:t>
      </w:r>
      <w:r w:rsidR="000A2EA1" w:rsidRPr="00631743">
        <w:rPr>
          <w:rFonts w:ascii="Arial" w:hAnsi="Arial" w:cs="Arial"/>
          <w:sz w:val="24"/>
          <w:szCs w:val="24"/>
        </w:rPr>
        <w:tab/>
      </w:r>
      <w:r w:rsidR="00135EDC" w:rsidRPr="00631743">
        <w:rPr>
          <w:rFonts w:ascii="Arial" w:hAnsi="Arial" w:cs="Arial"/>
          <w:sz w:val="24"/>
          <w:szCs w:val="24"/>
        </w:rPr>
        <w:t>In</w:t>
      </w:r>
      <w:r w:rsidR="00A40DC5" w:rsidRPr="00631743">
        <w:rPr>
          <w:rFonts w:ascii="Arial" w:hAnsi="Arial" w:cs="Arial"/>
          <w:sz w:val="24"/>
          <w:szCs w:val="24"/>
        </w:rPr>
        <w:t xml:space="preserve"> interpreting s 60, one has to have regard to the safeguards punctiliously weaved into s 60 and to the effect produce</w:t>
      </w:r>
      <w:r w:rsidR="00F82004" w:rsidRPr="00631743">
        <w:rPr>
          <w:rFonts w:ascii="Arial" w:hAnsi="Arial" w:cs="Arial"/>
          <w:sz w:val="24"/>
          <w:szCs w:val="24"/>
        </w:rPr>
        <w:t>d by s 58(1)</w:t>
      </w:r>
      <w:r w:rsidR="00F82004" w:rsidRPr="00631743">
        <w:rPr>
          <w:rFonts w:ascii="Arial" w:hAnsi="Arial" w:cs="Arial"/>
          <w:i/>
          <w:sz w:val="24"/>
          <w:szCs w:val="24"/>
        </w:rPr>
        <w:t>(a)</w:t>
      </w:r>
      <w:r w:rsidR="00A7279B" w:rsidRPr="00631743">
        <w:rPr>
          <w:rFonts w:ascii="Arial" w:hAnsi="Arial" w:cs="Arial"/>
          <w:i/>
          <w:sz w:val="24"/>
          <w:szCs w:val="24"/>
        </w:rPr>
        <w:t>.</w:t>
      </w:r>
      <w:r w:rsidR="00F82004" w:rsidRPr="00631743">
        <w:rPr>
          <w:rFonts w:ascii="Arial" w:hAnsi="Arial" w:cs="Arial"/>
          <w:sz w:val="24"/>
          <w:szCs w:val="24"/>
        </w:rPr>
        <w:t xml:space="preserve"> Section 58(1)</w:t>
      </w:r>
      <w:r w:rsidR="00A40DC5" w:rsidRPr="00631743">
        <w:rPr>
          <w:rFonts w:ascii="Arial" w:hAnsi="Arial" w:cs="Arial"/>
          <w:i/>
          <w:sz w:val="24"/>
          <w:szCs w:val="24"/>
        </w:rPr>
        <w:t>(a)</w:t>
      </w:r>
      <w:r w:rsidR="00A40DC5" w:rsidRPr="00631743">
        <w:rPr>
          <w:rFonts w:ascii="Arial" w:hAnsi="Arial" w:cs="Arial"/>
          <w:sz w:val="24"/>
          <w:szCs w:val="24"/>
        </w:rPr>
        <w:t xml:space="preserve"> makes clear that it is ‘not competent’ for a company in which a foreign national holds a controlling interest to acquire agricultural land in Namibia. In other words, if such a transaction passes through the Deeds Registry, it is </w:t>
      </w:r>
      <w:r w:rsidR="00A40DC5" w:rsidRPr="00631743">
        <w:rPr>
          <w:rFonts w:ascii="Arial" w:hAnsi="Arial" w:cs="Arial"/>
          <w:i/>
          <w:sz w:val="24"/>
          <w:szCs w:val="24"/>
        </w:rPr>
        <w:t>pro-non-scripto</w:t>
      </w:r>
      <w:r w:rsidR="00A40DC5" w:rsidRPr="00631743">
        <w:rPr>
          <w:rFonts w:ascii="Arial" w:hAnsi="Arial" w:cs="Arial"/>
          <w:sz w:val="24"/>
          <w:szCs w:val="24"/>
        </w:rPr>
        <w:t>. It is not capable of conferring rights and obligations as the law presumes it not to have occurred. What the purpose will be of an</w:t>
      </w:r>
      <w:r w:rsidR="002C4FF1" w:rsidRPr="00631743">
        <w:rPr>
          <w:rFonts w:ascii="Arial" w:hAnsi="Arial" w:cs="Arial"/>
          <w:sz w:val="24"/>
          <w:szCs w:val="24"/>
        </w:rPr>
        <w:t xml:space="preserve"> Art. 18 representation to the M</w:t>
      </w:r>
      <w:r w:rsidR="00A40DC5" w:rsidRPr="00631743">
        <w:rPr>
          <w:rFonts w:ascii="Arial" w:hAnsi="Arial" w:cs="Arial"/>
          <w:sz w:val="24"/>
          <w:szCs w:val="24"/>
        </w:rPr>
        <w:t xml:space="preserve">inister as contended by Mr Tötemeyer is therefore not clear to me; and in any </w:t>
      </w:r>
      <w:r w:rsidR="00135EDC" w:rsidRPr="00631743">
        <w:rPr>
          <w:rFonts w:ascii="Arial" w:hAnsi="Arial" w:cs="Arial"/>
          <w:sz w:val="24"/>
          <w:szCs w:val="24"/>
        </w:rPr>
        <w:t>event,</w:t>
      </w:r>
      <w:r w:rsidR="00A40DC5" w:rsidRPr="00631743">
        <w:rPr>
          <w:rFonts w:ascii="Arial" w:hAnsi="Arial" w:cs="Arial"/>
          <w:sz w:val="24"/>
          <w:szCs w:val="24"/>
        </w:rPr>
        <w:t xml:space="preserve"> is not supported by the scheme of s 60 which has its own in-built </w:t>
      </w:r>
      <w:r w:rsidR="00A40DC5" w:rsidRPr="00631743">
        <w:rPr>
          <w:rFonts w:ascii="Arial" w:hAnsi="Arial" w:cs="Arial"/>
          <w:i/>
          <w:sz w:val="24"/>
          <w:szCs w:val="24"/>
        </w:rPr>
        <w:t>audi</w:t>
      </w:r>
      <w:r w:rsidR="00A40DC5" w:rsidRPr="00631743">
        <w:rPr>
          <w:rFonts w:ascii="Arial" w:hAnsi="Arial" w:cs="Arial"/>
          <w:sz w:val="24"/>
          <w:szCs w:val="24"/>
        </w:rPr>
        <w:t xml:space="preserve"> provisions, depending on what route the Minister chooses to follow. If the suggestion is that s 60 affords the Minister a choice to validate </w:t>
      </w:r>
      <w:r w:rsidR="00C35862" w:rsidRPr="00631743">
        <w:rPr>
          <w:rFonts w:ascii="Arial" w:hAnsi="Arial" w:cs="Arial"/>
          <w:sz w:val="24"/>
          <w:szCs w:val="24"/>
        </w:rPr>
        <w:t>an illegal transaction</w:t>
      </w:r>
      <w:r w:rsidR="00A40DC5" w:rsidRPr="00631743">
        <w:rPr>
          <w:rFonts w:ascii="Arial" w:hAnsi="Arial" w:cs="Arial"/>
          <w:sz w:val="24"/>
          <w:szCs w:val="24"/>
        </w:rPr>
        <w:t xml:space="preserve"> (in other words to make it lawful) otherwise than as contemplated in s 60 (2), I cannot agree. That the Minister has no alternative other than to either expropriate the land or to order a forced sale is, under the scheme of s 60, an ineluctable legal consequence. </w:t>
      </w:r>
    </w:p>
    <w:p w:rsidR="00A40DC5" w:rsidRPr="00631743" w:rsidRDefault="00E003CA"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6638A" w:rsidRPr="00631743">
        <w:rPr>
          <w:rFonts w:ascii="Arial" w:hAnsi="Arial" w:cs="Arial"/>
          <w:sz w:val="24"/>
          <w:szCs w:val="24"/>
        </w:rPr>
        <w:t>69</w:t>
      </w:r>
      <w:r w:rsidR="000A2EA1" w:rsidRPr="00631743">
        <w:rPr>
          <w:rFonts w:ascii="Arial" w:hAnsi="Arial" w:cs="Arial"/>
          <w:sz w:val="24"/>
          <w:szCs w:val="24"/>
        </w:rPr>
        <w:t>]</w:t>
      </w:r>
      <w:r w:rsidR="000A2EA1" w:rsidRPr="00631743">
        <w:rPr>
          <w:rFonts w:ascii="Arial" w:hAnsi="Arial" w:cs="Arial"/>
          <w:sz w:val="24"/>
          <w:szCs w:val="24"/>
        </w:rPr>
        <w:tab/>
      </w:r>
      <w:r w:rsidR="00135EDC" w:rsidRPr="00631743">
        <w:rPr>
          <w:rFonts w:ascii="Arial" w:hAnsi="Arial" w:cs="Arial"/>
          <w:sz w:val="24"/>
          <w:szCs w:val="24"/>
        </w:rPr>
        <w:t>The</w:t>
      </w:r>
      <w:r w:rsidR="00A40DC5" w:rsidRPr="00631743">
        <w:rPr>
          <w:rFonts w:ascii="Arial" w:hAnsi="Arial" w:cs="Arial"/>
          <w:sz w:val="24"/>
          <w:szCs w:val="24"/>
        </w:rPr>
        <w:t xml:space="preserve"> legislature clearly appreciated the consequences of non-adherence with s 58</w:t>
      </w:r>
      <w:r w:rsidR="00F82004" w:rsidRPr="00631743">
        <w:rPr>
          <w:rFonts w:ascii="Arial" w:hAnsi="Arial" w:cs="Arial"/>
          <w:sz w:val="24"/>
          <w:szCs w:val="24"/>
        </w:rPr>
        <w:t>(1)</w:t>
      </w:r>
      <w:r w:rsidR="00F82004" w:rsidRPr="00631743">
        <w:rPr>
          <w:rFonts w:ascii="Arial" w:hAnsi="Arial" w:cs="Arial"/>
          <w:i/>
          <w:sz w:val="24"/>
          <w:szCs w:val="24"/>
        </w:rPr>
        <w:t>(a)</w:t>
      </w:r>
      <w:r w:rsidR="00A40DC5" w:rsidRPr="00631743">
        <w:rPr>
          <w:rFonts w:ascii="Arial" w:hAnsi="Arial" w:cs="Arial"/>
          <w:sz w:val="24"/>
          <w:szCs w:val="24"/>
        </w:rPr>
        <w:t>: If the transaction is deemed not to have occurred, th</w:t>
      </w:r>
      <w:r w:rsidR="0026638A" w:rsidRPr="00631743">
        <w:rPr>
          <w:rFonts w:ascii="Arial" w:hAnsi="Arial" w:cs="Arial"/>
          <w:sz w:val="24"/>
          <w:szCs w:val="24"/>
        </w:rPr>
        <w:t xml:space="preserve">e land in question remains in </w:t>
      </w:r>
      <w:r w:rsidR="00A40DC5" w:rsidRPr="00631743">
        <w:rPr>
          <w:rFonts w:ascii="Arial" w:hAnsi="Arial" w:cs="Arial"/>
          <w:sz w:val="24"/>
          <w:szCs w:val="24"/>
        </w:rPr>
        <w:t>legal limbo. It cannot revert to the previous owner because he or she was duly paid and has no claim in law to the land. Since the State under the Land Reform Act has the right of first refusal</w:t>
      </w:r>
      <w:r w:rsidR="00A40DC5" w:rsidRPr="00631743">
        <w:rPr>
          <w:rStyle w:val="FootnoteReference"/>
          <w:rFonts w:ascii="Arial" w:hAnsi="Arial" w:cs="Arial"/>
          <w:sz w:val="24"/>
          <w:szCs w:val="24"/>
        </w:rPr>
        <w:footnoteReference w:id="23"/>
      </w:r>
      <w:r w:rsidR="00A40DC5" w:rsidRPr="00631743">
        <w:rPr>
          <w:rFonts w:ascii="Arial" w:hAnsi="Arial" w:cs="Arial"/>
          <w:sz w:val="24"/>
          <w:szCs w:val="24"/>
        </w:rPr>
        <w:t xml:space="preserve">, it is given the option to buy the land. If it chooses to, it must comply with the provisions </w:t>
      </w:r>
      <w:r w:rsidR="00C35862" w:rsidRPr="00631743">
        <w:rPr>
          <w:rFonts w:ascii="Arial" w:hAnsi="Arial" w:cs="Arial"/>
          <w:sz w:val="24"/>
          <w:szCs w:val="24"/>
        </w:rPr>
        <w:t xml:space="preserve">of Part IV of </w:t>
      </w:r>
      <w:r w:rsidR="00A40DC5" w:rsidRPr="00631743">
        <w:rPr>
          <w:rFonts w:ascii="Arial" w:hAnsi="Arial" w:cs="Arial"/>
          <w:sz w:val="24"/>
          <w:szCs w:val="24"/>
        </w:rPr>
        <w:t xml:space="preserve">the Land Reform Act. The scheme of s 60 recognises though that the State may either not be interested in buying the land concerned, or it may not have the </w:t>
      </w:r>
      <w:r w:rsidR="00A40DC5" w:rsidRPr="00631743">
        <w:rPr>
          <w:rFonts w:ascii="Arial" w:hAnsi="Arial" w:cs="Arial"/>
          <w:sz w:val="24"/>
          <w:szCs w:val="24"/>
        </w:rPr>
        <w:lastRenderedPageBreak/>
        <w:t xml:space="preserve">resources to buy the land. In the latter event, and to meet the interests of those who put up the funds to purchase the land- a forced sale is contemplated. </w:t>
      </w:r>
    </w:p>
    <w:p w:rsidR="008C3D4E" w:rsidRPr="00631743" w:rsidRDefault="00E003CA"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6638A" w:rsidRPr="00631743">
        <w:rPr>
          <w:rFonts w:ascii="Arial" w:hAnsi="Arial" w:cs="Arial"/>
          <w:sz w:val="24"/>
          <w:szCs w:val="24"/>
        </w:rPr>
        <w:t>70</w:t>
      </w:r>
      <w:r w:rsidR="000A2EA1" w:rsidRPr="00631743">
        <w:rPr>
          <w:rFonts w:ascii="Arial" w:hAnsi="Arial" w:cs="Arial"/>
          <w:sz w:val="24"/>
          <w:szCs w:val="24"/>
        </w:rPr>
        <w:t>]</w:t>
      </w:r>
      <w:r w:rsidR="000A2EA1" w:rsidRPr="00631743">
        <w:rPr>
          <w:rFonts w:ascii="Arial" w:hAnsi="Arial" w:cs="Arial"/>
          <w:sz w:val="24"/>
          <w:szCs w:val="24"/>
        </w:rPr>
        <w:tab/>
      </w:r>
      <w:r w:rsidR="0026638A" w:rsidRPr="00631743">
        <w:rPr>
          <w:rFonts w:ascii="Arial" w:hAnsi="Arial" w:cs="Arial"/>
          <w:sz w:val="24"/>
          <w:szCs w:val="24"/>
        </w:rPr>
        <w:t>Denker</w:t>
      </w:r>
      <w:r w:rsidR="008C3D4E" w:rsidRPr="00631743">
        <w:rPr>
          <w:rFonts w:ascii="Arial" w:hAnsi="Arial" w:cs="Arial"/>
          <w:sz w:val="24"/>
          <w:szCs w:val="24"/>
        </w:rPr>
        <w:t xml:space="preserve"> had not made out the case that Art</w:t>
      </w:r>
      <w:r w:rsidR="00180105" w:rsidRPr="00631743">
        <w:rPr>
          <w:rFonts w:ascii="Arial" w:hAnsi="Arial" w:cs="Arial"/>
          <w:sz w:val="24"/>
          <w:szCs w:val="24"/>
        </w:rPr>
        <w:t>.</w:t>
      </w:r>
      <w:r w:rsidR="008C3D4E" w:rsidRPr="00631743">
        <w:rPr>
          <w:rFonts w:ascii="Arial" w:hAnsi="Arial" w:cs="Arial"/>
          <w:sz w:val="24"/>
          <w:szCs w:val="24"/>
        </w:rPr>
        <w:t xml:space="preserve"> 18 overrides the </w:t>
      </w:r>
      <w:r w:rsidR="008C3D4E" w:rsidRPr="00631743">
        <w:rPr>
          <w:rFonts w:ascii="Arial" w:hAnsi="Arial" w:cs="Arial"/>
          <w:i/>
          <w:sz w:val="24"/>
          <w:szCs w:val="24"/>
        </w:rPr>
        <w:t xml:space="preserve">audi </w:t>
      </w:r>
      <w:r w:rsidR="008C3D4E" w:rsidRPr="00631743">
        <w:rPr>
          <w:rFonts w:ascii="Arial" w:hAnsi="Arial" w:cs="Arial"/>
          <w:sz w:val="24"/>
          <w:szCs w:val="24"/>
        </w:rPr>
        <w:t xml:space="preserve">provisions which the </w:t>
      </w:r>
      <w:r w:rsidR="00451CB9" w:rsidRPr="00631743">
        <w:rPr>
          <w:rFonts w:ascii="Arial" w:hAnsi="Arial" w:cs="Arial"/>
          <w:sz w:val="24"/>
          <w:szCs w:val="24"/>
        </w:rPr>
        <w:t xml:space="preserve">legislature had </w:t>
      </w:r>
      <w:r w:rsidR="00323980" w:rsidRPr="00631743">
        <w:rPr>
          <w:rFonts w:ascii="Arial" w:hAnsi="Arial" w:cs="Arial"/>
          <w:sz w:val="24"/>
          <w:szCs w:val="24"/>
        </w:rPr>
        <w:t xml:space="preserve">deliberately </w:t>
      </w:r>
      <w:r w:rsidR="00451CB9" w:rsidRPr="00631743">
        <w:rPr>
          <w:rFonts w:ascii="Arial" w:hAnsi="Arial" w:cs="Arial"/>
          <w:sz w:val="24"/>
          <w:szCs w:val="24"/>
        </w:rPr>
        <w:t>built into s 60 to meet the peculiar circumstances of illegality arising fr</w:t>
      </w:r>
      <w:r w:rsidR="00F82004" w:rsidRPr="00631743">
        <w:rPr>
          <w:rFonts w:ascii="Arial" w:hAnsi="Arial" w:cs="Arial"/>
          <w:sz w:val="24"/>
          <w:szCs w:val="24"/>
        </w:rPr>
        <w:t>om non-compliance with s 58(1)</w:t>
      </w:r>
      <w:r w:rsidR="00F82004" w:rsidRPr="00631743">
        <w:rPr>
          <w:rFonts w:ascii="Arial" w:hAnsi="Arial" w:cs="Arial"/>
          <w:i/>
          <w:sz w:val="24"/>
          <w:szCs w:val="24"/>
        </w:rPr>
        <w:t>(a</w:t>
      </w:r>
      <w:r w:rsidR="00451CB9" w:rsidRPr="00631743">
        <w:rPr>
          <w:rFonts w:ascii="Arial" w:hAnsi="Arial" w:cs="Arial"/>
          <w:i/>
          <w:sz w:val="24"/>
          <w:szCs w:val="24"/>
        </w:rPr>
        <w:t>)</w:t>
      </w:r>
      <w:r w:rsidR="00451CB9" w:rsidRPr="00631743">
        <w:rPr>
          <w:rFonts w:ascii="Arial" w:hAnsi="Arial" w:cs="Arial"/>
          <w:sz w:val="24"/>
          <w:szCs w:val="24"/>
        </w:rPr>
        <w:t>.</w:t>
      </w:r>
    </w:p>
    <w:p w:rsidR="00A40DC5" w:rsidRPr="00631743" w:rsidRDefault="00F877E1"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6638A" w:rsidRPr="00631743">
        <w:rPr>
          <w:rFonts w:ascii="Arial" w:hAnsi="Arial" w:cs="Arial"/>
          <w:sz w:val="24"/>
          <w:szCs w:val="24"/>
        </w:rPr>
        <w:t>71</w:t>
      </w:r>
      <w:r w:rsidR="000A2EA1" w:rsidRPr="00631743">
        <w:rPr>
          <w:rFonts w:ascii="Arial" w:hAnsi="Arial" w:cs="Arial"/>
          <w:sz w:val="24"/>
          <w:szCs w:val="24"/>
        </w:rPr>
        <w:t>]</w:t>
      </w:r>
      <w:r w:rsidR="000A2EA1" w:rsidRPr="00631743">
        <w:rPr>
          <w:rFonts w:ascii="Arial" w:hAnsi="Arial" w:cs="Arial"/>
          <w:sz w:val="24"/>
          <w:szCs w:val="24"/>
        </w:rPr>
        <w:tab/>
      </w:r>
      <w:r w:rsidR="00A40DC5" w:rsidRPr="00631743">
        <w:rPr>
          <w:rFonts w:ascii="Arial" w:hAnsi="Arial" w:cs="Arial"/>
          <w:sz w:val="24"/>
          <w:szCs w:val="24"/>
        </w:rPr>
        <w:t xml:space="preserve">I conclude, therefore, that the court </w:t>
      </w:r>
      <w:r w:rsidR="00A40DC5" w:rsidRPr="00631743">
        <w:rPr>
          <w:rFonts w:ascii="Arial" w:hAnsi="Arial" w:cs="Arial"/>
          <w:i/>
          <w:sz w:val="24"/>
          <w:szCs w:val="24"/>
        </w:rPr>
        <w:t>a quo</w:t>
      </w:r>
      <w:r w:rsidR="00A40DC5" w:rsidRPr="00631743">
        <w:rPr>
          <w:rFonts w:ascii="Arial" w:hAnsi="Arial" w:cs="Arial"/>
          <w:sz w:val="24"/>
          <w:szCs w:val="24"/>
        </w:rPr>
        <w:t xml:space="preserve"> did not err in making the order it did</w:t>
      </w:r>
      <w:r w:rsidR="00EF57BF" w:rsidRPr="00631743">
        <w:rPr>
          <w:rFonts w:ascii="Arial" w:hAnsi="Arial" w:cs="Arial"/>
          <w:sz w:val="24"/>
          <w:szCs w:val="24"/>
        </w:rPr>
        <w:t xml:space="preserve"> ( which we hereby confirm)</w:t>
      </w:r>
      <w:r w:rsidR="00A40DC5" w:rsidRPr="00631743">
        <w:rPr>
          <w:rFonts w:ascii="Arial" w:hAnsi="Arial" w:cs="Arial"/>
          <w:sz w:val="24"/>
          <w:szCs w:val="24"/>
        </w:rPr>
        <w:t xml:space="preserve"> – directing that the Minister proceed in terms of s 60 of the Land Reform Act.</w:t>
      </w:r>
    </w:p>
    <w:p w:rsidR="00A40DC5" w:rsidRPr="00631743" w:rsidRDefault="00A40DC5" w:rsidP="004012CE">
      <w:pPr>
        <w:spacing w:before="100" w:beforeAutospacing="1" w:after="100" w:afterAutospacing="1" w:line="480" w:lineRule="auto"/>
        <w:jc w:val="both"/>
        <w:rPr>
          <w:rFonts w:ascii="Arial" w:hAnsi="Arial" w:cs="Arial"/>
          <w:sz w:val="24"/>
          <w:szCs w:val="24"/>
          <w:u w:val="single"/>
        </w:rPr>
      </w:pPr>
      <w:r w:rsidRPr="00631743">
        <w:rPr>
          <w:rFonts w:ascii="Arial" w:hAnsi="Arial" w:cs="Arial"/>
          <w:sz w:val="24"/>
          <w:szCs w:val="24"/>
          <w:u w:val="single"/>
        </w:rPr>
        <w:t>Costs</w:t>
      </w:r>
    </w:p>
    <w:p w:rsidR="00A40DC5" w:rsidRPr="00631743" w:rsidRDefault="00E003CA"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42468" w:rsidRPr="00631743">
        <w:rPr>
          <w:rFonts w:ascii="Arial" w:hAnsi="Arial" w:cs="Arial"/>
          <w:sz w:val="24"/>
          <w:szCs w:val="24"/>
        </w:rPr>
        <w:t>7</w:t>
      </w:r>
      <w:r w:rsidR="0026638A" w:rsidRPr="00631743">
        <w:rPr>
          <w:rFonts w:ascii="Arial" w:hAnsi="Arial" w:cs="Arial"/>
          <w:sz w:val="24"/>
          <w:szCs w:val="24"/>
        </w:rPr>
        <w:t>2</w:t>
      </w:r>
      <w:r w:rsidR="000A2EA1" w:rsidRPr="00631743">
        <w:rPr>
          <w:rFonts w:ascii="Arial" w:hAnsi="Arial" w:cs="Arial"/>
          <w:sz w:val="24"/>
          <w:szCs w:val="24"/>
        </w:rPr>
        <w:t>]</w:t>
      </w:r>
      <w:r w:rsidR="000A2EA1" w:rsidRPr="00631743">
        <w:rPr>
          <w:rFonts w:ascii="Arial" w:hAnsi="Arial" w:cs="Arial"/>
          <w:sz w:val="24"/>
          <w:szCs w:val="24"/>
        </w:rPr>
        <w:tab/>
      </w:r>
      <w:r w:rsidR="00A40DC5" w:rsidRPr="00631743">
        <w:rPr>
          <w:rFonts w:ascii="Arial" w:hAnsi="Arial" w:cs="Arial"/>
          <w:sz w:val="24"/>
          <w:szCs w:val="24"/>
        </w:rPr>
        <w:t>Costs must follow the result as between the respondents and the appellant. As for the Minister</w:t>
      </w:r>
      <w:r w:rsidR="0026638A" w:rsidRPr="00631743">
        <w:rPr>
          <w:rFonts w:ascii="Arial" w:hAnsi="Arial" w:cs="Arial"/>
          <w:sz w:val="24"/>
          <w:szCs w:val="24"/>
        </w:rPr>
        <w:t xml:space="preserve"> (fourth respondent)</w:t>
      </w:r>
      <w:r w:rsidR="00A40DC5" w:rsidRPr="00631743">
        <w:rPr>
          <w:rFonts w:ascii="Arial" w:hAnsi="Arial" w:cs="Arial"/>
          <w:sz w:val="24"/>
          <w:szCs w:val="24"/>
        </w:rPr>
        <w:t xml:space="preserve">, it has not been demonstrated that he acted unreasonably in taking the attitude that it was premature to proceed under s 60 </w:t>
      </w:r>
      <w:r w:rsidR="002C4FF1" w:rsidRPr="00631743">
        <w:rPr>
          <w:rFonts w:ascii="Arial" w:hAnsi="Arial" w:cs="Arial"/>
          <w:sz w:val="24"/>
          <w:szCs w:val="24"/>
        </w:rPr>
        <w:t xml:space="preserve">and </w:t>
      </w:r>
      <w:r w:rsidR="00A40DC5" w:rsidRPr="00631743">
        <w:rPr>
          <w:rFonts w:ascii="Arial" w:hAnsi="Arial" w:cs="Arial"/>
          <w:sz w:val="24"/>
          <w:szCs w:val="24"/>
        </w:rPr>
        <w:t>that he would rather await the outcome of the court process. No costs will therefore be ordered against the Minister.</w:t>
      </w:r>
    </w:p>
    <w:p w:rsidR="00A40DC5" w:rsidRPr="00631743" w:rsidRDefault="00A40DC5" w:rsidP="004012CE">
      <w:pPr>
        <w:spacing w:before="100" w:beforeAutospacing="1" w:after="100" w:afterAutospacing="1" w:line="480" w:lineRule="auto"/>
        <w:jc w:val="both"/>
        <w:rPr>
          <w:rFonts w:ascii="Arial" w:hAnsi="Arial" w:cs="Arial"/>
          <w:sz w:val="24"/>
          <w:szCs w:val="24"/>
          <w:u w:val="single"/>
        </w:rPr>
      </w:pPr>
      <w:r w:rsidRPr="00631743">
        <w:rPr>
          <w:rFonts w:ascii="Arial" w:hAnsi="Arial" w:cs="Arial"/>
          <w:sz w:val="24"/>
          <w:szCs w:val="24"/>
          <w:u w:val="single"/>
        </w:rPr>
        <w:t>The order</w:t>
      </w:r>
    </w:p>
    <w:p w:rsidR="00C35862" w:rsidRPr="00631743" w:rsidRDefault="00E003CA" w:rsidP="004012CE">
      <w:p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w:t>
      </w:r>
      <w:r w:rsidR="0026638A" w:rsidRPr="00631743">
        <w:rPr>
          <w:rFonts w:ascii="Arial" w:hAnsi="Arial" w:cs="Arial"/>
          <w:sz w:val="24"/>
          <w:szCs w:val="24"/>
        </w:rPr>
        <w:t>73</w:t>
      </w:r>
      <w:r w:rsidR="000A2EA1" w:rsidRPr="00631743">
        <w:rPr>
          <w:rFonts w:ascii="Arial" w:hAnsi="Arial" w:cs="Arial"/>
          <w:sz w:val="24"/>
          <w:szCs w:val="24"/>
        </w:rPr>
        <w:t>]</w:t>
      </w:r>
      <w:r w:rsidR="000A2EA1" w:rsidRPr="00631743">
        <w:rPr>
          <w:rFonts w:ascii="Arial" w:hAnsi="Arial" w:cs="Arial"/>
          <w:sz w:val="24"/>
          <w:szCs w:val="24"/>
        </w:rPr>
        <w:tab/>
      </w:r>
      <w:r w:rsidR="00135EDC" w:rsidRPr="00631743">
        <w:rPr>
          <w:rFonts w:ascii="Arial" w:hAnsi="Arial" w:cs="Arial"/>
          <w:sz w:val="24"/>
          <w:szCs w:val="24"/>
        </w:rPr>
        <w:t>In</w:t>
      </w:r>
      <w:r w:rsidR="00C35862" w:rsidRPr="00631743">
        <w:rPr>
          <w:rFonts w:ascii="Arial" w:hAnsi="Arial" w:cs="Arial"/>
          <w:sz w:val="24"/>
          <w:szCs w:val="24"/>
        </w:rPr>
        <w:t xml:space="preserve"> the result:</w:t>
      </w:r>
    </w:p>
    <w:p w:rsidR="00A40DC5" w:rsidRPr="00631743" w:rsidRDefault="00A40DC5" w:rsidP="004012CE">
      <w:pPr>
        <w:pStyle w:val="ListParagraph"/>
        <w:numPr>
          <w:ilvl w:val="0"/>
          <w:numId w:val="20"/>
        </w:num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The appeal is dismissed with costs against the appellant, to include costs consequent upon the employment of one instructing and two instructed counsel.</w:t>
      </w:r>
    </w:p>
    <w:p w:rsidR="00A40DC5" w:rsidRPr="00631743" w:rsidRDefault="00A40DC5" w:rsidP="004012CE">
      <w:pPr>
        <w:pStyle w:val="ListParagraph"/>
        <w:numPr>
          <w:ilvl w:val="0"/>
          <w:numId w:val="20"/>
        </w:numPr>
        <w:spacing w:before="100" w:beforeAutospacing="1" w:after="100" w:afterAutospacing="1" w:line="480" w:lineRule="auto"/>
        <w:jc w:val="both"/>
        <w:rPr>
          <w:rFonts w:ascii="Arial" w:hAnsi="Arial" w:cs="Arial"/>
          <w:sz w:val="24"/>
          <w:szCs w:val="24"/>
        </w:rPr>
      </w:pPr>
      <w:r w:rsidRPr="00631743">
        <w:rPr>
          <w:rFonts w:ascii="Arial" w:hAnsi="Arial" w:cs="Arial"/>
          <w:sz w:val="24"/>
          <w:szCs w:val="24"/>
        </w:rPr>
        <w:t>There shall be no costs against the fourth respondent.</w:t>
      </w:r>
    </w:p>
    <w:p w:rsidR="00A40DC5" w:rsidRPr="00631743" w:rsidRDefault="00A40DC5" w:rsidP="0052753E">
      <w:pPr>
        <w:spacing w:after="0" w:line="360" w:lineRule="auto"/>
        <w:rPr>
          <w:rFonts w:ascii="Arial" w:hAnsi="Arial" w:cs="Arial"/>
          <w:sz w:val="24"/>
          <w:szCs w:val="24"/>
        </w:rPr>
      </w:pPr>
    </w:p>
    <w:p w:rsidR="009B151C" w:rsidRDefault="009B151C" w:rsidP="0052753E">
      <w:pPr>
        <w:spacing w:after="0" w:line="360" w:lineRule="auto"/>
        <w:rPr>
          <w:rFonts w:ascii="Arial" w:hAnsi="Arial" w:cs="Arial"/>
          <w:sz w:val="24"/>
          <w:szCs w:val="24"/>
        </w:rPr>
      </w:pPr>
    </w:p>
    <w:p w:rsidR="00BF580A" w:rsidRPr="00631743" w:rsidRDefault="00BF580A" w:rsidP="0052753E">
      <w:pPr>
        <w:spacing w:after="0" w:line="360" w:lineRule="auto"/>
        <w:rPr>
          <w:rFonts w:ascii="Arial" w:hAnsi="Arial" w:cs="Arial"/>
          <w:sz w:val="24"/>
          <w:szCs w:val="24"/>
        </w:rPr>
      </w:pPr>
    </w:p>
    <w:p w:rsidR="009B151C" w:rsidRPr="00631743" w:rsidRDefault="009B151C" w:rsidP="009B151C">
      <w:pPr>
        <w:spacing w:after="0" w:line="360" w:lineRule="auto"/>
        <w:rPr>
          <w:rFonts w:ascii="Arial" w:hAnsi="Arial" w:cs="Arial"/>
          <w:sz w:val="24"/>
          <w:szCs w:val="24"/>
        </w:rPr>
      </w:pPr>
    </w:p>
    <w:p w:rsidR="009B151C" w:rsidRPr="00631743" w:rsidRDefault="009B151C" w:rsidP="009B151C">
      <w:pPr>
        <w:spacing w:after="0" w:line="360" w:lineRule="auto"/>
        <w:rPr>
          <w:rFonts w:ascii="Arial" w:hAnsi="Arial" w:cs="Arial"/>
          <w:sz w:val="24"/>
          <w:szCs w:val="24"/>
        </w:rPr>
      </w:pPr>
    </w:p>
    <w:p w:rsidR="009B151C" w:rsidRPr="00631743" w:rsidRDefault="009B151C" w:rsidP="009B151C">
      <w:pPr>
        <w:spacing w:after="0" w:line="360" w:lineRule="auto"/>
        <w:rPr>
          <w:rFonts w:ascii="Arial" w:hAnsi="Arial" w:cs="Arial"/>
          <w:sz w:val="24"/>
          <w:szCs w:val="24"/>
        </w:rPr>
      </w:pPr>
    </w:p>
    <w:p w:rsidR="009B151C" w:rsidRPr="00631743" w:rsidRDefault="009B151C" w:rsidP="009B151C">
      <w:pPr>
        <w:spacing w:after="0" w:line="360" w:lineRule="auto"/>
        <w:rPr>
          <w:rFonts w:ascii="Arial" w:hAnsi="Arial" w:cs="Arial"/>
          <w:sz w:val="24"/>
          <w:szCs w:val="24"/>
        </w:rPr>
      </w:pPr>
    </w:p>
    <w:p w:rsidR="00C35862" w:rsidRPr="00631743" w:rsidRDefault="00C35862" w:rsidP="009B151C">
      <w:pPr>
        <w:spacing w:after="0" w:line="360" w:lineRule="auto"/>
        <w:jc w:val="both"/>
        <w:rPr>
          <w:rFonts w:ascii="Arial" w:eastAsia="Times New Roman" w:hAnsi="Arial" w:cs="Arial"/>
          <w:sz w:val="24"/>
          <w:szCs w:val="24"/>
        </w:rPr>
      </w:pPr>
      <w:r w:rsidRPr="00631743">
        <w:rPr>
          <w:rFonts w:ascii="Arial" w:eastAsia="Times New Roman" w:hAnsi="Arial" w:cs="Arial"/>
          <w:sz w:val="24"/>
          <w:szCs w:val="24"/>
        </w:rPr>
        <w:t>________________________</w:t>
      </w:r>
    </w:p>
    <w:p w:rsidR="00C35862" w:rsidRPr="00631743" w:rsidRDefault="005E5BEE" w:rsidP="009B151C">
      <w:pPr>
        <w:spacing w:after="0" w:line="360" w:lineRule="auto"/>
        <w:jc w:val="both"/>
        <w:outlineLvl w:val="0"/>
        <w:rPr>
          <w:rFonts w:ascii="Arial" w:eastAsia="Times New Roman" w:hAnsi="Arial" w:cs="Arial"/>
          <w:b/>
          <w:sz w:val="24"/>
          <w:szCs w:val="24"/>
        </w:rPr>
      </w:pPr>
      <w:r w:rsidRPr="00631743">
        <w:rPr>
          <w:rFonts w:ascii="Arial" w:eastAsia="Times New Roman" w:hAnsi="Arial" w:cs="Arial"/>
          <w:b/>
          <w:sz w:val="24"/>
          <w:szCs w:val="24"/>
        </w:rPr>
        <w:t>DAMASEB DCJ</w:t>
      </w:r>
    </w:p>
    <w:p w:rsidR="00AE3500" w:rsidRPr="00631743" w:rsidRDefault="00AE3500" w:rsidP="009B151C">
      <w:pPr>
        <w:spacing w:after="0" w:line="360" w:lineRule="auto"/>
        <w:rPr>
          <w:rFonts w:ascii="Arial" w:hAnsi="Arial" w:cs="Arial"/>
          <w:sz w:val="24"/>
          <w:szCs w:val="24"/>
        </w:rPr>
      </w:pPr>
    </w:p>
    <w:p w:rsidR="0052753E" w:rsidRPr="00631743" w:rsidRDefault="0052753E" w:rsidP="009B151C">
      <w:pPr>
        <w:spacing w:after="0" w:line="360" w:lineRule="auto"/>
        <w:rPr>
          <w:rFonts w:ascii="Arial" w:hAnsi="Arial" w:cs="Arial"/>
          <w:sz w:val="24"/>
          <w:szCs w:val="24"/>
        </w:rPr>
      </w:pPr>
    </w:p>
    <w:p w:rsidR="0052753E" w:rsidRPr="00631743" w:rsidRDefault="0052753E" w:rsidP="009B151C">
      <w:pPr>
        <w:spacing w:after="0" w:line="360" w:lineRule="auto"/>
        <w:rPr>
          <w:rFonts w:ascii="Arial" w:hAnsi="Arial" w:cs="Arial"/>
          <w:sz w:val="24"/>
          <w:szCs w:val="24"/>
        </w:rPr>
      </w:pPr>
    </w:p>
    <w:p w:rsidR="0052753E" w:rsidRPr="00631743" w:rsidRDefault="0052753E" w:rsidP="009B151C">
      <w:pPr>
        <w:spacing w:after="0" w:line="360" w:lineRule="auto"/>
        <w:rPr>
          <w:rFonts w:ascii="Arial" w:hAnsi="Arial" w:cs="Arial"/>
          <w:sz w:val="24"/>
          <w:szCs w:val="24"/>
        </w:rPr>
      </w:pPr>
    </w:p>
    <w:p w:rsidR="00F35C2E" w:rsidRPr="00631743" w:rsidRDefault="00F35C2E" w:rsidP="009B151C">
      <w:pPr>
        <w:spacing w:after="0" w:line="360" w:lineRule="auto"/>
        <w:rPr>
          <w:rFonts w:ascii="Arial" w:hAnsi="Arial" w:cs="Arial"/>
          <w:sz w:val="24"/>
          <w:szCs w:val="24"/>
        </w:rPr>
      </w:pPr>
      <w:r w:rsidRPr="00631743">
        <w:rPr>
          <w:rFonts w:ascii="Arial" w:hAnsi="Arial" w:cs="Arial"/>
          <w:sz w:val="24"/>
          <w:szCs w:val="24"/>
        </w:rPr>
        <w:t>_______________________</w:t>
      </w:r>
    </w:p>
    <w:p w:rsidR="00F35C2E" w:rsidRPr="00631743" w:rsidRDefault="00F35C2E" w:rsidP="009B151C">
      <w:pPr>
        <w:spacing w:after="0" w:line="360" w:lineRule="auto"/>
        <w:jc w:val="both"/>
        <w:rPr>
          <w:rFonts w:ascii="Arial" w:eastAsia="Gulim" w:hAnsi="Arial" w:cs="Arial"/>
          <w:b/>
          <w:sz w:val="24"/>
          <w:szCs w:val="24"/>
        </w:rPr>
      </w:pPr>
      <w:r w:rsidRPr="00631743">
        <w:rPr>
          <w:rFonts w:ascii="Arial" w:eastAsia="Gulim" w:hAnsi="Arial" w:cs="Arial"/>
          <w:b/>
          <w:sz w:val="24"/>
          <w:szCs w:val="24"/>
        </w:rPr>
        <w:t>SMUTS JA</w:t>
      </w:r>
    </w:p>
    <w:p w:rsidR="00EF57BF" w:rsidRPr="00631743" w:rsidRDefault="00EF57BF" w:rsidP="009B151C">
      <w:pPr>
        <w:spacing w:after="0" w:line="360" w:lineRule="auto"/>
        <w:jc w:val="both"/>
        <w:rPr>
          <w:rFonts w:ascii="Arial" w:eastAsia="Gulim" w:hAnsi="Arial" w:cs="Arial"/>
          <w:b/>
          <w:sz w:val="24"/>
          <w:szCs w:val="24"/>
        </w:rPr>
      </w:pPr>
    </w:p>
    <w:p w:rsidR="0052753E" w:rsidRPr="00631743" w:rsidRDefault="0052753E" w:rsidP="009B151C">
      <w:pPr>
        <w:spacing w:after="0" w:line="360" w:lineRule="auto"/>
        <w:jc w:val="both"/>
        <w:rPr>
          <w:rFonts w:ascii="Arial" w:eastAsia="Gulim" w:hAnsi="Arial" w:cs="Arial"/>
          <w:b/>
          <w:sz w:val="24"/>
          <w:szCs w:val="24"/>
        </w:rPr>
      </w:pPr>
    </w:p>
    <w:p w:rsidR="0052753E" w:rsidRPr="00631743" w:rsidRDefault="0052753E" w:rsidP="009B151C">
      <w:pPr>
        <w:spacing w:after="0" w:line="360" w:lineRule="auto"/>
        <w:jc w:val="both"/>
        <w:rPr>
          <w:rFonts w:ascii="Arial" w:eastAsia="Gulim" w:hAnsi="Arial" w:cs="Arial"/>
          <w:b/>
          <w:sz w:val="24"/>
          <w:szCs w:val="24"/>
        </w:rPr>
      </w:pPr>
    </w:p>
    <w:p w:rsidR="00EF57BF" w:rsidRPr="00631743" w:rsidRDefault="00EF57BF" w:rsidP="009B151C">
      <w:pPr>
        <w:spacing w:after="0" w:line="360" w:lineRule="auto"/>
        <w:jc w:val="both"/>
        <w:rPr>
          <w:rFonts w:ascii="Arial" w:eastAsia="Gulim" w:hAnsi="Arial" w:cs="Arial"/>
          <w:b/>
          <w:sz w:val="24"/>
          <w:szCs w:val="24"/>
        </w:rPr>
      </w:pPr>
    </w:p>
    <w:p w:rsidR="00F35C2E" w:rsidRPr="00631743" w:rsidRDefault="0052753E" w:rsidP="009B151C">
      <w:pPr>
        <w:spacing w:after="0" w:line="360" w:lineRule="auto"/>
        <w:jc w:val="both"/>
        <w:rPr>
          <w:rFonts w:ascii="Arial" w:eastAsia="Gulim" w:hAnsi="Arial" w:cs="Arial"/>
          <w:sz w:val="24"/>
          <w:szCs w:val="24"/>
        </w:rPr>
      </w:pPr>
      <w:r w:rsidRPr="00631743">
        <w:rPr>
          <w:rFonts w:ascii="Arial" w:eastAsia="Gulim" w:hAnsi="Arial" w:cs="Arial"/>
          <w:sz w:val="24"/>
          <w:szCs w:val="24"/>
        </w:rPr>
        <w:t>________________________</w:t>
      </w:r>
    </w:p>
    <w:p w:rsidR="00F35C2E" w:rsidRPr="00631743" w:rsidRDefault="00F35C2E" w:rsidP="009B151C">
      <w:pPr>
        <w:spacing w:after="0" w:line="360" w:lineRule="auto"/>
        <w:jc w:val="both"/>
        <w:rPr>
          <w:rFonts w:ascii="Arial" w:eastAsia="Gulim" w:hAnsi="Arial" w:cs="Arial"/>
          <w:b/>
          <w:sz w:val="24"/>
          <w:szCs w:val="24"/>
        </w:rPr>
      </w:pPr>
      <w:r w:rsidRPr="00631743">
        <w:rPr>
          <w:rFonts w:ascii="Arial" w:eastAsia="Gulim" w:hAnsi="Arial" w:cs="Arial"/>
          <w:b/>
          <w:sz w:val="24"/>
          <w:szCs w:val="24"/>
        </w:rPr>
        <w:t>HOFF JA</w:t>
      </w:r>
    </w:p>
    <w:p w:rsidR="00D812C4" w:rsidRPr="00631743" w:rsidRDefault="00D812C4" w:rsidP="009B151C">
      <w:pPr>
        <w:spacing w:after="0" w:line="360" w:lineRule="auto"/>
        <w:rPr>
          <w:rFonts w:ascii="Arial" w:eastAsia="Gulim" w:hAnsi="Arial" w:cs="Arial"/>
          <w:sz w:val="24"/>
          <w:szCs w:val="24"/>
        </w:rPr>
      </w:pPr>
      <w:r w:rsidRPr="00631743">
        <w:rPr>
          <w:rFonts w:ascii="Arial" w:eastAsia="Gulim" w:hAnsi="Arial" w:cs="Arial"/>
          <w:sz w:val="24"/>
          <w:szCs w:val="24"/>
        </w:rPr>
        <w:br w:type="page"/>
      </w:r>
    </w:p>
    <w:p w:rsidR="00BF580A" w:rsidRDefault="00BF580A" w:rsidP="009B151C">
      <w:pPr>
        <w:spacing w:after="0" w:line="360" w:lineRule="auto"/>
        <w:jc w:val="both"/>
        <w:rPr>
          <w:rFonts w:ascii="Arial" w:eastAsia="Gulim" w:hAnsi="Arial" w:cs="Arial"/>
          <w:sz w:val="24"/>
          <w:szCs w:val="24"/>
        </w:rPr>
      </w:pPr>
    </w:p>
    <w:p w:rsidR="00AE3500" w:rsidRPr="00631743" w:rsidRDefault="00AE3500" w:rsidP="009B151C">
      <w:pPr>
        <w:spacing w:after="0" w:line="360" w:lineRule="auto"/>
        <w:jc w:val="both"/>
        <w:rPr>
          <w:rFonts w:ascii="Arial" w:eastAsia="Gulim" w:hAnsi="Arial" w:cs="Arial"/>
          <w:sz w:val="24"/>
          <w:szCs w:val="24"/>
        </w:rPr>
      </w:pPr>
      <w:r w:rsidRPr="00631743">
        <w:rPr>
          <w:rFonts w:ascii="Arial" w:eastAsia="Gulim" w:hAnsi="Arial" w:cs="Arial"/>
          <w:sz w:val="24"/>
          <w:szCs w:val="24"/>
        </w:rPr>
        <w:t>APPEARANCES</w:t>
      </w:r>
      <w:r w:rsidR="008C3499" w:rsidRPr="00631743">
        <w:rPr>
          <w:rFonts w:ascii="Arial" w:eastAsia="Gulim" w:hAnsi="Arial" w:cs="Arial"/>
          <w:sz w:val="24"/>
          <w:szCs w:val="24"/>
        </w:rPr>
        <w:t>:</w:t>
      </w:r>
    </w:p>
    <w:p w:rsidR="000A2EA1" w:rsidRPr="00631743" w:rsidRDefault="000A2EA1" w:rsidP="009B151C">
      <w:pPr>
        <w:spacing w:after="0" w:line="360" w:lineRule="auto"/>
        <w:jc w:val="both"/>
        <w:rPr>
          <w:rFonts w:ascii="Arial" w:eastAsia="Gulim" w:hAnsi="Arial" w:cs="Arial"/>
          <w:sz w:val="24"/>
          <w:szCs w:val="24"/>
        </w:rPr>
      </w:pPr>
    </w:p>
    <w:p w:rsidR="00F35C2E" w:rsidRPr="00631743" w:rsidRDefault="00AE3500" w:rsidP="009B151C">
      <w:pPr>
        <w:spacing w:after="0" w:line="360" w:lineRule="auto"/>
        <w:ind w:left="3686" w:hanging="3686"/>
        <w:jc w:val="both"/>
        <w:rPr>
          <w:rFonts w:ascii="Arial" w:eastAsia="Gulim" w:hAnsi="Arial" w:cs="Arial"/>
          <w:sz w:val="24"/>
          <w:szCs w:val="24"/>
        </w:rPr>
      </w:pPr>
      <w:r w:rsidRPr="00631743">
        <w:rPr>
          <w:rFonts w:ascii="Arial" w:eastAsia="Gulim" w:hAnsi="Arial" w:cs="Arial"/>
          <w:sz w:val="24"/>
          <w:szCs w:val="24"/>
        </w:rPr>
        <w:t>APPLELLANT:</w:t>
      </w:r>
      <w:r w:rsidR="00F35C2E" w:rsidRPr="00631743">
        <w:rPr>
          <w:rFonts w:ascii="Arial" w:eastAsia="Gulim" w:hAnsi="Arial" w:cs="Arial"/>
          <w:sz w:val="24"/>
          <w:szCs w:val="24"/>
        </w:rPr>
        <w:tab/>
      </w:r>
      <w:r w:rsidR="005B058A">
        <w:rPr>
          <w:rFonts w:ascii="Arial" w:eastAsia="Gulim" w:hAnsi="Arial" w:cs="Arial"/>
          <w:sz w:val="24"/>
          <w:szCs w:val="24"/>
        </w:rPr>
        <w:t>R</w:t>
      </w:r>
      <w:r w:rsidR="009A6D6B">
        <w:rPr>
          <w:rFonts w:ascii="Arial" w:eastAsia="Gulim" w:hAnsi="Arial" w:cs="Arial"/>
          <w:sz w:val="24"/>
          <w:szCs w:val="24"/>
        </w:rPr>
        <w:t xml:space="preserve"> T</w:t>
      </w:r>
      <w:r w:rsidR="009A6D6B" w:rsidRPr="009A6D6B">
        <w:rPr>
          <w:rFonts w:ascii="Arial" w:eastAsia="Gulim" w:hAnsi="Arial" w:cs="Arial"/>
          <w:sz w:val="24"/>
          <w:szCs w:val="24"/>
        </w:rPr>
        <w:t>ӧ</w:t>
      </w:r>
      <w:r w:rsidR="009A6D6B">
        <w:rPr>
          <w:rFonts w:ascii="Arial" w:eastAsia="Gulim" w:hAnsi="Arial" w:cs="Arial"/>
          <w:sz w:val="24"/>
          <w:szCs w:val="24"/>
        </w:rPr>
        <w:t>temeyer</w:t>
      </w:r>
      <w:r w:rsidR="000A2EA1" w:rsidRPr="00631743">
        <w:rPr>
          <w:rFonts w:ascii="Arial" w:eastAsia="Gulim" w:hAnsi="Arial" w:cs="Arial"/>
          <w:sz w:val="24"/>
          <w:szCs w:val="24"/>
        </w:rPr>
        <w:t xml:space="preserve"> (</w:t>
      </w:r>
      <w:r w:rsidR="009B151C" w:rsidRPr="00631743">
        <w:rPr>
          <w:rFonts w:ascii="Arial" w:eastAsia="Gulim" w:hAnsi="Arial" w:cs="Arial"/>
          <w:sz w:val="24"/>
          <w:szCs w:val="24"/>
        </w:rPr>
        <w:t>with him</w:t>
      </w:r>
      <w:r w:rsidR="000A2EA1" w:rsidRPr="00631743">
        <w:rPr>
          <w:rFonts w:ascii="Arial" w:eastAsia="Gulim" w:hAnsi="Arial" w:cs="Arial"/>
          <w:sz w:val="24"/>
          <w:szCs w:val="24"/>
        </w:rPr>
        <w:t xml:space="preserve"> </w:t>
      </w:r>
      <w:r w:rsidR="00F35C2E" w:rsidRPr="00631743">
        <w:rPr>
          <w:rFonts w:ascii="Arial" w:eastAsia="Gulim" w:hAnsi="Arial" w:cs="Arial"/>
          <w:sz w:val="24"/>
          <w:szCs w:val="24"/>
        </w:rPr>
        <w:t>D Obbes</w:t>
      </w:r>
      <w:r w:rsidR="000A2EA1" w:rsidRPr="00631743">
        <w:rPr>
          <w:rFonts w:ascii="Arial" w:eastAsia="Gulim" w:hAnsi="Arial" w:cs="Arial"/>
          <w:sz w:val="24"/>
          <w:szCs w:val="24"/>
        </w:rPr>
        <w:t>)</w:t>
      </w:r>
    </w:p>
    <w:p w:rsidR="00AE3500" w:rsidRPr="00631743" w:rsidRDefault="00F35C2E" w:rsidP="009B151C">
      <w:pPr>
        <w:spacing w:after="0" w:line="360" w:lineRule="auto"/>
        <w:ind w:left="3686"/>
        <w:jc w:val="both"/>
        <w:rPr>
          <w:rFonts w:ascii="Arial" w:eastAsia="Gulim" w:hAnsi="Arial" w:cs="Arial"/>
          <w:sz w:val="24"/>
          <w:szCs w:val="24"/>
        </w:rPr>
      </w:pPr>
      <w:r w:rsidRPr="00631743">
        <w:rPr>
          <w:rFonts w:ascii="Arial" w:eastAsia="Gulim" w:hAnsi="Arial" w:cs="Arial"/>
          <w:sz w:val="24"/>
          <w:szCs w:val="24"/>
        </w:rPr>
        <w:t>Instructed by</w:t>
      </w:r>
      <w:r w:rsidR="009B151C" w:rsidRPr="00631743">
        <w:rPr>
          <w:rFonts w:ascii="Arial" w:eastAsia="Gulim" w:hAnsi="Arial" w:cs="Arial"/>
          <w:sz w:val="24"/>
          <w:szCs w:val="24"/>
        </w:rPr>
        <w:t xml:space="preserve"> </w:t>
      </w:r>
      <w:r w:rsidR="000A2EA1" w:rsidRPr="00631743">
        <w:rPr>
          <w:rFonts w:ascii="Arial" w:eastAsia="Gulim" w:hAnsi="Arial" w:cs="Arial"/>
          <w:sz w:val="24"/>
          <w:szCs w:val="24"/>
        </w:rPr>
        <w:t>ENS Africa Namibia, Windhoek</w:t>
      </w:r>
    </w:p>
    <w:p w:rsidR="009B151C" w:rsidRPr="00631743" w:rsidRDefault="009B151C" w:rsidP="009B151C">
      <w:pPr>
        <w:tabs>
          <w:tab w:val="left" w:pos="3686"/>
        </w:tabs>
        <w:spacing w:after="0" w:line="360" w:lineRule="auto"/>
        <w:jc w:val="both"/>
        <w:rPr>
          <w:rFonts w:ascii="Arial" w:eastAsia="Gulim" w:hAnsi="Arial" w:cs="Arial"/>
          <w:sz w:val="24"/>
          <w:szCs w:val="24"/>
        </w:rPr>
      </w:pPr>
    </w:p>
    <w:p w:rsidR="00F35C2E" w:rsidRPr="00631743" w:rsidRDefault="009B151C" w:rsidP="009B151C">
      <w:pPr>
        <w:tabs>
          <w:tab w:val="left" w:pos="3686"/>
        </w:tabs>
        <w:spacing w:after="0" w:line="360" w:lineRule="auto"/>
        <w:jc w:val="both"/>
        <w:rPr>
          <w:rFonts w:ascii="Arial" w:eastAsia="Gulim" w:hAnsi="Arial" w:cs="Arial"/>
          <w:sz w:val="24"/>
          <w:szCs w:val="24"/>
        </w:rPr>
      </w:pPr>
      <w:r w:rsidRPr="00631743">
        <w:rPr>
          <w:rFonts w:ascii="Arial" w:eastAsia="Gulim" w:hAnsi="Arial" w:cs="Arial"/>
          <w:sz w:val="24"/>
          <w:szCs w:val="24"/>
        </w:rPr>
        <w:t>THIRD</w:t>
      </w:r>
      <w:r w:rsidR="00F877E1" w:rsidRPr="00631743">
        <w:rPr>
          <w:rFonts w:ascii="Arial" w:eastAsia="Gulim" w:hAnsi="Arial" w:cs="Arial"/>
          <w:sz w:val="24"/>
          <w:szCs w:val="24"/>
          <w:vertAlign w:val="superscript"/>
        </w:rPr>
        <w:t xml:space="preserve"> </w:t>
      </w:r>
      <w:r w:rsidR="00F35C2E" w:rsidRPr="00631743">
        <w:rPr>
          <w:rFonts w:ascii="Arial" w:eastAsia="Gulim" w:hAnsi="Arial" w:cs="Arial"/>
          <w:sz w:val="24"/>
          <w:szCs w:val="24"/>
        </w:rPr>
        <w:t xml:space="preserve">&amp; </w:t>
      </w:r>
      <w:r w:rsidRPr="00631743">
        <w:rPr>
          <w:rFonts w:ascii="Arial" w:eastAsia="Gulim" w:hAnsi="Arial" w:cs="Arial"/>
          <w:sz w:val="24"/>
          <w:szCs w:val="24"/>
        </w:rPr>
        <w:t>FIFTH</w:t>
      </w:r>
      <w:r w:rsidR="00AE3500" w:rsidRPr="00631743">
        <w:rPr>
          <w:rFonts w:ascii="Arial" w:eastAsia="Gulim" w:hAnsi="Arial" w:cs="Arial"/>
          <w:sz w:val="24"/>
          <w:szCs w:val="24"/>
        </w:rPr>
        <w:t>:</w:t>
      </w:r>
      <w:r w:rsidRPr="00631743">
        <w:rPr>
          <w:rFonts w:ascii="Arial" w:eastAsia="Gulim" w:hAnsi="Arial" w:cs="Arial"/>
          <w:sz w:val="24"/>
          <w:szCs w:val="24"/>
        </w:rPr>
        <w:tab/>
      </w:r>
    </w:p>
    <w:p w:rsidR="009B151C" w:rsidRPr="00631743" w:rsidRDefault="009B151C" w:rsidP="009B151C">
      <w:pPr>
        <w:tabs>
          <w:tab w:val="left" w:pos="3686"/>
        </w:tabs>
        <w:spacing w:after="0" w:line="360" w:lineRule="auto"/>
        <w:jc w:val="both"/>
        <w:rPr>
          <w:rFonts w:ascii="Arial" w:eastAsia="Gulim" w:hAnsi="Arial" w:cs="Arial"/>
          <w:sz w:val="24"/>
          <w:szCs w:val="24"/>
        </w:rPr>
      </w:pPr>
      <w:r w:rsidRPr="00631743">
        <w:rPr>
          <w:rFonts w:ascii="Arial" w:eastAsia="Gulim" w:hAnsi="Arial" w:cs="Arial"/>
          <w:sz w:val="24"/>
          <w:szCs w:val="24"/>
        </w:rPr>
        <w:t xml:space="preserve">RESPONDENTS </w:t>
      </w:r>
      <w:r w:rsidRPr="00631743">
        <w:rPr>
          <w:rFonts w:ascii="Arial" w:eastAsia="Gulim" w:hAnsi="Arial" w:cs="Arial"/>
          <w:sz w:val="24"/>
          <w:szCs w:val="24"/>
        </w:rPr>
        <w:tab/>
        <w:t>JJ Gauntlett SC QC (with him J Schickerling)</w:t>
      </w:r>
    </w:p>
    <w:p w:rsidR="00AE3500" w:rsidRPr="00631743" w:rsidRDefault="00F35C2E" w:rsidP="009B151C">
      <w:pPr>
        <w:tabs>
          <w:tab w:val="left" w:pos="3686"/>
        </w:tabs>
        <w:spacing w:after="0" w:line="360" w:lineRule="auto"/>
        <w:ind w:left="3686"/>
        <w:jc w:val="both"/>
        <w:rPr>
          <w:rFonts w:ascii="Arial" w:eastAsia="Gulim" w:hAnsi="Arial" w:cs="Arial"/>
          <w:sz w:val="24"/>
          <w:szCs w:val="24"/>
        </w:rPr>
      </w:pPr>
      <w:r w:rsidRPr="00631743">
        <w:rPr>
          <w:rFonts w:ascii="Arial" w:eastAsia="Gulim" w:hAnsi="Arial" w:cs="Arial"/>
          <w:sz w:val="24"/>
          <w:szCs w:val="24"/>
        </w:rPr>
        <w:t>Instructed by Francois Era</w:t>
      </w:r>
      <w:r w:rsidR="000A2EA1" w:rsidRPr="00631743">
        <w:rPr>
          <w:rFonts w:ascii="Arial" w:eastAsia="Gulim" w:hAnsi="Arial" w:cs="Arial"/>
          <w:sz w:val="24"/>
          <w:szCs w:val="24"/>
        </w:rPr>
        <w:t>s</w:t>
      </w:r>
      <w:r w:rsidRPr="00631743">
        <w:rPr>
          <w:rFonts w:ascii="Arial" w:eastAsia="Gulim" w:hAnsi="Arial" w:cs="Arial"/>
          <w:sz w:val="24"/>
          <w:szCs w:val="24"/>
        </w:rPr>
        <w:t>mus &amp; Partners</w:t>
      </w:r>
      <w:r w:rsidR="000A2EA1" w:rsidRPr="00631743">
        <w:rPr>
          <w:rFonts w:ascii="Arial" w:eastAsia="Gulim" w:hAnsi="Arial" w:cs="Arial"/>
          <w:sz w:val="24"/>
          <w:szCs w:val="24"/>
        </w:rPr>
        <w:t>, Windhoek</w:t>
      </w:r>
    </w:p>
    <w:tbl>
      <w:tblPr>
        <w:tblW w:w="0" w:type="auto"/>
        <w:tblLook w:val="04A0" w:firstRow="1" w:lastRow="0" w:firstColumn="1" w:lastColumn="0" w:noHBand="0" w:noVBand="1"/>
      </w:tblPr>
      <w:tblGrid>
        <w:gridCol w:w="3510"/>
        <w:gridCol w:w="5487"/>
      </w:tblGrid>
      <w:tr w:rsidR="00AE3500" w:rsidRPr="00631743" w:rsidTr="00AE3500">
        <w:tc>
          <w:tcPr>
            <w:tcW w:w="3510" w:type="dxa"/>
            <w:shd w:val="clear" w:color="auto" w:fill="auto"/>
          </w:tcPr>
          <w:p w:rsidR="00AE3500" w:rsidRPr="00631743" w:rsidRDefault="00AE3500" w:rsidP="009B151C">
            <w:pPr>
              <w:spacing w:after="0" w:line="360" w:lineRule="auto"/>
              <w:jc w:val="both"/>
              <w:rPr>
                <w:rFonts w:ascii="Arial" w:eastAsia="Gulim" w:hAnsi="Arial" w:cs="Arial"/>
                <w:sz w:val="24"/>
                <w:szCs w:val="24"/>
              </w:rPr>
            </w:pPr>
          </w:p>
        </w:tc>
        <w:tc>
          <w:tcPr>
            <w:tcW w:w="5487" w:type="dxa"/>
            <w:shd w:val="clear" w:color="auto" w:fill="auto"/>
          </w:tcPr>
          <w:p w:rsidR="00AE3500" w:rsidRPr="00631743" w:rsidRDefault="00AE3500" w:rsidP="009B151C">
            <w:pPr>
              <w:spacing w:after="0" w:line="360" w:lineRule="auto"/>
              <w:jc w:val="both"/>
              <w:rPr>
                <w:rFonts w:ascii="Arial" w:eastAsia="Gulim" w:hAnsi="Arial" w:cs="Arial"/>
                <w:sz w:val="24"/>
                <w:szCs w:val="24"/>
              </w:rPr>
            </w:pPr>
          </w:p>
        </w:tc>
      </w:tr>
    </w:tbl>
    <w:p w:rsidR="00AE3500" w:rsidRPr="00631743" w:rsidRDefault="00AE3500" w:rsidP="009B151C">
      <w:pPr>
        <w:spacing w:after="0" w:line="360" w:lineRule="auto"/>
        <w:rPr>
          <w:rFonts w:ascii="Arial" w:hAnsi="Arial" w:cs="Arial"/>
          <w:sz w:val="24"/>
          <w:szCs w:val="24"/>
        </w:rPr>
      </w:pPr>
    </w:p>
    <w:p w:rsidR="00AE3500" w:rsidRPr="00631743" w:rsidRDefault="00AE3500" w:rsidP="009B151C">
      <w:pPr>
        <w:spacing w:after="0" w:line="360" w:lineRule="auto"/>
        <w:rPr>
          <w:rFonts w:ascii="Arial" w:hAnsi="Arial" w:cs="Arial"/>
          <w:sz w:val="24"/>
          <w:szCs w:val="24"/>
        </w:rPr>
      </w:pPr>
    </w:p>
    <w:p w:rsidR="009B151C" w:rsidRPr="00631743" w:rsidRDefault="009B151C">
      <w:pPr>
        <w:spacing w:after="0" w:line="360" w:lineRule="auto"/>
        <w:rPr>
          <w:rFonts w:ascii="Arial" w:hAnsi="Arial" w:cs="Arial"/>
          <w:sz w:val="24"/>
          <w:szCs w:val="24"/>
        </w:rPr>
      </w:pPr>
    </w:p>
    <w:sectPr w:rsidR="009B151C" w:rsidRPr="00631743" w:rsidSect="007E6D9D">
      <w:headerReference w:type="default" r:id="rId12"/>
      <w:pgSz w:w="12240" w:h="15840"/>
      <w:pgMar w:top="1440" w:right="1183"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13" w:rsidRDefault="00976C13" w:rsidP="008F402F">
      <w:pPr>
        <w:spacing w:after="0" w:line="240" w:lineRule="auto"/>
      </w:pPr>
      <w:r>
        <w:separator/>
      </w:r>
    </w:p>
  </w:endnote>
  <w:endnote w:type="continuationSeparator" w:id="0">
    <w:p w:rsidR="00976C13" w:rsidRDefault="00976C13" w:rsidP="008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13" w:rsidRDefault="00976C13" w:rsidP="008F402F">
      <w:pPr>
        <w:spacing w:after="0" w:line="240" w:lineRule="auto"/>
      </w:pPr>
      <w:r>
        <w:separator/>
      </w:r>
    </w:p>
  </w:footnote>
  <w:footnote w:type="continuationSeparator" w:id="0">
    <w:p w:rsidR="00976C13" w:rsidRDefault="00976C13" w:rsidP="008F402F">
      <w:pPr>
        <w:spacing w:after="0" w:line="240" w:lineRule="auto"/>
      </w:pPr>
      <w:r>
        <w:continuationSeparator/>
      </w:r>
    </w:p>
  </w:footnote>
  <w:footnote w:id="1">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Compare the dictum by Shivute CJ in Schweiger v Muller 2013 (1) NR 87 (SC) at 93E-G.</w:t>
      </w:r>
    </w:p>
  </w:footnote>
  <w:footnote w:id="2">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Ibid at 93I-G and at 95A-B.</w:t>
      </w:r>
    </w:p>
  </w:footnote>
  <w:footnote w:id="3">
    <w:p w:rsidR="00D07C8E" w:rsidRPr="00D62021" w:rsidRDefault="00D07C8E"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w:t>
      </w:r>
      <w:r w:rsidR="00223006" w:rsidRPr="00D62021">
        <w:rPr>
          <w:rFonts w:ascii="Arial" w:hAnsi="Arial" w:cs="Arial"/>
        </w:rPr>
        <w:t>Section 23 read with s  10(6) of the Stamp duties Act 15 of 1993 and s 140 of the Companies Act 28 of 2004.</w:t>
      </w:r>
    </w:p>
  </w:footnote>
  <w:footnote w:id="4">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Reliance being placed on s 111 of the Companies Act which states: ‘A company is not bound to see to the execution of any trust, whether express, implied or constructive, in respect of any share’. Besides, as is common cause, the company’s articles of association do not authorise the issuing of shares to a company.</w:t>
      </w:r>
    </w:p>
  </w:footnote>
  <w:footnote w:id="5">
    <w:p w:rsidR="00F82004" w:rsidRPr="00D62021" w:rsidRDefault="00F82004" w:rsidP="00D62021">
      <w:pPr>
        <w:pStyle w:val="FootnoteText"/>
        <w:rPr>
          <w:rFonts w:ascii="Arial" w:hAnsi="Arial" w:cs="Arial"/>
          <w:lang w:val="en-ZA"/>
        </w:rPr>
      </w:pPr>
      <w:r w:rsidRPr="00D62021">
        <w:rPr>
          <w:rStyle w:val="FootnoteReference"/>
          <w:rFonts w:ascii="Arial" w:hAnsi="Arial" w:cs="Arial"/>
        </w:rPr>
        <w:footnoteRef/>
      </w:r>
      <w:r w:rsidRPr="00D62021">
        <w:rPr>
          <w:rFonts w:ascii="Arial" w:hAnsi="Arial" w:cs="Arial"/>
        </w:rPr>
        <w:t>National Director of Public Prosecutions v Zuma</w:t>
      </w:r>
      <w:r w:rsidR="00D62021" w:rsidRPr="00D62021">
        <w:rPr>
          <w:rFonts w:ascii="Arial" w:hAnsi="Arial" w:cs="Arial"/>
        </w:rPr>
        <w:t xml:space="preserve"> 2009 (2) SA 277 at 290 para 26; </w:t>
      </w:r>
      <w:r w:rsidR="00D62021" w:rsidRPr="00D62021">
        <w:rPr>
          <w:rFonts w:ascii="Arial" w:hAnsi="Arial" w:cs="Arial"/>
          <w:color w:val="000000" w:themeColor="text1"/>
        </w:rPr>
        <w:t>Plascon-Evans Paints Ltd v Van Riebeeck Paints (Pty) Ltd 1984 (3) SA 623 (A).</w:t>
      </w:r>
    </w:p>
  </w:footnote>
  <w:footnote w:id="6">
    <w:p w:rsidR="000325B2" w:rsidRPr="00D62021" w:rsidRDefault="000325B2"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Ibid.</w:t>
      </w:r>
    </w:p>
  </w:footnote>
  <w:footnote w:id="7">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Mostert v Minister of Justice </w:t>
      </w:r>
      <w:r w:rsidR="003C0680" w:rsidRPr="00D62021">
        <w:rPr>
          <w:rFonts w:ascii="Arial" w:hAnsi="Arial" w:cs="Arial"/>
        </w:rPr>
        <w:t>2003 NR 11 (SC) at 21G-H.</w:t>
      </w:r>
    </w:p>
  </w:footnote>
  <w:footnote w:id="8">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Verrin Trust &amp;</w:t>
      </w:r>
      <w:r w:rsidR="00E82CC4" w:rsidRPr="00D62021">
        <w:rPr>
          <w:rFonts w:ascii="Arial" w:hAnsi="Arial" w:cs="Arial"/>
        </w:rPr>
        <w:t xml:space="preserve"> </w:t>
      </w:r>
      <w:r w:rsidRPr="00D62021">
        <w:rPr>
          <w:rFonts w:ascii="Arial" w:hAnsi="Arial" w:cs="Arial"/>
        </w:rPr>
        <w:t>Finance Corporation (Pty) Ltd v Zeeland House (Pty) Ltd 1973 (4) SA 1 (C) at 10B-E.</w:t>
      </w:r>
    </w:p>
  </w:footnote>
  <w:footnote w:id="9">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Ibid.</w:t>
      </w:r>
    </w:p>
  </w:footnote>
  <w:footnote w:id="10">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Bauermeister v CC Bauermeister and Another 1981 (1) SA </w:t>
      </w:r>
      <w:r w:rsidR="0059058C" w:rsidRPr="00D62021">
        <w:rPr>
          <w:rFonts w:ascii="Arial" w:hAnsi="Arial" w:cs="Arial"/>
        </w:rPr>
        <w:t>274</w:t>
      </w:r>
      <w:r w:rsidR="002C2E76" w:rsidRPr="00D62021">
        <w:rPr>
          <w:rFonts w:ascii="Arial" w:hAnsi="Arial" w:cs="Arial"/>
        </w:rPr>
        <w:t xml:space="preserve"> (W) </w:t>
      </w:r>
      <w:r w:rsidRPr="00D62021">
        <w:rPr>
          <w:rFonts w:ascii="Arial" w:hAnsi="Arial" w:cs="Arial"/>
        </w:rPr>
        <w:t>at 277E-278A.</w:t>
      </w:r>
    </w:p>
  </w:footnote>
  <w:footnote w:id="11">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Pretorius v Natal South Sea Investment Trust Ltd 1965 (3) SA 410 (W) at 420-422.</w:t>
      </w:r>
    </w:p>
  </w:footnote>
  <w:footnote w:id="12">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Verrin supra at 10H-11A.</w:t>
      </w:r>
    </w:p>
  </w:footnote>
  <w:footnote w:id="13">
    <w:p w:rsidR="00F82004" w:rsidRPr="00D62021" w:rsidRDefault="00F82004" w:rsidP="00D62021">
      <w:pPr>
        <w:spacing w:after="0" w:line="240" w:lineRule="auto"/>
        <w:jc w:val="both"/>
        <w:rPr>
          <w:rFonts w:ascii="Arial" w:hAnsi="Arial" w:cs="Arial"/>
          <w:color w:val="000000" w:themeColor="text1"/>
          <w:sz w:val="20"/>
          <w:szCs w:val="20"/>
        </w:rPr>
      </w:pPr>
      <w:r w:rsidRPr="00D62021">
        <w:rPr>
          <w:rStyle w:val="FootnoteReference"/>
          <w:rFonts w:ascii="Arial" w:hAnsi="Arial" w:cs="Arial"/>
          <w:sz w:val="20"/>
          <w:szCs w:val="20"/>
        </w:rPr>
        <w:footnoteRef/>
      </w:r>
      <w:r w:rsidRPr="00D62021">
        <w:rPr>
          <w:rFonts w:ascii="Arial" w:hAnsi="Arial" w:cs="Arial"/>
          <w:sz w:val="20"/>
          <w:szCs w:val="20"/>
        </w:rPr>
        <w:t xml:space="preserve"> </w:t>
      </w:r>
      <w:r w:rsidRPr="00D62021">
        <w:rPr>
          <w:rFonts w:ascii="Arial" w:hAnsi="Arial" w:cs="Arial"/>
          <w:color w:val="000000" w:themeColor="text1"/>
          <w:sz w:val="20"/>
          <w:szCs w:val="20"/>
        </w:rPr>
        <w:t>Fund</w:t>
      </w:r>
      <w:r w:rsidR="0059058C" w:rsidRPr="00D62021">
        <w:rPr>
          <w:rFonts w:ascii="Arial" w:hAnsi="Arial" w:cs="Arial"/>
          <w:color w:val="000000" w:themeColor="text1"/>
          <w:sz w:val="20"/>
          <w:szCs w:val="20"/>
        </w:rPr>
        <w:t>t</w:t>
      </w:r>
      <w:r w:rsidRPr="00D62021">
        <w:rPr>
          <w:rFonts w:ascii="Arial" w:hAnsi="Arial" w:cs="Arial"/>
          <w:color w:val="000000" w:themeColor="text1"/>
          <w:sz w:val="20"/>
          <w:szCs w:val="20"/>
        </w:rPr>
        <w:t>rust (Pty) Ltd (in liquidation) v Van Deventer 1997 (1) SA 710.</w:t>
      </w:r>
      <w:r w:rsidR="00D62021" w:rsidRPr="00D62021">
        <w:rPr>
          <w:rFonts w:ascii="Arial" w:hAnsi="Arial" w:cs="Arial"/>
          <w:color w:val="000000" w:themeColor="text1"/>
          <w:sz w:val="20"/>
          <w:szCs w:val="20"/>
        </w:rPr>
        <w:t xml:space="preserve"> (A) at 725</w:t>
      </w:r>
      <w:r w:rsidR="0059058C" w:rsidRPr="00D62021">
        <w:rPr>
          <w:rFonts w:ascii="Arial" w:hAnsi="Arial" w:cs="Arial"/>
          <w:color w:val="000000" w:themeColor="text1"/>
          <w:sz w:val="20"/>
          <w:szCs w:val="20"/>
        </w:rPr>
        <w:t>H-I</w:t>
      </w:r>
      <w:r w:rsidR="00D62021" w:rsidRPr="00D62021">
        <w:rPr>
          <w:rFonts w:ascii="Arial" w:hAnsi="Arial" w:cs="Arial"/>
          <w:color w:val="000000" w:themeColor="text1"/>
          <w:sz w:val="20"/>
          <w:szCs w:val="20"/>
        </w:rPr>
        <w:t>.</w:t>
      </w:r>
    </w:p>
    <w:p w:rsidR="00F82004" w:rsidRPr="00D62021" w:rsidRDefault="00F82004" w:rsidP="00D62021">
      <w:pPr>
        <w:pStyle w:val="FootnoteText"/>
        <w:rPr>
          <w:rFonts w:ascii="Arial" w:hAnsi="Arial" w:cs="Arial"/>
          <w:lang w:val="en-ZA"/>
        </w:rPr>
      </w:pPr>
    </w:p>
  </w:footnote>
  <w:footnote w:id="14">
    <w:p w:rsidR="00D62021" w:rsidRPr="00D62021" w:rsidRDefault="00D62021" w:rsidP="00D62021">
      <w:pPr>
        <w:spacing w:after="0" w:line="240" w:lineRule="auto"/>
        <w:jc w:val="both"/>
        <w:rPr>
          <w:rFonts w:ascii="Arial" w:hAnsi="Arial" w:cs="Arial"/>
          <w:color w:val="000000" w:themeColor="text1"/>
          <w:sz w:val="20"/>
          <w:szCs w:val="20"/>
        </w:rPr>
      </w:pPr>
      <w:r w:rsidRPr="00D62021">
        <w:rPr>
          <w:rStyle w:val="FootnoteReference"/>
          <w:rFonts w:ascii="Arial" w:hAnsi="Arial" w:cs="Arial"/>
          <w:sz w:val="20"/>
          <w:szCs w:val="20"/>
        </w:rPr>
        <w:footnoteRef/>
      </w:r>
      <w:r w:rsidRPr="00D62021">
        <w:rPr>
          <w:rFonts w:ascii="Arial" w:hAnsi="Arial" w:cs="Arial"/>
          <w:sz w:val="20"/>
          <w:szCs w:val="20"/>
        </w:rPr>
        <w:t xml:space="preserve"> </w:t>
      </w:r>
      <w:r w:rsidRPr="00D62021">
        <w:rPr>
          <w:rFonts w:ascii="Arial" w:hAnsi="Arial" w:cs="Arial"/>
          <w:color w:val="000000" w:themeColor="text1"/>
          <w:sz w:val="20"/>
          <w:szCs w:val="20"/>
        </w:rPr>
        <w:t>Followed in Namibia in Wasmuth v Jacobs 1987 (3) 629 (SWA) at 634I.</w:t>
      </w:r>
    </w:p>
    <w:p w:rsidR="00D62021" w:rsidRPr="00D62021" w:rsidRDefault="00D62021" w:rsidP="00D62021">
      <w:pPr>
        <w:pStyle w:val="FootnoteText"/>
        <w:rPr>
          <w:rFonts w:ascii="Arial" w:hAnsi="Arial" w:cs="Arial"/>
        </w:rPr>
      </w:pPr>
    </w:p>
  </w:footnote>
  <w:footnote w:id="15">
    <w:p w:rsidR="00296F8D" w:rsidRPr="00D62021" w:rsidRDefault="00296F8D"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Waja v Orr, Orr N.O and Dowjee Co. Ltd 1929 TPD 865 at 871.</w:t>
      </w:r>
    </w:p>
  </w:footnote>
  <w:footnote w:id="16">
    <w:p w:rsidR="00296F8D" w:rsidRPr="00D62021" w:rsidRDefault="00296F8D"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Henochsberg on Companies Act, vol. 1, at p.1008, para 2.</w:t>
      </w:r>
    </w:p>
  </w:footnote>
  <w:footnote w:id="17">
    <w:p w:rsidR="00F82004" w:rsidRPr="00D62021" w:rsidRDefault="00F82004" w:rsidP="00D62021">
      <w:pPr>
        <w:pStyle w:val="FootnoteText"/>
        <w:rPr>
          <w:rFonts w:ascii="Arial" w:hAnsi="Arial" w:cs="Arial"/>
          <w:lang w:val="en-ZA"/>
        </w:rPr>
      </w:pPr>
      <w:r w:rsidRPr="00D62021">
        <w:rPr>
          <w:rStyle w:val="FootnoteReference"/>
          <w:rFonts w:ascii="Arial" w:hAnsi="Arial" w:cs="Arial"/>
        </w:rPr>
        <w:footnoteRef/>
      </w:r>
      <w:r w:rsidRPr="00D62021">
        <w:rPr>
          <w:rFonts w:ascii="Arial" w:hAnsi="Arial" w:cs="Arial"/>
        </w:rPr>
        <w:t xml:space="preserve"> </w:t>
      </w:r>
      <w:r w:rsidR="00FA3679" w:rsidRPr="00D62021">
        <w:rPr>
          <w:rFonts w:ascii="Arial" w:hAnsi="Arial" w:cs="Arial"/>
          <w:lang w:val="en-ZA"/>
        </w:rPr>
        <w:t>DTA  of Namibia and A</w:t>
      </w:r>
      <w:r w:rsidRPr="00D62021">
        <w:rPr>
          <w:rFonts w:ascii="Arial" w:hAnsi="Arial" w:cs="Arial"/>
          <w:lang w:val="en-ZA"/>
        </w:rPr>
        <w:t>nother v Swapo Party of Namibia an</w:t>
      </w:r>
      <w:r w:rsidR="00FA3679" w:rsidRPr="00D62021">
        <w:rPr>
          <w:rFonts w:ascii="Arial" w:hAnsi="Arial" w:cs="Arial"/>
          <w:lang w:val="en-ZA"/>
        </w:rPr>
        <w:t>d Others 2005 NR 1 (HC) at 11C;</w:t>
      </w:r>
      <w:r w:rsidRPr="00D62021">
        <w:rPr>
          <w:rFonts w:ascii="Arial" w:hAnsi="Arial" w:cs="Arial"/>
          <w:lang w:val="en-ZA"/>
        </w:rPr>
        <w:t xml:space="preserve"> </w:t>
      </w:r>
      <w:r w:rsidR="00E45131" w:rsidRPr="00D62021">
        <w:rPr>
          <w:rFonts w:ascii="Arial" w:hAnsi="Arial" w:cs="Arial"/>
          <w:lang w:val="en-ZA"/>
        </w:rPr>
        <w:t>Torbitt and Others v International University of Management 2017 (2) NR 323 (SC)</w:t>
      </w:r>
      <w:r w:rsidR="00FA3679" w:rsidRPr="00D62021">
        <w:rPr>
          <w:rFonts w:ascii="Arial" w:hAnsi="Arial" w:cs="Arial"/>
          <w:lang w:val="en-ZA"/>
        </w:rPr>
        <w:t>;</w:t>
      </w:r>
      <w:r w:rsidRPr="00D62021">
        <w:rPr>
          <w:rFonts w:ascii="Arial" w:hAnsi="Arial" w:cs="Arial"/>
          <w:lang w:val="en-ZA"/>
        </w:rPr>
        <w:t xml:space="preserve"> R v Soneji [2005] UKHL 49 , R v Knights [2005] UKHL 50.</w:t>
      </w:r>
    </w:p>
  </w:footnote>
  <w:footnote w:id="18">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00DF1860" w:rsidRPr="00D62021">
        <w:rPr>
          <w:rFonts w:ascii="Arial" w:hAnsi="Arial" w:cs="Arial"/>
        </w:rPr>
        <w:t xml:space="preserve"> See Waja Supra.</w:t>
      </w:r>
    </w:p>
  </w:footnote>
  <w:footnote w:id="19">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Pre-independence cases suggest the contrary: Miller v Bellville Municipali</w:t>
      </w:r>
      <w:r w:rsidR="00744BA6" w:rsidRPr="00D62021">
        <w:rPr>
          <w:rFonts w:ascii="Arial" w:hAnsi="Arial" w:cs="Arial"/>
        </w:rPr>
        <w:t>ty 1973 (1) SA 914 (C) at 919 AC</w:t>
      </w:r>
      <w:r w:rsidRPr="00D62021">
        <w:rPr>
          <w:rFonts w:ascii="Arial" w:hAnsi="Arial" w:cs="Arial"/>
        </w:rPr>
        <w:t xml:space="preserve">; </w:t>
      </w:r>
      <w:r w:rsidRPr="00D62021">
        <w:rPr>
          <w:rFonts w:ascii="Arial" w:hAnsi="Arial" w:cs="Arial"/>
          <w:color w:val="000000" w:themeColor="text1"/>
        </w:rPr>
        <w:t xml:space="preserve">Benning v Union Government (Minister of Finance), 1914 AD 420, Heydenrych </w:t>
      </w:r>
      <w:r w:rsidR="00744BA6" w:rsidRPr="00D62021">
        <w:rPr>
          <w:rFonts w:ascii="Arial" w:hAnsi="Arial" w:cs="Arial"/>
          <w:color w:val="000000" w:themeColor="text1"/>
        </w:rPr>
        <w:t>v Standard Bank of South Africa</w:t>
      </w:r>
      <w:r w:rsidRPr="00D62021">
        <w:rPr>
          <w:rFonts w:ascii="Arial" w:hAnsi="Arial" w:cs="Arial"/>
          <w:color w:val="000000" w:themeColor="text1"/>
        </w:rPr>
        <w:t xml:space="preserve"> 1924 CPD 335, Sampson v U</w:t>
      </w:r>
      <w:r w:rsidR="00744BA6" w:rsidRPr="00D62021">
        <w:rPr>
          <w:rFonts w:ascii="Arial" w:hAnsi="Arial" w:cs="Arial"/>
          <w:color w:val="000000" w:themeColor="text1"/>
        </w:rPr>
        <w:t xml:space="preserve">nion and Rhodesia Wholesale Ltd (in liquidation), 1929 AD </w:t>
      </w:r>
      <w:r w:rsidRPr="00D62021">
        <w:rPr>
          <w:rFonts w:ascii="Arial" w:hAnsi="Arial" w:cs="Arial"/>
          <w:color w:val="000000" w:themeColor="text1"/>
        </w:rPr>
        <w:t>468 at</w:t>
      </w:r>
      <w:r w:rsidR="00744BA6" w:rsidRPr="00D62021">
        <w:rPr>
          <w:rFonts w:ascii="Arial" w:hAnsi="Arial" w:cs="Arial"/>
          <w:color w:val="000000" w:themeColor="text1"/>
        </w:rPr>
        <w:t xml:space="preserve"> </w:t>
      </w:r>
      <w:r w:rsidRPr="00D62021">
        <w:rPr>
          <w:rFonts w:ascii="Arial" w:hAnsi="Arial" w:cs="Arial"/>
          <w:color w:val="000000" w:themeColor="text1"/>
        </w:rPr>
        <w:t>481; Rooth v The State, 2 S.A.R. 259 at pp. 262 - 5; Delponte's Estate v Barnes, 1910 CPD 118 at pp. 126 and 130; Cranborne Road Council v Derbyshire Estates Ltd, 1967 (1) SA 8 (R).</w:t>
      </w:r>
    </w:p>
  </w:footnote>
  <w:footnote w:id="20">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0052753E" w:rsidRPr="00D62021">
        <w:rPr>
          <w:rFonts w:ascii="Arial" w:hAnsi="Arial" w:cs="Arial"/>
        </w:rPr>
        <w:t xml:space="preserve"> Willis Fab</w:t>
      </w:r>
      <w:r w:rsidRPr="00D62021">
        <w:rPr>
          <w:rFonts w:ascii="Arial" w:hAnsi="Arial" w:cs="Arial"/>
        </w:rPr>
        <w:t>er Enthoven (Pty) Ltd v Receiver of Rev</w:t>
      </w:r>
      <w:r w:rsidR="00744BA6" w:rsidRPr="00D62021">
        <w:rPr>
          <w:rFonts w:ascii="Arial" w:hAnsi="Arial" w:cs="Arial"/>
        </w:rPr>
        <w:t>enue 1992 (4) SA 201 (A) at 224</w:t>
      </w:r>
      <w:r w:rsidRPr="00D62021">
        <w:rPr>
          <w:rFonts w:ascii="Arial" w:hAnsi="Arial" w:cs="Arial"/>
        </w:rPr>
        <w:t>E-F.</w:t>
      </w:r>
    </w:p>
  </w:footnote>
  <w:footnote w:id="21">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Section 60 (2) and (3). </w:t>
      </w:r>
    </w:p>
  </w:footnote>
  <w:footnote w:id="22">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Section 60 (4).</w:t>
      </w:r>
    </w:p>
  </w:footnote>
  <w:footnote w:id="23">
    <w:p w:rsidR="00F82004" w:rsidRPr="00D62021" w:rsidRDefault="00F82004" w:rsidP="00D62021">
      <w:pPr>
        <w:pStyle w:val="FootnoteText"/>
        <w:rPr>
          <w:rFonts w:ascii="Arial" w:hAnsi="Arial" w:cs="Arial"/>
        </w:rPr>
      </w:pPr>
      <w:r w:rsidRPr="00D62021">
        <w:rPr>
          <w:rStyle w:val="FootnoteReference"/>
          <w:rFonts w:ascii="Arial" w:hAnsi="Arial" w:cs="Arial"/>
        </w:rPr>
        <w:footnoteRef/>
      </w:r>
      <w:r w:rsidRPr="00D62021">
        <w:rPr>
          <w:rFonts w:ascii="Arial" w:hAnsi="Arial" w:cs="Arial"/>
        </w:rPr>
        <w:t xml:space="preserve"> </w:t>
      </w:r>
      <w:r w:rsidR="000A2EA1" w:rsidRPr="00D62021">
        <w:rPr>
          <w:rFonts w:ascii="Arial" w:hAnsi="Arial" w:cs="Arial"/>
        </w:rPr>
        <w:t>Section 17 of the Land Reform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158175"/>
      <w:docPartObj>
        <w:docPartGallery w:val="Page Numbers (Top of Page)"/>
        <w:docPartUnique/>
      </w:docPartObj>
    </w:sdtPr>
    <w:sdtEndPr>
      <w:rPr>
        <w:noProof/>
      </w:rPr>
    </w:sdtEndPr>
    <w:sdtContent>
      <w:p w:rsidR="00F82004" w:rsidRDefault="00F82004">
        <w:pPr>
          <w:pStyle w:val="Header"/>
          <w:jc w:val="right"/>
        </w:pPr>
        <w:r>
          <w:fldChar w:fldCharType="begin"/>
        </w:r>
        <w:r>
          <w:instrText xml:space="preserve"> PAGE   \* MERGEFORMAT </w:instrText>
        </w:r>
        <w:r>
          <w:fldChar w:fldCharType="separate"/>
        </w:r>
        <w:r w:rsidR="00F21D5A">
          <w:rPr>
            <w:noProof/>
          </w:rPr>
          <w:t>2</w:t>
        </w:r>
        <w:r>
          <w:rPr>
            <w:noProof/>
          </w:rPr>
          <w:fldChar w:fldCharType="end"/>
        </w:r>
      </w:p>
    </w:sdtContent>
  </w:sdt>
  <w:p w:rsidR="00F82004" w:rsidRDefault="00F82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BA6"/>
    <w:multiLevelType w:val="hybridMultilevel"/>
    <w:tmpl w:val="EBD2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82C"/>
    <w:multiLevelType w:val="hybridMultilevel"/>
    <w:tmpl w:val="7148476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18419AD"/>
    <w:multiLevelType w:val="hybridMultilevel"/>
    <w:tmpl w:val="74D6998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865A03"/>
    <w:multiLevelType w:val="hybridMultilevel"/>
    <w:tmpl w:val="E042FCC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16CD5B54"/>
    <w:multiLevelType w:val="hybridMultilevel"/>
    <w:tmpl w:val="9056B0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4142F3"/>
    <w:multiLevelType w:val="hybridMultilevel"/>
    <w:tmpl w:val="E1FAD270"/>
    <w:lvl w:ilvl="0" w:tplc="88E09D4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23BF5"/>
    <w:multiLevelType w:val="hybridMultilevel"/>
    <w:tmpl w:val="2038582A"/>
    <w:lvl w:ilvl="0" w:tplc="70C22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115B5"/>
    <w:multiLevelType w:val="hybridMultilevel"/>
    <w:tmpl w:val="D620265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DA3462D"/>
    <w:multiLevelType w:val="hybridMultilevel"/>
    <w:tmpl w:val="FFAE3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D5EB5"/>
    <w:multiLevelType w:val="hybridMultilevel"/>
    <w:tmpl w:val="3AD8D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36C4F"/>
    <w:multiLevelType w:val="hybridMultilevel"/>
    <w:tmpl w:val="A9A0C92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BE9769E"/>
    <w:multiLevelType w:val="hybridMultilevel"/>
    <w:tmpl w:val="4D8EC75E"/>
    <w:lvl w:ilvl="0" w:tplc="0A86F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22898"/>
    <w:multiLevelType w:val="hybridMultilevel"/>
    <w:tmpl w:val="12EA0F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DF2B2C"/>
    <w:multiLevelType w:val="hybridMultilevel"/>
    <w:tmpl w:val="CDBE66BA"/>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5E5D7067"/>
    <w:multiLevelType w:val="hybridMultilevel"/>
    <w:tmpl w:val="DF50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21740"/>
    <w:multiLevelType w:val="hybridMultilevel"/>
    <w:tmpl w:val="6F36C59A"/>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4830C5C"/>
    <w:multiLevelType w:val="hybridMultilevel"/>
    <w:tmpl w:val="B5DC6F2E"/>
    <w:lvl w:ilvl="0" w:tplc="4BEACA5C">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279A4"/>
    <w:multiLevelType w:val="hybridMultilevel"/>
    <w:tmpl w:val="C352CE56"/>
    <w:lvl w:ilvl="0" w:tplc="548E5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D2D9B"/>
    <w:multiLevelType w:val="hybridMultilevel"/>
    <w:tmpl w:val="BDCCE2A8"/>
    <w:lvl w:ilvl="0" w:tplc="CDE08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07B77"/>
    <w:multiLevelType w:val="hybridMultilevel"/>
    <w:tmpl w:val="658E6052"/>
    <w:lvl w:ilvl="0" w:tplc="49A6B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F31BD9"/>
    <w:multiLevelType w:val="multilevel"/>
    <w:tmpl w:val="57305478"/>
    <w:lvl w:ilvl="0">
      <w:start w:val="1"/>
      <w:numFmt w:val="none"/>
      <w:lvlText w:val="20.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num w:numId="1">
    <w:abstractNumId w:val="0"/>
  </w:num>
  <w:num w:numId="2">
    <w:abstractNumId w:val="5"/>
  </w:num>
  <w:num w:numId="3">
    <w:abstractNumId w:val="17"/>
  </w:num>
  <w:num w:numId="4">
    <w:abstractNumId w:val="9"/>
  </w:num>
  <w:num w:numId="5">
    <w:abstractNumId w:val="8"/>
  </w:num>
  <w:num w:numId="6">
    <w:abstractNumId w:val="18"/>
  </w:num>
  <w:num w:numId="7">
    <w:abstractNumId w:val="11"/>
  </w:num>
  <w:num w:numId="8">
    <w:abstractNumId w:val="6"/>
  </w:num>
  <w:num w:numId="9">
    <w:abstractNumId w:val="12"/>
  </w:num>
  <w:num w:numId="10">
    <w:abstractNumId w:val="10"/>
  </w:num>
  <w:num w:numId="11">
    <w:abstractNumId w:val="13"/>
  </w:num>
  <w:num w:numId="12">
    <w:abstractNumId w:val="2"/>
  </w:num>
  <w:num w:numId="13">
    <w:abstractNumId w:val="14"/>
  </w:num>
  <w:num w:numId="14">
    <w:abstractNumId w:val="1"/>
  </w:num>
  <w:num w:numId="15">
    <w:abstractNumId w:val="3"/>
  </w:num>
  <w:num w:numId="16">
    <w:abstractNumId w:val="7"/>
  </w:num>
  <w:num w:numId="17">
    <w:abstractNumId w:val="19"/>
  </w:num>
  <w:num w:numId="18">
    <w:abstractNumId w:val="16"/>
  </w:num>
  <w:num w:numId="19">
    <w:abstractNumId w:val="1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10"/>
    <w:rsid w:val="00000F7F"/>
    <w:rsid w:val="00002788"/>
    <w:rsid w:val="00002848"/>
    <w:rsid w:val="00002B74"/>
    <w:rsid w:val="000063A4"/>
    <w:rsid w:val="0001630E"/>
    <w:rsid w:val="000205D9"/>
    <w:rsid w:val="00022CAE"/>
    <w:rsid w:val="00025A30"/>
    <w:rsid w:val="00025DF0"/>
    <w:rsid w:val="000325B2"/>
    <w:rsid w:val="000328C5"/>
    <w:rsid w:val="00032B5E"/>
    <w:rsid w:val="00033AA2"/>
    <w:rsid w:val="00042061"/>
    <w:rsid w:val="00055832"/>
    <w:rsid w:val="000574D7"/>
    <w:rsid w:val="0006090B"/>
    <w:rsid w:val="00062088"/>
    <w:rsid w:val="00067504"/>
    <w:rsid w:val="00071623"/>
    <w:rsid w:val="000751BF"/>
    <w:rsid w:val="00076737"/>
    <w:rsid w:val="00076F6F"/>
    <w:rsid w:val="00081921"/>
    <w:rsid w:val="00085D25"/>
    <w:rsid w:val="00086001"/>
    <w:rsid w:val="00087521"/>
    <w:rsid w:val="0009400C"/>
    <w:rsid w:val="00097153"/>
    <w:rsid w:val="000A00D4"/>
    <w:rsid w:val="000A2EA1"/>
    <w:rsid w:val="000A372A"/>
    <w:rsid w:val="000A6C90"/>
    <w:rsid w:val="000B1072"/>
    <w:rsid w:val="000B2D2D"/>
    <w:rsid w:val="000B30BE"/>
    <w:rsid w:val="000B6B5D"/>
    <w:rsid w:val="000C16C8"/>
    <w:rsid w:val="000C32A5"/>
    <w:rsid w:val="000C49D0"/>
    <w:rsid w:val="000D1133"/>
    <w:rsid w:val="000D3722"/>
    <w:rsid w:val="000D5B18"/>
    <w:rsid w:val="000D7FBF"/>
    <w:rsid w:val="000E0ACE"/>
    <w:rsid w:val="000E1638"/>
    <w:rsid w:val="000E2DC8"/>
    <w:rsid w:val="000E672F"/>
    <w:rsid w:val="000F28C2"/>
    <w:rsid w:val="000F3EF3"/>
    <w:rsid w:val="00100E56"/>
    <w:rsid w:val="00104C2B"/>
    <w:rsid w:val="00106444"/>
    <w:rsid w:val="00106F89"/>
    <w:rsid w:val="001148D8"/>
    <w:rsid w:val="0012095C"/>
    <w:rsid w:val="001230A8"/>
    <w:rsid w:val="001254B1"/>
    <w:rsid w:val="001279A7"/>
    <w:rsid w:val="00132EAD"/>
    <w:rsid w:val="00133366"/>
    <w:rsid w:val="0013540E"/>
    <w:rsid w:val="00135EDC"/>
    <w:rsid w:val="00136D01"/>
    <w:rsid w:val="001409B0"/>
    <w:rsid w:val="00142C32"/>
    <w:rsid w:val="001443A0"/>
    <w:rsid w:val="001466F6"/>
    <w:rsid w:val="00147BA3"/>
    <w:rsid w:val="00151133"/>
    <w:rsid w:val="0016411E"/>
    <w:rsid w:val="00166B2C"/>
    <w:rsid w:val="0017019D"/>
    <w:rsid w:val="00170548"/>
    <w:rsid w:val="00170696"/>
    <w:rsid w:val="00170E76"/>
    <w:rsid w:val="00173E5D"/>
    <w:rsid w:val="001768B2"/>
    <w:rsid w:val="00180105"/>
    <w:rsid w:val="00182E41"/>
    <w:rsid w:val="001850E3"/>
    <w:rsid w:val="00192129"/>
    <w:rsid w:val="00193B51"/>
    <w:rsid w:val="001A0415"/>
    <w:rsid w:val="001A0DA3"/>
    <w:rsid w:val="001A13D3"/>
    <w:rsid w:val="001A3F9D"/>
    <w:rsid w:val="001A4947"/>
    <w:rsid w:val="001A6420"/>
    <w:rsid w:val="001B00CA"/>
    <w:rsid w:val="001B222B"/>
    <w:rsid w:val="001B5690"/>
    <w:rsid w:val="001B5EEB"/>
    <w:rsid w:val="001B61AF"/>
    <w:rsid w:val="001C1AAB"/>
    <w:rsid w:val="001C2B97"/>
    <w:rsid w:val="001C5EE7"/>
    <w:rsid w:val="001E1887"/>
    <w:rsid w:val="001E33EA"/>
    <w:rsid w:val="001E786C"/>
    <w:rsid w:val="001F1D5E"/>
    <w:rsid w:val="001F302A"/>
    <w:rsid w:val="001F6F9A"/>
    <w:rsid w:val="001F7EC4"/>
    <w:rsid w:val="0020299F"/>
    <w:rsid w:val="002068B6"/>
    <w:rsid w:val="00210140"/>
    <w:rsid w:val="00211A97"/>
    <w:rsid w:val="002138CE"/>
    <w:rsid w:val="0021459F"/>
    <w:rsid w:val="00223006"/>
    <w:rsid w:val="00223024"/>
    <w:rsid w:val="00230CDB"/>
    <w:rsid w:val="00231077"/>
    <w:rsid w:val="00234675"/>
    <w:rsid w:val="002353A1"/>
    <w:rsid w:val="00240ADA"/>
    <w:rsid w:val="00242468"/>
    <w:rsid w:val="002451EF"/>
    <w:rsid w:val="00246569"/>
    <w:rsid w:val="002526A9"/>
    <w:rsid w:val="0025799F"/>
    <w:rsid w:val="00265623"/>
    <w:rsid w:val="0026638A"/>
    <w:rsid w:val="00270848"/>
    <w:rsid w:val="002713A1"/>
    <w:rsid w:val="00275A75"/>
    <w:rsid w:val="00276614"/>
    <w:rsid w:val="002771AF"/>
    <w:rsid w:val="00284A3C"/>
    <w:rsid w:val="00285DE9"/>
    <w:rsid w:val="00287E61"/>
    <w:rsid w:val="00290673"/>
    <w:rsid w:val="002931B9"/>
    <w:rsid w:val="0029608E"/>
    <w:rsid w:val="00296F8D"/>
    <w:rsid w:val="00297530"/>
    <w:rsid w:val="002A74BD"/>
    <w:rsid w:val="002B75FE"/>
    <w:rsid w:val="002C2E76"/>
    <w:rsid w:val="002C3727"/>
    <w:rsid w:val="002C4FF1"/>
    <w:rsid w:val="002C54EB"/>
    <w:rsid w:val="002C6F14"/>
    <w:rsid w:val="002E4788"/>
    <w:rsid w:val="002E535A"/>
    <w:rsid w:val="002E6E36"/>
    <w:rsid w:val="002E7F1E"/>
    <w:rsid w:val="002F0A3B"/>
    <w:rsid w:val="002F3055"/>
    <w:rsid w:val="002F7C2F"/>
    <w:rsid w:val="00302CBF"/>
    <w:rsid w:val="0030374F"/>
    <w:rsid w:val="00306AF2"/>
    <w:rsid w:val="003113C8"/>
    <w:rsid w:val="00313786"/>
    <w:rsid w:val="00317970"/>
    <w:rsid w:val="00321CA0"/>
    <w:rsid w:val="0032218C"/>
    <w:rsid w:val="00323980"/>
    <w:rsid w:val="00323FCC"/>
    <w:rsid w:val="00327F8C"/>
    <w:rsid w:val="003309E4"/>
    <w:rsid w:val="0033211D"/>
    <w:rsid w:val="00332E21"/>
    <w:rsid w:val="00334358"/>
    <w:rsid w:val="00340F3B"/>
    <w:rsid w:val="0034281C"/>
    <w:rsid w:val="00345566"/>
    <w:rsid w:val="003565B5"/>
    <w:rsid w:val="00362DE3"/>
    <w:rsid w:val="00364848"/>
    <w:rsid w:val="003672F0"/>
    <w:rsid w:val="00370E04"/>
    <w:rsid w:val="0037230C"/>
    <w:rsid w:val="00375B7D"/>
    <w:rsid w:val="00376776"/>
    <w:rsid w:val="0037730D"/>
    <w:rsid w:val="00377577"/>
    <w:rsid w:val="003775A5"/>
    <w:rsid w:val="00380F37"/>
    <w:rsid w:val="00382302"/>
    <w:rsid w:val="0038759A"/>
    <w:rsid w:val="003903EB"/>
    <w:rsid w:val="003963C9"/>
    <w:rsid w:val="003A5DBD"/>
    <w:rsid w:val="003B0E33"/>
    <w:rsid w:val="003B272F"/>
    <w:rsid w:val="003B4448"/>
    <w:rsid w:val="003B53BD"/>
    <w:rsid w:val="003C0680"/>
    <w:rsid w:val="003C4B1C"/>
    <w:rsid w:val="003C65EA"/>
    <w:rsid w:val="003D696E"/>
    <w:rsid w:val="003E2C6B"/>
    <w:rsid w:val="003E40E5"/>
    <w:rsid w:val="003E770D"/>
    <w:rsid w:val="003F25ED"/>
    <w:rsid w:val="003F285C"/>
    <w:rsid w:val="003F430C"/>
    <w:rsid w:val="00400ECC"/>
    <w:rsid w:val="004012CE"/>
    <w:rsid w:val="00403030"/>
    <w:rsid w:val="004036A5"/>
    <w:rsid w:val="00411409"/>
    <w:rsid w:val="00415732"/>
    <w:rsid w:val="00420E03"/>
    <w:rsid w:val="0042486C"/>
    <w:rsid w:val="00425A10"/>
    <w:rsid w:val="00426802"/>
    <w:rsid w:val="00432679"/>
    <w:rsid w:val="00434071"/>
    <w:rsid w:val="004406D1"/>
    <w:rsid w:val="00441BB4"/>
    <w:rsid w:val="00441F6F"/>
    <w:rsid w:val="00447E38"/>
    <w:rsid w:val="00451CB9"/>
    <w:rsid w:val="0045277E"/>
    <w:rsid w:val="00454E6A"/>
    <w:rsid w:val="00463907"/>
    <w:rsid w:val="0046624F"/>
    <w:rsid w:val="00466253"/>
    <w:rsid w:val="0047363B"/>
    <w:rsid w:val="00480181"/>
    <w:rsid w:val="0048283E"/>
    <w:rsid w:val="004828C6"/>
    <w:rsid w:val="004853AC"/>
    <w:rsid w:val="00486D6A"/>
    <w:rsid w:val="0049052F"/>
    <w:rsid w:val="00497C8C"/>
    <w:rsid w:val="00497F39"/>
    <w:rsid w:val="004A12AE"/>
    <w:rsid w:val="004A1E3E"/>
    <w:rsid w:val="004A2CDF"/>
    <w:rsid w:val="004A2F73"/>
    <w:rsid w:val="004A357F"/>
    <w:rsid w:val="004B72E3"/>
    <w:rsid w:val="004C354D"/>
    <w:rsid w:val="004C5658"/>
    <w:rsid w:val="004D101E"/>
    <w:rsid w:val="004D2193"/>
    <w:rsid w:val="004D600A"/>
    <w:rsid w:val="004E041A"/>
    <w:rsid w:val="004E2359"/>
    <w:rsid w:val="004E715A"/>
    <w:rsid w:val="004F0BB2"/>
    <w:rsid w:val="004F1CAD"/>
    <w:rsid w:val="004F6BDC"/>
    <w:rsid w:val="00501837"/>
    <w:rsid w:val="00514FE0"/>
    <w:rsid w:val="00522AB8"/>
    <w:rsid w:val="00522DFE"/>
    <w:rsid w:val="0052753E"/>
    <w:rsid w:val="0052794B"/>
    <w:rsid w:val="0053266A"/>
    <w:rsid w:val="00534630"/>
    <w:rsid w:val="005348C1"/>
    <w:rsid w:val="00535469"/>
    <w:rsid w:val="005437BD"/>
    <w:rsid w:val="00554887"/>
    <w:rsid w:val="00557340"/>
    <w:rsid w:val="005672FD"/>
    <w:rsid w:val="00572731"/>
    <w:rsid w:val="00577D4E"/>
    <w:rsid w:val="00581210"/>
    <w:rsid w:val="00583F42"/>
    <w:rsid w:val="00587794"/>
    <w:rsid w:val="005877A6"/>
    <w:rsid w:val="0059058C"/>
    <w:rsid w:val="0059436D"/>
    <w:rsid w:val="0059453A"/>
    <w:rsid w:val="00594560"/>
    <w:rsid w:val="00594F43"/>
    <w:rsid w:val="00596CC9"/>
    <w:rsid w:val="00596F82"/>
    <w:rsid w:val="00597329"/>
    <w:rsid w:val="005A2C7C"/>
    <w:rsid w:val="005A3400"/>
    <w:rsid w:val="005A3BAD"/>
    <w:rsid w:val="005A7BB0"/>
    <w:rsid w:val="005B058A"/>
    <w:rsid w:val="005B2A65"/>
    <w:rsid w:val="005B4535"/>
    <w:rsid w:val="005C7993"/>
    <w:rsid w:val="005D5348"/>
    <w:rsid w:val="005D565B"/>
    <w:rsid w:val="005D5EBA"/>
    <w:rsid w:val="005E1885"/>
    <w:rsid w:val="005E3C95"/>
    <w:rsid w:val="005E57DA"/>
    <w:rsid w:val="005E5902"/>
    <w:rsid w:val="005E5BEE"/>
    <w:rsid w:val="005E6972"/>
    <w:rsid w:val="005F4BB6"/>
    <w:rsid w:val="005F5736"/>
    <w:rsid w:val="005F70F6"/>
    <w:rsid w:val="00600FBA"/>
    <w:rsid w:val="00601FCF"/>
    <w:rsid w:val="00602E27"/>
    <w:rsid w:val="00611354"/>
    <w:rsid w:val="006145A9"/>
    <w:rsid w:val="006156D1"/>
    <w:rsid w:val="00615E53"/>
    <w:rsid w:val="00620A14"/>
    <w:rsid w:val="00623159"/>
    <w:rsid w:val="006243E5"/>
    <w:rsid w:val="006304FB"/>
    <w:rsid w:val="00631743"/>
    <w:rsid w:val="00634388"/>
    <w:rsid w:val="00634ACD"/>
    <w:rsid w:val="00635D56"/>
    <w:rsid w:val="006366E8"/>
    <w:rsid w:val="006368DA"/>
    <w:rsid w:val="00637A7B"/>
    <w:rsid w:val="00644BF3"/>
    <w:rsid w:val="00645656"/>
    <w:rsid w:val="00647BAE"/>
    <w:rsid w:val="00650DFE"/>
    <w:rsid w:val="0065269A"/>
    <w:rsid w:val="0065359F"/>
    <w:rsid w:val="00653B73"/>
    <w:rsid w:val="00654A58"/>
    <w:rsid w:val="00666EE8"/>
    <w:rsid w:val="00667D5E"/>
    <w:rsid w:val="0067163F"/>
    <w:rsid w:val="00673C78"/>
    <w:rsid w:val="00673CF2"/>
    <w:rsid w:val="0067450B"/>
    <w:rsid w:val="00674516"/>
    <w:rsid w:val="00674E4B"/>
    <w:rsid w:val="006840A4"/>
    <w:rsid w:val="006909B8"/>
    <w:rsid w:val="00692CB4"/>
    <w:rsid w:val="00694E37"/>
    <w:rsid w:val="00695C28"/>
    <w:rsid w:val="006A3095"/>
    <w:rsid w:val="006A6F7B"/>
    <w:rsid w:val="006A7384"/>
    <w:rsid w:val="006B3B0D"/>
    <w:rsid w:val="006C0465"/>
    <w:rsid w:val="006C44A4"/>
    <w:rsid w:val="006C6EB1"/>
    <w:rsid w:val="006C75D4"/>
    <w:rsid w:val="006D2D2A"/>
    <w:rsid w:val="006D526C"/>
    <w:rsid w:val="006D55DE"/>
    <w:rsid w:val="006D6077"/>
    <w:rsid w:val="006E0A5B"/>
    <w:rsid w:val="006F099B"/>
    <w:rsid w:val="006F36CF"/>
    <w:rsid w:val="00701CD2"/>
    <w:rsid w:val="00715236"/>
    <w:rsid w:val="007172B7"/>
    <w:rsid w:val="00735A9C"/>
    <w:rsid w:val="00737DB0"/>
    <w:rsid w:val="0074014D"/>
    <w:rsid w:val="007425E5"/>
    <w:rsid w:val="00744BA6"/>
    <w:rsid w:val="00746C64"/>
    <w:rsid w:val="00747779"/>
    <w:rsid w:val="00752DC3"/>
    <w:rsid w:val="007543E7"/>
    <w:rsid w:val="00756A0E"/>
    <w:rsid w:val="00760B6A"/>
    <w:rsid w:val="00760CB8"/>
    <w:rsid w:val="00761E9E"/>
    <w:rsid w:val="00762152"/>
    <w:rsid w:val="00763C44"/>
    <w:rsid w:val="00764629"/>
    <w:rsid w:val="00765475"/>
    <w:rsid w:val="0076646F"/>
    <w:rsid w:val="007733D8"/>
    <w:rsid w:val="007807A3"/>
    <w:rsid w:val="0078157F"/>
    <w:rsid w:val="007837C8"/>
    <w:rsid w:val="00785BE4"/>
    <w:rsid w:val="00791582"/>
    <w:rsid w:val="00795AF8"/>
    <w:rsid w:val="00796B2E"/>
    <w:rsid w:val="007A253A"/>
    <w:rsid w:val="007B1156"/>
    <w:rsid w:val="007B272F"/>
    <w:rsid w:val="007C1567"/>
    <w:rsid w:val="007D1E5D"/>
    <w:rsid w:val="007D6115"/>
    <w:rsid w:val="007E11EA"/>
    <w:rsid w:val="007E178B"/>
    <w:rsid w:val="007E6D9D"/>
    <w:rsid w:val="007F0282"/>
    <w:rsid w:val="007F0BAB"/>
    <w:rsid w:val="007F1F50"/>
    <w:rsid w:val="008000C3"/>
    <w:rsid w:val="0080069F"/>
    <w:rsid w:val="0080589B"/>
    <w:rsid w:val="00805A14"/>
    <w:rsid w:val="008079CC"/>
    <w:rsid w:val="00816EC2"/>
    <w:rsid w:val="008173B5"/>
    <w:rsid w:val="00840237"/>
    <w:rsid w:val="00844155"/>
    <w:rsid w:val="008449F8"/>
    <w:rsid w:val="00846D6A"/>
    <w:rsid w:val="00847261"/>
    <w:rsid w:val="008550C6"/>
    <w:rsid w:val="00855CA0"/>
    <w:rsid w:val="0085650A"/>
    <w:rsid w:val="00857209"/>
    <w:rsid w:val="0087254F"/>
    <w:rsid w:val="008772EB"/>
    <w:rsid w:val="008778A0"/>
    <w:rsid w:val="00884198"/>
    <w:rsid w:val="00886A18"/>
    <w:rsid w:val="00887758"/>
    <w:rsid w:val="00892C90"/>
    <w:rsid w:val="008945EE"/>
    <w:rsid w:val="0089571C"/>
    <w:rsid w:val="0089758A"/>
    <w:rsid w:val="008A2F37"/>
    <w:rsid w:val="008A43FC"/>
    <w:rsid w:val="008B1E6F"/>
    <w:rsid w:val="008B31F1"/>
    <w:rsid w:val="008B60E2"/>
    <w:rsid w:val="008B7359"/>
    <w:rsid w:val="008C3499"/>
    <w:rsid w:val="008C3D4E"/>
    <w:rsid w:val="008C5073"/>
    <w:rsid w:val="008C63F8"/>
    <w:rsid w:val="008D1EF2"/>
    <w:rsid w:val="008D35D4"/>
    <w:rsid w:val="008D64C5"/>
    <w:rsid w:val="008D7F8B"/>
    <w:rsid w:val="008E4BB9"/>
    <w:rsid w:val="008F0EE5"/>
    <w:rsid w:val="008F402F"/>
    <w:rsid w:val="008F4AE1"/>
    <w:rsid w:val="00901F28"/>
    <w:rsid w:val="0090698C"/>
    <w:rsid w:val="00912505"/>
    <w:rsid w:val="0091478A"/>
    <w:rsid w:val="00915C5B"/>
    <w:rsid w:val="009246C1"/>
    <w:rsid w:val="0092647F"/>
    <w:rsid w:val="00926EBE"/>
    <w:rsid w:val="0093107A"/>
    <w:rsid w:val="00933A04"/>
    <w:rsid w:val="00933E37"/>
    <w:rsid w:val="00937D4E"/>
    <w:rsid w:val="0095135D"/>
    <w:rsid w:val="00951ACA"/>
    <w:rsid w:val="00951BA0"/>
    <w:rsid w:val="00952863"/>
    <w:rsid w:val="00953599"/>
    <w:rsid w:val="00955463"/>
    <w:rsid w:val="00955601"/>
    <w:rsid w:val="009561B9"/>
    <w:rsid w:val="00957DBC"/>
    <w:rsid w:val="00962EDB"/>
    <w:rsid w:val="00964753"/>
    <w:rsid w:val="00964841"/>
    <w:rsid w:val="0096641A"/>
    <w:rsid w:val="00967C19"/>
    <w:rsid w:val="00967ED3"/>
    <w:rsid w:val="0097009C"/>
    <w:rsid w:val="00973AC2"/>
    <w:rsid w:val="0097517F"/>
    <w:rsid w:val="00976C13"/>
    <w:rsid w:val="00984353"/>
    <w:rsid w:val="00986367"/>
    <w:rsid w:val="00986DD2"/>
    <w:rsid w:val="0099492A"/>
    <w:rsid w:val="00995FB0"/>
    <w:rsid w:val="00996F07"/>
    <w:rsid w:val="00997763"/>
    <w:rsid w:val="009979CC"/>
    <w:rsid w:val="009A0D5C"/>
    <w:rsid w:val="009A6D6B"/>
    <w:rsid w:val="009B151C"/>
    <w:rsid w:val="009B3B1A"/>
    <w:rsid w:val="009C28B4"/>
    <w:rsid w:val="009D056B"/>
    <w:rsid w:val="009D2BB0"/>
    <w:rsid w:val="009D3E6A"/>
    <w:rsid w:val="009D4916"/>
    <w:rsid w:val="009E0165"/>
    <w:rsid w:val="009E301F"/>
    <w:rsid w:val="009E5D1B"/>
    <w:rsid w:val="009E633B"/>
    <w:rsid w:val="009E6B0E"/>
    <w:rsid w:val="009E7791"/>
    <w:rsid w:val="009F640E"/>
    <w:rsid w:val="00A029F7"/>
    <w:rsid w:val="00A06D7F"/>
    <w:rsid w:val="00A107A4"/>
    <w:rsid w:val="00A115EC"/>
    <w:rsid w:val="00A129EA"/>
    <w:rsid w:val="00A17D0A"/>
    <w:rsid w:val="00A254C3"/>
    <w:rsid w:val="00A26B74"/>
    <w:rsid w:val="00A32F04"/>
    <w:rsid w:val="00A40DC5"/>
    <w:rsid w:val="00A40FDD"/>
    <w:rsid w:val="00A53F58"/>
    <w:rsid w:val="00A54E61"/>
    <w:rsid w:val="00A55641"/>
    <w:rsid w:val="00A608C2"/>
    <w:rsid w:val="00A60A01"/>
    <w:rsid w:val="00A61B20"/>
    <w:rsid w:val="00A635B8"/>
    <w:rsid w:val="00A65D35"/>
    <w:rsid w:val="00A66B9A"/>
    <w:rsid w:val="00A66FB4"/>
    <w:rsid w:val="00A700D3"/>
    <w:rsid w:val="00A7107D"/>
    <w:rsid w:val="00A7279B"/>
    <w:rsid w:val="00A77105"/>
    <w:rsid w:val="00A82994"/>
    <w:rsid w:val="00A85CF2"/>
    <w:rsid w:val="00A870C8"/>
    <w:rsid w:val="00A92D26"/>
    <w:rsid w:val="00A93804"/>
    <w:rsid w:val="00AA0159"/>
    <w:rsid w:val="00AA46C8"/>
    <w:rsid w:val="00AA7AE0"/>
    <w:rsid w:val="00AD09B5"/>
    <w:rsid w:val="00AD3BA5"/>
    <w:rsid w:val="00AD5FAD"/>
    <w:rsid w:val="00AD7CDD"/>
    <w:rsid w:val="00AE02C8"/>
    <w:rsid w:val="00AE3500"/>
    <w:rsid w:val="00AE36A3"/>
    <w:rsid w:val="00AE50B0"/>
    <w:rsid w:val="00AE6415"/>
    <w:rsid w:val="00AE690D"/>
    <w:rsid w:val="00AF024F"/>
    <w:rsid w:val="00AF4793"/>
    <w:rsid w:val="00AF5457"/>
    <w:rsid w:val="00AF60E6"/>
    <w:rsid w:val="00AF6C7A"/>
    <w:rsid w:val="00B056CF"/>
    <w:rsid w:val="00B07D2B"/>
    <w:rsid w:val="00B112E6"/>
    <w:rsid w:val="00B161D6"/>
    <w:rsid w:val="00B175E9"/>
    <w:rsid w:val="00B200DD"/>
    <w:rsid w:val="00B22CCB"/>
    <w:rsid w:val="00B31143"/>
    <w:rsid w:val="00B32212"/>
    <w:rsid w:val="00B34720"/>
    <w:rsid w:val="00B36D91"/>
    <w:rsid w:val="00B44817"/>
    <w:rsid w:val="00B462BA"/>
    <w:rsid w:val="00B4637F"/>
    <w:rsid w:val="00B53712"/>
    <w:rsid w:val="00B54502"/>
    <w:rsid w:val="00B55E79"/>
    <w:rsid w:val="00B6299F"/>
    <w:rsid w:val="00B63BE9"/>
    <w:rsid w:val="00B640CB"/>
    <w:rsid w:val="00B64A4F"/>
    <w:rsid w:val="00B6566F"/>
    <w:rsid w:val="00B66CAB"/>
    <w:rsid w:val="00B763B8"/>
    <w:rsid w:val="00B76DBC"/>
    <w:rsid w:val="00B77875"/>
    <w:rsid w:val="00B81545"/>
    <w:rsid w:val="00B81644"/>
    <w:rsid w:val="00B85673"/>
    <w:rsid w:val="00B87E60"/>
    <w:rsid w:val="00B906AE"/>
    <w:rsid w:val="00B90A05"/>
    <w:rsid w:val="00B91CD3"/>
    <w:rsid w:val="00B9630E"/>
    <w:rsid w:val="00B96E0A"/>
    <w:rsid w:val="00BB288B"/>
    <w:rsid w:val="00BC1B9A"/>
    <w:rsid w:val="00BC3195"/>
    <w:rsid w:val="00BC58BD"/>
    <w:rsid w:val="00BC61F9"/>
    <w:rsid w:val="00BD299E"/>
    <w:rsid w:val="00BD4F7C"/>
    <w:rsid w:val="00BD6616"/>
    <w:rsid w:val="00BF580A"/>
    <w:rsid w:val="00BF7F47"/>
    <w:rsid w:val="00C03A5B"/>
    <w:rsid w:val="00C22DE8"/>
    <w:rsid w:val="00C35862"/>
    <w:rsid w:val="00C4148C"/>
    <w:rsid w:val="00C422A1"/>
    <w:rsid w:val="00C43F8B"/>
    <w:rsid w:val="00C44A14"/>
    <w:rsid w:val="00C466D7"/>
    <w:rsid w:val="00C535A7"/>
    <w:rsid w:val="00C678B4"/>
    <w:rsid w:val="00C7082E"/>
    <w:rsid w:val="00C74211"/>
    <w:rsid w:val="00C74EFB"/>
    <w:rsid w:val="00C81358"/>
    <w:rsid w:val="00C94AB9"/>
    <w:rsid w:val="00C96792"/>
    <w:rsid w:val="00CA0986"/>
    <w:rsid w:val="00CA0DCA"/>
    <w:rsid w:val="00CA22C5"/>
    <w:rsid w:val="00CA3F7A"/>
    <w:rsid w:val="00CA7F67"/>
    <w:rsid w:val="00CB05C4"/>
    <w:rsid w:val="00CB278A"/>
    <w:rsid w:val="00CB5BA2"/>
    <w:rsid w:val="00CC40C8"/>
    <w:rsid w:val="00CC5084"/>
    <w:rsid w:val="00CC50D3"/>
    <w:rsid w:val="00CC63B5"/>
    <w:rsid w:val="00CC7ABF"/>
    <w:rsid w:val="00CD0E33"/>
    <w:rsid w:val="00CD5C52"/>
    <w:rsid w:val="00CD607E"/>
    <w:rsid w:val="00CD6BA8"/>
    <w:rsid w:val="00CE1B41"/>
    <w:rsid w:val="00CE56D3"/>
    <w:rsid w:val="00CE7915"/>
    <w:rsid w:val="00CE7AFC"/>
    <w:rsid w:val="00CF2F73"/>
    <w:rsid w:val="00CF6731"/>
    <w:rsid w:val="00CF6F22"/>
    <w:rsid w:val="00D02C4C"/>
    <w:rsid w:val="00D052F3"/>
    <w:rsid w:val="00D06E7F"/>
    <w:rsid w:val="00D07C8E"/>
    <w:rsid w:val="00D127B8"/>
    <w:rsid w:val="00D134F2"/>
    <w:rsid w:val="00D21F44"/>
    <w:rsid w:val="00D23A29"/>
    <w:rsid w:val="00D25B00"/>
    <w:rsid w:val="00D311AD"/>
    <w:rsid w:val="00D3659E"/>
    <w:rsid w:val="00D37119"/>
    <w:rsid w:val="00D401DE"/>
    <w:rsid w:val="00D40DF0"/>
    <w:rsid w:val="00D44FF1"/>
    <w:rsid w:val="00D47C08"/>
    <w:rsid w:val="00D511D4"/>
    <w:rsid w:val="00D51C80"/>
    <w:rsid w:val="00D54DBA"/>
    <w:rsid w:val="00D6125A"/>
    <w:rsid w:val="00D62021"/>
    <w:rsid w:val="00D63737"/>
    <w:rsid w:val="00D64A2E"/>
    <w:rsid w:val="00D65916"/>
    <w:rsid w:val="00D754F2"/>
    <w:rsid w:val="00D778EA"/>
    <w:rsid w:val="00D812C4"/>
    <w:rsid w:val="00D83FF0"/>
    <w:rsid w:val="00D85F7E"/>
    <w:rsid w:val="00D969D2"/>
    <w:rsid w:val="00DA405C"/>
    <w:rsid w:val="00DA46FB"/>
    <w:rsid w:val="00DA47D4"/>
    <w:rsid w:val="00DC0711"/>
    <w:rsid w:val="00DC73C1"/>
    <w:rsid w:val="00DD05C5"/>
    <w:rsid w:val="00DD4A53"/>
    <w:rsid w:val="00DD528A"/>
    <w:rsid w:val="00DD55E5"/>
    <w:rsid w:val="00DD5A41"/>
    <w:rsid w:val="00DD68EF"/>
    <w:rsid w:val="00DE2FC1"/>
    <w:rsid w:val="00DE412C"/>
    <w:rsid w:val="00DE50F8"/>
    <w:rsid w:val="00DE5B37"/>
    <w:rsid w:val="00DE6337"/>
    <w:rsid w:val="00DF1860"/>
    <w:rsid w:val="00DF1D63"/>
    <w:rsid w:val="00DF30C0"/>
    <w:rsid w:val="00DF3F09"/>
    <w:rsid w:val="00DF6633"/>
    <w:rsid w:val="00DF7F92"/>
    <w:rsid w:val="00E003CA"/>
    <w:rsid w:val="00E06BC0"/>
    <w:rsid w:val="00E10B41"/>
    <w:rsid w:val="00E14687"/>
    <w:rsid w:val="00E15257"/>
    <w:rsid w:val="00E1561F"/>
    <w:rsid w:val="00E20AE0"/>
    <w:rsid w:val="00E221F5"/>
    <w:rsid w:val="00E2364C"/>
    <w:rsid w:val="00E27815"/>
    <w:rsid w:val="00E30B87"/>
    <w:rsid w:val="00E376D9"/>
    <w:rsid w:val="00E401FA"/>
    <w:rsid w:val="00E40E1B"/>
    <w:rsid w:val="00E43778"/>
    <w:rsid w:val="00E43B4B"/>
    <w:rsid w:val="00E450EC"/>
    <w:rsid w:val="00E45131"/>
    <w:rsid w:val="00E5316C"/>
    <w:rsid w:val="00E57908"/>
    <w:rsid w:val="00E60685"/>
    <w:rsid w:val="00E82CC4"/>
    <w:rsid w:val="00E8422F"/>
    <w:rsid w:val="00E86B72"/>
    <w:rsid w:val="00E922C9"/>
    <w:rsid w:val="00E9566C"/>
    <w:rsid w:val="00E96C2C"/>
    <w:rsid w:val="00EB289A"/>
    <w:rsid w:val="00EB34D9"/>
    <w:rsid w:val="00EB3ADF"/>
    <w:rsid w:val="00EB4F07"/>
    <w:rsid w:val="00EC240E"/>
    <w:rsid w:val="00EC28C4"/>
    <w:rsid w:val="00EC36CD"/>
    <w:rsid w:val="00EC410F"/>
    <w:rsid w:val="00EC5DCA"/>
    <w:rsid w:val="00ED24D0"/>
    <w:rsid w:val="00EE06A0"/>
    <w:rsid w:val="00EE25A0"/>
    <w:rsid w:val="00EE3535"/>
    <w:rsid w:val="00EF2531"/>
    <w:rsid w:val="00EF4E8D"/>
    <w:rsid w:val="00EF57BF"/>
    <w:rsid w:val="00EF6618"/>
    <w:rsid w:val="00F021EF"/>
    <w:rsid w:val="00F034C3"/>
    <w:rsid w:val="00F07251"/>
    <w:rsid w:val="00F20185"/>
    <w:rsid w:val="00F21D5A"/>
    <w:rsid w:val="00F2343A"/>
    <w:rsid w:val="00F239E4"/>
    <w:rsid w:val="00F2566B"/>
    <w:rsid w:val="00F27DA7"/>
    <w:rsid w:val="00F31179"/>
    <w:rsid w:val="00F316DE"/>
    <w:rsid w:val="00F35C2E"/>
    <w:rsid w:val="00F41F19"/>
    <w:rsid w:val="00F45B02"/>
    <w:rsid w:val="00F513ED"/>
    <w:rsid w:val="00F55345"/>
    <w:rsid w:val="00F5569A"/>
    <w:rsid w:val="00F60B04"/>
    <w:rsid w:val="00F60DC4"/>
    <w:rsid w:val="00F63667"/>
    <w:rsid w:val="00F64108"/>
    <w:rsid w:val="00F657A2"/>
    <w:rsid w:val="00F72004"/>
    <w:rsid w:val="00F82004"/>
    <w:rsid w:val="00F877E1"/>
    <w:rsid w:val="00F920CF"/>
    <w:rsid w:val="00F94B2D"/>
    <w:rsid w:val="00F9743F"/>
    <w:rsid w:val="00FA0A42"/>
    <w:rsid w:val="00FA3679"/>
    <w:rsid w:val="00FC0949"/>
    <w:rsid w:val="00FC10E5"/>
    <w:rsid w:val="00FC1E98"/>
    <w:rsid w:val="00FC4825"/>
    <w:rsid w:val="00FC4FC7"/>
    <w:rsid w:val="00FC6808"/>
    <w:rsid w:val="00FD3778"/>
    <w:rsid w:val="00FD7D77"/>
    <w:rsid w:val="00FE1B9D"/>
    <w:rsid w:val="00FE1FCE"/>
    <w:rsid w:val="00FF0322"/>
    <w:rsid w:val="00FF639B"/>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2"/>
  </w:style>
  <w:style w:type="paragraph" w:styleId="Heading4">
    <w:name w:val="heading 4"/>
    <w:basedOn w:val="Normal"/>
    <w:next w:val="Normal"/>
    <w:link w:val="Heading4Char"/>
    <w:semiHidden/>
    <w:unhideWhenUsed/>
    <w:qFormat/>
    <w:rsid w:val="00CF6F22"/>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F6F22"/>
    <w:rPr>
      <w:rFonts w:ascii="Arial" w:eastAsia="Times New Roman" w:hAnsi="Arial" w:cs="Times New Roman"/>
      <w:sz w:val="28"/>
      <w:szCs w:val="24"/>
      <w:lang w:val="en-GB"/>
    </w:rPr>
  </w:style>
  <w:style w:type="paragraph" w:styleId="BalloonText">
    <w:name w:val="Balloon Text"/>
    <w:basedOn w:val="Normal"/>
    <w:link w:val="BalloonTextChar"/>
    <w:uiPriority w:val="99"/>
    <w:semiHidden/>
    <w:unhideWhenUsed/>
    <w:rsid w:val="00CF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F22"/>
    <w:rPr>
      <w:rFonts w:ascii="Tahoma" w:hAnsi="Tahoma" w:cs="Tahoma"/>
      <w:sz w:val="16"/>
      <w:szCs w:val="16"/>
    </w:rPr>
  </w:style>
  <w:style w:type="paragraph" w:styleId="ListParagraph">
    <w:name w:val="List Paragraph"/>
    <w:basedOn w:val="Normal"/>
    <w:uiPriority w:val="34"/>
    <w:qFormat/>
    <w:rsid w:val="00DE5B37"/>
    <w:pPr>
      <w:ind w:left="720"/>
      <w:contextualSpacing/>
    </w:pPr>
  </w:style>
  <w:style w:type="paragraph" w:styleId="FootnoteText">
    <w:name w:val="footnote text"/>
    <w:aliases w:val="HCR: - Footnote text"/>
    <w:basedOn w:val="Normal"/>
    <w:link w:val="FootnoteTextChar"/>
    <w:uiPriority w:val="99"/>
    <w:unhideWhenUsed/>
    <w:qFormat/>
    <w:rsid w:val="008F402F"/>
    <w:pPr>
      <w:spacing w:after="0" w:line="240" w:lineRule="auto"/>
      <w:jc w:val="both"/>
    </w:pPr>
    <w:rPr>
      <w:sz w:val="20"/>
      <w:szCs w:val="20"/>
    </w:rPr>
  </w:style>
  <w:style w:type="character" w:customStyle="1" w:styleId="FootnoteTextChar">
    <w:name w:val="Footnote Text Char"/>
    <w:aliases w:val="HCR: - Footnote text Char"/>
    <w:basedOn w:val="DefaultParagraphFont"/>
    <w:link w:val="FootnoteText"/>
    <w:uiPriority w:val="99"/>
    <w:rsid w:val="008F402F"/>
    <w:rPr>
      <w:sz w:val="20"/>
      <w:szCs w:val="20"/>
    </w:rPr>
  </w:style>
  <w:style w:type="character" w:styleId="FootnoteReference">
    <w:name w:val="footnote reference"/>
    <w:basedOn w:val="DefaultParagraphFont"/>
    <w:uiPriority w:val="99"/>
    <w:unhideWhenUsed/>
    <w:rsid w:val="008F402F"/>
    <w:rPr>
      <w:vertAlign w:val="superscript"/>
    </w:rPr>
  </w:style>
  <w:style w:type="paragraph" w:styleId="Header">
    <w:name w:val="header"/>
    <w:basedOn w:val="Normal"/>
    <w:link w:val="HeaderChar"/>
    <w:uiPriority w:val="99"/>
    <w:unhideWhenUsed/>
    <w:rsid w:val="0084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6A"/>
  </w:style>
  <w:style w:type="paragraph" w:styleId="Footer">
    <w:name w:val="footer"/>
    <w:basedOn w:val="Normal"/>
    <w:link w:val="FooterChar"/>
    <w:uiPriority w:val="99"/>
    <w:unhideWhenUsed/>
    <w:rsid w:val="0084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6A"/>
  </w:style>
  <w:style w:type="character" w:styleId="Hyperlink">
    <w:name w:val="Hyperlink"/>
    <w:basedOn w:val="DefaultParagraphFont"/>
    <w:uiPriority w:val="99"/>
    <w:unhideWhenUsed/>
    <w:rsid w:val="00D401DE"/>
    <w:rPr>
      <w:color w:val="0000FF" w:themeColor="hyperlink"/>
      <w:u w:val="single"/>
    </w:rPr>
  </w:style>
  <w:style w:type="character" w:styleId="CommentReference">
    <w:name w:val="annotation reference"/>
    <w:basedOn w:val="DefaultParagraphFont"/>
    <w:uiPriority w:val="99"/>
    <w:semiHidden/>
    <w:unhideWhenUsed/>
    <w:rsid w:val="00F94B2D"/>
    <w:rPr>
      <w:sz w:val="16"/>
      <w:szCs w:val="16"/>
    </w:rPr>
  </w:style>
  <w:style w:type="paragraph" w:styleId="CommentText">
    <w:name w:val="annotation text"/>
    <w:basedOn w:val="Normal"/>
    <w:link w:val="CommentTextChar"/>
    <w:uiPriority w:val="99"/>
    <w:semiHidden/>
    <w:unhideWhenUsed/>
    <w:rsid w:val="00F94B2D"/>
    <w:pPr>
      <w:spacing w:line="240" w:lineRule="auto"/>
    </w:pPr>
    <w:rPr>
      <w:sz w:val="20"/>
      <w:szCs w:val="20"/>
    </w:rPr>
  </w:style>
  <w:style w:type="character" w:customStyle="1" w:styleId="CommentTextChar">
    <w:name w:val="Comment Text Char"/>
    <w:basedOn w:val="DefaultParagraphFont"/>
    <w:link w:val="CommentText"/>
    <w:uiPriority w:val="99"/>
    <w:semiHidden/>
    <w:rsid w:val="00F94B2D"/>
    <w:rPr>
      <w:sz w:val="20"/>
      <w:szCs w:val="20"/>
    </w:rPr>
  </w:style>
  <w:style w:type="paragraph" w:styleId="CommentSubject">
    <w:name w:val="annotation subject"/>
    <w:basedOn w:val="CommentText"/>
    <w:next w:val="CommentText"/>
    <w:link w:val="CommentSubjectChar"/>
    <w:uiPriority w:val="99"/>
    <w:semiHidden/>
    <w:unhideWhenUsed/>
    <w:rsid w:val="00F94B2D"/>
    <w:rPr>
      <w:b/>
      <w:bCs/>
    </w:rPr>
  </w:style>
  <w:style w:type="character" w:customStyle="1" w:styleId="CommentSubjectChar">
    <w:name w:val="Comment Subject Char"/>
    <w:basedOn w:val="CommentTextChar"/>
    <w:link w:val="CommentSubject"/>
    <w:uiPriority w:val="99"/>
    <w:semiHidden/>
    <w:rsid w:val="00F94B2D"/>
    <w:rPr>
      <w:b/>
      <w:bCs/>
      <w:sz w:val="20"/>
      <w:szCs w:val="20"/>
    </w:rPr>
  </w:style>
  <w:style w:type="paragraph" w:customStyle="1" w:styleId="hcr003a00200020numbering003a0020affidavit">
    <w:name w:val="hcr_003a_0020___0020numbering_003a_0020affidavit"/>
    <w:basedOn w:val="Normal"/>
    <w:rsid w:val="00A40DC5"/>
    <w:pPr>
      <w:spacing w:before="240" w:after="240" w:line="360" w:lineRule="atLeast"/>
      <w:jc w:val="both"/>
    </w:pPr>
    <w:rPr>
      <w:rFonts w:ascii="Arial" w:eastAsia="Times New Roman" w:hAnsi="Arial" w:cs="Arial"/>
      <w:sz w:val="24"/>
      <w:szCs w:val="24"/>
      <w:lang w:val="en-ZA" w:eastAsia="en-ZA"/>
    </w:rPr>
  </w:style>
  <w:style w:type="paragraph" w:customStyle="1" w:styleId="p1">
    <w:name w:val="p1"/>
    <w:basedOn w:val="Normal"/>
    <w:rsid w:val="00A40DC5"/>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A40DC5"/>
  </w:style>
  <w:style w:type="character" w:customStyle="1" w:styleId="apple-converted-space">
    <w:name w:val="apple-converted-space"/>
    <w:basedOn w:val="DefaultParagraphFont"/>
    <w:rsid w:val="00A40DC5"/>
  </w:style>
  <w:style w:type="paragraph" w:customStyle="1" w:styleId="p2">
    <w:name w:val="p2"/>
    <w:basedOn w:val="Normal"/>
    <w:rsid w:val="00A40DC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2017-11-21T18:30:00+00:00</Judgment_x0020_Date>
    <Year xmlns="63bdd487-88aa-4c54-b893-ddaa81ed2e7c">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7D439-7E37-45B8-8BD9-061810F32E6D}"/>
</file>

<file path=customXml/itemProps2.xml><?xml version="1.0" encoding="utf-8"?>
<ds:datastoreItem xmlns:ds="http://schemas.openxmlformats.org/officeDocument/2006/customXml" ds:itemID="{D036629B-D57E-402B-A658-6D8E33EF3FBF}"/>
</file>

<file path=customXml/itemProps3.xml><?xml version="1.0" encoding="utf-8"?>
<ds:datastoreItem xmlns:ds="http://schemas.openxmlformats.org/officeDocument/2006/customXml" ds:itemID="{29BB4790-1F05-4A7E-9FA1-4E62A80C63DC}"/>
</file>

<file path=customXml/itemProps4.xml><?xml version="1.0" encoding="utf-8"?>
<ds:datastoreItem xmlns:ds="http://schemas.openxmlformats.org/officeDocument/2006/customXml" ds:itemID="{49EF9B2A-122C-4ED8-AD1C-F3693075ED25}"/>
</file>

<file path=docProps/app.xml><?xml version="1.0" encoding="utf-8"?>
<Properties xmlns="http://schemas.openxmlformats.org/officeDocument/2006/extended-properties" xmlns:vt="http://schemas.openxmlformats.org/officeDocument/2006/docPropsVTypes">
  <Template>Normal</Template>
  <TotalTime>0</TotalTime>
  <Pages>34</Pages>
  <Words>8438</Words>
  <Characters>48097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Dannecker v Leopard Tours Car and Camping Hire CC (I 2909-2006) [2015] NAHCMD 30 (20 February 2015)</vt:lpstr>
    </vt:vector>
  </TitlesOfParts>
  <Company/>
  <LinksUpToDate>false</LinksUpToDate>
  <CharactersWithSpaces>56423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2017-11-21T06:22:00Z</cp:lastPrinted>
  <dcterms:created xsi:type="dcterms:W3CDTF">2017-11-22T10:27:00Z</dcterms:created>
  <dcterms:modified xsi:type="dcterms:W3CDTF">2017-11-22T10:27:00Z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