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8716F5" w:rsidRDefault="008C3367" w:rsidP="008C3367">
      <w:pPr>
        <w:keepNext/>
        <w:spacing w:line="360" w:lineRule="auto"/>
        <w:jc w:val="center"/>
        <w:outlineLvl w:val="0"/>
        <w:rPr>
          <w:rFonts w:ascii="Arial" w:hAnsi="Arial" w:cs="Arial"/>
          <w:b/>
          <w:bCs/>
          <w:sz w:val="24"/>
          <w:szCs w:val="24"/>
        </w:rPr>
      </w:pPr>
      <w:r w:rsidRPr="008716F5">
        <w:rPr>
          <w:rFonts w:ascii="Arial" w:hAnsi="Arial" w:cs="Arial"/>
          <w:b/>
          <w:bCs/>
          <w:noProof/>
          <w:sz w:val="24"/>
          <w:szCs w:val="24"/>
          <w:lang w:eastAsia="en-ZA"/>
        </w:rPr>
        <w:drawing>
          <wp:inline distT="0" distB="0" distL="0" distR="0" wp14:anchorId="1F50AC99" wp14:editId="74FA1F4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8716F5" w:rsidRDefault="00D17373"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8716F5">
        <w:rPr>
          <w:rFonts w:ascii="Arial" w:hAnsi="Arial" w:cs="Arial"/>
          <w:b/>
          <w:sz w:val="24"/>
          <w:szCs w:val="24"/>
        </w:rPr>
        <w:t>REPORTABLE</w:t>
      </w:r>
    </w:p>
    <w:p w:rsidR="008C3367" w:rsidRPr="008716F5" w:rsidRDefault="008C3367" w:rsidP="007C732D">
      <w:pPr>
        <w:spacing w:after="0" w:line="240" w:lineRule="auto"/>
        <w:jc w:val="right"/>
        <w:rPr>
          <w:rFonts w:ascii="Arial" w:hAnsi="Arial" w:cs="Arial"/>
          <w:sz w:val="24"/>
          <w:szCs w:val="24"/>
        </w:rPr>
      </w:pPr>
      <w:r w:rsidRPr="008716F5">
        <w:rPr>
          <w:rFonts w:ascii="Arial" w:hAnsi="Arial" w:cs="Arial"/>
          <w:sz w:val="24"/>
          <w:szCs w:val="24"/>
        </w:rPr>
        <w:t xml:space="preserve">CASE NO: SA </w:t>
      </w:r>
      <w:r w:rsidR="002562AE">
        <w:rPr>
          <w:rFonts w:ascii="Arial" w:hAnsi="Arial" w:cs="Arial"/>
          <w:sz w:val="24"/>
          <w:szCs w:val="24"/>
        </w:rPr>
        <w:t>24</w:t>
      </w:r>
      <w:r w:rsidRPr="008716F5">
        <w:rPr>
          <w:rFonts w:ascii="Arial" w:hAnsi="Arial" w:cs="Arial"/>
          <w:sz w:val="24"/>
          <w:szCs w:val="24"/>
        </w:rPr>
        <w:t>/201</w:t>
      </w:r>
      <w:r w:rsidR="007104EF" w:rsidRPr="008716F5">
        <w:rPr>
          <w:rFonts w:ascii="Arial" w:hAnsi="Arial" w:cs="Arial"/>
          <w:sz w:val="24"/>
          <w:szCs w:val="24"/>
        </w:rPr>
        <w:t>6</w:t>
      </w:r>
    </w:p>
    <w:p w:rsidR="008C3367" w:rsidRPr="008716F5" w:rsidRDefault="008C3367" w:rsidP="008C3367">
      <w:pPr>
        <w:spacing w:line="240" w:lineRule="auto"/>
        <w:ind w:left="-142"/>
        <w:jc w:val="both"/>
        <w:rPr>
          <w:rFonts w:ascii="Arial" w:hAnsi="Arial" w:cs="Arial"/>
          <w:b/>
          <w:sz w:val="24"/>
          <w:szCs w:val="24"/>
        </w:rPr>
      </w:pPr>
    </w:p>
    <w:p w:rsidR="008C3367" w:rsidRPr="008716F5" w:rsidRDefault="008C3367" w:rsidP="00B40CD3">
      <w:pPr>
        <w:spacing w:line="240" w:lineRule="auto"/>
        <w:jc w:val="both"/>
        <w:rPr>
          <w:rFonts w:ascii="Arial" w:hAnsi="Arial" w:cs="Arial"/>
          <w:b/>
          <w:sz w:val="24"/>
          <w:szCs w:val="24"/>
        </w:rPr>
      </w:pPr>
      <w:r w:rsidRPr="008716F5">
        <w:rPr>
          <w:rFonts w:ascii="Arial" w:hAnsi="Arial" w:cs="Arial"/>
          <w:b/>
          <w:sz w:val="24"/>
          <w:szCs w:val="24"/>
        </w:rPr>
        <w:t>IN THE SUPREME COURT OF NAMIBIA</w:t>
      </w:r>
    </w:p>
    <w:p w:rsidR="008C3367" w:rsidRPr="008716F5" w:rsidRDefault="008C3367" w:rsidP="00B40CD3">
      <w:pPr>
        <w:spacing w:line="240" w:lineRule="auto"/>
        <w:jc w:val="both"/>
        <w:rPr>
          <w:rFonts w:ascii="Arial" w:hAnsi="Arial" w:cs="Arial"/>
          <w:sz w:val="24"/>
          <w:szCs w:val="24"/>
        </w:rPr>
      </w:pPr>
    </w:p>
    <w:p w:rsidR="008C3367" w:rsidRPr="008716F5" w:rsidRDefault="008C3367" w:rsidP="00B40CD3">
      <w:pPr>
        <w:spacing w:line="240" w:lineRule="auto"/>
        <w:jc w:val="both"/>
        <w:rPr>
          <w:rFonts w:ascii="Arial" w:hAnsi="Arial" w:cs="Arial"/>
          <w:sz w:val="24"/>
          <w:szCs w:val="24"/>
        </w:rPr>
      </w:pPr>
      <w:r w:rsidRPr="008716F5">
        <w:rPr>
          <w:rFonts w:ascii="Arial" w:hAnsi="Arial" w:cs="Arial"/>
          <w:sz w:val="24"/>
          <w:szCs w:val="24"/>
        </w:rPr>
        <w:t>In the matter between:</w:t>
      </w:r>
    </w:p>
    <w:p w:rsidR="008C3367" w:rsidRPr="008716F5"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8716F5" w:rsidTr="00B40CD3">
        <w:tc>
          <w:tcPr>
            <w:tcW w:w="6204" w:type="dxa"/>
            <w:shd w:val="clear" w:color="auto" w:fill="auto"/>
          </w:tcPr>
          <w:p w:rsidR="008C3367" w:rsidRPr="008716F5" w:rsidRDefault="002562AE" w:rsidP="00B40CD3">
            <w:pPr>
              <w:spacing w:line="240" w:lineRule="auto"/>
              <w:jc w:val="both"/>
              <w:rPr>
                <w:rFonts w:ascii="Arial" w:hAnsi="Arial" w:cs="Arial"/>
                <w:b/>
                <w:sz w:val="24"/>
                <w:szCs w:val="24"/>
              </w:rPr>
            </w:pPr>
            <w:r>
              <w:rPr>
                <w:rFonts w:ascii="Arial" w:hAnsi="Arial" w:cs="Arial"/>
                <w:b/>
                <w:sz w:val="24"/>
                <w:szCs w:val="24"/>
              </w:rPr>
              <w:t>PAUL VIVIERS</w:t>
            </w:r>
          </w:p>
        </w:tc>
        <w:tc>
          <w:tcPr>
            <w:tcW w:w="3011" w:type="dxa"/>
            <w:shd w:val="clear" w:color="auto" w:fill="auto"/>
          </w:tcPr>
          <w:p w:rsidR="008C3367" w:rsidRPr="008716F5" w:rsidRDefault="008C3367" w:rsidP="00B40CD3">
            <w:pPr>
              <w:spacing w:line="240" w:lineRule="auto"/>
              <w:jc w:val="right"/>
              <w:rPr>
                <w:rFonts w:ascii="Arial" w:hAnsi="Arial" w:cs="Arial"/>
                <w:b/>
                <w:sz w:val="24"/>
                <w:szCs w:val="24"/>
              </w:rPr>
            </w:pPr>
            <w:r w:rsidRPr="008716F5">
              <w:rPr>
                <w:rFonts w:ascii="Arial" w:hAnsi="Arial" w:cs="Arial"/>
                <w:b/>
                <w:sz w:val="24"/>
                <w:szCs w:val="24"/>
              </w:rPr>
              <w:t>Appellant</w:t>
            </w:r>
          </w:p>
        </w:tc>
      </w:tr>
      <w:tr w:rsidR="008C3367" w:rsidRPr="008716F5" w:rsidTr="00B40CD3">
        <w:tc>
          <w:tcPr>
            <w:tcW w:w="6204" w:type="dxa"/>
            <w:shd w:val="clear" w:color="auto" w:fill="auto"/>
          </w:tcPr>
          <w:p w:rsidR="008C3367" w:rsidRPr="008716F5" w:rsidRDefault="008C3367" w:rsidP="00B40CD3">
            <w:pPr>
              <w:spacing w:line="240" w:lineRule="auto"/>
              <w:jc w:val="both"/>
              <w:rPr>
                <w:rFonts w:ascii="Arial" w:hAnsi="Arial" w:cs="Arial"/>
                <w:b/>
                <w:sz w:val="24"/>
                <w:szCs w:val="24"/>
              </w:rPr>
            </w:pPr>
          </w:p>
        </w:tc>
        <w:tc>
          <w:tcPr>
            <w:tcW w:w="3011" w:type="dxa"/>
            <w:shd w:val="clear" w:color="auto" w:fill="auto"/>
          </w:tcPr>
          <w:p w:rsidR="008C3367" w:rsidRPr="008716F5" w:rsidRDefault="008C3367" w:rsidP="00B40CD3">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EF6EDE" w:rsidP="00B40CD3">
            <w:pPr>
              <w:spacing w:line="240" w:lineRule="auto"/>
              <w:jc w:val="both"/>
              <w:rPr>
                <w:rFonts w:ascii="Arial" w:hAnsi="Arial" w:cs="Arial"/>
                <w:sz w:val="24"/>
                <w:szCs w:val="24"/>
              </w:rPr>
            </w:pPr>
            <w:r>
              <w:rPr>
                <w:rFonts w:ascii="Arial" w:hAnsi="Arial" w:cs="Arial"/>
                <w:sz w:val="24"/>
                <w:szCs w:val="24"/>
              </w:rPr>
              <w:t>a</w:t>
            </w:r>
            <w:r w:rsidR="008C3367" w:rsidRPr="008716F5">
              <w:rPr>
                <w:rFonts w:ascii="Arial" w:hAnsi="Arial" w:cs="Arial"/>
                <w:sz w:val="24"/>
                <w:szCs w:val="24"/>
              </w:rPr>
              <w:t>nd</w:t>
            </w:r>
          </w:p>
        </w:tc>
        <w:tc>
          <w:tcPr>
            <w:tcW w:w="3011" w:type="dxa"/>
            <w:shd w:val="clear" w:color="auto" w:fill="auto"/>
          </w:tcPr>
          <w:p w:rsidR="008C3367" w:rsidRPr="008716F5" w:rsidRDefault="008C3367" w:rsidP="00B40CD3">
            <w:pPr>
              <w:spacing w:line="240" w:lineRule="auto"/>
              <w:jc w:val="both"/>
              <w:rPr>
                <w:rFonts w:ascii="Arial" w:hAnsi="Arial" w:cs="Arial"/>
                <w:b/>
                <w:sz w:val="24"/>
                <w:szCs w:val="24"/>
              </w:rPr>
            </w:pPr>
          </w:p>
        </w:tc>
      </w:tr>
      <w:tr w:rsidR="008C3367" w:rsidRPr="008716F5" w:rsidTr="00B40CD3">
        <w:tc>
          <w:tcPr>
            <w:tcW w:w="6204" w:type="dxa"/>
            <w:shd w:val="clear" w:color="auto" w:fill="auto"/>
          </w:tcPr>
          <w:p w:rsidR="008C3367" w:rsidRPr="008716F5" w:rsidRDefault="008C3367" w:rsidP="00B40CD3">
            <w:pPr>
              <w:spacing w:line="240" w:lineRule="auto"/>
              <w:jc w:val="both"/>
              <w:rPr>
                <w:rFonts w:ascii="Arial" w:hAnsi="Arial" w:cs="Arial"/>
                <w:b/>
                <w:sz w:val="24"/>
                <w:szCs w:val="24"/>
              </w:rPr>
            </w:pPr>
          </w:p>
        </w:tc>
        <w:tc>
          <w:tcPr>
            <w:tcW w:w="3011" w:type="dxa"/>
            <w:shd w:val="clear" w:color="auto" w:fill="auto"/>
          </w:tcPr>
          <w:p w:rsidR="008C3367" w:rsidRPr="008716F5" w:rsidRDefault="008C3367" w:rsidP="00B40CD3">
            <w:pPr>
              <w:spacing w:line="240" w:lineRule="auto"/>
              <w:jc w:val="both"/>
              <w:rPr>
                <w:rFonts w:ascii="Arial" w:hAnsi="Arial" w:cs="Arial"/>
                <w:b/>
                <w:sz w:val="24"/>
                <w:szCs w:val="24"/>
              </w:rPr>
            </w:pPr>
          </w:p>
        </w:tc>
      </w:tr>
      <w:tr w:rsidR="008C3367" w:rsidRPr="008716F5" w:rsidTr="00B40CD3">
        <w:tc>
          <w:tcPr>
            <w:tcW w:w="6204" w:type="dxa"/>
            <w:shd w:val="clear" w:color="auto" w:fill="auto"/>
          </w:tcPr>
          <w:p w:rsidR="008C3367" w:rsidRPr="008716F5" w:rsidRDefault="002562AE" w:rsidP="00636684">
            <w:pPr>
              <w:spacing w:line="240" w:lineRule="auto"/>
              <w:jc w:val="both"/>
              <w:rPr>
                <w:rFonts w:ascii="Arial" w:hAnsi="Arial" w:cs="Arial"/>
                <w:b/>
                <w:sz w:val="24"/>
                <w:szCs w:val="24"/>
              </w:rPr>
            </w:pPr>
            <w:r>
              <w:rPr>
                <w:rFonts w:ascii="Arial" w:hAnsi="Arial" w:cs="Arial"/>
                <w:b/>
                <w:sz w:val="24"/>
                <w:szCs w:val="24"/>
              </w:rPr>
              <w:t>JOHAN BARRINGTON IRELAND</w:t>
            </w:r>
            <w:r w:rsidR="00D350E8" w:rsidRPr="008716F5">
              <w:rPr>
                <w:rFonts w:ascii="Arial" w:hAnsi="Arial" w:cs="Arial"/>
                <w:b/>
                <w:sz w:val="24"/>
                <w:szCs w:val="24"/>
              </w:rPr>
              <w:t xml:space="preserve"> </w:t>
            </w:r>
          </w:p>
        </w:tc>
        <w:tc>
          <w:tcPr>
            <w:tcW w:w="3011" w:type="dxa"/>
            <w:shd w:val="clear" w:color="auto" w:fill="auto"/>
          </w:tcPr>
          <w:p w:rsidR="00584213" w:rsidRPr="008716F5" w:rsidRDefault="002562AE" w:rsidP="00B40CD3">
            <w:pPr>
              <w:spacing w:line="240" w:lineRule="auto"/>
              <w:jc w:val="right"/>
              <w:rPr>
                <w:rFonts w:ascii="Arial" w:hAnsi="Arial" w:cs="Arial"/>
                <w:b/>
                <w:sz w:val="24"/>
                <w:szCs w:val="24"/>
              </w:rPr>
            </w:pPr>
            <w:r>
              <w:rPr>
                <w:rFonts w:ascii="Arial" w:hAnsi="Arial" w:cs="Arial"/>
                <w:b/>
                <w:sz w:val="24"/>
                <w:szCs w:val="24"/>
              </w:rPr>
              <w:t xml:space="preserve">First </w:t>
            </w:r>
            <w:r w:rsidR="00584213" w:rsidRPr="008716F5">
              <w:rPr>
                <w:rFonts w:ascii="Arial" w:hAnsi="Arial" w:cs="Arial"/>
                <w:b/>
                <w:sz w:val="24"/>
                <w:szCs w:val="24"/>
              </w:rPr>
              <w:t>Respondent</w:t>
            </w:r>
          </w:p>
        </w:tc>
      </w:tr>
      <w:tr w:rsidR="002562AE" w:rsidRPr="008716F5" w:rsidTr="00B40CD3">
        <w:tc>
          <w:tcPr>
            <w:tcW w:w="6204" w:type="dxa"/>
            <w:shd w:val="clear" w:color="auto" w:fill="auto"/>
          </w:tcPr>
          <w:p w:rsidR="002562AE" w:rsidRDefault="002562AE" w:rsidP="00636684">
            <w:pPr>
              <w:spacing w:line="240" w:lineRule="auto"/>
              <w:jc w:val="both"/>
              <w:rPr>
                <w:rFonts w:ascii="Arial" w:hAnsi="Arial" w:cs="Arial"/>
                <w:b/>
                <w:sz w:val="24"/>
                <w:szCs w:val="24"/>
              </w:rPr>
            </w:pPr>
            <w:r>
              <w:rPr>
                <w:rFonts w:ascii="Arial" w:hAnsi="Arial" w:cs="Arial"/>
                <w:b/>
                <w:sz w:val="24"/>
                <w:szCs w:val="24"/>
              </w:rPr>
              <w:t>ANTHEA VANESSA IRELAND</w:t>
            </w:r>
          </w:p>
        </w:tc>
        <w:tc>
          <w:tcPr>
            <w:tcW w:w="3011" w:type="dxa"/>
            <w:shd w:val="clear" w:color="auto" w:fill="auto"/>
          </w:tcPr>
          <w:p w:rsidR="002562AE" w:rsidRDefault="002562AE" w:rsidP="00B40CD3">
            <w:pPr>
              <w:spacing w:line="240" w:lineRule="auto"/>
              <w:jc w:val="right"/>
              <w:rPr>
                <w:rFonts w:ascii="Arial" w:hAnsi="Arial" w:cs="Arial"/>
                <w:b/>
                <w:sz w:val="24"/>
                <w:szCs w:val="24"/>
              </w:rPr>
            </w:pPr>
            <w:r>
              <w:rPr>
                <w:rFonts w:ascii="Arial" w:hAnsi="Arial" w:cs="Arial"/>
                <w:b/>
                <w:sz w:val="24"/>
                <w:szCs w:val="24"/>
              </w:rPr>
              <w:t>Second Respondent</w:t>
            </w:r>
          </w:p>
        </w:tc>
      </w:tr>
      <w:tr w:rsidR="00584213" w:rsidRPr="008716F5" w:rsidTr="00B40CD3">
        <w:tc>
          <w:tcPr>
            <w:tcW w:w="6204" w:type="dxa"/>
            <w:shd w:val="clear" w:color="auto" w:fill="auto"/>
          </w:tcPr>
          <w:p w:rsidR="00584213" w:rsidRPr="008716F5" w:rsidRDefault="00584213" w:rsidP="00B40CD3">
            <w:pPr>
              <w:spacing w:line="240" w:lineRule="auto"/>
              <w:ind w:firstLine="142"/>
              <w:jc w:val="both"/>
              <w:rPr>
                <w:rFonts w:ascii="Arial" w:hAnsi="Arial" w:cs="Arial"/>
                <w:b/>
                <w:sz w:val="24"/>
                <w:szCs w:val="24"/>
              </w:rPr>
            </w:pPr>
          </w:p>
        </w:tc>
        <w:tc>
          <w:tcPr>
            <w:tcW w:w="3011" w:type="dxa"/>
            <w:shd w:val="clear" w:color="auto" w:fill="auto"/>
          </w:tcPr>
          <w:p w:rsidR="00584213" w:rsidRPr="008716F5" w:rsidRDefault="00584213" w:rsidP="00B40CD3">
            <w:pPr>
              <w:spacing w:line="240" w:lineRule="auto"/>
              <w:ind w:firstLine="142"/>
              <w:jc w:val="right"/>
              <w:rPr>
                <w:rFonts w:ascii="Arial" w:hAnsi="Arial" w:cs="Arial"/>
                <w:b/>
                <w:sz w:val="24"/>
                <w:szCs w:val="24"/>
              </w:rPr>
            </w:pPr>
          </w:p>
        </w:tc>
      </w:tr>
    </w:tbl>
    <w:p w:rsidR="008C3367" w:rsidRPr="008716F5" w:rsidRDefault="008C3367" w:rsidP="00B40CD3">
      <w:pPr>
        <w:spacing w:line="240" w:lineRule="auto"/>
        <w:ind w:left="-142" w:firstLine="142"/>
        <w:jc w:val="both"/>
        <w:rPr>
          <w:rFonts w:ascii="Arial" w:hAnsi="Arial" w:cs="Arial"/>
          <w:sz w:val="24"/>
          <w:szCs w:val="24"/>
        </w:rPr>
      </w:pPr>
      <w:r w:rsidRPr="008716F5">
        <w:rPr>
          <w:rFonts w:ascii="Arial" w:hAnsi="Arial" w:cs="Arial"/>
          <w:b/>
          <w:sz w:val="24"/>
          <w:szCs w:val="24"/>
        </w:rPr>
        <w:t>Coram:</w:t>
      </w:r>
      <w:r w:rsidRPr="008716F5">
        <w:rPr>
          <w:rFonts w:ascii="Arial" w:hAnsi="Arial" w:cs="Arial"/>
          <w:sz w:val="24"/>
          <w:szCs w:val="24"/>
        </w:rPr>
        <w:tab/>
      </w:r>
      <w:r w:rsidRPr="008716F5">
        <w:rPr>
          <w:rFonts w:ascii="Arial" w:hAnsi="Arial" w:cs="Arial"/>
          <w:sz w:val="24"/>
          <w:szCs w:val="24"/>
        </w:rPr>
        <w:tab/>
      </w:r>
      <w:r w:rsidR="00D350E8" w:rsidRPr="008716F5">
        <w:rPr>
          <w:rFonts w:ascii="Arial" w:hAnsi="Arial" w:cs="Arial"/>
          <w:sz w:val="24"/>
          <w:szCs w:val="24"/>
        </w:rPr>
        <w:t>DAMASEB DCJ</w:t>
      </w:r>
      <w:r w:rsidRPr="008716F5">
        <w:rPr>
          <w:rFonts w:ascii="Arial" w:hAnsi="Arial" w:cs="Arial"/>
          <w:sz w:val="24"/>
          <w:szCs w:val="24"/>
        </w:rPr>
        <w:t xml:space="preserve">, </w:t>
      </w:r>
      <w:r w:rsidR="002562AE">
        <w:rPr>
          <w:rFonts w:ascii="Arial" w:hAnsi="Arial" w:cs="Arial"/>
          <w:sz w:val="24"/>
          <w:szCs w:val="24"/>
        </w:rPr>
        <w:t>HOFF</w:t>
      </w:r>
      <w:r w:rsidRPr="008716F5">
        <w:rPr>
          <w:rFonts w:ascii="Arial" w:hAnsi="Arial" w:cs="Arial"/>
          <w:sz w:val="24"/>
          <w:szCs w:val="24"/>
        </w:rPr>
        <w:t xml:space="preserve"> JA</w:t>
      </w:r>
      <w:r w:rsidR="009C70E6" w:rsidRPr="008716F5">
        <w:rPr>
          <w:rFonts w:ascii="Arial" w:hAnsi="Arial" w:cs="Arial"/>
          <w:sz w:val="24"/>
          <w:szCs w:val="24"/>
        </w:rPr>
        <w:t xml:space="preserve"> and </w:t>
      </w:r>
      <w:r w:rsidR="00D350E8" w:rsidRPr="008716F5">
        <w:rPr>
          <w:rFonts w:ascii="Arial" w:hAnsi="Arial" w:cs="Arial"/>
          <w:sz w:val="24"/>
          <w:szCs w:val="24"/>
        </w:rPr>
        <w:t>FRANK</w:t>
      </w:r>
      <w:r w:rsidR="009C70E6" w:rsidRPr="008716F5">
        <w:rPr>
          <w:rFonts w:ascii="Arial" w:hAnsi="Arial" w:cs="Arial"/>
          <w:sz w:val="24"/>
          <w:szCs w:val="24"/>
        </w:rPr>
        <w:t xml:space="preserve"> </w:t>
      </w:r>
      <w:r w:rsidR="00D350E8" w:rsidRPr="008716F5">
        <w:rPr>
          <w:rFonts w:ascii="Arial" w:hAnsi="Arial" w:cs="Arial"/>
          <w:sz w:val="24"/>
          <w:szCs w:val="24"/>
        </w:rPr>
        <w:t>A</w:t>
      </w:r>
      <w:r w:rsidR="009C70E6" w:rsidRPr="008716F5">
        <w:rPr>
          <w:rFonts w:ascii="Arial" w:hAnsi="Arial" w:cs="Arial"/>
          <w:sz w:val="24"/>
          <w:szCs w:val="24"/>
        </w:rPr>
        <w:t>JA</w:t>
      </w:r>
    </w:p>
    <w:p w:rsidR="008C3367" w:rsidRPr="008716F5" w:rsidRDefault="008C3367" w:rsidP="00B40CD3">
      <w:pPr>
        <w:spacing w:line="240" w:lineRule="auto"/>
        <w:ind w:left="-142" w:firstLine="142"/>
        <w:jc w:val="both"/>
        <w:rPr>
          <w:rFonts w:ascii="Arial" w:hAnsi="Arial" w:cs="Arial"/>
          <w:b/>
          <w:sz w:val="24"/>
          <w:szCs w:val="24"/>
        </w:rPr>
      </w:pPr>
      <w:r w:rsidRPr="008716F5">
        <w:rPr>
          <w:rFonts w:ascii="Arial" w:hAnsi="Arial" w:cs="Arial"/>
          <w:b/>
          <w:sz w:val="24"/>
          <w:szCs w:val="24"/>
        </w:rPr>
        <w:t>Heard:</w:t>
      </w:r>
      <w:r w:rsidRPr="008716F5">
        <w:rPr>
          <w:rFonts w:ascii="Arial" w:hAnsi="Arial" w:cs="Arial"/>
          <w:b/>
          <w:sz w:val="24"/>
          <w:szCs w:val="24"/>
        </w:rPr>
        <w:tab/>
      </w:r>
      <w:r w:rsidRPr="008716F5">
        <w:rPr>
          <w:rFonts w:ascii="Arial" w:hAnsi="Arial" w:cs="Arial"/>
          <w:b/>
          <w:sz w:val="24"/>
          <w:szCs w:val="24"/>
        </w:rPr>
        <w:tab/>
      </w:r>
      <w:r w:rsidR="002562AE">
        <w:rPr>
          <w:rFonts w:ascii="Arial" w:hAnsi="Arial" w:cs="Arial"/>
          <w:b/>
          <w:sz w:val="24"/>
          <w:szCs w:val="24"/>
        </w:rPr>
        <w:t>13 April</w:t>
      </w:r>
      <w:r w:rsidR="009C70E6" w:rsidRPr="008716F5">
        <w:rPr>
          <w:rFonts w:ascii="Arial" w:hAnsi="Arial" w:cs="Arial"/>
          <w:b/>
          <w:sz w:val="24"/>
          <w:szCs w:val="24"/>
        </w:rPr>
        <w:t xml:space="preserve"> 2018</w:t>
      </w:r>
    </w:p>
    <w:p w:rsidR="008C3367" w:rsidRPr="008716F5" w:rsidRDefault="008C3367" w:rsidP="00B40CD3">
      <w:pPr>
        <w:spacing w:line="240" w:lineRule="auto"/>
        <w:jc w:val="both"/>
        <w:rPr>
          <w:rFonts w:ascii="Arial" w:hAnsi="Arial" w:cs="Arial"/>
          <w:b/>
          <w:sz w:val="24"/>
          <w:szCs w:val="24"/>
        </w:rPr>
      </w:pPr>
      <w:r w:rsidRPr="008716F5">
        <w:rPr>
          <w:rFonts w:ascii="Arial" w:hAnsi="Arial" w:cs="Arial"/>
          <w:b/>
          <w:sz w:val="24"/>
          <w:szCs w:val="24"/>
        </w:rPr>
        <w:t>Delivered:</w:t>
      </w:r>
      <w:r w:rsidRPr="008716F5">
        <w:rPr>
          <w:rFonts w:ascii="Arial" w:hAnsi="Arial" w:cs="Arial"/>
          <w:b/>
          <w:sz w:val="24"/>
          <w:szCs w:val="24"/>
        </w:rPr>
        <w:tab/>
      </w:r>
      <w:r w:rsidR="00B40CD3" w:rsidRPr="008716F5">
        <w:rPr>
          <w:rFonts w:ascii="Arial" w:hAnsi="Arial" w:cs="Arial"/>
          <w:b/>
          <w:sz w:val="24"/>
          <w:szCs w:val="24"/>
        </w:rPr>
        <w:tab/>
      </w:r>
      <w:r w:rsidR="00F76B83">
        <w:rPr>
          <w:rFonts w:ascii="Arial" w:hAnsi="Arial" w:cs="Arial"/>
          <w:b/>
          <w:sz w:val="24"/>
          <w:szCs w:val="24"/>
        </w:rPr>
        <w:t>3 May</w:t>
      </w:r>
      <w:r w:rsidR="009C70E6" w:rsidRPr="008716F5">
        <w:rPr>
          <w:rFonts w:ascii="Arial" w:hAnsi="Arial" w:cs="Arial"/>
          <w:b/>
          <w:sz w:val="24"/>
          <w:szCs w:val="24"/>
        </w:rPr>
        <w:t xml:space="preserve"> 2018</w:t>
      </w:r>
    </w:p>
    <w:p w:rsidR="008C3367" w:rsidRPr="008716F5" w:rsidRDefault="008C3367" w:rsidP="00584213">
      <w:pPr>
        <w:spacing w:line="240" w:lineRule="auto"/>
        <w:ind w:left="-142"/>
        <w:jc w:val="both"/>
        <w:rPr>
          <w:rFonts w:ascii="Arial" w:hAnsi="Arial" w:cs="Arial"/>
          <w:b/>
          <w:sz w:val="24"/>
          <w:szCs w:val="24"/>
          <w:lang w:val="en-GB"/>
        </w:rPr>
      </w:pPr>
    </w:p>
    <w:p w:rsidR="00A26B21" w:rsidRPr="008716F5" w:rsidRDefault="00A26B21" w:rsidP="00584213">
      <w:pPr>
        <w:spacing w:line="240" w:lineRule="auto"/>
        <w:ind w:left="-142"/>
        <w:jc w:val="both"/>
        <w:rPr>
          <w:rFonts w:ascii="Arial" w:hAnsi="Arial" w:cs="Arial"/>
          <w:b/>
          <w:sz w:val="24"/>
          <w:szCs w:val="24"/>
          <w:lang w:val="en-GB"/>
        </w:rPr>
      </w:pPr>
    </w:p>
    <w:p w:rsidR="00FC3DC5" w:rsidRDefault="008C3367" w:rsidP="00FC3DC5">
      <w:pPr>
        <w:spacing w:after="0" w:line="480" w:lineRule="auto"/>
        <w:jc w:val="both"/>
        <w:rPr>
          <w:rFonts w:ascii="Arial" w:hAnsi="Arial" w:cs="Arial"/>
          <w:sz w:val="24"/>
          <w:szCs w:val="24"/>
        </w:rPr>
      </w:pPr>
      <w:r w:rsidRPr="008716F5">
        <w:rPr>
          <w:rFonts w:ascii="Arial" w:hAnsi="Arial" w:cs="Arial"/>
          <w:b/>
          <w:sz w:val="24"/>
          <w:szCs w:val="24"/>
          <w:lang w:val="en-GB"/>
        </w:rPr>
        <w:t>Summary:</w:t>
      </w:r>
      <w:r w:rsidR="00721889" w:rsidRPr="008716F5">
        <w:rPr>
          <w:rFonts w:ascii="Arial" w:hAnsi="Arial" w:cs="Arial"/>
          <w:b/>
          <w:sz w:val="24"/>
          <w:szCs w:val="24"/>
          <w:lang w:val="en-GB"/>
        </w:rPr>
        <w:tab/>
      </w:r>
      <w:r w:rsidR="00FC3DC5">
        <w:rPr>
          <w:rFonts w:ascii="Arial" w:hAnsi="Arial" w:cs="Arial"/>
          <w:sz w:val="24"/>
          <w:szCs w:val="24"/>
        </w:rPr>
        <w:t xml:space="preserve">The appellant sought an order against the judgment by the court </w:t>
      </w:r>
      <w:r w:rsidR="00FC3DC5" w:rsidRPr="000A783F">
        <w:rPr>
          <w:rFonts w:ascii="Arial" w:hAnsi="Arial" w:cs="Arial"/>
          <w:i/>
          <w:sz w:val="24"/>
          <w:szCs w:val="24"/>
        </w:rPr>
        <w:t>a quo</w:t>
      </w:r>
      <w:r w:rsidR="00FC3DC5">
        <w:rPr>
          <w:rFonts w:ascii="Arial" w:hAnsi="Arial" w:cs="Arial"/>
          <w:sz w:val="24"/>
          <w:szCs w:val="24"/>
        </w:rPr>
        <w:t>. In the order the main claim by the appellant had been dismissed and the counterclaim by the defendant had been granted.</w:t>
      </w:r>
    </w:p>
    <w:p w:rsidR="00AF1E12" w:rsidRDefault="00AF1E12" w:rsidP="00FC3DC5">
      <w:pPr>
        <w:spacing w:after="0" w:line="480" w:lineRule="auto"/>
        <w:jc w:val="both"/>
        <w:rPr>
          <w:rFonts w:ascii="Arial" w:hAnsi="Arial" w:cs="Arial"/>
          <w:sz w:val="24"/>
          <w:szCs w:val="24"/>
        </w:rPr>
      </w:pPr>
    </w:p>
    <w:p w:rsidR="00FC3DC5" w:rsidRPr="00CE355F" w:rsidRDefault="00FC3DC5" w:rsidP="00FC3DC5">
      <w:pPr>
        <w:spacing w:after="0" w:line="480" w:lineRule="auto"/>
        <w:jc w:val="both"/>
        <w:rPr>
          <w:rFonts w:ascii="Arial" w:hAnsi="Arial" w:cs="Arial"/>
          <w:sz w:val="24"/>
          <w:szCs w:val="24"/>
        </w:rPr>
      </w:pPr>
      <w:r w:rsidRPr="00CE355F">
        <w:rPr>
          <w:rFonts w:ascii="Arial" w:hAnsi="Arial" w:cs="Arial"/>
          <w:sz w:val="24"/>
          <w:szCs w:val="24"/>
        </w:rPr>
        <w:t xml:space="preserve">The appellant is the registered owner of the immovable property and the respondents were and are still in occupation of the property since 1 February 2008. </w:t>
      </w:r>
    </w:p>
    <w:p w:rsidR="00FC3DC5" w:rsidRDefault="00FC3DC5" w:rsidP="00FC3DC5">
      <w:pPr>
        <w:spacing w:after="0" w:line="480" w:lineRule="auto"/>
        <w:jc w:val="both"/>
        <w:rPr>
          <w:rFonts w:ascii="Arial" w:hAnsi="Arial" w:cs="Arial"/>
          <w:sz w:val="24"/>
          <w:szCs w:val="24"/>
        </w:rPr>
      </w:pPr>
      <w:r>
        <w:rPr>
          <w:rFonts w:ascii="Arial" w:hAnsi="Arial" w:cs="Arial"/>
          <w:sz w:val="24"/>
          <w:szCs w:val="24"/>
        </w:rPr>
        <w:lastRenderedPageBreak/>
        <w:t xml:space="preserve">The appellant’s claim was twofold, (a) </w:t>
      </w:r>
      <w:r w:rsidRPr="00F041A1">
        <w:rPr>
          <w:rFonts w:ascii="Arial" w:hAnsi="Arial" w:cs="Arial"/>
          <w:i/>
          <w:sz w:val="24"/>
          <w:szCs w:val="24"/>
        </w:rPr>
        <w:t>rei vindicatio</w:t>
      </w:r>
      <w:r>
        <w:rPr>
          <w:rFonts w:ascii="Arial" w:hAnsi="Arial" w:cs="Arial"/>
          <w:sz w:val="24"/>
          <w:szCs w:val="24"/>
        </w:rPr>
        <w:t xml:space="preserve"> as owner i</w:t>
      </w:r>
      <w:r w:rsidR="00C00BA6">
        <w:rPr>
          <w:rFonts w:ascii="Arial" w:hAnsi="Arial" w:cs="Arial"/>
          <w:sz w:val="24"/>
          <w:szCs w:val="24"/>
        </w:rPr>
        <w:t>n respect of immovable property, and</w:t>
      </w:r>
      <w:r>
        <w:rPr>
          <w:rFonts w:ascii="Arial" w:hAnsi="Arial" w:cs="Arial"/>
          <w:sz w:val="24"/>
          <w:szCs w:val="24"/>
        </w:rPr>
        <w:t xml:space="preserve"> (b) </w:t>
      </w:r>
      <w:r w:rsidR="00C00BA6">
        <w:rPr>
          <w:rFonts w:ascii="Arial" w:hAnsi="Arial" w:cs="Arial"/>
          <w:sz w:val="24"/>
          <w:szCs w:val="24"/>
        </w:rPr>
        <w:t>a</w:t>
      </w:r>
      <w:r>
        <w:rPr>
          <w:rFonts w:ascii="Arial" w:hAnsi="Arial" w:cs="Arial"/>
          <w:sz w:val="24"/>
          <w:szCs w:val="24"/>
        </w:rPr>
        <w:t xml:space="preserve"> claim for enrichment for occupation. The respondent’s defence and counterclaim was based on an agreement of sale in respect of the property and transfer of the immovable property. The respondents claimed registration of the immovable property and if the agreement had lapsed, the re</w:t>
      </w:r>
      <w:r w:rsidR="00F041A1">
        <w:rPr>
          <w:rFonts w:ascii="Arial" w:hAnsi="Arial" w:cs="Arial"/>
          <w:sz w:val="24"/>
          <w:szCs w:val="24"/>
        </w:rPr>
        <w:t>payment of the deposit paid, N$1 100 000</w:t>
      </w:r>
      <w:r>
        <w:rPr>
          <w:rFonts w:ascii="Arial" w:hAnsi="Arial" w:cs="Arial"/>
          <w:sz w:val="24"/>
          <w:szCs w:val="24"/>
        </w:rPr>
        <w:t>.</w:t>
      </w:r>
    </w:p>
    <w:p w:rsidR="00AF1E12" w:rsidRDefault="00AF1E12" w:rsidP="00FC3DC5">
      <w:pPr>
        <w:spacing w:after="0" w:line="480" w:lineRule="auto"/>
        <w:jc w:val="both"/>
        <w:rPr>
          <w:rFonts w:ascii="Arial" w:hAnsi="Arial" w:cs="Arial"/>
          <w:sz w:val="24"/>
          <w:szCs w:val="24"/>
        </w:rPr>
      </w:pPr>
    </w:p>
    <w:p w:rsidR="00FC3DC5" w:rsidRDefault="00FC3DC5" w:rsidP="00FC3DC5">
      <w:pPr>
        <w:spacing w:after="0" w:line="480" w:lineRule="auto"/>
        <w:jc w:val="both"/>
        <w:rPr>
          <w:rFonts w:ascii="Arial" w:hAnsi="Arial" w:cs="Arial"/>
          <w:sz w:val="24"/>
          <w:szCs w:val="24"/>
        </w:rPr>
      </w:pPr>
      <w:r>
        <w:rPr>
          <w:rFonts w:ascii="Arial" w:hAnsi="Arial" w:cs="Arial"/>
          <w:sz w:val="24"/>
          <w:szCs w:val="24"/>
        </w:rPr>
        <w:t xml:space="preserve">The appellant answered to the counterclaim pleading that the agreement had lapsed due to non-fulfilment of suspensive conditions. The written agreement did not provide for a date by which the suspensive conditions, were to be complied with. However </w:t>
      </w:r>
      <w:r w:rsidR="00AF1E12">
        <w:rPr>
          <w:rFonts w:ascii="Arial" w:hAnsi="Arial" w:cs="Arial"/>
          <w:sz w:val="24"/>
          <w:szCs w:val="24"/>
        </w:rPr>
        <w:t xml:space="preserve">the parties </w:t>
      </w:r>
      <w:r w:rsidR="00C00BA6">
        <w:rPr>
          <w:rFonts w:ascii="Arial" w:hAnsi="Arial" w:cs="Arial"/>
          <w:sz w:val="24"/>
          <w:szCs w:val="24"/>
        </w:rPr>
        <w:t>orally and</w:t>
      </w:r>
      <w:r w:rsidR="00AF1E12">
        <w:rPr>
          <w:rFonts w:ascii="Arial" w:hAnsi="Arial" w:cs="Arial"/>
          <w:sz w:val="24"/>
          <w:szCs w:val="24"/>
        </w:rPr>
        <w:t xml:space="preserve"> </w:t>
      </w:r>
      <w:r w:rsidR="00DD7844">
        <w:rPr>
          <w:rFonts w:ascii="Arial" w:hAnsi="Arial" w:cs="Arial"/>
          <w:sz w:val="24"/>
          <w:szCs w:val="24"/>
        </w:rPr>
        <w:t>tacitly</w:t>
      </w:r>
      <w:r w:rsidR="00AF1E12">
        <w:rPr>
          <w:rFonts w:ascii="Arial" w:hAnsi="Arial" w:cs="Arial"/>
          <w:sz w:val="24"/>
          <w:szCs w:val="24"/>
        </w:rPr>
        <w:t xml:space="preserve"> extend</w:t>
      </w:r>
      <w:r w:rsidR="00C00BA6">
        <w:rPr>
          <w:rFonts w:ascii="Arial" w:hAnsi="Arial" w:cs="Arial"/>
          <w:sz w:val="24"/>
          <w:szCs w:val="24"/>
        </w:rPr>
        <w:t>ed agreed</w:t>
      </w:r>
      <w:r w:rsidR="00AF1E12">
        <w:rPr>
          <w:rFonts w:ascii="Arial" w:hAnsi="Arial" w:cs="Arial"/>
          <w:sz w:val="24"/>
          <w:szCs w:val="24"/>
        </w:rPr>
        <w:t xml:space="preserve"> deadlines on a number of occasions. </w:t>
      </w:r>
    </w:p>
    <w:p w:rsidR="00AF1E12" w:rsidRDefault="00AF1E12" w:rsidP="00FC3DC5">
      <w:pPr>
        <w:spacing w:after="0" w:line="480" w:lineRule="auto"/>
        <w:jc w:val="both"/>
        <w:rPr>
          <w:rFonts w:ascii="Arial" w:hAnsi="Arial" w:cs="Arial"/>
          <w:sz w:val="24"/>
          <w:szCs w:val="24"/>
        </w:rPr>
      </w:pPr>
    </w:p>
    <w:p w:rsidR="00FC3DC5" w:rsidRDefault="00FC3DC5" w:rsidP="00FC3DC5">
      <w:pPr>
        <w:spacing w:after="0" w:line="480" w:lineRule="auto"/>
        <w:jc w:val="both"/>
        <w:rPr>
          <w:rFonts w:ascii="Arial" w:hAnsi="Arial" w:cs="Arial"/>
          <w:sz w:val="24"/>
          <w:szCs w:val="24"/>
        </w:rPr>
      </w:pPr>
      <w:r>
        <w:rPr>
          <w:rFonts w:ascii="Arial" w:hAnsi="Arial" w:cs="Arial"/>
          <w:sz w:val="24"/>
          <w:szCs w:val="24"/>
        </w:rPr>
        <w:t xml:space="preserve">By January 2010, the respondents had stopped paying occupational rent and it is alleged by the appellant that by 8 April 2010 he had decided to not give further extensions. His lawyer addressed a letter to the appellant </w:t>
      </w:r>
      <w:r w:rsidR="00C00BA6">
        <w:rPr>
          <w:rFonts w:ascii="Arial" w:hAnsi="Arial" w:cs="Arial"/>
          <w:sz w:val="24"/>
          <w:szCs w:val="24"/>
        </w:rPr>
        <w:t xml:space="preserve">putting him on terms </w:t>
      </w:r>
      <w:r>
        <w:rPr>
          <w:rFonts w:ascii="Arial" w:hAnsi="Arial" w:cs="Arial"/>
          <w:sz w:val="24"/>
          <w:szCs w:val="24"/>
        </w:rPr>
        <w:t xml:space="preserve">and further correspondence followed. In the court </w:t>
      </w:r>
      <w:r w:rsidRPr="00BE5FF6">
        <w:rPr>
          <w:rFonts w:ascii="Arial" w:hAnsi="Arial" w:cs="Arial"/>
          <w:i/>
          <w:sz w:val="24"/>
          <w:szCs w:val="24"/>
        </w:rPr>
        <w:t>a quo</w:t>
      </w:r>
      <w:r w:rsidRPr="00BE5FF6">
        <w:rPr>
          <w:rFonts w:ascii="Arial" w:hAnsi="Arial" w:cs="Arial"/>
          <w:sz w:val="24"/>
          <w:szCs w:val="24"/>
        </w:rPr>
        <w:t xml:space="preserve">, </w:t>
      </w:r>
      <w:r>
        <w:rPr>
          <w:rFonts w:ascii="Arial" w:hAnsi="Arial" w:cs="Arial"/>
          <w:sz w:val="24"/>
          <w:szCs w:val="24"/>
        </w:rPr>
        <w:t>the court had found that the final letter addressed to the respondent created an impression that the appellant had extended the period within which the suspensive condition had to be fulfilled to 18 June 2010.</w:t>
      </w:r>
    </w:p>
    <w:p w:rsidR="00C00BA6" w:rsidRDefault="00C00BA6" w:rsidP="00FC3DC5">
      <w:pPr>
        <w:spacing w:after="0" w:line="480" w:lineRule="auto"/>
        <w:jc w:val="both"/>
        <w:rPr>
          <w:rFonts w:ascii="Arial" w:hAnsi="Arial" w:cs="Arial"/>
          <w:sz w:val="24"/>
          <w:szCs w:val="24"/>
        </w:rPr>
      </w:pPr>
    </w:p>
    <w:p w:rsidR="00FC3DC5" w:rsidRDefault="00FC3DC5" w:rsidP="00FC3DC5">
      <w:pPr>
        <w:spacing w:after="0" w:line="480" w:lineRule="auto"/>
        <w:jc w:val="both"/>
        <w:rPr>
          <w:rFonts w:ascii="Arial" w:hAnsi="Arial" w:cs="Arial"/>
          <w:sz w:val="24"/>
          <w:szCs w:val="24"/>
          <w:lang w:val="en-GB"/>
        </w:rPr>
      </w:pPr>
      <w:r>
        <w:rPr>
          <w:rFonts w:ascii="Arial" w:hAnsi="Arial" w:cs="Arial"/>
          <w:sz w:val="24"/>
          <w:szCs w:val="24"/>
        </w:rPr>
        <w:t>On appeal</w:t>
      </w:r>
      <w:r w:rsidRPr="008006AF">
        <w:rPr>
          <w:rFonts w:ascii="Arial" w:eastAsia="Times New Roman" w:hAnsi="Arial" w:cs="Arial"/>
          <w:spacing w:val="-3"/>
          <w:sz w:val="24"/>
          <w:szCs w:val="24"/>
          <w:lang w:val="en-GB"/>
        </w:rPr>
        <w:t xml:space="preserve"> </w:t>
      </w:r>
      <w:r w:rsidRPr="008006AF">
        <w:rPr>
          <w:rFonts w:ascii="Arial" w:hAnsi="Arial" w:cs="Arial"/>
          <w:sz w:val="24"/>
          <w:szCs w:val="24"/>
          <w:lang w:val="en-GB"/>
        </w:rPr>
        <w:t>the issues for determination were fundamentally similar</w:t>
      </w:r>
      <w:r>
        <w:rPr>
          <w:rFonts w:ascii="Arial" w:hAnsi="Arial" w:cs="Arial"/>
          <w:sz w:val="24"/>
          <w:szCs w:val="24"/>
          <w:lang w:val="en-GB"/>
        </w:rPr>
        <w:t>. Firstly the Court found in favour of the appellant who brought an application for condonation based on the late lodging of the record and late filing of security and an order that the appeal to be re-instated. The Court reasoned that the appellant had a very arguable case and prospects on appeal which further advanced his case for reinstatement.</w:t>
      </w:r>
    </w:p>
    <w:p w:rsidR="00AF1E12" w:rsidRDefault="00AF1E12" w:rsidP="00FC3DC5">
      <w:pPr>
        <w:spacing w:after="0" w:line="480" w:lineRule="auto"/>
        <w:jc w:val="both"/>
        <w:rPr>
          <w:rFonts w:ascii="Arial" w:hAnsi="Arial" w:cs="Arial"/>
          <w:sz w:val="24"/>
          <w:szCs w:val="24"/>
          <w:lang w:val="en-GB"/>
        </w:rPr>
      </w:pPr>
    </w:p>
    <w:p w:rsidR="00FC3DC5" w:rsidRDefault="00FC3DC5" w:rsidP="00FC3DC5">
      <w:pPr>
        <w:spacing w:after="0" w:line="480" w:lineRule="auto"/>
        <w:jc w:val="both"/>
        <w:rPr>
          <w:rFonts w:ascii="Arial" w:hAnsi="Arial" w:cs="Arial"/>
          <w:sz w:val="24"/>
          <w:szCs w:val="24"/>
          <w:lang w:val="en-GB"/>
        </w:rPr>
      </w:pPr>
      <w:r w:rsidRPr="00CB4F33">
        <w:rPr>
          <w:rFonts w:ascii="Arial" w:hAnsi="Arial" w:cs="Arial"/>
          <w:sz w:val="24"/>
          <w:szCs w:val="24"/>
          <w:lang w:val="en-GB"/>
        </w:rPr>
        <w:t xml:space="preserve">In upholding the reasoning of the court </w:t>
      </w:r>
      <w:r w:rsidRPr="00CB4F33">
        <w:rPr>
          <w:rFonts w:ascii="Arial" w:hAnsi="Arial" w:cs="Arial"/>
          <w:i/>
          <w:sz w:val="24"/>
          <w:szCs w:val="24"/>
          <w:lang w:val="en-GB"/>
        </w:rPr>
        <w:t>a quo</w:t>
      </w:r>
      <w:r w:rsidRPr="00CB4F33">
        <w:rPr>
          <w:rFonts w:ascii="Arial" w:hAnsi="Arial" w:cs="Arial"/>
          <w:sz w:val="24"/>
          <w:szCs w:val="24"/>
          <w:lang w:val="en-GB"/>
        </w:rPr>
        <w:t>,</w:t>
      </w:r>
      <w:r>
        <w:rPr>
          <w:rFonts w:ascii="Arial" w:hAnsi="Arial" w:cs="Arial"/>
          <w:sz w:val="24"/>
          <w:szCs w:val="24"/>
          <w:lang w:val="en-GB"/>
        </w:rPr>
        <w:t xml:space="preserve"> the Court found that where parties do not agree to a timeframe within which a condition must be fulfilled then it is implicit that a reasonable time is envisaged. Based on the evidence of appellant, the Court held that he was still willing to await the outcome of the FNB finance application and that the letter of 18 June 2010 </w:t>
      </w:r>
      <w:r w:rsidR="00C00BA6">
        <w:rPr>
          <w:rFonts w:ascii="Arial" w:hAnsi="Arial" w:cs="Arial"/>
          <w:sz w:val="24"/>
          <w:szCs w:val="24"/>
          <w:lang w:val="en-GB"/>
        </w:rPr>
        <w:t>that</w:t>
      </w:r>
      <w:r>
        <w:rPr>
          <w:rFonts w:ascii="Arial" w:hAnsi="Arial" w:cs="Arial"/>
          <w:sz w:val="24"/>
          <w:szCs w:val="24"/>
          <w:lang w:val="en-GB"/>
        </w:rPr>
        <w:t xml:space="preserve"> requested the respondent</w:t>
      </w:r>
      <w:r w:rsidR="00C00BA6">
        <w:rPr>
          <w:rFonts w:ascii="Arial" w:hAnsi="Arial" w:cs="Arial"/>
          <w:sz w:val="24"/>
          <w:szCs w:val="24"/>
          <w:lang w:val="en-GB"/>
        </w:rPr>
        <w:t>s</w:t>
      </w:r>
      <w:r>
        <w:rPr>
          <w:rFonts w:ascii="Arial" w:hAnsi="Arial" w:cs="Arial"/>
          <w:sz w:val="24"/>
          <w:szCs w:val="24"/>
          <w:lang w:val="en-GB"/>
        </w:rPr>
        <w:t xml:space="preserve"> to provide proof that they have the finances in place on that date</w:t>
      </w:r>
      <w:r w:rsidR="00C00BA6">
        <w:rPr>
          <w:rFonts w:ascii="Arial" w:hAnsi="Arial" w:cs="Arial"/>
          <w:sz w:val="24"/>
          <w:szCs w:val="24"/>
          <w:lang w:val="en-GB"/>
        </w:rPr>
        <w:t xml:space="preserve"> extended the deadline to 18 June 2010</w:t>
      </w:r>
      <w:r>
        <w:rPr>
          <w:rFonts w:ascii="Arial" w:hAnsi="Arial" w:cs="Arial"/>
          <w:sz w:val="24"/>
          <w:szCs w:val="24"/>
          <w:lang w:val="en-GB"/>
        </w:rPr>
        <w:t xml:space="preserve">. Therefore the appeal against the judgement of the court </w:t>
      </w:r>
      <w:r w:rsidRPr="00BE5FF6">
        <w:rPr>
          <w:rFonts w:ascii="Arial" w:hAnsi="Arial" w:cs="Arial"/>
          <w:i/>
          <w:sz w:val="24"/>
          <w:szCs w:val="24"/>
          <w:lang w:val="en-GB"/>
        </w:rPr>
        <w:t xml:space="preserve">a quo </w:t>
      </w:r>
      <w:r>
        <w:rPr>
          <w:rFonts w:ascii="Arial" w:hAnsi="Arial" w:cs="Arial"/>
          <w:sz w:val="24"/>
          <w:szCs w:val="24"/>
          <w:lang w:val="en-GB"/>
        </w:rPr>
        <w:t>was dismiss</w:t>
      </w:r>
      <w:r w:rsidR="00C00BA6">
        <w:rPr>
          <w:rFonts w:ascii="Arial" w:hAnsi="Arial" w:cs="Arial"/>
          <w:sz w:val="24"/>
          <w:szCs w:val="24"/>
          <w:lang w:val="en-GB"/>
        </w:rPr>
        <w:t>ed</w:t>
      </w:r>
      <w:r>
        <w:rPr>
          <w:rFonts w:ascii="Arial" w:hAnsi="Arial" w:cs="Arial"/>
          <w:sz w:val="24"/>
          <w:szCs w:val="24"/>
          <w:lang w:val="en-GB"/>
        </w:rPr>
        <w:t>.</w:t>
      </w:r>
    </w:p>
    <w:p w:rsidR="00AF1E12" w:rsidRDefault="00AF1E12" w:rsidP="00FC3DC5">
      <w:pPr>
        <w:spacing w:after="0" w:line="480" w:lineRule="auto"/>
        <w:jc w:val="both"/>
        <w:rPr>
          <w:rFonts w:ascii="Arial" w:hAnsi="Arial" w:cs="Arial"/>
          <w:sz w:val="24"/>
          <w:szCs w:val="24"/>
        </w:rPr>
      </w:pPr>
    </w:p>
    <w:p w:rsidR="00FC3DC5" w:rsidRDefault="00FC3DC5" w:rsidP="00FC3DC5">
      <w:pPr>
        <w:spacing w:after="0" w:line="480" w:lineRule="auto"/>
        <w:jc w:val="both"/>
        <w:rPr>
          <w:rFonts w:ascii="Arial" w:hAnsi="Arial" w:cs="Arial"/>
          <w:sz w:val="24"/>
          <w:szCs w:val="24"/>
        </w:rPr>
      </w:pPr>
      <w:r>
        <w:rPr>
          <w:rFonts w:ascii="Arial" w:hAnsi="Arial" w:cs="Arial"/>
          <w:sz w:val="24"/>
          <w:szCs w:val="24"/>
        </w:rPr>
        <w:t>The Court further dealt with the issue regarding the occupational interest payable pending the transfer of the property to the appellant. There was a dispute whether the interest had</w:t>
      </w:r>
      <w:r w:rsidR="00F041A1">
        <w:rPr>
          <w:rFonts w:ascii="Arial" w:hAnsi="Arial" w:cs="Arial"/>
          <w:sz w:val="24"/>
          <w:szCs w:val="24"/>
        </w:rPr>
        <w:t xml:space="preserve"> increased by agreement from N$</w:t>
      </w:r>
      <w:r>
        <w:rPr>
          <w:rFonts w:ascii="Arial" w:hAnsi="Arial" w:cs="Arial"/>
          <w:sz w:val="24"/>
          <w:szCs w:val="24"/>
        </w:rPr>
        <w:t xml:space="preserve">10 000 to </w:t>
      </w:r>
      <w:r w:rsidR="00F041A1">
        <w:rPr>
          <w:rFonts w:ascii="Arial" w:hAnsi="Arial" w:cs="Arial"/>
          <w:sz w:val="24"/>
          <w:szCs w:val="24"/>
        </w:rPr>
        <w:t>N$</w:t>
      </w:r>
      <w:r>
        <w:rPr>
          <w:rFonts w:ascii="Arial" w:hAnsi="Arial" w:cs="Arial"/>
          <w:sz w:val="24"/>
          <w:szCs w:val="24"/>
        </w:rPr>
        <w:t>20 850 per month. In its findings, the Court held that the version of the appe</w:t>
      </w:r>
      <w:r w:rsidR="00F041A1">
        <w:rPr>
          <w:rFonts w:ascii="Arial" w:hAnsi="Arial" w:cs="Arial"/>
          <w:sz w:val="24"/>
          <w:szCs w:val="24"/>
        </w:rPr>
        <w:t>llant was more probable, the N$</w:t>
      </w:r>
      <w:r>
        <w:rPr>
          <w:rFonts w:ascii="Arial" w:hAnsi="Arial" w:cs="Arial"/>
          <w:sz w:val="24"/>
          <w:szCs w:val="24"/>
        </w:rPr>
        <w:t xml:space="preserve">20 850 had been calculated on the basis </w:t>
      </w:r>
      <w:r w:rsidR="00F041A1">
        <w:rPr>
          <w:rFonts w:ascii="Arial" w:hAnsi="Arial" w:cs="Arial"/>
          <w:sz w:val="24"/>
          <w:szCs w:val="24"/>
        </w:rPr>
        <w:t>of what the monthly costs of N$</w:t>
      </w:r>
      <w:r>
        <w:rPr>
          <w:rFonts w:ascii="Arial" w:hAnsi="Arial" w:cs="Arial"/>
          <w:sz w:val="24"/>
          <w:szCs w:val="24"/>
        </w:rPr>
        <w:t>1,7 million finance from  the bank would have been. Therefore the respondent</w:t>
      </w:r>
      <w:r w:rsidR="005A4EC8">
        <w:rPr>
          <w:rFonts w:ascii="Arial" w:hAnsi="Arial" w:cs="Arial"/>
          <w:sz w:val="24"/>
          <w:szCs w:val="24"/>
        </w:rPr>
        <w:t>s</w:t>
      </w:r>
      <w:r>
        <w:rPr>
          <w:rFonts w:ascii="Arial" w:hAnsi="Arial" w:cs="Arial"/>
          <w:sz w:val="24"/>
          <w:szCs w:val="24"/>
        </w:rPr>
        <w:t xml:space="preserve"> </w:t>
      </w:r>
      <w:r w:rsidR="005A4EC8">
        <w:rPr>
          <w:rFonts w:ascii="Arial" w:hAnsi="Arial" w:cs="Arial"/>
          <w:sz w:val="24"/>
          <w:szCs w:val="24"/>
        </w:rPr>
        <w:t>were</w:t>
      </w:r>
      <w:r>
        <w:rPr>
          <w:rFonts w:ascii="Arial" w:hAnsi="Arial" w:cs="Arial"/>
          <w:sz w:val="24"/>
          <w:szCs w:val="24"/>
        </w:rPr>
        <w:t xml:space="preserve"> found to be liable for occupational interest as from January 2010 when </w:t>
      </w:r>
      <w:r w:rsidR="005A4EC8">
        <w:rPr>
          <w:rFonts w:ascii="Arial" w:hAnsi="Arial" w:cs="Arial"/>
          <w:sz w:val="24"/>
          <w:szCs w:val="24"/>
        </w:rPr>
        <w:t>they</w:t>
      </w:r>
      <w:r>
        <w:rPr>
          <w:rFonts w:ascii="Arial" w:hAnsi="Arial" w:cs="Arial"/>
          <w:sz w:val="24"/>
          <w:szCs w:val="24"/>
        </w:rPr>
        <w:t xml:space="preserve"> had stopped paying the increased amount, up to the date of transfer of the property into the respondents’ names.</w:t>
      </w:r>
    </w:p>
    <w:p w:rsidR="00DD7844" w:rsidRPr="00AF794B" w:rsidRDefault="00DD7844" w:rsidP="00FC3DC5">
      <w:pPr>
        <w:spacing w:after="0" w:line="480" w:lineRule="auto"/>
        <w:jc w:val="both"/>
        <w:rPr>
          <w:rFonts w:ascii="Arial" w:hAnsi="Arial" w:cs="Arial"/>
          <w:sz w:val="24"/>
          <w:szCs w:val="24"/>
        </w:rPr>
      </w:pPr>
    </w:p>
    <w:p w:rsidR="002562AE" w:rsidRDefault="002562AE" w:rsidP="002562AE">
      <w:pPr>
        <w:spacing w:after="0" w:line="480" w:lineRule="auto"/>
        <w:jc w:val="both"/>
        <w:rPr>
          <w:rFonts w:ascii="Arial" w:hAnsi="Arial" w:cs="Arial"/>
          <w:sz w:val="24"/>
          <w:szCs w:val="24"/>
        </w:rPr>
      </w:pPr>
    </w:p>
    <w:p w:rsidR="008C3367" w:rsidRPr="008716F5"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8C3367" w:rsidRPr="008716F5" w:rsidRDefault="008C3367" w:rsidP="008C3367">
      <w:pPr>
        <w:pBdr>
          <w:top w:val="single" w:sz="12" w:space="1" w:color="auto"/>
          <w:bottom w:val="single" w:sz="12" w:space="1" w:color="auto"/>
        </w:pBdr>
        <w:spacing w:line="240" w:lineRule="auto"/>
        <w:jc w:val="center"/>
        <w:rPr>
          <w:rFonts w:ascii="Arial" w:hAnsi="Arial" w:cs="Arial"/>
          <w:b/>
          <w:sz w:val="24"/>
          <w:szCs w:val="24"/>
        </w:rPr>
      </w:pPr>
      <w:r w:rsidRPr="008716F5">
        <w:rPr>
          <w:rFonts w:ascii="Arial" w:hAnsi="Arial" w:cs="Arial"/>
          <w:b/>
          <w:sz w:val="24"/>
          <w:szCs w:val="24"/>
        </w:rPr>
        <w:t>APPEAL JUDGMENT</w:t>
      </w:r>
    </w:p>
    <w:p w:rsidR="008C3367" w:rsidRPr="008716F5"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B40CD3" w:rsidRPr="008716F5" w:rsidRDefault="00B40CD3" w:rsidP="00A26B21">
      <w:pPr>
        <w:pStyle w:val="NoSpacing"/>
        <w:rPr>
          <w:rFonts w:ascii="Arial" w:hAnsi="Arial" w:cs="Arial"/>
        </w:rPr>
      </w:pPr>
    </w:p>
    <w:p w:rsidR="008C3367" w:rsidRDefault="002562AE" w:rsidP="00395B99">
      <w:pPr>
        <w:spacing w:line="480" w:lineRule="auto"/>
        <w:jc w:val="both"/>
        <w:rPr>
          <w:rFonts w:ascii="Arial" w:hAnsi="Arial" w:cs="Arial"/>
          <w:sz w:val="24"/>
          <w:szCs w:val="24"/>
        </w:rPr>
      </w:pPr>
      <w:r>
        <w:rPr>
          <w:rFonts w:ascii="Arial" w:hAnsi="Arial" w:cs="Arial"/>
          <w:sz w:val="24"/>
          <w:szCs w:val="24"/>
        </w:rPr>
        <w:t>FRANK</w:t>
      </w:r>
      <w:r w:rsidR="008C3367" w:rsidRPr="008716F5">
        <w:rPr>
          <w:rFonts w:ascii="Arial" w:hAnsi="Arial" w:cs="Arial"/>
          <w:sz w:val="24"/>
          <w:szCs w:val="24"/>
        </w:rPr>
        <w:t xml:space="preserve"> </w:t>
      </w:r>
      <w:r>
        <w:rPr>
          <w:rFonts w:ascii="Arial" w:hAnsi="Arial" w:cs="Arial"/>
          <w:sz w:val="24"/>
          <w:szCs w:val="24"/>
        </w:rPr>
        <w:t>A</w:t>
      </w:r>
      <w:r w:rsidR="008C3367" w:rsidRPr="008716F5">
        <w:rPr>
          <w:rFonts w:ascii="Arial" w:hAnsi="Arial" w:cs="Arial"/>
          <w:sz w:val="24"/>
          <w:szCs w:val="24"/>
        </w:rPr>
        <w:t>JA (</w:t>
      </w:r>
      <w:r w:rsidR="00D350E8" w:rsidRPr="008716F5">
        <w:rPr>
          <w:rFonts w:ascii="Arial" w:hAnsi="Arial" w:cs="Arial"/>
          <w:sz w:val="24"/>
          <w:szCs w:val="24"/>
        </w:rPr>
        <w:t>DAMASEB DCJ</w:t>
      </w:r>
      <w:r w:rsidR="00451609" w:rsidRPr="008716F5">
        <w:rPr>
          <w:rFonts w:ascii="Arial" w:hAnsi="Arial" w:cs="Arial"/>
          <w:sz w:val="24"/>
          <w:szCs w:val="24"/>
        </w:rPr>
        <w:t xml:space="preserve"> and</w:t>
      </w:r>
      <w:r w:rsidR="008C3367" w:rsidRPr="008716F5">
        <w:rPr>
          <w:rFonts w:ascii="Arial" w:hAnsi="Arial" w:cs="Arial"/>
          <w:sz w:val="24"/>
          <w:szCs w:val="24"/>
        </w:rPr>
        <w:t xml:space="preserve"> </w:t>
      </w:r>
      <w:r>
        <w:rPr>
          <w:rFonts w:ascii="Arial" w:hAnsi="Arial" w:cs="Arial"/>
          <w:sz w:val="24"/>
          <w:szCs w:val="24"/>
        </w:rPr>
        <w:t>HOFF</w:t>
      </w:r>
      <w:r w:rsidR="008B2795" w:rsidRPr="008716F5">
        <w:rPr>
          <w:rFonts w:ascii="Arial" w:hAnsi="Arial" w:cs="Arial"/>
          <w:sz w:val="24"/>
          <w:szCs w:val="24"/>
        </w:rPr>
        <w:t xml:space="preserve"> JA</w:t>
      </w:r>
      <w:r w:rsidR="008C3367" w:rsidRPr="008716F5">
        <w:rPr>
          <w:rFonts w:ascii="Arial" w:hAnsi="Arial" w:cs="Arial"/>
          <w:sz w:val="24"/>
          <w:szCs w:val="24"/>
        </w:rPr>
        <w:t xml:space="preserve"> concurring):</w:t>
      </w:r>
    </w:p>
    <w:p w:rsidR="00D17373" w:rsidRPr="00D17373" w:rsidRDefault="00D17373" w:rsidP="00D17373">
      <w:pPr>
        <w:pStyle w:val="ListParagraph"/>
        <w:numPr>
          <w:ilvl w:val="0"/>
          <w:numId w:val="10"/>
        </w:numPr>
        <w:spacing w:line="240" w:lineRule="auto"/>
        <w:ind w:hanging="720"/>
        <w:jc w:val="both"/>
        <w:rPr>
          <w:rFonts w:ascii="Arial" w:hAnsi="Arial" w:cs="Arial"/>
          <w:sz w:val="24"/>
          <w:szCs w:val="24"/>
          <w:u w:val="single"/>
        </w:rPr>
      </w:pPr>
      <w:r>
        <w:rPr>
          <w:rFonts w:ascii="Arial" w:hAnsi="Arial" w:cs="Arial"/>
          <w:sz w:val="24"/>
          <w:szCs w:val="24"/>
          <w:u w:val="single"/>
        </w:rPr>
        <w:t>The reinstatement application</w:t>
      </w:r>
    </w:p>
    <w:p w:rsidR="00D17373" w:rsidRDefault="00D17373"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In this appeal</w:t>
      </w:r>
      <w:r w:rsidR="00B32E57">
        <w:rPr>
          <w:rFonts w:ascii="Arial" w:hAnsi="Arial" w:cs="Arial"/>
          <w:sz w:val="24"/>
          <w:szCs w:val="24"/>
        </w:rPr>
        <w:t xml:space="preserve"> the record and the security were filed late with the Registrar of this court. As a result the appeal lapsed. The appellant seeks condonation for the late lodging of the record and the late filing of the security and an order that the appeal be re-instated. Respondents oppose this application.</w:t>
      </w:r>
    </w:p>
    <w:p w:rsidR="001C09DB" w:rsidRDefault="001C09DB" w:rsidP="001C09DB">
      <w:pPr>
        <w:pStyle w:val="NoSpacing"/>
        <w:spacing w:line="480" w:lineRule="auto"/>
        <w:jc w:val="both"/>
        <w:rPr>
          <w:rFonts w:ascii="Arial" w:hAnsi="Arial" w:cs="Arial"/>
          <w:sz w:val="24"/>
          <w:szCs w:val="24"/>
        </w:rPr>
      </w:pPr>
    </w:p>
    <w:p w:rsidR="001C09DB" w:rsidRDefault="001C09DB"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What caused the delay</w:t>
      </w:r>
      <w:r w:rsidR="00B32E57">
        <w:rPr>
          <w:rFonts w:ascii="Arial" w:hAnsi="Arial" w:cs="Arial"/>
          <w:sz w:val="24"/>
          <w:szCs w:val="24"/>
        </w:rPr>
        <w:t xml:space="preserve"> in the lodging of the record was the fact that it went missing in the High Court a</w:t>
      </w:r>
      <w:r w:rsidR="00135806">
        <w:rPr>
          <w:rFonts w:ascii="Arial" w:hAnsi="Arial" w:cs="Arial"/>
          <w:sz w:val="24"/>
          <w:szCs w:val="24"/>
        </w:rPr>
        <w:t>s</w:t>
      </w:r>
      <w:r w:rsidR="00B32E57">
        <w:rPr>
          <w:rFonts w:ascii="Arial" w:hAnsi="Arial" w:cs="Arial"/>
          <w:sz w:val="24"/>
          <w:szCs w:val="24"/>
        </w:rPr>
        <w:t xml:space="preserve"> the company instructed to prepare the record could not start with its work immediately to compile the record for the purposes of the appeal.</w:t>
      </w:r>
      <w:r w:rsidR="00EF6EDE">
        <w:rPr>
          <w:rFonts w:ascii="Arial" w:hAnsi="Arial" w:cs="Arial"/>
          <w:sz w:val="24"/>
          <w:szCs w:val="24"/>
        </w:rPr>
        <w:t xml:space="preserve"> It should be kept in mind that this company </w:t>
      </w:r>
      <w:r w:rsidR="00AF1E12">
        <w:rPr>
          <w:rFonts w:ascii="Arial" w:hAnsi="Arial" w:cs="Arial"/>
          <w:sz w:val="24"/>
          <w:szCs w:val="24"/>
        </w:rPr>
        <w:t xml:space="preserve">is </w:t>
      </w:r>
      <w:r w:rsidR="00EF6EDE">
        <w:rPr>
          <w:rFonts w:ascii="Arial" w:hAnsi="Arial" w:cs="Arial"/>
          <w:sz w:val="24"/>
          <w:szCs w:val="24"/>
        </w:rPr>
        <w:t>contracted by the Ministry of Justice for, among others, this purpose. T</w:t>
      </w:r>
      <w:r w:rsidR="00B32E57">
        <w:rPr>
          <w:rFonts w:ascii="Arial" w:hAnsi="Arial" w:cs="Arial"/>
          <w:sz w:val="24"/>
          <w:szCs w:val="24"/>
        </w:rPr>
        <w:t>he record was provided to this company</w:t>
      </w:r>
      <w:r w:rsidR="00135806">
        <w:rPr>
          <w:rFonts w:ascii="Arial" w:hAnsi="Arial" w:cs="Arial"/>
          <w:sz w:val="24"/>
          <w:szCs w:val="24"/>
        </w:rPr>
        <w:t xml:space="preserve"> by the office of the Registrar of the High Court</w:t>
      </w:r>
      <w:r w:rsidR="00B32E57">
        <w:rPr>
          <w:rFonts w:ascii="Arial" w:hAnsi="Arial" w:cs="Arial"/>
          <w:sz w:val="24"/>
          <w:szCs w:val="24"/>
        </w:rPr>
        <w:t xml:space="preserve"> and they typed </w:t>
      </w:r>
      <w:r w:rsidR="00C24A28">
        <w:rPr>
          <w:rFonts w:ascii="Arial" w:hAnsi="Arial" w:cs="Arial"/>
          <w:sz w:val="24"/>
          <w:szCs w:val="24"/>
        </w:rPr>
        <w:t>and prepared it as an appeal record</w:t>
      </w:r>
      <w:r w:rsidR="00EF6EDE">
        <w:rPr>
          <w:rFonts w:ascii="Arial" w:hAnsi="Arial" w:cs="Arial"/>
          <w:sz w:val="24"/>
          <w:szCs w:val="24"/>
        </w:rPr>
        <w:t>. T</w:t>
      </w:r>
      <w:r w:rsidR="00C24A28">
        <w:rPr>
          <w:rFonts w:ascii="Arial" w:hAnsi="Arial" w:cs="Arial"/>
          <w:sz w:val="24"/>
          <w:szCs w:val="24"/>
        </w:rPr>
        <w:t xml:space="preserve">he lawyer for </w:t>
      </w:r>
      <w:r w:rsidR="00EF6EDE">
        <w:rPr>
          <w:rFonts w:ascii="Arial" w:hAnsi="Arial" w:cs="Arial"/>
          <w:sz w:val="24"/>
          <w:szCs w:val="24"/>
        </w:rPr>
        <w:t xml:space="preserve">the </w:t>
      </w:r>
      <w:r w:rsidR="00C24A28">
        <w:rPr>
          <w:rFonts w:ascii="Arial" w:hAnsi="Arial" w:cs="Arial"/>
          <w:sz w:val="24"/>
          <w:szCs w:val="24"/>
        </w:rPr>
        <w:t xml:space="preserve">appellant discovered </w:t>
      </w:r>
      <w:r w:rsidR="00EF6EDE">
        <w:rPr>
          <w:rFonts w:ascii="Arial" w:hAnsi="Arial" w:cs="Arial"/>
          <w:sz w:val="24"/>
          <w:szCs w:val="24"/>
        </w:rPr>
        <w:t xml:space="preserve">later </w:t>
      </w:r>
      <w:r w:rsidR="00C24A28">
        <w:rPr>
          <w:rFonts w:ascii="Arial" w:hAnsi="Arial" w:cs="Arial"/>
          <w:sz w:val="24"/>
          <w:szCs w:val="24"/>
        </w:rPr>
        <w:t xml:space="preserve">that the full record had not been </w:t>
      </w:r>
      <w:r w:rsidR="00135806">
        <w:rPr>
          <w:rFonts w:ascii="Arial" w:hAnsi="Arial" w:cs="Arial"/>
          <w:sz w:val="24"/>
          <w:szCs w:val="24"/>
        </w:rPr>
        <w:t>provided</w:t>
      </w:r>
      <w:r w:rsidR="00C24A28">
        <w:rPr>
          <w:rFonts w:ascii="Arial" w:hAnsi="Arial" w:cs="Arial"/>
          <w:sz w:val="24"/>
          <w:szCs w:val="24"/>
        </w:rPr>
        <w:t xml:space="preserve"> to the company, but only the</w:t>
      </w:r>
      <w:r w:rsidR="00135806">
        <w:rPr>
          <w:rFonts w:ascii="Arial" w:hAnsi="Arial" w:cs="Arial"/>
          <w:sz w:val="24"/>
          <w:szCs w:val="24"/>
        </w:rPr>
        <w:t xml:space="preserve"> recording of the</w:t>
      </w:r>
      <w:r w:rsidR="00C24A28">
        <w:rPr>
          <w:rFonts w:ascii="Arial" w:hAnsi="Arial" w:cs="Arial"/>
          <w:sz w:val="24"/>
          <w:szCs w:val="24"/>
        </w:rPr>
        <w:t xml:space="preserve"> evidence led at the trial. The files containing the pleadings and the exhibits had not been made available to the company. This was then arranged and had to be added to the record. It was only after a complete record had been compiled that the record was lodged and simultaneously with the lodging of the record the security was filed.</w:t>
      </w:r>
    </w:p>
    <w:p w:rsidR="001C09DB" w:rsidRDefault="001C09DB" w:rsidP="001C09DB">
      <w:pPr>
        <w:pStyle w:val="ListParagraph"/>
        <w:rPr>
          <w:rFonts w:ascii="Arial" w:hAnsi="Arial" w:cs="Arial"/>
          <w:sz w:val="24"/>
          <w:szCs w:val="24"/>
        </w:rPr>
      </w:pPr>
    </w:p>
    <w:p w:rsidR="001C09DB" w:rsidRDefault="001C09DB"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Faced with the fact that the delay</w:t>
      </w:r>
      <w:r w:rsidR="00C24A28">
        <w:rPr>
          <w:rFonts w:ascii="Arial" w:hAnsi="Arial" w:cs="Arial"/>
          <w:sz w:val="24"/>
          <w:szCs w:val="24"/>
        </w:rPr>
        <w:t xml:space="preserve"> was caused by factors outside the control of the appellant or his lawyer</w:t>
      </w:r>
      <w:r w:rsidR="00135806">
        <w:rPr>
          <w:rFonts w:ascii="Arial" w:hAnsi="Arial" w:cs="Arial"/>
          <w:sz w:val="24"/>
          <w:szCs w:val="24"/>
        </w:rPr>
        <w:t>, t</w:t>
      </w:r>
      <w:r w:rsidR="00C24A28">
        <w:rPr>
          <w:rFonts w:ascii="Arial" w:hAnsi="Arial" w:cs="Arial"/>
          <w:sz w:val="24"/>
          <w:szCs w:val="24"/>
        </w:rPr>
        <w:t>he lawyer acting for the respondents examin</w:t>
      </w:r>
      <w:r w:rsidR="006B3EDF">
        <w:rPr>
          <w:rFonts w:ascii="Arial" w:hAnsi="Arial" w:cs="Arial"/>
          <w:sz w:val="24"/>
          <w:szCs w:val="24"/>
        </w:rPr>
        <w:t xml:space="preserve">ed the conduct of the appellant’s lawyer in </w:t>
      </w:r>
      <w:r w:rsidR="00BC4266" w:rsidRPr="00BE5FF6">
        <w:rPr>
          <w:rFonts w:ascii="Arial" w:hAnsi="Arial" w:cs="Arial"/>
          <w:sz w:val="24"/>
          <w:szCs w:val="24"/>
        </w:rPr>
        <w:t>minutiae</w:t>
      </w:r>
      <w:r w:rsidR="006B3EDF" w:rsidRPr="00BE5FF6">
        <w:rPr>
          <w:rFonts w:ascii="Arial" w:hAnsi="Arial" w:cs="Arial"/>
          <w:sz w:val="24"/>
          <w:szCs w:val="24"/>
        </w:rPr>
        <w:t xml:space="preserve"> </w:t>
      </w:r>
      <w:r w:rsidR="006B3EDF">
        <w:rPr>
          <w:rFonts w:ascii="Arial" w:hAnsi="Arial" w:cs="Arial"/>
          <w:sz w:val="24"/>
          <w:szCs w:val="24"/>
        </w:rPr>
        <w:t xml:space="preserve">and launched a barrage of criticism against the conduct of the appellant’s lawyer. It is submitted </w:t>
      </w:r>
      <w:r w:rsidR="00135806">
        <w:rPr>
          <w:rFonts w:ascii="Arial" w:hAnsi="Arial" w:cs="Arial"/>
          <w:sz w:val="24"/>
          <w:szCs w:val="24"/>
        </w:rPr>
        <w:t xml:space="preserve">for example, </w:t>
      </w:r>
      <w:r w:rsidR="006B3EDF">
        <w:rPr>
          <w:rFonts w:ascii="Arial" w:hAnsi="Arial" w:cs="Arial"/>
          <w:sz w:val="24"/>
          <w:szCs w:val="24"/>
        </w:rPr>
        <w:t>that he waited too long</w:t>
      </w:r>
      <w:r w:rsidR="00AF1E12">
        <w:rPr>
          <w:rFonts w:ascii="Arial" w:hAnsi="Arial" w:cs="Arial"/>
          <w:sz w:val="24"/>
          <w:szCs w:val="24"/>
        </w:rPr>
        <w:t xml:space="preserve"> to ask for the record to be tran</w:t>
      </w:r>
      <w:r w:rsidR="006B3EDF">
        <w:rPr>
          <w:rFonts w:ascii="Arial" w:hAnsi="Arial" w:cs="Arial"/>
          <w:sz w:val="24"/>
          <w:szCs w:val="24"/>
        </w:rPr>
        <w:t xml:space="preserve">scribed. They however do not suggest that had the record not gone missing, the appellant would not have been able to comply with the rules. The appellant’s lawyer is criticised for not commencing with a reconstruction of the record </w:t>
      </w:r>
      <w:r w:rsidR="00DD7844">
        <w:rPr>
          <w:rFonts w:ascii="Arial" w:hAnsi="Arial" w:cs="Arial"/>
          <w:sz w:val="24"/>
          <w:szCs w:val="24"/>
        </w:rPr>
        <w:t>immediately after</w:t>
      </w:r>
      <w:r w:rsidR="006B3EDF">
        <w:rPr>
          <w:rFonts w:ascii="Arial" w:hAnsi="Arial" w:cs="Arial"/>
          <w:sz w:val="24"/>
          <w:szCs w:val="24"/>
        </w:rPr>
        <w:t xml:space="preserve"> he was informed that it was missing, </w:t>
      </w:r>
      <w:r w:rsidR="00135806">
        <w:rPr>
          <w:rFonts w:ascii="Arial" w:hAnsi="Arial" w:cs="Arial"/>
          <w:sz w:val="24"/>
          <w:szCs w:val="24"/>
        </w:rPr>
        <w:lastRenderedPageBreak/>
        <w:t>for</w:t>
      </w:r>
      <w:r w:rsidR="006B3EDF">
        <w:rPr>
          <w:rFonts w:ascii="Arial" w:hAnsi="Arial" w:cs="Arial"/>
          <w:sz w:val="24"/>
          <w:szCs w:val="24"/>
        </w:rPr>
        <w:t xml:space="preserve"> his failure to inspect the </w:t>
      </w:r>
      <w:r w:rsidR="00263DE0">
        <w:rPr>
          <w:rFonts w:ascii="Arial" w:hAnsi="Arial" w:cs="Arial"/>
          <w:sz w:val="24"/>
          <w:szCs w:val="24"/>
        </w:rPr>
        <w:t>initial (incomplete) record and hence only to discover it was incomplete after it was transcribed</w:t>
      </w:r>
      <w:r w:rsidR="00DD7844">
        <w:rPr>
          <w:rFonts w:ascii="Arial" w:hAnsi="Arial" w:cs="Arial"/>
          <w:sz w:val="24"/>
          <w:szCs w:val="24"/>
        </w:rPr>
        <w:t>. T</w:t>
      </w:r>
      <w:r w:rsidR="00135806">
        <w:rPr>
          <w:rFonts w:ascii="Arial" w:hAnsi="Arial" w:cs="Arial"/>
          <w:sz w:val="24"/>
          <w:szCs w:val="24"/>
        </w:rPr>
        <w:t xml:space="preserve">his </w:t>
      </w:r>
      <w:r w:rsidR="001676D5">
        <w:rPr>
          <w:rFonts w:ascii="Arial" w:hAnsi="Arial" w:cs="Arial"/>
          <w:sz w:val="24"/>
          <w:szCs w:val="24"/>
        </w:rPr>
        <w:t xml:space="preserve">is described as </w:t>
      </w:r>
      <w:r w:rsidR="00135806">
        <w:rPr>
          <w:rFonts w:ascii="Arial" w:hAnsi="Arial" w:cs="Arial"/>
          <w:sz w:val="24"/>
          <w:szCs w:val="24"/>
        </w:rPr>
        <w:t>‘pivotal and monumental’. T</w:t>
      </w:r>
      <w:r w:rsidR="001676D5">
        <w:rPr>
          <w:rFonts w:ascii="Arial" w:hAnsi="Arial" w:cs="Arial"/>
          <w:sz w:val="24"/>
          <w:szCs w:val="24"/>
        </w:rPr>
        <w:t xml:space="preserve">he fact that he waited four days after </w:t>
      </w:r>
      <w:r w:rsidR="00135806">
        <w:rPr>
          <w:rFonts w:ascii="Arial" w:hAnsi="Arial" w:cs="Arial"/>
          <w:sz w:val="24"/>
          <w:szCs w:val="24"/>
        </w:rPr>
        <w:t xml:space="preserve">receipt of the initial </w:t>
      </w:r>
      <w:r w:rsidR="00DD7844">
        <w:rPr>
          <w:rFonts w:ascii="Arial" w:hAnsi="Arial" w:cs="Arial"/>
          <w:sz w:val="24"/>
          <w:szCs w:val="24"/>
        </w:rPr>
        <w:t xml:space="preserve">incomplete </w:t>
      </w:r>
      <w:r w:rsidR="00135806">
        <w:rPr>
          <w:rFonts w:ascii="Arial" w:hAnsi="Arial" w:cs="Arial"/>
          <w:sz w:val="24"/>
          <w:szCs w:val="24"/>
        </w:rPr>
        <w:t>transcribed record</w:t>
      </w:r>
      <w:r w:rsidR="001676D5">
        <w:rPr>
          <w:rFonts w:ascii="Arial" w:hAnsi="Arial" w:cs="Arial"/>
          <w:sz w:val="24"/>
          <w:szCs w:val="24"/>
        </w:rPr>
        <w:t xml:space="preserve"> before he took the matter up with the registrar of the High Court. Here it must be born in mind that two of the four days </w:t>
      </w:r>
      <w:r w:rsidR="00135806">
        <w:rPr>
          <w:rFonts w:ascii="Arial" w:hAnsi="Arial" w:cs="Arial"/>
          <w:sz w:val="24"/>
          <w:szCs w:val="24"/>
        </w:rPr>
        <w:t>fell over</w:t>
      </w:r>
      <w:r w:rsidR="001676D5">
        <w:rPr>
          <w:rFonts w:ascii="Arial" w:hAnsi="Arial" w:cs="Arial"/>
          <w:sz w:val="24"/>
          <w:szCs w:val="24"/>
        </w:rPr>
        <w:t xml:space="preserve"> a weekend. The list of criticisms is not complete but all the criticisms were in the same vein, namely that the appellant’s lawyer did not act </w:t>
      </w:r>
      <w:r w:rsidR="00135806">
        <w:rPr>
          <w:rFonts w:ascii="Arial" w:hAnsi="Arial" w:cs="Arial"/>
          <w:sz w:val="24"/>
          <w:szCs w:val="24"/>
        </w:rPr>
        <w:t>with</w:t>
      </w:r>
      <w:r w:rsidR="001676D5">
        <w:rPr>
          <w:rFonts w:ascii="Arial" w:hAnsi="Arial" w:cs="Arial"/>
          <w:sz w:val="24"/>
          <w:szCs w:val="24"/>
        </w:rPr>
        <w:t xml:space="preserve"> the required alacrity.</w:t>
      </w:r>
    </w:p>
    <w:p w:rsidR="001C09DB" w:rsidRDefault="001C09DB" w:rsidP="001C09DB">
      <w:pPr>
        <w:pStyle w:val="ListParagraph"/>
        <w:rPr>
          <w:rFonts w:ascii="Arial" w:hAnsi="Arial" w:cs="Arial"/>
          <w:sz w:val="24"/>
          <w:szCs w:val="24"/>
        </w:rPr>
      </w:pPr>
    </w:p>
    <w:p w:rsidR="001C09DB" w:rsidRDefault="001C09DB"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considering </w:t>
      </w:r>
      <w:r w:rsidR="001676D5">
        <w:rPr>
          <w:rFonts w:ascii="Arial" w:hAnsi="Arial" w:cs="Arial"/>
          <w:sz w:val="24"/>
          <w:szCs w:val="24"/>
        </w:rPr>
        <w:t>the actions of the lawyer of the appellant, I’m of the view</w:t>
      </w:r>
      <w:r w:rsidR="00135806">
        <w:rPr>
          <w:rFonts w:ascii="Arial" w:hAnsi="Arial" w:cs="Arial"/>
          <w:sz w:val="24"/>
          <w:szCs w:val="24"/>
        </w:rPr>
        <w:t xml:space="preserve"> that</w:t>
      </w:r>
      <w:r w:rsidR="001676D5">
        <w:rPr>
          <w:rFonts w:ascii="Arial" w:hAnsi="Arial" w:cs="Arial"/>
          <w:sz w:val="24"/>
          <w:szCs w:val="24"/>
        </w:rPr>
        <w:t xml:space="preserve"> one must take a realistic rather than an idealistic </w:t>
      </w:r>
      <w:r w:rsidR="00DD21F3">
        <w:rPr>
          <w:rFonts w:ascii="Arial" w:hAnsi="Arial" w:cs="Arial"/>
          <w:sz w:val="24"/>
          <w:szCs w:val="24"/>
        </w:rPr>
        <w:t>view of the rol</w:t>
      </w:r>
      <w:r w:rsidR="00301AAC">
        <w:rPr>
          <w:rFonts w:ascii="Arial" w:hAnsi="Arial" w:cs="Arial"/>
          <w:sz w:val="24"/>
          <w:szCs w:val="24"/>
        </w:rPr>
        <w:t>e</w:t>
      </w:r>
      <w:r w:rsidR="00DD21F3">
        <w:rPr>
          <w:rFonts w:ascii="Arial" w:hAnsi="Arial" w:cs="Arial"/>
          <w:sz w:val="24"/>
          <w:szCs w:val="24"/>
        </w:rPr>
        <w:t xml:space="preserve"> he played. He was </w:t>
      </w:r>
      <w:r w:rsidR="00135806">
        <w:rPr>
          <w:rFonts w:ascii="Arial" w:hAnsi="Arial" w:cs="Arial"/>
          <w:sz w:val="24"/>
          <w:szCs w:val="24"/>
        </w:rPr>
        <w:t>faced with an unexpected event (the missing record)</w:t>
      </w:r>
      <w:r w:rsidR="00DD21F3">
        <w:rPr>
          <w:rFonts w:ascii="Arial" w:hAnsi="Arial" w:cs="Arial"/>
          <w:sz w:val="24"/>
          <w:szCs w:val="24"/>
        </w:rPr>
        <w:t xml:space="preserve"> which he had to deal with expeditiously while still managing his practice and what this required of him in terms of court processes and appearances. Taking this into account, can it be said that he   unduly delayed in taking the steps he did to get the record ready and lodged, file the security and launch the condonation application. In </w:t>
      </w:r>
      <w:r w:rsidR="00C1106F">
        <w:rPr>
          <w:rFonts w:ascii="Arial" w:hAnsi="Arial" w:cs="Arial"/>
          <w:sz w:val="24"/>
          <w:szCs w:val="24"/>
        </w:rPr>
        <w:t xml:space="preserve">my view and on the facts of this matter, he did what was expected from a </w:t>
      </w:r>
      <w:r w:rsidR="00135806">
        <w:rPr>
          <w:rFonts w:ascii="Arial" w:hAnsi="Arial" w:cs="Arial"/>
          <w:sz w:val="24"/>
          <w:szCs w:val="24"/>
        </w:rPr>
        <w:t xml:space="preserve">reasonable </w:t>
      </w:r>
      <w:r w:rsidR="00C1106F">
        <w:rPr>
          <w:rFonts w:ascii="Arial" w:hAnsi="Arial" w:cs="Arial"/>
          <w:sz w:val="24"/>
          <w:szCs w:val="24"/>
        </w:rPr>
        <w:t>lawyer</w:t>
      </w:r>
      <w:r w:rsidR="00135806">
        <w:rPr>
          <w:rFonts w:ascii="Arial" w:hAnsi="Arial" w:cs="Arial"/>
          <w:sz w:val="24"/>
          <w:szCs w:val="24"/>
        </w:rPr>
        <w:t>,</w:t>
      </w:r>
      <w:r w:rsidR="00C1106F">
        <w:rPr>
          <w:rFonts w:ascii="Arial" w:hAnsi="Arial" w:cs="Arial"/>
          <w:sz w:val="24"/>
          <w:szCs w:val="24"/>
        </w:rPr>
        <w:t xml:space="preserve"> and </w:t>
      </w:r>
      <w:r w:rsidR="00EF6EDE">
        <w:rPr>
          <w:rFonts w:ascii="Arial" w:hAnsi="Arial" w:cs="Arial"/>
          <w:sz w:val="24"/>
          <w:szCs w:val="24"/>
        </w:rPr>
        <w:t xml:space="preserve">despite </w:t>
      </w:r>
      <w:r w:rsidR="00C1106F">
        <w:rPr>
          <w:rFonts w:ascii="Arial" w:hAnsi="Arial" w:cs="Arial"/>
          <w:sz w:val="24"/>
          <w:szCs w:val="24"/>
        </w:rPr>
        <w:t xml:space="preserve">the fact that he might have done this </w:t>
      </w:r>
      <w:r w:rsidR="00301AAC">
        <w:rPr>
          <w:rFonts w:ascii="Arial" w:hAnsi="Arial" w:cs="Arial"/>
          <w:sz w:val="24"/>
          <w:szCs w:val="24"/>
        </w:rPr>
        <w:t xml:space="preserve">or that </w:t>
      </w:r>
      <w:r w:rsidR="00C1106F">
        <w:rPr>
          <w:rFonts w:ascii="Arial" w:hAnsi="Arial" w:cs="Arial"/>
          <w:sz w:val="24"/>
          <w:szCs w:val="24"/>
        </w:rPr>
        <w:t>one week earlier</w:t>
      </w:r>
      <w:r w:rsidR="00804E1C">
        <w:rPr>
          <w:rFonts w:ascii="Arial" w:hAnsi="Arial" w:cs="Arial"/>
          <w:sz w:val="24"/>
          <w:szCs w:val="24"/>
        </w:rPr>
        <w:t xml:space="preserve"> had he spent </w:t>
      </w:r>
      <w:r w:rsidR="00DD7844">
        <w:rPr>
          <w:rFonts w:ascii="Arial" w:hAnsi="Arial" w:cs="Arial"/>
          <w:sz w:val="24"/>
          <w:szCs w:val="24"/>
        </w:rPr>
        <w:t>every hour that he was awake</w:t>
      </w:r>
      <w:r w:rsidR="00804E1C">
        <w:rPr>
          <w:rFonts w:ascii="Arial" w:hAnsi="Arial" w:cs="Arial"/>
          <w:sz w:val="24"/>
          <w:szCs w:val="24"/>
        </w:rPr>
        <w:t xml:space="preserve"> solely on this matter does not mean that he was remiss </w:t>
      </w:r>
      <w:r w:rsidR="00135806">
        <w:rPr>
          <w:rFonts w:ascii="Arial" w:hAnsi="Arial" w:cs="Arial"/>
          <w:sz w:val="24"/>
          <w:szCs w:val="24"/>
        </w:rPr>
        <w:t>i</w:t>
      </w:r>
      <w:r w:rsidR="00804E1C">
        <w:rPr>
          <w:rFonts w:ascii="Arial" w:hAnsi="Arial" w:cs="Arial"/>
          <w:sz w:val="24"/>
          <w:szCs w:val="24"/>
        </w:rPr>
        <w:t>n his duty to his client or to this court. It w</w:t>
      </w:r>
      <w:r w:rsidR="00DD7844">
        <w:rPr>
          <w:rFonts w:ascii="Arial" w:hAnsi="Arial" w:cs="Arial"/>
          <w:sz w:val="24"/>
          <w:szCs w:val="24"/>
        </w:rPr>
        <w:t>ill</w:t>
      </w:r>
      <w:r w:rsidR="00804E1C">
        <w:rPr>
          <w:rFonts w:ascii="Arial" w:hAnsi="Arial" w:cs="Arial"/>
          <w:sz w:val="24"/>
          <w:szCs w:val="24"/>
        </w:rPr>
        <w:t xml:space="preserve"> serve no purpose to cite a plethora </w:t>
      </w:r>
      <w:r w:rsidR="00FF4843">
        <w:rPr>
          <w:rFonts w:ascii="Arial" w:hAnsi="Arial" w:cs="Arial"/>
          <w:sz w:val="24"/>
          <w:szCs w:val="24"/>
        </w:rPr>
        <w:t>of case law</w:t>
      </w:r>
      <w:r w:rsidR="00135806">
        <w:rPr>
          <w:rFonts w:ascii="Arial" w:hAnsi="Arial" w:cs="Arial"/>
          <w:sz w:val="24"/>
          <w:szCs w:val="24"/>
        </w:rPr>
        <w:t xml:space="preserve"> on cond</w:t>
      </w:r>
      <w:r w:rsidR="00EF6EDE">
        <w:rPr>
          <w:rFonts w:ascii="Arial" w:hAnsi="Arial" w:cs="Arial"/>
          <w:sz w:val="24"/>
          <w:szCs w:val="24"/>
        </w:rPr>
        <w:t>ona</w:t>
      </w:r>
      <w:r w:rsidR="00135806">
        <w:rPr>
          <w:rFonts w:ascii="Arial" w:hAnsi="Arial" w:cs="Arial"/>
          <w:sz w:val="24"/>
          <w:szCs w:val="24"/>
        </w:rPr>
        <w:t>tion</w:t>
      </w:r>
      <w:r w:rsidR="00FF4843">
        <w:rPr>
          <w:rFonts w:ascii="Arial" w:hAnsi="Arial" w:cs="Arial"/>
          <w:sz w:val="24"/>
          <w:szCs w:val="24"/>
        </w:rPr>
        <w:t xml:space="preserve"> as the crux of the law is that this court can in the exercise of its discretion</w:t>
      </w:r>
      <w:r w:rsidR="00135806">
        <w:rPr>
          <w:rFonts w:ascii="Arial" w:hAnsi="Arial" w:cs="Arial"/>
          <w:sz w:val="24"/>
          <w:szCs w:val="24"/>
        </w:rPr>
        <w:t>,</w:t>
      </w:r>
      <w:r w:rsidR="00FF4843">
        <w:rPr>
          <w:rFonts w:ascii="Arial" w:hAnsi="Arial" w:cs="Arial"/>
          <w:sz w:val="24"/>
          <w:szCs w:val="24"/>
        </w:rPr>
        <w:t xml:space="preserve"> based on the peculiar facts of the case it is considering</w:t>
      </w:r>
      <w:r w:rsidR="00135806">
        <w:rPr>
          <w:rFonts w:ascii="Arial" w:hAnsi="Arial" w:cs="Arial"/>
          <w:sz w:val="24"/>
          <w:szCs w:val="24"/>
        </w:rPr>
        <w:t>,</w:t>
      </w:r>
      <w:r w:rsidR="00FF4843">
        <w:rPr>
          <w:rFonts w:ascii="Arial" w:hAnsi="Arial" w:cs="Arial"/>
          <w:sz w:val="24"/>
          <w:szCs w:val="24"/>
        </w:rPr>
        <w:t xml:space="preserve"> condone a non-compliance of its rules and reinstate an appeal that has lapsed. One of the factors that need to be considered</w:t>
      </w:r>
      <w:r w:rsidR="0085015A">
        <w:rPr>
          <w:rFonts w:ascii="Arial" w:hAnsi="Arial" w:cs="Arial"/>
          <w:sz w:val="24"/>
          <w:szCs w:val="24"/>
        </w:rPr>
        <w:t xml:space="preserve"> in this context is the prospects of success should the appeal be reinstated. From what is stated below, the appellant has a very arguable</w:t>
      </w:r>
      <w:r w:rsidR="00135806">
        <w:rPr>
          <w:rFonts w:ascii="Arial" w:hAnsi="Arial" w:cs="Arial"/>
          <w:sz w:val="24"/>
          <w:szCs w:val="24"/>
        </w:rPr>
        <w:t xml:space="preserve"> case</w:t>
      </w:r>
      <w:r w:rsidR="0085015A">
        <w:rPr>
          <w:rFonts w:ascii="Arial" w:hAnsi="Arial" w:cs="Arial"/>
          <w:sz w:val="24"/>
          <w:szCs w:val="24"/>
        </w:rPr>
        <w:t xml:space="preserve"> and hence clear</w:t>
      </w:r>
      <w:r w:rsidR="00135806">
        <w:rPr>
          <w:rFonts w:ascii="Arial" w:hAnsi="Arial" w:cs="Arial"/>
          <w:sz w:val="24"/>
          <w:szCs w:val="24"/>
        </w:rPr>
        <w:t>ly</w:t>
      </w:r>
      <w:r w:rsidR="0085015A">
        <w:rPr>
          <w:rFonts w:ascii="Arial" w:hAnsi="Arial" w:cs="Arial"/>
          <w:sz w:val="24"/>
          <w:szCs w:val="24"/>
        </w:rPr>
        <w:t xml:space="preserve"> has prospects on appeal which further advances his case for reinstatement.</w:t>
      </w:r>
    </w:p>
    <w:p w:rsidR="00D17373" w:rsidRDefault="00D17373" w:rsidP="00D17373">
      <w:pPr>
        <w:pStyle w:val="NoSpacing"/>
        <w:spacing w:line="480" w:lineRule="auto"/>
        <w:jc w:val="both"/>
        <w:rPr>
          <w:rFonts w:ascii="Arial" w:hAnsi="Arial" w:cs="Arial"/>
          <w:sz w:val="24"/>
          <w:szCs w:val="24"/>
        </w:rPr>
      </w:pPr>
    </w:p>
    <w:p w:rsidR="00D17373" w:rsidRPr="00D17373" w:rsidRDefault="00D17373" w:rsidP="00D17373">
      <w:pPr>
        <w:pStyle w:val="NoSpacing"/>
        <w:numPr>
          <w:ilvl w:val="0"/>
          <w:numId w:val="10"/>
        </w:numPr>
        <w:spacing w:line="480" w:lineRule="auto"/>
        <w:ind w:hanging="720"/>
        <w:jc w:val="both"/>
        <w:rPr>
          <w:rFonts w:ascii="Arial" w:hAnsi="Arial" w:cs="Arial"/>
          <w:sz w:val="24"/>
          <w:szCs w:val="24"/>
          <w:u w:val="single"/>
        </w:rPr>
      </w:pPr>
      <w:r w:rsidRPr="00D17373">
        <w:rPr>
          <w:rFonts w:ascii="Arial" w:hAnsi="Arial" w:cs="Arial"/>
          <w:sz w:val="24"/>
          <w:szCs w:val="24"/>
          <w:u w:val="single"/>
        </w:rPr>
        <w:t xml:space="preserve">Proceedings </w:t>
      </w:r>
      <w:r w:rsidRPr="00D17373">
        <w:rPr>
          <w:rFonts w:ascii="Arial" w:hAnsi="Arial" w:cs="Arial"/>
          <w:i/>
          <w:sz w:val="24"/>
          <w:szCs w:val="24"/>
          <w:u w:val="single"/>
        </w:rPr>
        <w:t>a quo</w:t>
      </w:r>
    </w:p>
    <w:p w:rsidR="00B539E3" w:rsidRDefault="00BE2C9E"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(Viviers) instituted </w:t>
      </w:r>
      <w:r w:rsidR="00EF6EDE">
        <w:rPr>
          <w:rFonts w:ascii="Arial" w:hAnsi="Arial" w:cs="Arial"/>
          <w:sz w:val="24"/>
          <w:szCs w:val="24"/>
        </w:rPr>
        <w:t xml:space="preserve">an </w:t>
      </w:r>
      <w:r>
        <w:rPr>
          <w:rFonts w:ascii="Arial" w:hAnsi="Arial" w:cs="Arial"/>
          <w:sz w:val="24"/>
          <w:szCs w:val="24"/>
        </w:rPr>
        <w:t xml:space="preserve">action in the High Court seeking the eviction of the respondents from a property of which he </w:t>
      </w:r>
      <w:r w:rsidR="00135806">
        <w:rPr>
          <w:rFonts w:ascii="Arial" w:hAnsi="Arial" w:cs="Arial"/>
          <w:sz w:val="24"/>
          <w:szCs w:val="24"/>
        </w:rPr>
        <w:t>i</w:t>
      </w:r>
      <w:r>
        <w:rPr>
          <w:rFonts w:ascii="Arial" w:hAnsi="Arial" w:cs="Arial"/>
          <w:sz w:val="24"/>
          <w:szCs w:val="24"/>
        </w:rPr>
        <w:t xml:space="preserve">s the owner and </w:t>
      </w:r>
      <w:r w:rsidR="00A9406A">
        <w:rPr>
          <w:rFonts w:ascii="Arial" w:hAnsi="Arial" w:cs="Arial"/>
          <w:sz w:val="24"/>
          <w:szCs w:val="24"/>
        </w:rPr>
        <w:t xml:space="preserve">which it was alleged they were in possession of as well as an amount (equal to the reasonable rental) </w:t>
      </w:r>
      <w:r w:rsidR="009E06A1">
        <w:rPr>
          <w:rFonts w:ascii="Arial" w:hAnsi="Arial" w:cs="Arial"/>
          <w:sz w:val="24"/>
          <w:szCs w:val="24"/>
        </w:rPr>
        <w:t>Viviers</w:t>
      </w:r>
      <w:r w:rsidR="00A9406A">
        <w:rPr>
          <w:rFonts w:ascii="Arial" w:hAnsi="Arial" w:cs="Arial"/>
          <w:sz w:val="24"/>
          <w:szCs w:val="24"/>
        </w:rPr>
        <w:t xml:space="preserve"> claimed represented </w:t>
      </w:r>
      <w:r w:rsidR="00380404">
        <w:rPr>
          <w:rFonts w:ascii="Arial" w:hAnsi="Arial" w:cs="Arial"/>
          <w:sz w:val="24"/>
          <w:szCs w:val="24"/>
        </w:rPr>
        <w:t>the</w:t>
      </w:r>
      <w:r w:rsidR="00A9406A">
        <w:rPr>
          <w:rFonts w:ascii="Arial" w:hAnsi="Arial" w:cs="Arial"/>
          <w:sz w:val="24"/>
          <w:szCs w:val="24"/>
        </w:rPr>
        <w:t xml:space="preserve"> amount </w:t>
      </w:r>
      <w:r w:rsidR="00380404">
        <w:rPr>
          <w:rFonts w:ascii="Arial" w:hAnsi="Arial" w:cs="Arial"/>
          <w:sz w:val="24"/>
          <w:szCs w:val="24"/>
        </w:rPr>
        <w:t>by</w:t>
      </w:r>
      <w:r w:rsidR="00A9406A">
        <w:rPr>
          <w:rFonts w:ascii="Arial" w:hAnsi="Arial" w:cs="Arial"/>
          <w:sz w:val="24"/>
          <w:szCs w:val="24"/>
        </w:rPr>
        <w:t xml:space="preserve"> which the respondents were enriched</w:t>
      </w:r>
      <w:r w:rsidR="00DD4DFA">
        <w:rPr>
          <w:rFonts w:ascii="Arial" w:hAnsi="Arial" w:cs="Arial"/>
          <w:sz w:val="24"/>
          <w:szCs w:val="24"/>
        </w:rPr>
        <w:t xml:space="preserve"> by </w:t>
      </w:r>
      <w:r w:rsidR="00DD7844">
        <w:rPr>
          <w:rFonts w:ascii="Arial" w:hAnsi="Arial" w:cs="Arial"/>
          <w:sz w:val="24"/>
          <w:szCs w:val="24"/>
        </w:rPr>
        <w:t>their</w:t>
      </w:r>
      <w:r w:rsidR="00DD4DFA">
        <w:rPr>
          <w:rFonts w:ascii="Arial" w:hAnsi="Arial" w:cs="Arial"/>
          <w:sz w:val="24"/>
          <w:szCs w:val="24"/>
        </w:rPr>
        <w:t xml:space="preserve"> possession</w:t>
      </w:r>
      <w:r w:rsidR="00A9406A">
        <w:rPr>
          <w:rFonts w:ascii="Arial" w:hAnsi="Arial" w:cs="Arial"/>
          <w:sz w:val="24"/>
          <w:szCs w:val="24"/>
        </w:rPr>
        <w:t xml:space="preserve">. The respondents denied the claim of </w:t>
      </w:r>
      <w:r w:rsidR="00DD4DFA">
        <w:rPr>
          <w:rFonts w:ascii="Arial" w:hAnsi="Arial" w:cs="Arial"/>
          <w:sz w:val="24"/>
          <w:szCs w:val="24"/>
        </w:rPr>
        <w:t>Viviers</w:t>
      </w:r>
      <w:r w:rsidR="00A9406A">
        <w:rPr>
          <w:rFonts w:ascii="Arial" w:hAnsi="Arial" w:cs="Arial"/>
          <w:sz w:val="24"/>
          <w:szCs w:val="24"/>
        </w:rPr>
        <w:t xml:space="preserve"> and alleged that they had taken possession of the property pursuant to a purchase agreement they had entered into with Viviers. This agreement was subject to two suspensive conditions which they alleged were fulfilled. They thus sought a transfer of the property to them and tendered the portion of the purchase price still outstanding against transfer of the property to them. The court </w:t>
      </w:r>
      <w:r w:rsidR="00A9406A" w:rsidRPr="00D17373">
        <w:rPr>
          <w:rFonts w:ascii="Arial" w:hAnsi="Arial" w:cs="Arial"/>
          <w:i/>
          <w:sz w:val="24"/>
          <w:szCs w:val="24"/>
        </w:rPr>
        <w:t>a quo</w:t>
      </w:r>
      <w:r w:rsidR="00A9406A">
        <w:rPr>
          <w:rFonts w:ascii="Arial" w:hAnsi="Arial" w:cs="Arial"/>
          <w:sz w:val="24"/>
          <w:szCs w:val="24"/>
        </w:rPr>
        <w:t xml:space="preserve"> found for the respondents and upheld the counterclaim. Viviers appeals against this dec</w:t>
      </w:r>
      <w:r w:rsidR="00576474">
        <w:rPr>
          <w:rFonts w:ascii="Arial" w:hAnsi="Arial" w:cs="Arial"/>
          <w:sz w:val="24"/>
          <w:szCs w:val="24"/>
        </w:rPr>
        <w:t>ision maintaining that the relief in his claim should have been granted.</w:t>
      </w:r>
    </w:p>
    <w:p w:rsidR="001C09DB" w:rsidRDefault="001C09DB" w:rsidP="00BE2C9E">
      <w:pPr>
        <w:pStyle w:val="NoSpacing"/>
        <w:spacing w:line="480" w:lineRule="auto"/>
        <w:jc w:val="both"/>
        <w:rPr>
          <w:rFonts w:ascii="Arial" w:hAnsi="Arial" w:cs="Arial"/>
          <w:sz w:val="24"/>
          <w:szCs w:val="24"/>
        </w:rPr>
      </w:pPr>
    </w:p>
    <w:p w:rsidR="001C09DB" w:rsidRPr="001C09DB" w:rsidRDefault="001C09DB" w:rsidP="001C09DB">
      <w:pPr>
        <w:pStyle w:val="NoSpacing"/>
        <w:numPr>
          <w:ilvl w:val="0"/>
          <w:numId w:val="10"/>
        </w:numPr>
        <w:spacing w:line="480" w:lineRule="auto"/>
        <w:ind w:hanging="720"/>
        <w:jc w:val="both"/>
        <w:rPr>
          <w:rFonts w:ascii="Arial" w:hAnsi="Arial" w:cs="Arial"/>
          <w:sz w:val="24"/>
          <w:szCs w:val="24"/>
        </w:rPr>
      </w:pPr>
      <w:r>
        <w:rPr>
          <w:rFonts w:ascii="Arial" w:hAnsi="Arial" w:cs="Arial"/>
          <w:sz w:val="24"/>
          <w:szCs w:val="24"/>
          <w:u w:val="single"/>
        </w:rPr>
        <w:t>Suspensive condition</w:t>
      </w:r>
      <w:r w:rsidR="009E06A1">
        <w:rPr>
          <w:rFonts w:ascii="Arial" w:hAnsi="Arial" w:cs="Arial"/>
          <w:sz w:val="24"/>
          <w:szCs w:val="24"/>
          <w:u w:val="single"/>
        </w:rPr>
        <w:t>s</w:t>
      </w:r>
    </w:p>
    <w:p w:rsidR="00BE2C9E" w:rsidRDefault="00BE2C9E"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common cause between the parties </w:t>
      </w:r>
      <w:r w:rsidR="00576474">
        <w:rPr>
          <w:rFonts w:ascii="Arial" w:hAnsi="Arial" w:cs="Arial"/>
          <w:sz w:val="24"/>
          <w:szCs w:val="24"/>
        </w:rPr>
        <w:t xml:space="preserve">that they concluded a written purchase agreement in respect of immovable property belonging to Viviers. It is further common cause that the respondents paid an amount of N$1,1 million to Viviers shortly after </w:t>
      </w:r>
      <w:r w:rsidR="00E838F2">
        <w:rPr>
          <w:rFonts w:ascii="Arial" w:hAnsi="Arial" w:cs="Arial"/>
          <w:sz w:val="24"/>
          <w:szCs w:val="24"/>
        </w:rPr>
        <w:t xml:space="preserve">the </w:t>
      </w:r>
      <w:r w:rsidR="00576474">
        <w:rPr>
          <w:rFonts w:ascii="Arial" w:hAnsi="Arial" w:cs="Arial"/>
          <w:sz w:val="24"/>
          <w:szCs w:val="24"/>
        </w:rPr>
        <w:t>conclusion of th</w:t>
      </w:r>
      <w:r w:rsidR="00E838F2">
        <w:rPr>
          <w:rFonts w:ascii="Arial" w:hAnsi="Arial" w:cs="Arial"/>
          <w:sz w:val="24"/>
          <w:szCs w:val="24"/>
        </w:rPr>
        <w:t>is</w:t>
      </w:r>
      <w:r w:rsidR="00576474">
        <w:rPr>
          <w:rFonts w:ascii="Arial" w:hAnsi="Arial" w:cs="Arial"/>
          <w:sz w:val="24"/>
          <w:szCs w:val="24"/>
        </w:rPr>
        <w:t xml:space="preserve"> agreement </w:t>
      </w:r>
      <w:r w:rsidR="00E838F2">
        <w:rPr>
          <w:rFonts w:ascii="Arial" w:hAnsi="Arial" w:cs="Arial"/>
          <w:sz w:val="24"/>
          <w:szCs w:val="24"/>
        </w:rPr>
        <w:t xml:space="preserve">leaving a balance of N$1,7 million. The said agreement was subject to two </w:t>
      </w:r>
      <w:r w:rsidR="009E06A1">
        <w:rPr>
          <w:rFonts w:ascii="Arial" w:hAnsi="Arial" w:cs="Arial"/>
          <w:sz w:val="24"/>
          <w:szCs w:val="24"/>
        </w:rPr>
        <w:t xml:space="preserve">suspensive </w:t>
      </w:r>
      <w:r w:rsidR="00E838F2">
        <w:rPr>
          <w:rFonts w:ascii="Arial" w:hAnsi="Arial" w:cs="Arial"/>
          <w:sz w:val="24"/>
          <w:szCs w:val="24"/>
        </w:rPr>
        <w:t xml:space="preserve">conditions. First, that the respondents, not being Namibian citizens, had to obtain work permits to allow them to stay </w:t>
      </w:r>
      <w:r w:rsidR="009E06A1">
        <w:rPr>
          <w:rFonts w:ascii="Arial" w:hAnsi="Arial" w:cs="Arial"/>
          <w:sz w:val="24"/>
          <w:szCs w:val="24"/>
        </w:rPr>
        <w:t xml:space="preserve">and operate a business </w:t>
      </w:r>
      <w:r w:rsidR="00E838F2">
        <w:rPr>
          <w:rFonts w:ascii="Arial" w:hAnsi="Arial" w:cs="Arial"/>
          <w:sz w:val="24"/>
          <w:szCs w:val="24"/>
        </w:rPr>
        <w:t>(</w:t>
      </w:r>
      <w:r w:rsidR="009E06A1">
        <w:rPr>
          <w:rFonts w:ascii="Arial" w:hAnsi="Arial" w:cs="Arial"/>
          <w:sz w:val="24"/>
          <w:szCs w:val="24"/>
        </w:rPr>
        <w:t>using the p</w:t>
      </w:r>
      <w:r w:rsidR="00E838F2">
        <w:rPr>
          <w:rFonts w:ascii="Arial" w:hAnsi="Arial" w:cs="Arial"/>
          <w:sz w:val="24"/>
          <w:szCs w:val="24"/>
        </w:rPr>
        <w:t>roperty as a guesthouse</w:t>
      </w:r>
      <w:r w:rsidR="00D17373">
        <w:rPr>
          <w:rFonts w:ascii="Arial" w:hAnsi="Arial" w:cs="Arial"/>
          <w:sz w:val="24"/>
          <w:szCs w:val="24"/>
        </w:rPr>
        <w:t>)</w:t>
      </w:r>
      <w:r w:rsidR="009E06A1">
        <w:rPr>
          <w:rFonts w:ascii="Arial" w:hAnsi="Arial" w:cs="Arial"/>
          <w:sz w:val="24"/>
          <w:szCs w:val="24"/>
        </w:rPr>
        <w:t xml:space="preserve"> in Namibia</w:t>
      </w:r>
      <w:r w:rsidR="00D17373">
        <w:rPr>
          <w:rFonts w:ascii="Arial" w:hAnsi="Arial" w:cs="Arial"/>
          <w:sz w:val="24"/>
          <w:szCs w:val="24"/>
        </w:rPr>
        <w:t xml:space="preserve">. Secondly, they had to obtain a </w:t>
      </w:r>
      <w:r w:rsidR="00E838F2">
        <w:rPr>
          <w:rFonts w:ascii="Arial" w:hAnsi="Arial" w:cs="Arial"/>
          <w:sz w:val="24"/>
          <w:szCs w:val="24"/>
        </w:rPr>
        <w:t xml:space="preserve">loan secured by a mortgage bond from a bank for the balance of </w:t>
      </w:r>
      <w:r w:rsidR="00DD4DFA">
        <w:rPr>
          <w:rFonts w:ascii="Arial" w:hAnsi="Arial" w:cs="Arial"/>
          <w:sz w:val="24"/>
          <w:szCs w:val="24"/>
        </w:rPr>
        <w:t>the</w:t>
      </w:r>
      <w:r w:rsidR="00E838F2">
        <w:rPr>
          <w:rFonts w:ascii="Arial" w:hAnsi="Arial" w:cs="Arial"/>
          <w:sz w:val="24"/>
          <w:szCs w:val="24"/>
        </w:rPr>
        <w:t xml:space="preserve"> purchase price. The fact that they did obtain work permits </w:t>
      </w:r>
      <w:r w:rsidR="00790D31">
        <w:rPr>
          <w:rFonts w:ascii="Arial" w:hAnsi="Arial" w:cs="Arial"/>
          <w:sz w:val="24"/>
          <w:szCs w:val="24"/>
        </w:rPr>
        <w:t>became apparent during</w:t>
      </w:r>
      <w:r w:rsidR="00E838F2">
        <w:rPr>
          <w:rFonts w:ascii="Arial" w:hAnsi="Arial" w:cs="Arial"/>
          <w:sz w:val="24"/>
          <w:szCs w:val="24"/>
        </w:rPr>
        <w:t xml:space="preserve"> the trial </w:t>
      </w:r>
      <w:r w:rsidR="00E838F2" w:rsidRPr="00DD4DFA">
        <w:rPr>
          <w:rFonts w:ascii="Arial" w:hAnsi="Arial" w:cs="Arial"/>
          <w:i/>
          <w:sz w:val="24"/>
          <w:szCs w:val="24"/>
        </w:rPr>
        <w:t>a quo</w:t>
      </w:r>
      <w:r w:rsidR="00E838F2">
        <w:rPr>
          <w:rFonts w:ascii="Arial" w:hAnsi="Arial" w:cs="Arial"/>
          <w:sz w:val="24"/>
          <w:szCs w:val="24"/>
        </w:rPr>
        <w:t xml:space="preserve"> and is not an issue </w:t>
      </w:r>
      <w:r w:rsidR="00135806">
        <w:rPr>
          <w:rFonts w:ascii="Arial" w:hAnsi="Arial" w:cs="Arial"/>
          <w:sz w:val="24"/>
          <w:szCs w:val="24"/>
        </w:rPr>
        <w:t>i</w:t>
      </w:r>
      <w:r w:rsidR="00E838F2">
        <w:rPr>
          <w:rFonts w:ascii="Arial" w:hAnsi="Arial" w:cs="Arial"/>
          <w:sz w:val="24"/>
          <w:szCs w:val="24"/>
        </w:rPr>
        <w:t xml:space="preserve">n </w:t>
      </w:r>
      <w:r w:rsidR="00135806">
        <w:rPr>
          <w:rFonts w:ascii="Arial" w:hAnsi="Arial" w:cs="Arial"/>
          <w:sz w:val="24"/>
          <w:szCs w:val="24"/>
        </w:rPr>
        <w:t xml:space="preserve">this </w:t>
      </w:r>
      <w:r w:rsidR="00E838F2">
        <w:rPr>
          <w:rFonts w:ascii="Arial" w:hAnsi="Arial" w:cs="Arial"/>
          <w:sz w:val="24"/>
          <w:szCs w:val="24"/>
        </w:rPr>
        <w:t>appeal.</w:t>
      </w:r>
    </w:p>
    <w:p w:rsidR="00BE2C9E" w:rsidRDefault="00DD4DFA" w:rsidP="00DD4DFA">
      <w:pPr>
        <w:pStyle w:val="ListParagraph"/>
        <w:tabs>
          <w:tab w:val="left" w:pos="2715"/>
        </w:tabs>
        <w:rPr>
          <w:rFonts w:ascii="Arial" w:hAnsi="Arial" w:cs="Arial"/>
          <w:sz w:val="24"/>
          <w:szCs w:val="24"/>
        </w:rPr>
      </w:pPr>
      <w:r>
        <w:rPr>
          <w:rFonts w:ascii="Arial" w:hAnsi="Arial" w:cs="Arial"/>
          <w:sz w:val="24"/>
          <w:szCs w:val="24"/>
        </w:rPr>
        <w:lastRenderedPageBreak/>
        <w:tab/>
      </w:r>
    </w:p>
    <w:p w:rsidR="00BE2C9E" w:rsidRDefault="00E838F2"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question that needs to be determined is whether respondents complied timeously with the condition to raise the balance of the purchase price against the security of a mortgage bond over the property (as they allege) </w:t>
      </w:r>
      <w:r w:rsidR="00DD4DFA">
        <w:rPr>
          <w:rFonts w:ascii="Arial" w:hAnsi="Arial" w:cs="Arial"/>
          <w:sz w:val="24"/>
          <w:szCs w:val="24"/>
        </w:rPr>
        <w:t>or</w:t>
      </w:r>
      <w:r>
        <w:rPr>
          <w:rFonts w:ascii="Arial" w:hAnsi="Arial" w:cs="Arial"/>
          <w:sz w:val="24"/>
          <w:szCs w:val="24"/>
        </w:rPr>
        <w:t xml:space="preserve"> whether the agreement </w:t>
      </w:r>
      <w:r w:rsidR="00DD4DFA">
        <w:rPr>
          <w:rFonts w:ascii="Arial" w:hAnsi="Arial" w:cs="Arial"/>
          <w:sz w:val="24"/>
          <w:szCs w:val="24"/>
        </w:rPr>
        <w:t>had</w:t>
      </w:r>
      <w:r>
        <w:rPr>
          <w:rFonts w:ascii="Arial" w:hAnsi="Arial" w:cs="Arial"/>
          <w:sz w:val="24"/>
          <w:szCs w:val="24"/>
        </w:rPr>
        <w:t xml:space="preserve"> lapsed prior to </w:t>
      </w:r>
      <w:r w:rsidR="008C497D">
        <w:rPr>
          <w:rFonts w:ascii="Arial" w:hAnsi="Arial" w:cs="Arial"/>
          <w:sz w:val="24"/>
          <w:szCs w:val="24"/>
        </w:rPr>
        <w:t xml:space="preserve">the arranging of such finances (as Viviers alleges). This in the context </w:t>
      </w:r>
      <w:r w:rsidR="00DD4DFA">
        <w:rPr>
          <w:rFonts w:ascii="Arial" w:hAnsi="Arial" w:cs="Arial"/>
          <w:sz w:val="24"/>
          <w:szCs w:val="24"/>
        </w:rPr>
        <w:t>where</w:t>
      </w:r>
      <w:r w:rsidR="008C497D">
        <w:rPr>
          <w:rFonts w:ascii="Arial" w:hAnsi="Arial" w:cs="Arial"/>
          <w:sz w:val="24"/>
          <w:szCs w:val="24"/>
        </w:rPr>
        <w:t xml:space="preserve"> the agreement itself did not mention a specific deadline in this regard.</w:t>
      </w:r>
      <w:r w:rsidR="008C497D" w:rsidRPr="008C497D">
        <w:rPr>
          <w:rFonts w:ascii="Arial" w:hAnsi="Arial" w:cs="Arial"/>
          <w:sz w:val="24"/>
          <w:szCs w:val="24"/>
        </w:rPr>
        <w:t xml:space="preserve"> </w:t>
      </w:r>
      <w:r w:rsidR="008C497D">
        <w:rPr>
          <w:rFonts w:ascii="Arial" w:hAnsi="Arial" w:cs="Arial"/>
          <w:sz w:val="24"/>
          <w:szCs w:val="24"/>
        </w:rPr>
        <w:t>Despite the condition</w:t>
      </w:r>
      <w:r w:rsidR="00135806">
        <w:rPr>
          <w:rFonts w:ascii="Arial" w:hAnsi="Arial" w:cs="Arial"/>
          <w:sz w:val="24"/>
          <w:szCs w:val="24"/>
        </w:rPr>
        <w:t>s</w:t>
      </w:r>
      <w:r w:rsidR="008C497D">
        <w:rPr>
          <w:rFonts w:ascii="Arial" w:hAnsi="Arial" w:cs="Arial"/>
          <w:sz w:val="24"/>
          <w:szCs w:val="24"/>
        </w:rPr>
        <w:t xml:space="preserve"> not being fulfilled and assumedly on the expectation that </w:t>
      </w:r>
      <w:r w:rsidR="00135806">
        <w:rPr>
          <w:rFonts w:ascii="Arial" w:hAnsi="Arial" w:cs="Arial"/>
          <w:sz w:val="24"/>
          <w:szCs w:val="24"/>
        </w:rPr>
        <w:t>they</w:t>
      </w:r>
      <w:r w:rsidR="008C497D">
        <w:rPr>
          <w:rFonts w:ascii="Arial" w:hAnsi="Arial" w:cs="Arial"/>
          <w:sz w:val="24"/>
          <w:szCs w:val="24"/>
        </w:rPr>
        <w:t xml:space="preserve"> would be fulfilled, the respondent</w:t>
      </w:r>
      <w:r w:rsidR="00DD7844">
        <w:rPr>
          <w:rFonts w:ascii="Arial" w:hAnsi="Arial" w:cs="Arial"/>
          <w:sz w:val="24"/>
          <w:szCs w:val="24"/>
        </w:rPr>
        <w:t>s</w:t>
      </w:r>
      <w:r w:rsidR="008C497D">
        <w:rPr>
          <w:rFonts w:ascii="Arial" w:hAnsi="Arial" w:cs="Arial"/>
          <w:sz w:val="24"/>
          <w:szCs w:val="24"/>
        </w:rPr>
        <w:t xml:space="preserve"> </w:t>
      </w:r>
      <w:r w:rsidR="00DD7844">
        <w:rPr>
          <w:rFonts w:ascii="Arial" w:hAnsi="Arial" w:cs="Arial"/>
          <w:sz w:val="24"/>
          <w:szCs w:val="24"/>
        </w:rPr>
        <w:t>were</w:t>
      </w:r>
      <w:r w:rsidR="008C497D">
        <w:rPr>
          <w:rFonts w:ascii="Arial" w:hAnsi="Arial" w:cs="Arial"/>
          <w:sz w:val="24"/>
          <w:szCs w:val="24"/>
        </w:rPr>
        <w:t xml:space="preserve"> given possession of the property and in terms of the agreement had to pay occupational interest of N$10 000 per month. There is a dispute between the parties whether this occupational interest was at a later stage increased to N$20 85</w:t>
      </w:r>
      <w:r w:rsidR="009E06A1">
        <w:rPr>
          <w:rFonts w:ascii="Arial" w:hAnsi="Arial" w:cs="Arial"/>
          <w:sz w:val="24"/>
          <w:szCs w:val="24"/>
        </w:rPr>
        <w:t>0</w:t>
      </w:r>
      <w:r w:rsidR="008C497D">
        <w:rPr>
          <w:rFonts w:ascii="Arial" w:hAnsi="Arial" w:cs="Arial"/>
          <w:sz w:val="24"/>
          <w:szCs w:val="24"/>
        </w:rPr>
        <w:t xml:space="preserve"> per month.</w:t>
      </w:r>
    </w:p>
    <w:p w:rsidR="008C497D" w:rsidRDefault="008C497D" w:rsidP="008C497D">
      <w:pPr>
        <w:pStyle w:val="ListParagraph"/>
        <w:rPr>
          <w:rFonts w:ascii="Arial" w:hAnsi="Arial" w:cs="Arial"/>
          <w:sz w:val="24"/>
          <w:szCs w:val="24"/>
        </w:rPr>
      </w:pPr>
    </w:p>
    <w:p w:rsidR="008C497D" w:rsidRDefault="00E87E86"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Its</w:t>
      </w:r>
      <w:r w:rsidR="00DD4DFA">
        <w:rPr>
          <w:rFonts w:ascii="Arial" w:hAnsi="Arial" w:cs="Arial"/>
          <w:sz w:val="24"/>
          <w:szCs w:val="24"/>
        </w:rPr>
        <w:t xml:space="preserve"> further</w:t>
      </w:r>
      <w:r>
        <w:rPr>
          <w:rFonts w:ascii="Arial" w:hAnsi="Arial" w:cs="Arial"/>
          <w:sz w:val="24"/>
          <w:szCs w:val="24"/>
        </w:rPr>
        <w:t xml:space="preserve"> common cause between the parties that despite attempts to raise </w:t>
      </w:r>
      <w:r w:rsidR="00DD4DFA">
        <w:rPr>
          <w:rFonts w:ascii="Arial" w:hAnsi="Arial" w:cs="Arial"/>
          <w:sz w:val="24"/>
          <w:szCs w:val="24"/>
        </w:rPr>
        <w:t xml:space="preserve">the </w:t>
      </w:r>
      <w:r>
        <w:rPr>
          <w:rFonts w:ascii="Arial" w:hAnsi="Arial" w:cs="Arial"/>
          <w:sz w:val="24"/>
          <w:szCs w:val="24"/>
        </w:rPr>
        <w:t>necessary finance</w:t>
      </w:r>
      <w:r w:rsidR="00DD4DFA">
        <w:rPr>
          <w:rFonts w:ascii="Arial" w:hAnsi="Arial" w:cs="Arial"/>
          <w:sz w:val="24"/>
          <w:szCs w:val="24"/>
        </w:rPr>
        <w:t>s</w:t>
      </w:r>
      <w:r>
        <w:rPr>
          <w:rFonts w:ascii="Arial" w:hAnsi="Arial" w:cs="Arial"/>
          <w:sz w:val="24"/>
          <w:szCs w:val="24"/>
        </w:rPr>
        <w:t xml:space="preserve"> from Bank Windhoek limited (twice) and Nedbank Namibia Ltd these attempts failed and that in the beginning of 2010 the respondents applied to First National Bank Ltd (FNB) for the necessary finances. Viviers knew of all these attempts to raise finances and was happy to maintain the status quo at that stage. As far as the respondents were concern</w:t>
      </w:r>
      <w:r w:rsidR="009E06A1">
        <w:rPr>
          <w:rFonts w:ascii="Arial" w:hAnsi="Arial" w:cs="Arial"/>
          <w:sz w:val="24"/>
          <w:szCs w:val="24"/>
        </w:rPr>
        <w:t>ed</w:t>
      </w:r>
      <w:r>
        <w:rPr>
          <w:rFonts w:ascii="Arial" w:hAnsi="Arial" w:cs="Arial"/>
          <w:sz w:val="24"/>
          <w:szCs w:val="24"/>
        </w:rPr>
        <w:t xml:space="preserve"> the application </w:t>
      </w:r>
      <w:r w:rsidR="00DD4DFA">
        <w:rPr>
          <w:rFonts w:ascii="Arial" w:hAnsi="Arial" w:cs="Arial"/>
          <w:sz w:val="24"/>
          <w:szCs w:val="24"/>
        </w:rPr>
        <w:t>to</w:t>
      </w:r>
      <w:r>
        <w:rPr>
          <w:rFonts w:ascii="Arial" w:hAnsi="Arial" w:cs="Arial"/>
          <w:sz w:val="24"/>
          <w:szCs w:val="24"/>
        </w:rPr>
        <w:t xml:space="preserve"> FNB was regarded as the last thro</w:t>
      </w:r>
      <w:r w:rsidR="00DD4DFA">
        <w:rPr>
          <w:rFonts w:ascii="Arial" w:hAnsi="Arial" w:cs="Arial"/>
          <w:sz w:val="24"/>
          <w:szCs w:val="24"/>
        </w:rPr>
        <w:t>w</w:t>
      </w:r>
      <w:r>
        <w:rPr>
          <w:rFonts w:ascii="Arial" w:hAnsi="Arial" w:cs="Arial"/>
          <w:sz w:val="24"/>
          <w:szCs w:val="24"/>
        </w:rPr>
        <w:t xml:space="preserve"> of the dice. In an email to Viviers, </w:t>
      </w:r>
      <w:r w:rsidR="009E06A1">
        <w:rPr>
          <w:rFonts w:ascii="Arial" w:hAnsi="Arial" w:cs="Arial"/>
          <w:sz w:val="24"/>
          <w:szCs w:val="24"/>
        </w:rPr>
        <w:t xml:space="preserve">the </w:t>
      </w:r>
      <w:r>
        <w:rPr>
          <w:rFonts w:ascii="Arial" w:hAnsi="Arial" w:cs="Arial"/>
          <w:sz w:val="24"/>
          <w:szCs w:val="24"/>
        </w:rPr>
        <w:t xml:space="preserve">first respondent stated </w:t>
      </w:r>
      <w:r w:rsidR="009E06A1">
        <w:rPr>
          <w:rFonts w:ascii="Arial" w:hAnsi="Arial" w:cs="Arial"/>
          <w:sz w:val="24"/>
          <w:szCs w:val="24"/>
        </w:rPr>
        <w:t>that</w:t>
      </w:r>
      <w:r>
        <w:rPr>
          <w:rFonts w:ascii="Arial" w:hAnsi="Arial" w:cs="Arial"/>
          <w:sz w:val="24"/>
          <w:szCs w:val="24"/>
        </w:rPr>
        <w:t xml:space="preserve"> the application was unsuccessful ‘I do not know what to do and maybe we must then put the </w:t>
      </w:r>
      <w:r w:rsidR="006A4F0F">
        <w:rPr>
          <w:rFonts w:ascii="Arial" w:hAnsi="Arial" w:cs="Arial"/>
          <w:sz w:val="24"/>
          <w:szCs w:val="24"/>
        </w:rPr>
        <w:t>place</w:t>
      </w:r>
      <w:r>
        <w:rPr>
          <w:rFonts w:ascii="Arial" w:hAnsi="Arial" w:cs="Arial"/>
          <w:sz w:val="24"/>
          <w:szCs w:val="24"/>
        </w:rPr>
        <w:t xml:space="preserve"> on the market</w:t>
      </w:r>
      <w:r w:rsidR="006A4F0F">
        <w:rPr>
          <w:rFonts w:ascii="Arial" w:hAnsi="Arial" w:cs="Arial"/>
          <w:sz w:val="24"/>
          <w:szCs w:val="24"/>
        </w:rPr>
        <w:t xml:space="preserve"> and </w:t>
      </w:r>
      <w:r w:rsidR="00DD4DFA">
        <w:rPr>
          <w:rFonts w:ascii="Arial" w:hAnsi="Arial" w:cs="Arial"/>
          <w:sz w:val="24"/>
          <w:szCs w:val="24"/>
        </w:rPr>
        <w:t>I will just</w:t>
      </w:r>
      <w:r w:rsidR="006A4F0F">
        <w:rPr>
          <w:rFonts w:ascii="Arial" w:hAnsi="Arial" w:cs="Arial"/>
          <w:sz w:val="24"/>
          <w:szCs w:val="24"/>
        </w:rPr>
        <w:t xml:space="preserve"> go </w:t>
      </w:r>
      <w:r w:rsidR="00DD4DFA">
        <w:rPr>
          <w:rFonts w:ascii="Arial" w:hAnsi="Arial" w:cs="Arial"/>
          <w:sz w:val="24"/>
          <w:szCs w:val="24"/>
        </w:rPr>
        <w:t xml:space="preserve">back </w:t>
      </w:r>
      <w:r w:rsidR="006A4F0F">
        <w:rPr>
          <w:rFonts w:ascii="Arial" w:hAnsi="Arial" w:cs="Arial"/>
          <w:sz w:val="24"/>
          <w:szCs w:val="24"/>
        </w:rPr>
        <w:t xml:space="preserve">to </w:t>
      </w:r>
      <w:r w:rsidR="00DD4DFA">
        <w:rPr>
          <w:rFonts w:ascii="Arial" w:hAnsi="Arial" w:cs="Arial"/>
          <w:sz w:val="24"/>
          <w:szCs w:val="24"/>
        </w:rPr>
        <w:t>South Africa</w:t>
      </w:r>
      <w:r w:rsidR="006A4F0F">
        <w:rPr>
          <w:rFonts w:ascii="Arial" w:hAnsi="Arial" w:cs="Arial"/>
          <w:sz w:val="24"/>
          <w:szCs w:val="24"/>
        </w:rPr>
        <w:t xml:space="preserve"> again’. In cross–examination </w:t>
      </w:r>
      <w:r w:rsidR="009E06A1">
        <w:rPr>
          <w:rFonts w:ascii="Arial" w:hAnsi="Arial" w:cs="Arial"/>
          <w:sz w:val="24"/>
          <w:szCs w:val="24"/>
        </w:rPr>
        <w:t>t</w:t>
      </w:r>
      <w:r w:rsidR="006A4F0F">
        <w:rPr>
          <w:rFonts w:ascii="Arial" w:hAnsi="Arial" w:cs="Arial"/>
          <w:sz w:val="24"/>
          <w:szCs w:val="24"/>
        </w:rPr>
        <w:t>he</w:t>
      </w:r>
      <w:r w:rsidR="009E06A1">
        <w:rPr>
          <w:rFonts w:ascii="Arial" w:hAnsi="Arial" w:cs="Arial"/>
          <w:sz w:val="24"/>
          <w:szCs w:val="24"/>
        </w:rPr>
        <w:t xml:space="preserve"> first respondent</w:t>
      </w:r>
      <w:r w:rsidR="006A4F0F">
        <w:rPr>
          <w:rFonts w:ascii="Arial" w:hAnsi="Arial" w:cs="Arial"/>
          <w:sz w:val="24"/>
          <w:szCs w:val="24"/>
        </w:rPr>
        <w:t xml:space="preserve"> conceded that if FNB did not approve the application ‘there were no further </w:t>
      </w:r>
      <w:r w:rsidR="00DD4DFA">
        <w:rPr>
          <w:rFonts w:ascii="Arial" w:hAnsi="Arial" w:cs="Arial"/>
          <w:sz w:val="24"/>
          <w:szCs w:val="24"/>
        </w:rPr>
        <w:t>avenues</w:t>
      </w:r>
      <w:r w:rsidR="006A4F0F">
        <w:rPr>
          <w:rFonts w:ascii="Arial" w:hAnsi="Arial" w:cs="Arial"/>
          <w:sz w:val="24"/>
          <w:szCs w:val="24"/>
        </w:rPr>
        <w:t xml:space="preserve"> open to us’. </w:t>
      </w:r>
      <w:r w:rsidR="00DD4DFA">
        <w:rPr>
          <w:rFonts w:ascii="Arial" w:hAnsi="Arial" w:cs="Arial"/>
          <w:sz w:val="24"/>
          <w:szCs w:val="24"/>
        </w:rPr>
        <w:t xml:space="preserve">On 8 </w:t>
      </w:r>
      <w:r w:rsidR="006A4F0F">
        <w:rPr>
          <w:rFonts w:ascii="Arial" w:hAnsi="Arial" w:cs="Arial"/>
          <w:sz w:val="24"/>
          <w:szCs w:val="24"/>
        </w:rPr>
        <w:t xml:space="preserve">April 2010, FNB declined the respondents’ application for financing. This prompted </w:t>
      </w:r>
      <w:r w:rsidR="009E06A1">
        <w:rPr>
          <w:rFonts w:ascii="Arial" w:hAnsi="Arial" w:cs="Arial"/>
          <w:sz w:val="24"/>
          <w:szCs w:val="24"/>
        </w:rPr>
        <w:t xml:space="preserve">the </w:t>
      </w:r>
      <w:r w:rsidR="006A4F0F">
        <w:rPr>
          <w:rFonts w:ascii="Arial" w:hAnsi="Arial" w:cs="Arial"/>
          <w:sz w:val="24"/>
          <w:szCs w:val="24"/>
        </w:rPr>
        <w:t>first respondent to address an email to Viviers referring him to this fact which</w:t>
      </w:r>
      <w:r w:rsidR="00DD4DFA">
        <w:rPr>
          <w:rFonts w:ascii="Arial" w:hAnsi="Arial" w:cs="Arial"/>
          <w:sz w:val="24"/>
          <w:szCs w:val="24"/>
        </w:rPr>
        <w:t>, among others</w:t>
      </w:r>
      <w:r w:rsidR="006A4F0F">
        <w:rPr>
          <w:rFonts w:ascii="Arial" w:hAnsi="Arial" w:cs="Arial"/>
          <w:sz w:val="24"/>
          <w:szCs w:val="24"/>
        </w:rPr>
        <w:t xml:space="preserve"> stated as follows:</w:t>
      </w:r>
    </w:p>
    <w:p w:rsidR="006A4F0F" w:rsidRDefault="006A4F0F" w:rsidP="006A4F0F">
      <w:pPr>
        <w:pStyle w:val="ListParagraph"/>
        <w:rPr>
          <w:rFonts w:ascii="Arial" w:hAnsi="Arial" w:cs="Arial"/>
          <w:sz w:val="24"/>
          <w:szCs w:val="24"/>
        </w:rPr>
      </w:pPr>
    </w:p>
    <w:p w:rsidR="006A4F0F" w:rsidRPr="00D84867" w:rsidRDefault="006A4F0F" w:rsidP="00D84867">
      <w:pPr>
        <w:pStyle w:val="NoSpacing"/>
        <w:spacing w:line="360" w:lineRule="auto"/>
        <w:ind w:left="720"/>
        <w:jc w:val="both"/>
        <w:rPr>
          <w:rFonts w:ascii="Arial" w:hAnsi="Arial" w:cs="Arial"/>
        </w:rPr>
      </w:pPr>
      <w:r w:rsidRPr="00D84867">
        <w:rPr>
          <w:rFonts w:ascii="Arial" w:hAnsi="Arial" w:cs="Arial"/>
        </w:rPr>
        <w:t xml:space="preserve">‘The situation is as follows – I owe you lots </w:t>
      </w:r>
      <w:r w:rsidR="00DD4DFA">
        <w:rPr>
          <w:rFonts w:ascii="Arial" w:hAnsi="Arial" w:cs="Arial"/>
        </w:rPr>
        <w:t xml:space="preserve">and lots </w:t>
      </w:r>
      <w:r w:rsidRPr="00D84867">
        <w:rPr>
          <w:rFonts w:ascii="Arial" w:hAnsi="Arial" w:cs="Arial"/>
        </w:rPr>
        <w:t>of money and FNB turned the application down and now I do not know which way. They said we must leave it for another year and then see but it’s not something I would like to do.</w:t>
      </w:r>
    </w:p>
    <w:p w:rsidR="006A4F0F" w:rsidRPr="00D84867" w:rsidRDefault="00DD4DFA" w:rsidP="00D84867">
      <w:pPr>
        <w:pStyle w:val="NoSpacing"/>
        <w:spacing w:line="360" w:lineRule="auto"/>
        <w:ind w:left="720"/>
        <w:jc w:val="both"/>
        <w:rPr>
          <w:rFonts w:ascii="Arial" w:hAnsi="Arial" w:cs="Arial"/>
        </w:rPr>
      </w:pPr>
      <w:r>
        <w:rPr>
          <w:rFonts w:ascii="Arial" w:hAnsi="Arial" w:cs="Arial"/>
        </w:rPr>
        <w:t xml:space="preserve">In any event, I am busy with a proposal . . . which . . . will help </w:t>
      </w:r>
      <w:r w:rsidR="009E06A1">
        <w:rPr>
          <w:rFonts w:ascii="Arial" w:hAnsi="Arial" w:cs="Arial"/>
        </w:rPr>
        <w:t xml:space="preserve">us </w:t>
      </w:r>
      <w:r>
        <w:rPr>
          <w:rFonts w:ascii="Arial" w:hAnsi="Arial" w:cs="Arial"/>
        </w:rPr>
        <w:t>to bring some of the</w:t>
      </w:r>
      <w:r w:rsidR="00135806">
        <w:rPr>
          <w:rFonts w:ascii="Arial" w:hAnsi="Arial" w:cs="Arial"/>
        </w:rPr>
        <w:t xml:space="preserve"> arear</w:t>
      </w:r>
      <w:r>
        <w:rPr>
          <w:rFonts w:ascii="Arial" w:hAnsi="Arial" w:cs="Arial"/>
        </w:rPr>
        <w:t xml:space="preserve"> amounts up to date.</w:t>
      </w:r>
    </w:p>
    <w:p w:rsidR="006A4F0F" w:rsidRPr="00D84867" w:rsidRDefault="006A4F0F" w:rsidP="00D84867">
      <w:pPr>
        <w:pStyle w:val="NoSpacing"/>
        <w:spacing w:line="360" w:lineRule="auto"/>
        <w:ind w:left="720"/>
        <w:jc w:val="both"/>
        <w:rPr>
          <w:rFonts w:ascii="Arial" w:hAnsi="Arial" w:cs="Arial"/>
        </w:rPr>
      </w:pPr>
      <w:r w:rsidRPr="00D84867">
        <w:rPr>
          <w:rFonts w:ascii="Arial" w:hAnsi="Arial" w:cs="Arial"/>
        </w:rPr>
        <w:t>I don’t know what the</w:t>
      </w:r>
      <w:r w:rsidR="00D84867" w:rsidRPr="00D84867">
        <w:rPr>
          <w:rFonts w:ascii="Arial" w:hAnsi="Arial" w:cs="Arial"/>
        </w:rPr>
        <w:t xml:space="preserve"> answers are but we will have to investigate a few options and at least we now </w:t>
      </w:r>
      <w:r w:rsidR="009E06A1">
        <w:rPr>
          <w:rFonts w:ascii="Arial" w:hAnsi="Arial" w:cs="Arial"/>
        </w:rPr>
        <w:t>got</w:t>
      </w:r>
      <w:r w:rsidR="00D84867" w:rsidRPr="00D84867">
        <w:rPr>
          <w:rFonts w:ascii="Arial" w:hAnsi="Arial" w:cs="Arial"/>
        </w:rPr>
        <w:t xml:space="preserve"> a little bit of time with the permit which has been extended until end December 2011’.</w:t>
      </w:r>
    </w:p>
    <w:p w:rsidR="006A4F0F" w:rsidRDefault="006A4F0F" w:rsidP="006A4F0F">
      <w:pPr>
        <w:pStyle w:val="ListParagraph"/>
        <w:rPr>
          <w:rFonts w:ascii="Arial" w:hAnsi="Arial" w:cs="Arial"/>
          <w:sz w:val="24"/>
          <w:szCs w:val="24"/>
        </w:rPr>
      </w:pPr>
    </w:p>
    <w:p w:rsidR="006A4F0F" w:rsidRDefault="00D84867"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Accor</w:t>
      </w:r>
      <w:r w:rsidR="00D2573D">
        <w:rPr>
          <w:rFonts w:ascii="Arial" w:hAnsi="Arial" w:cs="Arial"/>
          <w:sz w:val="24"/>
          <w:szCs w:val="24"/>
        </w:rPr>
        <w:t xml:space="preserve">ding </w:t>
      </w:r>
      <w:r>
        <w:rPr>
          <w:rFonts w:ascii="Arial" w:hAnsi="Arial" w:cs="Arial"/>
          <w:sz w:val="24"/>
          <w:szCs w:val="24"/>
        </w:rPr>
        <w:t xml:space="preserve">to </w:t>
      </w:r>
      <w:r w:rsidR="00D2573D">
        <w:rPr>
          <w:rFonts w:ascii="Arial" w:hAnsi="Arial" w:cs="Arial"/>
          <w:sz w:val="24"/>
          <w:szCs w:val="24"/>
        </w:rPr>
        <w:t xml:space="preserve">Viviers it was after receipt of this letter that he decided </w:t>
      </w:r>
      <w:r w:rsidR="00DD4DFA">
        <w:rPr>
          <w:rFonts w:ascii="Arial" w:hAnsi="Arial" w:cs="Arial"/>
          <w:sz w:val="24"/>
          <w:szCs w:val="24"/>
        </w:rPr>
        <w:t>he had</w:t>
      </w:r>
      <w:r w:rsidR="00D2573D">
        <w:rPr>
          <w:rFonts w:ascii="Arial" w:hAnsi="Arial" w:cs="Arial"/>
          <w:sz w:val="24"/>
          <w:szCs w:val="24"/>
        </w:rPr>
        <w:t xml:space="preserve"> waited long enough and then sought advice from a lawyer. </w:t>
      </w:r>
      <w:r w:rsidR="00DD4DFA">
        <w:rPr>
          <w:rFonts w:ascii="Arial" w:hAnsi="Arial" w:cs="Arial"/>
          <w:sz w:val="24"/>
          <w:szCs w:val="24"/>
        </w:rPr>
        <w:t>In a</w:t>
      </w:r>
      <w:r w:rsidR="00D2573D">
        <w:rPr>
          <w:rFonts w:ascii="Arial" w:hAnsi="Arial" w:cs="Arial"/>
          <w:sz w:val="24"/>
          <w:szCs w:val="24"/>
        </w:rPr>
        <w:t xml:space="preserve"> letter dated 14 April 2010, a lawyer acting on </w:t>
      </w:r>
      <w:r w:rsidR="00DD7844">
        <w:rPr>
          <w:rFonts w:ascii="Arial" w:hAnsi="Arial" w:cs="Arial"/>
          <w:sz w:val="24"/>
          <w:szCs w:val="24"/>
        </w:rPr>
        <w:t xml:space="preserve">his </w:t>
      </w:r>
      <w:r w:rsidR="00D2573D">
        <w:rPr>
          <w:rFonts w:ascii="Arial" w:hAnsi="Arial" w:cs="Arial"/>
          <w:sz w:val="24"/>
          <w:szCs w:val="24"/>
        </w:rPr>
        <w:t>behalf</w:t>
      </w:r>
      <w:r w:rsidR="00DD4DFA">
        <w:rPr>
          <w:rFonts w:ascii="Arial" w:hAnsi="Arial" w:cs="Arial"/>
          <w:sz w:val="24"/>
          <w:szCs w:val="24"/>
        </w:rPr>
        <w:t>, addressed</w:t>
      </w:r>
      <w:r w:rsidR="00644223">
        <w:rPr>
          <w:rFonts w:ascii="Arial" w:hAnsi="Arial" w:cs="Arial"/>
          <w:sz w:val="24"/>
          <w:szCs w:val="24"/>
        </w:rPr>
        <w:t xml:space="preserve"> a letter to the respondent stating that they </w:t>
      </w:r>
      <w:r w:rsidR="00DD4DFA">
        <w:rPr>
          <w:rFonts w:ascii="Arial" w:hAnsi="Arial" w:cs="Arial"/>
          <w:sz w:val="24"/>
          <w:szCs w:val="24"/>
        </w:rPr>
        <w:t>were</w:t>
      </w:r>
      <w:r w:rsidR="00644223">
        <w:rPr>
          <w:rFonts w:ascii="Arial" w:hAnsi="Arial" w:cs="Arial"/>
          <w:sz w:val="24"/>
          <w:szCs w:val="24"/>
        </w:rPr>
        <w:t xml:space="preserve"> in breach of their obligations in that they had not raised a bond and also did not pay the agreed </w:t>
      </w:r>
      <w:r w:rsidR="00DD4DFA">
        <w:rPr>
          <w:rFonts w:ascii="Arial" w:hAnsi="Arial" w:cs="Arial"/>
          <w:sz w:val="24"/>
          <w:szCs w:val="24"/>
        </w:rPr>
        <w:t xml:space="preserve">upon </w:t>
      </w:r>
      <w:r w:rsidR="00644223">
        <w:rPr>
          <w:rFonts w:ascii="Arial" w:hAnsi="Arial" w:cs="Arial"/>
          <w:sz w:val="24"/>
          <w:szCs w:val="24"/>
        </w:rPr>
        <w:t xml:space="preserve">occupational interest. The respondents </w:t>
      </w:r>
      <w:r w:rsidR="00DD4DFA">
        <w:rPr>
          <w:rFonts w:ascii="Arial" w:hAnsi="Arial" w:cs="Arial"/>
          <w:sz w:val="24"/>
          <w:szCs w:val="24"/>
        </w:rPr>
        <w:t>were</w:t>
      </w:r>
      <w:r w:rsidR="00644223">
        <w:rPr>
          <w:rFonts w:ascii="Arial" w:hAnsi="Arial" w:cs="Arial"/>
          <w:sz w:val="24"/>
          <w:szCs w:val="24"/>
        </w:rPr>
        <w:t xml:space="preserve"> put on terms to rectify the alleged </w:t>
      </w:r>
      <w:r w:rsidR="0030228E">
        <w:rPr>
          <w:rFonts w:ascii="Arial" w:hAnsi="Arial" w:cs="Arial"/>
          <w:sz w:val="24"/>
          <w:szCs w:val="24"/>
        </w:rPr>
        <w:t xml:space="preserve">breaches within 14 days </w:t>
      </w:r>
      <w:r w:rsidR="00790D31">
        <w:rPr>
          <w:rFonts w:ascii="Arial" w:hAnsi="Arial" w:cs="Arial"/>
          <w:sz w:val="24"/>
          <w:szCs w:val="24"/>
        </w:rPr>
        <w:t xml:space="preserve">failing </w:t>
      </w:r>
      <w:r w:rsidR="00DD4DFA">
        <w:rPr>
          <w:rFonts w:ascii="Arial" w:hAnsi="Arial" w:cs="Arial"/>
          <w:sz w:val="24"/>
          <w:szCs w:val="24"/>
        </w:rPr>
        <w:t>which Viviers</w:t>
      </w:r>
      <w:r w:rsidR="0030228E">
        <w:rPr>
          <w:rFonts w:ascii="Arial" w:hAnsi="Arial" w:cs="Arial"/>
          <w:sz w:val="24"/>
          <w:szCs w:val="24"/>
        </w:rPr>
        <w:t xml:space="preserve"> would exercise </w:t>
      </w:r>
      <w:r w:rsidR="00DD4DFA">
        <w:rPr>
          <w:rFonts w:ascii="Arial" w:hAnsi="Arial" w:cs="Arial"/>
          <w:sz w:val="24"/>
          <w:szCs w:val="24"/>
        </w:rPr>
        <w:t xml:space="preserve">his </w:t>
      </w:r>
      <w:r w:rsidR="0030228E">
        <w:rPr>
          <w:rFonts w:ascii="Arial" w:hAnsi="Arial" w:cs="Arial"/>
          <w:sz w:val="24"/>
          <w:szCs w:val="24"/>
        </w:rPr>
        <w:t xml:space="preserve">rights in terms of the agreement. First respondent answered to this letter the next day denying that they </w:t>
      </w:r>
      <w:r w:rsidR="00DD4DFA">
        <w:rPr>
          <w:rFonts w:ascii="Arial" w:hAnsi="Arial" w:cs="Arial"/>
          <w:sz w:val="24"/>
          <w:szCs w:val="24"/>
        </w:rPr>
        <w:t>were</w:t>
      </w:r>
      <w:r w:rsidR="0030228E">
        <w:rPr>
          <w:rFonts w:ascii="Arial" w:hAnsi="Arial" w:cs="Arial"/>
          <w:sz w:val="24"/>
          <w:szCs w:val="24"/>
        </w:rPr>
        <w:t xml:space="preserve"> in breach of the occupational interest </w:t>
      </w:r>
      <w:r w:rsidR="00790D31">
        <w:rPr>
          <w:rFonts w:ascii="Arial" w:hAnsi="Arial" w:cs="Arial"/>
          <w:sz w:val="24"/>
          <w:szCs w:val="24"/>
        </w:rPr>
        <w:t>clause</w:t>
      </w:r>
      <w:r w:rsidR="0030228E">
        <w:rPr>
          <w:rFonts w:ascii="Arial" w:hAnsi="Arial" w:cs="Arial"/>
          <w:sz w:val="24"/>
          <w:szCs w:val="24"/>
        </w:rPr>
        <w:t xml:space="preserve"> and explaining the dilemma to raise finances in </w:t>
      </w:r>
      <w:r w:rsidR="00DD4DFA">
        <w:rPr>
          <w:rFonts w:ascii="Arial" w:hAnsi="Arial" w:cs="Arial"/>
          <w:sz w:val="24"/>
          <w:szCs w:val="24"/>
        </w:rPr>
        <w:t>detail indicating that he had requested FNB to provide him with the reasons for the decision</w:t>
      </w:r>
      <w:r w:rsidR="0030228E">
        <w:rPr>
          <w:rFonts w:ascii="Arial" w:hAnsi="Arial" w:cs="Arial"/>
          <w:sz w:val="24"/>
          <w:szCs w:val="24"/>
        </w:rPr>
        <w:t xml:space="preserve">. The respondents also consulted a lawyer who on 26 April 2010 likewise responded to the letter from Viviers’ lawyer indicating that they were in the process of raising a bond and requesting another month for this purpose. This was followed up </w:t>
      </w:r>
      <w:r w:rsidR="009E06A1">
        <w:rPr>
          <w:rFonts w:ascii="Arial" w:hAnsi="Arial" w:cs="Arial"/>
          <w:sz w:val="24"/>
          <w:szCs w:val="24"/>
        </w:rPr>
        <w:t xml:space="preserve">with </w:t>
      </w:r>
      <w:r w:rsidR="0030228E">
        <w:rPr>
          <w:rFonts w:ascii="Arial" w:hAnsi="Arial" w:cs="Arial"/>
          <w:sz w:val="24"/>
          <w:szCs w:val="24"/>
        </w:rPr>
        <w:t xml:space="preserve">letters on 6 May 2010 and 31 May 2010 indicating that the respondents were awaiting </w:t>
      </w:r>
      <w:r w:rsidR="00D17373">
        <w:rPr>
          <w:rFonts w:ascii="Arial" w:hAnsi="Arial" w:cs="Arial"/>
          <w:sz w:val="24"/>
          <w:szCs w:val="24"/>
        </w:rPr>
        <w:t xml:space="preserve">a </w:t>
      </w:r>
      <w:r w:rsidR="0030228E">
        <w:rPr>
          <w:rFonts w:ascii="Arial" w:hAnsi="Arial" w:cs="Arial"/>
          <w:sz w:val="24"/>
          <w:szCs w:val="24"/>
        </w:rPr>
        <w:t xml:space="preserve">further decision from FNB. On 14 June 2010 FNB informed the respondents that it would grant </w:t>
      </w:r>
      <w:r w:rsidR="00F041A1">
        <w:rPr>
          <w:rFonts w:ascii="Arial" w:hAnsi="Arial" w:cs="Arial"/>
          <w:sz w:val="24"/>
          <w:szCs w:val="24"/>
        </w:rPr>
        <w:t>them finances to the tune of N$</w:t>
      </w:r>
      <w:r w:rsidR="0030228E">
        <w:rPr>
          <w:rFonts w:ascii="Arial" w:hAnsi="Arial" w:cs="Arial"/>
          <w:sz w:val="24"/>
          <w:szCs w:val="24"/>
        </w:rPr>
        <w:t>1.3 million secured by a mortgage bond over the property. The respondents being able to raise the additional N$400 000 themselves</w:t>
      </w:r>
      <w:r w:rsidR="00E57C4E">
        <w:rPr>
          <w:rFonts w:ascii="Arial" w:hAnsi="Arial" w:cs="Arial"/>
          <w:sz w:val="24"/>
          <w:szCs w:val="24"/>
        </w:rPr>
        <w:t xml:space="preserve"> thus became able to pay the balance of the purchase price. On 16 June </w:t>
      </w:r>
      <w:r w:rsidR="00E57C4E">
        <w:rPr>
          <w:rFonts w:ascii="Arial" w:hAnsi="Arial" w:cs="Arial"/>
          <w:sz w:val="24"/>
          <w:szCs w:val="24"/>
        </w:rPr>
        <w:lastRenderedPageBreak/>
        <w:t>2010 the lawyers of respondents informed Viviers’ lawyers that the respondents ha</w:t>
      </w:r>
      <w:r w:rsidR="009E06A1">
        <w:rPr>
          <w:rFonts w:ascii="Arial" w:hAnsi="Arial" w:cs="Arial"/>
          <w:sz w:val="24"/>
          <w:szCs w:val="24"/>
        </w:rPr>
        <w:t>d</w:t>
      </w:r>
      <w:r w:rsidR="00E57C4E">
        <w:rPr>
          <w:rFonts w:ascii="Arial" w:hAnsi="Arial" w:cs="Arial"/>
          <w:sz w:val="24"/>
          <w:szCs w:val="24"/>
        </w:rPr>
        <w:t xml:space="preserve"> ‘raised capital for final payment in terms of the agreement’. On 18 June 2010 the lawyer acting for Vivier wrote to the r</w:t>
      </w:r>
      <w:r w:rsidR="002F7A49">
        <w:rPr>
          <w:rFonts w:ascii="Arial" w:hAnsi="Arial" w:cs="Arial"/>
          <w:sz w:val="24"/>
          <w:szCs w:val="24"/>
        </w:rPr>
        <w:t>espondents’ lawyer as follows: (The lawyers</w:t>
      </w:r>
      <w:r w:rsidR="00DD7844">
        <w:rPr>
          <w:rFonts w:ascii="Arial" w:hAnsi="Arial" w:cs="Arial"/>
          <w:sz w:val="24"/>
          <w:szCs w:val="24"/>
        </w:rPr>
        <w:t xml:space="preserve"> or Viviers</w:t>
      </w:r>
      <w:r w:rsidR="00E57C4E">
        <w:rPr>
          <w:rFonts w:ascii="Arial" w:hAnsi="Arial" w:cs="Arial"/>
          <w:sz w:val="24"/>
          <w:szCs w:val="24"/>
        </w:rPr>
        <w:t xml:space="preserve"> either had not seen the letter of 16 June 2010 or did not belie</w:t>
      </w:r>
      <w:r w:rsidR="00790D31">
        <w:rPr>
          <w:rFonts w:ascii="Arial" w:hAnsi="Arial" w:cs="Arial"/>
          <w:sz w:val="24"/>
          <w:szCs w:val="24"/>
        </w:rPr>
        <w:t>ve</w:t>
      </w:r>
      <w:r w:rsidR="00E57C4E">
        <w:rPr>
          <w:rFonts w:ascii="Arial" w:hAnsi="Arial" w:cs="Arial"/>
          <w:sz w:val="24"/>
          <w:szCs w:val="24"/>
        </w:rPr>
        <w:t xml:space="preserve"> the contents thereof</w:t>
      </w:r>
      <w:r w:rsidR="00813F99">
        <w:rPr>
          <w:rFonts w:ascii="Arial" w:hAnsi="Arial" w:cs="Arial"/>
          <w:sz w:val="24"/>
          <w:szCs w:val="24"/>
        </w:rPr>
        <w:t>.</w:t>
      </w:r>
      <w:r w:rsidR="00D17373">
        <w:rPr>
          <w:rFonts w:ascii="Arial" w:hAnsi="Arial" w:cs="Arial"/>
          <w:sz w:val="24"/>
          <w:szCs w:val="24"/>
        </w:rPr>
        <w:t>)</w:t>
      </w:r>
    </w:p>
    <w:p w:rsidR="00813F99" w:rsidRDefault="00813F99" w:rsidP="00DD7844">
      <w:pPr>
        <w:pStyle w:val="NoSpacing"/>
        <w:spacing w:line="360" w:lineRule="auto"/>
        <w:jc w:val="both"/>
        <w:rPr>
          <w:rFonts w:ascii="Arial" w:hAnsi="Arial" w:cs="Arial"/>
          <w:sz w:val="24"/>
          <w:szCs w:val="24"/>
        </w:rPr>
      </w:pPr>
    </w:p>
    <w:p w:rsidR="005B0FAB" w:rsidRPr="00D17373" w:rsidRDefault="00813F99" w:rsidP="00D17373">
      <w:pPr>
        <w:pStyle w:val="NoSpacing"/>
        <w:spacing w:line="360" w:lineRule="auto"/>
        <w:ind w:left="720"/>
        <w:jc w:val="both"/>
        <w:rPr>
          <w:rFonts w:ascii="Arial" w:hAnsi="Arial" w:cs="Arial"/>
        </w:rPr>
      </w:pPr>
      <w:r w:rsidRPr="00D17373">
        <w:rPr>
          <w:rFonts w:ascii="Arial" w:hAnsi="Arial" w:cs="Arial"/>
        </w:rPr>
        <w:t xml:space="preserve">‘Insofar as the agreement contains two suspensive </w:t>
      </w:r>
      <w:r w:rsidR="00560F35" w:rsidRPr="00D17373">
        <w:rPr>
          <w:rFonts w:ascii="Arial" w:hAnsi="Arial" w:cs="Arial"/>
        </w:rPr>
        <w:t xml:space="preserve">conditions, </w:t>
      </w:r>
      <w:r w:rsidR="00960B23" w:rsidRPr="00D17373">
        <w:rPr>
          <w:rFonts w:ascii="Arial" w:hAnsi="Arial" w:cs="Arial"/>
        </w:rPr>
        <w:t xml:space="preserve">our </w:t>
      </w:r>
      <w:r w:rsidR="00560F35" w:rsidRPr="00D17373">
        <w:rPr>
          <w:rFonts w:ascii="Arial" w:hAnsi="Arial" w:cs="Arial"/>
        </w:rPr>
        <w:t xml:space="preserve">client urgently </w:t>
      </w:r>
      <w:r w:rsidR="00960B23" w:rsidRPr="00D17373">
        <w:rPr>
          <w:rFonts w:ascii="Arial" w:hAnsi="Arial" w:cs="Arial"/>
        </w:rPr>
        <w:t xml:space="preserve">requires written proof that these conditions have been met </w:t>
      </w:r>
      <w:r w:rsidR="00960B23" w:rsidRPr="00D17373">
        <w:rPr>
          <w:rFonts w:ascii="Arial" w:hAnsi="Arial" w:cs="Arial"/>
          <w:u w:val="single"/>
        </w:rPr>
        <w:t>as at date hereof</w:t>
      </w:r>
      <w:r w:rsidR="00960B23" w:rsidRPr="00D17373">
        <w:rPr>
          <w:rFonts w:ascii="Arial" w:hAnsi="Arial" w:cs="Arial"/>
        </w:rPr>
        <w:t xml:space="preserve">. Our client’s information is that your clients have not obtained the finance, nor approval of the </w:t>
      </w:r>
      <w:r w:rsidR="009E06A1">
        <w:rPr>
          <w:rFonts w:ascii="Arial" w:hAnsi="Arial" w:cs="Arial"/>
        </w:rPr>
        <w:t>“necessary bond of N$1,700 000”</w:t>
      </w:r>
      <w:r w:rsidR="00960B23" w:rsidRPr="00D17373">
        <w:rPr>
          <w:rFonts w:ascii="Arial" w:hAnsi="Arial" w:cs="Arial"/>
        </w:rPr>
        <w:t xml:space="preserve"> as required in clause 2 of the agreement, nor have your client</w:t>
      </w:r>
      <w:r w:rsidR="005B0FAB" w:rsidRPr="00D17373">
        <w:rPr>
          <w:rFonts w:ascii="Arial" w:hAnsi="Arial" w:cs="Arial"/>
        </w:rPr>
        <w:t>s</w:t>
      </w:r>
      <w:r w:rsidR="00960B23" w:rsidRPr="00D17373">
        <w:rPr>
          <w:rFonts w:ascii="Arial" w:hAnsi="Arial" w:cs="Arial"/>
        </w:rPr>
        <w:t xml:space="preserve"> obtained the required residence permits, despite more than a reasonable time </w:t>
      </w:r>
      <w:r w:rsidR="005B0FAB" w:rsidRPr="00D17373">
        <w:rPr>
          <w:rFonts w:ascii="Arial" w:hAnsi="Arial" w:cs="Arial"/>
        </w:rPr>
        <w:t>having passed since the signing of the agreement.</w:t>
      </w:r>
    </w:p>
    <w:p w:rsidR="005B0FAB" w:rsidRPr="00D17373" w:rsidRDefault="005B0FAB" w:rsidP="00D17373">
      <w:pPr>
        <w:pStyle w:val="NoSpacing"/>
        <w:spacing w:line="360" w:lineRule="auto"/>
        <w:ind w:left="720"/>
        <w:jc w:val="both"/>
        <w:rPr>
          <w:rFonts w:ascii="Arial" w:hAnsi="Arial" w:cs="Arial"/>
        </w:rPr>
      </w:pPr>
    </w:p>
    <w:p w:rsidR="00813F99" w:rsidRDefault="005B0FAB" w:rsidP="00D17373">
      <w:pPr>
        <w:pStyle w:val="NoSpacing"/>
        <w:spacing w:line="360" w:lineRule="auto"/>
        <w:ind w:left="720"/>
        <w:jc w:val="both"/>
        <w:rPr>
          <w:rFonts w:ascii="Arial" w:hAnsi="Arial" w:cs="Arial"/>
          <w:sz w:val="24"/>
          <w:szCs w:val="24"/>
        </w:rPr>
      </w:pPr>
      <w:r w:rsidRPr="00D17373">
        <w:rPr>
          <w:rFonts w:ascii="Arial" w:hAnsi="Arial" w:cs="Arial"/>
          <w:u w:val="single"/>
        </w:rPr>
        <w:t>If the above is the factual situation</w:t>
      </w:r>
      <w:r w:rsidRPr="00D17373">
        <w:rPr>
          <w:rFonts w:ascii="Arial" w:hAnsi="Arial" w:cs="Arial"/>
        </w:rPr>
        <w:t xml:space="preserve"> the agreement has lapsed and is no longer of any force and effect and our client will not proceed wit</w:t>
      </w:r>
      <w:r w:rsidR="002F7A49" w:rsidRPr="00D17373">
        <w:rPr>
          <w:rFonts w:ascii="Arial" w:hAnsi="Arial" w:cs="Arial"/>
        </w:rPr>
        <w:t xml:space="preserve">h the transfer of the property’. </w:t>
      </w:r>
      <w:r w:rsidR="00790D31" w:rsidRPr="00D17373">
        <w:rPr>
          <w:rFonts w:ascii="Arial" w:hAnsi="Arial" w:cs="Arial"/>
        </w:rPr>
        <w:t>(</w:t>
      </w:r>
      <w:r w:rsidR="002F7A49" w:rsidRPr="00D17373">
        <w:rPr>
          <w:rFonts w:ascii="Arial" w:hAnsi="Arial" w:cs="Arial"/>
        </w:rPr>
        <w:t>My underlining.</w:t>
      </w:r>
      <w:r w:rsidR="00790D31" w:rsidRPr="00D17373">
        <w:rPr>
          <w:rFonts w:ascii="Arial" w:hAnsi="Arial" w:cs="Arial"/>
        </w:rPr>
        <w:t>)</w:t>
      </w:r>
    </w:p>
    <w:p w:rsidR="006A4F0F" w:rsidRDefault="006A4F0F" w:rsidP="006A4F0F">
      <w:pPr>
        <w:pStyle w:val="ListParagraph"/>
        <w:rPr>
          <w:rFonts w:ascii="Arial" w:hAnsi="Arial" w:cs="Arial"/>
          <w:sz w:val="24"/>
          <w:szCs w:val="24"/>
        </w:rPr>
      </w:pPr>
    </w:p>
    <w:p w:rsidR="006A4F0F" w:rsidRDefault="005B0FAB"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E5FF6">
        <w:rPr>
          <w:rFonts w:ascii="Arial" w:hAnsi="Arial" w:cs="Arial"/>
          <w:i/>
          <w:sz w:val="24"/>
          <w:szCs w:val="24"/>
        </w:rPr>
        <w:t>a quo</w:t>
      </w:r>
      <w:r w:rsidRPr="00BE5FF6">
        <w:rPr>
          <w:rFonts w:ascii="Arial" w:hAnsi="Arial" w:cs="Arial"/>
          <w:sz w:val="24"/>
          <w:szCs w:val="24"/>
        </w:rPr>
        <w:t xml:space="preserve"> </w:t>
      </w:r>
      <w:r>
        <w:rPr>
          <w:rFonts w:ascii="Arial" w:hAnsi="Arial" w:cs="Arial"/>
          <w:sz w:val="24"/>
          <w:szCs w:val="24"/>
        </w:rPr>
        <w:t>found that the letter of 18 June 2010 from Viviers’ lawyers indicated that the deadline for obtaining the f</w:t>
      </w:r>
      <w:r w:rsidR="002F7A49">
        <w:rPr>
          <w:rFonts w:ascii="Arial" w:hAnsi="Arial" w:cs="Arial"/>
          <w:sz w:val="24"/>
          <w:szCs w:val="24"/>
        </w:rPr>
        <w:t>u</w:t>
      </w:r>
      <w:r>
        <w:rPr>
          <w:rFonts w:ascii="Arial" w:hAnsi="Arial" w:cs="Arial"/>
          <w:sz w:val="24"/>
          <w:szCs w:val="24"/>
        </w:rPr>
        <w:t xml:space="preserve">nding </w:t>
      </w:r>
      <w:r w:rsidR="002F7A49">
        <w:rPr>
          <w:rFonts w:ascii="Arial" w:hAnsi="Arial" w:cs="Arial"/>
          <w:sz w:val="24"/>
          <w:szCs w:val="24"/>
        </w:rPr>
        <w:t>was</w:t>
      </w:r>
      <w:r>
        <w:rPr>
          <w:rFonts w:ascii="Arial" w:hAnsi="Arial" w:cs="Arial"/>
          <w:sz w:val="24"/>
          <w:szCs w:val="24"/>
        </w:rPr>
        <w:t xml:space="preserve"> 18 June 2010. In other words, Viviers allowed the respondents up to 18 June 2010</w:t>
      </w:r>
      <w:r w:rsidR="00333A63">
        <w:rPr>
          <w:rFonts w:ascii="Arial" w:hAnsi="Arial" w:cs="Arial"/>
          <w:sz w:val="24"/>
          <w:szCs w:val="24"/>
        </w:rPr>
        <w:t xml:space="preserve"> to comply with the condition</w:t>
      </w:r>
      <w:r w:rsidR="00790D31">
        <w:rPr>
          <w:rFonts w:ascii="Arial" w:hAnsi="Arial" w:cs="Arial"/>
          <w:sz w:val="24"/>
          <w:szCs w:val="24"/>
        </w:rPr>
        <w:t>s</w:t>
      </w:r>
      <w:r w:rsidR="00333A63">
        <w:rPr>
          <w:rFonts w:ascii="Arial" w:hAnsi="Arial" w:cs="Arial"/>
          <w:sz w:val="24"/>
          <w:szCs w:val="24"/>
        </w:rPr>
        <w:t xml:space="preserve">. This the respondents complied with as they had the necessary finance in place </w:t>
      </w:r>
      <w:r w:rsidR="002F7A49">
        <w:rPr>
          <w:rFonts w:ascii="Arial" w:hAnsi="Arial" w:cs="Arial"/>
          <w:sz w:val="24"/>
          <w:szCs w:val="24"/>
        </w:rPr>
        <w:t>four</w:t>
      </w:r>
      <w:r w:rsidR="00333A63">
        <w:rPr>
          <w:rFonts w:ascii="Arial" w:hAnsi="Arial" w:cs="Arial"/>
          <w:sz w:val="24"/>
          <w:szCs w:val="24"/>
        </w:rPr>
        <w:t xml:space="preserve"> days prior to the deadline, </w:t>
      </w:r>
      <w:r w:rsidR="00BE5FF6">
        <w:rPr>
          <w:rFonts w:ascii="Arial" w:hAnsi="Arial" w:cs="Arial"/>
          <w:sz w:val="24"/>
          <w:szCs w:val="24"/>
        </w:rPr>
        <w:t>i.e.</w:t>
      </w:r>
      <w:r w:rsidR="00333A63">
        <w:rPr>
          <w:rFonts w:ascii="Arial" w:hAnsi="Arial" w:cs="Arial"/>
          <w:sz w:val="24"/>
          <w:szCs w:val="24"/>
        </w:rPr>
        <w:t xml:space="preserve"> on 14 June 2010. This mean</w:t>
      </w:r>
      <w:r w:rsidR="00DD7844">
        <w:rPr>
          <w:rFonts w:ascii="Arial" w:hAnsi="Arial" w:cs="Arial"/>
          <w:sz w:val="24"/>
          <w:szCs w:val="24"/>
        </w:rPr>
        <w:t>t</w:t>
      </w:r>
      <w:r w:rsidR="00333A63">
        <w:rPr>
          <w:rFonts w:ascii="Arial" w:hAnsi="Arial" w:cs="Arial"/>
          <w:sz w:val="24"/>
          <w:szCs w:val="24"/>
        </w:rPr>
        <w:t xml:space="preserve"> that they</w:t>
      </w:r>
      <w:r w:rsidR="00790D31">
        <w:rPr>
          <w:rFonts w:ascii="Arial" w:hAnsi="Arial" w:cs="Arial"/>
          <w:sz w:val="24"/>
          <w:szCs w:val="24"/>
        </w:rPr>
        <w:t>,</w:t>
      </w:r>
      <w:r w:rsidR="00333A63">
        <w:rPr>
          <w:rFonts w:ascii="Arial" w:hAnsi="Arial" w:cs="Arial"/>
          <w:sz w:val="24"/>
          <w:szCs w:val="24"/>
        </w:rPr>
        <w:t xml:space="preserve"> upon tendering the outstanding amount against transfer of the property into their name</w:t>
      </w:r>
      <w:r w:rsidR="00790D31">
        <w:rPr>
          <w:rFonts w:ascii="Arial" w:hAnsi="Arial" w:cs="Arial"/>
          <w:sz w:val="24"/>
          <w:szCs w:val="24"/>
        </w:rPr>
        <w:t>,</w:t>
      </w:r>
      <w:r w:rsidR="00333A63">
        <w:rPr>
          <w:rFonts w:ascii="Arial" w:hAnsi="Arial" w:cs="Arial"/>
          <w:sz w:val="24"/>
          <w:szCs w:val="24"/>
        </w:rPr>
        <w:t xml:space="preserve"> were entitled to specific performance. Counsel for appellant submits that the contract lapsed when </w:t>
      </w:r>
      <w:r w:rsidR="009E06A1">
        <w:rPr>
          <w:rFonts w:ascii="Arial" w:hAnsi="Arial" w:cs="Arial"/>
          <w:sz w:val="24"/>
          <w:szCs w:val="24"/>
        </w:rPr>
        <w:t xml:space="preserve">the </w:t>
      </w:r>
      <w:r w:rsidR="00333A63">
        <w:rPr>
          <w:rFonts w:ascii="Arial" w:hAnsi="Arial" w:cs="Arial"/>
          <w:sz w:val="24"/>
          <w:szCs w:val="24"/>
        </w:rPr>
        <w:t>first respondent informed Viviers on 8 April 2010 that ‘FNB turned the applicatio</w:t>
      </w:r>
      <w:r w:rsidR="002F7A49">
        <w:rPr>
          <w:rFonts w:ascii="Arial" w:hAnsi="Arial" w:cs="Arial"/>
          <w:sz w:val="24"/>
          <w:szCs w:val="24"/>
        </w:rPr>
        <w:t xml:space="preserve">n down and I </w:t>
      </w:r>
      <w:r w:rsidR="00333A63">
        <w:rPr>
          <w:rFonts w:ascii="Arial" w:hAnsi="Arial" w:cs="Arial"/>
          <w:sz w:val="24"/>
          <w:szCs w:val="24"/>
        </w:rPr>
        <w:t xml:space="preserve">now do not know which way’. It is submitted </w:t>
      </w:r>
      <w:r w:rsidR="00301AAC" w:rsidRPr="00301AAC">
        <w:rPr>
          <w:rFonts w:ascii="Arial" w:hAnsi="Arial" w:cs="Arial"/>
          <w:sz w:val="24"/>
          <w:szCs w:val="24"/>
          <w:u w:val="single"/>
        </w:rPr>
        <w:t>that</w:t>
      </w:r>
      <w:r w:rsidR="00301AAC">
        <w:rPr>
          <w:rFonts w:ascii="Arial" w:hAnsi="Arial" w:cs="Arial"/>
          <w:sz w:val="24"/>
          <w:szCs w:val="24"/>
        </w:rPr>
        <w:t xml:space="preserve"> </w:t>
      </w:r>
      <w:r w:rsidR="009F0303">
        <w:rPr>
          <w:rFonts w:ascii="Arial" w:hAnsi="Arial" w:cs="Arial"/>
          <w:sz w:val="24"/>
          <w:szCs w:val="24"/>
        </w:rPr>
        <w:t xml:space="preserve">by </w:t>
      </w:r>
      <w:r w:rsidR="00333A63">
        <w:rPr>
          <w:rFonts w:ascii="Arial" w:hAnsi="Arial" w:cs="Arial"/>
          <w:sz w:val="24"/>
          <w:szCs w:val="24"/>
        </w:rPr>
        <w:t>then a reasonabl</w:t>
      </w:r>
      <w:r w:rsidR="002F7A49">
        <w:rPr>
          <w:rFonts w:ascii="Arial" w:hAnsi="Arial" w:cs="Arial"/>
          <w:sz w:val="24"/>
          <w:szCs w:val="24"/>
        </w:rPr>
        <w:t>e</w:t>
      </w:r>
      <w:r w:rsidR="00333A63">
        <w:rPr>
          <w:rFonts w:ascii="Arial" w:hAnsi="Arial" w:cs="Arial"/>
          <w:sz w:val="24"/>
          <w:szCs w:val="24"/>
        </w:rPr>
        <w:t xml:space="preserve"> time to obtain the necessary finances had expired and the agreement thus lapsed. Counsel fo</w:t>
      </w:r>
      <w:bookmarkStart w:id="0" w:name="_GoBack"/>
      <w:bookmarkEnd w:id="0"/>
      <w:r w:rsidR="00333A63">
        <w:rPr>
          <w:rFonts w:ascii="Arial" w:hAnsi="Arial" w:cs="Arial"/>
          <w:sz w:val="24"/>
          <w:szCs w:val="24"/>
        </w:rPr>
        <w:t>r the respondent</w:t>
      </w:r>
      <w:r w:rsidR="00CE2B8E" w:rsidRPr="00BE5FF6">
        <w:rPr>
          <w:rFonts w:ascii="Arial" w:hAnsi="Arial" w:cs="Arial"/>
          <w:sz w:val="24"/>
          <w:szCs w:val="24"/>
        </w:rPr>
        <w:t>s</w:t>
      </w:r>
      <w:r w:rsidR="00333A63">
        <w:rPr>
          <w:rFonts w:ascii="Arial" w:hAnsi="Arial" w:cs="Arial"/>
          <w:sz w:val="24"/>
          <w:szCs w:val="24"/>
        </w:rPr>
        <w:t xml:space="preserve"> submit</w:t>
      </w:r>
      <w:r w:rsidR="00CE2B8E" w:rsidRPr="00BE5FF6">
        <w:rPr>
          <w:rFonts w:ascii="Arial" w:hAnsi="Arial" w:cs="Arial"/>
          <w:sz w:val="24"/>
          <w:szCs w:val="24"/>
        </w:rPr>
        <w:t>s</w:t>
      </w:r>
      <w:r w:rsidR="00333A63">
        <w:rPr>
          <w:rFonts w:ascii="Arial" w:hAnsi="Arial" w:cs="Arial"/>
          <w:sz w:val="24"/>
          <w:szCs w:val="24"/>
        </w:rPr>
        <w:t xml:space="preserve"> the contrary and </w:t>
      </w:r>
      <w:r w:rsidR="00333A63">
        <w:rPr>
          <w:rFonts w:ascii="Arial" w:hAnsi="Arial" w:cs="Arial"/>
          <w:sz w:val="24"/>
          <w:szCs w:val="24"/>
        </w:rPr>
        <w:lastRenderedPageBreak/>
        <w:t xml:space="preserve">supports the decision of the court </w:t>
      </w:r>
      <w:r w:rsidR="00333A63" w:rsidRPr="00333A63">
        <w:rPr>
          <w:rFonts w:ascii="Arial" w:hAnsi="Arial" w:cs="Arial"/>
          <w:i/>
          <w:sz w:val="24"/>
          <w:szCs w:val="24"/>
        </w:rPr>
        <w:t>a quo</w:t>
      </w:r>
      <w:r w:rsidR="00333A63">
        <w:rPr>
          <w:rFonts w:ascii="Arial" w:hAnsi="Arial" w:cs="Arial"/>
          <w:sz w:val="24"/>
          <w:szCs w:val="24"/>
        </w:rPr>
        <w:t xml:space="preserve"> essentially </w:t>
      </w:r>
      <w:r w:rsidR="00D979D5">
        <w:rPr>
          <w:rFonts w:ascii="Arial" w:hAnsi="Arial" w:cs="Arial"/>
          <w:sz w:val="24"/>
          <w:szCs w:val="24"/>
        </w:rPr>
        <w:t>maintaining that the letter of 18 June 2010 imposed the deadline of that date for the fulfilment of the condition.</w:t>
      </w:r>
    </w:p>
    <w:p w:rsidR="008C497D" w:rsidRDefault="008C497D" w:rsidP="008C497D">
      <w:pPr>
        <w:pStyle w:val="ListParagraph"/>
        <w:rPr>
          <w:rFonts w:ascii="Arial" w:hAnsi="Arial" w:cs="Arial"/>
          <w:sz w:val="24"/>
          <w:szCs w:val="24"/>
        </w:rPr>
      </w:pPr>
    </w:p>
    <w:p w:rsidR="008C497D" w:rsidRDefault="00D979D5"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Where parties do not agree to a timeframe within which a condition must be complied with it is implicit that a reasonabl</w:t>
      </w:r>
      <w:r w:rsidR="002F7A49">
        <w:rPr>
          <w:rFonts w:ascii="Arial" w:hAnsi="Arial" w:cs="Arial"/>
          <w:sz w:val="24"/>
          <w:szCs w:val="24"/>
        </w:rPr>
        <w:t>e</w:t>
      </w:r>
      <w:r>
        <w:rPr>
          <w:rFonts w:ascii="Arial" w:hAnsi="Arial" w:cs="Arial"/>
          <w:sz w:val="24"/>
          <w:szCs w:val="24"/>
        </w:rPr>
        <w:t xml:space="preserve"> time </w:t>
      </w:r>
      <w:r w:rsidR="00790D31">
        <w:rPr>
          <w:rFonts w:ascii="Arial" w:hAnsi="Arial" w:cs="Arial"/>
          <w:sz w:val="24"/>
          <w:szCs w:val="24"/>
        </w:rPr>
        <w:t>i</w:t>
      </w:r>
      <w:r>
        <w:rPr>
          <w:rFonts w:ascii="Arial" w:hAnsi="Arial" w:cs="Arial"/>
          <w:sz w:val="24"/>
          <w:szCs w:val="24"/>
        </w:rPr>
        <w:t xml:space="preserve">s envisaged. Where the parties agree on the time period the court will however honour such agreed period as the parties clearly, as between them, agreed such period as reasonable. In </w:t>
      </w:r>
      <w:r w:rsidR="00415D0C">
        <w:rPr>
          <w:rFonts w:ascii="Arial" w:hAnsi="Arial" w:cs="Arial"/>
          <w:sz w:val="24"/>
          <w:szCs w:val="24"/>
        </w:rPr>
        <w:t>the present matter, Viviers on a number of occasions, tacitly at least, agreed to extend the period so as to enable the respondents to make applications to banks for financing. Thus he, on his own evidence, was still willing to await the outcome</w:t>
      </w:r>
      <w:r w:rsidR="00DD7844">
        <w:rPr>
          <w:rFonts w:ascii="Arial" w:hAnsi="Arial" w:cs="Arial"/>
          <w:sz w:val="24"/>
          <w:szCs w:val="24"/>
        </w:rPr>
        <w:t xml:space="preserve"> of an application for financing to</w:t>
      </w:r>
      <w:r w:rsidR="00415D0C">
        <w:rPr>
          <w:rFonts w:ascii="Arial" w:hAnsi="Arial" w:cs="Arial"/>
          <w:sz w:val="24"/>
          <w:szCs w:val="24"/>
        </w:rPr>
        <w:t xml:space="preserve"> FNB which application</w:t>
      </w:r>
      <w:r w:rsidR="002F7A49">
        <w:rPr>
          <w:rFonts w:ascii="Arial" w:hAnsi="Arial" w:cs="Arial"/>
          <w:sz w:val="24"/>
          <w:szCs w:val="24"/>
        </w:rPr>
        <w:t xml:space="preserve"> </w:t>
      </w:r>
      <w:r w:rsidR="00415D0C">
        <w:rPr>
          <w:rFonts w:ascii="Arial" w:hAnsi="Arial" w:cs="Arial"/>
          <w:sz w:val="24"/>
          <w:szCs w:val="24"/>
        </w:rPr>
        <w:t xml:space="preserve">was made in the beginning of 2010, ie more than two years after entering into the contract. This was after two failed attempts at Bank Windhoek and one at Nedbank.  </w:t>
      </w:r>
    </w:p>
    <w:p w:rsidR="008C497D" w:rsidRDefault="008C497D" w:rsidP="008C497D">
      <w:pPr>
        <w:pStyle w:val="ListParagraph"/>
        <w:rPr>
          <w:rFonts w:ascii="Arial" w:hAnsi="Arial" w:cs="Arial"/>
          <w:sz w:val="24"/>
          <w:szCs w:val="24"/>
        </w:rPr>
      </w:pPr>
    </w:p>
    <w:p w:rsidR="008C497D" w:rsidRDefault="00415D0C"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Viviers’ patient and accommodating attitude was probably what caused </w:t>
      </w:r>
      <w:r w:rsidR="009E06A1">
        <w:rPr>
          <w:rFonts w:ascii="Arial" w:hAnsi="Arial" w:cs="Arial"/>
          <w:sz w:val="24"/>
          <w:szCs w:val="24"/>
        </w:rPr>
        <w:t xml:space="preserve">the </w:t>
      </w:r>
      <w:r>
        <w:rPr>
          <w:rFonts w:ascii="Arial" w:hAnsi="Arial" w:cs="Arial"/>
          <w:sz w:val="24"/>
          <w:szCs w:val="24"/>
        </w:rPr>
        <w:t xml:space="preserve">first respondent to, even after the last attempt to raise funds </w:t>
      </w:r>
      <w:r w:rsidR="00790D31">
        <w:rPr>
          <w:rFonts w:ascii="Arial" w:hAnsi="Arial" w:cs="Arial"/>
          <w:sz w:val="24"/>
          <w:szCs w:val="24"/>
        </w:rPr>
        <w:t>from</w:t>
      </w:r>
      <w:r>
        <w:rPr>
          <w:rFonts w:ascii="Arial" w:hAnsi="Arial" w:cs="Arial"/>
          <w:sz w:val="24"/>
          <w:szCs w:val="24"/>
        </w:rPr>
        <w:t xml:space="preserve"> FNB </w:t>
      </w:r>
      <w:r w:rsidR="00790D31">
        <w:rPr>
          <w:rFonts w:ascii="Arial" w:hAnsi="Arial" w:cs="Arial"/>
          <w:sz w:val="24"/>
          <w:szCs w:val="24"/>
        </w:rPr>
        <w:t>initially</w:t>
      </w:r>
      <w:r>
        <w:rPr>
          <w:rFonts w:ascii="Arial" w:hAnsi="Arial" w:cs="Arial"/>
          <w:sz w:val="24"/>
          <w:szCs w:val="24"/>
        </w:rPr>
        <w:t xml:space="preserve"> failed</w:t>
      </w:r>
      <w:r w:rsidR="00790D31">
        <w:rPr>
          <w:rFonts w:ascii="Arial" w:hAnsi="Arial" w:cs="Arial"/>
          <w:sz w:val="24"/>
          <w:szCs w:val="24"/>
        </w:rPr>
        <w:t>,</w:t>
      </w:r>
      <w:r>
        <w:rPr>
          <w:rFonts w:ascii="Arial" w:hAnsi="Arial" w:cs="Arial"/>
          <w:sz w:val="24"/>
          <w:szCs w:val="24"/>
        </w:rPr>
        <w:t xml:space="preserve"> inform Viviers that ‘because their (presumably) work permits had been extended to December 2011 that they will have time to ‘investigate a few options’ </w:t>
      </w:r>
      <w:r w:rsidR="00F61DE0">
        <w:rPr>
          <w:rFonts w:ascii="Arial" w:hAnsi="Arial" w:cs="Arial"/>
          <w:sz w:val="24"/>
          <w:szCs w:val="24"/>
        </w:rPr>
        <w:t>in order to</w:t>
      </w:r>
      <w:r>
        <w:rPr>
          <w:rFonts w:ascii="Arial" w:hAnsi="Arial" w:cs="Arial"/>
          <w:sz w:val="24"/>
          <w:szCs w:val="24"/>
        </w:rPr>
        <w:t xml:space="preserve"> raise the finance</w:t>
      </w:r>
      <w:r w:rsidR="004A06F7">
        <w:rPr>
          <w:rFonts w:ascii="Arial" w:hAnsi="Arial" w:cs="Arial"/>
          <w:sz w:val="24"/>
          <w:szCs w:val="24"/>
        </w:rPr>
        <w:t xml:space="preserve"> in respect of the outstanding balance of the purchase price. This response must have been fortified by the fact that the </w:t>
      </w:r>
      <w:r w:rsidR="002F7A49">
        <w:rPr>
          <w:rFonts w:ascii="Arial" w:hAnsi="Arial" w:cs="Arial"/>
          <w:sz w:val="24"/>
          <w:szCs w:val="24"/>
        </w:rPr>
        <w:t>Viviers</w:t>
      </w:r>
      <w:r w:rsidR="004A06F7">
        <w:rPr>
          <w:rFonts w:ascii="Arial" w:hAnsi="Arial" w:cs="Arial"/>
          <w:sz w:val="24"/>
          <w:szCs w:val="24"/>
        </w:rPr>
        <w:t xml:space="preserve"> did not indicate that the agreement had lapsed as far as he was concerned and that they had to vacate the property. He initially gave them 14 days to come up with the finances and did not respond to the request for a month extension or the letters indicating that they were further engaging FNB.</w:t>
      </w:r>
      <w:r w:rsidR="002F7A49">
        <w:rPr>
          <w:rFonts w:ascii="Arial" w:hAnsi="Arial" w:cs="Arial"/>
          <w:sz w:val="24"/>
          <w:szCs w:val="24"/>
        </w:rPr>
        <w:t xml:space="preserve"> It was </w:t>
      </w:r>
      <w:r w:rsidR="00790D31">
        <w:rPr>
          <w:rFonts w:ascii="Arial" w:hAnsi="Arial" w:cs="Arial"/>
          <w:sz w:val="24"/>
          <w:szCs w:val="24"/>
        </w:rPr>
        <w:t xml:space="preserve">after </w:t>
      </w:r>
      <w:r w:rsidR="002F7A49">
        <w:rPr>
          <w:rFonts w:ascii="Arial" w:hAnsi="Arial" w:cs="Arial"/>
          <w:sz w:val="24"/>
          <w:szCs w:val="24"/>
        </w:rPr>
        <w:t xml:space="preserve">all the outcome of </w:t>
      </w:r>
      <w:r w:rsidR="00790D31">
        <w:rPr>
          <w:rFonts w:ascii="Arial" w:hAnsi="Arial" w:cs="Arial"/>
          <w:sz w:val="24"/>
          <w:szCs w:val="24"/>
        </w:rPr>
        <w:t>their</w:t>
      </w:r>
      <w:r w:rsidR="002F7A49">
        <w:rPr>
          <w:rFonts w:ascii="Arial" w:hAnsi="Arial" w:cs="Arial"/>
          <w:sz w:val="24"/>
          <w:szCs w:val="24"/>
        </w:rPr>
        <w:t xml:space="preserve"> application to FNB that </w:t>
      </w:r>
      <w:r w:rsidR="00790D31">
        <w:rPr>
          <w:rFonts w:ascii="Arial" w:hAnsi="Arial" w:cs="Arial"/>
          <w:sz w:val="24"/>
          <w:szCs w:val="24"/>
        </w:rPr>
        <w:t xml:space="preserve">he </w:t>
      </w:r>
      <w:r w:rsidR="002F7A49">
        <w:rPr>
          <w:rFonts w:ascii="Arial" w:hAnsi="Arial" w:cs="Arial"/>
          <w:sz w:val="24"/>
          <w:szCs w:val="24"/>
        </w:rPr>
        <w:t xml:space="preserve">agreed to </w:t>
      </w:r>
      <w:r w:rsidR="00790D31">
        <w:rPr>
          <w:rFonts w:ascii="Arial" w:hAnsi="Arial" w:cs="Arial"/>
          <w:sz w:val="24"/>
          <w:szCs w:val="24"/>
        </w:rPr>
        <w:t>await. The reasonabl</w:t>
      </w:r>
      <w:r w:rsidR="00D17373">
        <w:rPr>
          <w:rFonts w:ascii="Arial" w:hAnsi="Arial" w:cs="Arial"/>
          <w:sz w:val="24"/>
          <w:szCs w:val="24"/>
        </w:rPr>
        <w:t>e</w:t>
      </w:r>
      <w:r w:rsidR="00790D31">
        <w:rPr>
          <w:rFonts w:ascii="Arial" w:hAnsi="Arial" w:cs="Arial"/>
          <w:sz w:val="24"/>
          <w:szCs w:val="24"/>
        </w:rPr>
        <w:t xml:space="preserve"> </w:t>
      </w:r>
      <w:r w:rsidR="005A4EC8">
        <w:rPr>
          <w:rFonts w:ascii="Arial" w:hAnsi="Arial" w:cs="Arial"/>
          <w:sz w:val="24"/>
          <w:szCs w:val="24"/>
        </w:rPr>
        <w:t>in</w:t>
      </w:r>
      <w:r w:rsidR="00790D31">
        <w:rPr>
          <w:rFonts w:ascii="Arial" w:hAnsi="Arial" w:cs="Arial"/>
          <w:sz w:val="24"/>
          <w:szCs w:val="24"/>
        </w:rPr>
        <w:t xml:space="preserve">ference arising from the conduct of Viviers was that as the respondents were still busy negotiating with FNB with regard to their </w:t>
      </w:r>
      <w:r w:rsidR="00790D31">
        <w:rPr>
          <w:rFonts w:ascii="Arial" w:hAnsi="Arial" w:cs="Arial"/>
          <w:sz w:val="24"/>
          <w:szCs w:val="24"/>
        </w:rPr>
        <w:lastRenderedPageBreak/>
        <w:t xml:space="preserve">application, Viviers was awaiting FNB’s final decision as he </w:t>
      </w:r>
      <w:r w:rsidR="00135806">
        <w:rPr>
          <w:rFonts w:ascii="Arial" w:hAnsi="Arial" w:cs="Arial"/>
          <w:sz w:val="24"/>
          <w:szCs w:val="24"/>
        </w:rPr>
        <w:t xml:space="preserve">earlier </w:t>
      </w:r>
      <w:r w:rsidR="00790D31">
        <w:rPr>
          <w:rFonts w:ascii="Arial" w:hAnsi="Arial" w:cs="Arial"/>
          <w:sz w:val="24"/>
          <w:szCs w:val="24"/>
        </w:rPr>
        <w:t>under</w:t>
      </w:r>
      <w:r w:rsidR="00D17373">
        <w:rPr>
          <w:rFonts w:ascii="Arial" w:hAnsi="Arial" w:cs="Arial"/>
          <w:sz w:val="24"/>
          <w:szCs w:val="24"/>
        </w:rPr>
        <w:t>took</w:t>
      </w:r>
      <w:r w:rsidR="00F61DE0">
        <w:rPr>
          <w:rFonts w:ascii="Arial" w:hAnsi="Arial" w:cs="Arial"/>
          <w:sz w:val="24"/>
          <w:szCs w:val="24"/>
        </w:rPr>
        <w:t xml:space="preserve"> to</w:t>
      </w:r>
      <w:r w:rsidR="00135806">
        <w:rPr>
          <w:rFonts w:ascii="Arial" w:hAnsi="Arial" w:cs="Arial"/>
          <w:sz w:val="24"/>
          <w:szCs w:val="24"/>
        </w:rPr>
        <w:t xml:space="preserve"> do</w:t>
      </w:r>
      <w:r w:rsidR="00D17373">
        <w:rPr>
          <w:rFonts w:ascii="Arial" w:hAnsi="Arial" w:cs="Arial"/>
          <w:sz w:val="24"/>
          <w:szCs w:val="24"/>
        </w:rPr>
        <w:t>. T</w:t>
      </w:r>
      <w:r w:rsidR="00790D31">
        <w:rPr>
          <w:rFonts w:ascii="Arial" w:hAnsi="Arial" w:cs="Arial"/>
          <w:sz w:val="24"/>
          <w:szCs w:val="24"/>
        </w:rPr>
        <w:t>his is why there was no communication from Viviers to the effect that he regarded the cont</w:t>
      </w:r>
      <w:r w:rsidR="00D17373">
        <w:rPr>
          <w:rFonts w:ascii="Arial" w:hAnsi="Arial" w:cs="Arial"/>
          <w:sz w:val="24"/>
          <w:szCs w:val="24"/>
        </w:rPr>
        <w:t>rac</w:t>
      </w:r>
      <w:r w:rsidR="00790D31">
        <w:rPr>
          <w:rFonts w:ascii="Arial" w:hAnsi="Arial" w:cs="Arial"/>
          <w:sz w:val="24"/>
          <w:szCs w:val="24"/>
        </w:rPr>
        <w:t xml:space="preserve">t as no longer </w:t>
      </w:r>
      <w:r w:rsidR="00D17373">
        <w:rPr>
          <w:rFonts w:ascii="Arial" w:hAnsi="Arial" w:cs="Arial"/>
          <w:sz w:val="24"/>
          <w:szCs w:val="24"/>
        </w:rPr>
        <w:t>in force</w:t>
      </w:r>
      <w:r w:rsidR="00790D31">
        <w:rPr>
          <w:rFonts w:ascii="Arial" w:hAnsi="Arial" w:cs="Arial"/>
          <w:sz w:val="24"/>
          <w:szCs w:val="24"/>
        </w:rPr>
        <w:t xml:space="preserve"> or putting the respondents on terms to vacate the property.</w:t>
      </w:r>
      <w:r w:rsidR="004A06F7">
        <w:rPr>
          <w:rFonts w:ascii="Arial" w:hAnsi="Arial" w:cs="Arial"/>
          <w:sz w:val="24"/>
          <w:szCs w:val="24"/>
        </w:rPr>
        <w:t xml:space="preserve"> </w:t>
      </w:r>
      <w:r w:rsidR="00EC5C96">
        <w:rPr>
          <w:rFonts w:ascii="Arial" w:hAnsi="Arial" w:cs="Arial"/>
          <w:sz w:val="24"/>
          <w:szCs w:val="24"/>
        </w:rPr>
        <w:t xml:space="preserve">That this </w:t>
      </w:r>
      <w:r w:rsidR="001C6CB4">
        <w:rPr>
          <w:rFonts w:ascii="Arial" w:hAnsi="Arial" w:cs="Arial"/>
          <w:sz w:val="24"/>
          <w:szCs w:val="24"/>
        </w:rPr>
        <w:t>in</w:t>
      </w:r>
      <w:r w:rsidR="00EC5C96">
        <w:rPr>
          <w:rFonts w:ascii="Arial" w:hAnsi="Arial" w:cs="Arial"/>
          <w:sz w:val="24"/>
          <w:szCs w:val="24"/>
        </w:rPr>
        <w:t>ference is the correct one was reinforced by Vivi</w:t>
      </w:r>
      <w:r w:rsidR="00657187">
        <w:rPr>
          <w:rFonts w:ascii="Arial" w:hAnsi="Arial" w:cs="Arial"/>
          <w:sz w:val="24"/>
          <w:szCs w:val="24"/>
        </w:rPr>
        <w:t>ers in his evidence when he conc</w:t>
      </w:r>
      <w:r w:rsidR="00EC5C96">
        <w:rPr>
          <w:rFonts w:ascii="Arial" w:hAnsi="Arial" w:cs="Arial"/>
          <w:sz w:val="24"/>
          <w:szCs w:val="24"/>
        </w:rPr>
        <w:t xml:space="preserve">eded that in his mind the agreement ‘was </w:t>
      </w:r>
      <w:r w:rsidR="00D17373">
        <w:rPr>
          <w:rFonts w:ascii="Arial" w:hAnsi="Arial" w:cs="Arial"/>
          <w:sz w:val="24"/>
          <w:szCs w:val="24"/>
        </w:rPr>
        <w:t>s</w:t>
      </w:r>
      <w:r w:rsidR="00EC5C96">
        <w:rPr>
          <w:rFonts w:ascii="Arial" w:hAnsi="Arial" w:cs="Arial"/>
          <w:sz w:val="24"/>
          <w:szCs w:val="24"/>
        </w:rPr>
        <w:t>till there’ when the letter of 18 June 201</w:t>
      </w:r>
      <w:r w:rsidR="005A4EC8">
        <w:rPr>
          <w:rFonts w:ascii="Arial" w:hAnsi="Arial" w:cs="Arial"/>
          <w:sz w:val="24"/>
          <w:szCs w:val="24"/>
        </w:rPr>
        <w:t>0</w:t>
      </w:r>
      <w:r w:rsidR="00EC5C96">
        <w:rPr>
          <w:rFonts w:ascii="Arial" w:hAnsi="Arial" w:cs="Arial"/>
          <w:sz w:val="24"/>
          <w:szCs w:val="24"/>
        </w:rPr>
        <w:t xml:space="preserve"> was sent and that he </w:t>
      </w:r>
      <w:r w:rsidR="00135806">
        <w:rPr>
          <w:rFonts w:ascii="Arial" w:hAnsi="Arial" w:cs="Arial"/>
          <w:sz w:val="24"/>
          <w:szCs w:val="24"/>
        </w:rPr>
        <w:t>wanted</w:t>
      </w:r>
      <w:r w:rsidR="00EC5C96">
        <w:rPr>
          <w:rFonts w:ascii="Arial" w:hAnsi="Arial" w:cs="Arial"/>
          <w:sz w:val="24"/>
          <w:szCs w:val="24"/>
        </w:rPr>
        <w:t xml:space="preserve"> </w:t>
      </w:r>
      <w:r w:rsidR="00344F44">
        <w:rPr>
          <w:rFonts w:ascii="Arial" w:hAnsi="Arial" w:cs="Arial"/>
          <w:sz w:val="24"/>
          <w:szCs w:val="24"/>
        </w:rPr>
        <w:t xml:space="preserve">to see the written proof that the conditions had been fulfilled as the ‘agreement was still active’ </w:t>
      </w:r>
      <w:r w:rsidR="001C6CB4">
        <w:rPr>
          <w:rFonts w:ascii="Arial" w:hAnsi="Arial" w:cs="Arial"/>
          <w:sz w:val="24"/>
          <w:szCs w:val="24"/>
        </w:rPr>
        <w:t>on</w:t>
      </w:r>
      <w:r w:rsidR="00344F44">
        <w:rPr>
          <w:rFonts w:ascii="Arial" w:hAnsi="Arial" w:cs="Arial"/>
          <w:sz w:val="24"/>
          <w:szCs w:val="24"/>
        </w:rPr>
        <w:t xml:space="preserve"> that date. </w:t>
      </w:r>
      <w:r w:rsidR="004A06F7">
        <w:rPr>
          <w:rFonts w:ascii="Arial" w:hAnsi="Arial" w:cs="Arial"/>
          <w:sz w:val="24"/>
          <w:szCs w:val="24"/>
        </w:rPr>
        <w:t xml:space="preserve">The </w:t>
      </w:r>
      <w:r w:rsidR="002F7A49">
        <w:rPr>
          <w:rFonts w:ascii="Arial" w:hAnsi="Arial" w:cs="Arial"/>
          <w:sz w:val="24"/>
          <w:szCs w:val="24"/>
        </w:rPr>
        <w:t>f</w:t>
      </w:r>
      <w:r w:rsidR="00790D31">
        <w:rPr>
          <w:rFonts w:ascii="Arial" w:hAnsi="Arial" w:cs="Arial"/>
          <w:sz w:val="24"/>
          <w:szCs w:val="24"/>
        </w:rPr>
        <w:t>ir</w:t>
      </w:r>
      <w:r w:rsidR="002F7A49">
        <w:rPr>
          <w:rFonts w:ascii="Arial" w:hAnsi="Arial" w:cs="Arial"/>
          <w:sz w:val="24"/>
          <w:szCs w:val="24"/>
        </w:rPr>
        <w:t>st</w:t>
      </w:r>
      <w:r w:rsidR="004A06F7">
        <w:rPr>
          <w:rFonts w:ascii="Arial" w:hAnsi="Arial" w:cs="Arial"/>
          <w:sz w:val="24"/>
          <w:szCs w:val="24"/>
        </w:rPr>
        <w:t xml:space="preserve"> communication they receive</w:t>
      </w:r>
      <w:r w:rsidR="00D17373">
        <w:rPr>
          <w:rFonts w:ascii="Arial" w:hAnsi="Arial" w:cs="Arial"/>
          <w:sz w:val="24"/>
          <w:szCs w:val="24"/>
        </w:rPr>
        <w:t>d</w:t>
      </w:r>
      <w:r w:rsidR="004A06F7">
        <w:rPr>
          <w:rFonts w:ascii="Arial" w:hAnsi="Arial" w:cs="Arial"/>
          <w:sz w:val="24"/>
          <w:szCs w:val="24"/>
        </w:rPr>
        <w:t xml:space="preserve"> </w:t>
      </w:r>
      <w:r w:rsidR="00135806">
        <w:rPr>
          <w:rFonts w:ascii="Arial" w:hAnsi="Arial" w:cs="Arial"/>
          <w:sz w:val="24"/>
          <w:szCs w:val="24"/>
        </w:rPr>
        <w:t xml:space="preserve">from Viviers subsequent to the letter from his lawyer of 14 April 2010 </w:t>
      </w:r>
      <w:r w:rsidR="004A06F7">
        <w:rPr>
          <w:rFonts w:ascii="Arial" w:hAnsi="Arial" w:cs="Arial"/>
          <w:sz w:val="24"/>
          <w:szCs w:val="24"/>
        </w:rPr>
        <w:t xml:space="preserve">is </w:t>
      </w:r>
      <w:r w:rsidR="00135806">
        <w:rPr>
          <w:rFonts w:ascii="Arial" w:hAnsi="Arial" w:cs="Arial"/>
          <w:sz w:val="24"/>
          <w:szCs w:val="24"/>
        </w:rPr>
        <w:t>the</w:t>
      </w:r>
      <w:r w:rsidR="004A06F7">
        <w:rPr>
          <w:rFonts w:ascii="Arial" w:hAnsi="Arial" w:cs="Arial"/>
          <w:sz w:val="24"/>
          <w:szCs w:val="24"/>
        </w:rPr>
        <w:t xml:space="preserve"> letter of 18 June</w:t>
      </w:r>
      <w:r w:rsidR="002F7A49">
        <w:rPr>
          <w:rFonts w:ascii="Arial" w:hAnsi="Arial" w:cs="Arial"/>
          <w:sz w:val="24"/>
          <w:szCs w:val="24"/>
        </w:rPr>
        <w:t xml:space="preserve"> 2010</w:t>
      </w:r>
      <w:r w:rsidR="004A06F7">
        <w:rPr>
          <w:rFonts w:ascii="Arial" w:hAnsi="Arial" w:cs="Arial"/>
          <w:sz w:val="24"/>
          <w:szCs w:val="24"/>
        </w:rPr>
        <w:t xml:space="preserve"> indicating that they must provide proof that they have the finance</w:t>
      </w:r>
      <w:r w:rsidR="002F7A49">
        <w:rPr>
          <w:rFonts w:ascii="Arial" w:hAnsi="Arial" w:cs="Arial"/>
          <w:sz w:val="24"/>
          <w:szCs w:val="24"/>
        </w:rPr>
        <w:t>s</w:t>
      </w:r>
      <w:r w:rsidR="004A06F7">
        <w:rPr>
          <w:rFonts w:ascii="Arial" w:hAnsi="Arial" w:cs="Arial"/>
          <w:sz w:val="24"/>
          <w:szCs w:val="24"/>
        </w:rPr>
        <w:t xml:space="preserve"> in place on that date otherwise he would regard the agreement as having lapsed. </w:t>
      </w:r>
      <w:r w:rsidR="00135806">
        <w:rPr>
          <w:rFonts w:ascii="Arial" w:hAnsi="Arial" w:cs="Arial"/>
          <w:sz w:val="24"/>
          <w:szCs w:val="24"/>
        </w:rPr>
        <w:t xml:space="preserve">He did not act on the 14 day period stipulated in the letter of </w:t>
      </w:r>
      <w:r w:rsidR="00157AA8">
        <w:rPr>
          <w:rFonts w:ascii="Arial" w:hAnsi="Arial" w:cs="Arial"/>
          <w:sz w:val="24"/>
          <w:szCs w:val="24"/>
        </w:rPr>
        <w:t>14 April 2010 nor did he react to the letters on behalf of the respondent’s keeping him up to date with the process of FNB. He had tac</w:t>
      </w:r>
      <w:r w:rsidR="00DD7844">
        <w:rPr>
          <w:rFonts w:ascii="Arial" w:hAnsi="Arial" w:cs="Arial"/>
          <w:sz w:val="24"/>
          <w:szCs w:val="24"/>
        </w:rPr>
        <w:t>i</w:t>
      </w:r>
      <w:r w:rsidR="00157AA8">
        <w:rPr>
          <w:rFonts w:ascii="Arial" w:hAnsi="Arial" w:cs="Arial"/>
          <w:sz w:val="24"/>
          <w:szCs w:val="24"/>
        </w:rPr>
        <w:t>t</w:t>
      </w:r>
      <w:r w:rsidR="00DD7844">
        <w:rPr>
          <w:rFonts w:ascii="Arial" w:hAnsi="Arial" w:cs="Arial"/>
          <w:sz w:val="24"/>
          <w:szCs w:val="24"/>
        </w:rPr>
        <w:t>l</w:t>
      </w:r>
      <w:r w:rsidR="00157AA8">
        <w:rPr>
          <w:rFonts w:ascii="Arial" w:hAnsi="Arial" w:cs="Arial"/>
          <w:sz w:val="24"/>
          <w:szCs w:val="24"/>
        </w:rPr>
        <w:t>y extended the 14 days granted in the 14 April 2010 letter and it was on the letter of 14 June 2010 that he determined a final deadline.</w:t>
      </w:r>
    </w:p>
    <w:p w:rsidR="004A06F7" w:rsidRDefault="004A06F7" w:rsidP="004A06F7">
      <w:pPr>
        <w:pStyle w:val="ListParagraph"/>
        <w:rPr>
          <w:rFonts w:ascii="Arial" w:hAnsi="Arial" w:cs="Arial"/>
          <w:sz w:val="24"/>
          <w:szCs w:val="24"/>
        </w:rPr>
      </w:pPr>
    </w:p>
    <w:p w:rsidR="008C497D" w:rsidRPr="002F7A49" w:rsidRDefault="004A06F7" w:rsidP="002F7A4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letter</w:t>
      </w:r>
      <w:r w:rsidR="002F7A49">
        <w:rPr>
          <w:rFonts w:ascii="Arial" w:hAnsi="Arial" w:cs="Arial"/>
          <w:sz w:val="24"/>
          <w:szCs w:val="24"/>
        </w:rPr>
        <w:t xml:space="preserve"> of 18 June 2010</w:t>
      </w:r>
      <w:r>
        <w:rPr>
          <w:rFonts w:ascii="Arial" w:hAnsi="Arial" w:cs="Arial"/>
          <w:sz w:val="24"/>
          <w:szCs w:val="24"/>
        </w:rPr>
        <w:t xml:space="preserve"> is clear in my view. </w:t>
      </w:r>
      <w:r w:rsidR="002F7A49">
        <w:rPr>
          <w:rFonts w:ascii="Arial" w:hAnsi="Arial" w:cs="Arial"/>
          <w:sz w:val="24"/>
          <w:szCs w:val="24"/>
        </w:rPr>
        <w:t xml:space="preserve">It expressly </w:t>
      </w:r>
      <w:r>
        <w:rPr>
          <w:rFonts w:ascii="Arial" w:hAnsi="Arial" w:cs="Arial"/>
          <w:sz w:val="24"/>
          <w:szCs w:val="24"/>
        </w:rPr>
        <w:t xml:space="preserve">states that if the necessary finances is not in place as at date thereof Viviers would regard the agreement as having lapsed due to non-fulfilment of </w:t>
      </w:r>
      <w:r w:rsidR="006A1640">
        <w:rPr>
          <w:rFonts w:ascii="Arial" w:hAnsi="Arial" w:cs="Arial"/>
          <w:sz w:val="24"/>
          <w:szCs w:val="24"/>
        </w:rPr>
        <w:t xml:space="preserve">the suspensive condition. </w:t>
      </w:r>
      <w:r w:rsidR="00DD7844">
        <w:rPr>
          <w:rFonts w:ascii="Arial" w:hAnsi="Arial" w:cs="Arial"/>
          <w:sz w:val="24"/>
          <w:szCs w:val="24"/>
        </w:rPr>
        <w:t xml:space="preserve">By clear implication he did not regard it as having lapsed prior to this date. </w:t>
      </w:r>
      <w:r w:rsidR="006A1640">
        <w:rPr>
          <w:rFonts w:ascii="Arial" w:hAnsi="Arial" w:cs="Arial"/>
          <w:sz w:val="24"/>
          <w:szCs w:val="24"/>
        </w:rPr>
        <w:t xml:space="preserve">Thus proof is sought that the conditions ‘have been met as at date hereof’ and if this could not be done </w:t>
      </w:r>
      <w:r w:rsidR="002F7A49">
        <w:rPr>
          <w:rFonts w:ascii="Arial" w:hAnsi="Arial" w:cs="Arial"/>
          <w:sz w:val="24"/>
          <w:szCs w:val="24"/>
        </w:rPr>
        <w:t>‘</w:t>
      </w:r>
      <w:r w:rsidR="006A1640">
        <w:rPr>
          <w:rFonts w:ascii="Arial" w:hAnsi="Arial" w:cs="Arial"/>
          <w:sz w:val="24"/>
          <w:szCs w:val="24"/>
        </w:rPr>
        <w:t xml:space="preserve">the agreement has lapsed </w:t>
      </w:r>
      <w:r w:rsidR="002F7A49">
        <w:rPr>
          <w:rFonts w:ascii="Arial" w:hAnsi="Arial" w:cs="Arial"/>
          <w:sz w:val="24"/>
          <w:szCs w:val="24"/>
        </w:rPr>
        <w:t xml:space="preserve">and </w:t>
      </w:r>
      <w:r w:rsidR="006A1640">
        <w:rPr>
          <w:rFonts w:ascii="Arial" w:hAnsi="Arial" w:cs="Arial"/>
          <w:sz w:val="24"/>
          <w:szCs w:val="24"/>
        </w:rPr>
        <w:t>is no longer of any force and effect . . .</w:t>
      </w:r>
      <w:r w:rsidR="002F7A49">
        <w:rPr>
          <w:rFonts w:ascii="Arial" w:hAnsi="Arial" w:cs="Arial"/>
          <w:sz w:val="24"/>
          <w:szCs w:val="24"/>
        </w:rPr>
        <w:t>’</w:t>
      </w:r>
      <w:r w:rsidR="00790D31">
        <w:rPr>
          <w:rFonts w:ascii="Arial" w:hAnsi="Arial" w:cs="Arial"/>
          <w:sz w:val="24"/>
          <w:szCs w:val="24"/>
        </w:rPr>
        <w:t xml:space="preserve"> </w:t>
      </w:r>
      <w:r w:rsidR="006A1640">
        <w:rPr>
          <w:rFonts w:ascii="Arial" w:hAnsi="Arial" w:cs="Arial"/>
          <w:sz w:val="24"/>
          <w:szCs w:val="24"/>
        </w:rPr>
        <w:t xml:space="preserve"> In short the respondent</w:t>
      </w:r>
      <w:r w:rsidR="00790D31">
        <w:rPr>
          <w:rFonts w:ascii="Arial" w:hAnsi="Arial" w:cs="Arial"/>
          <w:sz w:val="24"/>
          <w:szCs w:val="24"/>
        </w:rPr>
        <w:t>s</w:t>
      </w:r>
      <w:r w:rsidR="006A1640">
        <w:rPr>
          <w:rFonts w:ascii="Arial" w:hAnsi="Arial" w:cs="Arial"/>
          <w:sz w:val="24"/>
          <w:szCs w:val="24"/>
        </w:rPr>
        <w:t xml:space="preserve"> sought extension of time to comply with the condition which was granted up to 18 June 2010.</w:t>
      </w:r>
      <w:r w:rsidR="002F7A49">
        <w:rPr>
          <w:rFonts w:ascii="Arial" w:hAnsi="Arial" w:cs="Arial"/>
          <w:sz w:val="24"/>
          <w:szCs w:val="24"/>
        </w:rPr>
        <w:t xml:space="preserve"> </w:t>
      </w:r>
      <w:r w:rsidR="00494A59" w:rsidRPr="002F7A49">
        <w:rPr>
          <w:rFonts w:ascii="Arial" w:hAnsi="Arial" w:cs="Arial"/>
          <w:sz w:val="24"/>
          <w:szCs w:val="24"/>
        </w:rPr>
        <w:t>The respondent</w:t>
      </w:r>
      <w:r w:rsidR="002F7A49">
        <w:rPr>
          <w:rFonts w:ascii="Arial" w:hAnsi="Arial" w:cs="Arial"/>
          <w:sz w:val="24"/>
          <w:szCs w:val="24"/>
        </w:rPr>
        <w:t>s</w:t>
      </w:r>
      <w:r w:rsidR="00494A59" w:rsidRPr="002F7A49">
        <w:rPr>
          <w:rFonts w:ascii="Arial" w:hAnsi="Arial" w:cs="Arial"/>
          <w:sz w:val="24"/>
          <w:szCs w:val="24"/>
        </w:rPr>
        <w:t xml:space="preserve"> managed to</w:t>
      </w:r>
      <w:r w:rsidR="002F7A49">
        <w:rPr>
          <w:rFonts w:ascii="Arial" w:hAnsi="Arial" w:cs="Arial"/>
          <w:sz w:val="24"/>
          <w:szCs w:val="24"/>
        </w:rPr>
        <w:t xml:space="preserve"> raise the</w:t>
      </w:r>
      <w:r w:rsidR="00494A59" w:rsidRPr="002F7A49">
        <w:rPr>
          <w:rFonts w:ascii="Arial" w:hAnsi="Arial" w:cs="Arial"/>
          <w:sz w:val="24"/>
          <w:szCs w:val="24"/>
        </w:rPr>
        <w:t xml:space="preserve"> necessary finance</w:t>
      </w:r>
      <w:r w:rsidR="002F7A49">
        <w:rPr>
          <w:rFonts w:ascii="Arial" w:hAnsi="Arial" w:cs="Arial"/>
          <w:sz w:val="24"/>
          <w:szCs w:val="24"/>
        </w:rPr>
        <w:t>s</w:t>
      </w:r>
      <w:r w:rsidR="00494A59" w:rsidRPr="002F7A49">
        <w:rPr>
          <w:rFonts w:ascii="Arial" w:hAnsi="Arial" w:cs="Arial"/>
          <w:sz w:val="24"/>
          <w:szCs w:val="24"/>
        </w:rPr>
        <w:t xml:space="preserve"> </w:t>
      </w:r>
      <w:r w:rsidR="002F7A49">
        <w:rPr>
          <w:rFonts w:ascii="Arial" w:hAnsi="Arial" w:cs="Arial"/>
          <w:sz w:val="24"/>
          <w:szCs w:val="24"/>
        </w:rPr>
        <w:t>prior to</w:t>
      </w:r>
      <w:r w:rsidR="00494A59" w:rsidRPr="002F7A49">
        <w:rPr>
          <w:rFonts w:ascii="Arial" w:hAnsi="Arial" w:cs="Arial"/>
          <w:sz w:val="24"/>
          <w:szCs w:val="24"/>
        </w:rPr>
        <w:t xml:space="preserve"> this deadline namely on 14 June 201</w:t>
      </w:r>
      <w:r w:rsidR="005A4EC8">
        <w:rPr>
          <w:rFonts w:ascii="Arial" w:hAnsi="Arial" w:cs="Arial"/>
          <w:sz w:val="24"/>
          <w:szCs w:val="24"/>
        </w:rPr>
        <w:t>0</w:t>
      </w:r>
      <w:r w:rsidR="00494A59" w:rsidRPr="002F7A49">
        <w:rPr>
          <w:rFonts w:ascii="Arial" w:hAnsi="Arial" w:cs="Arial"/>
          <w:sz w:val="24"/>
          <w:szCs w:val="24"/>
        </w:rPr>
        <w:t xml:space="preserve">. The contract therefore did </w:t>
      </w:r>
      <w:r w:rsidR="00494A59" w:rsidRPr="002F7A49">
        <w:rPr>
          <w:rFonts w:ascii="Arial" w:hAnsi="Arial" w:cs="Arial"/>
          <w:sz w:val="24"/>
          <w:szCs w:val="24"/>
        </w:rPr>
        <w:lastRenderedPageBreak/>
        <w:t>not lapse as the condition was fulfilled timeously. The court a quo thus correctly found in favour of the respondents</w:t>
      </w:r>
      <w:r w:rsidR="002F7A49">
        <w:rPr>
          <w:rFonts w:ascii="Arial" w:hAnsi="Arial" w:cs="Arial"/>
          <w:sz w:val="24"/>
          <w:szCs w:val="24"/>
        </w:rPr>
        <w:t xml:space="preserve"> in this regard</w:t>
      </w:r>
      <w:r w:rsidR="00494A59" w:rsidRPr="002F7A49">
        <w:rPr>
          <w:rFonts w:ascii="Arial" w:hAnsi="Arial" w:cs="Arial"/>
          <w:sz w:val="24"/>
          <w:szCs w:val="24"/>
        </w:rPr>
        <w:t>.</w:t>
      </w:r>
    </w:p>
    <w:p w:rsidR="00494A59" w:rsidRDefault="00494A59" w:rsidP="00494A59">
      <w:pPr>
        <w:pStyle w:val="ListParagraph"/>
        <w:rPr>
          <w:rFonts w:ascii="Arial" w:hAnsi="Arial" w:cs="Arial"/>
          <w:sz w:val="24"/>
          <w:szCs w:val="24"/>
        </w:rPr>
      </w:pPr>
    </w:p>
    <w:p w:rsidR="00494A59" w:rsidRDefault="00494A59"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thus follows that the appeal against the judgment of the court </w:t>
      </w:r>
      <w:r w:rsidR="00D17373" w:rsidRPr="00D17373">
        <w:rPr>
          <w:rFonts w:ascii="Arial" w:hAnsi="Arial" w:cs="Arial"/>
          <w:i/>
          <w:sz w:val="24"/>
          <w:szCs w:val="24"/>
        </w:rPr>
        <w:t>a quo</w:t>
      </w:r>
      <w:r w:rsidR="00D17373">
        <w:rPr>
          <w:rFonts w:ascii="Arial" w:hAnsi="Arial" w:cs="Arial"/>
          <w:sz w:val="24"/>
          <w:szCs w:val="24"/>
        </w:rPr>
        <w:t xml:space="preserve"> relating to the fulfilment of the suspensive condition</w:t>
      </w:r>
      <w:r>
        <w:rPr>
          <w:rFonts w:ascii="Arial" w:hAnsi="Arial" w:cs="Arial"/>
          <w:sz w:val="24"/>
          <w:szCs w:val="24"/>
        </w:rPr>
        <w:t xml:space="preserve"> cannot be sustained. As the enrichment claim was premised on the agreement having lapsed nothing more needs to be stated in this regard.</w:t>
      </w:r>
    </w:p>
    <w:p w:rsidR="00D17373" w:rsidRDefault="00D17373" w:rsidP="00D17373">
      <w:pPr>
        <w:pStyle w:val="NoSpacing"/>
        <w:spacing w:line="480" w:lineRule="auto"/>
        <w:jc w:val="both"/>
        <w:rPr>
          <w:rFonts w:ascii="Arial" w:hAnsi="Arial" w:cs="Arial"/>
          <w:sz w:val="24"/>
          <w:szCs w:val="24"/>
        </w:rPr>
      </w:pPr>
    </w:p>
    <w:p w:rsidR="00494A59" w:rsidRPr="001C09DB" w:rsidRDefault="001C09DB" w:rsidP="001C09DB">
      <w:pPr>
        <w:pStyle w:val="ListParagraph"/>
        <w:numPr>
          <w:ilvl w:val="0"/>
          <w:numId w:val="10"/>
        </w:numPr>
        <w:ind w:hanging="720"/>
        <w:rPr>
          <w:rFonts w:ascii="Arial" w:hAnsi="Arial" w:cs="Arial"/>
          <w:sz w:val="24"/>
          <w:szCs w:val="24"/>
          <w:u w:val="single"/>
        </w:rPr>
      </w:pPr>
      <w:r w:rsidRPr="001C09DB">
        <w:rPr>
          <w:rFonts w:ascii="Arial" w:hAnsi="Arial" w:cs="Arial"/>
          <w:sz w:val="24"/>
          <w:szCs w:val="24"/>
          <w:u w:val="single"/>
        </w:rPr>
        <w:t>Occupational interest</w:t>
      </w:r>
    </w:p>
    <w:p w:rsidR="00494A59" w:rsidRDefault="00494A59"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There is one last aspect that needs to be dealt with, namely the occupational interest payable</w:t>
      </w:r>
      <w:r w:rsidR="005A4EC8">
        <w:rPr>
          <w:rFonts w:ascii="Arial" w:hAnsi="Arial" w:cs="Arial"/>
          <w:sz w:val="24"/>
          <w:szCs w:val="24"/>
        </w:rPr>
        <w:t xml:space="preserve"> to Viviers</w:t>
      </w:r>
      <w:r>
        <w:rPr>
          <w:rFonts w:ascii="Arial" w:hAnsi="Arial" w:cs="Arial"/>
          <w:sz w:val="24"/>
          <w:szCs w:val="24"/>
        </w:rPr>
        <w:t xml:space="preserve"> pending the transfer of the property to </w:t>
      </w:r>
      <w:r w:rsidR="005A4EC8">
        <w:rPr>
          <w:rFonts w:ascii="Arial" w:hAnsi="Arial" w:cs="Arial"/>
          <w:sz w:val="24"/>
          <w:szCs w:val="24"/>
        </w:rPr>
        <w:t>the respondents</w:t>
      </w:r>
      <w:r>
        <w:rPr>
          <w:rFonts w:ascii="Arial" w:hAnsi="Arial" w:cs="Arial"/>
          <w:sz w:val="24"/>
          <w:szCs w:val="24"/>
        </w:rPr>
        <w:t xml:space="preserve">. As mentioned above there </w:t>
      </w:r>
      <w:r w:rsidR="00125775">
        <w:rPr>
          <w:rFonts w:ascii="Arial" w:hAnsi="Arial" w:cs="Arial"/>
          <w:sz w:val="24"/>
          <w:szCs w:val="24"/>
        </w:rPr>
        <w:t xml:space="preserve">is a dispute whether it </w:t>
      </w:r>
      <w:r w:rsidR="002F7A49">
        <w:rPr>
          <w:rFonts w:ascii="Arial" w:hAnsi="Arial" w:cs="Arial"/>
          <w:sz w:val="24"/>
          <w:szCs w:val="24"/>
        </w:rPr>
        <w:t>w</w:t>
      </w:r>
      <w:r w:rsidR="00125775">
        <w:rPr>
          <w:rFonts w:ascii="Arial" w:hAnsi="Arial" w:cs="Arial"/>
          <w:sz w:val="24"/>
          <w:szCs w:val="24"/>
        </w:rPr>
        <w:t>as by agreement increased</w:t>
      </w:r>
      <w:r>
        <w:rPr>
          <w:rFonts w:ascii="Arial" w:hAnsi="Arial" w:cs="Arial"/>
          <w:sz w:val="24"/>
          <w:szCs w:val="24"/>
        </w:rPr>
        <w:t xml:space="preserve"> </w:t>
      </w:r>
      <w:r w:rsidR="00125775">
        <w:rPr>
          <w:rFonts w:ascii="Arial" w:hAnsi="Arial" w:cs="Arial"/>
          <w:sz w:val="24"/>
          <w:szCs w:val="24"/>
        </w:rPr>
        <w:t xml:space="preserve">from N$10 000 to N$20 850 per month. First respondent maintained that he voluntarily increased it to this amount and that the amount in excess of the stipulated N$10 000 per month would be regarded as payment in respect of the outstanding capital. On his own version he stopped paying this </w:t>
      </w:r>
      <w:r w:rsidR="001C09DB">
        <w:rPr>
          <w:rFonts w:ascii="Arial" w:hAnsi="Arial" w:cs="Arial"/>
          <w:sz w:val="24"/>
          <w:szCs w:val="24"/>
        </w:rPr>
        <w:t xml:space="preserve">increased </w:t>
      </w:r>
      <w:r w:rsidR="00125775">
        <w:rPr>
          <w:rFonts w:ascii="Arial" w:hAnsi="Arial" w:cs="Arial"/>
          <w:sz w:val="24"/>
          <w:szCs w:val="24"/>
        </w:rPr>
        <w:t>amount as from January 2010. Viviers maintained that the amount was agreed upon when it became obvious that the financing would not be forthcoming within the period initially envisaged. This high</w:t>
      </w:r>
      <w:r w:rsidR="002F7A49">
        <w:rPr>
          <w:rFonts w:ascii="Arial" w:hAnsi="Arial" w:cs="Arial"/>
          <w:sz w:val="24"/>
          <w:szCs w:val="24"/>
        </w:rPr>
        <w:t>er</w:t>
      </w:r>
      <w:r w:rsidR="00125775">
        <w:rPr>
          <w:rFonts w:ascii="Arial" w:hAnsi="Arial" w:cs="Arial"/>
          <w:sz w:val="24"/>
          <w:szCs w:val="24"/>
        </w:rPr>
        <w:t xml:space="preserve"> amount was calculated on the basis of what the monthly costs of N$1,7 million finance from the bank would </w:t>
      </w:r>
      <w:r w:rsidR="002F7A49">
        <w:rPr>
          <w:rFonts w:ascii="Arial" w:hAnsi="Arial" w:cs="Arial"/>
          <w:sz w:val="24"/>
          <w:szCs w:val="24"/>
        </w:rPr>
        <w:t>be</w:t>
      </w:r>
      <w:r w:rsidR="00125775">
        <w:rPr>
          <w:rFonts w:ascii="Arial" w:hAnsi="Arial" w:cs="Arial"/>
          <w:sz w:val="24"/>
          <w:szCs w:val="24"/>
        </w:rPr>
        <w:t>. In other words, what the respondents’ monthly instalment would have been to the bank had the finance</w:t>
      </w:r>
      <w:r w:rsidR="00F531DF">
        <w:rPr>
          <w:rFonts w:ascii="Arial" w:hAnsi="Arial" w:cs="Arial"/>
          <w:sz w:val="24"/>
          <w:szCs w:val="24"/>
        </w:rPr>
        <w:t>s</w:t>
      </w:r>
      <w:r w:rsidR="00125775">
        <w:rPr>
          <w:rFonts w:ascii="Arial" w:hAnsi="Arial" w:cs="Arial"/>
          <w:sz w:val="24"/>
          <w:szCs w:val="24"/>
        </w:rPr>
        <w:t xml:space="preserve"> been raised from the bank. In fact, on the evidence of the fir</w:t>
      </w:r>
      <w:r w:rsidR="002F7A49">
        <w:rPr>
          <w:rFonts w:ascii="Arial" w:hAnsi="Arial" w:cs="Arial"/>
          <w:sz w:val="24"/>
          <w:szCs w:val="24"/>
        </w:rPr>
        <w:t xml:space="preserve">st respondent, he </w:t>
      </w:r>
      <w:r w:rsidR="00125775">
        <w:rPr>
          <w:rFonts w:ascii="Arial" w:hAnsi="Arial" w:cs="Arial"/>
          <w:sz w:val="24"/>
          <w:szCs w:val="24"/>
        </w:rPr>
        <w:t>did this calculation. It i</w:t>
      </w:r>
      <w:r w:rsidR="00F531DF">
        <w:rPr>
          <w:rFonts w:ascii="Arial" w:hAnsi="Arial" w:cs="Arial"/>
          <w:sz w:val="24"/>
          <w:szCs w:val="24"/>
        </w:rPr>
        <w:t>s also clear from the evidence of first respondent that it was to this amount that was referred to in the email of 8 April 2010 when he admitted that ‘I owe you lots and lots of money . . .’</w:t>
      </w:r>
      <w:r w:rsidR="002F7A49">
        <w:rPr>
          <w:rFonts w:ascii="Arial" w:hAnsi="Arial" w:cs="Arial"/>
          <w:sz w:val="24"/>
          <w:szCs w:val="24"/>
        </w:rPr>
        <w:t xml:space="preserve"> and that the proposal </w:t>
      </w:r>
      <w:r w:rsidR="00790D31">
        <w:rPr>
          <w:rFonts w:ascii="Arial" w:hAnsi="Arial" w:cs="Arial"/>
          <w:sz w:val="24"/>
          <w:szCs w:val="24"/>
        </w:rPr>
        <w:t xml:space="preserve">he </w:t>
      </w:r>
      <w:r w:rsidR="002F7A49">
        <w:rPr>
          <w:rFonts w:ascii="Arial" w:hAnsi="Arial" w:cs="Arial"/>
          <w:sz w:val="24"/>
          <w:szCs w:val="24"/>
        </w:rPr>
        <w:t xml:space="preserve">was </w:t>
      </w:r>
      <w:r w:rsidR="00790D31">
        <w:rPr>
          <w:rFonts w:ascii="Arial" w:hAnsi="Arial" w:cs="Arial"/>
          <w:sz w:val="24"/>
          <w:szCs w:val="24"/>
        </w:rPr>
        <w:t xml:space="preserve">working on at the </w:t>
      </w:r>
      <w:r w:rsidR="002F7A49">
        <w:rPr>
          <w:rFonts w:ascii="Arial" w:hAnsi="Arial" w:cs="Arial"/>
          <w:sz w:val="24"/>
          <w:szCs w:val="24"/>
        </w:rPr>
        <w:t xml:space="preserve">time would help him ‘to bring some of the </w:t>
      </w:r>
      <w:r w:rsidR="001C09DB">
        <w:rPr>
          <w:rFonts w:ascii="Arial" w:hAnsi="Arial" w:cs="Arial"/>
          <w:sz w:val="24"/>
          <w:szCs w:val="24"/>
        </w:rPr>
        <w:t>arrear</w:t>
      </w:r>
      <w:r w:rsidR="002F7A49">
        <w:rPr>
          <w:rFonts w:ascii="Arial" w:hAnsi="Arial" w:cs="Arial"/>
          <w:sz w:val="24"/>
          <w:szCs w:val="24"/>
        </w:rPr>
        <w:t xml:space="preserve"> amounts up to date.’</w:t>
      </w:r>
    </w:p>
    <w:p w:rsidR="00F531DF" w:rsidRDefault="00F531DF" w:rsidP="00F531DF">
      <w:pPr>
        <w:pStyle w:val="NoSpacing"/>
        <w:spacing w:line="480" w:lineRule="auto"/>
        <w:jc w:val="both"/>
        <w:rPr>
          <w:rFonts w:ascii="Arial" w:hAnsi="Arial" w:cs="Arial"/>
          <w:sz w:val="24"/>
          <w:szCs w:val="24"/>
        </w:rPr>
      </w:pPr>
    </w:p>
    <w:p w:rsidR="00F531DF" w:rsidRDefault="00F531DF"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my view the probabilities favour the version of Viviers in this regard. It is improbable that he would wait for the balance of the purchase price for such a long period without seeking any market related interest. The property’s value would appreciate whereas the value of the debt owing to him </w:t>
      </w:r>
      <w:r w:rsidR="00F7644F">
        <w:rPr>
          <w:rFonts w:ascii="Arial" w:hAnsi="Arial" w:cs="Arial"/>
          <w:sz w:val="24"/>
          <w:szCs w:val="24"/>
        </w:rPr>
        <w:t xml:space="preserve">would depreciate (in buying power). The adjusted amount would be more in line </w:t>
      </w:r>
      <w:r w:rsidR="00755A20">
        <w:rPr>
          <w:rFonts w:ascii="Arial" w:hAnsi="Arial" w:cs="Arial"/>
          <w:sz w:val="24"/>
          <w:szCs w:val="24"/>
        </w:rPr>
        <w:t xml:space="preserve">with the market </w:t>
      </w:r>
      <w:r w:rsidR="00790D31">
        <w:rPr>
          <w:rFonts w:ascii="Arial" w:hAnsi="Arial" w:cs="Arial"/>
          <w:sz w:val="24"/>
          <w:szCs w:val="24"/>
        </w:rPr>
        <w:t xml:space="preserve">rental </w:t>
      </w:r>
      <w:r w:rsidR="00755A20">
        <w:rPr>
          <w:rFonts w:ascii="Arial" w:hAnsi="Arial" w:cs="Arial"/>
          <w:sz w:val="24"/>
          <w:szCs w:val="24"/>
        </w:rPr>
        <w:t>and would not burden the respondent</w:t>
      </w:r>
      <w:r w:rsidR="00790D31">
        <w:rPr>
          <w:rFonts w:ascii="Arial" w:hAnsi="Arial" w:cs="Arial"/>
          <w:sz w:val="24"/>
          <w:szCs w:val="24"/>
        </w:rPr>
        <w:t>s</w:t>
      </w:r>
      <w:r w:rsidR="00755A20">
        <w:rPr>
          <w:rFonts w:ascii="Arial" w:hAnsi="Arial" w:cs="Arial"/>
          <w:sz w:val="24"/>
          <w:szCs w:val="24"/>
        </w:rPr>
        <w:t xml:space="preserve"> unduly as this is the amount they were prepared to pay </w:t>
      </w:r>
      <w:r w:rsidR="001C09DB">
        <w:rPr>
          <w:rFonts w:ascii="Arial" w:hAnsi="Arial" w:cs="Arial"/>
          <w:sz w:val="24"/>
          <w:szCs w:val="24"/>
        </w:rPr>
        <w:t>a</w:t>
      </w:r>
      <w:r w:rsidR="00157AA8">
        <w:rPr>
          <w:rFonts w:ascii="Arial" w:hAnsi="Arial" w:cs="Arial"/>
          <w:sz w:val="24"/>
          <w:szCs w:val="24"/>
        </w:rPr>
        <w:t>s</w:t>
      </w:r>
      <w:r w:rsidR="001C09DB">
        <w:rPr>
          <w:rFonts w:ascii="Arial" w:hAnsi="Arial" w:cs="Arial"/>
          <w:sz w:val="24"/>
          <w:szCs w:val="24"/>
        </w:rPr>
        <w:t xml:space="preserve"> it </w:t>
      </w:r>
      <w:r w:rsidR="002F7A49">
        <w:rPr>
          <w:rFonts w:ascii="Arial" w:hAnsi="Arial" w:cs="Arial"/>
          <w:sz w:val="24"/>
          <w:szCs w:val="24"/>
        </w:rPr>
        <w:t xml:space="preserve">was equal to </w:t>
      </w:r>
      <w:r w:rsidR="00755A20">
        <w:rPr>
          <w:rFonts w:ascii="Arial" w:hAnsi="Arial" w:cs="Arial"/>
          <w:sz w:val="24"/>
          <w:szCs w:val="24"/>
        </w:rPr>
        <w:t>what would have been pa</w:t>
      </w:r>
      <w:r w:rsidR="00157AA8">
        <w:rPr>
          <w:rFonts w:ascii="Arial" w:hAnsi="Arial" w:cs="Arial"/>
          <w:sz w:val="24"/>
          <w:szCs w:val="24"/>
        </w:rPr>
        <w:t>yable</w:t>
      </w:r>
      <w:r w:rsidR="00755A20">
        <w:rPr>
          <w:rFonts w:ascii="Arial" w:hAnsi="Arial" w:cs="Arial"/>
          <w:sz w:val="24"/>
          <w:szCs w:val="24"/>
        </w:rPr>
        <w:t xml:space="preserve">, had </w:t>
      </w:r>
      <w:r w:rsidR="002F7A49">
        <w:rPr>
          <w:rFonts w:ascii="Arial" w:hAnsi="Arial" w:cs="Arial"/>
          <w:sz w:val="24"/>
          <w:szCs w:val="24"/>
        </w:rPr>
        <w:t>an</w:t>
      </w:r>
      <w:r w:rsidR="00755A20">
        <w:rPr>
          <w:rFonts w:ascii="Arial" w:hAnsi="Arial" w:cs="Arial"/>
          <w:sz w:val="24"/>
          <w:szCs w:val="24"/>
        </w:rPr>
        <w:t xml:space="preserve"> application for financing been successful. The respondents</w:t>
      </w:r>
      <w:r w:rsidR="00F61DE0">
        <w:rPr>
          <w:rFonts w:ascii="Arial" w:hAnsi="Arial" w:cs="Arial"/>
          <w:sz w:val="24"/>
          <w:szCs w:val="24"/>
        </w:rPr>
        <w:t>’</w:t>
      </w:r>
      <w:r w:rsidR="00755A20">
        <w:rPr>
          <w:rFonts w:ascii="Arial" w:hAnsi="Arial" w:cs="Arial"/>
          <w:sz w:val="24"/>
          <w:szCs w:val="24"/>
        </w:rPr>
        <w:t xml:space="preserve"> pleadings </w:t>
      </w:r>
      <w:r w:rsidR="00F61DE0">
        <w:rPr>
          <w:rFonts w:ascii="Arial" w:hAnsi="Arial" w:cs="Arial"/>
          <w:sz w:val="24"/>
          <w:szCs w:val="24"/>
        </w:rPr>
        <w:t>on</w:t>
      </w:r>
      <w:r w:rsidR="00755A20">
        <w:rPr>
          <w:rFonts w:ascii="Arial" w:hAnsi="Arial" w:cs="Arial"/>
          <w:sz w:val="24"/>
          <w:szCs w:val="24"/>
        </w:rPr>
        <w:t xml:space="preserve"> this aspect </w:t>
      </w:r>
      <w:r w:rsidR="00F61DE0">
        <w:rPr>
          <w:rFonts w:ascii="Arial" w:hAnsi="Arial" w:cs="Arial"/>
          <w:sz w:val="24"/>
          <w:szCs w:val="24"/>
        </w:rPr>
        <w:t xml:space="preserve">is not in line with his version </w:t>
      </w:r>
      <w:r w:rsidR="00755A20">
        <w:rPr>
          <w:rFonts w:ascii="Arial" w:hAnsi="Arial" w:cs="Arial"/>
          <w:sz w:val="24"/>
          <w:szCs w:val="24"/>
        </w:rPr>
        <w:t xml:space="preserve">as on their version this would have impacted the capital </w:t>
      </w:r>
      <w:r w:rsidR="00F61DE0">
        <w:rPr>
          <w:rFonts w:ascii="Arial" w:hAnsi="Arial" w:cs="Arial"/>
          <w:sz w:val="24"/>
          <w:szCs w:val="24"/>
        </w:rPr>
        <w:t xml:space="preserve">amount </w:t>
      </w:r>
      <w:r w:rsidR="00755A20">
        <w:rPr>
          <w:rFonts w:ascii="Arial" w:hAnsi="Arial" w:cs="Arial"/>
          <w:sz w:val="24"/>
          <w:szCs w:val="24"/>
        </w:rPr>
        <w:t>outstanding. The</w:t>
      </w:r>
      <w:r w:rsidR="002F7A49">
        <w:rPr>
          <w:rFonts w:ascii="Arial" w:hAnsi="Arial" w:cs="Arial"/>
          <w:sz w:val="24"/>
          <w:szCs w:val="24"/>
        </w:rPr>
        <w:t>y</w:t>
      </w:r>
      <w:r w:rsidR="00755A20">
        <w:rPr>
          <w:rFonts w:ascii="Arial" w:hAnsi="Arial" w:cs="Arial"/>
          <w:sz w:val="24"/>
          <w:szCs w:val="24"/>
        </w:rPr>
        <w:t xml:space="preserve"> </w:t>
      </w:r>
      <w:r w:rsidR="002E7AD8">
        <w:rPr>
          <w:rFonts w:ascii="Arial" w:hAnsi="Arial" w:cs="Arial"/>
          <w:sz w:val="24"/>
          <w:szCs w:val="24"/>
        </w:rPr>
        <w:t xml:space="preserve">simply decided to stop payment </w:t>
      </w:r>
      <w:r w:rsidR="00F61DE0">
        <w:rPr>
          <w:rFonts w:ascii="Arial" w:hAnsi="Arial" w:cs="Arial"/>
          <w:sz w:val="24"/>
          <w:szCs w:val="24"/>
        </w:rPr>
        <w:t xml:space="preserve">of the </w:t>
      </w:r>
      <w:r w:rsidR="00157AA8">
        <w:rPr>
          <w:rFonts w:ascii="Arial" w:hAnsi="Arial" w:cs="Arial"/>
          <w:sz w:val="24"/>
          <w:szCs w:val="24"/>
        </w:rPr>
        <w:t>occupational in</w:t>
      </w:r>
      <w:r w:rsidR="00F61DE0">
        <w:rPr>
          <w:rFonts w:ascii="Arial" w:hAnsi="Arial" w:cs="Arial"/>
          <w:sz w:val="24"/>
          <w:szCs w:val="24"/>
        </w:rPr>
        <w:t>terest and took the N$10850 por</w:t>
      </w:r>
      <w:r w:rsidR="00157AA8">
        <w:rPr>
          <w:rFonts w:ascii="Arial" w:hAnsi="Arial" w:cs="Arial"/>
          <w:sz w:val="24"/>
          <w:szCs w:val="24"/>
        </w:rPr>
        <w:t xml:space="preserve">tion of the </w:t>
      </w:r>
      <w:r w:rsidR="00F61DE0">
        <w:rPr>
          <w:rFonts w:ascii="Arial" w:hAnsi="Arial" w:cs="Arial"/>
          <w:sz w:val="24"/>
          <w:szCs w:val="24"/>
        </w:rPr>
        <w:t xml:space="preserve">increased </w:t>
      </w:r>
      <w:r w:rsidR="00157AA8">
        <w:rPr>
          <w:rFonts w:ascii="Arial" w:hAnsi="Arial" w:cs="Arial"/>
          <w:sz w:val="24"/>
          <w:szCs w:val="24"/>
        </w:rPr>
        <w:t xml:space="preserve">payments made </w:t>
      </w:r>
      <w:r w:rsidR="002E7AD8">
        <w:rPr>
          <w:rFonts w:ascii="Arial" w:hAnsi="Arial" w:cs="Arial"/>
          <w:sz w:val="24"/>
          <w:szCs w:val="24"/>
        </w:rPr>
        <w:t>and allocate</w:t>
      </w:r>
      <w:r w:rsidR="00157AA8">
        <w:rPr>
          <w:rFonts w:ascii="Arial" w:hAnsi="Arial" w:cs="Arial"/>
          <w:sz w:val="24"/>
          <w:szCs w:val="24"/>
        </w:rPr>
        <w:t>d</w:t>
      </w:r>
      <w:r w:rsidR="002E7AD8">
        <w:rPr>
          <w:rFonts w:ascii="Arial" w:hAnsi="Arial" w:cs="Arial"/>
          <w:sz w:val="24"/>
          <w:szCs w:val="24"/>
        </w:rPr>
        <w:t xml:space="preserve"> this to occupational </w:t>
      </w:r>
      <w:r w:rsidR="00DD7844">
        <w:rPr>
          <w:rFonts w:ascii="Arial" w:hAnsi="Arial" w:cs="Arial"/>
          <w:sz w:val="24"/>
          <w:szCs w:val="24"/>
        </w:rPr>
        <w:t>interest</w:t>
      </w:r>
      <w:r w:rsidR="002E7AD8">
        <w:rPr>
          <w:rFonts w:ascii="Arial" w:hAnsi="Arial" w:cs="Arial"/>
          <w:sz w:val="24"/>
          <w:szCs w:val="24"/>
        </w:rPr>
        <w:t xml:space="preserve"> resulting in them </w:t>
      </w:r>
      <w:r w:rsidR="00EC5C96">
        <w:rPr>
          <w:rFonts w:ascii="Arial" w:hAnsi="Arial" w:cs="Arial"/>
          <w:sz w:val="24"/>
          <w:szCs w:val="24"/>
        </w:rPr>
        <w:t>ceasing to pay</w:t>
      </w:r>
      <w:r w:rsidR="002E7AD8">
        <w:rPr>
          <w:rFonts w:ascii="Arial" w:hAnsi="Arial" w:cs="Arial"/>
          <w:sz w:val="24"/>
          <w:szCs w:val="24"/>
        </w:rPr>
        <w:t xml:space="preserve"> occupational </w:t>
      </w:r>
      <w:r w:rsidR="00DD7844">
        <w:rPr>
          <w:rFonts w:ascii="Arial" w:hAnsi="Arial" w:cs="Arial"/>
          <w:sz w:val="24"/>
          <w:szCs w:val="24"/>
        </w:rPr>
        <w:t>interest</w:t>
      </w:r>
      <w:r w:rsidR="002E7AD8">
        <w:rPr>
          <w:rFonts w:ascii="Arial" w:hAnsi="Arial" w:cs="Arial"/>
          <w:sz w:val="24"/>
          <w:szCs w:val="24"/>
        </w:rPr>
        <w:t xml:space="preserve"> </w:t>
      </w:r>
      <w:r w:rsidR="00EC5C96">
        <w:rPr>
          <w:rFonts w:ascii="Arial" w:hAnsi="Arial" w:cs="Arial"/>
          <w:sz w:val="24"/>
          <w:szCs w:val="24"/>
        </w:rPr>
        <w:t xml:space="preserve">as from January 2010, as </w:t>
      </w:r>
      <w:r w:rsidR="002E7AD8">
        <w:rPr>
          <w:rFonts w:ascii="Arial" w:hAnsi="Arial" w:cs="Arial"/>
          <w:sz w:val="24"/>
          <w:szCs w:val="24"/>
        </w:rPr>
        <w:t xml:space="preserve">according to them they have overpaid. First respondent is a prolific writer of emails yet there is no communication in this regard until respondents are stated to be in arears. Then this new angle appears despite the email admitting that lots and lots of money </w:t>
      </w:r>
      <w:r w:rsidR="001C09DB">
        <w:rPr>
          <w:rFonts w:ascii="Arial" w:hAnsi="Arial" w:cs="Arial"/>
          <w:sz w:val="24"/>
          <w:szCs w:val="24"/>
        </w:rPr>
        <w:t>was</w:t>
      </w:r>
      <w:r w:rsidR="002E7AD8">
        <w:rPr>
          <w:rFonts w:ascii="Arial" w:hAnsi="Arial" w:cs="Arial"/>
          <w:sz w:val="24"/>
          <w:szCs w:val="24"/>
        </w:rPr>
        <w:t xml:space="preserve"> owing to Viviers. If one has regard to the payments and the email admitting liability for the increased amount the probabilities are that the explanation tendered in evidence that the higher monthly payment was to reduce the capital amounts outstanding is an afterthought and that Viviers version in this regard must be accepted.</w:t>
      </w:r>
    </w:p>
    <w:p w:rsidR="00F7644F" w:rsidRDefault="00F7644F" w:rsidP="00F7644F">
      <w:pPr>
        <w:pStyle w:val="ListParagraph"/>
        <w:rPr>
          <w:rFonts w:ascii="Arial" w:hAnsi="Arial" w:cs="Arial"/>
          <w:sz w:val="24"/>
          <w:szCs w:val="24"/>
        </w:rPr>
      </w:pPr>
    </w:p>
    <w:p w:rsidR="00F7644F" w:rsidRDefault="002E7AD8"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F7A49">
        <w:rPr>
          <w:rFonts w:ascii="Arial" w:hAnsi="Arial" w:cs="Arial"/>
          <w:i/>
          <w:sz w:val="24"/>
          <w:szCs w:val="24"/>
        </w:rPr>
        <w:t>a quo</w:t>
      </w:r>
      <w:r>
        <w:rPr>
          <w:rFonts w:ascii="Arial" w:hAnsi="Arial" w:cs="Arial"/>
          <w:sz w:val="24"/>
          <w:szCs w:val="24"/>
        </w:rPr>
        <w:t xml:space="preserve"> did not deal with this dispute over the quantum of the occupational interest. This is probably because the enrichment claim of Viviers</w:t>
      </w:r>
      <w:r w:rsidR="00672A0C">
        <w:rPr>
          <w:rFonts w:ascii="Arial" w:hAnsi="Arial" w:cs="Arial"/>
          <w:sz w:val="24"/>
          <w:szCs w:val="24"/>
        </w:rPr>
        <w:t xml:space="preserve"> is premised on the purchase agreement having lapsed. The counterclaim is premised on the conditions being fulfilled timeously and not on a breach of the agreement </w:t>
      </w:r>
      <w:r w:rsidR="00672A0C">
        <w:rPr>
          <w:rFonts w:ascii="Arial" w:hAnsi="Arial" w:cs="Arial"/>
          <w:sz w:val="24"/>
          <w:szCs w:val="24"/>
        </w:rPr>
        <w:lastRenderedPageBreak/>
        <w:t xml:space="preserve">relating to occupational interest. There is no a suggestion that the agreement had been cancelled due to non-payment </w:t>
      </w:r>
      <w:r w:rsidR="002F7A49">
        <w:rPr>
          <w:rFonts w:ascii="Arial" w:hAnsi="Arial" w:cs="Arial"/>
          <w:sz w:val="24"/>
          <w:szCs w:val="24"/>
        </w:rPr>
        <w:t>or</w:t>
      </w:r>
      <w:r w:rsidR="00672A0C">
        <w:rPr>
          <w:rFonts w:ascii="Arial" w:hAnsi="Arial" w:cs="Arial"/>
          <w:sz w:val="24"/>
          <w:szCs w:val="24"/>
        </w:rPr>
        <w:t xml:space="preserve"> under-payment </w:t>
      </w:r>
      <w:r w:rsidR="005C0712">
        <w:rPr>
          <w:rFonts w:ascii="Arial" w:hAnsi="Arial" w:cs="Arial"/>
          <w:sz w:val="24"/>
          <w:szCs w:val="24"/>
        </w:rPr>
        <w:t>of the occupational interest. The pre-trial order however expressly include</w:t>
      </w:r>
      <w:r w:rsidR="002F7A49">
        <w:rPr>
          <w:rFonts w:ascii="Arial" w:hAnsi="Arial" w:cs="Arial"/>
          <w:sz w:val="24"/>
          <w:szCs w:val="24"/>
        </w:rPr>
        <w:t>d</w:t>
      </w:r>
      <w:r w:rsidR="005C0712">
        <w:rPr>
          <w:rFonts w:ascii="Arial" w:hAnsi="Arial" w:cs="Arial"/>
          <w:sz w:val="24"/>
          <w:szCs w:val="24"/>
        </w:rPr>
        <w:t xml:space="preserve"> this as a dispute </w:t>
      </w:r>
      <w:r w:rsidR="00F61389">
        <w:rPr>
          <w:rFonts w:ascii="Arial" w:hAnsi="Arial" w:cs="Arial"/>
          <w:sz w:val="24"/>
          <w:szCs w:val="24"/>
        </w:rPr>
        <w:t>o</w:t>
      </w:r>
      <w:r w:rsidR="001C09DB">
        <w:rPr>
          <w:rFonts w:ascii="Arial" w:hAnsi="Arial" w:cs="Arial"/>
          <w:sz w:val="24"/>
          <w:szCs w:val="24"/>
        </w:rPr>
        <w:t>f</w:t>
      </w:r>
      <w:r w:rsidR="00F61389">
        <w:rPr>
          <w:rFonts w:ascii="Arial" w:hAnsi="Arial" w:cs="Arial"/>
          <w:sz w:val="24"/>
          <w:szCs w:val="24"/>
        </w:rPr>
        <w:t xml:space="preserve"> fact that had to be determined and in the context of the court a quo’s finding </w:t>
      </w:r>
      <w:r w:rsidR="002F7A49">
        <w:rPr>
          <w:rFonts w:ascii="Arial" w:hAnsi="Arial" w:cs="Arial"/>
          <w:sz w:val="24"/>
          <w:szCs w:val="24"/>
        </w:rPr>
        <w:t>it</w:t>
      </w:r>
      <w:r w:rsidR="00F61389">
        <w:rPr>
          <w:rFonts w:ascii="Arial" w:hAnsi="Arial" w:cs="Arial"/>
          <w:sz w:val="24"/>
          <w:szCs w:val="24"/>
        </w:rPr>
        <w:t xml:space="preserve"> should have been determined as it is an import</w:t>
      </w:r>
      <w:r w:rsidR="001C09DB">
        <w:rPr>
          <w:rFonts w:ascii="Arial" w:hAnsi="Arial" w:cs="Arial"/>
          <w:sz w:val="24"/>
          <w:szCs w:val="24"/>
        </w:rPr>
        <w:t xml:space="preserve">ant obligation of the defendants pending the transfer of property to </w:t>
      </w:r>
      <w:r w:rsidR="00B32E57">
        <w:rPr>
          <w:rFonts w:ascii="Arial" w:hAnsi="Arial" w:cs="Arial"/>
          <w:sz w:val="24"/>
          <w:szCs w:val="24"/>
        </w:rPr>
        <w:t>them.</w:t>
      </w:r>
      <w:r w:rsidR="00F61389">
        <w:rPr>
          <w:rFonts w:ascii="Arial" w:hAnsi="Arial" w:cs="Arial"/>
          <w:sz w:val="24"/>
          <w:szCs w:val="24"/>
        </w:rPr>
        <w:t xml:space="preserve"> I shall thus incorporate this aspect into the court order I make. </w:t>
      </w:r>
    </w:p>
    <w:p w:rsidR="001C09DB" w:rsidRDefault="001C09DB" w:rsidP="001C09DB">
      <w:pPr>
        <w:rPr>
          <w:rFonts w:ascii="Arial" w:hAnsi="Arial" w:cs="Arial"/>
          <w:sz w:val="24"/>
          <w:szCs w:val="24"/>
        </w:rPr>
      </w:pPr>
    </w:p>
    <w:p w:rsidR="001C09DB" w:rsidRPr="001C09DB" w:rsidRDefault="001C09DB" w:rsidP="001C09DB">
      <w:pPr>
        <w:pStyle w:val="ListParagraph"/>
        <w:numPr>
          <w:ilvl w:val="0"/>
          <w:numId w:val="10"/>
        </w:numPr>
        <w:ind w:hanging="720"/>
        <w:rPr>
          <w:rFonts w:ascii="Arial" w:hAnsi="Arial" w:cs="Arial"/>
          <w:sz w:val="24"/>
          <w:szCs w:val="24"/>
          <w:u w:val="single"/>
        </w:rPr>
      </w:pPr>
      <w:r>
        <w:rPr>
          <w:rFonts w:ascii="Arial" w:hAnsi="Arial" w:cs="Arial"/>
          <w:sz w:val="24"/>
          <w:szCs w:val="24"/>
          <w:u w:val="single"/>
        </w:rPr>
        <w:t>Costs</w:t>
      </w:r>
    </w:p>
    <w:p w:rsidR="001C09DB" w:rsidRDefault="0085015A"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view of the fact that respondents disputed the amount of the occupational interest as alleged by Viviers, both </w:t>
      </w:r>
      <w:r w:rsidR="00157AA8">
        <w:rPr>
          <w:rFonts w:ascii="Arial" w:hAnsi="Arial" w:cs="Arial"/>
          <w:sz w:val="24"/>
          <w:szCs w:val="24"/>
        </w:rPr>
        <w:t xml:space="preserve">in </w:t>
      </w:r>
      <w:r>
        <w:rPr>
          <w:rFonts w:ascii="Arial" w:hAnsi="Arial" w:cs="Arial"/>
          <w:sz w:val="24"/>
          <w:szCs w:val="24"/>
        </w:rPr>
        <w:t xml:space="preserve">the court </w:t>
      </w:r>
      <w:r w:rsidRPr="0085015A">
        <w:rPr>
          <w:rFonts w:ascii="Arial" w:hAnsi="Arial" w:cs="Arial"/>
          <w:i/>
          <w:sz w:val="24"/>
          <w:szCs w:val="24"/>
        </w:rPr>
        <w:t>a quo</w:t>
      </w:r>
      <w:r>
        <w:rPr>
          <w:rFonts w:ascii="Arial" w:hAnsi="Arial" w:cs="Arial"/>
          <w:sz w:val="24"/>
          <w:szCs w:val="24"/>
        </w:rPr>
        <w:t xml:space="preserve"> and in this court the appeal was substantially successful. Respondents compelled appellant to seek the intervention of this court in respect of the occupational interest. In the result I am of the view that the appellant is entitled to </w:t>
      </w:r>
      <w:r w:rsidR="00157AA8">
        <w:rPr>
          <w:rFonts w:ascii="Arial" w:hAnsi="Arial" w:cs="Arial"/>
          <w:sz w:val="24"/>
          <w:szCs w:val="24"/>
        </w:rPr>
        <w:t>his</w:t>
      </w:r>
      <w:r>
        <w:rPr>
          <w:rFonts w:ascii="Arial" w:hAnsi="Arial" w:cs="Arial"/>
          <w:sz w:val="24"/>
          <w:szCs w:val="24"/>
        </w:rPr>
        <w:t xml:space="preserve"> costs on appeal</w:t>
      </w:r>
      <w:r w:rsidR="002D1B96">
        <w:rPr>
          <w:rFonts w:ascii="Arial" w:hAnsi="Arial" w:cs="Arial"/>
          <w:sz w:val="24"/>
          <w:szCs w:val="24"/>
        </w:rPr>
        <w:t>.</w:t>
      </w:r>
    </w:p>
    <w:p w:rsidR="002D1B96" w:rsidRDefault="002D1B96" w:rsidP="002D1B96">
      <w:pPr>
        <w:pStyle w:val="NoSpacing"/>
        <w:spacing w:line="480" w:lineRule="auto"/>
        <w:jc w:val="both"/>
        <w:rPr>
          <w:rFonts w:ascii="Arial" w:hAnsi="Arial" w:cs="Arial"/>
          <w:sz w:val="24"/>
          <w:szCs w:val="24"/>
        </w:rPr>
      </w:pPr>
    </w:p>
    <w:p w:rsidR="002D1B96" w:rsidRDefault="002D1B96"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position in the court </w:t>
      </w:r>
      <w:r w:rsidRPr="002D1B96">
        <w:rPr>
          <w:rFonts w:ascii="Arial" w:hAnsi="Arial" w:cs="Arial"/>
          <w:i/>
          <w:sz w:val="24"/>
          <w:szCs w:val="24"/>
        </w:rPr>
        <w:t>a quo</w:t>
      </w:r>
      <w:r>
        <w:rPr>
          <w:rFonts w:ascii="Arial" w:hAnsi="Arial" w:cs="Arial"/>
          <w:sz w:val="24"/>
          <w:szCs w:val="24"/>
        </w:rPr>
        <w:t xml:space="preserve"> was different. The appellant sought the eviction of the respondent</w:t>
      </w:r>
      <w:r w:rsidR="005A4EC8">
        <w:rPr>
          <w:rFonts w:ascii="Arial" w:hAnsi="Arial" w:cs="Arial"/>
          <w:sz w:val="24"/>
          <w:szCs w:val="24"/>
        </w:rPr>
        <w:t>s</w:t>
      </w:r>
      <w:r>
        <w:rPr>
          <w:rFonts w:ascii="Arial" w:hAnsi="Arial" w:cs="Arial"/>
          <w:sz w:val="24"/>
          <w:szCs w:val="24"/>
        </w:rPr>
        <w:t xml:space="preserve"> based on the contract having lapsed as the conditions were not fulfilled. The court </w:t>
      </w:r>
      <w:r w:rsidRPr="002D1B96">
        <w:rPr>
          <w:rFonts w:ascii="Arial" w:hAnsi="Arial" w:cs="Arial"/>
          <w:i/>
          <w:sz w:val="24"/>
          <w:szCs w:val="24"/>
        </w:rPr>
        <w:t>a quo</w:t>
      </w:r>
      <w:r>
        <w:rPr>
          <w:rFonts w:ascii="Arial" w:hAnsi="Arial" w:cs="Arial"/>
          <w:sz w:val="24"/>
          <w:szCs w:val="24"/>
        </w:rPr>
        <w:t xml:space="preserve"> correctly held against him and he must pay the costs of his failed claim. In the counter claim the respondents sought specific performance based on them being able to tender the full balance of the purchase price. As a side issue the quantum of the occupational interest, pending the transfer of property also had to be determined. In my view however, as the claim for specific performance was the main claim, the respondents were </w:t>
      </w:r>
      <w:r w:rsidR="003B2515">
        <w:rPr>
          <w:rFonts w:ascii="Arial" w:hAnsi="Arial" w:cs="Arial"/>
          <w:sz w:val="24"/>
          <w:szCs w:val="24"/>
        </w:rPr>
        <w:t>substantially successful entitling them to the costs of the counterclaim.</w:t>
      </w:r>
    </w:p>
    <w:p w:rsidR="00F7644F" w:rsidRDefault="00F7644F" w:rsidP="001C09DB">
      <w:pPr>
        <w:rPr>
          <w:rFonts w:ascii="Arial" w:hAnsi="Arial" w:cs="Arial"/>
          <w:sz w:val="24"/>
          <w:szCs w:val="24"/>
        </w:rPr>
      </w:pPr>
    </w:p>
    <w:p w:rsidR="001C09DB" w:rsidRPr="001C09DB" w:rsidRDefault="001C09DB" w:rsidP="001C09DB">
      <w:pPr>
        <w:pStyle w:val="ListParagraph"/>
        <w:numPr>
          <w:ilvl w:val="0"/>
          <w:numId w:val="10"/>
        </w:numPr>
        <w:ind w:hanging="720"/>
        <w:rPr>
          <w:rFonts w:ascii="Arial" w:hAnsi="Arial" w:cs="Arial"/>
          <w:sz w:val="24"/>
          <w:szCs w:val="24"/>
          <w:u w:val="single"/>
        </w:rPr>
      </w:pPr>
      <w:r>
        <w:rPr>
          <w:rFonts w:ascii="Arial" w:hAnsi="Arial" w:cs="Arial"/>
          <w:sz w:val="24"/>
          <w:szCs w:val="24"/>
          <w:u w:val="single"/>
        </w:rPr>
        <w:t>Conclusion</w:t>
      </w:r>
    </w:p>
    <w:p w:rsidR="00F7644F" w:rsidRDefault="00F61389" w:rsidP="002562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result</w:t>
      </w:r>
      <w:r w:rsidR="00F43CDC">
        <w:rPr>
          <w:rFonts w:ascii="Arial" w:hAnsi="Arial" w:cs="Arial"/>
          <w:sz w:val="24"/>
          <w:szCs w:val="24"/>
        </w:rPr>
        <w:t>:</w:t>
      </w:r>
    </w:p>
    <w:p w:rsidR="00F61389" w:rsidRDefault="00F61389" w:rsidP="00F61389">
      <w:pPr>
        <w:pStyle w:val="ListParagraph"/>
        <w:rPr>
          <w:rFonts w:ascii="Arial" w:hAnsi="Arial" w:cs="Arial"/>
          <w:sz w:val="24"/>
          <w:szCs w:val="24"/>
        </w:rPr>
      </w:pPr>
    </w:p>
    <w:p w:rsidR="003B2515" w:rsidRDefault="003B2515" w:rsidP="00C718E6">
      <w:pPr>
        <w:pStyle w:val="NoSpacing"/>
        <w:numPr>
          <w:ilvl w:val="0"/>
          <w:numId w:val="8"/>
        </w:numPr>
        <w:spacing w:line="480" w:lineRule="auto"/>
        <w:ind w:left="1418" w:hanging="698"/>
        <w:jc w:val="both"/>
        <w:rPr>
          <w:rFonts w:ascii="Arial" w:hAnsi="Arial" w:cs="Arial"/>
          <w:sz w:val="24"/>
          <w:szCs w:val="24"/>
        </w:rPr>
      </w:pPr>
      <w:r>
        <w:rPr>
          <w:rFonts w:ascii="Arial" w:hAnsi="Arial" w:cs="Arial"/>
          <w:sz w:val="24"/>
          <w:szCs w:val="24"/>
        </w:rPr>
        <w:t>The ap</w:t>
      </w:r>
      <w:r w:rsidR="00F61DE0">
        <w:rPr>
          <w:rFonts w:ascii="Arial" w:hAnsi="Arial" w:cs="Arial"/>
          <w:sz w:val="24"/>
          <w:szCs w:val="24"/>
        </w:rPr>
        <w:t>pella</w:t>
      </w:r>
      <w:r>
        <w:rPr>
          <w:rFonts w:ascii="Arial" w:hAnsi="Arial" w:cs="Arial"/>
          <w:sz w:val="24"/>
          <w:szCs w:val="24"/>
        </w:rPr>
        <w:t xml:space="preserve">nt’s failure to lodge the record timeously and to file his security timeously is condoned and the appeal is reinstated. </w:t>
      </w:r>
    </w:p>
    <w:p w:rsidR="003B2515" w:rsidRDefault="003B2515" w:rsidP="00DD7844">
      <w:pPr>
        <w:pStyle w:val="NoSpacing"/>
        <w:spacing w:line="360" w:lineRule="auto"/>
        <w:ind w:left="1418"/>
        <w:jc w:val="both"/>
        <w:rPr>
          <w:rFonts w:ascii="Arial" w:hAnsi="Arial" w:cs="Arial"/>
          <w:sz w:val="24"/>
          <w:szCs w:val="24"/>
        </w:rPr>
      </w:pPr>
    </w:p>
    <w:p w:rsidR="003B2515" w:rsidRDefault="00F61389" w:rsidP="00C718E6">
      <w:pPr>
        <w:pStyle w:val="NoSpacing"/>
        <w:numPr>
          <w:ilvl w:val="0"/>
          <w:numId w:val="8"/>
        </w:numPr>
        <w:spacing w:line="480" w:lineRule="auto"/>
        <w:ind w:left="1418" w:hanging="698"/>
        <w:jc w:val="both"/>
        <w:rPr>
          <w:rFonts w:ascii="Arial" w:hAnsi="Arial" w:cs="Arial"/>
          <w:sz w:val="24"/>
          <w:szCs w:val="24"/>
        </w:rPr>
      </w:pPr>
      <w:r>
        <w:rPr>
          <w:rFonts w:ascii="Arial" w:hAnsi="Arial" w:cs="Arial"/>
          <w:sz w:val="24"/>
          <w:szCs w:val="24"/>
        </w:rPr>
        <w:t xml:space="preserve">The appeal </w:t>
      </w:r>
      <w:r w:rsidR="00EC5C96">
        <w:rPr>
          <w:rFonts w:ascii="Arial" w:hAnsi="Arial" w:cs="Arial"/>
          <w:sz w:val="24"/>
          <w:szCs w:val="24"/>
        </w:rPr>
        <w:t xml:space="preserve">succeeds to </w:t>
      </w:r>
      <w:r w:rsidR="00344F44">
        <w:rPr>
          <w:rFonts w:ascii="Arial" w:hAnsi="Arial" w:cs="Arial"/>
          <w:sz w:val="24"/>
          <w:szCs w:val="24"/>
        </w:rPr>
        <w:t>the</w:t>
      </w:r>
      <w:r w:rsidR="00EC5C96">
        <w:rPr>
          <w:rFonts w:ascii="Arial" w:hAnsi="Arial" w:cs="Arial"/>
          <w:sz w:val="24"/>
          <w:szCs w:val="24"/>
        </w:rPr>
        <w:t xml:space="preserve"> extent </w:t>
      </w:r>
      <w:r w:rsidR="00344F44">
        <w:rPr>
          <w:rFonts w:ascii="Arial" w:hAnsi="Arial" w:cs="Arial"/>
          <w:sz w:val="24"/>
          <w:szCs w:val="24"/>
        </w:rPr>
        <w:t xml:space="preserve">indicated </w:t>
      </w:r>
      <w:r w:rsidR="00EC5C96">
        <w:rPr>
          <w:rFonts w:ascii="Arial" w:hAnsi="Arial" w:cs="Arial"/>
          <w:sz w:val="24"/>
          <w:szCs w:val="24"/>
        </w:rPr>
        <w:t xml:space="preserve">in the judgment </w:t>
      </w:r>
      <w:r w:rsidR="003B2515">
        <w:rPr>
          <w:rFonts w:ascii="Arial" w:hAnsi="Arial" w:cs="Arial"/>
          <w:sz w:val="24"/>
          <w:szCs w:val="24"/>
        </w:rPr>
        <w:t>with costs.</w:t>
      </w:r>
    </w:p>
    <w:p w:rsidR="003B2515" w:rsidRDefault="003B2515" w:rsidP="00DD7844">
      <w:pPr>
        <w:pStyle w:val="ListParagraph"/>
        <w:spacing w:line="360" w:lineRule="auto"/>
        <w:rPr>
          <w:rFonts w:ascii="Arial" w:hAnsi="Arial" w:cs="Arial"/>
          <w:sz w:val="24"/>
          <w:szCs w:val="24"/>
        </w:rPr>
      </w:pPr>
    </w:p>
    <w:p w:rsidR="00F61389" w:rsidRPr="003B2515" w:rsidRDefault="00F61389" w:rsidP="00DD7844">
      <w:pPr>
        <w:pStyle w:val="NoSpacing"/>
        <w:numPr>
          <w:ilvl w:val="0"/>
          <w:numId w:val="8"/>
        </w:numPr>
        <w:spacing w:line="360" w:lineRule="auto"/>
        <w:ind w:left="1418" w:hanging="698"/>
        <w:jc w:val="both"/>
        <w:rPr>
          <w:rFonts w:ascii="Arial" w:hAnsi="Arial" w:cs="Arial"/>
          <w:sz w:val="24"/>
          <w:szCs w:val="24"/>
        </w:rPr>
      </w:pPr>
      <w:r w:rsidRPr="003B2515">
        <w:rPr>
          <w:rFonts w:ascii="Arial" w:hAnsi="Arial" w:cs="Arial"/>
          <w:sz w:val="24"/>
          <w:szCs w:val="24"/>
        </w:rPr>
        <w:t xml:space="preserve">The order of the court </w:t>
      </w:r>
      <w:r w:rsidRPr="003B2515">
        <w:rPr>
          <w:rFonts w:ascii="Arial" w:hAnsi="Arial" w:cs="Arial"/>
          <w:i/>
          <w:sz w:val="24"/>
          <w:szCs w:val="24"/>
        </w:rPr>
        <w:t>a quo</w:t>
      </w:r>
      <w:r w:rsidRPr="003B2515">
        <w:rPr>
          <w:rFonts w:ascii="Arial" w:hAnsi="Arial" w:cs="Arial"/>
          <w:sz w:val="24"/>
          <w:szCs w:val="24"/>
        </w:rPr>
        <w:t xml:space="preserve"> is altered to read as follows:</w:t>
      </w:r>
    </w:p>
    <w:p w:rsidR="009C6FD9" w:rsidRDefault="009C6FD9" w:rsidP="00DD7844">
      <w:pPr>
        <w:pStyle w:val="NoSpacing"/>
        <w:spacing w:line="360" w:lineRule="auto"/>
        <w:jc w:val="both"/>
        <w:rPr>
          <w:rFonts w:ascii="Arial" w:hAnsi="Arial" w:cs="Arial"/>
          <w:sz w:val="24"/>
          <w:szCs w:val="24"/>
        </w:rPr>
      </w:pPr>
    </w:p>
    <w:p w:rsidR="00F61389" w:rsidRDefault="00F43CDC" w:rsidP="00C718E6">
      <w:pPr>
        <w:pStyle w:val="NoSpacing"/>
        <w:numPr>
          <w:ilvl w:val="0"/>
          <w:numId w:val="9"/>
        </w:numPr>
        <w:spacing w:line="480" w:lineRule="auto"/>
        <w:ind w:left="1985" w:hanging="567"/>
        <w:jc w:val="both"/>
        <w:rPr>
          <w:rFonts w:ascii="Arial" w:hAnsi="Arial" w:cs="Arial"/>
          <w:sz w:val="24"/>
          <w:szCs w:val="24"/>
        </w:rPr>
      </w:pPr>
      <w:r>
        <w:rPr>
          <w:rFonts w:ascii="Arial" w:hAnsi="Arial" w:cs="Arial"/>
          <w:sz w:val="24"/>
          <w:szCs w:val="24"/>
        </w:rPr>
        <w:t>The plaintiff, Mr Paul Viviers, must against security for the payment of the balance of the purchase price in the amount of N$1 700 000, sign all the documents necessary to pass transfer of ownership of the immovable property situated at No. 16 Mosé Tjitendero Street, Olympia, Windhoek, Namibia into the defendants’ names (Mr John Barrington Ireland and Anthea Vanessa Ireland);</w:t>
      </w:r>
    </w:p>
    <w:p w:rsidR="009C6FD9" w:rsidRDefault="009C6FD9" w:rsidP="00DD7844">
      <w:pPr>
        <w:pStyle w:val="NoSpacing"/>
        <w:spacing w:line="360" w:lineRule="auto"/>
        <w:ind w:left="1985"/>
        <w:jc w:val="both"/>
        <w:rPr>
          <w:rFonts w:ascii="Arial" w:hAnsi="Arial" w:cs="Arial"/>
          <w:sz w:val="24"/>
          <w:szCs w:val="24"/>
        </w:rPr>
      </w:pPr>
    </w:p>
    <w:p w:rsidR="00F61389" w:rsidRDefault="00F43CDC" w:rsidP="00DD7844">
      <w:pPr>
        <w:pStyle w:val="NoSpacing"/>
        <w:numPr>
          <w:ilvl w:val="0"/>
          <w:numId w:val="9"/>
        </w:numPr>
        <w:spacing w:line="480" w:lineRule="auto"/>
        <w:ind w:left="1985" w:hanging="567"/>
        <w:jc w:val="both"/>
        <w:rPr>
          <w:rFonts w:ascii="Arial" w:hAnsi="Arial" w:cs="Arial"/>
          <w:sz w:val="24"/>
          <w:szCs w:val="24"/>
        </w:rPr>
      </w:pPr>
      <w:r>
        <w:rPr>
          <w:rFonts w:ascii="Arial" w:hAnsi="Arial" w:cs="Arial"/>
          <w:sz w:val="24"/>
          <w:szCs w:val="24"/>
        </w:rPr>
        <w:t>If the plaintiff fails to sign the documents by no later than 14 days from the date this judgment is delivered, then and in that event, the Deputy Sheriff for the District of Windhoek is authorised to, against security for the payment of the balance of the purchase</w:t>
      </w:r>
      <w:r w:rsidR="00F041A1">
        <w:rPr>
          <w:rFonts w:ascii="Arial" w:hAnsi="Arial" w:cs="Arial"/>
          <w:sz w:val="24"/>
          <w:szCs w:val="24"/>
        </w:rPr>
        <w:t xml:space="preserve"> price in the amount of N$1 700 </w:t>
      </w:r>
      <w:r>
        <w:rPr>
          <w:rFonts w:ascii="Arial" w:hAnsi="Arial" w:cs="Arial"/>
          <w:sz w:val="24"/>
          <w:szCs w:val="24"/>
        </w:rPr>
        <w:t>000, sign all the documents necessary to pass transfer of ownership of the immovable property situated at No. 16 Mosé Tjitendero Street</w:t>
      </w:r>
      <w:r w:rsidR="00F61DE0">
        <w:rPr>
          <w:rFonts w:ascii="Arial" w:hAnsi="Arial" w:cs="Arial"/>
          <w:sz w:val="24"/>
          <w:szCs w:val="24"/>
        </w:rPr>
        <w:t>, Olympia, Windhoek, Namibia fro</w:t>
      </w:r>
      <w:r>
        <w:rPr>
          <w:rFonts w:ascii="Arial" w:hAnsi="Arial" w:cs="Arial"/>
          <w:sz w:val="24"/>
          <w:szCs w:val="24"/>
        </w:rPr>
        <w:t>m the plaintiff, Mr Paul Vivers, in the defendants’ names (Mr John Barrington Ireland and Anthea Vanessa Ireland);</w:t>
      </w:r>
    </w:p>
    <w:p w:rsidR="009C6FD9" w:rsidRDefault="009C6FD9" w:rsidP="00DD7844">
      <w:pPr>
        <w:pStyle w:val="NoSpacing"/>
        <w:spacing w:line="360" w:lineRule="auto"/>
        <w:jc w:val="both"/>
        <w:rPr>
          <w:rFonts w:ascii="Arial" w:hAnsi="Arial" w:cs="Arial"/>
          <w:sz w:val="24"/>
          <w:szCs w:val="24"/>
        </w:rPr>
      </w:pPr>
    </w:p>
    <w:p w:rsidR="00F61389" w:rsidRDefault="00F61389" w:rsidP="00DD7844">
      <w:pPr>
        <w:pStyle w:val="NoSpacing"/>
        <w:numPr>
          <w:ilvl w:val="0"/>
          <w:numId w:val="9"/>
        </w:numPr>
        <w:spacing w:line="480" w:lineRule="auto"/>
        <w:ind w:left="1985" w:hanging="567"/>
        <w:jc w:val="both"/>
        <w:rPr>
          <w:rFonts w:ascii="Arial" w:hAnsi="Arial" w:cs="Arial"/>
          <w:sz w:val="24"/>
          <w:szCs w:val="24"/>
        </w:rPr>
      </w:pPr>
      <w:r>
        <w:rPr>
          <w:rFonts w:ascii="Arial" w:hAnsi="Arial" w:cs="Arial"/>
          <w:sz w:val="24"/>
          <w:szCs w:val="24"/>
        </w:rPr>
        <w:t>It is declared that the amount of occupational interest provided for in the agreement between the parties was increased to N$20850 per month and that the respondents are liable for such occupational interest as from January 2010 up to the date of transfer of the prop</w:t>
      </w:r>
      <w:r w:rsidR="009C6FD9">
        <w:rPr>
          <w:rFonts w:ascii="Arial" w:hAnsi="Arial" w:cs="Arial"/>
          <w:sz w:val="24"/>
          <w:szCs w:val="24"/>
        </w:rPr>
        <w:t>erty into the respondents</w:t>
      </w:r>
      <w:r w:rsidR="009F0303">
        <w:rPr>
          <w:rFonts w:ascii="Arial" w:hAnsi="Arial" w:cs="Arial"/>
          <w:sz w:val="24"/>
          <w:szCs w:val="24"/>
        </w:rPr>
        <w:t>’</w:t>
      </w:r>
      <w:r w:rsidR="009C6FD9">
        <w:rPr>
          <w:rFonts w:ascii="Arial" w:hAnsi="Arial" w:cs="Arial"/>
          <w:sz w:val="24"/>
          <w:szCs w:val="24"/>
        </w:rPr>
        <w:t xml:space="preserve"> names;</w:t>
      </w:r>
    </w:p>
    <w:p w:rsidR="009C6FD9" w:rsidRDefault="009C6FD9" w:rsidP="00DD7844">
      <w:pPr>
        <w:pStyle w:val="NoSpacing"/>
        <w:spacing w:line="360" w:lineRule="auto"/>
        <w:jc w:val="both"/>
        <w:rPr>
          <w:rFonts w:ascii="Arial" w:hAnsi="Arial" w:cs="Arial"/>
          <w:sz w:val="24"/>
          <w:szCs w:val="24"/>
        </w:rPr>
      </w:pPr>
    </w:p>
    <w:p w:rsidR="00F61389" w:rsidRDefault="009C6FD9" w:rsidP="00DD7844">
      <w:pPr>
        <w:pStyle w:val="NoSpacing"/>
        <w:numPr>
          <w:ilvl w:val="0"/>
          <w:numId w:val="9"/>
        </w:numPr>
        <w:spacing w:line="480" w:lineRule="auto"/>
        <w:ind w:left="1985" w:hanging="567"/>
        <w:jc w:val="both"/>
        <w:rPr>
          <w:rFonts w:ascii="Arial" w:hAnsi="Arial" w:cs="Arial"/>
          <w:sz w:val="24"/>
          <w:szCs w:val="24"/>
        </w:rPr>
      </w:pPr>
      <w:r>
        <w:rPr>
          <w:rFonts w:ascii="Arial" w:hAnsi="Arial" w:cs="Arial"/>
          <w:sz w:val="24"/>
          <w:szCs w:val="24"/>
        </w:rPr>
        <w:t xml:space="preserve">The </w:t>
      </w:r>
      <w:r w:rsidR="001C09DB">
        <w:rPr>
          <w:rFonts w:ascii="Arial" w:hAnsi="Arial" w:cs="Arial"/>
          <w:sz w:val="24"/>
          <w:szCs w:val="24"/>
        </w:rPr>
        <w:t>costs of the claim and counterclaim are to be paid by the plaintiff</w:t>
      </w:r>
      <w:r>
        <w:rPr>
          <w:rFonts w:ascii="Arial" w:hAnsi="Arial" w:cs="Arial"/>
          <w:sz w:val="24"/>
          <w:szCs w:val="24"/>
        </w:rPr>
        <w:t>, such cost</w:t>
      </w:r>
      <w:r w:rsidR="001C09DB">
        <w:rPr>
          <w:rFonts w:ascii="Arial" w:hAnsi="Arial" w:cs="Arial"/>
          <w:sz w:val="24"/>
          <w:szCs w:val="24"/>
        </w:rPr>
        <w:t>s</w:t>
      </w:r>
      <w:r>
        <w:rPr>
          <w:rFonts w:ascii="Arial" w:hAnsi="Arial" w:cs="Arial"/>
          <w:sz w:val="24"/>
          <w:szCs w:val="24"/>
        </w:rPr>
        <w:t xml:space="preserve"> to include the cost of one instructing and one instructed counsel.</w:t>
      </w:r>
    </w:p>
    <w:p w:rsidR="009C6FD9" w:rsidRDefault="009C6FD9" w:rsidP="00DD7844">
      <w:pPr>
        <w:pStyle w:val="NoSpacing"/>
        <w:spacing w:line="360" w:lineRule="auto"/>
        <w:ind w:left="1985"/>
        <w:jc w:val="both"/>
        <w:rPr>
          <w:rFonts w:ascii="Arial" w:hAnsi="Arial" w:cs="Arial"/>
          <w:sz w:val="24"/>
          <w:szCs w:val="24"/>
        </w:rPr>
      </w:pPr>
    </w:p>
    <w:p w:rsidR="00F61389" w:rsidRDefault="00F61389" w:rsidP="00DD7844">
      <w:pPr>
        <w:pStyle w:val="NoSpacing"/>
        <w:numPr>
          <w:ilvl w:val="0"/>
          <w:numId w:val="8"/>
        </w:numPr>
        <w:spacing w:line="480" w:lineRule="auto"/>
        <w:ind w:left="1418" w:hanging="698"/>
        <w:jc w:val="both"/>
        <w:rPr>
          <w:rFonts w:ascii="Arial" w:hAnsi="Arial" w:cs="Arial"/>
          <w:sz w:val="24"/>
          <w:szCs w:val="24"/>
        </w:rPr>
      </w:pPr>
      <w:r>
        <w:rPr>
          <w:rFonts w:ascii="Arial" w:hAnsi="Arial" w:cs="Arial"/>
          <w:sz w:val="24"/>
          <w:szCs w:val="24"/>
        </w:rPr>
        <w:t>The costs of the appeal shall include the costs of one instructing and one instructed counsel.</w:t>
      </w:r>
    </w:p>
    <w:p w:rsidR="00F44C59" w:rsidRPr="008716F5" w:rsidRDefault="00F44C59" w:rsidP="00C718E6">
      <w:pPr>
        <w:pStyle w:val="NoSpacing"/>
        <w:jc w:val="both"/>
        <w:rPr>
          <w:rFonts w:ascii="Arial" w:hAnsi="Arial" w:cs="Arial"/>
          <w:sz w:val="24"/>
          <w:szCs w:val="24"/>
        </w:rPr>
      </w:pPr>
    </w:p>
    <w:p w:rsidR="00D350E8" w:rsidRDefault="00D350E8" w:rsidP="00C718E6">
      <w:pPr>
        <w:pStyle w:val="NoSpacing"/>
        <w:jc w:val="both"/>
        <w:rPr>
          <w:rFonts w:ascii="Arial" w:hAnsi="Arial" w:cs="Arial"/>
          <w:sz w:val="24"/>
          <w:szCs w:val="24"/>
        </w:rPr>
      </w:pPr>
    </w:p>
    <w:p w:rsidR="00C718E6" w:rsidRPr="008716F5" w:rsidRDefault="00C718E6" w:rsidP="00C718E6">
      <w:pPr>
        <w:pStyle w:val="NoSpacing"/>
        <w:jc w:val="both"/>
        <w:rPr>
          <w:rFonts w:ascii="Arial" w:hAnsi="Arial" w:cs="Arial"/>
          <w:sz w:val="24"/>
          <w:szCs w:val="24"/>
        </w:rPr>
      </w:pPr>
    </w:p>
    <w:p w:rsidR="00C718E6" w:rsidRDefault="00C718E6" w:rsidP="00C718E6">
      <w:pPr>
        <w:pStyle w:val="NoSpacing"/>
        <w:rPr>
          <w:rFonts w:ascii="Arial" w:hAnsi="Arial" w:cs="Arial"/>
          <w:b/>
          <w:sz w:val="24"/>
          <w:szCs w:val="24"/>
        </w:rPr>
      </w:pPr>
    </w:p>
    <w:p w:rsidR="00721889" w:rsidRPr="008716F5" w:rsidRDefault="00721889" w:rsidP="00C718E6">
      <w:pPr>
        <w:pStyle w:val="NoSpacing"/>
        <w:rPr>
          <w:rFonts w:ascii="Arial" w:hAnsi="Arial" w:cs="Arial"/>
          <w:b/>
          <w:sz w:val="24"/>
          <w:szCs w:val="24"/>
        </w:rPr>
      </w:pPr>
      <w:r w:rsidRPr="008716F5">
        <w:rPr>
          <w:rFonts w:ascii="Arial" w:hAnsi="Arial" w:cs="Arial"/>
          <w:b/>
          <w:sz w:val="24"/>
          <w:szCs w:val="24"/>
        </w:rPr>
        <w:t>___________________</w:t>
      </w:r>
    </w:p>
    <w:p w:rsidR="00721889" w:rsidRPr="008716F5" w:rsidRDefault="002562AE" w:rsidP="00C718E6">
      <w:pPr>
        <w:pStyle w:val="NoSpacing"/>
        <w:rPr>
          <w:rFonts w:ascii="Arial" w:hAnsi="Arial" w:cs="Arial"/>
          <w:b/>
          <w:sz w:val="24"/>
          <w:szCs w:val="24"/>
        </w:rPr>
      </w:pPr>
      <w:r>
        <w:rPr>
          <w:rFonts w:ascii="Arial" w:hAnsi="Arial" w:cs="Arial"/>
          <w:b/>
          <w:sz w:val="24"/>
          <w:szCs w:val="24"/>
        </w:rPr>
        <w:t>FRANK</w:t>
      </w:r>
      <w:r w:rsidR="00A528F9" w:rsidRPr="008716F5">
        <w:rPr>
          <w:rFonts w:ascii="Arial" w:hAnsi="Arial" w:cs="Arial"/>
          <w:b/>
          <w:sz w:val="24"/>
          <w:szCs w:val="24"/>
        </w:rPr>
        <w:t xml:space="preserve"> </w:t>
      </w:r>
      <w:r>
        <w:rPr>
          <w:rFonts w:ascii="Arial" w:hAnsi="Arial" w:cs="Arial"/>
          <w:b/>
          <w:sz w:val="24"/>
          <w:szCs w:val="24"/>
        </w:rPr>
        <w:t>A</w:t>
      </w:r>
      <w:r w:rsidR="00A528F9" w:rsidRPr="008716F5">
        <w:rPr>
          <w:rFonts w:ascii="Arial" w:hAnsi="Arial" w:cs="Arial"/>
          <w:b/>
          <w:sz w:val="24"/>
          <w:szCs w:val="24"/>
        </w:rPr>
        <w:t>JA</w:t>
      </w:r>
    </w:p>
    <w:p w:rsidR="00FE5D92" w:rsidRDefault="00FE5D92" w:rsidP="00C718E6">
      <w:pPr>
        <w:pStyle w:val="NoSpacing"/>
        <w:rPr>
          <w:rFonts w:ascii="Arial" w:hAnsi="Arial" w:cs="Arial"/>
          <w:b/>
          <w:sz w:val="24"/>
          <w:szCs w:val="24"/>
        </w:rPr>
      </w:pPr>
    </w:p>
    <w:p w:rsidR="00FE5D92" w:rsidRDefault="00FE5D92" w:rsidP="00C718E6">
      <w:pPr>
        <w:pStyle w:val="NoSpacing"/>
        <w:rPr>
          <w:rFonts w:ascii="Arial" w:hAnsi="Arial" w:cs="Arial"/>
          <w:b/>
          <w:sz w:val="24"/>
          <w:szCs w:val="24"/>
        </w:rPr>
      </w:pPr>
    </w:p>
    <w:p w:rsidR="00C718E6" w:rsidRDefault="00C718E6" w:rsidP="00C718E6">
      <w:pPr>
        <w:pStyle w:val="NoSpacing"/>
        <w:spacing w:line="360" w:lineRule="auto"/>
        <w:rPr>
          <w:rFonts w:ascii="Arial" w:hAnsi="Arial" w:cs="Arial"/>
          <w:b/>
          <w:sz w:val="24"/>
          <w:szCs w:val="24"/>
        </w:rPr>
      </w:pPr>
    </w:p>
    <w:p w:rsidR="00C718E6" w:rsidRDefault="00C718E6" w:rsidP="00C718E6">
      <w:pPr>
        <w:pStyle w:val="NoSpacing"/>
        <w:spacing w:line="360" w:lineRule="auto"/>
        <w:rPr>
          <w:rFonts w:ascii="Arial" w:hAnsi="Arial" w:cs="Arial"/>
          <w:b/>
          <w:sz w:val="24"/>
          <w:szCs w:val="24"/>
        </w:rPr>
      </w:pPr>
    </w:p>
    <w:p w:rsidR="00A528F9" w:rsidRPr="008716F5" w:rsidRDefault="00A528F9" w:rsidP="00C718E6">
      <w:pPr>
        <w:pStyle w:val="NoSpacing"/>
        <w:rPr>
          <w:rFonts w:ascii="Arial" w:hAnsi="Arial" w:cs="Arial"/>
          <w:b/>
          <w:sz w:val="24"/>
          <w:szCs w:val="24"/>
        </w:rPr>
      </w:pPr>
      <w:r w:rsidRPr="008716F5">
        <w:rPr>
          <w:rFonts w:ascii="Arial" w:hAnsi="Arial" w:cs="Arial"/>
          <w:b/>
          <w:sz w:val="24"/>
          <w:szCs w:val="24"/>
        </w:rPr>
        <w:t>___________________</w:t>
      </w:r>
    </w:p>
    <w:p w:rsidR="00A528F9" w:rsidRPr="008716F5" w:rsidRDefault="00D350E8" w:rsidP="00C718E6">
      <w:pPr>
        <w:pStyle w:val="NoSpacing"/>
        <w:rPr>
          <w:rFonts w:ascii="Arial" w:hAnsi="Arial" w:cs="Arial"/>
          <w:b/>
          <w:sz w:val="24"/>
          <w:szCs w:val="24"/>
        </w:rPr>
      </w:pPr>
      <w:r w:rsidRPr="008716F5">
        <w:rPr>
          <w:rFonts w:ascii="Arial" w:hAnsi="Arial" w:cs="Arial"/>
          <w:b/>
          <w:sz w:val="24"/>
          <w:szCs w:val="24"/>
        </w:rPr>
        <w:t>DAMASEB DCJ</w:t>
      </w:r>
    </w:p>
    <w:p w:rsidR="00A528F9" w:rsidRDefault="00A528F9" w:rsidP="00C718E6">
      <w:pPr>
        <w:pStyle w:val="NoSpacing"/>
        <w:rPr>
          <w:rFonts w:ascii="Arial" w:hAnsi="Arial" w:cs="Arial"/>
          <w:b/>
          <w:sz w:val="24"/>
          <w:szCs w:val="24"/>
        </w:rPr>
      </w:pPr>
    </w:p>
    <w:p w:rsidR="00F44C59" w:rsidRDefault="00F44C59" w:rsidP="00C718E6">
      <w:pPr>
        <w:pStyle w:val="NoSpacing"/>
        <w:rPr>
          <w:rFonts w:ascii="Arial" w:hAnsi="Arial" w:cs="Arial"/>
          <w:b/>
          <w:sz w:val="24"/>
          <w:szCs w:val="24"/>
        </w:rPr>
      </w:pPr>
    </w:p>
    <w:p w:rsidR="00C718E6" w:rsidRPr="008716F5" w:rsidRDefault="00C718E6" w:rsidP="00C718E6">
      <w:pPr>
        <w:pStyle w:val="NoSpacing"/>
        <w:rPr>
          <w:rFonts w:ascii="Arial" w:hAnsi="Arial" w:cs="Arial"/>
          <w:b/>
          <w:sz w:val="24"/>
          <w:szCs w:val="24"/>
        </w:rPr>
      </w:pPr>
    </w:p>
    <w:p w:rsidR="00C718E6" w:rsidRDefault="00C718E6" w:rsidP="00C718E6">
      <w:pPr>
        <w:pStyle w:val="NoSpacing"/>
        <w:spacing w:line="360" w:lineRule="auto"/>
        <w:rPr>
          <w:rFonts w:ascii="Arial" w:hAnsi="Arial" w:cs="Arial"/>
          <w:b/>
          <w:sz w:val="24"/>
          <w:szCs w:val="24"/>
        </w:rPr>
      </w:pPr>
    </w:p>
    <w:p w:rsidR="00721889" w:rsidRPr="008716F5" w:rsidRDefault="00721889" w:rsidP="00C718E6">
      <w:pPr>
        <w:pStyle w:val="NoSpacing"/>
        <w:rPr>
          <w:rFonts w:ascii="Arial" w:hAnsi="Arial" w:cs="Arial"/>
          <w:b/>
          <w:sz w:val="24"/>
          <w:szCs w:val="24"/>
        </w:rPr>
      </w:pPr>
      <w:r w:rsidRPr="008716F5">
        <w:rPr>
          <w:rFonts w:ascii="Arial" w:hAnsi="Arial" w:cs="Arial"/>
          <w:b/>
          <w:sz w:val="24"/>
          <w:szCs w:val="24"/>
        </w:rPr>
        <w:t>___________________</w:t>
      </w:r>
    </w:p>
    <w:p w:rsidR="00721889" w:rsidRPr="008716F5" w:rsidRDefault="002562AE" w:rsidP="00C718E6">
      <w:pPr>
        <w:pStyle w:val="NoSpacing"/>
        <w:rPr>
          <w:rFonts w:ascii="Arial" w:hAnsi="Arial" w:cs="Arial"/>
          <w:sz w:val="24"/>
          <w:szCs w:val="24"/>
        </w:rPr>
      </w:pPr>
      <w:r>
        <w:rPr>
          <w:rFonts w:ascii="Arial" w:hAnsi="Arial" w:cs="Arial"/>
          <w:b/>
          <w:sz w:val="24"/>
          <w:szCs w:val="24"/>
        </w:rPr>
        <w:t>HOFF</w:t>
      </w:r>
      <w:r w:rsidR="008B2795" w:rsidRPr="008716F5">
        <w:rPr>
          <w:rFonts w:ascii="Arial" w:hAnsi="Arial" w:cs="Arial"/>
          <w:b/>
          <w:sz w:val="24"/>
          <w:szCs w:val="24"/>
        </w:rPr>
        <w:t xml:space="preserve"> JA</w:t>
      </w:r>
      <w:r w:rsidR="00721889" w:rsidRPr="008716F5">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8716F5" w:rsidTr="005C0BAB">
        <w:tc>
          <w:tcPr>
            <w:tcW w:w="4386" w:type="dxa"/>
            <w:shd w:val="clear" w:color="auto" w:fill="auto"/>
          </w:tcPr>
          <w:p w:rsidR="00721889" w:rsidRPr="008716F5" w:rsidRDefault="00721889" w:rsidP="00503269">
            <w:pPr>
              <w:ind w:right="-146"/>
              <w:rPr>
                <w:rFonts w:ascii="Arial" w:hAnsi="Arial" w:cs="Arial"/>
                <w:sz w:val="24"/>
                <w:szCs w:val="24"/>
              </w:rPr>
            </w:pPr>
            <w:r w:rsidRPr="008716F5">
              <w:rPr>
                <w:rFonts w:ascii="Arial" w:hAnsi="Arial" w:cs="Arial"/>
                <w:sz w:val="24"/>
                <w:szCs w:val="24"/>
              </w:rPr>
              <w:lastRenderedPageBreak/>
              <w:t>APPEARANCES</w:t>
            </w:r>
          </w:p>
          <w:p w:rsidR="00721889" w:rsidRPr="008716F5" w:rsidRDefault="00721889" w:rsidP="00503269">
            <w:pPr>
              <w:ind w:right="-146"/>
              <w:rPr>
                <w:rFonts w:ascii="Arial" w:hAnsi="Arial" w:cs="Arial"/>
                <w:sz w:val="24"/>
                <w:szCs w:val="24"/>
              </w:rPr>
            </w:pPr>
          </w:p>
          <w:p w:rsidR="00721889" w:rsidRPr="008716F5" w:rsidRDefault="00721889" w:rsidP="00503269">
            <w:pPr>
              <w:ind w:right="-146"/>
              <w:rPr>
                <w:rFonts w:ascii="Arial" w:hAnsi="Arial" w:cs="Arial"/>
                <w:sz w:val="24"/>
                <w:szCs w:val="24"/>
              </w:rPr>
            </w:pPr>
            <w:r w:rsidRPr="008716F5">
              <w:rPr>
                <w:rFonts w:ascii="Arial" w:hAnsi="Arial" w:cs="Arial"/>
                <w:sz w:val="24"/>
                <w:szCs w:val="24"/>
              </w:rPr>
              <w:t>APPELLANT:</w:t>
            </w:r>
          </w:p>
        </w:tc>
        <w:tc>
          <w:tcPr>
            <w:tcW w:w="4261" w:type="dxa"/>
            <w:shd w:val="clear" w:color="auto" w:fill="auto"/>
          </w:tcPr>
          <w:p w:rsidR="00721889" w:rsidRPr="008716F5" w:rsidRDefault="00721889" w:rsidP="00503269">
            <w:pPr>
              <w:rPr>
                <w:rFonts w:ascii="Arial" w:hAnsi="Arial" w:cs="Arial"/>
                <w:sz w:val="24"/>
                <w:szCs w:val="24"/>
              </w:rPr>
            </w:pPr>
          </w:p>
          <w:p w:rsidR="00721889" w:rsidRPr="008716F5" w:rsidRDefault="00721889" w:rsidP="00503269">
            <w:pPr>
              <w:rPr>
                <w:rFonts w:ascii="Arial" w:hAnsi="Arial" w:cs="Arial"/>
                <w:sz w:val="24"/>
                <w:szCs w:val="24"/>
              </w:rPr>
            </w:pPr>
          </w:p>
          <w:p w:rsidR="00721889" w:rsidRPr="008716F5" w:rsidRDefault="003B2515" w:rsidP="00503269">
            <w:pPr>
              <w:rPr>
                <w:rFonts w:ascii="Arial" w:hAnsi="Arial" w:cs="Arial"/>
                <w:sz w:val="24"/>
                <w:szCs w:val="24"/>
              </w:rPr>
            </w:pPr>
            <w:r>
              <w:rPr>
                <w:rFonts w:ascii="Arial" w:hAnsi="Arial" w:cs="Arial"/>
                <w:sz w:val="24"/>
                <w:szCs w:val="24"/>
              </w:rPr>
              <w:t>P C I Barnard</w:t>
            </w:r>
          </w:p>
          <w:p w:rsidR="00860DA9" w:rsidRPr="008716F5" w:rsidRDefault="003B2515" w:rsidP="003B2515">
            <w:pPr>
              <w:rPr>
                <w:rFonts w:ascii="Arial" w:hAnsi="Arial" w:cs="Arial"/>
                <w:sz w:val="24"/>
                <w:szCs w:val="24"/>
              </w:rPr>
            </w:pPr>
            <w:r>
              <w:rPr>
                <w:rFonts w:ascii="Arial" w:hAnsi="Arial" w:cs="Arial"/>
                <w:sz w:val="24"/>
                <w:szCs w:val="24"/>
              </w:rPr>
              <w:t>Instructed by</w:t>
            </w:r>
            <w:r w:rsidR="00860DA9" w:rsidRPr="008716F5">
              <w:rPr>
                <w:rFonts w:ascii="Arial" w:hAnsi="Arial" w:cs="Arial"/>
                <w:sz w:val="24"/>
                <w:szCs w:val="24"/>
              </w:rPr>
              <w:t xml:space="preserve"> </w:t>
            </w:r>
            <w:r>
              <w:rPr>
                <w:rFonts w:ascii="Arial" w:hAnsi="Arial" w:cs="Arial"/>
                <w:sz w:val="24"/>
                <w:szCs w:val="24"/>
              </w:rPr>
              <w:t>Du Pisani Legal Practitioners</w:t>
            </w:r>
          </w:p>
        </w:tc>
      </w:tr>
      <w:tr w:rsidR="00721889" w:rsidRPr="008716F5" w:rsidTr="005C0BAB">
        <w:tc>
          <w:tcPr>
            <w:tcW w:w="4386" w:type="dxa"/>
            <w:shd w:val="clear" w:color="auto" w:fill="auto"/>
          </w:tcPr>
          <w:p w:rsidR="00721889" w:rsidRPr="008716F5" w:rsidRDefault="00721889" w:rsidP="005F2A59">
            <w:pPr>
              <w:rPr>
                <w:rFonts w:ascii="Arial" w:hAnsi="Arial" w:cs="Arial"/>
                <w:sz w:val="24"/>
                <w:szCs w:val="24"/>
              </w:rPr>
            </w:pPr>
          </w:p>
        </w:tc>
        <w:tc>
          <w:tcPr>
            <w:tcW w:w="4261" w:type="dxa"/>
            <w:shd w:val="clear" w:color="auto" w:fill="auto"/>
          </w:tcPr>
          <w:p w:rsidR="00721889" w:rsidRPr="008716F5" w:rsidRDefault="00721889" w:rsidP="006B7D5F">
            <w:pPr>
              <w:rPr>
                <w:rFonts w:ascii="Arial" w:hAnsi="Arial" w:cs="Arial"/>
                <w:sz w:val="24"/>
                <w:szCs w:val="24"/>
              </w:rPr>
            </w:pPr>
          </w:p>
        </w:tc>
      </w:tr>
      <w:tr w:rsidR="003B2515" w:rsidRPr="008716F5" w:rsidTr="005C0BAB">
        <w:tc>
          <w:tcPr>
            <w:tcW w:w="4386" w:type="dxa"/>
            <w:shd w:val="clear" w:color="auto" w:fill="auto"/>
          </w:tcPr>
          <w:p w:rsidR="003B2515" w:rsidRDefault="003B2515" w:rsidP="005F2A59">
            <w:pPr>
              <w:rPr>
                <w:rFonts w:ascii="Arial" w:hAnsi="Arial" w:cs="Arial"/>
                <w:sz w:val="24"/>
                <w:szCs w:val="24"/>
              </w:rPr>
            </w:pPr>
            <w:r>
              <w:rPr>
                <w:rFonts w:ascii="Arial" w:hAnsi="Arial" w:cs="Arial"/>
                <w:sz w:val="24"/>
                <w:szCs w:val="24"/>
              </w:rPr>
              <w:t>FIRST AND SECOND</w:t>
            </w:r>
          </w:p>
          <w:p w:rsidR="003B2515" w:rsidRPr="008716F5" w:rsidRDefault="003B2515" w:rsidP="005F2A59">
            <w:pPr>
              <w:rPr>
                <w:rFonts w:ascii="Arial" w:hAnsi="Arial" w:cs="Arial"/>
                <w:sz w:val="24"/>
                <w:szCs w:val="24"/>
              </w:rPr>
            </w:pPr>
            <w:r>
              <w:rPr>
                <w:rFonts w:ascii="Arial" w:hAnsi="Arial" w:cs="Arial"/>
                <w:sz w:val="24"/>
                <w:szCs w:val="24"/>
              </w:rPr>
              <w:t>RESPONDENT</w:t>
            </w:r>
            <w:r w:rsidR="00D25138">
              <w:rPr>
                <w:rFonts w:ascii="Arial" w:hAnsi="Arial" w:cs="Arial"/>
                <w:sz w:val="24"/>
                <w:szCs w:val="24"/>
              </w:rPr>
              <w:t>S</w:t>
            </w:r>
            <w:r>
              <w:rPr>
                <w:rFonts w:ascii="Arial" w:hAnsi="Arial" w:cs="Arial"/>
                <w:sz w:val="24"/>
                <w:szCs w:val="24"/>
              </w:rPr>
              <w:t>:</w:t>
            </w:r>
          </w:p>
        </w:tc>
        <w:tc>
          <w:tcPr>
            <w:tcW w:w="4261" w:type="dxa"/>
            <w:shd w:val="clear" w:color="auto" w:fill="auto"/>
          </w:tcPr>
          <w:p w:rsidR="003B2515" w:rsidRDefault="003B2515" w:rsidP="006B7D5F">
            <w:pPr>
              <w:rPr>
                <w:rFonts w:ascii="Arial" w:hAnsi="Arial" w:cs="Arial"/>
                <w:sz w:val="24"/>
                <w:szCs w:val="24"/>
              </w:rPr>
            </w:pPr>
          </w:p>
          <w:p w:rsidR="003B2515" w:rsidRDefault="003B2515" w:rsidP="006B7D5F">
            <w:pPr>
              <w:rPr>
                <w:rFonts w:ascii="Arial" w:hAnsi="Arial" w:cs="Arial"/>
                <w:sz w:val="24"/>
                <w:szCs w:val="24"/>
              </w:rPr>
            </w:pPr>
            <w:r>
              <w:rPr>
                <w:rFonts w:ascii="Arial" w:hAnsi="Arial" w:cs="Arial"/>
                <w:sz w:val="24"/>
                <w:szCs w:val="24"/>
              </w:rPr>
              <w:t>A H G Denk</w:t>
            </w:r>
          </w:p>
          <w:p w:rsidR="003B2515" w:rsidRPr="008716F5" w:rsidRDefault="003B2515" w:rsidP="006B7D5F">
            <w:pPr>
              <w:rPr>
                <w:rFonts w:ascii="Arial" w:hAnsi="Arial" w:cs="Arial"/>
                <w:sz w:val="24"/>
                <w:szCs w:val="24"/>
              </w:rPr>
            </w:pPr>
            <w:r>
              <w:rPr>
                <w:rFonts w:ascii="Arial" w:hAnsi="Arial" w:cs="Arial"/>
                <w:sz w:val="24"/>
                <w:szCs w:val="24"/>
              </w:rPr>
              <w:t>Instructed by Chris Brandt Attorneys</w:t>
            </w:r>
          </w:p>
        </w:tc>
      </w:tr>
    </w:tbl>
    <w:p w:rsidR="00721889" w:rsidRPr="008716F5" w:rsidRDefault="00721889" w:rsidP="00721889">
      <w:pPr>
        <w:pStyle w:val="NoSpacing"/>
        <w:jc w:val="both"/>
        <w:rPr>
          <w:rFonts w:ascii="Arial" w:hAnsi="Arial" w:cs="Arial"/>
          <w:sz w:val="24"/>
          <w:szCs w:val="24"/>
        </w:rPr>
      </w:pPr>
    </w:p>
    <w:sectPr w:rsidR="00721889" w:rsidRPr="008716F5"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98" w:rsidRDefault="003A5398" w:rsidP="00B5013F">
      <w:pPr>
        <w:spacing w:after="0" w:line="240" w:lineRule="auto"/>
      </w:pPr>
      <w:r>
        <w:separator/>
      </w:r>
    </w:p>
  </w:endnote>
  <w:endnote w:type="continuationSeparator" w:id="0">
    <w:p w:rsidR="003A5398" w:rsidRDefault="003A5398"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98" w:rsidRDefault="003A5398" w:rsidP="00B5013F">
      <w:pPr>
        <w:spacing w:after="0" w:line="240" w:lineRule="auto"/>
      </w:pPr>
      <w:r>
        <w:separator/>
      </w:r>
    </w:p>
  </w:footnote>
  <w:footnote w:type="continuationSeparator" w:id="0">
    <w:p w:rsidR="003A5398" w:rsidRDefault="003A5398" w:rsidP="00B5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945FA9" w:rsidRPr="00ED46B6" w:rsidRDefault="00945FA9">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BE5FF6">
          <w:rPr>
            <w:rFonts w:ascii="Arial" w:hAnsi="Arial" w:cs="Arial"/>
            <w:noProof/>
            <w:sz w:val="24"/>
            <w:szCs w:val="24"/>
          </w:rPr>
          <w:t>17</w:t>
        </w:r>
        <w:r w:rsidRPr="00ED46B6">
          <w:rPr>
            <w:rFonts w:ascii="Arial" w:hAnsi="Arial" w:cs="Arial"/>
            <w:noProof/>
            <w:sz w:val="24"/>
            <w:szCs w:val="24"/>
          </w:rPr>
          <w:fldChar w:fldCharType="end"/>
        </w:r>
      </w:p>
    </w:sdtContent>
  </w:sdt>
  <w:p w:rsidR="00945FA9" w:rsidRDefault="0094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E56715"/>
    <w:multiLevelType w:val="hybridMultilevel"/>
    <w:tmpl w:val="88688EDA"/>
    <w:lvl w:ilvl="0" w:tplc="69543A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363D4"/>
    <w:multiLevelType w:val="hybridMultilevel"/>
    <w:tmpl w:val="64AA4A06"/>
    <w:lvl w:ilvl="0" w:tplc="A30C96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C4C73AE"/>
    <w:multiLevelType w:val="hybridMultilevel"/>
    <w:tmpl w:val="3352440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45B134E"/>
    <w:multiLevelType w:val="hybridMultilevel"/>
    <w:tmpl w:val="7CE844A8"/>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24A5F"/>
    <w:multiLevelType w:val="hybridMultilevel"/>
    <w:tmpl w:val="6882A8A6"/>
    <w:lvl w:ilvl="0" w:tplc="8414531A">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9"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9"/>
  </w:num>
  <w:num w:numId="4">
    <w:abstractNumId w:val="5"/>
  </w:num>
  <w:num w:numId="5">
    <w:abstractNumId w:val="8"/>
  </w:num>
  <w:num w:numId="6">
    <w:abstractNumId w:val="0"/>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225F"/>
    <w:rsid w:val="00014CC3"/>
    <w:rsid w:val="00020736"/>
    <w:rsid w:val="00023818"/>
    <w:rsid w:val="000276F0"/>
    <w:rsid w:val="000311E2"/>
    <w:rsid w:val="00033256"/>
    <w:rsid w:val="000400C4"/>
    <w:rsid w:val="00052B8A"/>
    <w:rsid w:val="00053035"/>
    <w:rsid w:val="00055805"/>
    <w:rsid w:val="00055D60"/>
    <w:rsid w:val="00057B7B"/>
    <w:rsid w:val="000643B5"/>
    <w:rsid w:val="00065459"/>
    <w:rsid w:val="000751A6"/>
    <w:rsid w:val="00077B52"/>
    <w:rsid w:val="000840CA"/>
    <w:rsid w:val="00084121"/>
    <w:rsid w:val="00086763"/>
    <w:rsid w:val="00090B47"/>
    <w:rsid w:val="00094C79"/>
    <w:rsid w:val="000A783F"/>
    <w:rsid w:val="000B06C9"/>
    <w:rsid w:val="000C3A78"/>
    <w:rsid w:val="000D1ADC"/>
    <w:rsid w:val="000D2762"/>
    <w:rsid w:val="000E008B"/>
    <w:rsid w:val="000E0BFC"/>
    <w:rsid w:val="000E1863"/>
    <w:rsid w:val="000F7D77"/>
    <w:rsid w:val="00107552"/>
    <w:rsid w:val="00112DA2"/>
    <w:rsid w:val="001227DB"/>
    <w:rsid w:val="00123718"/>
    <w:rsid w:val="0012439B"/>
    <w:rsid w:val="00124C6A"/>
    <w:rsid w:val="00125775"/>
    <w:rsid w:val="00135806"/>
    <w:rsid w:val="0013608D"/>
    <w:rsid w:val="001423E7"/>
    <w:rsid w:val="00142C08"/>
    <w:rsid w:val="001445B4"/>
    <w:rsid w:val="00151FFA"/>
    <w:rsid w:val="00157AA8"/>
    <w:rsid w:val="001676D5"/>
    <w:rsid w:val="001838C9"/>
    <w:rsid w:val="001977EB"/>
    <w:rsid w:val="001B55B9"/>
    <w:rsid w:val="001C09DB"/>
    <w:rsid w:val="001C6CB4"/>
    <w:rsid w:val="001C7DF6"/>
    <w:rsid w:val="001D4856"/>
    <w:rsid w:val="001D4EB4"/>
    <w:rsid w:val="001D58BA"/>
    <w:rsid w:val="001E299E"/>
    <w:rsid w:val="001E2F8A"/>
    <w:rsid w:val="001E44D9"/>
    <w:rsid w:val="00202C61"/>
    <w:rsid w:val="00207D05"/>
    <w:rsid w:val="00207F5F"/>
    <w:rsid w:val="00215D8F"/>
    <w:rsid w:val="00224757"/>
    <w:rsid w:val="00235E57"/>
    <w:rsid w:val="002562AE"/>
    <w:rsid w:val="00262874"/>
    <w:rsid w:val="002630D3"/>
    <w:rsid w:val="00263DE0"/>
    <w:rsid w:val="002662E3"/>
    <w:rsid w:val="002708DD"/>
    <w:rsid w:val="00286029"/>
    <w:rsid w:val="00293C2B"/>
    <w:rsid w:val="002A1184"/>
    <w:rsid w:val="002A2B5C"/>
    <w:rsid w:val="002A4C01"/>
    <w:rsid w:val="002A4CC8"/>
    <w:rsid w:val="002B0CAC"/>
    <w:rsid w:val="002B1CE3"/>
    <w:rsid w:val="002C0FC3"/>
    <w:rsid w:val="002C54A5"/>
    <w:rsid w:val="002D1B96"/>
    <w:rsid w:val="002D1E38"/>
    <w:rsid w:val="002D1F1E"/>
    <w:rsid w:val="002D2D1A"/>
    <w:rsid w:val="002E236E"/>
    <w:rsid w:val="002E4E6A"/>
    <w:rsid w:val="002E708E"/>
    <w:rsid w:val="002E7AD8"/>
    <w:rsid w:val="002F7A49"/>
    <w:rsid w:val="00300EAC"/>
    <w:rsid w:val="00301AAC"/>
    <w:rsid w:val="0030228E"/>
    <w:rsid w:val="00306503"/>
    <w:rsid w:val="0030737F"/>
    <w:rsid w:val="0030775E"/>
    <w:rsid w:val="00310940"/>
    <w:rsid w:val="00310DB3"/>
    <w:rsid w:val="00320982"/>
    <w:rsid w:val="003212CE"/>
    <w:rsid w:val="00324725"/>
    <w:rsid w:val="00333A63"/>
    <w:rsid w:val="00333E58"/>
    <w:rsid w:val="00337BE9"/>
    <w:rsid w:val="00343E2F"/>
    <w:rsid w:val="00344F44"/>
    <w:rsid w:val="00347C6D"/>
    <w:rsid w:val="003560B1"/>
    <w:rsid w:val="00357C85"/>
    <w:rsid w:val="003745AA"/>
    <w:rsid w:val="003801E5"/>
    <w:rsid w:val="00380404"/>
    <w:rsid w:val="00381349"/>
    <w:rsid w:val="00395B99"/>
    <w:rsid w:val="003A2101"/>
    <w:rsid w:val="003A31DE"/>
    <w:rsid w:val="003A3484"/>
    <w:rsid w:val="003A5398"/>
    <w:rsid w:val="003A78BA"/>
    <w:rsid w:val="003B2515"/>
    <w:rsid w:val="003C231E"/>
    <w:rsid w:val="003D4A07"/>
    <w:rsid w:val="003E1056"/>
    <w:rsid w:val="003E1A51"/>
    <w:rsid w:val="003E77F5"/>
    <w:rsid w:val="003E7F28"/>
    <w:rsid w:val="003F2FB5"/>
    <w:rsid w:val="003F5965"/>
    <w:rsid w:val="00404F8C"/>
    <w:rsid w:val="00410F60"/>
    <w:rsid w:val="00413FB2"/>
    <w:rsid w:val="004154C8"/>
    <w:rsid w:val="0041592B"/>
    <w:rsid w:val="00415D0C"/>
    <w:rsid w:val="00416B95"/>
    <w:rsid w:val="00422246"/>
    <w:rsid w:val="00427400"/>
    <w:rsid w:val="00436AEB"/>
    <w:rsid w:val="00444E75"/>
    <w:rsid w:val="00447B69"/>
    <w:rsid w:val="00451609"/>
    <w:rsid w:val="0045558C"/>
    <w:rsid w:val="00456D8B"/>
    <w:rsid w:val="00457F24"/>
    <w:rsid w:val="00461B37"/>
    <w:rsid w:val="0046662F"/>
    <w:rsid w:val="004738B5"/>
    <w:rsid w:val="0047494B"/>
    <w:rsid w:val="00475114"/>
    <w:rsid w:val="00494A59"/>
    <w:rsid w:val="004A06F7"/>
    <w:rsid w:val="004A4843"/>
    <w:rsid w:val="004A60BA"/>
    <w:rsid w:val="004B2A80"/>
    <w:rsid w:val="004B6477"/>
    <w:rsid w:val="004C0E0B"/>
    <w:rsid w:val="004C4D6B"/>
    <w:rsid w:val="004D6D0C"/>
    <w:rsid w:val="004E2834"/>
    <w:rsid w:val="004F15DB"/>
    <w:rsid w:val="004F2F0E"/>
    <w:rsid w:val="004F41EF"/>
    <w:rsid w:val="00503269"/>
    <w:rsid w:val="00510B8B"/>
    <w:rsid w:val="00512CAD"/>
    <w:rsid w:val="005168D5"/>
    <w:rsid w:val="00516EBB"/>
    <w:rsid w:val="00532C17"/>
    <w:rsid w:val="0055044E"/>
    <w:rsid w:val="00551CFA"/>
    <w:rsid w:val="00560F35"/>
    <w:rsid w:val="005653A5"/>
    <w:rsid w:val="00573E12"/>
    <w:rsid w:val="00576474"/>
    <w:rsid w:val="00576598"/>
    <w:rsid w:val="00584213"/>
    <w:rsid w:val="0059472F"/>
    <w:rsid w:val="005A4EC8"/>
    <w:rsid w:val="005A531E"/>
    <w:rsid w:val="005B0FAB"/>
    <w:rsid w:val="005B483F"/>
    <w:rsid w:val="005C0712"/>
    <w:rsid w:val="005C0BAB"/>
    <w:rsid w:val="005C38CD"/>
    <w:rsid w:val="005C5064"/>
    <w:rsid w:val="005C5B26"/>
    <w:rsid w:val="005C5EC6"/>
    <w:rsid w:val="005D1CBE"/>
    <w:rsid w:val="005D54CF"/>
    <w:rsid w:val="005D6618"/>
    <w:rsid w:val="005E22D2"/>
    <w:rsid w:val="005E3190"/>
    <w:rsid w:val="005F2A59"/>
    <w:rsid w:val="00636684"/>
    <w:rsid w:val="00644223"/>
    <w:rsid w:val="00644C54"/>
    <w:rsid w:val="00657187"/>
    <w:rsid w:val="00662F25"/>
    <w:rsid w:val="00670783"/>
    <w:rsid w:val="00672A0C"/>
    <w:rsid w:val="00673B76"/>
    <w:rsid w:val="00675D54"/>
    <w:rsid w:val="00682C7E"/>
    <w:rsid w:val="00684CD4"/>
    <w:rsid w:val="0069532C"/>
    <w:rsid w:val="006969D8"/>
    <w:rsid w:val="006A1640"/>
    <w:rsid w:val="006A368C"/>
    <w:rsid w:val="006A4F0F"/>
    <w:rsid w:val="006A7919"/>
    <w:rsid w:val="006B00F8"/>
    <w:rsid w:val="006B30C3"/>
    <w:rsid w:val="006B3680"/>
    <w:rsid w:val="006B3EDF"/>
    <w:rsid w:val="006B79FA"/>
    <w:rsid w:val="006B7D5F"/>
    <w:rsid w:val="006D60BD"/>
    <w:rsid w:val="006F71ED"/>
    <w:rsid w:val="007104EF"/>
    <w:rsid w:val="00711D32"/>
    <w:rsid w:val="00721889"/>
    <w:rsid w:val="007233CE"/>
    <w:rsid w:val="00732152"/>
    <w:rsid w:val="007374DC"/>
    <w:rsid w:val="00742D5B"/>
    <w:rsid w:val="00745BF5"/>
    <w:rsid w:val="007545D2"/>
    <w:rsid w:val="00755A20"/>
    <w:rsid w:val="00770A11"/>
    <w:rsid w:val="00771623"/>
    <w:rsid w:val="0077206A"/>
    <w:rsid w:val="007841FA"/>
    <w:rsid w:val="00784DB4"/>
    <w:rsid w:val="00790D31"/>
    <w:rsid w:val="007973FE"/>
    <w:rsid w:val="007B28AB"/>
    <w:rsid w:val="007C732D"/>
    <w:rsid w:val="007E349A"/>
    <w:rsid w:val="007E5D66"/>
    <w:rsid w:val="007F632F"/>
    <w:rsid w:val="007F6CEC"/>
    <w:rsid w:val="00804E1C"/>
    <w:rsid w:val="00811FDA"/>
    <w:rsid w:val="00813F99"/>
    <w:rsid w:val="00817BE0"/>
    <w:rsid w:val="0085015A"/>
    <w:rsid w:val="008546A2"/>
    <w:rsid w:val="0086095A"/>
    <w:rsid w:val="00860DA9"/>
    <w:rsid w:val="008652BF"/>
    <w:rsid w:val="00867738"/>
    <w:rsid w:val="008716F5"/>
    <w:rsid w:val="008730E4"/>
    <w:rsid w:val="00881FCA"/>
    <w:rsid w:val="008A1B3F"/>
    <w:rsid w:val="008A3ADD"/>
    <w:rsid w:val="008B2795"/>
    <w:rsid w:val="008B65FB"/>
    <w:rsid w:val="008C024E"/>
    <w:rsid w:val="008C1A41"/>
    <w:rsid w:val="008C3367"/>
    <w:rsid w:val="008C497D"/>
    <w:rsid w:val="008E6FF0"/>
    <w:rsid w:val="008F3E78"/>
    <w:rsid w:val="008F45AF"/>
    <w:rsid w:val="008F45CA"/>
    <w:rsid w:val="00900ABD"/>
    <w:rsid w:val="00906CCA"/>
    <w:rsid w:val="00915E6F"/>
    <w:rsid w:val="00922881"/>
    <w:rsid w:val="00924775"/>
    <w:rsid w:val="00934B73"/>
    <w:rsid w:val="009355AD"/>
    <w:rsid w:val="009435D3"/>
    <w:rsid w:val="00945FA9"/>
    <w:rsid w:val="009509F3"/>
    <w:rsid w:val="00951A76"/>
    <w:rsid w:val="00955887"/>
    <w:rsid w:val="00955AFB"/>
    <w:rsid w:val="00955E32"/>
    <w:rsid w:val="00960B23"/>
    <w:rsid w:val="00963EDF"/>
    <w:rsid w:val="00971638"/>
    <w:rsid w:val="00985510"/>
    <w:rsid w:val="00986AA9"/>
    <w:rsid w:val="00990236"/>
    <w:rsid w:val="00997979"/>
    <w:rsid w:val="009B5268"/>
    <w:rsid w:val="009B6CF2"/>
    <w:rsid w:val="009B712C"/>
    <w:rsid w:val="009C35C7"/>
    <w:rsid w:val="009C51C5"/>
    <w:rsid w:val="009C6FD9"/>
    <w:rsid w:val="009C70E6"/>
    <w:rsid w:val="009D0357"/>
    <w:rsid w:val="009E06A1"/>
    <w:rsid w:val="009E305F"/>
    <w:rsid w:val="009E7CF0"/>
    <w:rsid w:val="009F02EB"/>
    <w:rsid w:val="009F0303"/>
    <w:rsid w:val="009F1A9A"/>
    <w:rsid w:val="009F7D37"/>
    <w:rsid w:val="00A00D5C"/>
    <w:rsid w:val="00A0752F"/>
    <w:rsid w:val="00A17A41"/>
    <w:rsid w:val="00A245D9"/>
    <w:rsid w:val="00A26B21"/>
    <w:rsid w:val="00A42E7D"/>
    <w:rsid w:val="00A528F9"/>
    <w:rsid w:val="00A61081"/>
    <w:rsid w:val="00A8013B"/>
    <w:rsid w:val="00A83D32"/>
    <w:rsid w:val="00A9406A"/>
    <w:rsid w:val="00AA341C"/>
    <w:rsid w:val="00AA4C2F"/>
    <w:rsid w:val="00AA4F7E"/>
    <w:rsid w:val="00AA7AAB"/>
    <w:rsid w:val="00AA7B0A"/>
    <w:rsid w:val="00AB4D39"/>
    <w:rsid w:val="00AD42E9"/>
    <w:rsid w:val="00AD7F23"/>
    <w:rsid w:val="00AE3877"/>
    <w:rsid w:val="00AE4FE7"/>
    <w:rsid w:val="00AE72D7"/>
    <w:rsid w:val="00AF1E12"/>
    <w:rsid w:val="00B02B85"/>
    <w:rsid w:val="00B02CAE"/>
    <w:rsid w:val="00B06B54"/>
    <w:rsid w:val="00B06BAE"/>
    <w:rsid w:val="00B235A0"/>
    <w:rsid w:val="00B26C68"/>
    <w:rsid w:val="00B30288"/>
    <w:rsid w:val="00B32436"/>
    <w:rsid w:val="00B32E57"/>
    <w:rsid w:val="00B40CD3"/>
    <w:rsid w:val="00B41390"/>
    <w:rsid w:val="00B45E78"/>
    <w:rsid w:val="00B5013F"/>
    <w:rsid w:val="00B51071"/>
    <w:rsid w:val="00B539E3"/>
    <w:rsid w:val="00B56F30"/>
    <w:rsid w:val="00B65AAF"/>
    <w:rsid w:val="00B756B8"/>
    <w:rsid w:val="00B76AE2"/>
    <w:rsid w:val="00B770D1"/>
    <w:rsid w:val="00B807F3"/>
    <w:rsid w:val="00B85752"/>
    <w:rsid w:val="00BA5821"/>
    <w:rsid w:val="00BA6518"/>
    <w:rsid w:val="00BB45BC"/>
    <w:rsid w:val="00BC4266"/>
    <w:rsid w:val="00BD1685"/>
    <w:rsid w:val="00BD3B26"/>
    <w:rsid w:val="00BD516C"/>
    <w:rsid w:val="00BE2C9E"/>
    <w:rsid w:val="00BE3CC2"/>
    <w:rsid w:val="00BE5FF6"/>
    <w:rsid w:val="00BF0146"/>
    <w:rsid w:val="00BF17E1"/>
    <w:rsid w:val="00BF3B10"/>
    <w:rsid w:val="00C00BA6"/>
    <w:rsid w:val="00C012C1"/>
    <w:rsid w:val="00C1106F"/>
    <w:rsid w:val="00C17592"/>
    <w:rsid w:val="00C24A28"/>
    <w:rsid w:val="00C25ACC"/>
    <w:rsid w:val="00C26468"/>
    <w:rsid w:val="00C27B12"/>
    <w:rsid w:val="00C31EDE"/>
    <w:rsid w:val="00C40889"/>
    <w:rsid w:val="00C522BA"/>
    <w:rsid w:val="00C53D6F"/>
    <w:rsid w:val="00C543B6"/>
    <w:rsid w:val="00C55F13"/>
    <w:rsid w:val="00C65A0E"/>
    <w:rsid w:val="00C67ED5"/>
    <w:rsid w:val="00C718E6"/>
    <w:rsid w:val="00C720A8"/>
    <w:rsid w:val="00C8032B"/>
    <w:rsid w:val="00C82509"/>
    <w:rsid w:val="00C862BD"/>
    <w:rsid w:val="00CA29B7"/>
    <w:rsid w:val="00CB43FA"/>
    <w:rsid w:val="00CC108A"/>
    <w:rsid w:val="00CD1D09"/>
    <w:rsid w:val="00CD75D8"/>
    <w:rsid w:val="00CE2B8E"/>
    <w:rsid w:val="00CF6F0E"/>
    <w:rsid w:val="00D11E3A"/>
    <w:rsid w:val="00D17373"/>
    <w:rsid w:val="00D25138"/>
    <w:rsid w:val="00D2573D"/>
    <w:rsid w:val="00D315FB"/>
    <w:rsid w:val="00D3451B"/>
    <w:rsid w:val="00D350E8"/>
    <w:rsid w:val="00D65688"/>
    <w:rsid w:val="00D82AE2"/>
    <w:rsid w:val="00D84867"/>
    <w:rsid w:val="00D8490D"/>
    <w:rsid w:val="00D85442"/>
    <w:rsid w:val="00D86876"/>
    <w:rsid w:val="00D909CA"/>
    <w:rsid w:val="00D9144E"/>
    <w:rsid w:val="00D916AA"/>
    <w:rsid w:val="00D95C1E"/>
    <w:rsid w:val="00D979D5"/>
    <w:rsid w:val="00DA06FA"/>
    <w:rsid w:val="00DB39B3"/>
    <w:rsid w:val="00DC0068"/>
    <w:rsid w:val="00DC016F"/>
    <w:rsid w:val="00DD21F3"/>
    <w:rsid w:val="00DD4DFA"/>
    <w:rsid w:val="00DD756E"/>
    <w:rsid w:val="00DD7844"/>
    <w:rsid w:val="00DD7EA6"/>
    <w:rsid w:val="00DE1A54"/>
    <w:rsid w:val="00DE4719"/>
    <w:rsid w:val="00DF2594"/>
    <w:rsid w:val="00E0755A"/>
    <w:rsid w:val="00E12A13"/>
    <w:rsid w:val="00E14CCD"/>
    <w:rsid w:val="00E1729A"/>
    <w:rsid w:val="00E17E65"/>
    <w:rsid w:val="00E34535"/>
    <w:rsid w:val="00E42454"/>
    <w:rsid w:val="00E46EBC"/>
    <w:rsid w:val="00E50E95"/>
    <w:rsid w:val="00E57C4E"/>
    <w:rsid w:val="00E63D3D"/>
    <w:rsid w:val="00E65443"/>
    <w:rsid w:val="00E741F9"/>
    <w:rsid w:val="00E75B15"/>
    <w:rsid w:val="00E76268"/>
    <w:rsid w:val="00E76B62"/>
    <w:rsid w:val="00E76EE1"/>
    <w:rsid w:val="00E770D7"/>
    <w:rsid w:val="00E838F2"/>
    <w:rsid w:val="00E84B55"/>
    <w:rsid w:val="00E87E86"/>
    <w:rsid w:val="00EA0987"/>
    <w:rsid w:val="00EC5C7D"/>
    <w:rsid w:val="00EC5C96"/>
    <w:rsid w:val="00ED46B6"/>
    <w:rsid w:val="00EF68AC"/>
    <w:rsid w:val="00EF6EDE"/>
    <w:rsid w:val="00F03ABF"/>
    <w:rsid w:val="00F041A1"/>
    <w:rsid w:val="00F221DC"/>
    <w:rsid w:val="00F255FF"/>
    <w:rsid w:val="00F2608D"/>
    <w:rsid w:val="00F36C83"/>
    <w:rsid w:val="00F41D83"/>
    <w:rsid w:val="00F430C6"/>
    <w:rsid w:val="00F43CDC"/>
    <w:rsid w:val="00F44C59"/>
    <w:rsid w:val="00F531DF"/>
    <w:rsid w:val="00F560A6"/>
    <w:rsid w:val="00F611DD"/>
    <w:rsid w:val="00F61389"/>
    <w:rsid w:val="00F61DE0"/>
    <w:rsid w:val="00F7039E"/>
    <w:rsid w:val="00F7092A"/>
    <w:rsid w:val="00F7134F"/>
    <w:rsid w:val="00F713EC"/>
    <w:rsid w:val="00F741A7"/>
    <w:rsid w:val="00F7644F"/>
    <w:rsid w:val="00F76B83"/>
    <w:rsid w:val="00F9698D"/>
    <w:rsid w:val="00F96BC1"/>
    <w:rsid w:val="00FA01EE"/>
    <w:rsid w:val="00FA0DDF"/>
    <w:rsid w:val="00FB1B6F"/>
    <w:rsid w:val="00FB31DF"/>
    <w:rsid w:val="00FB5BE0"/>
    <w:rsid w:val="00FC060D"/>
    <w:rsid w:val="00FC3DC5"/>
    <w:rsid w:val="00FC6CE4"/>
    <w:rsid w:val="00FD1E6B"/>
    <w:rsid w:val="00FD2C12"/>
    <w:rsid w:val="00FE5D92"/>
    <w:rsid w:val="00FE5E27"/>
    <w:rsid w:val="00FE5E3B"/>
    <w:rsid w:val="00FF17DE"/>
    <w:rsid w:val="00FF41DA"/>
    <w:rsid w:val="00FF4533"/>
    <w:rsid w:val="00FF48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paragraph" w:styleId="EnvelopeAddress">
    <w:name w:val="envelope address"/>
    <w:basedOn w:val="Normal"/>
    <w:uiPriority w:val="99"/>
    <w:semiHidden/>
    <w:unhideWhenUsed/>
    <w:rsid w:val="008716F5"/>
    <w:pPr>
      <w:framePr w:w="7920" w:h="1980" w:hRule="exact" w:hSpace="180" w:wrap="auto" w:hAnchor="page" w:xAlign="center" w:yAlign="bottom"/>
      <w:spacing w:after="0" w:line="240" w:lineRule="auto"/>
      <w:ind w:left="2880"/>
      <w:jc w:val="both"/>
    </w:pPr>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2018-05-02T18:30:00+00:00</Judgment_x0020_Date>
    <Year xmlns="63bdd487-88aa-4c54-b893-ddaa81ed2e7c">2018</Year>
  </documentManagement>
</p:properties>
</file>

<file path=customXml/itemProps1.xml><?xml version="1.0" encoding="utf-8"?>
<ds:datastoreItem xmlns:ds="http://schemas.openxmlformats.org/officeDocument/2006/customXml" ds:itemID="{531013CD-B52C-49A1-8892-CB58ADDB39EF}"/>
</file>

<file path=customXml/itemProps2.xml><?xml version="1.0" encoding="utf-8"?>
<ds:datastoreItem xmlns:ds="http://schemas.openxmlformats.org/officeDocument/2006/customXml" ds:itemID="{B5F0AA29-DD3C-4054-BB39-F4340C3B91D8}"/>
</file>

<file path=customXml/itemProps3.xml><?xml version="1.0" encoding="utf-8"?>
<ds:datastoreItem xmlns:ds="http://schemas.openxmlformats.org/officeDocument/2006/customXml" ds:itemID="{E5F0238E-D547-4519-818F-8AA3F72B9E64}"/>
</file>

<file path=customXml/itemProps4.xml><?xml version="1.0" encoding="utf-8"?>
<ds:datastoreItem xmlns:ds="http://schemas.openxmlformats.org/officeDocument/2006/customXml" ds:itemID="{644CF676-6FC4-4BBC-AD2C-8B866AEA57A3}"/>
</file>

<file path=docProps/app.xml><?xml version="1.0" encoding="utf-8"?>
<Properties xmlns="http://schemas.openxmlformats.org/officeDocument/2006/extended-properties" xmlns:vt="http://schemas.openxmlformats.org/officeDocument/2006/docPropsVTypes">
  <Template>Normal</Template>
  <TotalTime>5</TotalTime>
  <Pages>17</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Neliswa Tjahikika</cp:lastModifiedBy>
  <cp:revision>2</cp:revision>
  <cp:lastPrinted>2018-04-27T10:50:00Z</cp:lastPrinted>
  <dcterms:created xsi:type="dcterms:W3CDTF">2018-05-03T09:43:00Z</dcterms:created>
  <dcterms:modified xsi:type="dcterms:W3CDTF">2018-05-03T09:43:00Z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