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67" w:rsidRPr="00595EA4" w:rsidRDefault="008C3367" w:rsidP="008C3367">
      <w:pPr>
        <w:keepNext/>
        <w:spacing w:line="360" w:lineRule="auto"/>
        <w:jc w:val="center"/>
        <w:outlineLvl w:val="0"/>
        <w:rPr>
          <w:rFonts w:ascii="Arial" w:hAnsi="Arial" w:cs="Arial"/>
          <w:b/>
          <w:bCs/>
          <w:sz w:val="24"/>
          <w:szCs w:val="24"/>
        </w:rPr>
      </w:pPr>
      <w:bookmarkStart w:id="0" w:name="_GoBack"/>
      <w:bookmarkEnd w:id="0"/>
      <w:r w:rsidRPr="00595EA4">
        <w:rPr>
          <w:rFonts w:ascii="Arial" w:hAnsi="Arial" w:cs="Arial"/>
          <w:b/>
          <w:bCs/>
          <w:noProof/>
          <w:sz w:val="24"/>
          <w:szCs w:val="24"/>
          <w:lang w:val="en-US"/>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3C78A2" w:rsidRDefault="008C3367" w:rsidP="008C3367">
      <w:pPr>
        <w:spacing w:line="480" w:lineRule="auto"/>
        <w:ind w:left="1701"/>
        <w:jc w:val="right"/>
        <w:rPr>
          <w:rFonts w:ascii="Arial" w:hAnsi="Arial" w:cs="Arial"/>
          <w:b/>
          <w:sz w:val="24"/>
          <w:szCs w:val="24"/>
        </w:rPr>
      </w:pPr>
      <w:r w:rsidRPr="003C78A2">
        <w:rPr>
          <w:rFonts w:ascii="Arial" w:hAnsi="Arial" w:cs="Arial"/>
          <w:b/>
          <w:sz w:val="24"/>
          <w:szCs w:val="24"/>
        </w:rPr>
        <w:t>REPORTABLE</w:t>
      </w:r>
    </w:p>
    <w:p w:rsidR="008C3367" w:rsidRPr="007C732D" w:rsidRDefault="008C3367" w:rsidP="007C732D">
      <w:pPr>
        <w:spacing w:after="0" w:line="240" w:lineRule="auto"/>
        <w:jc w:val="right"/>
        <w:rPr>
          <w:rFonts w:ascii="Arial" w:hAnsi="Arial" w:cs="Arial"/>
          <w:sz w:val="24"/>
          <w:szCs w:val="24"/>
        </w:rPr>
      </w:pPr>
      <w:r w:rsidRPr="007C732D">
        <w:rPr>
          <w:rFonts w:ascii="Arial" w:hAnsi="Arial" w:cs="Arial"/>
          <w:sz w:val="24"/>
          <w:szCs w:val="24"/>
        </w:rPr>
        <w:t xml:space="preserve">CASE NO: SA </w:t>
      </w:r>
      <w:r w:rsidR="00F8287A">
        <w:rPr>
          <w:rFonts w:ascii="Arial" w:hAnsi="Arial" w:cs="Arial"/>
          <w:sz w:val="24"/>
          <w:szCs w:val="24"/>
        </w:rPr>
        <w:t>41</w:t>
      </w:r>
      <w:r w:rsidRPr="007C732D">
        <w:rPr>
          <w:rFonts w:ascii="Arial" w:hAnsi="Arial" w:cs="Arial"/>
          <w:sz w:val="24"/>
          <w:szCs w:val="24"/>
        </w:rPr>
        <w:t>/201</w:t>
      </w:r>
      <w:r w:rsidR="007104EF" w:rsidRPr="007C732D">
        <w:rPr>
          <w:rFonts w:ascii="Arial" w:hAnsi="Arial" w:cs="Arial"/>
          <w:sz w:val="24"/>
          <w:szCs w:val="24"/>
        </w:rPr>
        <w:t>6</w:t>
      </w:r>
    </w:p>
    <w:p w:rsidR="008C3367" w:rsidRPr="007C732D" w:rsidRDefault="008C3367" w:rsidP="007C732D">
      <w:pPr>
        <w:spacing w:after="0" w:line="240" w:lineRule="auto"/>
        <w:jc w:val="right"/>
        <w:rPr>
          <w:rFonts w:ascii="Arial" w:hAnsi="Arial" w:cs="Arial"/>
          <w:sz w:val="24"/>
          <w:szCs w:val="24"/>
        </w:rPr>
      </w:pPr>
    </w:p>
    <w:p w:rsidR="008C3367" w:rsidRPr="00A27819" w:rsidRDefault="008C3367" w:rsidP="008C3367">
      <w:pPr>
        <w:spacing w:line="240" w:lineRule="auto"/>
        <w:ind w:left="-142"/>
        <w:jc w:val="both"/>
        <w:rPr>
          <w:rFonts w:ascii="Arial" w:hAnsi="Arial" w:cs="Arial"/>
          <w:b/>
          <w:sz w:val="24"/>
          <w:szCs w:val="24"/>
        </w:rPr>
      </w:pPr>
    </w:p>
    <w:p w:rsidR="008C3367" w:rsidRPr="00A27819" w:rsidRDefault="008C3367" w:rsidP="00B40CD3">
      <w:pPr>
        <w:spacing w:line="240" w:lineRule="auto"/>
        <w:jc w:val="both"/>
        <w:rPr>
          <w:rFonts w:ascii="Arial" w:hAnsi="Arial" w:cs="Arial"/>
          <w:b/>
          <w:sz w:val="24"/>
          <w:szCs w:val="24"/>
        </w:rPr>
      </w:pPr>
      <w:r w:rsidRPr="00A27819">
        <w:rPr>
          <w:rFonts w:ascii="Arial" w:hAnsi="Arial" w:cs="Arial"/>
          <w:b/>
          <w:sz w:val="24"/>
          <w:szCs w:val="24"/>
        </w:rPr>
        <w:t>IN THE SUPREME COURT OF NAMIBIA</w:t>
      </w:r>
    </w:p>
    <w:p w:rsidR="008C3367" w:rsidRPr="00A27819" w:rsidRDefault="008C3367" w:rsidP="00B40CD3">
      <w:pPr>
        <w:spacing w:line="240" w:lineRule="auto"/>
        <w:jc w:val="both"/>
        <w:rPr>
          <w:rFonts w:ascii="Arial" w:hAnsi="Arial" w:cs="Arial"/>
          <w:sz w:val="24"/>
          <w:szCs w:val="24"/>
        </w:rPr>
      </w:pPr>
    </w:p>
    <w:p w:rsidR="008C3367" w:rsidRPr="00A27819" w:rsidRDefault="008C3367" w:rsidP="00B40CD3">
      <w:pPr>
        <w:spacing w:line="240" w:lineRule="auto"/>
        <w:jc w:val="both"/>
        <w:rPr>
          <w:rFonts w:ascii="Arial" w:hAnsi="Arial" w:cs="Arial"/>
          <w:sz w:val="24"/>
          <w:szCs w:val="24"/>
        </w:rPr>
      </w:pPr>
      <w:r w:rsidRPr="00A27819">
        <w:rPr>
          <w:rFonts w:ascii="Arial" w:hAnsi="Arial" w:cs="Arial"/>
          <w:sz w:val="24"/>
          <w:szCs w:val="24"/>
        </w:rPr>
        <w:t>In the matter between:</w:t>
      </w:r>
    </w:p>
    <w:tbl>
      <w:tblPr>
        <w:tblW w:w="9215" w:type="dxa"/>
        <w:tblInd w:w="-142" w:type="dxa"/>
        <w:tblLook w:val="04A0" w:firstRow="1" w:lastRow="0" w:firstColumn="1" w:lastColumn="0" w:noHBand="0" w:noVBand="1"/>
      </w:tblPr>
      <w:tblGrid>
        <w:gridCol w:w="6204"/>
        <w:gridCol w:w="3011"/>
      </w:tblGrid>
      <w:tr w:rsidR="008C3367" w:rsidRPr="00A27819" w:rsidTr="00B40CD3">
        <w:tc>
          <w:tcPr>
            <w:tcW w:w="6204" w:type="dxa"/>
            <w:shd w:val="clear" w:color="auto" w:fill="auto"/>
          </w:tcPr>
          <w:p w:rsidR="008C3367" w:rsidRPr="00A27819" w:rsidRDefault="008C3367" w:rsidP="00B40CD3">
            <w:pPr>
              <w:spacing w:line="240" w:lineRule="auto"/>
              <w:jc w:val="both"/>
              <w:rPr>
                <w:rFonts w:ascii="Arial" w:hAnsi="Arial" w:cs="Arial"/>
                <w:b/>
                <w:sz w:val="24"/>
                <w:szCs w:val="24"/>
              </w:rPr>
            </w:pPr>
          </w:p>
        </w:tc>
        <w:tc>
          <w:tcPr>
            <w:tcW w:w="3011" w:type="dxa"/>
            <w:shd w:val="clear" w:color="auto" w:fill="auto"/>
          </w:tcPr>
          <w:p w:rsidR="008C3367" w:rsidRPr="00A27819" w:rsidRDefault="008C3367" w:rsidP="00B40CD3">
            <w:pPr>
              <w:spacing w:line="240" w:lineRule="auto"/>
              <w:jc w:val="right"/>
              <w:rPr>
                <w:rFonts w:ascii="Arial" w:hAnsi="Arial" w:cs="Arial"/>
                <w:b/>
                <w:sz w:val="24"/>
                <w:szCs w:val="24"/>
              </w:rPr>
            </w:pPr>
          </w:p>
        </w:tc>
      </w:tr>
      <w:tr w:rsidR="008C3367" w:rsidRPr="00A27819" w:rsidTr="00B40CD3">
        <w:tc>
          <w:tcPr>
            <w:tcW w:w="6204" w:type="dxa"/>
            <w:shd w:val="clear" w:color="auto" w:fill="auto"/>
          </w:tcPr>
          <w:p w:rsidR="008C3367" w:rsidRDefault="00F8287A" w:rsidP="00B40CD3">
            <w:pPr>
              <w:spacing w:line="240" w:lineRule="auto"/>
              <w:jc w:val="both"/>
              <w:rPr>
                <w:rFonts w:ascii="Arial" w:hAnsi="Arial" w:cs="Arial"/>
                <w:b/>
                <w:sz w:val="24"/>
                <w:szCs w:val="24"/>
              </w:rPr>
            </w:pPr>
            <w:r>
              <w:rPr>
                <w:rFonts w:ascii="Arial" w:hAnsi="Arial" w:cs="Arial"/>
                <w:b/>
                <w:sz w:val="24"/>
                <w:szCs w:val="24"/>
              </w:rPr>
              <w:t>CLAUD BOSCH ARCHITECTS CC</w:t>
            </w:r>
          </w:p>
        </w:tc>
        <w:tc>
          <w:tcPr>
            <w:tcW w:w="3011" w:type="dxa"/>
            <w:shd w:val="clear" w:color="auto" w:fill="auto"/>
          </w:tcPr>
          <w:p w:rsidR="008C3367" w:rsidRDefault="008C3367" w:rsidP="00B40CD3">
            <w:pPr>
              <w:spacing w:line="240" w:lineRule="auto"/>
              <w:jc w:val="right"/>
              <w:rPr>
                <w:rFonts w:ascii="Arial" w:hAnsi="Arial" w:cs="Arial"/>
                <w:b/>
                <w:sz w:val="24"/>
                <w:szCs w:val="24"/>
              </w:rPr>
            </w:pPr>
            <w:r>
              <w:rPr>
                <w:rFonts w:ascii="Arial" w:hAnsi="Arial" w:cs="Arial"/>
                <w:b/>
                <w:sz w:val="24"/>
                <w:szCs w:val="24"/>
              </w:rPr>
              <w:t>Appellant</w:t>
            </w:r>
          </w:p>
        </w:tc>
      </w:tr>
      <w:tr w:rsidR="008C3367" w:rsidRPr="00A27819" w:rsidTr="00B40CD3">
        <w:tc>
          <w:tcPr>
            <w:tcW w:w="6204" w:type="dxa"/>
            <w:shd w:val="clear" w:color="auto" w:fill="auto"/>
          </w:tcPr>
          <w:p w:rsidR="008C3367" w:rsidRDefault="008C3367" w:rsidP="00B40CD3">
            <w:pPr>
              <w:spacing w:line="240" w:lineRule="auto"/>
              <w:jc w:val="both"/>
              <w:rPr>
                <w:rFonts w:ascii="Arial" w:hAnsi="Arial" w:cs="Arial"/>
                <w:b/>
                <w:sz w:val="24"/>
                <w:szCs w:val="24"/>
              </w:rPr>
            </w:pPr>
          </w:p>
        </w:tc>
        <w:tc>
          <w:tcPr>
            <w:tcW w:w="3011" w:type="dxa"/>
            <w:shd w:val="clear" w:color="auto" w:fill="auto"/>
          </w:tcPr>
          <w:p w:rsidR="008C3367" w:rsidRDefault="008C3367" w:rsidP="00B40CD3">
            <w:pPr>
              <w:spacing w:line="240" w:lineRule="auto"/>
              <w:jc w:val="right"/>
              <w:rPr>
                <w:rFonts w:ascii="Arial" w:hAnsi="Arial" w:cs="Arial"/>
                <w:b/>
                <w:sz w:val="24"/>
                <w:szCs w:val="24"/>
              </w:rPr>
            </w:pPr>
          </w:p>
        </w:tc>
      </w:tr>
      <w:tr w:rsidR="008C3367" w:rsidRPr="00A27819" w:rsidTr="00B40CD3">
        <w:tc>
          <w:tcPr>
            <w:tcW w:w="6204" w:type="dxa"/>
            <w:shd w:val="clear" w:color="auto" w:fill="auto"/>
          </w:tcPr>
          <w:p w:rsidR="008C3367" w:rsidRPr="00A27819" w:rsidRDefault="00075BB0" w:rsidP="00B40CD3">
            <w:pPr>
              <w:spacing w:line="240" w:lineRule="auto"/>
              <w:jc w:val="both"/>
              <w:rPr>
                <w:rFonts w:ascii="Arial" w:hAnsi="Arial" w:cs="Arial"/>
                <w:sz w:val="24"/>
                <w:szCs w:val="24"/>
              </w:rPr>
            </w:pPr>
            <w:r>
              <w:rPr>
                <w:rFonts w:ascii="Arial" w:hAnsi="Arial" w:cs="Arial"/>
                <w:sz w:val="24"/>
                <w:szCs w:val="24"/>
              </w:rPr>
              <w:t>A</w:t>
            </w:r>
            <w:r w:rsidR="008C3367" w:rsidRPr="00A27819">
              <w:rPr>
                <w:rFonts w:ascii="Arial" w:hAnsi="Arial" w:cs="Arial"/>
                <w:sz w:val="24"/>
                <w:szCs w:val="24"/>
              </w:rPr>
              <w:t>nd</w:t>
            </w:r>
          </w:p>
        </w:tc>
        <w:tc>
          <w:tcPr>
            <w:tcW w:w="3011" w:type="dxa"/>
            <w:shd w:val="clear" w:color="auto" w:fill="auto"/>
          </w:tcPr>
          <w:p w:rsidR="008C3367" w:rsidRPr="00A27819" w:rsidRDefault="008C3367" w:rsidP="00B40CD3">
            <w:pPr>
              <w:spacing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Pr="00A27819" w:rsidRDefault="008C3367" w:rsidP="00B40CD3">
            <w:pPr>
              <w:spacing w:line="240" w:lineRule="auto"/>
              <w:jc w:val="both"/>
              <w:rPr>
                <w:rFonts w:ascii="Arial" w:hAnsi="Arial" w:cs="Arial"/>
                <w:b/>
                <w:sz w:val="24"/>
                <w:szCs w:val="24"/>
              </w:rPr>
            </w:pPr>
          </w:p>
        </w:tc>
        <w:tc>
          <w:tcPr>
            <w:tcW w:w="3011" w:type="dxa"/>
            <w:shd w:val="clear" w:color="auto" w:fill="auto"/>
          </w:tcPr>
          <w:p w:rsidR="008C3367" w:rsidRPr="00A27819" w:rsidRDefault="008C3367" w:rsidP="00B40CD3">
            <w:pPr>
              <w:spacing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Default="00F8287A" w:rsidP="00B40CD3">
            <w:pPr>
              <w:spacing w:line="240" w:lineRule="auto"/>
              <w:jc w:val="both"/>
              <w:rPr>
                <w:rFonts w:ascii="Arial" w:hAnsi="Arial" w:cs="Arial"/>
                <w:b/>
                <w:sz w:val="24"/>
                <w:szCs w:val="24"/>
              </w:rPr>
            </w:pPr>
            <w:r>
              <w:rPr>
                <w:rFonts w:ascii="Arial" w:hAnsi="Arial" w:cs="Arial"/>
                <w:b/>
                <w:sz w:val="24"/>
                <w:szCs w:val="24"/>
              </w:rPr>
              <w:t xml:space="preserve">AUAS BUSINESS ENTERPRISES NUMBER 123 </w:t>
            </w:r>
          </w:p>
          <w:p w:rsidR="008C3367" w:rsidRPr="00A27819" w:rsidRDefault="00F8287A" w:rsidP="00B40CD3">
            <w:pPr>
              <w:spacing w:line="240" w:lineRule="auto"/>
              <w:jc w:val="both"/>
              <w:rPr>
                <w:rFonts w:ascii="Arial" w:hAnsi="Arial" w:cs="Arial"/>
                <w:b/>
                <w:sz w:val="24"/>
                <w:szCs w:val="24"/>
              </w:rPr>
            </w:pPr>
            <w:r>
              <w:rPr>
                <w:rFonts w:ascii="Arial" w:hAnsi="Arial" w:cs="Arial"/>
                <w:b/>
                <w:sz w:val="24"/>
                <w:szCs w:val="24"/>
              </w:rPr>
              <w:t>(PTY) LTD</w:t>
            </w:r>
          </w:p>
        </w:tc>
        <w:tc>
          <w:tcPr>
            <w:tcW w:w="3011" w:type="dxa"/>
            <w:shd w:val="clear" w:color="auto" w:fill="auto"/>
          </w:tcPr>
          <w:p w:rsidR="008C3367" w:rsidRDefault="008C3367" w:rsidP="00B40CD3">
            <w:pPr>
              <w:spacing w:line="240" w:lineRule="auto"/>
              <w:jc w:val="right"/>
              <w:rPr>
                <w:rFonts w:ascii="Arial" w:hAnsi="Arial" w:cs="Arial"/>
                <w:b/>
                <w:sz w:val="24"/>
                <w:szCs w:val="24"/>
              </w:rPr>
            </w:pPr>
          </w:p>
          <w:p w:rsidR="00584213" w:rsidRPr="00A27819" w:rsidRDefault="00584213" w:rsidP="00B40CD3">
            <w:pPr>
              <w:spacing w:line="240" w:lineRule="auto"/>
              <w:jc w:val="right"/>
              <w:rPr>
                <w:rFonts w:ascii="Arial" w:hAnsi="Arial" w:cs="Arial"/>
                <w:b/>
                <w:sz w:val="24"/>
                <w:szCs w:val="24"/>
              </w:rPr>
            </w:pPr>
            <w:r w:rsidRPr="00A27819">
              <w:rPr>
                <w:rFonts w:ascii="Arial" w:hAnsi="Arial" w:cs="Arial"/>
                <w:b/>
                <w:sz w:val="24"/>
                <w:szCs w:val="24"/>
              </w:rPr>
              <w:t>Respondent</w:t>
            </w:r>
          </w:p>
        </w:tc>
      </w:tr>
      <w:tr w:rsidR="00584213" w:rsidRPr="00A27819" w:rsidTr="00B40CD3">
        <w:tc>
          <w:tcPr>
            <w:tcW w:w="6204" w:type="dxa"/>
            <w:shd w:val="clear" w:color="auto" w:fill="auto"/>
          </w:tcPr>
          <w:p w:rsidR="00584213" w:rsidRDefault="00584213" w:rsidP="00B40CD3">
            <w:pPr>
              <w:spacing w:line="240" w:lineRule="auto"/>
              <w:ind w:firstLine="142"/>
              <w:jc w:val="both"/>
              <w:rPr>
                <w:rFonts w:ascii="Arial" w:hAnsi="Arial" w:cs="Arial"/>
                <w:b/>
                <w:sz w:val="24"/>
                <w:szCs w:val="24"/>
              </w:rPr>
            </w:pPr>
          </w:p>
        </w:tc>
        <w:tc>
          <w:tcPr>
            <w:tcW w:w="3011" w:type="dxa"/>
            <w:shd w:val="clear" w:color="auto" w:fill="auto"/>
          </w:tcPr>
          <w:p w:rsidR="00584213" w:rsidRPr="00A27819" w:rsidRDefault="00584213" w:rsidP="00B40CD3">
            <w:pPr>
              <w:spacing w:line="240" w:lineRule="auto"/>
              <w:ind w:firstLine="142"/>
              <w:jc w:val="right"/>
              <w:rPr>
                <w:rFonts w:ascii="Arial" w:hAnsi="Arial" w:cs="Arial"/>
                <w:b/>
                <w:sz w:val="24"/>
                <w:szCs w:val="24"/>
              </w:rPr>
            </w:pPr>
          </w:p>
        </w:tc>
      </w:tr>
    </w:tbl>
    <w:p w:rsidR="008C3367" w:rsidRPr="00A27819" w:rsidRDefault="008C3367" w:rsidP="00B40CD3">
      <w:pPr>
        <w:spacing w:line="240" w:lineRule="auto"/>
        <w:ind w:left="-142" w:firstLine="142"/>
        <w:jc w:val="both"/>
        <w:rPr>
          <w:rFonts w:ascii="Arial" w:hAnsi="Arial" w:cs="Arial"/>
          <w:sz w:val="24"/>
          <w:szCs w:val="24"/>
        </w:rPr>
      </w:pPr>
      <w:r w:rsidRPr="00A27819">
        <w:rPr>
          <w:rFonts w:ascii="Arial" w:hAnsi="Arial" w:cs="Arial"/>
          <w:b/>
          <w:sz w:val="24"/>
          <w:szCs w:val="24"/>
        </w:rPr>
        <w:t>Coram:</w:t>
      </w:r>
      <w:r>
        <w:rPr>
          <w:rFonts w:ascii="Arial" w:hAnsi="Arial" w:cs="Arial"/>
          <w:sz w:val="24"/>
          <w:szCs w:val="24"/>
        </w:rPr>
        <w:tab/>
      </w:r>
      <w:r>
        <w:rPr>
          <w:rFonts w:ascii="Arial" w:hAnsi="Arial" w:cs="Arial"/>
          <w:sz w:val="24"/>
          <w:szCs w:val="24"/>
        </w:rPr>
        <w:tab/>
      </w:r>
      <w:r w:rsidR="00F8287A">
        <w:rPr>
          <w:rFonts w:ascii="Arial" w:hAnsi="Arial" w:cs="Arial"/>
          <w:sz w:val="24"/>
          <w:szCs w:val="24"/>
        </w:rPr>
        <w:t>MAINGA JA,</w:t>
      </w:r>
      <w:r>
        <w:rPr>
          <w:rFonts w:ascii="Arial" w:hAnsi="Arial" w:cs="Arial"/>
          <w:sz w:val="24"/>
          <w:szCs w:val="24"/>
        </w:rPr>
        <w:t xml:space="preserve"> </w:t>
      </w:r>
      <w:r w:rsidRPr="00A27819">
        <w:rPr>
          <w:rFonts w:ascii="Arial" w:hAnsi="Arial" w:cs="Arial"/>
          <w:sz w:val="24"/>
          <w:szCs w:val="24"/>
        </w:rPr>
        <w:t>SMUTS JA</w:t>
      </w:r>
      <w:r w:rsidR="00F8287A" w:rsidRPr="00F8287A">
        <w:rPr>
          <w:rFonts w:ascii="Arial" w:hAnsi="Arial" w:cs="Arial"/>
          <w:sz w:val="24"/>
          <w:szCs w:val="24"/>
        </w:rPr>
        <w:t xml:space="preserve"> </w:t>
      </w:r>
      <w:r w:rsidR="00F8287A" w:rsidRPr="00A27819">
        <w:rPr>
          <w:rFonts w:ascii="Arial" w:hAnsi="Arial" w:cs="Arial"/>
          <w:sz w:val="24"/>
          <w:szCs w:val="24"/>
        </w:rPr>
        <w:t>and</w:t>
      </w:r>
      <w:r w:rsidR="00F8287A">
        <w:rPr>
          <w:rFonts w:ascii="Arial" w:hAnsi="Arial" w:cs="Arial"/>
          <w:sz w:val="24"/>
          <w:szCs w:val="24"/>
        </w:rPr>
        <w:t xml:space="preserve"> HOFF JA</w:t>
      </w:r>
    </w:p>
    <w:p w:rsidR="008C3367" w:rsidRPr="00A27819" w:rsidRDefault="008C3367" w:rsidP="00B40CD3">
      <w:pPr>
        <w:spacing w:line="240" w:lineRule="auto"/>
        <w:ind w:left="-142" w:firstLine="142"/>
        <w:jc w:val="both"/>
        <w:rPr>
          <w:rFonts w:ascii="Arial" w:hAnsi="Arial" w:cs="Arial"/>
          <w:b/>
          <w:sz w:val="24"/>
          <w:szCs w:val="24"/>
        </w:rPr>
      </w:pPr>
      <w:r w:rsidRPr="00A27819">
        <w:rPr>
          <w:rFonts w:ascii="Arial" w:hAnsi="Arial" w:cs="Arial"/>
          <w:b/>
          <w:sz w:val="24"/>
          <w:szCs w:val="24"/>
        </w:rPr>
        <w:t>Heard:</w:t>
      </w:r>
      <w:r w:rsidRPr="00A27819">
        <w:rPr>
          <w:rFonts w:ascii="Arial" w:hAnsi="Arial" w:cs="Arial"/>
          <w:b/>
          <w:sz w:val="24"/>
          <w:szCs w:val="24"/>
        </w:rPr>
        <w:tab/>
      </w:r>
      <w:r w:rsidRPr="00A27819">
        <w:rPr>
          <w:rFonts w:ascii="Arial" w:hAnsi="Arial" w:cs="Arial"/>
          <w:b/>
          <w:sz w:val="24"/>
          <w:szCs w:val="24"/>
        </w:rPr>
        <w:tab/>
      </w:r>
      <w:r w:rsidR="00F8287A">
        <w:rPr>
          <w:rFonts w:ascii="Arial" w:hAnsi="Arial" w:cs="Arial"/>
          <w:b/>
          <w:sz w:val="24"/>
          <w:szCs w:val="24"/>
        </w:rPr>
        <w:t>3 November</w:t>
      </w:r>
      <w:r w:rsidRPr="00A27819">
        <w:rPr>
          <w:rFonts w:ascii="Arial" w:hAnsi="Arial" w:cs="Arial"/>
          <w:b/>
          <w:sz w:val="24"/>
          <w:szCs w:val="24"/>
        </w:rPr>
        <w:t xml:space="preserve"> 2017</w:t>
      </w:r>
    </w:p>
    <w:p w:rsidR="008C3367" w:rsidRPr="00A27819" w:rsidRDefault="008C3367" w:rsidP="00B40CD3">
      <w:pPr>
        <w:spacing w:line="24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B40CD3">
        <w:rPr>
          <w:rFonts w:ascii="Arial" w:hAnsi="Arial" w:cs="Arial"/>
          <w:b/>
          <w:sz w:val="24"/>
          <w:szCs w:val="24"/>
        </w:rPr>
        <w:tab/>
      </w:r>
      <w:r w:rsidR="00FF7A24">
        <w:rPr>
          <w:rFonts w:ascii="Arial" w:hAnsi="Arial" w:cs="Arial"/>
          <w:b/>
          <w:sz w:val="24"/>
          <w:szCs w:val="24"/>
        </w:rPr>
        <w:t>6</w:t>
      </w:r>
      <w:r w:rsidR="0053474F">
        <w:rPr>
          <w:rFonts w:ascii="Arial" w:hAnsi="Arial" w:cs="Arial"/>
          <w:b/>
          <w:sz w:val="24"/>
          <w:szCs w:val="24"/>
        </w:rPr>
        <w:t xml:space="preserve"> </w:t>
      </w:r>
      <w:r w:rsidR="004B306F">
        <w:rPr>
          <w:rFonts w:ascii="Arial" w:hAnsi="Arial" w:cs="Arial"/>
          <w:b/>
          <w:sz w:val="24"/>
          <w:szCs w:val="24"/>
        </w:rPr>
        <w:t>Febru</w:t>
      </w:r>
      <w:r w:rsidR="0053474F">
        <w:rPr>
          <w:rFonts w:ascii="Arial" w:hAnsi="Arial" w:cs="Arial"/>
          <w:b/>
          <w:sz w:val="24"/>
          <w:szCs w:val="24"/>
        </w:rPr>
        <w:t xml:space="preserve">ary </w:t>
      </w:r>
      <w:r w:rsidR="00F8287A">
        <w:rPr>
          <w:rFonts w:ascii="Arial" w:hAnsi="Arial" w:cs="Arial"/>
          <w:b/>
          <w:sz w:val="24"/>
          <w:szCs w:val="24"/>
        </w:rPr>
        <w:t>2018</w:t>
      </w:r>
    </w:p>
    <w:p w:rsidR="008C3367" w:rsidRPr="00A27819" w:rsidRDefault="008C3367" w:rsidP="00584213">
      <w:pPr>
        <w:spacing w:line="240" w:lineRule="auto"/>
        <w:ind w:left="-142"/>
        <w:jc w:val="both"/>
        <w:rPr>
          <w:rFonts w:ascii="Arial" w:hAnsi="Arial" w:cs="Arial"/>
          <w:b/>
          <w:sz w:val="24"/>
          <w:szCs w:val="24"/>
          <w:lang w:val="en-GB"/>
        </w:rPr>
      </w:pPr>
    </w:p>
    <w:p w:rsidR="00075BB0" w:rsidRDefault="008C3367" w:rsidP="00075BB0">
      <w:pPr>
        <w:spacing w:after="0" w:line="360" w:lineRule="auto"/>
        <w:jc w:val="both"/>
        <w:rPr>
          <w:rFonts w:ascii="Arial" w:hAnsi="Arial" w:cs="Arial"/>
          <w:b/>
          <w:sz w:val="24"/>
          <w:szCs w:val="24"/>
        </w:rPr>
      </w:pPr>
      <w:r w:rsidRPr="007F6CEC">
        <w:rPr>
          <w:rFonts w:ascii="Arial" w:hAnsi="Arial" w:cs="Arial"/>
          <w:b/>
          <w:sz w:val="24"/>
          <w:szCs w:val="24"/>
          <w:lang w:val="en-GB"/>
        </w:rPr>
        <w:t>Summary:</w:t>
      </w:r>
      <w:r w:rsidR="00721889" w:rsidRPr="007F6CEC">
        <w:rPr>
          <w:rFonts w:ascii="Arial" w:hAnsi="Arial" w:cs="Arial"/>
          <w:b/>
          <w:sz w:val="24"/>
          <w:szCs w:val="24"/>
          <w:lang w:val="en-GB"/>
        </w:rPr>
        <w:tab/>
      </w:r>
      <w:r w:rsidR="00075BB0">
        <w:rPr>
          <w:rFonts w:ascii="Arial" w:hAnsi="Arial" w:cs="Arial"/>
          <w:sz w:val="24"/>
          <w:szCs w:val="24"/>
        </w:rPr>
        <w:t>This appeal is concerned with the interpretation to be given to a prohibition contained in s 13(1</w:t>
      </w:r>
      <w:proofErr w:type="gramStart"/>
      <w:r w:rsidR="00075BB0">
        <w:rPr>
          <w:rFonts w:ascii="Arial" w:hAnsi="Arial" w:cs="Arial"/>
          <w:sz w:val="24"/>
          <w:szCs w:val="24"/>
        </w:rPr>
        <w:t>)(</w:t>
      </w:r>
      <w:proofErr w:type="gramEnd"/>
      <w:r w:rsidR="00075BB0">
        <w:rPr>
          <w:rFonts w:ascii="Arial" w:hAnsi="Arial" w:cs="Arial"/>
          <w:sz w:val="24"/>
          <w:szCs w:val="24"/>
        </w:rPr>
        <w:t>b) of the Architects and Quantity Surveyors Act, 13 of 1979</w:t>
      </w:r>
      <w:r w:rsidR="00B31424">
        <w:rPr>
          <w:rFonts w:ascii="Arial" w:hAnsi="Arial" w:cs="Arial"/>
          <w:sz w:val="24"/>
          <w:szCs w:val="24"/>
        </w:rPr>
        <w:t xml:space="preserve"> (the Act)</w:t>
      </w:r>
      <w:r w:rsidR="00075BB0">
        <w:rPr>
          <w:rFonts w:ascii="Arial" w:hAnsi="Arial" w:cs="Arial"/>
          <w:sz w:val="24"/>
          <w:szCs w:val="24"/>
        </w:rPr>
        <w:t xml:space="preserve">. This section prohibits any person other than a natural person from performing architectural work for gain. At issue is whether an agreement between a non-natural </w:t>
      </w:r>
      <w:proofErr w:type="gramStart"/>
      <w:r w:rsidR="00075BB0">
        <w:rPr>
          <w:rFonts w:ascii="Arial" w:hAnsi="Arial" w:cs="Arial"/>
          <w:sz w:val="24"/>
          <w:szCs w:val="24"/>
        </w:rPr>
        <w:t>person</w:t>
      </w:r>
      <w:proofErr w:type="gramEnd"/>
      <w:r w:rsidR="00075BB0">
        <w:rPr>
          <w:rFonts w:ascii="Arial" w:hAnsi="Arial" w:cs="Arial"/>
          <w:sz w:val="24"/>
          <w:szCs w:val="24"/>
        </w:rPr>
        <w:t xml:space="preserve"> in the form of a close corporation to provide architectural services to a client would be unenforceable as a result of the prohibition.</w:t>
      </w:r>
    </w:p>
    <w:p w:rsidR="00075BB0" w:rsidRDefault="00075BB0" w:rsidP="00075BB0">
      <w:pPr>
        <w:spacing w:after="0" w:line="360" w:lineRule="auto"/>
        <w:jc w:val="both"/>
        <w:rPr>
          <w:rFonts w:ascii="Arial" w:hAnsi="Arial" w:cs="Arial"/>
          <w:sz w:val="24"/>
          <w:szCs w:val="24"/>
        </w:rPr>
      </w:pPr>
    </w:p>
    <w:p w:rsidR="00075BB0" w:rsidRDefault="00075BB0" w:rsidP="00075BB0">
      <w:pPr>
        <w:spacing w:after="0" w:line="360" w:lineRule="auto"/>
        <w:jc w:val="both"/>
        <w:rPr>
          <w:rFonts w:ascii="Arial" w:hAnsi="Arial" w:cs="Arial"/>
          <w:sz w:val="24"/>
          <w:szCs w:val="24"/>
        </w:rPr>
      </w:pPr>
      <w:r>
        <w:rPr>
          <w:rFonts w:ascii="Arial" w:hAnsi="Arial" w:cs="Arial"/>
          <w:sz w:val="24"/>
          <w:szCs w:val="24"/>
        </w:rPr>
        <w:lastRenderedPageBreak/>
        <w:t>The appellant is a close corporation c</w:t>
      </w:r>
      <w:r w:rsidR="00B31424">
        <w:rPr>
          <w:rFonts w:ascii="Arial" w:hAnsi="Arial" w:cs="Arial"/>
          <w:sz w:val="24"/>
          <w:szCs w:val="24"/>
        </w:rPr>
        <w:t>alled Claud Bosch Architects CC, and plaintiff in the court below.</w:t>
      </w:r>
      <w:r>
        <w:rPr>
          <w:rFonts w:ascii="Arial" w:hAnsi="Arial" w:cs="Arial"/>
          <w:sz w:val="24"/>
          <w:szCs w:val="24"/>
        </w:rPr>
        <w:t xml:space="preserve"> Its sole member, Claud Bosch, was at all material times a duly qualified and registered architect as contemplated in the Act. The respondent</w:t>
      </w:r>
      <w:r w:rsidR="00B31424">
        <w:rPr>
          <w:rFonts w:ascii="Arial" w:hAnsi="Arial" w:cs="Arial"/>
          <w:sz w:val="24"/>
          <w:szCs w:val="24"/>
        </w:rPr>
        <w:t xml:space="preserve"> (defendant)</w:t>
      </w:r>
      <w:r>
        <w:rPr>
          <w:rFonts w:ascii="Arial" w:hAnsi="Arial" w:cs="Arial"/>
          <w:sz w:val="24"/>
          <w:szCs w:val="24"/>
        </w:rPr>
        <w:t xml:space="preserve"> was a client of the </w:t>
      </w:r>
      <w:r w:rsidR="00B31424">
        <w:rPr>
          <w:rFonts w:ascii="Arial" w:hAnsi="Arial" w:cs="Arial"/>
          <w:sz w:val="24"/>
          <w:szCs w:val="24"/>
        </w:rPr>
        <w:t>plaintiff</w:t>
      </w:r>
      <w:r>
        <w:rPr>
          <w:rFonts w:ascii="Arial" w:hAnsi="Arial" w:cs="Arial"/>
          <w:sz w:val="24"/>
          <w:szCs w:val="24"/>
        </w:rPr>
        <w:t xml:space="preserve"> who engaged </w:t>
      </w:r>
      <w:r w:rsidR="00B31424">
        <w:rPr>
          <w:rFonts w:ascii="Arial" w:hAnsi="Arial" w:cs="Arial"/>
          <w:sz w:val="24"/>
          <w:szCs w:val="24"/>
        </w:rPr>
        <w:t>it</w:t>
      </w:r>
      <w:r>
        <w:rPr>
          <w:rFonts w:ascii="Arial" w:hAnsi="Arial" w:cs="Arial"/>
          <w:sz w:val="24"/>
          <w:szCs w:val="24"/>
        </w:rPr>
        <w:t xml:space="preserve"> to provide architectural services in respect of a project entailing the design, supervision of construction and development of a restaurant, hotel and parking area complex in Windhoek. </w:t>
      </w:r>
      <w:r w:rsidR="00F42DCA">
        <w:rPr>
          <w:rFonts w:ascii="Arial" w:hAnsi="Arial" w:cs="Arial"/>
          <w:sz w:val="24"/>
          <w:szCs w:val="24"/>
        </w:rPr>
        <w:t>In its action, the plaintiff</w:t>
      </w:r>
      <w:r>
        <w:rPr>
          <w:rFonts w:ascii="Arial" w:hAnsi="Arial" w:cs="Arial"/>
          <w:sz w:val="24"/>
          <w:szCs w:val="24"/>
        </w:rPr>
        <w:t xml:space="preserve"> claimed </w:t>
      </w:r>
      <w:r w:rsidR="00F42DCA">
        <w:rPr>
          <w:rFonts w:ascii="Arial" w:hAnsi="Arial" w:cs="Arial"/>
          <w:sz w:val="24"/>
          <w:szCs w:val="24"/>
        </w:rPr>
        <w:t xml:space="preserve">a sum from the defendant as </w:t>
      </w:r>
      <w:r>
        <w:rPr>
          <w:rFonts w:ascii="Arial" w:hAnsi="Arial" w:cs="Arial"/>
          <w:sz w:val="24"/>
          <w:szCs w:val="24"/>
        </w:rPr>
        <w:t xml:space="preserve">outstanding in terms of the agreement. </w:t>
      </w:r>
      <w:r w:rsidR="00F42DCA">
        <w:rPr>
          <w:rFonts w:ascii="Arial" w:hAnsi="Arial" w:cs="Arial"/>
          <w:sz w:val="24"/>
          <w:szCs w:val="24"/>
        </w:rPr>
        <w:t>In the alternative</w:t>
      </w:r>
      <w:r>
        <w:rPr>
          <w:rFonts w:ascii="Arial" w:hAnsi="Arial" w:cs="Arial"/>
          <w:sz w:val="24"/>
          <w:szCs w:val="24"/>
        </w:rPr>
        <w:t xml:space="preserve">, plaintiff claimed </w:t>
      </w:r>
      <w:r w:rsidR="00F42DCA">
        <w:rPr>
          <w:rFonts w:ascii="Arial" w:hAnsi="Arial" w:cs="Arial"/>
          <w:sz w:val="24"/>
          <w:szCs w:val="24"/>
        </w:rPr>
        <w:t xml:space="preserve">that sum by way of </w:t>
      </w:r>
      <w:r>
        <w:rPr>
          <w:rFonts w:ascii="Arial" w:hAnsi="Arial" w:cs="Arial"/>
          <w:sz w:val="24"/>
          <w:szCs w:val="24"/>
        </w:rPr>
        <w:t xml:space="preserve">enrichment in the event the court </w:t>
      </w:r>
      <w:r>
        <w:rPr>
          <w:rFonts w:ascii="Arial" w:hAnsi="Arial" w:cs="Arial"/>
          <w:i/>
          <w:sz w:val="24"/>
          <w:szCs w:val="24"/>
        </w:rPr>
        <w:t>a quo</w:t>
      </w:r>
      <w:r>
        <w:rPr>
          <w:rFonts w:ascii="Arial" w:hAnsi="Arial" w:cs="Arial"/>
          <w:sz w:val="24"/>
          <w:szCs w:val="24"/>
        </w:rPr>
        <w:t xml:space="preserve"> found that the agreement between the parties is invalid and/or unenforceable. </w:t>
      </w:r>
      <w:r w:rsidR="00F42DCA">
        <w:rPr>
          <w:rFonts w:ascii="Arial" w:hAnsi="Arial" w:cs="Arial"/>
          <w:sz w:val="24"/>
          <w:szCs w:val="24"/>
        </w:rPr>
        <w:t>The defendant</w:t>
      </w:r>
      <w:r>
        <w:rPr>
          <w:rFonts w:ascii="Arial" w:hAnsi="Arial" w:cs="Arial"/>
          <w:sz w:val="24"/>
          <w:szCs w:val="24"/>
        </w:rPr>
        <w:t xml:space="preserve"> </w:t>
      </w:r>
      <w:proofErr w:type="gramStart"/>
      <w:r>
        <w:rPr>
          <w:rFonts w:ascii="Arial" w:hAnsi="Arial" w:cs="Arial"/>
          <w:sz w:val="24"/>
          <w:szCs w:val="24"/>
        </w:rPr>
        <w:t>excepted</w:t>
      </w:r>
      <w:proofErr w:type="gramEnd"/>
      <w:r>
        <w:rPr>
          <w:rFonts w:ascii="Arial" w:hAnsi="Arial" w:cs="Arial"/>
          <w:sz w:val="24"/>
          <w:szCs w:val="24"/>
        </w:rPr>
        <w:t xml:space="preserve"> to these claims. The principle laid out in </w:t>
      </w:r>
      <w:r>
        <w:rPr>
          <w:rFonts w:ascii="Arial" w:hAnsi="Arial" w:cs="Arial"/>
          <w:i/>
          <w:sz w:val="24"/>
          <w:szCs w:val="24"/>
        </w:rPr>
        <w:t>Van Straaten v Namibia Financial Institutions Supervisory Authority and Another</w:t>
      </w:r>
      <w:r>
        <w:rPr>
          <w:rFonts w:ascii="Arial" w:hAnsi="Arial" w:cs="Arial"/>
          <w:sz w:val="24"/>
          <w:szCs w:val="24"/>
        </w:rPr>
        <w:t xml:space="preserve"> finds application in the determination of exceptions.</w:t>
      </w:r>
    </w:p>
    <w:p w:rsidR="00075BB0" w:rsidRDefault="00075BB0" w:rsidP="00075BB0">
      <w:pPr>
        <w:spacing w:after="0" w:line="360" w:lineRule="auto"/>
        <w:jc w:val="both"/>
        <w:rPr>
          <w:rFonts w:ascii="Arial" w:hAnsi="Arial" w:cs="Arial"/>
          <w:sz w:val="24"/>
          <w:szCs w:val="24"/>
        </w:rPr>
      </w:pPr>
    </w:p>
    <w:p w:rsidR="00075BB0" w:rsidRDefault="00075BB0" w:rsidP="00075BB0">
      <w:pPr>
        <w:spacing w:after="0" w:line="360" w:lineRule="auto"/>
        <w:jc w:val="both"/>
        <w:rPr>
          <w:rFonts w:ascii="Arial" w:hAnsi="Arial" w:cs="Arial"/>
          <w:sz w:val="24"/>
          <w:szCs w:val="24"/>
        </w:rPr>
      </w:pPr>
      <w:r>
        <w:rPr>
          <w:rFonts w:ascii="Arial" w:hAnsi="Arial" w:cs="Arial"/>
          <w:sz w:val="24"/>
          <w:szCs w:val="24"/>
        </w:rPr>
        <w:t xml:space="preserve">In </w:t>
      </w:r>
      <w:r w:rsidR="005A5B60">
        <w:rPr>
          <w:rFonts w:ascii="Arial" w:hAnsi="Arial" w:cs="Arial"/>
          <w:sz w:val="24"/>
          <w:szCs w:val="24"/>
        </w:rPr>
        <w:t>determining the exception,</w:t>
      </w:r>
      <w:r>
        <w:rPr>
          <w:rFonts w:ascii="Arial" w:hAnsi="Arial" w:cs="Arial"/>
          <w:sz w:val="24"/>
          <w:szCs w:val="24"/>
        </w:rPr>
        <w:t xml:space="preserve"> the High Court </w:t>
      </w:r>
      <w:r w:rsidR="005A5B60">
        <w:rPr>
          <w:rFonts w:ascii="Arial" w:hAnsi="Arial" w:cs="Arial"/>
          <w:sz w:val="24"/>
          <w:szCs w:val="24"/>
        </w:rPr>
        <w:t xml:space="preserve">followed the decision of the High Court </w:t>
      </w:r>
      <w:r>
        <w:rPr>
          <w:rFonts w:ascii="Arial" w:hAnsi="Arial" w:cs="Arial"/>
          <w:sz w:val="24"/>
          <w:szCs w:val="24"/>
        </w:rPr>
        <w:t xml:space="preserve">in the </w:t>
      </w:r>
      <w:r>
        <w:rPr>
          <w:rFonts w:ascii="Arial" w:hAnsi="Arial" w:cs="Arial"/>
          <w:i/>
          <w:sz w:val="24"/>
          <w:szCs w:val="24"/>
        </w:rPr>
        <w:t>Nkandi</w:t>
      </w:r>
      <w:r>
        <w:rPr>
          <w:rFonts w:ascii="Arial" w:hAnsi="Arial" w:cs="Arial"/>
          <w:sz w:val="24"/>
          <w:szCs w:val="24"/>
        </w:rPr>
        <w:t xml:space="preserve"> matter, were Masuku AJ (as he then was) held that the maxim </w:t>
      </w:r>
      <w:r>
        <w:rPr>
          <w:rFonts w:ascii="Arial" w:hAnsi="Arial" w:cs="Arial"/>
          <w:i/>
          <w:sz w:val="24"/>
          <w:szCs w:val="24"/>
        </w:rPr>
        <w:t>ex turpi cause non oritur</w:t>
      </w:r>
      <w:r>
        <w:rPr>
          <w:rFonts w:ascii="Arial" w:hAnsi="Arial" w:cs="Arial"/>
          <w:sz w:val="24"/>
          <w:szCs w:val="24"/>
        </w:rPr>
        <w:t xml:space="preserve"> </w:t>
      </w:r>
      <w:r w:rsidRPr="008F6EB4">
        <w:rPr>
          <w:rFonts w:ascii="Arial" w:hAnsi="Arial" w:cs="Arial"/>
          <w:i/>
          <w:sz w:val="24"/>
          <w:szCs w:val="24"/>
        </w:rPr>
        <w:t>actio</w:t>
      </w:r>
      <w:r>
        <w:rPr>
          <w:rFonts w:ascii="Arial" w:hAnsi="Arial" w:cs="Arial"/>
          <w:sz w:val="24"/>
          <w:szCs w:val="24"/>
        </w:rPr>
        <w:t xml:space="preserve"> admi</w:t>
      </w:r>
      <w:r w:rsidR="005A5B60">
        <w:rPr>
          <w:rFonts w:ascii="Arial" w:hAnsi="Arial" w:cs="Arial"/>
          <w:sz w:val="24"/>
          <w:szCs w:val="24"/>
        </w:rPr>
        <w:t>ts no exception. That court</w:t>
      </w:r>
      <w:r>
        <w:rPr>
          <w:rFonts w:ascii="Arial" w:hAnsi="Arial" w:cs="Arial"/>
          <w:sz w:val="24"/>
          <w:szCs w:val="24"/>
        </w:rPr>
        <w:t xml:space="preserve"> held that with reference to the prohibition contained in s 13 of the Act </w:t>
      </w:r>
      <w:r w:rsidR="005A5B60">
        <w:rPr>
          <w:rFonts w:ascii="Arial" w:hAnsi="Arial" w:cs="Arial"/>
          <w:sz w:val="24"/>
          <w:szCs w:val="24"/>
        </w:rPr>
        <w:t>(</w:t>
      </w:r>
      <w:r>
        <w:rPr>
          <w:rFonts w:ascii="Arial" w:hAnsi="Arial" w:cs="Arial"/>
          <w:sz w:val="24"/>
          <w:szCs w:val="24"/>
        </w:rPr>
        <w:t>where an exception was also taken against a claim for architectural services by a non-natural person</w:t>
      </w:r>
      <w:r w:rsidR="005A5B60">
        <w:rPr>
          <w:rFonts w:ascii="Arial" w:hAnsi="Arial" w:cs="Arial"/>
          <w:sz w:val="24"/>
          <w:szCs w:val="24"/>
        </w:rPr>
        <w:t>)</w:t>
      </w:r>
      <w:r>
        <w:rPr>
          <w:rFonts w:ascii="Arial" w:hAnsi="Arial" w:cs="Arial"/>
          <w:sz w:val="24"/>
          <w:szCs w:val="24"/>
        </w:rPr>
        <w:t xml:space="preserve">, any contract entered into in violation of </w:t>
      </w:r>
      <w:r w:rsidR="005A5B60">
        <w:rPr>
          <w:rFonts w:ascii="Arial" w:hAnsi="Arial" w:cs="Arial"/>
          <w:sz w:val="24"/>
          <w:szCs w:val="24"/>
        </w:rPr>
        <w:t>s 13(1</w:t>
      </w:r>
      <w:proofErr w:type="gramStart"/>
      <w:r w:rsidR="005A5B60">
        <w:rPr>
          <w:rFonts w:ascii="Arial" w:hAnsi="Arial" w:cs="Arial"/>
          <w:sz w:val="24"/>
          <w:szCs w:val="24"/>
        </w:rPr>
        <w:t>)(</w:t>
      </w:r>
      <w:proofErr w:type="gramEnd"/>
      <w:r w:rsidR="005A5B60">
        <w:rPr>
          <w:rFonts w:ascii="Arial" w:hAnsi="Arial" w:cs="Arial"/>
          <w:sz w:val="24"/>
          <w:szCs w:val="24"/>
        </w:rPr>
        <w:t>b) would</w:t>
      </w:r>
      <w:r>
        <w:rPr>
          <w:rFonts w:ascii="Arial" w:hAnsi="Arial" w:cs="Arial"/>
          <w:sz w:val="24"/>
          <w:szCs w:val="24"/>
        </w:rPr>
        <w:t xml:space="preserve"> render the ensuing contract unlawful and unenforceable. Masuku </w:t>
      </w:r>
      <w:proofErr w:type="gramStart"/>
      <w:r>
        <w:rPr>
          <w:rFonts w:ascii="Arial" w:hAnsi="Arial" w:cs="Arial"/>
          <w:sz w:val="24"/>
          <w:szCs w:val="24"/>
        </w:rPr>
        <w:t>AJ,</w:t>
      </w:r>
      <w:proofErr w:type="gramEnd"/>
      <w:r>
        <w:rPr>
          <w:rFonts w:ascii="Arial" w:hAnsi="Arial" w:cs="Arial"/>
          <w:sz w:val="24"/>
          <w:szCs w:val="24"/>
        </w:rPr>
        <w:t xml:space="preserve"> further held that the Act prohibited the carrying out of architectural work for gain by entities other than natural persons, unless an exemption was granted. The court in the </w:t>
      </w:r>
      <w:r>
        <w:rPr>
          <w:rFonts w:ascii="Arial" w:hAnsi="Arial" w:cs="Arial"/>
          <w:i/>
          <w:sz w:val="24"/>
          <w:szCs w:val="24"/>
        </w:rPr>
        <w:t>Nkandi</w:t>
      </w:r>
      <w:r>
        <w:rPr>
          <w:rFonts w:ascii="Arial" w:hAnsi="Arial" w:cs="Arial"/>
          <w:sz w:val="24"/>
          <w:szCs w:val="24"/>
        </w:rPr>
        <w:t xml:space="preserve"> matter ultimately found that work carried out by the plaintiff was in violation of th</w:t>
      </w:r>
      <w:r w:rsidR="00DC4574">
        <w:rPr>
          <w:rFonts w:ascii="Arial" w:hAnsi="Arial" w:cs="Arial"/>
          <w:sz w:val="24"/>
          <w:szCs w:val="24"/>
        </w:rPr>
        <w:t>e prohibition contained in s</w:t>
      </w:r>
      <w:r w:rsidR="005A5B60">
        <w:rPr>
          <w:rFonts w:ascii="Arial" w:hAnsi="Arial" w:cs="Arial"/>
          <w:sz w:val="24"/>
          <w:szCs w:val="24"/>
        </w:rPr>
        <w:t xml:space="preserve"> 13 and the agreement was</w:t>
      </w:r>
      <w:r>
        <w:rPr>
          <w:rFonts w:ascii="Arial" w:hAnsi="Arial" w:cs="Arial"/>
          <w:sz w:val="24"/>
          <w:szCs w:val="24"/>
        </w:rPr>
        <w:t xml:space="preserve"> unenforceable.</w:t>
      </w:r>
    </w:p>
    <w:p w:rsidR="00075BB0" w:rsidRDefault="00075BB0" w:rsidP="00075BB0">
      <w:pPr>
        <w:spacing w:after="0" w:line="360" w:lineRule="auto"/>
        <w:jc w:val="both"/>
        <w:rPr>
          <w:rFonts w:ascii="Arial" w:hAnsi="Arial" w:cs="Arial"/>
          <w:sz w:val="24"/>
          <w:szCs w:val="24"/>
        </w:rPr>
      </w:pPr>
    </w:p>
    <w:p w:rsidR="00075BB0" w:rsidRDefault="005A5B60" w:rsidP="00075BB0">
      <w:pPr>
        <w:spacing w:after="0" w:line="360" w:lineRule="auto"/>
        <w:jc w:val="both"/>
        <w:rPr>
          <w:rFonts w:ascii="Arial" w:hAnsi="Arial" w:cs="Arial"/>
          <w:sz w:val="24"/>
          <w:szCs w:val="24"/>
        </w:rPr>
      </w:pPr>
      <w:r>
        <w:rPr>
          <w:rFonts w:ascii="Arial" w:hAnsi="Arial" w:cs="Arial"/>
          <w:sz w:val="24"/>
          <w:szCs w:val="24"/>
        </w:rPr>
        <w:t>The plaintiff</w:t>
      </w:r>
      <w:r w:rsidR="00075BB0">
        <w:rPr>
          <w:rFonts w:ascii="Arial" w:hAnsi="Arial" w:cs="Arial"/>
          <w:sz w:val="24"/>
          <w:szCs w:val="24"/>
        </w:rPr>
        <w:t xml:space="preserve"> argued that the decision in </w:t>
      </w:r>
      <w:r w:rsidR="00075BB0">
        <w:rPr>
          <w:rFonts w:ascii="Arial" w:hAnsi="Arial" w:cs="Arial"/>
          <w:i/>
          <w:sz w:val="24"/>
          <w:szCs w:val="24"/>
        </w:rPr>
        <w:t>Nkandi</w:t>
      </w:r>
      <w:r w:rsidR="00075BB0">
        <w:rPr>
          <w:rFonts w:ascii="Arial" w:hAnsi="Arial" w:cs="Arial"/>
          <w:sz w:val="24"/>
          <w:szCs w:val="24"/>
        </w:rPr>
        <w:t xml:space="preserve"> was incorrect. </w:t>
      </w:r>
      <w:r>
        <w:rPr>
          <w:rFonts w:ascii="Arial" w:hAnsi="Arial" w:cs="Arial"/>
          <w:sz w:val="24"/>
          <w:szCs w:val="24"/>
        </w:rPr>
        <w:t>It argued that</w:t>
      </w:r>
      <w:r w:rsidR="00075BB0">
        <w:rPr>
          <w:rFonts w:ascii="Arial" w:hAnsi="Arial" w:cs="Arial"/>
          <w:sz w:val="24"/>
          <w:szCs w:val="24"/>
        </w:rPr>
        <w:t xml:space="preserve"> it had not contravened the provisions of the Act by not itself having per</w:t>
      </w:r>
      <w:r w:rsidR="00DC4574">
        <w:rPr>
          <w:rFonts w:ascii="Arial" w:hAnsi="Arial" w:cs="Arial"/>
          <w:sz w:val="24"/>
          <w:szCs w:val="24"/>
        </w:rPr>
        <w:t>formed the work, because s</w:t>
      </w:r>
      <w:r w:rsidR="00075BB0">
        <w:rPr>
          <w:rFonts w:ascii="Arial" w:hAnsi="Arial" w:cs="Arial"/>
          <w:sz w:val="24"/>
          <w:szCs w:val="24"/>
        </w:rPr>
        <w:t xml:space="preserve"> 13 meant that reserved work itself must be performed by a registered architect (a natural person)</w:t>
      </w:r>
      <w:r>
        <w:rPr>
          <w:rFonts w:ascii="Arial" w:hAnsi="Arial" w:cs="Arial"/>
          <w:sz w:val="24"/>
          <w:szCs w:val="24"/>
        </w:rPr>
        <w:t xml:space="preserve"> and that it was pleaded that the work was performed by a duly registered architect</w:t>
      </w:r>
      <w:r w:rsidR="00075BB0">
        <w:rPr>
          <w:rFonts w:ascii="Arial" w:hAnsi="Arial" w:cs="Arial"/>
          <w:sz w:val="24"/>
          <w:szCs w:val="24"/>
        </w:rPr>
        <w:t>.</w:t>
      </w:r>
    </w:p>
    <w:p w:rsidR="005A5B60" w:rsidRDefault="005A5B60" w:rsidP="00075BB0">
      <w:pPr>
        <w:spacing w:after="0" w:line="360" w:lineRule="auto"/>
        <w:jc w:val="both"/>
        <w:rPr>
          <w:rFonts w:ascii="Arial" w:hAnsi="Arial" w:cs="Arial"/>
          <w:sz w:val="24"/>
          <w:szCs w:val="24"/>
        </w:rPr>
      </w:pPr>
    </w:p>
    <w:p w:rsidR="00075BB0" w:rsidRDefault="005A5B60" w:rsidP="00075BB0">
      <w:pPr>
        <w:spacing w:after="0" w:line="360" w:lineRule="auto"/>
        <w:jc w:val="both"/>
        <w:rPr>
          <w:rFonts w:ascii="Arial" w:hAnsi="Arial" w:cs="Arial"/>
          <w:sz w:val="24"/>
          <w:szCs w:val="24"/>
        </w:rPr>
      </w:pPr>
      <w:r>
        <w:rPr>
          <w:rFonts w:ascii="Arial" w:hAnsi="Arial" w:cs="Arial"/>
          <w:sz w:val="24"/>
          <w:szCs w:val="24"/>
        </w:rPr>
        <w:t>The defendant</w:t>
      </w:r>
      <w:r w:rsidR="00075BB0">
        <w:rPr>
          <w:rFonts w:ascii="Arial" w:hAnsi="Arial" w:cs="Arial"/>
          <w:sz w:val="24"/>
          <w:szCs w:val="24"/>
        </w:rPr>
        <w:t xml:space="preserve"> on the other hand argued that the prohibition contained in s 13 follows upon the </w:t>
      </w:r>
      <w:r w:rsidR="00DC4574">
        <w:rPr>
          <w:rFonts w:ascii="Arial" w:hAnsi="Arial" w:cs="Arial"/>
          <w:sz w:val="24"/>
          <w:szCs w:val="24"/>
        </w:rPr>
        <w:t>requirement contained in s</w:t>
      </w:r>
      <w:r w:rsidR="00075BB0">
        <w:rPr>
          <w:rFonts w:ascii="Arial" w:hAnsi="Arial" w:cs="Arial"/>
          <w:sz w:val="24"/>
          <w:szCs w:val="24"/>
        </w:rPr>
        <w:t xml:space="preserve"> 11 which provides that only natural </w:t>
      </w:r>
      <w:r w:rsidR="00075BB0">
        <w:rPr>
          <w:rFonts w:ascii="Arial" w:hAnsi="Arial" w:cs="Arial"/>
          <w:sz w:val="24"/>
          <w:szCs w:val="24"/>
        </w:rPr>
        <w:lastRenderedPageBreak/>
        <w:t xml:space="preserve">persons can be registered as architects. It </w:t>
      </w:r>
      <w:r>
        <w:rPr>
          <w:rFonts w:ascii="Arial" w:hAnsi="Arial" w:cs="Arial"/>
          <w:sz w:val="24"/>
          <w:szCs w:val="24"/>
        </w:rPr>
        <w:t>argued</w:t>
      </w:r>
      <w:r w:rsidR="00075BB0">
        <w:rPr>
          <w:rFonts w:ascii="Arial" w:hAnsi="Arial" w:cs="Arial"/>
          <w:sz w:val="24"/>
          <w:szCs w:val="24"/>
        </w:rPr>
        <w:t xml:space="preserve"> that the decision in </w:t>
      </w:r>
      <w:r w:rsidR="00075BB0">
        <w:rPr>
          <w:rFonts w:ascii="Arial" w:hAnsi="Arial" w:cs="Arial"/>
          <w:i/>
          <w:sz w:val="24"/>
          <w:szCs w:val="24"/>
        </w:rPr>
        <w:t xml:space="preserve">Nkandi </w:t>
      </w:r>
      <w:r w:rsidR="00075BB0">
        <w:rPr>
          <w:rFonts w:ascii="Arial" w:hAnsi="Arial" w:cs="Arial"/>
          <w:sz w:val="24"/>
          <w:szCs w:val="24"/>
        </w:rPr>
        <w:t>was correct</w:t>
      </w:r>
      <w:r>
        <w:rPr>
          <w:rFonts w:ascii="Arial" w:hAnsi="Arial" w:cs="Arial"/>
          <w:sz w:val="24"/>
          <w:szCs w:val="24"/>
        </w:rPr>
        <w:t xml:space="preserve"> and applied to this matter.</w:t>
      </w:r>
    </w:p>
    <w:p w:rsidR="005A5B60" w:rsidRDefault="005A5B60" w:rsidP="00075BB0">
      <w:pPr>
        <w:spacing w:after="0" w:line="360" w:lineRule="auto"/>
        <w:jc w:val="both"/>
        <w:rPr>
          <w:rFonts w:ascii="Arial" w:hAnsi="Arial" w:cs="Arial"/>
          <w:sz w:val="24"/>
          <w:szCs w:val="24"/>
        </w:rPr>
      </w:pPr>
    </w:p>
    <w:p w:rsidR="00075BB0" w:rsidRDefault="00075BB0" w:rsidP="00075BB0">
      <w:pPr>
        <w:spacing w:after="0" w:line="360" w:lineRule="auto"/>
        <w:jc w:val="both"/>
        <w:rPr>
          <w:rFonts w:ascii="Arial" w:hAnsi="Arial" w:cs="Arial"/>
          <w:sz w:val="24"/>
          <w:szCs w:val="24"/>
        </w:rPr>
      </w:pPr>
      <w:r>
        <w:rPr>
          <w:rFonts w:ascii="Arial" w:hAnsi="Arial" w:cs="Arial"/>
          <w:sz w:val="24"/>
          <w:szCs w:val="24"/>
        </w:rPr>
        <w:t>The principles of interpre</w:t>
      </w:r>
      <w:r w:rsidR="005A5B60">
        <w:rPr>
          <w:rFonts w:ascii="Arial" w:hAnsi="Arial" w:cs="Arial"/>
          <w:sz w:val="24"/>
          <w:szCs w:val="24"/>
        </w:rPr>
        <w:t>tation of statutes and texts</w:t>
      </w:r>
      <w:r>
        <w:rPr>
          <w:rFonts w:ascii="Arial" w:hAnsi="Arial" w:cs="Arial"/>
          <w:sz w:val="24"/>
          <w:szCs w:val="24"/>
        </w:rPr>
        <w:t xml:space="preserve"> recently summarised in </w:t>
      </w:r>
      <w:r>
        <w:rPr>
          <w:rFonts w:ascii="Arial" w:hAnsi="Arial" w:cs="Arial"/>
          <w:i/>
          <w:sz w:val="24"/>
          <w:szCs w:val="24"/>
        </w:rPr>
        <w:t xml:space="preserve">Namibia Association of Medical Aid Funds and Others v Namibia Competition Commission and </w:t>
      </w:r>
      <w:proofErr w:type="gramStart"/>
      <w:r>
        <w:rPr>
          <w:rFonts w:ascii="Arial" w:hAnsi="Arial" w:cs="Arial"/>
          <w:i/>
          <w:sz w:val="24"/>
          <w:szCs w:val="24"/>
        </w:rPr>
        <w:t>Another</w:t>
      </w:r>
      <w:proofErr w:type="gramEnd"/>
      <w:r w:rsidR="005A5B60" w:rsidRPr="005A5B60">
        <w:rPr>
          <w:rFonts w:ascii="Arial" w:hAnsi="Arial" w:cs="Arial"/>
          <w:sz w:val="24"/>
          <w:szCs w:val="24"/>
        </w:rPr>
        <w:t xml:space="preserve"> applied</w:t>
      </w:r>
      <w:r w:rsidRPr="005A5B60">
        <w:rPr>
          <w:rFonts w:ascii="Arial" w:hAnsi="Arial" w:cs="Arial"/>
          <w:sz w:val="24"/>
          <w:szCs w:val="24"/>
        </w:rPr>
        <w:t>.</w:t>
      </w:r>
      <w:r>
        <w:rPr>
          <w:rFonts w:ascii="Arial" w:hAnsi="Arial" w:cs="Arial"/>
          <w:sz w:val="24"/>
          <w:szCs w:val="24"/>
        </w:rPr>
        <w:t xml:space="preserve"> The context in which a document is drafted and </w:t>
      </w:r>
      <w:proofErr w:type="gramStart"/>
      <w:r>
        <w:rPr>
          <w:rFonts w:ascii="Arial" w:hAnsi="Arial" w:cs="Arial"/>
          <w:sz w:val="24"/>
          <w:szCs w:val="24"/>
        </w:rPr>
        <w:t>its purpose are</w:t>
      </w:r>
      <w:proofErr w:type="gramEnd"/>
      <w:r>
        <w:rPr>
          <w:rFonts w:ascii="Arial" w:hAnsi="Arial" w:cs="Arial"/>
          <w:sz w:val="24"/>
          <w:szCs w:val="24"/>
        </w:rPr>
        <w:t xml:space="preserve"> relevant to interpreting the meaning of words used. The primary purpose of the Act in this case is to provide for registration of architects (and quantity surveyors) with the Council and to require that only registered architects can perform the kind of work rese</w:t>
      </w:r>
      <w:r w:rsidR="00DC4574">
        <w:rPr>
          <w:rFonts w:ascii="Arial" w:hAnsi="Arial" w:cs="Arial"/>
          <w:sz w:val="24"/>
          <w:szCs w:val="24"/>
        </w:rPr>
        <w:t>rved for architects under s</w:t>
      </w:r>
      <w:r>
        <w:rPr>
          <w:rFonts w:ascii="Arial" w:hAnsi="Arial" w:cs="Arial"/>
          <w:sz w:val="24"/>
          <w:szCs w:val="24"/>
        </w:rPr>
        <w:t xml:space="preserve"> 7(3)(b) of the Act.</w:t>
      </w:r>
    </w:p>
    <w:p w:rsidR="00075BB0" w:rsidRDefault="00075BB0" w:rsidP="00075BB0">
      <w:pPr>
        <w:pStyle w:val="NoSpacing"/>
        <w:spacing w:line="360" w:lineRule="auto"/>
        <w:jc w:val="both"/>
        <w:rPr>
          <w:rFonts w:ascii="Arial" w:hAnsi="Arial" w:cs="Arial"/>
          <w:sz w:val="24"/>
          <w:szCs w:val="24"/>
        </w:rPr>
      </w:pPr>
    </w:p>
    <w:p w:rsidR="00075BB0" w:rsidRDefault="00075BB0" w:rsidP="00075BB0">
      <w:pPr>
        <w:pStyle w:val="NoSpacing"/>
        <w:spacing w:line="360" w:lineRule="auto"/>
        <w:jc w:val="both"/>
        <w:rPr>
          <w:rFonts w:ascii="Arial" w:hAnsi="Arial" w:cs="Arial"/>
          <w:sz w:val="24"/>
          <w:szCs w:val="24"/>
        </w:rPr>
      </w:pPr>
      <w:r>
        <w:rPr>
          <w:rFonts w:ascii="Arial" w:hAnsi="Arial" w:cs="Arial"/>
          <w:sz w:val="24"/>
          <w:szCs w:val="24"/>
        </w:rPr>
        <w:t>Questions arising are whether the legislature intended that an agreement to provide architectural services by a non-natural person is prohibited by s 13 of the Act by reason of the prohibition contained in s 13(1</w:t>
      </w:r>
      <w:proofErr w:type="gramStart"/>
      <w:r>
        <w:rPr>
          <w:rFonts w:ascii="Arial" w:hAnsi="Arial" w:cs="Arial"/>
          <w:sz w:val="24"/>
          <w:szCs w:val="24"/>
        </w:rPr>
        <w:t>)(</w:t>
      </w:r>
      <w:proofErr w:type="gramEnd"/>
      <w:r>
        <w:rPr>
          <w:rFonts w:ascii="Arial" w:hAnsi="Arial" w:cs="Arial"/>
          <w:sz w:val="24"/>
          <w:szCs w:val="24"/>
        </w:rPr>
        <w:t>b) and</w:t>
      </w:r>
      <w:r w:rsidR="00B24136">
        <w:rPr>
          <w:rFonts w:ascii="Arial" w:hAnsi="Arial" w:cs="Arial"/>
          <w:sz w:val="24"/>
          <w:szCs w:val="24"/>
        </w:rPr>
        <w:t xml:space="preserve"> further</w:t>
      </w:r>
      <w:r>
        <w:rPr>
          <w:rFonts w:ascii="Arial" w:hAnsi="Arial" w:cs="Arial"/>
          <w:sz w:val="24"/>
          <w:szCs w:val="24"/>
        </w:rPr>
        <w:t xml:space="preserve"> whether the legislature intends that they are void and un</w:t>
      </w:r>
      <w:r w:rsidR="00DC4574">
        <w:rPr>
          <w:rFonts w:ascii="Arial" w:hAnsi="Arial" w:cs="Arial"/>
          <w:sz w:val="24"/>
          <w:szCs w:val="24"/>
        </w:rPr>
        <w:t>en</w:t>
      </w:r>
      <w:r>
        <w:rPr>
          <w:rFonts w:ascii="Arial" w:hAnsi="Arial" w:cs="Arial"/>
          <w:sz w:val="24"/>
          <w:szCs w:val="24"/>
        </w:rPr>
        <w:t>forceable.</w:t>
      </w:r>
    </w:p>
    <w:p w:rsidR="00075BB0" w:rsidRDefault="00075BB0" w:rsidP="00075BB0">
      <w:pPr>
        <w:pStyle w:val="NoSpacing"/>
        <w:spacing w:line="360" w:lineRule="auto"/>
        <w:jc w:val="both"/>
        <w:rPr>
          <w:rFonts w:ascii="Arial" w:hAnsi="Arial" w:cs="Arial"/>
          <w:sz w:val="24"/>
          <w:szCs w:val="24"/>
        </w:rPr>
      </w:pPr>
    </w:p>
    <w:p w:rsidR="00075BB0" w:rsidRDefault="00075BB0" w:rsidP="00075BB0">
      <w:pPr>
        <w:pStyle w:val="NoSpacing"/>
        <w:spacing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xml:space="preserve">, the legislative purpose of s 13, determined in this context, is </w:t>
      </w:r>
      <w:r w:rsidR="005A5B60">
        <w:rPr>
          <w:rFonts w:ascii="Arial" w:hAnsi="Arial" w:cs="Arial"/>
          <w:sz w:val="24"/>
          <w:szCs w:val="24"/>
        </w:rPr>
        <w:t xml:space="preserve">to </w:t>
      </w:r>
      <w:r>
        <w:rPr>
          <w:rFonts w:ascii="Arial" w:hAnsi="Arial" w:cs="Arial"/>
          <w:sz w:val="24"/>
          <w:szCs w:val="24"/>
        </w:rPr>
        <w:t>expressly prohibit</w:t>
      </w:r>
      <w:r w:rsidR="005A5B60">
        <w:rPr>
          <w:rFonts w:ascii="Arial" w:hAnsi="Arial" w:cs="Arial"/>
          <w:sz w:val="24"/>
          <w:szCs w:val="24"/>
        </w:rPr>
        <w:t xml:space="preserve"> </w:t>
      </w:r>
      <w:r>
        <w:rPr>
          <w:rFonts w:ascii="Arial" w:hAnsi="Arial" w:cs="Arial"/>
          <w:sz w:val="24"/>
          <w:szCs w:val="24"/>
        </w:rPr>
        <w:t xml:space="preserve">an unregistered person from performing reserved work for gain in s 13(1)(a). </w:t>
      </w:r>
      <w:r w:rsidR="005A5B60">
        <w:rPr>
          <w:rFonts w:ascii="Arial" w:hAnsi="Arial" w:cs="Arial"/>
          <w:sz w:val="24"/>
          <w:szCs w:val="24"/>
        </w:rPr>
        <w:t>Under</w:t>
      </w:r>
      <w:r w:rsidR="00DC4574">
        <w:rPr>
          <w:rFonts w:ascii="Arial" w:hAnsi="Arial" w:cs="Arial"/>
          <w:sz w:val="24"/>
          <w:szCs w:val="24"/>
        </w:rPr>
        <w:t xml:space="preserve"> s</w:t>
      </w:r>
      <w:r>
        <w:rPr>
          <w:rFonts w:ascii="Arial" w:hAnsi="Arial" w:cs="Arial"/>
          <w:sz w:val="24"/>
          <w:szCs w:val="24"/>
        </w:rPr>
        <w:t xml:space="preserve"> 13(1</w:t>
      </w:r>
      <w:proofErr w:type="gramStart"/>
      <w:r>
        <w:rPr>
          <w:rFonts w:ascii="Arial" w:hAnsi="Arial" w:cs="Arial"/>
          <w:sz w:val="24"/>
          <w:szCs w:val="24"/>
        </w:rPr>
        <w:t>)(</w:t>
      </w:r>
      <w:proofErr w:type="gramEnd"/>
      <w:r>
        <w:rPr>
          <w:rFonts w:ascii="Arial" w:hAnsi="Arial" w:cs="Arial"/>
          <w:sz w:val="24"/>
          <w:szCs w:val="24"/>
        </w:rPr>
        <w:t>b) a non-natural person is prohibited from performing reserved work and holding itself out to do so. This latter prohibition is to be read with s 11 which expressly contemplates that only natural persons can register as architects under the Act.</w:t>
      </w:r>
    </w:p>
    <w:p w:rsidR="00075BB0" w:rsidRDefault="00075BB0" w:rsidP="00075BB0">
      <w:pPr>
        <w:pStyle w:val="NoSpacing"/>
        <w:spacing w:line="360" w:lineRule="auto"/>
        <w:jc w:val="both"/>
        <w:rPr>
          <w:rFonts w:ascii="Arial" w:hAnsi="Arial" w:cs="Arial"/>
          <w:sz w:val="24"/>
          <w:szCs w:val="24"/>
        </w:rPr>
      </w:pPr>
    </w:p>
    <w:p w:rsidR="00075BB0" w:rsidRDefault="00075BB0" w:rsidP="00075BB0">
      <w:pPr>
        <w:pStyle w:val="NoSpacing"/>
        <w:spacing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xml:space="preserve">, </w:t>
      </w:r>
      <w:r w:rsidR="005A5B60">
        <w:rPr>
          <w:rFonts w:ascii="Arial" w:hAnsi="Arial" w:cs="Arial"/>
          <w:sz w:val="24"/>
          <w:szCs w:val="24"/>
        </w:rPr>
        <w:t>applying</w:t>
      </w:r>
      <w:r>
        <w:rPr>
          <w:rFonts w:ascii="Arial" w:hAnsi="Arial" w:cs="Arial"/>
          <w:sz w:val="24"/>
          <w:szCs w:val="24"/>
        </w:rPr>
        <w:t xml:space="preserve"> the approach in </w:t>
      </w:r>
      <w:r>
        <w:rPr>
          <w:rFonts w:ascii="Arial" w:hAnsi="Arial" w:cs="Arial"/>
          <w:i/>
          <w:sz w:val="24"/>
          <w:szCs w:val="24"/>
        </w:rPr>
        <w:t>Standard Bank v Van Rhyn</w:t>
      </w:r>
      <w:r>
        <w:rPr>
          <w:rFonts w:ascii="Arial" w:hAnsi="Arial" w:cs="Arial"/>
          <w:sz w:val="24"/>
          <w:szCs w:val="24"/>
        </w:rPr>
        <w:t xml:space="preserve">, it could not have been the intention of the legislature where a non-natural person has agreed to provide architectural services </w:t>
      </w:r>
      <w:r w:rsidR="005A5B60">
        <w:rPr>
          <w:rFonts w:ascii="Arial" w:hAnsi="Arial" w:cs="Arial"/>
          <w:sz w:val="24"/>
          <w:szCs w:val="24"/>
        </w:rPr>
        <w:t xml:space="preserve">this </w:t>
      </w:r>
      <w:r>
        <w:rPr>
          <w:rFonts w:ascii="Arial" w:hAnsi="Arial" w:cs="Arial"/>
          <w:sz w:val="24"/>
          <w:szCs w:val="24"/>
        </w:rPr>
        <w:t>would result in the further penalty of invalidity of the agreement, where the work is performed by a registered architect, even if this were to conceivably fall foul of s 13(1</w:t>
      </w:r>
      <w:proofErr w:type="gramStart"/>
      <w:r>
        <w:rPr>
          <w:rFonts w:ascii="Arial" w:hAnsi="Arial" w:cs="Arial"/>
          <w:sz w:val="24"/>
          <w:szCs w:val="24"/>
        </w:rPr>
        <w:t>)(</w:t>
      </w:r>
      <w:proofErr w:type="gramEnd"/>
      <w:r>
        <w:rPr>
          <w:rFonts w:ascii="Arial" w:hAnsi="Arial" w:cs="Arial"/>
          <w:sz w:val="24"/>
          <w:szCs w:val="24"/>
        </w:rPr>
        <w:t xml:space="preserve">b). A greater inconvenience and impropriety would follow from doing so, resulting in the </w:t>
      </w:r>
      <w:r w:rsidR="005A5B60">
        <w:rPr>
          <w:rFonts w:ascii="Arial" w:hAnsi="Arial" w:cs="Arial"/>
          <w:sz w:val="24"/>
          <w:szCs w:val="24"/>
        </w:rPr>
        <w:t>defendant</w:t>
      </w:r>
      <w:r>
        <w:rPr>
          <w:rFonts w:ascii="Arial" w:hAnsi="Arial" w:cs="Arial"/>
          <w:sz w:val="24"/>
          <w:szCs w:val="24"/>
        </w:rPr>
        <w:t xml:space="preserve"> escaping </w:t>
      </w:r>
      <w:r w:rsidR="005A5B60">
        <w:rPr>
          <w:rFonts w:ascii="Arial" w:hAnsi="Arial" w:cs="Arial"/>
          <w:sz w:val="24"/>
          <w:szCs w:val="24"/>
        </w:rPr>
        <w:t>its</w:t>
      </w:r>
      <w:r>
        <w:rPr>
          <w:rFonts w:ascii="Arial" w:hAnsi="Arial" w:cs="Arial"/>
          <w:sz w:val="24"/>
          <w:szCs w:val="24"/>
        </w:rPr>
        <w:t xml:space="preserve"> liability to pay for work duly performed by a registered architect.</w:t>
      </w:r>
    </w:p>
    <w:p w:rsidR="00075BB0" w:rsidRDefault="00075BB0" w:rsidP="00075BB0">
      <w:pPr>
        <w:pStyle w:val="NoSpacing"/>
        <w:spacing w:line="360" w:lineRule="auto"/>
        <w:jc w:val="both"/>
        <w:rPr>
          <w:rFonts w:ascii="Arial" w:hAnsi="Arial" w:cs="Arial"/>
          <w:sz w:val="24"/>
          <w:szCs w:val="24"/>
        </w:rPr>
      </w:pPr>
    </w:p>
    <w:p w:rsidR="00075BB0" w:rsidRDefault="00075BB0" w:rsidP="00075BB0">
      <w:pPr>
        <w:pStyle w:val="NoSpacing"/>
        <w:spacing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xml:space="preserve">, the court in </w:t>
      </w:r>
      <w:r>
        <w:rPr>
          <w:rFonts w:ascii="Arial" w:hAnsi="Arial" w:cs="Arial"/>
          <w:i/>
          <w:sz w:val="24"/>
          <w:szCs w:val="24"/>
        </w:rPr>
        <w:t xml:space="preserve">Nkandi </w:t>
      </w:r>
      <w:r>
        <w:rPr>
          <w:rFonts w:ascii="Arial" w:hAnsi="Arial" w:cs="Arial"/>
          <w:sz w:val="24"/>
          <w:szCs w:val="24"/>
        </w:rPr>
        <w:t xml:space="preserve">erred by failing to take into account the approach in </w:t>
      </w:r>
      <w:r>
        <w:rPr>
          <w:rFonts w:ascii="Arial" w:hAnsi="Arial" w:cs="Arial"/>
          <w:i/>
          <w:sz w:val="24"/>
          <w:szCs w:val="24"/>
        </w:rPr>
        <w:t>Standard Bank v Estate Van Rhyn</w:t>
      </w:r>
      <w:r w:rsidRPr="00727215">
        <w:rPr>
          <w:rFonts w:ascii="Arial" w:hAnsi="Arial" w:cs="Arial"/>
          <w:sz w:val="24"/>
          <w:szCs w:val="24"/>
        </w:rPr>
        <w:t xml:space="preserve"> </w:t>
      </w:r>
      <w:r w:rsidR="00727215">
        <w:rPr>
          <w:rFonts w:ascii="Arial" w:hAnsi="Arial" w:cs="Arial"/>
          <w:sz w:val="24"/>
          <w:szCs w:val="24"/>
        </w:rPr>
        <w:t xml:space="preserve">which has been consistently followed </w:t>
      </w:r>
      <w:r>
        <w:rPr>
          <w:rFonts w:ascii="Arial" w:hAnsi="Arial" w:cs="Arial"/>
          <w:sz w:val="24"/>
          <w:szCs w:val="24"/>
        </w:rPr>
        <w:t xml:space="preserve">in determining the effects of acts done in conflict with statutory prohibitions. Further, </w:t>
      </w:r>
      <w:r>
        <w:rPr>
          <w:rFonts w:ascii="Arial" w:hAnsi="Arial" w:cs="Arial"/>
          <w:sz w:val="24"/>
          <w:szCs w:val="24"/>
        </w:rPr>
        <w:lastRenderedPageBreak/>
        <w:t xml:space="preserve">the decisions in </w:t>
      </w:r>
      <w:r>
        <w:rPr>
          <w:rFonts w:ascii="Arial" w:hAnsi="Arial" w:cs="Arial"/>
          <w:i/>
          <w:sz w:val="24"/>
          <w:szCs w:val="24"/>
        </w:rPr>
        <w:t>Cool Ideas</w:t>
      </w:r>
      <w:r>
        <w:rPr>
          <w:rFonts w:ascii="Arial" w:hAnsi="Arial" w:cs="Arial"/>
          <w:sz w:val="24"/>
          <w:szCs w:val="24"/>
        </w:rPr>
        <w:t xml:space="preserve"> </w:t>
      </w:r>
      <w:r>
        <w:rPr>
          <w:rFonts w:ascii="Arial" w:hAnsi="Arial" w:cs="Arial"/>
          <w:i/>
          <w:sz w:val="24"/>
          <w:szCs w:val="24"/>
        </w:rPr>
        <w:t>1186 CC v Hubbard and another</w:t>
      </w:r>
      <w:r>
        <w:rPr>
          <w:rFonts w:ascii="Arial" w:hAnsi="Arial" w:cs="Arial"/>
          <w:sz w:val="24"/>
          <w:szCs w:val="24"/>
        </w:rPr>
        <w:t xml:space="preserve"> relied upon in </w:t>
      </w:r>
      <w:r>
        <w:rPr>
          <w:rFonts w:ascii="Arial" w:hAnsi="Arial" w:cs="Arial"/>
          <w:i/>
          <w:sz w:val="24"/>
          <w:szCs w:val="24"/>
        </w:rPr>
        <w:t>Nkandi,</w:t>
      </w:r>
      <w:r>
        <w:rPr>
          <w:rFonts w:ascii="Arial" w:hAnsi="Arial" w:cs="Arial"/>
          <w:sz w:val="24"/>
          <w:szCs w:val="24"/>
        </w:rPr>
        <w:t xml:space="preserve"> are distinguishable.</w:t>
      </w:r>
    </w:p>
    <w:p w:rsidR="00075BB0" w:rsidRDefault="00075BB0" w:rsidP="00075BB0">
      <w:pPr>
        <w:pStyle w:val="NoSpacing"/>
        <w:spacing w:line="360" w:lineRule="auto"/>
        <w:jc w:val="both"/>
        <w:rPr>
          <w:rFonts w:ascii="Arial" w:hAnsi="Arial" w:cs="Arial"/>
          <w:sz w:val="24"/>
          <w:szCs w:val="24"/>
        </w:rPr>
      </w:pPr>
    </w:p>
    <w:p w:rsidR="00075BB0" w:rsidRDefault="00075BB0" w:rsidP="00075BB0">
      <w:pPr>
        <w:pStyle w:val="NoSpacing"/>
        <w:spacing w:line="36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xml:space="preserve"> the court </w:t>
      </w:r>
      <w:r>
        <w:rPr>
          <w:rFonts w:ascii="Arial" w:hAnsi="Arial" w:cs="Arial"/>
          <w:i/>
          <w:sz w:val="24"/>
          <w:szCs w:val="24"/>
        </w:rPr>
        <w:t>a quo</w:t>
      </w:r>
      <w:r>
        <w:rPr>
          <w:rFonts w:ascii="Arial" w:hAnsi="Arial" w:cs="Arial"/>
          <w:sz w:val="24"/>
          <w:szCs w:val="24"/>
        </w:rPr>
        <w:t xml:space="preserve"> </w:t>
      </w:r>
      <w:r w:rsidR="00727215">
        <w:rPr>
          <w:rFonts w:ascii="Arial" w:hAnsi="Arial" w:cs="Arial"/>
          <w:sz w:val="24"/>
          <w:szCs w:val="24"/>
        </w:rPr>
        <w:t xml:space="preserve">accordingly </w:t>
      </w:r>
      <w:r>
        <w:rPr>
          <w:rFonts w:ascii="Arial" w:hAnsi="Arial" w:cs="Arial"/>
          <w:sz w:val="24"/>
          <w:szCs w:val="24"/>
        </w:rPr>
        <w:t xml:space="preserve">erred in following the </w:t>
      </w:r>
      <w:r>
        <w:rPr>
          <w:rFonts w:ascii="Arial" w:hAnsi="Arial" w:cs="Arial"/>
          <w:i/>
          <w:sz w:val="24"/>
          <w:szCs w:val="24"/>
        </w:rPr>
        <w:t xml:space="preserve">Nkandi </w:t>
      </w:r>
      <w:r>
        <w:rPr>
          <w:rFonts w:ascii="Arial" w:hAnsi="Arial" w:cs="Arial"/>
          <w:sz w:val="24"/>
          <w:szCs w:val="24"/>
        </w:rPr>
        <w:t>matter. The exception against the main claim should not have been upheld and the appeal succeeds.</w:t>
      </w:r>
    </w:p>
    <w:p w:rsidR="007F6CEC" w:rsidRPr="00451609" w:rsidRDefault="007F6CEC" w:rsidP="007F6CEC">
      <w:pPr>
        <w:pStyle w:val="NoSpacing"/>
        <w:spacing w:line="480" w:lineRule="auto"/>
        <w:jc w:val="both"/>
        <w:rPr>
          <w:rFonts w:ascii="Arial" w:hAnsi="Arial" w:cs="Arial"/>
          <w:sz w:val="24"/>
          <w:szCs w:val="24"/>
        </w:rPr>
      </w:pPr>
    </w:p>
    <w:p w:rsidR="008C3367" w:rsidRPr="00BD2EDA"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8C3367" w:rsidRPr="00BD2EDA" w:rsidRDefault="008C3367" w:rsidP="008C3367">
      <w:pPr>
        <w:pBdr>
          <w:top w:val="single" w:sz="12" w:space="1" w:color="auto"/>
          <w:bottom w:val="single" w:sz="12" w:space="1" w:color="auto"/>
        </w:pBdr>
        <w:spacing w:line="240" w:lineRule="auto"/>
        <w:jc w:val="center"/>
        <w:rPr>
          <w:rFonts w:ascii="Arial" w:hAnsi="Arial" w:cs="Arial"/>
          <w:b/>
          <w:sz w:val="24"/>
          <w:szCs w:val="24"/>
        </w:rPr>
      </w:pPr>
      <w:r w:rsidRPr="00BD2EDA">
        <w:rPr>
          <w:rFonts w:ascii="Arial" w:hAnsi="Arial" w:cs="Arial"/>
          <w:b/>
          <w:sz w:val="24"/>
          <w:szCs w:val="24"/>
        </w:rPr>
        <w:t>APPEAL JUDGMENT</w:t>
      </w:r>
    </w:p>
    <w:p w:rsidR="008C3367" w:rsidRPr="00BD2EDA"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B40CD3" w:rsidRDefault="00B40CD3" w:rsidP="00B40CD3">
      <w:pPr>
        <w:pStyle w:val="NoSpacing"/>
        <w:spacing w:line="480" w:lineRule="auto"/>
      </w:pPr>
    </w:p>
    <w:p w:rsidR="008C3367" w:rsidRPr="00BD2EDA" w:rsidRDefault="008C3367" w:rsidP="008C3367">
      <w:pPr>
        <w:spacing w:line="480" w:lineRule="auto"/>
        <w:jc w:val="both"/>
        <w:rPr>
          <w:rFonts w:ascii="Arial" w:hAnsi="Arial" w:cs="Arial"/>
          <w:sz w:val="24"/>
          <w:szCs w:val="24"/>
        </w:rPr>
      </w:pPr>
      <w:r w:rsidRPr="00BD2EDA">
        <w:rPr>
          <w:rFonts w:ascii="Arial" w:hAnsi="Arial" w:cs="Arial"/>
          <w:sz w:val="24"/>
          <w:szCs w:val="24"/>
        </w:rPr>
        <w:t>SMUTS JA (</w:t>
      </w:r>
      <w:r w:rsidR="00F8287A">
        <w:rPr>
          <w:rFonts w:ascii="Arial" w:hAnsi="Arial" w:cs="Arial"/>
          <w:sz w:val="24"/>
          <w:szCs w:val="24"/>
        </w:rPr>
        <w:t>MAINGA JA</w:t>
      </w:r>
      <w:r w:rsidR="00451609">
        <w:rPr>
          <w:rFonts w:ascii="Arial" w:hAnsi="Arial" w:cs="Arial"/>
          <w:sz w:val="24"/>
          <w:szCs w:val="24"/>
        </w:rPr>
        <w:t xml:space="preserve"> and</w:t>
      </w:r>
      <w:r>
        <w:rPr>
          <w:rFonts w:ascii="Arial" w:hAnsi="Arial" w:cs="Arial"/>
          <w:sz w:val="24"/>
          <w:szCs w:val="24"/>
        </w:rPr>
        <w:t xml:space="preserve"> </w:t>
      </w:r>
      <w:r w:rsidR="00F8287A">
        <w:rPr>
          <w:rFonts w:ascii="Arial" w:hAnsi="Arial" w:cs="Arial"/>
          <w:sz w:val="24"/>
          <w:szCs w:val="24"/>
        </w:rPr>
        <w:t>HOFF JA</w:t>
      </w:r>
      <w:r w:rsidRPr="00BD2EDA">
        <w:rPr>
          <w:rFonts w:ascii="Arial" w:hAnsi="Arial" w:cs="Arial"/>
          <w:sz w:val="24"/>
          <w:szCs w:val="24"/>
        </w:rPr>
        <w:t xml:space="preserve"> concurring):</w:t>
      </w:r>
    </w:p>
    <w:p w:rsidR="00F8287A" w:rsidRDefault="000370B1" w:rsidP="000370B1">
      <w:pPr>
        <w:pStyle w:val="NoSpacing"/>
        <w:numPr>
          <w:ilvl w:val="0"/>
          <w:numId w:val="4"/>
        </w:numPr>
        <w:spacing w:line="480" w:lineRule="auto"/>
        <w:ind w:left="0" w:firstLine="0"/>
        <w:jc w:val="both"/>
        <w:rPr>
          <w:rFonts w:ascii="Arial" w:hAnsi="Arial" w:cs="Arial"/>
          <w:sz w:val="24"/>
          <w:szCs w:val="24"/>
        </w:rPr>
      </w:pPr>
      <w:r w:rsidRPr="0007735E">
        <w:rPr>
          <w:rFonts w:ascii="Arial" w:hAnsi="Arial" w:cs="Arial"/>
          <w:sz w:val="24"/>
          <w:szCs w:val="24"/>
        </w:rPr>
        <w:t>The question for determination in this appeal concerns the interpretation to be given to a prohibition contained in</w:t>
      </w:r>
      <w:r w:rsidR="00667FE1">
        <w:rPr>
          <w:rFonts w:ascii="Arial" w:hAnsi="Arial" w:cs="Arial"/>
          <w:sz w:val="24"/>
          <w:szCs w:val="24"/>
        </w:rPr>
        <w:t xml:space="preserve"> s 1</w:t>
      </w:r>
      <w:r w:rsidR="009D032A">
        <w:rPr>
          <w:rFonts w:ascii="Arial" w:hAnsi="Arial" w:cs="Arial"/>
          <w:sz w:val="24"/>
          <w:szCs w:val="24"/>
        </w:rPr>
        <w:t>3</w:t>
      </w:r>
      <w:r w:rsidR="00667FE1">
        <w:rPr>
          <w:rFonts w:ascii="Arial" w:hAnsi="Arial" w:cs="Arial"/>
          <w:sz w:val="24"/>
          <w:szCs w:val="24"/>
        </w:rPr>
        <w:t>(1)</w:t>
      </w:r>
      <w:r w:rsidR="009D032A">
        <w:rPr>
          <w:rFonts w:ascii="Arial" w:hAnsi="Arial" w:cs="Arial"/>
          <w:sz w:val="24"/>
          <w:szCs w:val="24"/>
        </w:rPr>
        <w:t>(b)</w:t>
      </w:r>
      <w:r w:rsidR="00667FE1">
        <w:rPr>
          <w:rFonts w:ascii="Arial" w:hAnsi="Arial" w:cs="Arial"/>
          <w:sz w:val="24"/>
          <w:szCs w:val="24"/>
        </w:rPr>
        <w:t xml:space="preserve"> of</w:t>
      </w:r>
      <w:r w:rsidRPr="0007735E">
        <w:rPr>
          <w:rFonts w:ascii="Arial" w:hAnsi="Arial" w:cs="Arial"/>
          <w:sz w:val="24"/>
          <w:szCs w:val="24"/>
        </w:rPr>
        <w:t xml:space="preserve"> the Architects and Quantity Surveyors Act, 13 of 1979 (the Act)</w:t>
      </w:r>
      <w:r w:rsidR="00667FE1">
        <w:rPr>
          <w:rFonts w:ascii="Arial" w:hAnsi="Arial" w:cs="Arial"/>
          <w:sz w:val="24"/>
          <w:szCs w:val="24"/>
        </w:rPr>
        <w:t>. It</w:t>
      </w:r>
      <w:r w:rsidRPr="0007735E">
        <w:rPr>
          <w:rFonts w:ascii="Arial" w:hAnsi="Arial" w:cs="Arial"/>
          <w:sz w:val="24"/>
          <w:szCs w:val="24"/>
        </w:rPr>
        <w:t xml:space="preserve"> prohibits any person other than a natural person from performing architectural work for gain. At issue is whether an agreement between a non-natural </w:t>
      </w:r>
      <w:proofErr w:type="gramStart"/>
      <w:r w:rsidRPr="0007735E">
        <w:rPr>
          <w:rFonts w:ascii="Arial" w:hAnsi="Arial" w:cs="Arial"/>
          <w:sz w:val="24"/>
          <w:szCs w:val="24"/>
        </w:rPr>
        <w:t>person</w:t>
      </w:r>
      <w:proofErr w:type="gramEnd"/>
      <w:r w:rsidRPr="0007735E">
        <w:rPr>
          <w:rFonts w:ascii="Arial" w:hAnsi="Arial" w:cs="Arial"/>
          <w:sz w:val="24"/>
          <w:szCs w:val="24"/>
        </w:rPr>
        <w:t xml:space="preserve"> in the form of a close corporation to </w:t>
      </w:r>
      <w:r w:rsidR="004663FF">
        <w:rPr>
          <w:rFonts w:ascii="Arial" w:hAnsi="Arial" w:cs="Arial"/>
          <w:sz w:val="24"/>
          <w:szCs w:val="24"/>
        </w:rPr>
        <w:t>provide</w:t>
      </w:r>
      <w:r w:rsidRPr="0007735E">
        <w:rPr>
          <w:rFonts w:ascii="Arial" w:hAnsi="Arial" w:cs="Arial"/>
          <w:sz w:val="24"/>
          <w:szCs w:val="24"/>
        </w:rPr>
        <w:t xml:space="preserve"> architectural services </w:t>
      </w:r>
      <w:r w:rsidR="004663FF">
        <w:rPr>
          <w:rFonts w:ascii="Arial" w:hAnsi="Arial" w:cs="Arial"/>
          <w:sz w:val="24"/>
          <w:szCs w:val="24"/>
        </w:rPr>
        <w:t>to</w:t>
      </w:r>
      <w:r w:rsidRPr="0007735E">
        <w:rPr>
          <w:rFonts w:ascii="Arial" w:hAnsi="Arial" w:cs="Arial"/>
          <w:sz w:val="24"/>
          <w:szCs w:val="24"/>
        </w:rPr>
        <w:t xml:space="preserve"> a client would be unenforceable as a result of the prohibition.</w:t>
      </w:r>
    </w:p>
    <w:p w:rsidR="00F8287A" w:rsidRDefault="00F8287A" w:rsidP="00F8287A">
      <w:pPr>
        <w:pStyle w:val="NoSpacing"/>
        <w:spacing w:line="480" w:lineRule="auto"/>
        <w:jc w:val="both"/>
        <w:rPr>
          <w:rFonts w:ascii="Arial" w:hAnsi="Arial" w:cs="Arial"/>
          <w:sz w:val="24"/>
          <w:szCs w:val="24"/>
        </w:rPr>
      </w:pPr>
    </w:p>
    <w:p w:rsidR="00F8287A" w:rsidRDefault="000370B1" w:rsidP="000370B1">
      <w:pPr>
        <w:pStyle w:val="NoSpacing"/>
        <w:numPr>
          <w:ilvl w:val="0"/>
          <w:numId w:val="4"/>
        </w:numPr>
        <w:spacing w:line="480" w:lineRule="auto"/>
        <w:ind w:left="0" w:firstLine="0"/>
        <w:jc w:val="both"/>
        <w:rPr>
          <w:rFonts w:ascii="Arial" w:hAnsi="Arial" w:cs="Arial"/>
          <w:sz w:val="24"/>
          <w:szCs w:val="24"/>
        </w:rPr>
      </w:pPr>
      <w:r w:rsidRPr="00F8287A">
        <w:rPr>
          <w:rFonts w:ascii="Arial" w:hAnsi="Arial" w:cs="Arial"/>
          <w:sz w:val="24"/>
          <w:szCs w:val="24"/>
        </w:rPr>
        <w:t xml:space="preserve">The High Court on exception, relying upon another decision of the High Court in </w:t>
      </w:r>
      <w:r w:rsidRPr="00F8287A">
        <w:rPr>
          <w:rFonts w:ascii="Arial" w:hAnsi="Arial" w:cs="Arial"/>
          <w:i/>
          <w:sz w:val="24"/>
          <w:szCs w:val="24"/>
        </w:rPr>
        <w:t>Kondjeni Nkandi Architects and another v Namibian Airports Company</w:t>
      </w:r>
      <w:r w:rsidR="004663FF">
        <w:rPr>
          <w:rFonts w:ascii="Arial" w:hAnsi="Arial" w:cs="Arial"/>
          <w:i/>
          <w:sz w:val="24"/>
          <w:szCs w:val="24"/>
        </w:rPr>
        <w:t xml:space="preserve"> (Nkandi)</w:t>
      </w:r>
      <w:r w:rsidRPr="00F8287A">
        <w:rPr>
          <w:rFonts w:ascii="Arial" w:hAnsi="Arial" w:cs="Arial"/>
          <w:sz w:val="24"/>
          <w:szCs w:val="24"/>
        </w:rPr>
        <w:t>,</w:t>
      </w:r>
      <w:r w:rsidRPr="0007735E">
        <w:rPr>
          <w:rStyle w:val="FootnoteReference"/>
          <w:rFonts w:ascii="Arial" w:hAnsi="Arial" w:cs="Arial"/>
          <w:sz w:val="24"/>
          <w:szCs w:val="24"/>
        </w:rPr>
        <w:footnoteReference w:id="1"/>
      </w:r>
      <w:r w:rsidRPr="00F8287A">
        <w:rPr>
          <w:rFonts w:ascii="Arial" w:hAnsi="Arial" w:cs="Arial"/>
          <w:sz w:val="24"/>
          <w:szCs w:val="24"/>
        </w:rPr>
        <w:t xml:space="preserve"> found that such an agreement would be unenforceable.  This is an appeal against that decision.</w:t>
      </w:r>
    </w:p>
    <w:p w:rsidR="003C1292" w:rsidRDefault="003C1292" w:rsidP="00F8287A">
      <w:pPr>
        <w:pStyle w:val="ListParagraph"/>
        <w:rPr>
          <w:rFonts w:ascii="Arial" w:hAnsi="Arial" w:cs="Arial"/>
          <w:sz w:val="24"/>
          <w:szCs w:val="24"/>
        </w:rPr>
      </w:pPr>
    </w:p>
    <w:p w:rsidR="000703E4" w:rsidRDefault="000703E4" w:rsidP="00F8287A">
      <w:pPr>
        <w:pStyle w:val="ListParagraph"/>
        <w:rPr>
          <w:rFonts w:ascii="Arial" w:hAnsi="Arial" w:cs="Arial"/>
          <w:sz w:val="24"/>
          <w:szCs w:val="24"/>
        </w:rPr>
      </w:pPr>
    </w:p>
    <w:p w:rsidR="000703E4" w:rsidRDefault="000703E4" w:rsidP="00F8287A">
      <w:pPr>
        <w:pStyle w:val="ListParagraph"/>
        <w:rPr>
          <w:rFonts w:ascii="Arial" w:hAnsi="Arial" w:cs="Arial"/>
          <w:sz w:val="24"/>
          <w:szCs w:val="24"/>
        </w:rPr>
      </w:pPr>
    </w:p>
    <w:p w:rsidR="00F8287A" w:rsidRPr="0007735E" w:rsidRDefault="00F8287A" w:rsidP="00F8287A">
      <w:pPr>
        <w:pStyle w:val="NoSpacing"/>
        <w:spacing w:line="480" w:lineRule="auto"/>
        <w:jc w:val="both"/>
        <w:rPr>
          <w:rFonts w:ascii="Arial" w:hAnsi="Arial" w:cs="Arial"/>
          <w:sz w:val="24"/>
          <w:szCs w:val="24"/>
          <w:u w:val="single"/>
        </w:rPr>
      </w:pPr>
      <w:r w:rsidRPr="0007735E">
        <w:rPr>
          <w:rFonts w:ascii="Arial" w:hAnsi="Arial" w:cs="Arial"/>
          <w:sz w:val="24"/>
          <w:szCs w:val="24"/>
          <w:u w:val="single"/>
        </w:rPr>
        <w:lastRenderedPageBreak/>
        <w:t>The pleadings</w:t>
      </w:r>
    </w:p>
    <w:p w:rsidR="00F8287A" w:rsidRDefault="000370B1" w:rsidP="000370B1">
      <w:pPr>
        <w:pStyle w:val="NoSpacing"/>
        <w:numPr>
          <w:ilvl w:val="0"/>
          <w:numId w:val="4"/>
        </w:numPr>
        <w:spacing w:line="480" w:lineRule="auto"/>
        <w:ind w:left="0" w:firstLine="0"/>
        <w:jc w:val="both"/>
        <w:rPr>
          <w:rFonts w:ascii="Arial" w:hAnsi="Arial" w:cs="Arial"/>
          <w:sz w:val="24"/>
          <w:szCs w:val="24"/>
        </w:rPr>
      </w:pPr>
      <w:r w:rsidRPr="00F8287A">
        <w:rPr>
          <w:rFonts w:ascii="Arial" w:hAnsi="Arial" w:cs="Arial"/>
          <w:sz w:val="24"/>
          <w:szCs w:val="24"/>
        </w:rPr>
        <w:t>The plaintiff</w:t>
      </w:r>
      <w:r w:rsidR="00727215">
        <w:rPr>
          <w:rFonts w:ascii="Arial" w:hAnsi="Arial" w:cs="Arial"/>
          <w:sz w:val="24"/>
          <w:szCs w:val="24"/>
        </w:rPr>
        <w:t xml:space="preserve"> (appellant in this appeal)</w:t>
      </w:r>
      <w:r w:rsidRPr="00F8287A">
        <w:rPr>
          <w:rFonts w:ascii="Arial" w:hAnsi="Arial" w:cs="Arial"/>
          <w:sz w:val="24"/>
          <w:szCs w:val="24"/>
        </w:rPr>
        <w:t xml:space="preserve"> is a close corporation called Claud Bosch Architects</w:t>
      </w:r>
      <w:r w:rsidR="004663FF">
        <w:rPr>
          <w:rFonts w:ascii="Arial" w:hAnsi="Arial" w:cs="Arial"/>
          <w:sz w:val="24"/>
          <w:szCs w:val="24"/>
        </w:rPr>
        <w:t xml:space="preserve"> CC</w:t>
      </w:r>
      <w:r w:rsidRPr="00F8287A">
        <w:rPr>
          <w:rFonts w:ascii="Arial" w:hAnsi="Arial" w:cs="Arial"/>
          <w:sz w:val="24"/>
          <w:szCs w:val="24"/>
        </w:rPr>
        <w:t>. Its sole member, Claud Bosch, was at all material times a duly qualified and registered architect as contemplated in the Act. The defendant</w:t>
      </w:r>
      <w:r w:rsidR="00727215">
        <w:rPr>
          <w:rFonts w:ascii="Arial" w:hAnsi="Arial" w:cs="Arial"/>
          <w:sz w:val="24"/>
          <w:szCs w:val="24"/>
        </w:rPr>
        <w:t>, (respondent in this appeal)</w:t>
      </w:r>
      <w:r w:rsidRPr="00F8287A">
        <w:rPr>
          <w:rFonts w:ascii="Arial" w:hAnsi="Arial" w:cs="Arial"/>
          <w:sz w:val="24"/>
          <w:szCs w:val="24"/>
        </w:rPr>
        <w:t xml:space="preserve"> was a client of the plaintiff and engaged the plaintiff to provide architectural services in respect of a project entailing the design, supervision of construction and development of a restaurant, hotel and parking area complex in Windhoek. </w:t>
      </w:r>
      <w:r w:rsidR="00B25A2B">
        <w:rPr>
          <w:rFonts w:ascii="Arial" w:hAnsi="Arial" w:cs="Arial"/>
          <w:sz w:val="24"/>
          <w:szCs w:val="24"/>
        </w:rPr>
        <w:t>For the sake of convenience, the parties are referred to as plaintiff and defendant.</w:t>
      </w:r>
      <w:r w:rsidRPr="00F8287A">
        <w:rPr>
          <w:rFonts w:ascii="Arial" w:hAnsi="Arial" w:cs="Arial"/>
          <w:sz w:val="24"/>
          <w:szCs w:val="24"/>
        </w:rPr>
        <w:t xml:space="preserve"> </w:t>
      </w:r>
    </w:p>
    <w:p w:rsidR="00F8287A" w:rsidRDefault="00F8287A" w:rsidP="00F8287A">
      <w:pPr>
        <w:pStyle w:val="NoSpacing"/>
        <w:spacing w:line="480" w:lineRule="auto"/>
        <w:jc w:val="both"/>
        <w:rPr>
          <w:rFonts w:ascii="Arial" w:hAnsi="Arial" w:cs="Arial"/>
          <w:sz w:val="24"/>
          <w:szCs w:val="24"/>
        </w:rPr>
      </w:pPr>
    </w:p>
    <w:p w:rsidR="00F8287A" w:rsidRDefault="000370B1" w:rsidP="000370B1">
      <w:pPr>
        <w:pStyle w:val="NoSpacing"/>
        <w:numPr>
          <w:ilvl w:val="0"/>
          <w:numId w:val="4"/>
        </w:numPr>
        <w:spacing w:line="480" w:lineRule="auto"/>
        <w:ind w:left="0" w:firstLine="0"/>
        <w:jc w:val="both"/>
        <w:rPr>
          <w:rFonts w:ascii="Arial" w:hAnsi="Arial" w:cs="Arial"/>
          <w:sz w:val="24"/>
          <w:szCs w:val="24"/>
        </w:rPr>
      </w:pPr>
      <w:r w:rsidRPr="00F8287A">
        <w:rPr>
          <w:rFonts w:ascii="Arial" w:hAnsi="Arial" w:cs="Arial"/>
          <w:sz w:val="24"/>
          <w:szCs w:val="24"/>
        </w:rPr>
        <w:t>It is alleged in the particulars of claim that the parties entered into an agreement for the provision of those services which were to be performed by Mr Bosch, a duly registered architect</w:t>
      </w:r>
      <w:r w:rsidR="004663FF">
        <w:rPr>
          <w:rFonts w:ascii="Arial" w:hAnsi="Arial" w:cs="Arial"/>
          <w:sz w:val="24"/>
          <w:szCs w:val="24"/>
        </w:rPr>
        <w:t xml:space="preserve"> on behalf of the plaintiff</w:t>
      </w:r>
      <w:r w:rsidRPr="00F8287A">
        <w:rPr>
          <w:rFonts w:ascii="Arial" w:hAnsi="Arial" w:cs="Arial"/>
          <w:sz w:val="24"/>
          <w:szCs w:val="24"/>
        </w:rPr>
        <w:t xml:space="preserve">. The fees would be payable to the plaintiff for those services. It is also alleged that </w:t>
      </w:r>
      <w:r w:rsidR="00667FE1">
        <w:rPr>
          <w:rFonts w:ascii="Arial" w:hAnsi="Arial" w:cs="Arial"/>
          <w:sz w:val="24"/>
          <w:szCs w:val="24"/>
        </w:rPr>
        <w:t xml:space="preserve">Mr </w:t>
      </w:r>
      <w:r w:rsidRPr="00F8287A">
        <w:rPr>
          <w:rFonts w:ascii="Arial" w:hAnsi="Arial" w:cs="Arial"/>
          <w:sz w:val="24"/>
          <w:szCs w:val="24"/>
        </w:rPr>
        <w:t>Bosch duly performed the services stipulated in the agreement.</w:t>
      </w:r>
    </w:p>
    <w:p w:rsidR="00F8287A" w:rsidRDefault="00F8287A" w:rsidP="00F8287A">
      <w:pPr>
        <w:pStyle w:val="ListParagraph"/>
        <w:rPr>
          <w:rFonts w:ascii="Arial" w:hAnsi="Arial" w:cs="Arial"/>
          <w:sz w:val="24"/>
          <w:szCs w:val="24"/>
        </w:rPr>
      </w:pPr>
    </w:p>
    <w:p w:rsidR="00F8287A" w:rsidRDefault="000370B1" w:rsidP="000370B1">
      <w:pPr>
        <w:pStyle w:val="NoSpacing"/>
        <w:numPr>
          <w:ilvl w:val="0"/>
          <w:numId w:val="4"/>
        </w:numPr>
        <w:spacing w:line="480" w:lineRule="auto"/>
        <w:ind w:left="0" w:firstLine="0"/>
        <w:jc w:val="both"/>
        <w:rPr>
          <w:rFonts w:ascii="Arial" w:hAnsi="Arial" w:cs="Arial"/>
          <w:sz w:val="24"/>
          <w:szCs w:val="24"/>
        </w:rPr>
      </w:pPr>
      <w:r w:rsidRPr="00F8287A">
        <w:rPr>
          <w:rFonts w:ascii="Arial" w:hAnsi="Arial" w:cs="Arial"/>
          <w:sz w:val="24"/>
          <w:szCs w:val="24"/>
        </w:rPr>
        <w:t>The plaintiff rendered interim accounts to the defendant. It is also alleged that during the currency of the contract, the defendant made payments totalling N$505,000 but an amount of N$2,291,883.08 remained outstanding. Although the description of the architect in the agreement was given as Claud Bosch Architects, it was alleged that this was incorrect and that the words ‘close corporation’ should be inserted. Rectification was sought for this.</w:t>
      </w:r>
    </w:p>
    <w:p w:rsidR="00F8287A" w:rsidRDefault="00F8287A" w:rsidP="00F8287A">
      <w:pPr>
        <w:pStyle w:val="ListParagraph"/>
        <w:rPr>
          <w:rFonts w:ascii="Arial" w:hAnsi="Arial" w:cs="Arial"/>
          <w:sz w:val="24"/>
          <w:szCs w:val="24"/>
        </w:rPr>
      </w:pPr>
    </w:p>
    <w:p w:rsidR="00F8287A" w:rsidRDefault="000370B1" w:rsidP="000370B1">
      <w:pPr>
        <w:pStyle w:val="NoSpacing"/>
        <w:numPr>
          <w:ilvl w:val="0"/>
          <w:numId w:val="4"/>
        </w:numPr>
        <w:spacing w:line="480" w:lineRule="auto"/>
        <w:ind w:left="0" w:firstLine="0"/>
        <w:jc w:val="both"/>
        <w:rPr>
          <w:rFonts w:ascii="Arial" w:hAnsi="Arial" w:cs="Arial"/>
          <w:sz w:val="24"/>
          <w:szCs w:val="24"/>
        </w:rPr>
      </w:pPr>
      <w:r w:rsidRPr="00F8287A">
        <w:rPr>
          <w:rFonts w:ascii="Arial" w:hAnsi="Arial" w:cs="Arial"/>
          <w:sz w:val="24"/>
          <w:szCs w:val="24"/>
        </w:rPr>
        <w:t>The plaintiff claimed the outstanding payment due to it under the agreement between the parties.</w:t>
      </w:r>
    </w:p>
    <w:p w:rsidR="00F8287A" w:rsidRDefault="00F8287A" w:rsidP="00F8287A">
      <w:pPr>
        <w:pStyle w:val="ListParagraph"/>
        <w:rPr>
          <w:rFonts w:ascii="Arial" w:hAnsi="Arial" w:cs="Arial"/>
          <w:sz w:val="24"/>
          <w:szCs w:val="24"/>
        </w:rPr>
      </w:pPr>
    </w:p>
    <w:p w:rsidR="00F8287A" w:rsidRDefault="000370B1" w:rsidP="000370B1">
      <w:pPr>
        <w:pStyle w:val="NoSpacing"/>
        <w:numPr>
          <w:ilvl w:val="0"/>
          <w:numId w:val="4"/>
        </w:numPr>
        <w:spacing w:line="480" w:lineRule="auto"/>
        <w:ind w:left="0" w:firstLine="0"/>
        <w:jc w:val="both"/>
        <w:rPr>
          <w:rFonts w:ascii="Arial" w:hAnsi="Arial" w:cs="Arial"/>
          <w:sz w:val="24"/>
          <w:szCs w:val="24"/>
        </w:rPr>
      </w:pPr>
      <w:r w:rsidRPr="00F8287A">
        <w:rPr>
          <w:rFonts w:ascii="Arial" w:hAnsi="Arial" w:cs="Arial"/>
          <w:sz w:val="24"/>
          <w:szCs w:val="24"/>
        </w:rPr>
        <w:lastRenderedPageBreak/>
        <w:t>Two alternative claims are also raised in the particulars of claim. They are based upon enrichment in the event of the High Court finding that the agreement between the parties is invalid and/or unenforceable. It is alleged that the defendant had been unjustifiably enriched at the expense of the plaintiff as a consequence of the value of the work produced and services rendered in the total amount of the outstanding claim.</w:t>
      </w:r>
    </w:p>
    <w:p w:rsidR="00F8287A" w:rsidRDefault="00F8287A" w:rsidP="00F8287A">
      <w:pPr>
        <w:pStyle w:val="ListParagraph"/>
        <w:rPr>
          <w:rFonts w:ascii="Arial" w:hAnsi="Arial" w:cs="Arial"/>
          <w:sz w:val="24"/>
          <w:szCs w:val="24"/>
        </w:rPr>
      </w:pPr>
    </w:p>
    <w:p w:rsidR="00F8287A" w:rsidRDefault="000370B1" w:rsidP="000370B1">
      <w:pPr>
        <w:pStyle w:val="NoSpacing"/>
        <w:numPr>
          <w:ilvl w:val="0"/>
          <w:numId w:val="4"/>
        </w:numPr>
        <w:spacing w:line="480" w:lineRule="auto"/>
        <w:ind w:left="0" w:firstLine="0"/>
        <w:jc w:val="both"/>
        <w:rPr>
          <w:rFonts w:ascii="Arial" w:hAnsi="Arial" w:cs="Arial"/>
          <w:sz w:val="24"/>
          <w:szCs w:val="24"/>
        </w:rPr>
      </w:pPr>
      <w:r w:rsidRPr="00F8287A">
        <w:rPr>
          <w:rFonts w:ascii="Arial" w:hAnsi="Arial" w:cs="Arial"/>
          <w:sz w:val="24"/>
          <w:szCs w:val="24"/>
        </w:rPr>
        <w:t xml:space="preserve">The defendant </w:t>
      </w:r>
      <w:proofErr w:type="gramStart"/>
      <w:r w:rsidRPr="00F8287A">
        <w:rPr>
          <w:rFonts w:ascii="Arial" w:hAnsi="Arial" w:cs="Arial"/>
          <w:sz w:val="24"/>
          <w:szCs w:val="24"/>
        </w:rPr>
        <w:t>excepted</w:t>
      </w:r>
      <w:proofErr w:type="gramEnd"/>
      <w:r w:rsidRPr="00F8287A">
        <w:rPr>
          <w:rFonts w:ascii="Arial" w:hAnsi="Arial" w:cs="Arial"/>
          <w:sz w:val="24"/>
          <w:szCs w:val="24"/>
        </w:rPr>
        <w:t xml:space="preserve"> to the claim</w:t>
      </w:r>
      <w:r w:rsidR="00727215">
        <w:rPr>
          <w:rFonts w:ascii="Arial" w:hAnsi="Arial" w:cs="Arial"/>
          <w:sz w:val="24"/>
          <w:szCs w:val="24"/>
        </w:rPr>
        <w:t>s</w:t>
      </w:r>
      <w:r w:rsidRPr="00F8287A">
        <w:rPr>
          <w:rFonts w:ascii="Arial" w:hAnsi="Arial" w:cs="Arial"/>
          <w:sz w:val="24"/>
          <w:szCs w:val="24"/>
        </w:rPr>
        <w:t xml:space="preserve"> on five separate grounds. In the first and main ground of the exception, it is contended that professional architectural services can only be performed by a professionally registered architect and not by the plaintiff </w:t>
      </w:r>
      <w:proofErr w:type="gramStart"/>
      <w:r w:rsidRPr="00F8287A">
        <w:rPr>
          <w:rFonts w:ascii="Arial" w:hAnsi="Arial" w:cs="Arial"/>
          <w:sz w:val="24"/>
          <w:szCs w:val="24"/>
        </w:rPr>
        <w:t>which</w:t>
      </w:r>
      <w:proofErr w:type="gramEnd"/>
      <w:r w:rsidRPr="00F8287A">
        <w:rPr>
          <w:rFonts w:ascii="Arial" w:hAnsi="Arial" w:cs="Arial"/>
          <w:sz w:val="24"/>
          <w:szCs w:val="24"/>
        </w:rPr>
        <w:t xml:space="preserve"> is not a natural person and cannot be registered as a professional architect. The defendant relies upon s 11 read </w:t>
      </w:r>
      <w:r w:rsidR="00727215">
        <w:rPr>
          <w:rFonts w:ascii="Arial" w:hAnsi="Arial" w:cs="Arial"/>
          <w:sz w:val="24"/>
          <w:szCs w:val="24"/>
        </w:rPr>
        <w:t>with</w:t>
      </w:r>
      <w:r w:rsidRPr="00F8287A">
        <w:rPr>
          <w:rFonts w:ascii="Arial" w:hAnsi="Arial" w:cs="Arial"/>
          <w:sz w:val="24"/>
          <w:szCs w:val="24"/>
        </w:rPr>
        <w:t xml:space="preserve"> s 1 of the Act which embodies the </w:t>
      </w:r>
      <w:r w:rsidR="004663FF">
        <w:rPr>
          <w:rFonts w:ascii="Arial" w:hAnsi="Arial" w:cs="Arial"/>
          <w:sz w:val="24"/>
          <w:szCs w:val="24"/>
        </w:rPr>
        <w:t>requirement of registration of architects</w:t>
      </w:r>
      <w:r w:rsidRPr="00F8287A">
        <w:rPr>
          <w:rFonts w:ascii="Arial" w:hAnsi="Arial" w:cs="Arial"/>
          <w:sz w:val="24"/>
          <w:szCs w:val="24"/>
        </w:rPr>
        <w:t xml:space="preserve"> read with the definition of architect contained in the </w:t>
      </w:r>
      <w:r w:rsidR="00667FE1">
        <w:rPr>
          <w:rFonts w:ascii="Arial" w:hAnsi="Arial" w:cs="Arial"/>
          <w:sz w:val="24"/>
          <w:szCs w:val="24"/>
        </w:rPr>
        <w:t>A</w:t>
      </w:r>
      <w:r w:rsidRPr="00F8287A">
        <w:rPr>
          <w:rFonts w:ascii="Arial" w:hAnsi="Arial" w:cs="Arial"/>
          <w:sz w:val="24"/>
          <w:szCs w:val="24"/>
        </w:rPr>
        <w:t>ct. It is contended that the ensuing agreement between the parties is not authorised by legislation and thus unenforceable.</w:t>
      </w:r>
    </w:p>
    <w:p w:rsidR="00F8287A" w:rsidRDefault="00F8287A" w:rsidP="00F8287A">
      <w:pPr>
        <w:pStyle w:val="ListParagraph"/>
        <w:rPr>
          <w:rFonts w:ascii="Arial" w:hAnsi="Arial" w:cs="Arial"/>
          <w:sz w:val="24"/>
          <w:szCs w:val="24"/>
        </w:rPr>
      </w:pPr>
    </w:p>
    <w:p w:rsidR="00667FE1" w:rsidRDefault="000370B1" w:rsidP="00727215">
      <w:pPr>
        <w:pStyle w:val="NoSpacing"/>
        <w:numPr>
          <w:ilvl w:val="0"/>
          <w:numId w:val="4"/>
        </w:numPr>
        <w:spacing w:line="480" w:lineRule="auto"/>
        <w:ind w:left="0" w:firstLine="0"/>
        <w:jc w:val="both"/>
        <w:rPr>
          <w:rFonts w:ascii="Arial" w:hAnsi="Arial" w:cs="Arial"/>
          <w:sz w:val="24"/>
          <w:szCs w:val="24"/>
        </w:rPr>
      </w:pPr>
      <w:r w:rsidRPr="00F8287A">
        <w:rPr>
          <w:rFonts w:ascii="Arial" w:hAnsi="Arial" w:cs="Arial"/>
          <w:sz w:val="24"/>
          <w:szCs w:val="24"/>
        </w:rPr>
        <w:t>The second ground of the exception claims that there is no allegation in the particulars of claim that the drawings and documentation were submitted to the local authorit</w:t>
      </w:r>
      <w:r w:rsidR="009D032A">
        <w:rPr>
          <w:rFonts w:ascii="Arial" w:hAnsi="Arial" w:cs="Arial"/>
          <w:sz w:val="24"/>
          <w:szCs w:val="24"/>
        </w:rPr>
        <w:t>y</w:t>
      </w:r>
      <w:r w:rsidRPr="00F8287A">
        <w:rPr>
          <w:rFonts w:ascii="Arial" w:hAnsi="Arial" w:cs="Arial"/>
          <w:sz w:val="24"/>
          <w:szCs w:val="24"/>
        </w:rPr>
        <w:t xml:space="preserve">. Nor is there an allegation that the approved documents were delivered to defendant and as a result a cause of action had not been disclosed. The third ground concerns the allegation made in the particulars of claim that someone other than the plaintiff had performed the professional services. The fourth ground is directed at the enrichment claims. It contends that only a natural person who is a registered architect could render architectural services and that as a result the plaintiff could not perform the services relied upon for its alleged </w:t>
      </w:r>
      <w:r w:rsidRPr="00F8287A">
        <w:rPr>
          <w:rFonts w:ascii="Arial" w:hAnsi="Arial" w:cs="Arial"/>
          <w:sz w:val="24"/>
          <w:szCs w:val="24"/>
        </w:rPr>
        <w:lastRenderedPageBreak/>
        <w:t>impoverishment. The fifth ground also is directed at the enrichment claims. It is contended that the architectural services were not rendered by the plaintiff but rather by its sole member and as a consequence the plaintiff had not been impoverished.</w:t>
      </w:r>
    </w:p>
    <w:p w:rsidR="000703E4" w:rsidRPr="00727215" w:rsidRDefault="000703E4" w:rsidP="000703E4">
      <w:pPr>
        <w:pStyle w:val="NoSpacing"/>
        <w:spacing w:line="480" w:lineRule="auto"/>
        <w:jc w:val="both"/>
        <w:rPr>
          <w:rFonts w:ascii="Arial" w:hAnsi="Arial" w:cs="Arial"/>
          <w:sz w:val="24"/>
          <w:szCs w:val="24"/>
        </w:rPr>
      </w:pPr>
    </w:p>
    <w:p w:rsidR="00667FE1" w:rsidRPr="00667FE1" w:rsidRDefault="00667FE1" w:rsidP="00667FE1">
      <w:pPr>
        <w:rPr>
          <w:rFonts w:ascii="Arial" w:hAnsi="Arial" w:cs="Arial"/>
          <w:sz w:val="24"/>
          <w:szCs w:val="24"/>
          <w:u w:val="single"/>
        </w:rPr>
      </w:pPr>
      <w:r>
        <w:rPr>
          <w:rFonts w:ascii="Arial" w:hAnsi="Arial" w:cs="Arial"/>
          <w:sz w:val="24"/>
          <w:szCs w:val="24"/>
          <w:u w:val="single"/>
        </w:rPr>
        <w:t>Principles governing the determination of exceptions</w:t>
      </w:r>
    </w:p>
    <w:p w:rsidR="00667FE1" w:rsidRDefault="00667FE1"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approach to be followed in the determination of exceptions was recently reiterated by this court with reference to earlier authority:</w:t>
      </w:r>
    </w:p>
    <w:p w:rsidR="00667FE1" w:rsidRDefault="00667FE1" w:rsidP="00667FE1">
      <w:pPr>
        <w:pStyle w:val="NoSpacing"/>
        <w:spacing w:line="480" w:lineRule="auto"/>
        <w:jc w:val="both"/>
        <w:rPr>
          <w:rFonts w:ascii="Arial" w:hAnsi="Arial" w:cs="Arial"/>
          <w:sz w:val="24"/>
          <w:szCs w:val="24"/>
        </w:rPr>
      </w:pPr>
    </w:p>
    <w:p w:rsidR="00667FE1" w:rsidRPr="00667FE1" w:rsidRDefault="00667FE1" w:rsidP="00667FE1">
      <w:pPr>
        <w:pStyle w:val="NoSpacing"/>
        <w:spacing w:line="360" w:lineRule="auto"/>
        <w:ind w:left="720"/>
        <w:jc w:val="both"/>
        <w:rPr>
          <w:rFonts w:ascii="Arial" w:hAnsi="Arial" w:cs="Arial"/>
        </w:rPr>
      </w:pPr>
      <w:r w:rsidRPr="00667FE1">
        <w:rPr>
          <w:rFonts w:ascii="Arial" w:hAnsi="Arial" w:cs="Arial"/>
        </w:rPr>
        <w:t>‘Where an exception is taken on the grounds that no cause of action is disclosed or is sustainable on the particulars of claim, two aspects are to be emphasised.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disclosed. Stated otherwise, only if no possible evidence led on the pleadings can disclose a cause of action, will the particulars of claim be found to be excipiable.’</w:t>
      </w:r>
      <w:r w:rsidR="004663FF">
        <w:rPr>
          <w:rStyle w:val="FootnoteReference"/>
          <w:rFonts w:ascii="Arial" w:hAnsi="Arial" w:cs="Arial"/>
        </w:rPr>
        <w:footnoteReference w:id="2"/>
      </w:r>
      <w:r w:rsidR="004663FF">
        <w:rPr>
          <w:rFonts w:ascii="Arial" w:hAnsi="Arial" w:cs="Arial"/>
        </w:rPr>
        <w:t xml:space="preserve"> (Footnotes excluded)</w:t>
      </w:r>
    </w:p>
    <w:p w:rsidR="00EE6817" w:rsidRDefault="00EE6817" w:rsidP="00EE6817">
      <w:pPr>
        <w:rPr>
          <w:rFonts w:ascii="Arial" w:hAnsi="Arial" w:cs="Arial"/>
          <w:sz w:val="24"/>
          <w:szCs w:val="24"/>
        </w:rPr>
      </w:pPr>
    </w:p>
    <w:p w:rsidR="00EE6817" w:rsidRPr="00EE6817" w:rsidRDefault="00EE6817" w:rsidP="00EE6817">
      <w:pPr>
        <w:rPr>
          <w:rFonts w:ascii="Arial" w:hAnsi="Arial" w:cs="Arial"/>
          <w:sz w:val="24"/>
          <w:szCs w:val="24"/>
          <w:u w:val="single"/>
        </w:rPr>
      </w:pPr>
      <w:r>
        <w:rPr>
          <w:rFonts w:ascii="Arial" w:hAnsi="Arial" w:cs="Arial"/>
          <w:sz w:val="24"/>
          <w:szCs w:val="24"/>
          <w:u w:val="single"/>
        </w:rPr>
        <w:t>The approach of the High Court</w:t>
      </w:r>
    </w:p>
    <w:p w:rsidR="00EE6817" w:rsidRDefault="00EE6817"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referring to the pleadings and provisions of the Act, the High Court cited the approach followed by Masuku </w:t>
      </w:r>
      <w:r w:rsidR="009D032A">
        <w:rPr>
          <w:rFonts w:ascii="Arial" w:hAnsi="Arial" w:cs="Arial"/>
          <w:sz w:val="24"/>
          <w:szCs w:val="24"/>
        </w:rPr>
        <w:t>A</w:t>
      </w:r>
      <w:r>
        <w:rPr>
          <w:rFonts w:ascii="Arial" w:hAnsi="Arial" w:cs="Arial"/>
          <w:sz w:val="24"/>
          <w:szCs w:val="24"/>
        </w:rPr>
        <w:t xml:space="preserve">J </w:t>
      </w:r>
      <w:r w:rsidR="009D032A">
        <w:rPr>
          <w:rFonts w:ascii="Arial" w:hAnsi="Arial" w:cs="Arial"/>
          <w:sz w:val="24"/>
          <w:szCs w:val="24"/>
        </w:rPr>
        <w:t xml:space="preserve">(as he then was) </w:t>
      </w:r>
      <w:r>
        <w:rPr>
          <w:rFonts w:ascii="Arial" w:hAnsi="Arial" w:cs="Arial"/>
          <w:sz w:val="24"/>
          <w:szCs w:val="24"/>
        </w:rPr>
        <w:t xml:space="preserve">in </w:t>
      </w:r>
      <w:r>
        <w:rPr>
          <w:rFonts w:ascii="Arial" w:hAnsi="Arial" w:cs="Arial"/>
          <w:i/>
          <w:sz w:val="24"/>
          <w:szCs w:val="24"/>
        </w:rPr>
        <w:t>Nkandi</w:t>
      </w:r>
      <w:r>
        <w:rPr>
          <w:rFonts w:ascii="Arial" w:hAnsi="Arial" w:cs="Arial"/>
          <w:sz w:val="24"/>
          <w:szCs w:val="24"/>
        </w:rPr>
        <w:t xml:space="preserve"> where the court held that the </w:t>
      </w:r>
      <w:r w:rsidRPr="000703E4">
        <w:rPr>
          <w:rFonts w:ascii="Arial" w:hAnsi="Arial" w:cs="Arial"/>
          <w:sz w:val="24"/>
          <w:szCs w:val="24"/>
        </w:rPr>
        <w:t>maxim</w:t>
      </w:r>
      <w:r>
        <w:rPr>
          <w:rFonts w:ascii="Arial" w:hAnsi="Arial" w:cs="Arial"/>
          <w:i/>
          <w:sz w:val="24"/>
          <w:szCs w:val="24"/>
        </w:rPr>
        <w:t xml:space="preserve"> ex turpi causa non oritur actio</w:t>
      </w:r>
      <w:r>
        <w:rPr>
          <w:rFonts w:ascii="Arial" w:hAnsi="Arial" w:cs="Arial"/>
          <w:sz w:val="24"/>
          <w:szCs w:val="24"/>
        </w:rPr>
        <w:t xml:space="preserve"> (from a dishonourable cause, no action arises) admits of no exception</w:t>
      </w:r>
      <w:r w:rsidR="004663FF">
        <w:rPr>
          <w:rFonts w:ascii="Arial" w:hAnsi="Arial" w:cs="Arial"/>
          <w:sz w:val="24"/>
          <w:szCs w:val="24"/>
        </w:rPr>
        <w:t>. Ma</w:t>
      </w:r>
      <w:r>
        <w:rPr>
          <w:rFonts w:ascii="Arial" w:hAnsi="Arial" w:cs="Arial"/>
          <w:sz w:val="24"/>
          <w:szCs w:val="24"/>
        </w:rPr>
        <w:t xml:space="preserve">suku </w:t>
      </w:r>
      <w:r w:rsidR="009D032A">
        <w:rPr>
          <w:rFonts w:ascii="Arial" w:hAnsi="Arial" w:cs="Arial"/>
          <w:sz w:val="24"/>
          <w:szCs w:val="24"/>
        </w:rPr>
        <w:t>A</w:t>
      </w:r>
      <w:r>
        <w:rPr>
          <w:rFonts w:ascii="Arial" w:hAnsi="Arial" w:cs="Arial"/>
          <w:sz w:val="24"/>
          <w:szCs w:val="24"/>
        </w:rPr>
        <w:t xml:space="preserve">J further held with reference to </w:t>
      </w:r>
      <w:r w:rsidR="00D34E15">
        <w:rPr>
          <w:rFonts w:ascii="Arial" w:hAnsi="Arial" w:cs="Arial"/>
          <w:sz w:val="24"/>
          <w:szCs w:val="24"/>
        </w:rPr>
        <w:t>the prohibition contained in s 13 of the Act</w:t>
      </w:r>
      <w:r w:rsidR="0053474F">
        <w:rPr>
          <w:rFonts w:ascii="Arial" w:hAnsi="Arial" w:cs="Arial"/>
          <w:sz w:val="24"/>
          <w:szCs w:val="24"/>
        </w:rPr>
        <w:t>,</w:t>
      </w:r>
      <w:r>
        <w:rPr>
          <w:rFonts w:ascii="Arial" w:hAnsi="Arial" w:cs="Arial"/>
          <w:sz w:val="24"/>
          <w:szCs w:val="24"/>
        </w:rPr>
        <w:t xml:space="preserve"> also raised in an exception taken against a claim for architectural services by a non-natural person, that where the legislature criminalises certain behaviour or conduct, any contract entered into in violation of the statute renders </w:t>
      </w:r>
      <w:r w:rsidR="0053474F">
        <w:rPr>
          <w:rFonts w:ascii="Arial" w:hAnsi="Arial" w:cs="Arial"/>
          <w:sz w:val="24"/>
          <w:szCs w:val="24"/>
        </w:rPr>
        <w:t>the ensuing contract</w:t>
      </w:r>
      <w:r>
        <w:rPr>
          <w:rFonts w:ascii="Arial" w:hAnsi="Arial" w:cs="Arial"/>
          <w:sz w:val="24"/>
          <w:szCs w:val="24"/>
        </w:rPr>
        <w:t xml:space="preserve"> unlawful and </w:t>
      </w:r>
      <w:r>
        <w:rPr>
          <w:rFonts w:ascii="Arial" w:hAnsi="Arial" w:cs="Arial"/>
          <w:sz w:val="24"/>
          <w:szCs w:val="24"/>
        </w:rPr>
        <w:lastRenderedPageBreak/>
        <w:t xml:space="preserve">unenforceable. </w:t>
      </w:r>
      <w:r w:rsidR="00D34E15">
        <w:rPr>
          <w:rFonts w:ascii="Arial" w:hAnsi="Arial" w:cs="Arial"/>
          <w:sz w:val="24"/>
          <w:szCs w:val="24"/>
        </w:rPr>
        <w:t>He</w:t>
      </w:r>
      <w:r>
        <w:rPr>
          <w:rFonts w:ascii="Arial" w:hAnsi="Arial" w:cs="Arial"/>
          <w:sz w:val="24"/>
          <w:szCs w:val="24"/>
        </w:rPr>
        <w:t xml:space="preserve"> held that the Act prohibited the carrying out of architectural work for gain by entities other than natural persons, unless an exemption was granted. The work carried out by the plaintiffs in </w:t>
      </w:r>
      <w:r>
        <w:rPr>
          <w:rFonts w:ascii="Arial" w:hAnsi="Arial" w:cs="Arial"/>
          <w:i/>
          <w:sz w:val="24"/>
          <w:szCs w:val="24"/>
        </w:rPr>
        <w:t>Nkandi</w:t>
      </w:r>
      <w:r>
        <w:rPr>
          <w:rFonts w:ascii="Arial" w:hAnsi="Arial" w:cs="Arial"/>
          <w:sz w:val="24"/>
          <w:szCs w:val="24"/>
        </w:rPr>
        <w:t xml:space="preserve"> was found to be violation of that prohibition and</w:t>
      </w:r>
      <w:r w:rsidR="009D032A">
        <w:rPr>
          <w:rFonts w:ascii="Arial" w:hAnsi="Arial" w:cs="Arial"/>
          <w:sz w:val="24"/>
          <w:szCs w:val="24"/>
        </w:rPr>
        <w:t xml:space="preserve"> the agreement to do so</w:t>
      </w:r>
      <w:r>
        <w:rPr>
          <w:rFonts w:ascii="Arial" w:hAnsi="Arial" w:cs="Arial"/>
          <w:sz w:val="24"/>
          <w:szCs w:val="24"/>
        </w:rPr>
        <w:t xml:space="preserve"> was </w:t>
      </w:r>
      <w:r w:rsidR="0053474F">
        <w:rPr>
          <w:rFonts w:ascii="Arial" w:hAnsi="Arial" w:cs="Arial"/>
          <w:sz w:val="24"/>
          <w:szCs w:val="24"/>
        </w:rPr>
        <w:t>held to be</w:t>
      </w:r>
      <w:r>
        <w:rPr>
          <w:rFonts w:ascii="Arial" w:hAnsi="Arial" w:cs="Arial"/>
          <w:sz w:val="24"/>
          <w:szCs w:val="24"/>
        </w:rPr>
        <w:t xml:space="preserve"> unenforceable.</w:t>
      </w:r>
    </w:p>
    <w:p w:rsidR="00EE6817" w:rsidRDefault="00EE6817" w:rsidP="00EE6817">
      <w:pPr>
        <w:pStyle w:val="ListParagraph"/>
        <w:rPr>
          <w:rFonts w:ascii="Arial" w:hAnsi="Arial" w:cs="Arial"/>
          <w:sz w:val="24"/>
          <w:szCs w:val="24"/>
        </w:rPr>
      </w:pPr>
    </w:p>
    <w:p w:rsidR="00EE6817" w:rsidRDefault="00EE6817"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agreed with the approach taken in </w:t>
      </w:r>
      <w:r>
        <w:rPr>
          <w:rFonts w:ascii="Arial" w:hAnsi="Arial" w:cs="Arial"/>
          <w:i/>
          <w:sz w:val="24"/>
          <w:szCs w:val="24"/>
        </w:rPr>
        <w:t>Nkandi</w:t>
      </w:r>
      <w:r>
        <w:rPr>
          <w:rFonts w:ascii="Arial" w:hAnsi="Arial" w:cs="Arial"/>
          <w:sz w:val="24"/>
          <w:szCs w:val="24"/>
        </w:rPr>
        <w:t xml:space="preserve"> that the prohibition </w:t>
      </w:r>
      <w:r w:rsidR="00D34E15">
        <w:rPr>
          <w:rFonts w:ascii="Arial" w:hAnsi="Arial" w:cs="Arial"/>
          <w:sz w:val="24"/>
          <w:szCs w:val="24"/>
        </w:rPr>
        <w:t xml:space="preserve">in s 13 </w:t>
      </w:r>
      <w:r>
        <w:rPr>
          <w:rFonts w:ascii="Arial" w:hAnsi="Arial" w:cs="Arial"/>
          <w:sz w:val="24"/>
          <w:szCs w:val="24"/>
        </w:rPr>
        <w:t xml:space="preserve">meant that any other person other than a natural person commits an offence when carrying out architectural work and proceeded to uphold the exception with costs, even though the first ground was </w:t>
      </w:r>
      <w:r w:rsidR="00D34E15">
        <w:rPr>
          <w:rFonts w:ascii="Arial" w:hAnsi="Arial" w:cs="Arial"/>
          <w:sz w:val="24"/>
          <w:szCs w:val="24"/>
        </w:rPr>
        <w:t xml:space="preserve">only </w:t>
      </w:r>
      <w:r>
        <w:rPr>
          <w:rFonts w:ascii="Arial" w:hAnsi="Arial" w:cs="Arial"/>
          <w:sz w:val="24"/>
          <w:szCs w:val="24"/>
        </w:rPr>
        <w:t>dealt with in the court’s judgment</w:t>
      </w:r>
      <w:r w:rsidR="00D34E15">
        <w:rPr>
          <w:rFonts w:ascii="Arial" w:hAnsi="Arial" w:cs="Arial"/>
          <w:sz w:val="24"/>
          <w:szCs w:val="24"/>
        </w:rPr>
        <w:t xml:space="preserve"> and only addressed the princip</w:t>
      </w:r>
      <w:r w:rsidR="00716071">
        <w:rPr>
          <w:rFonts w:ascii="Arial" w:hAnsi="Arial" w:cs="Arial"/>
          <w:sz w:val="24"/>
          <w:szCs w:val="24"/>
        </w:rPr>
        <w:t>al</w:t>
      </w:r>
      <w:r w:rsidR="00D34E15">
        <w:rPr>
          <w:rFonts w:ascii="Arial" w:hAnsi="Arial" w:cs="Arial"/>
          <w:sz w:val="24"/>
          <w:szCs w:val="24"/>
        </w:rPr>
        <w:t xml:space="preserve"> claim</w:t>
      </w:r>
      <w:r>
        <w:rPr>
          <w:rFonts w:ascii="Arial" w:hAnsi="Arial" w:cs="Arial"/>
          <w:sz w:val="24"/>
          <w:szCs w:val="24"/>
        </w:rPr>
        <w:t>. The further grounds of exception directed at the alternative claims</w:t>
      </w:r>
      <w:r w:rsidR="00D66ABC">
        <w:rPr>
          <w:rFonts w:ascii="Arial" w:hAnsi="Arial" w:cs="Arial"/>
          <w:sz w:val="24"/>
          <w:szCs w:val="24"/>
        </w:rPr>
        <w:t>, although briefly alluded to by way of introductory reference to the pleadings, were not further canvassed or referred to in the court’s judgment at all. Yet the court’s order is one upholding the exception without any qualification at all.</w:t>
      </w:r>
    </w:p>
    <w:p w:rsidR="00EE6817" w:rsidRDefault="00EE6817" w:rsidP="00EE6817">
      <w:pPr>
        <w:pStyle w:val="ListParagraph"/>
        <w:rPr>
          <w:rFonts w:ascii="Arial" w:hAnsi="Arial" w:cs="Arial"/>
          <w:sz w:val="24"/>
          <w:szCs w:val="24"/>
        </w:rPr>
      </w:pPr>
    </w:p>
    <w:p w:rsidR="00D66ABC" w:rsidRPr="00D66ABC" w:rsidRDefault="00D66ABC" w:rsidP="00D66AB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respondent’s counsel (Mr Heathcote, assisted by Ms van der Westhuizen) correctly acknowledged that the court had erred by upholding the exception without </w:t>
      </w:r>
      <w:r w:rsidR="00D34E15">
        <w:rPr>
          <w:rFonts w:ascii="Arial" w:hAnsi="Arial" w:cs="Arial"/>
          <w:sz w:val="24"/>
          <w:szCs w:val="24"/>
        </w:rPr>
        <w:t>addressing</w:t>
      </w:r>
      <w:r>
        <w:rPr>
          <w:rFonts w:ascii="Arial" w:hAnsi="Arial" w:cs="Arial"/>
          <w:sz w:val="24"/>
          <w:szCs w:val="24"/>
        </w:rPr>
        <w:t xml:space="preserve"> the grounds raised against the alternative claims</w:t>
      </w:r>
      <w:r w:rsidR="0053474F">
        <w:rPr>
          <w:rFonts w:ascii="Arial" w:hAnsi="Arial" w:cs="Arial"/>
          <w:sz w:val="24"/>
          <w:szCs w:val="24"/>
        </w:rPr>
        <w:t>.</w:t>
      </w:r>
      <w:r w:rsidR="0053474F" w:rsidRPr="0053474F">
        <w:rPr>
          <w:rFonts w:ascii="Arial" w:hAnsi="Arial" w:cs="Arial"/>
          <w:sz w:val="24"/>
          <w:szCs w:val="24"/>
        </w:rPr>
        <w:t xml:space="preserve"> </w:t>
      </w:r>
      <w:r w:rsidR="0053474F">
        <w:rPr>
          <w:rFonts w:ascii="Arial" w:hAnsi="Arial" w:cs="Arial"/>
          <w:sz w:val="24"/>
          <w:szCs w:val="24"/>
        </w:rPr>
        <w:t>After it was pointed out that to determine the other grounds would be as if this court were of first instance on those issues which this court would be reluctant to do.</w:t>
      </w:r>
      <w:r w:rsidR="0053474F">
        <w:rPr>
          <w:rStyle w:val="FootnoteReference"/>
          <w:rFonts w:ascii="Arial" w:hAnsi="Arial" w:cs="Arial"/>
          <w:sz w:val="24"/>
          <w:szCs w:val="24"/>
        </w:rPr>
        <w:footnoteReference w:id="3"/>
      </w:r>
      <w:r>
        <w:rPr>
          <w:rFonts w:ascii="Arial" w:hAnsi="Arial" w:cs="Arial"/>
          <w:sz w:val="24"/>
          <w:szCs w:val="24"/>
        </w:rPr>
        <w:t xml:space="preserve"> Both Mr Heathcote and Mr Marais, SC for the appellant invited the court to determine the main ground of exception upon which the Hi</w:t>
      </w:r>
      <w:r w:rsidR="00D34E15">
        <w:rPr>
          <w:rFonts w:ascii="Arial" w:hAnsi="Arial" w:cs="Arial"/>
          <w:sz w:val="24"/>
          <w:szCs w:val="24"/>
        </w:rPr>
        <w:t>gh Court had made its finding</w:t>
      </w:r>
      <w:r w:rsidR="0053474F">
        <w:rPr>
          <w:rFonts w:ascii="Arial" w:hAnsi="Arial" w:cs="Arial"/>
          <w:sz w:val="24"/>
          <w:szCs w:val="24"/>
        </w:rPr>
        <w:t xml:space="preserve"> as this was the main bone of contention</w:t>
      </w:r>
      <w:r w:rsidR="009D032A">
        <w:rPr>
          <w:rFonts w:ascii="Arial" w:hAnsi="Arial" w:cs="Arial"/>
          <w:sz w:val="24"/>
          <w:szCs w:val="24"/>
        </w:rPr>
        <w:t xml:space="preserve"> between the parties</w:t>
      </w:r>
      <w:r w:rsidR="0053474F">
        <w:rPr>
          <w:rFonts w:ascii="Arial" w:hAnsi="Arial" w:cs="Arial"/>
          <w:sz w:val="24"/>
          <w:szCs w:val="24"/>
        </w:rPr>
        <w:t>.</w:t>
      </w:r>
      <w:r w:rsidR="00D34E15">
        <w:rPr>
          <w:rFonts w:ascii="Arial" w:hAnsi="Arial" w:cs="Arial"/>
          <w:sz w:val="24"/>
          <w:szCs w:val="24"/>
        </w:rPr>
        <w:t xml:space="preserve"> </w:t>
      </w:r>
      <w:r>
        <w:rPr>
          <w:rFonts w:ascii="Arial" w:hAnsi="Arial" w:cs="Arial"/>
          <w:sz w:val="24"/>
          <w:szCs w:val="24"/>
        </w:rPr>
        <w:t xml:space="preserve">This appeal is accordingly confined to </w:t>
      </w:r>
      <w:r w:rsidR="009D032A">
        <w:rPr>
          <w:rFonts w:ascii="Arial" w:hAnsi="Arial" w:cs="Arial"/>
          <w:sz w:val="24"/>
          <w:szCs w:val="24"/>
        </w:rPr>
        <w:t xml:space="preserve">the main claim, even though the interpretation to be </w:t>
      </w:r>
      <w:r w:rsidR="009D032A">
        <w:rPr>
          <w:rFonts w:ascii="Arial" w:hAnsi="Arial" w:cs="Arial"/>
          <w:sz w:val="24"/>
          <w:szCs w:val="24"/>
        </w:rPr>
        <w:lastRenderedPageBreak/>
        <w:t>accorded to the prohibition in s 13(1</w:t>
      </w:r>
      <w:proofErr w:type="gramStart"/>
      <w:r w:rsidR="009D032A">
        <w:rPr>
          <w:rFonts w:ascii="Arial" w:hAnsi="Arial" w:cs="Arial"/>
          <w:sz w:val="24"/>
          <w:szCs w:val="24"/>
        </w:rPr>
        <w:t>)(</w:t>
      </w:r>
      <w:proofErr w:type="gramEnd"/>
      <w:r w:rsidR="009D032A">
        <w:rPr>
          <w:rFonts w:ascii="Arial" w:hAnsi="Arial" w:cs="Arial"/>
          <w:sz w:val="24"/>
          <w:szCs w:val="24"/>
        </w:rPr>
        <w:t>b) may have a bearing on the grounds of exception raised against the alternative claims</w:t>
      </w:r>
      <w:r>
        <w:rPr>
          <w:rFonts w:ascii="Arial" w:hAnsi="Arial" w:cs="Arial"/>
          <w:sz w:val="24"/>
          <w:szCs w:val="24"/>
        </w:rPr>
        <w:t>.</w:t>
      </w:r>
    </w:p>
    <w:p w:rsidR="00EE6817" w:rsidRDefault="00EE6817" w:rsidP="00EE6817">
      <w:pPr>
        <w:pStyle w:val="ListParagraph"/>
        <w:rPr>
          <w:rFonts w:ascii="Arial" w:hAnsi="Arial" w:cs="Arial"/>
          <w:sz w:val="24"/>
          <w:szCs w:val="24"/>
        </w:rPr>
      </w:pPr>
    </w:p>
    <w:p w:rsidR="00EE6817" w:rsidRPr="00D66ABC" w:rsidRDefault="00D66ABC" w:rsidP="00D66ABC">
      <w:pPr>
        <w:pStyle w:val="NoSpacing"/>
        <w:spacing w:line="480" w:lineRule="auto"/>
        <w:jc w:val="both"/>
        <w:rPr>
          <w:rFonts w:ascii="Arial" w:hAnsi="Arial" w:cs="Arial"/>
          <w:sz w:val="24"/>
          <w:szCs w:val="24"/>
          <w:u w:val="single"/>
        </w:rPr>
      </w:pPr>
      <w:r>
        <w:rPr>
          <w:rFonts w:ascii="Arial" w:hAnsi="Arial" w:cs="Arial"/>
          <w:sz w:val="24"/>
          <w:szCs w:val="24"/>
          <w:u w:val="single"/>
        </w:rPr>
        <w:t>Submission on appeal</w:t>
      </w:r>
    </w:p>
    <w:p w:rsidR="00EE6817" w:rsidRPr="000703E4" w:rsidRDefault="00D66ABC" w:rsidP="0072721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both parties focussed their submissions upon the primary ground of the exception dealt with by the court </w:t>
      </w:r>
      <w:r>
        <w:rPr>
          <w:rFonts w:ascii="Arial" w:hAnsi="Arial" w:cs="Arial"/>
          <w:i/>
          <w:sz w:val="24"/>
          <w:szCs w:val="24"/>
        </w:rPr>
        <w:t>a quo.</w:t>
      </w:r>
    </w:p>
    <w:p w:rsidR="000703E4" w:rsidRPr="000703E4" w:rsidRDefault="000703E4" w:rsidP="000703E4">
      <w:pPr>
        <w:pStyle w:val="NoSpacing"/>
        <w:spacing w:line="480" w:lineRule="auto"/>
        <w:jc w:val="both"/>
        <w:rPr>
          <w:rFonts w:ascii="Arial" w:hAnsi="Arial" w:cs="Arial"/>
          <w:sz w:val="24"/>
          <w:szCs w:val="24"/>
        </w:rPr>
      </w:pPr>
    </w:p>
    <w:p w:rsidR="00EE6817" w:rsidRDefault="00D66ABC"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Marais argued that the prohibition in s 13(1</w:t>
      </w:r>
      <w:proofErr w:type="gramStart"/>
      <w:r>
        <w:rPr>
          <w:rFonts w:ascii="Arial" w:hAnsi="Arial" w:cs="Arial"/>
          <w:sz w:val="24"/>
          <w:szCs w:val="24"/>
        </w:rPr>
        <w:t>)(</w:t>
      </w:r>
      <w:proofErr w:type="gramEnd"/>
      <w:r>
        <w:rPr>
          <w:rFonts w:ascii="Arial" w:hAnsi="Arial" w:cs="Arial"/>
          <w:sz w:val="24"/>
          <w:szCs w:val="24"/>
        </w:rPr>
        <w:t xml:space="preserve">b) </w:t>
      </w:r>
      <w:r w:rsidR="00D34E15">
        <w:rPr>
          <w:rFonts w:ascii="Arial" w:hAnsi="Arial" w:cs="Arial"/>
          <w:sz w:val="24"/>
          <w:szCs w:val="24"/>
        </w:rPr>
        <w:t xml:space="preserve">purposively </w:t>
      </w:r>
      <w:r>
        <w:rPr>
          <w:rFonts w:ascii="Arial" w:hAnsi="Arial" w:cs="Arial"/>
          <w:sz w:val="24"/>
          <w:szCs w:val="24"/>
        </w:rPr>
        <w:t xml:space="preserve">construed </w:t>
      </w:r>
      <w:r w:rsidR="00A36228">
        <w:rPr>
          <w:rFonts w:ascii="Arial" w:hAnsi="Arial" w:cs="Arial"/>
          <w:sz w:val="24"/>
          <w:szCs w:val="24"/>
        </w:rPr>
        <w:t xml:space="preserve">in the context of s 11 and other provisions in the Act only concerns the </w:t>
      </w:r>
      <w:r w:rsidR="00A36228" w:rsidRPr="00D34E15">
        <w:rPr>
          <w:rFonts w:ascii="Arial" w:hAnsi="Arial" w:cs="Arial"/>
          <w:sz w:val="24"/>
          <w:szCs w:val="24"/>
          <w:u w:val="single"/>
        </w:rPr>
        <w:t>performance</w:t>
      </w:r>
      <w:r w:rsidR="00A36228">
        <w:rPr>
          <w:rFonts w:ascii="Arial" w:hAnsi="Arial" w:cs="Arial"/>
          <w:sz w:val="24"/>
          <w:szCs w:val="24"/>
        </w:rPr>
        <w:t xml:space="preserve"> of the kind of work reserved for architects and not the carrying out of an architect’s practice. He argued that s 13 meant that reserved work </w:t>
      </w:r>
      <w:r w:rsidR="00D34E15">
        <w:rPr>
          <w:rFonts w:ascii="Arial" w:hAnsi="Arial" w:cs="Arial"/>
          <w:sz w:val="24"/>
          <w:szCs w:val="24"/>
        </w:rPr>
        <w:t xml:space="preserve">itself </w:t>
      </w:r>
      <w:r w:rsidR="00A36228">
        <w:rPr>
          <w:rFonts w:ascii="Arial" w:hAnsi="Arial" w:cs="Arial"/>
          <w:sz w:val="24"/>
          <w:szCs w:val="24"/>
        </w:rPr>
        <w:t>must be performed by a registered architect, as was alleged in the particulars of claim. He contended that the plaintiff had not contravened the provisions of the Act</w:t>
      </w:r>
      <w:r w:rsidR="00D34E15">
        <w:rPr>
          <w:rFonts w:ascii="Arial" w:hAnsi="Arial" w:cs="Arial"/>
          <w:sz w:val="24"/>
          <w:szCs w:val="24"/>
        </w:rPr>
        <w:t xml:space="preserve"> by not itself having performed the work which was done by the human agency </w:t>
      </w:r>
      <w:r w:rsidR="0053474F">
        <w:rPr>
          <w:rFonts w:ascii="Arial" w:hAnsi="Arial" w:cs="Arial"/>
          <w:sz w:val="24"/>
          <w:szCs w:val="24"/>
        </w:rPr>
        <w:t>o</w:t>
      </w:r>
      <w:r w:rsidR="00D34E15">
        <w:rPr>
          <w:rFonts w:ascii="Arial" w:hAnsi="Arial" w:cs="Arial"/>
          <w:sz w:val="24"/>
          <w:szCs w:val="24"/>
        </w:rPr>
        <w:t>f its sole member, a registered architect. The plaintiff</w:t>
      </w:r>
      <w:r w:rsidR="00A36228">
        <w:rPr>
          <w:rFonts w:ascii="Arial" w:hAnsi="Arial" w:cs="Arial"/>
          <w:sz w:val="24"/>
          <w:szCs w:val="24"/>
        </w:rPr>
        <w:t xml:space="preserve"> was thus no</w:t>
      </w:r>
      <w:r w:rsidR="00D34E15">
        <w:rPr>
          <w:rFonts w:ascii="Arial" w:hAnsi="Arial" w:cs="Arial"/>
          <w:sz w:val="24"/>
          <w:szCs w:val="24"/>
        </w:rPr>
        <w:t xml:space="preserve">t, so he argued, </w:t>
      </w:r>
      <w:r w:rsidR="00A36228">
        <w:rPr>
          <w:rFonts w:ascii="Arial" w:hAnsi="Arial" w:cs="Arial"/>
          <w:sz w:val="24"/>
          <w:szCs w:val="24"/>
        </w:rPr>
        <w:t>precluded from claiming the fees in question.</w:t>
      </w:r>
      <w:r w:rsidR="00D34E15">
        <w:rPr>
          <w:rFonts w:ascii="Arial" w:hAnsi="Arial" w:cs="Arial"/>
          <w:sz w:val="24"/>
          <w:szCs w:val="24"/>
        </w:rPr>
        <w:t xml:space="preserve"> He submitted that </w:t>
      </w:r>
      <w:r w:rsidR="00D34E15">
        <w:rPr>
          <w:rFonts w:ascii="Arial" w:hAnsi="Arial" w:cs="Arial"/>
          <w:i/>
          <w:sz w:val="24"/>
          <w:szCs w:val="24"/>
        </w:rPr>
        <w:t xml:space="preserve">Nkandi </w:t>
      </w:r>
      <w:r w:rsidR="00D34E15">
        <w:rPr>
          <w:rFonts w:ascii="Arial" w:hAnsi="Arial" w:cs="Arial"/>
          <w:sz w:val="24"/>
          <w:szCs w:val="24"/>
        </w:rPr>
        <w:t>had been incorrectly decided.</w:t>
      </w:r>
    </w:p>
    <w:p w:rsidR="00653F13" w:rsidRDefault="00653F13" w:rsidP="00653F13">
      <w:pPr>
        <w:pStyle w:val="ListParagraph"/>
        <w:rPr>
          <w:rFonts w:ascii="Arial" w:hAnsi="Arial" w:cs="Arial"/>
          <w:sz w:val="24"/>
          <w:szCs w:val="24"/>
        </w:rPr>
      </w:pPr>
    </w:p>
    <w:p w:rsidR="00653F13" w:rsidRDefault="00653F13"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Much of the argument on behalf of the respondent was focussed on the prohibition contained in s 13 of the Act, even though no express reference to this provision is to be found in the exception. Mr Heathcote argued that the prohibition follows upon the requirement in s 11 that only natural persons can be registered as architects. This is but one unsatisfactory aspect of the terms of the exception. Statutory provisions relied upon should be expressly pleaded.</w:t>
      </w:r>
      <w:r>
        <w:rPr>
          <w:rStyle w:val="FootnoteReference"/>
          <w:rFonts w:ascii="Arial" w:hAnsi="Arial" w:cs="Arial"/>
          <w:sz w:val="24"/>
          <w:szCs w:val="24"/>
        </w:rPr>
        <w:footnoteReference w:id="4"/>
      </w:r>
      <w:r w:rsidR="008C74C1">
        <w:rPr>
          <w:rFonts w:ascii="Arial" w:hAnsi="Arial" w:cs="Arial"/>
          <w:sz w:val="24"/>
          <w:szCs w:val="24"/>
        </w:rPr>
        <w:t xml:space="preserve"> But in this case, </w:t>
      </w:r>
      <w:proofErr w:type="gramStart"/>
      <w:r w:rsidR="008C74C1">
        <w:rPr>
          <w:rFonts w:ascii="Arial" w:hAnsi="Arial" w:cs="Arial"/>
          <w:sz w:val="24"/>
          <w:szCs w:val="24"/>
        </w:rPr>
        <w:t xml:space="preserve">a </w:t>
      </w:r>
      <w:r w:rsidR="008C74C1">
        <w:rPr>
          <w:rFonts w:ascii="Arial" w:hAnsi="Arial" w:cs="Arial"/>
          <w:sz w:val="24"/>
          <w:szCs w:val="24"/>
        </w:rPr>
        <w:lastRenderedPageBreak/>
        <w:t>reliance</w:t>
      </w:r>
      <w:proofErr w:type="gramEnd"/>
      <w:r w:rsidR="008C74C1">
        <w:rPr>
          <w:rFonts w:ascii="Arial" w:hAnsi="Arial" w:cs="Arial"/>
          <w:sz w:val="24"/>
          <w:szCs w:val="24"/>
        </w:rPr>
        <w:t xml:space="preserve"> upon s 13 is implicit in the position taken by the respondent and was so understood by the plaintiff</w:t>
      </w:r>
      <w:r w:rsidR="0053474F">
        <w:rPr>
          <w:rFonts w:ascii="Arial" w:hAnsi="Arial" w:cs="Arial"/>
          <w:sz w:val="24"/>
          <w:szCs w:val="24"/>
        </w:rPr>
        <w:t>, which was not prejudiced by the failure to plead the section</w:t>
      </w:r>
      <w:r w:rsidR="008C74C1">
        <w:rPr>
          <w:rFonts w:ascii="Arial" w:hAnsi="Arial" w:cs="Arial"/>
          <w:sz w:val="24"/>
          <w:szCs w:val="24"/>
        </w:rPr>
        <w:t>.</w:t>
      </w:r>
    </w:p>
    <w:p w:rsidR="008C74C1" w:rsidRDefault="008C74C1" w:rsidP="008C74C1">
      <w:pPr>
        <w:pStyle w:val="ListParagraph"/>
        <w:rPr>
          <w:rFonts w:ascii="Arial" w:hAnsi="Arial" w:cs="Arial"/>
          <w:sz w:val="24"/>
          <w:szCs w:val="24"/>
        </w:rPr>
      </w:pPr>
    </w:p>
    <w:p w:rsidR="008C74C1" w:rsidRDefault="008C74C1"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Heathcote argued with reference to s 13(1</w:t>
      </w:r>
      <w:proofErr w:type="gramStart"/>
      <w:r>
        <w:rPr>
          <w:rFonts w:ascii="Arial" w:hAnsi="Arial" w:cs="Arial"/>
          <w:sz w:val="24"/>
          <w:szCs w:val="24"/>
        </w:rPr>
        <w:t>)(</w:t>
      </w:r>
      <w:proofErr w:type="gramEnd"/>
      <w:r>
        <w:rPr>
          <w:rFonts w:ascii="Arial" w:hAnsi="Arial" w:cs="Arial"/>
          <w:sz w:val="24"/>
          <w:szCs w:val="24"/>
        </w:rPr>
        <w:t>a) that the Act criminalises any person other than an architect from performing work reserved for architects under s 7(3)(b) of the Act. He also contended that s 13(1</w:t>
      </w:r>
      <w:proofErr w:type="gramStart"/>
      <w:r>
        <w:rPr>
          <w:rFonts w:ascii="Arial" w:hAnsi="Arial" w:cs="Arial"/>
          <w:sz w:val="24"/>
          <w:szCs w:val="24"/>
        </w:rPr>
        <w:t>)(</w:t>
      </w:r>
      <w:proofErr w:type="gramEnd"/>
      <w:r>
        <w:rPr>
          <w:rFonts w:ascii="Arial" w:hAnsi="Arial" w:cs="Arial"/>
          <w:sz w:val="24"/>
          <w:szCs w:val="24"/>
        </w:rPr>
        <w:t xml:space="preserve">b) criminalises the conduct of any person other than a natural person performing reserved work. Mr Heathcote argued that the well-established principle that agreements prohibited by law cannot be enforceable was correctly found in </w:t>
      </w:r>
      <w:r w:rsidR="0053474F" w:rsidRPr="0053474F">
        <w:rPr>
          <w:rFonts w:ascii="Arial" w:hAnsi="Arial" w:cs="Arial"/>
          <w:i/>
          <w:sz w:val="24"/>
          <w:szCs w:val="24"/>
        </w:rPr>
        <w:t>Nkandi</w:t>
      </w:r>
      <w:r>
        <w:rPr>
          <w:rFonts w:ascii="Arial" w:hAnsi="Arial" w:cs="Arial"/>
          <w:sz w:val="24"/>
          <w:szCs w:val="24"/>
        </w:rPr>
        <w:t xml:space="preserve"> to apply to claim for payment for architectural work by a non-natural person. He argued that the court in </w:t>
      </w:r>
      <w:r>
        <w:rPr>
          <w:rFonts w:ascii="Arial" w:hAnsi="Arial" w:cs="Arial"/>
          <w:i/>
          <w:sz w:val="24"/>
          <w:szCs w:val="24"/>
        </w:rPr>
        <w:t>Nkandi</w:t>
      </w:r>
      <w:r>
        <w:rPr>
          <w:rFonts w:ascii="Arial" w:hAnsi="Arial" w:cs="Arial"/>
          <w:sz w:val="24"/>
          <w:szCs w:val="24"/>
        </w:rPr>
        <w:t xml:space="preserve"> had been correct in following the approach of the majority in the </w:t>
      </w:r>
      <w:r w:rsidR="0053474F">
        <w:rPr>
          <w:rFonts w:ascii="Arial" w:hAnsi="Arial" w:cs="Arial"/>
          <w:sz w:val="24"/>
          <w:szCs w:val="24"/>
        </w:rPr>
        <w:t xml:space="preserve">(South African) </w:t>
      </w:r>
      <w:r>
        <w:rPr>
          <w:rFonts w:ascii="Arial" w:hAnsi="Arial" w:cs="Arial"/>
          <w:sz w:val="24"/>
          <w:szCs w:val="24"/>
        </w:rPr>
        <w:t>Constitutional Court</w:t>
      </w:r>
      <w:r w:rsidR="0053474F">
        <w:rPr>
          <w:rFonts w:ascii="Arial" w:hAnsi="Arial" w:cs="Arial"/>
          <w:sz w:val="24"/>
          <w:szCs w:val="24"/>
        </w:rPr>
        <w:t xml:space="preserve"> </w:t>
      </w:r>
      <w:r>
        <w:rPr>
          <w:rFonts w:ascii="Arial" w:hAnsi="Arial" w:cs="Arial"/>
          <w:sz w:val="24"/>
          <w:szCs w:val="24"/>
        </w:rPr>
        <w:t xml:space="preserve">in </w:t>
      </w:r>
      <w:r>
        <w:rPr>
          <w:rFonts w:ascii="Arial" w:hAnsi="Arial" w:cs="Arial"/>
          <w:i/>
          <w:sz w:val="24"/>
          <w:szCs w:val="24"/>
        </w:rPr>
        <w:t>Cool Ideas 1186 CC v Hubbard and another</w:t>
      </w:r>
      <w:r>
        <w:rPr>
          <w:rFonts w:ascii="Arial" w:hAnsi="Arial" w:cs="Arial"/>
          <w:sz w:val="24"/>
          <w:szCs w:val="24"/>
        </w:rPr>
        <w:t>.</w:t>
      </w:r>
      <w:r>
        <w:rPr>
          <w:rStyle w:val="FootnoteReference"/>
          <w:rFonts w:ascii="Arial" w:hAnsi="Arial" w:cs="Arial"/>
          <w:sz w:val="24"/>
          <w:szCs w:val="24"/>
        </w:rPr>
        <w:footnoteReference w:id="5"/>
      </w:r>
      <w:r w:rsidR="006C155A">
        <w:rPr>
          <w:rFonts w:ascii="Arial" w:hAnsi="Arial" w:cs="Arial"/>
          <w:sz w:val="24"/>
          <w:szCs w:val="24"/>
        </w:rPr>
        <w:t xml:space="preserve"> </w:t>
      </w:r>
    </w:p>
    <w:p w:rsidR="006C155A" w:rsidRDefault="006C155A" w:rsidP="006C155A">
      <w:pPr>
        <w:pStyle w:val="ListParagraph"/>
        <w:rPr>
          <w:rFonts w:ascii="Arial" w:hAnsi="Arial" w:cs="Arial"/>
          <w:sz w:val="24"/>
          <w:szCs w:val="24"/>
        </w:rPr>
      </w:pPr>
    </w:p>
    <w:p w:rsidR="006C155A" w:rsidRDefault="006C155A"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Heathcote argued that the Act prohibits any person other than a natural person from rendering architectural services and that the court in </w:t>
      </w:r>
      <w:r>
        <w:rPr>
          <w:rFonts w:ascii="Arial" w:hAnsi="Arial" w:cs="Arial"/>
          <w:i/>
          <w:sz w:val="24"/>
          <w:szCs w:val="24"/>
        </w:rPr>
        <w:t>Nkandi</w:t>
      </w:r>
      <w:r>
        <w:rPr>
          <w:rFonts w:ascii="Arial" w:hAnsi="Arial" w:cs="Arial"/>
          <w:sz w:val="24"/>
          <w:szCs w:val="24"/>
        </w:rPr>
        <w:t xml:space="preserve"> had been correct to uphold a similar exception.</w:t>
      </w:r>
    </w:p>
    <w:p w:rsidR="006C155A" w:rsidRDefault="006C155A" w:rsidP="006C155A">
      <w:pPr>
        <w:pStyle w:val="ListParagraph"/>
        <w:rPr>
          <w:rFonts w:ascii="Arial" w:hAnsi="Arial" w:cs="Arial"/>
          <w:sz w:val="24"/>
          <w:szCs w:val="24"/>
        </w:rPr>
      </w:pPr>
    </w:p>
    <w:p w:rsidR="006C155A" w:rsidRPr="006C155A" w:rsidRDefault="006C155A" w:rsidP="006C155A">
      <w:pPr>
        <w:rPr>
          <w:rFonts w:ascii="Arial" w:hAnsi="Arial" w:cs="Arial"/>
          <w:sz w:val="24"/>
          <w:szCs w:val="24"/>
          <w:u w:val="single"/>
        </w:rPr>
      </w:pPr>
      <w:r>
        <w:rPr>
          <w:rFonts w:ascii="Arial" w:hAnsi="Arial" w:cs="Arial"/>
          <w:sz w:val="24"/>
          <w:szCs w:val="24"/>
          <w:u w:val="single"/>
        </w:rPr>
        <w:t>The statutory scheme</w:t>
      </w:r>
    </w:p>
    <w:p w:rsidR="006C155A" w:rsidRDefault="006C155A"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According to the long title of the Act, it provides for the establishment of </w:t>
      </w:r>
      <w:r w:rsidR="00D34E15">
        <w:rPr>
          <w:rFonts w:ascii="Arial" w:hAnsi="Arial" w:cs="Arial"/>
          <w:sz w:val="24"/>
          <w:szCs w:val="24"/>
        </w:rPr>
        <w:t>a professional council</w:t>
      </w:r>
      <w:r>
        <w:rPr>
          <w:rFonts w:ascii="Arial" w:hAnsi="Arial" w:cs="Arial"/>
          <w:sz w:val="24"/>
          <w:szCs w:val="24"/>
        </w:rPr>
        <w:t xml:space="preserve"> for architects and quantity surveyors and for the registration</w:t>
      </w:r>
      <w:r w:rsidR="00D34E15">
        <w:rPr>
          <w:rFonts w:ascii="Arial" w:hAnsi="Arial" w:cs="Arial"/>
          <w:sz w:val="24"/>
          <w:szCs w:val="24"/>
        </w:rPr>
        <w:t xml:space="preserve"> as architects and quantity surveyors</w:t>
      </w:r>
      <w:r>
        <w:rPr>
          <w:rFonts w:ascii="Arial" w:hAnsi="Arial" w:cs="Arial"/>
          <w:sz w:val="24"/>
          <w:szCs w:val="24"/>
        </w:rPr>
        <w:t xml:space="preserve">. </w:t>
      </w:r>
    </w:p>
    <w:p w:rsidR="006C155A" w:rsidRDefault="006C155A" w:rsidP="006C155A">
      <w:pPr>
        <w:pStyle w:val="ListParagraph"/>
        <w:rPr>
          <w:rFonts w:ascii="Arial" w:hAnsi="Arial" w:cs="Arial"/>
          <w:sz w:val="24"/>
          <w:szCs w:val="24"/>
        </w:rPr>
      </w:pPr>
    </w:p>
    <w:p w:rsidR="006C155A" w:rsidRDefault="006C155A"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An architect is defined in the Act</w:t>
      </w:r>
      <w:r>
        <w:rPr>
          <w:rStyle w:val="FootnoteReference"/>
          <w:rFonts w:ascii="Arial" w:hAnsi="Arial" w:cs="Arial"/>
          <w:sz w:val="24"/>
          <w:szCs w:val="24"/>
        </w:rPr>
        <w:footnoteReference w:id="6"/>
      </w:r>
      <w:r>
        <w:rPr>
          <w:rFonts w:ascii="Arial" w:hAnsi="Arial" w:cs="Arial"/>
          <w:sz w:val="24"/>
          <w:szCs w:val="24"/>
        </w:rPr>
        <w:t xml:space="preserve"> as a person registered in terms of s 11. The criteria for registration are set out in s 11(2). Registration as an architect lapses if an architect registered under s 11(4</w:t>
      </w:r>
      <w:proofErr w:type="gramStart"/>
      <w:r>
        <w:rPr>
          <w:rFonts w:ascii="Arial" w:hAnsi="Arial" w:cs="Arial"/>
          <w:sz w:val="24"/>
          <w:szCs w:val="24"/>
        </w:rPr>
        <w:t>)(</w:t>
      </w:r>
      <w:proofErr w:type="gramEnd"/>
      <w:r>
        <w:rPr>
          <w:rFonts w:ascii="Arial" w:hAnsi="Arial" w:cs="Arial"/>
          <w:sz w:val="24"/>
          <w:szCs w:val="24"/>
        </w:rPr>
        <w:t>a) has for ninety days or longer failed to perform any work of a kind contemplated in s 11(2)(c) under the direction of an architect.</w:t>
      </w:r>
    </w:p>
    <w:p w:rsidR="006C155A" w:rsidRDefault="006C155A" w:rsidP="006C155A">
      <w:pPr>
        <w:pStyle w:val="ListParagraph"/>
        <w:rPr>
          <w:rFonts w:ascii="Arial" w:hAnsi="Arial" w:cs="Arial"/>
          <w:sz w:val="24"/>
          <w:szCs w:val="24"/>
        </w:rPr>
      </w:pPr>
    </w:p>
    <w:p w:rsidR="006C155A" w:rsidRDefault="006C155A"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Pertinent to this enquiry is s 13 which is quoted in full:</w:t>
      </w:r>
    </w:p>
    <w:p w:rsidR="00461D6A" w:rsidRDefault="00461D6A" w:rsidP="00461D6A">
      <w:pPr>
        <w:pStyle w:val="ListParagraph"/>
        <w:rPr>
          <w:rFonts w:ascii="Arial" w:hAnsi="Arial" w:cs="Arial"/>
          <w:sz w:val="24"/>
          <w:szCs w:val="24"/>
        </w:rPr>
      </w:pPr>
    </w:p>
    <w:p w:rsidR="00461D6A" w:rsidRPr="00D7734F" w:rsidRDefault="00461D6A" w:rsidP="00727215">
      <w:pPr>
        <w:pStyle w:val="NoSpacing"/>
        <w:tabs>
          <w:tab w:val="left" w:pos="709"/>
          <w:tab w:val="left" w:pos="1134"/>
          <w:tab w:val="left" w:pos="1701"/>
        </w:tabs>
        <w:spacing w:line="360" w:lineRule="auto"/>
        <w:jc w:val="both"/>
        <w:rPr>
          <w:rFonts w:ascii="Arial" w:hAnsi="Arial" w:cs="Arial"/>
        </w:rPr>
      </w:pPr>
      <w:r>
        <w:rPr>
          <w:rFonts w:ascii="Arial" w:hAnsi="Arial" w:cs="Arial"/>
        </w:rPr>
        <w:tab/>
        <w:t>‘</w:t>
      </w:r>
      <w:r w:rsidRPr="00D7734F">
        <w:rPr>
          <w:rFonts w:ascii="Arial" w:hAnsi="Arial" w:cs="Arial"/>
        </w:rPr>
        <w:t>13</w:t>
      </w:r>
      <w:r w:rsidRPr="00D7734F">
        <w:rPr>
          <w:rFonts w:ascii="Arial" w:hAnsi="Arial" w:cs="Arial"/>
        </w:rPr>
        <w:tab/>
        <w:t xml:space="preserve">(1) </w:t>
      </w:r>
      <w:r w:rsidRPr="00D7734F">
        <w:rPr>
          <w:rFonts w:ascii="Arial" w:hAnsi="Arial" w:cs="Arial"/>
        </w:rPr>
        <w:tab/>
        <w:t>Subject to any exemption granted under this Act-</w:t>
      </w:r>
    </w:p>
    <w:p w:rsidR="00461D6A" w:rsidRDefault="00461D6A" w:rsidP="008E11C8">
      <w:pPr>
        <w:pStyle w:val="NoSpacing"/>
        <w:numPr>
          <w:ilvl w:val="0"/>
          <w:numId w:val="6"/>
        </w:numPr>
        <w:spacing w:line="360" w:lineRule="auto"/>
        <w:jc w:val="both"/>
        <w:rPr>
          <w:rFonts w:ascii="Arial" w:hAnsi="Arial" w:cs="Arial"/>
        </w:rPr>
      </w:pPr>
      <w:r w:rsidRPr="00D7734F">
        <w:rPr>
          <w:rFonts w:ascii="Arial" w:hAnsi="Arial" w:cs="Arial"/>
        </w:rPr>
        <w:t>any person other than an architect or a quantity surveyor who-</w:t>
      </w:r>
    </w:p>
    <w:p w:rsidR="00461D6A" w:rsidRPr="00D7734F" w:rsidRDefault="00461D6A" w:rsidP="008E11C8">
      <w:pPr>
        <w:pStyle w:val="NoSpacing"/>
        <w:spacing w:line="360" w:lineRule="auto"/>
        <w:ind w:left="1440"/>
        <w:jc w:val="both"/>
        <w:rPr>
          <w:rFonts w:ascii="Arial" w:hAnsi="Arial" w:cs="Arial"/>
        </w:rPr>
      </w:pPr>
    </w:p>
    <w:p w:rsidR="00461D6A" w:rsidRPr="00D7734F" w:rsidRDefault="00461D6A" w:rsidP="008E11C8">
      <w:pPr>
        <w:pStyle w:val="NoSpacing"/>
        <w:spacing w:line="360" w:lineRule="auto"/>
        <w:ind w:left="2160" w:hanging="720"/>
        <w:jc w:val="both"/>
        <w:rPr>
          <w:rFonts w:ascii="Arial" w:hAnsi="Arial" w:cs="Arial"/>
        </w:rPr>
      </w:pPr>
      <w:r w:rsidRPr="00D7734F">
        <w:rPr>
          <w:rFonts w:ascii="Arial" w:hAnsi="Arial" w:cs="Arial"/>
        </w:rPr>
        <w:t>(i)</w:t>
      </w:r>
      <w:r w:rsidRPr="00D7734F">
        <w:rPr>
          <w:rFonts w:ascii="Arial" w:hAnsi="Arial" w:cs="Arial"/>
        </w:rPr>
        <w:tab/>
      </w:r>
      <w:proofErr w:type="gramStart"/>
      <w:r w:rsidRPr="00D7734F">
        <w:rPr>
          <w:rFonts w:ascii="Arial" w:hAnsi="Arial" w:cs="Arial"/>
        </w:rPr>
        <w:t>for</w:t>
      </w:r>
      <w:proofErr w:type="gramEnd"/>
      <w:r w:rsidRPr="00D7734F">
        <w:rPr>
          <w:rFonts w:ascii="Arial" w:hAnsi="Arial" w:cs="Arial"/>
        </w:rPr>
        <w:t xml:space="preserve"> gain performs any kind of work reserved for architects or quantity surveyors under section 7(3)(b); or </w:t>
      </w:r>
    </w:p>
    <w:p w:rsidR="00461D6A" w:rsidRPr="00D7734F" w:rsidRDefault="00461D6A" w:rsidP="008E11C8">
      <w:pPr>
        <w:pStyle w:val="NoSpacing"/>
        <w:spacing w:line="360" w:lineRule="auto"/>
        <w:ind w:left="2160" w:hanging="720"/>
        <w:jc w:val="both"/>
        <w:rPr>
          <w:rFonts w:ascii="Arial" w:hAnsi="Arial" w:cs="Arial"/>
        </w:rPr>
      </w:pPr>
    </w:p>
    <w:p w:rsidR="00461D6A" w:rsidRPr="00D7734F" w:rsidRDefault="00461D6A" w:rsidP="008E11C8">
      <w:pPr>
        <w:pStyle w:val="NoSpacing"/>
        <w:spacing w:line="360" w:lineRule="auto"/>
        <w:ind w:left="2160" w:hanging="720"/>
        <w:jc w:val="both"/>
        <w:rPr>
          <w:rFonts w:ascii="Arial" w:hAnsi="Arial" w:cs="Arial"/>
        </w:rPr>
      </w:pPr>
      <w:r w:rsidRPr="00D7734F">
        <w:rPr>
          <w:rFonts w:ascii="Arial" w:hAnsi="Arial" w:cs="Arial"/>
        </w:rPr>
        <w:t>(ii)</w:t>
      </w:r>
      <w:r w:rsidRPr="00D7734F">
        <w:rPr>
          <w:rFonts w:ascii="Arial" w:hAnsi="Arial" w:cs="Arial"/>
        </w:rPr>
        <w:tab/>
        <w:t>pretends to be or by any means whatsoever holds himself out or allows himself to be held out as an architect or a quantity surveyor or uses the name of architect or quantity surveyor or any name, title, description or symbol indicating or calculated to lead persons to infer that he is registered as an architect or a quantity surveyor in terms of this Act; or</w:t>
      </w:r>
    </w:p>
    <w:p w:rsidR="00461D6A" w:rsidRPr="00D7734F" w:rsidRDefault="00461D6A" w:rsidP="008E11C8">
      <w:pPr>
        <w:pStyle w:val="NoSpacing"/>
        <w:spacing w:line="360" w:lineRule="auto"/>
        <w:ind w:left="1440" w:hanging="720"/>
        <w:jc w:val="both"/>
        <w:rPr>
          <w:rFonts w:ascii="Arial" w:hAnsi="Arial" w:cs="Arial"/>
        </w:rPr>
      </w:pPr>
    </w:p>
    <w:p w:rsidR="00461D6A" w:rsidRPr="00D7734F" w:rsidRDefault="00461D6A" w:rsidP="008E11C8">
      <w:pPr>
        <w:pStyle w:val="NoSpacing"/>
        <w:spacing w:line="360" w:lineRule="auto"/>
        <w:ind w:firstLine="720"/>
        <w:jc w:val="both"/>
        <w:rPr>
          <w:rFonts w:ascii="Arial" w:hAnsi="Arial" w:cs="Arial"/>
        </w:rPr>
      </w:pPr>
      <w:r w:rsidRPr="00D7734F">
        <w:rPr>
          <w:rFonts w:ascii="Arial" w:hAnsi="Arial" w:cs="Arial"/>
        </w:rPr>
        <w:t>(b)</w:t>
      </w:r>
      <w:r w:rsidRPr="00D7734F">
        <w:rPr>
          <w:rFonts w:ascii="Arial" w:hAnsi="Arial" w:cs="Arial"/>
        </w:rPr>
        <w:tab/>
      </w:r>
      <w:proofErr w:type="gramStart"/>
      <w:r w:rsidRPr="00D7734F">
        <w:rPr>
          <w:rFonts w:ascii="Arial" w:hAnsi="Arial" w:cs="Arial"/>
        </w:rPr>
        <w:t>any</w:t>
      </w:r>
      <w:proofErr w:type="gramEnd"/>
      <w:r w:rsidRPr="00D7734F">
        <w:rPr>
          <w:rFonts w:ascii="Arial" w:hAnsi="Arial" w:cs="Arial"/>
        </w:rPr>
        <w:t xml:space="preserve"> person other than a natural person which-</w:t>
      </w:r>
    </w:p>
    <w:p w:rsidR="00461D6A" w:rsidRPr="00D7734F" w:rsidRDefault="00461D6A" w:rsidP="008E11C8">
      <w:pPr>
        <w:pStyle w:val="NoSpacing"/>
        <w:spacing w:line="360" w:lineRule="auto"/>
        <w:ind w:left="1440" w:hanging="720"/>
        <w:jc w:val="both"/>
        <w:rPr>
          <w:rFonts w:ascii="Arial" w:hAnsi="Arial" w:cs="Arial"/>
        </w:rPr>
      </w:pPr>
    </w:p>
    <w:p w:rsidR="00461D6A" w:rsidRPr="00D7734F" w:rsidRDefault="00461D6A" w:rsidP="008E11C8">
      <w:pPr>
        <w:pStyle w:val="NoSpacing"/>
        <w:numPr>
          <w:ilvl w:val="0"/>
          <w:numId w:val="5"/>
        </w:numPr>
        <w:spacing w:line="360" w:lineRule="auto"/>
        <w:jc w:val="both"/>
        <w:rPr>
          <w:rFonts w:ascii="Arial" w:hAnsi="Arial" w:cs="Arial"/>
        </w:rPr>
      </w:pPr>
      <w:r w:rsidRPr="00D7734F">
        <w:rPr>
          <w:rFonts w:ascii="Arial" w:hAnsi="Arial" w:cs="Arial"/>
        </w:rPr>
        <w:t>for gain performs any kind of work reserved for architects or quantity surveyors under section 7(3)(b) or in any way makes it known that it is prepared to perform any such work; or</w:t>
      </w:r>
    </w:p>
    <w:p w:rsidR="00461D6A" w:rsidRPr="00D7734F" w:rsidRDefault="00461D6A" w:rsidP="008E11C8">
      <w:pPr>
        <w:pStyle w:val="NoSpacing"/>
        <w:spacing w:line="360" w:lineRule="auto"/>
        <w:ind w:left="2160"/>
        <w:jc w:val="both"/>
        <w:rPr>
          <w:rFonts w:ascii="Arial" w:hAnsi="Arial" w:cs="Arial"/>
        </w:rPr>
      </w:pPr>
    </w:p>
    <w:p w:rsidR="00461D6A" w:rsidRPr="00D7734F" w:rsidRDefault="00461D6A" w:rsidP="008E11C8">
      <w:pPr>
        <w:pStyle w:val="NoSpacing"/>
        <w:spacing w:line="360" w:lineRule="auto"/>
        <w:ind w:left="2160" w:hanging="720"/>
        <w:jc w:val="both"/>
        <w:rPr>
          <w:rFonts w:ascii="Arial" w:hAnsi="Arial" w:cs="Arial"/>
        </w:rPr>
      </w:pPr>
      <w:r w:rsidRPr="00D7734F">
        <w:rPr>
          <w:rFonts w:ascii="Arial" w:hAnsi="Arial" w:cs="Arial"/>
        </w:rPr>
        <w:t>(ii)</w:t>
      </w:r>
      <w:r w:rsidRPr="00D7734F">
        <w:rPr>
          <w:rFonts w:ascii="Arial" w:hAnsi="Arial" w:cs="Arial"/>
        </w:rPr>
        <w:tab/>
        <w:t>uses any name, title, description or symbol indicating or calculated to lead persons to infer that it performs any kind of work reserved for architects or quantity surveyors,</w:t>
      </w:r>
    </w:p>
    <w:p w:rsidR="00461D6A" w:rsidRPr="00D7734F" w:rsidRDefault="00461D6A" w:rsidP="008E11C8">
      <w:pPr>
        <w:pStyle w:val="NoSpacing"/>
        <w:spacing w:line="360" w:lineRule="auto"/>
        <w:ind w:left="1440" w:hanging="720"/>
        <w:jc w:val="both"/>
        <w:rPr>
          <w:rFonts w:ascii="Arial" w:hAnsi="Arial" w:cs="Arial"/>
        </w:rPr>
      </w:pPr>
    </w:p>
    <w:p w:rsidR="00461D6A" w:rsidRPr="00D7734F" w:rsidRDefault="00461D6A" w:rsidP="008E11C8">
      <w:pPr>
        <w:pStyle w:val="NoSpacing"/>
        <w:spacing w:line="360" w:lineRule="auto"/>
        <w:ind w:left="720"/>
        <w:jc w:val="both"/>
        <w:rPr>
          <w:rFonts w:ascii="Arial" w:hAnsi="Arial" w:cs="Arial"/>
        </w:rPr>
      </w:pPr>
      <w:proofErr w:type="gramStart"/>
      <w:r w:rsidRPr="00D7734F">
        <w:rPr>
          <w:rFonts w:ascii="Arial" w:hAnsi="Arial" w:cs="Arial"/>
        </w:rPr>
        <w:lastRenderedPageBreak/>
        <w:t>shall</w:t>
      </w:r>
      <w:proofErr w:type="gramEnd"/>
      <w:r w:rsidRPr="00D7734F">
        <w:rPr>
          <w:rFonts w:ascii="Arial" w:hAnsi="Arial" w:cs="Arial"/>
        </w:rPr>
        <w:t xml:space="preserve"> be guilty of an offence and liable on conviction to a fine not exceeding one thousand rand.</w:t>
      </w:r>
    </w:p>
    <w:p w:rsidR="00461D6A" w:rsidRPr="00D7734F" w:rsidRDefault="00461D6A" w:rsidP="00461D6A">
      <w:pPr>
        <w:pStyle w:val="NoSpacing"/>
        <w:spacing w:line="360" w:lineRule="auto"/>
        <w:rPr>
          <w:rFonts w:ascii="Arial" w:hAnsi="Arial" w:cs="Arial"/>
        </w:rPr>
      </w:pPr>
      <w:r w:rsidRPr="00D7734F">
        <w:rPr>
          <w:rFonts w:ascii="Arial" w:hAnsi="Arial" w:cs="Arial"/>
        </w:rPr>
        <w:tab/>
      </w:r>
    </w:p>
    <w:p w:rsidR="00461D6A" w:rsidRPr="00D7734F" w:rsidRDefault="00461D6A" w:rsidP="00461D6A">
      <w:pPr>
        <w:pStyle w:val="NoSpacing"/>
        <w:tabs>
          <w:tab w:val="left" w:pos="1701"/>
        </w:tabs>
        <w:spacing w:line="360" w:lineRule="auto"/>
        <w:ind w:left="1134" w:hanging="414"/>
        <w:rPr>
          <w:rFonts w:ascii="Arial" w:hAnsi="Arial" w:cs="Arial"/>
        </w:rPr>
      </w:pPr>
      <w:r w:rsidRPr="00D7734F">
        <w:rPr>
          <w:rFonts w:ascii="Arial" w:hAnsi="Arial" w:cs="Arial"/>
        </w:rPr>
        <w:t>(2)</w:t>
      </w:r>
      <w:r w:rsidRPr="00D7734F">
        <w:rPr>
          <w:rFonts w:ascii="Arial" w:hAnsi="Arial" w:cs="Arial"/>
        </w:rPr>
        <w:tab/>
        <w:t>Subsection (1</w:t>
      </w:r>
      <w:proofErr w:type="gramStart"/>
      <w:r w:rsidRPr="00D7734F">
        <w:rPr>
          <w:rFonts w:ascii="Arial" w:hAnsi="Arial" w:cs="Arial"/>
        </w:rPr>
        <w:t>)(</w:t>
      </w:r>
      <w:proofErr w:type="gramEnd"/>
      <w:r w:rsidRPr="00D7734F">
        <w:rPr>
          <w:rFonts w:ascii="Arial" w:hAnsi="Arial" w:cs="Arial"/>
        </w:rPr>
        <w:t>b) shall come into operation on a date to be fixed by the Minister by proclamation in the Gazette, being a date not earlier than twelve months after the commencement of this Act.</w:t>
      </w:r>
      <w:r>
        <w:rPr>
          <w:rFonts w:ascii="Arial" w:hAnsi="Arial" w:cs="Arial"/>
        </w:rPr>
        <w:t>’</w:t>
      </w:r>
    </w:p>
    <w:p w:rsidR="00EE6817" w:rsidRDefault="00EE6817" w:rsidP="00EE6817">
      <w:pPr>
        <w:pStyle w:val="ListParagraph"/>
        <w:rPr>
          <w:rFonts w:ascii="Arial" w:hAnsi="Arial" w:cs="Arial"/>
          <w:sz w:val="24"/>
          <w:szCs w:val="24"/>
        </w:rPr>
      </w:pPr>
    </w:p>
    <w:p w:rsidR="00EE6817" w:rsidRDefault="00134B45"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Section 14, entitled </w:t>
      </w:r>
      <w:r w:rsidR="00A846A8">
        <w:rPr>
          <w:rFonts w:ascii="Arial" w:hAnsi="Arial" w:cs="Arial"/>
          <w:sz w:val="24"/>
          <w:szCs w:val="24"/>
        </w:rPr>
        <w:t>‘</w:t>
      </w:r>
      <w:r>
        <w:rPr>
          <w:rFonts w:ascii="Arial" w:hAnsi="Arial" w:cs="Arial"/>
          <w:sz w:val="24"/>
          <w:szCs w:val="24"/>
        </w:rPr>
        <w:t>improper conduct</w:t>
      </w:r>
      <w:r w:rsidR="00A846A8">
        <w:rPr>
          <w:rFonts w:ascii="Arial" w:hAnsi="Arial" w:cs="Arial"/>
          <w:sz w:val="24"/>
          <w:szCs w:val="24"/>
        </w:rPr>
        <w:t>’</w:t>
      </w:r>
      <w:r>
        <w:rPr>
          <w:rFonts w:ascii="Arial" w:hAnsi="Arial" w:cs="Arial"/>
          <w:sz w:val="24"/>
          <w:szCs w:val="24"/>
        </w:rPr>
        <w:t>, provides that architects (and quantity surveyors) will be guilty of</w:t>
      </w:r>
      <w:r w:rsidR="0053474F">
        <w:rPr>
          <w:rFonts w:ascii="Arial" w:hAnsi="Arial" w:cs="Arial"/>
          <w:sz w:val="24"/>
          <w:szCs w:val="24"/>
        </w:rPr>
        <w:t xml:space="preserve"> improper conduct if they commit any one or more of </w:t>
      </w:r>
      <w:r>
        <w:rPr>
          <w:rFonts w:ascii="Arial" w:hAnsi="Arial" w:cs="Arial"/>
          <w:sz w:val="24"/>
          <w:szCs w:val="24"/>
        </w:rPr>
        <w:t xml:space="preserve">the various forms of improper conduct </w:t>
      </w:r>
      <w:r w:rsidR="0053474F">
        <w:rPr>
          <w:rFonts w:ascii="Arial" w:hAnsi="Arial" w:cs="Arial"/>
          <w:sz w:val="24"/>
          <w:szCs w:val="24"/>
        </w:rPr>
        <w:t>described</w:t>
      </w:r>
      <w:r>
        <w:rPr>
          <w:rFonts w:ascii="Arial" w:hAnsi="Arial" w:cs="Arial"/>
          <w:sz w:val="24"/>
          <w:szCs w:val="24"/>
        </w:rPr>
        <w:t xml:space="preserve"> in s 14(1). The </w:t>
      </w:r>
      <w:r w:rsidR="0053474F">
        <w:rPr>
          <w:rFonts w:ascii="Arial" w:hAnsi="Arial" w:cs="Arial"/>
          <w:sz w:val="24"/>
          <w:szCs w:val="24"/>
        </w:rPr>
        <w:t>C</w:t>
      </w:r>
      <w:r>
        <w:rPr>
          <w:rFonts w:ascii="Arial" w:hAnsi="Arial" w:cs="Arial"/>
          <w:sz w:val="24"/>
          <w:szCs w:val="24"/>
        </w:rPr>
        <w:t>ouncil of Architects and Quantity Surveyors</w:t>
      </w:r>
      <w:r w:rsidR="0053474F">
        <w:rPr>
          <w:rFonts w:ascii="Arial" w:hAnsi="Arial" w:cs="Arial"/>
          <w:sz w:val="24"/>
          <w:szCs w:val="24"/>
        </w:rPr>
        <w:t xml:space="preserve"> (</w:t>
      </w:r>
      <w:r w:rsidR="00A846A8">
        <w:rPr>
          <w:rFonts w:ascii="Arial" w:hAnsi="Arial" w:cs="Arial"/>
          <w:sz w:val="24"/>
          <w:szCs w:val="24"/>
        </w:rPr>
        <w:t>the C</w:t>
      </w:r>
      <w:r w:rsidR="0053474F">
        <w:rPr>
          <w:rFonts w:ascii="Arial" w:hAnsi="Arial" w:cs="Arial"/>
          <w:sz w:val="24"/>
          <w:szCs w:val="24"/>
        </w:rPr>
        <w:t>ouncil)</w:t>
      </w:r>
      <w:r>
        <w:rPr>
          <w:rFonts w:ascii="Arial" w:hAnsi="Arial" w:cs="Arial"/>
          <w:sz w:val="24"/>
          <w:szCs w:val="24"/>
        </w:rPr>
        <w:t xml:space="preserve"> has disciplinary powers under s 15 to enquire </w:t>
      </w:r>
      <w:r w:rsidR="0053474F">
        <w:rPr>
          <w:rFonts w:ascii="Arial" w:hAnsi="Arial" w:cs="Arial"/>
          <w:sz w:val="24"/>
          <w:szCs w:val="24"/>
        </w:rPr>
        <w:t xml:space="preserve">into and </w:t>
      </w:r>
      <w:r>
        <w:rPr>
          <w:rFonts w:ascii="Arial" w:hAnsi="Arial" w:cs="Arial"/>
          <w:sz w:val="24"/>
          <w:szCs w:val="24"/>
        </w:rPr>
        <w:t>to find members of the profession</w:t>
      </w:r>
      <w:r w:rsidR="00EF3640">
        <w:rPr>
          <w:rFonts w:ascii="Arial" w:hAnsi="Arial" w:cs="Arial"/>
          <w:sz w:val="24"/>
          <w:szCs w:val="24"/>
        </w:rPr>
        <w:t>s</w:t>
      </w:r>
      <w:r>
        <w:rPr>
          <w:rFonts w:ascii="Arial" w:hAnsi="Arial" w:cs="Arial"/>
          <w:sz w:val="24"/>
          <w:szCs w:val="24"/>
        </w:rPr>
        <w:t xml:space="preserve"> guilty of improper conduct as defined in </w:t>
      </w:r>
      <w:r w:rsidR="0053474F">
        <w:rPr>
          <w:rFonts w:ascii="Arial" w:hAnsi="Arial" w:cs="Arial"/>
          <w:sz w:val="24"/>
          <w:szCs w:val="24"/>
        </w:rPr>
        <w:t xml:space="preserve">         </w:t>
      </w:r>
      <w:r w:rsidR="00727215">
        <w:rPr>
          <w:rFonts w:ascii="Arial" w:hAnsi="Arial" w:cs="Arial"/>
          <w:sz w:val="24"/>
          <w:szCs w:val="24"/>
        </w:rPr>
        <w:t>s 14(1), including rules prescribed by regulation.</w:t>
      </w:r>
    </w:p>
    <w:p w:rsidR="00F8287A" w:rsidRDefault="00F8287A" w:rsidP="00F8287A">
      <w:pPr>
        <w:pStyle w:val="ListParagraph"/>
        <w:rPr>
          <w:rFonts w:ascii="Arial" w:hAnsi="Arial" w:cs="Arial"/>
          <w:sz w:val="24"/>
          <w:szCs w:val="24"/>
        </w:rPr>
      </w:pPr>
    </w:p>
    <w:p w:rsidR="00F8287A" w:rsidRDefault="00134B45"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Act came into force on 1 January 1980 with the exception of s 13(1</w:t>
      </w:r>
      <w:proofErr w:type="gramStart"/>
      <w:r>
        <w:rPr>
          <w:rFonts w:ascii="Arial" w:hAnsi="Arial" w:cs="Arial"/>
          <w:sz w:val="24"/>
          <w:szCs w:val="24"/>
        </w:rPr>
        <w:t>)(</w:t>
      </w:r>
      <w:proofErr w:type="gramEnd"/>
      <w:r>
        <w:rPr>
          <w:rFonts w:ascii="Arial" w:hAnsi="Arial" w:cs="Arial"/>
          <w:sz w:val="24"/>
          <w:szCs w:val="24"/>
        </w:rPr>
        <w:t>b). The legislature in</w:t>
      </w:r>
      <w:r w:rsidR="00EF3640">
        <w:rPr>
          <w:rFonts w:ascii="Arial" w:hAnsi="Arial" w:cs="Arial"/>
          <w:sz w:val="24"/>
          <w:szCs w:val="24"/>
        </w:rPr>
        <w:t xml:space="preserve"> s 13(2) provided that s 13(2) wa</w:t>
      </w:r>
      <w:r>
        <w:rPr>
          <w:rFonts w:ascii="Arial" w:hAnsi="Arial" w:cs="Arial"/>
          <w:sz w:val="24"/>
          <w:szCs w:val="24"/>
        </w:rPr>
        <w:t xml:space="preserve">s to come into operation on </w:t>
      </w:r>
      <w:r w:rsidR="00716071">
        <w:rPr>
          <w:rFonts w:ascii="Arial" w:hAnsi="Arial" w:cs="Arial"/>
          <w:sz w:val="24"/>
          <w:szCs w:val="24"/>
        </w:rPr>
        <w:t xml:space="preserve">a </w:t>
      </w:r>
      <w:r>
        <w:rPr>
          <w:rFonts w:ascii="Arial" w:hAnsi="Arial" w:cs="Arial"/>
          <w:sz w:val="24"/>
          <w:szCs w:val="24"/>
        </w:rPr>
        <w:t>date to be fixed by the executive which was to be at least 12 months after the commencement of the Act.</w:t>
      </w:r>
    </w:p>
    <w:p w:rsidR="00461D6A" w:rsidRDefault="00461D6A" w:rsidP="00461D6A">
      <w:pPr>
        <w:pStyle w:val="ListParagraph"/>
        <w:rPr>
          <w:rFonts w:ascii="Arial" w:hAnsi="Arial" w:cs="Arial"/>
          <w:sz w:val="24"/>
          <w:szCs w:val="24"/>
        </w:rPr>
      </w:pPr>
    </w:p>
    <w:p w:rsidR="00461D6A" w:rsidRDefault="00134B45"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28 April 1983, the Administrator-General determined by proclamation that s 13(1</w:t>
      </w:r>
      <w:proofErr w:type="gramStart"/>
      <w:r>
        <w:rPr>
          <w:rFonts w:ascii="Arial" w:hAnsi="Arial" w:cs="Arial"/>
          <w:sz w:val="24"/>
          <w:szCs w:val="24"/>
        </w:rPr>
        <w:t>)(</w:t>
      </w:r>
      <w:proofErr w:type="gramEnd"/>
      <w:r>
        <w:rPr>
          <w:rFonts w:ascii="Arial" w:hAnsi="Arial" w:cs="Arial"/>
          <w:sz w:val="24"/>
          <w:szCs w:val="24"/>
        </w:rPr>
        <w:t>b) would come into operation on 2 May 1983.</w:t>
      </w:r>
    </w:p>
    <w:p w:rsidR="00134B45" w:rsidRDefault="00134B45" w:rsidP="00134B45">
      <w:pPr>
        <w:pStyle w:val="ListParagraph"/>
        <w:rPr>
          <w:rFonts w:ascii="Arial" w:hAnsi="Arial" w:cs="Arial"/>
          <w:sz w:val="24"/>
          <w:szCs w:val="24"/>
        </w:rPr>
      </w:pPr>
    </w:p>
    <w:p w:rsidR="00134B45" w:rsidRPr="00134B45" w:rsidRDefault="00134B45" w:rsidP="00134B45">
      <w:pPr>
        <w:rPr>
          <w:rFonts w:ascii="Arial" w:hAnsi="Arial" w:cs="Arial"/>
          <w:sz w:val="24"/>
          <w:szCs w:val="24"/>
          <w:u w:val="single"/>
        </w:rPr>
      </w:pPr>
      <w:r>
        <w:rPr>
          <w:rFonts w:ascii="Arial" w:hAnsi="Arial" w:cs="Arial"/>
          <w:sz w:val="24"/>
          <w:szCs w:val="24"/>
          <w:u w:val="single"/>
        </w:rPr>
        <w:t>Principles of interpretation of statutes and text</w:t>
      </w:r>
    </w:p>
    <w:p w:rsidR="00134B45" w:rsidRDefault="00134B45"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approach applicable to the construction of text was recently summarised </w:t>
      </w:r>
      <w:r w:rsidR="00EF3640">
        <w:rPr>
          <w:rFonts w:ascii="Arial" w:hAnsi="Arial" w:cs="Arial"/>
          <w:sz w:val="24"/>
          <w:szCs w:val="24"/>
        </w:rPr>
        <w:t>by this court</w:t>
      </w:r>
      <w:r w:rsidR="00EF3640">
        <w:rPr>
          <w:rStyle w:val="FootnoteReference"/>
          <w:rFonts w:ascii="Arial" w:hAnsi="Arial" w:cs="Arial"/>
          <w:sz w:val="24"/>
          <w:szCs w:val="24"/>
        </w:rPr>
        <w:footnoteReference w:id="7"/>
      </w:r>
      <w:r w:rsidR="00EF3640">
        <w:rPr>
          <w:rFonts w:ascii="Arial" w:hAnsi="Arial" w:cs="Arial"/>
          <w:sz w:val="24"/>
          <w:szCs w:val="24"/>
        </w:rPr>
        <w:t xml:space="preserve"> </w:t>
      </w:r>
      <w:r>
        <w:rPr>
          <w:rFonts w:ascii="Arial" w:hAnsi="Arial" w:cs="Arial"/>
          <w:sz w:val="24"/>
          <w:szCs w:val="24"/>
        </w:rPr>
        <w:t xml:space="preserve">with reference to an earlier </w:t>
      </w:r>
      <w:r w:rsidR="00EF3640">
        <w:rPr>
          <w:rFonts w:ascii="Arial" w:hAnsi="Arial" w:cs="Arial"/>
          <w:sz w:val="24"/>
          <w:szCs w:val="24"/>
        </w:rPr>
        <w:t>decision</w:t>
      </w:r>
      <w:r>
        <w:rPr>
          <w:rFonts w:ascii="Arial" w:hAnsi="Arial" w:cs="Arial"/>
          <w:sz w:val="24"/>
          <w:szCs w:val="24"/>
        </w:rPr>
        <w:t xml:space="preserve"> of this court which</w:t>
      </w:r>
      <w:r w:rsidR="00EF3640">
        <w:rPr>
          <w:rFonts w:ascii="Arial" w:hAnsi="Arial" w:cs="Arial"/>
          <w:sz w:val="24"/>
          <w:szCs w:val="24"/>
        </w:rPr>
        <w:t xml:space="preserve"> had</w:t>
      </w:r>
      <w:r>
        <w:rPr>
          <w:rFonts w:ascii="Arial" w:hAnsi="Arial" w:cs="Arial"/>
          <w:sz w:val="24"/>
          <w:szCs w:val="24"/>
        </w:rPr>
        <w:t xml:space="preserve"> in </w:t>
      </w:r>
      <w:r w:rsidR="00E4696D">
        <w:rPr>
          <w:rFonts w:ascii="Arial" w:hAnsi="Arial" w:cs="Arial"/>
          <w:sz w:val="24"/>
          <w:szCs w:val="24"/>
        </w:rPr>
        <w:t>turn</w:t>
      </w:r>
      <w:r>
        <w:rPr>
          <w:rFonts w:ascii="Arial" w:hAnsi="Arial" w:cs="Arial"/>
          <w:sz w:val="24"/>
          <w:szCs w:val="24"/>
        </w:rPr>
        <w:t xml:space="preserve"> followed recent trends in both England and South Africa: </w:t>
      </w:r>
    </w:p>
    <w:p w:rsidR="003939C2" w:rsidRDefault="003939C2" w:rsidP="003939C2">
      <w:pPr>
        <w:pStyle w:val="NoSpacing"/>
        <w:spacing w:line="480" w:lineRule="auto"/>
        <w:jc w:val="both"/>
        <w:rPr>
          <w:rFonts w:ascii="Arial" w:hAnsi="Arial" w:cs="Arial"/>
          <w:sz w:val="24"/>
          <w:szCs w:val="24"/>
        </w:rPr>
      </w:pPr>
    </w:p>
    <w:p w:rsidR="003939C2" w:rsidRPr="00E4696D" w:rsidRDefault="003939C2" w:rsidP="003939C2">
      <w:pPr>
        <w:pStyle w:val="NoSpacing"/>
        <w:spacing w:line="360" w:lineRule="auto"/>
        <w:ind w:left="1440" w:hanging="720"/>
        <w:jc w:val="both"/>
        <w:rPr>
          <w:rFonts w:ascii="Arial" w:hAnsi="Arial" w:cs="Arial"/>
        </w:rPr>
      </w:pPr>
      <w:r>
        <w:rPr>
          <w:rFonts w:ascii="Arial" w:hAnsi="Arial" w:cs="Arial"/>
        </w:rPr>
        <w:lastRenderedPageBreak/>
        <w:t>’39.</w:t>
      </w:r>
      <w:r>
        <w:rPr>
          <w:rFonts w:ascii="Arial" w:hAnsi="Arial" w:cs="Arial"/>
        </w:rPr>
        <w:tab/>
      </w:r>
      <w:r w:rsidRPr="00E4696D">
        <w:rPr>
          <w:rFonts w:ascii="Arial" w:hAnsi="Arial" w:cs="Arial"/>
        </w:rPr>
        <w:t xml:space="preserve">This court in </w:t>
      </w:r>
      <w:r w:rsidRPr="00E4696D">
        <w:rPr>
          <w:rFonts w:ascii="Arial" w:hAnsi="Arial" w:cs="Arial"/>
          <w:i/>
          <w:lang w:val="en-US"/>
        </w:rPr>
        <w:t xml:space="preserve">Total Namibia v OBM Engineering and Petroleum Distributors </w:t>
      </w:r>
      <w:r w:rsidRPr="00E4696D">
        <w:rPr>
          <w:rStyle w:val="FootnoteReference"/>
          <w:rFonts w:ascii="Arial" w:hAnsi="Arial" w:cs="Arial"/>
        </w:rPr>
        <w:footnoteReference w:id="8"/>
      </w:r>
      <w:r w:rsidRPr="00E4696D">
        <w:rPr>
          <w:rFonts w:ascii="Arial" w:hAnsi="Arial" w:cs="Arial"/>
        </w:rPr>
        <w:t xml:space="preserve"> recently referred to the approach to be followed in the construction of text and cited the lucid articulation by Wallis JA of the approach to interpretation in South Africa in </w:t>
      </w:r>
      <w:r w:rsidRPr="00E4696D">
        <w:rPr>
          <w:rFonts w:ascii="Arial" w:hAnsi="Arial" w:cs="Arial"/>
          <w:i/>
        </w:rPr>
        <w:t>Natal Joint Municipal Pension Fund v Endumeni Municipality</w:t>
      </w:r>
      <w:r w:rsidRPr="00E4696D">
        <w:rPr>
          <w:rStyle w:val="FootnoteReference"/>
          <w:rFonts w:ascii="Arial" w:hAnsi="Arial" w:cs="Arial"/>
          <w:i/>
        </w:rPr>
        <w:footnoteReference w:id="9"/>
      </w:r>
      <w:r w:rsidRPr="00E4696D">
        <w:rPr>
          <w:rFonts w:ascii="Arial" w:hAnsi="Arial" w:cs="Arial"/>
          <w:i/>
        </w:rPr>
        <w:t>.</w:t>
      </w:r>
    </w:p>
    <w:p w:rsidR="003939C2" w:rsidRPr="00E4696D" w:rsidRDefault="003939C2" w:rsidP="003939C2">
      <w:pPr>
        <w:pStyle w:val="ListParagraph"/>
        <w:spacing w:after="0" w:line="360" w:lineRule="auto"/>
        <w:ind w:left="1440"/>
        <w:rPr>
          <w:rFonts w:ascii="Arial" w:hAnsi="Arial" w:cs="Arial"/>
        </w:rPr>
      </w:pPr>
    </w:p>
    <w:p w:rsidR="003939C2" w:rsidRPr="00E4696D" w:rsidRDefault="003939C2" w:rsidP="003939C2">
      <w:pPr>
        <w:pStyle w:val="NoSpacing"/>
        <w:spacing w:line="360" w:lineRule="auto"/>
        <w:ind w:left="2160"/>
        <w:jc w:val="both"/>
        <w:rPr>
          <w:rFonts w:ascii="Arial" w:hAnsi="Arial" w:cs="Arial"/>
        </w:rPr>
      </w:pPr>
      <w:r>
        <w:rPr>
          <w:rFonts w:ascii="Arial" w:hAnsi="Arial" w:cs="Arial"/>
        </w:rPr>
        <w:t>“</w:t>
      </w:r>
      <w:r w:rsidRPr="00E4696D">
        <w:rPr>
          <w:rFonts w:ascii="Arial" w:hAnsi="Arial" w:cs="Arial"/>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w:t>
      </w:r>
      <w:r>
        <w:rPr>
          <w:rFonts w:ascii="Arial" w:hAnsi="Arial" w:cs="Arial"/>
        </w:rPr>
        <w:t>”</w:t>
      </w:r>
    </w:p>
    <w:p w:rsidR="003939C2" w:rsidRPr="00E4696D" w:rsidRDefault="003939C2" w:rsidP="003939C2">
      <w:pPr>
        <w:pStyle w:val="ListParagraph"/>
        <w:spacing w:after="0" w:line="360" w:lineRule="auto"/>
        <w:ind w:left="1440"/>
        <w:rPr>
          <w:rFonts w:ascii="Arial" w:hAnsi="Arial" w:cs="Arial"/>
        </w:rPr>
      </w:pPr>
    </w:p>
    <w:p w:rsidR="003939C2" w:rsidRPr="00E4696D" w:rsidRDefault="003939C2" w:rsidP="003939C2">
      <w:pPr>
        <w:pStyle w:val="NoSpacing"/>
        <w:numPr>
          <w:ilvl w:val="0"/>
          <w:numId w:val="9"/>
        </w:numPr>
        <w:spacing w:line="360" w:lineRule="auto"/>
        <w:ind w:left="1418" w:hanging="698"/>
        <w:jc w:val="both"/>
        <w:rPr>
          <w:rFonts w:ascii="Arial" w:hAnsi="Arial" w:cs="Arial"/>
        </w:rPr>
      </w:pPr>
      <w:r w:rsidRPr="00E4696D">
        <w:rPr>
          <w:rFonts w:ascii="Arial" w:hAnsi="Arial" w:cs="Arial"/>
        </w:rPr>
        <w:t xml:space="preserve">In the </w:t>
      </w:r>
      <w:r w:rsidRPr="00E4696D">
        <w:rPr>
          <w:rFonts w:ascii="Arial" w:hAnsi="Arial" w:cs="Arial"/>
          <w:i/>
        </w:rPr>
        <w:t>Total</w:t>
      </w:r>
      <w:r w:rsidRPr="00E4696D">
        <w:rPr>
          <w:rFonts w:ascii="Arial" w:hAnsi="Arial" w:cs="Arial"/>
        </w:rPr>
        <w:t xml:space="preserve"> matter, this court also referred to the approach in England</w:t>
      </w:r>
      <w:r w:rsidRPr="00E4696D">
        <w:rPr>
          <w:rStyle w:val="FootnoteReference"/>
          <w:rFonts w:ascii="Arial" w:hAnsi="Arial" w:cs="Arial"/>
        </w:rPr>
        <w:footnoteReference w:id="10"/>
      </w:r>
      <w:r w:rsidRPr="00E4696D">
        <w:rPr>
          <w:rFonts w:ascii="Arial" w:hAnsi="Arial" w:cs="Arial"/>
        </w:rPr>
        <w:t xml:space="preserve"> and concluded:</w:t>
      </w:r>
      <w:r w:rsidRPr="00E4696D">
        <w:rPr>
          <w:rStyle w:val="FootnoteReference"/>
          <w:rFonts w:ascii="Arial" w:hAnsi="Arial" w:cs="Arial"/>
        </w:rPr>
        <w:footnoteReference w:id="11"/>
      </w:r>
    </w:p>
    <w:p w:rsidR="003939C2" w:rsidRPr="00E4696D" w:rsidRDefault="003939C2" w:rsidP="003939C2">
      <w:pPr>
        <w:pStyle w:val="NoSpacing"/>
        <w:spacing w:line="360" w:lineRule="auto"/>
        <w:ind w:left="720"/>
        <w:jc w:val="both"/>
        <w:rPr>
          <w:rFonts w:ascii="Arial" w:hAnsi="Arial" w:cs="Arial"/>
        </w:rPr>
      </w:pPr>
    </w:p>
    <w:p w:rsidR="003939C2" w:rsidRPr="00E4696D" w:rsidRDefault="003939C2" w:rsidP="003939C2">
      <w:pPr>
        <w:pStyle w:val="NoSpacing"/>
        <w:spacing w:line="360" w:lineRule="auto"/>
        <w:ind w:left="2160"/>
        <w:jc w:val="both"/>
        <w:rPr>
          <w:rFonts w:ascii="Arial" w:hAnsi="Arial" w:cs="Arial"/>
        </w:rPr>
      </w:pPr>
      <w:r>
        <w:rPr>
          <w:rFonts w:ascii="Arial" w:hAnsi="Arial" w:cs="Arial"/>
        </w:rPr>
        <w:t>“</w:t>
      </w:r>
      <w:r w:rsidRPr="00E4696D">
        <w:rPr>
          <w:rFonts w:ascii="Arial" w:hAnsi="Arial" w:cs="Arial"/>
        </w:rPr>
        <w:t xml:space="preserve">What is clear is that the courts in both the United Kingdom and in South Africa have accepted that the context in which a document is drafted is relevant to its construction in all circumstances, not only when the language of the contract appears ambiguous. That approach is consistent with our common-sense understanding that the meaning of words is, to a significant extent, determined by the </w:t>
      </w:r>
      <w:r w:rsidRPr="00E4696D">
        <w:rPr>
          <w:rFonts w:ascii="Arial" w:hAnsi="Arial" w:cs="Arial"/>
        </w:rPr>
        <w:lastRenderedPageBreak/>
        <w:t>context in which they are uttered. In my view, Namibian courts should also approach the question of construction on the basis that context is always relevant, regardless of whether the language is ambiguous or not.</w:t>
      </w:r>
      <w:r>
        <w:rPr>
          <w:rFonts w:ascii="Arial" w:hAnsi="Arial" w:cs="Arial"/>
        </w:rPr>
        <w:t>”</w:t>
      </w:r>
    </w:p>
    <w:p w:rsidR="003939C2" w:rsidRPr="00E4696D" w:rsidRDefault="003939C2" w:rsidP="003939C2">
      <w:pPr>
        <w:pStyle w:val="ListParagraph"/>
        <w:spacing w:line="360" w:lineRule="auto"/>
        <w:ind w:left="1440"/>
        <w:rPr>
          <w:rFonts w:ascii="Arial" w:hAnsi="Arial" w:cs="Arial"/>
        </w:rPr>
      </w:pPr>
    </w:p>
    <w:p w:rsidR="003939C2" w:rsidRDefault="003939C2" w:rsidP="003939C2">
      <w:pPr>
        <w:pStyle w:val="NoSpacing"/>
        <w:numPr>
          <w:ilvl w:val="0"/>
          <w:numId w:val="9"/>
        </w:numPr>
        <w:spacing w:line="360" w:lineRule="auto"/>
        <w:ind w:left="1418" w:hanging="698"/>
        <w:jc w:val="both"/>
        <w:rPr>
          <w:rFonts w:ascii="Arial" w:hAnsi="Arial" w:cs="Arial"/>
          <w:sz w:val="24"/>
          <w:szCs w:val="24"/>
        </w:rPr>
      </w:pPr>
      <w:r w:rsidRPr="00E4696D">
        <w:rPr>
          <w:rFonts w:ascii="Arial" w:hAnsi="Arial" w:cs="Arial"/>
        </w:rPr>
        <w:t xml:space="preserve">To paraphrase what was stated by this court in </w:t>
      </w:r>
      <w:r w:rsidRPr="00E4696D">
        <w:rPr>
          <w:rFonts w:ascii="Arial" w:hAnsi="Arial" w:cs="Arial"/>
          <w:i/>
        </w:rPr>
        <w:t>Total</w:t>
      </w:r>
      <w:r w:rsidRPr="00E4696D">
        <w:rPr>
          <w:rFonts w:ascii="Arial" w:hAnsi="Arial" w:cs="Arial"/>
        </w:rPr>
        <w:t>, the approach to interpretation would entail assessing the meaning of the words used within their statutory context, as well against the broader purpose of the Act.</w:t>
      </w:r>
      <w:r>
        <w:rPr>
          <w:rFonts w:ascii="Arial" w:hAnsi="Arial" w:cs="Arial"/>
        </w:rPr>
        <w:t>’</w:t>
      </w:r>
      <w:r w:rsidR="00EF3640" w:rsidRPr="00EF3640">
        <w:rPr>
          <w:rStyle w:val="FootnoteReference"/>
          <w:rFonts w:ascii="Arial" w:hAnsi="Arial" w:cs="Arial"/>
        </w:rPr>
        <w:t xml:space="preserve"> </w:t>
      </w:r>
      <w:r w:rsidR="00EF3640" w:rsidRPr="00E4696D">
        <w:rPr>
          <w:rStyle w:val="FootnoteReference"/>
          <w:rFonts w:ascii="Arial" w:hAnsi="Arial" w:cs="Arial"/>
        </w:rPr>
        <w:footnoteReference w:id="12"/>
      </w:r>
    </w:p>
    <w:p w:rsidR="003939C2" w:rsidRDefault="003939C2" w:rsidP="003939C2">
      <w:pPr>
        <w:pStyle w:val="NoSpacing"/>
        <w:spacing w:line="480" w:lineRule="auto"/>
        <w:jc w:val="both"/>
        <w:rPr>
          <w:rFonts w:ascii="Arial" w:hAnsi="Arial" w:cs="Arial"/>
          <w:sz w:val="24"/>
          <w:szCs w:val="24"/>
        </w:rPr>
      </w:pPr>
    </w:p>
    <w:p w:rsidR="00EF3640" w:rsidRPr="007B25CE" w:rsidRDefault="003939C2" w:rsidP="007B25C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in the </w:t>
      </w:r>
      <w:r>
        <w:rPr>
          <w:rFonts w:ascii="Arial" w:hAnsi="Arial" w:cs="Arial"/>
          <w:i/>
          <w:sz w:val="24"/>
          <w:szCs w:val="24"/>
        </w:rPr>
        <w:t xml:space="preserve">Medical Aid Funds </w:t>
      </w:r>
      <w:r>
        <w:rPr>
          <w:rFonts w:ascii="Arial" w:hAnsi="Arial" w:cs="Arial"/>
          <w:sz w:val="24"/>
          <w:szCs w:val="24"/>
        </w:rPr>
        <w:t>matter</w:t>
      </w:r>
      <w:r w:rsidR="00EF3640">
        <w:rPr>
          <w:rStyle w:val="FootnoteReference"/>
          <w:rFonts w:ascii="Arial" w:hAnsi="Arial" w:cs="Arial"/>
          <w:sz w:val="24"/>
          <w:szCs w:val="24"/>
        </w:rPr>
        <w:footnoteReference w:id="13"/>
      </w:r>
      <w:r>
        <w:rPr>
          <w:rFonts w:ascii="Arial" w:hAnsi="Arial" w:cs="Arial"/>
          <w:sz w:val="24"/>
          <w:szCs w:val="24"/>
        </w:rPr>
        <w:t xml:space="preserve">, the context in this matter is the Act and its purpose. </w:t>
      </w:r>
      <w:r w:rsidRPr="007B25CE">
        <w:rPr>
          <w:rFonts w:ascii="Arial" w:hAnsi="Arial" w:cs="Arial"/>
          <w:sz w:val="24"/>
          <w:szCs w:val="24"/>
        </w:rPr>
        <w:t xml:space="preserve">The primary purpose of the Act is to provide for registration of architects (and quantity surveyors) with the </w:t>
      </w:r>
      <w:r w:rsidR="00EF3640" w:rsidRPr="007B25CE">
        <w:rPr>
          <w:rFonts w:ascii="Arial" w:hAnsi="Arial" w:cs="Arial"/>
          <w:sz w:val="24"/>
          <w:szCs w:val="24"/>
        </w:rPr>
        <w:t>C</w:t>
      </w:r>
      <w:r w:rsidRPr="007B25CE">
        <w:rPr>
          <w:rFonts w:ascii="Arial" w:hAnsi="Arial" w:cs="Arial"/>
          <w:sz w:val="24"/>
          <w:szCs w:val="24"/>
        </w:rPr>
        <w:t>ouncil and to require that only that registered architects can perform the kind of work reserved for architects under</w:t>
      </w:r>
      <w:r w:rsidR="00EF3640" w:rsidRPr="007B25CE">
        <w:rPr>
          <w:rFonts w:ascii="Arial" w:hAnsi="Arial" w:cs="Arial"/>
          <w:sz w:val="24"/>
          <w:szCs w:val="24"/>
        </w:rPr>
        <w:t xml:space="preserve"> s 7(3)(b) of</w:t>
      </w:r>
      <w:r w:rsidRPr="007B25CE">
        <w:rPr>
          <w:rFonts w:ascii="Arial" w:hAnsi="Arial" w:cs="Arial"/>
          <w:sz w:val="24"/>
          <w:szCs w:val="24"/>
        </w:rPr>
        <w:t xml:space="preserve"> the Act. The further purpose of the Act is to vest the Council with disciplinary powers in respect of specified infractions comprising improper conduct. </w:t>
      </w:r>
    </w:p>
    <w:p w:rsidR="00EF3640" w:rsidRDefault="00EF3640" w:rsidP="00EF3640">
      <w:pPr>
        <w:pStyle w:val="NoSpacing"/>
        <w:spacing w:line="480" w:lineRule="auto"/>
        <w:jc w:val="both"/>
        <w:rPr>
          <w:rFonts w:ascii="Arial" w:hAnsi="Arial" w:cs="Arial"/>
          <w:sz w:val="24"/>
          <w:szCs w:val="24"/>
        </w:rPr>
      </w:pPr>
    </w:p>
    <w:p w:rsidR="003E211F" w:rsidRDefault="003939C2" w:rsidP="00EF364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is the overall context </w:t>
      </w:r>
      <w:r w:rsidR="003E211F">
        <w:rPr>
          <w:rFonts w:ascii="Arial" w:hAnsi="Arial" w:cs="Arial"/>
          <w:sz w:val="24"/>
          <w:szCs w:val="24"/>
        </w:rPr>
        <w:t xml:space="preserve">in considering the meaning to be given to the prohibition contained in </w:t>
      </w:r>
      <w:r>
        <w:rPr>
          <w:rFonts w:ascii="Arial" w:hAnsi="Arial" w:cs="Arial"/>
          <w:sz w:val="24"/>
          <w:szCs w:val="24"/>
        </w:rPr>
        <w:t>s 13(1</w:t>
      </w:r>
      <w:proofErr w:type="gramStart"/>
      <w:r>
        <w:rPr>
          <w:rFonts w:ascii="Arial" w:hAnsi="Arial" w:cs="Arial"/>
          <w:sz w:val="24"/>
          <w:szCs w:val="24"/>
        </w:rPr>
        <w:t>)(</w:t>
      </w:r>
      <w:proofErr w:type="gramEnd"/>
      <w:r>
        <w:rPr>
          <w:rFonts w:ascii="Arial" w:hAnsi="Arial" w:cs="Arial"/>
          <w:sz w:val="24"/>
          <w:szCs w:val="24"/>
        </w:rPr>
        <w:t xml:space="preserve">b). </w:t>
      </w:r>
    </w:p>
    <w:p w:rsidR="003E211F" w:rsidRDefault="003E211F" w:rsidP="003E211F">
      <w:pPr>
        <w:pStyle w:val="ListParagraph"/>
        <w:rPr>
          <w:rFonts w:ascii="Arial" w:hAnsi="Arial" w:cs="Arial"/>
          <w:sz w:val="24"/>
          <w:szCs w:val="24"/>
        </w:rPr>
      </w:pPr>
    </w:p>
    <w:p w:rsidR="003939C2" w:rsidRPr="00EF3640" w:rsidRDefault="003939C2" w:rsidP="00EF3640">
      <w:pPr>
        <w:pStyle w:val="NoSpacing"/>
        <w:numPr>
          <w:ilvl w:val="0"/>
          <w:numId w:val="4"/>
        </w:numPr>
        <w:spacing w:line="480" w:lineRule="auto"/>
        <w:ind w:left="0" w:firstLine="0"/>
        <w:jc w:val="both"/>
        <w:rPr>
          <w:rFonts w:ascii="Arial" w:hAnsi="Arial" w:cs="Arial"/>
          <w:sz w:val="24"/>
          <w:szCs w:val="24"/>
        </w:rPr>
      </w:pPr>
      <w:r w:rsidRPr="00EF3640">
        <w:rPr>
          <w:rFonts w:ascii="Arial" w:hAnsi="Arial" w:cs="Arial"/>
          <w:sz w:val="24"/>
          <w:szCs w:val="24"/>
        </w:rPr>
        <w:t xml:space="preserve">The legislature intended </w:t>
      </w:r>
      <w:r w:rsidR="003E211F">
        <w:rPr>
          <w:rFonts w:ascii="Arial" w:hAnsi="Arial" w:cs="Arial"/>
          <w:sz w:val="24"/>
          <w:szCs w:val="24"/>
        </w:rPr>
        <w:t>s 13(1</w:t>
      </w:r>
      <w:proofErr w:type="gramStart"/>
      <w:r w:rsidR="003E211F">
        <w:rPr>
          <w:rFonts w:ascii="Arial" w:hAnsi="Arial" w:cs="Arial"/>
          <w:sz w:val="24"/>
          <w:szCs w:val="24"/>
        </w:rPr>
        <w:t>)(</w:t>
      </w:r>
      <w:proofErr w:type="gramEnd"/>
      <w:r w:rsidR="003E211F">
        <w:rPr>
          <w:rFonts w:ascii="Arial" w:hAnsi="Arial" w:cs="Arial"/>
          <w:sz w:val="24"/>
          <w:szCs w:val="24"/>
        </w:rPr>
        <w:t>b)</w:t>
      </w:r>
      <w:r w:rsidRPr="00EF3640">
        <w:rPr>
          <w:rFonts w:ascii="Arial" w:hAnsi="Arial" w:cs="Arial"/>
          <w:sz w:val="24"/>
          <w:szCs w:val="24"/>
        </w:rPr>
        <w:t xml:space="preserve"> to come into operation at least a year later than the Act.</w:t>
      </w:r>
      <w:r w:rsidR="003E211F">
        <w:rPr>
          <w:rFonts w:ascii="Arial" w:hAnsi="Arial" w:cs="Arial"/>
          <w:sz w:val="24"/>
          <w:szCs w:val="24"/>
        </w:rPr>
        <w:t xml:space="preserve"> This was no doubt to provide sufficient </w:t>
      </w:r>
      <w:r w:rsidR="007B25CE">
        <w:rPr>
          <w:rFonts w:ascii="Arial" w:hAnsi="Arial" w:cs="Arial"/>
          <w:sz w:val="24"/>
          <w:szCs w:val="24"/>
        </w:rPr>
        <w:t>time for the promulgation of regulations</w:t>
      </w:r>
      <w:r w:rsidR="00727215">
        <w:rPr>
          <w:rFonts w:ascii="Arial" w:hAnsi="Arial" w:cs="Arial"/>
          <w:sz w:val="24"/>
          <w:szCs w:val="24"/>
        </w:rPr>
        <w:t>, including rules contemplated by s 14</w:t>
      </w:r>
      <w:r w:rsidR="003C1292">
        <w:rPr>
          <w:rFonts w:ascii="Arial" w:hAnsi="Arial" w:cs="Arial"/>
          <w:sz w:val="24"/>
          <w:szCs w:val="24"/>
        </w:rPr>
        <w:t>,</w:t>
      </w:r>
      <w:r w:rsidR="007B25CE">
        <w:rPr>
          <w:rFonts w:ascii="Arial" w:hAnsi="Arial" w:cs="Arial"/>
          <w:sz w:val="24"/>
          <w:szCs w:val="24"/>
        </w:rPr>
        <w:t xml:space="preserve"> which were not promulgated simultaneously </w:t>
      </w:r>
      <w:r w:rsidR="00A846A8">
        <w:rPr>
          <w:rFonts w:ascii="Arial" w:hAnsi="Arial" w:cs="Arial"/>
          <w:sz w:val="24"/>
          <w:szCs w:val="24"/>
        </w:rPr>
        <w:t>when the Act was put</w:t>
      </w:r>
      <w:r w:rsidR="007B25CE">
        <w:rPr>
          <w:rFonts w:ascii="Arial" w:hAnsi="Arial" w:cs="Arial"/>
          <w:sz w:val="24"/>
          <w:szCs w:val="24"/>
        </w:rPr>
        <w:t xml:space="preserve"> into operation.</w:t>
      </w:r>
      <w:r w:rsidR="003E211F">
        <w:rPr>
          <w:rFonts w:ascii="Arial" w:hAnsi="Arial" w:cs="Arial"/>
          <w:sz w:val="24"/>
          <w:szCs w:val="24"/>
        </w:rPr>
        <w:t xml:space="preserve"> </w:t>
      </w:r>
      <w:r w:rsidRPr="00EF3640">
        <w:rPr>
          <w:rFonts w:ascii="Arial" w:hAnsi="Arial" w:cs="Arial"/>
          <w:sz w:val="24"/>
          <w:szCs w:val="24"/>
        </w:rPr>
        <w:t xml:space="preserve"> In the ensuing period</w:t>
      </w:r>
      <w:r w:rsidR="00A846A8">
        <w:rPr>
          <w:rFonts w:ascii="Arial" w:hAnsi="Arial" w:cs="Arial"/>
          <w:sz w:val="24"/>
          <w:szCs w:val="24"/>
        </w:rPr>
        <w:t>,</w:t>
      </w:r>
      <w:r w:rsidRPr="00EF3640">
        <w:rPr>
          <w:rFonts w:ascii="Arial" w:hAnsi="Arial" w:cs="Arial"/>
          <w:sz w:val="24"/>
          <w:szCs w:val="24"/>
        </w:rPr>
        <w:t xml:space="preserve"> regulations were promulgated under the Act on 12 August 1981 which came into force on that date.</w:t>
      </w:r>
      <w:r>
        <w:rPr>
          <w:rStyle w:val="FootnoteReference"/>
          <w:rFonts w:ascii="Arial" w:hAnsi="Arial" w:cs="Arial"/>
          <w:sz w:val="24"/>
          <w:szCs w:val="24"/>
        </w:rPr>
        <w:footnoteReference w:id="14"/>
      </w:r>
      <w:r w:rsidRPr="00EF3640">
        <w:rPr>
          <w:rFonts w:ascii="Arial" w:hAnsi="Arial" w:cs="Arial"/>
          <w:sz w:val="24"/>
          <w:szCs w:val="24"/>
        </w:rPr>
        <w:t xml:space="preserve"> They included a code of conduct for architects and </w:t>
      </w:r>
      <w:r w:rsidRPr="00EF3640">
        <w:rPr>
          <w:rFonts w:ascii="Arial" w:hAnsi="Arial" w:cs="Arial"/>
          <w:sz w:val="24"/>
          <w:szCs w:val="24"/>
        </w:rPr>
        <w:lastRenderedPageBreak/>
        <w:t xml:space="preserve">procedures for </w:t>
      </w:r>
      <w:r w:rsidR="00186CAE">
        <w:rPr>
          <w:rFonts w:ascii="Arial" w:hAnsi="Arial" w:cs="Arial"/>
          <w:sz w:val="24"/>
          <w:szCs w:val="24"/>
        </w:rPr>
        <w:t xml:space="preserve">the purpose of </w:t>
      </w:r>
      <w:r w:rsidR="005F4FF3">
        <w:rPr>
          <w:rFonts w:ascii="Arial" w:hAnsi="Arial" w:cs="Arial"/>
          <w:sz w:val="24"/>
          <w:szCs w:val="24"/>
        </w:rPr>
        <w:t xml:space="preserve">disciplinary </w:t>
      </w:r>
      <w:r w:rsidRPr="00EF3640">
        <w:rPr>
          <w:rFonts w:ascii="Arial" w:hAnsi="Arial" w:cs="Arial"/>
          <w:sz w:val="24"/>
          <w:szCs w:val="24"/>
        </w:rPr>
        <w:t>enquiries into the conduct of architect</w:t>
      </w:r>
      <w:r w:rsidR="005F4FF3">
        <w:rPr>
          <w:rFonts w:ascii="Arial" w:hAnsi="Arial" w:cs="Arial"/>
          <w:sz w:val="24"/>
          <w:szCs w:val="24"/>
        </w:rPr>
        <w:t>s</w:t>
      </w:r>
      <w:r w:rsidRPr="00EF3640">
        <w:rPr>
          <w:rFonts w:ascii="Arial" w:hAnsi="Arial" w:cs="Arial"/>
          <w:sz w:val="24"/>
          <w:szCs w:val="24"/>
        </w:rPr>
        <w:t xml:space="preserve"> and punishments which could </w:t>
      </w:r>
      <w:r w:rsidR="00186CAE">
        <w:rPr>
          <w:rFonts w:ascii="Arial" w:hAnsi="Arial" w:cs="Arial"/>
          <w:sz w:val="24"/>
          <w:szCs w:val="24"/>
        </w:rPr>
        <w:t>be imposed for improper conduct, as contemplated by the Act.</w:t>
      </w:r>
    </w:p>
    <w:p w:rsidR="003939C2" w:rsidRDefault="003939C2" w:rsidP="003939C2">
      <w:pPr>
        <w:pStyle w:val="ListParagraph"/>
        <w:rPr>
          <w:rFonts w:ascii="Arial" w:hAnsi="Arial" w:cs="Arial"/>
          <w:sz w:val="24"/>
          <w:szCs w:val="24"/>
        </w:rPr>
      </w:pPr>
    </w:p>
    <w:p w:rsidR="003939C2" w:rsidRDefault="003939C2"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rule was included in regulation 4(1)(kk) in the code of professional conduct applicable to architects:</w:t>
      </w:r>
    </w:p>
    <w:p w:rsidR="003939C2" w:rsidRDefault="003939C2" w:rsidP="003939C2">
      <w:pPr>
        <w:pStyle w:val="ListParagraph"/>
        <w:rPr>
          <w:rFonts w:ascii="Arial" w:hAnsi="Arial" w:cs="Arial"/>
          <w:sz w:val="24"/>
          <w:szCs w:val="24"/>
        </w:rPr>
      </w:pPr>
    </w:p>
    <w:p w:rsidR="007B25CE" w:rsidRDefault="00EA4404" w:rsidP="00901187">
      <w:pPr>
        <w:pStyle w:val="NoSpacing"/>
        <w:spacing w:line="360" w:lineRule="auto"/>
        <w:ind w:left="1440" w:hanging="720"/>
        <w:jc w:val="both"/>
        <w:rPr>
          <w:rFonts w:ascii="Arial" w:hAnsi="Arial" w:cs="Arial"/>
        </w:rPr>
      </w:pPr>
      <w:r w:rsidRPr="00901187">
        <w:rPr>
          <w:rFonts w:ascii="Arial" w:hAnsi="Arial" w:cs="Arial"/>
        </w:rPr>
        <w:t>'</w:t>
      </w:r>
      <w:r w:rsidR="005F4FF3">
        <w:rPr>
          <w:rFonts w:ascii="Arial" w:hAnsi="Arial" w:cs="Arial"/>
        </w:rPr>
        <w:t>4</w:t>
      </w:r>
      <w:proofErr w:type="gramStart"/>
      <w:r w:rsidR="005F4FF3">
        <w:rPr>
          <w:rFonts w:ascii="Arial" w:hAnsi="Arial" w:cs="Arial"/>
        </w:rPr>
        <w:t>.(</w:t>
      </w:r>
      <w:proofErr w:type="gramEnd"/>
      <w:r w:rsidR="005F4FF3">
        <w:rPr>
          <w:rFonts w:ascii="Arial" w:hAnsi="Arial" w:cs="Arial"/>
        </w:rPr>
        <w:t>1)</w:t>
      </w:r>
      <w:r w:rsidR="005F4FF3">
        <w:rPr>
          <w:rFonts w:ascii="Arial" w:hAnsi="Arial" w:cs="Arial"/>
        </w:rPr>
        <w:tab/>
        <w:t>An architect or, where applicable, an architect</w:t>
      </w:r>
      <w:r w:rsidR="007B25CE">
        <w:rPr>
          <w:rFonts w:ascii="Arial" w:hAnsi="Arial" w:cs="Arial"/>
        </w:rPr>
        <w:t>-in-</w:t>
      </w:r>
      <w:r w:rsidR="005F4FF3">
        <w:rPr>
          <w:rFonts w:ascii="Arial" w:hAnsi="Arial" w:cs="Arial"/>
        </w:rPr>
        <w:t xml:space="preserve">training shall, in carrying </w:t>
      </w:r>
      <w:r w:rsidR="007B25CE">
        <w:rPr>
          <w:rFonts w:ascii="Arial" w:hAnsi="Arial" w:cs="Arial"/>
        </w:rPr>
        <w:t>out</w:t>
      </w:r>
      <w:r w:rsidR="005F4FF3">
        <w:rPr>
          <w:rFonts w:ascii="Arial" w:hAnsi="Arial" w:cs="Arial"/>
        </w:rPr>
        <w:t xml:space="preserve"> his profession, comply with the following rules</w:t>
      </w:r>
      <w:r w:rsidR="007B25CE">
        <w:rPr>
          <w:rFonts w:ascii="Arial" w:hAnsi="Arial" w:cs="Arial"/>
        </w:rPr>
        <w:t>:</w:t>
      </w:r>
    </w:p>
    <w:p w:rsidR="005F4FF3" w:rsidRDefault="007B25CE" w:rsidP="007B25CE">
      <w:pPr>
        <w:pStyle w:val="NoSpacing"/>
        <w:spacing w:line="360" w:lineRule="auto"/>
        <w:ind w:left="1440"/>
        <w:jc w:val="both"/>
        <w:rPr>
          <w:rFonts w:ascii="Arial" w:hAnsi="Arial" w:cs="Arial"/>
        </w:rPr>
      </w:pPr>
      <w:r>
        <w:rPr>
          <w:rFonts w:ascii="Arial" w:hAnsi="Arial" w:cs="Arial"/>
        </w:rPr>
        <w:t xml:space="preserve">. </w:t>
      </w:r>
      <w:r w:rsidR="005F4FF3">
        <w:rPr>
          <w:rFonts w:ascii="Arial" w:hAnsi="Arial" w:cs="Arial"/>
        </w:rPr>
        <w:t xml:space="preserve">. . . </w:t>
      </w:r>
    </w:p>
    <w:p w:rsidR="005F4FF3" w:rsidRDefault="005F4FF3" w:rsidP="00901187">
      <w:pPr>
        <w:pStyle w:val="NoSpacing"/>
        <w:spacing w:line="360" w:lineRule="auto"/>
        <w:ind w:left="1440" w:hanging="720"/>
        <w:jc w:val="both"/>
        <w:rPr>
          <w:rFonts w:ascii="Arial" w:hAnsi="Arial" w:cs="Arial"/>
        </w:rPr>
      </w:pPr>
    </w:p>
    <w:p w:rsidR="00EA4404" w:rsidRPr="00901187" w:rsidRDefault="00EA4404" w:rsidP="00901187">
      <w:pPr>
        <w:pStyle w:val="NoSpacing"/>
        <w:spacing w:line="360" w:lineRule="auto"/>
        <w:ind w:left="1440" w:hanging="720"/>
        <w:jc w:val="both"/>
        <w:rPr>
          <w:rFonts w:ascii="Arial" w:hAnsi="Arial" w:cs="Arial"/>
        </w:rPr>
      </w:pPr>
      <w:r w:rsidRPr="00901187">
        <w:rPr>
          <w:rFonts w:ascii="Arial" w:hAnsi="Arial" w:cs="Arial"/>
        </w:rPr>
        <w:t>(kk)</w:t>
      </w:r>
      <w:r w:rsidRPr="00901187">
        <w:rPr>
          <w:rFonts w:ascii="Arial" w:hAnsi="Arial" w:cs="Arial"/>
        </w:rPr>
        <w:tab/>
        <w:t>he shall not engage or act in private practice as an architect under the style of a company or through the medium of a company or practice in association with a company purporting to do work which has been prescribed under section 7(3)(b) of the Act, unless –</w:t>
      </w:r>
    </w:p>
    <w:p w:rsidR="00EA4404" w:rsidRPr="00901187" w:rsidRDefault="00EA4404" w:rsidP="00901187">
      <w:pPr>
        <w:pStyle w:val="NoSpacing"/>
        <w:spacing w:line="360" w:lineRule="auto"/>
        <w:ind w:left="1440" w:hanging="720"/>
        <w:jc w:val="both"/>
        <w:rPr>
          <w:rFonts w:ascii="Arial" w:hAnsi="Arial" w:cs="Arial"/>
        </w:rPr>
      </w:pPr>
    </w:p>
    <w:p w:rsidR="00EA4404" w:rsidRPr="00901187" w:rsidRDefault="00EA4404" w:rsidP="00901187">
      <w:pPr>
        <w:pStyle w:val="NoSpacing"/>
        <w:numPr>
          <w:ilvl w:val="0"/>
          <w:numId w:val="12"/>
        </w:numPr>
        <w:spacing w:line="360" w:lineRule="auto"/>
        <w:jc w:val="both"/>
        <w:rPr>
          <w:rFonts w:ascii="Arial" w:hAnsi="Arial" w:cs="Arial"/>
        </w:rPr>
      </w:pPr>
      <w:r w:rsidRPr="00901187">
        <w:rPr>
          <w:rFonts w:ascii="Arial" w:hAnsi="Arial" w:cs="Arial"/>
          <w:spacing w:val="2"/>
        </w:rPr>
        <w:t>the company is a private company limited by shares and incorporated under</w:t>
      </w:r>
      <w:r w:rsidR="00901187" w:rsidRPr="00901187">
        <w:rPr>
          <w:rFonts w:ascii="Arial" w:hAnsi="Arial" w:cs="Arial"/>
          <w:spacing w:val="2"/>
        </w:rPr>
        <w:t xml:space="preserve"> </w:t>
      </w:r>
      <w:r w:rsidRPr="00901187">
        <w:rPr>
          <w:rFonts w:ascii="Arial" w:hAnsi="Arial" w:cs="Arial"/>
        </w:rPr>
        <w:t xml:space="preserve">the Companies Act, 1973, the memorandum of association of which shall contain </w:t>
      </w:r>
      <w:r w:rsidR="00901187" w:rsidRPr="00901187">
        <w:rPr>
          <w:rFonts w:ascii="Arial" w:hAnsi="Arial" w:cs="Arial"/>
        </w:rPr>
        <w:t>–</w:t>
      </w:r>
    </w:p>
    <w:p w:rsidR="00901187" w:rsidRPr="00901187" w:rsidRDefault="00901187" w:rsidP="00901187">
      <w:pPr>
        <w:pStyle w:val="NoSpacing"/>
        <w:spacing w:line="360" w:lineRule="auto"/>
        <w:ind w:left="2160"/>
        <w:jc w:val="both"/>
        <w:rPr>
          <w:rFonts w:ascii="Arial" w:hAnsi="Arial" w:cs="Arial"/>
          <w:spacing w:val="2"/>
        </w:rPr>
      </w:pPr>
    </w:p>
    <w:p w:rsidR="00EA4404" w:rsidRPr="00901187" w:rsidRDefault="00901187" w:rsidP="00901187">
      <w:pPr>
        <w:pStyle w:val="NoSpacing"/>
        <w:spacing w:line="360" w:lineRule="auto"/>
        <w:ind w:left="2880" w:hanging="720"/>
        <w:jc w:val="both"/>
        <w:rPr>
          <w:rFonts w:ascii="Arial" w:hAnsi="Arial" w:cs="Arial"/>
        </w:rPr>
      </w:pPr>
      <w:r w:rsidRPr="00901187">
        <w:rPr>
          <w:rFonts w:ascii="Arial" w:hAnsi="Arial" w:cs="Arial"/>
        </w:rPr>
        <w:t>(aa)</w:t>
      </w:r>
      <w:r w:rsidRPr="00901187">
        <w:rPr>
          <w:rFonts w:ascii="Arial" w:hAnsi="Arial" w:cs="Arial"/>
        </w:rPr>
        <w:tab/>
      </w:r>
      <w:r w:rsidR="00EA4404" w:rsidRPr="00901187">
        <w:rPr>
          <w:rFonts w:ascii="Arial" w:hAnsi="Arial" w:cs="Arial"/>
        </w:rPr>
        <w:t>a provision to the effect that the directors and former directors of the company shall be liable, jointly and severally, together with the company, for such debts and liabilities of the company as are, or were, contracted during their periods of office;</w:t>
      </w:r>
    </w:p>
    <w:p w:rsidR="00901187" w:rsidRPr="00901187" w:rsidRDefault="00901187" w:rsidP="00901187">
      <w:pPr>
        <w:pStyle w:val="NoSpacing"/>
        <w:spacing w:line="360" w:lineRule="auto"/>
        <w:ind w:left="2880" w:hanging="720"/>
        <w:jc w:val="both"/>
        <w:rPr>
          <w:rFonts w:ascii="Arial" w:hAnsi="Arial" w:cs="Arial"/>
        </w:rPr>
      </w:pPr>
    </w:p>
    <w:p w:rsidR="00EA4404" w:rsidRPr="00901187" w:rsidRDefault="00901187" w:rsidP="00901187">
      <w:pPr>
        <w:pStyle w:val="NoSpacing"/>
        <w:spacing w:line="360" w:lineRule="auto"/>
        <w:ind w:left="2880" w:hanging="720"/>
        <w:jc w:val="both"/>
        <w:rPr>
          <w:rFonts w:ascii="Arial" w:hAnsi="Arial" w:cs="Arial"/>
        </w:rPr>
      </w:pPr>
      <w:r w:rsidRPr="00901187">
        <w:rPr>
          <w:rFonts w:ascii="Arial" w:hAnsi="Arial" w:cs="Arial"/>
        </w:rPr>
        <w:t>(bb)</w:t>
      </w:r>
      <w:r w:rsidRPr="00901187">
        <w:rPr>
          <w:rFonts w:ascii="Arial" w:hAnsi="Arial" w:cs="Arial"/>
        </w:rPr>
        <w:tab/>
      </w:r>
      <w:r w:rsidR="00EA4404" w:rsidRPr="00901187">
        <w:rPr>
          <w:rFonts w:ascii="Arial" w:hAnsi="Arial" w:cs="Arial"/>
        </w:rPr>
        <w:t>subject to paragraph (dd) the name of the company with the word "incorporated" as the last part of its name;</w:t>
      </w:r>
    </w:p>
    <w:p w:rsidR="00901187" w:rsidRPr="00901187" w:rsidRDefault="00901187" w:rsidP="00901187">
      <w:pPr>
        <w:pStyle w:val="NoSpacing"/>
        <w:spacing w:line="360" w:lineRule="auto"/>
        <w:ind w:left="2880" w:hanging="720"/>
        <w:jc w:val="both"/>
        <w:rPr>
          <w:rFonts w:ascii="Arial" w:hAnsi="Arial" w:cs="Arial"/>
        </w:rPr>
      </w:pPr>
    </w:p>
    <w:p w:rsidR="00EA4404" w:rsidRPr="00901187" w:rsidRDefault="00901187" w:rsidP="00901187">
      <w:pPr>
        <w:pStyle w:val="NoSpacing"/>
        <w:spacing w:line="360" w:lineRule="auto"/>
        <w:ind w:left="2880" w:hanging="720"/>
        <w:jc w:val="both"/>
        <w:rPr>
          <w:rFonts w:ascii="Arial" w:hAnsi="Arial" w:cs="Arial"/>
          <w:spacing w:val="4"/>
        </w:rPr>
      </w:pPr>
      <w:r w:rsidRPr="00901187">
        <w:rPr>
          <w:rFonts w:ascii="Arial" w:hAnsi="Arial" w:cs="Arial"/>
          <w:spacing w:val="4"/>
        </w:rPr>
        <w:t>(cc)</w:t>
      </w:r>
      <w:r w:rsidRPr="00901187">
        <w:rPr>
          <w:rFonts w:ascii="Arial" w:hAnsi="Arial" w:cs="Arial"/>
          <w:spacing w:val="4"/>
        </w:rPr>
        <w:tab/>
      </w:r>
      <w:r w:rsidR="00EA4404" w:rsidRPr="00901187">
        <w:rPr>
          <w:rFonts w:ascii="Arial" w:hAnsi="Arial" w:cs="Arial"/>
          <w:spacing w:val="4"/>
        </w:rPr>
        <w:t>a provision to the effect that the company is established for the purpose of carrying out the work of an architect or any work incidental thereto and such work on</w:t>
      </w:r>
      <w:r w:rsidRPr="00901187">
        <w:rPr>
          <w:rFonts w:ascii="Arial" w:hAnsi="Arial" w:cs="Arial"/>
          <w:spacing w:val="4"/>
        </w:rPr>
        <w:t xml:space="preserve">ly: Provided that the </w:t>
      </w:r>
      <w:r w:rsidR="00EA4404" w:rsidRPr="00901187">
        <w:rPr>
          <w:rFonts w:ascii="Arial" w:hAnsi="Arial" w:cs="Arial"/>
          <w:spacing w:val="4"/>
        </w:rPr>
        <w:t>-</w:t>
      </w:r>
    </w:p>
    <w:p w:rsidR="00901187" w:rsidRPr="00901187" w:rsidRDefault="00901187" w:rsidP="00901187">
      <w:pPr>
        <w:pStyle w:val="NoSpacing"/>
        <w:spacing w:line="360" w:lineRule="auto"/>
        <w:jc w:val="both"/>
        <w:rPr>
          <w:rFonts w:ascii="Arial" w:hAnsi="Arial" w:cs="Arial"/>
        </w:rPr>
      </w:pPr>
    </w:p>
    <w:p w:rsidR="00901187" w:rsidRPr="00901187" w:rsidRDefault="00EA4404" w:rsidP="00901187">
      <w:pPr>
        <w:pStyle w:val="NoSpacing"/>
        <w:numPr>
          <w:ilvl w:val="0"/>
          <w:numId w:val="13"/>
        </w:numPr>
        <w:spacing w:line="360" w:lineRule="auto"/>
        <w:jc w:val="both"/>
        <w:rPr>
          <w:rFonts w:ascii="Arial" w:hAnsi="Arial" w:cs="Arial"/>
        </w:rPr>
      </w:pPr>
      <w:r w:rsidRPr="00901187">
        <w:rPr>
          <w:rFonts w:ascii="Arial" w:hAnsi="Arial" w:cs="Arial"/>
        </w:rPr>
        <w:lastRenderedPageBreak/>
        <w:t>the work aforesaid may include the work of a quantity surveyor and any oth</w:t>
      </w:r>
      <w:r w:rsidR="00901187" w:rsidRPr="00901187">
        <w:rPr>
          <w:rFonts w:ascii="Arial" w:hAnsi="Arial" w:cs="Arial"/>
        </w:rPr>
        <w:t>er work approved by the council;</w:t>
      </w:r>
    </w:p>
    <w:p w:rsidR="00901187" w:rsidRPr="00901187" w:rsidRDefault="00901187" w:rsidP="00901187">
      <w:pPr>
        <w:pStyle w:val="NoSpacing"/>
        <w:spacing w:line="360" w:lineRule="auto"/>
        <w:ind w:left="3600"/>
        <w:jc w:val="both"/>
        <w:rPr>
          <w:rFonts w:ascii="Arial" w:hAnsi="Arial" w:cs="Arial"/>
        </w:rPr>
      </w:pPr>
    </w:p>
    <w:p w:rsidR="00EA4404" w:rsidRPr="00901187" w:rsidRDefault="00EA4404" w:rsidP="00901187">
      <w:pPr>
        <w:pStyle w:val="NoSpacing"/>
        <w:numPr>
          <w:ilvl w:val="0"/>
          <w:numId w:val="13"/>
        </w:numPr>
        <w:spacing w:line="360" w:lineRule="auto"/>
        <w:jc w:val="both"/>
        <w:rPr>
          <w:rFonts w:ascii="Arial" w:hAnsi="Arial" w:cs="Arial"/>
        </w:rPr>
      </w:pPr>
      <w:r w:rsidRPr="00901187">
        <w:rPr>
          <w:rFonts w:ascii="Arial" w:hAnsi="Arial" w:cs="Arial"/>
        </w:rPr>
        <w:t>the company shall not carry out the work of an architect unless at least one of its members is an architect;</w:t>
      </w:r>
    </w:p>
    <w:p w:rsidR="00901187" w:rsidRPr="00901187" w:rsidRDefault="00901187" w:rsidP="00901187">
      <w:pPr>
        <w:pStyle w:val="NoSpacing"/>
        <w:spacing w:line="360" w:lineRule="auto"/>
        <w:jc w:val="both"/>
        <w:rPr>
          <w:rFonts w:ascii="Arial" w:hAnsi="Arial" w:cs="Arial"/>
        </w:rPr>
      </w:pPr>
    </w:p>
    <w:p w:rsidR="00EA4404" w:rsidRPr="00901187" w:rsidRDefault="00901187" w:rsidP="00901187">
      <w:pPr>
        <w:pStyle w:val="NoSpacing"/>
        <w:spacing w:line="360" w:lineRule="auto"/>
        <w:ind w:left="2160" w:hanging="720"/>
        <w:jc w:val="both"/>
        <w:rPr>
          <w:rFonts w:ascii="Arial" w:hAnsi="Arial" w:cs="Arial"/>
          <w:spacing w:val="3"/>
        </w:rPr>
      </w:pPr>
      <w:r w:rsidRPr="00901187">
        <w:rPr>
          <w:rFonts w:ascii="Arial" w:hAnsi="Arial" w:cs="Arial"/>
          <w:spacing w:val="3"/>
        </w:rPr>
        <w:t>(ii)</w:t>
      </w:r>
      <w:r w:rsidRPr="00901187">
        <w:rPr>
          <w:rFonts w:ascii="Arial" w:hAnsi="Arial" w:cs="Arial"/>
          <w:spacing w:val="3"/>
        </w:rPr>
        <w:tab/>
      </w:r>
      <w:proofErr w:type="gramStart"/>
      <w:r w:rsidR="00EA4404" w:rsidRPr="00901187">
        <w:rPr>
          <w:rFonts w:ascii="Arial" w:hAnsi="Arial" w:cs="Arial"/>
          <w:spacing w:val="3"/>
        </w:rPr>
        <w:t>the</w:t>
      </w:r>
      <w:proofErr w:type="gramEnd"/>
      <w:r w:rsidR="00EA4404" w:rsidRPr="00901187">
        <w:rPr>
          <w:rFonts w:ascii="Arial" w:hAnsi="Arial" w:cs="Arial"/>
          <w:spacing w:val="3"/>
        </w:rPr>
        <w:t xml:space="preserve"> articles of the company shall contain provisions to the effect that -</w:t>
      </w:r>
    </w:p>
    <w:p w:rsidR="00901187" w:rsidRPr="00901187" w:rsidRDefault="00901187" w:rsidP="00901187">
      <w:pPr>
        <w:pStyle w:val="NoSpacing"/>
        <w:spacing w:line="360" w:lineRule="auto"/>
        <w:ind w:left="720" w:firstLine="720"/>
        <w:jc w:val="both"/>
        <w:rPr>
          <w:rFonts w:ascii="Arial" w:hAnsi="Arial" w:cs="Arial"/>
          <w:spacing w:val="3"/>
        </w:rPr>
      </w:pPr>
    </w:p>
    <w:p w:rsidR="00EA4404" w:rsidRDefault="00901187" w:rsidP="00901187">
      <w:pPr>
        <w:pStyle w:val="NoSpacing"/>
        <w:spacing w:line="360" w:lineRule="auto"/>
        <w:ind w:left="2880" w:hanging="720"/>
        <w:jc w:val="both"/>
        <w:rPr>
          <w:rFonts w:ascii="Arial" w:hAnsi="Arial" w:cs="Arial"/>
        </w:rPr>
      </w:pPr>
      <w:r w:rsidRPr="00901187">
        <w:rPr>
          <w:rFonts w:ascii="Arial" w:hAnsi="Arial" w:cs="Arial"/>
          <w:spacing w:val="7"/>
        </w:rPr>
        <w:t>(</w:t>
      </w:r>
      <w:proofErr w:type="gramStart"/>
      <w:r w:rsidRPr="00901187">
        <w:rPr>
          <w:rFonts w:ascii="Arial" w:hAnsi="Arial" w:cs="Arial"/>
          <w:spacing w:val="7"/>
        </w:rPr>
        <w:t>aa</w:t>
      </w:r>
      <w:proofErr w:type="gramEnd"/>
      <w:r w:rsidRPr="00901187">
        <w:rPr>
          <w:rFonts w:ascii="Arial" w:hAnsi="Arial" w:cs="Arial"/>
          <w:spacing w:val="7"/>
        </w:rPr>
        <w:t>)</w:t>
      </w:r>
      <w:r w:rsidRPr="00901187">
        <w:rPr>
          <w:rFonts w:ascii="Arial" w:hAnsi="Arial" w:cs="Arial"/>
          <w:spacing w:val="7"/>
        </w:rPr>
        <w:tab/>
      </w:r>
      <w:r w:rsidR="00EA4404" w:rsidRPr="00901187">
        <w:rPr>
          <w:rFonts w:ascii="Arial" w:hAnsi="Arial" w:cs="Arial"/>
          <w:spacing w:val="7"/>
        </w:rPr>
        <w:t>the members of the company shall be natural persons only who are</w:t>
      </w:r>
      <w:r w:rsidRPr="00901187">
        <w:rPr>
          <w:rFonts w:ascii="Arial" w:hAnsi="Arial" w:cs="Arial"/>
          <w:spacing w:val="7"/>
        </w:rPr>
        <w:t xml:space="preserve"> </w:t>
      </w:r>
      <w:r w:rsidR="00EA4404" w:rsidRPr="00901187">
        <w:rPr>
          <w:rFonts w:ascii="Arial" w:hAnsi="Arial" w:cs="Arial"/>
        </w:rPr>
        <w:t xml:space="preserve">architects registered under the Act: Provided that </w:t>
      </w:r>
      <w:r>
        <w:rPr>
          <w:rFonts w:ascii="Arial" w:hAnsi="Arial" w:cs="Arial"/>
        </w:rPr>
        <w:t>–</w:t>
      </w:r>
    </w:p>
    <w:p w:rsidR="00901187" w:rsidRPr="00901187" w:rsidRDefault="00901187" w:rsidP="00901187">
      <w:pPr>
        <w:pStyle w:val="NoSpacing"/>
        <w:spacing w:line="360" w:lineRule="auto"/>
        <w:ind w:left="2880" w:hanging="720"/>
        <w:jc w:val="both"/>
        <w:rPr>
          <w:rFonts w:ascii="Arial" w:hAnsi="Arial" w:cs="Arial"/>
          <w:spacing w:val="7"/>
        </w:rPr>
      </w:pPr>
    </w:p>
    <w:p w:rsidR="008E11C8" w:rsidRDefault="00EA4404" w:rsidP="008E11C8">
      <w:pPr>
        <w:pStyle w:val="NoSpacing"/>
        <w:numPr>
          <w:ilvl w:val="0"/>
          <w:numId w:val="14"/>
        </w:numPr>
        <w:spacing w:line="360" w:lineRule="auto"/>
        <w:jc w:val="both"/>
        <w:rPr>
          <w:rFonts w:ascii="Arial" w:hAnsi="Arial" w:cs="Arial"/>
        </w:rPr>
      </w:pPr>
      <w:r w:rsidRPr="00901187">
        <w:rPr>
          <w:rFonts w:ascii="Arial" w:hAnsi="Arial" w:cs="Arial"/>
          <w:spacing w:val="1"/>
        </w:rPr>
        <w:t>the members may include quantity surveyors registered under</w:t>
      </w:r>
      <w:r w:rsidR="00901187" w:rsidRPr="00901187">
        <w:rPr>
          <w:rFonts w:ascii="Arial" w:hAnsi="Arial" w:cs="Arial"/>
          <w:spacing w:val="1"/>
        </w:rPr>
        <w:t xml:space="preserve"> </w:t>
      </w:r>
      <w:r w:rsidRPr="00901187">
        <w:rPr>
          <w:rFonts w:ascii="Arial" w:hAnsi="Arial" w:cs="Arial"/>
        </w:rPr>
        <w:t>the Act and any other person approved by the council; and</w:t>
      </w:r>
    </w:p>
    <w:p w:rsidR="008E11C8" w:rsidRPr="008E11C8" w:rsidRDefault="008E11C8" w:rsidP="008E11C8">
      <w:pPr>
        <w:pStyle w:val="NoSpacing"/>
        <w:numPr>
          <w:ilvl w:val="0"/>
          <w:numId w:val="14"/>
        </w:numPr>
        <w:spacing w:line="360" w:lineRule="auto"/>
        <w:jc w:val="both"/>
        <w:rPr>
          <w:rFonts w:ascii="Arial" w:hAnsi="Arial" w:cs="Arial"/>
        </w:rPr>
      </w:pPr>
      <w:r w:rsidRPr="008E11C8">
        <w:rPr>
          <w:rFonts w:ascii="Arial" w:hAnsi="Arial" w:cs="Arial"/>
        </w:rPr>
        <w:t>in the event of the death of a member or in the event of his ceasing to be qualified as a member for any reason, any shares in the company held by such member prior thereto may continue to be held by him or his estate for such period as the council may determine but the voting rights attached to such shares shall, during such period, be exercised by a member of the company nominated in writing by the deceased or disqualified member prior to his death or disqualification or, failing such nomination, by the chairman for the time being of the company, who shall be deemed to have been so nominated;</w:t>
      </w:r>
    </w:p>
    <w:p w:rsidR="008E11C8" w:rsidRPr="008E11C8" w:rsidRDefault="008E11C8" w:rsidP="008E11C8">
      <w:pPr>
        <w:pStyle w:val="NoSpacing"/>
        <w:spacing w:line="360" w:lineRule="auto"/>
        <w:ind w:left="720" w:hanging="720"/>
        <w:jc w:val="both"/>
        <w:rPr>
          <w:rFonts w:ascii="Arial" w:hAnsi="Arial" w:cs="Arial"/>
        </w:rPr>
      </w:pPr>
    </w:p>
    <w:p w:rsidR="008E11C8" w:rsidRPr="008E11C8" w:rsidRDefault="008E11C8" w:rsidP="008E11C8">
      <w:pPr>
        <w:pStyle w:val="NoSpacing"/>
        <w:spacing w:line="360" w:lineRule="auto"/>
        <w:ind w:left="2880" w:hanging="720"/>
        <w:jc w:val="both"/>
        <w:rPr>
          <w:rFonts w:ascii="Arial" w:hAnsi="Arial" w:cs="Arial"/>
        </w:rPr>
      </w:pPr>
      <w:r w:rsidRPr="008E11C8">
        <w:rPr>
          <w:rFonts w:ascii="Arial" w:hAnsi="Arial" w:cs="Arial"/>
          <w:spacing w:val="6"/>
        </w:rPr>
        <w:t>(</w:t>
      </w:r>
      <w:proofErr w:type="gramStart"/>
      <w:r w:rsidRPr="008E11C8">
        <w:rPr>
          <w:rFonts w:ascii="Arial" w:hAnsi="Arial" w:cs="Arial"/>
          <w:spacing w:val="6"/>
        </w:rPr>
        <w:t>bb</w:t>
      </w:r>
      <w:proofErr w:type="gramEnd"/>
      <w:r w:rsidRPr="008E11C8">
        <w:rPr>
          <w:rFonts w:ascii="Arial" w:hAnsi="Arial" w:cs="Arial"/>
          <w:spacing w:val="6"/>
        </w:rPr>
        <w:t>)</w:t>
      </w:r>
      <w:r w:rsidRPr="008E11C8">
        <w:rPr>
          <w:rFonts w:ascii="Arial" w:hAnsi="Arial" w:cs="Arial"/>
          <w:spacing w:val="6"/>
        </w:rPr>
        <w:tab/>
        <w:t xml:space="preserve">every director of the company shall be a member thereof and every </w:t>
      </w:r>
      <w:r w:rsidRPr="008E11C8">
        <w:rPr>
          <w:rFonts w:ascii="Arial" w:hAnsi="Arial" w:cs="Arial"/>
        </w:rPr>
        <w:t>member, whether a director or not, shall be the beneficial owner of the</w:t>
      </w:r>
      <w:r w:rsidRPr="008E11C8">
        <w:rPr>
          <w:rFonts w:ascii="Arial" w:hAnsi="Arial" w:cs="Arial"/>
          <w:spacing w:val="6"/>
        </w:rPr>
        <w:t xml:space="preserve"> </w:t>
      </w:r>
      <w:r w:rsidRPr="008E11C8">
        <w:rPr>
          <w:rFonts w:ascii="Arial" w:hAnsi="Arial" w:cs="Arial"/>
        </w:rPr>
        <w:t>shares registered in his name;</w:t>
      </w:r>
    </w:p>
    <w:p w:rsidR="008E11C8" w:rsidRPr="008E11C8" w:rsidRDefault="008E11C8" w:rsidP="008E11C8">
      <w:pPr>
        <w:pStyle w:val="NoSpacing"/>
        <w:spacing w:line="360" w:lineRule="auto"/>
        <w:ind w:left="1440" w:hanging="720"/>
        <w:jc w:val="both"/>
        <w:rPr>
          <w:rFonts w:ascii="Arial" w:hAnsi="Arial" w:cs="Arial"/>
        </w:rPr>
      </w:pPr>
    </w:p>
    <w:p w:rsidR="00EA4404" w:rsidRPr="008E11C8" w:rsidRDefault="008E11C8" w:rsidP="008E11C8">
      <w:pPr>
        <w:pStyle w:val="NoSpacing"/>
        <w:spacing w:line="360" w:lineRule="auto"/>
        <w:ind w:left="2880" w:hanging="720"/>
        <w:jc w:val="both"/>
        <w:rPr>
          <w:rFonts w:ascii="Arial" w:hAnsi="Arial" w:cs="Arial"/>
          <w:spacing w:val="6"/>
        </w:rPr>
      </w:pPr>
      <w:r w:rsidRPr="008E11C8">
        <w:rPr>
          <w:rFonts w:ascii="Arial" w:hAnsi="Arial" w:cs="Arial"/>
        </w:rPr>
        <w:t>(cc)</w:t>
      </w:r>
      <w:r w:rsidRPr="008E11C8">
        <w:rPr>
          <w:rFonts w:ascii="Arial" w:hAnsi="Arial" w:cs="Arial"/>
        </w:rPr>
        <w:tab/>
        <w:t xml:space="preserve">in the event of the death of a member or in the case of his ceasing to be qualified as a member for any reason, the </w:t>
      </w:r>
      <w:r w:rsidRPr="008E11C8">
        <w:rPr>
          <w:rFonts w:ascii="Arial" w:hAnsi="Arial" w:cs="Arial"/>
        </w:rPr>
        <w:lastRenderedPageBreak/>
        <w:t>remaining directors shall take steps to ensure that the provisions of subparagraph (ii)(aa) are complied with within the period determined by the council.</w:t>
      </w:r>
      <w:r w:rsidR="00901187">
        <w:rPr>
          <w:rFonts w:ascii="Arial" w:hAnsi="Arial" w:cs="Arial"/>
        </w:rPr>
        <w:t>’</w:t>
      </w:r>
    </w:p>
    <w:p w:rsidR="003939C2" w:rsidRDefault="003939C2" w:rsidP="003939C2">
      <w:pPr>
        <w:pStyle w:val="ListParagraph"/>
        <w:rPr>
          <w:rFonts w:ascii="Arial" w:hAnsi="Arial" w:cs="Arial"/>
          <w:sz w:val="24"/>
          <w:szCs w:val="24"/>
        </w:rPr>
      </w:pPr>
    </w:p>
    <w:p w:rsidR="003939C2" w:rsidRDefault="007F1D0F"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question to be determined is whether the Act prohibits an agreement by a non-natural person to provide architectural services and furthermore intends that such an agreement is void and unenforceable. The High Court in </w:t>
      </w:r>
      <w:r w:rsidRPr="007F1D0F">
        <w:rPr>
          <w:rFonts w:ascii="Arial" w:hAnsi="Arial" w:cs="Arial"/>
          <w:i/>
          <w:sz w:val="24"/>
          <w:szCs w:val="24"/>
        </w:rPr>
        <w:t>Nkandi</w:t>
      </w:r>
      <w:r>
        <w:rPr>
          <w:rFonts w:ascii="Arial" w:hAnsi="Arial" w:cs="Arial"/>
          <w:sz w:val="24"/>
          <w:szCs w:val="24"/>
        </w:rPr>
        <w:t xml:space="preserve"> found that such an </w:t>
      </w:r>
      <w:r w:rsidR="003C1292">
        <w:rPr>
          <w:rFonts w:ascii="Arial" w:hAnsi="Arial" w:cs="Arial"/>
          <w:sz w:val="24"/>
          <w:szCs w:val="24"/>
        </w:rPr>
        <w:t>agreement</w:t>
      </w:r>
      <w:r>
        <w:rPr>
          <w:rFonts w:ascii="Arial" w:hAnsi="Arial" w:cs="Arial"/>
          <w:sz w:val="24"/>
          <w:szCs w:val="24"/>
        </w:rPr>
        <w:t xml:space="preserve"> is prohibited and further found it to be void and unenforceable. </w:t>
      </w:r>
      <w:r w:rsidR="007C44F8">
        <w:rPr>
          <w:rFonts w:ascii="Arial" w:hAnsi="Arial" w:cs="Arial"/>
          <w:sz w:val="24"/>
          <w:szCs w:val="24"/>
        </w:rPr>
        <w:t xml:space="preserve">The court </w:t>
      </w:r>
      <w:r w:rsidR="007C44F8">
        <w:rPr>
          <w:rFonts w:ascii="Arial" w:hAnsi="Arial" w:cs="Arial"/>
          <w:i/>
          <w:sz w:val="24"/>
          <w:szCs w:val="24"/>
        </w:rPr>
        <w:t>a quo</w:t>
      </w:r>
      <w:r w:rsidR="007C44F8">
        <w:rPr>
          <w:rFonts w:ascii="Arial" w:hAnsi="Arial" w:cs="Arial"/>
          <w:sz w:val="24"/>
          <w:szCs w:val="24"/>
        </w:rPr>
        <w:t xml:space="preserve"> followed and applied </w:t>
      </w:r>
      <w:r w:rsidR="007B25CE">
        <w:rPr>
          <w:rFonts w:ascii="Arial" w:hAnsi="Arial" w:cs="Arial"/>
          <w:i/>
          <w:sz w:val="24"/>
          <w:szCs w:val="24"/>
        </w:rPr>
        <w:t xml:space="preserve">Nkandi </w:t>
      </w:r>
      <w:r w:rsidR="007B25CE">
        <w:rPr>
          <w:rFonts w:ascii="Arial" w:hAnsi="Arial" w:cs="Arial"/>
          <w:sz w:val="24"/>
          <w:szCs w:val="24"/>
        </w:rPr>
        <w:t>in upholding the exception to the appellant’s particulars of claim.</w:t>
      </w:r>
    </w:p>
    <w:p w:rsidR="003939C2" w:rsidRDefault="003939C2" w:rsidP="003939C2">
      <w:pPr>
        <w:pStyle w:val="ListParagraph"/>
        <w:rPr>
          <w:rFonts w:ascii="Arial" w:hAnsi="Arial" w:cs="Arial"/>
          <w:sz w:val="24"/>
          <w:szCs w:val="24"/>
        </w:rPr>
      </w:pPr>
    </w:p>
    <w:p w:rsidR="003939C2" w:rsidRDefault="007C44F8"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w:t>
      </w:r>
      <w:r w:rsidR="00186CAE">
        <w:rPr>
          <w:rFonts w:ascii="Arial" w:hAnsi="Arial" w:cs="Arial"/>
          <w:sz w:val="24"/>
          <w:szCs w:val="24"/>
        </w:rPr>
        <w:t xml:space="preserve">f an agreement to that effect is </w:t>
      </w:r>
      <w:r w:rsidR="00A846A8">
        <w:rPr>
          <w:rFonts w:ascii="Arial" w:hAnsi="Arial" w:cs="Arial"/>
          <w:sz w:val="24"/>
          <w:szCs w:val="24"/>
        </w:rPr>
        <w:t xml:space="preserve">itself </w:t>
      </w:r>
      <w:r w:rsidR="00186CAE">
        <w:rPr>
          <w:rFonts w:ascii="Arial" w:hAnsi="Arial" w:cs="Arial"/>
          <w:sz w:val="24"/>
          <w:szCs w:val="24"/>
        </w:rPr>
        <w:t>expressly prohibited</w:t>
      </w:r>
      <w:r>
        <w:rPr>
          <w:rFonts w:ascii="Arial" w:hAnsi="Arial" w:cs="Arial"/>
          <w:sz w:val="24"/>
          <w:szCs w:val="24"/>
        </w:rPr>
        <w:t xml:space="preserve">, </w:t>
      </w:r>
      <w:r w:rsidR="00581363">
        <w:rPr>
          <w:rFonts w:ascii="Arial" w:hAnsi="Arial" w:cs="Arial"/>
          <w:sz w:val="24"/>
          <w:szCs w:val="24"/>
        </w:rPr>
        <w:t>it would invariably follow that they are unenforceable</w:t>
      </w:r>
      <w:r>
        <w:rPr>
          <w:rFonts w:ascii="Arial" w:hAnsi="Arial" w:cs="Arial"/>
          <w:sz w:val="24"/>
          <w:szCs w:val="24"/>
        </w:rPr>
        <w:t xml:space="preserve">. This court in </w:t>
      </w:r>
      <w:r>
        <w:rPr>
          <w:rFonts w:ascii="Arial" w:hAnsi="Arial" w:cs="Arial"/>
          <w:i/>
          <w:sz w:val="24"/>
          <w:szCs w:val="24"/>
        </w:rPr>
        <w:t>Ferrari v Ruch</w:t>
      </w:r>
      <w:r>
        <w:rPr>
          <w:rStyle w:val="FootnoteReference"/>
          <w:rFonts w:ascii="Arial" w:hAnsi="Arial" w:cs="Arial"/>
          <w:i/>
          <w:sz w:val="24"/>
          <w:szCs w:val="24"/>
        </w:rPr>
        <w:footnoteReference w:id="15"/>
      </w:r>
      <w:r>
        <w:rPr>
          <w:rFonts w:ascii="Arial" w:hAnsi="Arial" w:cs="Arial"/>
          <w:i/>
          <w:sz w:val="24"/>
          <w:szCs w:val="24"/>
        </w:rPr>
        <w:t xml:space="preserve"> </w:t>
      </w:r>
      <w:r>
        <w:rPr>
          <w:rFonts w:ascii="Arial" w:hAnsi="Arial" w:cs="Arial"/>
          <w:sz w:val="24"/>
          <w:szCs w:val="24"/>
        </w:rPr>
        <w:t xml:space="preserve">made it clear that </w:t>
      </w:r>
      <w:r w:rsidRPr="00581363">
        <w:rPr>
          <w:rFonts w:ascii="Arial" w:hAnsi="Arial" w:cs="Arial"/>
          <w:sz w:val="24"/>
          <w:szCs w:val="24"/>
          <w:u w:val="single"/>
        </w:rPr>
        <w:t>agreements prohibited by law</w:t>
      </w:r>
      <w:r>
        <w:rPr>
          <w:rFonts w:ascii="Arial" w:hAnsi="Arial" w:cs="Arial"/>
          <w:sz w:val="24"/>
          <w:szCs w:val="24"/>
        </w:rPr>
        <w:t xml:space="preserve"> are unenforceabl</w:t>
      </w:r>
      <w:r w:rsidR="00186CAE">
        <w:rPr>
          <w:rFonts w:ascii="Arial" w:hAnsi="Arial" w:cs="Arial"/>
          <w:sz w:val="24"/>
          <w:szCs w:val="24"/>
        </w:rPr>
        <w:t>e</w:t>
      </w:r>
      <w:r>
        <w:rPr>
          <w:rFonts w:ascii="Arial" w:hAnsi="Arial" w:cs="Arial"/>
          <w:sz w:val="24"/>
          <w:szCs w:val="24"/>
        </w:rPr>
        <w:t xml:space="preserve"> by virtue of the operation of the </w:t>
      </w:r>
      <w:r w:rsidRPr="007C44F8">
        <w:rPr>
          <w:rFonts w:ascii="Arial" w:hAnsi="Arial" w:cs="Arial"/>
          <w:i/>
          <w:sz w:val="24"/>
          <w:szCs w:val="24"/>
        </w:rPr>
        <w:t xml:space="preserve">maxim </w:t>
      </w:r>
      <w:r w:rsidR="003C1292">
        <w:rPr>
          <w:rFonts w:ascii="Arial" w:hAnsi="Arial" w:cs="Arial"/>
          <w:i/>
          <w:sz w:val="24"/>
          <w:szCs w:val="24"/>
        </w:rPr>
        <w:t>ex turpi causa non oritur actio</w:t>
      </w:r>
      <w:r>
        <w:rPr>
          <w:rFonts w:ascii="Arial" w:hAnsi="Arial" w:cs="Arial"/>
          <w:sz w:val="24"/>
          <w:szCs w:val="24"/>
        </w:rPr>
        <w:t>.</w:t>
      </w:r>
      <w:r>
        <w:rPr>
          <w:rStyle w:val="FootnoteReference"/>
          <w:rFonts w:ascii="Arial" w:hAnsi="Arial" w:cs="Arial"/>
          <w:sz w:val="24"/>
          <w:szCs w:val="24"/>
        </w:rPr>
        <w:footnoteReference w:id="16"/>
      </w:r>
      <w:r>
        <w:rPr>
          <w:rFonts w:ascii="Arial" w:hAnsi="Arial" w:cs="Arial"/>
          <w:sz w:val="24"/>
          <w:szCs w:val="24"/>
        </w:rPr>
        <w:t xml:space="preserve"> The court in </w:t>
      </w:r>
      <w:r>
        <w:rPr>
          <w:rFonts w:ascii="Arial" w:hAnsi="Arial" w:cs="Arial"/>
          <w:i/>
          <w:sz w:val="24"/>
          <w:szCs w:val="24"/>
        </w:rPr>
        <w:t>Ferrari</w:t>
      </w:r>
      <w:r>
        <w:rPr>
          <w:rFonts w:ascii="Arial" w:hAnsi="Arial" w:cs="Arial"/>
          <w:sz w:val="24"/>
          <w:szCs w:val="24"/>
        </w:rPr>
        <w:t xml:space="preserve"> confirmed the common law position that this </w:t>
      </w:r>
      <w:r w:rsidRPr="00023BBE">
        <w:rPr>
          <w:rFonts w:ascii="Arial" w:hAnsi="Arial" w:cs="Arial"/>
          <w:sz w:val="24"/>
          <w:szCs w:val="24"/>
        </w:rPr>
        <w:t>maxim</w:t>
      </w:r>
      <w:r>
        <w:rPr>
          <w:rFonts w:ascii="Arial" w:hAnsi="Arial" w:cs="Arial"/>
          <w:sz w:val="24"/>
          <w:szCs w:val="24"/>
        </w:rPr>
        <w:t xml:space="preserve"> </w:t>
      </w:r>
      <w:r w:rsidR="00A846A8">
        <w:rPr>
          <w:rFonts w:ascii="Arial" w:hAnsi="Arial" w:cs="Arial"/>
          <w:sz w:val="24"/>
          <w:szCs w:val="24"/>
        </w:rPr>
        <w:t xml:space="preserve">would not </w:t>
      </w:r>
      <w:r>
        <w:rPr>
          <w:rFonts w:ascii="Arial" w:hAnsi="Arial" w:cs="Arial"/>
          <w:sz w:val="24"/>
          <w:szCs w:val="24"/>
        </w:rPr>
        <w:t xml:space="preserve">admit of exceptions as opposed to </w:t>
      </w:r>
      <w:r w:rsidR="00023BBE">
        <w:rPr>
          <w:rFonts w:ascii="Arial" w:hAnsi="Arial" w:cs="Arial"/>
          <w:sz w:val="24"/>
          <w:szCs w:val="24"/>
        </w:rPr>
        <w:t xml:space="preserve">the maxim </w:t>
      </w:r>
      <w:r w:rsidR="00023BBE" w:rsidRPr="00716071">
        <w:rPr>
          <w:rFonts w:ascii="Arial" w:hAnsi="Arial" w:cs="Arial"/>
          <w:i/>
          <w:sz w:val="24"/>
          <w:szCs w:val="24"/>
        </w:rPr>
        <w:t>in</w:t>
      </w:r>
      <w:r w:rsidR="00023BBE">
        <w:rPr>
          <w:rFonts w:ascii="Arial" w:hAnsi="Arial" w:cs="Arial"/>
          <w:sz w:val="24"/>
          <w:szCs w:val="24"/>
        </w:rPr>
        <w:t xml:space="preserve"> </w:t>
      </w:r>
      <w:r w:rsidR="00023BBE" w:rsidRPr="00023BBE">
        <w:rPr>
          <w:rFonts w:ascii="Arial" w:hAnsi="Arial" w:cs="Arial"/>
          <w:i/>
          <w:sz w:val="24"/>
          <w:szCs w:val="24"/>
        </w:rPr>
        <w:t>pari delicto</w:t>
      </w:r>
      <w:r w:rsidR="00716071">
        <w:rPr>
          <w:rFonts w:ascii="Arial" w:hAnsi="Arial" w:cs="Arial"/>
          <w:i/>
          <w:sz w:val="24"/>
          <w:szCs w:val="24"/>
        </w:rPr>
        <w:t xml:space="preserve"> potior </w:t>
      </w:r>
      <w:proofErr w:type="gramStart"/>
      <w:r w:rsidR="00716071">
        <w:rPr>
          <w:rFonts w:ascii="Arial" w:hAnsi="Arial" w:cs="Arial"/>
          <w:i/>
          <w:sz w:val="24"/>
          <w:szCs w:val="24"/>
        </w:rPr>
        <w:t>est</w:t>
      </w:r>
      <w:proofErr w:type="gramEnd"/>
      <w:r w:rsidR="00716071">
        <w:rPr>
          <w:rFonts w:ascii="Arial" w:hAnsi="Arial" w:cs="Arial"/>
          <w:i/>
          <w:sz w:val="24"/>
          <w:szCs w:val="24"/>
        </w:rPr>
        <w:t xml:space="preserve"> conditio</w:t>
      </w:r>
      <w:r w:rsidR="00023BBE" w:rsidRPr="00023BBE">
        <w:rPr>
          <w:rFonts w:ascii="Arial" w:hAnsi="Arial" w:cs="Arial"/>
          <w:i/>
          <w:sz w:val="24"/>
          <w:szCs w:val="24"/>
        </w:rPr>
        <w:t xml:space="preserve"> defendentis</w:t>
      </w:r>
      <w:r w:rsidR="00023BBE" w:rsidRPr="00023BBE">
        <w:rPr>
          <w:rFonts w:ascii="Arial" w:hAnsi="Arial" w:cs="Arial"/>
          <w:sz w:val="24"/>
          <w:szCs w:val="24"/>
        </w:rPr>
        <w:t xml:space="preserve"> which </w:t>
      </w:r>
      <w:r w:rsidR="00023BBE">
        <w:rPr>
          <w:rFonts w:ascii="Arial" w:hAnsi="Arial" w:cs="Arial"/>
          <w:sz w:val="24"/>
          <w:szCs w:val="24"/>
        </w:rPr>
        <w:t>restricts the rights of offending parties to avoid the consequences of their performance or part performance of such prohibited contracts. The latter maxim admits of exceptions to prevent manifest injustice and inequity,</w:t>
      </w:r>
      <w:r w:rsidR="00023BBE">
        <w:rPr>
          <w:rStyle w:val="FootnoteReference"/>
          <w:rFonts w:ascii="Arial" w:hAnsi="Arial" w:cs="Arial"/>
          <w:sz w:val="24"/>
          <w:szCs w:val="24"/>
        </w:rPr>
        <w:footnoteReference w:id="17"/>
      </w:r>
      <w:r w:rsidR="00023BBE">
        <w:rPr>
          <w:rFonts w:ascii="Arial" w:hAnsi="Arial" w:cs="Arial"/>
          <w:sz w:val="24"/>
          <w:szCs w:val="24"/>
        </w:rPr>
        <w:t xml:space="preserve"> often referred to as the relaxation of the </w:t>
      </w:r>
      <w:r w:rsidR="00023BBE" w:rsidRPr="00023BBE">
        <w:rPr>
          <w:rFonts w:ascii="Arial" w:hAnsi="Arial" w:cs="Arial"/>
          <w:sz w:val="24"/>
          <w:szCs w:val="24"/>
        </w:rPr>
        <w:t xml:space="preserve">par </w:t>
      </w:r>
      <w:r w:rsidR="00023BBE" w:rsidRPr="003C1292">
        <w:rPr>
          <w:rFonts w:ascii="Arial" w:hAnsi="Arial" w:cs="Arial"/>
          <w:i/>
          <w:sz w:val="24"/>
          <w:szCs w:val="24"/>
        </w:rPr>
        <w:t>delictum</w:t>
      </w:r>
      <w:r w:rsidR="00023BBE">
        <w:rPr>
          <w:rFonts w:ascii="Arial" w:hAnsi="Arial" w:cs="Arial"/>
          <w:sz w:val="24"/>
          <w:szCs w:val="24"/>
        </w:rPr>
        <w:t xml:space="preserve"> rule. As was stressed in </w:t>
      </w:r>
      <w:r w:rsidR="00023BBE" w:rsidRPr="00023BBE">
        <w:rPr>
          <w:rFonts w:ascii="Arial" w:hAnsi="Arial" w:cs="Arial"/>
          <w:i/>
          <w:sz w:val="24"/>
          <w:szCs w:val="24"/>
        </w:rPr>
        <w:t>Ferrari</w:t>
      </w:r>
      <w:r w:rsidR="00186CAE">
        <w:rPr>
          <w:rFonts w:ascii="Arial" w:hAnsi="Arial" w:cs="Arial"/>
          <w:i/>
          <w:sz w:val="24"/>
          <w:szCs w:val="24"/>
        </w:rPr>
        <w:t>,</w:t>
      </w:r>
      <w:r w:rsidR="00023BBE">
        <w:rPr>
          <w:rFonts w:ascii="Arial" w:hAnsi="Arial" w:cs="Arial"/>
          <w:sz w:val="24"/>
          <w:szCs w:val="24"/>
        </w:rPr>
        <w:t xml:space="preserve"> the object of this </w:t>
      </w:r>
      <w:r w:rsidR="00023BBE" w:rsidRPr="007B25CE">
        <w:rPr>
          <w:rFonts w:ascii="Arial" w:hAnsi="Arial" w:cs="Arial"/>
          <w:i/>
          <w:sz w:val="24"/>
          <w:szCs w:val="24"/>
        </w:rPr>
        <w:t>par delictum</w:t>
      </w:r>
      <w:r w:rsidR="00023BBE">
        <w:rPr>
          <w:rFonts w:ascii="Arial" w:hAnsi="Arial" w:cs="Arial"/>
          <w:sz w:val="24"/>
          <w:szCs w:val="24"/>
        </w:rPr>
        <w:t xml:space="preserve"> maxim is ‘to discourage illegal or immoral conduct, by refusing the help of the courts to delinquents who part with their money or chattels in </w:t>
      </w:r>
      <w:r w:rsidR="00023BBE">
        <w:rPr>
          <w:rFonts w:ascii="Arial" w:hAnsi="Arial" w:cs="Arial"/>
          <w:sz w:val="24"/>
          <w:szCs w:val="24"/>
        </w:rPr>
        <w:lastRenderedPageBreak/>
        <w:t>furtherance of prohibited agreements, but if it was never capable of relaxation, it might perpetuate immorality and cause gross injustice in some cases. . . .’</w:t>
      </w:r>
      <w:r w:rsidR="00023BBE">
        <w:rPr>
          <w:rStyle w:val="FootnoteReference"/>
          <w:rFonts w:ascii="Arial" w:hAnsi="Arial" w:cs="Arial"/>
          <w:sz w:val="24"/>
          <w:szCs w:val="24"/>
        </w:rPr>
        <w:footnoteReference w:id="18"/>
      </w:r>
    </w:p>
    <w:p w:rsidR="00023BBE" w:rsidRDefault="00023BBE" w:rsidP="00023BBE">
      <w:pPr>
        <w:pStyle w:val="ListParagraph"/>
        <w:rPr>
          <w:rFonts w:ascii="Arial" w:hAnsi="Arial" w:cs="Arial"/>
          <w:sz w:val="24"/>
          <w:szCs w:val="24"/>
        </w:rPr>
      </w:pPr>
    </w:p>
    <w:p w:rsidR="00023BBE" w:rsidRDefault="00023BBE"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Section 13 does not </w:t>
      </w:r>
      <w:r w:rsidR="00A846A8">
        <w:rPr>
          <w:rFonts w:ascii="Arial" w:hAnsi="Arial" w:cs="Arial"/>
          <w:sz w:val="24"/>
          <w:szCs w:val="24"/>
        </w:rPr>
        <w:t xml:space="preserve">however </w:t>
      </w:r>
      <w:r>
        <w:rPr>
          <w:rFonts w:ascii="Arial" w:hAnsi="Arial" w:cs="Arial"/>
          <w:sz w:val="24"/>
          <w:szCs w:val="24"/>
        </w:rPr>
        <w:t xml:space="preserve">expressly visit an agreement made by a legal person other than a natural person to perform architectural work with invalidity. </w:t>
      </w:r>
      <w:r w:rsidR="008E11F9">
        <w:rPr>
          <w:rFonts w:ascii="Arial" w:hAnsi="Arial" w:cs="Arial"/>
          <w:sz w:val="24"/>
          <w:szCs w:val="24"/>
        </w:rPr>
        <w:t>In order to</w:t>
      </w:r>
      <w:r w:rsidR="00A846A8">
        <w:rPr>
          <w:rFonts w:ascii="Arial" w:hAnsi="Arial" w:cs="Arial"/>
          <w:sz w:val="24"/>
          <w:szCs w:val="24"/>
        </w:rPr>
        <w:t xml:space="preserve"> determine the consequence of contravening the prohibition upon an agreement, t</w:t>
      </w:r>
      <w:r w:rsidR="008E11F9">
        <w:rPr>
          <w:rFonts w:ascii="Arial" w:hAnsi="Arial" w:cs="Arial"/>
          <w:sz w:val="24"/>
          <w:szCs w:val="24"/>
        </w:rPr>
        <w:t>he wording of the prohibition contained in s 13(1</w:t>
      </w:r>
      <w:proofErr w:type="gramStart"/>
      <w:r w:rsidR="008E11F9">
        <w:rPr>
          <w:rFonts w:ascii="Arial" w:hAnsi="Arial" w:cs="Arial"/>
          <w:sz w:val="24"/>
          <w:szCs w:val="24"/>
        </w:rPr>
        <w:t>)(</w:t>
      </w:r>
      <w:proofErr w:type="gramEnd"/>
      <w:r w:rsidR="008E11F9">
        <w:rPr>
          <w:rFonts w:ascii="Arial" w:hAnsi="Arial" w:cs="Arial"/>
          <w:sz w:val="24"/>
          <w:szCs w:val="24"/>
        </w:rPr>
        <w:t xml:space="preserve">b) would need to be considered within its </w:t>
      </w:r>
      <w:r w:rsidR="007B25CE">
        <w:rPr>
          <w:rFonts w:ascii="Arial" w:hAnsi="Arial" w:cs="Arial"/>
          <w:sz w:val="24"/>
          <w:szCs w:val="24"/>
        </w:rPr>
        <w:t xml:space="preserve">statutory </w:t>
      </w:r>
      <w:r w:rsidR="008E11F9">
        <w:rPr>
          <w:rFonts w:ascii="Arial" w:hAnsi="Arial" w:cs="Arial"/>
          <w:sz w:val="24"/>
          <w:szCs w:val="24"/>
        </w:rPr>
        <w:t xml:space="preserve">context in order to determine </w:t>
      </w:r>
      <w:r w:rsidR="00A846A8">
        <w:rPr>
          <w:rFonts w:ascii="Arial" w:hAnsi="Arial" w:cs="Arial"/>
          <w:sz w:val="24"/>
          <w:szCs w:val="24"/>
        </w:rPr>
        <w:t xml:space="preserve">whether invalidity </w:t>
      </w:r>
      <w:r w:rsidR="00042E40">
        <w:rPr>
          <w:rFonts w:ascii="Arial" w:hAnsi="Arial" w:cs="Arial"/>
          <w:sz w:val="24"/>
          <w:szCs w:val="24"/>
        </w:rPr>
        <w:t>of the agreement is</w:t>
      </w:r>
      <w:r w:rsidR="008E11F9">
        <w:rPr>
          <w:rFonts w:ascii="Arial" w:hAnsi="Arial" w:cs="Arial"/>
          <w:sz w:val="24"/>
          <w:szCs w:val="24"/>
        </w:rPr>
        <w:t xml:space="preserve"> the intention of the legislature.</w:t>
      </w:r>
    </w:p>
    <w:p w:rsidR="008E11F9" w:rsidRDefault="008E11F9" w:rsidP="00186CAE">
      <w:pPr>
        <w:rPr>
          <w:rFonts w:ascii="Arial" w:hAnsi="Arial" w:cs="Arial"/>
          <w:sz w:val="24"/>
          <w:szCs w:val="24"/>
        </w:rPr>
      </w:pPr>
    </w:p>
    <w:p w:rsidR="00186CAE" w:rsidRPr="00186CAE" w:rsidRDefault="00186CAE" w:rsidP="00186CAE">
      <w:pPr>
        <w:rPr>
          <w:rFonts w:ascii="Arial" w:hAnsi="Arial" w:cs="Arial"/>
          <w:i/>
          <w:sz w:val="24"/>
          <w:szCs w:val="24"/>
          <w:u w:val="single"/>
        </w:rPr>
      </w:pPr>
      <w:r>
        <w:rPr>
          <w:rFonts w:ascii="Arial" w:hAnsi="Arial" w:cs="Arial"/>
          <w:sz w:val="24"/>
          <w:szCs w:val="24"/>
          <w:u w:val="single"/>
        </w:rPr>
        <w:t xml:space="preserve">The approach of the court in </w:t>
      </w:r>
      <w:r>
        <w:rPr>
          <w:rFonts w:ascii="Arial" w:hAnsi="Arial" w:cs="Arial"/>
          <w:i/>
          <w:sz w:val="24"/>
          <w:szCs w:val="24"/>
          <w:u w:val="single"/>
        </w:rPr>
        <w:t>Nkandi</w:t>
      </w:r>
    </w:p>
    <w:p w:rsidR="008E11F9" w:rsidRDefault="008E11F9"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in </w:t>
      </w:r>
      <w:r>
        <w:rPr>
          <w:rFonts w:ascii="Arial" w:hAnsi="Arial" w:cs="Arial"/>
          <w:i/>
          <w:sz w:val="24"/>
          <w:szCs w:val="24"/>
        </w:rPr>
        <w:t>Nkandi</w:t>
      </w:r>
      <w:r>
        <w:rPr>
          <w:rFonts w:ascii="Arial" w:hAnsi="Arial" w:cs="Arial"/>
          <w:sz w:val="24"/>
          <w:szCs w:val="24"/>
        </w:rPr>
        <w:t xml:space="preserve"> concluded that to give effect to a contract of the kind in question would be ‘seeking to facilitate or encourage the very act or conduct that parliament, in its wisdom, saw fit to pr</w:t>
      </w:r>
      <w:r w:rsidR="007B25CE">
        <w:rPr>
          <w:rFonts w:ascii="Arial" w:hAnsi="Arial" w:cs="Arial"/>
          <w:sz w:val="24"/>
          <w:szCs w:val="24"/>
        </w:rPr>
        <w:t>o</w:t>
      </w:r>
      <w:r>
        <w:rPr>
          <w:rFonts w:ascii="Arial" w:hAnsi="Arial" w:cs="Arial"/>
          <w:sz w:val="24"/>
          <w:szCs w:val="24"/>
        </w:rPr>
        <w:t>scribe and render a criminal offence’.</w:t>
      </w:r>
      <w:r>
        <w:rPr>
          <w:rStyle w:val="FootnoteReference"/>
          <w:rFonts w:ascii="Arial" w:hAnsi="Arial" w:cs="Arial"/>
          <w:sz w:val="24"/>
          <w:szCs w:val="24"/>
        </w:rPr>
        <w:footnoteReference w:id="19"/>
      </w:r>
      <w:r>
        <w:rPr>
          <w:rFonts w:ascii="Arial" w:hAnsi="Arial" w:cs="Arial"/>
          <w:sz w:val="24"/>
          <w:szCs w:val="24"/>
        </w:rPr>
        <w:t xml:space="preserve"> It was contended in that matter that no criminal offence had occurred as the work had been performed by a registered architect. This contention received short shrift from that court:</w:t>
      </w:r>
    </w:p>
    <w:p w:rsidR="008E11F9" w:rsidRPr="008E11F9" w:rsidRDefault="008E11F9" w:rsidP="008E11F9">
      <w:pPr>
        <w:pStyle w:val="ListParagraph"/>
        <w:spacing w:line="360" w:lineRule="auto"/>
        <w:rPr>
          <w:rFonts w:ascii="Arial" w:hAnsi="Arial" w:cs="Arial"/>
        </w:rPr>
      </w:pPr>
    </w:p>
    <w:p w:rsidR="008E11F9" w:rsidRPr="008E11F9" w:rsidRDefault="008E11F9" w:rsidP="008E11F9">
      <w:pPr>
        <w:pStyle w:val="NoSpacing"/>
        <w:spacing w:line="360" w:lineRule="auto"/>
        <w:ind w:left="720"/>
        <w:jc w:val="both"/>
        <w:rPr>
          <w:rFonts w:ascii="Arial" w:hAnsi="Arial" w:cs="Arial"/>
        </w:rPr>
      </w:pPr>
      <w:r w:rsidRPr="008E11F9">
        <w:rPr>
          <w:rFonts w:ascii="Arial" w:hAnsi="Arial" w:cs="Arial"/>
        </w:rPr>
        <w:t>‘I am of the considered view that this argument should not hold for the reason that the Act is clear that any person other than a natural person who carries out architectural or quantity surveying work, unless properly exempted in terms of the Act, commits an offence.’</w:t>
      </w:r>
      <w:r w:rsidR="00186CAE">
        <w:rPr>
          <w:rStyle w:val="FootnoteReference"/>
          <w:rFonts w:ascii="Arial" w:hAnsi="Arial" w:cs="Arial"/>
        </w:rPr>
        <w:footnoteReference w:id="20"/>
      </w:r>
    </w:p>
    <w:p w:rsidR="008E11F9" w:rsidRPr="008E11F9" w:rsidRDefault="008E11F9" w:rsidP="008E11F9">
      <w:pPr>
        <w:pStyle w:val="ListParagraph"/>
        <w:spacing w:line="360" w:lineRule="auto"/>
        <w:rPr>
          <w:rFonts w:ascii="Arial" w:hAnsi="Arial" w:cs="Arial"/>
        </w:rPr>
      </w:pPr>
    </w:p>
    <w:p w:rsidR="008E11F9" w:rsidRDefault="008E11F9"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in </w:t>
      </w:r>
      <w:r>
        <w:rPr>
          <w:rFonts w:ascii="Arial" w:hAnsi="Arial" w:cs="Arial"/>
          <w:i/>
          <w:sz w:val="24"/>
          <w:szCs w:val="24"/>
        </w:rPr>
        <w:t>Nkandi</w:t>
      </w:r>
      <w:r>
        <w:rPr>
          <w:rFonts w:ascii="Arial" w:hAnsi="Arial" w:cs="Arial"/>
          <w:sz w:val="24"/>
          <w:szCs w:val="24"/>
        </w:rPr>
        <w:t xml:space="preserve"> considered the justification for the prohibition in s 13(1)(b) to be as follows:</w:t>
      </w:r>
    </w:p>
    <w:p w:rsidR="008E11F9" w:rsidRPr="008E11F9" w:rsidRDefault="008E11F9" w:rsidP="008E11F9">
      <w:pPr>
        <w:pStyle w:val="NoSpacing"/>
        <w:spacing w:line="360" w:lineRule="auto"/>
        <w:jc w:val="both"/>
        <w:rPr>
          <w:rFonts w:ascii="Arial" w:hAnsi="Arial" w:cs="Arial"/>
        </w:rPr>
      </w:pPr>
    </w:p>
    <w:p w:rsidR="008E11F9" w:rsidRPr="008E11F9" w:rsidRDefault="008E11F9" w:rsidP="008E11F9">
      <w:pPr>
        <w:pStyle w:val="NoSpacing"/>
        <w:spacing w:line="360" w:lineRule="auto"/>
        <w:ind w:left="720"/>
        <w:jc w:val="both"/>
        <w:rPr>
          <w:rFonts w:ascii="Arial" w:hAnsi="Arial" w:cs="Arial"/>
        </w:rPr>
      </w:pPr>
      <w:r>
        <w:rPr>
          <w:rFonts w:ascii="Arial" w:hAnsi="Arial" w:cs="Arial"/>
        </w:rPr>
        <w:t>‘</w:t>
      </w:r>
      <w:r w:rsidRPr="008E11F9">
        <w:rPr>
          <w:rFonts w:ascii="Arial" w:hAnsi="Arial" w:cs="Arial"/>
        </w:rPr>
        <w:t>It would seem to me that the raison d'êt</w:t>
      </w:r>
      <w:r>
        <w:rPr>
          <w:rFonts w:ascii="Arial" w:hAnsi="Arial" w:cs="Arial"/>
        </w:rPr>
        <w:t xml:space="preserve">re for the requirement that </w:t>
      </w:r>
      <w:r w:rsidRPr="008E11F9">
        <w:rPr>
          <w:rFonts w:ascii="Arial" w:hAnsi="Arial" w:cs="Arial"/>
        </w:rPr>
        <w:t>only natural persons be registered as architects and quantity surveyors, was to protect the public from unscrupulous persons who would float companies or other juristic persons to perform architectural or quantity surveying work and when liability for poor workmanship or other complaint arises, and the court finds that t</w:t>
      </w:r>
      <w:r>
        <w:rPr>
          <w:rFonts w:ascii="Arial" w:hAnsi="Arial" w:cs="Arial"/>
        </w:rPr>
        <w:t xml:space="preserve">he client was short-changed, </w:t>
      </w:r>
      <w:r w:rsidRPr="008E11F9">
        <w:rPr>
          <w:rFonts w:ascii="Arial" w:hAnsi="Arial" w:cs="Arial"/>
        </w:rPr>
        <w:t>the client would not have any recourse as the juristic person would have no realisable assets from which execution of any judgment can be properly and satisfactorily satisfied. This would render the clients, who would, in some instances be men or women of straw, bereft and remediless and in the process losing what may have been to them a lifetime worth of investment. This, it is my view is not an idle and inconsequential or pedantic requirement.</w:t>
      </w:r>
      <w:r>
        <w:rPr>
          <w:rFonts w:ascii="Arial" w:hAnsi="Arial" w:cs="Arial"/>
        </w:rPr>
        <w:t>’</w:t>
      </w:r>
    </w:p>
    <w:p w:rsidR="008E11F9" w:rsidRPr="008E11F9" w:rsidRDefault="008E11F9" w:rsidP="008E11F9">
      <w:pPr>
        <w:pStyle w:val="ListParagraph"/>
        <w:spacing w:line="360" w:lineRule="auto"/>
        <w:rPr>
          <w:rFonts w:ascii="Arial" w:hAnsi="Arial" w:cs="Arial"/>
        </w:rPr>
      </w:pPr>
    </w:p>
    <w:p w:rsidR="008E11F9" w:rsidRDefault="008E11F9"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in </w:t>
      </w:r>
      <w:r>
        <w:rPr>
          <w:rFonts w:ascii="Arial" w:hAnsi="Arial" w:cs="Arial"/>
          <w:i/>
          <w:sz w:val="24"/>
          <w:szCs w:val="24"/>
        </w:rPr>
        <w:t>Nkandi</w:t>
      </w:r>
      <w:r>
        <w:rPr>
          <w:rFonts w:ascii="Arial" w:hAnsi="Arial" w:cs="Arial"/>
          <w:sz w:val="24"/>
          <w:szCs w:val="24"/>
        </w:rPr>
        <w:t xml:space="preserve"> – as did respondent’s counsel before us – also relied upon the approach of the majority in </w:t>
      </w:r>
      <w:r>
        <w:rPr>
          <w:rFonts w:ascii="Arial" w:hAnsi="Arial" w:cs="Arial"/>
          <w:i/>
          <w:sz w:val="24"/>
          <w:szCs w:val="24"/>
        </w:rPr>
        <w:t>Cool Ideas</w:t>
      </w:r>
      <w:r>
        <w:rPr>
          <w:rFonts w:ascii="Arial" w:hAnsi="Arial" w:cs="Arial"/>
          <w:sz w:val="24"/>
          <w:szCs w:val="24"/>
        </w:rPr>
        <w:t xml:space="preserve"> in both the Supreme Court of Appeal </w:t>
      </w:r>
      <w:r w:rsidR="007B25CE">
        <w:rPr>
          <w:rFonts w:ascii="Arial" w:hAnsi="Arial" w:cs="Arial"/>
          <w:sz w:val="24"/>
          <w:szCs w:val="24"/>
        </w:rPr>
        <w:t xml:space="preserve">(SCA) </w:t>
      </w:r>
      <w:r>
        <w:rPr>
          <w:rFonts w:ascii="Arial" w:hAnsi="Arial" w:cs="Arial"/>
          <w:sz w:val="24"/>
          <w:szCs w:val="24"/>
        </w:rPr>
        <w:t>and Constitutional Court</w:t>
      </w:r>
      <w:r w:rsidR="007B25CE">
        <w:rPr>
          <w:rFonts w:ascii="Arial" w:hAnsi="Arial" w:cs="Arial"/>
          <w:sz w:val="24"/>
          <w:szCs w:val="24"/>
        </w:rPr>
        <w:t xml:space="preserve"> (CC)</w:t>
      </w:r>
      <w:r>
        <w:rPr>
          <w:rFonts w:ascii="Arial" w:hAnsi="Arial" w:cs="Arial"/>
          <w:sz w:val="24"/>
          <w:szCs w:val="24"/>
        </w:rPr>
        <w:t xml:space="preserve"> in support of its conclusion that it was precluded from sanctioning </w:t>
      </w:r>
      <w:r w:rsidR="00603506">
        <w:rPr>
          <w:rFonts w:ascii="Arial" w:hAnsi="Arial" w:cs="Arial"/>
          <w:sz w:val="24"/>
          <w:szCs w:val="24"/>
        </w:rPr>
        <w:t>the payment of money for work done contrary to the express provisions of the Act.</w:t>
      </w:r>
      <w:r w:rsidR="00603506">
        <w:rPr>
          <w:rStyle w:val="FootnoteReference"/>
          <w:rFonts w:ascii="Arial" w:hAnsi="Arial" w:cs="Arial"/>
          <w:sz w:val="24"/>
          <w:szCs w:val="24"/>
        </w:rPr>
        <w:footnoteReference w:id="21"/>
      </w:r>
    </w:p>
    <w:p w:rsidR="008E11F9" w:rsidRDefault="008E11F9" w:rsidP="00186CAE">
      <w:pPr>
        <w:rPr>
          <w:rFonts w:ascii="Arial" w:hAnsi="Arial" w:cs="Arial"/>
          <w:sz w:val="24"/>
          <w:szCs w:val="24"/>
        </w:rPr>
      </w:pPr>
    </w:p>
    <w:p w:rsidR="00186CAE" w:rsidRPr="00186CAE" w:rsidRDefault="00186CAE" w:rsidP="00186CAE">
      <w:pPr>
        <w:rPr>
          <w:rFonts w:ascii="Arial" w:hAnsi="Arial" w:cs="Arial"/>
          <w:sz w:val="24"/>
          <w:szCs w:val="24"/>
          <w:u w:val="single"/>
        </w:rPr>
      </w:pPr>
      <w:r>
        <w:rPr>
          <w:rFonts w:ascii="Arial" w:hAnsi="Arial" w:cs="Arial"/>
          <w:sz w:val="24"/>
          <w:szCs w:val="24"/>
          <w:u w:val="single"/>
        </w:rPr>
        <w:t>Analysis of s 13 in context</w:t>
      </w:r>
    </w:p>
    <w:p w:rsidR="008E11F9" w:rsidRDefault="00603506"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Section 13 is entitled ‘Prohibition against practi</w:t>
      </w:r>
      <w:r w:rsidR="007B25CE">
        <w:rPr>
          <w:rFonts w:ascii="Arial" w:hAnsi="Arial" w:cs="Arial"/>
          <w:sz w:val="24"/>
          <w:szCs w:val="24"/>
        </w:rPr>
        <w:t>s</w:t>
      </w:r>
      <w:r>
        <w:rPr>
          <w:rFonts w:ascii="Arial" w:hAnsi="Arial" w:cs="Arial"/>
          <w:sz w:val="24"/>
          <w:szCs w:val="24"/>
        </w:rPr>
        <w:t>ing as architect or quantity surveyor by unregistered person’. This embodies the t</w:t>
      </w:r>
      <w:r w:rsidR="007B25CE">
        <w:rPr>
          <w:rFonts w:ascii="Arial" w:hAnsi="Arial" w:cs="Arial"/>
          <w:sz w:val="24"/>
          <w:szCs w:val="24"/>
        </w:rPr>
        <w:t>h</w:t>
      </w:r>
      <w:r>
        <w:rPr>
          <w:rFonts w:ascii="Arial" w:hAnsi="Arial" w:cs="Arial"/>
          <w:sz w:val="24"/>
          <w:szCs w:val="24"/>
        </w:rPr>
        <w:t>rust of the section – to prohibit reserved work from being performed</w:t>
      </w:r>
      <w:r w:rsidR="00581363">
        <w:rPr>
          <w:rFonts w:ascii="Arial" w:hAnsi="Arial" w:cs="Arial"/>
          <w:sz w:val="24"/>
          <w:szCs w:val="24"/>
        </w:rPr>
        <w:t xml:space="preserve"> for gain</w:t>
      </w:r>
      <w:r>
        <w:rPr>
          <w:rFonts w:ascii="Arial" w:hAnsi="Arial" w:cs="Arial"/>
          <w:sz w:val="24"/>
          <w:szCs w:val="24"/>
        </w:rPr>
        <w:t xml:space="preserve"> by any person other than a registered architect. It is subject to exe</w:t>
      </w:r>
      <w:r w:rsidR="00186CAE">
        <w:rPr>
          <w:rFonts w:ascii="Arial" w:hAnsi="Arial" w:cs="Arial"/>
          <w:sz w:val="24"/>
          <w:szCs w:val="24"/>
        </w:rPr>
        <w:t>m</w:t>
      </w:r>
      <w:r>
        <w:rPr>
          <w:rFonts w:ascii="Arial" w:hAnsi="Arial" w:cs="Arial"/>
          <w:sz w:val="24"/>
          <w:szCs w:val="24"/>
        </w:rPr>
        <w:t xml:space="preserve">ptions granted under the Act (under s 23). In terms of s 23, the Minister is authorised to exempt persons (including a non-natural person) generally or for specific circumstances or periods, from the operation of the Act. The power to exempt </w:t>
      </w:r>
      <w:r w:rsidR="007B25CE">
        <w:rPr>
          <w:rFonts w:ascii="Arial" w:hAnsi="Arial" w:cs="Arial"/>
          <w:sz w:val="24"/>
          <w:szCs w:val="24"/>
        </w:rPr>
        <w:t xml:space="preserve">in the context of s 13 </w:t>
      </w:r>
      <w:r>
        <w:rPr>
          <w:rFonts w:ascii="Arial" w:hAnsi="Arial" w:cs="Arial"/>
          <w:sz w:val="24"/>
          <w:szCs w:val="24"/>
        </w:rPr>
        <w:t xml:space="preserve">would appear to permit designated persons who are not registered </w:t>
      </w:r>
      <w:r w:rsidR="00581363">
        <w:rPr>
          <w:rFonts w:ascii="Arial" w:hAnsi="Arial" w:cs="Arial"/>
          <w:sz w:val="24"/>
          <w:szCs w:val="24"/>
        </w:rPr>
        <w:t xml:space="preserve">under the Act </w:t>
      </w:r>
      <w:r w:rsidR="00042E40">
        <w:rPr>
          <w:rFonts w:ascii="Arial" w:hAnsi="Arial" w:cs="Arial"/>
          <w:sz w:val="24"/>
          <w:szCs w:val="24"/>
        </w:rPr>
        <w:t xml:space="preserve">as architects </w:t>
      </w:r>
      <w:r>
        <w:rPr>
          <w:rFonts w:ascii="Arial" w:hAnsi="Arial" w:cs="Arial"/>
          <w:sz w:val="24"/>
          <w:szCs w:val="24"/>
        </w:rPr>
        <w:t xml:space="preserve">to do the work reserved for architects. This is also how the power of exemption has </w:t>
      </w:r>
      <w:r>
        <w:rPr>
          <w:rFonts w:ascii="Arial" w:hAnsi="Arial" w:cs="Arial"/>
          <w:sz w:val="24"/>
          <w:szCs w:val="24"/>
        </w:rPr>
        <w:lastRenderedPageBreak/>
        <w:t xml:space="preserve">been invoked by the responsible minister </w:t>
      </w:r>
      <w:r w:rsidR="007B25CE">
        <w:rPr>
          <w:rFonts w:ascii="Arial" w:hAnsi="Arial" w:cs="Arial"/>
          <w:sz w:val="24"/>
          <w:szCs w:val="24"/>
        </w:rPr>
        <w:t xml:space="preserve">in permitting </w:t>
      </w:r>
      <w:r>
        <w:rPr>
          <w:rFonts w:ascii="Arial" w:hAnsi="Arial" w:cs="Arial"/>
          <w:sz w:val="24"/>
          <w:szCs w:val="24"/>
        </w:rPr>
        <w:t>specifically designated persons to perform reserved work on specific projects as has be</w:t>
      </w:r>
      <w:r w:rsidR="00186CAE">
        <w:rPr>
          <w:rFonts w:ascii="Arial" w:hAnsi="Arial" w:cs="Arial"/>
          <w:sz w:val="24"/>
          <w:szCs w:val="24"/>
        </w:rPr>
        <w:t>en</w:t>
      </w:r>
      <w:r>
        <w:rPr>
          <w:rFonts w:ascii="Arial" w:hAnsi="Arial" w:cs="Arial"/>
          <w:sz w:val="24"/>
          <w:szCs w:val="24"/>
        </w:rPr>
        <w:t xml:space="preserve"> gazetted.</w:t>
      </w:r>
      <w:r w:rsidR="00186CAE">
        <w:rPr>
          <w:rStyle w:val="FootnoteReference"/>
          <w:rFonts w:ascii="Arial" w:hAnsi="Arial" w:cs="Arial"/>
          <w:sz w:val="24"/>
          <w:szCs w:val="24"/>
        </w:rPr>
        <w:footnoteReference w:id="22"/>
      </w:r>
      <w:r>
        <w:rPr>
          <w:rFonts w:ascii="Arial" w:hAnsi="Arial" w:cs="Arial"/>
          <w:sz w:val="24"/>
          <w:szCs w:val="24"/>
        </w:rPr>
        <w:t xml:space="preserve"> The provision to be exempted</w:t>
      </w:r>
      <w:r w:rsidR="007B25CE">
        <w:rPr>
          <w:rFonts w:ascii="Arial" w:hAnsi="Arial" w:cs="Arial"/>
          <w:sz w:val="24"/>
          <w:szCs w:val="24"/>
        </w:rPr>
        <w:t xml:space="preserve"> </w:t>
      </w:r>
      <w:r w:rsidR="00186CAE">
        <w:rPr>
          <w:rFonts w:ascii="Arial" w:hAnsi="Arial" w:cs="Arial"/>
          <w:sz w:val="24"/>
          <w:szCs w:val="24"/>
        </w:rPr>
        <w:t xml:space="preserve">from </w:t>
      </w:r>
      <w:r w:rsidR="007B25CE">
        <w:rPr>
          <w:rFonts w:ascii="Arial" w:hAnsi="Arial" w:cs="Arial"/>
          <w:sz w:val="24"/>
          <w:szCs w:val="24"/>
        </w:rPr>
        <w:t>would thus appear to be</w:t>
      </w:r>
      <w:r>
        <w:rPr>
          <w:rFonts w:ascii="Arial" w:hAnsi="Arial" w:cs="Arial"/>
          <w:sz w:val="24"/>
          <w:szCs w:val="24"/>
        </w:rPr>
        <w:t xml:space="preserve"> that of registration (to perform reserved work).</w:t>
      </w:r>
    </w:p>
    <w:p w:rsidR="008E11F9" w:rsidRDefault="008E11F9" w:rsidP="008E11F9">
      <w:pPr>
        <w:pStyle w:val="ListParagraph"/>
        <w:rPr>
          <w:rFonts w:ascii="Arial" w:hAnsi="Arial" w:cs="Arial"/>
          <w:sz w:val="24"/>
          <w:szCs w:val="24"/>
        </w:rPr>
      </w:pPr>
    </w:p>
    <w:p w:rsidR="00186CAE" w:rsidRDefault="00581363"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w:t>
      </w:r>
      <w:r w:rsidR="00603506">
        <w:rPr>
          <w:rFonts w:ascii="Arial" w:hAnsi="Arial" w:cs="Arial"/>
          <w:sz w:val="24"/>
          <w:szCs w:val="24"/>
        </w:rPr>
        <w:t xml:space="preserve"> section is thus </w:t>
      </w:r>
      <w:r>
        <w:rPr>
          <w:rFonts w:ascii="Arial" w:hAnsi="Arial" w:cs="Arial"/>
          <w:sz w:val="24"/>
          <w:szCs w:val="24"/>
        </w:rPr>
        <w:t>directed at</w:t>
      </w:r>
      <w:r w:rsidR="00603506">
        <w:rPr>
          <w:rFonts w:ascii="Arial" w:hAnsi="Arial" w:cs="Arial"/>
          <w:sz w:val="24"/>
          <w:szCs w:val="24"/>
        </w:rPr>
        <w:t xml:space="preserve"> prevent</w:t>
      </w:r>
      <w:r>
        <w:rPr>
          <w:rFonts w:ascii="Arial" w:hAnsi="Arial" w:cs="Arial"/>
          <w:sz w:val="24"/>
          <w:szCs w:val="24"/>
        </w:rPr>
        <w:t>ing</w:t>
      </w:r>
      <w:r w:rsidR="00603506">
        <w:rPr>
          <w:rFonts w:ascii="Arial" w:hAnsi="Arial" w:cs="Arial"/>
          <w:sz w:val="24"/>
          <w:szCs w:val="24"/>
        </w:rPr>
        <w:t xml:space="preserve"> persons from performing work reserved for architects for gain unless registered as such. The evil which the section is to prevent is to protect the public from unqualified persons designing and supervising the erection of structures which </w:t>
      </w:r>
      <w:r w:rsidR="007B25CE">
        <w:rPr>
          <w:rFonts w:ascii="Arial" w:hAnsi="Arial" w:cs="Arial"/>
          <w:sz w:val="24"/>
          <w:szCs w:val="24"/>
        </w:rPr>
        <w:t>c</w:t>
      </w:r>
      <w:r w:rsidR="00603506">
        <w:rPr>
          <w:rFonts w:ascii="Arial" w:hAnsi="Arial" w:cs="Arial"/>
          <w:sz w:val="24"/>
          <w:szCs w:val="24"/>
        </w:rPr>
        <w:t xml:space="preserve">ould have potentially disastrous consequences, like retaining walls, </w:t>
      </w:r>
      <w:r w:rsidR="00F92861">
        <w:rPr>
          <w:rFonts w:ascii="Arial" w:hAnsi="Arial" w:cs="Arial"/>
          <w:sz w:val="24"/>
          <w:szCs w:val="24"/>
        </w:rPr>
        <w:t xml:space="preserve">roof structures and the like collapsing with calamitous consequences for </w:t>
      </w:r>
      <w:r w:rsidR="007B25CE">
        <w:rPr>
          <w:rFonts w:ascii="Arial" w:hAnsi="Arial" w:cs="Arial"/>
          <w:sz w:val="24"/>
          <w:szCs w:val="24"/>
        </w:rPr>
        <w:t>an</w:t>
      </w:r>
      <w:r w:rsidR="00F92861">
        <w:rPr>
          <w:rFonts w:ascii="Arial" w:hAnsi="Arial" w:cs="Arial"/>
          <w:sz w:val="24"/>
          <w:szCs w:val="24"/>
        </w:rPr>
        <w:t xml:space="preserve"> unsuspecting </w:t>
      </w:r>
      <w:r w:rsidR="00186CAE">
        <w:rPr>
          <w:rFonts w:ascii="Arial" w:hAnsi="Arial" w:cs="Arial"/>
          <w:sz w:val="24"/>
          <w:szCs w:val="24"/>
        </w:rPr>
        <w:t>consumer</w:t>
      </w:r>
      <w:r w:rsidR="007B25CE">
        <w:rPr>
          <w:rFonts w:ascii="Arial" w:hAnsi="Arial" w:cs="Arial"/>
          <w:sz w:val="24"/>
          <w:szCs w:val="24"/>
        </w:rPr>
        <w:t xml:space="preserve"> who </w:t>
      </w:r>
      <w:r w:rsidR="00186CAE">
        <w:rPr>
          <w:rFonts w:ascii="Arial" w:hAnsi="Arial" w:cs="Arial"/>
          <w:sz w:val="24"/>
          <w:szCs w:val="24"/>
        </w:rPr>
        <w:t xml:space="preserve">would </w:t>
      </w:r>
      <w:r w:rsidR="007B25CE">
        <w:rPr>
          <w:rFonts w:ascii="Arial" w:hAnsi="Arial" w:cs="Arial"/>
          <w:sz w:val="24"/>
          <w:szCs w:val="24"/>
        </w:rPr>
        <w:t xml:space="preserve">stand to sustain severe damage in respect of </w:t>
      </w:r>
      <w:r w:rsidR="00186CAE">
        <w:rPr>
          <w:rFonts w:ascii="Arial" w:hAnsi="Arial" w:cs="Arial"/>
          <w:sz w:val="24"/>
          <w:szCs w:val="24"/>
        </w:rPr>
        <w:t xml:space="preserve">what for many consumers would be </w:t>
      </w:r>
      <w:r w:rsidR="007B25CE">
        <w:rPr>
          <w:rFonts w:ascii="Arial" w:hAnsi="Arial" w:cs="Arial"/>
          <w:sz w:val="24"/>
          <w:szCs w:val="24"/>
        </w:rPr>
        <w:t xml:space="preserve">the largest single investment </w:t>
      </w:r>
      <w:r w:rsidR="00186CAE">
        <w:rPr>
          <w:rFonts w:ascii="Arial" w:hAnsi="Arial" w:cs="Arial"/>
          <w:sz w:val="24"/>
          <w:szCs w:val="24"/>
        </w:rPr>
        <w:t>which they would</w:t>
      </w:r>
      <w:r w:rsidR="007B25CE">
        <w:rPr>
          <w:rFonts w:ascii="Arial" w:hAnsi="Arial" w:cs="Arial"/>
          <w:sz w:val="24"/>
          <w:szCs w:val="24"/>
        </w:rPr>
        <w:t xml:space="preserve"> make</w:t>
      </w:r>
      <w:r>
        <w:rPr>
          <w:rFonts w:ascii="Arial" w:hAnsi="Arial" w:cs="Arial"/>
          <w:sz w:val="24"/>
          <w:szCs w:val="24"/>
        </w:rPr>
        <w:t>, as well as the potential of serious injury.</w:t>
      </w:r>
      <w:r w:rsidR="00F92861">
        <w:rPr>
          <w:rFonts w:ascii="Arial" w:hAnsi="Arial" w:cs="Arial"/>
          <w:sz w:val="24"/>
          <w:szCs w:val="24"/>
        </w:rPr>
        <w:t xml:space="preserve"> </w:t>
      </w:r>
    </w:p>
    <w:p w:rsidR="00186CAE" w:rsidRDefault="00186CAE" w:rsidP="00186CAE">
      <w:pPr>
        <w:pStyle w:val="ListParagraph"/>
        <w:rPr>
          <w:rFonts w:ascii="Arial" w:hAnsi="Arial" w:cs="Arial"/>
          <w:sz w:val="24"/>
          <w:szCs w:val="24"/>
        </w:rPr>
      </w:pPr>
    </w:p>
    <w:p w:rsidR="008E11F9" w:rsidRDefault="00F92861"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Act furthers this intention by setting </w:t>
      </w:r>
      <w:r w:rsidR="007B25CE">
        <w:rPr>
          <w:rFonts w:ascii="Arial" w:hAnsi="Arial" w:cs="Arial"/>
          <w:sz w:val="24"/>
          <w:szCs w:val="24"/>
        </w:rPr>
        <w:t>rigorous</w:t>
      </w:r>
      <w:r>
        <w:rPr>
          <w:rFonts w:ascii="Arial" w:hAnsi="Arial" w:cs="Arial"/>
          <w:sz w:val="24"/>
          <w:szCs w:val="24"/>
        </w:rPr>
        <w:t xml:space="preserve"> requirements for registration in s 11</w:t>
      </w:r>
      <w:r w:rsidR="00581363">
        <w:rPr>
          <w:rFonts w:ascii="Arial" w:hAnsi="Arial" w:cs="Arial"/>
          <w:sz w:val="24"/>
          <w:szCs w:val="24"/>
        </w:rPr>
        <w:t xml:space="preserve">. These </w:t>
      </w:r>
      <w:r>
        <w:rPr>
          <w:rFonts w:ascii="Arial" w:hAnsi="Arial" w:cs="Arial"/>
          <w:sz w:val="24"/>
          <w:szCs w:val="24"/>
        </w:rPr>
        <w:t>includ</w:t>
      </w:r>
      <w:r w:rsidR="00581363">
        <w:rPr>
          <w:rFonts w:ascii="Arial" w:hAnsi="Arial" w:cs="Arial"/>
          <w:sz w:val="24"/>
          <w:szCs w:val="24"/>
        </w:rPr>
        <w:t>e</w:t>
      </w:r>
      <w:r>
        <w:rPr>
          <w:rFonts w:ascii="Arial" w:hAnsi="Arial" w:cs="Arial"/>
          <w:sz w:val="24"/>
          <w:szCs w:val="24"/>
        </w:rPr>
        <w:t xml:space="preserve"> setting prescribed examinations and a period of performing architectural work of sufficient variety</w:t>
      </w:r>
      <w:r w:rsidR="00186CAE">
        <w:rPr>
          <w:rFonts w:ascii="Arial" w:hAnsi="Arial" w:cs="Arial"/>
          <w:sz w:val="24"/>
          <w:szCs w:val="24"/>
        </w:rPr>
        <w:t>,</w:t>
      </w:r>
      <w:r>
        <w:rPr>
          <w:rFonts w:ascii="Arial" w:hAnsi="Arial" w:cs="Arial"/>
          <w:sz w:val="24"/>
          <w:szCs w:val="24"/>
        </w:rPr>
        <w:t xml:space="preserve"> satisfactory nature and standard under supervision</w:t>
      </w:r>
      <w:r w:rsidR="007B25CE">
        <w:rPr>
          <w:rFonts w:ascii="Arial" w:hAnsi="Arial" w:cs="Arial"/>
          <w:sz w:val="24"/>
          <w:szCs w:val="24"/>
        </w:rPr>
        <w:t>,</w:t>
      </w:r>
      <w:r>
        <w:rPr>
          <w:rFonts w:ascii="Arial" w:hAnsi="Arial" w:cs="Arial"/>
          <w:sz w:val="24"/>
          <w:szCs w:val="24"/>
        </w:rPr>
        <w:t xml:space="preserve"> and by requiring membership of the professional body</w:t>
      </w:r>
      <w:r w:rsidR="00186CAE">
        <w:rPr>
          <w:rFonts w:ascii="Arial" w:hAnsi="Arial" w:cs="Arial"/>
          <w:sz w:val="24"/>
          <w:szCs w:val="24"/>
        </w:rPr>
        <w:t xml:space="preserve"> (and thus</w:t>
      </w:r>
      <w:r>
        <w:rPr>
          <w:rFonts w:ascii="Arial" w:hAnsi="Arial" w:cs="Arial"/>
          <w:sz w:val="24"/>
          <w:szCs w:val="24"/>
        </w:rPr>
        <w:t xml:space="preserve"> subject to disciplinary action for improper conduct as specified in s 14</w:t>
      </w:r>
      <w:r w:rsidR="00581363">
        <w:rPr>
          <w:rFonts w:ascii="Arial" w:hAnsi="Arial" w:cs="Arial"/>
          <w:sz w:val="24"/>
          <w:szCs w:val="24"/>
        </w:rPr>
        <w:t xml:space="preserve"> </w:t>
      </w:r>
      <w:r w:rsidR="00581363" w:rsidRPr="003C1292">
        <w:rPr>
          <w:rFonts w:ascii="Arial" w:hAnsi="Arial" w:cs="Arial"/>
          <w:sz w:val="24"/>
          <w:szCs w:val="24"/>
        </w:rPr>
        <w:t>and in the rules contemplated by s 14</w:t>
      </w:r>
      <w:r w:rsidR="00186CAE" w:rsidRPr="003C1292">
        <w:rPr>
          <w:rFonts w:ascii="Arial" w:hAnsi="Arial" w:cs="Arial"/>
          <w:sz w:val="24"/>
          <w:szCs w:val="24"/>
        </w:rPr>
        <w:t>)</w:t>
      </w:r>
      <w:r>
        <w:rPr>
          <w:rFonts w:ascii="Arial" w:hAnsi="Arial" w:cs="Arial"/>
          <w:sz w:val="24"/>
          <w:szCs w:val="24"/>
        </w:rPr>
        <w:t>. The disciplinary powers of Council are set out in s 15</w:t>
      </w:r>
      <w:r w:rsidR="00133378">
        <w:rPr>
          <w:rFonts w:ascii="Arial" w:hAnsi="Arial" w:cs="Arial"/>
          <w:sz w:val="24"/>
          <w:szCs w:val="24"/>
        </w:rPr>
        <w:t>. T</w:t>
      </w:r>
      <w:r>
        <w:rPr>
          <w:rFonts w:ascii="Arial" w:hAnsi="Arial" w:cs="Arial"/>
          <w:sz w:val="24"/>
          <w:szCs w:val="24"/>
        </w:rPr>
        <w:t xml:space="preserve">he empowering provisions for holding enquiries </w:t>
      </w:r>
      <w:r w:rsidR="00133378">
        <w:rPr>
          <w:rFonts w:ascii="Arial" w:hAnsi="Arial" w:cs="Arial"/>
          <w:sz w:val="24"/>
          <w:szCs w:val="24"/>
        </w:rPr>
        <w:t xml:space="preserve">are </w:t>
      </w:r>
      <w:r>
        <w:rPr>
          <w:rFonts w:ascii="Arial" w:hAnsi="Arial" w:cs="Arial"/>
          <w:sz w:val="24"/>
          <w:szCs w:val="24"/>
        </w:rPr>
        <w:t>set out in s 16.</w:t>
      </w:r>
    </w:p>
    <w:p w:rsidR="008E11F9" w:rsidRDefault="008E11F9" w:rsidP="008E11F9">
      <w:pPr>
        <w:pStyle w:val="ListParagraph"/>
        <w:rPr>
          <w:rFonts w:ascii="Arial" w:hAnsi="Arial" w:cs="Arial"/>
          <w:sz w:val="24"/>
          <w:szCs w:val="24"/>
        </w:rPr>
      </w:pPr>
    </w:p>
    <w:p w:rsidR="008E11F9" w:rsidRDefault="00F92861" w:rsidP="0058136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legislative intention as </w:t>
      </w:r>
      <w:r w:rsidR="00186CAE">
        <w:rPr>
          <w:rFonts w:ascii="Arial" w:hAnsi="Arial" w:cs="Arial"/>
          <w:sz w:val="24"/>
          <w:szCs w:val="24"/>
        </w:rPr>
        <w:t>interpreted</w:t>
      </w:r>
      <w:r>
        <w:rPr>
          <w:rFonts w:ascii="Arial" w:hAnsi="Arial" w:cs="Arial"/>
          <w:sz w:val="24"/>
          <w:szCs w:val="24"/>
        </w:rPr>
        <w:t xml:space="preserve"> from the entire statute construed as a whole is thus to require registration by architects in order to </w:t>
      </w:r>
      <w:r w:rsidR="00186CAE">
        <w:rPr>
          <w:rFonts w:ascii="Arial" w:hAnsi="Arial" w:cs="Arial"/>
          <w:sz w:val="24"/>
          <w:szCs w:val="24"/>
        </w:rPr>
        <w:t>perform</w:t>
      </w:r>
      <w:r>
        <w:rPr>
          <w:rFonts w:ascii="Arial" w:hAnsi="Arial" w:cs="Arial"/>
          <w:sz w:val="24"/>
          <w:szCs w:val="24"/>
        </w:rPr>
        <w:t xml:space="preserve"> work </w:t>
      </w:r>
      <w:r>
        <w:rPr>
          <w:rFonts w:ascii="Arial" w:hAnsi="Arial" w:cs="Arial"/>
          <w:sz w:val="24"/>
          <w:szCs w:val="24"/>
        </w:rPr>
        <w:lastRenderedPageBreak/>
        <w:t xml:space="preserve">reserved for them, to render them subject to disciplinary action if committing improper conduct, including </w:t>
      </w:r>
      <w:r w:rsidR="00875389">
        <w:rPr>
          <w:rFonts w:ascii="Arial" w:hAnsi="Arial" w:cs="Arial"/>
          <w:sz w:val="24"/>
          <w:szCs w:val="24"/>
        </w:rPr>
        <w:t xml:space="preserve">transgressing rules prescribed by regulation and finally prohibiting persons not registered as architects from performing </w:t>
      </w:r>
      <w:r w:rsidR="00581363">
        <w:rPr>
          <w:rFonts w:ascii="Arial" w:hAnsi="Arial" w:cs="Arial"/>
          <w:sz w:val="24"/>
          <w:szCs w:val="24"/>
        </w:rPr>
        <w:t xml:space="preserve">reserved </w:t>
      </w:r>
      <w:r w:rsidR="00875389">
        <w:rPr>
          <w:rFonts w:ascii="Arial" w:hAnsi="Arial" w:cs="Arial"/>
          <w:sz w:val="24"/>
          <w:szCs w:val="24"/>
        </w:rPr>
        <w:t>work for gain.</w:t>
      </w:r>
    </w:p>
    <w:p w:rsidR="00B11A60" w:rsidRDefault="00B11A60" w:rsidP="00B11A60">
      <w:pPr>
        <w:pStyle w:val="ListParagraph"/>
        <w:rPr>
          <w:rFonts w:ascii="Arial" w:hAnsi="Arial" w:cs="Arial"/>
          <w:sz w:val="24"/>
          <w:szCs w:val="24"/>
        </w:rPr>
      </w:pPr>
    </w:p>
    <w:p w:rsidR="00B11A60" w:rsidRPr="00581363" w:rsidRDefault="00B11A60" w:rsidP="00B11A60">
      <w:pPr>
        <w:pStyle w:val="NoSpacing"/>
        <w:spacing w:line="480" w:lineRule="auto"/>
        <w:jc w:val="both"/>
        <w:rPr>
          <w:rFonts w:ascii="Arial" w:hAnsi="Arial" w:cs="Arial"/>
          <w:sz w:val="24"/>
          <w:szCs w:val="24"/>
        </w:rPr>
      </w:pPr>
    </w:p>
    <w:p w:rsidR="008E11F9" w:rsidRDefault="00875389"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legislative purpose of s 13</w:t>
      </w:r>
      <w:r w:rsidR="00133378">
        <w:rPr>
          <w:rFonts w:ascii="Arial" w:hAnsi="Arial" w:cs="Arial"/>
          <w:sz w:val="24"/>
          <w:szCs w:val="24"/>
        </w:rPr>
        <w:t xml:space="preserve">, </w:t>
      </w:r>
      <w:r>
        <w:rPr>
          <w:rFonts w:ascii="Arial" w:hAnsi="Arial" w:cs="Arial"/>
          <w:sz w:val="24"/>
          <w:szCs w:val="24"/>
        </w:rPr>
        <w:t>determined in this context</w:t>
      </w:r>
      <w:r w:rsidR="00133378">
        <w:rPr>
          <w:rFonts w:ascii="Arial" w:hAnsi="Arial" w:cs="Arial"/>
          <w:sz w:val="24"/>
          <w:szCs w:val="24"/>
        </w:rPr>
        <w:t>, is expressly prohibiting</w:t>
      </w:r>
      <w:r>
        <w:rPr>
          <w:rFonts w:ascii="Arial" w:hAnsi="Arial" w:cs="Arial"/>
          <w:sz w:val="24"/>
          <w:szCs w:val="24"/>
        </w:rPr>
        <w:t xml:space="preserve"> an</w:t>
      </w:r>
      <w:r w:rsidR="00186CAE">
        <w:rPr>
          <w:rFonts w:ascii="Arial" w:hAnsi="Arial" w:cs="Arial"/>
          <w:sz w:val="24"/>
          <w:szCs w:val="24"/>
        </w:rPr>
        <w:t xml:space="preserve"> unregistered</w:t>
      </w:r>
      <w:r>
        <w:rPr>
          <w:rFonts w:ascii="Arial" w:hAnsi="Arial" w:cs="Arial"/>
          <w:sz w:val="24"/>
          <w:szCs w:val="24"/>
        </w:rPr>
        <w:t xml:space="preserve"> person from performing reserved work for gain in </w:t>
      </w:r>
      <w:r w:rsidR="0084567B">
        <w:rPr>
          <w:rFonts w:ascii="Arial" w:hAnsi="Arial" w:cs="Arial"/>
          <w:sz w:val="24"/>
          <w:szCs w:val="24"/>
        </w:rPr>
        <w:t xml:space="preserve">              </w:t>
      </w:r>
      <w:r>
        <w:rPr>
          <w:rFonts w:ascii="Arial" w:hAnsi="Arial" w:cs="Arial"/>
          <w:sz w:val="24"/>
          <w:szCs w:val="24"/>
        </w:rPr>
        <w:t>s 13(1</w:t>
      </w:r>
      <w:proofErr w:type="gramStart"/>
      <w:r>
        <w:rPr>
          <w:rFonts w:ascii="Arial" w:hAnsi="Arial" w:cs="Arial"/>
          <w:sz w:val="24"/>
          <w:szCs w:val="24"/>
        </w:rPr>
        <w:t>)(</w:t>
      </w:r>
      <w:proofErr w:type="gramEnd"/>
      <w:r>
        <w:rPr>
          <w:rFonts w:ascii="Arial" w:hAnsi="Arial" w:cs="Arial"/>
          <w:sz w:val="24"/>
          <w:szCs w:val="24"/>
        </w:rPr>
        <w:t>a). In subsection 13(1</w:t>
      </w:r>
      <w:proofErr w:type="gramStart"/>
      <w:r>
        <w:rPr>
          <w:rFonts w:ascii="Arial" w:hAnsi="Arial" w:cs="Arial"/>
          <w:sz w:val="24"/>
          <w:szCs w:val="24"/>
        </w:rPr>
        <w:t>)(</w:t>
      </w:r>
      <w:proofErr w:type="gramEnd"/>
      <w:r>
        <w:rPr>
          <w:rFonts w:ascii="Arial" w:hAnsi="Arial" w:cs="Arial"/>
          <w:sz w:val="24"/>
          <w:szCs w:val="24"/>
        </w:rPr>
        <w:t>b) a non-natural person is prohibit</w:t>
      </w:r>
      <w:r w:rsidR="00186CAE">
        <w:rPr>
          <w:rFonts w:ascii="Arial" w:hAnsi="Arial" w:cs="Arial"/>
          <w:sz w:val="24"/>
          <w:szCs w:val="24"/>
        </w:rPr>
        <w:t>ed from performing</w:t>
      </w:r>
      <w:r>
        <w:rPr>
          <w:rFonts w:ascii="Arial" w:hAnsi="Arial" w:cs="Arial"/>
          <w:sz w:val="24"/>
          <w:szCs w:val="24"/>
        </w:rPr>
        <w:t xml:space="preserve"> reserved work and holding itself </w:t>
      </w:r>
      <w:r w:rsidR="00186CAE">
        <w:rPr>
          <w:rFonts w:ascii="Arial" w:hAnsi="Arial" w:cs="Arial"/>
          <w:sz w:val="24"/>
          <w:szCs w:val="24"/>
        </w:rPr>
        <w:t xml:space="preserve">out </w:t>
      </w:r>
      <w:r>
        <w:rPr>
          <w:rFonts w:ascii="Arial" w:hAnsi="Arial" w:cs="Arial"/>
          <w:sz w:val="24"/>
          <w:szCs w:val="24"/>
        </w:rPr>
        <w:t xml:space="preserve">to do so. This </w:t>
      </w:r>
      <w:r w:rsidR="00186CAE">
        <w:rPr>
          <w:rFonts w:ascii="Arial" w:hAnsi="Arial" w:cs="Arial"/>
          <w:sz w:val="24"/>
          <w:szCs w:val="24"/>
        </w:rPr>
        <w:t xml:space="preserve">latter </w:t>
      </w:r>
      <w:r>
        <w:rPr>
          <w:rFonts w:ascii="Arial" w:hAnsi="Arial" w:cs="Arial"/>
          <w:sz w:val="24"/>
          <w:szCs w:val="24"/>
        </w:rPr>
        <w:t xml:space="preserve">prohibition is to be read with s 11 which expressly contemplates that only natural persons can register as architects under the Act. </w:t>
      </w:r>
    </w:p>
    <w:p w:rsidR="008E11F9" w:rsidRDefault="008E11F9" w:rsidP="008E11F9">
      <w:pPr>
        <w:pStyle w:val="ListParagraph"/>
        <w:rPr>
          <w:rFonts w:ascii="Arial" w:hAnsi="Arial" w:cs="Arial"/>
          <w:sz w:val="24"/>
          <w:szCs w:val="24"/>
        </w:rPr>
      </w:pPr>
    </w:p>
    <w:p w:rsidR="008E11F9" w:rsidRDefault="00875389"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prohibition </w:t>
      </w:r>
      <w:r w:rsidR="00186CAE">
        <w:rPr>
          <w:rFonts w:ascii="Arial" w:hAnsi="Arial" w:cs="Arial"/>
          <w:sz w:val="24"/>
          <w:szCs w:val="24"/>
        </w:rPr>
        <w:t>against</w:t>
      </w:r>
      <w:r>
        <w:rPr>
          <w:rFonts w:ascii="Arial" w:hAnsi="Arial" w:cs="Arial"/>
          <w:sz w:val="24"/>
          <w:szCs w:val="24"/>
        </w:rPr>
        <w:t xml:space="preserve"> performing reserved work for gain by unregistered persons – the thrust of s 13 – is furthered by subsection 13(1</w:t>
      </w:r>
      <w:proofErr w:type="gramStart"/>
      <w:r>
        <w:rPr>
          <w:rFonts w:ascii="Arial" w:hAnsi="Arial" w:cs="Arial"/>
          <w:sz w:val="24"/>
          <w:szCs w:val="24"/>
        </w:rPr>
        <w:t>)(</w:t>
      </w:r>
      <w:proofErr w:type="gramEnd"/>
      <w:r>
        <w:rPr>
          <w:rFonts w:ascii="Arial" w:hAnsi="Arial" w:cs="Arial"/>
          <w:sz w:val="24"/>
          <w:szCs w:val="24"/>
        </w:rPr>
        <w:t xml:space="preserve">b) by ensuring that this prohibition </w:t>
      </w:r>
      <w:r w:rsidR="00581363">
        <w:rPr>
          <w:rFonts w:ascii="Arial" w:hAnsi="Arial" w:cs="Arial"/>
          <w:sz w:val="24"/>
          <w:szCs w:val="24"/>
        </w:rPr>
        <w:t>is also directed at</w:t>
      </w:r>
      <w:r>
        <w:rPr>
          <w:rFonts w:ascii="Arial" w:hAnsi="Arial" w:cs="Arial"/>
          <w:sz w:val="24"/>
          <w:szCs w:val="24"/>
        </w:rPr>
        <w:t xml:space="preserve"> a non-natural person.</w:t>
      </w:r>
    </w:p>
    <w:p w:rsidR="008E11F9" w:rsidRDefault="008E11F9" w:rsidP="008E11F9">
      <w:pPr>
        <w:pStyle w:val="ListParagraph"/>
        <w:rPr>
          <w:rFonts w:ascii="Arial" w:hAnsi="Arial" w:cs="Arial"/>
          <w:sz w:val="24"/>
          <w:szCs w:val="24"/>
        </w:rPr>
      </w:pPr>
    </w:p>
    <w:p w:rsidR="00133378" w:rsidRDefault="00875389"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approach</w:t>
      </w:r>
      <w:r w:rsidR="00186CAE">
        <w:rPr>
          <w:rFonts w:ascii="Arial" w:hAnsi="Arial" w:cs="Arial"/>
          <w:sz w:val="24"/>
          <w:szCs w:val="24"/>
        </w:rPr>
        <w:t xml:space="preserve"> adopted</w:t>
      </w:r>
      <w:r>
        <w:rPr>
          <w:rFonts w:ascii="Arial" w:hAnsi="Arial" w:cs="Arial"/>
          <w:sz w:val="24"/>
          <w:szCs w:val="24"/>
        </w:rPr>
        <w:t xml:space="preserve"> in </w:t>
      </w:r>
      <w:r>
        <w:rPr>
          <w:rFonts w:ascii="Arial" w:hAnsi="Arial" w:cs="Arial"/>
          <w:i/>
          <w:sz w:val="24"/>
          <w:szCs w:val="24"/>
        </w:rPr>
        <w:t>Nkandi</w:t>
      </w:r>
      <w:r>
        <w:rPr>
          <w:rFonts w:ascii="Arial" w:hAnsi="Arial" w:cs="Arial"/>
          <w:sz w:val="24"/>
          <w:szCs w:val="24"/>
        </w:rPr>
        <w:t xml:space="preserve"> is that s 13(1</w:t>
      </w:r>
      <w:proofErr w:type="gramStart"/>
      <w:r>
        <w:rPr>
          <w:rFonts w:ascii="Arial" w:hAnsi="Arial" w:cs="Arial"/>
          <w:sz w:val="24"/>
          <w:szCs w:val="24"/>
        </w:rPr>
        <w:t>)(</w:t>
      </w:r>
      <w:proofErr w:type="gramEnd"/>
      <w:r>
        <w:rPr>
          <w:rFonts w:ascii="Arial" w:hAnsi="Arial" w:cs="Arial"/>
          <w:sz w:val="24"/>
          <w:szCs w:val="24"/>
        </w:rPr>
        <w:t>b) means that it constitutes a criminal offence for reserved work</w:t>
      </w:r>
      <w:r w:rsidR="00186CAE">
        <w:rPr>
          <w:rFonts w:ascii="Arial" w:hAnsi="Arial" w:cs="Arial"/>
          <w:sz w:val="24"/>
          <w:szCs w:val="24"/>
        </w:rPr>
        <w:t xml:space="preserve"> to be carried out</w:t>
      </w:r>
      <w:r>
        <w:rPr>
          <w:rFonts w:ascii="Arial" w:hAnsi="Arial" w:cs="Arial"/>
          <w:sz w:val="24"/>
          <w:szCs w:val="24"/>
        </w:rPr>
        <w:t xml:space="preserve"> by a non-natural person, even if the actual performance of the reserved work is by a registered architect – </w:t>
      </w:r>
      <w:r w:rsidR="00186CAE">
        <w:rPr>
          <w:rFonts w:ascii="Arial" w:hAnsi="Arial" w:cs="Arial"/>
          <w:sz w:val="24"/>
          <w:szCs w:val="24"/>
        </w:rPr>
        <w:t xml:space="preserve">as </w:t>
      </w:r>
      <w:r>
        <w:rPr>
          <w:rFonts w:ascii="Arial" w:hAnsi="Arial" w:cs="Arial"/>
          <w:sz w:val="24"/>
          <w:szCs w:val="24"/>
        </w:rPr>
        <w:t xml:space="preserve">is also pleaded in this case. </w:t>
      </w:r>
    </w:p>
    <w:p w:rsidR="00133378" w:rsidRDefault="00133378" w:rsidP="00133378">
      <w:pPr>
        <w:pStyle w:val="ListParagraph"/>
        <w:rPr>
          <w:rFonts w:ascii="Arial" w:hAnsi="Arial" w:cs="Arial"/>
          <w:sz w:val="24"/>
          <w:szCs w:val="24"/>
        </w:rPr>
      </w:pPr>
    </w:p>
    <w:p w:rsidR="008E11F9" w:rsidRDefault="00875389"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prohibition </w:t>
      </w:r>
      <w:r w:rsidR="009507BC">
        <w:rPr>
          <w:rFonts w:ascii="Arial" w:hAnsi="Arial" w:cs="Arial"/>
          <w:sz w:val="24"/>
          <w:szCs w:val="24"/>
        </w:rPr>
        <w:t xml:space="preserve">creating a criminal offence </w:t>
      </w:r>
      <w:r>
        <w:rPr>
          <w:rFonts w:ascii="Arial" w:hAnsi="Arial" w:cs="Arial"/>
          <w:sz w:val="24"/>
          <w:szCs w:val="24"/>
        </w:rPr>
        <w:t>in s 13(1</w:t>
      </w:r>
      <w:proofErr w:type="gramStart"/>
      <w:r>
        <w:rPr>
          <w:rFonts w:ascii="Arial" w:hAnsi="Arial" w:cs="Arial"/>
          <w:sz w:val="24"/>
          <w:szCs w:val="24"/>
        </w:rPr>
        <w:t>)(</w:t>
      </w:r>
      <w:proofErr w:type="gramEnd"/>
      <w:r>
        <w:rPr>
          <w:rFonts w:ascii="Arial" w:hAnsi="Arial" w:cs="Arial"/>
          <w:sz w:val="24"/>
          <w:szCs w:val="24"/>
        </w:rPr>
        <w:t xml:space="preserve">b) is to be restrictively construed within its </w:t>
      </w:r>
      <w:r w:rsidR="00E27C00">
        <w:rPr>
          <w:rFonts w:ascii="Arial" w:hAnsi="Arial" w:cs="Arial"/>
          <w:sz w:val="24"/>
          <w:szCs w:val="24"/>
        </w:rPr>
        <w:t xml:space="preserve">context. The legislature determined that this sub-section was to be put into operation at least a year later than the Act. During that intervening period, regulations were promulgated which set rules of conduct for architects. </w:t>
      </w:r>
      <w:r w:rsidR="00E27C00">
        <w:rPr>
          <w:rFonts w:ascii="Arial" w:hAnsi="Arial" w:cs="Arial"/>
          <w:sz w:val="24"/>
          <w:szCs w:val="24"/>
        </w:rPr>
        <w:lastRenderedPageBreak/>
        <w:t>Included in those rules is regulation 4(1</w:t>
      </w:r>
      <w:proofErr w:type="gramStart"/>
      <w:r w:rsidR="00E27C00">
        <w:rPr>
          <w:rFonts w:ascii="Arial" w:hAnsi="Arial" w:cs="Arial"/>
          <w:sz w:val="24"/>
          <w:szCs w:val="24"/>
        </w:rPr>
        <w:t>)(</w:t>
      </w:r>
      <w:proofErr w:type="gramEnd"/>
      <w:r w:rsidR="00E27C00">
        <w:rPr>
          <w:rFonts w:ascii="Arial" w:hAnsi="Arial" w:cs="Arial"/>
          <w:sz w:val="24"/>
          <w:szCs w:val="24"/>
        </w:rPr>
        <w:t>kk) which expressly contemplates the practice of architects within an incorporated company under the then applicable Companies Act.</w:t>
      </w:r>
      <w:r w:rsidR="00E27C00">
        <w:rPr>
          <w:rStyle w:val="FootnoteReference"/>
          <w:rFonts w:ascii="Arial" w:hAnsi="Arial" w:cs="Arial"/>
          <w:sz w:val="24"/>
          <w:szCs w:val="24"/>
        </w:rPr>
        <w:footnoteReference w:id="23"/>
      </w:r>
    </w:p>
    <w:p w:rsidR="00E27C00" w:rsidRDefault="00E27C00" w:rsidP="00E27C00">
      <w:pPr>
        <w:pStyle w:val="ListParagraph"/>
        <w:rPr>
          <w:rFonts w:ascii="Arial" w:hAnsi="Arial" w:cs="Arial"/>
          <w:sz w:val="24"/>
          <w:szCs w:val="24"/>
        </w:rPr>
      </w:pPr>
    </w:p>
    <w:p w:rsidR="00E27C00" w:rsidRDefault="00E27C00"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That </w:t>
      </w:r>
      <w:r w:rsidR="00042E40">
        <w:rPr>
          <w:rFonts w:ascii="Arial" w:hAnsi="Arial" w:cs="Arial"/>
          <w:sz w:val="24"/>
          <w:szCs w:val="24"/>
        </w:rPr>
        <w:t xml:space="preserve">corporate </w:t>
      </w:r>
      <w:r>
        <w:rPr>
          <w:rFonts w:ascii="Arial" w:hAnsi="Arial" w:cs="Arial"/>
          <w:sz w:val="24"/>
          <w:szCs w:val="24"/>
        </w:rPr>
        <w:t>structure</w:t>
      </w:r>
      <w:r w:rsidR="00042E40">
        <w:rPr>
          <w:rFonts w:ascii="Arial" w:hAnsi="Arial" w:cs="Arial"/>
          <w:sz w:val="24"/>
          <w:szCs w:val="24"/>
        </w:rPr>
        <w:t>, under regulation 4(1)(kk),</w:t>
      </w:r>
      <w:r>
        <w:rPr>
          <w:rFonts w:ascii="Arial" w:hAnsi="Arial" w:cs="Arial"/>
          <w:sz w:val="24"/>
          <w:szCs w:val="24"/>
        </w:rPr>
        <w:t xml:space="preserve"> requires joint and several liability of directors for the debts and liabilities of that incorporated company set up for the purpose of carrying out the </w:t>
      </w:r>
      <w:r w:rsidR="00042E40">
        <w:rPr>
          <w:rFonts w:ascii="Arial" w:hAnsi="Arial" w:cs="Arial"/>
          <w:sz w:val="24"/>
          <w:szCs w:val="24"/>
        </w:rPr>
        <w:t>practice</w:t>
      </w:r>
      <w:r>
        <w:rPr>
          <w:rFonts w:ascii="Arial" w:hAnsi="Arial" w:cs="Arial"/>
          <w:sz w:val="24"/>
          <w:szCs w:val="24"/>
        </w:rPr>
        <w:t xml:space="preserve"> of an architect.</w:t>
      </w:r>
    </w:p>
    <w:p w:rsidR="00E27C00" w:rsidRDefault="00E27C00" w:rsidP="00E27C00">
      <w:pPr>
        <w:pStyle w:val="ListParagraph"/>
        <w:rPr>
          <w:rFonts w:ascii="Arial" w:hAnsi="Arial" w:cs="Arial"/>
          <w:sz w:val="24"/>
          <w:szCs w:val="24"/>
        </w:rPr>
      </w:pPr>
    </w:p>
    <w:p w:rsidR="00E27C00" w:rsidRDefault="00E27C00"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Surprisingly the existence of this regulation is not referred to in </w:t>
      </w:r>
      <w:r>
        <w:rPr>
          <w:rFonts w:ascii="Arial" w:hAnsi="Arial" w:cs="Arial"/>
          <w:i/>
          <w:sz w:val="24"/>
          <w:szCs w:val="24"/>
        </w:rPr>
        <w:t>Nkandi</w:t>
      </w:r>
      <w:r>
        <w:rPr>
          <w:rFonts w:ascii="Arial" w:hAnsi="Arial" w:cs="Arial"/>
          <w:sz w:val="24"/>
          <w:szCs w:val="24"/>
        </w:rPr>
        <w:t xml:space="preserve">. Nor is the nature of the corporate structure of the first plaintiff anywhere </w:t>
      </w:r>
      <w:r w:rsidR="00133378">
        <w:rPr>
          <w:rFonts w:ascii="Arial" w:hAnsi="Arial" w:cs="Arial"/>
          <w:sz w:val="24"/>
          <w:szCs w:val="24"/>
        </w:rPr>
        <w:t xml:space="preserve">stated </w:t>
      </w:r>
      <w:r>
        <w:rPr>
          <w:rFonts w:ascii="Arial" w:hAnsi="Arial" w:cs="Arial"/>
          <w:sz w:val="24"/>
          <w:szCs w:val="24"/>
        </w:rPr>
        <w:t>in that judgment. The first plaintiff is merely referred to as Kondjeni Nkandi Architects in the heading</w:t>
      </w:r>
      <w:r w:rsidR="00133378">
        <w:rPr>
          <w:rFonts w:ascii="Arial" w:hAnsi="Arial" w:cs="Arial"/>
          <w:sz w:val="24"/>
          <w:szCs w:val="24"/>
        </w:rPr>
        <w:t xml:space="preserve"> of the judgment</w:t>
      </w:r>
      <w:r>
        <w:rPr>
          <w:rFonts w:ascii="Arial" w:hAnsi="Arial" w:cs="Arial"/>
          <w:sz w:val="24"/>
          <w:szCs w:val="24"/>
        </w:rPr>
        <w:t xml:space="preserve"> and nowhere in the judgment is its legal personality described or even referred to.</w:t>
      </w:r>
    </w:p>
    <w:p w:rsidR="00E27C00" w:rsidRDefault="00E27C00" w:rsidP="00E27C00">
      <w:pPr>
        <w:pStyle w:val="ListParagraph"/>
        <w:rPr>
          <w:rFonts w:ascii="Arial" w:hAnsi="Arial" w:cs="Arial"/>
          <w:sz w:val="24"/>
          <w:szCs w:val="24"/>
        </w:rPr>
      </w:pPr>
    </w:p>
    <w:p w:rsidR="00E27C00" w:rsidRDefault="00E27C00"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Even though the Act is defined in s 1 to include the regulations, it has been held that the meaning to be given to a provision in an Act is to </w:t>
      </w:r>
      <w:r w:rsidR="00716071">
        <w:rPr>
          <w:rFonts w:ascii="Arial" w:hAnsi="Arial" w:cs="Arial"/>
          <w:sz w:val="24"/>
          <w:szCs w:val="24"/>
        </w:rPr>
        <w:t xml:space="preserve">be </w:t>
      </w:r>
      <w:r>
        <w:rPr>
          <w:rFonts w:ascii="Arial" w:hAnsi="Arial" w:cs="Arial"/>
          <w:sz w:val="24"/>
          <w:szCs w:val="24"/>
        </w:rPr>
        <w:t>scrutinise</w:t>
      </w:r>
      <w:r w:rsidR="00716071">
        <w:rPr>
          <w:rFonts w:ascii="Arial" w:hAnsi="Arial" w:cs="Arial"/>
          <w:sz w:val="24"/>
          <w:szCs w:val="24"/>
        </w:rPr>
        <w:t>d</w:t>
      </w:r>
      <w:r>
        <w:rPr>
          <w:rFonts w:ascii="Arial" w:hAnsi="Arial" w:cs="Arial"/>
          <w:sz w:val="24"/>
          <w:szCs w:val="24"/>
        </w:rPr>
        <w:t xml:space="preserve"> </w:t>
      </w:r>
      <w:r w:rsidR="00716071">
        <w:rPr>
          <w:rFonts w:ascii="Arial" w:hAnsi="Arial" w:cs="Arial"/>
          <w:sz w:val="24"/>
          <w:szCs w:val="24"/>
        </w:rPr>
        <w:t xml:space="preserve">and </w:t>
      </w:r>
      <w:r>
        <w:rPr>
          <w:rFonts w:ascii="Arial" w:hAnsi="Arial" w:cs="Arial"/>
          <w:sz w:val="24"/>
          <w:szCs w:val="24"/>
        </w:rPr>
        <w:t xml:space="preserve">a meaning assigned to it without using </w:t>
      </w:r>
      <w:r w:rsidR="00133378">
        <w:rPr>
          <w:rFonts w:ascii="Arial" w:hAnsi="Arial" w:cs="Arial"/>
          <w:sz w:val="24"/>
          <w:szCs w:val="24"/>
        </w:rPr>
        <w:t xml:space="preserve">the wording used in a </w:t>
      </w:r>
      <w:r>
        <w:rPr>
          <w:rFonts w:ascii="Arial" w:hAnsi="Arial" w:cs="Arial"/>
          <w:sz w:val="24"/>
          <w:szCs w:val="24"/>
        </w:rPr>
        <w:t>regulation as an aid to interpret the former.</w:t>
      </w:r>
      <w:r>
        <w:rPr>
          <w:rStyle w:val="FootnoteReference"/>
          <w:rFonts w:ascii="Arial" w:hAnsi="Arial" w:cs="Arial"/>
          <w:sz w:val="24"/>
          <w:szCs w:val="24"/>
        </w:rPr>
        <w:footnoteReference w:id="24"/>
      </w:r>
      <w:r>
        <w:rPr>
          <w:rFonts w:ascii="Arial" w:hAnsi="Arial" w:cs="Arial"/>
          <w:sz w:val="24"/>
          <w:szCs w:val="24"/>
        </w:rPr>
        <w:t xml:space="preserve"> In this instance, the respondent relies upon s 13(1</w:t>
      </w:r>
      <w:proofErr w:type="gramStart"/>
      <w:r>
        <w:rPr>
          <w:rFonts w:ascii="Arial" w:hAnsi="Arial" w:cs="Arial"/>
          <w:sz w:val="24"/>
          <w:szCs w:val="24"/>
        </w:rPr>
        <w:t>)(</w:t>
      </w:r>
      <w:proofErr w:type="gramEnd"/>
      <w:r>
        <w:rPr>
          <w:rFonts w:ascii="Arial" w:hAnsi="Arial" w:cs="Arial"/>
          <w:sz w:val="24"/>
          <w:szCs w:val="24"/>
        </w:rPr>
        <w:t>b) which</w:t>
      </w:r>
      <w:r w:rsidR="00042E40">
        <w:rPr>
          <w:rFonts w:ascii="Arial" w:hAnsi="Arial" w:cs="Arial"/>
          <w:sz w:val="24"/>
          <w:szCs w:val="24"/>
        </w:rPr>
        <w:t xml:space="preserve"> is</w:t>
      </w:r>
      <w:r>
        <w:rPr>
          <w:rFonts w:ascii="Arial" w:hAnsi="Arial" w:cs="Arial"/>
          <w:sz w:val="24"/>
          <w:szCs w:val="24"/>
        </w:rPr>
        <w:t xml:space="preserve"> said </w:t>
      </w:r>
      <w:r w:rsidR="00133378">
        <w:rPr>
          <w:rFonts w:ascii="Arial" w:hAnsi="Arial" w:cs="Arial"/>
          <w:sz w:val="24"/>
          <w:szCs w:val="24"/>
        </w:rPr>
        <w:t xml:space="preserve">in </w:t>
      </w:r>
      <w:r w:rsidR="00133378">
        <w:rPr>
          <w:rFonts w:ascii="Arial" w:hAnsi="Arial" w:cs="Arial"/>
          <w:i/>
          <w:sz w:val="24"/>
          <w:szCs w:val="24"/>
        </w:rPr>
        <w:t xml:space="preserve">Nkandi </w:t>
      </w:r>
      <w:r>
        <w:rPr>
          <w:rFonts w:ascii="Arial" w:hAnsi="Arial" w:cs="Arial"/>
          <w:sz w:val="24"/>
          <w:szCs w:val="24"/>
        </w:rPr>
        <w:t xml:space="preserve">to create a crime or offence for non-natural persons to carry </w:t>
      </w:r>
      <w:r w:rsidR="00376D09">
        <w:rPr>
          <w:rFonts w:ascii="Arial" w:hAnsi="Arial" w:cs="Arial"/>
          <w:sz w:val="24"/>
          <w:szCs w:val="24"/>
        </w:rPr>
        <w:t xml:space="preserve">out architectural work. But </w:t>
      </w:r>
      <w:r w:rsidR="00133378">
        <w:rPr>
          <w:rFonts w:ascii="Arial" w:hAnsi="Arial" w:cs="Arial"/>
          <w:sz w:val="24"/>
          <w:szCs w:val="24"/>
        </w:rPr>
        <w:t>can</w:t>
      </w:r>
      <w:r w:rsidR="00376D09">
        <w:rPr>
          <w:rFonts w:ascii="Arial" w:hAnsi="Arial" w:cs="Arial"/>
          <w:sz w:val="24"/>
          <w:szCs w:val="24"/>
        </w:rPr>
        <w:t xml:space="preserve"> this constitute an offence if the legislature expressly provides that it is to come into operation at a later </w:t>
      </w:r>
      <w:r w:rsidR="00133378">
        <w:rPr>
          <w:rFonts w:ascii="Arial" w:hAnsi="Arial" w:cs="Arial"/>
          <w:sz w:val="24"/>
          <w:szCs w:val="24"/>
        </w:rPr>
        <w:t xml:space="preserve">date </w:t>
      </w:r>
      <w:r w:rsidR="00376D09">
        <w:rPr>
          <w:rFonts w:ascii="Arial" w:hAnsi="Arial" w:cs="Arial"/>
          <w:sz w:val="24"/>
          <w:szCs w:val="24"/>
        </w:rPr>
        <w:t xml:space="preserve">and during that intervening period regulations are promulgated </w:t>
      </w:r>
      <w:r w:rsidR="00042E40">
        <w:rPr>
          <w:rFonts w:ascii="Arial" w:hAnsi="Arial" w:cs="Arial"/>
          <w:sz w:val="24"/>
          <w:szCs w:val="24"/>
        </w:rPr>
        <w:t>establishing</w:t>
      </w:r>
      <w:r w:rsidR="00376D09">
        <w:rPr>
          <w:rFonts w:ascii="Arial" w:hAnsi="Arial" w:cs="Arial"/>
          <w:sz w:val="24"/>
          <w:szCs w:val="24"/>
        </w:rPr>
        <w:t xml:space="preserve"> professional rules of conduct wh</w:t>
      </w:r>
      <w:r w:rsidR="00042E40">
        <w:rPr>
          <w:rFonts w:ascii="Arial" w:hAnsi="Arial" w:cs="Arial"/>
          <w:sz w:val="24"/>
          <w:szCs w:val="24"/>
        </w:rPr>
        <w:t xml:space="preserve">ich expressly contemplate that </w:t>
      </w:r>
      <w:r w:rsidR="00376D09">
        <w:rPr>
          <w:rFonts w:ascii="Arial" w:hAnsi="Arial" w:cs="Arial"/>
          <w:sz w:val="24"/>
          <w:szCs w:val="24"/>
        </w:rPr>
        <w:t>very conduct? When I posed this to respondent’s coun</w:t>
      </w:r>
      <w:r w:rsidR="00133378">
        <w:rPr>
          <w:rFonts w:ascii="Arial" w:hAnsi="Arial" w:cs="Arial"/>
          <w:sz w:val="24"/>
          <w:szCs w:val="24"/>
        </w:rPr>
        <w:t>se</w:t>
      </w:r>
      <w:r w:rsidR="00376D09">
        <w:rPr>
          <w:rFonts w:ascii="Arial" w:hAnsi="Arial" w:cs="Arial"/>
          <w:sz w:val="24"/>
          <w:szCs w:val="24"/>
        </w:rPr>
        <w:t xml:space="preserve">l in argument, he responded that the regulation would appear to be </w:t>
      </w:r>
      <w:r w:rsidR="00376D09" w:rsidRPr="00133378">
        <w:rPr>
          <w:rFonts w:ascii="Arial" w:hAnsi="Arial" w:cs="Arial"/>
          <w:i/>
          <w:sz w:val="24"/>
          <w:szCs w:val="24"/>
        </w:rPr>
        <w:t>ultra vires</w:t>
      </w:r>
      <w:r w:rsidR="00376D09">
        <w:rPr>
          <w:rFonts w:ascii="Arial" w:hAnsi="Arial" w:cs="Arial"/>
          <w:sz w:val="24"/>
          <w:szCs w:val="24"/>
        </w:rPr>
        <w:t xml:space="preserve"> (beyond the power) of the executive. (The fact that the regulations </w:t>
      </w:r>
      <w:r w:rsidR="00376D09">
        <w:rPr>
          <w:rFonts w:ascii="Arial" w:hAnsi="Arial" w:cs="Arial"/>
          <w:sz w:val="24"/>
          <w:szCs w:val="24"/>
        </w:rPr>
        <w:lastRenderedPageBreak/>
        <w:t xml:space="preserve">were promulgated by the Administrator-General who at that stage </w:t>
      </w:r>
      <w:r w:rsidR="00133378">
        <w:rPr>
          <w:rFonts w:ascii="Arial" w:hAnsi="Arial" w:cs="Arial"/>
          <w:sz w:val="24"/>
          <w:szCs w:val="24"/>
        </w:rPr>
        <w:t xml:space="preserve">was also </w:t>
      </w:r>
      <w:r w:rsidR="009507BC">
        <w:rPr>
          <w:rFonts w:ascii="Arial" w:hAnsi="Arial" w:cs="Arial"/>
          <w:sz w:val="24"/>
          <w:szCs w:val="24"/>
        </w:rPr>
        <w:t xml:space="preserve">coincidentally </w:t>
      </w:r>
      <w:r w:rsidR="00133378">
        <w:rPr>
          <w:rFonts w:ascii="Arial" w:hAnsi="Arial" w:cs="Arial"/>
          <w:sz w:val="24"/>
          <w:szCs w:val="24"/>
        </w:rPr>
        <w:t>vested with</w:t>
      </w:r>
      <w:r w:rsidR="00376D09">
        <w:rPr>
          <w:rFonts w:ascii="Arial" w:hAnsi="Arial" w:cs="Arial"/>
          <w:sz w:val="24"/>
          <w:szCs w:val="24"/>
        </w:rPr>
        <w:t xml:space="preserve"> legislat</w:t>
      </w:r>
      <w:r w:rsidR="00716071">
        <w:rPr>
          <w:rFonts w:ascii="Arial" w:hAnsi="Arial" w:cs="Arial"/>
          <w:sz w:val="24"/>
          <w:szCs w:val="24"/>
        </w:rPr>
        <w:t>iv</w:t>
      </w:r>
      <w:r w:rsidR="00376D09">
        <w:rPr>
          <w:rFonts w:ascii="Arial" w:hAnsi="Arial" w:cs="Arial"/>
          <w:sz w:val="24"/>
          <w:szCs w:val="24"/>
        </w:rPr>
        <w:t>e powers</w:t>
      </w:r>
      <w:r w:rsidR="00133378">
        <w:rPr>
          <w:rFonts w:ascii="Arial" w:hAnsi="Arial" w:cs="Arial"/>
          <w:sz w:val="24"/>
          <w:szCs w:val="24"/>
        </w:rPr>
        <w:t>, having re-assu</w:t>
      </w:r>
      <w:r w:rsidR="009507BC">
        <w:rPr>
          <w:rFonts w:ascii="Arial" w:hAnsi="Arial" w:cs="Arial"/>
          <w:sz w:val="24"/>
          <w:szCs w:val="24"/>
        </w:rPr>
        <w:t>m</w:t>
      </w:r>
      <w:r w:rsidR="00133378">
        <w:rPr>
          <w:rFonts w:ascii="Arial" w:hAnsi="Arial" w:cs="Arial"/>
          <w:sz w:val="24"/>
          <w:szCs w:val="24"/>
        </w:rPr>
        <w:t>ed legislative powers from the erstwhile National Assembly</w:t>
      </w:r>
      <w:r w:rsidR="00581363">
        <w:rPr>
          <w:rFonts w:ascii="Arial" w:hAnsi="Arial" w:cs="Arial"/>
          <w:sz w:val="24"/>
          <w:szCs w:val="24"/>
        </w:rPr>
        <w:t xml:space="preserve"> which passed the Act</w:t>
      </w:r>
      <w:r w:rsidR="00133378">
        <w:rPr>
          <w:rFonts w:ascii="Arial" w:hAnsi="Arial" w:cs="Arial"/>
          <w:sz w:val="24"/>
          <w:szCs w:val="24"/>
        </w:rPr>
        <w:t>, takes the matter no</w:t>
      </w:r>
      <w:r w:rsidR="00376D09">
        <w:rPr>
          <w:rFonts w:ascii="Arial" w:hAnsi="Arial" w:cs="Arial"/>
          <w:sz w:val="24"/>
          <w:szCs w:val="24"/>
        </w:rPr>
        <w:t xml:space="preserve"> further as the power to regulate in the Act is subordinate a</w:t>
      </w:r>
      <w:r w:rsidR="00133378">
        <w:rPr>
          <w:rFonts w:ascii="Arial" w:hAnsi="Arial" w:cs="Arial"/>
          <w:sz w:val="24"/>
          <w:szCs w:val="24"/>
        </w:rPr>
        <w:t>nd</w:t>
      </w:r>
      <w:r w:rsidR="00042E40">
        <w:rPr>
          <w:rFonts w:ascii="Arial" w:hAnsi="Arial" w:cs="Arial"/>
          <w:sz w:val="24"/>
          <w:szCs w:val="24"/>
        </w:rPr>
        <w:t xml:space="preserve"> wa</w:t>
      </w:r>
      <w:r w:rsidR="00376D09">
        <w:rPr>
          <w:rFonts w:ascii="Arial" w:hAnsi="Arial" w:cs="Arial"/>
          <w:sz w:val="24"/>
          <w:szCs w:val="24"/>
        </w:rPr>
        <w:t xml:space="preserve">s performed in </w:t>
      </w:r>
      <w:r w:rsidR="00042E40">
        <w:rPr>
          <w:rFonts w:ascii="Arial" w:hAnsi="Arial" w:cs="Arial"/>
          <w:sz w:val="24"/>
          <w:szCs w:val="24"/>
        </w:rPr>
        <w:t>this</w:t>
      </w:r>
      <w:r w:rsidR="00376D09">
        <w:rPr>
          <w:rFonts w:ascii="Arial" w:hAnsi="Arial" w:cs="Arial"/>
          <w:sz w:val="24"/>
          <w:szCs w:val="24"/>
        </w:rPr>
        <w:t xml:space="preserve"> capacity</w:t>
      </w:r>
      <w:r w:rsidR="00133378">
        <w:rPr>
          <w:rFonts w:ascii="Arial" w:hAnsi="Arial" w:cs="Arial"/>
          <w:sz w:val="24"/>
          <w:szCs w:val="24"/>
        </w:rPr>
        <w:t xml:space="preserve"> </w:t>
      </w:r>
      <w:r w:rsidR="00107DB2">
        <w:rPr>
          <w:rFonts w:ascii="Arial" w:hAnsi="Arial" w:cs="Arial"/>
          <w:sz w:val="24"/>
          <w:szCs w:val="24"/>
        </w:rPr>
        <w:t>as repository of</w:t>
      </w:r>
      <w:r w:rsidR="00133378">
        <w:rPr>
          <w:rFonts w:ascii="Arial" w:hAnsi="Arial" w:cs="Arial"/>
          <w:sz w:val="24"/>
          <w:szCs w:val="24"/>
        </w:rPr>
        <w:t xml:space="preserve"> executive</w:t>
      </w:r>
      <w:r w:rsidR="00337459">
        <w:rPr>
          <w:rFonts w:ascii="Arial" w:hAnsi="Arial" w:cs="Arial"/>
          <w:sz w:val="24"/>
          <w:szCs w:val="24"/>
        </w:rPr>
        <w:t xml:space="preserve"> powers in promulgating that subordinate legislation</w:t>
      </w:r>
      <w:r w:rsidR="00376D09">
        <w:rPr>
          <w:rFonts w:ascii="Arial" w:hAnsi="Arial" w:cs="Arial"/>
          <w:sz w:val="24"/>
          <w:szCs w:val="24"/>
        </w:rPr>
        <w:t>).</w:t>
      </w:r>
      <w:r w:rsidR="00107DB2">
        <w:rPr>
          <w:rStyle w:val="FootnoteReference"/>
          <w:rFonts w:ascii="Arial" w:hAnsi="Arial" w:cs="Arial"/>
          <w:sz w:val="24"/>
          <w:szCs w:val="24"/>
        </w:rPr>
        <w:footnoteReference w:id="25"/>
      </w:r>
    </w:p>
    <w:p w:rsidR="00376D09" w:rsidRDefault="00376D09" w:rsidP="00376D09">
      <w:pPr>
        <w:pStyle w:val="ListParagraph"/>
        <w:rPr>
          <w:rFonts w:ascii="Arial" w:hAnsi="Arial" w:cs="Arial"/>
          <w:sz w:val="24"/>
          <w:szCs w:val="24"/>
        </w:rPr>
      </w:pPr>
    </w:p>
    <w:p w:rsidR="00376D09" w:rsidRDefault="00376D09"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Regulation 4(1</w:t>
      </w:r>
      <w:proofErr w:type="gramStart"/>
      <w:r>
        <w:rPr>
          <w:rFonts w:ascii="Arial" w:hAnsi="Arial" w:cs="Arial"/>
          <w:sz w:val="24"/>
          <w:szCs w:val="24"/>
        </w:rPr>
        <w:t>)(</w:t>
      </w:r>
      <w:proofErr w:type="gramEnd"/>
      <w:r>
        <w:rPr>
          <w:rFonts w:ascii="Arial" w:hAnsi="Arial" w:cs="Arial"/>
          <w:sz w:val="24"/>
          <w:szCs w:val="24"/>
        </w:rPr>
        <w:t xml:space="preserve">kk) has not however been struck down. Nor has that been sought in these proceedings. Until and unless struck down, effect is to be given to it. The rationale </w:t>
      </w:r>
      <w:r w:rsidR="00337459">
        <w:rPr>
          <w:rFonts w:ascii="Arial" w:hAnsi="Arial" w:cs="Arial"/>
          <w:sz w:val="24"/>
          <w:szCs w:val="24"/>
        </w:rPr>
        <w:t>ascribed to passing</w:t>
      </w:r>
      <w:r>
        <w:rPr>
          <w:rFonts w:ascii="Arial" w:hAnsi="Arial" w:cs="Arial"/>
          <w:sz w:val="24"/>
          <w:szCs w:val="24"/>
        </w:rPr>
        <w:t xml:space="preserve"> s 13(1)(b) in </w:t>
      </w:r>
      <w:r>
        <w:rPr>
          <w:rFonts w:ascii="Arial" w:hAnsi="Arial" w:cs="Arial"/>
          <w:i/>
          <w:sz w:val="24"/>
          <w:szCs w:val="24"/>
        </w:rPr>
        <w:t>Nkandi</w:t>
      </w:r>
      <w:r>
        <w:rPr>
          <w:rFonts w:ascii="Arial" w:hAnsi="Arial" w:cs="Arial"/>
          <w:sz w:val="24"/>
          <w:szCs w:val="24"/>
        </w:rPr>
        <w:t xml:space="preserve"> </w:t>
      </w:r>
      <w:r w:rsidR="00337459">
        <w:rPr>
          <w:rFonts w:ascii="Arial" w:hAnsi="Arial" w:cs="Arial"/>
          <w:sz w:val="24"/>
          <w:szCs w:val="24"/>
        </w:rPr>
        <w:t>quoted in para 3</w:t>
      </w:r>
      <w:r w:rsidR="00581363">
        <w:rPr>
          <w:rFonts w:ascii="Arial" w:hAnsi="Arial" w:cs="Arial"/>
          <w:sz w:val="24"/>
          <w:szCs w:val="24"/>
        </w:rPr>
        <w:t>4</w:t>
      </w:r>
      <w:r w:rsidR="00337459">
        <w:rPr>
          <w:rFonts w:ascii="Arial" w:hAnsi="Arial" w:cs="Arial"/>
          <w:sz w:val="24"/>
          <w:szCs w:val="24"/>
        </w:rPr>
        <w:t xml:space="preserve"> above, </w:t>
      </w:r>
      <w:r w:rsidR="009507BC">
        <w:rPr>
          <w:rFonts w:ascii="Arial" w:hAnsi="Arial" w:cs="Arial"/>
          <w:sz w:val="24"/>
          <w:szCs w:val="24"/>
        </w:rPr>
        <w:t>for which there is little indication in the Act</w:t>
      </w:r>
      <w:r w:rsidR="00337459">
        <w:rPr>
          <w:rFonts w:ascii="Arial" w:hAnsi="Arial" w:cs="Arial"/>
          <w:sz w:val="24"/>
          <w:szCs w:val="24"/>
        </w:rPr>
        <w:t>,</w:t>
      </w:r>
      <w:r w:rsidR="009507BC">
        <w:rPr>
          <w:rFonts w:ascii="Arial" w:hAnsi="Arial" w:cs="Arial"/>
          <w:sz w:val="24"/>
          <w:szCs w:val="24"/>
        </w:rPr>
        <w:t xml:space="preserve"> </w:t>
      </w:r>
      <w:r>
        <w:rPr>
          <w:rFonts w:ascii="Arial" w:hAnsi="Arial" w:cs="Arial"/>
          <w:sz w:val="24"/>
          <w:szCs w:val="24"/>
        </w:rPr>
        <w:t xml:space="preserve">is </w:t>
      </w:r>
      <w:r w:rsidR="00337459">
        <w:rPr>
          <w:rFonts w:ascii="Arial" w:hAnsi="Arial" w:cs="Arial"/>
          <w:sz w:val="24"/>
          <w:szCs w:val="24"/>
        </w:rPr>
        <w:t>emphatically addressed</w:t>
      </w:r>
      <w:r>
        <w:rPr>
          <w:rFonts w:ascii="Arial" w:hAnsi="Arial" w:cs="Arial"/>
          <w:sz w:val="24"/>
          <w:szCs w:val="24"/>
        </w:rPr>
        <w:t xml:space="preserve"> by regulation 4(1)(kk).</w:t>
      </w:r>
    </w:p>
    <w:p w:rsidR="00376D09" w:rsidRDefault="00376D09" w:rsidP="00376D09">
      <w:pPr>
        <w:pStyle w:val="ListParagraph"/>
        <w:rPr>
          <w:rFonts w:ascii="Arial" w:hAnsi="Arial" w:cs="Arial"/>
          <w:sz w:val="24"/>
          <w:szCs w:val="24"/>
        </w:rPr>
      </w:pPr>
    </w:p>
    <w:p w:rsidR="007551B1" w:rsidRDefault="00376D09"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Whilst </w:t>
      </w:r>
      <w:r w:rsidR="00133378">
        <w:rPr>
          <w:rFonts w:ascii="Arial" w:hAnsi="Arial" w:cs="Arial"/>
          <w:sz w:val="24"/>
          <w:szCs w:val="24"/>
        </w:rPr>
        <w:t>the wording employed in regulation 4(1)(kk)</w:t>
      </w:r>
      <w:r>
        <w:rPr>
          <w:rFonts w:ascii="Arial" w:hAnsi="Arial" w:cs="Arial"/>
          <w:sz w:val="24"/>
          <w:szCs w:val="24"/>
        </w:rPr>
        <w:t xml:space="preserve"> cannot of its own be an aid to interpret s 13(1)(b) to determine its meaning, it can be considered within the statutory scheme of the </w:t>
      </w:r>
      <w:r w:rsidR="00337459">
        <w:rPr>
          <w:rFonts w:ascii="Arial" w:hAnsi="Arial" w:cs="Arial"/>
          <w:sz w:val="24"/>
          <w:szCs w:val="24"/>
        </w:rPr>
        <w:t>Act and the regulations</w:t>
      </w:r>
      <w:r>
        <w:rPr>
          <w:rFonts w:ascii="Arial" w:hAnsi="Arial" w:cs="Arial"/>
          <w:sz w:val="24"/>
          <w:szCs w:val="24"/>
        </w:rPr>
        <w:t xml:space="preserve"> in considering whether the appellant in this appeal and the first plaintiff in </w:t>
      </w:r>
      <w:r>
        <w:rPr>
          <w:rFonts w:ascii="Arial" w:hAnsi="Arial" w:cs="Arial"/>
          <w:i/>
          <w:sz w:val="24"/>
          <w:szCs w:val="24"/>
        </w:rPr>
        <w:t>Nkandi</w:t>
      </w:r>
      <w:r>
        <w:rPr>
          <w:rFonts w:ascii="Arial" w:hAnsi="Arial" w:cs="Arial"/>
          <w:sz w:val="24"/>
          <w:szCs w:val="24"/>
        </w:rPr>
        <w:t>,</w:t>
      </w:r>
      <w:r w:rsidR="00133378">
        <w:rPr>
          <w:rFonts w:ascii="Arial" w:hAnsi="Arial" w:cs="Arial"/>
          <w:sz w:val="24"/>
          <w:szCs w:val="24"/>
        </w:rPr>
        <w:t xml:space="preserve"> committed a crime or offence. </w:t>
      </w:r>
      <w:r w:rsidR="00581363" w:rsidRPr="007F1D0F">
        <w:rPr>
          <w:rFonts w:ascii="Arial" w:hAnsi="Arial" w:cs="Arial"/>
          <w:sz w:val="24"/>
          <w:szCs w:val="24"/>
          <w:u w:val="single"/>
        </w:rPr>
        <w:t>That</w:t>
      </w:r>
      <w:r w:rsidR="00581363">
        <w:rPr>
          <w:rFonts w:ascii="Arial" w:hAnsi="Arial" w:cs="Arial"/>
          <w:sz w:val="24"/>
          <w:szCs w:val="24"/>
        </w:rPr>
        <w:t xml:space="preserve"> </w:t>
      </w:r>
      <w:r w:rsidR="009507BC">
        <w:rPr>
          <w:rFonts w:ascii="Arial" w:hAnsi="Arial" w:cs="Arial"/>
          <w:sz w:val="24"/>
          <w:szCs w:val="24"/>
        </w:rPr>
        <w:t xml:space="preserve">afterall is the compelling public policy consideration which </w:t>
      </w:r>
      <w:r w:rsidR="00337459">
        <w:rPr>
          <w:rFonts w:ascii="Arial" w:hAnsi="Arial" w:cs="Arial"/>
          <w:sz w:val="24"/>
          <w:szCs w:val="24"/>
        </w:rPr>
        <w:t>c</w:t>
      </w:r>
      <w:r w:rsidR="009507BC">
        <w:rPr>
          <w:rFonts w:ascii="Arial" w:hAnsi="Arial" w:cs="Arial"/>
          <w:sz w:val="24"/>
          <w:szCs w:val="24"/>
        </w:rPr>
        <w:t>ould lead to</w:t>
      </w:r>
      <w:r w:rsidR="00337459">
        <w:rPr>
          <w:rFonts w:ascii="Arial" w:hAnsi="Arial" w:cs="Arial"/>
          <w:sz w:val="24"/>
          <w:szCs w:val="24"/>
        </w:rPr>
        <w:t xml:space="preserve"> the conclusion that the legislature intended</w:t>
      </w:r>
      <w:r w:rsidR="009507BC">
        <w:rPr>
          <w:rFonts w:ascii="Arial" w:hAnsi="Arial" w:cs="Arial"/>
          <w:sz w:val="24"/>
          <w:szCs w:val="24"/>
        </w:rPr>
        <w:t xml:space="preserve"> the invalidity of an agreement to perform that work. </w:t>
      </w:r>
      <w:r w:rsidR="00133378">
        <w:rPr>
          <w:rFonts w:ascii="Arial" w:hAnsi="Arial" w:cs="Arial"/>
          <w:sz w:val="24"/>
          <w:szCs w:val="24"/>
        </w:rPr>
        <w:t xml:space="preserve">In </w:t>
      </w:r>
      <w:r w:rsidR="00133378" w:rsidRPr="00133378">
        <w:rPr>
          <w:rFonts w:ascii="Arial" w:hAnsi="Arial" w:cs="Arial"/>
          <w:i/>
          <w:sz w:val="24"/>
          <w:szCs w:val="24"/>
        </w:rPr>
        <w:t>Nkandi</w:t>
      </w:r>
      <w:r w:rsidR="009507BC">
        <w:rPr>
          <w:rFonts w:ascii="Arial" w:hAnsi="Arial" w:cs="Arial"/>
          <w:i/>
          <w:sz w:val="24"/>
          <w:szCs w:val="24"/>
        </w:rPr>
        <w:t xml:space="preserve">, </w:t>
      </w:r>
      <w:r w:rsidR="009507BC" w:rsidRPr="009507BC">
        <w:rPr>
          <w:rFonts w:ascii="Arial" w:hAnsi="Arial" w:cs="Arial"/>
          <w:sz w:val="24"/>
          <w:szCs w:val="24"/>
        </w:rPr>
        <w:t>u</w:t>
      </w:r>
      <w:r>
        <w:rPr>
          <w:rFonts w:ascii="Arial" w:hAnsi="Arial" w:cs="Arial"/>
          <w:sz w:val="24"/>
          <w:szCs w:val="24"/>
        </w:rPr>
        <w:t xml:space="preserve">pon which the court </w:t>
      </w:r>
      <w:r>
        <w:rPr>
          <w:rFonts w:ascii="Arial" w:hAnsi="Arial" w:cs="Arial"/>
          <w:i/>
          <w:sz w:val="24"/>
          <w:szCs w:val="24"/>
        </w:rPr>
        <w:t xml:space="preserve">a quo </w:t>
      </w:r>
      <w:r>
        <w:rPr>
          <w:rFonts w:ascii="Arial" w:hAnsi="Arial" w:cs="Arial"/>
          <w:sz w:val="24"/>
          <w:szCs w:val="24"/>
        </w:rPr>
        <w:t>based its approach, an examination of the court file shows that the first plaintiff is described as an incorporated company</w:t>
      </w:r>
      <w:r w:rsidR="00133378">
        <w:rPr>
          <w:rFonts w:ascii="Arial" w:hAnsi="Arial" w:cs="Arial"/>
          <w:sz w:val="24"/>
          <w:szCs w:val="24"/>
        </w:rPr>
        <w:t>,</w:t>
      </w:r>
      <w:r>
        <w:rPr>
          <w:rFonts w:ascii="Arial" w:hAnsi="Arial" w:cs="Arial"/>
          <w:sz w:val="24"/>
          <w:szCs w:val="24"/>
        </w:rPr>
        <w:t xml:space="preserve"> as</w:t>
      </w:r>
      <w:r w:rsidR="00337459">
        <w:rPr>
          <w:rFonts w:ascii="Arial" w:hAnsi="Arial" w:cs="Arial"/>
          <w:sz w:val="24"/>
          <w:szCs w:val="24"/>
        </w:rPr>
        <w:t xml:space="preserve"> is</w:t>
      </w:r>
      <w:r>
        <w:rPr>
          <w:rFonts w:ascii="Arial" w:hAnsi="Arial" w:cs="Arial"/>
          <w:sz w:val="24"/>
          <w:szCs w:val="24"/>
        </w:rPr>
        <w:t xml:space="preserve"> expressly contemplated by regulation 4(1)(kk). It is thus by no means clear that the conduct of the first plaintiff in that case would constitute criminal conduct in the circumstances, by carrying </w:t>
      </w:r>
      <w:r w:rsidR="007551B1">
        <w:rPr>
          <w:rFonts w:ascii="Arial" w:hAnsi="Arial" w:cs="Arial"/>
          <w:sz w:val="24"/>
          <w:szCs w:val="24"/>
        </w:rPr>
        <w:t>an architect</w:t>
      </w:r>
      <w:r w:rsidR="00133378">
        <w:rPr>
          <w:rFonts w:ascii="Arial" w:hAnsi="Arial" w:cs="Arial"/>
          <w:sz w:val="24"/>
          <w:szCs w:val="24"/>
        </w:rPr>
        <w:t>’</w:t>
      </w:r>
      <w:r w:rsidR="007551B1">
        <w:rPr>
          <w:rFonts w:ascii="Arial" w:hAnsi="Arial" w:cs="Arial"/>
          <w:sz w:val="24"/>
          <w:szCs w:val="24"/>
        </w:rPr>
        <w:t xml:space="preserve">s practice </w:t>
      </w:r>
      <w:r w:rsidR="007551B1">
        <w:rPr>
          <w:rFonts w:ascii="Arial" w:hAnsi="Arial" w:cs="Arial"/>
          <w:sz w:val="24"/>
          <w:szCs w:val="24"/>
        </w:rPr>
        <w:lastRenderedPageBreak/>
        <w:t xml:space="preserve">through </w:t>
      </w:r>
      <w:r w:rsidR="009507BC">
        <w:rPr>
          <w:rFonts w:ascii="Arial" w:hAnsi="Arial" w:cs="Arial"/>
          <w:sz w:val="24"/>
          <w:szCs w:val="24"/>
        </w:rPr>
        <w:t>an</w:t>
      </w:r>
      <w:r w:rsidR="007551B1">
        <w:rPr>
          <w:rFonts w:ascii="Arial" w:hAnsi="Arial" w:cs="Arial"/>
          <w:sz w:val="24"/>
          <w:szCs w:val="24"/>
        </w:rPr>
        <w:t xml:space="preserve"> entity </w:t>
      </w:r>
      <w:r w:rsidR="00337459">
        <w:rPr>
          <w:rFonts w:ascii="Arial" w:hAnsi="Arial" w:cs="Arial"/>
          <w:sz w:val="24"/>
          <w:szCs w:val="24"/>
        </w:rPr>
        <w:t xml:space="preserve">expressly </w:t>
      </w:r>
      <w:r w:rsidR="009507BC">
        <w:rPr>
          <w:rFonts w:ascii="Arial" w:hAnsi="Arial" w:cs="Arial"/>
          <w:sz w:val="24"/>
          <w:szCs w:val="24"/>
        </w:rPr>
        <w:t>authorised by the regulations</w:t>
      </w:r>
      <w:r w:rsidR="00337459">
        <w:rPr>
          <w:rFonts w:ascii="Arial" w:hAnsi="Arial" w:cs="Arial"/>
          <w:sz w:val="24"/>
          <w:szCs w:val="24"/>
        </w:rPr>
        <w:t xml:space="preserve"> and</w:t>
      </w:r>
      <w:r w:rsidR="009507BC">
        <w:rPr>
          <w:rFonts w:ascii="Arial" w:hAnsi="Arial" w:cs="Arial"/>
          <w:sz w:val="24"/>
          <w:szCs w:val="24"/>
        </w:rPr>
        <w:t xml:space="preserve"> </w:t>
      </w:r>
      <w:r w:rsidR="007551B1">
        <w:rPr>
          <w:rFonts w:ascii="Arial" w:hAnsi="Arial" w:cs="Arial"/>
          <w:sz w:val="24"/>
          <w:szCs w:val="24"/>
        </w:rPr>
        <w:t>where the work in question is performed by a registered architect.</w:t>
      </w:r>
      <w:r w:rsidR="00337459">
        <w:rPr>
          <w:rFonts w:ascii="Arial" w:hAnsi="Arial" w:cs="Arial"/>
          <w:sz w:val="24"/>
          <w:szCs w:val="24"/>
        </w:rPr>
        <w:t xml:space="preserve"> On the contrary</w:t>
      </w:r>
      <w:r w:rsidR="00975F17">
        <w:rPr>
          <w:rFonts w:ascii="Arial" w:hAnsi="Arial" w:cs="Arial"/>
          <w:sz w:val="24"/>
          <w:szCs w:val="24"/>
        </w:rPr>
        <w:t>,</w:t>
      </w:r>
      <w:r w:rsidR="00337459">
        <w:rPr>
          <w:rFonts w:ascii="Arial" w:hAnsi="Arial" w:cs="Arial"/>
          <w:sz w:val="24"/>
          <w:szCs w:val="24"/>
        </w:rPr>
        <w:t xml:space="preserve"> it is highly unlikely.</w:t>
      </w:r>
    </w:p>
    <w:p w:rsidR="007551B1" w:rsidRDefault="007551B1" w:rsidP="007551B1">
      <w:pPr>
        <w:pStyle w:val="ListParagraph"/>
        <w:rPr>
          <w:rFonts w:ascii="Arial" w:hAnsi="Arial" w:cs="Arial"/>
          <w:sz w:val="24"/>
          <w:szCs w:val="24"/>
        </w:rPr>
      </w:pPr>
    </w:p>
    <w:p w:rsidR="007551B1" w:rsidRDefault="007551B1"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Quite apart from regulation 4(1</w:t>
      </w:r>
      <w:proofErr w:type="gramStart"/>
      <w:r>
        <w:rPr>
          <w:rFonts w:ascii="Arial" w:hAnsi="Arial" w:cs="Arial"/>
          <w:sz w:val="24"/>
          <w:szCs w:val="24"/>
        </w:rPr>
        <w:t>)(</w:t>
      </w:r>
      <w:proofErr w:type="gramEnd"/>
      <w:r>
        <w:rPr>
          <w:rFonts w:ascii="Arial" w:hAnsi="Arial" w:cs="Arial"/>
          <w:sz w:val="24"/>
          <w:szCs w:val="24"/>
        </w:rPr>
        <w:t xml:space="preserve">kk), s 13 prohibits the </w:t>
      </w:r>
      <w:r>
        <w:rPr>
          <w:rFonts w:ascii="Arial" w:hAnsi="Arial" w:cs="Arial"/>
          <w:sz w:val="24"/>
          <w:szCs w:val="24"/>
          <w:u w:val="single"/>
        </w:rPr>
        <w:t xml:space="preserve">performance of </w:t>
      </w:r>
      <w:r w:rsidR="00133378">
        <w:rPr>
          <w:rFonts w:ascii="Arial" w:hAnsi="Arial" w:cs="Arial"/>
          <w:sz w:val="24"/>
          <w:szCs w:val="24"/>
          <w:u w:val="single"/>
        </w:rPr>
        <w:t>(</w:t>
      </w:r>
      <w:r>
        <w:rPr>
          <w:rFonts w:ascii="Arial" w:hAnsi="Arial" w:cs="Arial"/>
          <w:sz w:val="24"/>
          <w:szCs w:val="24"/>
          <w:u w:val="single"/>
        </w:rPr>
        <w:t>reserved</w:t>
      </w:r>
      <w:r w:rsidR="00133378">
        <w:rPr>
          <w:rFonts w:ascii="Arial" w:hAnsi="Arial" w:cs="Arial"/>
          <w:sz w:val="24"/>
          <w:szCs w:val="24"/>
          <w:u w:val="single"/>
        </w:rPr>
        <w:t>)</w:t>
      </w:r>
      <w:r>
        <w:rPr>
          <w:rFonts w:ascii="Arial" w:hAnsi="Arial" w:cs="Arial"/>
          <w:sz w:val="24"/>
          <w:szCs w:val="24"/>
          <w:u w:val="single"/>
        </w:rPr>
        <w:t xml:space="preserve"> work</w:t>
      </w:r>
      <w:r>
        <w:rPr>
          <w:rFonts w:ascii="Arial" w:hAnsi="Arial" w:cs="Arial"/>
          <w:sz w:val="24"/>
          <w:szCs w:val="24"/>
        </w:rPr>
        <w:t xml:space="preserve"> by an unregistered person and a non-natural person. It does not </w:t>
      </w:r>
      <w:r w:rsidR="00337459">
        <w:rPr>
          <w:rFonts w:ascii="Arial" w:hAnsi="Arial" w:cs="Arial"/>
          <w:sz w:val="24"/>
          <w:szCs w:val="24"/>
        </w:rPr>
        <w:t xml:space="preserve">expressly </w:t>
      </w:r>
      <w:r>
        <w:rPr>
          <w:rFonts w:ascii="Arial" w:hAnsi="Arial" w:cs="Arial"/>
          <w:sz w:val="24"/>
          <w:szCs w:val="24"/>
        </w:rPr>
        <w:t>prohibit a non-natural person from entering</w:t>
      </w:r>
      <w:r w:rsidR="00337459">
        <w:rPr>
          <w:rFonts w:ascii="Arial" w:hAnsi="Arial" w:cs="Arial"/>
          <w:sz w:val="24"/>
          <w:szCs w:val="24"/>
        </w:rPr>
        <w:t xml:space="preserve"> into</w:t>
      </w:r>
      <w:r>
        <w:rPr>
          <w:rFonts w:ascii="Arial" w:hAnsi="Arial" w:cs="Arial"/>
          <w:sz w:val="24"/>
          <w:szCs w:val="24"/>
        </w:rPr>
        <w:t xml:space="preserve"> an agreement to provide architectural services</w:t>
      </w:r>
      <w:r w:rsidR="00133378">
        <w:rPr>
          <w:rFonts w:ascii="Arial" w:hAnsi="Arial" w:cs="Arial"/>
          <w:sz w:val="24"/>
          <w:szCs w:val="24"/>
        </w:rPr>
        <w:t xml:space="preserve"> which are in turn performed by a registered architect</w:t>
      </w:r>
      <w:r>
        <w:rPr>
          <w:rFonts w:ascii="Arial" w:hAnsi="Arial" w:cs="Arial"/>
          <w:sz w:val="24"/>
          <w:szCs w:val="24"/>
        </w:rPr>
        <w:t>. A</w:t>
      </w:r>
      <w:r w:rsidR="00337459">
        <w:rPr>
          <w:rFonts w:ascii="Arial" w:hAnsi="Arial" w:cs="Arial"/>
          <w:sz w:val="24"/>
          <w:szCs w:val="24"/>
        </w:rPr>
        <w:t>s</w:t>
      </w:r>
      <w:r>
        <w:rPr>
          <w:rFonts w:ascii="Arial" w:hAnsi="Arial" w:cs="Arial"/>
          <w:sz w:val="24"/>
          <w:szCs w:val="24"/>
        </w:rPr>
        <w:t xml:space="preserve"> already said, only natural persons can register as architects.</w:t>
      </w:r>
    </w:p>
    <w:p w:rsidR="007551B1" w:rsidRDefault="007551B1" w:rsidP="007551B1">
      <w:pPr>
        <w:pStyle w:val="ListParagraph"/>
        <w:rPr>
          <w:rFonts w:ascii="Arial" w:hAnsi="Arial" w:cs="Arial"/>
          <w:sz w:val="24"/>
          <w:szCs w:val="24"/>
        </w:rPr>
      </w:pPr>
    </w:p>
    <w:p w:rsidR="007551B1" w:rsidRDefault="007551B1"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legislature chose to confine the prohibition to </w:t>
      </w:r>
      <w:r w:rsidR="00237C60">
        <w:rPr>
          <w:rFonts w:ascii="Arial" w:hAnsi="Arial" w:cs="Arial"/>
          <w:sz w:val="24"/>
          <w:szCs w:val="24"/>
        </w:rPr>
        <w:t xml:space="preserve">the </w:t>
      </w:r>
      <w:r w:rsidRPr="00237C60">
        <w:rPr>
          <w:rFonts w:ascii="Arial" w:hAnsi="Arial" w:cs="Arial"/>
          <w:sz w:val="24"/>
          <w:szCs w:val="24"/>
          <w:u w:val="single"/>
        </w:rPr>
        <w:t>performance</w:t>
      </w:r>
      <w:r>
        <w:rPr>
          <w:rFonts w:ascii="Arial" w:hAnsi="Arial" w:cs="Arial"/>
          <w:sz w:val="24"/>
          <w:szCs w:val="24"/>
        </w:rPr>
        <w:t xml:space="preserve"> of reserved work and not </w:t>
      </w:r>
      <w:r w:rsidR="009507BC">
        <w:rPr>
          <w:rFonts w:ascii="Arial" w:hAnsi="Arial" w:cs="Arial"/>
          <w:sz w:val="24"/>
          <w:szCs w:val="24"/>
        </w:rPr>
        <w:t xml:space="preserve">to the </w:t>
      </w:r>
      <w:r>
        <w:rPr>
          <w:rFonts w:ascii="Arial" w:hAnsi="Arial" w:cs="Arial"/>
          <w:sz w:val="24"/>
          <w:szCs w:val="24"/>
        </w:rPr>
        <w:t xml:space="preserve">carrying on </w:t>
      </w:r>
      <w:r w:rsidR="009507BC">
        <w:rPr>
          <w:rFonts w:ascii="Arial" w:hAnsi="Arial" w:cs="Arial"/>
          <w:sz w:val="24"/>
          <w:szCs w:val="24"/>
        </w:rPr>
        <w:t xml:space="preserve">of </w:t>
      </w:r>
      <w:r>
        <w:rPr>
          <w:rFonts w:ascii="Arial" w:hAnsi="Arial" w:cs="Arial"/>
          <w:sz w:val="24"/>
          <w:szCs w:val="24"/>
        </w:rPr>
        <w:t>the practice of architects generally. The prohibition in s 13(1</w:t>
      </w:r>
      <w:proofErr w:type="gramStart"/>
      <w:r>
        <w:rPr>
          <w:rFonts w:ascii="Arial" w:hAnsi="Arial" w:cs="Arial"/>
          <w:sz w:val="24"/>
          <w:szCs w:val="24"/>
        </w:rPr>
        <w:t>)(</w:t>
      </w:r>
      <w:proofErr w:type="gramEnd"/>
      <w:r>
        <w:rPr>
          <w:rFonts w:ascii="Arial" w:hAnsi="Arial" w:cs="Arial"/>
          <w:sz w:val="24"/>
          <w:szCs w:val="24"/>
        </w:rPr>
        <w:t>b)</w:t>
      </w:r>
      <w:r w:rsidR="009507BC">
        <w:rPr>
          <w:rFonts w:ascii="Arial" w:hAnsi="Arial" w:cs="Arial"/>
          <w:sz w:val="24"/>
          <w:szCs w:val="24"/>
        </w:rPr>
        <w:t>, being visited with criminal sanction,</w:t>
      </w:r>
      <w:r w:rsidR="00052474">
        <w:rPr>
          <w:rFonts w:ascii="Arial" w:hAnsi="Arial" w:cs="Arial"/>
          <w:sz w:val="24"/>
          <w:szCs w:val="24"/>
        </w:rPr>
        <w:t xml:space="preserve"> is to be </w:t>
      </w:r>
      <w:r w:rsidR="009507BC">
        <w:rPr>
          <w:rFonts w:ascii="Arial" w:hAnsi="Arial" w:cs="Arial"/>
          <w:sz w:val="24"/>
          <w:szCs w:val="24"/>
        </w:rPr>
        <w:t>strictly</w:t>
      </w:r>
      <w:r w:rsidR="00052474">
        <w:rPr>
          <w:rFonts w:ascii="Arial" w:hAnsi="Arial" w:cs="Arial"/>
          <w:sz w:val="24"/>
          <w:szCs w:val="24"/>
        </w:rPr>
        <w:t xml:space="preserve"> construed</w:t>
      </w:r>
      <w:r w:rsidR="00237C60">
        <w:rPr>
          <w:rFonts w:ascii="Arial" w:hAnsi="Arial" w:cs="Arial"/>
          <w:sz w:val="24"/>
          <w:szCs w:val="24"/>
        </w:rPr>
        <w:t xml:space="preserve"> in accordance with the canons of construction of statutes – so as not to deprive rights unless expressly stated</w:t>
      </w:r>
      <w:r w:rsidR="009507BC">
        <w:rPr>
          <w:rFonts w:ascii="Arial" w:hAnsi="Arial" w:cs="Arial"/>
          <w:sz w:val="24"/>
          <w:szCs w:val="24"/>
        </w:rPr>
        <w:t>.</w:t>
      </w:r>
      <w:r w:rsidR="009507BC">
        <w:rPr>
          <w:rStyle w:val="FootnoteReference"/>
          <w:rFonts w:ascii="Arial" w:hAnsi="Arial" w:cs="Arial"/>
          <w:sz w:val="24"/>
          <w:szCs w:val="24"/>
        </w:rPr>
        <w:footnoteReference w:id="26"/>
      </w:r>
      <w:r w:rsidR="009507BC">
        <w:rPr>
          <w:rFonts w:ascii="Arial" w:hAnsi="Arial" w:cs="Arial"/>
          <w:sz w:val="24"/>
          <w:szCs w:val="24"/>
        </w:rPr>
        <w:t xml:space="preserve"> Furthermore s 13 is to be construed so as to interfere as little as possible with established rights.</w:t>
      </w:r>
      <w:r w:rsidR="009507BC">
        <w:rPr>
          <w:rStyle w:val="FootnoteReference"/>
          <w:rFonts w:ascii="Arial" w:hAnsi="Arial" w:cs="Arial"/>
          <w:sz w:val="24"/>
          <w:szCs w:val="24"/>
        </w:rPr>
        <w:footnoteReference w:id="27"/>
      </w:r>
    </w:p>
    <w:p w:rsidR="00237C60" w:rsidRDefault="00237C60" w:rsidP="00237C60">
      <w:pPr>
        <w:pStyle w:val="ListParagraph"/>
        <w:rPr>
          <w:rFonts w:ascii="Arial" w:hAnsi="Arial" w:cs="Arial"/>
          <w:sz w:val="24"/>
          <w:szCs w:val="24"/>
        </w:rPr>
      </w:pPr>
    </w:p>
    <w:p w:rsidR="00237C60" w:rsidRDefault="00237C60" w:rsidP="00237C6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is thus not clear to me that</w:t>
      </w:r>
      <w:r w:rsidR="009507BC">
        <w:rPr>
          <w:rFonts w:ascii="Arial" w:hAnsi="Arial" w:cs="Arial"/>
          <w:sz w:val="24"/>
          <w:szCs w:val="24"/>
        </w:rPr>
        <w:t xml:space="preserve"> s 13(1</w:t>
      </w:r>
      <w:proofErr w:type="gramStart"/>
      <w:r w:rsidR="009507BC">
        <w:rPr>
          <w:rFonts w:ascii="Arial" w:hAnsi="Arial" w:cs="Arial"/>
          <w:sz w:val="24"/>
          <w:szCs w:val="24"/>
        </w:rPr>
        <w:t>)(</w:t>
      </w:r>
      <w:proofErr w:type="gramEnd"/>
      <w:r w:rsidR="009507BC">
        <w:rPr>
          <w:rFonts w:ascii="Arial" w:hAnsi="Arial" w:cs="Arial"/>
          <w:sz w:val="24"/>
          <w:szCs w:val="24"/>
        </w:rPr>
        <w:t>b)</w:t>
      </w:r>
      <w:r w:rsidR="008B4786">
        <w:rPr>
          <w:rFonts w:ascii="Arial" w:hAnsi="Arial" w:cs="Arial"/>
          <w:sz w:val="24"/>
          <w:szCs w:val="24"/>
        </w:rPr>
        <w:t>,</w:t>
      </w:r>
      <w:r w:rsidR="009507BC">
        <w:rPr>
          <w:rFonts w:ascii="Arial" w:hAnsi="Arial" w:cs="Arial"/>
          <w:sz w:val="24"/>
          <w:szCs w:val="24"/>
        </w:rPr>
        <w:t xml:space="preserve"> properly construed,</w:t>
      </w:r>
      <w:r w:rsidR="00337459">
        <w:rPr>
          <w:rFonts w:ascii="Arial" w:hAnsi="Arial" w:cs="Arial"/>
          <w:sz w:val="24"/>
          <w:szCs w:val="24"/>
        </w:rPr>
        <w:t xml:space="preserve"> means that</w:t>
      </w:r>
      <w:r w:rsidR="009507BC">
        <w:rPr>
          <w:rFonts w:ascii="Arial" w:hAnsi="Arial" w:cs="Arial"/>
          <w:sz w:val="24"/>
          <w:szCs w:val="24"/>
        </w:rPr>
        <w:t xml:space="preserve"> </w:t>
      </w:r>
      <w:r>
        <w:rPr>
          <w:rFonts w:ascii="Arial" w:hAnsi="Arial" w:cs="Arial"/>
          <w:sz w:val="24"/>
          <w:szCs w:val="24"/>
        </w:rPr>
        <w:t xml:space="preserve">a non-natural person </w:t>
      </w:r>
      <w:r w:rsidR="008B4786">
        <w:rPr>
          <w:rFonts w:ascii="Arial" w:hAnsi="Arial" w:cs="Arial"/>
          <w:sz w:val="24"/>
          <w:szCs w:val="24"/>
        </w:rPr>
        <w:t xml:space="preserve">agreeing to </w:t>
      </w:r>
      <w:r>
        <w:rPr>
          <w:rFonts w:ascii="Arial" w:hAnsi="Arial" w:cs="Arial"/>
          <w:sz w:val="24"/>
          <w:szCs w:val="24"/>
        </w:rPr>
        <w:t>provid</w:t>
      </w:r>
      <w:r w:rsidR="008B4786">
        <w:rPr>
          <w:rFonts w:ascii="Arial" w:hAnsi="Arial" w:cs="Arial"/>
          <w:sz w:val="24"/>
          <w:szCs w:val="24"/>
        </w:rPr>
        <w:t xml:space="preserve">e </w:t>
      </w:r>
      <w:r>
        <w:rPr>
          <w:rFonts w:ascii="Arial" w:hAnsi="Arial" w:cs="Arial"/>
          <w:sz w:val="24"/>
          <w:szCs w:val="24"/>
        </w:rPr>
        <w:t xml:space="preserve">architectural services </w:t>
      </w:r>
      <w:r w:rsidR="009507BC">
        <w:rPr>
          <w:rFonts w:ascii="Arial" w:hAnsi="Arial" w:cs="Arial"/>
          <w:sz w:val="24"/>
          <w:szCs w:val="24"/>
        </w:rPr>
        <w:t xml:space="preserve">would </w:t>
      </w:r>
      <w:r>
        <w:rPr>
          <w:rFonts w:ascii="Arial" w:hAnsi="Arial" w:cs="Arial"/>
          <w:sz w:val="24"/>
          <w:szCs w:val="24"/>
        </w:rPr>
        <w:t xml:space="preserve">constitute a criminal offence in the overall context of the Act </w:t>
      </w:r>
      <w:r w:rsidRPr="008B4786">
        <w:rPr>
          <w:rFonts w:ascii="Arial" w:hAnsi="Arial" w:cs="Arial"/>
          <w:sz w:val="24"/>
          <w:szCs w:val="24"/>
          <w:u w:val="single"/>
        </w:rPr>
        <w:t>and</w:t>
      </w:r>
      <w:r>
        <w:rPr>
          <w:rFonts w:ascii="Arial" w:hAnsi="Arial" w:cs="Arial"/>
          <w:sz w:val="24"/>
          <w:szCs w:val="24"/>
        </w:rPr>
        <w:t xml:space="preserve"> its regulations – if the work</w:t>
      </w:r>
      <w:r w:rsidR="008B4786">
        <w:rPr>
          <w:rFonts w:ascii="Arial" w:hAnsi="Arial" w:cs="Arial"/>
          <w:sz w:val="24"/>
          <w:szCs w:val="24"/>
        </w:rPr>
        <w:t xml:space="preserve"> in question</w:t>
      </w:r>
      <w:r>
        <w:rPr>
          <w:rFonts w:ascii="Arial" w:hAnsi="Arial" w:cs="Arial"/>
          <w:sz w:val="24"/>
          <w:szCs w:val="24"/>
        </w:rPr>
        <w:t xml:space="preserve"> </w:t>
      </w:r>
      <w:r w:rsidR="009507BC">
        <w:rPr>
          <w:rFonts w:ascii="Arial" w:hAnsi="Arial" w:cs="Arial"/>
          <w:sz w:val="24"/>
          <w:szCs w:val="24"/>
        </w:rPr>
        <w:t xml:space="preserve">is to be </w:t>
      </w:r>
      <w:r>
        <w:rPr>
          <w:rFonts w:ascii="Arial" w:hAnsi="Arial" w:cs="Arial"/>
          <w:sz w:val="24"/>
          <w:szCs w:val="24"/>
        </w:rPr>
        <w:t>performed by a</w:t>
      </w:r>
      <w:r w:rsidR="008B4786">
        <w:rPr>
          <w:rFonts w:ascii="Arial" w:hAnsi="Arial" w:cs="Arial"/>
          <w:sz w:val="24"/>
          <w:szCs w:val="24"/>
        </w:rPr>
        <w:t xml:space="preserve"> registered</w:t>
      </w:r>
      <w:r>
        <w:rPr>
          <w:rFonts w:ascii="Arial" w:hAnsi="Arial" w:cs="Arial"/>
          <w:sz w:val="24"/>
          <w:szCs w:val="24"/>
        </w:rPr>
        <w:t xml:space="preserve"> architect.</w:t>
      </w:r>
    </w:p>
    <w:p w:rsidR="00237C60" w:rsidRDefault="00237C60" w:rsidP="00237C60">
      <w:pPr>
        <w:pStyle w:val="ListParagraph"/>
        <w:rPr>
          <w:rFonts w:ascii="Arial" w:hAnsi="Arial" w:cs="Arial"/>
          <w:sz w:val="24"/>
          <w:szCs w:val="24"/>
        </w:rPr>
      </w:pPr>
    </w:p>
    <w:p w:rsidR="00237C60" w:rsidRPr="00237C60" w:rsidRDefault="00237C60" w:rsidP="00237C6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But even if this were to constitute a criminal offence</w:t>
      </w:r>
      <w:r w:rsidR="00975F17">
        <w:rPr>
          <w:rFonts w:ascii="Arial" w:hAnsi="Arial" w:cs="Arial"/>
          <w:sz w:val="24"/>
          <w:szCs w:val="24"/>
        </w:rPr>
        <w:t>,</w:t>
      </w:r>
      <w:r w:rsidR="00337459">
        <w:rPr>
          <w:rFonts w:ascii="Arial" w:hAnsi="Arial" w:cs="Arial"/>
          <w:sz w:val="24"/>
          <w:szCs w:val="24"/>
        </w:rPr>
        <w:t xml:space="preserve"> despite the narrow wording </w:t>
      </w:r>
      <w:r w:rsidR="00975F17">
        <w:rPr>
          <w:rFonts w:ascii="Arial" w:hAnsi="Arial" w:cs="Arial"/>
          <w:sz w:val="24"/>
          <w:szCs w:val="24"/>
        </w:rPr>
        <w:t xml:space="preserve">employed in </w:t>
      </w:r>
      <w:r w:rsidR="00337459">
        <w:rPr>
          <w:rFonts w:ascii="Arial" w:hAnsi="Arial" w:cs="Arial"/>
          <w:sz w:val="24"/>
          <w:szCs w:val="24"/>
        </w:rPr>
        <w:t>s 13(1</w:t>
      </w:r>
      <w:proofErr w:type="gramStart"/>
      <w:r w:rsidR="00337459">
        <w:rPr>
          <w:rFonts w:ascii="Arial" w:hAnsi="Arial" w:cs="Arial"/>
          <w:sz w:val="24"/>
          <w:szCs w:val="24"/>
        </w:rPr>
        <w:t>)(</w:t>
      </w:r>
      <w:proofErr w:type="gramEnd"/>
      <w:r w:rsidR="00337459">
        <w:rPr>
          <w:rFonts w:ascii="Arial" w:hAnsi="Arial" w:cs="Arial"/>
          <w:sz w:val="24"/>
          <w:szCs w:val="24"/>
        </w:rPr>
        <w:t xml:space="preserve">b) and </w:t>
      </w:r>
      <w:r w:rsidR="008B4786">
        <w:rPr>
          <w:rFonts w:ascii="Arial" w:hAnsi="Arial" w:cs="Arial"/>
          <w:sz w:val="24"/>
          <w:szCs w:val="24"/>
        </w:rPr>
        <w:t xml:space="preserve">the import of </w:t>
      </w:r>
      <w:r w:rsidR="00337459">
        <w:rPr>
          <w:rFonts w:ascii="Arial" w:hAnsi="Arial" w:cs="Arial"/>
          <w:sz w:val="24"/>
          <w:szCs w:val="24"/>
        </w:rPr>
        <w:t>regulation 4(1)(kk)</w:t>
      </w:r>
      <w:r>
        <w:rPr>
          <w:rFonts w:ascii="Arial" w:hAnsi="Arial" w:cs="Arial"/>
          <w:sz w:val="24"/>
          <w:szCs w:val="24"/>
        </w:rPr>
        <w:t>, which is at best for the respondent doubtful, the question which then arises is whether</w:t>
      </w:r>
      <w:r w:rsidR="008B4786">
        <w:rPr>
          <w:rFonts w:ascii="Arial" w:hAnsi="Arial" w:cs="Arial"/>
          <w:sz w:val="24"/>
          <w:szCs w:val="24"/>
        </w:rPr>
        <w:t xml:space="preserve"> the </w:t>
      </w:r>
      <w:r w:rsidR="008B4786">
        <w:rPr>
          <w:rFonts w:ascii="Arial" w:hAnsi="Arial" w:cs="Arial"/>
          <w:sz w:val="24"/>
          <w:szCs w:val="24"/>
        </w:rPr>
        <w:lastRenderedPageBreak/>
        <w:t>legislature intended</w:t>
      </w:r>
      <w:r>
        <w:rPr>
          <w:rFonts w:ascii="Arial" w:hAnsi="Arial" w:cs="Arial"/>
          <w:sz w:val="24"/>
          <w:szCs w:val="24"/>
        </w:rPr>
        <w:t xml:space="preserve"> an agreement to provide those services</w:t>
      </w:r>
      <w:r w:rsidR="008B4786">
        <w:rPr>
          <w:rFonts w:ascii="Arial" w:hAnsi="Arial" w:cs="Arial"/>
          <w:sz w:val="24"/>
          <w:szCs w:val="24"/>
        </w:rPr>
        <w:t xml:space="preserve"> through a registered architect would be</w:t>
      </w:r>
      <w:r>
        <w:rPr>
          <w:rFonts w:ascii="Arial" w:hAnsi="Arial" w:cs="Arial"/>
          <w:sz w:val="24"/>
          <w:szCs w:val="24"/>
        </w:rPr>
        <w:t xml:space="preserve"> a nullity or unenforceable</w:t>
      </w:r>
      <w:r w:rsidR="009507BC">
        <w:rPr>
          <w:rFonts w:ascii="Arial" w:hAnsi="Arial" w:cs="Arial"/>
          <w:sz w:val="24"/>
          <w:szCs w:val="24"/>
        </w:rPr>
        <w:t xml:space="preserve">, given the fact that the statute does not expressly provide that </w:t>
      </w:r>
      <w:r w:rsidR="00337459">
        <w:rPr>
          <w:rFonts w:ascii="Arial" w:hAnsi="Arial" w:cs="Arial"/>
          <w:sz w:val="24"/>
          <w:szCs w:val="24"/>
        </w:rPr>
        <w:t>such an</w:t>
      </w:r>
      <w:r w:rsidR="009507BC">
        <w:rPr>
          <w:rFonts w:ascii="Arial" w:hAnsi="Arial" w:cs="Arial"/>
          <w:sz w:val="24"/>
          <w:szCs w:val="24"/>
        </w:rPr>
        <w:t xml:space="preserve"> agreement is void and unenforceable</w:t>
      </w:r>
      <w:r>
        <w:rPr>
          <w:rFonts w:ascii="Arial" w:hAnsi="Arial" w:cs="Arial"/>
          <w:sz w:val="24"/>
          <w:szCs w:val="24"/>
        </w:rPr>
        <w:t>.</w:t>
      </w:r>
    </w:p>
    <w:p w:rsidR="00052474" w:rsidRDefault="00052474" w:rsidP="00052474">
      <w:pPr>
        <w:pStyle w:val="ListParagraph"/>
        <w:rPr>
          <w:rFonts w:ascii="Arial" w:hAnsi="Arial" w:cs="Arial"/>
          <w:sz w:val="24"/>
          <w:szCs w:val="24"/>
        </w:rPr>
      </w:pPr>
    </w:p>
    <w:p w:rsidR="00052474" w:rsidRDefault="00052474"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leading case on determining the effects of acts done in conflict with a prohibition, </w:t>
      </w:r>
      <w:r>
        <w:rPr>
          <w:rFonts w:ascii="Arial" w:hAnsi="Arial" w:cs="Arial"/>
          <w:i/>
          <w:sz w:val="24"/>
          <w:szCs w:val="24"/>
        </w:rPr>
        <w:t>Standard Bank v Estate Van Rhyn</w:t>
      </w:r>
      <w:r>
        <w:rPr>
          <w:rFonts w:ascii="Arial" w:hAnsi="Arial" w:cs="Arial"/>
          <w:sz w:val="24"/>
          <w:szCs w:val="24"/>
        </w:rPr>
        <w:t>,</w:t>
      </w:r>
      <w:r w:rsidR="00237C60">
        <w:rPr>
          <w:rStyle w:val="FootnoteReference"/>
          <w:rFonts w:ascii="Arial" w:hAnsi="Arial" w:cs="Arial"/>
          <w:sz w:val="24"/>
          <w:szCs w:val="24"/>
        </w:rPr>
        <w:footnoteReference w:id="28"/>
      </w:r>
      <w:r>
        <w:rPr>
          <w:rFonts w:ascii="Arial" w:hAnsi="Arial" w:cs="Arial"/>
          <w:sz w:val="24"/>
          <w:szCs w:val="24"/>
        </w:rPr>
        <w:t xml:space="preserve"> Solomon JA </w:t>
      </w:r>
      <w:r w:rsidR="00975F17">
        <w:rPr>
          <w:rFonts w:ascii="Arial" w:hAnsi="Arial" w:cs="Arial"/>
          <w:sz w:val="24"/>
          <w:szCs w:val="24"/>
        </w:rPr>
        <w:t>held (Innes CJ and Wessels JA concurring)</w:t>
      </w:r>
      <w:r>
        <w:rPr>
          <w:rFonts w:ascii="Arial" w:hAnsi="Arial" w:cs="Arial"/>
          <w:sz w:val="24"/>
          <w:szCs w:val="24"/>
        </w:rPr>
        <w:t>:</w:t>
      </w:r>
    </w:p>
    <w:p w:rsidR="00052474" w:rsidRDefault="00052474" w:rsidP="00052474">
      <w:pPr>
        <w:pStyle w:val="ListParagraph"/>
        <w:rPr>
          <w:rFonts w:ascii="Arial" w:hAnsi="Arial" w:cs="Arial"/>
          <w:sz w:val="24"/>
          <w:szCs w:val="24"/>
        </w:rPr>
      </w:pPr>
    </w:p>
    <w:p w:rsidR="00052474" w:rsidRPr="005E2CD0" w:rsidRDefault="005E2CD0" w:rsidP="005E2CD0">
      <w:pPr>
        <w:pStyle w:val="NoSpacing"/>
        <w:spacing w:line="360" w:lineRule="auto"/>
        <w:ind w:left="720"/>
        <w:jc w:val="both"/>
        <w:rPr>
          <w:rFonts w:ascii="Arial" w:hAnsi="Arial" w:cs="Arial"/>
        </w:rPr>
      </w:pPr>
      <w:r>
        <w:rPr>
          <w:rFonts w:ascii="Arial" w:hAnsi="Arial" w:cs="Arial"/>
        </w:rPr>
        <w:t>‘</w:t>
      </w:r>
      <w:r w:rsidR="00052474" w:rsidRPr="005E2CD0">
        <w:rPr>
          <w:rFonts w:ascii="Arial" w:hAnsi="Arial" w:cs="Arial"/>
        </w:rPr>
        <w:t xml:space="preserve">The contention on behalf of the respondent is that when the Legislature penalises an act it impliedly prohibits it, and that the effect of the prohibition is to render the act null and void, even if no declaration of nullity is attached to the law. That, as a general proposition, may be accepted, but it is not a hard and fast rule universally applicable. After all, what we have to get at is the intention of the Legislature, and, if we are satisfied in any case that the Legislature did not intend to render the act invalid, we should not be justified in holding that it was. As Voet (1.3.16) puts it </w:t>
      </w:r>
      <w:r>
        <w:rPr>
          <w:rFonts w:ascii="Arial" w:hAnsi="Arial" w:cs="Arial"/>
        </w:rPr>
        <w:t>–</w:t>
      </w:r>
      <w:r w:rsidR="00052474" w:rsidRPr="005E2CD0">
        <w:rPr>
          <w:rFonts w:ascii="Arial" w:hAnsi="Arial" w:cs="Arial"/>
        </w:rPr>
        <w:t xml:space="preserve"> </w:t>
      </w:r>
      <w:r>
        <w:rPr>
          <w:rFonts w:ascii="Arial" w:hAnsi="Arial" w:cs="Arial"/>
        </w:rPr>
        <w:t>“</w:t>
      </w:r>
      <w:r w:rsidR="00052474" w:rsidRPr="005E2CD0">
        <w:rPr>
          <w:rFonts w:ascii="Arial" w:hAnsi="Arial" w:cs="Arial"/>
        </w:rPr>
        <w:t>but that which is done contrary to law is not ipso jure null and void, where the law is content with a penalty laid down against those who contravene it.</w:t>
      </w:r>
      <w:r>
        <w:rPr>
          <w:rFonts w:ascii="Arial" w:hAnsi="Arial" w:cs="Arial"/>
        </w:rPr>
        <w:t>”</w:t>
      </w:r>
      <w:r w:rsidR="00052474" w:rsidRPr="005E2CD0">
        <w:rPr>
          <w:rFonts w:ascii="Arial" w:hAnsi="Arial" w:cs="Arial"/>
        </w:rPr>
        <w:t xml:space="preserve"> Then, after giving some instances in illustration of this principle, he proceeds: </w:t>
      </w:r>
      <w:r>
        <w:rPr>
          <w:rFonts w:ascii="Arial" w:hAnsi="Arial" w:cs="Arial"/>
        </w:rPr>
        <w:t>“</w:t>
      </w:r>
      <w:r w:rsidR="00052474" w:rsidRPr="005E2CD0">
        <w:rPr>
          <w:rFonts w:ascii="Arial" w:hAnsi="Arial" w:cs="Arial"/>
        </w:rPr>
        <w:t>The reason of all this I take to be that in these and the like cases greater inconveniences and impropriety would result from the rescission of what was done, than would follow the act itself done contrary to the law</w:t>
      </w:r>
      <w:r>
        <w:rPr>
          <w:rFonts w:ascii="Arial" w:hAnsi="Arial" w:cs="Arial"/>
        </w:rPr>
        <w:t>”.’</w:t>
      </w:r>
      <w:r w:rsidR="00237C60">
        <w:rPr>
          <w:rStyle w:val="FootnoteReference"/>
          <w:rFonts w:ascii="Arial" w:hAnsi="Arial" w:cs="Arial"/>
        </w:rPr>
        <w:footnoteReference w:id="29"/>
      </w:r>
    </w:p>
    <w:p w:rsidR="00052474" w:rsidRDefault="00052474" w:rsidP="00052474">
      <w:pPr>
        <w:pStyle w:val="ListParagraph"/>
        <w:rPr>
          <w:rFonts w:ascii="Arial" w:hAnsi="Arial" w:cs="Arial"/>
          <w:sz w:val="24"/>
          <w:szCs w:val="24"/>
        </w:rPr>
      </w:pPr>
    </w:p>
    <w:p w:rsidR="00237C60" w:rsidRPr="00175D3F" w:rsidRDefault="005E2CD0"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w:t>
      </w:r>
      <w:r w:rsidR="00237C60">
        <w:rPr>
          <w:rFonts w:ascii="Arial" w:hAnsi="Arial" w:cs="Arial"/>
          <w:sz w:val="24"/>
          <w:szCs w:val="24"/>
        </w:rPr>
        <w:t>is</w:t>
      </w:r>
      <w:r>
        <w:rPr>
          <w:rFonts w:ascii="Arial" w:hAnsi="Arial" w:cs="Arial"/>
          <w:sz w:val="24"/>
          <w:szCs w:val="24"/>
        </w:rPr>
        <w:t xml:space="preserve"> approach has been consistently followed over the years, including in </w:t>
      </w:r>
      <w:r>
        <w:rPr>
          <w:rFonts w:ascii="Arial" w:hAnsi="Arial" w:cs="Arial"/>
          <w:i/>
          <w:sz w:val="24"/>
          <w:szCs w:val="24"/>
        </w:rPr>
        <w:t>Pottie v Kotze</w:t>
      </w:r>
      <w:r>
        <w:rPr>
          <w:rStyle w:val="FootnoteReference"/>
          <w:rFonts w:ascii="Arial" w:hAnsi="Arial" w:cs="Arial"/>
          <w:i/>
          <w:sz w:val="24"/>
          <w:szCs w:val="24"/>
        </w:rPr>
        <w:footnoteReference w:id="30"/>
      </w:r>
      <w:r>
        <w:rPr>
          <w:rFonts w:ascii="Arial" w:hAnsi="Arial" w:cs="Arial"/>
          <w:i/>
          <w:sz w:val="24"/>
          <w:szCs w:val="24"/>
        </w:rPr>
        <w:t xml:space="preserve"> </w:t>
      </w:r>
      <w:r>
        <w:rPr>
          <w:rFonts w:ascii="Arial" w:hAnsi="Arial" w:cs="Arial"/>
          <w:sz w:val="24"/>
          <w:szCs w:val="24"/>
        </w:rPr>
        <w:t xml:space="preserve">and </w:t>
      </w:r>
      <w:r>
        <w:rPr>
          <w:rFonts w:ascii="Arial" w:hAnsi="Arial" w:cs="Arial"/>
          <w:i/>
          <w:sz w:val="24"/>
          <w:szCs w:val="24"/>
        </w:rPr>
        <w:t>Swart v Smuts.</w:t>
      </w:r>
      <w:r>
        <w:rPr>
          <w:rStyle w:val="FootnoteReference"/>
          <w:rFonts w:ascii="Arial" w:hAnsi="Arial" w:cs="Arial"/>
          <w:i/>
          <w:sz w:val="24"/>
          <w:szCs w:val="24"/>
        </w:rPr>
        <w:footnoteReference w:id="31"/>
      </w:r>
    </w:p>
    <w:p w:rsidR="00175D3F" w:rsidRPr="00175D3F" w:rsidRDefault="00175D3F" w:rsidP="00175D3F">
      <w:pPr>
        <w:pStyle w:val="NoSpacing"/>
        <w:spacing w:line="480" w:lineRule="auto"/>
        <w:jc w:val="both"/>
        <w:rPr>
          <w:rFonts w:ascii="Arial" w:hAnsi="Arial" w:cs="Arial"/>
          <w:sz w:val="24"/>
          <w:szCs w:val="24"/>
        </w:rPr>
      </w:pPr>
    </w:p>
    <w:p w:rsidR="00175D3F" w:rsidRDefault="00175D3F" w:rsidP="00175D3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Corbett AJA</w:t>
      </w:r>
      <w:r w:rsidR="003C05A0">
        <w:rPr>
          <w:rFonts w:ascii="Arial" w:hAnsi="Arial" w:cs="Arial"/>
          <w:sz w:val="24"/>
          <w:szCs w:val="24"/>
        </w:rPr>
        <w:t xml:space="preserve"> (as he then was)</w:t>
      </w:r>
      <w:r>
        <w:rPr>
          <w:rFonts w:ascii="Arial" w:hAnsi="Arial" w:cs="Arial"/>
          <w:sz w:val="24"/>
          <w:szCs w:val="24"/>
        </w:rPr>
        <w:t xml:space="preserve"> in </w:t>
      </w:r>
      <w:r>
        <w:rPr>
          <w:rFonts w:ascii="Arial" w:hAnsi="Arial" w:cs="Arial"/>
          <w:i/>
          <w:sz w:val="24"/>
          <w:szCs w:val="24"/>
        </w:rPr>
        <w:t xml:space="preserve">Swart, </w:t>
      </w:r>
      <w:r w:rsidRPr="00175D3F">
        <w:rPr>
          <w:rFonts w:ascii="Arial" w:hAnsi="Arial" w:cs="Arial"/>
          <w:sz w:val="24"/>
          <w:szCs w:val="24"/>
        </w:rPr>
        <w:t>stated the following</w:t>
      </w:r>
      <w:r>
        <w:rPr>
          <w:rFonts w:ascii="Arial" w:hAnsi="Arial" w:cs="Arial"/>
          <w:sz w:val="24"/>
          <w:szCs w:val="24"/>
        </w:rPr>
        <w:t xml:space="preserve"> after a </w:t>
      </w:r>
      <w:r w:rsidR="003C05A0">
        <w:rPr>
          <w:rFonts w:ascii="Arial" w:hAnsi="Arial" w:cs="Arial"/>
          <w:sz w:val="24"/>
          <w:szCs w:val="24"/>
        </w:rPr>
        <w:t xml:space="preserve">detailed </w:t>
      </w:r>
      <w:r>
        <w:rPr>
          <w:rFonts w:ascii="Arial" w:hAnsi="Arial" w:cs="Arial"/>
          <w:sz w:val="24"/>
          <w:szCs w:val="24"/>
        </w:rPr>
        <w:t xml:space="preserve">survey of authorities: </w:t>
      </w:r>
    </w:p>
    <w:p w:rsidR="00175D3F" w:rsidRDefault="00175D3F" w:rsidP="00175D3F">
      <w:pPr>
        <w:pStyle w:val="NoSpacing"/>
        <w:spacing w:line="360" w:lineRule="auto"/>
        <w:jc w:val="both"/>
        <w:rPr>
          <w:rFonts w:ascii="Arial" w:hAnsi="Arial" w:cs="Arial"/>
          <w:sz w:val="24"/>
          <w:szCs w:val="24"/>
        </w:rPr>
      </w:pPr>
    </w:p>
    <w:p w:rsidR="00175D3F" w:rsidRPr="00175D3F" w:rsidRDefault="00175D3F" w:rsidP="00175D3F">
      <w:pPr>
        <w:pStyle w:val="NoSpacing"/>
        <w:spacing w:line="360" w:lineRule="auto"/>
        <w:ind w:left="720"/>
        <w:jc w:val="both"/>
        <w:rPr>
          <w:rFonts w:ascii="Arial" w:hAnsi="Arial" w:cs="Arial"/>
        </w:rPr>
      </w:pPr>
      <w:r w:rsidRPr="005403CF">
        <w:rPr>
          <w:rFonts w:ascii="Arial" w:hAnsi="Arial" w:cs="Arial"/>
        </w:rPr>
        <w:lastRenderedPageBreak/>
        <w:t xml:space="preserve">‘It appears from these and other relevant authorities that when the statutory provision in question does not </w:t>
      </w:r>
      <w:proofErr w:type="gramStart"/>
      <w:r w:rsidRPr="005403CF">
        <w:rPr>
          <w:rFonts w:ascii="Arial" w:hAnsi="Arial" w:cs="Arial"/>
        </w:rPr>
        <w:t>itself</w:t>
      </w:r>
      <w:proofErr w:type="gramEnd"/>
      <w:r w:rsidRPr="005403CF">
        <w:rPr>
          <w:rFonts w:ascii="Arial" w:hAnsi="Arial" w:cs="Arial"/>
        </w:rPr>
        <w:t xml:space="preserve"> expressly provide that such a transaction is null and void and of no force and effect, the validity thereof depends in the last resort on the </w:t>
      </w:r>
      <w:r>
        <w:rPr>
          <w:rFonts w:ascii="Arial" w:hAnsi="Arial" w:cs="Arial"/>
        </w:rPr>
        <w:t>intention of the Legislature.’</w:t>
      </w:r>
      <w:r>
        <w:rPr>
          <w:rStyle w:val="FootnoteReference"/>
          <w:rFonts w:ascii="Arial" w:hAnsi="Arial" w:cs="Arial"/>
        </w:rPr>
        <w:footnoteReference w:id="32"/>
      </w:r>
    </w:p>
    <w:p w:rsidR="00237C60" w:rsidRPr="00175D3F" w:rsidRDefault="00237C60" w:rsidP="00237C60">
      <w:pPr>
        <w:pStyle w:val="NoSpacing"/>
        <w:spacing w:line="480" w:lineRule="auto"/>
        <w:jc w:val="both"/>
        <w:rPr>
          <w:rFonts w:ascii="Arial" w:hAnsi="Arial" w:cs="Arial"/>
          <w:sz w:val="24"/>
          <w:szCs w:val="24"/>
        </w:rPr>
      </w:pPr>
    </w:p>
    <w:p w:rsidR="00052474" w:rsidRDefault="00337459"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 </w:t>
      </w:r>
      <w:r w:rsidR="005E2CD0">
        <w:rPr>
          <w:rFonts w:ascii="Arial" w:hAnsi="Arial" w:cs="Arial"/>
          <w:sz w:val="24"/>
          <w:szCs w:val="24"/>
        </w:rPr>
        <w:t xml:space="preserve">Corbett AJA </w:t>
      </w:r>
      <w:r>
        <w:rPr>
          <w:rFonts w:ascii="Arial" w:hAnsi="Arial" w:cs="Arial"/>
          <w:sz w:val="24"/>
          <w:szCs w:val="24"/>
        </w:rPr>
        <w:t xml:space="preserve">in </w:t>
      </w:r>
      <w:r>
        <w:rPr>
          <w:rFonts w:ascii="Arial" w:hAnsi="Arial" w:cs="Arial"/>
          <w:i/>
          <w:sz w:val="24"/>
          <w:szCs w:val="24"/>
        </w:rPr>
        <w:t>Swart</w:t>
      </w:r>
      <w:r>
        <w:rPr>
          <w:rFonts w:ascii="Arial" w:hAnsi="Arial" w:cs="Arial"/>
          <w:sz w:val="24"/>
          <w:szCs w:val="24"/>
        </w:rPr>
        <w:t xml:space="preserve"> further </w:t>
      </w:r>
      <w:r w:rsidR="003C05A0">
        <w:rPr>
          <w:rFonts w:ascii="Arial" w:hAnsi="Arial" w:cs="Arial"/>
          <w:sz w:val="24"/>
          <w:szCs w:val="24"/>
        </w:rPr>
        <w:t>q</w:t>
      </w:r>
      <w:r w:rsidR="005E2CD0">
        <w:rPr>
          <w:rFonts w:ascii="Arial" w:hAnsi="Arial" w:cs="Arial"/>
          <w:sz w:val="24"/>
          <w:szCs w:val="24"/>
        </w:rPr>
        <w:t xml:space="preserve">uoted </w:t>
      </w:r>
      <w:r w:rsidR="003C05A0">
        <w:rPr>
          <w:rFonts w:ascii="Arial" w:hAnsi="Arial" w:cs="Arial"/>
          <w:sz w:val="24"/>
          <w:szCs w:val="24"/>
        </w:rPr>
        <w:t xml:space="preserve">the following </w:t>
      </w:r>
      <w:r w:rsidR="005E2CD0">
        <w:rPr>
          <w:rFonts w:ascii="Arial" w:hAnsi="Arial" w:cs="Arial"/>
          <w:sz w:val="24"/>
          <w:szCs w:val="24"/>
        </w:rPr>
        <w:t xml:space="preserve">with approval from </w:t>
      </w:r>
      <w:r w:rsidR="005E2CD0">
        <w:rPr>
          <w:rFonts w:ascii="Arial" w:hAnsi="Arial" w:cs="Arial"/>
          <w:i/>
          <w:sz w:val="24"/>
          <w:szCs w:val="24"/>
        </w:rPr>
        <w:t>Pottie</w:t>
      </w:r>
      <w:r w:rsidR="005E2CD0">
        <w:rPr>
          <w:rFonts w:ascii="Arial" w:hAnsi="Arial" w:cs="Arial"/>
          <w:sz w:val="24"/>
          <w:szCs w:val="24"/>
        </w:rPr>
        <w:t>:</w:t>
      </w:r>
    </w:p>
    <w:p w:rsidR="005E2CD0" w:rsidRPr="005E2CD0" w:rsidRDefault="005E2CD0" w:rsidP="005E2CD0">
      <w:pPr>
        <w:pStyle w:val="NoSpacing"/>
        <w:spacing w:line="360" w:lineRule="auto"/>
        <w:jc w:val="both"/>
        <w:rPr>
          <w:rFonts w:ascii="Arial" w:hAnsi="Arial" w:cs="Arial"/>
        </w:rPr>
      </w:pPr>
    </w:p>
    <w:p w:rsidR="005E2CD0" w:rsidRPr="005E2CD0" w:rsidRDefault="00175D3F" w:rsidP="005E2CD0">
      <w:pPr>
        <w:pStyle w:val="NoSpacing"/>
        <w:spacing w:line="360" w:lineRule="auto"/>
        <w:ind w:left="720"/>
        <w:jc w:val="both"/>
        <w:rPr>
          <w:rFonts w:ascii="Arial" w:hAnsi="Arial" w:cs="Arial"/>
        </w:rPr>
      </w:pPr>
      <w:r>
        <w:rPr>
          <w:rFonts w:ascii="Arial" w:hAnsi="Arial" w:cs="Arial"/>
        </w:rPr>
        <w:t>‘</w:t>
      </w:r>
      <w:r w:rsidR="005E2CD0" w:rsidRPr="005E2CD0">
        <w:rPr>
          <w:rFonts w:ascii="Arial" w:hAnsi="Arial" w:cs="Arial"/>
        </w:rPr>
        <w:t>The usual reason for holding a prohibited act to be invalid is not the inference of an intention on the part of the legislature to impose a deterrent penalty for which it has not expressly provided, but the fact that recognition of the act by the Court will bring about, or give legal sanction to, the very situation which the legislature wishes to prevent.</w:t>
      </w:r>
      <w:r>
        <w:rPr>
          <w:rFonts w:ascii="Arial" w:hAnsi="Arial" w:cs="Arial"/>
        </w:rPr>
        <w:t>’</w:t>
      </w:r>
      <w:r>
        <w:rPr>
          <w:rStyle w:val="FootnoteReference"/>
          <w:rFonts w:ascii="Arial" w:hAnsi="Arial" w:cs="Arial"/>
        </w:rPr>
        <w:footnoteReference w:id="33"/>
      </w:r>
    </w:p>
    <w:p w:rsidR="007551B1" w:rsidRPr="005E2CD0" w:rsidRDefault="007551B1" w:rsidP="005E2CD0">
      <w:pPr>
        <w:pStyle w:val="ListParagraph"/>
        <w:spacing w:line="360" w:lineRule="auto"/>
        <w:rPr>
          <w:rFonts w:ascii="Arial" w:hAnsi="Arial" w:cs="Arial"/>
        </w:rPr>
      </w:pPr>
    </w:p>
    <w:p w:rsidR="007551B1" w:rsidRDefault="008B4786" w:rsidP="005E2CD0">
      <w:pPr>
        <w:pStyle w:val="NoSpacing"/>
        <w:spacing w:line="480" w:lineRule="auto"/>
        <w:jc w:val="both"/>
        <w:rPr>
          <w:rFonts w:ascii="Arial" w:hAnsi="Arial" w:cs="Arial"/>
          <w:sz w:val="24"/>
          <w:szCs w:val="24"/>
        </w:rPr>
      </w:pPr>
      <w:r>
        <w:rPr>
          <w:rFonts w:ascii="Arial" w:hAnsi="Arial" w:cs="Arial"/>
          <w:sz w:val="24"/>
          <w:szCs w:val="24"/>
        </w:rPr>
        <w:t>After</w:t>
      </w:r>
      <w:r w:rsidR="00175D3F">
        <w:rPr>
          <w:rFonts w:ascii="Arial" w:hAnsi="Arial" w:cs="Arial"/>
          <w:sz w:val="24"/>
          <w:szCs w:val="24"/>
        </w:rPr>
        <w:t xml:space="preserve"> </w:t>
      </w:r>
      <w:r w:rsidR="003C05A0">
        <w:rPr>
          <w:rFonts w:ascii="Arial" w:hAnsi="Arial" w:cs="Arial"/>
          <w:sz w:val="24"/>
          <w:szCs w:val="24"/>
        </w:rPr>
        <w:t xml:space="preserve">thus </w:t>
      </w:r>
      <w:r w:rsidR="00175D3F">
        <w:rPr>
          <w:rFonts w:ascii="Arial" w:hAnsi="Arial" w:cs="Arial"/>
          <w:sz w:val="24"/>
          <w:szCs w:val="24"/>
        </w:rPr>
        <w:t xml:space="preserve">quoting </w:t>
      </w:r>
      <w:r>
        <w:rPr>
          <w:rFonts w:ascii="Arial" w:hAnsi="Arial" w:cs="Arial"/>
          <w:sz w:val="24"/>
          <w:szCs w:val="24"/>
        </w:rPr>
        <w:t>fro</w:t>
      </w:r>
      <w:r w:rsidR="003C05A0">
        <w:rPr>
          <w:rFonts w:ascii="Arial" w:hAnsi="Arial" w:cs="Arial"/>
          <w:sz w:val="24"/>
          <w:szCs w:val="24"/>
        </w:rPr>
        <w:t>m</w:t>
      </w:r>
      <w:r w:rsidR="00175D3F">
        <w:rPr>
          <w:rFonts w:ascii="Arial" w:hAnsi="Arial" w:cs="Arial"/>
          <w:sz w:val="24"/>
          <w:szCs w:val="24"/>
        </w:rPr>
        <w:t xml:space="preserve"> </w:t>
      </w:r>
      <w:r w:rsidR="00175D3F">
        <w:rPr>
          <w:rFonts w:ascii="Arial" w:hAnsi="Arial" w:cs="Arial"/>
          <w:i/>
          <w:sz w:val="24"/>
          <w:szCs w:val="24"/>
        </w:rPr>
        <w:t>Pottie</w:t>
      </w:r>
      <w:r w:rsidR="00175D3F">
        <w:rPr>
          <w:rFonts w:ascii="Arial" w:hAnsi="Arial" w:cs="Arial"/>
          <w:sz w:val="24"/>
          <w:szCs w:val="24"/>
        </w:rPr>
        <w:t>, Corbett AJA, proceeded to</w:t>
      </w:r>
      <w:r w:rsidR="005E2CD0">
        <w:rPr>
          <w:rFonts w:ascii="Arial" w:hAnsi="Arial" w:cs="Arial"/>
          <w:sz w:val="24"/>
          <w:szCs w:val="24"/>
        </w:rPr>
        <w:t xml:space="preserve"> state that a further important consideration in this context is whether declaring a transaction a nullity would cause ‘greater inconvenience and impropriety’ </w:t>
      </w:r>
      <w:r w:rsidR="00337459">
        <w:rPr>
          <w:rFonts w:ascii="Arial" w:hAnsi="Arial" w:cs="Arial"/>
          <w:sz w:val="24"/>
          <w:szCs w:val="24"/>
        </w:rPr>
        <w:t>than</w:t>
      </w:r>
      <w:r w:rsidR="005E2CD0">
        <w:rPr>
          <w:rFonts w:ascii="Arial" w:hAnsi="Arial" w:cs="Arial"/>
          <w:sz w:val="24"/>
          <w:szCs w:val="24"/>
        </w:rPr>
        <w:t xml:space="preserve"> the prohibit</w:t>
      </w:r>
      <w:r w:rsidR="003C05A0">
        <w:rPr>
          <w:rFonts w:ascii="Arial" w:hAnsi="Arial" w:cs="Arial"/>
          <w:sz w:val="24"/>
          <w:szCs w:val="24"/>
        </w:rPr>
        <w:t>ed</w:t>
      </w:r>
      <w:r w:rsidR="005E2CD0">
        <w:rPr>
          <w:rFonts w:ascii="Arial" w:hAnsi="Arial" w:cs="Arial"/>
          <w:sz w:val="24"/>
          <w:szCs w:val="24"/>
        </w:rPr>
        <w:t xml:space="preserve"> act itself</w:t>
      </w:r>
      <w:r>
        <w:rPr>
          <w:rFonts w:ascii="Arial" w:hAnsi="Arial" w:cs="Arial"/>
          <w:sz w:val="24"/>
          <w:szCs w:val="24"/>
        </w:rPr>
        <w:t xml:space="preserve"> and did not v</w:t>
      </w:r>
      <w:r w:rsidR="00337459">
        <w:rPr>
          <w:rFonts w:ascii="Arial" w:hAnsi="Arial" w:cs="Arial"/>
          <w:sz w:val="24"/>
          <w:szCs w:val="24"/>
        </w:rPr>
        <w:t xml:space="preserve">itiate the contract which was in conflict with a statutory </w:t>
      </w:r>
      <w:r w:rsidR="00E665DA">
        <w:rPr>
          <w:rFonts w:ascii="Arial" w:hAnsi="Arial" w:cs="Arial"/>
          <w:sz w:val="24"/>
          <w:szCs w:val="24"/>
        </w:rPr>
        <w:t>provision</w:t>
      </w:r>
      <w:r w:rsidR="005E2CD0">
        <w:rPr>
          <w:rFonts w:ascii="Arial" w:hAnsi="Arial" w:cs="Arial"/>
          <w:sz w:val="24"/>
          <w:szCs w:val="24"/>
        </w:rPr>
        <w:t>.</w:t>
      </w:r>
      <w:r w:rsidR="005E2CD0">
        <w:rPr>
          <w:rStyle w:val="FootnoteReference"/>
          <w:rFonts w:ascii="Arial" w:hAnsi="Arial" w:cs="Arial"/>
          <w:sz w:val="24"/>
          <w:szCs w:val="24"/>
        </w:rPr>
        <w:footnoteReference w:id="34"/>
      </w:r>
    </w:p>
    <w:p w:rsidR="007551B1" w:rsidRDefault="007551B1" w:rsidP="007551B1">
      <w:pPr>
        <w:pStyle w:val="ListParagraph"/>
        <w:rPr>
          <w:rFonts w:ascii="Arial" w:hAnsi="Arial" w:cs="Arial"/>
          <w:sz w:val="24"/>
          <w:szCs w:val="24"/>
        </w:rPr>
      </w:pPr>
    </w:p>
    <w:p w:rsidR="00E665DA" w:rsidRDefault="00E665DA"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in </w:t>
      </w:r>
      <w:r>
        <w:rPr>
          <w:rFonts w:ascii="Arial" w:hAnsi="Arial" w:cs="Arial"/>
          <w:i/>
          <w:sz w:val="24"/>
          <w:szCs w:val="24"/>
        </w:rPr>
        <w:t xml:space="preserve">Nkandi </w:t>
      </w:r>
      <w:r>
        <w:rPr>
          <w:rFonts w:ascii="Arial" w:hAnsi="Arial" w:cs="Arial"/>
          <w:sz w:val="24"/>
          <w:szCs w:val="24"/>
        </w:rPr>
        <w:t>however cited the above</w:t>
      </w:r>
      <w:r w:rsidR="00975F17">
        <w:rPr>
          <w:rFonts w:ascii="Arial" w:hAnsi="Arial" w:cs="Arial"/>
          <w:sz w:val="24"/>
          <w:szCs w:val="24"/>
        </w:rPr>
        <w:t xml:space="preserve"> quoted</w:t>
      </w:r>
      <w:r>
        <w:rPr>
          <w:rFonts w:ascii="Arial" w:hAnsi="Arial" w:cs="Arial"/>
          <w:sz w:val="24"/>
          <w:szCs w:val="24"/>
        </w:rPr>
        <w:t xml:space="preserve"> passage </w:t>
      </w:r>
      <w:r w:rsidR="00F66EB6">
        <w:rPr>
          <w:rFonts w:ascii="Arial" w:hAnsi="Arial" w:cs="Arial"/>
          <w:sz w:val="24"/>
          <w:szCs w:val="24"/>
        </w:rPr>
        <w:t xml:space="preserve">from </w:t>
      </w:r>
      <w:r w:rsidR="00F66EB6">
        <w:rPr>
          <w:rFonts w:ascii="Arial" w:hAnsi="Arial" w:cs="Arial"/>
          <w:i/>
          <w:sz w:val="24"/>
          <w:szCs w:val="24"/>
        </w:rPr>
        <w:t>Pottie</w:t>
      </w:r>
      <w:r w:rsidR="00F66EB6" w:rsidRPr="00F66EB6">
        <w:rPr>
          <w:rFonts w:ascii="Arial" w:hAnsi="Arial" w:cs="Arial"/>
          <w:sz w:val="24"/>
          <w:szCs w:val="24"/>
        </w:rPr>
        <w:t xml:space="preserve"> </w:t>
      </w:r>
      <w:r>
        <w:rPr>
          <w:rFonts w:ascii="Arial" w:hAnsi="Arial" w:cs="Arial"/>
          <w:sz w:val="24"/>
          <w:szCs w:val="24"/>
        </w:rPr>
        <w:t>(although in truncated form) in support of</w:t>
      </w:r>
      <w:r w:rsidR="008B4786">
        <w:rPr>
          <w:rFonts w:ascii="Arial" w:hAnsi="Arial" w:cs="Arial"/>
          <w:sz w:val="24"/>
          <w:szCs w:val="24"/>
        </w:rPr>
        <w:t xml:space="preserve"> its conclusion entailing</w:t>
      </w:r>
      <w:r>
        <w:rPr>
          <w:rFonts w:ascii="Arial" w:hAnsi="Arial" w:cs="Arial"/>
          <w:sz w:val="24"/>
          <w:szCs w:val="24"/>
        </w:rPr>
        <w:t xml:space="preserve"> an inflexible application of the maxim </w:t>
      </w:r>
      <w:r>
        <w:rPr>
          <w:rFonts w:ascii="Arial" w:hAnsi="Arial" w:cs="Arial"/>
          <w:i/>
          <w:sz w:val="24"/>
          <w:szCs w:val="24"/>
        </w:rPr>
        <w:t xml:space="preserve">ex turpi causa non oritur actio </w:t>
      </w:r>
      <w:r w:rsidR="008B4786">
        <w:rPr>
          <w:rFonts w:ascii="Arial" w:hAnsi="Arial" w:cs="Arial"/>
          <w:sz w:val="24"/>
          <w:szCs w:val="24"/>
        </w:rPr>
        <w:t>by stating</w:t>
      </w:r>
      <w:r>
        <w:rPr>
          <w:rFonts w:ascii="Arial" w:hAnsi="Arial" w:cs="Arial"/>
          <w:sz w:val="24"/>
          <w:szCs w:val="24"/>
        </w:rPr>
        <w:t xml:space="preserve"> that agreements in violation of a statute are unenforceable. But this </w:t>
      </w:r>
      <w:r w:rsidR="008B4786">
        <w:rPr>
          <w:rFonts w:ascii="Arial" w:hAnsi="Arial" w:cs="Arial"/>
          <w:sz w:val="24"/>
          <w:szCs w:val="24"/>
        </w:rPr>
        <w:t>doe</w:t>
      </w:r>
      <w:r>
        <w:rPr>
          <w:rFonts w:ascii="Arial" w:hAnsi="Arial" w:cs="Arial"/>
          <w:sz w:val="24"/>
          <w:szCs w:val="24"/>
        </w:rPr>
        <w:t>s not</w:t>
      </w:r>
      <w:r w:rsidR="008B4786">
        <w:rPr>
          <w:rFonts w:ascii="Arial" w:hAnsi="Arial" w:cs="Arial"/>
          <w:sz w:val="24"/>
          <w:szCs w:val="24"/>
        </w:rPr>
        <w:t xml:space="preserve"> however reflect</w:t>
      </w:r>
      <w:r>
        <w:rPr>
          <w:rFonts w:ascii="Arial" w:hAnsi="Arial" w:cs="Arial"/>
          <w:sz w:val="24"/>
          <w:szCs w:val="24"/>
        </w:rPr>
        <w:t xml:space="preserve"> the</w:t>
      </w:r>
      <w:r w:rsidR="007F1D0F">
        <w:rPr>
          <w:rFonts w:ascii="Arial" w:hAnsi="Arial" w:cs="Arial"/>
          <w:sz w:val="24"/>
          <w:szCs w:val="24"/>
        </w:rPr>
        <w:t xml:space="preserve"> overall</w:t>
      </w:r>
      <w:r>
        <w:rPr>
          <w:rFonts w:ascii="Arial" w:hAnsi="Arial" w:cs="Arial"/>
          <w:sz w:val="24"/>
          <w:szCs w:val="24"/>
        </w:rPr>
        <w:t xml:space="preserve"> approach of the court in </w:t>
      </w:r>
      <w:r w:rsidR="007F1D0F">
        <w:rPr>
          <w:rFonts w:ascii="Arial" w:hAnsi="Arial" w:cs="Arial"/>
          <w:i/>
          <w:sz w:val="24"/>
          <w:szCs w:val="24"/>
        </w:rPr>
        <w:t>Pottie</w:t>
      </w:r>
      <w:r>
        <w:rPr>
          <w:rFonts w:ascii="Arial" w:hAnsi="Arial" w:cs="Arial"/>
          <w:sz w:val="24"/>
          <w:szCs w:val="24"/>
        </w:rPr>
        <w:t>. On the contrary, a reading of the</w:t>
      </w:r>
      <w:r w:rsidR="008B4786">
        <w:rPr>
          <w:rFonts w:ascii="Arial" w:hAnsi="Arial" w:cs="Arial"/>
          <w:sz w:val="24"/>
          <w:szCs w:val="24"/>
        </w:rPr>
        <w:t xml:space="preserve"> </w:t>
      </w:r>
      <w:r w:rsidR="008B4786">
        <w:rPr>
          <w:rFonts w:ascii="Arial" w:hAnsi="Arial" w:cs="Arial"/>
          <w:i/>
          <w:sz w:val="24"/>
          <w:szCs w:val="24"/>
        </w:rPr>
        <w:t>Pottie</w:t>
      </w:r>
      <w:r>
        <w:rPr>
          <w:rFonts w:ascii="Arial" w:hAnsi="Arial" w:cs="Arial"/>
          <w:sz w:val="24"/>
          <w:szCs w:val="24"/>
        </w:rPr>
        <w:t xml:space="preserve"> judgment</w:t>
      </w:r>
      <w:r w:rsidR="007F1D0F">
        <w:rPr>
          <w:rFonts w:ascii="Arial" w:hAnsi="Arial" w:cs="Arial"/>
          <w:sz w:val="24"/>
          <w:szCs w:val="24"/>
        </w:rPr>
        <w:t xml:space="preserve"> as a whole demonstrates a</w:t>
      </w:r>
      <w:r>
        <w:rPr>
          <w:rFonts w:ascii="Arial" w:hAnsi="Arial" w:cs="Arial"/>
          <w:sz w:val="24"/>
          <w:szCs w:val="24"/>
        </w:rPr>
        <w:t xml:space="preserve"> different and contrary position – the application of a flexible test in applying the approach set out in </w:t>
      </w:r>
      <w:r>
        <w:rPr>
          <w:rFonts w:ascii="Arial" w:hAnsi="Arial" w:cs="Arial"/>
          <w:i/>
          <w:sz w:val="24"/>
          <w:szCs w:val="24"/>
        </w:rPr>
        <w:t>Standard Bank v Van Rhyn.</w:t>
      </w:r>
      <w:r>
        <w:rPr>
          <w:rFonts w:ascii="Arial" w:hAnsi="Arial" w:cs="Arial"/>
          <w:sz w:val="24"/>
          <w:szCs w:val="24"/>
        </w:rPr>
        <w:t xml:space="preserve"> </w:t>
      </w:r>
    </w:p>
    <w:p w:rsidR="00E665DA" w:rsidRDefault="00E665DA" w:rsidP="00E665DA">
      <w:pPr>
        <w:pStyle w:val="NoSpacing"/>
        <w:spacing w:line="480" w:lineRule="auto"/>
        <w:jc w:val="both"/>
        <w:rPr>
          <w:rFonts w:ascii="Arial" w:hAnsi="Arial" w:cs="Arial"/>
          <w:sz w:val="24"/>
          <w:szCs w:val="24"/>
        </w:rPr>
      </w:pPr>
    </w:p>
    <w:p w:rsidR="00E665DA" w:rsidRPr="00043709" w:rsidRDefault="00E665DA" w:rsidP="0004370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Fagan AJA (later CJ) in </w:t>
      </w:r>
      <w:r>
        <w:rPr>
          <w:rFonts w:ascii="Arial" w:hAnsi="Arial" w:cs="Arial"/>
          <w:i/>
          <w:sz w:val="24"/>
          <w:szCs w:val="24"/>
        </w:rPr>
        <w:t xml:space="preserve">Pottie </w:t>
      </w:r>
      <w:r>
        <w:rPr>
          <w:rFonts w:ascii="Arial" w:hAnsi="Arial" w:cs="Arial"/>
          <w:sz w:val="24"/>
          <w:szCs w:val="24"/>
        </w:rPr>
        <w:t xml:space="preserve">further aptly stated in relation to rendering contracts invalid as a further penalty: </w:t>
      </w:r>
    </w:p>
    <w:p w:rsidR="00E665DA" w:rsidRPr="00E665DA" w:rsidRDefault="00E665DA" w:rsidP="00E665DA">
      <w:pPr>
        <w:pStyle w:val="NoSpacing"/>
        <w:spacing w:line="360" w:lineRule="auto"/>
        <w:ind w:left="720"/>
        <w:jc w:val="both"/>
        <w:rPr>
          <w:rFonts w:ascii="Arial" w:hAnsi="Arial" w:cs="Arial"/>
        </w:rPr>
      </w:pPr>
      <w:r>
        <w:rPr>
          <w:rFonts w:ascii="Arial" w:hAnsi="Arial" w:cs="Arial"/>
        </w:rPr>
        <w:t>‘</w:t>
      </w:r>
      <w:r w:rsidRPr="0001066B">
        <w:rPr>
          <w:rFonts w:ascii="Arial" w:hAnsi="Arial" w:cs="Arial"/>
        </w:rPr>
        <w:t xml:space="preserve">A further compulsory penalty of invalidity would . . . have capricious effects the severity of which might be out of all proportion to that of the prescribed penalties, it would bring about inequitable results as between the parties concerned and it would upset transactions which, if . . . enforced . . . , the legislature could have had no reason to view with disfavour. To say that we are compelled to imply such </w:t>
      </w:r>
      <w:proofErr w:type="gramStart"/>
      <w:r w:rsidRPr="0001066B">
        <w:rPr>
          <w:rFonts w:ascii="Arial" w:hAnsi="Arial" w:cs="Arial"/>
        </w:rPr>
        <w:t>consequences . . . seems</w:t>
      </w:r>
      <w:proofErr w:type="gramEnd"/>
      <w:r w:rsidRPr="0001066B">
        <w:rPr>
          <w:rFonts w:ascii="Arial" w:hAnsi="Arial" w:cs="Arial"/>
        </w:rPr>
        <w:t xml:space="preserve"> to me to make us the slaves of maxims of interpretation which should serve as guides and not be allowed </w:t>
      </w:r>
      <w:r w:rsidR="00975F17">
        <w:rPr>
          <w:rFonts w:ascii="Arial" w:hAnsi="Arial" w:cs="Arial"/>
        </w:rPr>
        <w:t>to tyrannise over us as masters</w:t>
      </w:r>
      <w:r w:rsidRPr="0001066B">
        <w:rPr>
          <w:rFonts w:ascii="Arial" w:hAnsi="Arial" w:cs="Arial"/>
        </w:rPr>
        <w:t>.</w:t>
      </w:r>
      <w:r>
        <w:rPr>
          <w:rFonts w:ascii="Arial" w:hAnsi="Arial" w:cs="Arial"/>
        </w:rPr>
        <w:t>’</w:t>
      </w:r>
      <w:r>
        <w:rPr>
          <w:rStyle w:val="FootnoteReference"/>
          <w:rFonts w:ascii="Arial" w:hAnsi="Arial" w:cs="Arial"/>
        </w:rPr>
        <w:footnoteReference w:id="35"/>
      </w:r>
    </w:p>
    <w:p w:rsidR="00E665DA" w:rsidRPr="00E665DA" w:rsidRDefault="00E665DA" w:rsidP="000703E4">
      <w:pPr>
        <w:pStyle w:val="NoSpacing"/>
        <w:spacing w:before="240" w:after="240" w:line="360" w:lineRule="auto"/>
        <w:jc w:val="both"/>
        <w:rPr>
          <w:rFonts w:ascii="Arial" w:hAnsi="Arial" w:cs="Arial"/>
        </w:rPr>
      </w:pPr>
    </w:p>
    <w:p w:rsidR="007551B1" w:rsidRDefault="005403CF"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mischief which s 13 is directed at is </w:t>
      </w:r>
      <w:r w:rsidR="00E665DA">
        <w:rPr>
          <w:rFonts w:ascii="Arial" w:hAnsi="Arial" w:cs="Arial"/>
          <w:sz w:val="24"/>
          <w:szCs w:val="24"/>
        </w:rPr>
        <w:t xml:space="preserve">the </w:t>
      </w:r>
      <w:r w:rsidR="00175D3F">
        <w:rPr>
          <w:rFonts w:ascii="Arial" w:hAnsi="Arial" w:cs="Arial"/>
          <w:sz w:val="24"/>
          <w:szCs w:val="24"/>
        </w:rPr>
        <w:t>preventi</w:t>
      </w:r>
      <w:r w:rsidR="00E665DA">
        <w:rPr>
          <w:rFonts w:ascii="Arial" w:hAnsi="Arial" w:cs="Arial"/>
          <w:sz w:val="24"/>
          <w:szCs w:val="24"/>
        </w:rPr>
        <w:t xml:space="preserve">on of </w:t>
      </w:r>
      <w:r>
        <w:rPr>
          <w:rFonts w:ascii="Arial" w:hAnsi="Arial" w:cs="Arial"/>
          <w:sz w:val="24"/>
          <w:szCs w:val="24"/>
        </w:rPr>
        <w:t xml:space="preserve">unregistered persons </w:t>
      </w:r>
      <w:r w:rsidR="00175D3F">
        <w:rPr>
          <w:rFonts w:ascii="Arial" w:hAnsi="Arial" w:cs="Arial"/>
          <w:sz w:val="24"/>
          <w:szCs w:val="24"/>
        </w:rPr>
        <w:t xml:space="preserve">from </w:t>
      </w:r>
      <w:r>
        <w:rPr>
          <w:rFonts w:ascii="Arial" w:hAnsi="Arial" w:cs="Arial"/>
          <w:sz w:val="24"/>
          <w:szCs w:val="24"/>
        </w:rPr>
        <w:t xml:space="preserve">performing work reserved for architects to protect the public. </w:t>
      </w:r>
      <w:r w:rsidR="00175D3F">
        <w:rPr>
          <w:rFonts w:ascii="Arial" w:hAnsi="Arial" w:cs="Arial"/>
          <w:sz w:val="24"/>
          <w:szCs w:val="24"/>
        </w:rPr>
        <w:t>This is the overriding consideration and not</w:t>
      </w:r>
      <w:r>
        <w:rPr>
          <w:rFonts w:ascii="Arial" w:hAnsi="Arial" w:cs="Arial"/>
          <w:sz w:val="24"/>
          <w:szCs w:val="24"/>
        </w:rPr>
        <w:t xml:space="preserve"> the rationale referred to by the court in </w:t>
      </w:r>
      <w:r>
        <w:rPr>
          <w:rFonts w:ascii="Arial" w:hAnsi="Arial" w:cs="Arial"/>
          <w:i/>
          <w:sz w:val="24"/>
          <w:szCs w:val="24"/>
        </w:rPr>
        <w:t>Nkandi</w:t>
      </w:r>
      <w:r>
        <w:rPr>
          <w:rFonts w:ascii="Arial" w:hAnsi="Arial" w:cs="Arial"/>
          <w:sz w:val="24"/>
          <w:szCs w:val="24"/>
        </w:rPr>
        <w:t xml:space="preserve">. On the contrary, </w:t>
      </w:r>
      <w:r w:rsidR="00E665DA">
        <w:rPr>
          <w:rFonts w:ascii="Arial" w:hAnsi="Arial" w:cs="Arial"/>
          <w:sz w:val="24"/>
          <w:szCs w:val="24"/>
        </w:rPr>
        <w:t>the</w:t>
      </w:r>
      <w:r w:rsidR="00175D3F">
        <w:rPr>
          <w:rFonts w:ascii="Arial" w:hAnsi="Arial" w:cs="Arial"/>
          <w:sz w:val="24"/>
          <w:szCs w:val="24"/>
        </w:rPr>
        <w:t xml:space="preserve"> </w:t>
      </w:r>
      <w:r>
        <w:rPr>
          <w:rFonts w:ascii="Arial" w:hAnsi="Arial" w:cs="Arial"/>
          <w:sz w:val="24"/>
          <w:szCs w:val="24"/>
        </w:rPr>
        <w:t>considerations</w:t>
      </w:r>
      <w:r w:rsidR="00E665DA">
        <w:rPr>
          <w:rFonts w:ascii="Arial" w:hAnsi="Arial" w:cs="Arial"/>
          <w:sz w:val="24"/>
          <w:szCs w:val="24"/>
        </w:rPr>
        <w:t xml:space="preserve"> referred to in </w:t>
      </w:r>
      <w:r w:rsidR="00E665DA">
        <w:rPr>
          <w:rFonts w:ascii="Arial" w:hAnsi="Arial" w:cs="Arial"/>
          <w:i/>
          <w:sz w:val="24"/>
          <w:szCs w:val="24"/>
        </w:rPr>
        <w:t>Nkandi</w:t>
      </w:r>
      <w:r>
        <w:rPr>
          <w:rFonts w:ascii="Arial" w:hAnsi="Arial" w:cs="Arial"/>
          <w:sz w:val="24"/>
          <w:szCs w:val="24"/>
        </w:rPr>
        <w:t xml:space="preserve"> were </w:t>
      </w:r>
      <w:r w:rsidR="00175D3F">
        <w:rPr>
          <w:rFonts w:ascii="Arial" w:hAnsi="Arial" w:cs="Arial"/>
          <w:sz w:val="24"/>
          <w:szCs w:val="24"/>
        </w:rPr>
        <w:t xml:space="preserve">subsequently </w:t>
      </w:r>
      <w:r w:rsidR="003C05A0">
        <w:rPr>
          <w:rFonts w:ascii="Arial" w:hAnsi="Arial" w:cs="Arial"/>
          <w:sz w:val="24"/>
          <w:szCs w:val="24"/>
        </w:rPr>
        <w:t xml:space="preserve">fully </w:t>
      </w:r>
      <w:r>
        <w:rPr>
          <w:rFonts w:ascii="Arial" w:hAnsi="Arial" w:cs="Arial"/>
          <w:sz w:val="24"/>
          <w:szCs w:val="24"/>
        </w:rPr>
        <w:t>addressed in regulation 4(1</w:t>
      </w:r>
      <w:proofErr w:type="gramStart"/>
      <w:r>
        <w:rPr>
          <w:rFonts w:ascii="Arial" w:hAnsi="Arial" w:cs="Arial"/>
          <w:sz w:val="24"/>
          <w:szCs w:val="24"/>
        </w:rPr>
        <w:t>)(</w:t>
      </w:r>
      <w:proofErr w:type="gramEnd"/>
      <w:r>
        <w:rPr>
          <w:rFonts w:ascii="Arial" w:hAnsi="Arial" w:cs="Arial"/>
          <w:sz w:val="24"/>
          <w:szCs w:val="24"/>
        </w:rPr>
        <w:t>kk). A registered architect may furthermore and in any even</w:t>
      </w:r>
      <w:r w:rsidR="003C05A0">
        <w:rPr>
          <w:rFonts w:ascii="Arial" w:hAnsi="Arial" w:cs="Arial"/>
          <w:sz w:val="24"/>
          <w:szCs w:val="24"/>
        </w:rPr>
        <w:t>t</w:t>
      </w:r>
      <w:r>
        <w:rPr>
          <w:rFonts w:ascii="Arial" w:hAnsi="Arial" w:cs="Arial"/>
          <w:sz w:val="24"/>
          <w:szCs w:val="24"/>
        </w:rPr>
        <w:t xml:space="preserve"> be jointly and severally liable </w:t>
      </w:r>
      <w:r w:rsidR="00E665DA">
        <w:rPr>
          <w:rFonts w:ascii="Arial" w:hAnsi="Arial" w:cs="Arial"/>
          <w:sz w:val="24"/>
          <w:szCs w:val="24"/>
        </w:rPr>
        <w:t xml:space="preserve">in delict </w:t>
      </w:r>
      <w:r>
        <w:rPr>
          <w:rFonts w:ascii="Arial" w:hAnsi="Arial" w:cs="Arial"/>
          <w:sz w:val="24"/>
          <w:szCs w:val="24"/>
        </w:rPr>
        <w:t xml:space="preserve">with </w:t>
      </w:r>
      <w:r w:rsidR="003C05A0">
        <w:rPr>
          <w:rFonts w:ascii="Arial" w:hAnsi="Arial" w:cs="Arial"/>
          <w:sz w:val="24"/>
          <w:szCs w:val="24"/>
        </w:rPr>
        <w:t>the</w:t>
      </w:r>
      <w:r>
        <w:rPr>
          <w:rFonts w:ascii="Arial" w:hAnsi="Arial" w:cs="Arial"/>
          <w:sz w:val="24"/>
          <w:szCs w:val="24"/>
        </w:rPr>
        <w:t xml:space="preserve"> non-natural person which contracted to do that work.</w:t>
      </w:r>
      <w:r>
        <w:rPr>
          <w:rStyle w:val="FootnoteReference"/>
          <w:rFonts w:ascii="Arial" w:hAnsi="Arial" w:cs="Arial"/>
          <w:sz w:val="24"/>
          <w:szCs w:val="24"/>
        </w:rPr>
        <w:footnoteReference w:id="36"/>
      </w:r>
    </w:p>
    <w:p w:rsidR="00BB1A50" w:rsidRDefault="00BB1A50" w:rsidP="00BB1A50">
      <w:pPr>
        <w:pStyle w:val="NoSpacing"/>
        <w:spacing w:line="480" w:lineRule="auto"/>
        <w:jc w:val="both"/>
        <w:rPr>
          <w:rFonts w:ascii="Arial" w:hAnsi="Arial" w:cs="Arial"/>
          <w:sz w:val="24"/>
          <w:szCs w:val="24"/>
        </w:rPr>
      </w:pPr>
    </w:p>
    <w:p w:rsidR="00BB1A50" w:rsidRDefault="00BB1A50" w:rsidP="0004370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work in this case – and in </w:t>
      </w:r>
      <w:r>
        <w:rPr>
          <w:rFonts w:ascii="Arial" w:hAnsi="Arial" w:cs="Arial"/>
          <w:i/>
          <w:sz w:val="24"/>
          <w:szCs w:val="24"/>
        </w:rPr>
        <w:t>Nkandi</w:t>
      </w:r>
      <w:r w:rsidR="00E665DA">
        <w:rPr>
          <w:rFonts w:ascii="Arial" w:hAnsi="Arial" w:cs="Arial"/>
          <w:sz w:val="24"/>
          <w:szCs w:val="24"/>
        </w:rPr>
        <w:t xml:space="preserve"> – wa</w:t>
      </w:r>
      <w:r>
        <w:rPr>
          <w:rFonts w:ascii="Arial" w:hAnsi="Arial" w:cs="Arial"/>
          <w:sz w:val="24"/>
          <w:szCs w:val="24"/>
        </w:rPr>
        <w:t xml:space="preserve">s performed by a duly registered architect – the fundamental </w:t>
      </w:r>
      <w:r w:rsidR="003C05A0">
        <w:rPr>
          <w:rFonts w:ascii="Arial" w:hAnsi="Arial" w:cs="Arial"/>
          <w:sz w:val="24"/>
          <w:szCs w:val="24"/>
        </w:rPr>
        <w:t>mischief sought to be prevented by</w:t>
      </w:r>
      <w:r>
        <w:rPr>
          <w:rFonts w:ascii="Arial" w:hAnsi="Arial" w:cs="Arial"/>
          <w:sz w:val="24"/>
          <w:szCs w:val="24"/>
        </w:rPr>
        <w:t xml:space="preserve"> s 13 </w:t>
      </w:r>
      <w:r w:rsidR="008B4786">
        <w:rPr>
          <w:rFonts w:ascii="Arial" w:hAnsi="Arial" w:cs="Arial"/>
          <w:sz w:val="24"/>
          <w:szCs w:val="24"/>
        </w:rPr>
        <w:t xml:space="preserve">thus </w:t>
      </w:r>
      <w:r>
        <w:rPr>
          <w:rFonts w:ascii="Arial" w:hAnsi="Arial" w:cs="Arial"/>
          <w:sz w:val="24"/>
          <w:szCs w:val="24"/>
        </w:rPr>
        <w:t xml:space="preserve">not </w:t>
      </w:r>
      <w:r w:rsidR="003E7FC1">
        <w:rPr>
          <w:rFonts w:ascii="Arial" w:hAnsi="Arial" w:cs="Arial"/>
          <w:sz w:val="24"/>
          <w:szCs w:val="24"/>
        </w:rPr>
        <w:t>eventuating</w:t>
      </w:r>
      <w:r>
        <w:rPr>
          <w:rFonts w:ascii="Arial" w:hAnsi="Arial" w:cs="Arial"/>
          <w:sz w:val="24"/>
          <w:szCs w:val="24"/>
        </w:rPr>
        <w:t xml:space="preserve">. The regulations furthermore expressly </w:t>
      </w:r>
      <w:r w:rsidR="003C05A0">
        <w:rPr>
          <w:rFonts w:ascii="Arial" w:hAnsi="Arial" w:cs="Arial"/>
          <w:sz w:val="24"/>
          <w:szCs w:val="24"/>
        </w:rPr>
        <w:t>authorise</w:t>
      </w:r>
      <w:r>
        <w:rPr>
          <w:rFonts w:ascii="Arial" w:hAnsi="Arial" w:cs="Arial"/>
          <w:sz w:val="24"/>
          <w:szCs w:val="24"/>
        </w:rPr>
        <w:t xml:space="preserve"> registered architects to practi</w:t>
      </w:r>
      <w:r w:rsidR="003C05A0">
        <w:rPr>
          <w:rFonts w:ascii="Arial" w:hAnsi="Arial" w:cs="Arial"/>
          <w:sz w:val="24"/>
          <w:szCs w:val="24"/>
        </w:rPr>
        <w:t>s</w:t>
      </w:r>
      <w:r>
        <w:rPr>
          <w:rFonts w:ascii="Arial" w:hAnsi="Arial" w:cs="Arial"/>
          <w:sz w:val="24"/>
          <w:szCs w:val="24"/>
        </w:rPr>
        <w:t>e in a legal entity other than a natural person which would enter into agreements to provide those services</w:t>
      </w:r>
      <w:r w:rsidR="003E7FC1">
        <w:rPr>
          <w:rFonts w:ascii="Arial" w:hAnsi="Arial" w:cs="Arial"/>
          <w:sz w:val="24"/>
          <w:szCs w:val="24"/>
        </w:rPr>
        <w:t xml:space="preserve"> to clients</w:t>
      </w:r>
      <w:r>
        <w:rPr>
          <w:rFonts w:ascii="Arial" w:hAnsi="Arial" w:cs="Arial"/>
          <w:sz w:val="24"/>
          <w:szCs w:val="24"/>
        </w:rPr>
        <w:t xml:space="preserve"> (as long as the work reserved for architects is performed by a registered architect). The fact that the appellant is a close corporation and not an incorporated company</w:t>
      </w:r>
      <w:r w:rsidR="003C05A0">
        <w:rPr>
          <w:rFonts w:ascii="Arial" w:hAnsi="Arial" w:cs="Arial"/>
          <w:sz w:val="24"/>
          <w:szCs w:val="24"/>
        </w:rPr>
        <w:t xml:space="preserve"> contemplated</w:t>
      </w:r>
      <w:r>
        <w:rPr>
          <w:rFonts w:ascii="Arial" w:hAnsi="Arial" w:cs="Arial"/>
          <w:sz w:val="24"/>
          <w:szCs w:val="24"/>
        </w:rPr>
        <w:t xml:space="preserve"> </w:t>
      </w:r>
      <w:r w:rsidR="003C05A0">
        <w:rPr>
          <w:rFonts w:ascii="Arial" w:hAnsi="Arial" w:cs="Arial"/>
          <w:sz w:val="24"/>
          <w:szCs w:val="24"/>
        </w:rPr>
        <w:t xml:space="preserve">by regulation </w:t>
      </w:r>
      <w:r w:rsidR="003C05A0">
        <w:rPr>
          <w:rFonts w:ascii="Arial" w:hAnsi="Arial" w:cs="Arial"/>
          <w:sz w:val="24"/>
          <w:szCs w:val="24"/>
        </w:rPr>
        <w:lastRenderedPageBreak/>
        <w:t xml:space="preserve">4(1)(kk) </w:t>
      </w:r>
      <w:r>
        <w:rPr>
          <w:rFonts w:ascii="Arial" w:hAnsi="Arial" w:cs="Arial"/>
          <w:sz w:val="24"/>
          <w:szCs w:val="24"/>
        </w:rPr>
        <w:t xml:space="preserve">may </w:t>
      </w:r>
      <w:r w:rsidR="00975F17">
        <w:rPr>
          <w:rFonts w:ascii="Arial" w:hAnsi="Arial" w:cs="Arial"/>
          <w:sz w:val="24"/>
          <w:szCs w:val="24"/>
        </w:rPr>
        <w:t xml:space="preserve">conceivably </w:t>
      </w:r>
      <w:r>
        <w:rPr>
          <w:rFonts w:ascii="Arial" w:hAnsi="Arial" w:cs="Arial"/>
          <w:sz w:val="24"/>
          <w:szCs w:val="24"/>
        </w:rPr>
        <w:t>be a matter for the Coun</w:t>
      </w:r>
      <w:r w:rsidR="003C05A0">
        <w:rPr>
          <w:rFonts w:ascii="Arial" w:hAnsi="Arial" w:cs="Arial"/>
          <w:sz w:val="24"/>
          <w:szCs w:val="24"/>
        </w:rPr>
        <w:t>ci</w:t>
      </w:r>
      <w:r>
        <w:rPr>
          <w:rFonts w:ascii="Arial" w:hAnsi="Arial" w:cs="Arial"/>
          <w:sz w:val="24"/>
          <w:szCs w:val="24"/>
        </w:rPr>
        <w:t xml:space="preserve">l to consider if </w:t>
      </w:r>
      <w:r w:rsidR="003C05A0">
        <w:rPr>
          <w:rFonts w:ascii="Arial" w:hAnsi="Arial" w:cs="Arial"/>
          <w:sz w:val="24"/>
          <w:szCs w:val="24"/>
        </w:rPr>
        <w:t>that were to</w:t>
      </w:r>
      <w:r w:rsidR="008B4786">
        <w:rPr>
          <w:rFonts w:ascii="Arial" w:hAnsi="Arial" w:cs="Arial"/>
          <w:sz w:val="24"/>
          <w:szCs w:val="24"/>
        </w:rPr>
        <w:t xml:space="preserve"> constitute improper conduct, but does not detract from the principle embodied in that regulation.</w:t>
      </w:r>
    </w:p>
    <w:p w:rsidR="000703E4" w:rsidRPr="00043709" w:rsidRDefault="000703E4" w:rsidP="000703E4">
      <w:pPr>
        <w:pStyle w:val="NoSpacing"/>
        <w:spacing w:line="480" w:lineRule="auto"/>
        <w:jc w:val="both"/>
        <w:rPr>
          <w:rFonts w:ascii="Arial" w:hAnsi="Arial" w:cs="Arial"/>
          <w:sz w:val="24"/>
          <w:szCs w:val="24"/>
        </w:rPr>
      </w:pPr>
    </w:p>
    <w:p w:rsidR="00BB1A50" w:rsidRDefault="00BB1A50"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Where the work is performed by a registered architect – as is alleged in this appeal and in </w:t>
      </w:r>
      <w:r>
        <w:rPr>
          <w:rFonts w:ascii="Arial" w:hAnsi="Arial" w:cs="Arial"/>
          <w:i/>
          <w:sz w:val="24"/>
          <w:szCs w:val="24"/>
        </w:rPr>
        <w:t xml:space="preserve">Nkandi </w:t>
      </w:r>
      <w:r>
        <w:rPr>
          <w:rFonts w:ascii="Arial" w:hAnsi="Arial" w:cs="Arial"/>
          <w:sz w:val="24"/>
          <w:szCs w:val="24"/>
        </w:rPr>
        <w:t>– there would not appear to be any prejudice sustained by either defendant in these two matters. What the exceptions seek is not the Act’s protection to secure proper professional work by registered architects but rather to escape payment for work duly performed by registered architects</w:t>
      </w:r>
      <w:r w:rsidR="003C05A0">
        <w:rPr>
          <w:rFonts w:ascii="Arial" w:hAnsi="Arial" w:cs="Arial"/>
          <w:sz w:val="24"/>
          <w:szCs w:val="24"/>
        </w:rPr>
        <w:t xml:space="preserve"> merely</w:t>
      </w:r>
      <w:r>
        <w:rPr>
          <w:rFonts w:ascii="Arial" w:hAnsi="Arial" w:cs="Arial"/>
          <w:sz w:val="24"/>
          <w:szCs w:val="24"/>
        </w:rPr>
        <w:t xml:space="preserve"> by reason of the fact that the agreements to provide </w:t>
      </w:r>
      <w:r w:rsidR="003E7FC1">
        <w:rPr>
          <w:rFonts w:ascii="Arial" w:hAnsi="Arial" w:cs="Arial"/>
          <w:sz w:val="24"/>
          <w:szCs w:val="24"/>
        </w:rPr>
        <w:t>that work</w:t>
      </w:r>
      <w:r>
        <w:rPr>
          <w:rFonts w:ascii="Arial" w:hAnsi="Arial" w:cs="Arial"/>
          <w:sz w:val="24"/>
          <w:szCs w:val="24"/>
        </w:rPr>
        <w:t xml:space="preserve"> were entered into with a person other than a natural person</w:t>
      </w:r>
      <w:r w:rsidR="003C05A0">
        <w:rPr>
          <w:rFonts w:ascii="Arial" w:hAnsi="Arial" w:cs="Arial"/>
          <w:sz w:val="24"/>
          <w:szCs w:val="24"/>
        </w:rPr>
        <w:t>, and entirely unrelated to the nature of the performance</w:t>
      </w:r>
      <w:r>
        <w:rPr>
          <w:rFonts w:ascii="Arial" w:hAnsi="Arial" w:cs="Arial"/>
          <w:sz w:val="24"/>
          <w:szCs w:val="24"/>
        </w:rPr>
        <w:t>.</w:t>
      </w:r>
    </w:p>
    <w:p w:rsidR="00BB1A50" w:rsidRDefault="00BB1A50" w:rsidP="00BB1A50">
      <w:pPr>
        <w:pStyle w:val="ListParagraph"/>
        <w:rPr>
          <w:rFonts w:ascii="Arial" w:hAnsi="Arial" w:cs="Arial"/>
          <w:sz w:val="24"/>
          <w:szCs w:val="24"/>
        </w:rPr>
      </w:pPr>
    </w:p>
    <w:p w:rsidR="00BB1A50" w:rsidRDefault="00BB1A50"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Pottie</w:t>
      </w:r>
      <w:r>
        <w:rPr>
          <w:rFonts w:ascii="Arial" w:hAnsi="Arial" w:cs="Arial"/>
          <w:sz w:val="24"/>
          <w:szCs w:val="24"/>
        </w:rPr>
        <w:t>, the Appellate Division (AD) was concerned with an ordinance which prohibited the sale of a motor vehicle without a valid roadworthy certificate</w:t>
      </w:r>
      <w:r w:rsidR="003E7FC1">
        <w:rPr>
          <w:rFonts w:ascii="Arial" w:hAnsi="Arial" w:cs="Arial"/>
          <w:sz w:val="24"/>
          <w:szCs w:val="24"/>
        </w:rPr>
        <w:t>. A</w:t>
      </w:r>
      <w:r>
        <w:rPr>
          <w:rFonts w:ascii="Arial" w:hAnsi="Arial" w:cs="Arial"/>
          <w:sz w:val="24"/>
          <w:szCs w:val="24"/>
        </w:rPr>
        <w:t xml:space="preserve">fter referring to ‘serious inequities’ which may ensue by invalidating a contract, </w:t>
      </w:r>
      <w:r w:rsidR="003C05A0">
        <w:rPr>
          <w:rFonts w:ascii="Arial" w:hAnsi="Arial" w:cs="Arial"/>
          <w:sz w:val="24"/>
          <w:szCs w:val="24"/>
        </w:rPr>
        <w:t xml:space="preserve">the </w:t>
      </w:r>
      <w:r w:rsidR="003E7FC1">
        <w:rPr>
          <w:rFonts w:ascii="Arial" w:hAnsi="Arial" w:cs="Arial"/>
          <w:sz w:val="24"/>
          <w:szCs w:val="24"/>
        </w:rPr>
        <w:t>court</w:t>
      </w:r>
      <w:r w:rsidR="003C05A0">
        <w:rPr>
          <w:rFonts w:ascii="Arial" w:hAnsi="Arial" w:cs="Arial"/>
          <w:sz w:val="24"/>
          <w:szCs w:val="24"/>
        </w:rPr>
        <w:t xml:space="preserve"> </w:t>
      </w:r>
      <w:r>
        <w:rPr>
          <w:rFonts w:ascii="Arial" w:hAnsi="Arial" w:cs="Arial"/>
          <w:sz w:val="24"/>
          <w:szCs w:val="24"/>
        </w:rPr>
        <w:t>declin</w:t>
      </w:r>
      <w:r w:rsidR="003C05A0">
        <w:rPr>
          <w:rFonts w:ascii="Arial" w:hAnsi="Arial" w:cs="Arial"/>
          <w:sz w:val="24"/>
          <w:szCs w:val="24"/>
        </w:rPr>
        <w:t>ed</w:t>
      </w:r>
      <w:r>
        <w:rPr>
          <w:rFonts w:ascii="Arial" w:hAnsi="Arial" w:cs="Arial"/>
          <w:sz w:val="24"/>
          <w:szCs w:val="24"/>
        </w:rPr>
        <w:t xml:space="preserve"> to </w:t>
      </w:r>
      <w:r w:rsidR="003C05A0">
        <w:rPr>
          <w:rFonts w:ascii="Arial" w:hAnsi="Arial" w:cs="Arial"/>
          <w:sz w:val="24"/>
          <w:szCs w:val="24"/>
        </w:rPr>
        <w:t>vitiate</w:t>
      </w:r>
      <w:r w:rsidR="00A13E3A">
        <w:rPr>
          <w:rFonts w:ascii="Arial" w:hAnsi="Arial" w:cs="Arial"/>
          <w:sz w:val="24"/>
          <w:szCs w:val="24"/>
        </w:rPr>
        <w:t xml:space="preserve"> the agreement in question. In </w:t>
      </w:r>
      <w:r w:rsidR="00A13E3A">
        <w:rPr>
          <w:rFonts w:ascii="Arial" w:hAnsi="Arial" w:cs="Arial"/>
          <w:i/>
          <w:sz w:val="24"/>
          <w:szCs w:val="24"/>
        </w:rPr>
        <w:t>Swart</w:t>
      </w:r>
      <w:r w:rsidR="00A13E3A">
        <w:rPr>
          <w:rFonts w:ascii="Arial" w:hAnsi="Arial" w:cs="Arial"/>
          <w:sz w:val="24"/>
          <w:szCs w:val="24"/>
        </w:rPr>
        <w:t xml:space="preserve">, the AD found that a deed of sale in conflict with </w:t>
      </w:r>
      <w:r w:rsidR="003C05A0">
        <w:rPr>
          <w:rFonts w:ascii="Arial" w:hAnsi="Arial" w:cs="Arial"/>
          <w:sz w:val="24"/>
          <w:szCs w:val="24"/>
        </w:rPr>
        <w:t xml:space="preserve">land credit </w:t>
      </w:r>
      <w:r w:rsidR="00A13E3A">
        <w:rPr>
          <w:rFonts w:ascii="Arial" w:hAnsi="Arial" w:cs="Arial"/>
          <w:sz w:val="24"/>
          <w:szCs w:val="24"/>
        </w:rPr>
        <w:t>legislation was not invalid because there was a reasonable prospect of the buyer being granted credit by the then Land Bank.</w:t>
      </w:r>
      <w:r w:rsidR="00A13E3A">
        <w:rPr>
          <w:rStyle w:val="FootnoteReference"/>
          <w:rFonts w:ascii="Arial" w:hAnsi="Arial" w:cs="Arial"/>
          <w:sz w:val="24"/>
          <w:szCs w:val="24"/>
        </w:rPr>
        <w:footnoteReference w:id="37"/>
      </w:r>
      <w:r w:rsidR="00A13E3A">
        <w:rPr>
          <w:rFonts w:ascii="Arial" w:hAnsi="Arial" w:cs="Arial"/>
          <w:sz w:val="24"/>
          <w:szCs w:val="24"/>
        </w:rPr>
        <w:t xml:space="preserve"> In a more recent matter, Harms JA writing for a unanimous court in </w:t>
      </w:r>
      <w:r w:rsidR="00A13E3A">
        <w:rPr>
          <w:rFonts w:ascii="Arial" w:hAnsi="Arial" w:cs="Arial"/>
          <w:i/>
          <w:sz w:val="24"/>
          <w:szCs w:val="24"/>
        </w:rPr>
        <w:t>Oilwell (Pty) Ltd v Protec International Ltd and others</w:t>
      </w:r>
      <w:r w:rsidR="00A13E3A" w:rsidRPr="008B4786">
        <w:rPr>
          <w:rFonts w:ascii="Arial" w:hAnsi="Arial" w:cs="Arial"/>
          <w:sz w:val="24"/>
          <w:szCs w:val="24"/>
        </w:rPr>
        <w:t xml:space="preserve">, </w:t>
      </w:r>
      <w:r w:rsidR="008B4786">
        <w:rPr>
          <w:rFonts w:ascii="Arial" w:hAnsi="Arial" w:cs="Arial"/>
          <w:sz w:val="24"/>
          <w:szCs w:val="24"/>
        </w:rPr>
        <w:t>appl</w:t>
      </w:r>
      <w:r w:rsidR="00A13E3A" w:rsidRPr="008B4786">
        <w:rPr>
          <w:rFonts w:ascii="Arial" w:hAnsi="Arial" w:cs="Arial"/>
          <w:sz w:val="24"/>
          <w:szCs w:val="24"/>
        </w:rPr>
        <w:t>i</w:t>
      </w:r>
      <w:r w:rsidR="008B4786">
        <w:rPr>
          <w:rFonts w:ascii="Arial" w:hAnsi="Arial" w:cs="Arial"/>
          <w:sz w:val="24"/>
          <w:szCs w:val="24"/>
        </w:rPr>
        <w:t>ed</w:t>
      </w:r>
      <w:r w:rsidR="00A13E3A">
        <w:rPr>
          <w:rFonts w:ascii="Arial" w:hAnsi="Arial" w:cs="Arial"/>
          <w:sz w:val="24"/>
          <w:szCs w:val="24"/>
        </w:rPr>
        <w:t xml:space="preserve"> </w:t>
      </w:r>
      <w:r w:rsidR="00A13E3A">
        <w:rPr>
          <w:rFonts w:ascii="Arial" w:hAnsi="Arial" w:cs="Arial"/>
          <w:i/>
          <w:sz w:val="24"/>
          <w:szCs w:val="24"/>
        </w:rPr>
        <w:t>Standard Bank v Van Rhyn</w:t>
      </w:r>
      <w:r w:rsidR="003E7FC1" w:rsidRPr="008B4786">
        <w:rPr>
          <w:rFonts w:ascii="Arial" w:hAnsi="Arial" w:cs="Arial"/>
          <w:sz w:val="24"/>
          <w:szCs w:val="24"/>
        </w:rPr>
        <w:t>,</w:t>
      </w:r>
      <w:r w:rsidR="00A13E3A" w:rsidRPr="008B4786">
        <w:rPr>
          <w:rFonts w:ascii="Arial" w:hAnsi="Arial" w:cs="Arial"/>
          <w:sz w:val="24"/>
          <w:szCs w:val="24"/>
        </w:rPr>
        <w:t xml:space="preserve"> </w:t>
      </w:r>
      <w:r w:rsidR="008B4786" w:rsidRPr="008B4786">
        <w:rPr>
          <w:rFonts w:ascii="Arial" w:hAnsi="Arial" w:cs="Arial"/>
          <w:sz w:val="24"/>
          <w:szCs w:val="24"/>
        </w:rPr>
        <w:t xml:space="preserve">and </w:t>
      </w:r>
      <w:r w:rsidR="00A13E3A">
        <w:rPr>
          <w:rFonts w:ascii="Arial" w:hAnsi="Arial" w:cs="Arial"/>
          <w:sz w:val="24"/>
          <w:szCs w:val="24"/>
        </w:rPr>
        <w:t xml:space="preserve">referred to the important consideration contained in the passage of Voet </w:t>
      </w:r>
      <w:r w:rsidR="003C05A0">
        <w:rPr>
          <w:rFonts w:ascii="Arial" w:hAnsi="Arial" w:cs="Arial"/>
          <w:sz w:val="24"/>
          <w:szCs w:val="24"/>
        </w:rPr>
        <w:t xml:space="preserve">quoted in </w:t>
      </w:r>
      <w:r w:rsidR="003C05A0">
        <w:rPr>
          <w:rFonts w:ascii="Arial" w:hAnsi="Arial" w:cs="Arial"/>
          <w:i/>
          <w:sz w:val="24"/>
          <w:szCs w:val="24"/>
        </w:rPr>
        <w:t xml:space="preserve">Van Rhyn </w:t>
      </w:r>
      <w:r w:rsidR="003C05A0">
        <w:rPr>
          <w:rFonts w:ascii="Arial" w:hAnsi="Arial" w:cs="Arial"/>
          <w:sz w:val="24"/>
          <w:szCs w:val="24"/>
        </w:rPr>
        <w:t>above in para [</w:t>
      </w:r>
      <w:r w:rsidR="008B4786">
        <w:rPr>
          <w:rFonts w:ascii="Arial" w:hAnsi="Arial" w:cs="Arial"/>
          <w:sz w:val="24"/>
          <w:szCs w:val="24"/>
        </w:rPr>
        <w:t>53</w:t>
      </w:r>
      <w:r w:rsidR="003C05A0">
        <w:rPr>
          <w:rFonts w:ascii="Arial" w:hAnsi="Arial" w:cs="Arial"/>
          <w:sz w:val="24"/>
          <w:szCs w:val="24"/>
        </w:rPr>
        <w:t xml:space="preserve">] </w:t>
      </w:r>
      <w:r w:rsidR="00A13E3A">
        <w:rPr>
          <w:rFonts w:ascii="Arial" w:hAnsi="Arial" w:cs="Arial"/>
          <w:sz w:val="24"/>
          <w:szCs w:val="24"/>
        </w:rPr>
        <w:t>being:</w:t>
      </w:r>
    </w:p>
    <w:p w:rsidR="00A13E3A" w:rsidRPr="00A13E3A" w:rsidRDefault="00A13E3A" w:rsidP="00A13E3A">
      <w:pPr>
        <w:pStyle w:val="ListParagraph"/>
        <w:spacing w:line="360" w:lineRule="auto"/>
        <w:rPr>
          <w:rFonts w:ascii="Arial" w:hAnsi="Arial" w:cs="Arial"/>
        </w:rPr>
      </w:pPr>
    </w:p>
    <w:p w:rsidR="00A13E3A" w:rsidRPr="00A13E3A" w:rsidRDefault="00A13E3A" w:rsidP="00A13E3A">
      <w:pPr>
        <w:pStyle w:val="NoSpacing"/>
        <w:spacing w:line="360" w:lineRule="auto"/>
        <w:ind w:left="720"/>
        <w:jc w:val="both"/>
        <w:rPr>
          <w:rFonts w:ascii="Arial" w:hAnsi="Arial" w:cs="Arial"/>
        </w:rPr>
      </w:pPr>
      <w:r>
        <w:rPr>
          <w:rFonts w:ascii="Arial" w:hAnsi="Arial" w:cs="Arial"/>
        </w:rPr>
        <w:lastRenderedPageBreak/>
        <w:t xml:space="preserve">‘. . . </w:t>
      </w:r>
      <w:proofErr w:type="gramStart"/>
      <w:r w:rsidRPr="00A13E3A">
        <w:rPr>
          <w:rFonts w:ascii="Arial" w:hAnsi="Arial" w:cs="Arial"/>
        </w:rPr>
        <w:t>whether</w:t>
      </w:r>
      <w:proofErr w:type="gramEnd"/>
      <w:r w:rsidRPr="00A13E3A">
        <w:rPr>
          <w:rFonts w:ascii="Arial" w:hAnsi="Arial" w:cs="Arial"/>
        </w:rPr>
        <w:t xml:space="preserve"> </w:t>
      </w:r>
      <w:r>
        <w:rPr>
          <w:rFonts w:ascii="Arial" w:hAnsi="Arial" w:cs="Arial"/>
        </w:rPr>
        <w:t>“</w:t>
      </w:r>
      <w:r w:rsidRPr="00A13E3A">
        <w:rPr>
          <w:rFonts w:ascii="Arial" w:hAnsi="Arial" w:cs="Arial"/>
        </w:rPr>
        <w:t>greater inconveniences and impropriety would result from the rescission of what was done, than would follow the act itself done contrary to the law</w:t>
      </w:r>
      <w:r>
        <w:rPr>
          <w:rFonts w:ascii="Arial" w:hAnsi="Arial" w:cs="Arial"/>
        </w:rPr>
        <w:t>”</w:t>
      </w:r>
      <w:r w:rsidRPr="00A13E3A">
        <w:rPr>
          <w:rFonts w:ascii="Arial" w:hAnsi="Arial" w:cs="Arial"/>
        </w:rPr>
        <w:t>. Voet concluded this section with a reference to H De Groot (Grotius to some) Inleidinge 1.2.2, where the author, dealing with the same subject, said that things done contrary to law are only void if the law so expresses itself (</w:t>
      </w:r>
      <w:r>
        <w:rPr>
          <w:rFonts w:ascii="Arial" w:hAnsi="Arial" w:cs="Arial"/>
        </w:rPr>
        <w:t>“</w:t>
      </w:r>
      <w:r w:rsidRPr="00A13E3A">
        <w:rPr>
          <w:rFonts w:ascii="Arial" w:hAnsi="Arial" w:cs="Arial"/>
        </w:rPr>
        <w:t>de wet sulcks uytdruckt</w:t>
      </w:r>
      <w:r>
        <w:rPr>
          <w:rFonts w:ascii="Arial" w:hAnsi="Arial" w:cs="Arial"/>
        </w:rPr>
        <w:t>”</w:t>
      </w:r>
      <w:r w:rsidRPr="00A13E3A">
        <w:rPr>
          <w:rFonts w:ascii="Arial" w:hAnsi="Arial" w:cs="Arial"/>
        </w:rPr>
        <w:t xml:space="preserve">), or if someone's ability to perform the act has been curtailed, or if the deed 'heeft een gestadigde onbehoorlickheid' (translated by Gane via Voet, as </w:t>
      </w:r>
      <w:r>
        <w:rPr>
          <w:rFonts w:ascii="Arial" w:hAnsi="Arial" w:cs="Arial"/>
        </w:rPr>
        <w:t>“</w:t>
      </w:r>
      <w:r w:rsidRPr="00A13E3A">
        <w:rPr>
          <w:rFonts w:ascii="Arial" w:hAnsi="Arial" w:cs="Arial"/>
        </w:rPr>
        <w:t>if the act performed suffers from some obvious and ingrained disgrace</w:t>
      </w:r>
      <w:r>
        <w:rPr>
          <w:rFonts w:ascii="Arial" w:hAnsi="Arial" w:cs="Arial"/>
        </w:rPr>
        <w:t>”</w:t>
      </w:r>
      <w:r w:rsidRPr="00A13E3A">
        <w:rPr>
          <w:rFonts w:ascii="Arial" w:hAnsi="Arial" w:cs="Arial"/>
        </w:rPr>
        <w:t xml:space="preserve">, but more  correctly from some </w:t>
      </w:r>
      <w:r>
        <w:rPr>
          <w:rFonts w:ascii="Arial" w:hAnsi="Arial" w:cs="Arial"/>
        </w:rPr>
        <w:t>“</w:t>
      </w:r>
      <w:r w:rsidRPr="00A13E3A">
        <w:rPr>
          <w:rFonts w:ascii="Arial" w:hAnsi="Arial" w:cs="Arial"/>
        </w:rPr>
        <w:t>unremitting impropriety</w:t>
      </w:r>
      <w:r>
        <w:rPr>
          <w:rFonts w:ascii="Arial" w:hAnsi="Arial" w:cs="Arial"/>
        </w:rPr>
        <w:t>”</w:t>
      </w:r>
      <w:r w:rsidRPr="00A13E3A">
        <w:rPr>
          <w:rFonts w:ascii="Arial" w:hAnsi="Arial" w:cs="Arial"/>
        </w:rPr>
        <w:t>).</w:t>
      </w:r>
      <w:r>
        <w:rPr>
          <w:rFonts w:ascii="Arial" w:hAnsi="Arial" w:cs="Arial"/>
        </w:rPr>
        <w:t>’</w:t>
      </w:r>
      <w:r w:rsidR="003E7FC1">
        <w:rPr>
          <w:rStyle w:val="FootnoteReference"/>
          <w:rFonts w:ascii="Arial" w:hAnsi="Arial" w:cs="Arial"/>
        </w:rPr>
        <w:footnoteReference w:id="38"/>
      </w:r>
    </w:p>
    <w:p w:rsidR="00A13E3A" w:rsidRPr="00A13E3A" w:rsidRDefault="00A13E3A" w:rsidP="00A13E3A">
      <w:pPr>
        <w:pStyle w:val="ListParagraph"/>
        <w:spacing w:line="360" w:lineRule="auto"/>
        <w:rPr>
          <w:rFonts w:ascii="Arial" w:hAnsi="Arial" w:cs="Arial"/>
        </w:rPr>
      </w:pPr>
    </w:p>
    <w:p w:rsidR="00231886" w:rsidRPr="00231886" w:rsidRDefault="00A13E3A"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Harms JA proceeded to hold that the failure to obtain prior treasury consent for</w:t>
      </w:r>
      <w:r w:rsidR="003C05A0">
        <w:rPr>
          <w:rFonts w:ascii="Arial" w:hAnsi="Arial" w:cs="Arial"/>
          <w:sz w:val="24"/>
          <w:szCs w:val="24"/>
        </w:rPr>
        <w:t xml:space="preserve"> a</w:t>
      </w:r>
      <w:r>
        <w:rPr>
          <w:rFonts w:ascii="Arial" w:hAnsi="Arial" w:cs="Arial"/>
          <w:sz w:val="24"/>
          <w:szCs w:val="24"/>
        </w:rPr>
        <w:t xml:space="preserve"> foreign exchange transaction as required in the regulations </w:t>
      </w:r>
      <w:r w:rsidR="003C05A0">
        <w:rPr>
          <w:rFonts w:ascii="Arial" w:hAnsi="Arial" w:cs="Arial"/>
          <w:sz w:val="24"/>
          <w:szCs w:val="24"/>
        </w:rPr>
        <w:t>did</w:t>
      </w:r>
      <w:r>
        <w:rPr>
          <w:rFonts w:ascii="Arial" w:hAnsi="Arial" w:cs="Arial"/>
          <w:sz w:val="24"/>
          <w:szCs w:val="24"/>
        </w:rPr>
        <w:t xml:space="preserve"> not</w:t>
      </w:r>
      <w:r w:rsidR="003C05A0">
        <w:rPr>
          <w:rFonts w:ascii="Arial" w:hAnsi="Arial" w:cs="Arial"/>
          <w:sz w:val="24"/>
          <w:szCs w:val="24"/>
        </w:rPr>
        <w:t xml:space="preserve"> render </w:t>
      </w:r>
      <w:r w:rsidR="00975F17">
        <w:rPr>
          <w:rFonts w:ascii="Arial" w:hAnsi="Arial" w:cs="Arial"/>
          <w:sz w:val="24"/>
          <w:szCs w:val="24"/>
        </w:rPr>
        <w:t>the</w:t>
      </w:r>
      <w:r w:rsidR="003C05A0">
        <w:rPr>
          <w:rFonts w:ascii="Arial" w:hAnsi="Arial" w:cs="Arial"/>
          <w:sz w:val="24"/>
          <w:szCs w:val="24"/>
        </w:rPr>
        <w:t xml:space="preserve"> agreement</w:t>
      </w:r>
      <w:r w:rsidR="00975F17">
        <w:rPr>
          <w:rFonts w:ascii="Arial" w:hAnsi="Arial" w:cs="Arial"/>
          <w:sz w:val="24"/>
          <w:szCs w:val="24"/>
        </w:rPr>
        <w:t xml:space="preserve"> in question</w:t>
      </w:r>
      <w:r>
        <w:rPr>
          <w:rFonts w:ascii="Arial" w:hAnsi="Arial" w:cs="Arial"/>
          <w:sz w:val="24"/>
          <w:szCs w:val="24"/>
        </w:rPr>
        <w:t xml:space="preserve"> a nullity</w:t>
      </w:r>
      <w:r w:rsidRPr="00231886">
        <w:rPr>
          <w:rFonts w:ascii="Arial" w:hAnsi="Arial" w:cs="Arial"/>
          <w:sz w:val="24"/>
          <w:szCs w:val="24"/>
        </w:rPr>
        <w:t>.</w:t>
      </w:r>
    </w:p>
    <w:p w:rsidR="00231886" w:rsidRPr="00231886" w:rsidRDefault="00231886" w:rsidP="00231886">
      <w:pPr>
        <w:pStyle w:val="NoSpacing"/>
        <w:spacing w:line="480" w:lineRule="auto"/>
        <w:jc w:val="both"/>
        <w:rPr>
          <w:rFonts w:ascii="Arial" w:hAnsi="Arial" w:cs="Arial"/>
          <w:sz w:val="24"/>
          <w:szCs w:val="24"/>
        </w:rPr>
      </w:pPr>
    </w:p>
    <w:p w:rsidR="00A13E3A" w:rsidRPr="00231886" w:rsidRDefault="00231886" w:rsidP="007551B1">
      <w:pPr>
        <w:pStyle w:val="NoSpacing"/>
        <w:numPr>
          <w:ilvl w:val="0"/>
          <w:numId w:val="4"/>
        </w:numPr>
        <w:spacing w:line="480" w:lineRule="auto"/>
        <w:ind w:left="0" w:firstLine="0"/>
        <w:jc w:val="both"/>
        <w:rPr>
          <w:rFonts w:ascii="Arial" w:hAnsi="Arial" w:cs="Arial"/>
          <w:sz w:val="24"/>
          <w:szCs w:val="24"/>
        </w:rPr>
      </w:pPr>
      <w:r w:rsidRPr="00231886">
        <w:rPr>
          <w:rFonts w:ascii="Arial" w:hAnsi="Arial" w:cs="Arial"/>
          <w:sz w:val="24"/>
          <w:szCs w:val="24"/>
        </w:rPr>
        <w:t xml:space="preserve">In </w:t>
      </w:r>
      <w:r w:rsidRPr="00231886">
        <w:rPr>
          <w:rFonts w:ascii="Arial" w:hAnsi="Arial" w:cs="Arial"/>
          <w:i/>
          <w:sz w:val="24"/>
          <w:szCs w:val="24"/>
        </w:rPr>
        <w:t>Noragent (Edms) Bpk v De Wet</w:t>
      </w:r>
      <w:r w:rsidR="00975F17">
        <w:rPr>
          <w:rFonts w:ascii="Arial" w:hAnsi="Arial" w:cs="Arial"/>
          <w:i/>
          <w:sz w:val="24"/>
          <w:szCs w:val="24"/>
        </w:rPr>
        <w:t>,</w:t>
      </w:r>
      <w:r>
        <w:rPr>
          <w:rStyle w:val="FootnoteReference"/>
          <w:rFonts w:ascii="Arial" w:hAnsi="Arial" w:cs="Arial"/>
          <w:i/>
          <w:sz w:val="24"/>
          <w:szCs w:val="24"/>
        </w:rPr>
        <w:footnoteReference w:id="39"/>
      </w:r>
      <w:r w:rsidRPr="00231886">
        <w:rPr>
          <w:rFonts w:ascii="Arial" w:hAnsi="Arial" w:cs="Arial"/>
          <w:i/>
          <w:sz w:val="24"/>
          <w:szCs w:val="24"/>
        </w:rPr>
        <w:t xml:space="preserve"> </w:t>
      </w:r>
      <w:r w:rsidRPr="00231886">
        <w:rPr>
          <w:rFonts w:ascii="Arial" w:hAnsi="Arial" w:cs="Arial"/>
          <w:sz w:val="24"/>
          <w:szCs w:val="24"/>
        </w:rPr>
        <w:t>it was held</w:t>
      </w:r>
      <w:r w:rsidR="003E7FC1">
        <w:rPr>
          <w:rFonts w:ascii="Arial" w:hAnsi="Arial" w:cs="Arial"/>
          <w:sz w:val="24"/>
          <w:szCs w:val="24"/>
        </w:rPr>
        <w:t xml:space="preserve"> by a full bench</w:t>
      </w:r>
      <w:r w:rsidRPr="00231886">
        <w:rPr>
          <w:rFonts w:ascii="Arial" w:hAnsi="Arial" w:cs="Arial"/>
          <w:sz w:val="24"/>
          <w:szCs w:val="24"/>
        </w:rPr>
        <w:t xml:space="preserve"> that a section which prohibits any person from performing any act as an estate agent unless issued with a fidelity fund certificate did not have the effect of invalidity</w:t>
      </w:r>
      <w:r w:rsidR="00A2631E">
        <w:rPr>
          <w:rFonts w:ascii="Arial" w:hAnsi="Arial" w:cs="Arial"/>
          <w:sz w:val="24"/>
          <w:szCs w:val="24"/>
        </w:rPr>
        <w:t xml:space="preserve"> in respect of</w:t>
      </w:r>
      <w:r w:rsidRPr="00231886">
        <w:rPr>
          <w:rFonts w:ascii="Arial" w:hAnsi="Arial" w:cs="Arial"/>
          <w:sz w:val="24"/>
          <w:szCs w:val="24"/>
        </w:rPr>
        <w:t xml:space="preserve"> a contract of mandate of an estate agent acting in contravention of that prohibition and that he or she would be entitled to enforce a contractual claim for commission</w:t>
      </w:r>
      <w:r w:rsidR="00975F17">
        <w:rPr>
          <w:rFonts w:ascii="Arial" w:hAnsi="Arial" w:cs="Arial"/>
          <w:sz w:val="24"/>
          <w:szCs w:val="24"/>
        </w:rPr>
        <w:t>.</w:t>
      </w:r>
    </w:p>
    <w:p w:rsidR="00A13E3A" w:rsidRDefault="00A13E3A" w:rsidP="00A13E3A">
      <w:pPr>
        <w:pStyle w:val="ListParagraph"/>
        <w:rPr>
          <w:rFonts w:ascii="Arial" w:hAnsi="Arial" w:cs="Arial"/>
          <w:sz w:val="24"/>
          <w:szCs w:val="24"/>
        </w:rPr>
      </w:pPr>
    </w:p>
    <w:p w:rsidR="00A13E3A" w:rsidRDefault="00A13E3A"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Applying the approach in </w:t>
      </w:r>
      <w:r>
        <w:rPr>
          <w:rFonts w:ascii="Arial" w:hAnsi="Arial" w:cs="Arial"/>
          <w:i/>
          <w:sz w:val="24"/>
          <w:szCs w:val="24"/>
        </w:rPr>
        <w:t>Standard Bank v Van Rhyn</w:t>
      </w:r>
      <w:r>
        <w:rPr>
          <w:rFonts w:ascii="Arial" w:hAnsi="Arial" w:cs="Arial"/>
          <w:sz w:val="24"/>
          <w:szCs w:val="24"/>
        </w:rPr>
        <w:t>, it would seem to me that it could not have been the intention of the legislature where a non-natural person has agreed to provide architectural services</w:t>
      </w:r>
      <w:r w:rsidR="005A0B5F">
        <w:rPr>
          <w:rFonts w:ascii="Arial" w:hAnsi="Arial" w:cs="Arial"/>
          <w:sz w:val="24"/>
          <w:szCs w:val="24"/>
        </w:rPr>
        <w:t xml:space="preserve"> that this</w:t>
      </w:r>
      <w:r w:rsidR="00975F17" w:rsidRPr="00975F17">
        <w:rPr>
          <w:rFonts w:ascii="Arial" w:hAnsi="Arial" w:cs="Arial"/>
          <w:sz w:val="24"/>
          <w:szCs w:val="24"/>
        </w:rPr>
        <w:t xml:space="preserve"> </w:t>
      </w:r>
      <w:r w:rsidR="00975F17">
        <w:rPr>
          <w:rFonts w:ascii="Arial" w:hAnsi="Arial" w:cs="Arial"/>
          <w:sz w:val="24"/>
          <w:szCs w:val="24"/>
        </w:rPr>
        <w:t>would result in the further penalty of invalidity of the agreement</w:t>
      </w:r>
      <w:r>
        <w:rPr>
          <w:rFonts w:ascii="Arial" w:hAnsi="Arial" w:cs="Arial"/>
          <w:sz w:val="24"/>
          <w:szCs w:val="24"/>
        </w:rPr>
        <w:t xml:space="preserve"> </w:t>
      </w:r>
      <w:r w:rsidR="00231886">
        <w:rPr>
          <w:rFonts w:ascii="Arial" w:hAnsi="Arial" w:cs="Arial"/>
          <w:sz w:val="24"/>
          <w:szCs w:val="24"/>
        </w:rPr>
        <w:t>w</w:t>
      </w:r>
      <w:r>
        <w:rPr>
          <w:rFonts w:ascii="Arial" w:hAnsi="Arial" w:cs="Arial"/>
          <w:sz w:val="24"/>
          <w:szCs w:val="24"/>
        </w:rPr>
        <w:t>here the work is performed by a registered architect,</w:t>
      </w:r>
      <w:r w:rsidR="00A2631E">
        <w:rPr>
          <w:rFonts w:ascii="Arial" w:hAnsi="Arial" w:cs="Arial"/>
          <w:sz w:val="24"/>
          <w:szCs w:val="24"/>
        </w:rPr>
        <w:t xml:space="preserve"> even</w:t>
      </w:r>
      <w:r>
        <w:rPr>
          <w:rFonts w:ascii="Arial" w:hAnsi="Arial" w:cs="Arial"/>
          <w:sz w:val="24"/>
          <w:szCs w:val="24"/>
        </w:rPr>
        <w:t xml:space="preserve"> if </w:t>
      </w:r>
      <w:r w:rsidR="00975F17">
        <w:rPr>
          <w:rFonts w:ascii="Arial" w:hAnsi="Arial" w:cs="Arial"/>
          <w:sz w:val="24"/>
          <w:szCs w:val="24"/>
        </w:rPr>
        <w:t xml:space="preserve">this were to </w:t>
      </w:r>
      <w:r>
        <w:rPr>
          <w:rFonts w:ascii="Arial" w:hAnsi="Arial" w:cs="Arial"/>
          <w:sz w:val="24"/>
          <w:szCs w:val="24"/>
        </w:rPr>
        <w:t>conceivably fall foul of s 13(1</w:t>
      </w:r>
      <w:proofErr w:type="gramStart"/>
      <w:r>
        <w:rPr>
          <w:rFonts w:ascii="Arial" w:hAnsi="Arial" w:cs="Arial"/>
          <w:sz w:val="24"/>
          <w:szCs w:val="24"/>
        </w:rPr>
        <w:t>)(</w:t>
      </w:r>
      <w:proofErr w:type="gramEnd"/>
      <w:r>
        <w:rPr>
          <w:rFonts w:ascii="Arial" w:hAnsi="Arial" w:cs="Arial"/>
          <w:sz w:val="24"/>
          <w:szCs w:val="24"/>
        </w:rPr>
        <w:t>b)</w:t>
      </w:r>
      <w:r w:rsidR="005A0B5F">
        <w:rPr>
          <w:rFonts w:ascii="Arial" w:hAnsi="Arial" w:cs="Arial"/>
          <w:sz w:val="24"/>
          <w:szCs w:val="24"/>
        </w:rPr>
        <w:t>,</w:t>
      </w:r>
      <w:r w:rsidR="00A2631E">
        <w:rPr>
          <w:rFonts w:ascii="Arial" w:hAnsi="Arial" w:cs="Arial"/>
          <w:sz w:val="24"/>
          <w:szCs w:val="24"/>
        </w:rPr>
        <w:t xml:space="preserve"> which is doubtful</w:t>
      </w:r>
      <w:r>
        <w:rPr>
          <w:rFonts w:ascii="Arial" w:hAnsi="Arial" w:cs="Arial"/>
          <w:sz w:val="24"/>
          <w:szCs w:val="24"/>
        </w:rPr>
        <w:t xml:space="preserve">. </w:t>
      </w:r>
      <w:r w:rsidR="00A2631E">
        <w:rPr>
          <w:rFonts w:ascii="Arial" w:hAnsi="Arial" w:cs="Arial"/>
          <w:sz w:val="24"/>
          <w:szCs w:val="24"/>
        </w:rPr>
        <w:t>A</w:t>
      </w:r>
      <w:r>
        <w:rPr>
          <w:rFonts w:ascii="Arial" w:hAnsi="Arial" w:cs="Arial"/>
          <w:sz w:val="24"/>
          <w:szCs w:val="24"/>
        </w:rPr>
        <w:t xml:space="preserve"> greater inconvenience</w:t>
      </w:r>
      <w:r w:rsidR="00636E0A">
        <w:rPr>
          <w:rFonts w:ascii="Arial" w:hAnsi="Arial" w:cs="Arial"/>
          <w:sz w:val="24"/>
          <w:szCs w:val="24"/>
        </w:rPr>
        <w:t xml:space="preserve"> and impropriety would follow</w:t>
      </w:r>
      <w:r w:rsidR="00231886">
        <w:rPr>
          <w:rFonts w:ascii="Arial" w:hAnsi="Arial" w:cs="Arial"/>
          <w:sz w:val="24"/>
          <w:szCs w:val="24"/>
        </w:rPr>
        <w:t xml:space="preserve"> from doing so</w:t>
      </w:r>
      <w:r w:rsidR="00636E0A">
        <w:rPr>
          <w:rFonts w:ascii="Arial" w:hAnsi="Arial" w:cs="Arial"/>
          <w:sz w:val="24"/>
          <w:szCs w:val="24"/>
        </w:rPr>
        <w:t xml:space="preserve">, </w:t>
      </w:r>
      <w:r w:rsidR="00636E0A">
        <w:rPr>
          <w:rFonts w:ascii="Arial" w:hAnsi="Arial" w:cs="Arial"/>
          <w:sz w:val="24"/>
          <w:szCs w:val="24"/>
        </w:rPr>
        <w:lastRenderedPageBreak/>
        <w:t xml:space="preserve">resulting </w:t>
      </w:r>
      <w:r w:rsidR="00231886">
        <w:rPr>
          <w:rFonts w:ascii="Arial" w:hAnsi="Arial" w:cs="Arial"/>
          <w:sz w:val="24"/>
          <w:szCs w:val="24"/>
        </w:rPr>
        <w:t>in the</w:t>
      </w:r>
      <w:r w:rsidR="00636E0A">
        <w:rPr>
          <w:rFonts w:ascii="Arial" w:hAnsi="Arial" w:cs="Arial"/>
          <w:sz w:val="24"/>
          <w:szCs w:val="24"/>
        </w:rPr>
        <w:t xml:space="preserve"> defendants escaping their liability to pay for work</w:t>
      </w:r>
      <w:r w:rsidR="00975F17">
        <w:rPr>
          <w:rFonts w:ascii="Arial" w:hAnsi="Arial" w:cs="Arial"/>
          <w:sz w:val="24"/>
          <w:szCs w:val="24"/>
        </w:rPr>
        <w:t xml:space="preserve"> duly</w:t>
      </w:r>
      <w:r w:rsidR="00636E0A">
        <w:rPr>
          <w:rFonts w:ascii="Arial" w:hAnsi="Arial" w:cs="Arial"/>
          <w:sz w:val="24"/>
          <w:szCs w:val="24"/>
        </w:rPr>
        <w:t xml:space="preserve"> performed</w:t>
      </w:r>
      <w:r w:rsidR="00975F17">
        <w:rPr>
          <w:rFonts w:ascii="Arial" w:hAnsi="Arial" w:cs="Arial"/>
          <w:sz w:val="24"/>
          <w:szCs w:val="24"/>
        </w:rPr>
        <w:t xml:space="preserve"> by a registered architect</w:t>
      </w:r>
      <w:r w:rsidR="00636E0A">
        <w:rPr>
          <w:rFonts w:ascii="Arial" w:hAnsi="Arial" w:cs="Arial"/>
          <w:sz w:val="24"/>
          <w:szCs w:val="24"/>
        </w:rPr>
        <w:t xml:space="preserve">. Given the mischief which s 13 is aimed at and </w:t>
      </w:r>
      <w:r w:rsidR="00A2631E">
        <w:rPr>
          <w:rFonts w:ascii="Arial" w:hAnsi="Arial" w:cs="Arial"/>
          <w:sz w:val="24"/>
          <w:szCs w:val="24"/>
        </w:rPr>
        <w:t xml:space="preserve">given </w:t>
      </w:r>
      <w:r w:rsidR="00636E0A">
        <w:rPr>
          <w:rFonts w:ascii="Arial" w:hAnsi="Arial" w:cs="Arial"/>
          <w:sz w:val="24"/>
          <w:szCs w:val="24"/>
        </w:rPr>
        <w:t>the regulations, there is no ‘obvious or engrained disgrace’ or ‘unremitting impropriety’ in the words of Voet as varyingly translated</w:t>
      </w:r>
      <w:r w:rsidR="00975F17">
        <w:rPr>
          <w:rFonts w:ascii="Arial" w:hAnsi="Arial" w:cs="Arial"/>
          <w:sz w:val="24"/>
          <w:szCs w:val="24"/>
        </w:rPr>
        <w:t>,</w:t>
      </w:r>
      <w:r w:rsidR="00A2631E">
        <w:rPr>
          <w:rFonts w:ascii="Arial" w:hAnsi="Arial" w:cs="Arial"/>
          <w:sz w:val="24"/>
          <w:szCs w:val="24"/>
        </w:rPr>
        <w:t xml:space="preserve"> for such an agreement to be valid and </w:t>
      </w:r>
      <w:proofErr w:type="gramStart"/>
      <w:r w:rsidR="00A2631E">
        <w:rPr>
          <w:rFonts w:ascii="Arial" w:hAnsi="Arial" w:cs="Arial"/>
          <w:sz w:val="24"/>
          <w:szCs w:val="24"/>
        </w:rPr>
        <w:t>enforceable</w:t>
      </w:r>
      <w:r w:rsidR="00636E0A">
        <w:rPr>
          <w:rFonts w:ascii="Arial" w:hAnsi="Arial" w:cs="Arial"/>
          <w:sz w:val="24"/>
          <w:szCs w:val="24"/>
        </w:rPr>
        <w:t>.</w:t>
      </w:r>
      <w:proofErr w:type="gramEnd"/>
      <w:r w:rsidR="00636E0A">
        <w:rPr>
          <w:rStyle w:val="FootnoteReference"/>
          <w:rFonts w:ascii="Arial" w:hAnsi="Arial" w:cs="Arial"/>
          <w:sz w:val="24"/>
          <w:szCs w:val="24"/>
        </w:rPr>
        <w:footnoteReference w:id="40"/>
      </w:r>
      <w:r w:rsidR="005A0B5F">
        <w:rPr>
          <w:rFonts w:ascii="Arial" w:hAnsi="Arial" w:cs="Arial"/>
          <w:sz w:val="24"/>
          <w:szCs w:val="24"/>
        </w:rPr>
        <w:t xml:space="preserve"> This interpretation is one which would not in my view undermine the statutory purpose of the Act and s 13 – that reserved work be performed for reward by registered architect to protect the public as already set out. It would also result in a sensible interpretation as the contrary approach would result in far greater inconvenience and inequity and does not suffer from some “unremitting impropriety”.</w:t>
      </w:r>
    </w:p>
    <w:p w:rsidR="00A13E3A" w:rsidRDefault="00A13E3A" w:rsidP="00A13E3A">
      <w:pPr>
        <w:pStyle w:val="ListParagraph"/>
        <w:rPr>
          <w:rFonts w:ascii="Arial" w:hAnsi="Arial" w:cs="Arial"/>
          <w:sz w:val="24"/>
          <w:szCs w:val="24"/>
        </w:rPr>
      </w:pPr>
    </w:p>
    <w:p w:rsidR="00A13E3A" w:rsidRPr="007551B1" w:rsidRDefault="00A2631E" w:rsidP="007551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636E0A">
        <w:rPr>
          <w:rFonts w:ascii="Arial" w:hAnsi="Arial" w:cs="Arial"/>
          <w:sz w:val="24"/>
          <w:szCs w:val="24"/>
        </w:rPr>
        <w:t xml:space="preserve">he court in </w:t>
      </w:r>
      <w:r w:rsidR="00636E0A">
        <w:rPr>
          <w:rFonts w:ascii="Arial" w:hAnsi="Arial" w:cs="Arial"/>
          <w:i/>
          <w:sz w:val="24"/>
          <w:szCs w:val="24"/>
        </w:rPr>
        <w:t xml:space="preserve">Nkandi </w:t>
      </w:r>
      <w:r>
        <w:rPr>
          <w:rFonts w:ascii="Arial" w:hAnsi="Arial" w:cs="Arial"/>
          <w:sz w:val="24"/>
          <w:szCs w:val="24"/>
        </w:rPr>
        <w:t xml:space="preserve">erred by </w:t>
      </w:r>
      <w:r w:rsidR="00636E0A">
        <w:rPr>
          <w:rFonts w:ascii="Arial" w:hAnsi="Arial" w:cs="Arial"/>
          <w:sz w:val="24"/>
          <w:szCs w:val="24"/>
        </w:rPr>
        <w:t>fail</w:t>
      </w:r>
      <w:r>
        <w:rPr>
          <w:rFonts w:ascii="Arial" w:hAnsi="Arial" w:cs="Arial"/>
          <w:sz w:val="24"/>
          <w:szCs w:val="24"/>
        </w:rPr>
        <w:t>ing</w:t>
      </w:r>
      <w:r w:rsidR="00636E0A">
        <w:rPr>
          <w:rFonts w:ascii="Arial" w:hAnsi="Arial" w:cs="Arial"/>
          <w:sz w:val="24"/>
          <w:szCs w:val="24"/>
        </w:rPr>
        <w:t xml:space="preserve"> to take into account the </w:t>
      </w:r>
      <w:r w:rsidR="00231886">
        <w:rPr>
          <w:rFonts w:ascii="Arial" w:hAnsi="Arial" w:cs="Arial"/>
          <w:sz w:val="24"/>
          <w:szCs w:val="24"/>
        </w:rPr>
        <w:t xml:space="preserve">authoritative </w:t>
      </w:r>
      <w:r w:rsidR="00636E0A">
        <w:rPr>
          <w:rFonts w:ascii="Arial" w:hAnsi="Arial" w:cs="Arial"/>
          <w:sz w:val="24"/>
          <w:szCs w:val="24"/>
        </w:rPr>
        <w:t xml:space="preserve">approach in </w:t>
      </w:r>
      <w:r w:rsidR="00636E0A">
        <w:rPr>
          <w:rFonts w:ascii="Arial" w:hAnsi="Arial" w:cs="Arial"/>
          <w:i/>
          <w:sz w:val="24"/>
          <w:szCs w:val="24"/>
        </w:rPr>
        <w:t xml:space="preserve">Standard Bank v Estate Van Rhyn </w:t>
      </w:r>
      <w:r>
        <w:rPr>
          <w:rFonts w:ascii="Arial" w:hAnsi="Arial" w:cs="Arial"/>
          <w:sz w:val="24"/>
          <w:szCs w:val="24"/>
        </w:rPr>
        <w:t>(</w:t>
      </w:r>
      <w:r w:rsidR="00636E0A">
        <w:rPr>
          <w:rFonts w:ascii="Arial" w:hAnsi="Arial" w:cs="Arial"/>
          <w:sz w:val="24"/>
          <w:szCs w:val="24"/>
        </w:rPr>
        <w:t>an</w:t>
      </w:r>
      <w:r w:rsidR="00231886">
        <w:rPr>
          <w:rFonts w:ascii="Arial" w:hAnsi="Arial" w:cs="Arial"/>
          <w:sz w:val="24"/>
          <w:szCs w:val="24"/>
        </w:rPr>
        <w:t>d subsequently followed</w:t>
      </w:r>
      <w:r>
        <w:rPr>
          <w:rFonts w:ascii="Arial" w:hAnsi="Arial" w:cs="Arial"/>
          <w:sz w:val="24"/>
          <w:szCs w:val="24"/>
        </w:rPr>
        <w:t>)</w:t>
      </w:r>
      <w:r w:rsidR="00231886">
        <w:rPr>
          <w:rFonts w:ascii="Arial" w:hAnsi="Arial" w:cs="Arial"/>
          <w:sz w:val="24"/>
          <w:szCs w:val="24"/>
        </w:rPr>
        <w:t xml:space="preserve"> in determining the effects of acts done in conflict with statutory prohibitions</w:t>
      </w:r>
      <w:r w:rsidR="00636E0A">
        <w:rPr>
          <w:rFonts w:ascii="Arial" w:hAnsi="Arial" w:cs="Arial"/>
          <w:sz w:val="24"/>
          <w:szCs w:val="24"/>
        </w:rPr>
        <w:t>.</w:t>
      </w:r>
    </w:p>
    <w:p w:rsidR="00401AD5" w:rsidRPr="00237C60" w:rsidRDefault="00401AD5" w:rsidP="00237C60">
      <w:pPr>
        <w:rPr>
          <w:rFonts w:ascii="Arial" w:hAnsi="Arial" w:cs="Arial"/>
          <w:sz w:val="24"/>
          <w:szCs w:val="24"/>
        </w:rPr>
      </w:pPr>
    </w:p>
    <w:p w:rsidR="00401AD5" w:rsidRDefault="00401AD5"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decisions in </w:t>
      </w:r>
      <w:r>
        <w:rPr>
          <w:rFonts w:ascii="Arial" w:hAnsi="Arial" w:cs="Arial"/>
          <w:i/>
          <w:sz w:val="24"/>
          <w:szCs w:val="24"/>
        </w:rPr>
        <w:t>Cool Ideas</w:t>
      </w:r>
      <w:r w:rsidR="00175D3F">
        <w:rPr>
          <w:rFonts w:ascii="Arial" w:hAnsi="Arial" w:cs="Arial"/>
          <w:sz w:val="24"/>
          <w:szCs w:val="24"/>
        </w:rPr>
        <w:t xml:space="preserve">, heavily relied upon in </w:t>
      </w:r>
      <w:r w:rsidR="00175D3F">
        <w:rPr>
          <w:rFonts w:ascii="Arial" w:hAnsi="Arial" w:cs="Arial"/>
          <w:i/>
          <w:sz w:val="24"/>
          <w:szCs w:val="24"/>
        </w:rPr>
        <w:t>Nkandi</w:t>
      </w:r>
      <w:r w:rsidR="00231886">
        <w:rPr>
          <w:rFonts w:ascii="Arial" w:hAnsi="Arial" w:cs="Arial"/>
          <w:i/>
          <w:sz w:val="24"/>
          <w:szCs w:val="24"/>
        </w:rPr>
        <w:t>,</w:t>
      </w:r>
      <w:r>
        <w:rPr>
          <w:rFonts w:ascii="Arial" w:hAnsi="Arial" w:cs="Arial"/>
          <w:sz w:val="24"/>
          <w:szCs w:val="24"/>
        </w:rPr>
        <w:t xml:space="preserve"> are in my view distinguishable. The prohibition in that matter was cast in </w:t>
      </w:r>
      <w:r w:rsidR="00231886">
        <w:rPr>
          <w:rFonts w:ascii="Arial" w:hAnsi="Arial" w:cs="Arial"/>
          <w:sz w:val="24"/>
          <w:szCs w:val="24"/>
        </w:rPr>
        <w:t xml:space="preserve">entirely </w:t>
      </w:r>
      <w:r>
        <w:rPr>
          <w:rFonts w:ascii="Arial" w:hAnsi="Arial" w:cs="Arial"/>
          <w:sz w:val="24"/>
          <w:szCs w:val="24"/>
        </w:rPr>
        <w:t>different terms. It expressly prohibited receiving a consideration unless a builder was registered under</w:t>
      </w:r>
      <w:r w:rsidR="00A2631E">
        <w:rPr>
          <w:rFonts w:ascii="Arial" w:hAnsi="Arial" w:cs="Arial"/>
          <w:sz w:val="24"/>
          <w:szCs w:val="24"/>
        </w:rPr>
        <w:t xml:space="preserve"> s 10 of</w:t>
      </w:r>
      <w:r>
        <w:rPr>
          <w:rFonts w:ascii="Arial" w:hAnsi="Arial" w:cs="Arial"/>
          <w:sz w:val="24"/>
          <w:szCs w:val="24"/>
        </w:rPr>
        <w:t xml:space="preserve"> the Housing Consumers Protection Measures Act</w:t>
      </w:r>
      <w:r w:rsidR="00975F17">
        <w:rPr>
          <w:rFonts w:ascii="Arial" w:hAnsi="Arial" w:cs="Arial"/>
          <w:sz w:val="24"/>
          <w:szCs w:val="24"/>
        </w:rPr>
        <w:t>.</w:t>
      </w:r>
      <w:r>
        <w:rPr>
          <w:rStyle w:val="FootnoteReference"/>
          <w:rFonts w:ascii="Arial" w:hAnsi="Arial" w:cs="Arial"/>
          <w:sz w:val="24"/>
          <w:szCs w:val="24"/>
        </w:rPr>
        <w:footnoteReference w:id="41"/>
      </w:r>
      <w:r>
        <w:rPr>
          <w:rFonts w:ascii="Arial" w:hAnsi="Arial" w:cs="Arial"/>
          <w:sz w:val="24"/>
          <w:szCs w:val="24"/>
        </w:rPr>
        <w:t xml:space="preserve"> </w:t>
      </w:r>
      <w:r w:rsidR="00975F17">
        <w:rPr>
          <w:rFonts w:ascii="Arial" w:hAnsi="Arial" w:cs="Arial"/>
          <w:sz w:val="24"/>
          <w:szCs w:val="24"/>
        </w:rPr>
        <w:t xml:space="preserve">It did so </w:t>
      </w:r>
      <w:r>
        <w:rPr>
          <w:rFonts w:ascii="Arial" w:hAnsi="Arial" w:cs="Arial"/>
          <w:sz w:val="24"/>
          <w:szCs w:val="24"/>
        </w:rPr>
        <w:t>in the following terms:</w:t>
      </w:r>
    </w:p>
    <w:p w:rsidR="00401AD5" w:rsidRDefault="00401AD5" w:rsidP="00401AD5">
      <w:pPr>
        <w:pStyle w:val="ListParagraph"/>
        <w:rPr>
          <w:rFonts w:ascii="Arial" w:hAnsi="Arial" w:cs="Arial"/>
          <w:sz w:val="24"/>
          <w:szCs w:val="24"/>
        </w:rPr>
      </w:pPr>
    </w:p>
    <w:p w:rsidR="00401AD5" w:rsidRPr="00401AD5" w:rsidRDefault="00401AD5" w:rsidP="00401AD5">
      <w:pPr>
        <w:pStyle w:val="NoSpacing"/>
        <w:spacing w:line="360" w:lineRule="auto"/>
        <w:ind w:left="720"/>
        <w:jc w:val="both"/>
        <w:rPr>
          <w:rFonts w:ascii="Arial" w:hAnsi="Arial" w:cs="Arial"/>
        </w:rPr>
      </w:pPr>
      <w:r w:rsidRPr="00401AD5">
        <w:rPr>
          <w:rFonts w:ascii="Arial" w:hAnsi="Arial" w:cs="Arial"/>
        </w:rPr>
        <w:t>‘(1) No person shall —</w:t>
      </w:r>
    </w:p>
    <w:p w:rsidR="00401AD5" w:rsidRPr="00401AD5" w:rsidRDefault="00401AD5" w:rsidP="00401AD5">
      <w:pPr>
        <w:pStyle w:val="NoSpacing"/>
        <w:spacing w:line="360" w:lineRule="auto"/>
        <w:ind w:left="720"/>
        <w:jc w:val="both"/>
        <w:rPr>
          <w:rFonts w:ascii="Arial" w:hAnsi="Arial" w:cs="Arial"/>
        </w:rPr>
      </w:pPr>
      <w:r w:rsidRPr="00401AD5">
        <w:rPr>
          <w:rFonts w:ascii="Arial" w:hAnsi="Arial" w:cs="Arial"/>
        </w:rPr>
        <w:tab/>
        <w:t>(a)</w:t>
      </w:r>
      <w:r w:rsidRPr="00401AD5">
        <w:rPr>
          <w:rFonts w:ascii="Arial" w:hAnsi="Arial" w:cs="Arial"/>
        </w:rPr>
        <w:tab/>
      </w:r>
      <w:proofErr w:type="gramStart"/>
      <w:r w:rsidRPr="00401AD5">
        <w:rPr>
          <w:rFonts w:ascii="Arial" w:hAnsi="Arial" w:cs="Arial"/>
        </w:rPr>
        <w:t>carry</w:t>
      </w:r>
      <w:proofErr w:type="gramEnd"/>
      <w:r w:rsidRPr="00401AD5">
        <w:rPr>
          <w:rFonts w:ascii="Arial" w:hAnsi="Arial" w:cs="Arial"/>
        </w:rPr>
        <w:t xml:space="preserve"> on the business of a home builder; or</w:t>
      </w:r>
    </w:p>
    <w:p w:rsidR="00401AD5" w:rsidRPr="00401AD5" w:rsidRDefault="00401AD5" w:rsidP="00401AD5">
      <w:pPr>
        <w:pStyle w:val="NoSpacing"/>
        <w:spacing w:line="360" w:lineRule="auto"/>
        <w:ind w:left="1440" w:hanging="720"/>
        <w:jc w:val="both"/>
        <w:rPr>
          <w:rFonts w:ascii="Arial" w:hAnsi="Arial" w:cs="Arial"/>
        </w:rPr>
      </w:pPr>
      <w:r w:rsidRPr="00401AD5">
        <w:rPr>
          <w:rFonts w:ascii="Arial" w:hAnsi="Arial" w:cs="Arial"/>
        </w:rPr>
        <w:tab/>
        <w:t>(b)</w:t>
      </w:r>
      <w:r w:rsidRPr="00401AD5">
        <w:rPr>
          <w:rFonts w:ascii="Arial" w:hAnsi="Arial" w:cs="Arial"/>
        </w:rPr>
        <w:tab/>
      </w:r>
      <w:proofErr w:type="gramStart"/>
      <w:r w:rsidRPr="00401AD5">
        <w:rPr>
          <w:rFonts w:ascii="Arial" w:hAnsi="Arial" w:cs="Arial"/>
        </w:rPr>
        <w:t>receive</w:t>
      </w:r>
      <w:proofErr w:type="gramEnd"/>
      <w:r w:rsidRPr="00401AD5">
        <w:rPr>
          <w:rFonts w:ascii="Arial" w:hAnsi="Arial" w:cs="Arial"/>
        </w:rPr>
        <w:t xml:space="preserve"> any consideration in terms of any agreement with a housing consumer in respect of the sale or construction of a home, unless that person is a registered home builder.</w:t>
      </w:r>
    </w:p>
    <w:p w:rsidR="00401AD5" w:rsidRPr="00401AD5" w:rsidRDefault="00401AD5" w:rsidP="00401AD5">
      <w:pPr>
        <w:pStyle w:val="NoSpacing"/>
        <w:spacing w:line="360" w:lineRule="auto"/>
        <w:ind w:left="720"/>
        <w:jc w:val="both"/>
        <w:rPr>
          <w:rFonts w:ascii="Arial" w:hAnsi="Arial" w:cs="Arial"/>
        </w:rPr>
      </w:pPr>
    </w:p>
    <w:p w:rsidR="00401AD5" w:rsidRPr="00401AD5" w:rsidRDefault="00401AD5" w:rsidP="00401AD5">
      <w:pPr>
        <w:pStyle w:val="NoSpacing"/>
        <w:spacing w:line="360" w:lineRule="auto"/>
        <w:ind w:left="720"/>
        <w:jc w:val="both"/>
        <w:rPr>
          <w:rFonts w:ascii="Arial" w:hAnsi="Arial" w:cs="Arial"/>
          <w:sz w:val="24"/>
          <w:szCs w:val="24"/>
        </w:rPr>
      </w:pPr>
      <w:r w:rsidRPr="00401AD5">
        <w:rPr>
          <w:rFonts w:ascii="Arial" w:hAnsi="Arial" w:cs="Arial"/>
        </w:rPr>
        <w:t>(2) No home builder shall construct a home unless that home builder is a registered home builder.’</w:t>
      </w:r>
    </w:p>
    <w:p w:rsidR="00401AD5" w:rsidRDefault="00401AD5" w:rsidP="00401AD5">
      <w:pPr>
        <w:pStyle w:val="ListParagraph"/>
        <w:rPr>
          <w:rFonts w:ascii="Arial" w:hAnsi="Arial" w:cs="Arial"/>
          <w:sz w:val="24"/>
          <w:szCs w:val="24"/>
        </w:rPr>
      </w:pPr>
    </w:p>
    <w:p w:rsidR="00401AD5" w:rsidRDefault="00401AD5"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statutory context and scheme of that Act also differ from the Act</w:t>
      </w:r>
      <w:r w:rsidR="005A0B5F">
        <w:rPr>
          <w:rFonts w:ascii="Arial" w:hAnsi="Arial" w:cs="Arial"/>
          <w:sz w:val="24"/>
          <w:szCs w:val="24"/>
        </w:rPr>
        <w:t xml:space="preserve"> in this matter</w:t>
      </w:r>
      <w:r>
        <w:rPr>
          <w:rFonts w:ascii="Arial" w:hAnsi="Arial" w:cs="Arial"/>
          <w:sz w:val="24"/>
          <w:szCs w:val="24"/>
        </w:rPr>
        <w:t xml:space="preserve">. The majority in both the SCA and CC found that the building contract was </w:t>
      </w:r>
      <w:r w:rsidRPr="00A2631E">
        <w:rPr>
          <w:rFonts w:ascii="Arial" w:hAnsi="Arial" w:cs="Arial"/>
          <w:sz w:val="24"/>
          <w:szCs w:val="24"/>
          <w:u w:val="single"/>
        </w:rPr>
        <w:t>not</w:t>
      </w:r>
      <w:r>
        <w:rPr>
          <w:rFonts w:ascii="Arial" w:hAnsi="Arial" w:cs="Arial"/>
          <w:sz w:val="24"/>
          <w:szCs w:val="24"/>
        </w:rPr>
        <w:t xml:space="preserve"> invalidated </w:t>
      </w:r>
      <w:r w:rsidR="005A0B5F">
        <w:rPr>
          <w:rFonts w:ascii="Arial" w:hAnsi="Arial" w:cs="Arial"/>
          <w:sz w:val="24"/>
          <w:szCs w:val="24"/>
        </w:rPr>
        <w:t xml:space="preserve">(and unenforceable) </w:t>
      </w:r>
      <w:r>
        <w:rPr>
          <w:rFonts w:ascii="Arial" w:hAnsi="Arial" w:cs="Arial"/>
          <w:sz w:val="24"/>
          <w:szCs w:val="24"/>
        </w:rPr>
        <w:t xml:space="preserve">by the failure of </w:t>
      </w:r>
      <w:r>
        <w:rPr>
          <w:rFonts w:ascii="Arial" w:hAnsi="Arial" w:cs="Arial"/>
          <w:i/>
          <w:sz w:val="24"/>
          <w:szCs w:val="24"/>
        </w:rPr>
        <w:t>Cool Ideas</w:t>
      </w:r>
      <w:r>
        <w:rPr>
          <w:rFonts w:ascii="Arial" w:hAnsi="Arial" w:cs="Arial"/>
          <w:sz w:val="24"/>
          <w:szCs w:val="24"/>
        </w:rPr>
        <w:t xml:space="preserve"> to be registered at the outset of the building works</w:t>
      </w:r>
      <w:r>
        <w:rPr>
          <w:rStyle w:val="FootnoteReference"/>
          <w:rFonts w:ascii="Arial" w:hAnsi="Arial" w:cs="Arial"/>
          <w:sz w:val="24"/>
          <w:szCs w:val="24"/>
        </w:rPr>
        <w:footnoteReference w:id="42"/>
      </w:r>
      <w:r w:rsidR="00175D3F">
        <w:rPr>
          <w:rFonts w:ascii="Arial" w:hAnsi="Arial" w:cs="Arial"/>
          <w:sz w:val="24"/>
          <w:szCs w:val="24"/>
        </w:rPr>
        <w:t xml:space="preserve"> but that </w:t>
      </w:r>
      <w:r w:rsidR="00A2631E">
        <w:rPr>
          <w:rFonts w:ascii="Arial" w:hAnsi="Arial" w:cs="Arial"/>
          <w:sz w:val="24"/>
          <w:szCs w:val="24"/>
        </w:rPr>
        <w:t>s 10</w:t>
      </w:r>
      <w:r w:rsidR="00175D3F">
        <w:rPr>
          <w:rFonts w:ascii="Arial" w:hAnsi="Arial" w:cs="Arial"/>
          <w:sz w:val="24"/>
          <w:szCs w:val="24"/>
        </w:rPr>
        <w:t xml:space="preserve"> prevented an unregistered builder from claiming a consideration.</w:t>
      </w:r>
    </w:p>
    <w:p w:rsidR="00401AD5" w:rsidRDefault="00401AD5" w:rsidP="00401AD5">
      <w:pPr>
        <w:pStyle w:val="ListParagraph"/>
        <w:rPr>
          <w:rFonts w:ascii="Arial" w:hAnsi="Arial" w:cs="Arial"/>
          <w:sz w:val="24"/>
          <w:szCs w:val="24"/>
        </w:rPr>
      </w:pPr>
    </w:p>
    <w:p w:rsidR="00401AD5" w:rsidRDefault="00401AD5"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that matter, </w:t>
      </w:r>
      <w:r w:rsidRPr="00401AD5">
        <w:rPr>
          <w:rFonts w:ascii="Arial" w:hAnsi="Arial" w:cs="Arial"/>
          <w:sz w:val="24"/>
          <w:szCs w:val="24"/>
        </w:rPr>
        <w:t>Cool Ideas</w:t>
      </w:r>
      <w:r>
        <w:rPr>
          <w:rFonts w:ascii="Arial" w:hAnsi="Arial" w:cs="Arial"/>
          <w:sz w:val="24"/>
          <w:szCs w:val="24"/>
        </w:rPr>
        <w:t xml:space="preserve"> and Ms Hubbard entered</w:t>
      </w:r>
      <w:r w:rsidR="00231886">
        <w:rPr>
          <w:rFonts w:ascii="Arial" w:hAnsi="Arial" w:cs="Arial"/>
          <w:sz w:val="24"/>
          <w:szCs w:val="24"/>
        </w:rPr>
        <w:t xml:space="preserve"> into</w:t>
      </w:r>
      <w:r>
        <w:rPr>
          <w:rFonts w:ascii="Arial" w:hAnsi="Arial" w:cs="Arial"/>
          <w:sz w:val="24"/>
          <w:szCs w:val="24"/>
        </w:rPr>
        <w:t xml:space="preserve"> </w:t>
      </w:r>
      <w:r w:rsidR="002A615B">
        <w:rPr>
          <w:rFonts w:ascii="Arial" w:hAnsi="Arial" w:cs="Arial"/>
          <w:sz w:val="24"/>
          <w:szCs w:val="24"/>
        </w:rPr>
        <w:t>a building contract</w:t>
      </w:r>
      <w:r w:rsidR="00175D3F">
        <w:rPr>
          <w:rFonts w:ascii="Arial" w:hAnsi="Arial" w:cs="Arial"/>
          <w:sz w:val="24"/>
          <w:szCs w:val="24"/>
        </w:rPr>
        <w:t xml:space="preserve"> in which</w:t>
      </w:r>
      <w:r w:rsidR="002A615B">
        <w:rPr>
          <w:rFonts w:ascii="Arial" w:hAnsi="Arial" w:cs="Arial"/>
          <w:sz w:val="24"/>
          <w:szCs w:val="24"/>
        </w:rPr>
        <w:t xml:space="preserve"> </w:t>
      </w:r>
      <w:r w:rsidR="002A615B">
        <w:rPr>
          <w:rFonts w:ascii="Arial" w:hAnsi="Arial" w:cs="Arial"/>
          <w:i/>
          <w:sz w:val="24"/>
          <w:szCs w:val="24"/>
        </w:rPr>
        <w:t xml:space="preserve">Cool Ideas </w:t>
      </w:r>
      <w:r w:rsidR="002A615B">
        <w:rPr>
          <w:rFonts w:ascii="Arial" w:hAnsi="Arial" w:cs="Arial"/>
          <w:sz w:val="24"/>
          <w:szCs w:val="24"/>
        </w:rPr>
        <w:t xml:space="preserve">undertook to construct a residence and enlisted a duly registered sub-contractor to execute the building project. At the time of entering </w:t>
      </w:r>
      <w:r w:rsidR="00231886">
        <w:rPr>
          <w:rFonts w:ascii="Arial" w:hAnsi="Arial" w:cs="Arial"/>
          <w:sz w:val="24"/>
          <w:szCs w:val="24"/>
        </w:rPr>
        <w:t xml:space="preserve">into </w:t>
      </w:r>
      <w:r w:rsidR="002A615B">
        <w:rPr>
          <w:rFonts w:ascii="Arial" w:hAnsi="Arial" w:cs="Arial"/>
          <w:sz w:val="24"/>
          <w:szCs w:val="24"/>
        </w:rPr>
        <w:t xml:space="preserve">the agreement, </w:t>
      </w:r>
      <w:r w:rsidR="002A615B">
        <w:rPr>
          <w:rFonts w:ascii="Arial" w:hAnsi="Arial" w:cs="Arial"/>
          <w:i/>
          <w:sz w:val="24"/>
          <w:szCs w:val="24"/>
        </w:rPr>
        <w:t>Cool Ideas</w:t>
      </w:r>
      <w:r w:rsidR="002A615B">
        <w:rPr>
          <w:rFonts w:ascii="Arial" w:hAnsi="Arial" w:cs="Arial"/>
          <w:sz w:val="24"/>
          <w:szCs w:val="24"/>
        </w:rPr>
        <w:t xml:space="preserve"> was not registered but subsequently did so when seeking to enforce an arbitration award in its favour. At the stage of practical completion and after making various payments, Ms Hubbard took issue with the quality of the building works and invoked the arbitration clause in their agreement</w:t>
      </w:r>
      <w:r w:rsidR="00175D3F">
        <w:rPr>
          <w:rFonts w:ascii="Arial" w:hAnsi="Arial" w:cs="Arial"/>
          <w:sz w:val="24"/>
          <w:szCs w:val="24"/>
        </w:rPr>
        <w:t>. Th</w:t>
      </w:r>
      <w:r w:rsidR="002A615B">
        <w:rPr>
          <w:rFonts w:ascii="Arial" w:hAnsi="Arial" w:cs="Arial"/>
          <w:sz w:val="24"/>
          <w:szCs w:val="24"/>
        </w:rPr>
        <w:t xml:space="preserve">e arbitrator made an award in favour of </w:t>
      </w:r>
      <w:r w:rsidR="002A615B">
        <w:rPr>
          <w:rFonts w:ascii="Arial" w:hAnsi="Arial" w:cs="Arial"/>
          <w:i/>
          <w:sz w:val="24"/>
          <w:szCs w:val="24"/>
        </w:rPr>
        <w:t>Cool Ideas</w:t>
      </w:r>
      <w:r w:rsidR="002A615B">
        <w:rPr>
          <w:rFonts w:ascii="Arial" w:hAnsi="Arial" w:cs="Arial"/>
          <w:sz w:val="24"/>
          <w:szCs w:val="24"/>
        </w:rPr>
        <w:t xml:space="preserve">. When the latter sought to enforce the award, Ms Hubbard took the point that </w:t>
      </w:r>
      <w:r w:rsidR="002A615B">
        <w:rPr>
          <w:rFonts w:ascii="Arial" w:hAnsi="Arial" w:cs="Arial"/>
          <w:i/>
          <w:sz w:val="24"/>
          <w:szCs w:val="24"/>
        </w:rPr>
        <w:t>Cool Ideas</w:t>
      </w:r>
      <w:r w:rsidR="002A615B">
        <w:rPr>
          <w:rFonts w:ascii="Arial" w:hAnsi="Arial" w:cs="Arial"/>
          <w:sz w:val="24"/>
          <w:szCs w:val="24"/>
        </w:rPr>
        <w:t xml:space="preserve"> was precluded from enforcing the award by virtue of the prohibition contained in s 10(1</w:t>
      </w:r>
      <w:proofErr w:type="gramStart"/>
      <w:r w:rsidR="002A615B">
        <w:rPr>
          <w:rFonts w:ascii="Arial" w:hAnsi="Arial" w:cs="Arial"/>
          <w:sz w:val="24"/>
          <w:szCs w:val="24"/>
        </w:rPr>
        <w:t>)(</w:t>
      </w:r>
      <w:proofErr w:type="gramEnd"/>
      <w:r w:rsidR="002A615B">
        <w:rPr>
          <w:rFonts w:ascii="Arial" w:hAnsi="Arial" w:cs="Arial"/>
          <w:sz w:val="24"/>
          <w:szCs w:val="24"/>
        </w:rPr>
        <w:t>b).</w:t>
      </w:r>
      <w:r w:rsidR="005A0B5F">
        <w:rPr>
          <w:rFonts w:ascii="Arial" w:hAnsi="Arial" w:cs="Arial"/>
          <w:sz w:val="24"/>
          <w:szCs w:val="24"/>
        </w:rPr>
        <w:t xml:space="preserve"> </w:t>
      </w:r>
      <w:r w:rsidR="00043709">
        <w:rPr>
          <w:rFonts w:ascii="Arial" w:hAnsi="Arial" w:cs="Arial"/>
          <w:sz w:val="24"/>
          <w:szCs w:val="24"/>
        </w:rPr>
        <w:t>The</w:t>
      </w:r>
      <w:r w:rsidR="005A0B5F">
        <w:rPr>
          <w:rFonts w:ascii="Arial" w:hAnsi="Arial" w:cs="Arial"/>
          <w:sz w:val="24"/>
          <w:szCs w:val="24"/>
        </w:rPr>
        <w:t xml:space="preserve"> award was not challenged on procedural or substantive grounds.</w:t>
      </w:r>
      <w:r w:rsidR="002A615B">
        <w:rPr>
          <w:rFonts w:ascii="Arial" w:hAnsi="Arial" w:cs="Arial"/>
          <w:sz w:val="24"/>
          <w:szCs w:val="24"/>
        </w:rPr>
        <w:t xml:space="preserve"> The majority of the SCA and of the CC upheld her point.</w:t>
      </w:r>
    </w:p>
    <w:p w:rsidR="00401AD5" w:rsidRDefault="00401AD5" w:rsidP="00401AD5">
      <w:pPr>
        <w:pStyle w:val="ListParagraph"/>
        <w:rPr>
          <w:rFonts w:ascii="Arial" w:hAnsi="Arial" w:cs="Arial"/>
          <w:sz w:val="24"/>
          <w:szCs w:val="24"/>
        </w:rPr>
      </w:pPr>
    </w:p>
    <w:p w:rsidR="00401AD5" w:rsidRDefault="002A615B"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I have pointed out, the prohibition</w:t>
      </w:r>
      <w:r w:rsidR="00A2631E">
        <w:rPr>
          <w:rFonts w:ascii="Arial" w:hAnsi="Arial" w:cs="Arial"/>
          <w:sz w:val="24"/>
          <w:szCs w:val="24"/>
        </w:rPr>
        <w:t xml:space="preserve"> in that legislation</w:t>
      </w:r>
      <w:r>
        <w:rPr>
          <w:rFonts w:ascii="Arial" w:hAnsi="Arial" w:cs="Arial"/>
          <w:sz w:val="24"/>
          <w:szCs w:val="24"/>
        </w:rPr>
        <w:t xml:space="preserve"> is specifically directed at receiving any consideration </w:t>
      </w:r>
      <w:r w:rsidR="005A0B5F">
        <w:rPr>
          <w:rFonts w:ascii="Arial" w:hAnsi="Arial" w:cs="Arial"/>
          <w:sz w:val="24"/>
          <w:szCs w:val="24"/>
        </w:rPr>
        <w:t xml:space="preserve">as a builder </w:t>
      </w:r>
      <w:r>
        <w:rPr>
          <w:rFonts w:ascii="Arial" w:hAnsi="Arial" w:cs="Arial"/>
          <w:sz w:val="24"/>
          <w:szCs w:val="24"/>
        </w:rPr>
        <w:t xml:space="preserve">unless registered under that Act. </w:t>
      </w:r>
      <w:r w:rsidR="00175D3F">
        <w:rPr>
          <w:rFonts w:ascii="Arial" w:hAnsi="Arial" w:cs="Arial"/>
          <w:sz w:val="24"/>
          <w:szCs w:val="24"/>
        </w:rPr>
        <w:t>That is entirely unlike the terms of the prohibition contained in s 13(1</w:t>
      </w:r>
      <w:proofErr w:type="gramStart"/>
      <w:r w:rsidR="00175D3F">
        <w:rPr>
          <w:rFonts w:ascii="Arial" w:hAnsi="Arial" w:cs="Arial"/>
          <w:sz w:val="24"/>
          <w:szCs w:val="24"/>
        </w:rPr>
        <w:t>)(</w:t>
      </w:r>
      <w:proofErr w:type="gramEnd"/>
      <w:r w:rsidR="00175D3F">
        <w:rPr>
          <w:rFonts w:ascii="Arial" w:hAnsi="Arial" w:cs="Arial"/>
          <w:sz w:val="24"/>
          <w:szCs w:val="24"/>
        </w:rPr>
        <w:t>b)</w:t>
      </w:r>
      <w:r w:rsidR="00231886">
        <w:rPr>
          <w:rFonts w:ascii="Arial" w:hAnsi="Arial" w:cs="Arial"/>
          <w:sz w:val="24"/>
          <w:szCs w:val="24"/>
        </w:rPr>
        <w:t xml:space="preserve">, </w:t>
      </w:r>
      <w:r w:rsidR="00231886">
        <w:rPr>
          <w:rFonts w:ascii="Arial" w:hAnsi="Arial" w:cs="Arial"/>
          <w:sz w:val="24"/>
          <w:szCs w:val="24"/>
        </w:rPr>
        <w:lastRenderedPageBreak/>
        <w:t>which does not prohibit the receipt of remuneration</w:t>
      </w:r>
      <w:r w:rsidR="00175D3F">
        <w:rPr>
          <w:rFonts w:ascii="Arial" w:hAnsi="Arial" w:cs="Arial"/>
          <w:sz w:val="24"/>
          <w:szCs w:val="24"/>
        </w:rPr>
        <w:t xml:space="preserve">. </w:t>
      </w:r>
      <w:r>
        <w:rPr>
          <w:rFonts w:ascii="Arial" w:hAnsi="Arial" w:cs="Arial"/>
          <w:sz w:val="24"/>
          <w:szCs w:val="24"/>
        </w:rPr>
        <w:t xml:space="preserve">That prohibition is also to be viewed in the context of the provisions contained in that Act </w:t>
      </w:r>
      <w:r w:rsidR="00A2631E">
        <w:rPr>
          <w:rFonts w:ascii="Arial" w:hAnsi="Arial" w:cs="Arial"/>
          <w:sz w:val="24"/>
          <w:szCs w:val="24"/>
        </w:rPr>
        <w:t>in a highly</w:t>
      </w:r>
      <w:r>
        <w:rPr>
          <w:rFonts w:ascii="Arial" w:hAnsi="Arial" w:cs="Arial"/>
          <w:sz w:val="24"/>
          <w:szCs w:val="24"/>
        </w:rPr>
        <w:t xml:space="preserve"> regulated framework of measures to protect consumers</w:t>
      </w:r>
      <w:r w:rsidR="007F1D0F">
        <w:rPr>
          <w:rFonts w:ascii="Arial" w:hAnsi="Arial" w:cs="Arial"/>
          <w:sz w:val="24"/>
          <w:szCs w:val="24"/>
        </w:rPr>
        <w:t xml:space="preserve"> where that specific penalty was included</w:t>
      </w:r>
      <w:r>
        <w:rPr>
          <w:rFonts w:ascii="Arial" w:hAnsi="Arial" w:cs="Arial"/>
          <w:sz w:val="24"/>
          <w:szCs w:val="24"/>
        </w:rPr>
        <w:t xml:space="preserve">. The majority in both courts found that the building contract remained extant but precluded </w:t>
      </w:r>
      <w:r>
        <w:rPr>
          <w:rFonts w:ascii="Arial" w:hAnsi="Arial" w:cs="Arial"/>
          <w:i/>
          <w:sz w:val="24"/>
          <w:szCs w:val="24"/>
        </w:rPr>
        <w:t>Cool Ideas</w:t>
      </w:r>
      <w:r>
        <w:rPr>
          <w:rFonts w:ascii="Arial" w:hAnsi="Arial" w:cs="Arial"/>
          <w:sz w:val="24"/>
          <w:szCs w:val="24"/>
        </w:rPr>
        <w:t xml:space="preserve"> from enforcing the award by reason of its failure to register prior to the commencement of the building works. </w:t>
      </w:r>
      <w:r w:rsidR="00975F17">
        <w:rPr>
          <w:rFonts w:ascii="Arial" w:hAnsi="Arial" w:cs="Arial"/>
          <w:sz w:val="24"/>
          <w:szCs w:val="24"/>
        </w:rPr>
        <w:t>The majority in the SCA found that there was nothing in the legislative scheme which suggested that the building contract was invalidated by the prohibition in s 10.</w:t>
      </w:r>
      <w:r w:rsidR="00975F17">
        <w:rPr>
          <w:rStyle w:val="FootnoteReference"/>
          <w:rFonts w:ascii="Arial" w:hAnsi="Arial" w:cs="Arial"/>
          <w:sz w:val="24"/>
          <w:szCs w:val="24"/>
        </w:rPr>
        <w:footnoteReference w:id="43"/>
      </w:r>
      <w:r w:rsidR="00975F17">
        <w:rPr>
          <w:rFonts w:ascii="Arial" w:hAnsi="Arial" w:cs="Arial"/>
          <w:sz w:val="24"/>
          <w:szCs w:val="24"/>
        </w:rPr>
        <w:t xml:space="preserve"> The majority in CC agreed.</w:t>
      </w:r>
      <w:r w:rsidR="00975F17">
        <w:rPr>
          <w:rStyle w:val="FootnoteReference"/>
          <w:rFonts w:ascii="Arial" w:hAnsi="Arial" w:cs="Arial"/>
          <w:sz w:val="24"/>
          <w:szCs w:val="24"/>
        </w:rPr>
        <w:footnoteReference w:id="44"/>
      </w:r>
      <w:r w:rsidR="00975F17">
        <w:rPr>
          <w:rFonts w:ascii="Arial" w:hAnsi="Arial" w:cs="Arial"/>
          <w:sz w:val="24"/>
          <w:szCs w:val="24"/>
        </w:rPr>
        <w:t xml:space="preserve"> </w:t>
      </w:r>
      <w:r>
        <w:rPr>
          <w:rFonts w:ascii="Arial" w:hAnsi="Arial" w:cs="Arial"/>
          <w:sz w:val="24"/>
          <w:szCs w:val="24"/>
        </w:rPr>
        <w:t xml:space="preserve">This is unlike the </w:t>
      </w:r>
      <w:r w:rsidR="00A2631E">
        <w:rPr>
          <w:rFonts w:ascii="Arial" w:hAnsi="Arial" w:cs="Arial"/>
          <w:sz w:val="24"/>
          <w:szCs w:val="24"/>
        </w:rPr>
        <w:t>approach</w:t>
      </w:r>
      <w:r>
        <w:rPr>
          <w:rFonts w:ascii="Arial" w:hAnsi="Arial" w:cs="Arial"/>
          <w:sz w:val="24"/>
          <w:szCs w:val="24"/>
        </w:rPr>
        <w:t xml:space="preserve"> in </w:t>
      </w:r>
      <w:r>
        <w:rPr>
          <w:rFonts w:ascii="Arial" w:hAnsi="Arial" w:cs="Arial"/>
          <w:i/>
          <w:sz w:val="24"/>
          <w:szCs w:val="24"/>
        </w:rPr>
        <w:t>Nkandi</w:t>
      </w:r>
      <w:r>
        <w:rPr>
          <w:rFonts w:ascii="Arial" w:hAnsi="Arial" w:cs="Arial"/>
          <w:sz w:val="24"/>
          <w:szCs w:val="24"/>
        </w:rPr>
        <w:t xml:space="preserve"> </w:t>
      </w:r>
      <w:r w:rsidR="00A2631E">
        <w:rPr>
          <w:rFonts w:ascii="Arial" w:hAnsi="Arial" w:cs="Arial"/>
          <w:sz w:val="24"/>
          <w:szCs w:val="24"/>
        </w:rPr>
        <w:t>which</w:t>
      </w:r>
      <w:r>
        <w:rPr>
          <w:rFonts w:ascii="Arial" w:hAnsi="Arial" w:cs="Arial"/>
          <w:sz w:val="24"/>
          <w:szCs w:val="24"/>
        </w:rPr>
        <w:t xml:space="preserve"> is premised upon a reliance of the </w:t>
      </w:r>
      <w:r w:rsidRPr="002A615B">
        <w:rPr>
          <w:rFonts w:ascii="Arial" w:hAnsi="Arial" w:cs="Arial"/>
          <w:i/>
          <w:sz w:val="24"/>
          <w:szCs w:val="24"/>
        </w:rPr>
        <w:t>ex turpi maxim</w:t>
      </w:r>
      <w:r>
        <w:rPr>
          <w:rFonts w:ascii="Arial" w:hAnsi="Arial" w:cs="Arial"/>
          <w:sz w:val="24"/>
          <w:szCs w:val="24"/>
        </w:rPr>
        <w:t xml:space="preserve"> which would render the agreement </w:t>
      </w:r>
      <w:r w:rsidR="00231886">
        <w:rPr>
          <w:rFonts w:ascii="Arial" w:hAnsi="Arial" w:cs="Arial"/>
          <w:sz w:val="24"/>
          <w:szCs w:val="24"/>
        </w:rPr>
        <w:t xml:space="preserve">as a whole </w:t>
      </w:r>
      <w:r>
        <w:rPr>
          <w:rFonts w:ascii="Arial" w:hAnsi="Arial" w:cs="Arial"/>
          <w:sz w:val="24"/>
          <w:szCs w:val="24"/>
        </w:rPr>
        <w:t>as unenforceable</w:t>
      </w:r>
      <w:r w:rsidR="005A0B5F">
        <w:rPr>
          <w:rFonts w:ascii="Arial" w:hAnsi="Arial" w:cs="Arial"/>
          <w:sz w:val="24"/>
          <w:szCs w:val="24"/>
        </w:rPr>
        <w:t xml:space="preserve"> by virtue of its illegality</w:t>
      </w:r>
      <w:r>
        <w:rPr>
          <w:rFonts w:ascii="Arial" w:hAnsi="Arial" w:cs="Arial"/>
          <w:sz w:val="24"/>
          <w:szCs w:val="24"/>
        </w:rPr>
        <w:t>.</w:t>
      </w:r>
    </w:p>
    <w:p w:rsidR="002A615B" w:rsidRDefault="002A615B" w:rsidP="002A615B">
      <w:pPr>
        <w:pStyle w:val="ListParagraph"/>
        <w:rPr>
          <w:rFonts w:ascii="Arial" w:hAnsi="Arial" w:cs="Arial"/>
          <w:sz w:val="24"/>
          <w:szCs w:val="24"/>
        </w:rPr>
      </w:pPr>
    </w:p>
    <w:p w:rsidR="00AD4E9E" w:rsidRDefault="002A615B" w:rsidP="00F8315E">
      <w:pPr>
        <w:pStyle w:val="NoSpacing"/>
        <w:numPr>
          <w:ilvl w:val="0"/>
          <w:numId w:val="4"/>
        </w:numPr>
        <w:spacing w:line="480" w:lineRule="auto"/>
        <w:ind w:left="0" w:firstLine="0"/>
        <w:jc w:val="both"/>
        <w:rPr>
          <w:rFonts w:ascii="Arial" w:hAnsi="Arial" w:cs="Arial"/>
          <w:sz w:val="24"/>
          <w:szCs w:val="24"/>
        </w:rPr>
      </w:pPr>
      <w:r w:rsidRPr="008F6EB4">
        <w:rPr>
          <w:rFonts w:ascii="Arial" w:hAnsi="Arial" w:cs="Arial"/>
          <w:sz w:val="24"/>
          <w:szCs w:val="24"/>
        </w:rPr>
        <w:t xml:space="preserve">Quite apart from the difference in the wording and the distinguishing features of </w:t>
      </w:r>
      <w:r w:rsidRPr="008F6EB4">
        <w:rPr>
          <w:rFonts w:ascii="Arial" w:hAnsi="Arial" w:cs="Arial"/>
          <w:i/>
          <w:sz w:val="24"/>
          <w:szCs w:val="24"/>
        </w:rPr>
        <w:t>Cool Ideas</w:t>
      </w:r>
      <w:r w:rsidR="00175D3F" w:rsidRPr="008F6EB4">
        <w:rPr>
          <w:rFonts w:ascii="Arial" w:hAnsi="Arial" w:cs="Arial"/>
          <w:sz w:val="24"/>
          <w:szCs w:val="24"/>
        </w:rPr>
        <w:t xml:space="preserve"> which sufficiently distinguish th</w:t>
      </w:r>
      <w:r w:rsidR="00231886" w:rsidRPr="008F6EB4">
        <w:rPr>
          <w:rFonts w:ascii="Arial" w:hAnsi="Arial" w:cs="Arial"/>
          <w:sz w:val="24"/>
          <w:szCs w:val="24"/>
        </w:rPr>
        <w:t>at</w:t>
      </w:r>
      <w:r w:rsidR="00175D3F" w:rsidRPr="008F6EB4">
        <w:rPr>
          <w:rFonts w:ascii="Arial" w:hAnsi="Arial" w:cs="Arial"/>
          <w:sz w:val="24"/>
          <w:szCs w:val="24"/>
        </w:rPr>
        <w:t xml:space="preserve"> matter from this appeal</w:t>
      </w:r>
      <w:r w:rsidRPr="008F6EB4">
        <w:rPr>
          <w:rFonts w:ascii="Arial" w:hAnsi="Arial" w:cs="Arial"/>
          <w:sz w:val="24"/>
          <w:szCs w:val="24"/>
        </w:rPr>
        <w:t>, the interpretation of the legislat</w:t>
      </w:r>
      <w:r w:rsidR="00975F17" w:rsidRPr="008F6EB4">
        <w:rPr>
          <w:rFonts w:ascii="Arial" w:hAnsi="Arial" w:cs="Arial"/>
          <w:sz w:val="24"/>
          <w:szCs w:val="24"/>
        </w:rPr>
        <w:t>ion</w:t>
      </w:r>
      <w:r w:rsidRPr="008F6EB4">
        <w:rPr>
          <w:rFonts w:ascii="Arial" w:hAnsi="Arial" w:cs="Arial"/>
          <w:sz w:val="24"/>
          <w:szCs w:val="24"/>
        </w:rPr>
        <w:t xml:space="preserve"> by </w:t>
      </w:r>
      <w:r w:rsidR="00A2631E" w:rsidRPr="008F6EB4">
        <w:rPr>
          <w:rFonts w:ascii="Arial" w:hAnsi="Arial" w:cs="Arial"/>
          <w:sz w:val="24"/>
          <w:szCs w:val="24"/>
        </w:rPr>
        <w:t xml:space="preserve">the </w:t>
      </w:r>
      <w:r w:rsidRPr="008F6EB4">
        <w:rPr>
          <w:rFonts w:ascii="Arial" w:hAnsi="Arial" w:cs="Arial"/>
          <w:sz w:val="24"/>
          <w:szCs w:val="24"/>
        </w:rPr>
        <w:t>minority</w:t>
      </w:r>
      <w:r w:rsidR="00A2631E" w:rsidRPr="008F6EB4">
        <w:rPr>
          <w:rFonts w:ascii="Arial" w:hAnsi="Arial" w:cs="Arial"/>
          <w:sz w:val="24"/>
          <w:szCs w:val="24"/>
        </w:rPr>
        <w:t xml:space="preserve"> in the CC</w:t>
      </w:r>
      <w:r w:rsidRPr="008F6EB4">
        <w:rPr>
          <w:rFonts w:ascii="Arial" w:hAnsi="Arial" w:cs="Arial"/>
          <w:sz w:val="24"/>
          <w:szCs w:val="24"/>
        </w:rPr>
        <w:t xml:space="preserve"> </w:t>
      </w:r>
      <w:r w:rsidR="005A0B5F" w:rsidRPr="008F6EB4">
        <w:rPr>
          <w:rFonts w:ascii="Arial" w:hAnsi="Arial" w:cs="Arial"/>
          <w:sz w:val="24"/>
          <w:szCs w:val="24"/>
        </w:rPr>
        <w:t xml:space="preserve">in the judgment of Froneman, J </w:t>
      </w:r>
      <w:r w:rsidRPr="008F6EB4">
        <w:rPr>
          <w:rFonts w:ascii="Arial" w:hAnsi="Arial" w:cs="Arial"/>
          <w:sz w:val="24"/>
          <w:szCs w:val="24"/>
        </w:rPr>
        <w:t xml:space="preserve">is </w:t>
      </w:r>
      <w:r w:rsidR="00175D3F" w:rsidRPr="008F6EB4">
        <w:rPr>
          <w:rFonts w:ascii="Arial" w:hAnsi="Arial" w:cs="Arial"/>
          <w:sz w:val="24"/>
          <w:szCs w:val="24"/>
        </w:rPr>
        <w:t>in any event</w:t>
      </w:r>
      <w:r w:rsidRPr="008F6EB4">
        <w:rPr>
          <w:rFonts w:ascii="Arial" w:hAnsi="Arial" w:cs="Arial"/>
          <w:sz w:val="24"/>
          <w:szCs w:val="24"/>
        </w:rPr>
        <w:t xml:space="preserve"> </w:t>
      </w:r>
      <w:r w:rsidR="00231886" w:rsidRPr="008F6EB4">
        <w:rPr>
          <w:rFonts w:ascii="Arial" w:hAnsi="Arial" w:cs="Arial"/>
          <w:sz w:val="24"/>
          <w:szCs w:val="24"/>
        </w:rPr>
        <w:t xml:space="preserve">in my view </w:t>
      </w:r>
      <w:r w:rsidRPr="008F6EB4">
        <w:rPr>
          <w:rFonts w:ascii="Arial" w:hAnsi="Arial" w:cs="Arial"/>
          <w:sz w:val="24"/>
          <w:szCs w:val="24"/>
        </w:rPr>
        <w:t xml:space="preserve">to be preferred. </w:t>
      </w:r>
    </w:p>
    <w:p w:rsidR="008F6EB4" w:rsidRPr="008F6EB4" w:rsidRDefault="008F6EB4" w:rsidP="008F6EB4">
      <w:pPr>
        <w:pStyle w:val="NoSpacing"/>
        <w:spacing w:line="480" w:lineRule="auto"/>
        <w:jc w:val="both"/>
        <w:rPr>
          <w:rFonts w:ascii="Arial" w:hAnsi="Arial" w:cs="Arial"/>
          <w:sz w:val="24"/>
          <w:szCs w:val="24"/>
        </w:rPr>
      </w:pPr>
    </w:p>
    <w:p w:rsidR="00AD371B" w:rsidRPr="00AD371B" w:rsidRDefault="00AD371B" w:rsidP="00AD371B">
      <w:pPr>
        <w:rPr>
          <w:rFonts w:ascii="Arial" w:hAnsi="Arial" w:cs="Arial"/>
          <w:sz w:val="24"/>
          <w:szCs w:val="24"/>
          <w:u w:val="single"/>
        </w:rPr>
      </w:pPr>
      <w:r>
        <w:rPr>
          <w:rFonts w:ascii="Arial" w:hAnsi="Arial" w:cs="Arial"/>
          <w:sz w:val="24"/>
          <w:szCs w:val="24"/>
          <w:u w:val="single"/>
        </w:rPr>
        <w:t>Conclusion</w:t>
      </w:r>
    </w:p>
    <w:p w:rsidR="00AD4E9E" w:rsidRDefault="00AD371B" w:rsidP="000370B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follows that</w:t>
      </w:r>
      <w:r w:rsidR="006A4E25">
        <w:rPr>
          <w:rFonts w:ascii="Arial" w:hAnsi="Arial" w:cs="Arial"/>
          <w:sz w:val="24"/>
          <w:szCs w:val="24"/>
        </w:rPr>
        <w:t xml:space="preserve"> the court </w:t>
      </w:r>
      <w:r w:rsidR="006A4E25">
        <w:rPr>
          <w:rFonts w:ascii="Arial" w:hAnsi="Arial" w:cs="Arial"/>
          <w:i/>
          <w:sz w:val="24"/>
          <w:szCs w:val="24"/>
        </w:rPr>
        <w:t xml:space="preserve">a quo </w:t>
      </w:r>
      <w:r w:rsidR="006A4E25">
        <w:rPr>
          <w:rFonts w:ascii="Arial" w:hAnsi="Arial" w:cs="Arial"/>
          <w:sz w:val="24"/>
          <w:szCs w:val="24"/>
        </w:rPr>
        <w:t xml:space="preserve">erred in following </w:t>
      </w:r>
      <w:r w:rsidR="006A4E25">
        <w:rPr>
          <w:rFonts w:ascii="Arial" w:hAnsi="Arial" w:cs="Arial"/>
          <w:i/>
          <w:sz w:val="24"/>
          <w:szCs w:val="24"/>
        </w:rPr>
        <w:t>Nkandi</w:t>
      </w:r>
      <w:r w:rsidR="006A4E25">
        <w:rPr>
          <w:rFonts w:ascii="Arial" w:hAnsi="Arial" w:cs="Arial"/>
          <w:sz w:val="24"/>
          <w:szCs w:val="24"/>
        </w:rPr>
        <w:t xml:space="preserve"> which was incorrectly decided. It further follows that the exception against the main claim should not have been upheld and that</w:t>
      </w:r>
      <w:r>
        <w:rPr>
          <w:rFonts w:ascii="Arial" w:hAnsi="Arial" w:cs="Arial"/>
          <w:sz w:val="24"/>
          <w:szCs w:val="24"/>
        </w:rPr>
        <w:t xml:space="preserve"> the appeal succeeds. The matter should revert to the High Court </w:t>
      </w:r>
      <w:r w:rsidR="006A4E25">
        <w:rPr>
          <w:rFonts w:ascii="Arial" w:hAnsi="Arial" w:cs="Arial"/>
          <w:sz w:val="24"/>
          <w:szCs w:val="24"/>
        </w:rPr>
        <w:t>for further</w:t>
      </w:r>
      <w:r>
        <w:rPr>
          <w:rFonts w:ascii="Arial" w:hAnsi="Arial" w:cs="Arial"/>
          <w:sz w:val="24"/>
          <w:szCs w:val="24"/>
        </w:rPr>
        <w:t xml:space="preserve"> case management consistent with this judgment. </w:t>
      </w:r>
    </w:p>
    <w:p w:rsidR="00AD4E9E" w:rsidRDefault="00AD4E9E" w:rsidP="00AD4E9E">
      <w:pPr>
        <w:pStyle w:val="ListParagraph"/>
        <w:rPr>
          <w:rFonts w:ascii="Arial" w:hAnsi="Arial" w:cs="Arial"/>
          <w:sz w:val="24"/>
          <w:szCs w:val="24"/>
        </w:rPr>
      </w:pPr>
    </w:p>
    <w:p w:rsidR="00AD4E9E" w:rsidRDefault="00AD371B" w:rsidP="00AD371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AD4E9E" w:rsidRDefault="00AD4E9E" w:rsidP="00AD371B">
      <w:pPr>
        <w:pStyle w:val="ListParagraph"/>
        <w:spacing w:line="480" w:lineRule="auto"/>
        <w:rPr>
          <w:rFonts w:ascii="Arial" w:hAnsi="Arial" w:cs="Arial"/>
          <w:sz w:val="24"/>
          <w:szCs w:val="24"/>
        </w:rPr>
      </w:pPr>
    </w:p>
    <w:p w:rsidR="00AD371B" w:rsidRDefault="00AD371B" w:rsidP="00AD371B">
      <w:pPr>
        <w:pStyle w:val="ListParagraph"/>
        <w:numPr>
          <w:ilvl w:val="0"/>
          <w:numId w:val="15"/>
        </w:numPr>
        <w:spacing w:line="480" w:lineRule="auto"/>
        <w:rPr>
          <w:rFonts w:ascii="Arial" w:hAnsi="Arial" w:cs="Arial"/>
          <w:sz w:val="24"/>
          <w:szCs w:val="24"/>
        </w:rPr>
      </w:pPr>
      <w:r>
        <w:rPr>
          <w:rFonts w:ascii="Arial" w:hAnsi="Arial" w:cs="Arial"/>
          <w:sz w:val="24"/>
          <w:szCs w:val="24"/>
        </w:rPr>
        <w:t>The appeal succeeds with costs including the costs of one instructing and one instructed counsel.</w:t>
      </w:r>
    </w:p>
    <w:p w:rsidR="00AD371B" w:rsidRDefault="00AD371B" w:rsidP="00AD371B">
      <w:pPr>
        <w:pStyle w:val="ListParagraph"/>
        <w:spacing w:line="480" w:lineRule="auto"/>
        <w:ind w:left="1080"/>
        <w:rPr>
          <w:rFonts w:ascii="Arial" w:hAnsi="Arial" w:cs="Arial"/>
          <w:sz w:val="24"/>
          <w:szCs w:val="24"/>
        </w:rPr>
      </w:pPr>
    </w:p>
    <w:p w:rsidR="00AD371B" w:rsidRDefault="00AD371B" w:rsidP="00AD371B">
      <w:pPr>
        <w:pStyle w:val="ListParagraph"/>
        <w:numPr>
          <w:ilvl w:val="0"/>
          <w:numId w:val="15"/>
        </w:numPr>
        <w:spacing w:line="480" w:lineRule="auto"/>
        <w:rPr>
          <w:rFonts w:ascii="Arial" w:hAnsi="Arial" w:cs="Arial"/>
          <w:sz w:val="24"/>
          <w:szCs w:val="24"/>
        </w:rPr>
      </w:pPr>
      <w:r>
        <w:rPr>
          <w:rFonts w:ascii="Arial" w:hAnsi="Arial" w:cs="Arial"/>
          <w:sz w:val="24"/>
          <w:szCs w:val="24"/>
        </w:rPr>
        <w:t>The order of the High Court is set aside and replaced with the following order:</w:t>
      </w:r>
    </w:p>
    <w:p w:rsidR="00AD371B" w:rsidRPr="00AD371B" w:rsidRDefault="00AD371B" w:rsidP="00AD371B">
      <w:pPr>
        <w:pStyle w:val="ListParagraph"/>
        <w:rPr>
          <w:rFonts w:ascii="Arial" w:hAnsi="Arial" w:cs="Arial"/>
          <w:sz w:val="24"/>
          <w:szCs w:val="24"/>
        </w:rPr>
      </w:pPr>
    </w:p>
    <w:p w:rsidR="00AD371B" w:rsidRPr="00975F17" w:rsidRDefault="00AD371B" w:rsidP="00975F17">
      <w:pPr>
        <w:spacing w:line="480" w:lineRule="auto"/>
        <w:ind w:left="1701"/>
        <w:rPr>
          <w:rFonts w:ascii="Arial" w:hAnsi="Arial" w:cs="Arial"/>
          <w:i/>
          <w:sz w:val="24"/>
          <w:szCs w:val="24"/>
        </w:rPr>
      </w:pPr>
      <w:r w:rsidRPr="00975F17">
        <w:rPr>
          <w:rFonts w:ascii="Arial" w:hAnsi="Arial" w:cs="Arial"/>
          <w:i/>
          <w:sz w:val="24"/>
          <w:szCs w:val="24"/>
        </w:rPr>
        <w:t>‘The exception against the plaintiff’s main claim is dismissed with costs, which include costs of one instructing and one instructed counsel.’</w:t>
      </w:r>
    </w:p>
    <w:p w:rsidR="00AD371B" w:rsidRPr="00AD371B" w:rsidRDefault="00AD371B" w:rsidP="00AD371B">
      <w:pPr>
        <w:pStyle w:val="ListParagraph"/>
        <w:rPr>
          <w:rFonts w:ascii="Arial" w:hAnsi="Arial" w:cs="Arial"/>
          <w:sz w:val="24"/>
          <w:szCs w:val="24"/>
        </w:rPr>
      </w:pPr>
    </w:p>
    <w:p w:rsidR="00AD371B" w:rsidRDefault="00AD371B" w:rsidP="00AD371B">
      <w:pPr>
        <w:pStyle w:val="ListParagraph"/>
        <w:numPr>
          <w:ilvl w:val="0"/>
          <w:numId w:val="15"/>
        </w:numPr>
        <w:spacing w:line="480" w:lineRule="auto"/>
        <w:rPr>
          <w:rFonts w:ascii="Arial" w:hAnsi="Arial" w:cs="Arial"/>
          <w:sz w:val="24"/>
          <w:szCs w:val="24"/>
        </w:rPr>
      </w:pPr>
      <w:r>
        <w:rPr>
          <w:rFonts w:ascii="Arial" w:hAnsi="Arial" w:cs="Arial"/>
          <w:sz w:val="24"/>
          <w:szCs w:val="24"/>
        </w:rPr>
        <w:t>The matter is remitted for further case management in the High Court consistent with this judgment.</w:t>
      </w:r>
    </w:p>
    <w:p w:rsidR="00BE3CC2" w:rsidRDefault="00BE3CC2" w:rsidP="00721889">
      <w:pPr>
        <w:pStyle w:val="NoSpacing"/>
        <w:jc w:val="both"/>
        <w:rPr>
          <w:rFonts w:ascii="Arial" w:hAnsi="Arial" w:cs="Arial"/>
          <w:sz w:val="24"/>
          <w:szCs w:val="24"/>
        </w:rPr>
      </w:pPr>
    </w:p>
    <w:p w:rsidR="00716071" w:rsidRPr="00023BBE" w:rsidRDefault="00716071" w:rsidP="00721889">
      <w:pPr>
        <w:pStyle w:val="NoSpacing"/>
        <w:jc w:val="both"/>
        <w:rPr>
          <w:rFonts w:ascii="Arial" w:hAnsi="Arial" w:cs="Arial"/>
          <w:sz w:val="24"/>
          <w:szCs w:val="24"/>
        </w:rPr>
      </w:pPr>
    </w:p>
    <w:p w:rsidR="00BE3CC2" w:rsidRDefault="00BE3CC2" w:rsidP="00721889">
      <w:pPr>
        <w:pStyle w:val="NoSpacing"/>
        <w:jc w:val="both"/>
        <w:rPr>
          <w:rFonts w:ascii="Arial" w:hAnsi="Arial" w:cs="Arial"/>
          <w:sz w:val="24"/>
          <w:szCs w:val="24"/>
        </w:rPr>
      </w:pPr>
    </w:p>
    <w:p w:rsidR="00721889" w:rsidRPr="00721889" w:rsidRDefault="00721889" w:rsidP="00721889">
      <w:pPr>
        <w:pStyle w:val="NoSpacing"/>
        <w:jc w:val="both"/>
        <w:rPr>
          <w:rFonts w:ascii="Arial" w:hAnsi="Arial" w:cs="Arial"/>
          <w:sz w:val="24"/>
          <w:szCs w:val="24"/>
        </w:rPr>
      </w:pPr>
    </w:p>
    <w:p w:rsidR="00721889" w:rsidRPr="00721889" w:rsidRDefault="0072188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Pr="00721889" w:rsidRDefault="00A528F9" w:rsidP="00A528F9">
      <w:pPr>
        <w:pStyle w:val="NoSpacing"/>
        <w:spacing w:line="360" w:lineRule="auto"/>
        <w:rPr>
          <w:rFonts w:ascii="Arial" w:hAnsi="Arial" w:cs="Arial"/>
          <w:b/>
          <w:sz w:val="24"/>
          <w:szCs w:val="24"/>
        </w:rPr>
      </w:pPr>
      <w:r>
        <w:rPr>
          <w:rFonts w:ascii="Arial" w:hAnsi="Arial" w:cs="Arial"/>
          <w:b/>
          <w:sz w:val="24"/>
          <w:szCs w:val="24"/>
        </w:rPr>
        <w:t>SMUTS JA</w:t>
      </w:r>
    </w:p>
    <w:p w:rsidR="00721889" w:rsidRDefault="00721889" w:rsidP="00A528F9">
      <w:pPr>
        <w:pStyle w:val="NoSpacing"/>
        <w:spacing w:line="360" w:lineRule="auto"/>
        <w:rPr>
          <w:rFonts w:ascii="Arial" w:hAnsi="Arial" w:cs="Arial"/>
          <w:b/>
          <w:sz w:val="24"/>
          <w:szCs w:val="24"/>
        </w:rPr>
      </w:pPr>
    </w:p>
    <w:p w:rsidR="00333E58" w:rsidRPr="00721889" w:rsidRDefault="00333E58" w:rsidP="00A528F9">
      <w:pPr>
        <w:pStyle w:val="NoSpacing"/>
        <w:spacing w:line="360" w:lineRule="auto"/>
        <w:rPr>
          <w:rFonts w:ascii="Arial" w:hAnsi="Arial" w:cs="Arial"/>
          <w:b/>
          <w:sz w:val="24"/>
          <w:szCs w:val="24"/>
        </w:rPr>
      </w:pPr>
    </w:p>
    <w:p w:rsidR="00721889" w:rsidRPr="00721889" w:rsidRDefault="00721889" w:rsidP="00A528F9">
      <w:pPr>
        <w:pStyle w:val="NoSpacing"/>
        <w:spacing w:line="360" w:lineRule="auto"/>
        <w:rPr>
          <w:rFonts w:ascii="Arial" w:hAnsi="Arial" w:cs="Arial"/>
          <w:b/>
          <w:sz w:val="24"/>
          <w:szCs w:val="24"/>
        </w:rPr>
      </w:pPr>
    </w:p>
    <w:p w:rsidR="00A528F9" w:rsidRPr="00721889" w:rsidRDefault="00A528F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A528F9" w:rsidRPr="00721889" w:rsidRDefault="00F8287A" w:rsidP="00A528F9">
      <w:pPr>
        <w:pStyle w:val="NoSpacing"/>
        <w:spacing w:line="360" w:lineRule="auto"/>
        <w:rPr>
          <w:rFonts w:ascii="Arial" w:hAnsi="Arial" w:cs="Arial"/>
          <w:b/>
          <w:sz w:val="24"/>
          <w:szCs w:val="24"/>
        </w:rPr>
      </w:pPr>
      <w:r>
        <w:rPr>
          <w:rFonts w:ascii="Arial" w:hAnsi="Arial" w:cs="Arial"/>
          <w:b/>
          <w:sz w:val="24"/>
          <w:szCs w:val="24"/>
        </w:rPr>
        <w:t>MAINGA JA</w:t>
      </w:r>
    </w:p>
    <w:p w:rsidR="00721889" w:rsidRDefault="00721889" w:rsidP="00A528F9">
      <w:pPr>
        <w:pStyle w:val="NoSpacing"/>
        <w:spacing w:line="360" w:lineRule="auto"/>
        <w:rPr>
          <w:rFonts w:ascii="Arial" w:hAnsi="Arial" w:cs="Arial"/>
          <w:b/>
          <w:sz w:val="24"/>
          <w:szCs w:val="24"/>
        </w:rPr>
      </w:pPr>
    </w:p>
    <w:p w:rsidR="00A528F9" w:rsidRPr="00721889" w:rsidRDefault="00A528F9" w:rsidP="00A528F9">
      <w:pPr>
        <w:pStyle w:val="NoSpacing"/>
        <w:spacing w:line="360" w:lineRule="auto"/>
        <w:rPr>
          <w:rFonts w:ascii="Arial" w:hAnsi="Arial" w:cs="Arial"/>
          <w:b/>
          <w:sz w:val="24"/>
          <w:szCs w:val="24"/>
        </w:rPr>
      </w:pPr>
    </w:p>
    <w:p w:rsidR="00721889" w:rsidRPr="00721889" w:rsidRDefault="00721889" w:rsidP="00A528F9">
      <w:pPr>
        <w:pStyle w:val="NoSpacing"/>
        <w:spacing w:line="360" w:lineRule="auto"/>
        <w:rPr>
          <w:rFonts w:ascii="Arial" w:hAnsi="Arial" w:cs="Arial"/>
          <w:b/>
          <w:sz w:val="24"/>
          <w:szCs w:val="24"/>
        </w:rPr>
      </w:pPr>
    </w:p>
    <w:p w:rsidR="00721889" w:rsidRPr="00721889" w:rsidRDefault="0072188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Default="00F8287A" w:rsidP="00A528F9">
      <w:pPr>
        <w:pStyle w:val="NoSpacing"/>
        <w:spacing w:line="360" w:lineRule="auto"/>
        <w:rPr>
          <w:rFonts w:ascii="Arial" w:hAnsi="Arial" w:cs="Arial"/>
          <w:sz w:val="24"/>
          <w:szCs w:val="24"/>
        </w:rPr>
      </w:pPr>
      <w:r>
        <w:rPr>
          <w:rFonts w:ascii="Arial" w:hAnsi="Arial" w:cs="Arial"/>
          <w:b/>
          <w:sz w:val="24"/>
          <w:szCs w:val="24"/>
        </w:rPr>
        <w:t>HOFF JA</w:t>
      </w:r>
      <w:r w:rsidR="00721889">
        <w:rPr>
          <w:rFonts w:ascii="Arial" w:hAnsi="Arial" w:cs="Arial"/>
          <w:sz w:val="24"/>
          <w:szCs w:val="24"/>
        </w:rPr>
        <w:br w:type="page"/>
      </w:r>
    </w:p>
    <w:tbl>
      <w:tblPr>
        <w:tblW w:w="0" w:type="auto"/>
        <w:tblLook w:val="04A0" w:firstRow="1" w:lastRow="0" w:firstColumn="1" w:lastColumn="0" w:noHBand="0" w:noVBand="1"/>
      </w:tblPr>
      <w:tblGrid>
        <w:gridCol w:w="4386"/>
        <w:gridCol w:w="3785"/>
      </w:tblGrid>
      <w:tr w:rsidR="00721889" w:rsidRPr="00721889" w:rsidTr="00503269">
        <w:tc>
          <w:tcPr>
            <w:tcW w:w="4386" w:type="dxa"/>
            <w:shd w:val="clear" w:color="auto" w:fill="auto"/>
          </w:tcPr>
          <w:p w:rsidR="00721889" w:rsidRPr="00721889" w:rsidRDefault="00721889" w:rsidP="00503269">
            <w:pPr>
              <w:ind w:right="-146"/>
              <w:rPr>
                <w:rFonts w:ascii="Arial" w:hAnsi="Arial" w:cs="Arial"/>
                <w:sz w:val="24"/>
                <w:szCs w:val="24"/>
              </w:rPr>
            </w:pPr>
            <w:r w:rsidRPr="00721889">
              <w:rPr>
                <w:rFonts w:ascii="Arial" w:hAnsi="Arial" w:cs="Arial"/>
                <w:sz w:val="24"/>
                <w:szCs w:val="24"/>
              </w:rPr>
              <w:lastRenderedPageBreak/>
              <w:t>APPEARANCES</w:t>
            </w:r>
          </w:p>
          <w:p w:rsidR="00721889" w:rsidRPr="00721889" w:rsidRDefault="00721889" w:rsidP="00503269">
            <w:pPr>
              <w:ind w:right="-146"/>
              <w:rPr>
                <w:rFonts w:ascii="Arial" w:hAnsi="Arial" w:cs="Arial"/>
                <w:sz w:val="24"/>
                <w:szCs w:val="24"/>
              </w:rPr>
            </w:pPr>
          </w:p>
          <w:p w:rsidR="00721889" w:rsidRPr="00721889" w:rsidRDefault="00721889" w:rsidP="00503269">
            <w:pPr>
              <w:ind w:right="-146"/>
              <w:rPr>
                <w:rFonts w:ascii="Arial" w:hAnsi="Arial" w:cs="Arial"/>
                <w:sz w:val="24"/>
                <w:szCs w:val="24"/>
              </w:rPr>
            </w:pPr>
            <w:r w:rsidRPr="00721889">
              <w:rPr>
                <w:rFonts w:ascii="Arial" w:hAnsi="Arial" w:cs="Arial"/>
                <w:sz w:val="24"/>
                <w:szCs w:val="24"/>
              </w:rPr>
              <w:t>APPELLANT:</w:t>
            </w:r>
          </w:p>
        </w:tc>
        <w:tc>
          <w:tcPr>
            <w:tcW w:w="3785" w:type="dxa"/>
            <w:shd w:val="clear" w:color="auto" w:fill="auto"/>
          </w:tcPr>
          <w:p w:rsidR="00721889" w:rsidRPr="00721889" w:rsidRDefault="00721889" w:rsidP="00503269">
            <w:pPr>
              <w:rPr>
                <w:rFonts w:ascii="Arial" w:hAnsi="Arial" w:cs="Arial"/>
                <w:sz w:val="24"/>
                <w:szCs w:val="24"/>
              </w:rPr>
            </w:pPr>
          </w:p>
          <w:p w:rsidR="00721889" w:rsidRPr="00721889" w:rsidRDefault="00721889" w:rsidP="00503269">
            <w:pPr>
              <w:rPr>
                <w:rFonts w:ascii="Arial" w:hAnsi="Arial" w:cs="Arial"/>
                <w:sz w:val="24"/>
                <w:szCs w:val="24"/>
              </w:rPr>
            </w:pPr>
          </w:p>
          <w:p w:rsidR="00721889" w:rsidRPr="00721889" w:rsidRDefault="00F8287A" w:rsidP="00503269">
            <w:pPr>
              <w:rPr>
                <w:rFonts w:ascii="Arial" w:hAnsi="Arial" w:cs="Arial"/>
                <w:sz w:val="24"/>
                <w:szCs w:val="24"/>
              </w:rPr>
            </w:pPr>
            <w:r>
              <w:rPr>
                <w:rFonts w:ascii="Arial" w:hAnsi="Arial" w:cs="Arial"/>
                <w:sz w:val="24"/>
                <w:szCs w:val="24"/>
              </w:rPr>
              <w:t>J Marais, SC</w:t>
            </w:r>
          </w:p>
          <w:p w:rsidR="00860DA9" w:rsidRDefault="00860DA9" w:rsidP="00860DA9">
            <w:pPr>
              <w:rPr>
                <w:rFonts w:ascii="Arial" w:hAnsi="Arial" w:cs="Arial"/>
                <w:sz w:val="24"/>
                <w:szCs w:val="24"/>
              </w:rPr>
            </w:pPr>
            <w:r>
              <w:rPr>
                <w:rFonts w:ascii="Arial" w:hAnsi="Arial" w:cs="Arial"/>
                <w:sz w:val="24"/>
                <w:szCs w:val="24"/>
              </w:rPr>
              <w:t xml:space="preserve">Instructed by </w:t>
            </w:r>
            <w:r w:rsidR="00F8287A">
              <w:rPr>
                <w:rFonts w:ascii="Arial" w:hAnsi="Arial" w:cs="Arial"/>
                <w:sz w:val="24"/>
                <w:szCs w:val="24"/>
              </w:rPr>
              <w:t>Koep &amp; Partners</w:t>
            </w:r>
            <w:r w:rsidR="00721889" w:rsidRPr="00721889">
              <w:rPr>
                <w:rFonts w:ascii="Arial" w:hAnsi="Arial" w:cs="Arial"/>
                <w:sz w:val="24"/>
                <w:szCs w:val="24"/>
              </w:rPr>
              <w:t>, Windhoek.</w:t>
            </w:r>
          </w:p>
          <w:p w:rsidR="00860DA9" w:rsidRPr="00721889" w:rsidRDefault="00860DA9" w:rsidP="00860DA9">
            <w:pPr>
              <w:rPr>
                <w:rFonts w:ascii="Arial" w:hAnsi="Arial" w:cs="Arial"/>
                <w:sz w:val="24"/>
                <w:szCs w:val="24"/>
              </w:rPr>
            </w:pPr>
          </w:p>
        </w:tc>
      </w:tr>
      <w:tr w:rsidR="00721889" w:rsidRPr="00721889" w:rsidTr="00503269">
        <w:tc>
          <w:tcPr>
            <w:tcW w:w="4386" w:type="dxa"/>
            <w:shd w:val="clear" w:color="auto" w:fill="auto"/>
          </w:tcPr>
          <w:p w:rsidR="00721889" w:rsidRPr="00721889" w:rsidRDefault="00721889" w:rsidP="00F8287A">
            <w:pPr>
              <w:rPr>
                <w:rFonts w:ascii="Arial" w:hAnsi="Arial" w:cs="Arial"/>
                <w:sz w:val="24"/>
                <w:szCs w:val="24"/>
              </w:rPr>
            </w:pPr>
            <w:r w:rsidRPr="00721889">
              <w:rPr>
                <w:rFonts w:ascii="Arial" w:hAnsi="Arial" w:cs="Arial"/>
                <w:sz w:val="24"/>
                <w:szCs w:val="24"/>
              </w:rPr>
              <w:t>RESPONDENT:</w:t>
            </w:r>
          </w:p>
        </w:tc>
        <w:tc>
          <w:tcPr>
            <w:tcW w:w="3785" w:type="dxa"/>
            <w:shd w:val="clear" w:color="auto" w:fill="auto"/>
          </w:tcPr>
          <w:p w:rsidR="00860DA9" w:rsidRPr="00721889" w:rsidRDefault="00F8287A" w:rsidP="00503269">
            <w:pPr>
              <w:rPr>
                <w:rFonts w:ascii="Arial" w:hAnsi="Arial" w:cs="Arial"/>
                <w:sz w:val="24"/>
                <w:szCs w:val="24"/>
              </w:rPr>
            </w:pPr>
            <w:r>
              <w:rPr>
                <w:rFonts w:ascii="Arial" w:hAnsi="Arial" w:cs="Arial"/>
                <w:sz w:val="24"/>
                <w:szCs w:val="24"/>
              </w:rPr>
              <w:t>R Heathcote</w:t>
            </w:r>
            <w:r w:rsidR="00860DA9">
              <w:rPr>
                <w:rFonts w:ascii="Arial" w:hAnsi="Arial" w:cs="Arial"/>
                <w:sz w:val="24"/>
                <w:szCs w:val="24"/>
              </w:rPr>
              <w:t xml:space="preserve"> (with him</w:t>
            </w:r>
            <w:r w:rsidR="00860DA9" w:rsidRPr="00BD2EDA">
              <w:rPr>
                <w:rFonts w:ascii="Arial" w:hAnsi="Arial" w:cs="Arial"/>
                <w:sz w:val="24"/>
                <w:szCs w:val="24"/>
              </w:rPr>
              <w:t xml:space="preserve"> </w:t>
            </w:r>
            <w:r>
              <w:rPr>
                <w:rFonts w:ascii="Arial" w:hAnsi="Arial" w:cs="Arial"/>
                <w:sz w:val="24"/>
                <w:szCs w:val="24"/>
              </w:rPr>
              <w:t>C E van der Westhuizen</w:t>
            </w:r>
            <w:r w:rsidR="00860DA9" w:rsidRPr="00BD2EDA">
              <w:rPr>
                <w:rFonts w:ascii="Arial" w:hAnsi="Arial" w:cs="Arial"/>
                <w:sz w:val="24"/>
                <w:szCs w:val="24"/>
              </w:rPr>
              <w:t>)</w:t>
            </w:r>
          </w:p>
          <w:p w:rsidR="00721889" w:rsidRPr="00721889" w:rsidRDefault="00860DA9" w:rsidP="00F8287A">
            <w:pPr>
              <w:rPr>
                <w:rFonts w:ascii="Arial" w:hAnsi="Arial" w:cs="Arial"/>
                <w:sz w:val="24"/>
                <w:szCs w:val="24"/>
              </w:rPr>
            </w:pPr>
            <w:r>
              <w:rPr>
                <w:rFonts w:ascii="Arial" w:hAnsi="Arial" w:cs="Arial"/>
                <w:sz w:val="24"/>
                <w:szCs w:val="24"/>
              </w:rPr>
              <w:t xml:space="preserve">Instructed by </w:t>
            </w:r>
            <w:r w:rsidR="00F8287A">
              <w:rPr>
                <w:rFonts w:ascii="Arial" w:hAnsi="Arial" w:cs="Arial"/>
                <w:sz w:val="24"/>
                <w:szCs w:val="24"/>
              </w:rPr>
              <w:t>Van der Merwe-Greeff Andima Inc</w:t>
            </w:r>
            <w:r w:rsidR="00721889" w:rsidRPr="00721889">
              <w:rPr>
                <w:rFonts w:ascii="Arial" w:hAnsi="Arial" w:cs="Arial"/>
                <w:sz w:val="24"/>
                <w:szCs w:val="24"/>
              </w:rPr>
              <w:t xml:space="preserve">, Windhoek. </w:t>
            </w:r>
          </w:p>
        </w:tc>
      </w:tr>
    </w:tbl>
    <w:p w:rsidR="00721889" w:rsidRPr="00721889" w:rsidRDefault="00721889" w:rsidP="00721889">
      <w:pPr>
        <w:pStyle w:val="NoSpacing"/>
        <w:jc w:val="both"/>
        <w:rPr>
          <w:rFonts w:ascii="Arial" w:hAnsi="Arial" w:cs="Arial"/>
          <w:sz w:val="24"/>
          <w:szCs w:val="24"/>
        </w:rPr>
      </w:pPr>
    </w:p>
    <w:sectPr w:rsidR="00721889" w:rsidRPr="00721889" w:rsidSect="00F255FF">
      <w:headerReference w:type="default" r:id="rId10"/>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A4" w:rsidRDefault="001D34A4" w:rsidP="00B5013F">
      <w:pPr>
        <w:spacing w:after="0" w:line="240" w:lineRule="auto"/>
      </w:pPr>
      <w:r>
        <w:separator/>
      </w:r>
    </w:p>
  </w:endnote>
  <w:endnote w:type="continuationSeparator" w:id="0">
    <w:p w:rsidR="001D34A4" w:rsidRDefault="001D34A4"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A4" w:rsidRDefault="001D34A4" w:rsidP="00B5013F">
      <w:pPr>
        <w:spacing w:after="0" w:line="240" w:lineRule="auto"/>
      </w:pPr>
      <w:r>
        <w:separator/>
      </w:r>
    </w:p>
  </w:footnote>
  <w:footnote w:type="continuationSeparator" w:id="0">
    <w:p w:rsidR="001D34A4" w:rsidRDefault="001D34A4" w:rsidP="00B5013F">
      <w:pPr>
        <w:spacing w:after="0" w:line="240" w:lineRule="auto"/>
      </w:pPr>
      <w:r>
        <w:continuationSeparator/>
      </w:r>
    </w:p>
  </w:footnote>
  <w:footnote w:id="1">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2016(1) NR 223 (HC).</w:t>
      </w:r>
      <w:proofErr w:type="gramEnd"/>
    </w:p>
  </w:footnote>
  <w:footnote w:id="2">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r w:rsidRPr="00975F17">
        <w:rPr>
          <w:rFonts w:ascii="Arial" w:hAnsi="Arial" w:cs="Arial"/>
          <w:i/>
        </w:rPr>
        <w:t xml:space="preserve">Van Straaten v Namibia Financial Institutions Supervisory Authority and another </w:t>
      </w:r>
      <w:r w:rsidRPr="00975F17">
        <w:rPr>
          <w:rFonts w:ascii="Arial" w:hAnsi="Arial" w:cs="Arial"/>
        </w:rPr>
        <w:t>2016(3) NR 747 (SC) and the authorities quoted in support of the above summary.</w:t>
      </w:r>
    </w:p>
  </w:footnote>
  <w:footnote w:id="3">
    <w:p w:rsidR="006E6774" w:rsidRPr="00975F17" w:rsidRDefault="006E6774" w:rsidP="00731E22">
      <w:pPr>
        <w:pStyle w:val="FootnoteText"/>
        <w:jc w:val="both"/>
        <w:rPr>
          <w:rFonts w:ascii="Arial" w:hAnsi="Arial" w:cs="Arial"/>
          <w:i/>
        </w:rPr>
      </w:pPr>
      <w:r w:rsidRPr="00975F17">
        <w:rPr>
          <w:rStyle w:val="FootnoteReference"/>
          <w:rFonts w:ascii="Arial" w:hAnsi="Arial" w:cs="Arial"/>
        </w:rPr>
        <w:footnoteRef/>
      </w:r>
      <w:r w:rsidRPr="00975F17">
        <w:rPr>
          <w:rFonts w:ascii="Arial" w:hAnsi="Arial" w:cs="Arial"/>
        </w:rPr>
        <w:t xml:space="preserve"> </w:t>
      </w:r>
      <w:r w:rsidRPr="00975F17">
        <w:rPr>
          <w:rFonts w:ascii="Arial" w:hAnsi="Arial" w:cs="Arial"/>
          <w:i/>
        </w:rPr>
        <w:t xml:space="preserve">Rally for Democracy and Progress and others v Electoral Commission of Namibian and others </w:t>
      </w:r>
      <w:r w:rsidRPr="00975F17">
        <w:rPr>
          <w:rFonts w:ascii="Arial" w:hAnsi="Arial" w:cs="Arial"/>
        </w:rPr>
        <w:t>2010(3) NR 487 (SC) at para 75</w:t>
      </w:r>
      <w:r w:rsidRPr="00975F17">
        <w:rPr>
          <w:rFonts w:ascii="Arial" w:hAnsi="Arial" w:cs="Arial"/>
          <w:i/>
        </w:rPr>
        <w:t>.</w:t>
      </w:r>
    </w:p>
  </w:footnote>
  <w:footnote w:id="4">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i/>
        </w:rPr>
        <w:t xml:space="preserve">Denker v Ameib Rhino Sanctuary (Pty) Ltd and 4 others </w:t>
      </w:r>
      <w:r w:rsidRPr="00975F17">
        <w:rPr>
          <w:rFonts w:ascii="Arial" w:hAnsi="Arial" w:cs="Arial"/>
        </w:rPr>
        <w:t xml:space="preserve">SA 15/2006; </w:t>
      </w:r>
      <w:r w:rsidRPr="00975F17">
        <w:rPr>
          <w:rFonts w:ascii="Arial" w:hAnsi="Arial" w:cs="Arial"/>
          <w:i/>
        </w:rPr>
        <w:t xml:space="preserve">Yannakou v Appollo Club </w:t>
      </w:r>
      <w:r w:rsidRPr="00975F17">
        <w:rPr>
          <w:rFonts w:ascii="Arial" w:hAnsi="Arial" w:cs="Arial"/>
        </w:rPr>
        <w:t xml:space="preserve">1974(1) SA 614 (A) at 632G and </w:t>
      </w:r>
      <w:r w:rsidRPr="00975F17">
        <w:rPr>
          <w:rFonts w:ascii="Arial" w:hAnsi="Arial" w:cs="Arial"/>
          <w:i/>
        </w:rPr>
        <w:t xml:space="preserve">Wasmuth v Jacobs </w:t>
      </w:r>
      <w:r w:rsidR="00727215">
        <w:rPr>
          <w:rFonts w:ascii="Arial" w:hAnsi="Arial" w:cs="Arial"/>
        </w:rPr>
        <w:t>1987 (</w:t>
      </w:r>
      <w:r w:rsidRPr="00975F17">
        <w:rPr>
          <w:rFonts w:ascii="Arial" w:hAnsi="Arial" w:cs="Arial"/>
        </w:rPr>
        <w:t>3) 629 (SWA) at 634I.</w:t>
      </w:r>
      <w:proofErr w:type="gramEnd"/>
    </w:p>
  </w:footnote>
  <w:footnote w:id="5">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2014(4) SA 474 (CC) (‘</w:t>
      </w:r>
      <w:r w:rsidRPr="00975F17">
        <w:rPr>
          <w:rFonts w:ascii="Arial" w:hAnsi="Arial" w:cs="Arial"/>
          <w:i/>
        </w:rPr>
        <w:t>Cool Ideas’</w:t>
      </w:r>
      <w:r w:rsidRPr="00975F17">
        <w:rPr>
          <w:rFonts w:ascii="Arial" w:hAnsi="Arial" w:cs="Arial"/>
        </w:rPr>
        <w:t>).</w:t>
      </w:r>
      <w:proofErr w:type="gramEnd"/>
    </w:p>
  </w:footnote>
  <w:footnote w:id="6">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Section 1 of the Act.</w:t>
      </w:r>
      <w:proofErr w:type="gramEnd"/>
    </w:p>
  </w:footnote>
  <w:footnote w:id="7">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 xml:space="preserve">In </w:t>
      </w:r>
      <w:r w:rsidRPr="00975F17">
        <w:rPr>
          <w:rFonts w:ascii="Arial" w:hAnsi="Arial" w:cs="Arial"/>
          <w:i/>
        </w:rPr>
        <w:t xml:space="preserve">Namibia Association of Medical Aid Funds and Others v Namibia Competition Commission and another </w:t>
      </w:r>
      <w:r w:rsidRPr="00975F17">
        <w:rPr>
          <w:rFonts w:ascii="Arial" w:hAnsi="Arial" w:cs="Arial"/>
        </w:rPr>
        <w:t>2017 (3) NR853 (SC) at paras 39-41.</w:t>
      </w:r>
      <w:proofErr w:type="gramEnd"/>
    </w:p>
  </w:footnote>
  <w:footnote w:id="8">
    <w:p w:rsidR="006E6774" w:rsidRPr="00975F17" w:rsidRDefault="006E6774" w:rsidP="00731E22">
      <w:pPr>
        <w:pStyle w:val="FootnoteText"/>
        <w:jc w:val="both"/>
        <w:rPr>
          <w:rFonts w:ascii="Arial" w:hAnsi="Arial" w:cs="Arial"/>
          <w:lang w:val="en-US"/>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lang w:val="en-US"/>
        </w:rPr>
        <w:t>2015 (3) NR 733 (SC) at paras 17-20.</w:t>
      </w:r>
      <w:proofErr w:type="gramEnd"/>
    </w:p>
  </w:footnote>
  <w:footnote w:id="9">
    <w:p w:rsidR="006E6774" w:rsidRPr="00975F17" w:rsidRDefault="006E6774" w:rsidP="00731E22">
      <w:pPr>
        <w:pStyle w:val="FootnoteText"/>
        <w:jc w:val="both"/>
        <w:rPr>
          <w:rFonts w:ascii="Arial" w:hAnsi="Arial" w:cs="Arial"/>
          <w:lang w:val="en-US"/>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2012 (4) SA 593 (SCA) at para 18.</w:t>
      </w:r>
      <w:proofErr w:type="gramEnd"/>
    </w:p>
  </w:footnote>
  <w:footnote w:id="10">
    <w:p w:rsidR="006E6774" w:rsidRPr="00975F17" w:rsidRDefault="006E6774" w:rsidP="00731E22">
      <w:pPr>
        <w:pStyle w:val="FootnoteText"/>
        <w:jc w:val="both"/>
        <w:rPr>
          <w:rFonts w:ascii="Arial" w:hAnsi="Arial" w:cs="Arial"/>
          <w:lang w:val="en-US"/>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 xml:space="preserve">As set out by Lord Hoffman in </w:t>
      </w:r>
      <w:r w:rsidRPr="00975F17">
        <w:rPr>
          <w:rFonts w:ascii="Arial" w:hAnsi="Arial" w:cs="Arial"/>
          <w:i/>
        </w:rPr>
        <w:t xml:space="preserve">Investors Compensation Scheme v West Bromwich Building Society </w:t>
      </w:r>
      <w:r w:rsidRPr="00975F17">
        <w:rPr>
          <w:rFonts w:ascii="Arial" w:hAnsi="Arial" w:cs="Arial"/>
        </w:rPr>
        <w:t>[1998] 1 WLR 896 (HL) at 912 – 913.</w:t>
      </w:r>
      <w:proofErr w:type="gramEnd"/>
    </w:p>
  </w:footnote>
  <w:footnote w:id="11">
    <w:p w:rsidR="006E6774" w:rsidRPr="00975F17" w:rsidRDefault="006E6774" w:rsidP="00731E22">
      <w:pPr>
        <w:pStyle w:val="FootnoteText"/>
        <w:jc w:val="both"/>
        <w:rPr>
          <w:rFonts w:ascii="Arial" w:hAnsi="Arial" w:cs="Arial"/>
          <w:lang w:val="en-US"/>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i/>
          <w:lang w:val="en-US"/>
        </w:rPr>
        <w:t xml:space="preserve">Total </w:t>
      </w:r>
      <w:r w:rsidRPr="00975F17">
        <w:rPr>
          <w:rFonts w:ascii="Arial" w:hAnsi="Arial" w:cs="Arial"/>
          <w:lang w:val="en-US"/>
        </w:rPr>
        <w:t>para 19.</w:t>
      </w:r>
      <w:proofErr w:type="gramEnd"/>
    </w:p>
  </w:footnote>
  <w:footnote w:id="12">
    <w:p w:rsidR="006E6774" w:rsidRPr="00975F17" w:rsidRDefault="006E6774" w:rsidP="00731E22">
      <w:pPr>
        <w:pStyle w:val="FootnoteText"/>
        <w:jc w:val="both"/>
        <w:rPr>
          <w:rFonts w:ascii="Arial" w:hAnsi="Arial" w:cs="Arial"/>
          <w:lang w:val="en-US"/>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lang w:val="en-US"/>
        </w:rPr>
        <w:t>At para 42.</w:t>
      </w:r>
      <w:proofErr w:type="gramEnd"/>
    </w:p>
  </w:footnote>
  <w:footnote w:id="13">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007F1D0F">
        <w:rPr>
          <w:rFonts w:ascii="Arial" w:hAnsi="Arial" w:cs="Arial"/>
        </w:rPr>
        <w:t xml:space="preserve"> </w:t>
      </w:r>
      <w:proofErr w:type="gramStart"/>
      <w:r w:rsidR="00716071">
        <w:rPr>
          <w:rFonts w:ascii="Arial" w:hAnsi="Arial" w:cs="Arial"/>
        </w:rPr>
        <w:t>Note 7 above,</w:t>
      </w:r>
      <w:r w:rsidR="007F1D0F">
        <w:rPr>
          <w:rFonts w:ascii="Arial" w:hAnsi="Arial" w:cs="Arial"/>
        </w:rPr>
        <w:t xml:space="preserve"> para 43.</w:t>
      </w:r>
      <w:proofErr w:type="gramEnd"/>
    </w:p>
  </w:footnote>
  <w:footnote w:id="14">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In Government Notice AG 91 of 1981 in Official Gazette 4508.</w:t>
      </w:r>
      <w:proofErr w:type="gramEnd"/>
    </w:p>
  </w:footnote>
  <w:footnote w:id="15">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1994 NR 287 (SC).</w:t>
      </w:r>
      <w:proofErr w:type="gramEnd"/>
    </w:p>
  </w:footnote>
  <w:footnote w:id="16">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At 296D-</w:t>
      </w:r>
      <w:r w:rsidR="00716071">
        <w:rPr>
          <w:rFonts w:ascii="Arial" w:hAnsi="Arial" w:cs="Arial"/>
        </w:rPr>
        <w:t>G</w:t>
      </w:r>
      <w:r w:rsidRPr="00975F17">
        <w:rPr>
          <w:rFonts w:ascii="Arial" w:hAnsi="Arial" w:cs="Arial"/>
        </w:rPr>
        <w:t>.</w:t>
      </w:r>
      <w:proofErr w:type="gramEnd"/>
    </w:p>
  </w:footnote>
  <w:footnote w:id="17">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At p 296E-F.</w:t>
      </w:r>
      <w:proofErr w:type="gramEnd"/>
      <w:r w:rsidRPr="00975F17">
        <w:rPr>
          <w:rFonts w:ascii="Arial" w:hAnsi="Arial" w:cs="Arial"/>
        </w:rPr>
        <w:t xml:space="preserve"> Also see </w:t>
      </w:r>
      <w:r w:rsidRPr="00975F17">
        <w:rPr>
          <w:rFonts w:ascii="Arial" w:hAnsi="Arial" w:cs="Arial"/>
          <w:i/>
        </w:rPr>
        <w:t>Schweiger v Muller</w:t>
      </w:r>
      <w:r w:rsidRPr="00975F17">
        <w:rPr>
          <w:rFonts w:ascii="Arial" w:hAnsi="Arial" w:cs="Arial"/>
        </w:rPr>
        <w:t xml:space="preserve"> 2013 (1) NR 87 (SC); </w:t>
      </w:r>
      <w:r w:rsidRPr="00975F17">
        <w:rPr>
          <w:rFonts w:ascii="Arial" w:hAnsi="Arial" w:cs="Arial"/>
          <w:i/>
        </w:rPr>
        <w:t>Moolman v Jeandre Development CC</w:t>
      </w:r>
      <w:r w:rsidRPr="00975F17">
        <w:rPr>
          <w:rFonts w:ascii="Arial" w:hAnsi="Arial" w:cs="Arial"/>
        </w:rPr>
        <w:t xml:space="preserve"> 2016(2) NR 322 (SC) at para 67.</w:t>
      </w:r>
    </w:p>
  </w:footnote>
  <w:footnote w:id="18">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At 296E-F.</w:t>
      </w:r>
      <w:proofErr w:type="gramEnd"/>
    </w:p>
  </w:footnote>
  <w:footnote w:id="19">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At para 40.</w:t>
      </w:r>
      <w:proofErr w:type="gramEnd"/>
    </w:p>
  </w:footnote>
  <w:footnote w:id="20">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At para 43.</w:t>
      </w:r>
      <w:proofErr w:type="gramEnd"/>
    </w:p>
  </w:footnote>
  <w:footnote w:id="21">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At para 58.</w:t>
      </w:r>
      <w:proofErr w:type="gramEnd"/>
    </w:p>
  </w:footnote>
  <w:footnote w:id="22">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In Government Notices 190 of 1994 in Gazette 948 of 15 October 1994 and in Government Notice 12 of 2009 in Gazette 4210 of 16 February 2009.</w:t>
      </w:r>
      <w:proofErr w:type="gramEnd"/>
    </w:p>
  </w:footnote>
  <w:footnote w:id="23">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Act 61 of 1973.</w:t>
      </w:r>
      <w:proofErr w:type="gramEnd"/>
    </w:p>
  </w:footnote>
  <w:footnote w:id="24">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i/>
        </w:rPr>
        <w:t xml:space="preserve">Moodley v Minister of Education and Culture, House of Delegates </w:t>
      </w:r>
      <w:r w:rsidRPr="00975F17">
        <w:rPr>
          <w:rFonts w:ascii="Arial" w:hAnsi="Arial" w:cs="Arial"/>
        </w:rPr>
        <w:t>1989(3) SA 221 (A) at 233E-F.</w:t>
      </w:r>
      <w:proofErr w:type="gramEnd"/>
    </w:p>
  </w:footnote>
  <w:footnote w:id="25">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The National Assembly was dissolved and its empowering legislation repealed by AG3 of 1983 in official Gazette 4739 of 25 January 1983. All powers previously vested in the National Assembly were transferred to the Administrator-General.</w:t>
      </w:r>
    </w:p>
  </w:footnote>
  <w:footnote w:id="26">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Deveninsh </w:t>
      </w:r>
      <w:r w:rsidRPr="00975F17">
        <w:rPr>
          <w:rFonts w:ascii="Arial" w:hAnsi="Arial" w:cs="Arial"/>
          <w:i/>
        </w:rPr>
        <w:t xml:space="preserve">Interpretation of Statutes </w:t>
      </w:r>
      <w:r w:rsidRPr="00975F17">
        <w:rPr>
          <w:rFonts w:ascii="Arial" w:hAnsi="Arial" w:cs="Arial"/>
        </w:rPr>
        <w:t>(1992) at p 171 – 172.</w:t>
      </w:r>
    </w:p>
  </w:footnote>
  <w:footnote w:id="27">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i/>
        </w:rPr>
        <w:t>Taljaard v TL Botha</w:t>
      </w:r>
      <w:r w:rsidRPr="00975F17">
        <w:rPr>
          <w:rFonts w:ascii="Arial" w:hAnsi="Arial" w:cs="Arial"/>
        </w:rPr>
        <w:t xml:space="preserve"> 2008 (6) SA 207 (SCA) at para 8.</w:t>
      </w:r>
      <w:proofErr w:type="gramEnd"/>
    </w:p>
  </w:footnote>
  <w:footnote w:id="28">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1925 AD 266.</w:t>
      </w:r>
      <w:proofErr w:type="gramEnd"/>
    </w:p>
  </w:footnote>
  <w:footnote w:id="29">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At 274.</w:t>
      </w:r>
      <w:proofErr w:type="gramEnd"/>
    </w:p>
  </w:footnote>
  <w:footnote w:id="30">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1954 (3) SA 719 (A) at 725.</w:t>
      </w:r>
      <w:proofErr w:type="gramEnd"/>
    </w:p>
  </w:footnote>
  <w:footnote w:id="31">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1971 (1) SA 819 (A).</w:t>
      </w:r>
      <w:proofErr w:type="gramEnd"/>
      <w:r w:rsidRPr="00975F17">
        <w:rPr>
          <w:rFonts w:ascii="Arial" w:hAnsi="Arial" w:cs="Arial"/>
        </w:rPr>
        <w:t xml:space="preserve"> </w:t>
      </w:r>
    </w:p>
  </w:footnote>
  <w:footnote w:id="32">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A</w:t>
      </w:r>
      <w:r w:rsidR="00975F17" w:rsidRPr="00975F17">
        <w:rPr>
          <w:rFonts w:ascii="Arial" w:hAnsi="Arial" w:cs="Arial"/>
        </w:rPr>
        <w:t>t 829E-F, a</w:t>
      </w:r>
      <w:r w:rsidRPr="00975F17">
        <w:rPr>
          <w:rFonts w:ascii="Arial" w:hAnsi="Arial" w:cs="Arial"/>
        </w:rPr>
        <w:t xml:space="preserve">s translated from the Afrikaans by Willis AJA in </w:t>
      </w:r>
      <w:r w:rsidRPr="00975F17">
        <w:rPr>
          <w:rFonts w:ascii="Arial" w:hAnsi="Arial" w:cs="Arial"/>
          <w:i/>
        </w:rPr>
        <w:t xml:space="preserve">Cool Ideas </w:t>
      </w:r>
      <w:r w:rsidRPr="00975F17">
        <w:rPr>
          <w:rFonts w:ascii="Arial" w:hAnsi="Arial" w:cs="Arial"/>
        </w:rPr>
        <w:t>in SCA at 126B-C.</w:t>
      </w:r>
    </w:p>
  </w:footnote>
  <w:footnote w:id="33">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At p 830B-C.</w:t>
      </w:r>
      <w:proofErr w:type="gramEnd"/>
    </w:p>
  </w:footnote>
  <w:footnote w:id="34">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At p 830C-D.</w:t>
      </w:r>
      <w:proofErr w:type="gramEnd"/>
    </w:p>
  </w:footnote>
  <w:footnote w:id="35">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At p 727E-G.</w:t>
      </w:r>
      <w:proofErr w:type="gramEnd"/>
      <w:r w:rsidRPr="00975F17">
        <w:rPr>
          <w:rFonts w:ascii="Arial" w:hAnsi="Arial" w:cs="Arial"/>
        </w:rPr>
        <w:t xml:space="preserve"> See </w:t>
      </w:r>
      <w:r w:rsidRPr="00975F17">
        <w:rPr>
          <w:rFonts w:ascii="Arial" w:hAnsi="Arial" w:cs="Arial"/>
          <w:i/>
        </w:rPr>
        <w:t xml:space="preserve">Cool Ideas (CC) </w:t>
      </w:r>
      <w:r w:rsidRPr="00975F17">
        <w:rPr>
          <w:rFonts w:ascii="Arial" w:hAnsi="Arial" w:cs="Arial"/>
        </w:rPr>
        <w:t>at para 168 per Froneman J.</w:t>
      </w:r>
    </w:p>
  </w:footnote>
  <w:footnote w:id="36">
    <w:p w:rsidR="006E6774" w:rsidRPr="00975F17" w:rsidRDefault="006E6774" w:rsidP="00731E22">
      <w:pPr>
        <w:pStyle w:val="FootnoteText"/>
        <w:jc w:val="both"/>
        <w:rPr>
          <w:rFonts w:ascii="Arial" w:hAnsi="Arial" w:cs="Arial"/>
          <w:i/>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i/>
        </w:rPr>
        <w:t>Van Straaten supra.</w:t>
      </w:r>
      <w:proofErr w:type="gramEnd"/>
    </w:p>
  </w:footnote>
  <w:footnote w:id="37">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2011 (4) SA 394 (SCA).</w:t>
      </w:r>
      <w:proofErr w:type="gramEnd"/>
    </w:p>
  </w:footnote>
  <w:footnote w:id="38">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At para 19.</w:t>
      </w:r>
      <w:proofErr w:type="gramEnd"/>
    </w:p>
  </w:footnote>
  <w:footnote w:id="39">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1985 (1) 263 (T) (full bench) approved and applied by the SCA in </w:t>
      </w:r>
      <w:r w:rsidRPr="00975F17">
        <w:rPr>
          <w:rFonts w:ascii="Arial" w:hAnsi="Arial" w:cs="Arial"/>
          <w:i/>
        </w:rPr>
        <w:t>Taljaard supra.</w:t>
      </w:r>
    </w:p>
  </w:footnote>
  <w:footnote w:id="40">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See </w:t>
      </w:r>
      <w:r w:rsidRPr="00975F17">
        <w:rPr>
          <w:rFonts w:ascii="Arial" w:hAnsi="Arial" w:cs="Arial"/>
          <w:i/>
        </w:rPr>
        <w:t xml:space="preserve">Oilwell </w:t>
      </w:r>
      <w:r w:rsidRPr="00975F17">
        <w:rPr>
          <w:rFonts w:ascii="Arial" w:hAnsi="Arial" w:cs="Arial"/>
        </w:rPr>
        <w:t>at para 19.</w:t>
      </w:r>
    </w:p>
  </w:footnote>
  <w:footnote w:id="41">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Act 95 of 1998.</w:t>
      </w:r>
      <w:proofErr w:type="gramEnd"/>
    </w:p>
  </w:footnote>
  <w:footnote w:id="42">
    <w:p w:rsidR="006E6774" w:rsidRPr="00975F17" w:rsidRDefault="006E6774" w:rsidP="00731E22">
      <w:pPr>
        <w:pStyle w:val="FootnoteText"/>
        <w:jc w:val="both"/>
        <w:rPr>
          <w:rFonts w:ascii="Arial" w:hAnsi="Arial" w:cs="Arial"/>
        </w:rPr>
      </w:pPr>
      <w:r w:rsidRPr="00975F17">
        <w:rPr>
          <w:rStyle w:val="FootnoteReference"/>
          <w:rFonts w:ascii="Arial" w:hAnsi="Arial" w:cs="Arial"/>
        </w:rPr>
        <w:footnoteRef/>
      </w:r>
      <w:r w:rsidRPr="00975F17">
        <w:rPr>
          <w:rFonts w:ascii="Arial" w:hAnsi="Arial" w:cs="Arial"/>
        </w:rPr>
        <w:t xml:space="preserve"> </w:t>
      </w:r>
      <w:proofErr w:type="gramStart"/>
      <w:r w:rsidRPr="00975F17">
        <w:rPr>
          <w:rFonts w:ascii="Arial" w:hAnsi="Arial" w:cs="Arial"/>
        </w:rPr>
        <w:t>See para 47 of CC judgment.</w:t>
      </w:r>
      <w:proofErr w:type="gramEnd"/>
    </w:p>
  </w:footnote>
  <w:footnote w:id="43">
    <w:p w:rsidR="00975F17" w:rsidRPr="00975F17" w:rsidRDefault="00975F17">
      <w:pPr>
        <w:pStyle w:val="FootnoteText"/>
        <w:rPr>
          <w:rFonts w:ascii="Arial" w:hAnsi="Arial" w:cs="Arial"/>
        </w:rPr>
      </w:pPr>
      <w:r w:rsidRPr="00975F17">
        <w:rPr>
          <w:rStyle w:val="FootnoteReference"/>
          <w:rFonts w:ascii="Arial" w:hAnsi="Arial" w:cs="Arial"/>
        </w:rPr>
        <w:footnoteRef/>
      </w:r>
      <w:r w:rsidRPr="00975F17">
        <w:rPr>
          <w:rFonts w:ascii="Arial" w:hAnsi="Arial" w:cs="Arial"/>
        </w:rPr>
        <w:t xml:space="preserve"> See </w:t>
      </w:r>
      <w:r w:rsidRPr="00975F17">
        <w:rPr>
          <w:rFonts w:ascii="Arial" w:hAnsi="Arial" w:cs="Arial"/>
          <w:i/>
        </w:rPr>
        <w:t xml:space="preserve">Cool Ideas </w:t>
      </w:r>
      <w:r w:rsidRPr="00975F17">
        <w:rPr>
          <w:rFonts w:ascii="Arial" w:hAnsi="Arial" w:cs="Arial"/>
        </w:rPr>
        <w:t>(SCA) at para 11.</w:t>
      </w:r>
    </w:p>
  </w:footnote>
  <w:footnote w:id="44">
    <w:p w:rsidR="00975F17" w:rsidRPr="00975F17" w:rsidRDefault="00975F17">
      <w:pPr>
        <w:pStyle w:val="FootnoteText"/>
        <w:rPr>
          <w:rFonts w:ascii="Arial" w:hAnsi="Arial" w:cs="Arial"/>
        </w:rPr>
      </w:pPr>
      <w:r w:rsidRPr="00975F17">
        <w:rPr>
          <w:rStyle w:val="FootnoteReference"/>
          <w:rFonts w:ascii="Arial" w:hAnsi="Arial" w:cs="Arial"/>
        </w:rPr>
        <w:footnoteRef/>
      </w:r>
      <w:r w:rsidRPr="00975F17">
        <w:rPr>
          <w:rFonts w:ascii="Arial" w:hAnsi="Arial" w:cs="Arial"/>
        </w:rPr>
        <w:t xml:space="preserve"> See </w:t>
      </w:r>
      <w:r w:rsidRPr="00975F17">
        <w:rPr>
          <w:rFonts w:ascii="Arial" w:hAnsi="Arial" w:cs="Arial"/>
          <w:i/>
        </w:rPr>
        <w:t xml:space="preserve">Cool Ideas </w:t>
      </w:r>
      <w:r w:rsidRPr="00975F17">
        <w:rPr>
          <w:rFonts w:ascii="Arial" w:hAnsi="Arial" w:cs="Arial"/>
        </w:rPr>
        <w:t>(CC) at para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82206"/>
      <w:docPartObj>
        <w:docPartGallery w:val="Page Numbers (Top of Page)"/>
        <w:docPartUnique/>
      </w:docPartObj>
    </w:sdtPr>
    <w:sdtEndPr>
      <w:rPr>
        <w:rFonts w:ascii="Arial" w:hAnsi="Arial" w:cs="Arial"/>
        <w:noProof/>
        <w:sz w:val="24"/>
        <w:szCs w:val="24"/>
      </w:rPr>
    </w:sdtEndPr>
    <w:sdtContent>
      <w:p w:rsidR="006E6774" w:rsidRPr="00ED46B6" w:rsidRDefault="006E6774">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921109">
          <w:rPr>
            <w:rFonts w:ascii="Arial" w:hAnsi="Arial" w:cs="Arial"/>
            <w:noProof/>
            <w:sz w:val="24"/>
            <w:szCs w:val="24"/>
          </w:rPr>
          <w:t>34</w:t>
        </w:r>
        <w:r w:rsidRPr="00ED46B6">
          <w:rPr>
            <w:rFonts w:ascii="Arial" w:hAnsi="Arial" w:cs="Arial"/>
            <w:noProof/>
            <w:sz w:val="24"/>
            <w:szCs w:val="24"/>
          </w:rPr>
          <w:fldChar w:fldCharType="end"/>
        </w:r>
      </w:p>
    </w:sdtContent>
  </w:sdt>
  <w:p w:rsidR="006E6774" w:rsidRDefault="006E6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115"/>
    <w:multiLevelType w:val="hybridMultilevel"/>
    <w:tmpl w:val="796239BA"/>
    <w:lvl w:ilvl="0" w:tplc="EE92F26A">
      <w:start w:val="39"/>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12CD4DF"/>
    <w:multiLevelType w:val="singleLevel"/>
    <w:tmpl w:val="2206F2DD"/>
    <w:lvl w:ilvl="0">
      <w:start w:val="1"/>
      <w:numFmt w:val="lowerRoman"/>
      <w:lvlText w:val="(%1)"/>
      <w:lvlJc w:val="left"/>
      <w:pPr>
        <w:tabs>
          <w:tab w:val="num" w:pos="2160"/>
        </w:tabs>
        <w:ind w:left="2160" w:hanging="504"/>
      </w:pPr>
      <w:rPr>
        <w:snapToGrid/>
        <w:sz w:val="20"/>
        <w:szCs w:val="20"/>
      </w:rPr>
    </w:lvl>
  </w:abstractNum>
  <w:abstractNum w:abstractNumId="2">
    <w:nsid w:val="0C7C28D6"/>
    <w:multiLevelType w:val="hybridMultilevel"/>
    <w:tmpl w:val="7A02363A"/>
    <w:lvl w:ilvl="0" w:tplc="0DF60DBE">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
    <w:nsid w:val="19661A15"/>
    <w:multiLevelType w:val="hybridMultilevel"/>
    <w:tmpl w:val="24541656"/>
    <w:lvl w:ilvl="0" w:tplc="EE2478D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CD476B"/>
    <w:multiLevelType w:val="hybridMultilevel"/>
    <w:tmpl w:val="98E05FB6"/>
    <w:lvl w:ilvl="0" w:tplc="EEE8013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DE67A8D"/>
    <w:multiLevelType w:val="hybridMultilevel"/>
    <w:tmpl w:val="0EAA0D66"/>
    <w:lvl w:ilvl="0" w:tplc="2D94D334">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8">
    <w:nsid w:val="445E1FCD"/>
    <w:multiLevelType w:val="hybridMultilevel"/>
    <w:tmpl w:val="417489DA"/>
    <w:lvl w:ilvl="0" w:tplc="ACF8359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B2F1E63"/>
    <w:multiLevelType w:val="hybridMultilevel"/>
    <w:tmpl w:val="236A0938"/>
    <w:lvl w:ilvl="0" w:tplc="6A3030D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1"/>
  </w:num>
  <w:num w:numId="3">
    <w:abstractNumId w:val="13"/>
  </w:num>
  <w:num w:numId="4">
    <w:abstractNumId w:val="12"/>
  </w:num>
  <w:num w:numId="5">
    <w:abstractNumId w:val="3"/>
  </w:num>
  <w:num w:numId="6">
    <w:abstractNumId w:val="9"/>
  </w:num>
  <w:num w:numId="7">
    <w:abstractNumId w:val="4"/>
  </w:num>
  <w:num w:numId="8">
    <w:abstractNumId w:val="0"/>
  </w:num>
  <w:num w:numId="9">
    <w:abstractNumId w:val="10"/>
  </w:num>
  <w:num w:numId="10">
    <w:abstractNumId w:val="1"/>
  </w:num>
  <w:num w:numId="11">
    <w:abstractNumId w:val="1"/>
    <w:lvlOverride w:ilvl="0">
      <w:lvl w:ilvl="0">
        <w:numFmt w:val="lowerRoman"/>
        <w:lvlText w:val="(%1)"/>
        <w:lvlJc w:val="left"/>
        <w:pPr>
          <w:tabs>
            <w:tab w:val="num" w:pos="2160"/>
          </w:tabs>
          <w:ind w:left="2160" w:hanging="504"/>
        </w:pPr>
        <w:rPr>
          <w:snapToGrid/>
          <w:sz w:val="20"/>
          <w:szCs w:val="20"/>
        </w:rPr>
      </w:lvl>
    </w:lvlOverride>
  </w:num>
  <w:num w:numId="12">
    <w:abstractNumId w:val="6"/>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90"/>
    <w:rsid w:val="0001066B"/>
    <w:rsid w:val="00020736"/>
    <w:rsid w:val="00023BBE"/>
    <w:rsid w:val="000276F0"/>
    <w:rsid w:val="000370B1"/>
    <w:rsid w:val="000400C4"/>
    <w:rsid w:val="000416C4"/>
    <w:rsid w:val="00042E40"/>
    <w:rsid w:val="00043709"/>
    <w:rsid w:val="00046E03"/>
    <w:rsid w:val="00052474"/>
    <w:rsid w:val="00052B8A"/>
    <w:rsid w:val="00055805"/>
    <w:rsid w:val="00057B7B"/>
    <w:rsid w:val="000703E4"/>
    <w:rsid w:val="00075BB0"/>
    <w:rsid w:val="00077B52"/>
    <w:rsid w:val="000840CA"/>
    <w:rsid w:val="0008675B"/>
    <w:rsid w:val="000B06C9"/>
    <w:rsid w:val="000C5A26"/>
    <w:rsid w:val="000D1ADC"/>
    <w:rsid w:val="000E008B"/>
    <w:rsid w:val="00107DB2"/>
    <w:rsid w:val="001227DB"/>
    <w:rsid w:val="0012439B"/>
    <w:rsid w:val="00133378"/>
    <w:rsid w:val="00134B45"/>
    <w:rsid w:val="0013608D"/>
    <w:rsid w:val="001423E7"/>
    <w:rsid w:val="00151FFA"/>
    <w:rsid w:val="00155F2E"/>
    <w:rsid w:val="001643A0"/>
    <w:rsid w:val="00175D3F"/>
    <w:rsid w:val="00186CAE"/>
    <w:rsid w:val="001C61E7"/>
    <w:rsid w:val="001D34A4"/>
    <w:rsid w:val="001D4856"/>
    <w:rsid w:val="001D58BA"/>
    <w:rsid w:val="001E299E"/>
    <w:rsid w:val="00207D05"/>
    <w:rsid w:val="00215D8F"/>
    <w:rsid w:val="00224757"/>
    <w:rsid w:val="00231886"/>
    <w:rsid w:val="00237C60"/>
    <w:rsid w:val="00262874"/>
    <w:rsid w:val="002662E3"/>
    <w:rsid w:val="0027733B"/>
    <w:rsid w:val="002A4C01"/>
    <w:rsid w:val="002A615B"/>
    <w:rsid w:val="002B0CAC"/>
    <w:rsid w:val="002E4E6A"/>
    <w:rsid w:val="002E5707"/>
    <w:rsid w:val="0030402F"/>
    <w:rsid w:val="0030737F"/>
    <w:rsid w:val="0030775E"/>
    <w:rsid w:val="00310940"/>
    <w:rsid w:val="003212CE"/>
    <w:rsid w:val="00324725"/>
    <w:rsid w:val="00333E58"/>
    <w:rsid w:val="00337459"/>
    <w:rsid w:val="00337BE9"/>
    <w:rsid w:val="00351905"/>
    <w:rsid w:val="00357C85"/>
    <w:rsid w:val="00372178"/>
    <w:rsid w:val="003745AA"/>
    <w:rsid w:val="0037581E"/>
    <w:rsid w:val="00376D09"/>
    <w:rsid w:val="003801E5"/>
    <w:rsid w:val="00381349"/>
    <w:rsid w:val="003939C2"/>
    <w:rsid w:val="003A2101"/>
    <w:rsid w:val="003A78BA"/>
    <w:rsid w:val="003C05A0"/>
    <w:rsid w:val="003C1292"/>
    <w:rsid w:val="003C231E"/>
    <w:rsid w:val="003D4A07"/>
    <w:rsid w:val="003E211F"/>
    <w:rsid w:val="003E7F28"/>
    <w:rsid w:val="003E7FC1"/>
    <w:rsid w:val="003F5965"/>
    <w:rsid w:val="00401AD5"/>
    <w:rsid w:val="00413FB2"/>
    <w:rsid w:val="0041592B"/>
    <w:rsid w:val="00427400"/>
    <w:rsid w:val="00451609"/>
    <w:rsid w:val="00457F24"/>
    <w:rsid w:val="00461D6A"/>
    <w:rsid w:val="004663FF"/>
    <w:rsid w:val="0046744E"/>
    <w:rsid w:val="004738B5"/>
    <w:rsid w:val="00475114"/>
    <w:rsid w:val="00485107"/>
    <w:rsid w:val="00490EA2"/>
    <w:rsid w:val="004A60BA"/>
    <w:rsid w:val="004B2A80"/>
    <w:rsid w:val="004B306F"/>
    <w:rsid w:val="004C0E0B"/>
    <w:rsid w:val="004C4D6B"/>
    <w:rsid w:val="004C7A4B"/>
    <w:rsid w:val="004E2834"/>
    <w:rsid w:val="004F15DB"/>
    <w:rsid w:val="004F41EF"/>
    <w:rsid w:val="00503269"/>
    <w:rsid w:val="00510B8B"/>
    <w:rsid w:val="005168D5"/>
    <w:rsid w:val="00516EBB"/>
    <w:rsid w:val="00532C17"/>
    <w:rsid w:val="0053474F"/>
    <w:rsid w:val="005403CF"/>
    <w:rsid w:val="00546581"/>
    <w:rsid w:val="00576598"/>
    <w:rsid w:val="00581363"/>
    <w:rsid w:val="00584213"/>
    <w:rsid w:val="0059472F"/>
    <w:rsid w:val="005A0B5F"/>
    <w:rsid w:val="005A531E"/>
    <w:rsid w:val="005A5B60"/>
    <w:rsid w:val="005B483F"/>
    <w:rsid w:val="005C38CD"/>
    <w:rsid w:val="005C5B26"/>
    <w:rsid w:val="005D1CBE"/>
    <w:rsid w:val="005D54CF"/>
    <w:rsid w:val="005E22D2"/>
    <w:rsid w:val="005E2CD0"/>
    <w:rsid w:val="005E3190"/>
    <w:rsid w:val="005F4FF3"/>
    <w:rsid w:val="00603506"/>
    <w:rsid w:val="00636E0A"/>
    <w:rsid w:val="00644C54"/>
    <w:rsid w:val="00653F13"/>
    <w:rsid w:val="00654D14"/>
    <w:rsid w:val="00662F25"/>
    <w:rsid w:val="00667FE1"/>
    <w:rsid w:val="00670783"/>
    <w:rsid w:val="00673B76"/>
    <w:rsid w:val="00675D54"/>
    <w:rsid w:val="00682C7E"/>
    <w:rsid w:val="006A368C"/>
    <w:rsid w:val="006A4E25"/>
    <w:rsid w:val="006A7919"/>
    <w:rsid w:val="006B30C3"/>
    <w:rsid w:val="006C155A"/>
    <w:rsid w:val="006E6774"/>
    <w:rsid w:val="007104EF"/>
    <w:rsid w:val="00711D32"/>
    <w:rsid w:val="00716071"/>
    <w:rsid w:val="00721889"/>
    <w:rsid w:val="00727215"/>
    <w:rsid w:val="00731E22"/>
    <w:rsid w:val="00742D5B"/>
    <w:rsid w:val="00745BF5"/>
    <w:rsid w:val="007551B1"/>
    <w:rsid w:val="00770A11"/>
    <w:rsid w:val="00771623"/>
    <w:rsid w:val="00771CB0"/>
    <w:rsid w:val="0077206A"/>
    <w:rsid w:val="007841FA"/>
    <w:rsid w:val="007B25CE"/>
    <w:rsid w:val="007B28AB"/>
    <w:rsid w:val="007C44F8"/>
    <w:rsid w:val="007C732D"/>
    <w:rsid w:val="007E349A"/>
    <w:rsid w:val="007E5D66"/>
    <w:rsid w:val="007F1D0F"/>
    <w:rsid w:val="007F632F"/>
    <w:rsid w:val="007F6CEC"/>
    <w:rsid w:val="00811FDA"/>
    <w:rsid w:val="00817BE0"/>
    <w:rsid w:val="00841EDB"/>
    <w:rsid w:val="008436C8"/>
    <w:rsid w:val="0084567B"/>
    <w:rsid w:val="00852F10"/>
    <w:rsid w:val="0086095A"/>
    <w:rsid w:val="00860DA9"/>
    <w:rsid w:val="0086790A"/>
    <w:rsid w:val="00875389"/>
    <w:rsid w:val="00896734"/>
    <w:rsid w:val="008A1B3F"/>
    <w:rsid w:val="008B4786"/>
    <w:rsid w:val="008B65FB"/>
    <w:rsid w:val="008C024E"/>
    <w:rsid w:val="008C3367"/>
    <w:rsid w:val="008C74C1"/>
    <w:rsid w:val="008E11C8"/>
    <w:rsid w:val="008E11F9"/>
    <w:rsid w:val="008E2ABE"/>
    <w:rsid w:val="008F3E78"/>
    <w:rsid w:val="008F45CA"/>
    <w:rsid w:val="008F6EB4"/>
    <w:rsid w:val="00901187"/>
    <w:rsid w:val="00906CCA"/>
    <w:rsid w:val="0091283E"/>
    <w:rsid w:val="00915E6F"/>
    <w:rsid w:val="00921109"/>
    <w:rsid w:val="00922881"/>
    <w:rsid w:val="009507BC"/>
    <w:rsid w:val="009509F3"/>
    <w:rsid w:val="00951A76"/>
    <w:rsid w:val="00971638"/>
    <w:rsid w:val="00975F17"/>
    <w:rsid w:val="00985510"/>
    <w:rsid w:val="00990236"/>
    <w:rsid w:val="00997979"/>
    <w:rsid w:val="009B6CF2"/>
    <w:rsid w:val="009B712C"/>
    <w:rsid w:val="009C51C5"/>
    <w:rsid w:val="009C5B53"/>
    <w:rsid w:val="009D032A"/>
    <w:rsid w:val="009D0357"/>
    <w:rsid w:val="009E7CF0"/>
    <w:rsid w:val="009F02EB"/>
    <w:rsid w:val="009F7D37"/>
    <w:rsid w:val="00A00A68"/>
    <w:rsid w:val="00A13E3A"/>
    <w:rsid w:val="00A2631E"/>
    <w:rsid w:val="00A321F9"/>
    <w:rsid w:val="00A36228"/>
    <w:rsid w:val="00A528F9"/>
    <w:rsid w:val="00A846A8"/>
    <w:rsid w:val="00A86777"/>
    <w:rsid w:val="00AA341C"/>
    <w:rsid w:val="00AD371B"/>
    <w:rsid w:val="00AD4E9E"/>
    <w:rsid w:val="00AD7F23"/>
    <w:rsid w:val="00B0282C"/>
    <w:rsid w:val="00B02B85"/>
    <w:rsid w:val="00B055D1"/>
    <w:rsid w:val="00B06B54"/>
    <w:rsid w:val="00B06BAE"/>
    <w:rsid w:val="00B11A60"/>
    <w:rsid w:val="00B24136"/>
    <w:rsid w:val="00B25A2B"/>
    <w:rsid w:val="00B26C68"/>
    <w:rsid w:val="00B31424"/>
    <w:rsid w:val="00B32436"/>
    <w:rsid w:val="00B40CD3"/>
    <w:rsid w:val="00B45E78"/>
    <w:rsid w:val="00B5013F"/>
    <w:rsid w:val="00B56F30"/>
    <w:rsid w:val="00B65AAF"/>
    <w:rsid w:val="00B756B8"/>
    <w:rsid w:val="00B76AE2"/>
    <w:rsid w:val="00BA6518"/>
    <w:rsid w:val="00BB1A50"/>
    <w:rsid w:val="00BD1685"/>
    <w:rsid w:val="00BD4DEB"/>
    <w:rsid w:val="00BD516C"/>
    <w:rsid w:val="00BE3CC2"/>
    <w:rsid w:val="00BF0D49"/>
    <w:rsid w:val="00BF17E1"/>
    <w:rsid w:val="00BF3B10"/>
    <w:rsid w:val="00C05E82"/>
    <w:rsid w:val="00C25ACC"/>
    <w:rsid w:val="00C27B12"/>
    <w:rsid w:val="00C40889"/>
    <w:rsid w:val="00C522BA"/>
    <w:rsid w:val="00C543B6"/>
    <w:rsid w:val="00C65A0E"/>
    <w:rsid w:val="00C720A8"/>
    <w:rsid w:val="00C74A6A"/>
    <w:rsid w:val="00C8032B"/>
    <w:rsid w:val="00C82509"/>
    <w:rsid w:val="00C87F6D"/>
    <w:rsid w:val="00CD1D09"/>
    <w:rsid w:val="00D11E3A"/>
    <w:rsid w:val="00D3451B"/>
    <w:rsid w:val="00D34E15"/>
    <w:rsid w:val="00D645A9"/>
    <w:rsid w:val="00D66ABC"/>
    <w:rsid w:val="00D86876"/>
    <w:rsid w:val="00DB39B3"/>
    <w:rsid w:val="00DC0068"/>
    <w:rsid w:val="00DC4574"/>
    <w:rsid w:val="00DD756E"/>
    <w:rsid w:val="00DE4719"/>
    <w:rsid w:val="00DF2594"/>
    <w:rsid w:val="00E0755A"/>
    <w:rsid w:val="00E17E65"/>
    <w:rsid w:val="00E27C00"/>
    <w:rsid w:val="00E34535"/>
    <w:rsid w:val="00E42454"/>
    <w:rsid w:val="00E4696D"/>
    <w:rsid w:val="00E46EBC"/>
    <w:rsid w:val="00E63D3D"/>
    <w:rsid w:val="00E65443"/>
    <w:rsid w:val="00E665DA"/>
    <w:rsid w:val="00E76268"/>
    <w:rsid w:val="00E76B62"/>
    <w:rsid w:val="00E76EE1"/>
    <w:rsid w:val="00E770D7"/>
    <w:rsid w:val="00E84B55"/>
    <w:rsid w:val="00EA0987"/>
    <w:rsid w:val="00EA4404"/>
    <w:rsid w:val="00EC5C7D"/>
    <w:rsid w:val="00ED46B6"/>
    <w:rsid w:val="00ED5214"/>
    <w:rsid w:val="00EE6817"/>
    <w:rsid w:val="00EF3640"/>
    <w:rsid w:val="00EF68AC"/>
    <w:rsid w:val="00F03ABF"/>
    <w:rsid w:val="00F255FF"/>
    <w:rsid w:val="00F2608D"/>
    <w:rsid w:val="00F330D4"/>
    <w:rsid w:val="00F36C83"/>
    <w:rsid w:val="00F42DCA"/>
    <w:rsid w:val="00F560A6"/>
    <w:rsid w:val="00F66EB6"/>
    <w:rsid w:val="00F7039E"/>
    <w:rsid w:val="00F7134F"/>
    <w:rsid w:val="00F713EC"/>
    <w:rsid w:val="00F741A7"/>
    <w:rsid w:val="00F8287A"/>
    <w:rsid w:val="00F92861"/>
    <w:rsid w:val="00F9698D"/>
    <w:rsid w:val="00F96BC1"/>
    <w:rsid w:val="00FA0DDF"/>
    <w:rsid w:val="00FB1B6F"/>
    <w:rsid w:val="00FB31DF"/>
    <w:rsid w:val="00FB5BE0"/>
    <w:rsid w:val="00FC6CE4"/>
    <w:rsid w:val="00FD2C12"/>
    <w:rsid w:val="00FD43E4"/>
    <w:rsid w:val="00FE5E27"/>
    <w:rsid w:val="00FE5E3B"/>
    <w:rsid w:val="00FF4533"/>
    <w:rsid w:val="00FF68B5"/>
    <w:rsid w:val="00FF7A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9144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B349-FC17-488E-A09B-AC76DE75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7756</Words>
  <Characters>44214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User</cp:lastModifiedBy>
  <cp:revision>2</cp:revision>
  <cp:lastPrinted>2018-02-05T13:34:00Z</cp:lastPrinted>
  <dcterms:created xsi:type="dcterms:W3CDTF">2018-02-08T10:48:00Z</dcterms:created>
  <dcterms:modified xsi:type="dcterms:W3CDTF">2018-02-08T10:48:00Z</dcterms:modified>
</cp:coreProperties>
</file>