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476" w:rsidRPr="00724959" w:rsidRDefault="003E169C" w:rsidP="006E7801">
      <w:pPr>
        <w:spacing w:after="0" w:line="240" w:lineRule="auto"/>
        <w:jc w:val="both"/>
        <w:rPr>
          <w:rFonts w:ascii="Arial" w:hAnsi="Arial" w:cs="Arial"/>
          <w:b/>
          <w:sz w:val="24"/>
          <w:szCs w:val="24"/>
        </w:rPr>
      </w:pPr>
      <w:r w:rsidRPr="00724959">
        <w:rPr>
          <w:rFonts w:ascii="Arial" w:hAnsi="Arial" w:cs="Arial"/>
          <w:noProof/>
          <w:sz w:val="24"/>
          <w:szCs w:val="24"/>
          <w:lang w:val="en-ZA" w:eastAsia="en-ZA"/>
        </w:rPr>
        <w:drawing>
          <wp:anchor distT="0" distB="0" distL="114300" distR="114300" simplePos="0" relativeHeight="251659264" behindDoc="0" locked="0" layoutInCell="1" allowOverlap="1" wp14:anchorId="579931EA" wp14:editId="2B1CC5C9">
            <wp:simplePos x="0" y="0"/>
            <wp:positionH relativeFrom="page">
              <wp:align>center</wp:align>
            </wp:positionH>
            <wp:positionV relativeFrom="margin">
              <wp:posOffset>-581025</wp:posOffset>
            </wp:positionV>
            <wp:extent cx="1428750" cy="1485900"/>
            <wp:effectExtent l="0" t="0" r="0" b="0"/>
            <wp:wrapSquare wrapText="bothSides"/>
            <wp:docPr id="2" name="Picture 1"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8" cstate="print"/>
                    <a:srcRect/>
                    <a:stretch>
                      <a:fillRect/>
                    </a:stretch>
                  </pic:blipFill>
                  <pic:spPr bwMode="auto">
                    <a:xfrm>
                      <a:off x="0" y="0"/>
                      <a:ext cx="1428750" cy="14859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A41476" w:rsidRPr="00724959" w:rsidRDefault="00A41476" w:rsidP="006E7801">
      <w:pPr>
        <w:spacing w:after="0" w:line="240" w:lineRule="auto"/>
        <w:jc w:val="both"/>
        <w:rPr>
          <w:rFonts w:ascii="Arial" w:hAnsi="Arial" w:cs="Arial"/>
          <w:b/>
          <w:sz w:val="24"/>
          <w:szCs w:val="24"/>
        </w:rPr>
      </w:pPr>
    </w:p>
    <w:p w:rsidR="00A41476" w:rsidRPr="00724959" w:rsidRDefault="00A41476" w:rsidP="006E7801">
      <w:pPr>
        <w:spacing w:after="0" w:line="240" w:lineRule="auto"/>
        <w:jc w:val="both"/>
        <w:rPr>
          <w:rFonts w:ascii="Arial" w:hAnsi="Arial" w:cs="Arial"/>
          <w:b/>
          <w:sz w:val="24"/>
          <w:szCs w:val="24"/>
        </w:rPr>
      </w:pPr>
    </w:p>
    <w:p w:rsidR="00A41476" w:rsidRPr="00724959" w:rsidRDefault="00A41476" w:rsidP="006E7801">
      <w:pPr>
        <w:spacing w:after="0" w:line="240" w:lineRule="auto"/>
        <w:jc w:val="both"/>
        <w:rPr>
          <w:rFonts w:ascii="Arial" w:hAnsi="Arial" w:cs="Arial"/>
          <w:sz w:val="24"/>
          <w:szCs w:val="24"/>
          <w:lang w:val="en-ZA"/>
        </w:rPr>
      </w:pPr>
    </w:p>
    <w:p w:rsidR="003E169C" w:rsidRDefault="003E169C" w:rsidP="006E7801">
      <w:pPr>
        <w:spacing w:after="0" w:line="360" w:lineRule="auto"/>
        <w:jc w:val="right"/>
        <w:rPr>
          <w:rFonts w:ascii="Arial" w:hAnsi="Arial" w:cs="Arial"/>
          <w:b/>
          <w:sz w:val="24"/>
          <w:szCs w:val="24"/>
          <w:lang w:val="en-ZW"/>
        </w:rPr>
      </w:pPr>
    </w:p>
    <w:p w:rsidR="003E169C" w:rsidRDefault="003E169C" w:rsidP="006E7801">
      <w:pPr>
        <w:spacing w:after="0" w:line="360" w:lineRule="auto"/>
        <w:jc w:val="right"/>
        <w:rPr>
          <w:rFonts w:ascii="Arial" w:hAnsi="Arial" w:cs="Arial"/>
          <w:b/>
          <w:sz w:val="24"/>
          <w:szCs w:val="24"/>
          <w:lang w:val="en-ZW"/>
        </w:rPr>
      </w:pPr>
    </w:p>
    <w:p w:rsidR="00A41476" w:rsidRPr="00724959" w:rsidRDefault="00A41476" w:rsidP="006E7801">
      <w:pPr>
        <w:spacing w:after="0" w:line="360" w:lineRule="auto"/>
        <w:jc w:val="right"/>
        <w:rPr>
          <w:rFonts w:ascii="Arial" w:hAnsi="Arial" w:cs="Arial"/>
          <w:b/>
          <w:sz w:val="24"/>
          <w:szCs w:val="24"/>
          <w:lang w:val="en-ZA"/>
        </w:rPr>
      </w:pPr>
      <w:r w:rsidRPr="00724959">
        <w:rPr>
          <w:rFonts w:ascii="Arial" w:hAnsi="Arial" w:cs="Arial"/>
          <w:b/>
          <w:sz w:val="24"/>
          <w:szCs w:val="24"/>
          <w:lang w:val="en-ZW"/>
        </w:rPr>
        <w:t>REPORTABLE</w:t>
      </w:r>
    </w:p>
    <w:p w:rsidR="004233D5" w:rsidRDefault="004233D5" w:rsidP="006E7801">
      <w:pPr>
        <w:spacing w:after="0" w:line="360" w:lineRule="auto"/>
        <w:jc w:val="right"/>
        <w:rPr>
          <w:rFonts w:ascii="Arial" w:hAnsi="Arial" w:cs="Arial"/>
          <w:sz w:val="24"/>
          <w:szCs w:val="24"/>
        </w:rPr>
      </w:pPr>
      <w:r>
        <w:rPr>
          <w:rFonts w:ascii="Arial" w:hAnsi="Arial" w:cs="Arial"/>
          <w:sz w:val="24"/>
          <w:szCs w:val="24"/>
          <w:lang w:val="en-ZA"/>
        </w:rPr>
        <w:t xml:space="preserve">CASE NOs. SA </w:t>
      </w:r>
      <w:r>
        <w:rPr>
          <w:rFonts w:ascii="Arial" w:hAnsi="Arial" w:cs="Arial"/>
          <w:sz w:val="24"/>
          <w:szCs w:val="24"/>
        </w:rPr>
        <w:t>46/2016</w:t>
      </w:r>
    </w:p>
    <w:p w:rsidR="00A41476" w:rsidRPr="00724959" w:rsidRDefault="004233D5" w:rsidP="006E7801">
      <w:pPr>
        <w:spacing w:after="0" w:line="360" w:lineRule="auto"/>
        <w:jc w:val="right"/>
        <w:rPr>
          <w:rFonts w:ascii="Arial" w:hAnsi="Arial" w:cs="Arial"/>
          <w:sz w:val="24"/>
          <w:szCs w:val="24"/>
          <w:lang w:val="en-ZA"/>
        </w:rPr>
      </w:pPr>
      <w:r>
        <w:rPr>
          <w:rFonts w:ascii="Arial" w:hAnsi="Arial" w:cs="Arial"/>
          <w:sz w:val="24"/>
          <w:szCs w:val="24"/>
        </w:rPr>
        <w:t>SA</w:t>
      </w:r>
      <w:r w:rsidR="00A15507">
        <w:rPr>
          <w:rFonts w:ascii="Arial" w:hAnsi="Arial" w:cs="Arial"/>
          <w:sz w:val="24"/>
          <w:szCs w:val="24"/>
        </w:rPr>
        <w:t xml:space="preserve"> 69</w:t>
      </w:r>
      <w:r>
        <w:rPr>
          <w:rFonts w:ascii="Arial" w:hAnsi="Arial" w:cs="Arial"/>
          <w:sz w:val="24"/>
          <w:szCs w:val="24"/>
        </w:rPr>
        <w:t>/</w:t>
      </w:r>
      <w:r w:rsidR="00A41476" w:rsidRPr="00724959">
        <w:rPr>
          <w:rFonts w:ascii="Arial" w:hAnsi="Arial" w:cs="Arial"/>
          <w:sz w:val="24"/>
          <w:szCs w:val="24"/>
        </w:rPr>
        <w:t>2016</w:t>
      </w:r>
    </w:p>
    <w:p w:rsidR="00A41476" w:rsidRPr="00724959" w:rsidRDefault="00A41476" w:rsidP="006E7801">
      <w:pPr>
        <w:spacing w:after="0" w:line="240" w:lineRule="auto"/>
        <w:jc w:val="both"/>
        <w:rPr>
          <w:rFonts w:ascii="Arial" w:hAnsi="Arial" w:cs="Arial"/>
          <w:b/>
          <w:sz w:val="24"/>
          <w:szCs w:val="24"/>
          <w:lang w:val="en-ZA"/>
        </w:rPr>
      </w:pPr>
      <w:r w:rsidRPr="00724959">
        <w:rPr>
          <w:rFonts w:ascii="Arial" w:hAnsi="Arial" w:cs="Arial"/>
          <w:b/>
          <w:sz w:val="24"/>
          <w:szCs w:val="24"/>
          <w:lang w:val="en-ZA"/>
        </w:rPr>
        <w:t>IN THE SUPREME COURT OF NAMIBIA</w:t>
      </w:r>
    </w:p>
    <w:p w:rsidR="00A41476" w:rsidRPr="00724959" w:rsidRDefault="00A41476" w:rsidP="006E7801">
      <w:pPr>
        <w:spacing w:after="0" w:line="240" w:lineRule="auto"/>
        <w:jc w:val="both"/>
        <w:rPr>
          <w:rFonts w:ascii="Arial" w:hAnsi="Arial" w:cs="Arial"/>
          <w:sz w:val="24"/>
          <w:szCs w:val="24"/>
          <w:lang w:val="en-ZA"/>
        </w:rPr>
      </w:pPr>
    </w:p>
    <w:p w:rsidR="00A41476" w:rsidRPr="00724959" w:rsidRDefault="00A41476" w:rsidP="006E7801">
      <w:pPr>
        <w:spacing w:after="0" w:line="240" w:lineRule="auto"/>
        <w:jc w:val="both"/>
        <w:rPr>
          <w:rFonts w:ascii="Arial" w:hAnsi="Arial" w:cs="Arial"/>
          <w:sz w:val="24"/>
          <w:szCs w:val="24"/>
          <w:lang w:val="en-ZA"/>
        </w:rPr>
      </w:pPr>
      <w:r w:rsidRPr="00724959">
        <w:rPr>
          <w:rFonts w:ascii="Arial" w:hAnsi="Arial" w:cs="Arial"/>
          <w:sz w:val="24"/>
          <w:szCs w:val="24"/>
          <w:lang w:val="en-ZA"/>
        </w:rPr>
        <w:t>In the matter between:</w:t>
      </w:r>
    </w:p>
    <w:p w:rsidR="00A41476" w:rsidRPr="00724959" w:rsidRDefault="00A41476" w:rsidP="006E7801">
      <w:pPr>
        <w:spacing w:after="0" w:line="240" w:lineRule="auto"/>
        <w:jc w:val="both"/>
        <w:rPr>
          <w:rFonts w:ascii="Arial" w:hAnsi="Arial" w:cs="Arial"/>
          <w:b/>
          <w:sz w:val="24"/>
          <w:szCs w:val="24"/>
        </w:rPr>
      </w:pPr>
    </w:p>
    <w:p w:rsidR="004233D5" w:rsidRPr="00724959" w:rsidRDefault="004233D5" w:rsidP="006E7801">
      <w:pPr>
        <w:spacing w:after="0" w:line="240" w:lineRule="auto"/>
        <w:jc w:val="both"/>
        <w:rPr>
          <w:rFonts w:ascii="Arial" w:hAnsi="Arial" w:cs="Arial"/>
          <w:b/>
          <w:sz w:val="24"/>
          <w:szCs w:val="24"/>
        </w:rPr>
      </w:pPr>
    </w:p>
    <w:p w:rsidR="00A41476" w:rsidRPr="00724959" w:rsidRDefault="00AF3980" w:rsidP="006E7801">
      <w:pPr>
        <w:spacing w:after="0" w:line="480" w:lineRule="auto"/>
        <w:jc w:val="both"/>
        <w:rPr>
          <w:rFonts w:ascii="Arial" w:hAnsi="Arial" w:cs="Arial"/>
          <w:b/>
          <w:sz w:val="24"/>
          <w:szCs w:val="24"/>
        </w:rPr>
      </w:pPr>
      <w:r>
        <w:rPr>
          <w:rFonts w:ascii="Arial" w:hAnsi="Arial" w:cs="Arial"/>
          <w:b/>
          <w:sz w:val="24"/>
          <w:szCs w:val="24"/>
        </w:rPr>
        <w:t xml:space="preserve">ELIZABETH JOHANNA BRINK N </w:t>
      </w:r>
      <w:r w:rsidR="00206EA7" w:rsidRPr="00724959">
        <w:rPr>
          <w:rFonts w:ascii="Arial" w:hAnsi="Arial" w:cs="Arial"/>
          <w:b/>
          <w:sz w:val="24"/>
          <w:szCs w:val="24"/>
        </w:rPr>
        <w:t xml:space="preserve">O </w:t>
      </w:r>
      <w:r w:rsidR="00206EA7" w:rsidRPr="00724959">
        <w:rPr>
          <w:rFonts w:ascii="Arial" w:hAnsi="Arial" w:cs="Arial"/>
          <w:b/>
          <w:sz w:val="24"/>
          <w:szCs w:val="24"/>
        </w:rPr>
        <w:tab/>
      </w:r>
      <w:r w:rsidR="00206EA7" w:rsidRPr="00724959">
        <w:rPr>
          <w:rFonts w:ascii="Arial" w:hAnsi="Arial" w:cs="Arial"/>
          <w:b/>
          <w:sz w:val="24"/>
          <w:szCs w:val="24"/>
        </w:rPr>
        <w:tab/>
      </w:r>
      <w:r w:rsidR="00206EA7" w:rsidRPr="00724959">
        <w:rPr>
          <w:rFonts w:ascii="Arial" w:hAnsi="Arial" w:cs="Arial"/>
          <w:b/>
          <w:sz w:val="24"/>
          <w:szCs w:val="24"/>
        </w:rPr>
        <w:tab/>
      </w:r>
      <w:r w:rsidR="00206EA7" w:rsidRPr="00724959">
        <w:rPr>
          <w:rFonts w:ascii="Arial" w:hAnsi="Arial" w:cs="Arial"/>
          <w:b/>
          <w:sz w:val="24"/>
          <w:szCs w:val="24"/>
        </w:rPr>
        <w:tab/>
      </w:r>
      <w:r w:rsidR="00A15507">
        <w:rPr>
          <w:rFonts w:ascii="Arial" w:hAnsi="Arial" w:cs="Arial"/>
          <w:b/>
          <w:sz w:val="24"/>
          <w:szCs w:val="24"/>
        </w:rPr>
        <w:tab/>
        <w:t xml:space="preserve">   </w:t>
      </w:r>
      <w:r w:rsidR="00A41476" w:rsidRPr="00724959">
        <w:rPr>
          <w:rFonts w:ascii="Arial" w:hAnsi="Arial" w:cs="Arial"/>
          <w:b/>
          <w:sz w:val="24"/>
          <w:szCs w:val="24"/>
        </w:rPr>
        <w:t>F</w:t>
      </w:r>
      <w:r w:rsidR="00206EA7" w:rsidRPr="00724959">
        <w:rPr>
          <w:rFonts w:ascii="Arial" w:hAnsi="Arial" w:cs="Arial"/>
          <w:b/>
          <w:sz w:val="24"/>
          <w:szCs w:val="24"/>
        </w:rPr>
        <w:t>irst</w:t>
      </w:r>
      <w:r w:rsidR="00273AD9">
        <w:rPr>
          <w:rFonts w:ascii="Arial" w:hAnsi="Arial" w:cs="Arial"/>
          <w:b/>
          <w:sz w:val="24"/>
          <w:szCs w:val="24"/>
        </w:rPr>
        <w:t xml:space="preserve"> Appellant</w:t>
      </w:r>
    </w:p>
    <w:p w:rsidR="00A41476" w:rsidRPr="00724959" w:rsidRDefault="00206EA7" w:rsidP="006E7801">
      <w:pPr>
        <w:spacing w:after="0" w:line="480" w:lineRule="auto"/>
        <w:jc w:val="both"/>
        <w:rPr>
          <w:rFonts w:ascii="Arial" w:hAnsi="Arial" w:cs="Arial"/>
          <w:b/>
          <w:sz w:val="24"/>
          <w:szCs w:val="24"/>
        </w:rPr>
      </w:pPr>
      <w:r w:rsidRPr="00724959">
        <w:rPr>
          <w:rFonts w:ascii="Arial" w:hAnsi="Arial" w:cs="Arial"/>
          <w:b/>
          <w:sz w:val="24"/>
          <w:szCs w:val="24"/>
        </w:rPr>
        <w:t xml:space="preserve">MADELENE COWLEY </w:t>
      </w:r>
      <w:r w:rsidRPr="00724959">
        <w:rPr>
          <w:rFonts w:ascii="Arial" w:hAnsi="Arial" w:cs="Arial"/>
          <w:b/>
          <w:sz w:val="24"/>
          <w:szCs w:val="24"/>
        </w:rPr>
        <w:tab/>
      </w:r>
      <w:r w:rsidRPr="00724959">
        <w:rPr>
          <w:rFonts w:ascii="Arial" w:hAnsi="Arial" w:cs="Arial"/>
          <w:b/>
          <w:sz w:val="24"/>
          <w:szCs w:val="24"/>
        </w:rPr>
        <w:tab/>
      </w:r>
      <w:r w:rsidRPr="00724959">
        <w:rPr>
          <w:rFonts w:ascii="Arial" w:hAnsi="Arial" w:cs="Arial"/>
          <w:b/>
          <w:sz w:val="24"/>
          <w:szCs w:val="24"/>
        </w:rPr>
        <w:tab/>
      </w:r>
      <w:r w:rsidRPr="00724959">
        <w:rPr>
          <w:rFonts w:ascii="Arial" w:hAnsi="Arial" w:cs="Arial"/>
          <w:b/>
          <w:sz w:val="24"/>
          <w:szCs w:val="24"/>
        </w:rPr>
        <w:tab/>
      </w:r>
      <w:r w:rsidRPr="00724959">
        <w:rPr>
          <w:rFonts w:ascii="Arial" w:hAnsi="Arial" w:cs="Arial"/>
          <w:b/>
          <w:sz w:val="24"/>
          <w:szCs w:val="24"/>
        </w:rPr>
        <w:tab/>
      </w:r>
      <w:r w:rsidRPr="00724959">
        <w:rPr>
          <w:rFonts w:ascii="Arial" w:hAnsi="Arial" w:cs="Arial"/>
          <w:b/>
          <w:sz w:val="24"/>
          <w:szCs w:val="24"/>
        </w:rPr>
        <w:tab/>
      </w:r>
      <w:r w:rsidR="00A15507">
        <w:rPr>
          <w:rFonts w:ascii="Arial" w:hAnsi="Arial" w:cs="Arial"/>
          <w:b/>
          <w:sz w:val="24"/>
          <w:szCs w:val="24"/>
        </w:rPr>
        <w:t xml:space="preserve">         </w:t>
      </w:r>
      <w:r w:rsidR="00A41476" w:rsidRPr="00724959">
        <w:rPr>
          <w:rFonts w:ascii="Arial" w:hAnsi="Arial" w:cs="Arial"/>
          <w:b/>
          <w:sz w:val="24"/>
          <w:szCs w:val="24"/>
        </w:rPr>
        <w:t>S</w:t>
      </w:r>
      <w:r w:rsidR="00A15507">
        <w:rPr>
          <w:rFonts w:ascii="Arial" w:hAnsi="Arial" w:cs="Arial"/>
          <w:b/>
          <w:sz w:val="24"/>
          <w:szCs w:val="24"/>
        </w:rPr>
        <w:t>econd Appellant</w:t>
      </w:r>
    </w:p>
    <w:p w:rsidR="00A41476" w:rsidRPr="00724959" w:rsidRDefault="00A41476" w:rsidP="006E7801">
      <w:pPr>
        <w:spacing w:after="0" w:line="360" w:lineRule="auto"/>
        <w:jc w:val="both"/>
        <w:rPr>
          <w:rFonts w:ascii="Arial" w:hAnsi="Arial" w:cs="Arial"/>
          <w:sz w:val="24"/>
          <w:szCs w:val="24"/>
        </w:rPr>
      </w:pPr>
    </w:p>
    <w:p w:rsidR="00A41476" w:rsidRPr="00724959" w:rsidRDefault="00815A90" w:rsidP="006E7801">
      <w:pPr>
        <w:spacing w:after="0" w:line="360" w:lineRule="auto"/>
        <w:jc w:val="both"/>
        <w:rPr>
          <w:rFonts w:ascii="Arial" w:hAnsi="Arial" w:cs="Arial"/>
          <w:sz w:val="24"/>
          <w:szCs w:val="24"/>
        </w:rPr>
      </w:pPr>
      <w:r w:rsidRPr="00AF3980">
        <w:rPr>
          <w:rFonts w:ascii="Arial" w:hAnsi="Arial" w:cs="Arial"/>
          <w:sz w:val="24"/>
          <w:szCs w:val="24"/>
          <w:lang w:val="en-GB"/>
        </w:rPr>
        <w:t>a</w:t>
      </w:r>
      <w:r w:rsidR="00A41476" w:rsidRPr="00AF3980">
        <w:rPr>
          <w:rFonts w:ascii="Arial" w:hAnsi="Arial" w:cs="Arial"/>
          <w:sz w:val="24"/>
          <w:szCs w:val="24"/>
          <w:lang w:val="en-GB"/>
        </w:rPr>
        <w:t xml:space="preserve">nd </w:t>
      </w:r>
    </w:p>
    <w:p w:rsidR="00A41476" w:rsidRPr="00724959" w:rsidRDefault="00A41476" w:rsidP="006E7801">
      <w:pPr>
        <w:spacing w:after="0" w:line="360" w:lineRule="auto"/>
        <w:jc w:val="both"/>
        <w:rPr>
          <w:rFonts w:ascii="Arial" w:hAnsi="Arial" w:cs="Arial"/>
          <w:sz w:val="24"/>
          <w:szCs w:val="24"/>
        </w:rPr>
      </w:pPr>
    </w:p>
    <w:p w:rsidR="00A41476" w:rsidRPr="00724959" w:rsidRDefault="00206EA7" w:rsidP="006E7801">
      <w:pPr>
        <w:spacing w:after="0" w:line="480" w:lineRule="auto"/>
        <w:jc w:val="both"/>
        <w:rPr>
          <w:rFonts w:ascii="Arial" w:hAnsi="Arial" w:cs="Arial"/>
          <w:b/>
          <w:sz w:val="24"/>
          <w:szCs w:val="24"/>
        </w:rPr>
      </w:pPr>
      <w:r w:rsidRPr="00724959">
        <w:rPr>
          <w:rFonts w:ascii="Arial" w:hAnsi="Arial" w:cs="Arial"/>
          <w:b/>
          <w:sz w:val="24"/>
          <w:szCs w:val="24"/>
        </w:rPr>
        <w:t xml:space="preserve">ERONGO ALL SURE INSURANCE CC </w:t>
      </w:r>
      <w:r w:rsidRPr="00724959">
        <w:rPr>
          <w:rFonts w:ascii="Arial" w:hAnsi="Arial" w:cs="Arial"/>
          <w:b/>
          <w:sz w:val="24"/>
          <w:szCs w:val="24"/>
        </w:rPr>
        <w:tab/>
      </w:r>
      <w:r w:rsidRPr="00724959">
        <w:rPr>
          <w:rFonts w:ascii="Arial" w:hAnsi="Arial" w:cs="Arial"/>
          <w:b/>
          <w:sz w:val="24"/>
          <w:szCs w:val="24"/>
        </w:rPr>
        <w:tab/>
      </w:r>
      <w:r w:rsidR="00A15507">
        <w:rPr>
          <w:rFonts w:ascii="Arial" w:hAnsi="Arial" w:cs="Arial"/>
          <w:b/>
          <w:sz w:val="24"/>
          <w:szCs w:val="24"/>
        </w:rPr>
        <w:tab/>
      </w:r>
      <w:r w:rsidR="00A15507">
        <w:rPr>
          <w:rFonts w:ascii="Arial" w:hAnsi="Arial" w:cs="Arial"/>
          <w:b/>
          <w:sz w:val="24"/>
          <w:szCs w:val="24"/>
        </w:rPr>
        <w:tab/>
        <w:t xml:space="preserve">          First Respondent</w:t>
      </w:r>
    </w:p>
    <w:p w:rsidR="00206EA7" w:rsidRPr="00724959" w:rsidRDefault="00206EA7" w:rsidP="006E7801">
      <w:pPr>
        <w:spacing w:after="0" w:line="480" w:lineRule="auto"/>
        <w:jc w:val="both"/>
        <w:rPr>
          <w:rFonts w:ascii="Arial" w:hAnsi="Arial" w:cs="Arial"/>
          <w:b/>
          <w:sz w:val="24"/>
          <w:szCs w:val="24"/>
        </w:rPr>
      </w:pPr>
      <w:r w:rsidRPr="00724959">
        <w:rPr>
          <w:rFonts w:ascii="Arial" w:hAnsi="Arial" w:cs="Arial"/>
          <w:b/>
          <w:sz w:val="24"/>
          <w:szCs w:val="24"/>
        </w:rPr>
        <w:t xml:space="preserve">THE MINISTER OF LANDS, </w:t>
      </w:r>
    </w:p>
    <w:p w:rsidR="00A41476" w:rsidRPr="00724959" w:rsidRDefault="00206EA7" w:rsidP="006E7801">
      <w:pPr>
        <w:spacing w:after="0" w:line="480" w:lineRule="auto"/>
        <w:jc w:val="both"/>
        <w:rPr>
          <w:rFonts w:ascii="Arial" w:hAnsi="Arial" w:cs="Arial"/>
          <w:b/>
          <w:sz w:val="24"/>
          <w:szCs w:val="24"/>
        </w:rPr>
      </w:pPr>
      <w:r w:rsidRPr="00724959">
        <w:rPr>
          <w:rFonts w:ascii="Arial" w:hAnsi="Arial" w:cs="Arial"/>
          <w:b/>
          <w:sz w:val="24"/>
          <w:szCs w:val="24"/>
        </w:rPr>
        <w:t>RESETTLEMENT AND REHABILITATION</w:t>
      </w:r>
      <w:r w:rsidR="00A15507">
        <w:rPr>
          <w:rFonts w:ascii="Arial" w:hAnsi="Arial" w:cs="Arial"/>
          <w:b/>
          <w:sz w:val="24"/>
          <w:szCs w:val="24"/>
        </w:rPr>
        <w:tab/>
      </w:r>
      <w:r w:rsidR="00A15507">
        <w:rPr>
          <w:rFonts w:ascii="Arial" w:hAnsi="Arial" w:cs="Arial"/>
          <w:b/>
          <w:sz w:val="24"/>
          <w:szCs w:val="24"/>
        </w:rPr>
        <w:tab/>
      </w:r>
      <w:r w:rsidR="00A15507">
        <w:rPr>
          <w:rFonts w:ascii="Arial" w:hAnsi="Arial" w:cs="Arial"/>
          <w:b/>
          <w:sz w:val="24"/>
          <w:szCs w:val="24"/>
        </w:rPr>
        <w:tab/>
        <w:t xml:space="preserve">     </w:t>
      </w:r>
      <w:r w:rsidRPr="00724959">
        <w:rPr>
          <w:rFonts w:ascii="Arial" w:hAnsi="Arial" w:cs="Arial"/>
          <w:b/>
          <w:sz w:val="24"/>
          <w:szCs w:val="24"/>
        </w:rPr>
        <w:t>Second Respondent</w:t>
      </w:r>
    </w:p>
    <w:p w:rsidR="00A41476" w:rsidRPr="00724959" w:rsidRDefault="00206EA7" w:rsidP="006E7801">
      <w:pPr>
        <w:spacing w:after="0" w:line="480" w:lineRule="auto"/>
        <w:jc w:val="both"/>
        <w:rPr>
          <w:rFonts w:ascii="Arial" w:hAnsi="Arial" w:cs="Arial"/>
          <w:b/>
          <w:sz w:val="24"/>
          <w:szCs w:val="24"/>
        </w:rPr>
      </w:pPr>
      <w:r w:rsidRPr="00724959">
        <w:rPr>
          <w:rFonts w:ascii="Arial" w:hAnsi="Arial" w:cs="Arial"/>
          <w:b/>
          <w:sz w:val="24"/>
          <w:szCs w:val="24"/>
        </w:rPr>
        <w:t xml:space="preserve">THE REGISTRAR OF DEEDS   </w:t>
      </w:r>
      <w:r w:rsidRPr="00724959">
        <w:rPr>
          <w:rFonts w:ascii="Arial" w:hAnsi="Arial" w:cs="Arial"/>
          <w:b/>
          <w:sz w:val="24"/>
          <w:szCs w:val="24"/>
        </w:rPr>
        <w:tab/>
      </w:r>
      <w:r w:rsidRPr="00724959">
        <w:rPr>
          <w:rFonts w:ascii="Arial" w:hAnsi="Arial" w:cs="Arial"/>
          <w:b/>
          <w:sz w:val="24"/>
          <w:szCs w:val="24"/>
        </w:rPr>
        <w:tab/>
      </w:r>
      <w:r w:rsidRPr="00724959">
        <w:rPr>
          <w:rFonts w:ascii="Arial" w:hAnsi="Arial" w:cs="Arial"/>
          <w:b/>
          <w:sz w:val="24"/>
          <w:szCs w:val="24"/>
        </w:rPr>
        <w:tab/>
      </w:r>
      <w:r w:rsidRPr="00724959">
        <w:rPr>
          <w:rFonts w:ascii="Arial" w:hAnsi="Arial" w:cs="Arial"/>
          <w:b/>
          <w:sz w:val="24"/>
          <w:szCs w:val="24"/>
        </w:rPr>
        <w:tab/>
      </w:r>
      <w:r w:rsidRPr="00724959">
        <w:rPr>
          <w:rFonts w:ascii="Arial" w:hAnsi="Arial" w:cs="Arial"/>
          <w:b/>
          <w:sz w:val="24"/>
          <w:szCs w:val="24"/>
        </w:rPr>
        <w:tab/>
      </w:r>
      <w:r w:rsidR="004458D9">
        <w:rPr>
          <w:rFonts w:ascii="Arial" w:hAnsi="Arial" w:cs="Arial"/>
          <w:b/>
          <w:sz w:val="24"/>
          <w:szCs w:val="24"/>
        </w:rPr>
        <w:t xml:space="preserve">        </w:t>
      </w:r>
      <w:r w:rsidRPr="00724959">
        <w:rPr>
          <w:rFonts w:ascii="Arial" w:hAnsi="Arial" w:cs="Arial"/>
          <w:b/>
          <w:sz w:val="24"/>
          <w:szCs w:val="24"/>
        </w:rPr>
        <w:t>Third Respondent</w:t>
      </w:r>
      <w:r w:rsidR="00A41476" w:rsidRPr="00724959">
        <w:rPr>
          <w:rFonts w:ascii="Arial" w:hAnsi="Arial" w:cs="Arial"/>
          <w:b/>
          <w:sz w:val="24"/>
          <w:szCs w:val="24"/>
        </w:rPr>
        <w:t xml:space="preserve"> </w:t>
      </w:r>
    </w:p>
    <w:p w:rsidR="00A41476" w:rsidRPr="00724959" w:rsidRDefault="00A41476" w:rsidP="006E7801">
      <w:pPr>
        <w:spacing w:after="0" w:line="360" w:lineRule="auto"/>
        <w:jc w:val="both"/>
        <w:textAlignment w:val="baseline"/>
        <w:outlineLvl w:val="4"/>
        <w:rPr>
          <w:rFonts w:ascii="Arial" w:hAnsi="Arial" w:cs="Arial"/>
          <w:sz w:val="24"/>
          <w:szCs w:val="24"/>
        </w:rPr>
      </w:pPr>
    </w:p>
    <w:p w:rsidR="00A41476" w:rsidRPr="00724959" w:rsidRDefault="00206EA7" w:rsidP="006E7801">
      <w:pPr>
        <w:spacing w:after="0" w:line="360" w:lineRule="auto"/>
        <w:jc w:val="both"/>
        <w:rPr>
          <w:rFonts w:ascii="Arial" w:hAnsi="Arial" w:cs="Arial"/>
          <w:sz w:val="24"/>
          <w:szCs w:val="24"/>
        </w:rPr>
      </w:pPr>
      <w:r w:rsidRPr="00724959">
        <w:rPr>
          <w:rFonts w:ascii="Arial" w:hAnsi="Arial" w:cs="Arial"/>
          <w:b/>
          <w:sz w:val="24"/>
          <w:szCs w:val="24"/>
        </w:rPr>
        <w:t>CORAM:</w:t>
      </w:r>
      <w:r w:rsidR="00CC41A0">
        <w:rPr>
          <w:rFonts w:ascii="Arial" w:hAnsi="Arial" w:cs="Arial"/>
          <w:sz w:val="24"/>
          <w:szCs w:val="24"/>
        </w:rPr>
        <w:tab/>
        <w:t>SHIVUTE CJ, DAMASEB DCJ and</w:t>
      </w:r>
      <w:r w:rsidRPr="00724959">
        <w:rPr>
          <w:rFonts w:ascii="Arial" w:hAnsi="Arial" w:cs="Arial"/>
          <w:sz w:val="24"/>
          <w:szCs w:val="24"/>
        </w:rPr>
        <w:t xml:space="preserve"> CHOMBA AJA </w:t>
      </w:r>
    </w:p>
    <w:p w:rsidR="00CC41A0" w:rsidRDefault="00CC41A0" w:rsidP="006E7801">
      <w:pPr>
        <w:spacing w:after="0" w:line="360" w:lineRule="auto"/>
        <w:jc w:val="both"/>
        <w:rPr>
          <w:rFonts w:ascii="Arial" w:hAnsi="Arial" w:cs="Arial"/>
          <w:b/>
          <w:sz w:val="24"/>
          <w:szCs w:val="24"/>
          <w:lang w:val="en-ZW"/>
        </w:rPr>
      </w:pPr>
    </w:p>
    <w:p w:rsidR="00A41476" w:rsidRPr="00724959" w:rsidRDefault="00A41476" w:rsidP="006E7801">
      <w:pPr>
        <w:spacing w:after="0" w:line="360" w:lineRule="auto"/>
        <w:jc w:val="both"/>
        <w:rPr>
          <w:rFonts w:ascii="Arial" w:hAnsi="Arial" w:cs="Arial"/>
          <w:b/>
          <w:sz w:val="24"/>
          <w:szCs w:val="24"/>
          <w:lang w:val="en-ZW"/>
        </w:rPr>
      </w:pPr>
      <w:r w:rsidRPr="00724959">
        <w:rPr>
          <w:rFonts w:ascii="Arial" w:hAnsi="Arial" w:cs="Arial"/>
          <w:b/>
          <w:sz w:val="24"/>
          <w:szCs w:val="24"/>
          <w:lang w:val="en-ZW"/>
        </w:rPr>
        <w:t>Heard:</w:t>
      </w:r>
      <w:r w:rsidRPr="00724959">
        <w:rPr>
          <w:rFonts w:ascii="Arial" w:hAnsi="Arial" w:cs="Arial"/>
          <w:b/>
          <w:sz w:val="24"/>
          <w:szCs w:val="24"/>
          <w:lang w:val="en-ZW"/>
        </w:rPr>
        <w:tab/>
      </w:r>
      <w:r w:rsidR="00206EA7" w:rsidRPr="00724959">
        <w:rPr>
          <w:rFonts w:ascii="Arial" w:hAnsi="Arial" w:cs="Arial"/>
          <w:b/>
          <w:sz w:val="24"/>
          <w:szCs w:val="24"/>
          <w:lang w:val="en-ZW"/>
        </w:rPr>
        <w:t>2</w:t>
      </w:r>
      <w:r w:rsidRPr="00724959">
        <w:rPr>
          <w:rFonts w:ascii="Arial" w:hAnsi="Arial" w:cs="Arial"/>
          <w:b/>
          <w:sz w:val="24"/>
          <w:szCs w:val="24"/>
          <w:lang w:val="en-ZW"/>
        </w:rPr>
        <w:t>6 March 2018</w:t>
      </w:r>
    </w:p>
    <w:p w:rsidR="00A41476" w:rsidRPr="00724959" w:rsidRDefault="00644CFA" w:rsidP="006E7801">
      <w:pPr>
        <w:spacing w:after="0" w:line="360" w:lineRule="auto"/>
        <w:jc w:val="both"/>
        <w:rPr>
          <w:rFonts w:ascii="Arial" w:hAnsi="Arial" w:cs="Arial"/>
          <w:b/>
          <w:sz w:val="24"/>
          <w:szCs w:val="24"/>
          <w:lang w:val="en-ZW"/>
        </w:rPr>
      </w:pPr>
      <w:r>
        <w:rPr>
          <w:rFonts w:ascii="Arial" w:hAnsi="Arial" w:cs="Arial"/>
          <w:b/>
          <w:sz w:val="24"/>
          <w:szCs w:val="24"/>
          <w:lang w:val="en-ZW"/>
        </w:rPr>
        <w:t>Delivered:</w:t>
      </w:r>
      <w:r>
        <w:rPr>
          <w:rFonts w:ascii="Arial" w:hAnsi="Arial" w:cs="Arial"/>
          <w:b/>
          <w:sz w:val="24"/>
          <w:szCs w:val="24"/>
          <w:lang w:val="en-ZW"/>
        </w:rPr>
        <w:tab/>
        <w:t>22</w:t>
      </w:r>
      <w:r w:rsidR="00445A7B">
        <w:rPr>
          <w:rFonts w:ascii="Arial" w:hAnsi="Arial" w:cs="Arial"/>
          <w:b/>
          <w:sz w:val="24"/>
          <w:szCs w:val="24"/>
          <w:lang w:val="en-ZW"/>
        </w:rPr>
        <w:t xml:space="preserve"> June 2018</w:t>
      </w:r>
    </w:p>
    <w:p w:rsidR="003D1485" w:rsidRPr="00724959" w:rsidRDefault="003D1485" w:rsidP="006E7801">
      <w:pPr>
        <w:spacing w:after="0"/>
        <w:rPr>
          <w:rFonts w:ascii="Arial" w:hAnsi="Arial" w:cs="Arial"/>
          <w:sz w:val="24"/>
          <w:szCs w:val="24"/>
        </w:rPr>
      </w:pPr>
    </w:p>
    <w:p w:rsidR="000E1762" w:rsidRPr="00724959" w:rsidRDefault="00254BE1" w:rsidP="006E7801">
      <w:pPr>
        <w:spacing w:after="0" w:line="360" w:lineRule="auto"/>
        <w:jc w:val="both"/>
        <w:rPr>
          <w:rFonts w:ascii="Arial" w:hAnsi="Arial" w:cs="Arial"/>
          <w:sz w:val="24"/>
          <w:szCs w:val="24"/>
        </w:rPr>
      </w:pPr>
      <w:r w:rsidRPr="00724959">
        <w:rPr>
          <w:rFonts w:ascii="Arial" w:hAnsi="Arial" w:cs="Arial"/>
          <w:b/>
          <w:sz w:val="24"/>
          <w:szCs w:val="24"/>
        </w:rPr>
        <w:t xml:space="preserve">Summary: </w:t>
      </w:r>
      <w:r w:rsidR="00726BD7">
        <w:rPr>
          <w:rFonts w:ascii="Arial" w:hAnsi="Arial" w:cs="Arial"/>
          <w:sz w:val="24"/>
          <w:szCs w:val="24"/>
        </w:rPr>
        <w:t xml:space="preserve"> </w:t>
      </w:r>
      <w:r w:rsidR="00273AD9">
        <w:rPr>
          <w:rFonts w:ascii="Arial" w:hAnsi="Arial" w:cs="Arial"/>
          <w:sz w:val="24"/>
          <w:szCs w:val="24"/>
        </w:rPr>
        <w:t>T</w:t>
      </w:r>
      <w:r w:rsidR="00726BD7">
        <w:rPr>
          <w:rFonts w:ascii="Arial" w:hAnsi="Arial" w:cs="Arial"/>
          <w:sz w:val="24"/>
          <w:szCs w:val="24"/>
        </w:rPr>
        <w:t xml:space="preserve">he </w:t>
      </w:r>
      <w:r w:rsidRPr="00724959">
        <w:rPr>
          <w:rFonts w:ascii="Arial" w:hAnsi="Arial" w:cs="Arial"/>
          <w:sz w:val="24"/>
          <w:szCs w:val="24"/>
        </w:rPr>
        <w:t>appellants</w:t>
      </w:r>
      <w:r w:rsidR="000E1762" w:rsidRPr="00724959">
        <w:rPr>
          <w:rFonts w:ascii="Arial" w:hAnsi="Arial" w:cs="Arial"/>
          <w:sz w:val="24"/>
          <w:szCs w:val="24"/>
        </w:rPr>
        <w:t xml:space="preserve"> </w:t>
      </w:r>
      <w:r w:rsidRPr="00724959">
        <w:rPr>
          <w:rFonts w:ascii="Arial" w:hAnsi="Arial" w:cs="Arial"/>
          <w:sz w:val="24"/>
          <w:szCs w:val="24"/>
        </w:rPr>
        <w:t xml:space="preserve">instituted </w:t>
      </w:r>
      <w:r w:rsidR="00701612">
        <w:rPr>
          <w:rFonts w:ascii="Arial" w:hAnsi="Arial" w:cs="Arial"/>
          <w:sz w:val="24"/>
          <w:szCs w:val="24"/>
        </w:rPr>
        <w:t xml:space="preserve">an action </w:t>
      </w:r>
      <w:r w:rsidR="00273AD9">
        <w:rPr>
          <w:rFonts w:ascii="Arial" w:hAnsi="Arial" w:cs="Arial"/>
          <w:sz w:val="24"/>
          <w:szCs w:val="24"/>
        </w:rPr>
        <w:t xml:space="preserve">in the High Court </w:t>
      </w:r>
      <w:r w:rsidR="000E1762" w:rsidRPr="00724959">
        <w:rPr>
          <w:rFonts w:ascii="Arial" w:hAnsi="Arial" w:cs="Arial"/>
          <w:sz w:val="24"/>
          <w:szCs w:val="24"/>
        </w:rPr>
        <w:t xml:space="preserve">against the respondents </w:t>
      </w:r>
      <w:r w:rsidR="00A457AA" w:rsidRPr="00724959">
        <w:rPr>
          <w:rFonts w:ascii="Arial" w:hAnsi="Arial" w:cs="Arial"/>
          <w:sz w:val="24"/>
          <w:szCs w:val="24"/>
        </w:rPr>
        <w:t>seeking an order declar</w:t>
      </w:r>
      <w:r w:rsidR="006D4264">
        <w:rPr>
          <w:rFonts w:ascii="Arial" w:hAnsi="Arial" w:cs="Arial"/>
          <w:sz w:val="24"/>
          <w:szCs w:val="24"/>
        </w:rPr>
        <w:t>ing</w:t>
      </w:r>
      <w:r w:rsidRPr="00724959">
        <w:rPr>
          <w:rFonts w:ascii="Arial" w:hAnsi="Arial" w:cs="Arial"/>
          <w:sz w:val="24"/>
          <w:szCs w:val="24"/>
        </w:rPr>
        <w:t xml:space="preserve"> </w:t>
      </w:r>
      <w:r w:rsidR="00273AD9">
        <w:rPr>
          <w:rFonts w:ascii="Arial" w:hAnsi="Arial" w:cs="Arial"/>
          <w:sz w:val="24"/>
          <w:szCs w:val="24"/>
        </w:rPr>
        <w:t xml:space="preserve">an </w:t>
      </w:r>
      <w:r w:rsidRPr="00724959">
        <w:rPr>
          <w:rFonts w:ascii="Arial" w:hAnsi="Arial" w:cs="Arial"/>
          <w:sz w:val="24"/>
          <w:szCs w:val="24"/>
        </w:rPr>
        <w:t xml:space="preserve">agreement between the late </w:t>
      </w:r>
      <w:r w:rsidR="006D4264">
        <w:rPr>
          <w:rFonts w:ascii="Arial" w:hAnsi="Arial" w:cs="Arial"/>
          <w:sz w:val="24"/>
          <w:szCs w:val="24"/>
        </w:rPr>
        <w:t xml:space="preserve">Mr </w:t>
      </w:r>
      <w:r w:rsidR="00CC41A0">
        <w:rPr>
          <w:rFonts w:ascii="Arial" w:hAnsi="Arial" w:cs="Arial"/>
          <w:sz w:val="24"/>
          <w:szCs w:val="24"/>
        </w:rPr>
        <w:t>GS Neethling (</w:t>
      </w:r>
      <w:r w:rsidRPr="00724959">
        <w:rPr>
          <w:rFonts w:ascii="Arial" w:hAnsi="Arial" w:cs="Arial"/>
          <w:sz w:val="24"/>
          <w:szCs w:val="24"/>
        </w:rPr>
        <w:t>the deceased) and the first respo</w:t>
      </w:r>
      <w:r w:rsidR="009C7530">
        <w:rPr>
          <w:rFonts w:ascii="Arial" w:hAnsi="Arial" w:cs="Arial"/>
          <w:sz w:val="24"/>
          <w:szCs w:val="24"/>
        </w:rPr>
        <w:t xml:space="preserve">ndent illegal and unenforceable. The </w:t>
      </w:r>
      <w:r w:rsidR="009C7530">
        <w:rPr>
          <w:rFonts w:ascii="Arial" w:hAnsi="Arial" w:cs="Arial"/>
          <w:sz w:val="24"/>
          <w:szCs w:val="24"/>
        </w:rPr>
        <w:lastRenderedPageBreak/>
        <w:t xml:space="preserve">appellants also sought an order cancelling the usufruct registered </w:t>
      </w:r>
      <w:r w:rsidR="006D4264">
        <w:rPr>
          <w:rFonts w:ascii="Arial" w:hAnsi="Arial" w:cs="Arial"/>
          <w:sz w:val="24"/>
          <w:szCs w:val="24"/>
        </w:rPr>
        <w:t xml:space="preserve">over the farm </w:t>
      </w:r>
      <w:r w:rsidR="009C7530">
        <w:rPr>
          <w:rFonts w:ascii="Arial" w:hAnsi="Arial" w:cs="Arial"/>
          <w:sz w:val="24"/>
          <w:szCs w:val="24"/>
        </w:rPr>
        <w:t>in favour of the first respondent</w:t>
      </w:r>
      <w:r w:rsidR="006D4264">
        <w:rPr>
          <w:rFonts w:ascii="Arial" w:hAnsi="Arial" w:cs="Arial"/>
          <w:sz w:val="24"/>
          <w:szCs w:val="24"/>
        </w:rPr>
        <w:t xml:space="preserve">. The farm is </w:t>
      </w:r>
      <w:r w:rsidR="00273AD9">
        <w:rPr>
          <w:rFonts w:ascii="Arial" w:hAnsi="Arial" w:cs="Arial"/>
          <w:sz w:val="24"/>
          <w:szCs w:val="24"/>
        </w:rPr>
        <w:t xml:space="preserve">registered in the name of the deceased </w:t>
      </w:r>
      <w:r w:rsidR="006D4264">
        <w:rPr>
          <w:rFonts w:ascii="Arial" w:hAnsi="Arial" w:cs="Arial"/>
          <w:sz w:val="24"/>
          <w:szCs w:val="24"/>
        </w:rPr>
        <w:t>but in terms of the deceased’s last will and testament, i</w:t>
      </w:r>
      <w:r w:rsidR="00273AD9">
        <w:rPr>
          <w:rFonts w:ascii="Arial" w:hAnsi="Arial" w:cs="Arial"/>
          <w:sz w:val="24"/>
          <w:szCs w:val="24"/>
        </w:rPr>
        <w:t>t is to be inherited by the second appellant</w:t>
      </w:r>
      <w:r w:rsidR="009C7530">
        <w:rPr>
          <w:rFonts w:ascii="Arial" w:hAnsi="Arial" w:cs="Arial"/>
          <w:sz w:val="24"/>
          <w:szCs w:val="24"/>
        </w:rPr>
        <w:t xml:space="preserve">. The appellants claimed </w:t>
      </w:r>
      <w:r w:rsidRPr="00724959">
        <w:rPr>
          <w:rFonts w:ascii="Arial" w:hAnsi="Arial" w:cs="Arial"/>
          <w:sz w:val="24"/>
          <w:szCs w:val="24"/>
        </w:rPr>
        <w:t xml:space="preserve">that </w:t>
      </w:r>
      <w:r w:rsidR="009C7530">
        <w:rPr>
          <w:rFonts w:ascii="Arial" w:hAnsi="Arial" w:cs="Arial"/>
          <w:sz w:val="24"/>
          <w:szCs w:val="24"/>
        </w:rPr>
        <w:t xml:space="preserve">the agreement is simulated and entered into with the intention </w:t>
      </w:r>
      <w:r w:rsidR="00D35430">
        <w:rPr>
          <w:rFonts w:ascii="Arial" w:hAnsi="Arial" w:cs="Arial"/>
          <w:sz w:val="24"/>
          <w:szCs w:val="24"/>
        </w:rPr>
        <w:t>to</w:t>
      </w:r>
      <w:r w:rsidR="009C7530">
        <w:rPr>
          <w:rFonts w:ascii="Arial" w:hAnsi="Arial" w:cs="Arial"/>
          <w:sz w:val="24"/>
          <w:szCs w:val="24"/>
        </w:rPr>
        <w:t xml:space="preserve"> </w:t>
      </w:r>
      <w:r w:rsidRPr="00724959">
        <w:rPr>
          <w:rFonts w:ascii="Arial" w:hAnsi="Arial" w:cs="Arial"/>
          <w:sz w:val="24"/>
          <w:szCs w:val="24"/>
        </w:rPr>
        <w:t>circumvent</w:t>
      </w:r>
      <w:r w:rsidR="009C7530">
        <w:rPr>
          <w:rFonts w:ascii="Arial" w:hAnsi="Arial" w:cs="Arial"/>
          <w:sz w:val="24"/>
          <w:szCs w:val="24"/>
        </w:rPr>
        <w:t xml:space="preserve"> the </w:t>
      </w:r>
      <w:r w:rsidRPr="00724959">
        <w:rPr>
          <w:rFonts w:ascii="Arial" w:hAnsi="Arial" w:cs="Arial"/>
          <w:sz w:val="24"/>
          <w:szCs w:val="24"/>
        </w:rPr>
        <w:t xml:space="preserve">provisions </w:t>
      </w:r>
      <w:r w:rsidR="009C7530">
        <w:rPr>
          <w:rFonts w:ascii="Arial" w:hAnsi="Arial" w:cs="Arial"/>
          <w:sz w:val="24"/>
          <w:szCs w:val="24"/>
        </w:rPr>
        <w:t xml:space="preserve">of the Agricultural (Commercial) </w:t>
      </w:r>
      <w:r w:rsidRPr="00724959">
        <w:rPr>
          <w:rFonts w:ascii="Arial" w:hAnsi="Arial" w:cs="Arial"/>
          <w:sz w:val="24"/>
          <w:szCs w:val="24"/>
        </w:rPr>
        <w:t>Land Reform Act 6 of 1995</w:t>
      </w:r>
      <w:r w:rsidR="000E1762" w:rsidRPr="00724959">
        <w:rPr>
          <w:rFonts w:ascii="Arial" w:hAnsi="Arial" w:cs="Arial"/>
          <w:sz w:val="24"/>
          <w:szCs w:val="24"/>
        </w:rPr>
        <w:t xml:space="preserve">. The first respondent </w:t>
      </w:r>
      <w:r w:rsidR="00286ACF">
        <w:rPr>
          <w:rFonts w:ascii="Arial" w:hAnsi="Arial" w:cs="Arial"/>
          <w:sz w:val="24"/>
          <w:szCs w:val="24"/>
        </w:rPr>
        <w:t xml:space="preserve">excepted </w:t>
      </w:r>
      <w:r w:rsidR="00817FD9">
        <w:rPr>
          <w:rFonts w:ascii="Arial" w:hAnsi="Arial" w:cs="Arial"/>
          <w:sz w:val="24"/>
          <w:szCs w:val="24"/>
        </w:rPr>
        <w:t xml:space="preserve">to </w:t>
      </w:r>
      <w:r w:rsidR="00286ACF">
        <w:rPr>
          <w:rFonts w:ascii="Arial" w:hAnsi="Arial" w:cs="Arial"/>
          <w:sz w:val="24"/>
          <w:szCs w:val="24"/>
        </w:rPr>
        <w:t>the claim o</w:t>
      </w:r>
      <w:r w:rsidR="009C7530">
        <w:rPr>
          <w:rFonts w:ascii="Arial" w:hAnsi="Arial" w:cs="Arial"/>
          <w:sz w:val="24"/>
          <w:szCs w:val="24"/>
        </w:rPr>
        <w:t>n the bas</w:t>
      </w:r>
      <w:r w:rsidR="006D4264">
        <w:rPr>
          <w:rFonts w:ascii="Arial" w:hAnsi="Arial" w:cs="Arial"/>
          <w:sz w:val="24"/>
          <w:szCs w:val="24"/>
        </w:rPr>
        <w:t>e</w:t>
      </w:r>
      <w:r w:rsidR="009C7530">
        <w:rPr>
          <w:rFonts w:ascii="Arial" w:hAnsi="Arial" w:cs="Arial"/>
          <w:sz w:val="24"/>
          <w:szCs w:val="24"/>
        </w:rPr>
        <w:t xml:space="preserve">s that </w:t>
      </w:r>
      <w:r w:rsidR="006D4264">
        <w:rPr>
          <w:rFonts w:ascii="Arial" w:hAnsi="Arial" w:cs="Arial"/>
          <w:sz w:val="24"/>
          <w:szCs w:val="24"/>
        </w:rPr>
        <w:t xml:space="preserve">the second appellant lacked standing to institute the claim and that </w:t>
      </w:r>
      <w:r w:rsidR="00D77952">
        <w:rPr>
          <w:rFonts w:ascii="Arial" w:hAnsi="Arial" w:cs="Arial"/>
          <w:sz w:val="24"/>
          <w:szCs w:val="24"/>
        </w:rPr>
        <w:t>t</w:t>
      </w:r>
      <w:r w:rsidR="006D4264">
        <w:rPr>
          <w:rFonts w:ascii="Arial" w:hAnsi="Arial" w:cs="Arial"/>
          <w:sz w:val="24"/>
          <w:szCs w:val="24"/>
        </w:rPr>
        <w:t xml:space="preserve">he claim itself </w:t>
      </w:r>
      <w:r w:rsidR="009C7530">
        <w:rPr>
          <w:rFonts w:ascii="Arial" w:hAnsi="Arial" w:cs="Arial"/>
          <w:sz w:val="24"/>
          <w:szCs w:val="24"/>
        </w:rPr>
        <w:t>lack</w:t>
      </w:r>
      <w:r w:rsidR="00817FD9">
        <w:rPr>
          <w:rFonts w:ascii="Arial" w:hAnsi="Arial" w:cs="Arial"/>
          <w:sz w:val="24"/>
          <w:szCs w:val="24"/>
        </w:rPr>
        <w:t>ed</w:t>
      </w:r>
      <w:r w:rsidR="009C7530">
        <w:rPr>
          <w:rFonts w:ascii="Arial" w:hAnsi="Arial" w:cs="Arial"/>
          <w:sz w:val="24"/>
          <w:szCs w:val="24"/>
        </w:rPr>
        <w:t xml:space="preserve"> averments necessary to sustain a cause of action. </w:t>
      </w:r>
    </w:p>
    <w:p w:rsidR="000E1762" w:rsidRPr="00724959" w:rsidRDefault="000E1762" w:rsidP="006E7801">
      <w:pPr>
        <w:spacing w:after="0" w:line="360" w:lineRule="auto"/>
        <w:jc w:val="both"/>
        <w:rPr>
          <w:rFonts w:ascii="Arial" w:hAnsi="Arial" w:cs="Arial"/>
          <w:sz w:val="24"/>
          <w:szCs w:val="24"/>
        </w:rPr>
      </w:pPr>
    </w:p>
    <w:p w:rsidR="00282946" w:rsidRPr="00724959" w:rsidRDefault="000E1762" w:rsidP="006E7801">
      <w:pPr>
        <w:spacing w:after="0" w:line="360" w:lineRule="auto"/>
        <w:jc w:val="both"/>
        <w:rPr>
          <w:rFonts w:ascii="Arial" w:hAnsi="Arial" w:cs="Arial"/>
          <w:sz w:val="24"/>
          <w:szCs w:val="24"/>
        </w:rPr>
      </w:pPr>
      <w:r w:rsidRPr="00724959">
        <w:rPr>
          <w:rFonts w:ascii="Arial" w:hAnsi="Arial" w:cs="Arial"/>
          <w:sz w:val="24"/>
          <w:szCs w:val="24"/>
        </w:rPr>
        <w:t xml:space="preserve">After hearing argument from </w:t>
      </w:r>
      <w:r w:rsidR="00D35430">
        <w:rPr>
          <w:rFonts w:ascii="Arial" w:hAnsi="Arial" w:cs="Arial"/>
          <w:sz w:val="24"/>
          <w:szCs w:val="24"/>
        </w:rPr>
        <w:t xml:space="preserve">the </w:t>
      </w:r>
      <w:r w:rsidRPr="00724959">
        <w:rPr>
          <w:rFonts w:ascii="Arial" w:hAnsi="Arial" w:cs="Arial"/>
          <w:sz w:val="24"/>
          <w:szCs w:val="24"/>
        </w:rPr>
        <w:t>parties, t</w:t>
      </w:r>
      <w:r w:rsidR="00B016F3" w:rsidRPr="00724959">
        <w:rPr>
          <w:rFonts w:ascii="Arial" w:hAnsi="Arial" w:cs="Arial"/>
          <w:sz w:val="24"/>
          <w:szCs w:val="24"/>
        </w:rPr>
        <w:t xml:space="preserve">he court </w:t>
      </w:r>
      <w:r w:rsidR="00B016F3" w:rsidRPr="0050765C">
        <w:rPr>
          <w:rFonts w:ascii="Arial" w:hAnsi="Arial" w:cs="Arial"/>
          <w:i/>
          <w:sz w:val="24"/>
          <w:szCs w:val="24"/>
        </w:rPr>
        <w:t>a quo</w:t>
      </w:r>
      <w:r w:rsidR="00B016F3" w:rsidRPr="00724959">
        <w:rPr>
          <w:rFonts w:ascii="Arial" w:hAnsi="Arial" w:cs="Arial"/>
          <w:sz w:val="24"/>
          <w:szCs w:val="24"/>
        </w:rPr>
        <w:t xml:space="preserve"> </w:t>
      </w:r>
      <w:r w:rsidR="000D3CBE" w:rsidRPr="00724959">
        <w:rPr>
          <w:rFonts w:ascii="Arial" w:hAnsi="Arial" w:cs="Arial"/>
          <w:sz w:val="24"/>
          <w:szCs w:val="24"/>
        </w:rPr>
        <w:t xml:space="preserve">upheld the exception on </w:t>
      </w:r>
      <w:r w:rsidR="009C7530">
        <w:rPr>
          <w:rFonts w:ascii="Arial" w:hAnsi="Arial" w:cs="Arial"/>
          <w:sz w:val="24"/>
          <w:szCs w:val="24"/>
        </w:rPr>
        <w:t xml:space="preserve">the </w:t>
      </w:r>
      <w:r w:rsidR="006D4264">
        <w:rPr>
          <w:rFonts w:ascii="Arial" w:hAnsi="Arial" w:cs="Arial"/>
          <w:sz w:val="24"/>
          <w:szCs w:val="24"/>
        </w:rPr>
        <w:t xml:space="preserve">basis of the two </w:t>
      </w:r>
      <w:r w:rsidR="009C7530">
        <w:rPr>
          <w:rFonts w:ascii="Arial" w:hAnsi="Arial" w:cs="Arial"/>
          <w:sz w:val="24"/>
          <w:szCs w:val="24"/>
        </w:rPr>
        <w:t>ground</w:t>
      </w:r>
      <w:r w:rsidR="006D4264">
        <w:rPr>
          <w:rFonts w:ascii="Arial" w:hAnsi="Arial" w:cs="Arial"/>
          <w:sz w:val="24"/>
          <w:szCs w:val="24"/>
        </w:rPr>
        <w:t>s</w:t>
      </w:r>
      <w:r w:rsidR="009C7530">
        <w:rPr>
          <w:rFonts w:ascii="Arial" w:hAnsi="Arial" w:cs="Arial"/>
          <w:sz w:val="24"/>
          <w:szCs w:val="24"/>
        </w:rPr>
        <w:t xml:space="preserve"> </w:t>
      </w:r>
      <w:r w:rsidR="006D4264">
        <w:rPr>
          <w:rFonts w:ascii="Arial" w:hAnsi="Arial" w:cs="Arial"/>
          <w:sz w:val="24"/>
          <w:szCs w:val="24"/>
        </w:rPr>
        <w:t>raised by the first respondent</w:t>
      </w:r>
      <w:r w:rsidR="009C7530">
        <w:rPr>
          <w:rFonts w:ascii="Arial" w:hAnsi="Arial" w:cs="Arial"/>
          <w:sz w:val="24"/>
          <w:szCs w:val="24"/>
        </w:rPr>
        <w:t xml:space="preserve">. </w:t>
      </w:r>
      <w:r w:rsidR="00282946" w:rsidRPr="00724959">
        <w:rPr>
          <w:rFonts w:ascii="Arial" w:hAnsi="Arial" w:cs="Arial"/>
          <w:sz w:val="24"/>
          <w:szCs w:val="24"/>
        </w:rPr>
        <w:t>Dis</w:t>
      </w:r>
      <w:r w:rsidR="00695984">
        <w:rPr>
          <w:rFonts w:ascii="Arial" w:hAnsi="Arial" w:cs="Arial"/>
          <w:sz w:val="24"/>
          <w:szCs w:val="24"/>
        </w:rPr>
        <w:t xml:space="preserve">satisfied with </w:t>
      </w:r>
      <w:r w:rsidR="00282946" w:rsidRPr="00724959">
        <w:rPr>
          <w:rFonts w:ascii="Arial" w:hAnsi="Arial" w:cs="Arial"/>
          <w:sz w:val="24"/>
          <w:szCs w:val="24"/>
        </w:rPr>
        <w:t>th</w:t>
      </w:r>
      <w:r w:rsidR="00D35430">
        <w:rPr>
          <w:rFonts w:ascii="Arial" w:hAnsi="Arial" w:cs="Arial"/>
          <w:sz w:val="24"/>
          <w:szCs w:val="24"/>
        </w:rPr>
        <w:t xml:space="preserve">e </w:t>
      </w:r>
      <w:r w:rsidR="00695984">
        <w:rPr>
          <w:rFonts w:ascii="Arial" w:hAnsi="Arial" w:cs="Arial"/>
          <w:sz w:val="24"/>
          <w:szCs w:val="24"/>
        </w:rPr>
        <w:t xml:space="preserve">result of their case in </w:t>
      </w:r>
      <w:r w:rsidR="00D35430">
        <w:rPr>
          <w:rFonts w:ascii="Arial" w:hAnsi="Arial" w:cs="Arial"/>
          <w:sz w:val="24"/>
          <w:szCs w:val="24"/>
        </w:rPr>
        <w:t>the High Court</w:t>
      </w:r>
      <w:r w:rsidR="009C7530">
        <w:rPr>
          <w:rFonts w:ascii="Arial" w:hAnsi="Arial" w:cs="Arial"/>
          <w:sz w:val="24"/>
          <w:szCs w:val="24"/>
        </w:rPr>
        <w:t xml:space="preserve">, </w:t>
      </w:r>
      <w:r w:rsidR="00282946" w:rsidRPr="00724959">
        <w:rPr>
          <w:rFonts w:ascii="Arial" w:hAnsi="Arial" w:cs="Arial"/>
          <w:sz w:val="24"/>
          <w:szCs w:val="24"/>
        </w:rPr>
        <w:t>the appellants a</w:t>
      </w:r>
      <w:r w:rsidR="00887DB2">
        <w:rPr>
          <w:rFonts w:ascii="Arial" w:hAnsi="Arial" w:cs="Arial"/>
          <w:sz w:val="24"/>
          <w:szCs w:val="24"/>
        </w:rPr>
        <w:t xml:space="preserve">ppealed to this court </w:t>
      </w:r>
      <w:r w:rsidR="009C7530">
        <w:rPr>
          <w:rFonts w:ascii="Arial" w:hAnsi="Arial" w:cs="Arial"/>
          <w:sz w:val="24"/>
          <w:szCs w:val="24"/>
        </w:rPr>
        <w:t>against that decision</w:t>
      </w:r>
      <w:r w:rsidR="00282946" w:rsidRPr="00724959">
        <w:rPr>
          <w:rFonts w:ascii="Arial" w:hAnsi="Arial" w:cs="Arial"/>
          <w:sz w:val="24"/>
          <w:szCs w:val="24"/>
        </w:rPr>
        <w:t>.</w:t>
      </w:r>
    </w:p>
    <w:p w:rsidR="00724959" w:rsidRDefault="00724959" w:rsidP="006E7801">
      <w:pPr>
        <w:spacing w:after="0" w:line="360" w:lineRule="auto"/>
        <w:jc w:val="both"/>
        <w:rPr>
          <w:rFonts w:ascii="Arial" w:hAnsi="Arial" w:cs="Arial"/>
          <w:sz w:val="24"/>
          <w:szCs w:val="24"/>
        </w:rPr>
      </w:pPr>
    </w:p>
    <w:p w:rsidR="00282946" w:rsidRPr="00724959" w:rsidRDefault="00C0209F" w:rsidP="006E7801">
      <w:pPr>
        <w:spacing w:after="0" w:line="360" w:lineRule="auto"/>
        <w:jc w:val="both"/>
        <w:rPr>
          <w:rFonts w:ascii="Arial" w:hAnsi="Arial" w:cs="Arial"/>
          <w:sz w:val="24"/>
          <w:szCs w:val="24"/>
        </w:rPr>
      </w:pPr>
      <w:r>
        <w:rPr>
          <w:rFonts w:ascii="Arial" w:hAnsi="Arial" w:cs="Arial"/>
          <w:sz w:val="24"/>
          <w:szCs w:val="24"/>
        </w:rPr>
        <w:t>On appeal, i</w:t>
      </w:r>
      <w:r w:rsidR="00282946" w:rsidRPr="00724959">
        <w:rPr>
          <w:rFonts w:ascii="Arial" w:hAnsi="Arial" w:cs="Arial"/>
          <w:sz w:val="24"/>
          <w:szCs w:val="24"/>
        </w:rPr>
        <w:t>t was argued on behalf of the appellants that there was no rule of law prohibit</w:t>
      </w:r>
      <w:r w:rsidR="00695984">
        <w:rPr>
          <w:rFonts w:ascii="Arial" w:hAnsi="Arial" w:cs="Arial"/>
          <w:sz w:val="24"/>
          <w:szCs w:val="24"/>
        </w:rPr>
        <w:t xml:space="preserve">ing </w:t>
      </w:r>
      <w:r w:rsidR="00282946" w:rsidRPr="00724959">
        <w:rPr>
          <w:rFonts w:ascii="Arial" w:hAnsi="Arial" w:cs="Arial"/>
          <w:sz w:val="24"/>
          <w:szCs w:val="24"/>
        </w:rPr>
        <w:t xml:space="preserve">an executrix </w:t>
      </w:r>
      <w:r w:rsidR="00695984">
        <w:rPr>
          <w:rFonts w:ascii="Arial" w:hAnsi="Arial" w:cs="Arial"/>
          <w:sz w:val="24"/>
          <w:szCs w:val="24"/>
        </w:rPr>
        <w:t xml:space="preserve">from </w:t>
      </w:r>
      <w:r w:rsidR="00282946" w:rsidRPr="00724959">
        <w:rPr>
          <w:rFonts w:ascii="Arial" w:hAnsi="Arial" w:cs="Arial"/>
          <w:sz w:val="24"/>
          <w:szCs w:val="24"/>
        </w:rPr>
        <w:t>enter</w:t>
      </w:r>
      <w:r w:rsidR="00695984">
        <w:rPr>
          <w:rFonts w:ascii="Arial" w:hAnsi="Arial" w:cs="Arial"/>
          <w:sz w:val="24"/>
          <w:szCs w:val="24"/>
        </w:rPr>
        <w:t>ing</w:t>
      </w:r>
      <w:r w:rsidR="00282946" w:rsidRPr="00724959">
        <w:rPr>
          <w:rFonts w:ascii="Arial" w:hAnsi="Arial" w:cs="Arial"/>
          <w:sz w:val="24"/>
          <w:szCs w:val="24"/>
        </w:rPr>
        <w:t xml:space="preserve"> into an agreement with a legatee </w:t>
      </w:r>
      <w:r w:rsidR="00695984">
        <w:rPr>
          <w:rFonts w:ascii="Arial" w:hAnsi="Arial" w:cs="Arial"/>
          <w:sz w:val="24"/>
          <w:szCs w:val="24"/>
        </w:rPr>
        <w:t xml:space="preserve">to </w:t>
      </w:r>
      <w:r w:rsidR="00282946" w:rsidRPr="00724959">
        <w:rPr>
          <w:rFonts w:ascii="Arial" w:hAnsi="Arial" w:cs="Arial"/>
          <w:sz w:val="24"/>
          <w:szCs w:val="24"/>
        </w:rPr>
        <w:t xml:space="preserve">institute declaratory proceedings as co-plaintiffs. The appellants </w:t>
      </w:r>
      <w:r w:rsidR="00695984">
        <w:rPr>
          <w:rFonts w:ascii="Arial" w:hAnsi="Arial" w:cs="Arial"/>
          <w:sz w:val="24"/>
          <w:szCs w:val="24"/>
        </w:rPr>
        <w:t xml:space="preserve">correctly </w:t>
      </w:r>
      <w:r w:rsidR="00282946" w:rsidRPr="00724959">
        <w:rPr>
          <w:rFonts w:ascii="Arial" w:hAnsi="Arial" w:cs="Arial"/>
          <w:sz w:val="24"/>
          <w:szCs w:val="24"/>
        </w:rPr>
        <w:t xml:space="preserve">conceded that </w:t>
      </w:r>
      <w:r w:rsidR="00695984">
        <w:rPr>
          <w:rFonts w:ascii="Arial" w:hAnsi="Arial" w:cs="Arial"/>
          <w:sz w:val="24"/>
          <w:szCs w:val="24"/>
        </w:rPr>
        <w:t xml:space="preserve">the </w:t>
      </w:r>
      <w:r w:rsidR="00AF3980">
        <w:rPr>
          <w:rFonts w:ascii="Arial" w:hAnsi="Arial" w:cs="Arial"/>
          <w:sz w:val="24"/>
          <w:szCs w:val="24"/>
        </w:rPr>
        <w:t>law authoris</w:t>
      </w:r>
      <w:r w:rsidR="00282946" w:rsidRPr="00724959">
        <w:rPr>
          <w:rFonts w:ascii="Arial" w:hAnsi="Arial" w:cs="Arial"/>
          <w:sz w:val="24"/>
          <w:szCs w:val="24"/>
        </w:rPr>
        <w:t>e</w:t>
      </w:r>
      <w:r w:rsidR="00817FD9">
        <w:rPr>
          <w:rFonts w:ascii="Arial" w:hAnsi="Arial" w:cs="Arial"/>
          <w:sz w:val="24"/>
          <w:szCs w:val="24"/>
        </w:rPr>
        <w:t>d</w:t>
      </w:r>
      <w:r w:rsidR="00282946" w:rsidRPr="00724959">
        <w:rPr>
          <w:rFonts w:ascii="Arial" w:hAnsi="Arial" w:cs="Arial"/>
          <w:sz w:val="24"/>
          <w:szCs w:val="24"/>
        </w:rPr>
        <w:t xml:space="preserve"> the executrix to act on behalf of the estate in all matters concerning the estate, including instituting legal proceedings on behalf of the estate. The appellants further argue</w:t>
      </w:r>
      <w:r w:rsidR="009923C6" w:rsidRPr="00724959">
        <w:rPr>
          <w:rFonts w:ascii="Arial" w:hAnsi="Arial" w:cs="Arial"/>
          <w:sz w:val="24"/>
          <w:szCs w:val="24"/>
        </w:rPr>
        <w:t>d that this general rule should not be applied with</w:t>
      </w:r>
      <w:r w:rsidR="00ED3FB7" w:rsidRPr="00724959">
        <w:rPr>
          <w:rFonts w:ascii="Arial" w:hAnsi="Arial" w:cs="Arial"/>
          <w:sz w:val="24"/>
          <w:szCs w:val="24"/>
        </w:rPr>
        <w:t xml:space="preserve">out considering </w:t>
      </w:r>
      <w:r w:rsidR="00695984">
        <w:rPr>
          <w:rFonts w:ascii="Arial" w:hAnsi="Arial" w:cs="Arial"/>
          <w:sz w:val="24"/>
          <w:szCs w:val="24"/>
        </w:rPr>
        <w:t>it</w:t>
      </w:r>
      <w:r w:rsidR="00ED3FB7" w:rsidRPr="00724959">
        <w:rPr>
          <w:rFonts w:ascii="Arial" w:hAnsi="Arial" w:cs="Arial"/>
          <w:sz w:val="24"/>
          <w:szCs w:val="24"/>
        </w:rPr>
        <w:t xml:space="preserve">s </w:t>
      </w:r>
      <w:r w:rsidR="00695984">
        <w:rPr>
          <w:rFonts w:ascii="Arial" w:hAnsi="Arial" w:cs="Arial"/>
          <w:sz w:val="24"/>
          <w:szCs w:val="24"/>
        </w:rPr>
        <w:t xml:space="preserve">impact on </w:t>
      </w:r>
      <w:r w:rsidR="00CC41A0">
        <w:rPr>
          <w:rFonts w:ascii="Arial" w:hAnsi="Arial" w:cs="Arial"/>
          <w:sz w:val="24"/>
          <w:szCs w:val="24"/>
        </w:rPr>
        <w:t xml:space="preserve">the </w:t>
      </w:r>
      <w:r w:rsidR="00DC233C">
        <w:rPr>
          <w:rFonts w:ascii="Arial" w:hAnsi="Arial" w:cs="Arial"/>
          <w:sz w:val="24"/>
          <w:szCs w:val="24"/>
        </w:rPr>
        <w:t xml:space="preserve">overriding principle of </w:t>
      </w:r>
      <w:r w:rsidR="00695984">
        <w:rPr>
          <w:rFonts w:ascii="Arial" w:hAnsi="Arial" w:cs="Arial"/>
          <w:sz w:val="24"/>
          <w:szCs w:val="24"/>
        </w:rPr>
        <w:t>access to just</w:t>
      </w:r>
      <w:r w:rsidR="00DC233C">
        <w:rPr>
          <w:rFonts w:ascii="Arial" w:hAnsi="Arial" w:cs="Arial"/>
          <w:sz w:val="24"/>
          <w:szCs w:val="24"/>
        </w:rPr>
        <w:t>i</w:t>
      </w:r>
      <w:r w:rsidR="00695984">
        <w:rPr>
          <w:rFonts w:ascii="Arial" w:hAnsi="Arial" w:cs="Arial"/>
          <w:sz w:val="24"/>
          <w:szCs w:val="24"/>
        </w:rPr>
        <w:t>ce</w:t>
      </w:r>
      <w:r w:rsidR="00ED3FB7" w:rsidRPr="00724959">
        <w:rPr>
          <w:rFonts w:ascii="Arial" w:hAnsi="Arial" w:cs="Arial"/>
          <w:sz w:val="24"/>
          <w:szCs w:val="24"/>
        </w:rPr>
        <w:t xml:space="preserve">. On the </w:t>
      </w:r>
      <w:r w:rsidR="00DC233C">
        <w:rPr>
          <w:rFonts w:ascii="Arial" w:hAnsi="Arial" w:cs="Arial"/>
          <w:sz w:val="24"/>
          <w:szCs w:val="24"/>
        </w:rPr>
        <w:t>other hand</w:t>
      </w:r>
      <w:r w:rsidR="00ED3FB7" w:rsidRPr="00724959">
        <w:rPr>
          <w:rFonts w:ascii="Arial" w:hAnsi="Arial" w:cs="Arial"/>
          <w:sz w:val="24"/>
          <w:szCs w:val="24"/>
        </w:rPr>
        <w:t xml:space="preserve">, the first respondent </w:t>
      </w:r>
      <w:r w:rsidR="00DC233C">
        <w:rPr>
          <w:rFonts w:ascii="Arial" w:hAnsi="Arial" w:cs="Arial"/>
          <w:sz w:val="24"/>
          <w:szCs w:val="24"/>
        </w:rPr>
        <w:t xml:space="preserve">argued </w:t>
      </w:r>
      <w:r w:rsidR="00887DB2">
        <w:rPr>
          <w:rFonts w:ascii="Arial" w:hAnsi="Arial" w:cs="Arial"/>
          <w:sz w:val="24"/>
          <w:szCs w:val="24"/>
        </w:rPr>
        <w:t xml:space="preserve">that </w:t>
      </w:r>
      <w:r w:rsidR="00ED3FB7" w:rsidRPr="00724959">
        <w:rPr>
          <w:rFonts w:ascii="Arial" w:hAnsi="Arial" w:cs="Arial"/>
          <w:sz w:val="24"/>
          <w:szCs w:val="24"/>
        </w:rPr>
        <w:t>there existed no exceptional circumstances</w:t>
      </w:r>
      <w:r w:rsidR="00887DB2">
        <w:rPr>
          <w:rFonts w:ascii="Arial" w:hAnsi="Arial" w:cs="Arial"/>
          <w:sz w:val="24"/>
          <w:szCs w:val="24"/>
        </w:rPr>
        <w:t xml:space="preserve"> in the case</w:t>
      </w:r>
      <w:r w:rsidR="00ED3FB7" w:rsidRPr="00724959">
        <w:rPr>
          <w:rFonts w:ascii="Arial" w:hAnsi="Arial" w:cs="Arial"/>
          <w:sz w:val="24"/>
          <w:szCs w:val="24"/>
        </w:rPr>
        <w:t xml:space="preserve"> </w:t>
      </w:r>
      <w:r w:rsidR="00E56FE2" w:rsidRPr="00724959">
        <w:rPr>
          <w:rFonts w:ascii="Arial" w:hAnsi="Arial" w:cs="Arial"/>
          <w:sz w:val="24"/>
          <w:szCs w:val="24"/>
        </w:rPr>
        <w:t xml:space="preserve">to warrant </w:t>
      </w:r>
      <w:r w:rsidR="00DC233C">
        <w:rPr>
          <w:rFonts w:ascii="Arial" w:hAnsi="Arial" w:cs="Arial"/>
          <w:sz w:val="24"/>
          <w:szCs w:val="24"/>
        </w:rPr>
        <w:t xml:space="preserve">granting standing to </w:t>
      </w:r>
      <w:r w:rsidR="00E56FE2" w:rsidRPr="00724959">
        <w:rPr>
          <w:rFonts w:ascii="Arial" w:hAnsi="Arial" w:cs="Arial"/>
          <w:sz w:val="24"/>
          <w:szCs w:val="24"/>
        </w:rPr>
        <w:t>the second appell</w:t>
      </w:r>
      <w:r w:rsidR="006E7801">
        <w:rPr>
          <w:rFonts w:ascii="Arial" w:hAnsi="Arial" w:cs="Arial"/>
          <w:sz w:val="24"/>
          <w:szCs w:val="24"/>
        </w:rPr>
        <w:t xml:space="preserve">ant. </w:t>
      </w:r>
      <w:r w:rsidR="00AD587D">
        <w:rPr>
          <w:rFonts w:ascii="Arial" w:hAnsi="Arial" w:cs="Arial"/>
          <w:sz w:val="24"/>
          <w:szCs w:val="24"/>
        </w:rPr>
        <w:t xml:space="preserve">The first </w:t>
      </w:r>
      <w:r w:rsidR="00887DB2">
        <w:rPr>
          <w:rFonts w:ascii="Arial" w:hAnsi="Arial" w:cs="Arial"/>
          <w:sz w:val="24"/>
          <w:szCs w:val="24"/>
        </w:rPr>
        <w:t xml:space="preserve">respondent </w:t>
      </w:r>
      <w:r w:rsidR="00AD587D">
        <w:rPr>
          <w:rFonts w:ascii="Arial" w:hAnsi="Arial" w:cs="Arial"/>
          <w:sz w:val="24"/>
          <w:szCs w:val="24"/>
        </w:rPr>
        <w:t xml:space="preserve">on the contrary </w:t>
      </w:r>
      <w:r w:rsidR="00E56FE2" w:rsidRPr="00724959">
        <w:rPr>
          <w:rFonts w:ascii="Arial" w:hAnsi="Arial" w:cs="Arial"/>
          <w:sz w:val="24"/>
          <w:szCs w:val="24"/>
        </w:rPr>
        <w:t xml:space="preserve">argued that allowing the second appellant to have </w:t>
      </w:r>
      <w:r w:rsidR="00E56FE2" w:rsidRPr="00AD587D">
        <w:rPr>
          <w:rFonts w:ascii="Arial" w:hAnsi="Arial" w:cs="Arial"/>
          <w:i/>
          <w:sz w:val="24"/>
          <w:szCs w:val="24"/>
        </w:rPr>
        <w:t>locus standi</w:t>
      </w:r>
      <w:r w:rsidR="00E56FE2" w:rsidRPr="00724959">
        <w:rPr>
          <w:rFonts w:ascii="Arial" w:hAnsi="Arial" w:cs="Arial"/>
          <w:sz w:val="24"/>
          <w:szCs w:val="24"/>
        </w:rPr>
        <w:t xml:space="preserve"> in the circumstances of the case would offend </w:t>
      </w:r>
      <w:r w:rsidR="00DC233C">
        <w:rPr>
          <w:rFonts w:ascii="Arial" w:hAnsi="Arial" w:cs="Arial"/>
          <w:sz w:val="24"/>
          <w:szCs w:val="24"/>
        </w:rPr>
        <w:t xml:space="preserve">against </w:t>
      </w:r>
      <w:r w:rsidR="00E56FE2" w:rsidRPr="00724959">
        <w:rPr>
          <w:rFonts w:ascii="Arial" w:hAnsi="Arial" w:cs="Arial"/>
          <w:sz w:val="24"/>
          <w:szCs w:val="24"/>
        </w:rPr>
        <w:t xml:space="preserve">the well-established principle and set </w:t>
      </w:r>
      <w:r w:rsidR="00817FD9">
        <w:rPr>
          <w:rFonts w:ascii="Arial" w:hAnsi="Arial" w:cs="Arial"/>
          <w:sz w:val="24"/>
          <w:szCs w:val="24"/>
        </w:rPr>
        <w:t xml:space="preserve">a </w:t>
      </w:r>
      <w:r w:rsidR="00E56FE2" w:rsidRPr="00724959">
        <w:rPr>
          <w:rFonts w:ascii="Arial" w:hAnsi="Arial" w:cs="Arial"/>
          <w:sz w:val="24"/>
          <w:szCs w:val="24"/>
        </w:rPr>
        <w:t>bad precedent. It was</w:t>
      </w:r>
      <w:r w:rsidR="00DC233C">
        <w:rPr>
          <w:rFonts w:ascii="Arial" w:hAnsi="Arial" w:cs="Arial"/>
          <w:sz w:val="24"/>
          <w:szCs w:val="24"/>
        </w:rPr>
        <w:t xml:space="preserve"> contended </w:t>
      </w:r>
      <w:r w:rsidR="00E56FE2" w:rsidRPr="00724959">
        <w:rPr>
          <w:rFonts w:ascii="Arial" w:hAnsi="Arial" w:cs="Arial"/>
          <w:sz w:val="24"/>
          <w:szCs w:val="24"/>
        </w:rPr>
        <w:t>on behalf of the first respondent</w:t>
      </w:r>
      <w:r w:rsidR="00DC233C">
        <w:rPr>
          <w:rFonts w:ascii="Arial" w:hAnsi="Arial" w:cs="Arial"/>
          <w:sz w:val="24"/>
          <w:szCs w:val="24"/>
        </w:rPr>
        <w:t>, as it was done in the High Court,</w:t>
      </w:r>
      <w:r w:rsidR="00E56FE2" w:rsidRPr="00724959">
        <w:rPr>
          <w:rFonts w:ascii="Arial" w:hAnsi="Arial" w:cs="Arial"/>
          <w:sz w:val="24"/>
          <w:szCs w:val="24"/>
        </w:rPr>
        <w:t xml:space="preserve"> that the particulars of claim lack</w:t>
      </w:r>
      <w:r w:rsidR="00DC233C">
        <w:rPr>
          <w:rFonts w:ascii="Arial" w:hAnsi="Arial" w:cs="Arial"/>
          <w:sz w:val="24"/>
          <w:szCs w:val="24"/>
        </w:rPr>
        <w:t>ed</w:t>
      </w:r>
      <w:r w:rsidR="00E56FE2" w:rsidRPr="00724959">
        <w:rPr>
          <w:rFonts w:ascii="Arial" w:hAnsi="Arial" w:cs="Arial"/>
          <w:sz w:val="24"/>
          <w:szCs w:val="24"/>
        </w:rPr>
        <w:t xml:space="preserve"> material facts to sustain a cause of action. </w:t>
      </w:r>
    </w:p>
    <w:p w:rsidR="006E7801" w:rsidRDefault="006E7801" w:rsidP="006E7801">
      <w:pPr>
        <w:spacing w:after="0" w:line="360" w:lineRule="auto"/>
        <w:jc w:val="both"/>
        <w:rPr>
          <w:rFonts w:ascii="Arial" w:hAnsi="Arial" w:cs="Arial"/>
          <w:sz w:val="24"/>
          <w:szCs w:val="24"/>
        </w:rPr>
      </w:pPr>
    </w:p>
    <w:p w:rsidR="005A559D" w:rsidRPr="00724959" w:rsidRDefault="00282946" w:rsidP="006E7801">
      <w:pPr>
        <w:spacing w:after="0" w:line="360" w:lineRule="auto"/>
        <w:jc w:val="both"/>
        <w:rPr>
          <w:rFonts w:ascii="Arial" w:hAnsi="Arial" w:cs="Arial"/>
          <w:sz w:val="24"/>
          <w:szCs w:val="24"/>
        </w:rPr>
      </w:pPr>
      <w:r w:rsidRPr="00724959">
        <w:rPr>
          <w:rFonts w:ascii="Arial" w:hAnsi="Arial" w:cs="Arial"/>
          <w:sz w:val="24"/>
          <w:szCs w:val="24"/>
        </w:rPr>
        <w:t>T</w:t>
      </w:r>
      <w:r w:rsidR="0052761B" w:rsidRPr="00724959">
        <w:rPr>
          <w:rFonts w:ascii="Arial" w:hAnsi="Arial" w:cs="Arial"/>
          <w:sz w:val="24"/>
          <w:szCs w:val="24"/>
        </w:rPr>
        <w:t>his</w:t>
      </w:r>
      <w:r w:rsidR="00AF3980">
        <w:rPr>
          <w:rFonts w:ascii="Arial" w:hAnsi="Arial" w:cs="Arial"/>
          <w:sz w:val="24"/>
          <w:szCs w:val="24"/>
        </w:rPr>
        <w:t xml:space="preserve"> c</w:t>
      </w:r>
      <w:r w:rsidRPr="00724959">
        <w:rPr>
          <w:rFonts w:ascii="Arial" w:hAnsi="Arial" w:cs="Arial"/>
          <w:sz w:val="24"/>
          <w:szCs w:val="24"/>
        </w:rPr>
        <w:t>ourt accept</w:t>
      </w:r>
      <w:r w:rsidR="00DC233C">
        <w:rPr>
          <w:rFonts w:ascii="Arial" w:hAnsi="Arial" w:cs="Arial"/>
          <w:sz w:val="24"/>
          <w:szCs w:val="24"/>
        </w:rPr>
        <w:t>ed</w:t>
      </w:r>
      <w:r w:rsidRPr="00724959">
        <w:rPr>
          <w:rFonts w:ascii="Arial" w:hAnsi="Arial" w:cs="Arial"/>
          <w:sz w:val="24"/>
          <w:szCs w:val="24"/>
        </w:rPr>
        <w:t xml:space="preserve"> </w:t>
      </w:r>
      <w:r w:rsidR="0052761B" w:rsidRPr="00724959">
        <w:rPr>
          <w:rFonts w:ascii="Arial" w:hAnsi="Arial" w:cs="Arial"/>
          <w:sz w:val="24"/>
          <w:szCs w:val="24"/>
        </w:rPr>
        <w:t xml:space="preserve">that section 13 of the Administration of Estates Act 66 of 1965 </w:t>
      </w:r>
      <w:r w:rsidR="00F2092C" w:rsidRPr="00724959">
        <w:rPr>
          <w:rFonts w:ascii="Arial" w:hAnsi="Arial" w:cs="Arial"/>
          <w:sz w:val="24"/>
          <w:szCs w:val="24"/>
        </w:rPr>
        <w:t>authori</w:t>
      </w:r>
      <w:r w:rsidR="00AF3980">
        <w:rPr>
          <w:rFonts w:ascii="Arial" w:hAnsi="Arial" w:cs="Arial"/>
          <w:sz w:val="24"/>
          <w:szCs w:val="24"/>
        </w:rPr>
        <w:t>s</w:t>
      </w:r>
      <w:r w:rsidR="00F2092C" w:rsidRPr="00724959">
        <w:rPr>
          <w:rFonts w:ascii="Arial" w:hAnsi="Arial" w:cs="Arial"/>
          <w:sz w:val="24"/>
          <w:szCs w:val="24"/>
        </w:rPr>
        <w:t xml:space="preserve">es only a person who has been granted letters of executorship by the Master </w:t>
      </w:r>
      <w:r w:rsidR="002E6CBC">
        <w:rPr>
          <w:rFonts w:ascii="Arial" w:hAnsi="Arial" w:cs="Arial"/>
          <w:sz w:val="24"/>
          <w:szCs w:val="24"/>
        </w:rPr>
        <w:t xml:space="preserve">of the High Court </w:t>
      </w:r>
      <w:r w:rsidR="00F2092C" w:rsidRPr="00724959">
        <w:rPr>
          <w:rFonts w:ascii="Arial" w:hAnsi="Arial" w:cs="Arial"/>
          <w:sz w:val="24"/>
          <w:szCs w:val="24"/>
        </w:rPr>
        <w:t>to liquidate and distribute assets of a deceased’s estate.</w:t>
      </w:r>
      <w:r w:rsidR="00726BD7" w:rsidRPr="00724959">
        <w:rPr>
          <w:rFonts w:ascii="Arial" w:hAnsi="Arial" w:cs="Arial"/>
          <w:sz w:val="24"/>
          <w:szCs w:val="24"/>
        </w:rPr>
        <w:t xml:space="preserve"> </w:t>
      </w:r>
      <w:r w:rsidR="00F2092C" w:rsidRPr="00724959">
        <w:rPr>
          <w:rFonts w:ascii="Arial" w:hAnsi="Arial" w:cs="Arial"/>
          <w:sz w:val="24"/>
          <w:szCs w:val="24"/>
        </w:rPr>
        <w:t xml:space="preserve">This provision has not been constitutionally challenged </w:t>
      </w:r>
      <w:r w:rsidR="00E56FE2" w:rsidRPr="00724959">
        <w:rPr>
          <w:rFonts w:ascii="Arial" w:hAnsi="Arial" w:cs="Arial"/>
          <w:sz w:val="24"/>
          <w:szCs w:val="24"/>
        </w:rPr>
        <w:t xml:space="preserve">and the court </w:t>
      </w:r>
      <w:r w:rsidR="00F2092C" w:rsidRPr="00724959">
        <w:rPr>
          <w:rFonts w:ascii="Arial" w:hAnsi="Arial" w:cs="Arial"/>
          <w:sz w:val="24"/>
          <w:szCs w:val="24"/>
        </w:rPr>
        <w:t xml:space="preserve">endorses that our law </w:t>
      </w:r>
      <w:r w:rsidR="003E169C">
        <w:rPr>
          <w:rFonts w:ascii="Arial" w:hAnsi="Arial" w:cs="Arial"/>
          <w:sz w:val="24"/>
          <w:szCs w:val="24"/>
        </w:rPr>
        <w:lastRenderedPageBreak/>
        <w:t>only allows the authoris</w:t>
      </w:r>
      <w:r w:rsidR="00F2092C" w:rsidRPr="00724959">
        <w:rPr>
          <w:rFonts w:ascii="Arial" w:hAnsi="Arial" w:cs="Arial"/>
          <w:sz w:val="24"/>
          <w:szCs w:val="24"/>
        </w:rPr>
        <w:t xml:space="preserve">ed executor/executrix to administer the affairs of the estate. However, there is no </w:t>
      </w:r>
      <w:r w:rsidR="00817FD9">
        <w:rPr>
          <w:rFonts w:ascii="Arial" w:hAnsi="Arial" w:cs="Arial"/>
          <w:sz w:val="24"/>
          <w:szCs w:val="24"/>
        </w:rPr>
        <w:t xml:space="preserve">rule or principle </w:t>
      </w:r>
      <w:r w:rsidR="00F2092C" w:rsidRPr="00724959">
        <w:rPr>
          <w:rFonts w:ascii="Arial" w:hAnsi="Arial" w:cs="Arial"/>
          <w:sz w:val="24"/>
          <w:szCs w:val="24"/>
        </w:rPr>
        <w:t xml:space="preserve">which prohibits an executor from joining forces with a legatee to institute legal proceedings to recover a specific asset of the estate. </w:t>
      </w:r>
    </w:p>
    <w:p w:rsidR="00163E41" w:rsidRPr="00724959" w:rsidRDefault="00163E41" w:rsidP="006E7801">
      <w:pPr>
        <w:spacing w:after="0" w:line="360" w:lineRule="auto"/>
        <w:jc w:val="both"/>
        <w:rPr>
          <w:rFonts w:ascii="Arial" w:hAnsi="Arial" w:cs="Arial"/>
          <w:sz w:val="24"/>
          <w:szCs w:val="24"/>
        </w:rPr>
      </w:pPr>
    </w:p>
    <w:p w:rsidR="00D80563" w:rsidRPr="00724959" w:rsidRDefault="00F2092C" w:rsidP="006E7801">
      <w:pPr>
        <w:spacing w:after="0" w:line="360" w:lineRule="auto"/>
        <w:jc w:val="both"/>
        <w:rPr>
          <w:rFonts w:ascii="Arial" w:hAnsi="Arial" w:cs="Arial"/>
          <w:sz w:val="24"/>
          <w:szCs w:val="24"/>
        </w:rPr>
      </w:pPr>
      <w:r w:rsidRPr="00724959">
        <w:rPr>
          <w:rFonts w:ascii="Arial" w:hAnsi="Arial" w:cs="Arial"/>
          <w:sz w:val="24"/>
          <w:szCs w:val="24"/>
        </w:rPr>
        <w:t xml:space="preserve">This </w:t>
      </w:r>
      <w:r w:rsidR="00AF3980">
        <w:rPr>
          <w:rFonts w:ascii="Arial" w:hAnsi="Arial" w:cs="Arial"/>
          <w:sz w:val="24"/>
          <w:szCs w:val="24"/>
        </w:rPr>
        <w:t>c</w:t>
      </w:r>
      <w:r w:rsidRPr="00724959">
        <w:rPr>
          <w:rFonts w:ascii="Arial" w:hAnsi="Arial" w:cs="Arial"/>
          <w:sz w:val="24"/>
          <w:szCs w:val="24"/>
        </w:rPr>
        <w:t>ourt found that it is trite law that on</w:t>
      </w:r>
      <w:r w:rsidR="00A33E5C">
        <w:rPr>
          <w:rFonts w:ascii="Arial" w:hAnsi="Arial" w:cs="Arial"/>
          <w:sz w:val="24"/>
          <w:szCs w:val="24"/>
        </w:rPr>
        <w:t xml:space="preserve">ly </w:t>
      </w:r>
      <w:r w:rsidR="00AF3980">
        <w:rPr>
          <w:rFonts w:ascii="Arial" w:hAnsi="Arial" w:cs="Arial"/>
          <w:sz w:val="24"/>
          <w:szCs w:val="24"/>
        </w:rPr>
        <w:t>the executor is legally recognis</w:t>
      </w:r>
      <w:r w:rsidR="00D80563" w:rsidRPr="00724959">
        <w:rPr>
          <w:rFonts w:ascii="Arial" w:hAnsi="Arial" w:cs="Arial"/>
          <w:sz w:val="24"/>
          <w:szCs w:val="24"/>
        </w:rPr>
        <w:t>ed as the person to represent the estate of the deceased and that no legal proceedings can be instituted against a deceased’s estate, or for the recovery of, or laying claim to, any assets belonging to such estate without joining the executor of the estate as a party to the suit. However,</w:t>
      </w:r>
      <w:r w:rsidR="00A33E5C">
        <w:rPr>
          <w:rFonts w:ascii="Arial" w:hAnsi="Arial" w:cs="Arial"/>
          <w:sz w:val="24"/>
          <w:szCs w:val="24"/>
        </w:rPr>
        <w:t xml:space="preserve"> this rule is not absolute and there </w:t>
      </w:r>
      <w:r w:rsidR="00D80563" w:rsidRPr="00724959">
        <w:rPr>
          <w:rFonts w:ascii="Arial" w:hAnsi="Arial" w:cs="Arial"/>
          <w:sz w:val="24"/>
          <w:szCs w:val="24"/>
        </w:rPr>
        <w:t xml:space="preserve">exist exceptions to it. </w:t>
      </w:r>
    </w:p>
    <w:p w:rsidR="00D80563" w:rsidRPr="00724959" w:rsidRDefault="00D80563" w:rsidP="006E7801">
      <w:pPr>
        <w:spacing w:after="0" w:line="360" w:lineRule="auto"/>
        <w:jc w:val="both"/>
        <w:rPr>
          <w:rFonts w:ascii="Arial" w:hAnsi="Arial" w:cs="Arial"/>
          <w:sz w:val="24"/>
          <w:szCs w:val="24"/>
        </w:rPr>
      </w:pPr>
    </w:p>
    <w:p w:rsidR="006B4796" w:rsidRPr="00724959" w:rsidRDefault="00E56FE2" w:rsidP="006E7801">
      <w:pPr>
        <w:spacing w:after="0" w:line="360" w:lineRule="auto"/>
        <w:jc w:val="both"/>
        <w:rPr>
          <w:rFonts w:ascii="Arial" w:hAnsi="Arial" w:cs="Arial"/>
          <w:sz w:val="24"/>
          <w:szCs w:val="24"/>
        </w:rPr>
      </w:pPr>
      <w:r w:rsidRPr="00724959">
        <w:rPr>
          <w:rFonts w:ascii="Arial" w:hAnsi="Arial" w:cs="Arial"/>
          <w:sz w:val="24"/>
          <w:szCs w:val="24"/>
        </w:rPr>
        <w:t>Th</w:t>
      </w:r>
      <w:r w:rsidR="00AF3980">
        <w:rPr>
          <w:rFonts w:ascii="Arial" w:hAnsi="Arial" w:cs="Arial"/>
          <w:sz w:val="24"/>
          <w:szCs w:val="24"/>
        </w:rPr>
        <w:t>is c</w:t>
      </w:r>
      <w:r w:rsidR="00B97CAB">
        <w:rPr>
          <w:rFonts w:ascii="Arial" w:hAnsi="Arial" w:cs="Arial"/>
          <w:sz w:val="24"/>
          <w:szCs w:val="24"/>
        </w:rPr>
        <w:t>ourt held</w:t>
      </w:r>
      <w:r w:rsidR="00D80563" w:rsidRPr="00724959">
        <w:rPr>
          <w:rFonts w:ascii="Arial" w:hAnsi="Arial" w:cs="Arial"/>
          <w:sz w:val="24"/>
          <w:szCs w:val="24"/>
        </w:rPr>
        <w:t xml:space="preserve"> that the circums</w:t>
      </w:r>
      <w:r w:rsidRPr="00724959">
        <w:rPr>
          <w:rFonts w:ascii="Arial" w:hAnsi="Arial" w:cs="Arial"/>
          <w:sz w:val="24"/>
          <w:szCs w:val="24"/>
        </w:rPr>
        <w:t>tances of the present case are</w:t>
      </w:r>
      <w:r w:rsidR="00D80563" w:rsidRPr="00724959">
        <w:rPr>
          <w:rFonts w:ascii="Arial" w:hAnsi="Arial" w:cs="Arial"/>
          <w:sz w:val="24"/>
          <w:szCs w:val="24"/>
        </w:rPr>
        <w:t xml:space="preserve"> </w:t>
      </w:r>
      <w:r w:rsidRPr="00724959">
        <w:rPr>
          <w:rFonts w:ascii="Arial" w:hAnsi="Arial" w:cs="Arial"/>
          <w:sz w:val="24"/>
          <w:szCs w:val="24"/>
        </w:rPr>
        <w:t>exceptional in that the executrix</w:t>
      </w:r>
      <w:r w:rsidR="00A33E5C">
        <w:rPr>
          <w:rFonts w:ascii="Arial" w:hAnsi="Arial" w:cs="Arial"/>
          <w:sz w:val="24"/>
          <w:szCs w:val="24"/>
        </w:rPr>
        <w:t xml:space="preserve"> </w:t>
      </w:r>
      <w:r w:rsidR="00FA61A5">
        <w:rPr>
          <w:rFonts w:ascii="Arial" w:hAnsi="Arial" w:cs="Arial"/>
          <w:sz w:val="24"/>
          <w:szCs w:val="24"/>
        </w:rPr>
        <w:t xml:space="preserve">and the legatee </w:t>
      </w:r>
      <w:r w:rsidR="00D80563" w:rsidRPr="00724959">
        <w:rPr>
          <w:rFonts w:ascii="Arial" w:hAnsi="Arial" w:cs="Arial"/>
          <w:sz w:val="24"/>
          <w:szCs w:val="24"/>
        </w:rPr>
        <w:t xml:space="preserve">joined forces in the action to </w:t>
      </w:r>
      <w:r w:rsidR="00B55641" w:rsidRPr="008E3DF2">
        <w:rPr>
          <w:rFonts w:ascii="Arial" w:hAnsi="Arial" w:cs="Arial"/>
          <w:sz w:val="24"/>
          <w:szCs w:val="24"/>
        </w:rPr>
        <w:t>assert the</w:t>
      </w:r>
      <w:r w:rsidR="00CE54EF" w:rsidRPr="008E3DF2">
        <w:rPr>
          <w:rFonts w:ascii="Arial" w:hAnsi="Arial" w:cs="Arial"/>
          <w:sz w:val="24"/>
          <w:szCs w:val="24"/>
        </w:rPr>
        <w:t xml:space="preserve"> legatee’s </w:t>
      </w:r>
      <w:r w:rsidR="00B55641" w:rsidRPr="008E3DF2">
        <w:rPr>
          <w:rFonts w:ascii="Arial" w:hAnsi="Arial" w:cs="Arial"/>
          <w:sz w:val="24"/>
          <w:szCs w:val="24"/>
        </w:rPr>
        <w:t>constitutionally entrenched right of access to court</w:t>
      </w:r>
      <w:r w:rsidR="008E3DF2">
        <w:rPr>
          <w:rFonts w:ascii="Arial" w:hAnsi="Arial" w:cs="Arial"/>
          <w:sz w:val="24"/>
          <w:szCs w:val="24"/>
        </w:rPr>
        <w:t xml:space="preserve">. This is different from </w:t>
      </w:r>
      <w:r w:rsidR="00FA61A5">
        <w:rPr>
          <w:rFonts w:ascii="Arial" w:hAnsi="Arial" w:cs="Arial"/>
          <w:sz w:val="24"/>
          <w:szCs w:val="24"/>
        </w:rPr>
        <w:t xml:space="preserve">a situation where an heir or legatee </w:t>
      </w:r>
      <w:r w:rsidR="008E3DF2">
        <w:rPr>
          <w:rFonts w:ascii="Arial" w:hAnsi="Arial" w:cs="Arial"/>
          <w:sz w:val="24"/>
          <w:szCs w:val="24"/>
        </w:rPr>
        <w:t>‘</w:t>
      </w:r>
      <w:r w:rsidR="00FA61A5" w:rsidRPr="008E3DF2">
        <w:rPr>
          <w:rFonts w:ascii="Arial" w:hAnsi="Arial" w:cs="Arial"/>
          <w:sz w:val="24"/>
          <w:szCs w:val="24"/>
        </w:rPr>
        <w:t>go</w:t>
      </w:r>
      <w:r w:rsidR="0084133D" w:rsidRPr="008E3DF2">
        <w:rPr>
          <w:rFonts w:ascii="Arial" w:hAnsi="Arial" w:cs="Arial"/>
          <w:sz w:val="24"/>
          <w:szCs w:val="24"/>
        </w:rPr>
        <w:t>es</w:t>
      </w:r>
      <w:r w:rsidR="00FA61A5" w:rsidRPr="008E3DF2">
        <w:rPr>
          <w:rFonts w:ascii="Arial" w:hAnsi="Arial" w:cs="Arial"/>
          <w:sz w:val="24"/>
          <w:szCs w:val="24"/>
        </w:rPr>
        <w:t xml:space="preserve"> on</w:t>
      </w:r>
      <w:r w:rsidR="00F02819" w:rsidRPr="008E3DF2">
        <w:rPr>
          <w:rFonts w:ascii="Arial" w:hAnsi="Arial" w:cs="Arial"/>
          <w:sz w:val="24"/>
          <w:szCs w:val="24"/>
        </w:rPr>
        <w:t xml:space="preserve"> a</w:t>
      </w:r>
      <w:r w:rsidR="00FA61A5" w:rsidRPr="008E3DF2">
        <w:rPr>
          <w:rFonts w:ascii="Arial" w:hAnsi="Arial" w:cs="Arial"/>
          <w:sz w:val="24"/>
          <w:szCs w:val="24"/>
        </w:rPr>
        <w:t xml:space="preserve"> f</w:t>
      </w:r>
      <w:r w:rsidR="00B55641" w:rsidRPr="008E3DF2">
        <w:rPr>
          <w:rFonts w:ascii="Arial" w:hAnsi="Arial" w:cs="Arial"/>
          <w:sz w:val="24"/>
          <w:szCs w:val="24"/>
        </w:rPr>
        <w:t>r</w:t>
      </w:r>
      <w:r w:rsidR="00FA61A5" w:rsidRPr="008E3DF2">
        <w:rPr>
          <w:rFonts w:ascii="Arial" w:hAnsi="Arial" w:cs="Arial"/>
          <w:sz w:val="24"/>
          <w:szCs w:val="24"/>
        </w:rPr>
        <w:t>o</w:t>
      </w:r>
      <w:r w:rsidR="00B55641" w:rsidRPr="008E3DF2">
        <w:rPr>
          <w:rFonts w:ascii="Arial" w:hAnsi="Arial" w:cs="Arial"/>
          <w:sz w:val="24"/>
          <w:szCs w:val="24"/>
        </w:rPr>
        <w:t>l</w:t>
      </w:r>
      <w:r w:rsidR="00FA61A5" w:rsidRPr="008E3DF2">
        <w:rPr>
          <w:rFonts w:ascii="Arial" w:hAnsi="Arial" w:cs="Arial"/>
          <w:sz w:val="24"/>
          <w:szCs w:val="24"/>
        </w:rPr>
        <w:t>ic of his or her own</w:t>
      </w:r>
      <w:r w:rsidR="008E3DF2">
        <w:rPr>
          <w:rFonts w:ascii="Arial" w:hAnsi="Arial" w:cs="Arial"/>
          <w:sz w:val="24"/>
          <w:szCs w:val="24"/>
        </w:rPr>
        <w:t>’</w:t>
      </w:r>
      <w:r w:rsidR="00FA61A5" w:rsidRPr="008E3DF2">
        <w:rPr>
          <w:rFonts w:ascii="Arial" w:hAnsi="Arial" w:cs="Arial"/>
          <w:sz w:val="24"/>
          <w:szCs w:val="24"/>
        </w:rPr>
        <w:t xml:space="preserve"> </w:t>
      </w:r>
      <w:r w:rsidR="0084133D" w:rsidRPr="008E3DF2">
        <w:rPr>
          <w:rFonts w:ascii="Arial" w:hAnsi="Arial" w:cs="Arial"/>
          <w:sz w:val="24"/>
          <w:szCs w:val="24"/>
        </w:rPr>
        <w:t>and institutes proceedings to vindicate an asset of the estate without the consent and/or cooperation of the executor</w:t>
      </w:r>
      <w:r w:rsidR="0084133D" w:rsidRPr="003C449C">
        <w:rPr>
          <w:rFonts w:ascii="Arial" w:hAnsi="Arial" w:cs="Arial"/>
          <w:sz w:val="24"/>
          <w:szCs w:val="24"/>
        </w:rPr>
        <w:t>.</w:t>
      </w:r>
      <w:r w:rsidR="003C449C" w:rsidRPr="003C449C">
        <w:rPr>
          <w:rFonts w:ascii="Arial" w:hAnsi="Arial" w:cs="Arial"/>
          <w:sz w:val="24"/>
          <w:szCs w:val="24"/>
        </w:rPr>
        <w:t xml:space="preserve"> </w:t>
      </w:r>
      <w:r w:rsidR="006B4796" w:rsidRPr="00724959">
        <w:rPr>
          <w:rFonts w:ascii="Arial" w:hAnsi="Arial" w:cs="Arial"/>
          <w:sz w:val="24"/>
          <w:szCs w:val="24"/>
        </w:rPr>
        <w:t xml:space="preserve">The </w:t>
      </w:r>
      <w:r w:rsidR="00DC233C">
        <w:rPr>
          <w:rFonts w:ascii="Arial" w:hAnsi="Arial" w:cs="Arial"/>
          <w:sz w:val="24"/>
          <w:szCs w:val="24"/>
        </w:rPr>
        <w:t xml:space="preserve">court held further that it would be in the interests of justice to allow the legatee </w:t>
      </w:r>
      <w:r w:rsidR="0084133D">
        <w:rPr>
          <w:rFonts w:ascii="Arial" w:hAnsi="Arial" w:cs="Arial"/>
          <w:sz w:val="24"/>
          <w:szCs w:val="24"/>
        </w:rPr>
        <w:t xml:space="preserve">in the present case </w:t>
      </w:r>
      <w:r w:rsidR="006B4796" w:rsidRPr="00724959">
        <w:rPr>
          <w:rFonts w:ascii="Arial" w:hAnsi="Arial" w:cs="Arial"/>
          <w:sz w:val="24"/>
          <w:szCs w:val="24"/>
        </w:rPr>
        <w:t xml:space="preserve">to participate in the proceedings and </w:t>
      </w:r>
      <w:r w:rsidR="00817FD9">
        <w:rPr>
          <w:rFonts w:ascii="Arial" w:hAnsi="Arial" w:cs="Arial"/>
          <w:sz w:val="24"/>
          <w:szCs w:val="24"/>
        </w:rPr>
        <w:t xml:space="preserve">to </w:t>
      </w:r>
      <w:r w:rsidR="006B4796" w:rsidRPr="00724959">
        <w:rPr>
          <w:rFonts w:ascii="Arial" w:hAnsi="Arial" w:cs="Arial"/>
          <w:sz w:val="24"/>
          <w:szCs w:val="24"/>
        </w:rPr>
        <w:t>assist the court in making an informed decision</w:t>
      </w:r>
      <w:r w:rsidR="00DC233C">
        <w:rPr>
          <w:rFonts w:ascii="Arial" w:hAnsi="Arial" w:cs="Arial"/>
          <w:sz w:val="24"/>
          <w:szCs w:val="24"/>
        </w:rPr>
        <w:t xml:space="preserve"> on the matter before it.</w:t>
      </w:r>
      <w:r w:rsidR="006B4796" w:rsidRPr="00724959">
        <w:rPr>
          <w:rFonts w:ascii="Arial" w:hAnsi="Arial" w:cs="Arial"/>
          <w:sz w:val="24"/>
          <w:szCs w:val="24"/>
        </w:rPr>
        <w:t xml:space="preserve"> </w:t>
      </w:r>
      <w:r w:rsidR="00627D06" w:rsidRPr="008E3DF2">
        <w:rPr>
          <w:rFonts w:ascii="Arial" w:hAnsi="Arial" w:cs="Arial"/>
          <w:sz w:val="24"/>
          <w:szCs w:val="24"/>
        </w:rPr>
        <w:t>Additionally</w:t>
      </w:r>
      <w:r w:rsidR="00817FD9" w:rsidRPr="008E3DF2">
        <w:rPr>
          <w:rFonts w:ascii="Arial" w:hAnsi="Arial" w:cs="Arial"/>
          <w:sz w:val="24"/>
          <w:szCs w:val="24"/>
        </w:rPr>
        <w:t>,</w:t>
      </w:r>
      <w:r w:rsidR="00627D06" w:rsidRPr="008E3DF2">
        <w:rPr>
          <w:rFonts w:ascii="Arial" w:hAnsi="Arial" w:cs="Arial"/>
          <w:sz w:val="24"/>
          <w:szCs w:val="24"/>
        </w:rPr>
        <w:t xml:space="preserve"> the </w:t>
      </w:r>
      <w:r w:rsidR="00DC233C" w:rsidRPr="008E3DF2">
        <w:rPr>
          <w:rFonts w:ascii="Arial" w:hAnsi="Arial" w:cs="Arial"/>
          <w:sz w:val="24"/>
          <w:szCs w:val="24"/>
        </w:rPr>
        <w:t xml:space="preserve">court held that the </w:t>
      </w:r>
      <w:r w:rsidR="00627D06" w:rsidRPr="008E3DF2">
        <w:rPr>
          <w:rFonts w:ascii="Arial" w:hAnsi="Arial" w:cs="Arial"/>
          <w:sz w:val="24"/>
          <w:szCs w:val="24"/>
        </w:rPr>
        <w:t xml:space="preserve">rule </w:t>
      </w:r>
      <w:r w:rsidR="00DC233C" w:rsidRPr="008E3DF2">
        <w:rPr>
          <w:rFonts w:ascii="Arial" w:hAnsi="Arial" w:cs="Arial"/>
          <w:sz w:val="24"/>
          <w:szCs w:val="24"/>
        </w:rPr>
        <w:t xml:space="preserve">that only the executor </w:t>
      </w:r>
      <w:r w:rsidR="006B4796" w:rsidRPr="008E3DF2">
        <w:rPr>
          <w:rFonts w:ascii="Arial" w:hAnsi="Arial" w:cs="Arial"/>
          <w:sz w:val="24"/>
          <w:szCs w:val="24"/>
        </w:rPr>
        <w:t xml:space="preserve">was </w:t>
      </w:r>
      <w:r w:rsidR="00C52E71">
        <w:rPr>
          <w:rFonts w:ascii="Arial" w:hAnsi="Arial" w:cs="Arial"/>
          <w:sz w:val="24"/>
          <w:szCs w:val="24"/>
        </w:rPr>
        <w:t>authoris</w:t>
      </w:r>
      <w:r w:rsidR="00B55641" w:rsidRPr="008E3DF2">
        <w:rPr>
          <w:rFonts w:ascii="Arial" w:hAnsi="Arial" w:cs="Arial"/>
          <w:sz w:val="24"/>
          <w:szCs w:val="24"/>
        </w:rPr>
        <w:t xml:space="preserve">ed to liquidate and distribute a deceased’s estate was </w:t>
      </w:r>
      <w:r w:rsidR="006B4796" w:rsidRPr="008E3DF2">
        <w:rPr>
          <w:rFonts w:ascii="Arial" w:hAnsi="Arial" w:cs="Arial"/>
          <w:sz w:val="24"/>
          <w:szCs w:val="24"/>
        </w:rPr>
        <w:t>formulated to protect vulnerable heirs and to avoid duplication of suits by heirs in circumstances where there are conflicts between the executor and heirs.</w:t>
      </w:r>
    </w:p>
    <w:p w:rsidR="00627D06" w:rsidRPr="00724959" w:rsidRDefault="00627D06" w:rsidP="006E7801">
      <w:pPr>
        <w:spacing w:after="0" w:line="360" w:lineRule="auto"/>
        <w:jc w:val="both"/>
        <w:rPr>
          <w:rFonts w:ascii="Arial" w:hAnsi="Arial" w:cs="Arial"/>
          <w:sz w:val="24"/>
          <w:szCs w:val="24"/>
        </w:rPr>
      </w:pPr>
    </w:p>
    <w:p w:rsidR="00D80563" w:rsidRPr="00724959" w:rsidRDefault="006B4796" w:rsidP="006E7801">
      <w:pPr>
        <w:spacing w:after="0" w:line="360" w:lineRule="auto"/>
        <w:jc w:val="both"/>
        <w:rPr>
          <w:rFonts w:ascii="Arial" w:hAnsi="Arial" w:cs="Arial"/>
          <w:sz w:val="24"/>
          <w:szCs w:val="24"/>
        </w:rPr>
      </w:pPr>
      <w:r w:rsidRPr="00724959">
        <w:rPr>
          <w:rFonts w:ascii="Arial" w:hAnsi="Arial" w:cs="Arial"/>
          <w:sz w:val="24"/>
          <w:szCs w:val="24"/>
        </w:rPr>
        <w:t xml:space="preserve">For policy considerations, particularly in our constitutional dispensation, the right </w:t>
      </w:r>
      <w:r w:rsidR="00817FD9">
        <w:rPr>
          <w:rFonts w:ascii="Arial" w:hAnsi="Arial" w:cs="Arial"/>
          <w:sz w:val="24"/>
          <w:szCs w:val="24"/>
        </w:rPr>
        <w:t xml:space="preserve">of </w:t>
      </w:r>
      <w:r w:rsidRPr="00724959">
        <w:rPr>
          <w:rFonts w:ascii="Arial" w:hAnsi="Arial" w:cs="Arial"/>
          <w:sz w:val="24"/>
          <w:szCs w:val="24"/>
        </w:rPr>
        <w:t>access to justice should be enforced by allow</w:t>
      </w:r>
      <w:r w:rsidR="00817FD9">
        <w:rPr>
          <w:rFonts w:ascii="Arial" w:hAnsi="Arial" w:cs="Arial"/>
          <w:sz w:val="24"/>
          <w:szCs w:val="24"/>
        </w:rPr>
        <w:t>ing</w:t>
      </w:r>
      <w:r w:rsidRPr="00724959">
        <w:rPr>
          <w:rFonts w:ascii="Arial" w:hAnsi="Arial" w:cs="Arial"/>
          <w:sz w:val="24"/>
          <w:szCs w:val="24"/>
        </w:rPr>
        <w:t xml:space="preserve"> members of the society to access courts of law to assert their rights when there is an apprehension of infringement of such rights. The first respondent did not allege or show that </w:t>
      </w:r>
      <w:r w:rsidR="0084133D">
        <w:rPr>
          <w:rFonts w:ascii="Arial" w:hAnsi="Arial" w:cs="Arial"/>
          <w:sz w:val="24"/>
          <w:szCs w:val="24"/>
        </w:rPr>
        <w:t xml:space="preserve">it </w:t>
      </w:r>
      <w:r w:rsidRPr="00724959">
        <w:rPr>
          <w:rFonts w:ascii="Arial" w:hAnsi="Arial" w:cs="Arial"/>
          <w:sz w:val="24"/>
          <w:szCs w:val="24"/>
        </w:rPr>
        <w:t>w</w:t>
      </w:r>
      <w:r w:rsidR="0084133D">
        <w:rPr>
          <w:rFonts w:ascii="Arial" w:hAnsi="Arial" w:cs="Arial"/>
          <w:sz w:val="24"/>
          <w:szCs w:val="24"/>
        </w:rPr>
        <w:t xml:space="preserve">ould </w:t>
      </w:r>
      <w:r w:rsidRPr="00724959">
        <w:rPr>
          <w:rFonts w:ascii="Arial" w:hAnsi="Arial" w:cs="Arial"/>
          <w:sz w:val="24"/>
          <w:szCs w:val="24"/>
        </w:rPr>
        <w:t xml:space="preserve">suffer prejudice should the second appellant be permitted to participate in the proceedings. Hence, the </w:t>
      </w:r>
      <w:r w:rsidR="005370AB">
        <w:rPr>
          <w:rFonts w:ascii="Arial" w:hAnsi="Arial" w:cs="Arial"/>
          <w:sz w:val="24"/>
          <w:szCs w:val="24"/>
        </w:rPr>
        <w:t>H</w:t>
      </w:r>
      <w:r w:rsidR="0084133D">
        <w:rPr>
          <w:rFonts w:ascii="Arial" w:hAnsi="Arial" w:cs="Arial"/>
          <w:sz w:val="24"/>
          <w:szCs w:val="24"/>
        </w:rPr>
        <w:t xml:space="preserve">igh Court erred in holding that the </w:t>
      </w:r>
      <w:r w:rsidRPr="00724959">
        <w:rPr>
          <w:rFonts w:ascii="Arial" w:hAnsi="Arial" w:cs="Arial"/>
          <w:sz w:val="24"/>
          <w:szCs w:val="24"/>
        </w:rPr>
        <w:t xml:space="preserve">second appellant </w:t>
      </w:r>
      <w:r w:rsidR="0084133D">
        <w:rPr>
          <w:rFonts w:ascii="Arial" w:hAnsi="Arial" w:cs="Arial"/>
          <w:sz w:val="24"/>
          <w:szCs w:val="24"/>
        </w:rPr>
        <w:t xml:space="preserve">lacked standing </w:t>
      </w:r>
      <w:r w:rsidR="00E5776D" w:rsidRPr="00724959">
        <w:rPr>
          <w:rFonts w:ascii="Arial" w:hAnsi="Arial" w:cs="Arial"/>
          <w:sz w:val="24"/>
          <w:szCs w:val="24"/>
        </w:rPr>
        <w:t xml:space="preserve">to participate in the action. </w:t>
      </w:r>
    </w:p>
    <w:p w:rsidR="00F2092C" w:rsidRPr="00724959" w:rsidRDefault="00F2092C" w:rsidP="006E7801">
      <w:pPr>
        <w:spacing w:after="0" w:line="360" w:lineRule="auto"/>
        <w:jc w:val="both"/>
        <w:rPr>
          <w:rFonts w:ascii="Arial" w:hAnsi="Arial" w:cs="Arial"/>
          <w:sz w:val="24"/>
          <w:szCs w:val="24"/>
        </w:rPr>
      </w:pPr>
    </w:p>
    <w:p w:rsidR="00AD587D" w:rsidRDefault="00B97CAB" w:rsidP="006E7801">
      <w:pPr>
        <w:spacing w:after="0" w:line="360" w:lineRule="auto"/>
        <w:jc w:val="both"/>
        <w:rPr>
          <w:rFonts w:ascii="Arial" w:hAnsi="Arial" w:cs="Arial"/>
          <w:color w:val="000000" w:themeColor="text1"/>
          <w:sz w:val="24"/>
          <w:szCs w:val="24"/>
        </w:rPr>
      </w:pPr>
      <w:r>
        <w:rPr>
          <w:rFonts w:ascii="Arial" w:hAnsi="Arial" w:cs="Arial"/>
          <w:sz w:val="24"/>
          <w:szCs w:val="24"/>
        </w:rPr>
        <w:lastRenderedPageBreak/>
        <w:t xml:space="preserve">This court further found </w:t>
      </w:r>
      <w:r w:rsidR="00EB35BB" w:rsidRPr="00724959">
        <w:rPr>
          <w:rFonts w:ascii="Arial" w:hAnsi="Arial" w:cs="Arial"/>
          <w:sz w:val="24"/>
          <w:szCs w:val="24"/>
        </w:rPr>
        <w:t xml:space="preserve">that the appellants’ particulars of claim were not execipiable because they </w:t>
      </w:r>
      <w:r w:rsidR="002E5635">
        <w:rPr>
          <w:rFonts w:ascii="Arial" w:hAnsi="Arial" w:cs="Arial"/>
          <w:sz w:val="24"/>
          <w:szCs w:val="24"/>
        </w:rPr>
        <w:t xml:space="preserve">had </w:t>
      </w:r>
      <w:r w:rsidR="00EB35BB" w:rsidRPr="00724959">
        <w:rPr>
          <w:rFonts w:ascii="Arial" w:hAnsi="Arial" w:cs="Arial"/>
          <w:sz w:val="24"/>
          <w:szCs w:val="24"/>
        </w:rPr>
        <w:t xml:space="preserve">set out the ‘material facts’ necessary to sustain a cause of action. The court was satisfied that the appellants’ particulars of claim had </w:t>
      </w:r>
      <w:r w:rsidR="00EB35BB" w:rsidRPr="00724959">
        <w:rPr>
          <w:rFonts w:ascii="Arial" w:hAnsi="Arial" w:cs="Arial"/>
          <w:i/>
          <w:sz w:val="24"/>
          <w:szCs w:val="24"/>
        </w:rPr>
        <w:t>prima facie</w:t>
      </w:r>
      <w:r w:rsidR="006124B0">
        <w:rPr>
          <w:rFonts w:ascii="Arial" w:hAnsi="Arial" w:cs="Arial"/>
          <w:sz w:val="24"/>
          <w:szCs w:val="24"/>
        </w:rPr>
        <w:t xml:space="preserve"> met the requirements of r</w:t>
      </w:r>
      <w:r w:rsidR="00EB35BB" w:rsidRPr="00724959">
        <w:rPr>
          <w:rFonts w:ascii="Arial" w:hAnsi="Arial" w:cs="Arial"/>
          <w:sz w:val="24"/>
          <w:szCs w:val="24"/>
        </w:rPr>
        <w:t xml:space="preserve">ule 45(5) </w:t>
      </w:r>
      <w:r w:rsidR="00817FD9" w:rsidRPr="00CE54EF">
        <w:rPr>
          <w:rFonts w:ascii="Arial" w:hAnsi="Arial" w:cs="Arial"/>
          <w:sz w:val="24"/>
          <w:szCs w:val="24"/>
        </w:rPr>
        <w:t xml:space="preserve">of the Rules of the High Court which requires </w:t>
      </w:r>
      <w:r w:rsidR="00EB35BB" w:rsidRPr="00724959">
        <w:rPr>
          <w:rFonts w:ascii="Arial" w:hAnsi="Arial" w:cs="Arial"/>
          <w:sz w:val="24"/>
          <w:szCs w:val="24"/>
        </w:rPr>
        <w:t>pleading</w:t>
      </w:r>
      <w:r w:rsidR="000559D4">
        <w:rPr>
          <w:rFonts w:ascii="Arial" w:hAnsi="Arial" w:cs="Arial"/>
          <w:sz w:val="24"/>
          <w:szCs w:val="24"/>
        </w:rPr>
        <w:t>s</w:t>
      </w:r>
      <w:r w:rsidR="00EB35BB" w:rsidRPr="00724959">
        <w:rPr>
          <w:rFonts w:ascii="Arial" w:hAnsi="Arial" w:cs="Arial"/>
          <w:sz w:val="24"/>
          <w:szCs w:val="24"/>
        </w:rPr>
        <w:t xml:space="preserve"> </w:t>
      </w:r>
      <w:r w:rsidR="000559D4">
        <w:rPr>
          <w:rFonts w:ascii="Arial" w:hAnsi="Arial" w:cs="Arial"/>
          <w:sz w:val="24"/>
          <w:szCs w:val="24"/>
        </w:rPr>
        <w:t xml:space="preserve">to contain clear and </w:t>
      </w:r>
      <w:r w:rsidR="00EB35BB" w:rsidRPr="00724959">
        <w:rPr>
          <w:rFonts w:ascii="Arial" w:hAnsi="Arial" w:cs="Arial"/>
          <w:sz w:val="24"/>
          <w:szCs w:val="24"/>
        </w:rPr>
        <w:t>concise</w:t>
      </w:r>
      <w:r w:rsidR="000559D4">
        <w:rPr>
          <w:rFonts w:ascii="Arial" w:hAnsi="Arial" w:cs="Arial"/>
          <w:sz w:val="24"/>
          <w:szCs w:val="24"/>
        </w:rPr>
        <w:t xml:space="preserve"> statements of the material facts on which the pleader relies</w:t>
      </w:r>
      <w:r w:rsidR="00EB35BB" w:rsidRPr="00724959">
        <w:rPr>
          <w:rFonts w:ascii="Arial" w:hAnsi="Arial" w:cs="Arial"/>
          <w:sz w:val="24"/>
          <w:szCs w:val="24"/>
        </w:rPr>
        <w:t xml:space="preserve"> with sufficient particularity to allow the </w:t>
      </w:r>
      <w:r w:rsidR="000559D4">
        <w:rPr>
          <w:rFonts w:ascii="Arial" w:hAnsi="Arial" w:cs="Arial"/>
          <w:sz w:val="24"/>
          <w:szCs w:val="24"/>
        </w:rPr>
        <w:t>opposite party to reply</w:t>
      </w:r>
      <w:r w:rsidR="00EB35BB" w:rsidRPr="00724959">
        <w:rPr>
          <w:rFonts w:ascii="Arial" w:hAnsi="Arial" w:cs="Arial"/>
          <w:sz w:val="24"/>
          <w:szCs w:val="24"/>
        </w:rPr>
        <w:t xml:space="preserve">. </w:t>
      </w:r>
      <w:r w:rsidR="000559D4">
        <w:rPr>
          <w:rFonts w:ascii="Arial" w:hAnsi="Arial" w:cs="Arial"/>
          <w:sz w:val="24"/>
          <w:szCs w:val="24"/>
        </w:rPr>
        <w:t xml:space="preserve">The </w:t>
      </w:r>
      <w:r w:rsidR="00EB35BB" w:rsidRPr="00724959">
        <w:rPr>
          <w:rFonts w:ascii="Arial" w:hAnsi="Arial" w:cs="Arial"/>
          <w:sz w:val="24"/>
          <w:szCs w:val="24"/>
        </w:rPr>
        <w:t xml:space="preserve">court found that </w:t>
      </w:r>
      <w:r w:rsidR="00627D06" w:rsidRPr="00724959">
        <w:rPr>
          <w:rFonts w:ascii="Arial" w:hAnsi="Arial" w:cs="Arial"/>
          <w:sz w:val="24"/>
          <w:szCs w:val="24"/>
        </w:rPr>
        <w:t>it i</w:t>
      </w:r>
      <w:r w:rsidR="00EB35BB" w:rsidRPr="00724959">
        <w:rPr>
          <w:rFonts w:ascii="Arial" w:hAnsi="Arial" w:cs="Arial"/>
          <w:sz w:val="24"/>
          <w:szCs w:val="24"/>
        </w:rPr>
        <w:t xml:space="preserve">s </w:t>
      </w:r>
      <w:r w:rsidR="00627D06" w:rsidRPr="00724959">
        <w:rPr>
          <w:rFonts w:ascii="Arial" w:hAnsi="Arial" w:cs="Arial"/>
          <w:sz w:val="24"/>
          <w:szCs w:val="24"/>
        </w:rPr>
        <w:t>un</w:t>
      </w:r>
      <w:r w:rsidR="00EB35BB" w:rsidRPr="00724959">
        <w:rPr>
          <w:rFonts w:ascii="Arial" w:hAnsi="Arial" w:cs="Arial"/>
          <w:sz w:val="24"/>
          <w:szCs w:val="24"/>
        </w:rPr>
        <w:t>necessary to make a determination whether the agreement was simulated</w:t>
      </w:r>
      <w:r>
        <w:rPr>
          <w:rFonts w:ascii="Arial" w:hAnsi="Arial" w:cs="Arial"/>
          <w:sz w:val="24"/>
          <w:szCs w:val="24"/>
        </w:rPr>
        <w:t xml:space="preserve"> and entered into </w:t>
      </w:r>
      <w:r w:rsidR="00900B01">
        <w:rPr>
          <w:rFonts w:ascii="Arial" w:hAnsi="Arial" w:cs="Arial"/>
          <w:sz w:val="24"/>
          <w:szCs w:val="24"/>
        </w:rPr>
        <w:t xml:space="preserve">in </w:t>
      </w:r>
      <w:r>
        <w:rPr>
          <w:rFonts w:ascii="Arial" w:hAnsi="Arial" w:cs="Arial"/>
          <w:i/>
          <w:sz w:val="24"/>
          <w:szCs w:val="24"/>
        </w:rPr>
        <w:t>fraudem legis</w:t>
      </w:r>
      <w:r>
        <w:rPr>
          <w:rFonts w:ascii="Arial" w:hAnsi="Arial" w:cs="Arial"/>
          <w:sz w:val="24"/>
          <w:szCs w:val="24"/>
        </w:rPr>
        <w:t xml:space="preserve">. </w:t>
      </w:r>
      <w:r w:rsidR="00282946" w:rsidRPr="00724959">
        <w:rPr>
          <w:rFonts w:ascii="Arial" w:hAnsi="Arial" w:cs="Arial"/>
          <w:color w:val="000000" w:themeColor="text1"/>
          <w:sz w:val="24"/>
          <w:szCs w:val="24"/>
        </w:rPr>
        <w:t xml:space="preserve"> </w:t>
      </w:r>
    </w:p>
    <w:p w:rsidR="006E7801" w:rsidRDefault="006E7801" w:rsidP="006E7801">
      <w:pPr>
        <w:spacing w:after="0" w:line="360" w:lineRule="auto"/>
        <w:jc w:val="both"/>
        <w:rPr>
          <w:rFonts w:ascii="Arial" w:hAnsi="Arial" w:cs="Arial"/>
          <w:color w:val="000000" w:themeColor="text1"/>
          <w:sz w:val="24"/>
          <w:szCs w:val="24"/>
        </w:rPr>
      </w:pPr>
    </w:p>
    <w:p w:rsidR="005A559D" w:rsidRDefault="00AD587D" w:rsidP="006E7801">
      <w:pPr>
        <w:spacing w:after="0" w:line="360" w:lineRule="auto"/>
        <w:jc w:val="both"/>
        <w:rPr>
          <w:rFonts w:ascii="Arial" w:hAnsi="Arial" w:cs="Arial"/>
          <w:sz w:val="24"/>
          <w:szCs w:val="24"/>
          <w:lang w:val="en-GB"/>
        </w:rPr>
      </w:pPr>
      <w:r>
        <w:rPr>
          <w:rFonts w:ascii="Arial" w:hAnsi="Arial" w:cs="Arial"/>
          <w:color w:val="000000" w:themeColor="text1"/>
          <w:sz w:val="24"/>
          <w:szCs w:val="24"/>
        </w:rPr>
        <w:t xml:space="preserve">The appeal </w:t>
      </w:r>
      <w:r w:rsidR="00900B01">
        <w:rPr>
          <w:rFonts w:ascii="Arial" w:hAnsi="Arial" w:cs="Arial"/>
          <w:color w:val="000000" w:themeColor="text1"/>
          <w:sz w:val="24"/>
          <w:szCs w:val="24"/>
        </w:rPr>
        <w:t>wa</w:t>
      </w:r>
      <w:r>
        <w:rPr>
          <w:rFonts w:ascii="Arial" w:hAnsi="Arial" w:cs="Arial"/>
          <w:color w:val="000000" w:themeColor="text1"/>
          <w:sz w:val="24"/>
          <w:szCs w:val="24"/>
        </w:rPr>
        <w:t>s upheld with costs</w:t>
      </w:r>
      <w:r w:rsidR="00900B01">
        <w:rPr>
          <w:rFonts w:ascii="Arial" w:hAnsi="Arial" w:cs="Arial"/>
          <w:color w:val="000000" w:themeColor="text1"/>
          <w:sz w:val="24"/>
          <w:szCs w:val="24"/>
        </w:rPr>
        <w:t xml:space="preserve"> and the matter</w:t>
      </w:r>
      <w:r w:rsidR="00282946" w:rsidRPr="00724959">
        <w:rPr>
          <w:rFonts w:ascii="Arial" w:hAnsi="Arial" w:cs="Arial"/>
          <w:sz w:val="24"/>
          <w:szCs w:val="24"/>
          <w:lang w:val="en-GB"/>
        </w:rPr>
        <w:t xml:space="preserve"> remit</w:t>
      </w:r>
      <w:r w:rsidR="00900B01">
        <w:rPr>
          <w:rFonts w:ascii="Arial" w:hAnsi="Arial" w:cs="Arial"/>
          <w:sz w:val="24"/>
          <w:szCs w:val="24"/>
          <w:lang w:val="en-GB"/>
        </w:rPr>
        <w:t xml:space="preserve">ted </w:t>
      </w:r>
      <w:r w:rsidR="00282946" w:rsidRPr="00724959">
        <w:rPr>
          <w:rFonts w:ascii="Arial" w:hAnsi="Arial" w:cs="Arial"/>
          <w:sz w:val="24"/>
          <w:szCs w:val="24"/>
          <w:lang w:val="en-GB"/>
        </w:rPr>
        <w:t xml:space="preserve">to the </w:t>
      </w:r>
      <w:r w:rsidR="00900B01">
        <w:rPr>
          <w:rFonts w:ascii="Arial" w:hAnsi="Arial" w:cs="Arial"/>
          <w:sz w:val="24"/>
          <w:szCs w:val="24"/>
          <w:lang w:val="en-GB"/>
        </w:rPr>
        <w:t xml:space="preserve">High Court </w:t>
      </w:r>
      <w:r w:rsidR="00282946" w:rsidRPr="00724959">
        <w:rPr>
          <w:rFonts w:ascii="Arial" w:hAnsi="Arial" w:cs="Arial"/>
          <w:sz w:val="24"/>
          <w:szCs w:val="24"/>
          <w:lang w:val="en-GB"/>
        </w:rPr>
        <w:t xml:space="preserve">to be placed under judicial case management process.  </w:t>
      </w:r>
    </w:p>
    <w:p w:rsidR="00AD587D" w:rsidRDefault="00AD587D" w:rsidP="006E7801">
      <w:pPr>
        <w:spacing w:after="0" w:line="240" w:lineRule="auto"/>
        <w:jc w:val="both"/>
        <w:rPr>
          <w:rFonts w:ascii="Arial" w:hAnsi="Arial" w:cs="Arial"/>
          <w:color w:val="000000" w:themeColor="text1"/>
          <w:sz w:val="24"/>
          <w:szCs w:val="24"/>
        </w:rPr>
      </w:pPr>
    </w:p>
    <w:p w:rsidR="00956F8F" w:rsidRDefault="00956F8F" w:rsidP="006E7801">
      <w:pPr>
        <w:pBdr>
          <w:top w:val="single" w:sz="12" w:space="1" w:color="auto"/>
          <w:bottom w:val="single" w:sz="12" w:space="1" w:color="auto"/>
        </w:pBdr>
        <w:spacing w:after="0" w:line="240" w:lineRule="auto"/>
        <w:jc w:val="center"/>
        <w:rPr>
          <w:rFonts w:ascii="Arial" w:hAnsi="Arial" w:cs="Arial"/>
          <w:b/>
          <w:sz w:val="24"/>
          <w:szCs w:val="24"/>
        </w:rPr>
      </w:pPr>
    </w:p>
    <w:p w:rsidR="005A559D" w:rsidRPr="00724959" w:rsidRDefault="005A559D" w:rsidP="006E7801">
      <w:pPr>
        <w:pBdr>
          <w:top w:val="single" w:sz="12" w:space="1" w:color="auto"/>
          <w:bottom w:val="single" w:sz="12" w:space="1" w:color="auto"/>
        </w:pBdr>
        <w:spacing w:after="0" w:line="240" w:lineRule="auto"/>
        <w:jc w:val="center"/>
        <w:rPr>
          <w:rFonts w:ascii="Arial" w:hAnsi="Arial" w:cs="Arial"/>
          <w:b/>
          <w:sz w:val="24"/>
          <w:szCs w:val="24"/>
        </w:rPr>
      </w:pPr>
      <w:r w:rsidRPr="00724959">
        <w:rPr>
          <w:rFonts w:ascii="Arial" w:hAnsi="Arial" w:cs="Arial"/>
          <w:b/>
          <w:sz w:val="24"/>
          <w:szCs w:val="24"/>
        </w:rPr>
        <w:t>APPEAL JUDGMENT</w:t>
      </w:r>
    </w:p>
    <w:p w:rsidR="00BE2E06" w:rsidRPr="00724959" w:rsidRDefault="00BE2E06" w:rsidP="006E7801">
      <w:pPr>
        <w:pBdr>
          <w:top w:val="single" w:sz="12" w:space="1" w:color="auto"/>
          <w:bottom w:val="single" w:sz="12" w:space="1" w:color="auto"/>
        </w:pBdr>
        <w:spacing w:after="0" w:line="240" w:lineRule="auto"/>
        <w:jc w:val="center"/>
        <w:rPr>
          <w:rFonts w:ascii="Arial" w:hAnsi="Arial" w:cs="Arial"/>
          <w:b/>
          <w:sz w:val="24"/>
          <w:szCs w:val="24"/>
        </w:rPr>
      </w:pPr>
    </w:p>
    <w:p w:rsidR="00CE54EF" w:rsidRDefault="00CE54EF" w:rsidP="003E169C">
      <w:pPr>
        <w:spacing w:after="0" w:line="480" w:lineRule="auto"/>
        <w:ind w:left="3600" w:hanging="3600"/>
        <w:jc w:val="both"/>
        <w:rPr>
          <w:rFonts w:ascii="Arial" w:hAnsi="Arial" w:cs="Arial"/>
          <w:sz w:val="24"/>
          <w:szCs w:val="24"/>
        </w:rPr>
      </w:pPr>
    </w:p>
    <w:p w:rsidR="006E7801" w:rsidRDefault="00EE3682" w:rsidP="003E169C">
      <w:pPr>
        <w:spacing w:after="0" w:line="480" w:lineRule="auto"/>
        <w:ind w:left="3600" w:hanging="3600"/>
        <w:jc w:val="both"/>
        <w:rPr>
          <w:rFonts w:ascii="Arial" w:hAnsi="Arial" w:cs="Arial"/>
          <w:sz w:val="24"/>
          <w:szCs w:val="24"/>
        </w:rPr>
      </w:pPr>
      <w:r w:rsidRPr="00724959">
        <w:rPr>
          <w:rFonts w:ascii="Arial" w:hAnsi="Arial" w:cs="Arial"/>
          <w:sz w:val="24"/>
          <w:szCs w:val="24"/>
        </w:rPr>
        <w:t>S</w:t>
      </w:r>
      <w:r w:rsidR="00CE54EF">
        <w:rPr>
          <w:rFonts w:ascii="Arial" w:hAnsi="Arial" w:cs="Arial"/>
          <w:sz w:val="24"/>
          <w:szCs w:val="24"/>
        </w:rPr>
        <w:t>HIVUTE</w:t>
      </w:r>
      <w:r w:rsidRPr="00724959">
        <w:rPr>
          <w:rFonts w:ascii="Arial" w:hAnsi="Arial" w:cs="Arial"/>
          <w:sz w:val="24"/>
          <w:szCs w:val="24"/>
        </w:rPr>
        <w:t xml:space="preserve"> CJ </w:t>
      </w:r>
      <w:r w:rsidR="00A457AA" w:rsidRPr="00724959">
        <w:rPr>
          <w:rFonts w:ascii="Arial" w:hAnsi="Arial" w:cs="Arial"/>
          <w:sz w:val="24"/>
          <w:szCs w:val="24"/>
        </w:rPr>
        <w:t>(</w:t>
      </w:r>
      <w:r w:rsidR="00CC41A0" w:rsidRPr="00724959">
        <w:rPr>
          <w:rFonts w:ascii="Arial" w:hAnsi="Arial" w:cs="Arial"/>
          <w:sz w:val="24"/>
          <w:szCs w:val="24"/>
        </w:rPr>
        <w:t xml:space="preserve">DAMASEB DCJ </w:t>
      </w:r>
      <w:r w:rsidR="00A457AA" w:rsidRPr="00724959">
        <w:rPr>
          <w:rFonts w:ascii="Arial" w:hAnsi="Arial" w:cs="Arial"/>
          <w:sz w:val="24"/>
          <w:szCs w:val="24"/>
        </w:rPr>
        <w:t xml:space="preserve">and </w:t>
      </w:r>
      <w:r w:rsidR="00CC41A0" w:rsidRPr="00724959">
        <w:rPr>
          <w:rFonts w:ascii="Arial" w:hAnsi="Arial" w:cs="Arial"/>
          <w:sz w:val="24"/>
          <w:szCs w:val="24"/>
        </w:rPr>
        <w:t xml:space="preserve">CHOMBA AJA </w:t>
      </w:r>
      <w:r w:rsidR="00A457AA" w:rsidRPr="00724959">
        <w:rPr>
          <w:rFonts w:ascii="Arial" w:hAnsi="Arial" w:cs="Arial"/>
          <w:sz w:val="24"/>
          <w:szCs w:val="24"/>
        </w:rPr>
        <w:t>concurring</w:t>
      </w:r>
      <w:r w:rsidR="00815A90">
        <w:rPr>
          <w:rFonts w:ascii="Arial" w:hAnsi="Arial" w:cs="Arial"/>
          <w:sz w:val="24"/>
          <w:szCs w:val="24"/>
        </w:rPr>
        <w:t>):</w:t>
      </w:r>
    </w:p>
    <w:p w:rsidR="002E5252" w:rsidRPr="00445A7B" w:rsidRDefault="000B5240" w:rsidP="00445A7B">
      <w:pPr>
        <w:pStyle w:val="ListParagraph"/>
        <w:numPr>
          <w:ilvl w:val="0"/>
          <w:numId w:val="6"/>
        </w:numPr>
        <w:spacing w:after="0" w:line="480" w:lineRule="auto"/>
        <w:ind w:left="0" w:firstLine="0"/>
        <w:jc w:val="both"/>
        <w:rPr>
          <w:rFonts w:ascii="Arial" w:hAnsi="Arial" w:cs="Arial"/>
          <w:sz w:val="24"/>
          <w:szCs w:val="24"/>
        </w:rPr>
      </w:pPr>
      <w:r w:rsidRPr="00445A7B">
        <w:rPr>
          <w:rFonts w:ascii="Arial" w:hAnsi="Arial" w:cs="Arial"/>
          <w:sz w:val="24"/>
          <w:szCs w:val="24"/>
        </w:rPr>
        <w:t xml:space="preserve">This </w:t>
      </w:r>
      <w:r w:rsidR="001D6D46" w:rsidRPr="00445A7B">
        <w:rPr>
          <w:rFonts w:ascii="Arial" w:hAnsi="Arial" w:cs="Arial"/>
          <w:sz w:val="24"/>
          <w:szCs w:val="24"/>
        </w:rPr>
        <w:t xml:space="preserve">is an </w:t>
      </w:r>
      <w:r w:rsidR="00B85460" w:rsidRPr="00445A7B">
        <w:rPr>
          <w:rFonts w:ascii="Arial" w:hAnsi="Arial" w:cs="Arial"/>
          <w:sz w:val="24"/>
          <w:szCs w:val="24"/>
        </w:rPr>
        <w:t>a</w:t>
      </w:r>
      <w:r w:rsidRPr="00445A7B">
        <w:rPr>
          <w:rFonts w:ascii="Arial" w:hAnsi="Arial" w:cs="Arial"/>
          <w:sz w:val="24"/>
          <w:szCs w:val="24"/>
        </w:rPr>
        <w:t>ppeal</w:t>
      </w:r>
      <w:r w:rsidR="00CD0576" w:rsidRPr="00445A7B">
        <w:rPr>
          <w:rFonts w:ascii="Arial" w:hAnsi="Arial" w:cs="Arial"/>
          <w:sz w:val="24"/>
          <w:szCs w:val="24"/>
        </w:rPr>
        <w:t xml:space="preserve"> </w:t>
      </w:r>
      <w:r w:rsidR="00674149" w:rsidRPr="00445A7B">
        <w:rPr>
          <w:rFonts w:ascii="Arial" w:hAnsi="Arial" w:cs="Arial"/>
          <w:sz w:val="24"/>
          <w:szCs w:val="24"/>
        </w:rPr>
        <w:t xml:space="preserve">against the </w:t>
      </w:r>
      <w:r w:rsidR="00C13967" w:rsidRPr="00445A7B">
        <w:rPr>
          <w:rFonts w:ascii="Arial" w:hAnsi="Arial" w:cs="Arial"/>
          <w:sz w:val="24"/>
          <w:szCs w:val="24"/>
        </w:rPr>
        <w:t>judgment and order of</w:t>
      </w:r>
      <w:r w:rsidR="00CD0576" w:rsidRPr="00445A7B">
        <w:rPr>
          <w:rFonts w:ascii="Arial" w:hAnsi="Arial" w:cs="Arial"/>
          <w:sz w:val="24"/>
          <w:szCs w:val="24"/>
        </w:rPr>
        <w:t xml:space="preserve"> the </w:t>
      </w:r>
      <w:r w:rsidRPr="00445A7B">
        <w:rPr>
          <w:rFonts w:ascii="Arial" w:hAnsi="Arial" w:cs="Arial"/>
          <w:sz w:val="24"/>
          <w:szCs w:val="24"/>
        </w:rPr>
        <w:t xml:space="preserve">High </w:t>
      </w:r>
      <w:r w:rsidR="00724959" w:rsidRPr="00445A7B">
        <w:rPr>
          <w:rFonts w:ascii="Arial" w:hAnsi="Arial" w:cs="Arial"/>
          <w:sz w:val="24"/>
          <w:szCs w:val="24"/>
        </w:rPr>
        <w:t xml:space="preserve">Court </w:t>
      </w:r>
      <w:r w:rsidR="00411994" w:rsidRPr="00445A7B">
        <w:rPr>
          <w:rFonts w:ascii="Arial" w:hAnsi="Arial" w:cs="Arial"/>
          <w:sz w:val="24"/>
          <w:szCs w:val="24"/>
        </w:rPr>
        <w:t>granting an exception taken by the first respondent to the appellants’ particulars of claim</w:t>
      </w:r>
      <w:r w:rsidR="00DE260E" w:rsidRPr="00445A7B">
        <w:rPr>
          <w:rFonts w:ascii="Arial" w:hAnsi="Arial" w:cs="Arial"/>
          <w:sz w:val="24"/>
          <w:szCs w:val="24"/>
        </w:rPr>
        <w:t>. Th</w:t>
      </w:r>
      <w:r w:rsidR="00EF09B3" w:rsidRPr="00445A7B">
        <w:rPr>
          <w:rFonts w:ascii="Arial" w:hAnsi="Arial" w:cs="Arial"/>
          <w:sz w:val="24"/>
          <w:szCs w:val="24"/>
        </w:rPr>
        <w:t>e</w:t>
      </w:r>
      <w:r w:rsidR="00674149" w:rsidRPr="00445A7B">
        <w:rPr>
          <w:rFonts w:ascii="Arial" w:hAnsi="Arial" w:cs="Arial"/>
          <w:sz w:val="24"/>
          <w:szCs w:val="24"/>
        </w:rPr>
        <w:t xml:space="preserve"> appeal</w:t>
      </w:r>
      <w:r w:rsidR="00EF09B3" w:rsidRPr="00445A7B">
        <w:rPr>
          <w:rFonts w:ascii="Arial" w:hAnsi="Arial" w:cs="Arial"/>
          <w:sz w:val="24"/>
          <w:szCs w:val="24"/>
        </w:rPr>
        <w:t xml:space="preserve"> is</w:t>
      </w:r>
      <w:r w:rsidR="00CD0576" w:rsidRPr="00445A7B">
        <w:rPr>
          <w:rFonts w:ascii="Arial" w:hAnsi="Arial" w:cs="Arial"/>
          <w:sz w:val="24"/>
          <w:szCs w:val="24"/>
        </w:rPr>
        <w:t xml:space="preserve"> </w:t>
      </w:r>
      <w:r w:rsidR="00411994" w:rsidRPr="00445A7B">
        <w:rPr>
          <w:rFonts w:ascii="Arial" w:hAnsi="Arial" w:cs="Arial"/>
          <w:sz w:val="24"/>
          <w:szCs w:val="24"/>
        </w:rPr>
        <w:t>also</w:t>
      </w:r>
      <w:r w:rsidR="00F53CFC" w:rsidRPr="00445A7B">
        <w:rPr>
          <w:rFonts w:ascii="Arial" w:hAnsi="Arial" w:cs="Arial"/>
          <w:sz w:val="24"/>
          <w:szCs w:val="24"/>
        </w:rPr>
        <w:t xml:space="preserve"> </w:t>
      </w:r>
      <w:r w:rsidR="00EF09B3" w:rsidRPr="00445A7B">
        <w:rPr>
          <w:rFonts w:ascii="Arial" w:hAnsi="Arial" w:cs="Arial"/>
          <w:sz w:val="24"/>
          <w:szCs w:val="24"/>
        </w:rPr>
        <w:t xml:space="preserve">directed at </w:t>
      </w:r>
      <w:r w:rsidR="003E3B4C" w:rsidRPr="00445A7B">
        <w:rPr>
          <w:rFonts w:ascii="Arial" w:hAnsi="Arial" w:cs="Arial"/>
          <w:sz w:val="24"/>
          <w:szCs w:val="24"/>
        </w:rPr>
        <w:t>the decision of</w:t>
      </w:r>
      <w:r w:rsidR="00CA365B" w:rsidRPr="00445A7B">
        <w:rPr>
          <w:rFonts w:ascii="Arial" w:hAnsi="Arial" w:cs="Arial"/>
          <w:sz w:val="24"/>
          <w:szCs w:val="24"/>
        </w:rPr>
        <w:t xml:space="preserve"> the </w:t>
      </w:r>
      <w:r w:rsidR="00417A75" w:rsidRPr="00445A7B">
        <w:rPr>
          <w:rFonts w:ascii="Arial" w:hAnsi="Arial" w:cs="Arial"/>
          <w:sz w:val="24"/>
          <w:szCs w:val="24"/>
        </w:rPr>
        <w:t>High C</w:t>
      </w:r>
      <w:r w:rsidR="00CA365B" w:rsidRPr="00445A7B">
        <w:rPr>
          <w:rFonts w:ascii="Arial" w:hAnsi="Arial" w:cs="Arial"/>
          <w:sz w:val="24"/>
          <w:szCs w:val="24"/>
        </w:rPr>
        <w:t xml:space="preserve">ourt </w:t>
      </w:r>
      <w:r w:rsidR="00F53CFC" w:rsidRPr="00445A7B">
        <w:rPr>
          <w:rFonts w:ascii="Arial" w:hAnsi="Arial" w:cs="Arial"/>
          <w:sz w:val="24"/>
          <w:szCs w:val="24"/>
        </w:rPr>
        <w:t>rul</w:t>
      </w:r>
      <w:r w:rsidR="00507B24" w:rsidRPr="00445A7B">
        <w:rPr>
          <w:rFonts w:ascii="Arial" w:hAnsi="Arial" w:cs="Arial"/>
          <w:sz w:val="24"/>
          <w:szCs w:val="24"/>
        </w:rPr>
        <w:t>ing</w:t>
      </w:r>
      <w:r w:rsidR="00F53CFC" w:rsidRPr="00445A7B">
        <w:rPr>
          <w:rFonts w:ascii="Arial" w:hAnsi="Arial" w:cs="Arial"/>
          <w:sz w:val="24"/>
          <w:szCs w:val="24"/>
        </w:rPr>
        <w:t xml:space="preserve"> </w:t>
      </w:r>
      <w:r w:rsidR="003E3B4C" w:rsidRPr="00445A7B">
        <w:rPr>
          <w:rFonts w:ascii="Arial" w:hAnsi="Arial" w:cs="Arial"/>
          <w:sz w:val="24"/>
          <w:szCs w:val="24"/>
        </w:rPr>
        <w:t>that the second appellant</w:t>
      </w:r>
      <w:r w:rsidR="00BC4BC1" w:rsidRPr="00445A7B">
        <w:rPr>
          <w:rFonts w:ascii="Arial" w:hAnsi="Arial" w:cs="Arial"/>
          <w:sz w:val="24"/>
          <w:szCs w:val="24"/>
        </w:rPr>
        <w:t xml:space="preserve"> </w:t>
      </w:r>
      <w:r w:rsidR="00EF09B3" w:rsidRPr="00445A7B">
        <w:rPr>
          <w:rFonts w:ascii="Arial" w:hAnsi="Arial" w:cs="Arial"/>
          <w:sz w:val="24"/>
          <w:szCs w:val="24"/>
        </w:rPr>
        <w:t xml:space="preserve">had no </w:t>
      </w:r>
      <w:r w:rsidR="001D6D46" w:rsidRPr="00445A7B">
        <w:rPr>
          <w:rFonts w:ascii="Arial" w:hAnsi="Arial" w:cs="Arial"/>
          <w:i/>
          <w:sz w:val="24"/>
          <w:szCs w:val="24"/>
        </w:rPr>
        <w:t>locus standi</w:t>
      </w:r>
      <w:r w:rsidR="00674149" w:rsidRPr="00445A7B">
        <w:rPr>
          <w:rFonts w:ascii="Arial" w:hAnsi="Arial" w:cs="Arial"/>
          <w:sz w:val="24"/>
          <w:szCs w:val="24"/>
        </w:rPr>
        <w:t xml:space="preserve"> </w:t>
      </w:r>
      <w:r w:rsidR="00EF09B3" w:rsidRPr="00445A7B">
        <w:rPr>
          <w:rFonts w:ascii="Arial" w:hAnsi="Arial" w:cs="Arial"/>
          <w:sz w:val="24"/>
          <w:szCs w:val="24"/>
        </w:rPr>
        <w:t xml:space="preserve">to institute the </w:t>
      </w:r>
      <w:r w:rsidR="00956F8F" w:rsidRPr="00445A7B">
        <w:rPr>
          <w:rFonts w:ascii="Arial" w:hAnsi="Arial" w:cs="Arial"/>
          <w:sz w:val="24"/>
          <w:szCs w:val="24"/>
        </w:rPr>
        <w:t>claim</w:t>
      </w:r>
      <w:r w:rsidR="00EF09B3" w:rsidRPr="00445A7B">
        <w:rPr>
          <w:rFonts w:ascii="Arial" w:hAnsi="Arial" w:cs="Arial"/>
          <w:sz w:val="24"/>
          <w:szCs w:val="24"/>
        </w:rPr>
        <w:t>.</w:t>
      </w:r>
      <w:r w:rsidRPr="00445A7B">
        <w:rPr>
          <w:rFonts w:ascii="Arial" w:hAnsi="Arial" w:cs="Arial"/>
          <w:sz w:val="24"/>
          <w:szCs w:val="24"/>
        </w:rPr>
        <w:t xml:space="preserve"> </w:t>
      </w:r>
    </w:p>
    <w:p w:rsidR="008E3DF2" w:rsidRDefault="008E3DF2" w:rsidP="00445A7B">
      <w:pPr>
        <w:spacing w:after="0" w:line="480" w:lineRule="auto"/>
        <w:jc w:val="both"/>
        <w:rPr>
          <w:rFonts w:ascii="Arial" w:hAnsi="Arial" w:cs="Arial"/>
          <w:sz w:val="24"/>
          <w:szCs w:val="24"/>
          <w:u w:val="single"/>
        </w:rPr>
      </w:pPr>
      <w:bookmarkStart w:id="0" w:name="disp"/>
      <w:bookmarkEnd w:id="0"/>
    </w:p>
    <w:p w:rsidR="008E58E1" w:rsidRPr="00445A7B" w:rsidRDefault="00082E2E" w:rsidP="00445A7B">
      <w:pPr>
        <w:pStyle w:val="ListParagraph"/>
        <w:spacing w:after="0" w:line="480" w:lineRule="auto"/>
        <w:ind w:left="0"/>
        <w:jc w:val="both"/>
        <w:rPr>
          <w:rFonts w:ascii="Arial" w:hAnsi="Arial" w:cs="Arial"/>
          <w:sz w:val="24"/>
          <w:szCs w:val="24"/>
          <w:u w:val="single"/>
        </w:rPr>
      </w:pPr>
      <w:r w:rsidRPr="00445A7B">
        <w:rPr>
          <w:rFonts w:ascii="Arial" w:hAnsi="Arial" w:cs="Arial"/>
          <w:sz w:val="24"/>
          <w:szCs w:val="24"/>
          <w:u w:val="single"/>
        </w:rPr>
        <w:t>Background</w:t>
      </w:r>
      <w:r w:rsidR="00AE1B19" w:rsidRPr="00445A7B">
        <w:rPr>
          <w:rFonts w:ascii="Arial" w:hAnsi="Arial" w:cs="Arial"/>
          <w:sz w:val="24"/>
          <w:szCs w:val="24"/>
          <w:u w:val="single"/>
        </w:rPr>
        <w:t xml:space="preserve"> </w:t>
      </w:r>
    </w:p>
    <w:p w:rsidR="004920F9" w:rsidRPr="00445A7B" w:rsidRDefault="004920F9" w:rsidP="00445A7B">
      <w:pPr>
        <w:pStyle w:val="ListParagraph"/>
        <w:numPr>
          <w:ilvl w:val="0"/>
          <w:numId w:val="6"/>
        </w:numPr>
        <w:spacing w:after="0" w:line="480" w:lineRule="auto"/>
        <w:ind w:left="0" w:firstLine="0"/>
        <w:jc w:val="both"/>
        <w:rPr>
          <w:rFonts w:ascii="Arial" w:hAnsi="Arial" w:cs="Arial"/>
          <w:sz w:val="24"/>
          <w:szCs w:val="24"/>
        </w:rPr>
      </w:pPr>
      <w:r w:rsidRPr="00445A7B">
        <w:rPr>
          <w:rFonts w:ascii="Arial" w:eastAsia="Courier New" w:hAnsi="Arial" w:cs="Arial"/>
          <w:color w:val="000000"/>
          <w:sz w:val="24"/>
          <w:szCs w:val="24"/>
        </w:rPr>
        <w:t xml:space="preserve">The </w:t>
      </w:r>
      <w:r w:rsidR="00EF09B3" w:rsidRPr="00445A7B">
        <w:rPr>
          <w:rFonts w:ascii="Arial" w:eastAsia="Courier New" w:hAnsi="Arial" w:cs="Arial"/>
          <w:color w:val="000000"/>
          <w:sz w:val="24"/>
          <w:szCs w:val="24"/>
        </w:rPr>
        <w:t xml:space="preserve">first appellant is </w:t>
      </w:r>
      <w:r w:rsidR="00BC4BC1" w:rsidRPr="00445A7B">
        <w:rPr>
          <w:rFonts w:ascii="Arial" w:hAnsi="Arial" w:cs="Arial"/>
          <w:sz w:val="24"/>
          <w:szCs w:val="24"/>
        </w:rPr>
        <w:t xml:space="preserve">the </w:t>
      </w:r>
      <w:r w:rsidRPr="00445A7B">
        <w:rPr>
          <w:rFonts w:ascii="Arial" w:hAnsi="Arial" w:cs="Arial"/>
          <w:sz w:val="24"/>
          <w:szCs w:val="24"/>
        </w:rPr>
        <w:t xml:space="preserve">executrix </w:t>
      </w:r>
      <w:r w:rsidR="00D37337" w:rsidRPr="00445A7B">
        <w:rPr>
          <w:rFonts w:ascii="Arial" w:hAnsi="Arial" w:cs="Arial"/>
          <w:sz w:val="24"/>
          <w:szCs w:val="24"/>
        </w:rPr>
        <w:t xml:space="preserve">of </w:t>
      </w:r>
      <w:r w:rsidRPr="00445A7B">
        <w:rPr>
          <w:rFonts w:ascii="Arial" w:hAnsi="Arial" w:cs="Arial"/>
          <w:sz w:val="24"/>
          <w:szCs w:val="24"/>
        </w:rPr>
        <w:t xml:space="preserve">the estate of the late </w:t>
      </w:r>
      <w:r w:rsidR="00D37337" w:rsidRPr="00445A7B">
        <w:rPr>
          <w:rFonts w:ascii="Arial" w:hAnsi="Arial" w:cs="Arial"/>
          <w:sz w:val="24"/>
          <w:szCs w:val="24"/>
        </w:rPr>
        <w:t xml:space="preserve">Mr </w:t>
      </w:r>
      <w:r w:rsidRPr="00445A7B">
        <w:rPr>
          <w:rFonts w:ascii="Arial" w:hAnsi="Arial" w:cs="Arial"/>
          <w:sz w:val="24"/>
          <w:szCs w:val="24"/>
        </w:rPr>
        <w:t>GS Neethling</w:t>
      </w:r>
      <w:r w:rsidR="003E590D" w:rsidRPr="00445A7B">
        <w:rPr>
          <w:rFonts w:ascii="Arial" w:hAnsi="Arial" w:cs="Arial"/>
          <w:sz w:val="24"/>
          <w:szCs w:val="24"/>
        </w:rPr>
        <w:t xml:space="preserve"> (the deceased)</w:t>
      </w:r>
      <w:r w:rsidRPr="00445A7B">
        <w:rPr>
          <w:rFonts w:ascii="Arial" w:hAnsi="Arial" w:cs="Arial"/>
          <w:sz w:val="24"/>
          <w:szCs w:val="24"/>
        </w:rPr>
        <w:t xml:space="preserve">, who </w:t>
      </w:r>
      <w:r w:rsidR="00D37337" w:rsidRPr="00445A7B">
        <w:rPr>
          <w:rFonts w:ascii="Arial" w:hAnsi="Arial" w:cs="Arial"/>
          <w:sz w:val="24"/>
          <w:szCs w:val="24"/>
        </w:rPr>
        <w:t xml:space="preserve">died on </w:t>
      </w:r>
      <w:r w:rsidRPr="00445A7B">
        <w:rPr>
          <w:rFonts w:ascii="Arial" w:hAnsi="Arial" w:cs="Arial"/>
          <w:sz w:val="24"/>
          <w:szCs w:val="24"/>
        </w:rPr>
        <w:t xml:space="preserve">15 March 2014. </w:t>
      </w:r>
      <w:r w:rsidR="001A02C4" w:rsidRPr="00445A7B">
        <w:rPr>
          <w:rFonts w:ascii="Arial" w:hAnsi="Arial" w:cs="Arial"/>
          <w:sz w:val="24"/>
          <w:szCs w:val="24"/>
        </w:rPr>
        <w:t xml:space="preserve">The second appellant is </w:t>
      </w:r>
      <w:r w:rsidR="00BC4BC1" w:rsidRPr="00445A7B">
        <w:rPr>
          <w:rFonts w:ascii="Arial" w:hAnsi="Arial" w:cs="Arial"/>
          <w:sz w:val="24"/>
          <w:szCs w:val="24"/>
        </w:rPr>
        <w:t>t</w:t>
      </w:r>
      <w:r w:rsidR="001A02C4" w:rsidRPr="00445A7B">
        <w:rPr>
          <w:rFonts w:ascii="Arial" w:hAnsi="Arial" w:cs="Arial"/>
          <w:sz w:val="24"/>
          <w:szCs w:val="24"/>
        </w:rPr>
        <w:t>h</w:t>
      </w:r>
      <w:r w:rsidR="00ED0186" w:rsidRPr="00445A7B">
        <w:rPr>
          <w:rFonts w:ascii="Arial" w:hAnsi="Arial" w:cs="Arial"/>
          <w:sz w:val="24"/>
          <w:szCs w:val="24"/>
        </w:rPr>
        <w:t>e widow of the deceased</w:t>
      </w:r>
      <w:r w:rsidR="001A02C4" w:rsidRPr="00445A7B">
        <w:rPr>
          <w:rFonts w:ascii="Arial" w:hAnsi="Arial" w:cs="Arial"/>
          <w:sz w:val="24"/>
          <w:szCs w:val="24"/>
        </w:rPr>
        <w:t xml:space="preserve">. The </w:t>
      </w:r>
      <w:r w:rsidR="00D42B92" w:rsidRPr="00445A7B">
        <w:rPr>
          <w:rFonts w:ascii="Arial" w:hAnsi="Arial" w:cs="Arial"/>
          <w:sz w:val="24"/>
          <w:szCs w:val="24"/>
        </w:rPr>
        <w:t xml:space="preserve">first </w:t>
      </w:r>
      <w:r w:rsidR="001A02C4" w:rsidRPr="00445A7B">
        <w:rPr>
          <w:rFonts w:ascii="Arial" w:hAnsi="Arial" w:cs="Arial"/>
          <w:sz w:val="24"/>
          <w:szCs w:val="24"/>
        </w:rPr>
        <w:t>respondent</w:t>
      </w:r>
      <w:r w:rsidR="00D42B92" w:rsidRPr="00445A7B">
        <w:rPr>
          <w:rFonts w:ascii="Arial" w:hAnsi="Arial" w:cs="Arial"/>
          <w:sz w:val="24"/>
          <w:szCs w:val="24"/>
        </w:rPr>
        <w:t xml:space="preserve"> is</w:t>
      </w:r>
      <w:r w:rsidR="001A02C4" w:rsidRPr="00445A7B">
        <w:rPr>
          <w:rFonts w:ascii="Arial" w:hAnsi="Arial" w:cs="Arial"/>
          <w:sz w:val="24"/>
          <w:szCs w:val="24"/>
        </w:rPr>
        <w:t xml:space="preserve"> Erongo All Sure Insurance C</w:t>
      </w:r>
      <w:r w:rsidR="00417A75" w:rsidRPr="00445A7B">
        <w:rPr>
          <w:rFonts w:ascii="Arial" w:hAnsi="Arial" w:cs="Arial"/>
          <w:sz w:val="24"/>
          <w:szCs w:val="24"/>
        </w:rPr>
        <w:t>C</w:t>
      </w:r>
      <w:r w:rsidR="001A02C4" w:rsidRPr="00445A7B">
        <w:rPr>
          <w:rFonts w:ascii="Arial" w:hAnsi="Arial" w:cs="Arial"/>
          <w:sz w:val="24"/>
          <w:szCs w:val="24"/>
        </w:rPr>
        <w:t xml:space="preserve">, </w:t>
      </w:r>
      <w:r w:rsidR="00D42B92" w:rsidRPr="00445A7B">
        <w:rPr>
          <w:rFonts w:ascii="Arial" w:hAnsi="Arial" w:cs="Arial"/>
          <w:sz w:val="24"/>
          <w:szCs w:val="24"/>
        </w:rPr>
        <w:t>a close corporation incorporated in terms of the laws of the Republic</w:t>
      </w:r>
      <w:r w:rsidR="00273306" w:rsidRPr="00445A7B">
        <w:rPr>
          <w:rFonts w:ascii="Arial" w:hAnsi="Arial" w:cs="Arial"/>
          <w:sz w:val="24"/>
          <w:szCs w:val="24"/>
        </w:rPr>
        <w:t xml:space="preserve"> of Namibia.</w:t>
      </w:r>
      <w:r w:rsidR="00D42B92" w:rsidRPr="00445A7B">
        <w:rPr>
          <w:rFonts w:ascii="Arial" w:hAnsi="Arial" w:cs="Arial"/>
          <w:sz w:val="24"/>
          <w:szCs w:val="24"/>
        </w:rPr>
        <w:t xml:space="preserve"> The second </w:t>
      </w:r>
      <w:r w:rsidR="00CB1EB5" w:rsidRPr="00445A7B">
        <w:rPr>
          <w:rFonts w:ascii="Arial" w:hAnsi="Arial" w:cs="Arial"/>
          <w:sz w:val="24"/>
          <w:szCs w:val="24"/>
        </w:rPr>
        <w:t>respondent is</w:t>
      </w:r>
      <w:r w:rsidR="00D42B92" w:rsidRPr="00445A7B">
        <w:rPr>
          <w:rFonts w:ascii="Arial" w:hAnsi="Arial" w:cs="Arial"/>
          <w:sz w:val="24"/>
          <w:szCs w:val="24"/>
        </w:rPr>
        <w:t xml:space="preserve"> </w:t>
      </w:r>
      <w:r w:rsidR="001A02C4" w:rsidRPr="00445A7B">
        <w:rPr>
          <w:rFonts w:ascii="Arial" w:hAnsi="Arial" w:cs="Arial"/>
          <w:sz w:val="24"/>
          <w:szCs w:val="24"/>
        </w:rPr>
        <w:t xml:space="preserve">the Minister of Lands, </w:t>
      </w:r>
      <w:r w:rsidR="00CB1EB5" w:rsidRPr="00445A7B">
        <w:rPr>
          <w:rFonts w:ascii="Arial" w:hAnsi="Arial" w:cs="Arial"/>
          <w:sz w:val="24"/>
          <w:szCs w:val="24"/>
        </w:rPr>
        <w:t>Resettlement and Rehabilitation. The third respondent is t</w:t>
      </w:r>
      <w:r w:rsidR="001A02C4" w:rsidRPr="00445A7B">
        <w:rPr>
          <w:rFonts w:ascii="Arial" w:hAnsi="Arial" w:cs="Arial"/>
          <w:sz w:val="24"/>
          <w:szCs w:val="24"/>
        </w:rPr>
        <w:t xml:space="preserve">he </w:t>
      </w:r>
      <w:r w:rsidR="001A02C4" w:rsidRPr="00445A7B">
        <w:rPr>
          <w:rFonts w:ascii="Arial" w:hAnsi="Arial" w:cs="Arial"/>
          <w:sz w:val="24"/>
          <w:szCs w:val="24"/>
        </w:rPr>
        <w:lastRenderedPageBreak/>
        <w:t>Registrar</w:t>
      </w:r>
      <w:r w:rsidR="00D42B92" w:rsidRPr="00445A7B">
        <w:rPr>
          <w:rFonts w:ascii="Arial" w:hAnsi="Arial" w:cs="Arial"/>
          <w:sz w:val="24"/>
          <w:szCs w:val="24"/>
        </w:rPr>
        <w:t xml:space="preserve"> of Deeds. </w:t>
      </w:r>
      <w:r w:rsidR="001978D6" w:rsidRPr="00445A7B">
        <w:rPr>
          <w:rFonts w:ascii="Arial" w:hAnsi="Arial" w:cs="Arial"/>
          <w:sz w:val="24"/>
          <w:szCs w:val="24"/>
        </w:rPr>
        <w:t xml:space="preserve">The </w:t>
      </w:r>
      <w:r w:rsidR="00910845" w:rsidRPr="00445A7B">
        <w:rPr>
          <w:rFonts w:ascii="Arial" w:hAnsi="Arial" w:cs="Arial"/>
          <w:sz w:val="24"/>
          <w:szCs w:val="24"/>
        </w:rPr>
        <w:t xml:space="preserve">second </w:t>
      </w:r>
      <w:r w:rsidR="00273306" w:rsidRPr="00445A7B">
        <w:rPr>
          <w:rFonts w:ascii="Arial" w:hAnsi="Arial" w:cs="Arial"/>
          <w:sz w:val="24"/>
          <w:szCs w:val="24"/>
        </w:rPr>
        <w:t xml:space="preserve">and </w:t>
      </w:r>
      <w:r w:rsidR="00910845" w:rsidRPr="00445A7B">
        <w:rPr>
          <w:rFonts w:ascii="Arial" w:hAnsi="Arial" w:cs="Arial"/>
          <w:sz w:val="24"/>
          <w:szCs w:val="24"/>
        </w:rPr>
        <w:t>third</w:t>
      </w:r>
      <w:r w:rsidR="00273306" w:rsidRPr="00445A7B">
        <w:rPr>
          <w:rFonts w:ascii="Arial" w:hAnsi="Arial" w:cs="Arial"/>
          <w:sz w:val="24"/>
          <w:szCs w:val="24"/>
        </w:rPr>
        <w:t xml:space="preserve"> respondent</w:t>
      </w:r>
      <w:r w:rsidR="00417A75" w:rsidRPr="00445A7B">
        <w:rPr>
          <w:rFonts w:ascii="Arial" w:hAnsi="Arial" w:cs="Arial"/>
          <w:sz w:val="24"/>
          <w:szCs w:val="24"/>
        </w:rPr>
        <w:t>s</w:t>
      </w:r>
      <w:r w:rsidR="00D42B92" w:rsidRPr="00445A7B">
        <w:rPr>
          <w:rFonts w:ascii="Arial" w:hAnsi="Arial" w:cs="Arial"/>
          <w:sz w:val="24"/>
          <w:szCs w:val="24"/>
        </w:rPr>
        <w:t xml:space="preserve"> </w:t>
      </w:r>
      <w:r w:rsidR="00BC4BC1" w:rsidRPr="00445A7B">
        <w:rPr>
          <w:rFonts w:ascii="Arial" w:hAnsi="Arial" w:cs="Arial"/>
          <w:sz w:val="24"/>
          <w:szCs w:val="24"/>
        </w:rPr>
        <w:t xml:space="preserve">are cited </w:t>
      </w:r>
      <w:r w:rsidR="00D42B92" w:rsidRPr="00445A7B">
        <w:rPr>
          <w:rFonts w:ascii="Arial" w:hAnsi="Arial" w:cs="Arial"/>
          <w:sz w:val="24"/>
          <w:szCs w:val="24"/>
        </w:rPr>
        <w:t>in their official capacities</w:t>
      </w:r>
      <w:r w:rsidR="00F74CCE" w:rsidRPr="00445A7B">
        <w:rPr>
          <w:rFonts w:ascii="Arial" w:hAnsi="Arial" w:cs="Arial"/>
          <w:sz w:val="24"/>
          <w:szCs w:val="24"/>
        </w:rPr>
        <w:t xml:space="preserve"> and did not participate in the proceedings before this court and the court </w:t>
      </w:r>
      <w:r w:rsidR="0087419C" w:rsidRPr="00445A7B">
        <w:rPr>
          <w:rFonts w:ascii="Arial" w:hAnsi="Arial" w:cs="Arial"/>
          <w:i/>
          <w:sz w:val="24"/>
          <w:szCs w:val="24"/>
        </w:rPr>
        <w:t>a quo</w:t>
      </w:r>
      <w:r w:rsidR="00F74CCE" w:rsidRPr="00445A7B">
        <w:rPr>
          <w:rFonts w:ascii="Arial" w:hAnsi="Arial" w:cs="Arial"/>
          <w:sz w:val="24"/>
          <w:szCs w:val="24"/>
        </w:rPr>
        <w:t>.</w:t>
      </w:r>
    </w:p>
    <w:p w:rsidR="008E3DF2" w:rsidRDefault="008E3DF2" w:rsidP="00445A7B">
      <w:pPr>
        <w:spacing w:after="0" w:line="480" w:lineRule="auto"/>
        <w:jc w:val="both"/>
        <w:rPr>
          <w:rFonts w:ascii="Arial" w:hAnsi="Arial" w:cs="Arial"/>
          <w:sz w:val="24"/>
          <w:szCs w:val="24"/>
        </w:rPr>
      </w:pPr>
    </w:p>
    <w:p w:rsidR="008E58E1" w:rsidRPr="00445A7B" w:rsidRDefault="004C2FC3" w:rsidP="00445A7B">
      <w:pPr>
        <w:pStyle w:val="ListParagraph"/>
        <w:numPr>
          <w:ilvl w:val="0"/>
          <w:numId w:val="6"/>
        </w:numPr>
        <w:spacing w:after="0" w:line="480" w:lineRule="auto"/>
        <w:ind w:left="0" w:firstLine="0"/>
        <w:jc w:val="both"/>
        <w:rPr>
          <w:rFonts w:ascii="Arial" w:hAnsi="Arial" w:cs="Arial"/>
          <w:sz w:val="24"/>
          <w:szCs w:val="24"/>
        </w:rPr>
      </w:pPr>
      <w:r w:rsidRPr="00445A7B">
        <w:rPr>
          <w:rFonts w:ascii="Arial" w:hAnsi="Arial" w:cs="Arial"/>
          <w:sz w:val="24"/>
          <w:szCs w:val="24"/>
        </w:rPr>
        <w:t>T</w:t>
      </w:r>
      <w:r w:rsidR="00273306" w:rsidRPr="00445A7B">
        <w:rPr>
          <w:rFonts w:ascii="Arial" w:hAnsi="Arial" w:cs="Arial"/>
          <w:sz w:val="24"/>
          <w:szCs w:val="24"/>
        </w:rPr>
        <w:t xml:space="preserve">he </w:t>
      </w:r>
      <w:r w:rsidR="00CA365B" w:rsidRPr="00445A7B">
        <w:rPr>
          <w:rFonts w:ascii="Arial" w:hAnsi="Arial" w:cs="Arial"/>
          <w:sz w:val="24"/>
          <w:szCs w:val="24"/>
        </w:rPr>
        <w:t>first and second appellant</w:t>
      </w:r>
      <w:r w:rsidR="00417A75" w:rsidRPr="00445A7B">
        <w:rPr>
          <w:rFonts w:ascii="Arial" w:hAnsi="Arial" w:cs="Arial"/>
          <w:sz w:val="24"/>
          <w:szCs w:val="24"/>
        </w:rPr>
        <w:t>s</w:t>
      </w:r>
      <w:r w:rsidR="00CA365B" w:rsidRPr="00445A7B">
        <w:rPr>
          <w:rFonts w:ascii="Arial" w:hAnsi="Arial" w:cs="Arial"/>
          <w:sz w:val="24"/>
          <w:szCs w:val="24"/>
        </w:rPr>
        <w:t xml:space="preserve"> </w:t>
      </w:r>
      <w:r w:rsidR="00DE260E" w:rsidRPr="00445A7B">
        <w:rPr>
          <w:rFonts w:ascii="Arial" w:hAnsi="Arial" w:cs="Arial"/>
          <w:sz w:val="24"/>
          <w:szCs w:val="24"/>
        </w:rPr>
        <w:t>instituted</w:t>
      </w:r>
      <w:r w:rsidR="003D5724" w:rsidRPr="00445A7B">
        <w:rPr>
          <w:rFonts w:ascii="Arial" w:hAnsi="Arial" w:cs="Arial"/>
          <w:sz w:val="24"/>
          <w:szCs w:val="24"/>
        </w:rPr>
        <w:t xml:space="preserve"> an action </w:t>
      </w:r>
      <w:r w:rsidR="00DE260E" w:rsidRPr="00445A7B">
        <w:rPr>
          <w:rFonts w:ascii="Arial" w:hAnsi="Arial" w:cs="Arial"/>
          <w:sz w:val="24"/>
          <w:szCs w:val="24"/>
        </w:rPr>
        <w:t>against</w:t>
      </w:r>
      <w:r w:rsidR="0055287A" w:rsidRPr="00445A7B">
        <w:rPr>
          <w:rFonts w:ascii="Arial" w:hAnsi="Arial" w:cs="Arial"/>
          <w:sz w:val="24"/>
          <w:szCs w:val="24"/>
        </w:rPr>
        <w:t xml:space="preserve"> the first</w:t>
      </w:r>
      <w:r w:rsidR="002E5252" w:rsidRPr="00445A7B">
        <w:rPr>
          <w:rFonts w:ascii="Arial" w:hAnsi="Arial" w:cs="Arial"/>
          <w:sz w:val="24"/>
          <w:szCs w:val="24"/>
        </w:rPr>
        <w:t>, second and</w:t>
      </w:r>
      <w:r w:rsidR="008B0C45" w:rsidRPr="00445A7B">
        <w:rPr>
          <w:rFonts w:ascii="Arial" w:hAnsi="Arial" w:cs="Arial"/>
          <w:sz w:val="24"/>
          <w:szCs w:val="24"/>
        </w:rPr>
        <w:t xml:space="preserve"> </w:t>
      </w:r>
      <w:r w:rsidR="002E5252" w:rsidRPr="00445A7B">
        <w:rPr>
          <w:rFonts w:ascii="Arial" w:hAnsi="Arial" w:cs="Arial"/>
          <w:sz w:val="24"/>
          <w:szCs w:val="24"/>
        </w:rPr>
        <w:t xml:space="preserve">third </w:t>
      </w:r>
      <w:r w:rsidR="00CA365B" w:rsidRPr="00445A7B">
        <w:rPr>
          <w:rFonts w:ascii="Arial" w:hAnsi="Arial" w:cs="Arial"/>
          <w:sz w:val="24"/>
          <w:szCs w:val="24"/>
        </w:rPr>
        <w:t>respondent</w:t>
      </w:r>
      <w:r w:rsidR="00417A75" w:rsidRPr="00445A7B">
        <w:rPr>
          <w:rFonts w:ascii="Arial" w:hAnsi="Arial" w:cs="Arial"/>
          <w:sz w:val="24"/>
          <w:szCs w:val="24"/>
        </w:rPr>
        <w:t>s</w:t>
      </w:r>
      <w:r w:rsidRPr="00445A7B">
        <w:rPr>
          <w:rFonts w:ascii="Arial" w:hAnsi="Arial" w:cs="Arial"/>
          <w:sz w:val="24"/>
          <w:szCs w:val="24"/>
        </w:rPr>
        <w:t xml:space="preserve"> in the High Court</w:t>
      </w:r>
      <w:r w:rsidR="00CA365B" w:rsidRPr="00445A7B">
        <w:rPr>
          <w:rFonts w:ascii="Arial" w:hAnsi="Arial" w:cs="Arial"/>
          <w:sz w:val="24"/>
          <w:szCs w:val="24"/>
        </w:rPr>
        <w:t xml:space="preserve">, </w:t>
      </w:r>
      <w:r w:rsidR="00F53CFC" w:rsidRPr="00445A7B">
        <w:rPr>
          <w:rFonts w:ascii="Arial" w:hAnsi="Arial" w:cs="Arial"/>
          <w:sz w:val="24"/>
          <w:szCs w:val="24"/>
        </w:rPr>
        <w:t xml:space="preserve">seeking an order declaring </w:t>
      </w:r>
      <w:r w:rsidR="004920F9" w:rsidRPr="00445A7B">
        <w:rPr>
          <w:rFonts w:ascii="Arial" w:hAnsi="Arial" w:cs="Arial"/>
          <w:sz w:val="24"/>
          <w:szCs w:val="24"/>
        </w:rPr>
        <w:t xml:space="preserve">an agreement </w:t>
      </w:r>
      <w:r w:rsidR="00D37337" w:rsidRPr="00445A7B">
        <w:rPr>
          <w:rFonts w:ascii="Arial" w:hAnsi="Arial" w:cs="Arial"/>
          <w:sz w:val="24"/>
          <w:szCs w:val="24"/>
        </w:rPr>
        <w:t xml:space="preserve">allegedly </w:t>
      </w:r>
      <w:r w:rsidR="00CA365B" w:rsidRPr="00445A7B">
        <w:rPr>
          <w:rFonts w:ascii="Arial" w:hAnsi="Arial" w:cs="Arial"/>
          <w:sz w:val="24"/>
          <w:szCs w:val="24"/>
        </w:rPr>
        <w:t xml:space="preserve">concluded </w:t>
      </w:r>
      <w:r w:rsidRPr="00445A7B">
        <w:rPr>
          <w:rFonts w:ascii="Arial" w:hAnsi="Arial" w:cs="Arial"/>
          <w:sz w:val="24"/>
          <w:szCs w:val="24"/>
        </w:rPr>
        <w:t xml:space="preserve">between the </w:t>
      </w:r>
      <w:r w:rsidR="00ED0186" w:rsidRPr="00445A7B">
        <w:rPr>
          <w:rFonts w:ascii="Arial" w:hAnsi="Arial" w:cs="Arial"/>
          <w:sz w:val="24"/>
          <w:szCs w:val="24"/>
        </w:rPr>
        <w:t>deceased</w:t>
      </w:r>
      <w:r w:rsidRPr="00445A7B">
        <w:rPr>
          <w:rFonts w:ascii="Arial" w:hAnsi="Arial" w:cs="Arial"/>
          <w:sz w:val="24"/>
          <w:szCs w:val="24"/>
        </w:rPr>
        <w:t xml:space="preserve"> and the first appellant illegal and unenforceable. </w:t>
      </w:r>
      <w:r w:rsidR="00F37586" w:rsidRPr="00445A7B">
        <w:rPr>
          <w:rFonts w:ascii="Arial" w:hAnsi="Arial" w:cs="Arial"/>
          <w:sz w:val="24"/>
          <w:szCs w:val="24"/>
        </w:rPr>
        <w:t xml:space="preserve">The appellants </w:t>
      </w:r>
      <w:r w:rsidR="00983902" w:rsidRPr="00445A7B">
        <w:rPr>
          <w:rFonts w:ascii="Arial" w:hAnsi="Arial" w:cs="Arial"/>
          <w:sz w:val="24"/>
          <w:szCs w:val="24"/>
        </w:rPr>
        <w:t xml:space="preserve">further </w:t>
      </w:r>
      <w:r w:rsidR="00F37586" w:rsidRPr="00445A7B">
        <w:rPr>
          <w:rFonts w:ascii="Arial" w:hAnsi="Arial" w:cs="Arial"/>
          <w:sz w:val="24"/>
          <w:szCs w:val="24"/>
        </w:rPr>
        <w:t xml:space="preserve">sought </w:t>
      </w:r>
      <w:r w:rsidRPr="00445A7B">
        <w:rPr>
          <w:rFonts w:ascii="Arial" w:hAnsi="Arial" w:cs="Arial"/>
          <w:sz w:val="24"/>
          <w:szCs w:val="24"/>
        </w:rPr>
        <w:t>an order cancelling a</w:t>
      </w:r>
      <w:r w:rsidR="00F37586" w:rsidRPr="00445A7B">
        <w:rPr>
          <w:rFonts w:ascii="Arial" w:hAnsi="Arial" w:cs="Arial"/>
          <w:sz w:val="24"/>
          <w:szCs w:val="24"/>
        </w:rPr>
        <w:t xml:space="preserve"> usufruct registered in favo</w:t>
      </w:r>
      <w:r w:rsidR="001A1DC4" w:rsidRPr="00445A7B">
        <w:rPr>
          <w:rFonts w:ascii="Arial" w:hAnsi="Arial" w:cs="Arial"/>
          <w:sz w:val="24"/>
          <w:szCs w:val="24"/>
        </w:rPr>
        <w:t>u</w:t>
      </w:r>
      <w:r w:rsidR="00F37586" w:rsidRPr="00445A7B">
        <w:rPr>
          <w:rFonts w:ascii="Arial" w:hAnsi="Arial" w:cs="Arial"/>
          <w:sz w:val="24"/>
          <w:szCs w:val="24"/>
        </w:rPr>
        <w:t xml:space="preserve">r of the first respondent over Farm Kalkwerf Portion </w:t>
      </w:r>
      <w:r w:rsidR="00CC41A0" w:rsidRPr="00445A7B">
        <w:rPr>
          <w:rFonts w:ascii="Arial" w:hAnsi="Arial" w:cs="Arial"/>
          <w:sz w:val="24"/>
          <w:szCs w:val="24"/>
        </w:rPr>
        <w:t>1 of Farm Florence Number 249 (</w:t>
      </w:r>
      <w:r w:rsidR="00F37586" w:rsidRPr="00445A7B">
        <w:rPr>
          <w:rFonts w:ascii="Arial" w:hAnsi="Arial" w:cs="Arial"/>
          <w:sz w:val="24"/>
          <w:szCs w:val="24"/>
        </w:rPr>
        <w:t>the farm)</w:t>
      </w:r>
      <w:r w:rsidRPr="00445A7B">
        <w:rPr>
          <w:rFonts w:ascii="Arial" w:hAnsi="Arial" w:cs="Arial"/>
          <w:sz w:val="24"/>
          <w:szCs w:val="24"/>
        </w:rPr>
        <w:t xml:space="preserve">. The appellants </w:t>
      </w:r>
      <w:r w:rsidR="00983902" w:rsidRPr="00445A7B">
        <w:rPr>
          <w:rFonts w:ascii="Arial" w:hAnsi="Arial" w:cs="Arial"/>
          <w:sz w:val="24"/>
          <w:szCs w:val="24"/>
        </w:rPr>
        <w:t xml:space="preserve">also </w:t>
      </w:r>
      <w:r w:rsidRPr="00445A7B">
        <w:rPr>
          <w:rFonts w:ascii="Arial" w:hAnsi="Arial" w:cs="Arial"/>
          <w:sz w:val="24"/>
          <w:szCs w:val="24"/>
        </w:rPr>
        <w:t xml:space="preserve">sought an order ejecting the </w:t>
      </w:r>
      <w:r w:rsidR="00F37586" w:rsidRPr="00445A7B">
        <w:rPr>
          <w:rFonts w:ascii="Arial" w:hAnsi="Arial" w:cs="Arial"/>
          <w:sz w:val="24"/>
          <w:szCs w:val="24"/>
        </w:rPr>
        <w:t>first respondent from the farm</w:t>
      </w:r>
      <w:r w:rsidR="00ED0186" w:rsidRPr="00445A7B">
        <w:rPr>
          <w:rFonts w:ascii="Arial" w:hAnsi="Arial" w:cs="Arial"/>
          <w:sz w:val="24"/>
          <w:szCs w:val="24"/>
        </w:rPr>
        <w:t xml:space="preserve"> and </w:t>
      </w:r>
      <w:r w:rsidR="00CB1EB5" w:rsidRPr="00445A7B">
        <w:rPr>
          <w:rFonts w:ascii="Arial" w:hAnsi="Arial" w:cs="Arial"/>
          <w:sz w:val="24"/>
          <w:szCs w:val="24"/>
        </w:rPr>
        <w:t xml:space="preserve">the </w:t>
      </w:r>
      <w:r w:rsidR="00ED0186" w:rsidRPr="00445A7B">
        <w:rPr>
          <w:rFonts w:ascii="Arial" w:hAnsi="Arial" w:cs="Arial"/>
          <w:sz w:val="24"/>
          <w:szCs w:val="24"/>
        </w:rPr>
        <w:t>costs of suit</w:t>
      </w:r>
      <w:r w:rsidR="00F37586" w:rsidRPr="00445A7B">
        <w:rPr>
          <w:rFonts w:ascii="Arial" w:hAnsi="Arial" w:cs="Arial"/>
          <w:sz w:val="24"/>
          <w:szCs w:val="24"/>
        </w:rPr>
        <w:t xml:space="preserve">. </w:t>
      </w:r>
    </w:p>
    <w:p w:rsidR="00F37586" w:rsidRPr="005B410C" w:rsidRDefault="00F37586" w:rsidP="00445A7B">
      <w:pPr>
        <w:spacing w:after="0" w:line="480" w:lineRule="auto"/>
        <w:jc w:val="both"/>
        <w:rPr>
          <w:rFonts w:ascii="Arial" w:hAnsi="Arial" w:cs="Arial"/>
          <w:sz w:val="24"/>
          <w:szCs w:val="24"/>
        </w:rPr>
      </w:pPr>
    </w:p>
    <w:p w:rsidR="00590155" w:rsidRPr="00445A7B" w:rsidRDefault="008B5191" w:rsidP="00445A7B">
      <w:pPr>
        <w:pStyle w:val="ListParagraph"/>
        <w:numPr>
          <w:ilvl w:val="0"/>
          <w:numId w:val="6"/>
        </w:numPr>
        <w:spacing w:after="0" w:line="480" w:lineRule="auto"/>
        <w:ind w:left="0" w:firstLine="0"/>
        <w:jc w:val="both"/>
        <w:rPr>
          <w:rFonts w:ascii="Arial" w:hAnsi="Arial" w:cs="Arial"/>
          <w:sz w:val="24"/>
          <w:szCs w:val="24"/>
        </w:rPr>
      </w:pPr>
      <w:r w:rsidRPr="00445A7B">
        <w:rPr>
          <w:rFonts w:ascii="Arial" w:hAnsi="Arial" w:cs="Arial"/>
          <w:sz w:val="24"/>
          <w:szCs w:val="24"/>
        </w:rPr>
        <w:t>The appellants’ claim</w:t>
      </w:r>
      <w:r w:rsidR="00D37337" w:rsidRPr="00445A7B">
        <w:rPr>
          <w:rFonts w:ascii="Arial" w:hAnsi="Arial" w:cs="Arial"/>
          <w:sz w:val="24"/>
          <w:szCs w:val="24"/>
        </w:rPr>
        <w:t>s</w:t>
      </w:r>
      <w:r w:rsidRPr="00445A7B">
        <w:rPr>
          <w:rFonts w:ascii="Arial" w:hAnsi="Arial" w:cs="Arial"/>
          <w:sz w:val="24"/>
          <w:szCs w:val="24"/>
        </w:rPr>
        <w:t xml:space="preserve"> against the </w:t>
      </w:r>
      <w:r w:rsidR="00CB1EB5" w:rsidRPr="00445A7B">
        <w:rPr>
          <w:rFonts w:ascii="Arial" w:hAnsi="Arial" w:cs="Arial"/>
          <w:sz w:val="24"/>
          <w:szCs w:val="24"/>
        </w:rPr>
        <w:t xml:space="preserve">respondents </w:t>
      </w:r>
      <w:r w:rsidR="00D37337" w:rsidRPr="00445A7B">
        <w:rPr>
          <w:rFonts w:ascii="Arial" w:hAnsi="Arial" w:cs="Arial"/>
          <w:sz w:val="24"/>
          <w:szCs w:val="24"/>
        </w:rPr>
        <w:t>are</w:t>
      </w:r>
      <w:r w:rsidRPr="00445A7B">
        <w:rPr>
          <w:rFonts w:ascii="Arial" w:hAnsi="Arial" w:cs="Arial"/>
          <w:sz w:val="24"/>
          <w:szCs w:val="24"/>
        </w:rPr>
        <w:t xml:space="preserve"> </w:t>
      </w:r>
      <w:r w:rsidR="005B410C" w:rsidRPr="00445A7B">
        <w:rPr>
          <w:rFonts w:ascii="Arial" w:hAnsi="Arial" w:cs="Arial"/>
          <w:color w:val="000000" w:themeColor="text1"/>
          <w:sz w:val="24"/>
          <w:szCs w:val="24"/>
        </w:rPr>
        <w:t xml:space="preserve">founded </w:t>
      </w:r>
      <w:r w:rsidR="00D37337" w:rsidRPr="00445A7B">
        <w:rPr>
          <w:rFonts w:ascii="Arial" w:hAnsi="Arial" w:cs="Arial"/>
          <w:color w:val="000000" w:themeColor="text1"/>
          <w:sz w:val="24"/>
          <w:szCs w:val="24"/>
        </w:rPr>
        <w:t>up</w:t>
      </w:r>
      <w:r w:rsidR="005B410C" w:rsidRPr="00445A7B">
        <w:rPr>
          <w:rFonts w:ascii="Arial" w:hAnsi="Arial" w:cs="Arial"/>
          <w:color w:val="000000" w:themeColor="text1"/>
          <w:sz w:val="24"/>
          <w:szCs w:val="24"/>
        </w:rPr>
        <w:t xml:space="preserve">on an oral agreement allegedly </w:t>
      </w:r>
      <w:r w:rsidR="00417A75" w:rsidRPr="00445A7B">
        <w:rPr>
          <w:rFonts w:ascii="Arial" w:hAnsi="Arial" w:cs="Arial"/>
          <w:color w:val="000000" w:themeColor="text1"/>
          <w:sz w:val="24"/>
          <w:szCs w:val="24"/>
        </w:rPr>
        <w:t xml:space="preserve">entered into </w:t>
      </w:r>
      <w:r w:rsidR="005B410C" w:rsidRPr="00445A7B">
        <w:rPr>
          <w:rFonts w:ascii="Arial" w:hAnsi="Arial" w:cs="Arial"/>
          <w:color w:val="000000" w:themeColor="text1"/>
          <w:sz w:val="24"/>
          <w:szCs w:val="24"/>
        </w:rPr>
        <w:t xml:space="preserve">between </w:t>
      </w:r>
      <w:r w:rsidR="005B410C" w:rsidRPr="00445A7B">
        <w:rPr>
          <w:rFonts w:ascii="Arial" w:hAnsi="Arial" w:cs="Arial"/>
          <w:sz w:val="24"/>
          <w:szCs w:val="24"/>
        </w:rPr>
        <w:t>the</w:t>
      </w:r>
      <w:r w:rsidR="00341188" w:rsidRPr="00445A7B">
        <w:rPr>
          <w:rFonts w:ascii="Arial" w:hAnsi="Arial" w:cs="Arial"/>
          <w:sz w:val="24"/>
          <w:szCs w:val="24"/>
        </w:rPr>
        <w:t xml:space="preserve"> deceased</w:t>
      </w:r>
      <w:r w:rsidR="005B410C" w:rsidRPr="00445A7B">
        <w:rPr>
          <w:rFonts w:ascii="Arial" w:hAnsi="Arial" w:cs="Arial"/>
          <w:sz w:val="24"/>
          <w:szCs w:val="24"/>
        </w:rPr>
        <w:t xml:space="preserve"> and the first respondent, </w:t>
      </w:r>
      <w:r w:rsidR="00417A75" w:rsidRPr="00445A7B">
        <w:rPr>
          <w:rFonts w:ascii="Arial" w:hAnsi="Arial" w:cs="Arial"/>
          <w:sz w:val="24"/>
          <w:szCs w:val="24"/>
        </w:rPr>
        <w:t xml:space="preserve">the latter being </w:t>
      </w:r>
      <w:r w:rsidR="005B410C" w:rsidRPr="00445A7B">
        <w:rPr>
          <w:rFonts w:ascii="Arial" w:hAnsi="Arial" w:cs="Arial"/>
          <w:sz w:val="24"/>
          <w:szCs w:val="24"/>
        </w:rPr>
        <w:t>represented by one Mr P</w:t>
      </w:r>
      <w:r w:rsidR="00417A75" w:rsidRPr="00445A7B">
        <w:rPr>
          <w:rFonts w:ascii="Arial" w:hAnsi="Arial" w:cs="Arial"/>
          <w:sz w:val="24"/>
          <w:szCs w:val="24"/>
        </w:rPr>
        <w:t>i</w:t>
      </w:r>
      <w:r w:rsidR="005B410C" w:rsidRPr="00445A7B">
        <w:rPr>
          <w:rFonts w:ascii="Arial" w:hAnsi="Arial" w:cs="Arial"/>
          <w:sz w:val="24"/>
          <w:szCs w:val="24"/>
        </w:rPr>
        <w:t>et Louw</w:t>
      </w:r>
      <w:r w:rsidR="005B410C" w:rsidRPr="00445A7B">
        <w:rPr>
          <w:rFonts w:ascii="Arial" w:hAnsi="Arial" w:cs="Arial"/>
          <w:color w:val="000000" w:themeColor="text1"/>
          <w:sz w:val="24"/>
          <w:szCs w:val="24"/>
        </w:rPr>
        <w:t xml:space="preserve"> in 2005</w:t>
      </w:r>
      <w:r w:rsidR="00590155" w:rsidRPr="00445A7B">
        <w:rPr>
          <w:rFonts w:ascii="Arial" w:hAnsi="Arial" w:cs="Arial"/>
          <w:sz w:val="24"/>
          <w:szCs w:val="24"/>
        </w:rPr>
        <w:t xml:space="preserve">. </w:t>
      </w:r>
      <w:r w:rsidR="005B410C" w:rsidRPr="00445A7B">
        <w:rPr>
          <w:rFonts w:ascii="Arial" w:hAnsi="Arial" w:cs="Arial"/>
          <w:sz w:val="24"/>
          <w:szCs w:val="24"/>
        </w:rPr>
        <w:t>T</w:t>
      </w:r>
      <w:r w:rsidR="00590155" w:rsidRPr="00445A7B">
        <w:rPr>
          <w:rFonts w:ascii="Arial" w:hAnsi="Arial" w:cs="Arial"/>
          <w:sz w:val="24"/>
          <w:szCs w:val="24"/>
        </w:rPr>
        <w:t>he appellants</w:t>
      </w:r>
      <w:r w:rsidR="005B410C" w:rsidRPr="00445A7B">
        <w:rPr>
          <w:rFonts w:ascii="Arial" w:hAnsi="Arial" w:cs="Arial"/>
          <w:sz w:val="24"/>
          <w:szCs w:val="24"/>
        </w:rPr>
        <w:t xml:space="preserve">, in their particulars of claim, </w:t>
      </w:r>
      <w:r w:rsidR="00590155" w:rsidRPr="00445A7B">
        <w:rPr>
          <w:rFonts w:ascii="Arial" w:hAnsi="Arial" w:cs="Arial"/>
          <w:sz w:val="24"/>
          <w:szCs w:val="24"/>
        </w:rPr>
        <w:t>aver</w:t>
      </w:r>
      <w:r w:rsidR="00222EBD" w:rsidRPr="00445A7B">
        <w:rPr>
          <w:rFonts w:ascii="Arial" w:hAnsi="Arial" w:cs="Arial"/>
          <w:sz w:val="24"/>
          <w:szCs w:val="24"/>
        </w:rPr>
        <w:t>red</w:t>
      </w:r>
      <w:r w:rsidR="00590155" w:rsidRPr="00445A7B">
        <w:rPr>
          <w:rFonts w:ascii="Arial" w:hAnsi="Arial" w:cs="Arial"/>
          <w:sz w:val="24"/>
          <w:szCs w:val="24"/>
        </w:rPr>
        <w:t xml:space="preserve"> that the terms of</w:t>
      </w:r>
      <w:r w:rsidR="0088637A" w:rsidRPr="00445A7B">
        <w:rPr>
          <w:rFonts w:ascii="Arial" w:hAnsi="Arial" w:cs="Arial"/>
          <w:sz w:val="24"/>
          <w:szCs w:val="24"/>
        </w:rPr>
        <w:t xml:space="preserve"> the </w:t>
      </w:r>
      <w:r w:rsidR="00590155" w:rsidRPr="00445A7B">
        <w:rPr>
          <w:rFonts w:ascii="Arial" w:hAnsi="Arial" w:cs="Arial"/>
          <w:sz w:val="24"/>
          <w:szCs w:val="24"/>
        </w:rPr>
        <w:t xml:space="preserve">agreement </w:t>
      </w:r>
      <w:r w:rsidR="00E93082" w:rsidRPr="00445A7B">
        <w:rPr>
          <w:rFonts w:ascii="Arial" w:hAnsi="Arial" w:cs="Arial"/>
          <w:sz w:val="24"/>
          <w:szCs w:val="24"/>
        </w:rPr>
        <w:t>were</w:t>
      </w:r>
      <w:r w:rsidR="00590155" w:rsidRPr="00445A7B">
        <w:rPr>
          <w:rFonts w:ascii="Arial" w:hAnsi="Arial" w:cs="Arial"/>
          <w:sz w:val="24"/>
          <w:szCs w:val="24"/>
        </w:rPr>
        <w:t xml:space="preserve">, </w:t>
      </w:r>
      <w:r w:rsidR="00CE54EF" w:rsidRPr="00445A7B">
        <w:rPr>
          <w:rFonts w:ascii="Arial" w:hAnsi="Arial" w:cs="Arial"/>
          <w:sz w:val="24"/>
          <w:szCs w:val="24"/>
        </w:rPr>
        <w:t>amongst others</w:t>
      </w:r>
      <w:r w:rsidR="00590155" w:rsidRPr="00445A7B">
        <w:rPr>
          <w:rFonts w:ascii="Arial" w:hAnsi="Arial" w:cs="Arial"/>
          <w:sz w:val="24"/>
          <w:szCs w:val="24"/>
        </w:rPr>
        <w:t xml:space="preserve">, that the </w:t>
      </w:r>
      <w:r w:rsidR="00341188" w:rsidRPr="00445A7B">
        <w:rPr>
          <w:rFonts w:ascii="Arial" w:hAnsi="Arial" w:cs="Arial"/>
          <w:sz w:val="24"/>
          <w:szCs w:val="24"/>
        </w:rPr>
        <w:t>deceased</w:t>
      </w:r>
      <w:r w:rsidR="00590155" w:rsidRPr="00445A7B">
        <w:rPr>
          <w:rFonts w:ascii="Arial" w:hAnsi="Arial" w:cs="Arial"/>
          <w:sz w:val="24"/>
          <w:szCs w:val="24"/>
        </w:rPr>
        <w:t xml:space="preserve"> </w:t>
      </w:r>
      <w:r w:rsidR="00717FC2" w:rsidRPr="00445A7B">
        <w:rPr>
          <w:rFonts w:ascii="Arial" w:hAnsi="Arial" w:cs="Arial"/>
          <w:sz w:val="24"/>
          <w:szCs w:val="24"/>
        </w:rPr>
        <w:t xml:space="preserve">would </w:t>
      </w:r>
      <w:r w:rsidR="00590155" w:rsidRPr="00445A7B">
        <w:rPr>
          <w:rFonts w:ascii="Arial" w:hAnsi="Arial" w:cs="Arial"/>
          <w:sz w:val="24"/>
          <w:szCs w:val="24"/>
        </w:rPr>
        <w:t>cause a lifelong usufruct to be registered in favour of the first respondent</w:t>
      </w:r>
      <w:r w:rsidR="00E93082" w:rsidRPr="00445A7B">
        <w:rPr>
          <w:rFonts w:ascii="Arial" w:hAnsi="Arial" w:cs="Arial"/>
          <w:sz w:val="24"/>
          <w:szCs w:val="24"/>
        </w:rPr>
        <w:t xml:space="preserve"> over the farm</w:t>
      </w:r>
      <w:r w:rsidR="00590155" w:rsidRPr="00445A7B">
        <w:rPr>
          <w:rFonts w:ascii="Arial" w:hAnsi="Arial" w:cs="Arial"/>
          <w:sz w:val="24"/>
          <w:szCs w:val="24"/>
        </w:rPr>
        <w:t xml:space="preserve">; the </w:t>
      </w:r>
      <w:r w:rsidR="00341188" w:rsidRPr="00445A7B">
        <w:rPr>
          <w:rFonts w:ascii="Arial" w:hAnsi="Arial" w:cs="Arial"/>
          <w:sz w:val="24"/>
          <w:szCs w:val="24"/>
        </w:rPr>
        <w:t>deceased</w:t>
      </w:r>
      <w:r w:rsidR="00590155" w:rsidRPr="00445A7B">
        <w:rPr>
          <w:rFonts w:ascii="Arial" w:hAnsi="Arial" w:cs="Arial"/>
          <w:sz w:val="24"/>
          <w:szCs w:val="24"/>
        </w:rPr>
        <w:t xml:space="preserve"> </w:t>
      </w:r>
      <w:r w:rsidR="00717FC2" w:rsidRPr="00445A7B">
        <w:rPr>
          <w:rFonts w:ascii="Arial" w:hAnsi="Arial" w:cs="Arial"/>
          <w:sz w:val="24"/>
          <w:szCs w:val="24"/>
        </w:rPr>
        <w:t xml:space="preserve">would, </w:t>
      </w:r>
      <w:r w:rsidR="00590155" w:rsidRPr="00445A7B">
        <w:rPr>
          <w:rFonts w:ascii="Arial" w:hAnsi="Arial" w:cs="Arial"/>
          <w:sz w:val="24"/>
          <w:szCs w:val="24"/>
        </w:rPr>
        <w:t>in his last will and testament, bequeath the farm to the first respondent</w:t>
      </w:r>
      <w:r w:rsidR="00CE54EF" w:rsidRPr="00445A7B">
        <w:rPr>
          <w:rFonts w:ascii="Arial" w:hAnsi="Arial" w:cs="Arial"/>
          <w:sz w:val="24"/>
          <w:szCs w:val="24"/>
        </w:rPr>
        <w:t>,</w:t>
      </w:r>
      <w:r w:rsidR="005B410C" w:rsidRPr="00445A7B">
        <w:rPr>
          <w:rFonts w:ascii="Arial" w:hAnsi="Arial" w:cs="Arial"/>
          <w:sz w:val="24"/>
          <w:szCs w:val="24"/>
        </w:rPr>
        <w:t xml:space="preserve"> and </w:t>
      </w:r>
      <w:r w:rsidR="00D313B5" w:rsidRPr="00445A7B">
        <w:rPr>
          <w:rFonts w:ascii="Arial" w:hAnsi="Arial" w:cs="Arial"/>
          <w:sz w:val="24"/>
          <w:szCs w:val="24"/>
        </w:rPr>
        <w:t xml:space="preserve">that </w:t>
      </w:r>
      <w:r w:rsidR="005B410C" w:rsidRPr="00445A7B">
        <w:rPr>
          <w:rFonts w:ascii="Arial" w:hAnsi="Arial" w:cs="Arial"/>
          <w:sz w:val="24"/>
          <w:szCs w:val="24"/>
        </w:rPr>
        <w:t xml:space="preserve">the first respondent </w:t>
      </w:r>
      <w:r w:rsidR="00717FC2" w:rsidRPr="00445A7B">
        <w:rPr>
          <w:rFonts w:ascii="Arial" w:hAnsi="Arial" w:cs="Arial"/>
          <w:sz w:val="24"/>
          <w:szCs w:val="24"/>
        </w:rPr>
        <w:t xml:space="preserve">would </w:t>
      </w:r>
      <w:r w:rsidR="005B410C" w:rsidRPr="00445A7B">
        <w:rPr>
          <w:rFonts w:ascii="Arial" w:hAnsi="Arial" w:cs="Arial"/>
          <w:sz w:val="24"/>
          <w:szCs w:val="24"/>
        </w:rPr>
        <w:t xml:space="preserve">pay the </w:t>
      </w:r>
      <w:r w:rsidR="00341188" w:rsidRPr="00445A7B">
        <w:rPr>
          <w:rFonts w:ascii="Arial" w:hAnsi="Arial" w:cs="Arial"/>
          <w:sz w:val="24"/>
          <w:szCs w:val="24"/>
        </w:rPr>
        <w:t>deceased</w:t>
      </w:r>
      <w:r w:rsidR="00CC41A0" w:rsidRPr="00445A7B">
        <w:rPr>
          <w:rFonts w:ascii="Arial" w:hAnsi="Arial" w:cs="Arial"/>
          <w:sz w:val="24"/>
          <w:szCs w:val="24"/>
        </w:rPr>
        <w:t xml:space="preserve"> an amount of N$1 </w:t>
      </w:r>
      <w:r w:rsidR="005B410C" w:rsidRPr="00445A7B">
        <w:rPr>
          <w:rFonts w:ascii="Arial" w:hAnsi="Arial" w:cs="Arial"/>
          <w:sz w:val="24"/>
          <w:szCs w:val="24"/>
        </w:rPr>
        <w:t>350</w:t>
      </w:r>
      <w:r w:rsidR="00AF3980">
        <w:rPr>
          <w:rFonts w:ascii="Arial" w:hAnsi="Arial" w:cs="Arial"/>
          <w:sz w:val="24"/>
          <w:szCs w:val="24"/>
        </w:rPr>
        <w:t> 000.</w:t>
      </w:r>
    </w:p>
    <w:p w:rsidR="008B5191" w:rsidRPr="00724959" w:rsidRDefault="008B5191" w:rsidP="00445A7B">
      <w:pPr>
        <w:spacing w:after="0" w:line="480" w:lineRule="auto"/>
        <w:jc w:val="both"/>
        <w:rPr>
          <w:rFonts w:ascii="Arial" w:hAnsi="Arial" w:cs="Arial"/>
          <w:sz w:val="24"/>
          <w:szCs w:val="24"/>
        </w:rPr>
      </w:pPr>
    </w:p>
    <w:p w:rsidR="003E590D" w:rsidRPr="00445A7B" w:rsidRDefault="0088637A" w:rsidP="00445A7B">
      <w:pPr>
        <w:pStyle w:val="ListParagraph"/>
        <w:numPr>
          <w:ilvl w:val="0"/>
          <w:numId w:val="6"/>
        </w:numPr>
        <w:spacing w:after="0" w:line="480" w:lineRule="auto"/>
        <w:ind w:left="0" w:firstLine="0"/>
        <w:jc w:val="both"/>
        <w:rPr>
          <w:rFonts w:ascii="Arial" w:hAnsi="Arial" w:cs="Arial"/>
          <w:sz w:val="24"/>
          <w:szCs w:val="24"/>
        </w:rPr>
      </w:pPr>
      <w:r w:rsidRPr="00445A7B">
        <w:rPr>
          <w:rFonts w:ascii="Arial" w:hAnsi="Arial" w:cs="Arial"/>
          <w:sz w:val="24"/>
          <w:szCs w:val="24"/>
        </w:rPr>
        <w:lastRenderedPageBreak/>
        <w:t xml:space="preserve">The appellants further </w:t>
      </w:r>
      <w:r w:rsidR="00E93082" w:rsidRPr="00445A7B">
        <w:rPr>
          <w:rFonts w:ascii="Arial" w:hAnsi="Arial" w:cs="Arial"/>
          <w:sz w:val="24"/>
          <w:szCs w:val="24"/>
        </w:rPr>
        <w:t xml:space="preserve">averred </w:t>
      </w:r>
      <w:r w:rsidRPr="00445A7B">
        <w:rPr>
          <w:rFonts w:ascii="Arial" w:hAnsi="Arial" w:cs="Arial"/>
          <w:sz w:val="24"/>
          <w:szCs w:val="24"/>
        </w:rPr>
        <w:t>t</w:t>
      </w:r>
      <w:r w:rsidR="00E93082" w:rsidRPr="00445A7B">
        <w:rPr>
          <w:rFonts w:ascii="Arial" w:hAnsi="Arial" w:cs="Arial"/>
          <w:sz w:val="24"/>
          <w:szCs w:val="24"/>
        </w:rPr>
        <w:t xml:space="preserve">hat </w:t>
      </w:r>
      <w:r w:rsidRPr="00445A7B">
        <w:rPr>
          <w:rFonts w:ascii="Arial" w:hAnsi="Arial" w:cs="Arial"/>
          <w:sz w:val="24"/>
          <w:szCs w:val="24"/>
        </w:rPr>
        <w:t xml:space="preserve">in terms of the agreement, </w:t>
      </w:r>
      <w:r w:rsidR="005B410C" w:rsidRPr="00445A7B">
        <w:rPr>
          <w:rFonts w:ascii="Arial" w:hAnsi="Arial" w:cs="Arial"/>
          <w:sz w:val="24"/>
          <w:szCs w:val="24"/>
        </w:rPr>
        <w:t>a 99-</w:t>
      </w:r>
      <w:r w:rsidR="00DF6C4C" w:rsidRPr="00445A7B">
        <w:rPr>
          <w:rFonts w:ascii="Arial" w:hAnsi="Arial" w:cs="Arial"/>
          <w:sz w:val="24"/>
          <w:szCs w:val="24"/>
        </w:rPr>
        <w:t xml:space="preserve">year usufruct </w:t>
      </w:r>
      <w:r w:rsidRPr="00445A7B">
        <w:rPr>
          <w:rFonts w:ascii="Arial" w:hAnsi="Arial" w:cs="Arial"/>
          <w:sz w:val="24"/>
          <w:szCs w:val="24"/>
        </w:rPr>
        <w:t xml:space="preserve">was registered </w:t>
      </w:r>
      <w:r w:rsidR="00DF6C4C" w:rsidRPr="00445A7B">
        <w:rPr>
          <w:rFonts w:ascii="Arial" w:hAnsi="Arial" w:cs="Arial"/>
          <w:sz w:val="24"/>
          <w:szCs w:val="24"/>
        </w:rPr>
        <w:t xml:space="preserve">over the farm in favour of the first respondent and </w:t>
      </w:r>
      <w:r w:rsidRPr="00445A7B">
        <w:rPr>
          <w:rFonts w:ascii="Arial" w:hAnsi="Arial" w:cs="Arial"/>
          <w:sz w:val="24"/>
          <w:szCs w:val="24"/>
        </w:rPr>
        <w:t xml:space="preserve">the </w:t>
      </w:r>
      <w:r w:rsidR="00E04F02" w:rsidRPr="00445A7B">
        <w:rPr>
          <w:rFonts w:ascii="Arial" w:hAnsi="Arial" w:cs="Arial"/>
          <w:sz w:val="24"/>
          <w:szCs w:val="24"/>
        </w:rPr>
        <w:t>deceased was paid the</w:t>
      </w:r>
      <w:r w:rsidR="00253DA1" w:rsidRPr="00445A7B">
        <w:rPr>
          <w:rFonts w:ascii="Arial" w:hAnsi="Arial" w:cs="Arial"/>
          <w:sz w:val="24"/>
          <w:szCs w:val="24"/>
        </w:rPr>
        <w:t xml:space="preserve"> </w:t>
      </w:r>
      <w:r w:rsidR="002D459F" w:rsidRPr="00445A7B">
        <w:rPr>
          <w:rFonts w:ascii="Arial" w:hAnsi="Arial" w:cs="Arial"/>
          <w:sz w:val="24"/>
          <w:szCs w:val="24"/>
        </w:rPr>
        <w:t xml:space="preserve">agreed amount. </w:t>
      </w:r>
      <w:r w:rsidR="00DF6C4C" w:rsidRPr="00445A7B">
        <w:rPr>
          <w:rFonts w:ascii="Arial" w:hAnsi="Arial" w:cs="Arial"/>
          <w:sz w:val="24"/>
          <w:szCs w:val="24"/>
        </w:rPr>
        <w:t xml:space="preserve"> </w:t>
      </w:r>
    </w:p>
    <w:p w:rsidR="008E3DF2" w:rsidRDefault="008E3DF2" w:rsidP="00445A7B">
      <w:pPr>
        <w:spacing w:after="0" w:line="480" w:lineRule="auto"/>
        <w:jc w:val="both"/>
        <w:rPr>
          <w:rFonts w:ascii="Arial" w:hAnsi="Arial" w:cs="Arial"/>
          <w:sz w:val="24"/>
          <w:szCs w:val="24"/>
        </w:rPr>
      </w:pPr>
    </w:p>
    <w:p w:rsidR="00C206B0" w:rsidRPr="00445A7B" w:rsidRDefault="00ED0186" w:rsidP="00445A7B">
      <w:pPr>
        <w:pStyle w:val="ListParagraph"/>
        <w:numPr>
          <w:ilvl w:val="0"/>
          <w:numId w:val="6"/>
        </w:numPr>
        <w:spacing w:after="0" w:line="480" w:lineRule="auto"/>
        <w:ind w:left="0" w:firstLine="0"/>
        <w:jc w:val="both"/>
        <w:rPr>
          <w:rFonts w:ascii="Arial" w:hAnsi="Arial" w:cs="Arial"/>
          <w:sz w:val="24"/>
          <w:szCs w:val="24"/>
        </w:rPr>
      </w:pPr>
      <w:r w:rsidRPr="00445A7B">
        <w:rPr>
          <w:rFonts w:ascii="Arial" w:eastAsia="Courier New" w:hAnsi="Arial" w:cs="Arial"/>
          <w:color w:val="000000"/>
          <w:sz w:val="24"/>
          <w:szCs w:val="24"/>
        </w:rPr>
        <w:t xml:space="preserve">The </w:t>
      </w:r>
      <w:r w:rsidR="00E33D69" w:rsidRPr="00445A7B">
        <w:rPr>
          <w:rFonts w:ascii="Arial" w:eastAsia="Courier New" w:hAnsi="Arial" w:cs="Arial"/>
          <w:color w:val="000000"/>
          <w:sz w:val="24"/>
          <w:szCs w:val="24"/>
        </w:rPr>
        <w:t>appellants’</w:t>
      </w:r>
      <w:r w:rsidRPr="00445A7B">
        <w:rPr>
          <w:rFonts w:ascii="Arial" w:eastAsia="Courier New" w:hAnsi="Arial" w:cs="Arial"/>
          <w:color w:val="000000"/>
          <w:sz w:val="24"/>
          <w:szCs w:val="24"/>
        </w:rPr>
        <w:t xml:space="preserve"> com</w:t>
      </w:r>
      <w:r w:rsidR="00E33D69" w:rsidRPr="00445A7B">
        <w:rPr>
          <w:rFonts w:ascii="Arial" w:eastAsia="Courier New" w:hAnsi="Arial" w:cs="Arial"/>
          <w:color w:val="000000"/>
          <w:sz w:val="24"/>
          <w:szCs w:val="24"/>
        </w:rPr>
        <w:t>plaint, as related in their</w:t>
      </w:r>
      <w:r w:rsidRPr="00445A7B">
        <w:rPr>
          <w:rFonts w:ascii="Arial" w:eastAsia="Courier New" w:hAnsi="Arial" w:cs="Arial"/>
          <w:color w:val="000000"/>
          <w:sz w:val="24"/>
          <w:szCs w:val="24"/>
        </w:rPr>
        <w:t xml:space="preserve"> particulars of claim, </w:t>
      </w:r>
      <w:r w:rsidR="00E33D69" w:rsidRPr="00445A7B">
        <w:rPr>
          <w:rFonts w:ascii="Arial" w:eastAsia="Courier New" w:hAnsi="Arial" w:cs="Arial"/>
          <w:color w:val="000000"/>
          <w:sz w:val="24"/>
          <w:szCs w:val="24"/>
        </w:rPr>
        <w:t>was that t</w:t>
      </w:r>
      <w:r w:rsidR="00DF6C4C" w:rsidRPr="00445A7B">
        <w:rPr>
          <w:rFonts w:ascii="Arial" w:hAnsi="Arial" w:cs="Arial"/>
          <w:sz w:val="24"/>
          <w:szCs w:val="24"/>
        </w:rPr>
        <w:t xml:space="preserve">he </w:t>
      </w:r>
      <w:r w:rsidR="00E33D69" w:rsidRPr="00445A7B">
        <w:rPr>
          <w:rFonts w:ascii="Arial" w:hAnsi="Arial" w:cs="Arial"/>
          <w:sz w:val="24"/>
          <w:szCs w:val="24"/>
        </w:rPr>
        <w:t xml:space="preserve">alleged </w:t>
      </w:r>
      <w:r w:rsidR="00DF6C4C" w:rsidRPr="00445A7B">
        <w:rPr>
          <w:rFonts w:ascii="Arial" w:hAnsi="Arial" w:cs="Arial"/>
          <w:sz w:val="24"/>
          <w:szCs w:val="24"/>
        </w:rPr>
        <w:t xml:space="preserve">agreement was </w:t>
      </w:r>
      <w:r w:rsidR="00E33D69" w:rsidRPr="00445A7B">
        <w:rPr>
          <w:rFonts w:ascii="Arial" w:hAnsi="Arial" w:cs="Arial"/>
          <w:sz w:val="24"/>
          <w:szCs w:val="24"/>
        </w:rPr>
        <w:t xml:space="preserve">a simulated transaction in that </w:t>
      </w:r>
      <w:r w:rsidR="00D12B32" w:rsidRPr="00445A7B">
        <w:rPr>
          <w:rFonts w:ascii="Arial" w:hAnsi="Arial" w:cs="Arial"/>
          <w:sz w:val="24"/>
          <w:szCs w:val="24"/>
        </w:rPr>
        <w:t>(a) it amounted to an unenfo</w:t>
      </w:r>
      <w:r w:rsidR="00DF6C4C" w:rsidRPr="00445A7B">
        <w:rPr>
          <w:rFonts w:ascii="Arial" w:hAnsi="Arial" w:cs="Arial"/>
          <w:sz w:val="24"/>
          <w:szCs w:val="24"/>
        </w:rPr>
        <w:t xml:space="preserve">rceable </w:t>
      </w:r>
      <w:r w:rsidR="00DF6C4C" w:rsidRPr="00445A7B">
        <w:rPr>
          <w:rFonts w:ascii="Arial" w:hAnsi="Arial" w:cs="Arial"/>
          <w:i/>
          <w:sz w:val="24"/>
          <w:szCs w:val="24"/>
        </w:rPr>
        <w:t>pacta successoria</w:t>
      </w:r>
      <w:r w:rsidR="00DF6C4C" w:rsidRPr="00445A7B">
        <w:rPr>
          <w:rFonts w:ascii="Arial" w:hAnsi="Arial" w:cs="Arial"/>
          <w:sz w:val="24"/>
          <w:szCs w:val="24"/>
        </w:rPr>
        <w:t xml:space="preserve"> and</w:t>
      </w:r>
      <w:r w:rsidR="00E33D69" w:rsidRPr="00445A7B">
        <w:rPr>
          <w:rFonts w:ascii="Arial" w:hAnsi="Arial" w:cs="Arial"/>
          <w:sz w:val="24"/>
          <w:szCs w:val="24"/>
        </w:rPr>
        <w:t>/or</w:t>
      </w:r>
      <w:r w:rsidR="00DF6C4C" w:rsidRPr="00445A7B">
        <w:rPr>
          <w:rFonts w:ascii="Arial" w:hAnsi="Arial" w:cs="Arial"/>
          <w:sz w:val="24"/>
          <w:szCs w:val="24"/>
        </w:rPr>
        <w:t xml:space="preserve"> (b) a deliberate attempt by the parties </w:t>
      </w:r>
      <w:r w:rsidR="00E33D69" w:rsidRPr="00445A7B">
        <w:rPr>
          <w:rFonts w:ascii="Arial" w:hAnsi="Arial" w:cs="Arial"/>
          <w:sz w:val="24"/>
          <w:szCs w:val="24"/>
        </w:rPr>
        <w:t>to the agreement</w:t>
      </w:r>
      <w:r w:rsidR="00DF6C4C" w:rsidRPr="00445A7B">
        <w:rPr>
          <w:rFonts w:ascii="Arial" w:hAnsi="Arial" w:cs="Arial"/>
          <w:sz w:val="24"/>
          <w:szCs w:val="24"/>
        </w:rPr>
        <w:t xml:space="preserve"> to circumvent </w:t>
      </w:r>
      <w:r w:rsidR="00E33D69" w:rsidRPr="00445A7B">
        <w:rPr>
          <w:rFonts w:ascii="Arial" w:hAnsi="Arial" w:cs="Arial"/>
          <w:sz w:val="24"/>
          <w:szCs w:val="24"/>
        </w:rPr>
        <w:t xml:space="preserve">the provisions of the Agricultural (Commercial) Land Reform Act 6 of 1995 </w:t>
      </w:r>
      <w:r w:rsidR="00CC41A0" w:rsidRPr="00445A7B">
        <w:rPr>
          <w:rFonts w:ascii="Arial" w:hAnsi="Arial" w:cs="Arial"/>
          <w:sz w:val="24"/>
          <w:szCs w:val="24"/>
        </w:rPr>
        <w:t>as amended (</w:t>
      </w:r>
      <w:r w:rsidR="00E33D69" w:rsidRPr="00445A7B">
        <w:rPr>
          <w:rFonts w:ascii="Arial" w:hAnsi="Arial" w:cs="Arial"/>
          <w:sz w:val="24"/>
          <w:szCs w:val="24"/>
        </w:rPr>
        <w:t>the Act)</w:t>
      </w:r>
      <w:r w:rsidR="00DF6C4C" w:rsidRPr="00445A7B">
        <w:rPr>
          <w:rFonts w:ascii="Arial" w:hAnsi="Arial" w:cs="Arial"/>
          <w:sz w:val="24"/>
          <w:szCs w:val="24"/>
        </w:rPr>
        <w:t xml:space="preserve">. </w:t>
      </w:r>
    </w:p>
    <w:p w:rsidR="008E3DF2" w:rsidRDefault="008E3DF2" w:rsidP="00445A7B">
      <w:pPr>
        <w:spacing w:after="0" w:line="480" w:lineRule="auto"/>
        <w:jc w:val="both"/>
        <w:rPr>
          <w:rFonts w:ascii="Arial" w:hAnsi="Arial" w:cs="Arial"/>
          <w:sz w:val="24"/>
          <w:szCs w:val="24"/>
        </w:rPr>
      </w:pPr>
    </w:p>
    <w:p w:rsidR="002B5850" w:rsidRPr="00445A7B" w:rsidRDefault="00C206B0" w:rsidP="00445A7B">
      <w:pPr>
        <w:pStyle w:val="ListParagraph"/>
        <w:numPr>
          <w:ilvl w:val="0"/>
          <w:numId w:val="6"/>
        </w:numPr>
        <w:spacing w:after="0" w:line="480" w:lineRule="auto"/>
        <w:ind w:left="0" w:firstLine="0"/>
        <w:jc w:val="both"/>
        <w:rPr>
          <w:rFonts w:ascii="Arial" w:hAnsi="Arial" w:cs="Arial"/>
          <w:sz w:val="24"/>
          <w:szCs w:val="24"/>
        </w:rPr>
      </w:pPr>
      <w:r w:rsidRPr="00445A7B">
        <w:rPr>
          <w:rFonts w:ascii="Arial" w:hAnsi="Arial" w:cs="Arial"/>
          <w:sz w:val="24"/>
          <w:szCs w:val="24"/>
        </w:rPr>
        <w:t>In this context, the appellants averred that as a result of the simulated transaction, and if the</w:t>
      </w:r>
      <w:r w:rsidR="00DF6C4C" w:rsidRPr="00445A7B">
        <w:rPr>
          <w:rFonts w:ascii="Arial" w:hAnsi="Arial" w:cs="Arial"/>
          <w:sz w:val="24"/>
          <w:szCs w:val="24"/>
        </w:rPr>
        <w:t xml:space="preserve"> usufruct is not set aside, the second appellant w</w:t>
      </w:r>
      <w:r w:rsidR="00417A75" w:rsidRPr="00445A7B">
        <w:rPr>
          <w:rFonts w:ascii="Arial" w:hAnsi="Arial" w:cs="Arial"/>
          <w:sz w:val="24"/>
          <w:szCs w:val="24"/>
        </w:rPr>
        <w:t>ould</w:t>
      </w:r>
      <w:r w:rsidR="00DF6C4C" w:rsidRPr="00445A7B">
        <w:rPr>
          <w:rFonts w:ascii="Arial" w:hAnsi="Arial" w:cs="Arial"/>
          <w:sz w:val="24"/>
          <w:szCs w:val="24"/>
        </w:rPr>
        <w:t xml:space="preserve"> inherit </w:t>
      </w:r>
      <w:r w:rsidR="00CD6E13" w:rsidRPr="00445A7B">
        <w:rPr>
          <w:rFonts w:ascii="Arial" w:hAnsi="Arial" w:cs="Arial"/>
          <w:sz w:val="24"/>
          <w:szCs w:val="24"/>
        </w:rPr>
        <w:t xml:space="preserve">an encumbered </w:t>
      </w:r>
      <w:r w:rsidRPr="00445A7B">
        <w:rPr>
          <w:rFonts w:ascii="Arial" w:hAnsi="Arial" w:cs="Arial"/>
          <w:sz w:val="24"/>
          <w:szCs w:val="24"/>
        </w:rPr>
        <w:t>farm</w:t>
      </w:r>
      <w:r w:rsidR="00DF6C4C" w:rsidRPr="00445A7B">
        <w:rPr>
          <w:rFonts w:ascii="Arial" w:hAnsi="Arial" w:cs="Arial"/>
          <w:sz w:val="24"/>
          <w:szCs w:val="24"/>
        </w:rPr>
        <w:t xml:space="preserve">. </w:t>
      </w:r>
    </w:p>
    <w:p w:rsidR="006E7801" w:rsidRDefault="006E7801" w:rsidP="00445A7B">
      <w:pPr>
        <w:spacing w:after="0" w:line="480" w:lineRule="auto"/>
        <w:ind w:right="202"/>
        <w:jc w:val="both"/>
        <w:rPr>
          <w:rFonts w:ascii="Arial" w:hAnsi="Arial" w:cs="Arial"/>
          <w:sz w:val="24"/>
          <w:szCs w:val="24"/>
        </w:rPr>
      </w:pPr>
    </w:p>
    <w:p w:rsidR="00AA736F" w:rsidRPr="00445A7B" w:rsidRDefault="00E572DC" w:rsidP="00445A7B">
      <w:pPr>
        <w:pStyle w:val="ListParagraph"/>
        <w:numPr>
          <w:ilvl w:val="0"/>
          <w:numId w:val="6"/>
        </w:numPr>
        <w:spacing w:after="0" w:line="480" w:lineRule="auto"/>
        <w:ind w:left="0" w:right="202" w:firstLine="0"/>
        <w:jc w:val="both"/>
        <w:rPr>
          <w:rFonts w:ascii="Arial" w:hAnsi="Arial" w:cs="Arial"/>
          <w:sz w:val="24"/>
          <w:szCs w:val="24"/>
        </w:rPr>
      </w:pPr>
      <w:r w:rsidRPr="00445A7B">
        <w:rPr>
          <w:rFonts w:ascii="Arial" w:hAnsi="Arial" w:cs="Arial"/>
          <w:sz w:val="24"/>
          <w:szCs w:val="24"/>
        </w:rPr>
        <w:t xml:space="preserve">The </w:t>
      </w:r>
      <w:r w:rsidR="00E76FC8" w:rsidRPr="00445A7B">
        <w:rPr>
          <w:rFonts w:ascii="Arial" w:hAnsi="Arial" w:cs="Arial"/>
          <w:sz w:val="24"/>
          <w:szCs w:val="24"/>
        </w:rPr>
        <w:t xml:space="preserve">first respondent </w:t>
      </w:r>
      <w:r w:rsidR="00255B22" w:rsidRPr="00445A7B">
        <w:rPr>
          <w:rFonts w:ascii="Arial" w:hAnsi="Arial" w:cs="Arial"/>
          <w:sz w:val="24"/>
          <w:szCs w:val="24"/>
        </w:rPr>
        <w:t xml:space="preserve">excepted </w:t>
      </w:r>
      <w:r w:rsidR="00141DE7" w:rsidRPr="00445A7B">
        <w:rPr>
          <w:rFonts w:ascii="Arial" w:hAnsi="Arial" w:cs="Arial"/>
          <w:sz w:val="24"/>
          <w:szCs w:val="24"/>
        </w:rPr>
        <w:t xml:space="preserve">to </w:t>
      </w:r>
      <w:r w:rsidR="00AA736F" w:rsidRPr="00445A7B">
        <w:rPr>
          <w:rFonts w:ascii="Arial" w:hAnsi="Arial" w:cs="Arial"/>
          <w:sz w:val="24"/>
          <w:szCs w:val="24"/>
        </w:rPr>
        <w:t xml:space="preserve">the </w:t>
      </w:r>
      <w:r w:rsidR="00417A75" w:rsidRPr="00445A7B">
        <w:rPr>
          <w:rFonts w:ascii="Arial" w:hAnsi="Arial" w:cs="Arial"/>
          <w:sz w:val="24"/>
          <w:szCs w:val="24"/>
        </w:rPr>
        <w:t xml:space="preserve">particulars of </w:t>
      </w:r>
      <w:r w:rsidR="00AA736F" w:rsidRPr="00445A7B">
        <w:rPr>
          <w:rFonts w:ascii="Arial" w:hAnsi="Arial" w:cs="Arial"/>
          <w:sz w:val="24"/>
          <w:szCs w:val="24"/>
        </w:rPr>
        <w:t xml:space="preserve">claim </w:t>
      </w:r>
      <w:r w:rsidR="00417A75" w:rsidRPr="00445A7B">
        <w:rPr>
          <w:rFonts w:ascii="Arial" w:hAnsi="Arial" w:cs="Arial"/>
          <w:sz w:val="24"/>
          <w:szCs w:val="24"/>
        </w:rPr>
        <w:t xml:space="preserve">on the basis </w:t>
      </w:r>
      <w:r w:rsidR="00AA736F" w:rsidRPr="00445A7B">
        <w:rPr>
          <w:rFonts w:ascii="Arial" w:hAnsi="Arial" w:cs="Arial"/>
          <w:sz w:val="24"/>
          <w:szCs w:val="24"/>
        </w:rPr>
        <w:t>that t</w:t>
      </w:r>
      <w:r w:rsidR="00417A75" w:rsidRPr="00445A7B">
        <w:rPr>
          <w:rFonts w:ascii="Arial" w:hAnsi="Arial" w:cs="Arial"/>
          <w:sz w:val="24"/>
          <w:szCs w:val="24"/>
        </w:rPr>
        <w:t>hey</w:t>
      </w:r>
      <w:r w:rsidR="00AA736F" w:rsidRPr="00445A7B">
        <w:rPr>
          <w:rFonts w:ascii="Arial" w:hAnsi="Arial" w:cs="Arial"/>
          <w:sz w:val="24"/>
          <w:szCs w:val="24"/>
        </w:rPr>
        <w:t xml:space="preserve"> lack</w:t>
      </w:r>
      <w:r w:rsidR="00417A75" w:rsidRPr="00445A7B">
        <w:rPr>
          <w:rFonts w:ascii="Arial" w:hAnsi="Arial" w:cs="Arial"/>
          <w:sz w:val="24"/>
          <w:szCs w:val="24"/>
        </w:rPr>
        <w:t>ed</w:t>
      </w:r>
      <w:r w:rsidR="00AA736F" w:rsidRPr="00445A7B">
        <w:rPr>
          <w:rFonts w:ascii="Arial" w:hAnsi="Arial" w:cs="Arial"/>
          <w:sz w:val="24"/>
          <w:szCs w:val="24"/>
        </w:rPr>
        <w:t xml:space="preserve"> averments necessary to sustain a cause of action</w:t>
      </w:r>
      <w:r w:rsidR="00255B22" w:rsidRPr="00445A7B">
        <w:rPr>
          <w:rFonts w:ascii="Arial" w:hAnsi="Arial" w:cs="Arial"/>
          <w:sz w:val="24"/>
          <w:szCs w:val="24"/>
        </w:rPr>
        <w:t xml:space="preserve">. </w:t>
      </w:r>
      <w:r w:rsidR="00AE1B19" w:rsidRPr="00445A7B">
        <w:rPr>
          <w:rFonts w:ascii="Arial" w:hAnsi="Arial" w:cs="Arial"/>
          <w:sz w:val="24"/>
          <w:szCs w:val="24"/>
        </w:rPr>
        <w:t xml:space="preserve">The first respondent, in essence, raised </w:t>
      </w:r>
      <w:r w:rsidR="004706A7" w:rsidRPr="00445A7B">
        <w:rPr>
          <w:rFonts w:ascii="Arial" w:hAnsi="Arial" w:cs="Arial"/>
          <w:sz w:val="24"/>
          <w:szCs w:val="24"/>
        </w:rPr>
        <w:t xml:space="preserve">three </w:t>
      </w:r>
      <w:r w:rsidR="00EE32E8" w:rsidRPr="00445A7B">
        <w:rPr>
          <w:rFonts w:ascii="Arial" w:hAnsi="Arial" w:cs="Arial"/>
          <w:sz w:val="24"/>
          <w:szCs w:val="24"/>
        </w:rPr>
        <w:t>grounds</w:t>
      </w:r>
      <w:r w:rsidR="00AE1B19" w:rsidRPr="00445A7B">
        <w:rPr>
          <w:rFonts w:ascii="Arial" w:hAnsi="Arial" w:cs="Arial"/>
          <w:sz w:val="24"/>
          <w:szCs w:val="24"/>
        </w:rPr>
        <w:t xml:space="preserve"> </w:t>
      </w:r>
      <w:r w:rsidR="00EE32E8" w:rsidRPr="00445A7B">
        <w:rPr>
          <w:rFonts w:ascii="Arial" w:hAnsi="Arial" w:cs="Arial"/>
          <w:sz w:val="24"/>
          <w:szCs w:val="24"/>
        </w:rPr>
        <w:t>in support of its exception.</w:t>
      </w:r>
      <w:r w:rsidR="00717FC2" w:rsidRPr="00445A7B">
        <w:rPr>
          <w:rFonts w:ascii="Arial" w:hAnsi="Arial" w:cs="Arial"/>
          <w:sz w:val="24"/>
          <w:szCs w:val="24"/>
        </w:rPr>
        <w:t xml:space="preserve"> </w:t>
      </w:r>
      <w:r w:rsidR="005E7DAE" w:rsidRPr="00445A7B">
        <w:rPr>
          <w:rFonts w:ascii="Arial" w:hAnsi="Arial" w:cs="Arial"/>
          <w:sz w:val="24"/>
          <w:szCs w:val="24"/>
        </w:rPr>
        <w:t>The first gr</w:t>
      </w:r>
      <w:r w:rsidR="009B5A7C" w:rsidRPr="00445A7B">
        <w:rPr>
          <w:rFonts w:ascii="Arial" w:hAnsi="Arial" w:cs="Arial"/>
          <w:sz w:val="24"/>
          <w:szCs w:val="24"/>
        </w:rPr>
        <w:t xml:space="preserve">ound </w:t>
      </w:r>
      <w:r w:rsidR="00361CE8" w:rsidRPr="00445A7B">
        <w:rPr>
          <w:rFonts w:ascii="Arial" w:hAnsi="Arial" w:cs="Arial"/>
          <w:sz w:val="24"/>
          <w:szCs w:val="24"/>
        </w:rPr>
        <w:t xml:space="preserve">of exception </w:t>
      </w:r>
      <w:r w:rsidR="0092755B" w:rsidRPr="00445A7B">
        <w:rPr>
          <w:rFonts w:ascii="Arial" w:hAnsi="Arial" w:cs="Arial"/>
          <w:sz w:val="24"/>
          <w:szCs w:val="24"/>
        </w:rPr>
        <w:t>concerns</w:t>
      </w:r>
      <w:r w:rsidR="00204AF3" w:rsidRPr="00445A7B">
        <w:rPr>
          <w:rFonts w:ascii="Arial" w:hAnsi="Arial" w:cs="Arial"/>
          <w:sz w:val="24"/>
          <w:szCs w:val="24"/>
        </w:rPr>
        <w:t xml:space="preserve"> </w:t>
      </w:r>
      <w:r w:rsidR="00667873" w:rsidRPr="00445A7B">
        <w:rPr>
          <w:rFonts w:ascii="Arial" w:hAnsi="Arial" w:cs="Arial"/>
          <w:sz w:val="24"/>
          <w:szCs w:val="24"/>
        </w:rPr>
        <w:t xml:space="preserve">the </w:t>
      </w:r>
      <w:r w:rsidR="005E7DAE" w:rsidRPr="00445A7B">
        <w:rPr>
          <w:rFonts w:ascii="Arial" w:hAnsi="Arial" w:cs="Arial"/>
          <w:i/>
          <w:sz w:val="24"/>
          <w:szCs w:val="24"/>
        </w:rPr>
        <w:t>locus standi</w:t>
      </w:r>
      <w:r w:rsidR="009B5A7C" w:rsidRPr="00445A7B">
        <w:rPr>
          <w:rFonts w:ascii="Arial" w:hAnsi="Arial" w:cs="Arial"/>
          <w:sz w:val="24"/>
          <w:szCs w:val="24"/>
        </w:rPr>
        <w:t xml:space="preserve"> of the second appellant</w:t>
      </w:r>
      <w:r w:rsidR="0092755B" w:rsidRPr="00445A7B">
        <w:rPr>
          <w:rFonts w:ascii="Arial" w:hAnsi="Arial" w:cs="Arial"/>
          <w:sz w:val="24"/>
          <w:szCs w:val="24"/>
        </w:rPr>
        <w:t xml:space="preserve"> to </w:t>
      </w:r>
      <w:r w:rsidR="00CE54EF" w:rsidRPr="00445A7B">
        <w:rPr>
          <w:rFonts w:ascii="Arial" w:hAnsi="Arial" w:cs="Arial"/>
          <w:sz w:val="24"/>
          <w:szCs w:val="24"/>
        </w:rPr>
        <w:t xml:space="preserve">sustain </w:t>
      </w:r>
      <w:r w:rsidR="005E496B" w:rsidRPr="00445A7B">
        <w:rPr>
          <w:rFonts w:ascii="Arial" w:hAnsi="Arial" w:cs="Arial"/>
          <w:sz w:val="24"/>
          <w:szCs w:val="24"/>
        </w:rPr>
        <w:t xml:space="preserve">the </w:t>
      </w:r>
      <w:r w:rsidR="0092755B" w:rsidRPr="00445A7B">
        <w:rPr>
          <w:rFonts w:ascii="Arial" w:hAnsi="Arial" w:cs="Arial"/>
          <w:sz w:val="24"/>
          <w:szCs w:val="24"/>
        </w:rPr>
        <w:t>action</w:t>
      </w:r>
      <w:r w:rsidR="00204AF3" w:rsidRPr="00445A7B">
        <w:rPr>
          <w:rFonts w:ascii="Arial" w:hAnsi="Arial" w:cs="Arial"/>
          <w:sz w:val="24"/>
          <w:szCs w:val="24"/>
        </w:rPr>
        <w:t xml:space="preserve">. It was </w:t>
      </w:r>
      <w:r w:rsidR="004A3914" w:rsidRPr="00445A7B">
        <w:rPr>
          <w:rFonts w:ascii="Arial" w:hAnsi="Arial" w:cs="Arial"/>
          <w:sz w:val="24"/>
          <w:szCs w:val="24"/>
        </w:rPr>
        <w:t>contended</w:t>
      </w:r>
      <w:r w:rsidR="007A5446" w:rsidRPr="00445A7B">
        <w:rPr>
          <w:rFonts w:ascii="Arial" w:hAnsi="Arial" w:cs="Arial"/>
          <w:sz w:val="24"/>
          <w:szCs w:val="24"/>
        </w:rPr>
        <w:t xml:space="preserve"> that </w:t>
      </w:r>
      <w:r w:rsidR="00E83D56" w:rsidRPr="00445A7B">
        <w:rPr>
          <w:rFonts w:ascii="Arial" w:hAnsi="Arial" w:cs="Arial"/>
          <w:sz w:val="24"/>
          <w:szCs w:val="24"/>
        </w:rPr>
        <w:t xml:space="preserve">the </w:t>
      </w:r>
      <w:r w:rsidR="00BA6A5F" w:rsidRPr="00445A7B">
        <w:rPr>
          <w:rFonts w:ascii="Arial" w:hAnsi="Arial" w:cs="Arial"/>
          <w:sz w:val="24"/>
          <w:szCs w:val="24"/>
        </w:rPr>
        <w:t>second appellant</w:t>
      </w:r>
      <w:r w:rsidR="00E83D56" w:rsidRPr="00445A7B">
        <w:rPr>
          <w:rFonts w:ascii="Arial" w:hAnsi="Arial" w:cs="Arial"/>
          <w:sz w:val="24"/>
          <w:szCs w:val="24"/>
        </w:rPr>
        <w:t>,</w:t>
      </w:r>
      <w:r w:rsidR="0092755B" w:rsidRPr="00445A7B">
        <w:rPr>
          <w:rFonts w:ascii="Arial" w:hAnsi="Arial" w:cs="Arial"/>
          <w:sz w:val="24"/>
          <w:szCs w:val="24"/>
        </w:rPr>
        <w:t xml:space="preserve"> as an heir,</w:t>
      </w:r>
      <w:r w:rsidR="00E83D56" w:rsidRPr="00445A7B">
        <w:rPr>
          <w:rFonts w:ascii="Arial" w:hAnsi="Arial" w:cs="Arial"/>
          <w:sz w:val="24"/>
          <w:szCs w:val="24"/>
        </w:rPr>
        <w:t xml:space="preserve"> </w:t>
      </w:r>
      <w:r w:rsidR="006E5026" w:rsidRPr="00445A7B">
        <w:rPr>
          <w:rFonts w:ascii="Arial" w:hAnsi="Arial" w:cs="Arial"/>
          <w:sz w:val="24"/>
          <w:szCs w:val="24"/>
        </w:rPr>
        <w:t>ha</w:t>
      </w:r>
      <w:r w:rsidR="00204AF3" w:rsidRPr="00445A7B">
        <w:rPr>
          <w:rFonts w:ascii="Arial" w:hAnsi="Arial" w:cs="Arial"/>
          <w:sz w:val="24"/>
          <w:szCs w:val="24"/>
        </w:rPr>
        <w:t>d</w:t>
      </w:r>
      <w:r w:rsidR="006E5026" w:rsidRPr="00445A7B">
        <w:rPr>
          <w:rFonts w:ascii="Arial" w:hAnsi="Arial" w:cs="Arial"/>
          <w:sz w:val="24"/>
          <w:szCs w:val="24"/>
        </w:rPr>
        <w:t xml:space="preserve"> no </w:t>
      </w:r>
      <w:r w:rsidR="00CC41A0" w:rsidRPr="00445A7B">
        <w:rPr>
          <w:rFonts w:ascii="Arial" w:hAnsi="Arial" w:cs="Arial"/>
          <w:sz w:val="24"/>
          <w:szCs w:val="24"/>
        </w:rPr>
        <w:t>standing</w:t>
      </w:r>
      <w:r w:rsidR="006E5026" w:rsidRPr="00445A7B">
        <w:rPr>
          <w:rFonts w:ascii="Arial" w:hAnsi="Arial" w:cs="Arial"/>
          <w:sz w:val="24"/>
          <w:szCs w:val="24"/>
        </w:rPr>
        <w:t xml:space="preserve"> </w:t>
      </w:r>
      <w:r w:rsidR="00BA6A5F" w:rsidRPr="00445A7B">
        <w:rPr>
          <w:rFonts w:ascii="Arial" w:hAnsi="Arial" w:cs="Arial"/>
          <w:sz w:val="24"/>
          <w:szCs w:val="24"/>
        </w:rPr>
        <w:t xml:space="preserve">to </w:t>
      </w:r>
      <w:r w:rsidR="007A5446" w:rsidRPr="00445A7B">
        <w:rPr>
          <w:rFonts w:ascii="Arial" w:hAnsi="Arial" w:cs="Arial"/>
          <w:sz w:val="24"/>
          <w:szCs w:val="24"/>
        </w:rPr>
        <w:t xml:space="preserve">bring any action or proceedings against </w:t>
      </w:r>
      <w:r w:rsidR="00204AF3" w:rsidRPr="00445A7B">
        <w:rPr>
          <w:rFonts w:ascii="Arial" w:hAnsi="Arial" w:cs="Arial"/>
          <w:sz w:val="24"/>
          <w:szCs w:val="24"/>
        </w:rPr>
        <w:t>the first respondent</w:t>
      </w:r>
      <w:r w:rsidR="004A3914" w:rsidRPr="00445A7B">
        <w:rPr>
          <w:rFonts w:ascii="Arial" w:hAnsi="Arial" w:cs="Arial"/>
          <w:sz w:val="24"/>
          <w:szCs w:val="24"/>
        </w:rPr>
        <w:t xml:space="preserve"> until the </w:t>
      </w:r>
      <w:r w:rsidR="0092755B" w:rsidRPr="00445A7B">
        <w:rPr>
          <w:rFonts w:ascii="Arial" w:hAnsi="Arial" w:cs="Arial"/>
          <w:sz w:val="24"/>
          <w:szCs w:val="24"/>
        </w:rPr>
        <w:t>liquidation and distribution account ha</w:t>
      </w:r>
      <w:r w:rsidR="00CE54EF" w:rsidRPr="00445A7B">
        <w:rPr>
          <w:rFonts w:ascii="Arial" w:hAnsi="Arial" w:cs="Arial"/>
          <w:sz w:val="24"/>
          <w:szCs w:val="24"/>
        </w:rPr>
        <w:t>s</w:t>
      </w:r>
      <w:r w:rsidR="0092755B" w:rsidRPr="00445A7B">
        <w:rPr>
          <w:rFonts w:ascii="Arial" w:hAnsi="Arial" w:cs="Arial"/>
          <w:sz w:val="24"/>
          <w:szCs w:val="24"/>
        </w:rPr>
        <w:t xml:space="preserve"> been settled</w:t>
      </w:r>
      <w:r w:rsidR="005E496B" w:rsidRPr="00445A7B">
        <w:rPr>
          <w:rFonts w:ascii="Arial" w:hAnsi="Arial" w:cs="Arial"/>
          <w:sz w:val="24"/>
          <w:szCs w:val="24"/>
        </w:rPr>
        <w:t xml:space="preserve"> and s 35 of the Administration of Estates Act 66 of 1965</w:t>
      </w:r>
      <w:r w:rsidR="00D46BB3" w:rsidRPr="00445A7B">
        <w:rPr>
          <w:rFonts w:ascii="Arial" w:hAnsi="Arial" w:cs="Arial"/>
          <w:sz w:val="24"/>
          <w:szCs w:val="24"/>
        </w:rPr>
        <w:t xml:space="preserve"> has been complied with</w:t>
      </w:r>
      <w:r w:rsidR="004A3914" w:rsidRPr="00445A7B">
        <w:rPr>
          <w:rFonts w:ascii="Arial" w:hAnsi="Arial" w:cs="Arial"/>
          <w:sz w:val="24"/>
          <w:szCs w:val="24"/>
        </w:rPr>
        <w:t xml:space="preserve">. </w:t>
      </w:r>
    </w:p>
    <w:p w:rsidR="006E7801" w:rsidRDefault="006E7801" w:rsidP="00445A7B">
      <w:pPr>
        <w:spacing w:after="0" w:line="480" w:lineRule="auto"/>
        <w:ind w:right="202"/>
        <w:jc w:val="both"/>
        <w:rPr>
          <w:rFonts w:ascii="Arial" w:hAnsi="Arial" w:cs="Arial"/>
          <w:color w:val="000000" w:themeColor="text1"/>
          <w:sz w:val="24"/>
          <w:szCs w:val="24"/>
        </w:rPr>
      </w:pPr>
    </w:p>
    <w:p w:rsidR="001A6E88" w:rsidRPr="00445A7B" w:rsidRDefault="005550A5" w:rsidP="00445A7B">
      <w:pPr>
        <w:pStyle w:val="ListParagraph"/>
        <w:numPr>
          <w:ilvl w:val="0"/>
          <w:numId w:val="6"/>
        </w:numPr>
        <w:spacing w:after="0" w:line="480" w:lineRule="auto"/>
        <w:ind w:left="0" w:right="202" w:firstLine="0"/>
        <w:jc w:val="both"/>
        <w:rPr>
          <w:rFonts w:ascii="Arial" w:hAnsi="Arial" w:cs="Arial"/>
          <w:color w:val="000000" w:themeColor="text1"/>
          <w:sz w:val="24"/>
          <w:szCs w:val="24"/>
        </w:rPr>
      </w:pPr>
      <w:r w:rsidRPr="00445A7B">
        <w:rPr>
          <w:rFonts w:ascii="Arial" w:hAnsi="Arial" w:cs="Arial"/>
          <w:color w:val="000000" w:themeColor="text1"/>
          <w:sz w:val="24"/>
          <w:szCs w:val="24"/>
        </w:rPr>
        <w:lastRenderedPageBreak/>
        <w:t xml:space="preserve">The second ground </w:t>
      </w:r>
      <w:r w:rsidR="00947E00" w:rsidRPr="00445A7B">
        <w:rPr>
          <w:rFonts w:ascii="Arial" w:hAnsi="Arial" w:cs="Arial"/>
          <w:color w:val="000000" w:themeColor="text1"/>
          <w:sz w:val="24"/>
          <w:szCs w:val="24"/>
        </w:rPr>
        <w:t xml:space="preserve">related to </w:t>
      </w:r>
      <w:r w:rsidR="00E572DC" w:rsidRPr="00445A7B">
        <w:rPr>
          <w:rFonts w:ascii="Arial" w:hAnsi="Arial" w:cs="Arial"/>
          <w:color w:val="000000" w:themeColor="text1"/>
          <w:sz w:val="24"/>
          <w:szCs w:val="24"/>
        </w:rPr>
        <w:t xml:space="preserve">the </w:t>
      </w:r>
      <w:r w:rsidR="00717FC2" w:rsidRPr="00445A7B">
        <w:rPr>
          <w:rFonts w:ascii="Arial" w:hAnsi="Arial" w:cs="Arial"/>
          <w:color w:val="000000" w:themeColor="text1"/>
          <w:sz w:val="24"/>
          <w:szCs w:val="24"/>
        </w:rPr>
        <w:t xml:space="preserve">alleged </w:t>
      </w:r>
      <w:r w:rsidR="00E572DC" w:rsidRPr="00445A7B">
        <w:rPr>
          <w:rFonts w:ascii="Arial" w:hAnsi="Arial" w:cs="Arial"/>
          <w:color w:val="000000" w:themeColor="text1"/>
          <w:sz w:val="24"/>
          <w:szCs w:val="24"/>
        </w:rPr>
        <w:t>illegality and severability of the agr</w:t>
      </w:r>
      <w:r w:rsidR="00911284" w:rsidRPr="00445A7B">
        <w:rPr>
          <w:rFonts w:ascii="Arial" w:hAnsi="Arial" w:cs="Arial"/>
          <w:color w:val="000000" w:themeColor="text1"/>
          <w:sz w:val="24"/>
          <w:szCs w:val="24"/>
        </w:rPr>
        <w:t>eement</w:t>
      </w:r>
      <w:r w:rsidR="001A6E88" w:rsidRPr="00445A7B">
        <w:rPr>
          <w:rFonts w:ascii="Arial" w:hAnsi="Arial" w:cs="Arial"/>
          <w:color w:val="000000" w:themeColor="text1"/>
          <w:sz w:val="24"/>
          <w:szCs w:val="24"/>
        </w:rPr>
        <w:t xml:space="preserve">. </w:t>
      </w:r>
      <w:r w:rsidR="00C76A8D" w:rsidRPr="00445A7B">
        <w:rPr>
          <w:rFonts w:ascii="Arial" w:hAnsi="Arial" w:cs="Arial"/>
          <w:color w:val="000000" w:themeColor="text1"/>
          <w:sz w:val="24"/>
          <w:szCs w:val="24"/>
        </w:rPr>
        <w:t xml:space="preserve">It was contended </w:t>
      </w:r>
      <w:r w:rsidR="001A6E88" w:rsidRPr="00445A7B">
        <w:rPr>
          <w:rFonts w:ascii="Arial" w:hAnsi="Arial" w:cs="Arial"/>
          <w:color w:val="000000" w:themeColor="text1"/>
          <w:sz w:val="24"/>
          <w:szCs w:val="24"/>
        </w:rPr>
        <w:t xml:space="preserve">that the </w:t>
      </w:r>
      <w:r w:rsidR="00947E00" w:rsidRPr="00445A7B">
        <w:rPr>
          <w:rFonts w:ascii="Arial" w:hAnsi="Arial" w:cs="Arial"/>
          <w:color w:val="000000" w:themeColor="text1"/>
          <w:sz w:val="24"/>
          <w:szCs w:val="24"/>
        </w:rPr>
        <w:t xml:space="preserve">alleged </w:t>
      </w:r>
      <w:r w:rsidR="001A6E88" w:rsidRPr="00445A7B">
        <w:rPr>
          <w:rFonts w:ascii="Arial" w:hAnsi="Arial" w:cs="Arial"/>
          <w:color w:val="000000" w:themeColor="text1"/>
          <w:sz w:val="24"/>
          <w:szCs w:val="24"/>
        </w:rPr>
        <w:t xml:space="preserve">agreement, even if illegal, </w:t>
      </w:r>
      <w:r w:rsidR="00417A75" w:rsidRPr="00445A7B">
        <w:rPr>
          <w:rFonts w:ascii="Arial" w:hAnsi="Arial" w:cs="Arial"/>
          <w:color w:val="000000" w:themeColor="text1"/>
          <w:sz w:val="24"/>
          <w:szCs w:val="24"/>
        </w:rPr>
        <w:t>was</w:t>
      </w:r>
      <w:r w:rsidR="001A6E88" w:rsidRPr="00445A7B">
        <w:rPr>
          <w:rFonts w:ascii="Arial" w:hAnsi="Arial" w:cs="Arial"/>
          <w:color w:val="000000" w:themeColor="text1"/>
          <w:sz w:val="24"/>
          <w:szCs w:val="24"/>
        </w:rPr>
        <w:t xml:space="preserve"> severable and t</w:t>
      </w:r>
      <w:r w:rsidR="003855A6" w:rsidRPr="00445A7B">
        <w:rPr>
          <w:rFonts w:ascii="Arial" w:hAnsi="Arial" w:cs="Arial"/>
          <w:color w:val="000000" w:themeColor="text1"/>
          <w:sz w:val="24"/>
          <w:szCs w:val="24"/>
        </w:rPr>
        <w:t xml:space="preserve">he constitution and registration of the usufruct </w:t>
      </w:r>
      <w:r w:rsidR="0070060A" w:rsidRPr="00445A7B">
        <w:rPr>
          <w:rFonts w:ascii="Arial" w:hAnsi="Arial" w:cs="Arial"/>
          <w:color w:val="000000" w:themeColor="text1"/>
          <w:sz w:val="24"/>
          <w:szCs w:val="24"/>
        </w:rPr>
        <w:t>was</w:t>
      </w:r>
      <w:r w:rsidR="003855A6" w:rsidRPr="00445A7B">
        <w:rPr>
          <w:rFonts w:ascii="Arial" w:hAnsi="Arial" w:cs="Arial"/>
          <w:color w:val="000000" w:themeColor="text1"/>
          <w:sz w:val="24"/>
          <w:szCs w:val="24"/>
        </w:rPr>
        <w:t xml:space="preserve"> not in contravention of the provisions of the Act</w:t>
      </w:r>
      <w:r w:rsidR="004955FA" w:rsidRPr="00445A7B">
        <w:rPr>
          <w:rFonts w:ascii="Arial" w:hAnsi="Arial" w:cs="Arial"/>
          <w:color w:val="000000" w:themeColor="text1"/>
          <w:sz w:val="24"/>
          <w:szCs w:val="24"/>
        </w:rPr>
        <w:t xml:space="preserve">. </w:t>
      </w:r>
    </w:p>
    <w:p w:rsidR="006E7801" w:rsidRDefault="006E7801" w:rsidP="00445A7B">
      <w:pPr>
        <w:spacing w:after="0" w:line="480" w:lineRule="auto"/>
        <w:ind w:right="202"/>
        <w:jc w:val="both"/>
        <w:rPr>
          <w:rFonts w:ascii="Arial" w:hAnsi="Arial" w:cs="Arial"/>
          <w:color w:val="000000" w:themeColor="text1"/>
          <w:sz w:val="24"/>
          <w:szCs w:val="24"/>
        </w:rPr>
      </w:pPr>
    </w:p>
    <w:p w:rsidR="00C76A8D" w:rsidRPr="00445A7B" w:rsidRDefault="004955FA" w:rsidP="00445A7B">
      <w:pPr>
        <w:pStyle w:val="ListParagraph"/>
        <w:numPr>
          <w:ilvl w:val="0"/>
          <w:numId w:val="6"/>
        </w:numPr>
        <w:spacing w:after="0" w:line="480" w:lineRule="auto"/>
        <w:ind w:left="0" w:right="202" w:firstLine="0"/>
        <w:jc w:val="both"/>
        <w:rPr>
          <w:rFonts w:ascii="Arial" w:hAnsi="Arial" w:cs="Arial"/>
          <w:color w:val="000000" w:themeColor="text1"/>
          <w:sz w:val="24"/>
          <w:szCs w:val="24"/>
        </w:rPr>
      </w:pPr>
      <w:r w:rsidRPr="00445A7B">
        <w:rPr>
          <w:rFonts w:ascii="Arial" w:hAnsi="Arial" w:cs="Arial"/>
          <w:color w:val="000000" w:themeColor="text1"/>
          <w:sz w:val="24"/>
          <w:szCs w:val="24"/>
        </w:rPr>
        <w:t xml:space="preserve">The </w:t>
      </w:r>
      <w:r w:rsidR="004706A7" w:rsidRPr="00445A7B">
        <w:rPr>
          <w:rFonts w:ascii="Arial" w:hAnsi="Arial" w:cs="Arial"/>
          <w:color w:val="000000" w:themeColor="text1"/>
          <w:sz w:val="24"/>
          <w:szCs w:val="24"/>
        </w:rPr>
        <w:t xml:space="preserve">third </w:t>
      </w:r>
      <w:r w:rsidR="00B8316B" w:rsidRPr="00445A7B">
        <w:rPr>
          <w:rFonts w:ascii="Arial" w:hAnsi="Arial" w:cs="Arial"/>
          <w:color w:val="000000" w:themeColor="text1"/>
          <w:sz w:val="24"/>
          <w:szCs w:val="24"/>
        </w:rPr>
        <w:t xml:space="preserve">ground </w:t>
      </w:r>
      <w:r w:rsidR="00947E00" w:rsidRPr="00445A7B">
        <w:rPr>
          <w:rFonts w:ascii="Arial" w:hAnsi="Arial" w:cs="Arial"/>
          <w:color w:val="000000" w:themeColor="text1"/>
          <w:sz w:val="24"/>
          <w:szCs w:val="24"/>
        </w:rPr>
        <w:t xml:space="preserve">concerned </w:t>
      </w:r>
      <w:r w:rsidR="004706A7" w:rsidRPr="00445A7B">
        <w:rPr>
          <w:rFonts w:ascii="Arial" w:hAnsi="Arial" w:cs="Arial"/>
          <w:iCs/>
          <w:sz w:val="24"/>
          <w:szCs w:val="24"/>
        </w:rPr>
        <w:t xml:space="preserve">the </w:t>
      </w:r>
      <w:r w:rsidR="00EE43F4" w:rsidRPr="00445A7B">
        <w:rPr>
          <w:rFonts w:ascii="Arial" w:hAnsi="Arial" w:cs="Arial"/>
          <w:iCs/>
          <w:sz w:val="24"/>
          <w:szCs w:val="24"/>
        </w:rPr>
        <w:t xml:space="preserve">allegation </w:t>
      </w:r>
      <w:r w:rsidR="004706A7" w:rsidRPr="00445A7B">
        <w:rPr>
          <w:rFonts w:ascii="Arial" w:hAnsi="Arial" w:cs="Arial"/>
          <w:iCs/>
          <w:sz w:val="24"/>
          <w:szCs w:val="24"/>
        </w:rPr>
        <w:t xml:space="preserve">in the particulars of claim </w:t>
      </w:r>
      <w:r w:rsidR="00EE43F4" w:rsidRPr="00445A7B">
        <w:rPr>
          <w:rFonts w:ascii="Arial" w:hAnsi="Arial" w:cs="Arial"/>
          <w:iCs/>
          <w:sz w:val="24"/>
          <w:szCs w:val="24"/>
        </w:rPr>
        <w:t xml:space="preserve">that the agreement was a simulated transaction in as far as it sought to evade the provisions of the </w:t>
      </w:r>
      <w:r w:rsidR="00947E00" w:rsidRPr="00445A7B">
        <w:rPr>
          <w:rFonts w:ascii="Arial" w:hAnsi="Arial" w:cs="Arial"/>
          <w:iCs/>
          <w:sz w:val="24"/>
          <w:szCs w:val="24"/>
        </w:rPr>
        <w:t>A</w:t>
      </w:r>
      <w:r w:rsidR="00EE43F4" w:rsidRPr="00445A7B">
        <w:rPr>
          <w:rFonts w:ascii="Arial" w:hAnsi="Arial" w:cs="Arial"/>
          <w:iCs/>
          <w:sz w:val="24"/>
          <w:szCs w:val="24"/>
        </w:rPr>
        <w:t xml:space="preserve">ct. </w:t>
      </w:r>
      <w:r w:rsidR="00947E00" w:rsidRPr="00445A7B">
        <w:rPr>
          <w:rFonts w:ascii="Arial" w:hAnsi="Arial" w:cs="Arial"/>
          <w:iCs/>
          <w:sz w:val="24"/>
          <w:szCs w:val="24"/>
        </w:rPr>
        <w:t xml:space="preserve">The third respondent </w:t>
      </w:r>
      <w:r w:rsidR="00EE43F4" w:rsidRPr="00445A7B">
        <w:rPr>
          <w:rFonts w:ascii="Arial" w:hAnsi="Arial" w:cs="Arial"/>
          <w:iCs/>
          <w:sz w:val="24"/>
          <w:szCs w:val="24"/>
        </w:rPr>
        <w:t xml:space="preserve">contended that the </w:t>
      </w:r>
      <w:r w:rsidR="004706A7" w:rsidRPr="00445A7B">
        <w:rPr>
          <w:rFonts w:ascii="Arial" w:hAnsi="Arial" w:cs="Arial"/>
          <w:iCs/>
          <w:sz w:val="24"/>
          <w:szCs w:val="24"/>
        </w:rPr>
        <w:t xml:space="preserve">appellants </w:t>
      </w:r>
      <w:r w:rsidR="00947E00" w:rsidRPr="00445A7B">
        <w:rPr>
          <w:rFonts w:ascii="Arial" w:hAnsi="Arial" w:cs="Arial"/>
          <w:iCs/>
          <w:sz w:val="24"/>
          <w:szCs w:val="24"/>
        </w:rPr>
        <w:t xml:space="preserve">had </w:t>
      </w:r>
      <w:r w:rsidR="004706A7" w:rsidRPr="00445A7B">
        <w:rPr>
          <w:rFonts w:ascii="Arial" w:hAnsi="Arial" w:cs="Arial"/>
          <w:iCs/>
          <w:sz w:val="24"/>
          <w:szCs w:val="24"/>
        </w:rPr>
        <w:t xml:space="preserve">simply </w:t>
      </w:r>
      <w:r w:rsidR="00EE43F4" w:rsidRPr="00445A7B">
        <w:rPr>
          <w:rFonts w:ascii="Arial" w:hAnsi="Arial" w:cs="Arial"/>
          <w:iCs/>
          <w:sz w:val="24"/>
          <w:szCs w:val="24"/>
        </w:rPr>
        <w:t xml:space="preserve">regurgitated the terms of the </w:t>
      </w:r>
      <w:r w:rsidR="004706A7" w:rsidRPr="00445A7B">
        <w:rPr>
          <w:rFonts w:ascii="Arial" w:hAnsi="Arial" w:cs="Arial"/>
          <w:iCs/>
          <w:sz w:val="24"/>
          <w:szCs w:val="24"/>
        </w:rPr>
        <w:t xml:space="preserve">oral </w:t>
      </w:r>
      <w:r w:rsidR="00EE43F4" w:rsidRPr="00445A7B">
        <w:rPr>
          <w:rFonts w:ascii="Arial" w:hAnsi="Arial" w:cs="Arial"/>
          <w:iCs/>
          <w:sz w:val="24"/>
          <w:szCs w:val="24"/>
        </w:rPr>
        <w:t xml:space="preserve">agreement </w:t>
      </w:r>
      <w:r w:rsidR="00947E00" w:rsidRPr="00445A7B">
        <w:rPr>
          <w:rFonts w:ascii="Arial" w:hAnsi="Arial" w:cs="Arial"/>
          <w:iCs/>
          <w:sz w:val="24"/>
          <w:szCs w:val="24"/>
        </w:rPr>
        <w:t xml:space="preserve">in the particulars </w:t>
      </w:r>
      <w:r w:rsidR="004B6F24" w:rsidRPr="00445A7B">
        <w:rPr>
          <w:rFonts w:ascii="Arial" w:hAnsi="Arial" w:cs="Arial"/>
          <w:iCs/>
          <w:sz w:val="24"/>
          <w:szCs w:val="24"/>
        </w:rPr>
        <w:t xml:space="preserve">of claim </w:t>
      </w:r>
      <w:r w:rsidR="00EE43F4" w:rsidRPr="00445A7B">
        <w:rPr>
          <w:rFonts w:ascii="Arial" w:hAnsi="Arial" w:cs="Arial"/>
          <w:iCs/>
          <w:sz w:val="24"/>
          <w:szCs w:val="24"/>
        </w:rPr>
        <w:t xml:space="preserve">without setting out material facts to </w:t>
      </w:r>
      <w:r w:rsidR="003855A6" w:rsidRPr="00445A7B">
        <w:rPr>
          <w:rFonts w:ascii="Arial" w:hAnsi="Arial" w:cs="Arial"/>
          <w:color w:val="000000" w:themeColor="text1"/>
          <w:sz w:val="24"/>
          <w:szCs w:val="24"/>
        </w:rPr>
        <w:t xml:space="preserve">establish </w:t>
      </w:r>
      <w:r w:rsidR="00CD6E13" w:rsidRPr="00445A7B">
        <w:rPr>
          <w:rFonts w:ascii="Arial" w:hAnsi="Arial" w:cs="Arial"/>
          <w:color w:val="000000" w:themeColor="text1"/>
          <w:sz w:val="24"/>
          <w:szCs w:val="24"/>
        </w:rPr>
        <w:t xml:space="preserve">the </w:t>
      </w:r>
      <w:r w:rsidR="003855A6" w:rsidRPr="00445A7B">
        <w:rPr>
          <w:rFonts w:ascii="Arial" w:hAnsi="Arial" w:cs="Arial"/>
          <w:color w:val="000000" w:themeColor="text1"/>
          <w:sz w:val="24"/>
          <w:szCs w:val="24"/>
        </w:rPr>
        <w:t>a</w:t>
      </w:r>
      <w:r w:rsidR="00CD6E13" w:rsidRPr="00445A7B">
        <w:rPr>
          <w:rFonts w:ascii="Arial" w:hAnsi="Arial" w:cs="Arial"/>
          <w:color w:val="000000" w:themeColor="text1"/>
          <w:sz w:val="24"/>
          <w:szCs w:val="24"/>
        </w:rPr>
        <w:t xml:space="preserve">lleged </w:t>
      </w:r>
      <w:r w:rsidR="003855A6" w:rsidRPr="00445A7B">
        <w:rPr>
          <w:rFonts w:ascii="Arial" w:hAnsi="Arial" w:cs="Arial"/>
          <w:color w:val="000000" w:themeColor="text1"/>
          <w:sz w:val="24"/>
          <w:szCs w:val="24"/>
        </w:rPr>
        <w:t>simulated agreement</w:t>
      </w:r>
      <w:r w:rsidRPr="00445A7B">
        <w:rPr>
          <w:rFonts w:ascii="Arial" w:hAnsi="Arial" w:cs="Arial"/>
          <w:color w:val="000000" w:themeColor="text1"/>
          <w:sz w:val="24"/>
          <w:szCs w:val="24"/>
        </w:rPr>
        <w:t xml:space="preserve">. </w:t>
      </w:r>
      <w:r w:rsidR="00947E00" w:rsidRPr="00445A7B">
        <w:rPr>
          <w:rFonts w:ascii="Arial" w:hAnsi="Arial" w:cs="Arial"/>
          <w:color w:val="000000" w:themeColor="text1"/>
          <w:sz w:val="24"/>
          <w:szCs w:val="24"/>
        </w:rPr>
        <w:t xml:space="preserve">The </w:t>
      </w:r>
      <w:r w:rsidR="00045945" w:rsidRPr="00445A7B">
        <w:rPr>
          <w:rFonts w:ascii="Arial" w:hAnsi="Arial" w:cs="Arial"/>
          <w:color w:val="000000" w:themeColor="text1"/>
          <w:sz w:val="24"/>
          <w:szCs w:val="24"/>
        </w:rPr>
        <w:t xml:space="preserve">first </w:t>
      </w:r>
      <w:r w:rsidR="00947E00" w:rsidRPr="00445A7B">
        <w:rPr>
          <w:rFonts w:ascii="Arial" w:hAnsi="Arial" w:cs="Arial"/>
          <w:color w:val="000000" w:themeColor="text1"/>
          <w:sz w:val="24"/>
          <w:szCs w:val="24"/>
        </w:rPr>
        <w:t>respondent</w:t>
      </w:r>
      <w:r w:rsidR="004706A7" w:rsidRPr="00445A7B">
        <w:rPr>
          <w:rFonts w:ascii="Arial" w:hAnsi="Arial" w:cs="Arial"/>
          <w:color w:val="000000" w:themeColor="text1"/>
          <w:sz w:val="24"/>
          <w:szCs w:val="24"/>
        </w:rPr>
        <w:t xml:space="preserve"> </w:t>
      </w:r>
      <w:r w:rsidR="00947E00" w:rsidRPr="00445A7B">
        <w:rPr>
          <w:rFonts w:ascii="Arial" w:hAnsi="Arial" w:cs="Arial"/>
          <w:color w:val="000000" w:themeColor="text1"/>
          <w:sz w:val="24"/>
          <w:szCs w:val="24"/>
        </w:rPr>
        <w:t xml:space="preserve">therefore contended </w:t>
      </w:r>
      <w:r w:rsidR="004706A7" w:rsidRPr="00445A7B">
        <w:rPr>
          <w:rFonts w:ascii="Arial" w:hAnsi="Arial" w:cs="Arial"/>
          <w:color w:val="000000" w:themeColor="text1"/>
          <w:sz w:val="24"/>
          <w:szCs w:val="24"/>
        </w:rPr>
        <w:t>that the appellant</w:t>
      </w:r>
      <w:r w:rsidR="00947E00" w:rsidRPr="00445A7B">
        <w:rPr>
          <w:rFonts w:ascii="Arial" w:hAnsi="Arial" w:cs="Arial"/>
          <w:color w:val="000000" w:themeColor="text1"/>
          <w:sz w:val="24"/>
          <w:szCs w:val="24"/>
        </w:rPr>
        <w:t>s</w:t>
      </w:r>
      <w:r w:rsidR="00204AF3" w:rsidRPr="00445A7B">
        <w:rPr>
          <w:rFonts w:ascii="Arial" w:hAnsi="Arial" w:cs="Arial"/>
          <w:color w:val="000000" w:themeColor="text1"/>
          <w:sz w:val="24"/>
          <w:szCs w:val="24"/>
        </w:rPr>
        <w:t xml:space="preserve"> </w:t>
      </w:r>
      <w:r w:rsidR="004706A7" w:rsidRPr="00445A7B">
        <w:rPr>
          <w:rFonts w:ascii="Arial" w:hAnsi="Arial" w:cs="Arial"/>
          <w:color w:val="000000" w:themeColor="text1"/>
          <w:sz w:val="24"/>
          <w:szCs w:val="24"/>
        </w:rPr>
        <w:t xml:space="preserve">failed to allege </w:t>
      </w:r>
      <w:r w:rsidR="00204AF3" w:rsidRPr="00445A7B">
        <w:rPr>
          <w:rFonts w:ascii="Arial" w:hAnsi="Arial" w:cs="Arial"/>
          <w:color w:val="000000" w:themeColor="text1"/>
          <w:sz w:val="24"/>
          <w:szCs w:val="24"/>
        </w:rPr>
        <w:t xml:space="preserve">a </w:t>
      </w:r>
      <w:r w:rsidR="004706A7" w:rsidRPr="00445A7B">
        <w:rPr>
          <w:rFonts w:ascii="Arial" w:hAnsi="Arial" w:cs="Arial"/>
          <w:color w:val="000000" w:themeColor="text1"/>
          <w:sz w:val="24"/>
          <w:szCs w:val="24"/>
        </w:rPr>
        <w:t xml:space="preserve">real agreement different </w:t>
      </w:r>
      <w:r w:rsidR="00CD6E13" w:rsidRPr="00445A7B">
        <w:rPr>
          <w:rFonts w:ascii="Arial" w:hAnsi="Arial" w:cs="Arial"/>
          <w:color w:val="000000" w:themeColor="text1"/>
          <w:sz w:val="24"/>
          <w:szCs w:val="24"/>
        </w:rPr>
        <w:t>from</w:t>
      </w:r>
      <w:r w:rsidR="004706A7" w:rsidRPr="00445A7B">
        <w:rPr>
          <w:rFonts w:ascii="Arial" w:hAnsi="Arial" w:cs="Arial"/>
          <w:color w:val="000000" w:themeColor="text1"/>
          <w:sz w:val="24"/>
          <w:szCs w:val="24"/>
        </w:rPr>
        <w:t xml:space="preserve"> the</w:t>
      </w:r>
      <w:r w:rsidR="00204AF3" w:rsidRPr="00445A7B">
        <w:rPr>
          <w:rFonts w:ascii="Arial" w:hAnsi="Arial" w:cs="Arial"/>
          <w:color w:val="000000" w:themeColor="text1"/>
          <w:sz w:val="24"/>
          <w:szCs w:val="24"/>
        </w:rPr>
        <w:t xml:space="preserve"> alleged simulated o</w:t>
      </w:r>
      <w:r w:rsidR="004B6F24" w:rsidRPr="00445A7B">
        <w:rPr>
          <w:rFonts w:ascii="Arial" w:hAnsi="Arial" w:cs="Arial"/>
          <w:color w:val="000000" w:themeColor="text1"/>
          <w:sz w:val="24"/>
          <w:szCs w:val="24"/>
        </w:rPr>
        <w:t>ne</w:t>
      </w:r>
      <w:r w:rsidR="00204AF3" w:rsidRPr="00445A7B">
        <w:rPr>
          <w:rFonts w:ascii="Arial" w:hAnsi="Arial" w:cs="Arial"/>
          <w:color w:val="000000" w:themeColor="text1"/>
          <w:sz w:val="24"/>
          <w:szCs w:val="24"/>
        </w:rPr>
        <w:t xml:space="preserve">. </w:t>
      </w:r>
      <w:r w:rsidR="004706A7" w:rsidRPr="00445A7B">
        <w:rPr>
          <w:rFonts w:ascii="Arial" w:hAnsi="Arial" w:cs="Arial"/>
          <w:color w:val="000000" w:themeColor="text1"/>
          <w:sz w:val="24"/>
          <w:szCs w:val="24"/>
        </w:rPr>
        <w:t xml:space="preserve"> </w:t>
      </w:r>
    </w:p>
    <w:p w:rsidR="006E7801" w:rsidRDefault="006E7801" w:rsidP="00445A7B">
      <w:pPr>
        <w:spacing w:after="0" w:line="480" w:lineRule="auto"/>
        <w:ind w:right="202"/>
        <w:jc w:val="both"/>
        <w:rPr>
          <w:rFonts w:ascii="Arial" w:hAnsi="Arial" w:cs="Arial"/>
          <w:color w:val="000000" w:themeColor="text1"/>
          <w:sz w:val="24"/>
          <w:szCs w:val="24"/>
          <w:u w:val="single"/>
          <w:lang w:val="en-GB"/>
        </w:rPr>
      </w:pPr>
    </w:p>
    <w:p w:rsidR="00082E2E" w:rsidRPr="00445A7B" w:rsidRDefault="00082E2E" w:rsidP="00445A7B">
      <w:pPr>
        <w:pStyle w:val="ListParagraph"/>
        <w:spacing w:after="0" w:line="480" w:lineRule="auto"/>
        <w:ind w:left="0" w:right="202"/>
        <w:jc w:val="both"/>
        <w:rPr>
          <w:rFonts w:ascii="Arial" w:hAnsi="Arial" w:cs="Arial"/>
          <w:color w:val="000000" w:themeColor="text1"/>
          <w:sz w:val="24"/>
          <w:szCs w:val="24"/>
          <w:u w:val="single"/>
          <w:lang w:val="en-GB"/>
        </w:rPr>
      </w:pPr>
      <w:r w:rsidRPr="00445A7B">
        <w:rPr>
          <w:rFonts w:ascii="Arial" w:hAnsi="Arial" w:cs="Arial"/>
          <w:color w:val="000000" w:themeColor="text1"/>
          <w:sz w:val="24"/>
          <w:szCs w:val="24"/>
          <w:u w:val="single"/>
          <w:lang w:val="en-GB"/>
        </w:rPr>
        <w:t xml:space="preserve">Findings of the High Court </w:t>
      </w:r>
    </w:p>
    <w:p w:rsidR="00082E2E" w:rsidRPr="00445A7B" w:rsidRDefault="00082E2E" w:rsidP="00445A7B">
      <w:pPr>
        <w:pStyle w:val="ListParagraph"/>
        <w:numPr>
          <w:ilvl w:val="0"/>
          <w:numId w:val="6"/>
        </w:numPr>
        <w:spacing w:after="0" w:line="480" w:lineRule="auto"/>
        <w:ind w:left="0" w:firstLine="0"/>
        <w:jc w:val="both"/>
        <w:rPr>
          <w:rFonts w:ascii="Arial" w:hAnsi="Arial" w:cs="Arial"/>
          <w:sz w:val="24"/>
          <w:szCs w:val="24"/>
        </w:rPr>
      </w:pPr>
      <w:r w:rsidRPr="00445A7B">
        <w:rPr>
          <w:rFonts w:ascii="Arial" w:hAnsi="Arial" w:cs="Arial"/>
          <w:sz w:val="24"/>
          <w:szCs w:val="24"/>
        </w:rPr>
        <w:t xml:space="preserve">In relation to the first ground, the court </w:t>
      </w:r>
      <w:r w:rsidRPr="00445A7B">
        <w:rPr>
          <w:rFonts w:ascii="Arial" w:hAnsi="Arial" w:cs="Arial"/>
          <w:i/>
          <w:sz w:val="24"/>
          <w:szCs w:val="24"/>
        </w:rPr>
        <w:t>a quo</w:t>
      </w:r>
      <w:r w:rsidRPr="00445A7B">
        <w:rPr>
          <w:rFonts w:ascii="Arial" w:hAnsi="Arial" w:cs="Arial"/>
          <w:sz w:val="24"/>
          <w:szCs w:val="24"/>
        </w:rPr>
        <w:t xml:space="preserve"> held that as a general rule, where there is any property that is the subject of any action after the death of </w:t>
      </w:r>
      <w:r w:rsidR="00417A75" w:rsidRPr="00445A7B">
        <w:rPr>
          <w:rFonts w:ascii="Arial" w:hAnsi="Arial" w:cs="Arial"/>
          <w:sz w:val="24"/>
          <w:szCs w:val="24"/>
        </w:rPr>
        <w:t>a</w:t>
      </w:r>
      <w:r w:rsidRPr="00445A7B">
        <w:rPr>
          <w:rFonts w:ascii="Arial" w:hAnsi="Arial" w:cs="Arial"/>
          <w:sz w:val="24"/>
          <w:szCs w:val="24"/>
        </w:rPr>
        <w:t xml:space="preserve"> deceased, the party authori</w:t>
      </w:r>
      <w:r w:rsidR="003E169C">
        <w:rPr>
          <w:rFonts w:ascii="Arial" w:hAnsi="Arial" w:cs="Arial"/>
          <w:sz w:val="24"/>
          <w:szCs w:val="24"/>
        </w:rPr>
        <w:t>s</w:t>
      </w:r>
      <w:r w:rsidRPr="00445A7B">
        <w:rPr>
          <w:rFonts w:ascii="Arial" w:hAnsi="Arial" w:cs="Arial"/>
          <w:sz w:val="24"/>
          <w:szCs w:val="24"/>
        </w:rPr>
        <w:t>ed to deal therewith is the executor or executrix, who in terms of the law</w:t>
      </w:r>
      <w:r w:rsidR="000F4ECB" w:rsidRPr="00445A7B">
        <w:rPr>
          <w:rFonts w:ascii="Arial" w:hAnsi="Arial" w:cs="Arial"/>
          <w:sz w:val="24"/>
          <w:szCs w:val="24"/>
        </w:rPr>
        <w:t>,</w:t>
      </w:r>
      <w:r w:rsidRPr="00445A7B">
        <w:rPr>
          <w:rFonts w:ascii="Arial" w:hAnsi="Arial" w:cs="Arial"/>
          <w:sz w:val="24"/>
          <w:szCs w:val="24"/>
        </w:rPr>
        <w:t xml:space="preserve"> takes charge of the administration and eventual distribution of the assets and settling the debts of the estate. The court</w:t>
      </w:r>
      <w:r w:rsidRPr="00445A7B">
        <w:rPr>
          <w:rFonts w:ascii="Arial" w:hAnsi="Arial" w:cs="Arial"/>
          <w:i/>
          <w:sz w:val="24"/>
          <w:szCs w:val="24"/>
        </w:rPr>
        <w:t xml:space="preserve"> a quo</w:t>
      </w:r>
      <w:r w:rsidRPr="00445A7B">
        <w:rPr>
          <w:rFonts w:ascii="Arial" w:hAnsi="Arial" w:cs="Arial"/>
          <w:sz w:val="24"/>
          <w:szCs w:val="24"/>
        </w:rPr>
        <w:t xml:space="preserve"> referring to various authorities</w:t>
      </w:r>
      <w:r w:rsidR="000F4ECB" w:rsidRPr="00445A7B">
        <w:rPr>
          <w:rFonts w:ascii="Arial" w:hAnsi="Arial" w:cs="Arial"/>
          <w:sz w:val="24"/>
          <w:szCs w:val="24"/>
        </w:rPr>
        <w:t>,</w:t>
      </w:r>
      <w:r w:rsidRPr="00445A7B">
        <w:rPr>
          <w:rFonts w:ascii="Arial" w:hAnsi="Arial" w:cs="Arial"/>
          <w:sz w:val="24"/>
          <w:szCs w:val="24"/>
        </w:rPr>
        <w:t xml:space="preserve"> including </w:t>
      </w:r>
      <w:r w:rsidRPr="00445A7B">
        <w:rPr>
          <w:rFonts w:ascii="Arial" w:hAnsi="Arial" w:cs="Arial"/>
          <w:i/>
          <w:sz w:val="24"/>
          <w:szCs w:val="24"/>
        </w:rPr>
        <w:t>Stellemacher v Christians</w:t>
      </w:r>
      <w:r>
        <w:rPr>
          <w:rStyle w:val="FootnoteReference"/>
          <w:rFonts w:ascii="Arial" w:hAnsi="Arial" w:cs="Arial"/>
          <w:i/>
          <w:sz w:val="24"/>
          <w:szCs w:val="24"/>
        </w:rPr>
        <w:footnoteReference w:id="1"/>
      </w:r>
      <w:r w:rsidRPr="00445A7B">
        <w:rPr>
          <w:rFonts w:ascii="Arial" w:hAnsi="Arial" w:cs="Arial"/>
          <w:sz w:val="24"/>
          <w:szCs w:val="24"/>
        </w:rPr>
        <w:t xml:space="preserve">, held that </w:t>
      </w:r>
      <w:r w:rsidR="006F325A" w:rsidRPr="00445A7B">
        <w:rPr>
          <w:rFonts w:ascii="Arial" w:hAnsi="Arial" w:cs="Arial"/>
          <w:sz w:val="24"/>
          <w:szCs w:val="24"/>
        </w:rPr>
        <w:t xml:space="preserve">the </w:t>
      </w:r>
      <w:r w:rsidRPr="00445A7B">
        <w:rPr>
          <w:rFonts w:ascii="Arial" w:hAnsi="Arial" w:cs="Arial"/>
          <w:sz w:val="24"/>
          <w:szCs w:val="24"/>
        </w:rPr>
        <w:t xml:space="preserve">appellants in the </w:t>
      </w:r>
      <w:r w:rsidR="006F325A" w:rsidRPr="00445A7B">
        <w:rPr>
          <w:rFonts w:ascii="Arial" w:hAnsi="Arial" w:cs="Arial"/>
          <w:sz w:val="24"/>
          <w:szCs w:val="24"/>
        </w:rPr>
        <w:t>instant m</w:t>
      </w:r>
      <w:r w:rsidRPr="00445A7B">
        <w:rPr>
          <w:rFonts w:ascii="Arial" w:hAnsi="Arial" w:cs="Arial"/>
          <w:sz w:val="24"/>
          <w:szCs w:val="24"/>
        </w:rPr>
        <w:t xml:space="preserve">atter had not presented evidence or alleged any exceptional circumstance to warrant a departure from </w:t>
      </w:r>
      <w:r w:rsidR="006F325A" w:rsidRPr="00445A7B">
        <w:rPr>
          <w:rFonts w:ascii="Arial" w:hAnsi="Arial" w:cs="Arial"/>
          <w:sz w:val="24"/>
          <w:szCs w:val="24"/>
        </w:rPr>
        <w:t>the well-</w:t>
      </w:r>
      <w:r w:rsidRPr="00445A7B">
        <w:rPr>
          <w:rFonts w:ascii="Arial" w:hAnsi="Arial" w:cs="Arial"/>
          <w:sz w:val="24"/>
          <w:szCs w:val="24"/>
        </w:rPr>
        <w:t xml:space="preserve">settled position that only the executrix of an estate has </w:t>
      </w:r>
      <w:r w:rsidRPr="00445A7B">
        <w:rPr>
          <w:rFonts w:ascii="Arial" w:hAnsi="Arial" w:cs="Arial"/>
          <w:i/>
          <w:sz w:val="24"/>
          <w:szCs w:val="24"/>
        </w:rPr>
        <w:t>locus standi</w:t>
      </w:r>
      <w:r w:rsidRPr="00445A7B">
        <w:rPr>
          <w:rFonts w:ascii="Arial" w:hAnsi="Arial" w:cs="Arial"/>
          <w:sz w:val="24"/>
          <w:szCs w:val="24"/>
        </w:rPr>
        <w:t xml:space="preserve"> to </w:t>
      </w:r>
      <w:r w:rsidRPr="00445A7B">
        <w:rPr>
          <w:rFonts w:ascii="Arial" w:hAnsi="Arial" w:cs="Arial"/>
          <w:sz w:val="24"/>
          <w:szCs w:val="24"/>
        </w:rPr>
        <w:lastRenderedPageBreak/>
        <w:t xml:space="preserve">bring an action on behalf of </w:t>
      </w:r>
      <w:r w:rsidR="000F4ECB" w:rsidRPr="00445A7B">
        <w:rPr>
          <w:rFonts w:ascii="Arial" w:hAnsi="Arial" w:cs="Arial"/>
          <w:sz w:val="24"/>
          <w:szCs w:val="24"/>
        </w:rPr>
        <w:t xml:space="preserve">a deceased’s </w:t>
      </w:r>
      <w:r w:rsidRPr="00445A7B">
        <w:rPr>
          <w:rFonts w:ascii="Arial" w:hAnsi="Arial" w:cs="Arial"/>
          <w:sz w:val="24"/>
          <w:szCs w:val="24"/>
        </w:rPr>
        <w:t xml:space="preserve">estate. Accordingly, the court concluded that the second appellant had no </w:t>
      </w:r>
      <w:r w:rsidR="004B6F24" w:rsidRPr="00445A7B">
        <w:rPr>
          <w:rFonts w:ascii="Arial" w:hAnsi="Arial" w:cs="Arial"/>
          <w:sz w:val="24"/>
          <w:szCs w:val="24"/>
        </w:rPr>
        <w:t>standing</w:t>
      </w:r>
      <w:r w:rsidRPr="00445A7B">
        <w:rPr>
          <w:rFonts w:ascii="Arial" w:hAnsi="Arial" w:cs="Arial"/>
          <w:sz w:val="24"/>
          <w:szCs w:val="24"/>
        </w:rPr>
        <w:t xml:space="preserve"> to maintain the action. </w:t>
      </w:r>
    </w:p>
    <w:p w:rsidR="008E3DF2" w:rsidRDefault="008E3DF2" w:rsidP="00445A7B">
      <w:pPr>
        <w:spacing w:after="0" w:line="480" w:lineRule="auto"/>
        <w:jc w:val="both"/>
        <w:rPr>
          <w:rFonts w:ascii="Arial" w:hAnsi="Arial" w:cs="Arial"/>
          <w:color w:val="000000" w:themeColor="text1"/>
          <w:sz w:val="24"/>
          <w:szCs w:val="24"/>
        </w:rPr>
      </w:pPr>
    </w:p>
    <w:p w:rsidR="00082E2E" w:rsidRPr="00445A7B" w:rsidRDefault="00082E2E" w:rsidP="00445A7B">
      <w:pPr>
        <w:pStyle w:val="ListParagraph"/>
        <w:numPr>
          <w:ilvl w:val="0"/>
          <w:numId w:val="6"/>
        </w:numPr>
        <w:spacing w:after="0" w:line="480" w:lineRule="auto"/>
        <w:ind w:left="0" w:firstLine="0"/>
        <w:jc w:val="both"/>
        <w:rPr>
          <w:rFonts w:ascii="Arial" w:hAnsi="Arial" w:cs="Arial"/>
          <w:sz w:val="24"/>
          <w:szCs w:val="24"/>
        </w:rPr>
      </w:pPr>
      <w:r w:rsidRPr="00445A7B">
        <w:rPr>
          <w:rFonts w:ascii="Arial" w:hAnsi="Arial" w:cs="Arial"/>
          <w:color w:val="000000" w:themeColor="text1"/>
          <w:sz w:val="24"/>
          <w:szCs w:val="24"/>
        </w:rPr>
        <w:t>As for the second ground, t</w:t>
      </w:r>
      <w:r w:rsidRPr="00445A7B">
        <w:rPr>
          <w:rFonts w:ascii="Arial" w:hAnsi="Arial" w:cs="Arial"/>
          <w:sz w:val="24"/>
          <w:szCs w:val="24"/>
        </w:rPr>
        <w:t xml:space="preserve">he court </w:t>
      </w:r>
      <w:r w:rsidRPr="00445A7B">
        <w:rPr>
          <w:rFonts w:ascii="Arial" w:hAnsi="Arial" w:cs="Arial"/>
          <w:i/>
          <w:sz w:val="24"/>
          <w:szCs w:val="24"/>
        </w:rPr>
        <w:t xml:space="preserve">a quo </w:t>
      </w:r>
      <w:r w:rsidRPr="00445A7B">
        <w:rPr>
          <w:rFonts w:ascii="Arial" w:hAnsi="Arial" w:cs="Arial"/>
          <w:sz w:val="24"/>
          <w:szCs w:val="24"/>
        </w:rPr>
        <w:t>declined to make a final determination on the issues at the exception stage. It reasoned that the issue</w:t>
      </w:r>
      <w:r w:rsidR="00D47735" w:rsidRPr="00445A7B">
        <w:rPr>
          <w:rFonts w:ascii="Arial" w:hAnsi="Arial" w:cs="Arial"/>
          <w:sz w:val="24"/>
          <w:szCs w:val="24"/>
        </w:rPr>
        <w:t>s</w:t>
      </w:r>
      <w:r w:rsidRPr="00445A7B">
        <w:rPr>
          <w:rFonts w:ascii="Arial" w:hAnsi="Arial" w:cs="Arial"/>
          <w:sz w:val="24"/>
          <w:szCs w:val="24"/>
        </w:rPr>
        <w:t xml:space="preserve"> of illegality and severability of the alleged agreement were interconnected and making a determination without </w:t>
      </w:r>
      <w:r w:rsidR="00D47735" w:rsidRPr="00445A7B">
        <w:rPr>
          <w:rFonts w:ascii="Arial" w:hAnsi="Arial" w:cs="Arial"/>
          <w:sz w:val="24"/>
          <w:szCs w:val="24"/>
        </w:rPr>
        <w:t xml:space="preserve">the benefit </w:t>
      </w:r>
      <w:r w:rsidRPr="00445A7B">
        <w:rPr>
          <w:rFonts w:ascii="Arial" w:hAnsi="Arial" w:cs="Arial"/>
          <w:sz w:val="24"/>
          <w:szCs w:val="24"/>
        </w:rPr>
        <w:t>of oral evidence would yield some injustice. The court was therefore of the opinion that in order to come</w:t>
      </w:r>
      <w:r w:rsidR="00C725A2" w:rsidRPr="00445A7B">
        <w:rPr>
          <w:rFonts w:ascii="Arial" w:hAnsi="Arial" w:cs="Arial"/>
          <w:sz w:val="24"/>
          <w:szCs w:val="24"/>
        </w:rPr>
        <w:t xml:space="preserve"> to</w:t>
      </w:r>
      <w:r w:rsidRPr="00445A7B">
        <w:rPr>
          <w:rFonts w:ascii="Arial" w:hAnsi="Arial" w:cs="Arial"/>
          <w:sz w:val="24"/>
          <w:szCs w:val="24"/>
        </w:rPr>
        <w:t xml:space="preserve"> an informed decision, it </w:t>
      </w:r>
      <w:r w:rsidR="00D47735" w:rsidRPr="00445A7B">
        <w:rPr>
          <w:rFonts w:ascii="Arial" w:hAnsi="Arial" w:cs="Arial"/>
          <w:sz w:val="24"/>
          <w:szCs w:val="24"/>
        </w:rPr>
        <w:t>wa</w:t>
      </w:r>
      <w:r w:rsidRPr="00445A7B">
        <w:rPr>
          <w:rFonts w:ascii="Arial" w:hAnsi="Arial" w:cs="Arial"/>
          <w:sz w:val="24"/>
          <w:szCs w:val="24"/>
        </w:rPr>
        <w:t xml:space="preserve">s preferable that evidence </w:t>
      </w:r>
      <w:r w:rsidR="00D47735" w:rsidRPr="00445A7B">
        <w:rPr>
          <w:rFonts w:ascii="Arial" w:hAnsi="Arial" w:cs="Arial"/>
          <w:sz w:val="24"/>
          <w:szCs w:val="24"/>
        </w:rPr>
        <w:t>wa</w:t>
      </w:r>
      <w:r w:rsidRPr="00445A7B">
        <w:rPr>
          <w:rFonts w:ascii="Arial" w:hAnsi="Arial" w:cs="Arial"/>
          <w:sz w:val="24"/>
          <w:szCs w:val="24"/>
        </w:rPr>
        <w:t xml:space="preserve">s led on these issues supplemented by extensive legal argument. In light of this consideration, the court afforded an opportunity to the first respondent, if so advised, to file its plea and </w:t>
      </w:r>
      <w:r w:rsidR="00D47735" w:rsidRPr="00445A7B">
        <w:rPr>
          <w:rFonts w:ascii="Arial" w:hAnsi="Arial" w:cs="Arial"/>
          <w:sz w:val="24"/>
          <w:szCs w:val="24"/>
        </w:rPr>
        <w:t xml:space="preserve">to </w:t>
      </w:r>
      <w:r w:rsidRPr="00445A7B">
        <w:rPr>
          <w:rFonts w:ascii="Arial" w:hAnsi="Arial" w:cs="Arial"/>
          <w:sz w:val="24"/>
          <w:szCs w:val="24"/>
        </w:rPr>
        <w:t xml:space="preserve">deal with these issues, which may ultimately be the subject of determination at the trial. </w:t>
      </w:r>
    </w:p>
    <w:p w:rsidR="00866387" w:rsidRPr="00724959" w:rsidRDefault="00866387" w:rsidP="00445A7B">
      <w:pPr>
        <w:spacing w:after="0" w:line="480" w:lineRule="auto"/>
        <w:jc w:val="both"/>
        <w:rPr>
          <w:rFonts w:ascii="Arial" w:hAnsi="Arial" w:cs="Arial"/>
          <w:sz w:val="24"/>
          <w:szCs w:val="24"/>
        </w:rPr>
      </w:pPr>
    </w:p>
    <w:p w:rsidR="00082E2E" w:rsidRPr="00445A7B" w:rsidRDefault="00082E2E" w:rsidP="00445A7B">
      <w:pPr>
        <w:pStyle w:val="ListParagraph"/>
        <w:numPr>
          <w:ilvl w:val="0"/>
          <w:numId w:val="6"/>
        </w:numPr>
        <w:spacing w:after="0" w:line="480" w:lineRule="auto"/>
        <w:ind w:left="0" w:firstLine="0"/>
        <w:jc w:val="both"/>
        <w:rPr>
          <w:rFonts w:ascii="Arial" w:hAnsi="Arial" w:cs="Arial"/>
          <w:i/>
          <w:sz w:val="24"/>
          <w:szCs w:val="24"/>
        </w:rPr>
      </w:pPr>
      <w:r w:rsidRPr="00445A7B">
        <w:rPr>
          <w:rFonts w:ascii="Arial" w:hAnsi="Arial" w:cs="Arial"/>
          <w:color w:val="000000" w:themeColor="text1"/>
          <w:sz w:val="24"/>
          <w:szCs w:val="24"/>
        </w:rPr>
        <w:t xml:space="preserve">As to </w:t>
      </w:r>
      <w:r w:rsidR="005C1A26" w:rsidRPr="00445A7B">
        <w:rPr>
          <w:rFonts w:ascii="Arial" w:hAnsi="Arial" w:cs="Arial"/>
          <w:color w:val="000000" w:themeColor="text1"/>
          <w:sz w:val="24"/>
          <w:szCs w:val="24"/>
        </w:rPr>
        <w:t xml:space="preserve">the </w:t>
      </w:r>
      <w:r w:rsidRPr="00445A7B">
        <w:rPr>
          <w:rFonts w:ascii="Arial" w:hAnsi="Arial" w:cs="Arial"/>
          <w:color w:val="000000" w:themeColor="text1"/>
          <w:sz w:val="24"/>
          <w:szCs w:val="24"/>
        </w:rPr>
        <w:t>third ground, the court stated that if no possible evidence led on the pleadings could disclose a cause of action, the particulars of claim w</w:t>
      </w:r>
      <w:r w:rsidR="00D47735" w:rsidRPr="00445A7B">
        <w:rPr>
          <w:rFonts w:ascii="Arial" w:hAnsi="Arial" w:cs="Arial"/>
          <w:color w:val="000000" w:themeColor="text1"/>
          <w:sz w:val="24"/>
          <w:szCs w:val="24"/>
        </w:rPr>
        <w:t xml:space="preserve">ould </w:t>
      </w:r>
      <w:r w:rsidRPr="00445A7B">
        <w:rPr>
          <w:rFonts w:ascii="Arial" w:hAnsi="Arial" w:cs="Arial"/>
          <w:color w:val="000000" w:themeColor="text1"/>
          <w:sz w:val="24"/>
          <w:szCs w:val="24"/>
        </w:rPr>
        <w:t>be found excipiable. In this connection, the court held that the aver</w:t>
      </w:r>
      <w:r w:rsidR="004B6F24" w:rsidRPr="00445A7B">
        <w:rPr>
          <w:rFonts w:ascii="Arial" w:hAnsi="Arial" w:cs="Arial"/>
          <w:color w:val="000000" w:themeColor="text1"/>
          <w:sz w:val="24"/>
          <w:szCs w:val="24"/>
        </w:rPr>
        <w:t>ments</w:t>
      </w:r>
      <w:r w:rsidRPr="00445A7B">
        <w:rPr>
          <w:rFonts w:ascii="Arial" w:hAnsi="Arial" w:cs="Arial"/>
          <w:color w:val="000000" w:themeColor="text1"/>
          <w:sz w:val="24"/>
          <w:szCs w:val="24"/>
        </w:rPr>
        <w:t xml:space="preserve"> appearing in the particulars of claim do not contain material facts from which a conclusion can reasonably be made that the agreement in question was a simulated one and one entered into in</w:t>
      </w:r>
      <w:r w:rsidRPr="00445A7B">
        <w:rPr>
          <w:rFonts w:ascii="Arial" w:hAnsi="Arial" w:cs="Arial"/>
          <w:i/>
          <w:color w:val="000000" w:themeColor="text1"/>
          <w:sz w:val="24"/>
          <w:szCs w:val="24"/>
        </w:rPr>
        <w:t xml:space="preserve"> f</w:t>
      </w:r>
      <w:r w:rsidR="000F4ECB" w:rsidRPr="00445A7B">
        <w:rPr>
          <w:rFonts w:ascii="Arial" w:hAnsi="Arial" w:cs="Arial"/>
          <w:i/>
          <w:color w:val="000000" w:themeColor="text1"/>
          <w:sz w:val="24"/>
          <w:szCs w:val="24"/>
        </w:rPr>
        <w:t>r</w:t>
      </w:r>
      <w:r w:rsidRPr="00445A7B">
        <w:rPr>
          <w:rFonts w:ascii="Arial" w:hAnsi="Arial" w:cs="Arial"/>
          <w:i/>
          <w:color w:val="000000" w:themeColor="text1"/>
          <w:sz w:val="24"/>
          <w:szCs w:val="24"/>
        </w:rPr>
        <w:t>audem legis</w:t>
      </w:r>
      <w:r w:rsidRPr="00445A7B">
        <w:rPr>
          <w:rFonts w:ascii="Arial" w:hAnsi="Arial" w:cs="Arial"/>
          <w:color w:val="000000" w:themeColor="text1"/>
          <w:sz w:val="24"/>
          <w:szCs w:val="24"/>
        </w:rPr>
        <w:t xml:space="preserve">. The court further held that the particulars of claim failed to meet the criteria for determining what a simulated transaction may entail according to the standards set in </w:t>
      </w:r>
      <w:r w:rsidRPr="00445A7B">
        <w:rPr>
          <w:rFonts w:ascii="Arial" w:hAnsi="Arial" w:cs="Arial"/>
          <w:i/>
          <w:color w:val="000000" w:themeColor="text1"/>
          <w:sz w:val="24"/>
          <w:szCs w:val="24"/>
        </w:rPr>
        <w:t>Strauss v Labuschagne</w:t>
      </w:r>
      <w:r w:rsidRPr="00D6064C">
        <w:rPr>
          <w:rStyle w:val="FootnoteReference"/>
          <w:rFonts w:ascii="Arial" w:hAnsi="Arial" w:cs="Arial"/>
          <w:i/>
          <w:color w:val="000000" w:themeColor="text1"/>
          <w:sz w:val="24"/>
          <w:szCs w:val="24"/>
        </w:rPr>
        <w:footnoteReference w:id="2"/>
      </w:r>
      <w:r w:rsidRPr="00445A7B">
        <w:rPr>
          <w:rFonts w:ascii="Arial" w:hAnsi="Arial" w:cs="Arial"/>
          <w:sz w:val="24"/>
          <w:szCs w:val="24"/>
        </w:rPr>
        <w:t xml:space="preserve">. </w:t>
      </w:r>
    </w:p>
    <w:p w:rsidR="00082E2E" w:rsidRPr="00724959" w:rsidRDefault="00082E2E" w:rsidP="00445A7B">
      <w:pPr>
        <w:spacing w:after="0" w:line="480" w:lineRule="auto"/>
        <w:jc w:val="both"/>
        <w:rPr>
          <w:rFonts w:ascii="Arial" w:hAnsi="Arial" w:cs="Arial"/>
          <w:sz w:val="24"/>
          <w:szCs w:val="24"/>
        </w:rPr>
      </w:pPr>
    </w:p>
    <w:p w:rsidR="00082E2E" w:rsidRPr="00445A7B" w:rsidRDefault="004B6F24" w:rsidP="00445A7B">
      <w:pPr>
        <w:pStyle w:val="ListParagraph"/>
        <w:numPr>
          <w:ilvl w:val="0"/>
          <w:numId w:val="6"/>
        </w:numPr>
        <w:spacing w:after="0" w:line="480" w:lineRule="auto"/>
        <w:ind w:left="0" w:firstLine="0"/>
        <w:jc w:val="both"/>
        <w:rPr>
          <w:rFonts w:ascii="Arial" w:hAnsi="Arial" w:cs="Arial"/>
          <w:sz w:val="24"/>
          <w:szCs w:val="24"/>
        </w:rPr>
      </w:pPr>
      <w:r w:rsidRPr="00445A7B">
        <w:rPr>
          <w:rFonts w:ascii="Arial" w:hAnsi="Arial" w:cs="Arial"/>
          <w:sz w:val="24"/>
          <w:szCs w:val="24"/>
        </w:rPr>
        <w:lastRenderedPageBreak/>
        <w:t>Consequent</w:t>
      </w:r>
      <w:r w:rsidR="00082E2E" w:rsidRPr="00445A7B">
        <w:rPr>
          <w:rFonts w:ascii="Arial" w:hAnsi="Arial" w:cs="Arial"/>
          <w:sz w:val="24"/>
          <w:szCs w:val="24"/>
        </w:rPr>
        <w:t xml:space="preserve"> to its finding that the particulars of claim did not contain sufficient material facts to disclose a cause of action, </w:t>
      </w:r>
      <w:r w:rsidRPr="00445A7B">
        <w:rPr>
          <w:rFonts w:ascii="Arial" w:hAnsi="Arial" w:cs="Arial"/>
          <w:sz w:val="24"/>
          <w:szCs w:val="24"/>
        </w:rPr>
        <w:t xml:space="preserve">the High Court </w:t>
      </w:r>
      <w:r w:rsidR="00082E2E" w:rsidRPr="00445A7B">
        <w:rPr>
          <w:rFonts w:ascii="Arial" w:hAnsi="Arial" w:cs="Arial"/>
          <w:sz w:val="24"/>
          <w:szCs w:val="24"/>
        </w:rPr>
        <w:t xml:space="preserve">granted leave to the appellants to amend their particulars of claim within fifteen days of the order. The court further directed the respondents to reply thereto within ten days of receipt of the amended particulars. </w:t>
      </w:r>
      <w:r w:rsidR="000F4ECB" w:rsidRPr="00445A7B">
        <w:rPr>
          <w:rFonts w:ascii="Arial" w:hAnsi="Arial" w:cs="Arial"/>
          <w:sz w:val="24"/>
          <w:szCs w:val="24"/>
        </w:rPr>
        <w:t>D</w:t>
      </w:r>
      <w:r w:rsidR="00082E2E" w:rsidRPr="00445A7B">
        <w:rPr>
          <w:rFonts w:ascii="Arial" w:hAnsi="Arial" w:cs="Arial"/>
          <w:sz w:val="24"/>
          <w:szCs w:val="24"/>
        </w:rPr>
        <w:t xml:space="preserve">espite being granted leave, </w:t>
      </w:r>
      <w:r w:rsidR="000F4ECB" w:rsidRPr="00445A7B">
        <w:rPr>
          <w:rFonts w:ascii="Arial" w:hAnsi="Arial" w:cs="Arial"/>
          <w:sz w:val="24"/>
          <w:szCs w:val="24"/>
        </w:rPr>
        <w:t xml:space="preserve">the appellants </w:t>
      </w:r>
      <w:r w:rsidR="00082E2E" w:rsidRPr="00445A7B">
        <w:rPr>
          <w:rFonts w:ascii="Arial" w:hAnsi="Arial" w:cs="Arial"/>
          <w:sz w:val="24"/>
          <w:szCs w:val="24"/>
        </w:rPr>
        <w:t>elected not to amend their particulars of claim</w:t>
      </w:r>
      <w:r w:rsidR="000F4ECB" w:rsidRPr="00445A7B">
        <w:rPr>
          <w:rFonts w:ascii="Arial" w:hAnsi="Arial" w:cs="Arial"/>
          <w:sz w:val="24"/>
          <w:szCs w:val="24"/>
        </w:rPr>
        <w:t xml:space="preserve">. Instead, they </w:t>
      </w:r>
      <w:r w:rsidR="00082E2E" w:rsidRPr="00445A7B">
        <w:rPr>
          <w:rFonts w:ascii="Arial" w:hAnsi="Arial" w:cs="Arial"/>
          <w:sz w:val="24"/>
          <w:szCs w:val="24"/>
        </w:rPr>
        <w:t>noted this appeal.</w:t>
      </w:r>
    </w:p>
    <w:p w:rsidR="000F4ECB" w:rsidRDefault="000F4ECB" w:rsidP="00445A7B">
      <w:pPr>
        <w:spacing w:after="0" w:line="480" w:lineRule="auto"/>
        <w:jc w:val="both"/>
        <w:rPr>
          <w:rFonts w:ascii="Arial" w:hAnsi="Arial" w:cs="Arial"/>
          <w:sz w:val="24"/>
          <w:szCs w:val="24"/>
          <w:u w:val="single"/>
        </w:rPr>
      </w:pPr>
    </w:p>
    <w:p w:rsidR="00082E2E" w:rsidRPr="00445A7B" w:rsidRDefault="00082E2E" w:rsidP="00445A7B">
      <w:pPr>
        <w:pStyle w:val="ListParagraph"/>
        <w:spacing w:after="0" w:line="480" w:lineRule="auto"/>
        <w:ind w:left="0"/>
        <w:jc w:val="both"/>
        <w:rPr>
          <w:rFonts w:ascii="Arial" w:hAnsi="Arial" w:cs="Arial"/>
          <w:sz w:val="24"/>
          <w:szCs w:val="24"/>
          <w:u w:val="single"/>
        </w:rPr>
      </w:pPr>
      <w:r w:rsidRPr="00445A7B">
        <w:rPr>
          <w:rFonts w:ascii="Arial" w:hAnsi="Arial" w:cs="Arial"/>
          <w:sz w:val="24"/>
          <w:szCs w:val="24"/>
          <w:u w:val="single"/>
        </w:rPr>
        <w:t xml:space="preserve">Principles governing the determination of exceptions </w:t>
      </w:r>
    </w:p>
    <w:p w:rsidR="00082E2E" w:rsidRPr="00445A7B" w:rsidRDefault="00082E2E" w:rsidP="00445A7B">
      <w:pPr>
        <w:pStyle w:val="ListParagraph"/>
        <w:numPr>
          <w:ilvl w:val="0"/>
          <w:numId w:val="6"/>
        </w:numPr>
        <w:spacing w:after="0" w:line="480" w:lineRule="auto"/>
        <w:ind w:left="0" w:firstLine="0"/>
        <w:jc w:val="both"/>
        <w:rPr>
          <w:rFonts w:ascii="Arial" w:hAnsi="Arial" w:cs="Arial"/>
          <w:sz w:val="24"/>
          <w:szCs w:val="24"/>
        </w:rPr>
      </w:pPr>
      <w:r w:rsidRPr="00445A7B">
        <w:rPr>
          <w:rFonts w:ascii="Arial" w:hAnsi="Arial" w:cs="Arial"/>
          <w:spacing w:val="-3"/>
          <w:sz w:val="24"/>
          <w:szCs w:val="24"/>
          <w:lang w:val="en-GB"/>
        </w:rPr>
        <w:t xml:space="preserve">In dealing with each of the exceptions raised, I find it apposite </w:t>
      </w:r>
      <w:r w:rsidRPr="00445A7B">
        <w:rPr>
          <w:rFonts w:ascii="Arial" w:hAnsi="Arial" w:cs="Arial"/>
          <w:sz w:val="24"/>
          <w:szCs w:val="24"/>
        </w:rPr>
        <w:t>at this stage to briefly set out the approach followed in the determination of exceptions.</w:t>
      </w:r>
    </w:p>
    <w:p w:rsidR="00082E2E" w:rsidRPr="009B40BC" w:rsidRDefault="00082E2E" w:rsidP="00445A7B">
      <w:pPr>
        <w:spacing w:after="0" w:line="480" w:lineRule="auto"/>
        <w:jc w:val="both"/>
        <w:rPr>
          <w:rFonts w:ascii="Arial" w:hAnsi="Arial" w:cs="Arial"/>
          <w:sz w:val="24"/>
          <w:szCs w:val="24"/>
        </w:rPr>
      </w:pPr>
    </w:p>
    <w:p w:rsidR="00082E2E" w:rsidRPr="00724959" w:rsidRDefault="00082E2E" w:rsidP="00445A7B">
      <w:pPr>
        <w:pStyle w:val="Heading1"/>
        <w:numPr>
          <w:ilvl w:val="0"/>
          <w:numId w:val="6"/>
        </w:numPr>
        <w:spacing w:before="0" w:line="480" w:lineRule="auto"/>
        <w:ind w:left="0" w:firstLine="0"/>
        <w:jc w:val="both"/>
        <w:rPr>
          <w:rFonts w:ascii="Arial" w:hAnsi="Arial" w:cs="Arial"/>
          <w:i/>
          <w:sz w:val="24"/>
          <w:szCs w:val="24"/>
        </w:rPr>
      </w:pPr>
      <w:r w:rsidRPr="009B40BC">
        <w:rPr>
          <w:rFonts w:ascii="Arial" w:hAnsi="Arial" w:cs="Arial"/>
          <w:color w:val="auto"/>
          <w:spacing w:val="-3"/>
          <w:sz w:val="24"/>
          <w:szCs w:val="24"/>
          <w:lang w:val="en-GB"/>
        </w:rPr>
        <w:t xml:space="preserve">In a recent judgment of this court, </w:t>
      </w:r>
      <w:r w:rsidR="00EC5A32">
        <w:rPr>
          <w:rFonts w:ascii="Arial" w:hAnsi="Arial" w:cs="Arial"/>
          <w:i/>
          <w:color w:val="auto"/>
          <w:sz w:val="24"/>
          <w:szCs w:val="24"/>
        </w:rPr>
        <w:t>Van Str</w:t>
      </w:r>
      <w:r w:rsidRPr="009B40BC">
        <w:rPr>
          <w:rFonts w:ascii="Arial" w:hAnsi="Arial" w:cs="Arial"/>
          <w:i/>
          <w:color w:val="auto"/>
          <w:sz w:val="24"/>
          <w:szCs w:val="24"/>
        </w:rPr>
        <w:t xml:space="preserve">aten v Namibia Financial Institutions Supervisory Authority </w:t>
      </w:r>
      <w:r w:rsidR="00EC5A32">
        <w:rPr>
          <w:rFonts w:ascii="Arial" w:hAnsi="Arial" w:cs="Arial"/>
          <w:i/>
          <w:color w:val="auto"/>
          <w:sz w:val="24"/>
          <w:szCs w:val="24"/>
        </w:rPr>
        <w:t>&amp;</w:t>
      </w:r>
      <w:r w:rsidRPr="009B40BC">
        <w:rPr>
          <w:rFonts w:ascii="Arial" w:hAnsi="Arial" w:cs="Arial"/>
          <w:i/>
          <w:color w:val="auto"/>
          <w:sz w:val="24"/>
          <w:szCs w:val="24"/>
        </w:rPr>
        <w:t xml:space="preserve"> </w:t>
      </w:r>
      <w:r w:rsidR="00EC5A32">
        <w:rPr>
          <w:rFonts w:ascii="Arial" w:hAnsi="Arial" w:cs="Arial"/>
          <w:i/>
          <w:color w:val="auto"/>
          <w:sz w:val="24"/>
          <w:szCs w:val="24"/>
        </w:rPr>
        <w:t>a</w:t>
      </w:r>
      <w:r w:rsidRPr="009B40BC">
        <w:rPr>
          <w:rFonts w:ascii="Arial" w:hAnsi="Arial" w:cs="Arial"/>
          <w:i/>
          <w:color w:val="auto"/>
          <w:sz w:val="24"/>
          <w:szCs w:val="24"/>
        </w:rPr>
        <w:t>nother</w:t>
      </w:r>
      <w:r w:rsidRPr="009B40BC">
        <w:rPr>
          <w:rStyle w:val="FootnoteReference"/>
          <w:rFonts w:ascii="Arial" w:hAnsi="Arial" w:cs="Arial"/>
          <w:color w:val="auto"/>
          <w:sz w:val="24"/>
          <w:szCs w:val="24"/>
        </w:rPr>
        <w:footnoteReference w:id="3"/>
      </w:r>
      <w:r w:rsidRPr="009B40BC">
        <w:rPr>
          <w:rFonts w:ascii="Arial" w:hAnsi="Arial" w:cs="Arial"/>
          <w:color w:val="auto"/>
          <w:sz w:val="24"/>
          <w:szCs w:val="24"/>
        </w:rPr>
        <w:t xml:space="preserve">, Smuts JA </w:t>
      </w:r>
      <w:r w:rsidRPr="009B40BC">
        <w:rPr>
          <w:rFonts w:ascii="Arial" w:hAnsi="Arial" w:cs="Arial"/>
          <w:color w:val="auto"/>
          <w:spacing w:val="-3"/>
          <w:sz w:val="24"/>
          <w:szCs w:val="24"/>
          <w:lang w:val="en-GB"/>
        </w:rPr>
        <w:t>summarised the legal principles relating to exceptions to pleadings on the ground that they</w:t>
      </w:r>
      <w:r>
        <w:rPr>
          <w:rFonts w:ascii="Arial" w:hAnsi="Arial" w:cs="Arial"/>
          <w:color w:val="auto"/>
          <w:spacing w:val="-3"/>
          <w:sz w:val="24"/>
          <w:szCs w:val="24"/>
          <w:lang w:val="en-GB"/>
        </w:rPr>
        <w:t xml:space="preserve"> lack averments necessary to sustain a</w:t>
      </w:r>
      <w:r w:rsidR="00EC5A32">
        <w:rPr>
          <w:rFonts w:ascii="Arial" w:hAnsi="Arial" w:cs="Arial"/>
          <w:color w:val="auto"/>
          <w:spacing w:val="-3"/>
          <w:sz w:val="24"/>
          <w:szCs w:val="24"/>
          <w:lang w:val="en-GB"/>
        </w:rPr>
        <w:t xml:space="preserve"> cause of action. At para </w:t>
      </w:r>
      <w:r>
        <w:rPr>
          <w:rFonts w:ascii="Arial" w:hAnsi="Arial" w:cs="Arial"/>
          <w:color w:val="auto"/>
          <w:spacing w:val="-3"/>
          <w:sz w:val="24"/>
          <w:szCs w:val="24"/>
          <w:lang w:val="en-GB"/>
        </w:rPr>
        <w:t>18 the learned judge set out the following</w:t>
      </w:r>
      <w:r w:rsidRPr="009B40BC">
        <w:rPr>
          <w:rFonts w:ascii="Arial" w:hAnsi="Arial" w:cs="Arial"/>
          <w:color w:val="auto"/>
          <w:spacing w:val="-3"/>
          <w:sz w:val="24"/>
          <w:szCs w:val="24"/>
          <w:lang w:val="en-GB"/>
        </w:rPr>
        <w:t xml:space="preserve">:  </w:t>
      </w:r>
    </w:p>
    <w:p w:rsidR="006E7801" w:rsidRDefault="006E7801" w:rsidP="00445A7B">
      <w:pPr>
        <w:spacing w:after="0" w:line="360" w:lineRule="auto"/>
        <w:jc w:val="both"/>
        <w:rPr>
          <w:rFonts w:ascii="Arial" w:hAnsi="Arial" w:cs="Arial"/>
        </w:rPr>
      </w:pPr>
    </w:p>
    <w:p w:rsidR="00082E2E" w:rsidRPr="00445A7B" w:rsidRDefault="00082E2E" w:rsidP="00445A7B">
      <w:pPr>
        <w:pStyle w:val="ListParagraph"/>
        <w:spacing w:after="0" w:line="360" w:lineRule="auto"/>
        <w:jc w:val="both"/>
        <w:rPr>
          <w:rFonts w:ascii="Arial" w:hAnsi="Arial" w:cs="Arial"/>
        </w:rPr>
      </w:pPr>
      <w:r w:rsidRPr="00445A7B">
        <w:rPr>
          <w:rFonts w:ascii="Arial" w:hAnsi="Arial" w:cs="Arial"/>
        </w:rPr>
        <w:t>‘Where an exception is taken on the grounds that no cause of action is disclosed or is sustainable on the particulars of claim, two aspects are to be emphasised. Firstly, for the purpose of deciding the exception, the facts as alleged in the plaintiff’s pleadings are taken as correct. In the second place, it is incumbent upon an excipient to persuade this court that upon every interpretation which the pleading can reasonably bear, no cause of action is disclosed. Stated otherwise, only if no possible evidence led on the pleadings can disclose a cause of action, will the particulars of claim be found to be excipiable.’</w:t>
      </w:r>
    </w:p>
    <w:p w:rsidR="002F66AE" w:rsidRPr="00445A7B" w:rsidRDefault="008F06B9" w:rsidP="00445A7B">
      <w:pPr>
        <w:pStyle w:val="ListParagraph"/>
        <w:spacing w:after="0" w:line="480" w:lineRule="auto"/>
        <w:ind w:left="0"/>
        <w:jc w:val="both"/>
        <w:rPr>
          <w:rFonts w:ascii="Arial" w:hAnsi="Arial" w:cs="Arial"/>
          <w:sz w:val="24"/>
          <w:szCs w:val="24"/>
          <w:u w:val="single"/>
        </w:rPr>
      </w:pPr>
      <w:r w:rsidRPr="00445A7B">
        <w:rPr>
          <w:rFonts w:ascii="Arial" w:hAnsi="Arial" w:cs="Arial"/>
          <w:sz w:val="24"/>
          <w:szCs w:val="24"/>
          <w:u w:val="single"/>
        </w:rPr>
        <w:lastRenderedPageBreak/>
        <w:t xml:space="preserve">The </w:t>
      </w:r>
      <w:r w:rsidR="00311A21" w:rsidRPr="00445A7B">
        <w:rPr>
          <w:rFonts w:ascii="Arial" w:hAnsi="Arial" w:cs="Arial"/>
          <w:sz w:val="24"/>
          <w:szCs w:val="24"/>
          <w:u w:val="single"/>
        </w:rPr>
        <w:t>appeal</w:t>
      </w:r>
    </w:p>
    <w:p w:rsidR="005920BA" w:rsidRPr="00445A7B" w:rsidRDefault="005920BA" w:rsidP="00445A7B">
      <w:pPr>
        <w:pStyle w:val="ListParagraph"/>
        <w:spacing w:after="0" w:line="480" w:lineRule="auto"/>
        <w:ind w:left="0"/>
        <w:jc w:val="both"/>
        <w:rPr>
          <w:rFonts w:ascii="Arial" w:hAnsi="Arial" w:cs="Arial"/>
          <w:i/>
          <w:sz w:val="24"/>
          <w:szCs w:val="24"/>
        </w:rPr>
      </w:pPr>
      <w:r w:rsidRPr="00445A7B">
        <w:rPr>
          <w:rFonts w:ascii="Arial" w:hAnsi="Arial" w:cs="Arial"/>
          <w:i/>
          <w:sz w:val="24"/>
          <w:szCs w:val="24"/>
        </w:rPr>
        <w:t xml:space="preserve">Submission </w:t>
      </w:r>
      <w:r w:rsidR="002F43DC" w:rsidRPr="00445A7B">
        <w:rPr>
          <w:rFonts w:ascii="Arial" w:hAnsi="Arial" w:cs="Arial"/>
          <w:i/>
          <w:sz w:val="24"/>
          <w:szCs w:val="24"/>
        </w:rPr>
        <w:t xml:space="preserve">in respect of </w:t>
      </w:r>
      <w:r w:rsidRPr="00445A7B">
        <w:rPr>
          <w:rFonts w:ascii="Arial" w:hAnsi="Arial" w:cs="Arial"/>
          <w:i/>
          <w:sz w:val="24"/>
          <w:szCs w:val="24"/>
        </w:rPr>
        <w:t>locus standi</w:t>
      </w:r>
    </w:p>
    <w:p w:rsidR="000E5F7F" w:rsidRPr="00445A7B" w:rsidRDefault="005C3673" w:rsidP="00445A7B">
      <w:pPr>
        <w:pStyle w:val="ListParagraph"/>
        <w:numPr>
          <w:ilvl w:val="0"/>
          <w:numId w:val="6"/>
        </w:numPr>
        <w:spacing w:after="0" w:line="480" w:lineRule="auto"/>
        <w:ind w:left="0" w:firstLine="0"/>
        <w:jc w:val="both"/>
        <w:rPr>
          <w:rFonts w:ascii="Arial" w:hAnsi="Arial" w:cs="Arial"/>
          <w:sz w:val="24"/>
          <w:szCs w:val="24"/>
        </w:rPr>
      </w:pPr>
      <w:r w:rsidRPr="00445A7B">
        <w:rPr>
          <w:rFonts w:ascii="Arial" w:hAnsi="Arial" w:cs="Arial"/>
          <w:sz w:val="24"/>
          <w:szCs w:val="24"/>
        </w:rPr>
        <w:t>Mr Heathcote, who appeared for the appellants,</w:t>
      </w:r>
      <w:r w:rsidR="002B5850" w:rsidRPr="00445A7B">
        <w:rPr>
          <w:rFonts w:ascii="Arial" w:hAnsi="Arial" w:cs="Arial"/>
          <w:sz w:val="24"/>
          <w:szCs w:val="24"/>
        </w:rPr>
        <w:t xml:space="preserve"> </w:t>
      </w:r>
      <w:r w:rsidR="000E5BF2" w:rsidRPr="00445A7B">
        <w:rPr>
          <w:rFonts w:ascii="Arial" w:hAnsi="Arial" w:cs="Arial"/>
          <w:sz w:val="24"/>
          <w:szCs w:val="24"/>
        </w:rPr>
        <w:t>submitted</w:t>
      </w:r>
      <w:r w:rsidR="00522356" w:rsidRPr="00445A7B">
        <w:rPr>
          <w:rFonts w:ascii="Arial" w:hAnsi="Arial" w:cs="Arial"/>
          <w:sz w:val="24"/>
          <w:szCs w:val="24"/>
        </w:rPr>
        <w:t xml:space="preserve"> that the exception raised against the </w:t>
      </w:r>
      <w:r w:rsidR="00BF0ADB" w:rsidRPr="00445A7B">
        <w:rPr>
          <w:rFonts w:ascii="Arial" w:hAnsi="Arial" w:cs="Arial"/>
          <w:sz w:val="24"/>
          <w:szCs w:val="24"/>
        </w:rPr>
        <w:t xml:space="preserve">second appellant’s </w:t>
      </w:r>
      <w:r w:rsidR="00522356" w:rsidRPr="00445A7B">
        <w:rPr>
          <w:rFonts w:ascii="Arial" w:hAnsi="Arial" w:cs="Arial"/>
          <w:i/>
          <w:sz w:val="24"/>
          <w:szCs w:val="24"/>
        </w:rPr>
        <w:t>locus standi</w:t>
      </w:r>
      <w:r w:rsidR="00522356" w:rsidRPr="00445A7B">
        <w:rPr>
          <w:rFonts w:ascii="Arial" w:hAnsi="Arial" w:cs="Arial"/>
          <w:sz w:val="24"/>
          <w:szCs w:val="24"/>
        </w:rPr>
        <w:t xml:space="preserve"> was </w:t>
      </w:r>
      <w:r w:rsidR="00BF0ADB" w:rsidRPr="00445A7B">
        <w:rPr>
          <w:rFonts w:ascii="Arial" w:hAnsi="Arial" w:cs="Arial"/>
          <w:sz w:val="24"/>
          <w:szCs w:val="24"/>
        </w:rPr>
        <w:t xml:space="preserve">wrongly framed as what was complained against is in reality the issue of misjoinder, which should not have in any event been taken by exception. </w:t>
      </w:r>
      <w:r w:rsidR="0000044B" w:rsidRPr="00445A7B">
        <w:rPr>
          <w:rFonts w:ascii="Arial" w:hAnsi="Arial" w:cs="Arial"/>
          <w:sz w:val="24"/>
          <w:szCs w:val="24"/>
        </w:rPr>
        <w:t>Counsel contended that the issue for determination was not to be approached as if the s</w:t>
      </w:r>
      <w:r w:rsidR="00BF0ADB" w:rsidRPr="00445A7B">
        <w:rPr>
          <w:rFonts w:ascii="Arial" w:hAnsi="Arial" w:cs="Arial"/>
          <w:sz w:val="24"/>
          <w:szCs w:val="24"/>
        </w:rPr>
        <w:t>e</w:t>
      </w:r>
      <w:r w:rsidR="0000044B" w:rsidRPr="00445A7B">
        <w:rPr>
          <w:rFonts w:ascii="Arial" w:hAnsi="Arial" w:cs="Arial"/>
          <w:sz w:val="24"/>
          <w:szCs w:val="24"/>
        </w:rPr>
        <w:t>cond appellant</w:t>
      </w:r>
      <w:r w:rsidR="004B6F24" w:rsidRPr="00445A7B">
        <w:rPr>
          <w:rFonts w:ascii="Arial" w:hAnsi="Arial" w:cs="Arial"/>
          <w:sz w:val="24"/>
          <w:szCs w:val="24"/>
        </w:rPr>
        <w:t>,</w:t>
      </w:r>
      <w:r w:rsidR="00522356" w:rsidRPr="00445A7B">
        <w:rPr>
          <w:rFonts w:ascii="Arial" w:hAnsi="Arial" w:cs="Arial"/>
          <w:sz w:val="24"/>
          <w:szCs w:val="24"/>
        </w:rPr>
        <w:t xml:space="preserve"> as heir, was the only p</w:t>
      </w:r>
      <w:r w:rsidR="00394170" w:rsidRPr="00445A7B">
        <w:rPr>
          <w:rFonts w:ascii="Arial" w:hAnsi="Arial" w:cs="Arial"/>
          <w:sz w:val="24"/>
          <w:szCs w:val="24"/>
        </w:rPr>
        <w:t>laintiff in</w:t>
      </w:r>
      <w:r w:rsidR="00522356" w:rsidRPr="00445A7B">
        <w:rPr>
          <w:rFonts w:ascii="Arial" w:hAnsi="Arial" w:cs="Arial"/>
          <w:sz w:val="24"/>
          <w:szCs w:val="24"/>
        </w:rPr>
        <w:t xml:space="preserve"> the case.</w:t>
      </w:r>
      <w:r w:rsidR="0016682F" w:rsidRPr="00445A7B">
        <w:rPr>
          <w:rFonts w:ascii="Arial" w:hAnsi="Arial" w:cs="Arial"/>
          <w:sz w:val="24"/>
          <w:szCs w:val="24"/>
        </w:rPr>
        <w:t xml:space="preserve"> </w:t>
      </w:r>
      <w:r w:rsidR="0000044B" w:rsidRPr="00445A7B">
        <w:rPr>
          <w:rFonts w:ascii="Arial" w:hAnsi="Arial" w:cs="Arial"/>
          <w:sz w:val="24"/>
          <w:szCs w:val="24"/>
        </w:rPr>
        <w:t>According to c</w:t>
      </w:r>
      <w:r w:rsidR="00C25EEB" w:rsidRPr="00445A7B">
        <w:rPr>
          <w:rFonts w:ascii="Arial" w:hAnsi="Arial" w:cs="Arial"/>
          <w:sz w:val="24"/>
          <w:szCs w:val="24"/>
        </w:rPr>
        <w:t>ounsel</w:t>
      </w:r>
      <w:r w:rsidR="0000044B" w:rsidRPr="00445A7B">
        <w:rPr>
          <w:rFonts w:ascii="Arial" w:hAnsi="Arial" w:cs="Arial"/>
          <w:sz w:val="24"/>
          <w:szCs w:val="24"/>
        </w:rPr>
        <w:t xml:space="preserve">, </w:t>
      </w:r>
      <w:r w:rsidR="00C25EEB" w:rsidRPr="00445A7B">
        <w:rPr>
          <w:rFonts w:ascii="Arial" w:hAnsi="Arial" w:cs="Arial"/>
          <w:sz w:val="24"/>
          <w:szCs w:val="24"/>
        </w:rPr>
        <w:t>a</w:t>
      </w:r>
      <w:r w:rsidR="000E5BF2" w:rsidRPr="00445A7B">
        <w:rPr>
          <w:rFonts w:ascii="Arial" w:hAnsi="Arial" w:cs="Arial"/>
          <w:sz w:val="24"/>
          <w:szCs w:val="24"/>
        </w:rPr>
        <w:t>s a result</w:t>
      </w:r>
      <w:r w:rsidR="00C25EEB" w:rsidRPr="00445A7B">
        <w:rPr>
          <w:rFonts w:ascii="Arial" w:hAnsi="Arial" w:cs="Arial"/>
          <w:sz w:val="24"/>
          <w:szCs w:val="24"/>
        </w:rPr>
        <w:t xml:space="preserve"> of th</w:t>
      </w:r>
      <w:r w:rsidR="0000044B" w:rsidRPr="00445A7B">
        <w:rPr>
          <w:rFonts w:ascii="Arial" w:hAnsi="Arial" w:cs="Arial"/>
          <w:sz w:val="24"/>
          <w:szCs w:val="24"/>
        </w:rPr>
        <w:t xml:space="preserve">e </w:t>
      </w:r>
      <w:r w:rsidR="000B0632" w:rsidRPr="00445A7B">
        <w:rPr>
          <w:rFonts w:ascii="Arial" w:hAnsi="Arial" w:cs="Arial"/>
          <w:sz w:val="24"/>
          <w:szCs w:val="24"/>
        </w:rPr>
        <w:t>wrong approach to the issue for determination</w:t>
      </w:r>
      <w:r w:rsidR="001C09B4" w:rsidRPr="00445A7B">
        <w:rPr>
          <w:rFonts w:ascii="Arial" w:hAnsi="Arial" w:cs="Arial"/>
          <w:sz w:val="24"/>
          <w:szCs w:val="24"/>
        </w:rPr>
        <w:t>, t</w:t>
      </w:r>
      <w:r w:rsidR="002B5850" w:rsidRPr="00445A7B">
        <w:rPr>
          <w:rFonts w:ascii="Arial" w:hAnsi="Arial" w:cs="Arial"/>
          <w:sz w:val="24"/>
          <w:szCs w:val="24"/>
        </w:rPr>
        <w:t xml:space="preserve">he court </w:t>
      </w:r>
      <w:r w:rsidR="002B5850" w:rsidRPr="00445A7B">
        <w:rPr>
          <w:rFonts w:ascii="Arial" w:hAnsi="Arial" w:cs="Arial"/>
          <w:i/>
          <w:sz w:val="24"/>
          <w:szCs w:val="24"/>
        </w:rPr>
        <w:t>a q</w:t>
      </w:r>
      <w:r w:rsidR="00456053" w:rsidRPr="00445A7B">
        <w:rPr>
          <w:rFonts w:ascii="Arial" w:hAnsi="Arial" w:cs="Arial"/>
          <w:i/>
          <w:sz w:val="24"/>
          <w:szCs w:val="24"/>
        </w:rPr>
        <w:t>uo</w:t>
      </w:r>
      <w:r w:rsidR="00456053" w:rsidRPr="00445A7B">
        <w:rPr>
          <w:rFonts w:ascii="Arial" w:hAnsi="Arial" w:cs="Arial"/>
          <w:sz w:val="24"/>
          <w:szCs w:val="24"/>
        </w:rPr>
        <w:t xml:space="preserve"> addressed the wrong question</w:t>
      </w:r>
      <w:r w:rsidR="002B5850" w:rsidRPr="00445A7B">
        <w:rPr>
          <w:rFonts w:ascii="Arial" w:hAnsi="Arial" w:cs="Arial"/>
          <w:sz w:val="24"/>
          <w:szCs w:val="24"/>
        </w:rPr>
        <w:t xml:space="preserve"> of </w:t>
      </w:r>
      <w:r w:rsidR="002B5850" w:rsidRPr="00445A7B">
        <w:rPr>
          <w:rFonts w:ascii="Arial" w:hAnsi="Arial" w:cs="Arial"/>
          <w:i/>
          <w:sz w:val="24"/>
          <w:szCs w:val="24"/>
        </w:rPr>
        <w:t>locus standi</w:t>
      </w:r>
      <w:r w:rsidR="002B5850" w:rsidRPr="00445A7B">
        <w:rPr>
          <w:rFonts w:ascii="Arial" w:hAnsi="Arial" w:cs="Arial"/>
          <w:sz w:val="24"/>
          <w:szCs w:val="24"/>
        </w:rPr>
        <w:t xml:space="preserve"> of a lone plaintiff heir</w:t>
      </w:r>
      <w:r w:rsidR="00CF4286" w:rsidRPr="00445A7B">
        <w:rPr>
          <w:rFonts w:ascii="Arial" w:hAnsi="Arial" w:cs="Arial"/>
          <w:sz w:val="24"/>
          <w:szCs w:val="24"/>
        </w:rPr>
        <w:t>,</w:t>
      </w:r>
      <w:r w:rsidR="002B5850" w:rsidRPr="00445A7B">
        <w:rPr>
          <w:rFonts w:ascii="Arial" w:hAnsi="Arial" w:cs="Arial"/>
          <w:sz w:val="24"/>
          <w:szCs w:val="24"/>
        </w:rPr>
        <w:t xml:space="preserve"> instead of </w:t>
      </w:r>
      <w:r w:rsidR="000B0632" w:rsidRPr="00445A7B">
        <w:rPr>
          <w:rFonts w:ascii="Arial" w:hAnsi="Arial" w:cs="Arial"/>
          <w:sz w:val="24"/>
          <w:szCs w:val="24"/>
        </w:rPr>
        <w:t xml:space="preserve">the issue </w:t>
      </w:r>
      <w:r w:rsidR="002B5850" w:rsidRPr="00445A7B">
        <w:rPr>
          <w:rFonts w:ascii="Arial" w:hAnsi="Arial" w:cs="Arial"/>
          <w:sz w:val="24"/>
          <w:szCs w:val="24"/>
        </w:rPr>
        <w:t>o</w:t>
      </w:r>
      <w:r w:rsidR="000B0632" w:rsidRPr="00445A7B">
        <w:rPr>
          <w:rFonts w:ascii="Arial" w:hAnsi="Arial" w:cs="Arial"/>
          <w:sz w:val="24"/>
          <w:szCs w:val="24"/>
        </w:rPr>
        <w:t>f</w:t>
      </w:r>
      <w:r w:rsidR="002B5850" w:rsidRPr="00445A7B">
        <w:rPr>
          <w:rFonts w:ascii="Arial" w:hAnsi="Arial" w:cs="Arial"/>
          <w:sz w:val="24"/>
          <w:szCs w:val="24"/>
        </w:rPr>
        <w:t xml:space="preserve"> misjoinder</w:t>
      </w:r>
      <w:r w:rsidR="00DA6C8A" w:rsidRPr="00445A7B">
        <w:rPr>
          <w:rFonts w:ascii="Arial" w:hAnsi="Arial" w:cs="Arial"/>
          <w:sz w:val="24"/>
          <w:szCs w:val="24"/>
        </w:rPr>
        <w:t>.</w:t>
      </w:r>
      <w:r w:rsidR="000E5BF2" w:rsidRPr="00445A7B">
        <w:rPr>
          <w:rFonts w:ascii="Arial" w:hAnsi="Arial" w:cs="Arial"/>
          <w:sz w:val="24"/>
          <w:szCs w:val="24"/>
        </w:rPr>
        <w:t xml:space="preserve"> </w:t>
      </w:r>
    </w:p>
    <w:p w:rsidR="000778A1" w:rsidRDefault="000778A1" w:rsidP="00445A7B">
      <w:pPr>
        <w:spacing w:after="0" w:line="480" w:lineRule="auto"/>
        <w:jc w:val="both"/>
        <w:rPr>
          <w:rFonts w:ascii="Arial" w:hAnsi="Arial" w:cs="Arial"/>
          <w:sz w:val="24"/>
          <w:szCs w:val="24"/>
        </w:rPr>
      </w:pPr>
    </w:p>
    <w:p w:rsidR="000778A1" w:rsidRPr="00445A7B" w:rsidRDefault="005C3673" w:rsidP="00445A7B">
      <w:pPr>
        <w:pStyle w:val="ListParagraph"/>
        <w:numPr>
          <w:ilvl w:val="0"/>
          <w:numId w:val="6"/>
        </w:numPr>
        <w:spacing w:after="0" w:line="480" w:lineRule="auto"/>
        <w:ind w:left="0" w:firstLine="0"/>
        <w:jc w:val="both"/>
        <w:rPr>
          <w:rFonts w:ascii="Arial" w:hAnsi="Arial" w:cs="Arial"/>
          <w:sz w:val="24"/>
          <w:szCs w:val="24"/>
        </w:rPr>
      </w:pPr>
      <w:r w:rsidRPr="00445A7B">
        <w:rPr>
          <w:rFonts w:ascii="Arial" w:hAnsi="Arial" w:cs="Arial"/>
          <w:sz w:val="24"/>
          <w:szCs w:val="24"/>
        </w:rPr>
        <w:t>Counsel</w:t>
      </w:r>
      <w:r w:rsidR="000778A1" w:rsidRPr="00445A7B">
        <w:rPr>
          <w:rFonts w:ascii="Arial" w:hAnsi="Arial" w:cs="Arial"/>
          <w:sz w:val="24"/>
          <w:szCs w:val="24"/>
        </w:rPr>
        <w:t xml:space="preserve"> </w:t>
      </w:r>
      <w:r w:rsidR="000D68D2" w:rsidRPr="00445A7B">
        <w:rPr>
          <w:rFonts w:ascii="Arial" w:hAnsi="Arial" w:cs="Arial"/>
          <w:sz w:val="24"/>
          <w:szCs w:val="24"/>
        </w:rPr>
        <w:t xml:space="preserve">submitted </w:t>
      </w:r>
      <w:r w:rsidR="000E5F7F" w:rsidRPr="00445A7B">
        <w:rPr>
          <w:rFonts w:ascii="Arial" w:hAnsi="Arial" w:cs="Arial"/>
          <w:sz w:val="24"/>
          <w:szCs w:val="24"/>
        </w:rPr>
        <w:t xml:space="preserve">that </w:t>
      </w:r>
      <w:r w:rsidR="0016682F" w:rsidRPr="00445A7B">
        <w:rPr>
          <w:rFonts w:ascii="Arial" w:hAnsi="Arial" w:cs="Arial"/>
          <w:sz w:val="24"/>
          <w:szCs w:val="24"/>
        </w:rPr>
        <w:t xml:space="preserve">an </w:t>
      </w:r>
      <w:r w:rsidR="000E5F7F" w:rsidRPr="00445A7B">
        <w:rPr>
          <w:rFonts w:ascii="Arial" w:hAnsi="Arial" w:cs="Arial"/>
          <w:sz w:val="24"/>
          <w:szCs w:val="24"/>
        </w:rPr>
        <w:t xml:space="preserve">exception raised against </w:t>
      </w:r>
      <w:r w:rsidR="0016682F" w:rsidRPr="00445A7B">
        <w:rPr>
          <w:rFonts w:ascii="Arial" w:hAnsi="Arial" w:cs="Arial"/>
          <w:sz w:val="24"/>
          <w:szCs w:val="24"/>
        </w:rPr>
        <w:t xml:space="preserve">a </w:t>
      </w:r>
      <w:r w:rsidR="000E5F7F" w:rsidRPr="00445A7B">
        <w:rPr>
          <w:rFonts w:ascii="Arial" w:hAnsi="Arial" w:cs="Arial"/>
          <w:sz w:val="24"/>
          <w:szCs w:val="24"/>
        </w:rPr>
        <w:t>plaintiff heir who approaches the court for an order ha</w:t>
      </w:r>
      <w:r w:rsidR="00CF4286" w:rsidRPr="00445A7B">
        <w:rPr>
          <w:rFonts w:ascii="Arial" w:hAnsi="Arial" w:cs="Arial"/>
          <w:sz w:val="24"/>
          <w:szCs w:val="24"/>
        </w:rPr>
        <w:t>ving</w:t>
      </w:r>
      <w:r w:rsidR="000E5F7F" w:rsidRPr="00445A7B">
        <w:rPr>
          <w:rFonts w:ascii="Arial" w:hAnsi="Arial" w:cs="Arial"/>
          <w:sz w:val="24"/>
          <w:szCs w:val="24"/>
        </w:rPr>
        <w:t xml:space="preserve"> the effect of liquidating the estate, and while doing so without the permission of the Master </w:t>
      </w:r>
      <w:r w:rsidR="003E169C">
        <w:rPr>
          <w:rFonts w:ascii="Arial" w:hAnsi="Arial" w:cs="Arial"/>
          <w:sz w:val="24"/>
          <w:szCs w:val="24"/>
        </w:rPr>
        <w:t xml:space="preserve">of the High Court </w:t>
      </w:r>
      <w:r w:rsidR="000E5F7F" w:rsidRPr="00445A7B">
        <w:rPr>
          <w:rFonts w:ascii="Arial" w:hAnsi="Arial" w:cs="Arial"/>
          <w:sz w:val="24"/>
          <w:szCs w:val="24"/>
        </w:rPr>
        <w:t>or the duly appointed executor or executrix</w:t>
      </w:r>
      <w:r w:rsidR="0016682F" w:rsidRPr="00445A7B">
        <w:rPr>
          <w:rFonts w:ascii="Arial" w:hAnsi="Arial" w:cs="Arial"/>
          <w:sz w:val="24"/>
          <w:szCs w:val="24"/>
        </w:rPr>
        <w:t>, is arguably good in law</w:t>
      </w:r>
      <w:r w:rsidR="000E5F7F" w:rsidRPr="00445A7B">
        <w:rPr>
          <w:rFonts w:ascii="Arial" w:hAnsi="Arial" w:cs="Arial"/>
          <w:sz w:val="24"/>
          <w:szCs w:val="24"/>
        </w:rPr>
        <w:t>.</w:t>
      </w:r>
      <w:r w:rsidR="000778A1" w:rsidRPr="00445A7B">
        <w:rPr>
          <w:rFonts w:ascii="Arial" w:hAnsi="Arial" w:cs="Arial"/>
          <w:sz w:val="24"/>
          <w:szCs w:val="24"/>
        </w:rPr>
        <w:t xml:space="preserve"> </w:t>
      </w:r>
      <w:r w:rsidR="0016682F" w:rsidRPr="00445A7B">
        <w:rPr>
          <w:rFonts w:ascii="Arial" w:hAnsi="Arial" w:cs="Arial"/>
          <w:sz w:val="24"/>
          <w:szCs w:val="24"/>
        </w:rPr>
        <w:t>In argument, c</w:t>
      </w:r>
      <w:r w:rsidR="000778A1" w:rsidRPr="00445A7B">
        <w:rPr>
          <w:rFonts w:ascii="Arial" w:hAnsi="Arial" w:cs="Arial"/>
          <w:sz w:val="24"/>
          <w:szCs w:val="24"/>
        </w:rPr>
        <w:t>ounsel</w:t>
      </w:r>
      <w:r w:rsidR="0016682F" w:rsidRPr="00445A7B">
        <w:rPr>
          <w:rFonts w:ascii="Arial" w:hAnsi="Arial" w:cs="Arial"/>
          <w:sz w:val="24"/>
          <w:szCs w:val="24"/>
        </w:rPr>
        <w:t xml:space="preserve"> </w:t>
      </w:r>
      <w:r w:rsidR="000D68D2" w:rsidRPr="00445A7B">
        <w:rPr>
          <w:rFonts w:ascii="Arial" w:hAnsi="Arial" w:cs="Arial"/>
          <w:sz w:val="24"/>
          <w:szCs w:val="24"/>
        </w:rPr>
        <w:t xml:space="preserve">distinguished the position stated above to the present case and contended that in the instant case, </w:t>
      </w:r>
      <w:r w:rsidR="00E458C4" w:rsidRPr="00445A7B">
        <w:rPr>
          <w:rFonts w:ascii="Arial" w:hAnsi="Arial" w:cs="Arial"/>
          <w:sz w:val="24"/>
          <w:szCs w:val="24"/>
        </w:rPr>
        <w:t>the second appella</w:t>
      </w:r>
      <w:r w:rsidR="002533DE" w:rsidRPr="00445A7B">
        <w:rPr>
          <w:rFonts w:ascii="Arial" w:hAnsi="Arial" w:cs="Arial"/>
          <w:sz w:val="24"/>
          <w:szCs w:val="24"/>
        </w:rPr>
        <w:t>nt had the consent of the first</w:t>
      </w:r>
      <w:r w:rsidR="00E458C4" w:rsidRPr="00445A7B">
        <w:rPr>
          <w:rFonts w:ascii="Arial" w:hAnsi="Arial" w:cs="Arial"/>
          <w:sz w:val="24"/>
          <w:szCs w:val="24"/>
        </w:rPr>
        <w:t xml:space="preserve"> appellant</w:t>
      </w:r>
      <w:r w:rsidR="00D934E4" w:rsidRPr="00445A7B">
        <w:rPr>
          <w:rFonts w:ascii="Arial" w:hAnsi="Arial" w:cs="Arial"/>
          <w:sz w:val="24"/>
          <w:szCs w:val="24"/>
        </w:rPr>
        <w:t xml:space="preserve"> (the duly appointed executrix)</w:t>
      </w:r>
      <w:r w:rsidR="00E458C4" w:rsidRPr="00445A7B">
        <w:rPr>
          <w:rFonts w:ascii="Arial" w:hAnsi="Arial" w:cs="Arial"/>
          <w:sz w:val="24"/>
          <w:szCs w:val="24"/>
        </w:rPr>
        <w:t xml:space="preserve"> </w:t>
      </w:r>
      <w:r w:rsidR="00D934E4" w:rsidRPr="00445A7B">
        <w:rPr>
          <w:rFonts w:ascii="Arial" w:hAnsi="Arial" w:cs="Arial"/>
          <w:sz w:val="24"/>
          <w:szCs w:val="24"/>
        </w:rPr>
        <w:t xml:space="preserve">to institute </w:t>
      </w:r>
      <w:r w:rsidR="008E2D3C" w:rsidRPr="00445A7B">
        <w:rPr>
          <w:rFonts w:ascii="Arial" w:hAnsi="Arial" w:cs="Arial"/>
          <w:sz w:val="24"/>
          <w:szCs w:val="24"/>
        </w:rPr>
        <w:t>the claim</w:t>
      </w:r>
      <w:r w:rsidR="00E458C4" w:rsidRPr="00445A7B">
        <w:rPr>
          <w:rFonts w:ascii="Arial" w:hAnsi="Arial" w:cs="Arial"/>
          <w:sz w:val="24"/>
          <w:szCs w:val="24"/>
        </w:rPr>
        <w:t xml:space="preserve">. </w:t>
      </w:r>
      <w:r w:rsidR="000D68D2" w:rsidRPr="00445A7B">
        <w:rPr>
          <w:rFonts w:ascii="Arial" w:hAnsi="Arial" w:cs="Arial"/>
          <w:sz w:val="24"/>
          <w:szCs w:val="24"/>
        </w:rPr>
        <w:t xml:space="preserve">Counsel </w:t>
      </w:r>
      <w:r w:rsidR="000B0632" w:rsidRPr="00445A7B">
        <w:rPr>
          <w:rFonts w:ascii="Arial" w:hAnsi="Arial" w:cs="Arial"/>
          <w:sz w:val="24"/>
          <w:szCs w:val="24"/>
        </w:rPr>
        <w:t xml:space="preserve">argued </w:t>
      </w:r>
      <w:r w:rsidR="00D934E4" w:rsidRPr="00445A7B">
        <w:rPr>
          <w:rFonts w:ascii="Arial" w:hAnsi="Arial" w:cs="Arial"/>
          <w:sz w:val="24"/>
          <w:szCs w:val="24"/>
        </w:rPr>
        <w:t xml:space="preserve">that </w:t>
      </w:r>
      <w:r w:rsidR="00243607" w:rsidRPr="00445A7B">
        <w:rPr>
          <w:rFonts w:ascii="Arial" w:hAnsi="Arial" w:cs="Arial"/>
          <w:sz w:val="24"/>
          <w:szCs w:val="24"/>
        </w:rPr>
        <w:t>the second appellant did not only have the permission of the first appellant, but the</w:t>
      </w:r>
      <w:r w:rsidR="009A13B3" w:rsidRPr="00445A7B">
        <w:rPr>
          <w:rFonts w:ascii="Arial" w:hAnsi="Arial" w:cs="Arial"/>
          <w:sz w:val="24"/>
          <w:szCs w:val="24"/>
        </w:rPr>
        <w:t xml:space="preserve"> </w:t>
      </w:r>
      <w:r w:rsidR="00691186" w:rsidRPr="00445A7B">
        <w:rPr>
          <w:rFonts w:ascii="Arial" w:hAnsi="Arial" w:cs="Arial"/>
          <w:sz w:val="24"/>
          <w:szCs w:val="24"/>
        </w:rPr>
        <w:t>first appellant</w:t>
      </w:r>
      <w:r w:rsidR="00243607" w:rsidRPr="00445A7B">
        <w:rPr>
          <w:rFonts w:ascii="Arial" w:hAnsi="Arial" w:cs="Arial"/>
          <w:sz w:val="24"/>
          <w:szCs w:val="24"/>
        </w:rPr>
        <w:t xml:space="preserve"> actually joined the second appellant </w:t>
      </w:r>
      <w:r w:rsidR="000B0426" w:rsidRPr="00445A7B">
        <w:rPr>
          <w:rFonts w:ascii="Arial" w:hAnsi="Arial" w:cs="Arial"/>
          <w:sz w:val="24"/>
          <w:szCs w:val="24"/>
        </w:rPr>
        <w:t>to</w:t>
      </w:r>
      <w:r w:rsidR="00243607" w:rsidRPr="00445A7B">
        <w:rPr>
          <w:rFonts w:ascii="Arial" w:hAnsi="Arial" w:cs="Arial"/>
          <w:sz w:val="24"/>
          <w:szCs w:val="24"/>
        </w:rPr>
        <w:t xml:space="preserve"> the proceedings as</w:t>
      </w:r>
      <w:r w:rsidR="006937E2" w:rsidRPr="00445A7B">
        <w:rPr>
          <w:rFonts w:ascii="Arial" w:hAnsi="Arial" w:cs="Arial"/>
          <w:sz w:val="24"/>
          <w:szCs w:val="24"/>
        </w:rPr>
        <w:t xml:space="preserve"> </w:t>
      </w:r>
      <w:r w:rsidR="000B0426" w:rsidRPr="00445A7B">
        <w:rPr>
          <w:rFonts w:ascii="Arial" w:hAnsi="Arial" w:cs="Arial"/>
          <w:sz w:val="24"/>
          <w:szCs w:val="24"/>
        </w:rPr>
        <w:t xml:space="preserve">a </w:t>
      </w:r>
      <w:r w:rsidR="006937E2" w:rsidRPr="00445A7B">
        <w:rPr>
          <w:rFonts w:ascii="Arial" w:hAnsi="Arial" w:cs="Arial"/>
          <w:sz w:val="24"/>
          <w:szCs w:val="24"/>
        </w:rPr>
        <w:t>co-plaintiff</w:t>
      </w:r>
      <w:r w:rsidR="000D68D2" w:rsidRPr="00445A7B">
        <w:rPr>
          <w:rFonts w:ascii="Arial" w:hAnsi="Arial" w:cs="Arial"/>
          <w:sz w:val="24"/>
          <w:szCs w:val="24"/>
        </w:rPr>
        <w:t xml:space="preserve">. Counsel </w:t>
      </w:r>
      <w:r w:rsidR="000778A1" w:rsidRPr="00445A7B">
        <w:rPr>
          <w:rFonts w:ascii="Arial" w:hAnsi="Arial" w:cs="Arial"/>
          <w:sz w:val="24"/>
          <w:szCs w:val="24"/>
        </w:rPr>
        <w:t xml:space="preserve">therefore </w:t>
      </w:r>
      <w:r w:rsidR="000B0632" w:rsidRPr="00445A7B">
        <w:rPr>
          <w:rFonts w:ascii="Arial" w:hAnsi="Arial" w:cs="Arial"/>
          <w:sz w:val="24"/>
          <w:szCs w:val="24"/>
        </w:rPr>
        <w:t xml:space="preserve">contended </w:t>
      </w:r>
      <w:r w:rsidR="000778A1" w:rsidRPr="00445A7B">
        <w:rPr>
          <w:rFonts w:ascii="Arial" w:hAnsi="Arial" w:cs="Arial"/>
          <w:sz w:val="24"/>
          <w:szCs w:val="24"/>
        </w:rPr>
        <w:t>that</w:t>
      </w:r>
      <w:r w:rsidR="003C7EB4" w:rsidRPr="00445A7B">
        <w:rPr>
          <w:rFonts w:ascii="Arial" w:hAnsi="Arial" w:cs="Arial"/>
          <w:sz w:val="24"/>
          <w:szCs w:val="24"/>
        </w:rPr>
        <w:t xml:space="preserve"> it was incorrect </w:t>
      </w:r>
      <w:r w:rsidR="008E2D3C" w:rsidRPr="00445A7B">
        <w:rPr>
          <w:rFonts w:ascii="Arial" w:hAnsi="Arial" w:cs="Arial"/>
          <w:sz w:val="24"/>
          <w:szCs w:val="24"/>
        </w:rPr>
        <w:t xml:space="preserve">for the court </w:t>
      </w:r>
      <w:r w:rsidR="008E2D3C" w:rsidRPr="00445A7B">
        <w:rPr>
          <w:rFonts w:ascii="Arial" w:hAnsi="Arial" w:cs="Arial"/>
          <w:i/>
          <w:sz w:val="24"/>
          <w:szCs w:val="24"/>
        </w:rPr>
        <w:t xml:space="preserve">a quo </w:t>
      </w:r>
      <w:r w:rsidR="00691186" w:rsidRPr="00445A7B">
        <w:rPr>
          <w:rFonts w:ascii="Arial" w:hAnsi="Arial" w:cs="Arial"/>
          <w:sz w:val="24"/>
          <w:szCs w:val="24"/>
        </w:rPr>
        <w:t>to</w:t>
      </w:r>
      <w:r w:rsidR="00BA6B95" w:rsidRPr="00445A7B">
        <w:rPr>
          <w:rFonts w:ascii="Arial" w:hAnsi="Arial" w:cs="Arial"/>
          <w:sz w:val="24"/>
          <w:szCs w:val="24"/>
        </w:rPr>
        <w:t xml:space="preserve"> have treated</w:t>
      </w:r>
      <w:r w:rsidR="003C7EB4" w:rsidRPr="00445A7B">
        <w:rPr>
          <w:rFonts w:ascii="Arial" w:hAnsi="Arial" w:cs="Arial"/>
          <w:sz w:val="24"/>
          <w:szCs w:val="24"/>
        </w:rPr>
        <w:t xml:space="preserve"> </w:t>
      </w:r>
      <w:r w:rsidR="00795ECA" w:rsidRPr="00445A7B">
        <w:rPr>
          <w:rFonts w:ascii="Arial" w:hAnsi="Arial" w:cs="Arial"/>
          <w:sz w:val="24"/>
          <w:szCs w:val="24"/>
        </w:rPr>
        <w:t xml:space="preserve">the second appellant </w:t>
      </w:r>
      <w:r w:rsidR="00691186" w:rsidRPr="00445A7B">
        <w:rPr>
          <w:rFonts w:ascii="Arial" w:hAnsi="Arial" w:cs="Arial"/>
          <w:sz w:val="24"/>
          <w:szCs w:val="24"/>
        </w:rPr>
        <w:t xml:space="preserve">as if she </w:t>
      </w:r>
      <w:r w:rsidR="00795ECA" w:rsidRPr="00445A7B">
        <w:rPr>
          <w:rFonts w:ascii="Arial" w:hAnsi="Arial" w:cs="Arial"/>
          <w:sz w:val="24"/>
          <w:szCs w:val="24"/>
        </w:rPr>
        <w:t xml:space="preserve">was the only plaintiff </w:t>
      </w:r>
      <w:r w:rsidR="00CF4286" w:rsidRPr="00445A7B">
        <w:rPr>
          <w:rFonts w:ascii="Arial" w:hAnsi="Arial" w:cs="Arial"/>
          <w:sz w:val="24"/>
          <w:szCs w:val="24"/>
        </w:rPr>
        <w:t xml:space="preserve">in </w:t>
      </w:r>
      <w:r w:rsidR="00243607" w:rsidRPr="00445A7B">
        <w:rPr>
          <w:rFonts w:ascii="Arial" w:hAnsi="Arial" w:cs="Arial"/>
          <w:sz w:val="24"/>
          <w:szCs w:val="24"/>
        </w:rPr>
        <w:t xml:space="preserve">the </w:t>
      </w:r>
      <w:r w:rsidR="00CF4286" w:rsidRPr="00445A7B">
        <w:rPr>
          <w:rFonts w:ascii="Arial" w:hAnsi="Arial" w:cs="Arial"/>
          <w:sz w:val="24"/>
          <w:szCs w:val="24"/>
        </w:rPr>
        <w:t>a</w:t>
      </w:r>
      <w:r w:rsidR="008E2D3C" w:rsidRPr="00445A7B">
        <w:rPr>
          <w:rFonts w:ascii="Arial" w:hAnsi="Arial" w:cs="Arial"/>
          <w:sz w:val="24"/>
          <w:szCs w:val="24"/>
        </w:rPr>
        <w:t>c</w:t>
      </w:r>
      <w:r w:rsidR="00CF4286" w:rsidRPr="00445A7B">
        <w:rPr>
          <w:rFonts w:ascii="Arial" w:hAnsi="Arial" w:cs="Arial"/>
          <w:sz w:val="24"/>
          <w:szCs w:val="24"/>
        </w:rPr>
        <w:t>tion</w:t>
      </w:r>
      <w:r w:rsidR="000778A1" w:rsidRPr="00445A7B">
        <w:rPr>
          <w:rFonts w:ascii="Arial" w:hAnsi="Arial" w:cs="Arial"/>
          <w:sz w:val="24"/>
          <w:szCs w:val="24"/>
        </w:rPr>
        <w:t xml:space="preserve">.   </w:t>
      </w:r>
      <w:r w:rsidR="000778A1" w:rsidRPr="00445A7B">
        <w:rPr>
          <w:rFonts w:ascii="Arial" w:hAnsi="Arial" w:cs="Arial"/>
          <w:i/>
          <w:sz w:val="24"/>
          <w:szCs w:val="24"/>
        </w:rPr>
        <w:t xml:space="preserve"> </w:t>
      </w:r>
    </w:p>
    <w:p w:rsidR="00522356" w:rsidRDefault="00522356" w:rsidP="00445A7B">
      <w:pPr>
        <w:spacing w:after="0" w:line="480" w:lineRule="auto"/>
        <w:jc w:val="both"/>
        <w:rPr>
          <w:rFonts w:ascii="Arial" w:hAnsi="Arial" w:cs="Arial"/>
          <w:sz w:val="24"/>
          <w:szCs w:val="24"/>
        </w:rPr>
      </w:pPr>
    </w:p>
    <w:p w:rsidR="00880D88" w:rsidRPr="00445A7B" w:rsidRDefault="0030785E" w:rsidP="00445A7B">
      <w:pPr>
        <w:pStyle w:val="ListParagraph"/>
        <w:numPr>
          <w:ilvl w:val="0"/>
          <w:numId w:val="6"/>
        </w:numPr>
        <w:spacing w:after="0" w:line="480" w:lineRule="auto"/>
        <w:ind w:left="0" w:firstLine="0"/>
        <w:jc w:val="both"/>
        <w:rPr>
          <w:rFonts w:ascii="Arial" w:hAnsi="Arial" w:cs="Arial"/>
          <w:sz w:val="24"/>
          <w:szCs w:val="24"/>
        </w:rPr>
      </w:pPr>
      <w:r w:rsidRPr="00445A7B">
        <w:rPr>
          <w:rFonts w:ascii="Arial" w:hAnsi="Arial" w:cs="Arial"/>
          <w:sz w:val="24"/>
          <w:szCs w:val="24"/>
        </w:rPr>
        <w:lastRenderedPageBreak/>
        <w:t xml:space="preserve">In relation to the </w:t>
      </w:r>
      <w:r w:rsidR="00CB167F" w:rsidRPr="00445A7B">
        <w:rPr>
          <w:rFonts w:ascii="Arial" w:hAnsi="Arial" w:cs="Arial"/>
          <w:sz w:val="24"/>
          <w:szCs w:val="24"/>
        </w:rPr>
        <w:t>proposition</w:t>
      </w:r>
      <w:r w:rsidRPr="00445A7B">
        <w:rPr>
          <w:rFonts w:ascii="Arial" w:hAnsi="Arial" w:cs="Arial"/>
          <w:sz w:val="24"/>
          <w:szCs w:val="24"/>
        </w:rPr>
        <w:t xml:space="preserve"> that the second appellant should have waited for the filing of the liquidation and distribution account before approaching the court, c</w:t>
      </w:r>
      <w:r w:rsidR="00163A91" w:rsidRPr="00445A7B">
        <w:rPr>
          <w:rFonts w:ascii="Arial" w:hAnsi="Arial" w:cs="Arial"/>
          <w:sz w:val="24"/>
          <w:szCs w:val="24"/>
        </w:rPr>
        <w:t xml:space="preserve">ounsel </w:t>
      </w:r>
      <w:r w:rsidR="000B0632" w:rsidRPr="00445A7B">
        <w:rPr>
          <w:rFonts w:ascii="Arial" w:hAnsi="Arial" w:cs="Arial"/>
          <w:sz w:val="24"/>
          <w:szCs w:val="24"/>
        </w:rPr>
        <w:t>argued</w:t>
      </w:r>
      <w:r w:rsidR="00CB167F" w:rsidRPr="00445A7B">
        <w:rPr>
          <w:rFonts w:ascii="Arial" w:hAnsi="Arial" w:cs="Arial"/>
          <w:sz w:val="24"/>
          <w:szCs w:val="24"/>
        </w:rPr>
        <w:t xml:space="preserve"> </w:t>
      </w:r>
      <w:r w:rsidRPr="00445A7B">
        <w:rPr>
          <w:rFonts w:ascii="Arial" w:hAnsi="Arial" w:cs="Arial"/>
          <w:sz w:val="24"/>
          <w:szCs w:val="24"/>
        </w:rPr>
        <w:t xml:space="preserve">that such a proposition </w:t>
      </w:r>
      <w:r w:rsidR="001354A4" w:rsidRPr="00445A7B">
        <w:rPr>
          <w:rFonts w:ascii="Arial" w:hAnsi="Arial" w:cs="Arial"/>
          <w:sz w:val="24"/>
          <w:szCs w:val="24"/>
        </w:rPr>
        <w:t>had a potential of doing injustice to the second appellant</w:t>
      </w:r>
      <w:r w:rsidR="00880D88" w:rsidRPr="00445A7B">
        <w:rPr>
          <w:rFonts w:ascii="Arial" w:hAnsi="Arial" w:cs="Arial"/>
          <w:sz w:val="24"/>
          <w:szCs w:val="24"/>
        </w:rPr>
        <w:t xml:space="preserve">. </w:t>
      </w:r>
      <w:r w:rsidR="00F12126" w:rsidRPr="00445A7B">
        <w:rPr>
          <w:rFonts w:ascii="Arial" w:hAnsi="Arial" w:cs="Arial"/>
          <w:sz w:val="24"/>
          <w:szCs w:val="24"/>
        </w:rPr>
        <w:t>In developing this argument</w:t>
      </w:r>
      <w:r w:rsidR="00F0336B" w:rsidRPr="00445A7B">
        <w:rPr>
          <w:rFonts w:ascii="Arial" w:hAnsi="Arial" w:cs="Arial"/>
          <w:sz w:val="24"/>
          <w:szCs w:val="24"/>
        </w:rPr>
        <w:t xml:space="preserve">, counsel </w:t>
      </w:r>
      <w:r w:rsidR="008E2D3C" w:rsidRPr="00445A7B">
        <w:rPr>
          <w:rFonts w:ascii="Arial" w:hAnsi="Arial" w:cs="Arial"/>
          <w:sz w:val="24"/>
          <w:szCs w:val="24"/>
        </w:rPr>
        <w:t>presented</w:t>
      </w:r>
      <w:r w:rsidR="00F0336B" w:rsidRPr="00445A7B">
        <w:rPr>
          <w:rFonts w:ascii="Arial" w:hAnsi="Arial" w:cs="Arial"/>
          <w:sz w:val="24"/>
          <w:szCs w:val="24"/>
        </w:rPr>
        <w:t xml:space="preserve"> </w:t>
      </w:r>
      <w:r w:rsidR="00F12126" w:rsidRPr="00445A7B">
        <w:rPr>
          <w:rFonts w:ascii="Arial" w:hAnsi="Arial" w:cs="Arial"/>
          <w:sz w:val="24"/>
          <w:szCs w:val="24"/>
        </w:rPr>
        <w:t xml:space="preserve">a </w:t>
      </w:r>
      <w:r w:rsidR="000B0632" w:rsidRPr="00445A7B">
        <w:rPr>
          <w:rFonts w:ascii="Arial" w:hAnsi="Arial" w:cs="Arial"/>
          <w:sz w:val="24"/>
          <w:szCs w:val="24"/>
        </w:rPr>
        <w:t xml:space="preserve">hypothetical </w:t>
      </w:r>
      <w:r w:rsidR="00CB63EC" w:rsidRPr="00445A7B">
        <w:rPr>
          <w:rFonts w:ascii="Arial" w:hAnsi="Arial" w:cs="Arial"/>
          <w:sz w:val="24"/>
          <w:szCs w:val="24"/>
        </w:rPr>
        <w:t>situation</w:t>
      </w:r>
      <w:r w:rsidR="00F12126" w:rsidRPr="00445A7B">
        <w:rPr>
          <w:rFonts w:ascii="Arial" w:hAnsi="Arial" w:cs="Arial"/>
          <w:sz w:val="24"/>
          <w:szCs w:val="24"/>
        </w:rPr>
        <w:t xml:space="preserve"> where an </w:t>
      </w:r>
      <w:r w:rsidR="00B219D6" w:rsidRPr="00445A7B">
        <w:rPr>
          <w:rFonts w:ascii="Arial" w:hAnsi="Arial" w:cs="Arial"/>
          <w:sz w:val="24"/>
          <w:szCs w:val="24"/>
        </w:rPr>
        <w:t>e</w:t>
      </w:r>
      <w:r w:rsidR="00880D88" w:rsidRPr="00445A7B">
        <w:rPr>
          <w:rFonts w:ascii="Arial" w:hAnsi="Arial" w:cs="Arial"/>
          <w:sz w:val="24"/>
          <w:szCs w:val="24"/>
        </w:rPr>
        <w:t xml:space="preserve">xecutrix </w:t>
      </w:r>
      <w:r w:rsidR="003D119F" w:rsidRPr="00445A7B">
        <w:rPr>
          <w:rFonts w:ascii="Arial" w:hAnsi="Arial" w:cs="Arial"/>
          <w:sz w:val="24"/>
          <w:szCs w:val="24"/>
        </w:rPr>
        <w:t>institute</w:t>
      </w:r>
      <w:r w:rsidR="00A269C2" w:rsidRPr="00445A7B">
        <w:rPr>
          <w:rFonts w:ascii="Arial" w:hAnsi="Arial" w:cs="Arial"/>
          <w:sz w:val="24"/>
          <w:szCs w:val="24"/>
        </w:rPr>
        <w:t>s a</w:t>
      </w:r>
      <w:r w:rsidR="00BC6768" w:rsidRPr="00445A7B">
        <w:rPr>
          <w:rFonts w:ascii="Arial" w:hAnsi="Arial" w:cs="Arial"/>
          <w:sz w:val="24"/>
          <w:szCs w:val="24"/>
        </w:rPr>
        <w:t>n action and the claim fails</w:t>
      </w:r>
      <w:r w:rsidR="00880D88" w:rsidRPr="00445A7B">
        <w:rPr>
          <w:rFonts w:ascii="Arial" w:hAnsi="Arial" w:cs="Arial"/>
          <w:sz w:val="24"/>
          <w:szCs w:val="24"/>
        </w:rPr>
        <w:t>, and decides (</w:t>
      </w:r>
      <w:r w:rsidR="00880D88" w:rsidRPr="003E169C">
        <w:rPr>
          <w:rFonts w:ascii="Arial" w:hAnsi="Arial" w:cs="Arial"/>
          <w:i/>
          <w:sz w:val="24"/>
          <w:szCs w:val="24"/>
        </w:rPr>
        <w:t>bona fide</w:t>
      </w:r>
      <w:r w:rsidR="00880D88" w:rsidRPr="00445A7B">
        <w:rPr>
          <w:rFonts w:ascii="Arial" w:hAnsi="Arial" w:cs="Arial"/>
          <w:sz w:val="24"/>
          <w:szCs w:val="24"/>
        </w:rPr>
        <w:t xml:space="preserve"> but wrongly) not to appeal</w:t>
      </w:r>
      <w:r w:rsidR="00A269C2" w:rsidRPr="00445A7B">
        <w:rPr>
          <w:rFonts w:ascii="Arial" w:hAnsi="Arial" w:cs="Arial"/>
          <w:sz w:val="24"/>
          <w:szCs w:val="24"/>
        </w:rPr>
        <w:t xml:space="preserve"> </w:t>
      </w:r>
      <w:r w:rsidR="008F06B9" w:rsidRPr="00445A7B">
        <w:rPr>
          <w:rFonts w:ascii="Arial" w:hAnsi="Arial" w:cs="Arial"/>
          <w:sz w:val="24"/>
          <w:szCs w:val="24"/>
        </w:rPr>
        <w:t xml:space="preserve">against </w:t>
      </w:r>
      <w:r w:rsidR="00A269C2" w:rsidRPr="00445A7B">
        <w:rPr>
          <w:rFonts w:ascii="Arial" w:hAnsi="Arial" w:cs="Arial"/>
          <w:sz w:val="24"/>
          <w:szCs w:val="24"/>
        </w:rPr>
        <w:t xml:space="preserve">the </w:t>
      </w:r>
      <w:r w:rsidR="00F12126" w:rsidRPr="00445A7B">
        <w:rPr>
          <w:rFonts w:ascii="Arial" w:hAnsi="Arial" w:cs="Arial"/>
          <w:sz w:val="24"/>
          <w:szCs w:val="24"/>
        </w:rPr>
        <w:t>decision</w:t>
      </w:r>
      <w:r w:rsidR="00A269C2" w:rsidRPr="00445A7B">
        <w:rPr>
          <w:rFonts w:ascii="Arial" w:hAnsi="Arial" w:cs="Arial"/>
          <w:sz w:val="24"/>
          <w:szCs w:val="24"/>
        </w:rPr>
        <w:t xml:space="preserve">. </w:t>
      </w:r>
      <w:r w:rsidR="00BC6768" w:rsidRPr="00445A7B">
        <w:rPr>
          <w:rFonts w:ascii="Arial" w:hAnsi="Arial" w:cs="Arial"/>
          <w:sz w:val="24"/>
          <w:szCs w:val="24"/>
        </w:rPr>
        <w:t>A</w:t>
      </w:r>
      <w:r w:rsidR="00F0336B" w:rsidRPr="00445A7B">
        <w:rPr>
          <w:rFonts w:ascii="Arial" w:hAnsi="Arial" w:cs="Arial"/>
          <w:sz w:val="24"/>
          <w:szCs w:val="24"/>
        </w:rPr>
        <w:t>fter the liquidation and distr</w:t>
      </w:r>
      <w:r w:rsidR="000A4096" w:rsidRPr="00445A7B">
        <w:rPr>
          <w:rFonts w:ascii="Arial" w:hAnsi="Arial" w:cs="Arial"/>
          <w:sz w:val="24"/>
          <w:szCs w:val="24"/>
        </w:rPr>
        <w:t>ibution account is approved, an</w:t>
      </w:r>
      <w:r w:rsidR="00F0336B" w:rsidRPr="00445A7B">
        <w:rPr>
          <w:rFonts w:ascii="Arial" w:hAnsi="Arial" w:cs="Arial"/>
          <w:sz w:val="24"/>
          <w:szCs w:val="24"/>
        </w:rPr>
        <w:t xml:space="preserve"> heir</w:t>
      </w:r>
      <w:r w:rsidR="00BC6768" w:rsidRPr="00445A7B">
        <w:rPr>
          <w:rFonts w:ascii="Arial" w:hAnsi="Arial" w:cs="Arial"/>
          <w:sz w:val="24"/>
          <w:szCs w:val="24"/>
        </w:rPr>
        <w:t xml:space="preserve"> then</w:t>
      </w:r>
      <w:r w:rsidR="00F0336B" w:rsidRPr="00445A7B">
        <w:rPr>
          <w:rFonts w:ascii="Arial" w:hAnsi="Arial" w:cs="Arial"/>
          <w:sz w:val="24"/>
          <w:szCs w:val="24"/>
        </w:rPr>
        <w:t xml:space="preserve"> approaches the court to protect his or her rights. </w:t>
      </w:r>
      <w:r w:rsidR="00CB63EC" w:rsidRPr="00445A7B">
        <w:rPr>
          <w:rFonts w:ascii="Arial" w:hAnsi="Arial" w:cs="Arial"/>
          <w:sz w:val="24"/>
          <w:szCs w:val="24"/>
        </w:rPr>
        <w:t xml:space="preserve">Counsel contended that in </w:t>
      </w:r>
      <w:r w:rsidR="00CF4286" w:rsidRPr="00445A7B">
        <w:rPr>
          <w:rFonts w:ascii="Arial" w:hAnsi="Arial" w:cs="Arial"/>
          <w:sz w:val="24"/>
          <w:szCs w:val="24"/>
        </w:rPr>
        <w:t xml:space="preserve">such a </w:t>
      </w:r>
      <w:r w:rsidR="00CB63EC" w:rsidRPr="00445A7B">
        <w:rPr>
          <w:rFonts w:ascii="Arial" w:hAnsi="Arial" w:cs="Arial"/>
          <w:sz w:val="24"/>
          <w:szCs w:val="24"/>
        </w:rPr>
        <w:t>situation, the h</w:t>
      </w:r>
      <w:r w:rsidR="00F0336B" w:rsidRPr="00445A7B">
        <w:rPr>
          <w:rFonts w:ascii="Arial" w:hAnsi="Arial" w:cs="Arial"/>
          <w:sz w:val="24"/>
          <w:szCs w:val="24"/>
        </w:rPr>
        <w:t xml:space="preserve">eir </w:t>
      </w:r>
      <w:r w:rsidR="00880D88" w:rsidRPr="00445A7B">
        <w:rPr>
          <w:rFonts w:ascii="Arial" w:hAnsi="Arial" w:cs="Arial"/>
          <w:sz w:val="24"/>
          <w:szCs w:val="24"/>
        </w:rPr>
        <w:t xml:space="preserve">will </w:t>
      </w:r>
      <w:r w:rsidR="00F0336B" w:rsidRPr="00445A7B">
        <w:rPr>
          <w:rFonts w:ascii="Arial" w:hAnsi="Arial" w:cs="Arial"/>
          <w:sz w:val="24"/>
          <w:szCs w:val="24"/>
        </w:rPr>
        <w:t xml:space="preserve">be met with a special plea of </w:t>
      </w:r>
      <w:r w:rsidR="00880D88" w:rsidRPr="00445A7B">
        <w:rPr>
          <w:rFonts w:ascii="Arial" w:hAnsi="Arial" w:cs="Arial"/>
          <w:i/>
          <w:sz w:val="24"/>
          <w:szCs w:val="24"/>
        </w:rPr>
        <w:t>res judicata</w:t>
      </w:r>
      <w:r w:rsidR="000B0632" w:rsidRPr="00445A7B">
        <w:rPr>
          <w:rFonts w:ascii="Arial" w:hAnsi="Arial" w:cs="Arial"/>
          <w:sz w:val="24"/>
          <w:szCs w:val="24"/>
        </w:rPr>
        <w:t>.</w:t>
      </w:r>
      <w:r w:rsidR="00880D88" w:rsidRPr="00445A7B">
        <w:rPr>
          <w:rFonts w:ascii="Arial" w:hAnsi="Arial" w:cs="Arial"/>
          <w:sz w:val="24"/>
          <w:szCs w:val="24"/>
        </w:rPr>
        <w:t xml:space="preserve"> </w:t>
      </w:r>
      <w:r w:rsidR="000B0632" w:rsidRPr="00445A7B">
        <w:rPr>
          <w:rFonts w:ascii="Arial" w:hAnsi="Arial" w:cs="Arial"/>
          <w:sz w:val="24"/>
          <w:szCs w:val="24"/>
        </w:rPr>
        <w:t xml:space="preserve">The result is that such heir will be </w:t>
      </w:r>
      <w:r w:rsidR="00BC6768" w:rsidRPr="00445A7B">
        <w:rPr>
          <w:rFonts w:ascii="Arial" w:hAnsi="Arial" w:cs="Arial"/>
          <w:sz w:val="24"/>
          <w:szCs w:val="24"/>
        </w:rPr>
        <w:t xml:space="preserve">unable </w:t>
      </w:r>
      <w:r w:rsidR="00F12126" w:rsidRPr="00445A7B">
        <w:rPr>
          <w:rFonts w:ascii="Arial" w:hAnsi="Arial" w:cs="Arial"/>
          <w:sz w:val="24"/>
          <w:szCs w:val="24"/>
        </w:rPr>
        <w:t xml:space="preserve">to protect </w:t>
      </w:r>
      <w:r w:rsidR="00F0336B" w:rsidRPr="00445A7B">
        <w:rPr>
          <w:rFonts w:ascii="Arial" w:hAnsi="Arial" w:cs="Arial"/>
          <w:sz w:val="24"/>
          <w:szCs w:val="24"/>
        </w:rPr>
        <w:t xml:space="preserve">his </w:t>
      </w:r>
      <w:r w:rsidR="00F12126" w:rsidRPr="00445A7B">
        <w:rPr>
          <w:rFonts w:ascii="Arial" w:hAnsi="Arial" w:cs="Arial"/>
          <w:sz w:val="24"/>
          <w:szCs w:val="24"/>
        </w:rPr>
        <w:t>or her rights</w:t>
      </w:r>
      <w:r w:rsidR="00880D88" w:rsidRPr="00445A7B">
        <w:rPr>
          <w:rFonts w:ascii="Arial" w:hAnsi="Arial" w:cs="Arial"/>
          <w:sz w:val="24"/>
          <w:szCs w:val="24"/>
        </w:rPr>
        <w:t xml:space="preserve">. </w:t>
      </w:r>
      <w:r w:rsidR="00F12126" w:rsidRPr="00445A7B">
        <w:rPr>
          <w:rFonts w:ascii="Arial" w:hAnsi="Arial" w:cs="Arial"/>
          <w:sz w:val="24"/>
          <w:szCs w:val="24"/>
        </w:rPr>
        <w:t xml:space="preserve"> </w:t>
      </w:r>
    </w:p>
    <w:p w:rsidR="00880D88" w:rsidRDefault="00880D88" w:rsidP="00445A7B">
      <w:pPr>
        <w:spacing w:after="0" w:line="480" w:lineRule="auto"/>
        <w:jc w:val="both"/>
        <w:rPr>
          <w:rFonts w:ascii="Arial" w:hAnsi="Arial" w:cs="Arial"/>
          <w:sz w:val="24"/>
          <w:szCs w:val="24"/>
        </w:rPr>
      </w:pPr>
    </w:p>
    <w:p w:rsidR="00553014" w:rsidRPr="00445A7B" w:rsidRDefault="00DA6C8A" w:rsidP="00445A7B">
      <w:pPr>
        <w:pStyle w:val="ListParagraph"/>
        <w:numPr>
          <w:ilvl w:val="0"/>
          <w:numId w:val="6"/>
        </w:numPr>
        <w:spacing w:after="0" w:line="480" w:lineRule="auto"/>
        <w:ind w:left="0" w:firstLine="0"/>
        <w:jc w:val="both"/>
        <w:rPr>
          <w:rFonts w:ascii="Arial" w:hAnsi="Arial" w:cs="Arial"/>
        </w:rPr>
      </w:pPr>
      <w:r w:rsidRPr="00445A7B">
        <w:rPr>
          <w:rFonts w:ascii="Arial" w:hAnsi="Arial" w:cs="Arial"/>
          <w:sz w:val="24"/>
          <w:szCs w:val="24"/>
        </w:rPr>
        <w:t xml:space="preserve">Counsel </w:t>
      </w:r>
      <w:r w:rsidR="00D84FB3" w:rsidRPr="00445A7B">
        <w:rPr>
          <w:rFonts w:ascii="Arial" w:hAnsi="Arial" w:cs="Arial"/>
          <w:sz w:val="24"/>
          <w:szCs w:val="24"/>
        </w:rPr>
        <w:t xml:space="preserve">submitted that </w:t>
      </w:r>
      <w:r w:rsidR="00AC2084" w:rsidRPr="00445A7B">
        <w:rPr>
          <w:rFonts w:ascii="Arial" w:hAnsi="Arial" w:cs="Arial"/>
          <w:sz w:val="24"/>
          <w:szCs w:val="24"/>
        </w:rPr>
        <w:t xml:space="preserve">although it is generally accepted </w:t>
      </w:r>
      <w:r w:rsidR="00D84FB3" w:rsidRPr="00445A7B">
        <w:rPr>
          <w:rFonts w:ascii="Arial" w:hAnsi="Arial" w:cs="Arial"/>
          <w:sz w:val="24"/>
          <w:szCs w:val="24"/>
        </w:rPr>
        <w:t xml:space="preserve">that </w:t>
      </w:r>
      <w:r w:rsidR="00AC2084" w:rsidRPr="00445A7B">
        <w:rPr>
          <w:rFonts w:ascii="Arial" w:hAnsi="Arial" w:cs="Arial"/>
          <w:sz w:val="24"/>
          <w:szCs w:val="24"/>
        </w:rPr>
        <w:t xml:space="preserve">the executor and </w:t>
      </w:r>
      <w:r w:rsidR="003E169C">
        <w:rPr>
          <w:rFonts w:ascii="Arial" w:hAnsi="Arial" w:cs="Arial"/>
          <w:sz w:val="24"/>
          <w:szCs w:val="24"/>
        </w:rPr>
        <w:t xml:space="preserve">he or </w:t>
      </w:r>
      <w:r w:rsidR="005C1A26" w:rsidRPr="00445A7B">
        <w:rPr>
          <w:rFonts w:ascii="Arial" w:hAnsi="Arial" w:cs="Arial"/>
          <w:sz w:val="24"/>
          <w:szCs w:val="24"/>
        </w:rPr>
        <w:t>s</w:t>
      </w:r>
      <w:r w:rsidR="00AC2084" w:rsidRPr="00445A7B">
        <w:rPr>
          <w:rFonts w:ascii="Arial" w:hAnsi="Arial" w:cs="Arial"/>
          <w:sz w:val="24"/>
          <w:szCs w:val="24"/>
        </w:rPr>
        <w:t xml:space="preserve">he alone, is legally recognised as the person to represent the estate of the deceased, there </w:t>
      </w:r>
      <w:r w:rsidRPr="00445A7B">
        <w:rPr>
          <w:rFonts w:ascii="Arial" w:hAnsi="Arial" w:cs="Arial"/>
          <w:sz w:val="24"/>
          <w:szCs w:val="24"/>
        </w:rPr>
        <w:t>existed no rule in our law which prohibite</w:t>
      </w:r>
      <w:r w:rsidR="004D331A" w:rsidRPr="00445A7B">
        <w:rPr>
          <w:rFonts w:ascii="Arial" w:hAnsi="Arial" w:cs="Arial"/>
          <w:sz w:val="24"/>
          <w:szCs w:val="24"/>
        </w:rPr>
        <w:t>d</w:t>
      </w:r>
      <w:r w:rsidRPr="00445A7B">
        <w:rPr>
          <w:rFonts w:ascii="Arial" w:hAnsi="Arial" w:cs="Arial"/>
          <w:sz w:val="24"/>
          <w:szCs w:val="24"/>
        </w:rPr>
        <w:t xml:space="preserve"> an execut</w:t>
      </w:r>
      <w:r w:rsidR="00F12126" w:rsidRPr="00445A7B">
        <w:rPr>
          <w:rFonts w:ascii="Arial" w:hAnsi="Arial" w:cs="Arial"/>
          <w:sz w:val="24"/>
          <w:szCs w:val="24"/>
        </w:rPr>
        <w:t>or</w:t>
      </w:r>
      <w:r w:rsidRPr="00445A7B">
        <w:rPr>
          <w:rFonts w:ascii="Arial" w:hAnsi="Arial" w:cs="Arial"/>
          <w:sz w:val="24"/>
          <w:szCs w:val="24"/>
        </w:rPr>
        <w:t xml:space="preserve"> and </w:t>
      </w:r>
      <w:r w:rsidR="00D84FB3" w:rsidRPr="00445A7B">
        <w:rPr>
          <w:rFonts w:ascii="Arial" w:hAnsi="Arial" w:cs="Arial"/>
          <w:sz w:val="24"/>
          <w:szCs w:val="24"/>
        </w:rPr>
        <w:t xml:space="preserve">heir or </w:t>
      </w:r>
      <w:r w:rsidRPr="00445A7B">
        <w:rPr>
          <w:rFonts w:ascii="Arial" w:hAnsi="Arial" w:cs="Arial"/>
          <w:sz w:val="24"/>
          <w:szCs w:val="24"/>
        </w:rPr>
        <w:t>legatee from acting as co-plaintiffs seeking a declaratory relief on behalf of the estate.</w:t>
      </w:r>
      <w:r w:rsidR="00F12126" w:rsidRPr="00445A7B">
        <w:rPr>
          <w:rFonts w:ascii="Arial" w:hAnsi="Arial" w:cs="Arial"/>
          <w:sz w:val="24"/>
          <w:szCs w:val="24"/>
        </w:rPr>
        <w:t xml:space="preserve"> </w:t>
      </w:r>
      <w:r w:rsidR="009A13B3" w:rsidRPr="00445A7B">
        <w:rPr>
          <w:rFonts w:ascii="Arial" w:hAnsi="Arial" w:cs="Arial"/>
          <w:sz w:val="24"/>
          <w:szCs w:val="24"/>
        </w:rPr>
        <w:t>In support of this proposition</w:t>
      </w:r>
      <w:r w:rsidR="00084623" w:rsidRPr="00445A7B">
        <w:rPr>
          <w:rFonts w:ascii="Arial" w:hAnsi="Arial" w:cs="Arial"/>
          <w:sz w:val="24"/>
          <w:szCs w:val="24"/>
        </w:rPr>
        <w:t>,</w:t>
      </w:r>
      <w:r w:rsidR="00553014" w:rsidRPr="00445A7B">
        <w:rPr>
          <w:rFonts w:ascii="Arial" w:hAnsi="Arial" w:cs="Arial"/>
          <w:sz w:val="24"/>
          <w:szCs w:val="24"/>
        </w:rPr>
        <w:t xml:space="preserve"> counsel referred the court to Silungwe AJ</w:t>
      </w:r>
      <w:r w:rsidR="005C1A26" w:rsidRPr="00445A7B">
        <w:rPr>
          <w:rFonts w:ascii="Arial" w:hAnsi="Arial" w:cs="Arial"/>
          <w:sz w:val="24"/>
          <w:szCs w:val="24"/>
        </w:rPr>
        <w:t>’s remarks</w:t>
      </w:r>
      <w:r w:rsidR="00553014" w:rsidRPr="00445A7B">
        <w:rPr>
          <w:rFonts w:ascii="Arial" w:hAnsi="Arial" w:cs="Arial"/>
          <w:sz w:val="24"/>
          <w:szCs w:val="24"/>
        </w:rPr>
        <w:t xml:space="preserve"> in </w:t>
      </w:r>
      <w:r w:rsidR="00B937DF" w:rsidRPr="00445A7B">
        <w:rPr>
          <w:rFonts w:ascii="Arial" w:hAnsi="Arial" w:cs="Arial"/>
          <w:i/>
          <w:sz w:val="24"/>
          <w:szCs w:val="24"/>
        </w:rPr>
        <w:t>Stellemacher v Christians</w:t>
      </w:r>
      <w:r w:rsidR="00B937DF">
        <w:rPr>
          <w:rStyle w:val="FootnoteReference"/>
          <w:rFonts w:ascii="Arial" w:hAnsi="Arial" w:cs="Arial"/>
          <w:sz w:val="24"/>
          <w:szCs w:val="24"/>
        </w:rPr>
        <w:footnoteReference w:id="4"/>
      </w:r>
      <w:r w:rsidR="00B937DF" w:rsidRPr="00445A7B">
        <w:rPr>
          <w:rFonts w:ascii="Arial" w:hAnsi="Arial" w:cs="Arial"/>
          <w:i/>
          <w:sz w:val="24"/>
          <w:szCs w:val="24"/>
        </w:rPr>
        <w:t xml:space="preserve"> </w:t>
      </w:r>
      <w:r w:rsidR="00553014" w:rsidRPr="00445A7B">
        <w:rPr>
          <w:rFonts w:ascii="Arial" w:hAnsi="Arial" w:cs="Arial"/>
          <w:sz w:val="24"/>
          <w:szCs w:val="24"/>
        </w:rPr>
        <w:t xml:space="preserve">wherein it was stated that: </w:t>
      </w:r>
    </w:p>
    <w:p w:rsidR="005C1A26" w:rsidRDefault="005C1A26" w:rsidP="00445A7B">
      <w:pPr>
        <w:spacing w:after="0" w:line="360" w:lineRule="auto"/>
        <w:jc w:val="both"/>
        <w:rPr>
          <w:rFonts w:ascii="Arial" w:hAnsi="Arial" w:cs="Arial"/>
        </w:rPr>
      </w:pPr>
    </w:p>
    <w:p w:rsidR="00553014" w:rsidRPr="00445A7B" w:rsidRDefault="00553014" w:rsidP="00445A7B">
      <w:pPr>
        <w:pStyle w:val="ListParagraph"/>
        <w:spacing w:after="0" w:line="360" w:lineRule="auto"/>
        <w:jc w:val="both"/>
        <w:rPr>
          <w:rFonts w:ascii="Arial" w:hAnsi="Arial" w:cs="Arial"/>
        </w:rPr>
      </w:pPr>
      <w:r w:rsidRPr="00445A7B">
        <w:rPr>
          <w:rFonts w:ascii="Arial" w:hAnsi="Arial" w:cs="Arial"/>
        </w:rPr>
        <w:t>‘There is, however, a distinction between an heir against whom proceedings have been instituted as a respondent or defendant in his/her personal capacity, and an heir who takes legal action to vindicate the estate. With regard to the latter, as previously shown, it is not open to the beneficiary to vindicate the assets of the estate since it is only the executor that can legitimately do so. But it is permissible in a suitable case, for such a beneficiary to sue on his own behalf in order to safeguard his right to inheritance where the right is infringed or threatened to be infringed</w:t>
      </w:r>
      <w:r w:rsidR="00445A7B">
        <w:rPr>
          <w:rFonts w:ascii="Arial" w:hAnsi="Arial" w:cs="Arial"/>
        </w:rPr>
        <w:t>.</w:t>
      </w:r>
      <w:r w:rsidRPr="00445A7B">
        <w:rPr>
          <w:rFonts w:ascii="Arial" w:hAnsi="Arial" w:cs="Arial"/>
        </w:rPr>
        <w:t>’</w:t>
      </w:r>
      <w:r w:rsidRPr="00553014">
        <w:rPr>
          <w:rStyle w:val="FootnoteReference"/>
          <w:rFonts w:ascii="Arial" w:hAnsi="Arial" w:cs="Arial"/>
        </w:rPr>
        <w:footnoteReference w:id="5"/>
      </w:r>
    </w:p>
    <w:p w:rsidR="00C55CFE" w:rsidRPr="00445A7B" w:rsidRDefault="0066392E" w:rsidP="00445A7B">
      <w:pPr>
        <w:pStyle w:val="ListParagraph"/>
        <w:spacing w:after="0" w:line="480" w:lineRule="auto"/>
        <w:ind w:left="0"/>
        <w:jc w:val="both"/>
        <w:rPr>
          <w:rFonts w:ascii="Arial" w:hAnsi="Arial" w:cs="Arial"/>
          <w:sz w:val="24"/>
          <w:szCs w:val="24"/>
        </w:rPr>
      </w:pPr>
      <w:r w:rsidRPr="00445A7B">
        <w:rPr>
          <w:rFonts w:ascii="Arial" w:hAnsi="Arial" w:cs="Arial"/>
          <w:sz w:val="24"/>
          <w:szCs w:val="24"/>
        </w:rPr>
        <w:lastRenderedPageBreak/>
        <w:t>Counsel argued that</w:t>
      </w:r>
      <w:r w:rsidR="00B937DF" w:rsidRPr="00445A7B">
        <w:rPr>
          <w:rFonts w:ascii="Arial" w:hAnsi="Arial" w:cs="Arial"/>
          <w:sz w:val="24"/>
          <w:szCs w:val="24"/>
        </w:rPr>
        <w:t xml:space="preserve"> the above remarks </w:t>
      </w:r>
      <w:r w:rsidR="00CF4286" w:rsidRPr="00445A7B">
        <w:rPr>
          <w:rFonts w:ascii="Arial" w:hAnsi="Arial" w:cs="Arial"/>
          <w:sz w:val="24"/>
          <w:szCs w:val="24"/>
        </w:rPr>
        <w:t>are</w:t>
      </w:r>
      <w:r w:rsidR="00B937DF" w:rsidRPr="00445A7B">
        <w:rPr>
          <w:rFonts w:ascii="Arial" w:hAnsi="Arial" w:cs="Arial"/>
          <w:sz w:val="24"/>
          <w:szCs w:val="24"/>
        </w:rPr>
        <w:t xml:space="preserve"> illustrative of the point that the general rule is capable of exceptions and does not automatically preclude </w:t>
      </w:r>
      <w:r w:rsidRPr="00445A7B">
        <w:rPr>
          <w:rFonts w:ascii="Arial" w:hAnsi="Arial" w:cs="Arial"/>
          <w:sz w:val="24"/>
          <w:szCs w:val="24"/>
        </w:rPr>
        <w:t xml:space="preserve">an heir or legatee </w:t>
      </w:r>
      <w:r w:rsidR="00B937DF" w:rsidRPr="00445A7B">
        <w:rPr>
          <w:rFonts w:ascii="Arial" w:hAnsi="Arial" w:cs="Arial"/>
          <w:sz w:val="24"/>
          <w:szCs w:val="24"/>
        </w:rPr>
        <w:t>f</w:t>
      </w:r>
      <w:r w:rsidRPr="00445A7B">
        <w:rPr>
          <w:rFonts w:ascii="Arial" w:hAnsi="Arial" w:cs="Arial"/>
          <w:sz w:val="24"/>
          <w:szCs w:val="24"/>
        </w:rPr>
        <w:t>rom participating in declaratory proceedings brought on behalf of an estate subject to the executrix’s consent and participation.</w:t>
      </w:r>
      <w:r w:rsidR="00CB63EC" w:rsidRPr="00445A7B">
        <w:rPr>
          <w:rFonts w:ascii="Arial" w:hAnsi="Arial" w:cs="Arial"/>
          <w:sz w:val="24"/>
          <w:szCs w:val="24"/>
        </w:rPr>
        <w:t xml:space="preserve"> Counsel contended that the instant case is a suitable case referred to by the learne</w:t>
      </w:r>
      <w:r w:rsidR="0039388E" w:rsidRPr="00445A7B">
        <w:rPr>
          <w:rFonts w:ascii="Arial" w:hAnsi="Arial" w:cs="Arial"/>
          <w:sz w:val="24"/>
          <w:szCs w:val="24"/>
        </w:rPr>
        <w:t xml:space="preserve">d judge in his remarks, as the right of the second appellant to inheritance is threatened to be infringed.  </w:t>
      </w:r>
    </w:p>
    <w:p w:rsidR="0066392E" w:rsidRDefault="0066392E" w:rsidP="00445A7B">
      <w:pPr>
        <w:spacing w:after="0" w:line="480" w:lineRule="auto"/>
        <w:jc w:val="both"/>
        <w:rPr>
          <w:rFonts w:ascii="Arial" w:hAnsi="Arial" w:cs="Arial"/>
          <w:sz w:val="24"/>
          <w:szCs w:val="24"/>
        </w:rPr>
      </w:pPr>
    </w:p>
    <w:p w:rsidR="00084623" w:rsidRPr="00445A7B" w:rsidRDefault="00985A3F" w:rsidP="00445A7B">
      <w:pPr>
        <w:pStyle w:val="ListParagraph"/>
        <w:numPr>
          <w:ilvl w:val="0"/>
          <w:numId w:val="6"/>
        </w:numPr>
        <w:spacing w:after="0" w:line="480" w:lineRule="auto"/>
        <w:ind w:left="0" w:firstLine="0"/>
        <w:jc w:val="both"/>
        <w:rPr>
          <w:rFonts w:ascii="Arial" w:hAnsi="Arial" w:cs="Arial"/>
          <w:sz w:val="24"/>
          <w:szCs w:val="24"/>
        </w:rPr>
      </w:pPr>
      <w:r w:rsidRPr="00445A7B">
        <w:rPr>
          <w:rFonts w:ascii="Arial" w:hAnsi="Arial" w:cs="Arial"/>
          <w:sz w:val="24"/>
          <w:szCs w:val="24"/>
        </w:rPr>
        <w:t>C</w:t>
      </w:r>
      <w:r w:rsidR="00CB0490" w:rsidRPr="00445A7B">
        <w:rPr>
          <w:rFonts w:ascii="Arial" w:hAnsi="Arial" w:cs="Arial"/>
          <w:sz w:val="24"/>
          <w:szCs w:val="24"/>
        </w:rPr>
        <w:t xml:space="preserve">ounsel further submitted </w:t>
      </w:r>
      <w:r w:rsidR="00084623" w:rsidRPr="00445A7B">
        <w:rPr>
          <w:rFonts w:ascii="Arial" w:hAnsi="Arial" w:cs="Arial"/>
          <w:sz w:val="24"/>
          <w:szCs w:val="24"/>
        </w:rPr>
        <w:t xml:space="preserve">that </w:t>
      </w:r>
      <w:r w:rsidR="000A4096" w:rsidRPr="00445A7B">
        <w:rPr>
          <w:rFonts w:ascii="Arial" w:hAnsi="Arial" w:cs="Arial"/>
          <w:sz w:val="24"/>
          <w:szCs w:val="24"/>
        </w:rPr>
        <w:t xml:space="preserve">if </w:t>
      </w:r>
      <w:r w:rsidR="00084623" w:rsidRPr="00445A7B">
        <w:rPr>
          <w:rFonts w:ascii="Arial" w:hAnsi="Arial" w:cs="Arial"/>
          <w:sz w:val="24"/>
          <w:szCs w:val="24"/>
        </w:rPr>
        <w:t xml:space="preserve">the rule that only the executor/executrix has </w:t>
      </w:r>
      <w:r w:rsidR="00084623" w:rsidRPr="00445A7B">
        <w:rPr>
          <w:rFonts w:ascii="Arial" w:hAnsi="Arial" w:cs="Arial"/>
          <w:i/>
          <w:sz w:val="24"/>
          <w:szCs w:val="24"/>
        </w:rPr>
        <w:t>locus standi</w:t>
      </w:r>
      <w:r w:rsidR="00084623" w:rsidRPr="00445A7B">
        <w:rPr>
          <w:rFonts w:ascii="Arial" w:hAnsi="Arial" w:cs="Arial"/>
          <w:sz w:val="24"/>
          <w:szCs w:val="24"/>
        </w:rPr>
        <w:t xml:space="preserve"> to institute legal proceedings to vindicate an asset of the estate </w:t>
      </w:r>
      <w:r w:rsidR="000A4096" w:rsidRPr="00445A7B">
        <w:rPr>
          <w:rFonts w:ascii="Arial" w:hAnsi="Arial" w:cs="Arial"/>
          <w:sz w:val="24"/>
          <w:szCs w:val="24"/>
        </w:rPr>
        <w:t>is</w:t>
      </w:r>
      <w:r w:rsidR="0066392E" w:rsidRPr="00445A7B">
        <w:rPr>
          <w:rFonts w:ascii="Arial" w:hAnsi="Arial" w:cs="Arial"/>
          <w:sz w:val="24"/>
          <w:szCs w:val="24"/>
        </w:rPr>
        <w:t xml:space="preserve"> strictly applied</w:t>
      </w:r>
      <w:r w:rsidR="000A4096" w:rsidRPr="00445A7B">
        <w:rPr>
          <w:rFonts w:ascii="Arial" w:hAnsi="Arial" w:cs="Arial"/>
          <w:sz w:val="24"/>
          <w:szCs w:val="24"/>
        </w:rPr>
        <w:t>, it would have the p</w:t>
      </w:r>
      <w:r w:rsidR="00084623" w:rsidRPr="00445A7B">
        <w:rPr>
          <w:rFonts w:ascii="Arial" w:hAnsi="Arial" w:cs="Arial"/>
          <w:sz w:val="24"/>
          <w:szCs w:val="24"/>
        </w:rPr>
        <w:t>otential of doing an injus</w:t>
      </w:r>
      <w:r w:rsidR="005C1A26" w:rsidRPr="00445A7B">
        <w:rPr>
          <w:rFonts w:ascii="Arial" w:hAnsi="Arial" w:cs="Arial"/>
          <w:sz w:val="24"/>
          <w:szCs w:val="24"/>
        </w:rPr>
        <w:t>tice to</w:t>
      </w:r>
      <w:r w:rsidR="0066392E" w:rsidRPr="00445A7B">
        <w:rPr>
          <w:rFonts w:ascii="Arial" w:hAnsi="Arial" w:cs="Arial"/>
          <w:sz w:val="24"/>
          <w:szCs w:val="24"/>
        </w:rPr>
        <w:t xml:space="preserve"> society</w:t>
      </w:r>
      <w:r w:rsidRPr="00445A7B">
        <w:rPr>
          <w:rFonts w:ascii="Arial" w:hAnsi="Arial" w:cs="Arial"/>
          <w:sz w:val="24"/>
          <w:szCs w:val="24"/>
        </w:rPr>
        <w:t xml:space="preserve">. In this context, counsel submitted that the balance of convenience is an important consideration. Counsel indicated that </w:t>
      </w:r>
      <w:r w:rsidR="00C55CFE" w:rsidRPr="00445A7B">
        <w:rPr>
          <w:rFonts w:ascii="Arial" w:hAnsi="Arial" w:cs="Arial"/>
          <w:sz w:val="24"/>
          <w:szCs w:val="24"/>
        </w:rPr>
        <w:t xml:space="preserve">at common law </w:t>
      </w:r>
      <w:r w:rsidRPr="00445A7B">
        <w:rPr>
          <w:rFonts w:ascii="Arial" w:hAnsi="Arial" w:cs="Arial"/>
          <w:sz w:val="24"/>
          <w:szCs w:val="24"/>
        </w:rPr>
        <w:t>courts</w:t>
      </w:r>
      <w:r w:rsidR="00C55CFE" w:rsidRPr="00445A7B">
        <w:rPr>
          <w:rFonts w:ascii="Arial" w:hAnsi="Arial" w:cs="Arial"/>
          <w:sz w:val="24"/>
          <w:szCs w:val="24"/>
        </w:rPr>
        <w:t xml:space="preserve"> </w:t>
      </w:r>
      <w:r w:rsidR="00315147" w:rsidRPr="00445A7B">
        <w:rPr>
          <w:rFonts w:ascii="Arial" w:hAnsi="Arial" w:cs="Arial"/>
          <w:sz w:val="24"/>
          <w:szCs w:val="24"/>
        </w:rPr>
        <w:t>have the power</w:t>
      </w:r>
      <w:r w:rsidR="005C1A26" w:rsidRPr="00445A7B">
        <w:rPr>
          <w:rFonts w:ascii="Arial" w:hAnsi="Arial" w:cs="Arial"/>
          <w:sz w:val="24"/>
          <w:szCs w:val="24"/>
        </w:rPr>
        <w:t>,</w:t>
      </w:r>
      <w:r w:rsidR="00B158DB" w:rsidRPr="00445A7B">
        <w:rPr>
          <w:rFonts w:ascii="Arial" w:hAnsi="Arial" w:cs="Arial"/>
          <w:sz w:val="24"/>
          <w:szCs w:val="24"/>
        </w:rPr>
        <w:t xml:space="preserve"> at the instance of the plaintiff</w:t>
      </w:r>
      <w:r w:rsidR="005C1A26" w:rsidRPr="00445A7B">
        <w:rPr>
          <w:rFonts w:ascii="Arial" w:hAnsi="Arial" w:cs="Arial"/>
          <w:sz w:val="24"/>
          <w:szCs w:val="24"/>
        </w:rPr>
        <w:t>,</w:t>
      </w:r>
      <w:r w:rsidR="00B158DB" w:rsidRPr="00445A7B">
        <w:rPr>
          <w:rFonts w:ascii="Arial" w:hAnsi="Arial" w:cs="Arial"/>
          <w:sz w:val="24"/>
          <w:szCs w:val="24"/>
        </w:rPr>
        <w:t xml:space="preserve"> to direct the joinder of a defendant, if it appeared that considerations based on justice, equity and convenience dictated that joinder should be directed. Counsel submitted that an important consideration in determining whether or not the balance of convenience finds favour with joinder must be inferred from </w:t>
      </w:r>
      <w:r w:rsidR="00315147" w:rsidRPr="00445A7B">
        <w:rPr>
          <w:rFonts w:ascii="Arial" w:hAnsi="Arial" w:cs="Arial"/>
          <w:sz w:val="24"/>
          <w:szCs w:val="24"/>
        </w:rPr>
        <w:t xml:space="preserve">the </w:t>
      </w:r>
      <w:r w:rsidR="00B158DB" w:rsidRPr="00445A7B">
        <w:rPr>
          <w:rFonts w:ascii="Arial" w:hAnsi="Arial" w:cs="Arial"/>
          <w:sz w:val="24"/>
          <w:szCs w:val="24"/>
        </w:rPr>
        <w:t xml:space="preserve">facts contained in the pleadings. </w:t>
      </w:r>
    </w:p>
    <w:p w:rsidR="002B377F" w:rsidRDefault="002B377F" w:rsidP="00445A7B">
      <w:pPr>
        <w:spacing w:after="0" w:line="480" w:lineRule="auto"/>
        <w:jc w:val="both"/>
        <w:rPr>
          <w:rFonts w:ascii="Arial" w:hAnsi="Arial" w:cs="Arial"/>
          <w:sz w:val="24"/>
          <w:szCs w:val="24"/>
        </w:rPr>
      </w:pPr>
    </w:p>
    <w:p w:rsidR="00F61CCE" w:rsidRPr="00445A7B" w:rsidRDefault="00C17624" w:rsidP="00445A7B">
      <w:pPr>
        <w:pStyle w:val="ListParagraph"/>
        <w:numPr>
          <w:ilvl w:val="0"/>
          <w:numId w:val="6"/>
        </w:numPr>
        <w:spacing w:after="0" w:line="480" w:lineRule="auto"/>
        <w:ind w:left="0" w:firstLine="0"/>
        <w:jc w:val="both"/>
        <w:rPr>
          <w:rFonts w:ascii="Arial" w:hAnsi="Arial" w:cs="Arial"/>
          <w:sz w:val="24"/>
          <w:szCs w:val="24"/>
        </w:rPr>
      </w:pPr>
      <w:r w:rsidRPr="00445A7B">
        <w:rPr>
          <w:rFonts w:ascii="Arial" w:hAnsi="Arial" w:cs="Arial"/>
          <w:sz w:val="24"/>
          <w:szCs w:val="24"/>
        </w:rPr>
        <w:t>Counsel contended that the allegations in the particulars of claim</w:t>
      </w:r>
      <w:r w:rsidR="00CF4286" w:rsidRPr="00445A7B">
        <w:rPr>
          <w:rFonts w:ascii="Arial" w:hAnsi="Arial" w:cs="Arial"/>
          <w:sz w:val="24"/>
          <w:szCs w:val="24"/>
        </w:rPr>
        <w:t xml:space="preserve"> </w:t>
      </w:r>
      <w:r w:rsidRPr="00445A7B">
        <w:rPr>
          <w:rFonts w:ascii="Arial" w:hAnsi="Arial" w:cs="Arial"/>
          <w:sz w:val="24"/>
          <w:szCs w:val="24"/>
        </w:rPr>
        <w:t xml:space="preserve">justify the joinder of the second appellant on the grounds of convenience. This is so, because the issue that falls for determination between the second appellant and the first respondent depends upon the exact determination of an issue that could have been determined between the first </w:t>
      </w:r>
      <w:r w:rsidR="00F61CCE" w:rsidRPr="00445A7B">
        <w:rPr>
          <w:rFonts w:ascii="Arial" w:hAnsi="Arial" w:cs="Arial"/>
          <w:sz w:val="24"/>
          <w:szCs w:val="24"/>
        </w:rPr>
        <w:t>appellant and first respondent.</w:t>
      </w:r>
    </w:p>
    <w:p w:rsidR="00FA24A5" w:rsidRPr="00445A7B" w:rsidRDefault="00E039EF" w:rsidP="00445A7B">
      <w:pPr>
        <w:pStyle w:val="ListParagraph"/>
        <w:numPr>
          <w:ilvl w:val="0"/>
          <w:numId w:val="6"/>
        </w:numPr>
        <w:spacing w:after="0" w:line="480" w:lineRule="auto"/>
        <w:ind w:left="0" w:firstLine="0"/>
        <w:jc w:val="both"/>
        <w:rPr>
          <w:rFonts w:ascii="Arial" w:hAnsi="Arial" w:cs="Arial"/>
          <w:sz w:val="24"/>
          <w:szCs w:val="24"/>
        </w:rPr>
      </w:pPr>
      <w:r w:rsidRPr="00445A7B">
        <w:rPr>
          <w:rFonts w:ascii="Arial" w:hAnsi="Arial" w:cs="Arial"/>
          <w:sz w:val="24"/>
          <w:szCs w:val="24"/>
        </w:rPr>
        <w:lastRenderedPageBreak/>
        <w:t>Mr Tötemeyer, on behal</w:t>
      </w:r>
      <w:r w:rsidR="00FA24A5" w:rsidRPr="00445A7B">
        <w:rPr>
          <w:rFonts w:ascii="Arial" w:hAnsi="Arial" w:cs="Arial"/>
          <w:sz w:val="24"/>
          <w:szCs w:val="24"/>
        </w:rPr>
        <w:t xml:space="preserve">f of the first respondent, </w:t>
      </w:r>
      <w:r w:rsidR="005C1A26" w:rsidRPr="00445A7B">
        <w:rPr>
          <w:rFonts w:ascii="Arial" w:hAnsi="Arial" w:cs="Arial"/>
          <w:sz w:val="24"/>
          <w:szCs w:val="24"/>
        </w:rPr>
        <w:t>contended</w:t>
      </w:r>
      <w:r w:rsidR="00460645" w:rsidRPr="00445A7B">
        <w:rPr>
          <w:rFonts w:ascii="Arial" w:hAnsi="Arial" w:cs="Arial"/>
          <w:sz w:val="24"/>
          <w:szCs w:val="24"/>
        </w:rPr>
        <w:t xml:space="preserve"> </w:t>
      </w:r>
      <w:r w:rsidR="00FA24A5" w:rsidRPr="00445A7B">
        <w:rPr>
          <w:rFonts w:ascii="Arial" w:hAnsi="Arial" w:cs="Arial"/>
          <w:sz w:val="24"/>
          <w:szCs w:val="24"/>
        </w:rPr>
        <w:t xml:space="preserve">that </w:t>
      </w:r>
      <w:r w:rsidR="00683715" w:rsidRPr="00445A7B">
        <w:rPr>
          <w:rFonts w:ascii="Arial" w:hAnsi="Arial" w:cs="Arial"/>
          <w:sz w:val="24"/>
          <w:szCs w:val="24"/>
        </w:rPr>
        <w:t>the action brought by the appellants i</w:t>
      </w:r>
      <w:r w:rsidR="00FA24A5" w:rsidRPr="00445A7B">
        <w:rPr>
          <w:rFonts w:ascii="Arial" w:hAnsi="Arial" w:cs="Arial"/>
          <w:sz w:val="24"/>
          <w:szCs w:val="24"/>
        </w:rPr>
        <w:t xml:space="preserve">s of vindicatory nature. </w:t>
      </w:r>
      <w:r w:rsidR="00683715" w:rsidRPr="00445A7B">
        <w:rPr>
          <w:rFonts w:ascii="Arial" w:hAnsi="Arial" w:cs="Arial"/>
          <w:sz w:val="24"/>
          <w:szCs w:val="24"/>
        </w:rPr>
        <w:t xml:space="preserve">Counsel </w:t>
      </w:r>
      <w:r w:rsidR="00CF4286" w:rsidRPr="00445A7B">
        <w:rPr>
          <w:rFonts w:ascii="Arial" w:hAnsi="Arial" w:cs="Arial"/>
          <w:sz w:val="24"/>
          <w:szCs w:val="24"/>
        </w:rPr>
        <w:t xml:space="preserve">sought </w:t>
      </w:r>
      <w:r w:rsidR="00683715" w:rsidRPr="00445A7B">
        <w:rPr>
          <w:rFonts w:ascii="Arial" w:hAnsi="Arial" w:cs="Arial"/>
          <w:sz w:val="24"/>
          <w:szCs w:val="24"/>
        </w:rPr>
        <w:t xml:space="preserve">to distinguish vindicatory </w:t>
      </w:r>
      <w:r w:rsidR="00CF4286" w:rsidRPr="00445A7B">
        <w:rPr>
          <w:rFonts w:ascii="Arial" w:hAnsi="Arial" w:cs="Arial"/>
          <w:sz w:val="24"/>
          <w:szCs w:val="24"/>
        </w:rPr>
        <w:t xml:space="preserve">actions </w:t>
      </w:r>
      <w:r w:rsidR="00683715" w:rsidRPr="00445A7B">
        <w:rPr>
          <w:rFonts w:ascii="Arial" w:hAnsi="Arial" w:cs="Arial"/>
          <w:sz w:val="24"/>
          <w:szCs w:val="24"/>
        </w:rPr>
        <w:t>from declaratory</w:t>
      </w:r>
      <w:r w:rsidR="00FA24A5" w:rsidRPr="00445A7B">
        <w:rPr>
          <w:rFonts w:ascii="Arial" w:hAnsi="Arial" w:cs="Arial"/>
          <w:sz w:val="24"/>
          <w:szCs w:val="24"/>
        </w:rPr>
        <w:t xml:space="preserve"> </w:t>
      </w:r>
      <w:r w:rsidR="00CF4286" w:rsidRPr="00445A7B">
        <w:rPr>
          <w:rFonts w:ascii="Arial" w:hAnsi="Arial" w:cs="Arial"/>
          <w:sz w:val="24"/>
          <w:szCs w:val="24"/>
        </w:rPr>
        <w:t>ones</w:t>
      </w:r>
      <w:r w:rsidR="00683715" w:rsidRPr="00445A7B">
        <w:rPr>
          <w:rFonts w:ascii="Arial" w:hAnsi="Arial" w:cs="Arial"/>
          <w:sz w:val="24"/>
          <w:szCs w:val="24"/>
        </w:rPr>
        <w:t>. In sup</w:t>
      </w:r>
      <w:r w:rsidR="005C1A26" w:rsidRPr="00445A7B">
        <w:rPr>
          <w:rFonts w:ascii="Arial" w:hAnsi="Arial" w:cs="Arial"/>
          <w:sz w:val="24"/>
          <w:szCs w:val="24"/>
        </w:rPr>
        <w:t>port of this submission, he</w:t>
      </w:r>
      <w:r w:rsidR="00683715" w:rsidRPr="00445A7B">
        <w:rPr>
          <w:rFonts w:ascii="Arial" w:hAnsi="Arial" w:cs="Arial"/>
          <w:sz w:val="24"/>
          <w:szCs w:val="24"/>
        </w:rPr>
        <w:t xml:space="preserve"> referred </w:t>
      </w:r>
      <w:r w:rsidR="009A0296" w:rsidRPr="00445A7B">
        <w:rPr>
          <w:rFonts w:ascii="Arial" w:hAnsi="Arial" w:cs="Arial"/>
          <w:sz w:val="24"/>
          <w:szCs w:val="24"/>
        </w:rPr>
        <w:t xml:space="preserve">to </w:t>
      </w:r>
      <w:r w:rsidR="00683715" w:rsidRPr="00445A7B">
        <w:rPr>
          <w:rFonts w:ascii="Arial" w:hAnsi="Arial" w:cs="Arial"/>
          <w:i/>
          <w:sz w:val="24"/>
          <w:szCs w:val="24"/>
        </w:rPr>
        <w:t>Clark v Barnacle NO</w:t>
      </w:r>
      <w:r w:rsidR="00683715" w:rsidRPr="00445A7B">
        <w:rPr>
          <w:rFonts w:ascii="Arial" w:hAnsi="Arial" w:cs="Arial"/>
          <w:sz w:val="24"/>
          <w:szCs w:val="24"/>
        </w:rPr>
        <w:t>.</w:t>
      </w:r>
      <w:r w:rsidR="00683715" w:rsidRPr="00724959">
        <w:rPr>
          <w:rStyle w:val="FootnoteReference"/>
          <w:rFonts w:ascii="Arial" w:hAnsi="Arial" w:cs="Arial"/>
          <w:sz w:val="24"/>
          <w:szCs w:val="24"/>
        </w:rPr>
        <w:footnoteReference w:id="6"/>
      </w:r>
      <w:r w:rsidR="00E14F49" w:rsidRPr="00445A7B">
        <w:rPr>
          <w:rFonts w:ascii="Arial" w:hAnsi="Arial" w:cs="Arial"/>
          <w:sz w:val="24"/>
          <w:szCs w:val="24"/>
        </w:rPr>
        <w:t xml:space="preserve"> In that case, an heir made an application to be joined with the two executors as a co-plaintiff</w:t>
      </w:r>
      <w:r w:rsidR="00560A6F" w:rsidRPr="00445A7B">
        <w:rPr>
          <w:rFonts w:ascii="Arial" w:hAnsi="Arial" w:cs="Arial"/>
          <w:sz w:val="24"/>
          <w:szCs w:val="24"/>
        </w:rPr>
        <w:t xml:space="preserve"> in an action to recover</w:t>
      </w:r>
      <w:r w:rsidR="00E14F49" w:rsidRPr="00445A7B">
        <w:rPr>
          <w:rFonts w:ascii="Arial" w:hAnsi="Arial" w:cs="Arial"/>
          <w:sz w:val="24"/>
          <w:szCs w:val="24"/>
        </w:rPr>
        <w:t xml:space="preserve"> assets of the estate. The heir’s </w:t>
      </w:r>
      <w:r w:rsidR="00E14F49" w:rsidRPr="00445A7B">
        <w:rPr>
          <w:rFonts w:ascii="Arial" w:hAnsi="Arial" w:cs="Arial"/>
          <w:i/>
          <w:sz w:val="24"/>
          <w:szCs w:val="24"/>
        </w:rPr>
        <w:t>locus standi</w:t>
      </w:r>
      <w:r w:rsidR="00E14F49" w:rsidRPr="00445A7B">
        <w:rPr>
          <w:rFonts w:ascii="Arial" w:hAnsi="Arial" w:cs="Arial"/>
          <w:sz w:val="24"/>
          <w:szCs w:val="24"/>
        </w:rPr>
        <w:t xml:space="preserve"> was challenged. </w:t>
      </w:r>
      <w:r w:rsidR="008F06B9" w:rsidRPr="00445A7B">
        <w:rPr>
          <w:rFonts w:ascii="Arial" w:hAnsi="Arial" w:cs="Arial"/>
          <w:sz w:val="24"/>
          <w:szCs w:val="24"/>
        </w:rPr>
        <w:t>A</w:t>
      </w:r>
      <w:r w:rsidR="009A0296" w:rsidRPr="00445A7B">
        <w:rPr>
          <w:rFonts w:ascii="Arial" w:hAnsi="Arial" w:cs="Arial"/>
          <w:sz w:val="24"/>
          <w:szCs w:val="24"/>
        </w:rPr>
        <w:t xml:space="preserve">fter hearing the application, </w:t>
      </w:r>
      <w:r w:rsidR="008F06B9" w:rsidRPr="00445A7B">
        <w:rPr>
          <w:rFonts w:ascii="Arial" w:hAnsi="Arial" w:cs="Arial"/>
          <w:sz w:val="24"/>
          <w:szCs w:val="24"/>
        </w:rPr>
        <w:t xml:space="preserve">the court </w:t>
      </w:r>
      <w:r w:rsidR="00E14F49" w:rsidRPr="00445A7B">
        <w:rPr>
          <w:rFonts w:ascii="Arial" w:hAnsi="Arial" w:cs="Arial"/>
          <w:sz w:val="24"/>
          <w:szCs w:val="24"/>
        </w:rPr>
        <w:t>affirmed the general rule that t</w:t>
      </w:r>
      <w:r w:rsidR="003E169C">
        <w:rPr>
          <w:rFonts w:ascii="Arial" w:hAnsi="Arial" w:cs="Arial"/>
          <w:sz w:val="24"/>
          <w:szCs w:val="24"/>
        </w:rPr>
        <w:t>he executor is the only authoris</w:t>
      </w:r>
      <w:r w:rsidR="00E14F49" w:rsidRPr="00445A7B">
        <w:rPr>
          <w:rFonts w:ascii="Arial" w:hAnsi="Arial" w:cs="Arial"/>
          <w:sz w:val="24"/>
          <w:szCs w:val="24"/>
        </w:rPr>
        <w:t xml:space="preserve">ed person to bring vindicatory actions on behalf of the estate. </w:t>
      </w:r>
    </w:p>
    <w:p w:rsidR="00FA24A5" w:rsidRDefault="00FA24A5" w:rsidP="00445A7B">
      <w:pPr>
        <w:spacing w:after="0" w:line="480" w:lineRule="auto"/>
        <w:jc w:val="both"/>
        <w:rPr>
          <w:rFonts w:ascii="Arial" w:hAnsi="Arial" w:cs="Arial"/>
          <w:sz w:val="24"/>
          <w:szCs w:val="24"/>
        </w:rPr>
      </w:pPr>
    </w:p>
    <w:p w:rsidR="00B919BC" w:rsidRPr="00445A7B" w:rsidRDefault="00B919BC" w:rsidP="00445A7B">
      <w:pPr>
        <w:pStyle w:val="ListParagraph"/>
        <w:numPr>
          <w:ilvl w:val="0"/>
          <w:numId w:val="6"/>
        </w:numPr>
        <w:spacing w:after="0" w:line="480" w:lineRule="auto"/>
        <w:ind w:left="0" w:firstLine="0"/>
        <w:jc w:val="both"/>
        <w:rPr>
          <w:rFonts w:ascii="Arial" w:hAnsi="Arial" w:cs="Arial"/>
          <w:sz w:val="24"/>
          <w:szCs w:val="24"/>
        </w:rPr>
      </w:pPr>
      <w:r w:rsidRPr="00445A7B">
        <w:rPr>
          <w:rFonts w:ascii="Arial" w:hAnsi="Arial" w:cs="Arial"/>
          <w:sz w:val="24"/>
          <w:szCs w:val="24"/>
        </w:rPr>
        <w:t>It must</w:t>
      </w:r>
      <w:r w:rsidR="00445A7B">
        <w:rPr>
          <w:rFonts w:ascii="Arial" w:hAnsi="Arial" w:cs="Arial"/>
          <w:sz w:val="24"/>
          <w:szCs w:val="24"/>
        </w:rPr>
        <w:t>,</w:t>
      </w:r>
      <w:r w:rsidRPr="00445A7B">
        <w:rPr>
          <w:rFonts w:ascii="Arial" w:hAnsi="Arial" w:cs="Arial"/>
          <w:sz w:val="24"/>
          <w:szCs w:val="24"/>
        </w:rPr>
        <w:t xml:space="preserve"> however</w:t>
      </w:r>
      <w:r w:rsidR="00445A7B">
        <w:rPr>
          <w:rFonts w:ascii="Arial" w:hAnsi="Arial" w:cs="Arial"/>
          <w:sz w:val="24"/>
          <w:szCs w:val="24"/>
        </w:rPr>
        <w:t>,</w:t>
      </w:r>
      <w:r w:rsidRPr="00445A7B">
        <w:rPr>
          <w:rFonts w:ascii="Arial" w:hAnsi="Arial" w:cs="Arial"/>
          <w:sz w:val="24"/>
          <w:szCs w:val="24"/>
        </w:rPr>
        <w:t xml:space="preserve"> be noted that </w:t>
      </w:r>
      <w:r w:rsidR="00427040" w:rsidRPr="00445A7B">
        <w:rPr>
          <w:rFonts w:ascii="Arial" w:hAnsi="Arial" w:cs="Arial"/>
          <w:sz w:val="24"/>
          <w:szCs w:val="24"/>
        </w:rPr>
        <w:t xml:space="preserve">in that case </w:t>
      </w:r>
      <w:r w:rsidRPr="00445A7B">
        <w:rPr>
          <w:rFonts w:ascii="Arial" w:hAnsi="Arial" w:cs="Arial"/>
          <w:sz w:val="24"/>
          <w:szCs w:val="24"/>
        </w:rPr>
        <w:t>the application was dismissed</w:t>
      </w:r>
      <w:r w:rsidR="000A4096" w:rsidRPr="00445A7B">
        <w:rPr>
          <w:rFonts w:ascii="Arial" w:hAnsi="Arial" w:cs="Arial"/>
          <w:sz w:val="24"/>
          <w:szCs w:val="24"/>
        </w:rPr>
        <w:t xml:space="preserve"> on</w:t>
      </w:r>
      <w:r w:rsidRPr="00445A7B">
        <w:rPr>
          <w:rFonts w:ascii="Arial" w:hAnsi="Arial" w:cs="Arial"/>
          <w:sz w:val="24"/>
          <w:szCs w:val="24"/>
        </w:rPr>
        <w:t xml:space="preserve"> </w:t>
      </w:r>
      <w:r w:rsidR="00E14F49" w:rsidRPr="00445A7B">
        <w:rPr>
          <w:rFonts w:ascii="Arial" w:hAnsi="Arial" w:cs="Arial"/>
          <w:sz w:val="24"/>
          <w:szCs w:val="24"/>
        </w:rPr>
        <w:t xml:space="preserve">two </w:t>
      </w:r>
      <w:r w:rsidR="00427040" w:rsidRPr="00445A7B">
        <w:rPr>
          <w:rFonts w:ascii="Arial" w:hAnsi="Arial" w:cs="Arial"/>
          <w:sz w:val="24"/>
          <w:szCs w:val="24"/>
        </w:rPr>
        <w:t xml:space="preserve">related </w:t>
      </w:r>
      <w:r w:rsidR="00E14F49" w:rsidRPr="00445A7B">
        <w:rPr>
          <w:rFonts w:ascii="Arial" w:hAnsi="Arial" w:cs="Arial"/>
          <w:sz w:val="24"/>
          <w:szCs w:val="24"/>
        </w:rPr>
        <w:t xml:space="preserve">grounds. </w:t>
      </w:r>
      <w:r w:rsidRPr="00445A7B">
        <w:rPr>
          <w:rFonts w:ascii="Arial" w:hAnsi="Arial" w:cs="Arial"/>
          <w:sz w:val="24"/>
          <w:szCs w:val="24"/>
        </w:rPr>
        <w:t xml:space="preserve">In the first instance, the application was dismissed because the court found that the process of </w:t>
      </w:r>
      <w:r w:rsidR="00560A6F" w:rsidRPr="00445A7B">
        <w:rPr>
          <w:rFonts w:ascii="Arial" w:hAnsi="Arial" w:cs="Arial"/>
          <w:sz w:val="24"/>
          <w:szCs w:val="24"/>
        </w:rPr>
        <w:t>joining the</w:t>
      </w:r>
      <w:r w:rsidRPr="00445A7B">
        <w:rPr>
          <w:rFonts w:ascii="Arial" w:hAnsi="Arial" w:cs="Arial"/>
          <w:sz w:val="24"/>
          <w:szCs w:val="24"/>
        </w:rPr>
        <w:t xml:space="preserve"> </w:t>
      </w:r>
      <w:r w:rsidR="00560A6F" w:rsidRPr="00445A7B">
        <w:rPr>
          <w:rFonts w:ascii="Arial" w:hAnsi="Arial" w:cs="Arial"/>
          <w:sz w:val="24"/>
          <w:szCs w:val="24"/>
        </w:rPr>
        <w:t>heir</w:t>
      </w:r>
      <w:r w:rsidRPr="00445A7B">
        <w:rPr>
          <w:rFonts w:ascii="Arial" w:hAnsi="Arial" w:cs="Arial"/>
          <w:sz w:val="24"/>
          <w:szCs w:val="24"/>
        </w:rPr>
        <w:t xml:space="preserve"> to the</w:t>
      </w:r>
      <w:r w:rsidR="00736345" w:rsidRPr="00445A7B">
        <w:rPr>
          <w:rFonts w:ascii="Arial" w:hAnsi="Arial" w:cs="Arial"/>
          <w:sz w:val="24"/>
          <w:szCs w:val="24"/>
        </w:rPr>
        <w:t xml:space="preserve"> proceedings was going to cause</w:t>
      </w:r>
      <w:r w:rsidRPr="00445A7B">
        <w:rPr>
          <w:rFonts w:ascii="Arial" w:hAnsi="Arial" w:cs="Arial"/>
          <w:sz w:val="24"/>
          <w:szCs w:val="24"/>
        </w:rPr>
        <w:t xml:space="preserve"> </w:t>
      </w:r>
      <w:r w:rsidR="0044239B" w:rsidRPr="00445A7B">
        <w:rPr>
          <w:rFonts w:ascii="Arial" w:hAnsi="Arial" w:cs="Arial"/>
          <w:sz w:val="24"/>
          <w:szCs w:val="24"/>
        </w:rPr>
        <w:t>prejudice to the other part</w:t>
      </w:r>
      <w:r w:rsidRPr="00445A7B">
        <w:rPr>
          <w:rFonts w:ascii="Arial" w:hAnsi="Arial" w:cs="Arial"/>
          <w:sz w:val="24"/>
          <w:szCs w:val="24"/>
        </w:rPr>
        <w:t>ies</w:t>
      </w:r>
      <w:r w:rsidR="0044239B" w:rsidRPr="00445A7B">
        <w:rPr>
          <w:rFonts w:ascii="Arial" w:hAnsi="Arial" w:cs="Arial"/>
          <w:sz w:val="24"/>
          <w:szCs w:val="24"/>
        </w:rPr>
        <w:t xml:space="preserve"> </w:t>
      </w:r>
      <w:r w:rsidRPr="00445A7B">
        <w:rPr>
          <w:rFonts w:ascii="Arial" w:hAnsi="Arial" w:cs="Arial"/>
          <w:sz w:val="24"/>
          <w:szCs w:val="24"/>
        </w:rPr>
        <w:t xml:space="preserve">in obtaining </w:t>
      </w:r>
      <w:r w:rsidR="0044239B" w:rsidRPr="00445A7B">
        <w:rPr>
          <w:rFonts w:ascii="Arial" w:hAnsi="Arial" w:cs="Arial"/>
          <w:sz w:val="24"/>
          <w:szCs w:val="24"/>
        </w:rPr>
        <w:t xml:space="preserve">instructions </w:t>
      </w:r>
      <w:r w:rsidRPr="00445A7B">
        <w:rPr>
          <w:rFonts w:ascii="Arial" w:hAnsi="Arial" w:cs="Arial"/>
          <w:sz w:val="24"/>
          <w:szCs w:val="24"/>
        </w:rPr>
        <w:t xml:space="preserve">as </w:t>
      </w:r>
      <w:r w:rsidR="0044239B" w:rsidRPr="00445A7B">
        <w:rPr>
          <w:rFonts w:ascii="Arial" w:hAnsi="Arial" w:cs="Arial"/>
          <w:sz w:val="24"/>
          <w:szCs w:val="24"/>
        </w:rPr>
        <w:t xml:space="preserve">the heir resided in Northern Ireland. </w:t>
      </w:r>
      <w:r w:rsidRPr="00445A7B">
        <w:rPr>
          <w:rFonts w:ascii="Arial" w:hAnsi="Arial" w:cs="Arial"/>
          <w:sz w:val="24"/>
          <w:szCs w:val="24"/>
        </w:rPr>
        <w:t xml:space="preserve">The second ground of dismissal </w:t>
      </w:r>
      <w:r w:rsidR="008F06B9" w:rsidRPr="00445A7B">
        <w:rPr>
          <w:rFonts w:ascii="Arial" w:hAnsi="Arial" w:cs="Arial"/>
          <w:sz w:val="24"/>
          <w:szCs w:val="24"/>
        </w:rPr>
        <w:t>wa</w:t>
      </w:r>
      <w:r w:rsidRPr="00445A7B">
        <w:rPr>
          <w:rFonts w:ascii="Arial" w:hAnsi="Arial" w:cs="Arial"/>
          <w:sz w:val="24"/>
          <w:szCs w:val="24"/>
        </w:rPr>
        <w:t xml:space="preserve">s founded on </w:t>
      </w:r>
      <w:r w:rsidR="0044239B" w:rsidRPr="00445A7B">
        <w:rPr>
          <w:rFonts w:ascii="Arial" w:hAnsi="Arial" w:cs="Arial"/>
          <w:sz w:val="24"/>
          <w:szCs w:val="24"/>
        </w:rPr>
        <w:t xml:space="preserve">the possibility that other beneficiaries interested in the estate may also approach the court to be joined. </w:t>
      </w:r>
    </w:p>
    <w:p w:rsidR="00B919BC" w:rsidRDefault="00B919BC" w:rsidP="00445A7B">
      <w:pPr>
        <w:spacing w:after="0" w:line="480" w:lineRule="auto"/>
        <w:jc w:val="both"/>
        <w:rPr>
          <w:rFonts w:ascii="Arial" w:hAnsi="Arial" w:cs="Arial"/>
          <w:sz w:val="24"/>
          <w:szCs w:val="24"/>
        </w:rPr>
      </w:pPr>
    </w:p>
    <w:p w:rsidR="00683715" w:rsidRPr="00445A7B" w:rsidRDefault="00815A90" w:rsidP="00445A7B">
      <w:pPr>
        <w:pStyle w:val="ListParagraph"/>
        <w:numPr>
          <w:ilvl w:val="0"/>
          <w:numId w:val="6"/>
        </w:numPr>
        <w:spacing w:after="0" w:line="480" w:lineRule="auto"/>
        <w:ind w:left="0" w:firstLine="0"/>
        <w:jc w:val="both"/>
        <w:rPr>
          <w:rFonts w:ascii="Arial" w:hAnsi="Arial" w:cs="Arial"/>
          <w:sz w:val="24"/>
          <w:szCs w:val="24"/>
        </w:rPr>
      </w:pPr>
      <w:r w:rsidRPr="00445A7B">
        <w:rPr>
          <w:rFonts w:ascii="Arial" w:hAnsi="Arial" w:cs="Arial"/>
          <w:sz w:val="24"/>
          <w:szCs w:val="24"/>
        </w:rPr>
        <w:t>In the instant</w:t>
      </w:r>
      <w:r w:rsidR="00B919BC" w:rsidRPr="00445A7B">
        <w:rPr>
          <w:rFonts w:ascii="Arial" w:hAnsi="Arial" w:cs="Arial"/>
          <w:sz w:val="24"/>
          <w:szCs w:val="24"/>
        </w:rPr>
        <w:t xml:space="preserve"> case, the circumstances are different; the second appellant is the </w:t>
      </w:r>
      <w:r w:rsidR="0044239B" w:rsidRPr="00445A7B">
        <w:rPr>
          <w:rFonts w:ascii="Arial" w:hAnsi="Arial" w:cs="Arial"/>
          <w:sz w:val="24"/>
          <w:szCs w:val="24"/>
        </w:rPr>
        <w:t xml:space="preserve">only legatee with an interest in the asset sought to be vindicated. </w:t>
      </w:r>
      <w:r w:rsidR="00B919BC" w:rsidRPr="00445A7B">
        <w:rPr>
          <w:rFonts w:ascii="Arial" w:hAnsi="Arial" w:cs="Arial"/>
          <w:sz w:val="24"/>
          <w:szCs w:val="24"/>
        </w:rPr>
        <w:t xml:space="preserve">In addition, there are no allegations on the part of the </w:t>
      </w:r>
      <w:r w:rsidR="00315147" w:rsidRPr="00445A7B">
        <w:rPr>
          <w:rFonts w:ascii="Arial" w:hAnsi="Arial" w:cs="Arial"/>
          <w:sz w:val="24"/>
          <w:szCs w:val="24"/>
        </w:rPr>
        <w:t xml:space="preserve">first </w:t>
      </w:r>
      <w:r w:rsidR="00B919BC" w:rsidRPr="00445A7B">
        <w:rPr>
          <w:rFonts w:ascii="Arial" w:hAnsi="Arial" w:cs="Arial"/>
          <w:sz w:val="24"/>
          <w:szCs w:val="24"/>
        </w:rPr>
        <w:t xml:space="preserve">respondent that the </w:t>
      </w:r>
      <w:r w:rsidR="0044239B" w:rsidRPr="00445A7B">
        <w:rPr>
          <w:rFonts w:ascii="Arial" w:hAnsi="Arial" w:cs="Arial"/>
          <w:sz w:val="24"/>
          <w:szCs w:val="24"/>
        </w:rPr>
        <w:t>joining of the second appellant would be prejudici</w:t>
      </w:r>
      <w:r w:rsidR="00560A6F" w:rsidRPr="00445A7B">
        <w:rPr>
          <w:rFonts w:ascii="Arial" w:hAnsi="Arial" w:cs="Arial"/>
          <w:sz w:val="24"/>
          <w:szCs w:val="24"/>
        </w:rPr>
        <w:t>al to its case</w:t>
      </w:r>
      <w:r w:rsidR="0044239B" w:rsidRPr="00445A7B">
        <w:rPr>
          <w:rFonts w:ascii="Arial" w:hAnsi="Arial" w:cs="Arial"/>
          <w:sz w:val="24"/>
          <w:szCs w:val="24"/>
        </w:rPr>
        <w:t xml:space="preserve">. </w:t>
      </w:r>
      <w:r w:rsidR="00460645" w:rsidRPr="00445A7B">
        <w:rPr>
          <w:rFonts w:ascii="Arial" w:hAnsi="Arial" w:cs="Arial"/>
          <w:sz w:val="24"/>
          <w:szCs w:val="24"/>
        </w:rPr>
        <w:t xml:space="preserve">As such, I am of the view that the court </w:t>
      </w:r>
      <w:r w:rsidR="00460645" w:rsidRPr="00445A7B">
        <w:rPr>
          <w:rFonts w:ascii="Arial" w:hAnsi="Arial" w:cs="Arial"/>
          <w:i/>
          <w:sz w:val="24"/>
          <w:szCs w:val="24"/>
        </w:rPr>
        <w:t>a quo</w:t>
      </w:r>
      <w:r w:rsidR="0044239B" w:rsidRPr="00445A7B">
        <w:rPr>
          <w:rFonts w:ascii="Arial" w:hAnsi="Arial" w:cs="Arial"/>
          <w:sz w:val="24"/>
          <w:szCs w:val="24"/>
        </w:rPr>
        <w:t xml:space="preserve"> </w:t>
      </w:r>
      <w:r w:rsidR="00460645" w:rsidRPr="00445A7B">
        <w:rPr>
          <w:rFonts w:ascii="Arial" w:hAnsi="Arial" w:cs="Arial"/>
          <w:sz w:val="24"/>
          <w:szCs w:val="24"/>
        </w:rPr>
        <w:t xml:space="preserve">should have taken the aspect of </w:t>
      </w:r>
      <w:r w:rsidR="0044239B" w:rsidRPr="00445A7B">
        <w:rPr>
          <w:rFonts w:ascii="Arial" w:hAnsi="Arial" w:cs="Arial"/>
          <w:sz w:val="24"/>
          <w:szCs w:val="24"/>
        </w:rPr>
        <w:t xml:space="preserve">prejudice </w:t>
      </w:r>
      <w:r w:rsidR="00460645" w:rsidRPr="00445A7B">
        <w:rPr>
          <w:rFonts w:ascii="Arial" w:hAnsi="Arial" w:cs="Arial"/>
          <w:sz w:val="24"/>
          <w:szCs w:val="24"/>
        </w:rPr>
        <w:t xml:space="preserve">in consideration </w:t>
      </w:r>
      <w:r w:rsidR="00356860" w:rsidRPr="00445A7B">
        <w:rPr>
          <w:rFonts w:ascii="Arial" w:hAnsi="Arial" w:cs="Arial"/>
          <w:sz w:val="24"/>
          <w:szCs w:val="24"/>
        </w:rPr>
        <w:t xml:space="preserve">as one of the determining factors in deciding </w:t>
      </w:r>
      <w:r w:rsidR="00356860" w:rsidRPr="00445A7B">
        <w:rPr>
          <w:rFonts w:ascii="Arial" w:hAnsi="Arial" w:cs="Arial"/>
          <w:i/>
          <w:sz w:val="24"/>
          <w:szCs w:val="24"/>
        </w:rPr>
        <w:t>locus standi</w:t>
      </w:r>
      <w:r w:rsidR="00356860" w:rsidRPr="00445A7B">
        <w:rPr>
          <w:rFonts w:ascii="Arial" w:hAnsi="Arial" w:cs="Arial"/>
          <w:sz w:val="24"/>
          <w:szCs w:val="24"/>
        </w:rPr>
        <w:t xml:space="preserve"> of the second appellant. </w:t>
      </w:r>
    </w:p>
    <w:p w:rsidR="00FE0695" w:rsidRPr="00445A7B" w:rsidRDefault="00CB1BB8" w:rsidP="00445A7B">
      <w:pPr>
        <w:pStyle w:val="ListParagraph"/>
        <w:numPr>
          <w:ilvl w:val="0"/>
          <w:numId w:val="6"/>
        </w:numPr>
        <w:spacing w:after="0" w:line="480" w:lineRule="auto"/>
        <w:ind w:left="0" w:firstLine="0"/>
        <w:jc w:val="both"/>
        <w:rPr>
          <w:rFonts w:ascii="Arial" w:hAnsi="Arial" w:cs="Arial"/>
          <w:sz w:val="24"/>
          <w:szCs w:val="24"/>
        </w:rPr>
      </w:pPr>
      <w:r w:rsidRPr="00445A7B">
        <w:rPr>
          <w:rFonts w:ascii="Arial" w:hAnsi="Arial" w:cs="Arial"/>
          <w:sz w:val="24"/>
          <w:szCs w:val="24"/>
        </w:rPr>
        <w:lastRenderedPageBreak/>
        <w:t>C</w:t>
      </w:r>
      <w:r w:rsidR="0078203B" w:rsidRPr="00445A7B">
        <w:rPr>
          <w:rFonts w:ascii="Arial" w:hAnsi="Arial" w:cs="Arial"/>
          <w:sz w:val="24"/>
          <w:szCs w:val="24"/>
        </w:rPr>
        <w:t xml:space="preserve">ounsel </w:t>
      </w:r>
      <w:r w:rsidR="00707BB3" w:rsidRPr="00445A7B">
        <w:rPr>
          <w:rFonts w:ascii="Arial" w:hAnsi="Arial" w:cs="Arial"/>
          <w:sz w:val="24"/>
          <w:szCs w:val="24"/>
        </w:rPr>
        <w:t xml:space="preserve">for the first respondent </w:t>
      </w:r>
      <w:r w:rsidR="0078203B" w:rsidRPr="00445A7B">
        <w:rPr>
          <w:rFonts w:ascii="Arial" w:hAnsi="Arial" w:cs="Arial"/>
          <w:sz w:val="24"/>
          <w:szCs w:val="24"/>
        </w:rPr>
        <w:t xml:space="preserve">submitted </w:t>
      </w:r>
      <w:r w:rsidR="00460645" w:rsidRPr="00445A7B">
        <w:rPr>
          <w:rFonts w:ascii="Arial" w:hAnsi="Arial" w:cs="Arial"/>
          <w:sz w:val="24"/>
          <w:szCs w:val="24"/>
        </w:rPr>
        <w:t xml:space="preserve">that the </w:t>
      </w:r>
      <w:r w:rsidR="0078203B" w:rsidRPr="00445A7B">
        <w:rPr>
          <w:rFonts w:ascii="Arial" w:hAnsi="Arial" w:cs="Arial"/>
          <w:sz w:val="24"/>
          <w:szCs w:val="24"/>
        </w:rPr>
        <w:t xml:space="preserve">general </w:t>
      </w:r>
      <w:r w:rsidR="00460645" w:rsidRPr="00445A7B">
        <w:rPr>
          <w:rFonts w:ascii="Arial" w:hAnsi="Arial" w:cs="Arial"/>
          <w:sz w:val="24"/>
          <w:szCs w:val="24"/>
        </w:rPr>
        <w:t xml:space="preserve">rule </w:t>
      </w:r>
      <w:r w:rsidR="0078203B" w:rsidRPr="00445A7B">
        <w:rPr>
          <w:rFonts w:ascii="Arial" w:hAnsi="Arial" w:cs="Arial"/>
          <w:sz w:val="24"/>
          <w:szCs w:val="24"/>
        </w:rPr>
        <w:t xml:space="preserve">that it is not open to a beneficiary to vindicate the assets of the estate as it is only the executor </w:t>
      </w:r>
      <w:r w:rsidR="006978FB" w:rsidRPr="00445A7B">
        <w:rPr>
          <w:rFonts w:ascii="Arial" w:hAnsi="Arial" w:cs="Arial"/>
          <w:sz w:val="24"/>
          <w:szCs w:val="24"/>
        </w:rPr>
        <w:t xml:space="preserve">who </w:t>
      </w:r>
      <w:r w:rsidR="0078203B" w:rsidRPr="00445A7B">
        <w:rPr>
          <w:rFonts w:ascii="Arial" w:hAnsi="Arial" w:cs="Arial"/>
          <w:sz w:val="24"/>
          <w:szCs w:val="24"/>
        </w:rPr>
        <w:t xml:space="preserve">is permitted to do so </w:t>
      </w:r>
      <w:r w:rsidR="00460645" w:rsidRPr="00445A7B">
        <w:rPr>
          <w:rFonts w:ascii="Arial" w:hAnsi="Arial" w:cs="Arial"/>
          <w:sz w:val="24"/>
          <w:szCs w:val="24"/>
        </w:rPr>
        <w:t xml:space="preserve">is </w:t>
      </w:r>
      <w:r w:rsidR="00BC298F" w:rsidRPr="00445A7B">
        <w:rPr>
          <w:rFonts w:ascii="Arial" w:hAnsi="Arial" w:cs="Arial"/>
          <w:sz w:val="24"/>
          <w:szCs w:val="24"/>
        </w:rPr>
        <w:t xml:space="preserve">confirmed by authorities of this jurisdiction. </w:t>
      </w:r>
      <w:r w:rsidR="006978FB" w:rsidRPr="00445A7B">
        <w:rPr>
          <w:rFonts w:ascii="Arial" w:hAnsi="Arial" w:cs="Arial"/>
          <w:sz w:val="24"/>
          <w:szCs w:val="24"/>
        </w:rPr>
        <w:t>In this connection</w:t>
      </w:r>
      <w:r w:rsidR="00BC298F" w:rsidRPr="00445A7B">
        <w:rPr>
          <w:rFonts w:ascii="Arial" w:hAnsi="Arial" w:cs="Arial"/>
          <w:sz w:val="24"/>
          <w:szCs w:val="24"/>
        </w:rPr>
        <w:t xml:space="preserve">, counsel referred to </w:t>
      </w:r>
      <w:r w:rsidRPr="00445A7B">
        <w:rPr>
          <w:rFonts w:ascii="Arial" w:hAnsi="Arial" w:cs="Arial"/>
          <w:i/>
          <w:sz w:val="24"/>
          <w:szCs w:val="24"/>
        </w:rPr>
        <w:t xml:space="preserve">Stellemacher </w:t>
      </w:r>
      <w:r w:rsidR="00BC298F" w:rsidRPr="00445A7B">
        <w:rPr>
          <w:rFonts w:ascii="Arial" w:hAnsi="Arial" w:cs="Arial"/>
          <w:sz w:val="24"/>
          <w:szCs w:val="24"/>
        </w:rPr>
        <w:t xml:space="preserve">and </w:t>
      </w:r>
      <w:r w:rsidR="00EC5A32" w:rsidRPr="00445A7B">
        <w:rPr>
          <w:rFonts w:ascii="Arial" w:hAnsi="Arial" w:cs="Arial"/>
          <w:i/>
          <w:sz w:val="24"/>
          <w:szCs w:val="24"/>
        </w:rPr>
        <w:t>Gramowsky v Kahl &amp;</w:t>
      </w:r>
      <w:r w:rsidR="00BC298F" w:rsidRPr="00445A7B">
        <w:rPr>
          <w:rFonts w:ascii="Arial" w:hAnsi="Arial" w:cs="Arial"/>
          <w:i/>
          <w:sz w:val="24"/>
          <w:szCs w:val="24"/>
        </w:rPr>
        <w:t xml:space="preserve"> </w:t>
      </w:r>
      <w:r w:rsidR="00EC5A32" w:rsidRPr="00445A7B">
        <w:rPr>
          <w:rFonts w:ascii="Arial" w:hAnsi="Arial" w:cs="Arial"/>
          <w:i/>
          <w:sz w:val="24"/>
          <w:szCs w:val="24"/>
        </w:rPr>
        <w:t>a</w:t>
      </w:r>
      <w:r w:rsidR="00BC298F" w:rsidRPr="00445A7B">
        <w:rPr>
          <w:rFonts w:ascii="Arial" w:hAnsi="Arial" w:cs="Arial"/>
          <w:i/>
          <w:sz w:val="24"/>
          <w:szCs w:val="24"/>
        </w:rPr>
        <w:t>nother</w:t>
      </w:r>
      <w:r w:rsidR="00BC298F" w:rsidRPr="00724959">
        <w:rPr>
          <w:rStyle w:val="FootnoteReference"/>
          <w:rFonts w:ascii="Arial" w:hAnsi="Arial" w:cs="Arial"/>
          <w:sz w:val="24"/>
          <w:szCs w:val="24"/>
        </w:rPr>
        <w:footnoteReference w:id="7"/>
      </w:r>
      <w:r w:rsidR="00BC298F" w:rsidRPr="00445A7B">
        <w:rPr>
          <w:rFonts w:ascii="Arial" w:hAnsi="Arial" w:cs="Arial"/>
          <w:sz w:val="24"/>
          <w:szCs w:val="24"/>
        </w:rPr>
        <w:t xml:space="preserve">. </w:t>
      </w:r>
      <w:r w:rsidR="001D24D6" w:rsidRPr="00445A7B">
        <w:rPr>
          <w:rFonts w:ascii="Arial" w:hAnsi="Arial" w:cs="Arial"/>
          <w:sz w:val="24"/>
          <w:szCs w:val="24"/>
        </w:rPr>
        <w:t xml:space="preserve">Counsel </w:t>
      </w:r>
      <w:r w:rsidR="00427040" w:rsidRPr="00445A7B">
        <w:rPr>
          <w:rFonts w:ascii="Arial" w:hAnsi="Arial" w:cs="Arial"/>
          <w:sz w:val="24"/>
          <w:szCs w:val="24"/>
        </w:rPr>
        <w:t xml:space="preserve">particularly </w:t>
      </w:r>
      <w:r w:rsidR="001D24D6" w:rsidRPr="00445A7B">
        <w:rPr>
          <w:rFonts w:ascii="Arial" w:hAnsi="Arial" w:cs="Arial"/>
          <w:sz w:val="24"/>
          <w:szCs w:val="24"/>
        </w:rPr>
        <w:t xml:space="preserve">drew a distinction between </w:t>
      </w:r>
      <w:r w:rsidR="00427040" w:rsidRPr="00445A7B">
        <w:rPr>
          <w:rFonts w:ascii="Arial" w:hAnsi="Arial" w:cs="Arial"/>
          <w:i/>
          <w:sz w:val="24"/>
          <w:szCs w:val="24"/>
        </w:rPr>
        <w:t xml:space="preserve">Gramowsky </w:t>
      </w:r>
      <w:r w:rsidR="00427040" w:rsidRPr="00445A7B">
        <w:rPr>
          <w:rFonts w:ascii="Arial" w:hAnsi="Arial" w:cs="Arial"/>
          <w:sz w:val="24"/>
          <w:szCs w:val="24"/>
        </w:rPr>
        <w:t xml:space="preserve">and the present matter, </w:t>
      </w:r>
      <w:r w:rsidR="001D24D6" w:rsidRPr="00445A7B">
        <w:rPr>
          <w:rFonts w:ascii="Arial" w:hAnsi="Arial" w:cs="Arial"/>
          <w:sz w:val="24"/>
          <w:szCs w:val="24"/>
        </w:rPr>
        <w:t xml:space="preserve">and contended that </w:t>
      </w:r>
      <w:r w:rsidRPr="00445A7B">
        <w:rPr>
          <w:rFonts w:ascii="Arial" w:hAnsi="Arial" w:cs="Arial"/>
          <w:sz w:val="24"/>
          <w:szCs w:val="24"/>
        </w:rPr>
        <w:t xml:space="preserve">the heir in </w:t>
      </w:r>
      <w:r w:rsidRPr="00445A7B">
        <w:rPr>
          <w:rFonts w:ascii="Arial" w:hAnsi="Arial" w:cs="Arial"/>
          <w:i/>
          <w:sz w:val="24"/>
          <w:szCs w:val="24"/>
        </w:rPr>
        <w:t>Gramowsky</w:t>
      </w:r>
      <w:r w:rsidRPr="00445A7B">
        <w:rPr>
          <w:rFonts w:ascii="Arial" w:hAnsi="Arial" w:cs="Arial"/>
          <w:sz w:val="24"/>
          <w:szCs w:val="24"/>
        </w:rPr>
        <w:t xml:space="preserve"> acquired </w:t>
      </w:r>
      <w:r w:rsidRPr="00445A7B">
        <w:rPr>
          <w:rFonts w:ascii="Arial" w:hAnsi="Arial" w:cs="Arial"/>
          <w:i/>
          <w:sz w:val="24"/>
          <w:szCs w:val="24"/>
        </w:rPr>
        <w:t>locus standi</w:t>
      </w:r>
      <w:r w:rsidRPr="00445A7B">
        <w:rPr>
          <w:rFonts w:ascii="Arial" w:hAnsi="Arial" w:cs="Arial"/>
          <w:sz w:val="24"/>
          <w:szCs w:val="24"/>
        </w:rPr>
        <w:t xml:space="preserve"> after the confirmation of the liquidation and distribution account. </w:t>
      </w:r>
      <w:r w:rsidR="00FE0695" w:rsidRPr="00445A7B">
        <w:rPr>
          <w:rFonts w:ascii="Arial" w:hAnsi="Arial" w:cs="Arial"/>
          <w:sz w:val="24"/>
          <w:szCs w:val="24"/>
        </w:rPr>
        <w:t xml:space="preserve">Counsel further </w:t>
      </w:r>
      <w:r w:rsidR="00427040" w:rsidRPr="00445A7B">
        <w:rPr>
          <w:rFonts w:ascii="Arial" w:hAnsi="Arial" w:cs="Arial"/>
          <w:sz w:val="24"/>
          <w:szCs w:val="24"/>
        </w:rPr>
        <w:t>contended</w:t>
      </w:r>
      <w:r w:rsidR="00736345" w:rsidRPr="00445A7B">
        <w:rPr>
          <w:rFonts w:ascii="Arial" w:hAnsi="Arial" w:cs="Arial"/>
          <w:sz w:val="24"/>
          <w:szCs w:val="24"/>
        </w:rPr>
        <w:t xml:space="preserve"> that,</w:t>
      </w:r>
      <w:r w:rsidR="00FE0695" w:rsidRPr="00445A7B">
        <w:rPr>
          <w:rFonts w:ascii="Arial" w:hAnsi="Arial" w:cs="Arial"/>
          <w:sz w:val="24"/>
          <w:szCs w:val="24"/>
        </w:rPr>
        <w:t xml:space="preserve"> in the </w:t>
      </w:r>
      <w:r w:rsidR="00FE0695" w:rsidRPr="00445A7B">
        <w:rPr>
          <w:rFonts w:ascii="Arial" w:hAnsi="Arial" w:cs="Arial"/>
          <w:i/>
          <w:sz w:val="24"/>
          <w:szCs w:val="24"/>
        </w:rPr>
        <w:t>Gramowsky</w:t>
      </w:r>
      <w:r w:rsidR="00FE0695" w:rsidRPr="00445A7B">
        <w:rPr>
          <w:rFonts w:ascii="Arial" w:hAnsi="Arial" w:cs="Arial"/>
          <w:sz w:val="24"/>
          <w:szCs w:val="24"/>
        </w:rPr>
        <w:t xml:space="preserve"> matter, an important distinguishing factor </w:t>
      </w:r>
      <w:r w:rsidR="005C1A26" w:rsidRPr="00445A7B">
        <w:rPr>
          <w:rFonts w:ascii="Arial" w:hAnsi="Arial" w:cs="Arial"/>
          <w:sz w:val="24"/>
          <w:szCs w:val="24"/>
        </w:rPr>
        <w:t>was the allegation</w:t>
      </w:r>
      <w:r w:rsidR="00FE0695" w:rsidRPr="00445A7B">
        <w:rPr>
          <w:rFonts w:ascii="Arial" w:hAnsi="Arial" w:cs="Arial"/>
          <w:sz w:val="24"/>
          <w:szCs w:val="24"/>
        </w:rPr>
        <w:t xml:space="preserve"> that the claim which the plaintiff sought to maintain was awarded by the executor to the plaintiff in the final liquidation and distribution account. </w:t>
      </w:r>
    </w:p>
    <w:p w:rsidR="00FE0695" w:rsidRDefault="00FE0695" w:rsidP="00445A7B">
      <w:pPr>
        <w:spacing w:after="0" w:line="480" w:lineRule="auto"/>
        <w:jc w:val="both"/>
        <w:rPr>
          <w:rFonts w:ascii="Arial" w:hAnsi="Arial" w:cs="Arial"/>
          <w:sz w:val="24"/>
          <w:szCs w:val="24"/>
        </w:rPr>
      </w:pPr>
    </w:p>
    <w:p w:rsidR="00553014" w:rsidRPr="00445A7B" w:rsidRDefault="00553014" w:rsidP="00445A7B">
      <w:pPr>
        <w:pStyle w:val="ListParagraph"/>
        <w:numPr>
          <w:ilvl w:val="0"/>
          <w:numId w:val="6"/>
        </w:numPr>
        <w:spacing w:after="0" w:line="480" w:lineRule="auto"/>
        <w:ind w:left="0" w:firstLine="0"/>
        <w:jc w:val="both"/>
        <w:rPr>
          <w:rFonts w:ascii="Arial" w:hAnsi="Arial" w:cs="Arial"/>
          <w:sz w:val="24"/>
          <w:szCs w:val="24"/>
        </w:rPr>
      </w:pPr>
      <w:r w:rsidRPr="00445A7B">
        <w:rPr>
          <w:rFonts w:ascii="Arial" w:hAnsi="Arial" w:cs="Arial"/>
          <w:sz w:val="24"/>
          <w:szCs w:val="24"/>
        </w:rPr>
        <w:t xml:space="preserve">Counsel argued that the </w:t>
      </w:r>
      <w:r w:rsidR="00315147" w:rsidRPr="00445A7B">
        <w:rPr>
          <w:rFonts w:ascii="Arial" w:hAnsi="Arial" w:cs="Arial"/>
          <w:sz w:val="24"/>
          <w:szCs w:val="24"/>
        </w:rPr>
        <w:t xml:space="preserve">considerations </w:t>
      </w:r>
      <w:r w:rsidRPr="00445A7B">
        <w:rPr>
          <w:rFonts w:ascii="Arial" w:hAnsi="Arial" w:cs="Arial"/>
          <w:sz w:val="24"/>
          <w:szCs w:val="24"/>
        </w:rPr>
        <w:t xml:space="preserve">stated under para </w:t>
      </w:r>
      <w:r w:rsidR="00EC5A32" w:rsidRPr="00445A7B">
        <w:rPr>
          <w:rFonts w:ascii="Arial" w:hAnsi="Arial" w:cs="Arial"/>
          <w:sz w:val="24"/>
          <w:szCs w:val="24"/>
        </w:rPr>
        <w:t>[</w:t>
      </w:r>
      <w:r w:rsidRPr="00445A7B">
        <w:rPr>
          <w:rFonts w:ascii="Arial" w:hAnsi="Arial" w:cs="Arial"/>
          <w:sz w:val="24"/>
          <w:szCs w:val="24"/>
        </w:rPr>
        <w:t>2</w:t>
      </w:r>
      <w:r w:rsidR="00707BB3" w:rsidRPr="00445A7B">
        <w:rPr>
          <w:rFonts w:ascii="Arial" w:hAnsi="Arial" w:cs="Arial"/>
          <w:sz w:val="24"/>
          <w:szCs w:val="24"/>
        </w:rPr>
        <w:t>6</w:t>
      </w:r>
      <w:r w:rsidR="00EC5A32" w:rsidRPr="00445A7B">
        <w:rPr>
          <w:rFonts w:ascii="Arial" w:hAnsi="Arial" w:cs="Arial"/>
          <w:sz w:val="24"/>
          <w:szCs w:val="24"/>
        </w:rPr>
        <w:t>]</w:t>
      </w:r>
      <w:r w:rsidRPr="00445A7B">
        <w:rPr>
          <w:rFonts w:ascii="Arial" w:hAnsi="Arial" w:cs="Arial"/>
          <w:sz w:val="24"/>
          <w:szCs w:val="24"/>
        </w:rPr>
        <w:t xml:space="preserve"> above, are absent in the case before this court. Counsel </w:t>
      </w:r>
      <w:r w:rsidR="008558F3" w:rsidRPr="00445A7B">
        <w:rPr>
          <w:rFonts w:ascii="Arial" w:hAnsi="Arial" w:cs="Arial"/>
          <w:sz w:val="24"/>
          <w:szCs w:val="24"/>
        </w:rPr>
        <w:t xml:space="preserve">also </w:t>
      </w:r>
      <w:r w:rsidRPr="00445A7B">
        <w:rPr>
          <w:rFonts w:ascii="Arial" w:hAnsi="Arial" w:cs="Arial"/>
          <w:sz w:val="24"/>
          <w:szCs w:val="24"/>
        </w:rPr>
        <w:t xml:space="preserve">submitted that </w:t>
      </w:r>
      <w:r w:rsidR="00B937DF" w:rsidRPr="00445A7B">
        <w:rPr>
          <w:rFonts w:ascii="Arial" w:hAnsi="Arial" w:cs="Arial"/>
          <w:sz w:val="24"/>
          <w:szCs w:val="24"/>
        </w:rPr>
        <w:t>the appellants failed</w:t>
      </w:r>
      <w:r w:rsidRPr="00445A7B">
        <w:rPr>
          <w:rFonts w:ascii="Arial" w:hAnsi="Arial" w:cs="Arial"/>
          <w:sz w:val="24"/>
          <w:szCs w:val="24"/>
        </w:rPr>
        <w:t xml:space="preserve"> in their particulars of claim to allege that the stage of </w:t>
      </w:r>
      <w:r w:rsidRPr="00445A7B">
        <w:rPr>
          <w:rFonts w:ascii="Arial" w:hAnsi="Arial" w:cs="Arial"/>
          <w:i/>
          <w:sz w:val="24"/>
          <w:szCs w:val="24"/>
        </w:rPr>
        <w:t xml:space="preserve">dies venit </w:t>
      </w:r>
      <w:r w:rsidRPr="00445A7B">
        <w:rPr>
          <w:rFonts w:ascii="Arial" w:hAnsi="Arial" w:cs="Arial"/>
          <w:sz w:val="24"/>
          <w:szCs w:val="24"/>
        </w:rPr>
        <w:t xml:space="preserve">had been reached or that there was any transfer of rights to the second appellant conferring some rights to institute the claim. </w:t>
      </w:r>
      <w:r w:rsidR="00B937DF" w:rsidRPr="00445A7B">
        <w:rPr>
          <w:rFonts w:ascii="Arial" w:hAnsi="Arial" w:cs="Arial"/>
          <w:sz w:val="24"/>
          <w:szCs w:val="24"/>
        </w:rPr>
        <w:t xml:space="preserve">Counsel therefore argued that </w:t>
      </w:r>
      <w:r w:rsidR="00707BB3" w:rsidRPr="00445A7B">
        <w:rPr>
          <w:rFonts w:ascii="Arial" w:hAnsi="Arial" w:cs="Arial"/>
          <w:sz w:val="24"/>
          <w:szCs w:val="24"/>
        </w:rPr>
        <w:t xml:space="preserve">in </w:t>
      </w:r>
      <w:r w:rsidR="00B937DF" w:rsidRPr="00445A7B">
        <w:rPr>
          <w:rFonts w:ascii="Arial" w:hAnsi="Arial" w:cs="Arial"/>
          <w:sz w:val="24"/>
          <w:szCs w:val="24"/>
        </w:rPr>
        <w:t xml:space="preserve">the absence of any </w:t>
      </w:r>
      <w:r w:rsidR="00707BB3" w:rsidRPr="00445A7B">
        <w:rPr>
          <w:rFonts w:ascii="Arial" w:hAnsi="Arial" w:cs="Arial"/>
          <w:sz w:val="24"/>
          <w:szCs w:val="24"/>
        </w:rPr>
        <w:t xml:space="preserve">of </w:t>
      </w:r>
      <w:r w:rsidR="00B937DF" w:rsidRPr="00445A7B">
        <w:rPr>
          <w:rFonts w:ascii="Arial" w:hAnsi="Arial" w:cs="Arial"/>
          <w:sz w:val="24"/>
          <w:szCs w:val="24"/>
        </w:rPr>
        <w:t>the above-mentioned factors</w:t>
      </w:r>
      <w:r w:rsidR="00707BB3" w:rsidRPr="00445A7B">
        <w:rPr>
          <w:rFonts w:ascii="Arial" w:hAnsi="Arial" w:cs="Arial"/>
          <w:sz w:val="24"/>
          <w:szCs w:val="24"/>
        </w:rPr>
        <w:t>,</w:t>
      </w:r>
      <w:r w:rsidR="00CD4B6F" w:rsidRPr="00445A7B">
        <w:rPr>
          <w:rFonts w:ascii="Arial" w:hAnsi="Arial" w:cs="Arial"/>
          <w:sz w:val="24"/>
          <w:szCs w:val="24"/>
        </w:rPr>
        <w:t xml:space="preserve"> </w:t>
      </w:r>
      <w:r w:rsidR="00B937DF" w:rsidRPr="00445A7B">
        <w:rPr>
          <w:rFonts w:ascii="Arial" w:hAnsi="Arial" w:cs="Arial"/>
          <w:sz w:val="24"/>
          <w:szCs w:val="24"/>
        </w:rPr>
        <w:t>the genera</w:t>
      </w:r>
      <w:r w:rsidR="00CD4B6F" w:rsidRPr="00445A7B">
        <w:rPr>
          <w:rFonts w:ascii="Arial" w:hAnsi="Arial" w:cs="Arial"/>
          <w:sz w:val="24"/>
          <w:szCs w:val="24"/>
        </w:rPr>
        <w:t xml:space="preserve">l rule </w:t>
      </w:r>
      <w:r w:rsidR="00707BB3" w:rsidRPr="00445A7B">
        <w:rPr>
          <w:rFonts w:ascii="Arial" w:hAnsi="Arial" w:cs="Arial"/>
          <w:sz w:val="24"/>
          <w:szCs w:val="24"/>
        </w:rPr>
        <w:t xml:space="preserve">that the right to vindicate estate property vests in the executor alone </w:t>
      </w:r>
      <w:r w:rsidR="00CD4B6F" w:rsidRPr="00445A7B">
        <w:rPr>
          <w:rFonts w:ascii="Arial" w:hAnsi="Arial" w:cs="Arial"/>
          <w:sz w:val="24"/>
          <w:szCs w:val="24"/>
        </w:rPr>
        <w:t>applie</w:t>
      </w:r>
      <w:r w:rsidR="005C1A26" w:rsidRPr="00445A7B">
        <w:rPr>
          <w:rFonts w:ascii="Arial" w:hAnsi="Arial" w:cs="Arial"/>
          <w:sz w:val="24"/>
          <w:szCs w:val="24"/>
        </w:rPr>
        <w:t>d</w:t>
      </w:r>
      <w:r w:rsidR="00CD4B6F" w:rsidRPr="00445A7B">
        <w:rPr>
          <w:rFonts w:ascii="Arial" w:hAnsi="Arial" w:cs="Arial"/>
          <w:sz w:val="24"/>
          <w:szCs w:val="24"/>
        </w:rPr>
        <w:t xml:space="preserve">. </w:t>
      </w:r>
      <w:r w:rsidR="00B937DF" w:rsidRPr="00445A7B">
        <w:rPr>
          <w:rFonts w:ascii="Arial" w:hAnsi="Arial" w:cs="Arial"/>
          <w:sz w:val="24"/>
          <w:szCs w:val="24"/>
        </w:rPr>
        <w:t xml:space="preserve"> </w:t>
      </w:r>
    </w:p>
    <w:p w:rsidR="00553014" w:rsidRDefault="00553014" w:rsidP="00445A7B">
      <w:pPr>
        <w:spacing w:after="0" w:line="480" w:lineRule="auto"/>
        <w:jc w:val="both"/>
        <w:rPr>
          <w:rFonts w:ascii="Arial" w:hAnsi="Arial" w:cs="Arial"/>
          <w:sz w:val="24"/>
          <w:szCs w:val="24"/>
        </w:rPr>
      </w:pPr>
    </w:p>
    <w:p w:rsidR="00CD4B6F" w:rsidRPr="00445A7B" w:rsidRDefault="00CD4B6F" w:rsidP="00445A7B">
      <w:pPr>
        <w:pStyle w:val="ListParagraph"/>
        <w:numPr>
          <w:ilvl w:val="0"/>
          <w:numId w:val="6"/>
        </w:numPr>
        <w:spacing w:after="0" w:line="480" w:lineRule="auto"/>
        <w:ind w:left="0" w:firstLine="0"/>
        <w:jc w:val="both"/>
        <w:rPr>
          <w:rFonts w:ascii="Arial" w:hAnsi="Arial" w:cs="Arial"/>
          <w:sz w:val="24"/>
          <w:szCs w:val="24"/>
        </w:rPr>
      </w:pPr>
      <w:r w:rsidRPr="00445A7B">
        <w:rPr>
          <w:rFonts w:ascii="Arial" w:hAnsi="Arial" w:cs="Arial"/>
          <w:sz w:val="24"/>
          <w:szCs w:val="24"/>
        </w:rPr>
        <w:t xml:space="preserve">With reference to </w:t>
      </w:r>
      <w:r w:rsidRPr="00445A7B">
        <w:rPr>
          <w:rFonts w:ascii="Arial" w:hAnsi="Arial" w:cs="Arial"/>
          <w:i/>
          <w:sz w:val="24"/>
          <w:szCs w:val="24"/>
        </w:rPr>
        <w:t>Cumes v Estate Cumes</w:t>
      </w:r>
      <w:r w:rsidR="006978FB">
        <w:rPr>
          <w:rStyle w:val="FootnoteReference"/>
          <w:rFonts w:ascii="Arial" w:hAnsi="Arial" w:cs="Arial"/>
          <w:sz w:val="24"/>
          <w:szCs w:val="24"/>
        </w:rPr>
        <w:footnoteReference w:id="8"/>
      </w:r>
      <w:r w:rsidRPr="00445A7B">
        <w:rPr>
          <w:rFonts w:ascii="Arial" w:hAnsi="Arial" w:cs="Arial"/>
          <w:sz w:val="24"/>
          <w:szCs w:val="24"/>
        </w:rPr>
        <w:t>, counsel pointed out tha</w:t>
      </w:r>
      <w:r w:rsidR="00B653E7" w:rsidRPr="00445A7B">
        <w:rPr>
          <w:rFonts w:ascii="Arial" w:hAnsi="Arial" w:cs="Arial"/>
          <w:sz w:val="24"/>
          <w:szCs w:val="24"/>
        </w:rPr>
        <w:t xml:space="preserve">t if an heir or other interested person maintains that an executor should take steps for the recovery </w:t>
      </w:r>
      <w:r w:rsidR="00B653E7" w:rsidRPr="00445A7B">
        <w:rPr>
          <w:rFonts w:ascii="Arial" w:hAnsi="Arial" w:cs="Arial"/>
          <w:sz w:val="24"/>
          <w:szCs w:val="24"/>
        </w:rPr>
        <w:lastRenderedPageBreak/>
        <w:t xml:space="preserve">of assets in an estate, then his proper remedy, if such action is not instituted, is either to </w:t>
      </w:r>
      <w:r w:rsidR="00F913C3" w:rsidRPr="00445A7B">
        <w:rPr>
          <w:rFonts w:ascii="Arial" w:hAnsi="Arial" w:cs="Arial"/>
          <w:sz w:val="24"/>
          <w:szCs w:val="24"/>
        </w:rPr>
        <w:t xml:space="preserve">seek the removal </w:t>
      </w:r>
      <w:r w:rsidR="00B653E7" w:rsidRPr="00445A7B">
        <w:rPr>
          <w:rFonts w:ascii="Arial" w:hAnsi="Arial" w:cs="Arial"/>
          <w:sz w:val="24"/>
          <w:szCs w:val="24"/>
        </w:rPr>
        <w:t xml:space="preserve">of the executor for breach of duty or take </w:t>
      </w:r>
      <w:r w:rsidR="00F913C3" w:rsidRPr="00445A7B">
        <w:rPr>
          <w:rFonts w:ascii="Arial" w:hAnsi="Arial" w:cs="Arial"/>
          <w:sz w:val="24"/>
          <w:szCs w:val="24"/>
        </w:rPr>
        <w:t xml:space="preserve">an </w:t>
      </w:r>
      <w:r w:rsidR="00B653E7" w:rsidRPr="00445A7B">
        <w:rPr>
          <w:rFonts w:ascii="Arial" w:hAnsi="Arial" w:cs="Arial"/>
          <w:sz w:val="24"/>
          <w:szCs w:val="24"/>
        </w:rPr>
        <w:t xml:space="preserve">action and cite the executor as a nominal defendant. </w:t>
      </w:r>
      <w:r w:rsidR="00F913C3" w:rsidRPr="00445A7B">
        <w:rPr>
          <w:rFonts w:ascii="Arial" w:hAnsi="Arial" w:cs="Arial"/>
          <w:sz w:val="24"/>
          <w:szCs w:val="24"/>
        </w:rPr>
        <w:t xml:space="preserve">Counsel submitted that the second appellant cannot rely on this consideration </w:t>
      </w:r>
      <w:r w:rsidR="006978FB" w:rsidRPr="00445A7B">
        <w:rPr>
          <w:rFonts w:ascii="Arial" w:hAnsi="Arial" w:cs="Arial"/>
          <w:sz w:val="24"/>
          <w:szCs w:val="24"/>
        </w:rPr>
        <w:t xml:space="preserve">in any event </w:t>
      </w:r>
      <w:r w:rsidR="00F913C3" w:rsidRPr="00445A7B">
        <w:rPr>
          <w:rFonts w:ascii="Arial" w:hAnsi="Arial" w:cs="Arial"/>
          <w:sz w:val="24"/>
          <w:szCs w:val="24"/>
        </w:rPr>
        <w:t xml:space="preserve">as the executor in the present matter did not refuse or fail to institute the action. Counsel </w:t>
      </w:r>
      <w:r w:rsidR="00C07F5B" w:rsidRPr="00445A7B">
        <w:rPr>
          <w:rFonts w:ascii="Arial" w:hAnsi="Arial" w:cs="Arial"/>
          <w:sz w:val="24"/>
          <w:szCs w:val="24"/>
        </w:rPr>
        <w:t>c</w:t>
      </w:r>
      <w:r w:rsidR="00707BB3" w:rsidRPr="00445A7B">
        <w:rPr>
          <w:rFonts w:ascii="Arial" w:hAnsi="Arial" w:cs="Arial"/>
          <w:sz w:val="24"/>
          <w:szCs w:val="24"/>
        </w:rPr>
        <w:t xml:space="preserve">ontended </w:t>
      </w:r>
      <w:r w:rsidR="00C07F5B" w:rsidRPr="00445A7B">
        <w:rPr>
          <w:rFonts w:ascii="Arial" w:hAnsi="Arial" w:cs="Arial"/>
          <w:sz w:val="24"/>
          <w:szCs w:val="24"/>
        </w:rPr>
        <w:t xml:space="preserve">that </w:t>
      </w:r>
      <w:r w:rsidR="00DF3FDC" w:rsidRPr="00445A7B">
        <w:rPr>
          <w:rFonts w:ascii="Arial" w:hAnsi="Arial" w:cs="Arial"/>
          <w:sz w:val="24"/>
          <w:szCs w:val="24"/>
        </w:rPr>
        <w:t xml:space="preserve">the circumstances in the present </w:t>
      </w:r>
      <w:r w:rsidR="00C07F5B" w:rsidRPr="00445A7B">
        <w:rPr>
          <w:rFonts w:ascii="Arial" w:hAnsi="Arial" w:cs="Arial"/>
          <w:sz w:val="24"/>
          <w:szCs w:val="24"/>
        </w:rPr>
        <w:t xml:space="preserve">appeal further </w:t>
      </w:r>
      <w:r w:rsidR="00DF3FDC" w:rsidRPr="00445A7B">
        <w:rPr>
          <w:rFonts w:ascii="Arial" w:hAnsi="Arial" w:cs="Arial"/>
          <w:sz w:val="24"/>
          <w:szCs w:val="24"/>
        </w:rPr>
        <w:t xml:space="preserve">weigh negatively against the second appellant as there are no allegations pleaded in </w:t>
      </w:r>
      <w:r w:rsidR="00C07F5B" w:rsidRPr="00445A7B">
        <w:rPr>
          <w:rFonts w:ascii="Arial" w:hAnsi="Arial" w:cs="Arial"/>
          <w:sz w:val="24"/>
          <w:szCs w:val="24"/>
        </w:rPr>
        <w:t xml:space="preserve">respect of the refusal or failure of the first appellant instituting the claim. </w:t>
      </w:r>
      <w:r w:rsidR="00DF3FDC" w:rsidRPr="00445A7B">
        <w:rPr>
          <w:rFonts w:ascii="Arial" w:hAnsi="Arial" w:cs="Arial"/>
          <w:sz w:val="24"/>
          <w:szCs w:val="24"/>
        </w:rPr>
        <w:t xml:space="preserve"> </w:t>
      </w:r>
    </w:p>
    <w:p w:rsidR="00DF3FDC" w:rsidRDefault="00DF3FDC" w:rsidP="00445A7B">
      <w:pPr>
        <w:spacing w:after="0" w:line="480" w:lineRule="auto"/>
        <w:jc w:val="both"/>
        <w:rPr>
          <w:rFonts w:ascii="Arial" w:hAnsi="Arial" w:cs="Arial"/>
          <w:sz w:val="24"/>
          <w:szCs w:val="24"/>
        </w:rPr>
      </w:pPr>
    </w:p>
    <w:p w:rsidR="00DF3FDC" w:rsidRPr="00445A7B" w:rsidRDefault="00984C23" w:rsidP="00445A7B">
      <w:pPr>
        <w:pStyle w:val="ListParagraph"/>
        <w:numPr>
          <w:ilvl w:val="0"/>
          <w:numId w:val="6"/>
        </w:numPr>
        <w:spacing w:after="0" w:line="480" w:lineRule="auto"/>
        <w:ind w:left="0" w:firstLine="0"/>
        <w:jc w:val="both"/>
        <w:rPr>
          <w:rFonts w:ascii="Arial" w:hAnsi="Arial" w:cs="Arial"/>
          <w:sz w:val="24"/>
          <w:szCs w:val="24"/>
        </w:rPr>
      </w:pPr>
      <w:r w:rsidRPr="00445A7B">
        <w:rPr>
          <w:rFonts w:ascii="Arial" w:hAnsi="Arial" w:cs="Arial"/>
          <w:sz w:val="24"/>
          <w:szCs w:val="24"/>
        </w:rPr>
        <w:t>T</w:t>
      </w:r>
      <w:r w:rsidR="009D12F5" w:rsidRPr="00445A7B">
        <w:rPr>
          <w:rFonts w:ascii="Arial" w:hAnsi="Arial" w:cs="Arial"/>
          <w:sz w:val="24"/>
          <w:szCs w:val="24"/>
        </w:rPr>
        <w:t xml:space="preserve">he </w:t>
      </w:r>
      <w:r w:rsidRPr="00445A7B">
        <w:rPr>
          <w:rFonts w:ascii="Arial" w:hAnsi="Arial" w:cs="Arial"/>
          <w:sz w:val="24"/>
          <w:szCs w:val="24"/>
        </w:rPr>
        <w:t xml:space="preserve">most contentious issue in this appeal </w:t>
      </w:r>
      <w:r w:rsidR="00097C55" w:rsidRPr="00445A7B">
        <w:rPr>
          <w:rFonts w:ascii="Arial" w:hAnsi="Arial" w:cs="Arial"/>
          <w:sz w:val="24"/>
          <w:szCs w:val="24"/>
        </w:rPr>
        <w:t xml:space="preserve">appears to be </w:t>
      </w:r>
      <w:r w:rsidRPr="00445A7B">
        <w:rPr>
          <w:rFonts w:ascii="Arial" w:hAnsi="Arial" w:cs="Arial"/>
          <w:sz w:val="24"/>
          <w:szCs w:val="24"/>
        </w:rPr>
        <w:t xml:space="preserve">the question of </w:t>
      </w:r>
      <w:r w:rsidRPr="00445A7B">
        <w:rPr>
          <w:rFonts w:ascii="Arial" w:hAnsi="Arial" w:cs="Arial"/>
          <w:i/>
          <w:sz w:val="24"/>
          <w:szCs w:val="24"/>
        </w:rPr>
        <w:t>locus standi</w:t>
      </w:r>
      <w:r w:rsidRPr="00445A7B">
        <w:rPr>
          <w:rFonts w:ascii="Arial" w:hAnsi="Arial" w:cs="Arial"/>
          <w:sz w:val="24"/>
          <w:szCs w:val="24"/>
        </w:rPr>
        <w:t xml:space="preserve"> on the part of the second appellant.</w:t>
      </w:r>
      <w:r w:rsidR="00AC05A6" w:rsidRPr="00445A7B">
        <w:rPr>
          <w:rFonts w:ascii="Arial" w:hAnsi="Arial" w:cs="Arial"/>
          <w:sz w:val="24"/>
          <w:szCs w:val="24"/>
        </w:rPr>
        <w:t xml:space="preserve"> However, before </w:t>
      </w:r>
      <w:r w:rsidR="00097C55" w:rsidRPr="00445A7B">
        <w:rPr>
          <w:rFonts w:ascii="Arial" w:hAnsi="Arial" w:cs="Arial"/>
          <w:sz w:val="24"/>
          <w:szCs w:val="24"/>
        </w:rPr>
        <w:t>analysing</w:t>
      </w:r>
      <w:r w:rsidR="00AC05A6" w:rsidRPr="00445A7B">
        <w:rPr>
          <w:rFonts w:ascii="Arial" w:hAnsi="Arial" w:cs="Arial"/>
          <w:sz w:val="24"/>
          <w:szCs w:val="24"/>
        </w:rPr>
        <w:t xml:space="preserve"> th</w:t>
      </w:r>
      <w:r w:rsidR="00097C55" w:rsidRPr="00445A7B">
        <w:rPr>
          <w:rFonts w:ascii="Arial" w:hAnsi="Arial" w:cs="Arial"/>
          <w:sz w:val="24"/>
          <w:szCs w:val="24"/>
        </w:rPr>
        <w:t xml:space="preserve">is </w:t>
      </w:r>
      <w:r w:rsidR="00AC05A6" w:rsidRPr="00445A7B">
        <w:rPr>
          <w:rFonts w:ascii="Arial" w:hAnsi="Arial" w:cs="Arial"/>
          <w:sz w:val="24"/>
          <w:szCs w:val="24"/>
        </w:rPr>
        <w:t xml:space="preserve">issue, I </w:t>
      </w:r>
      <w:r w:rsidR="00707BB3" w:rsidRPr="00445A7B">
        <w:rPr>
          <w:rFonts w:ascii="Arial" w:hAnsi="Arial" w:cs="Arial"/>
          <w:sz w:val="24"/>
          <w:szCs w:val="24"/>
        </w:rPr>
        <w:t xml:space="preserve">propose to deal </w:t>
      </w:r>
      <w:r w:rsidR="00AC05A6" w:rsidRPr="00445A7B">
        <w:rPr>
          <w:rFonts w:ascii="Arial" w:hAnsi="Arial" w:cs="Arial"/>
          <w:sz w:val="24"/>
          <w:szCs w:val="24"/>
        </w:rPr>
        <w:t xml:space="preserve">first with </w:t>
      </w:r>
      <w:r w:rsidR="00A76C48" w:rsidRPr="00445A7B">
        <w:rPr>
          <w:rFonts w:ascii="Arial" w:hAnsi="Arial" w:cs="Arial"/>
          <w:sz w:val="24"/>
          <w:szCs w:val="24"/>
        </w:rPr>
        <w:t xml:space="preserve">the submission of </w:t>
      </w:r>
      <w:r w:rsidR="00AC05A6" w:rsidRPr="00445A7B">
        <w:rPr>
          <w:rFonts w:ascii="Arial" w:hAnsi="Arial" w:cs="Arial"/>
          <w:sz w:val="24"/>
          <w:szCs w:val="24"/>
        </w:rPr>
        <w:t>counsel</w:t>
      </w:r>
      <w:r w:rsidR="00A76C48" w:rsidRPr="00445A7B">
        <w:rPr>
          <w:rFonts w:ascii="Arial" w:hAnsi="Arial" w:cs="Arial"/>
          <w:sz w:val="24"/>
          <w:szCs w:val="24"/>
        </w:rPr>
        <w:t xml:space="preserve"> for the appellant</w:t>
      </w:r>
      <w:r w:rsidR="00AC05A6" w:rsidRPr="00445A7B">
        <w:rPr>
          <w:rFonts w:ascii="Arial" w:hAnsi="Arial" w:cs="Arial"/>
          <w:sz w:val="24"/>
          <w:szCs w:val="24"/>
        </w:rPr>
        <w:t xml:space="preserve">s that the </w:t>
      </w:r>
      <w:r w:rsidR="00D73AC9" w:rsidRPr="00445A7B">
        <w:rPr>
          <w:rFonts w:ascii="Arial" w:hAnsi="Arial" w:cs="Arial"/>
          <w:sz w:val="24"/>
          <w:szCs w:val="24"/>
        </w:rPr>
        <w:t>exception was erroneously framed in a form of a</w:t>
      </w:r>
      <w:r w:rsidR="00315147" w:rsidRPr="00445A7B">
        <w:rPr>
          <w:rFonts w:ascii="Arial" w:hAnsi="Arial" w:cs="Arial"/>
          <w:sz w:val="24"/>
          <w:szCs w:val="24"/>
        </w:rPr>
        <w:t>n</w:t>
      </w:r>
      <w:r w:rsidR="00D73AC9" w:rsidRPr="00445A7B">
        <w:rPr>
          <w:rFonts w:ascii="Arial" w:hAnsi="Arial" w:cs="Arial"/>
          <w:sz w:val="24"/>
          <w:szCs w:val="24"/>
        </w:rPr>
        <w:t xml:space="preserve"> </w:t>
      </w:r>
      <w:r w:rsidR="00315147" w:rsidRPr="00445A7B">
        <w:rPr>
          <w:rFonts w:ascii="Arial" w:hAnsi="Arial" w:cs="Arial"/>
          <w:sz w:val="24"/>
          <w:szCs w:val="24"/>
        </w:rPr>
        <w:t>exception</w:t>
      </w:r>
      <w:r w:rsidR="00D73AC9" w:rsidRPr="00445A7B">
        <w:rPr>
          <w:rFonts w:ascii="Arial" w:hAnsi="Arial" w:cs="Arial"/>
          <w:sz w:val="24"/>
          <w:szCs w:val="24"/>
        </w:rPr>
        <w:t xml:space="preserve"> and secondly with the question of whether the </w:t>
      </w:r>
      <w:r w:rsidR="00AC05A6" w:rsidRPr="00445A7B">
        <w:rPr>
          <w:rFonts w:ascii="Arial" w:hAnsi="Arial" w:cs="Arial"/>
          <w:sz w:val="24"/>
          <w:szCs w:val="24"/>
        </w:rPr>
        <w:t xml:space="preserve">court </w:t>
      </w:r>
      <w:r w:rsidR="00AC05A6" w:rsidRPr="003E169C">
        <w:rPr>
          <w:rFonts w:ascii="Arial" w:hAnsi="Arial" w:cs="Arial"/>
          <w:i/>
          <w:sz w:val="24"/>
          <w:szCs w:val="24"/>
        </w:rPr>
        <w:t xml:space="preserve">a </w:t>
      </w:r>
      <w:r w:rsidR="00AC05A6" w:rsidRPr="00445A7B">
        <w:rPr>
          <w:rFonts w:ascii="Arial" w:hAnsi="Arial" w:cs="Arial"/>
          <w:i/>
          <w:sz w:val="24"/>
          <w:szCs w:val="24"/>
        </w:rPr>
        <w:t>quo</w:t>
      </w:r>
      <w:r w:rsidR="00AC05A6" w:rsidRPr="00445A7B">
        <w:rPr>
          <w:rFonts w:ascii="Arial" w:hAnsi="Arial" w:cs="Arial"/>
          <w:sz w:val="24"/>
          <w:szCs w:val="24"/>
        </w:rPr>
        <w:t xml:space="preserve"> answered the wrong questio</w:t>
      </w:r>
      <w:r w:rsidR="00D73AC9" w:rsidRPr="00445A7B">
        <w:rPr>
          <w:rFonts w:ascii="Arial" w:hAnsi="Arial" w:cs="Arial"/>
          <w:sz w:val="24"/>
          <w:szCs w:val="24"/>
        </w:rPr>
        <w:t xml:space="preserve">n of </w:t>
      </w:r>
      <w:r w:rsidR="00707BB3" w:rsidRPr="00445A7B">
        <w:rPr>
          <w:rFonts w:ascii="Arial" w:hAnsi="Arial" w:cs="Arial"/>
          <w:sz w:val="24"/>
          <w:szCs w:val="24"/>
        </w:rPr>
        <w:t xml:space="preserve">a </w:t>
      </w:r>
      <w:r w:rsidR="00D73AC9" w:rsidRPr="00445A7B">
        <w:rPr>
          <w:rFonts w:ascii="Arial" w:hAnsi="Arial" w:cs="Arial"/>
          <w:sz w:val="24"/>
          <w:szCs w:val="24"/>
        </w:rPr>
        <w:t>lone plaintiff.</w:t>
      </w:r>
    </w:p>
    <w:p w:rsidR="00DF3FDC" w:rsidRDefault="00DF3FDC" w:rsidP="00445A7B">
      <w:pPr>
        <w:spacing w:after="0" w:line="480" w:lineRule="auto"/>
        <w:jc w:val="both"/>
        <w:rPr>
          <w:rFonts w:ascii="Arial" w:hAnsi="Arial" w:cs="Arial"/>
          <w:sz w:val="24"/>
          <w:szCs w:val="24"/>
        </w:rPr>
      </w:pPr>
    </w:p>
    <w:p w:rsidR="00D73AC9" w:rsidRPr="00445A7B" w:rsidRDefault="00AC05A6" w:rsidP="00445A7B">
      <w:pPr>
        <w:pStyle w:val="ListParagraph"/>
        <w:numPr>
          <w:ilvl w:val="0"/>
          <w:numId w:val="6"/>
        </w:numPr>
        <w:spacing w:after="0" w:line="480" w:lineRule="auto"/>
        <w:ind w:left="0" w:firstLine="0"/>
        <w:jc w:val="both"/>
        <w:rPr>
          <w:rFonts w:ascii="Arial" w:hAnsi="Arial" w:cs="Arial"/>
          <w:sz w:val="24"/>
          <w:szCs w:val="24"/>
        </w:rPr>
      </w:pPr>
      <w:r w:rsidRPr="00445A7B">
        <w:rPr>
          <w:rFonts w:ascii="Arial" w:hAnsi="Arial" w:cs="Arial"/>
          <w:sz w:val="24"/>
          <w:szCs w:val="24"/>
        </w:rPr>
        <w:t xml:space="preserve">Our law </w:t>
      </w:r>
      <w:r w:rsidR="00D9606B" w:rsidRPr="00445A7B">
        <w:rPr>
          <w:rFonts w:ascii="Arial" w:hAnsi="Arial" w:cs="Arial"/>
          <w:sz w:val="24"/>
          <w:szCs w:val="24"/>
        </w:rPr>
        <w:t>recognis</w:t>
      </w:r>
      <w:r w:rsidRPr="00445A7B">
        <w:rPr>
          <w:rFonts w:ascii="Arial" w:hAnsi="Arial" w:cs="Arial"/>
          <w:sz w:val="24"/>
          <w:szCs w:val="24"/>
        </w:rPr>
        <w:t xml:space="preserve">es several grounds which a party may rely on when taking an </w:t>
      </w:r>
      <w:r w:rsidR="00D9606B" w:rsidRPr="00445A7B">
        <w:rPr>
          <w:rFonts w:ascii="Arial" w:hAnsi="Arial" w:cs="Arial"/>
          <w:sz w:val="24"/>
          <w:szCs w:val="24"/>
        </w:rPr>
        <w:t>exception</w:t>
      </w:r>
      <w:r w:rsidRPr="00445A7B">
        <w:rPr>
          <w:rFonts w:ascii="Arial" w:hAnsi="Arial" w:cs="Arial"/>
          <w:sz w:val="24"/>
          <w:szCs w:val="24"/>
        </w:rPr>
        <w:t>. These ground</w:t>
      </w:r>
      <w:r w:rsidR="00315147" w:rsidRPr="00445A7B">
        <w:rPr>
          <w:rFonts w:ascii="Arial" w:hAnsi="Arial" w:cs="Arial"/>
          <w:sz w:val="24"/>
          <w:szCs w:val="24"/>
        </w:rPr>
        <w:t>s</w:t>
      </w:r>
      <w:r w:rsidRPr="00445A7B">
        <w:rPr>
          <w:rFonts w:ascii="Arial" w:hAnsi="Arial" w:cs="Arial"/>
          <w:sz w:val="24"/>
          <w:szCs w:val="24"/>
        </w:rPr>
        <w:t xml:space="preserve"> may be technical in nature where they go </w:t>
      </w:r>
      <w:r w:rsidR="00D9606B" w:rsidRPr="00445A7B">
        <w:rPr>
          <w:rFonts w:ascii="Arial" w:hAnsi="Arial" w:cs="Arial"/>
          <w:sz w:val="24"/>
          <w:szCs w:val="24"/>
        </w:rPr>
        <w:t>beyond</w:t>
      </w:r>
      <w:r w:rsidRPr="00445A7B">
        <w:rPr>
          <w:rFonts w:ascii="Arial" w:hAnsi="Arial" w:cs="Arial"/>
          <w:sz w:val="24"/>
          <w:szCs w:val="24"/>
        </w:rPr>
        <w:t xml:space="preserve"> what is in the pleadings. </w:t>
      </w:r>
      <w:r w:rsidR="00D73AC9" w:rsidRPr="00445A7B">
        <w:rPr>
          <w:rFonts w:ascii="Arial" w:hAnsi="Arial" w:cs="Arial"/>
          <w:sz w:val="24"/>
          <w:szCs w:val="24"/>
        </w:rPr>
        <w:t>An</w:t>
      </w:r>
      <w:r w:rsidR="00D9606B" w:rsidRPr="00445A7B">
        <w:rPr>
          <w:rFonts w:ascii="Arial" w:hAnsi="Arial" w:cs="Arial"/>
          <w:sz w:val="24"/>
          <w:szCs w:val="24"/>
        </w:rPr>
        <w:t xml:space="preserve"> exception may aim </w:t>
      </w:r>
      <w:r w:rsidR="009904B7" w:rsidRPr="00445A7B">
        <w:rPr>
          <w:rFonts w:ascii="Arial" w:hAnsi="Arial" w:cs="Arial"/>
          <w:sz w:val="24"/>
          <w:szCs w:val="24"/>
        </w:rPr>
        <w:t>a</w:t>
      </w:r>
      <w:r w:rsidR="00D9606B" w:rsidRPr="00445A7B">
        <w:rPr>
          <w:rFonts w:ascii="Arial" w:hAnsi="Arial" w:cs="Arial"/>
          <w:sz w:val="24"/>
          <w:szCs w:val="24"/>
        </w:rPr>
        <w:t>t</w:t>
      </w:r>
      <w:r w:rsidR="009904B7" w:rsidRPr="00445A7B">
        <w:rPr>
          <w:rFonts w:ascii="Arial" w:hAnsi="Arial" w:cs="Arial"/>
          <w:sz w:val="24"/>
          <w:szCs w:val="24"/>
        </w:rPr>
        <w:t xml:space="preserve"> </w:t>
      </w:r>
      <w:r w:rsidR="00D9606B" w:rsidRPr="00445A7B">
        <w:rPr>
          <w:rFonts w:ascii="Arial" w:hAnsi="Arial" w:cs="Arial"/>
          <w:sz w:val="24"/>
          <w:szCs w:val="24"/>
        </w:rPr>
        <w:t>dispos</w:t>
      </w:r>
      <w:r w:rsidR="009904B7" w:rsidRPr="00445A7B">
        <w:rPr>
          <w:rFonts w:ascii="Arial" w:hAnsi="Arial" w:cs="Arial"/>
          <w:sz w:val="24"/>
          <w:szCs w:val="24"/>
        </w:rPr>
        <w:t>ing</w:t>
      </w:r>
      <w:r w:rsidR="00D9606B" w:rsidRPr="00445A7B">
        <w:rPr>
          <w:rFonts w:ascii="Arial" w:hAnsi="Arial" w:cs="Arial"/>
          <w:sz w:val="24"/>
          <w:szCs w:val="24"/>
        </w:rPr>
        <w:t xml:space="preserve"> of the matter in its entirety or</w:t>
      </w:r>
      <w:r w:rsidR="009904B7" w:rsidRPr="00445A7B">
        <w:rPr>
          <w:rFonts w:ascii="Arial" w:hAnsi="Arial" w:cs="Arial"/>
          <w:sz w:val="24"/>
          <w:szCs w:val="24"/>
        </w:rPr>
        <w:t xml:space="preserve">, in effect, </w:t>
      </w:r>
      <w:r w:rsidR="00D9606B" w:rsidRPr="00445A7B">
        <w:rPr>
          <w:rFonts w:ascii="Arial" w:hAnsi="Arial" w:cs="Arial"/>
          <w:sz w:val="24"/>
          <w:szCs w:val="24"/>
        </w:rPr>
        <w:t>delay</w:t>
      </w:r>
      <w:r w:rsidR="009904B7" w:rsidRPr="00445A7B">
        <w:rPr>
          <w:rFonts w:ascii="Arial" w:hAnsi="Arial" w:cs="Arial"/>
          <w:sz w:val="24"/>
          <w:szCs w:val="24"/>
        </w:rPr>
        <w:t>ing its disposal</w:t>
      </w:r>
      <w:r w:rsidR="00D9606B" w:rsidRPr="00445A7B">
        <w:rPr>
          <w:rFonts w:ascii="Arial" w:hAnsi="Arial" w:cs="Arial"/>
          <w:sz w:val="24"/>
          <w:szCs w:val="24"/>
        </w:rPr>
        <w:t>. T</w:t>
      </w:r>
      <w:r w:rsidR="00D73AC9" w:rsidRPr="00445A7B">
        <w:rPr>
          <w:rFonts w:ascii="Arial" w:hAnsi="Arial" w:cs="Arial"/>
          <w:sz w:val="24"/>
          <w:szCs w:val="24"/>
        </w:rPr>
        <w:t>he first respondent</w:t>
      </w:r>
      <w:r w:rsidR="002E3931" w:rsidRPr="00445A7B">
        <w:rPr>
          <w:rFonts w:ascii="Arial" w:hAnsi="Arial" w:cs="Arial"/>
          <w:sz w:val="24"/>
          <w:szCs w:val="24"/>
        </w:rPr>
        <w:t xml:space="preserve"> filed an exception and a</w:t>
      </w:r>
      <w:r w:rsidR="009633C9" w:rsidRPr="00445A7B">
        <w:rPr>
          <w:rFonts w:ascii="Arial" w:hAnsi="Arial" w:cs="Arial"/>
          <w:sz w:val="24"/>
          <w:szCs w:val="24"/>
        </w:rPr>
        <w:t xml:space="preserve">dvanced </w:t>
      </w:r>
      <w:r w:rsidR="002E3931" w:rsidRPr="00445A7B">
        <w:rPr>
          <w:rFonts w:ascii="Arial" w:hAnsi="Arial" w:cs="Arial"/>
          <w:sz w:val="24"/>
          <w:szCs w:val="24"/>
        </w:rPr>
        <w:t>several grounds in support of the exception. In para 3 of the exc</w:t>
      </w:r>
      <w:r w:rsidR="00D73AC9" w:rsidRPr="00445A7B">
        <w:rPr>
          <w:rFonts w:ascii="Arial" w:hAnsi="Arial" w:cs="Arial"/>
          <w:sz w:val="24"/>
          <w:szCs w:val="24"/>
        </w:rPr>
        <w:t xml:space="preserve">eption, the </w:t>
      </w:r>
      <w:r w:rsidR="009633C9" w:rsidRPr="00445A7B">
        <w:rPr>
          <w:rFonts w:ascii="Arial" w:hAnsi="Arial" w:cs="Arial"/>
          <w:sz w:val="24"/>
          <w:szCs w:val="24"/>
        </w:rPr>
        <w:t xml:space="preserve">standing of the </w:t>
      </w:r>
      <w:r w:rsidR="002E3931" w:rsidRPr="00445A7B">
        <w:rPr>
          <w:rFonts w:ascii="Arial" w:hAnsi="Arial" w:cs="Arial"/>
          <w:sz w:val="24"/>
          <w:szCs w:val="24"/>
        </w:rPr>
        <w:t>second appellant</w:t>
      </w:r>
      <w:r w:rsidR="00D73AC9" w:rsidRPr="00445A7B">
        <w:rPr>
          <w:rFonts w:ascii="Arial" w:hAnsi="Arial" w:cs="Arial"/>
          <w:sz w:val="24"/>
          <w:szCs w:val="24"/>
        </w:rPr>
        <w:t xml:space="preserve"> </w:t>
      </w:r>
      <w:r w:rsidR="009633C9" w:rsidRPr="00445A7B">
        <w:rPr>
          <w:rFonts w:ascii="Arial" w:hAnsi="Arial" w:cs="Arial"/>
          <w:sz w:val="24"/>
          <w:szCs w:val="24"/>
        </w:rPr>
        <w:t xml:space="preserve">to pursue the action </w:t>
      </w:r>
      <w:r w:rsidR="009904B7" w:rsidRPr="00445A7B">
        <w:rPr>
          <w:rFonts w:ascii="Arial" w:hAnsi="Arial" w:cs="Arial"/>
          <w:sz w:val="24"/>
          <w:szCs w:val="24"/>
        </w:rPr>
        <w:t>wa</w:t>
      </w:r>
      <w:r w:rsidR="00D73AC9" w:rsidRPr="00445A7B">
        <w:rPr>
          <w:rFonts w:ascii="Arial" w:hAnsi="Arial" w:cs="Arial"/>
          <w:sz w:val="24"/>
          <w:szCs w:val="24"/>
        </w:rPr>
        <w:t>s challenged</w:t>
      </w:r>
      <w:r w:rsidR="002E3931" w:rsidRPr="00445A7B">
        <w:rPr>
          <w:rFonts w:ascii="Arial" w:hAnsi="Arial" w:cs="Arial"/>
          <w:sz w:val="24"/>
          <w:szCs w:val="24"/>
        </w:rPr>
        <w:t>.</w:t>
      </w:r>
      <w:r w:rsidR="00D73AC9" w:rsidRPr="00445A7B">
        <w:rPr>
          <w:rFonts w:ascii="Arial" w:hAnsi="Arial" w:cs="Arial"/>
          <w:sz w:val="24"/>
          <w:szCs w:val="24"/>
        </w:rPr>
        <w:t xml:space="preserve"> In my </w:t>
      </w:r>
      <w:r w:rsidR="00F745A2" w:rsidRPr="00445A7B">
        <w:rPr>
          <w:rFonts w:ascii="Arial" w:hAnsi="Arial" w:cs="Arial"/>
          <w:sz w:val="24"/>
          <w:szCs w:val="24"/>
        </w:rPr>
        <w:t xml:space="preserve">considered </w:t>
      </w:r>
      <w:r w:rsidR="00D73AC9" w:rsidRPr="00445A7B">
        <w:rPr>
          <w:rFonts w:ascii="Arial" w:hAnsi="Arial" w:cs="Arial"/>
          <w:sz w:val="24"/>
          <w:szCs w:val="24"/>
        </w:rPr>
        <w:t>view, the attack is a</w:t>
      </w:r>
      <w:r w:rsidR="009633C9" w:rsidRPr="00445A7B">
        <w:rPr>
          <w:rFonts w:ascii="Arial" w:hAnsi="Arial" w:cs="Arial"/>
          <w:sz w:val="24"/>
          <w:szCs w:val="24"/>
        </w:rPr>
        <w:t xml:space="preserve">n expansion </w:t>
      </w:r>
      <w:r w:rsidR="00F745A2" w:rsidRPr="00445A7B">
        <w:rPr>
          <w:rFonts w:ascii="Arial" w:hAnsi="Arial" w:cs="Arial"/>
          <w:sz w:val="24"/>
          <w:szCs w:val="24"/>
        </w:rPr>
        <w:t xml:space="preserve">of the </w:t>
      </w:r>
      <w:r w:rsidR="009633C9" w:rsidRPr="00445A7B">
        <w:rPr>
          <w:rFonts w:ascii="Arial" w:hAnsi="Arial" w:cs="Arial"/>
          <w:sz w:val="24"/>
          <w:szCs w:val="24"/>
        </w:rPr>
        <w:t xml:space="preserve">contention </w:t>
      </w:r>
      <w:r w:rsidR="00D73AC9" w:rsidRPr="00445A7B">
        <w:rPr>
          <w:rFonts w:ascii="Arial" w:hAnsi="Arial" w:cs="Arial"/>
          <w:sz w:val="24"/>
          <w:szCs w:val="24"/>
        </w:rPr>
        <w:t>that the second appellant ha</w:t>
      </w:r>
      <w:r w:rsidR="009904B7" w:rsidRPr="00445A7B">
        <w:rPr>
          <w:rFonts w:ascii="Arial" w:hAnsi="Arial" w:cs="Arial"/>
          <w:sz w:val="24"/>
          <w:szCs w:val="24"/>
        </w:rPr>
        <w:t>d</w:t>
      </w:r>
      <w:r w:rsidR="00D73AC9" w:rsidRPr="00445A7B">
        <w:rPr>
          <w:rFonts w:ascii="Arial" w:hAnsi="Arial" w:cs="Arial"/>
          <w:sz w:val="24"/>
          <w:szCs w:val="24"/>
        </w:rPr>
        <w:t xml:space="preserve"> </w:t>
      </w:r>
      <w:r w:rsidR="005C1A26" w:rsidRPr="00445A7B">
        <w:rPr>
          <w:rFonts w:ascii="Arial" w:hAnsi="Arial" w:cs="Arial"/>
          <w:sz w:val="24"/>
          <w:szCs w:val="24"/>
        </w:rPr>
        <w:t>a vested</w:t>
      </w:r>
      <w:r w:rsidR="009904B7" w:rsidRPr="00445A7B">
        <w:rPr>
          <w:rFonts w:ascii="Arial" w:hAnsi="Arial" w:cs="Arial"/>
          <w:sz w:val="24"/>
          <w:szCs w:val="24"/>
        </w:rPr>
        <w:t xml:space="preserve"> r</w:t>
      </w:r>
      <w:r w:rsidR="00D73AC9" w:rsidRPr="00445A7B">
        <w:rPr>
          <w:rFonts w:ascii="Arial" w:hAnsi="Arial" w:cs="Arial"/>
          <w:sz w:val="24"/>
          <w:szCs w:val="24"/>
        </w:rPr>
        <w:t xml:space="preserve">ight </w:t>
      </w:r>
      <w:r w:rsidR="00D73AC9" w:rsidRPr="00445A7B">
        <w:rPr>
          <w:rFonts w:ascii="Arial" w:hAnsi="Arial" w:cs="Arial"/>
          <w:sz w:val="24"/>
          <w:szCs w:val="24"/>
        </w:rPr>
        <w:lastRenderedPageBreak/>
        <w:t xml:space="preserve">against the executrix and </w:t>
      </w:r>
      <w:r w:rsidR="00274DC2" w:rsidRPr="00445A7B">
        <w:rPr>
          <w:rFonts w:ascii="Arial" w:hAnsi="Arial" w:cs="Arial"/>
          <w:sz w:val="24"/>
          <w:szCs w:val="24"/>
        </w:rPr>
        <w:t xml:space="preserve">that such right </w:t>
      </w:r>
      <w:r w:rsidR="009904B7" w:rsidRPr="00445A7B">
        <w:rPr>
          <w:rFonts w:ascii="Arial" w:hAnsi="Arial" w:cs="Arial"/>
          <w:sz w:val="24"/>
          <w:szCs w:val="24"/>
        </w:rPr>
        <w:t xml:space="preserve">could </w:t>
      </w:r>
      <w:r w:rsidR="00274DC2" w:rsidRPr="00445A7B">
        <w:rPr>
          <w:rFonts w:ascii="Arial" w:hAnsi="Arial" w:cs="Arial"/>
          <w:sz w:val="24"/>
          <w:szCs w:val="24"/>
        </w:rPr>
        <w:t xml:space="preserve">only </w:t>
      </w:r>
      <w:r w:rsidR="009904B7" w:rsidRPr="00445A7B">
        <w:rPr>
          <w:rFonts w:ascii="Arial" w:hAnsi="Arial" w:cs="Arial"/>
          <w:sz w:val="24"/>
          <w:szCs w:val="24"/>
        </w:rPr>
        <w:t xml:space="preserve">be </w:t>
      </w:r>
      <w:r w:rsidR="00274DC2" w:rsidRPr="00445A7B">
        <w:rPr>
          <w:rFonts w:ascii="Arial" w:hAnsi="Arial" w:cs="Arial"/>
          <w:sz w:val="24"/>
          <w:szCs w:val="24"/>
        </w:rPr>
        <w:t xml:space="preserve">enforced upon </w:t>
      </w:r>
      <w:r w:rsidR="00097C55" w:rsidRPr="00445A7B">
        <w:rPr>
          <w:rFonts w:ascii="Arial" w:hAnsi="Arial" w:cs="Arial"/>
          <w:sz w:val="24"/>
          <w:szCs w:val="24"/>
        </w:rPr>
        <w:t xml:space="preserve">the </w:t>
      </w:r>
      <w:r w:rsidR="00274DC2" w:rsidRPr="00445A7B">
        <w:rPr>
          <w:rFonts w:ascii="Arial" w:hAnsi="Arial" w:cs="Arial"/>
          <w:sz w:val="24"/>
          <w:szCs w:val="24"/>
        </w:rPr>
        <w:t>finali</w:t>
      </w:r>
      <w:r w:rsidR="009633C9" w:rsidRPr="00445A7B">
        <w:rPr>
          <w:rFonts w:ascii="Arial" w:hAnsi="Arial" w:cs="Arial"/>
          <w:sz w:val="24"/>
          <w:szCs w:val="24"/>
        </w:rPr>
        <w:t>s</w:t>
      </w:r>
      <w:r w:rsidR="00274DC2" w:rsidRPr="00445A7B">
        <w:rPr>
          <w:rFonts w:ascii="Arial" w:hAnsi="Arial" w:cs="Arial"/>
          <w:sz w:val="24"/>
          <w:szCs w:val="24"/>
        </w:rPr>
        <w:t>ation of the liquidation and distribution account.</w:t>
      </w:r>
      <w:r w:rsidR="002E3931" w:rsidRPr="00445A7B">
        <w:rPr>
          <w:rFonts w:ascii="Arial" w:hAnsi="Arial" w:cs="Arial"/>
          <w:sz w:val="24"/>
          <w:szCs w:val="24"/>
        </w:rPr>
        <w:t xml:space="preserve"> </w:t>
      </w:r>
    </w:p>
    <w:p w:rsidR="005C1A26" w:rsidRDefault="005C1A26" w:rsidP="00445A7B">
      <w:pPr>
        <w:spacing w:after="0" w:line="480" w:lineRule="auto"/>
        <w:jc w:val="both"/>
        <w:rPr>
          <w:rFonts w:ascii="Arial" w:hAnsi="Arial" w:cs="Arial"/>
          <w:sz w:val="24"/>
          <w:szCs w:val="24"/>
        </w:rPr>
      </w:pPr>
    </w:p>
    <w:p w:rsidR="00DF3FDC" w:rsidRPr="00445A7B" w:rsidRDefault="002E3931" w:rsidP="00445A7B">
      <w:pPr>
        <w:pStyle w:val="ListParagraph"/>
        <w:numPr>
          <w:ilvl w:val="0"/>
          <w:numId w:val="6"/>
        </w:numPr>
        <w:spacing w:after="0" w:line="480" w:lineRule="auto"/>
        <w:ind w:left="0" w:firstLine="0"/>
        <w:jc w:val="both"/>
        <w:rPr>
          <w:rFonts w:ascii="Arial" w:hAnsi="Arial" w:cs="Arial"/>
          <w:sz w:val="24"/>
          <w:szCs w:val="24"/>
        </w:rPr>
      </w:pPr>
      <w:r w:rsidRPr="00445A7B">
        <w:rPr>
          <w:rFonts w:ascii="Arial" w:hAnsi="Arial" w:cs="Arial"/>
          <w:sz w:val="24"/>
          <w:szCs w:val="24"/>
        </w:rPr>
        <w:t xml:space="preserve">The </w:t>
      </w:r>
      <w:r w:rsidR="00274DC2" w:rsidRPr="00445A7B">
        <w:rPr>
          <w:rFonts w:ascii="Arial" w:hAnsi="Arial" w:cs="Arial"/>
          <w:sz w:val="24"/>
          <w:szCs w:val="24"/>
        </w:rPr>
        <w:t>first respondent had an option to file</w:t>
      </w:r>
      <w:r w:rsidRPr="00445A7B">
        <w:rPr>
          <w:rFonts w:ascii="Arial" w:hAnsi="Arial" w:cs="Arial"/>
          <w:sz w:val="24"/>
          <w:szCs w:val="24"/>
        </w:rPr>
        <w:t xml:space="preserve"> a special plea to attack the particulars of claim on </w:t>
      </w:r>
      <w:r w:rsidRPr="00445A7B">
        <w:rPr>
          <w:rFonts w:ascii="Arial" w:hAnsi="Arial" w:cs="Arial"/>
          <w:i/>
          <w:sz w:val="24"/>
          <w:szCs w:val="24"/>
        </w:rPr>
        <w:t>locus standi</w:t>
      </w:r>
      <w:r w:rsidRPr="00445A7B">
        <w:rPr>
          <w:rFonts w:ascii="Arial" w:hAnsi="Arial" w:cs="Arial"/>
          <w:sz w:val="24"/>
          <w:szCs w:val="24"/>
        </w:rPr>
        <w:t xml:space="preserve"> but elected to only </w:t>
      </w:r>
      <w:r w:rsidR="00097C55" w:rsidRPr="00445A7B">
        <w:rPr>
          <w:rFonts w:ascii="Arial" w:hAnsi="Arial" w:cs="Arial"/>
          <w:sz w:val="24"/>
          <w:szCs w:val="24"/>
        </w:rPr>
        <w:t>raise</w:t>
      </w:r>
      <w:r w:rsidRPr="00445A7B">
        <w:rPr>
          <w:rFonts w:ascii="Arial" w:hAnsi="Arial" w:cs="Arial"/>
          <w:sz w:val="24"/>
          <w:szCs w:val="24"/>
        </w:rPr>
        <w:t xml:space="preserve"> an exception. </w:t>
      </w:r>
      <w:r w:rsidR="00274DC2" w:rsidRPr="00445A7B">
        <w:rPr>
          <w:rFonts w:ascii="Arial" w:hAnsi="Arial" w:cs="Arial"/>
          <w:sz w:val="24"/>
          <w:szCs w:val="24"/>
        </w:rPr>
        <w:t xml:space="preserve">It seems to me that </w:t>
      </w:r>
      <w:r w:rsidRPr="00445A7B">
        <w:rPr>
          <w:rFonts w:ascii="Arial" w:hAnsi="Arial" w:cs="Arial"/>
          <w:sz w:val="24"/>
          <w:szCs w:val="24"/>
        </w:rPr>
        <w:t>the grounds for the exception</w:t>
      </w:r>
      <w:r w:rsidR="00756E04" w:rsidRPr="00445A7B">
        <w:rPr>
          <w:rFonts w:ascii="Arial" w:hAnsi="Arial" w:cs="Arial"/>
          <w:sz w:val="24"/>
          <w:szCs w:val="24"/>
        </w:rPr>
        <w:t xml:space="preserve"> in this case </w:t>
      </w:r>
      <w:r w:rsidRPr="00445A7B">
        <w:rPr>
          <w:rFonts w:ascii="Arial" w:hAnsi="Arial" w:cs="Arial"/>
          <w:sz w:val="24"/>
          <w:szCs w:val="24"/>
        </w:rPr>
        <w:t>are intertw</w:t>
      </w:r>
      <w:r w:rsidR="00756E04" w:rsidRPr="00445A7B">
        <w:rPr>
          <w:rFonts w:ascii="Arial" w:hAnsi="Arial" w:cs="Arial"/>
          <w:sz w:val="24"/>
          <w:szCs w:val="24"/>
        </w:rPr>
        <w:t xml:space="preserve">ined and </w:t>
      </w:r>
      <w:r w:rsidR="00274DC2" w:rsidRPr="00445A7B">
        <w:rPr>
          <w:rFonts w:ascii="Arial" w:hAnsi="Arial" w:cs="Arial"/>
          <w:sz w:val="24"/>
          <w:szCs w:val="24"/>
        </w:rPr>
        <w:t xml:space="preserve">it was a matter of convenience to raise </w:t>
      </w:r>
      <w:r w:rsidR="00274DC2" w:rsidRPr="00445A7B">
        <w:rPr>
          <w:rFonts w:ascii="Arial" w:hAnsi="Arial" w:cs="Arial"/>
          <w:i/>
          <w:sz w:val="24"/>
          <w:szCs w:val="24"/>
        </w:rPr>
        <w:t>locus standi</w:t>
      </w:r>
      <w:r w:rsidR="00274DC2" w:rsidRPr="00445A7B">
        <w:rPr>
          <w:rFonts w:ascii="Arial" w:hAnsi="Arial" w:cs="Arial"/>
          <w:sz w:val="24"/>
          <w:szCs w:val="24"/>
        </w:rPr>
        <w:t xml:space="preserve"> in the exception without having to prepare a special plea</w:t>
      </w:r>
      <w:r w:rsidR="00756E04" w:rsidRPr="00445A7B">
        <w:rPr>
          <w:rFonts w:ascii="Arial" w:hAnsi="Arial" w:cs="Arial"/>
          <w:sz w:val="24"/>
          <w:szCs w:val="24"/>
        </w:rPr>
        <w:t xml:space="preserve">. </w:t>
      </w:r>
    </w:p>
    <w:p w:rsidR="00AC05A6" w:rsidRDefault="00AC05A6" w:rsidP="00445A7B">
      <w:pPr>
        <w:spacing w:after="0" w:line="480" w:lineRule="auto"/>
        <w:jc w:val="both"/>
        <w:rPr>
          <w:rFonts w:ascii="Arial" w:hAnsi="Arial" w:cs="Arial"/>
          <w:sz w:val="24"/>
          <w:szCs w:val="24"/>
        </w:rPr>
      </w:pPr>
    </w:p>
    <w:p w:rsidR="00DF3FDC" w:rsidRPr="00445A7B" w:rsidRDefault="00274DC2" w:rsidP="00445A7B">
      <w:pPr>
        <w:pStyle w:val="ListParagraph"/>
        <w:numPr>
          <w:ilvl w:val="0"/>
          <w:numId w:val="6"/>
        </w:numPr>
        <w:spacing w:after="0" w:line="480" w:lineRule="auto"/>
        <w:ind w:left="0" w:firstLine="0"/>
        <w:jc w:val="both"/>
        <w:rPr>
          <w:rFonts w:ascii="Arial" w:hAnsi="Arial" w:cs="Arial"/>
          <w:sz w:val="24"/>
          <w:szCs w:val="24"/>
        </w:rPr>
      </w:pPr>
      <w:r w:rsidRPr="00445A7B">
        <w:rPr>
          <w:rFonts w:ascii="Arial" w:hAnsi="Arial" w:cs="Arial"/>
          <w:sz w:val="24"/>
          <w:szCs w:val="24"/>
        </w:rPr>
        <w:t xml:space="preserve">Counsel submitted that the court </w:t>
      </w:r>
      <w:r w:rsidRPr="00445A7B">
        <w:rPr>
          <w:rFonts w:ascii="Arial" w:hAnsi="Arial" w:cs="Arial"/>
          <w:i/>
          <w:sz w:val="24"/>
          <w:szCs w:val="24"/>
        </w:rPr>
        <w:t>a quo</w:t>
      </w:r>
      <w:r w:rsidRPr="00445A7B">
        <w:rPr>
          <w:rFonts w:ascii="Arial" w:hAnsi="Arial" w:cs="Arial"/>
          <w:sz w:val="24"/>
          <w:szCs w:val="24"/>
        </w:rPr>
        <w:t xml:space="preserve"> erred in that it answered the wrong question of </w:t>
      </w:r>
      <w:r w:rsidRPr="00445A7B">
        <w:rPr>
          <w:rFonts w:ascii="Arial" w:hAnsi="Arial" w:cs="Arial"/>
          <w:i/>
          <w:sz w:val="24"/>
          <w:szCs w:val="24"/>
        </w:rPr>
        <w:t>locus standi</w:t>
      </w:r>
      <w:r w:rsidRPr="00445A7B">
        <w:rPr>
          <w:rFonts w:ascii="Arial" w:hAnsi="Arial" w:cs="Arial"/>
          <w:sz w:val="24"/>
          <w:szCs w:val="24"/>
        </w:rPr>
        <w:t xml:space="preserve"> of </w:t>
      </w:r>
      <w:r w:rsidR="00290A7A" w:rsidRPr="00445A7B">
        <w:rPr>
          <w:rFonts w:ascii="Arial" w:hAnsi="Arial" w:cs="Arial"/>
          <w:sz w:val="24"/>
          <w:szCs w:val="24"/>
        </w:rPr>
        <w:t xml:space="preserve">a </w:t>
      </w:r>
      <w:r w:rsidRPr="00445A7B">
        <w:rPr>
          <w:rFonts w:ascii="Arial" w:hAnsi="Arial" w:cs="Arial"/>
          <w:sz w:val="24"/>
          <w:szCs w:val="24"/>
        </w:rPr>
        <w:t xml:space="preserve">lone plaintiff. I have had the pleasure of studying the </w:t>
      </w:r>
      <w:r w:rsidR="005A467A" w:rsidRPr="00445A7B">
        <w:rPr>
          <w:rFonts w:ascii="Arial" w:hAnsi="Arial" w:cs="Arial"/>
          <w:sz w:val="24"/>
          <w:szCs w:val="24"/>
        </w:rPr>
        <w:t xml:space="preserve">judgment of the court </w:t>
      </w:r>
      <w:r w:rsidR="005A467A" w:rsidRPr="00445A7B">
        <w:rPr>
          <w:rFonts w:ascii="Arial" w:hAnsi="Arial" w:cs="Arial"/>
          <w:i/>
          <w:sz w:val="24"/>
          <w:szCs w:val="24"/>
        </w:rPr>
        <w:t xml:space="preserve">a </w:t>
      </w:r>
      <w:r w:rsidRPr="00445A7B">
        <w:rPr>
          <w:rFonts w:ascii="Arial" w:hAnsi="Arial" w:cs="Arial"/>
          <w:i/>
          <w:sz w:val="24"/>
          <w:szCs w:val="24"/>
        </w:rPr>
        <w:t>quo</w:t>
      </w:r>
      <w:r w:rsidRPr="00445A7B">
        <w:rPr>
          <w:rFonts w:ascii="Arial" w:hAnsi="Arial" w:cs="Arial"/>
          <w:sz w:val="24"/>
          <w:szCs w:val="24"/>
        </w:rPr>
        <w:t xml:space="preserve">. It </w:t>
      </w:r>
      <w:r w:rsidR="00657B7C" w:rsidRPr="00445A7B">
        <w:rPr>
          <w:rFonts w:ascii="Arial" w:hAnsi="Arial" w:cs="Arial"/>
          <w:sz w:val="24"/>
          <w:szCs w:val="24"/>
        </w:rPr>
        <w:t>appears to me that th</w:t>
      </w:r>
      <w:r w:rsidR="005A467A" w:rsidRPr="00445A7B">
        <w:rPr>
          <w:rFonts w:ascii="Arial" w:hAnsi="Arial" w:cs="Arial"/>
          <w:sz w:val="24"/>
          <w:szCs w:val="24"/>
        </w:rPr>
        <w:t>at</w:t>
      </w:r>
      <w:r w:rsidR="00657B7C" w:rsidRPr="00445A7B">
        <w:rPr>
          <w:rFonts w:ascii="Arial" w:hAnsi="Arial" w:cs="Arial"/>
          <w:sz w:val="24"/>
          <w:szCs w:val="24"/>
        </w:rPr>
        <w:t xml:space="preserve"> court addressed the correct question of </w:t>
      </w:r>
      <w:r w:rsidR="00657B7C" w:rsidRPr="00445A7B">
        <w:rPr>
          <w:rFonts w:ascii="Arial" w:hAnsi="Arial" w:cs="Arial"/>
          <w:i/>
          <w:sz w:val="24"/>
          <w:szCs w:val="24"/>
        </w:rPr>
        <w:t>locus standi</w:t>
      </w:r>
      <w:r w:rsidR="00657B7C" w:rsidRPr="00445A7B">
        <w:rPr>
          <w:rFonts w:ascii="Arial" w:hAnsi="Arial" w:cs="Arial"/>
          <w:sz w:val="24"/>
          <w:szCs w:val="24"/>
        </w:rPr>
        <w:t xml:space="preserve"> of a legatee or heir who has been joined by the executrix. The</w:t>
      </w:r>
      <w:r w:rsidR="005E7AD7" w:rsidRPr="00445A7B">
        <w:rPr>
          <w:rFonts w:ascii="Arial" w:hAnsi="Arial" w:cs="Arial"/>
          <w:sz w:val="24"/>
          <w:szCs w:val="24"/>
        </w:rPr>
        <w:t xml:space="preserve">re is no </w:t>
      </w:r>
      <w:r w:rsidR="009904B7" w:rsidRPr="00445A7B">
        <w:rPr>
          <w:rFonts w:ascii="Arial" w:hAnsi="Arial" w:cs="Arial"/>
          <w:sz w:val="24"/>
          <w:szCs w:val="24"/>
        </w:rPr>
        <w:t xml:space="preserve">basis for the criticism levelled at the court on this score as </w:t>
      </w:r>
      <w:r w:rsidR="00657B7C" w:rsidRPr="00445A7B">
        <w:rPr>
          <w:rFonts w:ascii="Arial" w:hAnsi="Arial" w:cs="Arial"/>
          <w:sz w:val="24"/>
          <w:szCs w:val="24"/>
        </w:rPr>
        <w:t xml:space="preserve">the court made reference to pertinent authorities </w:t>
      </w:r>
      <w:r w:rsidR="009904B7" w:rsidRPr="00445A7B">
        <w:rPr>
          <w:rFonts w:ascii="Arial" w:hAnsi="Arial" w:cs="Arial"/>
          <w:sz w:val="24"/>
          <w:szCs w:val="24"/>
        </w:rPr>
        <w:t xml:space="preserve">in reaching </w:t>
      </w:r>
      <w:r w:rsidR="00657B7C" w:rsidRPr="00445A7B">
        <w:rPr>
          <w:rFonts w:ascii="Arial" w:hAnsi="Arial" w:cs="Arial"/>
          <w:sz w:val="24"/>
          <w:szCs w:val="24"/>
        </w:rPr>
        <w:t xml:space="preserve">its conclusion. </w:t>
      </w:r>
    </w:p>
    <w:p w:rsidR="00657B7C" w:rsidRDefault="00657B7C" w:rsidP="00445A7B">
      <w:pPr>
        <w:spacing w:after="0" w:line="480" w:lineRule="auto"/>
        <w:jc w:val="both"/>
        <w:rPr>
          <w:rFonts w:ascii="Arial" w:hAnsi="Arial" w:cs="Arial"/>
          <w:sz w:val="24"/>
          <w:szCs w:val="24"/>
        </w:rPr>
      </w:pPr>
    </w:p>
    <w:p w:rsidR="00465650" w:rsidRPr="00445A7B" w:rsidRDefault="00CC3F8D" w:rsidP="00445A7B">
      <w:pPr>
        <w:pStyle w:val="ListParagraph"/>
        <w:numPr>
          <w:ilvl w:val="0"/>
          <w:numId w:val="6"/>
        </w:numPr>
        <w:spacing w:after="0" w:line="480" w:lineRule="auto"/>
        <w:ind w:left="0" w:firstLine="0"/>
        <w:jc w:val="both"/>
        <w:rPr>
          <w:rFonts w:ascii="Arial" w:hAnsi="Arial" w:cs="Arial"/>
          <w:sz w:val="24"/>
          <w:szCs w:val="24"/>
        </w:rPr>
      </w:pPr>
      <w:r w:rsidRPr="00445A7B">
        <w:rPr>
          <w:rFonts w:ascii="Arial" w:hAnsi="Arial" w:cs="Arial"/>
          <w:sz w:val="24"/>
          <w:szCs w:val="24"/>
        </w:rPr>
        <w:t>In relation to the authority submitted by counsel</w:t>
      </w:r>
      <w:r w:rsidR="00653373" w:rsidRPr="00445A7B">
        <w:rPr>
          <w:rFonts w:ascii="Arial" w:hAnsi="Arial" w:cs="Arial"/>
          <w:sz w:val="24"/>
          <w:szCs w:val="24"/>
        </w:rPr>
        <w:t xml:space="preserve"> for both parties, it is clear that courts have followed the principle that only the executor/executrix has the authority to institute proceedings on behalf of the estate. However, </w:t>
      </w:r>
      <w:r w:rsidR="00290A7A" w:rsidRPr="00445A7B">
        <w:rPr>
          <w:rFonts w:ascii="Arial" w:hAnsi="Arial" w:cs="Arial"/>
          <w:sz w:val="24"/>
          <w:szCs w:val="24"/>
        </w:rPr>
        <w:t xml:space="preserve">as stated in </w:t>
      </w:r>
      <w:r w:rsidR="00290A7A" w:rsidRPr="00445A7B">
        <w:rPr>
          <w:rFonts w:ascii="Arial" w:hAnsi="Arial" w:cs="Arial"/>
          <w:i/>
          <w:sz w:val="24"/>
          <w:szCs w:val="24"/>
        </w:rPr>
        <w:t>Stellemacher v Christians</w:t>
      </w:r>
      <w:r w:rsidR="00290A7A" w:rsidRPr="00445A7B">
        <w:rPr>
          <w:rFonts w:ascii="Arial" w:hAnsi="Arial" w:cs="Arial"/>
          <w:sz w:val="24"/>
          <w:szCs w:val="24"/>
        </w:rPr>
        <w:t xml:space="preserve">, </w:t>
      </w:r>
      <w:r w:rsidR="00653373" w:rsidRPr="00445A7B">
        <w:rPr>
          <w:rFonts w:ascii="Arial" w:hAnsi="Arial" w:cs="Arial"/>
          <w:sz w:val="24"/>
          <w:szCs w:val="24"/>
        </w:rPr>
        <w:t>it is permissible in a</w:t>
      </w:r>
      <w:r w:rsidR="00290A7A" w:rsidRPr="00445A7B">
        <w:rPr>
          <w:rFonts w:ascii="Arial" w:hAnsi="Arial" w:cs="Arial"/>
          <w:sz w:val="24"/>
          <w:szCs w:val="24"/>
        </w:rPr>
        <w:t>ppropriate</w:t>
      </w:r>
      <w:r w:rsidR="00653373" w:rsidRPr="00445A7B">
        <w:rPr>
          <w:rFonts w:ascii="Arial" w:hAnsi="Arial" w:cs="Arial"/>
          <w:sz w:val="24"/>
          <w:szCs w:val="24"/>
        </w:rPr>
        <w:t xml:space="preserve"> case</w:t>
      </w:r>
      <w:r w:rsidR="00290A7A" w:rsidRPr="00445A7B">
        <w:rPr>
          <w:rFonts w:ascii="Arial" w:hAnsi="Arial" w:cs="Arial"/>
          <w:sz w:val="24"/>
          <w:szCs w:val="24"/>
        </w:rPr>
        <w:t>s</w:t>
      </w:r>
      <w:r w:rsidR="00653373" w:rsidRPr="00445A7B">
        <w:rPr>
          <w:rFonts w:ascii="Arial" w:hAnsi="Arial" w:cs="Arial"/>
          <w:sz w:val="24"/>
          <w:szCs w:val="24"/>
        </w:rPr>
        <w:t>, for such a beneficiary to sue on his</w:t>
      </w:r>
      <w:r w:rsidR="00290A7A" w:rsidRPr="00445A7B">
        <w:rPr>
          <w:rFonts w:ascii="Arial" w:hAnsi="Arial" w:cs="Arial"/>
          <w:sz w:val="24"/>
          <w:szCs w:val="24"/>
        </w:rPr>
        <w:t xml:space="preserve"> or her</w:t>
      </w:r>
      <w:r w:rsidR="00653373" w:rsidRPr="00445A7B">
        <w:rPr>
          <w:rFonts w:ascii="Arial" w:hAnsi="Arial" w:cs="Arial"/>
          <w:sz w:val="24"/>
          <w:szCs w:val="24"/>
        </w:rPr>
        <w:t xml:space="preserve"> own behalf in order to safeguard his right to inheritance where the right is infringed or threatened to be infringed. </w:t>
      </w:r>
    </w:p>
    <w:p w:rsidR="00465650" w:rsidRDefault="00465650" w:rsidP="00445A7B">
      <w:pPr>
        <w:spacing w:after="0" w:line="480" w:lineRule="auto"/>
        <w:jc w:val="both"/>
        <w:rPr>
          <w:rFonts w:ascii="Arial" w:hAnsi="Arial" w:cs="Arial"/>
          <w:sz w:val="24"/>
          <w:szCs w:val="24"/>
        </w:rPr>
      </w:pPr>
    </w:p>
    <w:p w:rsidR="009D12F5" w:rsidRPr="00445A7B" w:rsidRDefault="00E54402" w:rsidP="00445A7B">
      <w:pPr>
        <w:pStyle w:val="ListParagraph"/>
        <w:numPr>
          <w:ilvl w:val="0"/>
          <w:numId w:val="6"/>
        </w:numPr>
        <w:spacing w:after="0" w:line="480" w:lineRule="auto"/>
        <w:ind w:left="0" w:firstLine="0"/>
        <w:jc w:val="both"/>
        <w:rPr>
          <w:rFonts w:ascii="Arial" w:hAnsi="Arial" w:cs="Arial"/>
          <w:sz w:val="24"/>
          <w:szCs w:val="24"/>
        </w:rPr>
      </w:pPr>
      <w:r w:rsidRPr="00445A7B">
        <w:rPr>
          <w:rFonts w:ascii="Arial" w:hAnsi="Arial" w:cs="Arial"/>
          <w:sz w:val="24"/>
          <w:szCs w:val="24"/>
        </w:rPr>
        <w:lastRenderedPageBreak/>
        <w:t xml:space="preserve">Counsel for the first respondent correctly distinguished </w:t>
      </w:r>
      <w:r w:rsidR="009D12F5" w:rsidRPr="00445A7B">
        <w:rPr>
          <w:rFonts w:ascii="Arial" w:hAnsi="Arial" w:cs="Arial"/>
          <w:sz w:val="24"/>
          <w:szCs w:val="24"/>
        </w:rPr>
        <w:t xml:space="preserve">the present matter and the </w:t>
      </w:r>
      <w:r w:rsidR="009D12F5" w:rsidRPr="00445A7B">
        <w:rPr>
          <w:rFonts w:ascii="Arial" w:hAnsi="Arial" w:cs="Arial"/>
          <w:i/>
          <w:sz w:val="24"/>
          <w:szCs w:val="24"/>
        </w:rPr>
        <w:t xml:space="preserve">Gramowsky </w:t>
      </w:r>
      <w:r w:rsidR="009D12F5" w:rsidRPr="00445A7B">
        <w:rPr>
          <w:rFonts w:ascii="Arial" w:hAnsi="Arial" w:cs="Arial"/>
          <w:sz w:val="24"/>
          <w:szCs w:val="24"/>
        </w:rPr>
        <w:t xml:space="preserve">matter, and contended that the heir in </w:t>
      </w:r>
      <w:r w:rsidR="009D12F5" w:rsidRPr="00445A7B">
        <w:rPr>
          <w:rFonts w:ascii="Arial" w:hAnsi="Arial" w:cs="Arial"/>
          <w:i/>
          <w:sz w:val="24"/>
          <w:szCs w:val="24"/>
        </w:rPr>
        <w:t>Gramowsky</w:t>
      </w:r>
      <w:r w:rsidR="009D12F5" w:rsidRPr="00445A7B">
        <w:rPr>
          <w:rFonts w:ascii="Arial" w:hAnsi="Arial" w:cs="Arial"/>
          <w:sz w:val="24"/>
          <w:szCs w:val="24"/>
        </w:rPr>
        <w:t xml:space="preserve"> acquired </w:t>
      </w:r>
      <w:r w:rsidR="009D12F5" w:rsidRPr="00445A7B">
        <w:rPr>
          <w:rFonts w:ascii="Arial" w:hAnsi="Arial" w:cs="Arial"/>
          <w:i/>
          <w:sz w:val="24"/>
          <w:szCs w:val="24"/>
        </w:rPr>
        <w:t>locus standi</w:t>
      </w:r>
      <w:r w:rsidR="009D12F5" w:rsidRPr="00445A7B">
        <w:rPr>
          <w:rFonts w:ascii="Arial" w:hAnsi="Arial" w:cs="Arial"/>
          <w:sz w:val="24"/>
          <w:szCs w:val="24"/>
        </w:rPr>
        <w:t xml:space="preserve"> after the confirmation of the liquidation and distribution account.</w:t>
      </w:r>
      <w:r w:rsidRPr="00445A7B">
        <w:rPr>
          <w:rFonts w:ascii="Arial" w:hAnsi="Arial" w:cs="Arial"/>
          <w:sz w:val="24"/>
          <w:szCs w:val="24"/>
        </w:rPr>
        <w:t xml:space="preserve"> </w:t>
      </w:r>
      <w:r w:rsidR="00097C55" w:rsidRPr="00445A7B">
        <w:rPr>
          <w:rFonts w:ascii="Arial" w:hAnsi="Arial" w:cs="Arial"/>
          <w:sz w:val="24"/>
          <w:szCs w:val="24"/>
        </w:rPr>
        <w:t xml:space="preserve">I </w:t>
      </w:r>
      <w:r w:rsidRPr="00445A7B">
        <w:rPr>
          <w:rFonts w:ascii="Arial" w:hAnsi="Arial" w:cs="Arial"/>
          <w:sz w:val="24"/>
          <w:szCs w:val="24"/>
        </w:rPr>
        <w:t>agree with this distinction.</w:t>
      </w:r>
      <w:r w:rsidR="009D12F5" w:rsidRPr="00445A7B">
        <w:rPr>
          <w:rFonts w:ascii="Arial" w:hAnsi="Arial" w:cs="Arial"/>
          <w:sz w:val="24"/>
          <w:szCs w:val="24"/>
        </w:rPr>
        <w:t xml:space="preserve"> </w:t>
      </w:r>
      <w:r w:rsidRPr="00445A7B">
        <w:rPr>
          <w:rFonts w:ascii="Arial" w:hAnsi="Arial" w:cs="Arial"/>
          <w:sz w:val="24"/>
          <w:szCs w:val="24"/>
        </w:rPr>
        <w:t xml:space="preserve">However, </w:t>
      </w:r>
      <w:r w:rsidR="00290A7A" w:rsidRPr="00445A7B">
        <w:rPr>
          <w:rFonts w:ascii="Arial" w:hAnsi="Arial" w:cs="Arial"/>
          <w:sz w:val="24"/>
          <w:szCs w:val="24"/>
        </w:rPr>
        <w:t xml:space="preserve">a distinguishing feature of this case is </w:t>
      </w:r>
      <w:r w:rsidRPr="00445A7B">
        <w:rPr>
          <w:rFonts w:ascii="Arial" w:hAnsi="Arial" w:cs="Arial"/>
          <w:sz w:val="24"/>
          <w:szCs w:val="24"/>
        </w:rPr>
        <w:t xml:space="preserve">that there exist exceptional circumstances in the present case to depart from </w:t>
      </w:r>
      <w:r w:rsidR="009A432B" w:rsidRPr="00445A7B">
        <w:rPr>
          <w:rFonts w:ascii="Arial" w:hAnsi="Arial" w:cs="Arial"/>
          <w:sz w:val="24"/>
          <w:szCs w:val="24"/>
        </w:rPr>
        <w:t xml:space="preserve">the operation of </w:t>
      </w:r>
      <w:r w:rsidRPr="00445A7B">
        <w:rPr>
          <w:rFonts w:ascii="Arial" w:hAnsi="Arial" w:cs="Arial"/>
          <w:sz w:val="24"/>
          <w:szCs w:val="24"/>
        </w:rPr>
        <w:t xml:space="preserve">the </w:t>
      </w:r>
      <w:r w:rsidR="009A432B" w:rsidRPr="00445A7B">
        <w:rPr>
          <w:rFonts w:ascii="Arial" w:hAnsi="Arial" w:cs="Arial"/>
          <w:sz w:val="24"/>
          <w:szCs w:val="24"/>
        </w:rPr>
        <w:t xml:space="preserve">general </w:t>
      </w:r>
      <w:r w:rsidRPr="00445A7B">
        <w:rPr>
          <w:rFonts w:ascii="Arial" w:hAnsi="Arial" w:cs="Arial"/>
          <w:sz w:val="24"/>
          <w:szCs w:val="24"/>
        </w:rPr>
        <w:t xml:space="preserve">rule. </w:t>
      </w:r>
    </w:p>
    <w:p w:rsidR="00E54402" w:rsidRDefault="00E54402" w:rsidP="00445A7B">
      <w:pPr>
        <w:spacing w:after="0" w:line="480" w:lineRule="auto"/>
        <w:jc w:val="both"/>
        <w:rPr>
          <w:rFonts w:ascii="Arial" w:hAnsi="Arial" w:cs="Arial"/>
          <w:sz w:val="24"/>
          <w:szCs w:val="24"/>
        </w:rPr>
      </w:pPr>
    </w:p>
    <w:p w:rsidR="00E54402" w:rsidRPr="00445A7B" w:rsidRDefault="00E54402" w:rsidP="00445A7B">
      <w:pPr>
        <w:pStyle w:val="ListParagraph"/>
        <w:numPr>
          <w:ilvl w:val="0"/>
          <w:numId w:val="6"/>
        </w:numPr>
        <w:spacing w:after="0" w:line="480" w:lineRule="auto"/>
        <w:ind w:left="0" w:firstLine="0"/>
        <w:jc w:val="both"/>
        <w:rPr>
          <w:rFonts w:ascii="Arial" w:hAnsi="Arial" w:cs="Arial"/>
          <w:sz w:val="24"/>
          <w:szCs w:val="24"/>
        </w:rPr>
      </w:pPr>
      <w:r w:rsidRPr="00445A7B">
        <w:rPr>
          <w:rFonts w:ascii="Arial" w:hAnsi="Arial" w:cs="Arial"/>
          <w:sz w:val="24"/>
          <w:szCs w:val="24"/>
        </w:rPr>
        <w:t>I say this for the following reasons</w:t>
      </w:r>
      <w:r w:rsidR="005A3D9D" w:rsidRPr="00445A7B">
        <w:rPr>
          <w:rFonts w:ascii="Arial" w:hAnsi="Arial" w:cs="Arial"/>
          <w:sz w:val="24"/>
          <w:szCs w:val="24"/>
        </w:rPr>
        <w:t>:</w:t>
      </w:r>
      <w:r w:rsidRPr="00445A7B">
        <w:rPr>
          <w:rFonts w:ascii="Arial" w:hAnsi="Arial" w:cs="Arial"/>
          <w:sz w:val="24"/>
          <w:szCs w:val="24"/>
        </w:rPr>
        <w:t xml:space="preserve"> firstly, the second appellant did not approach the court as a lone plaintiff, but she did </w:t>
      </w:r>
      <w:r w:rsidR="00C17D34" w:rsidRPr="00445A7B">
        <w:rPr>
          <w:rFonts w:ascii="Arial" w:hAnsi="Arial" w:cs="Arial"/>
          <w:sz w:val="24"/>
          <w:szCs w:val="24"/>
        </w:rPr>
        <w:t xml:space="preserve">so </w:t>
      </w:r>
      <w:r w:rsidRPr="00445A7B">
        <w:rPr>
          <w:rFonts w:ascii="Arial" w:hAnsi="Arial" w:cs="Arial"/>
          <w:sz w:val="24"/>
          <w:szCs w:val="24"/>
        </w:rPr>
        <w:t xml:space="preserve">with the executrix’s consent and </w:t>
      </w:r>
      <w:r w:rsidR="005A3D9D" w:rsidRPr="00445A7B">
        <w:rPr>
          <w:rFonts w:ascii="Arial" w:hAnsi="Arial" w:cs="Arial"/>
          <w:sz w:val="24"/>
          <w:szCs w:val="24"/>
        </w:rPr>
        <w:t xml:space="preserve">the two </w:t>
      </w:r>
      <w:r w:rsidR="00C17D34" w:rsidRPr="00445A7B">
        <w:rPr>
          <w:rFonts w:ascii="Arial" w:hAnsi="Arial" w:cs="Arial"/>
          <w:sz w:val="24"/>
          <w:szCs w:val="24"/>
        </w:rPr>
        <w:t xml:space="preserve">joined </w:t>
      </w:r>
      <w:r w:rsidRPr="00445A7B">
        <w:rPr>
          <w:rFonts w:ascii="Arial" w:hAnsi="Arial" w:cs="Arial"/>
          <w:sz w:val="24"/>
          <w:szCs w:val="24"/>
        </w:rPr>
        <w:t xml:space="preserve">forces </w:t>
      </w:r>
      <w:r w:rsidR="005A3D9D" w:rsidRPr="00445A7B">
        <w:rPr>
          <w:rFonts w:ascii="Arial" w:hAnsi="Arial" w:cs="Arial"/>
          <w:sz w:val="24"/>
          <w:szCs w:val="24"/>
        </w:rPr>
        <w:t xml:space="preserve">to </w:t>
      </w:r>
      <w:r w:rsidR="00C17D34" w:rsidRPr="00445A7B">
        <w:rPr>
          <w:rFonts w:ascii="Arial" w:hAnsi="Arial" w:cs="Arial"/>
          <w:sz w:val="24"/>
          <w:szCs w:val="24"/>
        </w:rPr>
        <w:t xml:space="preserve">assert the </w:t>
      </w:r>
      <w:r w:rsidR="00A92F10" w:rsidRPr="00445A7B">
        <w:rPr>
          <w:rFonts w:ascii="Arial" w:hAnsi="Arial" w:cs="Arial"/>
          <w:sz w:val="24"/>
          <w:szCs w:val="24"/>
        </w:rPr>
        <w:t xml:space="preserve">second appellant’s </w:t>
      </w:r>
      <w:r w:rsidR="00C17D34" w:rsidRPr="00445A7B">
        <w:rPr>
          <w:rFonts w:ascii="Arial" w:hAnsi="Arial" w:cs="Arial"/>
          <w:sz w:val="24"/>
          <w:szCs w:val="24"/>
        </w:rPr>
        <w:t>rights</w:t>
      </w:r>
      <w:r w:rsidRPr="00445A7B">
        <w:rPr>
          <w:rFonts w:ascii="Arial" w:hAnsi="Arial" w:cs="Arial"/>
          <w:sz w:val="24"/>
          <w:szCs w:val="24"/>
        </w:rPr>
        <w:t xml:space="preserve">; secondly, the court has not been informed of any other legatees that stand to benefit from the farm; thirdly, the effect of the order sought is not to </w:t>
      </w:r>
      <w:r w:rsidR="00B34D5B" w:rsidRPr="00445A7B">
        <w:rPr>
          <w:rFonts w:ascii="Arial" w:hAnsi="Arial" w:cs="Arial"/>
          <w:sz w:val="24"/>
          <w:szCs w:val="24"/>
        </w:rPr>
        <w:t>‘</w:t>
      </w:r>
      <w:r w:rsidRPr="00445A7B">
        <w:rPr>
          <w:rFonts w:ascii="Arial" w:hAnsi="Arial" w:cs="Arial"/>
          <w:sz w:val="24"/>
          <w:szCs w:val="24"/>
        </w:rPr>
        <w:t>liquidate or distribute</w:t>
      </w:r>
      <w:r w:rsidR="00B34D5B" w:rsidRPr="00445A7B">
        <w:rPr>
          <w:rFonts w:ascii="Arial" w:hAnsi="Arial" w:cs="Arial"/>
          <w:sz w:val="24"/>
          <w:szCs w:val="24"/>
        </w:rPr>
        <w:t>’</w:t>
      </w:r>
      <w:r w:rsidRPr="00445A7B">
        <w:rPr>
          <w:rFonts w:ascii="Arial" w:hAnsi="Arial" w:cs="Arial"/>
          <w:sz w:val="24"/>
          <w:szCs w:val="24"/>
        </w:rPr>
        <w:t xml:space="preserve"> the assets of the estate </w:t>
      </w:r>
      <w:r w:rsidR="00B34D5B" w:rsidRPr="00445A7B">
        <w:rPr>
          <w:rFonts w:ascii="Arial" w:hAnsi="Arial" w:cs="Arial"/>
          <w:sz w:val="24"/>
          <w:szCs w:val="24"/>
        </w:rPr>
        <w:t>as those words are used in s 13</w:t>
      </w:r>
      <w:r w:rsidR="00144B15" w:rsidRPr="00445A7B">
        <w:rPr>
          <w:rFonts w:ascii="Arial" w:hAnsi="Arial" w:cs="Arial"/>
          <w:sz w:val="24"/>
          <w:szCs w:val="24"/>
        </w:rPr>
        <w:t>(1)</w:t>
      </w:r>
      <w:r w:rsidR="00B34D5B" w:rsidRPr="00445A7B">
        <w:rPr>
          <w:rFonts w:ascii="Arial" w:hAnsi="Arial" w:cs="Arial"/>
          <w:sz w:val="24"/>
          <w:szCs w:val="24"/>
        </w:rPr>
        <w:t xml:space="preserve">  of the Administration of Estates Act b</w:t>
      </w:r>
      <w:r w:rsidR="005A3D9D" w:rsidRPr="00445A7B">
        <w:rPr>
          <w:rFonts w:ascii="Arial" w:hAnsi="Arial" w:cs="Arial"/>
          <w:sz w:val="24"/>
          <w:szCs w:val="24"/>
        </w:rPr>
        <w:t xml:space="preserve">ut to </w:t>
      </w:r>
      <w:r w:rsidR="005E7AD7" w:rsidRPr="00445A7B">
        <w:rPr>
          <w:rFonts w:ascii="Arial" w:hAnsi="Arial" w:cs="Arial"/>
          <w:sz w:val="24"/>
          <w:szCs w:val="24"/>
        </w:rPr>
        <w:t xml:space="preserve">safeguard the second appellant’s rights </w:t>
      </w:r>
      <w:r w:rsidRPr="00445A7B">
        <w:rPr>
          <w:rFonts w:ascii="Arial" w:hAnsi="Arial" w:cs="Arial"/>
          <w:sz w:val="24"/>
          <w:szCs w:val="24"/>
        </w:rPr>
        <w:t>and lastly, the second appellant has a potential right to inherit</w:t>
      </w:r>
      <w:r w:rsidR="00AD59A1" w:rsidRPr="00445A7B">
        <w:rPr>
          <w:rFonts w:ascii="Arial" w:hAnsi="Arial" w:cs="Arial"/>
          <w:sz w:val="24"/>
          <w:szCs w:val="24"/>
        </w:rPr>
        <w:t xml:space="preserve"> the property being the subject matter of the usufruct</w:t>
      </w:r>
      <w:r w:rsidRPr="00445A7B">
        <w:rPr>
          <w:rFonts w:ascii="Arial" w:hAnsi="Arial" w:cs="Arial"/>
          <w:sz w:val="24"/>
          <w:szCs w:val="24"/>
        </w:rPr>
        <w:t>. Therefore, a potential threat or infringement of that right ought to be protected and the only</w:t>
      </w:r>
      <w:r w:rsidR="00955B2E" w:rsidRPr="00445A7B">
        <w:rPr>
          <w:rFonts w:ascii="Arial" w:hAnsi="Arial" w:cs="Arial"/>
          <w:sz w:val="24"/>
          <w:szCs w:val="24"/>
        </w:rPr>
        <w:t xml:space="preserve"> way</w:t>
      </w:r>
      <w:r w:rsidRPr="00445A7B">
        <w:rPr>
          <w:rFonts w:ascii="Arial" w:hAnsi="Arial" w:cs="Arial"/>
          <w:sz w:val="24"/>
          <w:szCs w:val="24"/>
        </w:rPr>
        <w:t xml:space="preserve"> to </w:t>
      </w:r>
      <w:r w:rsidR="005E7AD7" w:rsidRPr="00445A7B">
        <w:rPr>
          <w:rFonts w:ascii="Arial" w:hAnsi="Arial" w:cs="Arial"/>
          <w:sz w:val="24"/>
          <w:szCs w:val="24"/>
        </w:rPr>
        <w:t xml:space="preserve">do so </w:t>
      </w:r>
      <w:r w:rsidR="00955B2E" w:rsidRPr="00445A7B">
        <w:rPr>
          <w:rFonts w:ascii="Arial" w:hAnsi="Arial" w:cs="Arial"/>
          <w:sz w:val="24"/>
          <w:szCs w:val="24"/>
        </w:rPr>
        <w:t>is to approach a court of law, and that is precisely what the second appellant did in this case.</w:t>
      </w:r>
      <w:r w:rsidR="00B120FA" w:rsidRPr="00445A7B">
        <w:rPr>
          <w:rFonts w:ascii="Arial" w:hAnsi="Arial" w:cs="Arial"/>
          <w:sz w:val="24"/>
          <w:szCs w:val="24"/>
        </w:rPr>
        <w:t xml:space="preserve"> The facts in the instant matter are dif</w:t>
      </w:r>
      <w:r w:rsidR="004839A6" w:rsidRPr="00445A7B">
        <w:rPr>
          <w:rFonts w:ascii="Arial" w:hAnsi="Arial" w:cs="Arial"/>
          <w:sz w:val="24"/>
          <w:szCs w:val="24"/>
        </w:rPr>
        <w:t>f</w:t>
      </w:r>
      <w:r w:rsidR="00B120FA" w:rsidRPr="00445A7B">
        <w:rPr>
          <w:rFonts w:ascii="Arial" w:hAnsi="Arial" w:cs="Arial"/>
          <w:sz w:val="24"/>
          <w:szCs w:val="24"/>
        </w:rPr>
        <w:t>erent fr</w:t>
      </w:r>
      <w:r w:rsidR="004839A6" w:rsidRPr="00445A7B">
        <w:rPr>
          <w:rFonts w:ascii="Arial" w:hAnsi="Arial" w:cs="Arial"/>
          <w:sz w:val="24"/>
          <w:szCs w:val="24"/>
        </w:rPr>
        <w:t>o</w:t>
      </w:r>
      <w:r w:rsidR="00B120FA" w:rsidRPr="00445A7B">
        <w:rPr>
          <w:rFonts w:ascii="Arial" w:hAnsi="Arial" w:cs="Arial"/>
          <w:sz w:val="24"/>
          <w:szCs w:val="24"/>
        </w:rPr>
        <w:t xml:space="preserve">m a situation where an heir goes on </w:t>
      </w:r>
      <w:r w:rsidR="00DA3D92" w:rsidRPr="00445A7B">
        <w:rPr>
          <w:rFonts w:ascii="Arial" w:hAnsi="Arial" w:cs="Arial"/>
          <w:sz w:val="24"/>
          <w:szCs w:val="24"/>
        </w:rPr>
        <w:t xml:space="preserve">a </w:t>
      </w:r>
      <w:r w:rsidR="00B120FA" w:rsidRPr="00445A7B">
        <w:rPr>
          <w:rFonts w:ascii="Arial" w:hAnsi="Arial" w:cs="Arial"/>
          <w:sz w:val="24"/>
          <w:szCs w:val="24"/>
        </w:rPr>
        <w:t xml:space="preserve">frolic </w:t>
      </w:r>
      <w:r w:rsidR="00144B15" w:rsidRPr="00445A7B">
        <w:rPr>
          <w:rFonts w:ascii="Arial" w:hAnsi="Arial" w:cs="Arial"/>
          <w:sz w:val="24"/>
          <w:szCs w:val="24"/>
        </w:rPr>
        <w:t xml:space="preserve">of his or her own </w:t>
      </w:r>
      <w:r w:rsidR="00B120FA" w:rsidRPr="00445A7B">
        <w:rPr>
          <w:rFonts w:ascii="Arial" w:hAnsi="Arial" w:cs="Arial"/>
          <w:sz w:val="24"/>
          <w:szCs w:val="24"/>
        </w:rPr>
        <w:t xml:space="preserve">and without the consent or cooperation of the executor </w:t>
      </w:r>
      <w:r w:rsidR="00097C55" w:rsidRPr="00445A7B">
        <w:rPr>
          <w:rFonts w:ascii="Arial" w:hAnsi="Arial" w:cs="Arial"/>
          <w:sz w:val="24"/>
          <w:szCs w:val="24"/>
        </w:rPr>
        <w:t xml:space="preserve">institutes </w:t>
      </w:r>
      <w:r w:rsidR="00B120FA" w:rsidRPr="00445A7B">
        <w:rPr>
          <w:rFonts w:ascii="Arial" w:hAnsi="Arial" w:cs="Arial"/>
          <w:sz w:val="24"/>
          <w:szCs w:val="24"/>
        </w:rPr>
        <w:t>proce</w:t>
      </w:r>
      <w:r w:rsidR="004839A6" w:rsidRPr="00445A7B">
        <w:rPr>
          <w:rFonts w:ascii="Arial" w:hAnsi="Arial" w:cs="Arial"/>
          <w:sz w:val="24"/>
          <w:szCs w:val="24"/>
        </w:rPr>
        <w:t>e</w:t>
      </w:r>
      <w:r w:rsidR="00B120FA" w:rsidRPr="00445A7B">
        <w:rPr>
          <w:rFonts w:ascii="Arial" w:hAnsi="Arial" w:cs="Arial"/>
          <w:sz w:val="24"/>
          <w:szCs w:val="24"/>
        </w:rPr>
        <w:t xml:space="preserve">dings </w:t>
      </w:r>
      <w:r w:rsidR="004839A6" w:rsidRPr="00445A7B">
        <w:rPr>
          <w:rFonts w:ascii="Arial" w:hAnsi="Arial" w:cs="Arial"/>
          <w:sz w:val="24"/>
          <w:szCs w:val="24"/>
        </w:rPr>
        <w:t xml:space="preserve">in a misguided attempt </w:t>
      </w:r>
      <w:r w:rsidR="00B120FA" w:rsidRPr="00445A7B">
        <w:rPr>
          <w:rFonts w:ascii="Arial" w:hAnsi="Arial" w:cs="Arial"/>
          <w:sz w:val="24"/>
          <w:szCs w:val="24"/>
        </w:rPr>
        <w:t xml:space="preserve">to vindicate an asset of the estate. </w:t>
      </w:r>
      <w:r w:rsidR="00955B2E" w:rsidRPr="00445A7B">
        <w:rPr>
          <w:rFonts w:ascii="Arial" w:hAnsi="Arial" w:cs="Arial"/>
          <w:sz w:val="24"/>
          <w:szCs w:val="24"/>
        </w:rPr>
        <w:t xml:space="preserve"> </w:t>
      </w:r>
    </w:p>
    <w:p w:rsidR="00F745A2" w:rsidRDefault="00F745A2" w:rsidP="00445A7B">
      <w:pPr>
        <w:spacing w:after="0" w:line="480" w:lineRule="auto"/>
        <w:jc w:val="both"/>
        <w:rPr>
          <w:rFonts w:ascii="Arial" w:hAnsi="Arial" w:cs="Arial"/>
          <w:sz w:val="24"/>
          <w:szCs w:val="24"/>
        </w:rPr>
      </w:pPr>
    </w:p>
    <w:p w:rsidR="002326A4" w:rsidRPr="00445A7B" w:rsidRDefault="00E54402" w:rsidP="00445A7B">
      <w:pPr>
        <w:pStyle w:val="ListParagraph"/>
        <w:numPr>
          <w:ilvl w:val="0"/>
          <w:numId w:val="6"/>
        </w:numPr>
        <w:spacing w:after="0" w:line="480" w:lineRule="auto"/>
        <w:ind w:left="0" w:firstLine="0"/>
        <w:jc w:val="both"/>
        <w:rPr>
          <w:rFonts w:ascii="Arial" w:hAnsi="Arial" w:cs="Arial"/>
          <w:sz w:val="24"/>
          <w:szCs w:val="24"/>
        </w:rPr>
      </w:pPr>
      <w:r w:rsidRPr="00445A7B">
        <w:rPr>
          <w:rFonts w:ascii="Arial" w:hAnsi="Arial" w:cs="Arial"/>
          <w:sz w:val="24"/>
          <w:szCs w:val="24"/>
        </w:rPr>
        <w:t>C</w:t>
      </w:r>
      <w:r w:rsidR="00F745A2" w:rsidRPr="00445A7B">
        <w:rPr>
          <w:rFonts w:ascii="Arial" w:hAnsi="Arial" w:cs="Arial"/>
          <w:sz w:val="24"/>
          <w:szCs w:val="24"/>
        </w:rPr>
        <w:t>ounsel</w:t>
      </w:r>
      <w:r w:rsidRPr="00445A7B">
        <w:rPr>
          <w:rFonts w:ascii="Arial" w:hAnsi="Arial" w:cs="Arial"/>
          <w:sz w:val="24"/>
          <w:szCs w:val="24"/>
        </w:rPr>
        <w:t xml:space="preserve"> for the first respondent </w:t>
      </w:r>
      <w:r w:rsidR="00F745A2" w:rsidRPr="00445A7B">
        <w:rPr>
          <w:rFonts w:ascii="Arial" w:hAnsi="Arial" w:cs="Arial"/>
          <w:sz w:val="24"/>
          <w:szCs w:val="24"/>
        </w:rPr>
        <w:t xml:space="preserve">referred this court to </w:t>
      </w:r>
      <w:r w:rsidR="00F745A2" w:rsidRPr="00445A7B">
        <w:rPr>
          <w:rFonts w:ascii="Arial" w:hAnsi="Arial" w:cs="Arial"/>
          <w:i/>
          <w:sz w:val="24"/>
          <w:szCs w:val="24"/>
        </w:rPr>
        <w:t>Cumes v Estate Cumes</w:t>
      </w:r>
      <w:r w:rsidRPr="00445A7B">
        <w:rPr>
          <w:rFonts w:ascii="Arial" w:hAnsi="Arial" w:cs="Arial"/>
          <w:sz w:val="24"/>
          <w:szCs w:val="24"/>
        </w:rPr>
        <w:t xml:space="preserve"> in support of </w:t>
      </w:r>
      <w:r w:rsidR="00F85EC7" w:rsidRPr="00445A7B">
        <w:rPr>
          <w:rFonts w:ascii="Arial" w:hAnsi="Arial" w:cs="Arial"/>
          <w:sz w:val="24"/>
          <w:szCs w:val="24"/>
        </w:rPr>
        <w:t>its contention</w:t>
      </w:r>
      <w:r w:rsidR="00F745A2" w:rsidRPr="00445A7B">
        <w:rPr>
          <w:rFonts w:ascii="Arial" w:hAnsi="Arial" w:cs="Arial"/>
          <w:sz w:val="24"/>
          <w:szCs w:val="24"/>
        </w:rPr>
        <w:t xml:space="preserve">. However, I find that the </w:t>
      </w:r>
      <w:r w:rsidR="00AD59A1" w:rsidRPr="00445A7B">
        <w:rPr>
          <w:rFonts w:ascii="Arial" w:hAnsi="Arial" w:cs="Arial"/>
          <w:sz w:val="24"/>
          <w:szCs w:val="24"/>
        </w:rPr>
        <w:t xml:space="preserve">principles set out in </w:t>
      </w:r>
      <w:r w:rsidR="00AD59A1" w:rsidRPr="00445A7B">
        <w:rPr>
          <w:rFonts w:ascii="Arial" w:hAnsi="Arial" w:cs="Arial"/>
          <w:i/>
          <w:sz w:val="24"/>
          <w:szCs w:val="24"/>
        </w:rPr>
        <w:t>Cumes</w:t>
      </w:r>
      <w:r w:rsidR="00AD59A1" w:rsidRPr="00445A7B">
        <w:rPr>
          <w:rFonts w:ascii="Arial" w:hAnsi="Arial" w:cs="Arial"/>
          <w:sz w:val="24"/>
          <w:szCs w:val="24"/>
        </w:rPr>
        <w:t xml:space="preserve"> are of no </w:t>
      </w:r>
      <w:r w:rsidR="00AD59A1" w:rsidRPr="00445A7B">
        <w:rPr>
          <w:rFonts w:ascii="Arial" w:hAnsi="Arial" w:cs="Arial"/>
          <w:sz w:val="24"/>
          <w:szCs w:val="24"/>
        </w:rPr>
        <w:lastRenderedPageBreak/>
        <w:t>application</w:t>
      </w:r>
      <w:r w:rsidR="001E0A0F" w:rsidRPr="00445A7B">
        <w:rPr>
          <w:rFonts w:ascii="Arial" w:hAnsi="Arial" w:cs="Arial"/>
          <w:sz w:val="24"/>
          <w:szCs w:val="24"/>
        </w:rPr>
        <w:t xml:space="preserve"> as the facts in that case are distinguishable from th</w:t>
      </w:r>
      <w:r w:rsidR="005E7AD7" w:rsidRPr="00445A7B">
        <w:rPr>
          <w:rFonts w:ascii="Arial" w:hAnsi="Arial" w:cs="Arial"/>
          <w:sz w:val="24"/>
          <w:szCs w:val="24"/>
        </w:rPr>
        <w:t>os</w:t>
      </w:r>
      <w:r w:rsidR="001E0A0F" w:rsidRPr="00445A7B">
        <w:rPr>
          <w:rFonts w:ascii="Arial" w:hAnsi="Arial" w:cs="Arial"/>
          <w:sz w:val="24"/>
          <w:szCs w:val="24"/>
        </w:rPr>
        <w:t>e in the present matter</w:t>
      </w:r>
      <w:r w:rsidR="00F745A2" w:rsidRPr="00445A7B">
        <w:rPr>
          <w:rFonts w:ascii="Arial" w:hAnsi="Arial" w:cs="Arial"/>
          <w:sz w:val="24"/>
          <w:szCs w:val="24"/>
        </w:rPr>
        <w:t xml:space="preserve">. </w:t>
      </w:r>
      <w:r w:rsidR="001E0A0F" w:rsidRPr="00445A7B">
        <w:rPr>
          <w:rFonts w:ascii="Arial" w:hAnsi="Arial" w:cs="Arial"/>
          <w:sz w:val="24"/>
          <w:szCs w:val="24"/>
        </w:rPr>
        <w:t xml:space="preserve">Unlike in </w:t>
      </w:r>
      <w:r w:rsidR="001E0A0F" w:rsidRPr="00445A7B">
        <w:rPr>
          <w:rFonts w:ascii="Arial" w:hAnsi="Arial" w:cs="Arial"/>
          <w:i/>
          <w:sz w:val="24"/>
          <w:szCs w:val="24"/>
        </w:rPr>
        <w:t>Cumes</w:t>
      </w:r>
      <w:r w:rsidR="001E0A0F" w:rsidRPr="00445A7B">
        <w:rPr>
          <w:rFonts w:ascii="Arial" w:hAnsi="Arial" w:cs="Arial"/>
          <w:sz w:val="24"/>
          <w:szCs w:val="24"/>
        </w:rPr>
        <w:t>, i</w:t>
      </w:r>
      <w:r w:rsidR="00F745A2" w:rsidRPr="00445A7B">
        <w:rPr>
          <w:rFonts w:ascii="Arial" w:hAnsi="Arial" w:cs="Arial"/>
          <w:sz w:val="24"/>
          <w:szCs w:val="24"/>
        </w:rPr>
        <w:t xml:space="preserve">n the </w:t>
      </w:r>
      <w:r w:rsidR="005E7AD7" w:rsidRPr="00445A7B">
        <w:rPr>
          <w:rFonts w:ascii="Arial" w:hAnsi="Arial" w:cs="Arial"/>
          <w:sz w:val="24"/>
          <w:szCs w:val="24"/>
        </w:rPr>
        <w:t>instant case</w:t>
      </w:r>
      <w:r w:rsidR="00F745A2" w:rsidRPr="00445A7B">
        <w:rPr>
          <w:rFonts w:ascii="Arial" w:hAnsi="Arial" w:cs="Arial"/>
          <w:sz w:val="24"/>
          <w:szCs w:val="24"/>
        </w:rPr>
        <w:t xml:space="preserve"> the executrix is </w:t>
      </w:r>
      <w:r w:rsidR="00AD59A1" w:rsidRPr="00445A7B">
        <w:rPr>
          <w:rFonts w:ascii="Arial" w:hAnsi="Arial" w:cs="Arial"/>
          <w:sz w:val="24"/>
          <w:szCs w:val="24"/>
        </w:rPr>
        <w:t xml:space="preserve">a co-plaintiff </w:t>
      </w:r>
      <w:r w:rsidR="001E0A0F" w:rsidRPr="00445A7B">
        <w:rPr>
          <w:rFonts w:ascii="Arial" w:hAnsi="Arial" w:cs="Arial"/>
          <w:sz w:val="24"/>
          <w:szCs w:val="24"/>
        </w:rPr>
        <w:t xml:space="preserve">in </w:t>
      </w:r>
      <w:r w:rsidR="00AD59A1" w:rsidRPr="00445A7B">
        <w:rPr>
          <w:rFonts w:ascii="Arial" w:hAnsi="Arial" w:cs="Arial"/>
          <w:sz w:val="24"/>
          <w:szCs w:val="24"/>
        </w:rPr>
        <w:t>the action</w:t>
      </w:r>
      <w:r w:rsidR="00F745A2" w:rsidRPr="00445A7B">
        <w:rPr>
          <w:rFonts w:ascii="Arial" w:hAnsi="Arial" w:cs="Arial"/>
          <w:sz w:val="24"/>
          <w:szCs w:val="24"/>
        </w:rPr>
        <w:t>.</w:t>
      </w:r>
      <w:r w:rsidR="001E0A0F" w:rsidRPr="00445A7B">
        <w:rPr>
          <w:rFonts w:ascii="Arial" w:hAnsi="Arial" w:cs="Arial"/>
          <w:sz w:val="24"/>
          <w:szCs w:val="24"/>
        </w:rPr>
        <w:t xml:space="preserve"> </w:t>
      </w:r>
      <w:r w:rsidR="00F745A2" w:rsidRPr="00445A7B">
        <w:rPr>
          <w:rFonts w:ascii="Arial" w:hAnsi="Arial" w:cs="Arial"/>
          <w:sz w:val="24"/>
          <w:szCs w:val="24"/>
        </w:rPr>
        <w:t xml:space="preserve"> </w:t>
      </w:r>
    </w:p>
    <w:p w:rsidR="00F85EC7" w:rsidRDefault="00F85EC7" w:rsidP="00445A7B">
      <w:pPr>
        <w:spacing w:after="0" w:line="480" w:lineRule="auto"/>
        <w:jc w:val="both"/>
        <w:rPr>
          <w:rFonts w:ascii="Arial" w:hAnsi="Arial" w:cs="Arial"/>
          <w:sz w:val="24"/>
          <w:szCs w:val="24"/>
        </w:rPr>
      </w:pPr>
    </w:p>
    <w:p w:rsidR="00465650" w:rsidRPr="00445A7B" w:rsidRDefault="005E6AD2" w:rsidP="00445A7B">
      <w:pPr>
        <w:pStyle w:val="ListParagraph"/>
        <w:numPr>
          <w:ilvl w:val="0"/>
          <w:numId w:val="6"/>
        </w:numPr>
        <w:spacing w:after="0" w:line="480" w:lineRule="auto"/>
        <w:ind w:left="0" w:firstLine="0"/>
        <w:jc w:val="both"/>
        <w:rPr>
          <w:rFonts w:ascii="Arial" w:hAnsi="Arial" w:cs="Arial"/>
          <w:sz w:val="24"/>
          <w:szCs w:val="24"/>
        </w:rPr>
      </w:pPr>
      <w:r w:rsidRPr="00445A7B">
        <w:rPr>
          <w:rFonts w:ascii="Arial" w:hAnsi="Arial" w:cs="Arial"/>
          <w:color w:val="000000" w:themeColor="text1"/>
          <w:sz w:val="24"/>
          <w:szCs w:val="24"/>
        </w:rPr>
        <w:t>An important feature of this case</w:t>
      </w:r>
      <w:r w:rsidRPr="00445A7B">
        <w:rPr>
          <w:rFonts w:ascii="Arial" w:hAnsi="Arial" w:cs="Arial"/>
          <w:color w:val="FF0000"/>
          <w:sz w:val="24"/>
          <w:szCs w:val="24"/>
        </w:rPr>
        <w:t xml:space="preserve"> </w:t>
      </w:r>
      <w:r w:rsidR="00465650" w:rsidRPr="00445A7B">
        <w:rPr>
          <w:rFonts w:ascii="Arial" w:hAnsi="Arial" w:cs="Arial"/>
          <w:sz w:val="24"/>
          <w:szCs w:val="24"/>
        </w:rPr>
        <w:t>is that the second appellant is not just an heir but a legatee with an interest in the farm. This means that she has direct and substantial interest in the matter since she stands to inherit the farm</w:t>
      </w:r>
      <w:r w:rsidR="00AD59A1" w:rsidRPr="00445A7B">
        <w:rPr>
          <w:rFonts w:ascii="Arial" w:hAnsi="Arial" w:cs="Arial"/>
          <w:sz w:val="24"/>
          <w:szCs w:val="24"/>
        </w:rPr>
        <w:t xml:space="preserve"> with its encumbrances</w:t>
      </w:r>
      <w:r w:rsidR="00465650" w:rsidRPr="00445A7B">
        <w:rPr>
          <w:rFonts w:ascii="Arial" w:hAnsi="Arial" w:cs="Arial"/>
          <w:sz w:val="24"/>
          <w:szCs w:val="24"/>
        </w:rPr>
        <w:t xml:space="preserve">.  In my considered view, denying her the right to be heard seems to go against the dictates of public policy. </w:t>
      </w:r>
    </w:p>
    <w:p w:rsidR="002326A4" w:rsidRPr="002326A4" w:rsidRDefault="002326A4" w:rsidP="00445A7B">
      <w:pPr>
        <w:spacing w:after="0" w:line="480" w:lineRule="auto"/>
        <w:jc w:val="both"/>
        <w:rPr>
          <w:rFonts w:ascii="Arial" w:hAnsi="Arial" w:cs="Arial"/>
          <w:sz w:val="24"/>
          <w:szCs w:val="24"/>
        </w:rPr>
      </w:pPr>
    </w:p>
    <w:p w:rsidR="0090747D" w:rsidRPr="00445A7B" w:rsidRDefault="002326A4" w:rsidP="00445A7B">
      <w:pPr>
        <w:pStyle w:val="ListParagraph"/>
        <w:numPr>
          <w:ilvl w:val="0"/>
          <w:numId w:val="6"/>
        </w:numPr>
        <w:spacing w:after="0" w:line="480" w:lineRule="auto"/>
        <w:ind w:left="0" w:firstLine="0"/>
        <w:jc w:val="both"/>
        <w:rPr>
          <w:rFonts w:ascii="Arial" w:hAnsi="Arial" w:cs="Arial"/>
          <w:sz w:val="24"/>
          <w:szCs w:val="24"/>
        </w:rPr>
      </w:pPr>
      <w:r w:rsidRPr="00445A7B">
        <w:rPr>
          <w:rFonts w:ascii="Arial" w:hAnsi="Arial" w:cs="Arial"/>
          <w:sz w:val="24"/>
          <w:szCs w:val="24"/>
        </w:rPr>
        <w:t xml:space="preserve">Public policy requires principles of law to be applied in a manner that does not result in injustices and thereby failing to serve </w:t>
      </w:r>
      <w:r w:rsidR="001E0A0F" w:rsidRPr="00445A7B">
        <w:rPr>
          <w:rFonts w:ascii="Arial" w:hAnsi="Arial" w:cs="Arial"/>
          <w:sz w:val="24"/>
          <w:szCs w:val="24"/>
        </w:rPr>
        <w:t xml:space="preserve">their </w:t>
      </w:r>
      <w:r w:rsidRPr="00445A7B">
        <w:rPr>
          <w:rFonts w:ascii="Arial" w:hAnsi="Arial" w:cs="Arial"/>
          <w:sz w:val="24"/>
          <w:szCs w:val="24"/>
        </w:rPr>
        <w:t>ultimate purpose. In light of this</w:t>
      </w:r>
      <w:r w:rsidR="005E6AD2" w:rsidRPr="00445A7B">
        <w:rPr>
          <w:rFonts w:ascii="Arial" w:hAnsi="Arial" w:cs="Arial"/>
          <w:sz w:val="24"/>
          <w:szCs w:val="24"/>
        </w:rPr>
        <w:t xml:space="preserve"> overriding consideration</w:t>
      </w:r>
      <w:r w:rsidRPr="00445A7B">
        <w:rPr>
          <w:rFonts w:ascii="Arial" w:hAnsi="Arial" w:cs="Arial"/>
          <w:sz w:val="24"/>
          <w:szCs w:val="24"/>
        </w:rPr>
        <w:t>, I find that the rule which only authori</w:t>
      </w:r>
      <w:r w:rsidR="001E0A0F" w:rsidRPr="00445A7B">
        <w:rPr>
          <w:rFonts w:ascii="Arial" w:hAnsi="Arial" w:cs="Arial"/>
          <w:sz w:val="24"/>
          <w:szCs w:val="24"/>
        </w:rPr>
        <w:t>s</w:t>
      </w:r>
      <w:r w:rsidRPr="00445A7B">
        <w:rPr>
          <w:rFonts w:ascii="Arial" w:hAnsi="Arial" w:cs="Arial"/>
          <w:sz w:val="24"/>
          <w:szCs w:val="24"/>
        </w:rPr>
        <w:t xml:space="preserve">es </w:t>
      </w:r>
      <w:r w:rsidR="001E0A0F" w:rsidRPr="00445A7B">
        <w:rPr>
          <w:rFonts w:ascii="Arial" w:hAnsi="Arial" w:cs="Arial"/>
          <w:sz w:val="24"/>
          <w:szCs w:val="24"/>
        </w:rPr>
        <w:t xml:space="preserve">an </w:t>
      </w:r>
      <w:r w:rsidRPr="00445A7B">
        <w:rPr>
          <w:rFonts w:ascii="Arial" w:hAnsi="Arial" w:cs="Arial"/>
          <w:sz w:val="24"/>
          <w:szCs w:val="24"/>
        </w:rPr>
        <w:t xml:space="preserve">executor to sue on behalf of the estate was developed for the following reasons: </w:t>
      </w:r>
      <w:r w:rsidR="0058039A" w:rsidRPr="00445A7B">
        <w:rPr>
          <w:rFonts w:ascii="Arial" w:hAnsi="Arial" w:cs="Arial"/>
          <w:sz w:val="24"/>
          <w:szCs w:val="24"/>
        </w:rPr>
        <w:t>to avoid duplications of suits by</w:t>
      </w:r>
      <w:r w:rsidR="00BB55F5" w:rsidRPr="00445A7B">
        <w:rPr>
          <w:rFonts w:ascii="Arial" w:hAnsi="Arial" w:cs="Arial"/>
          <w:sz w:val="24"/>
          <w:szCs w:val="24"/>
        </w:rPr>
        <w:t xml:space="preserve"> </w:t>
      </w:r>
      <w:r w:rsidRPr="00445A7B">
        <w:rPr>
          <w:rFonts w:ascii="Arial" w:hAnsi="Arial" w:cs="Arial"/>
          <w:sz w:val="24"/>
          <w:szCs w:val="24"/>
        </w:rPr>
        <w:t>heirs who may have</w:t>
      </w:r>
      <w:r w:rsidR="0058039A" w:rsidRPr="00445A7B">
        <w:rPr>
          <w:rFonts w:ascii="Arial" w:hAnsi="Arial" w:cs="Arial"/>
          <w:sz w:val="24"/>
          <w:szCs w:val="24"/>
        </w:rPr>
        <w:t xml:space="preserve"> conflicting interests, who may act exclusively without the consent </w:t>
      </w:r>
      <w:r w:rsidR="005E7AD7" w:rsidRPr="00445A7B">
        <w:rPr>
          <w:rFonts w:ascii="Arial" w:hAnsi="Arial" w:cs="Arial"/>
          <w:sz w:val="24"/>
          <w:szCs w:val="24"/>
        </w:rPr>
        <w:t xml:space="preserve">or cooperation </w:t>
      </w:r>
      <w:r w:rsidR="0058039A" w:rsidRPr="00445A7B">
        <w:rPr>
          <w:rFonts w:ascii="Arial" w:hAnsi="Arial" w:cs="Arial"/>
          <w:sz w:val="24"/>
          <w:szCs w:val="24"/>
        </w:rPr>
        <w:t xml:space="preserve">of the executor and therefore </w:t>
      </w:r>
      <w:r w:rsidR="005E7AD7" w:rsidRPr="00445A7B">
        <w:rPr>
          <w:rFonts w:ascii="Arial" w:hAnsi="Arial" w:cs="Arial"/>
          <w:sz w:val="24"/>
          <w:szCs w:val="24"/>
        </w:rPr>
        <w:t xml:space="preserve">potentially </w:t>
      </w:r>
      <w:r w:rsidR="0058039A" w:rsidRPr="00445A7B">
        <w:rPr>
          <w:rFonts w:ascii="Arial" w:hAnsi="Arial" w:cs="Arial"/>
          <w:sz w:val="24"/>
          <w:szCs w:val="24"/>
        </w:rPr>
        <w:t xml:space="preserve">prejudice </w:t>
      </w:r>
      <w:r w:rsidR="00B20645" w:rsidRPr="00445A7B">
        <w:rPr>
          <w:rFonts w:ascii="Arial" w:hAnsi="Arial" w:cs="Arial"/>
          <w:sz w:val="24"/>
          <w:szCs w:val="24"/>
        </w:rPr>
        <w:t>other heirs or legatees</w:t>
      </w:r>
      <w:r w:rsidR="00AD59A1" w:rsidRPr="00445A7B">
        <w:rPr>
          <w:rFonts w:ascii="Arial" w:hAnsi="Arial" w:cs="Arial"/>
          <w:sz w:val="24"/>
          <w:szCs w:val="24"/>
        </w:rPr>
        <w:t xml:space="preserve"> or creditors</w:t>
      </w:r>
      <w:r w:rsidR="00B20645" w:rsidRPr="00445A7B">
        <w:rPr>
          <w:rFonts w:ascii="Arial" w:hAnsi="Arial" w:cs="Arial"/>
          <w:sz w:val="24"/>
          <w:szCs w:val="24"/>
        </w:rPr>
        <w:t>; for</w:t>
      </w:r>
      <w:r w:rsidR="00E97486" w:rsidRPr="00445A7B">
        <w:rPr>
          <w:rFonts w:ascii="Arial" w:hAnsi="Arial" w:cs="Arial"/>
          <w:sz w:val="24"/>
          <w:szCs w:val="24"/>
        </w:rPr>
        <w:t xml:space="preserve"> </w:t>
      </w:r>
      <w:r w:rsidR="00BB55F5" w:rsidRPr="00445A7B">
        <w:rPr>
          <w:rFonts w:ascii="Arial" w:hAnsi="Arial" w:cs="Arial"/>
          <w:sz w:val="24"/>
          <w:szCs w:val="24"/>
        </w:rPr>
        <w:t>the</w:t>
      </w:r>
      <w:r w:rsidR="00372957" w:rsidRPr="00445A7B">
        <w:rPr>
          <w:rFonts w:ascii="Arial" w:hAnsi="Arial" w:cs="Arial"/>
          <w:sz w:val="24"/>
          <w:szCs w:val="24"/>
        </w:rPr>
        <w:t xml:space="preserve"> protect</w:t>
      </w:r>
      <w:r w:rsidR="00BB55F5" w:rsidRPr="00445A7B">
        <w:rPr>
          <w:rFonts w:ascii="Arial" w:hAnsi="Arial" w:cs="Arial"/>
          <w:sz w:val="24"/>
          <w:szCs w:val="24"/>
        </w:rPr>
        <w:t xml:space="preserve">ion </w:t>
      </w:r>
      <w:r w:rsidR="00AD59A1" w:rsidRPr="00445A7B">
        <w:rPr>
          <w:rFonts w:ascii="Arial" w:hAnsi="Arial" w:cs="Arial"/>
          <w:sz w:val="24"/>
          <w:szCs w:val="24"/>
        </w:rPr>
        <w:t xml:space="preserve">of </w:t>
      </w:r>
      <w:r w:rsidR="00BB55F5" w:rsidRPr="00445A7B">
        <w:rPr>
          <w:rFonts w:ascii="Arial" w:hAnsi="Arial" w:cs="Arial"/>
          <w:sz w:val="24"/>
          <w:szCs w:val="24"/>
        </w:rPr>
        <w:t xml:space="preserve">vulnerable </w:t>
      </w:r>
      <w:r w:rsidR="00372957" w:rsidRPr="00445A7B">
        <w:rPr>
          <w:rFonts w:ascii="Arial" w:hAnsi="Arial" w:cs="Arial"/>
          <w:sz w:val="24"/>
          <w:szCs w:val="24"/>
        </w:rPr>
        <w:t>heirs</w:t>
      </w:r>
      <w:r w:rsidR="00BB55F5" w:rsidRPr="00445A7B">
        <w:rPr>
          <w:rFonts w:ascii="Arial" w:hAnsi="Arial" w:cs="Arial"/>
          <w:sz w:val="24"/>
          <w:szCs w:val="24"/>
        </w:rPr>
        <w:t xml:space="preserve"> </w:t>
      </w:r>
      <w:r w:rsidR="005A3D9D" w:rsidRPr="00445A7B">
        <w:rPr>
          <w:rFonts w:ascii="Arial" w:hAnsi="Arial" w:cs="Arial"/>
          <w:sz w:val="24"/>
          <w:szCs w:val="24"/>
        </w:rPr>
        <w:t>who</w:t>
      </w:r>
      <w:r w:rsidR="00BB55F5" w:rsidRPr="00445A7B">
        <w:rPr>
          <w:rFonts w:ascii="Arial" w:hAnsi="Arial" w:cs="Arial"/>
          <w:sz w:val="24"/>
          <w:szCs w:val="24"/>
        </w:rPr>
        <w:t xml:space="preserve"> </w:t>
      </w:r>
      <w:r w:rsidR="001E0A0F" w:rsidRPr="00445A7B">
        <w:rPr>
          <w:rFonts w:ascii="Arial" w:hAnsi="Arial" w:cs="Arial"/>
          <w:sz w:val="24"/>
          <w:szCs w:val="24"/>
        </w:rPr>
        <w:t xml:space="preserve">may not afford </w:t>
      </w:r>
      <w:r w:rsidR="0058039A" w:rsidRPr="00445A7B">
        <w:rPr>
          <w:rFonts w:ascii="Arial" w:hAnsi="Arial" w:cs="Arial"/>
          <w:sz w:val="24"/>
          <w:szCs w:val="24"/>
        </w:rPr>
        <w:t>costly litigation t</w:t>
      </w:r>
      <w:r w:rsidR="001E0A0F" w:rsidRPr="00445A7B">
        <w:rPr>
          <w:rFonts w:ascii="Arial" w:hAnsi="Arial" w:cs="Arial"/>
          <w:sz w:val="24"/>
          <w:szCs w:val="24"/>
        </w:rPr>
        <w:t xml:space="preserve">o </w:t>
      </w:r>
      <w:r w:rsidR="005A3D9D" w:rsidRPr="00445A7B">
        <w:rPr>
          <w:rFonts w:ascii="Arial" w:hAnsi="Arial" w:cs="Arial"/>
          <w:sz w:val="24"/>
          <w:szCs w:val="24"/>
        </w:rPr>
        <w:t xml:space="preserve">safeguard their </w:t>
      </w:r>
      <w:r w:rsidR="001E0A0F" w:rsidRPr="00445A7B">
        <w:rPr>
          <w:rFonts w:ascii="Arial" w:hAnsi="Arial" w:cs="Arial"/>
          <w:sz w:val="24"/>
          <w:szCs w:val="24"/>
        </w:rPr>
        <w:t>rights</w:t>
      </w:r>
      <w:r w:rsidR="005A3D9D" w:rsidRPr="00445A7B">
        <w:rPr>
          <w:rFonts w:ascii="Arial" w:hAnsi="Arial" w:cs="Arial"/>
          <w:sz w:val="24"/>
          <w:szCs w:val="24"/>
        </w:rPr>
        <w:t xml:space="preserve"> to inheritance</w:t>
      </w:r>
      <w:r w:rsidR="00E97486" w:rsidRPr="00445A7B">
        <w:rPr>
          <w:rFonts w:ascii="Arial" w:hAnsi="Arial" w:cs="Arial"/>
          <w:sz w:val="24"/>
          <w:szCs w:val="24"/>
        </w:rPr>
        <w:t xml:space="preserve">. </w:t>
      </w:r>
      <w:r w:rsidR="00844C17" w:rsidRPr="00445A7B">
        <w:rPr>
          <w:rFonts w:ascii="Arial" w:hAnsi="Arial" w:cs="Arial"/>
          <w:sz w:val="24"/>
          <w:szCs w:val="24"/>
        </w:rPr>
        <w:t xml:space="preserve">I </w:t>
      </w:r>
      <w:r w:rsidR="001E0A0F" w:rsidRPr="00445A7B">
        <w:rPr>
          <w:rFonts w:ascii="Arial" w:hAnsi="Arial" w:cs="Arial"/>
          <w:sz w:val="24"/>
          <w:szCs w:val="24"/>
        </w:rPr>
        <w:t xml:space="preserve">agree with </w:t>
      </w:r>
      <w:r w:rsidR="00844C17" w:rsidRPr="00445A7B">
        <w:rPr>
          <w:rFonts w:ascii="Arial" w:hAnsi="Arial" w:cs="Arial"/>
          <w:sz w:val="24"/>
          <w:szCs w:val="24"/>
        </w:rPr>
        <w:t xml:space="preserve">counsel for the appellants </w:t>
      </w:r>
      <w:r w:rsidR="0090747D" w:rsidRPr="00445A7B">
        <w:rPr>
          <w:rFonts w:ascii="Arial" w:hAnsi="Arial" w:cs="Arial"/>
          <w:sz w:val="24"/>
          <w:szCs w:val="24"/>
        </w:rPr>
        <w:t xml:space="preserve">that a rigid application of the rule has the potential </w:t>
      </w:r>
      <w:r w:rsidR="00844C17" w:rsidRPr="00445A7B">
        <w:rPr>
          <w:rFonts w:ascii="Arial" w:hAnsi="Arial" w:cs="Arial"/>
          <w:sz w:val="24"/>
          <w:szCs w:val="24"/>
        </w:rPr>
        <w:t xml:space="preserve">of doing an injustice to </w:t>
      </w:r>
      <w:r w:rsidR="0090747D" w:rsidRPr="00445A7B">
        <w:rPr>
          <w:rFonts w:ascii="Arial" w:hAnsi="Arial" w:cs="Arial"/>
          <w:sz w:val="24"/>
          <w:szCs w:val="24"/>
        </w:rPr>
        <w:t>heirs and legatees.</w:t>
      </w:r>
    </w:p>
    <w:p w:rsidR="00B20645" w:rsidRDefault="00B20645" w:rsidP="00445A7B">
      <w:pPr>
        <w:spacing w:after="0" w:line="480" w:lineRule="auto"/>
        <w:jc w:val="both"/>
        <w:rPr>
          <w:rFonts w:ascii="Arial" w:hAnsi="Arial" w:cs="Arial"/>
          <w:sz w:val="24"/>
          <w:szCs w:val="24"/>
        </w:rPr>
      </w:pPr>
    </w:p>
    <w:p w:rsidR="00B20645" w:rsidRPr="00445A7B" w:rsidRDefault="0090747D" w:rsidP="00445A7B">
      <w:pPr>
        <w:pStyle w:val="ListParagraph"/>
        <w:numPr>
          <w:ilvl w:val="0"/>
          <w:numId w:val="6"/>
        </w:numPr>
        <w:spacing w:after="0" w:line="480" w:lineRule="auto"/>
        <w:ind w:left="0" w:firstLine="0"/>
        <w:jc w:val="both"/>
        <w:rPr>
          <w:rFonts w:ascii="Arial" w:hAnsi="Arial" w:cs="Arial"/>
          <w:sz w:val="24"/>
          <w:szCs w:val="24"/>
        </w:rPr>
      </w:pPr>
      <w:r w:rsidRPr="00445A7B">
        <w:rPr>
          <w:rFonts w:ascii="Arial" w:hAnsi="Arial" w:cs="Arial"/>
          <w:sz w:val="24"/>
          <w:szCs w:val="24"/>
        </w:rPr>
        <w:t>A</w:t>
      </w:r>
      <w:r w:rsidR="00B20645" w:rsidRPr="00445A7B">
        <w:rPr>
          <w:rFonts w:ascii="Arial" w:hAnsi="Arial" w:cs="Arial"/>
          <w:sz w:val="24"/>
          <w:szCs w:val="24"/>
        </w:rPr>
        <w:t xml:space="preserve">ccess to justice is one of the rights guaranteed by our constitution as a means for people to protect and enforce their rights. To close the doors of justice to a widow with a legitimate interest in the subject matter of the litigation </w:t>
      </w:r>
      <w:r w:rsidRPr="00445A7B">
        <w:rPr>
          <w:rFonts w:ascii="Arial" w:hAnsi="Arial" w:cs="Arial"/>
          <w:sz w:val="24"/>
          <w:szCs w:val="24"/>
        </w:rPr>
        <w:t xml:space="preserve">and who combines forces </w:t>
      </w:r>
      <w:r w:rsidRPr="00445A7B">
        <w:rPr>
          <w:rFonts w:ascii="Arial" w:hAnsi="Arial" w:cs="Arial"/>
          <w:sz w:val="24"/>
          <w:szCs w:val="24"/>
        </w:rPr>
        <w:lastRenderedPageBreak/>
        <w:t xml:space="preserve">with the executrix </w:t>
      </w:r>
      <w:r w:rsidR="00B20645" w:rsidRPr="00445A7B">
        <w:rPr>
          <w:rFonts w:ascii="Arial" w:hAnsi="Arial" w:cs="Arial"/>
          <w:sz w:val="24"/>
          <w:szCs w:val="24"/>
        </w:rPr>
        <w:t>would fly in the face of her constitutional right to be heard by an impartial a</w:t>
      </w:r>
      <w:r w:rsidR="00844C17" w:rsidRPr="00445A7B">
        <w:rPr>
          <w:rFonts w:ascii="Arial" w:hAnsi="Arial" w:cs="Arial"/>
          <w:sz w:val="24"/>
          <w:szCs w:val="24"/>
        </w:rPr>
        <w:t xml:space="preserve">nd independent court, particularly in </w:t>
      </w:r>
      <w:r w:rsidRPr="00445A7B">
        <w:rPr>
          <w:rFonts w:ascii="Arial" w:hAnsi="Arial" w:cs="Arial"/>
          <w:sz w:val="24"/>
          <w:szCs w:val="24"/>
        </w:rPr>
        <w:t xml:space="preserve">a </w:t>
      </w:r>
      <w:r w:rsidR="00844C17" w:rsidRPr="00445A7B">
        <w:rPr>
          <w:rFonts w:ascii="Arial" w:hAnsi="Arial" w:cs="Arial"/>
          <w:sz w:val="24"/>
          <w:szCs w:val="24"/>
        </w:rPr>
        <w:t xml:space="preserve">dispute involving land which is </w:t>
      </w:r>
      <w:r w:rsidR="00B20645" w:rsidRPr="00445A7B">
        <w:rPr>
          <w:rFonts w:ascii="Arial" w:hAnsi="Arial" w:cs="Arial"/>
          <w:sz w:val="24"/>
          <w:szCs w:val="24"/>
        </w:rPr>
        <w:t xml:space="preserve">of paramount importance to the citizens of Namibia. </w:t>
      </w:r>
    </w:p>
    <w:p w:rsidR="00844C17" w:rsidRDefault="00844C17" w:rsidP="00445A7B">
      <w:pPr>
        <w:spacing w:after="0" w:line="480" w:lineRule="auto"/>
        <w:jc w:val="both"/>
        <w:rPr>
          <w:rFonts w:ascii="Arial" w:hAnsi="Arial" w:cs="Arial"/>
          <w:sz w:val="24"/>
          <w:szCs w:val="24"/>
        </w:rPr>
      </w:pPr>
    </w:p>
    <w:p w:rsidR="002326A4" w:rsidRPr="00445A7B" w:rsidRDefault="00F85EC7" w:rsidP="00445A7B">
      <w:pPr>
        <w:pStyle w:val="ListParagraph"/>
        <w:numPr>
          <w:ilvl w:val="0"/>
          <w:numId w:val="6"/>
        </w:numPr>
        <w:spacing w:after="0" w:line="480" w:lineRule="auto"/>
        <w:ind w:left="0" w:firstLine="0"/>
        <w:jc w:val="both"/>
        <w:rPr>
          <w:rFonts w:ascii="Arial" w:hAnsi="Arial" w:cs="Arial"/>
          <w:sz w:val="24"/>
          <w:szCs w:val="24"/>
        </w:rPr>
      </w:pPr>
      <w:r w:rsidRPr="00445A7B">
        <w:rPr>
          <w:rFonts w:ascii="Arial" w:hAnsi="Arial" w:cs="Arial"/>
          <w:sz w:val="24"/>
          <w:szCs w:val="24"/>
        </w:rPr>
        <w:t xml:space="preserve">Therefore, </w:t>
      </w:r>
      <w:r w:rsidR="00E97486" w:rsidRPr="00445A7B">
        <w:rPr>
          <w:rFonts w:ascii="Arial" w:hAnsi="Arial" w:cs="Arial"/>
          <w:sz w:val="24"/>
          <w:szCs w:val="24"/>
        </w:rPr>
        <w:t>I am of the considered view that</w:t>
      </w:r>
      <w:r w:rsidR="001419E4" w:rsidRPr="00445A7B">
        <w:rPr>
          <w:rFonts w:ascii="Arial" w:hAnsi="Arial" w:cs="Arial"/>
          <w:sz w:val="24"/>
          <w:szCs w:val="24"/>
        </w:rPr>
        <w:t xml:space="preserve"> where a </w:t>
      </w:r>
      <w:r w:rsidR="00F827B8" w:rsidRPr="00445A7B">
        <w:rPr>
          <w:rFonts w:ascii="Arial" w:hAnsi="Arial" w:cs="Arial"/>
          <w:sz w:val="24"/>
          <w:szCs w:val="24"/>
        </w:rPr>
        <w:t>sole</w:t>
      </w:r>
      <w:r w:rsidR="001419E4" w:rsidRPr="00445A7B">
        <w:rPr>
          <w:rFonts w:ascii="Arial" w:hAnsi="Arial" w:cs="Arial"/>
          <w:sz w:val="24"/>
          <w:szCs w:val="24"/>
        </w:rPr>
        <w:t xml:space="preserve"> legatee acts with the consent of the executrix to vindicate a specific asset of the estate because </w:t>
      </w:r>
      <w:r w:rsidR="00E97486" w:rsidRPr="00445A7B">
        <w:rPr>
          <w:rFonts w:ascii="Arial" w:hAnsi="Arial" w:cs="Arial"/>
          <w:sz w:val="24"/>
          <w:szCs w:val="24"/>
        </w:rPr>
        <w:t>his/</w:t>
      </w:r>
      <w:r w:rsidR="001419E4" w:rsidRPr="00445A7B">
        <w:rPr>
          <w:rFonts w:ascii="Arial" w:hAnsi="Arial" w:cs="Arial"/>
          <w:sz w:val="24"/>
          <w:szCs w:val="24"/>
        </w:rPr>
        <w:t xml:space="preserve">her right </w:t>
      </w:r>
      <w:r w:rsidR="0090747D" w:rsidRPr="00445A7B">
        <w:rPr>
          <w:rFonts w:ascii="Arial" w:hAnsi="Arial" w:cs="Arial"/>
          <w:sz w:val="24"/>
          <w:szCs w:val="24"/>
        </w:rPr>
        <w:t>in</w:t>
      </w:r>
      <w:r w:rsidR="00105FCE" w:rsidRPr="00445A7B">
        <w:rPr>
          <w:rFonts w:ascii="Arial" w:hAnsi="Arial" w:cs="Arial"/>
          <w:sz w:val="24"/>
          <w:szCs w:val="24"/>
        </w:rPr>
        <w:t xml:space="preserve"> the asset</w:t>
      </w:r>
      <w:r w:rsidR="00A35229" w:rsidRPr="00445A7B">
        <w:rPr>
          <w:rFonts w:ascii="Arial" w:hAnsi="Arial" w:cs="Arial"/>
          <w:sz w:val="24"/>
          <w:szCs w:val="24"/>
        </w:rPr>
        <w:t xml:space="preserve"> in question</w:t>
      </w:r>
      <w:r w:rsidR="00105FCE" w:rsidRPr="00445A7B">
        <w:rPr>
          <w:rFonts w:ascii="Arial" w:hAnsi="Arial" w:cs="Arial"/>
          <w:sz w:val="24"/>
          <w:szCs w:val="24"/>
        </w:rPr>
        <w:t xml:space="preserve"> </w:t>
      </w:r>
      <w:r w:rsidR="001419E4" w:rsidRPr="00445A7B">
        <w:rPr>
          <w:rFonts w:ascii="Arial" w:hAnsi="Arial" w:cs="Arial"/>
          <w:sz w:val="24"/>
          <w:szCs w:val="24"/>
        </w:rPr>
        <w:t>is infringed or threatened, the rule should be relaxed</w:t>
      </w:r>
      <w:r w:rsidR="00145C0F" w:rsidRPr="00445A7B">
        <w:rPr>
          <w:rFonts w:ascii="Arial" w:hAnsi="Arial" w:cs="Arial"/>
          <w:sz w:val="24"/>
          <w:szCs w:val="24"/>
        </w:rPr>
        <w:t xml:space="preserve"> to allow the heir or legatee to institute proceedings jointly with the executor</w:t>
      </w:r>
      <w:r w:rsidR="001419E4" w:rsidRPr="00445A7B">
        <w:rPr>
          <w:rFonts w:ascii="Arial" w:hAnsi="Arial" w:cs="Arial"/>
          <w:sz w:val="24"/>
          <w:szCs w:val="24"/>
        </w:rPr>
        <w:t xml:space="preserve">. </w:t>
      </w:r>
      <w:r w:rsidR="001E13A9" w:rsidRPr="00445A7B">
        <w:rPr>
          <w:rFonts w:ascii="Arial" w:hAnsi="Arial" w:cs="Arial"/>
          <w:sz w:val="24"/>
          <w:szCs w:val="24"/>
        </w:rPr>
        <w:t xml:space="preserve">In light of the above considerations, the ground of exception based on </w:t>
      </w:r>
      <w:r w:rsidR="001E13A9" w:rsidRPr="00445A7B">
        <w:rPr>
          <w:rFonts w:ascii="Arial" w:hAnsi="Arial" w:cs="Arial"/>
          <w:i/>
          <w:sz w:val="24"/>
          <w:szCs w:val="24"/>
        </w:rPr>
        <w:t xml:space="preserve">locus standi </w:t>
      </w:r>
      <w:r w:rsidR="0090747D" w:rsidRPr="00445A7B">
        <w:rPr>
          <w:rFonts w:ascii="Arial" w:hAnsi="Arial" w:cs="Arial"/>
          <w:sz w:val="24"/>
          <w:szCs w:val="24"/>
        </w:rPr>
        <w:t xml:space="preserve">should have been </w:t>
      </w:r>
      <w:r w:rsidR="001E13A9" w:rsidRPr="00445A7B">
        <w:rPr>
          <w:rFonts w:ascii="Arial" w:hAnsi="Arial" w:cs="Arial"/>
          <w:sz w:val="24"/>
          <w:szCs w:val="24"/>
        </w:rPr>
        <w:t xml:space="preserve">dismissed. </w:t>
      </w:r>
      <w:r w:rsidR="00145C0F" w:rsidRPr="00445A7B">
        <w:rPr>
          <w:rFonts w:ascii="Arial" w:hAnsi="Arial" w:cs="Arial"/>
          <w:sz w:val="24"/>
          <w:szCs w:val="24"/>
        </w:rPr>
        <w:t>The court below erred in</w:t>
      </w:r>
      <w:r w:rsidR="005E6AD2" w:rsidRPr="00445A7B">
        <w:rPr>
          <w:rFonts w:ascii="Arial" w:hAnsi="Arial" w:cs="Arial"/>
          <w:sz w:val="24"/>
          <w:szCs w:val="24"/>
        </w:rPr>
        <w:t xml:space="preserve"> upholding the exception based on this ground</w:t>
      </w:r>
      <w:r w:rsidR="009670E3" w:rsidRPr="00445A7B">
        <w:rPr>
          <w:rFonts w:ascii="Arial" w:hAnsi="Arial" w:cs="Arial"/>
          <w:sz w:val="24"/>
          <w:szCs w:val="24"/>
        </w:rPr>
        <w:t xml:space="preserve">. </w:t>
      </w:r>
    </w:p>
    <w:p w:rsidR="00445A7B" w:rsidRDefault="00445A7B" w:rsidP="00445A7B">
      <w:pPr>
        <w:pStyle w:val="ListParagraph"/>
        <w:spacing w:after="0" w:line="480" w:lineRule="auto"/>
        <w:ind w:left="0"/>
        <w:jc w:val="both"/>
        <w:rPr>
          <w:rFonts w:ascii="Arial" w:eastAsiaTheme="minorHAnsi" w:hAnsi="Arial" w:cs="Arial"/>
          <w:sz w:val="24"/>
          <w:szCs w:val="24"/>
          <w:lang w:val="en-US"/>
        </w:rPr>
      </w:pPr>
    </w:p>
    <w:p w:rsidR="007626EC" w:rsidRPr="00445A7B" w:rsidRDefault="00DF3FDC" w:rsidP="00445A7B">
      <w:pPr>
        <w:pStyle w:val="ListParagraph"/>
        <w:spacing w:after="0" w:line="480" w:lineRule="auto"/>
        <w:ind w:left="0"/>
        <w:jc w:val="both"/>
        <w:rPr>
          <w:rFonts w:ascii="Arial" w:hAnsi="Arial" w:cs="Arial"/>
          <w:sz w:val="24"/>
          <w:szCs w:val="24"/>
        </w:rPr>
      </w:pPr>
      <w:r w:rsidRPr="00445A7B">
        <w:rPr>
          <w:rFonts w:ascii="Arial" w:hAnsi="Arial" w:cs="Arial"/>
          <w:i/>
          <w:sz w:val="24"/>
          <w:szCs w:val="24"/>
        </w:rPr>
        <w:t xml:space="preserve">Submission </w:t>
      </w:r>
      <w:r w:rsidR="000B6FE4" w:rsidRPr="00445A7B">
        <w:rPr>
          <w:rFonts w:ascii="Arial" w:hAnsi="Arial" w:cs="Arial"/>
          <w:i/>
          <w:sz w:val="24"/>
          <w:szCs w:val="24"/>
        </w:rPr>
        <w:t xml:space="preserve">in respect of </w:t>
      </w:r>
      <w:r w:rsidRPr="00445A7B">
        <w:rPr>
          <w:rFonts w:ascii="Arial" w:hAnsi="Arial" w:cs="Arial"/>
          <w:i/>
          <w:sz w:val="24"/>
          <w:szCs w:val="24"/>
        </w:rPr>
        <w:t>no cause of action</w:t>
      </w:r>
    </w:p>
    <w:p w:rsidR="000B6FE4" w:rsidRPr="00445A7B" w:rsidRDefault="00CB0492" w:rsidP="00445A7B">
      <w:pPr>
        <w:pStyle w:val="ListParagraph"/>
        <w:numPr>
          <w:ilvl w:val="0"/>
          <w:numId w:val="6"/>
        </w:numPr>
        <w:spacing w:after="0" w:line="480" w:lineRule="auto"/>
        <w:ind w:left="0" w:firstLine="0"/>
        <w:jc w:val="both"/>
        <w:rPr>
          <w:rFonts w:ascii="Arial" w:hAnsi="Arial" w:cs="Arial"/>
          <w:sz w:val="24"/>
          <w:szCs w:val="24"/>
        </w:rPr>
      </w:pPr>
      <w:r w:rsidRPr="00445A7B">
        <w:rPr>
          <w:rFonts w:ascii="Arial" w:hAnsi="Arial" w:cs="Arial"/>
          <w:sz w:val="24"/>
          <w:szCs w:val="24"/>
        </w:rPr>
        <w:t xml:space="preserve">As </w:t>
      </w:r>
      <w:r w:rsidR="0090747D" w:rsidRPr="00445A7B">
        <w:rPr>
          <w:rFonts w:ascii="Arial" w:hAnsi="Arial" w:cs="Arial"/>
          <w:sz w:val="24"/>
          <w:szCs w:val="24"/>
        </w:rPr>
        <w:t>a</w:t>
      </w:r>
      <w:r w:rsidRPr="00445A7B">
        <w:rPr>
          <w:rFonts w:ascii="Arial" w:hAnsi="Arial" w:cs="Arial"/>
          <w:sz w:val="24"/>
          <w:szCs w:val="24"/>
        </w:rPr>
        <w:t xml:space="preserve">lready noted, the </w:t>
      </w:r>
      <w:r w:rsidR="006E2C4A" w:rsidRPr="00445A7B">
        <w:rPr>
          <w:rFonts w:ascii="Arial" w:hAnsi="Arial" w:cs="Arial"/>
          <w:sz w:val="24"/>
          <w:szCs w:val="24"/>
        </w:rPr>
        <w:t>first respondent excep</w:t>
      </w:r>
      <w:r w:rsidR="006E14EE" w:rsidRPr="00445A7B">
        <w:rPr>
          <w:rFonts w:ascii="Arial" w:hAnsi="Arial" w:cs="Arial"/>
          <w:sz w:val="24"/>
          <w:szCs w:val="24"/>
        </w:rPr>
        <w:t xml:space="preserve">ted to the </w:t>
      </w:r>
      <w:r w:rsidRPr="00445A7B">
        <w:rPr>
          <w:rFonts w:ascii="Arial" w:hAnsi="Arial" w:cs="Arial"/>
          <w:sz w:val="24"/>
          <w:szCs w:val="24"/>
        </w:rPr>
        <w:t xml:space="preserve">appellant’s </w:t>
      </w:r>
      <w:r w:rsidR="006E14EE" w:rsidRPr="00445A7B">
        <w:rPr>
          <w:rFonts w:ascii="Arial" w:hAnsi="Arial" w:cs="Arial"/>
          <w:sz w:val="24"/>
          <w:szCs w:val="24"/>
        </w:rPr>
        <w:t xml:space="preserve">particulars of claim </w:t>
      </w:r>
      <w:r w:rsidR="004E6C35" w:rsidRPr="00445A7B">
        <w:rPr>
          <w:rFonts w:ascii="Arial" w:hAnsi="Arial" w:cs="Arial"/>
          <w:sz w:val="24"/>
          <w:szCs w:val="24"/>
        </w:rPr>
        <w:t xml:space="preserve">on the </w:t>
      </w:r>
      <w:r w:rsidRPr="00445A7B">
        <w:rPr>
          <w:rFonts w:ascii="Arial" w:hAnsi="Arial" w:cs="Arial"/>
          <w:sz w:val="24"/>
          <w:szCs w:val="24"/>
        </w:rPr>
        <w:t xml:space="preserve">basis </w:t>
      </w:r>
      <w:r w:rsidR="006E2C4A" w:rsidRPr="00445A7B">
        <w:rPr>
          <w:rFonts w:ascii="Arial" w:hAnsi="Arial" w:cs="Arial"/>
          <w:sz w:val="24"/>
          <w:szCs w:val="24"/>
        </w:rPr>
        <w:t>that it lacks averments necessary to sustain a cause of action</w:t>
      </w:r>
      <w:r w:rsidR="006E14EE" w:rsidRPr="00445A7B">
        <w:rPr>
          <w:rFonts w:ascii="Arial" w:hAnsi="Arial" w:cs="Arial"/>
          <w:i/>
          <w:sz w:val="24"/>
          <w:szCs w:val="24"/>
        </w:rPr>
        <w:t>.</w:t>
      </w:r>
      <w:r w:rsidR="006E14EE" w:rsidRPr="00445A7B">
        <w:rPr>
          <w:rFonts w:ascii="Arial" w:hAnsi="Arial" w:cs="Arial"/>
          <w:sz w:val="24"/>
          <w:szCs w:val="24"/>
        </w:rPr>
        <w:t xml:space="preserve"> </w:t>
      </w:r>
    </w:p>
    <w:p w:rsidR="000B6FE4" w:rsidRDefault="000B6FE4" w:rsidP="00445A7B">
      <w:pPr>
        <w:spacing w:after="0" w:line="480" w:lineRule="auto"/>
        <w:jc w:val="both"/>
        <w:rPr>
          <w:rFonts w:ascii="Arial" w:hAnsi="Arial" w:cs="Arial"/>
          <w:sz w:val="24"/>
          <w:szCs w:val="24"/>
        </w:rPr>
      </w:pPr>
    </w:p>
    <w:p w:rsidR="000B6FE4" w:rsidRPr="00445A7B" w:rsidRDefault="00B91754" w:rsidP="00445A7B">
      <w:pPr>
        <w:pStyle w:val="ListParagraph"/>
        <w:numPr>
          <w:ilvl w:val="0"/>
          <w:numId w:val="6"/>
        </w:numPr>
        <w:spacing w:after="0" w:line="480" w:lineRule="auto"/>
        <w:ind w:left="0" w:firstLine="0"/>
        <w:jc w:val="both"/>
        <w:rPr>
          <w:rFonts w:ascii="Arial" w:hAnsi="Arial" w:cs="Arial"/>
          <w:sz w:val="24"/>
          <w:szCs w:val="24"/>
        </w:rPr>
      </w:pPr>
      <w:r w:rsidRPr="00445A7B">
        <w:rPr>
          <w:rFonts w:ascii="Arial" w:hAnsi="Arial" w:cs="Arial"/>
          <w:sz w:val="24"/>
          <w:szCs w:val="24"/>
        </w:rPr>
        <w:t xml:space="preserve">The first respondent </w:t>
      </w:r>
      <w:r w:rsidR="00145C0F" w:rsidRPr="00445A7B">
        <w:rPr>
          <w:rFonts w:ascii="Arial" w:hAnsi="Arial" w:cs="Arial"/>
          <w:sz w:val="24"/>
          <w:szCs w:val="24"/>
        </w:rPr>
        <w:t xml:space="preserve">contended </w:t>
      </w:r>
      <w:r w:rsidRPr="00445A7B">
        <w:rPr>
          <w:rFonts w:ascii="Arial" w:hAnsi="Arial" w:cs="Arial"/>
          <w:sz w:val="24"/>
          <w:szCs w:val="24"/>
        </w:rPr>
        <w:t xml:space="preserve">that the appellants </w:t>
      </w:r>
      <w:r w:rsidR="00DC3E77" w:rsidRPr="00445A7B">
        <w:rPr>
          <w:rFonts w:ascii="Arial" w:hAnsi="Arial" w:cs="Arial"/>
          <w:sz w:val="24"/>
          <w:szCs w:val="24"/>
        </w:rPr>
        <w:t>simply regu</w:t>
      </w:r>
      <w:r w:rsidR="004E6C35" w:rsidRPr="00445A7B">
        <w:rPr>
          <w:rFonts w:ascii="Arial" w:hAnsi="Arial" w:cs="Arial"/>
          <w:sz w:val="24"/>
          <w:szCs w:val="24"/>
        </w:rPr>
        <w:t>rgitated</w:t>
      </w:r>
      <w:r w:rsidR="00DC3E77" w:rsidRPr="00445A7B">
        <w:rPr>
          <w:rFonts w:ascii="Arial" w:hAnsi="Arial" w:cs="Arial"/>
          <w:sz w:val="24"/>
          <w:szCs w:val="24"/>
        </w:rPr>
        <w:t xml:space="preserve"> the provisions of the alleged oral agreement </w:t>
      </w:r>
      <w:r w:rsidR="005E6AD2" w:rsidRPr="00445A7B">
        <w:rPr>
          <w:rFonts w:ascii="Arial" w:hAnsi="Arial" w:cs="Arial"/>
          <w:sz w:val="24"/>
          <w:szCs w:val="24"/>
        </w:rPr>
        <w:t>between the parties</w:t>
      </w:r>
      <w:r w:rsidR="005E288E" w:rsidRPr="00445A7B">
        <w:rPr>
          <w:rFonts w:ascii="Arial" w:hAnsi="Arial" w:cs="Arial"/>
          <w:sz w:val="24"/>
          <w:szCs w:val="24"/>
        </w:rPr>
        <w:t xml:space="preserve"> without in any way specifying the conduct lead</w:t>
      </w:r>
      <w:r w:rsidR="00145C0F" w:rsidRPr="00445A7B">
        <w:rPr>
          <w:rFonts w:ascii="Arial" w:hAnsi="Arial" w:cs="Arial"/>
          <w:sz w:val="24"/>
          <w:szCs w:val="24"/>
        </w:rPr>
        <w:t>ing</w:t>
      </w:r>
      <w:r w:rsidR="005E288E" w:rsidRPr="00445A7B">
        <w:rPr>
          <w:rFonts w:ascii="Arial" w:hAnsi="Arial" w:cs="Arial"/>
          <w:sz w:val="24"/>
          <w:szCs w:val="24"/>
        </w:rPr>
        <w:t xml:space="preserve"> to a conclusion that the agreement is indeed illegal and amounts to a simulated transaction in order to evade the provisions of the Act. </w:t>
      </w:r>
      <w:r w:rsidR="000B6FE4" w:rsidRPr="00445A7B">
        <w:rPr>
          <w:rFonts w:ascii="Arial" w:hAnsi="Arial" w:cs="Arial"/>
          <w:sz w:val="24"/>
          <w:szCs w:val="24"/>
        </w:rPr>
        <w:t xml:space="preserve">The first respondent </w:t>
      </w:r>
      <w:r w:rsidR="00F74FA6" w:rsidRPr="00445A7B">
        <w:rPr>
          <w:rFonts w:ascii="Arial" w:hAnsi="Arial" w:cs="Arial"/>
          <w:sz w:val="24"/>
          <w:szCs w:val="24"/>
        </w:rPr>
        <w:t xml:space="preserve">further averred that no real agreement </w:t>
      </w:r>
      <w:r w:rsidR="004E6C35" w:rsidRPr="00445A7B">
        <w:rPr>
          <w:rFonts w:ascii="Arial" w:hAnsi="Arial" w:cs="Arial"/>
          <w:sz w:val="24"/>
          <w:szCs w:val="24"/>
        </w:rPr>
        <w:t>different from</w:t>
      </w:r>
      <w:r w:rsidR="00F74FA6" w:rsidRPr="00445A7B">
        <w:rPr>
          <w:rFonts w:ascii="Arial" w:hAnsi="Arial" w:cs="Arial"/>
          <w:sz w:val="24"/>
          <w:szCs w:val="24"/>
        </w:rPr>
        <w:t xml:space="preserve"> the alleged simu</w:t>
      </w:r>
      <w:r w:rsidR="000B6FE4" w:rsidRPr="00445A7B">
        <w:rPr>
          <w:rFonts w:ascii="Arial" w:hAnsi="Arial" w:cs="Arial"/>
          <w:sz w:val="24"/>
          <w:szCs w:val="24"/>
        </w:rPr>
        <w:t xml:space="preserve">lated oral agreement is alleged. </w:t>
      </w:r>
      <w:r w:rsidR="00CB0492" w:rsidRPr="00445A7B">
        <w:rPr>
          <w:rFonts w:ascii="Arial" w:hAnsi="Arial" w:cs="Arial"/>
          <w:sz w:val="24"/>
          <w:szCs w:val="24"/>
        </w:rPr>
        <w:t xml:space="preserve">As a result, it was contended that the appellants had failed to set out material facts to establish that the alleged agreement was simulated and entered into </w:t>
      </w:r>
      <w:r w:rsidR="00CB0492" w:rsidRPr="00445A7B">
        <w:rPr>
          <w:rFonts w:ascii="Arial" w:hAnsi="Arial" w:cs="Arial"/>
          <w:i/>
          <w:sz w:val="24"/>
          <w:szCs w:val="24"/>
        </w:rPr>
        <w:t>fraudem legis</w:t>
      </w:r>
      <w:r w:rsidR="00AC0117" w:rsidRPr="00445A7B">
        <w:rPr>
          <w:rFonts w:ascii="Arial" w:hAnsi="Arial" w:cs="Arial"/>
          <w:sz w:val="24"/>
          <w:szCs w:val="24"/>
        </w:rPr>
        <w:t>.</w:t>
      </w:r>
    </w:p>
    <w:p w:rsidR="001A7B68" w:rsidRDefault="000B6FE4" w:rsidP="00445A7B">
      <w:pPr>
        <w:pStyle w:val="ListParagraph"/>
        <w:numPr>
          <w:ilvl w:val="0"/>
          <w:numId w:val="6"/>
        </w:numPr>
        <w:spacing w:after="0" w:line="480" w:lineRule="auto"/>
        <w:ind w:left="0" w:firstLine="0"/>
        <w:jc w:val="both"/>
        <w:rPr>
          <w:rFonts w:ascii="Arial" w:hAnsi="Arial" w:cs="Arial"/>
          <w:sz w:val="24"/>
          <w:szCs w:val="24"/>
        </w:rPr>
      </w:pPr>
      <w:r w:rsidRPr="00445A7B">
        <w:rPr>
          <w:rFonts w:ascii="Arial" w:hAnsi="Arial" w:cs="Arial"/>
          <w:sz w:val="24"/>
          <w:szCs w:val="24"/>
        </w:rPr>
        <w:lastRenderedPageBreak/>
        <w:t>On behalf of the appellants, c</w:t>
      </w:r>
      <w:r w:rsidR="00735180" w:rsidRPr="00445A7B">
        <w:rPr>
          <w:rFonts w:ascii="Arial" w:hAnsi="Arial" w:cs="Arial"/>
          <w:sz w:val="24"/>
          <w:szCs w:val="24"/>
        </w:rPr>
        <w:t xml:space="preserve">ounsel submitted </w:t>
      </w:r>
      <w:r w:rsidR="00694866" w:rsidRPr="00445A7B">
        <w:rPr>
          <w:rFonts w:ascii="Arial" w:hAnsi="Arial" w:cs="Arial"/>
          <w:sz w:val="24"/>
          <w:szCs w:val="24"/>
        </w:rPr>
        <w:t xml:space="preserve">that the </w:t>
      </w:r>
      <w:r w:rsidR="00735180" w:rsidRPr="00445A7B">
        <w:rPr>
          <w:rFonts w:ascii="Arial" w:hAnsi="Arial" w:cs="Arial"/>
          <w:sz w:val="24"/>
          <w:szCs w:val="24"/>
        </w:rPr>
        <w:t xml:space="preserve">particulars of claim </w:t>
      </w:r>
      <w:r w:rsidRPr="00445A7B">
        <w:rPr>
          <w:rFonts w:ascii="Arial" w:hAnsi="Arial" w:cs="Arial"/>
          <w:sz w:val="24"/>
          <w:szCs w:val="24"/>
        </w:rPr>
        <w:t xml:space="preserve">clearly and </w:t>
      </w:r>
      <w:r w:rsidR="00735180" w:rsidRPr="00445A7B">
        <w:rPr>
          <w:rFonts w:ascii="Arial" w:hAnsi="Arial" w:cs="Arial"/>
          <w:sz w:val="24"/>
          <w:szCs w:val="24"/>
        </w:rPr>
        <w:t>concisely alleged the material facts to sustain a cause of action on the ground that the deceased and the first respondent entered into a simulated transaction with the intention of circumventing the provisions of the Act.</w:t>
      </w:r>
      <w:r w:rsidR="00CB0492" w:rsidRPr="00445A7B">
        <w:rPr>
          <w:rFonts w:ascii="Arial" w:hAnsi="Arial" w:cs="Arial"/>
          <w:sz w:val="24"/>
          <w:szCs w:val="24"/>
        </w:rPr>
        <w:t xml:space="preserve"> </w:t>
      </w:r>
      <w:r w:rsidR="001A7B68" w:rsidRPr="00445A7B">
        <w:rPr>
          <w:rFonts w:ascii="Arial" w:hAnsi="Arial" w:cs="Arial"/>
          <w:sz w:val="24"/>
          <w:szCs w:val="24"/>
        </w:rPr>
        <w:t xml:space="preserve">Counsel </w:t>
      </w:r>
      <w:r w:rsidR="00D34664" w:rsidRPr="00445A7B">
        <w:rPr>
          <w:rFonts w:ascii="Arial" w:hAnsi="Arial" w:cs="Arial"/>
          <w:sz w:val="24"/>
          <w:szCs w:val="24"/>
        </w:rPr>
        <w:t xml:space="preserve">stated </w:t>
      </w:r>
      <w:r w:rsidR="00694866" w:rsidRPr="00445A7B">
        <w:rPr>
          <w:rFonts w:ascii="Arial" w:hAnsi="Arial" w:cs="Arial"/>
          <w:sz w:val="24"/>
          <w:szCs w:val="24"/>
        </w:rPr>
        <w:t>that</w:t>
      </w:r>
      <w:r w:rsidR="001A7B68" w:rsidRPr="00445A7B">
        <w:rPr>
          <w:rFonts w:ascii="Arial" w:hAnsi="Arial" w:cs="Arial"/>
          <w:sz w:val="24"/>
          <w:szCs w:val="24"/>
        </w:rPr>
        <w:t xml:space="preserve"> in determining whether material facts </w:t>
      </w:r>
      <w:r w:rsidR="00145C0F" w:rsidRPr="00445A7B">
        <w:rPr>
          <w:rFonts w:ascii="Arial" w:hAnsi="Arial" w:cs="Arial"/>
          <w:sz w:val="24"/>
          <w:szCs w:val="24"/>
        </w:rPr>
        <w:t>were</w:t>
      </w:r>
      <w:r w:rsidR="001A7B68" w:rsidRPr="00445A7B">
        <w:rPr>
          <w:rFonts w:ascii="Arial" w:hAnsi="Arial" w:cs="Arial"/>
          <w:sz w:val="24"/>
          <w:szCs w:val="24"/>
        </w:rPr>
        <w:t xml:space="preserve"> pleaded to establish a simulated transaction, </w:t>
      </w:r>
      <w:r w:rsidR="0032569B" w:rsidRPr="00445A7B">
        <w:rPr>
          <w:rFonts w:ascii="Arial" w:hAnsi="Arial" w:cs="Arial"/>
          <w:sz w:val="24"/>
          <w:szCs w:val="24"/>
        </w:rPr>
        <w:t xml:space="preserve">the pleadings </w:t>
      </w:r>
      <w:r w:rsidR="00D34664" w:rsidRPr="00445A7B">
        <w:rPr>
          <w:rFonts w:ascii="Arial" w:hAnsi="Arial" w:cs="Arial"/>
          <w:sz w:val="24"/>
          <w:szCs w:val="24"/>
        </w:rPr>
        <w:t xml:space="preserve">of the appellants </w:t>
      </w:r>
      <w:r w:rsidR="0032569B" w:rsidRPr="00445A7B">
        <w:rPr>
          <w:rFonts w:ascii="Arial" w:hAnsi="Arial" w:cs="Arial"/>
          <w:sz w:val="24"/>
          <w:szCs w:val="24"/>
        </w:rPr>
        <w:t xml:space="preserve">should be read as a whole and not in isolation. </w:t>
      </w:r>
    </w:p>
    <w:p w:rsidR="00AF3980" w:rsidRPr="00445A7B" w:rsidRDefault="00AF3980" w:rsidP="00AF3980">
      <w:pPr>
        <w:pStyle w:val="ListParagraph"/>
        <w:spacing w:after="0" w:line="480" w:lineRule="auto"/>
        <w:ind w:left="0"/>
        <w:jc w:val="both"/>
        <w:rPr>
          <w:rFonts w:ascii="Arial" w:hAnsi="Arial" w:cs="Arial"/>
          <w:sz w:val="24"/>
          <w:szCs w:val="24"/>
        </w:rPr>
      </w:pPr>
    </w:p>
    <w:p w:rsidR="007626EC" w:rsidRPr="00445A7B" w:rsidRDefault="0032569B" w:rsidP="00445A7B">
      <w:pPr>
        <w:pStyle w:val="ListParagraph"/>
        <w:numPr>
          <w:ilvl w:val="0"/>
          <w:numId w:val="6"/>
        </w:numPr>
        <w:spacing w:after="0" w:line="480" w:lineRule="auto"/>
        <w:ind w:left="0" w:firstLine="0"/>
        <w:jc w:val="both"/>
        <w:rPr>
          <w:rFonts w:ascii="Arial" w:hAnsi="Arial" w:cs="Arial"/>
          <w:sz w:val="24"/>
          <w:szCs w:val="24"/>
        </w:rPr>
      </w:pPr>
      <w:r w:rsidRPr="00445A7B">
        <w:rPr>
          <w:rFonts w:ascii="Arial" w:hAnsi="Arial" w:cs="Arial"/>
          <w:sz w:val="24"/>
          <w:szCs w:val="24"/>
        </w:rPr>
        <w:t xml:space="preserve">Counsel contended that for the court to make a determination of whether material facts were sufficiently pleaded, it was necessary to distinguish </w:t>
      </w:r>
      <w:r w:rsidRPr="00445A7B">
        <w:rPr>
          <w:rFonts w:ascii="Arial" w:hAnsi="Arial" w:cs="Arial"/>
          <w:i/>
          <w:sz w:val="24"/>
          <w:szCs w:val="24"/>
        </w:rPr>
        <w:t>facta probanda</w:t>
      </w:r>
      <w:r w:rsidRPr="00445A7B">
        <w:rPr>
          <w:rFonts w:ascii="Arial" w:hAnsi="Arial" w:cs="Arial"/>
          <w:sz w:val="24"/>
          <w:szCs w:val="24"/>
        </w:rPr>
        <w:t xml:space="preserve"> </w:t>
      </w:r>
      <w:r w:rsidR="00145C0F" w:rsidRPr="00445A7B">
        <w:rPr>
          <w:rFonts w:ascii="Arial" w:hAnsi="Arial" w:cs="Arial"/>
          <w:sz w:val="24"/>
          <w:szCs w:val="24"/>
        </w:rPr>
        <w:t>from</w:t>
      </w:r>
      <w:r w:rsidRPr="00445A7B">
        <w:rPr>
          <w:rFonts w:ascii="Arial" w:hAnsi="Arial" w:cs="Arial"/>
          <w:sz w:val="24"/>
          <w:szCs w:val="24"/>
        </w:rPr>
        <w:t xml:space="preserve"> </w:t>
      </w:r>
      <w:r w:rsidRPr="00445A7B">
        <w:rPr>
          <w:rFonts w:ascii="Arial" w:hAnsi="Arial" w:cs="Arial"/>
          <w:i/>
          <w:sz w:val="24"/>
          <w:szCs w:val="24"/>
        </w:rPr>
        <w:t>facta probantia.</w:t>
      </w:r>
      <w:r w:rsidRPr="00445A7B">
        <w:rPr>
          <w:rFonts w:ascii="Arial" w:hAnsi="Arial" w:cs="Arial"/>
          <w:sz w:val="24"/>
          <w:szCs w:val="24"/>
        </w:rPr>
        <w:t xml:space="preserve"> </w:t>
      </w:r>
      <w:r w:rsidR="00F50684" w:rsidRPr="00445A7B">
        <w:rPr>
          <w:rFonts w:ascii="Arial" w:hAnsi="Arial" w:cs="Arial"/>
          <w:sz w:val="24"/>
          <w:szCs w:val="24"/>
          <w:lang w:val="en-GB"/>
        </w:rPr>
        <w:t xml:space="preserve">Care must be taken to distinguish the facts which must be proved in order to disclose a cause of action (the </w:t>
      </w:r>
      <w:r w:rsidR="00F50684" w:rsidRPr="00445A7B">
        <w:rPr>
          <w:rFonts w:ascii="Arial" w:hAnsi="Arial" w:cs="Arial"/>
          <w:i/>
          <w:sz w:val="24"/>
          <w:szCs w:val="24"/>
          <w:lang w:val="en-GB"/>
        </w:rPr>
        <w:t>facta probanda</w:t>
      </w:r>
      <w:r w:rsidR="00F50684" w:rsidRPr="00445A7B">
        <w:rPr>
          <w:rFonts w:ascii="Arial" w:hAnsi="Arial" w:cs="Arial"/>
          <w:sz w:val="24"/>
          <w:szCs w:val="24"/>
          <w:lang w:val="en-GB"/>
        </w:rPr>
        <w:t xml:space="preserve">) from the facts which prove them (the </w:t>
      </w:r>
      <w:r w:rsidR="00F50684" w:rsidRPr="00445A7B">
        <w:rPr>
          <w:rFonts w:ascii="Arial" w:hAnsi="Arial" w:cs="Arial"/>
          <w:i/>
          <w:sz w:val="24"/>
          <w:szCs w:val="24"/>
          <w:lang w:val="en-GB"/>
        </w:rPr>
        <w:t>facta probantia</w:t>
      </w:r>
      <w:r w:rsidR="00F50684" w:rsidRPr="00445A7B">
        <w:rPr>
          <w:rFonts w:ascii="Arial" w:hAnsi="Arial" w:cs="Arial"/>
          <w:sz w:val="24"/>
          <w:szCs w:val="24"/>
          <w:lang w:val="en-GB"/>
        </w:rPr>
        <w:t xml:space="preserve">). </w:t>
      </w:r>
      <w:r w:rsidR="001A7B68" w:rsidRPr="00445A7B">
        <w:rPr>
          <w:rFonts w:ascii="Arial" w:hAnsi="Arial" w:cs="Arial"/>
          <w:sz w:val="24"/>
          <w:szCs w:val="24"/>
          <w:lang w:val="en-GB"/>
        </w:rPr>
        <w:t xml:space="preserve">In this context, </w:t>
      </w:r>
      <w:r w:rsidRPr="00445A7B">
        <w:rPr>
          <w:rFonts w:ascii="Arial" w:hAnsi="Arial" w:cs="Arial"/>
          <w:sz w:val="24"/>
          <w:szCs w:val="24"/>
        </w:rPr>
        <w:t xml:space="preserve">counsel referred to the </w:t>
      </w:r>
      <w:r w:rsidR="001A7B68" w:rsidRPr="00445A7B">
        <w:rPr>
          <w:rFonts w:ascii="Arial" w:hAnsi="Arial" w:cs="Arial"/>
          <w:sz w:val="24"/>
          <w:szCs w:val="24"/>
        </w:rPr>
        <w:t xml:space="preserve">decision </w:t>
      </w:r>
      <w:r w:rsidRPr="00445A7B">
        <w:rPr>
          <w:rFonts w:ascii="Arial" w:hAnsi="Arial" w:cs="Arial"/>
          <w:sz w:val="24"/>
          <w:szCs w:val="24"/>
        </w:rPr>
        <w:t xml:space="preserve">in </w:t>
      </w:r>
      <w:r w:rsidRPr="00445A7B">
        <w:rPr>
          <w:rFonts w:ascii="Arial" w:hAnsi="Arial" w:cs="Arial"/>
          <w:i/>
          <w:sz w:val="24"/>
          <w:szCs w:val="24"/>
        </w:rPr>
        <w:t>China Henan International Co</w:t>
      </w:r>
      <w:r w:rsidR="00232EE5" w:rsidRPr="00445A7B">
        <w:rPr>
          <w:rFonts w:ascii="Arial" w:hAnsi="Arial" w:cs="Arial"/>
          <w:i/>
          <w:sz w:val="24"/>
          <w:szCs w:val="24"/>
        </w:rPr>
        <w:t>operation (Pty) Ltd v De Klerk</w:t>
      </w:r>
      <w:r w:rsidR="00232EE5" w:rsidRPr="00724959">
        <w:rPr>
          <w:rStyle w:val="FootnoteReference"/>
          <w:rFonts w:ascii="Arial" w:hAnsi="Arial" w:cs="Arial"/>
          <w:i/>
          <w:sz w:val="24"/>
          <w:szCs w:val="24"/>
        </w:rPr>
        <w:footnoteReference w:id="9"/>
      </w:r>
      <w:r w:rsidR="00232EE5" w:rsidRPr="00445A7B">
        <w:rPr>
          <w:rFonts w:ascii="Arial" w:hAnsi="Arial" w:cs="Arial"/>
          <w:sz w:val="24"/>
          <w:szCs w:val="24"/>
        </w:rPr>
        <w:t xml:space="preserve"> </w:t>
      </w:r>
      <w:r w:rsidR="00F50684" w:rsidRPr="00445A7B">
        <w:rPr>
          <w:rFonts w:ascii="Arial" w:hAnsi="Arial" w:cs="Arial"/>
          <w:sz w:val="24"/>
          <w:szCs w:val="24"/>
        </w:rPr>
        <w:t xml:space="preserve">wherein the court stated that </w:t>
      </w:r>
      <w:r w:rsidR="00F50684" w:rsidRPr="00445A7B">
        <w:rPr>
          <w:rFonts w:ascii="Arial" w:hAnsi="Arial" w:cs="Arial"/>
          <w:sz w:val="24"/>
          <w:szCs w:val="24"/>
          <w:lang w:val="en-GB"/>
        </w:rPr>
        <w:t xml:space="preserve">a useful exposition of the applicable principles – also placing the arguments by counsel in better context -  is found in </w:t>
      </w:r>
      <w:r w:rsidR="00F50684" w:rsidRPr="00445A7B">
        <w:rPr>
          <w:rFonts w:ascii="Arial" w:hAnsi="Arial" w:cs="Arial"/>
          <w:i/>
          <w:sz w:val="24"/>
          <w:szCs w:val="24"/>
          <w:lang w:val="en-GB"/>
        </w:rPr>
        <w:t>Erasmus Superior Court Practice</w:t>
      </w:r>
      <w:r w:rsidR="00F50684" w:rsidRPr="00445A7B">
        <w:rPr>
          <w:rFonts w:ascii="Arial" w:hAnsi="Arial" w:cs="Arial"/>
          <w:sz w:val="24"/>
          <w:szCs w:val="24"/>
          <w:lang w:val="en-GB"/>
        </w:rPr>
        <w:t xml:space="preserve"> at B1-156 (Service 40, 2012)</w:t>
      </w:r>
      <w:r w:rsidR="000679B1" w:rsidRPr="00445A7B">
        <w:rPr>
          <w:rFonts w:ascii="Arial" w:hAnsi="Arial" w:cs="Arial"/>
          <w:sz w:val="24"/>
          <w:szCs w:val="24"/>
          <w:lang w:val="en-GB"/>
        </w:rPr>
        <w:t xml:space="preserve"> where it was stated as follows</w:t>
      </w:r>
      <w:r w:rsidR="00F50684" w:rsidRPr="00445A7B">
        <w:rPr>
          <w:rFonts w:ascii="Arial" w:hAnsi="Arial" w:cs="Arial"/>
          <w:sz w:val="24"/>
          <w:szCs w:val="24"/>
          <w:lang w:val="en-GB"/>
        </w:rPr>
        <w:t>:</w:t>
      </w:r>
    </w:p>
    <w:p w:rsidR="00EC5A32" w:rsidRDefault="00EC5A32" w:rsidP="00445A7B">
      <w:pPr>
        <w:spacing w:after="0" w:line="360" w:lineRule="auto"/>
        <w:jc w:val="both"/>
        <w:rPr>
          <w:rFonts w:ascii="Arial" w:hAnsi="Arial" w:cs="Arial"/>
          <w:lang w:val="en-GB"/>
        </w:rPr>
      </w:pPr>
    </w:p>
    <w:p w:rsidR="00F50684" w:rsidRPr="00445A7B" w:rsidRDefault="00F50684" w:rsidP="00445A7B">
      <w:pPr>
        <w:pStyle w:val="ListParagraph"/>
        <w:spacing w:after="0" w:line="360" w:lineRule="auto"/>
        <w:jc w:val="both"/>
        <w:rPr>
          <w:rFonts w:ascii="Arial" w:hAnsi="Arial" w:cs="Arial"/>
          <w:lang w:val="en-GB"/>
        </w:rPr>
      </w:pPr>
      <w:r w:rsidRPr="00445A7B">
        <w:rPr>
          <w:rFonts w:ascii="Arial" w:hAnsi="Arial" w:cs="Arial"/>
          <w:lang w:val="en-GB"/>
        </w:rPr>
        <w:t>‘While rule 18(4) requ</w:t>
      </w:r>
      <w:r w:rsidR="009E57E5" w:rsidRPr="00445A7B">
        <w:rPr>
          <w:rFonts w:ascii="Arial" w:hAnsi="Arial" w:cs="Arial"/>
          <w:lang w:val="en-GB"/>
        </w:rPr>
        <w:t>ires every pleading to contain “</w:t>
      </w:r>
      <w:r w:rsidRPr="00445A7B">
        <w:rPr>
          <w:rFonts w:ascii="Arial" w:hAnsi="Arial" w:cs="Arial"/>
          <w:lang w:val="en-GB"/>
        </w:rPr>
        <w:t>a clear and concise statement of the material facts upon which the pleader relies for his claim</w:t>
      </w:r>
      <w:r w:rsidR="009E57E5" w:rsidRPr="00445A7B">
        <w:rPr>
          <w:rFonts w:ascii="Arial" w:hAnsi="Arial" w:cs="Arial"/>
          <w:lang w:val="en-GB"/>
        </w:rPr>
        <w:t>”</w:t>
      </w:r>
      <w:r w:rsidRPr="00445A7B">
        <w:rPr>
          <w:rFonts w:ascii="Arial" w:hAnsi="Arial" w:cs="Arial"/>
          <w:lang w:val="en-GB"/>
        </w:rPr>
        <w:t>, rule 2</w:t>
      </w:r>
      <w:r w:rsidR="00DD5538">
        <w:rPr>
          <w:rFonts w:ascii="Arial" w:hAnsi="Arial" w:cs="Arial"/>
          <w:lang w:val="en-GB"/>
        </w:rPr>
        <w:t>0(2) requires a declaration to “</w:t>
      </w:r>
      <w:r w:rsidRPr="00445A7B">
        <w:rPr>
          <w:rFonts w:ascii="Arial" w:hAnsi="Arial" w:cs="Arial"/>
          <w:lang w:val="en-GB"/>
        </w:rPr>
        <w:t>se</w:t>
      </w:r>
      <w:r w:rsidR="00DD5538">
        <w:rPr>
          <w:rFonts w:ascii="Arial" w:hAnsi="Arial" w:cs="Arial"/>
          <w:lang w:val="en-GB"/>
        </w:rPr>
        <w:t>t forth the nature of the claim” and “</w:t>
      </w:r>
      <w:r w:rsidRPr="00445A7B">
        <w:rPr>
          <w:rFonts w:ascii="Arial" w:hAnsi="Arial" w:cs="Arial"/>
          <w:lang w:val="en-GB"/>
        </w:rPr>
        <w:t>the conclusions of law which the plaintiff shall be entitled to deduce from the facts stated therein</w:t>
      </w:r>
      <w:r w:rsidR="00DD5538">
        <w:rPr>
          <w:rFonts w:ascii="Arial" w:hAnsi="Arial" w:cs="Arial"/>
          <w:lang w:val="en-GB"/>
        </w:rPr>
        <w:t>”</w:t>
      </w:r>
      <w:r w:rsidRPr="00445A7B">
        <w:rPr>
          <w:rFonts w:ascii="Arial" w:hAnsi="Arial" w:cs="Arial"/>
          <w:lang w:val="en-GB"/>
        </w:rPr>
        <w:t>, and this subrule warra</w:t>
      </w:r>
      <w:r w:rsidR="00DD5538">
        <w:rPr>
          <w:rFonts w:ascii="Arial" w:hAnsi="Arial" w:cs="Arial"/>
          <w:lang w:val="en-GB"/>
        </w:rPr>
        <w:t>nts an exception if a pleading “</w:t>
      </w:r>
      <w:r w:rsidRPr="00445A7B">
        <w:rPr>
          <w:rFonts w:ascii="Arial" w:hAnsi="Arial" w:cs="Arial"/>
          <w:lang w:val="en-GB"/>
        </w:rPr>
        <w:t xml:space="preserve">lacks averments which are </w:t>
      </w:r>
      <w:r w:rsidR="00DD5538">
        <w:rPr>
          <w:rFonts w:ascii="Arial" w:hAnsi="Arial" w:cs="Arial"/>
          <w:lang w:val="en-GB"/>
        </w:rPr>
        <w:t>necessary to sustain an action.”</w:t>
      </w:r>
    </w:p>
    <w:p w:rsidR="00F50684" w:rsidRPr="001A7B68" w:rsidRDefault="00F50684" w:rsidP="00445A7B">
      <w:pPr>
        <w:spacing w:after="0" w:line="360" w:lineRule="auto"/>
        <w:jc w:val="both"/>
        <w:rPr>
          <w:rFonts w:ascii="Arial" w:hAnsi="Arial" w:cs="Arial"/>
          <w:lang w:val="en-GB"/>
        </w:rPr>
      </w:pPr>
    </w:p>
    <w:p w:rsidR="00F50684" w:rsidRPr="00445A7B" w:rsidRDefault="00F50684" w:rsidP="00445A7B">
      <w:pPr>
        <w:pStyle w:val="ListParagraph"/>
        <w:spacing w:after="0" w:line="360" w:lineRule="auto"/>
        <w:jc w:val="both"/>
        <w:rPr>
          <w:rFonts w:ascii="Arial" w:hAnsi="Arial" w:cs="Arial"/>
          <w:lang w:val="en-GB"/>
        </w:rPr>
      </w:pPr>
      <w:r w:rsidRPr="00445A7B">
        <w:rPr>
          <w:rFonts w:ascii="Arial" w:hAnsi="Arial" w:cs="Arial"/>
          <w:lang w:val="en-GB"/>
        </w:rPr>
        <w:lastRenderedPageBreak/>
        <w:t>Although these rules do not explicitly require the plaintiff’s particulars claim or declaration to disclose a cause of action, it is generally accepted that this is in fact what th</w:t>
      </w:r>
      <w:r w:rsidR="001A7B68" w:rsidRPr="00445A7B">
        <w:rPr>
          <w:rFonts w:ascii="Arial" w:hAnsi="Arial" w:cs="Arial"/>
          <w:lang w:val="en-GB"/>
        </w:rPr>
        <w:t>ey require.’</w:t>
      </w:r>
      <w:r w:rsidRPr="001A7B68">
        <w:rPr>
          <w:rStyle w:val="FootnoteReference"/>
          <w:rFonts w:ascii="Arial" w:hAnsi="Arial" w:cs="Arial"/>
          <w:lang w:val="en-GB"/>
        </w:rPr>
        <w:footnoteReference w:id="10"/>
      </w:r>
      <w:r w:rsidRPr="00445A7B">
        <w:rPr>
          <w:rFonts w:ascii="Arial" w:hAnsi="Arial" w:cs="Arial"/>
          <w:lang w:val="en-GB"/>
        </w:rPr>
        <w:t xml:space="preserve"> </w:t>
      </w:r>
    </w:p>
    <w:p w:rsidR="00F50684" w:rsidRPr="00724959" w:rsidRDefault="00F50684" w:rsidP="00445A7B">
      <w:pPr>
        <w:spacing w:after="0" w:line="360" w:lineRule="auto"/>
        <w:jc w:val="both"/>
        <w:rPr>
          <w:rFonts w:ascii="Arial" w:hAnsi="Arial" w:cs="Arial"/>
          <w:sz w:val="24"/>
          <w:szCs w:val="24"/>
          <w:lang w:val="en-GB"/>
        </w:rPr>
      </w:pPr>
    </w:p>
    <w:p w:rsidR="00F50684" w:rsidRPr="00445A7B" w:rsidRDefault="00F50684" w:rsidP="00445A7B">
      <w:pPr>
        <w:pStyle w:val="ListParagraph"/>
        <w:numPr>
          <w:ilvl w:val="0"/>
          <w:numId w:val="6"/>
        </w:numPr>
        <w:spacing w:after="0" w:line="480" w:lineRule="auto"/>
        <w:ind w:left="0" w:firstLine="0"/>
        <w:jc w:val="both"/>
        <w:rPr>
          <w:rFonts w:ascii="Arial" w:hAnsi="Arial" w:cs="Arial"/>
          <w:i/>
          <w:sz w:val="24"/>
          <w:szCs w:val="24"/>
          <w:lang w:val="en-GB"/>
        </w:rPr>
      </w:pPr>
      <w:r w:rsidRPr="00445A7B">
        <w:rPr>
          <w:rFonts w:ascii="Arial" w:hAnsi="Arial" w:cs="Arial"/>
          <w:sz w:val="24"/>
          <w:szCs w:val="24"/>
          <w:lang w:val="en-GB"/>
        </w:rPr>
        <w:t xml:space="preserve">Counsel </w:t>
      </w:r>
      <w:r w:rsidR="003F69F5" w:rsidRPr="00445A7B">
        <w:rPr>
          <w:rFonts w:ascii="Arial" w:hAnsi="Arial" w:cs="Arial"/>
          <w:sz w:val="24"/>
          <w:szCs w:val="24"/>
          <w:lang w:val="en-GB"/>
        </w:rPr>
        <w:t xml:space="preserve">also </w:t>
      </w:r>
      <w:r w:rsidRPr="00445A7B">
        <w:rPr>
          <w:rFonts w:ascii="Arial" w:hAnsi="Arial" w:cs="Arial"/>
          <w:sz w:val="24"/>
          <w:szCs w:val="24"/>
          <w:lang w:val="en-GB"/>
        </w:rPr>
        <w:t xml:space="preserve">referred to </w:t>
      </w:r>
      <w:r w:rsidRPr="00445A7B">
        <w:rPr>
          <w:rFonts w:ascii="Arial" w:hAnsi="Arial" w:cs="Arial"/>
          <w:i/>
          <w:sz w:val="24"/>
          <w:szCs w:val="24"/>
          <w:lang w:val="en-GB"/>
        </w:rPr>
        <w:t>McKenzie v Farmers’ C</w:t>
      </w:r>
      <w:r w:rsidR="001A7B68" w:rsidRPr="00445A7B">
        <w:rPr>
          <w:rFonts w:ascii="Arial" w:hAnsi="Arial" w:cs="Arial"/>
          <w:i/>
          <w:sz w:val="24"/>
          <w:szCs w:val="24"/>
          <w:lang w:val="en-GB"/>
        </w:rPr>
        <w:t>o-operative Meat Industries Ltd</w:t>
      </w:r>
      <w:r w:rsidRPr="00724959">
        <w:rPr>
          <w:rStyle w:val="FootnoteReference"/>
          <w:rFonts w:ascii="Arial" w:hAnsi="Arial" w:cs="Arial"/>
          <w:i/>
          <w:sz w:val="24"/>
          <w:szCs w:val="24"/>
          <w:lang w:val="en-GB"/>
        </w:rPr>
        <w:footnoteReference w:id="11"/>
      </w:r>
      <w:r w:rsidR="001A7B68" w:rsidRPr="00445A7B">
        <w:rPr>
          <w:rFonts w:ascii="Arial" w:hAnsi="Arial" w:cs="Arial"/>
          <w:sz w:val="24"/>
          <w:szCs w:val="24"/>
          <w:lang w:val="en-GB"/>
        </w:rPr>
        <w:t xml:space="preserve"> </w:t>
      </w:r>
      <w:r w:rsidR="003344D3" w:rsidRPr="00445A7B">
        <w:rPr>
          <w:rFonts w:ascii="Arial" w:hAnsi="Arial" w:cs="Arial"/>
          <w:sz w:val="24"/>
          <w:szCs w:val="24"/>
          <w:lang w:val="en-GB"/>
        </w:rPr>
        <w:t xml:space="preserve">where </w:t>
      </w:r>
      <w:r w:rsidR="001A7B68" w:rsidRPr="00445A7B">
        <w:rPr>
          <w:rFonts w:ascii="Arial" w:hAnsi="Arial" w:cs="Arial"/>
          <w:sz w:val="24"/>
          <w:szCs w:val="24"/>
          <w:lang w:val="en-GB"/>
        </w:rPr>
        <w:t>the court adopt</w:t>
      </w:r>
      <w:r w:rsidR="00A97107" w:rsidRPr="00445A7B">
        <w:rPr>
          <w:rFonts w:ascii="Arial" w:hAnsi="Arial" w:cs="Arial"/>
          <w:sz w:val="24"/>
          <w:szCs w:val="24"/>
          <w:lang w:val="en-GB"/>
        </w:rPr>
        <w:t>ed</w:t>
      </w:r>
      <w:r w:rsidR="001A7B68" w:rsidRPr="00445A7B">
        <w:rPr>
          <w:rFonts w:ascii="Arial" w:hAnsi="Arial" w:cs="Arial"/>
          <w:sz w:val="24"/>
          <w:szCs w:val="24"/>
          <w:lang w:val="en-GB"/>
        </w:rPr>
        <w:t xml:space="preserve"> the </w:t>
      </w:r>
      <w:r w:rsidR="003344D3" w:rsidRPr="00445A7B">
        <w:rPr>
          <w:rFonts w:ascii="Arial" w:hAnsi="Arial" w:cs="Arial"/>
          <w:sz w:val="24"/>
          <w:szCs w:val="24"/>
          <w:lang w:val="en-GB"/>
        </w:rPr>
        <w:t>definition</w:t>
      </w:r>
      <w:r w:rsidR="00F60018" w:rsidRPr="00445A7B">
        <w:rPr>
          <w:rFonts w:ascii="Arial" w:hAnsi="Arial" w:cs="Arial"/>
          <w:sz w:val="24"/>
          <w:szCs w:val="24"/>
          <w:lang w:val="en-GB"/>
        </w:rPr>
        <w:t xml:space="preserve"> of</w:t>
      </w:r>
      <w:r w:rsidR="003344D3" w:rsidRPr="00445A7B">
        <w:rPr>
          <w:rFonts w:ascii="Arial" w:hAnsi="Arial" w:cs="Arial"/>
          <w:sz w:val="24"/>
          <w:szCs w:val="24"/>
          <w:lang w:val="en-GB"/>
        </w:rPr>
        <w:t xml:space="preserve"> </w:t>
      </w:r>
      <w:r w:rsidR="000679B1" w:rsidRPr="00445A7B">
        <w:rPr>
          <w:rFonts w:ascii="Arial" w:hAnsi="Arial" w:cs="Arial"/>
          <w:sz w:val="24"/>
          <w:szCs w:val="24"/>
          <w:lang w:val="en-GB"/>
        </w:rPr>
        <w:t>‘</w:t>
      </w:r>
      <w:r w:rsidR="00283EF6" w:rsidRPr="00445A7B">
        <w:rPr>
          <w:rFonts w:ascii="Arial" w:hAnsi="Arial" w:cs="Arial"/>
          <w:sz w:val="24"/>
          <w:szCs w:val="24"/>
          <w:lang w:val="en-GB"/>
        </w:rPr>
        <w:t>cause of action</w:t>
      </w:r>
      <w:r w:rsidR="000679B1" w:rsidRPr="00445A7B">
        <w:rPr>
          <w:rFonts w:ascii="Arial" w:hAnsi="Arial" w:cs="Arial"/>
          <w:sz w:val="24"/>
          <w:szCs w:val="24"/>
          <w:lang w:val="en-GB"/>
        </w:rPr>
        <w:t>’</w:t>
      </w:r>
      <w:r w:rsidR="00F60018" w:rsidRPr="00445A7B">
        <w:rPr>
          <w:rFonts w:ascii="Arial" w:hAnsi="Arial" w:cs="Arial"/>
          <w:sz w:val="24"/>
          <w:szCs w:val="24"/>
          <w:lang w:val="en-GB"/>
        </w:rPr>
        <w:t xml:space="preserve"> </w:t>
      </w:r>
      <w:r w:rsidR="00A97107" w:rsidRPr="00445A7B">
        <w:rPr>
          <w:rFonts w:ascii="Arial" w:hAnsi="Arial" w:cs="Arial"/>
          <w:sz w:val="24"/>
          <w:szCs w:val="24"/>
          <w:lang w:val="en-GB"/>
        </w:rPr>
        <w:t>as construed in an English case to mean</w:t>
      </w:r>
      <w:r w:rsidR="001A7B68" w:rsidRPr="00445A7B">
        <w:rPr>
          <w:rFonts w:ascii="Arial" w:hAnsi="Arial" w:cs="Arial"/>
          <w:sz w:val="24"/>
          <w:szCs w:val="24"/>
          <w:lang w:val="en-GB"/>
        </w:rPr>
        <w:t>:</w:t>
      </w:r>
      <w:r w:rsidR="00F60018" w:rsidRPr="00445A7B">
        <w:rPr>
          <w:rFonts w:ascii="Arial" w:hAnsi="Arial" w:cs="Arial"/>
          <w:sz w:val="24"/>
          <w:szCs w:val="24"/>
          <w:lang w:val="en-GB"/>
        </w:rPr>
        <w:t xml:space="preserve"> </w:t>
      </w:r>
      <w:r w:rsidRPr="00445A7B">
        <w:rPr>
          <w:rFonts w:ascii="Arial" w:hAnsi="Arial" w:cs="Arial"/>
          <w:sz w:val="24"/>
          <w:szCs w:val="24"/>
          <w:lang w:val="en-GB"/>
        </w:rPr>
        <w:t xml:space="preserve"> </w:t>
      </w:r>
    </w:p>
    <w:p w:rsidR="000679B1" w:rsidRDefault="000679B1" w:rsidP="00445A7B">
      <w:pPr>
        <w:spacing w:after="0" w:line="360" w:lineRule="auto"/>
        <w:jc w:val="both"/>
        <w:rPr>
          <w:rFonts w:ascii="Arial" w:hAnsi="Arial" w:cs="Arial"/>
          <w:lang w:val="en-GB"/>
        </w:rPr>
      </w:pPr>
    </w:p>
    <w:p w:rsidR="00F60018" w:rsidRPr="00445A7B" w:rsidRDefault="00F50684" w:rsidP="00445A7B">
      <w:pPr>
        <w:pStyle w:val="ListParagraph"/>
        <w:spacing w:after="0" w:line="360" w:lineRule="auto"/>
        <w:jc w:val="both"/>
        <w:rPr>
          <w:rFonts w:ascii="Arial" w:hAnsi="Arial" w:cs="Arial"/>
          <w:lang w:val="en-GB"/>
        </w:rPr>
      </w:pPr>
      <w:r w:rsidRPr="00445A7B">
        <w:rPr>
          <w:rFonts w:ascii="Arial" w:hAnsi="Arial" w:cs="Arial"/>
          <w:lang w:val="en-GB"/>
        </w:rPr>
        <w:t>‘</w:t>
      </w:r>
      <w:r w:rsidR="00A97107" w:rsidRPr="00445A7B">
        <w:rPr>
          <w:rFonts w:ascii="Arial" w:hAnsi="Arial" w:cs="Arial"/>
          <w:lang w:val="en-GB"/>
        </w:rPr>
        <w:t>[</w:t>
      </w:r>
      <w:r w:rsidR="00AF3648" w:rsidRPr="00445A7B">
        <w:rPr>
          <w:rFonts w:ascii="Arial" w:hAnsi="Arial" w:cs="Arial"/>
          <w:lang w:val="en-GB"/>
        </w:rPr>
        <w:t>E</w:t>
      </w:r>
      <w:r w:rsidR="00A97107" w:rsidRPr="00445A7B">
        <w:rPr>
          <w:rFonts w:ascii="Arial" w:hAnsi="Arial" w:cs="Arial"/>
          <w:lang w:val="en-GB"/>
        </w:rPr>
        <w:t>]</w:t>
      </w:r>
      <w:r w:rsidR="00AF3648" w:rsidRPr="00445A7B">
        <w:rPr>
          <w:rFonts w:ascii="Arial" w:hAnsi="Arial" w:cs="Arial"/>
          <w:lang w:val="en-GB"/>
        </w:rPr>
        <w:t>very</w:t>
      </w:r>
      <w:r w:rsidRPr="00445A7B">
        <w:rPr>
          <w:rFonts w:ascii="Arial" w:hAnsi="Arial" w:cs="Arial"/>
          <w:lang w:val="en-GB"/>
        </w:rPr>
        <w:t xml:space="preserve"> fact which it would be necessary for the plaintiff to prove, if traversed, in order to support his right to judgment of the court. It does not comprise every piece of evidence which is necessary to </w:t>
      </w:r>
      <w:r w:rsidR="00A97107" w:rsidRPr="00445A7B">
        <w:rPr>
          <w:rFonts w:ascii="Arial" w:hAnsi="Arial" w:cs="Arial"/>
          <w:lang w:val="en-GB"/>
        </w:rPr>
        <w:t>prove each fact, but every fact which is necessary to be proved.</w:t>
      </w:r>
      <w:r w:rsidR="003344D3" w:rsidRPr="00445A7B">
        <w:rPr>
          <w:rFonts w:ascii="Arial" w:hAnsi="Arial" w:cs="Arial"/>
          <w:lang w:val="en-GB"/>
        </w:rPr>
        <w:t>’</w:t>
      </w:r>
      <w:r w:rsidRPr="00445A7B">
        <w:rPr>
          <w:rFonts w:ascii="Arial" w:hAnsi="Arial" w:cs="Arial"/>
          <w:lang w:val="en-GB"/>
        </w:rPr>
        <w:t xml:space="preserve"> </w:t>
      </w:r>
    </w:p>
    <w:p w:rsidR="001A7B68" w:rsidRPr="001A7B68" w:rsidRDefault="001A7B68" w:rsidP="00445A7B">
      <w:pPr>
        <w:spacing w:after="0" w:line="360" w:lineRule="auto"/>
        <w:jc w:val="both"/>
        <w:rPr>
          <w:rFonts w:ascii="Arial" w:hAnsi="Arial" w:cs="Arial"/>
          <w:i/>
          <w:lang w:val="en-GB"/>
        </w:rPr>
      </w:pPr>
    </w:p>
    <w:p w:rsidR="007B179D" w:rsidRDefault="00F60018" w:rsidP="00445A7B">
      <w:pPr>
        <w:pStyle w:val="ListParagraph"/>
        <w:numPr>
          <w:ilvl w:val="0"/>
          <w:numId w:val="6"/>
        </w:numPr>
        <w:spacing w:after="0" w:line="480" w:lineRule="auto"/>
        <w:ind w:left="0" w:firstLine="0"/>
        <w:jc w:val="both"/>
        <w:rPr>
          <w:rFonts w:ascii="Arial" w:hAnsi="Arial" w:cs="Arial"/>
          <w:sz w:val="24"/>
          <w:szCs w:val="24"/>
          <w:lang w:val="en-GB"/>
        </w:rPr>
      </w:pPr>
      <w:r w:rsidRPr="00445A7B">
        <w:rPr>
          <w:rFonts w:ascii="Arial" w:hAnsi="Arial" w:cs="Arial"/>
          <w:sz w:val="24"/>
          <w:szCs w:val="24"/>
          <w:lang w:val="en-GB"/>
        </w:rPr>
        <w:t>In support of the contention that the particulars of claim disclosed the cause of action, counsel submitted that</w:t>
      </w:r>
      <w:r w:rsidR="007B179D" w:rsidRPr="00445A7B">
        <w:rPr>
          <w:rFonts w:ascii="Arial" w:hAnsi="Arial" w:cs="Arial"/>
          <w:sz w:val="24"/>
          <w:szCs w:val="24"/>
          <w:lang w:val="en-GB"/>
        </w:rPr>
        <w:t xml:space="preserve"> the allegations</w:t>
      </w:r>
      <w:r w:rsidR="00D125C2" w:rsidRPr="00445A7B">
        <w:rPr>
          <w:rFonts w:ascii="Arial" w:hAnsi="Arial" w:cs="Arial"/>
          <w:sz w:val="24"/>
          <w:szCs w:val="24"/>
          <w:lang w:val="en-GB"/>
        </w:rPr>
        <w:t xml:space="preserve"> </w:t>
      </w:r>
      <w:r w:rsidR="00C97B35" w:rsidRPr="00445A7B">
        <w:rPr>
          <w:rFonts w:ascii="Arial" w:hAnsi="Arial" w:cs="Arial"/>
          <w:sz w:val="24"/>
          <w:szCs w:val="24"/>
          <w:lang w:val="en-GB"/>
        </w:rPr>
        <w:t>i</w:t>
      </w:r>
      <w:r w:rsidR="007B179D" w:rsidRPr="00445A7B">
        <w:rPr>
          <w:rFonts w:ascii="Arial" w:hAnsi="Arial" w:cs="Arial"/>
          <w:sz w:val="24"/>
          <w:szCs w:val="24"/>
          <w:lang w:val="en-GB"/>
        </w:rPr>
        <w:t>n para</w:t>
      </w:r>
      <w:r w:rsidR="009E57E5" w:rsidRPr="00445A7B">
        <w:rPr>
          <w:rFonts w:ascii="Arial" w:hAnsi="Arial" w:cs="Arial"/>
          <w:sz w:val="24"/>
          <w:szCs w:val="24"/>
          <w:lang w:val="en-GB"/>
        </w:rPr>
        <w:t>s</w:t>
      </w:r>
      <w:r w:rsidR="007B179D" w:rsidRPr="00445A7B">
        <w:rPr>
          <w:rFonts w:ascii="Arial" w:hAnsi="Arial" w:cs="Arial"/>
          <w:sz w:val="24"/>
          <w:szCs w:val="24"/>
          <w:lang w:val="en-GB"/>
        </w:rPr>
        <w:t xml:space="preserve"> 9</w:t>
      </w:r>
      <w:r w:rsidR="00DF6C8B" w:rsidRPr="00445A7B">
        <w:rPr>
          <w:rFonts w:ascii="Arial" w:hAnsi="Arial" w:cs="Arial"/>
          <w:sz w:val="24"/>
          <w:szCs w:val="24"/>
          <w:lang w:val="en-GB"/>
        </w:rPr>
        <w:t>, 11</w:t>
      </w:r>
      <w:r w:rsidR="003B485D" w:rsidRPr="00445A7B">
        <w:rPr>
          <w:rFonts w:ascii="Arial" w:hAnsi="Arial" w:cs="Arial"/>
          <w:sz w:val="24"/>
          <w:szCs w:val="24"/>
          <w:lang w:val="en-GB"/>
        </w:rPr>
        <w:t xml:space="preserve"> </w:t>
      </w:r>
      <w:r w:rsidR="007B179D" w:rsidRPr="00445A7B">
        <w:rPr>
          <w:rFonts w:ascii="Arial" w:hAnsi="Arial" w:cs="Arial"/>
          <w:sz w:val="24"/>
          <w:szCs w:val="24"/>
          <w:lang w:val="en-GB"/>
        </w:rPr>
        <w:t>and 1</w:t>
      </w:r>
      <w:r w:rsidRPr="00445A7B">
        <w:rPr>
          <w:rFonts w:ascii="Arial" w:hAnsi="Arial" w:cs="Arial"/>
          <w:sz w:val="24"/>
          <w:szCs w:val="24"/>
          <w:lang w:val="en-GB"/>
        </w:rPr>
        <w:t xml:space="preserve">2 </w:t>
      </w:r>
      <w:r w:rsidR="007B179D" w:rsidRPr="00445A7B">
        <w:rPr>
          <w:rFonts w:ascii="Arial" w:hAnsi="Arial" w:cs="Arial"/>
          <w:sz w:val="24"/>
          <w:szCs w:val="24"/>
          <w:lang w:val="en-GB"/>
        </w:rPr>
        <w:t xml:space="preserve">were </w:t>
      </w:r>
      <w:r w:rsidRPr="00445A7B">
        <w:rPr>
          <w:rFonts w:ascii="Arial" w:hAnsi="Arial" w:cs="Arial"/>
          <w:sz w:val="24"/>
          <w:szCs w:val="24"/>
          <w:lang w:val="en-GB"/>
        </w:rPr>
        <w:t xml:space="preserve">concise and sufficient for the first respondent to comprehend the appellants’ case and </w:t>
      </w:r>
      <w:r w:rsidR="009E57E5" w:rsidRPr="00445A7B">
        <w:rPr>
          <w:rFonts w:ascii="Arial" w:hAnsi="Arial" w:cs="Arial"/>
          <w:sz w:val="24"/>
          <w:szCs w:val="24"/>
          <w:lang w:val="en-GB"/>
        </w:rPr>
        <w:t xml:space="preserve">to </w:t>
      </w:r>
      <w:r w:rsidRPr="00445A7B">
        <w:rPr>
          <w:rFonts w:ascii="Arial" w:hAnsi="Arial" w:cs="Arial"/>
          <w:sz w:val="24"/>
          <w:szCs w:val="24"/>
          <w:lang w:val="en-GB"/>
        </w:rPr>
        <w:t>plead</w:t>
      </w:r>
      <w:r w:rsidR="00C97B35" w:rsidRPr="00445A7B">
        <w:rPr>
          <w:rFonts w:ascii="Arial" w:hAnsi="Arial" w:cs="Arial"/>
          <w:sz w:val="24"/>
          <w:szCs w:val="24"/>
          <w:lang w:val="en-GB"/>
        </w:rPr>
        <w:t xml:space="preserve"> thereto</w:t>
      </w:r>
      <w:r w:rsidR="003E169C">
        <w:rPr>
          <w:rFonts w:ascii="Arial" w:hAnsi="Arial" w:cs="Arial"/>
          <w:sz w:val="24"/>
          <w:szCs w:val="24"/>
          <w:lang w:val="en-GB"/>
        </w:rPr>
        <w:t>.</w:t>
      </w:r>
    </w:p>
    <w:p w:rsidR="003E169C" w:rsidRPr="00445A7B" w:rsidRDefault="003E169C" w:rsidP="003E169C">
      <w:pPr>
        <w:pStyle w:val="ListParagraph"/>
        <w:spacing w:after="0" w:line="480" w:lineRule="auto"/>
        <w:ind w:left="0"/>
        <w:jc w:val="both"/>
        <w:rPr>
          <w:rFonts w:ascii="Arial" w:hAnsi="Arial" w:cs="Arial"/>
          <w:sz w:val="24"/>
          <w:szCs w:val="24"/>
          <w:lang w:val="en-GB"/>
        </w:rPr>
      </w:pPr>
    </w:p>
    <w:p w:rsidR="00F60018" w:rsidRPr="00445A7B" w:rsidRDefault="003F69F5" w:rsidP="00445A7B">
      <w:pPr>
        <w:pStyle w:val="ListParagraph"/>
        <w:numPr>
          <w:ilvl w:val="0"/>
          <w:numId w:val="6"/>
        </w:numPr>
        <w:spacing w:after="0" w:line="480" w:lineRule="auto"/>
        <w:ind w:left="0" w:firstLine="0"/>
        <w:jc w:val="both"/>
        <w:rPr>
          <w:rFonts w:ascii="Arial" w:hAnsi="Arial" w:cs="Arial"/>
          <w:sz w:val="24"/>
          <w:szCs w:val="24"/>
          <w:lang w:val="en-GB"/>
        </w:rPr>
      </w:pPr>
      <w:r w:rsidRPr="00445A7B">
        <w:rPr>
          <w:rFonts w:ascii="Arial" w:hAnsi="Arial" w:cs="Arial"/>
          <w:sz w:val="24"/>
          <w:szCs w:val="24"/>
          <w:lang w:val="en-GB"/>
        </w:rPr>
        <w:t xml:space="preserve">Paras 9, 11 and 12 of the </w:t>
      </w:r>
      <w:r w:rsidR="00F60018" w:rsidRPr="00445A7B">
        <w:rPr>
          <w:rFonts w:ascii="Arial" w:hAnsi="Arial" w:cs="Arial"/>
          <w:sz w:val="24"/>
          <w:szCs w:val="24"/>
          <w:lang w:val="en-GB"/>
        </w:rPr>
        <w:t xml:space="preserve">particulars of claim </w:t>
      </w:r>
      <w:r w:rsidRPr="00445A7B">
        <w:rPr>
          <w:rFonts w:ascii="Arial" w:hAnsi="Arial" w:cs="Arial"/>
          <w:sz w:val="24"/>
          <w:szCs w:val="24"/>
          <w:lang w:val="en-GB"/>
        </w:rPr>
        <w:t>are formulated as follows</w:t>
      </w:r>
      <w:r w:rsidR="00F60018" w:rsidRPr="00445A7B">
        <w:rPr>
          <w:rFonts w:ascii="Arial" w:hAnsi="Arial" w:cs="Arial"/>
          <w:sz w:val="24"/>
          <w:szCs w:val="24"/>
          <w:lang w:val="en-GB"/>
        </w:rPr>
        <w:t xml:space="preserve">: </w:t>
      </w:r>
    </w:p>
    <w:p w:rsidR="009C0868" w:rsidRDefault="009C0868" w:rsidP="00445A7B">
      <w:pPr>
        <w:spacing w:after="0" w:line="480" w:lineRule="auto"/>
        <w:jc w:val="both"/>
        <w:rPr>
          <w:rFonts w:ascii="Arial" w:hAnsi="Arial" w:cs="Arial"/>
          <w:lang w:val="en-GB"/>
        </w:rPr>
      </w:pPr>
    </w:p>
    <w:p w:rsidR="00F60018" w:rsidRPr="00445A7B" w:rsidRDefault="007B179D" w:rsidP="00DF6C8B">
      <w:pPr>
        <w:pStyle w:val="ListParagraph"/>
        <w:spacing w:after="0" w:line="360" w:lineRule="auto"/>
        <w:ind w:left="1440" w:hanging="720"/>
        <w:jc w:val="both"/>
        <w:rPr>
          <w:rFonts w:ascii="Arial" w:hAnsi="Arial" w:cs="Arial"/>
          <w:lang w:val="en-GB"/>
        </w:rPr>
      </w:pPr>
      <w:r w:rsidRPr="00445A7B">
        <w:rPr>
          <w:rFonts w:ascii="Arial" w:hAnsi="Arial" w:cs="Arial"/>
          <w:lang w:val="en-GB"/>
        </w:rPr>
        <w:t>‘</w:t>
      </w:r>
      <w:r w:rsidR="00610CDC" w:rsidRPr="00445A7B">
        <w:rPr>
          <w:rFonts w:ascii="Arial" w:hAnsi="Arial" w:cs="Arial"/>
          <w:lang w:val="en-GB"/>
        </w:rPr>
        <w:t xml:space="preserve">9. </w:t>
      </w:r>
      <w:r w:rsidR="009E57E5" w:rsidRPr="00445A7B">
        <w:rPr>
          <w:rFonts w:ascii="Arial" w:hAnsi="Arial" w:cs="Arial"/>
          <w:lang w:val="en-GB"/>
        </w:rPr>
        <w:tab/>
      </w:r>
      <w:r w:rsidR="00610CDC" w:rsidRPr="00445A7B">
        <w:rPr>
          <w:rFonts w:ascii="Arial" w:hAnsi="Arial" w:cs="Arial"/>
          <w:lang w:val="en-GB"/>
        </w:rPr>
        <w:t>The following were the salient express, alter</w:t>
      </w:r>
      <w:r w:rsidR="003F69F5" w:rsidRPr="00445A7B">
        <w:rPr>
          <w:rFonts w:ascii="Arial" w:hAnsi="Arial" w:cs="Arial"/>
          <w:lang w:val="en-GB"/>
        </w:rPr>
        <w:t xml:space="preserve">natively implied in the further </w:t>
      </w:r>
      <w:r w:rsidR="00610CDC" w:rsidRPr="00445A7B">
        <w:rPr>
          <w:rFonts w:ascii="Arial" w:hAnsi="Arial" w:cs="Arial"/>
          <w:lang w:val="en-GB"/>
        </w:rPr>
        <w:t>alternative tacit terms of the aforesaid agreement:</w:t>
      </w:r>
    </w:p>
    <w:p w:rsidR="009E57E5" w:rsidRPr="000679B1" w:rsidRDefault="009E57E5" w:rsidP="00445A7B">
      <w:pPr>
        <w:spacing w:after="0" w:line="360" w:lineRule="auto"/>
        <w:jc w:val="both"/>
        <w:rPr>
          <w:rFonts w:ascii="Arial" w:hAnsi="Arial" w:cs="Arial"/>
          <w:lang w:val="en-GB"/>
        </w:rPr>
      </w:pPr>
    </w:p>
    <w:p w:rsidR="00610CDC" w:rsidRPr="00445A7B" w:rsidRDefault="00610CDC" w:rsidP="00DF6C8B">
      <w:pPr>
        <w:pStyle w:val="ListParagraph"/>
        <w:spacing w:after="0" w:line="360" w:lineRule="auto"/>
        <w:ind w:left="2160" w:hanging="720"/>
        <w:jc w:val="both"/>
        <w:rPr>
          <w:rFonts w:ascii="Arial" w:hAnsi="Arial" w:cs="Arial"/>
          <w:lang w:val="en-GB"/>
        </w:rPr>
      </w:pPr>
      <w:r w:rsidRPr="00445A7B">
        <w:rPr>
          <w:rFonts w:ascii="Arial" w:hAnsi="Arial" w:cs="Arial"/>
          <w:lang w:val="en-GB"/>
        </w:rPr>
        <w:t>9.1</w:t>
      </w:r>
      <w:r w:rsidRPr="00445A7B">
        <w:rPr>
          <w:rFonts w:ascii="Arial" w:hAnsi="Arial" w:cs="Arial"/>
          <w:lang w:val="en-GB"/>
        </w:rPr>
        <w:tab/>
        <w:t>The late GS Neetling shall cause a lifelong usufruct to be registered in favour of the defendant over the farm</w:t>
      </w:r>
      <w:r w:rsidR="009E57E5" w:rsidRPr="00445A7B">
        <w:rPr>
          <w:rFonts w:ascii="Arial" w:hAnsi="Arial" w:cs="Arial"/>
          <w:lang w:val="en-GB"/>
        </w:rPr>
        <w:t>;</w:t>
      </w:r>
    </w:p>
    <w:p w:rsidR="009E57E5" w:rsidRPr="000679B1" w:rsidRDefault="009E57E5" w:rsidP="00445A7B">
      <w:pPr>
        <w:spacing w:after="0" w:line="360" w:lineRule="auto"/>
        <w:jc w:val="both"/>
        <w:rPr>
          <w:rFonts w:ascii="Arial" w:hAnsi="Arial" w:cs="Arial"/>
          <w:lang w:val="en-GB"/>
        </w:rPr>
      </w:pPr>
    </w:p>
    <w:p w:rsidR="00610CDC" w:rsidRPr="00445A7B" w:rsidRDefault="00610CDC" w:rsidP="00DF6C8B">
      <w:pPr>
        <w:pStyle w:val="ListParagraph"/>
        <w:spacing w:after="0" w:line="360" w:lineRule="auto"/>
        <w:ind w:left="2160" w:hanging="720"/>
        <w:jc w:val="both"/>
        <w:rPr>
          <w:rFonts w:ascii="Arial" w:hAnsi="Arial" w:cs="Arial"/>
          <w:lang w:val="en-GB"/>
        </w:rPr>
      </w:pPr>
      <w:r w:rsidRPr="00445A7B">
        <w:rPr>
          <w:rFonts w:ascii="Arial" w:hAnsi="Arial" w:cs="Arial"/>
          <w:lang w:val="en-GB"/>
        </w:rPr>
        <w:lastRenderedPageBreak/>
        <w:t>9.2</w:t>
      </w:r>
      <w:r w:rsidRPr="00445A7B">
        <w:rPr>
          <w:rFonts w:ascii="Arial" w:hAnsi="Arial" w:cs="Arial"/>
          <w:lang w:val="en-GB"/>
        </w:rPr>
        <w:tab/>
        <w:t>The late GS Neetling shall, in his last will and testament, bequeath the farm to the defendant</w:t>
      </w:r>
      <w:r w:rsidR="009E57E5" w:rsidRPr="00445A7B">
        <w:rPr>
          <w:rFonts w:ascii="Arial" w:hAnsi="Arial" w:cs="Arial"/>
          <w:lang w:val="en-GB"/>
        </w:rPr>
        <w:t>;</w:t>
      </w:r>
    </w:p>
    <w:p w:rsidR="009E57E5" w:rsidRPr="000679B1" w:rsidRDefault="009E57E5" w:rsidP="00445A7B">
      <w:pPr>
        <w:spacing w:after="0" w:line="360" w:lineRule="auto"/>
        <w:jc w:val="both"/>
        <w:rPr>
          <w:rFonts w:ascii="Arial" w:hAnsi="Arial" w:cs="Arial"/>
          <w:lang w:val="en-GB"/>
        </w:rPr>
      </w:pPr>
    </w:p>
    <w:p w:rsidR="00A66DA9" w:rsidRPr="00445A7B" w:rsidRDefault="00A66DA9" w:rsidP="00DF6C8B">
      <w:pPr>
        <w:pStyle w:val="ListParagraph"/>
        <w:numPr>
          <w:ilvl w:val="1"/>
          <w:numId w:val="7"/>
        </w:numPr>
        <w:spacing w:after="0" w:line="360" w:lineRule="auto"/>
        <w:jc w:val="both"/>
        <w:rPr>
          <w:rFonts w:ascii="Arial" w:hAnsi="Arial" w:cs="Arial"/>
          <w:lang w:val="en-GB"/>
        </w:rPr>
      </w:pPr>
      <w:r w:rsidRPr="00445A7B">
        <w:rPr>
          <w:rFonts w:ascii="Arial" w:hAnsi="Arial" w:cs="Arial"/>
          <w:lang w:val="en-GB"/>
        </w:rPr>
        <w:t>The defendant shall pay the GS Neetling an amount of N$ 1 350</w:t>
      </w:r>
      <w:r w:rsidR="009E57E5" w:rsidRPr="00445A7B">
        <w:rPr>
          <w:rFonts w:ascii="Arial" w:hAnsi="Arial" w:cs="Arial"/>
          <w:lang w:val="en-GB"/>
        </w:rPr>
        <w:t> </w:t>
      </w:r>
      <w:r w:rsidRPr="00445A7B">
        <w:rPr>
          <w:rFonts w:ascii="Arial" w:hAnsi="Arial" w:cs="Arial"/>
          <w:lang w:val="en-GB"/>
        </w:rPr>
        <w:t>000</w:t>
      </w:r>
      <w:r w:rsidR="003F69F5" w:rsidRPr="00445A7B">
        <w:rPr>
          <w:rFonts w:ascii="Arial" w:hAnsi="Arial" w:cs="Arial"/>
          <w:lang w:val="en-GB"/>
        </w:rPr>
        <w:t>.</w:t>
      </w:r>
    </w:p>
    <w:p w:rsidR="009E57E5" w:rsidRPr="000679B1" w:rsidRDefault="009E57E5" w:rsidP="00445A7B">
      <w:pPr>
        <w:spacing w:after="0" w:line="360" w:lineRule="auto"/>
        <w:jc w:val="both"/>
        <w:rPr>
          <w:rFonts w:ascii="Arial" w:hAnsi="Arial" w:cs="Arial"/>
          <w:lang w:val="en-GB"/>
        </w:rPr>
      </w:pPr>
    </w:p>
    <w:p w:rsidR="00A66DA9" w:rsidRPr="00445A7B" w:rsidRDefault="00A66DA9" w:rsidP="00DF6C8B">
      <w:pPr>
        <w:pStyle w:val="ListParagraph"/>
        <w:spacing w:after="0" w:line="360" w:lineRule="auto"/>
        <w:ind w:left="0" w:firstLine="720"/>
        <w:jc w:val="both"/>
        <w:rPr>
          <w:rFonts w:ascii="Arial" w:hAnsi="Arial" w:cs="Arial"/>
          <w:lang w:val="en-GB"/>
        </w:rPr>
      </w:pPr>
      <w:r w:rsidRPr="00445A7B">
        <w:rPr>
          <w:rFonts w:ascii="Arial" w:hAnsi="Arial" w:cs="Arial"/>
          <w:lang w:val="en-GB"/>
        </w:rPr>
        <w:t xml:space="preserve">11. </w:t>
      </w:r>
      <w:r w:rsidR="009E57E5" w:rsidRPr="00445A7B">
        <w:rPr>
          <w:rFonts w:ascii="Arial" w:hAnsi="Arial" w:cs="Arial"/>
          <w:lang w:val="en-GB"/>
        </w:rPr>
        <w:tab/>
      </w:r>
      <w:r w:rsidRPr="00445A7B">
        <w:rPr>
          <w:rFonts w:ascii="Arial" w:hAnsi="Arial" w:cs="Arial"/>
          <w:lang w:val="en-GB"/>
        </w:rPr>
        <w:t>The aforesaid agreement was however a simulated transaction in that:</w:t>
      </w:r>
    </w:p>
    <w:p w:rsidR="009E57E5" w:rsidRDefault="009E57E5" w:rsidP="00445A7B">
      <w:pPr>
        <w:spacing w:after="0" w:line="360" w:lineRule="auto"/>
        <w:jc w:val="both"/>
        <w:rPr>
          <w:rFonts w:ascii="Arial" w:hAnsi="Arial" w:cs="Arial"/>
          <w:lang w:val="en-GB"/>
        </w:rPr>
      </w:pPr>
    </w:p>
    <w:p w:rsidR="00A66DA9" w:rsidRPr="00DF6C8B" w:rsidRDefault="00A66DA9" w:rsidP="00DF6C8B">
      <w:pPr>
        <w:pStyle w:val="ListParagraph"/>
        <w:numPr>
          <w:ilvl w:val="1"/>
          <w:numId w:val="8"/>
        </w:numPr>
        <w:spacing w:after="0" w:line="360" w:lineRule="auto"/>
        <w:jc w:val="both"/>
        <w:rPr>
          <w:rFonts w:ascii="Arial" w:hAnsi="Arial" w:cs="Arial"/>
          <w:lang w:val="en-GB"/>
        </w:rPr>
      </w:pPr>
      <w:r w:rsidRPr="00DF6C8B">
        <w:rPr>
          <w:rFonts w:ascii="Arial" w:hAnsi="Arial" w:cs="Arial"/>
          <w:lang w:val="en-GB"/>
        </w:rPr>
        <w:t xml:space="preserve">It amounted to an unenforceable </w:t>
      </w:r>
      <w:r w:rsidRPr="00DF6C8B">
        <w:rPr>
          <w:rFonts w:ascii="Arial" w:hAnsi="Arial" w:cs="Arial"/>
          <w:i/>
          <w:lang w:val="en-GB"/>
        </w:rPr>
        <w:t>pacta successoria</w:t>
      </w:r>
      <w:r w:rsidRPr="00DF6C8B">
        <w:rPr>
          <w:rFonts w:ascii="Arial" w:hAnsi="Arial" w:cs="Arial"/>
          <w:lang w:val="en-GB"/>
        </w:rPr>
        <w:t>; and /or</w:t>
      </w:r>
    </w:p>
    <w:p w:rsidR="009E57E5" w:rsidRDefault="009E57E5" w:rsidP="00445A7B">
      <w:pPr>
        <w:spacing w:after="0" w:line="360" w:lineRule="auto"/>
        <w:jc w:val="both"/>
        <w:rPr>
          <w:rFonts w:ascii="Arial" w:hAnsi="Arial" w:cs="Arial"/>
          <w:lang w:val="en-GB"/>
        </w:rPr>
      </w:pPr>
    </w:p>
    <w:p w:rsidR="00A66DA9" w:rsidRPr="00445A7B" w:rsidRDefault="00A66DA9" w:rsidP="00DF6C8B">
      <w:pPr>
        <w:pStyle w:val="ListParagraph"/>
        <w:spacing w:after="0" w:line="360" w:lineRule="auto"/>
        <w:ind w:left="1860" w:hanging="420"/>
        <w:jc w:val="both"/>
        <w:rPr>
          <w:rFonts w:ascii="Arial" w:hAnsi="Arial" w:cs="Arial"/>
          <w:lang w:val="en-GB"/>
        </w:rPr>
      </w:pPr>
      <w:r w:rsidRPr="00445A7B">
        <w:rPr>
          <w:rFonts w:ascii="Arial" w:hAnsi="Arial" w:cs="Arial"/>
          <w:lang w:val="en-GB"/>
        </w:rPr>
        <w:t>11.2</w:t>
      </w:r>
      <w:r w:rsidRPr="00445A7B">
        <w:rPr>
          <w:rFonts w:ascii="Arial" w:hAnsi="Arial" w:cs="Arial"/>
          <w:lang w:val="en-GB"/>
        </w:rPr>
        <w:tab/>
        <w:t xml:space="preserve">Was a deliberate attempt by the parties thereto to circumvent the statutory provisions and requirements relating to the alienation of land or interest in such land in terms of the Land Act and is consequently illegal and unenforceable </w:t>
      </w:r>
    </w:p>
    <w:p w:rsidR="009E57E5" w:rsidRDefault="009E57E5" w:rsidP="00445A7B">
      <w:pPr>
        <w:spacing w:after="0" w:line="360" w:lineRule="auto"/>
        <w:jc w:val="both"/>
        <w:rPr>
          <w:rFonts w:ascii="Arial" w:hAnsi="Arial" w:cs="Arial"/>
          <w:lang w:val="en-GB"/>
        </w:rPr>
      </w:pPr>
    </w:p>
    <w:p w:rsidR="00610CDC" w:rsidRPr="00445A7B" w:rsidRDefault="00A66DA9" w:rsidP="00DF6C8B">
      <w:pPr>
        <w:pStyle w:val="ListParagraph"/>
        <w:spacing w:after="0" w:line="360" w:lineRule="auto"/>
        <w:ind w:left="1440" w:hanging="720"/>
        <w:jc w:val="both"/>
        <w:rPr>
          <w:rFonts w:ascii="Arial" w:hAnsi="Arial" w:cs="Arial"/>
          <w:lang w:val="en-GB"/>
        </w:rPr>
      </w:pPr>
      <w:r w:rsidRPr="00445A7B">
        <w:rPr>
          <w:rFonts w:ascii="Arial" w:hAnsi="Arial" w:cs="Arial"/>
          <w:lang w:val="en-GB"/>
        </w:rPr>
        <w:t xml:space="preserve">12. </w:t>
      </w:r>
      <w:r w:rsidR="009E57E5" w:rsidRPr="00445A7B">
        <w:rPr>
          <w:rFonts w:ascii="Arial" w:hAnsi="Arial" w:cs="Arial"/>
          <w:lang w:val="en-GB"/>
        </w:rPr>
        <w:tab/>
      </w:r>
      <w:r w:rsidRPr="00445A7B">
        <w:rPr>
          <w:rFonts w:ascii="Arial" w:hAnsi="Arial" w:cs="Arial"/>
          <w:lang w:val="en-GB"/>
        </w:rPr>
        <w:t>The purpose of the simulated contract was to</w:t>
      </w:r>
      <w:r w:rsidR="003F69F5" w:rsidRPr="00445A7B">
        <w:rPr>
          <w:rFonts w:ascii="Arial" w:hAnsi="Arial" w:cs="Arial"/>
          <w:lang w:val="en-GB"/>
        </w:rPr>
        <w:t xml:space="preserve"> create the impression that the </w:t>
      </w:r>
      <w:r w:rsidRPr="00445A7B">
        <w:rPr>
          <w:rFonts w:ascii="Arial" w:hAnsi="Arial" w:cs="Arial"/>
          <w:lang w:val="en-GB"/>
        </w:rPr>
        <w:t>first defendant would indeed become the holder of a 99 year usufruct</w:t>
      </w:r>
      <w:r w:rsidR="00C1731F" w:rsidRPr="00445A7B">
        <w:rPr>
          <w:rFonts w:ascii="Arial" w:hAnsi="Arial" w:cs="Arial"/>
          <w:lang w:val="en-GB"/>
        </w:rPr>
        <w:t>, whereas in truth and fact, the agreement and enforcements thereof was merely an effort to evade the provisions of section 17 of the Land Act (requiring a seller of agricultural land to first offer the land to the State and obtain a waiver certificate before the land can be sold to a third party)</w:t>
      </w:r>
      <w:r w:rsidR="00C6124B" w:rsidRPr="00445A7B">
        <w:rPr>
          <w:rFonts w:ascii="Arial" w:hAnsi="Arial" w:cs="Arial"/>
          <w:lang w:val="en-GB"/>
        </w:rPr>
        <w:t>.</w:t>
      </w:r>
      <w:r w:rsidR="007B179D" w:rsidRPr="00445A7B">
        <w:rPr>
          <w:rFonts w:ascii="Arial" w:hAnsi="Arial" w:cs="Arial"/>
          <w:lang w:val="en-GB"/>
        </w:rPr>
        <w:t>’</w:t>
      </w:r>
    </w:p>
    <w:p w:rsidR="00C1731F" w:rsidRPr="00724959" w:rsidRDefault="00C1731F" w:rsidP="00445A7B">
      <w:pPr>
        <w:spacing w:after="0" w:line="480" w:lineRule="auto"/>
        <w:jc w:val="both"/>
        <w:rPr>
          <w:rFonts w:ascii="Arial" w:hAnsi="Arial" w:cs="Arial"/>
          <w:sz w:val="24"/>
          <w:szCs w:val="24"/>
          <w:lang w:val="en-GB"/>
        </w:rPr>
      </w:pPr>
    </w:p>
    <w:p w:rsidR="00B33D83" w:rsidRPr="00445A7B" w:rsidRDefault="007B179D" w:rsidP="00445A7B">
      <w:pPr>
        <w:pStyle w:val="ListParagraph"/>
        <w:numPr>
          <w:ilvl w:val="0"/>
          <w:numId w:val="6"/>
        </w:numPr>
        <w:spacing w:after="0" w:line="480" w:lineRule="auto"/>
        <w:ind w:left="0" w:firstLine="0"/>
        <w:jc w:val="both"/>
        <w:rPr>
          <w:rFonts w:ascii="Arial" w:hAnsi="Arial" w:cs="Arial"/>
          <w:sz w:val="24"/>
          <w:szCs w:val="24"/>
        </w:rPr>
      </w:pPr>
      <w:r w:rsidRPr="00445A7B">
        <w:rPr>
          <w:rFonts w:ascii="Arial" w:hAnsi="Arial" w:cs="Arial"/>
          <w:sz w:val="24"/>
          <w:szCs w:val="24"/>
          <w:lang w:val="en-GB"/>
        </w:rPr>
        <w:t xml:space="preserve">Counsel </w:t>
      </w:r>
      <w:r w:rsidR="00C1731F" w:rsidRPr="00445A7B">
        <w:rPr>
          <w:rFonts w:ascii="Arial" w:hAnsi="Arial" w:cs="Arial"/>
          <w:sz w:val="24"/>
          <w:szCs w:val="24"/>
          <w:lang w:val="en-GB"/>
        </w:rPr>
        <w:t xml:space="preserve">submitted that the crucial question </w:t>
      </w:r>
      <w:r w:rsidR="009C0868" w:rsidRPr="00445A7B">
        <w:rPr>
          <w:rFonts w:ascii="Arial" w:hAnsi="Arial" w:cs="Arial"/>
          <w:sz w:val="24"/>
          <w:szCs w:val="24"/>
          <w:lang w:val="en-GB"/>
        </w:rPr>
        <w:t>f</w:t>
      </w:r>
      <w:r w:rsidR="00C1731F" w:rsidRPr="00445A7B">
        <w:rPr>
          <w:rFonts w:ascii="Arial" w:hAnsi="Arial" w:cs="Arial"/>
          <w:sz w:val="24"/>
          <w:szCs w:val="24"/>
          <w:lang w:val="en-GB"/>
        </w:rPr>
        <w:t>o</w:t>
      </w:r>
      <w:r w:rsidR="009C0868" w:rsidRPr="00445A7B">
        <w:rPr>
          <w:rFonts w:ascii="Arial" w:hAnsi="Arial" w:cs="Arial"/>
          <w:sz w:val="24"/>
          <w:szCs w:val="24"/>
          <w:lang w:val="en-GB"/>
        </w:rPr>
        <w:t>r</w:t>
      </w:r>
      <w:r w:rsidR="00C1731F" w:rsidRPr="00445A7B">
        <w:rPr>
          <w:rFonts w:ascii="Arial" w:hAnsi="Arial" w:cs="Arial"/>
          <w:sz w:val="24"/>
          <w:szCs w:val="24"/>
          <w:lang w:val="en-GB"/>
        </w:rPr>
        <w:t xml:space="preserve"> determin</w:t>
      </w:r>
      <w:r w:rsidR="009C0868" w:rsidRPr="00445A7B">
        <w:rPr>
          <w:rFonts w:ascii="Arial" w:hAnsi="Arial" w:cs="Arial"/>
          <w:sz w:val="24"/>
          <w:szCs w:val="24"/>
          <w:lang w:val="en-GB"/>
        </w:rPr>
        <w:t>ation</w:t>
      </w:r>
      <w:r w:rsidR="00C1731F" w:rsidRPr="00445A7B">
        <w:rPr>
          <w:rFonts w:ascii="Arial" w:hAnsi="Arial" w:cs="Arial"/>
          <w:sz w:val="24"/>
          <w:szCs w:val="24"/>
          <w:lang w:val="en-GB"/>
        </w:rPr>
        <w:t xml:space="preserve"> was whether or not the pleadings bear no cause of action on every interpretation</w:t>
      </w:r>
      <w:r w:rsidR="005343C1" w:rsidRPr="00445A7B">
        <w:rPr>
          <w:rFonts w:ascii="Arial" w:hAnsi="Arial" w:cs="Arial"/>
          <w:sz w:val="24"/>
          <w:szCs w:val="24"/>
          <w:lang w:val="en-GB"/>
        </w:rPr>
        <w:t>.</w:t>
      </w:r>
      <w:r w:rsidR="00AF3648" w:rsidRPr="00445A7B">
        <w:rPr>
          <w:rFonts w:ascii="Arial" w:hAnsi="Arial" w:cs="Arial"/>
          <w:sz w:val="24"/>
          <w:szCs w:val="24"/>
          <w:lang w:val="en-GB"/>
        </w:rPr>
        <w:t xml:space="preserve"> It was argued on behalf of the appellants that by taking every possible interpretation of the facts pleaded, the exception would not stand. </w:t>
      </w:r>
      <w:r w:rsidR="008C24BB" w:rsidRPr="00445A7B">
        <w:rPr>
          <w:rFonts w:ascii="Arial" w:hAnsi="Arial" w:cs="Arial"/>
          <w:sz w:val="24"/>
          <w:szCs w:val="24"/>
          <w:lang w:val="en-GB"/>
        </w:rPr>
        <w:t>C</w:t>
      </w:r>
      <w:r w:rsidR="00AF3648" w:rsidRPr="00445A7B">
        <w:rPr>
          <w:rFonts w:ascii="Arial" w:hAnsi="Arial" w:cs="Arial"/>
          <w:sz w:val="24"/>
          <w:szCs w:val="24"/>
          <w:lang w:val="en-GB"/>
        </w:rPr>
        <w:t xml:space="preserve">ounsel </w:t>
      </w:r>
      <w:r w:rsidR="00C87311" w:rsidRPr="00445A7B">
        <w:rPr>
          <w:rFonts w:ascii="Arial" w:hAnsi="Arial" w:cs="Arial"/>
          <w:sz w:val="24"/>
          <w:szCs w:val="24"/>
          <w:lang w:val="en-GB"/>
        </w:rPr>
        <w:t xml:space="preserve">therefore </w:t>
      </w:r>
      <w:r w:rsidR="008E6121" w:rsidRPr="00445A7B">
        <w:rPr>
          <w:rFonts w:ascii="Arial" w:hAnsi="Arial" w:cs="Arial"/>
          <w:sz w:val="24"/>
          <w:szCs w:val="24"/>
          <w:lang w:val="en-GB"/>
        </w:rPr>
        <w:t xml:space="preserve">contended that the </w:t>
      </w:r>
      <w:r w:rsidR="00B916E3" w:rsidRPr="00445A7B">
        <w:rPr>
          <w:rFonts w:ascii="Arial" w:hAnsi="Arial" w:cs="Arial"/>
          <w:sz w:val="24"/>
          <w:szCs w:val="24"/>
          <w:lang w:val="en-GB"/>
        </w:rPr>
        <w:t xml:space="preserve">allegations </w:t>
      </w:r>
      <w:r w:rsidR="00C87311" w:rsidRPr="00445A7B">
        <w:rPr>
          <w:rFonts w:ascii="Arial" w:hAnsi="Arial" w:cs="Arial"/>
          <w:sz w:val="24"/>
          <w:szCs w:val="24"/>
          <w:lang w:val="en-GB"/>
        </w:rPr>
        <w:t>contain</w:t>
      </w:r>
      <w:r w:rsidR="00B5792F" w:rsidRPr="00445A7B">
        <w:rPr>
          <w:rFonts w:ascii="Arial" w:hAnsi="Arial" w:cs="Arial"/>
          <w:sz w:val="24"/>
          <w:szCs w:val="24"/>
          <w:lang w:val="en-GB"/>
        </w:rPr>
        <w:t>ed</w:t>
      </w:r>
      <w:r w:rsidR="00C87311" w:rsidRPr="00445A7B">
        <w:rPr>
          <w:rFonts w:ascii="Arial" w:hAnsi="Arial" w:cs="Arial"/>
          <w:sz w:val="24"/>
          <w:szCs w:val="24"/>
          <w:lang w:val="en-GB"/>
        </w:rPr>
        <w:t xml:space="preserve"> </w:t>
      </w:r>
      <w:r w:rsidR="00B916E3" w:rsidRPr="00445A7B">
        <w:rPr>
          <w:rFonts w:ascii="Arial" w:hAnsi="Arial" w:cs="Arial"/>
          <w:sz w:val="24"/>
          <w:szCs w:val="24"/>
          <w:lang w:val="en-GB"/>
        </w:rPr>
        <w:t xml:space="preserve">under paras 9, 11 and 12 of the particulars are sufficient to establish that the agreement was </w:t>
      </w:r>
      <w:r w:rsidR="007A55D1" w:rsidRPr="00445A7B">
        <w:rPr>
          <w:rFonts w:ascii="Arial" w:hAnsi="Arial" w:cs="Arial"/>
          <w:sz w:val="24"/>
          <w:szCs w:val="24"/>
          <w:lang w:val="en-GB"/>
        </w:rPr>
        <w:t xml:space="preserve">a </w:t>
      </w:r>
      <w:r w:rsidR="00B916E3" w:rsidRPr="00445A7B">
        <w:rPr>
          <w:rFonts w:ascii="Arial" w:hAnsi="Arial" w:cs="Arial"/>
          <w:sz w:val="24"/>
          <w:szCs w:val="24"/>
          <w:lang w:val="en-GB"/>
        </w:rPr>
        <w:t>simulated transaction and entered</w:t>
      </w:r>
      <w:r w:rsidR="00B916E3" w:rsidRPr="00445A7B">
        <w:rPr>
          <w:rFonts w:ascii="Arial" w:hAnsi="Arial" w:cs="Arial"/>
          <w:sz w:val="24"/>
          <w:szCs w:val="24"/>
        </w:rPr>
        <w:t xml:space="preserve"> into </w:t>
      </w:r>
      <w:r w:rsidR="00B916E3" w:rsidRPr="00445A7B">
        <w:rPr>
          <w:rFonts w:ascii="Arial" w:hAnsi="Arial" w:cs="Arial"/>
          <w:i/>
          <w:sz w:val="24"/>
          <w:szCs w:val="24"/>
        </w:rPr>
        <w:t>fraudem legis</w:t>
      </w:r>
      <w:r w:rsidR="00B916E3" w:rsidRPr="00445A7B">
        <w:rPr>
          <w:rFonts w:ascii="Arial" w:hAnsi="Arial" w:cs="Arial"/>
          <w:sz w:val="24"/>
          <w:szCs w:val="24"/>
        </w:rPr>
        <w:t xml:space="preserve">. </w:t>
      </w:r>
    </w:p>
    <w:p w:rsidR="00C87311" w:rsidRDefault="00C87311" w:rsidP="00445A7B">
      <w:pPr>
        <w:spacing w:after="0" w:line="480" w:lineRule="auto"/>
        <w:jc w:val="both"/>
        <w:rPr>
          <w:rFonts w:ascii="Arial" w:hAnsi="Arial" w:cs="Arial"/>
          <w:sz w:val="24"/>
          <w:szCs w:val="24"/>
          <w:lang w:val="en-GB"/>
        </w:rPr>
      </w:pPr>
    </w:p>
    <w:p w:rsidR="00C10418" w:rsidRPr="00445A7B" w:rsidRDefault="0087110C" w:rsidP="00445A7B">
      <w:pPr>
        <w:pStyle w:val="ListParagraph"/>
        <w:numPr>
          <w:ilvl w:val="0"/>
          <w:numId w:val="6"/>
        </w:numPr>
        <w:spacing w:after="0" w:line="480" w:lineRule="auto"/>
        <w:ind w:left="0" w:firstLine="0"/>
        <w:jc w:val="both"/>
        <w:rPr>
          <w:rFonts w:ascii="Arial" w:hAnsi="Arial" w:cs="Arial"/>
          <w:sz w:val="24"/>
          <w:szCs w:val="24"/>
          <w:lang w:val="en-GB"/>
        </w:rPr>
      </w:pPr>
      <w:r w:rsidRPr="00445A7B">
        <w:rPr>
          <w:rFonts w:ascii="Arial" w:hAnsi="Arial" w:cs="Arial"/>
          <w:sz w:val="24"/>
          <w:szCs w:val="24"/>
          <w:lang w:val="en-GB"/>
        </w:rPr>
        <w:lastRenderedPageBreak/>
        <w:t xml:space="preserve">On behalf of the first respondent, counsel </w:t>
      </w:r>
      <w:r w:rsidR="00C10418" w:rsidRPr="00445A7B">
        <w:rPr>
          <w:rFonts w:ascii="Arial" w:hAnsi="Arial" w:cs="Arial"/>
          <w:sz w:val="24"/>
          <w:szCs w:val="24"/>
          <w:lang w:val="en-GB"/>
        </w:rPr>
        <w:t xml:space="preserve">submitted that at the centre of this inquiry is whether </w:t>
      </w:r>
      <w:r w:rsidR="00EC576C" w:rsidRPr="00445A7B">
        <w:rPr>
          <w:rFonts w:ascii="Arial" w:hAnsi="Arial" w:cs="Arial"/>
          <w:sz w:val="24"/>
          <w:szCs w:val="24"/>
          <w:lang w:val="en-GB"/>
        </w:rPr>
        <w:t xml:space="preserve">or not </w:t>
      </w:r>
      <w:r w:rsidR="00C10418" w:rsidRPr="00445A7B">
        <w:rPr>
          <w:rFonts w:ascii="Arial" w:hAnsi="Arial" w:cs="Arial"/>
          <w:sz w:val="24"/>
          <w:szCs w:val="24"/>
          <w:lang w:val="en-GB"/>
        </w:rPr>
        <w:t xml:space="preserve">the appellants as required by the law, had pleaded the material facts to substantiate the claim that the agreement was simulated and entered into </w:t>
      </w:r>
      <w:r w:rsidR="00C10418" w:rsidRPr="00445A7B">
        <w:rPr>
          <w:rFonts w:ascii="Arial" w:hAnsi="Arial" w:cs="Arial"/>
          <w:i/>
          <w:sz w:val="24"/>
          <w:szCs w:val="24"/>
          <w:lang w:val="en-GB"/>
        </w:rPr>
        <w:t>fraudem legis</w:t>
      </w:r>
      <w:r w:rsidR="00C10418" w:rsidRPr="00445A7B">
        <w:rPr>
          <w:rFonts w:ascii="Arial" w:hAnsi="Arial" w:cs="Arial"/>
          <w:sz w:val="24"/>
          <w:szCs w:val="24"/>
          <w:lang w:val="en-GB"/>
        </w:rPr>
        <w:t xml:space="preserve">. </w:t>
      </w:r>
      <w:r w:rsidR="006C17B5" w:rsidRPr="00445A7B">
        <w:rPr>
          <w:rFonts w:ascii="Arial" w:hAnsi="Arial" w:cs="Arial"/>
          <w:sz w:val="24"/>
          <w:szCs w:val="24"/>
          <w:lang w:val="en-GB"/>
        </w:rPr>
        <w:t xml:space="preserve">In this </w:t>
      </w:r>
      <w:r w:rsidR="00EC576C" w:rsidRPr="00445A7B">
        <w:rPr>
          <w:rFonts w:ascii="Arial" w:hAnsi="Arial" w:cs="Arial"/>
          <w:sz w:val="24"/>
          <w:szCs w:val="24"/>
          <w:lang w:val="en-GB"/>
        </w:rPr>
        <w:t>regard, counsel further submitted</w:t>
      </w:r>
      <w:r w:rsidR="006C17B5" w:rsidRPr="00445A7B">
        <w:rPr>
          <w:rFonts w:ascii="Arial" w:hAnsi="Arial" w:cs="Arial"/>
          <w:sz w:val="24"/>
          <w:szCs w:val="24"/>
          <w:lang w:val="en-GB"/>
        </w:rPr>
        <w:t xml:space="preserve"> </w:t>
      </w:r>
      <w:r w:rsidR="007A55D1" w:rsidRPr="00445A7B">
        <w:rPr>
          <w:rFonts w:ascii="Arial" w:hAnsi="Arial" w:cs="Arial"/>
          <w:sz w:val="24"/>
          <w:szCs w:val="24"/>
          <w:lang w:val="en-GB"/>
        </w:rPr>
        <w:t xml:space="preserve">that </w:t>
      </w:r>
      <w:r w:rsidR="00D7546E" w:rsidRPr="00445A7B">
        <w:rPr>
          <w:rFonts w:ascii="Arial" w:hAnsi="Arial" w:cs="Arial"/>
          <w:sz w:val="24"/>
          <w:szCs w:val="24"/>
          <w:lang w:val="en-GB"/>
        </w:rPr>
        <w:t>a</w:t>
      </w:r>
      <w:r w:rsidR="00C10418" w:rsidRPr="00445A7B">
        <w:rPr>
          <w:rFonts w:ascii="Arial" w:hAnsi="Arial" w:cs="Arial"/>
          <w:sz w:val="24"/>
          <w:szCs w:val="24"/>
          <w:lang w:val="en-GB"/>
        </w:rPr>
        <w:t xml:space="preserve"> party </w:t>
      </w:r>
      <w:r w:rsidR="00D7546E" w:rsidRPr="00445A7B">
        <w:rPr>
          <w:rFonts w:ascii="Arial" w:hAnsi="Arial" w:cs="Arial"/>
          <w:sz w:val="24"/>
          <w:szCs w:val="24"/>
          <w:lang w:val="en-GB"/>
        </w:rPr>
        <w:t xml:space="preserve">that </w:t>
      </w:r>
      <w:r w:rsidR="00C10418" w:rsidRPr="00445A7B">
        <w:rPr>
          <w:rFonts w:ascii="Arial" w:hAnsi="Arial" w:cs="Arial"/>
          <w:sz w:val="24"/>
          <w:szCs w:val="24"/>
          <w:lang w:val="en-GB"/>
        </w:rPr>
        <w:t xml:space="preserve">alleges </w:t>
      </w:r>
      <w:r w:rsidR="00D7546E" w:rsidRPr="00445A7B">
        <w:rPr>
          <w:rFonts w:ascii="Arial" w:hAnsi="Arial" w:cs="Arial"/>
          <w:sz w:val="24"/>
          <w:szCs w:val="24"/>
          <w:lang w:val="en-GB"/>
        </w:rPr>
        <w:t xml:space="preserve">a </w:t>
      </w:r>
      <w:r w:rsidR="00C10418" w:rsidRPr="00445A7B">
        <w:rPr>
          <w:rFonts w:ascii="Arial" w:hAnsi="Arial" w:cs="Arial"/>
          <w:sz w:val="24"/>
          <w:szCs w:val="24"/>
          <w:lang w:val="en-GB"/>
        </w:rPr>
        <w:t xml:space="preserve">simulated </w:t>
      </w:r>
      <w:r w:rsidR="00D7546E" w:rsidRPr="00445A7B">
        <w:rPr>
          <w:rFonts w:ascii="Arial" w:hAnsi="Arial" w:cs="Arial"/>
          <w:sz w:val="24"/>
          <w:szCs w:val="24"/>
          <w:lang w:val="en-GB"/>
        </w:rPr>
        <w:t xml:space="preserve">transaction </w:t>
      </w:r>
      <w:r w:rsidR="00C10418" w:rsidRPr="00445A7B">
        <w:rPr>
          <w:rFonts w:ascii="Arial" w:hAnsi="Arial" w:cs="Arial"/>
          <w:sz w:val="24"/>
          <w:szCs w:val="24"/>
          <w:lang w:val="en-GB"/>
        </w:rPr>
        <w:t>is required to set out all material facts from which</w:t>
      </w:r>
      <w:r w:rsidR="006C17B5" w:rsidRPr="00445A7B">
        <w:rPr>
          <w:rFonts w:ascii="Arial" w:hAnsi="Arial" w:cs="Arial"/>
          <w:sz w:val="24"/>
          <w:szCs w:val="24"/>
          <w:lang w:val="en-GB"/>
        </w:rPr>
        <w:t xml:space="preserve"> a conclusion can </w:t>
      </w:r>
      <w:r w:rsidR="00C10418" w:rsidRPr="00445A7B">
        <w:rPr>
          <w:rFonts w:ascii="Arial" w:hAnsi="Arial" w:cs="Arial"/>
          <w:sz w:val="24"/>
          <w:szCs w:val="24"/>
          <w:lang w:val="en-GB"/>
        </w:rPr>
        <w:t xml:space="preserve">reasonably </w:t>
      </w:r>
      <w:r w:rsidR="000679B1" w:rsidRPr="00445A7B">
        <w:rPr>
          <w:rFonts w:ascii="Arial" w:hAnsi="Arial" w:cs="Arial"/>
          <w:sz w:val="24"/>
          <w:szCs w:val="24"/>
          <w:lang w:val="en-GB"/>
        </w:rPr>
        <w:t xml:space="preserve">be </w:t>
      </w:r>
      <w:r w:rsidR="006C17B5" w:rsidRPr="00445A7B">
        <w:rPr>
          <w:rFonts w:ascii="Arial" w:hAnsi="Arial" w:cs="Arial"/>
          <w:sz w:val="24"/>
          <w:szCs w:val="24"/>
          <w:lang w:val="en-GB"/>
        </w:rPr>
        <w:t xml:space="preserve">made that the </w:t>
      </w:r>
      <w:r w:rsidR="00C10418" w:rsidRPr="00445A7B">
        <w:rPr>
          <w:rFonts w:ascii="Arial" w:hAnsi="Arial" w:cs="Arial"/>
          <w:sz w:val="24"/>
          <w:szCs w:val="24"/>
          <w:lang w:val="en-GB"/>
        </w:rPr>
        <w:t xml:space="preserve">agreement </w:t>
      </w:r>
      <w:r w:rsidR="006C17B5" w:rsidRPr="00445A7B">
        <w:rPr>
          <w:rFonts w:ascii="Arial" w:hAnsi="Arial" w:cs="Arial"/>
          <w:sz w:val="24"/>
          <w:szCs w:val="24"/>
          <w:lang w:val="en-GB"/>
        </w:rPr>
        <w:t xml:space="preserve">in question </w:t>
      </w:r>
      <w:r w:rsidR="00C10418" w:rsidRPr="00445A7B">
        <w:rPr>
          <w:rFonts w:ascii="Arial" w:hAnsi="Arial" w:cs="Arial"/>
          <w:sz w:val="24"/>
          <w:szCs w:val="24"/>
          <w:lang w:val="en-GB"/>
        </w:rPr>
        <w:t>was simulated</w:t>
      </w:r>
      <w:r w:rsidR="006C17B5" w:rsidRPr="00445A7B">
        <w:rPr>
          <w:rFonts w:ascii="Arial" w:hAnsi="Arial" w:cs="Arial"/>
          <w:sz w:val="24"/>
          <w:szCs w:val="24"/>
          <w:lang w:val="en-GB"/>
        </w:rPr>
        <w:t xml:space="preserve"> and one entered into </w:t>
      </w:r>
      <w:r w:rsidR="007A55D1" w:rsidRPr="00445A7B">
        <w:rPr>
          <w:rFonts w:ascii="Arial" w:hAnsi="Arial" w:cs="Arial"/>
          <w:sz w:val="24"/>
          <w:szCs w:val="24"/>
          <w:lang w:val="en-GB"/>
        </w:rPr>
        <w:t xml:space="preserve">in </w:t>
      </w:r>
      <w:r w:rsidR="006C17B5" w:rsidRPr="00445A7B">
        <w:rPr>
          <w:rFonts w:ascii="Arial" w:hAnsi="Arial" w:cs="Arial"/>
          <w:i/>
          <w:sz w:val="24"/>
          <w:szCs w:val="24"/>
          <w:lang w:val="en-GB"/>
        </w:rPr>
        <w:t>fraudem legis</w:t>
      </w:r>
      <w:r w:rsidR="00C10418" w:rsidRPr="00445A7B">
        <w:rPr>
          <w:rFonts w:ascii="Arial" w:hAnsi="Arial" w:cs="Arial"/>
          <w:sz w:val="24"/>
          <w:szCs w:val="24"/>
          <w:lang w:val="en-GB"/>
        </w:rPr>
        <w:t xml:space="preserve">. </w:t>
      </w:r>
    </w:p>
    <w:p w:rsidR="00C10418" w:rsidRDefault="00C10418" w:rsidP="00445A7B">
      <w:pPr>
        <w:spacing w:after="0" w:line="480" w:lineRule="auto"/>
        <w:jc w:val="both"/>
        <w:rPr>
          <w:rFonts w:ascii="Arial" w:hAnsi="Arial" w:cs="Arial"/>
          <w:sz w:val="24"/>
          <w:szCs w:val="24"/>
          <w:lang w:val="en-GB"/>
        </w:rPr>
      </w:pPr>
    </w:p>
    <w:p w:rsidR="007626EC" w:rsidRPr="00445A7B" w:rsidRDefault="00653459" w:rsidP="00445A7B">
      <w:pPr>
        <w:pStyle w:val="ListParagraph"/>
        <w:numPr>
          <w:ilvl w:val="0"/>
          <w:numId w:val="6"/>
        </w:numPr>
        <w:spacing w:after="0" w:line="480" w:lineRule="auto"/>
        <w:ind w:left="0" w:firstLine="0"/>
        <w:jc w:val="both"/>
        <w:rPr>
          <w:rFonts w:ascii="Arial" w:hAnsi="Arial" w:cs="Arial"/>
          <w:sz w:val="24"/>
          <w:szCs w:val="24"/>
          <w:lang w:val="en-GB"/>
        </w:rPr>
      </w:pPr>
      <w:r w:rsidRPr="00445A7B">
        <w:rPr>
          <w:rFonts w:ascii="Arial" w:hAnsi="Arial" w:cs="Arial"/>
          <w:sz w:val="24"/>
          <w:szCs w:val="24"/>
          <w:lang w:val="en-GB"/>
        </w:rPr>
        <w:t xml:space="preserve">Counsel submitted that the </w:t>
      </w:r>
      <w:r w:rsidR="0085282A" w:rsidRPr="00445A7B">
        <w:rPr>
          <w:rFonts w:ascii="Arial" w:hAnsi="Arial" w:cs="Arial"/>
          <w:sz w:val="24"/>
          <w:szCs w:val="24"/>
          <w:lang w:val="en-GB"/>
        </w:rPr>
        <w:t xml:space="preserve">correct </w:t>
      </w:r>
      <w:r w:rsidR="00FC4717" w:rsidRPr="00445A7B">
        <w:rPr>
          <w:rFonts w:ascii="Arial" w:hAnsi="Arial" w:cs="Arial"/>
          <w:sz w:val="24"/>
          <w:szCs w:val="24"/>
          <w:lang w:val="en-GB"/>
        </w:rPr>
        <w:t>approach</w:t>
      </w:r>
      <w:r w:rsidR="0085282A" w:rsidRPr="00445A7B">
        <w:rPr>
          <w:rFonts w:ascii="Arial" w:hAnsi="Arial" w:cs="Arial"/>
          <w:sz w:val="24"/>
          <w:szCs w:val="24"/>
          <w:lang w:val="en-GB"/>
        </w:rPr>
        <w:t xml:space="preserve"> to </w:t>
      </w:r>
      <w:r w:rsidR="000679B1" w:rsidRPr="00445A7B">
        <w:rPr>
          <w:rFonts w:ascii="Arial" w:hAnsi="Arial" w:cs="Arial"/>
          <w:sz w:val="24"/>
          <w:szCs w:val="24"/>
          <w:lang w:val="en-GB"/>
        </w:rPr>
        <w:t xml:space="preserve">the question </w:t>
      </w:r>
      <w:r w:rsidR="0085282A" w:rsidRPr="00445A7B">
        <w:rPr>
          <w:rFonts w:ascii="Arial" w:hAnsi="Arial" w:cs="Arial"/>
          <w:sz w:val="24"/>
          <w:szCs w:val="24"/>
          <w:lang w:val="en-GB"/>
        </w:rPr>
        <w:t xml:space="preserve">was set by </w:t>
      </w:r>
      <w:r w:rsidR="0085282A" w:rsidRPr="00445A7B">
        <w:rPr>
          <w:rFonts w:ascii="Arial" w:hAnsi="Arial" w:cs="Arial"/>
          <w:i/>
          <w:sz w:val="24"/>
          <w:szCs w:val="24"/>
          <w:lang w:val="en-GB"/>
        </w:rPr>
        <w:t>Amler</w:t>
      </w:r>
      <w:r w:rsidR="00B551BA" w:rsidRPr="00445A7B">
        <w:rPr>
          <w:rFonts w:ascii="Arial" w:hAnsi="Arial" w:cs="Arial"/>
          <w:i/>
          <w:sz w:val="24"/>
          <w:szCs w:val="24"/>
          <w:lang w:val="en-GB"/>
        </w:rPr>
        <w:t>’</w:t>
      </w:r>
      <w:r w:rsidR="0085282A" w:rsidRPr="00445A7B">
        <w:rPr>
          <w:rFonts w:ascii="Arial" w:hAnsi="Arial" w:cs="Arial"/>
          <w:i/>
          <w:sz w:val="24"/>
          <w:szCs w:val="24"/>
          <w:lang w:val="en-GB"/>
        </w:rPr>
        <w:t>s Precedents of Pleadings</w:t>
      </w:r>
      <w:r w:rsidR="0085282A" w:rsidRPr="00724959">
        <w:rPr>
          <w:rStyle w:val="FootnoteReference"/>
          <w:rFonts w:ascii="Arial" w:hAnsi="Arial" w:cs="Arial"/>
          <w:sz w:val="24"/>
          <w:szCs w:val="24"/>
          <w:lang w:val="en-GB"/>
        </w:rPr>
        <w:footnoteReference w:id="12"/>
      </w:r>
      <w:r w:rsidR="0085282A" w:rsidRPr="00445A7B">
        <w:rPr>
          <w:rFonts w:ascii="Arial" w:hAnsi="Arial" w:cs="Arial"/>
          <w:sz w:val="24"/>
          <w:szCs w:val="24"/>
          <w:lang w:val="en-GB"/>
        </w:rPr>
        <w:t xml:space="preserve"> in formu</w:t>
      </w:r>
      <w:r w:rsidR="00FC4717" w:rsidRPr="00445A7B">
        <w:rPr>
          <w:rFonts w:ascii="Arial" w:hAnsi="Arial" w:cs="Arial"/>
          <w:sz w:val="24"/>
          <w:szCs w:val="24"/>
          <w:lang w:val="en-GB"/>
        </w:rPr>
        <w:t xml:space="preserve">lating pleadings </w:t>
      </w:r>
      <w:r w:rsidR="0085282A" w:rsidRPr="00445A7B">
        <w:rPr>
          <w:rFonts w:ascii="Arial" w:hAnsi="Arial" w:cs="Arial"/>
          <w:sz w:val="24"/>
          <w:szCs w:val="24"/>
          <w:lang w:val="en-GB"/>
        </w:rPr>
        <w:t xml:space="preserve">of a simulated transaction. According to </w:t>
      </w:r>
      <w:r w:rsidR="0085282A" w:rsidRPr="00445A7B">
        <w:rPr>
          <w:rFonts w:ascii="Arial" w:hAnsi="Arial" w:cs="Arial"/>
          <w:i/>
          <w:sz w:val="24"/>
          <w:szCs w:val="24"/>
          <w:lang w:val="en-GB"/>
        </w:rPr>
        <w:t>Amler</w:t>
      </w:r>
      <w:r w:rsidR="007A55D1" w:rsidRPr="00445A7B">
        <w:rPr>
          <w:rFonts w:ascii="Arial" w:hAnsi="Arial" w:cs="Arial"/>
          <w:i/>
          <w:sz w:val="24"/>
          <w:szCs w:val="24"/>
          <w:lang w:val="en-GB"/>
        </w:rPr>
        <w:t>’</w:t>
      </w:r>
      <w:r w:rsidR="0085282A" w:rsidRPr="00445A7B">
        <w:rPr>
          <w:rFonts w:ascii="Arial" w:hAnsi="Arial" w:cs="Arial"/>
          <w:i/>
          <w:sz w:val="24"/>
          <w:szCs w:val="24"/>
          <w:lang w:val="en-GB"/>
        </w:rPr>
        <w:t>s</w:t>
      </w:r>
      <w:r w:rsidR="0085282A" w:rsidRPr="00445A7B">
        <w:rPr>
          <w:rFonts w:ascii="Arial" w:hAnsi="Arial" w:cs="Arial"/>
          <w:sz w:val="24"/>
          <w:szCs w:val="24"/>
          <w:lang w:val="en-GB"/>
        </w:rPr>
        <w:t xml:space="preserve">, proof of a transaction is </w:t>
      </w:r>
      <w:r w:rsidR="0085282A" w:rsidRPr="003E169C">
        <w:rPr>
          <w:rFonts w:ascii="Arial" w:hAnsi="Arial" w:cs="Arial"/>
          <w:i/>
          <w:sz w:val="24"/>
          <w:szCs w:val="24"/>
          <w:lang w:val="en-GB"/>
        </w:rPr>
        <w:t>prima facie</w:t>
      </w:r>
      <w:r w:rsidR="0085282A" w:rsidRPr="00445A7B">
        <w:rPr>
          <w:rFonts w:ascii="Arial" w:hAnsi="Arial" w:cs="Arial"/>
          <w:sz w:val="24"/>
          <w:szCs w:val="24"/>
          <w:lang w:val="en-GB"/>
        </w:rPr>
        <w:t xml:space="preserve"> evidence that the transaction was not simulated. </w:t>
      </w:r>
      <w:r w:rsidR="007A55D1" w:rsidRPr="00445A7B">
        <w:rPr>
          <w:rFonts w:ascii="Arial" w:hAnsi="Arial" w:cs="Arial"/>
          <w:i/>
          <w:sz w:val="24"/>
          <w:szCs w:val="24"/>
          <w:lang w:val="en-GB"/>
        </w:rPr>
        <w:t>A</w:t>
      </w:r>
      <w:r w:rsidR="0085282A" w:rsidRPr="00445A7B">
        <w:rPr>
          <w:rFonts w:ascii="Arial" w:hAnsi="Arial" w:cs="Arial"/>
          <w:i/>
          <w:sz w:val="24"/>
          <w:szCs w:val="24"/>
          <w:lang w:val="en-GB"/>
        </w:rPr>
        <w:t>m</w:t>
      </w:r>
      <w:r w:rsidR="007A55D1" w:rsidRPr="00445A7B">
        <w:rPr>
          <w:rFonts w:ascii="Arial" w:hAnsi="Arial" w:cs="Arial"/>
          <w:i/>
          <w:sz w:val="24"/>
          <w:szCs w:val="24"/>
          <w:lang w:val="en-GB"/>
        </w:rPr>
        <w:t>l</w:t>
      </w:r>
      <w:r w:rsidR="0085282A" w:rsidRPr="00445A7B">
        <w:rPr>
          <w:rFonts w:ascii="Arial" w:hAnsi="Arial" w:cs="Arial"/>
          <w:i/>
          <w:sz w:val="24"/>
          <w:szCs w:val="24"/>
          <w:lang w:val="en-GB"/>
        </w:rPr>
        <w:t>er</w:t>
      </w:r>
      <w:r w:rsidR="007A55D1" w:rsidRPr="00445A7B">
        <w:rPr>
          <w:rFonts w:ascii="Arial" w:hAnsi="Arial" w:cs="Arial"/>
          <w:i/>
          <w:sz w:val="24"/>
          <w:szCs w:val="24"/>
          <w:lang w:val="en-GB"/>
        </w:rPr>
        <w:t>’</w:t>
      </w:r>
      <w:r w:rsidR="0085282A" w:rsidRPr="00445A7B">
        <w:rPr>
          <w:rFonts w:ascii="Arial" w:hAnsi="Arial" w:cs="Arial"/>
          <w:i/>
          <w:sz w:val="24"/>
          <w:szCs w:val="24"/>
          <w:lang w:val="en-GB"/>
        </w:rPr>
        <w:t>s</w:t>
      </w:r>
      <w:r w:rsidR="0085282A" w:rsidRPr="00445A7B">
        <w:rPr>
          <w:rFonts w:ascii="Arial" w:hAnsi="Arial" w:cs="Arial"/>
          <w:sz w:val="24"/>
          <w:szCs w:val="24"/>
          <w:lang w:val="en-GB"/>
        </w:rPr>
        <w:t xml:space="preserve"> also places the burden of proof on the party who alleges simulation to rebut the </w:t>
      </w:r>
      <w:r w:rsidR="0085282A" w:rsidRPr="00445A7B">
        <w:rPr>
          <w:rFonts w:ascii="Arial" w:hAnsi="Arial" w:cs="Arial"/>
          <w:i/>
          <w:sz w:val="24"/>
          <w:szCs w:val="24"/>
          <w:lang w:val="en-GB"/>
        </w:rPr>
        <w:t>prima facie</w:t>
      </w:r>
      <w:r w:rsidR="0085282A" w:rsidRPr="00445A7B">
        <w:rPr>
          <w:rFonts w:ascii="Arial" w:hAnsi="Arial" w:cs="Arial"/>
          <w:sz w:val="24"/>
          <w:szCs w:val="24"/>
          <w:lang w:val="en-GB"/>
        </w:rPr>
        <w:t xml:space="preserve"> inference.</w:t>
      </w:r>
      <w:r w:rsidR="005D38FC" w:rsidRPr="00445A7B">
        <w:rPr>
          <w:rFonts w:ascii="Arial" w:hAnsi="Arial" w:cs="Arial"/>
          <w:sz w:val="24"/>
          <w:szCs w:val="24"/>
          <w:lang w:val="en-GB"/>
        </w:rPr>
        <w:t xml:space="preserve"> </w:t>
      </w:r>
      <w:r w:rsidR="00A453E0" w:rsidRPr="00445A7B">
        <w:rPr>
          <w:rFonts w:ascii="Arial" w:hAnsi="Arial" w:cs="Arial"/>
          <w:i/>
          <w:sz w:val="24"/>
          <w:szCs w:val="24"/>
          <w:lang w:val="en-GB"/>
        </w:rPr>
        <w:t>Am</w:t>
      </w:r>
      <w:r w:rsidR="007A55D1" w:rsidRPr="00445A7B">
        <w:rPr>
          <w:rFonts w:ascii="Arial" w:hAnsi="Arial" w:cs="Arial"/>
          <w:i/>
          <w:sz w:val="24"/>
          <w:szCs w:val="24"/>
          <w:lang w:val="en-GB"/>
        </w:rPr>
        <w:t>l</w:t>
      </w:r>
      <w:r w:rsidR="00A453E0" w:rsidRPr="00445A7B">
        <w:rPr>
          <w:rFonts w:ascii="Arial" w:hAnsi="Arial" w:cs="Arial"/>
          <w:i/>
          <w:sz w:val="24"/>
          <w:szCs w:val="24"/>
          <w:lang w:val="en-GB"/>
        </w:rPr>
        <w:t>er</w:t>
      </w:r>
      <w:r w:rsidR="007A55D1" w:rsidRPr="00445A7B">
        <w:rPr>
          <w:rFonts w:ascii="Arial" w:hAnsi="Arial" w:cs="Arial"/>
          <w:i/>
          <w:sz w:val="24"/>
          <w:szCs w:val="24"/>
          <w:lang w:val="en-GB"/>
        </w:rPr>
        <w:t>’</w:t>
      </w:r>
      <w:r w:rsidR="00A453E0" w:rsidRPr="00445A7B">
        <w:rPr>
          <w:rFonts w:ascii="Arial" w:hAnsi="Arial" w:cs="Arial"/>
          <w:i/>
          <w:sz w:val="24"/>
          <w:szCs w:val="24"/>
          <w:lang w:val="en-GB"/>
        </w:rPr>
        <w:t>s</w:t>
      </w:r>
      <w:r w:rsidR="00A453E0" w:rsidRPr="00445A7B">
        <w:rPr>
          <w:rFonts w:ascii="Arial" w:hAnsi="Arial" w:cs="Arial"/>
          <w:sz w:val="24"/>
          <w:szCs w:val="24"/>
          <w:lang w:val="en-GB"/>
        </w:rPr>
        <w:t xml:space="preserve"> </w:t>
      </w:r>
      <w:r w:rsidR="009E57E5" w:rsidRPr="00445A7B">
        <w:rPr>
          <w:rFonts w:ascii="Arial" w:hAnsi="Arial" w:cs="Arial"/>
          <w:sz w:val="24"/>
          <w:szCs w:val="24"/>
          <w:lang w:val="en-GB"/>
        </w:rPr>
        <w:t>further states</w:t>
      </w:r>
      <w:r w:rsidR="00EC576C" w:rsidRPr="00445A7B">
        <w:rPr>
          <w:rFonts w:ascii="Arial" w:hAnsi="Arial" w:cs="Arial"/>
          <w:sz w:val="24"/>
          <w:szCs w:val="24"/>
          <w:lang w:val="en-GB"/>
        </w:rPr>
        <w:t xml:space="preserve"> that simulations are detected by considering the facts leading up to the contract and by taking account of any </w:t>
      </w:r>
      <w:r w:rsidR="00A16F30" w:rsidRPr="00445A7B">
        <w:rPr>
          <w:rFonts w:ascii="Arial" w:hAnsi="Arial" w:cs="Arial"/>
          <w:sz w:val="24"/>
          <w:szCs w:val="24"/>
          <w:lang w:val="en-GB"/>
        </w:rPr>
        <w:t>unusual</w:t>
      </w:r>
      <w:r w:rsidR="00EC576C" w:rsidRPr="00445A7B">
        <w:rPr>
          <w:rFonts w:ascii="Arial" w:hAnsi="Arial" w:cs="Arial"/>
          <w:sz w:val="24"/>
          <w:szCs w:val="24"/>
          <w:lang w:val="en-GB"/>
        </w:rPr>
        <w:t xml:space="preserve"> provision embodied in it. </w:t>
      </w:r>
    </w:p>
    <w:p w:rsidR="0033224C" w:rsidRPr="00724959" w:rsidRDefault="0033224C" w:rsidP="00445A7B">
      <w:pPr>
        <w:spacing w:after="0" w:line="480" w:lineRule="auto"/>
        <w:jc w:val="both"/>
        <w:rPr>
          <w:rFonts w:ascii="Arial" w:hAnsi="Arial" w:cs="Arial"/>
          <w:sz w:val="24"/>
          <w:szCs w:val="24"/>
          <w:lang w:val="en-GB"/>
        </w:rPr>
      </w:pPr>
    </w:p>
    <w:p w:rsidR="00AD041E" w:rsidRPr="00445A7B" w:rsidRDefault="00A16F30" w:rsidP="00445A7B">
      <w:pPr>
        <w:pStyle w:val="ListParagraph"/>
        <w:numPr>
          <w:ilvl w:val="0"/>
          <w:numId w:val="6"/>
        </w:numPr>
        <w:spacing w:after="0" w:line="480" w:lineRule="auto"/>
        <w:ind w:left="0" w:firstLine="0"/>
        <w:jc w:val="both"/>
        <w:rPr>
          <w:rFonts w:ascii="Arial" w:hAnsi="Arial" w:cs="Arial"/>
          <w:sz w:val="24"/>
          <w:szCs w:val="24"/>
          <w:lang w:val="en-GB"/>
        </w:rPr>
      </w:pPr>
      <w:r w:rsidRPr="00445A7B">
        <w:rPr>
          <w:rFonts w:ascii="Arial" w:hAnsi="Arial" w:cs="Arial"/>
          <w:sz w:val="24"/>
          <w:szCs w:val="24"/>
          <w:lang w:val="en-GB"/>
        </w:rPr>
        <w:t>Counsel submitted that when one ha</w:t>
      </w:r>
      <w:r w:rsidR="000679B1" w:rsidRPr="00445A7B">
        <w:rPr>
          <w:rFonts w:ascii="Arial" w:hAnsi="Arial" w:cs="Arial"/>
          <w:sz w:val="24"/>
          <w:szCs w:val="24"/>
          <w:lang w:val="en-GB"/>
        </w:rPr>
        <w:t>s</w:t>
      </w:r>
      <w:r w:rsidRPr="00445A7B">
        <w:rPr>
          <w:rFonts w:ascii="Arial" w:hAnsi="Arial" w:cs="Arial"/>
          <w:sz w:val="24"/>
          <w:szCs w:val="24"/>
          <w:lang w:val="en-GB"/>
        </w:rPr>
        <w:t xml:space="preserve"> regard </w:t>
      </w:r>
      <w:r w:rsidR="000679B1" w:rsidRPr="00445A7B">
        <w:rPr>
          <w:rFonts w:ascii="Arial" w:hAnsi="Arial" w:cs="Arial"/>
          <w:sz w:val="24"/>
          <w:szCs w:val="24"/>
          <w:lang w:val="en-GB"/>
        </w:rPr>
        <w:t xml:space="preserve">to </w:t>
      </w:r>
      <w:r w:rsidRPr="00445A7B">
        <w:rPr>
          <w:rFonts w:ascii="Arial" w:hAnsi="Arial" w:cs="Arial"/>
          <w:sz w:val="24"/>
          <w:szCs w:val="24"/>
          <w:lang w:val="en-GB"/>
        </w:rPr>
        <w:t>the appellants’ particulars of claim, t</w:t>
      </w:r>
      <w:r w:rsidR="007A55D1" w:rsidRPr="00445A7B">
        <w:rPr>
          <w:rFonts w:ascii="Arial" w:hAnsi="Arial" w:cs="Arial"/>
          <w:sz w:val="24"/>
          <w:szCs w:val="24"/>
          <w:lang w:val="en-GB"/>
        </w:rPr>
        <w:t>hey</w:t>
      </w:r>
      <w:r w:rsidRPr="00445A7B">
        <w:rPr>
          <w:rFonts w:ascii="Arial" w:hAnsi="Arial" w:cs="Arial"/>
          <w:sz w:val="24"/>
          <w:szCs w:val="24"/>
          <w:lang w:val="en-GB"/>
        </w:rPr>
        <w:t xml:space="preserve"> do not disclose any primary fact which the appellants could prove, to rebut the </w:t>
      </w:r>
      <w:r w:rsidRPr="00445A7B">
        <w:rPr>
          <w:rFonts w:ascii="Arial" w:hAnsi="Arial" w:cs="Arial"/>
          <w:i/>
          <w:sz w:val="24"/>
          <w:szCs w:val="24"/>
          <w:lang w:val="en-GB"/>
        </w:rPr>
        <w:t xml:space="preserve">prima facie </w:t>
      </w:r>
      <w:r w:rsidRPr="00445A7B">
        <w:rPr>
          <w:rFonts w:ascii="Arial" w:hAnsi="Arial" w:cs="Arial"/>
          <w:sz w:val="24"/>
          <w:szCs w:val="24"/>
          <w:lang w:val="en-GB"/>
        </w:rPr>
        <w:t xml:space="preserve">inference of genuine transaction that arose on the pleadings. </w:t>
      </w:r>
      <w:r w:rsidR="00671617" w:rsidRPr="00445A7B">
        <w:rPr>
          <w:rFonts w:ascii="Arial" w:hAnsi="Arial" w:cs="Arial"/>
          <w:sz w:val="24"/>
          <w:szCs w:val="24"/>
          <w:lang w:val="en-GB"/>
        </w:rPr>
        <w:t>It was further submitted that the appellants had only made legal conclusions without advancing primary facts to support t</w:t>
      </w:r>
      <w:r w:rsidR="007A55D1" w:rsidRPr="00445A7B">
        <w:rPr>
          <w:rFonts w:ascii="Arial" w:hAnsi="Arial" w:cs="Arial"/>
          <w:sz w:val="24"/>
          <w:szCs w:val="24"/>
          <w:lang w:val="en-GB"/>
        </w:rPr>
        <w:t>hem</w:t>
      </w:r>
      <w:r w:rsidR="00671617" w:rsidRPr="00445A7B">
        <w:rPr>
          <w:rFonts w:ascii="Arial" w:hAnsi="Arial" w:cs="Arial"/>
          <w:sz w:val="24"/>
          <w:szCs w:val="24"/>
          <w:lang w:val="en-GB"/>
        </w:rPr>
        <w:t xml:space="preserve">. In this context, </w:t>
      </w:r>
      <w:r w:rsidR="00AD041E" w:rsidRPr="00445A7B">
        <w:rPr>
          <w:rFonts w:ascii="Arial" w:hAnsi="Arial" w:cs="Arial"/>
          <w:sz w:val="24"/>
          <w:szCs w:val="24"/>
          <w:lang w:val="en-GB"/>
        </w:rPr>
        <w:t>c</w:t>
      </w:r>
      <w:r w:rsidR="00671617" w:rsidRPr="00445A7B">
        <w:rPr>
          <w:rFonts w:ascii="Arial" w:hAnsi="Arial" w:cs="Arial"/>
          <w:sz w:val="24"/>
          <w:szCs w:val="24"/>
          <w:lang w:val="en-GB"/>
        </w:rPr>
        <w:t xml:space="preserve">ounsel </w:t>
      </w:r>
      <w:r w:rsidR="00722B14" w:rsidRPr="00445A7B">
        <w:rPr>
          <w:rFonts w:ascii="Arial" w:hAnsi="Arial" w:cs="Arial"/>
          <w:sz w:val="24"/>
          <w:szCs w:val="24"/>
          <w:lang w:val="en-GB"/>
        </w:rPr>
        <w:t xml:space="preserve">referred to paras 11 and 12 of the particulars and </w:t>
      </w:r>
      <w:r w:rsidR="00AD041E" w:rsidRPr="00445A7B">
        <w:rPr>
          <w:rFonts w:ascii="Arial" w:hAnsi="Arial" w:cs="Arial"/>
          <w:sz w:val="24"/>
          <w:szCs w:val="24"/>
          <w:lang w:val="en-GB"/>
        </w:rPr>
        <w:t xml:space="preserve">contended that </w:t>
      </w:r>
      <w:r w:rsidR="0033224C" w:rsidRPr="00445A7B">
        <w:rPr>
          <w:rFonts w:ascii="Arial" w:hAnsi="Arial" w:cs="Arial"/>
          <w:sz w:val="24"/>
          <w:szCs w:val="24"/>
          <w:lang w:val="en-GB"/>
        </w:rPr>
        <w:t>the appellants</w:t>
      </w:r>
      <w:r w:rsidR="007A55D1" w:rsidRPr="00445A7B">
        <w:rPr>
          <w:rFonts w:ascii="Arial" w:hAnsi="Arial" w:cs="Arial"/>
          <w:sz w:val="24"/>
          <w:szCs w:val="24"/>
          <w:lang w:val="en-GB"/>
        </w:rPr>
        <w:t>,</w:t>
      </w:r>
      <w:r w:rsidR="0033224C" w:rsidRPr="00445A7B">
        <w:rPr>
          <w:rFonts w:ascii="Arial" w:hAnsi="Arial" w:cs="Arial"/>
          <w:sz w:val="24"/>
          <w:szCs w:val="24"/>
          <w:lang w:val="en-GB"/>
        </w:rPr>
        <w:t xml:space="preserve"> </w:t>
      </w:r>
      <w:r w:rsidR="00722B14" w:rsidRPr="00445A7B">
        <w:rPr>
          <w:rFonts w:ascii="Arial" w:hAnsi="Arial" w:cs="Arial"/>
          <w:sz w:val="24"/>
          <w:szCs w:val="24"/>
          <w:lang w:val="en-GB"/>
        </w:rPr>
        <w:t xml:space="preserve">instead of setting out </w:t>
      </w:r>
      <w:r w:rsidR="00722B14" w:rsidRPr="00445A7B">
        <w:rPr>
          <w:rFonts w:ascii="Arial" w:hAnsi="Arial" w:cs="Arial"/>
          <w:sz w:val="24"/>
          <w:szCs w:val="24"/>
          <w:lang w:val="en-GB"/>
        </w:rPr>
        <w:lastRenderedPageBreak/>
        <w:t xml:space="preserve">material facts in support </w:t>
      </w:r>
      <w:r w:rsidR="007A55D1" w:rsidRPr="00445A7B">
        <w:rPr>
          <w:rFonts w:ascii="Arial" w:hAnsi="Arial" w:cs="Arial"/>
          <w:sz w:val="24"/>
          <w:szCs w:val="24"/>
          <w:lang w:val="en-GB"/>
        </w:rPr>
        <w:t xml:space="preserve">of </w:t>
      </w:r>
      <w:r w:rsidR="00722B14" w:rsidRPr="00445A7B">
        <w:rPr>
          <w:rFonts w:ascii="Arial" w:hAnsi="Arial" w:cs="Arial"/>
          <w:sz w:val="24"/>
          <w:szCs w:val="24"/>
          <w:lang w:val="en-GB"/>
        </w:rPr>
        <w:t>their contention that the transaction was simulated</w:t>
      </w:r>
      <w:r w:rsidR="007A55D1" w:rsidRPr="00445A7B">
        <w:rPr>
          <w:rFonts w:ascii="Arial" w:hAnsi="Arial" w:cs="Arial"/>
          <w:sz w:val="24"/>
          <w:szCs w:val="24"/>
          <w:lang w:val="en-GB"/>
        </w:rPr>
        <w:t>,</w:t>
      </w:r>
      <w:r w:rsidR="00722B14" w:rsidRPr="00445A7B">
        <w:rPr>
          <w:rFonts w:ascii="Arial" w:hAnsi="Arial" w:cs="Arial"/>
          <w:sz w:val="24"/>
          <w:szCs w:val="24"/>
          <w:lang w:val="en-GB"/>
        </w:rPr>
        <w:t xml:space="preserve"> simply made legal conclusions. </w:t>
      </w:r>
      <w:r w:rsidR="00AD041E" w:rsidRPr="00445A7B">
        <w:rPr>
          <w:rFonts w:ascii="Arial" w:hAnsi="Arial" w:cs="Arial"/>
          <w:sz w:val="24"/>
          <w:szCs w:val="24"/>
          <w:lang w:val="en-GB"/>
        </w:rPr>
        <w:t xml:space="preserve">On this score, counsel </w:t>
      </w:r>
      <w:r w:rsidR="00722B14" w:rsidRPr="00445A7B">
        <w:rPr>
          <w:rFonts w:ascii="Arial" w:hAnsi="Arial" w:cs="Arial"/>
          <w:sz w:val="24"/>
          <w:szCs w:val="24"/>
          <w:lang w:val="en-GB"/>
        </w:rPr>
        <w:t xml:space="preserve">submitted </w:t>
      </w:r>
      <w:r w:rsidR="00AD041E" w:rsidRPr="00445A7B">
        <w:rPr>
          <w:rFonts w:ascii="Arial" w:hAnsi="Arial" w:cs="Arial"/>
          <w:sz w:val="24"/>
          <w:szCs w:val="24"/>
          <w:lang w:val="en-GB"/>
        </w:rPr>
        <w:t xml:space="preserve">that the court </w:t>
      </w:r>
      <w:r w:rsidR="00AD041E" w:rsidRPr="00445A7B">
        <w:rPr>
          <w:rFonts w:ascii="Arial" w:hAnsi="Arial" w:cs="Arial"/>
          <w:i/>
          <w:sz w:val="24"/>
          <w:szCs w:val="24"/>
          <w:lang w:val="en-GB"/>
        </w:rPr>
        <w:t>a quo</w:t>
      </w:r>
      <w:r w:rsidR="00AD041E" w:rsidRPr="00445A7B">
        <w:rPr>
          <w:rFonts w:ascii="Arial" w:hAnsi="Arial" w:cs="Arial"/>
          <w:sz w:val="24"/>
          <w:szCs w:val="24"/>
          <w:lang w:val="en-GB"/>
        </w:rPr>
        <w:t xml:space="preserve"> had correctly found that the appellants should have pleaded the facts leading up to the contract and any unusual provisions embodied in it, but failed do so.</w:t>
      </w:r>
    </w:p>
    <w:p w:rsidR="00AD041E" w:rsidRDefault="00AD041E" w:rsidP="00445A7B">
      <w:pPr>
        <w:spacing w:after="0" w:line="480" w:lineRule="auto"/>
        <w:jc w:val="both"/>
        <w:rPr>
          <w:rFonts w:ascii="Arial" w:hAnsi="Arial" w:cs="Arial"/>
          <w:color w:val="FF0000"/>
          <w:sz w:val="24"/>
          <w:szCs w:val="24"/>
          <w:lang w:val="en-GB"/>
        </w:rPr>
      </w:pPr>
    </w:p>
    <w:p w:rsidR="00A55E85" w:rsidRPr="00445A7B" w:rsidRDefault="00693A34" w:rsidP="00445A7B">
      <w:pPr>
        <w:pStyle w:val="ListParagraph"/>
        <w:numPr>
          <w:ilvl w:val="0"/>
          <w:numId w:val="6"/>
        </w:numPr>
        <w:spacing w:after="0" w:line="480" w:lineRule="auto"/>
        <w:ind w:left="0" w:firstLine="0"/>
        <w:jc w:val="both"/>
        <w:rPr>
          <w:rFonts w:ascii="Arial" w:hAnsi="Arial" w:cs="Arial"/>
          <w:sz w:val="24"/>
          <w:szCs w:val="24"/>
          <w:lang w:val="en-GB"/>
        </w:rPr>
      </w:pPr>
      <w:r w:rsidRPr="00445A7B">
        <w:rPr>
          <w:rFonts w:ascii="Arial" w:hAnsi="Arial" w:cs="Arial"/>
          <w:sz w:val="24"/>
          <w:szCs w:val="24"/>
          <w:lang w:val="en-GB"/>
        </w:rPr>
        <w:t xml:space="preserve">The correct position of our law in the determination of whether </w:t>
      </w:r>
      <w:r w:rsidR="0087110C" w:rsidRPr="00445A7B">
        <w:rPr>
          <w:rFonts w:ascii="Arial" w:hAnsi="Arial" w:cs="Arial"/>
          <w:sz w:val="24"/>
          <w:szCs w:val="24"/>
          <w:lang w:val="en-GB"/>
        </w:rPr>
        <w:t xml:space="preserve">the </w:t>
      </w:r>
      <w:r w:rsidRPr="00445A7B">
        <w:rPr>
          <w:rFonts w:ascii="Arial" w:hAnsi="Arial" w:cs="Arial"/>
          <w:sz w:val="24"/>
          <w:szCs w:val="24"/>
          <w:lang w:val="en-GB"/>
        </w:rPr>
        <w:t>pleadings are excipiable on the ground that they lack sufficient averments to sustain a cause of action</w:t>
      </w:r>
      <w:r w:rsidR="005E6E78" w:rsidRPr="00445A7B">
        <w:rPr>
          <w:rFonts w:ascii="Arial" w:hAnsi="Arial" w:cs="Arial"/>
          <w:sz w:val="24"/>
          <w:szCs w:val="24"/>
          <w:lang w:val="en-GB"/>
        </w:rPr>
        <w:t xml:space="preserve"> is illustrated through r</w:t>
      </w:r>
      <w:r w:rsidR="00A55E85" w:rsidRPr="00445A7B">
        <w:rPr>
          <w:rFonts w:ascii="Arial" w:hAnsi="Arial" w:cs="Arial"/>
          <w:sz w:val="24"/>
          <w:szCs w:val="24"/>
          <w:lang w:val="en-GB"/>
        </w:rPr>
        <w:t xml:space="preserve">ule </w:t>
      </w:r>
      <w:r w:rsidR="00E02C57" w:rsidRPr="00445A7B">
        <w:rPr>
          <w:rFonts w:ascii="Arial" w:hAnsi="Arial" w:cs="Arial"/>
          <w:sz w:val="24"/>
          <w:szCs w:val="24"/>
          <w:lang w:val="en-GB"/>
        </w:rPr>
        <w:t>45(5)</w:t>
      </w:r>
      <w:r w:rsidR="00A55E85" w:rsidRPr="00445A7B">
        <w:rPr>
          <w:rFonts w:ascii="Arial" w:hAnsi="Arial" w:cs="Arial"/>
          <w:sz w:val="24"/>
          <w:szCs w:val="24"/>
          <w:lang w:val="en-GB"/>
        </w:rPr>
        <w:t xml:space="preserve"> </w:t>
      </w:r>
      <w:r w:rsidR="0087110C" w:rsidRPr="00445A7B">
        <w:rPr>
          <w:rFonts w:ascii="Arial" w:hAnsi="Arial" w:cs="Arial"/>
          <w:sz w:val="24"/>
          <w:szCs w:val="24"/>
          <w:lang w:val="en-GB"/>
        </w:rPr>
        <w:t xml:space="preserve">of the Rules of the High Court </w:t>
      </w:r>
      <w:r w:rsidR="00A55E85" w:rsidRPr="00445A7B">
        <w:rPr>
          <w:rFonts w:ascii="Arial" w:hAnsi="Arial" w:cs="Arial"/>
          <w:sz w:val="24"/>
          <w:szCs w:val="24"/>
          <w:lang w:val="en-GB"/>
        </w:rPr>
        <w:t xml:space="preserve">and </w:t>
      </w:r>
      <w:r w:rsidR="0087110C" w:rsidRPr="00445A7B">
        <w:rPr>
          <w:rFonts w:ascii="Arial" w:hAnsi="Arial" w:cs="Arial"/>
          <w:sz w:val="24"/>
          <w:szCs w:val="24"/>
          <w:lang w:val="en-GB"/>
        </w:rPr>
        <w:t xml:space="preserve">the </w:t>
      </w:r>
      <w:r w:rsidR="00A55E85" w:rsidRPr="00445A7B">
        <w:rPr>
          <w:rFonts w:ascii="Arial" w:hAnsi="Arial" w:cs="Arial"/>
          <w:sz w:val="24"/>
          <w:szCs w:val="24"/>
          <w:lang w:val="en-GB"/>
        </w:rPr>
        <w:t xml:space="preserve">principles developed through case law. The requirement of clear and concise statement of the material facts upon which the pleader relies for his claim is fundamental to alert the other party of the conduct complained of </w:t>
      </w:r>
      <w:r w:rsidR="00E02C57" w:rsidRPr="00445A7B">
        <w:rPr>
          <w:rFonts w:ascii="Arial" w:hAnsi="Arial" w:cs="Arial"/>
          <w:sz w:val="24"/>
          <w:szCs w:val="24"/>
          <w:lang w:val="en-GB"/>
        </w:rPr>
        <w:t>and to enable it to plead</w:t>
      </w:r>
      <w:r w:rsidR="00A55E85" w:rsidRPr="00445A7B">
        <w:rPr>
          <w:rFonts w:ascii="Arial" w:hAnsi="Arial" w:cs="Arial"/>
          <w:sz w:val="24"/>
          <w:szCs w:val="24"/>
          <w:lang w:val="en-GB"/>
        </w:rPr>
        <w:t>. This means that, a pleader is only required to plead w</w:t>
      </w:r>
      <w:r w:rsidR="00447C40" w:rsidRPr="00445A7B">
        <w:rPr>
          <w:rFonts w:ascii="Arial" w:hAnsi="Arial" w:cs="Arial"/>
          <w:sz w:val="24"/>
          <w:szCs w:val="24"/>
          <w:lang w:val="en-GB"/>
        </w:rPr>
        <w:t>h</w:t>
      </w:r>
      <w:r w:rsidR="00A55E85" w:rsidRPr="00445A7B">
        <w:rPr>
          <w:rFonts w:ascii="Arial" w:hAnsi="Arial" w:cs="Arial"/>
          <w:sz w:val="24"/>
          <w:szCs w:val="24"/>
          <w:lang w:val="en-GB"/>
        </w:rPr>
        <w:t>a</w:t>
      </w:r>
      <w:r w:rsidR="00447C40" w:rsidRPr="00445A7B">
        <w:rPr>
          <w:rFonts w:ascii="Arial" w:hAnsi="Arial" w:cs="Arial"/>
          <w:sz w:val="24"/>
          <w:szCs w:val="24"/>
          <w:lang w:val="en-GB"/>
        </w:rPr>
        <w:t>t</w:t>
      </w:r>
      <w:r w:rsidR="00A55E85" w:rsidRPr="00445A7B">
        <w:rPr>
          <w:rFonts w:ascii="Arial" w:hAnsi="Arial" w:cs="Arial"/>
          <w:sz w:val="24"/>
          <w:szCs w:val="24"/>
          <w:lang w:val="en-GB"/>
        </w:rPr>
        <w:t xml:space="preserve"> is material. Facts that are not material need not be pleaded. </w:t>
      </w:r>
    </w:p>
    <w:p w:rsidR="00A55E85" w:rsidRPr="00A55E85" w:rsidRDefault="00A55E85" w:rsidP="00445A7B">
      <w:pPr>
        <w:spacing w:after="0" w:line="480" w:lineRule="auto"/>
        <w:jc w:val="both"/>
        <w:rPr>
          <w:rFonts w:ascii="Arial" w:hAnsi="Arial" w:cs="Arial"/>
          <w:sz w:val="24"/>
          <w:szCs w:val="24"/>
          <w:lang w:val="en-GB"/>
        </w:rPr>
      </w:pPr>
    </w:p>
    <w:p w:rsidR="006C0850" w:rsidRPr="00445A7B" w:rsidRDefault="009E57E5" w:rsidP="00445A7B">
      <w:pPr>
        <w:pStyle w:val="ListParagraph"/>
        <w:numPr>
          <w:ilvl w:val="0"/>
          <w:numId w:val="6"/>
        </w:numPr>
        <w:spacing w:after="0" w:line="480" w:lineRule="auto"/>
        <w:ind w:left="0" w:firstLine="0"/>
        <w:jc w:val="both"/>
        <w:rPr>
          <w:rFonts w:ascii="Arial" w:hAnsi="Arial" w:cs="Arial"/>
          <w:sz w:val="24"/>
          <w:szCs w:val="24"/>
          <w:lang w:val="en-GB"/>
        </w:rPr>
      </w:pPr>
      <w:r w:rsidRPr="00445A7B">
        <w:rPr>
          <w:rFonts w:ascii="Arial" w:hAnsi="Arial" w:cs="Arial"/>
          <w:sz w:val="24"/>
          <w:szCs w:val="24"/>
          <w:lang w:val="en-GB"/>
        </w:rPr>
        <w:t>As stated above, t</w:t>
      </w:r>
      <w:r w:rsidR="006C0850" w:rsidRPr="00445A7B">
        <w:rPr>
          <w:rFonts w:ascii="Arial" w:hAnsi="Arial" w:cs="Arial"/>
          <w:sz w:val="24"/>
          <w:szCs w:val="24"/>
          <w:lang w:val="en-GB"/>
        </w:rPr>
        <w:t xml:space="preserve">his court adopted </w:t>
      </w:r>
      <w:r w:rsidR="00A55E85" w:rsidRPr="00445A7B">
        <w:rPr>
          <w:rFonts w:ascii="Arial" w:hAnsi="Arial" w:cs="Arial"/>
          <w:sz w:val="24"/>
          <w:szCs w:val="24"/>
          <w:lang w:val="en-GB"/>
        </w:rPr>
        <w:t xml:space="preserve">the definition of </w:t>
      </w:r>
      <w:r w:rsidRPr="00445A7B">
        <w:rPr>
          <w:rFonts w:ascii="Arial" w:hAnsi="Arial" w:cs="Arial"/>
          <w:sz w:val="24"/>
          <w:szCs w:val="24"/>
          <w:lang w:val="en-GB"/>
        </w:rPr>
        <w:t>‘</w:t>
      </w:r>
      <w:r w:rsidR="00A55E85" w:rsidRPr="00445A7B">
        <w:rPr>
          <w:rFonts w:ascii="Arial" w:hAnsi="Arial" w:cs="Arial"/>
          <w:sz w:val="24"/>
          <w:szCs w:val="24"/>
          <w:lang w:val="en-GB"/>
        </w:rPr>
        <w:t>cause of action</w:t>
      </w:r>
      <w:r w:rsidRPr="00445A7B">
        <w:rPr>
          <w:rFonts w:ascii="Arial" w:hAnsi="Arial" w:cs="Arial"/>
          <w:sz w:val="24"/>
          <w:szCs w:val="24"/>
          <w:lang w:val="en-GB"/>
        </w:rPr>
        <w:t>’</w:t>
      </w:r>
      <w:r w:rsidR="00A55E85" w:rsidRPr="00445A7B">
        <w:rPr>
          <w:rFonts w:ascii="Arial" w:hAnsi="Arial" w:cs="Arial"/>
          <w:sz w:val="24"/>
          <w:szCs w:val="24"/>
          <w:lang w:val="en-GB"/>
        </w:rPr>
        <w:t xml:space="preserve"> in </w:t>
      </w:r>
      <w:r w:rsidR="00A55E85" w:rsidRPr="00445A7B">
        <w:rPr>
          <w:rFonts w:ascii="Arial" w:hAnsi="Arial" w:cs="Arial"/>
          <w:i/>
          <w:sz w:val="24"/>
          <w:szCs w:val="24"/>
          <w:lang w:val="en-GB"/>
        </w:rPr>
        <w:t xml:space="preserve">McKenzie v Farmers’ Co-operative Meat Industries </w:t>
      </w:r>
      <w:r w:rsidR="00A55E85" w:rsidRPr="00445A7B">
        <w:rPr>
          <w:rFonts w:ascii="Arial" w:hAnsi="Arial" w:cs="Arial"/>
          <w:sz w:val="24"/>
          <w:szCs w:val="24"/>
          <w:lang w:val="en-GB"/>
        </w:rPr>
        <w:t>Ltd</w:t>
      </w:r>
      <w:r w:rsidR="003B1F0B" w:rsidRPr="00445A7B">
        <w:rPr>
          <w:rFonts w:ascii="Arial" w:hAnsi="Arial" w:cs="Arial"/>
          <w:sz w:val="24"/>
          <w:szCs w:val="24"/>
          <w:lang w:val="en-GB"/>
        </w:rPr>
        <w:t xml:space="preserve">, </w:t>
      </w:r>
      <w:r w:rsidR="006C0850" w:rsidRPr="00445A7B">
        <w:rPr>
          <w:rFonts w:ascii="Arial" w:hAnsi="Arial" w:cs="Arial"/>
          <w:sz w:val="24"/>
          <w:szCs w:val="24"/>
          <w:lang w:val="en-GB"/>
        </w:rPr>
        <w:t xml:space="preserve">to determine whether the particulars of claim meet the criteria as stated by the then </w:t>
      </w:r>
      <w:r w:rsidR="00E02C57" w:rsidRPr="00445A7B">
        <w:rPr>
          <w:rFonts w:ascii="Arial" w:hAnsi="Arial" w:cs="Arial"/>
          <w:sz w:val="24"/>
          <w:szCs w:val="24"/>
          <w:lang w:val="en-GB"/>
        </w:rPr>
        <w:t xml:space="preserve">South African </w:t>
      </w:r>
      <w:r w:rsidR="006C0850" w:rsidRPr="00445A7B">
        <w:rPr>
          <w:rFonts w:ascii="Arial" w:hAnsi="Arial" w:cs="Arial"/>
          <w:sz w:val="24"/>
          <w:szCs w:val="24"/>
          <w:lang w:val="en-GB"/>
        </w:rPr>
        <w:t xml:space="preserve">Appellate Division. </w:t>
      </w:r>
      <w:r w:rsidR="00886CAB" w:rsidRPr="00445A7B">
        <w:rPr>
          <w:rFonts w:ascii="Arial" w:hAnsi="Arial" w:cs="Arial"/>
          <w:sz w:val="24"/>
          <w:szCs w:val="24"/>
          <w:lang w:val="en-GB"/>
        </w:rPr>
        <w:t>P</w:t>
      </w:r>
      <w:r w:rsidR="006C0850" w:rsidRPr="00445A7B">
        <w:rPr>
          <w:rFonts w:ascii="Arial" w:hAnsi="Arial" w:cs="Arial"/>
          <w:sz w:val="24"/>
          <w:szCs w:val="24"/>
          <w:lang w:val="en-GB"/>
        </w:rPr>
        <w:t>aras</w:t>
      </w:r>
      <w:r w:rsidR="00886CAB" w:rsidRPr="00445A7B">
        <w:rPr>
          <w:rFonts w:ascii="Arial" w:hAnsi="Arial" w:cs="Arial"/>
          <w:sz w:val="24"/>
          <w:szCs w:val="24"/>
          <w:lang w:val="en-GB"/>
        </w:rPr>
        <w:t xml:space="preserve"> </w:t>
      </w:r>
      <w:r w:rsidR="006C0850" w:rsidRPr="00445A7B">
        <w:rPr>
          <w:rFonts w:ascii="Arial" w:hAnsi="Arial" w:cs="Arial"/>
          <w:sz w:val="24"/>
          <w:szCs w:val="24"/>
          <w:lang w:val="en-GB"/>
        </w:rPr>
        <w:t>9 to 12 of the particulars of claim</w:t>
      </w:r>
      <w:r w:rsidR="00E02C57" w:rsidRPr="00445A7B">
        <w:rPr>
          <w:rFonts w:ascii="Arial" w:hAnsi="Arial" w:cs="Arial"/>
          <w:sz w:val="24"/>
          <w:szCs w:val="24"/>
          <w:lang w:val="en-GB"/>
        </w:rPr>
        <w:t xml:space="preserve"> in this matter appear to me </w:t>
      </w:r>
      <w:r w:rsidR="006C0850" w:rsidRPr="00445A7B">
        <w:rPr>
          <w:rFonts w:ascii="Arial" w:hAnsi="Arial" w:cs="Arial"/>
          <w:sz w:val="24"/>
          <w:szCs w:val="24"/>
          <w:lang w:val="en-GB"/>
        </w:rPr>
        <w:t xml:space="preserve">to </w:t>
      </w:r>
      <w:r w:rsidR="00336ED0" w:rsidRPr="00445A7B">
        <w:rPr>
          <w:rFonts w:ascii="Arial" w:hAnsi="Arial" w:cs="Arial"/>
          <w:sz w:val="24"/>
          <w:szCs w:val="24"/>
          <w:lang w:val="en-GB"/>
        </w:rPr>
        <w:t xml:space="preserve">contain material facts </w:t>
      </w:r>
      <w:r w:rsidR="006C0850" w:rsidRPr="00445A7B">
        <w:rPr>
          <w:rFonts w:ascii="Arial" w:hAnsi="Arial" w:cs="Arial"/>
          <w:sz w:val="24"/>
          <w:szCs w:val="24"/>
          <w:lang w:val="en-GB"/>
        </w:rPr>
        <w:t>sufficient</w:t>
      </w:r>
      <w:r w:rsidR="00336ED0" w:rsidRPr="00445A7B">
        <w:rPr>
          <w:rFonts w:ascii="Arial" w:hAnsi="Arial" w:cs="Arial"/>
          <w:sz w:val="24"/>
          <w:szCs w:val="24"/>
          <w:lang w:val="en-GB"/>
        </w:rPr>
        <w:t xml:space="preserve"> to</w:t>
      </w:r>
      <w:r w:rsidR="006C0850" w:rsidRPr="00445A7B">
        <w:rPr>
          <w:rFonts w:ascii="Arial" w:hAnsi="Arial" w:cs="Arial"/>
          <w:sz w:val="24"/>
          <w:szCs w:val="24"/>
          <w:lang w:val="en-GB"/>
        </w:rPr>
        <w:t xml:space="preserve"> disclose a cause of action. On </w:t>
      </w:r>
      <w:r w:rsidR="00D42DA2" w:rsidRPr="00445A7B">
        <w:rPr>
          <w:rFonts w:ascii="Arial" w:hAnsi="Arial" w:cs="Arial"/>
          <w:sz w:val="24"/>
          <w:szCs w:val="24"/>
          <w:lang w:val="en-GB"/>
        </w:rPr>
        <w:t xml:space="preserve">this point, </w:t>
      </w:r>
      <w:r w:rsidR="006C0850" w:rsidRPr="00445A7B">
        <w:rPr>
          <w:rFonts w:ascii="Arial" w:hAnsi="Arial" w:cs="Arial"/>
          <w:sz w:val="24"/>
          <w:szCs w:val="24"/>
          <w:lang w:val="en-GB"/>
        </w:rPr>
        <w:t xml:space="preserve">I agree with counsel for the appellants that the pleadings disclosed the </w:t>
      </w:r>
      <w:r w:rsidR="006C0850" w:rsidRPr="00445A7B">
        <w:rPr>
          <w:rFonts w:ascii="Arial" w:hAnsi="Arial" w:cs="Arial"/>
          <w:i/>
          <w:sz w:val="24"/>
          <w:szCs w:val="24"/>
          <w:lang w:val="en-GB"/>
        </w:rPr>
        <w:t>facta probanda.</w:t>
      </w:r>
      <w:r w:rsidR="006C0850" w:rsidRPr="00445A7B">
        <w:rPr>
          <w:rFonts w:ascii="Arial" w:hAnsi="Arial" w:cs="Arial"/>
          <w:sz w:val="24"/>
          <w:szCs w:val="24"/>
          <w:lang w:val="en-GB"/>
        </w:rPr>
        <w:t xml:space="preserve"> It seems to me that counsel for the</w:t>
      </w:r>
      <w:r w:rsidR="001E7706" w:rsidRPr="00445A7B">
        <w:rPr>
          <w:rFonts w:ascii="Arial" w:hAnsi="Arial" w:cs="Arial"/>
          <w:sz w:val="24"/>
          <w:szCs w:val="24"/>
          <w:lang w:val="en-GB"/>
        </w:rPr>
        <w:t xml:space="preserve"> first</w:t>
      </w:r>
      <w:r w:rsidR="006C0850" w:rsidRPr="00445A7B">
        <w:rPr>
          <w:rFonts w:ascii="Arial" w:hAnsi="Arial" w:cs="Arial"/>
          <w:sz w:val="24"/>
          <w:szCs w:val="24"/>
          <w:lang w:val="en-GB"/>
        </w:rPr>
        <w:t xml:space="preserve"> respondent was asking for</w:t>
      </w:r>
      <w:r w:rsidR="005E6E78" w:rsidRPr="00445A7B">
        <w:rPr>
          <w:rFonts w:ascii="Arial" w:hAnsi="Arial" w:cs="Arial"/>
          <w:sz w:val="24"/>
          <w:szCs w:val="24"/>
          <w:lang w:val="en-GB"/>
        </w:rPr>
        <w:t xml:space="preserve"> more than what is required by r</w:t>
      </w:r>
      <w:r w:rsidR="006C0850" w:rsidRPr="00445A7B">
        <w:rPr>
          <w:rFonts w:ascii="Arial" w:hAnsi="Arial" w:cs="Arial"/>
          <w:sz w:val="24"/>
          <w:szCs w:val="24"/>
          <w:lang w:val="en-GB"/>
        </w:rPr>
        <w:t xml:space="preserve">ule </w:t>
      </w:r>
      <w:r w:rsidR="00336ED0" w:rsidRPr="00445A7B">
        <w:rPr>
          <w:rFonts w:ascii="Arial" w:hAnsi="Arial" w:cs="Arial"/>
          <w:sz w:val="24"/>
          <w:szCs w:val="24"/>
          <w:lang w:val="en-GB"/>
        </w:rPr>
        <w:t>45(5</w:t>
      </w:r>
      <w:r w:rsidR="006C0850" w:rsidRPr="00445A7B">
        <w:rPr>
          <w:rFonts w:ascii="Arial" w:hAnsi="Arial" w:cs="Arial"/>
          <w:sz w:val="24"/>
          <w:szCs w:val="24"/>
          <w:lang w:val="en-GB"/>
        </w:rPr>
        <w:t xml:space="preserve">). It is therefore necessary to emphasise that the requirement of clear and concise </w:t>
      </w:r>
      <w:r w:rsidR="006C0850" w:rsidRPr="00445A7B">
        <w:rPr>
          <w:rFonts w:ascii="Arial" w:hAnsi="Arial" w:cs="Arial"/>
          <w:sz w:val="24"/>
          <w:szCs w:val="24"/>
          <w:lang w:val="en-GB"/>
        </w:rPr>
        <w:lastRenderedPageBreak/>
        <w:t>state</w:t>
      </w:r>
      <w:r w:rsidR="00336ED0" w:rsidRPr="00445A7B">
        <w:rPr>
          <w:rFonts w:ascii="Arial" w:hAnsi="Arial" w:cs="Arial"/>
          <w:sz w:val="24"/>
          <w:szCs w:val="24"/>
          <w:lang w:val="en-GB"/>
        </w:rPr>
        <w:t>ment</w:t>
      </w:r>
      <w:r w:rsidR="006C0850" w:rsidRPr="00445A7B">
        <w:rPr>
          <w:rFonts w:ascii="Arial" w:hAnsi="Arial" w:cs="Arial"/>
          <w:sz w:val="24"/>
          <w:szCs w:val="24"/>
          <w:lang w:val="en-GB"/>
        </w:rPr>
        <w:t xml:space="preserve"> of material facts relied on would be met if the pleader discloses</w:t>
      </w:r>
      <w:r w:rsidR="00D42DA2" w:rsidRPr="00445A7B">
        <w:rPr>
          <w:rFonts w:ascii="Arial" w:hAnsi="Arial" w:cs="Arial"/>
          <w:sz w:val="24"/>
          <w:szCs w:val="24"/>
          <w:lang w:val="en-GB"/>
        </w:rPr>
        <w:t xml:space="preserve"> only material</w:t>
      </w:r>
      <w:r w:rsidR="006C0850" w:rsidRPr="00445A7B">
        <w:rPr>
          <w:rFonts w:ascii="Arial" w:hAnsi="Arial" w:cs="Arial"/>
          <w:sz w:val="24"/>
          <w:szCs w:val="24"/>
          <w:lang w:val="en-GB"/>
        </w:rPr>
        <w:t xml:space="preserve"> fact</w:t>
      </w:r>
      <w:r w:rsidR="00D42DA2" w:rsidRPr="00445A7B">
        <w:rPr>
          <w:rFonts w:ascii="Arial" w:hAnsi="Arial" w:cs="Arial"/>
          <w:sz w:val="24"/>
          <w:szCs w:val="24"/>
          <w:lang w:val="en-GB"/>
        </w:rPr>
        <w:t>s</w:t>
      </w:r>
      <w:r w:rsidR="006C0850" w:rsidRPr="00445A7B">
        <w:rPr>
          <w:rFonts w:ascii="Arial" w:hAnsi="Arial" w:cs="Arial"/>
          <w:sz w:val="24"/>
          <w:szCs w:val="24"/>
          <w:lang w:val="en-GB"/>
        </w:rPr>
        <w:t xml:space="preserve"> </w:t>
      </w:r>
      <w:r w:rsidR="00D42DA2" w:rsidRPr="00445A7B">
        <w:rPr>
          <w:rFonts w:ascii="Arial" w:hAnsi="Arial" w:cs="Arial"/>
          <w:sz w:val="24"/>
          <w:szCs w:val="24"/>
          <w:lang w:val="en-GB"/>
        </w:rPr>
        <w:t>necessary to be proved and not every fact.</w:t>
      </w:r>
    </w:p>
    <w:p w:rsidR="006C0850" w:rsidRDefault="006C0850" w:rsidP="00445A7B">
      <w:pPr>
        <w:spacing w:after="0" w:line="480" w:lineRule="auto"/>
        <w:jc w:val="both"/>
        <w:rPr>
          <w:rFonts w:ascii="Arial" w:hAnsi="Arial" w:cs="Arial"/>
          <w:sz w:val="24"/>
          <w:szCs w:val="24"/>
          <w:lang w:val="en-GB"/>
        </w:rPr>
      </w:pPr>
    </w:p>
    <w:p w:rsidR="00A55E85" w:rsidRPr="00445A7B" w:rsidRDefault="00336ED0" w:rsidP="00445A7B">
      <w:pPr>
        <w:pStyle w:val="ListParagraph"/>
        <w:numPr>
          <w:ilvl w:val="0"/>
          <w:numId w:val="6"/>
        </w:numPr>
        <w:spacing w:after="0" w:line="480" w:lineRule="auto"/>
        <w:ind w:left="0" w:firstLine="0"/>
        <w:jc w:val="both"/>
        <w:rPr>
          <w:rFonts w:ascii="Arial" w:hAnsi="Arial" w:cs="Arial"/>
          <w:sz w:val="24"/>
          <w:szCs w:val="24"/>
          <w:lang w:val="en-GB"/>
        </w:rPr>
      </w:pPr>
      <w:r w:rsidRPr="00445A7B">
        <w:rPr>
          <w:rFonts w:ascii="Arial" w:hAnsi="Arial" w:cs="Arial"/>
          <w:sz w:val="24"/>
          <w:szCs w:val="24"/>
          <w:lang w:val="en-GB"/>
        </w:rPr>
        <w:t xml:space="preserve">As noted in para </w:t>
      </w:r>
      <w:r w:rsidR="006B1718" w:rsidRPr="00445A7B">
        <w:rPr>
          <w:rFonts w:ascii="Arial" w:hAnsi="Arial" w:cs="Arial"/>
          <w:sz w:val="24"/>
          <w:szCs w:val="24"/>
          <w:lang w:val="en-GB"/>
        </w:rPr>
        <w:t>[</w:t>
      </w:r>
      <w:r w:rsidRPr="00445A7B">
        <w:rPr>
          <w:rFonts w:ascii="Arial" w:hAnsi="Arial" w:cs="Arial"/>
          <w:sz w:val="24"/>
          <w:szCs w:val="24"/>
          <w:lang w:val="en-GB"/>
        </w:rPr>
        <w:t>16</w:t>
      </w:r>
      <w:r w:rsidR="006B1718" w:rsidRPr="00445A7B">
        <w:rPr>
          <w:rFonts w:ascii="Arial" w:hAnsi="Arial" w:cs="Arial"/>
          <w:sz w:val="24"/>
          <w:szCs w:val="24"/>
          <w:lang w:val="en-GB"/>
        </w:rPr>
        <w:t>]</w:t>
      </w:r>
      <w:r w:rsidRPr="00445A7B">
        <w:rPr>
          <w:rFonts w:ascii="Arial" w:hAnsi="Arial" w:cs="Arial"/>
          <w:sz w:val="24"/>
          <w:szCs w:val="24"/>
          <w:lang w:val="en-GB"/>
        </w:rPr>
        <w:t xml:space="preserve"> above, t</w:t>
      </w:r>
      <w:r w:rsidR="00B63067" w:rsidRPr="00445A7B">
        <w:rPr>
          <w:rFonts w:ascii="Arial" w:hAnsi="Arial" w:cs="Arial"/>
          <w:sz w:val="24"/>
          <w:szCs w:val="24"/>
          <w:lang w:val="en-GB"/>
        </w:rPr>
        <w:t xml:space="preserve">he approach to be followed in the determination of exceptions taken on the ground that no cause of action is disclosed was recently </w:t>
      </w:r>
      <w:r w:rsidRPr="00445A7B">
        <w:rPr>
          <w:rFonts w:ascii="Arial" w:hAnsi="Arial" w:cs="Arial"/>
          <w:sz w:val="24"/>
          <w:szCs w:val="24"/>
          <w:lang w:val="en-GB"/>
        </w:rPr>
        <w:t>re</w:t>
      </w:r>
      <w:r w:rsidR="00B63067" w:rsidRPr="00445A7B">
        <w:rPr>
          <w:rFonts w:ascii="Arial" w:hAnsi="Arial" w:cs="Arial"/>
          <w:sz w:val="24"/>
          <w:szCs w:val="24"/>
          <w:lang w:val="en-GB"/>
        </w:rPr>
        <w:t>st</w:t>
      </w:r>
      <w:r w:rsidRPr="00445A7B">
        <w:rPr>
          <w:rFonts w:ascii="Arial" w:hAnsi="Arial" w:cs="Arial"/>
          <w:sz w:val="24"/>
          <w:szCs w:val="24"/>
          <w:lang w:val="en-GB"/>
        </w:rPr>
        <w:t>a</w:t>
      </w:r>
      <w:r w:rsidR="00B63067" w:rsidRPr="00445A7B">
        <w:rPr>
          <w:rFonts w:ascii="Arial" w:hAnsi="Arial" w:cs="Arial"/>
          <w:sz w:val="24"/>
          <w:szCs w:val="24"/>
          <w:lang w:val="en-GB"/>
        </w:rPr>
        <w:t xml:space="preserve">ted by this </w:t>
      </w:r>
      <w:r w:rsidR="00B669D7" w:rsidRPr="00445A7B">
        <w:rPr>
          <w:rFonts w:ascii="Arial" w:hAnsi="Arial" w:cs="Arial"/>
          <w:sz w:val="24"/>
          <w:szCs w:val="24"/>
          <w:lang w:val="en-GB"/>
        </w:rPr>
        <w:t>court</w:t>
      </w:r>
      <w:r w:rsidR="00B63067" w:rsidRPr="00445A7B">
        <w:rPr>
          <w:rFonts w:ascii="Arial" w:hAnsi="Arial" w:cs="Arial"/>
          <w:sz w:val="24"/>
          <w:szCs w:val="24"/>
          <w:lang w:val="en-GB"/>
        </w:rPr>
        <w:t xml:space="preserve">. However, </w:t>
      </w:r>
      <w:r w:rsidRPr="00445A7B">
        <w:rPr>
          <w:rFonts w:ascii="Arial" w:hAnsi="Arial" w:cs="Arial"/>
          <w:sz w:val="24"/>
          <w:szCs w:val="24"/>
          <w:lang w:val="en-GB"/>
        </w:rPr>
        <w:t xml:space="preserve">it is necessary to emphasise that </w:t>
      </w:r>
      <w:r w:rsidR="00B63067" w:rsidRPr="00445A7B">
        <w:rPr>
          <w:rFonts w:ascii="Arial" w:hAnsi="Arial" w:cs="Arial"/>
          <w:sz w:val="24"/>
          <w:szCs w:val="24"/>
          <w:lang w:val="en-GB"/>
        </w:rPr>
        <w:t xml:space="preserve">it is incumbent upon an excipient to persuade the court that upon every interpretation which the pleading can reasonably bear, no cause of action is disclosed. </w:t>
      </w:r>
      <w:r w:rsidR="003B1F0B" w:rsidRPr="00445A7B">
        <w:rPr>
          <w:rFonts w:ascii="Arial" w:hAnsi="Arial" w:cs="Arial"/>
          <w:sz w:val="24"/>
          <w:szCs w:val="24"/>
          <w:lang w:val="en-GB"/>
        </w:rPr>
        <w:t xml:space="preserve">Applying </w:t>
      </w:r>
      <w:r w:rsidR="009E57E5" w:rsidRPr="00445A7B">
        <w:rPr>
          <w:rFonts w:ascii="Arial" w:hAnsi="Arial" w:cs="Arial"/>
          <w:sz w:val="24"/>
          <w:szCs w:val="24"/>
          <w:lang w:val="en-GB"/>
        </w:rPr>
        <w:t>this</w:t>
      </w:r>
      <w:r w:rsidR="003B1F0B" w:rsidRPr="00445A7B">
        <w:rPr>
          <w:rFonts w:ascii="Arial" w:hAnsi="Arial" w:cs="Arial"/>
          <w:sz w:val="24"/>
          <w:szCs w:val="24"/>
          <w:lang w:val="en-GB"/>
        </w:rPr>
        <w:t xml:space="preserve"> principle to the present case</w:t>
      </w:r>
      <w:r w:rsidRPr="00445A7B">
        <w:rPr>
          <w:rFonts w:ascii="Arial" w:hAnsi="Arial" w:cs="Arial"/>
          <w:sz w:val="24"/>
          <w:szCs w:val="24"/>
          <w:lang w:val="en-GB"/>
        </w:rPr>
        <w:t xml:space="preserve"> and on the totality of the pleadings</w:t>
      </w:r>
      <w:r w:rsidR="003B1F0B" w:rsidRPr="00445A7B">
        <w:rPr>
          <w:rFonts w:ascii="Arial" w:hAnsi="Arial" w:cs="Arial"/>
          <w:sz w:val="24"/>
          <w:szCs w:val="24"/>
          <w:lang w:val="en-GB"/>
        </w:rPr>
        <w:t xml:space="preserve">, </w:t>
      </w:r>
      <w:r w:rsidRPr="00445A7B">
        <w:rPr>
          <w:rFonts w:ascii="Arial" w:hAnsi="Arial" w:cs="Arial"/>
          <w:sz w:val="24"/>
          <w:szCs w:val="24"/>
          <w:lang w:val="en-GB"/>
        </w:rPr>
        <w:t xml:space="preserve">as exemplified by paras 9 to 12 of the particulars of claim, </w:t>
      </w:r>
      <w:r w:rsidR="00B63067" w:rsidRPr="00445A7B">
        <w:rPr>
          <w:rFonts w:ascii="Arial" w:hAnsi="Arial" w:cs="Arial"/>
          <w:sz w:val="24"/>
          <w:szCs w:val="24"/>
          <w:lang w:val="en-GB"/>
        </w:rPr>
        <w:t xml:space="preserve">I </w:t>
      </w:r>
      <w:r w:rsidR="00447C40" w:rsidRPr="00445A7B">
        <w:rPr>
          <w:rFonts w:ascii="Arial" w:hAnsi="Arial" w:cs="Arial"/>
          <w:sz w:val="24"/>
          <w:szCs w:val="24"/>
          <w:lang w:val="en-GB"/>
        </w:rPr>
        <w:t xml:space="preserve">am </w:t>
      </w:r>
      <w:r w:rsidR="00B63067" w:rsidRPr="00445A7B">
        <w:rPr>
          <w:rFonts w:ascii="Arial" w:hAnsi="Arial" w:cs="Arial"/>
          <w:sz w:val="24"/>
          <w:szCs w:val="24"/>
          <w:lang w:val="en-GB"/>
        </w:rPr>
        <w:t xml:space="preserve">not persuaded that </w:t>
      </w:r>
      <w:r w:rsidR="003B1F0B" w:rsidRPr="00445A7B">
        <w:rPr>
          <w:rFonts w:ascii="Arial" w:hAnsi="Arial" w:cs="Arial"/>
          <w:sz w:val="24"/>
          <w:szCs w:val="24"/>
          <w:lang w:val="en-GB"/>
        </w:rPr>
        <w:t xml:space="preserve">the particulars </w:t>
      </w:r>
      <w:r w:rsidRPr="00445A7B">
        <w:rPr>
          <w:rFonts w:ascii="Arial" w:hAnsi="Arial" w:cs="Arial"/>
          <w:sz w:val="24"/>
          <w:szCs w:val="24"/>
          <w:lang w:val="en-GB"/>
        </w:rPr>
        <w:t xml:space="preserve">of claim </w:t>
      </w:r>
      <w:r w:rsidR="00B63067" w:rsidRPr="00445A7B">
        <w:rPr>
          <w:rFonts w:ascii="Arial" w:hAnsi="Arial" w:cs="Arial"/>
          <w:sz w:val="24"/>
          <w:szCs w:val="24"/>
          <w:lang w:val="en-GB"/>
        </w:rPr>
        <w:t>lack necessary averments to disclose a cause of action.</w:t>
      </w:r>
      <w:r w:rsidR="00B86210" w:rsidRPr="00445A7B">
        <w:rPr>
          <w:rFonts w:ascii="Arial" w:hAnsi="Arial" w:cs="Arial"/>
          <w:sz w:val="24"/>
          <w:szCs w:val="24"/>
          <w:lang w:val="en-GB"/>
        </w:rPr>
        <w:t xml:space="preserve"> I say so for the following reasons.</w:t>
      </w:r>
      <w:r w:rsidR="00B63067" w:rsidRPr="00445A7B">
        <w:rPr>
          <w:rFonts w:ascii="Arial" w:hAnsi="Arial" w:cs="Arial"/>
          <w:sz w:val="24"/>
          <w:szCs w:val="24"/>
          <w:lang w:val="en-GB"/>
        </w:rPr>
        <w:t xml:space="preserve"> </w:t>
      </w:r>
    </w:p>
    <w:p w:rsidR="00693A34" w:rsidRDefault="00693A34" w:rsidP="00445A7B">
      <w:pPr>
        <w:spacing w:after="0" w:line="480" w:lineRule="auto"/>
        <w:jc w:val="both"/>
        <w:rPr>
          <w:rFonts w:ascii="Arial" w:hAnsi="Arial" w:cs="Arial"/>
          <w:lang w:val="en-GB"/>
        </w:rPr>
      </w:pPr>
    </w:p>
    <w:p w:rsidR="00D42DA2" w:rsidRPr="00445A7B" w:rsidRDefault="00B63067" w:rsidP="00445A7B">
      <w:pPr>
        <w:pStyle w:val="ListParagraph"/>
        <w:numPr>
          <w:ilvl w:val="0"/>
          <w:numId w:val="6"/>
        </w:numPr>
        <w:spacing w:after="0" w:line="480" w:lineRule="auto"/>
        <w:ind w:left="0" w:firstLine="0"/>
        <w:jc w:val="both"/>
        <w:rPr>
          <w:rFonts w:ascii="Arial" w:hAnsi="Arial" w:cs="Arial"/>
          <w:color w:val="000000" w:themeColor="text1"/>
          <w:sz w:val="24"/>
          <w:szCs w:val="24"/>
          <w:lang w:val="en-GB"/>
        </w:rPr>
      </w:pPr>
      <w:r w:rsidRPr="00445A7B">
        <w:rPr>
          <w:rFonts w:ascii="Arial" w:hAnsi="Arial" w:cs="Arial"/>
          <w:color w:val="000000" w:themeColor="text1"/>
          <w:sz w:val="24"/>
          <w:szCs w:val="24"/>
          <w:lang w:val="en-GB"/>
        </w:rPr>
        <w:t>The</w:t>
      </w:r>
      <w:r w:rsidR="00693A34" w:rsidRPr="00445A7B">
        <w:rPr>
          <w:rFonts w:ascii="Arial" w:hAnsi="Arial" w:cs="Arial"/>
          <w:color w:val="000000" w:themeColor="text1"/>
          <w:sz w:val="24"/>
          <w:szCs w:val="24"/>
          <w:lang w:val="en-GB"/>
        </w:rPr>
        <w:t xml:space="preserve"> first respondent sub</w:t>
      </w:r>
      <w:r w:rsidR="002E73AE" w:rsidRPr="00445A7B">
        <w:rPr>
          <w:rFonts w:ascii="Arial" w:hAnsi="Arial" w:cs="Arial"/>
          <w:color w:val="000000" w:themeColor="text1"/>
          <w:sz w:val="24"/>
          <w:szCs w:val="24"/>
          <w:lang w:val="en-GB"/>
        </w:rPr>
        <w:t>mitted in its heads of argument</w:t>
      </w:r>
      <w:r w:rsidR="00693A34" w:rsidRPr="00445A7B">
        <w:rPr>
          <w:rFonts w:ascii="Arial" w:hAnsi="Arial" w:cs="Arial"/>
          <w:color w:val="000000" w:themeColor="text1"/>
          <w:sz w:val="24"/>
          <w:szCs w:val="24"/>
          <w:lang w:val="en-GB"/>
        </w:rPr>
        <w:t xml:space="preserve"> that; ‘it appears that the allegations are that the agreement is a simulated transaction and that the real agreement would be in terms whereof the farm was alienated. This flows from the allegations that it was an attemp</w:t>
      </w:r>
      <w:r w:rsidR="00DF6C8B">
        <w:rPr>
          <w:rFonts w:ascii="Arial" w:hAnsi="Arial" w:cs="Arial"/>
          <w:color w:val="000000" w:themeColor="text1"/>
          <w:sz w:val="24"/>
          <w:szCs w:val="24"/>
          <w:lang w:val="en-GB"/>
        </w:rPr>
        <w:t>t to circumvent s 17 of the Act</w:t>
      </w:r>
      <w:r w:rsidR="00693A34" w:rsidRPr="00445A7B">
        <w:rPr>
          <w:rFonts w:ascii="Arial" w:hAnsi="Arial" w:cs="Arial"/>
          <w:color w:val="000000" w:themeColor="text1"/>
          <w:sz w:val="24"/>
          <w:szCs w:val="24"/>
          <w:lang w:val="en-GB"/>
        </w:rPr>
        <w:t>’</w:t>
      </w:r>
      <w:r w:rsidR="00DF6C8B">
        <w:rPr>
          <w:rFonts w:ascii="Arial" w:hAnsi="Arial" w:cs="Arial"/>
          <w:color w:val="000000" w:themeColor="text1"/>
          <w:sz w:val="24"/>
          <w:szCs w:val="24"/>
          <w:lang w:val="en-GB"/>
        </w:rPr>
        <w:t>.</w:t>
      </w:r>
      <w:r w:rsidR="00693A34" w:rsidRPr="00445A7B">
        <w:rPr>
          <w:rFonts w:ascii="Arial" w:hAnsi="Arial" w:cs="Arial"/>
          <w:color w:val="000000" w:themeColor="text1"/>
          <w:sz w:val="24"/>
          <w:szCs w:val="24"/>
          <w:lang w:val="en-GB"/>
        </w:rPr>
        <w:t xml:space="preserve"> A submission of this nature clearly shows that the first respondent appreciated that the real agreement which the appellants referred to in t</w:t>
      </w:r>
      <w:r w:rsidR="00B86210" w:rsidRPr="00445A7B">
        <w:rPr>
          <w:rFonts w:ascii="Arial" w:hAnsi="Arial" w:cs="Arial"/>
          <w:color w:val="000000" w:themeColor="text1"/>
          <w:sz w:val="24"/>
          <w:szCs w:val="24"/>
          <w:lang w:val="en-GB"/>
        </w:rPr>
        <w:t xml:space="preserve">heir </w:t>
      </w:r>
      <w:r w:rsidR="00693A34" w:rsidRPr="00445A7B">
        <w:rPr>
          <w:rFonts w:ascii="Arial" w:hAnsi="Arial" w:cs="Arial"/>
          <w:color w:val="000000" w:themeColor="text1"/>
          <w:sz w:val="24"/>
          <w:szCs w:val="24"/>
          <w:lang w:val="en-GB"/>
        </w:rPr>
        <w:t xml:space="preserve">particulars of claim, was an agreement intended to alienate land as contemplated in s 17. </w:t>
      </w:r>
    </w:p>
    <w:p w:rsidR="00D42DA2" w:rsidRDefault="00D42DA2" w:rsidP="00445A7B">
      <w:pPr>
        <w:spacing w:after="0" w:line="480" w:lineRule="auto"/>
        <w:jc w:val="both"/>
        <w:rPr>
          <w:rFonts w:ascii="Arial" w:hAnsi="Arial" w:cs="Arial"/>
          <w:color w:val="000000" w:themeColor="text1"/>
          <w:sz w:val="24"/>
          <w:szCs w:val="24"/>
          <w:lang w:val="en-GB"/>
        </w:rPr>
      </w:pPr>
    </w:p>
    <w:p w:rsidR="007A487E" w:rsidRPr="00445A7B" w:rsidRDefault="00D42DA2" w:rsidP="00445A7B">
      <w:pPr>
        <w:pStyle w:val="ListParagraph"/>
        <w:numPr>
          <w:ilvl w:val="0"/>
          <w:numId w:val="6"/>
        </w:numPr>
        <w:spacing w:after="0" w:line="480" w:lineRule="auto"/>
        <w:ind w:left="0" w:firstLine="0"/>
        <w:jc w:val="both"/>
        <w:rPr>
          <w:rFonts w:ascii="Arial" w:hAnsi="Arial" w:cs="Arial"/>
          <w:i/>
          <w:sz w:val="24"/>
          <w:szCs w:val="24"/>
          <w:lang w:val="en-GB"/>
        </w:rPr>
      </w:pPr>
      <w:r w:rsidRPr="00445A7B">
        <w:rPr>
          <w:rFonts w:ascii="Arial" w:hAnsi="Arial" w:cs="Arial"/>
          <w:color w:val="000000" w:themeColor="text1"/>
          <w:sz w:val="24"/>
          <w:szCs w:val="24"/>
          <w:lang w:val="en-GB"/>
        </w:rPr>
        <w:t xml:space="preserve">Para 9 of the particulars of claim allege the agreement between the parties and the terms thereof. Para 10 goes on to indicate that the said agreement </w:t>
      </w:r>
      <w:r w:rsidRPr="00445A7B">
        <w:rPr>
          <w:rFonts w:ascii="Arial" w:hAnsi="Arial" w:cs="Arial"/>
          <w:sz w:val="24"/>
          <w:szCs w:val="24"/>
          <w:lang w:val="en-GB"/>
        </w:rPr>
        <w:t xml:space="preserve">amounted to an unenforceable </w:t>
      </w:r>
      <w:r w:rsidRPr="00445A7B">
        <w:rPr>
          <w:rFonts w:ascii="Arial" w:hAnsi="Arial" w:cs="Arial"/>
          <w:i/>
          <w:sz w:val="24"/>
          <w:szCs w:val="24"/>
          <w:lang w:val="en-GB"/>
        </w:rPr>
        <w:t>pacta successoria</w:t>
      </w:r>
      <w:r w:rsidRPr="00445A7B">
        <w:rPr>
          <w:rFonts w:ascii="Arial" w:hAnsi="Arial" w:cs="Arial"/>
          <w:sz w:val="24"/>
          <w:szCs w:val="24"/>
          <w:lang w:val="en-GB"/>
        </w:rPr>
        <w:t xml:space="preserve">; was a deliberate attempt by the parties thereto to </w:t>
      </w:r>
      <w:r w:rsidRPr="00445A7B">
        <w:rPr>
          <w:rFonts w:ascii="Arial" w:hAnsi="Arial" w:cs="Arial"/>
          <w:sz w:val="24"/>
          <w:szCs w:val="24"/>
          <w:lang w:val="en-GB"/>
        </w:rPr>
        <w:lastRenderedPageBreak/>
        <w:t>circumvent the statutory provisions and requirements relating to the alienation of land or interest in such land in terms of the Act</w:t>
      </w:r>
      <w:r w:rsidR="009E57E5" w:rsidRPr="00445A7B">
        <w:rPr>
          <w:rFonts w:ascii="Arial" w:hAnsi="Arial" w:cs="Arial"/>
          <w:sz w:val="24"/>
          <w:szCs w:val="24"/>
          <w:lang w:val="en-GB"/>
        </w:rPr>
        <w:t>,</w:t>
      </w:r>
      <w:r w:rsidRPr="00445A7B">
        <w:rPr>
          <w:rFonts w:ascii="Arial" w:hAnsi="Arial" w:cs="Arial"/>
          <w:sz w:val="24"/>
          <w:szCs w:val="24"/>
          <w:lang w:val="en-GB"/>
        </w:rPr>
        <w:t xml:space="preserve"> and is consequently illegal </w:t>
      </w:r>
      <w:r w:rsidR="009E57E5" w:rsidRPr="00445A7B">
        <w:rPr>
          <w:rFonts w:ascii="Arial" w:hAnsi="Arial" w:cs="Arial"/>
          <w:sz w:val="24"/>
          <w:szCs w:val="24"/>
          <w:lang w:val="en-GB"/>
        </w:rPr>
        <w:t>as well as</w:t>
      </w:r>
      <w:r w:rsidRPr="00445A7B">
        <w:rPr>
          <w:rFonts w:ascii="Arial" w:hAnsi="Arial" w:cs="Arial"/>
          <w:sz w:val="24"/>
          <w:szCs w:val="24"/>
          <w:lang w:val="en-GB"/>
        </w:rPr>
        <w:t xml:space="preserve"> unenforceable</w:t>
      </w:r>
      <w:r w:rsidR="007A0F12" w:rsidRPr="00445A7B">
        <w:rPr>
          <w:rFonts w:ascii="Arial" w:hAnsi="Arial" w:cs="Arial"/>
          <w:i/>
          <w:sz w:val="24"/>
          <w:szCs w:val="24"/>
          <w:lang w:val="en-GB"/>
        </w:rPr>
        <w:t xml:space="preserve">. </w:t>
      </w:r>
    </w:p>
    <w:p w:rsidR="007A487E" w:rsidRDefault="007A487E" w:rsidP="00445A7B">
      <w:pPr>
        <w:spacing w:after="0" w:line="480" w:lineRule="auto"/>
        <w:jc w:val="both"/>
        <w:rPr>
          <w:rFonts w:ascii="Arial" w:hAnsi="Arial" w:cs="Arial"/>
          <w:i/>
          <w:sz w:val="24"/>
          <w:szCs w:val="24"/>
          <w:lang w:val="en-GB"/>
        </w:rPr>
      </w:pPr>
    </w:p>
    <w:p w:rsidR="00D42DA2" w:rsidRPr="00445A7B" w:rsidRDefault="009E57E5" w:rsidP="00445A7B">
      <w:pPr>
        <w:pStyle w:val="ListParagraph"/>
        <w:numPr>
          <w:ilvl w:val="0"/>
          <w:numId w:val="6"/>
        </w:numPr>
        <w:spacing w:after="0" w:line="480" w:lineRule="auto"/>
        <w:ind w:left="0" w:firstLine="0"/>
        <w:jc w:val="both"/>
        <w:rPr>
          <w:rFonts w:ascii="Arial" w:hAnsi="Arial" w:cs="Arial"/>
          <w:sz w:val="24"/>
          <w:szCs w:val="24"/>
          <w:lang w:val="en-GB"/>
        </w:rPr>
      </w:pPr>
      <w:r w:rsidRPr="00445A7B">
        <w:rPr>
          <w:rFonts w:ascii="Arial" w:hAnsi="Arial" w:cs="Arial"/>
          <w:sz w:val="24"/>
          <w:szCs w:val="24"/>
          <w:lang w:val="en-GB"/>
        </w:rPr>
        <w:t>I would like to pause</w:t>
      </w:r>
      <w:r w:rsidR="007A0F12" w:rsidRPr="00445A7B">
        <w:rPr>
          <w:rFonts w:ascii="Arial" w:hAnsi="Arial" w:cs="Arial"/>
          <w:sz w:val="24"/>
          <w:szCs w:val="24"/>
          <w:lang w:val="en-GB"/>
        </w:rPr>
        <w:t xml:space="preserve"> here </w:t>
      </w:r>
      <w:r w:rsidR="00BF5172" w:rsidRPr="00445A7B">
        <w:rPr>
          <w:rFonts w:ascii="Arial" w:hAnsi="Arial" w:cs="Arial"/>
          <w:sz w:val="24"/>
          <w:szCs w:val="24"/>
          <w:lang w:val="en-GB"/>
        </w:rPr>
        <w:t xml:space="preserve">and </w:t>
      </w:r>
      <w:r w:rsidR="007A0F12" w:rsidRPr="00445A7B">
        <w:rPr>
          <w:rFonts w:ascii="Arial" w:hAnsi="Arial" w:cs="Arial"/>
          <w:sz w:val="24"/>
          <w:szCs w:val="24"/>
          <w:lang w:val="en-GB"/>
        </w:rPr>
        <w:t xml:space="preserve">point out that para 10 suggests that there was </w:t>
      </w:r>
      <w:r w:rsidR="00447C40" w:rsidRPr="00445A7B">
        <w:rPr>
          <w:rFonts w:ascii="Arial" w:hAnsi="Arial" w:cs="Arial"/>
          <w:sz w:val="24"/>
          <w:szCs w:val="24"/>
          <w:lang w:val="en-GB"/>
        </w:rPr>
        <w:t xml:space="preserve">a </w:t>
      </w:r>
      <w:r w:rsidR="007A0F12" w:rsidRPr="00445A7B">
        <w:rPr>
          <w:rFonts w:ascii="Arial" w:hAnsi="Arial" w:cs="Arial"/>
          <w:sz w:val="24"/>
          <w:szCs w:val="24"/>
          <w:lang w:val="en-GB"/>
        </w:rPr>
        <w:t xml:space="preserve">hidden agreement of alienation which was dressed in what seemed to be a usufruct. This averment to me is sufficient </w:t>
      </w:r>
      <w:r w:rsidR="00B551BA" w:rsidRPr="00445A7B">
        <w:rPr>
          <w:rFonts w:ascii="Arial" w:hAnsi="Arial" w:cs="Arial"/>
          <w:sz w:val="24"/>
          <w:szCs w:val="24"/>
          <w:lang w:val="en-GB"/>
        </w:rPr>
        <w:t xml:space="preserve">to </w:t>
      </w:r>
      <w:r w:rsidR="007A0F12" w:rsidRPr="00445A7B">
        <w:rPr>
          <w:rFonts w:ascii="Arial" w:hAnsi="Arial" w:cs="Arial"/>
          <w:sz w:val="24"/>
          <w:szCs w:val="24"/>
          <w:lang w:val="en-GB"/>
        </w:rPr>
        <w:t>disclose a cause of action that the transaction was simulated. As if that is not enough, para 12 further alleged that th</w:t>
      </w:r>
      <w:r w:rsidR="00D42DA2" w:rsidRPr="00445A7B">
        <w:rPr>
          <w:rFonts w:ascii="Arial" w:hAnsi="Arial" w:cs="Arial"/>
          <w:sz w:val="24"/>
          <w:szCs w:val="24"/>
          <w:lang w:val="en-GB"/>
        </w:rPr>
        <w:t>e purpose of the simulated contract was to create the impression that the first defendant would indeed become the holder of a 99 year usufruct, whereas in truth and fact, the agreement was merely an effort to evade the provisions of s 17 of the</w:t>
      </w:r>
      <w:r w:rsidR="007A0F12" w:rsidRPr="00445A7B">
        <w:rPr>
          <w:rFonts w:ascii="Arial" w:hAnsi="Arial" w:cs="Arial"/>
          <w:sz w:val="24"/>
          <w:szCs w:val="24"/>
          <w:lang w:val="en-GB"/>
        </w:rPr>
        <w:t xml:space="preserve"> Act. I</w:t>
      </w:r>
      <w:r w:rsidR="00B551BA" w:rsidRPr="00445A7B">
        <w:rPr>
          <w:rFonts w:ascii="Arial" w:hAnsi="Arial" w:cs="Arial"/>
          <w:sz w:val="24"/>
          <w:szCs w:val="24"/>
          <w:lang w:val="en-GB"/>
        </w:rPr>
        <w:t>n my respectful view, i</w:t>
      </w:r>
      <w:r w:rsidR="007A0F12" w:rsidRPr="00445A7B">
        <w:rPr>
          <w:rFonts w:ascii="Arial" w:hAnsi="Arial" w:cs="Arial"/>
          <w:sz w:val="24"/>
          <w:szCs w:val="24"/>
          <w:lang w:val="en-GB"/>
        </w:rPr>
        <w:t xml:space="preserve">t cannot be clearer than how the appellants framed it. </w:t>
      </w:r>
    </w:p>
    <w:p w:rsidR="00693A34" w:rsidRPr="00B63067" w:rsidRDefault="00693A34" w:rsidP="00445A7B">
      <w:pPr>
        <w:spacing w:after="0" w:line="480" w:lineRule="auto"/>
        <w:jc w:val="both"/>
        <w:rPr>
          <w:rFonts w:ascii="Arial" w:hAnsi="Arial" w:cs="Arial"/>
          <w:lang w:val="en-GB"/>
        </w:rPr>
      </w:pPr>
    </w:p>
    <w:p w:rsidR="00722B14" w:rsidRPr="00445A7B" w:rsidRDefault="00B551BA" w:rsidP="00445A7B">
      <w:pPr>
        <w:pStyle w:val="ListParagraph"/>
        <w:numPr>
          <w:ilvl w:val="0"/>
          <w:numId w:val="6"/>
        </w:numPr>
        <w:spacing w:after="0" w:line="480" w:lineRule="auto"/>
        <w:ind w:left="0" w:firstLine="0"/>
        <w:jc w:val="both"/>
        <w:rPr>
          <w:rFonts w:ascii="Arial" w:hAnsi="Arial" w:cs="Arial"/>
          <w:sz w:val="24"/>
          <w:szCs w:val="24"/>
          <w:lang w:val="en-GB"/>
        </w:rPr>
      </w:pPr>
      <w:r w:rsidRPr="00445A7B">
        <w:rPr>
          <w:rFonts w:ascii="Arial" w:hAnsi="Arial" w:cs="Arial"/>
          <w:sz w:val="24"/>
          <w:szCs w:val="24"/>
          <w:lang w:val="en-GB"/>
        </w:rPr>
        <w:t>As noted above, c</w:t>
      </w:r>
      <w:r w:rsidR="007A0F12" w:rsidRPr="00445A7B">
        <w:rPr>
          <w:rFonts w:ascii="Arial" w:hAnsi="Arial" w:cs="Arial"/>
          <w:sz w:val="24"/>
          <w:szCs w:val="24"/>
          <w:lang w:val="en-GB"/>
        </w:rPr>
        <w:t xml:space="preserve">ounsel for the first respondent relied on </w:t>
      </w:r>
      <w:r w:rsidR="007A0F12" w:rsidRPr="00445A7B">
        <w:rPr>
          <w:rFonts w:ascii="Arial" w:hAnsi="Arial" w:cs="Arial"/>
          <w:i/>
          <w:sz w:val="24"/>
          <w:szCs w:val="24"/>
          <w:lang w:val="en-GB"/>
        </w:rPr>
        <w:t>Am</w:t>
      </w:r>
      <w:r w:rsidRPr="00445A7B">
        <w:rPr>
          <w:rFonts w:ascii="Arial" w:hAnsi="Arial" w:cs="Arial"/>
          <w:i/>
          <w:sz w:val="24"/>
          <w:szCs w:val="24"/>
          <w:lang w:val="en-GB"/>
        </w:rPr>
        <w:t>l</w:t>
      </w:r>
      <w:r w:rsidR="007A0F12" w:rsidRPr="00445A7B">
        <w:rPr>
          <w:rFonts w:ascii="Arial" w:hAnsi="Arial" w:cs="Arial"/>
          <w:i/>
          <w:sz w:val="24"/>
          <w:szCs w:val="24"/>
          <w:lang w:val="en-GB"/>
        </w:rPr>
        <w:t>er</w:t>
      </w:r>
      <w:r w:rsidRPr="00445A7B">
        <w:rPr>
          <w:rFonts w:ascii="Arial" w:hAnsi="Arial" w:cs="Arial"/>
          <w:i/>
          <w:sz w:val="24"/>
          <w:szCs w:val="24"/>
          <w:lang w:val="en-GB"/>
        </w:rPr>
        <w:t>’</w:t>
      </w:r>
      <w:r w:rsidR="007A0F12" w:rsidRPr="00445A7B">
        <w:rPr>
          <w:rFonts w:ascii="Arial" w:hAnsi="Arial" w:cs="Arial"/>
          <w:i/>
          <w:sz w:val="24"/>
          <w:szCs w:val="24"/>
          <w:lang w:val="en-GB"/>
        </w:rPr>
        <w:t>s Precedent</w:t>
      </w:r>
      <w:r w:rsidRPr="00445A7B">
        <w:rPr>
          <w:rFonts w:ascii="Arial" w:hAnsi="Arial" w:cs="Arial"/>
          <w:i/>
          <w:sz w:val="24"/>
          <w:szCs w:val="24"/>
          <w:lang w:val="en-GB"/>
        </w:rPr>
        <w:t>s of Pleadings</w:t>
      </w:r>
      <w:r w:rsidR="007A0F12" w:rsidRPr="00445A7B">
        <w:rPr>
          <w:rFonts w:ascii="Arial" w:hAnsi="Arial" w:cs="Arial"/>
          <w:sz w:val="24"/>
          <w:szCs w:val="24"/>
          <w:lang w:val="en-GB"/>
        </w:rPr>
        <w:t xml:space="preserve"> and forcefully submitted that failure to meet the criteria set out in </w:t>
      </w:r>
      <w:r w:rsidR="007A0F12" w:rsidRPr="00445A7B">
        <w:rPr>
          <w:rFonts w:ascii="Arial" w:hAnsi="Arial" w:cs="Arial"/>
          <w:i/>
          <w:sz w:val="24"/>
          <w:szCs w:val="24"/>
          <w:lang w:val="en-GB"/>
        </w:rPr>
        <w:t>Am</w:t>
      </w:r>
      <w:r w:rsidRPr="00445A7B">
        <w:rPr>
          <w:rFonts w:ascii="Arial" w:hAnsi="Arial" w:cs="Arial"/>
          <w:i/>
          <w:sz w:val="24"/>
          <w:szCs w:val="24"/>
          <w:lang w:val="en-GB"/>
        </w:rPr>
        <w:t>l</w:t>
      </w:r>
      <w:r w:rsidR="007A0F12" w:rsidRPr="00445A7B">
        <w:rPr>
          <w:rFonts w:ascii="Arial" w:hAnsi="Arial" w:cs="Arial"/>
          <w:i/>
          <w:sz w:val="24"/>
          <w:szCs w:val="24"/>
          <w:lang w:val="en-GB"/>
        </w:rPr>
        <w:t>er</w:t>
      </w:r>
      <w:r w:rsidR="00B86210" w:rsidRPr="00445A7B">
        <w:rPr>
          <w:rFonts w:ascii="Arial" w:hAnsi="Arial" w:cs="Arial"/>
          <w:i/>
          <w:sz w:val="24"/>
          <w:szCs w:val="24"/>
          <w:lang w:val="en-GB"/>
        </w:rPr>
        <w:t>’</w:t>
      </w:r>
      <w:r w:rsidR="007A0F12" w:rsidRPr="00445A7B">
        <w:rPr>
          <w:rFonts w:ascii="Arial" w:hAnsi="Arial" w:cs="Arial"/>
          <w:i/>
          <w:sz w:val="24"/>
          <w:szCs w:val="24"/>
          <w:lang w:val="en-GB"/>
        </w:rPr>
        <w:t>s</w:t>
      </w:r>
      <w:r w:rsidRPr="00445A7B">
        <w:rPr>
          <w:rFonts w:ascii="Arial" w:hAnsi="Arial" w:cs="Arial"/>
          <w:sz w:val="24"/>
          <w:szCs w:val="24"/>
          <w:lang w:val="en-GB"/>
        </w:rPr>
        <w:t xml:space="preserve"> in respect of simulated transactions renders </w:t>
      </w:r>
      <w:r w:rsidR="007A0F12" w:rsidRPr="00445A7B">
        <w:rPr>
          <w:rFonts w:ascii="Arial" w:hAnsi="Arial" w:cs="Arial"/>
          <w:sz w:val="24"/>
          <w:szCs w:val="24"/>
          <w:lang w:val="en-GB"/>
        </w:rPr>
        <w:t xml:space="preserve">the pleadings excipiable. This court accepts and endorses the use of </w:t>
      </w:r>
      <w:r w:rsidR="007A0F12" w:rsidRPr="00445A7B">
        <w:rPr>
          <w:rFonts w:ascii="Arial" w:hAnsi="Arial" w:cs="Arial"/>
          <w:i/>
          <w:sz w:val="24"/>
          <w:szCs w:val="24"/>
          <w:lang w:val="en-GB"/>
        </w:rPr>
        <w:t>Am</w:t>
      </w:r>
      <w:r w:rsidR="00B86210" w:rsidRPr="00445A7B">
        <w:rPr>
          <w:rFonts w:ascii="Arial" w:hAnsi="Arial" w:cs="Arial"/>
          <w:i/>
          <w:sz w:val="24"/>
          <w:szCs w:val="24"/>
          <w:lang w:val="en-GB"/>
        </w:rPr>
        <w:t>l</w:t>
      </w:r>
      <w:r w:rsidR="007A0F12" w:rsidRPr="00445A7B">
        <w:rPr>
          <w:rFonts w:ascii="Arial" w:hAnsi="Arial" w:cs="Arial"/>
          <w:i/>
          <w:sz w:val="24"/>
          <w:szCs w:val="24"/>
          <w:lang w:val="en-GB"/>
        </w:rPr>
        <w:t>er</w:t>
      </w:r>
      <w:r w:rsidRPr="00445A7B">
        <w:rPr>
          <w:rFonts w:ascii="Arial" w:hAnsi="Arial" w:cs="Arial"/>
          <w:i/>
          <w:sz w:val="24"/>
          <w:szCs w:val="24"/>
          <w:lang w:val="en-GB"/>
        </w:rPr>
        <w:t>’</w:t>
      </w:r>
      <w:r w:rsidR="007A0F12" w:rsidRPr="00445A7B">
        <w:rPr>
          <w:rFonts w:ascii="Arial" w:hAnsi="Arial" w:cs="Arial"/>
          <w:i/>
          <w:sz w:val="24"/>
          <w:szCs w:val="24"/>
          <w:lang w:val="en-GB"/>
        </w:rPr>
        <w:t>s</w:t>
      </w:r>
      <w:r w:rsidR="007A0F12" w:rsidRPr="00445A7B">
        <w:rPr>
          <w:rFonts w:ascii="Arial" w:hAnsi="Arial" w:cs="Arial"/>
          <w:sz w:val="24"/>
          <w:szCs w:val="24"/>
          <w:lang w:val="en-GB"/>
        </w:rPr>
        <w:t xml:space="preserve"> </w:t>
      </w:r>
      <w:r w:rsidR="009F217C" w:rsidRPr="00445A7B">
        <w:rPr>
          <w:rFonts w:ascii="Arial" w:hAnsi="Arial" w:cs="Arial"/>
          <w:sz w:val="24"/>
          <w:szCs w:val="24"/>
          <w:lang w:val="en-GB"/>
        </w:rPr>
        <w:t xml:space="preserve">by legal practitioners to frame pleadings, but it must </w:t>
      </w:r>
      <w:r w:rsidR="00ED3E9F" w:rsidRPr="00445A7B">
        <w:rPr>
          <w:rFonts w:ascii="Arial" w:hAnsi="Arial" w:cs="Arial"/>
          <w:sz w:val="24"/>
          <w:szCs w:val="24"/>
          <w:lang w:val="en-GB"/>
        </w:rPr>
        <w:t xml:space="preserve">be </w:t>
      </w:r>
      <w:r w:rsidR="00B86210" w:rsidRPr="00445A7B">
        <w:rPr>
          <w:rFonts w:ascii="Arial" w:hAnsi="Arial" w:cs="Arial"/>
          <w:sz w:val="24"/>
          <w:szCs w:val="24"/>
          <w:lang w:val="en-GB"/>
        </w:rPr>
        <w:t xml:space="preserve">understood that </w:t>
      </w:r>
      <w:r w:rsidR="00B86210" w:rsidRPr="00445A7B">
        <w:rPr>
          <w:rFonts w:ascii="Arial" w:hAnsi="Arial" w:cs="Arial"/>
          <w:i/>
          <w:sz w:val="24"/>
          <w:szCs w:val="24"/>
          <w:lang w:val="en-GB"/>
        </w:rPr>
        <w:t>A</w:t>
      </w:r>
      <w:r w:rsidR="009F217C" w:rsidRPr="00445A7B">
        <w:rPr>
          <w:rFonts w:ascii="Arial" w:hAnsi="Arial" w:cs="Arial"/>
          <w:i/>
          <w:sz w:val="24"/>
          <w:szCs w:val="24"/>
          <w:lang w:val="en-GB"/>
        </w:rPr>
        <w:t>m</w:t>
      </w:r>
      <w:r w:rsidR="00B86210" w:rsidRPr="00445A7B">
        <w:rPr>
          <w:rFonts w:ascii="Arial" w:hAnsi="Arial" w:cs="Arial"/>
          <w:i/>
          <w:sz w:val="24"/>
          <w:szCs w:val="24"/>
          <w:lang w:val="en-GB"/>
        </w:rPr>
        <w:t>l</w:t>
      </w:r>
      <w:r w:rsidR="009F217C" w:rsidRPr="00445A7B">
        <w:rPr>
          <w:rFonts w:ascii="Arial" w:hAnsi="Arial" w:cs="Arial"/>
          <w:i/>
          <w:sz w:val="24"/>
          <w:szCs w:val="24"/>
          <w:lang w:val="en-GB"/>
        </w:rPr>
        <w:t>er</w:t>
      </w:r>
      <w:r w:rsidRPr="00445A7B">
        <w:rPr>
          <w:rFonts w:ascii="Arial" w:hAnsi="Arial" w:cs="Arial"/>
          <w:i/>
          <w:sz w:val="24"/>
          <w:szCs w:val="24"/>
          <w:lang w:val="en-GB"/>
        </w:rPr>
        <w:t>’</w:t>
      </w:r>
      <w:r w:rsidR="009F217C" w:rsidRPr="00445A7B">
        <w:rPr>
          <w:rFonts w:ascii="Arial" w:hAnsi="Arial" w:cs="Arial"/>
          <w:i/>
          <w:sz w:val="24"/>
          <w:szCs w:val="24"/>
          <w:lang w:val="en-GB"/>
        </w:rPr>
        <w:t>s</w:t>
      </w:r>
      <w:r w:rsidR="009F217C" w:rsidRPr="00445A7B">
        <w:rPr>
          <w:rFonts w:ascii="Arial" w:hAnsi="Arial" w:cs="Arial"/>
          <w:sz w:val="24"/>
          <w:szCs w:val="24"/>
          <w:lang w:val="en-GB"/>
        </w:rPr>
        <w:t xml:space="preserve"> is only a guide and point of reference. Therefore, failure to strictly </w:t>
      </w:r>
      <w:r w:rsidRPr="00445A7B">
        <w:rPr>
          <w:rFonts w:ascii="Arial" w:hAnsi="Arial" w:cs="Arial"/>
          <w:sz w:val="24"/>
          <w:szCs w:val="24"/>
          <w:lang w:val="en-GB"/>
        </w:rPr>
        <w:t xml:space="preserve">follow </w:t>
      </w:r>
      <w:r w:rsidR="009F217C" w:rsidRPr="00445A7B">
        <w:rPr>
          <w:rFonts w:ascii="Arial" w:hAnsi="Arial" w:cs="Arial"/>
          <w:sz w:val="24"/>
          <w:szCs w:val="24"/>
          <w:lang w:val="en-GB"/>
        </w:rPr>
        <w:t xml:space="preserve">the </w:t>
      </w:r>
      <w:r w:rsidRPr="00445A7B">
        <w:rPr>
          <w:rFonts w:ascii="Arial" w:hAnsi="Arial" w:cs="Arial"/>
          <w:sz w:val="24"/>
          <w:szCs w:val="24"/>
          <w:lang w:val="en-GB"/>
        </w:rPr>
        <w:t xml:space="preserve">examples given in </w:t>
      </w:r>
      <w:r w:rsidR="00B86210" w:rsidRPr="00445A7B">
        <w:rPr>
          <w:rFonts w:ascii="Arial" w:hAnsi="Arial" w:cs="Arial"/>
          <w:i/>
          <w:sz w:val="24"/>
          <w:szCs w:val="24"/>
          <w:lang w:val="en-GB"/>
        </w:rPr>
        <w:t>A</w:t>
      </w:r>
      <w:r w:rsidR="009F217C" w:rsidRPr="00445A7B">
        <w:rPr>
          <w:rFonts w:ascii="Arial" w:hAnsi="Arial" w:cs="Arial"/>
          <w:i/>
          <w:sz w:val="24"/>
          <w:szCs w:val="24"/>
          <w:lang w:val="en-GB"/>
        </w:rPr>
        <w:t>m</w:t>
      </w:r>
      <w:r w:rsidR="00B86210" w:rsidRPr="00445A7B">
        <w:rPr>
          <w:rFonts w:ascii="Arial" w:hAnsi="Arial" w:cs="Arial"/>
          <w:i/>
          <w:sz w:val="24"/>
          <w:szCs w:val="24"/>
          <w:lang w:val="en-GB"/>
        </w:rPr>
        <w:t>l</w:t>
      </w:r>
      <w:r w:rsidR="009F217C" w:rsidRPr="00445A7B">
        <w:rPr>
          <w:rFonts w:ascii="Arial" w:hAnsi="Arial" w:cs="Arial"/>
          <w:i/>
          <w:sz w:val="24"/>
          <w:szCs w:val="24"/>
          <w:lang w:val="en-GB"/>
        </w:rPr>
        <w:t>er</w:t>
      </w:r>
      <w:r w:rsidR="00B86210" w:rsidRPr="00445A7B">
        <w:rPr>
          <w:rFonts w:ascii="Arial" w:hAnsi="Arial" w:cs="Arial"/>
          <w:i/>
          <w:sz w:val="24"/>
          <w:szCs w:val="24"/>
          <w:lang w:val="en-GB"/>
        </w:rPr>
        <w:t>’</w:t>
      </w:r>
      <w:r w:rsidR="009F217C" w:rsidRPr="00445A7B">
        <w:rPr>
          <w:rFonts w:ascii="Arial" w:hAnsi="Arial" w:cs="Arial"/>
          <w:i/>
          <w:sz w:val="24"/>
          <w:szCs w:val="24"/>
          <w:lang w:val="en-GB"/>
        </w:rPr>
        <w:t>s</w:t>
      </w:r>
      <w:r w:rsidR="009F217C" w:rsidRPr="00445A7B">
        <w:rPr>
          <w:rFonts w:ascii="Arial" w:hAnsi="Arial" w:cs="Arial"/>
          <w:sz w:val="24"/>
          <w:szCs w:val="24"/>
          <w:lang w:val="en-GB"/>
        </w:rPr>
        <w:t xml:space="preserve"> in framing pleadings on the allegation of a simulated transaction does not mean that the other party will be prejudiced</w:t>
      </w:r>
      <w:r w:rsidRPr="00445A7B">
        <w:rPr>
          <w:rFonts w:ascii="Arial" w:hAnsi="Arial" w:cs="Arial"/>
          <w:sz w:val="24"/>
          <w:szCs w:val="24"/>
          <w:lang w:val="en-GB"/>
        </w:rPr>
        <w:t xml:space="preserve"> ther</w:t>
      </w:r>
      <w:r w:rsidR="00ED3E9F" w:rsidRPr="00445A7B">
        <w:rPr>
          <w:rFonts w:ascii="Arial" w:hAnsi="Arial" w:cs="Arial"/>
          <w:sz w:val="24"/>
          <w:szCs w:val="24"/>
          <w:lang w:val="en-GB"/>
        </w:rPr>
        <w:t>e</w:t>
      </w:r>
      <w:r w:rsidRPr="00445A7B">
        <w:rPr>
          <w:rFonts w:ascii="Arial" w:hAnsi="Arial" w:cs="Arial"/>
          <w:sz w:val="24"/>
          <w:szCs w:val="24"/>
          <w:lang w:val="en-GB"/>
        </w:rPr>
        <w:t>by</w:t>
      </w:r>
      <w:r w:rsidR="009F217C" w:rsidRPr="00445A7B">
        <w:rPr>
          <w:rFonts w:ascii="Arial" w:hAnsi="Arial" w:cs="Arial"/>
          <w:sz w:val="24"/>
          <w:szCs w:val="24"/>
          <w:lang w:val="en-GB"/>
        </w:rPr>
        <w:t xml:space="preserve">. As I have already indicated, the purpose of pleading is to alert the opposing party of </w:t>
      </w:r>
      <w:r w:rsidR="00ED3E9F" w:rsidRPr="00445A7B">
        <w:rPr>
          <w:rFonts w:ascii="Arial" w:hAnsi="Arial" w:cs="Arial"/>
          <w:sz w:val="24"/>
          <w:szCs w:val="24"/>
          <w:lang w:val="en-GB"/>
        </w:rPr>
        <w:t xml:space="preserve">the pleader’s </w:t>
      </w:r>
      <w:r w:rsidR="009F217C" w:rsidRPr="00445A7B">
        <w:rPr>
          <w:rFonts w:ascii="Arial" w:hAnsi="Arial" w:cs="Arial"/>
          <w:sz w:val="24"/>
          <w:szCs w:val="24"/>
          <w:lang w:val="en-GB"/>
        </w:rPr>
        <w:t xml:space="preserve">case and </w:t>
      </w:r>
      <w:r w:rsidR="009E57E5" w:rsidRPr="00445A7B">
        <w:rPr>
          <w:rFonts w:ascii="Arial" w:hAnsi="Arial" w:cs="Arial"/>
          <w:sz w:val="24"/>
          <w:szCs w:val="24"/>
          <w:lang w:val="en-GB"/>
        </w:rPr>
        <w:t xml:space="preserve">to </w:t>
      </w:r>
      <w:r w:rsidR="009F217C" w:rsidRPr="00445A7B">
        <w:rPr>
          <w:rFonts w:ascii="Arial" w:hAnsi="Arial" w:cs="Arial"/>
          <w:sz w:val="24"/>
          <w:szCs w:val="24"/>
          <w:lang w:val="en-GB"/>
        </w:rPr>
        <w:t xml:space="preserve">allow such a party to respond accordingly. The appellants’ particulars of claim clearly set out the material facts to disclose a cause </w:t>
      </w:r>
      <w:r w:rsidR="009F217C" w:rsidRPr="00445A7B">
        <w:rPr>
          <w:rFonts w:ascii="Arial" w:hAnsi="Arial" w:cs="Arial"/>
          <w:sz w:val="24"/>
          <w:szCs w:val="24"/>
          <w:lang w:val="en-GB"/>
        </w:rPr>
        <w:lastRenderedPageBreak/>
        <w:t>of action and the first respondent should have pleaded</w:t>
      </w:r>
      <w:r w:rsidR="00ED3E9F" w:rsidRPr="00445A7B">
        <w:rPr>
          <w:rFonts w:ascii="Arial" w:hAnsi="Arial" w:cs="Arial"/>
          <w:sz w:val="24"/>
          <w:szCs w:val="24"/>
          <w:lang w:val="en-GB"/>
        </w:rPr>
        <w:t xml:space="preserve"> thereon</w:t>
      </w:r>
      <w:r w:rsidR="009F217C" w:rsidRPr="00445A7B">
        <w:rPr>
          <w:rFonts w:ascii="Arial" w:hAnsi="Arial" w:cs="Arial"/>
          <w:sz w:val="24"/>
          <w:szCs w:val="24"/>
          <w:lang w:val="en-GB"/>
        </w:rPr>
        <w:t xml:space="preserve">. </w:t>
      </w:r>
      <w:r w:rsidR="00B34B22" w:rsidRPr="00445A7B">
        <w:rPr>
          <w:rFonts w:ascii="Arial" w:hAnsi="Arial" w:cs="Arial"/>
          <w:sz w:val="24"/>
          <w:szCs w:val="24"/>
          <w:lang w:val="en-GB"/>
        </w:rPr>
        <w:t xml:space="preserve">On this score, I am of the view that this ground should also </w:t>
      </w:r>
      <w:r w:rsidR="0040530C" w:rsidRPr="00445A7B">
        <w:rPr>
          <w:rFonts w:ascii="Arial" w:hAnsi="Arial" w:cs="Arial"/>
          <w:sz w:val="24"/>
          <w:szCs w:val="24"/>
          <w:lang w:val="en-GB"/>
        </w:rPr>
        <w:t xml:space="preserve">have </w:t>
      </w:r>
      <w:r w:rsidR="00B34B22" w:rsidRPr="00445A7B">
        <w:rPr>
          <w:rFonts w:ascii="Arial" w:hAnsi="Arial" w:cs="Arial"/>
          <w:sz w:val="24"/>
          <w:szCs w:val="24"/>
          <w:lang w:val="en-GB"/>
        </w:rPr>
        <w:t>fail</w:t>
      </w:r>
      <w:r w:rsidR="0040530C" w:rsidRPr="00445A7B">
        <w:rPr>
          <w:rFonts w:ascii="Arial" w:hAnsi="Arial" w:cs="Arial"/>
          <w:sz w:val="24"/>
          <w:szCs w:val="24"/>
          <w:lang w:val="en-GB"/>
        </w:rPr>
        <w:t>ed</w:t>
      </w:r>
      <w:r w:rsidR="00B34B22" w:rsidRPr="00445A7B">
        <w:rPr>
          <w:rFonts w:ascii="Arial" w:hAnsi="Arial" w:cs="Arial"/>
          <w:sz w:val="24"/>
          <w:szCs w:val="24"/>
          <w:lang w:val="en-GB"/>
        </w:rPr>
        <w:t xml:space="preserve">. </w:t>
      </w:r>
    </w:p>
    <w:p w:rsidR="009F217C" w:rsidRPr="006709EC" w:rsidRDefault="009F217C" w:rsidP="003E169C">
      <w:pPr>
        <w:spacing w:after="0" w:line="480" w:lineRule="auto"/>
        <w:jc w:val="both"/>
        <w:rPr>
          <w:rFonts w:ascii="Arial" w:hAnsi="Arial" w:cs="Arial"/>
          <w:sz w:val="24"/>
          <w:szCs w:val="24"/>
          <w:u w:val="single"/>
          <w:lang w:val="en-GB"/>
        </w:rPr>
      </w:pPr>
    </w:p>
    <w:p w:rsidR="0088584B" w:rsidRPr="00445A7B" w:rsidRDefault="0088584B" w:rsidP="003E169C">
      <w:pPr>
        <w:pStyle w:val="ListParagraph"/>
        <w:spacing w:after="0" w:line="480" w:lineRule="auto"/>
        <w:ind w:left="0"/>
        <w:jc w:val="both"/>
        <w:rPr>
          <w:rFonts w:ascii="Arial" w:hAnsi="Arial" w:cs="Arial"/>
          <w:i/>
          <w:sz w:val="24"/>
          <w:szCs w:val="24"/>
          <w:lang w:val="en-GB"/>
        </w:rPr>
      </w:pPr>
      <w:r w:rsidRPr="00445A7B">
        <w:rPr>
          <w:rFonts w:ascii="Arial" w:hAnsi="Arial" w:cs="Arial"/>
          <w:i/>
          <w:sz w:val="24"/>
          <w:szCs w:val="24"/>
          <w:lang w:val="en-GB"/>
        </w:rPr>
        <w:t xml:space="preserve">Concession on illegality and severability </w:t>
      </w:r>
    </w:p>
    <w:p w:rsidR="0088584B" w:rsidRPr="00445A7B" w:rsidRDefault="006B1718" w:rsidP="003E169C">
      <w:pPr>
        <w:pStyle w:val="ListParagraph"/>
        <w:numPr>
          <w:ilvl w:val="0"/>
          <w:numId w:val="6"/>
        </w:numPr>
        <w:spacing w:after="0" w:line="480" w:lineRule="auto"/>
        <w:ind w:left="0" w:firstLine="0"/>
        <w:jc w:val="both"/>
        <w:rPr>
          <w:rFonts w:ascii="Arial" w:hAnsi="Arial" w:cs="Arial"/>
          <w:sz w:val="24"/>
          <w:szCs w:val="24"/>
          <w:lang w:val="en-GB"/>
        </w:rPr>
      </w:pPr>
      <w:r w:rsidRPr="00445A7B">
        <w:rPr>
          <w:rFonts w:ascii="Arial" w:hAnsi="Arial" w:cs="Arial"/>
          <w:sz w:val="24"/>
          <w:szCs w:val="24"/>
          <w:lang w:val="en-GB"/>
        </w:rPr>
        <w:t>T</w:t>
      </w:r>
      <w:r w:rsidR="00291E1B" w:rsidRPr="00445A7B">
        <w:rPr>
          <w:rFonts w:ascii="Arial" w:hAnsi="Arial" w:cs="Arial"/>
          <w:sz w:val="24"/>
          <w:szCs w:val="24"/>
          <w:lang w:val="en-GB"/>
        </w:rPr>
        <w:t xml:space="preserve">he court </w:t>
      </w:r>
      <w:r w:rsidR="00291E1B" w:rsidRPr="00445A7B">
        <w:rPr>
          <w:rFonts w:ascii="Arial" w:hAnsi="Arial" w:cs="Arial"/>
          <w:i/>
          <w:sz w:val="24"/>
          <w:szCs w:val="24"/>
          <w:lang w:val="en-GB"/>
        </w:rPr>
        <w:t>a quo</w:t>
      </w:r>
      <w:r w:rsidR="00291E1B" w:rsidRPr="00445A7B">
        <w:rPr>
          <w:rFonts w:ascii="Arial" w:hAnsi="Arial" w:cs="Arial"/>
          <w:sz w:val="24"/>
          <w:szCs w:val="24"/>
          <w:lang w:val="en-GB"/>
        </w:rPr>
        <w:t xml:space="preserve"> held that delving into the intricate and involving issues of severability and illegality of the agreement at the stage of an exception would yield some injustice. That court then directed the first respondent to file its plea and deal with these issues, which may ultimately be the subject of determination at the trial. </w:t>
      </w:r>
    </w:p>
    <w:p w:rsidR="006709EC" w:rsidRDefault="006709EC" w:rsidP="00445A7B">
      <w:pPr>
        <w:spacing w:after="0" w:line="480" w:lineRule="auto"/>
        <w:jc w:val="both"/>
        <w:rPr>
          <w:rFonts w:ascii="Arial" w:hAnsi="Arial" w:cs="Arial"/>
          <w:sz w:val="24"/>
          <w:szCs w:val="24"/>
          <w:lang w:val="en-GB"/>
        </w:rPr>
      </w:pPr>
    </w:p>
    <w:p w:rsidR="00056950" w:rsidRPr="00445A7B" w:rsidRDefault="00291E1B" w:rsidP="00445A7B">
      <w:pPr>
        <w:pStyle w:val="ListParagraph"/>
        <w:numPr>
          <w:ilvl w:val="0"/>
          <w:numId w:val="6"/>
        </w:numPr>
        <w:spacing w:after="0" w:line="480" w:lineRule="auto"/>
        <w:ind w:left="0" w:firstLine="0"/>
        <w:jc w:val="both"/>
        <w:rPr>
          <w:rFonts w:ascii="Arial" w:hAnsi="Arial" w:cs="Arial"/>
          <w:sz w:val="24"/>
          <w:szCs w:val="24"/>
          <w:lang w:val="en-GB"/>
        </w:rPr>
      </w:pPr>
      <w:r w:rsidRPr="00445A7B">
        <w:rPr>
          <w:rFonts w:ascii="Arial" w:hAnsi="Arial" w:cs="Arial"/>
          <w:sz w:val="24"/>
          <w:szCs w:val="24"/>
          <w:lang w:val="en-GB"/>
        </w:rPr>
        <w:t xml:space="preserve">The parties to this appeal, </w:t>
      </w:r>
      <w:r w:rsidR="00056950" w:rsidRPr="00445A7B">
        <w:rPr>
          <w:rFonts w:ascii="Arial" w:hAnsi="Arial" w:cs="Arial"/>
          <w:sz w:val="24"/>
          <w:szCs w:val="24"/>
          <w:lang w:val="en-GB"/>
        </w:rPr>
        <w:t xml:space="preserve">both </w:t>
      </w:r>
      <w:r w:rsidRPr="00445A7B">
        <w:rPr>
          <w:rFonts w:ascii="Arial" w:hAnsi="Arial" w:cs="Arial"/>
          <w:sz w:val="24"/>
          <w:szCs w:val="24"/>
          <w:lang w:val="en-GB"/>
        </w:rPr>
        <w:t xml:space="preserve">in their heads of argument and during oral submissions pointed out that it is not in principle necessary to address these aspects </w:t>
      </w:r>
      <w:r w:rsidR="00056950" w:rsidRPr="00445A7B">
        <w:rPr>
          <w:rFonts w:ascii="Arial" w:hAnsi="Arial" w:cs="Arial"/>
          <w:sz w:val="24"/>
          <w:szCs w:val="24"/>
          <w:lang w:val="en-GB"/>
        </w:rPr>
        <w:t>at this stage. I too hold the</w:t>
      </w:r>
      <w:r w:rsidR="001F1A91" w:rsidRPr="00445A7B">
        <w:rPr>
          <w:rFonts w:ascii="Arial" w:hAnsi="Arial" w:cs="Arial"/>
          <w:sz w:val="24"/>
          <w:szCs w:val="24"/>
          <w:lang w:val="en-GB"/>
        </w:rPr>
        <w:t xml:space="preserve"> same</w:t>
      </w:r>
      <w:r w:rsidR="00056950" w:rsidRPr="00445A7B">
        <w:rPr>
          <w:rFonts w:ascii="Arial" w:hAnsi="Arial" w:cs="Arial"/>
          <w:sz w:val="24"/>
          <w:szCs w:val="24"/>
          <w:lang w:val="en-GB"/>
        </w:rPr>
        <w:t xml:space="preserve"> view </w:t>
      </w:r>
      <w:r w:rsidR="001F1A91" w:rsidRPr="00445A7B">
        <w:rPr>
          <w:rFonts w:ascii="Arial" w:hAnsi="Arial" w:cs="Arial"/>
          <w:sz w:val="24"/>
          <w:szCs w:val="24"/>
          <w:lang w:val="en-GB"/>
        </w:rPr>
        <w:t xml:space="preserve">and it is therefore not necessary </w:t>
      </w:r>
      <w:r w:rsidR="001777A2" w:rsidRPr="00445A7B">
        <w:rPr>
          <w:rFonts w:ascii="Arial" w:hAnsi="Arial" w:cs="Arial"/>
          <w:sz w:val="24"/>
          <w:szCs w:val="24"/>
          <w:lang w:val="en-GB"/>
        </w:rPr>
        <w:t xml:space="preserve">to say </w:t>
      </w:r>
      <w:r w:rsidR="001F1A91" w:rsidRPr="00445A7B">
        <w:rPr>
          <w:rFonts w:ascii="Arial" w:hAnsi="Arial" w:cs="Arial"/>
          <w:sz w:val="24"/>
          <w:szCs w:val="24"/>
          <w:lang w:val="en-GB"/>
        </w:rPr>
        <w:t xml:space="preserve">much on this point than that these issues remain for determination for another day. </w:t>
      </w:r>
      <w:r w:rsidR="00056950" w:rsidRPr="00445A7B">
        <w:rPr>
          <w:rFonts w:ascii="Arial" w:hAnsi="Arial" w:cs="Arial"/>
          <w:sz w:val="24"/>
          <w:szCs w:val="24"/>
          <w:lang w:val="en-GB"/>
        </w:rPr>
        <w:t xml:space="preserve"> </w:t>
      </w:r>
    </w:p>
    <w:p w:rsidR="00291E1B" w:rsidRPr="0088584B" w:rsidRDefault="00291E1B" w:rsidP="00445A7B">
      <w:pPr>
        <w:spacing w:after="0" w:line="480" w:lineRule="auto"/>
        <w:jc w:val="both"/>
        <w:rPr>
          <w:rFonts w:ascii="Arial" w:hAnsi="Arial" w:cs="Arial"/>
          <w:sz w:val="24"/>
          <w:szCs w:val="24"/>
          <w:lang w:val="en-GB"/>
        </w:rPr>
      </w:pPr>
    </w:p>
    <w:p w:rsidR="00E8524D" w:rsidRPr="00445A7B" w:rsidRDefault="007472D8" w:rsidP="00DF6C8B">
      <w:pPr>
        <w:pStyle w:val="ListParagraph"/>
        <w:numPr>
          <w:ilvl w:val="0"/>
          <w:numId w:val="6"/>
        </w:numPr>
        <w:spacing w:after="0" w:line="480" w:lineRule="auto"/>
        <w:ind w:left="0" w:firstLine="0"/>
        <w:jc w:val="both"/>
        <w:rPr>
          <w:rFonts w:ascii="Arial" w:hAnsi="Arial" w:cs="Arial"/>
          <w:sz w:val="24"/>
          <w:szCs w:val="24"/>
          <w:lang w:val="en-GB"/>
        </w:rPr>
      </w:pPr>
      <w:r w:rsidRPr="00445A7B">
        <w:rPr>
          <w:rFonts w:ascii="Arial" w:hAnsi="Arial" w:cs="Arial"/>
          <w:sz w:val="24"/>
          <w:szCs w:val="24"/>
          <w:lang w:val="en-GB"/>
        </w:rPr>
        <w:t xml:space="preserve">It remains of this court to consider </w:t>
      </w:r>
      <w:r w:rsidR="002034D8" w:rsidRPr="00445A7B">
        <w:rPr>
          <w:rFonts w:ascii="Arial" w:hAnsi="Arial" w:cs="Arial"/>
          <w:sz w:val="24"/>
          <w:szCs w:val="24"/>
          <w:lang w:val="en-GB"/>
        </w:rPr>
        <w:t xml:space="preserve">the </w:t>
      </w:r>
      <w:r w:rsidRPr="00445A7B">
        <w:rPr>
          <w:rFonts w:ascii="Arial" w:hAnsi="Arial" w:cs="Arial"/>
          <w:sz w:val="24"/>
          <w:szCs w:val="24"/>
          <w:lang w:val="en-GB"/>
        </w:rPr>
        <w:t xml:space="preserve">request </w:t>
      </w:r>
      <w:r w:rsidR="002034D8" w:rsidRPr="00445A7B">
        <w:rPr>
          <w:rFonts w:ascii="Arial" w:hAnsi="Arial" w:cs="Arial"/>
          <w:sz w:val="24"/>
          <w:szCs w:val="24"/>
          <w:lang w:val="en-GB"/>
        </w:rPr>
        <w:t xml:space="preserve">contained in the </w:t>
      </w:r>
      <w:r w:rsidRPr="00445A7B">
        <w:rPr>
          <w:rFonts w:ascii="Arial" w:hAnsi="Arial" w:cs="Arial"/>
          <w:sz w:val="24"/>
          <w:szCs w:val="24"/>
          <w:lang w:val="en-GB"/>
        </w:rPr>
        <w:t>first respondent</w:t>
      </w:r>
      <w:r w:rsidR="002034D8" w:rsidRPr="00445A7B">
        <w:rPr>
          <w:rFonts w:ascii="Arial" w:hAnsi="Arial" w:cs="Arial"/>
          <w:sz w:val="24"/>
          <w:szCs w:val="24"/>
          <w:lang w:val="en-GB"/>
        </w:rPr>
        <w:t>’</w:t>
      </w:r>
      <w:r w:rsidRPr="00445A7B">
        <w:rPr>
          <w:rFonts w:ascii="Arial" w:hAnsi="Arial" w:cs="Arial"/>
          <w:sz w:val="24"/>
          <w:szCs w:val="24"/>
          <w:lang w:val="en-GB"/>
        </w:rPr>
        <w:t>s relief</w:t>
      </w:r>
      <w:r w:rsidR="002034D8" w:rsidRPr="00445A7B">
        <w:rPr>
          <w:rFonts w:ascii="Arial" w:hAnsi="Arial" w:cs="Arial"/>
          <w:sz w:val="24"/>
          <w:szCs w:val="24"/>
          <w:lang w:val="en-GB"/>
        </w:rPr>
        <w:t xml:space="preserve"> on appeal</w:t>
      </w:r>
      <w:r w:rsidRPr="00445A7B">
        <w:rPr>
          <w:rFonts w:ascii="Arial" w:hAnsi="Arial" w:cs="Arial"/>
          <w:sz w:val="24"/>
          <w:szCs w:val="24"/>
          <w:lang w:val="en-GB"/>
        </w:rPr>
        <w:t xml:space="preserve">. </w:t>
      </w:r>
      <w:r w:rsidR="00871713" w:rsidRPr="00445A7B">
        <w:rPr>
          <w:rFonts w:ascii="Arial" w:hAnsi="Arial" w:cs="Arial"/>
          <w:sz w:val="24"/>
          <w:szCs w:val="24"/>
          <w:lang w:val="en-GB"/>
        </w:rPr>
        <w:t>An ancillary argument raised by</w:t>
      </w:r>
      <w:r w:rsidR="004526A9" w:rsidRPr="00445A7B">
        <w:rPr>
          <w:rFonts w:ascii="Arial" w:hAnsi="Arial" w:cs="Arial"/>
          <w:sz w:val="24"/>
          <w:szCs w:val="24"/>
          <w:lang w:val="en-GB"/>
        </w:rPr>
        <w:t xml:space="preserve"> counsel </w:t>
      </w:r>
      <w:r w:rsidR="002034D8" w:rsidRPr="00445A7B">
        <w:rPr>
          <w:rFonts w:ascii="Arial" w:hAnsi="Arial" w:cs="Arial"/>
          <w:sz w:val="24"/>
          <w:szCs w:val="24"/>
          <w:lang w:val="en-GB"/>
        </w:rPr>
        <w:t xml:space="preserve">of </w:t>
      </w:r>
      <w:r w:rsidR="00871713" w:rsidRPr="00445A7B">
        <w:rPr>
          <w:rFonts w:ascii="Arial" w:hAnsi="Arial" w:cs="Arial"/>
          <w:sz w:val="24"/>
          <w:szCs w:val="24"/>
          <w:lang w:val="en-GB"/>
        </w:rPr>
        <w:t xml:space="preserve">the first respondent was </w:t>
      </w:r>
      <w:r w:rsidR="004526A9" w:rsidRPr="00445A7B">
        <w:rPr>
          <w:rFonts w:ascii="Arial" w:hAnsi="Arial" w:cs="Arial"/>
          <w:sz w:val="24"/>
          <w:szCs w:val="24"/>
          <w:lang w:val="en-GB"/>
        </w:rPr>
        <w:t xml:space="preserve">that the appellants </w:t>
      </w:r>
      <w:r w:rsidR="002034D8" w:rsidRPr="00445A7B">
        <w:rPr>
          <w:rFonts w:ascii="Arial" w:hAnsi="Arial" w:cs="Arial"/>
          <w:sz w:val="24"/>
          <w:szCs w:val="24"/>
          <w:lang w:val="en-GB"/>
        </w:rPr>
        <w:t xml:space="preserve">were granted an opportunity to amend </w:t>
      </w:r>
      <w:r w:rsidR="004526A9" w:rsidRPr="00445A7B">
        <w:rPr>
          <w:rFonts w:ascii="Arial" w:hAnsi="Arial" w:cs="Arial"/>
          <w:sz w:val="24"/>
          <w:szCs w:val="24"/>
          <w:lang w:val="en-GB"/>
        </w:rPr>
        <w:t>their particulars of claim</w:t>
      </w:r>
      <w:r w:rsidR="002034D8" w:rsidRPr="00445A7B">
        <w:rPr>
          <w:rFonts w:ascii="Arial" w:hAnsi="Arial" w:cs="Arial"/>
          <w:sz w:val="24"/>
          <w:szCs w:val="24"/>
          <w:lang w:val="en-GB"/>
        </w:rPr>
        <w:t xml:space="preserve"> but elected not do </w:t>
      </w:r>
      <w:r w:rsidR="00ED3E9F" w:rsidRPr="00445A7B">
        <w:rPr>
          <w:rFonts w:ascii="Arial" w:hAnsi="Arial" w:cs="Arial"/>
          <w:sz w:val="24"/>
          <w:szCs w:val="24"/>
          <w:lang w:val="en-GB"/>
        </w:rPr>
        <w:t xml:space="preserve">to </w:t>
      </w:r>
      <w:r w:rsidR="002034D8" w:rsidRPr="00445A7B">
        <w:rPr>
          <w:rFonts w:ascii="Arial" w:hAnsi="Arial" w:cs="Arial"/>
          <w:sz w:val="24"/>
          <w:szCs w:val="24"/>
          <w:lang w:val="en-GB"/>
        </w:rPr>
        <w:t xml:space="preserve">so. </w:t>
      </w:r>
      <w:r w:rsidR="00A34401" w:rsidRPr="00445A7B">
        <w:rPr>
          <w:rFonts w:ascii="Arial" w:hAnsi="Arial" w:cs="Arial"/>
          <w:sz w:val="24"/>
          <w:szCs w:val="24"/>
          <w:lang w:val="en-GB"/>
        </w:rPr>
        <w:t>I</w:t>
      </w:r>
      <w:r w:rsidRPr="00445A7B">
        <w:rPr>
          <w:rFonts w:ascii="Arial" w:hAnsi="Arial" w:cs="Arial"/>
          <w:sz w:val="24"/>
          <w:szCs w:val="24"/>
          <w:lang w:val="en-GB"/>
        </w:rPr>
        <w:t xml:space="preserve">n the event that the appeal is declined, </w:t>
      </w:r>
      <w:r w:rsidR="00A34401" w:rsidRPr="00445A7B">
        <w:rPr>
          <w:rFonts w:ascii="Arial" w:hAnsi="Arial" w:cs="Arial"/>
          <w:sz w:val="24"/>
          <w:szCs w:val="24"/>
          <w:lang w:val="en-GB"/>
        </w:rPr>
        <w:t xml:space="preserve">the appellants must not be given a second bite at the cherry. In that instance, </w:t>
      </w:r>
      <w:r w:rsidRPr="00445A7B">
        <w:rPr>
          <w:rFonts w:ascii="Arial" w:hAnsi="Arial" w:cs="Arial"/>
          <w:sz w:val="24"/>
          <w:szCs w:val="24"/>
          <w:lang w:val="en-GB"/>
        </w:rPr>
        <w:t xml:space="preserve">this court </w:t>
      </w:r>
      <w:r w:rsidR="00A34401" w:rsidRPr="00445A7B">
        <w:rPr>
          <w:rFonts w:ascii="Arial" w:hAnsi="Arial" w:cs="Arial"/>
          <w:sz w:val="24"/>
          <w:szCs w:val="24"/>
          <w:lang w:val="en-GB"/>
        </w:rPr>
        <w:t xml:space="preserve">must </w:t>
      </w:r>
      <w:r w:rsidR="009E57E5" w:rsidRPr="00445A7B">
        <w:rPr>
          <w:rFonts w:ascii="Arial" w:hAnsi="Arial" w:cs="Arial"/>
          <w:sz w:val="24"/>
          <w:szCs w:val="24"/>
          <w:lang w:val="en-GB"/>
        </w:rPr>
        <w:t>strike</w:t>
      </w:r>
      <w:r w:rsidRPr="00445A7B">
        <w:rPr>
          <w:rFonts w:ascii="Arial" w:hAnsi="Arial" w:cs="Arial"/>
          <w:sz w:val="24"/>
          <w:szCs w:val="24"/>
          <w:lang w:val="en-GB"/>
        </w:rPr>
        <w:t xml:space="preserve"> the appellant’s particulars of claim and further dismiss the claim or grant an order of absolution from the instance.</w:t>
      </w:r>
      <w:r w:rsidR="00B86210" w:rsidRPr="00445A7B">
        <w:rPr>
          <w:rFonts w:ascii="Arial" w:hAnsi="Arial" w:cs="Arial"/>
          <w:sz w:val="24"/>
          <w:szCs w:val="24"/>
          <w:lang w:val="en-GB"/>
        </w:rPr>
        <w:t xml:space="preserve"> </w:t>
      </w:r>
      <w:r w:rsidR="00ED3E9F" w:rsidRPr="00445A7B">
        <w:rPr>
          <w:rFonts w:ascii="Arial" w:hAnsi="Arial" w:cs="Arial"/>
          <w:sz w:val="24"/>
          <w:szCs w:val="24"/>
          <w:lang w:val="en-GB"/>
        </w:rPr>
        <w:t>As is apparent fr</w:t>
      </w:r>
      <w:r w:rsidR="00043BD4" w:rsidRPr="00445A7B">
        <w:rPr>
          <w:rFonts w:ascii="Arial" w:hAnsi="Arial" w:cs="Arial"/>
          <w:sz w:val="24"/>
          <w:szCs w:val="24"/>
          <w:lang w:val="en-GB"/>
        </w:rPr>
        <w:t>o</w:t>
      </w:r>
      <w:r w:rsidR="00ED3E9F" w:rsidRPr="00445A7B">
        <w:rPr>
          <w:rFonts w:ascii="Arial" w:hAnsi="Arial" w:cs="Arial"/>
          <w:sz w:val="24"/>
          <w:szCs w:val="24"/>
          <w:lang w:val="en-GB"/>
        </w:rPr>
        <w:t>m what has been said so far</w:t>
      </w:r>
      <w:r w:rsidR="00B86210" w:rsidRPr="00445A7B">
        <w:rPr>
          <w:rFonts w:ascii="Arial" w:hAnsi="Arial" w:cs="Arial"/>
          <w:sz w:val="24"/>
          <w:szCs w:val="24"/>
          <w:lang w:val="en-GB"/>
        </w:rPr>
        <w:t>,</w:t>
      </w:r>
      <w:r w:rsidR="00ED3E9F" w:rsidRPr="00445A7B">
        <w:rPr>
          <w:rFonts w:ascii="Arial" w:hAnsi="Arial" w:cs="Arial"/>
          <w:sz w:val="24"/>
          <w:szCs w:val="24"/>
          <w:lang w:val="en-GB"/>
        </w:rPr>
        <w:t xml:space="preserve"> the appeal is </w:t>
      </w:r>
      <w:r w:rsidR="00043BD4" w:rsidRPr="00445A7B">
        <w:rPr>
          <w:rFonts w:ascii="Arial" w:hAnsi="Arial" w:cs="Arial"/>
          <w:sz w:val="24"/>
          <w:szCs w:val="24"/>
          <w:lang w:val="en-GB"/>
        </w:rPr>
        <w:t xml:space="preserve">destined </w:t>
      </w:r>
      <w:r w:rsidR="00ED3E9F" w:rsidRPr="00445A7B">
        <w:rPr>
          <w:rFonts w:ascii="Arial" w:hAnsi="Arial" w:cs="Arial"/>
          <w:sz w:val="24"/>
          <w:szCs w:val="24"/>
          <w:lang w:val="en-GB"/>
        </w:rPr>
        <w:t>to succeed</w:t>
      </w:r>
      <w:r w:rsidR="00B86210" w:rsidRPr="00445A7B">
        <w:rPr>
          <w:rFonts w:ascii="Arial" w:hAnsi="Arial" w:cs="Arial"/>
          <w:sz w:val="24"/>
          <w:szCs w:val="24"/>
          <w:lang w:val="en-GB"/>
        </w:rPr>
        <w:t>.</w:t>
      </w:r>
      <w:r w:rsidR="00ED3E9F" w:rsidRPr="00445A7B">
        <w:rPr>
          <w:rFonts w:ascii="Arial" w:hAnsi="Arial" w:cs="Arial"/>
          <w:sz w:val="24"/>
          <w:szCs w:val="24"/>
          <w:lang w:val="en-GB"/>
        </w:rPr>
        <w:t xml:space="preserve"> </w:t>
      </w:r>
      <w:r w:rsidR="00B86210" w:rsidRPr="00445A7B">
        <w:rPr>
          <w:rFonts w:ascii="Arial" w:hAnsi="Arial" w:cs="Arial"/>
          <w:sz w:val="24"/>
          <w:szCs w:val="24"/>
          <w:lang w:val="en-GB"/>
        </w:rPr>
        <w:t xml:space="preserve">In those circumstances, </w:t>
      </w:r>
      <w:r w:rsidR="001777A2" w:rsidRPr="00445A7B">
        <w:rPr>
          <w:rFonts w:ascii="Arial" w:hAnsi="Arial" w:cs="Arial"/>
          <w:sz w:val="24"/>
          <w:szCs w:val="24"/>
          <w:lang w:val="en-GB"/>
        </w:rPr>
        <w:t xml:space="preserve">it </w:t>
      </w:r>
      <w:r w:rsidR="00ED3E9F" w:rsidRPr="00445A7B">
        <w:rPr>
          <w:rFonts w:ascii="Arial" w:hAnsi="Arial" w:cs="Arial"/>
          <w:sz w:val="24"/>
          <w:szCs w:val="24"/>
          <w:lang w:val="en-GB"/>
        </w:rPr>
        <w:t>becomes academic to decide this issue</w:t>
      </w:r>
      <w:r w:rsidR="001777A2" w:rsidRPr="00445A7B">
        <w:rPr>
          <w:rFonts w:ascii="Arial" w:hAnsi="Arial" w:cs="Arial"/>
          <w:sz w:val="24"/>
          <w:szCs w:val="24"/>
          <w:lang w:val="en-GB"/>
        </w:rPr>
        <w:t>.</w:t>
      </w:r>
      <w:r w:rsidR="00043BD4" w:rsidRPr="00445A7B">
        <w:rPr>
          <w:rFonts w:ascii="Arial" w:hAnsi="Arial" w:cs="Arial"/>
          <w:sz w:val="24"/>
          <w:szCs w:val="24"/>
          <w:lang w:val="en-GB"/>
        </w:rPr>
        <w:t xml:space="preserve"> Nothing more need said on it. It remains to consider the issue of costs.</w:t>
      </w:r>
      <w:r w:rsidR="001777A2" w:rsidRPr="00445A7B">
        <w:rPr>
          <w:rFonts w:ascii="Arial" w:hAnsi="Arial" w:cs="Arial"/>
          <w:sz w:val="24"/>
          <w:szCs w:val="24"/>
          <w:lang w:val="en-GB"/>
        </w:rPr>
        <w:t xml:space="preserve"> </w:t>
      </w:r>
      <w:r w:rsidR="00871713" w:rsidRPr="00445A7B">
        <w:rPr>
          <w:rFonts w:ascii="Arial" w:hAnsi="Arial" w:cs="Arial"/>
          <w:sz w:val="24"/>
          <w:szCs w:val="24"/>
          <w:lang w:val="en-GB"/>
        </w:rPr>
        <w:t xml:space="preserve"> </w:t>
      </w:r>
    </w:p>
    <w:p w:rsidR="00A32AC7" w:rsidRPr="00445A7B" w:rsidRDefault="002E5C36" w:rsidP="00DF6C8B">
      <w:pPr>
        <w:pStyle w:val="ListParagraph"/>
        <w:spacing w:after="0" w:line="480" w:lineRule="auto"/>
        <w:ind w:left="0"/>
        <w:jc w:val="both"/>
        <w:rPr>
          <w:rFonts w:ascii="Arial" w:hAnsi="Arial" w:cs="Arial"/>
          <w:color w:val="000000" w:themeColor="text1"/>
          <w:sz w:val="24"/>
          <w:szCs w:val="24"/>
          <w:u w:val="single"/>
          <w:lang w:val="en-GB"/>
        </w:rPr>
      </w:pPr>
      <w:r w:rsidRPr="00445A7B">
        <w:rPr>
          <w:rFonts w:ascii="Arial" w:hAnsi="Arial" w:cs="Arial"/>
          <w:color w:val="000000" w:themeColor="text1"/>
          <w:sz w:val="24"/>
          <w:szCs w:val="24"/>
          <w:u w:val="single"/>
          <w:lang w:val="en-GB"/>
        </w:rPr>
        <w:lastRenderedPageBreak/>
        <w:t>Costs</w:t>
      </w:r>
    </w:p>
    <w:p w:rsidR="00A32AC7" w:rsidRDefault="00A32AC7" w:rsidP="00DF6C8B">
      <w:pPr>
        <w:pStyle w:val="NormalWeb"/>
        <w:numPr>
          <w:ilvl w:val="0"/>
          <w:numId w:val="6"/>
        </w:numPr>
        <w:spacing w:before="0" w:beforeAutospacing="0" w:after="0" w:afterAutospacing="0" w:line="480" w:lineRule="auto"/>
        <w:ind w:left="0" w:firstLine="0"/>
        <w:jc w:val="both"/>
        <w:rPr>
          <w:rFonts w:ascii="Arial" w:hAnsi="Arial" w:cs="Arial"/>
        </w:rPr>
      </w:pPr>
      <w:bookmarkStart w:id="1" w:name="top"/>
      <w:r>
        <w:rPr>
          <w:rFonts w:ascii="Arial" w:hAnsi="Arial" w:cs="Arial"/>
          <w:lang w:val="en-GB"/>
        </w:rPr>
        <w:t xml:space="preserve">The general rule is that costs of suit </w:t>
      </w:r>
      <w:r w:rsidRPr="00A32AC7">
        <w:rPr>
          <w:rFonts w:ascii="Arial" w:hAnsi="Arial" w:cs="Arial"/>
          <w:color w:val="000000"/>
        </w:rPr>
        <w:t>sha</w:t>
      </w:r>
      <w:r>
        <w:rPr>
          <w:rFonts w:ascii="Arial" w:hAnsi="Arial" w:cs="Arial"/>
          <w:color w:val="000000"/>
        </w:rPr>
        <w:t xml:space="preserve">ll be allowed to the prevailing </w:t>
      </w:r>
      <w:r w:rsidRPr="00A32AC7">
        <w:rPr>
          <w:rFonts w:ascii="Arial" w:hAnsi="Arial" w:cs="Arial"/>
          <w:color w:val="000000"/>
        </w:rPr>
        <w:t>party as a matter of course</w:t>
      </w:r>
      <w:bookmarkEnd w:id="1"/>
      <w:r>
        <w:rPr>
          <w:rFonts w:ascii="Arial" w:hAnsi="Arial" w:cs="Arial"/>
          <w:color w:val="000000"/>
        </w:rPr>
        <w:t>. In the present matter, t</w:t>
      </w:r>
      <w:r w:rsidRPr="00A32AC7">
        <w:rPr>
          <w:rFonts w:ascii="Arial" w:hAnsi="Arial" w:cs="Arial"/>
        </w:rPr>
        <w:t xml:space="preserve">here are no good reasons why the costs should not follow the result. It will accordingly be so ordered. </w:t>
      </w:r>
    </w:p>
    <w:p w:rsidR="00001175" w:rsidRDefault="00001175" w:rsidP="00445A7B">
      <w:pPr>
        <w:pStyle w:val="NormalWeb"/>
        <w:spacing w:before="0" w:beforeAutospacing="0" w:after="0" w:afterAutospacing="0" w:line="480" w:lineRule="auto"/>
        <w:jc w:val="both"/>
        <w:rPr>
          <w:rFonts w:ascii="Arial" w:hAnsi="Arial" w:cs="Arial"/>
          <w:u w:val="single"/>
        </w:rPr>
      </w:pPr>
    </w:p>
    <w:p w:rsidR="00B46045" w:rsidRPr="00B46045" w:rsidRDefault="00B46045" w:rsidP="00DF6C8B">
      <w:pPr>
        <w:pStyle w:val="NormalWeb"/>
        <w:spacing w:before="0" w:beforeAutospacing="0" w:after="0" w:afterAutospacing="0" w:line="480" w:lineRule="auto"/>
        <w:jc w:val="both"/>
        <w:rPr>
          <w:rFonts w:ascii="Arial" w:hAnsi="Arial" w:cs="Arial"/>
          <w:u w:val="single"/>
        </w:rPr>
      </w:pPr>
      <w:r w:rsidRPr="00B46045">
        <w:rPr>
          <w:rFonts w:ascii="Arial" w:hAnsi="Arial" w:cs="Arial"/>
          <w:u w:val="single"/>
        </w:rPr>
        <w:t>Order</w:t>
      </w:r>
    </w:p>
    <w:p w:rsidR="006B1718" w:rsidRPr="00445A7B" w:rsidRDefault="00B46045" w:rsidP="00445A7B">
      <w:pPr>
        <w:pStyle w:val="ListParagraph"/>
        <w:numPr>
          <w:ilvl w:val="0"/>
          <w:numId w:val="6"/>
        </w:numPr>
        <w:spacing w:after="0" w:line="480" w:lineRule="auto"/>
        <w:ind w:left="0" w:firstLine="0"/>
        <w:jc w:val="both"/>
        <w:rPr>
          <w:rFonts w:ascii="Arial" w:hAnsi="Arial" w:cs="Arial"/>
          <w:sz w:val="24"/>
          <w:szCs w:val="24"/>
          <w:lang w:val="en-GB"/>
        </w:rPr>
      </w:pPr>
      <w:r w:rsidRPr="00445A7B">
        <w:rPr>
          <w:rFonts w:ascii="Arial" w:hAnsi="Arial" w:cs="Arial"/>
          <w:sz w:val="24"/>
          <w:szCs w:val="24"/>
          <w:lang w:val="en-GB"/>
        </w:rPr>
        <w:t>The following order is made</w:t>
      </w:r>
      <w:r w:rsidR="00A34401" w:rsidRPr="00445A7B">
        <w:rPr>
          <w:rFonts w:ascii="Arial" w:hAnsi="Arial" w:cs="Arial"/>
          <w:sz w:val="24"/>
          <w:szCs w:val="24"/>
          <w:lang w:val="en-GB"/>
        </w:rPr>
        <w:t>:</w:t>
      </w:r>
    </w:p>
    <w:p w:rsidR="007626EC" w:rsidRPr="00724959" w:rsidRDefault="00A34401" w:rsidP="006E7801">
      <w:pPr>
        <w:spacing w:after="0" w:line="480" w:lineRule="auto"/>
        <w:jc w:val="both"/>
        <w:rPr>
          <w:rFonts w:ascii="Arial" w:eastAsia="Times New Roman" w:hAnsi="Arial" w:cs="Arial"/>
          <w:bCs/>
          <w:spacing w:val="-3"/>
          <w:sz w:val="24"/>
          <w:szCs w:val="24"/>
          <w:lang w:val="en-GB"/>
        </w:rPr>
      </w:pPr>
      <w:r>
        <w:rPr>
          <w:rFonts w:ascii="Arial" w:hAnsi="Arial" w:cs="Arial"/>
          <w:sz w:val="24"/>
          <w:szCs w:val="24"/>
          <w:lang w:val="en-GB"/>
        </w:rPr>
        <w:t xml:space="preserve"> </w:t>
      </w:r>
    </w:p>
    <w:p w:rsidR="007626EC" w:rsidRPr="00724959" w:rsidRDefault="002E5C36" w:rsidP="006E7801">
      <w:pPr>
        <w:widowControl w:val="0"/>
        <w:spacing w:after="0" w:line="360" w:lineRule="auto"/>
        <w:ind w:left="1440" w:hanging="720"/>
        <w:jc w:val="both"/>
        <w:rPr>
          <w:rFonts w:ascii="Arial" w:eastAsia="Times New Roman" w:hAnsi="Arial" w:cs="Arial"/>
          <w:spacing w:val="-3"/>
          <w:sz w:val="24"/>
          <w:szCs w:val="24"/>
          <w:lang w:val="en-GB"/>
        </w:rPr>
      </w:pPr>
      <w:r>
        <w:rPr>
          <w:rFonts w:ascii="Arial" w:eastAsia="Times New Roman" w:hAnsi="Arial" w:cs="Arial"/>
          <w:spacing w:val="-3"/>
          <w:sz w:val="24"/>
          <w:szCs w:val="24"/>
          <w:lang w:val="en-GB"/>
        </w:rPr>
        <w:t>(a)</w:t>
      </w:r>
      <w:r>
        <w:rPr>
          <w:rFonts w:ascii="Arial" w:eastAsia="Times New Roman" w:hAnsi="Arial" w:cs="Arial"/>
          <w:spacing w:val="-3"/>
          <w:sz w:val="24"/>
          <w:szCs w:val="24"/>
          <w:lang w:val="en-GB"/>
        </w:rPr>
        <w:tab/>
        <w:t>The appeal is upheld</w:t>
      </w:r>
      <w:r w:rsidR="007626EC" w:rsidRPr="00724959">
        <w:rPr>
          <w:rFonts w:ascii="Arial" w:eastAsia="Times New Roman" w:hAnsi="Arial" w:cs="Arial"/>
          <w:spacing w:val="-3"/>
          <w:sz w:val="24"/>
          <w:szCs w:val="24"/>
          <w:lang w:val="en-GB"/>
        </w:rPr>
        <w:t xml:space="preserve"> with costs, including the costs of one instructing </w:t>
      </w:r>
      <w:r>
        <w:rPr>
          <w:rFonts w:ascii="Arial" w:eastAsia="Times New Roman" w:hAnsi="Arial" w:cs="Arial"/>
          <w:spacing w:val="-3"/>
          <w:sz w:val="24"/>
          <w:szCs w:val="24"/>
          <w:lang w:val="en-GB"/>
        </w:rPr>
        <w:t xml:space="preserve">legal practitioner </w:t>
      </w:r>
      <w:r w:rsidR="007626EC" w:rsidRPr="00724959">
        <w:rPr>
          <w:rFonts w:ascii="Arial" w:eastAsia="Times New Roman" w:hAnsi="Arial" w:cs="Arial"/>
          <w:spacing w:val="-3"/>
          <w:sz w:val="24"/>
          <w:szCs w:val="24"/>
          <w:lang w:val="en-GB"/>
        </w:rPr>
        <w:t xml:space="preserve">and two </w:t>
      </w:r>
      <w:r>
        <w:rPr>
          <w:rFonts w:ascii="Arial" w:eastAsia="Times New Roman" w:hAnsi="Arial" w:cs="Arial"/>
          <w:spacing w:val="-3"/>
          <w:sz w:val="24"/>
          <w:szCs w:val="24"/>
          <w:lang w:val="en-GB"/>
        </w:rPr>
        <w:t>instructed legal practitioners</w:t>
      </w:r>
      <w:r w:rsidR="007626EC" w:rsidRPr="00724959">
        <w:rPr>
          <w:rFonts w:ascii="Arial" w:eastAsia="Times New Roman" w:hAnsi="Arial" w:cs="Arial"/>
          <w:spacing w:val="-3"/>
          <w:sz w:val="24"/>
          <w:szCs w:val="24"/>
          <w:lang w:val="en-GB"/>
        </w:rPr>
        <w:t xml:space="preserve">.  </w:t>
      </w:r>
    </w:p>
    <w:p w:rsidR="007626EC" w:rsidRPr="00724959" w:rsidRDefault="007626EC" w:rsidP="006E7801">
      <w:pPr>
        <w:widowControl w:val="0"/>
        <w:spacing w:after="0" w:line="360" w:lineRule="auto"/>
        <w:ind w:left="720" w:hanging="720"/>
        <w:jc w:val="both"/>
        <w:rPr>
          <w:rFonts w:ascii="Arial" w:eastAsia="Times New Roman" w:hAnsi="Arial" w:cs="Arial"/>
          <w:spacing w:val="-3"/>
          <w:sz w:val="24"/>
          <w:szCs w:val="24"/>
          <w:lang w:val="en-GB"/>
        </w:rPr>
      </w:pPr>
    </w:p>
    <w:p w:rsidR="002E5C36" w:rsidRDefault="005D38FC" w:rsidP="006E7801">
      <w:pPr>
        <w:widowControl w:val="0"/>
        <w:spacing w:after="0" w:line="360" w:lineRule="auto"/>
        <w:ind w:left="1440" w:hanging="720"/>
        <w:jc w:val="both"/>
        <w:rPr>
          <w:rFonts w:ascii="Arial" w:eastAsia="Times New Roman" w:hAnsi="Arial" w:cs="Arial"/>
          <w:spacing w:val="-3"/>
          <w:sz w:val="24"/>
          <w:szCs w:val="24"/>
          <w:lang w:val="en-GB"/>
        </w:rPr>
      </w:pPr>
      <w:r>
        <w:rPr>
          <w:rFonts w:ascii="Arial" w:eastAsia="Times New Roman" w:hAnsi="Arial" w:cs="Arial"/>
          <w:spacing w:val="-3"/>
          <w:sz w:val="24"/>
          <w:szCs w:val="24"/>
          <w:lang w:val="en-GB"/>
        </w:rPr>
        <w:t>(b)</w:t>
      </w:r>
      <w:r>
        <w:rPr>
          <w:rFonts w:ascii="Arial" w:eastAsia="Times New Roman" w:hAnsi="Arial" w:cs="Arial"/>
          <w:spacing w:val="-3"/>
          <w:sz w:val="24"/>
          <w:szCs w:val="24"/>
          <w:lang w:val="en-GB"/>
        </w:rPr>
        <w:tab/>
        <w:t xml:space="preserve">The </w:t>
      </w:r>
      <w:r w:rsidR="002E5C36">
        <w:rPr>
          <w:rFonts w:ascii="Arial" w:eastAsia="Times New Roman" w:hAnsi="Arial" w:cs="Arial"/>
          <w:spacing w:val="-3"/>
          <w:sz w:val="24"/>
          <w:szCs w:val="24"/>
          <w:lang w:val="en-GB"/>
        </w:rPr>
        <w:t xml:space="preserve">judgment and order of the court </w:t>
      </w:r>
      <w:r w:rsidR="002E5C36" w:rsidRPr="00472885">
        <w:rPr>
          <w:rFonts w:ascii="Arial" w:eastAsia="Times New Roman" w:hAnsi="Arial" w:cs="Arial"/>
          <w:i/>
          <w:spacing w:val="-3"/>
          <w:sz w:val="24"/>
          <w:szCs w:val="24"/>
          <w:lang w:val="en-GB"/>
        </w:rPr>
        <w:t>a quo</w:t>
      </w:r>
      <w:r w:rsidR="002E5C36">
        <w:rPr>
          <w:rFonts w:ascii="Arial" w:eastAsia="Times New Roman" w:hAnsi="Arial" w:cs="Arial"/>
          <w:spacing w:val="-3"/>
          <w:sz w:val="24"/>
          <w:szCs w:val="24"/>
          <w:lang w:val="en-GB"/>
        </w:rPr>
        <w:t xml:space="preserve"> is set aside and substituted </w:t>
      </w:r>
      <w:r w:rsidR="00B46045">
        <w:rPr>
          <w:rFonts w:ascii="Arial" w:eastAsia="Times New Roman" w:hAnsi="Arial" w:cs="Arial"/>
          <w:spacing w:val="-3"/>
          <w:sz w:val="24"/>
          <w:szCs w:val="24"/>
          <w:lang w:val="en-GB"/>
        </w:rPr>
        <w:t xml:space="preserve">for </w:t>
      </w:r>
      <w:r w:rsidR="006B1718">
        <w:rPr>
          <w:rFonts w:ascii="Arial" w:eastAsia="Times New Roman" w:hAnsi="Arial" w:cs="Arial"/>
          <w:spacing w:val="-3"/>
          <w:sz w:val="24"/>
          <w:szCs w:val="24"/>
          <w:lang w:val="en-GB"/>
        </w:rPr>
        <w:t>the following order:</w:t>
      </w:r>
    </w:p>
    <w:p w:rsidR="00B46045" w:rsidRDefault="00B46045" w:rsidP="006E7801">
      <w:pPr>
        <w:widowControl w:val="0"/>
        <w:spacing w:after="0" w:line="360" w:lineRule="auto"/>
        <w:ind w:left="1440"/>
        <w:jc w:val="both"/>
        <w:rPr>
          <w:rFonts w:ascii="Arial" w:eastAsia="Times New Roman" w:hAnsi="Arial" w:cs="Arial"/>
          <w:spacing w:val="-3"/>
          <w:sz w:val="24"/>
          <w:szCs w:val="24"/>
          <w:lang w:val="en-GB"/>
        </w:rPr>
      </w:pPr>
    </w:p>
    <w:p w:rsidR="007626EC" w:rsidRPr="006E7801" w:rsidRDefault="00B46045" w:rsidP="006E7801">
      <w:pPr>
        <w:widowControl w:val="0"/>
        <w:spacing w:after="0" w:line="360" w:lineRule="auto"/>
        <w:ind w:left="1440"/>
        <w:jc w:val="both"/>
        <w:rPr>
          <w:rFonts w:ascii="Arial" w:eastAsia="Times New Roman" w:hAnsi="Arial" w:cs="Arial"/>
          <w:spacing w:val="-3"/>
          <w:lang w:val="en-GB"/>
        </w:rPr>
      </w:pPr>
      <w:r w:rsidRPr="006E7801">
        <w:rPr>
          <w:rFonts w:ascii="Arial" w:eastAsia="Times New Roman" w:hAnsi="Arial" w:cs="Arial"/>
          <w:spacing w:val="-3"/>
          <w:lang w:val="en-GB"/>
        </w:rPr>
        <w:t>‘</w:t>
      </w:r>
      <w:r w:rsidR="002E5C36" w:rsidRPr="006E7801">
        <w:rPr>
          <w:rFonts w:ascii="Arial" w:eastAsia="Times New Roman" w:hAnsi="Arial" w:cs="Arial"/>
          <w:spacing w:val="-3"/>
          <w:lang w:val="en-GB"/>
        </w:rPr>
        <w:t>The exception</w:t>
      </w:r>
      <w:r w:rsidRPr="006E7801">
        <w:rPr>
          <w:rFonts w:ascii="Arial" w:eastAsia="Times New Roman" w:hAnsi="Arial" w:cs="Arial"/>
          <w:spacing w:val="-3"/>
          <w:lang w:val="en-GB"/>
        </w:rPr>
        <w:t>s</w:t>
      </w:r>
      <w:r w:rsidR="002E5C36" w:rsidRPr="006E7801">
        <w:rPr>
          <w:rFonts w:ascii="Arial" w:eastAsia="Times New Roman" w:hAnsi="Arial" w:cs="Arial"/>
          <w:spacing w:val="-3"/>
          <w:lang w:val="en-GB"/>
        </w:rPr>
        <w:t xml:space="preserve"> </w:t>
      </w:r>
      <w:r w:rsidRPr="006E7801">
        <w:rPr>
          <w:rFonts w:ascii="Arial" w:eastAsia="Times New Roman" w:hAnsi="Arial" w:cs="Arial"/>
          <w:spacing w:val="-3"/>
          <w:lang w:val="en-GB"/>
        </w:rPr>
        <w:t xml:space="preserve">are </w:t>
      </w:r>
      <w:r w:rsidR="002E5C36" w:rsidRPr="006E7801">
        <w:rPr>
          <w:rFonts w:ascii="Arial" w:eastAsia="Times New Roman" w:hAnsi="Arial" w:cs="Arial"/>
          <w:spacing w:val="-3"/>
          <w:lang w:val="en-GB"/>
        </w:rPr>
        <w:t xml:space="preserve">dismissed </w:t>
      </w:r>
      <w:r w:rsidRPr="006E7801">
        <w:rPr>
          <w:rFonts w:ascii="Arial" w:eastAsia="Times New Roman" w:hAnsi="Arial" w:cs="Arial"/>
          <w:spacing w:val="-3"/>
          <w:lang w:val="en-GB"/>
        </w:rPr>
        <w:t>with costs, including the costs of one instructing legal practitioner and two instructed legal practitioners</w:t>
      </w:r>
      <w:r w:rsidR="002E5C36" w:rsidRPr="006E7801">
        <w:rPr>
          <w:rFonts w:ascii="Arial" w:eastAsia="Times New Roman" w:hAnsi="Arial" w:cs="Arial"/>
          <w:spacing w:val="-3"/>
          <w:lang w:val="en-GB"/>
        </w:rPr>
        <w:t>.</w:t>
      </w:r>
      <w:r w:rsidRPr="006E7801">
        <w:rPr>
          <w:rFonts w:ascii="Arial" w:eastAsia="Times New Roman" w:hAnsi="Arial" w:cs="Arial"/>
          <w:spacing w:val="-3"/>
          <w:lang w:val="en-GB"/>
        </w:rPr>
        <w:t>’</w:t>
      </w:r>
      <w:r w:rsidR="007626EC" w:rsidRPr="006E7801">
        <w:rPr>
          <w:rFonts w:ascii="Arial" w:eastAsia="Times New Roman" w:hAnsi="Arial" w:cs="Arial"/>
          <w:spacing w:val="-3"/>
          <w:lang w:val="en-GB"/>
        </w:rPr>
        <w:t xml:space="preserve">  </w:t>
      </w:r>
    </w:p>
    <w:p w:rsidR="007626EC" w:rsidRPr="00724959" w:rsidRDefault="002E5C36" w:rsidP="006E7801">
      <w:pPr>
        <w:widowControl w:val="0"/>
        <w:spacing w:after="0" w:line="360" w:lineRule="auto"/>
        <w:ind w:left="720" w:hanging="720"/>
        <w:jc w:val="both"/>
        <w:rPr>
          <w:rFonts w:ascii="Arial" w:eastAsia="Times New Roman" w:hAnsi="Arial" w:cs="Arial"/>
          <w:spacing w:val="-3"/>
          <w:sz w:val="24"/>
          <w:szCs w:val="24"/>
          <w:lang w:val="en-GB"/>
        </w:rPr>
      </w:pPr>
      <w:r>
        <w:rPr>
          <w:rFonts w:ascii="Arial" w:eastAsia="Times New Roman" w:hAnsi="Arial" w:cs="Arial"/>
          <w:spacing w:val="-3"/>
          <w:sz w:val="24"/>
          <w:szCs w:val="24"/>
          <w:lang w:val="en-GB"/>
        </w:rPr>
        <w:t xml:space="preserve"> </w:t>
      </w:r>
    </w:p>
    <w:p w:rsidR="007626EC" w:rsidRPr="00724959" w:rsidRDefault="007626EC" w:rsidP="006E7801">
      <w:pPr>
        <w:widowControl w:val="0"/>
        <w:spacing w:after="0" w:line="360" w:lineRule="auto"/>
        <w:ind w:left="720" w:hanging="11"/>
        <w:jc w:val="both"/>
        <w:rPr>
          <w:rFonts w:ascii="Arial" w:eastAsia="Times New Roman" w:hAnsi="Arial" w:cs="Arial"/>
          <w:spacing w:val="-3"/>
          <w:sz w:val="24"/>
          <w:szCs w:val="24"/>
          <w:lang w:val="en-GB"/>
        </w:rPr>
      </w:pPr>
      <w:r w:rsidRPr="00724959">
        <w:rPr>
          <w:rFonts w:ascii="Arial" w:eastAsia="Times New Roman" w:hAnsi="Arial" w:cs="Arial"/>
          <w:spacing w:val="-3"/>
          <w:sz w:val="24"/>
          <w:szCs w:val="24"/>
          <w:lang w:val="en-GB"/>
        </w:rPr>
        <w:t xml:space="preserve">(c) </w:t>
      </w:r>
      <w:r w:rsidRPr="00724959">
        <w:rPr>
          <w:rFonts w:ascii="Arial" w:eastAsia="Times New Roman" w:hAnsi="Arial" w:cs="Arial"/>
          <w:spacing w:val="-3"/>
          <w:sz w:val="24"/>
          <w:szCs w:val="24"/>
          <w:lang w:val="en-GB"/>
        </w:rPr>
        <w:tab/>
        <w:t>The matter is referred back to the High Court for judicial case management</w:t>
      </w:r>
      <w:r w:rsidR="00B46045">
        <w:rPr>
          <w:rFonts w:ascii="Arial" w:eastAsia="Times New Roman" w:hAnsi="Arial" w:cs="Arial"/>
          <w:spacing w:val="-3"/>
          <w:sz w:val="24"/>
          <w:szCs w:val="24"/>
          <w:lang w:val="en-GB"/>
        </w:rPr>
        <w:t>.</w:t>
      </w:r>
      <w:r w:rsidRPr="00724959">
        <w:rPr>
          <w:rFonts w:ascii="Arial" w:eastAsia="Times New Roman" w:hAnsi="Arial" w:cs="Arial"/>
          <w:spacing w:val="-3"/>
          <w:sz w:val="24"/>
          <w:szCs w:val="24"/>
          <w:lang w:val="en-GB"/>
        </w:rPr>
        <w:t xml:space="preserve"> </w:t>
      </w:r>
    </w:p>
    <w:p w:rsidR="0040530C" w:rsidRDefault="0040530C" w:rsidP="006E7801">
      <w:pPr>
        <w:spacing w:after="0" w:line="240" w:lineRule="auto"/>
        <w:contextualSpacing/>
        <w:jc w:val="both"/>
        <w:rPr>
          <w:rFonts w:ascii="Arial" w:eastAsia="Cambria" w:hAnsi="Arial" w:cs="Arial"/>
          <w:b/>
          <w:sz w:val="24"/>
          <w:szCs w:val="24"/>
          <w:lang w:val="en-GB"/>
        </w:rPr>
      </w:pPr>
    </w:p>
    <w:p w:rsidR="00001175" w:rsidRDefault="00001175" w:rsidP="003E169C">
      <w:pPr>
        <w:spacing w:after="0" w:line="240" w:lineRule="auto"/>
        <w:contextualSpacing/>
        <w:jc w:val="both"/>
        <w:rPr>
          <w:rFonts w:ascii="Arial" w:eastAsia="Cambria" w:hAnsi="Arial" w:cs="Arial"/>
          <w:b/>
          <w:sz w:val="24"/>
          <w:szCs w:val="24"/>
          <w:lang w:val="en-GB"/>
        </w:rPr>
      </w:pPr>
    </w:p>
    <w:p w:rsidR="003E169C" w:rsidRDefault="003E169C" w:rsidP="003E169C">
      <w:pPr>
        <w:spacing w:after="0" w:line="240" w:lineRule="auto"/>
        <w:contextualSpacing/>
        <w:jc w:val="both"/>
        <w:rPr>
          <w:rFonts w:ascii="Arial" w:eastAsia="Cambria" w:hAnsi="Arial" w:cs="Arial"/>
          <w:b/>
          <w:sz w:val="24"/>
          <w:szCs w:val="24"/>
          <w:lang w:val="en-GB"/>
        </w:rPr>
      </w:pPr>
    </w:p>
    <w:p w:rsidR="002A1041" w:rsidRPr="009E57E5" w:rsidRDefault="002A1041" w:rsidP="003E169C">
      <w:pPr>
        <w:spacing w:after="0" w:line="240" w:lineRule="auto"/>
        <w:contextualSpacing/>
        <w:jc w:val="both"/>
        <w:rPr>
          <w:rFonts w:ascii="Arial" w:eastAsia="Cambria" w:hAnsi="Arial" w:cs="Arial"/>
          <w:sz w:val="24"/>
          <w:szCs w:val="24"/>
          <w:lang w:val="en-GB"/>
        </w:rPr>
      </w:pPr>
      <w:r w:rsidRPr="009E57E5">
        <w:rPr>
          <w:rFonts w:ascii="Arial" w:eastAsia="Cambria" w:hAnsi="Arial" w:cs="Arial"/>
          <w:sz w:val="24"/>
          <w:szCs w:val="24"/>
          <w:lang w:val="en-GB"/>
        </w:rPr>
        <w:t>_____________</w:t>
      </w:r>
      <w:r w:rsidR="009E57E5">
        <w:rPr>
          <w:rFonts w:ascii="Arial" w:eastAsia="Cambria" w:hAnsi="Arial" w:cs="Arial"/>
          <w:sz w:val="24"/>
          <w:szCs w:val="24"/>
          <w:lang w:val="en-GB"/>
        </w:rPr>
        <w:t>_________</w:t>
      </w:r>
    </w:p>
    <w:p w:rsidR="006E133E" w:rsidRPr="00724959" w:rsidRDefault="006E133E" w:rsidP="003E169C">
      <w:pPr>
        <w:spacing w:after="0" w:line="240" w:lineRule="auto"/>
        <w:contextualSpacing/>
        <w:jc w:val="both"/>
        <w:rPr>
          <w:rFonts w:ascii="Arial" w:eastAsia="Cambria" w:hAnsi="Arial" w:cs="Arial"/>
          <w:b/>
          <w:sz w:val="24"/>
          <w:szCs w:val="24"/>
          <w:lang w:val="en-GB"/>
        </w:rPr>
      </w:pPr>
      <w:r w:rsidRPr="00724959">
        <w:rPr>
          <w:rFonts w:ascii="Arial" w:eastAsia="Cambria" w:hAnsi="Arial" w:cs="Arial"/>
          <w:b/>
          <w:sz w:val="24"/>
          <w:szCs w:val="24"/>
          <w:lang w:val="en-GB"/>
        </w:rPr>
        <w:t>SHIVUTE CJ</w:t>
      </w:r>
    </w:p>
    <w:p w:rsidR="006E133E" w:rsidRDefault="006E133E" w:rsidP="003E169C">
      <w:pPr>
        <w:spacing w:after="0" w:line="240" w:lineRule="auto"/>
        <w:contextualSpacing/>
        <w:jc w:val="both"/>
        <w:rPr>
          <w:rFonts w:ascii="Arial" w:eastAsia="Cambria" w:hAnsi="Arial" w:cs="Arial"/>
          <w:b/>
          <w:sz w:val="24"/>
          <w:szCs w:val="24"/>
          <w:lang w:val="en-GB"/>
        </w:rPr>
      </w:pPr>
    </w:p>
    <w:p w:rsidR="003E169C" w:rsidRDefault="003E169C" w:rsidP="003E169C">
      <w:pPr>
        <w:spacing w:after="0" w:line="240" w:lineRule="auto"/>
        <w:contextualSpacing/>
        <w:jc w:val="both"/>
        <w:rPr>
          <w:rFonts w:ascii="Arial" w:eastAsia="Cambria" w:hAnsi="Arial" w:cs="Arial"/>
          <w:b/>
          <w:sz w:val="24"/>
          <w:szCs w:val="24"/>
          <w:lang w:val="en-GB"/>
        </w:rPr>
      </w:pPr>
    </w:p>
    <w:p w:rsidR="003E169C" w:rsidRPr="00724959" w:rsidRDefault="003E169C" w:rsidP="003E169C">
      <w:pPr>
        <w:spacing w:after="0" w:line="240" w:lineRule="auto"/>
        <w:contextualSpacing/>
        <w:jc w:val="both"/>
        <w:rPr>
          <w:rFonts w:ascii="Arial" w:eastAsia="Cambria" w:hAnsi="Arial" w:cs="Arial"/>
          <w:b/>
          <w:sz w:val="24"/>
          <w:szCs w:val="24"/>
          <w:lang w:val="en-GB"/>
        </w:rPr>
      </w:pPr>
    </w:p>
    <w:p w:rsidR="006E133E" w:rsidRPr="009E57E5" w:rsidRDefault="006E133E" w:rsidP="003E169C">
      <w:pPr>
        <w:spacing w:after="0" w:line="240" w:lineRule="auto"/>
        <w:contextualSpacing/>
        <w:jc w:val="both"/>
        <w:rPr>
          <w:rFonts w:ascii="Arial" w:eastAsia="Cambria" w:hAnsi="Arial" w:cs="Arial"/>
          <w:sz w:val="24"/>
          <w:szCs w:val="24"/>
          <w:lang w:val="en-GB"/>
        </w:rPr>
      </w:pPr>
      <w:r w:rsidRPr="009E57E5">
        <w:rPr>
          <w:rFonts w:ascii="Arial" w:eastAsia="Cambria" w:hAnsi="Arial" w:cs="Arial"/>
          <w:sz w:val="24"/>
          <w:szCs w:val="24"/>
          <w:lang w:val="en-GB"/>
        </w:rPr>
        <w:t>______________</w:t>
      </w:r>
      <w:r w:rsidR="009E57E5">
        <w:rPr>
          <w:rFonts w:ascii="Arial" w:eastAsia="Cambria" w:hAnsi="Arial" w:cs="Arial"/>
          <w:sz w:val="24"/>
          <w:szCs w:val="24"/>
          <w:lang w:val="en-GB"/>
        </w:rPr>
        <w:t>________</w:t>
      </w:r>
    </w:p>
    <w:p w:rsidR="006E133E" w:rsidRPr="00724959" w:rsidRDefault="006E133E" w:rsidP="003E169C">
      <w:pPr>
        <w:spacing w:after="0" w:line="240" w:lineRule="auto"/>
        <w:contextualSpacing/>
        <w:jc w:val="both"/>
        <w:rPr>
          <w:rFonts w:ascii="Arial" w:eastAsia="Cambria" w:hAnsi="Arial" w:cs="Arial"/>
          <w:b/>
          <w:sz w:val="24"/>
          <w:szCs w:val="24"/>
          <w:lang w:val="en-GB"/>
        </w:rPr>
      </w:pPr>
      <w:r w:rsidRPr="00724959">
        <w:rPr>
          <w:rFonts w:ascii="Arial" w:eastAsia="Cambria" w:hAnsi="Arial" w:cs="Arial"/>
          <w:b/>
          <w:sz w:val="24"/>
          <w:szCs w:val="24"/>
          <w:lang w:val="en-GB"/>
        </w:rPr>
        <w:t xml:space="preserve">DAMASEB DCJ </w:t>
      </w:r>
    </w:p>
    <w:p w:rsidR="006E133E" w:rsidRPr="00724959" w:rsidRDefault="006E133E" w:rsidP="003E169C">
      <w:pPr>
        <w:spacing w:after="0" w:line="240" w:lineRule="auto"/>
        <w:contextualSpacing/>
        <w:jc w:val="both"/>
        <w:rPr>
          <w:rFonts w:ascii="Arial" w:eastAsia="Cambria" w:hAnsi="Arial" w:cs="Arial"/>
          <w:b/>
          <w:sz w:val="24"/>
          <w:szCs w:val="24"/>
          <w:lang w:val="en-GB"/>
        </w:rPr>
      </w:pPr>
    </w:p>
    <w:p w:rsidR="006E133E" w:rsidRDefault="006E133E" w:rsidP="003E169C">
      <w:pPr>
        <w:spacing w:after="0" w:line="240" w:lineRule="auto"/>
        <w:contextualSpacing/>
        <w:jc w:val="both"/>
        <w:rPr>
          <w:rFonts w:ascii="Arial" w:eastAsia="Cambria" w:hAnsi="Arial" w:cs="Arial"/>
          <w:b/>
          <w:sz w:val="24"/>
          <w:szCs w:val="24"/>
          <w:lang w:val="en-GB"/>
        </w:rPr>
      </w:pPr>
    </w:p>
    <w:p w:rsidR="003E169C" w:rsidRPr="00724959" w:rsidRDefault="003E169C" w:rsidP="003E169C">
      <w:pPr>
        <w:spacing w:after="0" w:line="240" w:lineRule="auto"/>
        <w:contextualSpacing/>
        <w:jc w:val="both"/>
        <w:rPr>
          <w:rFonts w:ascii="Arial" w:eastAsia="Cambria" w:hAnsi="Arial" w:cs="Arial"/>
          <w:b/>
          <w:sz w:val="24"/>
          <w:szCs w:val="24"/>
          <w:lang w:val="en-GB"/>
        </w:rPr>
      </w:pPr>
    </w:p>
    <w:p w:rsidR="006E133E" w:rsidRPr="009E57E5" w:rsidRDefault="006E133E" w:rsidP="003E169C">
      <w:pPr>
        <w:spacing w:after="0" w:line="240" w:lineRule="auto"/>
        <w:contextualSpacing/>
        <w:jc w:val="both"/>
        <w:rPr>
          <w:rFonts w:ascii="Arial" w:eastAsia="Cambria" w:hAnsi="Arial" w:cs="Arial"/>
          <w:sz w:val="24"/>
          <w:szCs w:val="24"/>
          <w:lang w:val="en-GB"/>
        </w:rPr>
      </w:pPr>
      <w:r w:rsidRPr="009E57E5">
        <w:rPr>
          <w:rFonts w:ascii="Arial" w:eastAsia="Cambria" w:hAnsi="Arial" w:cs="Arial"/>
          <w:sz w:val="24"/>
          <w:szCs w:val="24"/>
          <w:lang w:val="en-GB"/>
        </w:rPr>
        <w:t>_____________</w:t>
      </w:r>
      <w:r w:rsidR="002A1041" w:rsidRPr="009E57E5">
        <w:rPr>
          <w:rFonts w:ascii="Arial" w:eastAsia="Cambria" w:hAnsi="Arial" w:cs="Arial"/>
          <w:sz w:val="24"/>
          <w:szCs w:val="24"/>
          <w:lang w:val="en-GB"/>
        </w:rPr>
        <w:t>_</w:t>
      </w:r>
      <w:r w:rsidR="009E57E5">
        <w:rPr>
          <w:rFonts w:ascii="Arial" w:eastAsia="Cambria" w:hAnsi="Arial" w:cs="Arial"/>
          <w:sz w:val="24"/>
          <w:szCs w:val="24"/>
          <w:lang w:val="en-GB"/>
        </w:rPr>
        <w:t>________</w:t>
      </w:r>
    </w:p>
    <w:p w:rsidR="006E133E" w:rsidRPr="00724959" w:rsidRDefault="006E133E" w:rsidP="003E169C">
      <w:pPr>
        <w:spacing w:after="0" w:line="240" w:lineRule="auto"/>
        <w:contextualSpacing/>
        <w:jc w:val="both"/>
        <w:rPr>
          <w:rFonts w:ascii="Arial" w:eastAsia="Cambria" w:hAnsi="Arial" w:cs="Arial"/>
          <w:b/>
          <w:sz w:val="24"/>
          <w:szCs w:val="24"/>
          <w:lang w:val="en-GB"/>
        </w:rPr>
      </w:pPr>
      <w:r w:rsidRPr="00724959">
        <w:rPr>
          <w:rFonts w:ascii="Arial" w:eastAsia="Cambria" w:hAnsi="Arial" w:cs="Arial"/>
          <w:b/>
          <w:sz w:val="24"/>
          <w:szCs w:val="24"/>
          <w:lang w:val="en-GB"/>
        </w:rPr>
        <w:t>CHOMBA AJA</w:t>
      </w:r>
    </w:p>
    <w:p w:rsidR="00994D76" w:rsidRDefault="00994D76" w:rsidP="006E7801">
      <w:pPr>
        <w:spacing w:after="0" w:line="259" w:lineRule="auto"/>
        <w:rPr>
          <w:rFonts w:ascii="Arial" w:eastAsia="Cambria" w:hAnsi="Arial" w:cs="Arial"/>
          <w:b/>
          <w:sz w:val="24"/>
          <w:szCs w:val="24"/>
          <w:lang w:val="en-GB"/>
        </w:rPr>
      </w:pPr>
    </w:p>
    <w:p w:rsidR="002E5C36" w:rsidRPr="00724959" w:rsidRDefault="002E5C36" w:rsidP="006E7801">
      <w:pPr>
        <w:spacing w:after="0" w:line="240" w:lineRule="auto"/>
        <w:ind w:left="1276" w:hanging="567"/>
        <w:contextualSpacing/>
        <w:jc w:val="both"/>
        <w:rPr>
          <w:rFonts w:ascii="Arial" w:eastAsia="Cambria" w:hAnsi="Arial" w:cs="Arial"/>
          <w:b/>
          <w:sz w:val="24"/>
          <w:szCs w:val="24"/>
          <w:lang w:val="en-GB"/>
        </w:rPr>
      </w:pPr>
    </w:p>
    <w:p w:rsidR="004F1DC5" w:rsidRPr="00724959" w:rsidRDefault="004F1DC5" w:rsidP="006E7801">
      <w:pPr>
        <w:spacing w:after="0" w:line="480" w:lineRule="auto"/>
        <w:jc w:val="both"/>
        <w:rPr>
          <w:rFonts w:ascii="Arial" w:hAnsi="Arial" w:cs="Arial"/>
          <w:sz w:val="24"/>
          <w:szCs w:val="24"/>
          <w:lang w:val="en-GB"/>
        </w:rPr>
      </w:pPr>
      <w:r w:rsidRPr="00724959">
        <w:rPr>
          <w:rFonts w:ascii="Arial" w:hAnsi="Arial" w:cs="Arial"/>
          <w:sz w:val="24"/>
          <w:szCs w:val="24"/>
          <w:lang w:val="en-GB"/>
        </w:rPr>
        <w:t>APPEARANCES</w:t>
      </w:r>
    </w:p>
    <w:p w:rsidR="004F1DC5" w:rsidRPr="00724959" w:rsidRDefault="004F1DC5" w:rsidP="006E7801">
      <w:pPr>
        <w:spacing w:after="0" w:line="480" w:lineRule="auto"/>
        <w:jc w:val="both"/>
        <w:rPr>
          <w:rFonts w:ascii="Arial" w:hAnsi="Arial" w:cs="Arial"/>
          <w:sz w:val="24"/>
          <w:szCs w:val="24"/>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4"/>
        <w:gridCol w:w="4387"/>
      </w:tblGrid>
      <w:tr w:rsidR="004F1DC5" w:rsidRPr="00724959" w:rsidTr="00DE1120">
        <w:tc>
          <w:tcPr>
            <w:tcW w:w="3784" w:type="dxa"/>
          </w:tcPr>
          <w:p w:rsidR="004F1DC5" w:rsidRPr="00724959" w:rsidRDefault="004F1DC5" w:rsidP="006E7801">
            <w:pPr>
              <w:spacing w:after="0" w:line="480" w:lineRule="auto"/>
              <w:jc w:val="both"/>
              <w:rPr>
                <w:rFonts w:ascii="Arial" w:hAnsi="Arial" w:cs="Arial"/>
                <w:sz w:val="24"/>
                <w:szCs w:val="24"/>
                <w:lang w:val="en-GB"/>
              </w:rPr>
            </w:pPr>
            <w:r w:rsidRPr="00724959">
              <w:rPr>
                <w:rFonts w:ascii="Arial" w:hAnsi="Arial" w:cs="Arial"/>
                <w:sz w:val="24"/>
                <w:szCs w:val="24"/>
                <w:lang w:val="en-GB"/>
              </w:rPr>
              <w:t>APPELLANTS:</w:t>
            </w:r>
          </w:p>
        </w:tc>
        <w:tc>
          <w:tcPr>
            <w:tcW w:w="4387" w:type="dxa"/>
          </w:tcPr>
          <w:p w:rsidR="004F1DC5" w:rsidRPr="00724959" w:rsidRDefault="00994D76" w:rsidP="006E7801">
            <w:pPr>
              <w:spacing w:after="0" w:line="480" w:lineRule="auto"/>
              <w:jc w:val="both"/>
              <w:rPr>
                <w:rFonts w:ascii="Arial" w:hAnsi="Arial" w:cs="Arial"/>
                <w:sz w:val="24"/>
                <w:szCs w:val="24"/>
                <w:lang w:val="en-GB"/>
              </w:rPr>
            </w:pPr>
            <w:r>
              <w:rPr>
                <w:rFonts w:ascii="Arial" w:hAnsi="Arial" w:cs="Arial"/>
                <w:sz w:val="24"/>
                <w:szCs w:val="24"/>
                <w:lang w:val="en-GB"/>
              </w:rPr>
              <w:t>R Heathcote</w:t>
            </w:r>
            <w:r w:rsidR="002A1041">
              <w:rPr>
                <w:rFonts w:ascii="Arial" w:hAnsi="Arial" w:cs="Arial"/>
                <w:sz w:val="24"/>
                <w:szCs w:val="24"/>
                <w:lang w:val="en-GB"/>
              </w:rPr>
              <w:t xml:space="preserve"> (with him </w:t>
            </w:r>
            <w:r w:rsidR="004F1DC5" w:rsidRPr="00724959">
              <w:rPr>
                <w:rFonts w:ascii="Arial" w:hAnsi="Arial" w:cs="Arial"/>
                <w:sz w:val="24"/>
                <w:szCs w:val="24"/>
                <w:lang w:val="en-GB"/>
              </w:rPr>
              <w:t>C J Van Zy</w:t>
            </w:r>
            <w:r w:rsidR="00A91199">
              <w:rPr>
                <w:rFonts w:ascii="Arial" w:hAnsi="Arial" w:cs="Arial"/>
                <w:sz w:val="24"/>
                <w:szCs w:val="24"/>
                <w:lang w:val="en-GB"/>
              </w:rPr>
              <w:t>l</w:t>
            </w:r>
            <w:r w:rsidR="002A1041">
              <w:rPr>
                <w:rFonts w:ascii="Arial" w:hAnsi="Arial" w:cs="Arial"/>
                <w:sz w:val="24"/>
                <w:szCs w:val="24"/>
                <w:lang w:val="en-GB"/>
              </w:rPr>
              <w:t>)</w:t>
            </w:r>
          </w:p>
          <w:p w:rsidR="004F1DC5" w:rsidRPr="00724959" w:rsidRDefault="004F1DC5" w:rsidP="006E7801">
            <w:pPr>
              <w:spacing w:after="0" w:line="480" w:lineRule="auto"/>
              <w:jc w:val="both"/>
              <w:rPr>
                <w:rFonts w:ascii="Arial" w:hAnsi="Arial" w:cs="Arial"/>
                <w:sz w:val="24"/>
                <w:szCs w:val="24"/>
                <w:lang w:val="en-ZW"/>
              </w:rPr>
            </w:pPr>
            <w:r w:rsidRPr="00724959">
              <w:rPr>
                <w:rFonts w:ascii="Arial" w:hAnsi="Arial" w:cs="Arial"/>
                <w:sz w:val="24"/>
                <w:szCs w:val="24"/>
                <w:lang w:val="en-ZW"/>
              </w:rPr>
              <w:t>Instructed by</w:t>
            </w:r>
            <w:r w:rsidR="00A91199">
              <w:rPr>
                <w:rFonts w:ascii="Arial" w:hAnsi="Arial" w:cs="Arial"/>
                <w:sz w:val="24"/>
                <w:szCs w:val="24"/>
                <w:lang w:val="en-ZW"/>
              </w:rPr>
              <w:t xml:space="preserve"> Van Der Merwe-Greeff Andima Inc</w:t>
            </w:r>
            <w:r w:rsidRPr="00724959">
              <w:rPr>
                <w:rFonts w:ascii="Arial" w:hAnsi="Arial" w:cs="Arial"/>
                <w:sz w:val="24"/>
                <w:szCs w:val="24"/>
                <w:lang w:val="en-ZW"/>
              </w:rPr>
              <w:t>, Windhoek.</w:t>
            </w:r>
          </w:p>
          <w:p w:rsidR="004F1DC5" w:rsidRPr="00724959" w:rsidRDefault="004F1DC5" w:rsidP="006E7801">
            <w:pPr>
              <w:spacing w:after="0" w:line="480" w:lineRule="auto"/>
              <w:jc w:val="both"/>
              <w:rPr>
                <w:rFonts w:ascii="Arial" w:hAnsi="Arial" w:cs="Arial"/>
                <w:sz w:val="24"/>
                <w:szCs w:val="24"/>
                <w:lang w:val="en-GB"/>
              </w:rPr>
            </w:pPr>
          </w:p>
        </w:tc>
      </w:tr>
      <w:tr w:rsidR="004F1DC5" w:rsidRPr="00724959" w:rsidTr="00DE1120">
        <w:tc>
          <w:tcPr>
            <w:tcW w:w="3784" w:type="dxa"/>
          </w:tcPr>
          <w:p w:rsidR="004F1DC5" w:rsidRPr="00724959" w:rsidRDefault="004F1DC5" w:rsidP="006E7801">
            <w:pPr>
              <w:spacing w:after="0" w:line="480" w:lineRule="auto"/>
              <w:jc w:val="both"/>
              <w:rPr>
                <w:rFonts w:ascii="Arial" w:hAnsi="Arial" w:cs="Arial"/>
                <w:sz w:val="24"/>
                <w:szCs w:val="24"/>
                <w:lang w:val="en-GB"/>
              </w:rPr>
            </w:pPr>
            <w:r w:rsidRPr="00724959">
              <w:rPr>
                <w:rFonts w:ascii="Arial" w:hAnsi="Arial" w:cs="Arial"/>
                <w:sz w:val="24"/>
                <w:szCs w:val="24"/>
                <w:lang w:val="en-GB"/>
              </w:rPr>
              <w:t>FIRST RESPONDENT:</w:t>
            </w:r>
          </w:p>
        </w:tc>
        <w:tc>
          <w:tcPr>
            <w:tcW w:w="4387" w:type="dxa"/>
          </w:tcPr>
          <w:p w:rsidR="004F1DC5" w:rsidRPr="00724959" w:rsidRDefault="00994D76" w:rsidP="006E7801">
            <w:pPr>
              <w:spacing w:after="0" w:line="480" w:lineRule="auto"/>
              <w:jc w:val="both"/>
              <w:rPr>
                <w:rFonts w:ascii="Arial" w:hAnsi="Arial" w:cs="Arial"/>
                <w:sz w:val="24"/>
                <w:szCs w:val="24"/>
                <w:lang w:val="en-ZW"/>
              </w:rPr>
            </w:pPr>
            <w:r>
              <w:rPr>
                <w:rFonts w:ascii="Arial" w:hAnsi="Arial" w:cs="Arial"/>
                <w:sz w:val="24"/>
                <w:szCs w:val="24"/>
                <w:lang w:val="en-ZW"/>
              </w:rPr>
              <w:t>R Tötemeyer</w:t>
            </w:r>
            <w:r w:rsidR="002A1041">
              <w:rPr>
                <w:rFonts w:ascii="Arial" w:hAnsi="Arial" w:cs="Arial"/>
                <w:sz w:val="24"/>
                <w:szCs w:val="24"/>
                <w:lang w:val="en-ZW"/>
              </w:rPr>
              <w:t xml:space="preserve"> (with him </w:t>
            </w:r>
            <w:r w:rsidR="004F1DC5" w:rsidRPr="00724959">
              <w:rPr>
                <w:rFonts w:ascii="Arial" w:hAnsi="Arial" w:cs="Arial"/>
                <w:sz w:val="24"/>
                <w:szCs w:val="24"/>
                <w:lang w:val="en-ZW"/>
              </w:rPr>
              <w:t>R</w:t>
            </w:r>
            <w:r>
              <w:rPr>
                <w:rFonts w:ascii="Arial" w:hAnsi="Arial" w:cs="Arial"/>
                <w:sz w:val="24"/>
                <w:szCs w:val="24"/>
                <w:lang w:val="en-ZW"/>
              </w:rPr>
              <w:t xml:space="preserve"> L</w:t>
            </w:r>
            <w:r w:rsidR="004F1DC5" w:rsidRPr="00724959">
              <w:rPr>
                <w:rFonts w:ascii="Arial" w:hAnsi="Arial" w:cs="Arial"/>
                <w:sz w:val="24"/>
                <w:szCs w:val="24"/>
                <w:lang w:val="en-ZW"/>
              </w:rPr>
              <w:t xml:space="preserve"> Maasdorp</w:t>
            </w:r>
            <w:r w:rsidR="002A1041">
              <w:rPr>
                <w:rFonts w:ascii="Arial" w:hAnsi="Arial" w:cs="Arial"/>
                <w:sz w:val="24"/>
                <w:szCs w:val="24"/>
                <w:lang w:val="en-ZW"/>
              </w:rPr>
              <w:t>)</w:t>
            </w:r>
          </w:p>
          <w:p w:rsidR="004F1DC5" w:rsidRPr="00724959" w:rsidRDefault="004F1DC5" w:rsidP="00592324">
            <w:pPr>
              <w:spacing w:after="0" w:line="480" w:lineRule="auto"/>
              <w:jc w:val="both"/>
              <w:rPr>
                <w:rFonts w:ascii="Arial" w:hAnsi="Arial" w:cs="Arial"/>
                <w:sz w:val="24"/>
                <w:szCs w:val="24"/>
                <w:lang w:val="en-ZW"/>
              </w:rPr>
            </w:pPr>
            <w:r w:rsidRPr="00724959">
              <w:rPr>
                <w:rFonts w:ascii="Arial" w:hAnsi="Arial" w:cs="Arial"/>
                <w:sz w:val="24"/>
                <w:szCs w:val="24"/>
                <w:lang w:val="en-ZW"/>
              </w:rPr>
              <w:t xml:space="preserve">Instructed by </w:t>
            </w:r>
            <w:r w:rsidR="00592324">
              <w:rPr>
                <w:rFonts w:ascii="Arial" w:hAnsi="Arial" w:cs="Arial"/>
                <w:sz w:val="24"/>
                <w:szCs w:val="24"/>
                <w:lang w:val="en-ZW"/>
              </w:rPr>
              <w:t>Francois Erasmus &amp; P</w:t>
            </w:r>
            <w:bookmarkStart w:id="2" w:name="_GoBack"/>
            <w:bookmarkEnd w:id="2"/>
            <w:r w:rsidR="00592324">
              <w:rPr>
                <w:rFonts w:ascii="Arial" w:hAnsi="Arial" w:cs="Arial"/>
                <w:sz w:val="24"/>
                <w:szCs w:val="24"/>
                <w:lang w:val="en-ZW"/>
              </w:rPr>
              <w:t>artners</w:t>
            </w:r>
            <w:r w:rsidRPr="00724959">
              <w:rPr>
                <w:rFonts w:ascii="Arial" w:hAnsi="Arial" w:cs="Arial"/>
                <w:sz w:val="24"/>
                <w:szCs w:val="24"/>
                <w:lang w:val="en-ZW"/>
              </w:rPr>
              <w:t>, Windhoek</w:t>
            </w:r>
          </w:p>
        </w:tc>
      </w:tr>
    </w:tbl>
    <w:p w:rsidR="004F1DC5" w:rsidRPr="00724959" w:rsidRDefault="004F1DC5" w:rsidP="006E7801">
      <w:pPr>
        <w:spacing w:after="0" w:line="240" w:lineRule="auto"/>
        <w:ind w:left="1276" w:hanging="567"/>
        <w:contextualSpacing/>
        <w:jc w:val="both"/>
        <w:rPr>
          <w:rFonts w:ascii="Arial" w:eastAsia="Cambria" w:hAnsi="Arial" w:cs="Arial"/>
          <w:b/>
          <w:sz w:val="24"/>
          <w:szCs w:val="24"/>
          <w:lang w:val="en-GB"/>
        </w:rPr>
      </w:pPr>
    </w:p>
    <w:p w:rsidR="006E133E" w:rsidRPr="00724959" w:rsidRDefault="006E133E" w:rsidP="006E7801">
      <w:pPr>
        <w:spacing w:after="0" w:line="240" w:lineRule="auto"/>
        <w:ind w:left="1276" w:hanging="567"/>
        <w:contextualSpacing/>
        <w:jc w:val="both"/>
        <w:rPr>
          <w:rFonts w:ascii="Arial" w:eastAsia="Cambria" w:hAnsi="Arial" w:cs="Arial"/>
          <w:b/>
          <w:sz w:val="24"/>
          <w:szCs w:val="24"/>
          <w:lang w:val="en-GB"/>
        </w:rPr>
      </w:pPr>
    </w:p>
    <w:p w:rsidR="006E133E" w:rsidRPr="00724959" w:rsidRDefault="006E133E" w:rsidP="006E7801">
      <w:pPr>
        <w:spacing w:after="0" w:line="240" w:lineRule="auto"/>
        <w:ind w:left="1276" w:hanging="567"/>
        <w:contextualSpacing/>
        <w:jc w:val="both"/>
        <w:rPr>
          <w:rFonts w:ascii="Arial" w:eastAsia="Cambria" w:hAnsi="Arial" w:cs="Arial"/>
          <w:b/>
          <w:sz w:val="24"/>
          <w:szCs w:val="24"/>
          <w:lang w:val="en-GB"/>
        </w:rPr>
      </w:pPr>
    </w:p>
    <w:p w:rsidR="007626EC" w:rsidRPr="00724959" w:rsidRDefault="007626EC" w:rsidP="006E7801">
      <w:pPr>
        <w:spacing w:after="0" w:line="480" w:lineRule="auto"/>
        <w:jc w:val="both"/>
        <w:rPr>
          <w:rFonts w:ascii="Arial" w:hAnsi="Arial" w:cs="Arial"/>
          <w:sz w:val="24"/>
          <w:szCs w:val="24"/>
        </w:rPr>
      </w:pPr>
    </w:p>
    <w:sectPr w:rsidR="007626EC" w:rsidRPr="00724959" w:rsidSect="00A15507">
      <w:headerReference w:type="default" r:id="rId9"/>
      <w:pgSz w:w="12240" w:h="15840"/>
      <w:pgMar w:top="1701" w:right="1418" w:bottom="1418"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0EAB" w:rsidRDefault="00B00EAB" w:rsidP="005E7DAE">
      <w:pPr>
        <w:spacing w:after="0" w:line="240" w:lineRule="auto"/>
      </w:pPr>
      <w:r>
        <w:separator/>
      </w:r>
    </w:p>
  </w:endnote>
  <w:endnote w:type="continuationSeparator" w:id="0">
    <w:p w:rsidR="00B00EAB" w:rsidRDefault="00B00EAB" w:rsidP="005E7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0EAB" w:rsidRDefault="00B00EAB" w:rsidP="005E7DAE">
      <w:pPr>
        <w:spacing w:after="0" w:line="240" w:lineRule="auto"/>
      </w:pPr>
      <w:r>
        <w:separator/>
      </w:r>
    </w:p>
  </w:footnote>
  <w:footnote w:type="continuationSeparator" w:id="0">
    <w:p w:rsidR="00B00EAB" w:rsidRDefault="00B00EAB" w:rsidP="005E7DAE">
      <w:pPr>
        <w:spacing w:after="0" w:line="240" w:lineRule="auto"/>
      </w:pPr>
      <w:r>
        <w:continuationSeparator/>
      </w:r>
    </w:p>
  </w:footnote>
  <w:footnote w:id="1">
    <w:p w:rsidR="006C17B5" w:rsidRPr="00CC41A0" w:rsidRDefault="006C17B5" w:rsidP="00082E2E">
      <w:pPr>
        <w:pStyle w:val="FootnoteText"/>
        <w:rPr>
          <w:rFonts w:ascii="Arial" w:hAnsi="Arial" w:cs="Arial"/>
        </w:rPr>
      </w:pPr>
      <w:r w:rsidRPr="00CC41A0">
        <w:rPr>
          <w:rStyle w:val="FootnoteReference"/>
          <w:rFonts w:ascii="Arial" w:hAnsi="Arial" w:cs="Arial"/>
        </w:rPr>
        <w:footnoteRef/>
      </w:r>
      <w:r w:rsidRPr="00CC41A0">
        <w:rPr>
          <w:rFonts w:ascii="Arial" w:hAnsi="Arial" w:cs="Arial"/>
        </w:rPr>
        <w:t xml:space="preserve"> 2008 (2) NR 587 (HC)</w:t>
      </w:r>
      <w:r w:rsidR="00CC41A0">
        <w:rPr>
          <w:rFonts w:ascii="Arial" w:hAnsi="Arial" w:cs="Arial"/>
        </w:rPr>
        <w:t>.</w:t>
      </w:r>
    </w:p>
  </w:footnote>
  <w:footnote w:id="2">
    <w:p w:rsidR="006C17B5" w:rsidRPr="008B40F6" w:rsidRDefault="006C17B5" w:rsidP="00082E2E">
      <w:pPr>
        <w:pStyle w:val="FootnoteText"/>
        <w:rPr>
          <w:rFonts w:ascii="Arial" w:hAnsi="Arial" w:cs="Arial"/>
        </w:rPr>
      </w:pPr>
      <w:r w:rsidRPr="008B40F6">
        <w:rPr>
          <w:rStyle w:val="FootnoteReference"/>
          <w:rFonts w:ascii="Arial" w:hAnsi="Arial" w:cs="Arial"/>
        </w:rPr>
        <w:footnoteRef/>
      </w:r>
      <w:r w:rsidRPr="008B40F6">
        <w:rPr>
          <w:rFonts w:ascii="Arial" w:hAnsi="Arial" w:cs="Arial"/>
        </w:rPr>
        <w:t xml:space="preserve"> 2012 (2) NR 460 </w:t>
      </w:r>
      <w:r w:rsidR="005C1A26">
        <w:rPr>
          <w:rFonts w:ascii="Arial" w:hAnsi="Arial" w:cs="Arial"/>
        </w:rPr>
        <w:t>(SC)</w:t>
      </w:r>
      <w:r w:rsidRPr="008B40F6">
        <w:rPr>
          <w:rFonts w:ascii="Arial" w:hAnsi="Arial" w:cs="Arial"/>
        </w:rPr>
        <w:t xml:space="preserve"> </w:t>
      </w:r>
      <w:r w:rsidR="000F4ECB">
        <w:rPr>
          <w:rFonts w:ascii="Arial" w:hAnsi="Arial" w:cs="Arial"/>
        </w:rPr>
        <w:t xml:space="preserve">para </w:t>
      </w:r>
      <w:r w:rsidR="005C6C4C">
        <w:rPr>
          <w:rFonts w:ascii="Arial" w:hAnsi="Arial" w:cs="Arial"/>
        </w:rPr>
        <w:t>44</w:t>
      </w:r>
      <w:r w:rsidR="005C1A26">
        <w:rPr>
          <w:rFonts w:ascii="Arial" w:hAnsi="Arial" w:cs="Arial"/>
        </w:rPr>
        <w:t>.</w:t>
      </w:r>
    </w:p>
  </w:footnote>
  <w:footnote w:id="3">
    <w:p w:rsidR="006C17B5" w:rsidRDefault="006C17B5" w:rsidP="00082E2E">
      <w:pPr>
        <w:pStyle w:val="FootnoteText"/>
        <w:jc w:val="both"/>
      </w:pPr>
      <w:r>
        <w:rPr>
          <w:rStyle w:val="FootnoteReference"/>
        </w:rPr>
        <w:footnoteRef/>
      </w:r>
      <w:r>
        <w:t xml:space="preserve"> </w:t>
      </w:r>
      <w:r w:rsidRPr="009B40BC">
        <w:rPr>
          <w:rFonts w:ascii="Arial" w:hAnsi="Arial" w:cs="Arial"/>
        </w:rPr>
        <w:t>2016 (3) NR 747 (SC)</w:t>
      </w:r>
      <w:r w:rsidR="003E169C">
        <w:rPr>
          <w:rFonts w:ascii="Arial" w:hAnsi="Arial" w:cs="Arial"/>
        </w:rPr>
        <w:t>.</w:t>
      </w:r>
    </w:p>
  </w:footnote>
  <w:footnote w:id="4">
    <w:p w:rsidR="006C17B5" w:rsidRPr="00B937DF" w:rsidRDefault="006C17B5">
      <w:pPr>
        <w:pStyle w:val="FootnoteText"/>
        <w:rPr>
          <w:rFonts w:ascii="Arial" w:hAnsi="Arial" w:cs="Arial"/>
        </w:rPr>
      </w:pPr>
      <w:r w:rsidRPr="00B937DF">
        <w:rPr>
          <w:rStyle w:val="FootnoteReference"/>
          <w:rFonts w:ascii="Arial" w:hAnsi="Arial" w:cs="Arial"/>
        </w:rPr>
        <w:footnoteRef/>
      </w:r>
      <w:r w:rsidRPr="00B937DF">
        <w:rPr>
          <w:rFonts w:ascii="Arial" w:hAnsi="Arial" w:cs="Arial"/>
        </w:rPr>
        <w:t xml:space="preserve"> 2008 NR 587 (HC)</w:t>
      </w:r>
    </w:p>
  </w:footnote>
  <w:footnote w:id="5">
    <w:p w:rsidR="006C17B5" w:rsidRPr="00740F2A" w:rsidRDefault="006C17B5" w:rsidP="00553014">
      <w:pPr>
        <w:pStyle w:val="FootnoteText"/>
        <w:rPr>
          <w:rFonts w:ascii="Arial" w:hAnsi="Arial" w:cs="Arial"/>
        </w:rPr>
      </w:pPr>
      <w:r w:rsidRPr="00740F2A">
        <w:rPr>
          <w:rStyle w:val="FootnoteReference"/>
          <w:rFonts w:ascii="Arial" w:hAnsi="Arial" w:cs="Arial"/>
        </w:rPr>
        <w:footnoteRef/>
      </w:r>
      <w:r w:rsidRPr="00740F2A">
        <w:rPr>
          <w:rFonts w:ascii="Arial" w:hAnsi="Arial" w:cs="Arial"/>
        </w:rPr>
        <w:t xml:space="preserve"> Para 13 </w:t>
      </w:r>
    </w:p>
  </w:footnote>
  <w:footnote w:id="6">
    <w:p w:rsidR="006C17B5" w:rsidRPr="00FF610E" w:rsidRDefault="006C17B5" w:rsidP="00FF610E">
      <w:pPr>
        <w:pStyle w:val="FootnoteText"/>
        <w:jc w:val="both"/>
        <w:rPr>
          <w:rFonts w:ascii="Arial" w:hAnsi="Arial" w:cs="Arial"/>
        </w:rPr>
      </w:pPr>
      <w:r w:rsidRPr="00FF610E">
        <w:rPr>
          <w:rStyle w:val="FootnoteReference"/>
          <w:rFonts w:ascii="Arial" w:hAnsi="Arial" w:cs="Arial"/>
        </w:rPr>
        <w:footnoteRef/>
      </w:r>
      <w:r w:rsidRPr="00FF610E">
        <w:rPr>
          <w:rFonts w:ascii="Arial" w:hAnsi="Arial" w:cs="Arial"/>
        </w:rPr>
        <w:t xml:space="preserve"> 1958 (3) SA 41 (SR)</w:t>
      </w:r>
      <w:r w:rsidR="005C1A26">
        <w:rPr>
          <w:rFonts w:ascii="Arial" w:hAnsi="Arial" w:cs="Arial"/>
        </w:rPr>
        <w:t>.</w:t>
      </w:r>
    </w:p>
  </w:footnote>
  <w:footnote w:id="7">
    <w:p w:rsidR="006C17B5" w:rsidRPr="00306F5A" w:rsidRDefault="006C17B5" w:rsidP="00BC298F">
      <w:pPr>
        <w:pStyle w:val="FootnoteText"/>
        <w:jc w:val="both"/>
        <w:rPr>
          <w:rFonts w:ascii="Arial" w:hAnsi="Arial" w:cs="Arial"/>
        </w:rPr>
      </w:pPr>
      <w:r w:rsidRPr="00306F5A">
        <w:rPr>
          <w:rStyle w:val="FootnoteReference"/>
          <w:rFonts w:ascii="Arial" w:hAnsi="Arial" w:cs="Arial"/>
        </w:rPr>
        <w:footnoteRef/>
      </w:r>
      <w:r w:rsidRPr="00306F5A">
        <w:rPr>
          <w:rFonts w:ascii="Arial" w:hAnsi="Arial" w:cs="Arial"/>
        </w:rPr>
        <w:t xml:space="preserve"> 1998 NR 115 (HC)</w:t>
      </w:r>
      <w:r w:rsidR="005C1A26">
        <w:rPr>
          <w:rFonts w:ascii="Arial" w:hAnsi="Arial" w:cs="Arial"/>
        </w:rPr>
        <w:t>.</w:t>
      </w:r>
    </w:p>
  </w:footnote>
  <w:footnote w:id="8">
    <w:p w:rsidR="006978FB" w:rsidRPr="006978FB" w:rsidRDefault="006978FB">
      <w:pPr>
        <w:pStyle w:val="FootnoteText"/>
        <w:rPr>
          <w:lang w:val="en-GB"/>
        </w:rPr>
      </w:pPr>
      <w:r w:rsidRPr="00306F5A">
        <w:rPr>
          <w:rStyle w:val="FootnoteReference"/>
          <w:rFonts w:ascii="Arial" w:hAnsi="Arial" w:cs="Arial"/>
        </w:rPr>
        <w:footnoteRef/>
      </w:r>
      <w:r w:rsidRPr="00306F5A">
        <w:rPr>
          <w:rFonts w:ascii="Arial" w:hAnsi="Arial" w:cs="Arial"/>
        </w:rPr>
        <w:t xml:space="preserve"> </w:t>
      </w:r>
      <w:r w:rsidRPr="00306F5A">
        <w:rPr>
          <w:rFonts w:ascii="Arial" w:hAnsi="Arial" w:cs="Arial"/>
          <w:lang w:val="en-GB"/>
        </w:rPr>
        <w:t>1950 (2) SA 848 (A)</w:t>
      </w:r>
      <w:r w:rsidR="005C1A26">
        <w:rPr>
          <w:rFonts w:ascii="Arial" w:hAnsi="Arial" w:cs="Arial"/>
          <w:lang w:val="en-GB"/>
        </w:rPr>
        <w:t>.</w:t>
      </w:r>
    </w:p>
  </w:footnote>
  <w:footnote w:id="9">
    <w:p w:rsidR="006C17B5" w:rsidRPr="00232EE5" w:rsidRDefault="006C17B5">
      <w:pPr>
        <w:pStyle w:val="FootnoteText"/>
        <w:rPr>
          <w:rFonts w:ascii="Arial" w:hAnsi="Arial" w:cs="Arial"/>
        </w:rPr>
      </w:pPr>
      <w:r w:rsidRPr="00232EE5">
        <w:rPr>
          <w:rStyle w:val="FootnoteReference"/>
          <w:rFonts w:ascii="Arial" w:hAnsi="Arial" w:cs="Arial"/>
        </w:rPr>
        <w:footnoteRef/>
      </w:r>
      <w:r w:rsidRPr="00232EE5">
        <w:rPr>
          <w:rFonts w:ascii="Arial" w:hAnsi="Arial" w:cs="Arial"/>
        </w:rPr>
        <w:t xml:space="preserve"> (I 1673/2012) [2013] NAHCMD 356 (26 November 2013)</w:t>
      </w:r>
      <w:r w:rsidR="009E57E5">
        <w:rPr>
          <w:rFonts w:ascii="Arial" w:hAnsi="Arial" w:cs="Arial"/>
        </w:rPr>
        <w:t>.</w:t>
      </w:r>
    </w:p>
  </w:footnote>
  <w:footnote w:id="10">
    <w:p w:rsidR="006C17B5" w:rsidRPr="00E8524D" w:rsidRDefault="006C17B5" w:rsidP="00E8524D">
      <w:pPr>
        <w:pStyle w:val="FootnoteText"/>
        <w:jc w:val="both"/>
        <w:rPr>
          <w:rFonts w:ascii="Arial" w:hAnsi="Arial" w:cs="Arial"/>
          <w:lang w:val="en-GB"/>
        </w:rPr>
      </w:pPr>
      <w:r w:rsidRPr="00E8524D">
        <w:rPr>
          <w:rStyle w:val="FootnoteReference"/>
          <w:rFonts w:ascii="Arial" w:hAnsi="Arial" w:cs="Arial"/>
        </w:rPr>
        <w:footnoteRef/>
      </w:r>
      <w:r w:rsidRPr="00E8524D">
        <w:rPr>
          <w:rFonts w:ascii="Arial" w:hAnsi="Arial" w:cs="Arial"/>
        </w:rPr>
        <w:t xml:space="preserve"> </w:t>
      </w:r>
      <w:r w:rsidRPr="00E8524D">
        <w:rPr>
          <w:rFonts w:ascii="Arial" w:hAnsi="Arial" w:cs="Arial"/>
          <w:i/>
        </w:rPr>
        <w:t xml:space="preserve">Makgae v Sentraboer (Koöperatief) Bpk </w:t>
      </w:r>
      <w:r w:rsidRPr="00E8524D">
        <w:rPr>
          <w:rFonts w:ascii="Arial" w:hAnsi="Arial" w:cs="Arial"/>
        </w:rPr>
        <w:t>1981 (4) SA 239 (T)</w:t>
      </w:r>
      <w:r w:rsidRPr="00E8524D">
        <w:rPr>
          <w:rFonts w:ascii="Arial" w:hAnsi="Arial" w:cs="Arial"/>
          <w:lang w:val="en-GB"/>
        </w:rPr>
        <w:t xml:space="preserve"> at 244C</w:t>
      </w:r>
      <w:r w:rsidR="009E57E5">
        <w:rPr>
          <w:rFonts w:ascii="Arial" w:hAnsi="Arial" w:cs="Arial"/>
          <w:lang w:val="en-GB"/>
        </w:rPr>
        <w:t>.</w:t>
      </w:r>
    </w:p>
  </w:footnote>
  <w:footnote w:id="11">
    <w:p w:rsidR="006C17B5" w:rsidRPr="00E8524D" w:rsidRDefault="006C17B5" w:rsidP="00E8524D">
      <w:pPr>
        <w:pStyle w:val="FootnoteText"/>
        <w:jc w:val="both"/>
        <w:rPr>
          <w:rFonts w:ascii="Arial" w:hAnsi="Arial" w:cs="Arial"/>
        </w:rPr>
      </w:pPr>
      <w:r w:rsidRPr="00E8524D">
        <w:rPr>
          <w:rStyle w:val="FootnoteReference"/>
          <w:rFonts w:ascii="Arial" w:hAnsi="Arial" w:cs="Arial"/>
        </w:rPr>
        <w:footnoteRef/>
      </w:r>
      <w:r w:rsidRPr="00E8524D">
        <w:rPr>
          <w:rFonts w:ascii="Arial" w:hAnsi="Arial" w:cs="Arial"/>
        </w:rPr>
        <w:t xml:space="preserve"> 1922 AD 16 at 23</w:t>
      </w:r>
      <w:r w:rsidR="009E57E5">
        <w:rPr>
          <w:rFonts w:ascii="Arial" w:hAnsi="Arial" w:cs="Arial"/>
        </w:rPr>
        <w:t>.</w:t>
      </w:r>
    </w:p>
  </w:footnote>
  <w:footnote w:id="12">
    <w:p w:rsidR="006C17B5" w:rsidRPr="00A94B65" w:rsidRDefault="006C17B5">
      <w:pPr>
        <w:pStyle w:val="FootnoteText"/>
        <w:rPr>
          <w:rFonts w:ascii="Arial" w:hAnsi="Arial" w:cs="Arial"/>
        </w:rPr>
      </w:pPr>
      <w:r w:rsidRPr="00A94B65">
        <w:rPr>
          <w:rStyle w:val="FootnoteReference"/>
          <w:rFonts w:ascii="Arial" w:hAnsi="Arial" w:cs="Arial"/>
        </w:rPr>
        <w:footnoteRef/>
      </w:r>
      <w:r w:rsidRPr="00A94B65">
        <w:rPr>
          <w:rFonts w:ascii="Arial" w:hAnsi="Arial" w:cs="Arial"/>
        </w:rPr>
        <w:t xml:space="preserve"> </w:t>
      </w:r>
      <w:r w:rsidRPr="00FD7E4D">
        <w:rPr>
          <w:rFonts w:ascii="Arial" w:hAnsi="Arial" w:cs="Arial"/>
          <w:i/>
        </w:rPr>
        <w:t>Amler</w:t>
      </w:r>
      <w:r w:rsidR="00B551BA" w:rsidRPr="00FD7E4D">
        <w:rPr>
          <w:rFonts w:ascii="Arial" w:hAnsi="Arial" w:cs="Arial"/>
          <w:i/>
        </w:rPr>
        <w:t>’</w:t>
      </w:r>
      <w:r w:rsidRPr="00FD7E4D">
        <w:rPr>
          <w:rFonts w:ascii="Arial" w:hAnsi="Arial" w:cs="Arial"/>
          <w:i/>
        </w:rPr>
        <w:t>s Precedents of Pleadings</w:t>
      </w:r>
      <w:r w:rsidRPr="00A800E4">
        <w:rPr>
          <w:rFonts w:ascii="Arial" w:hAnsi="Arial" w:cs="Arial"/>
        </w:rPr>
        <w:t xml:space="preserve"> 8 ed at 345</w:t>
      </w:r>
      <w:r w:rsidR="00C52E71">
        <w:rPr>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0387008"/>
      <w:docPartObj>
        <w:docPartGallery w:val="Page Numbers (Top of Page)"/>
        <w:docPartUnique/>
      </w:docPartObj>
    </w:sdtPr>
    <w:sdtEndPr>
      <w:rPr>
        <w:rFonts w:ascii="Arial" w:hAnsi="Arial" w:cs="Arial"/>
        <w:noProof/>
        <w:sz w:val="24"/>
        <w:szCs w:val="24"/>
      </w:rPr>
    </w:sdtEndPr>
    <w:sdtContent>
      <w:p w:rsidR="003C449C" w:rsidRPr="00815A90" w:rsidRDefault="003C449C">
        <w:pPr>
          <w:pStyle w:val="Header"/>
          <w:jc w:val="right"/>
          <w:rPr>
            <w:rFonts w:ascii="Arial" w:hAnsi="Arial" w:cs="Arial"/>
            <w:sz w:val="24"/>
            <w:szCs w:val="24"/>
          </w:rPr>
        </w:pPr>
        <w:r w:rsidRPr="00815A90">
          <w:rPr>
            <w:rFonts w:ascii="Arial" w:hAnsi="Arial" w:cs="Arial"/>
            <w:sz w:val="24"/>
            <w:szCs w:val="24"/>
          </w:rPr>
          <w:fldChar w:fldCharType="begin"/>
        </w:r>
        <w:r w:rsidRPr="00815A90">
          <w:rPr>
            <w:rFonts w:ascii="Arial" w:hAnsi="Arial" w:cs="Arial"/>
            <w:sz w:val="24"/>
            <w:szCs w:val="24"/>
          </w:rPr>
          <w:instrText xml:space="preserve"> PAGE   \* MERGEFORMAT </w:instrText>
        </w:r>
        <w:r w:rsidRPr="00815A90">
          <w:rPr>
            <w:rFonts w:ascii="Arial" w:hAnsi="Arial" w:cs="Arial"/>
            <w:sz w:val="24"/>
            <w:szCs w:val="24"/>
          </w:rPr>
          <w:fldChar w:fldCharType="separate"/>
        </w:r>
        <w:r w:rsidR="00592324">
          <w:rPr>
            <w:rFonts w:ascii="Arial" w:hAnsi="Arial" w:cs="Arial"/>
            <w:noProof/>
            <w:sz w:val="24"/>
            <w:szCs w:val="24"/>
          </w:rPr>
          <w:t>27</w:t>
        </w:r>
        <w:r w:rsidRPr="00815A90">
          <w:rPr>
            <w:rFonts w:ascii="Arial" w:hAnsi="Arial" w:cs="Arial"/>
            <w:noProof/>
            <w:sz w:val="24"/>
            <w:szCs w:val="24"/>
          </w:rPr>
          <w:fldChar w:fldCharType="end"/>
        </w:r>
      </w:p>
    </w:sdtContent>
  </w:sdt>
  <w:p w:rsidR="00FD7E4D" w:rsidRDefault="00FD7E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31864"/>
    <w:multiLevelType w:val="hybridMultilevel"/>
    <w:tmpl w:val="432EB76A"/>
    <w:lvl w:ilvl="0" w:tplc="017438E6">
      <w:start w:val="1"/>
      <w:numFmt w:val="decimal"/>
      <w:lvlText w:val="[%1]"/>
      <w:lvlJc w:val="left"/>
      <w:pPr>
        <w:ind w:left="5760" w:hanging="360"/>
      </w:pPr>
      <w:rPr>
        <w:rFonts w:hint="default"/>
        <w:i w:val="0"/>
      </w:rPr>
    </w:lvl>
    <w:lvl w:ilvl="1" w:tplc="1C090019" w:tentative="1">
      <w:start w:val="1"/>
      <w:numFmt w:val="lowerLetter"/>
      <w:lvlText w:val="%2."/>
      <w:lvlJc w:val="left"/>
      <w:pPr>
        <w:ind w:left="6480" w:hanging="360"/>
      </w:pPr>
    </w:lvl>
    <w:lvl w:ilvl="2" w:tplc="1C09001B" w:tentative="1">
      <w:start w:val="1"/>
      <w:numFmt w:val="lowerRoman"/>
      <w:lvlText w:val="%3."/>
      <w:lvlJc w:val="right"/>
      <w:pPr>
        <w:ind w:left="7200" w:hanging="180"/>
      </w:pPr>
    </w:lvl>
    <w:lvl w:ilvl="3" w:tplc="1C09000F" w:tentative="1">
      <w:start w:val="1"/>
      <w:numFmt w:val="decimal"/>
      <w:lvlText w:val="%4."/>
      <w:lvlJc w:val="left"/>
      <w:pPr>
        <w:ind w:left="7920" w:hanging="360"/>
      </w:pPr>
    </w:lvl>
    <w:lvl w:ilvl="4" w:tplc="1C090019" w:tentative="1">
      <w:start w:val="1"/>
      <w:numFmt w:val="lowerLetter"/>
      <w:lvlText w:val="%5."/>
      <w:lvlJc w:val="left"/>
      <w:pPr>
        <w:ind w:left="8640" w:hanging="360"/>
      </w:pPr>
    </w:lvl>
    <w:lvl w:ilvl="5" w:tplc="1C09001B" w:tentative="1">
      <w:start w:val="1"/>
      <w:numFmt w:val="lowerRoman"/>
      <w:lvlText w:val="%6."/>
      <w:lvlJc w:val="right"/>
      <w:pPr>
        <w:ind w:left="9360" w:hanging="180"/>
      </w:pPr>
    </w:lvl>
    <w:lvl w:ilvl="6" w:tplc="1C09000F" w:tentative="1">
      <w:start w:val="1"/>
      <w:numFmt w:val="decimal"/>
      <w:lvlText w:val="%7."/>
      <w:lvlJc w:val="left"/>
      <w:pPr>
        <w:ind w:left="10080" w:hanging="360"/>
      </w:pPr>
    </w:lvl>
    <w:lvl w:ilvl="7" w:tplc="1C090019" w:tentative="1">
      <w:start w:val="1"/>
      <w:numFmt w:val="lowerLetter"/>
      <w:lvlText w:val="%8."/>
      <w:lvlJc w:val="left"/>
      <w:pPr>
        <w:ind w:left="10800" w:hanging="360"/>
      </w:pPr>
    </w:lvl>
    <w:lvl w:ilvl="8" w:tplc="1C09001B" w:tentative="1">
      <w:start w:val="1"/>
      <w:numFmt w:val="lowerRoman"/>
      <w:lvlText w:val="%9."/>
      <w:lvlJc w:val="right"/>
      <w:pPr>
        <w:ind w:left="11520" w:hanging="180"/>
      </w:pPr>
    </w:lvl>
  </w:abstractNum>
  <w:abstractNum w:abstractNumId="1" w15:restartNumberingAfterBreak="0">
    <w:nsid w:val="010F3DCD"/>
    <w:multiLevelType w:val="hybridMultilevel"/>
    <w:tmpl w:val="CF74101C"/>
    <w:lvl w:ilvl="0" w:tplc="5836A546">
      <w:start w:val="1"/>
      <w:numFmt w:val="decimal"/>
      <w:lvlText w:val="[%1]"/>
      <w:lvlJc w:val="left"/>
      <w:pPr>
        <w:ind w:left="720" w:hanging="360"/>
      </w:pPr>
      <w:rPr>
        <w:rFonts w:hint="default"/>
        <w:i w:val="0"/>
        <w:color w:val="000000" w:themeColor="text1"/>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5DF71E1"/>
    <w:multiLevelType w:val="hybridMultilevel"/>
    <w:tmpl w:val="EC4A5330"/>
    <w:lvl w:ilvl="0" w:tplc="51DAA80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419C2DCD"/>
    <w:multiLevelType w:val="hybridMultilevel"/>
    <w:tmpl w:val="58368B20"/>
    <w:lvl w:ilvl="0" w:tplc="54080F4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62A47C81"/>
    <w:multiLevelType w:val="multilevel"/>
    <w:tmpl w:val="551C8662"/>
    <w:lvl w:ilvl="0">
      <w:start w:val="9"/>
      <w:numFmt w:val="decimal"/>
      <w:lvlText w:val="%1"/>
      <w:lvlJc w:val="left"/>
      <w:pPr>
        <w:ind w:left="360" w:hanging="360"/>
      </w:pPr>
      <w:rPr>
        <w:rFonts w:hint="default"/>
      </w:rPr>
    </w:lvl>
    <w:lvl w:ilvl="1">
      <w:start w:val="3"/>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5" w15:restartNumberingAfterBreak="0">
    <w:nsid w:val="6B224E3A"/>
    <w:multiLevelType w:val="hybridMultilevel"/>
    <w:tmpl w:val="16284BF8"/>
    <w:lvl w:ilvl="0" w:tplc="2B40852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708611FB"/>
    <w:multiLevelType w:val="multilevel"/>
    <w:tmpl w:val="03F4E6A8"/>
    <w:lvl w:ilvl="0">
      <w:start w:val="11"/>
      <w:numFmt w:val="decimal"/>
      <w:lvlText w:val="%1"/>
      <w:lvlJc w:val="left"/>
      <w:pPr>
        <w:ind w:left="420" w:hanging="420"/>
      </w:pPr>
      <w:rPr>
        <w:rFonts w:hint="default"/>
      </w:rPr>
    </w:lvl>
    <w:lvl w:ilvl="1">
      <w:start w:val="1"/>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7" w15:restartNumberingAfterBreak="0">
    <w:nsid w:val="7A265CC4"/>
    <w:multiLevelType w:val="hybridMultilevel"/>
    <w:tmpl w:val="B49EAB14"/>
    <w:lvl w:ilvl="0" w:tplc="314EFB78">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num w:numId="1">
    <w:abstractNumId w:val="0"/>
  </w:num>
  <w:num w:numId="2">
    <w:abstractNumId w:val="3"/>
  </w:num>
  <w:num w:numId="3">
    <w:abstractNumId w:val="7"/>
  </w:num>
  <w:num w:numId="4">
    <w:abstractNumId w:val="5"/>
  </w:num>
  <w:num w:numId="5">
    <w:abstractNumId w:val="2"/>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476"/>
    <w:rsid w:val="0000044B"/>
    <w:rsid w:val="00001175"/>
    <w:rsid w:val="000071ED"/>
    <w:rsid w:val="000108B0"/>
    <w:rsid w:val="00015DBA"/>
    <w:rsid w:val="000207EA"/>
    <w:rsid w:val="000208D3"/>
    <w:rsid w:val="00032988"/>
    <w:rsid w:val="00043BD4"/>
    <w:rsid w:val="00045945"/>
    <w:rsid w:val="00046102"/>
    <w:rsid w:val="0004794E"/>
    <w:rsid w:val="000535AC"/>
    <w:rsid w:val="000559D4"/>
    <w:rsid w:val="00056950"/>
    <w:rsid w:val="00063452"/>
    <w:rsid w:val="000679B1"/>
    <w:rsid w:val="00067D14"/>
    <w:rsid w:val="00070D11"/>
    <w:rsid w:val="000720F4"/>
    <w:rsid w:val="00074120"/>
    <w:rsid w:val="00076162"/>
    <w:rsid w:val="000778A1"/>
    <w:rsid w:val="00080A48"/>
    <w:rsid w:val="00082E2E"/>
    <w:rsid w:val="00084623"/>
    <w:rsid w:val="00093968"/>
    <w:rsid w:val="00097C55"/>
    <w:rsid w:val="000A4096"/>
    <w:rsid w:val="000B0426"/>
    <w:rsid w:val="000B0632"/>
    <w:rsid w:val="000B5240"/>
    <w:rsid w:val="000B6FE4"/>
    <w:rsid w:val="000C05B3"/>
    <w:rsid w:val="000C0849"/>
    <w:rsid w:val="000D3CBE"/>
    <w:rsid w:val="000D68D2"/>
    <w:rsid w:val="000E14DF"/>
    <w:rsid w:val="000E1762"/>
    <w:rsid w:val="000E5BF2"/>
    <w:rsid w:val="000E5F7F"/>
    <w:rsid w:val="000F4ECB"/>
    <w:rsid w:val="001026F1"/>
    <w:rsid w:val="00105FCE"/>
    <w:rsid w:val="001117A8"/>
    <w:rsid w:val="001139E7"/>
    <w:rsid w:val="00113F19"/>
    <w:rsid w:val="0012672F"/>
    <w:rsid w:val="00132A5B"/>
    <w:rsid w:val="00134078"/>
    <w:rsid w:val="001354A4"/>
    <w:rsid w:val="00135B93"/>
    <w:rsid w:val="001419E4"/>
    <w:rsid w:val="00141DE7"/>
    <w:rsid w:val="001441A6"/>
    <w:rsid w:val="00144B15"/>
    <w:rsid w:val="00145C0F"/>
    <w:rsid w:val="00163A91"/>
    <w:rsid w:val="00163E41"/>
    <w:rsid w:val="0016682F"/>
    <w:rsid w:val="001712E9"/>
    <w:rsid w:val="001777A2"/>
    <w:rsid w:val="001978D6"/>
    <w:rsid w:val="001A02C4"/>
    <w:rsid w:val="001A1DC4"/>
    <w:rsid w:val="001A6E88"/>
    <w:rsid w:val="001A7B68"/>
    <w:rsid w:val="001B5A9E"/>
    <w:rsid w:val="001C09B4"/>
    <w:rsid w:val="001D24D6"/>
    <w:rsid w:val="001D6D46"/>
    <w:rsid w:val="001E0A0F"/>
    <w:rsid w:val="001E13A9"/>
    <w:rsid w:val="001E68B3"/>
    <w:rsid w:val="001E7706"/>
    <w:rsid w:val="001F172B"/>
    <w:rsid w:val="001F1A91"/>
    <w:rsid w:val="001F4C18"/>
    <w:rsid w:val="002034D8"/>
    <w:rsid w:val="00204AF3"/>
    <w:rsid w:val="00206EA7"/>
    <w:rsid w:val="00211519"/>
    <w:rsid w:val="002137AC"/>
    <w:rsid w:val="00221C27"/>
    <w:rsid w:val="00222EBD"/>
    <w:rsid w:val="002326A4"/>
    <w:rsid w:val="00232EE5"/>
    <w:rsid w:val="0024230F"/>
    <w:rsid w:val="00243607"/>
    <w:rsid w:val="002436DA"/>
    <w:rsid w:val="002533DE"/>
    <w:rsid w:val="00253DA1"/>
    <w:rsid w:val="00254BE1"/>
    <w:rsid w:val="00255B22"/>
    <w:rsid w:val="00256600"/>
    <w:rsid w:val="00260F7E"/>
    <w:rsid w:val="00266955"/>
    <w:rsid w:val="00273306"/>
    <w:rsid w:val="00273AD9"/>
    <w:rsid w:val="00274DC2"/>
    <w:rsid w:val="00276B28"/>
    <w:rsid w:val="00282946"/>
    <w:rsid w:val="00283EF6"/>
    <w:rsid w:val="00285544"/>
    <w:rsid w:val="00286ACF"/>
    <w:rsid w:val="00290A7A"/>
    <w:rsid w:val="002915BE"/>
    <w:rsid w:val="00291E1B"/>
    <w:rsid w:val="002A1041"/>
    <w:rsid w:val="002A7E30"/>
    <w:rsid w:val="002B377F"/>
    <w:rsid w:val="002B4A81"/>
    <w:rsid w:val="002B5850"/>
    <w:rsid w:val="002B732B"/>
    <w:rsid w:val="002C1AC2"/>
    <w:rsid w:val="002C795D"/>
    <w:rsid w:val="002C7D3C"/>
    <w:rsid w:val="002D1B1A"/>
    <w:rsid w:val="002D459F"/>
    <w:rsid w:val="002D52DE"/>
    <w:rsid w:val="002E13B1"/>
    <w:rsid w:val="002E3931"/>
    <w:rsid w:val="002E5252"/>
    <w:rsid w:val="002E5635"/>
    <w:rsid w:val="002E5C36"/>
    <w:rsid w:val="002E6CBC"/>
    <w:rsid w:val="002E73AE"/>
    <w:rsid w:val="002E7D26"/>
    <w:rsid w:val="002F43DC"/>
    <w:rsid w:val="002F66AE"/>
    <w:rsid w:val="00304CEE"/>
    <w:rsid w:val="00306C42"/>
    <w:rsid w:val="00306F5A"/>
    <w:rsid w:val="0030785E"/>
    <w:rsid w:val="00311A21"/>
    <w:rsid w:val="00315147"/>
    <w:rsid w:val="0032569B"/>
    <w:rsid w:val="0033224C"/>
    <w:rsid w:val="003344D3"/>
    <w:rsid w:val="00336ED0"/>
    <w:rsid w:val="00337CB1"/>
    <w:rsid w:val="00341188"/>
    <w:rsid w:val="0034418B"/>
    <w:rsid w:val="00344AD4"/>
    <w:rsid w:val="003476AC"/>
    <w:rsid w:val="00356860"/>
    <w:rsid w:val="00361CE8"/>
    <w:rsid w:val="00362760"/>
    <w:rsid w:val="00372957"/>
    <w:rsid w:val="003855A6"/>
    <w:rsid w:val="00390060"/>
    <w:rsid w:val="00390D4C"/>
    <w:rsid w:val="003921F4"/>
    <w:rsid w:val="0039388E"/>
    <w:rsid w:val="00394170"/>
    <w:rsid w:val="0039664E"/>
    <w:rsid w:val="003A6DFD"/>
    <w:rsid w:val="003B0AA0"/>
    <w:rsid w:val="003B1F0B"/>
    <w:rsid w:val="003B485D"/>
    <w:rsid w:val="003C40F7"/>
    <w:rsid w:val="003C449C"/>
    <w:rsid w:val="003C69FD"/>
    <w:rsid w:val="003C7EB4"/>
    <w:rsid w:val="003D119F"/>
    <w:rsid w:val="003D1485"/>
    <w:rsid w:val="003D188F"/>
    <w:rsid w:val="003D5724"/>
    <w:rsid w:val="003E169C"/>
    <w:rsid w:val="003E3B4C"/>
    <w:rsid w:val="003E3D55"/>
    <w:rsid w:val="003E590D"/>
    <w:rsid w:val="003E6EC2"/>
    <w:rsid w:val="003F1C75"/>
    <w:rsid w:val="003F69F5"/>
    <w:rsid w:val="0040339E"/>
    <w:rsid w:val="0040530C"/>
    <w:rsid w:val="004053F6"/>
    <w:rsid w:val="004058B0"/>
    <w:rsid w:val="00411994"/>
    <w:rsid w:val="00411CBB"/>
    <w:rsid w:val="00412D5F"/>
    <w:rsid w:val="00417A75"/>
    <w:rsid w:val="00417E5D"/>
    <w:rsid w:val="00420BCB"/>
    <w:rsid w:val="0042198A"/>
    <w:rsid w:val="004233D5"/>
    <w:rsid w:val="004242B9"/>
    <w:rsid w:val="00427040"/>
    <w:rsid w:val="0044239B"/>
    <w:rsid w:val="004458D9"/>
    <w:rsid w:val="00445A7B"/>
    <w:rsid w:val="0044789B"/>
    <w:rsid w:val="00447C40"/>
    <w:rsid w:val="004526A9"/>
    <w:rsid w:val="00456053"/>
    <w:rsid w:val="00457BD4"/>
    <w:rsid w:val="00460645"/>
    <w:rsid w:val="0046067C"/>
    <w:rsid w:val="00465650"/>
    <w:rsid w:val="00465E73"/>
    <w:rsid w:val="004706A7"/>
    <w:rsid w:val="00471C53"/>
    <w:rsid w:val="00472885"/>
    <w:rsid w:val="004833C2"/>
    <w:rsid w:val="004839A6"/>
    <w:rsid w:val="004920F9"/>
    <w:rsid w:val="004955FA"/>
    <w:rsid w:val="004A3914"/>
    <w:rsid w:val="004A70D4"/>
    <w:rsid w:val="004B20D3"/>
    <w:rsid w:val="004B4777"/>
    <w:rsid w:val="004B5828"/>
    <w:rsid w:val="004B6F24"/>
    <w:rsid w:val="004C2FC3"/>
    <w:rsid w:val="004D331A"/>
    <w:rsid w:val="004D6552"/>
    <w:rsid w:val="004D7D4E"/>
    <w:rsid w:val="004E1988"/>
    <w:rsid w:val="004E19C6"/>
    <w:rsid w:val="004E2189"/>
    <w:rsid w:val="004E6353"/>
    <w:rsid w:val="004E6C35"/>
    <w:rsid w:val="004F1DC5"/>
    <w:rsid w:val="004F4393"/>
    <w:rsid w:val="005007EF"/>
    <w:rsid w:val="0050765C"/>
    <w:rsid w:val="00507B24"/>
    <w:rsid w:val="005148AE"/>
    <w:rsid w:val="00522356"/>
    <w:rsid w:val="0052761B"/>
    <w:rsid w:val="005329A8"/>
    <w:rsid w:val="005343C1"/>
    <w:rsid w:val="005370AB"/>
    <w:rsid w:val="00540FBC"/>
    <w:rsid w:val="00543679"/>
    <w:rsid w:val="0055287A"/>
    <w:rsid w:val="00553014"/>
    <w:rsid w:val="005550A5"/>
    <w:rsid w:val="00560A6F"/>
    <w:rsid w:val="0056101A"/>
    <w:rsid w:val="0058039A"/>
    <w:rsid w:val="00584656"/>
    <w:rsid w:val="0058613C"/>
    <w:rsid w:val="005878CB"/>
    <w:rsid w:val="00590155"/>
    <w:rsid w:val="005920BA"/>
    <w:rsid w:val="00592324"/>
    <w:rsid w:val="005A3D9D"/>
    <w:rsid w:val="005A467A"/>
    <w:rsid w:val="005A4FC7"/>
    <w:rsid w:val="005A559D"/>
    <w:rsid w:val="005B0F1F"/>
    <w:rsid w:val="005B410C"/>
    <w:rsid w:val="005B6DD4"/>
    <w:rsid w:val="005C1A26"/>
    <w:rsid w:val="005C3673"/>
    <w:rsid w:val="005C6C4C"/>
    <w:rsid w:val="005D38FC"/>
    <w:rsid w:val="005E288E"/>
    <w:rsid w:val="005E496B"/>
    <w:rsid w:val="005E6AD2"/>
    <w:rsid w:val="005E6E78"/>
    <w:rsid w:val="005E7AD7"/>
    <w:rsid w:val="005E7DAE"/>
    <w:rsid w:val="005F76C4"/>
    <w:rsid w:val="006008F3"/>
    <w:rsid w:val="00600E86"/>
    <w:rsid w:val="0060309B"/>
    <w:rsid w:val="00607943"/>
    <w:rsid w:val="006109B2"/>
    <w:rsid w:val="00610CDC"/>
    <w:rsid w:val="006124B0"/>
    <w:rsid w:val="00627D06"/>
    <w:rsid w:val="00632660"/>
    <w:rsid w:val="0063333B"/>
    <w:rsid w:val="0064225C"/>
    <w:rsid w:val="00643CC4"/>
    <w:rsid w:val="00644CFA"/>
    <w:rsid w:val="00653373"/>
    <w:rsid w:val="00653459"/>
    <w:rsid w:val="006547B6"/>
    <w:rsid w:val="00656227"/>
    <w:rsid w:val="00657B7C"/>
    <w:rsid w:val="00663794"/>
    <w:rsid w:val="0066392E"/>
    <w:rsid w:val="00667873"/>
    <w:rsid w:val="006709EC"/>
    <w:rsid w:val="00671617"/>
    <w:rsid w:val="00674149"/>
    <w:rsid w:val="00683715"/>
    <w:rsid w:val="00687E42"/>
    <w:rsid w:val="00691186"/>
    <w:rsid w:val="006937E2"/>
    <w:rsid w:val="00693A34"/>
    <w:rsid w:val="00694866"/>
    <w:rsid w:val="00695984"/>
    <w:rsid w:val="006978FB"/>
    <w:rsid w:val="006A0756"/>
    <w:rsid w:val="006A1C71"/>
    <w:rsid w:val="006A32EF"/>
    <w:rsid w:val="006A34C2"/>
    <w:rsid w:val="006B10A4"/>
    <w:rsid w:val="006B134D"/>
    <w:rsid w:val="006B1718"/>
    <w:rsid w:val="006B4796"/>
    <w:rsid w:val="006B7BF6"/>
    <w:rsid w:val="006C0850"/>
    <w:rsid w:val="006C1364"/>
    <w:rsid w:val="006C17B5"/>
    <w:rsid w:val="006C456B"/>
    <w:rsid w:val="006D3A80"/>
    <w:rsid w:val="006D4264"/>
    <w:rsid w:val="006D5222"/>
    <w:rsid w:val="006E133E"/>
    <w:rsid w:val="006E14EE"/>
    <w:rsid w:val="006E2C4A"/>
    <w:rsid w:val="006E5026"/>
    <w:rsid w:val="006E7801"/>
    <w:rsid w:val="006F325A"/>
    <w:rsid w:val="0070060A"/>
    <w:rsid w:val="00700F77"/>
    <w:rsid w:val="00701612"/>
    <w:rsid w:val="00707BB3"/>
    <w:rsid w:val="007150DB"/>
    <w:rsid w:val="00715F2C"/>
    <w:rsid w:val="00717FC2"/>
    <w:rsid w:val="00722B14"/>
    <w:rsid w:val="00724959"/>
    <w:rsid w:val="00724E83"/>
    <w:rsid w:val="00726BD7"/>
    <w:rsid w:val="007276A0"/>
    <w:rsid w:val="007314BA"/>
    <w:rsid w:val="00735180"/>
    <w:rsid w:val="007352C0"/>
    <w:rsid w:val="00736345"/>
    <w:rsid w:val="00740F2A"/>
    <w:rsid w:val="00744F6C"/>
    <w:rsid w:val="00745038"/>
    <w:rsid w:val="007472D8"/>
    <w:rsid w:val="00756E04"/>
    <w:rsid w:val="007616E4"/>
    <w:rsid w:val="007626EC"/>
    <w:rsid w:val="00762E0C"/>
    <w:rsid w:val="00774F36"/>
    <w:rsid w:val="00775920"/>
    <w:rsid w:val="0078203B"/>
    <w:rsid w:val="00785B0F"/>
    <w:rsid w:val="00786626"/>
    <w:rsid w:val="0078733A"/>
    <w:rsid w:val="0079581A"/>
    <w:rsid w:val="00795ECA"/>
    <w:rsid w:val="007A0F12"/>
    <w:rsid w:val="007A3135"/>
    <w:rsid w:val="007A487E"/>
    <w:rsid w:val="007A5446"/>
    <w:rsid w:val="007A55D1"/>
    <w:rsid w:val="007B179D"/>
    <w:rsid w:val="007B23D1"/>
    <w:rsid w:val="007C10EA"/>
    <w:rsid w:val="007C6747"/>
    <w:rsid w:val="007D629E"/>
    <w:rsid w:val="007E0F76"/>
    <w:rsid w:val="007E19AA"/>
    <w:rsid w:val="007E3A0A"/>
    <w:rsid w:val="007E52D4"/>
    <w:rsid w:val="007E600F"/>
    <w:rsid w:val="007F3797"/>
    <w:rsid w:val="007F4CA4"/>
    <w:rsid w:val="00811E4A"/>
    <w:rsid w:val="00815A90"/>
    <w:rsid w:val="0081618C"/>
    <w:rsid w:val="00817FD9"/>
    <w:rsid w:val="00820145"/>
    <w:rsid w:val="00831ECE"/>
    <w:rsid w:val="00832967"/>
    <w:rsid w:val="0084133D"/>
    <w:rsid w:val="00843D63"/>
    <w:rsid w:val="00844C17"/>
    <w:rsid w:val="00844FAB"/>
    <w:rsid w:val="00851425"/>
    <w:rsid w:val="0085282A"/>
    <w:rsid w:val="008558F3"/>
    <w:rsid w:val="00866387"/>
    <w:rsid w:val="0087110C"/>
    <w:rsid w:val="00871713"/>
    <w:rsid w:val="00873D23"/>
    <w:rsid w:val="00873EBE"/>
    <w:rsid w:val="0087419C"/>
    <w:rsid w:val="0087739D"/>
    <w:rsid w:val="00880D88"/>
    <w:rsid w:val="0088584B"/>
    <w:rsid w:val="0088637A"/>
    <w:rsid w:val="00886CAB"/>
    <w:rsid w:val="00887DB2"/>
    <w:rsid w:val="00894D7B"/>
    <w:rsid w:val="008A0CBE"/>
    <w:rsid w:val="008A65CB"/>
    <w:rsid w:val="008B0C45"/>
    <w:rsid w:val="008B2E23"/>
    <w:rsid w:val="008B40F6"/>
    <w:rsid w:val="008B5191"/>
    <w:rsid w:val="008C2129"/>
    <w:rsid w:val="008C24BB"/>
    <w:rsid w:val="008C63E3"/>
    <w:rsid w:val="008E2D3C"/>
    <w:rsid w:val="008E3DF2"/>
    <w:rsid w:val="008E58E1"/>
    <w:rsid w:val="008E6121"/>
    <w:rsid w:val="008F0311"/>
    <w:rsid w:val="008F06B9"/>
    <w:rsid w:val="00900B01"/>
    <w:rsid w:val="009010BB"/>
    <w:rsid w:val="00904D5B"/>
    <w:rsid w:val="0090747D"/>
    <w:rsid w:val="00910845"/>
    <w:rsid w:val="00911284"/>
    <w:rsid w:val="00916D29"/>
    <w:rsid w:val="0092755B"/>
    <w:rsid w:val="0094064F"/>
    <w:rsid w:val="0094415D"/>
    <w:rsid w:val="00947E00"/>
    <w:rsid w:val="00955B2E"/>
    <w:rsid w:val="00956AC7"/>
    <w:rsid w:val="00956F8F"/>
    <w:rsid w:val="009633C9"/>
    <w:rsid w:val="009670E3"/>
    <w:rsid w:val="0097364E"/>
    <w:rsid w:val="009738A0"/>
    <w:rsid w:val="00975800"/>
    <w:rsid w:val="00981BEA"/>
    <w:rsid w:val="00981C53"/>
    <w:rsid w:val="00983902"/>
    <w:rsid w:val="00984C23"/>
    <w:rsid w:val="00985A3F"/>
    <w:rsid w:val="009904B7"/>
    <w:rsid w:val="009923C6"/>
    <w:rsid w:val="00994D76"/>
    <w:rsid w:val="009A0296"/>
    <w:rsid w:val="009A13B3"/>
    <w:rsid w:val="009A432B"/>
    <w:rsid w:val="009B22F5"/>
    <w:rsid w:val="009B40BC"/>
    <w:rsid w:val="009B5A7C"/>
    <w:rsid w:val="009C0868"/>
    <w:rsid w:val="009C7530"/>
    <w:rsid w:val="009D0CB1"/>
    <w:rsid w:val="009D12F5"/>
    <w:rsid w:val="009E32D3"/>
    <w:rsid w:val="009E57E5"/>
    <w:rsid w:val="009F18A5"/>
    <w:rsid w:val="009F217C"/>
    <w:rsid w:val="00A05E63"/>
    <w:rsid w:val="00A12011"/>
    <w:rsid w:val="00A15507"/>
    <w:rsid w:val="00A155EF"/>
    <w:rsid w:val="00A16F30"/>
    <w:rsid w:val="00A269C2"/>
    <w:rsid w:val="00A32AC7"/>
    <w:rsid w:val="00A33E5C"/>
    <w:rsid w:val="00A34401"/>
    <w:rsid w:val="00A344CB"/>
    <w:rsid w:val="00A35229"/>
    <w:rsid w:val="00A41476"/>
    <w:rsid w:val="00A45256"/>
    <w:rsid w:val="00A453E0"/>
    <w:rsid w:val="00A457AA"/>
    <w:rsid w:val="00A51EA1"/>
    <w:rsid w:val="00A55E85"/>
    <w:rsid w:val="00A66373"/>
    <w:rsid w:val="00A66DA9"/>
    <w:rsid w:val="00A67D1D"/>
    <w:rsid w:val="00A7322E"/>
    <w:rsid w:val="00A76C48"/>
    <w:rsid w:val="00A800E4"/>
    <w:rsid w:val="00A80970"/>
    <w:rsid w:val="00A83358"/>
    <w:rsid w:val="00A91199"/>
    <w:rsid w:val="00A920D5"/>
    <w:rsid w:val="00A9229E"/>
    <w:rsid w:val="00A9278C"/>
    <w:rsid w:val="00A92F10"/>
    <w:rsid w:val="00A93BD4"/>
    <w:rsid w:val="00A94B65"/>
    <w:rsid w:val="00A97107"/>
    <w:rsid w:val="00AA736F"/>
    <w:rsid w:val="00AB5EE5"/>
    <w:rsid w:val="00AB7D31"/>
    <w:rsid w:val="00AC0117"/>
    <w:rsid w:val="00AC05A6"/>
    <w:rsid w:val="00AC2084"/>
    <w:rsid w:val="00AC3BE6"/>
    <w:rsid w:val="00AC4DC4"/>
    <w:rsid w:val="00AC5782"/>
    <w:rsid w:val="00AD041E"/>
    <w:rsid w:val="00AD519C"/>
    <w:rsid w:val="00AD587D"/>
    <w:rsid w:val="00AD59A1"/>
    <w:rsid w:val="00AE1B19"/>
    <w:rsid w:val="00AE5F38"/>
    <w:rsid w:val="00AE7D34"/>
    <w:rsid w:val="00AF3648"/>
    <w:rsid w:val="00AF386A"/>
    <w:rsid w:val="00AF3980"/>
    <w:rsid w:val="00AF5B4A"/>
    <w:rsid w:val="00B00EAB"/>
    <w:rsid w:val="00B016F3"/>
    <w:rsid w:val="00B120FA"/>
    <w:rsid w:val="00B158DB"/>
    <w:rsid w:val="00B15C77"/>
    <w:rsid w:val="00B20645"/>
    <w:rsid w:val="00B219D6"/>
    <w:rsid w:val="00B226D1"/>
    <w:rsid w:val="00B22FA9"/>
    <w:rsid w:val="00B25065"/>
    <w:rsid w:val="00B26B2F"/>
    <w:rsid w:val="00B27EDB"/>
    <w:rsid w:val="00B3228E"/>
    <w:rsid w:val="00B327E1"/>
    <w:rsid w:val="00B33D83"/>
    <w:rsid w:val="00B34B22"/>
    <w:rsid w:val="00B34D5B"/>
    <w:rsid w:val="00B421A5"/>
    <w:rsid w:val="00B44CE7"/>
    <w:rsid w:val="00B46045"/>
    <w:rsid w:val="00B46D2A"/>
    <w:rsid w:val="00B551BA"/>
    <w:rsid w:val="00B55641"/>
    <w:rsid w:val="00B5792F"/>
    <w:rsid w:val="00B63067"/>
    <w:rsid w:val="00B653E7"/>
    <w:rsid w:val="00B669D7"/>
    <w:rsid w:val="00B75D3C"/>
    <w:rsid w:val="00B80083"/>
    <w:rsid w:val="00B8316B"/>
    <w:rsid w:val="00B85460"/>
    <w:rsid w:val="00B86210"/>
    <w:rsid w:val="00B86FFF"/>
    <w:rsid w:val="00B8781A"/>
    <w:rsid w:val="00B916E3"/>
    <w:rsid w:val="00B91754"/>
    <w:rsid w:val="00B919BC"/>
    <w:rsid w:val="00B92600"/>
    <w:rsid w:val="00B937DF"/>
    <w:rsid w:val="00B97CAB"/>
    <w:rsid w:val="00BA0AF1"/>
    <w:rsid w:val="00BA141F"/>
    <w:rsid w:val="00BA360C"/>
    <w:rsid w:val="00BA6A5F"/>
    <w:rsid w:val="00BA6B95"/>
    <w:rsid w:val="00BB55F5"/>
    <w:rsid w:val="00BC298F"/>
    <w:rsid w:val="00BC4BC1"/>
    <w:rsid w:val="00BC6768"/>
    <w:rsid w:val="00BE2E06"/>
    <w:rsid w:val="00BE432B"/>
    <w:rsid w:val="00BF0ADB"/>
    <w:rsid w:val="00BF5172"/>
    <w:rsid w:val="00C0209F"/>
    <w:rsid w:val="00C07F5B"/>
    <w:rsid w:val="00C10418"/>
    <w:rsid w:val="00C117AA"/>
    <w:rsid w:val="00C11F65"/>
    <w:rsid w:val="00C13967"/>
    <w:rsid w:val="00C1731F"/>
    <w:rsid w:val="00C17624"/>
    <w:rsid w:val="00C17D34"/>
    <w:rsid w:val="00C206B0"/>
    <w:rsid w:val="00C216A4"/>
    <w:rsid w:val="00C25EEB"/>
    <w:rsid w:val="00C52C87"/>
    <w:rsid w:val="00C52E71"/>
    <w:rsid w:val="00C55650"/>
    <w:rsid w:val="00C55CFE"/>
    <w:rsid w:val="00C602BD"/>
    <w:rsid w:val="00C6124B"/>
    <w:rsid w:val="00C653C6"/>
    <w:rsid w:val="00C7099D"/>
    <w:rsid w:val="00C725A2"/>
    <w:rsid w:val="00C730DB"/>
    <w:rsid w:val="00C73FDC"/>
    <w:rsid w:val="00C76A8D"/>
    <w:rsid w:val="00C77601"/>
    <w:rsid w:val="00C87311"/>
    <w:rsid w:val="00C91110"/>
    <w:rsid w:val="00C97B35"/>
    <w:rsid w:val="00CA228C"/>
    <w:rsid w:val="00CA365B"/>
    <w:rsid w:val="00CA43C8"/>
    <w:rsid w:val="00CA47E3"/>
    <w:rsid w:val="00CB0490"/>
    <w:rsid w:val="00CB0492"/>
    <w:rsid w:val="00CB167F"/>
    <w:rsid w:val="00CB1BB8"/>
    <w:rsid w:val="00CB1EB5"/>
    <w:rsid w:val="00CB63EC"/>
    <w:rsid w:val="00CC28DD"/>
    <w:rsid w:val="00CC3F8D"/>
    <w:rsid w:val="00CC41A0"/>
    <w:rsid w:val="00CC518E"/>
    <w:rsid w:val="00CD0576"/>
    <w:rsid w:val="00CD4B6F"/>
    <w:rsid w:val="00CD6E13"/>
    <w:rsid w:val="00CE54EF"/>
    <w:rsid w:val="00CF249F"/>
    <w:rsid w:val="00CF29F5"/>
    <w:rsid w:val="00CF4286"/>
    <w:rsid w:val="00D125C2"/>
    <w:rsid w:val="00D12B32"/>
    <w:rsid w:val="00D14380"/>
    <w:rsid w:val="00D15493"/>
    <w:rsid w:val="00D21BC5"/>
    <w:rsid w:val="00D222A5"/>
    <w:rsid w:val="00D2281F"/>
    <w:rsid w:val="00D313B5"/>
    <w:rsid w:val="00D3257D"/>
    <w:rsid w:val="00D34664"/>
    <w:rsid w:val="00D35430"/>
    <w:rsid w:val="00D37337"/>
    <w:rsid w:val="00D4043E"/>
    <w:rsid w:val="00D40586"/>
    <w:rsid w:val="00D42B92"/>
    <w:rsid w:val="00D42DA2"/>
    <w:rsid w:val="00D45D97"/>
    <w:rsid w:val="00D46BB3"/>
    <w:rsid w:val="00D47735"/>
    <w:rsid w:val="00D5036B"/>
    <w:rsid w:val="00D539A1"/>
    <w:rsid w:val="00D6064C"/>
    <w:rsid w:val="00D61541"/>
    <w:rsid w:val="00D628A5"/>
    <w:rsid w:val="00D73AC9"/>
    <w:rsid w:val="00D7546E"/>
    <w:rsid w:val="00D77952"/>
    <w:rsid w:val="00D80563"/>
    <w:rsid w:val="00D824AA"/>
    <w:rsid w:val="00D84FB3"/>
    <w:rsid w:val="00D87B70"/>
    <w:rsid w:val="00D934E4"/>
    <w:rsid w:val="00D9606B"/>
    <w:rsid w:val="00DA3D92"/>
    <w:rsid w:val="00DA6C8A"/>
    <w:rsid w:val="00DB53E1"/>
    <w:rsid w:val="00DC1080"/>
    <w:rsid w:val="00DC233C"/>
    <w:rsid w:val="00DC3E77"/>
    <w:rsid w:val="00DC7EA8"/>
    <w:rsid w:val="00DD3DEB"/>
    <w:rsid w:val="00DD4FE4"/>
    <w:rsid w:val="00DD5538"/>
    <w:rsid w:val="00DD58DE"/>
    <w:rsid w:val="00DD70A5"/>
    <w:rsid w:val="00DE1120"/>
    <w:rsid w:val="00DE260E"/>
    <w:rsid w:val="00DE7554"/>
    <w:rsid w:val="00DF0D40"/>
    <w:rsid w:val="00DF3FDC"/>
    <w:rsid w:val="00DF5125"/>
    <w:rsid w:val="00DF6C4C"/>
    <w:rsid w:val="00DF6C8B"/>
    <w:rsid w:val="00E02C57"/>
    <w:rsid w:val="00E039EF"/>
    <w:rsid w:val="00E04F02"/>
    <w:rsid w:val="00E0547A"/>
    <w:rsid w:val="00E14F49"/>
    <w:rsid w:val="00E16CCD"/>
    <w:rsid w:val="00E27D8D"/>
    <w:rsid w:val="00E33D69"/>
    <w:rsid w:val="00E422F2"/>
    <w:rsid w:val="00E458C4"/>
    <w:rsid w:val="00E51EBB"/>
    <w:rsid w:val="00E54402"/>
    <w:rsid w:val="00E553C3"/>
    <w:rsid w:val="00E56FE2"/>
    <w:rsid w:val="00E572DC"/>
    <w:rsid w:val="00E5776D"/>
    <w:rsid w:val="00E61087"/>
    <w:rsid w:val="00E76FC8"/>
    <w:rsid w:val="00E804A4"/>
    <w:rsid w:val="00E83BDE"/>
    <w:rsid w:val="00E83D56"/>
    <w:rsid w:val="00E8524D"/>
    <w:rsid w:val="00E93082"/>
    <w:rsid w:val="00E97486"/>
    <w:rsid w:val="00EA146E"/>
    <w:rsid w:val="00EA3B59"/>
    <w:rsid w:val="00EA68C0"/>
    <w:rsid w:val="00EB05BF"/>
    <w:rsid w:val="00EB35BB"/>
    <w:rsid w:val="00EC1249"/>
    <w:rsid w:val="00EC576C"/>
    <w:rsid w:val="00EC5A32"/>
    <w:rsid w:val="00EC701C"/>
    <w:rsid w:val="00ED0186"/>
    <w:rsid w:val="00ED2988"/>
    <w:rsid w:val="00ED3E9F"/>
    <w:rsid w:val="00ED3FB7"/>
    <w:rsid w:val="00EE029E"/>
    <w:rsid w:val="00EE32E8"/>
    <w:rsid w:val="00EE3682"/>
    <w:rsid w:val="00EE43F4"/>
    <w:rsid w:val="00EF09B3"/>
    <w:rsid w:val="00EF3267"/>
    <w:rsid w:val="00EF5E45"/>
    <w:rsid w:val="00F02819"/>
    <w:rsid w:val="00F0336B"/>
    <w:rsid w:val="00F12126"/>
    <w:rsid w:val="00F2092C"/>
    <w:rsid w:val="00F3090C"/>
    <w:rsid w:val="00F316F4"/>
    <w:rsid w:val="00F37010"/>
    <w:rsid w:val="00F37586"/>
    <w:rsid w:val="00F42716"/>
    <w:rsid w:val="00F50684"/>
    <w:rsid w:val="00F53CFC"/>
    <w:rsid w:val="00F60018"/>
    <w:rsid w:val="00F61CCE"/>
    <w:rsid w:val="00F6410F"/>
    <w:rsid w:val="00F745A2"/>
    <w:rsid w:val="00F74CCE"/>
    <w:rsid w:val="00F74FA6"/>
    <w:rsid w:val="00F7521B"/>
    <w:rsid w:val="00F765D8"/>
    <w:rsid w:val="00F80D82"/>
    <w:rsid w:val="00F827B8"/>
    <w:rsid w:val="00F85EC7"/>
    <w:rsid w:val="00F913C3"/>
    <w:rsid w:val="00F96BD3"/>
    <w:rsid w:val="00FA24A5"/>
    <w:rsid w:val="00FA61A5"/>
    <w:rsid w:val="00FB12BA"/>
    <w:rsid w:val="00FC4717"/>
    <w:rsid w:val="00FD6803"/>
    <w:rsid w:val="00FD7E4D"/>
    <w:rsid w:val="00FE0695"/>
    <w:rsid w:val="00FF19E0"/>
    <w:rsid w:val="00FF31FE"/>
    <w:rsid w:val="00FF6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E71C60-2D9D-4639-B84C-6A75FF9FE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476"/>
    <w:pPr>
      <w:spacing w:after="200" w:line="276" w:lineRule="auto"/>
    </w:pPr>
  </w:style>
  <w:style w:type="paragraph" w:styleId="Heading1">
    <w:name w:val="heading 1"/>
    <w:basedOn w:val="Normal"/>
    <w:next w:val="Normal"/>
    <w:link w:val="Heading1Char"/>
    <w:uiPriority w:val="9"/>
    <w:qFormat/>
    <w:rsid w:val="009B40B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DF512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E7DAE"/>
    <w:pPr>
      <w:spacing w:after="0" w:line="240" w:lineRule="auto"/>
    </w:pPr>
    <w:rPr>
      <w:sz w:val="20"/>
      <w:szCs w:val="20"/>
    </w:rPr>
  </w:style>
  <w:style w:type="character" w:customStyle="1" w:styleId="FootnoteTextChar">
    <w:name w:val="Footnote Text Char"/>
    <w:basedOn w:val="DefaultParagraphFont"/>
    <w:link w:val="FootnoteText"/>
    <w:uiPriority w:val="99"/>
    <w:rsid w:val="005E7DAE"/>
    <w:rPr>
      <w:sz w:val="20"/>
      <w:szCs w:val="20"/>
    </w:rPr>
  </w:style>
  <w:style w:type="character" w:styleId="FootnoteReference">
    <w:name w:val="footnote reference"/>
    <w:basedOn w:val="DefaultParagraphFont"/>
    <w:uiPriority w:val="99"/>
    <w:unhideWhenUsed/>
    <w:rsid w:val="005E7DAE"/>
    <w:rPr>
      <w:vertAlign w:val="superscript"/>
    </w:rPr>
  </w:style>
  <w:style w:type="character" w:customStyle="1" w:styleId="Heading2Char">
    <w:name w:val="Heading 2 Char"/>
    <w:basedOn w:val="DefaultParagraphFont"/>
    <w:link w:val="Heading2"/>
    <w:uiPriority w:val="9"/>
    <w:semiHidden/>
    <w:rsid w:val="00DF5125"/>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59"/>
    <w:rsid w:val="004F1D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2E13B1"/>
    <w:pPr>
      <w:ind w:left="720"/>
    </w:pPr>
    <w:rPr>
      <w:rFonts w:ascii="Calibri" w:eastAsia="Calibri" w:hAnsi="Calibri" w:cs="Times New Roman"/>
      <w:lang w:val="en-ZW"/>
    </w:rPr>
  </w:style>
  <w:style w:type="paragraph" w:styleId="BalloonText">
    <w:name w:val="Balloon Text"/>
    <w:basedOn w:val="Normal"/>
    <w:link w:val="BalloonTextChar"/>
    <w:uiPriority w:val="99"/>
    <w:semiHidden/>
    <w:unhideWhenUsed/>
    <w:rsid w:val="007873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33A"/>
    <w:rPr>
      <w:rFonts w:ascii="Segoe UI" w:hAnsi="Segoe UI" w:cs="Segoe UI"/>
      <w:sz w:val="18"/>
      <w:szCs w:val="18"/>
    </w:rPr>
  </w:style>
  <w:style w:type="character" w:customStyle="1" w:styleId="ListParagraphChar">
    <w:name w:val="List Paragraph Char"/>
    <w:basedOn w:val="DefaultParagraphFont"/>
    <w:link w:val="ListParagraph"/>
    <w:uiPriority w:val="34"/>
    <w:rsid w:val="004955FA"/>
    <w:rPr>
      <w:rFonts w:ascii="Calibri" w:eastAsia="Calibri" w:hAnsi="Calibri" w:cs="Times New Roman"/>
      <w:lang w:val="en-ZW"/>
    </w:rPr>
  </w:style>
  <w:style w:type="character" w:customStyle="1" w:styleId="Heading1Char">
    <w:name w:val="Heading 1 Char"/>
    <w:basedOn w:val="DefaultParagraphFont"/>
    <w:link w:val="Heading1"/>
    <w:uiPriority w:val="9"/>
    <w:rsid w:val="009B40BC"/>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unhideWhenUsed/>
    <w:rsid w:val="00A32AC7"/>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paragraph" w:styleId="Header">
    <w:name w:val="header"/>
    <w:basedOn w:val="Normal"/>
    <w:link w:val="HeaderChar"/>
    <w:uiPriority w:val="99"/>
    <w:unhideWhenUsed/>
    <w:rsid w:val="00FD7E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7E4D"/>
  </w:style>
  <w:style w:type="paragraph" w:styleId="Footer">
    <w:name w:val="footer"/>
    <w:basedOn w:val="Normal"/>
    <w:link w:val="FooterChar"/>
    <w:uiPriority w:val="99"/>
    <w:unhideWhenUsed/>
    <w:rsid w:val="00FD7E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7E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450629">
      <w:bodyDiv w:val="1"/>
      <w:marLeft w:val="0"/>
      <w:marRight w:val="0"/>
      <w:marTop w:val="0"/>
      <w:marBottom w:val="0"/>
      <w:divBdr>
        <w:top w:val="none" w:sz="0" w:space="0" w:color="auto"/>
        <w:left w:val="none" w:sz="0" w:space="0" w:color="auto"/>
        <w:bottom w:val="none" w:sz="0" w:space="0" w:color="auto"/>
        <w:right w:val="none" w:sz="0" w:space="0" w:color="auto"/>
      </w:divBdr>
    </w:div>
    <w:div w:id="1132792090">
      <w:bodyDiv w:val="1"/>
      <w:marLeft w:val="0"/>
      <w:marRight w:val="0"/>
      <w:marTop w:val="0"/>
      <w:marBottom w:val="0"/>
      <w:divBdr>
        <w:top w:val="none" w:sz="0" w:space="0" w:color="auto"/>
        <w:left w:val="none" w:sz="0" w:space="0" w:color="auto"/>
        <w:bottom w:val="none" w:sz="0" w:space="0" w:color="auto"/>
        <w:right w:val="none" w:sz="0" w:space="0" w:color="auto"/>
      </w:divBdr>
    </w:div>
    <w:div w:id="1848904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71C371-7268-492F-A7C7-36B5772C2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29</Pages>
  <Words>6574</Words>
  <Characters>37472</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Obert Bore</dc:creator>
  <cp:lastModifiedBy>Sevelia Nghitumbwa</cp:lastModifiedBy>
  <cp:revision>20</cp:revision>
  <cp:lastPrinted>2018-06-15T08:04:00Z</cp:lastPrinted>
  <dcterms:created xsi:type="dcterms:W3CDTF">2018-05-22T09:39:00Z</dcterms:created>
  <dcterms:modified xsi:type="dcterms:W3CDTF">2018-06-21T08:58:00Z</dcterms:modified>
</cp:coreProperties>
</file>