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23C0B"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r w:rsidRPr="00011295">
        <w:rPr>
          <w:rFonts w:asciiTheme="minorHAnsi" w:eastAsiaTheme="minorHAnsi" w:hAnsiTheme="minorHAnsi" w:cstheme="minorBidi"/>
          <w:noProof/>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76118396"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E45CC7">
        <w:rPr>
          <w:rFonts w:ascii="Arial" w:hAnsi="Arial" w:cs="Arial"/>
          <w:sz w:val="24"/>
          <w:szCs w:val="24"/>
        </w:rPr>
        <w:t>79</w:t>
      </w:r>
      <w:r>
        <w:rPr>
          <w:rFonts w:ascii="Arial" w:hAnsi="Arial" w:cs="Arial"/>
          <w:sz w:val="24"/>
          <w:szCs w:val="24"/>
        </w:rPr>
        <w:t>/20</w:t>
      </w:r>
      <w:r w:rsidR="00E45CC7">
        <w:rPr>
          <w:rFonts w:ascii="Arial" w:hAnsi="Arial" w:cs="Arial"/>
          <w:sz w:val="24"/>
          <w:szCs w:val="24"/>
        </w:rPr>
        <w:t>16</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18F20303" w:rsidR="009D3D25" w:rsidRPr="00500CF6" w:rsidRDefault="00E45CC7" w:rsidP="00B74507">
            <w:pPr>
              <w:spacing w:line="480" w:lineRule="auto"/>
              <w:ind w:left="-108"/>
              <w:jc w:val="both"/>
              <w:rPr>
                <w:rFonts w:ascii="Arial" w:hAnsi="Arial" w:cs="Arial"/>
                <w:b/>
                <w:sz w:val="24"/>
                <w:szCs w:val="24"/>
              </w:rPr>
            </w:pPr>
            <w:r>
              <w:rPr>
                <w:rFonts w:ascii="Arial" w:hAnsi="Arial" w:cs="Arial"/>
                <w:b/>
                <w:sz w:val="24"/>
                <w:szCs w:val="24"/>
              </w:rPr>
              <w:t>DIETMAR DANNECKER</w:t>
            </w:r>
          </w:p>
        </w:tc>
        <w:tc>
          <w:tcPr>
            <w:tcW w:w="2967" w:type="dxa"/>
            <w:shd w:val="clear" w:color="auto" w:fill="auto"/>
          </w:tcPr>
          <w:p w14:paraId="3ACE3708" w14:textId="1F20A353" w:rsidR="009D3D25" w:rsidRPr="00500CF6" w:rsidRDefault="009D3D25" w:rsidP="00500CF6">
            <w:pPr>
              <w:spacing w:line="480" w:lineRule="auto"/>
              <w:jc w:val="right"/>
              <w:rPr>
                <w:rFonts w:ascii="Arial" w:hAnsi="Arial" w:cs="Arial"/>
                <w:b/>
                <w:sz w:val="24"/>
                <w:szCs w:val="24"/>
              </w:rPr>
            </w:pPr>
            <w:r>
              <w:rPr>
                <w:rFonts w:ascii="Arial" w:hAnsi="Arial" w:cs="Arial"/>
                <w:b/>
                <w:sz w:val="24"/>
                <w:szCs w:val="24"/>
              </w:rPr>
              <w:t>Appellant</w:t>
            </w:r>
          </w:p>
        </w:tc>
      </w:tr>
      <w:tr w:rsidR="009D3D25" w:rsidRPr="00500CF6" w14:paraId="720D5D95" w14:textId="77777777" w:rsidTr="00B74507">
        <w:tc>
          <w:tcPr>
            <w:tcW w:w="5821" w:type="dxa"/>
            <w:shd w:val="clear" w:color="auto" w:fill="auto"/>
          </w:tcPr>
          <w:p w14:paraId="7694CF35" w14:textId="0F6D11E5" w:rsidR="009D3D25" w:rsidRDefault="004531B9" w:rsidP="00B63A87">
            <w:pPr>
              <w:spacing w:line="480" w:lineRule="auto"/>
              <w:ind w:left="-108"/>
              <w:jc w:val="both"/>
              <w:rPr>
                <w:rFonts w:ascii="Arial" w:hAnsi="Arial" w:cs="Arial"/>
                <w:b/>
                <w:sz w:val="24"/>
                <w:szCs w:val="24"/>
              </w:rPr>
            </w:pPr>
            <w:r>
              <w:rPr>
                <w:rFonts w:ascii="Arial" w:hAnsi="Arial" w:cs="Arial"/>
                <w:sz w:val="24"/>
                <w:szCs w:val="24"/>
              </w:rPr>
              <w:t>a</w:t>
            </w:r>
            <w:r w:rsidR="009D3D25"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r w:rsidR="009D3D25" w:rsidRPr="00500CF6" w14:paraId="431FC482" w14:textId="77777777" w:rsidTr="00B74507">
        <w:tc>
          <w:tcPr>
            <w:tcW w:w="5821" w:type="dxa"/>
            <w:shd w:val="clear" w:color="auto" w:fill="auto"/>
          </w:tcPr>
          <w:p w14:paraId="77598A06" w14:textId="21E6B6C3" w:rsidR="009D3D25" w:rsidRPr="009D3D25" w:rsidRDefault="00C06DEE" w:rsidP="00AE7816">
            <w:pPr>
              <w:spacing w:line="480" w:lineRule="auto"/>
              <w:ind w:left="-108"/>
              <w:jc w:val="both"/>
              <w:rPr>
                <w:rFonts w:ascii="Arial" w:hAnsi="Arial" w:cs="Arial"/>
                <w:b/>
                <w:sz w:val="24"/>
                <w:szCs w:val="24"/>
              </w:rPr>
            </w:pPr>
            <w:r>
              <w:rPr>
                <w:rFonts w:ascii="Arial" w:hAnsi="Arial" w:cs="Arial"/>
                <w:b/>
                <w:sz w:val="24"/>
                <w:szCs w:val="24"/>
              </w:rPr>
              <w:t>LEOPARD TOURS CAR AND CAMPING HIRE CC</w:t>
            </w:r>
          </w:p>
        </w:tc>
        <w:tc>
          <w:tcPr>
            <w:tcW w:w="2967" w:type="dxa"/>
            <w:shd w:val="clear" w:color="auto" w:fill="auto"/>
          </w:tcPr>
          <w:p w14:paraId="4110F8A6" w14:textId="2AFE1C4D" w:rsidR="009D3D25" w:rsidRPr="00500CF6" w:rsidRDefault="00C06DEE" w:rsidP="00500CF6">
            <w:pPr>
              <w:spacing w:line="480" w:lineRule="auto"/>
              <w:jc w:val="right"/>
              <w:rPr>
                <w:rFonts w:ascii="Arial" w:hAnsi="Arial" w:cs="Arial"/>
                <w:b/>
                <w:sz w:val="24"/>
                <w:szCs w:val="24"/>
              </w:rPr>
            </w:pPr>
            <w:r>
              <w:rPr>
                <w:rFonts w:ascii="Arial" w:hAnsi="Arial" w:cs="Arial"/>
                <w:b/>
                <w:sz w:val="24"/>
                <w:szCs w:val="24"/>
              </w:rPr>
              <w:t xml:space="preserve">First </w:t>
            </w:r>
            <w:r w:rsidR="009D3D25" w:rsidRPr="00500CF6">
              <w:rPr>
                <w:rFonts w:ascii="Arial" w:hAnsi="Arial" w:cs="Arial"/>
                <w:b/>
                <w:sz w:val="24"/>
                <w:szCs w:val="24"/>
              </w:rPr>
              <w:t>Respondent</w:t>
            </w:r>
          </w:p>
        </w:tc>
      </w:tr>
      <w:tr w:rsidR="00C06DEE" w:rsidRPr="00500CF6" w14:paraId="1C52216F" w14:textId="77777777" w:rsidTr="00B74507">
        <w:tc>
          <w:tcPr>
            <w:tcW w:w="5821" w:type="dxa"/>
            <w:shd w:val="clear" w:color="auto" w:fill="auto"/>
          </w:tcPr>
          <w:p w14:paraId="0980E7ED" w14:textId="15D94F6E" w:rsidR="00C06DEE" w:rsidRDefault="00C06DEE" w:rsidP="00AE7816">
            <w:pPr>
              <w:spacing w:line="480" w:lineRule="auto"/>
              <w:ind w:left="-108"/>
              <w:jc w:val="both"/>
              <w:rPr>
                <w:rFonts w:ascii="Arial" w:hAnsi="Arial" w:cs="Arial"/>
                <w:b/>
                <w:sz w:val="24"/>
                <w:szCs w:val="24"/>
              </w:rPr>
            </w:pPr>
            <w:r>
              <w:rPr>
                <w:rFonts w:ascii="Arial" w:hAnsi="Arial" w:cs="Arial"/>
                <w:b/>
                <w:sz w:val="24"/>
                <w:szCs w:val="24"/>
              </w:rPr>
              <w:t>BARBARA HAUSNER</w:t>
            </w:r>
          </w:p>
        </w:tc>
        <w:tc>
          <w:tcPr>
            <w:tcW w:w="2967" w:type="dxa"/>
            <w:shd w:val="clear" w:color="auto" w:fill="auto"/>
          </w:tcPr>
          <w:p w14:paraId="314E1A42" w14:textId="52A8E87B" w:rsidR="00C06DEE" w:rsidRDefault="00C06DEE" w:rsidP="00C06DEE">
            <w:pPr>
              <w:spacing w:line="480" w:lineRule="auto"/>
              <w:jc w:val="right"/>
              <w:rPr>
                <w:rFonts w:ascii="Arial" w:hAnsi="Arial" w:cs="Arial"/>
                <w:b/>
                <w:sz w:val="24"/>
                <w:szCs w:val="24"/>
              </w:rPr>
            </w:pPr>
            <w:r>
              <w:rPr>
                <w:rFonts w:ascii="Arial" w:hAnsi="Arial" w:cs="Arial"/>
                <w:b/>
                <w:sz w:val="24"/>
                <w:szCs w:val="24"/>
              </w:rPr>
              <w:t>Second Respondent</w:t>
            </w:r>
          </w:p>
        </w:tc>
      </w:tr>
      <w:tr w:rsidR="00C06DEE" w:rsidRPr="00500CF6" w14:paraId="5D856A72" w14:textId="77777777" w:rsidTr="00B74507">
        <w:tc>
          <w:tcPr>
            <w:tcW w:w="5821" w:type="dxa"/>
            <w:shd w:val="clear" w:color="auto" w:fill="auto"/>
          </w:tcPr>
          <w:p w14:paraId="1F2DE751" w14:textId="62518961" w:rsidR="00C06DEE" w:rsidRDefault="00C06DEE" w:rsidP="00AE7816">
            <w:pPr>
              <w:spacing w:line="480" w:lineRule="auto"/>
              <w:ind w:left="-108"/>
              <w:jc w:val="both"/>
              <w:rPr>
                <w:rFonts w:ascii="Arial" w:hAnsi="Arial" w:cs="Arial"/>
                <w:b/>
                <w:sz w:val="24"/>
                <w:szCs w:val="24"/>
              </w:rPr>
            </w:pPr>
            <w:r>
              <w:rPr>
                <w:rFonts w:ascii="Arial" w:hAnsi="Arial" w:cs="Arial"/>
                <w:b/>
                <w:sz w:val="24"/>
                <w:szCs w:val="24"/>
              </w:rPr>
              <w:t>MANFRED HAUSNER</w:t>
            </w:r>
          </w:p>
        </w:tc>
        <w:tc>
          <w:tcPr>
            <w:tcW w:w="2967" w:type="dxa"/>
            <w:shd w:val="clear" w:color="auto" w:fill="auto"/>
          </w:tcPr>
          <w:p w14:paraId="3F0FD5AF" w14:textId="6D1032A4" w:rsidR="00C06DEE" w:rsidRDefault="00C06DEE" w:rsidP="00C06DEE">
            <w:pPr>
              <w:spacing w:line="480" w:lineRule="auto"/>
              <w:jc w:val="right"/>
              <w:rPr>
                <w:rFonts w:ascii="Arial" w:hAnsi="Arial" w:cs="Arial"/>
                <w:b/>
                <w:sz w:val="24"/>
                <w:szCs w:val="24"/>
              </w:rPr>
            </w:pPr>
            <w:r>
              <w:rPr>
                <w:rFonts w:ascii="Arial" w:hAnsi="Arial" w:cs="Arial"/>
                <w:b/>
                <w:sz w:val="24"/>
                <w:szCs w:val="24"/>
              </w:rPr>
              <w:t>Third Respondent</w:t>
            </w:r>
          </w:p>
        </w:tc>
      </w:tr>
      <w:tr w:rsidR="00FD5FF1" w:rsidRPr="00500CF6" w14:paraId="357EA66E" w14:textId="77777777" w:rsidTr="00B74507">
        <w:tc>
          <w:tcPr>
            <w:tcW w:w="5821" w:type="dxa"/>
            <w:shd w:val="clear" w:color="auto" w:fill="auto"/>
          </w:tcPr>
          <w:p w14:paraId="21523690" w14:textId="552A4BC0"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14:paraId="6A03F944" w14:textId="77777777" w:rsidR="00FD5FF1" w:rsidRPr="00500CF6" w:rsidRDefault="00FD5FF1" w:rsidP="00FD5FF1">
            <w:pPr>
              <w:spacing w:after="0" w:line="480" w:lineRule="auto"/>
              <w:jc w:val="both"/>
              <w:rPr>
                <w:rFonts w:ascii="Arial" w:hAnsi="Arial" w:cs="Arial"/>
                <w:b/>
                <w:sz w:val="24"/>
                <w:szCs w:val="24"/>
              </w:rPr>
            </w:pPr>
          </w:p>
        </w:tc>
      </w:tr>
    </w:tbl>
    <w:p w14:paraId="21971C4A" w14:textId="62F6B320"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 xml:space="preserve">MAINGA JA, </w:t>
      </w:r>
      <w:r w:rsidR="00C06DEE">
        <w:rPr>
          <w:rFonts w:ascii="Arial" w:hAnsi="Arial" w:cs="Arial"/>
          <w:sz w:val="24"/>
          <w:szCs w:val="24"/>
        </w:rPr>
        <w:t>SMUTS JA</w:t>
      </w:r>
      <w:r w:rsidR="00270C55">
        <w:rPr>
          <w:rFonts w:ascii="Arial" w:hAnsi="Arial" w:cs="Arial"/>
          <w:sz w:val="24"/>
          <w:szCs w:val="24"/>
        </w:rPr>
        <w:t xml:space="preserve"> </w:t>
      </w:r>
      <w:r w:rsidR="00BE3226">
        <w:rPr>
          <w:rFonts w:ascii="Arial" w:hAnsi="Arial" w:cs="Arial"/>
          <w:sz w:val="24"/>
          <w:szCs w:val="24"/>
        </w:rPr>
        <w:t xml:space="preserve">and </w:t>
      </w:r>
      <w:r w:rsidR="00C06DEE">
        <w:rPr>
          <w:rFonts w:ascii="Arial" w:hAnsi="Arial" w:cs="Arial"/>
          <w:sz w:val="24"/>
          <w:szCs w:val="24"/>
        </w:rPr>
        <w:t>FRANK AJA</w:t>
      </w:r>
      <w:r>
        <w:rPr>
          <w:rFonts w:ascii="Arial" w:hAnsi="Arial" w:cs="Arial"/>
          <w:sz w:val="24"/>
          <w:szCs w:val="24"/>
        </w:rPr>
        <w:t xml:space="preserve"> </w:t>
      </w:r>
    </w:p>
    <w:p w14:paraId="3D2501C0" w14:textId="5AE62A02"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C06DEE">
        <w:rPr>
          <w:rFonts w:ascii="Arial" w:hAnsi="Arial" w:cs="Arial"/>
          <w:b/>
          <w:sz w:val="24"/>
          <w:szCs w:val="24"/>
        </w:rPr>
        <w:t>1 J</w:t>
      </w:r>
      <w:r w:rsidR="004531B9">
        <w:rPr>
          <w:rFonts w:ascii="Arial" w:hAnsi="Arial" w:cs="Arial"/>
          <w:b/>
          <w:sz w:val="24"/>
          <w:szCs w:val="24"/>
        </w:rPr>
        <w:t>une</w:t>
      </w:r>
      <w:r w:rsidRPr="00594B41">
        <w:rPr>
          <w:rFonts w:ascii="Arial" w:hAnsi="Arial" w:cs="Arial"/>
          <w:b/>
          <w:sz w:val="24"/>
          <w:szCs w:val="24"/>
        </w:rPr>
        <w:t xml:space="preserve"> 201</w:t>
      </w:r>
      <w:r w:rsidR="009D3D25">
        <w:rPr>
          <w:rFonts w:ascii="Arial" w:hAnsi="Arial" w:cs="Arial"/>
          <w:b/>
          <w:sz w:val="24"/>
          <w:szCs w:val="24"/>
        </w:rPr>
        <w:t>8</w:t>
      </w:r>
      <w:r w:rsidR="004531B9">
        <w:rPr>
          <w:rFonts w:ascii="Arial" w:hAnsi="Arial" w:cs="Arial"/>
          <w:b/>
          <w:sz w:val="24"/>
          <w:szCs w:val="24"/>
        </w:rPr>
        <w:t xml:space="preserve"> and 13 July</w:t>
      </w:r>
      <w:r w:rsidR="00ED6ED3">
        <w:rPr>
          <w:rFonts w:ascii="Arial" w:hAnsi="Arial" w:cs="Arial"/>
          <w:b/>
          <w:sz w:val="24"/>
          <w:szCs w:val="24"/>
        </w:rPr>
        <w:t xml:space="preserve"> 2018</w:t>
      </w:r>
    </w:p>
    <w:p w14:paraId="4FC0E56F" w14:textId="091A0029"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693393">
        <w:rPr>
          <w:rFonts w:ascii="Arial" w:hAnsi="Arial" w:cs="Arial"/>
          <w:b/>
          <w:sz w:val="24"/>
          <w:szCs w:val="24"/>
        </w:rPr>
        <w:t xml:space="preserve">31 </w:t>
      </w:r>
      <w:r w:rsidR="002A745D">
        <w:rPr>
          <w:rFonts w:ascii="Arial" w:hAnsi="Arial" w:cs="Arial"/>
          <w:b/>
          <w:sz w:val="24"/>
          <w:szCs w:val="24"/>
        </w:rPr>
        <w:t>A</w:t>
      </w:r>
      <w:r w:rsidR="004531B9">
        <w:rPr>
          <w:rFonts w:ascii="Arial" w:hAnsi="Arial" w:cs="Arial"/>
          <w:b/>
          <w:sz w:val="24"/>
          <w:szCs w:val="24"/>
        </w:rPr>
        <w:t>ugust</w:t>
      </w:r>
      <w:r w:rsidR="00F95355">
        <w:rPr>
          <w:rFonts w:ascii="Arial" w:hAnsi="Arial" w:cs="Arial"/>
          <w:b/>
          <w:sz w:val="24"/>
          <w:szCs w:val="24"/>
        </w:rPr>
        <w:t xml:space="preserve"> 2</w:t>
      </w:r>
      <w:r w:rsidR="004F55D7">
        <w:rPr>
          <w:rFonts w:ascii="Arial" w:hAnsi="Arial" w:cs="Arial"/>
          <w:b/>
          <w:sz w:val="24"/>
          <w:szCs w:val="24"/>
        </w:rPr>
        <w:t>018</w:t>
      </w:r>
    </w:p>
    <w:p w14:paraId="210ACDC6" w14:textId="77777777" w:rsidR="00E41F9F" w:rsidRDefault="00E41F9F" w:rsidP="006018B8">
      <w:pPr>
        <w:spacing w:after="0" w:line="360" w:lineRule="auto"/>
        <w:jc w:val="both"/>
        <w:rPr>
          <w:rFonts w:ascii="Arial" w:hAnsi="Arial" w:cs="Arial"/>
          <w:b/>
          <w:sz w:val="24"/>
          <w:szCs w:val="24"/>
        </w:rPr>
      </w:pPr>
    </w:p>
    <w:p w14:paraId="20B19AF6" w14:textId="74D10C4B" w:rsidR="0016169B" w:rsidRPr="00865E34" w:rsidRDefault="00545BB4" w:rsidP="00F95355">
      <w:pPr>
        <w:spacing w:after="0" w:line="480" w:lineRule="auto"/>
        <w:jc w:val="both"/>
        <w:rPr>
          <w:rFonts w:ascii="Arial" w:hAnsi="Arial" w:cs="Arial"/>
          <w:sz w:val="24"/>
          <w:szCs w:val="24"/>
        </w:rPr>
      </w:pPr>
      <w:r>
        <w:rPr>
          <w:rFonts w:ascii="Arial" w:hAnsi="Arial" w:cs="Arial"/>
          <w:b/>
          <w:sz w:val="24"/>
          <w:szCs w:val="24"/>
        </w:rPr>
        <w:t xml:space="preserve">Summary: </w:t>
      </w:r>
      <w:r w:rsidR="007931A7">
        <w:rPr>
          <w:rFonts w:ascii="Arial" w:hAnsi="Arial" w:cs="Arial"/>
          <w:sz w:val="24"/>
          <w:szCs w:val="24"/>
        </w:rPr>
        <w:t>The</w:t>
      </w:r>
      <w:r w:rsidR="0016169B">
        <w:rPr>
          <w:rFonts w:ascii="Arial" w:hAnsi="Arial" w:cs="Arial"/>
          <w:sz w:val="24"/>
          <w:szCs w:val="24"/>
        </w:rPr>
        <w:t xml:space="preserve"> appellant is a foreigner </w:t>
      </w:r>
      <w:r w:rsidR="00B927BC">
        <w:rPr>
          <w:rFonts w:ascii="Arial" w:hAnsi="Arial" w:cs="Arial"/>
          <w:sz w:val="24"/>
          <w:szCs w:val="24"/>
        </w:rPr>
        <w:t xml:space="preserve">who entered into a car hire agreement with the first respondent, a close corporation. The second and third respondents are the </w:t>
      </w:r>
      <w:r w:rsidR="00E43C7A">
        <w:rPr>
          <w:rFonts w:ascii="Arial" w:hAnsi="Arial" w:cs="Arial"/>
          <w:sz w:val="24"/>
          <w:szCs w:val="24"/>
        </w:rPr>
        <w:t>members</w:t>
      </w:r>
      <w:r w:rsidR="00B927BC">
        <w:rPr>
          <w:rFonts w:ascii="Arial" w:hAnsi="Arial" w:cs="Arial"/>
          <w:sz w:val="24"/>
          <w:szCs w:val="24"/>
        </w:rPr>
        <w:t xml:space="preserve"> of the first respondent. The appellant </w:t>
      </w:r>
      <w:r w:rsidR="007931A7">
        <w:rPr>
          <w:rFonts w:ascii="Arial" w:hAnsi="Arial" w:cs="Arial"/>
          <w:sz w:val="24"/>
          <w:szCs w:val="24"/>
        </w:rPr>
        <w:t xml:space="preserve">sued the first respondent, alternatively the second and third respondents jointly and severally, in the court a </w:t>
      </w:r>
      <w:r w:rsidR="007931A7">
        <w:rPr>
          <w:rFonts w:ascii="Arial" w:hAnsi="Arial" w:cs="Arial"/>
          <w:i/>
          <w:sz w:val="24"/>
          <w:szCs w:val="24"/>
        </w:rPr>
        <w:t xml:space="preserve">quo </w:t>
      </w:r>
      <w:r w:rsidR="007931A7">
        <w:rPr>
          <w:rFonts w:ascii="Arial" w:hAnsi="Arial" w:cs="Arial"/>
          <w:sz w:val="24"/>
          <w:szCs w:val="24"/>
        </w:rPr>
        <w:t>for re</w:t>
      </w:r>
      <w:r w:rsidR="004D58B3">
        <w:rPr>
          <w:rFonts w:ascii="Arial" w:hAnsi="Arial" w:cs="Arial"/>
          <w:sz w:val="24"/>
          <w:szCs w:val="24"/>
        </w:rPr>
        <w:t>payment of N$168 963</w:t>
      </w:r>
      <w:r w:rsidR="00280960">
        <w:rPr>
          <w:rFonts w:ascii="Arial" w:hAnsi="Arial" w:cs="Arial"/>
          <w:sz w:val="24"/>
          <w:szCs w:val="24"/>
        </w:rPr>
        <w:t>, 41</w:t>
      </w:r>
      <w:r w:rsidR="004D58B3">
        <w:rPr>
          <w:rFonts w:ascii="Arial" w:hAnsi="Arial" w:cs="Arial"/>
          <w:sz w:val="24"/>
          <w:szCs w:val="24"/>
        </w:rPr>
        <w:t xml:space="preserve"> and N$28</w:t>
      </w:r>
      <w:r w:rsidR="007931A7">
        <w:rPr>
          <w:rFonts w:ascii="Arial" w:hAnsi="Arial" w:cs="Arial"/>
          <w:sz w:val="24"/>
          <w:szCs w:val="24"/>
        </w:rPr>
        <w:t xml:space="preserve"> 653</w:t>
      </w:r>
      <w:r w:rsidR="00280960">
        <w:rPr>
          <w:rFonts w:ascii="Arial" w:hAnsi="Arial" w:cs="Arial"/>
          <w:sz w:val="24"/>
          <w:szCs w:val="24"/>
        </w:rPr>
        <w:t>, 00</w:t>
      </w:r>
      <w:r w:rsidR="007931A7">
        <w:rPr>
          <w:rFonts w:ascii="Arial" w:hAnsi="Arial" w:cs="Arial"/>
          <w:sz w:val="24"/>
          <w:szCs w:val="24"/>
        </w:rPr>
        <w:t xml:space="preserve"> in respect of damages </w:t>
      </w:r>
      <w:r w:rsidR="00E43C7A">
        <w:rPr>
          <w:rFonts w:ascii="Arial" w:hAnsi="Arial" w:cs="Arial"/>
          <w:sz w:val="24"/>
          <w:szCs w:val="24"/>
        </w:rPr>
        <w:t xml:space="preserve">he </w:t>
      </w:r>
      <w:r w:rsidR="007931A7">
        <w:rPr>
          <w:rFonts w:ascii="Arial" w:hAnsi="Arial" w:cs="Arial"/>
          <w:sz w:val="24"/>
          <w:szCs w:val="24"/>
        </w:rPr>
        <w:lastRenderedPageBreak/>
        <w:t xml:space="preserve">allegedly caused </w:t>
      </w:r>
      <w:r w:rsidR="004D58B3">
        <w:rPr>
          <w:rFonts w:ascii="Arial" w:hAnsi="Arial" w:cs="Arial"/>
          <w:sz w:val="24"/>
          <w:szCs w:val="24"/>
        </w:rPr>
        <w:t xml:space="preserve">to </w:t>
      </w:r>
      <w:r w:rsidR="00E43C7A">
        <w:rPr>
          <w:rFonts w:ascii="Arial" w:hAnsi="Arial" w:cs="Arial"/>
          <w:sz w:val="24"/>
          <w:szCs w:val="24"/>
        </w:rPr>
        <w:t>a</w:t>
      </w:r>
      <w:r w:rsidR="007931A7">
        <w:rPr>
          <w:rFonts w:ascii="Arial" w:hAnsi="Arial" w:cs="Arial"/>
          <w:sz w:val="24"/>
          <w:szCs w:val="24"/>
        </w:rPr>
        <w:t xml:space="preserve"> vehicle hired for use on a safari in Namibia.</w:t>
      </w:r>
      <w:r w:rsidR="004D58B3">
        <w:rPr>
          <w:rFonts w:ascii="Arial" w:hAnsi="Arial" w:cs="Arial"/>
          <w:sz w:val="24"/>
          <w:szCs w:val="24"/>
        </w:rPr>
        <w:t xml:space="preserve"> The court a </w:t>
      </w:r>
      <w:r w:rsidR="004D58B3">
        <w:rPr>
          <w:rFonts w:ascii="Arial" w:hAnsi="Arial" w:cs="Arial"/>
          <w:i/>
          <w:sz w:val="24"/>
          <w:szCs w:val="24"/>
        </w:rPr>
        <w:t xml:space="preserve">quo </w:t>
      </w:r>
      <w:r w:rsidR="0016169B">
        <w:rPr>
          <w:rFonts w:ascii="Arial" w:hAnsi="Arial" w:cs="Arial"/>
          <w:sz w:val="24"/>
          <w:szCs w:val="24"/>
        </w:rPr>
        <w:t>found that the respondents made material representations</w:t>
      </w:r>
      <w:r w:rsidR="00416598">
        <w:rPr>
          <w:rFonts w:ascii="Arial" w:hAnsi="Arial" w:cs="Arial"/>
          <w:sz w:val="24"/>
          <w:szCs w:val="24"/>
        </w:rPr>
        <w:t xml:space="preserve"> </w:t>
      </w:r>
      <w:r w:rsidR="0016169B">
        <w:rPr>
          <w:rFonts w:ascii="Arial" w:hAnsi="Arial" w:cs="Arial"/>
          <w:sz w:val="24"/>
          <w:szCs w:val="24"/>
        </w:rPr>
        <w:t>regarding the ins</w:t>
      </w:r>
      <w:r w:rsidR="00E43C7A">
        <w:rPr>
          <w:rFonts w:ascii="Arial" w:hAnsi="Arial" w:cs="Arial"/>
          <w:sz w:val="24"/>
          <w:szCs w:val="24"/>
        </w:rPr>
        <w:t>urance offered to the appellant</w:t>
      </w:r>
      <w:r w:rsidR="0016169B">
        <w:rPr>
          <w:rFonts w:ascii="Arial" w:hAnsi="Arial" w:cs="Arial"/>
          <w:sz w:val="24"/>
          <w:szCs w:val="24"/>
        </w:rPr>
        <w:t xml:space="preserve">. However, the court a </w:t>
      </w:r>
      <w:r w:rsidR="0016169B">
        <w:rPr>
          <w:rFonts w:ascii="Arial" w:hAnsi="Arial" w:cs="Arial"/>
          <w:i/>
          <w:sz w:val="24"/>
          <w:szCs w:val="24"/>
        </w:rPr>
        <w:t xml:space="preserve">quo </w:t>
      </w:r>
      <w:r w:rsidR="0016169B">
        <w:rPr>
          <w:rFonts w:ascii="Arial" w:hAnsi="Arial" w:cs="Arial"/>
          <w:sz w:val="24"/>
          <w:szCs w:val="24"/>
        </w:rPr>
        <w:t>rejected the submission</w:t>
      </w:r>
      <w:r w:rsidR="00865E34">
        <w:rPr>
          <w:rFonts w:ascii="Arial" w:hAnsi="Arial" w:cs="Arial"/>
          <w:sz w:val="24"/>
          <w:szCs w:val="24"/>
        </w:rPr>
        <w:t xml:space="preserve"> by the appellant alleging that the </w:t>
      </w:r>
      <w:r w:rsidR="00E43C7A">
        <w:rPr>
          <w:rFonts w:ascii="Arial" w:hAnsi="Arial" w:cs="Arial"/>
          <w:sz w:val="24"/>
          <w:szCs w:val="24"/>
        </w:rPr>
        <w:t xml:space="preserve">second and third </w:t>
      </w:r>
      <w:r w:rsidR="00865E34">
        <w:rPr>
          <w:rFonts w:ascii="Arial" w:hAnsi="Arial" w:cs="Arial"/>
          <w:sz w:val="24"/>
          <w:szCs w:val="24"/>
        </w:rPr>
        <w:t>respondents should be held liable</w:t>
      </w:r>
      <w:r w:rsidR="00E43C7A">
        <w:rPr>
          <w:rFonts w:ascii="Arial" w:hAnsi="Arial" w:cs="Arial"/>
          <w:sz w:val="24"/>
          <w:szCs w:val="24"/>
        </w:rPr>
        <w:t xml:space="preserve"> jointly and severally with the first respondent </w:t>
      </w:r>
      <w:r w:rsidR="00865E34">
        <w:rPr>
          <w:rFonts w:ascii="Arial" w:hAnsi="Arial" w:cs="Arial"/>
          <w:sz w:val="24"/>
          <w:szCs w:val="24"/>
        </w:rPr>
        <w:t xml:space="preserve">under the </w:t>
      </w:r>
      <w:r w:rsidR="00E43C7A">
        <w:rPr>
          <w:rFonts w:ascii="Arial" w:hAnsi="Arial" w:cs="Arial"/>
          <w:sz w:val="24"/>
          <w:szCs w:val="24"/>
        </w:rPr>
        <w:t>Close Corporation</w:t>
      </w:r>
      <w:r w:rsidR="00865E34">
        <w:rPr>
          <w:rFonts w:ascii="Arial" w:hAnsi="Arial" w:cs="Arial"/>
          <w:sz w:val="24"/>
          <w:szCs w:val="24"/>
        </w:rPr>
        <w:t xml:space="preserve"> Act, because that was not the case of the appellant. </w:t>
      </w:r>
      <w:r w:rsidR="008D52E4">
        <w:rPr>
          <w:rFonts w:ascii="Arial" w:hAnsi="Arial" w:cs="Arial"/>
          <w:sz w:val="24"/>
          <w:szCs w:val="24"/>
        </w:rPr>
        <w:t>The</w:t>
      </w:r>
      <w:r w:rsidR="00865E34">
        <w:rPr>
          <w:rFonts w:ascii="Arial" w:hAnsi="Arial" w:cs="Arial"/>
          <w:sz w:val="24"/>
          <w:szCs w:val="24"/>
        </w:rPr>
        <w:t xml:space="preserve"> court a </w:t>
      </w:r>
      <w:r w:rsidR="00865E34">
        <w:rPr>
          <w:rFonts w:ascii="Arial" w:hAnsi="Arial" w:cs="Arial"/>
          <w:i/>
          <w:sz w:val="24"/>
          <w:szCs w:val="24"/>
        </w:rPr>
        <w:t xml:space="preserve">quo </w:t>
      </w:r>
      <w:r w:rsidR="00865E34">
        <w:rPr>
          <w:rFonts w:ascii="Arial" w:hAnsi="Arial" w:cs="Arial"/>
          <w:sz w:val="24"/>
          <w:szCs w:val="24"/>
        </w:rPr>
        <w:t>f</w:t>
      </w:r>
      <w:r w:rsidR="008D52E4">
        <w:rPr>
          <w:rFonts w:ascii="Arial" w:hAnsi="Arial" w:cs="Arial"/>
          <w:sz w:val="24"/>
          <w:szCs w:val="24"/>
        </w:rPr>
        <w:t>urther f</w:t>
      </w:r>
      <w:r w:rsidR="00865E34">
        <w:rPr>
          <w:rFonts w:ascii="Arial" w:hAnsi="Arial" w:cs="Arial"/>
          <w:sz w:val="24"/>
          <w:szCs w:val="24"/>
        </w:rPr>
        <w:t>ound that the appellant failed to discharge his onus in proving that the respondents’ insurance covered the loss to the vehicle arising from him driving through a riverbed on an unmarked road</w:t>
      </w:r>
      <w:r w:rsidR="00652CAB">
        <w:rPr>
          <w:rFonts w:ascii="Arial" w:hAnsi="Arial" w:cs="Arial"/>
          <w:sz w:val="24"/>
          <w:szCs w:val="24"/>
        </w:rPr>
        <w:t>,</w:t>
      </w:r>
      <w:r w:rsidR="00865E34">
        <w:rPr>
          <w:rFonts w:ascii="Arial" w:hAnsi="Arial" w:cs="Arial"/>
          <w:sz w:val="24"/>
          <w:szCs w:val="24"/>
        </w:rPr>
        <w:t xml:space="preserve"> </w:t>
      </w:r>
      <w:r w:rsidR="00652CAB">
        <w:rPr>
          <w:rFonts w:ascii="Arial" w:hAnsi="Arial" w:cs="Arial"/>
          <w:sz w:val="24"/>
          <w:szCs w:val="24"/>
        </w:rPr>
        <w:t>not authorized by the appellant</w:t>
      </w:r>
      <w:r w:rsidR="00865E34">
        <w:rPr>
          <w:rFonts w:ascii="Arial" w:hAnsi="Arial" w:cs="Arial"/>
          <w:sz w:val="24"/>
          <w:szCs w:val="24"/>
        </w:rPr>
        <w:t xml:space="preserve">. Regarding the appellant’s alternative claim of unjust enrichment, the court a </w:t>
      </w:r>
      <w:r w:rsidR="00865E34">
        <w:rPr>
          <w:rFonts w:ascii="Arial" w:hAnsi="Arial" w:cs="Arial"/>
          <w:i/>
          <w:sz w:val="24"/>
          <w:szCs w:val="24"/>
        </w:rPr>
        <w:t xml:space="preserve">quo </w:t>
      </w:r>
      <w:r w:rsidR="00865E34">
        <w:rPr>
          <w:rFonts w:ascii="Arial" w:hAnsi="Arial" w:cs="Arial"/>
          <w:sz w:val="24"/>
          <w:szCs w:val="24"/>
        </w:rPr>
        <w:t xml:space="preserve">found that the respondents failed to produce proof of repairs to the damaged vehicle and </w:t>
      </w:r>
      <w:r w:rsidR="00652CAB">
        <w:rPr>
          <w:rFonts w:ascii="Arial" w:hAnsi="Arial" w:cs="Arial"/>
          <w:sz w:val="24"/>
          <w:szCs w:val="24"/>
        </w:rPr>
        <w:t xml:space="preserve">that </w:t>
      </w:r>
      <w:r w:rsidR="008D52E4">
        <w:rPr>
          <w:rFonts w:ascii="Arial" w:hAnsi="Arial" w:cs="Arial"/>
          <w:sz w:val="24"/>
          <w:szCs w:val="24"/>
        </w:rPr>
        <w:t xml:space="preserve">first respondent </w:t>
      </w:r>
      <w:r w:rsidR="00865E34">
        <w:rPr>
          <w:rFonts w:ascii="Arial" w:hAnsi="Arial" w:cs="Arial"/>
          <w:sz w:val="24"/>
          <w:szCs w:val="24"/>
        </w:rPr>
        <w:t>therefore w</w:t>
      </w:r>
      <w:r w:rsidR="000D1AD7">
        <w:rPr>
          <w:rFonts w:ascii="Arial" w:hAnsi="Arial" w:cs="Arial"/>
          <w:sz w:val="24"/>
          <w:szCs w:val="24"/>
        </w:rPr>
        <w:t>as</w:t>
      </w:r>
      <w:r w:rsidR="00865E34">
        <w:rPr>
          <w:rFonts w:ascii="Arial" w:hAnsi="Arial" w:cs="Arial"/>
          <w:sz w:val="24"/>
          <w:szCs w:val="24"/>
        </w:rPr>
        <w:t xml:space="preserve"> enriched at the appellant’s expense. In respect of the claim of N$28 653, the court a </w:t>
      </w:r>
      <w:r w:rsidR="00865E34">
        <w:rPr>
          <w:rFonts w:ascii="Arial" w:hAnsi="Arial" w:cs="Arial"/>
          <w:i/>
          <w:sz w:val="24"/>
          <w:szCs w:val="24"/>
        </w:rPr>
        <w:t xml:space="preserve">quo </w:t>
      </w:r>
      <w:r w:rsidR="00865E34">
        <w:rPr>
          <w:rFonts w:ascii="Arial" w:hAnsi="Arial" w:cs="Arial"/>
          <w:sz w:val="24"/>
          <w:szCs w:val="24"/>
        </w:rPr>
        <w:t>found</w:t>
      </w:r>
      <w:r w:rsidR="00416598">
        <w:rPr>
          <w:rFonts w:ascii="Arial" w:hAnsi="Arial" w:cs="Arial"/>
          <w:sz w:val="24"/>
          <w:szCs w:val="24"/>
        </w:rPr>
        <w:t xml:space="preserve"> that</w:t>
      </w:r>
      <w:r w:rsidR="00865E34">
        <w:rPr>
          <w:rFonts w:ascii="Arial" w:hAnsi="Arial" w:cs="Arial"/>
          <w:sz w:val="24"/>
          <w:szCs w:val="24"/>
        </w:rPr>
        <w:t xml:space="preserve"> the appellant’s arguments</w:t>
      </w:r>
      <w:r w:rsidR="00A81BE3">
        <w:rPr>
          <w:rFonts w:ascii="Arial" w:hAnsi="Arial" w:cs="Arial"/>
          <w:sz w:val="24"/>
          <w:szCs w:val="24"/>
        </w:rPr>
        <w:t xml:space="preserve"> were</w:t>
      </w:r>
      <w:r w:rsidR="00865E34">
        <w:rPr>
          <w:rFonts w:ascii="Arial" w:hAnsi="Arial" w:cs="Arial"/>
          <w:sz w:val="24"/>
          <w:szCs w:val="24"/>
        </w:rPr>
        <w:t xml:space="preserve"> meritless as this amount was clearly itemized by the respondents as expenses they incurred in order to extract the vehicle from the riverbed. Lastly, on the issue of whether the second and third respondents should </w:t>
      </w:r>
      <w:r w:rsidR="00416598">
        <w:rPr>
          <w:rFonts w:ascii="Arial" w:hAnsi="Arial" w:cs="Arial"/>
          <w:sz w:val="24"/>
          <w:szCs w:val="24"/>
        </w:rPr>
        <w:t>be</w:t>
      </w:r>
      <w:r w:rsidR="00865E34">
        <w:rPr>
          <w:rFonts w:ascii="Arial" w:hAnsi="Arial" w:cs="Arial"/>
          <w:sz w:val="24"/>
          <w:szCs w:val="24"/>
        </w:rPr>
        <w:t xml:space="preserve"> held jointly and severally liable</w:t>
      </w:r>
      <w:r w:rsidR="003A2D0A">
        <w:rPr>
          <w:rFonts w:ascii="Arial" w:hAnsi="Arial" w:cs="Arial"/>
          <w:sz w:val="24"/>
          <w:szCs w:val="24"/>
        </w:rPr>
        <w:t xml:space="preserve"> with the corporation</w:t>
      </w:r>
      <w:r w:rsidR="00865E34">
        <w:rPr>
          <w:rFonts w:ascii="Arial" w:hAnsi="Arial" w:cs="Arial"/>
          <w:sz w:val="24"/>
          <w:szCs w:val="24"/>
        </w:rPr>
        <w:t xml:space="preserve"> </w:t>
      </w:r>
      <w:r w:rsidR="00416598">
        <w:rPr>
          <w:rFonts w:ascii="Arial" w:hAnsi="Arial" w:cs="Arial"/>
          <w:sz w:val="24"/>
          <w:szCs w:val="24"/>
        </w:rPr>
        <w:t>for the amount of N$168 963,41</w:t>
      </w:r>
      <w:r w:rsidR="00865E34">
        <w:rPr>
          <w:rFonts w:ascii="Arial" w:hAnsi="Arial" w:cs="Arial"/>
          <w:sz w:val="24"/>
          <w:szCs w:val="24"/>
        </w:rPr>
        <w:t xml:space="preserve">, the court a </w:t>
      </w:r>
      <w:r w:rsidR="00865E34">
        <w:rPr>
          <w:rFonts w:ascii="Arial" w:hAnsi="Arial" w:cs="Arial"/>
          <w:i/>
          <w:sz w:val="24"/>
          <w:szCs w:val="24"/>
        </w:rPr>
        <w:t xml:space="preserve">quo </w:t>
      </w:r>
      <w:r w:rsidR="00A81BE3">
        <w:rPr>
          <w:rFonts w:ascii="Arial" w:hAnsi="Arial" w:cs="Arial"/>
          <w:sz w:val="24"/>
          <w:szCs w:val="24"/>
        </w:rPr>
        <w:t>found no basis for</w:t>
      </w:r>
      <w:r w:rsidR="00B423EC">
        <w:rPr>
          <w:rFonts w:ascii="Arial" w:hAnsi="Arial" w:cs="Arial"/>
          <w:sz w:val="24"/>
          <w:szCs w:val="24"/>
        </w:rPr>
        <w:t xml:space="preserve"> such</w:t>
      </w:r>
      <w:r w:rsidR="00A81BE3">
        <w:rPr>
          <w:rFonts w:ascii="Arial" w:hAnsi="Arial" w:cs="Arial"/>
          <w:sz w:val="24"/>
          <w:szCs w:val="24"/>
        </w:rPr>
        <w:t xml:space="preserve"> liability </w:t>
      </w:r>
      <w:r w:rsidR="00B423EC">
        <w:rPr>
          <w:rFonts w:ascii="Arial" w:hAnsi="Arial" w:cs="Arial"/>
          <w:sz w:val="24"/>
          <w:szCs w:val="24"/>
        </w:rPr>
        <w:t xml:space="preserve">on the </w:t>
      </w:r>
      <w:r w:rsidR="00A779DD">
        <w:rPr>
          <w:rFonts w:ascii="Arial" w:hAnsi="Arial" w:cs="Arial"/>
          <w:sz w:val="24"/>
          <w:szCs w:val="24"/>
        </w:rPr>
        <w:t>case</w:t>
      </w:r>
      <w:r w:rsidR="00B423EC">
        <w:rPr>
          <w:rFonts w:ascii="Arial" w:hAnsi="Arial" w:cs="Arial"/>
          <w:sz w:val="24"/>
          <w:szCs w:val="24"/>
        </w:rPr>
        <w:t xml:space="preserve"> as pleaded</w:t>
      </w:r>
      <w:r w:rsidR="00A81BE3">
        <w:rPr>
          <w:rFonts w:ascii="Arial" w:hAnsi="Arial" w:cs="Arial"/>
          <w:sz w:val="24"/>
          <w:szCs w:val="24"/>
        </w:rPr>
        <w:t>.</w:t>
      </w:r>
    </w:p>
    <w:p w14:paraId="0AF404A4" w14:textId="77777777" w:rsidR="0016169B" w:rsidRDefault="0016169B" w:rsidP="00F95355">
      <w:pPr>
        <w:spacing w:after="0" w:line="480" w:lineRule="auto"/>
        <w:jc w:val="both"/>
        <w:rPr>
          <w:rFonts w:ascii="Arial" w:hAnsi="Arial" w:cs="Arial"/>
          <w:i/>
          <w:sz w:val="24"/>
          <w:szCs w:val="24"/>
        </w:rPr>
      </w:pPr>
    </w:p>
    <w:p w14:paraId="1E02A971" w14:textId="78016BDC" w:rsidR="00CB1104" w:rsidRDefault="00A81BE3" w:rsidP="00F95355">
      <w:pPr>
        <w:spacing w:after="0" w:line="480" w:lineRule="auto"/>
        <w:jc w:val="both"/>
        <w:rPr>
          <w:rFonts w:ascii="Arial" w:hAnsi="Arial" w:cs="Arial"/>
          <w:sz w:val="24"/>
          <w:szCs w:val="24"/>
        </w:rPr>
      </w:pPr>
      <w:r>
        <w:rPr>
          <w:rFonts w:ascii="Arial" w:hAnsi="Arial" w:cs="Arial"/>
          <w:sz w:val="24"/>
          <w:szCs w:val="24"/>
        </w:rPr>
        <w:t>Aggrieved, t</w:t>
      </w:r>
      <w:r w:rsidR="004D58B3">
        <w:rPr>
          <w:rFonts w:ascii="Arial" w:hAnsi="Arial" w:cs="Arial"/>
          <w:sz w:val="24"/>
          <w:szCs w:val="24"/>
        </w:rPr>
        <w:t xml:space="preserve">he appellant </w:t>
      </w:r>
      <w:r>
        <w:rPr>
          <w:rFonts w:ascii="Arial" w:hAnsi="Arial" w:cs="Arial"/>
          <w:sz w:val="24"/>
          <w:szCs w:val="24"/>
        </w:rPr>
        <w:t xml:space="preserve">now </w:t>
      </w:r>
      <w:r w:rsidR="004D58B3">
        <w:rPr>
          <w:rFonts w:ascii="Arial" w:hAnsi="Arial" w:cs="Arial"/>
          <w:sz w:val="24"/>
          <w:szCs w:val="24"/>
        </w:rPr>
        <w:t xml:space="preserve">appeals against </w:t>
      </w:r>
      <w:r w:rsidR="00A779DD">
        <w:rPr>
          <w:rFonts w:ascii="Arial" w:hAnsi="Arial" w:cs="Arial"/>
          <w:sz w:val="24"/>
          <w:szCs w:val="24"/>
        </w:rPr>
        <w:t>the finding of the</w:t>
      </w:r>
      <w:r w:rsidR="004D58B3">
        <w:rPr>
          <w:rFonts w:ascii="Arial" w:hAnsi="Arial" w:cs="Arial"/>
          <w:sz w:val="24"/>
          <w:szCs w:val="24"/>
        </w:rPr>
        <w:t xml:space="preserve"> High Court </w:t>
      </w:r>
      <w:r w:rsidR="00652CAB">
        <w:rPr>
          <w:rFonts w:ascii="Arial" w:hAnsi="Arial" w:cs="Arial"/>
          <w:sz w:val="24"/>
          <w:szCs w:val="24"/>
        </w:rPr>
        <w:t>t</w:t>
      </w:r>
      <w:r w:rsidR="00B423EC">
        <w:rPr>
          <w:rFonts w:ascii="Arial" w:hAnsi="Arial" w:cs="Arial"/>
          <w:sz w:val="24"/>
          <w:szCs w:val="24"/>
        </w:rPr>
        <w:t>h</w:t>
      </w:r>
      <w:r w:rsidR="00A779DD">
        <w:rPr>
          <w:rFonts w:ascii="Arial" w:hAnsi="Arial" w:cs="Arial"/>
          <w:sz w:val="24"/>
          <w:szCs w:val="24"/>
        </w:rPr>
        <w:t xml:space="preserve">at second and third </w:t>
      </w:r>
      <w:r w:rsidR="00652CAB">
        <w:rPr>
          <w:rFonts w:ascii="Arial" w:hAnsi="Arial" w:cs="Arial"/>
          <w:sz w:val="24"/>
          <w:szCs w:val="24"/>
        </w:rPr>
        <w:t>appellant</w:t>
      </w:r>
      <w:r w:rsidR="00A779DD">
        <w:rPr>
          <w:rFonts w:ascii="Arial" w:hAnsi="Arial" w:cs="Arial"/>
          <w:sz w:val="24"/>
          <w:szCs w:val="24"/>
        </w:rPr>
        <w:t xml:space="preserve">s were not liable, jointly and severally with first </w:t>
      </w:r>
      <w:r w:rsidR="00652CAB">
        <w:rPr>
          <w:rFonts w:ascii="Arial" w:hAnsi="Arial" w:cs="Arial"/>
          <w:sz w:val="24"/>
          <w:szCs w:val="24"/>
        </w:rPr>
        <w:t>respondent</w:t>
      </w:r>
      <w:r w:rsidR="00A779DD">
        <w:rPr>
          <w:rFonts w:ascii="Arial" w:hAnsi="Arial" w:cs="Arial"/>
          <w:sz w:val="24"/>
          <w:szCs w:val="24"/>
        </w:rPr>
        <w:t xml:space="preserve"> in respect of the claim based on enrichment. </w:t>
      </w:r>
      <w:r w:rsidR="004D58B3">
        <w:rPr>
          <w:rFonts w:ascii="Arial" w:hAnsi="Arial" w:cs="Arial"/>
          <w:sz w:val="24"/>
          <w:szCs w:val="24"/>
        </w:rPr>
        <w:t>Subsequently, the respondents cross-appealed against the finding of the High Court, that the respondents have been enriched at the expense of t</w:t>
      </w:r>
      <w:r w:rsidR="00B423EC">
        <w:rPr>
          <w:rFonts w:ascii="Arial" w:hAnsi="Arial" w:cs="Arial"/>
          <w:sz w:val="24"/>
          <w:szCs w:val="24"/>
        </w:rPr>
        <w:t>he appellant</w:t>
      </w:r>
      <w:r w:rsidR="004D58B3">
        <w:rPr>
          <w:rFonts w:ascii="Arial" w:hAnsi="Arial" w:cs="Arial"/>
          <w:sz w:val="24"/>
          <w:szCs w:val="24"/>
        </w:rPr>
        <w:t>.</w:t>
      </w:r>
    </w:p>
    <w:p w14:paraId="612CB101" w14:textId="77777777" w:rsidR="00A81BE3" w:rsidRDefault="00A81BE3" w:rsidP="00F95355">
      <w:pPr>
        <w:spacing w:after="0" w:line="480" w:lineRule="auto"/>
        <w:jc w:val="both"/>
        <w:rPr>
          <w:rFonts w:ascii="Arial" w:hAnsi="Arial" w:cs="Arial"/>
          <w:sz w:val="24"/>
          <w:szCs w:val="24"/>
        </w:rPr>
      </w:pPr>
    </w:p>
    <w:p w14:paraId="0A8F5B84" w14:textId="046802F4" w:rsidR="00A81BE3" w:rsidRDefault="00A81BE3" w:rsidP="00F95355">
      <w:pPr>
        <w:spacing w:after="0" w:line="480" w:lineRule="auto"/>
        <w:jc w:val="both"/>
        <w:rPr>
          <w:rFonts w:ascii="Arial" w:hAnsi="Arial" w:cs="Arial"/>
          <w:sz w:val="24"/>
          <w:szCs w:val="24"/>
        </w:rPr>
      </w:pPr>
      <w:r>
        <w:rPr>
          <w:rFonts w:ascii="Arial" w:hAnsi="Arial" w:cs="Arial"/>
          <w:sz w:val="24"/>
          <w:szCs w:val="24"/>
        </w:rPr>
        <w:lastRenderedPageBreak/>
        <w:t>The appeal in this court</w:t>
      </w:r>
      <w:r w:rsidR="00673596">
        <w:rPr>
          <w:rFonts w:ascii="Arial" w:hAnsi="Arial" w:cs="Arial"/>
          <w:sz w:val="24"/>
          <w:szCs w:val="24"/>
        </w:rPr>
        <w:t xml:space="preserve"> was to be heard on 1 June 2018</w:t>
      </w:r>
      <w:r w:rsidR="00652CAB">
        <w:rPr>
          <w:rFonts w:ascii="Arial" w:hAnsi="Arial" w:cs="Arial"/>
          <w:sz w:val="24"/>
          <w:szCs w:val="24"/>
        </w:rPr>
        <w:t>.</w:t>
      </w:r>
      <w:r w:rsidR="00A779DD">
        <w:rPr>
          <w:rFonts w:ascii="Arial" w:hAnsi="Arial" w:cs="Arial"/>
          <w:sz w:val="24"/>
          <w:szCs w:val="24"/>
        </w:rPr>
        <w:t xml:space="preserve"> </w:t>
      </w:r>
      <w:r w:rsidR="00652CAB">
        <w:rPr>
          <w:rFonts w:ascii="Arial" w:hAnsi="Arial" w:cs="Arial"/>
          <w:sz w:val="24"/>
          <w:szCs w:val="24"/>
        </w:rPr>
        <w:t>H</w:t>
      </w:r>
      <w:r w:rsidR="00A779DD">
        <w:rPr>
          <w:rFonts w:ascii="Arial" w:hAnsi="Arial" w:cs="Arial"/>
          <w:sz w:val="24"/>
          <w:szCs w:val="24"/>
        </w:rPr>
        <w:t>owever on that day</w:t>
      </w:r>
      <w:r>
        <w:rPr>
          <w:rFonts w:ascii="Arial" w:hAnsi="Arial" w:cs="Arial"/>
          <w:sz w:val="24"/>
          <w:szCs w:val="24"/>
        </w:rPr>
        <w:t xml:space="preserve"> the appellant’s legal representative raised the issue that the respondents failed to tender security for costs in terms of rule 14(2). The court accordingly decided to postpone the matter to a date to be arranged with the registrar </w:t>
      </w:r>
      <w:r w:rsidR="00A779DD">
        <w:rPr>
          <w:rFonts w:ascii="Arial" w:hAnsi="Arial" w:cs="Arial"/>
          <w:sz w:val="24"/>
          <w:szCs w:val="24"/>
        </w:rPr>
        <w:t>for the respondents to address the point belatedly taken without any</w:t>
      </w:r>
      <w:r w:rsidR="00460C24">
        <w:rPr>
          <w:rFonts w:ascii="Arial" w:hAnsi="Arial" w:cs="Arial"/>
          <w:sz w:val="24"/>
          <w:szCs w:val="24"/>
        </w:rPr>
        <w:t xml:space="preserve"> forewarning</w:t>
      </w:r>
      <w:r>
        <w:rPr>
          <w:rFonts w:ascii="Arial" w:hAnsi="Arial" w:cs="Arial"/>
          <w:sz w:val="24"/>
          <w:szCs w:val="24"/>
        </w:rPr>
        <w:t xml:space="preserve">. The respondents were </w:t>
      </w:r>
      <w:r w:rsidR="00A779DD">
        <w:rPr>
          <w:rFonts w:ascii="Arial" w:hAnsi="Arial" w:cs="Arial"/>
          <w:sz w:val="24"/>
          <w:szCs w:val="24"/>
        </w:rPr>
        <w:t>directed</w:t>
      </w:r>
      <w:r>
        <w:rPr>
          <w:rFonts w:ascii="Arial" w:hAnsi="Arial" w:cs="Arial"/>
          <w:sz w:val="24"/>
          <w:szCs w:val="24"/>
        </w:rPr>
        <w:t xml:space="preserve"> to file a condonation and reinstatement application explaining their failure to file the said security and why their cross-appeal should be heard. The matter was postponed and subsequently heard on 13 July 2018.</w:t>
      </w:r>
    </w:p>
    <w:p w14:paraId="6868BC05" w14:textId="5C6B7EBA" w:rsidR="00EC7FB4" w:rsidRDefault="00EC7FB4" w:rsidP="00F95355">
      <w:pPr>
        <w:spacing w:after="0" w:line="480" w:lineRule="auto"/>
        <w:jc w:val="both"/>
        <w:rPr>
          <w:rFonts w:ascii="Arial" w:hAnsi="Arial" w:cs="Arial"/>
          <w:sz w:val="24"/>
          <w:szCs w:val="24"/>
        </w:rPr>
      </w:pPr>
    </w:p>
    <w:p w14:paraId="1501FE89" w14:textId="4B1A1C90" w:rsidR="00EC7FB4" w:rsidRDefault="00EC7FB4" w:rsidP="00F95355">
      <w:pPr>
        <w:spacing w:after="0" w:line="480" w:lineRule="auto"/>
        <w:jc w:val="both"/>
        <w:rPr>
          <w:rFonts w:ascii="Arial" w:hAnsi="Arial" w:cs="Arial"/>
          <w:sz w:val="24"/>
          <w:szCs w:val="24"/>
        </w:rPr>
      </w:pPr>
      <w:r>
        <w:rPr>
          <w:rFonts w:ascii="Arial" w:hAnsi="Arial" w:cs="Arial"/>
          <w:sz w:val="24"/>
          <w:szCs w:val="24"/>
        </w:rPr>
        <w:t xml:space="preserve">Although the condonation application remained unopposed, the court held that a litigant seeking condonation bears the onus to satisfy the court that there is sufficient cause to warrant the grant of condonation and that such application should be lodged without delay. Based on the authority of </w:t>
      </w:r>
      <w:r w:rsidRPr="00EC7FB4">
        <w:rPr>
          <w:rFonts w:ascii="Arial" w:hAnsi="Arial" w:cs="Arial"/>
          <w:i/>
          <w:sz w:val="24"/>
          <w:szCs w:val="24"/>
        </w:rPr>
        <w:t xml:space="preserve">Kleynhans v Chairperson of the Council for the Municipality of </w:t>
      </w:r>
      <w:proofErr w:type="spellStart"/>
      <w:r w:rsidRPr="00EC7FB4">
        <w:rPr>
          <w:rFonts w:ascii="Arial" w:hAnsi="Arial" w:cs="Arial"/>
          <w:i/>
          <w:sz w:val="24"/>
          <w:szCs w:val="24"/>
        </w:rPr>
        <w:t>Walvisbay</w:t>
      </w:r>
      <w:proofErr w:type="spellEnd"/>
      <w:r w:rsidRPr="00EC7FB4">
        <w:rPr>
          <w:rFonts w:ascii="Arial" w:hAnsi="Arial" w:cs="Arial"/>
          <w:i/>
          <w:sz w:val="24"/>
          <w:szCs w:val="24"/>
        </w:rPr>
        <w:t xml:space="preserve"> and others</w:t>
      </w:r>
      <w:r>
        <w:rPr>
          <w:rFonts w:ascii="Arial" w:hAnsi="Arial" w:cs="Arial"/>
          <w:sz w:val="24"/>
          <w:szCs w:val="24"/>
        </w:rPr>
        <w:t xml:space="preserve">, </w:t>
      </w:r>
      <w:r w:rsidR="00416598">
        <w:rPr>
          <w:rFonts w:ascii="Arial" w:hAnsi="Arial" w:cs="Arial"/>
          <w:sz w:val="24"/>
          <w:szCs w:val="24"/>
        </w:rPr>
        <w:t>this court found</w:t>
      </w:r>
      <w:r>
        <w:rPr>
          <w:rFonts w:ascii="Arial" w:hAnsi="Arial" w:cs="Arial"/>
          <w:sz w:val="24"/>
          <w:szCs w:val="24"/>
        </w:rPr>
        <w:t xml:space="preserve"> that although security was offered on 1 June 2018</w:t>
      </w:r>
      <w:r w:rsidR="00416598">
        <w:rPr>
          <w:rFonts w:ascii="Arial" w:hAnsi="Arial" w:cs="Arial"/>
          <w:sz w:val="24"/>
          <w:szCs w:val="24"/>
        </w:rPr>
        <w:t xml:space="preserve"> and the wasted costs were tendered by the respondents</w:t>
      </w:r>
      <w:r>
        <w:rPr>
          <w:rFonts w:ascii="Arial" w:hAnsi="Arial" w:cs="Arial"/>
          <w:sz w:val="24"/>
          <w:szCs w:val="24"/>
        </w:rPr>
        <w:t xml:space="preserve">, the application resurrecting the cross-appeal was filed five weeks later and the explanation </w:t>
      </w:r>
      <w:r w:rsidR="00D64E3A">
        <w:rPr>
          <w:rFonts w:ascii="Arial" w:hAnsi="Arial" w:cs="Arial"/>
          <w:sz w:val="24"/>
          <w:szCs w:val="24"/>
        </w:rPr>
        <w:t>tendered</w:t>
      </w:r>
      <w:r>
        <w:rPr>
          <w:rFonts w:ascii="Arial" w:hAnsi="Arial" w:cs="Arial"/>
          <w:sz w:val="24"/>
          <w:szCs w:val="24"/>
        </w:rPr>
        <w:t xml:space="preserve"> in respect of the delay was neither sufficient nor satis</w:t>
      </w:r>
      <w:r w:rsidR="00D64E3A">
        <w:rPr>
          <w:rFonts w:ascii="Arial" w:hAnsi="Arial" w:cs="Arial"/>
          <w:sz w:val="24"/>
          <w:szCs w:val="24"/>
        </w:rPr>
        <w:t xml:space="preserve">factory and a flagrant disregard </w:t>
      </w:r>
      <w:r w:rsidR="00A779DD">
        <w:rPr>
          <w:rFonts w:ascii="Arial" w:hAnsi="Arial" w:cs="Arial"/>
          <w:sz w:val="24"/>
          <w:szCs w:val="24"/>
        </w:rPr>
        <w:t>of</w:t>
      </w:r>
      <w:r w:rsidR="00D64E3A">
        <w:rPr>
          <w:rFonts w:ascii="Arial" w:hAnsi="Arial" w:cs="Arial"/>
          <w:sz w:val="24"/>
          <w:szCs w:val="24"/>
        </w:rPr>
        <w:t xml:space="preserve"> this court’s rules.</w:t>
      </w:r>
      <w:r w:rsidR="003A2D0A">
        <w:rPr>
          <w:rFonts w:ascii="Arial" w:hAnsi="Arial" w:cs="Arial"/>
          <w:sz w:val="24"/>
          <w:szCs w:val="24"/>
        </w:rPr>
        <w:t xml:space="preserve"> The application to reinstate the cross-appeal </w:t>
      </w:r>
      <w:r w:rsidR="00652CAB">
        <w:rPr>
          <w:rFonts w:ascii="Arial" w:hAnsi="Arial" w:cs="Arial"/>
          <w:sz w:val="24"/>
          <w:szCs w:val="24"/>
        </w:rPr>
        <w:t>is therefore</w:t>
      </w:r>
      <w:r w:rsidR="003A2D0A">
        <w:rPr>
          <w:rFonts w:ascii="Arial" w:hAnsi="Arial" w:cs="Arial"/>
          <w:sz w:val="24"/>
          <w:szCs w:val="24"/>
        </w:rPr>
        <w:t xml:space="preserve"> refused.</w:t>
      </w:r>
    </w:p>
    <w:p w14:paraId="47347066" w14:textId="77777777" w:rsidR="00D64E3A" w:rsidRDefault="00D64E3A" w:rsidP="00F95355">
      <w:pPr>
        <w:spacing w:after="0" w:line="480" w:lineRule="auto"/>
        <w:jc w:val="both"/>
        <w:rPr>
          <w:rFonts w:ascii="Arial" w:hAnsi="Arial" w:cs="Arial"/>
          <w:sz w:val="24"/>
          <w:szCs w:val="24"/>
        </w:rPr>
      </w:pPr>
    </w:p>
    <w:p w14:paraId="41C8E254" w14:textId="75E6ED6A" w:rsidR="00D64E3A" w:rsidRDefault="00D64E3A" w:rsidP="00F95355">
      <w:pPr>
        <w:spacing w:after="0" w:line="480" w:lineRule="auto"/>
        <w:jc w:val="both"/>
        <w:rPr>
          <w:rFonts w:ascii="Arial" w:hAnsi="Arial" w:cs="Arial"/>
          <w:sz w:val="24"/>
          <w:szCs w:val="24"/>
        </w:rPr>
      </w:pPr>
      <w:r>
        <w:rPr>
          <w:rFonts w:ascii="Arial" w:hAnsi="Arial" w:cs="Arial"/>
          <w:sz w:val="24"/>
          <w:szCs w:val="24"/>
        </w:rPr>
        <w:t xml:space="preserve">The only issue for determination on appeal is whether the second and third respondents should be held jointly and severally liable for </w:t>
      </w:r>
      <w:r w:rsidR="00C10F77">
        <w:rPr>
          <w:rFonts w:ascii="Arial" w:hAnsi="Arial" w:cs="Arial"/>
          <w:sz w:val="24"/>
          <w:szCs w:val="24"/>
        </w:rPr>
        <w:t>re</w:t>
      </w:r>
      <w:r>
        <w:rPr>
          <w:rFonts w:ascii="Arial" w:hAnsi="Arial" w:cs="Arial"/>
          <w:sz w:val="24"/>
          <w:szCs w:val="24"/>
        </w:rPr>
        <w:t>payment of the amount of N$168 963,41</w:t>
      </w:r>
      <w:r w:rsidR="00416598">
        <w:rPr>
          <w:rFonts w:ascii="Arial" w:hAnsi="Arial" w:cs="Arial"/>
          <w:sz w:val="24"/>
          <w:szCs w:val="24"/>
        </w:rPr>
        <w:t xml:space="preserve">. The appellant submitted that it was not necessary for him to have pleaded that the respondents </w:t>
      </w:r>
      <w:r w:rsidR="00E337C2">
        <w:rPr>
          <w:rFonts w:ascii="Arial" w:hAnsi="Arial" w:cs="Arial"/>
          <w:sz w:val="24"/>
          <w:szCs w:val="24"/>
        </w:rPr>
        <w:t>acted</w:t>
      </w:r>
      <w:r w:rsidR="00416598">
        <w:rPr>
          <w:rFonts w:ascii="Arial" w:hAnsi="Arial" w:cs="Arial"/>
          <w:sz w:val="24"/>
          <w:szCs w:val="24"/>
        </w:rPr>
        <w:t xml:space="preserve"> in violation of the Close Corporation Act, as the violation was evident from the facts and the documents </w:t>
      </w:r>
      <w:r w:rsidR="00416598">
        <w:rPr>
          <w:rFonts w:ascii="Arial" w:hAnsi="Arial" w:cs="Arial"/>
          <w:sz w:val="24"/>
          <w:szCs w:val="24"/>
        </w:rPr>
        <w:lastRenderedPageBreak/>
        <w:t>filed of record</w:t>
      </w:r>
      <w:r w:rsidR="00C10F77">
        <w:rPr>
          <w:rFonts w:ascii="Arial" w:hAnsi="Arial" w:cs="Arial"/>
          <w:sz w:val="24"/>
          <w:szCs w:val="24"/>
        </w:rPr>
        <w:t>. However, counsel submitted that if it was at all necessary to plead same, an amendment to the plea should be granted, because there would be no prejudice to the respondents</w:t>
      </w:r>
      <w:r w:rsidR="00416598">
        <w:rPr>
          <w:rFonts w:ascii="Arial" w:hAnsi="Arial" w:cs="Arial"/>
          <w:sz w:val="24"/>
          <w:szCs w:val="24"/>
        </w:rPr>
        <w:t xml:space="preserve">. </w:t>
      </w:r>
      <w:r w:rsidR="00E337C2">
        <w:rPr>
          <w:rFonts w:ascii="Arial" w:hAnsi="Arial" w:cs="Arial"/>
          <w:sz w:val="24"/>
          <w:szCs w:val="24"/>
        </w:rPr>
        <w:t>This was</w:t>
      </w:r>
      <w:r w:rsidR="00416598">
        <w:rPr>
          <w:rFonts w:ascii="Arial" w:hAnsi="Arial" w:cs="Arial"/>
          <w:sz w:val="24"/>
          <w:szCs w:val="24"/>
        </w:rPr>
        <w:t xml:space="preserve"> so</w:t>
      </w:r>
      <w:r w:rsidR="00E337C2">
        <w:rPr>
          <w:rFonts w:ascii="Arial" w:hAnsi="Arial" w:cs="Arial"/>
          <w:sz w:val="24"/>
          <w:szCs w:val="24"/>
        </w:rPr>
        <w:t xml:space="preserve"> as</w:t>
      </w:r>
      <w:r w:rsidR="00416598">
        <w:rPr>
          <w:rFonts w:ascii="Arial" w:hAnsi="Arial" w:cs="Arial"/>
          <w:sz w:val="24"/>
          <w:szCs w:val="24"/>
        </w:rPr>
        <w:t xml:space="preserve"> the appellant </w:t>
      </w:r>
      <w:r w:rsidR="00E337C2">
        <w:rPr>
          <w:rFonts w:ascii="Arial" w:hAnsi="Arial" w:cs="Arial"/>
          <w:sz w:val="24"/>
          <w:szCs w:val="24"/>
        </w:rPr>
        <w:t xml:space="preserve">in his evidence </w:t>
      </w:r>
      <w:r w:rsidR="00416598">
        <w:rPr>
          <w:rFonts w:ascii="Arial" w:hAnsi="Arial" w:cs="Arial"/>
          <w:sz w:val="24"/>
          <w:szCs w:val="24"/>
        </w:rPr>
        <w:t>reiterated</w:t>
      </w:r>
      <w:r w:rsidR="00DE7E13">
        <w:rPr>
          <w:rFonts w:ascii="Arial" w:hAnsi="Arial" w:cs="Arial"/>
          <w:sz w:val="24"/>
          <w:szCs w:val="24"/>
        </w:rPr>
        <w:t xml:space="preserve"> the fact</w:t>
      </w:r>
      <w:r w:rsidR="00416598">
        <w:rPr>
          <w:rFonts w:ascii="Arial" w:hAnsi="Arial" w:cs="Arial"/>
          <w:sz w:val="24"/>
          <w:szCs w:val="24"/>
        </w:rPr>
        <w:t xml:space="preserve"> that at all times he </w:t>
      </w:r>
      <w:r w:rsidR="00DE7E13">
        <w:rPr>
          <w:rFonts w:ascii="Arial" w:hAnsi="Arial" w:cs="Arial"/>
          <w:sz w:val="24"/>
          <w:szCs w:val="24"/>
        </w:rPr>
        <w:t>was not aware that he was dealing with a separate legal entity, but rather gained the impression that he was</w:t>
      </w:r>
      <w:r w:rsidR="00EC6E46">
        <w:rPr>
          <w:rFonts w:ascii="Arial" w:hAnsi="Arial" w:cs="Arial"/>
          <w:sz w:val="24"/>
          <w:szCs w:val="24"/>
        </w:rPr>
        <w:t xml:space="preserve"> trading with a family business due to the fact that none of the documentation exchanged between the parties contained the correct name of the entity together with </w:t>
      </w:r>
      <w:r w:rsidR="00E337C2">
        <w:rPr>
          <w:rFonts w:ascii="Arial" w:hAnsi="Arial" w:cs="Arial"/>
          <w:sz w:val="24"/>
          <w:szCs w:val="24"/>
        </w:rPr>
        <w:t>the capital abbreviation “CC”. On behalf of t</w:t>
      </w:r>
      <w:r w:rsidR="00EC6E46">
        <w:rPr>
          <w:rFonts w:ascii="Arial" w:hAnsi="Arial" w:cs="Arial"/>
          <w:sz w:val="24"/>
          <w:szCs w:val="24"/>
        </w:rPr>
        <w:t xml:space="preserve">he respondents </w:t>
      </w:r>
      <w:r w:rsidR="00E337C2">
        <w:rPr>
          <w:rFonts w:ascii="Arial" w:hAnsi="Arial" w:cs="Arial"/>
          <w:sz w:val="24"/>
          <w:szCs w:val="24"/>
        </w:rPr>
        <w:t>i</w:t>
      </w:r>
      <w:r w:rsidR="00EC6E46">
        <w:rPr>
          <w:rFonts w:ascii="Arial" w:hAnsi="Arial" w:cs="Arial"/>
          <w:sz w:val="24"/>
          <w:szCs w:val="24"/>
        </w:rPr>
        <w:t>t</w:t>
      </w:r>
      <w:r w:rsidR="00E337C2">
        <w:rPr>
          <w:rFonts w:ascii="Arial" w:hAnsi="Arial" w:cs="Arial"/>
          <w:sz w:val="24"/>
          <w:szCs w:val="24"/>
        </w:rPr>
        <w:t xml:space="preserve"> was</w:t>
      </w:r>
      <w:r w:rsidR="00EC6E46">
        <w:rPr>
          <w:rFonts w:ascii="Arial" w:hAnsi="Arial" w:cs="Arial"/>
          <w:sz w:val="24"/>
          <w:szCs w:val="24"/>
        </w:rPr>
        <w:t xml:space="preserve"> contend</w:t>
      </w:r>
      <w:r w:rsidR="00E337C2">
        <w:rPr>
          <w:rFonts w:ascii="Arial" w:hAnsi="Arial" w:cs="Arial"/>
          <w:sz w:val="24"/>
          <w:szCs w:val="24"/>
        </w:rPr>
        <w:t>ed</w:t>
      </w:r>
      <w:r w:rsidR="00EC6E46">
        <w:rPr>
          <w:rFonts w:ascii="Arial" w:hAnsi="Arial" w:cs="Arial"/>
          <w:sz w:val="24"/>
          <w:szCs w:val="24"/>
        </w:rPr>
        <w:t xml:space="preserve"> that </w:t>
      </w:r>
      <w:r w:rsidR="00E337C2">
        <w:rPr>
          <w:rFonts w:ascii="Arial" w:hAnsi="Arial" w:cs="Arial"/>
          <w:sz w:val="24"/>
          <w:szCs w:val="24"/>
        </w:rPr>
        <w:t>i</w:t>
      </w:r>
      <w:r w:rsidR="00EC6E46">
        <w:rPr>
          <w:rFonts w:ascii="Arial" w:hAnsi="Arial" w:cs="Arial"/>
          <w:sz w:val="24"/>
          <w:szCs w:val="24"/>
        </w:rPr>
        <w:t xml:space="preserve">t was never the appellant’s case and if the appellant intended on relying on the alleged contravention of a provision in the Close Corporation Act, he should have pleaded it in clear terms with reference to the </w:t>
      </w:r>
      <w:r w:rsidR="00E337C2">
        <w:rPr>
          <w:rFonts w:ascii="Arial" w:hAnsi="Arial" w:cs="Arial"/>
          <w:sz w:val="24"/>
          <w:szCs w:val="24"/>
        </w:rPr>
        <w:t>specific provisions in the Act.</w:t>
      </w:r>
    </w:p>
    <w:p w14:paraId="0775F5EA" w14:textId="77777777" w:rsidR="00C10F77" w:rsidRDefault="00C10F77" w:rsidP="00F95355">
      <w:pPr>
        <w:spacing w:after="0" w:line="480" w:lineRule="auto"/>
        <w:jc w:val="both"/>
        <w:rPr>
          <w:rFonts w:ascii="Arial" w:hAnsi="Arial" w:cs="Arial"/>
          <w:sz w:val="24"/>
          <w:szCs w:val="24"/>
        </w:rPr>
      </w:pPr>
    </w:p>
    <w:p w14:paraId="5367C52F" w14:textId="1E8310E4" w:rsidR="00C10F77" w:rsidRDefault="00C10F77" w:rsidP="00F95355">
      <w:pPr>
        <w:spacing w:after="0" w:line="480" w:lineRule="auto"/>
        <w:jc w:val="both"/>
        <w:rPr>
          <w:rFonts w:ascii="Arial" w:hAnsi="Arial" w:cs="Arial"/>
          <w:sz w:val="24"/>
          <w:szCs w:val="24"/>
        </w:rPr>
      </w:pPr>
      <w:r w:rsidRPr="00C10F77">
        <w:rPr>
          <w:rFonts w:ascii="Arial" w:hAnsi="Arial" w:cs="Arial"/>
          <w:i/>
          <w:sz w:val="24"/>
          <w:szCs w:val="24"/>
        </w:rPr>
        <w:t>Held</w:t>
      </w:r>
      <w:r>
        <w:rPr>
          <w:rFonts w:ascii="Arial" w:hAnsi="Arial" w:cs="Arial"/>
          <w:sz w:val="24"/>
          <w:szCs w:val="24"/>
        </w:rPr>
        <w:t xml:space="preserve"> that the court a </w:t>
      </w:r>
      <w:r>
        <w:rPr>
          <w:rFonts w:ascii="Arial" w:hAnsi="Arial" w:cs="Arial"/>
          <w:i/>
          <w:sz w:val="24"/>
          <w:szCs w:val="24"/>
        </w:rPr>
        <w:t xml:space="preserve">quo </w:t>
      </w:r>
      <w:r>
        <w:rPr>
          <w:rFonts w:ascii="Arial" w:hAnsi="Arial" w:cs="Arial"/>
          <w:sz w:val="24"/>
          <w:szCs w:val="24"/>
        </w:rPr>
        <w:t>correctly came to the conclusion that one of the prime functions of pleadings is to clarify the issues between the parties and to enable the other party to know what case he has to meet.</w:t>
      </w:r>
    </w:p>
    <w:p w14:paraId="5E23CD2D" w14:textId="77777777" w:rsidR="00C10F77" w:rsidRDefault="00C10F77" w:rsidP="00F95355">
      <w:pPr>
        <w:spacing w:after="0" w:line="480" w:lineRule="auto"/>
        <w:jc w:val="both"/>
        <w:rPr>
          <w:rFonts w:ascii="Arial" w:hAnsi="Arial" w:cs="Arial"/>
          <w:sz w:val="24"/>
          <w:szCs w:val="24"/>
        </w:rPr>
      </w:pPr>
    </w:p>
    <w:p w14:paraId="252BB0A1" w14:textId="372EE588" w:rsidR="00C10F77" w:rsidRDefault="00C10F77" w:rsidP="00F95355">
      <w:pPr>
        <w:spacing w:after="0" w:line="48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the appellant should have specifically and unambiguously pleaded the provisions the respondents violated in the Close Corporation Act, </w:t>
      </w:r>
      <w:r w:rsidR="00460C24">
        <w:rPr>
          <w:rFonts w:ascii="Arial" w:hAnsi="Arial" w:cs="Arial"/>
          <w:sz w:val="24"/>
          <w:szCs w:val="24"/>
        </w:rPr>
        <w:t xml:space="preserve">and on which he relied to </w:t>
      </w:r>
      <w:r>
        <w:rPr>
          <w:rFonts w:ascii="Arial" w:hAnsi="Arial" w:cs="Arial"/>
          <w:sz w:val="24"/>
          <w:szCs w:val="24"/>
        </w:rPr>
        <w:t>hold the second and third respondent</w:t>
      </w:r>
      <w:r w:rsidR="00652CAB">
        <w:rPr>
          <w:rFonts w:ascii="Arial" w:hAnsi="Arial" w:cs="Arial"/>
          <w:sz w:val="24"/>
          <w:szCs w:val="24"/>
        </w:rPr>
        <w:t>s</w:t>
      </w:r>
      <w:r>
        <w:rPr>
          <w:rFonts w:ascii="Arial" w:hAnsi="Arial" w:cs="Arial"/>
          <w:sz w:val="24"/>
          <w:szCs w:val="24"/>
        </w:rPr>
        <w:t xml:space="preserve"> personally liable with the first respondent jointly and severally, and not have left it to be inferred from documents filed and/or discovered by the parties.</w:t>
      </w:r>
    </w:p>
    <w:p w14:paraId="2D30F852" w14:textId="77777777" w:rsidR="00885D93" w:rsidRDefault="00885D93" w:rsidP="00F95355">
      <w:pPr>
        <w:spacing w:after="0" w:line="480" w:lineRule="auto"/>
        <w:jc w:val="both"/>
        <w:rPr>
          <w:rFonts w:ascii="Arial" w:hAnsi="Arial" w:cs="Arial"/>
          <w:sz w:val="24"/>
          <w:szCs w:val="24"/>
        </w:rPr>
      </w:pPr>
    </w:p>
    <w:p w14:paraId="4AB323BA" w14:textId="394D77B2" w:rsidR="00885D93" w:rsidRPr="00885D93" w:rsidRDefault="00885D93" w:rsidP="00F95355">
      <w:pPr>
        <w:spacing w:after="0" w:line="480" w:lineRule="auto"/>
        <w:jc w:val="both"/>
        <w:rPr>
          <w:rFonts w:ascii="Arial" w:hAnsi="Arial" w:cs="Arial"/>
          <w:sz w:val="24"/>
          <w:szCs w:val="24"/>
        </w:rPr>
      </w:pPr>
      <w:proofErr w:type="gramStart"/>
      <w:r>
        <w:rPr>
          <w:rFonts w:ascii="Arial" w:hAnsi="Arial" w:cs="Arial"/>
          <w:i/>
          <w:sz w:val="24"/>
          <w:szCs w:val="24"/>
        </w:rPr>
        <w:t xml:space="preserve">Held </w:t>
      </w:r>
      <w:r>
        <w:rPr>
          <w:rFonts w:ascii="Arial" w:hAnsi="Arial" w:cs="Arial"/>
          <w:sz w:val="24"/>
          <w:szCs w:val="24"/>
        </w:rPr>
        <w:t>that the appellant had ample opportunity to amend its pleadings when he placed the facts before the court</w:t>
      </w:r>
      <w:r w:rsidR="00673596">
        <w:rPr>
          <w:rFonts w:ascii="Arial" w:hAnsi="Arial" w:cs="Arial"/>
          <w:sz w:val="24"/>
          <w:szCs w:val="24"/>
        </w:rPr>
        <w:t xml:space="preserve"> a </w:t>
      </w:r>
      <w:r w:rsidR="00673596">
        <w:rPr>
          <w:rFonts w:ascii="Arial" w:hAnsi="Arial" w:cs="Arial"/>
          <w:i/>
          <w:sz w:val="24"/>
          <w:szCs w:val="24"/>
        </w:rPr>
        <w:t>quo</w:t>
      </w:r>
      <w:r w:rsidR="00673596">
        <w:rPr>
          <w:rFonts w:ascii="Arial" w:hAnsi="Arial" w:cs="Arial"/>
          <w:sz w:val="24"/>
          <w:szCs w:val="24"/>
        </w:rPr>
        <w:t>,</w:t>
      </w:r>
      <w:r>
        <w:rPr>
          <w:rFonts w:ascii="Arial" w:hAnsi="Arial" w:cs="Arial"/>
          <w:sz w:val="24"/>
          <w:szCs w:val="24"/>
        </w:rPr>
        <w:t xml:space="preserve"> especially considering the fact that during </w:t>
      </w:r>
      <w:r>
        <w:rPr>
          <w:rFonts w:ascii="Arial" w:hAnsi="Arial" w:cs="Arial"/>
          <w:sz w:val="24"/>
          <w:szCs w:val="24"/>
        </w:rPr>
        <w:lastRenderedPageBreak/>
        <w:t>cross-examination of the respondents, they admitted t</w:t>
      </w:r>
      <w:r w:rsidR="00B619F8">
        <w:rPr>
          <w:rFonts w:ascii="Arial" w:hAnsi="Arial" w:cs="Arial"/>
          <w:sz w:val="24"/>
          <w:szCs w:val="24"/>
        </w:rPr>
        <w:t xml:space="preserve">o </w:t>
      </w:r>
      <w:r>
        <w:rPr>
          <w:rFonts w:ascii="Arial" w:hAnsi="Arial" w:cs="Arial"/>
          <w:sz w:val="24"/>
          <w:szCs w:val="24"/>
        </w:rPr>
        <w:t>transgressions of the Close Corporation Act.</w:t>
      </w:r>
      <w:proofErr w:type="gramEnd"/>
    </w:p>
    <w:p w14:paraId="34B66A07" w14:textId="77777777" w:rsidR="00416598" w:rsidRDefault="00416598" w:rsidP="00F95355">
      <w:pPr>
        <w:spacing w:after="0" w:line="480" w:lineRule="auto"/>
        <w:jc w:val="both"/>
        <w:rPr>
          <w:rFonts w:ascii="Arial" w:hAnsi="Arial" w:cs="Arial"/>
          <w:sz w:val="24"/>
          <w:szCs w:val="24"/>
        </w:rPr>
      </w:pPr>
    </w:p>
    <w:p w14:paraId="0A75C7F9" w14:textId="084E23B7" w:rsidR="00416598" w:rsidRDefault="00416598" w:rsidP="00F95355">
      <w:pPr>
        <w:spacing w:after="0" w:line="480" w:lineRule="auto"/>
        <w:jc w:val="both"/>
        <w:rPr>
          <w:rFonts w:ascii="Arial" w:hAnsi="Arial" w:cs="Arial"/>
          <w:sz w:val="24"/>
          <w:szCs w:val="24"/>
        </w:rPr>
      </w:pPr>
      <w:r w:rsidRPr="00885D93">
        <w:rPr>
          <w:rFonts w:ascii="Arial" w:hAnsi="Arial" w:cs="Arial"/>
          <w:i/>
          <w:sz w:val="24"/>
          <w:szCs w:val="24"/>
        </w:rPr>
        <w:t>Held</w:t>
      </w:r>
      <w:r w:rsidR="00885D93">
        <w:rPr>
          <w:rFonts w:ascii="Arial" w:hAnsi="Arial" w:cs="Arial"/>
          <w:sz w:val="24"/>
          <w:szCs w:val="24"/>
        </w:rPr>
        <w:t xml:space="preserve"> that the argument that the appellant did not know exactly with w</w:t>
      </w:r>
      <w:r w:rsidR="00B619F8">
        <w:rPr>
          <w:rFonts w:ascii="Arial" w:hAnsi="Arial" w:cs="Arial"/>
          <w:sz w:val="24"/>
          <w:szCs w:val="24"/>
        </w:rPr>
        <w:t>hom</w:t>
      </w:r>
      <w:r w:rsidR="00885D93">
        <w:rPr>
          <w:rFonts w:ascii="Arial" w:hAnsi="Arial" w:cs="Arial"/>
          <w:sz w:val="24"/>
          <w:szCs w:val="24"/>
        </w:rPr>
        <w:t xml:space="preserve"> he was </w:t>
      </w:r>
      <w:proofErr w:type="gramStart"/>
      <w:r w:rsidR="00885D93">
        <w:rPr>
          <w:rFonts w:ascii="Arial" w:hAnsi="Arial" w:cs="Arial"/>
          <w:sz w:val="24"/>
          <w:szCs w:val="24"/>
        </w:rPr>
        <w:t>transacting,</w:t>
      </w:r>
      <w:proofErr w:type="gramEnd"/>
      <w:r w:rsidR="00885D93">
        <w:rPr>
          <w:rFonts w:ascii="Arial" w:hAnsi="Arial" w:cs="Arial"/>
          <w:sz w:val="24"/>
          <w:szCs w:val="24"/>
        </w:rPr>
        <w:t xml:space="preserve"> holds no merit.</w:t>
      </w:r>
    </w:p>
    <w:p w14:paraId="7C261B82" w14:textId="77777777" w:rsidR="00885D93" w:rsidRDefault="00885D93" w:rsidP="00F95355">
      <w:pPr>
        <w:spacing w:after="0" w:line="480" w:lineRule="auto"/>
        <w:jc w:val="both"/>
        <w:rPr>
          <w:rFonts w:ascii="Arial" w:hAnsi="Arial" w:cs="Arial"/>
          <w:sz w:val="24"/>
          <w:szCs w:val="24"/>
        </w:rPr>
      </w:pPr>
    </w:p>
    <w:p w14:paraId="53103F0D" w14:textId="697B15C1" w:rsidR="00FE6ECC" w:rsidRDefault="00885D93" w:rsidP="00CB1104">
      <w:pPr>
        <w:spacing w:after="0" w:line="480" w:lineRule="auto"/>
        <w:jc w:val="both"/>
        <w:rPr>
          <w:rFonts w:ascii="Arial" w:hAnsi="Arial" w:cs="Arial"/>
          <w:sz w:val="24"/>
          <w:szCs w:val="24"/>
        </w:rPr>
      </w:pPr>
      <w:r>
        <w:rPr>
          <w:rFonts w:ascii="Arial" w:hAnsi="Arial" w:cs="Arial"/>
          <w:sz w:val="24"/>
          <w:szCs w:val="24"/>
        </w:rPr>
        <w:t>The a</w:t>
      </w:r>
      <w:r w:rsidR="00CB1104">
        <w:rPr>
          <w:rFonts w:ascii="Arial" w:hAnsi="Arial" w:cs="Arial"/>
          <w:sz w:val="24"/>
          <w:szCs w:val="24"/>
        </w:rPr>
        <w:t xml:space="preserve">ppeal </w:t>
      </w:r>
      <w:r>
        <w:rPr>
          <w:rFonts w:ascii="Arial" w:hAnsi="Arial" w:cs="Arial"/>
          <w:sz w:val="24"/>
          <w:szCs w:val="24"/>
        </w:rPr>
        <w:t xml:space="preserve">is </w:t>
      </w:r>
      <w:r w:rsidR="00CB1104">
        <w:rPr>
          <w:rFonts w:ascii="Arial" w:hAnsi="Arial" w:cs="Arial"/>
          <w:sz w:val="24"/>
          <w:szCs w:val="24"/>
        </w:rPr>
        <w:t xml:space="preserve">accordingly </w:t>
      </w:r>
      <w:r>
        <w:rPr>
          <w:rFonts w:ascii="Arial" w:hAnsi="Arial" w:cs="Arial"/>
          <w:sz w:val="24"/>
          <w:szCs w:val="24"/>
        </w:rPr>
        <w:t>dismissed.</w:t>
      </w: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6C1749F3"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26D0D4CF"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C06DEE">
        <w:rPr>
          <w:rFonts w:ascii="Arial" w:hAnsi="Arial" w:cs="Arial"/>
          <w:sz w:val="24"/>
          <w:szCs w:val="24"/>
        </w:rPr>
        <w:t>S</w:t>
      </w:r>
      <w:r w:rsidR="00AB22B5">
        <w:rPr>
          <w:rFonts w:ascii="Arial" w:hAnsi="Arial" w:cs="Arial"/>
          <w:sz w:val="24"/>
          <w:szCs w:val="24"/>
        </w:rPr>
        <w:t>MUTS</w:t>
      </w:r>
      <w:r w:rsidR="00C06DEE">
        <w:rPr>
          <w:rFonts w:ascii="Arial" w:hAnsi="Arial" w:cs="Arial"/>
          <w:sz w:val="24"/>
          <w:szCs w:val="24"/>
        </w:rPr>
        <w:t xml:space="preserve"> JA </w:t>
      </w:r>
      <w:r w:rsidR="00AB22B5">
        <w:rPr>
          <w:rFonts w:ascii="Arial" w:hAnsi="Arial" w:cs="Arial"/>
          <w:sz w:val="24"/>
          <w:szCs w:val="24"/>
        </w:rPr>
        <w:t>AND</w:t>
      </w:r>
      <w:r w:rsidR="00C06DEE">
        <w:rPr>
          <w:rFonts w:ascii="Arial" w:hAnsi="Arial" w:cs="Arial"/>
          <w:sz w:val="24"/>
          <w:szCs w:val="24"/>
        </w:rPr>
        <w:t xml:space="preserve"> F</w:t>
      </w:r>
      <w:r w:rsidR="00AB22B5">
        <w:rPr>
          <w:rFonts w:ascii="Arial" w:hAnsi="Arial" w:cs="Arial"/>
          <w:sz w:val="24"/>
          <w:szCs w:val="24"/>
        </w:rPr>
        <w:t>RANK</w:t>
      </w:r>
      <w:r w:rsidR="00C06DEE">
        <w:rPr>
          <w:rFonts w:ascii="Arial" w:hAnsi="Arial" w:cs="Arial"/>
          <w:sz w:val="24"/>
          <w:szCs w:val="24"/>
        </w:rPr>
        <w:t xml:space="preserve"> AJA</w:t>
      </w:r>
      <w:r w:rsidR="00BE1CF9">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14:paraId="4363BFD3" w14:textId="64C2EC80"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14:paraId="0ED80395" w14:textId="171E4072" w:rsidR="00AB22B5" w:rsidRDefault="00FF4712" w:rsidP="00AB22B5">
      <w:pPr>
        <w:pStyle w:val="ListParagraph"/>
        <w:numPr>
          <w:ilvl w:val="0"/>
          <w:numId w:val="1"/>
        </w:numPr>
        <w:tabs>
          <w:tab w:val="left" w:pos="851"/>
        </w:tabs>
        <w:spacing w:after="0" w:line="480" w:lineRule="auto"/>
        <w:ind w:left="0" w:hanging="11"/>
        <w:jc w:val="both"/>
        <w:rPr>
          <w:rFonts w:ascii="Arial" w:hAnsi="Arial" w:cs="Arial"/>
          <w:sz w:val="24"/>
          <w:szCs w:val="24"/>
        </w:rPr>
      </w:pPr>
      <w:r w:rsidRPr="00B619F8">
        <w:rPr>
          <w:rFonts w:ascii="Arial" w:hAnsi="Arial" w:cs="Arial"/>
          <w:sz w:val="24"/>
          <w:szCs w:val="24"/>
        </w:rPr>
        <w:t>Th</w:t>
      </w:r>
      <w:r w:rsidR="009D3D25" w:rsidRPr="00B619F8">
        <w:rPr>
          <w:rFonts w:ascii="Arial" w:hAnsi="Arial" w:cs="Arial"/>
          <w:sz w:val="24"/>
          <w:szCs w:val="24"/>
        </w:rPr>
        <w:t xml:space="preserve">is </w:t>
      </w:r>
      <w:r w:rsidR="00C06DEE" w:rsidRPr="00B619F8">
        <w:rPr>
          <w:rFonts w:ascii="Arial" w:hAnsi="Arial" w:cs="Arial"/>
          <w:sz w:val="24"/>
          <w:szCs w:val="24"/>
        </w:rPr>
        <w:t xml:space="preserve">is an </w:t>
      </w:r>
      <w:r w:rsidR="009D3D25" w:rsidRPr="00B619F8">
        <w:rPr>
          <w:rFonts w:ascii="Arial" w:hAnsi="Arial" w:cs="Arial"/>
          <w:sz w:val="24"/>
          <w:szCs w:val="24"/>
        </w:rPr>
        <w:t xml:space="preserve">appeal against </w:t>
      </w:r>
      <w:r w:rsidR="00B619F8" w:rsidRPr="00B619F8">
        <w:rPr>
          <w:rFonts w:ascii="Arial" w:hAnsi="Arial" w:cs="Arial"/>
          <w:sz w:val="24"/>
          <w:szCs w:val="24"/>
        </w:rPr>
        <w:t>a</w:t>
      </w:r>
      <w:r w:rsidR="00C06DEE" w:rsidRPr="00B619F8">
        <w:rPr>
          <w:rFonts w:ascii="Arial" w:hAnsi="Arial" w:cs="Arial"/>
          <w:sz w:val="24"/>
          <w:szCs w:val="24"/>
        </w:rPr>
        <w:t xml:space="preserve">n order of the High Court dismissing </w:t>
      </w:r>
      <w:r w:rsidR="00BD009D" w:rsidRPr="00B619F8">
        <w:rPr>
          <w:rFonts w:ascii="Arial" w:hAnsi="Arial" w:cs="Arial"/>
          <w:sz w:val="24"/>
          <w:szCs w:val="24"/>
        </w:rPr>
        <w:t>a</w:t>
      </w:r>
      <w:r w:rsidR="00C06DEE" w:rsidRPr="00B619F8">
        <w:rPr>
          <w:rFonts w:ascii="Arial" w:hAnsi="Arial" w:cs="Arial"/>
          <w:sz w:val="24"/>
          <w:szCs w:val="24"/>
        </w:rPr>
        <w:t xml:space="preserve">ppellant’s claim </w:t>
      </w:r>
      <w:r w:rsidR="00B619F8" w:rsidRPr="00B619F8">
        <w:rPr>
          <w:rFonts w:ascii="Arial" w:hAnsi="Arial" w:cs="Arial"/>
          <w:sz w:val="24"/>
          <w:szCs w:val="24"/>
        </w:rPr>
        <w:t xml:space="preserve">based on enrichment </w:t>
      </w:r>
      <w:r w:rsidR="00C06DEE" w:rsidRPr="00B619F8">
        <w:rPr>
          <w:rFonts w:ascii="Arial" w:hAnsi="Arial" w:cs="Arial"/>
          <w:sz w:val="24"/>
          <w:szCs w:val="24"/>
        </w:rPr>
        <w:t>against second and third respondents with costs for the recovery of the amount of N$168 963</w:t>
      </w:r>
      <w:r w:rsidR="00280960" w:rsidRPr="00B619F8">
        <w:rPr>
          <w:rFonts w:ascii="Arial" w:hAnsi="Arial" w:cs="Arial"/>
          <w:sz w:val="24"/>
          <w:szCs w:val="24"/>
        </w:rPr>
        <w:t>, 41</w:t>
      </w:r>
      <w:r w:rsidR="00C06DEE" w:rsidRPr="00B619F8">
        <w:rPr>
          <w:rFonts w:ascii="Arial" w:hAnsi="Arial" w:cs="Arial"/>
          <w:sz w:val="24"/>
          <w:szCs w:val="24"/>
        </w:rPr>
        <w:t xml:space="preserve"> less 15% tax </w:t>
      </w:r>
      <w:r w:rsidR="00B619F8" w:rsidRPr="00B619F8">
        <w:rPr>
          <w:rFonts w:ascii="Arial" w:hAnsi="Arial" w:cs="Arial"/>
          <w:sz w:val="24"/>
          <w:szCs w:val="24"/>
        </w:rPr>
        <w:t xml:space="preserve">paid to first respondent </w:t>
      </w:r>
      <w:r w:rsidR="00C06DEE" w:rsidRPr="00B619F8">
        <w:rPr>
          <w:rFonts w:ascii="Arial" w:hAnsi="Arial" w:cs="Arial"/>
          <w:sz w:val="24"/>
          <w:szCs w:val="24"/>
        </w:rPr>
        <w:t>and against all three respondents for the recovery of the amount of N$28</w:t>
      </w:r>
      <w:r w:rsidR="00B73BAD" w:rsidRPr="00B619F8">
        <w:rPr>
          <w:rFonts w:ascii="Arial" w:hAnsi="Arial" w:cs="Arial"/>
          <w:sz w:val="24"/>
          <w:szCs w:val="24"/>
        </w:rPr>
        <w:t xml:space="preserve"> </w:t>
      </w:r>
      <w:r w:rsidR="00C06DEE" w:rsidRPr="00B619F8">
        <w:rPr>
          <w:rFonts w:ascii="Arial" w:hAnsi="Arial" w:cs="Arial"/>
          <w:sz w:val="24"/>
          <w:szCs w:val="24"/>
        </w:rPr>
        <w:t>653</w:t>
      </w:r>
      <w:r w:rsidR="003C60C4" w:rsidRPr="00B619F8">
        <w:rPr>
          <w:rFonts w:ascii="Arial" w:hAnsi="Arial" w:cs="Arial"/>
          <w:sz w:val="24"/>
          <w:szCs w:val="24"/>
        </w:rPr>
        <w:t xml:space="preserve"> which claim has since been abandoned</w:t>
      </w:r>
      <w:r w:rsidR="00C06DEE" w:rsidRPr="00B619F8">
        <w:rPr>
          <w:rFonts w:ascii="Arial" w:hAnsi="Arial" w:cs="Arial"/>
          <w:sz w:val="24"/>
          <w:szCs w:val="24"/>
        </w:rPr>
        <w:t xml:space="preserve">. The respondents cross-appealed against </w:t>
      </w:r>
      <w:r w:rsidR="00B619F8" w:rsidRPr="00B619F8">
        <w:rPr>
          <w:rFonts w:ascii="Arial" w:hAnsi="Arial" w:cs="Arial"/>
          <w:sz w:val="24"/>
          <w:szCs w:val="24"/>
        </w:rPr>
        <w:t xml:space="preserve">that </w:t>
      </w:r>
      <w:r w:rsidR="00C06DEE" w:rsidRPr="00B619F8">
        <w:rPr>
          <w:rFonts w:ascii="Arial" w:hAnsi="Arial" w:cs="Arial"/>
          <w:sz w:val="24"/>
          <w:szCs w:val="24"/>
        </w:rPr>
        <w:t>portion of the judgment</w:t>
      </w:r>
      <w:r w:rsidR="00B73BAD" w:rsidRPr="00B619F8">
        <w:rPr>
          <w:rFonts w:ascii="Arial" w:hAnsi="Arial" w:cs="Arial"/>
          <w:sz w:val="24"/>
          <w:szCs w:val="24"/>
        </w:rPr>
        <w:t xml:space="preserve"> that </w:t>
      </w:r>
      <w:r w:rsidR="00B619F8" w:rsidRPr="00B619F8">
        <w:rPr>
          <w:rFonts w:ascii="Arial" w:hAnsi="Arial" w:cs="Arial"/>
          <w:sz w:val="24"/>
          <w:szCs w:val="24"/>
        </w:rPr>
        <w:t xml:space="preserve">found that </w:t>
      </w:r>
      <w:r w:rsidR="00C06DEE" w:rsidRPr="00B619F8">
        <w:rPr>
          <w:rFonts w:ascii="Arial" w:hAnsi="Arial" w:cs="Arial"/>
          <w:sz w:val="24"/>
          <w:szCs w:val="24"/>
        </w:rPr>
        <w:t xml:space="preserve">the </w:t>
      </w:r>
      <w:r w:rsidR="00B619F8" w:rsidRPr="00B619F8">
        <w:rPr>
          <w:rFonts w:ascii="Arial" w:hAnsi="Arial" w:cs="Arial"/>
          <w:sz w:val="24"/>
          <w:szCs w:val="24"/>
        </w:rPr>
        <w:t>first</w:t>
      </w:r>
      <w:r w:rsidR="00C06DEE" w:rsidRPr="00B619F8">
        <w:rPr>
          <w:rFonts w:ascii="Arial" w:hAnsi="Arial" w:cs="Arial"/>
          <w:sz w:val="24"/>
          <w:szCs w:val="24"/>
        </w:rPr>
        <w:t xml:space="preserve"> respondent</w:t>
      </w:r>
      <w:r w:rsidR="001802F7" w:rsidRPr="00B619F8">
        <w:rPr>
          <w:rFonts w:ascii="Arial" w:hAnsi="Arial" w:cs="Arial"/>
          <w:sz w:val="24"/>
          <w:szCs w:val="24"/>
        </w:rPr>
        <w:t xml:space="preserve"> ha</w:t>
      </w:r>
      <w:r w:rsidR="00B619F8" w:rsidRPr="00B619F8">
        <w:rPr>
          <w:rFonts w:ascii="Arial" w:hAnsi="Arial" w:cs="Arial"/>
          <w:sz w:val="24"/>
          <w:szCs w:val="24"/>
        </w:rPr>
        <w:t>s</w:t>
      </w:r>
      <w:r w:rsidR="001802F7" w:rsidRPr="00B619F8">
        <w:rPr>
          <w:rFonts w:ascii="Arial" w:hAnsi="Arial" w:cs="Arial"/>
          <w:sz w:val="24"/>
          <w:szCs w:val="24"/>
        </w:rPr>
        <w:t xml:space="preserve"> been enriched at the expense of the appellant</w:t>
      </w:r>
      <w:r w:rsidR="00B619F8">
        <w:rPr>
          <w:rFonts w:ascii="Arial" w:hAnsi="Arial" w:cs="Arial"/>
          <w:sz w:val="24"/>
          <w:szCs w:val="24"/>
        </w:rPr>
        <w:t>.</w:t>
      </w:r>
    </w:p>
    <w:p w14:paraId="54F9FE6F" w14:textId="77777777" w:rsidR="00B619F8" w:rsidRPr="00B619F8" w:rsidRDefault="00B619F8" w:rsidP="00B619F8">
      <w:pPr>
        <w:pStyle w:val="ListParagraph"/>
        <w:tabs>
          <w:tab w:val="left" w:pos="851"/>
        </w:tabs>
        <w:spacing w:after="0" w:line="480" w:lineRule="auto"/>
        <w:ind w:left="0"/>
        <w:jc w:val="both"/>
        <w:rPr>
          <w:rFonts w:ascii="Arial" w:hAnsi="Arial" w:cs="Arial"/>
          <w:sz w:val="24"/>
          <w:szCs w:val="24"/>
        </w:rPr>
      </w:pPr>
    </w:p>
    <w:p w14:paraId="100E1AC9" w14:textId="4ABA6CD1" w:rsidR="00AB22B5" w:rsidRPr="00AB22B5" w:rsidRDefault="00103D03" w:rsidP="00AB22B5">
      <w:pPr>
        <w:pStyle w:val="ListParagraph"/>
        <w:tabs>
          <w:tab w:val="left" w:pos="851"/>
        </w:tabs>
        <w:spacing w:after="0" w:line="480" w:lineRule="auto"/>
        <w:ind w:left="0"/>
        <w:jc w:val="both"/>
        <w:rPr>
          <w:rFonts w:ascii="Arial" w:hAnsi="Arial" w:cs="Arial"/>
          <w:sz w:val="24"/>
          <w:szCs w:val="24"/>
          <w:u w:val="single"/>
        </w:rPr>
      </w:pPr>
      <w:r>
        <w:rPr>
          <w:rFonts w:ascii="Arial" w:hAnsi="Arial" w:cs="Arial"/>
          <w:sz w:val="24"/>
          <w:szCs w:val="24"/>
          <w:u w:val="single"/>
        </w:rPr>
        <w:t>Background</w:t>
      </w:r>
    </w:p>
    <w:p w14:paraId="2214B106" w14:textId="0B7FEB61" w:rsidR="00AB22B5" w:rsidRDefault="00103D03"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appellant who was the plaintiff in the court below, sued the first respondent</w:t>
      </w:r>
      <w:r w:rsidR="00B73BAD">
        <w:rPr>
          <w:rFonts w:ascii="Arial" w:hAnsi="Arial" w:cs="Arial"/>
          <w:sz w:val="24"/>
          <w:szCs w:val="24"/>
        </w:rPr>
        <w:t>,</w:t>
      </w:r>
      <w:r>
        <w:rPr>
          <w:rFonts w:ascii="Arial" w:hAnsi="Arial" w:cs="Arial"/>
          <w:sz w:val="24"/>
          <w:szCs w:val="24"/>
        </w:rPr>
        <w:t xml:space="preserve"> alternatively the second and third respondents, </w:t>
      </w:r>
      <w:r w:rsidR="00CE00B8">
        <w:rPr>
          <w:rFonts w:ascii="Arial" w:hAnsi="Arial" w:cs="Arial"/>
          <w:sz w:val="24"/>
          <w:szCs w:val="24"/>
        </w:rPr>
        <w:t xml:space="preserve">as </w:t>
      </w:r>
      <w:r>
        <w:rPr>
          <w:rFonts w:ascii="Arial" w:hAnsi="Arial" w:cs="Arial"/>
          <w:sz w:val="24"/>
          <w:szCs w:val="24"/>
        </w:rPr>
        <w:t>defendant</w:t>
      </w:r>
      <w:r w:rsidR="00CE00B8">
        <w:rPr>
          <w:rFonts w:ascii="Arial" w:hAnsi="Arial" w:cs="Arial"/>
          <w:sz w:val="24"/>
          <w:szCs w:val="24"/>
        </w:rPr>
        <w:t>s</w:t>
      </w:r>
      <w:r>
        <w:rPr>
          <w:rFonts w:ascii="Arial" w:hAnsi="Arial" w:cs="Arial"/>
          <w:sz w:val="24"/>
          <w:szCs w:val="24"/>
        </w:rPr>
        <w:t xml:space="preserve"> in the court below, jointly and severally for the repayment of the amounts of N$168 963</w:t>
      </w:r>
      <w:r w:rsidR="00280960">
        <w:rPr>
          <w:rFonts w:ascii="Arial" w:hAnsi="Arial" w:cs="Arial"/>
          <w:sz w:val="24"/>
          <w:szCs w:val="24"/>
        </w:rPr>
        <w:t>, 41</w:t>
      </w:r>
      <w:r>
        <w:rPr>
          <w:rFonts w:ascii="Arial" w:hAnsi="Arial" w:cs="Arial"/>
          <w:sz w:val="24"/>
          <w:szCs w:val="24"/>
        </w:rPr>
        <w:t xml:space="preserve"> and N$28 653</w:t>
      </w:r>
      <w:r w:rsidR="00280960">
        <w:rPr>
          <w:rFonts w:ascii="Arial" w:hAnsi="Arial" w:cs="Arial"/>
          <w:sz w:val="24"/>
          <w:szCs w:val="24"/>
        </w:rPr>
        <w:t>, 00</w:t>
      </w:r>
      <w:r>
        <w:rPr>
          <w:rFonts w:ascii="Arial" w:hAnsi="Arial" w:cs="Arial"/>
          <w:sz w:val="24"/>
          <w:szCs w:val="24"/>
        </w:rPr>
        <w:t xml:space="preserve"> in respect of damage allegedly caused negligently by </w:t>
      </w:r>
      <w:r w:rsidR="00252AF7">
        <w:rPr>
          <w:rFonts w:ascii="Arial" w:hAnsi="Arial" w:cs="Arial"/>
          <w:sz w:val="24"/>
          <w:szCs w:val="24"/>
        </w:rPr>
        <w:t>him</w:t>
      </w:r>
      <w:r>
        <w:rPr>
          <w:rFonts w:ascii="Arial" w:hAnsi="Arial" w:cs="Arial"/>
          <w:sz w:val="24"/>
          <w:szCs w:val="24"/>
        </w:rPr>
        <w:t xml:space="preserve"> to </w:t>
      </w:r>
      <w:r>
        <w:rPr>
          <w:rFonts w:ascii="Arial" w:hAnsi="Arial" w:cs="Arial"/>
          <w:sz w:val="24"/>
          <w:szCs w:val="24"/>
        </w:rPr>
        <w:lastRenderedPageBreak/>
        <w:t>a vehicle he had hired for use while on a safari in Namibia</w:t>
      </w:r>
      <w:r w:rsidR="00252AF7">
        <w:rPr>
          <w:rFonts w:ascii="Arial" w:hAnsi="Arial" w:cs="Arial"/>
          <w:sz w:val="24"/>
          <w:szCs w:val="24"/>
        </w:rPr>
        <w:t>.</w:t>
      </w:r>
      <w:r>
        <w:rPr>
          <w:rFonts w:ascii="Arial" w:hAnsi="Arial" w:cs="Arial"/>
          <w:sz w:val="24"/>
          <w:szCs w:val="24"/>
        </w:rPr>
        <w:t xml:space="preserve"> </w:t>
      </w:r>
      <w:r w:rsidR="00252AF7">
        <w:rPr>
          <w:rFonts w:ascii="Arial" w:hAnsi="Arial" w:cs="Arial"/>
          <w:sz w:val="24"/>
          <w:szCs w:val="24"/>
        </w:rPr>
        <w:t>W</w:t>
      </w:r>
      <w:r w:rsidR="001457D5">
        <w:rPr>
          <w:rFonts w:ascii="Arial" w:hAnsi="Arial" w:cs="Arial"/>
          <w:sz w:val="24"/>
          <w:szCs w:val="24"/>
        </w:rPr>
        <w:t xml:space="preserve">hen he attempted to cross a river at a place called </w:t>
      </w:r>
      <w:r w:rsidR="00B73BAD">
        <w:rPr>
          <w:rFonts w:ascii="Arial" w:hAnsi="Arial" w:cs="Arial"/>
          <w:sz w:val="24"/>
          <w:szCs w:val="24"/>
        </w:rPr>
        <w:t>‘</w:t>
      </w:r>
      <w:proofErr w:type="spellStart"/>
      <w:r w:rsidR="001457D5">
        <w:rPr>
          <w:rFonts w:ascii="Arial" w:hAnsi="Arial" w:cs="Arial"/>
          <w:sz w:val="24"/>
          <w:szCs w:val="24"/>
        </w:rPr>
        <w:t>Baaidjie</w:t>
      </w:r>
      <w:proofErr w:type="spellEnd"/>
      <w:r w:rsidR="00B73BAD">
        <w:rPr>
          <w:rFonts w:ascii="Arial" w:hAnsi="Arial" w:cs="Arial"/>
          <w:sz w:val="24"/>
          <w:szCs w:val="24"/>
        </w:rPr>
        <w:t>’</w:t>
      </w:r>
      <w:r w:rsidR="001457D5">
        <w:rPr>
          <w:rFonts w:ascii="Arial" w:hAnsi="Arial" w:cs="Arial"/>
          <w:sz w:val="24"/>
          <w:szCs w:val="24"/>
        </w:rPr>
        <w:t xml:space="preserve"> </w:t>
      </w:r>
      <w:r w:rsidR="00252AF7">
        <w:rPr>
          <w:rFonts w:ascii="Arial" w:hAnsi="Arial" w:cs="Arial"/>
          <w:sz w:val="24"/>
          <w:szCs w:val="24"/>
        </w:rPr>
        <w:t>he</w:t>
      </w:r>
      <w:r w:rsidR="001457D5">
        <w:rPr>
          <w:rFonts w:ascii="Arial" w:hAnsi="Arial" w:cs="Arial"/>
          <w:sz w:val="24"/>
          <w:szCs w:val="24"/>
        </w:rPr>
        <w:t xml:space="preserve"> got stuck and </w:t>
      </w:r>
      <w:proofErr w:type="gramStart"/>
      <w:r w:rsidR="001457D5">
        <w:rPr>
          <w:rFonts w:ascii="Arial" w:hAnsi="Arial" w:cs="Arial"/>
          <w:sz w:val="24"/>
          <w:szCs w:val="24"/>
        </w:rPr>
        <w:t>a strong</w:t>
      </w:r>
      <w:proofErr w:type="gramEnd"/>
      <w:r w:rsidR="001457D5">
        <w:rPr>
          <w:rFonts w:ascii="Arial" w:hAnsi="Arial" w:cs="Arial"/>
          <w:sz w:val="24"/>
          <w:szCs w:val="24"/>
        </w:rPr>
        <w:t xml:space="preserve"> water current</w:t>
      </w:r>
      <w:r w:rsidR="00CB5ED1">
        <w:rPr>
          <w:rFonts w:ascii="Arial" w:hAnsi="Arial" w:cs="Arial"/>
          <w:sz w:val="24"/>
          <w:szCs w:val="24"/>
        </w:rPr>
        <w:t xml:space="preserve"> overturned the vehicle. The damages related to the recovery of the vehicle and the damages caused to it by this incident</w:t>
      </w:r>
      <w:r w:rsidR="001457D5">
        <w:rPr>
          <w:rFonts w:ascii="Arial" w:hAnsi="Arial" w:cs="Arial"/>
          <w:sz w:val="24"/>
          <w:szCs w:val="24"/>
        </w:rPr>
        <w:t>.</w:t>
      </w:r>
    </w:p>
    <w:p w14:paraId="02E01614" w14:textId="77777777" w:rsidR="001457D5" w:rsidRDefault="001457D5" w:rsidP="001457D5">
      <w:pPr>
        <w:pStyle w:val="ListParagraph"/>
        <w:tabs>
          <w:tab w:val="left" w:pos="851"/>
        </w:tabs>
        <w:spacing w:after="0" w:line="480" w:lineRule="auto"/>
        <w:ind w:left="0"/>
        <w:jc w:val="both"/>
        <w:rPr>
          <w:rFonts w:ascii="Arial" w:hAnsi="Arial" w:cs="Arial"/>
          <w:sz w:val="24"/>
          <w:szCs w:val="24"/>
        </w:rPr>
      </w:pPr>
    </w:p>
    <w:p w14:paraId="0EE3617B" w14:textId="2403A6BF" w:rsidR="001457D5" w:rsidRDefault="001457D5"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first respondent is a Close Corporation duly registered with its principal place of business at </w:t>
      </w:r>
      <w:proofErr w:type="spellStart"/>
      <w:r>
        <w:rPr>
          <w:rFonts w:ascii="Arial" w:hAnsi="Arial" w:cs="Arial"/>
          <w:sz w:val="24"/>
          <w:szCs w:val="24"/>
        </w:rPr>
        <w:t>Gloudina</w:t>
      </w:r>
      <w:proofErr w:type="spellEnd"/>
      <w:r>
        <w:rPr>
          <w:rFonts w:ascii="Arial" w:hAnsi="Arial" w:cs="Arial"/>
          <w:sz w:val="24"/>
          <w:szCs w:val="24"/>
        </w:rPr>
        <w:t xml:space="preserve"> </w:t>
      </w:r>
      <w:proofErr w:type="gramStart"/>
      <w:r>
        <w:rPr>
          <w:rFonts w:ascii="Arial" w:hAnsi="Arial" w:cs="Arial"/>
          <w:sz w:val="24"/>
          <w:szCs w:val="24"/>
        </w:rPr>
        <w:t>street</w:t>
      </w:r>
      <w:proofErr w:type="gramEnd"/>
      <w:r>
        <w:rPr>
          <w:rFonts w:ascii="Arial" w:hAnsi="Arial" w:cs="Arial"/>
          <w:sz w:val="24"/>
          <w:szCs w:val="24"/>
        </w:rPr>
        <w:t xml:space="preserve"> 109, </w:t>
      </w:r>
      <w:proofErr w:type="spellStart"/>
      <w:r>
        <w:rPr>
          <w:rFonts w:ascii="Arial" w:hAnsi="Arial" w:cs="Arial"/>
          <w:sz w:val="24"/>
          <w:szCs w:val="24"/>
        </w:rPr>
        <w:t>Ludwigsdorf</w:t>
      </w:r>
      <w:proofErr w:type="spellEnd"/>
      <w:r>
        <w:rPr>
          <w:rFonts w:ascii="Arial" w:hAnsi="Arial" w:cs="Arial"/>
          <w:sz w:val="24"/>
          <w:szCs w:val="24"/>
        </w:rPr>
        <w:t>, Windhoek which is also the residential address of the second and third respondents. The appellant alleged in his particulars of claim that the plaintiff’s claim is against the first respondent</w:t>
      </w:r>
      <w:r w:rsidR="00B73BAD">
        <w:rPr>
          <w:rFonts w:ascii="Arial" w:hAnsi="Arial" w:cs="Arial"/>
          <w:sz w:val="24"/>
          <w:szCs w:val="24"/>
        </w:rPr>
        <w:t>,</w:t>
      </w:r>
      <w:r>
        <w:rPr>
          <w:rFonts w:ascii="Arial" w:hAnsi="Arial" w:cs="Arial"/>
          <w:sz w:val="24"/>
          <w:szCs w:val="24"/>
        </w:rPr>
        <w:t xml:space="preserve"> alternatively t</w:t>
      </w:r>
      <w:r w:rsidR="00B73BAD">
        <w:rPr>
          <w:rFonts w:ascii="Arial" w:hAnsi="Arial" w:cs="Arial"/>
          <w:sz w:val="24"/>
          <w:szCs w:val="24"/>
        </w:rPr>
        <w:t>he</w:t>
      </w:r>
      <w:r>
        <w:rPr>
          <w:rFonts w:ascii="Arial" w:hAnsi="Arial" w:cs="Arial"/>
          <w:sz w:val="24"/>
          <w:szCs w:val="24"/>
        </w:rPr>
        <w:t xml:space="preserve"> second and third respondents joint</w:t>
      </w:r>
      <w:r w:rsidR="003C60C4">
        <w:rPr>
          <w:rFonts w:ascii="Arial" w:hAnsi="Arial" w:cs="Arial"/>
          <w:sz w:val="24"/>
          <w:szCs w:val="24"/>
        </w:rPr>
        <w:t>ly</w:t>
      </w:r>
      <w:r>
        <w:rPr>
          <w:rFonts w:ascii="Arial" w:hAnsi="Arial" w:cs="Arial"/>
          <w:sz w:val="24"/>
          <w:szCs w:val="24"/>
        </w:rPr>
        <w:t xml:space="preserve"> and severally, who were at all relevant times acting in partnership under the name and style of Leopard Tours.</w:t>
      </w:r>
    </w:p>
    <w:p w14:paraId="66525A0A" w14:textId="77777777" w:rsidR="001457D5" w:rsidRPr="001457D5" w:rsidRDefault="001457D5" w:rsidP="00B13840">
      <w:pPr>
        <w:pStyle w:val="ListParagraph"/>
        <w:spacing w:after="0" w:line="480" w:lineRule="auto"/>
        <w:jc w:val="both"/>
        <w:rPr>
          <w:rFonts w:ascii="Arial" w:hAnsi="Arial" w:cs="Arial"/>
          <w:sz w:val="24"/>
          <w:szCs w:val="24"/>
        </w:rPr>
      </w:pPr>
    </w:p>
    <w:p w14:paraId="05CDC23D" w14:textId="7AB7D3B7" w:rsidR="001457D5" w:rsidRDefault="001457D5"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Appellant’s particulars of claim in more detail are in this form:</w:t>
      </w:r>
    </w:p>
    <w:p w14:paraId="5A9649CC" w14:textId="77777777" w:rsidR="00981562" w:rsidRPr="00981562" w:rsidRDefault="00981562" w:rsidP="00B13840">
      <w:pPr>
        <w:pStyle w:val="ListParagraph"/>
        <w:spacing w:after="0" w:line="480" w:lineRule="auto"/>
        <w:jc w:val="both"/>
        <w:rPr>
          <w:rFonts w:ascii="Arial" w:hAnsi="Arial" w:cs="Arial"/>
          <w:sz w:val="24"/>
          <w:szCs w:val="24"/>
        </w:rPr>
      </w:pPr>
    </w:p>
    <w:p w14:paraId="7942031F" w14:textId="7445842A" w:rsidR="001457D5" w:rsidRDefault="00981562" w:rsidP="00414AF9">
      <w:pPr>
        <w:pStyle w:val="ListParagraph"/>
        <w:spacing w:line="360" w:lineRule="auto"/>
        <w:ind w:left="1440" w:hanging="720"/>
        <w:jc w:val="both"/>
        <w:rPr>
          <w:rFonts w:ascii="Arial" w:hAnsi="Arial" w:cs="Arial"/>
        </w:rPr>
      </w:pPr>
      <w:r>
        <w:rPr>
          <w:rFonts w:ascii="Arial" w:hAnsi="Arial" w:cs="Arial"/>
        </w:rPr>
        <w:t>‘6.</w:t>
      </w:r>
      <w:r>
        <w:rPr>
          <w:rFonts w:ascii="Arial" w:hAnsi="Arial" w:cs="Arial"/>
        </w:rPr>
        <w:tab/>
        <w:t>In or about the 25</w:t>
      </w:r>
      <w:r w:rsidRPr="00981562">
        <w:rPr>
          <w:rFonts w:ascii="Arial" w:hAnsi="Arial" w:cs="Arial"/>
          <w:vertAlign w:val="superscript"/>
        </w:rPr>
        <w:t>th</w:t>
      </w:r>
      <w:r>
        <w:rPr>
          <w:rFonts w:ascii="Arial" w:hAnsi="Arial" w:cs="Arial"/>
        </w:rPr>
        <w:t xml:space="preserve"> of January 2004, First Defendant represented by Second and Third Defendants alternatively Second and Third Defendants personally representing their partnership known as Leopard Tours made representations to Plaintiff by way of their 8 page internet prospectus stating among other allegations the following:</w:t>
      </w:r>
    </w:p>
    <w:p w14:paraId="7DA66A36" w14:textId="77777777" w:rsidR="00981562" w:rsidRDefault="00981562" w:rsidP="00414AF9">
      <w:pPr>
        <w:pStyle w:val="ListParagraph"/>
        <w:spacing w:line="360" w:lineRule="auto"/>
        <w:jc w:val="both"/>
        <w:rPr>
          <w:rFonts w:ascii="Arial" w:hAnsi="Arial" w:cs="Arial"/>
        </w:rPr>
      </w:pPr>
    </w:p>
    <w:p w14:paraId="29EC247D" w14:textId="42CC3A33" w:rsidR="00981562" w:rsidRDefault="00981562" w:rsidP="00B841E0">
      <w:pPr>
        <w:pStyle w:val="ListParagraph"/>
        <w:spacing w:line="360" w:lineRule="auto"/>
        <w:ind w:left="1440"/>
        <w:jc w:val="both"/>
        <w:rPr>
          <w:rFonts w:ascii="Arial" w:hAnsi="Arial" w:cs="Arial"/>
        </w:rPr>
      </w:pPr>
      <w:r>
        <w:rPr>
          <w:rFonts w:ascii="Arial" w:hAnsi="Arial" w:cs="Arial"/>
        </w:rPr>
        <w:t>6.1</w:t>
      </w:r>
      <w:r>
        <w:rPr>
          <w:rFonts w:ascii="Arial" w:hAnsi="Arial" w:cs="Arial"/>
        </w:rPr>
        <w:tab/>
      </w:r>
      <w:proofErr w:type="gramStart"/>
      <w:r>
        <w:rPr>
          <w:rFonts w:ascii="Arial" w:hAnsi="Arial" w:cs="Arial"/>
        </w:rPr>
        <w:t>that</w:t>
      </w:r>
      <w:proofErr w:type="gramEnd"/>
      <w:r>
        <w:rPr>
          <w:rFonts w:ascii="Arial" w:hAnsi="Arial" w:cs="Arial"/>
        </w:rPr>
        <w:t xml:space="preserve"> they were letting out 4x4 </w:t>
      </w:r>
      <w:r w:rsidR="00414AF9">
        <w:rPr>
          <w:rFonts w:ascii="Arial" w:hAnsi="Arial" w:cs="Arial"/>
        </w:rPr>
        <w:t>camping vehicles to tourists visiting Namibia;</w:t>
      </w:r>
    </w:p>
    <w:p w14:paraId="6166E0D5" w14:textId="77777777" w:rsidR="00414AF9" w:rsidRDefault="00414AF9" w:rsidP="00414AF9">
      <w:pPr>
        <w:pStyle w:val="ListParagraph"/>
        <w:spacing w:line="360" w:lineRule="auto"/>
        <w:jc w:val="both"/>
        <w:rPr>
          <w:rFonts w:ascii="Arial" w:hAnsi="Arial" w:cs="Arial"/>
        </w:rPr>
      </w:pPr>
    </w:p>
    <w:p w14:paraId="2FE182CE" w14:textId="09DD6E79" w:rsidR="00414AF9" w:rsidRDefault="00414AF9" w:rsidP="00B73BAD">
      <w:pPr>
        <w:pStyle w:val="ListParagraph"/>
        <w:spacing w:line="360" w:lineRule="auto"/>
        <w:ind w:left="1440"/>
        <w:jc w:val="both"/>
        <w:rPr>
          <w:rFonts w:ascii="Arial" w:hAnsi="Arial" w:cs="Arial"/>
        </w:rPr>
      </w:pPr>
      <w:r>
        <w:rPr>
          <w:rFonts w:ascii="Arial" w:hAnsi="Arial" w:cs="Arial"/>
        </w:rPr>
        <w:t>6.2</w:t>
      </w:r>
      <w:r>
        <w:rPr>
          <w:rFonts w:ascii="Arial" w:hAnsi="Arial" w:cs="Arial"/>
        </w:rPr>
        <w:tab/>
      </w:r>
      <w:proofErr w:type="gramStart"/>
      <w:r>
        <w:rPr>
          <w:rFonts w:ascii="Arial" w:hAnsi="Arial" w:cs="Arial"/>
        </w:rPr>
        <w:t>that</w:t>
      </w:r>
      <w:proofErr w:type="gramEnd"/>
      <w:r>
        <w:rPr>
          <w:rFonts w:ascii="Arial" w:hAnsi="Arial" w:cs="Arial"/>
        </w:rPr>
        <w:t xml:space="preserve"> they are not the cheapest but the best suppliers of vehicles equipped for safaris in Namibia;</w:t>
      </w:r>
    </w:p>
    <w:p w14:paraId="7963EF3A" w14:textId="77777777" w:rsidR="00414AF9" w:rsidRDefault="00414AF9" w:rsidP="00414AF9">
      <w:pPr>
        <w:pStyle w:val="ListParagraph"/>
        <w:spacing w:line="360" w:lineRule="auto"/>
        <w:jc w:val="both"/>
        <w:rPr>
          <w:rFonts w:ascii="Arial" w:hAnsi="Arial" w:cs="Arial"/>
        </w:rPr>
      </w:pPr>
    </w:p>
    <w:p w14:paraId="0EE3C8BD" w14:textId="5BB3FAA9" w:rsidR="00414AF9" w:rsidRDefault="00414AF9" w:rsidP="00B73BAD">
      <w:pPr>
        <w:pStyle w:val="ListParagraph"/>
        <w:spacing w:line="360" w:lineRule="auto"/>
        <w:ind w:left="1440"/>
        <w:jc w:val="both"/>
        <w:rPr>
          <w:rFonts w:ascii="Arial" w:hAnsi="Arial" w:cs="Arial"/>
        </w:rPr>
      </w:pPr>
      <w:r>
        <w:rPr>
          <w:rFonts w:ascii="Arial" w:hAnsi="Arial" w:cs="Arial"/>
        </w:rPr>
        <w:t>6.3</w:t>
      </w:r>
      <w:r>
        <w:rPr>
          <w:rFonts w:ascii="Arial" w:hAnsi="Arial" w:cs="Arial"/>
        </w:rPr>
        <w:tab/>
      </w:r>
      <w:proofErr w:type="gramStart"/>
      <w:r>
        <w:rPr>
          <w:rFonts w:ascii="Arial" w:hAnsi="Arial" w:cs="Arial"/>
        </w:rPr>
        <w:t>that</w:t>
      </w:r>
      <w:proofErr w:type="gramEnd"/>
      <w:r>
        <w:rPr>
          <w:rFonts w:ascii="Arial" w:hAnsi="Arial" w:cs="Arial"/>
        </w:rPr>
        <w:t xml:space="preserve"> there are no “hidden or extra” costs if one enters into a contract with them for the hire of a 4x4 camping vehicle;</w:t>
      </w:r>
    </w:p>
    <w:p w14:paraId="506C0977" w14:textId="77777777" w:rsidR="00414AF9" w:rsidRDefault="00414AF9" w:rsidP="00414AF9">
      <w:pPr>
        <w:pStyle w:val="ListParagraph"/>
        <w:spacing w:line="360" w:lineRule="auto"/>
        <w:jc w:val="both"/>
        <w:rPr>
          <w:rFonts w:ascii="Arial" w:hAnsi="Arial" w:cs="Arial"/>
        </w:rPr>
      </w:pPr>
    </w:p>
    <w:p w14:paraId="22A41CD5" w14:textId="36D2BFDE" w:rsidR="00414AF9" w:rsidRDefault="00414AF9" w:rsidP="00B73BAD">
      <w:pPr>
        <w:pStyle w:val="ListParagraph"/>
        <w:spacing w:line="360" w:lineRule="auto"/>
        <w:ind w:left="1440"/>
        <w:jc w:val="both"/>
        <w:rPr>
          <w:rFonts w:ascii="Arial" w:hAnsi="Arial" w:cs="Arial"/>
        </w:rPr>
      </w:pPr>
      <w:r>
        <w:rPr>
          <w:rFonts w:ascii="Arial" w:hAnsi="Arial" w:cs="Arial"/>
        </w:rPr>
        <w:t>6.4</w:t>
      </w:r>
      <w:r>
        <w:rPr>
          <w:rFonts w:ascii="Arial" w:hAnsi="Arial" w:cs="Arial"/>
        </w:rPr>
        <w:tab/>
        <w:t xml:space="preserve">that included in their </w:t>
      </w:r>
      <w:proofErr w:type="spellStart"/>
      <w:r>
        <w:rPr>
          <w:rFonts w:ascii="Arial" w:hAnsi="Arial" w:cs="Arial"/>
        </w:rPr>
        <w:t>all inclusive</w:t>
      </w:r>
      <w:proofErr w:type="spellEnd"/>
      <w:r>
        <w:rPr>
          <w:rFonts w:ascii="Arial" w:hAnsi="Arial" w:cs="Arial"/>
        </w:rPr>
        <w:t xml:space="preserve"> daily tariff there is a </w:t>
      </w:r>
      <w:r>
        <w:rPr>
          <w:rFonts w:ascii="Arial" w:hAnsi="Arial" w:cs="Arial"/>
          <w:b/>
        </w:rPr>
        <w:t xml:space="preserve">super </w:t>
      </w:r>
      <w:r>
        <w:rPr>
          <w:rFonts w:ascii="Arial" w:hAnsi="Arial" w:cs="Arial"/>
        </w:rPr>
        <w:t xml:space="preserve">insurance cover including CDW, TLW and ACDW insurance cover providing a 95% protection and a reduction of the excess to </w:t>
      </w:r>
      <w:r w:rsidR="00EB3E33">
        <w:rPr>
          <w:rFonts w:ascii="Arial" w:hAnsi="Arial" w:cs="Arial"/>
        </w:rPr>
        <w:t>€ 1500,00;</w:t>
      </w:r>
    </w:p>
    <w:p w14:paraId="0F4CE9DE" w14:textId="77777777" w:rsidR="00EB3E33" w:rsidRDefault="00EB3E33" w:rsidP="00EB3E33">
      <w:pPr>
        <w:pStyle w:val="ListParagraph"/>
        <w:spacing w:line="360" w:lineRule="auto"/>
        <w:ind w:left="1440" w:hanging="720"/>
        <w:jc w:val="both"/>
        <w:rPr>
          <w:rFonts w:ascii="Arial" w:hAnsi="Arial" w:cs="Arial"/>
        </w:rPr>
      </w:pPr>
    </w:p>
    <w:p w14:paraId="14B4AB97" w14:textId="4DCB31B6" w:rsidR="00EB3E33" w:rsidRDefault="00EB3E33" w:rsidP="00B73BAD">
      <w:pPr>
        <w:pStyle w:val="ListParagraph"/>
        <w:spacing w:line="360" w:lineRule="auto"/>
        <w:ind w:left="1440"/>
        <w:jc w:val="both"/>
        <w:rPr>
          <w:rFonts w:ascii="Arial" w:hAnsi="Arial" w:cs="Arial"/>
        </w:rPr>
      </w:pPr>
      <w:r>
        <w:rPr>
          <w:rFonts w:ascii="Arial" w:hAnsi="Arial" w:cs="Arial"/>
        </w:rPr>
        <w:t>6.5</w:t>
      </w:r>
      <w:r>
        <w:rPr>
          <w:rFonts w:ascii="Arial" w:hAnsi="Arial" w:cs="Arial"/>
        </w:rPr>
        <w:tab/>
      </w:r>
      <w:proofErr w:type="gramStart"/>
      <w:r>
        <w:rPr>
          <w:rFonts w:ascii="Arial" w:hAnsi="Arial" w:cs="Arial"/>
        </w:rPr>
        <w:t>that</w:t>
      </w:r>
      <w:proofErr w:type="gramEnd"/>
      <w:r>
        <w:rPr>
          <w:rFonts w:ascii="Arial" w:hAnsi="Arial" w:cs="Arial"/>
        </w:rPr>
        <w:t xml:space="preserve"> the vehicles are specifically equipped for “Africa Tours”.</w:t>
      </w:r>
    </w:p>
    <w:p w14:paraId="3B20A5E2" w14:textId="77777777" w:rsidR="00B73BAD" w:rsidRDefault="00B73BAD" w:rsidP="00B73BAD">
      <w:pPr>
        <w:pStyle w:val="ListParagraph"/>
        <w:spacing w:after="0" w:line="360" w:lineRule="auto"/>
        <w:ind w:left="1440"/>
        <w:jc w:val="both"/>
        <w:rPr>
          <w:rFonts w:ascii="Arial" w:hAnsi="Arial" w:cs="Arial"/>
        </w:rPr>
      </w:pPr>
    </w:p>
    <w:p w14:paraId="209D4E22" w14:textId="1CF1E014" w:rsidR="00EB3E33" w:rsidRDefault="00EB3E33" w:rsidP="00EB3E33">
      <w:pPr>
        <w:spacing w:line="360" w:lineRule="auto"/>
        <w:ind w:left="1440" w:hanging="720"/>
        <w:jc w:val="both"/>
        <w:rPr>
          <w:rFonts w:ascii="Arial" w:hAnsi="Arial" w:cs="Arial"/>
        </w:rPr>
      </w:pPr>
      <w:r>
        <w:rPr>
          <w:rFonts w:ascii="Arial" w:hAnsi="Arial" w:cs="Arial"/>
        </w:rPr>
        <w:t>7.</w:t>
      </w:r>
      <w:r>
        <w:rPr>
          <w:rFonts w:ascii="Arial" w:hAnsi="Arial" w:cs="Arial"/>
        </w:rPr>
        <w:tab/>
        <w:t>Relying on and being persuaded by first alternatively second and third defendants</w:t>
      </w:r>
      <w:r w:rsidR="000D1AD7">
        <w:rPr>
          <w:rFonts w:ascii="Arial" w:hAnsi="Arial" w:cs="Arial"/>
        </w:rPr>
        <w:t>’</w:t>
      </w:r>
      <w:r>
        <w:rPr>
          <w:rFonts w:ascii="Arial" w:hAnsi="Arial" w:cs="Arial"/>
        </w:rPr>
        <w:t xml:space="preserve"> representations, plaintiff entered into a hire contract with first alternatively second or third defendants for the hire of a 4x4 camping vehicle at a daily rate of € 148</w:t>
      </w:r>
      <w:r w:rsidR="00280960">
        <w:rPr>
          <w:rFonts w:ascii="Arial" w:hAnsi="Arial" w:cs="Arial"/>
        </w:rPr>
        <w:t>, 90</w:t>
      </w:r>
      <w:r>
        <w:rPr>
          <w:rFonts w:ascii="Arial" w:hAnsi="Arial" w:cs="Arial"/>
        </w:rPr>
        <w:t xml:space="preserve"> for a period of 28 days for the period 1 November 2004 to 28 November 2004 with the purpose of using the said vehicle for a safari trip in Namibia.</w:t>
      </w:r>
    </w:p>
    <w:p w14:paraId="4AEB952D" w14:textId="77777777" w:rsidR="00EB3E33" w:rsidRDefault="00EB3E33" w:rsidP="00B13840">
      <w:pPr>
        <w:spacing w:after="0" w:line="360" w:lineRule="auto"/>
        <w:ind w:left="1440" w:hanging="720"/>
        <w:jc w:val="both"/>
        <w:rPr>
          <w:rFonts w:ascii="Arial" w:hAnsi="Arial" w:cs="Arial"/>
        </w:rPr>
      </w:pPr>
    </w:p>
    <w:p w14:paraId="4AC6C134" w14:textId="5031DF3C" w:rsidR="00EB3E33" w:rsidRDefault="00EB3E33" w:rsidP="00EB3E33">
      <w:pPr>
        <w:spacing w:line="360" w:lineRule="auto"/>
        <w:ind w:left="1440" w:hanging="720"/>
        <w:jc w:val="both"/>
        <w:rPr>
          <w:rFonts w:ascii="Arial" w:hAnsi="Arial" w:cs="Arial"/>
        </w:rPr>
      </w:pPr>
      <w:r>
        <w:rPr>
          <w:rFonts w:ascii="Arial" w:hAnsi="Arial" w:cs="Arial"/>
        </w:rPr>
        <w:t>8.</w:t>
      </w:r>
      <w:r>
        <w:rPr>
          <w:rFonts w:ascii="Arial" w:hAnsi="Arial" w:cs="Arial"/>
        </w:rPr>
        <w:tab/>
        <w:t xml:space="preserve">Plaintiff took delivery of the said vehicle with registration number N 72140 </w:t>
      </w:r>
      <w:proofErr w:type="spellStart"/>
      <w:r>
        <w:rPr>
          <w:rFonts w:ascii="Arial" w:hAnsi="Arial" w:cs="Arial"/>
        </w:rPr>
        <w:t>W on</w:t>
      </w:r>
      <w:proofErr w:type="spellEnd"/>
      <w:r>
        <w:rPr>
          <w:rFonts w:ascii="Arial" w:hAnsi="Arial" w:cs="Arial"/>
        </w:rPr>
        <w:t xml:space="preserve"> the 1</w:t>
      </w:r>
      <w:r w:rsidRPr="00EB3E33">
        <w:rPr>
          <w:rFonts w:ascii="Arial" w:hAnsi="Arial" w:cs="Arial"/>
          <w:vertAlign w:val="superscript"/>
        </w:rPr>
        <w:t>st</w:t>
      </w:r>
      <w:r>
        <w:rPr>
          <w:rFonts w:ascii="Arial" w:hAnsi="Arial" w:cs="Arial"/>
        </w:rPr>
        <w:t xml:space="preserve"> of November 2004.</w:t>
      </w:r>
    </w:p>
    <w:p w14:paraId="74D2A5DC" w14:textId="77777777" w:rsidR="00EB3E33" w:rsidRDefault="00EB3E33" w:rsidP="00B13840">
      <w:pPr>
        <w:spacing w:after="0" w:line="360" w:lineRule="auto"/>
        <w:ind w:left="1440" w:hanging="720"/>
        <w:jc w:val="both"/>
        <w:rPr>
          <w:rFonts w:ascii="Arial" w:hAnsi="Arial" w:cs="Arial"/>
        </w:rPr>
      </w:pPr>
    </w:p>
    <w:p w14:paraId="244DD372" w14:textId="36C76A4E" w:rsidR="00EB3E33" w:rsidRPr="00EB3E33" w:rsidRDefault="00EB3E33" w:rsidP="00EB3E33">
      <w:pPr>
        <w:spacing w:line="360" w:lineRule="auto"/>
        <w:ind w:left="1440" w:hanging="720"/>
        <w:jc w:val="both"/>
        <w:rPr>
          <w:rFonts w:ascii="Arial" w:hAnsi="Arial" w:cs="Arial"/>
        </w:rPr>
      </w:pPr>
      <w:r>
        <w:rPr>
          <w:rFonts w:ascii="Arial" w:hAnsi="Arial" w:cs="Arial"/>
        </w:rPr>
        <w:t>9.</w:t>
      </w:r>
      <w:r>
        <w:rPr>
          <w:rFonts w:ascii="Arial" w:hAnsi="Arial" w:cs="Arial"/>
        </w:rPr>
        <w:tab/>
        <w:t xml:space="preserve">On taking delivery of the vehicle, plaintiff was required to sign defendants “rental contract agreement”, </w:t>
      </w:r>
      <w:r w:rsidR="003C60C4">
        <w:rPr>
          <w:rFonts w:ascii="Arial" w:hAnsi="Arial" w:cs="Arial"/>
        </w:rPr>
        <w:t>(</w:t>
      </w:r>
      <w:r>
        <w:rPr>
          <w:rFonts w:ascii="Arial" w:hAnsi="Arial" w:cs="Arial"/>
        </w:rPr>
        <w:t xml:space="preserve">a copy of the </w:t>
      </w:r>
      <w:r w:rsidR="003C60C4">
        <w:rPr>
          <w:rFonts w:ascii="Arial" w:hAnsi="Arial" w:cs="Arial"/>
        </w:rPr>
        <w:t>agreement was attached to the particulars of claim).</w:t>
      </w:r>
      <w:r w:rsidR="00A87D07">
        <w:rPr>
          <w:rFonts w:ascii="Arial" w:hAnsi="Arial" w:cs="Arial"/>
        </w:rPr>
        <w:t>’</w:t>
      </w:r>
    </w:p>
    <w:p w14:paraId="7A35D215" w14:textId="77777777" w:rsidR="00981562" w:rsidRPr="001457D5" w:rsidRDefault="00981562" w:rsidP="00B13840">
      <w:pPr>
        <w:pStyle w:val="ListParagraph"/>
        <w:spacing w:after="0" w:line="480" w:lineRule="auto"/>
        <w:jc w:val="both"/>
        <w:rPr>
          <w:rFonts w:ascii="Arial" w:hAnsi="Arial" w:cs="Arial"/>
          <w:sz w:val="24"/>
          <w:szCs w:val="24"/>
        </w:rPr>
      </w:pPr>
    </w:p>
    <w:p w14:paraId="57BFF8C7" w14:textId="124FBB70" w:rsidR="001457D5" w:rsidRDefault="00EB3E33"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Paragraph 10 of the particulars of claim is a detailed reflection of the vehicle hire contract</w:t>
      </w:r>
      <w:r w:rsidR="00F30D1F">
        <w:rPr>
          <w:rFonts w:ascii="Arial" w:hAnsi="Arial" w:cs="Arial"/>
          <w:sz w:val="24"/>
          <w:szCs w:val="24"/>
        </w:rPr>
        <w:t>,</w:t>
      </w:r>
      <w:r>
        <w:rPr>
          <w:rFonts w:ascii="Arial" w:hAnsi="Arial" w:cs="Arial"/>
          <w:sz w:val="24"/>
          <w:szCs w:val="24"/>
        </w:rPr>
        <w:t xml:space="preserve"> which contains the insurance the first respondent provided and exclusions from the insurance</w:t>
      </w:r>
      <w:r w:rsidR="003C60C4">
        <w:rPr>
          <w:rFonts w:ascii="Arial" w:hAnsi="Arial" w:cs="Arial"/>
          <w:sz w:val="24"/>
          <w:szCs w:val="24"/>
        </w:rPr>
        <w:t>, particularly excluded were glass breakage, sandblasts, fuel</w:t>
      </w:r>
      <w:r w:rsidR="001A438E">
        <w:rPr>
          <w:rFonts w:ascii="Arial" w:hAnsi="Arial" w:cs="Arial"/>
          <w:sz w:val="24"/>
          <w:szCs w:val="24"/>
        </w:rPr>
        <w:t>,</w:t>
      </w:r>
      <w:r w:rsidR="003C60C4">
        <w:rPr>
          <w:rFonts w:ascii="Arial" w:hAnsi="Arial" w:cs="Arial"/>
          <w:sz w:val="24"/>
          <w:szCs w:val="24"/>
        </w:rPr>
        <w:t xml:space="preserve"> tires, undercarriage, damages </w:t>
      </w:r>
      <w:r w:rsidR="00F30D1F">
        <w:rPr>
          <w:rFonts w:ascii="Arial" w:hAnsi="Arial" w:cs="Arial"/>
          <w:sz w:val="24"/>
          <w:szCs w:val="24"/>
        </w:rPr>
        <w:t>ca</w:t>
      </w:r>
      <w:r w:rsidR="003C60C4">
        <w:rPr>
          <w:rFonts w:ascii="Arial" w:hAnsi="Arial" w:cs="Arial"/>
          <w:sz w:val="24"/>
          <w:szCs w:val="24"/>
        </w:rPr>
        <w:t>use</w:t>
      </w:r>
      <w:r w:rsidR="00F30D1F">
        <w:rPr>
          <w:rFonts w:ascii="Arial" w:hAnsi="Arial" w:cs="Arial"/>
          <w:sz w:val="24"/>
          <w:szCs w:val="24"/>
        </w:rPr>
        <w:t>d by</w:t>
      </w:r>
      <w:r w:rsidR="003C60C4">
        <w:rPr>
          <w:rFonts w:ascii="Arial" w:hAnsi="Arial" w:cs="Arial"/>
          <w:sz w:val="24"/>
          <w:szCs w:val="24"/>
        </w:rPr>
        <w:t xml:space="preserve"> driving through water</w:t>
      </w:r>
      <w:r w:rsidR="00CB5ED1">
        <w:rPr>
          <w:rFonts w:ascii="Arial" w:hAnsi="Arial" w:cs="Arial"/>
          <w:sz w:val="24"/>
          <w:szCs w:val="24"/>
        </w:rPr>
        <w:t>,</w:t>
      </w:r>
      <w:r w:rsidR="003C60C4">
        <w:rPr>
          <w:rFonts w:ascii="Arial" w:hAnsi="Arial" w:cs="Arial"/>
          <w:sz w:val="24"/>
          <w:szCs w:val="24"/>
        </w:rPr>
        <w:t xml:space="preserve"> repatriation after accidents, damage to the vehicle or breakdowns in remote areas and personal property.</w:t>
      </w:r>
    </w:p>
    <w:p w14:paraId="469BFEE5" w14:textId="77777777" w:rsidR="00A87D07" w:rsidRDefault="00A87D07" w:rsidP="00A87D07">
      <w:pPr>
        <w:pStyle w:val="ListParagraph"/>
        <w:tabs>
          <w:tab w:val="left" w:pos="851"/>
        </w:tabs>
        <w:spacing w:after="0" w:line="480" w:lineRule="auto"/>
        <w:ind w:left="0"/>
        <w:jc w:val="both"/>
        <w:rPr>
          <w:rFonts w:ascii="Arial" w:hAnsi="Arial" w:cs="Arial"/>
          <w:sz w:val="24"/>
          <w:szCs w:val="24"/>
        </w:rPr>
      </w:pPr>
    </w:p>
    <w:p w14:paraId="4A6267CA" w14:textId="79A6BC25" w:rsidR="00A87D07" w:rsidRDefault="00A87D07"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particulars of claim continued to allege that:</w:t>
      </w:r>
    </w:p>
    <w:p w14:paraId="5B6985BC" w14:textId="77777777" w:rsidR="00A87D07" w:rsidRDefault="00A87D07" w:rsidP="00A87D07">
      <w:pPr>
        <w:pStyle w:val="ListParagraph"/>
        <w:spacing w:line="480" w:lineRule="auto"/>
        <w:jc w:val="both"/>
        <w:rPr>
          <w:rFonts w:ascii="Arial" w:hAnsi="Arial" w:cs="Arial"/>
          <w:sz w:val="24"/>
          <w:szCs w:val="24"/>
        </w:rPr>
      </w:pPr>
    </w:p>
    <w:p w14:paraId="2265013C" w14:textId="1C5558D3" w:rsidR="00A87D07" w:rsidRPr="00A31E17" w:rsidRDefault="00A87D07" w:rsidP="00A31E17">
      <w:pPr>
        <w:pStyle w:val="ListParagraph"/>
        <w:spacing w:line="360" w:lineRule="auto"/>
        <w:ind w:left="1440" w:hanging="720"/>
        <w:jc w:val="both"/>
        <w:rPr>
          <w:rFonts w:ascii="Arial" w:hAnsi="Arial" w:cs="Arial"/>
        </w:rPr>
      </w:pPr>
      <w:r w:rsidRPr="00A31E17">
        <w:rPr>
          <w:rFonts w:ascii="Arial" w:hAnsi="Arial" w:cs="Arial"/>
        </w:rPr>
        <w:lastRenderedPageBreak/>
        <w:t>’11.1</w:t>
      </w:r>
      <w:r w:rsidRPr="00A31E17">
        <w:rPr>
          <w:rFonts w:ascii="Arial" w:hAnsi="Arial" w:cs="Arial"/>
        </w:rPr>
        <w:tab/>
        <w:t>On Thursday, the 18</w:t>
      </w:r>
      <w:r w:rsidRPr="00A31E17">
        <w:rPr>
          <w:rFonts w:ascii="Arial" w:hAnsi="Arial" w:cs="Arial"/>
          <w:vertAlign w:val="superscript"/>
        </w:rPr>
        <w:t>th</w:t>
      </w:r>
      <w:r w:rsidRPr="00A31E17">
        <w:rPr>
          <w:rFonts w:ascii="Arial" w:hAnsi="Arial" w:cs="Arial"/>
        </w:rPr>
        <w:t xml:space="preserve"> of November 2004, at approximately 11:00 AM plaintiff in attempting to cross a river at a place called “</w:t>
      </w:r>
      <w:proofErr w:type="spellStart"/>
      <w:r w:rsidRPr="00A31E17">
        <w:rPr>
          <w:rFonts w:ascii="Arial" w:hAnsi="Arial" w:cs="Arial"/>
        </w:rPr>
        <w:t>Baaidjie</w:t>
      </w:r>
      <w:proofErr w:type="spellEnd"/>
      <w:r w:rsidRPr="00A31E17">
        <w:rPr>
          <w:rFonts w:ascii="Arial" w:hAnsi="Arial" w:cs="Arial"/>
        </w:rPr>
        <w:t>” got stuck with his vehicle in the river. Subsequently, the river came down in flood and overturned the vehicle and caused substantial damage to the vehicle.</w:t>
      </w:r>
    </w:p>
    <w:p w14:paraId="2F098C3A" w14:textId="77777777" w:rsidR="00A87D07" w:rsidRPr="00A31E17" w:rsidRDefault="00A87D07" w:rsidP="00A31E17">
      <w:pPr>
        <w:pStyle w:val="ListParagraph"/>
        <w:spacing w:line="360" w:lineRule="auto"/>
        <w:jc w:val="both"/>
        <w:rPr>
          <w:rFonts w:ascii="Arial" w:hAnsi="Arial" w:cs="Arial"/>
        </w:rPr>
      </w:pPr>
    </w:p>
    <w:p w14:paraId="113D62A2" w14:textId="7AFD9B5E" w:rsidR="00A87D07" w:rsidRPr="00A31E17" w:rsidRDefault="00A87D07" w:rsidP="00A31E17">
      <w:pPr>
        <w:pStyle w:val="ListParagraph"/>
        <w:spacing w:line="360" w:lineRule="auto"/>
        <w:ind w:left="1440" w:hanging="720"/>
        <w:jc w:val="both"/>
        <w:rPr>
          <w:rFonts w:ascii="Arial" w:hAnsi="Arial" w:cs="Arial"/>
        </w:rPr>
      </w:pPr>
      <w:r w:rsidRPr="00A31E17">
        <w:rPr>
          <w:rFonts w:ascii="Arial" w:hAnsi="Arial" w:cs="Arial"/>
        </w:rPr>
        <w:t>11.2</w:t>
      </w:r>
      <w:r w:rsidRPr="00A31E17">
        <w:rPr>
          <w:rFonts w:ascii="Arial" w:hAnsi="Arial" w:cs="Arial"/>
        </w:rPr>
        <w:tab/>
        <w:t>Plaintiff was not negligent in taking the decision to try and cross the river in particular for the following reason:</w:t>
      </w:r>
    </w:p>
    <w:p w14:paraId="6E3E6007" w14:textId="77777777" w:rsidR="00A87D07" w:rsidRPr="00A31E17" w:rsidRDefault="00A87D07" w:rsidP="00A31E17">
      <w:pPr>
        <w:pStyle w:val="ListParagraph"/>
        <w:spacing w:line="360" w:lineRule="auto"/>
        <w:ind w:left="1440" w:hanging="720"/>
        <w:jc w:val="both"/>
        <w:rPr>
          <w:rFonts w:ascii="Arial" w:hAnsi="Arial" w:cs="Arial"/>
        </w:rPr>
      </w:pPr>
    </w:p>
    <w:p w14:paraId="69F6E88C" w14:textId="1DEE93A1" w:rsidR="00A87D07" w:rsidRPr="00A31E17" w:rsidRDefault="00A87D07" w:rsidP="00A31E17">
      <w:pPr>
        <w:pStyle w:val="ListParagraph"/>
        <w:numPr>
          <w:ilvl w:val="0"/>
          <w:numId w:val="38"/>
        </w:numPr>
        <w:spacing w:line="360" w:lineRule="auto"/>
        <w:ind w:hanging="742"/>
        <w:jc w:val="both"/>
        <w:rPr>
          <w:rFonts w:ascii="Arial" w:hAnsi="Arial" w:cs="Arial"/>
        </w:rPr>
      </w:pPr>
      <w:r w:rsidRPr="00A31E17">
        <w:rPr>
          <w:rFonts w:ascii="Arial" w:hAnsi="Arial" w:cs="Arial"/>
        </w:rPr>
        <w:t>the river was not in flood at the time when the attempt to cross it was made although there was some water in the river;</w:t>
      </w:r>
    </w:p>
    <w:p w14:paraId="41212BDB" w14:textId="77777777" w:rsidR="00A87D07" w:rsidRPr="00A31E17" w:rsidRDefault="00A87D07" w:rsidP="00A31E17">
      <w:pPr>
        <w:pStyle w:val="ListParagraph"/>
        <w:spacing w:line="360" w:lineRule="auto"/>
        <w:ind w:left="2160"/>
        <w:jc w:val="both"/>
        <w:rPr>
          <w:rFonts w:ascii="Arial" w:hAnsi="Arial" w:cs="Arial"/>
        </w:rPr>
      </w:pPr>
    </w:p>
    <w:p w14:paraId="4ED35EF4" w14:textId="64A24AEC" w:rsidR="00A87D07" w:rsidRPr="00A31E17" w:rsidRDefault="00A87D07" w:rsidP="00A31E17">
      <w:pPr>
        <w:pStyle w:val="ListParagraph"/>
        <w:numPr>
          <w:ilvl w:val="0"/>
          <w:numId w:val="38"/>
        </w:numPr>
        <w:spacing w:line="360" w:lineRule="auto"/>
        <w:ind w:hanging="742"/>
        <w:jc w:val="both"/>
        <w:rPr>
          <w:rFonts w:ascii="Arial" w:hAnsi="Arial" w:cs="Arial"/>
        </w:rPr>
      </w:pPr>
      <w:r w:rsidRPr="00A31E17">
        <w:rPr>
          <w:rFonts w:ascii="Arial" w:hAnsi="Arial" w:cs="Arial"/>
        </w:rPr>
        <w:t>the vehicle was a 4x4 vehicle of which the defendant had made representations that it is suitable for safaris in the African bush which includes the crossing of rivers;</w:t>
      </w:r>
    </w:p>
    <w:p w14:paraId="4D23874E" w14:textId="77777777" w:rsidR="00A87D07" w:rsidRPr="00A31E17" w:rsidRDefault="00A87D07" w:rsidP="00A31E17">
      <w:pPr>
        <w:pStyle w:val="ListParagraph"/>
        <w:spacing w:line="360" w:lineRule="auto"/>
        <w:rPr>
          <w:rFonts w:ascii="Arial" w:hAnsi="Arial" w:cs="Arial"/>
        </w:rPr>
      </w:pPr>
    </w:p>
    <w:p w14:paraId="10D81829" w14:textId="22257EE9" w:rsidR="00A87D07" w:rsidRPr="00A31E17" w:rsidRDefault="00A87D07" w:rsidP="00A31E17">
      <w:pPr>
        <w:pStyle w:val="ListParagraph"/>
        <w:numPr>
          <w:ilvl w:val="0"/>
          <w:numId w:val="38"/>
        </w:numPr>
        <w:spacing w:line="360" w:lineRule="auto"/>
        <w:ind w:hanging="742"/>
        <w:jc w:val="both"/>
        <w:rPr>
          <w:rFonts w:ascii="Arial" w:hAnsi="Arial" w:cs="Arial"/>
        </w:rPr>
      </w:pPr>
      <w:r w:rsidRPr="00A31E17">
        <w:rPr>
          <w:rFonts w:ascii="Arial" w:hAnsi="Arial" w:cs="Arial"/>
        </w:rPr>
        <w:t>Plaintiff walked through the river to test the road;</w:t>
      </w:r>
    </w:p>
    <w:p w14:paraId="777D159C" w14:textId="77777777" w:rsidR="00A87D07" w:rsidRPr="00A31E17" w:rsidRDefault="00A87D07" w:rsidP="00A31E17">
      <w:pPr>
        <w:pStyle w:val="ListParagraph"/>
        <w:spacing w:line="360" w:lineRule="auto"/>
        <w:rPr>
          <w:rFonts w:ascii="Arial" w:hAnsi="Arial" w:cs="Arial"/>
        </w:rPr>
      </w:pPr>
    </w:p>
    <w:p w14:paraId="309C4E85" w14:textId="5286FD74" w:rsidR="00A87D07" w:rsidRPr="00A31E17" w:rsidRDefault="00A87D07" w:rsidP="00A31E17">
      <w:pPr>
        <w:pStyle w:val="ListParagraph"/>
        <w:numPr>
          <w:ilvl w:val="0"/>
          <w:numId w:val="38"/>
        </w:numPr>
        <w:spacing w:line="360" w:lineRule="auto"/>
        <w:ind w:hanging="742"/>
        <w:jc w:val="both"/>
        <w:rPr>
          <w:rFonts w:ascii="Arial" w:hAnsi="Arial" w:cs="Arial"/>
        </w:rPr>
      </w:pPr>
      <w:r w:rsidRPr="00A31E17">
        <w:rPr>
          <w:rFonts w:ascii="Arial" w:hAnsi="Arial" w:cs="Arial"/>
        </w:rPr>
        <w:t>Plaintiff saw that other vehicles had passed through the river;</w:t>
      </w:r>
    </w:p>
    <w:p w14:paraId="0FA06466" w14:textId="77777777" w:rsidR="00A87D07" w:rsidRPr="00A31E17" w:rsidRDefault="00A87D07" w:rsidP="00A31E17">
      <w:pPr>
        <w:pStyle w:val="ListParagraph"/>
        <w:spacing w:line="360" w:lineRule="auto"/>
        <w:rPr>
          <w:rFonts w:ascii="Arial" w:hAnsi="Arial" w:cs="Arial"/>
        </w:rPr>
      </w:pPr>
    </w:p>
    <w:p w14:paraId="13827A74" w14:textId="2869CDD0" w:rsidR="00A87D07" w:rsidRPr="00A31E17" w:rsidRDefault="00A87D07" w:rsidP="00A31E17">
      <w:pPr>
        <w:pStyle w:val="ListParagraph"/>
        <w:numPr>
          <w:ilvl w:val="0"/>
          <w:numId w:val="38"/>
        </w:numPr>
        <w:spacing w:line="360" w:lineRule="auto"/>
        <w:ind w:hanging="742"/>
        <w:jc w:val="both"/>
        <w:rPr>
          <w:rFonts w:ascii="Arial" w:hAnsi="Arial" w:cs="Arial"/>
        </w:rPr>
      </w:pPr>
      <w:r w:rsidRPr="00A31E17">
        <w:rPr>
          <w:rFonts w:ascii="Arial" w:hAnsi="Arial" w:cs="Arial"/>
        </w:rPr>
        <w:t>The damage to the vehicle was not caused by Plaintiff’s conduct but by the subsequent event, namely that the river unexpectedly came down in flood;</w:t>
      </w:r>
    </w:p>
    <w:p w14:paraId="7E096CCA" w14:textId="77777777" w:rsidR="00A87D07" w:rsidRPr="00A31E17" w:rsidRDefault="00A87D07" w:rsidP="00B13840">
      <w:pPr>
        <w:pStyle w:val="ListParagraph"/>
        <w:spacing w:after="0" w:line="360" w:lineRule="auto"/>
        <w:jc w:val="both"/>
        <w:rPr>
          <w:rFonts w:ascii="Arial" w:hAnsi="Arial" w:cs="Arial"/>
        </w:rPr>
      </w:pPr>
    </w:p>
    <w:p w14:paraId="62C7DCAD" w14:textId="6F5A3896" w:rsidR="00A87D07" w:rsidRPr="00A31E17" w:rsidRDefault="00A87D07" w:rsidP="00A31E17">
      <w:pPr>
        <w:spacing w:line="360" w:lineRule="auto"/>
        <w:ind w:left="1418" w:hanging="698"/>
        <w:jc w:val="both"/>
        <w:rPr>
          <w:rFonts w:ascii="Arial" w:hAnsi="Arial" w:cs="Arial"/>
        </w:rPr>
      </w:pPr>
      <w:r w:rsidRPr="00A31E17">
        <w:rPr>
          <w:rFonts w:ascii="Arial" w:hAnsi="Arial" w:cs="Arial"/>
        </w:rPr>
        <w:t>12.</w:t>
      </w:r>
      <w:r w:rsidRPr="00A31E17">
        <w:rPr>
          <w:rFonts w:ascii="Arial" w:hAnsi="Arial" w:cs="Arial"/>
        </w:rPr>
        <w:tab/>
        <w:t>The vehicle was subsequently transported to Windhoek by the defendant at a claimed cost of N$28 653</w:t>
      </w:r>
      <w:r w:rsidR="00280960" w:rsidRPr="00A31E17">
        <w:rPr>
          <w:rFonts w:ascii="Arial" w:hAnsi="Arial" w:cs="Arial"/>
        </w:rPr>
        <w:t>, 00</w:t>
      </w:r>
      <w:r w:rsidRPr="00A31E17">
        <w:rPr>
          <w:rFonts w:ascii="Arial" w:hAnsi="Arial" w:cs="Arial"/>
        </w:rPr>
        <w:t>.</w:t>
      </w:r>
    </w:p>
    <w:p w14:paraId="6662959E" w14:textId="77777777" w:rsidR="00C2483F" w:rsidRPr="00A31E17" w:rsidRDefault="00C2483F" w:rsidP="00E50176">
      <w:pPr>
        <w:spacing w:after="0" w:line="360" w:lineRule="auto"/>
        <w:ind w:left="1418" w:hanging="698"/>
        <w:jc w:val="both"/>
        <w:rPr>
          <w:rFonts w:ascii="Arial" w:hAnsi="Arial" w:cs="Arial"/>
        </w:rPr>
      </w:pPr>
    </w:p>
    <w:p w14:paraId="6F12B9C5" w14:textId="1F027C3E" w:rsidR="00C2483F" w:rsidRPr="00A31E17" w:rsidRDefault="00C2483F" w:rsidP="00A31E17">
      <w:pPr>
        <w:spacing w:line="360" w:lineRule="auto"/>
        <w:ind w:left="1418" w:hanging="698"/>
        <w:jc w:val="both"/>
        <w:rPr>
          <w:rFonts w:ascii="Arial" w:hAnsi="Arial" w:cs="Arial"/>
        </w:rPr>
      </w:pPr>
      <w:r w:rsidRPr="00A31E17">
        <w:rPr>
          <w:rFonts w:ascii="Arial" w:hAnsi="Arial" w:cs="Arial"/>
        </w:rPr>
        <w:t>13.</w:t>
      </w:r>
      <w:r w:rsidRPr="00A31E17">
        <w:rPr>
          <w:rFonts w:ascii="Arial" w:hAnsi="Arial" w:cs="Arial"/>
        </w:rPr>
        <w:tab/>
        <w:t>First defendant represented by second and third defendants, alternatively second and third defendants personally representing the partnership known as Leopard Tours demanded from plaintiff;</w:t>
      </w:r>
    </w:p>
    <w:p w14:paraId="548F782F" w14:textId="77777777" w:rsidR="00C2483F" w:rsidRPr="00A31E17" w:rsidRDefault="00C2483F" w:rsidP="00B13840">
      <w:pPr>
        <w:spacing w:after="0" w:line="360" w:lineRule="auto"/>
        <w:ind w:left="1418" w:hanging="698"/>
        <w:jc w:val="both"/>
        <w:rPr>
          <w:rFonts w:ascii="Arial" w:hAnsi="Arial" w:cs="Arial"/>
        </w:rPr>
      </w:pPr>
    </w:p>
    <w:p w14:paraId="3D650FD8" w14:textId="1BA065D2" w:rsidR="00C2483F" w:rsidRDefault="00C2483F" w:rsidP="00A31E17">
      <w:pPr>
        <w:pStyle w:val="ListParagraph"/>
        <w:numPr>
          <w:ilvl w:val="0"/>
          <w:numId w:val="39"/>
        </w:numPr>
        <w:spacing w:line="360" w:lineRule="auto"/>
        <w:jc w:val="both"/>
        <w:rPr>
          <w:rFonts w:ascii="Arial" w:hAnsi="Arial" w:cs="Arial"/>
        </w:rPr>
      </w:pPr>
      <w:r w:rsidRPr="00A31E17">
        <w:rPr>
          <w:rFonts w:ascii="Arial" w:hAnsi="Arial" w:cs="Arial"/>
        </w:rPr>
        <w:t>payment of the alleged transport costs of the said vehicle from “</w:t>
      </w:r>
      <w:proofErr w:type="spellStart"/>
      <w:r w:rsidRPr="00A31E17">
        <w:rPr>
          <w:rFonts w:ascii="Arial" w:hAnsi="Arial" w:cs="Arial"/>
        </w:rPr>
        <w:t>Baaidjie</w:t>
      </w:r>
      <w:proofErr w:type="spellEnd"/>
      <w:r w:rsidRPr="00A31E17">
        <w:rPr>
          <w:rFonts w:ascii="Arial" w:hAnsi="Arial" w:cs="Arial"/>
        </w:rPr>
        <w:t>” to Windhoek in the amount of N$28 653,00;</w:t>
      </w:r>
    </w:p>
    <w:p w14:paraId="02CECB40" w14:textId="77777777" w:rsidR="00B13840" w:rsidRPr="00A31E17" w:rsidRDefault="00B13840" w:rsidP="00B13840">
      <w:pPr>
        <w:pStyle w:val="ListParagraph"/>
        <w:spacing w:after="0" w:line="360" w:lineRule="auto"/>
        <w:ind w:left="1440"/>
        <w:jc w:val="both"/>
        <w:rPr>
          <w:rFonts w:ascii="Arial" w:hAnsi="Arial" w:cs="Arial"/>
        </w:rPr>
      </w:pPr>
    </w:p>
    <w:p w14:paraId="6B66307E" w14:textId="2AE6B125" w:rsidR="00C2483F" w:rsidRPr="00A31E17" w:rsidRDefault="00C2483F" w:rsidP="00A31E17">
      <w:pPr>
        <w:pStyle w:val="ListParagraph"/>
        <w:numPr>
          <w:ilvl w:val="0"/>
          <w:numId w:val="39"/>
        </w:numPr>
        <w:spacing w:line="360" w:lineRule="auto"/>
        <w:jc w:val="both"/>
        <w:rPr>
          <w:rFonts w:ascii="Arial" w:hAnsi="Arial" w:cs="Arial"/>
        </w:rPr>
      </w:pPr>
      <w:proofErr w:type="gramStart"/>
      <w:r w:rsidRPr="00A31E17">
        <w:rPr>
          <w:rFonts w:ascii="Arial" w:hAnsi="Arial" w:cs="Arial"/>
        </w:rPr>
        <w:lastRenderedPageBreak/>
        <w:t>the</w:t>
      </w:r>
      <w:proofErr w:type="gramEnd"/>
      <w:r w:rsidRPr="00A31E17">
        <w:rPr>
          <w:rFonts w:ascii="Arial" w:hAnsi="Arial" w:cs="Arial"/>
        </w:rPr>
        <w:t xml:space="preserve"> alleged costs of repairing the damages caused to the said vehicle and to the c</w:t>
      </w:r>
      <w:r w:rsidR="00F30D1F">
        <w:rPr>
          <w:rFonts w:ascii="Arial" w:hAnsi="Arial" w:cs="Arial"/>
        </w:rPr>
        <w:t>a</w:t>
      </w:r>
      <w:r w:rsidRPr="00A31E17">
        <w:rPr>
          <w:rFonts w:ascii="Arial" w:hAnsi="Arial" w:cs="Arial"/>
        </w:rPr>
        <w:t>mping equipment with which the vehicle was fitted in the amount of N$168 963</w:t>
      </w:r>
      <w:r w:rsidR="00280960" w:rsidRPr="00A31E17">
        <w:rPr>
          <w:rFonts w:ascii="Arial" w:hAnsi="Arial" w:cs="Arial"/>
        </w:rPr>
        <w:t>, 41</w:t>
      </w:r>
      <w:r w:rsidRPr="00A31E17">
        <w:rPr>
          <w:rFonts w:ascii="Arial" w:hAnsi="Arial" w:cs="Arial"/>
        </w:rPr>
        <w:t>.</w:t>
      </w:r>
    </w:p>
    <w:p w14:paraId="22894965" w14:textId="77777777" w:rsidR="00C2483F" w:rsidRPr="00A31E17" w:rsidRDefault="00C2483F" w:rsidP="00A31E17">
      <w:pPr>
        <w:pStyle w:val="ListParagraph"/>
        <w:spacing w:after="0" w:line="360" w:lineRule="auto"/>
        <w:ind w:left="1440"/>
        <w:jc w:val="both"/>
        <w:rPr>
          <w:rFonts w:ascii="Arial" w:hAnsi="Arial" w:cs="Arial"/>
        </w:rPr>
      </w:pPr>
    </w:p>
    <w:p w14:paraId="62F9C1B6" w14:textId="0AE9A80C" w:rsidR="00C2483F" w:rsidRPr="00A31E17" w:rsidRDefault="00C2483F" w:rsidP="00A31E17">
      <w:pPr>
        <w:spacing w:after="0" w:line="360" w:lineRule="auto"/>
        <w:ind w:left="1440" w:hanging="720"/>
        <w:jc w:val="both"/>
        <w:rPr>
          <w:rFonts w:ascii="Arial" w:hAnsi="Arial" w:cs="Arial"/>
        </w:rPr>
      </w:pPr>
      <w:r w:rsidRPr="00A31E17">
        <w:rPr>
          <w:rFonts w:ascii="Arial" w:hAnsi="Arial" w:cs="Arial"/>
        </w:rPr>
        <w:t>14.</w:t>
      </w:r>
      <w:r w:rsidRPr="00A31E17">
        <w:rPr>
          <w:rFonts w:ascii="Arial" w:hAnsi="Arial" w:cs="Arial"/>
        </w:rPr>
        <w:tab/>
        <w:t>Plaintiff paid both amounts referred to in para 13 above to the defendants. The amount of N$168 963</w:t>
      </w:r>
      <w:r w:rsidR="00280960" w:rsidRPr="00A31E17">
        <w:rPr>
          <w:rFonts w:ascii="Arial" w:hAnsi="Arial" w:cs="Arial"/>
        </w:rPr>
        <w:t>, 44</w:t>
      </w:r>
      <w:r w:rsidRPr="00A31E17">
        <w:rPr>
          <w:rFonts w:ascii="Arial" w:hAnsi="Arial" w:cs="Arial"/>
        </w:rPr>
        <w:t xml:space="preserve"> was paid in or about May 2005.</w:t>
      </w:r>
    </w:p>
    <w:p w14:paraId="6214DE78" w14:textId="77777777" w:rsidR="00C95DC3" w:rsidRPr="00A31E17" w:rsidRDefault="00C95DC3" w:rsidP="00B13840">
      <w:pPr>
        <w:spacing w:after="0" w:line="360" w:lineRule="auto"/>
        <w:ind w:left="1440" w:hanging="720"/>
        <w:jc w:val="both"/>
        <w:rPr>
          <w:rFonts w:ascii="Arial" w:hAnsi="Arial" w:cs="Arial"/>
        </w:rPr>
      </w:pPr>
    </w:p>
    <w:p w14:paraId="5E04E376" w14:textId="0995BEC1" w:rsidR="00C95DC3" w:rsidRPr="00A31E17" w:rsidRDefault="00C95DC3" w:rsidP="00A31E17">
      <w:pPr>
        <w:spacing w:after="0" w:line="360" w:lineRule="auto"/>
        <w:ind w:left="1440" w:hanging="720"/>
        <w:jc w:val="both"/>
        <w:rPr>
          <w:rFonts w:ascii="Arial" w:hAnsi="Arial" w:cs="Arial"/>
        </w:rPr>
      </w:pPr>
      <w:r w:rsidRPr="00A31E17">
        <w:rPr>
          <w:rFonts w:ascii="Arial" w:hAnsi="Arial" w:cs="Arial"/>
        </w:rPr>
        <w:t>14</w:t>
      </w:r>
      <w:r w:rsidR="00280960" w:rsidRPr="00A31E17">
        <w:rPr>
          <w:rFonts w:ascii="Arial" w:hAnsi="Arial" w:cs="Arial"/>
        </w:rPr>
        <w:t>. A</w:t>
      </w:r>
      <w:r w:rsidRPr="00A31E17">
        <w:rPr>
          <w:rFonts w:ascii="Arial" w:hAnsi="Arial" w:cs="Arial"/>
        </w:rPr>
        <w:tab/>
        <w:t xml:space="preserve">When making the representations contained in paras 6.4 and 10 above, the defendants knew same to be false in that the defendants knew that the first defendant had no such insurance cover which it could offer to the plaintiff, </w:t>
      </w:r>
      <w:r w:rsidR="0018101C" w:rsidRPr="00A31E17">
        <w:rPr>
          <w:rFonts w:ascii="Arial" w:hAnsi="Arial" w:cs="Arial"/>
        </w:rPr>
        <w:t>alternatively the defendants were negligent in making these representations as aforesaid in that the first defendant at all relevant times hereto was never registered as a short term insurer.</w:t>
      </w:r>
    </w:p>
    <w:p w14:paraId="6995E4C8" w14:textId="77777777" w:rsidR="0018101C" w:rsidRPr="00A31E17" w:rsidRDefault="0018101C" w:rsidP="00A31E17">
      <w:pPr>
        <w:spacing w:after="0" w:line="360" w:lineRule="auto"/>
        <w:ind w:left="1440" w:hanging="720"/>
        <w:jc w:val="both"/>
        <w:rPr>
          <w:rFonts w:ascii="Arial" w:hAnsi="Arial" w:cs="Arial"/>
        </w:rPr>
      </w:pPr>
    </w:p>
    <w:p w14:paraId="02BE3237" w14:textId="5EF23EAD" w:rsidR="0018101C" w:rsidRPr="00A31E17" w:rsidRDefault="0018101C" w:rsidP="00A31E17">
      <w:pPr>
        <w:spacing w:after="0" w:line="360" w:lineRule="auto"/>
        <w:ind w:left="1440" w:hanging="720"/>
        <w:jc w:val="both"/>
        <w:rPr>
          <w:rFonts w:ascii="Arial" w:hAnsi="Arial" w:cs="Arial"/>
        </w:rPr>
      </w:pPr>
      <w:r w:rsidRPr="00A31E17">
        <w:rPr>
          <w:rFonts w:ascii="Arial" w:hAnsi="Arial" w:cs="Arial"/>
        </w:rPr>
        <w:t>14</w:t>
      </w:r>
      <w:r w:rsidR="00280960" w:rsidRPr="00A31E17">
        <w:rPr>
          <w:rFonts w:ascii="Arial" w:hAnsi="Arial" w:cs="Arial"/>
        </w:rPr>
        <w:t>. B</w:t>
      </w:r>
      <w:r w:rsidRPr="00A31E17">
        <w:rPr>
          <w:rFonts w:ascii="Arial" w:hAnsi="Arial" w:cs="Arial"/>
        </w:rPr>
        <w:tab/>
        <w:t xml:space="preserve">Further plaintiff avers that any form of insurance so offered by the first defendant to the plaintiff was invalid and/or unlawful in that it did not comply with the peremptory provisions of the Short Term Insurance Act, 1998 </w:t>
      </w:r>
      <w:r w:rsidRPr="00A31E17">
        <w:rPr>
          <w:rFonts w:ascii="Arial" w:hAnsi="Arial" w:cs="Arial"/>
          <w:i/>
        </w:rPr>
        <w:t>inter alia</w:t>
      </w:r>
      <w:r w:rsidRPr="00A31E17">
        <w:rPr>
          <w:rFonts w:ascii="Arial" w:hAnsi="Arial" w:cs="Arial"/>
        </w:rPr>
        <w:t xml:space="preserve"> for the reasons that at all relevant times hereto the first defendant was never registered as a short term insurer in terms of the said Act as a consequence of which it could not offer and/or give any insurance cover to the plaintiff.</w:t>
      </w:r>
    </w:p>
    <w:p w14:paraId="5F916D1F" w14:textId="77777777" w:rsidR="0018101C" w:rsidRPr="00A31E17" w:rsidRDefault="0018101C" w:rsidP="00A31E17">
      <w:pPr>
        <w:spacing w:after="0" w:line="360" w:lineRule="auto"/>
        <w:ind w:left="1440" w:hanging="720"/>
        <w:jc w:val="both"/>
        <w:rPr>
          <w:rFonts w:ascii="Arial" w:hAnsi="Arial" w:cs="Arial"/>
        </w:rPr>
      </w:pPr>
    </w:p>
    <w:p w14:paraId="44437FBA" w14:textId="5BB19027" w:rsidR="0018101C" w:rsidRPr="00A31E17" w:rsidRDefault="0018101C" w:rsidP="00A31E17">
      <w:pPr>
        <w:spacing w:after="0" w:line="360" w:lineRule="auto"/>
        <w:ind w:left="1440" w:hanging="720"/>
        <w:jc w:val="both"/>
        <w:rPr>
          <w:rFonts w:ascii="Arial" w:hAnsi="Arial" w:cs="Arial"/>
        </w:rPr>
      </w:pPr>
      <w:r w:rsidRPr="00A31E17">
        <w:rPr>
          <w:rFonts w:ascii="Arial" w:hAnsi="Arial" w:cs="Arial"/>
        </w:rPr>
        <w:t>14</w:t>
      </w:r>
      <w:r w:rsidR="00280960" w:rsidRPr="00A31E17">
        <w:rPr>
          <w:rFonts w:ascii="Arial" w:hAnsi="Arial" w:cs="Arial"/>
        </w:rPr>
        <w:t>. C</w:t>
      </w:r>
      <w:r w:rsidRPr="00A31E17">
        <w:rPr>
          <w:rFonts w:ascii="Arial" w:hAnsi="Arial" w:cs="Arial"/>
        </w:rPr>
        <w:tab/>
        <w:t xml:space="preserve">When the defendants made this representation they intended the plaintiff to act thereon and to </w:t>
      </w:r>
      <w:r w:rsidRPr="00A31E17">
        <w:rPr>
          <w:rFonts w:ascii="Arial" w:hAnsi="Arial" w:cs="Arial"/>
          <w:i/>
        </w:rPr>
        <w:t xml:space="preserve">inter alia </w:t>
      </w:r>
      <w:r w:rsidRPr="00A31E17">
        <w:rPr>
          <w:rFonts w:ascii="Arial" w:hAnsi="Arial" w:cs="Arial"/>
        </w:rPr>
        <w:t>pay the first defendant the rates so charged by it.</w:t>
      </w:r>
    </w:p>
    <w:p w14:paraId="14728EEA" w14:textId="77777777" w:rsidR="0018101C" w:rsidRPr="00A31E17" w:rsidRDefault="0018101C" w:rsidP="00A31E17">
      <w:pPr>
        <w:spacing w:after="0" w:line="360" w:lineRule="auto"/>
        <w:ind w:left="1440" w:hanging="720"/>
        <w:jc w:val="both"/>
        <w:rPr>
          <w:rFonts w:ascii="Arial" w:hAnsi="Arial" w:cs="Arial"/>
        </w:rPr>
      </w:pPr>
    </w:p>
    <w:p w14:paraId="24CC3F0F" w14:textId="0A3077FD" w:rsidR="0018101C" w:rsidRDefault="0018101C" w:rsidP="00A31E17">
      <w:pPr>
        <w:spacing w:after="0" w:line="360" w:lineRule="auto"/>
        <w:ind w:left="1440" w:hanging="720"/>
        <w:jc w:val="both"/>
        <w:rPr>
          <w:rFonts w:ascii="Arial" w:hAnsi="Arial" w:cs="Arial"/>
        </w:rPr>
      </w:pPr>
      <w:r w:rsidRPr="00A31E17">
        <w:rPr>
          <w:rFonts w:ascii="Arial" w:hAnsi="Arial" w:cs="Arial"/>
        </w:rPr>
        <w:t>14</w:t>
      </w:r>
      <w:r w:rsidR="00280960" w:rsidRPr="00A31E17">
        <w:rPr>
          <w:rFonts w:ascii="Arial" w:hAnsi="Arial" w:cs="Arial"/>
        </w:rPr>
        <w:t>. D</w:t>
      </w:r>
      <w:r w:rsidRPr="00A31E17">
        <w:rPr>
          <w:rFonts w:ascii="Arial" w:hAnsi="Arial" w:cs="Arial"/>
        </w:rPr>
        <w:tab/>
        <w:t>In addition to the aforesaid the defendants further made this representation and on such basis induced the plaintiff to pay the first defendant the sum of N$168 963</w:t>
      </w:r>
      <w:r w:rsidR="00280960" w:rsidRPr="00A31E17">
        <w:rPr>
          <w:rFonts w:ascii="Arial" w:hAnsi="Arial" w:cs="Arial"/>
        </w:rPr>
        <w:t>, 41</w:t>
      </w:r>
      <w:r w:rsidRPr="00A31E17">
        <w:rPr>
          <w:rFonts w:ascii="Arial" w:hAnsi="Arial" w:cs="Arial"/>
        </w:rPr>
        <w:t xml:space="preserve"> </w:t>
      </w:r>
      <w:r w:rsidR="00C62D0A" w:rsidRPr="00A31E17">
        <w:rPr>
          <w:rFonts w:ascii="Arial" w:hAnsi="Arial" w:cs="Arial"/>
        </w:rPr>
        <w:t>ostensibly because the plaintiff’s conduct had the result that he no longer enjoyed any insurance cover, well knowing that the plaintiff had no cover at all in the first place.</w:t>
      </w:r>
    </w:p>
    <w:p w14:paraId="161ABC93" w14:textId="77777777" w:rsidR="00F30D1F" w:rsidRPr="00A31E17" w:rsidRDefault="00F30D1F" w:rsidP="00A31E17">
      <w:pPr>
        <w:spacing w:after="0" w:line="360" w:lineRule="auto"/>
        <w:ind w:left="1440" w:hanging="720"/>
        <w:jc w:val="both"/>
        <w:rPr>
          <w:rFonts w:ascii="Arial" w:hAnsi="Arial" w:cs="Arial"/>
        </w:rPr>
      </w:pPr>
    </w:p>
    <w:p w14:paraId="16F5B9E2" w14:textId="764B4BB0" w:rsidR="00C62D0A" w:rsidRPr="00A31E17" w:rsidRDefault="00C62D0A" w:rsidP="00A31E17">
      <w:pPr>
        <w:spacing w:after="0" w:line="360" w:lineRule="auto"/>
        <w:ind w:left="1440" w:hanging="720"/>
        <w:jc w:val="both"/>
        <w:rPr>
          <w:rFonts w:ascii="Arial" w:hAnsi="Arial" w:cs="Arial"/>
        </w:rPr>
      </w:pPr>
      <w:r w:rsidRPr="00A31E17">
        <w:rPr>
          <w:rFonts w:ascii="Arial" w:hAnsi="Arial" w:cs="Arial"/>
        </w:rPr>
        <w:t>14</w:t>
      </w:r>
      <w:r w:rsidR="00280960" w:rsidRPr="00A31E17">
        <w:rPr>
          <w:rFonts w:ascii="Arial" w:hAnsi="Arial" w:cs="Arial"/>
        </w:rPr>
        <w:t>. E</w:t>
      </w:r>
      <w:r w:rsidRPr="00A31E17">
        <w:rPr>
          <w:rFonts w:ascii="Arial" w:hAnsi="Arial" w:cs="Arial"/>
        </w:rPr>
        <w:tab/>
        <w:t>Plaintiff was induced by the representations so made as aforesaid and furthermore made the payment of N$168 963</w:t>
      </w:r>
      <w:r w:rsidR="00280960" w:rsidRPr="00A31E17">
        <w:rPr>
          <w:rFonts w:ascii="Arial" w:hAnsi="Arial" w:cs="Arial"/>
        </w:rPr>
        <w:t>, 41</w:t>
      </w:r>
      <w:r w:rsidRPr="00A31E17">
        <w:rPr>
          <w:rFonts w:ascii="Arial" w:hAnsi="Arial" w:cs="Arial"/>
        </w:rPr>
        <w:t xml:space="preserve"> whereas, had he known the true facts, he would not have made any payment to the defendants at all.</w:t>
      </w:r>
    </w:p>
    <w:p w14:paraId="76F7EBD1" w14:textId="77777777" w:rsidR="00C62D0A" w:rsidRPr="00A31E17" w:rsidRDefault="00C62D0A" w:rsidP="00A31E17">
      <w:pPr>
        <w:spacing w:after="0" w:line="360" w:lineRule="auto"/>
        <w:ind w:left="1440" w:hanging="720"/>
        <w:jc w:val="both"/>
        <w:rPr>
          <w:rFonts w:ascii="Arial" w:hAnsi="Arial" w:cs="Arial"/>
        </w:rPr>
      </w:pPr>
    </w:p>
    <w:p w14:paraId="520B6CED" w14:textId="170A4E29" w:rsidR="00C62D0A" w:rsidRPr="00A31E17" w:rsidRDefault="00C62D0A" w:rsidP="00A31E17">
      <w:pPr>
        <w:spacing w:after="0" w:line="360" w:lineRule="auto"/>
        <w:ind w:left="1440" w:hanging="720"/>
        <w:jc w:val="both"/>
        <w:rPr>
          <w:rFonts w:ascii="Arial" w:hAnsi="Arial" w:cs="Arial"/>
        </w:rPr>
      </w:pPr>
      <w:r w:rsidRPr="00A31E17">
        <w:rPr>
          <w:rFonts w:ascii="Arial" w:hAnsi="Arial" w:cs="Arial"/>
        </w:rPr>
        <w:t>14</w:t>
      </w:r>
      <w:r w:rsidR="00280960" w:rsidRPr="00A31E17">
        <w:rPr>
          <w:rFonts w:ascii="Arial" w:hAnsi="Arial" w:cs="Arial"/>
        </w:rPr>
        <w:t>. F</w:t>
      </w:r>
      <w:r w:rsidRPr="00A31E17">
        <w:rPr>
          <w:rFonts w:ascii="Arial" w:hAnsi="Arial" w:cs="Arial"/>
        </w:rPr>
        <w:tab/>
        <w:t>In and as a result of the aforesaid misrepresentations the plaintiff has suffered damages in the sum of N$168 963</w:t>
      </w:r>
      <w:r w:rsidR="00280960" w:rsidRPr="00A31E17">
        <w:rPr>
          <w:rFonts w:ascii="Arial" w:hAnsi="Arial" w:cs="Arial"/>
        </w:rPr>
        <w:t>, 41</w:t>
      </w:r>
      <w:r w:rsidRPr="00A31E17">
        <w:rPr>
          <w:rFonts w:ascii="Arial" w:hAnsi="Arial" w:cs="Arial"/>
        </w:rPr>
        <w:t>.</w:t>
      </w:r>
    </w:p>
    <w:p w14:paraId="2638FF2D" w14:textId="77777777" w:rsidR="00C62D0A" w:rsidRPr="00A31E17" w:rsidRDefault="00C62D0A" w:rsidP="00A31E17">
      <w:pPr>
        <w:spacing w:after="0" w:line="360" w:lineRule="auto"/>
        <w:ind w:left="1440" w:hanging="720"/>
        <w:jc w:val="both"/>
        <w:rPr>
          <w:rFonts w:ascii="Arial" w:hAnsi="Arial" w:cs="Arial"/>
        </w:rPr>
      </w:pPr>
    </w:p>
    <w:p w14:paraId="73A22FF2" w14:textId="7FBC9D1E" w:rsidR="00C62D0A" w:rsidRPr="00A31E17" w:rsidRDefault="00C62D0A" w:rsidP="00A31E17">
      <w:pPr>
        <w:spacing w:after="0" w:line="360" w:lineRule="auto"/>
        <w:ind w:left="1440" w:hanging="720"/>
        <w:jc w:val="both"/>
        <w:rPr>
          <w:rFonts w:ascii="Arial" w:hAnsi="Arial" w:cs="Arial"/>
        </w:rPr>
      </w:pPr>
      <w:r w:rsidRPr="00A31E17">
        <w:rPr>
          <w:rFonts w:ascii="Arial" w:hAnsi="Arial" w:cs="Arial"/>
        </w:rPr>
        <w:t>15.</w:t>
      </w:r>
      <w:r w:rsidRPr="00A31E17">
        <w:rPr>
          <w:rFonts w:ascii="Arial" w:hAnsi="Arial" w:cs="Arial"/>
        </w:rPr>
        <w:tab/>
        <w:t xml:space="preserve">The payments were made by plaintiff as a result of plaintiff’s </w:t>
      </w:r>
      <w:r w:rsidRPr="00A31E17">
        <w:rPr>
          <w:rFonts w:ascii="Arial" w:hAnsi="Arial" w:cs="Arial"/>
          <w:i/>
        </w:rPr>
        <w:t>bona fide</w:t>
      </w:r>
      <w:r w:rsidRPr="00A31E17">
        <w:rPr>
          <w:rFonts w:ascii="Arial" w:hAnsi="Arial" w:cs="Arial"/>
        </w:rPr>
        <w:t xml:space="preserve"> and reasonable but mistaken belief induced by defendants that plaintiff was under a contractual, alternatively </w:t>
      </w:r>
      <w:proofErr w:type="spellStart"/>
      <w:r w:rsidRPr="00A31E17">
        <w:rPr>
          <w:rFonts w:ascii="Arial" w:hAnsi="Arial" w:cs="Arial"/>
        </w:rPr>
        <w:t>delictual</w:t>
      </w:r>
      <w:proofErr w:type="spellEnd"/>
      <w:r w:rsidRPr="00A31E17">
        <w:rPr>
          <w:rFonts w:ascii="Arial" w:hAnsi="Arial" w:cs="Arial"/>
        </w:rPr>
        <w:t xml:space="preserve"> obligation to pay the said sums referred to in para 13 above to defendants. After plaintiff had paid the said amounts to defendant and after plaintiff had obtained legal advice on plaintiff’s contractual and </w:t>
      </w:r>
      <w:proofErr w:type="spellStart"/>
      <w:r w:rsidRPr="00A31E17">
        <w:rPr>
          <w:rFonts w:ascii="Arial" w:hAnsi="Arial" w:cs="Arial"/>
        </w:rPr>
        <w:t>delictual</w:t>
      </w:r>
      <w:proofErr w:type="spellEnd"/>
      <w:r w:rsidRPr="00A31E17">
        <w:rPr>
          <w:rFonts w:ascii="Arial" w:hAnsi="Arial" w:cs="Arial"/>
        </w:rPr>
        <w:t xml:space="preserve"> responsibilities towards the defendants based on the representations made by defendants and the facts of the case, it transpired that plaintiff had overpaid to defendants the said amount of N$28 653</w:t>
      </w:r>
      <w:r w:rsidR="00280960" w:rsidRPr="00A31E17">
        <w:rPr>
          <w:rFonts w:ascii="Arial" w:hAnsi="Arial" w:cs="Arial"/>
        </w:rPr>
        <w:t>, 00</w:t>
      </w:r>
      <w:r w:rsidRPr="00A31E17">
        <w:rPr>
          <w:rFonts w:ascii="Arial" w:hAnsi="Arial" w:cs="Arial"/>
        </w:rPr>
        <w:t xml:space="preserve"> and N$168 963, 41 which amounts was not due and payable to the Defendants.</w:t>
      </w:r>
    </w:p>
    <w:p w14:paraId="560B4C4C" w14:textId="77777777" w:rsidR="00C62D0A" w:rsidRPr="00A31E17" w:rsidRDefault="00C62D0A" w:rsidP="00A31E17">
      <w:pPr>
        <w:spacing w:after="0" w:line="360" w:lineRule="auto"/>
        <w:ind w:left="1440" w:hanging="720"/>
        <w:jc w:val="both"/>
        <w:rPr>
          <w:rFonts w:ascii="Arial" w:hAnsi="Arial" w:cs="Arial"/>
        </w:rPr>
      </w:pPr>
    </w:p>
    <w:p w14:paraId="0A7AE78A" w14:textId="5708CA22" w:rsidR="00C62D0A" w:rsidRPr="00A31E17" w:rsidRDefault="00C62D0A" w:rsidP="00A31E17">
      <w:pPr>
        <w:spacing w:after="0" w:line="360" w:lineRule="auto"/>
        <w:ind w:left="1440" w:hanging="720"/>
        <w:jc w:val="both"/>
        <w:rPr>
          <w:rFonts w:ascii="Arial" w:hAnsi="Arial" w:cs="Arial"/>
        </w:rPr>
      </w:pPr>
      <w:r w:rsidRPr="00A31E17">
        <w:rPr>
          <w:rFonts w:ascii="Arial" w:hAnsi="Arial" w:cs="Arial"/>
        </w:rPr>
        <w:t>15(a)</w:t>
      </w:r>
      <w:r w:rsidRPr="00A31E17">
        <w:rPr>
          <w:rFonts w:ascii="Arial" w:hAnsi="Arial" w:cs="Arial"/>
        </w:rPr>
        <w:tab/>
        <w:t>On the 3</w:t>
      </w:r>
      <w:r w:rsidRPr="00A31E17">
        <w:rPr>
          <w:rFonts w:ascii="Arial" w:hAnsi="Arial" w:cs="Arial"/>
          <w:vertAlign w:val="superscript"/>
        </w:rPr>
        <w:t>rd</w:t>
      </w:r>
      <w:r w:rsidRPr="00A31E17">
        <w:rPr>
          <w:rFonts w:ascii="Arial" w:hAnsi="Arial" w:cs="Arial"/>
        </w:rPr>
        <w:t xml:space="preserve"> of November 2009, plaintiff became aware for the first time that defendants repaired and renovated the said motor vehicle </w:t>
      </w:r>
      <w:r w:rsidR="00751459" w:rsidRPr="00A31E17">
        <w:rPr>
          <w:rFonts w:ascii="Arial" w:hAnsi="Arial" w:cs="Arial"/>
        </w:rPr>
        <w:t>camper with registration number N 72140 W at a cost substantially lower than the said N$168</w:t>
      </w:r>
      <w:r w:rsidR="00FD2AA5" w:rsidRPr="00A31E17">
        <w:rPr>
          <w:rFonts w:ascii="Arial" w:hAnsi="Arial" w:cs="Arial"/>
        </w:rPr>
        <w:t xml:space="preserve"> </w:t>
      </w:r>
      <w:r w:rsidR="00751459" w:rsidRPr="00A31E17">
        <w:rPr>
          <w:rFonts w:ascii="Arial" w:hAnsi="Arial" w:cs="Arial"/>
        </w:rPr>
        <w:t>963,44 clai</w:t>
      </w:r>
      <w:r w:rsidR="00FD2AA5" w:rsidRPr="00A31E17">
        <w:rPr>
          <w:rFonts w:ascii="Arial" w:hAnsi="Arial" w:cs="Arial"/>
        </w:rPr>
        <w:t>med by defendants from plaintiff and paid by plaintiff to defendant as costs of repair of the vehicle.</w:t>
      </w:r>
    </w:p>
    <w:p w14:paraId="64F2F0B2" w14:textId="77777777" w:rsidR="00FD2AA5" w:rsidRPr="00A31E17" w:rsidRDefault="00FD2AA5" w:rsidP="00A31E17">
      <w:pPr>
        <w:spacing w:after="0" w:line="360" w:lineRule="auto"/>
        <w:ind w:left="1440" w:hanging="720"/>
        <w:jc w:val="both"/>
        <w:rPr>
          <w:rFonts w:ascii="Arial" w:hAnsi="Arial" w:cs="Arial"/>
        </w:rPr>
      </w:pPr>
    </w:p>
    <w:p w14:paraId="073F62A8" w14:textId="656EAD18" w:rsidR="00FD2AA5" w:rsidRPr="00A31E17" w:rsidRDefault="00FD2AA5" w:rsidP="00A31E17">
      <w:pPr>
        <w:spacing w:after="0" w:line="360" w:lineRule="auto"/>
        <w:ind w:left="1440" w:hanging="720"/>
        <w:jc w:val="both"/>
        <w:rPr>
          <w:rFonts w:ascii="Arial" w:hAnsi="Arial" w:cs="Arial"/>
        </w:rPr>
      </w:pPr>
      <w:r w:rsidRPr="00A31E17">
        <w:rPr>
          <w:rFonts w:ascii="Arial" w:hAnsi="Arial" w:cs="Arial"/>
        </w:rPr>
        <w:t>16.</w:t>
      </w:r>
      <w:r w:rsidRPr="00A31E17">
        <w:rPr>
          <w:rFonts w:ascii="Arial" w:hAnsi="Arial" w:cs="Arial"/>
        </w:rPr>
        <w:tab/>
        <w:t>In the circumstances, first alternatively second and third defendants have been unjustly enriched at the expense of the plaintiff and plaintiff is entitled to the repayment of the said amounts of N$28 653</w:t>
      </w:r>
      <w:proofErr w:type="gramStart"/>
      <w:r w:rsidRPr="00A31E17">
        <w:rPr>
          <w:rFonts w:ascii="Arial" w:hAnsi="Arial" w:cs="Arial"/>
        </w:rPr>
        <w:t>,00</w:t>
      </w:r>
      <w:proofErr w:type="gramEnd"/>
      <w:r w:rsidRPr="00A31E17">
        <w:rPr>
          <w:rFonts w:ascii="Arial" w:hAnsi="Arial" w:cs="Arial"/>
        </w:rPr>
        <w:t xml:space="preserve"> and N$168 963,41, alternatively the amount by which the amount of N$168 963,41 paid by plaintiff to defendants exceeds the actual costs of repairs of the said vehicle.</w:t>
      </w:r>
    </w:p>
    <w:p w14:paraId="03BF856F" w14:textId="77777777" w:rsidR="00FD2AA5" w:rsidRPr="00A31E17" w:rsidRDefault="00FD2AA5" w:rsidP="00A31E17">
      <w:pPr>
        <w:spacing w:after="0" w:line="360" w:lineRule="auto"/>
        <w:ind w:left="1440" w:hanging="720"/>
        <w:jc w:val="both"/>
        <w:rPr>
          <w:rFonts w:ascii="Arial" w:hAnsi="Arial" w:cs="Arial"/>
        </w:rPr>
      </w:pPr>
    </w:p>
    <w:p w14:paraId="61F34D48" w14:textId="719FDA0B" w:rsidR="00FD2AA5" w:rsidRPr="00A31E17" w:rsidRDefault="00FD2AA5" w:rsidP="00A31E17">
      <w:pPr>
        <w:spacing w:after="0" w:line="360" w:lineRule="auto"/>
        <w:ind w:left="1440" w:hanging="720"/>
        <w:jc w:val="both"/>
        <w:rPr>
          <w:rFonts w:ascii="Arial" w:hAnsi="Arial" w:cs="Arial"/>
        </w:rPr>
      </w:pPr>
      <w:r w:rsidRPr="00A31E17">
        <w:rPr>
          <w:rFonts w:ascii="Arial" w:hAnsi="Arial" w:cs="Arial"/>
        </w:rPr>
        <w:t>17.</w:t>
      </w:r>
      <w:r w:rsidRPr="00A31E17">
        <w:rPr>
          <w:rFonts w:ascii="Arial" w:hAnsi="Arial" w:cs="Arial"/>
        </w:rPr>
        <w:tab/>
        <w:t>On the 3</w:t>
      </w:r>
      <w:r w:rsidRPr="00A31E17">
        <w:rPr>
          <w:rFonts w:ascii="Arial" w:hAnsi="Arial" w:cs="Arial"/>
          <w:vertAlign w:val="superscript"/>
        </w:rPr>
        <w:t>rd</w:t>
      </w:r>
      <w:r w:rsidRPr="00A31E17">
        <w:rPr>
          <w:rFonts w:ascii="Arial" w:hAnsi="Arial" w:cs="Arial"/>
        </w:rPr>
        <w:t xml:space="preserve"> of July 2006 plaintiff demanded from defendants to refund to plaintiff the amounts of N$28</w:t>
      </w:r>
      <w:r w:rsidR="007255A6" w:rsidRPr="00A31E17">
        <w:rPr>
          <w:rFonts w:ascii="Arial" w:hAnsi="Arial" w:cs="Arial"/>
        </w:rPr>
        <w:t xml:space="preserve"> 653</w:t>
      </w:r>
      <w:proofErr w:type="gramStart"/>
      <w:r w:rsidR="007255A6" w:rsidRPr="00A31E17">
        <w:rPr>
          <w:rFonts w:ascii="Arial" w:hAnsi="Arial" w:cs="Arial"/>
        </w:rPr>
        <w:t>,00</w:t>
      </w:r>
      <w:proofErr w:type="gramEnd"/>
      <w:r w:rsidR="007255A6" w:rsidRPr="00A31E17">
        <w:rPr>
          <w:rFonts w:ascii="Arial" w:hAnsi="Arial" w:cs="Arial"/>
        </w:rPr>
        <w:t xml:space="preserve"> and N$168 963,41 but the defendants have failed and/or refused to refund to plaintiff the said amounts.</w:t>
      </w:r>
    </w:p>
    <w:p w14:paraId="3993D140" w14:textId="77777777" w:rsidR="00A31E17" w:rsidRDefault="00A31E17" w:rsidP="00A31E17">
      <w:pPr>
        <w:spacing w:after="0" w:line="360" w:lineRule="auto"/>
        <w:ind w:left="1440" w:hanging="720"/>
        <w:jc w:val="both"/>
        <w:rPr>
          <w:rFonts w:ascii="Arial" w:hAnsi="Arial" w:cs="Arial"/>
        </w:rPr>
      </w:pPr>
    </w:p>
    <w:p w14:paraId="301B0D15" w14:textId="21AAF440" w:rsidR="00A31E17" w:rsidRDefault="00A31E17" w:rsidP="00A31E17">
      <w:pPr>
        <w:spacing w:after="0" w:line="360" w:lineRule="auto"/>
        <w:ind w:left="709" w:firstLine="11"/>
        <w:jc w:val="both"/>
        <w:rPr>
          <w:rFonts w:ascii="Arial" w:hAnsi="Arial" w:cs="Arial"/>
        </w:rPr>
      </w:pPr>
      <w:r w:rsidRPr="007F1AA0">
        <w:rPr>
          <w:rFonts w:ascii="Arial" w:hAnsi="Arial" w:cs="Arial"/>
          <w:b/>
        </w:rPr>
        <w:t>WHEREFORE</w:t>
      </w:r>
      <w:r>
        <w:rPr>
          <w:rFonts w:ascii="Arial" w:hAnsi="Arial" w:cs="Arial"/>
        </w:rPr>
        <w:t xml:space="preserve"> PLAINTIFF REQUESTS JUDGMENT AGAINST THE FIRST, ALTERNATIVELY SECOND AND THIRD DEFENDANTS JOINTLY AND SEVERALLY, THE ONE PAYING THE OTHER TO BE ABSOLVED, ALTERN</w:t>
      </w:r>
      <w:r w:rsidR="007F1AA0">
        <w:rPr>
          <w:rFonts w:ascii="Arial" w:hAnsi="Arial" w:cs="Arial"/>
        </w:rPr>
        <w:t>ATIVELY JOINTLY:</w:t>
      </w:r>
    </w:p>
    <w:p w14:paraId="3668FDF0" w14:textId="77777777" w:rsidR="007F1AA0" w:rsidRDefault="007F1AA0" w:rsidP="00A31E17">
      <w:pPr>
        <w:spacing w:after="0" w:line="360" w:lineRule="auto"/>
        <w:ind w:left="709" w:firstLine="11"/>
        <w:jc w:val="both"/>
        <w:rPr>
          <w:rFonts w:ascii="Arial" w:hAnsi="Arial" w:cs="Arial"/>
        </w:rPr>
      </w:pPr>
    </w:p>
    <w:p w14:paraId="74E2ACFC" w14:textId="01B27E80" w:rsidR="007F1AA0" w:rsidRDefault="007F1AA0" w:rsidP="007F1AA0">
      <w:pPr>
        <w:pStyle w:val="ListParagraph"/>
        <w:numPr>
          <w:ilvl w:val="0"/>
          <w:numId w:val="40"/>
        </w:numPr>
        <w:spacing w:after="0" w:line="360" w:lineRule="auto"/>
        <w:ind w:hanging="731"/>
        <w:jc w:val="both"/>
        <w:rPr>
          <w:rFonts w:ascii="Arial" w:hAnsi="Arial" w:cs="Arial"/>
        </w:rPr>
      </w:pPr>
      <w:r>
        <w:rPr>
          <w:rFonts w:ascii="Arial" w:hAnsi="Arial" w:cs="Arial"/>
        </w:rPr>
        <w:t>Payment in the amount of N$168 963,41;</w:t>
      </w:r>
    </w:p>
    <w:p w14:paraId="37ABA534" w14:textId="77777777" w:rsidR="007F1AA0" w:rsidRDefault="007F1AA0" w:rsidP="007F1AA0">
      <w:pPr>
        <w:pStyle w:val="ListParagraph"/>
        <w:spacing w:after="0" w:line="360" w:lineRule="auto"/>
        <w:ind w:left="1440"/>
        <w:jc w:val="both"/>
        <w:rPr>
          <w:rFonts w:ascii="Arial" w:hAnsi="Arial" w:cs="Arial"/>
        </w:rPr>
      </w:pPr>
    </w:p>
    <w:p w14:paraId="4EED9847" w14:textId="7AF19B8C" w:rsidR="007F1AA0" w:rsidRPr="007F1AA0" w:rsidRDefault="007F1AA0" w:rsidP="007F1AA0">
      <w:pPr>
        <w:pStyle w:val="ListParagraph"/>
        <w:spacing w:after="0" w:line="360" w:lineRule="auto"/>
        <w:ind w:left="1440"/>
        <w:jc w:val="both"/>
        <w:rPr>
          <w:rFonts w:ascii="Arial" w:hAnsi="Arial" w:cs="Arial"/>
        </w:rPr>
      </w:pPr>
      <w:r>
        <w:rPr>
          <w:rFonts w:ascii="Arial" w:hAnsi="Arial" w:cs="Arial"/>
          <w:b/>
        </w:rPr>
        <w:t xml:space="preserve">Alternatively, </w:t>
      </w:r>
      <w:r>
        <w:rPr>
          <w:rFonts w:ascii="Arial" w:hAnsi="Arial" w:cs="Arial"/>
        </w:rPr>
        <w:t>the amount by which the amount of N$168 963</w:t>
      </w:r>
      <w:proofErr w:type="gramStart"/>
      <w:r>
        <w:rPr>
          <w:rFonts w:ascii="Arial" w:hAnsi="Arial" w:cs="Arial"/>
        </w:rPr>
        <w:t>,41</w:t>
      </w:r>
      <w:proofErr w:type="gramEnd"/>
      <w:r>
        <w:rPr>
          <w:rFonts w:ascii="Arial" w:hAnsi="Arial" w:cs="Arial"/>
        </w:rPr>
        <w:t xml:space="preserve"> paid by plaintiff to defendants exceeds the actual costs of repair of the said vehicle.</w:t>
      </w:r>
    </w:p>
    <w:p w14:paraId="3FC12FFF" w14:textId="5260EF62" w:rsidR="007F1AA0" w:rsidRDefault="007F1AA0" w:rsidP="007F1AA0">
      <w:pPr>
        <w:pStyle w:val="ListParagraph"/>
        <w:numPr>
          <w:ilvl w:val="0"/>
          <w:numId w:val="40"/>
        </w:numPr>
        <w:spacing w:after="0" w:line="360" w:lineRule="auto"/>
        <w:ind w:hanging="731"/>
        <w:jc w:val="both"/>
        <w:rPr>
          <w:rFonts w:ascii="Arial" w:hAnsi="Arial" w:cs="Arial"/>
        </w:rPr>
      </w:pPr>
      <w:r>
        <w:rPr>
          <w:rFonts w:ascii="Arial" w:hAnsi="Arial" w:cs="Arial"/>
        </w:rPr>
        <w:t>Payment in the amount of N$28 653,00;</w:t>
      </w:r>
    </w:p>
    <w:p w14:paraId="19DDCE68" w14:textId="77777777" w:rsidR="007F1AA0" w:rsidRDefault="007F1AA0" w:rsidP="007F1AA0">
      <w:pPr>
        <w:pStyle w:val="ListParagraph"/>
        <w:spacing w:after="0" w:line="360" w:lineRule="auto"/>
        <w:ind w:left="1440"/>
        <w:jc w:val="both"/>
        <w:rPr>
          <w:rFonts w:ascii="Arial" w:hAnsi="Arial" w:cs="Arial"/>
        </w:rPr>
      </w:pPr>
    </w:p>
    <w:p w14:paraId="6BCC5B77" w14:textId="34729C0B" w:rsidR="007F1AA0" w:rsidRDefault="00B414A3" w:rsidP="007F1AA0">
      <w:pPr>
        <w:pStyle w:val="ListParagraph"/>
        <w:numPr>
          <w:ilvl w:val="0"/>
          <w:numId w:val="40"/>
        </w:numPr>
        <w:spacing w:after="0" w:line="360" w:lineRule="auto"/>
        <w:ind w:hanging="731"/>
        <w:jc w:val="both"/>
        <w:rPr>
          <w:rFonts w:ascii="Arial" w:hAnsi="Arial" w:cs="Arial"/>
        </w:rPr>
      </w:pPr>
      <w:r>
        <w:rPr>
          <w:rFonts w:ascii="Arial" w:hAnsi="Arial" w:cs="Arial"/>
        </w:rPr>
        <w:t>Interest on the abovementioned amounts of N$168 963, 41 and N$28 653,00 at the legal rate of 20% per annum calculated from the 3</w:t>
      </w:r>
      <w:r w:rsidRPr="00B414A3">
        <w:rPr>
          <w:rFonts w:ascii="Arial" w:hAnsi="Arial" w:cs="Arial"/>
          <w:vertAlign w:val="superscript"/>
        </w:rPr>
        <w:t>rd</w:t>
      </w:r>
      <w:r>
        <w:rPr>
          <w:rFonts w:ascii="Arial" w:hAnsi="Arial" w:cs="Arial"/>
        </w:rPr>
        <w:t xml:space="preserve"> of July 2006 to date of payment;</w:t>
      </w:r>
    </w:p>
    <w:p w14:paraId="45624331" w14:textId="77777777" w:rsidR="00B414A3" w:rsidRPr="00B414A3" w:rsidRDefault="00B414A3" w:rsidP="00B13840">
      <w:pPr>
        <w:pStyle w:val="ListParagraph"/>
        <w:spacing w:after="0" w:line="360" w:lineRule="auto"/>
        <w:jc w:val="both"/>
        <w:rPr>
          <w:rFonts w:ascii="Arial" w:hAnsi="Arial" w:cs="Arial"/>
        </w:rPr>
      </w:pPr>
    </w:p>
    <w:p w14:paraId="2BD92B63" w14:textId="5720D36D" w:rsidR="00B414A3" w:rsidRDefault="00B414A3" w:rsidP="007F1AA0">
      <w:pPr>
        <w:pStyle w:val="ListParagraph"/>
        <w:numPr>
          <w:ilvl w:val="0"/>
          <w:numId w:val="40"/>
        </w:numPr>
        <w:spacing w:after="0" w:line="360" w:lineRule="auto"/>
        <w:ind w:hanging="731"/>
        <w:jc w:val="both"/>
        <w:rPr>
          <w:rFonts w:ascii="Arial" w:hAnsi="Arial" w:cs="Arial"/>
        </w:rPr>
      </w:pPr>
      <w:r>
        <w:rPr>
          <w:rFonts w:ascii="Arial" w:hAnsi="Arial" w:cs="Arial"/>
        </w:rPr>
        <w:t>Costs of suit;</w:t>
      </w:r>
    </w:p>
    <w:p w14:paraId="215BD8B0" w14:textId="77777777" w:rsidR="00B414A3" w:rsidRPr="00B414A3" w:rsidRDefault="00B414A3" w:rsidP="00B13840">
      <w:pPr>
        <w:pStyle w:val="ListParagraph"/>
        <w:spacing w:after="0" w:line="360" w:lineRule="auto"/>
        <w:jc w:val="both"/>
        <w:rPr>
          <w:rFonts w:ascii="Arial" w:hAnsi="Arial" w:cs="Arial"/>
        </w:rPr>
      </w:pPr>
    </w:p>
    <w:p w14:paraId="54302C50" w14:textId="237721D8" w:rsidR="00B414A3" w:rsidRDefault="00B414A3" w:rsidP="007F1AA0">
      <w:pPr>
        <w:pStyle w:val="ListParagraph"/>
        <w:numPr>
          <w:ilvl w:val="0"/>
          <w:numId w:val="40"/>
        </w:numPr>
        <w:spacing w:after="0" w:line="360" w:lineRule="auto"/>
        <w:ind w:hanging="731"/>
        <w:jc w:val="both"/>
        <w:rPr>
          <w:rFonts w:ascii="Arial" w:hAnsi="Arial" w:cs="Arial"/>
        </w:rPr>
      </w:pPr>
      <w:r>
        <w:rPr>
          <w:rFonts w:ascii="Arial" w:hAnsi="Arial" w:cs="Arial"/>
        </w:rPr>
        <w:t>Further and/or alternative relief’.</w:t>
      </w:r>
    </w:p>
    <w:p w14:paraId="6ACFBD88" w14:textId="77777777" w:rsidR="00B414A3" w:rsidRPr="00B414A3" w:rsidRDefault="00B414A3" w:rsidP="00B13840">
      <w:pPr>
        <w:pStyle w:val="ListParagraph"/>
        <w:spacing w:after="0" w:line="480" w:lineRule="auto"/>
        <w:jc w:val="both"/>
        <w:rPr>
          <w:rFonts w:ascii="Arial" w:hAnsi="Arial" w:cs="Arial"/>
          <w:sz w:val="24"/>
          <w:szCs w:val="24"/>
        </w:rPr>
      </w:pPr>
    </w:p>
    <w:p w14:paraId="2CCD4F57" w14:textId="2A78341A" w:rsidR="00A87D07" w:rsidRDefault="00CB5ED1"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their plea</w:t>
      </w:r>
      <w:r w:rsidR="00393FF0">
        <w:rPr>
          <w:rFonts w:ascii="Arial" w:hAnsi="Arial" w:cs="Arial"/>
          <w:sz w:val="24"/>
          <w:szCs w:val="24"/>
        </w:rPr>
        <w:t>,</w:t>
      </w:r>
      <w:r>
        <w:rPr>
          <w:rFonts w:ascii="Arial" w:hAnsi="Arial" w:cs="Arial"/>
          <w:sz w:val="24"/>
          <w:szCs w:val="24"/>
        </w:rPr>
        <w:t xml:space="preserve"> t</w:t>
      </w:r>
      <w:r w:rsidR="007742EF">
        <w:rPr>
          <w:rFonts w:ascii="Arial" w:hAnsi="Arial" w:cs="Arial"/>
          <w:sz w:val="24"/>
          <w:szCs w:val="24"/>
        </w:rPr>
        <w:t>he respondents admit that first respondent is a duly registered Close Corporation and that the appellant at all relevant times contracted with the first defendant and</w:t>
      </w:r>
      <w:r>
        <w:rPr>
          <w:rFonts w:ascii="Arial" w:hAnsi="Arial" w:cs="Arial"/>
          <w:sz w:val="24"/>
          <w:szCs w:val="24"/>
        </w:rPr>
        <w:t xml:space="preserve"> aver</w:t>
      </w:r>
      <w:r w:rsidR="007742EF">
        <w:rPr>
          <w:rFonts w:ascii="Arial" w:hAnsi="Arial" w:cs="Arial"/>
          <w:sz w:val="24"/>
          <w:szCs w:val="24"/>
        </w:rPr>
        <w:t xml:space="preserve"> that second and third respondents were </w:t>
      </w:r>
      <w:proofErr w:type="spellStart"/>
      <w:r w:rsidR="007742EF">
        <w:rPr>
          <w:rFonts w:ascii="Arial" w:hAnsi="Arial" w:cs="Arial"/>
          <w:sz w:val="24"/>
          <w:szCs w:val="24"/>
        </w:rPr>
        <w:t>misjoined</w:t>
      </w:r>
      <w:proofErr w:type="spellEnd"/>
      <w:r w:rsidR="007742EF">
        <w:rPr>
          <w:rFonts w:ascii="Arial" w:hAnsi="Arial" w:cs="Arial"/>
          <w:sz w:val="24"/>
          <w:szCs w:val="24"/>
        </w:rPr>
        <w:t xml:space="preserve"> to the proceedings. They further deny that they acted </w:t>
      </w:r>
      <w:proofErr w:type="gramStart"/>
      <w:r w:rsidR="007742EF">
        <w:rPr>
          <w:rFonts w:ascii="Arial" w:hAnsi="Arial" w:cs="Arial"/>
          <w:sz w:val="24"/>
          <w:szCs w:val="24"/>
        </w:rPr>
        <w:t>in their</w:t>
      </w:r>
      <w:proofErr w:type="gramEnd"/>
      <w:r w:rsidR="007742EF">
        <w:rPr>
          <w:rFonts w:ascii="Arial" w:hAnsi="Arial" w:cs="Arial"/>
          <w:sz w:val="24"/>
          <w:szCs w:val="24"/>
        </w:rPr>
        <w:t xml:space="preserve"> personal capacities nor having contracted with the appellant as members of a partnership under the name and style of Leopard Tours.</w:t>
      </w:r>
    </w:p>
    <w:p w14:paraId="625E1130" w14:textId="77777777" w:rsidR="007742EF" w:rsidRDefault="007742EF" w:rsidP="007742EF">
      <w:pPr>
        <w:pStyle w:val="ListParagraph"/>
        <w:tabs>
          <w:tab w:val="left" w:pos="851"/>
        </w:tabs>
        <w:spacing w:after="0" w:line="480" w:lineRule="auto"/>
        <w:ind w:left="0"/>
        <w:jc w:val="both"/>
        <w:rPr>
          <w:rFonts w:ascii="Arial" w:hAnsi="Arial" w:cs="Arial"/>
          <w:sz w:val="24"/>
          <w:szCs w:val="24"/>
        </w:rPr>
      </w:pPr>
    </w:p>
    <w:p w14:paraId="185F9099" w14:textId="23E1D1FA" w:rsidR="007742EF" w:rsidRDefault="00F30D1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Respondents admit</w:t>
      </w:r>
      <w:r w:rsidR="007742EF">
        <w:rPr>
          <w:rFonts w:ascii="Arial" w:hAnsi="Arial" w:cs="Arial"/>
          <w:sz w:val="24"/>
          <w:szCs w:val="24"/>
        </w:rPr>
        <w:t xml:space="preserve"> that they advertised first respondent on the internet</w:t>
      </w:r>
      <w:r>
        <w:rPr>
          <w:rFonts w:ascii="Arial" w:hAnsi="Arial" w:cs="Arial"/>
          <w:sz w:val="24"/>
          <w:szCs w:val="24"/>
        </w:rPr>
        <w:t>,</w:t>
      </w:r>
      <w:r w:rsidR="007742EF">
        <w:rPr>
          <w:rFonts w:ascii="Arial" w:hAnsi="Arial" w:cs="Arial"/>
          <w:sz w:val="24"/>
          <w:szCs w:val="24"/>
        </w:rPr>
        <w:t xml:space="preserve"> but deny any misrepresentation in the advertisement. The respondents, based on para</w:t>
      </w:r>
      <w:r w:rsidR="00F52E18">
        <w:rPr>
          <w:rFonts w:ascii="Arial" w:hAnsi="Arial" w:cs="Arial"/>
          <w:sz w:val="24"/>
          <w:szCs w:val="24"/>
        </w:rPr>
        <w:t xml:space="preserve"> 8 of the rental contract pleaded that ‘Insurance excludes . . . damage caused because of driving through water’ and consequently pleaded that the appellant was responsible and liable to pay to the respondents the amounts for damages incurred as a result of the appellant’s attempt to drive through a water logged</w:t>
      </w:r>
      <w:r w:rsidR="00CB5ED1">
        <w:rPr>
          <w:rFonts w:ascii="Arial" w:hAnsi="Arial" w:cs="Arial"/>
          <w:sz w:val="24"/>
          <w:szCs w:val="24"/>
        </w:rPr>
        <w:t xml:space="preserve"> river</w:t>
      </w:r>
      <w:r w:rsidR="00F52E18">
        <w:rPr>
          <w:rFonts w:ascii="Arial" w:hAnsi="Arial" w:cs="Arial"/>
          <w:sz w:val="24"/>
          <w:szCs w:val="24"/>
        </w:rPr>
        <w:t>.</w:t>
      </w:r>
    </w:p>
    <w:p w14:paraId="3CB6E61E" w14:textId="77777777" w:rsidR="00F52E18" w:rsidRPr="00F52E18" w:rsidRDefault="00F52E18" w:rsidP="009A4A25">
      <w:pPr>
        <w:pStyle w:val="ListParagraph"/>
        <w:spacing w:after="0" w:line="480" w:lineRule="auto"/>
        <w:jc w:val="both"/>
        <w:rPr>
          <w:rFonts w:ascii="Arial" w:hAnsi="Arial" w:cs="Arial"/>
          <w:sz w:val="24"/>
          <w:szCs w:val="24"/>
        </w:rPr>
      </w:pPr>
    </w:p>
    <w:p w14:paraId="3A4574ED" w14:textId="2516CDDD" w:rsidR="00F52E18" w:rsidRDefault="00F52E18"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Respondents admitted that first defendant was not registered as a short-term insurer</w:t>
      </w:r>
      <w:r w:rsidR="00F30D1F">
        <w:rPr>
          <w:rFonts w:ascii="Arial" w:hAnsi="Arial" w:cs="Arial"/>
          <w:sz w:val="24"/>
          <w:szCs w:val="24"/>
        </w:rPr>
        <w:t>,</w:t>
      </w:r>
      <w:r>
        <w:rPr>
          <w:rFonts w:ascii="Arial" w:hAnsi="Arial" w:cs="Arial"/>
          <w:sz w:val="24"/>
          <w:szCs w:val="24"/>
        </w:rPr>
        <w:t xml:space="preserve"> but pleaded that the insurance cover so offered to the appellant at the time was comprehensive and </w:t>
      </w:r>
      <w:proofErr w:type="spellStart"/>
      <w:r>
        <w:rPr>
          <w:rFonts w:ascii="Arial" w:hAnsi="Arial" w:cs="Arial"/>
          <w:sz w:val="24"/>
          <w:szCs w:val="24"/>
        </w:rPr>
        <w:t>all embracing</w:t>
      </w:r>
      <w:proofErr w:type="spellEnd"/>
      <w:r>
        <w:rPr>
          <w:rFonts w:ascii="Arial" w:hAnsi="Arial" w:cs="Arial"/>
          <w:sz w:val="24"/>
          <w:szCs w:val="24"/>
        </w:rPr>
        <w:t xml:space="preserve"> as represented and not dependent upon whether first respondent was registered as a short term insurer or not. They pleaded further that the insurance so offered by the respondents to the appellant could not have been invalid and/or unlawful for the reason that it did not comply with the provisions of the Short Term Insurance Act as such Act does not prohibit any other form of insurance such as self-insurance. Respondents further pleaded that the rental agreement concluded between the appellant and respondents clearly stipulates that damages sustained to a rented motor vehicle as a result of having driven through water, could not be covered by any form of insurance but that the party causing such damages by driving through water, was responsible for the damages so cause</w:t>
      </w:r>
      <w:r w:rsidR="00F30D1F">
        <w:rPr>
          <w:rFonts w:ascii="Arial" w:hAnsi="Arial" w:cs="Arial"/>
          <w:sz w:val="24"/>
          <w:szCs w:val="24"/>
        </w:rPr>
        <w:t>d</w:t>
      </w:r>
      <w:r>
        <w:rPr>
          <w:rFonts w:ascii="Arial" w:hAnsi="Arial" w:cs="Arial"/>
          <w:sz w:val="24"/>
          <w:szCs w:val="24"/>
        </w:rPr>
        <w:t xml:space="preserve"> and that appellant breached the terms and conditions of the agreement and therefore personally liable for the damages sustained.</w:t>
      </w:r>
    </w:p>
    <w:p w14:paraId="1D6E056B" w14:textId="77777777" w:rsidR="00F52E18" w:rsidRPr="00F52E18" w:rsidRDefault="00F52E18" w:rsidP="009A4A25">
      <w:pPr>
        <w:pStyle w:val="ListParagraph"/>
        <w:spacing w:after="0" w:line="480" w:lineRule="auto"/>
        <w:jc w:val="both"/>
        <w:rPr>
          <w:rFonts w:ascii="Arial" w:hAnsi="Arial" w:cs="Arial"/>
          <w:sz w:val="24"/>
          <w:szCs w:val="24"/>
        </w:rPr>
      </w:pPr>
    </w:p>
    <w:p w14:paraId="0A732CBD" w14:textId="76FD12FB" w:rsidR="00F52E18" w:rsidRDefault="00F52E18"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respondent </w:t>
      </w:r>
      <w:r w:rsidR="008C7015">
        <w:rPr>
          <w:rFonts w:ascii="Arial" w:hAnsi="Arial" w:cs="Arial"/>
          <w:sz w:val="24"/>
          <w:szCs w:val="24"/>
        </w:rPr>
        <w:t xml:space="preserve">further pleaded that appellant agreed to pay the amount so assessed by Harry </w:t>
      </w:r>
      <w:proofErr w:type="spellStart"/>
      <w:r w:rsidR="008C7015">
        <w:rPr>
          <w:rFonts w:ascii="Arial" w:hAnsi="Arial" w:cs="Arial"/>
          <w:sz w:val="24"/>
          <w:szCs w:val="24"/>
        </w:rPr>
        <w:t>Riegel</w:t>
      </w:r>
      <w:proofErr w:type="spellEnd"/>
      <w:r w:rsidR="009A4A25">
        <w:rPr>
          <w:rFonts w:ascii="Arial" w:hAnsi="Arial" w:cs="Arial"/>
          <w:sz w:val="24"/>
          <w:szCs w:val="24"/>
        </w:rPr>
        <w:t>,</w:t>
      </w:r>
      <w:r w:rsidR="008C7015">
        <w:rPr>
          <w:rFonts w:ascii="Arial" w:hAnsi="Arial" w:cs="Arial"/>
          <w:sz w:val="24"/>
          <w:szCs w:val="24"/>
        </w:rPr>
        <w:t xml:space="preserve"> </w:t>
      </w:r>
      <w:r w:rsidR="00F30D1F">
        <w:rPr>
          <w:rFonts w:ascii="Arial" w:hAnsi="Arial" w:cs="Arial"/>
          <w:sz w:val="24"/>
          <w:szCs w:val="24"/>
        </w:rPr>
        <w:t>after he himself</w:t>
      </w:r>
      <w:r w:rsidR="008C7015">
        <w:rPr>
          <w:rFonts w:ascii="Arial" w:hAnsi="Arial" w:cs="Arial"/>
          <w:sz w:val="24"/>
          <w:szCs w:val="24"/>
        </w:rPr>
        <w:t xml:space="preserve"> requested an assessment report.</w:t>
      </w:r>
    </w:p>
    <w:p w14:paraId="28E542B4" w14:textId="77777777" w:rsidR="008C7015" w:rsidRDefault="008C7015" w:rsidP="009A4A25">
      <w:pPr>
        <w:spacing w:after="0" w:line="480" w:lineRule="auto"/>
        <w:jc w:val="both"/>
        <w:rPr>
          <w:rFonts w:ascii="Arial" w:hAnsi="Arial" w:cs="Arial"/>
          <w:sz w:val="24"/>
          <w:szCs w:val="24"/>
        </w:rPr>
      </w:pPr>
    </w:p>
    <w:p w14:paraId="4F68DE4E" w14:textId="5CF46048" w:rsidR="008C7015" w:rsidRPr="008C7015" w:rsidRDefault="008C7015" w:rsidP="008C7015">
      <w:pPr>
        <w:spacing w:after="0" w:line="480" w:lineRule="auto"/>
        <w:jc w:val="both"/>
        <w:rPr>
          <w:rFonts w:ascii="Arial" w:hAnsi="Arial" w:cs="Arial"/>
          <w:sz w:val="24"/>
          <w:szCs w:val="24"/>
          <w:u w:val="single"/>
        </w:rPr>
      </w:pPr>
      <w:r w:rsidRPr="008C7015">
        <w:rPr>
          <w:rFonts w:ascii="Arial" w:hAnsi="Arial" w:cs="Arial"/>
          <w:sz w:val="24"/>
          <w:szCs w:val="24"/>
          <w:u w:val="single"/>
        </w:rPr>
        <w:t xml:space="preserve">The </w:t>
      </w:r>
      <w:r w:rsidR="008B01A3">
        <w:rPr>
          <w:rFonts w:ascii="Arial" w:hAnsi="Arial" w:cs="Arial"/>
          <w:sz w:val="24"/>
          <w:szCs w:val="24"/>
          <w:u w:val="single"/>
        </w:rPr>
        <w:t>p</w:t>
      </w:r>
      <w:r w:rsidRPr="008C7015">
        <w:rPr>
          <w:rFonts w:ascii="Arial" w:hAnsi="Arial" w:cs="Arial"/>
          <w:sz w:val="24"/>
          <w:szCs w:val="24"/>
          <w:u w:val="single"/>
        </w:rPr>
        <w:t>roceedings in the High Court</w:t>
      </w:r>
    </w:p>
    <w:p w14:paraId="14C2EF0F" w14:textId="7BCD8C67" w:rsidR="008C7015" w:rsidRDefault="008C7015"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appellant testified and called a witness and the second and third respondents or the </w:t>
      </w:r>
      <w:proofErr w:type="spellStart"/>
      <w:r>
        <w:rPr>
          <w:rFonts w:ascii="Arial" w:hAnsi="Arial" w:cs="Arial"/>
          <w:sz w:val="24"/>
          <w:szCs w:val="24"/>
        </w:rPr>
        <w:t>Hausners</w:t>
      </w:r>
      <w:proofErr w:type="spellEnd"/>
      <w:r>
        <w:rPr>
          <w:rFonts w:ascii="Arial" w:hAnsi="Arial" w:cs="Arial"/>
          <w:sz w:val="24"/>
          <w:szCs w:val="24"/>
        </w:rPr>
        <w:t xml:space="preserve"> </w:t>
      </w:r>
      <w:r w:rsidR="006669AD">
        <w:rPr>
          <w:rFonts w:ascii="Arial" w:hAnsi="Arial" w:cs="Arial"/>
          <w:sz w:val="24"/>
          <w:szCs w:val="24"/>
        </w:rPr>
        <w:t xml:space="preserve">testified and called two witnesses. The court </w:t>
      </w:r>
      <w:r w:rsidR="006669AD">
        <w:rPr>
          <w:rFonts w:ascii="Arial" w:hAnsi="Arial" w:cs="Arial"/>
          <w:i/>
          <w:sz w:val="24"/>
          <w:szCs w:val="24"/>
        </w:rPr>
        <w:t xml:space="preserve">a quo </w:t>
      </w:r>
      <w:r w:rsidR="006669AD">
        <w:rPr>
          <w:rFonts w:ascii="Arial" w:hAnsi="Arial" w:cs="Arial"/>
          <w:sz w:val="24"/>
          <w:szCs w:val="24"/>
        </w:rPr>
        <w:t xml:space="preserve">found that the second and third respondents made material representations regarding the insurance offered to the </w:t>
      </w:r>
      <w:r w:rsidR="001A438E">
        <w:rPr>
          <w:rFonts w:ascii="Arial" w:hAnsi="Arial" w:cs="Arial"/>
          <w:sz w:val="24"/>
          <w:szCs w:val="24"/>
        </w:rPr>
        <w:t>appellant</w:t>
      </w:r>
      <w:r w:rsidR="006669AD">
        <w:rPr>
          <w:rFonts w:ascii="Arial" w:hAnsi="Arial" w:cs="Arial"/>
          <w:sz w:val="24"/>
          <w:szCs w:val="24"/>
        </w:rPr>
        <w:t xml:space="preserve"> and that in the process they acted in breach of the Close Corporation Act in material ways and adumbrated the said </w:t>
      </w:r>
      <w:r w:rsidR="006669AD">
        <w:rPr>
          <w:rFonts w:ascii="Arial" w:hAnsi="Arial" w:cs="Arial"/>
          <w:sz w:val="24"/>
          <w:szCs w:val="24"/>
        </w:rPr>
        <w:lastRenderedPageBreak/>
        <w:t>violations in para 47 of the judgment</w:t>
      </w:r>
      <w:r w:rsidR="00D06E94">
        <w:rPr>
          <w:rStyle w:val="FootnoteReference"/>
          <w:rFonts w:ascii="Arial" w:hAnsi="Arial" w:cs="Arial"/>
          <w:sz w:val="24"/>
          <w:szCs w:val="24"/>
        </w:rPr>
        <w:footnoteReference w:id="1"/>
      </w:r>
      <w:r w:rsidR="006669AD">
        <w:rPr>
          <w:rFonts w:ascii="Arial" w:hAnsi="Arial" w:cs="Arial"/>
          <w:sz w:val="24"/>
          <w:szCs w:val="24"/>
        </w:rPr>
        <w:t>. On that score</w:t>
      </w:r>
      <w:r w:rsidR="00235414">
        <w:rPr>
          <w:rFonts w:ascii="Arial" w:hAnsi="Arial" w:cs="Arial"/>
          <w:sz w:val="24"/>
          <w:szCs w:val="24"/>
        </w:rPr>
        <w:t>,</w:t>
      </w:r>
      <w:r w:rsidR="006669AD">
        <w:rPr>
          <w:rFonts w:ascii="Arial" w:hAnsi="Arial" w:cs="Arial"/>
          <w:sz w:val="24"/>
          <w:szCs w:val="24"/>
        </w:rPr>
        <w:t xml:space="preserve"> the court </w:t>
      </w:r>
      <w:r w:rsidR="006669AD">
        <w:rPr>
          <w:rFonts w:ascii="Arial" w:hAnsi="Arial" w:cs="Arial"/>
          <w:i/>
          <w:sz w:val="24"/>
          <w:szCs w:val="24"/>
        </w:rPr>
        <w:t xml:space="preserve">a quo </w:t>
      </w:r>
      <w:r w:rsidR="006669AD">
        <w:rPr>
          <w:rFonts w:ascii="Arial" w:hAnsi="Arial" w:cs="Arial"/>
          <w:sz w:val="24"/>
          <w:szCs w:val="24"/>
        </w:rPr>
        <w:t>found that the second and third respondents gave contrived and implausible interpretations of their actions and conduct on representations made to the appellant about insurance and found them not to be credible witnesses on that point and the court preferred the version of the appellant as more plausible.</w:t>
      </w:r>
    </w:p>
    <w:p w14:paraId="6C643FA0" w14:textId="77777777" w:rsidR="006669AD" w:rsidRDefault="006669AD" w:rsidP="006669AD">
      <w:pPr>
        <w:pStyle w:val="ListParagraph"/>
        <w:tabs>
          <w:tab w:val="left" w:pos="851"/>
        </w:tabs>
        <w:spacing w:after="0" w:line="480" w:lineRule="auto"/>
        <w:ind w:left="0"/>
        <w:jc w:val="both"/>
        <w:rPr>
          <w:rFonts w:ascii="Arial" w:hAnsi="Arial" w:cs="Arial"/>
          <w:sz w:val="24"/>
          <w:szCs w:val="24"/>
        </w:rPr>
      </w:pPr>
    </w:p>
    <w:p w14:paraId="0F080307" w14:textId="498AE20E" w:rsidR="006669AD" w:rsidRDefault="006669AD"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Notwithstanding the credibility findings above against the second and third respondents</w:t>
      </w:r>
      <w:r w:rsidR="00235414">
        <w:rPr>
          <w:rFonts w:ascii="Arial" w:hAnsi="Arial" w:cs="Arial"/>
          <w:sz w:val="24"/>
          <w:szCs w:val="24"/>
        </w:rPr>
        <w:t>,</w:t>
      </w:r>
      <w:r>
        <w:rPr>
          <w:rFonts w:ascii="Arial" w:hAnsi="Arial" w:cs="Arial"/>
          <w:sz w:val="24"/>
          <w:szCs w:val="24"/>
        </w:rPr>
        <w:t xml:space="preserve"> the court </w:t>
      </w:r>
      <w:r>
        <w:rPr>
          <w:rFonts w:ascii="Arial" w:hAnsi="Arial" w:cs="Arial"/>
          <w:i/>
          <w:sz w:val="24"/>
          <w:szCs w:val="24"/>
        </w:rPr>
        <w:t xml:space="preserve">a quo </w:t>
      </w:r>
      <w:r>
        <w:rPr>
          <w:rFonts w:ascii="Arial" w:hAnsi="Arial" w:cs="Arial"/>
          <w:sz w:val="24"/>
          <w:szCs w:val="24"/>
        </w:rPr>
        <w:t xml:space="preserve">rejected the submission </w:t>
      </w:r>
      <w:r w:rsidR="00B818B6">
        <w:rPr>
          <w:rFonts w:ascii="Arial" w:hAnsi="Arial" w:cs="Arial"/>
          <w:sz w:val="24"/>
          <w:szCs w:val="24"/>
        </w:rPr>
        <w:t>by</w:t>
      </w:r>
      <w:r>
        <w:rPr>
          <w:rFonts w:ascii="Arial" w:hAnsi="Arial" w:cs="Arial"/>
          <w:sz w:val="24"/>
          <w:szCs w:val="24"/>
        </w:rPr>
        <w:t xml:space="preserve"> the appellant that the respondent</w:t>
      </w:r>
      <w:r w:rsidR="001C28EE">
        <w:rPr>
          <w:rFonts w:ascii="Arial" w:hAnsi="Arial" w:cs="Arial"/>
          <w:sz w:val="24"/>
          <w:szCs w:val="24"/>
        </w:rPr>
        <w:t>s</w:t>
      </w:r>
      <w:r>
        <w:rPr>
          <w:rFonts w:ascii="Arial" w:hAnsi="Arial" w:cs="Arial"/>
          <w:sz w:val="24"/>
          <w:szCs w:val="24"/>
        </w:rPr>
        <w:t xml:space="preserve"> should be held liable </w:t>
      </w:r>
      <w:r w:rsidR="001C28EE">
        <w:rPr>
          <w:rFonts w:ascii="Arial" w:hAnsi="Arial" w:cs="Arial"/>
          <w:sz w:val="24"/>
          <w:szCs w:val="24"/>
        </w:rPr>
        <w:t>based on the misrepresentations</w:t>
      </w:r>
      <w:r>
        <w:rPr>
          <w:rFonts w:ascii="Arial" w:hAnsi="Arial" w:cs="Arial"/>
          <w:sz w:val="24"/>
          <w:szCs w:val="24"/>
        </w:rPr>
        <w:t>, regardless of whether the plaintiff breached the terms of the rental agreement</w:t>
      </w:r>
      <w:r w:rsidR="001C28EE">
        <w:rPr>
          <w:rFonts w:ascii="Arial" w:hAnsi="Arial" w:cs="Arial"/>
          <w:sz w:val="24"/>
          <w:szCs w:val="24"/>
        </w:rPr>
        <w:t>.</w:t>
      </w:r>
      <w:r>
        <w:rPr>
          <w:rFonts w:ascii="Arial" w:hAnsi="Arial" w:cs="Arial"/>
          <w:sz w:val="24"/>
          <w:szCs w:val="24"/>
        </w:rPr>
        <w:t xml:space="preserve"> Consequently th</w:t>
      </w:r>
      <w:r w:rsidR="00B818B6">
        <w:rPr>
          <w:rFonts w:ascii="Arial" w:hAnsi="Arial" w:cs="Arial"/>
          <w:sz w:val="24"/>
          <w:szCs w:val="24"/>
        </w:rPr>
        <w:t>e</w:t>
      </w:r>
      <w:r>
        <w:rPr>
          <w:rFonts w:ascii="Arial" w:hAnsi="Arial" w:cs="Arial"/>
          <w:sz w:val="24"/>
          <w:szCs w:val="24"/>
        </w:rPr>
        <w:t xml:space="preserve"> court found that the appellant failed to prove that the insurance offered by the respondents covered the loss to the vehicle</w:t>
      </w:r>
      <w:r w:rsidR="00597272">
        <w:rPr>
          <w:rFonts w:ascii="Arial" w:hAnsi="Arial" w:cs="Arial"/>
          <w:sz w:val="24"/>
          <w:szCs w:val="24"/>
        </w:rPr>
        <w:t xml:space="preserve"> arising from him driving through a riverbed, on an unmarked road and at a point on the river where there were no vehicle marks</w:t>
      </w:r>
      <w:r w:rsidR="001C28EE">
        <w:rPr>
          <w:rFonts w:ascii="Arial" w:hAnsi="Arial" w:cs="Arial"/>
          <w:sz w:val="24"/>
          <w:szCs w:val="24"/>
        </w:rPr>
        <w:t xml:space="preserve"> as this would be contra</w:t>
      </w:r>
      <w:r w:rsidR="003A2D0A">
        <w:rPr>
          <w:rFonts w:ascii="Arial" w:hAnsi="Arial" w:cs="Arial"/>
          <w:sz w:val="24"/>
          <w:szCs w:val="24"/>
        </w:rPr>
        <w:t>ry to the express terms of the rental</w:t>
      </w:r>
      <w:r w:rsidR="001C28EE">
        <w:rPr>
          <w:rFonts w:ascii="Arial" w:hAnsi="Arial" w:cs="Arial"/>
          <w:sz w:val="24"/>
          <w:szCs w:val="24"/>
        </w:rPr>
        <w:t xml:space="preserve"> agreement</w:t>
      </w:r>
      <w:r w:rsidR="00597272">
        <w:rPr>
          <w:rFonts w:ascii="Arial" w:hAnsi="Arial" w:cs="Arial"/>
          <w:sz w:val="24"/>
          <w:szCs w:val="24"/>
        </w:rPr>
        <w:t>. However</w:t>
      </w:r>
      <w:r w:rsidR="00B818B6">
        <w:rPr>
          <w:rFonts w:ascii="Arial" w:hAnsi="Arial" w:cs="Arial"/>
          <w:sz w:val="24"/>
          <w:szCs w:val="24"/>
        </w:rPr>
        <w:t>,</w:t>
      </w:r>
      <w:r w:rsidR="00597272">
        <w:rPr>
          <w:rFonts w:ascii="Arial" w:hAnsi="Arial" w:cs="Arial"/>
          <w:sz w:val="24"/>
          <w:szCs w:val="24"/>
        </w:rPr>
        <w:t xml:space="preserve"> on the alternative claim based on unjust enrichment</w:t>
      </w:r>
      <w:r w:rsidR="00B818B6">
        <w:rPr>
          <w:rFonts w:ascii="Arial" w:hAnsi="Arial" w:cs="Arial"/>
          <w:sz w:val="24"/>
          <w:szCs w:val="24"/>
        </w:rPr>
        <w:t>,</w:t>
      </w:r>
      <w:r w:rsidR="00597272">
        <w:rPr>
          <w:rFonts w:ascii="Arial" w:hAnsi="Arial" w:cs="Arial"/>
          <w:sz w:val="24"/>
          <w:szCs w:val="24"/>
        </w:rPr>
        <w:t xml:space="preserve"> the court found that the</w:t>
      </w:r>
      <w:r w:rsidR="00543156">
        <w:rPr>
          <w:rFonts w:ascii="Arial" w:hAnsi="Arial" w:cs="Arial"/>
          <w:sz w:val="24"/>
          <w:szCs w:val="24"/>
        </w:rPr>
        <w:t xml:space="preserve"> </w:t>
      </w:r>
      <w:r w:rsidR="00D06E94">
        <w:rPr>
          <w:rFonts w:ascii="Arial" w:hAnsi="Arial" w:cs="Arial"/>
          <w:sz w:val="24"/>
          <w:szCs w:val="24"/>
        </w:rPr>
        <w:t>responde</w:t>
      </w:r>
      <w:r w:rsidR="00543156">
        <w:rPr>
          <w:rFonts w:ascii="Arial" w:hAnsi="Arial" w:cs="Arial"/>
          <w:sz w:val="24"/>
          <w:szCs w:val="24"/>
        </w:rPr>
        <w:t>nts</w:t>
      </w:r>
      <w:r w:rsidR="00597272">
        <w:rPr>
          <w:rFonts w:ascii="Arial" w:hAnsi="Arial" w:cs="Arial"/>
          <w:sz w:val="24"/>
          <w:szCs w:val="24"/>
        </w:rPr>
        <w:t xml:space="preserve"> failed to produce proof of repairs which justified </w:t>
      </w:r>
      <w:r w:rsidR="00597272">
        <w:rPr>
          <w:rFonts w:ascii="Arial" w:hAnsi="Arial" w:cs="Arial"/>
          <w:sz w:val="24"/>
          <w:szCs w:val="24"/>
        </w:rPr>
        <w:lastRenderedPageBreak/>
        <w:t xml:space="preserve">the inference that they did not repair the vehicle and were therefore not entitled to the payment made to them by the appellant based on </w:t>
      </w:r>
      <w:proofErr w:type="spellStart"/>
      <w:r w:rsidR="00597272">
        <w:rPr>
          <w:rFonts w:ascii="Arial" w:hAnsi="Arial" w:cs="Arial"/>
          <w:sz w:val="24"/>
          <w:szCs w:val="24"/>
        </w:rPr>
        <w:t>Riegel</w:t>
      </w:r>
      <w:r w:rsidR="00B818B6">
        <w:rPr>
          <w:rFonts w:ascii="Arial" w:hAnsi="Arial" w:cs="Arial"/>
          <w:sz w:val="24"/>
          <w:szCs w:val="24"/>
        </w:rPr>
        <w:t>’s</w:t>
      </w:r>
      <w:proofErr w:type="spellEnd"/>
      <w:r w:rsidR="00597272">
        <w:rPr>
          <w:rFonts w:ascii="Arial" w:hAnsi="Arial" w:cs="Arial"/>
          <w:sz w:val="24"/>
          <w:szCs w:val="24"/>
        </w:rPr>
        <w:t xml:space="preserve"> estimate and therefore the first respondent was enriched at the appellant’s expense, a finding amongst other things</w:t>
      </w:r>
      <w:r w:rsidR="00B818B6">
        <w:rPr>
          <w:rFonts w:ascii="Arial" w:hAnsi="Arial" w:cs="Arial"/>
          <w:sz w:val="24"/>
          <w:szCs w:val="24"/>
        </w:rPr>
        <w:t>,</w:t>
      </w:r>
      <w:r w:rsidR="00597272">
        <w:rPr>
          <w:rFonts w:ascii="Arial" w:hAnsi="Arial" w:cs="Arial"/>
          <w:sz w:val="24"/>
          <w:szCs w:val="24"/>
        </w:rPr>
        <w:t xml:space="preserve"> the respondents appeal</w:t>
      </w:r>
      <w:r w:rsidR="00FC5028">
        <w:rPr>
          <w:rFonts w:ascii="Arial" w:hAnsi="Arial" w:cs="Arial"/>
          <w:sz w:val="24"/>
          <w:szCs w:val="24"/>
        </w:rPr>
        <w:t xml:space="preserve"> against. As </w:t>
      </w:r>
      <w:r w:rsidR="001C28EE">
        <w:rPr>
          <w:rFonts w:ascii="Arial" w:hAnsi="Arial" w:cs="Arial"/>
          <w:sz w:val="24"/>
          <w:szCs w:val="24"/>
        </w:rPr>
        <w:t>for the claim of</w:t>
      </w:r>
      <w:r w:rsidR="00FC5028">
        <w:rPr>
          <w:rFonts w:ascii="Arial" w:hAnsi="Arial" w:cs="Arial"/>
          <w:sz w:val="24"/>
          <w:szCs w:val="24"/>
        </w:rPr>
        <w:t xml:space="preserve"> N$28</w:t>
      </w:r>
      <w:r w:rsidR="001C28EE">
        <w:rPr>
          <w:rFonts w:ascii="Arial" w:hAnsi="Arial" w:cs="Arial"/>
          <w:sz w:val="24"/>
          <w:szCs w:val="24"/>
        </w:rPr>
        <w:t> </w:t>
      </w:r>
      <w:r w:rsidR="00FC5028">
        <w:rPr>
          <w:rFonts w:ascii="Arial" w:hAnsi="Arial" w:cs="Arial"/>
          <w:sz w:val="24"/>
          <w:szCs w:val="24"/>
        </w:rPr>
        <w:t>653</w:t>
      </w:r>
      <w:r w:rsidR="001C28EE">
        <w:rPr>
          <w:rFonts w:ascii="Arial" w:hAnsi="Arial" w:cs="Arial"/>
          <w:sz w:val="24"/>
          <w:szCs w:val="24"/>
        </w:rPr>
        <w:t xml:space="preserve"> in respect of the recovery of the vehicle</w:t>
      </w:r>
      <w:r w:rsidR="00FC5028">
        <w:rPr>
          <w:rFonts w:ascii="Arial" w:hAnsi="Arial" w:cs="Arial"/>
          <w:sz w:val="24"/>
          <w:szCs w:val="24"/>
        </w:rPr>
        <w:t>,</w:t>
      </w:r>
      <w:r w:rsidR="00B818B6">
        <w:rPr>
          <w:rFonts w:ascii="Arial" w:hAnsi="Arial" w:cs="Arial"/>
          <w:sz w:val="24"/>
          <w:szCs w:val="24"/>
        </w:rPr>
        <w:t xml:space="preserve"> </w:t>
      </w:r>
      <w:r w:rsidR="00FC5028">
        <w:rPr>
          <w:rFonts w:ascii="Arial" w:hAnsi="Arial" w:cs="Arial"/>
          <w:sz w:val="24"/>
          <w:szCs w:val="24"/>
        </w:rPr>
        <w:t xml:space="preserve">the court </w:t>
      </w:r>
      <w:r w:rsidR="00FC5028">
        <w:rPr>
          <w:rFonts w:ascii="Arial" w:hAnsi="Arial" w:cs="Arial"/>
          <w:i/>
          <w:sz w:val="24"/>
          <w:szCs w:val="24"/>
        </w:rPr>
        <w:t xml:space="preserve">a quo </w:t>
      </w:r>
      <w:r w:rsidR="00FC5028">
        <w:rPr>
          <w:rFonts w:ascii="Arial" w:hAnsi="Arial" w:cs="Arial"/>
          <w:sz w:val="24"/>
          <w:szCs w:val="24"/>
        </w:rPr>
        <w:t>found that appellant’s refusal to accept the liability of that amount is clearly meritless, as that amount was expenses incurred to extract the vehicle from the river</w:t>
      </w:r>
      <w:r w:rsidR="00B818B6">
        <w:rPr>
          <w:rFonts w:ascii="Arial" w:hAnsi="Arial" w:cs="Arial"/>
          <w:sz w:val="24"/>
          <w:szCs w:val="24"/>
        </w:rPr>
        <w:t>,</w:t>
      </w:r>
      <w:r w:rsidR="00FC5028">
        <w:rPr>
          <w:rFonts w:ascii="Arial" w:hAnsi="Arial" w:cs="Arial"/>
          <w:sz w:val="24"/>
          <w:szCs w:val="24"/>
        </w:rPr>
        <w:t xml:space="preserve"> which expenses were clearly </w:t>
      </w:r>
      <w:proofErr w:type="spellStart"/>
      <w:r w:rsidR="00FC5028">
        <w:rPr>
          <w:rFonts w:ascii="Arial" w:hAnsi="Arial" w:cs="Arial"/>
          <w:sz w:val="24"/>
          <w:szCs w:val="24"/>
        </w:rPr>
        <w:t>itemised</w:t>
      </w:r>
      <w:proofErr w:type="spellEnd"/>
      <w:r w:rsidR="00FC5028">
        <w:rPr>
          <w:rFonts w:ascii="Arial" w:hAnsi="Arial" w:cs="Arial"/>
          <w:sz w:val="24"/>
          <w:szCs w:val="24"/>
        </w:rPr>
        <w:t xml:space="preserve"> by the </w:t>
      </w:r>
      <w:r w:rsidR="00B818B6">
        <w:rPr>
          <w:rFonts w:ascii="Arial" w:hAnsi="Arial" w:cs="Arial"/>
          <w:sz w:val="24"/>
          <w:szCs w:val="24"/>
        </w:rPr>
        <w:t>respondents</w:t>
      </w:r>
      <w:r w:rsidR="00FC5028">
        <w:rPr>
          <w:rFonts w:ascii="Arial" w:hAnsi="Arial" w:cs="Arial"/>
          <w:sz w:val="24"/>
          <w:szCs w:val="24"/>
        </w:rPr>
        <w:t>.</w:t>
      </w:r>
    </w:p>
    <w:p w14:paraId="26D53AF7" w14:textId="77777777" w:rsidR="00FC5028" w:rsidRDefault="00FC5028" w:rsidP="00FC5028">
      <w:pPr>
        <w:pStyle w:val="ListParagraph"/>
        <w:tabs>
          <w:tab w:val="left" w:pos="851"/>
        </w:tabs>
        <w:spacing w:after="0" w:line="480" w:lineRule="auto"/>
        <w:ind w:left="0"/>
        <w:jc w:val="both"/>
        <w:rPr>
          <w:rFonts w:ascii="Arial" w:hAnsi="Arial" w:cs="Arial"/>
          <w:sz w:val="24"/>
          <w:szCs w:val="24"/>
        </w:rPr>
      </w:pPr>
    </w:p>
    <w:p w14:paraId="6D2DDC65" w14:textId="6016D787" w:rsidR="00597272" w:rsidRDefault="00FC5028"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On the question whether the </w:t>
      </w:r>
      <w:proofErr w:type="spellStart"/>
      <w:r>
        <w:rPr>
          <w:rFonts w:ascii="Arial" w:hAnsi="Arial" w:cs="Arial"/>
          <w:sz w:val="24"/>
          <w:szCs w:val="24"/>
        </w:rPr>
        <w:t>Hausners</w:t>
      </w:r>
      <w:proofErr w:type="spellEnd"/>
      <w:r>
        <w:rPr>
          <w:rFonts w:ascii="Arial" w:hAnsi="Arial" w:cs="Arial"/>
          <w:sz w:val="24"/>
          <w:szCs w:val="24"/>
        </w:rPr>
        <w:t xml:space="preserve"> should be</w:t>
      </w:r>
      <w:r w:rsidR="001C28EE">
        <w:rPr>
          <w:rFonts w:ascii="Arial" w:hAnsi="Arial" w:cs="Arial"/>
          <w:sz w:val="24"/>
          <w:szCs w:val="24"/>
        </w:rPr>
        <w:t xml:space="preserve"> held</w:t>
      </w:r>
      <w:r>
        <w:rPr>
          <w:rFonts w:ascii="Arial" w:hAnsi="Arial" w:cs="Arial"/>
          <w:sz w:val="24"/>
          <w:szCs w:val="24"/>
        </w:rPr>
        <w:t xml:space="preserve"> jointly and severally liable</w:t>
      </w:r>
      <w:r w:rsidR="001C28EE">
        <w:rPr>
          <w:rFonts w:ascii="Arial" w:hAnsi="Arial" w:cs="Arial"/>
          <w:sz w:val="24"/>
          <w:szCs w:val="24"/>
        </w:rPr>
        <w:t xml:space="preserve"> with the </w:t>
      </w:r>
      <w:r w:rsidR="00460C24">
        <w:rPr>
          <w:rFonts w:ascii="Arial" w:hAnsi="Arial" w:cs="Arial"/>
          <w:sz w:val="24"/>
          <w:szCs w:val="24"/>
        </w:rPr>
        <w:t>close corporation</w:t>
      </w:r>
      <w:r w:rsidR="001C28EE">
        <w:rPr>
          <w:rFonts w:ascii="Arial" w:hAnsi="Arial" w:cs="Arial"/>
          <w:sz w:val="24"/>
          <w:szCs w:val="24"/>
        </w:rPr>
        <w:t>,</w:t>
      </w:r>
      <w:r>
        <w:rPr>
          <w:rFonts w:ascii="Arial" w:hAnsi="Arial" w:cs="Arial"/>
          <w:sz w:val="24"/>
          <w:szCs w:val="24"/>
        </w:rPr>
        <w:t xml:space="preserve"> the court </w:t>
      </w:r>
      <w:r>
        <w:rPr>
          <w:rFonts w:ascii="Arial" w:hAnsi="Arial" w:cs="Arial"/>
          <w:i/>
          <w:sz w:val="24"/>
          <w:szCs w:val="24"/>
        </w:rPr>
        <w:t xml:space="preserve">a quo </w:t>
      </w:r>
      <w:r>
        <w:rPr>
          <w:rFonts w:ascii="Arial" w:hAnsi="Arial" w:cs="Arial"/>
          <w:sz w:val="24"/>
          <w:szCs w:val="24"/>
        </w:rPr>
        <w:t xml:space="preserve">was not satisfied that appellant made out </w:t>
      </w:r>
      <w:r w:rsidR="00B818B6">
        <w:rPr>
          <w:rFonts w:ascii="Arial" w:hAnsi="Arial" w:cs="Arial"/>
          <w:sz w:val="24"/>
          <w:szCs w:val="24"/>
        </w:rPr>
        <w:t>a</w:t>
      </w:r>
      <w:r>
        <w:rPr>
          <w:rFonts w:ascii="Arial" w:hAnsi="Arial" w:cs="Arial"/>
          <w:sz w:val="24"/>
          <w:szCs w:val="24"/>
        </w:rPr>
        <w:t xml:space="preserve"> case </w:t>
      </w:r>
      <w:r w:rsidR="00460C24">
        <w:rPr>
          <w:rFonts w:ascii="Arial" w:hAnsi="Arial" w:cs="Arial"/>
          <w:sz w:val="24"/>
          <w:szCs w:val="24"/>
        </w:rPr>
        <w:t>for such</w:t>
      </w:r>
      <w:r>
        <w:rPr>
          <w:rFonts w:ascii="Arial" w:hAnsi="Arial" w:cs="Arial"/>
          <w:sz w:val="24"/>
          <w:szCs w:val="24"/>
        </w:rPr>
        <w:t xml:space="preserve"> liability based on misrepresentation. Th</w:t>
      </w:r>
      <w:r w:rsidR="00B818B6">
        <w:rPr>
          <w:rFonts w:ascii="Arial" w:hAnsi="Arial" w:cs="Arial"/>
          <w:sz w:val="24"/>
          <w:szCs w:val="24"/>
        </w:rPr>
        <w:t>e</w:t>
      </w:r>
      <w:r>
        <w:rPr>
          <w:rFonts w:ascii="Arial" w:hAnsi="Arial" w:cs="Arial"/>
          <w:sz w:val="24"/>
          <w:szCs w:val="24"/>
        </w:rPr>
        <w:t xml:space="preserve"> court went on to say:</w:t>
      </w:r>
    </w:p>
    <w:p w14:paraId="75EB1E38" w14:textId="61AB0586" w:rsidR="007428E7" w:rsidRDefault="007428E7" w:rsidP="00F95355">
      <w:pPr>
        <w:pStyle w:val="ListParagraph"/>
        <w:tabs>
          <w:tab w:val="left" w:pos="851"/>
        </w:tabs>
        <w:spacing w:after="0" w:line="480" w:lineRule="auto"/>
        <w:ind w:left="0"/>
        <w:jc w:val="both"/>
        <w:rPr>
          <w:rFonts w:ascii="Arial" w:hAnsi="Arial" w:cs="Arial"/>
          <w:sz w:val="24"/>
          <w:szCs w:val="24"/>
        </w:rPr>
      </w:pPr>
    </w:p>
    <w:p w14:paraId="718FA3C7" w14:textId="1208206F" w:rsidR="008F6FDC" w:rsidRDefault="00FC5028" w:rsidP="00FC5028">
      <w:pPr>
        <w:pStyle w:val="ListParagraph"/>
        <w:spacing w:after="0" w:line="360" w:lineRule="auto"/>
        <w:jc w:val="both"/>
        <w:rPr>
          <w:rFonts w:ascii="Arial" w:hAnsi="Arial" w:cs="Arial"/>
        </w:rPr>
      </w:pPr>
      <w:r>
        <w:rPr>
          <w:rFonts w:ascii="Arial" w:hAnsi="Arial" w:cs="Arial"/>
        </w:rPr>
        <w:t>‘[72]</w:t>
      </w:r>
      <w:r>
        <w:rPr>
          <w:rFonts w:ascii="Arial" w:hAnsi="Arial" w:cs="Arial"/>
        </w:rPr>
        <w:tab/>
        <w:t xml:space="preserve">To succeed in attaching personal liability to the </w:t>
      </w:r>
      <w:proofErr w:type="spellStart"/>
      <w:r>
        <w:rPr>
          <w:rFonts w:ascii="Arial" w:hAnsi="Arial" w:cs="Arial"/>
        </w:rPr>
        <w:t>Hausners</w:t>
      </w:r>
      <w:proofErr w:type="spellEnd"/>
      <w:r>
        <w:rPr>
          <w:rFonts w:ascii="Arial" w:hAnsi="Arial" w:cs="Arial"/>
        </w:rPr>
        <w:t xml:space="preserve"> under the alternative claim, (I agree</w:t>
      </w:r>
      <w:r w:rsidR="00A71054">
        <w:rPr>
          <w:rFonts w:ascii="Arial" w:hAnsi="Arial" w:cs="Arial"/>
        </w:rPr>
        <w:t xml:space="preserve"> with </w:t>
      </w:r>
      <w:proofErr w:type="spellStart"/>
      <w:r w:rsidR="00A71054">
        <w:rPr>
          <w:rFonts w:ascii="Arial" w:hAnsi="Arial" w:cs="Arial"/>
        </w:rPr>
        <w:t>Mr</w:t>
      </w:r>
      <w:proofErr w:type="spellEnd"/>
      <w:r w:rsidR="00A71054">
        <w:rPr>
          <w:rFonts w:ascii="Arial" w:hAnsi="Arial" w:cs="Arial"/>
        </w:rPr>
        <w:t xml:space="preserve"> Mouton that) the plaintiff would have had to allege in his particulars of claim a violation, by the </w:t>
      </w:r>
      <w:proofErr w:type="spellStart"/>
      <w:r w:rsidR="00A71054">
        <w:rPr>
          <w:rFonts w:ascii="Arial" w:hAnsi="Arial" w:cs="Arial"/>
        </w:rPr>
        <w:t>Hausners</w:t>
      </w:r>
      <w:proofErr w:type="spellEnd"/>
      <w:r w:rsidR="00A71054">
        <w:rPr>
          <w:rFonts w:ascii="Arial" w:hAnsi="Arial" w:cs="Arial"/>
        </w:rPr>
        <w:t xml:space="preserve">, of the Close Corporations Act such as would render them personally liable for the debts of the close corporation as contemplated in s 63 of the Close Corporations Act. </w:t>
      </w:r>
      <w:proofErr w:type="gramStart"/>
      <w:r w:rsidR="003F6A88">
        <w:rPr>
          <w:rFonts w:ascii="Arial" w:hAnsi="Arial" w:cs="Arial"/>
        </w:rPr>
        <w:t>(</w:t>
      </w:r>
      <w:r w:rsidR="00A71054">
        <w:rPr>
          <w:rFonts w:ascii="Arial" w:hAnsi="Arial" w:cs="Arial"/>
          <w:i/>
        </w:rPr>
        <w:t>Van de</w:t>
      </w:r>
      <w:r w:rsidR="003F6A88">
        <w:rPr>
          <w:rFonts w:ascii="Arial" w:hAnsi="Arial" w:cs="Arial"/>
          <w:i/>
        </w:rPr>
        <w:t xml:space="preserve">r Berg v Chairman of the Disciplinary Committee </w:t>
      </w:r>
      <w:r w:rsidR="003F6A88" w:rsidRPr="00E36998">
        <w:rPr>
          <w:rFonts w:ascii="Arial" w:hAnsi="Arial" w:cs="Arial"/>
          <w:i/>
        </w:rPr>
        <w:t>supra</w:t>
      </w:r>
      <w:r w:rsidR="003F6A88">
        <w:rPr>
          <w:rFonts w:ascii="Arial" w:hAnsi="Arial" w:cs="Arial"/>
        </w:rPr>
        <w:t>).</w:t>
      </w:r>
      <w:proofErr w:type="gramEnd"/>
      <w:r w:rsidR="003F6A88">
        <w:rPr>
          <w:rFonts w:ascii="Arial" w:hAnsi="Arial" w:cs="Arial"/>
        </w:rPr>
        <w:t xml:space="preserve"> The plaintiff also had to prove that in regard to the alternative claim the provisions of s 63 find application, in other words that the payment </w:t>
      </w:r>
      <w:proofErr w:type="spellStart"/>
      <w:r w:rsidR="003F6A88">
        <w:rPr>
          <w:rFonts w:ascii="Arial" w:hAnsi="Arial" w:cs="Arial"/>
        </w:rPr>
        <w:t>as</w:t>
      </w:r>
      <w:proofErr w:type="spellEnd"/>
      <w:r w:rsidR="003F6A88">
        <w:rPr>
          <w:rFonts w:ascii="Arial" w:hAnsi="Arial" w:cs="Arial"/>
        </w:rPr>
        <w:t xml:space="preserve"> made to the close co</w:t>
      </w:r>
      <w:r w:rsidR="00E36998">
        <w:rPr>
          <w:rFonts w:ascii="Arial" w:hAnsi="Arial" w:cs="Arial"/>
        </w:rPr>
        <w:t>r</w:t>
      </w:r>
      <w:r w:rsidR="003F6A88">
        <w:rPr>
          <w:rFonts w:ascii="Arial" w:hAnsi="Arial" w:cs="Arial"/>
        </w:rPr>
        <w:t>poration</w:t>
      </w:r>
      <w:r w:rsidR="00E36998">
        <w:rPr>
          <w:rFonts w:ascii="Arial" w:hAnsi="Arial" w:cs="Arial"/>
        </w:rPr>
        <w:t xml:space="preserve"> without there being compliance with that provision; and that the payment for the estimated damage was done to the first defendant with the </w:t>
      </w:r>
      <w:proofErr w:type="spellStart"/>
      <w:r w:rsidR="00E36998">
        <w:rPr>
          <w:rFonts w:ascii="Arial" w:hAnsi="Arial" w:cs="Arial"/>
        </w:rPr>
        <w:t>Hausners</w:t>
      </w:r>
      <w:proofErr w:type="spellEnd"/>
      <w:r w:rsidR="00E36998">
        <w:rPr>
          <w:rFonts w:ascii="Arial" w:hAnsi="Arial" w:cs="Arial"/>
        </w:rPr>
        <w:t xml:space="preserve"> authorizing or “knowingly” permitting the omission of such abbreviation. He so had to allege and prove as plaintiff that it was in consequence of such omission at he was not aware that he was dealing with a close corporation. Such allegation and proof is lacking.’</w:t>
      </w:r>
    </w:p>
    <w:p w14:paraId="736AF825" w14:textId="77777777" w:rsidR="00FC5028" w:rsidRPr="00FC5028" w:rsidRDefault="00FC5028" w:rsidP="00FC5028">
      <w:pPr>
        <w:pStyle w:val="ListParagraph"/>
        <w:spacing w:after="0" w:line="480" w:lineRule="auto"/>
        <w:jc w:val="both"/>
        <w:rPr>
          <w:rFonts w:ascii="Arial" w:hAnsi="Arial" w:cs="Arial"/>
          <w:sz w:val="24"/>
          <w:szCs w:val="24"/>
        </w:rPr>
      </w:pPr>
    </w:p>
    <w:p w14:paraId="57950997" w14:textId="41D4F30A" w:rsidR="00E36998" w:rsidRDefault="00E36998"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Consequently the court gave the following order:</w:t>
      </w:r>
    </w:p>
    <w:p w14:paraId="217C8E7E" w14:textId="77777777" w:rsidR="00E36998" w:rsidRDefault="00E36998" w:rsidP="00E36998">
      <w:pPr>
        <w:pStyle w:val="ListParagraph"/>
        <w:tabs>
          <w:tab w:val="left" w:pos="851"/>
        </w:tabs>
        <w:spacing w:after="0" w:line="480" w:lineRule="auto"/>
        <w:ind w:left="0"/>
        <w:jc w:val="both"/>
        <w:rPr>
          <w:rFonts w:ascii="Arial" w:hAnsi="Arial" w:cs="Arial"/>
          <w:sz w:val="24"/>
          <w:szCs w:val="24"/>
        </w:rPr>
      </w:pPr>
    </w:p>
    <w:p w14:paraId="427332AB" w14:textId="40B28899" w:rsidR="00E36998" w:rsidRDefault="00CB07CC" w:rsidP="00CB07CC">
      <w:pPr>
        <w:tabs>
          <w:tab w:val="left" w:pos="851"/>
        </w:tabs>
        <w:spacing w:after="0" w:line="360" w:lineRule="auto"/>
        <w:ind w:left="1440" w:hanging="1440"/>
        <w:jc w:val="both"/>
        <w:rPr>
          <w:rFonts w:ascii="Arial" w:hAnsi="Arial" w:cs="Arial"/>
        </w:rPr>
      </w:pPr>
      <w:r>
        <w:rPr>
          <w:rFonts w:ascii="Arial" w:hAnsi="Arial" w:cs="Arial"/>
        </w:rPr>
        <w:tab/>
        <w:t>‘1.</w:t>
      </w:r>
      <w:r>
        <w:rPr>
          <w:rFonts w:ascii="Arial" w:hAnsi="Arial" w:cs="Arial"/>
        </w:rPr>
        <w:tab/>
      </w:r>
      <w:r w:rsidR="00E36998" w:rsidRPr="00CB07CC">
        <w:rPr>
          <w:rFonts w:ascii="Arial" w:hAnsi="Arial" w:cs="Arial"/>
        </w:rPr>
        <w:t>The plaintiff’s claim against second and third defendants in their personal capacities is dismissed with costs, such costs to include costs consequent upon the employment of one instructing and one instructed counsel;</w:t>
      </w:r>
    </w:p>
    <w:p w14:paraId="1C2F1BDE" w14:textId="77777777" w:rsidR="00CB07CC" w:rsidRDefault="00CB07CC" w:rsidP="00CB07CC">
      <w:pPr>
        <w:tabs>
          <w:tab w:val="left" w:pos="851"/>
        </w:tabs>
        <w:spacing w:after="0" w:line="360" w:lineRule="auto"/>
        <w:ind w:left="1440" w:hanging="1440"/>
        <w:jc w:val="both"/>
        <w:rPr>
          <w:rFonts w:ascii="Arial" w:hAnsi="Arial" w:cs="Arial"/>
        </w:rPr>
      </w:pPr>
    </w:p>
    <w:p w14:paraId="59074F6F" w14:textId="5EA5A1AB" w:rsidR="00E36998" w:rsidRDefault="00CB07CC" w:rsidP="00CB07CC">
      <w:pPr>
        <w:tabs>
          <w:tab w:val="left" w:pos="851"/>
        </w:tabs>
        <w:spacing w:after="0" w:line="360" w:lineRule="auto"/>
        <w:ind w:left="1440" w:hanging="1440"/>
        <w:jc w:val="both"/>
        <w:rPr>
          <w:rFonts w:ascii="Arial" w:hAnsi="Arial" w:cs="Arial"/>
        </w:rPr>
      </w:pPr>
      <w:r>
        <w:rPr>
          <w:rFonts w:ascii="Arial" w:hAnsi="Arial" w:cs="Arial"/>
        </w:rPr>
        <w:tab/>
        <w:t>2.</w:t>
      </w:r>
      <w:r>
        <w:rPr>
          <w:rFonts w:ascii="Arial" w:hAnsi="Arial" w:cs="Arial"/>
        </w:rPr>
        <w:tab/>
      </w:r>
      <w:r w:rsidR="00E36998" w:rsidRPr="00CB07CC">
        <w:rPr>
          <w:rFonts w:ascii="Arial" w:hAnsi="Arial" w:cs="Arial"/>
        </w:rPr>
        <w:t>Plaintiff’s claim against the first defendant succeeds in part and the first defendant is ordered to pay the amount of N$168</w:t>
      </w:r>
      <w:r w:rsidRPr="00CB07CC">
        <w:rPr>
          <w:rFonts w:ascii="Arial" w:hAnsi="Arial" w:cs="Arial"/>
        </w:rPr>
        <w:t xml:space="preserve"> </w:t>
      </w:r>
      <w:r w:rsidR="00E36998" w:rsidRPr="00CB07CC">
        <w:rPr>
          <w:rFonts w:ascii="Arial" w:hAnsi="Arial" w:cs="Arial"/>
        </w:rPr>
        <w:t>963</w:t>
      </w:r>
      <w:r w:rsidR="00280960" w:rsidRPr="00CB07CC">
        <w:rPr>
          <w:rFonts w:ascii="Arial" w:hAnsi="Arial" w:cs="Arial"/>
        </w:rPr>
        <w:t>, 41</w:t>
      </w:r>
      <w:r w:rsidR="00E36998" w:rsidRPr="00CB07CC">
        <w:rPr>
          <w:rFonts w:ascii="Arial" w:hAnsi="Arial" w:cs="Arial"/>
        </w:rPr>
        <w:t xml:space="preserve"> less</w:t>
      </w:r>
      <w:r w:rsidRPr="00CB07CC">
        <w:rPr>
          <w:rFonts w:ascii="Arial" w:hAnsi="Arial" w:cs="Arial"/>
        </w:rPr>
        <w:t xml:space="preserve"> 15% to the plaintiff.</w:t>
      </w:r>
    </w:p>
    <w:p w14:paraId="090DED6D" w14:textId="77777777" w:rsidR="00CB07CC" w:rsidRDefault="00CB07CC" w:rsidP="00CB07CC">
      <w:pPr>
        <w:tabs>
          <w:tab w:val="left" w:pos="851"/>
        </w:tabs>
        <w:spacing w:after="0" w:line="360" w:lineRule="auto"/>
        <w:ind w:left="1440" w:hanging="1440"/>
        <w:jc w:val="both"/>
        <w:rPr>
          <w:rFonts w:ascii="Arial" w:hAnsi="Arial" w:cs="Arial"/>
        </w:rPr>
      </w:pPr>
    </w:p>
    <w:p w14:paraId="2B2287AA" w14:textId="052FC843" w:rsidR="00CB07CC" w:rsidRDefault="00CB07CC" w:rsidP="00CB07CC">
      <w:pPr>
        <w:tabs>
          <w:tab w:val="left" w:pos="851"/>
        </w:tabs>
        <w:spacing w:after="0" w:line="360" w:lineRule="auto"/>
        <w:ind w:left="1440" w:hanging="1440"/>
        <w:jc w:val="both"/>
        <w:rPr>
          <w:rFonts w:ascii="Arial" w:hAnsi="Arial" w:cs="Arial"/>
        </w:rPr>
      </w:pPr>
      <w:r>
        <w:rPr>
          <w:rFonts w:ascii="Arial" w:hAnsi="Arial" w:cs="Arial"/>
        </w:rPr>
        <w:tab/>
        <w:t>3.</w:t>
      </w:r>
      <w:r>
        <w:rPr>
          <w:rFonts w:ascii="Arial" w:hAnsi="Arial" w:cs="Arial"/>
        </w:rPr>
        <w:tab/>
      </w:r>
      <w:r w:rsidRPr="00CB07CC">
        <w:rPr>
          <w:rFonts w:ascii="Arial" w:hAnsi="Arial" w:cs="Arial"/>
        </w:rPr>
        <w:t>Plaintiff is awarded interest on the amount of N$168 963,41 less 15% at the legal rate of 20% per annum calculated from the 3</w:t>
      </w:r>
      <w:r w:rsidRPr="00CB07CC">
        <w:rPr>
          <w:rFonts w:ascii="Arial" w:hAnsi="Arial" w:cs="Arial"/>
          <w:vertAlign w:val="superscript"/>
        </w:rPr>
        <w:t>rd</w:t>
      </w:r>
      <w:r w:rsidRPr="00CB07CC">
        <w:rPr>
          <w:rFonts w:ascii="Arial" w:hAnsi="Arial" w:cs="Arial"/>
        </w:rPr>
        <w:t xml:space="preserve"> of July 2006 to date of payment.</w:t>
      </w:r>
    </w:p>
    <w:p w14:paraId="4C7B1620" w14:textId="77777777" w:rsidR="00122832" w:rsidRDefault="00122832" w:rsidP="00CB07CC">
      <w:pPr>
        <w:tabs>
          <w:tab w:val="left" w:pos="851"/>
        </w:tabs>
        <w:spacing w:after="0" w:line="360" w:lineRule="auto"/>
        <w:ind w:left="1440" w:hanging="1440"/>
        <w:jc w:val="both"/>
        <w:rPr>
          <w:rFonts w:ascii="Arial" w:hAnsi="Arial" w:cs="Arial"/>
        </w:rPr>
      </w:pPr>
    </w:p>
    <w:p w14:paraId="6DC72D06" w14:textId="41AF1207" w:rsidR="00CB07CC" w:rsidRDefault="00122832" w:rsidP="00122832">
      <w:pPr>
        <w:tabs>
          <w:tab w:val="left" w:pos="851"/>
        </w:tabs>
        <w:spacing w:after="0" w:line="360" w:lineRule="auto"/>
        <w:ind w:left="1440" w:hanging="1440"/>
        <w:jc w:val="both"/>
        <w:rPr>
          <w:rFonts w:ascii="Arial" w:hAnsi="Arial" w:cs="Arial"/>
        </w:rPr>
      </w:pPr>
      <w:r>
        <w:rPr>
          <w:rFonts w:ascii="Arial" w:hAnsi="Arial" w:cs="Arial"/>
        </w:rPr>
        <w:tab/>
        <w:t>4.</w:t>
      </w:r>
      <w:r>
        <w:rPr>
          <w:rFonts w:ascii="Arial" w:hAnsi="Arial" w:cs="Arial"/>
        </w:rPr>
        <w:tab/>
      </w:r>
      <w:r w:rsidR="00CB07CC" w:rsidRPr="00122832">
        <w:rPr>
          <w:rFonts w:ascii="Arial" w:hAnsi="Arial" w:cs="Arial"/>
        </w:rPr>
        <w:t>In respect of the order in paragraph 3 above, the plaintiff is awarded costs of suit against the first defendant consequent upon the employment of one instructing and one instructed counsel.</w:t>
      </w:r>
    </w:p>
    <w:p w14:paraId="74536A63" w14:textId="77777777" w:rsidR="00122832" w:rsidRDefault="00122832" w:rsidP="00122832">
      <w:pPr>
        <w:tabs>
          <w:tab w:val="left" w:pos="851"/>
        </w:tabs>
        <w:spacing w:after="0" w:line="360" w:lineRule="auto"/>
        <w:ind w:left="1440" w:hanging="1440"/>
        <w:jc w:val="both"/>
        <w:rPr>
          <w:rFonts w:ascii="Arial" w:hAnsi="Arial" w:cs="Arial"/>
        </w:rPr>
      </w:pPr>
    </w:p>
    <w:p w14:paraId="23F08332" w14:textId="5A87C27F" w:rsidR="00CB07CC" w:rsidRDefault="00122832" w:rsidP="00122832">
      <w:pPr>
        <w:tabs>
          <w:tab w:val="left" w:pos="851"/>
        </w:tabs>
        <w:spacing w:after="0" w:line="360" w:lineRule="auto"/>
        <w:ind w:left="1440" w:hanging="1440"/>
        <w:jc w:val="both"/>
        <w:rPr>
          <w:rFonts w:ascii="Arial" w:hAnsi="Arial" w:cs="Arial"/>
        </w:rPr>
      </w:pPr>
      <w:r>
        <w:rPr>
          <w:rFonts w:ascii="Arial" w:hAnsi="Arial" w:cs="Arial"/>
        </w:rPr>
        <w:tab/>
        <w:t>5.</w:t>
      </w:r>
      <w:r>
        <w:rPr>
          <w:rFonts w:ascii="Arial" w:hAnsi="Arial" w:cs="Arial"/>
        </w:rPr>
        <w:tab/>
      </w:r>
      <w:r w:rsidR="00CB07CC" w:rsidRPr="00122832">
        <w:rPr>
          <w:rFonts w:ascii="Arial" w:hAnsi="Arial" w:cs="Arial"/>
        </w:rPr>
        <w:t>Plaintiff’s claim against first, second and third defendants for the recovery of N$28 653 is dismissed.’</w:t>
      </w:r>
    </w:p>
    <w:p w14:paraId="253D675E" w14:textId="77777777" w:rsidR="00122832" w:rsidRDefault="00122832" w:rsidP="00122832">
      <w:pPr>
        <w:tabs>
          <w:tab w:val="left" w:pos="851"/>
        </w:tabs>
        <w:spacing w:after="0" w:line="480" w:lineRule="auto"/>
        <w:ind w:left="1440" w:hanging="1440"/>
        <w:jc w:val="both"/>
        <w:rPr>
          <w:rFonts w:ascii="Arial" w:hAnsi="Arial" w:cs="Arial"/>
          <w:sz w:val="24"/>
          <w:szCs w:val="24"/>
        </w:rPr>
      </w:pPr>
    </w:p>
    <w:p w14:paraId="6A8F21E6" w14:textId="10145763" w:rsidR="00B818B6" w:rsidRPr="00B818B6" w:rsidRDefault="00B818B6" w:rsidP="00122832">
      <w:pPr>
        <w:tabs>
          <w:tab w:val="left" w:pos="851"/>
        </w:tabs>
        <w:spacing w:after="0" w:line="480" w:lineRule="auto"/>
        <w:ind w:left="1440" w:hanging="1440"/>
        <w:jc w:val="both"/>
        <w:rPr>
          <w:rFonts w:ascii="Arial" w:hAnsi="Arial" w:cs="Arial"/>
          <w:sz w:val="24"/>
          <w:szCs w:val="24"/>
          <w:u w:val="single"/>
        </w:rPr>
      </w:pPr>
      <w:r w:rsidRPr="00B818B6">
        <w:rPr>
          <w:rFonts w:ascii="Arial" w:hAnsi="Arial" w:cs="Arial"/>
          <w:sz w:val="24"/>
          <w:szCs w:val="24"/>
          <w:u w:val="single"/>
        </w:rPr>
        <w:t>The Appeal</w:t>
      </w:r>
    </w:p>
    <w:p w14:paraId="57A0DE10" w14:textId="5173E5BA" w:rsidR="001A438E" w:rsidRPr="00B818B6" w:rsidRDefault="001A438E" w:rsidP="00122832">
      <w:pPr>
        <w:tabs>
          <w:tab w:val="left" w:pos="851"/>
        </w:tabs>
        <w:spacing w:after="0" w:line="480" w:lineRule="auto"/>
        <w:ind w:left="1440" w:hanging="1440"/>
        <w:jc w:val="both"/>
        <w:rPr>
          <w:rFonts w:ascii="Arial" w:hAnsi="Arial" w:cs="Arial"/>
          <w:i/>
          <w:sz w:val="24"/>
          <w:szCs w:val="24"/>
        </w:rPr>
      </w:pPr>
      <w:r w:rsidRPr="00B818B6">
        <w:rPr>
          <w:rFonts w:ascii="Arial" w:hAnsi="Arial" w:cs="Arial"/>
          <w:i/>
          <w:sz w:val="24"/>
          <w:szCs w:val="24"/>
        </w:rPr>
        <w:t>Condonation</w:t>
      </w:r>
    </w:p>
    <w:p w14:paraId="0B9DDA86" w14:textId="1D286D26" w:rsidR="00E36998" w:rsidRDefault="006E195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this court the matter was called and was to be heard on the first day of term (</w:t>
      </w:r>
      <w:r w:rsidR="00973E02">
        <w:rPr>
          <w:rFonts w:ascii="Arial" w:hAnsi="Arial" w:cs="Arial"/>
          <w:sz w:val="24"/>
          <w:szCs w:val="24"/>
        </w:rPr>
        <w:t xml:space="preserve">1 </w:t>
      </w:r>
      <w:r>
        <w:rPr>
          <w:rFonts w:ascii="Arial" w:hAnsi="Arial" w:cs="Arial"/>
          <w:sz w:val="24"/>
          <w:szCs w:val="24"/>
        </w:rPr>
        <w:t>June</w:t>
      </w:r>
      <w:r w:rsidR="00A0584B">
        <w:rPr>
          <w:rStyle w:val="FootnoteReference"/>
          <w:rFonts w:ascii="Arial" w:hAnsi="Arial" w:cs="Arial"/>
          <w:sz w:val="24"/>
          <w:szCs w:val="24"/>
        </w:rPr>
        <w:footnoteReference w:id="2"/>
      </w:r>
      <w:r>
        <w:rPr>
          <w:rFonts w:ascii="Arial" w:hAnsi="Arial" w:cs="Arial"/>
          <w:sz w:val="24"/>
          <w:szCs w:val="24"/>
        </w:rPr>
        <w:t>)</w:t>
      </w:r>
      <w:r w:rsidR="00FE3E64">
        <w:rPr>
          <w:rFonts w:ascii="Arial" w:hAnsi="Arial" w:cs="Arial"/>
          <w:sz w:val="24"/>
          <w:szCs w:val="24"/>
        </w:rPr>
        <w:t>.</w:t>
      </w:r>
      <w:r>
        <w:rPr>
          <w:rFonts w:ascii="Arial" w:hAnsi="Arial" w:cs="Arial"/>
          <w:sz w:val="24"/>
          <w:szCs w:val="24"/>
        </w:rPr>
        <w:t xml:space="preserve"> </w:t>
      </w:r>
      <w:r w:rsidR="00FE3E64">
        <w:rPr>
          <w:rFonts w:ascii="Arial" w:hAnsi="Arial" w:cs="Arial"/>
          <w:sz w:val="24"/>
          <w:szCs w:val="24"/>
        </w:rPr>
        <w:t>C</w:t>
      </w:r>
      <w:r>
        <w:rPr>
          <w:rFonts w:ascii="Arial" w:hAnsi="Arial" w:cs="Arial"/>
          <w:sz w:val="24"/>
          <w:szCs w:val="24"/>
        </w:rPr>
        <w:t xml:space="preserve">ounsel for the appellant without notice or warning to the respondents’ legal practitioners </w:t>
      </w:r>
      <w:r w:rsidR="001A438E">
        <w:rPr>
          <w:rFonts w:ascii="Arial" w:hAnsi="Arial" w:cs="Arial"/>
          <w:sz w:val="24"/>
          <w:szCs w:val="24"/>
        </w:rPr>
        <w:t xml:space="preserve">and counsel appearing </w:t>
      </w:r>
      <w:r>
        <w:rPr>
          <w:rFonts w:ascii="Arial" w:hAnsi="Arial" w:cs="Arial"/>
          <w:sz w:val="24"/>
          <w:szCs w:val="24"/>
        </w:rPr>
        <w:t xml:space="preserve">raised the issue of the failure on the part of the respondents to tender security for costs in terms of rule 14(2), notwithstanding the fact that the legal </w:t>
      </w:r>
      <w:r w:rsidR="00FE3E64">
        <w:rPr>
          <w:rFonts w:ascii="Arial" w:hAnsi="Arial" w:cs="Arial"/>
          <w:sz w:val="24"/>
          <w:szCs w:val="24"/>
        </w:rPr>
        <w:t>practitioners</w:t>
      </w:r>
      <w:r>
        <w:rPr>
          <w:rFonts w:ascii="Arial" w:hAnsi="Arial" w:cs="Arial"/>
          <w:sz w:val="24"/>
          <w:szCs w:val="24"/>
        </w:rPr>
        <w:t xml:space="preserve"> </w:t>
      </w:r>
      <w:r w:rsidR="001A438E">
        <w:rPr>
          <w:rFonts w:ascii="Arial" w:hAnsi="Arial" w:cs="Arial"/>
          <w:sz w:val="24"/>
          <w:szCs w:val="24"/>
        </w:rPr>
        <w:t>for</w:t>
      </w:r>
      <w:r>
        <w:rPr>
          <w:rFonts w:ascii="Arial" w:hAnsi="Arial" w:cs="Arial"/>
          <w:sz w:val="24"/>
          <w:szCs w:val="24"/>
        </w:rPr>
        <w:t xml:space="preserve"> the respondents were </w:t>
      </w:r>
      <w:r w:rsidR="001B53AF">
        <w:rPr>
          <w:rFonts w:ascii="Arial" w:hAnsi="Arial" w:cs="Arial"/>
          <w:sz w:val="24"/>
          <w:szCs w:val="24"/>
        </w:rPr>
        <w:t>reminded by way of a letter(s) to tender s</w:t>
      </w:r>
      <w:r w:rsidR="00FE3E64">
        <w:rPr>
          <w:rFonts w:ascii="Arial" w:hAnsi="Arial" w:cs="Arial"/>
          <w:sz w:val="24"/>
          <w:szCs w:val="24"/>
        </w:rPr>
        <w:t>uch s</w:t>
      </w:r>
      <w:r w:rsidR="004B5852">
        <w:rPr>
          <w:rFonts w:ascii="Arial" w:hAnsi="Arial" w:cs="Arial"/>
          <w:sz w:val="24"/>
          <w:szCs w:val="24"/>
        </w:rPr>
        <w:t>ecurity</w:t>
      </w:r>
      <w:r w:rsidR="00FE3E64">
        <w:rPr>
          <w:rFonts w:ascii="Arial" w:hAnsi="Arial" w:cs="Arial"/>
          <w:sz w:val="24"/>
          <w:szCs w:val="24"/>
        </w:rPr>
        <w:t xml:space="preserve"> by appellant’s legal practitioners</w:t>
      </w:r>
      <w:r w:rsidR="004C7FAC">
        <w:rPr>
          <w:rFonts w:ascii="Arial" w:hAnsi="Arial" w:cs="Arial"/>
          <w:sz w:val="24"/>
          <w:szCs w:val="24"/>
        </w:rPr>
        <w:t xml:space="preserve">. The failure to comply with rule 14(2) had the consequence that the cross-appeal </w:t>
      </w:r>
      <w:r w:rsidR="00FE3E64">
        <w:rPr>
          <w:rFonts w:ascii="Arial" w:hAnsi="Arial" w:cs="Arial"/>
          <w:sz w:val="24"/>
          <w:szCs w:val="24"/>
        </w:rPr>
        <w:t xml:space="preserve">was </w:t>
      </w:r>
      <w:r w:rsidR="004C7FAC">
        <w:rPr>
          <w:rFonts w:ascii="Arial" w:hAnsi="Arial" w:cs="Arial"/>
          <w:sz w:val="24"/>
          <w:szCs w:val="24"/>
        </w:rPr>
        <w:t xml:space="preserve">deemed withdrawn or had lapsed. The court felt that counsel for </w:t>
      </w:r>
      <w:r w:rsidR="004C7FAC">
        <w:rPr>
          <w:rFonts w:ascii="Arial" w:hAnsi="Arial" w:cs="Arial"/>
          <w:sz w:val="24"/>
          <w:szCs w:val="24"/>
        </w:rPr>
        <w:lastRenderedPageBreak/>
        <w:t xml:space="preserve">the appellant should have warned his colleague for the respondents that he was going to raise the point. </w:t>
      </w:r>
      <w:r w:rsidR="00B818B6">
        <w:rPr>
          <w:rFonts w:ascii="Arial" w:hAnsi="Arial" w:cs="Arial"/>
          <w:sz w:val="24"/>
          <w:szCs w:val="24"/>
        </w:rPr>
        <w:t>As a result, the court</w:t>
      </w:r>
      <w:r w:rsidR="004C7FAC">
        <w:rPr>
          <w:rFonts w:ascii="Arial" w:hAnsi="Arial" w:cs="Arial"/>
          <w:sz w:val="24"/>
          <w:szCs w:val="24"/>
        </w:rPr>
        <w:t xml:space="preserve"> postponed the case to a date to be arranged with the Registrar of this court and the legal </w:t>
      </w:r>
      <w:r w:rsidR="00FE3E64">
        <w:rPr>
          <w:rFonts w:ascii="Arial" w:hAnsi="Arial" w:cs="Arial"/>
          <w:sz w:val="24"/>
          <w:szCs w:val="24"/>
        </w:rPr>
        <w:t>practitioner</w:t>
      </w:r>
      <w:r w:rsidR="004C7FAC">
        <w:rPr>
          <w:rFonts w:ascii="Arial" w:hAnsi="Arial" w:cs="Arial"/>
          <w:sz w:val="24"/>
          <w:szCs w:val="24"/>
        </w:rPr>
        <w:t xml:space="preserve"> </w:t>
      </w:r>
      <w:r w:rsidR="001A438E">
        <w:rPr>
          <w:rFonts w:ascii="Arial" w:hAnsi="Arial" w:cs="Arial"/>
          <w:sz w:val="24"/>
          <w:szCs w:val="24"/>
        </w:rPr>
        <w:t>for</w:t>
      </w:r>
      <w:r w:rsidR="004C7FAC">
        <w:rPr>
          <w:rFonts w:ascii="Arial" w:hAnsi="Arial" w:cs="Arial"/>
          <w:sz w:val="24"/>
          <w:szCs w:val="24"/>
        </w:rPr>
        <w:t xml:space="preserve"> the respondents was put on notice </w:t>
      </w:r>
      <w:r w:rsidR="004B5852">
        <w:rPr>
          <w:rFonts w:ascii="Arial" w:hAnsi="Arial" w:cs="Arial"/>
          <w:sz w:val="24"/>
          <w:szCs w:val="24"/>
        </w:rPr>
        <w:t xml:space="preserve">by the court </w:t>
      </w:r>
      <w:r w:rsidR="004C7FAC">
        <w:rPr>
          <w:rFonts w:ascii="Arial" w:hAnsi="Arial" w:cs="Arial"/>
          <w:sz w:val="24"/>
          <w:szCs w:val="24"/>
        </w:rPr>
        <w:t>to file a</w:t>
      </w:r>
      <w:r w:rsidR="001C28EE">
        <w:rPr>
          <w:rFonts w:ascii="Arial" w:hAnsi="Arial" w:cs="Arial"/>
          <w:sz w:val="24"/>
          <w:szCs w:val="24"/>
        </w:rPr>
        <w:t>n</w:t>
      </w:r>
      <w:r w:rsidR="004C7FAC">
        <w:rPr>
          <w:rFonts w:ascii="Arial" w:hAnsi="Arial" w:cs="Arial"/>
          <w:sz w:val="24"/>
          <w:szCs w:val="24"/>
        </w:rPr>
        <w:t xml:space="preserve"> application </w:t>
      </w:r>
      <w:r w:rsidR="001C28EE">
        <w:rPr>
          <w:rFonts w:ascii="Arial" w:hAnsi="Arial" w:cs="Arial"/>
          <w:sz w:val="24"/>
          <w:szCs w:val="24"/>
        </w:rPr>
        <w:t>for reinstatement of the cross appeal based on this court condoning the late filing of the security</w:t>
      </w:r>
      <w:r w:rsidR="004C7FAC">
        <w:rPr>
          <w:rFonts w:ascii="Arial" w:hAnsi="Arial" w:cs="Arial"/>
          <w:sz w:val="24"/>
          <w:szCs w:val="24"/>
        </w:rPr>
        <w:t xml:space="preserve">. </w:t>
      </w:r>
      <w:r w:rsidR="001A438E">
        <w:rPr>
          <w:rFonts w:ascii="Arial" w:hAnsi="Arial" w:cs="Arial"/>
          <w:sz w:val="24"/>
          <w:szCs w:val="24"/>
        </w:rPr>
        <w:t>Subsequently</w:t>
      </w:r>
      <w:r w:rsidR="00B818B6">
        <w:rPr>
          <w:rFonts w:ascii="Arial" w:hAnsi="Arial" w:cs="Arial"/>
          <w:sz w:val="24"/>
          <w:szCs w:val="24"/>
        </w:rPr>
        <w:t>,</w:t>
      </w:r>
      <w:r w:rsidR="001A438E">
        <w:rPr>
          <w:rFonts w:ascii="Arial" w:hAnsi="Arial" w:cs="Arial"/>
          <w:sz w:val="24"/>
          <w:szCs w:val="24"/>
        </w:rPr>
        <w:t xml:space="preserve"> t</w:t>
      </w:r>
      <w:r w:rsidR="004C7FAC">
        <w:rPr>
          <w:rFonts w:ascii="Arial" w:hAnsi="Arial" w:cs="Arial"/>
          <w:sz w:val="24"/>
          <w:szCs w:val="24"/>
        </w:rPr>
        <w:t xml:space="preserve">he matter was </w:t>
      </w:r>
      <w:r w:rsidR="00B818B6">
        <w:rPr>
          <w:rFonts w:ascii="Arial" w:hAnsi="Arial" w:cs="Arial"/>
          <w:sz w:val="24"/>
          <w:szCs w:val="24"/>
        </w:rPr>
        <w:t>en</w:t>
      </w:r>
      <w:r w:rsidR="004C7FAC">
        <w:rPr>
          <w:rFonts w:ascii="Arial" w:hAnsi="Arial" w:cs="Arial"/>
          <w:sz w:val="24"/>
          <w:szCs w:val="24"/>
        </w:rPr>
        <w:t>rolled still within the term</w:t>
      </w:r>
      <w:r w:rsidR="00B818B6">
        <w:rPr>
          <w:rFonts w:ascii="Arial" w:hAnsi="Arial" w:cs="Arial"/>
          <w:sz w:val="24"/>
          <w:szCs w:val="24"/>
        </w:rPr>
        <w:t>,</w:t>
      </w:r>
      <w:r w:rsidR="004C7FAC">
        <w:rPr>
          <w:rFonts w:ascii="Arial" w:hAnsi="Arial" w:cs="Arial"/>
          <w:sz w:val="24"/>
          <w:szCs w:val="24"/>
        </w:rPr>
        <w:t xml:space="preserve"> but on the last day of the term (13 Ju</w:t>
      </w:r>
      <w:r w:rsidR="00B818B6">
        <w:rPr>
          <w:rFonts w:ascii="Arial" w:hAnsi="Arial" w:cs="Arial"/>
          <w:sz w:val="24"/>
          <w:szCs w:val="24"/>
        </w:rPr>
        <w:t>ly</w:t>
      </w:r>
      <w:r w:rsidR="004C7FAC">
        <w:rPr>
          <w:rFonts w:ascii="Arial" w:hAnsi="Arial" w:cs="Arial"/>
          <w:sz w:val="24"/>
          <w:szCs w:val="24"/>
        </w:rPr>
        <w:t xml:space="preserve">) and a letter from the Deputy Registrar dated 15 June addressed to both parties or their legal </w:t>
      </w:r>
      <w:r w:rsidR="00FE3E64">
        <w:rPr>
          <w:rFonts w:ascii="Arial" w:hAnsi="Arial" w:cs="Arial"/>
          <w:sz w:val="24"/>
          <w:szCs w:val="24"/>
        </w:rPr>
        <w:t>practitioners</w:t>
      </w:r>
      <w:r w:rsidR="004C7FAC">
        <w:rPr>
          <w:rFonts w:ascii="Arial" w:hAnsi="Arial" w:cs="Arial"/>
          <w:sz w:val="24"/>
          <w:szCs w:val="24"/>
        </w:rPr>
        <w:t xml:space="preserve"> confirmed the enrollment of the matter.</w:t>
      </w:r>
    </w:p>
    <w:p w14:paraId="273BF101" w14:textId="77777777" w:rsidR="004C7FAC" w:rsidRDefault="004C7FAC" w:rsidP="004C7FAC">
      <w:pPr>
        <w:pStyle w:val="ListParagraph"/>
        <w:tabs>
          <w:tab w:val="left" w:pos="851"/>
        </w:tabs>
        <w:spacing w:after="0" w:line="480" w:lineRule="auto"/>
        <w:ind w:left="0"/>
        <w:jc w:val="both"/>
        <w:rPr>
          <w:rFonts w:ascii="Arial" w:hAnsi="Arial" w:cs="Arial"/>
          <w:sz w:val="24"/>
          <w:szCs w:val="24"/>
        </w:rPr>
      </w:pPr>
    </w:p>
    <w:p w14:paraId="0A5C0987" w14:textId="01E39236" w:rsidR="004C7FAC" w:rsidRDefault="004C7FA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On 28 June the head</w:t>
      </w:r>
      <w:r w:rsidR="00FE3E64">
        <w:rPr>
          <w:rFonts w:ascii="Arial" w:hAnsi="Arial" w:cs="Arial"/>
          <w:sz w:val="24"/>
          <w:szCs w:val="24"/>
        </w:rPr>
        <w:t>s</w:t>
      </w:r>
      <w:r>
        <w:rPr>
          <w:rFonts w:ascii="Arial" w:hAnsi="Arial" w:cs="Arial"/>
          <w:sz w:val="24"/>
          <w:szCs w:val="24"/>
        </w:rPr>
        <w:t xml:space="preserve"> of argument for both parties were received by the Registrar of this court. In paras 12 – 18</w:t>
      </w:r>
      <w:r w:rsidR="00B818B6">
        <w:rPr>
          <w:rFonts w:ascii="Arial" w:hAnsi="Arial" w:cs="Arial"/>
          <w:sz w:val="24"/>
          <w:szCs w:val="24"/>
        </w:rPr>
        <w:t>,</w:t>
      </w:r>
      <w:r>
        <w:rPr>
          <w:rFonts w:ascii="Arial" w:hAnsi="Arial" w:cs="Arial"/>
          <w:sz w:val="24"/>
          <w:szCs w:val="24"/>
        </w:rPr>
        <w:t xml:space="preserve"> counsel for the appellant raised </w:t>
      </w:r>
      <w:r w:rsidRPr="004C7FAC">
        <w:rPr>
          <w:rFonts w:ascii="Arial" w:hAnsi="Arial" w:cs="Arial"/>
          <w:i/>
          <w:sz w:val="24"/>
          <w:szCs w:val="24"/>
        </w:rPr>
        <w:t xml:space="preserve">in </w:t>
      </w:r>
      <w:proofErr w:type="spellStart"/>
      <w:r w:rsidRPr="004C7FAC">
        <w:rPr>
          <w:rFonts w:ascii="Arial" w:hAnsi="Arial" w:cs="Arial"/>
          <w:i/>
          <w:sz w:val="24"/>
          <w:szCs w:val="24"/>
        </w:rPr>
        <w:t>limine</w:t>
      </w:r>
      <w:proofErr w:type="spellEnd"/>
      <w:r>
        <w:rPr>
          <w:rFonts w:ascii="Arial" w:hAnsi="Arial" w:cs="Arial"/>
          <w:sz w:val="24"/>
          <w:szCs w:val="24"/>
        </w:rPr>
        <w:t xml:space="preserve"> the issue of the failure by the respondents to file an application for condonation reinstating the cross-appeal as directed by the court on 1 June. On 2 July a document showing that a bond of security was tendered on 1 June by respondents’ legal </w:t>
      </w:r>
      <w:r w:rsidR="001A438E">
        <w:rPr>
          <w:rFonts w:ascii="Arial" w:hAnsi="Arial" w:cs="Arial"/>
          <w:sz w:val="24"/>
          <w:szCs w:val="24"/>
        </w:rPr>
        <w:t>practitioner</w:t>
      </w:r>
      <w:r w:rsidR="008D3F48">
        <w:rPr>
          <w:rFonts w:ascii="Arial" w:hAnsi="Arial" w:cs="Arial"/>
          <w:sz w:val="24"/>
          <w:szCs w:val="24"/>
        </w:rPr>
        <w:t xml:space="preserve"> was received by the Registrar of this court. The application for condonation was only received on 6 July. The only reason for the </w:t>
      </w:r>
      <w:r w:rsidR="00B818B6">
        <w:rPr>
          <w:rFonts w:ascii="Arial" w:hAnsi="Arial" w:cs="Arial"/>
          <w:sz w:val="24"/>
          <w:szCs w:val="24"/>
        </w:rPr>
        <w:t xml:space="preserve">respondents’ </w:t>
      </w:r>
      <w:r w:rsidR="008D3F48">
        <w:rPr>
          <w:rFonts w:ascii="Arial" w:hAnsi="Arial" w:cs="Arial"/>
          <w:sz w:val="24"/>
          <w:szCs w:val="24"/>
        </w:rPr>
        <w:t xml:space="preserve">initial non-compliance with rule 14(2) </w:t>
      </w:r>
      <w:r w:rsidR="00B818B6">
        <w:rPr>
          <w:rFonts w:ascii="Arial" w:hAnsi="Arial" w:cs="Arial"/>
          <w:sz w:val="24"/>
          <w:szCs w:val="24"/>
        </w:rPr>
        <w:t>was that there was</w:t>
      </w:r>
      <w:r w:rsidR="00FE3E64">
        <w:rPr>
          <w:rFonts w:ascii="Arial" w:hAnsi="Arial" w:cs="Arial"/>
          <w:sz w:val="24"/>
          <w:szCs w:val="24"/>
        </w:rPr>
        <w:t xml:space="preserve"> an </w:t>
      </w:r>
      <w:r w:rsidR="008D3F48">
        <w:rPr>
          <w:rFonts w:ascii="Arial" w:hAnsi="Arial" w:cs="Arial"/>
          <w:sz w:val="24"/>
          <w:szCs w:val="24"/>
        </w:rPr>
        <w:t xml:space="preserve">oversight to file security for costs despite the legal </w:t>
      </w:r>
      <w:r w:rsidR="00FE3E64">
        <w:rPr>
          <w:rFonts w:ascii="Arial" w:hAnsi="Arial" w:cs="Arial"/>
          <w:sz w:val="24"/>
          <w:szCs w:val="24"/>
        </w:rPr>
        <w:t>practitioner</w:t>
      </w:r>
      <w:r w:rsidR="008D3F48">
        <w:rPr>
          <w:rFonts w:ascii="Arial" w:hAnsi="Arial" w:cs="Arial"/>
          <w:sz w:val="24"/>
          <w:szCs w:val="24"/>
        </w:rPr>
        <w:t xml:space="preserve"> acknowledging that he was noti</w:t>
      </w:r>
      <w:r w:rsidR="001A438E">
        <w:rPr>
          <w:rFonts w:ascii="Arial" w:hAnsi="Arial" w:cs="Arial"/>
          <w:sz w:val="24"/>
          <w:szCs w:val="24"/>
        </w:rPr>
        <w:t>fied</w:t>
      </w:r>
      <w:r w:rsidR="008D3F48">
        <w:rPr>
          <w:rFonts w:ascii="Arial" w:hAnsi="Arial" w:cs="Arial"/>
          <w:sz w:val="24"/>
          <w:szCs w:val="24"/>
        </w:rPr>
        <w:t xml:space="preserve"> by the appellant’s legal </w:t>
      </w:r>
      <w:r w:rsidR="00FE3E64">
        <w:rPr>
          <w:rFonts w:ascii="Arial" w:hAnsi="Arial" w:cs="Arial"/>
          <w:sz w:val="24"/>
          <w:szCs w:val="24"/>
        </w:rPr>
        <w:t>practition</w:t>
      </w:r>
      <w:r w:rsidR="008D3F48">
        <w:rPr>
          <w:rFonts w:ascii="Arial" w:hAnsi="Arial" w:cs="Arial"/>
          <w:sz w:val="24"/>
          <w:szCs w:val="24"/>
        </w:rPr>
        <w:t>e</w:t>
      </w:r>
      <w:r w:rsidR="00FE3E64">
        <w:rPr>
          <w:rFonts w:ascii="Arial" w:hAnsi="Arial" w:cs="Arial"/>
          <w:sz w:val="24"/>
          <w:szCs w:val="24"/>
        </w:rPr>
        <w:t>r</w:t>
      </w:r>
      <w:r w:rsidR="00712CFE">
        <w:rPr>
          <w:rFonts w:ascii="Arial" w:hAnsi="Arial" w:cs="Arial"/>
          <w:sz w:val="24"/>
          <w:szCs w:val="24"/>
        </w:rPr>
        <w:t>s</w:t>
      </w:r>
      <w:r w:rsidR="008D3F48">
        <w:rPr>
          <w:rFonts w:ascii="Arial" w:hAnsi="Arial" w:cs="Arial"/>
          <w:sz w:val="24"/>
          <w:szCs w:val="24"/>
        </w:rPr>
        <w:t xml:space="preserve"> on 5 February 2018 to tender security for costs. There is no indication why the application was not filed immediately after the matter was postponed on 1 June. In fact the heads of argument for the respondents are silent on the application for condonation, but counsel for the respondents from the bar argued that counsel for the appellant had undertaken not to </w:t>
      </w:r>
      <w:r w:rsidR="00A0584B">
        <w:rPr>
          <w:rFonts w:ascii="Arial" w:hAnsi="Arial" w:cs="Arial"/>
          <w:sz w:val="24"/>
          <w:szCs w:val="24"/>
        </w:rPr>
        <w:t xml:space="preserve">oppose the application for condonation. Indeed </w:t>
      </w:r>
      <w:proofErr w:type="spellStart"/>
      <w:r w:rsidR="00A0584B">
        <w:rPr>
          <w:rFonts w:ascii="Arial" w:hAnsi="Arial" w:cs="Arial"/>
          <w:sz w:val="24"/>
          <w:szCs w:val="24"/>
        </w:rPr>
        <w:t>Mr</w:t>
      </w:r>
      <w:proofErr w:type="spellEnd"/>
      <w:r w:rsidR="00A0584B">
        <w:rPr>
          <w:rFonts w:ascii="Arial" w:hAnsi="Arial" w:cs="Arial"/>
          <w:sz w:val="24"/>
          <w:szCs w:val="24"/>
        </w:rPr>
        <w:t xml:space="preserve"> </w:t>
      </w:r>
      <w:proofErr w:type="spellStart"/>
      <w:r w:rsidR="00A0584B">
        <w:rPr>
          <w:rFonts w:ascii="Arial" w:hAnsi="Arial" w:cs="Arial"/>
          <w:sz w:val="24"/>
          <w:szCs w:val="24"/>
        </w:rPr>
        <w:t>Strydom</w:t>
      </w:r>
      <w:proofErr w:type="spellEnd"/>
      <w:r w:rsidR="00B818B6">
        <w:rPr>
          <w:rFonts w:ascii="Arial" w:hAnsi="Arial" w:cs="Arial"/>
          <w:sz w:val="24"/>
          <w:szCs w:val="24"/>
        </w:rPr>
        <w:t>,</w:t>
      </w:r>
      <w:r w:rsidR="00A0584B">
        <w:rPr>
          <w:rFonts w:ascii="Arial" w:hAnsi="Arial" w:cs="Arial"/>
          <w:sz w:val="24"/>
          <w:szCs w:val="24"/>
        </w:rPr>
        <w:t xml:space="preserve"> for the appellant</w:t>
      </w:r>
      <w:r w:rsidR="00B818B6">
        <w:rPr>
          <w:rFonts w:ascii="Arial" w:hAnsi="Arial" w:cs="Arial"/>
          <w:sz w:val="24"/>
          <w:szCs w:val="24"/>
        </w:rPr>
        <w:t>,</w:t>
      </w:r>
      <w:r w:rsidR="00A0584B">
        <w:rPr>
          <w:rFonts w:ascii="Arial" w:hAnsi="Arial" w:cs="Arial"/>
          <w:sz w:val="24"/>
          <w:szCs w:val="24"/>
        </w:rPr>
        <w:t xml:space="preserve"> despite having raised the issue in his head</w:t>
      </w:r>
      <w:r w:rsidR="00712CFE">
        <w:rPr>
          <w:rFonts w:ascii="Arial" w:hAnsi="Arial" w:cs="Arial"/>
          <w:sz w:val="24"/>
          <w:szCs w:val="24"/>
        </w:rPr>
        <w:t>s of argument</w:t>
      </w:r>
      <w:r w:rsidR="00A0584B">
        <w:rPr>
          <w:rFonts w:ascii="Arial" w:hAnsi="Arial" w:cs="Arial"/>
          <w:sz w:val="24"/>
          <w:szCs w:val="24"/>
        </w:rPr>
        <w:t xml:space="preserve"> did not seem to oppose </w:t>
      </w:r>
      <w:r w:rsidR="00A0584B">
        <w:rPr>
          <w:rFonts w:ascii="Arial" w:hAnsi="Arial" w:cs="Arial"/>
          <w:sz w:val="24"/>
          <w:szCs w:val="24"/>
        </w:rPr>
        <w:lastRenderedPageBreak/>
        <w:t xml:space="preserve">the </w:t>
      </w:r>
      <w:proofErr w:type="gramStart"/>
      <w:r w:rsidR="00A0584B">
        <w:rPr>
          <w:rFonts w:ascii="Arial" w:hAnsi="Arial" w:cs="Arial"/>
          <w:sz w:val="24"/>
          <w:szCs w:val="24"/>
        </w:rPr>
        <w:t>application,</w:t>
      </w:r>
      <w:proofErr w:type="gramEnd"/>
      <w:r w:rsidR="00A0584B">
        <w:rPr>
          <w:rFonts w:ascii="Arial" w:hAnsi="Arial" w:cs="Arial"/>
          <w:sz w:val="24"/>
          <w:szCs w:val="24"/>
        </w:rPr>
        <w:t xml:space="preserve"> neither was there an </w:t>
      </w:r>
      <w:r w:rsidR="00197184">
        <w:rPr>
          <w:rFonts w:ascii="Arial" w:hAnsi="Arial" w:cs="Arial"/>
          <w:sz w:val="24"/>
          <w:szCs w:val="24"/>
        </w:rPr>
        <w:t>affidavit</w:t>
      </w:r>
      <w:r w:rsidR="00A0584B">
        <w:rPr>
          <w:rFonts w:ascii="Arial" w:hAnsi="Arial" w:cs="Arial"/>
          <w:sz w:val="24"/>
          <w:szCs w:val="24"/>
        </w:rPr>
        <w:t xml:space="preserve"> opposing the application for condonation. </w:t>
      </w:r>
      <w:proofErr w:type="spellStart"/>
      <w:r w:rsidR="00A0584B">
        <w:rPr>
          <w:rFonts w:ascii="Arial" w:hAnsi="Arial" w:cs="Arial"/>
          <w:sz w:val="24"/>
          <w:szCs w:val="24"/>
        </w:rPr>
        <w:t>Mr</w:t>
      </w:r>
      <w:proofErr w:type="spellEnd"/>
      <w:r w:rsidR="00A0584B">
        <w:rPr>
          <w:rFonts w:ascii="Arial" w:hAnsi="Arial" w:cs="Arial"/>
          <w:sz w:val="24"/>
          <w:szCs w:val="24"/>
        </w:rPr>
        <w:t xml:space="preserve"> Mouton</w:t>
      </w:r>
      <w:r w:rsidR="00B818B6">
        <w:rPr>
          <w:rFonts w:ascii="Arial" w:hAnsi="Arial" w:cs="Arial"/>
          <w:sz w:val="24"/>
          <w:szCs w:val="24"/>
        </w:rPr>
        <w:t>,</w:t>
      </w:r>
      <w:r w:rsidR="00A0584B">
        <w:rPr>
          <w:rFonts w:ascii="Arial" w:hAnsi="Arial" w:cs="Arial"/>
          <w:sz w:val="24"/>
          <w:szCs w:val="24"/>
        </w:rPr>
        <w:t xml:space="preserve"> for the respondents</w:t>
      </w:r>
      <w:r w:rsidR="00B818B6">
        <w:rPr>
          <w:rFonts w:ascii="Arial" w:hAnsi="Arial" w:cs="Arial"/>
          <w:sz w:val="24"/>
          <w:szCs w:val="24"/>
        </w:rPr>
        <w:t>,</w:t>
      </w:r>
      <w:r w:rsidR="00A0584B">
        <w:rPr>
          <w:rFonts w:ascii="Arial" w:hAnsi="Arial" w:cs="Arial"/>
          <w:sz w:val="24"/>
          <w:szCs w:val="24"/>
        </w:rPr>
        <w:t xml:space="preserve"> further argued that a bond of security was tendered on 1 June</w:t>
      </w:r>
      <w:r w:rsidR="00B818B6">
        <w:rPr>
          <w:rFonts w:ascii="Arial" w:hAnsi="Arial" w:cs="Arial"/>
          <w:sz w:val="24"/>
          <w:szCs w:val="24"/>
        </w:rPr>
        <w:t>,</w:t>
      </w:r>
      <w:r w:rsidR="00A0584B">
        <w:rPr>
          <w:rFonts w:ascii="Arial" w:hAnsi="Arial" w:cs="Arial"/>
          <w:sz w:val="24"/>
          <w:szCs w:val="24"/>
        </w:rPr>
        <w:t xml:space="preserve"> the day the case was postponed, that </w:t>
      </w:r>
      <w:r w:rsidR="00B818B6">
        <w:rPr>
          <w:rFonts w:ascii="Arial" w:hAnsi="Arial" w:cs="Arial"/>
          <w:sz w:val="24"/>
          <w:szCs w:val="24"/>
        </w:rPr>
        <w:t>his instructing</w:t>
      </w:r>
      <w:r w:rsidR="00A0584B">
        <w:rPr>
          <w:rFonts w:ascii="Arial" w:hAnsi="Arial" w:cs="Arial"/>
          <w:sz w:val="24"/>
          <w:szCs w:val="24"/>
        </w:rPr>
        <w:t xml:space="preserve"> </w:t>
      </w:r>
      <w:r w:rsidR="001A438E">
        <w:rPr>
          <w:rFonts w:ascii="Arial" w:hAnsi="Arial" w:cs="Arial"/>
          <w:sz w:val="24"/>
          <w:szCs w:val="24"/>
        </w:rPr>
        <w:t>legal practitioner</w:t>
      </w:r>
      <w:r w:rsidR="00A0584B">
        <w:rPr>
          <w:rFonts w:ascii="Arial" w:hAnsi="Arial" w:cs="Arial"/>
          <w:sz w:val="24"/>
          <w:szCs w:val="24"/>
        </w:rPr>
        <w:t xml:space="preserve"> had undertaken a journey after the postponement and that there was no date fixed for the hearing of the case </w:t>
      </w:r>
      <w:r w:rsidR="00652CAB">
        <w:rPr>
          <w:rFonts w:ascii="Arial" w:hAnsi="Arial" w:cs="Arial"/>
          <w:sz w:val="24"/>
          <w:szCs w:val="24"/>
        </w:rPr>
        <w:t>until</w:t>
      </w:r>
      <w:r w:rsidR="00A0584B">
        <w:rPr>
          <w:rFonts w:ascii="Arial" w:hAnsi="Arial" w:cs="Arial"/>
          <w:sz w:val="24"/>
          <w:szCs w:val="24"/>
        </w:rPr>
        <w:t xml:space="preserve"> the parties were informed of the date on 15 June 2018 by the Registrar. In any case</w:t>
      </w:r>
      <w:r w:rsidR="00B818B6">
        <w:rPr>
          <w:rFonts w:ascii="Arial" w:hAnsi="Arial" w:cs="Arial"/>
          <w:sz w:val="24"/>
          <w:szCs w:val="24"/>
        </w:rPr>
        <w:t>,</w:t>
      </w:r>
      <w:r w:rsidR="00A0584B">
        <w:rPr>
          <w:rFonts w:ascii="Arial" w:hAnsi="Arial" w:cs="Arial"/>
          <w:sz w:val="24"/>
          <w:szCs w:val="24"/>
        </w:rPr>
        <w:t xml:space="preserve"> given the circumstances I have sketched above</w:t>
      </w:r>
      <w:r w:rsidR="00B818B6">
        <w:rPr>
          <w:rFonts w:ascii="Arial" w:hAnsi="Arial" w:cs="Arial"/>
          <w:sz w:val="24"/>
          <w:szCs w:val="24"/>
        </w:rPr>
        <w:t>,</w:t>
      </w:r>
      <w:r w:rsidR="00A0584B">
        <w:rPr>
          <w:rFonts w:ascii="Arial" w:hAnsi="Arial" w:cs="Arial"/>
          <w:sz w:val="24"/>
          <w:szCs w:val="24"/>
        </w:rPr>
        <w:t xml:space="preserve"> the instructing attorney did not have to wait for a date of hearing to file the application. An application for condonation is required to be made as soon as the party concerned realizes that the rules have not been complied with</w:t>
      </w:r>
      <w:r w:rsidR="00712CFE">
        <w:rPr>
          <w:rFonts w:ascii="Arial" w:hAnsi="Arial" w:cs="Arial"/>
          <w:sz w:val="24"/>
          <w:szCs w:val="24"/>
        </w:rPr>
        <w:t>.</w:t>
      </w:r>
      <w:r w:rsidR="00052144">
        <w:rPr>
          <w:rStyle w:val="FootnoteReference"/>
          <w:rFonts w:ascii="Arial" w:hAnsi="Arial" w:cs="Arial"/>
          <w:sz w:val="24"/>
          <w:szCs w:val="24"/>
        </w:rPr>
        <w:footnoteReference w:id="3"/>
      </w:r>
      <w:r w:rsidR="00A0584B">
        <w:rPr>
          <w:rFonts w:ascii="Arial" w:hAnsi="Arial" w:cs="Arial"/>
          <w:sz w:val="24"/>
          <w:szCs w:val="24"/>
        </w:rPr>
        <w:t xml:space="preserve"> </w:t>
      </w:r>
      <w:r w:rsidR="00712CFE">
        <w:rPr>
          <w:rFonts w:ascii="Arial" w:hAnsi="Arial" w:cs="Arial"/>
          <w:sz w:val="24"/>
          <w:szCs w:val="24"/>
        </w:rPr>
        <w:t xml:space="preserve">The undertaking </w:t>
      </w:r>
      <w:proofErr w:type="spellStart"/>
      <w:r w:rsidR="00712CFE">
        <w:rPr>
          <w:rFonts w:ascii="Arial" w:hAnsi="Arial" w:cs="Arial"/>
          <w:sz w:val="24"/>
          <w:szCs w:val="24"/>
        </w:rPr>
        <w:t>Mr</w:t>
      </w:r>
      <w:proofErr w:type="spellEnd"/>
      <w:r w:rsidR="00712CFE">
        <w:rPr>
          <w:rFonts w:ascii="Arial" w:hAnsi="Arial" w:cs="Arial"/>
          <w:sz w:val="24"/>
          <w:szCs w:val="24"/>
        </w:rPr>
        <w:t xml:space="preserve"> </w:t>
      </w:r>
      <w:proofErr w:type="spellStart"/>
      <w:r w:rsidR="00712CFE">
        <w:rPr>
          <w:rFonts w:ascii="Arial" w:hAnsi="Arial" w:cs="Arial"/>
          <w:sz w:val="24"/>
          <w:szCs w:val="24"/>
        </w:rPr>
        <w:t>Strydom</w:t>
      </w:r>
      <w:proofErr w:type="spellEnd"/>
      <w:r w:rsidR="00712CFE">
        <w:rPr>
          <w:rFonts w:ascii="Arial" w:hAnsi="Arial" w:cs="Arial"/>
          <w:sz w:val="24"/>
          <w:szCs w:val="24"/>
        </w:rPr>
        <w:t xml:space="preserve"> made not to oppose the application for condonation is not binding on us, it is for this court to decide whether a proper explanation has been advance</w:t>
      </w:r>
      <w:r w:rsidR="00B818B6">
        <w:rPr>
          <w:rFonts w:ascii="Arial" w:hAnsi="Arial" w:cs="Arial"/>
          <w:sz w:val="24"/>
          <w:szCs w:val="24"/>
        </w:rPr>
        <w:t>d</w:t>
      </w:r>
      <w:r w:rsidR="00712CFE">
        <w:rPr>
          <w:rFonts w:ascii="Arial" w:hAnsi="Arial" w:cs="Arial"/>
          <w:sz w:val="24"/>
          <w:szCs w:val="24"/>
        </w:rPr>
        <w:t>.</w:t>
      </w:r>
      <w:r w:rsidR="00712CFE">
        <w:rPr>
          <w:rStyle w:val="FootnoteReference"/>
          <w:rFonts w:ascii="Arial" w:hAnsi="Arial" w:cs="Arial"/>
          <w:sz w:val="24"/>
          <w:szCs w:val="24"/>
        </w:rPr>
        <w:footnoteReference w:id="4"/>
      </w:r>
      <w:r w:rsidR="00A0584B">
        <w:rPr>
          <w:rFonts w:ascii="Arial" w:hAnsi="Arial" w:cs="Arial"/>
          <w:sz w:val="24"/>
          <w:szCs w:val="24"/>
        </w:rPr>
        <w:t xml:space="preserve">It was more than a year late from the time the cross-appeal was noted. In as far as the initial delay was </w:t>
      </w:r>
      <w:proofErr w:type="gramStart"/>
      <w:r w:rsidR="00A0584B">
        <w:rPr>
          <w:rFonts w:ascii="Arial" w:hAnsi="Arial" w:cs="Arial"/>
          <w:sz w:val="24"/>
          <w:szCs w:val="24"/>
        </w:rPr>
        <w:t>concerned</w:t>
      </w:r>
      <w:r w:rsidR="00092392">
        <w:rPr>
          <w:rFonts w:ascii="Arial" w:hAnsi="Arial" w:cs="Arial"/>
          <w:sz w:val="24"/>
          <w:szCs w:val="24"/>
        </w:rPr>
        <w:t>,</w:t>
      </w:r>
      <w:proofErr w:type="gramEnd"/>
      <w:r w:rsidR="00A0584B">
        <w:rPr>
          <w:rFonts w:ascii="Arial" w:hAnsi="Arial" w:cs="Arial"/>
          <w:sz w:val="24"/>
          <w:szCs w:val="24"/>
        </w:rPr>
        <w:t xml:space="preserve"> it was argued that the instructing attorney forgot to tender security for costs and that forgetting happens to every lawyer or to everyone else and that there was no prejudice to the appellant.</w:t>
      </w:r>
    </w:p>
    <w:p w14:paraId="135B6F0F" w14:textId="77777777" w:rsidR="00A0584B" w:rsidRDefault="00A0584B" w:rsidP="00A0584B">
      <w:pPr>
        <w:pStyle w:val="ListParagraph"/>
        <w:tabs>
          <w:tab w:val="left" w:pos="851"/>
        </w:tabs>
        <w:spacing w:after="0" w:line="480" w:lineRule="auto"/>
        <w:ind w:left="0"/>
        <w:jc w:val="both"/>
        <w:rPr>
          <w:rFonts w:ascii="Arial" w:hAnsi="Arial" w:cs="Arial"/>
          <w:sz w:val="24"/>
          <w:szCs w:val="24"/>
        </w:rPr>
      </w:pPr>
    </w:p>
    <w:p w14:paraId="79A8859E" w14:textId="2C820FA6" w:rsidR="00A0584B" w:rsidRDefault="00A0584B"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w:t>
      </w:r>
      <w:proofErr w:type="spellStart"/>
      <w:r>
        <w:rPr>
          <w:rFonts w:ascii="Arial" w:hAnsi="Arial" w:cs="Arial"/>
          <w:i/>
          <w:sz w:val="24"/>
          <w:szCs w:val="24"/>
        </w:rPr>
        <w:t>Aym</w:t>
      </w:r>
      <w:r w:rsidR="006962D2">
        <w:rPr>
          <w:rFonts w:ascii="Arial" w:hAnsi="Arial" w:cs="Arial"/>
          <w:i/>
          <w:sz w:val="24"/>
          <w:szCs w:val="24"/>
        </w:rPr>
        <w:t>a</w:t>
      </w:r>
      <w:r w:rsidR="00092392">
        <w:rPr>
          <w:rFonts w:ascii="Arial" w:hAnsi="Arial" w:cs="Arial"/>
          <w:i/>
          <w:sz w:val="24"/>
          <w:szCs w:val="24"/>
        </w:rPr>
        <w:t>c</w:t>
      </w:r>
      <w:proofErr w:type="spellEnd"/>
      <w:r w:rsidR="00092392">
        <w:rPr>
          <w:rFonts w:ascii="Arial" w:hAnsi="Arial" w:cs="Arial"/>
          <w:i/>
          <w:sz w:val="24"/>
          <w:szCs w:val="24"/>
        </w:rPr>
        <w:t xml:space="preserve"> CC</w:t>
      </w:r>
      <w:r>
        <w:rPr>
          <w:rFonts w:ascii="Arial" w:hAnsi="Arial" w:cs="Arial"/>
          <w:i/>
          <w:sz w:val="24"/>
          <w:szCs w:val="24"/>
        </w:rPr>
        <w:t xml:space="preserve"> and Another v </w:t>
      </w:r>
      <w:proofErr w:type="spellStart"/>
      <w:r>
        <w:rPr>
          <w:rFonts w:ascii="Arial" w:hAnsi="Arial" w:cs="Arial"/>
          <w:i/>
          <w:sz w:val="24"/>
          <w:szCs w:val="24"/>
        </w:rPr>
        <w:t>Widg</w:t>
      </w:r>
      <w:r w:rsidR="006962D2">
        <w:rPr>
          <w:rFonts w:ascii="Arial" w:hAnsi="Arial" w:cs="Arial"/>
          <w:i/>
          <w:sz w:val="24"/>
          <w:szCs w:val="24"/>
        </w:rPr>
        <w:t>erow</w:t>
      </w:r>
      <w:proofErr w:type="spellEnd"/>
      <w:r w:rsidR="00181011">
        <w:rPr>
          <w:rStyle w:val="FootnoteReference"/>
          <w:rFonts w:ascii="Arial" w:hAnsi="Arial" w:cs="Arial"/>
          <w:i/>
          <w:sz w:val="24"/>
          <w:szCs w:val="24"/>
        </w:rPr>
        <w:footnoteReference w:id="5"/>
      </w:r>
      <w:r w:rsidR="006962D2">
        <w:rPr>
          <w:rFonts w:ascii="Arial" w:hAnsi="Arial" w:cs="Arial"/>
          <w:i/>
          <w:sz w:val="24"/>
          <w:szCs w:val="24"/>
        </w:rPr>
        <w:t xml:space="preserve"> </w:t>
      </w:r>
      <w:r w:rsidR="006962D2">
        <w:rPr>
          <w:rFonts w:ascii="Arial" w:hAnsi="Arial" w:cs="Arial"/>
          <w:sz w:val="24"/>
          <w:szCs w:val="24"/>
        </w:rPr>
        <w:t>the following was said:</w:t>
      </w:r>
    </w:p>
    <w:p w14:paraId="44C4D9C0" w14:textId="77777777" w:rsidR="006962D2" w:rsidRDefault="006962D2" w:rsidP="00712CFE">
      <w:pPr>
        <w:pStyle w:val="ListParagraph"/>
        <w:spacing w:after="0" w:line="480" w:lineRule="auto"/>
        <w:jc w:val="both"/>
        <w:rPr>
          <w:rFonts w:ascii="Arial" w:hAnsi="Arial" w:cs="Arial"/>
          <w:sz w:val="24"/>
          <w:szCs w:val="24"/>
        </w:rPr>
      </w:pPr>
    </w:p>
    <w:p w14:paraId="60A8F512" w14:textId="1ACB24EC" w:rsidR="006962D2" w:rsidRDefault="006962D2" w:rsidP="006962D2">
      <w:pPr>
        <w:pStyle w:val="ListParagraph"/>
        <w:spacing w:line="360" w:lineRule="auto"/>
        <w:jc w:val="both"/>
        <w:rPr>
          <w:rFonts w:ascii="Arial" w:hAnsi="Arial" w:cs="Arial"/>
        </w:rPr>
      </w:pPr>
      <w:r>
        <w:rPr>
          <w:rFonts w:ascii="Arial" w:hAnsi="Arial" w:cs="Arial"/>
        </w:rPr>
        <w:t xml:space="preserve">‘[40] There is a further reason why the court should not grant condonation or reinstatement in the face of gross breaches of the rules. Inactivity by one party affects the interest of the other party in the finality of the matter. See in this regard </w:t>
      </w:r>
      <w:r>
        <w:rPr>
          <w:rFonts w:ascii="Arial" w:hAnsi="Arial" w:cs="Arial"/>
          <w:i/>
        </w:rPr>
        <w:t xml:space="preserve">Federated Employers Fire &amp; General Insurance Co Ltd and Another v </w:t>
      </w:r>
      <w:proofErr w:type="spellStart"/>
      <w:r>
        <w:rPr>
          <w:rFonts w:ascii="Arial" w:hAnsi="Arial" w:cs="Arial"/>
          <w:i/>
        </w:rPr>
        <w:t>Mckenzie</w:t>
      </w:r>
      <w:proofErr w:type="spellEnd"/>
      <w:r>
        <w:rPr>
          <w:rFonts w:ascii="Arial" w:hAnsi="Arial" w:cs="Arial"/>
          <w:i/>
        </w:rPr>
        <w:t xml:space="preserve"> </w:t>
      </w:r>
      <w:r>
        <w:rPr>
          <w:rFonts w:ascii="Arial" w:hAnsi="Arial" w:cs="Arial"/>
        </w:rPr>
        <w:lastRenderedPageBreak/>
        <w:t>1969 (3) SA 360 (A) at 363A in which Holmes JA said the following concerning the late filing of a notice of appeal:</w:t>
      </w:r>
    </w:p>
    <w:p w14:paraId="7E5438FD" w14:textId="77777777" w:rsidR="006962D2" w:rsidRDefault="006962D2" w:rsidP="006962D2">
      <w:pPr>
        <w:pStyle w:val="ListParagraph"/>
        <w:spacing w:line="360" w:lineRule="auto"/>
        <w:jc w:val="both"/>
        <w:rPr>
          <w:rFonts w:ascii="Arial" w:hAnsi="Arial" w:cs="Arial"/>
        </w:rPr>
      </w:pPr>
    </w:p>
    <w:p w14:paraId="001B3827" w14:textId="66DCD03D" w:rsidR="006962D2" w:rsidRPr="00092392" w:rsidRDefault="006962D2" w:rsidP="00092392">
      <w:pPr>
        <w:pStyle w:val="ListParagraph"/>
        <w:spacing w:line="360" w:lineRule="auto"/>
        <w:ind w:left="1440"/>
        <w:jc w:val="both"/>
        <w:rPr>
          <w:rFonts w:ascii="Arial" w:hAnsi="Arial" w:cs="Arial"/>
        </w:rPr>
      </w:pPr>
      <w:r>
        <w:rPr>
          <w:rFonts w:ascii="Arial" w:hAnsi="Arial" w:cs="Arial"/>
        </w:rPr>
        <w:t>“The late filing of a notice of appeal particularly affects the respondent’s interest in the finality of his judgment</w:t>
      </w:r>
      <w:r w:rsidR="00C1766E">
        <w:rPr>
          <w:rFonts w:ascii="Arial" w:hAnsi="Arial" w:cs="Arial"/>
        </w:rPr>
        <w:t xml:space="preserve"> – </w:t>
      </w:r>
      <w:r>
        <w:rPr>
          <w:rFonts w:ascii="Arial" w:hAnsi="Arial" w:cs="Arial"/>
        </w:rPr>
        <w:t>the time for noting an appeal having elapsed,</w:t>
      </w:r>
      <w:r w:rsidR="00092392">
        <w:rPr>
          <w:rFonts w:ascii="Arial" w:hAnsi="Arial" w:cs="Arial"/>
        </w:rPr>
        <w:t xml:space="preserve"> </w:t>
      </w:r>
      <w:r w:rsidRPr="00092392">
        <w:rPr>
          <w:rFonts w:ascii="Arial" w:hAnsi="Arial" w:cs="Arial"/>
        </w:rPr>
        <w:t xml:space="preserve">he is </w:t>
      </w:r>
      <w:r w:rsidR="00C1766E" w:rsidRPr="00092392">
        <w:rPr>
          <w:rFonts w:ascii="Arial" w:hAnsi="Arial" w:cs="Arial"/>
          <w:i/>
        </w:rPr>
        <w:t xml:space="preserve">prima facie </w:t>
      </w:r>
      <w:r w:rsidR="00C1766E" w:rsidRPr="00092392">
        <w:rPr>
          <w:rFonts w:ascii="Arial" w:hAnsi="Arial" w:cs="Arial"/>
        </w:rPr>
        <w:t xml:space="preserve">entitled to adjust his affairs on the footing that his judgment is safe; see </w:t>
      </w:r>
      <w:r w:rsidR="00C1766E" w:rsidRPr="00092392">
        <w:rPr>
          <w:rFonts w:ascii="Arial" w:hAnsi="Arial" w:cs="Arial"/>
          <w:i/>
        </w:rPr>
        <w:t xml:space="preserve">Cairns’ Executors v </w:t>
      </w:r>
      <w:proofErr w:type="spellStart"/>
      <w:r w:rsidR="00C1766E" w:rsidRPr="00092392">
        <w:rPr>
          <w:rFonts w:ascii="Arial" w:hAnsi="Arial" w:cs="Arial"/>
          <w:i/>
        </w:rPr>
        <w:t>Gaarn</w:t>
      </w:r>
      <w:proofErr w:type="spellEnd"/>
      <w:r w:rsidR="00C1766E" w:rsidRPr="00092392">
        <w:rPr>
          <w:rFonts w:ascii="Arial" w:hAnsi="Arial" w:cs="Arial"/>
          <w:i/>
        </w:rPr>
        <w:t xml:space="preserve"> </w:t>
      </w:r>
      <w:r w:rsidR="00C1766E" w:rsidRPr="00092392">
        <w:rPr>
          <w:rFonts w:ascii="Arial" w:hAnsi="Arial" w:cs="Arial"/>
        </w:rPr>
        <w:t>1912 AD 181 at 193, in which SOLOMON JA said:</w:t>
      </w:r>
    </w:p>
    <w:p w14:paraId="6D6F1EDB" w14:textId="77777777" w:rsidR="00C1766E" w:rsidRDefault="00C1766E" w:rsidP="00B13840">
      <w:pPr>
        <w:pStyle w:val="ListParagraph"/>
        <w:spacing w:after="0" w:line="360" w:lineRule="auto"/>
        <w:ind w:left="1440"/>
        <w:jc w:val="both"/>
        <w:rPr>
          <w:rFonts w:ascii="Arial" w:hAnsi="Arial" w:cs="Arial"/>
        </w:rPr>
      </w:pPr>
    </w:p>
    <w:p w14:paraId="5AFF9E5C" w14:textId="0935F999" w:rsidR="00C1766E" w:rsidRPr="00092392" w:rsidRDefault="00092392" w:rsidP="00092392">
      <w:pPr>
        <w:spacing w:line="360" w:lineRule="auto"/>
        <w:ind w:left="1440"/>
        <w:jc w:val="both"/>
        <w:rPr>
          <w:rFonts w:ascii="Arial" w:hAnsi="Arial" w:cs="Arial"/>
        </w:rPr>
      </w:pPr>
      <w:r>
        <w:rPr>
          <w:rFonts w:ascii="Arial" w:hAnsi="Arial" w:cs="Arial"/>
        </w:rPr>
        <w:t>“</w:t>
      </w:r>
      <w:r w:rsidR="00C1766E" w:rsidRPr="00092392">
        <w:rPr>
          <w:rFonts w:ascii="Arial" w:hAnsi="Arial" w:cs="Arial"/>
        </w:rPr>
        <w:t>After all the object of the Rule is to put an end to litigation and to let parties know where they stand.’”’</w:t>
      </w:r>
    </w:p>
    <w:p w14:paraId="04C8EF3A" w14:textId="77777777" w:rsidR="006962D2" w:rsidRPr="006962D2" w:rsidRDefault="006962D2" w:rsidP="00C1766E">
      <w:pPr>
        <w:pStyle w:val="ListParagraph"/>
        <w:spacing w:after="0" w:line="480" w:lineRule="auto"/>
        <w:jc w:val="both"/>
        <w:rPr>
          <w:rFonts w:ascii="Arial" w:hAnsi="Arial" w:cs="Arial"/>
          <w:sz w:val="24"/>
          <w:szCs w:val="24"/>
        </w:rPr>
      </w:pPr>
    </w:p>
    <w:p w14:paraId="586BF1B2" w14:textId="1C1D365C" w:rsidR="006962D2" w:rsidRDefault="00C1766E"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There was a potential that the case would have been postponed to the third term or even next year, extending the </w:t>
      </w:r>
      <w:proofErr w:type="spellStart"/>
      <w:r>
        <w:rPr>
          <w:rFonts w:ascii="Arial" w:hAnsi="Arial" w:cs="Arial"/>
          <w:sz w:val="24"/>
          <w:szCs w:val="24"/>
        </w:rPr>
        <w:t>finalisation</w:t>
      </w:r>
      <w:proofErr w:type="spellEnd"/>
      <w:r>
        <w:rPr>
          <w:rFonts w:ascii="Arial" w:hAnsi="Arial" w:cs="Arial"/>
          <w:sz w:val="24"/>
          <w:szCs w:val="24"/>
        </w:rPr>
        <w:t xml:space="preserve"> of the case and further inconvenienc</w:t>
      </w:r>
      <w:r w:rsidR="00C846B2">
        <w:rPr>
          <w:rFonts w:ascii="Arial" w:hAnsi="Arial" w:cs="Arial"/>
          <w:sz w:val="24"/>
          <w:szCs w:val="24"/>
        </w:rPr>
        <w:t>ing</w:t>
      </w:r>
      <w:r>
        <w:rPr>
          <w:rFonts w:ascii="Arial" w:hAnsi="Arial" w:cs="Arial"/>
          <w:sz w:val="24"/>
          <w:szCs w:val="24"/>
        </w:rPr>
        <w:t xml:space="preserve"> the judges seized with the matter who would have had to relook at the record again. The fact that the other </w:t>
      </w:r>
      <w:r w:rsidR="001A438E">
        <w:rPr>
          <w:rFonts w:ascii="Arial" w:hAnsi="Arial" w:cs="Arial"/>
          <w:sz w:val="24"/>
          <w:szCs w:val="24"/>
        </w:rPr>
        <w:t xml:space="preserve">party was compensated for the postponement </w:t>
      </w:r>
      <w:r>
        <w:rPr>
          <w:rFonts w:ascii="Arial" w:hAnsi="Arial" w:cs="Arial"/>
          <w:sz w:val="24"/>
          <w:szCs w:val="24"/>
        </w:rPr>
        <w:t>makes no difference in applications of this kind. That a date was secured in this term was rather fortuitous.</w:t>
      </w:r>
    </w:p>
    <w:p w14:paraId="59F17854" w14:textId="77777777" w:rsidR="00C1766E" w:rsidRDefault="00C1766E" w:rsidP="00C1766E">
      <w:pPr>
        <w:pStyle w:val="ListParagraph"/>
        <w:tabs>
          <w:tab w:val="left" w:pos="851"/>
        </w:tabs>
        <w:spacing w:after="0" w:line="480" w:lineRule="auto"/>
        <w:ind w:left="0"/>
        <w:jc w:val="both"/>
        <w:rPr>
          <w:rFonts w:ascii="Arial" w:hAnsi="Arial" w:cs="Arial"/>
          <w:sz w:val="24"/>
          <w:szCs w:val="24"/>
        </w:rPr>
      </w:pPr>
    </w:p>
    <w:p w14:paraId="5900C172" w14:textId="1E26A44B" w:rsidR="00C1766E" w:rsidRDefault="00283042"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Rule 14(1) which provides for security in case of appeals reads:</w:t>
      </w:r>
    </w:p>
    <w:p w14:paraId="4B7981CD" w14:textId="77777777" w:rsidR="00283042" w:rsidRDefault="00283042" w:rsidP="00B13840">
      <w:pPr>
        <w:pStyle w:val="ListParagraph"/>
        <w:spacing w:after="0" w:line="480" w:lineRule="auto"/>
        <w:jc w:val="both"/>
        <w:rPr>
          <w:rFonts w:ascii="Arial" w:hAnsi="Arial" w:cs="Arial"/>
          <w:sz w:val="24"/>
          <w:szCs w:val="24"/>
        </w:rPr>
      </w:pPr>
    </w:p>
    <w:p w14:paraId="38E851D8" w14:textId="6C77FFAC" w:rsidR="00283042" w:rsidRDefault="00283042" w:rsidP="00283042">
      <w:pPr>
        <w:pStyle w:val="ListParagraph"/>
        <w:spacing w:line="360" w:lineRule="auto"/>
        <w:jc w:val="both"/>
        <w:rPr>
          <w:rFonts w:ascii="Arial" w:hAnsi="Arial" w:cs="Arial"/>
          <w:b/>
        </w:rPr>
      </w:pPr>
      <w:r>
        <w:rPr>
          <w:rFonts w:ascii="Arial" w:hAnsi="Arial" w:cs="Arial"/>
          <w:b/>
        </w:rPr>
        <w:t>‘Security in case of appeals</w:t>
      </w:r>
    </w:p>
    <w:p w14:paraId="6CF66C45" w14:textId="77777777" w:rsidR="00283042" w:rsidRDefault="00283042" w:rsidP="00B13840">
      <w:pPr>
        <w:pStyle w:val="ListParagraph"/>
        <w:spacing w:after="0" w:line="360" w:lineRule="auto"/>
        <w:jc w:val="both"/>
        <w:rPr>
          <w:rFonts w:ascii="Arial" w:hAnsi="Arial" w:cs="Arial"/>
          <w:b/>
        </w:rPr>
      </w:pPr>
    </w:p>
    <w:p w14:paraId="26858CD1" w14:textId="74DB7C0A" w:rsidR="00283042" w:rsidRDefault="00283042" w:rsidP="00283042">
      <w:pPr>
        <w:pStyle w:val="ListParagraph"/>
        <w:spacing w:line="360" w:lineRule="auto"/>
        <w:jc w:val="both"/>
        <w:rPr>
          <w:rFonts w:ascii="Arial" w:hAnsi="Arial" w:cs="Arial"/>
        </w:rPr>
      </w:pPr>
      <w:r>
        <w:rPr>
          <w:rFonts w:ascii="Arial" w:hAnsi="Arial" w:cs="Arial"/>
          <w:b/>
        </w:rPr>
        <w:tab/>
      </w:r>
      <w:r>
        <w:rPr>
          <w:rFonts w:ascii="Arial" w:hAnsi="Arial" w:cs="Arial"/>
        </w:rPr>
        <w:t>14.</w:t>
      </w:r>
      <w:r>
        <w:rPr>
          <w:rFonts w:ascii="Arial" w:hAnsi="Arial" w:cs="Arial"/>
        </w:rPr>
        <w:tab/>
        <w:t>(1)</w:t>
      </w:r>
      <w:r>
        <w:rPr>
          <w:rFonts w:ascii="Arial" w:hAnsi="Arial" w:cs="Arial"/>
        </w:rPr>
        <w:tab/>
        <w:t xml:space="preserve">If the judgment appealed from is carried into execution by direction of the court appealed from, the party requesting execution must, before such execution, enter into good and sufficient security </w:t>
      </w:r>
      <w:r>
        <w:rPr>
          <w:rFonts w:ascii="Arial" w:hAnsi="Arial" w:cs="Arial"/>
          <w:i/>
        </w:rPr>
        <w:t xml:space="preserve">de </w:t>
      </w:r>
      <w:proofErr w:type="spellStart"/>
      <w:r>
        <w:rPr>
          <w:rFonts w:ascii="Arial" w:hAnsi="Arial" w:cs="Arial"/>
          <w:i/>
        </w:rPr>
        <w:t>restituendo</w:t>
      </w:r>
      <w:proofErr w:type="spellEnd"/>
      <w:r>
        <w:rPr>
          <w:rFonts w:ascii="Arial" w:hAnsi="Arial" w:cs="Arial"/>
          <w:i/>
        </w:rPr>
        <w:t>.</w:t>
      </w:r>
    </w:p>
    <w:p w14:paraId="23328851" w14:textId="77777777" w:rsidR="00283042" w:rsidRDefault="00283042" w:rsidP="00283042">
      <w:pPr>
        <w:pStyle w:val="ListParagraph"/>
        <w:spacing w:line="360" w:lineRule="auto"/>
        <w:jc w:val="both"/>
        <w:rPr>
          <w:rFonts w:ascii="Arial" w:hAnsi="Arial" w:cs="Arial"/>
        </w:rPr>
      </w:pPr>
    </w:p>
    <w:p w14:paraId="64A4487E" w14:textId="1C5E47B1" w:rsidR="00283042" w:rsidRDefault="00283042" w:rsidP="00283042">
      <w:pPr>
        <w:pStyle w:val="ListParagraph"/>
        <w:spacing w:line="360" w:lineRule="auto"/>
        <w:jc w:val="both"/>
        <w:rPr>
          <w:rFonts w:ascii="Arial" w:hAnsi="Arial" w:cs="Arial"/>
        </w:rPr>
      </w:pPr>
      <w:r>
        <w:rPr>
          <w:rFonts w:ascii="Arial" w:hAnsi="Arial" w:cs="Arial"/>
        </w:rPr>
        <w:tab/>
      </w:r>
      <w:r>
        <w:rPr>
          <w:rFonts w:ascii="Arial" w:hAnsi="Arial" w:cs="Arial"/>
        </w:rPr>
        <w:tab/>
        <w:t>(2)</w:t>
      </w:r>
      <w:r>
        <w:rPr>
          <w:rFonts w:ascii="Arial" w:hAnsi="Arial" w:cs="Arial"/>
        </w:rPr>
        <w:tab/>
        <w:t>If the execution of a judgment is suspended pending appeal, the appellant must, before lodging copies of the record, enter into good and sufficient security for the respondent’s costs of appeal, unless –</w:t>
      </w:r>
    </w:p>
    <w:p w14:paraId="3F5ED072" w14:textId="77777777" w:rsidR="00283042" w:rsidRDefault="00283042" w:rsidP="00283042">
      <w:pPr>
        <w:pStyle w:val="ListParagraph"/>
        <w:spacing w:line="360" w:lineRule="auto"/>
        <w:jc w:val="both"/>
        <w:rPr>
          <w:rFonts w:ascii="Arial" w:hAnsi="Arial" w:cs="Arial"/>
        </w:rPr>
      </w:pPr>
    </w:p>
    <w:p w14:paraId="67F12046" w14:textId="45683783" w:rsidR="00283042" w:rsidRDefault="009C7821" w:rsidP="00283042">
      <w:pPr>
        <w:pStyle w:val="ListParagraph"/>
        <w:numPr>
          <w:ilvl w:val="0"/>
          <w:numId w:val="44"/>
        </w:numPr>
        <w:spacing w:line="360" w:lineRule="auto"/>
        <w:ind w:left="2835" w:hanging="675"/>
        <w:jc w:val="both"/>
        <w:rPr>
          <w:rFonts w:ascii="Arial" w:hAnsi="Arial" w:cs="Arial"/>
        </w:rPr>
      </w:pPr>
      <w:r>
        <w:rPr>
          <w:rFonts w:ascii="Arial" w:hAnsi="Arial" w:cs="Arial"/>
        </w:rPr>
        <w:lastRenderedPageBreak/>
        <w:t>the respondent waives the right to security within 15 days of receipt of the appellant’s notice of appeal; or</w:t>
      </w:r>
    </w:p>
    <w:p w14:paraId="3E7B2C55" w14:textId="77777777" w:rsidR="009C7821" w:rsidRDefault="009C7821" w:rsidP="009C7821">
      <w:pPr>
        <w:pStyle w:val="ListParagraph"/>
        <w:spacing w:line="360" w:lineRule="auto"/>
        <w:ind w:left="2835"/>
        <w:jc w:val="both"/>
        <w:rPr>
          <w:rFonts w:ascii="Arial" w:hAnsi="Arial" w:cs="Arial"/>
        </w:rPr>
      </w:pPr>
    </w:p>
    <w:p w14:paraId="7EC42263" w14:textId="4AD73E3B" w:rsidR="009C7821" w:rsidRDefault="009C7821" w:rsidP="00283042">
      <w:pPr>
        <w:pStyle w:val="ListParagraph"/>
        <w:numPr>
          <w:ilvl w:val="0"/>
          <w:numId w:val="44"/>
        </w:numPr>
        <w:spacing w:line="360" w:lineRule="auto"/>
        <w:ind w:left="2835" w:hanging="675"/>
        <w:jc w:val="both"/>
        <w:rPr>
          <w:rFonts w:ascii="Arial" w:hAnsi="Arial" w:cs="Arial"/>
        </w:rPr>
      </w:pPr>
      <w:r>
        <w:rPr>
          <w:rFonts w:ascii="Arial" w:hAnsi="Arial" w:cs="Arial"/>
        </w:rPr>
        <w:t>the court appealed from, upon application of the appellant delivered within 15 days after delivery of the appellant’s notice of appeal or such longer period as that court on good cause shown, has allowed the appellant to be released wholly or partially from that obligation.</w:t>
      </w:r>
    </w:p>
    <w:p w14:paraId="13733CCD" w14:textId="77777777" w:rsidR="009C7821" w:rsidRPr="009C7821" w:rsidRDefault="009C7821" w:rsidP="009C7821">
      <w:pPr>
        <w:pStyle w:val="ListParagraph"/>
        <w:rPr>
          <w:rFonts w:ascii="Arial" w:hAnsi="Arial" w:cs="Arial"/>
        </w:rPr>
      </w:pPr>
    </w:p>
    <w:p w14:paraId="16609CFC" w14:textId="66197D46" w:rsidR="009C7821" w:rsidRDefault="009C7821" w:rsidP="009C7821">
      <w:pPr>
        <w:spacing w:line="360" w:lineRule="auto"/>
        <w:ind w:left="709" w:firstLine="1451"/>
        <w:jc w:val="both"/>
        <w:rPr>
          <w:rFonts w:ascii="Arial" w:hAnsi="Arial" w:cs="Arial"/>
        </w:rPr>
      </w:pPr>
      <w:r>
        <w:rPr>
          <w:rFonts w:ascii="Arial" w:hAnsi="Arial" w:cs="Arial"/>
        </w:rPr>
        <w:t>(3)</w:t>
      </w:r>
      <w:r>
        <w:rPr>
          <w:rFonts w:ascii="Arial" w:hAnsi="Arial" w:cs="Arial"/>
        </w:rPr>
        <w:tab/>
        <w:t xml:space="preserve">If the execution of a judgment is suspended pending appeal, the appellant must, when copies of the record are lodged, inform the registrar in writing whether he or she – </w:t>
      </w:r>
    </w:p>
    <w:p w14:paraId="1333B530" w14:textId="3005F8FC" w:rsidR="009C7821" w:rsidRDefault="009C7821" w:rsidP="009C7821">
      <w:pPr>
        <w:spacing w:line="360" w:lineRule="auto"/>
        <w:ind w:left="709" w:firstLine="1451"/>
        <w:jc w:val="both"/>
        <w:rPr>
          <w:rFonts w:ascii="Arial" w:hAnsi="Arial" w:cs="Arial"/>
        </w:rPr>
      </w:pPr>
      <w:r>
        <w:rPr>
          <w:rFonts w:ascii="Arial" w:hAnsi="Arial" w:cs="Arial"/>
        </w:rPr>
        <w:t>(a)</w:t>
      </w:r>
      <w:r>
        <w:rPr>
          <w:rFonts w:ascii="Arial" w:hAnsi="Arial" w:cs="Arial"/>
        </w:rPr>
        <w:tab/>
      </w:r>
      <w:proofErr w:type="gramStart"/>
      <w:r>
        <w:rPr>
          <w:rFonts w:ascii="Arial" w:hAnsi="Arial" w:cs="Arial"/>
        </w:rPr>
        <w:t>has</w:t>
      </w:r>
      <w:proofErr w:type="gramEnd"/>
      <w:r>
        <w:rPr>
          <w:rFonts w:ascii="Arial" w:hAnsi="Arial" w:cs="Arial"/>
        </w:rPr>
        <w:t xml:space="preserve"> entered into security in terms of this rule; or</w:t>
      </w:r>
    </w:p>
    <w:p w14:paraId="41BAA2D7" w14:textId="77777777" w:rsidR="009C7821" w:rsidRDefault="009C7821" w:rsidP="009C7821">
      <w:pPr>
        <w:spacing w:after="0" w:line="360" w:lineRule="auto"/>
        <w:ind w:left="709" w:firstLine="1451"/>
        <w:jc w:val="both"/>
        <w:rPr>
          <w:rFonts w:ascii="Arial" w:hAnsi="Arial" w:cs="Arial"/>
        </w:rPr>
      </w:pPr>
    </w:p>
    <w:p w14:paraId="702D9E15" w14:textId="32FEC64F" w:rsidR="009C7821" w:rsidRDefault="009C7821" w:rsidP="009C7821">
      <w:pPr>
        <w:spacing w:line="360" w:lineRule="auto"/>
        <w:ind w:left="288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has</w:t>
      </w:r>
      <w:proofErr w:type="gramEnd"/>
      <w:r>
        <w:rPr>
          <w:rFonts w:ascii="Arial" w:hAnsi="Arial" w:cs="Arial"/>
        </w:rPr>
        <w:t xml:space="preserve"> been released from that obligation, either by virtue of a waiver by the respondent or release by the court appealed from, as contemplated in </w:t>
      </w:r>
      <w:proofErr w:type="spellStart"/>
      <w:r>
        <w:rPr>
          <w:rFonts w:ascii="Arial" w:hAnsi="Arial" w:cs="Arial"/>
        </w:rPr>
        <w:t>subrule</w:t>
      </w:r>
      <w:proofErr w:type="spellEnd"/>
      <w:r>
        <w:rPr>
          <w:rFonts w:ascii="Arial" w:hAnsi="Arial" w:cs="Arial"/>
        </w:rPr>
        <w:t xml:space="preserve"> (2),</w:t>
      </w:r>
    </w:p>
    <w:p w14:paraId="297A65FA" w14:textId="77777777" w:rsidR="009C7821" w:rsidRDefault="009C7821" w:rsidP="009C7821">
      <w:pPr>
        <w:spacing w:line="360" w:lineRule="auto"/>
        <w:ind w:left="2880" w:hanging="720"/>
        <w:jc w:val="both"/>
        <w:rPr>
          <w:rFonts w:ascii="Arial" w:hAnsi="Arial" w:cs="Arial"/>
        </w:rPr>
      </w:pPr>
    </w:p>
    <w:p w14:paraId="7FDCB996" w14:textId="51C8A8BA" w:rsidR="009C7821" w:rsidRDefault="009C7821" w:rsidP="009C7821">
      <w:pPr>
        <w:spacing w:line="360" w:lineRule="auto"/>
        <w:ind w:left="709" w:firstLine="1451"/>
        <w:jc w:val="both"/>
        <w:rPr>
          <w:rFonts w:ascii="Arial" w:hAnsi="Arial" w:cs="Arial"/>
        </w:rPr>
      </w:pPr>
      <w:r>
        <w:rPr>
          <w:rFonts w:ascii="Arial" w:hAnsi="Arial" w:cs="Arial"/>
        </w:rPr>
        <w:t>(4)</w:t>
      </w:r>
      <w:r>
        <w:rPr>
          <w:rFonts w:ascii="Arial" w:hAnsi="Arial" w:cs="Arial"/>
        </w:rPr>
        <w:tab/>
        <w:t xml:space="preserve">Failure to inform the registrar in accordance with </w:t>
      </w:r>
      <w:proofErr w:type="spellStart"/>
      <w:r>
        <w:rPr>
          <w:rFonts w:ascii="Arial" w:hAnsi="Arial" w:cs="Arial"/>
        </w:rPr>
        <w:t>rubrule</w:t>
      </w:r>
      <w:proofErr w:type="spellEnd"/>
      <w:r>
        <w:rPr>
          <w:rFonts w:ascii="Arial" w:hAnsi="Arial" w:cs="Arial"/>
        </w:rPr>
        <w:t xml:space="preserve"> (3) within 21 days is deemed to be a failure to comply with the provisions of that </w:t>
      </w:r>
      <w:proofErr w:type="spellStart"/>
      <w:r>
        <w:rPr>
          <w:rFonts w:ascii="Arial" w:hAnsi="Arial" w:cs="Arial"/>
        </w:rPr>
        <w:t>subrule</w:t>
      </w:r>
      <w:proofErr w:type="spellEnd"/>
      <w:r>
        <w:rPr>
          <w:rFonts w:ascii="Arial" w:hAnsi="Arial" w:cs="Arial"/>
        </w:rPr>
        <w:t>.</w:t>
      </w:r>
    </w:p>
    <w:p w14:paraId="730A9ACA" w14:textId="77777777" w:rsidR="009C7821" w:rsidRDefault="009C7821" w:rsidP="009C7821">
      <w:pPr>
        <w:spacing w:line="360" w:lineRule="auto"/>
        <w:ind w:left="709" w:firstLine="1451"/>
        <w:jc w:val="both"/>
        <w:rPr>
          <w:rFonts w:ascii="Arial" w:hAnsi="Arial" w:cs="Arial"/>
        </w:rPr>
      </w:pPr>
    </w:p>
    <w:p w14:paraId="3074FA1A" w14:textId="1555F291" w:rsidR="009C7821" w:rsidRDefault="007A4699" w:rsidP="007A4699">
      <w:pPr>
        <w:spacing w:line="360" w:lineRule="auto"/>
        <w:ind w:left="709" w:firstLine="1451"/>
        <w:jc w:val="both"/>
        <w:rPr>
          <w:rFonts w:ascii="Arial" w:hAnsi="Arial" w:cs="Arial"/>
        </w:rPr>
      </w:pPr>
      <w:r>
        <w:rPr>
          <w:rFonts w:ascii="Arial" w:hAnsi="Arial" w:cs="Arial"/>
        </w:rPr>
        <w:t>(5)</w:t>
      </w:r>
      <w:r>
        <w:rPr>
          <w:rFonts w:ascii="Arial" w:hAnsi="Arial" w:cs="Arial"/>
        </w:rPr>
        <w:tab/>
        <w:t>The registrar of the court appealed from must, whenever the parties are unable to agree as to the amount of security to be entered into under this rule, determine and fix the amount.</w:t>
      </w:r>
    </w:p>
    <w:p w14:paraId="78B3DE88" w14:textId="77777777" w:rsidR="00712CFE" w:rsidRDefault="00712CFE" w:rsidP="00B13840">
      <w:pPr>
        <w:spacing w:after="0" w:line="360" w:lineRule="auto"/>
        <w:ind w:left="709" w:firstLine="1451"/>
        <w:jc w:val="both"/>
        <w:rPr>
          <w:rFonts w:ascii="Arial" w:hAnsi="Arial" w:cs="Arial"/>
        </w:rPr>
      </w:pPr>
    </w:p>
    <w:p w14:paraId="276D037D" w14:textId="03061201" w:rsidR="00712CFE" w:rsidRDefault="00712CFE" w:rsidP="007A4699">
      <w:pPr>
        <w:spacing w:line="360" w:lineRule="auto"/>
        <w:ind w:left="709" w:firstLine="1451"/>
        <w:jc w:val="both"/>
        <w:rPr>
          <w:rFonts w:ascii="Arial" w:hAnsi="Arial" w:cs="Arial"/>
        </w:rPr>
      </w:pPr>
      <w:r>
        <w:rPr>
          <w:rFonts w:ascii="Arial" w:hAnsi="Arial" w:cs="Arial"/>
        </w:rPr>
        <w:t>(6)</w:t>
      </w:r>
      <w:r>
        <w:rPr>
          <w:rFonts w:ascii="Arial" w:hAnsi="Arial" w:cs="Arial"/>
        </w:rPr>
        <w:tab/>
      </w:r>
      <w:r w:rsidR="003D4A99">
        <w:rPr>
          <w:rFonts w:ascii="Arial" w:hAnsi="Arial" w:cs="Arial"/>
        </w:rPr>
        <w:t xml:space="preserve">. . . </w:t>
      </w:r>
    </w:p>
    <w:p w14:paraId="12E8AB73" w14:textId="77777777" w:rsidR="003D4A99" w:rsidRDefault="003D4A99" w:rsidP="00B13840">
      <w:pPr>
        <w:spacing w:after="0" w:line="360" w:lineRule="auto"/>
        <w:ind w:left="709" w:firstLine="1451"/>
        <w:jc w:val="both"/>
        <w:rPr>
          <w:rFonts w:ascii="Arial" w:hAnsi="Arial" w:cs="Arial"/>
        </w:rPr>
      </w:pPr>
    </w:p>
    <w:p w14:paraId="1AED5ED2" w14:textId="0153A5AC" w:rsidR="003D4A99" w:rsidRDefault="003D4A99" w:rsidP="007A4699">
      <w:pPr>
        <w:spacing w:line="360" w:lineRule="auto"/>
        <w:ind w:left="709" w:firstLine="1451"/>
        <w:jc w:val="both"/>
        <w:rPr>
          <w:rFonts w:ascii="Arial" w:hAnsi="Arial" w:cs="Arial"/>
        </w:rPr>
      </w:pPr>
      <w:r>
        <w:rPr>
          <w:rFonts w:ascii="Arial" w:hAnsi="Arial" w:cs="Arial"/>
        </w:rPr>
        <w:t>(7)</w:t>
      </w:r>
      <w:r>
        <w:rPr>
          <w:rFonts w:ascii="Arial" w:hAnsi="Arial" w:cs="Arial"/>
        </w:rPr>
        <w:tab/>
        <w:t>. . . ’</w:t>
      </w:r>
    </w:p>
    <w:p w14:paraId="6E08C118" w14:textId="77777777" w:rsidR="007A4699" w:rsidRPr="007A4699" w:rsidRDefault="007A4699" w:rsidP="007A4699">
      <w:pPr>
        <w:spacing w:after="0" w:line="480" w:lineRule="auto"/>
        <w:ind w:left="709" w:firstLine="1451"/>
        <w:jc w:val="both"/>
        <w:rPr>
          <w:rFonts w:ascii="Arial" w:hAnsi="Arial" w:cs="Arial"/>
          <w:sz w:val="24"/>
          <w:szCs w:val="24"/>
        </w:rPr>
      </w:pPr>
    </w:p>
    <w:p w14:paraId="10FEE868" w14:textId="70289874" w:rsidR="00283042" w:rsidRDefault="007A4699"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lastRenderedPageBreak/>
        <w:t xml:space="preserve">It is now settled law that a litigant seeking condonation bears an onus to satisfy the court that there is sufficient cause to warrant the grant of condonation and that a litigant should launch a condonation application without delay. In </w:t>
      </w:r>
      <w:r>
        <w:rPr>
          <w:rFonts w:ascii="Arial" w:hAnsi="Arial" w:cs="Arial"/>
          <w:i/>
          <w:sz w:val="24"/>
          <w:szCs w:val="24"/>
        </w:rPr>
        <w:t>Petrus v Roman Catholic Archdiocese</w:t>
      </w:r>
      <w:r w:rsidR="00E76346">
        <w:rPr>
          <w:rStyle w:val="FootnoteReference"/>
          <w:rFonts w:ascii="Arial" w:hAnsi="Arial" w:cs="Arial"/>
          <w:i/>
          <w:sz w:val="24"/>
          <w:szCs w:val="24"/>
        </w:rPr>
        <w:footnoteReference w:id="6"/>
      </w:r>
      <w:r w:rsidR="00092392">
        <w:rPr>
          <w:rFonts w:ascii="Arial" w:hAnsi="Arial" w:cs="Arial"/>
          <w:i/>
          <w:sz w:val="24"/>
          <w:szCs w:val="24"/>
        </w:rPr>
        <w:t>,</w:t>
      </w:r>
      <w:r>
        <w:rPr>
          <w:rFonts w:ascii="Arial" w:hAnsi="Arial" w:cs="Arial"/>
          <w:i/>
          <w:sz w:val="24"/>
          <w:szCs w:val="24"/>
        </w:rPr>
        <w:t xml:space="preserve"> </w:t>
      </w:r>
      <w:r>
        <w:rPr>
          <w:rFonts w:ascii="Arial" w:hAnsi="Arial" w:cs="Arial"/>
          <w:sz w:val="24"/>
          <w:szCs w:val="24"/>
        </w:rPr>
        <w:t>O’</w:t>
      </w:r>
      <w:r w:rsidR="009E2A0A">
        <w:rPr>
          <w:rFonts w:ascii="Arial" w:hAnsi="Arial" w:cs="Arial"/>
          <w:sz w:val="24"/>
          <w:szCs w:val="24"/>
        </w:rPr>
        <w:t xml:space="preserve"> </w:t>
      </w:r>
      <w:r>
        <w:rPr>
          <w:rFonts w:ascii="Arial" w:hAnsi="Arial" w:cs="Arial"/>
          <w:sz w:val="24"/>
          <w:szCs w:val="24"/>
        </w:rPr>
        <w:t>Regan AJA spelt it as follows:</w:t>
      </w:r>
    </w:p>
    <w:p w14:paraId="571E7865" w14:textId="77777777" w:rsidR="007A4699" w:rsidRDefault="007A4699" w:rsidP="007A4699">
      <w:pPr>
        <w:pStyle w:val="ListParagraph"/>
        <w:tabs>
          <w:tab w:val="left" w:pos="851"/>
        </w:tabs>
        <w:spacing w:after="0" w:line="480" w:lineRule="auto"/>
        <w:ind w:left="0"/>
        <w:jc w:val="both"/>
        <w:rPr>
          <w:rFonts w:ascii="Arial" w:hAnsi="Arial" w:cs="Arial"/>
          <w:sz w:val="24"/>
          <w:szCs w:val="24"/>
        </w:rPr>
      </w:pPr>
    </w:p>
    <w:p w14:paraId="46FD9B80" w14:textId="150A8270" w:rsidR="007A4699" w:rsidRPr="009E2A0A" w:rsidRDefault="007A4699" w:rsidP="009E2A0A">
      <w:pPr>
        <w:pStyle w:val="ListParagraph"/>
        <w:tabs>
          <w:tab w:val="left" w:pos="851"/>
        </w:tabs>
        <w:spacing w:after="0" w:line="360" w:lineRule="auto"/>
        <w:ind w:hanging="720"/>
        <w:jc w:val="both"/>
        <w:rPr>
          <w:rFonts w:ascii="Arial" w:hAnsi="Arial" w:cs="Arial"/>
        </w:rPr>
      </w:pPr>
      <w:r>
        <w:rPr>
          <w:rFonts w:ascii="Arial" w:hAnsi="Arial" w:cs="Arial"/>
          <w:sz w:val="24"/>
          <w:szCs w:val="24"/>
        </w:rPr>
        <w:tab/>
      </w:r>
      <w:r w:rsidRPr="009E2A0A">
        <w:rPr>
          <w:rFonts w:ascii="Arial" w:hAnsi="Arial" w:cs="Arial"/>
        </w:rPr>
        <w:t>‘[9]</w:t>
      </w:r>
      <w:r w:rsidRPr="009E2A0A">
        <w:rPr>
          <w:rFonts w:ascii="Arial" w:hAnsi="Arial" w:cs="Arial"/>
        </w:rPr>
        <w:tab/>
        <w:t xml:space="preserve">It is trite that a litigant seeking condonation bears an onus to satisfy the court that there is sufficient cause to warrant the grant of condonation. Moreover, it is also clear that a litigant should launch a condonation application without delay. In a recent judgment of this court, </w:t>
      </w:r>
      <w:proofErr w:type="spellStart"/>
      <w:r w:rsidRPr="009E2A0A">
        <w:rPr>
          <w:rFonts w:ascii="Arial" w:hAnsi="Arial" w:cs="Arial"/>
          <w:i/>
        </w:rPr>
        <w:t>Beukes</w:t>
      </w:r>
      <w:proofErr w:type="spellEnd"/>
      <w:r w:rsidRPr="009E2A0A">
        <w:rPr>
          <w:rFonts w:ascii="Arial" w:hAnsi="Arial" w:cs="Arial"/>
          <w:i/>
        </w:rPr>
        <w:t xml:space="preserve"> and Another v </w:t>
      </w:r>
      <w:proofErr w:type="spellStart"/>
      <w:r w:rsidRPr="009E2A0A">
        <w:rPr>
          <w:rFonts w:ascii="Arial" w:hAnsi="Arial" w:cs="Arial"/>
          <w:i/>
        </w:rPr>
        <w:t>Swabou</w:t>
      </w:r>
      <w:proofErr w:type="spellEnd"/>
      <w:r w:rsidRPr="009E2A0A">
        <w:rPr>
          <w:rFonts w:ascii="Arial" w:hAnsi="Arial" w:cs="Arial"/>
          <w:i/>
        </w:rPr>
        <w:t xml:space="preserve"> and Others</w:t>
      </w:r>
      <w:r w:rsidRPr="009E2A0A">
        <w:rPr>
          <w:rFonts w:ascii="Arial" w:hAnsi="Arial" w:cs="Arial"/>
        </w:rPr>
        <w:t xml:space="preserve">, case No 14/2010, the principles governing condonation were once again set out. </w:t>
      </w:r>
      <w:proofErr w:type="spellStart"/>
      <w:r w:rsidRPr="009E2A0A">
        <w:rPr>
          <w:rFonts w:ascii="Arial" w:hAnsi="Arial" w:cs="Arial"/>
        </w:rPr>
        <w:t>Langa</w:t>
      </w:r>
      <w:proofErr w:type="spellEnd"/>
      <w:r w:rsidRPr="009E2A0A">
        <w:rPr>
          <w:rFonts w:ascii="Arial" w:hAnsi="Arial" w:cs="Arial"/>
        </w:rPr>
        <w:t xml:space="preserve"> AJA noted that ‘an application for condonation is not a mere formality’</w:t>
      </w:r>
      <w:r w:rsidR="009E2A0A" w:rsidRPr="009E2A0A">
        <w:rPr>
          <w:rFonts w:ascii="Arial" w:hAnsi="Arial" w:cs="Arial"/>
        </w:rPr>
        <w:t xml:space="preserve"> (at para 12) and that it must be launched as soon as a litigant becomes aware that there has been failure to comply with the rules (at para 12). The affidavit accompanying the condonation application must set out a ‘full, detailed and accurate’ (at para 13) explanation for the failure to comply with the rules.</w:t>
      </w:r>
    </w:p>
    <w:p w14:paraId="3C188DF3" w14:textId="77777777" w:rsidR="009E2A0A" w:rsidRPr="009E2A0A" w:rsidRDefault="009E2A0A" w:rsidP="009E2A0A">
      <w:pPr>
        <w:pStyle w:val="ListParagraph"/>
        <w:tabs>
          <w:tab w:val="left" w:pos="851"/>
        </w:tabs>
        <w:spacing w:after="0" w:line="360" w:lineRule="auto"/>
        <w:ind w:hanging="720"/>
        <w:jc w:val="both"/>
        <w:rPr>
          <w:rFonts w:ascii="Arial" w:hAnsi="Arial" w:cs="Arial"/>
        </w:rPr>
      </w:pPr>
    </w:p>
    <w:p w14:paraId="4F3AD063" w14:textId="565721C6" w:rsidR="009E2A0A" w:rsidRDefault="009E2A0A" w:rsidP="009E2A0A">
      <w:pPr>
        <w:pStyle w:val="ListParagraph"/>
        <w:tabs>
          <w:tab w:val="left" w:pos="851"/>
        </w:tabs>
        <w:spacing w:after="0" w:line="360" w:lineRule="auto"/>
        <w:ind w:hanging="720"/>
        <w:jc w:val="both"/>
        <w:rPr>
          <w:rFonts w:ascii="Arial" w:hAnsi="Arial" w:cs="Arial"/>
        </w:rPr>
      </w:pPr>
      <w:r w:rsidRPr="009E2A0A">
        <w:rPr>
          <w:rFonts w:ascii="Arial" w:hAnsi="Arial" w:cs="Arial"/>
        </w:rPr>
        <w:tab/>
        <w:t>[10]</w:t>
      </w:r>
      <w:r w:rsidRPr="009E2A0A">
        <w:rPr>
          <w:rFonts w:ascii="Arial" w:hAnsi="Arial" w:cs="Arial"/>
        </w:rPr>
        <w:tab/>
      </w:r>
      <w:r>
        <w:rPr>
          <w:rFonts w:ascii="Arial" w:hAnsi="Arial" w:cs="Arial"/>
        </w:rPr>
        <w:t>In determining whether to grant condonation, a court will consider whether the explanation is sufficient to warrant the grant of condonation, and will also consider the litigant’s prospects of success on the merits, save in cases of ‘flagrant’ non-compliance with the rules which demonstrate a ‘glaring and inexplicable disregard’ for the processes of the court (</w:t>
      </w:r>
      <w:proofErr w:type="spellStart"/>
      <w:r w:rsidRPr="009E2A0A">
        <w:rPr>
          <w:rFonts w:ascii="Arial" w:hAnsi="Arial" w:cs="Arial"/>
          <w:i/>
        </w:rPr>
        <w:t>Beukes</w:t>
      </w:r>
      <w:proofErr w:type="spellEnd"/>
      <w:r>
        <w:rPr>
          <w:rFonts w:ascii="Arial" w:hAnsi="Arial" w:cs="Arial"/>
        </w:rPr>
        <w:t xml:space="preserve"> at para 20).</w:t>
      </w:r>
    </w:p>
    <w:p w14:paraId="67B7865D" w14:textId="77777777" w:rsidR="009E2A0A" w:rsidRPr="009E2A0A" w:rsidRDefault="009E2A0A" w:rsidP="009E2A0A">
      <w:pPr>
        <w:pStyle w:val="ListParagraph"/>
        <w:tabs>
          <w:tab w:val="left" w:pos="851"/>
        </w:tabs>
        <w:spacing w:after="0" w:line="480" w:lineRule="auto"/>
        <w:ind w:hanging="720"/>
        <w:jc w:val="both"/>
        <w:rPr>
          <w:rFonts w:ascii="Arial" w:hAnsi="Arial" w:cs="Arial"/>
          <w:sz w:val="24"/>
          <w:szCs w:val="24"/>
        </w:rPr>
      </w:pPr>
    </w:p>
    <w:p w14:paraId="3001F868" w14:textId="6B48967A" w:rsidR="007A4699" w:rsidRDefault="009E2A0A"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the matter of </w:t>
      </w:r>
      <w:r w:rsidRPr="009E2A0A">
        <w:rPr>
          <w:rFonts w:ascii="Arial" w:hAnsi="Arial" w:cs="Arial"/>
          <w:i/>
          <w:sz w:val="24"/>
          <w:szCs w:val="24"/>
        </w:rPr>
        <w:t>Kleynha</w:t>
      </w:r>
      <w:r w:rsidR="00092392">
        <w:rPr>
          <w:rFonts w:ascii="Arial" w:hAnsi="Arial" w:cs="Arial"/>
          <w:i/>
          <w:sz w:val="24"/>
          <w:szCs w:val="24"/>
        </w:rPr>
        <w:t>n</w:t>
      </w:r>
      <w:r w:rsidRPr="009E2A0A">
        <w:rPr>
          <w:rFonts w:ascii="Arial" w:hAnsi="Arial" w:cs="Arial"/>
          <w:i/>
          <w:sz w:val="24"/>
          <w:szCs w:val="24"/>
        </w:rPr>
        <w:t xml:space="preserve">s v Chairperson of the Council for the Municipality of </w:t>
      </w:r>
      <w:proofErr w:type="spellStart"/>
      <w:r w:rsidRPr="009E2A0A">
        <w:rPr>
          <w:rFonts w:ascii="Arial" w:hAnsi="Arial" w:cs="Arial"/>
          <w:i/>
          <w:sz w:val="24"/>
          <w:szCs w:val="24"/>
        </w:rPr>
        <w:t>Walvisbay</w:t>
      </w:r>
      <w:proofErr w:type="spellEnd"/>
      <w:r w:rsidRPr="009E2A0A">
        <w:rPr>
          <w:rFonts w:ascii="Arial" w:hAnsi="Arial" w:cs="Arial"/>
          <w:i/>
          <w:sz w:val="24"/>
          <w:szCs w:val="24"/>
        </w:rPr>
        <w:t xml:space="preserve"> </w:t>
      </w:r>
      <w:r w:rsidR="00AD28B7">
        <w:rPr>
          <w:rFonts w:ascii="Arial" w:hAnsi="Arial" w:cs="Arial"/>
          <w:i/>
          <w:sz w:val="24"/>
          <w:szCs w:val="24"/>
        </w:rPr>
        <w:t>&amp;</w:t>
      </w:r>
      <w:r w:rsidRPr="009E2A0A">
        <w:rPr>
          <w:rFonts w:ascii="Arial" w:hAnsi="Arial" w:cs="Arial"/>
          <w:i/>
          <w:sz w:val="24"/>
          <w:szCs w:val="24"/>
        </w:rPr>
        <w:t xml:space="preserve"> others</w:t>
      </w:r>
      <w:r w:rsidR="00E76346">
        <w:rPr>
          <w:rStyle w:val="FootnoteReference"/>
          <w:rFonts w:ascii="Arial" w:hAnsi="Arial" w:cs="Arial"/>
          <w:i/>
          <w:sz w:val="24"/>
          <w:szCs w:val="24"/>
        </w:rPr>
        <w:footnoteReference w:id="7"/>
      </w:r>
      <w:r w:rsidR="00092392" w:rsidRPr="00092392">
        <w:rPr>
          <w:rFonts w:ascii="Arial" w:hAnsi="Arial" w:cs="Arial"/>
          <w:sz w:val="24"/>
          <w:szCs w:val="24"/>
        </w:rPr>
        <w:t>,</w:t>
      </w:r>
      <w:r>
        <w:rPr>
          <w:rFonts w:ascii="Arial" w:hAnsi="Arial" w:cs="Arial"/>
          <w:sz w:val="24"/>
          <w:szCs w:val="24"/>
        </w:rPr>
        <w:t xml:space="preserve"> this court referred with approval the sentiments of Friedman AJA where at 281G and 281J-282A said</w:t>
      </w:r>
      <w:r w:rsidR="003D4A99">
        <w:rPr>
          <w:rStyle w:val="FootnoteReference"/>
          <w:rFonts w:ascii="Arial" w:hAnsi="Arial" w:cs="Arial"/>
          <w:sz w:val="24"/>
          <w:szCs w:val="24"/>
        </w:rPr>
        <w:footnoteReference w:id="8"/>
      </w:r>
      <w:r>
        <w:rPr>
          <w:rFonts w:ascii="Arial" w:hAnsi="Arial" w:cs="Arial"/>
          <w:sz w:val="24"/>
          <w:szCs w:val="24"/>
        </w:rPr>
        <w:t>:</w:t>
      </w:r>
    </w:p>
    <w:p w14:paraId="22BCCF72" w14:textId="77777777" w:rsidR="00321D67" w:rsidRDefault="00321D67" w:rsidP="00321D67">
      <w:pPr>
        <w:tabs>
          <w:tab w:val="left" w:pos="851"/>
        </w:tabs>
        <w:spacing w:after="0" w:line="480" w:lineRule="auto"/>
        <w:jc w:val="both"/>
        <w:rPr>
          <w:rFonts w:ascii="Arial" w:hAnsi="Arial" w:cs="Arial"/>
          <w:sz w:val="24"/>
          <w:szCs w:val="24"/>
        </w:rPr>
      </w:pPr>
    </w:p>
    <w:p w14:paraId="6D94EB13" w14:textId="2B626165" w:rsidR="00321D67" w:rsidRDefault="00092392" w:rsidP="00321D67">
      <w:pPr>
        <w:tabs>
          <w:tab w:val="left" w:pos="851"/>
        </w:tabs>
        <w:spacing w:after="0" w:line="360" w:lineRule="auto"/>
        <w:ind w:left="851"/>
        <w:jc w:val="both"/>
        <w:rPr>
          <w:rFonts w:ascii="Arial" w:hAnsi="Arial" w:cs="Arial"/>
        </w:rPr>
      </w:pPr>
      <w:r>
        <w:rPr>
          <w:rFonts w:ascii="Arial" w:hAnsi="Arial" w:cs="Arial"/>
        </w:rPr>
        <w:t>“</w:t>
      </w:r>
      <w:r w:rsidR="00321D67">
        <w:rPr>
          <w:rFonts w:ascii="Arial" w:hAnsi="Arial" w:cs="Arial"/>
        </w:rPr>
        <w:t xml:space="preserve">An attorney instructed to note an appeal is in duty bound to acquaint himself with the Rules of the Court in which the appeal is to be prosecuted. See </w:t>
      </w:r>
      <w:proofErr w:type="spellStart"/>
      <w:r w:rsidR="00321D67">
        <w:rPr>
          <w:rFonts w:ascii="Arial" w:hAnsi="Arial" w:cs="Arial"/>
          <w:i/>
        </w:rPr>
        <w:t>Moaki</w:t>
      </w:r>
      <w:proofErr w:type="spellEnd"/>
      <w:r w:rsidR="00321D67">
        <w:rPr>
          <w:rFonts w:ascii="Arial" w:hAnsi="Arial" w:cs="Arial"/>
          <w:i/>
        </w:rPr>
        <w:t xml:space="preserve"> v Reckitt and Colman (Africa) Ltd and Another </w:t>
      </w:r>
      <w:r w:rsidR="00321D67">
        <w:rPr>
          <w:rFonts w:ascii="Arial" w:hAnsi="Arial" w:cs="Arial"/>
        </w:rPr>
        <w:t xml:space="preserve">1968 (3) SA 98 (A) at 101; </w:t>
      </w:r>
      <w:proofErr w:type="spellStart"/>
      <w:r w:rsidR="00321D67">
        <w:rPr>
          <w:rFonts w:ascii="Arial" w:hAnsi="Arial" w:cs="Arial"/>
          <w:i/>
        </w:rPr>
        <w:t>Mbutuma</w:t>
      </w:r>
      <w:proofErr w:type="spellEnd"/>
      <w:r w:rsidR="00321D67">
        <w:rPr>
          <w:rFonts w:ascii="Arial" w:hAnsi="Arial" w:cs="Arial"/>
          <w:i/>
        </w:rPr>
        <w:t xml:space="preserve"> </w:t>
      </w:r>
      <w:r w:rsidR="00321D67">
        <w:rPr>
          <w:rFonts w:ascii="Arial" w:hAnsi="Arial" w:cs="Arial"/>
          <w:i/>
        </w:rPr>
        <w:lastRenderedPageBreak/>
        <w:t xml:space="preserve">v Xhosa Development Corporation Ltd </w:t>
      </w:r>
      <w:r w:rsidR="00321D67">
        <w:rPr>
          <w:rFonts w:ascii="Arial" w:hAnsi="Arial" w:cs="Arial"/>
        </w:rPr>
        <w:t>1978 (1) SA 681 (A) at 685A-B. Inasmuch as an applicant for condonation is seeking an indulgence from the Court, he is required to give a full and satisfactory explanation for whatever delays have occurred.</w:t>
      </w:r>
      <w:r>
        <w:rPr>
          <w:rFonts w:ascii="Arial" w:hAnsi="Arial" w:cs="Arial"/>
        </w:rPr>
        <w:t>”</w:t>
      </w:r>
    </w:p>
    <w:p w14:paraId="4DDBA70B" w14:textId="77777777" w:rsidR="00321D67" w:rsidRDefault="00321D67" w:rsidP="00321D67">
      <w:pPr>
        <w:tabs>
          <w:tab w:val="left" w:pos="851"/>
        </w:tabs>
        <w:spacing w:after="0" w:line="360" w:lineRule="auto"/>
        <w:ind w:left="851"/>
        <w:jc w:val="both"/>
        <w:rPr>
          <w:rFonts w:ascii="Arial" w:hAnsi="Arial" w:cs="Arial"/>
        </w:rPr>
      </w:pPr>
    </w:p>
    <w:p w14:paraId="7EA43566" w14:textId="06C65006" w:rsidR="00321D67" w:rsidRDefault="00092392" w:rsidP="00321D67">
      <w:pPr>
        <w:tabs>
          <w:tab w:val="left" w:pos="851"/>
        </w:tabs>
        <w:spacing w:after="0" w:line="360" w:lineRule="auto"/>
        <w:ind w:left="851"/>
        <w:jc w:val="both"/>
        <w:rPr>
          <w:rFonts w:ascii="Arial" w:hAnsi="Arial" w:cs="Arial"/>
        </w:rPr>
      </w:pPr>
      <w:r>
        <w:rPr>
          <w:rFonts w:ascii="Arial" w:hAnsi="Arial" w:cs="Arial"/>
        </w:rPr>
        <w:t>“</w:t>
      </w:r>
      <w:r w:rsidR="00321D67">
        <w:rPr>
          <w:rFonts w:ascii="Arial" w:hAnsi="Arial" w:cs="Arial"/>
        </w:rPr>
        <w:t xml:space="preserve">As far as the prospects of success on appeal are concerned, the appeal in the present case would not appear to be without merit. However, where the non-observance of the Rules has been as flagrant and as gross as in the present case the application should not be granted, whatever the prospects of success might be. </w:t>
      </w:r>
      <w:proofErr w:type="gramStart"/>
      <w:r w:rsidR="00321D67">
        <w:rPr>
          <w:rFonts w:ascii="Arial" w:hAnsi="Arial" w:cs="Arial"/>
        </w:rPr>
        <w:t xml:space="preserve">See </w:t>
      </w:r>
      <w:r w:rsidR="00321D67">
        <w:rPr>
          <w:rFonts w:ascii="Arial" w:hAnsi="Arial" w:cs="Arial"/>
          <w:i/>
        </w:rPr>
        <w:t xml:space="preserve">P E Bosman Transport Works Committee and Others v Piet Bosman Transport (Pty) Ltd </w:t>
      </w:r>
      <w:r w:rsidR="00321D67">
        <w:rPr>
          <w:rFonts w:ascii="Arial" w:hAnsi="Arial" w:cs="Arial"/>
        </w:rPr>
        <w:t xml:space="preserve">1980 (4) SA 794 (A) at 799; </w:t>
      </w:r>
      <w:r w:rsidR="00321D67" w:rsidRPr="00E043D0">
        <w:rPr>
          <w:rFonts w:ascii="Arial" w:hAnsi="Arial" w:cs="Arial"/>
          <w:i/>
        </w:rPr>
        <w:t xml:space="preserve">Rennie v </w:t>
      </w:r>
      <w:proofErr w:type="spellStart"/>
      <w:r w:rsidR="00321D67" w:rsidRPr="00E043D0">
        <w:rPr>
          <w:rFonts w:ascii="Arial" w:hAnsi="Arial" w:cs="Arial"/>
          <w:i/>
        </w:rPr>
        <w:t>Kamby</w:t>
      </w:r>
      <w:proofErr w:type="spellEnd"/>
      <w:r w:rsidR="00321D67" w:rsidRPr="00E043D0">
        <w:rPr>
          <w:rFonts w:ascii="Arial" w:hAnsi="Arial" w:cs="Arial"/>
          <w:i/>
        </w:rPr>
        <w:t xml:space="preserve"> Farms (Pty) Ltd</w:t>
      </w:r>
      <w:r w:rsidR="00321D67">
        <w:rPr>
          <w:rFonts w:ascii="Arial" w:hAnsi="Arial" w:cs="Arial"/>
        </w:rPr>
        <w:t xml:space="preserve"> 1989 (2) SA 124 (A) at 131I-J.</w:t>
      </w:r>
      <w:r>
        <w:rPr>
          <w:rFonts w:ascii="Arial" w:hAnsi="Arial" w:cs="Arial"/>
        </w:rPr>
        <w:t>”</w:t>
      </w:r>
      <w:proofErr w:type="gramEnd"/>
    </w:p>
    <w:p w14:paraId="6B3020F0" w14:textId="77777777" w:rsidR="00321D67" w:rsidRPr="00321D67" w:rsidRDefault="00321D67" w:rsidP="00321D67">
      <w:pPr>
        <w:tabs>
          <w:tab w:val="left" w:pos="851"/>
        </w:tabs>
        <w:spacing w:after="0" w:line="480" w:lineRule="auto"/>
        <w:ind w:left="851"/>
        <w:jc w:val="both"/>
        <w:rPr>
          <w:rFonts w:ascii="Arial" w:hAnsi="Arial" w:cs="Arial"/>
          <w:sz w:val="24"/>
          <w:szCs w:val="24"/>
        </w:rPr>
      </w:pPr>
    </w:p>
    <w:p w14:paraId="62ADCF91" w14:textId="0B91628D" w:rsidR="00C1766E" w:rsidRDefault="00321D67"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w:t>
      </w:r>
      <w:r w:rsidR="003D4A99">
        <w:rPr>
          <w:rFonts w:ascii="Arial" w:hAnsi="Arial" w:cs="Arial"/>
          <w:sz w:val="24"/>
          <w:szCs w:val="24"/>
        </w:rPr>
        <w:t>legal practitioner</w:t>
      </w:r>
      <w:r>
        <w:rPr>
          <w:rFonts w:ascii="Arial" w:hAnsi="Arial" w:cs="Arial"/>
          <w:sz w:val="24"/>
          <w:szCs w:val="24"/>
        </w:rPr>
        <w:t xml:space="preserve">’s explanation for the delay in tendering security for costs is neither sufficient </w:t>
      </w:r>
      <w:r w:rsidR="00092392">
        <w:rPr>
          <w:rFonts w:ascii="Arial" w:hAnsi="Arial" w:cs="Arial"/>
          <w:sz w:val="24"/>
          <w:szCs w:val="24"/>
        </w:rPr>
        <w:t>n</w:t>
      </w:r>
      <w:r>
        <w:rPr>
          <w:rFonts w:ascii="Arial" w:hAnsi="Arial" w:cs="Arial"/>
          <w:sz w:val="24"/>
          <w:szCs w:val="24"/>
        </w:rPr>
        <w:t>or satisfactory</w:t>
      </w:r>
      <w:r w:rsidR="00E043D0">
        <w:rPr>
          <w:rFonts w:ascii="Arial" w:hAnsi="Arial" w:cs="Arial"/>
          <w:sz w:val="24"/>
          <w:szCs w:val="24"/>
        </w:rPr>
        <w:t xml:space="preserve">. That explanation is </w:t>
      </w:r>
      <w:r w:rsidR="00242C9E">
        <w:rPr>
          <w:rFonts w:ascii="Arial" w:hAnsi="Arial" w:cs="Arial"/>
          <w:sz w:val="24"/>
          <w:szCs w:val="24"/>
        </w:rPr>
        <w:t>aggravated by the fact that when</w:t>
      </w:r>
      <w:r w:rsidR="00652CAB" w:rsidRPr="00652CAB">
        <w:rPr>
          <w:rFonts w:ascii="Arial" w:hAnsi="Arial" w:cs="Arial"/>
          <w:sz w:val="24"/>
          <w:szCs w:val="24"/>
        </w:rPr>
        <w:t xml:space="preserve"> </w:t>
      </w:r>
      <w:r w:rsidR="00652CAB">
        <w:rPr>
          <w:rFonts w:ascii="Arial" w:hAnsi="Arial" w:cs="Arial"/>
          <w:sz w:val="24"/>
          <w:szCs w:val="24"/>
        </w:rPr>
        <w:t>the matter was postponed</w:t>
      </w:r>
      <w:r w:rsidR="00242C9E">
        <w:rPr>
          <w:rFonts w:ascii="Arial" w:hAnsi="Arial" w:cs="Arial"/>
          <w:sz w:val="24"/>
          <w:szCs w:val="24"/>
        </w:rPr>
        <w:t xml:space="preserve"> on 1 June, the </w:t>
      </w:r>
      <w:r w:rsidR="003D4A99">
        <w:rPr>
          <w:rFonts w:ascii="Arial" w:hAnsi="Arial" w:cs="Arial"/>
          <w:sz w:val="24"/>
          <w:szCs w:val="24"/>
        </w:rPr>
        <w:t>legal practitioner</w:t>
      </w:r>
      <w:r w:rsidR="00242C9E">
        <w:rPr>
          <w:rFonts w:ascii="Arial" w:hAnsi="Arial" w:cs="Arial"/>
          <w:sz w:val="24"/>
          <w:szCs w:val="24"/>
        </w:rPr>
        <w:t xml:space="preserve"> did not find it necessary to file the condonation application as per the direction of the court immediately</w:t>
      </w:r>
      <w:r w:rsidR="00092392">
        <w:rPr>
          <w:rFonts w:ascii="Arial" w:hAnsi="Arial" w:cs="Arial"/>
          <w:sz w:val="24"/>
          <w:szCs w:val="24"/>
        </w:rPr>
        <w:t>,</w:t>
      </w:r>
      <w:r w:rsidR="00242C9E">
        <w:rPr>
          <w:rFonts w:ascii="Arial" w:hAnsi="Arial" w:cs="Arial"/>
          <w:sz w:val="24"/>
          <w:szCs w:val="24"/>
        </w:rPr>
        <w:t xml:space="preserve"> as it would be expected given the delay that had occurred. While the bond for security was tendered on 1 June, the application resurrecting the cross-appeal was filed five weeks later and no explanation was offered for the further delay. In the </w:t>
      </w:r>
      <w:r w:rsidR="003D4A99">
        <w:rPr>
          <w:rFonts w:ascii="Arial" w:hAnsi="Arial" w:cs="Arial"/>
          <w:sz w:val="24"/>
          <w:szCs w:val="24"/>
        </w:rPr>
        <w:t>legal practitioner</w:t>
      </w:r>
      <w:r w:rsidR="00242C9E">
        <w:rPr>
          <w:rFonts w:ascii="Arial" w:hAnsi="Arial" w:cs="Arial"/>
          <w:sz w:val="24"/>
          <w:szCs w:val="24"/>
        </w:rPr>
        <w:t xml:space="preserve">’s own words he only discovered the letter from the appellant’s </w:t>
      </w:r>
      <w:r w:rsidR="003D4A99">
        <w:rPr>
          <w:rFonts w:ascii="Arial" w:hAnsi="Arial" w:cs="Arial"/>
          <w:sz w:val="24"/>
          <w:szCs w:val="24"/>
        </w:rPr>
        <w:t>legal practitioner</w:t>
      </w:r>
      <w:r w:rsidR="00242C9E">
        <w:rPr>
          <w:rFonts w:ascii="Arial" w:hAnsi="Arial" w:cs="Arial"/>
          <w:sz w:val="24"/>
          <w:szCs w:val="24"/>
        </w:rPr>
        <w:t xml:space="preserve"> reminding him to tender security for costs recently when he prepared for the notice of motion seeking reinstatement of the cross-appeal. The possibility exists that</w:t>
      </w:r>
      <w:r w:rsidR="00652CAB">
        <w:rPr>
          <w:rFonts w:ascii="Arial" w:hAnsi="Arial" w:cs="Arial"/>
          <w:sz w:val="24"/>
          <w:szCs w:val="24"/>
        </w:rPr>
        <w:t xml:space="preserve"> </w:t>
      </w:r>
      <w:r w:rsidR="00242C9E">
        <w:rPr>
          <w:rFonts w:ascii="Arial" w:hAnsi="Arial" w:cs="Arial"/>
          <w:sz w:val="24"/>
          <w:szCs w:val="24"/>
        </w:rPr>
        <w:t xml:space="preserve">that application was filed after the </w:t>
      </w:r>
      <w:r w:rsidR="004D16C3">
        <w:rPr>
          <w:rFonts w:ascii="Arial" w:hAnsi="Arial" w:cs="Arial"/>
          <w:sz w:val="24"/>
          <w:szCs w:val="24"/>
        </w:rPr>
        <w:t>legal practitioner</w:t>
      </w:r>
      <w:r w:rsidR="00242C9E">
        <w:rPr>
          <w:rFonts w:ascii="Arial" w:hAnsi="Arial" w:cs="Arial"/>
          <w:sz w:val="24"/>
          <w:szCs w:val="24"/>
        </w:rPr>
        <w:t xml:space="preserve"> perused appellant’s heads of argument. Even then the application was filed a week later. Whether </w:t>
      </w:r>
      <w:r w:rsidR="00C357DF">
        <w:rPr>
          <w:rFonts w:ascii="Arial" w:hAnsi="Arial" w:cs="Arial"/>
          <w:sz w:val="24"/>
          <w:szCs w:val="24"/>
        </w:rPr>
        <w:t xml:space="preserve">or not </w:t>
      </w:r>
      <w:r w:rsidR="00242C9E">
        <w:rPr>
          <w:rFonts w:ascii="Arial" w:hAnsi="Arial" w:cs="Arial"/>
          <w:sz w:val="24"/>
          <w:szCs w:val="24"/>
        </w:rPr>
        <w:t>there was an undertaking by the opposing party not to oppose the application</w:t>
      </w:r>
      <w:r w:rsidR="00092392">
        <w:rPr>
          <w:rFonts w:ascii="Arial" w:hAnsi="Arial" w:cs="Arial"/>
          <w:sz w:val="24"/>
          <w:szCs w:val="24"/>
        </w:rPr>
        <w:t>,</w:t>
      </w:r>
      <w:r w:rsidR="00242C9E">
        <w:rPr>
          <w:rFonts w:ascii="Arial" w:hAnsi="Arial" w:cs="Arial"/>
          <w:sz w:val="24"/>
          <w:szCs w:val="24"/>
        </w:rPr>
        <w:t xml:space="preserve"> rule 14(2) requires that it had to be filed accompanied by a sufficient explanation for the delay, more so </w:t>
      </w:r>
      <w:r w:rsidR="00C357DF">
        <w:rPr>
          <w:rFonts w:ascii="Arial" w:hAnsi="Arial" w:cs="Arial"/>
          <w:sz w:val="24"/>
          <w:szCs w:val="24"/>
        </w:rPr>
        <w:t>when</w:t>
      </w:r>
      <w:r w:rsidR="00242C9E">
        <w:rPr>
          <w:rFonts w:ascii="Arial" w:hAnsi="Arial" w:cs="Arial"/>
          <w:sz w:val="24"/>
          <w:szCs w:val="24"/>
        </w:rPr>
        <w:t xml:space="preserve"> the court had so directed. In </w:t>
      </w:r>
      <w:r w:rsidR="00A33BD3">
        <w:rPr>
          <w:rFonts w:ascii="Arial" w:hAnsi="Arial" w:cs="Arial"/>
          <w:i/>
          <w:sz w:val="24"/>
          <w:szCs w:val="24"/>
        </w:rPr>
        <w:t xml:space="preserve">PE Bosman Transport Works Committee and others v Piet Bosman </w:t>
      </w:r>
      <w:r w:rsidR="00A33BD3">
        <w:rPr>
          <w:rFonts w:ascii="Arial" w:hAnsi="Arial" w:cs="Arial"/>
          <w:i/>
          <w:sz w:val="24"/>
          <w:szCs w:val="24"/>
        </w:rPr>
        <w:lastRenderedPageBreak/>
        <w:t xml:space="preserve">Transport (Pty) Ltd </w:t>
      </w:r>
      <w:r w:rsidR="004D16C3">
        <w:rPr>
          <w:rFonts w:ascii="Arial" w:hAnsi="Arial" w:cs="Arial"/>
          <w:sz w:val="24"/>
          <w:szCs w:val="24"/>
        </w:rPr>
        <w:t xml:space="preserve">above </w:t>
      </w:r>
      <w:r w:rsidR="00A33BD3">
        <w:rPr>
          <w:rFonts w:ascii="Arial" w:hAnsi="Arial" w:cs="Arial"/>
          <w:sz w:val="24"/>
          <w:szCs w:val="24"/>
        </w:rPr>
        <w:t>Muller JA</w:t>
      </w:r>
      <w:r w:rsidR="006427EC">
        <w:rPr>
          <w:rStyle w:val="FootnoteReference"/>
          <w:rFonts w:ascii="Arial" w:hAnsi="Arial" w:cs="Arial"/>
          <w:sz w:val="24"/>
          <w:szCs w:val="24"/>
        </w:rPr>
        <w:footnoteReference w:id="9"/>
      </w:r>
      <w:r w:rsidR="00A33BD3">
        <w:rPr>
          <w:rFonts w:ascii="Arial" w:hAnsi="Arial" w:cs="Arial"/>
          <w:sz w:val="24"/>
          <w:szCs w:val="24"/>
        </w:rPr>
        <w:t xml:space="preserve"> declined to opine on the merits and proceeded to say:-</w:t>
      </w:r>
    </w:p>
    <w:p w14:paraId="280CD73A" w14:textId="77777777" w:rsidR="00A33BD3" w:rsidRDefault="00A33BD3" w:rsidP="00A33BD3">
      <w:pPr>
        <w:pStyle w:val="ListParagraph"/>
        <w:tabs>
          <w:tab w:val="left" w:pos="851"/>
        </w:tabs>
        <w:spacing w:after="0" w:line="480" w:lineRule="auto"/>
        <w:ind w:left="0"/>
        <w:jc w:val="both"/>
        <w:rPr>
          <w:rFonts w:ascii="Arial" w:hAnsi="Arial" w:cs="Arial"/>
          <w:sz w:val="24"/>
          <w:szCs w:val="24"/>
        </w:rPr>
      </w:pPr>
    </w:p>
    <w:p w14:paraId="0FA9A0AB" w14:textId="7941AA3B" w:rsidR="00A33BD3" w:rsidRDefault="00A33BD3" w:rsidP="0025206E">
      <w:pPr>
        <w:pStyle w:val="ListParagraph"/>
        <w:tabs>
          <w:tab w:val="left" w:pos="851"/>
        </w:tabs>
        <w:spacing w:after="0" w:line="360" w:lineRule="auto"/>
        <w:ind w:left="851"/>
        <w:jc w:val="both"/>
        <w:rPr>
          <w:rFonts w:ascii="Arial" w:hAnsi="Arial" w:cs="Arial"/>
        </w:rPr>
      </w:pPr>
      <w:r>
        <w:rPr>
          <w:rFonts w:ascii="Arial" w:hAnsi="Arial" w:cs="Arial"/>
        </w:rPr>
        <w:t xml:space="preserve">‘In a case such </w:t>
      </w:r>
      <w:r w:rsidR="0025206E">
        <w:rPr>
          <w:rFonts w:ascii="Arial" w:hAnsi="Arial" w:cs="Arial"/>
        </w:rPr>
        <w:t>as the present, where there has been a flagrant breach of the Rules of this Court in more than one respect, and where in addition there is no acceptable explanation for some periods of delay and, indeed, in respect of other periods of delay, no explanation at all, the application should, in my opinion, not be granted whatever the prospects of success may be.’</w:t>
      </w:r>
    </w:p>
    <w:p w14:paraId="672C9C1B" w14:textId="77777777" w:rsidR="0025206E" w:rsidRDefault="0025206E" w:rsidP="0025206E">
      <w:pPr>
        <w:pStyle w:val="ListParagraph"/>
        <w:tabs>
          <w:tab w:val="left" w:pos="851"/>
        </w:tabs>
        <w:spacing w:after="0" w:line="360" w:lineRule="auto"/>
        <w:ind w:left="851"/>
        <w:jc w:val="both"/>
        <w:rPr>
          <w:rFonts w:ascii="Arial" w:hAnsi="Arial" w:cs="Arial"/>
        </w:rPr>
      </w:pPr>
    </w:p>
    <w:p w14:paraId="356DAF9F" w14:textId="76F3F98F" w:rsidR="0025206E" w:rsidRDefault="00181011" w:rsidP="0025206E">
      <w:pPr>
        <w:pStyle w:val="ListParagraph"/>
        <w:tabs>
          <w:tab w:val="left" w:pos="851"/>
        </w:tabs>
        <w:spacing w:after="0" w:line="360" w:lineRule="auto"/>
        <w:ind w:left="851"/>
        <w:jc w:val="both"/>
        <w:rPr>
          <w:rFonts w:ascii="Arial" w:hAnsi="Arial" w:cs="Arial"/>
        </w:rPr>
      </w:pPr>
      <w:r>
        <w:rPr>
          <w:rFonts w:ascii="Arial" w:hAnsi="Arial" w:cs="Arial"/>
        </w:rPr>
        <w:t>‘</w:t>
      </w:r>
      <w:r w:rsidR="0025206E">
        <w:rPr>
          <w:rFonts w:ascii="Arial" w:hAnsi="Arial" w:cs="Arial"/>
        </w:rPr>
        <w:t>In the present case the breaches of the Rules were of such a nature, and the explanation offered in many respects</w:t>
      </w:r>
      <w:r>
        <w:rPr>
          <w:rFonts w:ascii="Arial" w:hAnsi="Arial" w:cs="Arial"/>
        </w:rPr>
        <w:t xml:space="preserve"> so unacceptable or wanting that, </w:t>
      </w:r>
      <w:r>
        <w:rPr>
          <w:rFonts w:ascii="Arial" w:hAnsi="Arial" w:cs="Arial"/>
          <w:i/>
        </w:rPr>
        <w:t>even if virtually all the blame can be attributed to the applicants’ attorneys</w:t>
      </w:r>
      <w:r>
        <w:rPr>
          <w:rFonts w:ascii="Arial" w:hAnsi="Arial" w:cs="Arial"/>
        </w:rPr>
        <w:t>, condonation ought not, in my view, to be granted.’</w:t>
      </w:r>
    </w:p>
    <w:p w14:paraId="280E875A" w14:textId="77777777" w:rsidR="00E76346" w:rsidRPr="00E76346" w:rsidRDefault="00E76346" w:rsidP="00E76346">
      <w:pPr>
        <w:pStyle w:val="ListParagraph"/>
        <w:tabs>
          <w:tab w:val="left" w:pos="851"/>
        </w:tabs>
        <w:spacing w:after="0" w:line="480" w:lineRule="auto"/>
        <w:ind w:left="851"/>
        <w:jc w:val="both"/>
        <w:rPr>
          <w:rFonts w:ascii="Arial" w:hAnsi="Arial" w:cs="Arial"/>
          <w:sz w:val="24"/>
          <w:szCs w:val="24"/>
        </w:rPr>
      </w:pPr>
    </w:p>
    <w:p w14:paraId="5D5814CC" w14:textId="4FC4BA0D" w:rsidR="00A33BD3" w:rsidRDefault="00E76346"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w:t>
      </w:r>
      <w:r w:rsidR="003D4A99">
        <w:rPr>
          <w:rFonts w:ascii="Arial" w:hAnsi="Arial" w:cs="Arial"/>
          <w:sz w:val="24"/>
          <w:szCs w:val="24"/>
        </w:rPr>
        <w:t>legal practitioner</w:t>
      </w:r>
      <w:r w:rsidR="00437450">
        <w:rPr>
          <w:rFonts w:ascii="Arial" w:hAnsi="Arial" w:cs="Arial"/>
          <w:sz w:val="24"/>
          <w:szCs w:val="24"/>
        </w:rPr>
        <w:t>s’</w:t>
      </w:r>
      <w:r>
        <w:rPr>
          <w:rFonts w:ascii="Arial" w:hAnsi="Arial" w:cs="Arial"/>
          <w:sz w:val="24"/>
          <w:szCs w:val="24"/>
        </w:rPr>
        <w:t xml:space="preserve"> explanation for his delay in lodging the application for condonation cannot </w:t>
      </w:r>
      <w:r w:rsidR="00092392">
        <w:rPr>
          <w:rFonts w:ascii="Arial" w:hAnsi="Arial" w:cs="Arial"/>
          <w:sz w:val="24"/>
          <w:szCs w:val="24"/>
        </w:rPr>
        <w:t xml:space="preserve">be </w:t>
      </w:r>
      <w:r>
        <w:rPr>
          <w:rFonts w:ascii="Arial" w:hAnsi="Arial" w:cs="Arial"/>
          <w:sz w:val="24"/>
          <w:szCs w:val="24"/>
        </w:rPr>
        <w:t>said to be sufficient to warrant the grant of condonation. It is a disregard for the rules of this court and amounts to flagrant disregard for them.</w:t>
      </w:r>
      <w:r w:rsidR="003A2D0A">
        <w:rPr>
          <w:rFonts w:ascii="Arial" w:hAnsi="Arial" w:cs="Arial"/>
          <w:sz w:val="24"/>
          <w:szCs w:val="24"/>
        </w:rPr>
        <w:t xml:space="preserve"> In these circumstances </w:t>
      </w:r>
      <w:r w:rsidR="000D1AD7">
        <w:rPr>
          <w:rFonts w:ascii="Arial" w:hAnsi="Arial" w:cs="Arial"/>
          <w:sz w:val="24"/>
          <w:szCs w:val="24"/>
        </w:rPr>
        <w:t xml:space="preserve">the </w:t>
      </w:r>
      <w:r w:rsidR="003A2D0A">
        <w:rPr>
          <w:rFonts w:ascii="Arial" w:hAnsi="Arial" w:cs="Arial"/>
          <w:sz w:val="24"/>
          <w:szCs w:val="24"/>
        </w:rPr>
        <w:t>application to condone the late filing of the security and reinstate the cross-appeal is declined and it is not necessary to express opinion on the prospects of success of the cross-appeal</w:t>
      </w:r>
      <w:r w:rsidR="003A2D0A">
        <w:rPr>
          <w:rStyle w:val="FootnoteReference"/>
          <w:rFonts w:ascii="Arial" w:hAnsi="Arial" w:cs="Arial"/>
          <w:sz w:val="24"/>
          <w:szCs w:val="24"/>
        </w:rPr>
        <w:footnoteReference w:id="10"/>
      </w:r>
      <w:r w:rsidR="003A2D0A">
        <w:rPr>
          <w:rFonts w:ascii="Arial" w:hAnsi="Arial" w:cs="Arial"/>
          <w:sz w:val="24"/>
          <w:szCs w:val="24"/>
        </w:rPr>
        <w:t>.</w:t>
      </w:r>
    </w:p>
    <w:p w14:paraId="5ABFCB6D" w14:textId="77777777" w:rsidR="0029469A" w:rsidRDefault="0029469A" w:rsidP="004D16C3">
      <w:pPr>
        <w:spacing w:after="0" w:line="480" w:lineRule="auto"/>
        <w:jc w:val="both"/>
        <w:rPr>
          <w:rFonts w:ascii="Arial" w:hAnsi="Arial" w:cs="Arial"/>
          <w:sz w:val="24"/>
          <w:szCs w:val="24"/>
        </w:rPr>
      </w:pPr>
    </w:p>
    <w:p w14:paraId="46D19026" w14:textId="3DB913C2" w:rsidR="004D16C3" w:rsidRPr="004D16C3" w:rsidRDefault="004D16C3" w:rsidP="004D16C3">
      <w:pPr>
        <w:spacing w:after="0" w:line="480" w:lineRule="auto"/>
        <w:jc w:val="both"/>
        <w:rPr>
          <w:rFonts w:ascii="Arial" w:hAnsi="Arial" w:cs="Arial"/>
          <w:sz w:val="24"/>
          <w:szCs w:val="24"/>
          <w:u w:val="single"/>
        </w:rPr>
      </w:pPr>
      <w:r>
        <w:rPr>
          <w:rFonts w:ascii="Arial" w:hAnsi="Arial" w:cs="Arial"/>
          <w:sz w:val="24"/>
          <w:szCs w:val="24"/>
          <w:u w:val="single"/>
        </w:rPr>
        <w:t>The question for determination</w:t>
      </w:r>
    </w:p>
    <w:p w14:paraId="094A4AF1" w14:textId="7EAD3287" w:rsidR="0029469A" w:rsidRDefault="0029469A"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only issue which remains for determination</w:t>
      </w:r>
      <w:r w:rsidR="006427EC">
        <w:rPr>
          <w:rFonts w:ascii="Arial" w:hAnsi="Arial" w:cs="Arial"/>
          <w:sz w:val="24"/>
          <w:szCs w:val="24"/>
        </w:rPr>
        <w:t xml:space="preserve"> </w:t>
      </w:r>
      <w:r w:rsidR="00706D57">
        <w:rPr>
          <w:rFonts w:ascii="Arial" w:hAnsi="Arial" w:cs="Arial"/>
          <w:sz w:val="24"/>
          <w:szCs w:val="24"/>
        </w:rPr>
        <w:t>(</w:t>
      </w:r>
      <w:r w:rsidR="006427EC">
        <w:rPr>
          <w:rFonts w:ascii="Arial" w:hAnsi="Arial" w:cs="Arial"/>
          <w:sz w:val="24"/>
          <w:szCs w:val="24"/>
        </w:rPr>
        <w:t>the appeal against the recovery of the amount of N$28 653</w:t>
      </w:r>
      <w:r w:rsidR="00280960">
        <w:rPr>
          <w:rFonts w:ascii="Arial" w:hAnsi="Arial" w:cs="Arial"/>
          <w:sz w:val="24"/>
          <w:szCs w:val="24"/>
        </w:rPr>
        <w:t>, 41</w:t>
      </w:r>
      <w:r w:rsidR="00706D57">
        <w:rPr>
          <w:rFonts w:ascii="Arial" w:hAnsi="Arial" w:cs="Arial"/>
          <w:sz w:val="24"/>
          <w:szCs w:val="24"/>
        </w:rPr>
        <w:t xml:space="preserve"> having being abandoned)</w:t>
      </w:r>
      <w:r w:rsidR="006427EC">
        <w:rPr>
          <w:rFonts w:ascii="Arial" w:hAnsi="Arial" w:cs="Arial"/>
          <w:sz w:val="24"/>
          <w:szCs w:val="24"/>
        </w:rPr>
        <w:t xml:space="preserve"> is whether the second and third respondents should be held jointly and severally liable </w:t>
      </w:r>
      <w:r w:rsidR="00C357DF">
        <w:rPr>
          <w:rFonts w:ascii="Arial" w:hAnsi="Arial" w:cs="Arial"/>
          <w:sz w:val="24"/>
          <w:szCs w:val="24"/>
        </w:rPr>
        <w:t xml:space="preserve">with the first respondent </w:t>
      </w:r>
      <w:r w:rsidR="006427EC">
        <w:rPr>
          <w:rFonts w:ascii="Arial" w:hAnsi="Arial" w:cs="Arial"/>
          <w:sz w:val="24"/>
          <w:szCs w:val="24"/>
        </w:rPr>
        <w:t>for the payment of the amount of N$168 963</w:t>
      </w:r>
      <w:r w:rsidR="00280960">
        <w:rPr>
          <w:rFonts w:ascii="Arial" w:hAnsi="Arial" w:cs="Arial"/>
          <w:sz w:val="24"/>
          <w:szCs w:val="24"/>
        </w:rPr>
        <w:t>, 41</w:t>
      </w:r>
      <w:r w:rsidR="006427EC">
        <w:rPr>
          <w:rFonts w:ascii="Arial" w:hAnsi="Arial" w:cs="Arial"/>
          <w:sz w:val="24"/>
          <w:szCs w:val="24"/>
        </w:rPr>
        <w:t>.</w:t>
      </w:r>
    </w:p>
    <w:p w14:paraId="4F07F506" w14:textId="77777777" w:rsidR="00F50FEB" w:rsidRDefault="00F50FEB" w:rsidP="006427EC">
      <w:pPr>
        <w:spacing w:after="0" w:line="480" w:lineRule="auto"/>
        <w:jc w:val="both"/>
        <w:rPr>
          <w:rFonts w:ascii="Arial" w:hAnsi="Arial" w:cs="Arial"/>
          <w:sz w:val="24"/>
          <w:szCs w:val="24"/>
          <w:u w:val="single"/>
        </w:rPr>
      </w:pPr>
    </w:p>
    <w:p w14:paraId="41DBF1D2" w14:textId="2DD8DCE2" w:rsidR="006427EC" w:rsidRPr="006427EC" w:rsidRDefault="006427EC" w:rsidP="006427EC">
      <w:pPr>
        <w:spacing w:after="0" w:line="480" w:lineRule="auto"/>
        <w:jc w:val="both"/>
        <w:rPr>
          <w:rFonts w:ascii="Arial" w:hAnsi="Arial" w:cs="Arial"/>
          <w:sz w:val="24"/>
          <w:szCs w:val="24"/>
          <w:u w:val="single"/>
        </w:rPr>
      </w:pPr>
      <w:r w:rsidRPr="006427EC">
        <w:rPr>
          <w:rFonts w:ascii="Arial" w:hAnsi="Arial" w:cs="Arial"/>
          <w:sz w:val="24"/>
          <w:szCs w:val="24"/>
          <w:u w:val="single"/>
        </w:rPr>
        <w:lastRenderedPageBreak/>
        <w:t>Submissions</w:t>
      </w:r>
    </w:p>
    <w:p w14:paraId="7BC87595" w14:textId="14157695" w:rsidR="006427EC" w:rsidRDefault="00986F65" w:rsidP="00F4295E">
      <w:pPr>
        <w:pStyle w:val="ListParagraph"/>
        <w:numPr>
          <w:ilvl w:val="0"/>
          <w:numId w:val="1"/>
        </w:numPr>
        <w:tabs>
          <w:tab w:val="left" w:pos="851"/>
        </w:tabs>
        <w:spacing w:after="0" w:line="480" w:lineRule="auto"/>
        <w:ind w:left="0" w:firstLine="0"/>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Strydom</w:t>
      </w:r>
      <w:proofErr w:type="spellEnd"/>
      <w:r>
        <w:rPr>
          <w:rFonts w:ascii="Arial" w:hAnsi="Arial" w:cs="Arial"/>
          <w:sz w:val="24"/>
          <w:szCs w:val="24"/>
        </w:rPr>
        <w:t xml:space="preserve"> for the appellant reiterated the submission he raised in the court </w:t>
      </w:r>
      <w:r>
        <w:rPr>
          <w:rFonts w:ascii="Arial" w:hAnsi="Arial" w:cs="Arial"/>
          <w:i/>
          <w:sz w:val="24"/>
          <w:szCs w:val="24"/>
        </w:rPr>
        <w:t xml:space="preserve">a quo </w:t>
      </w:r>
      <w:r>
        <w:rPr>
          <w:rFonts w:ascii="Arial" w:hAnsi="Arial" w:cs="Arial"/>
          <w:sz w:val="24"/>
          <w:szCs w:val="24"/>
        </w:rPr>
        <w:t>that the second and third respondents should be held personally liable</w:t>
      </w:r>
      <w:r w:rsidR="002655C7">
        <w:rPr>
          <w:rFonts w:ascii="Arial" w:hAnsi="Arial" w:cs="Arial"/>
          <w:sz w:val="24"/>
          <w:szCs w:val="24"/>
        </w:rPr>
        <w:t>,</w:t>
      </w:r>
      <w:r>
        <w:rPr>
          <w:rFonts w:ascii="Arial" w:hAnsi="Arial" w:cs="Arial"/>
          <w:sz w:val="24"/>
          <w:szCs w:val="24"/>
        </w:rPr>
        <w:t xml:space="preserve"> jointly and severally together with the first respondent, for p</w:t>
      </w:r>
      <w:r w:rsidR="004D16C3">
        <w:rPr>
          <w:rFonts w:ascii="Arial" w:hAnsi="Arial" w:cs="Arial"/>
          <w:sz w:val="24"/>
          <w:szCs w:val="24"/>
        </w:rPr>
        <w:t>ayment of the appellant’s claim</w:t>
      </w:r>
      <w:r>
        <w:rPr>
          <w:rFonts w:ascii="Arial" w:hAnsi="Arial" w:cs="Arial"/>
          <w:sz w:val="24"/>
          <w:szCs w:val="24"/>
        </w:rPr>
        <w:t xml:space="preserve"> as set out in the particulars of claim. He further submitted that the court </w:t>
      </w:r>
      <w:r>
        <w:rPr>
          <w:rFonts w:ascii="Arial" w:hAnsi="Arial" w:cs="Arial"/>
          <w:i/>
          <w:sz w:val="24"/>
          <w:szCs w:val="24"/>
        </w:rPr>
        <w:t xml:space="preserve">a quo </w:t>
      </w:r>
      <w:r>
        <w:rPr>
          <w:rFonts w:ascii="Arial" w:hAnsi="Arial" w:cs="Arial"/>
          <w:sz w:val="24"/>
          <w:szCs w:val="24"/>
        </w:rPr>
        <w:t>erred in law and/or on the facts when it held that it was necessary for the appellant to have pleaded and allege in his particulars of claim a violation of the provisions of Act 26 of 1998 by the second and third respondents</w:t>
      </w:r>
      <w:r w:rsidR="002655C7">
        <w:rPr>
          <w:rFonts w:ascii="Arial" w:hAnsi="Arial" w:cs="Arial"/>
          <w:sz w:val="24"/>
          <w:szCs w:val="24"/>
        </w:rPr>
        <w:t>,</w:t>
      </w:r>
      <w:r>
        <w:rPr>
          <w:rFonts w:ascii="Arial" w:hAnsi="Arial" w:cs="Arial"/>
          <w:sz w:val="24"/>
          <w:szCs w:val="24"/>
        </w:rPr>
        <w:t xml:space="preserve"> whereas such violation was unequivocally evident from the documents filed of record during the trial and was further admitted by the second and third respondents, </w:t>
      </w:r>
      <w:r w:rsidRPr="002655C7">
        <w:rPr>
          <w:rFonts w:ascii="Arial" w:hAnsi="Arial" w:cs="Arial"/>
          <w:i/>
          <w:sz w:val="24"/>
          <w:szCs w:val="24"/>
        </w:rPr>
        <w:t>albeit</w:t>
      </w:r>
      <w:r>
        <w:rPr>
          <w:rFonts w:ascii="Arial" w:hAnsi="Arial" w:cs="Arial"/>
          <w:sz w:val="24"/>
          <w:szCs w:val="24"/>
        </w:rPr>
        <w:t xml:space="preserve"> on the basis of being ignorant of the law. That the evidence of the appellant throughout </w:t>
      </w:r>
      <w:r w:rsidR="00FC7247">
        <w:rPr>
          <w:rFonts w:ascii="Arial" w:hAnsi="Arial" w:cs="Arial"/>
          <w:sz w:val="24"/>
          <w:szCs w:val="24"/>
        </w:rPr>
        <w:t>remained consistent of the fact that he never knew he was trading with a separate corporate entity and that throughout his dealings with the respondents he was under the impression that he was trading with a family business. That the provisions of s 63 require anything more than what the section provides</w:t>
      </w:r>
      <w:r w:rsidR="00FC7247">
        <w:rPr>
          <w:rStyle w:val="FootnoteReference"/>
          <w:rFonts w:ascii="Arial" w:hAnsi="Arial" w:cs="Arial"/>
          <w:sz w:val="24"/>
          <w:szCs w:val="24"/>
        </w:rPr>
        <w:footnoteReference w:id="11"/>
      </w:r>
      <w:r w:rsidR="00CA5B20">
        <w:rPr>
          <w:rFonts w:ascii="Arial" w:hAnsi="Arial" w:cs="Arial"/>
          <w:sz w:val="24"/>
          <w:szCs w:val="24"/>
        </w:rPr>
        <w:t xml:space="preserve">. That nowhere in the present case did the correct name of the close corporation together with the capital abbreviation of “CC” appear on any documentation exchanged between the parties. Thus the court </w:t>
      </w:r>
      <w:r w:rsidR="00CA5B20">
        <w:rPr>
          <w:rFonts w:ascii="Arial" w:hAnsi="Arial" w:cs="Arial"/>
          <w:i/>
          <w:sz w:val="24"/>
          <w:szCs w:val="24"/>
        </w:rPr>
        <w:t xml:space="preserve">a quo </w:t>
      </w:r>
      <w:r w:rsidR="00CA5B20">
        <w:rPr>
          <w:rFonts w:ascii="Arial" w:hAnsi="Arial" w:cs="Arial"/>
          <w:sz w:val="24"/>
          <w:szCs w:val="24"/>
        </w:rPr>
        <w:t xml:space="preserve">erred when it failed to find that the second and third respondents are personally, jointly and severally liable together </w:t>
      </w:r>
      <w:r w:rsidR="00CA5B20">
        <w:rPr>
          <w:rFonts w:ascii="Arial" w:hAnsi="Arial" w:cs="Arial"/>
          <w:sz w:val="24"/>
          <w:szCs w:val="24"/>
        </w:rPr>
        <w:lastRenderedPageBreak/>
        <w:t>with the first respondent for the claim of the appellant in the amount of N$168 963,41.</w:t>
      </w:r>
    </w:p>
    <w:p w14:paraId="3E60052D" w14:textId="77777777" w:rsidR="00CA5B20" w:rsidRDefault="00CA5B20" w:rsidP="00CA5B20">
      <w:pPr>
        <w:pStyle w:val="ListParagraph"/>
        <w:tabs>
          <w:tab w:val="left" w:pos="851"/>
        </w:tabs>
        <w:spacing w:after="0" w:line="480" w:lineRule="auto"/>
        <w:ind w:left="0"/>
        <w:jc w:val="both"/>
        <w:rPr>
          <w:rFonts w:ascii="Arial" w:hAnsi="Arial" w:cs="Arial"/>
          <w:sz w:val="24"/>
          <w:szCs w:val="24"/>
        </w:rPr>
      </w:pPr>
    </w:p>
    <w:p w14:paraId="2C1EF284" w14:textId="7F73CE1B" w:rsidR="00DC43FF" w:rsidRDefault="00CA5B20"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Counsel for the respondents contended the contrary and the thrust of his argument is that what appellant contended for is not the appellant’s case as pleaded. Appellant should</w:t>
      </w:r>
      <w:r w:rsidR="00706D57">
        <w:rPr>
          <w:rFonts w:ascii="Arial" w:hAnsi="Arial" w:cs="Arial"/>
          <w:sz w:val="24"/>
          <w:szCs w:val="24"/>
        </w:rPr>
        <w:t>,</w:t>
      </w:r>
      <w:r>
        <w:rPr>
          <w:rFonts w:ascii="Arial" w:hAnsi="Arial" w:cs="Arial"/>
          <w:sz w:val="24"/>
          <w:szCs w:val="24"/>
        </w:rPr>
        <w:t xml:space="preserve"> so the argument ran</w:t>
      </w:r>
      <w:r w:rsidR="00706D57">
        <w:rPr>
          <w:rFonts w:ascii="Arial" w:hAnsi="Arial" w:cs="Arial"/>
          <w:sz w:val="24"/>
          <w:szCs w:val="24"/>
        </w:rPr>
        <w:t>,</w:t>
      </w:r>
      <w:r>
        <w:rPr>
          <w:rFonts w:ascii="Arial" w:hAnsi="Arial" w:cs="Arial"/>
          <w:sz w:val="24"/>
          <w:szCs w:val="24"/>
        </w:rPr>
        <w:t xml:space="preserve"> if he intended to rely on the alleged contravention of the Close Corporation Act 26 of 1998</w:t>
      </w:r>
      <w:r w:rsidR="002655C7">
        <w:rPr>
          <w:rFonts w:ascii="Arial" w:hAnsi="Arial" w:cs="Arial"/>
          <w:sz w:val="24"/>
          <w:szCs w:val="24"/>
        </w:rPr>
        <w:t>,</w:t>
      </w:r>
      <w:r>
        <w:rPr>
          <w:rFonts w:ascii="Arial" w:hAnsi="Arial" w:cs="Arial"/>
          <w:sz w:val="24"/>
          <w:szCs w:val="24"/>
        </w:rPr>
        <w:t xml:space="preserve"> for his intention that the second and third </w:t>
      </w:r>
      <w:r w:rsidR="00652CAB">
        <w:rPr>
          <w:rFonts w:ascii="Arial" w:hAnsi="Arial" w:cs="Arial"/>
          <w:sz w:val="24"/>
          <w:szCs w:val="24"/>
        </w:rPr>
        <w:t>responden</w:t>
      </w:r>
      <w:r>
        <w:rPr>
          <w:rFonts w:ascii="Arial" w:hAnsi="Arial" w:cs="Arial"/>
          <w:sz w:val="24"/>
          <w:szCs w:val="24"/>
        </w:rPr>
        <w:t xml:space="preserve">ts be held personally liable with the first respondent jointly and severally for the payment of the amount in question as a cause of action or a </w:t>
      </w:r>
      <w:proofErr w:type="spellStart"/>
      <w:r>
        <w:rPr>
          <w:rFonts w:ascii="Arial" w:hAnsi="Arial" w:cs="Arial"/>
          <w:sz w:val="24"/>
          <w:szCs w:val="24"/>
        </w:rPr>
        <w:t>defence</w:t>
      </w:r>
      <w:proofErr w:type="spellEnd"/>
      <w:r>
        <w:rPr>
          <w:rFonts w:ascii="Arial" w:hAnsi="Arial" w:cs="Arial"/>
          <w:sz w:val="24"/>
          <w:szCs w:val="24"/>
        </w:rPr>
        <w:t>, must have pleaded in clear terms with reference to the statute and provisions therein relied upon and that the appellant has not in his particulars of claim in any way whatsoever referred to or made reliance on the Close Corporation Act. Counsel further contended that appellant’s denials that he was not aware that he contracted with a Close Corporation or another separate entity begs the question how appellant issued su</w:t>
      </w:r>
      <w:r w:rsidR="00DC43FF">
        <w:rPr>
          <w:rFonts w:ascii="Arial" w:hAnsi="Arial" w:cs="Arial"/>
          <w:sz w:val="24"/>
          <w:szCs w:val="24"/>
        </w:rPr>
        <w:t>mmons against the first respondent citing it in its capacity as a Close Corporation. This argument counsel for appellant countered by contending that it was unnecessary to plead the relevant provisions of the Close Corporation</w:t>
      </w:r>
      <w:r w:rsidR="002655C7">
        <w:rPr>
          <w:rFonts w:ascii="Arial" w:hAnsi="Arial" w:cs="Arial"/>
          <w:sz w:val="24"/>
          <w:szCs w:val="24"/>
        </w:rPr>
        <w:t xml:space="preserve"> Act </w:t>
      </w:r>
      <w:r w:rsidR="00DC43FF">
        <w:rPr>
          <w:rFonts w:ascii="Arial" w:hAnsi="Arial" w:cs="Arial"/>
          <w:sz w:val="24"/>
          <w:szCs w:val="24"/>
        </w:rPr>
        <w:t>but added that, if it was necessary an amendment of the plea should be granted, there being no conceivable prejudice to the respondent.</w:t>
      </w:r>
    </w:p>
    <w:p w14:paraId="594937C3" w14:textId="77777777" w:rsidR="00DC43FF" w:rsidRDefault="00DC43FF" w:rsidP="00DC43FF">
      <w:pPr>
        <w:pStyle w:val="ListParagraph"/>
        <w:tabs>
          <w:tab w:val="left" w:pos="851"/>
        </w:tabs>
        <w:spacing w:after="0" w:line="480" w:lineRule="auto"/>
        <w:ind w:left="0"/>
        <w:jc w:val="both"/>
        <w:rPr>
          <w:rFonts w:ascii="Arial" w:hAnsi="Arial" w:cs="Arial"/>
          <w:sz w:val="24"/>
          <w:szCs w:val="24"/>
        </w:rPr>
      </w:pPr>
    </w:p>
    <w:p w14:paraId="75340FA6" w14:textId="7BE19C89" w:rsidR="00CA5B20" w:rsidRDefault="00DC43FF"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my view the learned Judge President was fully justified in coming to the conclusion in para [13] above and I am not prepared to differ from him on the conclusion to which he came. One of the prime functions of pleadings is to clarify </w:t>
      </w:r>
      <w:r>
        <w:rPr>
          <w:rFonts w:ascii="Arial" w:hAnsi="Arial" w:cs="Arial"/>
          <w:sz w:val="24"/>
          <w:szCs w:val="24"/>
        </w:rPr>
        <w:lastRenderedPageBreak/>
        <w:t>the issues between the parties</w:t>
      </w:r>
      <w:r>
        <w:rPr>
          <w:rStyle w:val="FootnoteReference"/>
          <w:rFonts w:ascii="Arial" w:hAnsi="Arial" w:cs="Arial"/>
          <w:sz w:val="24"/>
          <w:szCs w:val="24"/>
        </w:rPr>
        <w:footnoteReference w:id="12"/>
      </w:r>
      <w:r w:rsidR="00EF49F3">
        <w:rPr>
          <w:rFonts w:ascii="Arial" w:hAnsi="Arial" w:cs="Arial"/>
          <w:sz w:val="24"/>
          <w:szCs w:val="24"/>
        </w:rPr>
        <w:t>, and to enable the other party to know what case he has to meet</w:t>
      </w:r>
      <w:r w:rsidR="00EF49F3">
        <w:rPr>
          <w:rStyle w:val="FootnoteReference"/>
          <w:rFonts w:ascii="Arial" w:hAnsi="Arial" w:cs="Arial"/>
          <w:sz w:val="24"/>
          <w:szCs w:val="24"/>
        </w:rPr>
        <w:footnoteReference w:id="13"/>
      </w:r>
      <w:r w:rsidR="008B4EB6">
        <w:rPr>
          <w:rFonts w:ascii="Arial" w:hAnsi="Arial" w:cs="Arial"/>
          <w:sz w:val="24"/>
          <w:szCs w:val="24"/>
        </w:rPr>
        <w:t xml:space="preserve">. In </w:t>
      </w:r>
      <w:r w:rsidR="008B4EB6">
        <w:rPr>
          <w:rFonts w:ascii="Arial" w:hAnsi="Arial" w:cs="Arial"/>
          <w:i/>
          <w:sz w:val="24"/>
          <w:szCs w:val="24"/>
        </w:rPr>
        <w:t>Robinson v Randfontein Estates G.M. Co. Ltd</w:t>
      </w:r>
      <w:r w:rsidR="008B4EB6">
        <w:rPr>
          <w:rStyle w:val="FootnoteReference"/>
          <w:rFonts w:ascii="Arial" w:hAnsi="Arial" w:cs="Arial"/>
          <w:i/>
          <w:sz w:val="24"/>
          <w:szCs w:val="24"/>
        </w:rPr>
        <w:footnoteReference w:id="14"/>
      </w:r>
      <w:r w:rsidR="002655C7">
        <w:rPr>
          <w:rFonts w:ascii="Arial" w:hAnsi="Arial" w:cs="Arial"/>
          <w:sz w:val="24"/>
          <w:szCs w:val="24"/>
        </w:rPr>
        <w:t>,</w:t>
      </w:r>
      <w:r w:rsidR="008B4EB6">
        <w:rPr>
          <w:rFonts w:ascii="Arial" w:hAnsi="Arial" w:cs="Arial"/>
          <w:sz w:val="24"/>
          <w:szCs w:val="24"/>
        </w:rPr>
        <w:t xml:space="preserve"> Innes CJ succinctly spelt it </w:t>
      </w:r>
      <w:r w:rsidR="00EB345C">
        <w:rPr>
          <w:rFonts w:ascii="Arial" w:hAnsi="Arial" w:cs="Arial"/>
          <w:sz w:val="24"/>
          <w:szCs w:val="24"/>
        </w:rPr>
        <w:t xml:space="preserve">out </w:t>
      </w:r>
      <w:r w:rsidR="008B4EB6">
        <w:rPr>
          <w:rFonts w:ascii="Arial" w:hAnsi="Arial" w:cs="Arial"/>
          <w:sz w:val="24"/>
          <w:szCs w:val="24"/>
        </w:rPr>
        <w:t>this way:</w:t>
      </w:r>
    </w:p>
    <w:p w14:paraId="2D3A7ED8" w14:textId="77777777" w:rsidR="008B4EB6" w:rsidRPr="008B4EB6" w:rsidRDefault="008B4EB6" w:rsidP="00706D57">
      <w:pPr>
        <w:pStyle w:val="ListParagraph"/>
        <w:spacing w:after="0" w:line="480" w:lineRule="auto"/>
        <w:jc w:val="both"/>
        <w:rPr>
          <w:rFonts w:ascii="Arial" w:hAnsi="Arial" w:cs="Arial"/>
          <w:sz w:val="24"/>
          <w:szCs w:val="24"/>
        </w:rPr>
      </w:pPr>
    </w:p>
    <w:p w14:paraId="355F89E9" w14:textId="018ACF81" w:rsidR="008B4EB6" w:rsidRPr="008B4EB6" w:rsidRDefault="008B4EB6" w:rsidP="008B4EB6">
      <w:pPr>
        <w:pStyle w:val="ListParagraph"/>
        <w:tabs>
          <w:tab w:val="left" w:pos="851"/>
        </w:tabs>
        <w:spacing w:after="0" w:line="360" w:lineRule="auto"/>
        <w:jc w:val="both"/>
        <w:rPr>
          <w:rFonts w:ascii="Arial" w:hAnsi="Arial" w:cs="Arial"/>
        </w:rPr>
      </w:pPr>
      <w:r>
        <w:rPr>
          <w:rFonts w:ascii="Arial" w:hAnsi="Arial" w:cs="Arial"/>
        </w:rPr>
        <w:t>‘The object of pleading is to define the issues; and parties will be kept strictly to their pleas where any departure would cause prejudice or would prevent full enquiry. But within those limits the Court has a wide discretion. For pleadings are made for the Court, not the Court for pleadings. And where a party has had every facility to place all the facts before the trial Court and the investigation into all the circumstances has been as thorough and as patient as in this instance, there is no justification for interference by an appellate tribunal, merely because the pleading of the opponent has not been as explicit as it might have been.’</w:t>
      </w:r>
    </w:p>
    <w:p w14:paraId="0A5CEC5C" w14:textId="77777777" w:rsidR="008B4EB6" w:rsidRPr="008B4EB6" w:rsidRDefault="008B4EB6" w:rsidP="00706D57">
      <w:pPr>
        <w:pStyle w:val="ListParagraph"/>
        <w:spacing w:after="0" w:line="480" w:lineRule="auto"/>
        <w:jc w:val="both"/>
        <w:rPr>
          <w:rFonts w:ascii="Arial" w:hAnsi="Arial" w:cs="Arial"/>
          <w:sz w:val="24"/>
          <w:szCs w:val="24"/>
        </w:rPr>
      </w:pPr>
    </w:p>
    <w:p w14:paraId="13F817A6" w14:textId="367D3554" w:rsidR="008B4EB6" w:rsidRDefault="008B4EB6"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A pleader cannot be allowed to direct the attention of the other party to one issue and then at the trial attempt to canvass another</w:t>
      </w:r>
      <w:r>
        <w:rPr>
          <w:rStyle w:val="FootnoteReference"/>
          <w:rFonts w:ascii="Arial" w:hAnsi="Arial" w:cs="Arial"/>
          <w:sz w:val="24"/>
          <w:szCs w:val="24"/>
        </w:rPr>
        <w:footnoteReference w:id="15"/>
      </w:r>
      <w:r w:rsidR="008553B7">
        <w:rPr>
          <w:rFonts w:ascii="Arial" w:hAnsi="Arial" w:cs="Arial"/>
          <w:sz w:val="24"/>
          <w:szCs w:val="24"/>
        </w:rPr>
        <w:t xml:space="preserve">. The reliance on the alleged contraventions of the Close Corporation provisions to hold the second and third respondents personally liable with the first respondent jointly and </w:t>
      </w:r>
      <w:r w:rsidR="00706D57">
        <w:rPr>
          <w:rFonts w:ascii="Arial" w:hAnsi="Arial" w:cs="Arial"/>
          <w:sz w:val="24"/>
          <w:szCs w:val="24"/>
        </w:rPr>
        <w:t>severally</w:t>
      </w:r>
      <w:r w:rsidR="008553B7">
        <w:rPr>
          <w:rFonts w:ascii="Arial" w:hAnsi="Arial" w:cs="Arial"/>
          <w:sz w:val="24"/>
          <w:szCs w:val="24"/>
        </w:rPr>
        <w:t xml:space="preserve"> must have been specifically and unambiguously pleaded, and not left to be inferred </w:t>
      </w:r>
      <w:r w:rsidR="004733B9">
        <w:rPr>
          <w:rFonts w:ascii="Arial" w:hAnsi="Arial" w:cs="Arial"/>
          <w:sz w:val="24"/>
          <w:szCs w:val="24"/>
        </w:rPr>
        <w:t>from documents filed and/or discovered by the parties. In paras 5 and 6 of the particulars of claim i</w:t>
      </w:r>
      <w:r w:rsidR="00706D57">
        <w:rPr>
          <w:rFonts w:ascii="Arial" w:hAnsi="Arial" w:cs="Arial"/>
          <w:sz w:val="24"/>
          <w:szCs w:val="24"/>
        </w:rPr>
        <w:t>t i</w:t>
      </w:r>
      <w:r w:rsidR="004733B9">
        <w:rPr>
          <w:rFonts w:ascii="Arial" w:hAnsi="Arial" w:cs="Arial"/>
          <w:sz w:val="24"/>
          <w:szCs w:val="24"/>
        </w:rPr>
        <w:t>s clear that the claim was against the first respondent, alternatively against the second and third respondents jointly and severally and throughout the body of the claim</w:t>
      </w:r>
      <w:r w:rsidR="002655C7">
        <w:rPr>
          <w:rFonts w:ascii="Arial" w:hAnsi="Arial" w:cs="Arial"/>
          <w:sz w:val="24"/>
          <w:szCs w:val="24"/>
        </w:rPr>
        <w:t>,</w:t>
      </w:r>
      <w:r w:rsidR="004733B9">
        <w:rPr>
          <w:rFonts w:ascii="Arial" w:hAnsi="Arial" w:cs="Arial"/>
          <w:sz w:val="24"/>
          <w:szCs w:val="24"/>
        </w:rPr>
        <w:t xml:space="preserve"> the second and third respondents are referred to in the alternative. Paragraphs 5 and 6 are in this form.</w:t>
      </w:r>
    </w:p>
    <w:p w14:paraId="453EFF96" w14:textId="77777777" w:rsidR="004733B9" w:rsidRDefault="004733B9" w:rsidP="004733B9">
      <w:pPr>
        <w:pStyle w:val="ListParagraph"/>
        <w:tabs>
          <w:tab w:val="left" w:pos="851"/>
        </w:tabs>
        <w:spacing w:after="0" w:line="480" w:lineRule="auto"/>
        <w:ind w:left="0"/>
        <w:jc w:val="both"/>
        <w:rPr>
          <w:rFonts w:ascii="Arial" w:hAnsi="Arial" w:cs="Arial"/>
          <w:sz w:val="24"/>
          <w:szCs w:val="24"/>
        </w:rPr>
      </w:pPr>
    </w:p>
    <w:p w14:paraId="1CDFF1DD" w14:textId="6EB86919" w:rsidR="004733B9" w:rsidRDefault="004733B9" w:rsidP="004733B9">
      <w:pPr>
        <w:pStyle w:val="ListParagraph"/>
        <w:tabs>
          <w:tab w:val="left" w:pos="851"/>
        </w:tabs>
        <w:spacing w:after="0" w:line="360" w:lineRule="auto"/>
        <w:ind w:left="1440" w:hanging="1440"/>
        <w:jc w:val="both"/>
        <w:rPr>
          <w:rFonts w:ascii="Arial" w:hAnsi="Arial" w:cs="Arial"/>
        </w:rPr>
      </w:pPr>
      <w:r>
        <w:rPr>
          <w:rFonts w:ascii="Arial" w:hAnsi="Arial" w:cs="Arial"/>
          <w:sz w:val="24"/>
          <w:szCs w:val="24"/>
        </w:rPr>
        <w:lastRenderedPageBreak/>
        <w:tab/>
      </w:r>
      <w:r>
        <w:rPr>
          <w:rFonts w:ascii="Arial" w:hAnsi="Arial" w:cs="Arial"/>
        </w:rPr>
        <w:t>‘5.</w:t>
      </w:r>
      <w:r>
        <w:rPr>
          <w:rFonts w:ascii="Arial" w:hAnsi="Arial" w:cs="Arial"/>
        </w:rPr>
        <w:tab/>
        <w:t>Plaintiff’s claim as hereinafter set out is against the First Defendant alternatively against Second and Third Defendants jointly and severally, who were at all relevant times acting in partnership under the name and style of Leopard Tours.</w:t>
      </w:r>
    </w:p>
    <w:p w14:paraId="28B88119" w14:textId="77777777" w:rsidR="004733B9" w:rsidRDefault="004733B9" w:rsidP="004733B9">
      <w:pPr>
        <w:pStyle w:val="ListParagraph"/>
        <w:tabs>
          <w:tab w:val="left" w:pos="851"/>
        </w:tabs>
        <w:spacing w:after="0" w:line="360" w:lineRule="auto"/>
        <w:ind w:left="1440" w:hanging="1440"/>
        <w:jc w:val="both"/>
        <w:rPr>
          <w:rFonts w:ascii="Arial" w:hAnsi="Arial" w:cs="Arial"/>
        </w:rPr>
      </w:pPr>
    </w:p>
    <w:p w14:paraId="493D5268" w14:textId="1C4AFCCB" w:rsidR="004733B9" w:rsidRDefault="004733B9" w:rsidP="004733B9">
      <w:pPr>
        <w:pStyle w:val="ListParagraph"/>
        <w:numPr>
          <w:ilvl w:val="0"/>
          <w:numId w:val="40"/>
        </w:numPr>
        <w:tabs>
          <w:tab w:val="left" w:pos="851"/>
        </w:tabs>
        <w:spacing w:after="0" w:line="360" w:lineRule="auto"/>
        <w:jc w:val="both"/>
        <w:rPr>
          <w:rFonts w:ascii="Arial" w:hAnsi="Arial" w:cs="Arial"/>
        </w:rPr>
      </w:pPr>
      <w:r>
        <w:rPr>
          <w:rFonts w:ascii="Arial" w:hAnsi="Arial" w:cs="Arial"/>
        </w:rPr>
        <w:t>In or about the 25</w:t>
      </w:r>
      <w:r w:rsidRPr="004733B9">
        <w:rPr>
          <w:rFonts w:ascii="Arial" w:hAnsi="Arial" w:cs="Arial"/>
          <w:vertAlign w:val="superscript"/>
        </w:rPr>
        <w:t>th</w:t>
      </w:r>
      <w:r>
        <w:rPr>
          <w:rFonts w:ascii="Arial" w:hAnsi="Arial" w:cs="Arial"/>
        </w:rPr>
        <w:t xml:space="preserve"> of January 2004, First Defendant represented by Second and Third Defendants personally representing their partnership known as Leopard Tours made representations to Plaintiff by way of their 8 page prospectus stating among </w:t>
      </w:r>
      <w:r w:rsidR="00F86774">
        <w:rPr>
          <w:rFonts w:ascii="Arial" w:hAnsi="Arial" w:cs="Arial"/>
        </w:rPr>
        <w:t>other allegations the following.’</w:t>
      </w:r>
    </w:p>
    <w:p w14:paraId="53F225C4" w14:textId="77777777" w:rsidR="004733B9" w:rsidRPr="00F86774" w:rsidRDefault="004733B9" w:rsidP="00F86774">
      <w:pPr>
        <w:pStyle w:val="ListParagraph"/>
        <w:tabs>
          <w:tab w:val="left" w:pos="851"/>
        </w:tabs>
        <w:spacing w:after="0" w:line="480" w:lineRule="auto"/>
        <w:ind w:left="0"/>
        <w:jc w:val="both"/>
        <w:rPr>
          <w:rFonts w:ascii="Arial" w:hAnsi="Arial" w:cs="Arial"/>
          <w:sz w:val="24"/>
          <w:szCs w:val="24"/>
        </w:rPr>
      </w:pPr>
    </w:p>
    <w:p w14:paraId="751B6E06" w14:textId="3B87D926" w:rsidR="004733B9" w:rsidRDefault="00F86774"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trial commen</w:t>
      </w:r>
      <w:r w:rsidR="00706D57">
        <w:rPr>
          <w:rFonts w:ascii="Arial" w:hAnsi="Arial" w:cs="Arial"/>
          <w:sz w:val="24"/>
          <w:szCs w:val="24"/>
        </w:rPr>
        <w:t>c</w:t>
      </w:r>
      <w:r>
        <w:rPr>
          <w:rFonts w:ascii="Arial" w:hAnsi="Arial" w:cs="Arial"/>
          <w:sz w:val="24"/>
          <w:szCs w:val="24"/>
        </w:rPr>
        <w:t xml:space="preserve">ed on 20 November 2013 and continued intermittently, judgment was delivered on 5 December 2016. It is a span of three years, the record runs into 14 volumes of 1695 pages. The parties have had the opportunity to place their facts before court. The second and third respondents were cross-examined </w:t>
      </w:r>
      <w:r>
        <w:rPr>
          <w:rFonts w:ascii="Arial" w:hAnsi="Arial" w:cs="Arial"/>
          <w:i/>
          <w:sz w:val="24"/>
          <w:szCs w:val="24"/>
        </w:rPr>
        <w:t xml:space="preserve">ad </w:t>
      </w:r>
      <w:proofErr w:type="spellStart"/>
      <w:r>
        <w:rPr>
          <w:rFonts w:ascii="Arial" w:hAnsi="Arial" w:cs="Arial"/>
          <w:i/>
          <w:sz w:val="24"/>
          <w:szCs w:val="24"/>
        </w:rPr>
        <w:t>nauseum</w:t>
      </w:r>
      <w:proofErr w:type="spellEnd"/>
      <w:r>
        <w:rPr>
          <w:rFonts w:ascii="Arial" w:hAnsi="Arial" w:cs="Arial"/>
          <w:i/>
          <w:sz w:val="24"/>
          <w:szCs w:val="24"/>
        </w:rPr>
        <w:t xml:space="preserve"> </w:t>
      </w:r>
      <w:r>
        <w:rPr>
          <w:rFonts w:ascii="Arial" w:hAnsi="Arial" w:cs="Arial"/>
          <w:sz w:val="24"/>
          <w:szCs w:val="24"/>
        </w:rPr>
        <w:t>on the alleged trans</w:t>
      </w:r>
      <w:r w:rsidR="00706D57">
        <w:rPr>
          <w:rFonts w:ascii="Arial" w:hAnsi="Arial" w:cs="Arial"/>
          <w:sz w:val="24"/>
          <w:szCs w:val="24"/>
        </w:rPr>
        <w:t>gressions</w:t>
      </w:r>
      <w:r>
        <w:rPr>
          <w:rFonts w:ascii="Arial" w:hAnsi="Arial" w:cs="Arial"/>
          <w:sz w:val="24"/>
          <w:szCs w:val="24"/>
        </w:rPr>
        <w:t xml:space="preserve"> of the Close Corporation provisions, which to a great extent they admitted</w:t>
      </w:r>
      <w:r w:rsidR="00856BC5">
        <w:rPr>
          <w:rFonts w:ascii="Arial" w:hAnsi="Arial" w:cs="Arial"/>
          <w:sz w:val="24"/>
          <w:szCs w:val="24"/>
        </w:rPr>
        <w:t>,</w:t>
      </w:r>
      <w:r>
        <w:rPr>
          <w:rFonts w:ascii="Arial" w:hAnsi="Arial" w:cs="Arial"/>
          <w:sz w:val="24"/>
          <w:szCs w:val="24"/>
        </w:rPr>
        <w:t xml:space="preserve"> but citing ignorance of the law. There is no reason why an amendment was not sought</w:t>
      </w:r>
      <w:r w:rsidR="00652CAB">
        <w:rPr>
          <w:rFonts w:ascii="Arial" w:hAnsi="Arial" w:cs="Arial"/>
          <w:sz w:val="24"/>
          <w:szCs w:val="24"/>
        </w:rPr>
        <w:t>,</w:t>
      </w:r>
      <w:r>
        <w:rPr>
          <w:rFonts w:ascii="Arial" w:hAnsi="Arial" w:cs="Arial"/>
          <w:sz w:val="24"/>
          <w:szCs w:val="24"/>
        </w:rPr>
        <w:t xml:space="preserve"> except that the claim was against the first respondent and the insistence on wanting to hold the second and third respondents jointly and severally</w:t>
      </w:r>
      <w:r w:rsidR="00856BC5">
        <w:rPr>
          <w:rFonts w:ascii="Arial" w:hAnsi="Arial" w:cs="Arial"/>
          <w:sz w:val="24"/>
          <w:szCs w:val="24"/>
        </w:rPr>
        <w:t xml:space="preserve"> liable</w:t>
      </w:r>
      <w:r>
        <w:rPr>
          <w:rFonts w:ascii="Arial" w:hAnsi="Arial" w:cs="Arial"/>
          <w:sz w:val="24"/>
          <w:szCs w:val="24"/>
        </w:rPr>
        <w:t>, which was the only ground of appeal to this court</w:t>
      </w:r>
      <w:r w:rsidR="00652CAB">
        <w:rPr>
          <w:rFonts w:ascii="Arial" w:hAnsi="Arial" w:cs="Arial"/>
          <w:sz w:val="24"/>
          <w:szCs w:val="24"/>
        </w:rPr>
        <w:t>,</w:t>
      </w:r>
      <w:r>
        <w:rPr>
          <w:rFonts w:ascii="Arial" w:hAnsi="Arial" w:cs="Arial"/>
          <w:sz w:val="24"/>
          <w:szCs w:val="24"/>
        </w:rPr>
        <w:t xml:space="preserve"> lacks merit and as already </w:t>
      </w:r>
      <w:r w:rsidR="00706D57">
        <w:rPr>
          <w:rFonts w:ascii="Arial" w:hAnsi="Arial" w:cs="Arial"/>
          <w:sz w:val="24"/>
          <w:szCs w:val="24"/>
        </w:rPr>
        <w:t xml:space="preserve">said </w:t>
      </w:r>
      <w:r>
        <w:rPr>
          <w:rFonts w:ascii="Arial" w:hAnsi="Arial" w:cs="Arial"/>
          <w:sz w:val="24"/>
          <w:szCs w:val="24"/>
        </w:rPr>
        <w:t xml:space="preserve">I do not intend to depart from the conclusion of the court </w:t>
      </w:r>
      <w:r>
        <w:rPr>
          <w:rFonts w:ascii="Arial" w:hAnsi="Arial" w:cs="Arial"/>
          <w:i/>
          <w:sz w:val="24"/>
          <w:szCs w:val="24"/>
        </w:rPr>
        <w:t xml:space="preserve">a quo </w:t>
      </w:r>
      <w:r>
        <w:rPr>
          <w:rFonts w:ascii="Arial" w:hAnsi="Arial" w:cs="Arial"/>
          <w:sz w:val="24"/>
          <w:szCs w:val="24"/>
        </w:rPr>
        <w:t>on that point. It was not pleaded and it should fail.</w:t>
      </w:r>
    </w:p>
    <w:p w14:paraId="0B006EB2" w14:textId="77777777" w:rsidR="00C357DF" w:rsidRDefault="00C357DF" w:rsidP="00C357DF">
      <w:pPr>
        <w:pStyle w:val="ListParagraph"/>
        <w:tabs>
          <w:tab w:val="left" w:pos="851"/>
        </w:tabs>
        <w:spacing w:after="0" w:line="480" w:lineRule="auto"/>
        <w:ind w:left="0"/>
        <w:jc w:val="both"/>
        <w:rPr>
          <w:rFonts w:ascii="Arial" w:hAnsi="Arial" w:cs="Arial"/>
          <w:sz w:val="24"/>
          <w:szCs w:val="24"/>
        </w:rPr>
      </w:pPr>
    </w:p>
    <w:p w14:paraId="47C62DC7" w14:textId="77777777" w:rsidR="0087102E" w:rsidRDefault="00C357DF"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addition the bold assertion on behalf of appellant that there will be no prejudice to respondents if an amendment is granted at this late stage is problematic. As </w:t>
      </w:r>
      <w:r w:rsidR="00E46DD4">
        <w:rPr>
          <w:rFonts w:ascii="Arial" w:hAnsi="Arial" w:cs="Arial"/>
          <w:sz w:val="24"/>
          <w:szCs w:val="24"/>
        </w:rPr>
        <w:t>is evident from s 63</w:t>
      </w:r>
      <w:r w:rsidR="00460C24">
        <w:rPr>
          <w:rFonts w:ascii="Arial" w:hAnsi="Arial" w:cs="Arial"/>
          <w:sz w:val="24"/>
          <w:szCs w:val="24"/>
        </w:rPr>
        <w:t>, joint liability will only arise</w:t>
      </w:r>
      <w:r w:rsidR="00E46DD4">
        <w:rPr>
          <w:rFonts w:ascii="Arial" w:hAnsi="Arial" w:cs="Arial"/>
          <w:sz w:val="24"/>
          <w:szCs w:val="24"/>
        </w:rPr>
        <w:t xml:space="preserve"> where the relevant </w:t>
      </w:r>
      <w:r w:rsidR="00460C24">
        <w:rPr>
          <w:rFonts w:ascii="Arial" w:hAnsi="Arial" w:cs="Arial"/>
          <w:sz w:val="24"/>
          <w:szCs w:val="24"/>
        </w:rPr>
        <w:t xml:space="preserve">transaction from which the debt accrued </w:t>
      </w:r>
      <w:r w:rsidR="00B65991">
        <w:rPr>
          <w:rFonts w:ascii="Arial" w:hAnsi="Arial" w:cs="Arial"/>
          <w:sz w:val="24"/>
          <w:szCs w:val="24"/>
        </w:rPr>
        <w:t>to the corporation was a consequence of the omission to</w:t>
      </w:r>
      <w:r w:rsidR="00E46DD4">
        <w:rPr>
          <w:rFonts w:ascii="Arial" w:hAnsi="Arial" w:cs="Arial"/>
          <w:sz w:val="24"/>
          <w:szCs w:val="24"/>
        </w:rPr>
        <w:t xml:space="preserve"> </w:t>
      </w:r>
      <w:r w:rsidR="00B65991">
        <w:rPr>
          <w:rFonts w:ascii="Arial" w:hAnsi="Arial" w:cs="Arial"/>
          <w:sz w:val="24"/>
          <w:szCs w:val="24"/>
        </w:rPr>
        <w:t xml:space="preserve">use the abbreviation </w:t>
      </w:r>
      <w:r w:rsidR="00652CAB">
        <w:rPr>
          <w:rFonts w:ascii="Arial" w:hAnsi="Arial" w:cs="Arial"/>
          <w:sz w:val="24"/>
          <w:szCs w:val="24"/>
        </w:rPr>
        <w:t>“</w:t>
      </w:r>
      <w:r w:rsidR="00B65991">
        <w:rPr>
          <w:rFonts w:ascii="Arial" w:hAnsi="Arial" w:cs="Arial"/>
          <w:sz w:val="24"/>
          <w:szCs w:val="24"/>
        </w:rPr>
        <w:t>CC</w:t>
      </w:r>
      <w:r w:rsidR="00652CAB">
        <w:rPr>
          <w:rFonts w:ascii="Arial" w:hAnsi="Arial" w:cs="Arial"/>
          <w:sz w:val="24"/>
          <w:szCs w:val="24"/>
        </w:rPr>
        <w:t>”</w:t>
      </w:r>
      <w:r w:rsidR="00B65991">
        <w:rPr>
          <w:rFonts w:ascii="Arial" w:hAnsi="Arial" w:cs="Arial"/>
          <w:sz w:val="24"/>
          <w:szCs w:val="24"/>
        </w:rPr>
        <w:t xml:space="preserve">. In other words the appellant’s lack of knowledge that he was </w:t>
      </w:r>
      <w:r w:rsidR="00460C24">
        <w:rPr>
          <w:rFonts w:ascii="Arial" w:hAnsi="Arial" w:cs="Arial"/>
          <w:sz w:val="24"/>
          <w:szCs w:val="24"/>
        </w:rPr>
        <w:t xml:space="preserve">dealing </w:t>
      </w:r>
      <w:r w:rsidR="00B65991">
        <w:rPr>
          <w:rFonts w:ascii="Arial" w:hAnsi="Arial" w:cs="Arial"/>
          <w:sz w:val="24"/>
          <w:szCs w:val="24"/>
        </w:rPr>
        <w:t xml:space="preserve">with a close corporation must have been caused </w:t>
      </w:r>
      <w:r w:rsidR="00B65991">
        <w:rPr>
          <w:rFonts w:ascii="Arial" w:hAnsi="Arial" w:cs="Arial"/>
          <w:sz w:val="24"/>
          <w:szCs w:val="24"/>
        </w:rPr>
        <w:lastRenderedPageBreak/>
        <w:t xml:space="preserve">exclusively </w:t>
      </w:r>
      <w:r w:rsidR="00460C24">
        <w:rPr>
          <w:rFonts w:ascii="Arial" w:hAnsi="Arial" w:cs="Arial"/>
          <w:sz w:val="24"/>
          <w:szCs w:val="24"/>
        </w:rPr>
        <w:t xml:space="preserve">as a </w:t>
      </w:r>
      <w:r w:rsidR="00B65991">
        <w:rPr>
          <w:rFonts w:ascii="Arial" w:hAnsi="Arial" w:cs="Arial"/>
          <w:sz w:val="24"/>
          <w:szCs w:val="24"/>
        </w:rPr>
        <w:t xml:space="preserve">result of the non-use of the abbreviation. It is clear from the evidence that the abbreviation </w:t>
      </w:r>
      <w:r w:rsidR="0087102E">
        <w:rPr>
          <w:rFonts w:ascii="Arial" w:hAnsi="Arial" w:cs="Arial"/>
          <w:sz w:val="24"/>
          <w:szCs w:val="24"/>
        </w:rPr>
        <w:t>“</w:t>
      </w:r>
      <w:r w:rsidR="00B65991">
        <w:rPr>
          <w:rFonts w:ascii="Arial" w:hAnsi="Arial" w:cs="Arial"/>
          <w:sz w:val="24"/>
          <w:szCs w:val="24"/>
        </w:rPr>
        <w:t>CC</w:t>
      </w:r>
      <w:r w:rsidR="0087102E">
        <w:rPr>
          <w:rFonts w:ascii="Arial" w:hAnsi="Arial" w:cs="Arial"/>
          <w:sz w:val="24"/>
          <w:szCs w:val="24"/>
        </w:rPr>
        <w:t>”</w:t>
      </w:r>
      <w:r w:rsidR="00B65991">
        <w:rPr>
          <w:rFonts w:ascii="Arial" w:hAnsi="Arial" w:cs="Arial"/>
          <w:sz w:val="24"/>
          <w:szCs w:val="24"/>
        </w:rPr>
        <w:t xml:space="preserve"> was mentioned in the documentation provided to the appellant (albeit that the abbreviation was not in capital letters) and </w:t>
      </w:r>
      <w:r w:rsidR="00460C24">
        <w:rPr>
          <w:rFonts w:ascii="Arial" w:hAnsi="Arial" w:cs="Arial"/>
          <w:sz w:val="24"/>
          <w:szCs w:val="24"/>
        </w:rPr>
        <w:t xml:space="preserve">was </w:t>
      </w:r>
      <w:r w:rsidR="00B65991">
        <w:rPr>
          <w:rFonts w:ascii="Arial" w:hAnsi="Arial" w:cs="Arial"/>
          <w:sz w:val="24"/>
          <w:szCs w:val="24"/>
        </w:rPr>
        <w:t xml:space="preserve">neither </w:t>
      </w:r>
      <w:r w:rsidR="0087102E">
        <w:rPr>
          <w:rFonts w:ascii="Arial" w:hAnsi="Arial" w:cs="Arial"/>
          <w:sz w:val="24"/>
          <w:szCs w:val="24"/>
        </w:rPr>
        <w:t xml:space="preserve">dealt with </w:t>
      </w:r>
      <w:r w:rsidR="00460C24">
        <w:rPr>
          <w:rFonts w:ascii="Arial" w:hAnsi="Arial" w:cs="Arial"/>
          <w:sz w:val="24"/>
          <w:szCs w:val="24"/>
        </w:rPr>
        <w:t xml:space="preserve">in </w:t>
      </w:r>
      <w:r w:rsidR="00B65991">
        <w:rPr>
          <w:rFonts w:ascii="Arial" w:hAnsi="Arial" w:cs="Arial"/>
          <w:sz w:val="24"/>
          <w:szCs w:val="24"/>
        </w:rPr>
        <w:t>the evidence</w:t>
      </w:r>
      <w:r w:rsidR="00196564">
        <w:rPr>
          <w:rFonts w:ascii="Arial" w:hAnsi="Arial" w:cs="Arial"/>
          <w:sz w:val="24"/>
          <w:szCs w:val="24"/>
        </w:rPr>
        <w:t>-</w:t>
      </w:r>
      <w:r w:rsidR="00B65991">
        <w:rPr>
          <w:rFonts w:ascii="Arial" w:hAnsi="Arial" w:cs="Arial"/>
          <w:sz w:val="24"/>
          <w:szCs w:val="24"/>
        </w:rPr>
        <w:t>in</w:t>
      </w:r>
      <w:r w:rsidR="00196564">
        <w:rPr>
          <w:rFonts w:ascii="Arial" w:hAnsi="Arial" w:cs="Arial"/>
          <w:sz w:val="24"/>
          <w:szCs w:val="24"/>
        </w:rPr>
        <w:t>-</w:t>
      </w:r>
      <w:r w:rsidR="00B65991">
        <w:rPr>
          <w:rFonts w:ascii="Arial" w:hAnsi="Arial" w:cs="Arial"/>
          <w:sz w:val="24"/>
          <w:szCs w:val="24"/>
        </w:rPr>
        <w:t xml:space="preserve">chief </w:t>
      </w:r>
      <w:r w:rsidR="0087102E">
        <w:rPr>
          <w:rFonts w:ascii="Arial" w:hAnsi="Arial" w:cs="Arial"/>
          <w:sz w:val="24"/>
          <w:szCs w:val="24"/>
        </w:rPr>
        <w:t>n</w:t>
      </w:r>
      <w:r w:rsidR="00B65991">
        <w:rPr>
          <w:rFonts w:ascii="Arial" w:hAnsi="Arial" w:cs="Arial"/>
          <w:sz w:val="24"/>
          <w:szCs w:val="24"/>
        </w:rPr>
        <w:t xml:space="preserve">or cross examination </w:t>
      </w:r>
      <w:r w:rsidR="00460C24">
        <w:rPr>
          <w:rFonts w:ascii="Arial" w:hAnsi="Arial" w:cs="Arial"/>
          <w:sz w:val="24"/>
          <w:szCs w:val="24"/>
        </w:rPr>
        <w:t xml:space="preserve">in </w:t>
      </w:r>
      <w:r w:rsidR="00B65991">
        <w:rPr>
          <w:rFonts w:ascii="Arial" w:hAnsi="Arial" w:cs="Arial"/>
          <w:sz w:val="24"/>
          <w:szCs w:val="24"/>
        </w:rPr>
        <w:t>the context of wh</w:t>
      </w:r>
      <w:r w:rsidR="00460C24">
        <w:rPr>
          <w:rFonts w:ascii="Arial" w:hAnsi="Arial" w:cs="Arial"/>
          <w:sz w:val="24"/>
          <w:szCs w:val="24"/>
        </w:rPr>
        <w:t>ether</w:t>
      </w:r>
      <w:r w:rsidR="00B65991">
        <w:rPr>
          <w:rFonts w:ascii="Arial" w:hAnsi="Arial" w:cs="Arial"/>
          <w:sz w:val="24"/>
          <w:szCs w:val="24"/>
        </w:rPr>
        <w:t xml:space="preserve"> </w:t>
      </w:r>
      <w:r w:rsidR="00D470E2">
        <w:rPr>
          <w:rFonts w:ascii="Arial" w:hAnsi="Arial" w:cs="Arial"/>
          <w:sz w:val="24"/>
          <w:szCs w:val="24"/>
        </w:rPr>
        <w:t xml:space="preserve">the </w:t>
      </w:r>
      <w:r w:rsidR="00460C24">
        <w:rPr>
          <w:rFonts w:ascii="Arial" w:hAnsi="Arial" w:cs="Arial"/>
          <w:sz w:val="24"/>
          <w:szCs w:val="24"/>
        </w:rPr>
        <w:t xml:space="preserve">relevant transaction </w:t>
      </w:r>
      <w:r w:rsidR="00B65991">
        <w:rPr>
          <w:rFonts w:ascii="Arial" w:hAnsi="Arial" w:cs="Arial"/>
          <w:sz w:val="24"/>
          <w:szCs w:val="24"/>
        </w:rPr>
        <w:t>could be s</w:t>
      </w:r>
      <w:r w:rsidR="0087102E">
        <w:rPr>
          <w:rFonts w:ascii="Arial" w:hAnsi="Arial" w:cs="Arial"/>
          <w:sz w:val="24"/>
          <w:szCs w:val="24"/>
        </w:rPr>
        <w:t>aid</w:t>
      </w:r>
      <w:r w:rsidR="00B65991">
        <w:rPr>
          <w:rFonts w:ascii="Arial" w:hAnsi="Arial" w:cs="Arial"/>
          <w:sz w:val="24"/>
          <w:szCs w:val="24"/>
        </w:rPr>
        <w:t xml:space="preserve"> to</w:t>
      </w:r>
      <w:r w:rsidR="00460C24">
        <w:rPr>
          <w:rFonts w:ascii="Arial" w:hAnsi="Arial" w:cs="Arial"/>
          <w:sz w:val="24"/>
          <w:szCs w:val="24"/>
        </w:rPr>
        <w:t xml:space="preserve"> have </w:t>
      </w:r>
      <w:r w:rsidR="00B65991">
        <w:rPr>
          <w:rFonts w:ascii="Arial" w:hAnsi="Arial" w:cs="Arial"/>
          <w:sz w:val="24"/>
          <w:szCs w:val="24"/>
        </w:rPr>
        <w:t>be</w:t>
      </w:r>
      <w:r w:rsidR="00460C24">
        <w:rPr>
          <w:rFonts w:ascii="Arial" w:hAnsi="Arial" w:cs="Arial"/>
          <w:sz w:val="24"/>
          <w:szCs w:val="24"/>
        </w:rPr>
        <w:t>en</w:t>
      </w:r>
      <w:r w:rsidR="00B65991">
        <w:rPr>
          <w:rFonts w:ascii="Arial" w:hAnsi="Arial" w:cs="Arial"/>
          <w:sz w:val="24"/>
          <w:szCs w:val="24"/>
        </w:rPr>
        <w:t xml:space="preserve"> exclusive</w:t>
      </w:r>
      <w:r w:rsidR="00D470E2">
        <w:rPr>
          <w:rFonts w:ascii="Arial" w:hAnsi="Arial" w:cs="Arial"/>
          <w:sz w:val="24"/>
          <w:szCs w:val="24"/>
        </w:rPr>
        <w:t>ly</w:t>
      </w:r>
      <w:r w:rsidR="00460C24">
        <w:rPr>
          <w:rFonts w:ascii="Arial" w:hAnsi="Arial" w:cs="Arial"/>
          <w:sz w:val="24"/>
          <w:szCs w:val="24"/>
        </w:rPr>
        <w:t xml:space="preserve"> cause</w:t>
      </w:r>
      <w:r w:rsidR="00D470E2">
        <w:rPr>
          <w:rFonts w:ascii="Arial" w:hAnsi="Arial" w:cs="Arial"/>
          <w:sz w:val="24"/>
          <w:szCs w:val="24"/>
        </w:rPr>
        <w:t>d</w:t>
      </w:r>
      <w:r w:rsidR="00460C24">
        <w:rPr>
          <w:rFonts w:ascii="Arial" w:hAnsi="Arial" w:cs="Arial"/>
          <w:sz w:val="24"/>
          <w:szCs w:val="24"/>
        </w:rPr>
        <w:t xml:space="preserve"> by </w:t>
      </w:r>
      <w:r w:rsidR="00B65991">
        <w:rPr>
          <w:rFonts w:ascii="Arial" w:hAnsi="Arial" w:cs="Arial"/>
          <w:sz w:val="24"/>
          <w:szCs w:val="24"/>
        </w:rPr>
        <w:t>the non-use of the abbreviation</w:t>
      </w:r>
      <w:r w:rsidR="00196564">
        <w:rPr>
          <w:rFonts w:ascii="Arial" w:hAnsi="Arial" w:cs="Arial"/>
          <w:sz w:val="24"/>
          <w:szCs w:val="24"/>
        </w:rPr>
        <w:t>.</w:t>
      </w:r>
    </w:p>
    <w:p w14:paraId="0B3A830C" w14:textId="77777777" w:rsidR="0087102E" w:rsidRPr="0087102E" w:rsidRDefault="0087102E" w:rsidP="0087102E">
      <w:pPr>
        <w:pStyle w:val="ListParagraph"/>
        <w:spacing w:line="480" w:lineRule="auto"/>
        <w:jc w:val="both"/>
        <w:rPr>
          <w:rFonts w:ascii="Arial" w:hAnsi="Arial" w:cs="Arial"/>
          <w:sz w:val="24"/>
          <w:szCs w:val="24"/>
        </w:rPr>
      </w:pPr>
    </w:p>
    <w:p w14:paraId="03A278C9" w14:textId="7E95FFFC" w:rsidR="00C357DF" w:rsidRPr="0087102E" w:rsidRDefault="0087102E" w:rsidP="0087102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If appellant thought the words “CC”, which he acknowledges he saw, denoted something else, it cannot be blamed on the respondents. There are various documents which carried the words and that argument stands be rejected. </w:t>
      </w:r>
      <w:r w:rsidR="00196564" w:rsidRPr="0087102E">
        <w:rPr>
          <w:rFonts w:ascii="Arial" w:hAnsi="Arial" w:cs="Arial"/>
          <w:sz w:val="24"/>
          <w:szCs w:val="24"/>
        </w:rPr>
        <w:t>Furthermore a question arises as to what</w:t>
      </w:r>
      <w:r w:rsidR="00460C24" w:rsidRPr="0087102E">
        <w:rPr>
          <w:rFonts w:ascii="Arial" w:hAnsi="Arial" w:cs="Arial"/>
          <w:sz w:val="24"/>
          <w:szCs w:val="24"/>
        </w:rPr>
        <w:t xml:space="preserve"> transaction is </w:t>
      </w:r>
      <w:r w:rsidR="00196564" w:rsidRPr="0087102E">
        <w:rPr>
          <w:rFonts w:ascii="Arial" w:hAnsi="Arial" w:cs="Arial"/>
          <w:sz w:val="24"/>
          <w:szCs w:val="24"/>
        </w:rPr>
        <w:t xml:space="preserve">the relevant </w:t>
      </w:r>
      <w:r w:rsidR="00460C24" w:rsidRPr="0087102E">
        <w:rPr>
          <w:rFonts w:ascii="Arial" w:hAnsi="Arial" w:cs="Arial"/>
          <w:sz w:val="24"/>
          <w:szCs w:val="24"/>
        </w:rPr>
        <w:t>one</w:t>
      </w:r>
      <w:r w:rsidR="00196564" w:rsidRPr="0087102E">
        <w:rPr>
          <w:rFonts w:ascii="Arial" w:hAnsi="Arial" w:cs="Arial"/>
          <w:sz w:val="24"/>
          <w:szCs w:val="24"/>
        </w:rPr>
        <w:t>. The ent</w:t>
      </w:r>
      <w:r w:rsidR="00460C24" w:rsidRPr="0087102E">
        <w:rPr>
          <w:rFonts w:ascii="Arial" w:hAnsi="Arial" w:cs="Arial"/>
          <w:sz w:val="24"/>
          <w:szCs w:val="24"/>
        </w:rPr>
        <w:t>ering</w:t>
      </w:r>
      <w:r w:rsidR="00196564" w:rsidRPr="0087102E">
        <w:rPr>
          <w:rFonts w:ascii="Arial" w:hAnsi="Arial" w:cs="Arial"/>
          <w:sz w:val="24"/>
          <w:szCs w:val="24"/>
        </w:rPr>
        <w:t xml:space="preserve"> into </w:t>
      </w:r>
      <w:r w:rsidR="00460C24" w:rsidRPr="0087102E">
        <w:rPr>
          <w:rFonts w:ascii="Arial" w:hAnsi="Arial" w:cs="Arial"/>
          <w:sz w:val="24"/>
          <w:szCs w:val="24"/>
        </w:rPr>
        <w:t xml:space="preserve">of </w:t>
      </w:r>
      <w:r w:rsidR="00196564" w:rsidRPr="0087102E">
        <w:rPr>
          <w:rFonts w:ascii="Arial" w:hAnsi="Arial" w:cs="Arial"/>
          <w:sz w:val="24"/>
          <w:szCs w:val="24"/>
        </w:rPr>
        <w:t xml:space="preserve">the </w:t>
      </w:r>
      <w:r w:rsidR="00D470E2" w:rsidRPr="0087102E">
        <w:rPr>
          <w:rFonts w:ascii="Arial" w:hAnsi="Arial" w:cs="Arial"/>
          <w:sz w:val="24"/>
          <w:szCs w:val="24"/>
        </w:rPr>
        <w:t>rental</w:t>
      </w:r>
      <w:r w:rsidR="00196564" w:rsidRPr="0087102E">
        <w:rPr>
          <w:rFonts w:ascii="Arial" w:hAnsi="Arial" w:cs="Arial"/>
          <w:sz w:val="24"/>
          <w:szCs w:val="24"/>
        </w:rPr>
        <w:t xml:space="preserve"> agreement or the ent</w:t>
      </w:r>
      <w:r w:rsidR="00460C24" w:rsidRPr="0087102E">
        <w:rPr>
          <w:rFonts w:ascii="Arial" w:hAnsi="Arial" w:cs="Arial"/>
          <w:sz w:val="24"/>
          <w:szCs w:val="24"/>
        </w:rPr>
        <w:t>ering</w:t>
      </w:r>
      <w:r w:rsidR="00196564" w:rsidRPr="0087102E">
        <w:rPr>
          <w:rFonts w:ascii="Arial" w:hAnsi="Arial" w:cs="Arial"/>
          <w:sz w:val="24"/>
          <w:szCs w:val="24"/>
        </w:rPr>
        <w:t xml:space="preserve"> into the agreement relating to the quantum of damages. When the appellant entered into the latter agreement </w:t>
      </w:r>
      <w:r w:rsidR="00460C24" w:rsidRPr="0087102E">
        <w:rPr>
          <w:rFonts w:ascii="Arial" w:hAnsi="Arial" w:cs="Arial"/>
          <w:sz w:val="24"/>
          <w:szCs w:val="24"/>
        </w:rPr>
        <w:t xml:space="preserve">he knew </w:t>
      </w:r>
      <w:r w:rsidR="00196564" w:rsidRPr="0087102E">
        <w:rPr>
          <w:rFonts w:ascii="Arial" w:hAnsi="Arial" w:cs="Arial"/>
          <w:sz w:val="24"/>
          <w:szCs w:val="24"/>
        </w:rPr>
        <w:t xml:space="preserve">he was </w:t>
      </w:r>
      <w:r w:rsidR="00460C24" w:rsidRPr="0087102E">
        <w:rPr>
          <w:rFonts w:ascii="Arial" w:hAnsi="Arial" w:cs="Arial"/>
          <w:sz w:val="24"/>
          <w:szCs w:val="24"/>
        </w:rPr>
        <w:t>dealing</w:t>
      </w:r>
      <w:r w:rsidR="00196564" w:rsidRPr="0087102E">
        <w:rPr>
          <w:rFonts w:ascii="Arial" w:hAnsi="Arial" w:cs="Arial"/>
          <w:sz w:val="24"/>
          <w:szCs w:val="24"/>
        </w:rPr>
        <w:t xml:space="preserve"> with the close corporation.</w:t>
      </w:r>
      <w:r w:rsidR="00D470E2" w:rsidRPr="0087102E">
        <w:rPr>
          <w:rFonts w:ascii="Arial" w:hAnsi="Arial" w:cs="Arial"/>
          <w:sz w:val="24"/>
          <w:szCs w:val="24"/>
        </w:rPr>
        <w:t xml:space="preserve"> It is clear if this issue had been plea</w:t>
      </w:r>
      <w:r w:rsidR="000D1AD7" w:rsidRPr="0087102E">
        <w:rPr>
          <w:rFonts w:ascii="Arial" w:hAnsi="Arial" w:cs="Arial"/>
          <w:sz w:val="24"/>
          <w:szCs w:val="24"/>
        </w:rPr>
        <w:t>d</w:t>
      </w:r>
      <w:r w:rsidR="00D470E2" w:rsidRPr="0087102E">
        <w:rPr>
          <w:rFonts w:ascii="Arial" w:hAnsi="Arial" w:cs="Arial"/>
          <w:sz w:val="24"/>
          <w:szCs w:val="24"/>
        </w:rPr>
        <w:t>ed</w:t>
      </w:r>
      <w:r>
        <w:rPr>
          <w:rFonts w:ascii="Arial" w:hAnsi="Arial" w:cs="Arial"/>
          <w:sz w:val="24"/>
          <w:szCs w:val="24"/>
        </w:rPr>
        <w:t>,</w:t>
      </w:r>
      <w:r w:rsidR="00D470E2" w:rsidRPr="0087102E">
        <w:rPr>
          <w:rFonts w:ascii="Arial" w:hAnsi="Arial" w:cs="Arial"/>
          <w:sz w:val="24"/>
          <w:szCs w:val="24"/>
        </w:rPr>
        <w:t xml:space="preserve"> respondents would have had potential </w:t>
      </w:r>
      <w:proofErr w:type="spellStart"/>
      <w:r w:rsidR="00D470E2" w:rsidRPr="0087102E">
        <w:rPr>
          <w:rFonts w:ascii="Arial" w:hAnsi="Arial" w:cs="Arial"/>
          <w:sz w:val="24"/>
          <w:szCs w:val="24"/>
        </w:rPr>
        <w:t>defences</w:t>
      </w:r>
      <w:proofErr w:type="spellEnd"/>
      <w:r w:rsidR="00D470E2" w:rsidRPr="0087102E">
        <w:rPr>
          <w:rFonts w:ascii="Arial" w:hAnsi="Arial" w:cs="Arial"/>
          <w:sz w:val="24"/>
          <w:szCs w:val="24"/>
        </w:rPr>
        <w:t xml:space="preserve"> to it which would have resulted in them conducting the case in a different manner.</w:t>
      </w:r>
      <w:r w:rsidR="00196564" w:rsidRPr="0087102E">
        <w:rPr>
          <w:rFonts w:ascii="Arial" w:hAnsi="Arial" w:cs="Arial"/>
          <w:sz w:val="24"/>
          <w:szCs w:val="24"/>
        </w:rPr>
        <w:t xml:space="preserve"> The question of potential prejudice to respondents </w:t>
      </w:r>
      <w:r w:rsidR="00460C24" w:rsidRPr="0087102E">
        <w:rPr>
          <w:rFonts w:ascii="Arial" w:hAnsi="Arial" w:cs="Arial"/>
          <w:sz w:val="24"/>
          <w:szCs w:val="24"/>
        </w:rPr>
        <w:t>if an amendment is</w:t>
      </w:r>
      <w:r w:rsidR="00196564" w:rsidRPr="0087102E">
        <w:rPr>
          <w:rFonts w:ascii="Arial" w:hAnsi="Arial" w:cs="Arial"/>
          <w:sz w:val="24"/>
          <w:szCs w:val="24"/>
        </w:rPr>
        <w:t xml:space="preserve"> granted at this late stage is </w:t>
      </w:r>
      <w:r w:rsidR="006C0BA1" w:rsidRPr="0087102E">
        <w:rPr>
          <w:rFonts w:ascii="Arial" w:hAnsi="Arial" w:cs="Arial"/>
          <w:sz w:val="24"/>
          <w:szCs w:val="24"/>
        </w:rPr>
        <w:t xml:space="preserve">thus a </w:t>
      </w:r>
      <w:r w:rsidR="00460C24" w:rsidRPr="0087102E">
        <w:rPr>
          <w:rFonts w:ascii="Arial" w:hAnsi="Arial" w:cs="Arial"/>
          <w:sz w:val="24"/>
          <w:szCs w:val="24"/>
        </w:rPr>
        <w:t>real</w:t>
      </w:r>
      <w:r w:rsidR="006C0BA1" w:rsidRPr="0087102E">
        <w:rPr>
          <w:rFonts w:ascii="Arial" w:hAnsi="Arial" w:cs="Arial"/>
          <w:sz w:val="24"/>
          <w:szCs w:val="24"/>
        </w:rPr>
        <w:t xml:space="preserve"> one and the submission to the contrary on behalf of the appellant cannot be accepted.</w:t>
      </w:r>
    </w:p>
    <w:p w14:paraId="5994DC6A" w14:textId="77777777" w:rsidR="00F86774" w:rsidRDefault="00F86774" w:rsidP="00F86774">
      <w:pPr>
        <w:pStyle w:val="ListParagraph"/>
        <w:tabs>
          <w:tab w:val="left" w:pos="851"/>
        </w:tabs>
        <w:spacing w:after="0" w:line="480" w:lineRule="auto"/>
        <w:ind w:left="0"/>
        <w:jc w:val="both"/>
        <w:rPr>
          <w:rFonts w:ascii="Arial" w:hAnsi="Arial" w:cs="Arial"/>
          <w:sz w:val="24"/>
          <w:szCs w:val="24"/>
        </w:rPr>
      </w:pPr>
    </w:p>
    <w:p w14:paraId="765BDD5B" w14:textId="51F351CD" w:rsidR="00BF7AAD" w:rsidRDefault="0087102E" w:rsidP="004D16C3">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a nutshell, </w:t>
      </w:r>
      <w:r w:rsidR="00F86774" w:rsidRPr="0087102E">
        <w:rPr>
          <w:rFonts w:ascii="Arial" w:hAnsi="Arial" w:cs="Arial"/>
          <w:sz w:val="24"/>
          <w:szCs w:val="24"/>
        </w:rPr>
        <w:t>the argument that the appellant throughout demonstrated</w:t>
      </w:r>
      <w:r w:rsidR="00BF7AAD" w:rsidRPr="0087102E">
        <w:rPr>
          <w:rFonts w:ascii="Arial" w:hAnsi="Arial" w:cs="Arial"/>
          <w:sz w:val="24"/>
          <w:szCs w:val="24"/>
        </w:rPr>
        <w:t xml:space="preserve"> that he was not aware that he was dealing with a Close Corporation</w:t>
      </w:r>
      <w:r w:rsidR="00856BC5" w:rsidRPr="0087102E">
        <w:rPr>
          <w:rFonts w:ascii="Arial" w:hAnsi="Arial" w:cs="Arial"/>
          <w:sz w:val="24"/>
          <w:szCs w:val="24"/>
        </w:rPr>
        <w:t>,</w:t>
      </w:r>
      <w:r w:rsidR="00BF7AAD" w:rsidRPr="0087102E">
        <w:rPr>
          <w:rFonts w:ascii="Arial" w:hAnsi="Arial" w:cs="Arial"/>
          <w:sz w:val="24"/>
          <w:szCs w:val="24"/>
        </w:rPr>
        <w:t xml:space="preserve"> lacks merit</w:t>
      </w:r>
      <w:r w:rsidRPr="0087102E">
        <w:rPr>
          <w:rFonts w:ascii="Arial" w:hAnsi="Arial" w:cs="Arial"/>
          <w:sz w:val="24"/>
          <w:szCs w:val="24"/>
        </w:rPr>
        <w:t>.</w:t>
      </w:r>
    </w:p>
    <w:p w14:paraId="75E226AF" w14:textId="77777777" w:rsidR="00197F83" w:rsidRPr="00197F83" w:rsidRDefault="00197F83" w:rsidP="00197F83">
      <w:pPr>
        <w:pStyle w:val="ListParagraph"/>
        <w:rPr>
          <w:rFonts w:ascii="Arial" w:hAnsi="Arial" w:cs="Arial"/>
          <w:sz w:val="24"/>
          <w:szCs w:val="24"/>
        </w:rPr>
      </w:pPr>
    </w:p>
    <w:p w14:paraId="22DF6E1D" w14:textId="77777777" w:rsidR="00197F83" w:rsidRDefault="00197F83" w:rsidP="004D16C3">
      <w:pPr>
        <w:spacing w:after="0" w:line="480" w:lineRule="auto"/>
        <w:jc w:val="both"/>
        <w:rPr>
          <w:rFonts w:ascii="Arial" w:hAnsi="Arial" w:cs="Arial"/>
          <w:sz w:val="24"/>
          <w:szCs w:val="24"/>
          <w:u w:val="single"/>
        </w:rPr>
      </w:pPr>
    </w:p>
    <w:p w14:paraId="70900DD9" w14:textId="77777777" w:rsidR="00197F83" w:rsidRDefault="00197F83" w:rsidP="004D16C3">
      <w:pPr>
        <w:spacing w:after="0" w:line="480" w:lineRule="auto"/>
        <w:jc w:val="both"/>
        <w:rPr>
          <w:rFonts w:ascii="Arial" w:hAnsi="Arial" w:cs="Arial"/>
          <w:sz w:val="24"/>
          <w:szCs w:val="24"/>
          <w:u w:val="single"/>
        </w:rPr>
      </w:pPr>
    </w:p>
    <w:p w14:paraId="5446A29A" w14:textId="34D8D9C5" w:rsidR="004D16C3" w:rsidRPr="00856BC5" w:rsidRDefault="004D16C3" w:rsidP="004D16C3">
      <w:pPr>
        <w:spacing w:after="0" w:line="480" w:lineRule="auto"/>
        <w:jc w:val="both"/>
        <w:rPr>
          <w:rFonts w:ascii="Arial" w:hAnsi="Arial" w:cs="Arial"/>
          <w:sz w:val="24"/>
          <w:szCs w:val="24"/>
          <w:u w:val="single"/>
        </w:rPr>
      </w:pPr>
      <w:r w:rsidRPr="00856BC5">
        <w:rPr>
          <w:rFonts w:ascii="Arial" w:hAnsi="Arial" w:cs="Arial"/>
          <w:sz w:val="24"/>
          <w:szCs w:val="24"/>
          <w:u w:val="single"/>
        </w:rPr>
        <w:lastRenderedPageBreak/>
        <w:t>Costs</w:t>
      </w:r>
    </w:p>
    <w:p w14:paraId="7A94EE7E" w14:textId="4C06CC1C" w:rsidR="00BF7AAD" w:rsidRDefault="00BF7AAD"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only other issue is that of costs. The rule is trite</w:t>
      </w:r>
      <w:r w:rsidR="00856BC5">
        <w:rPr>
          <w:rFonts w:ascii="Arial" w:hAnsi="Arial" w:cs="Arial"/>
          <w:sz w:val="24"/>
          <w:szCs w:val="24"/>
        </w:rPr>
        <w:t>,</w:t>
      </w:r>
      <w:r>
        <w:rPr>
          <w:rFonts w:ascii="Arial" w:hAnsi="Arial" w:cs="Arial"/>
          <w:sz w:val="24"/>
          <w:szCs w:val="24"/>
        </w:rPr>
        <w:t xml:space="preserve"> costs follow the </w:t>
      </w:r>
      <w:r w:rsidR="00706D57">
        <w:rPr>
          <w:rFonts w:ascii="Arial" w:hAnsi="Arial" w:cs="Arial"/>
          <w:sz w:val="24"/>
          <w:szCs w:val="24"/>
        </w:rPr>
        <w:t>result</w:t>
      </w:r>
      <w:r w:rsidR="00D470E2">
        <w:rPr>
          <w:rFonts w:ascii="Arial" w:hAnsi="Arial" w:cs="Arial"/>
          <w:sz w:val="24"/>
          <w:szCs w:val="24"/>
        </w:rPr>
        <w:t xml:space="preserve"> and there is no reason to deviate from this rule in the present matter. I do however indicate the proportion of time spen</w:t>
      </w:r>
      <w:r w:rsidR="00AA7263">
        <w:rPr>
          <w:rFonts w:ascii="Arial" w:hAnsi="Arial" w:cs="Arial"/>
          <w:sz w:val="24"/>
          <w:szCs w:val="24"/>
        </w:rPr>
        <w:t>t</w:t>
      </w:r>
      <w:r w:rsidR="00D470E2">
        <w:rPr>
          <w:rFonts w:ascii="Arial" w:hAnsi="Arial" w:cs="Arial"/>
          <w:sz w:val="24"/>
          <w:szCs w:val="24"/>
        </w:rPr>
        <w:t xml:space="preserve"> by the appellant and respondents on the appeal and condonation application on this court to access the taxing master.</w:t>
      </w:r>
    </w:p>
    <w:p w14:paraId="672FBE21" w14:textId="77777777" w:rsidR="00BF7AAD" w:rsidRDefault="00BF7AAD" w:rsidP="00197F83">
      <w:pPr>
        <w:spacing w:after="0" w:line="480" w:lineRule="auto"/>
        <w:jc w:val="both"/>
        <w:rPr>
          <w:rFonts w:ascii="Arial" w:hAnsi="Arial" w:cs="Arial"/>
          <w:sz w:val="24"/>
          <w:szCs w:val="24"/>
        </w:rPr>
      </w:pPr>
    </w:p>
    <w:p w14:paraId="557F5025" w14:textId="10328CD0" w:rsidR="004D16C3" w:rsidRPr="00856BC5" w:rsidRDefault="004D16C3" w:rsidP="004D16C3">
      <w:pPr>
        <w:spacing w:after="0" w:line="480" w:lineRule="auto"/>
        <w:jc w:val="both"/>
        <w:rPr>
          <w:rFonts w:ascii="Arial" w:hAnsi="Arial" w:cs="Arial"/>
          <w:sz w:val="24"/>
          <w:szCs w:val="24"/>
          <w:u w:val="single"/>
        </w:rPr>
      </w:pPr>
      <w:r w:rsidRPr="00856BC5">
        <w:rPr>
          <w:rFonts w:ascii="Arial" w:hAnsi="Arial" w:cs="Arial"/>
          <w:sz w:val="24"/>
          <w:szCs w:val="24"/>
          <w:u w:val="single"/>
        </w:rPr>
        <w:t>Order</w:t>
      </w:r>
    </w:p>
    <w:p w14:paraId="15383ABA" w14:textId="6329E155" w:rsidR="008F6FDC" w:rsidRPr="00BF7AAD" w:rsidRDefault="00BF7AAD" w:rsidP="00BF7AAD">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 make the following order:</w:t>
      </w:r>
    </w:p>
    <w:p w14:paraId="6C727EF3" w14:textId="77777777" w:rsidR="00B21290" w:rsidRPr="00B21290" w:rsidRDefault="00B21290" w:rsidP="00197F83">
      <w:pPr>
        <w:pStyle w:val="ListParagraph"/>
        <w:spacing w:after="0" w:line="480" w:lineRule="auto"/>
        <w:jc w:val="both"/>
        <w:rPr>
          <w:rFonts w:ascii="Arial" w:hAnsi="Arial" w:cs="Arial"/>
          <w:sz w:val="24"/>
          <w:szCs w:val="24"/>
        </w:rPr>
      </w:pPr>
    </w:p>
    <w:p w14:paraId="702D8F07" w14:textId="4F9A21A7" w:rsidR="00B21290" w:rsidRDefault="00BF7AAD" w:rsidP="00AA7263">
      <w:pPr>
        <w:pStyle w:val="ListParagraph"/>
        <w:numPr>
          <w:ilvl w:val="0"/>
          <w:numId w:val="26"/>
        </w:numPr>
        <w:spacing w:after="0" w:line="480" w:lineRule="auto"/>
        <w:ind w:hanging="589"/>
        <w:jc w:val="both"/>
        <w:rPr>
          <w:rFonts w:ascii="Arial" w:hAnsi="Arial" w:cs="Arial"/>
          <w:sz w:val="24"/>
          <w:szCs w:val="24"/>
        </w:rPr>
      </w:pPr>
      <w:r>
        <w:rPr>
          <w:rFonts w:ascii="Arial" w:hAnsi="Arial" w:cs="Arial"/>
          <w:sz w:val="24"/>
          <w:szCs w:val="24"/>
        </w:rPr>
        <w:t>The condonation application</w:t>
      </w:r>
      <w:r w:rsidR="00D470E2">
        <w:rPr>
          <w:rFonts w:ascii="Arial" w:hAnsi="Arial" w:cs="Arial"/>
          <w:sz w:val="24"/>
          <w:szCs w:val="24"/>
        </w:rPr>
        <w:t xml:space="preserve"> seeking to</w:t>
      </w:r>
      <w:r>
        <w:rPr>
          <w:rFonts w:ascii="Arial" w:hAnsi="Arial" w:cs="Arial"/>
          <w:sz w:val="24"/>
          <w:szCs w:val="24"/>
        </w:rPr>
        <w:t xml:space="preserve"> reinstat</w:t>
      </w:r>
      <w:r w:rsidR="00D470E2">
        <w:rPr>
          <w:rFonts w:ascii="Arial" w:hAnsi="Arial" w:cs="Arial"/>
          <w:sz w:val="24"/>
          <w:szCs w:val="24"/>
        </w:rPr>
        <w:t>e</w:t>
      </w:r>
      <w:r>
        <w:rPr>
          <w:rFonts w:ascii="Arial" w:hAnsi="Arial" w:cs="Arial"/>
          <w:sz w:val="24"/>
          <w:szCs w:val="24"/>
        </w:rPr>
        <w:t xml:space="preserve"> the cross-appeal is refused</w:t>
      </w:r>
      <w:r w:rsidR="00C357DF">
        <w:rPr>
          <w:rFonts w:ascii="Arial" w:hAnsi="Arial" w:cs="Arial"/>
          <w:sz w:val="24"/>
          <w:szCs w:val="24"/>
        </w:rPr>
        <w:t xml:space="preserve"> with costs</w:t>
      </w:r>
      <w:r>
        <w:rPr>
          <w:rFonts w:ascii="Arial" w:hAnsi="Arial" w:cs="Arial"/>
          <w:sz w:val="24"/>
          <w:szCs w:val="24"/>
        </w:rPr>
        <w:t>.</w:t>
      </w:r>
    </w:p>
    <w:p w14:paraId="7EDC6CE9" w14:textId="77777777" w:rsidR="00B21290" w:rsidRDefault="00B21290" w:rsidP="00E0087F">
      <w:pPr>
        <w:pStyle w:val="ListParagraph"/>
        <w:tabs>
          <w:tab w:val="left" w:pos="851"/>
        </w:tabs>
        <w:spacing w:after="0" w:line="480" w:lineRule="auto"/>
        <w:ind w:left="851"/>
        <w:jc w:val="both"/>
        <w:rPr>
          <w:rFonts w:ascii="Arial" w:hAnsi="Arial" w:cs="Arial"/>
          <w:sz w:val="24"/>
          <w:szCs w:val="24"/>
        </w:rPr>
      </w:pPr>
    </w:p>
    <w:p w14:paraId="01E49D3A" w14:textId="53C1136F" w:rsidR="00A9567F" w:rsidRDefault="00BF7AAD" w:rsidP="00DF4FC1">
      <w:pPr>
        <w:pStyle w:val="ListParagraph"/>
        <w:numPr>
          <w:ilvl w:val="0"/>
          <w:numId w:val="26"/>
        </w:numPr>
        <w:tabs>
          <w:tab w:val="left" w:pos="1418"/>
        </w:tabs>
        <w:spacing w:after="0" w:line="480" w:lineRule="auto"/>
        <w:ind w:left="1560" w:hanging="709"/>
        <w:jc w:val="both"/>
        <w:rPr>
          <w:rFonts w:ascii="Arial" w:hAnsi="Arial" w:cs="Arial"/>
          <w:sz w:val="24"/>
          <w:szCs w:val="24"/>
        </w:rPr>
      </w:pPr>
      <w:r>
        <w:rPr>
          <w:rFonts w:ascii="Arial" w:hAnsi="Arial" w:cs="Arial"/>
          <w:sz w:val="24"/>
          <w:szCs w:val="24"/>
        </w:rPr>
        <w:t>The appeal is dismissed</w:t>
      </w:r>
      <w:r w:rsidR="00C357DF">
        <w:rPr>
          <w:rFonts w:ascii="Arial" w:hAnsi="Arial" w:cs="Arial"/>
          <w:sz w:val="24"/>
          <w:szCs w:val="24"/>
        </w:rPr>
        <w:t xml:space="preserve"> with costs</w:t>
      </w:r>
      <w:r>
        <w:rPr>
          <w:rFonts w:ascii="Arial" w:hAnsi="Arial" w:cs="Arial"/>
          <w:sz w:val="24"/>
          <w:szCs w:val="24"/>
        </w:rPr>
        <w:t>.</w:t>
      </w:r>
    </w:p>
    <w:p w14:paraId="1DFA8307" w14:textId="77777777" w:rsidR="00BF7AAD" w:rsidRPr="00BF7AAD" w:rsidRDefault="00BF7AAD" w:rsidP="00197F83">
      <w:pPr>
        <w:pStyle w:val="ListParagraph"/>
        <w:spacing w:after="0" w:line="480" w:lineRule="auto"/>
        <w:jc w:val="both"/>
        <w:rPr>
          <w:rFonts w:ascii="Arial" w:hAnsi="Arial" w:cs="Arial"/>
          <w:sz w:val="24"/>
          <w:szCs w:val="24"/>
        </w:rPr>
      </w:pPr>
    </w:p>
    <w:p w14:paraId="27FFA598" w14:textId="4FF65079" w:rsidR="00E46DD4" w:rsidRDefault="00BF7AAD" w:rsidP="00E46DD4">
      <w:pPr>
        <w:pStyle w:val="ListParagraph"/>
        <w:numPr>
          <w:ilvl w:val="0"/>
          <w:numId w:val="26"/>
        </w:numPr>
        <w:tabs>
          <w:tab w:val="left" w:pos="1418"/>
        </w:tabs>
        <w:spacing w:after="0" w:line="480" w:lineRule="auto"/>
        <w:ind w:left="1418" w:hanging="567"/>
        <w:jc w:val="both"/>
        <w:rPr>
          <w:rFonts w:ascii="Arial" w:hAnsi="Arial" w:cs="Arial"/>
          <w:sz w:val="24"/>
          <w:szCs w:val="24"/>
        </w:rPr>
      </w:pPr>
      <w:r>
        <w:rPr>
          <w:rFonts w:ascii="Arial" w:hAnsi="Arial" w:cs="Arial"/>
          <w:sz w:val="24"/>
          <w:szCs w:val="24"/>
        </w:rPr>
        <w:t xml:space="preserve">The costs </w:t>
      </w:r>
      <w:r w:rsidR="006C0BA1">
        <w:rPr>
          <w:rFonts w:ascii="Arial" w:hAnsi="Arial" w:cs="Arial"/>
          <w:sz w:val="24"/>
          <w:szCs w:val="24"/>
        </w:rPr>
        <w:t>awards</w:t>
      </w:r>
      <w:r w:rsidR="00E46DD4">
        <w:rPr>
          <w:rFonts w:ascii="Arial" w:hAnsi="Arial" w:cs="Arial"/>
          <w:sz w:val="24"/>
          <w:szCs w:val="24"/>
        </w:rPr>
        <w:t xml:space="preserve"> above s</w:t>
      </w:r>
      <w:r w:rsidR="006C0BA1">
        <w:rPr>
          <w:rFonts w:ascii="Arial" w:hAnsi="Arial" w:cs="Arial"/>
          <w:sz w:val="24"/>
          <w:szCs w:val="24"/>
        </w:rPr>
        <w:t>hall</w:t>
      </w:r>
      <w:r w:rsidR="00E46DD4">
        <w:rPr>
          <w:rFonts w:ascii="Arial" w:hAnsi="Arial" w:cs="Arial"/>
          <w:sz w:val="24"/>
          <w:szCs w:val="24"/>
        </w:rPr>
        <w:t xml:space="preserve"> include the costs of one instructing and one instructed counsel.</w:t>
      </w:r>
    </w:p>
    <w:p w14:paraId="7E59732C" w14:textId="77777777" w:rsidR="00E46DD4" w:rsidRPr="00E46DD4" w:rsidRDefault="00E46DD4" w:rsidP="00197F83">
      <w:pPr>
        <w:pStyle w:val="ListParagraph"/>
        <w:spacing w:after="0" w:line="480" w:lineRule="auto"/>
        <w:jc w:val="both"/>
        <w:rPr>
          <w:rFonts w:ascii="Arial" w:hAnsi="Arial" w:cs="Arial"/>
          <w:sz w:val="24"/>
          <w:szCs w:val="24"/>
        </w:rPr>
      </w:pPr>
    </w:p>
    <w:p w14:paraId="2E0A2E13" w14:textId="61E1CDCB" w:rsidR="005E2AB7" w:rsidRDefault="00E46DD4" w:rsidP="00D470E2">
      <w:pPr>
        <w:pStyle w:val="ListParagraph"/>
        <w:numPr>
          <w:ilvl w:val="0"/>
          <w:numId w:val="26"/>
        </w:numPr>
        <w:tabs>
          <w:tab w:val="left" w:pos="1418"/>
        </w:tabs>
        <w:spacing w:after="0" w:line="240" w:lineRule="auto"/>
        <w:ind w:left="1418" w:hanging="567"/>
        <w:jc w:val="both"/>
        <w:rPr>
          <w:rFonts w:ascii="Arial" w:hAnsi="Arial" w:cs="Arial"/>
          <w:sz w:val="24"/>
          <w:szCs w:val="24"/>
        </w:rPr>
      </w:pPr>
      <w:r w:rsidRPr="00D470E2">
        <w:rPr>
          <w:rFonts w:ascii="Arial" w:hAnsi="Arial" w:cs="Arial"/>
          <w:sz w:val="24"/>
          <w:szCs w:val="24"/>
        </w:rPr>
        <w:t xml:space="preserve">For the guidance of the taxing </w:t>
      </w:r>
      <w:r w:rsidR="006C0BA1" w:rsidRPr="00D470E2">
        <w:rPr>
          <w:rFonts w:ascii="Arial" w:hAnsi="Arial" w:cs="Arial"/>
          <w:sz w:val="24"/>
          <w:szCs w:val="24"/>
        </w:rPr>
        <w:t>official it is</w:t>
      </w:r>
      <w:r w:rsidR="00D470E2" w:rsidRPr="00D470E2">
        <w:rPr>
          <w:rFonts w:ascii="Arial" w:hAnsi="Arial" w:cs="Arial"/>
          <w:sz w:val="24"/>
          <w:szCs w:val="24"/>
        </w:rPr>
        <w:t xml:space="preserve"> mentioned that 90% of the time spen</w:t>
      </w:r>
      <w:r w:rsidR="00AA7263">
        <w:rPr>
          <w:rFonts w:ascii="Arial" w:hAnsi="Arial" w:cs="Arial"/>
          <w:sz w:val="24"/>
          <w:szCs w:val="24"/>
        </w:rPr>
        <w:t>t</w:t>
      </w:r>
      <w:r w:rsidR="00D470E2" w:rsidRPr="00D470E2">
        <w:rPr>
          <w:rFonts w:ascii="Arial" w:hAnsi="Arial" w:cs="Arial"/>
          <w:sz w:val="24"/>
          <w:szCs w:val="24"/>
        </w:rPr>
        <w:t xml:space="preserve"> at the hearing of this matter was on issues raised in the appeal.</w:t>
      </w:r>
    </w:p>
    <w:p w14:paraId="2D11B502" w14:textId="77777777" w:rsidR="00D470E2" w:rsidRPr="00D470E2" w:rsidRDefault="00D470E2" w:rsidP="00D470E2">
      <w:pPr>
        <w:tabs>
          <w:tab w:val="left" w:pos="1418"/>
        </w:tabs>
        <w:spacing w:after="0" w:line="240" w:lineRule="auto"/>
        <w:jc w:val="both"/>
        <w:rPr>
          <w:rFonts w:ascii="Arial" w:hAnsi="Arial" w:cs="Arial"/>
          <w:sz w:val="24"/>
          <w:szCs w:val="24"/>
        </w:rPr>
      </w:pPr>
    </w:p>
    <w:p w14:paraId="1A03EF07" w14:textId="77777777" w:rsidR="00A62583" w:rsidRDefault="00A62583" w:rsidP="007D275A">
      <w:pPr>
        <w:spacing w:after="0" w:line="240" w:lineRule="auto"/>
        <w:jc w:val="both"/>
        <w:rPr>
          <w:rFonts w:ascii="Arial" w:hAnsi="Arial" w:cs="Arial"/>
          <w:sz w:val="24"/>
          <w:szCs w:val="24"/>
        </w:rPr>
      </w:pPr>
    </w:p>
    <w:p w14:paraId="27A371F3" w14:textId="77777777" w:rsidR="000F130E" w:rsidRDefault="000F130E" w:rsidP="007D275A">
      <w:pPr>
        <w:spacing w:after="0" w:line="240" w:lineRule="auto"/>
        <w:jc w:val="both"/>
        <w:rPr>
          <w:rFonts w:ascii="Arial" w:hAnsi="Arial" w:cs="Arial"/>
          <w:sz w:val="24"/>
          <w:szCs w:val="24"/>
        </w:rPr>
      </w:pPr>
    </w:p>
    <w:p w14:paraId="377A02EB" w14:textId="77777777" w:rsidR="006C0BA1" w:rsidRDefault="006C0BA1"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3C3FBF27" w14:textId="77777777" w:rsidR="00F36668" w:rsidRDefault="00F36668" w:rsidP="00D36262">
      <w:pPr>
        <w:spacing w:after="0" w:line="240" w:lineRule="auto"/>
        <w:jc w:val="both"/>
        <w:rPr>
          <w:rFonts w:ascii="Arial" w:hAnsi="Arial" w:cs="Arial"/>
          <w:sz w:val="24"/>
          <w:szCs w:val="24"/>
        </w:rPr>
      </w:pPr>
    </w:p>
    <w:p w14:paraId="13A17B46" w14:textId="77777777" w:rsidR="005470DD" w:rsidRDefault="005470DD" w:rsidP="00D36262">
      <w:pPr>
        <w:spacing w:after="0" w:line="240" w:lineRule="auto"/>
        <w:jc w:val="both"/>
        <w:rPr>
          <w:rFonts w:ascii="Arial" w:hAnsi="Arial" w:cs="Arial"/>
          <w:sz w:val="24"/>
          <w:szCs w:val="24"/>
        </w:rPr>
      </w:pPr>
    </w:p>
    <w:p w14:paraId="57EA5D6A" w14:textId="77777777" w:rsidR="001E3FC8" w:rsidRDefault="001E3FC8" w:rsidP="00D36262">
      <w:pPr>
        <w:spacing w:after="0" w:line="240" w:lineRule="auto"/>
        <w:jc w:val="both"/>
        <w:rPr>
          <w:rFonts w:ascii="Arial" w:hAnsi="Arial" w:cs="Arial"/>
          <w:sz w:val="24"/>
          <w:szCs w:val="24"/>
        </w:rPr>
      </w:pPr>
    </w:p>
    <w:p w14:paraId="5ECEC224" w14:textId="77777777" w:rsidR="006C0BA1" w:rsidRDefault="006C0BA1" w:rsidP="00D36262">
      <w:pPr>
        <w:spacing w:after="0" w:line="240" w:lineRule="auto"/>
        <w:jc w:val="both"/>
        <w:rPr>
          <w:rFonts w:ascii="Arial" w:hAnsi="Arial" w:cs="Arial"/>
          <w:sz w:val="24"/>
          <w:szCs w:val="24"/>
        </w:rPr>
      </w:pPr>
    </w:p>
    <w:p w14:paraId="1F101CC2" w14:textId="77777777" w:rsidR="00197F83" w:rsidRDefault="00197F83" w:rsidP="00D36262">
      <w:pPr>
        <w:spacing w:after="0" w:line="240" w:lineRule="auto"/>
        <w:jc w:val="both"/>
        <w:rPr>
          <w:rFonts w:ascii="Arial" w:hAnsi="Arial" w:cs="Arial"/>
          <w:sz w:val="24"/>
          <w:szCs w:val="24"/>
        </w:rPr>
      </w:pPr>
    </w:p>
    <w:p w14:paraId="101FA8E0" w14:textId="77777777" w:rsidR="00A01979" w:rsidRDefault="00A01979" w:rsidP="00D36262">
      <w:pPr>
        <w:spacing w:after="0" w:line="240" w:lineRule="auto"/>
        <w:jc w:val="both"/>
        <w:rPr>
          <w:rFonts w:ascii="Arial" w:hAnsi="Arial" w:cs="Arial"/>
          <w:sz w:val="24"/>
          <w:szCs w:val="24"/>
        </w:rPr>
      </w:pPr>
    </w:p>
    <w:p w14:paraId="299E40DD" w14:textId="77777777" w:rsidR="00A01979" w:rsidRDefault="00A01979" w:rsidP="00D36262">
      <w:pPr>
        <w:spacing w:after="0" w:line="240" w:lineRule="auto"/>
        <w:jc w:val="both"/>
        <w:rPr>
          <w:rFonts w:ascii="Arial" w:hAnsi="Arial" w:cs="Arial"/>
          <w:sz w:val="24"/>
          <w:szCs w:val="24"/>
        </w:rPr>
      </w:pPr>
    </w:p>
    <w:p w14:paraId="372B2D8F" w14:textId="77777777" w:rsidR="00A01979" w:rsidRDefault="00A01979" w:rsidP="00D36262">
      <w:pPr>
        <w:spacing w:after="0" w:line="240" w:lineRule="auto"/>
        <w:jc w:val="both"/>
        <w:rPr>
          <w:rFonts w:ascii="Arial" w:hAnsi="Arial" w:cs="Arial"/>
          <w:sz w:val="24"/>
          <w:szCs w:val="24"/>
        </w:rPr>
      </w:pPr>
    </w:p>
    <w:p w14:paraId="0E7FA789" w14:textId="77777777" w:rsidR="00A01979" w:rsidRDefault="00A01979" w:rsidP="00D36262">
      <w:pPr>
        <w:spacing w:after="0" w:line="240" w:lineRule="auto"/>
        <w:jc w:val="both"/>
        <w:rPr>
          <w:rFonts w:ascii="Arial" w:hAnsi="Arial" w:cs="Arial"/>
          <w:sz w:val="24"/>
          <w:szCs w:val="24"/>
        </w:rPr>
      </w:pPr>
    </w:p>
    <w:p w14:paraId="2A9C9FD0" w14:textId="77777777" w:rsidR="001055BE" w:rsidRDefault="001055BE" w:rsidP="00D36262">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019357AA" w:rsidR="00B77F9B" w:rsidRDefault="001C7E1E" w:rsidP="00D36262">
      <w:pPr>
        <w:spacing w:after="0" w:line="240" w:lineRule="auto"/>
        <w:jc w:val="both"/>
        <w:rPr>
          <w:rFonts w:ascii="Arial" w:hAnsi="Arial" w:cs="Arial"/>
          <w:b/>
          <w:sz w:val="24"/>
          <w:szCs w:val="24"/>
        </w:rPr>
      </w:pPr>
      <w:r>
        <w:rPr>
          <w:rFonts w:ascii="Arial" w:hAnsi="Arial" w:cs="Arial"/>
          <w:b/>
          <w:sz w:val="24"/>
          <w:szCs w:val="24"/>
        </w:rPr>
        <w:t>SMUTS</w:t>
      </w:r>
      <w:r w:rsidR="00A43E98">
        <w:rPr>
          <w:rFonts w:ascii="Arial" w:hAnsi="Arial" w:cs="Arial"/>
          <w:b/>
          <w:sz w:val="24"/>
          <w:szCs w:val="24"/>
        </w:rPr>
        <w:t xml:space="preserve"> JA</w:t>
      </w:r>
    </w:p>
    <w:p w14:paraId="5960FF4E" w14:textId="77777777" w:rsidR="001E3FC8" w:rsidRDefault="001E3FC8" w:rsidP="00D36262">
      <w:pPr>
        <w:spacing w:after="0" w:line="240" w:lineRule="auto"/>
        <w:jc w:val="both"/>
        <w:rPr>
          <w:rFonts w:ascii="Arial" w:hAnsi="Arial" w:cs="Arial"/>
          <w:b/>
          <w:sz w:val="24"/>
          <w:szCs w:val="24"/>
        </w:rPr>
      </w:pPr>
    </w:p>
    <w:p w14:paraId="65FB2AAC" w14:textId="77777777" w:rsidR="00A43E98" w:rsidRDefault="00A43E98" w:rsidP="00A43E98">
      <w:pPr>
        <w:spacing w:after="0" w:line="240" w:lineRule="auto"/>
        <w:jc w:val="both"/>
        <w:rPr>
          <w:rFonts w:ascii="Arial" w:hAnsi="Arial" w:cs="Arial"/>
          <w:sz w:val="24"/>
          <w:szCs w:val="24"/>
        </w:rPr>
      </w:pPr>
    </w:p>
    <w:p w14:paraId="6FA10024" w14:textId="77777777" w:rsidR="00A43E98" w:rsidRDefault="00A43E98" w:rsidP="00A43E98">
      <w:pPr>
        <w:spacing w:after="0" w:line="240" w:lineRule="auto"/>
        <w:jc w:val="both"/>
        <w:rPr>
          <w:rFonts w:ascii="Arial" w:hAnsi="Arial" w:cs="Arial"/>
          <w:sz w:val="24"/>
          <w:szCs w:val="24"/>
        </w:rPr>
      </w:pPr>
    </w:p>
    <w:p w14:paraId="3CFAD7F0" w14:textId="77777777" w:rsidR="006C0BA1" w:rsidRDefault="006C0BA1" w:rsidP="00A43E98">
      <w:pPr>
        <w:spacing w:after="0" w:line="240" w:lineRule="auto"/>
        <w:jc w:val="both"/>
        <w:rPr>
          <w:rFonts w:ascii="Arial" w:hAnsi="Arial" w:cs="Arial"/>
          <w:sz w:val="24"/>
          <w:szCs w:val="24"/>
        </w:rPr>
      </w:pPr>
    </w:p>
    <w:p w14:paraId="461C2A9C" w14:textId="77777777"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14:paraId="419B7FA8" w14:textId="274695E2" w:rsidR="00A43E98" w:rsidRDefault="00026E7F" w:rsidP="00A43E98">
      <w:pPr>
        <w:spacing w:after="0" w:line="240" w:lineRule="auto"/>
        <w:jc w:val="both"/>
        <w:rPr>
          <w:rFonts w:ascii="Arial" w:hAnsi="Arial" w:cs="Arial"/>
          <w:b/>
          <w:sz w:val="24"/>
          <w:szCs w:val="24"/>
        </w:rPr>
      </w:pPr>
      <w:r>
        <w:rPr>
          <w:rFonts w:ascii="Arial" w:hAnsi="Arial" w:cs="Arial"/>
          <w:b/>
          <w:sz w:val="24"/>
          <w:szCs w:val="24"/>
        </w:rPr>
        <w:t>FRANK</w:t>
      </w:r>
      <w:r w:rsidR="00A43E98">
        <w:rPr>
          <w:rFonts w:ascii="Arial" w:hAnsi="Arial" w:cs="Arial"/>
          <w:b/>
          <w:sz w:val="24"/>
          <w:szCs w:val="24"/>
        </w:rPr>
        <w:t xml:space="preserve"> AJA</w:t>
      </w:r>
    </w:p>
    <w:p w14:paraId="7E3AEB80" w14:textId="77777777" w:rsidR="006C0BA1" w:rsidRDefault="006C0BA1" w:rsidP="00A43E98">
      <w:pPr>
        <w:spacing w:after="0" w:line="240" w:lineRule="auto"/>
        <w:jc w:val="both"/>
        <w:rPr>
          <w:rFonts w:ascii="Arial" w:hAnsi="Arial" w:cs="Arial"/>
          <w:b/>
          <w:sz w:val="24"/>
          <w:szCs w:val="24"/>
        </w:rPr>
      </w:pPr>
    </w:p>
    <w:p w14:paraId="5B6331C5" w14:textId="77777777" w:rsidR="00A01979" w:rsidRDefault="00A01979" w:rsidP="00A43E98">
      <w:pPr>
        <w:spacing w:after="0" w:line="240" w:lineRule="auto"/>
        <w:jc w:val="both"/>
        <w:rPr>
          <w:rFonts w:ascii="Arial" w:hAnsi="Arial" w:cs="Arial"/>
          <w:b/>
          <w:sz w:val="24"/>
          <w:szCs w:val="24"/>
        </w:rPr>
      </w:pPr>
    </w:p>
    <w:p w14:paraId="077949A2" w14:textId="77777777" w:rsidR="00A01979" w:rsidRDefault="00A01979" w:rsidP="00A43E98">
      <w:pPr>
        <w:spacing w:after="0" w:line="240" w:lineRule="auto"/>
        <w:jc w:val="both"/>
        <w:rPr>
          <w:rFonts w:ascii="Arial" w:hAnsi="Arial" w:cs="Arial"/>
          <w:b/>
          <w:sz w:val="24"/>
          <w:szCs w:val="24"/>
        </w:rPr>
      </w:pPr>
    </w:p>
    <w:p w14:paraId="530A7104" w14:textId="77777777" w:rsidR="00A01979" w:rsidRDefault="00A01979" w:rsidP="00A43E98">
      <w:pPr>
        <w:spacing w:after="0" w:line="240" w:lineRule="auto"/>
        <w:jc w:val="both"/>
        <w:rPr>
          <w:rFonts w:ascii="Arial" w:hAnsi="Arial" w:cs="Arial"/>
          <w:b/>
          <w:sz w:val="24"/>
          <w:szCs w:val="24"/>
        </w:rPr>
      </w:pPr>
    </w:p>
    <w:p w14:paraId="529E83E3" w14:textId="77777777" w:rsidR="00A01979" w:rsidRDefault="00A01979" w:rsidP="00A43E98">
      <w:pPr>
        <w:spacing w:after="0" w:line="240" w:lineRule="auto"/>
        <w:jc w:val="both"/>
        <w:rPr>
          <w:rFonts w:ascii="Arial" w:hAnsi="Arial" w:cs="Arial"/>
          <w:b/>
          <w:sz w:val="24"/>
          <w:szCs w:val="24"/>
        </w:rPr>
      </w:pPr>
    </w:p>
    <w:p w14:paraId="263688B6" w14:textId="77777777" w:rsidR="00A01979" w:rsidRDefault="00A01979" w:rsidP="00A43E98">
      <w:pPr>
        <w:spacing w:after="0" w:line="240" w:lineRule="auto"/>
        <w:jc w:val="both"/>
        <w:rPr>
          <w:rFonts w:ascii="Arial" w:hAnsi="Arial" w:cs="Arial"/>
          <w:b/>
          <w:sz w:val="24"/>
          <w:szCs w:val="24"/>
        </w:rPr>
      </w:pPr>
    </w:p>
    <w:p w14:paraId="15278184" w14:textId="77777777" w:rsidR="00A01979" w:rsidRDefault="00A01979" w:rsidP="00A43E98">
      <w:pPr>
        <w:spacing w:after="0" w:line="240" w:lineRule="auto"/>
        <w:jc w:val="both"/>
        <w:rPr>
          <w:rFonts w:ascii="Arial" w:hAnsi="Arial" w:cs="Arial"/>
          <w:b/>
          <w:sz w:val="24"/>
          <w:szCs w:val="24"/>
        </w:rPr>
      </w:pPr>
    </w:p>
    <w:p w14:paraId="27A05ECD" w14:textId="77777777" w:rsidR="00A01979" w:rsidRDefault="00A01979" w:rsidP="00A43E98">
      <w:pPr>
        <w:spacing w:after="0" w:line="240" w:lineRule="auto"/>
        <w:jc w:val="both"/>
        <w:rPr>
          <w:rFonts w:ascii="Arial" w:hAnsi="Arial" w:cs="Arial"/>
          <w:b/>
          <w:sz w:val="24"/>
          <w:szCs w:val="24"/>
        </w:rPr>
      </w:pPr>
    </w:p>
    <w:p w14:paraId="4E619AA4" w14:textId="77777777" w:rsidR="00A01979" w:rsidRDefault="00A01979" w:rsidP="00A43E98">
      <w:pPr>
        <w:spacing w:after="0" w:line="240" w:lineRule="auto"/>
        <w:jc w:val="both"/>
        <w:rPr>
          <w:rFonts w:ascii="Arial" w:hAnsi="Arial" w:cs="Arial"/>
          <w:b/>
          <w:sz w:val="24"/>
          <w:szCs w:val="24"/>
        </w:rPr>
      </w:pPr>
    </w:p>
    <w:p w14:paraId="117659F3" w14:textId="77777777" w:rsidR="00A01979" w:rsidRDefault="00A01979" w:rsidP="00A43E98">
      <w:pPr>
        <w:spacing w:after="0" w:line="240" w:lineRule="auto"/>
        <w:jc w:val="both"/>
        <w:rPr>
          <w:rFonts w:ascii="Arial" w:hAnsi="Arial" w:cs="Arial"/>
          <w:b/>
          <w:sz w:val="24"/>
          <w:szCs w:val="24"/>
        </w:rPr>
      </w:pPr>
    </w:p>
    <w:p w14:paraId="046586FD" w14:textId="77777777" w:rsidR="00A01979" w:rsidRDefault="00A01979" w:rsidP="00A43E98">
      <w:pPr>
        <w:spacing w:after="0" w:line="240" w:lineRule="auto"/>
        <w:jc w:val="both"/>
        <w:rPr>
          <w:rFonts w:ascii="Arial" w:hAnsi="Arial" w:cs="Arial"/>
          <w:b/>
          <w:sz w:val="24"/>
          <w:szCs w:val="24"/>
        </w:rPr>
      </w:pPr>
    </w:p>
    <w:p w14:paraId="45F844DE" w14:textId="77777777" w:rsidR="00A01979" w:rsidRDefault="00A01979" w:rsidP="00A43E98">
      <w:pPr>
        <w:spacing w:after="0" w:line="240" w:lineRule="auto"/>
        <w:jc w:val="both"/>
        <w:rPr>
          <w:rFonts w:ascii="Arial" w:hAnsi="Arial" w:cs="Arial"/>
          <w:b/>
          <w:sz w:val="24"/>
          <w:szCs w:val="24"/>
        </w:rPr>
      </w:pPr>
    </w:p>
    <w:p w14:paraId="6076D1E3" w14:textId="77777777" w:rsidR="00A01979" w:rsidRDefault="00A01979" w:rsidP="00A43E98">
      <w:pPr>
        <w:spacing w:after="0" w:line="240" w:lineRule="auto"/>
        <w:jc w:val="both"/>
        <w:rPr>
          <w:rFonts w:ascii="Arial" w:hAnsi="Arial" w:cs="Arial"/>
          <w:b/>
          <w:sz w:val="24"/>
          <w:szCs w:val="24"/>
        </w:rPr>
      </w:pPr>
    </w:p>
    <w:p w14:paraId="495ED81E" w14:textId="77777777" w:rsidR="00A01979" w:rsidRDefault="00A01979" w:rsidP="00A43E98">
      <w:pPr>
        <w:spacing w:after="0" w:line="240" w:lineRule="auto"/>
        <w:jc w:val="both"/>
        <w:rPr>
          <w:rFonts w:ascii="Arial" w:hAnsi="Arial" w:cs="Arial"/>
          <w:b/>
          <w:sz w:val="24"/>
          <w:szCs w:val="24"/>
        </w:rPr>
      </w:pPr>
    </w:p>
    <w:p w14:paraId="5695CAE4" w14:textId="77777777" w:rsidR="00A01979" w:rsidRDefault="00A01979" w:rsidP="00A43E98">
      <w:pPr>
        <w:spacing w:after="0" w:line="240" w:lineRule="auto"/>
        <w:jc w:val="both"/>
        <w:rPr>
          <w:rFonts w:ascii="Arial" w:hAnsi="Arial" w:cs="Arial"/>
          <w:b/>
          <w:sz w:val="24"/>
          <w:szCs w:val="24"/>
        </w:rPr>
      </w:pPr>
    </w:p>
    <w:p w14:paraId="4B957E6B" w14:textId="77777777" w:rsidR="00A01979" w:rsidRDefault="00A01979" w:rsidP="00A43E98">
      <w:pPr>
        <w:spacing w:after="0" w:line="240" w:lineRule="auto"/>
        <w:jc w:val="both"/>
        <w:rPr>
          <w:rFonts w:ascii="Arial" w:hAnsi="Arial" w:cs="Arial"/>
          <w:b/>
          <w:sz w:val="24"/>
          <w:szCs w:val="24"/>
        </w:rPr>
      </w:pPr>
    </w:p>
    <w:p w14:paraId="411FB6CC" w14:textId="77777777" w:rsidR="00A01979" w:rsidRDefault="00A01979" w:rsidP="00A43E98">
      <w:pPr>
        <w:spacing w:after="0" w:line="240" w:lineRule="auto"/>
        <w:jc w:val="both"/>
        <w:rPr>
          <w:rFonts w:ascii="Arial" w:hAnsi="Arial" w:cs="Arial"/>
          <w:b/>
          <w:sz w:val="24"/>
          <w:szCs w:val="24"/>
        </w:rPr>
      </w:pPr>
    </w:p>
    <w:p w14:paraId="78B48779" w14:textId="77777777" w:rsidR="00A01979" w:rsidRDefault="00A01979" w:rsidP="00A43E98">
      <w:pPr>
        <w:spacing w:after="0" w:line="240" w:lineRule="auto"/>
        <w:jc w:val="both"/>
        <w:rPr>
          <w:rFonts w:ascii="Arial" w:hAnsi="Arial" w:cs="Arial"/>
          <w:b/>
          <w:sz w:val="24"/>
          <w:szCs w:val="24"/>
        </w:rPr>
      </w:pPr>
    </w:p>
    <w:p w14:paraId="40BE2538" w14:textId="77777777" w:rsidR="00A01979" w:rsidRDefault="00A01979" w:rsidP="00A43E98">
      <w:pPr>
        <w:spacing w:after="0" w:line="240" w:lineRule="auto"/>
        <w:jc w:val="both"/>
        <w:rPr>
          <w:rFonts w:ascii="Arial" w:hAnsi="Arial" w:cs="Arial"/>
          <w:b/>
          <w:sz w:val="24"/>
          <w:szCs w:val="24"/>
        </w:rPr>
      </w:pPr>
    </w:p>
    <w:p w14:paraId="59A69D59" w14:textId="77777777" w:rsidR="00A01979" w:rsidRDefault="00A01979" w:rsidP="00A43E98">
      <w:pPr>
        <w:spacing w:after="0" w:line="240" w:lineRule="auto"/>
        <w:jc w:val="both"/>
        <w:rPr>
          <w:rFonts w:ascii="Arial" w:hAnsi="Arial" w:cs="Arial"/>
          <w:b/>
          <w:sz w:val="24"/>
          <w:szCs w:val="24"/>
        </w:rPr>
      </w:pPr>
    </w:p>
    <w:p w14:paraId="67EF4E86" w14:textId="77777777" w:rsidR="00A01979" w:rsidRDefault="00A01979" w:rsidP="00A43E98">
      <w:pPr>
        <w:spacing w:after="0" w:line="240" w:lineRule="auto"/>
        <w:jc w:val="both"/>
        <w:rPr>
          <w:rFonts w:ascii="Arial" w:hAnsi="Arial" w:cs="Arial"/>
          <w:b/>
          <w:sz w:val="24"/>
          <w:szCs w:val="24"/>
        </w:rPr>
      </w:pPr>
    </w:p>
    <w:p w14:paraId="62A459CC" w14:textId="77777777" w:rsidR="00A01979" w:rsidRDefault="00A01979" w:rsidP="00A43E98">
      <w:pPr>
        <w:spacing w:after="0" w:line="240" w:lineRule="auto"/>
        <w:jc w:val="both"/>
        <w:rPr>
          <w:rFonts w:ascii="Arial" w:hAnsi="Arial" w:cs="Arial"/>
          <w:b/>
          <w:sz w:val="24"/>
          <w:szCs w:val="24"/>
        </w:rPr>
      </w:pPr>
    </w:p>
    <w:p w14:paraId="5615CF42" w14:textId="77777777" w:rsidR="00A01979" w:rsidRDefault="00A01979" w:rsidP="00A43E98">
      <w:pPr>
        <w:spacing w:after="0" w:line="240" w:lineRule="auto"/>
        <w:jc w:val="both"/>
        <w:rPr>
          <w:rFonts w:ascii="Arial" w:hAnsi="Arial" w:cs="Arial"/>
          <w:b/>
          <w:sz w:val="24"/>
          <w:szCs w:val="24"/>
        </w:rPr>
      </w:pPr>
    </w:p>
    <w:p w14:paraId="1DBD0340" w14:textId="77777777" w:rsidR="00A01979" w:rsidRDefault="00A01979" w:rsidP="00A43E98">
      <w:pPr>
        <w:spacing w:after="0" w:line="240" w:lineRule="auto"/>
        <w:jc w:val="both"/>
        <w:rPr>
          <w:rFonts w:ascii="Arial" w:hAnsi="Arial" w:cs="Arial"/>
          <w:b/>
          <w:sz w:val="24"/>
          <w:szCs w:val="24"/>
        </w:rPr>
      </w:pPr>
    </w:p>
    <w:p w14:paraId="773273C8" w14:textId="77777777" w:rsidR="00A01979" w:rsidRDefault="00A01979" w:rsidP="00A43E98">
      <w:pPr>
        <w:spacing w:after="0" w:line="240" w:lineRule="auto"/>
        <w:jc w:val="both"/>
        <w:rPr>
          <w:rFonts w:ascii="Arial" w:hAnsi="Arial" w:cs="Arial"/>
          <w:b/>
          <w:sz w:val="24"/>
          <w:szCs w:val="24"/>
        </w:rPr>
      </w:pPr>
    </w:p>
    <w:p w14:paraId="6590AF13" w14:textId="77777777" w:rsidR="00A01979" w:rsidRDefault="00A01979" w:rsidP="00A43E98">
      <w:pPr>
        <w:spacing w:after="0" w:line="240" w:lineRule="auto"/>
        <w:jc w:val="both"/>
        <w:rPr>
          <w:rFonts w:ascii="Arial" w:hAnsi="Arial" w:cs="Arial"/>
          <w:b/>
          <w:sz w:val="24"/>
          <w:szCs w:val="24"/>
        </w:rPr>
      </w:pPr>
    </w:p>
    <w:p w14:paraId="7A9949A2" w14:textId="77777777" w:rsidR="00A01979" w:rsidRDefault="00A01979" w:rsidP="00A43E98">
      <w:pPr>
        <w:spacing w:after="0" w:line="240" w:lineRule="auto"/>
        <w:jc w:val="both"/>
        <w:rPr>
          <w:rFonts w:ascii="Arial" w:hAnsi="Arial" w:cs="Arial"/>
          <w:b/>
          <w:sz w:val="24"/>
          <w:szCs w:val="24"/>
        </w:rPr>
      </w:pPr>
    </w:p>
    <w:p w14:paraId="65AAD4F8" w14:textId="77777777" w:rsidR="00A01979" w:rsidRDefault="00A01979" w:rsidP="00A43E98">
      <w:pPr>
        <w:spacing w:after="0" w:line="240" w:lineRule="auto"/>
        <w:jc w:val="both"/>
        <w:rPr>
          <w:rFonts w:ascii="Arial" w:hAnsi="Arial" w:cs="Arial"/>
          <w:b/>
          <w:sz w:val="24"/>
          <w:szCs w:val="24"/>
        </w:rPr>
      </w:pPr>
    </w:p>
    <w:p w14:paraId="65B91784" w14:textId="77777777" w:rsidR="00A01979" w:rsidRDefault="00A01979" w:rsidP="00A43E98">
      <w:pPr>
        <w:spacing w:after="0" w:line="240" w:lineRule="auto"/>
        <w:jc w:val="both"/>
        <w:rPr>
          <w:rFonts w:ascii="Arial" w:hAnsi="Arial" w:cs="Arial"/>
          <w:b/>
          <w:sz w:val="24"/>
          <w:szCs w:val="24"/>
        </w:rPr>
      </w:pPr>
    </w:p>
    <w:p w14:paraId="08C8129A" w14:textId="77777777" w:rsidR="00A01979" w:rsidRDefault="00A01979" w:rsidP="00A43E98">
      <w:pPr>
        <w:spacing w:after="0" w:line="240" w:lineRule="auto"/>
        <w:jc w:val="both"/>
        <w:rPr>
          <w:rFonts w:ascii="Arial" w:hAnsi="Arial" w:cs="Arial"/>
          <w:b/>
          <w:sz w:val="24"/>
          <w:szCs w:val="24"/>
        </w:rPr>
      </w:pPr>
    </w:p>
    <w:p w14:paraId="7E7E43C8" w14:textId="77777777" w:rsidR="00A01979" w:rsidRDefault="00A01979" w:rsidP="00A43E98">
      <w:pPr>
        <w:spacing w:after="0" w:line="240" w:lineRule="auto"/>
        <w:jc w:val="both"/>
        <w:rPr>
          <w:rFonts w:ascii="Arial" w:hAnsi="Arial" w:cs="Arial"/>
          <w:b/>
          <w:sz w:val="24"/>
          <w:szCs w:val="24"/>
        </w:rPr>
      </w:pPr>
    </w:p>
    <w:p w14:paraId="4CFB4571" w14:textId="77777777" w:rsidR="00A01979" w:rsidRDefault="00A01979" w:rsidP="00A43E98">
      <w:pPr>
        <w:spacing w:after="0" w:line="240" w:lineRule="auto"/>
        <w:jc w:val="both"/>
        <w:rPr>
          <w:rFonts w:ascii="Arial" w:hAnsi="Arial" w:cs="Arial"/>
          <w:b/>
          <w:sz w:val="24"/>
          <w:szCs w:val="24"/>
        </w:rPr>
      </w:pPr>
    </w:p>
    <w:p w14:paraId="5EA3EE92" w14:textId="77777777" w:rsidR="00A01979" w:rsidRDefault="00A01979" w:rsidP="00A43E98">
      <w:pPr>
        <w:spacing w:after="0" w:line="240" w:lineRule="auto"/>
        <w:jc w:val="both"/>
        <w:rPr>
          <w:rFonts w:ascii="Arial" w:hAnsi="Arial" w:cs="Arial"/>
          <w:b/>
          <w:sz w:val="24"/>
          <w:szCs w:val="24"/>
        </w:rPr>
      </w:pPr>
    </w:p>
    <w:p w14:paraId="52042DCE" w14:textId="77777777" w:rsidR="00A01979" w:rsidRDefault="00A01979" w:rsidP="00A43E98">
      <w:pPr>
        <w:spacing w:after="0" w:line="240" w:lineRule="auto"/>
        <w:jc w:val="both"/>
        <w:rPr>
          <w:rFonts w:ascii="Arial" w:hAnsi="Arial" w:cs="Arial"/>
          <w:b/>
          <w:sz w:val="24"/>
          <w:szCs w:val="24"/>
        </w:rPr>
      </w:pPr>
    </w:p>
    <w:p w14:paraId="055E1EB7" w14:textId="77777777" w:rsidR="00A01979" w:rsidRDefault="00A01979" w:rsidP="00A43E98">
      <w:pPr>
        <w:spacing w:after="0" w:line="240" w:lineRule="auto"/>
        <w:jc w:val="both"/>
        <w:rPr>
          <w:rFonts w:ascii="Arial" w:hAnsi="Arial" w:cs="Arial"/>
          <w:b/>
          <w:sz w:val="24"/>
          <w:szCs w:val="24"/>
        </w:rPr>
      </w:pPr>
    </w:p>
    <w:p w14:paraId="06CD1505" w14:textId="77777777" w:rsidR="00A01979" w:rsidRDefault="00A01979" w:rsidP="00A43E98">
      <w:pPr>
        <w:spacing w:after="0" w:line="240" w:lineRule="auto"/>
        <w:jc w:val="both"/>
        <w:rPr>
          <w:rFonts w:ascii="Arial" w:hAnsi="Arial" w:cs="Arial"/>
          <w:b/>
          <w:sz w:val="24"/>
          <w:szCs w:val="24"/>
        </w:rPr>
      </w:pPr>
    </w:p>
    <w:p w14:paraId="04AC1FAF" w14:textId="77777777" w:rsidR="00A01979" w:rsidRDefault="00A01979" w:rsidP="00A43E98">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6E55E31C"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7B68B205" w14:textId="55EDD0BD" w:rsidR="00B4276E" w:rsidRPr="00500CF6" w:rsidRDefault="001C7E1E" w:rsidP="001C7E1E">
            <w:pPr>
              <w:spacing w:after="0" w:line="480" w:lineRule="auto"/>
              <w:rPr>
                <w:rFonts w:ascii="Arial" w:hAnsi="Arial" w:cs="Arial"/>
                <w:sz w:val="24"/>
                <w:szCs w:val="24"/>
              </w:rPr>
            </w:pPr>
            <w:r>
              <w:rPr>
                <w:rFonts w:ascii="Arial" w:hAnsi="Arial" w:cs="Arial"/>
                <w:sz w:val="24"/>
                <w:szCs w:val="24"/>
              </w:rPr>
              <w:t xml:space="preserve">J A N </w:t>
            </w:r>
            <w:proofErr w:type="spellStart"/>
            <w:r>
              <w:rPr>
                <w:rFonts w:ascii="Arial" w:hAnsi="Arial" w:cs="Arial"/>
                <w:sz w:val="24"/>
                <w:szCs w:val="24"/>
              </w:rPr>
              <w:t>Strydom</w:t>
            </w:r>
            <w:proofErr w:type="spellEnd"/>
            <w:r w:rsidR="007179FA">
              <w:rPr>
                <w:rFonts w:ascii="Arial" w:hAnsi="Arial" w:cs="Arial"/>
                <w:sz w:val="24"/>
                <w:szCs w:val="24"/>
              </w:rPr>
              <w:t xml:space="preserve"> </w:t>
            </w:r>
          </w:p>
        </w:tc>
      </w:tr>
      <w:tr w:rsidR="00B4276E" w:rsidRPr="00500CF6" w14:paraId="3335CD84" w14:textId="77777777" w:rsidTr="008E0490">
        <w:tc>
          <w:tcPr>
            <w:tcW w:w="4701" w:type="dxa"/>
            <w:shd w:val="clear" w:color="auto" w:fill="auto"/>
          </w:tcPr>
          <w:p w14:paraId="76D402E0" w14:textId="77777777"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3E7F42E3" w14:textId="0A8BEF2C" w:rsidR="00B4276E" w:rsidRPr="00500CF6" w:rsidRDefault="008E0490" w:rsidP="00026E7F">
            <w:pPr>
              <w:spacing w:after="0" w:line="480" w:lineRule="auto"/>
              <w:ind w:right="-818"/>
              <w:rPr>
                <w:rFonts w:ascii="Arial" w:hAnsi="Arial" w:cs="Arial"/>
                <w:sz w:val="24"/>
                <w:szCs w:val="24"/>
              </w:rPr>
            </w:pPr>
            <w:r>
              <w:rPr>
                <w:rFonts w:ascii="Arial" w:hAnsi="Arial" w:cs="Arial"/>
                <w:sz w:val="24"/>
                <w:szCs w:val="24"/>
              </w:rPr>
              <w:t xml:space="preserve">Instructed by </w:t>
            </w:r>
            <w:r w:rsidR="001C7E1E">
              <w:rPr>
                <w:rFonts w:ascii="Arial" w:hAnsi="Arial" w:cs="Arial"/>
                <w:sz w:val="24"/>
                <w:szCs w:val="24"/>
              </w:rPr>
              <w:t xml:space="preserve">Andreas </w:t>
            </w:r>
            <w:proofErr w:type="spellStart"/>
            <w:r w:rsidR="001C7E1E">
              <w:rPr>
                <w:rFonts w:ascii="Arial" w:hAnsi="Arial" w:cs="Arial"/>
                <w:sz w:val="24"/>
                <w:szCs w:val="24"/>
              </w:rPr>
              <w:t>Vaatz</w:t>
            </w:r>
            <w:proofErr w:type="spellEnd"/>
            <w:r w:rsidR="00026E7F">
              <w:rPr>
                <w:rFonts w:ascii="Arial" w:hAnsi="Arial" w:cs="Arial"/>
                <w:sz w:val="24"/>
                <w:szCs w:val="24"/>
              </w:rPr>
              <w:t xml:space="preserve"> &amp; </w:t>
            </w:r>
            <w:r w:rsidR="001C7E1E">
              <w:rPr>
                <w:rFonts w:ascii="Arial" w:hAnsi="Arial" w:cs="Arial"/>
                <w:sz w:val="24"/>
                <w:szCs w:val="24"/>
              </w:rPr>
              <w:t>Partners</w:t>
            </w:r>
            <w:r w:rsidR="00B56278">
              <w:rPr>
                <w:rFonts w:ascii="Arial" w:hAnsi="Arial" w:cs="Arial"/>
                <w:sz w:val="24"/>
                <w:szCs w:val="24"/>
              </w:rPr>
              <w:t>, Windhoek</w:t>
            </w:r>
            <w:r w:rsidR="00026E7F">
              <w:rPr>
                <w:rFonts w:ascii="Arial" w:hAnsi="Arial" w:cs="Arial"/>
                <w:sz w:val="24"/>
                <w:szCs w:val="24"/>
              </w:rPr>
              <w:t xml:space="preserve"> </w:t>
            </w:r>
          </w:p>
        </w:tc>
      </w:tr>
      <w:tr w:rsidR="00573B8D" w:rsidRPr="00500CF6" w14:paraId="6A8CDAC3" w14:textId="77777777" w:rsidTr="008E0490">
        <w:tc>
          <w:tcPr>
            <w:tcW w:w="4701" w:type="dxa"/>
            <w:shd w:val="clear" w:color="auto" w:fill="auto"/>
          </w:tcPr>
          <w:p w14:paraId="321A0CA2" w14:textId="77777777" w:rsidR="004169A7" w:rsidRPr="00500CF6" w:rsidRDefault="004169A7" w:rsidP="00500CF6">
            <w:pPr>
              <w:spacing w:after="0" w:line="480" w:lineRule="auto"/>
              <w:rPr>
                <w:rFonts w:ascii="Arial" w:hAnsi="Arial" w:cs="Arial"/>
                <w:sz w:val="24"/>
                <w:szCs w:val="24"/>
              </w:rPr>
            </w:pPr>
          </w:p>
          <w:p w14:paraId="2C6367DD" w14:textId="38AD6261"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r w:rsidR="00780F1B">
              <w:rPr>
                <w:rFonts w:ascii="Arial" w:hAnsi="Arial" w:cs="Arial"/>
                <w:sz w:val="24"/>
                <w:szCs w:val="24"/>
              </w:rPr>
              <w:t>s</w:t>
            </w:r>
            <w:r w:rsidRPr="00500CF6">
              <w:rPr>
                <w:rFonts w:ascii="Arial" w:hAnsi="Arial" w:cs="Arial"/>
                <w:sz w:val="24"/>
                <w:szCs w:val="24"/>
              </w:rPr>
              <w:t>:</w:t>
            </w:r>
          </w:p>
        </w:tc>
        <w:tc>
          <w:tcPr>
            <w:tcW w:w="4371" w:type="dxa"/>
            <w:shd w:val="clear" w:color="auto" w:fill="auto"/>
          </w:tcPr>
          <w:p w14:paraId="7C9447EC" w14:textId="77777777" w:rsidR="004169A7" w:rsidRPr="00500CF6" w:rsidRDefault="004169A7" w:rsidP="00500CF6">
            <w:pPr>
              <w:spacing w:after="0" w:line="480" w:lineRule="auto"/>
              <w:rPr>
                <w:rFonts w:ascii="Arial" w:hAnsi="Arial" w:cs="Arial"/>
                <w:sz w:val="24"/>
                <w:szCs w:val="24"/>
              </w:rPr>
            </w:pPr>
          </w:p>
          <w:p w14:paraId="5F98233E" w14:textId="706DA059" w:rsidR="000F360F" w:rsidRPr="00500CF6" w:rsidRDefault="001C7E1E" w:rsidP="001C7E1E">
            <w:pPr>
              <w:spacing w:after="0" w:line="480" w:lineRule="auto"/>
              <w:rPr>
                <w:rFonts w:ascii="Arial" w:hAnsi="Arial" w:cs="Arial"/>
                <w:sz w:val="24"/>
                <w:szCs w:val="24"/>
              </w:rPr>
            </w:pPr>
            <w:r>
              <w:rPr>
                <w:rFonts w:ascii="Arial" w:hAnsi="Arial" w:cs="Arial"/>
                <w:sz w:val="24"/>
                <w:szCs w:val="24"/>
              </w:rPr>
              <w:t xml:space="preserve">C </w:t>
            </w:r>
            <w:r w:rsidR="00780F1B">
              <w:rPr>
                <w:rFonts w:ascii="Arial" w:hAnsi="Arial" w:cs="Arial"/>
                <w:sz w:val="24"/>
                <w:szCs w:val="24"/>
              </w:rPr>
              <w:t xml:space="preserve">J </w:t>
            </w:r>
            <w:r>
              <w:rPr>
                <w:rFonts w:ascii="Arial" w:hAnsi="Arial" w:cs="Arial"/>
                <w:sz w:val="24"/>
                <w:szCs w:val="24"/>
              </w:rPr>
              <w:t>Mouton</w:t>
            </w: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0FCEA480" w:rsidR="00573B8D" w:rsidRPr="00500CF6" w:rsidRDefault="008E0490" w:rsidP="001C7E1E">
            <w:pPr>
              <w:spacing w:after="0" w:line="480" w:lineRule="auto"/>
              <w:rPr>
                <w:rFonts w:ascii="Arial" w:hAnsi="Arial" w:cs="Arial"/>
                <w:sz w:val="24"/>
                <w:szCs w:val="24"/>
              </w:rPr>
            </w:pPr>
            <w:r>
              <w:rPr>
                <w:rFonts w:ascii="Arial" w:hAnsi="Arial" w:cs="Arial"/>
                <w:sz w:val="24"/>
                <w:szCs w:val="24"/>
              </w:rPr>
              <w:t xml:space="preserve">Instructed by </w:t>
            </w:r>
            <w:r w:rsidR="001C7E1E">
              <w:rPr>
                <w:rFonts w:ascii="Arial" w:hAnsi="Arial" w:cs="Arial"/>
                <w:sz w:val="24"/>
                <w:szCs w:val="24"/>
              </w:rPr>
              <w:t>Mueller Legal Practitioners</w:t>
            </w:r>
            <w:r w:rsidR="00B56278">
              <w:rPr>
                <w:rFonts w:ascii="Arial" w:hAnsi="Arial" w:cs="Arial"/>
                <w:sz w:val="24"/>
                <w:szCs w:val="24"/>
              </w:rPr>
              <w:t>, Windhoek</w:t>
            </w:r>
            <w:r w:rsidR="00974EE1">
              <w:rPr>
                <w:rFonts w:ascii="Arial" w:hAnsi="Arial" w:cs="Arial"/>
                <w:sz w:val="24"/>
                <w:szCs w:val="24"/>
              </w:rPr>
              <w:t xml:space="preserve"> </w:t>
            </w:r>
          </w:p>
        </w:tc>
      </w:tr>
    </w:tbl>
    <w:p w14:paraId="66AF15AB" w14:textId="77777777" w:rsidR="00B266CC" w:rsidRDefault="00B266CC" w:rsidP="007D275A">
      <w:pPr>
        <w:spacing w:after="0" w:line="480" w:lineRule="auto"/>
        <w:jc w:val="both"/>
      </w:pPr>
    </w:p>
    <w:sectPr w:rsidR="00B266CC" w:rsidSect="00053E84">
      <w:headerReference w:type="default" r:id="rId10"/>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8D7E9" w14:textId="77777777" w:rsidR="00654DFE" w:rsidRDefault="00654DFE" w:rsidP="00F74879">
      <w:pPr>
        <w:spacing w:after="0" w:line="240" w:lineRule="auto"/>
      </w:pPr>
      <w:r>
        <w:separator/>
      </w:r>
    </w:p>
  </w:endnote>
  <w:endnote w:type="continuationSeparator" w:id="0">
    <w:p w14:paraId="5EAEFFF6" w14:textId="77777777" w:rsidR="00654DFE" w:rsidRDefault="00654DFE"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0EEE6" w14:textId="77777777" w:rsidR="00654DFE" w:rsidRDefault="00654DFE" w:rsidP="00F74879">
      <w:pPr>
        <w:spacing w:after="0" w:line="240" w:lineRule="auto"/>
      </w:pPr>
      <w:r>
        <w:separator/>
      </w:r>
    </w:p>
  </w:footnote>
  <w:footnote w:type="continuationSeparator" w:id="0">
    <w:p w14:paraId="40915E67" w14:textId="77777777" w:rsidR="00654DFE" w:rsidRDefault="00654DFE" w:rsidP="00F74879">
      <w:pPr>
        <w:spacing w:after="0" w:line="240" w:lineRule="auto"/>
      </w:pPr>
      <w:r>
        <w:continuationSeparator/>
      </w:r>
    </w:p>
  </w:footnote>
  <w:footnote w:id="1">
    <w:p w14:paraId="15ECCEBE" w14:textId="4B729071" w:rsidR="007A4699" w:rsidRPr="00F50FEB" w:rsidRDefault="007A4699" w:rsidP="00F50FEB">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spellStart"/>
      <w:proofErr w:type="gramStart"/>
      <w:r w:rsidRPr="00F50FEB">
        <w:rPr>
          <w:rFonts w:ascii="Arial" w:hAnsi="Arial" w:cs="Arial"/>
          <w:i/>
          <w:lang w:val="en-ZA"/>
        </w:rPr>
        <w:t>Dannecker</w:t>
      </w:r>
      <w:proofErr w:type="spellEnd"/>
      <w:r w:rsidRPr="00F50FEB">
        <w:rPr>
          <w:rFonts w:ascii="Arial" w:hAnsi="Arial" w:cs="Arial"/>
          <w:i/>
          <w:lang w:val="en-ZA"/>
        </w:rPr>
        <w:t xml:space="preserve"> v Leopard Tours Car &amp; Camping Hire </w:t>
      </w:r>
      <w:r w:rsidRPr="00F50FEB">
        <w:rPr>
          <w:rFonts w:ascii="Arial" w:hAnsi="Arial" w:cs="Arial"/>
          <w:lang w:val="en-ZA"/>
        </w:rPr>
        <w:t>(I 2909/2006) [2016] NAHCMD 381 (5 December 2016) para 47.</w:t>
      </w:r>
      <w:proofErr w:type="gramEnd"/>
    </w:p>
    <w:p w14:paraId="02EB09C1" w14:textId="77777777" w:rsidR="009A4A25" w:rsidRPr="00F50FEB" w:rsidRDefault="009A4A25" w:rsidP="00F50FEB">
      <w:pPr>
        <w:pStyle w:val="NoSpacing"/>
        <w:tabs>
          <w:tab w:val="left" w:pos="567"/>
        </w:tabs>
        <w:jc w:val="both"/>
        <w:rPr>
          <w:rFonts w:ascii="Arial" w:hAnsi="Arial" w:cs="Arial"/>
          <w:sz w:val="20"/>
          <w:szCs w:val="20"/>
        </w:rPr>
      </w:pPr>
      <w:r w:rsidRPr="00F50FEB">
        <w:rPr>
          <w:rFonts w:ascii="Arial" w:hAnsi="Arial" w:cs="Arial"/>
          <w:sz w:val="20"/>
          <w:szCs w:val="20"/>
        </w:rPr>
        <w:t>[47]</w:t>
      </w:r>
      <w:r w:rsidRPr="00F50FEB">
        <w:rPr>
          <w:rFonts w:ascii="Arial" w:hAnsi="Arial" w:cs="Arial"/>
          <w:sz w:val="20"/>
          <w:szCs w:val="20"/>
        </w:rPr>
        <w:tab/>
        <w:t xml:space="preserve">Besides, it became apparent during the cross-examination of the </w:t>
      </w:r>
      <w:proofErr w:type="spellStart"/>
      <w:r w:rsidRPr="00F50FEB">
        <w:rPr>
          <w:rFonts w:ascii="Arial" w:hAnsi="Arial" w:cs="Arial"/>
          <w:sz w:val="20"/>
          <w:szCs w:val="20"/>
        </w:rPr>
        <w:t>Hausners</w:t>
      </w:r>
      <w:proofErr w:type="spellEnd"/>
      <w:r w:rsidRPr="00F50FEB">
        <w:rPr>
          <w:rFonts w:ascii="Arial" w:hAnsi="Arial" w:cs="Arial"/>
          <w:sz w:val="20"/>
          <w:szCs w:val="20"/>
        </w:rPr>
        <w:t xml:space="preserve"> that:</w:t>
      </w:r>
    </w:p>
    <w:p w14:paraId="321877C1" w14:textId="0DE1E976" w:rsidR="009A4A25" w:rsidRPr="00F50FEB" w:rsidRDefault="009A4A25" w:rsidP="00F50FEB">
      <w:pPr>
        <w:pStyle w:val="ListParagraph"/>
        <w:numPr>
          <w:ilvl w:val="0"/>
          <w:numId w:val="45"/>
        </w:numPr>
        <w:spacing w:line="240" w:lineRule="auto"/>
        <w:ind w:left="284" w:hanging="284"/>
        <w:jc w:val="both"/>
        <w:rPr>
          <w:rFonts w:ascii="Arial" w:hAnsi="Arial" w:cs="Arial"/>
          <w:sz w:val="20"/>
          <w:szCs w:val="20"/>
        </w:rPr>
      </w:pPr>
      <w:r w:rsidRPr="00F50FEB">
        <w:rPr>
          <w:rFonts w:ascii="Arial" w:hAnsi="Arial" w:cs="Arial"/>
          <w:sz w:val="20"/>
          <w:szCs w:val="20"/>
        </w:rPr>
        <w:t>The online prospectus on the strength of which the first defendant allegedly dealt with the plaintiff was in the name of Leopard Tours Car and Camping Hire CC, which is not the same name under which the property registered Close Corporation (Leopard Tours Safaris CC);</w:t>
      </w:r>
    </w:p>
    <w:p w14:paraId="5833FEC3" w14:textId="77777777" w:rsidR="009A4A25" w:rsidRPr="00F50FEB" w:rsidRDefault="009A4A25" w:rsidP="00F50FEB">
      <w:pPr>
        <w:pStyle w:val="ListParagraph"/>
        <w:numPr>
          <w:ilvl w:val="0"/>
          <w:numId w:val="45"/>
        </w:numPr>
        <w:spacing w:line="240" w:lineRule="auto"/>
        <w:ind w:left="284" w:hanging="284"/>
        <w:jc w:val="both"/>
        <w:rPr>
          <w:rFonts w:ascii="Arial" w:hAnsi="Arial" w:cs="Arial"/>
          <w:sz w:val="20"/>
          <w:szCs w:val="20"/>
        </w:rPr>
      </w:pPr>
      <w:r w:rsidRPr="00F50FEB">
        <w:rPr>
          <w:rFonts w:ascii="Arial" w:hAnsi="Arial" w:cs="Arial"/>
          <w:sz w:val="20"/>
          <w:szCs w:val="20"/>
        </w:rPr>
        <w:t>The second defendant’s admission of the citation of the first defendant as Leopard Tours Car and Camping Hire CC was improperly made;</w:t>
      </w:r>
    </w:p>
    <w:p w14:paraId="610BB37F" w14:textId="77777777" w:rsidR="009A4A25" w:rsidRPr="00F50FEB" w:rsidRDefault="009A4A25" w:rsidP="00F50FEB">
      <w:pPr>
        <w:pStyle w:val="ListParagraph"/>
        <w:numPr>
          <w:ilvl w:val="0"/>
          <w:numId w:val="45"/>
        </w:numPr>
        <w:spacing w:line="240" w:lineRule="auto"/>
        <w:ind w:left="284" w:hanging="284"/>
        <w:jc w:val="both"/>
        <w:rPr>
          <w:rFonts w:ascii="Arial" w:hAnsi="Arial" w:cs="Arial"/>
          <w:sz w:val="20"/>
          <w:szCs w:val="20"/>
        </w:rPr>
      </w:pPr>
      <w:r w:rsidRPr="00F50FEB">
        <w:rPr>
          <w:rFonts w:ascii="Arial" w:hAnsi="Arial" w:cs="Arial"/>
          <w:sz w:val="20"/>
          <w:szCs w:val="20"/>
        </w:rPr>
        <w:t>None of the email correspondence written to the plaintiff by the second defendant complied with the peremptory provisions of Section 22, 23, and 82 of the Close Corporation Act;</w:t>
      </w:r>
    </w:p>
    <w:p w14:paraId="170A27E3" w14:textId="77777777" w:rsidR="009A4A25" w:rsidRPr="00F50FEB" w:rsidRDefault="009A4A25" w:rsidP="00F50FEB">
      <w:pPr>
        <w:pStyle w:val="ListParagraph"/>
        <w:numPr>
          <w:ilvl w:val="0"/>
          <w:numId w:val="45"/>
        </w:numPr>
        <w:spacing w:line="240" w:lineRule="auto"/>
        <w:ind w:left="284" w:hanging="284"/>
        <w:jc w:val="both"/>
        <w:rPr>
          <w:rFonts w:ascii="Arial" w:hAnsi="Arial" w:cs="Arial"/>
          <w:sz w:val="20"/>
          <w:szCs w:val="20"/>
        </w:rPr>
      </w:pPr>
      <w:r w:rsidRPr="00F50FEB">
        <w:rPr>
          <w:rFonts w:ascii="Arial" w:hAnsi="Arial" w:cs="Arial"/>
          <w:sz w:val="20"/>
          <w:szCs w:val="20"/>
        </w:rPr>
        <w:t>The payments made by the plaintiff in respect of the car’s rental were all into the private account of the second and third defendants;</w:t>
      </w:r>
    </w:p>
    <w:p w14:paraId="1A927827" w14:textId="77777777" w:rsidR="009A4A25" w:rsidRPr="00F50FEB" w:rsidRDefault="009A4A25" w:rsidP="00F50FEB">
      <w:pPr>
        <w:pStyle w:val="ListParagraph"/>
        <w:numPr>
          <w:ilvl w:val="0"/>
          <w:numId w:val="45"/>
        </w:numPr>
        <w:spacing w:line="240" w:lineRule="auto"/>
        <w:ind w:left="284" w:hanging="284"/>
        <w:jc w:val="both"/>
        <w:rPr>
          <w:rFonts w:ascii="Arial" w:hAnsi="Arial" w:cs="Arial"/>
          <w:sz w:val="20"/>
          <w:szCs w:val="20"/>
        </w:rPr>
      </w:pPr>
      <w:r w:rsidRPr="00F50FEB">
        <w:rPr>
          <w:rFonts w:ascii="Arial" w:hAnsi="Arial" w:cs="Arial"/>
          <w:sz w:val="20"/>
          <w:szCs w:val="20"/>
        </w:rPr>
        <w:t>The invoices generated in demand of payment by the plaintiff for the car’s rental were not in the name of the first defendant, and materially, were in violation of the Close Corporations Act in that the registration number was not stated, nor were the names of the members provided;</w:t>
      </w:r>
    </w:p>
    <w:p w14:paraId="3DC80CD0" w14:textId="77777777" w:rsidR="009A4A25" w:rsidRPr="00F50FEB" w:rsidRDefault="009A4A25" w:rsidP="00F50FEB">
      <w:pPr>
        <w:pStyle w:val="ListParagraph"/>
        <w:numPr>
          <w:ilvl w:val="0"/>
          <w:numId w:val="45"/>
        </w:numPr>
        <w:spacing w:line="240" w:lineRule="auto"/>
        <w:ind w:left="284" w:hanging="284"/>
        <w:jc w:val="both"/>
        <w:rPr>
          <w:rFonts w:ascii="Arial" w:hAnsi="Arial" w:cs="Arial"/>
          <w:sz w:val="20"/>
          <w:szCs w:val="20"/>
        </w:rPr>
      </w:pPr>
      <w:r w:rsidRPr="00F50FEB">
        <w:rPr>
          <w:rFonts w:ascii="Arial" w:hAnsi="Arial" w:cs="Arial"/>
          <w:sz w:val="20"/>
          <w:szCs w:val="20"/>
        </w:rPr>
        <w:t>The document on which the defendants rely for the allegation that the plaintiff was warned about not driving through water and to keep to the marked roads, was not in the name of the registered close corporation.</w:t>
      </w:r>
    </w:p>
    <w:p w14:paraId="3DB8997B" w14:textId="77777777" w:rsidR="009A4A25" w:rsidRPr="009A4A25" w:rsidRDefault="009A4A25" w:rsidP="00326CCE">
      <w:pPr>
        <w:pStyle w:val="ListParagraph"/>
        <w:spacing w:line="240" w:lineRule="auto"/>
        <w:ind w:left="284" w:hanging="284"/>
        <w:jc w:val="both"/>
        <w:rPr>
          <w:rFonts w:ascii="Arial" w:hAnsi="Arial" w:cs="Arial"/>
          <w:sz w:val="20"/>
          <w:szCs w:val="20"/>
        </w:rPr>
      </w:pPr>
    </w:p>
    <w:p w14:paraId="1CE8D434" w14:textId="77777777" w:rsidR="009A4A25" w:rsidRPr="00D06E94" w:rsidRDefault="009A4A25" w:rsidP="00D06E94">
      <w:pPr>
        <w:pStyle w:val="FootnoteText"/>
        <w:jc w:val="both"/>
        <w:rPr>
          <w:rFonts w:ascii="Arial" w:hAnsi="Arial" w:cs="Arial"/>
          <w:lang w:val="en-ZA"/>
        </w:rPr>
      </w:pPr>
    </w:p>
  </w:footnote>
  <w:footnote w:id="2">
    <w:p w14:paraId="0F3F6891" w14:textId="2F67DE7F" w:rsidR="007A4699" w:rsidRPr="00F50FEB" w:rsidRDefault="007A4699" w:rsidP="00A0584B">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r w:rsidRPr="00F50FEB">
        <w:rPr>
          <w:rFonts w:ascii="Arial" w:hAnsi="Arial" w:cs="Arial"/>
          <w:lang w:val="en-ZA"/>
        </w:rPr>
        <w:t>Reference to June and July means June or July 2018</w:t>
      </w:r>
      <w:r w:rsidR="00B818B6" w:rsidRPr="00F50FEB">
        <w:rPr>
          <w:rFonts w:ascii="Arial" w:hAnsi="Arial" w:cs="Arial"/>
          <w:lang w:val="en-ZA"/>
        </w:rPr>
        <w:t>.</w:t>
      </w:r>
    </w:p>
  </w:footnote>
  <w:footnote w:id="3">
    <w:p w14:paraId="66FF33F4" w14:textId="2D00A8B4" w:rsidR="00052144" w:rsidRPr="00F50FEB" w:rsidRDefault="00052144" w:rsidP="00052144">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gramStart"/>
      <w:r w:rsidR="00181011" w:rsidRPr="00F50FEB">
        <w:rPr>
          <w:rFonts w:ascii="Arial" w:hAnsi="Arial" w:cs="Arial"/>
          <w:i/>
        </w:rPr>
        <w:t xml:space="preserve">Ferreira v </w:t>
      </w:r>
      <w:proofErr w:type="spellStart"/>
      <w:r w:rsidR="00181011" w:rsidRPr="00F50FEB">
        <w:rPr>
          <w:rFonts w:ascii="Arial" w:hAnsi="Arial" w:cs="Arial"/>
          <w:i/>
        </w:rPr>
        <w:t>Ntshingila</w:t>
      </w:r>
      <w:proofErr w:type="spellEnd"/>
      <w:r w:rsidR="00181011" w:rsidRPr="00F50FEB">
        <w:rPr>
          <w:rFonts w:ascii="Arial" w:hAnsi="Arial" w:cs="Arial"/>
        </w:rPr>
        <w:t xml:space="preserve"> 1990 (4) SA 271 (A) at 281D</w:t>
      </w:r>
      <w:r w:rsidR="00B818B6" w:rsidRPr="00F50FEB">
        <w:rPr>
          <w:rFonts w:ascii="Arial" w:hAnsi="Arial" w:cs="Arial"/>
        </w:rPr>
        <w:t>.</w:t>
      </w:r>
      <w:proofErr w:type="gramEnd"/>
    </w:p>
  </w:footnote>
  <w:footnote w:id="4">
    <w:p w14:paraId="176462AD" w14:textId="3E73F755" w:rsidR="00712CFE" w:rsidRPr="00F50FEB" w:rsidRDefault="00712CFE" w:rsidP="00712CFE">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gramStart"/>
      <w:r w:rsidRPr="00F50FEB">
        <w:rPr>
          <w:rFonts w:ascii="Arial" w:hAnsi="Arial" w:cs="Arial"/>
          <w:i/>
          <w:lang w:val="en-ZA"/>
        </w:rPr>
        <w:t>P E Bosman Transport Works Committee and others v Piet Bosman Transport</w:t>
      </w:r>
      <w:r w:rsidRPr="00F50FEB">
        <w:rPr>
          <w:rFonts w:ascii="Arial" w:hAnsi="Arial" w:cs="Arial"/>
          <w:lang w:val="en-ZA"/>
        </w:rPr>
        <w:t xml:space="preserve"> 1980 (4) SA 794 (A) at 797G.</w:t>
      </w:r>
      <w:proofErr w:type="gramEnd"/>
    </w:p>
  </w:footnote>
  <w:footnote w:id="5">
    <w:p w14:paraId="32500BB0" w14:textId="112FFAC4" w:rsidR="00181011" w:rsidRPr="00F50FEB" w:rsidRDefault="00181011" w:rsidP="00181011">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gramStart"/>
      <w:r w:rsidRPr="00F50FEB">
        <w:rPr>
          <w:rFonts w:ascii="Arial" w:hAnsi="Arial" w:cs="Arial"/>
          <w:lang w:val="en-ZA"/>
        </w:rPr>
        <w:t>2009 (6) SA 33</w:t>
      </w:r>
      <w:r w:rsidR="00712CFE" w:rsidRPr="00F50FEB">
        <w:rPr>
          <w:rFonts w:ascii="Arial" w:hAnsi="Arial" w:cs="Arial"/>
          <w:lang w:val="en-ZA"/>
        </w:rPr>
        <w:t xml:space="preserve"> </w:t>
      </w:r>
      <w:r w:rsidRPr="00F50FEB">
        <w:rPr>
          <w:rFonts w:ascii="Arial" w:hAnsi="Arial" w:cs="Arial"/>
          <w:lang w:val="en-ZA"/>
        </w:rPr>
        <w:t>(W)</w:t>
      </w:r>
      <w:r w:rsidR="00E76346" w:rsidRPr="00F50FEB">
        <w:rPr>
          <w:rFonts w:ascii="Arial" w:hAnsi="Arial" w:cs="Arial"/>
          <w:lang w:val="en-ZA"/>
        </w:rPr>
        <w:t xml:space="preserve"> at 452 para 40</w:t>
      </w:r>
      <w:r w:rsidR="00712CFE" w:rsidRPr="00F50FEB">
        <w:rPr>
          <w:rFonts w:ascii="Arial" w:hAnsi="Arial" w:cs="Arial"/>
          <w:lang w:val="en-ZA"/>
        </w:rPr>
        <w:t>.</w:t>
      </w:r>
      <w:proofErr w:type="gramEnd"/>
    </w:p>
  </w:footnote>
  <w:footnote w:id="6">
    <w:p w14:paraId="6D8B4378" w14:textId="1CB8ADEB" w:rsidR="00E76346" w:rsidRPr="00F50FEB" w:rsidRDefault="00E76346" w:rsidP="00E76346">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gramStart"/>
      <w:r w:rsidRPr="00F50FEB">
        <w:rPr>
          <w:rFonts w:ascii="Arial" w:hAnsi="Arial" w:cs="Arial"/>
          <w:lang w:val="en-ZA"/>
        </w:rPr>
        <w:t>2011(2) NR 637 (SC) at 639 para 9-10</w:t>
      </w:r>
      <w:r w:rsidR="00AD28B7" w:rsidRPr="00F50FEB">
        <w:rPr>
          <w:rFonts w:ascii="Arial" w:hAnsi="Arial" w:cs="Arial"/>
          <w:lang w:val="en-ZA"/>
        </w:rPr>
        <w:t>.</w:t>
      </w:r>
      <w:proofErr w:type="gramEnd"/>
    </w:p>
  </w:footnote>
  <w:footnote w:id="7">
    <w:p w14:paraId="725E7E90" w14:textId="73F4D05B" w:rsidR="00E76346" w:rsidRPr="00F50FEB" w:rsidRDefault="00E76346" w:rsidP="00E76346">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gramStart"/>
      <w:r w:rsidRPr="00F50FEB">
        <w:rPr>
          <w:rFonts w:ascii="Arial" w:hAnsi="Arial" w:cs="Arial"/>
          <w:lang w:val="en-ZA"/>
        </w:rPr>
        <w:t>2013 (4) NR 1029 at 1031D-F</w:t>
      </w:r>
      <w:r w:rsidR="00AD28B7" w:rsidRPr="00F50FEB">
        <w:rPr>
          <w:rFonts w:ascii="Arial" w:hAnsi="Arial" w:cs="Arial"/>
          <w:lang w:val="en-ZA"/>
        </w:rPr>
        <w:t>.</w:t>
      </w:r>
      <w:proofErr w:type="gramEnd"/>
    </w:p>
  </w:footnote>
  <w:footnote w:id="8">
    <w:p w14:paraId="14883214" w14:textId="11EA37E9" w:rsidR="003D4A99" w:rsidRPr="00F50FEB" w:rsidRDefault="003D4A99" w:rsidP="003D4A99">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gramStart"/>
      <w:r w:rsidRPr="00F50FEB">
        <w:rPr>
          <w:rFonts w:ascii="Arial" w:hAnsi="Arial" w:cs="Arial"/>
          <w:lang w:val="en-ZA"/>
        </w:rPr>
        <w:t>Footnote 3 above</w:t>
      </w:r>
      <w:r w:rsidR="00AD28B7" w:rsidRPr="00F50FEB">
        <w:rPr>
          <w:rFonts w:ascii="Arial" w:hAnsi="Arial" w:cs="Arial"/>
          <w:lang w:val="en-ZA"/>
        </w:rPr>
        <w:t>.</w:t>
      </w:r>
      <w:proofErr w:type="gramEnd"/>
    </w:p>
  </w:footnote>
  <w:footnote w:id="9">
    <w:p w14:paraId="40D0C447" w14:textId="49226CB9" w:rsidR="006427EC" w:rsidRPr="006427EC" w:rsidRDefault="006427EC" w:rsidP="006427EC">
      <w:pPr>
        <w:pStyle w:val="FootnoteText"/>
        <w:jc w:val="both"/>
        <w:rPr>
          <w:rFonts w:ascii="Arial" w:hAnsi="Arial" w:cs="Arial"/>
          <w:lang w:val="en-ZA"/>
        </w:rPr>
      </w:pPr>
      <w:r>
        <w:rPr>
          <w:rStyle w:val="FootnoteReference"/>
        </w:rPr>
        <w:footnoteRef/>
      </w:r>
      <w:r>
        <w:t xml:space="preserve"> </w:t>
      </w:r>
      <w:proofErr w:type="gramStart"/>
      <w:r w:rsidR="004D16C3">
        <w:rPr>
          <w:rFonts w:ascii="Arial" w:hAnsi="Arial" w:cs="Arial"/>
        </w:rPr>
        <w:t>Footnote 4 above</w:t>
      </w:r>
      <w:r>
        <w:rPr>
          <w:rFonts w:ascii="Arial" w:hAnsi="Arial" w:cs="Arial"/>
          <w:lang w:val="en-ZA"/>
        </w:rPr>
        <w:t xml:space="preserve"> at 799D and H</w:t>
      </w:r>
      <w:r w:rsidR="00463E01">
        <w:rPr>
          <w:rFonts w:ascii="Arial" w:hAnsi="Arial" w:cs="Arial"/>
          <w:lang w:val="en-ZA"/>
        </w:rPr>
        <w:t>.</w:t>
      </w:r>
      <w:proofErr w:type="gramEnd"/>
    </w:p>
  </w:footnote>
  <w:footnote w:id="10">
    <w:p w14:paraId="46D53C73" w14:textId="48B1D38B" w:rsidR="003A2D0A" w:rsidRPr="003A2D0A" w:rsidRDefault="003A2D0A" w:rsidP="003A2D0A">
      <w:pPr>
        <w:pStyle w:val="FootnoteText"/>
        <w:jc w:val="both"/>
        <w:rPr>
          <w:rFonts w:ascii="Arial" w:hAnsi="Arial" w:cs="Arial"/>
          <w:lang w:val="en-ZA"/>
        </w:rPr>
      </w:pPr>
      <w:r w:rsidRPr="003A2D0A">
        <w:rPr>
          <w:rStyle w:val="FootnoteReference"/>
          <w:rFonts w:ascii="Arial" w:hAnsi="Arial" w:cs="Arial"/>
        </w:rPr>
        <w:footnoteRef/>
      </w:r>
      <w:r w:rsidRPr="003A2D0A">
        <w:rPr>
          <w:rFonts w:ascii="Arial" w:hAnsi="Arial" w:cs="Arial"/>
        </w:rPr>
        <w:t xml:space="preserve"> </w:t>
      </w:r>
      <w:proofErr w:type="spellStart"/>
      <w:r w:rsidRPr="00463E01">
        <w:rPr>
          <w:rFonts w:ascii="Arial" w:hAnsi="Arial" w:cs="Arial"/>
          <w:i/>
        </w:rPr>
        <w:t>Aymacc</w:t>
      </w:r>
      <w:proofErr w:type="spellEnd"/>
      <w:r w:rsidRPr="00463E01">
        <w:rPr>
          <w:rFonts w:ascii="Arial" w:hAnsi="Arial" w:cs="Arial"/>
          <w:i/>
        </w:rPr>
        <w:t xml:space="preserve"> CC</w:t>
      </w:r>
      <w:r w:rsidRPr="003A2D0A">
        <w:rPr>
          <w:rFonts w:ascii="Arial" w:hAnsi="Arial" w:cs="Arial"/>
        </w:rPr>
        <w:t xml:space="preserve"> above at 452F-G</w:t>
      </w:r>
      <w:r w:rsidR="00463E01">
        <w:rPr>
          <w:rFonts w:ascii="Arial" w:hAnsi="Arial" w:cs="Arial"/>
        </w:rPr>
        <w:t>.</w:t>
      </w:r>
    </w:p>
  </w:footnote>
  <w:footnote w:id="11">
    <w:p w14:paraId="67FB0DC5" w14:textId="65CB7B58" w:rsidR="00FC7247" w:rsidRPr="00F50FEB" w:rsidRDefault="00FC7247" w:rsidP="00FC7247">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r w:rsidRPr="00F50FEB">
        <w:rPr>
          <w:rFonts w:ascii="Arial" w:hAnsi="Arial" w:cs="Arial"/>
          <w:b/>
          <w:lang w:val="en-ZA"/>
        </w:rPr>
        <w:t>Liability of members and others for debts of Close Corporation</w:t>
      </w:r>
    </w:p>
    <w:p w14:paraId="4A47DB93" w14:textId="4287588B" w:rsidR="00FC7247" w:rsidRPr="00F50FEB" w:rsidRDefault="0070442F" w:rsidP="00FC7247">
      <w:pPr>
        <w:pStyle w:val="FootnoteText"/>
        <w:jc w:val="both"/>
        <w:rPr>
          <w:rFonts w:ascii="Arial" w:hAnsi="Arial" w:cs="Arial"/>
          <w:lang w:val="en-ZA"/>
        </w:rPr>
      </w:pPr>
      <w:r w:rsidRPr="00F50FEB">
        <w:rPr>
          <w:rFonts w:ascii="Arial" w:hAnsi="Arial" w:cs="Arial"/>
          <w:lang w:val="en-ZA"/>
        </w:rPr>
        <w:t>63. Notwithstanding anything to the contrary contained in any provision of this Act, the following persons shall in the following circumstances together with a corporation be jointly and severally liable for the specified debts of the corporation:</w:t>
      </w:r>
    </w:p>
    <w:p w14:paraId="09093D75" w14:textId="77777777" w:rsidR="0070442F" w:rsidRPr="00F50FEB" w:rsidRDefault="0070442F" w:rsidP="00FC7247">
      <w:pPr>
        <w:pStyle w:val="FootnoteText"/>
        <w:jc w:val="both"/>
        <w:rPr>
          <w:rFonts w:ascii="Arial" w:hAnsi="Arial" w:cs="Arial"/>
          <w:lang w:val="en-ZA"/>
        </w:rPr>
      </w:pPr>
    </w:p>
    <w:p w14:paraId="5D5C9852" w14:textId="09E1CCF2" w:rsidR="0070442F" w:rsidRPr="00F50FEB" w:rsidRDefault="0070442F" w:rsidP="00706D57">
      <w:pPr>
        <w:pStyle w:val="FootnoteText"/>
        <w:ind w:left="567" w:hanging="567"/>
        <w:jc w:val="both"/>
        <w:rPr>
          <w:rFonts w:ascii="Arial" w:hAnsi="Arial" w:cs="Arial"/>
          <w:lang w:val="en-ZA"/>
        </w:rPr>
      </w:pPr>
      <w:r w:rsidRPr="00F50FEB">
        <w:rPr>
          <w:rFonts w:ascii="Arial" w:hAnsi="Arial" w:cs="Arial"/>
          <w:lang w:val="en-ZA"/>
        </w:rPr>
        <w:t>(a)</w:t>
      </w:r>
      <w:r w:rsidRPr="00F50FEB">
        <w:rPr>
          <w:rFonts w:ascii="Arial" w:hAnsi="Arial" w:cs="Arial"/>
          <w:lang w:val="en-ZA"/>
        </w:rPr>
        <w:tab/>
        <w:t>Where the name of the corporation is in any way used without the abbreviation CC or BK as required by section 22(1), any member of the corporation who is responsible for, or who authorized or knowingly permits the omission of such abbreviation shall be so liable to any person who enters into any transaction with the corporation from which a debt accrues for the corporation while he, in consequence of such omission, is not aware that he is dealing with a corporation;</w:t>
      </w:r>
    </w:p>
  </w:footnote>
  <w:footnote w:id="12">
    <w:p w14:paraId="699C7F74" w14:textId="18C45990" w:rsidR="00DC43FF" w:rsidRPr="00F50FEB" w:rsidRDefault="00DC43FF" w:rsidP="00806D96">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gramStart"/>
      <w:r w:rsidR="00806D96" w:rsidRPr="00F50FEB">
        <w:rPr>
          <w:rFonts w:ascii="Arial" w:hAnsi="Arial" w:cs="Arial"/>
          <w:i/>
          <w:lang w:val="en-ZA"/>
        </w:rPr>
        <w:t>FPS Ltd v Trident Construction (Pty) Ltd</w:t>
      </w:r>
      <w:r w:rsidR="00806D96" w:rsidRPr="00F50FEB">
        <w:rPr>
          <w:rFonts w:ascii="Arial" w:hAnsi="Arial" w:cs="Arial"/>
          <w:lang w:val="en-ZA"/>
        </w:rPr>
        <w:t xml:space="preserve"> 1989(3) SA 537 AD at 541J.</w:t>
      </w:r>
      <w:proofErr w:type="gramEnd"/>
      <w:r w:rsidR="00806D96" w:rsidRPr="00F50FEB">
        <w:rPr>
          <w:rFonts w:ascii="Arial" w:hAnsi="Arial" w:cs="Arial"/>
          <w:lang w:val="en-ZA"/>
        </w:rPr>
        <w:t xml:space="preserve"> In </w:t>
      </w:r>
      <w:proofErr w:type="spellStart"/>
      <w:r w:rsidR="00806D96" w:rsidRPr="00F50FEB">
        <w:rPr>
          <w:rFonts w:ascii="Arial" w:hAnsi="Arial" w:cs="Arial"/>
          <w:i/>
          <w:lang w:val="en-ZA"/>
        </w:rPr>
        <w:t>Burbach</w:t>
      </w:r>
      <w:proofErr w:type="spellEnd"/>
      <w:r w:rsidR="00806D96" w:rsidRPr="00F50FEB">
        <w:rPr>
          <w:rFonts w:ascii="Arial" w:hAnsi="Arial" w:cs="Arial"/>
          <w:i/>
          <w:lang w:val="en-ZA"/>
        </w:rPr>
        <w:t xml:space="preserve"> v Fairway Hotel</w:t>
      </w:r>
      <w:r w:rsidR="00806D96" w:rsidRPr="00F50FEB">
        <w:rPr>
          <w:rFonts w:ascii="Arial" w:hAnsi="Arial" w:cs="Arial"/>
          <w:lang w:val="en-ZA"/>
        </w:rPr>
        <w:t xml:space="preserve"> </w:t>
      </w:r>
      <w:r w:rsidR="00806D96" w:rsidRPr="00F50FEB">
        <w:rPr>
          <w:rFonts w:ascii="Arial" w:hAnsi="Arial" w:cs="Arial"/>
          <w:i/>
          <w:lang w:val="en-ZA"/>
        </w:rPr>
        <w:t xml:space="preserve">Ltd </w:t>
      </w:r>
      <w:r w:rsidR="00806D96" w:rsidRPr="00F50FEB">
        <w:rPr>
          <w:rFonts w:ascii="Arial" w:hAnsi="Arial" w:cs="Arial"/>
          <w:lang w:val="en-ZA"/>
        </w:rPr>
        <w:t>1949(3) SA 1081 (S.R.) at 1082 it was said ‘the whole purpose of pleadings it to bring clearly to the notice of the court and the parties to an action the issues upon which reliance is to be pl</w:t>
      </w:r>
      <w:r w:rsidR="00185E99" w:rsidRPr="00F50FEB">
        <w:rPr>
          <w:rFonts w:ascii="Arial" w:hAnsi="Arial" w:cs="Arial"/>
          <w:lang w:val="en-ZA"/>
        </w:rPr>
        <w:t>a</w:t>
      </w:r>
      <w:r w:rsidR="00806D96" w:rsidRPr="00F50FEB">
        <w:rPr>
          <w:rFonts w:ascii="Arial" w:hAnsi="Arial" w:cs="Arial"/>
          <w:lang w:val="en-ZA"/>
        </w:rPr>
        <w:t>ced’.</w:t>
      </w:r>
    </w:p>
  </w:footnote>
  <w:footnote w:id="13">
    <w:p w14:paraId="7E22B9F4" w14:textId="6FB06789" w:rsidR="00EF49F3" w:rsidRPr="00F50FEB" w:rsidRDefault="00EF49F3" w:rsidP="00EF49F3">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spellStart"/>
      <w:proofErr w:type="gramStart"/>
      <w:r w:rsidRPr="00F50FEB">
        <w:rPr>
          <w:rFonts w:ascii="Arial" w:hAnsi="Arial" w:cs="Arial"/>
          <w:i/>
          <w:lang w:val="en-ZA"/>
        </w:rPr>
        <w:t>Niewoudt</w:t>
      </w:r>
      <w:proofErr w:type="spellEnd"/>
      <w:r w:rsidRPr="00F50FEB">
        <w:rPr>
          <w:rFonts w:ascii="Arial" w:hAnsi="Arial" w:cs="Arial"/>
          <w:i/>
          <w:lang w:val="en-ZA"/>
        </w:rPr>
        <w:t xml:space="preserve"> v </w:t>
      </w:r>
      <w:proofErr w:type="spellStart"/>
      <w:r w:rsidRPr="00F50FEB">
        <w:rPr>
          <w:rFonts w:ascii="Arial" w:hAnsi="Arial" w:cs="Arial"/>
          <w:i/>
          <w:lang w:val="en-ZA"/>
        </w:rPr>
        <w:t>Joubert</w:t>
      </w:r>
      <w:proofErr w:type="spellEnd"/>
      <w:r w:rsidRPr="00F50FEB">
        <w:rPr>
          <w:rFonts w:ascii="Arial" w:hAnsi="Arial" w:cs="Arial"/>
          <w:lang w:val="en-ZA"/>
        </w:rPr>
        <w:t xml:space="preserve"> 1988(3) SA 84 (SELLD) at 89J</w:t>
      </w:r>
      <w:r w:rsidR="00F50FEB">
        <w:rPr>
          <w:rFonts w:ascii="Arial" w:hAnsi="Arial" w:cs="Arial"/>
          <w:lang w:val="en-ZA"/>
        </w:rPr>
        <w:t>.</w:t>
      </w:r>
      <w:proofErr w:type="gramEnd"/>
    </w:p>
  </w:footnote>
  <w:footnote w:id="14">
    <w:p w14:paraId="1C135805" w14:textId="5D80F8E4" w:rsidR="008B4EB6" w:rsidRPr="00F50FEB" w:rsidRDefault="008B4EB6" w:rsidP="008B4EB6">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gramStart"/>
      <w:r w:rsidRPr="00F50FEB">
        <w:rPr>
          <w:rFonts w:ascii="Arial" w:hAnsi="Arial" w:cs="Arial"/>
          <w:lang w:val="en-ZA"/>
        </w:rPr>
        <w:t>1925 AD 173 at 198</w:t>
      </w:r>
      <w:r w:rsidR="00F50FEB">
        <w:rPr>
          <w:rFonts w:ascii="Arial" w:hAnsi="Arial" w:cs="Arial"/>
          <w:lang w:val="en-ZA"/>
        </w:rPr>
        <w:t>.</w:t>
      </w:r>
      <w:proofErr w:type="gramEnd"/>
    </w:p>
  </w:footnote>
  <w:footnote w:id="15">
    <w:p w14:paraId="532D2F86" w14:textId="37D92210" w:rsidR="008B4EB6" w:rsidRPr="00F50FEB" w:rsidRDefault="008B4EB6" w:rsidP="008B4EB6">
      <w:pPr>
        <w:pStyle w:val="FootnoteText"/>
        <w:jc w:val="both"/>
        <w:rPr>
          <w:rFonts w:ascii="Arial" w:hAnsi="Arial" w:cs="Arial"/>
          <w:lang w:val="en-ZA"/>
        </w:rPr>
      </w:pPr>
      <w:r w:rsidRPr="00F50FEB">
        <w:rPr>
          <w:rStyle w:val="FootnoteReference"/>
          <w:rFonts w:ascii="Arial" w:hAnsi="Arial" w:cs="Arial"/>
        </w:rPr>
        <w:footnoteRef/>
      </w:r>
      <w:r w:rsidRPr="00F50FEB">
        <w:rPr>
          <w:rFonts w:ascii="Arial" w:hAnsi="Arial" w:cs="Arial"/>
        </w:rPr>
        <w:t xml:space="preserve"> </w:t>
      </w:r>
      <w:proofErr w:type="gramStart"/>
      <w:r w:rsidRPr="00F50FEB">
        <w:rPr>
          <w:rFonts w:ascii="Arial" w:hAnsi="Arial" w:cs="Arial"/>
          <w:i/>
          <w:lang w:val="en-ZA"/>
        </w:rPr>
        <w:t>Kali v Incorporated Ge</w:t>
      </w:r>
      <w:r w:rsidR="008553B7" w:rsidRPr="00F50FEB">
        <w:rPr>
          <w:rFonts w:ascii="Arial" w:hAnsi="Arial" w:cs="Arial"/>
          <w:i/>
          <w:lang w:val="en-ZA"/>
        </w:rPr>
        <w:t xml:space="preserve">neral Insurance Ltd </w:t>
      </w:r>
      <w:r w:rsidR="008553B7" w:rsidRPr="00F50FEB">
        <w:rPr>
          <w:rFonts w:ascii="Arial" w:hAnsi="Arial" w:cs="Arial"/>
          <w:lang w:val="en-ZA"/>
        </w:rPr>
        <w:t xml:space="preserve">1976(2) SA 179(D) at </w:t>
      </w:r>
      <w:r w:rsidR="008553B7" w:rsidRPr="00F50FEB">
        <w:rPr>
          <w:rFonts w:ascii="Arial" w:hAnsi="Arial" w:cs="Arial"/>
          <w:lang w:val="en-ZA"/>
        </w:rPr>
        <w:t>182A</w:t>
      </w:r>
      <w:r w:rsidR="00F50FEB">
        <w:rPr>
          <w:rFonts w:ascii="Arial" w:hAnsi="Arial" w:cs="Arial"/>
          <w:lang w:val="en-ZA"/>
        </w:rPr>
        <w:t>.</w:t>
      </w:r>
      <w:bookmarkStart w:id="0" w:name="_GoBack"/>
      <w:bookmarkEnd w:id="0"/>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B42D" w14:textId="77777777" w:rsidR="007A4699" w:rsidRPr="007D275A" w:rsidRDefault="007A4699">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F50FEB">
      <w:rPr>
        <w:rFonts w:ascii="Arial" w:hAnsi="Arial" w:cs="Arial"/>
        <w:noProof/>
        <w:sz w:val="24"/>
        <w:szCs w:val="24"/>
      </w:rPr>
      <w:t>4</w:t>
    </w:r>
    <w:r w:rsidRPr="007D275A">
      <w:rPr>
        <w:rFonts w:ascii="Arial" w:hAnsi="Arial" w:cs="Arial"/>
        <w:noProof/>
        <w:sz w:val="24"/>
        <w:szCs w:val="24"/>
      </w:rPr>
      <w:fldChar w:fldCharType="end"/>
    </w:r>
  </w:p>
  <w:p w14:paraId="0713E856" w14:textId="77777777" w:rsidR="007A4699" w:rsidRDefault="007A4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52A17EE"/>
    <w:multiLevelType w:val="hybridMultilevel"/>
    <w:tmpl w:val="700CE7C4"/>
    <w:lvl w:ilvl="0" w:tplc="1C09000F">
      <w:start w:val="1"/>
      <w:numFmt w:val="decimal"/>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1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18216E80"/>
    <w:multiLevelType w:val="hybridMultilevel"/>
    <w:tmpl w:val="FCD28C8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0C4E2B"/>
    <w:multiLevelType w:val="hybridMultilevel"/>
    <w:tmpl w:val="58E6E4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4">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7">
    <w:nsid w:val="27DE16A6"/>
    <w:multiLevelType w:val="hybridMultilevel"/>
    <w:tmpl w:val="C2DE35EC"/>
    <w:lvl w:ilvl="0" w:tplc="A5E015C0">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1">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22">
    <w:nsid w:val="3B43430C"/>
    <w:multiLevelType w:val="hybridMultilevel"/>
    <w:tmpl w:val="B1407BC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3B7E0707"/>
    <w:multiLevelType w:val="hybridMultilevel"/>
    <w:tmpl w:val="972AB520"/>
    <w:lvl w:ilvl="0" w:tplc="1C090013">
      <w:start w:val="1"/>
      <w:numFmt w:val="upperRoman"/>
      <w:lvlText w:val="%1."/>
      <w:lvlJc w:val="righ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24">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7">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8">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9">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1">
    <w:nsid w:val="60625340"/>
    <w:multiLevelType w:val="hybridMultilevel"/>
    <w:tmpl w:val="F7842F72"/>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2">
    <w:nsid w:val="631A2327"/>
    <w:multiLevelType w:val="hybridMultilevel"/>
    <w:tmpl w:val="766A26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5">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6">
    <w:nsid w:val="695F34FB"/>
    <w:multiLevelType w:val="hybridMultilevel"/>
    <w:tmpl w:val="184C7C06"/>
    <w:lvl w:ilvl="0" w:tplc="669E3CA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9">
    <w:nsid w:val="6FB948DA"/>
    <w:multiLevelType w:val="hybridMultilevel"/>
    <w:tmpl w:val="282EEDB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41">
    <w:nsid w:val="767B2659"/>
    <w:multiLevelType w:val="hybridMultilevel"/>
    <w:tmpl w:val="C8D643B6"/>
    <w:lvl w:ilvl="0" w:tplc="1C09000F">
      <w:start w:val="1"/>
      <w:numFmt w:val="decimal"/>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3"/>
  </w:num>
  <w:num w:numId="2">
    <w:abstractNumId w:val="12"/>
  </w:num>
  <w:num w:numId="3">
    <w:abstractNumId w:val="37"/>
  </w:num>
  <w:num w:numId="4">
    <w:abstractNumId w:val="19"/>
  </w:num>
  <w:num w:numId="5">
    <w:abstractNumId w:val="34"/>
  </w:num>
  <w:num w:numId="6">
    <w:abstractNumId w:val="3"/>
  </w:num>
  <w:num w:numId="7">
    <w:abstractNumId w:val="30"/>
  </w:num>
  <w:num w:numId="8">
    <w:abstractNumId w:val="15"/>
  </w:num>
  <w:num w:numId="9">
    <w:abstractNumId w:val="6"/>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35"/>
  </w:num>
  <w:num w:numId="14">
    <w:abstractNumId w:val="42"/>
  </w:num>
  <w:num w:numId="15">
    <w:abstractNumId w:val="26"/>
  </w:num>
  <w:num w:numId="16">
    <w:abstractNumId w:val="38"/>
  </w:num>
  <w:num w:numId="17">
    <w:abstractNumId w:val="29"/>
  </w:num>
  <w:num w:numId="18">
    <w:abstractNumId w:val="14"/>
  </w:num>
  <w:num w:numId="19">
    <w:abstractNumId w:val="33"/>
  </w:num>
  <w:num w:numId="20">
    <w:abstractNumId w:val="18"/>
  </w:num>
  <w:num w:numId="21">
    <w:abstractNumId w:val="8"/>
  </w:num>
  <w:num w:numId="22">
    <w:abstractNumId w:val="21"/>
  </w:num>
  <w:num w:numId="23">
    <w:abstractNumId w:val="25"/>
  </w:num>
  <w:num w:numId="24">
    <w:abstractNumId w:val="24"/>
  </w:num>
  <w:num w:numId="25">
    <w:abstractNumId w:val="16"/>
  </w:num>
  <w:num w:numId="26">
    <w:abstractNumId w:val="41"/>
  </w:num>
  <w:num w:numId="27">
    <w:abstractNumId w:val="10"/>
  </w:num>
  <w:num w:numId="28">
    <w:abstractNumId w:val="0"/>
  </w:num>
  <w:num w:numId="29">
    <w:abstractNumId w:val="27"/>
  </w:num>
  <w:num w:numId="30">
    <w:abstractNumId w:val="40"/>
  </w:num>
  <w:num w:numId="31">
    <w:abstractNumId w:val="1"/>
  </w:num>
  <w:num w:numId="32">
    <w:abstractNumId w:val="4"/>
  </w:num>
  <w:num w:numId="33">
    <w:abstractNumId w:val="28"/>
  </w:num>
  <w:num w:numId="34">
    <w:abstractNumId w:val="7"/>
  </w:num>
  <w:num w:numId="35">
    <w:abstractNumId w:val="5"/>
  </w:num>
  <w:num w:numId="36">
    <w:abstractNumId w:val="20"/>
  </w:num>
  <w:num w:numId="37">
    <w:abstractNumId w:val="23"/>
  </w:num>
  <w:num w:numId="38">
    <w:abstractNumId w:val="31"/>
  </w:num>
  <w:num w:numId="39">
    <w:abstractNumId w:val="22"/>
  </w:num>
  <w:num w:numId="40">
    <w:abstractNumId w:val="39"/>
  </w:num>
  <w:num w:numId="41">
    <w:abstractNumId w:val="11"/>
  </w:num>
  <w:num w:numId="42">
    <w:abstractNumId w:val="9"/>
  </w:num>
  <w:num w:numId="43">
    <w:abstractNumId w:val="17"/>
  </w:num>
  <w:num w:numId="44">
    <w:abstractNumId w:val="36"/>
  </w:num>
  <w:num w:numId="4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12"/>
    <w:rsid w:val="00002415"/>
    <w:rsid w:val="00002DBB"/>
    <w:rsid w:val="00003964"/>
    <w:rsid w:val="000056DD"/>
    <w:rsid w:val="000109F7"/>
    <w:rsid w:val="00011295"/>
    <w:rsid w:val="000114D6"/>
    <w:rsid w:val="00011BE4"/>
    <w:rsid w:val="00012D8E"/>
    <w:rsid w:val="00012F9A"/>
    <w:rsid w:val="00014936"/>
    <w:rsid w:val="00014C1B"/>
    <w:rsid w:val="0001606C"/>
    <w:rsid w:val="00017960"/>
    <w:rsid w:val="000203EA"/>
    <w:rsid w:val="00022738"/>
    <w:rsid w:val="000261BE"/>
    <w:rsid w:val="00026D2D"/>
    <w:rsid w:val="00026E7F"/>
    <w:rsid w:val="00027493"/>
    <w:rsid w:val="00033303"/>
    <w:rsid w:val="000335A8"/>
    <w:rsid w:val="0003398A"/>
    <w:rsid w:val="000349E2"/>
    <w:rsid w:val="00041473"/>
    <w:rsid w:val="00042093"/>
    <w:rsid w:val="00042266"/>
    <w:rsid w:val="000435E6"/>
    <w:rsid w:val="000443C2"/>
    <w:rsid w:val="00044866"/>
    <w:rsid w:val="00047DE1"/>
    <w:rsid w:val="000517EE"/>
    <w:rsid w:val="00052144"/>
    <w:rsid w:val="000539F9"/>
    <w:rsid w:val="00053E84"/>
    <w:rsid w:val="00053F8E"/>
    <w:rsid w:val="00054C04"/>
    <w:rsid w:val="00055898"/>
    <w:rsid w:val="000563D0"/>
    <w:rsid w:val="0006191B"/>
    <w:rsid w:val="00065103"/>
    <w:rsid w:val="00071968"/>
    <w:rsid w:val="00072608"/>
    <w:rsid w:val="000732C9"/>
    <w:rsid w:val="00077622"/>
    <w:rsid w:val="00077C37"/>
    <w:rsid w:val="00080620"/>
    <w:rsid w:val="00081435"/>
    <w:rsid w:val="0008226F"/>
    <w:rsid w:val="0008337A"/>
    <w:rsid w:val="000844B6"/>
    <w:rsid w:val="00084988"/>
    <w:rsid w:val="00090FCB"/>
    <w:rsid w:val="00092392"/>
    <w:rsid w:val="000950EE"/>
    <w:rsid w:val="0009530A"/>
    <w:rsid w:val="000A352D"/>
    <w:rsid w:val="000A468E"/>
    <w:rsid w:val="000A67C8"/>
    <w:rsid w:val="000B37BB"/>
    <w:rsid w:val="000B54B4"/>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1AD7"/>
    <w:rsid w:val="000D3777"/>
    <w:rsid w:val="000D3D5D"/>
    <w:rsid w:val="000D4DB9"/>
    <w:rsid w:val="000E06A7"/>
    <w:rsid w:val="000E32E8"/>
    <w:rsid w:val="000E4ACE"/>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3D03"/>
    <w:rsid w:val="001055BE"/>
    <w:rsid w:val="00106FF0"/>
    <w:rsid w:val="001110C4"/>
    <w:rsid w:val="00115AD8"/>
    <w:rsid w:val="00115BED"/>
    <w:rsid w:val="00115F0A"/>
    <w:rsid w:val="0012066B"/>
    <w:rsid w:val="001210BC"/>
    <w:rsid w:val="00122832"/>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57D5"/>
    <w:rsid w:val="00145F71"/>
    <w:rsid w:val="00146D3C"/>
    <w:rsid w:val="001520D7"/>
    <w:rsid w:val="0015481C"/>
    <w:rsid w:val="00155556"/>
    <w:rsid w:val="00156079"/>
    <w:rsid w:val="00160B72"/>
    <w:rsid w:val="0016169B"/>
    <w:rsid w:val="00161904"/>
    <w:rsid w:val="00161D63"/>
    <w:rsid w:val="0016358C"/>
    <w:rsid w:val="001644ED"/>
    <w:rsid w:val="00170026"/>
    <w:rsid w:val="00171FCD"/>
    <w:rsid w:val="00172435"/>
    <w:rsid w:val="0017353E"/>
    <w:rsid w:val="00175C15"/>
    <w:rsid w:val="001802F7"/>
    <w:rsid w:val="00181011"/>
    <w:rsid w:val="0018101C"/>
    <w:rsid w:val="00183D79"/>
    <w:rsid w:val="00185E99"/>
    <w:rsid w:val="00190E9E"/>
    <w:rsid w:val="0019122B"/>
    <w:rsid w:val="00191A8B"/>
    <w:rsid w:val="00193E77"/>
    <w:rsid w:val="001961F4"/>
    <w:rsid w:val="00196564"/>
    <w:rsid w:val="00197184"/>
    <w:rsid w:val="001973B0"/>
    <w:rsid w:val="00197F83"/>
    <w:rsid w:val="001A035F"/>
    <w:rsid w:val="001A0D97"/>
    <w:rsid w:val="001A0FBB"/>
    <w:rsid w:val="001A438E"/>
    <w:rsid w:val="001A4F7E"/>
    <w:rsid w:val="001A6DE8"/>
    <w:rsid w:val="001A7049"/>
    <w:rsid w:val="001A77BC"/>
    <w:rsid w:val="001B037C"/>
    <w:rsid w:val="001B53AF"/>
    <w:rsid w:val="001B5B52"/>
    <w:rsid w:val="001B6E21"/>
    <w:rsid w:val="001C28EE"/>
    <w:rsid w:val="001C5FBE"/>
    <w:rsid w:val="001C748D"/>
    <w:rsid w:val="001C7E1E"/>
    <w:rsid w:val="001D0702"/>
    <w:rsid w:val="001D0E27"/>
    <w:rsid w:val="001D1CB4"/>
    <w:rsid w:val="001D35DD"/>
    <w:rsid w:val="001E0ABD"/>
    <w:rsid w:val="001E1A29"/>
    <w:rsid w:val="001E1CE1"/>
    <w:rsid w:val="001E1E59"/>
    <w:rsid w:val="001E2A5C"/>
    <w:rsid w:val="001E3FC8"/>
    <w:rsid w:val="001E79CD"/>
    <w:rsid w:val="001F05B2"/>
    <w:rsid w:val="001F4247"/>
    <w:rsid w:val="002001E4"/>
    <w:rsid w:val="00201D64"/>
    <w:rsid w:val="0020510D"/>
    <w:rsid w:val="002052EE"/>
    <w:rsid w:val="00206A27"/>
    <w:rsid w:val="002079F7"/>
    <w:rsid w:val="00212D44"/>
    <w:rsid w:val="0021378C"/>
    <w:rsid w:val="0021625B"/>
    <w:rsid w:val="002163B4"/>
    <w:rsid w:val="00226D3A"/>
    <w:rsid w:val="00227AF5"/>
    <w:rsid w:val="00227E14"/>
    <w:rsid w:val="00230A5D"/>
    <w:rsid w:val="00232CEF"/>
    <w:rsid w:val="00233593"/>
    <w:rsid w:val="00235414"/>
    <w:rsid w:val="002371CD"/>
    <w:rsid w:val="00237CE1"/>
    <w:rsid w:val="00242C9E"/>
    <w:rsid w:val="00243E18"/>
    <w:rsid w:val="00244FA6"/>
    <w:rsid w:val="00246A1C"/>
    <w:rsid w:val="00250A30"/>
    <w:rsid w:val="0025125F"/>
    <w:rsid w:val="0025206E"/>
    <w:rsid w:val="00252AF7"/>
    <w:rsid w:val="00253192"/>
    <w:rsid w:val="0025330F"/>
    <w:rsid w:val="002551B4"/>
    <w:rsid w:val="00255D6D"/>
    <w:rsid w:val="0025730F"/>
    <w:rsid w:val="0026172A"/>
    <w:rsid w:val="00261E4D"/>
    <w:rsid w:val="0026325F"/>
    <w:rsid w:val="0026498E"/>
    <w:rsid w:val="002655C7"/>
    <w:rsid w:val="00265AC1"/>
    <w:rsid w:val="00265AF1"/>
    <w:rsid w:val="00265BB4"/>
    <w:rsid w:val="00266306"/>
    <w:rsid w:val="00270C55"/>
    <w:rsid w:val="00275E18"/>
    <w:rsid w:val="0027621D"/>
    <w:rsid w:val="00276980"/>
    <w:rsid w:val="00280960"/>
    <w:rsid w:val="00280AD9"/>
    <w:rsid w:val="00283042"/>
    <w:rsid w:val="0028553D"/>
    <w:rsid w:val="002907EA"/>
    <w:rsid w:val="0029393D"/>
    <w:rsid w:val="0029469A"/>
    <w:rsid w:val="00294DB2"/>
    <w:rsid w:val="002A0C41"/>
    <w:rsid w:val="002A14A3"/>
    <w:rsid w:val="002A6448"/>
    <w:rsid w:val="002A679D"/>
    <w:rsid w:val="002A745D"/>
    <w:rsid w:val="002B178C"/>
    <w:rsid w:val="002B6884"/>
    <w:rsid w:val="002B6EDF"/>
    <w:rsid w:val="002C04BD"/>
    <w:rsid w:val="002C215D"/>
    <w:rsid w:val="002C3677"/>
    <w:rsid w:val="002C50CA"/>
    <w:rsid w:val="002C5EE0"/>
    <w:rsid w:val="002C60F9"/>
    <w:rsid w:val="002C7FC6"/>
    <w:rsid w:val="002D264C"/>
    <w:rsid w:val="002D2B44"/>
    <w:rsid w:val="002D2F38"/>
    <w:rsid w:val="002D43A9"/>
    <w:rsid w:val="002D4FB4"/>
    <w:rsid w:val="002D588A"/>
    <w:rsid w:val="002E0196"/>
    <w:rsid w:val="002E39AB"/>
    <w:rsid w:val="002E7DA7"/>
    <w:rsid w:val="002F3C81"/>
    <w:rsid w:val="002F7D3A"/>
    <w:rsid w:val="003002B3"/>
    <w:rsid w:val="00301DEC"/>
    <w:rsid w:val="00303749"/>
    <w:rsid w:val="00303BAB"/>
    <w:rsid w:val="00304077"/>
    <w:rsid w:val="003075C0"/>
    <w:rsid w:val="00312D39"/>
    <w:rsid w:val="00313C44"/>
    <w:rsid w:val="00313EFC"/>
    <w:rsid w:val="00315690"/>
    <w:rsid w:val="003173CA"/>
    <w:rsid w:val="00317D01"/>
    <w:rsid w:val="003219FB"/>
    <w:rsid w:val="00321D67"/>
    <w:rsid w:val="00322D83"/>
    <w:rsid w:val="003243BC"/>
    <w:rsid w:val="003247E0"/>
    <w:rsid w:val="00324C23"/>
    <w:rsid w:val="00326CCE"/>
    <w:rsid w:val="003273E7"/>
    <w:rsid w:val="003301DB"/>
    <w:rsid w:val="003315AC"/>
    <w:rsid w:val="00331FED"/>
    <w:rsid w:val="003336E3"/>
    <w:rsid w:val="003367F5"/>
    <w:rsid w:val="00336CF9"/>
    <w:rsid w:val="003415AB"/>
    <w:rsid w:val="0034163C"/>
    <w:rsid w:val="003424F0"/>
    <w:rsid w:val="00343FD9"/>
    <w:rsid w:val="00345847"/>
    <w:rsid w:val="003527E0"/>
    <w:rsid w:val="0035463F"/>
    <w:rsid w:val="003555C6"/>
    <w:rsid w:val="0035728F"/>
    <w:rsid w:val="0035740A"/>
    <w:rsid w:val="00360E00"/>
    <w:rsid w:val="003611DE"/>
    <w:rsid w:val="00366980"/>
    <w:rsid w:val="0036701F"/>
    <w:rsid w:val="00371870"/>
    <w:rsid w:val="0038405D"/>
    <w:rsid w:val="00387680"/>
    <w:rsid w:val="00387C9E"/>
    <w:rsid w:val="00390931"/>
    <w:rsid w:val="00391820"/>
    <w:rsid w:val="00391890"/>
    <w:rsid w:val="00392A95"/>
    <w:rsid w:val="00393FF0"/>
    <w:rsid w:val="00396DFF"/>
    <w:rsid w:val="0039733A"/>
    <w:rsid w:val="003A04A7"/>
    <w:rsid w:val="003A0BBD"/>
    <w:rsid w:val="003A292A"/>
    <w:rsid w:val="003A2D0A"/>
    <w:rsid w:val="003A2D54"/>
    <w:rsid w:val="003A7174"/>
    <w:rsid w:val="003B061F"/>
    <w:rsid w:val="003B306C"/>
    <w:rsid w:val="003B45FF"/>
    <w:rsid w:val="003B5A28"/>
    <w:rsid w:val="003B6172"/>
    <w:rsid w:val="003C2010"/>
    <w:rsid w:val="003C29EB"/>
    <w:rsid w:val="003C2D83"/>
    <w:rsid w:val="003C2DCF"/>
    <w:rsid w:val="003C3692"/>
    <w:rsid w:val="003C5129"/>
    <w:rsid w:val="003C60C4"/>
    <w:rsid w:val="003D0750"/>
    <w:rsid w:val="003D485B"/>
    <w:rsid w:val="003D4A99"/>
    <w:rsid w:val="003D508C"/>
    <w:rsid w:val="003D590B"/>
    <w:rsid w:val="003D713A"/>
    <w:rsid w:val="003D7C0A"/>
    <w:rsid w:val="003E232A"/>
    <w:rsid w:val="003E2D8E"/>
    <w:rsid w:val="003E43E0"/>
    <w:rsid w:val="003E52E0"/>
    <w:rsid w:val="003F6A88"/>
    <w:rsid w:val="003F6E03"/>
    <w:rsid w:val="003F7EC2"/>
    <w:rsid w:val="00402032"/>
    <w:rsid w:val="00402D08"/>
    <w:rsid w:val="004032A5"/>
    <w:rsid w:val="00410830"/>
    <w:rsid w:val="0041226C"/>
    <w:rsid w:val="004131AD"/>
    <w:rsid w:val="0041472C"/>
    <w:rsid w:val="0041486A"/>
    <w:rsid w:val="00414AF9"/>
    <w:rsid w:val="00415D6D"/>
    <w:rsid w:val="00416416"/>
    <w:rsid w:val="00416598"/>
    <w:rsid w:val="004169A7"/>
    <w:rsid w:val="00416A40"/>
    <w:rsid w:val="0041775A"/>
    <w:rsid w:val="00417F23"/>
    <w:rsid w:val="0042034A"/>
    <w:rsid w:val="00420A3B"/>
    <w:rsid w:val="00421BB0"/>
    <w:rsid w:val="004232FB"/>
    <w:rsid w:val="0042367D"/>
    <w:rsid w:val="00424C80"/>
    <w:rsid w:val="00427BC7"/>
    <w:rsid w:val="00430CF7"/>
    <w:rsid w:val="00430E24"/>
    <w:rsid w:val="004351FE"/>
    <w:rsid w:val="00437450"/>
    <w:rsid w:val="004412F6"/>
    <w:rsid w:val="00443C1E"/>
    <w:rsid w:val="00450A85"/>
    <w:rsid w:val="00452EC5"/>
    <w:rsid w:val="004531B9"/>
    <w:rsid w:val="0045561C"/>
    <w:rsid w:val="00455681"/>
    <w:rsid w:val="0045604A"/>
    <w:rsid w:val="0045728B"/>
    <w:rsid w:val="00457FE9"/>
    <w:rsid w:val="00460C24"/>
    <w:rsid w:val="00461936"/>
    <w:rsid w:val="00462D45"/>
    <w:rsid w:val="00463530"/>
    <w:rsid w:val="00463A77"/>
    <w:rsid w:val="00463E01"/>
    <w:rsid w:val="00465752"/>
    <w:rsid w:val="00465EAB"/>
    <w:rsid w:val="00466144"/>
    <w:rsid w:val="00466472"/>
    <w:rsid w:val="00466B87"/>
    <w:rsid w:val="0047305B"/>
    <w:rsid w:val="00473332"/>
    <w:rsid w:val="004733B9"/>
    <w:rsid w:val="00477E30"/>
    <w:rsid w:val="00480323"/>
    <w:rsid w:val="00480802"/>
    <w:rsid w:val="0048209A"/>
    <w:rsid w:val="00486796"/>
    <w:rsid w:val="00493F6B"/>
    <w:rsid w:val="0049474F"/>
    <w:rsid w:val="0049484B"/>
    <w:rsid w:val="0049624D"/>
    <w:rsid w:val="00497861"/>
    <w:rsid w:val="004A3483"/>
    <w:rsid w:val="004A4CE8"/>
    <w:rsid w:val="004A686F"/>
    <w:rsid w:val="004B04AA"/>
    <w:rsid w:val="004B0695"/>
    <w:rsid w:val="004B0EA3"/>
    <w:rsid w:val="004B1C5D"/>
    <w:rsid w:val="004B438D"/>
    <w:rsid w:val="004B4EF9"/>
    <w:rsid w:val="004B5645"/>
    <w:rsid w:val="004B5852"/>
    <w:rsid w:val="004C0BB9"/>
    <w:rsid w:val="004C4A7C"/>
    <w:rsid w:val="004C7704"/>
    <w:rsid w:val="004C7C08"/>
    <w:rsid w:val="004C7CBC"/>
    <w:rsid w:val="004C7D12"/>
    <w:rsid w:val="004C7FAC"/>
    <w:rsid w:val="004D0315"/>
    <w:rsid w:val="004D0E88"/>
    <w:rsid w:val="004D16C3"/>
    <w:rsid w:val="004D43B1"/>
    <w:rsid w:val="004D4BA4"/>
    <w:rsid w:val="004D4E61"/>
    <w:rsid w:val="004D58B3"/>
    <w:rsid w:val="004E1D79"/>
    <w:rsid w:val="004E31CC"/>
    <w:rsid w:val="004E49F9"/>
    <w:rsid w:val="004E62C2"/>
    <w:rsid w:val="004E7D39"/>
    <w:rsid w:val="004F26C6"/>
    <w:rsid w:val="004F55D7"/>
    <w:rsid w:val="004F602A"/>
    <w:rsid w:val="004F6376"/>
    <w:rsid w:val="004F66F0"/>
    <w:rsid w:val="00500CF6"/>
    <w:rsid w:val="00501DBC"/>
    <w:rsid w:val="00504ADF"/>
    <w:rsid w:val="00505DB7"/>
    <w:rsid w:val="0050634E"/>
    <w:rsid w:val="00506886"/>
    <w:rsid w:val="005142F8"/>
    <w:rsid w:val="00514A73"/>
    <w:rsid w:val="00514B86"/>
    <w:rsid w:val="00516007"/>
    <w:rsid w:val="00517CBE"/>
    <w:rsid w:val="0052054C"/>
    <w:rsid w:val="00521C27"/>
    <w:rsid w:val="005225C0"/>
    <w:rsid w:val="0052383A"/>
    <w:rsid w:val="00525668"/>
    <w:rsid w:val="005259DF"/>
    <w:rsid w:val="00526B25"/>
    <w:rsid w:val="00530D38"/>
    <w:rsid w:val="00531CFE"/>
    <w:rsid w:val="00532870"/>
    <w:rsid w:val="005336E0"/>
    <w:rsid w:val="0053480E"/>
    <w:rsid w:val="00536B47"/>
    <w:rsid w:val="00537D66"/>
    <w:rsid w:val="005425B1"/>
    <w:rsid w:val="00542939"/>
    <w:rsid w:val="00543156"/>
    <w:rsid w:val="005450C4"/>
    <w:rsid w:val="005452E0"/>
    <w:rsid w:val="00545BB4"/>
    <w:rsid w:val="005460B2"/>
    <w:rsid w:val="005470DD"/>
    <w:rsid w:val="005505BF"/>
    <w:rsid w:val="00553368"/>
    <w:rsid w:val="00554852"/>
    <w:rsid w:val="00556530"/>
    <w:rsid w:val="005567D2"/>
    <w:rsid w:val="0056197A"/>
    <w:rsid w:val="00562DAF"/>
    <w:rsid w:val="00564AA1"/>
    <w:rsid w:val="00570109"/>
    <w:rsid w:val="005716EF"/>
    <w:rsid w:val="00571E47"/>
    <w:rsid w:val="0057394D"/>
    <w:rsid w:val="00573B8D"/>
    <w:rsid w:val="00574177"/>
    <w:rsid w:val="0057584D"/>
    <w:rsid w:val="00576BE4"/>
    <w:rsid w:val="005809E8"/>
    <w:rsid w:val="00582258"/>
    <w:rsid w:val="00582912"/>
    <w:rsid w:val="00584196"/>
    <w:rsid w:val="00584D9D"/>
    <w:rsid w:val="0058633C"/>
    <w:rsid w:val="00590769"/>
    <w:rsid w:val="005928EF"/>
    <w:rsid w:val="00594B41"/>
    <w:rsid w:val="00595166"/>
    <w:rsid w:val="00595D47"/>
    <w:rsid w:val="00597272"/>
    <w:rsid w:val="005A05FB"/>
    <w:rsid w:val="005A1219"/>
    <w:rsid w:val="005A3C62"/>
    <w:rsid w:val="005A45C9"/>
    <w:rsid w:val="005A4B69"/>
    <w:rsid w:val="005A513F"/>
    <w:rsid w:val="005A5FEE"/>
    <w:rsid w:val="005A7A7E"/>
    <w:rsid w:val="005A7C79"/>
    <w:rsid w:val="005A7EB6"/>
    <w:rsid w:val="005A7FE2"/>
    <w:rsid w:val="005B1FB0"/>
    <w:rsid w:val="005B3EEC"/>
    <w:rsid w:val="005B3FC9"/>
    <w:rsid w:val="005B4527"/>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333"/>
    <w:rsid w:val="005D68F4"/>
    <w:rsid w:val="005E122A"/>
    <w:rsid w:val="005E1390"/>
    <w:rsid w:val="005E1D15"/>
    <w:rsid w:val="005E226F"/>
    <w:rsid w:val="005E293F"/>
    <w:rsid w:val="005E2AB7"/>
    <w:rsid w:val="005E30D5"/>
    <w:rsid w:val="005E3BDD"/>
    <w:rsid w:val="005E44E0"/>
    <w:rsid w:val="005E5164"/>
    <w:rsid w:val="005E5558"/>
    <w:rsid w:val="005F09C5"/>
    <w:rsid w:val="005F5A2F"/>
    <w:rsid w:val="005F6E98"/>
    <w:rsid w:val="005F7B9F"/>
    <w:rsid w:val="006001C9"/>
    <w:rsid w:val="00601565"/>
    <w:rsid w:val="006018B8"/>
    <w:rsid w:val="00602EE5"/>
    <w:rsid w:val="0060360B"/>
    <w:rsid w:val="00604BAC"/>
    <w:rsid w:val="006054AE"/>
    <w:rsid w:val="00607B89"/>
    <w:rsid w:val="00613061"/>
    <w:rsid w:val="0061692F"/>
    <w:rsid w:val="006170FA"/>
    <w:rsid w:val="00617288"/>
    <w:rsid w:val="00622C19"/>
    <w:rsid w:val="00623666"/>
    <w:rsid w:val="0062630C"/>
    <w:rsid w:val="00627995"/>
    <w:rsid w:val="00632E2B"/>
    <w:rsid w:val="00633C95"/>
    <w:rsid w:val="00634C12"/>
    <w:rsid w:val="00636BF3"/>
    <w:rsid w:val="00637397"/>
    <w:rsid w:val="00641BB2"/>
    <w:rsid w:val="006427EC"/>
    <w:rsid w:val="00643D96"/>
    <w:rsid w:val="00644649"/>
    <w:rsid w:val="00644E35"/>
    <w:rsid w:val="006506DE"/>
    <w:rsid w:val="00650A66"/>
    <w:rsid w:val="00650C8F"/>
    <w:rsid w:val="00652CAB"/>
    <w:rsid w:val="00653993"/>
    <w:rsid w:val="0065412C"/>
    <w:rsid w:val="00654DFE"/>
    <w:rsid w:val="00661D4C"/>
    <w:rsid w:val="00662DFC"/>
    <w:rsid w:val="006669AD"/>
    <w:rsid w:val="00673596"/>
    <w:rsid w:val="00675A32"/>
    <w:rsid w:val="00676B06"/>
    <w:rsid w:val="00677512"/>
    <w:rsid w:val="00681FF7"/>
    <w:rsid w:val="006826B1"/>
    <w:rsid w:val="00684649"/>
    <w:rsid w:val="00686283"/>
    <w:rsid w:val="006912BC"/>
    <w:rsid w:val="00693393"/>
    <w:rsid w:val="00693C7D"/>
    <w:rsid w:val="00694649"/>
    <w:rsid w:val="006962D2"/>
    <w:rsid w:val="006965DA"/>
    <w:rsid w:val="006B19FE"/>
    <w:rsid w:val="006B38CA"/>
    <w:rsid w:val="006B79BD"/>
    <w:rsid w:val="006B7FA4"/>
    <w:rsid w:val="006C0B77"/>
    <w:rsid w:val="006C0BA1"/>
    <w:rsid w:val="006C0FFA"/>
    <w:rsid w:val="006C1587"/>
    <w:rsid w:val="006C3CEC"/>
    <w:rsid w:val="006C5E68"/>
    <w:rsid w:val="006D018F"/>
    <w:rsid w:val="006D03E1"/>
    <w:rsid w:val="006D20CA"/>
    <w:rsid w:val="006D2E2E"/>
    <w:rsid w:val="006D3049"/>
    <w:rsid w:val="006D3584"/>
    <w:rsid w:val="006D3E09"/>
    <w:rsid w:val="006D4893"/>
    <w:rsid w:val="006D68CB"/>
    <w:rsid w:val="006E195C"/>
    <w:rsid w:val="006E48D4"/>
    <w:rsid w:val="006F0CCC"/>
    <w:rsid w:val="006F3128"/>
    <w:rsid w:val="006F36EA"/>
    <w:rsid w:val="006F3AEF"/>
    <w:rsid w:val="006F5BBA"/>
    <w:rsid w:val="006F7CA3"/>
    <w:rsid w:val="007008DD"/>
    <w:rsid w:val="00701900"/>
    <w:rsid w:val="0070442F"/>
    <w:rsid w:val="0070591C"/>
    <w:rsid w:val="00706D57"/>
    <w:rsid w:val="00710D65"/>
    <w:rsid w:val="00712CFE"/>
    <w:rsid w:val="00714A3E"/>
    <w:rsid w:val="00715713"/>
    <w:rsid w:val="007179FA"/>
    <w:rsid w:val="00720E88"/>
    <w:rsid w:val="007244A1"/>
    <w:rsid w:val="00724718"/>
    <w:rsid w:val="00725429"/>
    <w:rsid w:val="007255A6"/>
    <w:rsid w:val="00730884"/>
    <w:rsid w:val="00731790"/>
    <w:rsid w:val="00733AEA"/>
    <w:rsid w:val="00737051"/>
    <w:rsid w:val="0074070F"/>
    <w:rsid w:val="0074091C"/>
    <w:rsid w:val="00740DDB"/>
    <w:rsid w:val="0074214F"/>
    <w:rsid w:val="007428E7"/>
    <w:rsid w:val="00742D7B"/>
    <w:rsid w:val="00745E19"/>
    <w:rsid w:val="00746321"/>
    <w:rsid w:val="00747033"/>
    <w:rsid w:val="00747452"/>
    <w:rsid w:val="00747B9B"/>
    <w:rsid w:val="00750C8D"/>
    <w:rsid w:val="00750CE9"/>
    <w:rsid w:val="00751459"/>
    <w:rsid w:val="007544E9"/>
    <w:rsid w:val="00755F41"/>
    <w:rsid w:val="00757AEC"/>
    <w:rsid w:val="00761274"/>
    <w:rsid w:val="00761A96"/>
    <w:rsid w:val="007628DC"/>
    <w:rsid w:val="007638D2"/>
    <w:rsid w:val="007651AE"/>
    <w:rsid w:val="00770F19"/>
    <w:rsid w:val="007718F3"/>
    <w:rsid w:val="007742EF"/>
    <w:rsid w:val="00780905"/>
    <w:rsid w:val="00780F1B"/>
    <w:rsid w:val="007815F8"/>
    <w:rsid w:val="00781DCE"/>
    <w:rsid w:val="00782C41"/>
    <w:rsid w:val="007835BC"/>
    <w:rsid w:val="007848A8"/>
    <w:rsid w:val="00785CB7"/>
    <w:rsid w:val="00786E13"/>
    <w:rsid w:val="007910D4"/>
    <w:rsid w:val="007916C0"/>
    <w:rsid w:val="00791EE9"/>
    <w:rsid w:val="007931A7"/>
    <w:rsid w:val="00793278"/>
    <w:rsid w:val="0079362D"/>
    <w:rsid w:val="007A2B24"/>
    <w:rsid w:val="007A37E0"/>
    <w:rsid w:val="007A4699"/>
    <w:rsid w:val="007B109A"/>
    <w:rsid w:val="007B190C"/>
    <w:rsid w:val="007B70D9"/>
    <w:rsid w:val="007B7756"/>
    <w:rsid w:val="007B7858"/>
    <w:rsid w:val="007C09B3"/>
    <w:rsid w:val="007C29F3"/>
    <w:rsid w:val="007C3BF5"/>
    <w:rsid w:val="007C49A0"/>
    <w:rsid w:val="007C5693"/>
    <w:rsid w:val="007D275A"/>
    <w:rsid w:val="007D378A"/>
    <w:rsid w:val="007D38BD"/>
    <w:rsid w:val="007D6AFF"/>
    <w:rsid w:val="007D6B2E"/>
    <w:rsid w:val="007D73BD"/>
    <w:rsid w:val="007E0A0A"/>
    <w:rsid w:val="007E0FA9"/>
    <w:rsid w:val="007E1992"/>
    <w:rsid w:val="007E28A4"/>
    <w:rsid w:val="007E30AF"/>
    <w:rsid w:val="007E3D7E"/>
    <w:rsid w:val="007E5147"/>
    <w:rsid w:val="007E5F7E"/>
    <w:rsid w:val="007F1AA0"/>
    <w:rsid w:val="007F4953"/>
    <w:rsid w:val="007F571B"/>
    <w:rsid w:val="007F6CDC"/>
    <w:rsid w:val="007F7C79"/>
    <w:rsid w:val="00802327"/>
    <w:rsid w:val="00802710"/>
    <w:rsid w:val="00803568"/>
    <w:rsid w:val="00804B4B"/>
    <w:rsid w:val="00806D96"/>
    <w:rsid w:val="0080731A"/>
    <w:rsid w:val="00807D73"/>
    <w:rsid w:val="00810B85"/>
    <w:rsid w:val="0081282D"/>
    <w:rsid w:val="00813FFF"/>
    <w:rsid w:val="00814BD5"/>
    <w:rsid w:val="008150BE"/>
    <w:rsid w:val="00815DBD"/>
    <w:rsid w:val="00816C7C"/>
    <w:rsid w:val="008210AA"/>
    <w:rsid w:val="00822C36"/>
    <w:rsid w:val="00824366"/>
    <w:rsid w:val="00824B38"/>
    <w:rsid w:val="00830495"/>
    <w:rsid w:val="008307F0"/>
    <w:rsid w:val="00834BA0"/>
    <w:rsid w:val="008361D2"/>
    <w:rsid w:val="008405F6"/>
    <w:rsid w:val="00843158"/>
    <w:rsid w:val="0084392E"/>
    <w:rsid w:val="00844150"/>
    <w:rsid w:val="00845AAB"/>
    <w:rsid w:val="008465D8"/>
    <w:rsid w:val="00850843"/>
    <w:rsid w:val="00850DB4"/>
    <w:rsid w:val="0085123B"/>
    <w:rsid w:val="0085420D"/>
    <w:rsid w:val="008544F7"/>
    <w:rsid w:val="008553B7"/>
    <w:rsid w:val="00856BC5"/>
    <w:rsid w:val="00861369"/>
    <w:rsid w:val="00862316"/>
    <w:rsid w:val="00864139"/>
    <w:rsid w:val="00865E34"/>
    <w:rsid w:val="0087102E"/>
    <w:rsid w:val="0087223D"/>
    <w:rsid w:val="00872D0D"/>
    <w:rsid w:val="00873BA9"/>
    <w:rsid w:val="0087504D"/>
    <w:rsid w:val="00875AF7"/>
    <w:rsid w:val="0087739C"/>
    <w:rsid w:val="00882821"/>
    <w:rsid w:val="00882B13"/>
    <w:rsid w:val="00882EF4"/>
    <w:rsid w:val="00884565"/>
    <w:rsid w:val="00884740"/>
    <w:rsid w:val="0088573F"/>
    <w:rsid w:val="00885D93"/>
    <w:rsid w:val="00890360"/>
    <w:rsid w:val="008924CD"/>
    <w:rsid w:val="00894756"/>
    <w:rsid w:val="0089510E"/>
    <w:rsid w:val="0089610E"/>
    <w:rsid w:val="00896FBE"/>
    <w:rsid w:val="008A219F"/>
    <w:rsid w:val="008A2375"/>
    <w:rsid w:val="008A44A3"/>
    <w:rsid w:val="008A5810"/>
    <w:rsid w:val="008A7F39"/>
    <w:rsid w:val="008B01A3"/>
    <w:rsid w:val="008B022F"/>
    <w:rsid w:val="008B0909"/>
    <w:rsid w:val="008B1CE5"/>
    <w:rsid w:val="008B1DDD"/>
    <w:rsid w:val="008B3362"/>
    <w:rsid w:val="008B4EB6"/>
    <w:rsid w:val="008B5A1A"/>
    <w:rsid w:val="008B5A99"/>
    <w:rsid w:val="008C2293"/>
    <w:rsid w:val="008C40B2"/>
    <w:rsid w:val="008C45D3"/>
    <w:rsid w:val="008C654D"/>
    <w:rsid w:val="008C6C36"/>
    <w:rsid w:val="008C7015"/>
    <w:rsid w:val="008C713B"/>
    <w:rsid w:val="008D1BE3"/>
    <w:rsid w:val="008D2E35"/>
    <w:rsid w:val="008D3130"/>
    <w:rsid w:val="008D3745"/>
    <w:rsid w:val="008D3F48"/>
    <w:rsid w:val="008D52E4"/>
    <w:rsid w:val="008D6CE9"/>
    <w:rsid w:val="008D7AE9"/>
    <w:rsid w:val="008E0490"/>
    <w:rsid w:val="008E2863"/>
    <w:rsid w:val="008E3877"/>
    <w:rsid w:val="008F0AB1"/>
    <w:rsid w:val="008F204B"/>
    <w:rsid w:val="008F248C"/>
    <w:rsid w:val="008F42AE"/>
    <w:rsid w:val="008F4D8D"/>
    <w:rsid w:val="008F5BB6"/>
    <w:rsid w:val="008F6477"/>
    <w:rsid w:val="008F6F82"/>
    <w:rsid w:val="008F6F91"/>
    <w:rsid w:val="008F6FDC"/>
    <w:rsid w:val="008F7837"/>
    <w:rsid w:val="0090070E"/>
    <w:rsid w:val="0090365D"/>
    <w:rsid w:val="00913323"/>
    <w:rsid w:val="00913840"/>
    <w:rsid w:val="009148D3"/>
    <w:rsid w:val="0091585A"/>
    <w:rsid w:val="009173BB"/>
    <w:rsid w:val="009227A5"/>
    <w:rsid w:val="00924364"/>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57E6F"/>
    <w:rsid w:val="0096003C"/>
    <w:rsid w:val="00961848"/>
    <w:rsid w:val="00961F24"/>
    <w:rsid w:val="009669A1"/>
    <w:rsid w:val="009672D4"/>
    <w:rsid w:val="00970B6B"/>
    <w:rsid w:val="009714F4"/>
    <w:rsid w:val="00971F56"/>
    <w:rsid w:val="00973284"/>
    <w:rsid w:val="00973E02"/>
    <w:rsid w:val="00974078"/>
    <w:rsid w:val="00974EE1"/>
    <w:rsid w:val="00975E1C"/>
    <w:rsid w:val="009767DB"/>
    <w:rsid w:val="009774B0"/>
    <w:rsid w:val="00980D02"/>
    <w:rsid w:val="00981562"/>
    <w:rsid w:val="0098213F"/>
    <w:rsid w:val="00986991"/>
    <w:rsid w:val="00986F65"/>
    <w:rsid w:val="009912A2"/>
    <w:rsid w:val="009915E4"/>
    <w:rsid w:val="00991EBF"/>
    <w:rsid w:val="00994787"/>
    <w:rsid w:val="00994D07"/>
    <w:rsid w:val="00995EEF"/>
    <w:rsid w:val="00995FBD"/>
    <w:rsid w:val="009A2E1E"/>
    <w:rsid w:val="009A4953"/>
    <w:rsid w:val="009A4A25"/>
    <w:rsid w:val="009A4E3D"/>
    <w:rsid w:val="009A665B"/>
    <w:rsid w:val="009A7019"/>
    <w:rsid w:val="009A7472"/>
    <w:rsid w:val="009B30C3"/>
    <w:rsid w:val="009B56E0"/>
    <w:rsid w:val="009B5A23"/>
    <w:rsid w:val="009B6113"/>
    <w:rsid w:val="009B67AB"/>
    <w:rsid w:val="009C08F6"/>
    <w:rsid w:val="009C386D"/>
    <w:rsid w:val="009C3A10"/>
    <w:rsid w:val="009C4504"/>
    <w:rsid w:val="009C7821"/>
    <w:rsid w:val="009D0D24"/>
    <w:rsid w:val="009D3434"/>
    <w:rsid w:val="009D3C06"/>
    <w:rsid w:val="009D3D25"/>
    <w:rsid w:val="009D4253"/>
    <w:rsid w:val="009D452B"/>
    <w:rsid w:val="009D606F"/>
    <w:rsid w:val="009D67D7"/>
    <w:rsid w:val="009E2A0A"/>
    <w:rsid w:val="009E2B08"/>
    <w:rsid w:val="009E70DD"/>
    <w:rsid w:val="009F27E7"/>
    <w:rsid w:val="009F5BCD"/>
    <w:rsid w:val="00A0048C"/>
    <w:rsid w:val="00A01979"/>
    <w:rsid w:val="00A01EDB"/>
    <w:rsid w:val="00A024C6"/>
    <w:rsid w:val="00A030FF"/>
    <w:rsid w:val="00A0340C"/>
    <w:rsid w:val="00A0358C"/>
    <w:rsid w:val="00A047B4"/>
    <w:rsid w:val="00A04A4C"/>
    <w:rsid w:val="00A05465"/>
    <w:rsid w:val="00A0584B"/>
    <w:rsid w:val="00A10949"/>
    <w:rsid w:val="00A109B8"/>
    <w:rsid w:val="00A16EE1"/>
    <w:rsid w:val="00A25230"/>
    <w:rsid w:val="00A31E17"/>
    <w:rsid w:val="00A32629"/>
    <w:rsid w:val="00A329AC"/>
    <w:rsid w:val="00A33BD3"/>
    <w:rsid w:val="00A35600"/>
    <w:rsid w:val="00A365C8"/>
    <w:rsid w:val="00A36904"/>
    <w:rsid w:val="00A37432"/>
    <w:rsid w:val="00A400B2"/>
    <w:rsid w:val="00A400B5"/>
    <w:rsid w:val="00A41231"/>
    <w:rsid w:val="00A42646"/>
    <w:rsid w:val="00A42702"/>
    <w:rsid w:val="00A43BCB"/>
    <w:rsid w:val="00A43C74"/>
    <w:rsid w:val="00A43E98"/>
    <w:rsid w:val="00A45502"/>
    <w:rsid w:val="00A455D2"/>
    <w:rsid w:val="00A45705"/>
    <w:rsid w:val="00A460B4"/>
    <w:rsid w:val="00A46231"/>
    <w:rsid w:val="00A5021B"/>
    <w:rsid w:val="00A54EAF"/>
    <w:rsid w:val="00A556BF"/>
    <w:rsid w:val="00A5583D"/>
    <w:rsid w:val="00A56DA6"/>
    <w:rsid w:val="00A57C26"/>
    <w:rsid w:val="00A62583"/>
    <w:rsid w:val="00A6310D"/>
    <w:rsid w:val="00A64F99"/>
    <w:rsid w:val="00A704ED"/>
    <w:rsid w:val="00A71054"/>
    <w:rsid w:val="00A716D1"/>
    <w:rsid w:val="00A719C3"/>
    <w:rsid w:val="00A7280E"/>
    <w:rsid w:val="00A74887"/>
    <w:rsid w:val="00A77937"/>
    <w:rsid w:val="00A779B1"/>
    <w:rsid w:val="00A779DD"/>
    <w:rsid w:val="00A77BED"/>
    <w:rsid w:val="00A806BB"/>
    <w:rsid w:val="00A81BE3"/>
    <w:rsid w:val="00A831EA"/>
    <w:rsid w:val="00A83C06"/>
    <w:rsid w:val="00A849BA"/>
    <w:rsid w:val="00A8571D"/>
    <w:rsid w:val="00A86358"/>
    <w:rsid w:val="00A87D07"/>
    <w:rsid w:val="00A92859"/>
    <w:rsid w:val="00A92F2D"/>
    <w:rsid w:val="00A9567F"/>
    <w:rsid w:val="00A95AA3"/>
    <w:rsid w:val="00A95BFD"/>
    <w:rsid w:val="00A96F63"/>
    <w:rsid w:val="00AA0078"/>
    <w:rsid w:val="00AA53E8"/>
    <w:rsid w:val="00AA7263"/>
    <w:rsid w:val="00AA7F1B"/>
    <w:rsid w:val="00AB0D7E"/>
    <w:rsid w:val="00AB117F"/>
    <w:rsid w:val="00AB13BF"/>
    <w:rsid w:val="00AB22B5"/>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28B7"/>
    <w:rsid w:val="00AD3B65"/>
    <w:rsid w:val="00AD3FBD"/>
    <w:rsid w:val="00AD5720"/>
    <w:rsid w:val="00AD5FB9"/>
    <w:rsid w:val="00AE19CF"/>
    <w:rsid w:val="00AE20C0"/>
    <w:rsid w:val="00AE47D9"/>
    <w:rsid w:val="00AE533C"/>
    <w:rsid w:val="00AE561C"/>
    <w:rsid w:val="00AE72C4"/>
    <w:rsid w:val="00AE7816"/>
    <w:rsid w:val="00AF4296"/>
    <w:rsid w:val="00AF43A6"/>
    <w:rsid w:val="00AF553C"/>
    <w:rsid w:val="00AF65BA"/>
    <w:rsid w:val="00B00F96"/>
    <w:rsid w:val="00B054C9"/>
    <w:rsid w:val="00B05DBA"/>
    <w:rsid w:val="00B10AAC"/>
    <w:rsid w:val="00B11039"/>
    <w:rsid w:val="00B1135A"/>
    <w:rsid w:val="00B12AC7"/>
    <w:rsid w:val="00B13840"/>
    <w:rsid w:val="00B14237"/>
    <w:rsid w:val="00B21290"/>
    <w:rsid w:val="00B2271E"/>
    <w:rsid w:val="00B2415E"/>
    <w:rsid w:val="00B241EA"/>
    <w:rsid w:val="00B24854"/>
    <w:rsid w:val="00B266CC"/>
    <w:rsid w:val="00B27395"/>
    <w:rsid w:val="00B308C2"/>
    <w:rsid w:val="00B33182"/>
    <w:rsid w:val="00B33370"/>
    <w:rsid w:val="00B33CC6"/>
    <w:rsid w:val="00B342B6"/>
    <w:rsid w:val="00B352D0"/>
    <w:rsid w:val="00B35862"/>
    <w:rsid w:val="00B35B0B"/>
    <w:rsid w:val="00B3640B"/>
    <w:rsid w:val="00B40D37"/>
    <w:rsid w:val="00B40FDF"/>
    <w:rsid w:val="00B414A3"/>
    <w:rsid w:val="00B41D64"/>
    <w:rsid w:val="00B423EC"/>
    <w:rsid w:val="00B4276E"/>
    <w:rsid w:val="00B43C5D"/>
    <w:rsid w:val="00B453CB"/>
    <w:rsid w:val="00B466C2"/>
    <w:rsid w:val="00B508CB"/>
    <w:rsid w:val="00B51A51"/>
    <w:rsid w:val="00B52E90"/>
    <w:rsid w:val="00B538A6"/>
    <w:rsid w:val="00B56278"/>
    <w:rsid w:val="00B56727"/>
    <w:rsid w:val="00B60B72"/>
    <w:rsid w:val="00B6177F"/>
    <w:rsid w:val="00B617AB"/>
    <w:rsid w:val="00B619F8"/>
    <w:rsid w:val="00B62138"/>
    <w:rsid w:val="00B62ACC"/>
    <w:rsid w:val="00B62C82"/>
    <w:rsid w:val="00B63973"/>
    <w:rsid w:val="00B63A87"/>
    <w:rsid w:val="00B65991"/>
    <w:rsid w:val="00B6794C"/>
    <w:rsid w:val="00B7017A"/>
    <w:rsid w:val="00B728E7"/>
    <w:rsid w:val="00B73BAD"/>
    <w:rsid w:val="00B7409A"/>
    <w:rsid w:val="00B74507"/>
    <w:rsid w:val="00B761C3"/>
    <w:rsid w:val="00B765FF"/>
    <w:rsid w:val="00B77F9B"/>
    <w:rsid w:val="00B80A8D"/>
    <w:rsid w:val="00B818B6"/>
    <w:rsid w:val="00B825EE"/>
    <w:rsid w:val="00B8322C"/>
    <w:rsid w:val="00B841E0"/>
    <w:rsid w:val="00B90F4D"/>
    <w:rsid w:val="00B927BC"/>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458D"/>
    <w:rsid w:val="00BB4CCF"/>
    <w:rsid w:val="00BC08DE"/>
    <w:rsid w:val="00BC1000"/>
    <w:rsid w:val="00BC14F8"/>
    <w:rsid w:val="00BC15F7"/>
    <w:rsid w:val="00BC2269"/>
    <w:rsid w:val="00BC3311"/>
    <w:rsid w:val="00BC41C5"/>
    <w:rsid w:val="00BC46FC"/>
    <w:rsid w:val="00BC7031"/>
    <w:rsid w:val="00BD009D"/>
    <w:rsid w:val="00BD0DF3"/>
    <w:rsid w:val="00BD1862"/>
    <w:rsid w:val="00BD2D2F"/>
    <w:rsid w:val="00BD5547"/>
    <w:rsid w:val="00BE01C1"/>
    <w:rsid w:val="00BE022D"/>
    <w:rsid w:val="00BE1CF9"/>
    <w:rsid w:val="00BE1E76"/>
    <w:rsid w:val="00BE3226"/>
    <w:rsid w:val="00BE444F"/>
    <w:rsid w:val="00BE7916"/>
    <w:rsid w:val="00BE7EC7"/>
    <w:rsid w:val="00BF14BC"/>
    <w:rsid w:val="00BF28CD"/>
    <w:rsid w:val="00BF39AE"/>
    <w:rsid w:val="00BF49E3"/>
    <w:rsid w:val="00BF7AAD"/>
    <w:rsid w:val="00C00FD7"/>
    <w:rsid w:val="00C02E1E"/>
    <w:rsid w:val="00C03AC8"/>
    <w:rsid w:val="00C03D6F"/>
    <w:rsid w:val="00C0529C"/>
    <w:rsid w:val="00C06A6C"/>
    <w:rsid w:val="00C06DEE"/>
    <w:rsid w:val="00C0759C"/>
    <w:rsid w:val="00C10F77"/>
    <w:rsid w:val="00C11AA3"/>
    <w:rsid w:val="00C12FE2"/>
    <w:rsid w:val="00C133A3"/>
    <w:rsid w:val="00C13593"/>
    <w:rsid w:val="00C13FBD"/>
    <w:rsid w:val="00C14F65"/>
    <w:rsid w:val="00C15948"/>
    <w:rsid w:val="00C1766E"/>
    <w:rsid w:val="00C17CCF"/>
    <w:rsid w:val="00C219D4"/>
    <w:rsid w:val="00C24409"/>
    <w:rsid w:val="00C2483F"/>
    <w:rsid w:val="00C258B3"/>
    <w:rsid w:val="00C25BC8"/>
    <w:rsid w:val="00C2672E"/>
    <w:rsid w:val="00C306A2"/>
    <w:rsid w:val="00C352FA"/>
    <w:rsid w:val="00C357DF"/>
    <w:rsid w:val="00C36598"/>
    <w:rsid w:val="00C36886"/>
    <w:rsid w:val="00C36ACD"/>
    <w:rsid w:val="00C41F19"/>
    <w:rsid w:val="00C4263C"/>
    <w:rsid w:val="00C466C5"/>
    <w:rsid w:val="00C4694F"/>
    <w:rsid w:val="00C47601"/>
    <w:rsid w:val="00C50848"/>
    <w:rsid w:val="00C52A75"/>
    <w:rsid w:val="00C55060"/>
    <w:rsid w:val="00C55736"/>
    <w:rsid w:val="00C55A37"/>
    <w:rsid w:val="00C57677"/>
    <w:rsid w:val="00C57F0A"/>
    <w:rsid w:val="00C6140A"/>
    <w:rsid w:val="00C6238D"/>
    <w:rsid w:val="00C62D0A"/>
    <w:rsid w:val="00C63EEB"/>
    <w:rsid w:val="00C648E9"/>
    <w:rsid w:val="00C64A3B"/>
    <w:rsid w:val="00C65EB0"/>
    <w:rsid w:val="00C720E7"/>
    <w:rsid w:val="00C7250C"/>
    <w:rsid w:val="00C72938"/>
    <w:rsid w:val="00C739C6"/>
    <w:rsid w:val="00C73A90"/>
    <w:rsid w:val="00C75400"/>
    <w:rsid w:val="00C76DF1"/>
    <w:rsid w:val="00C77602"/>
    <w:rsid w:val="00C83142"/>
    <w:rsid w:val="00C83AA7"/>
    <w:rsid w:val="00C846B2"/>
    <w:rsid w:val="00C853F4"/>
    <w:rsid w:val="00C870FB"/>
    <w:rsid w:val="00C91107"/>
    <w:rsid w:val="00C92C8B"/>
    <w:rsid w:val="00C9494A"/>
    <w:rsid w:val="00C950D6"/>
    <w:rsid w:val="00C95DC3"/>
    <w:rsid w:val="00C95E03"/>
    <w:rsid w:val="00C95FD8"/>
    <w:rsid w:val="00CA5B20"/>
    <w:rsid w:val="00CB07CC"/>
    <w:rsid w:val="00CB0991"/>
    <w:rsid w:val="00CB1104"/>
    <w:rsid w:val="00CB2AF3"/>
    <w:rsid w:val="00CB4970"/>
    <w:rsid w:val="00CB5359"/>
    <w:rsid w:val="00CB5ED1"/>
    <w:rsid w:val="00CC3827"/>
    <w:rsid w:val="00CD0FD7"/>
    <w:rsid w:val="00CD16B0"/>
    <w:rsid w:val="00CD3C5B"/>
    <w:rsid w:val="00CD5C4C"/>
    <w:rsid w:val="00CD6E80"/>
    <w:rsid w:val="00CE00B8"/>
    <w:rsid w:val="00CE1489"/>
    <w:rsid w:val="00CE1A05"/>
    <w:rsid w:val="00CE264E"/>
    <w:rsid w:val="00CE3CDB"/>
    <w:rsid w:val="00CE5CDC"/>
    <w:rsid w:val="00CE6F5E"/>
    <w:rsid w:val="00CF3230"/>
    <w:rsid w:val="00CF67F2"/>
    <w:rsid w:val="00CF70D4"/>
    <w:rsid w:val="00CF7206"/>
    <w:rsid w:val="00D003D1"/>
    <w:rsid w:val="00D00931"/>
    <w:rsid w:val="00D033C2"/>
    <w:rsid w:val="00D03CC8"/>
    <w:rsid w:val="00D04BA7"/>
    <w:rsid w:val="00D06E94"/>
    <w:rsid w:val="00D1223E"/>
    <w:rsid w:val="00D16478"/>
    <w:rsid w:val="00D17327"/>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10EA"/>
    <w:rsid w:val="00D41E7F"/>
    <w:rsid w:val="00D421EC"/>
    <w:rsid w:val="00D4343C"/>
    <w:rsid w:val="00D470E2"/>
    <w:rsid w:val="00D517EC"/>
    <w:rsid w:val="00D51C6C"/>
    <w:rsid w:val="00D52294"/>
    <w:rsid w:val="00D53799"/>
    <w:rsid w:val="00D539A6"/>
    <w:rsid w:val="00D558AE"/>
    <w:rsid w:val="00D56516"/>
    <w:rsid w:val="00D60170"/>
    <w:rsid w:val="00D612D2"/>
    <w:rsid w:val="00D623DD"/>
    <w:rsid w:val="00D64E3A"/>
    <w:rsid w:val="00D65240"/>
    <w:rsid w:val="00D7159A"/>
    <w:rsid w:val="00D75C24"/>
    <w:rsid w:val="00D75F0D"/>
    <w:rsid w:val="00D81679"/>
    <w:rsid w:val="00D83167"/>
    <w:rsid w:val="00D90361"/>
    <w:rsid w:val="00D92977"/>
    <w:rsid w:val="00D93EEE"/>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43FF"/>
    <w:rsid w:val="00DC47AF"/>
    <w:rsid w:val="00DC6849"/>
    <w:rsid w:val="00DC7D27"/>
    <w:rsid w:val="00DD06F8"/>
    <w:rsid w:val="00DD072A"/>
    <w:rsid w:val="00DD1168"/>
    <w:rsid w:val="00DD4390"/>
    <w:rsid w:val="00DD4BDF"/>
    <w:rsid w:val="00DD5C00"/>
    <w:rsid w:val="00DD6AF7"/>
    <w:rsid w:val="00DD6DC4"/>
    <w:rsid w:val="00DE0470"/>
    <w:rsid w:val="00DE5E01"/>
    <w:rsid w:val="00DE6D95"/>
    <w:rsid w:val="00DE7494"/>
    <w:rsid w:val="00DE7E13"/>
    <w:rsid w:val="00DF0FFD"/>
    <w:rsid w:val="00DF4388"/>
    <w:rsid w:val="00DF44D9"/>
    <w:rsid w:val="00DF4FC1"/>
    <w:rsid w:val="00E0087F"/>
    <w:rsid w:val="00E01B17"/>
    <w:rsid w:val="00E02D64"/>
    <w:rsid w:val="00E03866"/>
    <w:rsid w:val="00E043D0"/>
    <w:rsid w:val="00E05862"/>
    <w:rsid w:val="00E05CE1"/>
    <w:rsid w:val="00E07372"/>
    <w:rsid w:val="00E11E1D"/>
    <w:rsid w:val="00E12AD3"/>
    <w:rsid w:val="00E1418E"/>
    <w:rsid w:val="00E22344"/>
    <w:rsid w:val="00E239EA"/>
    <w:rsid w:val="00E23AEF"/>
    <w:rsid w:val="00E2585E"/>
    <w:rsid w:val="00E261A4"/>
    <w:rsid w:val="00E27495"/>
    <w:rsid w:val="00E302E4"/>
    <w:rsid w:val="00E337C2"/>
    <w:rsid w:val="00E34058"/>
    <w:rsid w:val="00E347E0"/>
    <w:rsid w:val="00E3554F"/>
    <w:rsid w:val="00E36250"/>
    <w:rsid w:val="00E3694A"/>
    <w:rsid w:val="00E36998"/>
    <w:rsid w:val="00E37206"/>
    <w:rsid w:val="00E41F9F"/>
    <w:rsid w:val="00E43C3B"/>
    <w:rsid w:val="00E43C7A"/>
    <w:rsid w:val="00E444AF"/>
    <w:rsid w:val="00E44787"/>
    <w:rsid w:val="00E44938"/>
    <w:rsid w:val="00E44E74"/>
    <w:rsid w:val="00E44F60"/>
    <w:rsid w:val="00E4516A"/>
    <w:rsid w:val="00E45407"/>
    <w:rsid w:val="00E4546A"/>
    <w:rsid w:val="00E45CC7"/>
    <w:rsid w:val="00E46DD4"/>
    <w:rsid w:val="00E46E35"/>
    <w:rsid w:val="00E476ED"/>
    <w:rsid w:val="00E50176"/>
    <w:rsid w:val="00E549CF"/>
    <w:rsid w:val="00E55405"/>
    <w:rsid w:val="00E55E04"/>
    <w:rsid w:val="00E57C03"/>
    <w:rsid w:val="00E60A05"/>
    <w:rsid w:val="00E60CC3"/>
    <w:rsid w:val="00E63AE6"/>
    <w:rsid w:val="00E63F8D"/>
    <w:rsid w:val="00E67342"/>
    <w:rsid w:val="00E70FD6"/>
    <w:rsid w:val="00E71781"/>
    <w:rsid w:val="00E71DFE"/>
    <w:rsid w:val="00E74CA5"/>
    <w:rsid w:val="00E76346"/>
    <w:rsid w:val="00E76555"/>
    <w:rsid w:val="00E80D1C"/>
    <w:rsid w:val="00E82BD1"/>
    <w:rsid w:val="00E839AA"/>
    <w:rsid w:val="00E86DFE"/>
    <w:rsid w:val="00EA0FEB"/>
    <w:rsid w:val="00EA1C5F"/>
    <w:rsid w:val="00EA28E0"/>
    <w:rsid w:val="00EA2F77"/>
    <w:rsid w:val="00EA30E1"/>
    <w:rsid w:val="00EA359D"/>
    <w:rsid w:val="00EA524A"/>
    <w:rsid w:val="00EA688E"/>
    <w:rsid w:val="00EB0259"/>
    <w:rsid w:val="00EB0C5C"/>
    <w:rsid w:val="00EB15BF"/>
    <w:rsid w:val="00EB345C"/>
    <w:rsid w:val="00EB3E33"/>
    <w:rsid w:val="00EB3F51"/>
    <w:rsid w:val="00EB67CF"/>
    <w:rsid w:val="00EB6E99"/>
    <w:rsid w:val="00EC067D"/>
    <w:rsid w:val="00EC0EF1"/>
    <w:rsid w:val="00EC1E9D"/>
    <w:rsid w:val="00EC2305"/>
    <w:rsid w:val="00EC25C5"/>
    <w:rsid w:val="00EC35E4"/>
    <w:rsid w:val="00EC364A"/>
    <w:rsid w:val="00EC4D7D"/>
    <w:rsid w:val="00EC5466"/>
    <w:rsid w:val="00EC6E46"/>
    <w:rsid w:val="00EC7FB4"/>
    <w:rsid w:val="00ED04BA"/>
    <w:rsid w:val="00ED1BC7"/>
    <w:rsid w:val="00ED1EA4"/>
    <w:rsid w:val="00ED22AD"/>
    <w:rsid w:val="00ED3082"/>
    <w:rsid w:val="00ED3F12"/>
    <w:rsid w:val="00ED4960"/>
    <w:rsid w:val="00ED6ED3"/>
    <w:rsid w:val="00EE139D"/>
    <w:rsid w:val="00EE1F18"/>
    <w:rsid w:val="00EE2279"/>
    <w:rsid w:val="00EE2F9F"/>
    <w:rsid w:val="00EE57FF"/>
    <w:rsid w:val="00EE6158"/>
    <w:rsid w:val="00EE6CE4"/>
    <w:rsid w:val="00EF124D"/>
    <w:rsid w:val="00EF129D"/>
    <w:rsid w:val="00EF1EC2"/>
    <w:rsid w:val="00EF22F0"/>
    <w:rsid w:val="00EF346F"/>
    <w:rsid w:val="00EF49F3"/>
    <w:rsid w:val="00F00437"/>
    <w:rsid w:val="00F00AD5"/>
    <w:rsid w:val="00F00C32"/>
    <w:rsid w:val="00F02D4D"/>
    <w:rsid w:val="00F03CBD"/>
    <w:rsid w:val="00F04BA6"/>
    <w:rsid w:val="00F0684B"/>
    <w:rsid w:val="00F11AA2"/>
    <w:rsid w:val="00F12166"/>
    <w:rsid w:val="00F12948"/>
    <w:rsid w:val="00F135E1"/>
    <w:rsid w:val="00F14864"/>
    <w:rsid w:val="00F15DF8"/>
    <w:rsid w:val="00F20785"/>
    <w:rsid w:val="00F22C55"/>
    <w:rsid w:val="00F23C14"/>
    <w:rsid w:val="00F27B4F"/>
    <w:rsid w:val="00F30D1F"/>
    <w:rsid w:val="00F32AFF"/>
    <w:rsid w:val="00F33815"/>
    <w:rsid w:val="00F33AB7"/>
    <w:rsid w:val="00F34269"/>
    <w:rsid w:val="00F342B7"/>
    <w:rsid w:val="00F35A34"/>
    <w:rsid w:val="00F36668"/>
    <w:rsid w:val="00F36869"/>
    <w:rsid w:val="00F36E77"/>
    <w:rsid w:val="00F41D01"/>
    <w:rsid w:val="00F4295E"/>
    <w:rsid w:val="00F44D71"/>
    <w:rsid w:val="00F45BF2"/>
    <w:rsid w:val="00F5063E"/>
    <w:rsid w:val="00F50FEB"/>
    <w:rsid w:val="00F51539"/>
    <w:rsid w:val="00F52E18"/>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6A7A"/>
    <w:rsid w:val="00F77238"/>
    <w:rsid w:val="00F84152"/>
    <w:rsid w:val="00F848BD"/>
    <w:rsid w:val="00F85278"/>
    <w:rsid w:val="00F864F5"/>
    <w:rsid w:val="00F86774"/>
    <w:rsid w:val="00F86ABC"/>
    <w:rsid w:val="00F94148"/>
    <w:rsid w:val="00F94951"/>
    <w:rsid w:val="00F95355"/>
    <w:rsid w:val="00FA1A3C"/>
    <w:rsid w:val="00FA1F52"/>
    <w:rsid w:val="00FA23AB"/>
    <w:rsid w:val="00FA252C"/>
    <w:rsid w:val="00FA4557"/>
    <w:rsid w:val="00FA772C"/>
    <w:rsid w:val="00FB1B28"/>
    <w:rsid w:val="00FB4174"/>
    <w:rsid w:val="00FB6661"/>
    <w:rsid w:val="00FB68D5"/>
    <w:rsid w:val="00FB78DB"/>
    <w:rsid w:val="00FC01AB"/>
    <w:rsid w:val="00FC5028"/>
    <w:rsid w:val="00FC6063"/>
    <w:rsid w:val="00FC7247"/>
    <w:rsid w:val="00FC756C"/>
    <w:rsid w:val="00FD2AA5"/>
    <w:rsid w:val="00FD2B7F"/>
    <w:rsid w:val="00FD3740"/>
    <w:rsid w:val="00FD5FF1"/>
    <w:rsid w:val="00FD6D47"/>
    <w:rsid w:val="00FD6E99"/>
    <w:rsid w:val="00FE1D67"/>
    <w:rsid w:val="00FE2481"/>
    <w:rsid w:val="00FE25F5"/>
    <w:rsid w:val="00FE266C"/>
    <w:rsid w:val="00FE31B0"/>
    <w:rsid w:val="00FE3E64"/>
    <w:rsid w:val="00FE4061"/>
    <w:rsid w:val="00FE4F59"/>
    <w:rsid w:val="00FE5C68"/>
    <w:rsid w:val="00FE5C98"/>
    <w:rsid w:val="00FE6AA9"/>
    <w:rsid w:val="00FE6ECC"/>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2018-08-30T18:30:00+00:00</Judgment_x0020_Date>
    <Year xmlns="63bdd487-88aa-4c54-b893-ddaa81ed2e7c">2018</Year>
  </documentManagement>
</p:properties>
</file>

<file path=customXml/itemProps1.xml><?xml version="1.0" encoding="utf-8"?>
<ds:datastoreItem xmlns:ds="http://schemas.openxmlformats.org/officeDocument/2006/customXml" ds:itemID="{381227DA-5DFE-4813-9CAF-933DBC989242}"/>
</file>

<file path=customXml/itemProps2.xml><?xml version="1.0" encoding="utf-8"?>
<ds:datastoreItem xmlns:ds="http://schemas.openxmlformats.org/officeDocument/2006/customXml" ds:itemID="{D71BC599-A07D-49FD-906A-9E9B5D3A9E44}"/>
</file>

<file path=customXml/itemProps3.xml><?xml version="1.0" encoding="utf-8"?>
<ds:datastoreItem xmlns:ds="http://schemas.openxmlformats.org/officeDocument/2006/customXml" ds:itemID="{D1AC747A-1A16-446A-8AAD-D88EBD506714}"/>
</file>

<file path=customXml/itemProps4.xml><?xml version="1.0" encoding="utf-8"?>
<ds:datastoreItem xmlns:ds="http://schemas.openxmlformats.org/officeDocument/2006/customXml" ds:itemID="{825BEAC2-F446-425D-BEB9-53C0243F7687}"/>
</file>

<file path=docProps/app.xml><?xml version="1.0" encoding="utf-8"?>
<Properties xmlns="http://schemas.openxmlformats.org/officeDocument/2006/extended-properties" xmlns:vt="http://schemas.openxmlformats.org/officeDocument/2006/docPropsVTypes">
  <Template>Normal</Template>
  <TotalTime>1</TotalTime>
  <Pages>30</Pages>
  <Words>6580</Words>
  <Characters>37509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Dannecker v Leopard Tours Car and Camping Hire CC</dc:title>
  <dc:creator>ybasson</dc:creator>
  <cp:lastModifiedBy>Nicole Januarie</cp:lastModifiedBy>
  <cp:revision>2</cp:revision>
  <cp:lastPrinted>2018-08-29T08:32:00Z</cp:lastPrinted>
  <dcterms:created xsi:type="dcterms:W3CDTF">2018-08-31T14:17:00Z</dcterms:created>
  <dcterms:modified xsi:type="dcterms:W3CDTF">2018-08-31T14:17:00Z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