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D4" w:rsidRPr="0064403F" w:rsidRDefault="005F1CD4" w:rsidP="005F1CD4">
      <w:pPr>
        <w:spacing w:after="0" w:line="480" w:lineRule="auto"/>
        <w:ind w:left="5760" w:firstLine="720"/>
        <w:jc w:val="right"/>
        <w:rPr>
          <w:rFonts w:ascii="Arial" w:eastAsia="Calibri" w:hAnsi="Arial" w:cs="Arial"/>
          <w:b/>
          <w:sz w:val="24"/>
          <w:szCs w:val="24"/>
          <w:lang w:val="en-ZA"/>
        </w:rPr>
      </w:pPr>
      <w:bookmarkStart w:id="0" w:name="_GoBack"/>
      <w:bookmarkEnd w:id="0"/>
    </w:p>
    <w:p w:rsidR="005F1CD4" w:rsidRPr="0064403F" w:rsidRDefault="005F1CD4" w:rsidP="005F1CD4">
      <w:pPr>
        <w:spacing w:after="0" w:line="480" w:lineRule="auto"/>
        <w:ind w:left="5760" w:firstLine="720"/>
        <w:jc w:val="right"/>
        <w:rPr>
          <w:rFonts w:ascii="Arial" w:eastAsia="Calibri" w:hAnsi="Arial" w:cs="Arial"/>
          <w:b/>
          <w:sz w:val="24"/>
          <w:szCs w:val="24"/>
          <w:lang w:val="en-ZA"/>
        </w:rPr>
      </w:pPr>
    </w:p>
    <w:p w:rsidR="005F1CD4" w:rsidRPr="0064403F" w:rsidRDefault="005F1CD4" w:rsidP="005F1CD4">
      <w:pPr>
        <w:spacing w:after="0" w:line="480" w:lineRule="auto"/>
        <w:ind w:left="5760" w:firstLine="720"/>
        <w:jc w:val="right"/>
        <w:rPr>
          <w:rFonts w:ascii="Arial" w:eastAsia="Calibri" w:hAnsi="Arial" w:cs="Arial"/>
          <w:b/>
          <w:sz w:val="24"/>
          <w:szCs w:val="24"/>
          <w:lang w:val="en-ZA"/>
        </w:rPr>
      </w:pPr>
      <w:r w:rsidRPr="0064403F">
        <w:rPr>
          <w:rFonts w:ascii="Calibri" w:eastAsia="Calibri" w:hAnsi="Calibri" w:cs="Times New Roman"/>
          <w:b/>
          <w:noProof/>
          <w:lang w:val="en-ZA" w:eastAsia="en-ZA"/>
        </w:rPr>
        <w:drawing>
          <wp:anchor distT="0" distB="0" distL="114300" distR="114300" simplePos="0" relativeHeight="251659264" behindDoc="0" locked="0" layoutInCell="1" allowOverlap="1" wp14:anchorId="3DB785CF" wp14:editId="44952FF7">
            <wp:simplePos x="0" y="0"/>
            <wp:positionH relativeFrom="margin">
              <wp:posOffset>2111023</wp:posOffset>
            </wp:positionH>
            <wp:positionV relativeFrom="margin">
              <wp:posOffset>-564585</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r w:rsidRPr="0064403F">
        <w:rPr>
          <w:rFonts w:ascii="Arial" w:eastAsia="Calibri" w:hAnsi="Arial" w:cs="Arial"/>
          <w:b/>
          <w:sz w:val="24"/>
          <w:szCs w:val="24"/>
          <w:lang w:val="en-ZA"/>
        </w:rPr>
        <w:t>REPORTABLE</w:t>
      </w:r>
    </w:p>
    <w:p w:rsidR="005F1CD4" w:rsidRPr="0064403F" w:rsidRDefault="005F1CD4" w:rsidP="005F1CD4">
      <w:pPr>
        <w:spacing w:after="0" w:line="480" w:lineRule="auto"/>
        <w:ind w:left="5760" w:firstLine="720"/>
        <w:jc w:val="right"/>
        <w:rPr>
          <w:rFonts w:ascii="Arial" w:eastAsia="Calibri" w:hAnsi="Arial" w:cs="Arial"/>
          <w:sz w:val="24"/>
          <w:szCs w:val="24"/>
          <w:lang w:val="en-ZA"/>
        </w:rPr>
      </w:pPr>
      <w:r w:rsidRPr="0064403F">
        <w:rPr>
          <w:rFonts w:ascii="Arial" w:eastAsia="Calibri" w:hAnsi="Arial" w:cs="Arial"/>
          <w:sz w:val="24"/>
          <w:szCs w:val="24"/>
          <w:lang w:val="en-ZA"/>
        </w:rPr>
        <w:t>CASE NO:</w:t>
      </w:r>
      <w:r>
        <w:rPr>
          <w:rFonts w:ascii="Arial" w:eastAsia="Calibri" w:hAnsi="Arial" w:cs="Arial"/>
          <w:sz w:val="24"/>
          <w:szCs w:val="24"/>
          <w:lang w:val="en-ZA"/>
        </w:rPr>
        <w:t xml:space="preserve"> SA 21/201</w:t>
      </w:r>
      <w:r w:rsidRPr="0064403F">
        <w:rPr>
          <w:rFonts w:ascii="Arial" w:eastAsia="Calibri" w:hAnsi="Arial" w:cs="Arial"/>
          <w:sz w:val="24"/>
          <w:szCs w:val="24"/>
          <w:lang w:val="en-ZA"/>
        </w:rPr>
        <w:t>7</w:t>
      </w:r>
    </w:p>
    <w:p w:rsidR="005F1CD4" w:rsidRPr="0064403F" w:rsidRDefault="005F1CD4" w:rsidP="005F1CD4">
      <w:pPr>
        <w:spacing w:after="0" w:line="480" w:lineRule="auto"/>
        <w:rPr>
          <w:rFonts w:ascii="Arial" w:eastAsia="Calibri" w:hAnsi="Arial" w:cs="Arial"/>
          <w:b/>
          <w:sz w:val="24"/>
          <w:szCs w:val="24"/>
          <w:lang w:val="en-ZA"/>
        </w:rPr>
      </w:pPr>
      <w:r w:rsidRPr="0064403F">
        <w:rPr>
          <w:rFonts w:ascii="Arial" w:eastAsia="Calibri" w:hAnsi="Arial" w:cs="Arial"/>
          <w:b/>
          <w:sz w:val="24"/>
          <w:szCs w:val="24"/>
          <w:lang w:val="en-ZA"/>
        </w:rPr>
        <w:t>IN THE SUPREME COURT OF NAMIBIA</w:t>
      </w:r>
    </w:p>
    <w:p w:rsidR="005F1CD4" w:rsidRPr="0064403F" w:rsidRDefault="005F1CD4" w:rsidP="005F1CD4">
      <w:pPr>
        <w:spacing w:after="0" w:line="480" w:lineRule="auto"/>
        <w:rPr>
          <w:rFonts w:ascii="Arial" w:eastAsia="Calibri" w:hAnsi="Arial" w:cs="Arial"/>
          <w:sz w:val="24"/>
          <w:szCs w:val="24"/>
          <w:lang w:val="en-ZA"/>
        </w:rPr>
      </w:pPr>
    </w:p>
    <w:p w:rsidR="005F1CD4" w:rsidRPr="0064403F" w:rsidRDefault="005F1CD4" w:rsidP="005F1CD4">
      <w:pPr>
        <w:spacing w:after="0" w:line="480" w:lineRule="auto"/>
        <w:rPr>
          <w:rFonts w:ascii="Arial" w:eastAsia="Calibri" w:hAnsi="Arial" w:cs="Arial"/>
          <w:sz w:val="24"/>
          <w:szCs w:val="24"/>
          <w:lang w:val="en-ZA"/>
        </w:rPr>
      </w:pPr>
      <w:r w:rsidRPr="0064403F">
        <w:rPr>
          <w:rFonts w:ascii="Arial" w:eastAsia="Calibri" w:hAnsi="Arial" w:cs="Arial"/>
          <w:sz w:val="24"/>
          <w:szCs w:val="24"/>
          <w:lang w:val="en-ZA"/>
        </w:rPr>
        <w:t>In the matter between:</w:t>
      </w:r>
    </w:p>
    <w:p w:rsidR="005F1CD4" w:rsidRPr="0064403F" w:rsidRDefault="005F1CD4" w:rsidP="005F1CD4">
      <w:pPr>
        <w:spacing w:after="0" w:line="480" w:lineRule="auto"/>
        <w:rPr>
          <w:rFonts w:ascii="Arial" w:eastAsia="Calibri" w:hAnsi="Arial" w:cs="Arial"/>
          <w:sz w:val="24"/>
          <w:szCs w:val="24"/>
          <w:lang w:val="en-ZA"/>
        </w:rPr>
      </w:pPr>
    </w:p>
    <w:p w:rsidR="005F1CD4" w:rsidRPr="0064403F" w:rsidRDefault="005F1CD4" w:rsidP="005F1CD4">
      <w:pPr>
        <w:spacing w:after="0" w:line="480" w:lineRule="auto"/>
        <w:rPr>
          <w:rFonts w:ascii="Arial" w:eastAsia="Calibri" w:hAnsi="Arial" w:cs="Arial"/>
          <w:b/>
          <w:sz w:val="24"/>
          <w:szCs w:val="24"/>
          <w:lang w:val="en-ZA"/>
        </w:rPr>
      </w:pPr>
      <w:r w:rsidRPr="0064403F">
        <w:rPr>
          <w:rFonts w:ascii="Arial" w:eastAsia="Calibri" w:hAnsi="Arial" w:cs="Arial"/>
          <w:b/>
          <w:sz w:val="24"/>
          <w:szCs w:val="24"/>
        </w:rPr>
        <w:t>HERMAN KONRAD</w:t>
      </w:r>
      <w:r w:rsidRPr="0064403F">
        <w:rPr>
          <w:rFonts w:ascii="Arial" w:eastAsia="Calibri" w:hAnsi="Arial" w:cs="Arial"/>
          <w:b/>
          <w:sz w:val="24"/>
          <w:szCs w:val="24"/>
          <w:lang w:val="en-ZA"/>
        </w:rPr>
        <w:tab/>
      </w:r>
      <w:r w:rsidRPr="0064403F">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sidRPr="0064403F">
        <w:rPr>
          <w:rFonts w:ascii="Arial" w:eastAsia="Calibri" w:hAnsi="Arial" w:cs="Arial"/>
          <w:b/>
          <w:sz w:val="24"/>
          <w:szCs w:val="24"/>
          <w:lang w:val="en-ZA"/>
        </w:rPr>
        <w:t>Appellant</w:t>
      </w:r>
    </w:p>
    <w:p w:rsidR="005F1CD4" w:rsidRPr="0064403F" w:rsidRDefault="005F1CD4" w:rsidP="005F1CD4">
      <w:pPr>
        <w:spacing w:after="0" w:line="480" w:lineRule="auto"/>
        <w:rPr>
          <w:rFonts w:ascii="Arial" w:eastAsia="Calibri" w:hAnsi="Arial" w:cs="Arial"/>
          <w:sz w:val="24"/>
          <w:szCs w:val="24"/>
          <w:lang w:val="en-ZA"/>
        </w:rPr>
      </w:pPr>
    </w:p>
    <w:p w:rsidR="005F1CD4" w:rsidRPr="0064403F" w:rsidRDefault="005F1CD4" w:rsidP="005F1CD4">
      <w:pPr>
        <w:spacing w:after="0" w:line="480" w:lineRule="auto"/>
        <w:rPr>
          <w:rFonts w:ascii="Arial" w:eastAsia="Calibri" w:hAnsi="Arial" w:cs="Arial"/>
          <w:sz w:val="24"/>
          <w:szCs w:val="24"/>
          <w:lang w:val="en-ZA"/>
        </w:rPr>
      </w:pPr>
      <w:r>
        <w:rPr>
          <w:rFonts w:ascii="Arial" w:eastAsia="Calibri" w:hAnsi="Arial" w:cs="Arial"/>
          <w:sz w:val="24"/>
          <w:szCs w:val="24"/>
          <w:lang w:val="en-ZA"/>
        </w:rPr>
        <w:t>a</w:t>
      </w:r>
      <w:r w:rsidRPr="0064403F">
        <w:rPr>
          <w:rFonts w:ascii="Arial" w:eastAsia="Calibri" w:hAnsi="Arial" w:cs="Arial"/>
          <w:sz w:val="24"/>
          <w:szCs w:val="24"/>
          <w:lang w:val="en-ZA"/>
        </w:rPr>
        <w:t>nd</w:t>
      </w:r>
    </w:p>
    <w:p w:rsidR="005F1CD4" w:rsidRPr="0064403F" w:rsidRDefault="005F1CD4" w:rsidP="005F1CD4">
      <w:pPr>
        <w:spacing w:after="0" w:line="480" w:lineRule="auto"/>
        <w:rPr>
          <w:rFonts w:ascii="Arial" w:eastAsia="Calibri" w:hAnsi="Arial" w:cs="Arial"/>
          <w:b/>
          <w:sz w:val="24"/>
          <w:szCs w:val="24"/>
          <w:lang w:val="en-ZA"/>
        </w:rPr>
      </w:pPr>
    </w:p>
    <w:p w:rsidR="005F1CD4" w:rsidRPr="0064403F" w:rsidRDefault="005F1CD4" w:rsidP="005F1CD4">
      <w:pPr>
        <w:spacing w:after="0" w:line="480" w:lineRule="auto"/>
        <w:rPr>
          <w:rFonts w:ascii="Arial" w:eastAsia="Calibri" w:hAnsi="Arial" w:cs="Arial"/>
          <w:sz w:val="24"/>
          <w:szCs w:val="24"/>
          <w:lang w:val="en-ZA"/>
        </w:rPr>
      </w:pPr>
      <w:r w:rsidRPr="0064403F">
        <w:rPr>
          <w:rFonts w:ascii="Arial" w:eastAsia="Calibri" w:hAnsi="Arial" w:cs="Arial"/>
          <w:b/>
          <w:sz w:val="24"/>
          <w:szCs w:val="24"/>
        </w:rPr>
        <w:t>SHANIKA NDAPANDA</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Pr="0064403F">
        <w:rPr>
          <w:rFonts w:ascii="Arial" w:eastAsia="Calibri" w:hAnsi="Arial" w:cs="Arial"/>
          <w:b/>
          <w:sz w:val="24"/>
          <w:szCs w:val="24"/>
          <w:lang w:val="en-ZA"/>
        </w:rPr>
        <w:tab/>
      </w:r>
      <w:r w:rsidRPr="0064403F">
        <w:rPr>
          <w:rFonts w:ascii="Arial" w:eastAsia="Calibri" w:hAnsi="Arial" w:cs="Arial"/>
          <w:b/>
          <w:sz w:val="24"/>
          <w:szCs w:val="24"/>
          <w:lang w:val="en-ZA"/>
        </w:rPr>
        <w:tab/>
      </w:r>
      <w:r w:rsidRPr="0064403F">
        <w:rPr>
          <w:rFonts w:ascii="Arial" w:eastAsia="Calibri" w:hAnsi="Arial" w:cs="Arial"/>
          <w:b/>
          <w:sz w:val="24"/>
          <w:szCs w:val="24"/>
          <w:lang w:val="en-ZA"/>
        </w:rPr>
        <w:tab/>
      </w:r>
      <w:r w:rsidRPr="0064403F">
        <w:rPr>
          <w:rFonts w:ascii="Arial" w:eastAsia="Calibri" w:hAnsi="Arial" w:cs="Arial"/>
          <w:b/>
          <w:sz w:val="24"/>
          <w:szCs w:val="24"/>
          <w:lang w:val="en-ZA"/>
        </w:rPr>
        <w:tab/>
        <w:t xml:space="preserve">Respondent </w:t>
      </w:r>
    </w:p>
    <w:p w:rsidR="005F1CD4" w:rsidRPr="0064403F" w:rsidRDefault="005F1CD4" w:rsidP="005F1CD4">
      <w:pPr>
        <w:spacing w:after="0" w:line="480" w:lineRule="auto"/>
        <w:rPr>
          <w:rFonts w:ascii="Arial" w:eastAsia="Calibri" w:hAnsi="Arial" w:cs="Arial"/>
          <w:b/>
          <w:sz w:val="24"/>
          <w:szCs w:val="24"/>
        </w:rPr>
      </w:pPr>
    </w:p>
    <w:p w:rsidR="005F1CD4" w:rsidRPr="0064403F" w:rsidRDefault="005F1CD4" w:rsidP="005F1CD4">
      <w:pPr>
        <w:spacing w:after="0" w:line="480" w:lineRule="auto"/>
        <w:rPr>
          <w:rFonts w:ascii="Arial" w:eastAsia="Calibri" w:hAnsi="Arial" w:cs="Arial"/>
          <w:b/>
          <w:sz w:val="24"/>
          <w:szCs w:val="24"/>
        </w:rPr>
      </w:pPr>
      <w:r>
        <w:rPr>
          <w:rFonts w:ascii="Arial" w:eastAsia="Calibri" w:hAnsi="Arial" w:cs="Arial"/>
          <w:b/>
          <w:sz w:val="24"/>
          <w:szCs w:val="24"/>
        </w:rPr>
        <w:t>Coram:</w:t>
      </w:r>
      <w:r>
        <w:rPr>
          <w:rFonts w:ascii="Arial" w:eastAsia="Calibri" w:hAnsi="Arial" w:cs="Arial"/>
          <w:b/>
          <w:sz w:val="24"/>
          <w:szCs w:val="24"/>
        </w:rPr>
        <w:tab/>
      </w:r>
      <w:r w:rsidRPr="006F16D6">
        <w:rPr>
          <w:rFonts w:ascii="Arial" w:eastAsia="Calibri" w:hAnsi="Arial" w:cs="Arial"/>
          <w:sz w:val="24"/>
          <w:szCs w:val="24"/>
        </w:rPr>
        <w:t>SHIVUTE CJ, CHOMBA AJA, and MOKGORO AJA</w:t>
      </w:r>
    </w:p>
    <w:p w:rsidR="005F1CD4" w:rsidRPr="0064403F" w:rsidRDefault="005F1CD4" w:rsidP="005F1CD4">
      <w:pPr>
        <w:spacing w:after="0" w:line="480" w:lineRule="auto"/>
        <w:rPr>
          <w:rFonts w:ascii="Arial" w:eastAsia="Calibri" w:hAnsi="Arial" w:cs="Arial"/>
          <w:b/>
          <w:sz w:val="24"/>
          <w:szCs w:val="24"/>
          <w:lang w:val="en-ZW"/>
        </w:rPr>
      </w:pPr>
      <w:r>
        <w:rPr>
          <w:rFonts w:ascii="Arial" w:eastAsia="Calibri" w:hAnsi="Arial" w:cs="Arial"/>
          <w:b/>
          <w:sz w:val="24"/>
          <w:szCs w:val="24"/>
          <w:lang w:val="en-ZW"/>
        </w:rPr>
        <w:t>Heard:</w:t>
      </w:r>
      <w:r>
        <w:rPr>
          <w:rFonts w:ascii="Arial" w:eastAsia="Calibri" w:hAnsi="Arial" w:cs="Arial"/>
          <w:b/>
          <w:sz w:val="24"/>
          <w:szCs w:val="24"/>
          <w:lang w:val="en-ZW"/>
        </w:rPr>
        <w:tab/>
        <w:t>3 OCTOBER 2018</w:t>
      </w:r>
    </w:p>
    <w:p w:rsidR="005F1CD4" w:rsidRPr="0064403F" w:rsidRDefault="005F1CD4" w:rsidP="005F1CD4">
      <w:pPr>
        <w:spacing w:after="0" w:line="480" w:lineRule="auto"/>
        <w:rPr>
          <w:rFonts w:ascii="Arial" w:eastAsia="Calibri" w:hAnsi="Arial" w:cs="Arial"/>
          <w:b/>
          <w:sz w:val="24"/>
          <w:szCs w:val="24"/>
          <w:lang w:val="en-ZW"/>
        </w:rPr>
      </w:pPr>
      <w:r>
        <w:rPr>
          <w:rFonts w:ascii="Arial" w:eastAsia="Calibri" w:hAnsi="Arial" w:cs="Arial"/>
          <w:b/>
          <w:sz w:val="24"/>
          <w:szCs w:val="24"/>
          <w:lang w:val="en-ZW"/>
        </w:rPr>
        <w:t>Delivered:</w:t>
      </w:r>
      <w:r>
        <w:rPr>
          <w:rFonts w:ascii="Arial" w:eastAsia="Calibri" w:hAnsi="Arial" w:cs="Arial"/>
          <w:b/>
          <w:sz w:val="24"/>
          <w:szCs w:val="24"/>
          <w:lang w:val="en-ZW"/>
        </w:rPr>
        <w:tab/>
      </w:r>
      <w:r w:rsidR="000016BD">
        <w:rPr>
          <w:rFonts w:ascii="Arial" w:eastAsia="Calibri" w:hAnsi="Arial" w:cs="Arial"/>
          <w:b/>
          <w:sz w:val="24"/>
          <w:szCs w:val="24"/>
          <w:lang w:val="en-ZW"/>
        </w:rPr>
        <w:t xml:space="preserve">28 </w:t>
      </w:r>
      <w:r w:rsidR="007F69CA">
        <w:rPr>
          <w:rFonts w:ascii="Arial" w:eastAsia="Calibri" w:hAnsi="Arial" w:cs="Arial"/>
          <w:b/>
          <w:sz w:val="24"/>
          <w:szCs w:val="24"/>
          <w:lang w:val="en-ZW"/>
        </w:rPr>
        <w:t>FEBRUARY</w:t>
      </w:r>
      <w:r w:rsidR="000016BD">
        <w:rPr>
          <w:rFonts w:ascii="Arial" w:eastAsia="Calibri" w:hAnsi="Arial" w:cs="Arial"/>
          <w:b/>
          <w:sz w:val="24"/>
          <w:szCs w:val="24"/>
          <w:lang w:val="en-ZW"/>
        </w:rPr>
        <w:t xml:space="preserve"> 2019</w:t>
      </w:r>
    </w:p>
    <w:p w:rsidR="005F1CD4" w:rsidRDefault="005F1CD4" w:rsidP="005F1CD4">
      <w:pPr>
        <w:rPr>
          <w:sz w:val="24"/>
          <w:szCs w:val="24"/>
        </w:rPr>
      </w:pPr>
    </w:p>
    <w:p w:rsidR="005F1CD4" w:rsidRDefault="005F1CD4" w:rsidP="005F1CD4">
      <w:pPr>
        <w:spacing w:line="360" w:lineRule="auto"/>
        <w:jc w:val="both"/>
        <w:rPr>
          <w:rFonts w:ascii="Arial" w:hAnsi="Arial" w:cs="Arial"/>
          <w:sz w:val="24"/>
          <w:szCs w:val="24"/>
        </w:rPr>
      </w:pPr>
      <w:r w:rsidRPr="00B12F73">
        <w:rPr>
          <w:rFonts w:ascii="Arial" w:hAnsi="Arial" w:cs="Arial"/>
          <w:b/>
          <w:sz w:val="24"/>
          <w:szCs w:val="24"/>
        </w:rPr>
        <w:t>Summary:</w:t>
      </w:r>
      <w:r w:rsidRPr="00B12F73">
        <w:rPr>
          <w:rFonts w:ascii="Arial" w:hAnsi="Arial" w:cs="Arial"/>
          <w:sz w:val="24"/>
          <w:szCs w:val="24"/>
        </w:rPr>
        <w:t xml:space="preserve"> The </w:t>
      </w:r>
      <w:r>
        <w:rPr>
          <w:rFonts w:ascii="Arial" w:hAnsi="Arial" w:cs="Arial"/>
          <w:sz w:val="24"/>
          <w:szCs w:val="24"/>
        </w:rPr>
        <w:t>a</w:t>
      </w:r>
      <w:r w:rsidRPr="00B12F73">
        <w:rPr>
          <w:rFonts w:ascii="Arial" w:hAnsi="Arial" w:cs="Arial"/>
          <w:sz w:val="24"/>
          <w:szCs w:val="24"/>
        </w:rPr>
        <w:t xml:space="preserve">ppellant, Mr. Herman Konrad, instituted motion proceedings </w:t>
      </w:r>
      <w:r>
        <w:rPr>
          <w:rFonts w:ascii="Arial" w:hAnsi="Arial" w:cs="Arial"/>
          <w:sz w:val="24"/>
          <w:szCs w:val="24"/>
        </w:rPr>
        <w:t xml:space="preserve">in the High Court </w:t>
      </w:r>
      <w:r w:rsidRPr="00B12F73">
        <w:rPr>
          <w:rFonts w:ascii="Arial" w:hAnsi="Arial" w:cs="Arial"/>
          <w:sz w:val="24"/>
          <w:szCs w:val="24"/>
        </w:rPr>
        <w:t xml:space="preserve">seeking </w:t>
      </w:r>
      <w:r>
        <w:rPr>
          <w:rFonts w:ascii="Arial" w:hAnsi="Arial" w:cs="Arial"/>
          <w:sz w:val="24"/>
          <w:szCs w:val="24"/>
        </w:rPr>
        <w:t xml:space="preserve">for an order </w:t>
      </w:r>
      <w:r w:rsidRPr="00B12F73">
        <w:rPr>
          <w:rFonts w:ascii="Arial" w:hAnsi="Arial" w:cs="Arial"/>
          <w:sz w:val="24"/>
          <w:szCs w:val="24"/>
        </w:rPr>
        <w:t>declar</w:t>
      </w:r>
      <w:r>
        <w:rPr>
          <w:rFonts w:ascii="Arial" w:hAnsi="Arial" w:cs="Arial"/>
          <w:sz w:val="24"/>
          <w:szCs w:val="24"/>
        </w:rPr>
        <w:t xml:space="preserve">ing </w:t>
      </w:r>
      <w:r w:rsidRPr="00B12F73">
        <w:rPr>
          <w:rFonts w:ascii="Arial" w:hAnsi="Arial" w:cs="Arial"/>
          <w:sz w:val="24"/>
          <w:szCs w:val="24"/>
        </w:rPr>
        <w:t>his marriage to Ms. Shanika Ndapanda</w:t>
      </w:r>
      <w:r>
        <w:rPr>
          <w:rFonts w:ascii="Arial" w:hAnsi="Arial" w:cs="Arial"/>
          <w:sz w:val="24"/>
          <w:szCs w:val="24"/>
        </w:rPr>
        <w:t>,</w:t>
      </w:r>
      <w:r w:rsidRPr="00B12F73">
        <w:rPr>
          <w:rFonts w:ascii="Arial" w:hAnsi="Arial" w:cs="Arial"/>
          <w:sz w:val="24"/>
          <w:szCs w:val="24"/>
        </w:rPr>
        <w:t xml:space="preserve"> the </w:t>
      </w:r>
      <w:r>
        <w:rPr>
          <w:rFonts w:ascii="Arial" w:hAnsi="Arial" w:cs="Arial"/>
          <w:sz w:val="24"/>
          <w:szCs w:val="24"/>
        </w:rPr>
        <w:t>r</w:t>
      </w:r>
      <w:r w:rsidRPr="00B12F73">
        <w:rPr>
          <w:rFonts w:ascii="Arial" w:hAnsi="Arial" w:cs="Arial"/>
          <w:sz w:val="24"/>
          <w:szCs w:val="24"/>
        </w:rPr>
        <w:t>espondent</w:t>
      </w:r>
      <w:r>
        <w:rPr>
          <w:rFonts w:ascii="Arial" w:hAnsi="Arial" w:cs="Arial"/>
          <w:sz w:val="24"/>
          <w:szCs w:val="24"/>
        </w:rPr>
        <w:t>, null and void</w:t>
      </w:r>
      <w:r w:rsidRPr="00B12F73">
        <w:rPr>
          <w:rFonts w:ascii="Arial" w:hAnsi="Arial" w:cs="Arial"/>
          <w:sz w:val="24"/>
          <w:szCs w:val="24"/>
        </w:rPr>
        <w:t xml:space="preserve">. </w:t>
      </w:r>
      <w:r>
        <w:rPr>
          <w:rFonts w:ascii="Arial" w:hAnsi="Arial" w:cs="Arial"/>
          <w:sz w:val="24"/>
          <w:szCs w:val="24"/>
        </w:rPr>
        <w:t xml:space="preserve">The appellant alleged that at the time he married the respondent, he was already in an existing marriage to his ‘first wife’. The first wife also filed an affidavit supporting some of the allegations made by the appellant. </w:t>
      </w:r>
      <w:r w:rsidRPr="00B12F73">
        <w:rPr>
          <w:rFonts w:ascii="Arial" w:hAnsi="Arial" w:cs="Arial"/>
          <w:sz w:val="24"/>
          <w:szCs w:val="24"/>
        </w:rPr>
        <w:t>The respondent</w:t>
      </w:r>
      <w:r>
        <w:rPr>
          <w:rFonts w:ascii="Arial" w:hAnsi="Arial" w:cs="Arial"/>
          <w:sz w:val="24"/>
          <w:szCs w:val="24"/>
        </w:rPr>
        <w:t xml:space="preserve"> f</w:t>
      </w:r>
      <w:r w:rsidRPr="00B12F73">
        <w:rPr>
          <w:rFonts w:ascii="Arial" w:hAnsi="Arial" w:cs="Arial"/>
          <w:sz w:val="24"/>
          <w:szCs w:val="24"/>
        </w:rPr>
        <w:t xml:space="preserve">iled an answering affidavit in which she disputed some material </w:t>
      </w:r>
      <w:r>
        <w:rPr>
          <w:rFonts w:ascii="Arial" w:hAnsi="Arial" w:cs="Arial"/>
          <w:sz w:val="24"/>
          <w:szCs w:val="24"/>
        </w:rPr>
        <w:t xml:space="preserve">allegations </w:t>
      </w:r>
      <w:r>
        <w:rPr>
          <w:rFonts w:ascii="Arial" w:hAnsi="Arial" w:cs="Arial"/>
          <w:sz w:val="24"/>
          <w:szCs w:val="24"/>
        </w:rPr>
        <w:lastRenderedPageBreak/>
        <w:t>made in the appellant’s papers</w:t>
      </w:r>
      <w:r w:rsidRPr="00B12F73">
        <w:rPr>
          <w:rFonts w:ascii="Arial" w:hAnsi="Arial" w:cs="Arial"/>
          <w:sz w:val="24"/>
          <w:szCs w:val="24"/>
        </w:rPr>
        <w:t xml:space="preserve">. Among other </w:t>
      </w:r>
      <w:r>
        <w:rPr>
          <w:rFonts w:ascii="Arial" w:hAnsi="Arial" w:cs="Arial"/>
          <w:sz w:val="24"/>
          <w:szCs w:val="24"/>
        </w:rPr>
        <w:t xml:space="preserve">issues in </w:t>
      </w:r>
      <w:r w:rsidRPr="00B12F73">
        <w:rPr>
          <w:rFonts w:ascii="Arial" w:hAnsi="Arial" w:cs="Arial"/>
          <w:sz w:val="24"/>
          <w:szCs w:val="24"/>
        </w:rPr>
        <w:t xml:space="preserve">dispute, the respondent contended </w:t>
      </w:r>
      <w:r>
        <w:rPr>
          <w:rFonts w:ascii="Arial" w:hAnsi="Arial" w:cs="Arial"/>
          <w:sz w:val="24"/>
          <w:szCs w:val="24"/>
        </w:rPr>
        <w:t>that at the time she married the appellant, she was not aware that he was already married</w:t>
      </w:r>
      <w:r w:rsidRPr="00B12F73">
        <w:rPr>
          <w:rFonts w:ascii="Arial" w:hAnsi="Arial" w:cs="Arial"/>
          <w:sz w:val="24"/>
          <w:szCs w:val="24"/>
        </w:rPr>
        <w:t>.</w:t>
      </w:r>
    </w:p>
    <w:p w:rsidR="005B01ED" w:rsidRDefault="005B01ED" w:rsidP="005B01ED">
      <w:pPr>
        <w:spacing w:after="0" w:line="360" w:lineRule="auto"/>
        <w:jc w:val="both"/>
        <w:rPr>
          <w:rFonts w:ascii="Arial" w:hAnsi="Arial" w:cs="Arial"/>
          <w:sz w:val="24"/>
          <w:szCs w:val="24"/>
        </w:rPr>
      </w:pPr>
    </w:p>
    <w:p w:rsidR="005F1CD4" w:rsidRDefault="005F1CD4" w:rsidP="005F1CD4">
      <w:pPr>
        <w:spacing w:line="360" w:lineRule="auto"/>
        <w:jc w:val="both"/>
        <w:rPr>
          <w:rFonts w:ascii="Arial" w:hAnsi="Arial" w:cs="Arial"/>
          <w:sz w:val="24"/>
          <w:szCs w:val="24"/>
        </w:rPr>
      </w:pPr>
      <w:r w:rsidRPr="00B12F73">
        <w:rPr>
          <w:rFonts w:ascii="Arial" w:hAnsi="Arial" w:cs="Arial"/>
          <w:sz w:val="24"/>
          <w:szCs w:val="24"/>
        </w:rPr>
        <w:t xml:space="preserve"> After considering the </w:t>
      </w:r>
      <w:r>
        <w:rPr>
          <w:rFonts w:ascii="Arial" w:hAnsi="Arial" w:cs="Arial"/>
          <w:sz w:val="24"/>
          <w:szCs w:val="24"/>
        </w:rPr>
        <w:t>averments</w:t>
      </w:r>
      <w:r w:rsidRPr="00B12F73">
        <w:rPr>
          <w:rFonts w:ascii="Arial" w:hAnsi="Arial" w:cs="Arial"/>
          <w:sz w:val="24"/>
          <w:szCs w:val="24"/>
        </w:rPr>
        <w:t xml:space="preserve"> </w:t>
      </w:r>
      <w:r>
        <w:rPr>
          <w:rFonts w:ascii="Arial" w:hAnsi="Arial" w:cs="Arial"/>
          <w:sz w:val="24"/>
          <w:szCs w:val="24"/>
        </w:rPr>
        <w:t>made i</w:t>
      </w:r>
      <w:r w:rsidRPr="00B12F73">
        <w:rPr>
          <w:rFonts w:ascii="Arial" w:hAnsi="Arial" w:cs="Arial"/>
          <w:sz w:val="24"/>
          <w:szCs w:val="24"/>
        </w:rPr>
        <w:t xml:space="preserve">n the affidavits, the </w:t>
      </w:r>
      <w:r>
        <w:rPr>
          <w:rFonts w:ascii="Arial" w:hAnsi="Arial" w:cs="Arial"/>
          <w:sz w:val="24"/>
          <w:szCs w:val="24"/>
        </w:rPr>
        <w:t xml:space="preserve">High Court found </w:t>
      </w:r>
      <w:r w:rsidRPr="00B12F73">
        <w:rPr>
          <w:rFonts w:ascii="Arial" w:hAnsi="Arial" w:cs="Arial"/>
          <w:sz w:val="24"/>
          <w:szCs w:val="24"/>
        </w:rPr>
        <w:t>that the respondent’s denial</w:t>
      </w:r>
      <w:r>
        <w:rPr>
          <w:rFonts w:ascii="Arial" w:hAnsi="Arial" w:cs="Arial"/>
          <w:sz w:val="24"/>
          <w:szCs w:val="24"/>
        </w:rPr>
        <w:t>s</w:t>
      </w:r>
      <w:r w:rsidRPr="00B12F73">
        <w:rPr>
          <w:rFonts w:ascii="Arial" w:hAnsi="Arial" w:cs="Arial"/>
          <w:sz w:val="24"/>
          <w:szCs w:val="24"/>
        </w:rPr>
        <w:t xml:space="preserve"> </w:t>
      </w:r>
      <w:r>
        <w:rPr>
          <w:rFonts w:ascii="Arial" w:hAnsi="Arial" w:cs="Arial"/>
          <w:sz w:val="24"/>
          <w:szCs w:val="24"/>
        </w:rPr>
        <w:t xml:space="preserve">raised a </w:t>
      </w:r>
      <w:r w:rsidRPr="00B12F73">
        <w:rPr>
          <w:rFonts w:ascii="Arial" w:hAnsi="Arial" w:cs="Arial"/>
          <w:sz w:val="24"/>
          <w:szCs w:val="24"/>
        </w:rPr>
        <w:t xml:space="preserve">genuine </w:t>
      </w:r>
      <w:r>
        <w:rPr>
          <w:rFonts w:ascii="Arial" w:hAnsi="Arial" w:cs="Arial"/>
          <w:sz w:val="24"/>
          <w:szCs w:val="24"/>
        </w:rPr>
        <w:t xml:space="preserve">dispute of </w:t>
      </w:r>
      <w:r w:rsidRPr="00B12F73">
        <w:rPr>
          <w:rFonts w:ascii="Arial" w:hAnsi="Arial" w:cs="Arial"/>
          <w:sz w:val="24"/>
          <w:szCs w:val="24"/>
        </w:rPr>
        <w:t>facts. The court further found that the ap</w:t>
      </w:r>
      <w:r>
        <w:rPr>
          <w:rFonts w:ascii="Arial" w:hAnsi="Arial" w:cs="Arial"/>
          <w:sz w:val="24"/>
          <w:szCs w:val="24"/>
        </w:rPr>
        <w:t xml:space="preserve">pellant </w:t>
      </w:r>
      <w:r w:rsidRPr="00B12F73">
        <w:rPr>
          <w:rFonts w:ascii="Arial" w:hAnsi="Arial" w:cs="Arial"/>
          <w:sz w:val="24"/>
          <w:szCs w:val="24"/>
        </w:rPr>
        <w:t xml:space="preserve">knew in advance that there would be </w:t>
      </w:r>
      <w:r>
        <w:rPr>
          <w:rFonts w:ascii="Arial" w:hAnsi="Arial" w:cs="Arial"/>
          <w:sz w:val="24"/>
          <w:szCs w:val="24"/>
        </w:rPr>
        <w:t xml:space="preserve">a </w:t>
      </w:r>
      <w:r w:rsidRPr="00B12F73">
        <w:rPr>
          <w:rFonts w:ascii="Arial" w:hAnsi="Arial" w:cs="Arial"/>
          <w:sz w:val="24"/>
          <w:szCs w:val="24"/>
        </w:rPr>
        <w:t xml:space="preserve">genuine and material dispute of fact. Nonetheless, the </w:t>
      </w:r>
      <w:r>
        <w:rPr>
          <w:rFonts w:ascii="Arial" w:hAnsi="Arial" w:cs="Arial"/>
          <w:sz w:val="24"/>
          <w:szCs w:val="24"/>
        </w:rPr>
        <w:t xml:space="preserve">appellant </w:t>
      </w:r>
      <w:r w:rsidRPr="00B12F73">
        <w:rPr>
          <w:rFonts w:ascii="Arial" w:hAnsi="Arial" w:cs="Arial"/>
          <w:sz w:val="24"/>
          <w:szCs w:val="24"/>
        </w:rPr>
        <w:t xml:space="preserve">approached the court </w:t>
      </w:r>
      <w:r>
        <w:rPr>
          <w:rFonts w:ascii="Arial" w:hAnsi="Arial" w:cs="Arial"/>
          <w:sz w:val="24"/>
          <w:szCs w:val="24"/>
        </w:rPr>
        <w:t>by way of motion proceedings</w:t>
      </w:r>
      <w:r w:rsidRPr="00B12F73">
        <w:rPr>
          <w:rFonts w:ascii="Arial" w:hAnsi="Arial" w:cs="Arial"/>
          <w:sz w:val="24"/>
          <w:szCs w:val="24"/>
        </w:rPr>
        <w:t>, thereby running the risk of having his case dismissed with costs. T</w:t>
      </w:r>
      <w:r>
        <w:rPr>
          <w:rFonts w:ascii="Arial" w:hAnsi="Arial" w:cs="Arial"/>
          <w:sz w:val="24"/>
          <w:szCs w:val="24"/>
        </w:rPr>
        <w:t xml:space="preserve">he application was accordingly dismissed with costs. </w:t>
      </w:r>
    </w:p>
    <w:p w:rsidR="005B01ED" w:rsidRDefault="005B01ED" w:rsidP="005B01ED">
      <w:pPr>
        <w:spacing w:after="0" w:line="360" w:lineRule="auto"/>
        <w:jc w:val="both"/>
        <w:rPr>
          <w:rFonts w:ascii="Arial" w:hAnsi="Arial" w:cs="Arial"/>
          <w:sz w:val="24"/>
          <w:szCs w:val="24"/>
        </w:rPr>
      </w:pPr>
    </w:p>
    <w:p w:rsidR="005F1CD4" w:rsidRDefault="005F1CD4" w:rsidP="005F1CD4">
      <w:pPr>
        <w:spacing w:line="360" w:lineRule="auto"/>
        <w:jc w:val="both"/>
        <w:rPr>
          <w:rFonts w:ascii="Arial" w:hAnsi="Arial" w:cs="Arial"/>
          <w:sz w:val="24"/>
          <w:szCs w:val="24"/>
        </w:rPr>
      </w:pPr>
      <w:r w:rsidRPr="00B12F73">
        <w:rPr>
          <w:rFonts w:ascii="Arial" w:hAnsi="Arial" w:cs="Arial"/>
          <w:sz w:val="24"/>
          <w:szCs w:val="24"/>
        </w:rPr>
        <w:t xml:space="preserve">Aggrieved by the dismissal of his application, the </w:t>
      </w:r>
      <w:r>
        <w:rPr>
          <w:rFonts w:ascii="Arial" w:hAnsi="Arial" w:cs="Arial"/>
          <w:sz w:val="24"/>
          <w:szCs w:val="24"/>
        </w:rPr>
        <w:t>appellant noted an appeal to t</w:t>
      </w:r>
      <w:r w:rsidRPr="00B12F73">
        <w:rPr>
          <w:rFonts w:ascii="Arial" w:hAnsi="Arial" w:cs="Arial"/>
          <w:sz w:val="24"/>
          <w:szCs w:val="24"/>
        </w:rPr>
        <w:t xml:space="preserve">he Supreme Court </w:t>
      </w:r>
      <w:r>
        <w:rPr>
          <w:rFonts w:ascii="Arial" w:hAnsi="Arial" w:cs="Arial"/>
          <w:sz w:val="24"/>
          <w:szCs w:val="24"/>
        </w:rPr>
        <w:t xml:space="preserve">against that decision. </w:t>
      </w:r>
      <w:r w:rsidRPr="00B12F73">
        <w:rPr>
          <w:rFonts w:ascii="Arial" w:hAnsi="Arial" w:cs="Arial"/>
          <w:sz w:val="24"/>
          <w:szCs w:val="24"/>
        </w:rPr>
        <w:t>On appeal, the issues for determination remain</w:t>
      </w:r>
      <w:r>
        <w:rPr>
          <w:rFonts w:ascii="Arial" w:hAnsi="Arial" w:cs="Arial"/>
          <w:sz w:val="24"/>
          <w:szCs w:val="24"/>
        </w:rPr>
        <w:t>ed</w:t>
      </w:r>
      <w:r w:rsidRPr="00B12F73">
        <w:rPr>
          <w:rFonts w:ascii="Arial" w:hAnsi="Arial" w:cs="Arial"/>
          <w:sz w:val="24"/>
          <w:szCs w:val="24"/>
        </w:rPr>
        <w:t xml:space="preserve"> unchanged. The first </w:t>
      </w:r>
      <w:r>
        <w:rPr>
          <w:rFonts w:ascii="Arial" w:hAnsi="Arial" w:cs="Arial"/>
          <w:sz w:val="24"/>
          <w:szCs w:val="24"/>
        </w:rPr>
        <w:t xml:space="preserve">ground laments </w:t>
      </w:r>
      <w:r w:rsidRPr="00B12F73">
        <w:rPr>
          <w:rFonts w:ascii="Arial" w:hAnsi="Arial" w:cs="Arial"/>
          <w:sz w:val="24"/>
          <w:szCs w:val="24"/>
        </w:rPr>
        <w:t xml:space="preserve">the dismissal of the </w:t>
      </w:r>
      <w:r>
        <w:rPr>
          <w:rFonts w:ascii="Arial" w:hAnsi="Arial" w:cs="Arial"/>
          <w:sz w:val="24"/>
          <w:szCs w:val="24"/>
        </w:rPr>
        <w:t xml:space="preserve">application with </w:t>
      </w:r>
      <w:r w:rsidRPr="00B12F73">
        <w:rPr>
          <w:rFonts w:ascii="Arial" w:hAnsi="Arial" w:cs="Arial"/>
          <w:sz w:val="24"/>
          <w:szCs w:val="24"/>
        </w:rPr>
        <w:t>costs. The second</w:t>
      </w:r>
      <w:r>
        <w:rPr>
          <w:rFonts w:ascii="Arial" w:hAnsi="Arial" w:cs="Arial"/>
          <w:sz w:val="24"/>
          <w:szCs w:val="24"/>
        </w:rPr>
        <w:t xml:space="preserve"> issue concerned</w:t>
      </w:r>
      <w:r w:rsidRPr="00B12F73">
        <w:rPr>
          <w:rFonts w:ascii="Arial" w:hAnsi="Arial" w:cs="Arial"/>
          <w:sz w:val="24"/>
          <w:szCs w:val="24"/>
        </w:rPr>
        <w:t xml:space="preserve"> the validity of the </w:t>
      </w:r>
      <w:r>
        <w:rPr>
          <w:rFonts w:ascii="Arial" w:hAnsi="Arial" w:cs="Arial"/>
          <w:sz w:val="24"/>
          <w:szCs w:val="24"/>
        </w:rPr>
        <w:t xml:space="preserve">purported </w:t>
      </w:r>
      <w:r w:rsidRPr="00B12F73">
        <w:rPr>
          <w:rFonts w:ascii="Arial" w:hAnsi="Arial" w:cs="Arial"/>
          <w:sz w:val="24"/>
          <w:szCs w:val="24"/>
        </w:rPr>
        <w:t xml:space="preserve">second marriage. </w:t>
      </w:r>
    </w:p>
    <w:p w:rsidR="005B01ED" w:rsidRDefault="005B01ED" w:rsidP="005B01ED">
      <w:pPr>
        <w:spacing w:after="0" w:line="360" w:lineRule="auto"/>
        <w:jc w:val="both"/>
        <w:rPr>
          <w:rFonts w:ascii="Arial" w:hAnsi="Arial" w:cs="Arial"/>
          <w:sz w:val="24"/>
          <w:szCs w:val="24"/>
        </w:rPr>
      </w:pPr>
    </w:p>
    <w:p w:rsidR="005F1CD4" w:rsidRDefault="005F1CD4" w:rsidP="005F1CD4">
      <w:pPr>
        <w:spacing w:line="360" w:lineRule="auto"/>
        <w:jc w:val="both"/>
        <w:rPr>
          <w:rFonts w:ascii="Arial" w:hAnsi="Arial" w:cs="Arial"/>
          <w:sz w:val="24"/>
          <w:szCs w:val="24"/>
        </w:rPr>
      </w:pPr>
      <w:r w:rsidRPr="00B12F73">
        <w:rPr>
          <w:rFonts w:ascii="Arial" w:hAnsi="Arial" w:cs="Arial"/>
          <w:sz w:val="24"/>
          <w:szCs w:val="24"/>
        </w:rPr>
        <w:t xml:space="preserve">The </w:t>
      </w:r>
      <w:r>
        <w:rPr>
          <w:rFonts w:ascii="Arial" w:hAnsi="Arial" w:cs="Arial"/>
          <w:sz w:val="24"/>
          <w:szCs w:val="24"/>
        </w:rPr>
        <w:t xml:space="preserve">appellant submitted that by dismissing the application due to </w:t>
      </w:r>
      <w:r w:rsidR="007C62F6">
        <w:rPr>
          <w:rFonts w:ascii="Arial" w:hAnsi="Arial" w:cs="Arial"/>
          <w:sz w:val="24"/>
          <w:szCs w:val="24"/>
        </w:rPr>
        <w:t xml:space="preserve">factual </w:t>
      </w:r>
      <w:r>
        <w:rPr>
          <w:rFonts w:ascii="Arial" w:hAnsi="Arial" w:cs="Arial"/>
          <w:sz w:val="24"/>
          <w:szCs w:val="24"/>
        </w:rPr>
        <w:t>disputes</w:t>
      </w:r>
      <w:r w:rsidR="007C62F6">
        <w:rPr>
          <w:rFonts w:ascii="Arial" w:hAnsi="Arial" w:cs="Arial"/>
          <w:sz w:val="24"/>
          <w:szCs w:val="24"/>
        </w:rPr>
        <w:t xml:space="preserve">, </w:t>
      </w:r>
      <w:r>
        <w:rPr>
          <w:rFonts w:ascii="Arial" w:hAnsi="Arial" w:cs="Arial"/>
          <w:sz w:val="24"/>
          <w:szCs w:val="24"/>
        </w:rPr>
        <w:t xml:space="preserve">the court </w:t>
      </w:r>
      <w:r w:rsidRPr="00166389">
        <w:rPr>
          <w:rFonts w:ascii="Arial" w:hAnsi="Arial" w:cs="Arial"/>
          <w:i/>
          <w:sz w:val="24"/>
          <w:szCs w:val="24"/>
        </w:rPr>
        <w:t>a quo</w:t>
      </w:r>
      <w:r>
        <w:rPr>
          <w:rFonts w:ascii="Arial" w:hAnsi="Arial" w:cs="Arial"/>
          <w:sz w:val="24"/>
          <w:szCs w:val="24"/>
        </w:rPr>
        <w:t xml:space="preserve"> failed to exercise its powers in terms of the rules of the High Court to </w:t>
      </w:r>
      <w:r w:rsidRPr="00B12F73">
        <w:rPr>
          <w:rFonts w:ascii="Arial" w:hAnsi="Arial" w:cs="Arial"/>
          <w:sz w:val="24"/>
          <w:szCs w:val="24"/>
        </w:rPr>
        <w:t>facilitate the resolution of the issues justly, speedily, ef</w:t>
      </w:r>
      <w:r w:rsidR="005B01ED">
        <w:rPr>
          <w:rFonts w:ascii="Arial" w:hAnsi="Arial" w:cs="Arial"/>
          <w:sz w:val="24"/>
          <w:szCs w:val="24"/>
        </w:rPr>
        <w:t>ficiently and cost effectively.</w:t>
      </w:r>
    </w:p>
    <w:p w:rsidR="005B01ED" w:rsidRDefault="005B01ED" w:rsidP="005B01ED">
      <w:pPr>
        <w:spacing w:after="0" w:line="360" w:lineRule="auto"/>
        <w:jc w:val="both"/>
        <w:rPr>
          <w:rFonts w:ascii="Arial" w:hAnsi="Arial" w:cs="Arial"/>
          <w:sz w:val="24"/>
          <w:szCs w:val="24"/>
        </w:rPr>
      </w:pPr>
    </w:p>
    <w:p w:rsidR="005F1CD4" w:rsidRDefault="005F1CD4" w:rsidP="005F1CD4">
      <w:pPr>
        <w:spacing w:line="360" w:lineRule="auto"/>
        <w:jc w:val="both"/>
        <w:rPr>
          <w:rFonts w:ascii="Arial" w:hAnsi="Arial" w:cs="Arial"/>
          <w:sz w:val="24"/>
          <w:szCs w:val="24"/>
        </w:rPr>
      </w:pPr>
      <w:r w:rsidRPr="00B12F73">
        <w:rPr>
          <w:rFonts w:ascii="Arial" w:hAnsi="Arial" w:cs="Arial"/>
          <w:sz w:val="24"/>
          <w:szCs w:val="24"/>
        </w:rPr>
        <w:t xml:space="preserve">The </w:t>
      </w:r>
      <w:r>
        <w:rPr>
          <w:rFonts w:ascii="Arial" w:hAnsi="Arial" w:cs="Arial"/>
          <w:sz w:val="24"/>
          <w:szCs w:val="24"/>
        </w:rPr>
        <w:t>a</w:t>
      </w:r>
      <w:r w:rsidRPr="00B12F73">
        <w:rPr>
          <w:rFonts w:ascii="Arial" w:hAnsi="Arial" w:cs="Arial"/>
          <w:sz w:val="24"/>
          <w:szCs w:val="24"/>
        </w:rPr>
        <w:t>ppe</w:t>
      </w:r>
      <w:r>
        <w:rPr>
          <w:rFonts w:ascii="Arial" w:hAnsi="Arial" w:cs="Arial"/>
          <w:sz w:val="24"/>
          <w:szCs w:val="24"/>
        </w:rPr>
        <w:t>a</w:t>
      </w:r>
      <w:r w:rsidRPr="00B12F73">
        <w:rPr>
          <w:rFonts w:ascii="Arial" w:hAnsi="Arial" w:cs="Arial"/>
          <w:sz w:val="24"/>
          <w:szCs w:val="24"/>
        </w:rPr>
        <w:t xml:space="preserve">l </w:t>
      </w:r>
      <w:r>
        <w:rPr>
          <w:rFonts w:ascii="Arial" w:hAnsi="Arial" w:cs="Arial"/>
          <w:sz w:val="24"/>
          <w:szCs w:val="24"/>
        </w:rPr>
        <w:t>was</w:t>
      </w:r>
      <w:r w:rsidRPr="00B12F73">
        <w:rPr>
          <w:rFonts w:ascii="Arial" w:hAnsi="Arial" w:cs="Arial"/>
          <w:sz w:val="24"/>
          <w:szCs w:val="24"/>
        </w:rPr>
        <w:t xml:space="preserve"> unopposed since the </w:t>
      </w:r>
      <w:r>
        <w:rPr>
          <w:rFonts w:ascii="Arial" w:hAnsi="Arial" w:cs="Arial"/>
          <w:sz w:val="24"/>
          <w:szCs w:val="24"/>
        </w:rPr>
        <w:t>r</w:t>
      </w:r>
      <w:r w:rsidRPr="00B12F73">
        <w:rPr>
          <w:rFonts w:ascii="Arial" w:hAnsi="Arial" w:cs="Arial"/>
          <w:sz w:val="24"/>
          <w:szCs w:val="24"/>
        </w:rPr>
        <w:t xml:space="preserve">espondent had withdrawn her </w:t>
      </w:r>
      <w:r>
        <w:rPr>
          <w:rFonts w:ascii="Arial" w:hAnsi="Arial" w:cs="Arial"/>
          <w:sz w:val="24"/>
          <w:szCs w:val="24"/>
        </w:rPr>
        <w:t>n</w:t>
      </w:r>
      <w:r w:rsidRPr="00B12F73">
        <w:rPr>
          <w:rFonts w:ascii="Arial" w:hAnsi="Arial" w:cs="Arial"/>
          <w:sz w:val="24"/>
          <w:szCs w:val="24"/>
        </w:rPr>
        <w:t xml:space="preserve">otice to </w:t>
      </w:r>
      <w:r>
        <w:rPr>
          <w:rFonts w:ascii="Arial" w:hAnsi="Arial" w:cs="Arial"/>
          <w:sz w:val="24"/>
          <w:szCs w:val="24"/>
        </w:rPr>
        <w:t>o</w:t>
      </w:r>
      <w:r w:rsidRPr="00B12F73">
        <w:rPr>
          <w:rFonts w:ascii="Arial" w:hAnsi="Arial" w:cs="Arial"/>
          <w:sz w:val="24"/>
          <w:szCs w:val="24"/>
        </w:rPr>
        <w:t xml:space="preserve">ppose </w:t>
      </w:r>
      <w:r>
        <w:rPr>
          <w:rFonts w:ascii="Arial" w:hAnsi="Arial" w:cs="Arial"/>
          <w:sz w:val="24"/>
          <w:szCs w:val="24"/>
        </w:rPr>
        <w:t xml:space="preserve">the appeal </w:t>
      </w:r>
      <w:r w:rsidRPr="00B12F73">
        <w:rPr>
          <w:rFonts w:ascii="Arial" w:hAnsi="Arial" w:cs="Arial"/>
          <w:sz w:val="24"/>
          <w:szCs w:val="24"/>
        </w:rPr>
        <w:t>on the eve of the hearing.</w:t>
      </w:r>
    </w:p>
    <w:p w:rsidR="005B01ED" w:rsidRPr="00B12F73" w:rsidRDefault="005B01ED" w:rsidP="005B01ED">
      <w:pPr>
        <w:spacing w:after="0" w:line="360" w:lineRule="auto"/>
        <w:jc w:val="both"/>
        <w:rPr>
          <w:rFonts w:ascii="Arial" w:hAnsi="Arial" w:cs="Arial"/>
          <w:sz w:val="24"/>
          <w:szCs w:val="24"/>
        </w:rPr>
      </w:pPr>
    </w:p>
    <w:p w:rsidR="005F1CD4" w:rsidRDefault="005F1CD4" w:rsidP="00C93115">
      <w:pPr>
        <w:spacing w:line="360" w:lineRule="auto"/>
        <w:jc w:val="both"/>
        <w:rPr>
          <w:rFonts w:ascii="Arial" w:hAnsi="Arial" w:cs="Arial"/>
          <w:sz w:val="24"/>
          <w:szCs w:val="24"/>
        </w:rPr>
      </w:pPr>
      <w:r w:rsidRPr="00B12F73">
        <w:rPr>
          <w:rFonts w:ascii="Arial" w:hAnsi="Arial" w:cs="Arial"/>
          <w:sz w:val="24"/>
          <w:szCs w:val="24"/>
        </w:rPr>
        <w:t xml:space="preserve">The averments </w:t>
      </w:r>
      <w:r>
        <w:rPr>
          <w:rFonts w:ascii="Arial" w:hAnsi="Arial" w:cs="Arial"/>
          <w:sz w:val="24"/>
          <w:szCs w:val="24"/>
        </w:rPr>
        <w:t xml:space="preserve">made by </w:t>
      </w:r>
      <w:r w:rsidRPr="00B12F73">
        <w:rPr>
          <w:rFonts w:ascii="Arial" w:hAnsi="Arial" w:cs="Arial"/>
          <w:sz w:val="24"/>
          <w:szCs w:val="24"/>
        </w:rPr>
        <w:t xml:space="preserve">the </w:t>
      </w:r>
      <w:r>
        <w:rPr>
          <w:rFonts w:ascii="Arial" w:hAnsi="Arial" w:cs="Arial"/>
          <w:sz w:val="24"/>
          <w:szCs w:val="24"/>
        </w:rPr>
        <w:t>r</w:t>
      </w:r>
      <w:r w:rsidRPr="00B12F73">
        <w:rPr>
          <w:rFonts w:ascii="Arial" w:hAnsi="Arial" w:cs="Arial"/>
          <w:sz w:val="24"/>
          <w:szCs w:val="24"/>
        </w:rPr>
        <w:t xml:space="preserve">espondent make a case for a putative marriage. However, there </w:t>
      </w:r>
      <w:r>
        <w:rPr>
          <w:rFonts w:ascii="Arial" w:hAnsi="Arial" w:cs="Arial"/>
          <w:sz w:val="24"/>
          <w:szCs w:val="24"/>
        </w:rPr>
        <w:t>wa</w:t>
      </w:r>
      <w:r w:rsidRPr="00B12F73">
        <w:rPr>
          <w:rFonts w:ascii="Arial" w:hAnsi="Arial" w:cs="Arial"/>
          <w:sz w:val="24"/>
          <w:szCs w:val="24"/>
        </w:rPr>
        <w:t xml:space="preserve">s no </w:t>
      </w:r>
      <w:r>
        <w:rPr>
          <w:rFonts w:ascii="Arial" w:hAnsi="Arial" w:cs="Arial"/>
          <w:sz w:val="24"/>
          <w:szCs w:val="24"/>
        </w:rPr>
        <w:t xml:space="preserve">formal application for a declaration </w:t>
      </w:r>
      <w:r w:rsidR="007C62F6">
        <w:rPr>
          <w:rFonts w:ascii="Arial" w:hAnsi="Arial" w:cs="Arial"/>
          <w:sz w:val="24"/>
          <w:szCs w:val="24"/>
        </w:rPr>
        <w:t>of</w:t>
      </w:r>
      <w:r>
        <w:rPr>
          <w:rFonts w:ascii="Arial" w:hAnsi="Arial" w:cs="Arial"/>
          <w:sz w:val="24"/>
          <w:szCs w:val="24"/>
        </w:rPr>
        <w:t xml:space="preserve"> a putative marriage nor was there a </w:t>
      </w:r>
      <w:r w:rsidRPr="00B12F73">
        <w:rPr>
          <w:rFonts w:ascii="Arial" w:hAnsi="Arial" w:cs="Arial"/>
          <w:sz w:val="24"/>
          <w:szCs w:val="24"/>
        </w:rPr>
        <w:t>c</w:t>
      </w:r>
      <w:r>
        <w:rPr>
          <w:rFonts w:ascii="Arial" w:hAnsi="Arial" w:cs="Arial"/>
          <w:sz w:val="24"/>
          <w:szCs w:val="24"/>
        </w:rPr>
        <w:t xml:space="preserve">ross appeal challenging the decision of the High Court not </w:t>
      </w:r>
      <w:r w:rsidR="00007AC1">
        <w:rPr>
          <w:rFonts w:ascii="Arial" w:hAnsi="Arial" w:cs="Arial"/>
          <w:sz w:val="24"/>
          <w:szCs w:val="24"/>
        </w:rPr>
        <w:t xml:space="preserve">to </w:t>
      </w:r>
      <w:r>
        <w:rPr>
          <w:rFonts w:ascii="Arial" w:hAnsi="Arial" w:cs="Arial"/>
          <w:sz w:val="24"/>
          <w:szCs w:val="24"/>
        </w:rPr>
        <w:t xml:space="preserve">have had decided the issue of a putative marriage. It was argued on behalf of the appellant that the issue could not therefore be decided by the Supreme Court. </w:t>
      </w:r>
    </w:p>
    <w:p w:rsidR="005B01ED" w:rsidRDefault="005B01ED" w:rsidP="005B01ED">
      <w:pPr>
        <w:spacing w:after="0" w:line="360" w:lineRule="auto"/>
        <w:jc w:val="both"/>
        <w:rPr>
          <w:rFonts w:ascii="Arial" w:hAnsi="Arial" w:cs="Arial"/>
          <w:sz w:val="24"/>
          <w:szCs w:val="24"/>
        </w:rPr>
      </w:pPr>
    </w:p>
    <w:p w:rsidR="005F1CD4" w:rsidRDefault="005F1CD4" w:rsidP="00C93115">
      <w:pPr>
        <w:spacing w:line="360" w:lineRule="auto"/>
        <w:jc w:val="both"/>
        <w:rPr>
          <w:rFonts w:ascii="Arial" w:hAnsi="Arial" w:cs="Arial"/>
          <w:sz w:val="24"/>
          <w:szCs w:val="24"/>
        </w:rPr>
      </w:pPr>
      <w:r w:rsidRPr="00B12F73">
        <w:rPr>
          <w:rFonts w:ascii="Arial" w:hAnsi="Arial" w:cs="Arial"/>
          <w:sz w:val="24"/>
          <w:szCs w:val="24"/>
        </w:rPr>
        <w:lastRenderedPageBreak/>
        <w:t>The Supreme Court agree</w:t>
      </w:r>
      <w:r>
        <w:rPr>
          <w:rFonts w:ascii="Arial" w:hAnsi="Arial" w:cs="Arial"/>
          <w:sz w:val="24"/>
          <w:szCs w:val="24"/>
        </w:rPr>
        <w:t>d</w:t>
      </w:r>
      <w:r w:rsidRPr="00B12F73">
        <w:rPr>
          <w:rFonts w:ascii="Arial" w:hAnsi="Arial" w:cs="Arial"/>
          <w:sz w:val="24"/>
          <w:szCs w:val="24"/>
        </w:rPr>
        <w:t xml:space="preserve"> with the findings of the </w:t>
      </w:r>
      <w:r>
        <w:rPr>
          <w:rFonts w:ascii="Arial" w:hAnsi="Arial" w:cs="Arial"/>
          <w:sz w:val="24"/>
          <w:szCs w:val="24"/>
        </w:rPr>
        <w:t>High C</w:t>
      </w:r>
      <w:r w:rsidRPr="00B12F73">
        <w:rPr>
          <w:rFonts w:ascii="Arial" w:hAnsi="Arial" w:cs="Arial"/>
          <w:sz w:val="24"/>
          <w:szCs w:val="24"/>
        </w:rPr>
        <w:t>ourt that there w</w:t>
      </w:r>
      <w:r>
        <w:rPr>
          <w:rFonts w:ascii="Arial" w:hAnsi="Arial" w:cs="Arial"/>
          <w:sz w:val="24"/>
          <w:szCs w:val="24"/>
        </w:rPr>
        <w:t>as a</w:t>
      </w:r>
      <w:r w:rsidRPr="00B12F73">
        <w:rPr>
          <w:rFonts w:ascii="Arial" w:hAnsi="Arial" w:cs="Arial"/>
          <w:sz w:val="24"/>
          <w:szCs w:val="24"/>
        </w:rPr>
        <w:t xml:space="preserve"> genuine</w:t>
      </w:r>
      <w:r>
        <w:rPr>
          <w:rFonts w:ascii="Arial" w:hAnsi="Arial" w:cs="Arial"/>
          <w:sz w:val="24"/>
          <w:szCs w:val="24"/>
        </w:rPr>
        <w:t xml:space="preserve"> and </w:t>
      </w:r>
      <w:r w:rsidRPr="00B12F73">
        <w:rPr>
          <w:rFonts w:ascii="Arial" w:hAnsi="Arial" w:cs="Arial"/>
          <w:sz w:val="24"/>
          <w:szCs w:val="24"/>
        </w:rPr>
        <w:t xml:space="preserve">material dispute of fact and that the matter could not be heard on affidavit. However, the court </w:t>
      </w:r>
      <w:r>
        <w:rPr>
          <w:rFonts w:ascii="Arial" w:hAnsi="Arial" w:cs="Arial"/>
          <w:sz w:val="24"/>
          <w:szCs w:val="24"/>
        </w:rPr>
        <w:t>was</w:t>
      </w:r>
      <w:r w:rsidRPr="00B12F73">
        <w:rPr>
          <w:rFonts w:ascii="Arial" w:hAnsi="Arial" w:cs="Arial"/>
          <w:sz w:val="24"/>
          <w:szCs w:val="24"/>
        </w:rPr>
        <w:t xml:space="preserve"> of the opinion that the court </w:t>
      </w:r>
      <w:r w:rsidRPr="003F024B">
        <w:rPr>
          <w:rFonts w:ascii="Arial" w:hAnsi="Arial" w:cs="Arial"/>
          <w:i/>
          <w:sz w:val="24"/>
          <w:szCs w:val="24"/>
        </w:rPr>
        <w:t>a quo</w:t>
      </w:r>
      <w:r w:rsidRPr="00B12F73">
        <w:rPr>
          <w:rFonts w:ascii="Arial" w:hAnsi="Arial" w:cs="Arial"/>
          <w:sz w:val="24"/>
          <w:szCs w:val="24"/>
        </w:rPr>
        <w:t xml:space="preserve"> erred in dismissing the case on procedural grounds in</w:t>
      </w:r>
      <w:r>
        <w:rPr>
          <w:rFonts w:ascii="Arial" w:hAnsi="Arial" w:cs="Arial"/>
          <w:sz w:val="24"/>
          <w:szCs w:val="24"/>
        </w:rPr>
        <w:t xml:space="preserve">stead </w:t>
      </w:r>
      <w:r w:rsidRPr="00B12F73">
        <w:rPr>
          <w:rFonts w:ascii="Arial" w:hAnsi="Arial" w:cs="Arial"/>
          <w:sz w:val="24"/>
          <w:szCs w:val="24"/>
        </w:rPr>
        <w:t xml:space="preserve">of applying the overriding objective of judicial case management </w:t>
      </w:r>
      <w:r>
        <w:rPr>
          <w:rFonts w:ascii="Arial" w:hAnsi="Arial" w:cs="Arial"/>
          <w:sz w:val="24"/>
          <w:szCs w:val="24"/>
        </w:rPr>
        <w:t xml:space="preserve">and the applicable rules of court </w:t>
      </w:r>
      <w:r w:rsidRPr="00B12F73">
        <w:rPr>
          <w:rFonts w:ascii="Arial" w:hAnsi="Arial" w:cs="Arial"/>
          <w:sz w:val="24"/>
          <w:szCs w:val="24"/>
        </w:rPr>
        <w:t xml:space="preserve">to ensure the ventilation of the issues brought before it. For this reason, the </w:t>
      </w:r>
      <w:r>
        <w:rPr>
          <w:rFonts w:ascii="Arial" w:hAnsi="Arial" w:cs="Arial"/>
          <w:sz w:val="24"/>
          <w:szCs w:val="24"/>
        </w:rPr>
        <w:t>a</w:t>
      </w:r>
      <w:r w:rsidRPr="00B12F73">
        <w:rPr>
          <w:rFonts w:ascii="Arial" w:hAnsi="Arial" w:cs="Arial"/>
          <w:sz w:val="24"/>
          <w:szCs w:val="24"/>
        </w:rPr>
        <w:t>ppeal succeed</w:t>
      </w:r>
      <w:r>
        <w:rPr>
          <w:rFonts w:ascii="Arial" w:hAnsi="Arial" w:cs="Arial"/>
          <w:sz w:val="24"/>
          <w:szCs w:val="24"/>
        </w:rPr>
        <w:t>ed</w:t>
      </w:r>
      <w:r w:rsidRPr="00B12F73">
        <w:rPr>
          <w:rFonts w:ascii="Arial" w:hAnsi="Arial" w:cs="Arial"/>
          <w:sz w:val="24"/>
          <w:szCs w:val="24"/>
        </w:rPr>
        <w:t xml:space="preserve"> in part and the order of the High Court </w:t>
      </w:r>
      <w:r>
        <w:rPr>
          <w:rFonts w:ascii="Arial" w:hAnsi="Arial" w:cs="Arial"/>
          <w:sz w:val="24"/>
          <w:szCs w:val="24"/>
        </w:rPr>
        <w:t>wa</w:t>
      </w:r>
      <w:r w:rsidRPr="00B12F73">
        <w:rPr>
          <w:rFonts w:ascii="Arial" w:hAnsi="Arial" w:cs="Arial"/>
          <w:sz w:val="24"/>
          <w:szCs w:val="24"/>
        </w:rPr>
        <w:t>s set aside.</w:t>
      </w:r>
    </w:p>
    <w:p w:rsidR="005B01ED" w:rsidRPr="00B12F73" w:rsidRDefault="005B01ED" w:rsidP="005B01ED">
      <w:pPr>
        <w:spacing w:after="0" w:line="360" w:lineRule="auto"/>
        <w:jc w:val="both"/>
        <w:rPr>
          <w:rFonts w:ascii="Arial" w:hAnsi="Arial" w:cs="Arial"/>
          <w:sz w:val="24"/>
          <w:szCs w:val="24"/>
        </w:rPr>
      </w:pPr>
    </w:p>
    <w:p w:rsidR="005F1CD4" w:rsidRDefault="005F1CD4" w:rsidP="00C93115">
      <w:pPr>
        <w:spacing w:line="360" w:lineRule="auto"/>
        <w:jc w:val="both"/>
        <w:rPr>
          <w:rFonts w:ascii="Arial" w:hAnsi="Arial" w:cs="Arial"/>
          <w:sz w:val="24"/>
          <w:szCs w:val="24"/>
        </w:rPr>
      </w:pPr>
      <w:r w:rsidRPr="00B12F73">
        <w:rPr>
          <w:rFonts w:ascii="Arial" w:hAnsi="Arial" w:cs="Arial"/>
          <w:sz w:val="24"/>
          <w:szCs w:val="24"/>
        </w:rPr>
        <w:t xml:space="preserve">The Supreme Court also </w:t>
      </w:r>
      <w:r>
        <w:rPr>
          <w:rFonts w:ascii="Arial" w:hAnsi="Arial" w:cs="Arial"/>
          <w:sz w:val="24"/>
          <w:szCs w:val="24"/>
        </w:rPr>
        <w:t xml:space="preserve">held </w:t>
      </w:r>
      <w:r w:rsidRPr="00B12F73">
        <w:rPr>
          <w:rFonts w:ascii="Arial" w:hAnsi="Arial" w:cs="Arial"/>
          <w:sz w:val="24"/>
          <w:szCs w:val="24"/>
        </w:rPr>
        <w:t xml:space="preserve">that </w:t>
      </w:r>
      <w:r>
        <w:rPr>
          <w:rFonts w:ascii="Arial" w:hAnsi="Arial" w:cs="Arial"/>
          <w:sz w:val="24"/>
          <w:szCs w:val="24"/>
        </w:rPr>
        <w:t xml:space="preserve">the prayer by the appellant to nullify the second marriage could not be decided in isolation. It held that the declaration of the invalidity of the marriage should be dealt with together with the claim for a putative marriage, especially in the circumstances where there is a dispute of fact as to the bona fides of the parties. This will also prevent any prejudicial effect on the proprietary interests of the respondent, if any, upon the determination of the existence of a putative marriage. </w:t>
      </w:r>
      <w:r w:rsidRPr="00B12F73">
        <w:rPr>
          <w:rFonts w:ascii="Arial" w:hAnsi="Arial" w:cs="Arial"/>
          <w:sz w:val="24"/>
          <w:szCs w:val="24"/>
        </w:rPr>
        <w:t>The court agree</w:t>
      </w:r>
      <w:r>
        <w:rPr>
          <w:rFonts w:ascii="Arial" w:hAnsi="Arial" w:cs="Arial"/>
          <w:sz w:val="24"/>
          <w:szCs w:val="24"/>
        </w:rPr>
        <w:t>d with the a</w:t>
      </w:r>
      <w:r w:rsidRPr="00B12F73">
        <w:rPr>
          <w:rFonts w:ascii="Arial" w:hAnsi="Arial" w:cs="Arial"/>
          <w:sz w:val="24"/>
          <w:szCs w:val="24"/>
        </w:rPr>
        <w:t xml:space="preserve">ppellant that the issue of a ‘putative marriage’ was not properly placed before </w:t>
      </w:r>
      <w:r>
        <w:rPr>
          <w:rFonts w:ascii="Arial" w:hAnsi="Arial" w:cs="Arial"/>
          <w:sz w:val="24"/>
          <w:szCs w:val="24"/>
        </w:rPr>
        <w:t>it</w:t>
      </w:r>
      <w:r w:rsidRPr="00B12F73">
        <w:rPr>
          <w:rFonts w:ascii="Arial" w:hAnsi="Arial" w:cs="Arial"/>
          <w:sz w:val="24"/>
          <w:szCs w:val="24"/>
        </w:rPr>
        <w:t>. However, asking th</w:t>
      </w:r>
      <w:r>
        <w:rPr>
          <w:rFonts w:ascii="Arial" w:hAnsi="Arial" w:cs="Arial"/>
          <w:sz w:val="24"/>
          <w:szCs w:val="24"/>
        </w:rPr>
        <w:t>e</w:t>
      </w:r>
      <w:r w:rsidRPr="00B12F73">
        <w:rPr>
          <w:rFonts w:ascii="Arial" w:hAnsi="Arial" w:cs="Arial"/>
          <w:sz w:val="24"/>
          <w:szCs w:val="24"/>
        </w:rPr>
        <w:t xml:space="preserve"> court to make a declaration </w:t>
      </w:r>
      <w:r>
        <w:rPr>
          <w:rFonts w:ascii="Arial" w:hAnsi="Arial" w:cs="Arial"/>
          <w:sz w:val="24"/>
          <w:szCs w:val="24"/>
        </w:rPr>
        <w:t xml:space="preserve">of </w:t>
      </w:r>
      <w:r w:rsidRPr="00B12F73">
        <w:rPr>
          <w:rFonts w:ascii="Arial" w:hAnsi="Arial" w:cs="Arial"/>
          <w:sz w:val="24"/>
          <w:szCs w:val="24"/>
        </w:rPr>
        <w:t xml:space="preserve">the </w:t>
      </w:r>
      <w:r>
        <w:rPr>
          <w:rFonts w:ascii="Arial" w:hAnsi="Arial" w:cs="Arial"/>
          <w:sz w:val="24"/>
          <w:szCs w:val="24"/>
        </w:rPr>
        <w:t>in</w:t>
      </w:r>
      <w:r w:rsidRPr="00B12F73">
        <w:rPr>
          <w:rFonts w:ascii="Arial" w:hAnsi="Arial" w:cs="Arial"/>
          <w:sz w:val="24"/>
          <w:szCs w:val="24"/>
        </w:rPr>
        <w:t xml:space="preserve">validity of the marriage will </w:t>
      </w:r>
      <w:r>
        <w:rPr>
          <w:rFonts w:ascii="Arial" w:hAnsi="Arial" w:cs="Arial"/>
          <w:sz w:val="24"/>
          <w:szCs w:val="24"/>
        </w:rPr>
        <w:t xml:space="preserve">adversely affect the respondent’s rights that may arise from </w:t>
      </w:r>
      <w:r w:rsidRPr="00B12F73">
        <w:rPr>
          <w:rFonts w:ascii="Arial" w:hAnsi="Arial" w:cs="Arial"/>
          <w:sz w:val="24"/>
          <w:szCs w:val="24"/>
        </w:rPr>
        <w:t xml:space="preserve">the consequences </w:t>
      </w:r>
      <w:r>
        <w:rPr>
          <w:rFonts w:ascii="Arial" w:hAnsi="Arial" w:cs="Arial"/>
          <w:sz w:val="24"/>
          <w:szCs w:val="24"/>
        </w:rPr>
        <w:t xml:space="preserve">of </w:t>
      </w:r>
      <w:r w:rsidRPr="00B12F73">
        <w:rPr>
          <w:rFonts w:ascii="Arial" w:hAnsi="Arial" w:cs="Arial"/>
          <w:sz w:val="24"/>
          <w:szCs w:val="24"/>
        </w:rPr>
        <w:t>a putative marriage</w:t>
      </w:r>
      <w:r>
        <w:rPr>
          <w:rFonts w:ascii="Arial" w:hAnsi="Arial" w:cs="Arial"/>
          <w:sz w:val="24"/>
          <w:szCs w:val="24"/>
        </w:rPr>
        <w:t xml:space="preserve">. </w:t>
      </w:r>
      <w:r w:rsidRPr="00B12F73">
        <w:rPr>
          <w:rFonts w:ascii="Arial" w:hAnsi="Arial" w:cs="Arial"/>
          <w:sz w:val="24"/>
          <w:szCs w:val="24"/>
        </w:rPr>
        <w:t>This is not to say that the court has made any determin</w:t>
      </w:r>
      <w:r>
        <w:rPr>
          <w:rFonts w:ascii="Arial" w:hAnsi="Arial" w:cs="Arial"/>
          <w:sz w:val="24"/>
          <w:szCs w:val="24"/>
        </w:rPr>
        <w:t>ation about</w:t>
      </w:r>
      <w:r w:rsidRPr="00B12F73">
        <w:rPr>
          <w:rFonts w:ascii="Arial" w:hAnsi="Arial" w:cs="Arial"/>
          <w:sz w:val="24"/>
          <w:szCs w:val="24"/>
        </w:rPr>
        <w:t xml:space="preserve"> the existence of a putative marriage. In cases such as this and on grounds of public policy, fairness and equity; the declaration on the validity of a marriage and that of a putative marriage should be </w:t>
      </w:r>
      <w:r>
        <w:rPr>
          <w:rFonts w:ascii="Arial" w:hAnsi="Arial" w:cs="Arial"/>
          <w:sz w:val="24"/>
          <w:szCs w:val="24"/>
        </w:rPr>
        <w:t xml:space="preserve">determined </w:t>
      </w:r>
      <w:r w:rsidRPr="00B12F73">
        <w:rPr>
          <w:rFonts w:ascii="Arial" w:hAnsi="Arial" w:cs="Arial"/>
          <w:sz w:val="24"/>
          <w:szCs w:val="24"/>
        </w:rPr>
        <w:t>together</w:t>
      </w:r>
      <w:r>
        <w:rPr>
          <w:rFonts w:ascii="Arial" w:hAnsi="Arial" w:cs="Arial"/>
          <w:sz w:val="24"/>
          <w:szCs w:val="24"/>
        </w:rPr>
        <w:t xml:space="preserve"> and not in the vacuum</w:t>
      </w:r>
      <w:r w:rsidRPr="00B12F73">
        <w:rPr>
          <w:rFonts w:ascii="Arial" w:hAnsi="Arial" w:cs="Arial"/>
          <w:sz w:val="24"/>
          <w:szCs w:val="24"/>
        </w:rPr>
        <w:t xml:space="preserve">. </w:t>
      </w:r>
    </w:p>
    <w:p w:rsidR="005B01ED" w:rsidRPr="00B12F73" w:rsidRDefault="005B01ED" w:rsidP="005B01ED">
      <w:pPr>
        <w:spacing w:after="0" w:line="360" w:lineRule="auto"/>
        <w:jc w:val="both"/>
        <w:rPr>
          <w:rFonts w:ascii="Arial" w:hAnsi="Arial" w:cs="Arial"/>
          <w:sz w:val="24"/>
          <w:szCs w:val="24"/>
        </w:rPr>
      </w:pPr>
    </w:p>
    <w:p w:rsidR="005F1CD4" w:rsidRDefault="005F1CD4" w:rsidP="00C93115">
      <w:pPr>
        <w:spacing w:line="360" w:lineRule="auto"/>
        <w:jc w:val="both"/>
        <w:rPr>
          <w:rFonts w:ascii="Arial" w:hAnsi="Arial" w:cs="Arial"/>
          <w:sz w:val="24"/>
          <w:szCs w:val="24"/>
        </w:rPr>
      </w:pPr>
      <w:r>
        <w:rPr>
          <w:rFonts w:ascii="Arial" w:hAnsi="Arial" w:cs="Arial"/>
          <w:sz w:val="24"/>
          <w:szCs w:val="24"/>
        </w:rPr>
        <w:t>The court held further that r</w:t>
      </w:r>
      <w:r w:rsidRPr="00B12F73">
        <w:rPr>
          <w:rFonts w:ascii="Arial" w:hAnsi="Arial" w:cs="Arial"/>
          <w:sz w:val="24"/>
          <w:szCs w:val="24"/>
        </w:rPr>
        <w:t xml:space="preserve">ule 67 of the </w:t>
      </w:r>
      <w:r>
        <w:rPr>
          <w:rFonts w:ascii="Arial" w:hAnsi="Arial" w:cs="Arial"/>
          <w:sz w:val="24"/>
          <w:szCs w:val="24"/>
        </w:rPr>
        <w:t xml:space="preserve">Rules of the </w:t>
      </w:r>
      <w:r w:rsidRPr="00B12F73">
        <w:rPr>
          <w:rFonts w:ascii="Arial" w:hAnsi="Arial" w:cs="Arial"/>
          <w:sz w:val="24"/>
          <w:szCs w:val="24"/>
        </w:rPr>
        <w:t xml:space="preserve">High Court is couched in discretionary terms. It is </w:t>
      </w:r>
      <w:r>
        <w:rPr>
          <w:rFonts w:ascii="Arial" w:hAnsi="Arial" w:cs="Arial"/>
          <w:sz w:val="24"/>
          <w:szCs w:val="24"/>
        </w:rPr>
        <w:t xml:space="preserve">thus </w:t>
      </w:r>
      <w:r w:rsidRPr="00B12F73">
        <w:rPr>
          <w:rFonts w:ascii="Arial" w:hAnsi="Arial" w:cs="Arial"/>
          <w:sz w:val="24"/>
          <w:szCs w:val="24"/>
        </w:rPr>
        <w:t xml:space="preserve">not </w:t>
      </w:r>
      <w:r>
        <w:rPr>
          <w:rFonts w:ascii="Arial" w:hAnsi="Arial" w:cs="Arial"/>
          <w:sz w:val="24"/>
          <w:szCs w:val="24"/>
        </w:rPr>
        <w:t xml:space="preserve">right </w:t>
      </w:r>
      <w:r w:rsidRPr="00B12F73">
        <w:rPr>
          <w:rFonts w:ascii="Arial" w:hAnsi="Arial" w:cs="Arial"/>
          <w:sz w:val="24"/>
          <w:szCs w:val="24"/>
        </w:rPr>
        <w:t xml:space="preserve">for this court to direct the </w:t>
      </w:r>
      <w:r>
        <w:rPr>
          <w:rFonts w:ascii="Arial" w:hAnsi="Arial" w:cs="Arial"/>
          <w:sz w:val="24"/>
          <w:szCs w:val="24"/>
        </w:rPr>
        <w:t>High Court</w:t>
      </w:r>
      <w:r w:rsidRPr="00B12F73">
        <w:rPr>
          <w:rFonts w:ascii="Arial" w:hAnsi="Arial" w:cs="Arial"/>
          <w:sz w:val="24"/>
          <w:szCs w:val="24"/>
        </w:rPr>
        <w:t xml:space="preserve"> on </w:t>
      </w:r>
      <w:r>
        <w:rPr>
          <w:rFonts w:ascii="Arial" w:hAnsi="Arial" w:cs="Arial"/>
          <w:sz w:val="24"/>
          <w:szCs w:val="24"/>
        </w:rPr>
        <w:t xml:space="preserve">how it may </w:t>
      </w:r>
      <w:r w:rsidRPr="00B12F73">
        <w:rPr>
          <w:rFonts w:ascii="Arial" w:hAnsi="Arial" w:cs="Arial"/>
          <w:sz w:val="24"/>
          <w:szCs w:val="24"/>
        </w:rPr>
        <w:t xml:space="preserve">exercise its discretion when a matter cannot be decided on affidavit. </w:t>
      </w:r>
      <w:r>
        <w:rPr>
          <w:rFonts w:ascii="Arial" w:hAnsi="Arial" w:cs="Arial"/>
          <w:sz w:val="24"/>
          <w:szCs w:val="24"/>
        </w:rPr>
        <w:t>Accordingly, t</w:t>
      </w:r>
      <w:r w:rsidRPr="00B12F73">
        <w:rPr>
          <w:rFonts w:ascii="Arial" w:hAnsi="Arial" w:cs="Arial"/>
          <w:sz w:val="24"/>
          <w:szCs w:val="24"/>
        </w:rPr>
        <w:t xml:space="preserve">he court </w:t>
      </w:r>
      <w:r>
        <w:rPr>
          <w:rFonts w:ascii="Arial" w:hAnsi="Arial" w:cs="Arial"/>
          <w:sz w:val="24"/>
          <w:szCs w:val="24"/>
        </w:rPr>
        <w:t xml:space="preserve">referred the matter back to the High Court to be </w:t>
      </w:r>
      <w:r w:rsidRPr="00B12F73">
        <w:rPr>
          <w:rFonts w:ascii="Arial" w:hAnsi="Arial" w:cs="Arial"/>
          <w:sz w:val="24"/>
          <w:szCs w:val="24"/>
        </w:rPr>
        <w:t>placed under judicial case management for resolution.</w:t>
      </w:r>
    </w:p>
    <w:p w:rsidR="005B01ED" w:rsidRPr="00B12F73" w:rsidRDefault="005B01ED" w:rsidP="005B01ED">
      <w:pPr>
        <w:spacing w:after="0" w:line="360" w:lineRule="auto"/>
        <w:jc w:val="both"/>
        <w:rPr>
          <w:rFonts w:ascii="Arial" w:hAnsi="Arial" w:cs="Arial"/>
          <w:sz w:val="24"/>
          <w:szCs w:val="24"/>
        </w:rPr>
      </w:pPr>
    </w:p>
    <w:p w:rsidR="005F1CD4" w:rsidRDefault="005F1CD4" w:rsidP="00C93115">
      <w:pPr>
        <w:spacing w:line="360" w:lineRule="auto"/>
        <w:jc w:val="both"/>
        <w:rPr>
          <w:rFonts w:ascii="Arial" w:hAnsi="Arial" w:cs="Arial"/>
          <w:sz w:val="24"/>
          <w:szCs w:val="24"/>
        </w:rPr>
      </w:pPr>
      <w:r w:rsidRPr="00B12F73">
        <w:rPr>
          <w:rFonts w:ascii="Arial" w:hAnsi="Arial" w:cs="Arial"/>
          <w:sz w:val="24"/>
          <w:szCs w:val="24"/>
        </w:rPr>
        <w:t xml:space="preserve">As </w:t>
      </w:r>
      <w:r>
        <w:rPr>
          <w:rFonts w:ascii="Arial" w:hAnsi="Arial" w:cs="Arial"/>
          <w:sz w:val="24"/>
          <w:szCs w:val="24"/>
        </w:rPr>
        <w:t xml:space="preserve">to the issue of costs, the court held that as </w:t>
      </w:r>
      <w:r w:rsidRPr="00B12F73">
        <w:rPr>
          <w:rFonts w:ascii="Arial" w:hAnsi="Arial" w:cs="Arial"/>
          <w:sz w:val="24"/>
          <w:szCs w:val="24"/>
        </w:rPr>
        <w:t xml:space="preserve">the </w:t>
      </w:r>
      <w:r>
        <w:rPr>
          <w:rFonts w:ascii="Arial" w:hAnsi="Arial" w:cs="Arial"/>
          <w:sz w:val="24"/>
          <w:szCs w:val="24"/>
        </w:rPr>
        <w:t>a</w:t>
      </w:r>
      <w:r w:rsidRPr="00B12F73">
        <w:rPr>
          <w:rFonts w:ascii="Arial" w:hAnsi="Arial" w:cs="Arial"/>
          <w:sz w:val="24"/>
          <w:szCs w:val="24"/>
        </w:rPr>
        <w:t xml:space="preserve">ppeal </w:t>
      </w:r>
      <w:r>
        <w:rPr>
          <w:rFonts w:ascii="Arial" w:hAnsi="Arial" w:cs="Arial"/>
          <w:sz w:val="24"/>
          <w:szCs w:val="24"/>
        </w:rPr>
        <w:t xml:space="preserve">had </w:t>
      </w:r>
      <w:r w:rsidRPr="00B12F73">
        <w:rPr>
          <w:rFonts w:ascii="Arial" w:hAnsi="Arial" w:cs="Arial"/>
          <w:sz w:val="24"/>
          <w:szCs w:val="24"/>
        </w:rPr>
        <w:t>succeed</w:t>
      </w:r>
      <w:r>
        <w:rPr>
          <w:rFonts w:ascii="Arial" w:hAnsi="Arial" w:cs="Arial"/>
          <w:sz w:val="24"/>
          <w:szCs w:val="24"/>
        </w:rPr>
        <w:t>ed</w:t>
      </w:r>
      <w:r w:rsidRPr="00B12F73">
        <w:rPr>
          <w:rFonts w:ascii="Arial" w:hAnsi="Arial" w:cs="Arial"/>
          <w:sz w:val="24"/>
          <w:szCs w:val="24"/>
        </w:rPr>
        <w:t xml:space="preserve"> in part and consider</w:t>
      </w:r>
      <w:r>
        <w:rPr>
          <w:rFonts w:ascii="Arial" w:hAnsi="Arial" w:cs="Arial"/>
          <w:sz w:val="24"/>
          <w:szCs w:val="24"/>
        </w:rPr>
        <w:t xml:space="preserve">ing </w:t>
      </w:r>
      <w:r w:rsidRPr="00B12F73">
        <w:rPr>
          <w:rFonts w:ascii="Arial" w:hAnsi="Arial" w:cs="Arial"/>
          <w:sz w:val="24"/>
          <w:szCs w:val="24"/>
        </w:rPr>
        <w:t xml:space="preserve">the </w:t>
      </w:r>
      <w:r>
        <w:rPr>
          <w:rFonts w:ascii="Arial" w:hAnsi="Arial" w:cs="Arial"/>
          <w:sz w:val="24"/>
          <w:szCs w:val="24"/>
        </w:rPr>
        <w:t>circumstances of the case</w:t>
      </w:r>
      <w:r w:rsidRPr="00B12F73">
        <w:rPr>
          <w:rFonts w:ascii="Arial" w:hAnsi="Arial" w:cs="Arial"/>
          <w:sz w:val="24"/>
          <w:szCs w:val="24"/>
        </w:rPr>
        <w:t>, no order as to costs</w:t>
      </w:r>
      <w:r>
        <w:rPr>
          <w:rFonts w:ascii="Arial" w:hAnsi="Arial" w:cs="Arial"/>
          <w:sz w:val="24"/>
          <w:szCs w:val="24"/>
        </w:rPr>
        <w:t xml:space="preserve"> would be made</w:t>
      </w:r>
      <w:r w:rsidRPr="00B12F73">
        <w:rPr>
          <w:rFonts w:ascii="Arial" w:hAnsi="Arial" w:cs="Arial"/>
          <w:sz w:val="24"/>
          <w:szCs w:val="24"/>
        </w:rPr>
        <w:t xml:space="preserve">. </w:t>
      </w:r>
    </w:p>
    <w:p w:rsidR="005F1CD4" w:rsidRPr="00E6740A" w:rsidRDefault="005F1CD4" w:rsidP="005F1CD4">
      <w:pPr>
        <w:pBdr>
          <w:top w:val="single" w:sz="12" w:space="1" w:color="auto"/>
          <w:bottom w:val="single" w:sz="12" w:space="1" w:color="auto"/>
        </w:pBdr>
        <w:spacing w:after="0" w:line="276" w:lineRule="auto"/>
        <w:jc w:val="center"/>
        <w:rPr>
          <w:rFonts w:ascii="Arial" w:hAnsi="Arial" w:cs="Arial"/>
          <w:b/>
          <w:color w:val="000000" w:themeColor="text1"/>
          <w:sz w:val="24"/>
          <w:szCs w:val="24"/>
        </w:rPr>
      </w:pPr>
    </w:p>
    <w:p w:rsidR="005F1CD4" w:rsidRPr="00E6740A" w:rsidRDefault="005F1CD4" w:rsidP="005F1CD4">
      <w:pPr>
        <w:pBdr>
          <w:top w:val="single" w:sz="12" w:space="1" w:color="auto"/>
          <w:bottom w:val="single" w:sz="12" w:space="1" w:color="auto"/>
        </w:pBdr>
        <w:spacing w:after="0" w:line="276"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APPEAL JUDGMENT  </w:t>
      </w:r>
    </w:p>
    <w:p w:rsidR="005F1CD4" w:rsidRPr="00E6740A" w:rsidRDefault="005F1CD4" w:rsidP="005F1CD4">
      <w:pPr>
        <w:pBdr>
          <w:top w:val="single" w:sz="12" w:space="1" w:color="auto"/>
          <w:bottom w:val="single" w:sz="12" w:space="1" w:color="auto"/>
        </w:pBdr>
        <w:spacing w:after="0" w:line="276" w:lineRule="auto"/>
        <w:jc w:val="center"/>
        <w:rPr>
          <w:rFonts w:ascii="Arial" w:hAnsi="Arial" w:cs="Arial"/>
          <w:b/>
          <w:color w:val="000000" w:themeColor="text1"/>
          <w:sz w:val="24"/>
          <w:szCs w:val="24"/>
        </w:rPr>
      </w:pPr>
    </w:p>
    <w:p w:rsidR="005F1CD4" w:rsidRPr="00E6740A" w:rsidRDefault="005F1CD4" w:rsidP="005F1CD4">
      <w:pPr>
        <w:spacing w:after="0" w:line="480" w:lineRule="auto"/>
        <w:ind w:hanging="3600"/>
        <w:jc w:val="both"/>
        <w:rPr>
          <w:rFonts w:ascii="Arial" w:hAnsi="Arial" w:cs="Arial"/>
          <w:color w:val="000000" w:themeColor="text1"/>
          <w:sz w:val="24"/>
          <w:szCs w:val="24"/>
        </w:rPr>
      </w:pPr>
    </w:p>
    <w:p w:rsidR="005F1CD4" w:rsidRPr="00E6740A" w:rsidRDefault="005F1CD4" w:rsidP="005F1CD4">
      <w:pPr>
        <w:spacing w:after="0" w:line="480" w:lineRule="auto"/>
        <w:jc w:val="both"/>
        <w:rPr>
          <w:rFonts w:ascii="Arial" w:hAnsi="Arial" w:cs="Arial"/>
          <w:color w:val="000000" w:themeColor="text1"/>
          <w:sz w:val="24"/>
          <w:szCs w:val="24"/>
        </w:rPr>
      </w:pPr>
      <w:r w:rsidRPr="00E6740A">
        <w:rPr>
          <w:rFonts w:ascii="Arial" w:hAnsi="Arial" w:cs="Arial"/>
          <w:color w:val="000000" w:themeColor="text1"/>
          <w:sz w:val="24"/>
          <w:szCs w:val="24"/>
        </w:rPr>
        <w:t xml:space="preserve">SHIVUTE CJ (CHOMBA AJA </w:t>
      </w:r>
      <w:r>
        <w:rPr>
          <w:rFonts w:ascii="Arial" w:hAnsi="Arial" w:cs="Arial"/>
          <w:color w:val="000000" w:themeColor="text1"/>
          <w:sz w:val="24"/>
          <w:szCs w:val="24"/>
        </w:rPr>
        <w:t xml:space="preserve">and </w:t>
      </w:r>
      <w:r w:rsidRPr="00E6740A">
        <w:rPr>
          <w:rFonts w:ascii="Arial" w:hAnsi="Arial" w:cs="Arial"/>
          <w:color w:val="000000" w:themeColor="text1"/>
          <w:sz w:val="24"/>
          <w:szCs w:val="24"/>
        </w:rPr>
        <w:t>MOKGORO AJA concurring)</w:t>
      </w:r>
      <w:r>
        <w:rPr>
          <w:rFonts w:ascii="Arial" w:hAnsi="Arial" w:cs="Arial"/>
          <w:color w:val="000000" w:themeColor="text1"/>
          <w:sz w:val="24"/>
          <w:szCs w:val="24"/>
        </w:rPr>
        <w:t>:</w:t>
      </w:r>
    </w:p>
    <w:p w:rsidR="005F1CD4" w:rsidRPr="00574BA4" w:rsidRDefault="005F1CD4" w:rsidP="005F1CD4">
      <w:pPr>
        <w:jc w:val="both"/>
        <w:rPr>
          <w:rFonts w:ascii="Arial" w:hAnsi="Arial" w:cs="Arial"/>
          <w:sz w:val="24"/>
          <w:szCs w:val="24"/>
          <w:u w:val="single"/>
        </w:rPr>
      </w:pPr>
      <w:r w:rsidRPr="00574BA4">
        <w:rPr>
          <w:rFonts w:ascii="Arial" w:hAnsi="Arial" w:cs="Arial"/>
          <w:sz w:val="24"/>
          <w:szCs w:val="24"/>
          <w:u w:val="single"/>
        </w:rPr>
        <w:t xml:space="preserve">Background </w:t>
      </w:r>
    </w:p>
    <w:p w:rsidR="005B01ED" w:rsidRPr="005B01ED" w:rsidRDefault="005F1CD4" w:rsidP="005F1CD4">
      <w:pPr>
        <w:pStyle w:val="ListParagraph"/>
        <w:numPr>
          <w:ilvl w:val="0"/>
          <w:numId w:val="2"/>
        </w:numPr>
        <w:spacing w:line="480" w:lineRule="auto"/>
        <w:ind w:left="0" w:firstLine="0"/>
        <w:jc w:val="both"/>
        <w:rPr>
          <w:rFonts w:ascii="Arial" w:hAnsi="Arial" w:cs="Arial"/>
          <w:color w:val="000000" w:themeColor="text1"/>
          <w:sz w:val="24"/>
          <w:szCs w:val="24"/>
        </w:rPr>
      </w:pPr>
      <w:r w:rsidRPr="005413B1">
        <w:rPr>
          <w:rFonts w:ascii="Arial" w:hAnsi="Arial" w:cs="Arial"/>
          <w:sz w:val="24"/>
          <w:szCs w:val="24"/>
        </w:rPr>
        <w:t xml:space="preserve">The appellant brought an application in the High Court seeking an order declaring his marriage to the respondent null and void </w:t>
      </w:r>
      <w:r w:rsidRPr="005413B1">
        <w:rPr>
          <w:rFonts w:ascii="Arial" w:hAnsi="Arial" w:cs="Arial"/>
          <w:i/>
          <w:sz w:val="24"/>
          <w:szCs w:val="24"/>
        </w:rPr>
        <w:t>ab initio</w:t>
      </w:r>
      <w:r w:rsidRPr="005413B1">
        <w:rPr>
          <w:rFonts w:ascii="Arial" w:hAnsi="Arial" w:cs="Arial"/>
          <w:sz w:val="24"/>
          <w:szCs w:val="24"/>
        </w:rPr>
        <w:t xml:space="preserve">, due to the fact that he was already married at the time of the </w:t>
      </w:r>
      <w:r>
        <w:rPr>
          <w:rFonts w:ascii="Arial" w:hAnsi="Arial" w:cs="Arial"/>
          <w:sz w:val="24"/>
          <w:szCs w:val="24"/>
        </w:rPr>
        <w:t xml:space="preserve">solemnization of the second </w:t>
      </w:r>
      <w:r w:rsidRPr="005413B1">
        <w:rPr>
          <w:rFonts w:ascii="Arial" w:hAnsi="Arial" w:cs="Arial"/>
          <w:sz w:val="24"/>
          <w:szCs w:val="24"/>
        </w:rPr>
        <w:t xml:space="preserve">marriage. </w:t>
      </w:r>
    </w:p>
    <w:p w:rsidR="005F1CD4" w:rsidRPr="005413B1" w:rsidRDefault="005F1CD4" w:rsidP="005B01ED">
      <w:pPr>
        <w:pStyle w:val="ListParagraph"/>
        <w:spacing w:after="0" w:line="480" w:lineRule="auto"/>
        <w:ind w:left="0"/>
        <w:jc w:val="both"/>
        <w:rPr>
          <w:rFonts w:ascii="Arial" w:hAnsi="Arial" w:cs="Arial"/>
          <w:color w:val="000000" w:themeColor="text1"/>
          <w:sz w:val="24"/>
          <w:szCs w:val="24"/>
        </w:rPr>
      </w:pPr>
      <w:r w:rsidRPr="005413B1">
        <w:rPr>
          <w:rFonts w:ascii="Arial" w:hAnsi="Arial" w:cs="Arial"/>
          <w:sz w:val="24"/>
          <w:szCs w:val="24"/>
        </w:rPr>
        <w:t xml:space="preserve">  </w:t>
      </w:r>
    </w:p>
    <w:p w:rsidR="005B01ED" w:rsidRPr="005B01ED" w:rsidRDefault="005F1CD4" w:rsidP="005F1CD4">
      <w:pPr>
        <w:pStyle w:val="ListParagraph"/>
        <w:numPr>
          <w:ilvl w:val="0"/>
          <w:numId w:val="2"/>
        </w:numPr>
        <w:spacing w:line="480" w:lineRule="auto"/>
        <w:ind w:left="0" w:firstLine="0"/>
        <w:jc w:val="both"/>
        <w:rPr>
          <w:rFonts w:ascii="Arial" w:hAnsi="Arial" w:cs="Arial"/>
          <w:color w:val="000000" w:themeColor="text1"/>
          <w:sz w:val="24"/>
          <w:szCs w:val="24"/>
        </w:rPr>
      </w:pPr>
      <w:r w:rsidRPr="005413B1">
        <w:rPr>
          <w:rFonts w:ascii="Arial" w:hAnsi="Arial" w:cs="Arial"/>
          <w:sz w:val="24"/>
          <w:szCs w:val="24"/>
        </w:rPr>
        <w:t xml:space="preserve">The appellant married his first wife in 1981. Two </w:t>
      </w:r>
      <w:r w:rsidR="00DE6BD8">
        <w:rPr>
          <w:rFonts w:ascii="Arial" w:hAnsi="Arial" w:cs="Arial"/>
          <w:sz w:val="24"/>
          <w:szCs w:val="24"/>
        </w:rPr>
        <w:t xml:space="preserve">now </w:t>
      </w:r>
      <w:r w:rsidRPr="005413B1">
        <w:rPr>
          <w:rFonts w:ascii="Arial" w:hAnsi="Arial" w:cs="Arial"/>
          <w:sz w:val="24"/>
          <w:szCs w:val="24"/>
        </w:rPr>
        <w:t xml:space="preserve">major children were born to the parties. On 7 September 1992, the appellant purported to </w:t>
      </w:r>
      <w:r>
        <w:rPr>
          <w:rFonts w:ascii="Arial" w:hAnsi="Arial" w:cs="Arial"/>
          <w:sz w:val="24"/>
          <w:szCs w:val="24"/>
        </w:rPr>
        <w:t xml:space="preserve">enter into a </w:t>
      </w:r>
      <w:r w:rsidRPr="005413B1">
        <w:rPr>
          <w:rFonts w:ascii="Arial" w:hAnsi="Arial" w:cs="Arial"/>
          <w:sz w:val="24"/>
          <w:szCs w:val="24"/>
        </w:rPr>
        <w:t>marr</w:t>
      </w:r>
      <w:r>
        <w:rPr>
          <w:rFonts w:ascii="Arial" w:hAnsi="Arial" w:cs="Arial"/>
          <w:sz w:val="24"/>
          <w:szCs w:val="24"/>
        </w:rPr>
        <w:t xml:space="preserve">iage with </w:t>
      </w:r>
      <w:r w:rsidRPr="005413B1">
        <w:rPr>
          <w:rFonts w:ascii="Arial" w:hAnsi="Arial" w:cs="Arial"/>
          <w:sz w:val="24"/>
          <w:szCs w:val="24"/>
        </w:rPr>
        <w:t>the respondent</w:t>
      </w:r>
      <w:r>
        <w:rPr>
          <w:rFonts w:ascii="Arial" w:hAnsi="Arial" w:cs="Arial"/>
          <w:sz w:val="24"/>
          <w:szCs w:val="24"/>
        </w:rPr>
        <w:t xml:space="preserve"> before a magistrate</w:t>
      </w:r>
      <w:r w:rsidRPr="005413B1">
        <w:rPr>
          <w:rFonts w:ascii="Arial" w:hAnsi="Arial" w:cs="Arial"/>
          <w:sz w:val="24"/>
          <w:szCs w:val="24"/>
        </w:rPr>
        <w:t xml:space="preserve">. Subsequently, in 2009, the </w:t>
      </w:r>
      <w:r>
        <w:rPr>
          <w:rFonts w:ascii="Arial" w:hAnsi="Arial" w:cs="Arial"/>
          <w:sz w:val="24"/>
          <w:szCs w:val="24"/>
        </w:rPr>
        <w:t>‘</w:t>
      </w:r>
      <w:r w:rsidRPr="005413B1">
        <w:rPr>
          <w:rFonts w:ascii="Arial" w:hAnsi="Arial" w:cs="Arial"/>
          <w:sz w:val="24"/>
          <w:szCs w:val="24"/>
        </w:rPr>
        <w:t>marriage</w:t>
      </w:r>
      <w:r>
        <w:rPr>
          <w:rFonts w:ascii="Arial" w:hAnsi="Arial" w:cs="Arial"/>
          <w:sz w:val="24"/>
          <w:szCs w:val="24"/>
        </w:rPr>
        <w:t>’</w:t>
      </w:r>
      <w:r w:rsidRPr="005413B1">
        <w:rPr>
          <w:rFonts w:ascii="Arial" w:hAnsi="Arial" w:cs="Arial"/>
          <w:sz w:val="24"/>
          <w:szCs w:val="24"/>
        </w:rPr>
        <w:t xml:space="preserve"> broke down when the appellant retired and moved back to his home village where, according to the respondent, he was ‘cohabiting with his girlfriend.’ In 2014, the respondent instituted divorce proceedings against the appellant. The divorce proceedings have since been withdrawn, in light of the present litigation. Broadly, this factual background is common cause or is not seriously disputed.  </w:t>
      </w:r>
    </w:p>
    <w:p w:rsidR="005B01ED" w:rsidRPr="005B01ED" w:rsidRDefault="005B01ED" w:rsidP="005B01ED">
      <w:pPr>
        <w:pStyle w:val="ListParagraph"/>
        <w:spacing w:after="0" w:line="480" w:lineRule="auto"/>
        <w:jc w:val="both"/>
        <w:rPr>
          <w:rFonts w:ascii="Arial" w:hAnsi="Arial" w:cs="Arial"/>
          <w:sz w:val="24"/>
          <w:szCs w:val="24"/>
        </w:rPr>
      </w:pPr>
    </w:p>
    <w:p w:rsidR="005B01ED" w:rsidRDefault="005F1CD4" w:rsidP="005B01ED">
      <w:pPr>
        <w:pStyle w:val="ListParagraph"/>
        <w:numPr>
          <w:ilvl w:val="0"/>
          <w:numId w:val="2"/>
        </w:numPr>
        <w:spacing w:line="480" w:lineRule="auto"/>
        <w:ind w:left="0" w:firstLine="0"/>
        <w:jc w:val="both"/>
        <w:rPr>
          <w:rFonts w:ascii="Arial" w:hAnsi="Arial" w:cs="Arial"/>
          <w:color w:val="000000" w:themeColor="text1"/>
          <w:sz w:val="24"/>
          <w:szCs w:val="24"/>
        </w:rPr>
      </w:pPr>
      <w:r w:rsidRPr="005413B1">
        <w:rPr>
          <w:rFonts w:ascii="Arial" w:hAnsi="Arial" w:cs="Arial"/>
          <w:sz w:val="24"/>
          <w:szCs w:val="24"/>
        </w:rPr>
        <w:t xml:space="preserve">  </w:t>
      </w:r>
      <w:r w:rsidRPr="005B01ED">
        <w:rPr>
          <w:rFonts w:ascii="Arial" w:hAnsi="Arial" w:cs="Arial"/>
          <w:sz w:val="24"/>
          <w:szCs w:val="24"/>
        </w:rPr>
        <w:t xml:space="preserve">The parties, who are now both pensioners, disagree on a number of factual elements, which I will now briefly outline. Amongst many contested issues in the parties’ affidavits, I have identified the three which are of most consequence to the proceedings. Firstly, the parties disagree about whether the respondent knew about the appellant’s first marriage. The respondent claims that the appellant never informed her of his first marriage and, therefore, the first time that she became aware of his previous marriage </w:t>
      </w:r>
      <w:r w:rsidRPr="005B01ED">
        <w:rPr>
          <w:rFonts w:ascii="Arial" w:hAnsi="Arial" w:cs="Arial"/>
          <w:sz w:val="24"/>
          <w:szCs w:val="24"/>
        </w:rPr>
        <w:lastRenderedPageBreak/>
        <w:t xml:space="preserve">was ‘during 2012’ when the appellant approached her with the request to sign certain papers with a view to selling the house, something that she refused to do. Conversely, the appellant claims that he had informed the respondent of his first marriage; that his first wife moved out when the appellant became romantically involved with the respondent, and that the appellant and the respondent knew each other long before they became romantically involved in 1991. As if to muddy the already dirty waters, </w:t>
      </w:r>
      <w:r w:rsidRPr="005B01ED">
        <w:rPr>
          <w:rFonts w:ascii="Arial" w:hAnsi="Arial" w:cs="Arial"/>
          <w:color w:val="000000" w:themeColor="text1"/>
          <w:sz w:val="24"/>
          <w:szCs w:val="24"/>
        </w:rPr>
        <w:t xml:space="preserve">the appellant’s first wife entered the fray. She claims in an affidavit that the respondent attended the wedding reception (of the first marriage), as the respondent and the ‘first’ </w:t>
      </w:r>
      <w:r w:rsidR="00B71A19">
        <w:rPr>
          <w:rFonts w:ascii="Arial" w:hAnsi="Arial" w:cs="Arial"/>
          <w:color w:val="000000" w:themeColor="text1"/>
          <w:sz w:val="24"/>
          <w:szCs w:val="24"/>
        </w:rPr>
        <w:t>wife</w:t>
      </w:r>
      <w:r w:rsidRPr="005B01ED">
        <w:rPr>
          <w:rFonts w:ascii="Arial" w:hAnsi="Arial" w:cs="Arial"/>
          <w:color w:val="000000" w:themeColor="text1"/>
          <w:sz w:val="24"/>
          <w:szCs w:val="24"/>
        </w:rPr>
        <w:t xml:space="preserve"> were co-workers and friends.</w:t>
      </w:r>
    </w:p>
    <w:p w:rsidR="005B01ED" w:rsidRDefault="005F1CD4" w:rsidP="005B01ED">
      <w:pPr>
        <w:pStyle w:val="ListParagraph"/>
        <w:spacing w:after="0" w:line="480" w:lineRule="auto"/>
        <w:ind w:left="0"/>
        <w:jc w:val="both"/>
        <w:rPr>
          <w:rFonts w:ascii="Arial" w:hAnsi="Arial" w:cs="Arial"/>
          <w:color w:val="000000" w:themeColor="text1"/>
          <w:sz w:val="24"/>
          <w:szCs w:val="24"/>
        </w:rPr>
      </w:pPr>
      <w:r w:rsidRPr="005B01ED">
        <w:rPr>
          <w:rFonts w:ascii="Arial" w:hAnsi="Arial" w:cs="Arial"/>
          <w:color w:val="000000" w:themeColor="text1"/>
          <w:sz w:val="24"/>
          <w:szCs w:val="24"/>
        </w:rPr>
        <w:t xml:space="preserve">  </w:t>
      </w:r>
    </w:p>
    <w:p w:rsidR="005B01ED" w:rsidRPr="005B01ED" w:rsidRDefault="005F1CD4" w:rsidP="005B01ED">
      <w:pPr>
        <w:pStyle w:val="ListParagraph"/>
        <w:numPr>
          <w:ilvl w:val="0"/>
          <w:numId w:val="2"/>
        </w:numPr>
        <w:spacing w:line="480" w:lineRule="auto"/>
        <w:ind w:left="0" w:firstLine="0"/>
        <w:jc w:val="both"/>
        <w:rPr>
          <w:rFonts w:ascii="Arial" w:hAnsi="Arial" w:cs="Arial"/>
          <w:color w:val="000000" w:themeColor="text1"/>
          <w:sz w:val="24"/>
          <w:szCs w:val="24"/>
        </w:rPr>
      </w:pPr>
      <w:r w:rsidRPr="005B01ED">
        <w:rPr>
          <w:rFonts w:ascii="Arial" w:hAnsi="Arial" w:cs="Arial"/>
          <w:color w:val="000000" w:themeColor="text1"/>
          <w:sz w:val="24"/>
          <w:szCs w:val="24"/>
        </w:rPr>
        <w:t xml:space="preserve">  </w:t>
      </w:r>
      <w:r w:rsidRPr="005B01ED">
        <w:rPr>
          <w:rFonts w:ascii="Arial" w:hAnsi="Arial" w:cs="Arial"/>
          <w:sz w:val="24"/>
          <w:szCs w:val="24"/>
        </w:rPr>
        <w:t xml:space="preserve">Secondly, the appellant and respondent disagree as to whether the magistrate who </w:t>
      </w:r>
      <w:r w:rsidR="00F972B0" w:rsidRPr="005B01ED">
        <w:rPr>
          <w:rFonts w:ascii="Arial" w:hAnsi="Arial" w:cs="Arial"/>
          <w:sz w:val="24"/>
          <w:szCs w:val="24"/>
        </w:rPr>
        <w:t>solemnized</w:t>
      </w:r>
      <w:r w:rsidRPr="005B01ED">
        <w:rPr>
          <w:rFonts w:ascii="Arial" w:hAnsi="Arial" w:cs="Arial"/>
          <w:sz w:val="24"/>
          <w:szCs w:val="24"/>
        </w:rPr>
        <w:t xml:space="preserve"> their marriage enquired after their matrimonial status during their wedding ceremony. The appellant alleges that at no stage during the marriage process was he informed that entering into a marriage whilst already engaged in one is illegal. Accordingly, he claims he was unaware of the illegality of </w:t>
      </w:r>
      <w:r w:rsidRPr="005B01ED">
        <w:rPr>
          <w:rFonts w:ascii="Arial" w:hAnsi="Arial" w:cs="Arial"/>
          <w:color w:val="000000" w:themeColor="text1"/>
          <w:sz w:val="24"/>
          <w:szCs w:val="24"/>
        </w:rPr>
        <w:t>bigamy. The respondent alleges that they were asked by the magistrate whether either of them w</w:t>
      </w:r>
      <w:r w:rsidR="00B71A19">
        <w:rPr>
          <w:rFonts w:ascii="Arial" w:hAnsi="Arial" w:cs="Arial"/>
          <w:color w:val="000000" w:themeColor="text1"/>
          <w:sz w:val="24"/>
          <w:szCs w:val="24"/>
        </w:rPr>
        <w:t>as</w:t>
      </w:r>
      <w:r w:rsidRPr="005B01ED">
        <w:rPr>
          <w:rFonts w:ascii="Arial" w:hAnsi="Arial" w:cs="Arial"/>
          <w:color w:val="000000" w:themeColor="text1"/>
          <w:sz w:val="24"/>
          <w:szCs w:val="24"/>
        </w:rPr>
        <w:t xml:space="preserve"> married, and that they both responded in the negative. She further alleges that later at the religious ceremony where their marriage was blessed in church, they were jointly advised by the pastor of the illegality of marrying whilst already party to a legal marriage. </w:t>
      </w:r>
      <w:r w:rsidRPr="005B01ED">
        <w:rPr>
          <w:rFonts w:ascii="Arial" w:hAnsi="Arial" w:cs="Arial"/>
          <w:sz w:val="24"/>
          <w:szCs w:val="24"/>
        </w:rPr>
        <w:t xml:space="preserve">Lastly, the parties disagree about the degree to which the respondent undertook upkeep and renovation of their matrimonial property. The respondent alleges that she assisted with the addition of two rooms to the house. The appellant claims that the addition of the two rooms was completed before her arrival. He claims to have attached to his affidavit proof of </w:t>
      </w:r>
      <w:r w:rsidRPr="005B01ED">
        <w:rPr>
          <w:rFonts w:ascii="Arial" w:hAnsi="Arial" w:cs="Arial"/>
          <w:sz w:val="24"/>
          <w:szCs w:val="24"/>
        </w:rPr>
        <w:lastRenderedPageBreak/>
        <w:t>purchasing building materials but no such annexure forms part of the record. The respondent further alleges that she contributed to the municipal accounts and purchased electricity. The appellant refutes this claim. The appellant provided documentary evidence which demonstrates that their municipal accounts were in arrears, but this, of course, is a far cry from proving th</w:t>
      </w:r>
      <w:r w:rsidR="006C4347">
        <w:rPr>
          <w:rFonts w:ascii="Arial" w:hAnsi="Arial" w:cs="Arial"/>
          <w:sz w:val="24"/>
          <w:szCs w:val="24"/>
        </w:rPr>
        <w:t>at he had settled those arrears or that the respondent did not contribute towards payment of the municipal accounts and the purchase of electricity.</w:t>
      </w:r>
      <w:r w:rsidRPr="005B01ED">
        <w:rPr>
          <w:rFonts w:ascii="Arial" w:hAnsi="Arial" w:cs="Arial"/>
          <w:sz w:val="24"/>
          <w:szCs w:val="24"/>
        </w:rPr>
        <w:t xml:space="preserve"> </w:t>
      </w:r>
    </w:p>
    <w:p w:rsidR="005B01ED" w:rsidRPr="005B01ED" w:rsidRDefault="005B01ED" w:rsidP="005B01ED">
      <w:pPr>
        <w:pStyle w:val="ListParagraph"/>
        <w:spacing w:after="0" w:line="480" w:lineRule="auto"/>
        <w:ind w:left="0"/>
        <w:jc w:val="both"/>
        <w:rPr>
          <w:rFonts w:ascii="Arial" w:hAnsi="Arial" w:cs="Arial"/>
          <w:color w:val="000000" w:themeColor="text1"/>
          <w:sz w:val="24"/>
          <w:szCs w:val="24"/>
        </w:rPr>
      </w:pPr>
    </w:p>
    <w:p w:rsidR="005B01ED" w:rsidRPr="005B01ED" w:rsidRDefault="005F1CD4" w:rsidP="005B01ED">
      <w:pPr>
        <w:pStyle w:val="ListParagraph"/>
        <w:numPr>
          <w:ilvl w:val="0"/>
          <w:numId w:val="2"/>
        </w:numPr>
        <w:spacing w:line="480" w:lineRule="auto"/>
        <w:ind w:left="0" w:firstLine="0"/>
        <w:jc w:val="both"/>
        <w:rPr>
          <w:rFonts w:ascii="Arial" w:hAnsi="Arial" w:cs="Arial"/>
          <w:color w:val="000000" w:themeColor="text1"/>
          <w:sz w:val="24"/>
          <w:szCs w:val="24"/>
        </w:rPr>
      </w:pPr>
      <w:r w:rsidRPr="005B01ED">
        <w:rPr>
          <w:rFonts w:ascii="Arial" w:hAnsi="Arial" w:cs="Arial"/>
          <w:sz w:val="24"/>
          <w:szCs w:val="24"/>
        </w:rPr>
        <w:t xml:space="preserve">  After the appellant had allegedly deserted, the respondent attended to the upkeep and maintenance of the house with no assistance from the appellant. The appellant appears to have admitted this allegation when he said in reply that he tried to ‘fix up’ the house but was ‘kicked out’ by the respondent. </w:t>
      </w:r>
    </w:p>
    <w:p w:rsidR="005B01ED" w:rsidRPr="005B01ED" w:rsidRDefault="005B01ED" w:rsidP="005B01ED">
      <w:pPr>
        <w:pStyle w:val="ListParagraph"/>
        <w:spacing w:after="0" w:line="480" w:lineRule="auto"/>
        <w:jc w:val="both"/>
        <w:rPr>
          <w:rFonts w:ascii="Arial" w:hAnsi="Arial" w:cs="Arial"/>
          <w:sz w:val="24"/>
          <w:szCs w:val="24"/>
        </w:rPr>
      </w:pPr>
    </w:p>
    <w:p w:rsidR="005F1CD4" w:rsidRDefault="005F1CD4" w:rsidP="005F1CD4">
      <w:pPr>
        <w:pStyle w:val="ListParagraph"/>
        <w:numPr>
          <w:ilvl w:val="0"/>
          <w:numId w:val="2"/>
        </w:numPr>
        <w:spacing w:before="240" w:after="0" w:line="480" w:lineRule="auto"/>
        <w:ind w:left="0" w:firstLine="0"/>
        <w:jc w:val="both"/>
        <w:rPr>
          <w:rFonts w:ascii="Arial" w:hAnsi="Arial" w:cs="Arial"/>
          <w:sz w:val="24"/>
          <w:szCs w:val="24"/>
          <w:lang w:val="en-GB"/>
        </w:rPr>
      </w:pPr>
      <w:r w:rsidRPr="006C2931">
        <w:rPr>
          <w:rFonts w:ascii="Arial" w:hAnsi="Arial" w:cs="Arial"/>
          <w:sz w:val="24"/>
          <w:szCs w:val="24"/>
        </w:rPr>
        <w:t xml:space="preserve">The High Court found that the </w:t>
      </w:r>
      <w:r w:rsidRPr="006C2931">
        <w:rPr>
          <w:rFonts w:ascii="Arial" w:hAnsi="Arial" w:cs="Arial"/>
          <w:sz w:val="24"/>
          <w:szCs w:val="24"/>
          <w:lang w:val="en-GB"/>
        </w:rPr>
        <w:t xml:space="preserve">respondent’s denials raised </w:t>
      </w:r>
      <w:r>
        <w:rPr>
          <w:rFonts w:ascii="Arial" w:hAnsi="Arial" w:cs="Arial"/>
          <w:sz w:val="24"/>
          <w:szCs w:val="24"/>
          <w:lang w:val="en-GB"/>
        </w:rPr>
        <w:t xml:space="preserve">a </w:t>
      </w:r>
      <w:r w:rsidRPr="006C2931">
        <w:rPr>
          <w:rFonts w:ascii="Arial" w:hAnsi="Arial" w:cs="Arial"/>
          <w:sz w:val="24"/>
          <w:szCs w:val="24"/>
          <w:lang w:val="en-GB"/>
        </w:rPr>
        <w:t xml:space="preserve">genuine and material dispute of fact. It held further that </w:t>
      </w:r>
      <w:r>
        <w:rPr>
          <w:rFonts w:ascii="Arial" w:hAnsi="Arial" w:cs="Arial"/>
          <w:sz w:val="24"/>
          <w:szCs w:val="24"/>
          <w:lang w:val="en-GB"/>
        </w:rPr>
        <w:t xml:space="preserve">the dispute </w:t>
      </w:r>
      <w:r w:rsidRPr="006C2931">
        <w:rPr>
          <w:rFonts w:ascii="Arial" w:hAnsi="Arial" w:cs="Arial"/>
          <w:sz w:val="24"/>
          <w:szCs w:val="24"/>
          <w:lang w:val="en-GB"/>
        </w:rPr>
        <w:t>w</w:t>
      </w:r>
      <w:r>
        <w:rPr>
          <w:rFonts w:ascii="Arial" w:hAnsi="Arial" w:cs="Arial"/>
          <w:sz w:val="24"/>
          <w:szCs w:val="24"/>
          <w:lang w:val="en-GB"/>
        </w:rPr>
        <w:t>as</w:t>
      </w:r>
      <w:r w:rsidRPr="006C2931">
        <w:rPr>
          <w:rFonts w:ascii="Arial" w:hAnsi="Arial" w:cs="Arial"/>
          <w:sz w:val="24"/>
          <w:szCs w:val="24"/>
          <w:lang w:val="en-GB"/>
        </w:rPr>
        <w:t xml:space="preserve"> relevant </w:t>
      </w:r>
      <w:r>
        <w:rPr>
          <w:rFonts w:ascii="Arial" w:hAnsi="Arial" w:cs="Arial"/>
          <w:sz w:val="24"/>
          <w:szCs w:val="24"/>
          <w:lang w:val="en-GB"/>
        </w:rPr>
        <w:t xml:space="preserve">in resolving </w:t>
      </w:r>
      <w:r w:rsidRPr="006C2931">
        <w:rPr>
          <w:rFonts w:ascii="Arial" w:hAnsi="Arial" w:cs="Arial"/>
          <w:sz w:val="24"/>
          <w:szCs w:val="24"/>
          <w:lang w:val="en-GB"/>
        </w:rPr>
        <w:t>the question</w:t>
      </w:r>
      <w:r>
        <w:rPr>
          <w:rFonts w:ascii="Arial" w:hAnsi="Arial" w:cs="Arial"/>
          <w:sz w:val="24"/>
          <w:szCs w:val="24"/>
          <w:lang w:val="en-GB"/>
        </w:rPr>
        <w:t>s</w:t>
      </w:r>
      <w:r w:rsidRPr="006C2931">
        <w:rPr>
          <w:rFonts w:ascii="Arial" w:hAnsi="Arial" w:cs="Arial"/>
          <w:sz w:val="24"/>
          <w:szCs w:val="24"/>
          <w:lang w:val="en-GB"/>
        </w:rPr>
        <w:t xml:space="preserve"> </w:t>
      </w:r>
      <w:r>
        <w:rPr>
          <w:rFonts w:ascii="Arial" w:hAnsi="Arial" w:cs="Arial"/>
          <w:sz w:val="24"/>
          <w:szCs w:val="24"/>
          <w:lang w:val="en-GB"/>
        </w:rPr>
        <w:t xml:space="preserve">of </w:t>
      </w:r>
      <w:r w:rsidRPr="006C2931">
        <w:rPr>
          <w:rFonts w:ascii="Arial" w:hAnsi="Arial" w:cs="Arial"/>
          <w:sz w:val="24"/>
          <w:szCs w:val="24"/>
          <w:lang w:val="en-GB"/>
        </w:rPr>
        <w:t>whether the app</w:t>
      </w:r>
      <w:r>
        <w:rPr>
          <w:rFonts w:ascii="Arial" w:hAnsi="Arial" w:cs="Arial"/>
          <w:sz w:val="24"/>
          <w:szCs w:val="24"/>
          <w:lang w:val="en-GB"/>
        </w:rPr>
        <w:t>e</w:t>
      </w:r>
      <w:r w:rsidRPr="006C2931">
        <w:rPr>
          <w:rFonts w:ascii="Arial" w:hAnsi="Arial" w:cs="Arial"/>
          <w:sz w:val="24"/>
          <w:szCs w:val="24"/>
          <w:lang w:val="en-GB"/>
        </w:rPr>
        <w:t>l</w:t>
      </w:r>
      <w:r>
        <w:rPr>
          <w:rFonts w:ascii="Arial" w:hAnsi="Arial" w:cs="Arial"/>
          <w:sz w:val="24"/>
          <w:szCs w:val="24"/>
          <w:lang w:val="en-GB"/>
        </w:rPr>
        <w:t>la</w:t>
      </w:r>
      <w:r w:rsidRPr="006C2931">
        <w:rPr>
          <w:rFonts w:ascii="Arial" w:hAnsi="Arial" w:cs="Arial"/>
          <w:sz w:val="24"/>
          <w:szCs w:val="24"/>
          <w:lang w:val="en-GB"/>
        </w:rPr>
        <w:t xml:space="preserve">nt and the respondent, or at least one of them, contracted the marriage in good faith and whether the respondent </w:t>
      </w:r>
      <w:r>
        <w:rPr>
          <w:rFonts w:ascii="Arial" w:hAnsi="Arial" w:cs="Arial"/>
          <w:sz w:val="24"/>
          <w:szCs w:val="24"/>
          <w:lang w:val="en-GB"/>
        </w:rPr>
        <w:t>wa</w:t>
      </w:r>
      <w:r w:rsidRPr="006C2931">
        <w:rPr>
          <w:rFonts w:ascii="Arial" w:hAnsi="Arial" w:cs="Arial"/>
          <w:sz w:val="24"/>
          <w:szCs w:val="24"/>
          <w:lang w:val="en-GB"/>
        </w:rPr>
        <w:t xml:space="preserve">s an innocent party, having been ignorant of the impediment to their marriage, as she contends. With reference to a dictum in </w:t>
      </w:r>
      <w:r w:rsidRPr="006C2931">
        <w:rPr>
          <w:rFonts w:ascii="Arial" w:hAnsi="Arial" w:cs="Arial"/>
          <w:i/>
          <w:sz w:val="24"/>
          <w:szCs w:val="24"/>
        </w:rPr>
        <w:t>Mineworkers Union of Namibia v Rossing Uranium Limited</w:t>
      </w:r>
      <w:r w:rsidRPr="006C2931">
        <w:rPr>
          <w:rFonts w:ascii="Arial" w:hAnsi="Arial" w:cs="Arial"/>
          <w:sz w:val="24"/>
          <w:szCs w:val="24"/>
        </w:rPr>
        <w:t xml:space="preserve"> 1991</w:t>
      </w:r>
      <w:r>
        <w:rPr>
          <w:rFonts w:ascii="Arial" w:hAnsi="Arial" w:cs="Arial"/>
          <w:sz w:val="24"/>
          <w:szCs w:val="24"/>
        </w:rPr>
        <w:t xml:space="preserve"> </w:t>
      </w:r>
      <w:r w:rsidRPr="006C2931">
        <w:rPr>
          <w:rFonts w:ascii="Arial" w:hAnsi="Arial" w:cs="Arial"/>
          <w:sz w:val="24"/>
          <w:szCs w:val="24"/>
        </w:rPr>
        <w:t>NR 299</w:t>
      </w:r>
      <w:r w:rsidR="007C62F6">
        <w:rPr>
          <w:rFonts w:ascii="Arial" w:hAnsi="Arial" w:cs="Arial"/>
          <w:sz w:val="24"/>
          <w:szCs w:val="24"/>
        </w:rPr>
        <w:t xml:space="preserve"> (HC) </w:t>
      </w:r>
      <w:r w:rsidRPr="006C2931">
        <w:rPr>
          <w:rFonts w:ascii="Arial" w:hAnsi="Arial" w:cs="Arial"/>
          <w:sz w:val="24"/>
          <w:szCs w:val="24"/>
        </w:rPr>
        <w:t>at 302D</w:t>
      </w:r>
      <w:r>
        <w:rPr>
          <w:rFonts w:ascii="Arial" w:hAnsi="Arial" w:cs="Arial"/>
          <w:sz w:val="24"/>
          <w:szCs w:val="24"/>
        </w:rPr>
        <w:t>, the court held that t</w:t>
      </w:r>
      <w:r w:rsidRPr="006C2931">
        <w:rPr>
          <w:rFonts w:ascii="Arial" w:hAnsi="Arial" w:cs="Arial"/>
          <w:sz w:val="24"/>
          <w:szCs w:val="24"/>
        </w:rPr>
        <w:t>he appellant knew in advance that there would be a genuine and material dispute of fact</w:t>
      </w:r>
      <w:r w:rsidR="00007AC1">
        <w:rPr>
          <w:rFonts w:ascii="Arial" w:hAnsi="Arial" w:cs="Arial"/>
          <w:sz w:val="24"/>
          <w:szCs w:val="24"/>
        </w:rPr>
        <w:t>,</w:t>
      </w:r>
      <w:r w:rsidRPr="006C2931">
        <w:rPr>
          <w:rFonts w:ascii="Arial" w:hAnsi="Arial" w:cs="Arial"/>
          <w:sz w:val="24"/>
          <w:szCs w:val="24"/>
        </w:rPr>
        <w:t xml:space="preserve"> </w:t>
      </w:r>
      <w:r>
        <w:rPr>
          <w:rFonts w:ascii="Arial" w:hAnsi="Arial" w:cs="Arial"/>
          <w:sz w:val="24"/>
          <w:szCs w:val="24"/>
        </w:rPr>
        <w:t xml:space="preserve">but </w:t>
      </w:r>
      <w:r w:rsidRPr="006C2931">
        <w:rPr>
          <w:rFonts w:ascii="Arial" w:hAnsi="Arial" w:cs="Arial"/>
          <w:sz w:val="24"/>
          <w:szCs w:val="24"/>
        </w:rPr>
        <w:t>nevertheless chose to approach the court by way of motion proceedings thereby running the risk of having his case dismissed with costs.</w:t>
      </w:r>
      <w:r w:rsidRPr="006C2931">
        <w:rPr>
          <w:rFonts w:ascii="Arial" w:hAnsi="Arial" w:cs="Arial"/>
          <w:sz w:val="24"/>
          <w:szCs w:val="24"/>
          <w:lang w:val="en-GB"/>
        </w:rPr>
        <w:t xml:space="preserve"> The application was accordingly dismissed with costs.</w:t>
      </w:r>
    </w:p>
    <w:p w:rsidR="005B01ED" w:rsidRPr="005B01ED" w:rsidRDefault="005B01ED" w:rsidP="005B01ED">
      <w:pPr>
        <w:pStyle w:val="ListParagraph"/>
        <w:rPr>
          <w:rFonts w:ascii="Arial" w:hAnsi="Arial" w:cs="Arial"/>
          <w:sz w:val="24"/>
          <w:szCs w:val="24"/>
          <w:lang w:val="en-GB"/>
        </w:rPr>
      </w:pPr>
    </w:p>
    <w:p w:rsidR="005B01ED" w:rsidRPr="006C2931" w:rsidRDefault="005B01ED" w:rsidP="005B01ED">
      <w:pPr>
        <w:pStyle w:val="ListParagraph"/>
        <w:spacing w:after="0" w:line="480" w:lineRule="auto"/>
        <w:ind w:left="0"/>
        <w:jc w:val="both"/>
        <w:rPr>
          <w:rFonts w:ascii="Arial" w:hAnsi="Arial" w:cs="Arial"/>
          <w:sz w:val="24"/>
          <w:szCs w:val="24"/>
          <w:lang w:val="en-GB"/>
        </w:rPr>
      </w:pPr>
    </w:p>
    <w:p w:rsidR="005F1CD4" w:rsidRDefault="005F1CD4" w:rsidP="005F1CD4">
      <w:pPr>
        <w:spacing w:line="240" w:lineRule="auto"/>
        <w:jc w:val="both"/>
        <w:rPr>
          <w:rFonts w:ascii="Arial" w:hAnsi="Arial" w:cs="Arial"/>
          <w:sz w:val="24"/>
          <w:szCs w:val="24"/>
          <w:u w:val="single"/>
        </w:rPr>
      </w:pPr>
    </w:p>
    <w:p w:rsidR="005F1CD4" w:rsidRPr="00AD0C32" w:rsidRDefault="005F1CD4" w:rsidP="005F1CD4">
      <w:pPr>
        <w:spacing w:line="240" w:lineRule="auto"/>
        <w:jc w:val="both"/>
        <w:rPr>
          <w:rFonts w:ascii="Arial" w:hAnsi="Arial" w:cs="Arial"/>
          <w:sz w:val="24"/>
          <w:szCs w:val="24"/>
          <w:u w:val="single"/>
        </w:rPr>
      </w:pPr>
      <w:r w:rsidRPr="00AD0C32">
        <w:rPr>
          <w:rFonts w:ascii="Arial" w:hAnsi="Arial" w:cs="Arial"/>
          <w:sz w:val="24"/>
          <w:szCs w:val="24"/>
          <w:u w:val="single"/>
        </w:rPr>
        <w:t xml:space="preserve">Issues on </w:t>
      </w:r>
      <w:r>
        <w:rPr>
          <w:rFonts w:ascii="Arial" w:hAnsi="Arial" w:cs="Arial"/>
          <w:sz w:val="24"/>
          <w:szCs w:val="24"/>
          <w:u w:val="single"/>
        </w:rPr>
        <w:t>a</w:t>
      </w:r>
      <w:r w:rsidRPr="00AD0C32">
        <w:rPr>
          <w:rFonts w:ascii="Arial" w:hAnsi="Arial" w:cs="Arial"/>
          <w:sz w:val="24"/>
          <w:szCs w:val="24"/>
          <w:u w:val="single"/>
        </w:rPr>
        <w:t>ppeal</w:t>
      </w:r>
    </w:p>
    <w:p w:rsidR="005F1CD4" w:rsidRDefault="005F1CD4" w:rsidP="005F1CD4">
      <w:pPr>
        <w:pStyle w:val="ListParagraph"/>
        <w:numPr>
          <w:ilvl w:val="0"/>
          <w:numId w:val="2"/>
        </w:numPr>
        <w:spacing w:line="480" w:lineRule="auto"/>
        <w:ind w:left="0" w:firstLine="0"/>
        <w:jc w:val="both"/>
        <w:rPr>
          <w:rFonts w:ascii="Arial" w:hAnsi="Arial" w:cs="Arial"/>
          <w:sz w:val="24"/>
          <w:szCs w:val="24"/>
        </w:rPr>
      </w:pPr>
      <w:r w:rsidRPr="007B6ABF">
        <w:rPr>
          <w:rFonts w:ascii="Arial" w:hAnsi="Arial" w:cs="Arial"/>
          <w:sz w:val="24"/>
          <w:szCs w:val="24"/>
        </w:rPr>
        <w:t xml:space="preserve">The appeal is premised on two grounds. Firstly, that the court erred in dismissing the application with costs on procedural technicalities and secondly, that once it had been established that there was a first marriage involving one of the parties, this court is obliged to declare the second marriage between the appellant and the respondent invalid or void </w:t>
      </w:r>
      <w:r w:rsidRPr="007B6ABF">
        <w:rPr>
          <w:rFonts w:ascii="Arial" w:hAnsi="Arial" w:cs="Arial"/>
          <w:i/>
          <w:sz w:val="24"/>
          <w:szCs w:val="24"/>
        </w:rPr>
        <w:t xml:space="preserve">ab initio </w:t>
      </w:r>
      <w:r w:rsidRPr="007B6ABF">
        <w:rPr>
          <w:rFonts w:ascii="Arial" w:hAnsi="Arial" w:cs="Arial"/>
          <w:sz w:val="24"/>
          <w:szCs w:val="24"/>
        </w:rPr>
        <w:t xml:space="preserve">without more.  </w:t>
      </w:r>
    </w:p>
    <w:p w:rsidR="005B01ED" w:rsidRPr="007B6ABF" w:rsidRDefault="005B01ED" w:rsidP="005B01ED">
      <w:pPr>
        <w:pStyle w:val="ListParagraph"/>
        <w:spacing w:after="0" w:line="480" w:lineRule="auto"/>
        <w:ind w:left="0"/>
        <w:jc w:val="both"/>
        <w:rPr>
          <w:rFonts w:ascii="Arial" w:hAnsi="Arial" w:cs="Arial"/>
          <w:sz w:val="24"/>
          <w:szCs w:val="24"/>
        </w:rPr>
      </w:pPr>
    </w:p>
    <w:p w:rsidR="005F1CD4" w:rsidRPr="00AD0C32" w:rsidRDefault="005F1CD4" w:rsidP="005B01ED">
      <w:pPr>
        <w:spacing w:after="0" w:line="480" w:lineRule="auto"/>
        <w:jc w:val="both"/>
        <w:rPr>
          <w:rFonts w:ascii="Arial" w:hAnsi="Arial" w:cs="Arial"/>
          <w:sz w:val="24"/>
          <w:szCs w:val="24"/>
          <w:u w:val="single"/>
        </w:rPr>
      </w:pPr>
      <w:r>
        <w:rPr>
          <w:rFonts w:ascii="Arial" w:hAnsi="Arial" w:cs="Arial"/>
          <w:sz w:val="24"/>
          <w:szCs w:val="24"/>
          <w:u w:val="single"/>
        </w:rPr>
        <w:t>Submissions of counsel</w:t>
      </w:r>
    </w:p>
    <w:p w:rsidR="005F1CD4" w:rsidRDefault="005F1CD4" w:rsidP="005F1CD4">
      <w:pPr>
        <w:pStyle w:val="ListParagraph"/>
        <w:numPr>
          <w:ilvl w:val="0"/>
          <w:numId w:val="2"/>
        </w:numPr>
        <w:spacing w:line="480" w:lineRule="auto"/>
        <w:ind w:left="0" w:firstLine="0"/>
        <w:jc w:val="both"/>
        <w:rPr>
          <w:rFonts w:ascii="Arial" w:hAnsi="Arial" w:cs="Arial"/>
          <w:sz w:val="24"/>
          <w:szCs w:val="24"/>
        </w:rPr>
      </w:pPr>
      <w:r w:rsidRPr="007B6ABF">
        <w:rPr>
          <w:rFonts w:ascii="Arial" w:hAnsi="Arial" w:cs="Arial"/>
          <w:sz w:val="24"/>
          <w:szCs w:val="24"/>
        </w:rPr>
        <w:t>Counsel for the appellant conceded during oral submissions that it was highly likely that the parties were questioned about their marital status before the solemnization of the second marriage despite assertions by the appellant to the contrary. She, however, argued that the issue of ‘putative marriage’ raised by the respondent in her answering affidavit was not properly before the court in the absence of a counter-application in the High Court to declare the second marriage a putative marriage.</w:t>
      </w:r>
    </w:p>
    <w:p w:rsidR="005B01ED" w:rsidRPr="007B6ABF" w:rsidRDefault="005B01ED" w:rsidP="005B01ED">
      <w:pPr>
        <w:pStyle w:val="ListParagraph"/>
        <w:spacing w:after="0" w:line="480" w:lineRule="auto"/>
        <w:ind w:left="0"/>
        <w:jc w:val="both"/>
        <w:rPr>
          <w:rFonts w:ascii="Arial" w:hAnsi="Arial" w:cs="Arial"/>
          <w:sz w:val="24"/>
          <w:szCs w:val="24"/>
        </w:rPr>
      </w:pPr>
    </w:p>
    <w:p w:rsidR="005B01ED" w:rsidRDefault="005F1CD4" w:rsidP="005F1CD4">
      <w:pPr>
        <w:pStyle w:val="ListParagraph"/>
        <w:numPr>
          <w:ilvl w:val="0"/>
          <w:numId w:val="2"/>
        </w:numPr>
        <w:spacing w:line="480" w:lineRule="auto"/>
        <w:ind w:left="0" w:firstLine="0"/>
        <w:jc w:val="both"/>
        <w:rPr>
          <w:rFonts w:ascii="Arial" w:hAnsi="Arial" w:cs="Arial"/>
          <w:sz w:val="24"/>
          <w:szCs w:val="24"/>
        </w:rPr>
      </w:pPr>
      <w:r w:rsidRPr="007B6ABF">
        <w:rPr>
          <w:rFonts w:ascii="Arial" w:hAnsi="Arial" w:cs="Arial"/>
          <w:sz w:val="24"/>
          <w:szCs w:val="24"/>
        </w:rPr>
        <w:t xml:space="preserve">Counsel conceded that there was a dispute of fact that could not be decided on affidavit. She, nevertheless, submitted that the court </w:t>
      </w:r>
      <w:r w:rsidRPr="007B6ABF">
        <w:rPr>
          <w:rFonts w:ascii="Arial" w:hAnsi="Arial" w:cs="Arial"/>
          <w:i/>
          <w:sz w:val="24"/>
          <w:szCs w:val="24"/>
        </w:rPr>
        <w:t>a quo</w:t>
      </w:r>
      <w:r w:rsidRPr="007B6ABF">
        <w:rPr>
          <w:rFonts w:ascii="Arial" w:hAnsi="Arial" w:cs="Arial"/>
          <w:sz w:val="24"/>
          <w:szCs w:val="24"/>
        </w:rPr>
        <w:t xml:space="preserve"> erred in dismissing the case instead of exercising its discretion to refer the matter to oral evidence so as to resolve the disputed facts. Counsel referred to rule 1(3) of the Rules of the High Court that sets out the overriding objective of the rules, which includes facilitating the resolution of real issues in dispute justly, speedily, and efficiently as well as cost effectively. Counsel argued that the only issue the court </w:t>
      </w:r>
      <w:r w:rsidRPr="007B6ABF">
        <w:rPr>
          <w:rFonts w:ascii="Arial" w:hAnsi="Arial" w:cs="Arial"/>
          <w:i/>
          <w:sz w:val="24"/>
          <w:szCs w:val="24"/>
        </w:rPr>
        <w:t>a quo</w:t>
      </w:r>
      <w:r w:rsidRPr="007B6ABF">
        <w:rPr>
          <w:rFonts w:ascii="Arial" w:hAnsi="Arial" w:cs="Arial"/>
          <w:sz w:val="24"/>
          <w:szCs w:val="24"/>
        </w:rPr>
        <w:t xml:space="preserve"> was called upon to decide was whether at the time he got married to the respondent, the appellant was already a party to an existing marriage.  </w:t>
      </w:r>
      <w:r w:rsidRPr="007B6ABF">
        <w:rPr>
          <w:rFonts w:ascii="Arial" w:hAnsi="Arial" w:cs="Arial"/>
          <w:sz w:val="24"/>
          <w:szCs w:val="24"/>
        </w:rPr>
        <w:lastRenderedPageBreak/>
        <w:t>Once it has been established that the appellant was such a party, then this court is obliged to declare the second marriage a nullity. According to counsel, the bona fides of the parties at the time of the conclusion of the marriage</w:t>
      </w:r>
      <w:r w:rsidR="00007AC1">
        <w:rPr>
          <w:rFonts w:ascii="Arial" w:hAnsi="Arial" w:cs="Arial"/>
          <w:sz w:val="24"/>
          <w:szCs w:val="24"/>
        </w:rPr>
        <w:t xml:space="preserve"> contract</w:t>
      </w:r>
      <w:r w:rsidRPr="007B6ABF">
        <w:rPr>
          <w:rFonts w:ascii="Arial" w:hAnsi="Arial" w:cs="Arial"/>
          <w:sz w:val="24"/>
          <w:szCs w:val="24"/>
        </w:rPr>
        <w:t xml:space="preserve"> w</w:t>
      </w:r>
      <w:r w:rsidR="00D77758">
        <w:rPr>
          <w:rFonts w:ascii="Arial" w:hAnsi="Arial" w:cs="Arial"/>
          <w:sz w:val="24"/>
          <w:szCs w:val="24"/>
        </w:rPr>
        <w:t>as</w:t>
      </w:r>
      <w:r w:rsidRPr="007B6ABF">
        <w:rPr>
          <w:rFonts w:ascii="Arial" w:hAnsi="Arial" w:cs="Arial"/>
          <w:sz w:val="24"/>
          <w:szCs w:val="24"/>
        </w:rPr>
        <w:t xml:space="preserve"> irrelevant in deciding the validity of the second marriage. Counsel argued that the question whether a party had contracted a marriage in good faith should only be considered when determining the issue of bigamy or the existence of a putative marriage. Counsel relied for this proposition on a passage in an unreported judgment of the High Court in </w:t>
      </w:r>
      <w:r w:rsidRPr="007B6ABF">
        <w:rPr>
          <w:rFonts w:ascii="Arial" w:hAnsi="Arial" w:cs="Arial"/>
          <w:i/>
          <w:sz w:val="24"/>
          <w:szCs w:val="24"/>
        </w:rPr>
        <w:t>S J G v S G C,</w:t>
      </w:r>
      <w:r w:rsidRPr="007B6ABF">
        <w:rPr>
          <w:rFonts w:ascii="Arial" w:hAnsi="Arial" w:cs="Arial"/>
          <w:sz w:val="24"/>
          <w:szCs w:val="24"/>
        </w:rPr>
        <w:t xml:space="preserve"> Case no. A186/2009 delivered on 12 October 2009. Counsel urged the Court to set aside the order of the High Court; declare the marriage between the parties null and void and refer the matter back to the High Court for that court to hear oral evidence on disputed facts. </w:t>
      </w:r>
    </w:p>
    <w:p w:rsidR="005F1CD4" w:rsidRPr="007B6ABF" w:rsidRDefault="005F1CD4" w:rsidP="005B01ED">
      <w:pPr>
        <w:pStyle w:val="ListParagraph"/>
        <w:spacing w:after="0" w:line="480" w:lineRule="auto"/>
        <w:ind w:left="0"/>
        <w:jc w:val="both"/>
        <w:rPr>
          <w:rFonts w:ascii="Arial" w:hAnsi="Arial" w:cs="Arial"/>
          <w:sz w:val="24"/>
          <w:szCs w:val="24"/>
        </w:rPr>
      </w:pPr>
      <w:r w:rsidRPr="007B6ABF">
        <w:rPr>
          <w:rFonts w:ascii="Arial" w:hAnsi="Arial" w:cs="Arial"/>
          <w:sz w:val="24"/>
          <w:szCs w:val="24"/>
        </w:rPr>
        <w:t xml:space="preserve"> </w:t>
      </w:r>
    </w:p>
    <w:p w:rsidR="005F1CD4" w:rsidRDefault="005F1CD4" w:rsidP="005F1CD4">
      <w:pPr>
        <w:pStyle w:val="ListParagraph"/>
        <w:numPr>
          <w:ilvl w:val="0"/>
          <w:numId w:val="2"/>
        </w:numPr>
        <w:spacing w:line="480" w:lineRule="auto"/>
        <w:ind w:left="0" w:firstLine="0"/>
        <w:jc w:val="both"/>
        <w:rPr>
          <w:rFonts w:ascii="Arial" w:hAnsi="Arial" w:cs="Arial"/>
          <w:sz w:val="24"/>
          <w:szCs w:val="24"/>
        </w:rPr>
      </w:pPr>
      <w:r w:rsidRPr="007B6ABF">
        <w:rPr>
          <w:rFonts w:ascii="Arial" w:hAnsi="Arial" w:cs="Arial"/>
          <w:sz w:val="24"/>
          <w:szCs w:val="24"/>
        </w:rPr>
        <w:t xml:space="preserve">I note that the sentence in para 7 of the unreported judgment in </w:t>
      </w:r>
      <w:r w:rsidRPr="007B6ABF">
        <w:rPr>
          <w:rFonts w:ascii="Arial" w:hAnsi="Arial" w:cs="Arial"/>
          <w:i/>
          <w:sz w:val="24"/>
          <w:szCs w:val="24"/>
        </w:rPr>
        <w:t>S J G v S G C</w:t>
      </w:r>
      <w:r w:rsidRPr="007B6ABF">
        <w:rPr>
          <w:rFonts w:ascii="Arial" w:hAnsi="Arial" w:cs="Arial"/>
          <w:sz w:val="24"/>
          <w:szCs w:val="24"/>
        </w:rPr>
        <w:t xml:space="preserve"> relied upon by counsel, namely ‘[i]t is trite that a marriage solemnized whilst one of the parties thereto is still a party to an existing marriage is null and void,’ is no authority for the proposition counsel contends for. If I understand counsel correctly, the proposition she contends for is this: Once it has been established that the second marriage was contracted whilst one of the parties thereto was a party to an existing marriage, the bona fides of the parties to the marriage </w:t>
      </w:r>
      <w:r w:rsidR="00D77758">
        <w:rPr>
          <w:rFonts w:ascii="Arial" w:hAnsi="Arial" w:cs="Arial"/>
          <w:sz w:val="24"/>
          <w:szCs w:val="24"/>
        </w:rPr>
        <w:t>is</w:t>
      </w:r>
      <w:r w:rsidRPr="007B6ABF">
        <w:rPr>
          <w:rFonts w:ascii="Arial" w:hAnsi="Arial" w:cs="Arial"/>
          <w:sz w:val="24"/>
          <w:szCs w:val="24"/>
        </w:rPr>
        <w:t xml:space="preserve"> irrelevant even if one of the parties appears to contend that the marriage should have the consequences of a putative marriage. In those circumstances, so </w:t>
      </w:r>
      <w:r w:rsidR="00D77758">
        <w:rPr>
          <w:rFonts w:ascii="Arial" w:hAnsi="Arial" w:cs="Arial"/>
          <w:sz w:val="24"/>
          <w:szCs w:val="24"/>
        </w:rPr>
        <w:t xml:space="preserve">the </w:t>
      </w:r>
      <w:r w:rsidRPr="007B6ABF">
        <w:rPr>
          <w:rFonts w:ascii="Arial" w:hAnsi="Arial" w:cs="Arial"/>
          <w:sz w:val="24"/>
          <w:szCs w:val="24"/>
        </w:rPr>
        <w:t>argument went, the marriage should be declared null and void without more.</w:t>
      </w:r>
    </w:p>
    <w:p w:rsidR="005B01ED" w:rsidRPr="005B01ED" w:rsidRDefault="005B01ED" w:rsidP="005B01ED">
      <w:pPr>
        <w:pStyle w:val="ListParagraph"/>
        <w:spacing w:after="0" w:line="480" w:lineRule="auto"/>
        <w:jc w:val="both"/>
        <w:rPr>
          <w:rFonts w:ascii="Arial" w:hAnsi="Arial" w:cs="Arial"/>
          <w:sz w:val="24"/>
          <w:szCs w:val="24"/>
        </w:rPr>
      </w:pPr>
    </w:p>
    <w:p w:rsidR="005F1CD4" w:rsidRDefault="005F1CD4" w:rsidP="005B01ED">
      <w:pPr>
        <w:pStyle w:val="ListParagraph"/>
        <w:numPr>
          <w:ilvl w:val="0"/>
          <w:numId w:val="2"/>
        </w:numPr>
        <w:spacing w:line="480" w:lineRule="auto"/>
        <w:ind w:left="0" w:firstLine="0"/>
        <w:jc w:val="both"/>
        <w:rPr>
          <w:rFonts w:ascii="Arial" w:hAnsi="Arial" w:cs="Arial"/>
          <w:sz w:val="24"/>
          <w:szCs w:val="24"/>
        </w:rPr>
      </w:pPr>
      <w:r w:rsidRPr="005B01ED">
        <w:rPr>
          <w:rFonts w:ascii="Arial" w:hAnsi="Arial" w:cs="Arial"/>
          <w:sz w:val="24"/>
          <w:szCs w:val="24"/>
        </w:rPr>
        <w:lastRenderedPageBreak/>
        <w:t xml:space="preserve">The proposition that the validity of the marriage should be decided separately from the claim for a putative marriage cannot be accepted as correct for the following reasons.  It is trite that the concept of a putative marriage has been recognized at common law as </w:t>
      </w:r>
      <w:r w:rsidR="009E5D90">
        <w:rPr>
          <w:rFonts w:ascii="Arial" w:hAnsi="Arial" w:cs="Arial"/>
          <w:sz w:val="24"/>
          <w:szCs w:val="24"/>
        </w:rPr>
        <w:t xml:space="preserve">a </w:t>
      </w:r>
      <w:r w:rsidRPr="005B01ED">
        <w:rPr>
          <w:rFonts w:ascii="Arial" w:hAnsi="Arial" w:cs="Arial"/>
          <w:sz w:val="24"/>
          <w:szCs w:val="24"/>
        </w:rPr>
        <w:t>measure to provide some relief to an innocent party (who had entered into an invalid marriage without the knowledge of its invalidity).</w:t>
      </w:r>
      <w:r>
        <w:rPr>
          <w:rStyle w:val="FootnoteReference"/>
          <w:rFonts w:ascii="Arial" w:hAnsi="Arial" w:cs="Arial"/>
          <w:sz w:val="24"/>
          <w:szCs w:val="24"/>
        </w:rPr>
        <w:footnoteReference w:id="1"/>
      </w:r>
      <w:r w:rsidRPr="005B01ED">
        <w:rPr>
          <w:rFonts w:ascii="Arial" w:hAnsi="Arial" w:cs="Arial"/>
          <w:sz w:val="24"/>
          <w:szCs w:val="24"/>
        </w:rPr>
        <w:t xml:space="preserve"> Some of the legal consequences that flow from an invalid marriage include property rights and where applicable rights pertaining to children born during the union.</w:t>
      </w:r>
      <w:r>
        <w:rPr>
          <w:rStyle w:val="FootnoteReference"/>
          <w:rFonts w:ascii="Arial" w:hAnsi="Arial" w:cs="Arial"/>
          <w:sz w:val="24"/>
          <w:szCs w:val="24"/>
        </w:rPr>
        <w:footnoteReference w:id="2"/>
      </w:r>
      <w:r w:rsidRPr="005B01ED">
        <w:rPr>
          <w:rFonts w:ascii="Arial" w:hAnsi="Arial" w:cs="Arial"/>
          <w:sz w:val="24"/>
          <w:szCs w:val="24"/>
        </w:rPr>
        <w:t xml:space="preserve"> Although the respondent did not make a formal application to have the ‘marriage’ declared a putative marriage, in substance she raised the issue in her answering affidavit. The allegations she made gave rise to the finding of a dispute of fact by the court </w:t>
      </w:r>
      <w:r w:rsidRPr="005B01ED">
        <w:rPr>
          <w:rFonts w:ascii="Arial" w:hAnsi="Arial" w:cs="Arial"/>
          <w:i/>
          <w:sz w:val="24"/>
          <w:szCs w:val="24"/>
        </w:rPr>
        <w:t>a quo</w:t>
      </w:r>
      <w:r w:rsidRPr="005B01ED">
        <w:rPr>
          <w:rFonts w:ascii="Arial" w:hAnsi="Arial" w:cs="Arial"/>
          <w:sz w:val="24"/>
          <w:szCs w:val="24"/>
        </w:rPr>
        <w:t xml:space="preserve">. It is therefore essential that the issue of the validity of the second marriage should be decided in context and not in a vacuum. </w:t>
      </w:r>
    </w:p>
    <w:p w:rsidR="005B01ED" w:rsidRPr="005B01ED" w:rsidRDefault="005B01ED" w:rsidP="005B01ED">
      <w:pPr>
        <w:pStyle w:val="ListParagraph"/>
        <w:spacing w:after="0" w:line="480" w:lineRule="auto"/>
        <w:jc w:val="both"/>
        <w:rPr>
          <w:rFonts w:ascii="Arial" w:hAnsi="Arial" w:cs="Arial"/>
          <w:sz w:val="24"/>
          <w:szCs w:val="24"/>
        </w:rPr>
      </w:pPr>
    </w:p>
    <w:p w:rsidR="005F1CD4" w:rsidRDefault="005F1CD4" w:rsidP="005F1CD4">
      <w:pPr>
        <w:pStyle w:val="ListParagraph"/>
        <w:numPr>
          <w:ilvl w:val="0"/>
          <w:numId w:val="2"/>
        </w:numPr>
        <w:spacing w:line="480" w:lineRule="auto"/>
        <w:ind w:left="0" w:firstLine="0"/>
        <w:jc w:val="both"/>
        <w:rPr>
          <w:rFonts w:ascii="Arial" w:hAnsi="Arial" w:cs="Arial"/>
          <w:sz w:val="24"/>
          <w:szCs w:val="24"/>
        </w:rPr>
      </w:pPr>
      <w:r w:rsidRPr="007B6ABF">
        <w:rPr>
          <w:rFonts w:ascii="Arial" w:hAnsi="Arial" w:cs="Arial"/>
          <w:sz w:val="24"/>
          <w:szCs w:val="24"/>
        </w:rPr>
        <w:t>A broad</w:t>
      </w:r>
      <w:r>
        <w:rPr>
          <w:rFonts w:ascii="Arial" w:hAnsi="Arial" w:cs="Arial"/>
          <w:sz w:val="24"/>
          <w:szCs w:val="24"/>
        </w:rPr>
        <w:t>er</w:t>
      </w:r>
      <w:r w:rsidRPr="007B6ABF">
        <w:rPr>
          <w:rFonts w:ascii="Arial" w:hAnsi="Arial" w:cs="Arial"/>
          <w:sz w:val="24"/>
          <w:szCs w:val="24"/>
        </w:rPr>
        <w:t xml:space="preserve"> consideration of the circumstances surrounding the solemni</w:t>
      </w:r>
      <w:r>
        <w:rPr>
          <w:rFonts w:ascii="Arial" w:hAnsi="Arial" w:cs="Arial"/>
          <w:sz w:val="24"/>
          <w:szCs w:val="24"/>
        </w:rPr>
        <w:t>z</w:t>
      </w:r>
      <w:r w:rsidRPr="007B6ABF">
        <w:rPr>
          <w:rFonts w:ascii="Arial" w:hAnsi="Arial" w:cs="Arial"/>
          <w:sz w:val="24"/>
          <w:szCs w:val="24"/>
        </w:rPr>
        <w:t xml:space="preserve">ation of the second marriage and the proprietary implications of the parties should be undertaken during the determination of the question whether or not the marriage was a nullity. The bona fides of the parties to the marriage </w:t>
      </w:r>
      <w:r w:rsidR="009E5D90">
        <w:rPr>
          <w:rFonts w:ascii="Arial" w:hAnsi="Arial" w:cs="Arial"/>
          <w:sz w:val="24"/>
          <w:szCs w:val="24"/>
        </w:rPr>
        <w:t>is</w:t>
      </w:r>
      <w:r w:rsidRPr="007B6ABF">
        <w:rPr>
          <w:rFonts w:ascii="Arial" w:hAnsi="Arial" w:cs="Arial"/>
          <w:sz w:val="24"/>
          <w:szCs w:val="24"/>
        </w:rPr>
        <w:t xml:space="preserve"> certainly a relevant consideration in this context. The issue that has arisen in the present </w:t>
      </w:r>
      <w:r>
        <w:rPr>
          <w:rFonts w:ascii="Arial" w:hAnsi="Arial" w:cs="Arial"/>
          <w:sz w:val="24"/>
          <w:szCs w:val="24"/>
        </w:rPr>
        <w:t xml:space="preserve">case </w:t>
      </w:r>
      <w:r w:rsidRPr="007B6ABF">
        <w:rPr>
          <w:rFonts w:ascii="Arial" w:hAnsi="Arial" w:cs="Arial"/>
          <w:sz w:val="24"/>
          <w:szCs w:val="24"/>
        </w:rPr>
        <w:t xml:space="preserve">where a respondent’s rights under a putative marriage may be adversely affected should the matter be decided in a piece meal fashion is likely to arise in future cases as there may well be parties to marriages who find themselves in circumstances similar to those </w:t>
      </w:r>
      <w:r>
        <w:rPr>
          <w:rFonts w:ascii="Arial" w:hAnsi="Arial" w:cs="Arial"/>
          <w:sz w:val="24"/>
          <w:szCs w:val="24"/>
        </w:rPr>
        <w:t xml:space="preserve">of </w:t>
      </w:r>
      <w:r w:rsidRPr="007B6ABF">
        <w:rPr>
          <w:rFonts w:ascii="Arial" w:hAnsi="Arial" w:cs="Arial"/>
          <w:sz w:val="24"/>
          <w:szCs w:val="24"/>
        </w:rPr>
        <w:t>the respondent. As a matter of public policy</w:t>
      </w:r>
      <w:r>
        <w:rPr>
          <w:rFonts w:ascii="Arial" w:hAnsi="Arial" w:cs="Arial"/>
          <w:sz w:val="24"/>
          <w:szCs w:val="24"/>
        </w:rPr>
        <w:t>, equity</w:t>
      </w:r>
      <w:r w:rsidRPr="007B6ABF">
        <w:rPr>
          <w:rFonts w:ascii="Arial" w:hAnsi="Arial" w:cs="Arial"/>
          <w:sz w:val="24"/>
          <w:szCs w:val="24"/>
        </w:rPr>
        <w:t xml:space="preserve"> and fairness to both parties to the union, it is imperative that the </w:t>
      </w:r>
      <w:r w:rsidRPr="007B6ABF">
        <w:rPr>
          <w:rFonts w:ascii="Arial" w:hAnsi="Arial" w:cs="Arial"/>
          <w:sz w:val="24"/>
          <w:szCs w:val="24"/>
        </w:rPr>
        <w:lastRenderedPageBreak/>
        <w:t xml:space="preserve">declaration of the </w:t>
      </w:r>
      <w:r>
        <w:rPr>
          <w:rFonts w:ascii="Arial" w:hAnsi="Arial" w:cs="Arial"/>
          <w:sz w:val="24"/>
          <w:szCs w:val="24"/>
        </w:rPr>
        <w:t>in</w:t>
      </w:r>
      <w:r w:rsidRPr="007B6ABF">
        <w:rPr>
          <w:rFonts w:ascii="Arial" w:hAnsi="Arial" w:cs="Arial"/>
          <w:sz w:val="24"/>
          <w:szCs w:val="24"/>
        </w:rPr>
        <w:t xml:space="preserve">validity of a marriage and that of a putative marriage, if </w:t>
      </w:r>
      <w:r>
        <w:rPr>
          <w:rFonts w:ascii="Arial" w:hAnsi="Arial" w:cs="Arial"/>
          <w:sz w:val="24"/>
          <w:szCs w:val="24"/>
        </w:rPr>
        <w:t xml:space="preserve">properly </w:t>
      </w:r>
      <w:r w:rsidRPr="007B6ABF">
        <w:rPr>
          <w:rFonts w:ascii="Arial" w:hAnsi="Arial" w:cs="Arial"/>
          <w:sz w:val="24"/>
          <w:szCs w:val="24"/>
        </w:rPr>
        <w:t>raised, should be determined in tandem and not in isolation.</w:t>
      </w:r>
    </w:p>
    <w:p w:rsidR="009E5D90" w:rsidRPr="009E5D90" w:rsidRDefault="009E5D90" w:rsidP="009E5D90">
      <w:pPr>
        <w:pStyle w:val="ListParagraph"/>
        <w:spacing w:after="0" w:line="480" w:lineRule="auto"/>
        <w:jc w:val="both"/>
        <w:rPr>
          <w:rFonts w:ascii="Arial" w:hAnsi="Arial" w:cs="Arial"/>
          <w:sz w:val="24"/>
          <w:szCs w:val="24"/>
        </w:rPr>
      </w:pPr>
    </w:p>
    <w:p w:rsidR="005F1CD4" w:rsidRPr="00121101" w:rsidRDefault="005F1CD4" w:rsidP="009E5D90">
      <w:pPr>
        <w:spacing w:after="0" w:line="480" w:lineRule="auto"/>
        <w:jc w:val="both"/>
        <w:rPr>
          <w:rFonts w:ascii="Arial" w:hAnsi="Arial" w:cs="Arial"/>
          <w:sz w:val="24"/>
          <w:szCs w:val="24"/>
          <w:u w:val="single"/>
        </w:rPr>
      </w:pPr>
      <w:r w:rsidRPr="00121101">
        <w:rPr>
          <w:rFonts w:ascii="Arial" w:hAnsi="Arial" w:cs="Arial"/>
          <w:sz w:val="24"/>
          <w:szCs w:val="24"/>
          <w:u w:val="single"/>
        </w:rPr>
        <w:t xml:space="preserve">Whether the court </w:t>
      </w:r>
      <w:r w:rsidRPr="00121101">
        <w:rPr>
          <w:rFonts w:ascii="Arial" w:hAnsi="Arial" w:cs="Arial"/>
          <w:i/>
          <w:sz w:val="24"/>
          <w:szCs w:val="24"/>
          <w:u w:val="single"/>
        </w:rPr>
        <w:t>a quo</w:t>
      </w:r>
      <w:r w:rsidRPr="00121101">
        <w:rPr>
          <w:rFonts w:ascii="Arial" w:hAnsi="Arial" w:cs="Arial"/>
          <w:sz w:val="24"/>
          <w:szCs w:val="24"/>
          <w:u w:val="single"/>
        </w:rPr>
        <w:t xml:space="preserve"> erred </w:t>
      </w:r>
      <w:r w:rsidR="00E50B17">
        <w:rPr>
          <w:rFonts w:ascii="Arial" w:hAnsi="Arial" w:cs="Arial"/>
          <w:sz w:val="24"/>
          <w:szCs w:val="24"/>
          <w:u w:val="single"/>
        </w:rPr>
        <w:t>by</w:t>
      </w:r>
      <w:r w:rsidR="007C62F6">
        <w:rPr>
          <w:rFonts w:ascii="Arial" w:hAnsi="Arial" w:cs="Arial"/>
          <w:sz w:val="24"/>
          <w:szCs w:val="24"/>
          <w:u w:val="single"/>
        </w:rPr>
        <w:t xml:space="preserve"> </w:t>
      </w:r>
      <w:r>
        <w:rPr>
          <w:rFonts w:ascii="Arial" w:hAnsi="Arial" w:cs="Arial"/>
          <w:sz w:val="24"/>
          <w:szCs w:val="24"/>
          <w:u w:val="single"/>
        </w:rPr>
        <w:t>dismissing the application instead of referring it to evidence</w:t>
      </w:r>
    </w:p>
    <w:p w:rsidR="005F1CD4" w:rsidRDefault="005F1CD4" w:rsidP="005F1CD4">
      <w:pPr>
        <w:pStyle w:val="ListParagraph"/>
        <w:numPr>
          <w:ilvl w:val="0"/>
          <w:numId w:val="2"/>
        </w:numPr>
        <w:spacing w:line="480" w:lineRule="auto"/>
        <w:ind w:left="0" w:firstLine="0"/>
        <w:jc w:val="both"/>
        <w:rPr>
          <w:rFonts w:ascii="Arial" w:hAnsi="Arial" w:cs="Arial"/>
          <w:sz w:val="24"/>
          <w:szCs w:val="24"/>
        </w:rPr>
      </w:pPr>
      <w:r w:rsidRPr="007B6ABF">
        <w:rPr>
          <w:rFonts w:ascii="Arial" w:hAnsi="Arial" w:cs="Arial"/>
          <w:sz w:val="24"/>
          <w:szCs w:val="24"/>
        </w:rPr>
        <w:t xml:space="preserve">By instituting motion proceedings in this matter, the appellant chose not to pursue his case by way of trial.  Additionally, he did not ask for the matter to be referred to oral evidence in the court </w:t>
      </w:r>
      <w:r w:rsidRPr="007B6ABF">
        <w:rPr>
          <w:rFonts w:ascii="Arial" w:hAnsi="Arial" w:cs="Arial"/>
          <w:i/>
          <w:sz w:val="24"/>
          <w:szCs w:val="24"/>
        </w:rPr>
        <w:t>a quo</w:t>
      </w:r>
      <w:r w:rsidRPr="007B6ABF">
        <w:rPr>
          <w:rFonts w:ascii="Arial" w:hAnsi="Arial" w:cs="Arial"/>
          <w:sz w:val="24"/>
          <w:szCs w:val="24"/>
        </w:rPr>
        <w:t xml:space="preserve">. The court has a wide discretion in dealing with an application that cannot be decided on the basis of </w:t>
      </w:r>
      <w:r w:rsidR="00E50B17">
        <w:rPr>
          <w:rFonts w:ascii="Arial" w:hAnsi="Arial" w:cs="Arial"/>
          <w:sz w:val="24"/>
          <w:szCs w:val="24"/>
        </w:rPr>
        <w:t xml:space="preserve">evidence on </w:t>
      </w:r>
      <w:r w:rsidRPr="007B6ABF">
        <w:rPr>
          <w:rFonts w:ascii="Arial" w:hAnsi="Arial" w:cs="Arial"/>
          <w:sz w:val="24"/>
          <w:szCs w:val="24"/>
        </w:rPr>
        <w:t>affidavit, but such discretion should be exercised in accordance with principle.</w:t>
      </w:r>
      <w:r w:rsidRPr="00CC1C8B">
        <w:rPr>
          <w:rStyle w:val="FootnoteReference"/>
          <w:rFonts w:ascii="Arial" w:hAnsi="Arial" w:cs="Arial"/>
          <w:sz w:val="24"/>
          <w:szCs w:val="24"/>
        </w:rPr>
        <w:footnoteReference w:id="3"/>
      </w:r>
      <w:r w:rsidRPr="007B6ABF">
        <w:rPr>
          <w:rFonts w:ascii="Arial" w:hAnsi="Arial" w:cs="Arial"/>
          <w:sz w:val="24"/>
          <w:szCs w:val="24"/>
        </w:rPr>
        <w:t xml:space="preserve"> According to rule 67(1) of the Rules of the High Court, the court may:</w:t>
      </w:r>
    </w:p>
    <w:p w:rsidR="005B01ED" w:rsidRPr="007B6ABF" w:rsidRDefault="005B01ED" w:rsidP="005B01ED">
      <w:pPr>
        <w:pStyle w:val="ListParagraph"/>
        <w:spacing w:after="0" w:line="480" w:lineRule="auto"/>
        <w:ind w:left="0"/>
        <w:jc w:val="both"/>
        <w:rPr>
          <w:rFonts w:ascii="Arial" w:hAnsi="Arial" w:cs="Arial"/>
          <w:sz w:val="24"/>
          <w:szCs w:val="24"/>
        </w:rPr>
      </w:pPr>
    </w:p>
    <w:p w:rsidR="005F1CD4" w:rsidRDefault="005F1CD4" w:rsidP="005F1CD4">
      <w:pPr>
        <w:spacing w:after="0" w:line="360" w:lineRule="auto"/>
        <w:ind w:left="720"/>
        <w:jc w:val="both"/>
        <w:rPr>
          <w:rFonts w:ascii="Arial" w:hAnsi="Arial" w:cs="Arial"/>
        </w:rPr>
      </w:pPr>
      <w:r w:rsidRPr="00D63453">
        <w:rPr>
          <w:rFonts w:ascii="Arial" w:hAnsi="Arial" w:cs="Arial"/>
        </w:rPr>
        <w:t>‘(1)</w:t>
      </w:r>
      <w:r w:rsidR="005B01ED">
        <w:rPr>
          <w:rFonts w:ascii="Arial" w:hAnsi="Arial" w:cs="Arial"/>
        </w:rPr>
        <w:tab/>
      </w:r>
      <w:r w:rsidRPr="00D63453">
        <w:rPr>
          <w:rFonts w:ascii="Arial" w:hAnsi="Arial" w:cs="Arial"/>
        </w:rPr>
        <w:t>dismiss the application or make any order the court considers suitable or proper with the view to ensuring a just and expeditious decision and in particular, but without affecting the generality of the foregoing, it may –</w:t>
      </w:r>
    </w:p>
    <w:p w:rsidR="005B01ED" w:rsidRPr="00D63453" w:rsidRDefault="005B01ED" w:rsidP="005F1CD4">
      <w:pPr>
        <w:spacing w:after="0" w:line="360" w:lineRule="auto"/>
        <w:ind w:left="720"/>
        <w:jc w:val="both"/>
        <w:rPr>
          <w:rFonts w:ascii="Arial" w:hAnsi="Arial" w:cs="Arial"/>
        </w:rPr>
      </w:pPr>
    </w:p>
    <w:p w:rsidR="005F1CD4" w:rsidRDefault="005F1CD4" w:rsidP="005B01ED">
      <w:pPr>
        <w:pStyle w:val="ListParagraph"/>
        <w:numPr>
          <w:ilvl w:val="0"/>
          <w:numId w:val="4"/>
        </w:numPr>
        <w:spacing w:after="0" w:line="360" w:lineRule="auto"/>
        <w:jc w:val="both"/>
        <w:rPr>
          <w:rFonts w:ascii="Arial" w:hAnsi="Arial" w:cs="Arial"/>
        </w:rPr>
      </w:pPr>
      <w:r w:rsidRPr="005B01ED">
        <w:rPr>
          <w:rFonts w:ascii="Arial" w:hAnsi="Arial" w:cs="Arial"/>
        </w:rPr>
        <w:t>direct that oral evidence be heard on specified issues with a view to resolving any dispute of fact and to that end may order any deponent to appear personally or grant leave for him or her or any other person to be subpoenaed to appear and be examined and cross-examined as a witness; or</w:t>
      </w:r>
    </w:p>
    <w:p w:rsidR="005B01ED" w:rsidRPr="005B01ED" w:rsidRDefault="005B01ED" w:rsidP="005B01ED">
      <w:pPr>
        <w:pStyle w:val="ListParagraph"/>
        <w:spacing w:after="0" w:line="360" w:lineRule="auto"/>
        <w:ind w:left="1494"/>
        <w:jc w:val="both"/>
        <w:rPr>
          <w:rFonts w:ascii="Arial" w:hAnsi="Arial" w:cs="Arial"/>
        </w:rPr>
      </w:pPr>
    </w:p>
    <w:p w:rsidR="005F1CD4" w:rsidRPr="005B01ED" w:rsidRDefault="005F1CD4" w:rsidP="005B01ED">
      <w:pPr>
        <w:pStyle w:val="ListParagraph"/>
        <w:numPr>
          <w:ilvl w:val="0"/>
          <w:numId w:val="4"/>
        </w:numPr>
        <w:spacing w:after="0" w:line="360" w:lineRule="auto"/>
        <w:jc w:val="both"/>
        <w:rPr>
          <w:rFonts w:ascii="Arial" w:hAnsi="Arial" w:cs="Arial"/>
        </w:rPr>
      </w:pPr>
      <w:r w:rsidRPr="005B01ED">
        <w:rPr>
          <w:rFonts w:ascii="Arial" w:hAnsi="Arial" w:cs="Arial"/>
        </w:rPr>
        <w:t>refer the matter to trial with appropriate directions as to pleadings, definition of issues or any other relevant matter.’</w:t>
      </w:r>
      <w:r w:rsidRPr="00D63453">
        <w:rPr>
          <w:rStyle w:val="FootnoteReference"/>
          <w:rFonts w:ascii="Arial" w:hAnsi="Arial" w:cs="Arial"/>
        </w:rPr>
        <w:footnoteReference w:id="4"/>
      </w:r>
    </w:p>
    <w:p w:rsidR="005F1CD4" w:rsidRPr="005B01ED" w:rsidRDefault="005F1CD4" w:rsidP="005B01ED">
      <w:pPr>
        <w:spacing w:after="0" w:line="480" w:lineRule="auto"/>
        <w:ind w:left="1134"/>
        <w:jc w:val="both"/>
        <w:rPr>
          <w:rFonts w:ascii="Arial" w:hAnsi="Arial" w:cs="Arial"/>
          <w:sz w:val="24"/>
          <w:szCs w:val="24"/>
        </w:rPr>
      </w:pPr>
    </w:p>
    <w:p w:rsidR="005F1CD4" w:rsidRDefault="005F1CD4" w:rsidP="005F1CD4">
      <w:pPr>
        <w:pStyle w:val="ListParagraph"/>
        <w:numPr>
          <w:ilvl w:val="0"/>
          <w:numId w:val="2"/>
        </w:numPr>
        <w:spacing w:line="480" w:lineRule="auto"/>
        <w:ind w:left="0" w:firstLine="0"/>
        <w:jc w:val="both"/>
        <w:rPr>
          <w:rFonts w:ascii="Arial" w:hAnsi="Arial" w:cs="Arial"/>
          <w:sz w:val="24"/>
          <w:szCs w:val="24"/>
        </w:rPr>
      </w:pPr>
      <w:r w:rsidRPr="007B6ABF">
        <w:rPr>
          <w:rFonts w:ascii="Arial" w:hAnsi="Arial" w:cs="Arial"/>
          <w:sz w:val="24"/>
          <w:szCs w:val="24"/>
        </w:rPr>
        <w:lastRenderedPageBreak/>
        <w:t xml:space="preserve">While it is within the discretion of the court </w:t>
      </w:r>
      <w:r w:rsidRPr="007B6ABF">
        <w:rPr>
          <w:rFonts w:ascii="Arial" w:hAnsi="Arial" w:cs="Arial"/>
          <w:i/>
          <w:sz w:val="24"/>
          <w:szCs w:val="24"/>
        </w:rPr>
        <w:t>a quo</w:t>
      </w:r>
      <w:r w:rsidRPr="007B6ABF">
        <w:rPr>
          <w:rFonts w:ascii="Arial" w:hAnsi="Arial" w:cs="Arial"/>
          <w:sz w:val="24"/>
          <w:szCs w:val="24"/>
        </w:rPr>
        <w:t xml:space="preserve"> to have dismissed the application since it could not be decided on affidavit, it does not follow that the application will always be dismissed with costs in such a case. There may be circumstances that will persuade a court not to dismiss the application but to order the parties to trial together with a suitable order as to costs.</w:t>
      </w:r>
      <w:r>
        <w:rPr>
          <w:rStyle w:val="FootnoteReference"/>
          <w:rFonts w:ascii="Arial" w:hAnsi="Arial" w:cs="Arial"/>
          <w:sz w:val="24"/>
          <w:szCs w:val="24"/>
        </w:rPr>
        <w:footnoteReference w:id="5"/>
      </w:r>
      <w:r w:rsidRPr="007B6ABF">
        <w:rPr>
          <w:rFonts w:ascii="Arial" w:hAnsi="Arial" w:cs="Arial"/>
          <w:sz w:val="24"/>
          <w:szCs w:val="24"/>
        </w:rPr>
        <w:t xml:space="preserve"> Also, in a proper case and where the dispute between the parties can be determined speedily it might even be proper to invoke the provisions of the rules of court as to the hearing of oral evidence.</w:t>
      </w:r>
      <w:r>
        <w:rPr>
          <w:rStyle w:val="FootnoteReference"/>
          <w:rFonts w:ascii="Arial" w:hAnsi="Arial" w:cs="Arial"/>
          <w:sz w:val="24"/>
          <w:szCs w:val="24"/>
        </w:rPr>
        <w:footnoteReference w:id="6"/>
      </w:r>
      <w:r w:rsidRPr="007B6ABF">
        <w:rPr>
          <w:rFonts w:ascii="Arial" w:hAnsi="Arial" w:cs="Arial"/>
          <w:sz w:val="24"/>
          <w:szCs w:val="24"/>
        </w:rPr>
        <w:t xml:space="preserve"> </w:t>
      </w:r>
    </w:p>
    <w:p w:rsidR="001138EF" w:rsidRDefault="001138EF" w:rsidP="001138EF">
      <w:pPr>
        <w:pStyle w:val="ListParagraph"/>
        <w:spacing w:after="0" w:line="480" w:lineRule="auto"/>
        <w:ind w:left="0"/>
        <w:jc w:val="both"/>
        <w:rPr>
          <w:rFonts w:ascii="Arial" w:hAnsi="Arial" w:cs="Arial"/>
          <w:sz w:val="24"/>
          <w:szCs w:val="24"/>
        </w:rPr>
      </w:pPr>
    </w:p>
    <w:p w:rsidR="005F1CD4" w:rsidRDefault="005F1CD4" w:rsidP="005F1CD4">
      <w:pPr>
        <w:pStyle w:val="ListParagraph"/>
        <w:numPr>
          <w:ilvl w:val="0"/>
          <w:numId w:val="2"/>
        </w:numPr>
        <w:spacing w:line="480" w:lineRule="auto"/>
        <w:ind w:left="0" w:firstLine="0"/>
        <w:jc w:val="both"/>
        <w:rPr>
          <w:rFonts w:ascii="Arial" w:hAnsi="Arial" w:cs="Arial"/>
          <w:sz w:val="24"/>
          <w:szCs w:val="24"/>
        </w:rPr>
      </w:pPr>
      <w:r w:rsidRPr="001138EF">
        <w:rPr>
          <w:rFonts w:ascii="Arial" w:hAnsi="Arial" w:cs="Arial"/>
          <w:sz w:val="24"/>
          <w:szCs w:val="24"/>
        </w:rPr>
        <w:t>The court should have the opportunity of seeing and hearing the witnesses before coming to a conclusion based entirely on affidavits.</w:t>
      </w:r>
      <w:r w:rsidRPr="00CC1C8B">
        <w:rPr>
          <w:rStyle w:val="FootnoteReference"/>
          <w:rFonts w:ascii="Arial" w:hAnsi="Arial" w:cs="Arial"/>
          <w:sz w:val="24"/>
          <w:szCs w:val="24"/>
        </w:rPr>
        <w:footnoteReference w:id="7"/>
      </w:r>
      <w:r w:rsidRPr="001138EF">
        <w:rPr>
          <w:rFonts w:ascii="Arial" w:hAnsi="Arial" w:cs="Arial"/>
          <w:sz w:val="24"/>
          <w:szCs w:val="24"/>
        </w:rPr>
        <w:t xml:space="preserve"> </w:t>
      </w:r>
    </w:p>
    <w:p w:rsidR="001138EF" w:rsidRPr="001138EF" w:rsidRDefault="001138EF" w:rsidP="001138EF">
      <w:pPr>
        <w:pStyle w:val="ListParagraph"/>
        <w:spacing w:after="0" w:line="480" w:lineRule="auto"/>
        <w:jc w:val="both"/>
        <w:rPr>
          <w:rFonts w:ascii="Arial" w:hAnsi="Arial" w:cs="Arial"/>
          <w:sz w:val="24"/>
          <w:szCs w:val="24"/>
        </w:rPr>
      </w:pPr>
    </w:p>
    <w:p w:rsidR="001138EF" w:rsidRDefault="005F1CD4" w:rsidP="001138EF">
      <w:pPr>
        <w:pStyle w:val="ListParagraph"/>
        <w:numPr>
          <w:ilvl w:val="0"/>
          <w:numId w:val="2"/>
        </w:numPr>
        <w:spacing w:line="480" w:lineRule="auto"/>
        <w:ind w:left="0" w:firstLine="0"/>
        <w:jc w:val="both"/>
        <w:rPr>
          <w:rFonts w:ascii="Arial" w:hAnsi="Arial" w:cs="Arial"/>
          <w:sz w:val="24"/>
          <w:szCs w:val="24"/>
        </w:rPr>
      </w:pPr>
      <w:r w:rsidRPr="001138EF">
        <w:rPr>
          <w:rFonts w:ascii="Arial" w:hAnsi="Arial" w:cs="Arial"/>
          <w:sz w:val="24"/>
          <w:szCs w:val="24"/>
        </w:rPr>
        <w:t>The exercise of the court’s discretion in Rule 67 should be read with the overriding objective of the court rules to facilitate the resolution of the real issues in dispute justly and speedily, efficiently and cost effectively as far as practicable.</w:t>
      </w:r>
      <w:r w:rsidRPr="00CC1C8B">
        <w:rPr>
          <w:rStyle w:val="FootnoteReference"/>
          <w:rFonts w:ascii="Arial" w:hAnsi="Arial" w:cs="Arial"/>
          <w:sz w:val="24"/>
          <w:szCs w:val="24"/>
        </w:rPr>
        <w:footnoteReference w:id="8"/>
      </w:r>
      <w:r w:rsidRPr="001138EF">
        <w:rPr>
          <w:rFonts w:ascii="Arial" w:hAnsi="Arial" w:cs="Arial"/>
          <w:sz w:val="24"/>
          <w:szCs w:val="24"/>
        </w:rPr>
        <w:t xml:space="preserve"> By dismissing the case the court </w:t>
      </w:r>
      <w:r w:rsidRPr="001138EF">
        <w:rPr>
          <w:rFonts w:ascii="Arial" w:hAnsi="Arial" w:cs="Arial"/>
          <w:i/>
          <w:sz w:val="24"/>
          <w:szCs w:val="24"/>
        </w:rPr>
        <w:t>a quo</w:t>
      </w:r>
      <w:r w:rsidRPr="001138EF">
        <w:rPr>
          <w:rFonts w:ascii="Arial" w:hAnsi="Arial" w:cs="Arial"/>
          <w:sz w:val="24"/>
          <w:szCs w:val="24"/>
        </w:rPr>
        <w:t xml:space="preserve"> left the issue as to ‘putative marriage’ and the proprietary rights of the parties unresolved despite the disputes being alive in the court. In this instance the court </w:t>
      </w:r>
      <w:r w:rsidRPr="001138EF">
        <w:rPr>
          <w:rFonts w:ascii="Arial" w:hAnsi="Arial" w:cs="Arial"/>
          <w:i/>
          <w:sz w:val="24"/>
          <w:szCs w:val="24"/>
        </w:rPr>
        <w:t xml:space="preserve">a quo </w:t>
      </w:r>
      <w:r w:rsidRPr="001138EF">
        <w:rPr>
          <w:rFonts w:ascii="Arial" w:hAnsi="Arial" w:cs="Arial"/>
          <w:sz w:val="24"/>
          <w:szCs w:val="24"/>
        </w:rPr>
        <w:t>failed to resolve the real issues in dispute justly, efficiently and cost effectively as far as practicable.</w:t>
      </w:r>
    </w:p>
    <w:p w:rsidR="001138EF" w:rsidRPr="001138EF" w:rsidRDefault="001138EF" w:rsidP="001138EF">
      <w:pPr>
        <w:pStyle w:val="ListParagraph"/>
        <w:spacing w:after="0" w:line="480" w:lineRule="auto"/>
        <w:jc w:val="both"/>
        <w:rPr>
          <w:rFonts w:ascii="Arial" w:hAnsi="Arial" w:cs="Arial"/>
          <w:sz w:val="24"/>
          <w:szCs w:val="24"/>
        </w:rPr>
      </w:pPr>
    </w:p>
    <w:p w:rsidR="005F1CD4" w:rsidRDefault="005F1CD4" w:rsidP="001138EF">
      <w:pPr>
        <w:pStyle w:val="ListParagraph"/>
        <w:numPr>
          <w:ilvl w:val="0"/>
          <w:numId w:val="2"/>
        </w:numPr>
        <w:spacing w:line="480" w:lineRule="auto"/>
        <w:ind w:left="0" w:firstLine="0"/>
        <w:jc w:val="both"/>
        <w:rPr>
          <w:rFonts w:ascii="Arial" w:hAnsi="Arial" w:cs="Arial"/>
          <w:sz w:val="24"/>
          <w:szCs w:val="24"/>
        </w:rPr>
      </w:pPr>
      <w:r w:rsidRPr="001138EF">
        <w:rPr>
          <w:rFonts w:ascii="Arial" w:hAnsi="Arial" w:cs="Arial"/>
          <w:sz w:val="24"/>
          <w:szCs w:val="24"/>
        </w:rPr>
        <w:lastRenderedPageBreak/>
        <w:t xml:space="preserve"> The appellant urges that the matter be remitted to the High Court with the direction for that court to refer the matter to oral evidence as contemplated under rule 67(1) (a) of the Rules of the High Court. I note, however, that rule 67 is couched in discretionary terms and avails wide discretion for the court to: dismiss an application,</w:t>
      </w:r>
      <w:r w:rsidRPr="00CC1C8B">
        <w:rPr>
          <w:rStyle w:val="FootnoteReference"/>
          <w:rFonts w:ascii="Arial" w:hAnsi="Arial" w:cs="Arial"/>
          <w:sz w:val="24"/>
          <w:szCs w:val="24"/>
        </w:rPr>
        <w:footnoteReference w:id="9"/>
      </w:r>
      <w:r w:rsidRPr="001138EF">
        <w:rPr>
          <w:rFonts w:ascii="Arial" w:hAnsi="Arial" w:cs="Arial"/>
          <w:sz w:val="24"/>
          <w:szCs w:val="24"/>
        </w:rPr>
        <w:t xml:space="preserve"> or make any other order the court considers suitable,</w:t>
      </w:r>
      <w:r w:rsidRPr="00CC1C8B">
        <w:rPr>
          <w:rStyle w:val="FootnoteReference"/>
          <w:rFonts w:ascii="Arial" w:hAnsi="Arial" w:cs="Arial"/>
          <w:sz w:val="24"/>
          <w:szCs w:val="24"/>
        </w:rPr>
        <w:footnoteReference w:id="10"/>
      </w:r>
      <w:r w:rsidRPr="001138EF">
        <w:rPr>
          <w:rFonts w:ascii="Arial" w:hAnsi="Arial" w:cs="Arial"/>
          <w:sz w:val="24"/>
          <w:szCs w:val="24"/>
        </w:rPr>
        <w:t xml:space="preserve"> or direct that oral evidence be heard on specified issues,</w:t>
      </w:r>
      <w:r w:rsidRPr="00CC1C8B">
        <w:rPr>
          <w:rStyle w:val="FootnoteReference"/>
          <w:rFonts w:ascii="Arial" w:hAnsi="Arial" w:cs="Arial"/>
          <w:sz w:val="24"/>
          <w:szCs w:val="24"/>
        </w:rPr>
        <w:footnoteReference w:id="11"/>
      </w:r>
      <w:r w:rsidRPr="001138EF">
        <w:rPr>
          <w:rFonts w:ascii="Arial" w:hAnsi="Arial" w:cs="Arial"/>
          <w:sz w:val="24"/>
          <w:szCs w:val="24"/>
        </w:rPr>
        <w:t xml:space="preserve"> or refer the matter to trial with appropriate direction as to pleadings, definition of the issues or any other relevant matter.</w:t>
      </w:r>
      <w:r w:rsidRPr="00CC1C8B">
        <w:rPr>
          <w:rStyle w:val="FootnoteReference"/>
          <w:rFonts w:ascii="Arial" w:hAnsi="Arial" w:cs="Arial"/>
          <w:sz w:val="24"/>
          <w:szCs w:val="24"/>
        </w:rPr>
        <w:footnoteReference w:id="12"/>
      </w:r>
      <w:r w:rsidRPr="001138EF">
        <w:rPr>
          <w:rFonts w:ascii="Arial" w:hAnsi="Arial" w:cs="Arial"/>
          <w:sz w:val="24"/>
          <w:szCs w:val="24"/>
        </w:rPr>
        <w:t xml:space="preserve">  Consequently, it would not be right or just in the circumstances for this court to direct the High Court as to how it may exercise its discretion in terms of rule 67. That court should be given latitude to exercise its discretion informed, amongst other things, by the need to resolve the matter justly, expeditiously, efficiently and cost effectively.</w:t>
      </w:r>
    </w:p>
    <w:p w:rsidR="001138EF" w:rsidRPr="001138EF" w:rsidRDefault="001138EF" w:rsidP="001138EF">
      <w:pPr>
        <w:pStyle w:val="ListParagraph"/>
        <w:spacing w:after="0" w:line="480" w:lineRule="auto"/>
        <w:jc w:val="both"/>
        <w:rPr>
          <w:rFonts w:ascii="Arial" w:hAnsi="Arial" w:cs="Arial"/>
          <w:sz w:val="24"/>
          <w:szCs w:val="24"/>
        </w:rPr>
      </w:pPr>
    </w:p>
    <w:p w:rsidR="005F1CD4" w:rsidRDefault="005F1CD4" w:rsidP="001138EF">
      <w:pPr>
        <w:pStyle w:val="ListParagraph"/>
        <w:numPr>
          <w:ilvl w:val="0"/>
          <w:numId w:val="2"/>
        </w:numPr>
        <w:spacing w:line="480" w:lineRule="auto"/>
        <w:ind w:left="0" w:firstLine="0"/>
        <w:jc w:val="both"/>
        <w:rPr>
          <w:rFonts w:ascii="Arial" w:hAnsi="Arial" w:cs="Arial"/>
          <w:sz w:val="24"/>
          <w:szCs w:val="24"/>
        </w:rPr>
      </w:pPr>
      <w:r w:rsidRPr="001138EF">
        <w:rPr>
          <w:rFonts w:ascii="Arial" w:hAnsi="Arial" w:cs="Arial"/>
          <w:sz w:val="24"/>
          <w:szCs w:val="24"/>
        </w:rPr>
        <w:t xml:space="preserve">The result is that the appeal must partially succeed. The matter is to be referred back to the High Court for that court to exercise its discretion as to how the matter should proceed.  </w:t>
      </w:r>
    </w:p>
    <w:p w:rsidR="001138EF" w:rsidRPr="001138EF" w:rsidRDefault="001138EF" w:rsidP="001138EF">
      <w:pPr>
        <w:pStyle w:val="ListParagraph"/>
        <w:spacing w:after="0" w:line="480" w:lineRule="auto"/>
        <w:jc w:val="both"/>
        <w:rPr>
          <w:rFonts w:ascii="Arial" w:hAnsi="Arial" w:cs="Arial"/>
          <w:sz w:val="24"/>
          <w:szCs w:val="24"/>
        </w:rPr>
      </w:pPr>
    </w:p>
    <w:p w:rsidR="005F1CD4" w:rsidRPr="00040947" w:rsidRDefault="005F1CD4" w:rsidP="005F1CD4">
      <w:pPr>
        <w:spacing w:after="0" w:line="480" w:lineRule="auto"/>
        <w:jc w:val="both"/>
        <w:rPr>
          <w:rFonts w:ascii="Arial" w:hAnsi="Arial" w:cs="Arial"/>
          <w:sz w:val="24"/>
          <w:szCs w:val="24"/>
          <w:u w:val="single"/>
        </w:rPr>
      </w:pPr>
      <w:r w:rsidRPr="00040947">
        <w:rPr>
          <w:rFonts w:ascii="Arial" w:hAnsi="Arial" w:cs="Arial"/>
          <w:sz w:val="24"/>
          <w:szCs w:val="24"/>
          <w:u w:val="single"/>
        </w:rPr>
        <w:t xml:space="preserve">Costs </w:t>
      </w:r>
    </w:p>
    <w:p w:rsidR="005F1CD4" w:rsidRDefault="005F1CD4" w:rsidP="005F1CD4">
      <w:pPr>
        <w:pStyle w:val="ListParagraph"/>
        <w:numPr>
          <w:ilvl w:val="0"/>
          <w:numId w:val="2"/>
        </w:numPr>
        <w:spacing w:line="480" w:lineRule="auto"/>
        <w:ind w:left="0" w:firstLine="0"/>
        <w:jc w:val="both"/>
        <w:rPr>
          <w:rFonts w:ascii="Arial" w:hAnsi="Arial" w:cs="Arial"/>
          <w:sz w:val="24"/>
          <w:szCs w:val="24"/>
        </w:rPr>
      </w:pPr>
      <w:r w:rsidRPr="00930F01">
        <w:rPr>
          <w:rFonts w:ascii="Arial" w:hAnsi="Arial" w:cs="Arial"/>
          <w:sz w:val="24"/>
          <w:szCs w:val="24"/>
        </w:rPr>
        <w:t xml:space="preserve">In his notice of appeal, the appellant asked for the costs of the appeal if opposed. The respondent filed her notice of intention to oppose the appeal on 22 November 2017, but withdrew the opposition on the eve of the hearing. Moreover, counsel for the respondent was going to argue the appeal on instructions of the Director of Legal Aid. </w:t>
      </w:r>
      <w:r w:rsidRPr="00930F01">
        <w:rPr>
          <w:rFonts w:ascii="Arial" w:hAnsi="Arial" w:cs="Arial"/>
          <w:sz w:val="24"/>
          <w:szCs w:val="24"/>
        </w:rPr>
        <w:lastRenderedPageBreak/>
        <w:t>During the hearing counsel for the appellant did not press for a costs order.  In the circumstances, no order as to costs should be made.</w:t>
      </w:r>
    </w:p>
    <w:p w:rsidR="001138EF" w:rsidRPr="00930F01" w:rsidRDefault="001138EF" w:rsidP="00356437">
      <w:pPr>
        <w:pStyle w:val="ListParagraph"/>
        <w:spacing w:after="0" w:line="360" w:lineRule="auto"/>
        <w:ind w:left="0"/>
        <w:jc w:val="both"/>
        <w:rPr>
          <w:rFonts w:ascii="Arial" w:hAnsi="Arial" w:cs="Arial"/>
          <w:sz w:val="24"/>
          <w:szCs w:val="24"/>
        </w:rPr>
      </w:pPr>
    </w:p>
    <w:p w:rsidR="005F1CD4" w:rsidRPr="007344DB" w:rsidRDefault="005F1CD4" w:rsidP="001138EF">
      <w:pPr>
        <w:spacing w:after="0" w:line="480" w:lineRule="auto"/>
        <w:jc w:val="both"/>
        <w:rPr>
          <w:rFonts w:ascii="Arial" w:hAnsi="Arial" w:cs="Arial"/>
          <w:sz w:val="24"/>
          <w:szCs w:val="24"/>
          <w:u w:val="single"/>
        </w:rPr>
      </w:pPr>
      <w:r>
        <w:rPr>
          <w:rFonts w:ascii="Arial" w:hAnsi="Arial" w:cs="Arial"/>
          <w:sz w:val="24"/>
          <w:szCs w:val="24"/>
          <w:u w:val="single"/>
        </w:rPr>
        <w:t>Order:</w:t>
      </w:r>
    </w:p>
    <w:p w:rsidR="005F1CD4" w:rsidRDefault="005F1CD4" w:rsidP="005F1CD4">
      <w:pPr>
        <w:pStyle w:val="ListParagraph"/>
        <w:numPr>
          <w:ilvl w:val="0"/>
          <w:numId w:val="2"/>
        </w:numPr>
        <w:spacing w:line="480" w:lineRule="auto"/>
        <w:ind w:left="0" w:firstLine="0"/>
        <w:jc w:val="both"/>
        <w:rPr>
          <w:rFonts w:ascii="Arial" w:hAnsi="Arial" w:cs="Arial"/>
          <w:sz w:val="24"/>
          <w:szCs w:val="24"/>
        </w:rPr>
      </w:pPr>
      <w:r w:rsidRPr="00930F01">
        <w:rPr>
          <w:rFonts w:ascii="Arial" w:hAnsi="Arial" w:cs="Arial"/>
          <w:sz w:val="24"/>
          <w:szCs w:val="24"/>
        </w:rPr>
        <w:t>In the result, the following order is made:</w:t>
      </w:r>
    </w:p>
    <w:p w:rsidR="001138EF" w:rsidRPr="00930F01" w:rsidRDefault="001138EF" w:rsidP="009E5D90">
      <w:pPr>
        <w:pStyle w:val="ListParagraph"/>
        <w:spacing w:after="0" w:line="360" w:lineRule="auto"/>
        <w:ind w:left="0"/>
        <w:jc w:val="both"/>
        <w:rPr>
          <w:rFonts w:ascii="Arial" w:hAnsi="Arial" w:cs="Arial"/>
          <w:sz w:val="24"/>
          <w:szCs w:val="24"/>
        </w:rPr>
      </w:pPr>
    </w:p>
    <w:p w:rsidR="005F1CD4" w:rsidRDefault="005F1CD4" w:rsidP="005F1CD4">
      <w:pPr>
        <w:pStyle w:val="ListParagraph"/>
        <w:numPr>
          <w:ilvl w:val="0"/>
          <w:numId w:val="1"/>
        </w:numPr>
        <w:spacing w:line="480" w:lineRule="auto"/>
        <w:jc w:val="both"/>
        <w:rPr>
          <w:rFonts w:ascii="Arial" w:hAnsi="Arial" w:cs="Arial"/>
          <w:sz w:val="24"/>
          <w:szCs w:val="24"/>
        </w:rPr>
      </w:pPr>
      <w:r w:rsidRPr="008154C4">
        <w:rPr>
          <w:rFonts w:ascii="Arial" w:hAnsi="Arial" w:cs="Arial"/>
          <w:sz w:val="24"/>
          <w:szCs w:val="24"/>
        </w:rPr>
        <w:t>The appeal succeeds in part.</w:t>
      </w:r>
    </w:p>
    <w:p w:rsidR="001138EF" w:rsidRPr="008154C4" w:rsidRDefault="001138EF" w:rsidP="009E5D90">
      <w:pPr>
        <w:pStyle w:val="ListParagraph"/>
        <w:spacing w:after="0" w:line="360" w:lineRule="auto"/>
        <w:jc w:val="both"/>
        <w:rPr>
          <w:rFonts w:ascii="Arial" w:hAnsi="Arial" w:cs="Arial"/>
          <w:sz w:val="24"/>
          <w:szCs w:val="24"/>
        </w:rPr>
      </w:pPr>
    </w:p>
    <w:p w:rsidR="005F1CD4" w:rsidRDefault="005F1CD4" w:rsidP="005F1CD4">
      <w:pPr>
        <w:pStyle w:val="ListParagraph"/>
        <w:numPr>
          <w:ilvl w:val="0"/>
          <w:numId w:val="1"/>
        </w:numPr>
        <w:spacing w:line="480" w:lineRule="auto"/>
        <w:jc w:val="both"/>
        <w:rPr>
          <w:rFonts w:ascii="Arial" w:hAnsi="Arial" w:cs="Arial"/>
          <w:sz w:val="24"/>
          <w:szCs w:val="24"/>
        </w:rPr>
      </w:pPr>
      <w:r w:rsidRPr="00CC1C8B">
        <w:rPr>
          <w:rFonts w:ascii="Arial" w:hAnsi="Arial" w:cs="Arial"/>
          <w:sz w:val="24"/>
          <w:szCs w:val="24"/>
        </w:rPr>
        <w:t xml:space="preserve">The order </w:t>
      </w:r>
      <w:r>
        <w:rPr>
          <w:rFonts w:ascii="Arial" w:hAnsi="Arial" w:cs="Arial"/>
          <w:sz w:val="24"/>
          <w:szCs w:val="24"/>
        </w:rPr>
        <w:t xml:space="preserve">of the High Court </w:t>
      </w:r>
      <w:r w:rsidRPr="00CC1C8B">
        <w:rPr>
          <w:rFonts w:ascii="Arial" w:hAnsi="Arial" w:cs="Arial"/>
          <w:sz w:val="24"/>
          <w:szCs w:val="24"/>
        </w:rPr>
        <w:t xml:space="preserve">dismissing the </w:t>
      </w:r>
      <w:r>
        <w:rPr>
          <w:rFonts w:ascii="Arial" w:hAnsi="Arial" w:cs="Arial"/>
          <w:sz w:val="24"/>
          <w:szCs w:val="24"/>
        </w:rPr>
        <w:t xml:space="preserve">appellant’s application with costs </w:t>
      </w:r>
      <w:r w:rsidRPr="00CC1C8B">
        <w:rPr>
          <w:rFonts w:ascii="Arial" w:hAnsi="Arial" w:cs="Arial"/>
          <w:sz w:val="24"/>
          <w:szCs w:val="24"/>
        </w:rPr>
        <w:t>is</w:t>
      </w:r>
      <w:r>
        <w:rPr>
          <w:rFonts w:ascii="Arial" w:hAnsi="Arial" w:cs="Arial"/>
          <w:sz w:val="24"/>
          <w:szCs w:val="24"/>
        </w:rPr>
        <w:t xml:space="preserve"> set aside.</w:t>
      </w:r>
    </w:p>
    <w:p w:rsidR="001138EF" w:rsidRPr="001138EF" w:rsidRDefault="001138EF" w:rsidP="009E5D90">
      <w:pPr>
        <w:pStyle w:val="ListParagraph"/>
        <w:spacing w:after="0" w:line="360" w:lineRule="auto"/>
        <w:jc w:val="both"/>
        <w:rPr>
          <w:rFonts w:ascii="Arial" w:hAnsi="Arial" w:cs="Arial"/>
          <w:sz w:val="24"/>
          <w:szCs w:val="24"/>
        </w:rPr>
      </w:pPr>
    </w:p>
    <w:p w:rsidR="005F1CD4" w:rsidRDefault="005F1CD4" w:rsidP="005F1CD4">
      <w:pPr>
        <w:pStyle w:val="ListParagraph"/>
        <w:numPr>
          <w:ilvl w:val="0"/>
          <w:numId w:val="3"/>
        </w:numPr>
        <w:spacing w:line="480" w:lineRule="auto"/>
        <w:jc w:val="both"/>
        <w:rPr>
          <w:rFonts w:ascii="Arial" w:hAnsi="Arial" w:cs="Arial"/>
          <w:sz w:val="24"/>
          <w:szCs w:val="24"/>
        </w:rPr>
      </w:pPr>
      <w:r>
        <w:rPr>
          <w:rFonts w:ascii="Arial" w:hAnsi="Arial" w:cs="Arial"/>
          <w:sz w:val="24"/>
          <w:szCs w:val="24"/>
        </w:rPr>
        <w:t>T</w:t>
      </w:r>
      <w:r w:rsidRPr="00CC1C8B">
        <w:rPr>
          <w:rFonts w:ascii="Arial" w:hAnsi="Arial" w:cs="Arial"/>
          <w:sz w:val="24"/>
          <w:szCs w:val="24"/>
        </w:rPr>
        <w:t xml:space="preserve">he matter </w:t>
      </w:r>
      <w:r>
        <w:rPr>
          <w:rFonts w:ascii="Arial" w:hAnsi="Arial" w:cs="Arial"/>
          <w:sz w:val="24"/>
          <w:szCs w:val="24"/>
        </w:rPr>
        <w:t xml:space="preserve">is remitted </w:t>
      </w:r>
      <w:r w:rsidRPr="00CC1C8B">
        <w:rPr>
          <w:rFonts w:ascii="Arial" w:hAnsi="Arial" w:cs="Arial"/>
          <w:sz w:val="24"/>
          <w:szCs w:val="24"/>
        </w:rPr>
        <w:t xml:space="preserve">to the High Court </w:t>
      </w:r>
      <w:r>
        <w:rPr>
          <w:rFonts w:ascii="Arial" w:hAnsi="Arial" w:cs="Arial"/>
          <w:sz w:val="24"/>
          <w:szCs w:val="24"/>
        </w:rPr>
        <w:t xml:space="preserve">to be placed under </w:t>
      </w:r>
      <w:r w:rsidR="007C62F6">
        <w:rPr>
          <w:rFonts w:ascii="Arial" w:hAnsi="Arial" w:cs="Arial"/>
          <w:sz w:val="24"/>
          <w:szCs w:val="24"/>
        </w:rPr>
        <w:t xml:space="preserve">judicial </w:t>
      </w:r>
      <w:r>
        <w:rPr>
          <w:rFonts w:ascii="Arial" w:hAnsi="Arial" w:cs="Arial"/>
          <w:sz w:val="24"/>
          <w:szCs w:val="24"/>
        </w:rPr>
        <w:t xml:space="preserve">case management for resolution, taking into account the views expressed in this judgment. </w:t>
      </w:r>
    </w:p>
    <w:p w:rsidR="001138EF" w:rsidRDefault="001138EF" w:rsidP="009E5D90">
      <w:pPr>
        <w:pStyle w:val="ListParagraph"/>
        <w:spacing w:after="0" w:line="360" w:lineRule="auto"/>
        <w:jc w:val="both"/>
        <w:rPr>
          <w:rFonts w:ascii="Arial" w:hAnsi="Arial" w:cs="Arial"/>
          <w:sz w:val="24"/>
          <w:szCs w:val="24"/>
        </w:rPr>
      </w:pPr>
    </w:p>
    <w:p w:rsidR="005F1CD4" w:rsidRPr="001138EF" w:rsidRDefault="005F1CD4" w:rsidP="001138EF">
      <w:pPr>
        <w:pStyle w:val="ListParagraph"/>
        <w:numPr>
          <w:ilvl w:val="0"/>
          <w:numId w:val="3"/>
        </w:numPr>
        <w:spacing w:line="480" w:lineRule="auto"/>
        <w:jc w:val="both"/>
        <w:rPr>
          <w:rFonts w:ascii="Arial" w:hAnsi="Arial" w:cs="Arial"/>
          <w:sz w:val="24"/>
          <w:szCs w:val="24"/>
        </w:rPr>
      </w:pPr>
      <w:r w:rsidRPr="001138EF">
        <w:rPr>
          <w:rFonts w:ascii="Arial" w:hAnsi="Arial" w:cs="Arial"/>
          <w:sz w:val="24"/>
          <w:szCs w:val="24"/>
        </w:rPr>
        <w:t>No order as to costs is made</w:t>
      </w:r>
      <w:r w:rsidR="009E5D90">
        <w:rPr>
          <w:rFonts w:ascii="Arial" w:hAnsi="Arial" w:cs="Arial"/>
          <w:sz w:val="24"/>
          <w:szCs w:val="24"/>
        </w:rPr>
        <w:t>.</w:t>
      </w:r>
    </w:p>
    <w:p w:rsidR="00356437" w:rsidRDefault="00356437" w:rsidP="005F1CD4">
      <w:pPr>
        <w:spacing w:after="0" w:line="240" w:lineRule="auto"/>
        <w:contextualSpacing/>
        <w:jc w:val="both"/>
        <w:rPr>
          <w:rFonts w:ascii="Arial" w:eastAsia="Cambria" w:hAnsi="Arial" w:cs="Arial"/>
          <w:b/>
          <w:sz w:val="24"/>
          <w:szCs w:val="24"/>
          <w:lang w:val="en-GB"/>
        </w:rPr>
      </w:pPr>
    </w:p>
    <w:p w:rsidR="00A16F3E" w:rsidRDefault="00A16F3E" w:rsidP="005F1CD4">
      <w:pPr>
        <w:spacing w:after="0" w:line="240" w:lineRule="auto"/>
        <w:contextualSpacing/>
        <w:jc w:val="both"/>
        <w:rPr>
          <w:rFonts w:ascii="Arial" w:eastAsia="Cambria" w:hAnsi="Arial" w:cs="Arial"/>
          <w:b/>
          <w:sz w:val="24"/>
          <w:szCs w:val="24"/>
          <w:lang w:val="en-GB"/>
        </w:rPr>
      </w:pPr>
    </w:p>
    <w:p w:rsidR="005F1CD4" w:rsidRPr="001138EF" w:rsidRDefault="001138EF" w:rsidP="005F1CD4">
      <w:pPr>
        <w:spacing w:after="0" w:line="240" w:lineRule="auto"/>
        <w:contextualSpacing/>
        <w:jc w:val="both"/>
        <w:rPr>
          <w:rFonts w:ascii="Arial" w:eastAsia="Cambria" w:hAnsi="Arial" w:cs="Arial"/>
          <w:sz w:val="24"/>
          <w:szCs w:val="24"/>
          <w:lang w:val="en-GB"/>
        </w:rPr>
      </w:pPr>
      <w:r w:rsidRPr="001138EF">
        <w:rPr>
          <w:rFonts w:ascii="Arial" w:eastAsia="Cambria" w:hAnsi="Arial" w:cs="Arial"/>
          <w:sz w:val="24"/>
          <w:szCs w:val="24"/>
          <w:lang w:val="en-GB"/>
        </w:rPr>
        <w:t>_______________</w:t>
      </w:r>
      <w:r w:rsidR="00A16F3E">
        <w:rPr>
          <w:rFonts w:ascii="Arial" w:eastAsia="Cambria" w:hAnsi="Arial" w:cs="Arial"/>
          <w:sz w:val="24"/>
          <w:szCs w:val="24"/>
          <w:lang w:val="en-GB"/>
        </w:rPr>
        <w:t>__</w:t>
      </w:r>
      <w:r w:rsidR="00356437">
        <w:rPr>
          <w:rFonts w:ascii="Arial" w:eastAsia="Cambria" w:hAnsi="Arial" w:cs="Arial"/>
          <w:sz w:val="24"/>
          <w:szCs w:val="24"/>
          <w:lang w:val="en-GB"/>
        </w:rPr>
        <w:t>____</w:t>
      </w:r>
    </w:p>
    <w:p w:rsidR="005F1CD4" w:rsidRPr="00CC1C8B" w:rsidRDefault="005F1CD4" w:rsidP="005F1CD4">
      <w:pPr>
        <w:spacing w:after="0" w:line="240" w:lineRule="auto"/>
        <w:contextualSpacing/>
        <w:jc w:val="both"/>
        <w:rPr>
          <w:rFonts w:ascii="Arial" w:eastAsia="Cambria" w:hAnsi="Arial" w:cs="Arial"/>
          <w:b/>
          <w:sz w:val="24"/>
          <w:szCs w:val="24"/>
          <w:lang w:val="en-GB"/>
        </w:rPr>
      </w:pPr>
      <w:r w:rsidRPr="00CC1C8B">
        <w:rPr>
          <w:rFonts w:ascii="Arial" w:eastAsia="Cambria" w:hAnsi="Arial" w:cs="Arial"/>
          <w:b/>
          <w:sz w:val="24"/>
          <w:szCs w:val="24"/>
          <w:lang w:val="en-GB"/>
        </w:rPr>
        <w:t>SHIVUTE CJ</w:t>
      </w:r>
    </w:p>
    <w:p w:rsidR="00A16F3E" w:rsidRDefault="00A16F3E" w:rsidP="005F1CD4">
      <w:pPr>
        <w:spacing w:after="0" w:line="240" w:lineRule="auto"/>
        <w:contextualSpacing/>
        <w:jc w:val="both"/>
        <w:rPr>
          <w:rFonts w:ascii="Arial" w:eastAsia="Calibri" w:hAnsi="Arial" w:cs="Arial"/>
          <w:noProof/>
          <w:sz w:val="24"/>
          <w:szCs w:val="24"/>
          <w:lang w:val="en-ZA" w:eastAsia="en-ZA"/>
        </w:rPr>
      </w:pPr>
    </w:p>
    <w:p w:rsidR="00356437" w:rsidRDefault="00356437" w:rsidP="005F1CD4">
      <w:pPr>
        <w:spacing w:after="0" w:line="240" w:lineRule="auto"/>
        <w:contextualSpacing/>
        <w:jc w:val="both"/>
        <w:rPr>
          <w:rFonts w:ascii="Arial" w:eastAsia="Calibri" w:hAnsi="Arial" w:cs="Arial"/>
          <w:noProof/>
          <w:sz w:val="24"/>
          <w:szCs w:val="24"/>
          <w:lang w:val="en-ZA" w:eastAsia="en-ZA"/>
        </w:rPr>
      </w:pPr>
    </w:p>
    <w:p w:rsidR="00356437" w:rsidRDefault="00356437" w:rsidP="005F1CD4">
      <w:pPr>
        <w:spacing w:after="0" w:line="240" w:lineRule="auto"/>
        <w:contextualSpacing/>
        <w:jc w:val="both"/>
        <w:rPr>
          <w:rFonts w:ascii="Arial" w:eastAsia="Calibri" w:hAnsi="Arial" w:cs="Arial"/>
          <w:noProof/>
          <w:sz w:val="24"/>
          <w:szCs w:val="24"/>
          <w:lang w:val="en-ZA" w:eastAsia="en-ZA"/>
        </w:rPr>
      </w:pPr>
    </w:p>
    <w:p w:rsidR="00356437" w:rsidRDefault="00356437" w:rsidP="005F1CD4">
      <w:pPr>
        <w:spacing w:after="0" w:line="240" w:lineRule="auto"/>
        <w:contextualSpacing/>
        <w:jc w:val="both"/>
        <w:rPr>
          <w:rFonts w:ascii="Arial" w:eastAsia="Calibri" w:hAnsi="Arial" w:cs="Arial"/>
          <w:noProof/>
          <w:sz w:val="24"/>
          <w:szCs w:val="24"/>
          <w:lang w:val="en-ZA" w:eastAsia="en-ZA"/>
        </w:rPr>
      </w:pPr>
    </w:p>
    <w:p w:rsidR="00356437" w:rsidRDefault="00356437" w:rsidP="005F1CD4">
      <w:pPr>
        <w:spacing w:after="0" w:line="240" w:lineRule="auto"/>
        <w:contextualSpacing/>
        <w:jc w:val="both"/>
        <w:rPr>
          <w:rFonts w:ascii="Arial" w:eastAsia="Calibri" w:hAnsi="Arial" w:cs="Arial"/>
          <w:noProof/>
          <w:sz w:val="24"/>
          <w:szCs w:val="24"/>
          <w:lang w:val="en-ZA" w:eastAsia="en-ZA"/>
        </w:rPr>
      </w:pPr>
      <w:r>
        <w:rPr>
          <w:rFonts w:ascii="Arial" w:eastAsia="Calibri" w:hAnsi="Arial" w:cs="Arial"/>
          <w:noProof/>
          <w:sz w:val="24"/>
          <w:szCs w:val="24"/>
          <w:lang w:val="en-ZA" w:eastAsia="en-ZA"/>
        </w:rPr>
        <w:t>______________________</w:t>
      </w:r>
    </w:p>
    <w:p w:rsidR="00356437" w:rsidRPr="00356437" w:rsidRDefault="00356437" w:rsidP="005F1CD4">
      <w:pPr>
        <w:spacing w:after="0" w:line="240" w:lineRule="auto"/>
        <w:contextualSpacing/>
        <w:jc w:val="both"/>
        <w:rPr>
          <w:rFonts w:ascii="Arial" w:eastAsia="Calibri" w:hAnsi="Arial" w:cs="Arial"/>
          <w:b/>
          <w:sz w:val="24"/>
          <w:szCs w:val="24"/>
          <w:lang w:val="en-GB"/>
        </w:rPr>
      </w:pPr>
      <w:r w:rsidRPr="00356437">
        <w:rPr>
          <w:rFonts w:ascii="Arial" w:eastAsia="Calibri" w:hAnsi="Arial" w:cs="Arial"/>
          <w:b/>
          <w:sz w:val="24"/>
          <w:szCs w:val="24"/>
          <w:lang w:val="en-GB"/>
        </w:rPr>
        <w:t>CHOMBA AJA</w:t>
      </w:r>
    </w:p>
    <w:p w:rsidR="00A16F3E" w:rsidRDefault="00A16F3E" w:rsidP="005F1CD4">
      <w:pPr>
        <w:spacing w:after="0" w:line="240" w:lineRule="auto"/>
        <w:jc w:val="both"/>
        <w:rPr>
          <w:rFonts w:ascii="Arial" w:eastAsia="Calibri" w:hAnsi="Arial" w:cs="Arial"/>
          <w:sz w:val="24"/>
          <w:szCs w:val="24"/>
          <w:lang w:val="en-GB"/>
        </w:rPr>
      </w:pPr>
    </w:p>
    <w:p w:rsidR="00356437" w:rsidRDefault="00356437" w:rsidP="005F1CD4">
      <w:pPr>
        <w:spacing w:after="0" w:line="240" w:lineRule="auto"/>
        <w:jc w:val="both"/>
        <w:rPr>
          <w:rFonts w:ascii="Arial" w:eastAsia="Calibri" w:hAnsi="Arial" w:cs="Arial"/>
          <w:sz w:val="24"/>
          <w:szCs w:val="24"/>
          <w:lang w:val="en-GB"/>
        </w:rPr>
      </w:pPr>
    </w:p>
    <w:p w:rsidR="00356437" w:rsidRDefault="00356437" w:rsidP="005F1CD4">
      <w:pPr>
        <w:spacing w:after="0" w:line="240" w:lineRule="auto"/>
        <w:jc w:val="both"/>
        <w:rPr>
          <w:rFonts w:ascii="Arial" w:eastAsia="Calibri" w:hAnsi="Arial" w:cs="Arial"/>
          <w:sz w:val="24"/>
          <w:szCs w:val="24"/>
          <w:lang w:val="en-GB"/>
        </w:rPr>
      </w:pPr>
    </w:p>
    <w:p w:rsidR="00356437" w:rsidRDefault="00356437" w:rsidP="005F1CD4">
      <w:pPr>
        <w:spacing w:after="0" w:line="240" w:lineRule="auto"/>
        <w:jc w:val="both"/>
        <w:rPr>
          <w:rFonts w:ascii="Arial" w:eastAsia="Calibri" w:hAnsi="Arial" w:cs="Arial"/>
          <w:sz w:val="24"/>
          <w:szCs w:val="24"/>
          <w:lang w:val="en-GB"/>
        </w:rPr>
      </w:pPr>
    </w:p>
    <w:p w:rsidR="005F1CD4" w:rsidRPr="001138EF" w:rsidRDefault="00356437" w:rsidP="005F1CD4">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_____________________</w:t>
      </w:r>
    </w:p>
    <w:p w:rsidR="005F1CD4" w:rsidRPr="008154C4" w:rsidRDefault="005F1CD4" w:rsidP="005F1CD4">
      <w:pPr>
        <w:spacing w:after="0" w:line="240" w:lineRule="auto"/>
        <w:jc w:val="both"/>
        <w:rPr>
          <w:rFonts w:ascii="Arial" w:eastAsia="Calibri" w:hAnsi="Arial" w:cs="Arial"/>
          <w:b/>
          <w:sz w:val="24"/>
          <w:szCs w:val="24"/>
          <w:lang w:val="en-GB"/>
        </w:rPr>
      </w:pPr>
      <w:r w:rsidRPr="008154C4">
        <w:rPr>
          <w:rFonts w:ascii="Arial" w:eastAsia="Calibri" w:hAnsi="Arial" w:cs="Arial"/>
          <w:b/>
          <w:sz w:val="24"/>
          <w:szCs w:val="24"/>
          <w:lang w:val="en-GB"/>
        </w:rPr>
        <w:t>MOKGORO AJA</w:t>
      </w:r>
    </w:p>
    <w:p w:rsidR="005F1CD4" w:rsidRPr="00CC1C8B" w:rsidRDefault="005F1CD4" w:rsidP="005F1CD4">
      <w:pPr>
        <w:spacing w:after="0" w:line="240" w:lineRule="auto"/>
        <w:jc w:val="both"/>
        <w:rPr>
          <w:rFonts w:ascii="Arial" w:eastAsia="Calibri" w:hAnsi="Arial" w:cs="Arial"/>
          <w:sz w:val="24"/>
          <w:szCs w:val="24"/>
          <w:lang w:val="en-GB"/>
        </w:rPr>
      </w:pPr>
      <w:r w:rsidRPr="00CC1C8B">
        <w:rPr>
          <w:rFonts w:ascii="Arial" w:eastAsia="Calibri" w:hAnsi="Arial" w:cs="Arial"/>
          <w:sz w:val="24"/>
          <w:szCs w:val="24"/>
          <w:lang w:val="en-GB"/>
        </w:rPr>
        <w:lastRenderedPageBreak/>
        <w:t>APPEARANCES</w:t>
      </w:r>
    </w:p>
    <w:p w:rsidR="005F1CD4" w:rsidRPr="00CC1C8B" w:rsidRDefault="005F1CD4" w:rsidP="005F1CD4">
      <w:pPr>
        <w:spacing w:after="0" w:line="240" w:lineRule="auto"/>
        <w:jc w:val="both"/>
        <w:rPr>
          <w:rFonts w:ascii="Arial" w:eastAsia="Calibri" w:hAnsi="Arial" w:cs="Arial"/>
          <w:sz w:val="24"/>
          <w:szCs w:val="24"/>
          <w:lang w:val="en-GB"/>
        </w:rPr>
      </w:pPr>
    </w:p>
    <w:tbl>
      <w:tblPr>
        <w:tblStyle w:val="TableGrid"/>
        <w:tblW w:w="139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9255"/>
      </w:tblGrid>
      <w:tr w:rsidR="005F1CD4" w:rsidRPr="00CC1C8B" w:rsidTr="00DB3E44">
        <w:tc>
          <w:tcPr>
            <w:tcW w:w="4678" w:type="dxa"/>
          </w:tcPr>
          <w:p w:rsidR="005F1CD4" w:rsidRPr="00CC1C8B" w:rsidRDefault="005F1CD4" w:rsidP="00DB3E44">
            <w:pPr>
              <w:jc w:val="both"/>
              <w:rPr>
                <w:rFonts w:ascii="Arial" w:eastAsia="Calibri" w:hAnsi="Arial" w:cs="Arial"/>
                <w:sz w:val="24"/>
                <w:szCs w:val="24"/>
                <w:lang w:val="en-GB"/>
              </w:rPr>
            </w:pPr>
            <w:r w:rsidRPr="00CC1C8B">
              <w:rPr>
                <w:rFonts w:ascii="Arial" w:eastAsia="Calibri" w:hAnsi="Arial" w:cs="Arial"/>
                <w:sz w:val="24"/>
                <w:szCs w:val="24"/>
                <w:lang w:val="en-GB"/>
              </w:rPr>
              <w:t>APPELLANT:</w:t>
            </w:r>
          </w:p>
        </w:tc>
        <w:tc>
          <w:tcPr>
            <w:tcW w:w="9255" w:type="dxa"/>
          </w:tcPr>
          <w:p w:rsidR="005F1CD4" w:rsidRPr="00BA7306" w:rsidRDefault="005F1CD4" w:rsidP="00DB3E44">
            <w:pPr>
              <w:jc w:val="both"/>
              <w:rPr>
                <w:rFonts w:ascii="Arial" w:eastAsia="Calibri" w:hAnsi="Arial" w:cs="Arial"/>
                <w:sz w:val="24"/>
                <w:szCs w:val="24"/>
              </w:rPr>
            </w:pPr>
            <w:r w:rsidRPr="00BA7306">
              <w:rPr>
                <w:rFonts w:ascii="Arial" w:eastAsia="Calibri" w:hAnsi="Arial" w:cs="Arial"/>
                <w:sz w:val="24"/>
                <w:szCs w:val="24"/>
              </w:rPr>
              <w:t>E.M. Angula</w:t>
            </w:r>
          </w:p>
          <w:p w:rsidR="005F1CD4" w:rsidRPr="00BA7306" w:rsidRDefault="00BA7306" w:rsidP="00DB3E44">
            <w:pPr>
              <w:jc w:val="both"/>
              <w:rPr>
                <w:rFonts w:ascii="Arial" w:eastAsia="Calibri" w:hAnsi="Arial" w:cs="Arial"/>
                <w:sz w:val="24"/>
                <w:szCs w:val="24"/>
              </w:rPr>
            </w:pPr>
            <w:r>
              <w:rPr>
                <w:rFonts w:ascii="Arial" w:eastAsia="Calibri" w:hAnsi="Arial" w:cs="Arial"/>
                <w:sz w:val="24"/>
                <w:szCs w:val="24"/>
              </w:rPr>
              <w:t xml:space="preserve">Instructed by </w:t>
            </w:r>
            <w:r w:rsidR="005F1CD4" w:rsidRPr="00BA7306">
              <w:rPr>
                <w:rFonts w:ascii="Arial" w:eastAsia="Calibri" w:hAnsi="Arial" w:cs="Arial"/>
                <w:sz w:val="24"/>
                <w:szCs w:val="24"/>
              </w:rPr>
              <w:t>A</w:t>
            </w:r>
            <w:r>
              <w:rPr>
                <w:rFonts w:ascii="Arial" w:eastAsia="Calibri" w:hAnsi="Arial" w:cs="Arial"/>
                <w:sz w:val="24"/>
                <w:szCs w:val="24"/>
              </w:rPr>
              <w:t>ngulaCo. Inc</w:t>
            </w:r>
            <w:r w:rsidR="005F1CD4" w:rsidRPr="00BA7306">
              <w:rPr>
                <w:rFonts w:ascii="Arial" w:eastAsia="Calibri" w:hAnsi="Arial" w:cs="Arial"/>
                <w:sz w:val="24"/>
                <w:szCs w:val="24"/>
              </w:rPr>
              <w:t>.</w:t>
            </w:r>
          </w:p>
          <w:p w:rsidR="005F1CD4" w:rsidRPr="00BA7306" w:rsidRDefault="005F1CD4" w:rsidP="00DB3E44">
            <w:pPr>
              <w:jc w:val="both"/>
              <w:rPr>
                <w:rFonts w:ascii="Arial" w:eastAsia="Calibri" w:hAnsi="Arial" w:cs="Arial"/>
                <w:sz w:val="24"/>
                <w:szCs w:val="24"/>
              </w:rPr>
            </w:pPr>
            <w:r w:rsidRPr="00BA7306">
              <w:rPr>
                <w:rFonts w:ascii="Arial" w:eastAsia="Calibri" w:hAnsi="Arial" w:cs="Arial"/>
                <w:sz w:val="24"/>
                <w:szCs w:val="24"/>
              </w:rPr>
              <w:t>Windhoek</w:t>
            </w:r>
          </w:p>
          <w:p w:rsidR="005F1CD4" w:rsidRPr="00BA7306" w:rsidRDefault="005F1CD4" w:rsidP="00DB3E44">
            <w:pPr>
              <w:jc w:val="both"/>
              <w:rPr>
                <w:rFonts w:ascii="Arial" w:eastAsia="Calibri" w:hAnsi="Arial" w:cs="Arial"/>
                <w:sz w:val="24"/>
                <w:szCs w:val="24"/>
                <w:lang w:val="en-GB"/>
              </w:rPr>
            </w:pPr>
          </w:p>
        </w:tc>
      </w:tr>
      <w:tr w:rsidR="005F1CD4" w:rsidRPr="00CC1C8B" w:rsidTr="00DB3E44">
        <w:tc>
          <w:tcPr>
            <w:tcW w:w="4678" w:type="dxa"/>
          </w:tcPr>
          <w:p w:rsidR="005F1CD4" w:rsidRPr="00CC1C8B" w:rsidRDefault="005F1CD4" w:rsidP="00DB3E44">
            <w:pPr>
              <w:ind w:left="34"/>
              <w:jc w:val="both"/>
              <w:rPr>
                <w:rFonts w:ascii="Arial" w:eastAsia="Calibri" w:hAnsi="Arial" w:cs="Arial"/>
                <w:sz w:val="24"/>
                <w:szCs w:val="24"/>
                <w:lang w:val="en-GB"/>
              </w:rPr>
            </w:pPr>
            <w:r w:rsidRPr="00CC1C8B">
              <w:rPr>
                <w:rFonts w:ascii="Arial" w:eastAsia="Calibri" w:hAnsi="Arial" w:cs="Arial"/>
                <w:sz w:val="24"/>
                <w:szCs w:val="24"/>
                <w:lang w:val="en-GB"/>
              </w:rPr>
              <w:t>RESPONDENT:</w:t>
            </w:r>
          </w:p>
        </w:tc>
        <w:tc>
          <w:tcPr>
            <w:tcW w:w="9255" w:type="dxa"/>
          </w:tcPr>
          <w:p w:rsidR="005F1CD4" w:rsidRPr="00BA7306" w:rsidRDefault="005F1CD4" w:rsidP="00BA7306">
            <w:pPr>
              <w:jc w:val="both"/>
              <w:rPr>
                <w:rFonts w:ascii="Arial" w:eastAsia="Calibri" w:hAnsi="Arial" w:cs="Arial"/>
                <w:sz w:val="24"/>
                <w:szCs w:val="24"/>
                <w:lang w:val="en-ZW"/>
              </w:rPr>
            </w:pPr>
            <w:r w:rsidRPr="00BA7306">
              <w:rPr>
                <w:rFonts w:ascii="Arial" w:hAnsi="Arial" w:cs="Arial"/>
                <w:sz w:val="24"/>
                <w:szCs w:val="24"/>
              </w:rPr>
              <w:t>No</w:t>
            </w:r>
            <w:r w:rsidR="00BA7306">
              <w:rPr>
                <w:rFonts w:ascii="Arial" w:hAnsi="Arial" w:cs="Arial"/>
                <w:sz w:val="24"/>
                <w:szCs w:val="24"/>
              </w:rPr>
              <w:t>ne</w:t>
            </w:r>
            <w:r w:rsidRPr="00BA7306">
              <w:rPr>
                <w:rFonts w:ascii="Arial" w:hAnsi="Arial" w:cs="Arial"/>
                <w:sz w:val="24"/>
                <w:szCs w:val="24"/>
              </w:rPr>
              <w:t xml:space="preserve"> </w:t>
            </w:r>
            <w:r w:rsidR="00BA7306">
              <w:rPr>
                <w:rFonts w:ascii="Arial" w:hAnsi="Arial" w:cs="Arial"/>
                <w:sz w:val="24"/>
                <w:szCs w:val="24"/>
              </w:rPr>
              <w:t>A</w:t>
            </w:r>
            <w:r w:rsidRPr="00BA7306">
              <w:rPr>
                <w:rFonts w:ascii="Arial" w:hAnsi="Arial" w:cs="Arial"/>
                <w:sz w:val="24"/>
                <w:szCs w:val="24"/>
              </w:rPr>
              <w:t>ppearance</w:t>
            </w:r>
          </w:p>
        </w:tc>
      </w:tr>
      <w:tr w:rsidR="005F1CD4" w:rsidRPr="00CC1C8B" w:rsidTr="00DB3E44">
        <w:tc>
          <w:tcPr>
            <w:tcW w:w="4678" w:type="dxa"/>
          </w:tcPr>
          <w:p w:rsidR="005F1CD4" w:rsidRPr="00CC1C8B" w:rsidRDefault="005F1CD4" w:rsidP="00DB3E44">
            <w:pPr>
              <w:spacing w:line="480" w:lineRule="auto"/>
              <w:jc w:val="both"/>
              <w:rPr>
                <w:rFonts w:ascii="Arial" w:eastAsia="Calibri" w:hAnsi="Arial" w:cs="Arial"/>
                <w:sz w:val="24"/>
                <w:szCs w:val="24"/>
                <w:lang w:val="en-GB"/>
              </w:rPr>
            </w:pPr>
          </w:p>
        </w:tc>
        <w:tc>
          <w:tcPr>
            <w:tcW w:w="9255" w:type="dxa"/>
          </w:tcPr>
          <w:p w:rsidR="005F1CD4" w:rsidRPr="00CC1C8B" w:rsidRDefault="005F1CD4" w:rsidP="00DB3E44">
            <w:pPr>
              <w:spacing w:line="480" w:lineRule="auto"/>
              <w:jc w:val="both"/>
              <w:rPr>
                <w:rFonts w:ascii="Arial" w:eastAsia="Calibri" w:hAnsi="Arial" w:cs="Arial"/>
                <w:sz w:val="24"/>
                <w:szCs w:val="24"/>
                <w:lang w:val="en-ZW"/>
              </w:rPr>
            </w:pPr>
          </w:p>
        </w:tc>
      </w:tr>
    </w:tbl>
    <w:p w:rsidR="005F1CD4" w:rsidRPr="00EA2CA1" w:rsidRDefault="005F1CD4" w:rsidP="005F1CD4">
      <w:pPr>
        <w:tabs>
          <w:tab w:val="left" w:pos="3495"/>
        </w:tabs>
        <w:jc w:val="both"/>
        <w:rPr>
          <w:rFonts w:ascii="Arial" w:hAnsi="Arial" w:cs="Arial"/>
          <w:sz w:val="24"/>
          <w:szCs w:val="24"/>
        </w:rPr>
      </w:pPr>
    </w:p>
    <w:p w:rsidR="0094027F" w:rsidRDefault="0094027F"/>
    <w:sectPr w:rsidR="0094027F" w:rsidSect="00FE59D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6D6" w:rsidRDefault="009826D6" w:rsidP="005F1CD4">
      <w:pPr>
        <w:spacing w:after="0" w:line="240" w:lineRule="auto"/>
      </w:pPr>
      <w:r>
        <w:separator/>
      </w:r>
    </w:p>
  </w:endnote>
  <w:endnote w:type="continuationSeparator" w:id="0">
    <w:p w:rsidR="009826D6" w:rsidRDefault="009826D6" w:rsidP="005F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85" w:rsidRDefault="009826D6">
    <w:pPr>
      <w:pStyle w:val="Footer"/>
      <w:jc w:val="right"/>
    </w:pPr>
  </w:p>
  <w:p w:rsidR="00D55585" w:rsidRDefault="00982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6D6" w:rsidRDefault="009826D6" w:rsidP="005F1CD4">
      <w:pPr>
        <w:spacing w:after="0" w:line="240" w:lineRule="auto"/>
      </w:pPr>
      <w:r>
        <w:separator/>
      </w:r>
    </w:p>
  </w:footnote>
  <w:footnote w:type="continuationSeparator" w:id="0">
    <w:p w:rsidR="009826D6" w:rsidRDefault="009826D6" w:rsidP="005F1CD4">
      <w:pPr>
        <w:spacing w:after="0" w:line="240" w:lineRule="auto"/>
      </w:pPr>
      <w:r>
        <w:continuationSeparator/>
      </w:r>
    </w:p>
  </w:footnote>
  <w:footnote w:id="1">
    <w:p w:rsidR="005F1CD4" w:rsidRPr="005B01ED" w:rsidRDefault="005F1CD4" w:rsidP="005B01ED">
      <w:pPr>
        <w:pStyle w:val="FootnoteText"/>
        <w:jc w:val="both"/>
        <w:rPr>
          <w:rFonts w:ascii="Arial" w:hAnsi="Arial" w:cs="Arial"/>
          <w:lang w:val="en-GB"/>
        </w:rPr>
      </w:pPr>
      <w:r w:rsidRPr="005B01ED">
        <w:rPr>
          <w:rStyle w:val="FootnoteReference"/>
          <w:rFonts w:ascii="Arial" w:hAnsi="Arial" w:cs="Arial"/>
        </w:rPr>
        <w:footnoteRef/>
      </w:r>
      <w:r w:rsidRPr="005B01ED">
        <w:rPr>
          <w:rFonts w:ascii="Arial" w:hAnsi="Arial" w:cs="Arial"/>
        </w:rPr>
        <w:t xml:space="preserve"> </w:t>
      </w:r>
      <w:r w:rsidRPr="005B01ED">
        <w:rPr>
          <w:rFonts w:ascii="Arial" w:hAnsi="Arial" w:cs="Arial"/>
          <w:i/>
          <w:lang w:val="en-GB"/>
        </w:rPr>
        <w:t xml:space="preserve">Mograbi v Mograbi </w:t>
      </w:r>
      <w:r w:rsidRPr="005B01ED">
        <w:rPr>
          <w:rFonts w:ascii="Arial" w:hAnsi="Arial" w:cs="Arial"/>
          <w:lang w:val="en-GB"/>
        </w:rPr>
        <w:t>1921 AD 275</w:t>
      </w:r>
    </w:p>
  </w:footnote>
  <w:footnote w:id="2">
    <w:p w:rsidR="005F1CD4" w:rsidRPr="005A6D73" w:rsidRDefault="005F1CD4" w:rsidP="005B01ED">
      <w:pPr>
        <w:pStyle w:val="FootnoteText"/>
        <w:jc w:val="both"/>
        <w:rPr>
          <w:lang w:val="en-GB"/>
        </w:rPr>
      </w:pPr>
      <w:r w:rsidRPr="005B01ED">
        <w:rPr>
          <w:rStyle w:val="FootnoteReference"/>
          <w:rFonts w:ascii="Arial" w:hAnsi="Arial" w:cs="Arial"/>
        </w:rPr>
        <w:footnoteRef/>
      </w:r>
      <w:r w:rsidRPr="005B01ED">
        <w:rPr>
          <w:rFonts w:ascii="Arial" w:hAnsi="Arial" w:cs="Arial"/>
        </w:rPr>
        <w:t xml:space="preserve"> </w:t>
      </w:r>
      <w:r w:rsidRPr="005B01ED">
        <w:rPr>
          <w:rFonts w:ascii="Arial" w:hAnsi="Arial" w:cs="Arial"/>
          <w:i/>
          <w:lang w:val="en-GB"/>
        </w:rPr>
        <w:t>Moola v Aulsebrook</w:t>
      </w:r>
      <w:r w:rsidRPr="005B01ED">
        <w:rPr>
          <w:rFonts w:ascii="Arial" w:hAnsi="Arial" w:cs="Arial"/>
          <w:lang w:val="en-GB"/>
        </w:rPr>
        <w:t xml:space="preserve"> 1983 (1) SA 687 (N)</w:t>
      </w:r>
    </w:p>
  </w:footnote>
  <w:footnote w:id="3">
    <w:p w:rsidR="005F1CD4" w:rsidRPr="00F52060" w:rsidRDefault="005F1CD4" w:rsidP="005F1CD4">
      <w:pPr>
        <w:pStyle w:val="FootnoteText"/>
        <w:jc w:val="both"/>
        <w:rPr>
          <w:rFonts w:ascii="Arial" w:hAnsi="Arial" w:cs="Arial"/>
        </w:rPr>
      </w:pPr>
      <w:r w:rsidRPr="00F52060">
        <w:rPr>
          <w:rStyle w:val="FootnoteReference"/>
          <w:rFonts w:ascii="Arial" w:hAnsi="Arial" w:cs="Arial"/>
        </w:rPr>
        <w:footnoteRef/>
      </w:r>
      <w:r w:rsidRPr="00F52060">
        <w:rPr>
          <w:rFonts w:ascii="Arial" w:hAnsi="Arial" w:cs="Arial"/>
        </w:rPr>
        <w:t xml:space="preserve"> </w:t>
      </w:r>
      <w:r w:rsidRPr="00F52060">
        <w:rPr>
          <w:rFonts w:ascii="Arial" w:hAnsi="Arial" w:cs="Arial"/>
          <w:i/>
        </w:rPr>
        <w:t>Metallurgical and Commercial Consultants (Pty) Ltd v Metal Sales Co (Pty) Ltd</w:t>
      </w:r>
      <w:r w:rsidRPr="00F52060">
        <w:rPr>
          <w:rFonts w:ascii="Arial" w:hAnsi="Arial" w:cs="Arial"/>
        </w:rPr>
        <w:t xml:space="preserve"> 1971 (2) SA 388 (W) at 396</w:t>
      </w:r>
      <w:r>
        <w:rPr>
          <w:rFonts w:ascii="Arial" w:hAnsi="Arial" w:cs="Arial"/>
        </w:rPr>
        <w:t xml:space="preserve">D - </w:t>
      </w:r>
      <w:r w:rsidRPr="00F52060">
        <w:rPr>
          <w:rFonts w:ascii="Arial" w:hAnsi="Arial" w:cs="Arial"/>
        </w:rPr>
        <w:t>E</w:t>
      </w:r>
    </w:p>
  </w:footnote>
  <w:footnote w:id="4">
    <w:p w:rsidR="005F1CD4" w:rsidRPr="00F52060" w:rsidRDefault="005F1CD4" w:rsidP="005F1CD4">
      <w:pPr>
        <w:pStyle w:val="FootnoteText"/>
        <w:jc w:val="both"/>
        <w:rPr>
          <w:rFonts w:ascii="Arial" w:hAnsi="Arial" w:cs="Arial"/>
        </w:rPr>
      </w:pPr>
      <w:r w:rsidRPr="00F52060">
        <w:rPr>
          <w:rStyle w:val="FootnoteReference"/>
          <w:rFonts w:ascii="Arial" w:hAnsi="Arial" w:cs="Arial"/>
        </w:rPr>
        <w:footnoteRef/>
      </w:r>
      <w:r w:rsidRPr="00F52060">
        <w:rPr>
          <w:rFonts w:ascii="Arial" w:hAnsi="Arial" w:cs="Arial"/>
        </w:rPr>
        <w:t xml:space="preserve"> Rule 67 of the Rules of the High Court of Namibia: High Court Act, 1990.</w:t>
      </w:r>
    </w:p>
  </w:footnote>
  <w:footnote w:id="5">
    <w:p w:rsidR="005F1CD4" w:rsidRPr="00121371" w:rsidRDefault="005F1CD4" w:rsidP="001138EF">
      <w:pPr>
        <w:pStyle w:val="FootnoteText"/>
        <w:jc w:val="both"/>
        <w:rPr>
          <w:rFonts w:ascii="Arial" w:hAnsi="Arial" w:cs="Arial"/>
          <w:lang w:val="en-GB"/>
        </w:rPr>
      </w:pPr>
      <w:r>
        <w:rPr>
          <w:rStyle w:val="FootnoteReference"/>
        </w:rPr>
        <w:footnoteRef/>
      </w:r>
      <w:r>
        <w:t xml:space="preserve"> </w:t>
      </w:r>
      <w:r w:rsidRPr="00121371">
        <w:rPr>
          <w:rFonts w:ascii="Arial" w:hAnsi="Arial" w:cs="Arial"/>
          <w:i/>
        </w:rPr>
        <w:t>Van Aswegen and another v Drotskie and another</w:t>
      </w:r>
      <w:r w:rsidRPr="00121371">
        <w:rPr>
          <w:rFonts w:ascii="Arial" w:hAnsi="Arial" w:cs="Arial"/>
        </w:rPr>
        <w:t xml:space="preserve"> 1964 (2) SA 391 (O) at 395C</w:t>
      </w:r>
      <w:r>
        <w:rPr>
          <w:rFonts w:ascii="Arial" w:hAnsi="Arial" w:cs="Arial"/>
        </w:rPr>
        <w:t xml:space="preserve"> </w:t>
      </w:r>
      <w:r w:rsidRPr="00121371">
        <w:rPr>
          <w:rFonts w:ascii="Arial" w:hAnsi="Arial" w:cs="Arial"/>
        </w:rPr>
        <w:t>-</w:t>
      </w:r>
      <w:r>
        <w:rPr>
          <w:rFonts w:ascii="Arial" w:hAnsi="Arial" w:cs="Arial"/>
        </w:rPr>
        <w:t xml:space="preserve"> </w:t>
      </w:r>
      <w:r w:rsidRPr="00121371">
        <w:rPr>
          <w:rFonts w:ascii="Arial" w:hAnsi="Arial" w:cs="Arial"/>
        </w:rPr>
        <w:t xml:space="preserve">D </w:t>
      </w:r>
    </w:p>
  </w:footnote>
  <w:footnote w:id="6">
    <w:p w:rsidR="005F1CD4" w:rsidRPr="00121371" w:rsidRDefault="005F1CD4" w:rsidP="001138EF">
      <w:pPr>
        <w:pStyle w:val="FootnoteText"/>
        <w:jc w:val="both"/>
        <w:rPr>
          <w:rFonts w:ascii="Arial" w:hAnsi="Arial" w:cs="Arial"/>
          <w:lang w:val="en-GB"/>
        </w:rPr>
      </w:pPr>
      <w:r w:rsidRPr="00121371">
        <w:rPr>
          <w:rStyle w:val="FootnoteReference"/>
          <w:rFonts w:ascii="Arial" w:hAnsi="Arial" w:cs="Arial"/>
        </w:rPr>
        <w:footnoteRef/>
      </w:r>
      <w:r w:rsidRPr="00121371">
        <w:rPr>
          <w:rFonts w:ascii="Arial" w:hAnsi="Arial" w:cs="Arial"/>
        </w:rPr>
        <w:t xml:space="preserve"> Ibid, at 395D</w:t>
      </w:r>
      <w:r>
        <w:rPr>
          <w:rFonts w:ascii="Arial" w:hAnsi="Arial" w:cs="Arial"/>
        </w:rPr>
        <w:t xml:space="preserve"> </w:t>
      </w:r>
      <w:r w:rsidRPr="00121371">
        <w:rPr>
          <w:rFonts w:ascii="Arial" w:hAnsi="Arial" w:cs="Arial"/>
        </w:rPr>
        <w:t xml:space="preserve">- E </w:t>
      </w:r>
    </w:p>
  </w:footnote>
  <w:footnote w:id="7">
    <w:p w:rsidR="005F1CD4" w:rsidRPr="00F52060" w:rsidRDefault="005F1CD4" w:rsidP="001138EF">
      <w:pPr>
        <w:pStyle w:val="FootnoteText"/>
        <w:jc w:val="both"/>
        <w:rPr>
          <w:rFonts w:ascii="Arial" w:hAnsi="Arial" w:cs="Arial"/>
        </w:rPr>
      </w:pPr>
      <w:r w:rsidRPr="00121371">
        <w:rPr>
          <w:rStyle w:val="FootnoteReference"/>
          <w:rFonts w:ascii="Arial" w:hAnsi="Arial" w:cs="Arial"/>
        </w:rPr>
        <w:footnoteRef/>
      </w:r>
      <w:r w:rsidRPr="00F52060">
        <w:rPr>
          <w:rFonts w:ascii="Arial" w:hAnsi="Arial" w:cs="Arial"/>
        </w:rPr>
        <w:t xml:space="preserve"> </w:t>
      </w:r>
      <w:r w:rsidRPr="00F52060">
        <w:rPr>
          <w:rFonts w:ascii="Arial" w:hAnsi="Arial" w:cs="Arial"/>
          <w:i/>
        </w:rPr>
        <w:t xml:space="preserve">South African Veterinary Council and </w:t>
      </w:r>
      <w:r>
        <w:rPr>
          <w:rFonts w:ascii="Arial" w:hAnsi="Arial" w:cs="Arial"/>
          <w:i/>
        </w:rPr>
        <w:t>a</w:t>
      </w:r>
      <w:r w:rsidRPr="00F52060">
        <w:rPr>
          <w:rFonts w:ascii="Arial" w:hAnsi="Arial" w:cs="Arial"/>
          <w:i/>
        </w:rPr>
        <w:t xml:space="preserve">nother v Szymanski </w:t>
      </w:r>
      <w:r w:rsidRPr="00121371">
        <w:rPr>
          <w:rFonts w:ascii="Arial" w:hAnsi="Arial" w:cs="Arial"/>
        </w:rPr>
        <w:t>2003 (4) SA</w:t>
      </w:r>
      <w:r>
        <w:rPr>
          <w:rFonts w:ascii="Arial" w:hAnsi="Arial" w:cs="Arial"/>
          <w:i/>
        </w:rPr>
        <w:t xml:space="preserve"> </w:t>
      </w:r>
      <w:r w:rsidRPr="00C07703">
        <w:rPr>
          <w:rFonts w:ascii="Arial" w:hAnsi="Arial" w:cs="Arial"/>
        </w:rPr>
        <w:t xml:space="preserve">42 </w:t>
      </w:r>
      <w:r w:rsidR="007C62F6">
        <w:rPr>
          <w:rFonts w:ascii="Arial" w:hAnsi="Arial" w:cs="Arial"/>
        </w:rPr>
        <w:t xml:space="preserve">(SCA) </w:t>
      </w:r>
      <w:r w:rsidRPr="00C07703">
        <w:rPr>
          <w:rFonts w:ascii="Arial" w:hAnsi="Arial" w:cs="Arial"/>
        </w:rPr>
        <w:t>at</w:t>
      </w:r>
      <w:r>
        <w:rPr>
          <w:rFonts w:ascii="Arial" w:hAnsi="Arial" w:cs="Arial"/>
          <w:i/>
        </w:rPr>
        <w:t xml:space="preserve"> </w:t>
      </w:r>
      <w:r w:rsidRPr="00F52060">
        <w:rPr>
          <w:rFonts w:ascii="Arial" w:hAnsi="Arial" w:cs="Arial"/>
        </w:rPr>
        <w:t>para 23</w:t>
      </w:r>
      <w:r>
        <w:rPr>
          <w:rFonts w:ascii="Arial" w:hAnsi="Arial" w:cs="Arial"/>
        </w:rPr>
        <w:t xml:space="preserve">, referencing citing Innes CJ’s remark in </w:t>
      </w:r>
      <w:r w:rsidRPr="00C07703">
        <w:rPr>
          <w:rFonts w:ascii="Arial" w:hAnsi="Arial" w:cs="Arial"/>
          <w:i/>
        </w:rPr>
        <w:t>Frank v Ohlsson’s Cape Breweries Ltd</w:t>
      </w:r>
      <w:r>
        <w:rPr>
          <w:rFonts w:ascii="Arial" w:hAnsi="Arial" w:cs="Arial"/>
        </w:rPr>
        <w:t xml:space="preserve"> 1924 AD 289 at 294.</w:t>
      </w:r>
    </w:p>
  </w:footnote>
  <w:footnote w:id="8">
    <w:p w:rsidR="005F1CD4" w:rsidRPr="00F52060" w:rsidRDefault="005F1CD4" w:rsidP="001138EF">
      <w:pPr>
        <w:pStyle w:val="FootnoteText"/>
        <w:jc w:val="both"/>
        <w:rPr>
          <w:rFonts w:ascii="Arial" w:hAnsi="Arial" w:cs="Arial"/>
        </w:rPr>
      </w:pPr>
      <w:r w:rsidRPr="00F52060">
        <w:rPr>
          <w:rStyle w:val="FootnoteReference"/>
          <w:rFonts w:ascii="Arial" w:hAnsi="Arial" w:cs="Arial"/>
        </w:rPr>
        <w:footnoteRef/>
      </w:r>
      <w:r w:rsidRPr="00F52060">
        <w:rPr>
          <w:rFonts w:ascii="Arial" w:hAnsi="Arial" w:cs="Arial"/>
        </w:rPr>
        <w:t xml:space="preserve"> Rule 17</w:t>
      </w:r>
    </w:p>
  </w:footnote>
  <w:footnote w:id="9">
    <w:p w:rsidR="005F1CD4" w:rsidRPr="00F52060" w:rsidRDefault="005F1CD4" w:rsidP="001138EF">
      <w:pPr>
        <w:pStyle w:val="FootnoteText"/>
        <w:jc w:val="both"/>
        <w:rPr>
          <w:rFonts w:ascii="Arial" w:hAnsi="Arial" w:cs="Arial"/>
        </w:rPr>
      </w:pPr>
      <w:r w:rsidRPr="00F52060">
        <w:rPr>
          <w:rStyle w:val="FootnoteReference"/>
          <w:rFonts w:ascii="Arial" w:hAnsi="Arial" w:cs="Arial"/>
        </w:rPr>
        <w:footnoteRef/>
      </w:r>
      <w:r w:rsidRPr="00F52060">
        <w:rPr>
          <w:rFonts w:ascii="Arial" w:hAnsi="Arial" w:cs="Arial"/>
        </w:rPr>
        <w:t xml:space="preserve"> Rule 67(1) </w:t>
      </w:r>
    </w:p>
  </w:footnote>
  <w:footnote w:id="10">
    <w:p w:rsidR="005F1CD4" w:rsidRPr="00F52060" w:rsidRDefault="005F1CD4" w:rsidP="001138EF">
      <w:pPr>
        <w:pStyle w:val="FootnoteText"/>
        <w:jc w:val="both"/>
        <w:rPr>
          <w:rFonts w:ascii="Arial" w:hAnsi="Arial" w:cs="Arial"/>
        </w:rPr>
      </w:pPr>
      <w:r w:rsidRPr="00F52060">
        <w:rPr>
          <w:rStyle w:val="FootnoteReference"/>
          <w:rFonts w:ascii="Arial" w:hAnsi="Arial" w:cs="Arial"/>
        </w:rPr>
        <w:footnoteRef/>
      </w:r>
      <w:r w:rsidRPr="00F52060">
        <w:rPr>
          <w:rFonts w:ascii="Arial" w:hAnsi="Arial" w:cs="Arial"/>
        </w:rPr>
        <w:t xml:space="preserve"> Ibid</w:t>
      </w:r>
    </w:p>
  </w:footnote>
  <w:footnote w:id="11">
    <w:p w:rsidR="005F1CD4" w:rsidRPr="00F52060" w:rsidRDefault="005F1CD4" w:rsidP="005F1CD4">
      <w:pPr>
        <w:pStyle w:val="FootnoteText"/>
        <w:jc w:val="both"/>
        <w:rPr>
          <w:rFonts w:ascii="Arial" w:hAnsi="Arial" w:cs="Arial"/>
        </w:rPr>
      </w:pPr>
      <w:r w:rsidRPr="00F52060">
        <w:rPr>
          <w:rStyle w:val="FootnoteReference"/>
          <w:rFonts w:ascii="Arial" w:hAnsi="Arial" w:cs="Arial"/>
        </w:rPr>
        <w:footnoteRef/>
      </w:r>
      <w:r w:rsidRPr="00F52060">
        <w:rPr>
          <w:rFonts w:ascii="Arial" w:hAnsi="Arial" w:cs="Arial"/>
        </w:rPr>
        <w:t xml:space="preserve"> Rule 67(1)(a) </w:t>
      </w:r>
    </w:p>
  </w:footnote>
  <w:footnote w:id="12">
    <w:p w:rsidR="005F1CD4" w:rsidRPr="00F52060" w:rsidRDefault="005F1CD4" w:rsidP="005F1CD4">
      <w:pPr>
        <w:pStyle w:val="FootnoteText"/>
        <w:jc w:val="both"/>
        <w:rPr>
          <w:rFonts w:ascii="Arial" w:hAnsi="Arial" w:cs="Arial"/>
        </w:rPr>
      </w:pPr>
      <w:r w:rsidRPr="00F52060">
        <w:rPr>
          <w:rStyle w:val="FootnoteReference"/>
          <w:rFonts w:ascii="Arial" w:hAnsi="Arial" w:cs="Arial"/>
        </w:rPr>
        <w:footnoteRef/>
      </w:r>
      <w:r w:rsidRPr="00F52060">
        <w:rPr>
          <w:rFonts w:ascii="Arial" w:hAnsi="Arial" w:cs="Arial"/>
        </w:rPr>
        <w:t xml:space="preserve"> Rule 67(1)(b)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760321"/>
      <w:docPartObj>
        <w:docPartGallery w:val="Page Numbers (Top of Page)"/>
        <w:docPartUnique/>
      </w:docPartObj>
    </w:sdtPr>
    <w:sdtEndPr>
      <w:rPr>
        <w:noProof/>
      </w:rPr>
    </w:sdtEndPr>
    <w:sdtContent>
      <w:p w:rsidR="00B16E40" w:rsidRDefault="00B16E40">
        <w:pPr>
          <w:pStyle w:val="Header"/>
          <w:jc w:val="right"/>
        </w:pPr>
        <w:r>
          <w:fldChar w:fldCharType="begin"/>
        </w:r>
        <w:r>
          <w:instrText xml:space="preserve"> PAGE   \* MERGEFORMAT </w:instrText>
        </w:r>
        <w:r>
          <w:fldChar w:fldCharType="separate"/>
        </w:r>
        <w:r w:rsidR="00546A8F">
          <w:rPr>
            <w:noProof/>
          </w:rPr>
          <w:t>2</w:t>
        </w:r>
        <w:r>
          <w:rPr>
            <w:noProof/>
          </w:rPr>
          <w:fldChar w:fldCharType="end"/>
        </w:r>
      </w:p>
    </w:sdtContent>
  </w:sdt>
  <w:p w:rsidR="00B16E40" w:rsidRDefault="00B16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02C5C"/>
    <w:multiLevelType w:val="hybridMultilevel"/>
    <w:tmpl w:val="F47269A4"/>
    <w:lvl w:ilvl="0" w:tplc="2368A2F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0756B"/>
    <w:multiLevelType w:val="hybridMultilevel"/>
    <w:tmpl w:val="E20C8FA0"/>
    <w:lvl w:ilvl="0" w:tplc="C8DA0518">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 w15:restartNumberingAfterBreak="0">
    <w:nsid w:val="6C536FFD"/>
    <w:multiLevelType w:val="hybridMultilevel"/>
    <w:tmpl w:val="2CECDC00"/>
    <w:lvl w:ilvl="0" w:tplc="19AA0D6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843214"/>
    <w:multiLevelType w:val="hybridMultilevel"/>
    <w:tmpl w:val="998AEB72"/>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D4"/>
    <w:rsid w:val="000016BD"/>
    <w:rsid w:val="00007AC1"/>
    <w:rsid w:val="000E6715"/>
    <w:rsid w:val="001138EF"/>
    <w:rsid w:val="0016732E"/>
    <w:rsid w:val="001B7EF5"/>
    <w:rsid w:val="002B2E11"/>
    <w:rsid w:val="00356437"/>
    <w:rsid w:val="003840F3"/>
    <w:rsid w:val="00546A8F"/>
    <w:rsid w:val="005B01ED"/>
    <w:rsid w:val="005F1CD4"/>
    <w:rsid w:val="006C4347"/>
    <w:rsid w:val="007C62F6"/>
    <w:rsid w:val="007F69CA"/>
    <w:rsid w:val="008E1CF9"/>
    <w:rsid w:val="008E7657"/>
    <w:rsid w:val="0094027F"/>
    <w:rsid w:val="009826D6"/>
    <w:rsid w:val="009E5D90"/>
    <w:rsid w:val="009F6F1C"/>
    <w:rsid w:val="00A16F3E"/>
    <w:rsid w:val="00B10AB9"/>
    <w:rsid w:val="00B16E40"/>
    <w:rsid w:val="00B60357"/>
    <w:rsid w:val="00B71A19"/>
    <w:rsid w:val="00BA7306"/>
    <w:rsid w:val="00C822F6"/>
    <w:rsid w:val="00C93115"/>
    <w:rsid w:val="00D77758"/>
    <w:rsid w:val="00DE6BD8"/>
    <w:rsid w:val="00E233AD"/>
    <w:rsid w:val="00E50B17"/>
    <w:rsid w:val="00EC331B"/>
    <w:rsid w:val="00EC345B"/>
    <w:rsid w:val="00F972B0"/>
    <w:rsid w:val="00FE0EBB"/>
    <w:rsid w:val="00FE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4662FD-E06B-43B5-AF6A-F0229CA9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D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CD4"/>
    <w:rPr>
      <w:lang w:val="en-US"/>
    </w:rPr>
  </w:style>
  <w:style w:type="paragraph" w:styleId="Footer">
    <w:name w:val="footer"/>
    <w:basedOn w:val="Normal"/>
    <w:link w:val="FooterChar"/>
    <w:uiPriority w:val="99"/>
    <w:unhideWhenUsed/>
    <w:rsid w:val="005F1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CD4"/>
    <w:rPr>
      <w:lang w:val="en-US"/>
    </w:rPr>
  </w:style>
  <w:style w:type="paragraph" w:styleId="ListParagraph">
    <w:name w:val="List Paragraph"/>
    <w:basedOn w:val="Normal"/>
    <w:link w:val="ListParagraphChar"/>
    <w:uiPriority w:val="34"/>
    <w:qFormat/>
    <w:rsid w:val="005F1CD4"/>
    <w:pPr>
      <w:ind w:left="720"/>
      <w:contextualSpacing/>
    </w:pPr>
  </w:style>
  <w:style w:type="character" w:customStyle="1" w:styleId="ListParagraphChar">
    <w:name w:val="List Paragraph Char"/>
    <w:basedOn w:val="DefaultParagraphFont"/>
    <w:link w:val="ListParagraph"/>
    <w:uiPriority w:val="34"/>
    <w:rsid w:val="005F1CD4"/>
    <w:rPr>
      <w:lang w:val="en-US"/>
    </w:rPr>
  </w:style>
  <w:style w:type="paragraph" w:styleId="FootnoteText">
    <w:name w:val="footnote text"/>
    <w:basedOn w:val="Normal"/>
    <w:link w:val="FootnoteTextChar"/>
    <w:uiPriority w:val="99"/>
    <w:unhideWhenUsed/>
    <w:rsid w:val="005F1CD4"/>
    <w:pPr>
      <w:spacing w:after="0" w:line="240" w:lineRule="auto"/>
    </w:pPr>
    <w:rPr>
      <w:sz w:val="20"/>
      <w:szCs w:val="20"/>
    </w:rPr>
  </w:style>
  <w:style w:type="character" w:customStyle="1" w:styleId="FootnoteTextChar">
    <w:name w:val="Footnote Text Char"/>
    <w:basedOn w:val="DefaultParagraphFont"/>
    <w:link w:val="FootnoteText"/>
    <w:uiPriority w:val="99"/>
    <w:rsid w:val="005F1CD4"/>
    <w:rPr>
      <w:sz w:val="20"/>
      <w:szCs w:val="20"/>
      <w:lang w:val="en-US"/>
    </w:rPr>
  </w:style>
  <w:style w:type="character" w:styleId="FootnoteReference">
    <w:name w:val="footnote reference"/>
    <w:basedOn w:val="DefaultParagraphFont"/>
    <w:uiPriority w:val="99"/>
    <w:unhideWhenUsed/>
    <w:rsid w:val="005F1CD4"/>
    <w:rPr>
      <w:vertAlign w:val="superscript"/>
    </w:rPr>
  </w:style>
  <w:style w:type="table" w:styleId="TableGrid">
    <w:name w:val="Table Grid"/>
    <w:basedOn w:val="TableNormal"/>
    <w:uiPriority w:val="59"/>
    <w:rsid w:val="005F1C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F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2019-02-27T18:30:00+00:00</Judgment_x0020_Date>
    <Year xmlns="63bdd487-88aa-4c54-b893-ddaa81ed2e7c">2019</Year>
  </documentManagement>
</p:properties>
</file>

<file path=customXml/itemProps1.xml><?xml version="1.0" encoding="utf-8"?>
<ds:datastoreItem xmlns:ds="http://schemas.openxmlformats.org/officeDocument/2006/customXml" ds:itemID="{E886A1FB-6539-488F-ADDD-E64C0FF91CF2}"/>
</file>

<file path=customXml/itemProps2.xml><?xml version="1.0" encoding="utf-8"?>
<ds:datastoreItem xmlns:ds="http://schemas.openxmlformats.org/officeDocument/2006/customXml" ds:itemID="{B92AED69-F785-4F6E-882B-BC0A55642640}"/>
</file>

<file path=customXml/itemProps3.xml><?xml version="1.0" encoding="utf-8"?>
<ds:datastoreItem xmlns:ds="http://schemas.openxmlformats.org/officeDocument/2006/customXml" ds:itemID="{DB36EA95-9682-4A7C-9686-8C8D36B5AF54}"/>
</file>

<file path=customXml/itemProps4.xml><?xml version="1.0" encoding="utf-8"?>
<ds:datastoreItem xmlns:ds="http://schemas.openxmlformats.org/officeDocument/2006/customXml" ds:itemID="{625F584D-A59B-4433-8A67-96617559B116}"/>
</file>

<file path=docProps/app.xml><?xml version="1.0" encoding="utf-8"?>
<Properties xmlns="http://schemas.openxmlformats.org/officeDocument/2006/extended-properties" xmlns:vt="http://schemas.openxmlformats.org/officeDocument/2006/docPropsVTypes">
  <Template>Normal</Template>
  <TotalTime>3</TotalTime>
  <Pages>14</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 Konrad v Shanika Ndapanda</dc:title>
  <dc:creator>Peter S. Shivute</dc:creator>
  <cp:lastModifiedBy>Neliswa Tjahikika</cp:lastModifiedBy>
  <cp:revision>2</cp:revision>
  <cp:lastPrinted>2019-02-27T08:02:00Z</cp:lastPrinted>
  <dcterms:created xsi:type="dcterms:W3CDTF">2019-02-28T11:57:00Z</dcterms:created>
  <dcterms:modified xsi:type="dcterms:W3CDTF">2019-02-28T11:57:00Z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