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563C1" w:rsidRDefault="00D76EC6" w:rsidP="008C3367">
      <w:pPr>
        <w:keepNext/>
        <w:spacing w:line="360" w:lineRule="auto"/>
        <w:jc w:val="center"/>
        <w:outlineLvl w:val="0"/>
        <w:rPr>
          <w:rFonts w:ascii="Arial" w:hAnsi="Arial" w:cs="Arial"/>
          <w:b/>
          <w:bCs/>
          <w:sz w:val="24"/>
          <w:szCs w:val="24"/>
        </w:rPr>
      </w:pPr>
      <w:r w:rsidRPr="001563C1">
        <w:rPr>
          <w:rFonts w:ascii="Arial" w:hAnsi="Arial" w:cs="Arial"/>
          <w:b/>
          <w:bCs/>
          <w:sz w:val="24"/>
          <w:szCs w:val="24"/>
        </w:rPr>
        <w:t xml:space="preserve"> </w:t>
      </w:r>
      <w:r w:rsidR="008C3367" w:rsidRPr="001563C1">
        <w:rPr>
          <w:rFonts w:ascii="Arial" w:hAnsi="Arial" w:cs="Arial"/>
          <w:b/>
          <w:bCs/>
          <w:noProof/>
          <w:sz w:val="24"/>
          <w:szCs w:val="24"/>
          <w:lang w:eastAsia="en-ZA"/>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1563C1" w:rsidRDefault="008C3367" w:rsidP="008C3367">
      <w:pPr>
        <w:spacing w:line="480" w:lineRule="auto"/>
        <w:ind w:left="1701"/>
        <w:jc w:val="right"/>
        <w:rPr>
          <w:rFonts w:ascii="Arial" w:hAnsi="Arial" w:cs="Arial"/>
          <w:b/>
          <w:sz w:val="24"/>
          <w:szCs w:val="24"/>
        </w:rPr>
      </w:pPr>
      <w:r w:rsidRPr="001563C1">
        <w:rPr>
          <w:rFonts w:ascii="Arial" w:hAnsi="Arial" w:cs="Arial"/>
          <w:b/>
          <w:sz w:val="24"/>
          <w:szCs w:val="24"/>
        </w:rPr>
        <w:t>REPORTABLE</w:t>
      </w:r>
    </w:p>
    <w:p w:rsidR="008C3367" w:rsidRPr="001563C1" w:rsidRDefault="008C3367" w:rsidP="007C732D">
      <w:pPr>
        <w:spacing w:after="0" w:line="240" w:lineRule="auto"/>
        <w:jc w:val="right"/>
        <w:rPr>
          <w:rFonts w:ascii="Arial" w:hAnsi="Arial" w:cs="Arial"/>
          <w:sz w:val="24"/>
          <w:szCs w:val="24"/>
        </w:rPr>
      </w:pPr>
      <w:r w:rsidRPr="001563C1">
        <w:rPr>
          <w:rFonts w:ascii="Arial" w:hAnsi="Arial" w:cs="Arial"/>
          <w:sz w:val="24"/>
          <w:szCs w:val="24"/>
        </w:rPr>
        <w:t xml:space="preserve">CASE NO: SA </w:t>
      </w:r>
      <w:r w:rsidR="006C6572" w:rsidRPr="001563C1">
        <w:rPr>
          <w:rFonts w:ascii="Arial" w:hAnsi="Arial" w:cs="Arial"/>
          <w:sz w:val="24"/>
          <w:szCs w:val="24"/>
        </w:rPr>
        <w:t>1</w:t>
      </w:r>
      <w:r w:rsidR="00D631D6">
        <w:rPr>
          <w:rFonts w:ascii="Arial" w:hAnsi="Arial" w:cs="Arial"/>
          <w:sz w:val="24"/>
          <w:szCs w:val="24"/>
        </w:rPr>
        <w:t>7</w:t>
      </w:r>
      <w:r w:rsidRPr="001563C1">
        <w:rPr>
          <w:rFonts w:ascii="Arial" w:hAnsi="Arial" w:cs="Arial"/>
          <w:sz w:val="24"/>
          <w:szCs w:val="24"/>
        </w:rPr>
        <w:t>/201</w:t>
      </w:r>
      <w:r w:rsidR="00D76EC6" w:rsidRPr="001563C1">
        <w:rPr>
          <w:rFonts w:ascii="Arial" w:hAnsi="Arial" w:cs="Arial"/>
          <w:sz w:val="24"/>
          <w:szCs w:val="24"/>
        </w:rPr>
        <w:t>7</w:t>
      </w:r>
    </w:p>
    <w:p w:rsidR="008C3367" w:rsidRPr="001563C1" w:rsidRDefault="008C3367" w:rsidP="008C3367">
      <w:pPr>
        <w:spacing w:line="240" w:lineRule="auto"/>
        <w:ind w:left="-142"/>
        <w:jc w:val="both"/>
        <w:rPr>
          <w:rFonts w:ascii="Arial" w:hAnsi="Arial" w:cs="Arial"/>
          <w:b/>
          <w:sz w:val="24"/>
          <w:szCs w:val="24"/>
        </w:rPr>
      </w:pPr>
    </w:p>
    <w:p w:rsidR="008C3367" w:rsidRPr="001563C1" w:rsidRDefault="008C3367" w:rsidP="00B40CD3">
      <w:pPr>
        <w:spacing w:line="240" w:lineRule="auto"/>
        <w:jc w:val="both"/>
        <w:rPr>
          <w:rFonts w:ascii="Arial" w:hAnsi="Arial" w:cs="Arial"/>
          <w:b/>
          <w:sz w:val="24"/>
          <w:szCs w:val="24"/>
        </w:rPr>
      </w:pPr>
      <w:r w:rsidRPr="001563C1">
        <w:rPr>
          <w:rFonts w:ascii="Arial" w:hAnsi="Arial" w:cs="Arial"/>
          <w:b/>
          <w:sz w:val="24"/>
          <w:szCs w:val="24"/>
        </w:rPr>
        <w:t>IN THE SUPREME COURT OF NAMIBIA</w:t>
      </w:r>
    </w:p>
    <w:p w:rsidR="008C3367" w:rsidRPr="001563C1" w:rsidRDefault="008C3367" w:rsidP="00B40CD3">
      <w:pPr>
        <w:spacing w:line="240" w:lineRule="auto"/>
        <w:jc w:val="both"/>
        <w:rPr>
          <w:rFonts w:ascii="Arial" w:hAnsi="Arial" w:cs="Arial"/>
          <w:sz w:val="24"/>
          <w:szCs w:val="24"/>
        </w:rPr>
      </w:pPr>
    </w:p>
    <w:p w:rsidR="008C3367" w:rsidRPr="001563C1" w:rsidRDefault="008C3367" w:rsidP="00B40CD3">
      <w:pPr>
        <w:spacing w:line="240" w:lineRule="auto"/>
        <w:jc w:val="both"/>
        <w:rPr>
          <w:rFonts w:ascii="Arial" w:hAnsi="Arial" w:cs="Arial"/>
          <w:sz w:val="24"/>
          <w:szCs w:val="24"/>
        </w:rPr>
      </w:pPr>
      <w:r w:rsidRPr="001563C1">
        <w:rPr>
          <w:rFonts w:ascii="Arial" w:hAnsi="Arial" w:cs="Arial"/>
          <w:sz w:val="24"/>
          <w:szCs w:val="24"/>
        </w:rPr>
        <w:t>In the matter between:</w:t>
      </w:r>
    </w:p>
    <w:p w:rsidR="006C6572" w:rsidRPr="001563C1" w:rsidRDefault="006C6572"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513468" w:rsidRPr="001563C1" w:rsidTr="00B40CD3">
        <w:tc>
          <w:tcPr>
            <w:tcW w:w="6204" w:type="dxa"/>
            <w:shd w:val="clear" w:color="auto" w:fill="auto"/>
          </w:tcPr>
          <w:p w:rsidR="00513468" w:rsidRPr="001563C1" w:rsidRDefault="00D631D6" w:rsidP="00CF6A16">
            <w:pPr>
              <w:spacing w:line="240" w:lineRule="auto"/>
              <w:jc w:val="both"/>
              <w:rPr>
                <w:rFonts w:ascii="Arial" w:hAnsi="Arial" w:cs="Arial"/>
                <w:b/>
                <w:sz w:val="24"/>
                <w:szCs w:val="24"/>
              </w:rPr>
            </w:pPr>
            <w:r>
              <w:rPr>
                <w:rFonts w:ascii="Arial" w:hAnsi="Arial" w:cs="Arial"/>
                <w:b/>
                <w:sz w:val="24"/>
                <w:szCs w:val="24"/>
              </w:rPr>
              <w:t>ZILLION INVESTMENT HOLDING (PTY) LTD</w:t>
            </w:r>
          </w:p>
        </w:tc>
        <w:tc>
          <w:tcPr>
            <w:tcW w:w="3011" w:type="dxa"/>
            <w:shd w:val="clear" w:color="auto" w:fill="auto"/>
          </w:tcPr>
          <w:p w:rsidR="00513468" w:rsidRPr="001563C1" w:rsidRDefault="00513468" w:rsidP="00B40CD3">
            <w:pPr>
              <w:spacing w:line="240" w:lineRule="auto"/>
              <w:jc w:val="right"/>
              <w:rPr>
                <w:rFonts w:ascii="Arial" w:hAnsi="Arial" w:cs="Arial"/>
                <w:b/>
                <w:sz w:val="24"/>
                <w:szCs w:val="24"/>
              </w:rPr>
            </w:pPr>
            <w:r w:rsidRPr="001563C1">
              <w:rPr>
                <w:rFonts w:ascii="Arial" w:hAnsi="Arial" w:cs="Arial"/>
                <w:b/>
                <w:sz w:val="24"/>
                <w:szCs w:val="24"/>
              </w:rPr>
              <w:t>Appellant</w:t>
            </w:r>
          </w:p>
        </w:tc>
      </w:tr>
      <w:tr w:rsidR="008C3367" w:rsidRPr="001563C1" w:rsidTr="00B40CD3">
        <w:tc>
          <w:tcPr>
            <w:tcW w:w="6204" w:type="dxa"/>
            <w:shd w:val="clear" w:color="auto" w:fill="auto"/>
          </w:tcPr>
          <w:p w:rsidR="008C3367" w:rsidRPr="001563C1" w:rsidRDefault="008C3367" w:rsidP="00B40CD3">
            <w:pPr>
              <w:spacing w:line="240" w:lineRule="auto"/>
              <w:jc w:val="both"/>
              <w:rPr>
                <w:rFonts w:ascii="Arial" w:hAnsi="Arial" w:cs="Arial"/>
                <w:b/>
                <w:sz w:val="24"/>
                <w:szCs w:val="24"/>
              </w:rPr>
            </w:pPr>
          </w:p>
        </w:tc>
        <w:tc>
          <w:tcPr>
            <w:tcW w:w="3011" w:type="dxa"/>
            <w:shd w:val="clear" w:color="auto" w:fill="auto"/>
          </w:tcPr>
          <w:p w:rsidR="008C3367" w:rsidRPr="001563C1" w:rsidRDefault="008C3367" w:rsidP="00B40CD3">
            <w:pPr>
              <w:spacing w:line="240" w:lineRule="auto"/>
              <w:jc w:val="right"/>
              <w:rPr>
                <w:rFonts w:ascii="Arial" w:hAnsi="Arial" w:cs="Arial"/>
                <w:b/>
                <w:sz w:val="24"/>
                <w:szCs w:val="24"/>
              </w:rPr>
            </w:pPr>
          </w:p>
        </w:tc>
      </w:tr>
      <w:tr w:rsidR="008C3367" w:rsidRPr="001563C1" w:rsidTr="00B40CD3">
        <w:tc>
          <w:tcPr>
            <w:tcW w:w="6204" w:type="dxa"/>
            <w:shd w:val="clear" w:color="auto" w:fill="auto"/>
          </w:tcPr>
          <w:p w:rsidR="008C3367" w:rsidRPr="001563C1" w:rsidRDefault="007C732D" w:rsidP="00B40CD3">
            <w:pPr>
              <w:spacing w:line="240" w:lineRule="auto"/>
              <w:jc w:val="both"/>
              <w:rPr>
                <w:rFonts w:ascii="Arial" w:hAnsi="Arial" w:cs="Arial"/>
                <w:sz w:val="24"/>
                <w:szCs w:val="24"/>
              </w:rPr>
            </w:pPr>
            <w:r w:rsidRPr="001563C1">
              <w:rPr>
                <w:rFonts w:ascii="Arial" w:hAnsi="Arial" w:cs="Arial"/>
                <w:sz w:val="24"/>
                <w:szCs w:val="24"/>
              </w:rPr>
              <w:t>a</w:t>
            </w:r>
            <w:r w:rsidR="008C3367" w:rsidRPr="001563C1">
              <w:rPr>
                <w:rFonts w:ascii="Arial" w:hAnsi="Arial" w:cs="Arial"/>
                <w:sz w:val="24"/>
                <w:szCs w:val="24"/>
              </w:rPr>
              <w:t>nd</w:t>
            </w:r>
          </w:p>
        </w:tc>
        <w:tc>
          <w:tcPr>
            <w:tcW w:w="3011" w:type="dxa"/>
            <w:shd w:val="clear" w:color="auto" w:fill="auto"/>
          </w:tcPr>
          <w:p w:rsidR="008C3367" w:rsidRPr="001563C1" w:rsidRDefault="008C3367" w:rsidP="00B40CD3">
            <w:pPr>
              <w:spacing w:line="240" w:lineRule="auto"/>
              <w:jc w:val="both"/>
              <w:rPr>
                <w:rFonts w:ascii="Arial" w:hAnsi="Arial" w:cs="Arial"/>
                <w:b/>
                <w:sz w:val="24"/>
                <w:szCs w:val="24"/>
              </w:rPr>
            </w:pPr>
          </w:p>
        </w:tc>
      </w:tr>
      <w:tr w:rsidR="008C3367" w:rsidRPr="001563C1" w:rsidTr="00B40CD3">
        <w:tc>
          <w:tcPr>
            <w:tcW w:w="6204" w:type="dxa"/>
            <w:shd w:val="clear" w:color="auto" w:fill="auto"/>
          </w:tcPr>
          <w:p w:rsidR="008C3367" w:rsidRPr="001563C1" w:rsidRDefault="008C3367" w:rsidP="00B40CD3">
            <w:pPr>
              <w:spacing w:line="240" w:lineRule="auto"/>
              <w:jc w:val="both"/>
              <w:rPr>
                <w:rFonts w:ascii="Arial" w:hAnsi="Arial" w:cs="Arial"/>
                <w:b/>
                <w:sz w:val="24"/>
                <w:szCs w:val="24"/>
              </w:rPr>
            </w:pPr>
          </w:p>
        </w:tc>
        <w:tc>
          <w:tcPr>
            <w:tcW w:w="3011" w:type="dxa"/>
            <w:shd w:val="clear" w:color="auto" w:fill="auto"/>
          </w:tcPr>
          <w:p w:rsidR="008C3367" w:rsidRPr="001563C1" w:rsidRDefault="008C3367" w:rsidP="00B40CD3">
            <w:pPr>
              <w:spacing w:line="240" w:lineRule="auto"/>
              <w:jc w:val="both"/>
              <w:rPr>
                <w:rFonts w:ascii="Arial" w:hAnsi="Arial" w:cs="Arial"/>
                <w:b/>
                <w:sz w:val="24"/>
                <w:szCs w:val="24"/>
              </w:rPr>
            </w:pPr>
          </w:p>
        </w:tc>
      </w:tr>
      <w:tr w:rsidR="008C3367" w:rsidRPr="001563C1" w:rsidTr="00B40CD3">
        <w:tc>
          <w:tcPr>
            <w:tcW w:w="6204" w:type="dxa"/>
            <w:shd w:val="clear" w:color="auto" w:fill="auto"/>
          </w:tcPr>
          <w:p w:rsidR="008C3367" w:rsidRPr="001563C1" w:rsidRDefault="00D631D6" w:rsidP="00B40CD3">
            <w:pPr>
              <w:spacing w:line="240" w:lineRule="auto"/>
              <w:jc w:val="both"/>
              <w:rPr>
                <w:rFonts w:ascii="Arial" w:hAnsi="Arial" w:cs="Arial"/>
                <w:b/>
                <w:sz w:val="24"/>
                <w:szCs w:val="24"/>
              </w:rPr>
            </w:pPr>
            <w:r>
              <w:rPr>
                <w:rFonts w:ascii="Arial" w:hAnsi="Arial" w:cs="Arial"/>
                <w:b/>
                <w:sz w:val="24"/>
                <w:szCs w:val="24"/>
              </w:rPr>
              <w:t>SALZ-GOSSOW (PTY) LTD</w:t>
            </w:r>
          </w:p>
        </w:tc>
        <w:tc>
          <w:tcPr>
            <w:tcW w:w="3011" w:type="dxa"/>
            <w:shd w:val="clear" w:color="auto" w:fill="auto"/>
          </w:tcPr>
          <w:p w:rsidR="00584213" w:rsidRPr="001563C1" w:rsidRDefault="00584213" w:rsidP="00B40CD3">
            <w:pPr>
              <w:spacing w:line="240" w:lineRule="auto"/>
              <w:jc w:val="right"/>
              <w:rPr>
                <w:rFonts w:ascii="Arial" w:hAnsi="Arial" w:cs="Arial"/>
                <w:b/>
                <w:sz w:val="24"/>
                <w:szCs w:val="24"/>
              </w:rPr>
            </w:pPr>
            <w:r w:rsidRPr="001563C1">
              <w:rPr>
                <w:rFonts w:ascii="Arial" w:hAnsi="Arial" w:cs="Arial"/>
                <w:b/>
                <w:sz w:val="24"/>
                <w:szCs w:val="24"/>
              </w:rPr>
              <w:t>Respondent</w:t>
            </w:r>
          </w:p>
        </w:tc>
      </w:tr>
    </w:tbl>
    <w:p w:rsidR="006C6572" w:rsidRPr="001563C1" w:rsidRDefault="006C6572" w:rsidP="00B40CD3">
      <w:pPr>
        <w:spacing w:line="240" w:lineRule="auto"/>
        <w:ind w:left="-142" w:firstLine="142"/>
        <w:jc w:val="both"/>
        <w:rPr>
          <w:rFonts w:ascii="Arial" w:hAnsi="Arial" w:cs="Arial"/>
          <w:b/>
          <w:sz w:val="24"/>
          <w:szCs w:val="24"/>
        </w:rPr>
      </w:pPr>
    </w:p>
    <w:p w:rsidR="00252CED" w:rsidRPr="001563C1" w:rsidRDefault="00252CED" w:rsidP="00B40CD3">
      <w:pPr>
        <w:spacing w:line="240" w:lineRule="auto"/>
        <w:ind w:left="-142" w:firstLine="142"/>
        <w:jc w:val="both"/>
        <w:rPr>
          <w:rFonts w:ascii="Arial" w:hAnsi="Arial" w:cs="Arial"/>
          <w:b/>
          <w:sz w:val="24"/>
          <w:szCs w:val="24"/>
        </w:rPr>
      </w:pPr>
    </w:p>
    <w:p w:rsidR="008C3367" w:rsidRPr="001563C1" w:rsidRDefault="008C3367" w:rsidP="00B40CD3">
      <w:pPr>
        <w:spacing w:line="240" w:lineRule="auto"/>
        <w:ind w:left="-142" w:firstLine="142"/>
        <w:jc w:val="both"/>
        <w:rPr>
          <w:rFonts w:ascii="Arial" w:hAnsi="Arial" w:cs="Arial"/>
          <w:sz w:val="24"/>
          <w:szCs w:val="24"/>
        </w:rPr>
      </w:pPr>
      <w:r w:rsidRPr="001563C1">
        <w:rPr>
          <w:rFonts w:ascii="Arial" w:hAnsi="Arial" w:cs="Arial"/>
          <w:b/>
          <w:sz w:val="24"/>
          <w:szCs w:val="24"/>
        </w:rPr>
        <w:t>Coram:</w:t>
      </w:r>
      <w:r w:rsidRPr="001563C1">
        <w:rPr>
          <w:rFonts w:ascii="Arial" w:hAnsi="Arial" w:cs="Arial"/>
          <w:sz w:val="24"/>
          <w:szCs w:val="24"/>
        </w:rPr>
        <w:tab/>
      </w:r>
      <w:r w:rsidRPr="001563C1">
        <w:rPr>
          <w:rFonts w:ascii="Arial" w:hAnsi="Arial" w:cs="Arial"/>
          <w:sz w:val="24"/>
          <w:szCs w:val="24"/>
        </w:rPr>
        <w:tab/>
      </w:r>
      <w:r w:rsidR="00E8647F">
        <w:rPr>
          <w:rFonts w:ascii="Arial" w:hAnsi="Arial" w:cs="Arial"/>
          <w:sz w:val="24"/>
          <w:szCs w:val="24"/>
        </w:rPr>
        <w:t>SMUTS</w:t>
      </w:r>
      <w:r w:rsidR="002212AD" w:rsidRPr="001563C1">
        <w:rPr>
          <w:rFonts w:ascii="Arial" w:hAnsi="Arial" w:cs="Arial"/>
          <w:sz w:val="24"/>
          <w:szCs w:val="24"/>
        </w:rPr>
        <w:t xml:space="preserve"> </w:t>
      </w:r>
      <w:r w:rsidR="006C6572" w:rsidRPr="001563C1">
        <w:rPr>
          <w:rFonts w:ascii="Arial" w:hAnsi="Arial" w:cs="Arial"/>
          <w:sz w:val="24"/>
          <w:szCs w:val="24"/>
        </w:rPr>
        <w:t>J</w:t>
      </w:r>
      <w:r w:rsidR="00E8647F">
        <w:rPr>
          <w:rFonts w:ascii="Arial" w:hAnsi="Arial" w:cs="Arial"/>
          <w:sz w:val="24"/>
          <w:szCs w:val="24"/>
        </w:rPr>
        <w:t>A</w:t>
      </w:r>
      <w:r w:rsidRPr="001563C1">
        <w:rPr>
          <w:rFonts w:ascii="Arial" w:hAnsi="Arial" w:cs="Arial"/>
          <w:sz w:val="24"/>
          <w:szCs w:val="24"/>
        </w:rPr>
        <w:t xml:space="preserve">, </w:t>
      </w:r>
      <w:r w:rsidR="00513468" w:rsidRPr="001563C1">
        <w:rPr>
          <w:rFonts w:ascii="Arial" w:hAnsi="Arial" w:cs="Arial"/>
          <w:sz w:val="24"/>
          <w:szCs w:val="24"/>
        </w:rPr>
        <w:t>HOFF</w:t>
      </w:r>
      <w:r w:rsidR="009C70E6" w:rsidRPr="001563C1">
        <w:rPr>
          <w:rFonts w:ascii="Arial" w:hAnsi="Arial" w:cs="Arial"/>
          <w:sz w:val="24"/>
          <w:szCs w:val="24"/>
        </w:rPr>
        <w:t xml:space="preserve"> JA</w:t>
      </w:r>
      <w:r w:rsidR="006C6572" w:rsidRPr="001563C1">
        <w:rPr>
          <w:rFonts w:ascii="Arial" w:hAnsi="Arial" w:cs="Arial"/>
          <w:sz w:val="24"/>
          <w:szCs w:val="24"/>
        </w:rPr>
        <w:t xml:space="preserve"> and FRANK AJA</w:t>
      </w:r>
    </w:p>
    <w:p w:rsidR="008C3367" w:rsidRPr="001563C1" w:rsidRDefault="008C3367" w:rsidP="00B40CD3">
      <w:pPr>
        <w:spacing w:line="240" w:lineRule="auto"/>
        <w:ind w:left="-142" w:firstLine="142"/>
        <w:jc w:val="both"/>
        <w:rPr>
          <w:rFonts w:ascii="Arial" w:hAnsi="Arial" w:cs="Arial"/>
          <w:b/>
          <w:sz w:val="24"/>
          <w:szCs w:val="24"/>
        </w:rPr>
      </w:pPr>
      <w:r w:rsidRPr="001563C1">
        <w:rPr>
          <w:rFonts w:ascii="Arial" w:hAnsi="Arial" w:cs="Arial"/>
          <w:b/>
          <w:sz w:val="24"/>
          <w:szCs w:val="24"/>
        </w:rPr>
        <w:t>Heard:</w:t>
      </w:r>
      <w:r w:rsidRPr="001563C1">
        <w:rPr>
          <w:rFonts w:ascii="Arial" w:hAnsi="Arial" w:cs="Arial"/>
          <w:b/>
          <w:sz w:val="24"/>
          <w:szCs w:val="24"/>
        </w:rPr>
        <w:tab/>
      </w:r>
      <w:r w:rsidRPr="001563C1">
        <w:rPr>
          <w:rFonts w:ascii="Arial" w:hAnsi="Arial" w:cs="Arial"/>
          <w:b/>
          <w:sz w:val="24"/>
          <w:szCs w:val="24"/>
        </w:rPr>
        <w:tab/>
      </w:r>
      <w:r w:rsidR="00E8647F">
        <w:rPr>
          <w:rFonts w:ascii="Arial" w:hAnsi="Arial" w:cs="Arial"/>
          <w:b/>
          <w:sz w:val="24"/>
          <w:szCs w:val="24"/>
        </w:rPr>
        <w:t>1 April</w:t>
      </w:r>
      <w:r w:rsidR="006C6572" w:rsidRPr="001563C1">
        <w:rPr>
          <w:rFonts w:ascii="Arial" w:hAnsi="Arial" w:cs="Arial"/>
          <w:b/>
          <w:sz w:val="24"/>
          <w:szCs w:val="24"/>
        </w:rPr>
        <w:t xml:space="preserve"> 2019</w:t>
      </w:r>
    </w:p>
    <w:p w:rsidR="008C3367" w:rsidRPr="001563C1" w:rsidRDefault="008C3367" w:rsidP="00B40CD3">
      <w:pPr>
        <w:spacing w:line="240" w:lineRule="auto"/>
        <w:jc w:val="both"/>
        <w:rPr>
          <w:rFonts w:ascii="Arial" w:hAnsi="Arial" w:cs="Arial"/>
          <w:b/>
          <w:sz w:val="24"/>
          <w:szCs w:val="24"/>
        </w:rPr>
      </w:pPr>
      <w:r w:rsidRPr="001563C1">
        <w:rPr>
          <w:rFonts w:ascii="Arial" w:hAnsi="Arial" w:cs="Arial"/>
          <w:b/>
          <w:sz w:val="24"/>
          <w:szCs w:val="24"/>
        </w:rPr>
        <w:t>Delivered:</w:t>
      </w:r>
      <w:r w:rsidRPr="001563C1">
        <w:rPr>
          <w:rFonts w:ascii="Arial" w:hAnsi="Arial" w:cs="Arial"/>
          <w:b/>
          <w:sz w:val="24"/>
          <w:szCs w:val="24"/>
        </w:rPr>
        <w:tab/>
      </w:r>
      <w:r w:rsidR="00B40CD3" w:rsidRPr="001563C1">
        <w:rPr>
          <w:rFonts w:ascii="Arial" w:hAnsi="Arial" w:cs="Arial"/>
          <w:b/>
          <w:sz w:val="24"/>
          <w:szCs w:val="24"/>
        </w:rPr>
        <w:tab/>
      </w:r>
      <w:r w:rsidR="00BC05BF">
        <w:rPr>
          <w:rFonts w:ascii="Arial" w:hAnsi="Arial" w:cs="Arial"/>
          <w:b/>
          <w:sz w:val="24"/>
          <w:szCs w:val="24"/>
        </w:rPr>
        <w:t>17</w:t>
      </w:r>
      <w:r w:rsidR="006C6572" w:rsidRPr="001563C1">
        <w:rPr>
          <w:rFonts w:ascii="Arial" w:hAnsi="Arial" w:cs="Arial"/>
          <w:b/>
          <w:sz w:val="24"/>
          <w:szCs w:val="24"/>
        </w:rPr>
        <w:t xml:space="preserve"> </w:t>
      </w:r>
      <w:r w:rsidR="00E8647F">
        <w:rPr>
          <w:rFonts w:ascii="Arial" w:hAnsi="Arial" w:cs="Arial"/>
          <w:b/>
          <w:sz w:val="24"/>
          <w:szCs w:val="24"/>
        </w:rPr>
        <w:t>April</w:t>
      </w:r>
      <w:r w:rsidR="006C6572" w:rsidRPr="001563C1">
        <w:rPr>
          <w:rFonts w:ascii="Arial" w:hAnsi="Arial" w:cs="Arial"/>
          <w:b/>
          <w:sz w:val="24"/>
          <w:szCs w:val="24"/>
        </w:rPr>
        <w:t xml:space="preserve"> 2019</w:t>
      </w:r>
    </w:p>
    <w:p w:rsidR="00A26B21" w:rsidRDefault="00A26B21" w:rsidP="009D0845">
      <w:pPr>
        <w:spacing w:line="360" w:lineRule="auto"/>
        <w:ind w:left="-142"/>
        <w:jc w:val="both"/>
        <w:rPr>
          <w:rFonts w:ascii="Arial" w:hAnsi="Arial" w:cs="Arial"/>
          <w:b/>
          <w:sz w:val="24"/>
          <w:szCs w:val="24"/>
          <w:lang w:val="en-GB"/>
        </w:rPr>
      </w:pPr>
    </w:p>
    <w:p w:rsidR="005F1026" w:rsidRPr="001563C1" w:rsidRDefault="005F1026" w:rsidP="009D0845">
      <w:pPr>
        <w:spacing w:line="360" w:lineRule="auto"/>
        <w:ind w:left="-142"/>
        <w:jc w:val="both"/>
        <w:rPr>
          <w:rFonts w:ascii="Arial" w:hAnsi="Arial" w:cs="Arial"/>
          <w:b/>
          <w:sz w:val="24"/>
          <w:szCs w:val="24"/>
          <w:lang w:val="en-GB"/>
        </w:rPr>
      </w:pPr>
    </w:p>
    <w:p w:rsidR="009D0845" w:rsidRDefault="00026A64" w:rsidP="00026A64">
      <w:pPr>
        <w:spacing w:after="0" w:line="480" w:lineRule="auto"/>
        <w:jc w:val="both"/>
        <w:rPr>
          <w:rFonts w:ascii="Arial" w:hAnsi="Arial" w:cs="Arial"/>
          <w:sz w:val="24"/>
          <w:szCs w:val="24"/>
          <w:lang w:val="en-GB"/>
        </w:rPr>
      </w:pPr>
      <w:r w:rsidRPr="001563C1">
        <w:rPr>
          <w:rFonts w:ascii="Arial" w:hAnsi="Arial" w:cs="Arial"/>
          <w:b/>
          <w:sz w:val="24"/>
          <w:szCs w:val="24"/>
          <w:lang w:val="en-GB"/>
        </w:rPr>
        <w:t>SUMMARY:</w:t>
      </w:r>
      <w:r w:rsidRPr="001563C1">
        <w:rPr>
          <w:rFonts w:ascii="Arial" w:hAnsi="Arial" w:cs="Arial"/>
          <w:b/>
          <w:sz w:val="24"/>
          <w:szCs w:val="24"/>
          <w:lang w:val="en-GB"/>
        </w:rPr>
        <w:tab/>
      </w:r>
      <w:r w:rsidR="003B1EA2" w:rsidRPr="003B1EA2">
        <w:rPr>
          <w:rFonts w:ascii="Arial" w:hAnsi="Arial" w:cs="Arial"/>
          <w:sz w:val="24"/>
          <w:szCs w:val="24"/>
          <w:lang w:val="en-GB"/>
        </w:rPr>
        <w:t xml:space="preserve">This is an appeal against the </w:t>
      </w:r>
      <w:r w:rsidR="003B1EA2">
        <w:rPr>
          <w:rFonts w:ascii="Arial" w:hAnsi="Arial" w:cs="Arial"/>
          <w:sz w:val="24"/>
          <w:szCs w:val="24"/>
          <w:lang w:val="en-GB"/>
        </w:rPr>
        <w:t xml:space="preserve">judgment in the </w:t>
      </w:r>
      <w:r w:rsidR="003B1EA2" w:rsidRPr="003B1EA2">
        <w:rPr>
          <w:rFonts w:ascii="Arial" w:hAnsi="Arial" w:cs="Arial"/>
          <w:sz w:val="24"/>
          <w:szCs w:val="24"/>
          <w:lang w:val="en-GB"/>
        </w:rPr>
        <w:t xml:space="preserve">High Court enforcing the order </w:t>
      </w:r>
      <w:r w:rsidR="003B1EA2">
        <w:rPr>
          <w:rFonts w:ascii="Arial" w:hAnsi="Arial" w:cs="Arial"/>
          <w:sz w:val="24"/>
          <w:szCs w:val="24"/>
          <w:lang w:val="en-GB"/>
        </w:rPr>
        <w:t xml:space="preserve">of an adjudicator pending an arbitration in which the decision of the adjudicator could potentially be set aside or altered and dismissing a counter application to set the decision </w:t>
      </w:r>
      <w:r w:rsidR="005F1026">
        <w:rPr>
          <w:rFonts w:ascii="Arial" w:hAnsi="Arial" w:cs="Arial"/>
          <w:sz w:val="24"/>
          <w:szCs w:val="24"/>
          <w:lang w:val="en-GB"/>
        </w:rPr>
        <w:t xml:space="preserve">of the adjudication </w:t>
      </w:r>
      <w:r w:rsidR="003B1EA2">
        <w:rPr>
          <w:rFonts w:ascii="Arial" w:hAnsi="Arial" w:cs="Arial"/>
          <w:sz w:val="24"/>
          <w:szCs w:val="24"/>
          <w:lang w:val="en-GB"/>
        </w:rPr>
        <w:t>aside.</w:t>
      </w:r>
    </w:p>
    <w:p w:rsidR="003B1EA2" w:rsidRDefault="003B1EA2" w:rsidP="00026A64">
      <w:pPr>
        <w:spacing w:after="0" w:line="480" w:lineRule="auto"/>
        <w:jc w:val="both"/>
        <w:rPr>
          <w:rFonts w:ascii="Arial" w:hAnsi="Arial" w:cs="Arial"/>
          <w:sz w:val="24"/>
          <w:szCs w:val="24"/>
          <w:lang w:val="en-GB"/>
        </w:rPr>
      </w:pPr>
      <w:r>
        <w:rPr>
          <w:rFonts w:ascii="Arial" w:hAnsi="Arial" w:cs="Arial"/>
          <w:sz w:val="24"/>
          <w:szCs w:val="24"/>
          <w:lang w:val="en-GB"/>
        </w:rPr>
        <w:t>The parties entered into a construction agreement that provided for disputes arising between the parties to be referred to a Dispute Adjudication Board</w:t>
      </w:r>
      <w:r w:rsidR="005F1026">
        <w:rPr>
          <w:rFonts w:ascii="Arial" w:hAnsi="Arial" w:cs="Arial"/>
          <w:sz w:val="24"/>
          <w:szCs w:val="24"/>
          <w:lang w:val="en-GB"/>
        </w:rPr>
        <w:t xml:space="preserve"> (DAB)</w:t>
      </w:r>
      <w:r>
        <w:rPr>
          <w:rFonts w:ascii="Arial" w:hAnsi="Arial" w:cs="Arial"/>
          <w:sz w:val="24"/>
          <w:szCs w:val="24"/>
          <w:lang w:val="en-GB"/>
        </w:rPr>
        <w:t xml:space="preserve"> which </w:t>
      </w:r>
      <w:r>
        <w:rPr>
          <w:rFonts w:ascii="Arial" w:hAnsi="Arial" w:cs="Arial"/>
          <w:sz w:val="24"/>
          <w:szCs w:val="24"/>
          <w:lang w:val="en-GB"/>
        </w:rPr>
        <w:lastRenderedPageBreak/>
        <w:t xml:space="preserve">board’s decision was </w:t>
      </w:r>
      <w:r w:rsidR="002B2ED5">
        <w:rPr>
          <w:rFonts w:ascii="Arial" w:hAnsi="Arial" w:cs="Arial"/>
          <w:sz w:val="24"/>
          <w:szCs w:val="24"/>
          <w:lang w:val="en-GB"/>
        </w:rPr>
        <w:t xml:space="preserve">subject to an arbitration if a party was aggrieved by it. However pending the arbitration the </w:t>
      </w:r>
      <w:r w:rsidR="005F1026">
        <w:rPr>
          <w:rFonts w:ascii="Arial" w:hAnsi="Arial" w:cs="Arial"/>
          <w:sz w:val="24"/>
          <w:szCs w:val="24"/>
          <w:lang w:val="en-GB"/>
        </w:rPr>
        <w:t>DAB</w:t>
      </w:r>
      <w:r w:rsidR="002B2ED5">
        <w:rPr>
          <w:rFonts w:ascii="Arial" w:hAnsi="Arial" w:cs="Arial"/>
          <w:sz w:val="24"/>
          <w:szCs w:val="24"/>
          <w:lang w:val="en-GB"/>
        </w:rPr>
        <w:t xml:space="preserve">’s decision had to be implemented. In the </w:t>
      </w:r>
      <w:r w:rsidR="005F1026">
        <w:rPr>
          <w:rFonts w:ascii="Arial" w:hAnsi="Arial" w:cs="Arial"/>
          <w:sz w:val="24"/>
          <w:szCs w:val="24"/>
          <w:lang w:val="en-GB"/>
        </w:rPr>
        <w:t>present</w:t>
      </w:r>
      <w:r w:rsidR="002B2ED5">
        <w:rPr>
          <w:rFonts w:ascii="Arial" w:hAnsi="Arial" w:cs="Arial"/>
          <w:sz w:val="24"/>
          <w:szCs w:val="24"/>
          <w:lang w:val="en-GB"/>
        </w:rPr>
        <w:t xml:space="preserve"> matter the part</w:t>
      </w:r>
      <w:r w:rsidR="005F1026">
        <w:rPr>
          <w:rFonts w:ascii="Arial" w:hAnsi="Arial" w:cs="Arial"/>
          <w:sz w:val="24"/>
          <w:szCs w:val="24"/>
          <w:lang w:val="en-GB"/>
        </w:rPr>
        <w:t>ies</w:t>
      </w:r>
      <w:r w:rsidR="002B2ED5">
        <w:rPr>
          <w:rFonts w:ascii="Arial" w:hAnsi="Arial" w:cs="Arial"/>
          <w:sz w:val="24"/>
          <w:szCs w:val="24"/>
          <w:lang w:val="en-GB"/>
        </w:rPr>
        <w:t xml:space="preserve"> agreed that a single adjudicator would constitute the </w:t>
      </w:r>
      <w:r w:rsidR="005F1026">
        <w:rPr>
          <w:rFonts w:ascii="Arial" w:hAnsi="Arial" w:cs="Arial"/>
          <w:sz w:val="24"/>
          <w:szCs w:val="24"/>
          <w:lang w:val="en-GB"/>
        </w:rPr>
        <w:t>DAB</w:t>
      </w:r>
      <w:r w:rsidR="002B2ED5">
        <w:rPr>
          <w:rFonts w:ascii="Arial" w:hAnsi="Arial" w:cs="Arial"/>
          <w:sz w:val="24"/>
          <w:szCs w:val="24"/>
          <w:lang w:val="en-GB"/>
        </w:rPr>
        <w:t xml:space="preserve">. </w:t>
      </w:r>
    </w:p>
    <w:p w:rsidR="002B2ED5" w:rsidRDefault="002B2ED5" w:rsidP="00026A64">
      <w:pPr>
        <w:spacing w:after="0" w:line="480" w:lineRule="auto"/>
        <w:jc w:val="both"/>
        <w:rPr>
          <w:rFonts w:ascii="Arial" w:hAnsi="Arial" w:cs="Arial"/>
          <w:sz w:val="24"/>
          <w:szCs w:val="24"/>
          <w:lang w:val="en-GB"/>
        </w:rPr>
      </w:pPr>
      <w:r>
        <w:rPr>
          <w:rFonts w:ascii="Arial" w:hAnsi="Arial" w:cs="Arial"/>
          <w:sz w:val="24"/>
          <w:szCs w:val="24"/>
          <w:lang w:val="en-GB"/>
        </w:rPr>
        <w:t>The adjudicator made a finding against the appellant and ordered it to pay the respondent an amount slightly in excess of N$3million. The appellant triggered per its Notice of Dissatisfaction the arbitration process but did not make the payment.</w:t>
      </w:r>
    </w:p>
    <w:p w:rsidR="002B2ED5" w:rsidRDefault="002B2ED5" w:rsidP="00026A64">
      <w:pPr>
        <w:spacing w:after="0" w:line="480" w:lineRule="auto"/>
        <w:jc w:val="both"/>
        <w:rPr>
          <w:rFonts w:ascii="Arial" w:hAnsi="Arial" w:cs="Arial"/>
          <w:sz w:val="24"/>
          <w:szCs w:val="24"/>
          <w:lang w:val="en-GB"/>
        </w:rPr>
      </w:pPr>
      <w:r>
        <w:rPr>
          <w:rFonts w:ascii="Arial" w:hAnsi="Arial" w:cs="Arial"/>
          <w:sz w:val="24"/>
          <w:szCs w:val="24"/>
          <w:lang w:val="en-GB"/>
        </w:rPr>
        <w:t xml:space="preserve">The respondent approached the court a quo to order the appellant to pay the amount determined by the adjudicator. The appellant opposed the application on the basis that the Notice of Dissatisfaction suspended the operation of the order and also sought to convince the court not to order specific performance in its discretion as this would be unduly harsh on the appellant. </w:t>
      </w:r>
      <w:r w:rsidR="00BC05BF">
        <w:rPr>
          <w:rFonts w:ascii="Arial" w:hAnsi="Arial" w:cs="Arial"/>
          <w:sz w:val="24"/>
          <w:szCs w:val="24"/>
          <w:lang w:val="en-GB"/>
        </w:rPr>
        <w:t>Appellant</w:t>
      </w:r>
      <w:r>
        <w:rPr>
          <w:rFonts w:ascii="Arial" w:hAnsi="Arial" w:cs="Arial"/>
          <w:sz w:val="24"/>
          <w:szCs w:val="24"/>
          <w:lang w:val="en-GB"/>
        </w:rPr>
        <w:t xml:space="preserve"> also launched a counter application seeking as main relief the setting aside of the adjudicator’s decision as being so unreasonable as to lead to unfairness. In the alternative the counter application </w:t>
      </w:r>
      <w:r w:rsidR="00D80476">
        <w:rPr>
          <w:rFonts w:ascii="Arial" w:hAnsi="Arial" w:cs="Arial"/>
          <w:sz w:val="24"/>
          <w:szCs w:val="24"/>
          <w:lang w:val="en-GB"/>
        </w:rPr>
        <w:t xml:space="preserve">sought a stay of any judgment enforcing the decision of the </w:t>
      </w:r>
      <w:r w:rsidR="005F1026">
        <w:rPr>
          <w:rFonts w:ascii="Arial" w:hAnsi="Arial" w:cs="Arial"/>
          <w:sz w:val="24"/>
          <w:szCs w:val="24"/>
          <w:lang w:val="en-GB"/>
        </w:rPr>
        <w:t>adjudicator</w:t>
      </w:r>
      <w:r w:rsidR="00D80476">
        <w:rPr>
          <w:rFonts w:ascii="Arial" w:hAnsi="Arial" w:cs="Arial"/>
          <w:sz w:val="24"/>
          <w:szCs w:val="24"/>
          <w:lang w:val="en-GB"/>
        </w:rPr>
        <w:t xml:space="preserve"> pending arbitration proceedings.</w:t>
      </w:r>
    </w:p>
    <w:p w:rsidR="00D80476" w:rsidRDefault="00D80476" w:rsidP="00026A64">
      <w:pPr>
        <w:spacing w:after="0" w:line="480" w:lineRule="auto"/>
        <w:jc w:val="both"/>
        <w:rPr>
          <w:rFonts w:ascii="Arial" w:hAnsi="Arial" w:cs="Arial"/>
          <w:sz w:val="24"/>
          <w:szCs w:val="24"/>
          <w:lang w:val="en-GB"/>
        </w:rPr>
      </w:pPr>
      <w:r>
        <w:rPr>
          <w:rFonts w:ascii="Arial" w:hAnsi="Arial" w:cs="Arial"/>
          <w:sz w:val="24"/>
          <w:szCs w:val="24"/>
          <w:lang w:val="en-GB"/>
        </w:rPr>
        <w:t xml:space="preserve">The court </w:t>
      </w:r>
      <w:r w:rsidRPr="00203A7F">
        <w:rPr>
          <w:rFonts w:ascii="Arial" w:hAnsi="Arial" w:cs="Arial"/>
          <w:i/>
          <w:sz w:val="24"/>
          <w:szCs w:val="24"/>
          <w:lang w:val="en-GB"/>
        </w:rPr>
        <w:t>a quo</w:t>
      </w:r>
      <w:r>
        <w:rPr>
          <w:rFonts w:ascii="Arial" w:hAnsi="Arial" w:cs="Arial"/>
          <w:sz w:val="24"/>
          <w:szCs w:val="24"/>
          <w:lang w:val="en-GB"/>
        </w:rPr>
        <w:t xml:space="preserve"> granted the application and without in its reasoning referring to the counter application dismissed it. On appeal the appellant limited the appeal to the dismissing of the main relief in the counter application, namely the failure to set aside the award of the adjudicator.</w:t>
      </w:r>
    </w:p>
    <w:p w:rsidR="00D80476" w:rsidRDefault="00D80476" w:rsidP="00026A64">
      <w:pPr>
        <w:spacing w:after="0" w:line="480" w:lineRule="auto"/>
        <w:jc w:val="both"/>
        <w:rPr>
          <w:rFonts w:ascii="Arial" w:hAnsi="Arial" w:cs="Arial"/>
          <w:sz w:val="24"/>
          <w:szCs w:val="24"/>
          <w:lang w:val="en-GB"/>
        </w:rPr>
      </w:pPr>
      <w:r>
        <w:rPr>
          <w:rFonts w:ascii="Arial" w:hAnsi="Arial" w:cs="Arial"/>
          <w:sz w:val="24"/>
          <w:szCs w:val="24"/>
          <w:lang w:val="en-GB"/>
        </w:rPr>
        <w:t>On appeal it was conceded that the validity of the adjudicator’s decision fell within the ambit of the envisaged arbitration but it was submitted that the appellant’s inability to pay the amount determined by the adjudicator was a reason why the court should have assumed jurisdiction despite the arbitration</w:t>
      </w:r>
      <w:r w:rsidR="005F1026">
        <w:rPr>
          <w:rFonts w:ascii="Arial" w:hAnsi="Arial" w:cs="Arial"/>
          <w:sz w:val="24"/>
          <w:szCs w:val="24"/>
          <w:lang w:val="en-GB"/>
        </w:rPr>
        <w:t xml:space="preserve"> clause</w:t>
      </w:r>
      <w:r>
        <w:rPr>
          <w:rFonts w:ascii="Arial" w:hAnsi="Arial" w:cs="Arial"/>
          <w:sz w:val="24"/>
          <w:szCs w:val="24"/>
          <w:lang w:val="en-GB"/>
        </w:rPr>
        <w:t xml:space="preserve">. It was further submitted that the invalidity of the adjudicator’s decision on the basis that it was </w:t>
      </w:r>
      <w:proofErr w:type="gramStart"/>
      <w:r>
        <w:rPr>
          <w:rFonts w:ascii="Arial" w:hAnsi="Arial" w:cs="Arial"/>
          <w:sz w:val="24"/>
          <w:szCs w:val="24"/>
          <w:lang w:val="en-GB"/>
        </w:rPr>
        <w:t>so</w:t>
      </w:r>
      <w:proofErr w:type="gramEnd"/>
      <w:r>
        <w:rPr>
          <w:rFonts w:ascii="Arial" w:hAnsi="Arial" w:cs="Arial"/>
          <w:sz w:val="24"/>
          <w:szCs w:val="24"/>
          <w:lang w:val="en-GB"/>
        </w:rPr>
        <w:t xml:space="preserve"> unreasonable </w:t>
      </w:r>
      <w:r w:rsidR="00CA45A0">
        <w:rPr>
          <w:rFonts w:ascii="Arial" w:hAnsi="Arial" w:cs="Arial"/>
          <w:sz w:val="24"/>
          <w:szCs w:val="24"/>
          <w:lang w:val="en-GB"/>
        </w:rPr>
        <w:t xml:space="preserve">or improper as to lead to unfairness </w:t>
      </w:r>
      <w:r w:rsidR="005F1026">
        <w:rPr>
          <w:rFonts w:ascii="Arial" w:hAnsi="Arial" w:cs="Arial"/>
          <w:sz w:val="24"/>
          <w:szCs w:val="24"/>
          <w:lang w:val="en-GB"/>
        </w:rPr>
        <w:t>should be reviewed as an irregularity.</w:t>
      </w:r>
    </w:p>
    <w:p w:rsidR="00CA45A0" w:rsidRDefault="00CA45A0" w:rsidP="00026A64">
      <w:pPr>
        <w:spacing w:after="0" w:line="480" w:lineRule="auto"/>
        <w:jc w:val="both"/>
        <w:rPr>
          <w:rFonts w:ascii="Arial" w:hAnsi="Arial" w:cs="Arial"/>
          <w:sz w:val="24"/>
          <w:szCs w:val="24"/>
          <w:lang w:val="en-GB"/>
        </w:rPr>
      </w:pPr>
      <w:r w:rsidRPr="00203A7F">
        <w:rPr>
          <w:rFonts w:ascii="Arial" w:hAnsi="Arial" w:cs="Arial"/>
          <w:i/>
          <w:sz w:val="24"/>
          <w:szCs w:val="24"/>
          <w:lang w:val="en-GB"/>
        </w:rPr>
        <w:lastRenderedPageBreak/>
        <w:t>Held</w:t>
      </w:r>
      <w:r>
        <w:rPr>
          <w:rFonts w:ascii="Arial" w:hAnsi="Arial" w:cs="Arial"/>
          <w:sz w:val="24"/>
          <w:szCs w:val="24"/>
          <w:lang w:val="en-GB"/>
        </w:rPr>
        <w:t xml:space="preserve"> that the impossibility to adhere to the adjudicator’s decision was not established. This</w:t>
      </w:r>
      <w:r w:rsidR="005F1026">
        <w:rPr>
          <w:rFonts w:ascii="Arial" w:hAnsi="Arial" w:cs="Arial"/>
          <w:sz w:val="24"/>
          <w:szCs w:val="24"/>
          <w:lang w:val="en-GB"/>
        </w:rPr>
        <w:t xml:space="preserve"> aspect</w:t>
      </w:r>
      <w:r>
        <w:rPr>
          <w:rFonts w:ascii="Arial" w:hAnsi="Arial" w:cs="Arial"/>
          <w:sz w:val="24"/>
          <w:szCs w:val="24"/>
          <w:lang w:val="en-GB"/>
        </w:rPr>
        <w:t xml:space="preserve"> was raised on the record in the context of the stay application</w:t>
      </w:r>
      <w:r w:rsidR="005F1026">
        <w:rPr>
          <w:rFonts w:ascii="Arial" w:hAnsi="Arial" w:cs="Arial"/>
          <w:sz w:val="24"/>
          <w:szCs w:val="24"/>
          <w:lang w:val="en-GB"/>
        </w:rPr>
        <w:t xml:space="preserve"> in the counter application where</w:t>
      </w:r>
      <w:r>
        <w:rPr>
          <w:rFonts w:ascii="Arial" w:hAnsi="Arial" w:cs="Arial"/>
          <w:sz w:val="24"/>
          <w:szCs w:val="24"/>
          <w:lang w:val="en-GB"/>
        </w:rPr>
        <w:t xml:space="preserve"> the difficulty in raising the amount (not impossibility)</w:t>
      </w:r>
      <w:r w:rsidR="005F1026">
        <w:rPr>
          <w:rFonts w:ascii="Arial" w:hAnsi="Arial" w:cs="Arial"/>
          <w:sz w:val="24"/>
          <w:szCs w:val="24"/>
          <w:lang w:val="en-GB"/>
        </w:rPr>
        <w:t xml:space="preserve"> and</w:t>
      </w:r>
      <w:r>
        <w:rPr>
          <w:rFonts w:ascii="Arial" w:hAnsi="Arial" w:cs="Arial"/>
          <w:sz w:val="24"/>
          <w:szCs w:val="24"/>
          <w:lang w:val="en-GB"/>
        </w:rPr>
        <w:t xml:space="preserve"> the</w:t>
      </w:r>
      <w:r w:rsidR="005F1026">
        <w:rPr>
          <w:rFonts w:ascii="Arial" w:hAnsi="Arial" w:cs="Arial"/>
          <w:sz w:val="24"/>
          <w:szCs w:val="24"/>
          <w:lang w:val="en-GB"/>
        </w:rPr>
        <w:t xml:space="preserve"> resulting</w:t>
      </w:r>
      <w:r>
        <w:rPr>
          <w:rFonts w:ascii="Arial" w:hAnsi="Arial" w:cs="Arial"/>
          <w:sz w:val="24"/>
          <w:szCs w:val="24"/>
          <w:lang w:val="en-GB"/>
        </w:rPr>
        <w:t xml:space="preserve"> adverse consequences and the completion of the project was juxtaposed against the alleged inability of the respondent to repay should the arbitration determine the matter in favour of the appellant. This was clearly to establish that the balance of equities favoured the appellant.</w:t>
      </w:r>
    </w:p>
    <w:p w:rsidR="00CA45A0" w:rsidRDefault="00CA45A0" w:rsidP="00026A64">
      <w:pPr>
        <w:spacing w:after="0" w:line="480" w:lineRule="auto"/>
        <w:jc w:val="both"/>
        <w:rPr>
          <w:rFonts w:ascii="Arial" w:hAnsi="Arial" w:cs="Arial"/>
          <w:sz w:val="24"/>
          <w:szCs w:val="24"/>
          <w:lang w:val="en-GB"/>
        </w:rPr>
      </w:pPr>
      <w:r w:rsidRPr="00203A7F">
        <w:rPr>
          <w:rFonts w:ascii="Arial" w:hAnsi="Arial" w:cs="Arial"/>
          <w:i/>
          <w:sz w:val="24"/>
          <w:szCs w:val="24"/>
          <w:lang w:val="en-GB"/>
        </w:rPr>
        <w:t>Held</w:t>
      </w:r>
      <w:r>
        <w:rPr>
          <w:rFonts w:ascii="Arial" w:hAnsi="Arial" w:cs="Arial"/>
          <w:sz w:val="24"/>
          <w:szCs w:val="24"/>
          <w:lang w:val="en-GB"/>
        </w:rPr>
        <w:t xml:space="preserve"> that the basis for the approach to assume jurisdiction was thus not established and further that this was not the case for appellants on the record or in the court a quo and that this approach was </w:t>
      </w:r>
      <w:r w:rsidR="005F1026">
        <w:rPr>
          <w:rFonts w:ascii="Arial" w:hAnsi="Arial" w:cs="Arial"/>
          <w:sz w:val="24"/>
          <w:szCs w:val="24"/>
          <w:lang w:val="en-GB"/>
        </w:rPr>
        <w:t xml:space="preserve">thus </w:t>
      </w:r>
      <w:r>
        <w:rPr>
          <w:rFonts w:ascii="Arial" w:hAnsi="Arial" w:cs="Arial"/>
          <w:sz w:val="24"/>
          <w:szCs w:val="24"/>
          <w:lang w:val="en-GB"/>
        </w:rPr>
        <w:t>not only without merit but could not be advanced on appeal.</w:t>
      </w:r>
    </w:p>
    <w:p w:rsidR="00C26C5C" w:rsidRDefault="00CA45A0" w:rsidP="00026A64">
      <w:pPr>
        <w:spacing w:after="0" w:line="480" w:lineRule="auto"/>
        <w:jc w:val="both"/>
        <w:rPr>
          <w:rFonts w:ascii="Arial" w:hAnsi="Arial" w:cs="Arial"/>
          <w:sz w:val="24"/>
          <w:szCs w:val="24"/>
          <w:lang w:val="en-GB"/>
        </w:rPr>
      </w:pPr>
      <w:r w:rsidRPr="00203A7F">
        <w:rPr>
          <w:rFonts w:ascii="Arial" w:hAnsi="Arial" w:cs="Arial"/>
          <w:i/>
          <w:sz w:val="24"/>
          <w:szCs w:val="24"/>
          <w:lang w:val="en-GB"/>
        </w:rPr>
        <w:t>Held</w:t>
      </w:r>
      <w:r>
        <w:rPr>
          <w:rFonts w:ascii="Arial" w:hAnsi="Arial" w:cs="Arial"/>
          <w:sz w:val="24"/>
          <w:szCs w:val="24"/>
          <w:lang w:val="en-GB"/>
        </w:rPr>
        <w:t xml:space="preserve"> that as the same </w:t>
      </w:r>
      <w:r w:rsidR="005F1026">
        <w:rPr>
          <w:rFonts w:ascii="Arial" w:hAnsi="Arial" w:cs="Arial"/>
          <w:sz w:val="24"/>
          <w:szCs w:val="24"/>
          <w:lang w:val="en-GB"/>
        </w:rPr>
        <w:t>premise</w:t>
      </w:r>
      <w:r>
        <w:rPr>
          <w:rFonts w:ascii="Arial" w:hAnsi="Arial" w:cs="Arial"/>
          <w:sz w:val="24"/>
          <w:szCs w:val="24"/>
          <w:lang w:val="en-GB"/>
        </w:rPr>
        <w:t xml:space="preserve"> (the impossibility to comply with the adjudicator’s decision) was sought to be relied upon to </w:t>
      </w:r>
      <w:r w:rsidR="006000BB">
        <w:rPr>
          <w:rFonts w:ascii="Arial" w:hAnsi="Arial" w:cs="Arial"/>
          <w:sz w:val="24"/>
          <w:szCs w:val="24"/>
          <w:lang w:val="en-GB"/>
        </w:rPr>
        <w:t>review</w:t>
      </w:r>
      <w:r>
        <w:rPr>
          <w:rFonts w:ascii="Arial" w:hAnsi="Arial" w:cs="Arial"/>
          <w:sz w:val="24"/>
          <w:szCs w:val="24"/>
          <w:lang w:val="en-GB"/>
        </w:rPr>
        <w:t xml:space="preserve"> the adjudicator’s </w:t>
      </w:r>
      <w:r w:rsidR="00C26C5C">
        <w:rPr>
          <w:rFonts w:ascii="Arial" w:hAnsi="Arial" w:cs="Arial"/>
          <w:sz w:val="24"/>
          <w:szCs w:val="24"/>
          <w:lang w:val="en-GB"/>
        </w:rPr>
        <w:t>decision, assuming it was unreasonable, irregular, improper or wrong</w:t>
      </w:r>
      <w:r w:rsidR="005F1026">
        <w:rPr>
          <w:rFonts w:ascii="Arial" w:hAnsi="Arial" w:cs="Arial"/>
          <w:sz w:val="24"/>
          <w:szCs w:val="24"/>
          <w:lang w:val="en-GB"/>
        </w:rPr>
        <w:t>,</w:t>
      </w:r>
      <w:r w:rsidR="00C26C5C">
        <w:rPr>
          <w:rFonts w:ascii="Arial" w:hAnsi="Arial" w:cs="Arial"/>
          <w:sz w:val="24"/>
          <w:szCs w:val="24"/>
          <w:lang w:val="en-GB"/>
        </w:rPr>
        <w:t xml:space="preserve"> would lead to obvious unfairness or be manifestly unjust, this </w:t>
      </w:r>
      <w:r w:rsidR="005F1026">
        <w:rPr>
          <w:rFonts w:ascii="Arial" w:hAnsi="Arial" w:cs="Arial"/>
          <w:sz w:val="24"/>
          <w:szCs w:val="24"/>
          <w:lang w:val="en-GB"/>
        </w:rPr>
        <w:t>premise</w:t>
      </w:r>
      <w:r w:rsidR="00C26C5C">
        <w:rPr>
          <w:rFonts w:ascii="Arial" w:hAnsi="Arial" w:cs="Arial"/>
          <w:sz w:val="24"/>
          <w:szCs w:val="24"/>
          <w:lang w:val="en-GB"/>
        </w:rPr>
        <w:t xml:space="preserve"> </w:t>
      </w:r>
      <w:r w:rsidR="00BC05BF">
        <w:rPr>
          <w:rFonts w:ascii="Arial" w:hAnsi="Arial" w:cs="Arial"/>
          <w:sz w:val="24"/>
          <w:szCs w:val="24"/>
          <w:lang w:val="en-GB"/>
        </w:rPr>
        <w:t xml:space="preserve">was </w:t>
      </w:r>
      <w:r w:rsidR="00C26C5C">
        <w:rPr>
          <w:rFonts w:ascii="Arial" w:hAnsi="Arial" w:cs="Arial"/>
          <w:sz w:val="24"/>
          <w:szCs w:val="24"/>
          <w:lang w:val="en-GB"/>
        </w:rPr>
        <w:t>likewise flawed and for the same reason</w:t>
      </w:r>
      <w:r w:rsidR="005F1026">
        <w:rPr>
          <w:rFonts w:ascii="Arial" w:hAnsi="Arial" w:cs="Arial"/>
          <w:sz w:val="24"/>
          <w:szCs w:val="24"/>
          <w:lang w:val="en-GB"/>
        </w:rPr>
        <w:t>, namely, that n</w:t>
      </w:r>
      <w:r w:rsidR="00C26C5C">
        <w:rPr>
          <w:rFonts w:ascii="Arial" w:hAnsi="Arial" w:cs="Arial"/>
          <w:sz w:val="24"/>
          <w:szCs w:val="24"/>
          <w:lang w:val="en-GB"/>
        </w:rPr>
        <w:t>o case was made out that it would be impossible for appellant to comply with the order of the adjudicator.</w:t>
      </w:r>
    </w:p>
    <w:p w:rsidR="00C26C5C" w:rsidRDefault="00C26C5C" w:rsidP="00026A64">
      <w:pPr>
        <w:spacing w:after="0" w:line="480" w:lineRule="auto"/>
        <w:jc w:val="both"/>
        <w:rPr>
          <w:rFonts w:ascii="Arial" w:hAnsi="Arial" w:cs="Arial"/>
          <w:sz w:val="24"/>
          <w:szCs w:val="24"/>
          <w:lang w:val="en-GB"/>
        </w:rPr>
      </w:pPr>
      <w:r w:rsidRPr="00203A7F">
        <w:rPr>
          <w:rFonts w:ascii="Arial" w:hAnsi="Arial" w:cs="Arial"/>
          <w:i/>
          <w:sz w:val="24"/>
          <w:szCs w:val="24"/>
          <w:lang w:val="en-GB"/>
        </w:rPr>
        <w:t>Held</w:t>
      </w:r>
      <w:r>
        <w:rPr>
          <w:rFonts w:ascii="Arial" w:hAnsi="Arial" w:cs="Arial"/>
          <w:sz w:val="24"/>
          <w:szCs w:val="24"/>
          <w:lang w:val="en-GB"/>
        </w:rPr>
        <w:t xml:space="preserve"> that as the construction agreement provided for an arbitration to revisit the adjudicator’s decision including its validity the part</w:t>
      </w:r>
      <w:r w:rsidR="005F1026">
        <w:rPr>
          <w:rFonts w:ascii="Arial" w:hAnsi="Arial" w:cs="Arial"/>
          <w:sz w:val="24"/>
          <w:szCs w:val="24"/>
          <w:lang w:val="en-GB"/>
        </w:rPr>
        <w:t>ies</w:t>
      </w:r>
      <w:r>
        <w:rPr>
          <w:rFonts w:ascii="Arial" w:hAnsi="Arial" w:cs="Arial"/>
          <w:sz w:val="24"/>
          <w:szCs w:val="24"/>
          <w:lang w:val="en-GB"/>
        </w:rPr>
        <w:t xml:space="preserve"> are bound thereby pending</w:t>
      </w:r>
      <w:r w:rsidR="00BC05BF">
        <w:rPr>
          <w:rFonts w:ascii="Arial" w:hAnsi="Arial" w:cs="Arial"/>
          <w:sz w:val="24"/>
          <w:szCs w:val="24"/>
          <w:lang w:val="en-GB"/>
        </w:rPr>
        <w:t xml:space="preserve"> arbitration</w:t>
      </w:r>
      <w:r>
        <w:rPr>
          <w:rFonts w:ascii="Arial" w:hAnsi="Arial" w:cs="Arial"/>
          <w:sz w:val="24"/>
          <w:szCs w:val="24"/>
          <w:lang w:val="en-GB"/>
        </w:rPr>
        <w:t xml:space="preserve">. In this matter there is no reason why the contract should not be enforced and it was thus not necessary to decide in which circumstances </w:t>
      </w:r>
      <w:r w:rsidR="005F1026">
        <w:rPr>
          <w:rFonts w:ascii="Arial" w:hAnsi="Arial" w:cs="Arial"/>
          <w:sz w:val="24"/>
          <w:szCs w:val="24"/>
          <w:lang w:val="en-GB"/>
        </w:rPr>
        <w:t xml:space="preserve">the normal rule that parties are bound by an arbitration </w:t>
      </w:r>
      <w:r w:rsidR="00BC05BF">
        <w:rPr>
          <w:rFonts w:ascii="Arial" w:hAnsi="Arial" w:cs="Arial"/>
          <w:sz w:val="24"/>
          <w:szCs w:val="24"/>
          <w:lang w:val="en-GB"/>
        </w:rPr>
        <w:t>clause</w:t>
      </w:r>
      <w:r>
        <w:rPr>
          <w:rFonts w:ascii="Arial" w:hAnsi="Arial" w:cs="Arial"/>
          <w:sz w:val="24"/>
          <w:szCs w:val="24"/>
          <w:lang w:val="en-GB"/>
        </w:rPr>
        <w:t xml:space="preserve"> would not apply.</w:t>
      </w:r>
    </w:p>
    <w:p w:rsidR="00CA45A0" w:rsidRPr="003B1EA2" w:rsidRDefault="00C26C5C" w:rsidP="00026A64">
      <w:pPr>
        <w:spacing w:after="0" w:line="480" w:lineRule="auto"/>
        <w:jc w:val="both"/>
        <w:rPr>
          <w:rFonts w:ascii="Arial" w:hAnsi="Arial" w:cs="Arial"/>
          <w:sz w:val="24"/>
          <w:szCs w:val="24"/>
          <w:lang w:val="en-GB"/>
        </w:rPr>
      </w:pPr>
      <w:r>
        <w:rPr>
          <w:rFonts w:ascii="Arial" w:hAnsi="Arial" w:cs="Arial"/>
          <w:sz w:val="24"/>
          <w:szCs w:val="24"/>
          <w:lang w:val="en-GB"/>
        </w:rPr>
        <w:t xml:space="preserve">Appeal accordingly dismissed with costs. </w:t>
      </w:r>
    </w:p>
    <w:p w:rsidR="00EF6EF1" w:rsidRPr="001563C1" w:rsidRDefault="00EF6EF1" w:rsidP="00C92CA9">
      <w:pPr>
        <w:spacing w:after="0" w:line="360" w:lineRule="auto"/>
        <w:jc w:val="both"/>
        <w:rPr>
          <w:rFonts w:ascii="Arial" w:hAnsi="Arial" w:cs="Arial"/>
          <w:sz w:val="24"/>
          <w:szCs w:val="24"/>
        </w:rPr>
      </w:pPr>
    </w:p>
    <w:p w:rsidR="008C3367" w:rsidRPr="001563C1"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8C3367" w:rsidRPr="001563C1" w:rsidRDefault="008C3367" w:rsidP="00594EA3">
      <w:pPr>
        <w:pBdr>
          <w:top w:val="single" w:sz="12" w:space="1" w:color="auto"/>
          <w:bottom w:val="single" w:sz="12" w:space="1" w:color="auto"/>
        </w:pBdr>
        <w:spacing w:after="0" w:line="240" w:lineRule="auto"/>
        <w:jc w:val="center"/>
        <w:rPr>
          <w:rFonts w:ascii="Arial" w:hAnsi="Arial" w:cs="Arial"/>
          <w:b/>
          <w:sz w:val="24"/>
          <w:szCs w:val="24"/>
        </w:rPr>
      </w:pPr>
      <w:r w:rsidRPr="001563C1">
        <w:rPr>
          <w:rFonts w:ascii="Arial" w:hAnsi="Arial" w:cs="Arial"/>
          <w:b/>
          <w:sz w:val="24"/>
          <w:szCs w:val="24"/>
        </w:rPr>
        <w:t>APPEAL JUDGMENT</w:t>
      </w:r>
    </w:p>
    <w:p w:rsidR="008C3367" w:rsidRPr="001563C1"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563C1" w:rsidRDefault="00B40CD3" w:rsidP="00A26B21">
      <w:pPr>
        <w:pStyle w:val="NoSpacing"/>
        <w:rPr>
          <w:rFonts w:ascii="Arial" w:hAnsi="Arial" w:cs="Arial"/>
          <w:sz w:val="24"/>
          <w:szCs w:val="24"/>
        </w:rPr>
      </w:pPr>
    </w:p>
    <w:p w:rsidR="00971695" w:rsidRDefault="00026A64" w:rsidP="005F1026">
      <w:pPr>
        <w:spacing w:line="480" w:lineRule="auto"/>
        <w:jc w:val="both"/>
        <w:rPr>
          <w:rFonts w:ascii="Arial" w:hAnsi="Arial" w:cs="Arial"/>
          <w:sz w:val="24"/>
          <w:szCs w:val="24"/>
        </w:rPr>
      </w:pPr>
      <w:r w:rsidRPr="001563C1">
        <w:rPr>
          <w:rFonts w:ascii="Arial" w:hAnsi="Arial" w:cs="Arial"/>
          <w:sz w:val="24"/>
          <w:szCs w:val="24"/>
        </w:rPr>
        <w:t>FRANK</w:t>
      </w:r>
      <w:r w:rsidR="008C3367" w:rsidRPr="001563C1">
        <w:rPr>
          <w:rFonts w:ascii="Arial" w:hAnsi="Arial" w:cs="Arial"/>
          <w:sz w:val="24"/>
          <w:szCs w:val="24"/>
        </w:rPr>
        <w:t xml:space="preserve"> </w:t>
      </w:r>
      <w:r w:rsidRPr="001563C1">
        <w:rPr>
          <w:rFonts w:ascii="Arial" w:hAnsi="Arial" w:cs="Arial"/>
          <w:sz w:val="24"/>
          <w:szCs w:val="24"/>
        </w:rPr>
        <w:t>A</w:t>
      </w:r>
      <w:r w:rsidR="008C3367" w:rsidRPr="001563C1">
        <w:rPr>
          <w:rFonts w:ascii="Arial" w:hAnsi="Arial" w:cs="Arial"/>
          <w:sz w:val="24"/>
          <w:szCs w:val="24"/>
        </w:rPr>
        <w:t>JA (</w:t>
      </w:r>
      <w:r w:rsidR="00E8647F">
        <w:rPr>
          <w:rFonts w:ascii="Arial" w:hAnsi="Arial" w:cs="Arial"/>
          <w:sz w:val="24"/>
          <w:szCs w:val="24"/>
        </w:rPr>
        <w:t xml:space="preserve">SMUTS </w:t>
      </w:r>
      <w:r w:rsidR="002212AD" w:rsidRPr="001563C1">
        <w:rPr>
          <w:rFonts w:ascii="Arial" w:hAnsi="Arial" w:cs="Arial"/>
          <w:sz w:val="24"/>
          <w:szCs w:val="24"/>
        </w:rPr>
        <w:t>JA</w:t>
      </w:r>
      <w:r w:rsidR="00451609" w:rsidRPr="001563C1">
        <w:rPr>
          <w:rFonts w:ascii="Arial" w:hAnsi="Arial" w:cs="Arial"/>
          <w:sz w:val="24"/>
          <w:szCs w:val="24"/>
        </w:rPr>
        <w:t xml:space="preserve"> and</w:t>
      </w:r>
      <w:r w:rsidR="008C3367" w:rsidRPr="001563C1">
        <w:rPr>
          <w:rFonts w:ascii="Arial" w:hAnsi="Arial" w:cs="Arial"/>
          <w:sz w:val="24"/>
          <w:szCs w:val="24"/>
        </w:rPr>
        <w:t xml:space="preserve"> </w:t>
      </w:r>
      <w:r w:rsidR="00513468" w:rsidRPr="001563C1">
        <w:rPr>
          <w:rFonts w:ascii="Arial" w:hAnsi="Arial" w:cs="Arial"/>
          <w:sz w:val="24"/>
          <w:szCs w:val="24"/>
        </w:rPr>
        <w:t>HOFF</w:t>
      </w:r>
      <w:r w:rsidR="008B2795" w:rsidRPr="001563C1">
        <w:rPr>
          <w:rFonts w:ascii="Arial" w:hAnsi="Arial" w:cs="Arial"/>
          <w:sz w:val="24"/>
          <w:szCs w:val="24"/>
        </w:rPr>
        <w:t xml:space="preserve"> JA</w:t>
      </w:r>
      <w:r w:rsidR="008C3367" w:rsidRPr="001563C1">
        <w:rPr>
          <w:rFonts w:ascii="Arial" w:hAnsi="Arial" w:cs="Arial"/>
          <w:sz w:val="24"/>
          <w:szCs w:val="24"/>
        </w:rPr>
        <w:t xml:space="preserve"> concurring):</w:t>
      </w:r>
    </w:p>
    <w:p w:rsidR="00971695" w:rsidRDefault="00971695" w:rsidP="00E8647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parties entered into a construction agreement in terms whereof respondent had to perform services to appellant. The template of the construction agreement was the standard FIDIC agreement</w:t>
      </w:r>
      <w:r>
        <w:rPr>
          <w:rStyle w:val="FootnoteReference"/>
          <w:rFonts w:ascii="Arial" w:hAnsi="Arial" w:cs="Arial"/>
          <w:sz w:val="24"/>
          <w:szCs w:val="24"/>
        </w:rPr>
        <w:footnoteReference w:id="1"/>
      </w:r>
      <w:r>
        <w:rPr>
          <w:rFonts w:ascii="Arial" w:hAnsi="Arial" w:cs="Arial"/>
          <w:sz w:val="24"/>
          <w:szCs w:val="24"/>
        </w:rPr>
        <w:t xml:space="preserve"> to which the parties made certain amendments. The dispute resolution terms were however </w:t>
      </w:r>
      <w:r w:rsidR="001D5351">
        <w:rPr>
          <w:rFonts w:ascii="Arial" w:hAnsi="Arial" w:cs="Arial"/>
          <w:sz w:val="24"/>
          <w:szCs w:val="24"/>
        </w:rPr>
        <w:t>accepted unaltered. This meant that any dispute between the parties arising during the course of the construction project had to be referred for adjudication and the decision of the adjudicator had to be complied with</w:t>
      </w:r>
      <w:r w:rsidR="00AA0CAA">
        <w:rPr>
          <w:rFonts w:ascii="Arial" w:hAnsi="Arial" w:cs="Arial"/>
          <w:sz w:val="24"/>
          <w:szCs w:val="24"/>
        </w:rPr>
        <w:t>,</w:t>
      </w:r>
      <w:r w:rsidR="001D5351">
        <w:rPr>
          <w:rFonts w:ascii="Arial" w:hAnsi="Arial" w:cs="Arial"/>
          <w:sz w:val="24"/>
          <w:szCs w:val="24"/>
        </w:rPr>
        <w:t xml:space="preserve"> irrespective of the fact that a party </w:t>
      </w:r>
      <w:r w:rsidR="00DD5689">
        <w:rPr>
          <w:rFonts w:ascii="Arial" w:hAnsi="Arial" w:cs="Arial"/>
          <w:sz w:val="24"/>
          <w:szCs w:val="24"/>
        </w:rPr>
        <w:t>aggrieved</w:t>
      </w:r>
      <w:r w:rsidR="001D5351">
        <w:rPr>
          <w:rFonts w:ascii="Arial" w:hAnsi="Arial" w:cs="Arial"/>
          <w:sz w:val="24"/>
          <w:szCs w:val="24"/>
        </w:rPr>
        <w:t xml:space="preserve"> by such decision could </w:t>
      </w:r>
      <w:r w:rsidR="00DD5689">
        <w:rPr>
          <w:rFonts w:ascii="Arial" w:hAnsi="Arial" w:cs="Arial"/>
          <w:sz w:val="24"/>
          <w:szCs w:val="24"/>
        </w:rPr>
        <w:t xml:space="preserve">take </w:t>
      </w:r>
      <w:r w:rsidR="001D5351">
        <w:rPr>
          <w:rFonts w:ascii="Arial" w:hAnsi="Arial" w:cs="Arial"/>
          <w:sz w:val="24"/>
          <w:szCs w:val="24"/>
        </w:rPr>
        <w:t xml:space="preserve">the decision </w:t>
      </w:r>
      <w:r w:rsidR="00DD5689">
        <w:rPr>
          <w:rFonts w:ascii="Arial" w:hAnsi="Arial" w:cs="Arial"/>
          <w:sz w:val="24"/>
          <w:szCs w:val="24"/>
        </w:rPr>
        <w:t>on arbitration. A dispute arose between the parties which was referred to adjudication and the adjudicator determined that the appellant had to make payment to respondent in an amount of N$3,246,792 (less an amount standing to the credit of appellant which is N$</w:t>
      </w:r>
      <w:r w:rsidR="00AA0CAA">
        <w:rPr>
          <w:rFonts w:ascii="Arial" w:hAnsi="Arial" w:cs="Arial"/>
          <w:sz w:val="24"/>
          <w:szCs w:val="24"/>
        </w:rPr>
        <w:t xml:space="preserve"> </w:t>
      </w:r>
      <w:r w:rsidR="00DD5689">
        <w:rPr>
          <w:rFonts w:ascii="Arial" w:hAnsi="Arial" w:cs="Arial"/>
          <w:sz w:val="24"/>
          <w:szCs w:val="24"/>
        </w:rPr>
        <w:t xml:space="preserve">153,831.54). Appellant, </w:t>
      </w:r>
      <w:r w:rsidR="00C65BD6">
        <w:rPr>
          <w:rFonts w:ascii="Arial" w:hAnsi="Arial" w:cs="Arial"/>
          <w:sz w:val="24"/>
          <w:szCs w:val="24"/>
        </w:rPr>
        <w:t>aggrieved by this decision, took the necessary step to</w:t>
      </w:r>
      <w:r w:rsidR="00511E9D">
        <w:rPr>
          <w:rFonts w:ascii="Arial" w:hAnsi="Arial" w:cs="Arial"/>
          <w:sz w:val="24"/>
          <w:szCs w:val="24"/>
        </w:rPr>
        <w:t xml:space="preserve"> initiate </w:t>
      </w:r>
      <w:r w:rsidR="00C65BD6">
        <w:rPr>
          <w:rFonts w:ascii="Arial" w:hAnsi="Arial" w:cs="Arial"/>
          <w:sz w:val="24"/>
          <w:szCs w:val="24"/>
        </w:rPr>
        <w:t>an arbitration</w:t>
      </w:r>
      <w:r w:rsidR="00D06239">
        <w:rPr>
          <w:rFonts w:ascii="Arial" w:hAnsi="Arial" w:cs="Arial"/>
          <w:sz w:val="24"/>
          <w:szCs w:val="24"/>
        </w:rPr>
        <w:t xml:space="preserve"> fail</w:t>
      </w:r>
      <w:r w:rsidR="00545BAD">
        <w:rPr>
          <w:rFonts w:ascii="Arial" w:hAnsi="Arial" w:cs="Arial"/>
          <w:sz w:val="24"/>
          <w:szCs w:val="24"/>
        </w:rPr>
        <w:t xml:space="preserve">ing an amicable solution to the dispute, </w:t>
      </w:r>
      <w:proofErr w:type="spellStart"/>
      <w:r w:rsidR="00545BAD">
        <w:rPr>
          <w:rFonts w:ascii="Arial" w:hAnsi="Arial" w:cs="Arial"/>
          <w:sz w:val="24"/>
          <w:szCs w:val="24"/>
        </w:rPr>
        <w:t>ie</w:t>
      </w:r>
      <w:proofErr w:type="spellEnd"/>
      <w:r w:rsidR="00545BAD">
        <w:rPr>
          <w:rFonts w:ascii="Arial" w:hAnsi="Arial" w:cs="Arial"/>
          <w:sz w:val="24"/>
          <w:szCs w:val="24"/>
        </w:rPr>
        <w:t xml:space="preserve"> it filed the prescribed notice of dissatisfaction. Respondent relying on the agreement brought an application seeking implementation of the decision of the adjudicator. Appellant opposed this application on the basis that the notice of the intended arbitration stayed the award by the adjudicator and that the court should not in its discretion order specific performance. Appellant also brought a counter application to set aside the decision of the adjudicator as the main relief. In the alternative a stay was sought for the application for specific performance and in the alternative</w:t>
      </w:r>
      <w:r w:rsidR="00AA0CAA">
        <w:rPr>
          <w:rFonts w:ascii="Arial" w:hAnsi="Arial" w:cs="Arial"/>
          <w:sz w:val="24"/>
          <w:szCs w:val="24"/>
        </w:rPr>
        <w:t>,</w:t>
      </w:r>
      <w:r w:rsidR="00545BAD">
        <w:rPr>
          <w:rFonts w:ascii="Arial" w:hAnsi="Arial" w:cs="Arial"/>
          <w:sz w:val="24"/>
          <w:szCs w:val="24"/>
        </w:rPr>
        <w:t xml:space="preserve"> a stay </w:t>
      </w:r>
      <w:r w:rsidR="0012527C">
        <w:rPr>
          <w:rFonts w:ascii="Arial" w:hAnsi="Arial" w:cs="Arial"/>
          <w:sz w:val="24"/>
          <w:szCs w:val="24"/>
        </w:rPr>
        <w:t>pending the final arbitration in respect of the ruling by the adjudicator.</w:t>
      </w:r>
    </w:p>
    <w:p w:rsidR="0012527C" w:rsidRDefault="0012527C" w:rsidP="0012527C">
      <w:pPr>
        <w:pStyle w:val="NoSpacing"/>
        <w:spacing w:line="480" w:lineRule="auto"/>
        <w:jc w:val="both"/>
        <w:rPr>
          <w:rFonts w:ascii="Arial" w:hAnsi="Arial" w:cs="Arial"/>
          <w:sz w:val="24"/>
          <w:szCs w:val="24"/>
        </w:rPr>
      </w:pPr>
    </w:p>
    <w:p w:rsidR="0012527C" w:rsidRDefault="0012527C" w:rsidP="00E8647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court </w:t>
      </w:r>
      <w:r w:rsidRPr="0012527C">
        <w:rPr>
          <w:rFonts w:ascii="Arial" w:hAnsi="Arial" w:cs="Arial"/>
          <w:i/>
          <w:sz w:val="24"/>
          <w:szCs w:val="24"/>
        </w:rPr>
        <w:t>a quo</w:t>
      </w:r>
      <w:r>
        <w:rPr>
          <w:rFonts w:ascii="Arial" w:hAnsi="Arial" w:cs="Arial"/>
          <w:sz w:val="24"/>
          <w:szCs w:val="24"/>
        </w:rPr>
        <w:t xml:space="preserve"> dealt with the application and found that the </w:t>
      </w:r>
      <w:r w:rsidR="00D06239">
        <w:rPr>
          <w:rFonts w:ascii="Arial" w:hAnsi="Arial" w:cs="Arial"/>
          <w:sz w:val="24"/>
          <w:szCs w:val="24"/>
        </w:rPr>
        <w:t>agreement</w:t>
      </w:r>
      <w:r>
        <w:rPr>
          <w:rFonts w:ascii="Arial" w:hAnsi="Arial" w:cs="Arial"/>
          <w:sz w:val="24"/>
          <w:szCs w:val="24"/>
        </w:rPr>
        <w:t xml:space="preserve"> between the parties was clear, namely that pending the arbitration the ruling of the adjudicator had to be complied with and there was no reason why specific performance should not be granted as contemplated in the agreement. In this regard</w:t>
      </w:r>
      <w:r w:rsidR="00AA0CAA">
        <w:rPr>
          <w:rFonts w:ascii="Arial" w:hAnsi="Arial" w:cs="Arial"/>
          <w:sz w:val="24"/>
          <w:szCs w:val="24"/>
        </w:rPr>
        <w:t>,</w:t>
      </w:r>
      <w:r>
        <w:rPr>
          <w:rFonts w:ascii="Arial" w:hAnsi="Arial" w:cs="Arial"/>
          <w:sz w:val="24"/>
          <w:szCs w:val="24"/>
        </w:rPr>
        <w:t xml:space="preserve"> an order for the amount involved </w:t>
      </w:r>
      <w:r w:rsidR="00D06239">
        <w:rPr>
          <w:rFonts w:ascii="Arial" w:hAnsi="Arial" w:cs="Arial"/>
          <w:sz w:val="24"/>
          <w:szCs w:val="24"/>
        </w:rPr>
        <w:t>to be</w:t>
      </w:r>
      <w:r>
        <w:rPr>
          <w:rFonts w:ascii="Arial" w:hAnsi="Arial" w:cs="Arial"/>
          <w:sz w:val="24"/>
          <w:szCs w:val="24"/>
        </w:rPr>
        <w:t xml:space="preserve"> paid into a trust account of respondent’s lawyers pending the </w:t>
      </w:r>
      <w:r w:rsidR="00DE7871">
        <w:rPr>
          <w:rFonts w:ascii="Arial" w:hAnsi="Arial" w:cs="Arial"/>
          <w:sz w:val="24"/>
          <w:szCs w:val="24"/>
        </w:rPr>
        <w:t>arbitration or an amicable settlement between the parties was made</w:t>
      </w:r>
      <w:r w:rsidR="004C459C">
        <w:rPr>
          <w:rFonts w:ascii="Arial" w:hAnsi="Arial" w:cs="Arial"/>
          <w:sz w:val="24"/>
          <w:szCs w:val="24"/>
        </w:rPr>
        <w:t>.</w:t>
      </w:r>
      <w:r w:rsidR="00DE7871">
        <w:rPr>
          <w:rFonts w:ascii="Arial" w:hAnsi="Arial" w:cs="Arial"/>
          <w:sz w:val="24"/>
          <w:szCs w:val="24"/>
        </w:rPr>
        <w:t xml:space="preserve"> (</w:t>
      </w:r>
      <w:r w:rsidR="004C459C">
        <w:rPr>
          <w:rFonts w:ascii="Arial" w:hAnsi="Arial" w:cs="Arial"/>
          <w:sz w:val="24"/>
          <w:szCs w:val="24"/>
        </w:rPr>
        <w:t>T</w:t>
      </w:r>
      <w:r w:rsidR="00DE7871">
        <w:rPr>
          <w:rFonts w:ascii="Arial" w:hAnsi="Arial" w:cs="Arial"/>
          <w:sz w:val="24"/>
          <w:szCs w:val="24"/>
        </w:rPr>
        <w:t>his approach was adopted as respondent’s lawyers tendered it). Without giving reasons the counter application was dismissed with costs.</w:t>
      </w:r>
    </w:p>
    <w:p w:rsidR="00511E9D" w:rsidRDefault="00511E9D" w:rsidP="00511E9D">
      <w:pPr>
        <w:pStyle w:val="ListParagraph"/>
        <w:rPr>
          <w:rFonts w:ascii="Arial" w:hAnsi="Arial" w:cs="Arial"/>
          <w:sz w:val="24"/>
          <w:szCs w:val="24"/>
        </w:rPr>
      </w:pPr>
    </w:p>
    <w:p w:rsidR="00511E9D" w:rsidRPr="00511E9D" w:rsidRDefault="00BC05BF" w:rsidP="00511E9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Respondent in it</w:t>
      </w:r>
      <w:r w:rsidR="00511E9D" w:rsidRPr="00511E9D">
        <w:rPr>
          <w:rFonts w:ascii="Arial" w:hAnsi="Arial" w:cs="Arial"/>
          <w:sz w:val="24"/>
          <w:szCs w:val="24"/>
        </w:rPr>
        <w:t xml:space="preserve">s Notice of Appeal launched an appeal against the whole of the judgment </w:t>
      </w:r>
      <w:r w:rsidR="00511E9D" w:rsidRPr="00AA0CAA">
        <w:rPr>
          <w:rFonts w:ascii="Arial" w:hAnsi="Arial" w:cs="Arial"/>
          <w:i/>
          <w:sz w:val="24"/>
          <w:szCs w:val="24"/>
        </w:rPr>
        <w:t>a quo</w:t>
      </w:r>
      <w:r w:rsidR="00511E9D" w:rsidRPr="00511E9D">
        <w:rPr>
          <w:rFonts w:ascii="Arial" w:hAnsi="Arial" w:cs="Arial"/>
          <w:sz w:val="24"/>
          <w:szCs w:val="24"/>
        </w:rPr>
        <w:t>. In the heads of argument filed on behalf of the appellant the appeal is</w:t>
      </w:r>
      <w:r w:rsidR="00AA0CAA">
        <w:rPr>
          <w:rFonts w:ascii="Arial" w:hAnsi="Arial" w:cs="Arial"/>
          <w:sz w:val="24"/>
          <w:szCs w:val="24"/>
        </w:rPr>
        <w:t>,</w:t>
      </w:r>
      <w:r w:rsidR="00511E9D" w:rsidRPr="00511E9D">
        <w:rPr>
          <w:rFonts w:ascii="Arial" w:hAnsi="Arial" w:cs="Arial"/>
          <w:sz w:val="24"/>
          <w:szCs w:val="24"/>
        </w:rPr>
        <w:t xml:space="preserve"> however</w:t>
      </w:r>
      <w:r w:rsidR="00AA0CAA">
        <w:rPr>
          <w:rFonts w:ascii="Arial" w:hAnsi="Arial" w:cs="Arial"/>
          <w:sz w:val="24"/>
          <w:szCs w:val="24"/>
        </w:rPr>
        <w:t>,</w:t>
      </w:r>
      <w:r w:rsidR="00511E9D" w:rsidRPr="00511E9D">
        <w:rPr>
          <w:rFonts w:ascii="Arial" w:hAnsi="Arial" w:cs="Arial"/>
          <w:sz w:val="24"/>
          <w:szCs w:val="24"/>
        </w:rPr>
        <w:t xml:space="preserve"> confined to the refusal of the main re</w:t>
      </w:r>
      <w:r w:rsidR="00511E9D">
        <w:rPr>
          <w:rFonts w:ascii="Arial" w:hAnsi="Arial" w:cs="Arial"/>
          <w:sz w:val="24"/>
          <w:szCs w:val="24"/>
        </w:rPr>
        <w:t xml:space="preserve">lief in the counter application, </w:t>
      </w:r>
      <w:proofErr w:type="spellStart"/>
      <w:r w:rsidR="00511E9D">
        <w:rPr>
          <w:rFonts w:ascii="Arial" w:hAnsi="Arial" w:cs="Arial"/>
          <w:sz w:val="24"/>
          <w:szCs w:val="24"/>
        </w:rPr>
        <w:t>ie</w:t>
      </w:r>
      <w:proofErr w:type="spellEnd"/>
      <w:r w:rsidR="00511E9D">
        <w:rPr>
          <w:rFonts w:ascii="Arial" w:hAnsi="Arial" w:cs="Arial"/>
          <w:sz w:val="24"/>
          <w:szCs w:val="24"/>
        </w:rPr>
        <w:t>, the alleged invalidity of the adjudicator’s decision.</w:t>
      </w:r>
    </w:p>
    <w:p w:rsidR="00DE7871" w:rsidRDefault="00DE7871" w:rsidP="00DE7871">
      <w:pPr>
        <w:pStyle w:val="ListParagraph"/>
        <w:rPr>
          <w:rFonts w:ascii="Arial" w:hAnsi="Arial" w:cs="Arial"/>
          <w:sz w:val="24"/>
          <w:szCs w:val="24"/>
        </w:rPr>
      </w:pPr>
    </w:p>
    <w:p w:rsidR="00DE7871" w:rsidRDefault="00DE7871" w:rsidP="00E8647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dismissal of the counter application unfortunately </w:t>
      </w:r>
      <w:r w:rsidR="00B70E55">
        <w:rPr>
          <w:rFonts w:ascii="Arial" w:hAnsi="Arial" w:cs="Arial"/>
          <w:sz w:val="24"/>
          <w:szCs w:val="24"/>
        </w:rPr>
        <w:t>doesn’t follow from the upholding of the applicat</w:t>
      </w:r>
      <w:r w:rsidR="004C459C">
        <w:rPr>
          <w:rFonts w:ascii="Arial" w:hAnsi="Arial" w:cs="Arial"/>
          <w:sz w:val="24"/>
          <w:szCs w:val="24"/>
        </w:rPr>
        <w:t>ion</w:t>
      </w:r>
      <w:r w:rsidR="00B70E55">
        <w:rPr>
          <w:rFonts w:ascii="Arial" w:hAnsi="Arial" w:cs="Arial"/>
          <w:sz w:val="24"/>
          <w:szCs w:val="24"/>
        </w:rPr>
        <w:t>. This is so because different questions arise. The question raised in the main relief of the counter application is the validity of the decision by the adjudication. The question raised in the application is the immediate enforcement of the decision</w:t>
      </w:r>
      <w:r w:rsidR="00F75AC5">
        <w:rPr>
          <w:rFonts w:ascii="Arial" w:hAnsi="Arial" w:cs="Arial"/>
          <w:sz w:val="24"/>
          <w:szCs w:val="24"/>
        </w:rPr>
        <w:t xml:space="preserve"> of the adjudicator</w:t>
      </w:r>
      <w:r w:rsidR="00B70E55">
        <w:rPr>
          <w:rFonts w:ascii="Arial" w:hAnsi="Arial" w:cs="Arial"/>
          <w:sz w:val="24"/>
          <w:szCs w:val="24"/>
        </w:rPr>
        <w:t xml:space="preserve">. </w:t>
      </w:r>
      <w:r w:rsidR="00D06239">
        <w:rPr>
          <w:rFonts w:ascii="Arial" w:hAnsi="Arial" w:cs="Arial"/>
          <w:sz w:val="24"/>
          <w:szCs w:val="24"/>
        </w:rPr>
        <w:t>The question in respect of validity of the decision of the adjudicator is whether a court must deal with it at this interim juncture or whether the validity must be accepted pending arbitration where this issue can also be raised as it falls within the ambit of the powers of the arbitrator(s).</w:t>
      </w:r>
    </w:p>
    <w:p w:rsidR="00A23D01" w:rsidRDefault="00A23D01" w:rsidP="00A23D01">
      <w:pPr>
        <w:pStyle w:val="ListParagraph"/>
        <w:rPr>
          <w:rFonts w:ascii="Arial" w:hAnsi="Arial" w:cs="Arial"/>
          <w:sz w:val="24"/>
          <w:szCs w:val="24"/>
        </w:rPr>
      </w:pPr>
    </w:p>
    <w:p w:rsidR="00A23D01" w:rsidRDefault="00A23D01" w:rsidP="00E8647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 now on appeal only contends that the court </w:t>
      </w:r>
      <w:r w:rsidRPr="00A23D01">
        <w:rPr>
          <w:rFonts w:ascii="Arial" w:hAnsi="Arial" w:cs="Arial"/>
          <w:i/>
          <w:sz w:val="24"/>
          <w:szCs w:val="24"/>
        </w:rPr>
        <w:t>a quo</w:t>
      </w:r>
      <w:r>
        <w:rPr>
          <w:rFonts w:ascii="Arial" w:hAnsi="Arial" w:cs="Arial"/>
          <w:sz w:val="24"/>
          <w:szCs w:val="24"/>
        </w:rPr>
        <w:t xml:space="preserve"> erred in not dealing with the validity of the decision of the adjudicator. It thus follows that the appellant now accepts that if it was unable to establish the invalidity of the </w:t>
      </w:r>
      <w:r>
        <w:rPr>
          <w:rFonts w:ascii="Arial" w:hAnsi="Arial" w:cs="Arial"/>
          <w:sz w:val="24"/>
          <w:szCs w:val="24"/>
        </w:rPr>
        <w:lastRenderedPageBreak/>
        <w:t>adjudicator’s decision</w:t>
      </w:r>
      <w:r w:rsidR="00846D4B">
        <w:rPr>
          <w:rFonts w:ascii="Arial" w:hAnsi="Arial" w:cs="Arial"/>
          <w:sz w:val="24"/>
          <w:szCs w:val="24"/>
        </w:rPr>
        <w:t xml:space="preserve"> or </w:t>
      </w:r>
      <w:r w:rsidR="00F75AC5">
        <w:rPr>
          <w:rFonts w:ascii="Arial" w:hAnsi="Arial" w:cs="Arial"/>
          <w:sz w:val="24"/>
          <w:szCs w:val="24"/>
        </w:rPr>
        <w:t xml:space="preserve">unable to </w:t>
      </w:r>
      <w:r w:rsidR="00846D4B">
        <w:rPr>
          <w:rFonts w:ascii="Arial" w:hAnsi="Arial" w:cs="Arial"/>
          <w:sz w:val="24"/>
          <w:szCs w:val="24"/>
        </w:rPr>
        <w:t>attack that decision</w:t>
      </w:r>
      <w:r>
        <w:rPr>
          <w:rFonts w:ascii="Arial" w:hAnsi="Arial" w:cs="Arial"/>
          <w:sz w:val="24"/>
          <w:szCs w:val="24"/>
        </w:rPr>
        <w:t xml:space="preserve"> in the court </w:t>
      </w:r>
      <w:r w:rsidRPr="00617ED2">
        <w:rPr>
          <w:rFonts w:ascii="Arial" w:hAnsi="Arial" w:cs="Arial"/>
          <w:i/>
          <w:sz w:val="24"/>
          <w:szCs w:val="24"/>
        </w:rPr>
        <w:t>a quo</w:t>
      </w:r>
      <w:r>
        <w:rPr>
          <w:rFonts w:ascii="Arial" w:hAnsi="Arial" w:cs="Arial"/>
          <w:sz w:val="24"/>
          <w:szCs w:val="24"/>
        </w:rPr>
        <w:t xml:space="preserve"> it is </w:t>
      </w:r>
      <w:r w:rsidR="00846D4B">
        <w:rPr>
          <w:rFonts w:ascii="Arial" w:hAnsi="Arial" w:cs="Arial"/>
          <w:sz w:val="24"/>
          <w:szCs w:val="24"/>
        </w:rPr>
        <w:t xml:space="preserve">bound </w:t>
      </w:r>
      <w:r w:rsidR="00617ED2">
        <w:rPr>
          <w:rFonts w:ascii="Arial" w:hAnsi="Arial" w:cs="Arial"/>
          <w:sz w:val="24"/>
          <w:szCs w:val="24"/>
        </w:rPr>
        <w:t xml:space="preserve">to give effect to the </w:t>
      </w:r>
      <w:r w:rsidR="00D06239">
        <w:rPr>
          <w:rFonts w:ascii="Arial" w:hAnsi="Arial" w:cs="Arial"/>
          <w:sz w:val="24"/>
          <w:szCs w:val="24"/>
        </w:rPr>
        <w:t>ad</w:t>
      </w:r>
      <w:r w:rsidR="00617ED2">
        <w:rPr>
          <w:rFonts w:ascii="Arial" w:hAnsi="Arial" w:cs="Arial"/>
          <w:sz w:val="24"/>
          <w:szCs w:val="24"/>
        </w:rPr>
        <w:t>judicator’s decision.</w:t>
      </w:r>
    </w:p>
    <w:p w:rsidR="00617ED2" w:rsidRDefault="00617ED2" w:rsidP="00771E7B">
      <w:pPr>
        <w:pStyle w:val="ListParagraph"/>
        <w:spacing w:after="0" w:line="360" w:lineRule="auto"/>
        <w:rPr>
          <w:rFonts w:ascii="Arial" w:hAnsi="Arial" w:cs="Arial"/>
          <w:sz w:val="24"/>
          <w:szCs w:val="24"/>
        </w:rPr>
      </w:pPr>
    </w:p>
    <w:p w:rsidR="00617ED2" w:rsidRDefault="00771E7B" w:rsidP="00E8647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AA0CAA">
        <w:rPr>
          <w:rFonts w:ascii="Arial" w:hAnsi="Arial" w:cs="Arial"/>
          <w:i/>
          <w:sz w:val="24"/>
          <w:szCs w:val="24"/>
        </w:rPr>
        <w:t>a quo</w:t>
      </w:r>
      <w:r>
        <w:rPr>
          <w:rFonts w:ascii="Arial" w:hAnsi="Arial" w:cs="Arial"/>
          <w:sz w:val="24"/>
          <w:szCs w:val="24"/>
        </w:rPr>
        <w:t xml:space="preserve"> with reference to South African case law held that the provisions </w:t>
      </w:r>
      <w:r w:rsidR="00F75AC5">
        <w:rPr>
          <w:rFonts w:ascii="Arial" w:hAnsi="Arial" w:cs="Arial"/>
          <w:sz w:val="24"/>
          <w:szCs w:val="24"/>
        </w:rPr>
        <w:t xml:space="preserve">of the agreement </w:t>
      </w:r>
      <w:r>
        <w:rPr>
          <w:rFonts w:ascii="Arial" w:hAnsi="Arial" w:cs="Arial"/>
          <w:sz w:val="24"/>
          <w:szCs w:val="24"/>
        </w:rPr>
        <w:t>were clear and that the decision of the adjudicator had to be given effect to pending the arbitration.</w:t>
      </w:r>
      <w:r>
        <w:rPr>
          <w:rStyle w:val="FootnoteReference"/>
          <w:rFonts w:ascii="Arial" w:hAnsi="Arial" w:cs="Arial"/>
          <w:sz w:val="24"/>
          <w:szCs w:val="24"/>
        </w:rPr>
        <w:footnoteReference w:id="2"/>
      </w:r>
      <w:r>
        <w:rPr>
          <w:rFonts w:ascii="Arial" w:hAnsi="Arial" w:cs="Arial"/>
          <w:sz w:val="24"/>
          <w:szCs w:val="24"/>
        </w:rPr>
        <w:t xml:space="preserve"> This interpretation is in my view </w:t>
      </w:r>
      <w:r w:rsidR="00265BF2">
        <w:rPr>
          <w:rFonts w:ascii="Arial" w:hAnsi="Arial" w:cs="Arial"/>
          <w:sz w:val="24"/>
          <w:szCs w:val="24"/>
        </w:rPr>
        <w:t xml:space="preserve">clearly correct and is also in line with the international approach. This interpretation also gives business efficacy to the type of contract under consideration. The approach is described by South African Supreme Court </w:t>
      </w:r>
      <w:r w:rsidR="00BC05BF">
        <w:rPr>
          <w:rFonts w:ascii="Arial" w:hAnsi="Arial" w:cs="Arial"/>
          <w:sz w:val="24"/>
          <w:szCs w:val="24"/>
        </w:rPr>
        <w:t xml:space="preserve">of the appeal </w:t>
      </w:r>
      <w:r w:rsidR="00265BF2">
        <w:rPr>
          <w:rFonts w:ascii="Arial" w:hAnsi="Arial" w:cs="Arial"/>
          <w:sz w:val="24"/>
          <w:szCs w:val="24"/>
        </w:rPr>
        <w:t>in the following terms:</w:t>
      </w:r>
      <w:r w:rsidR="00265BF2">
        <w:rPr>
          <w:rStyle w:val="FootnoteReference"/>
          <w:rFonts w:ascii="Arial" w:hAnsi="Arial" w:cs="Arial"/>
          <w:sz w:val="24"/>
          <w:szCs w:val="24"/>
        </w:rPr>
        <w:footnoteReference w:id="3"/>
      </w:r>
    </w:p>
    <w:p w:rsidR="00617ED2" w:rsidRDefault="00617ED2" w:rsidP="00617ED2">
      <w:pPr>
        <w:pStyle w:val="ListParagraph"/>
        <w:rPr>
          <w:rFonts w:ascii="Arial" w:hAnsi="Arial" w:cs="Arial"/>
          <w:sz w:val="24"/>
          <w:szCs w:val="24"/>
        </w:rPr>
      </w:pPr>
    </w:p>
    <w:p w:rsidR="00D10BEB" w:rsidRPr="00D10BEB" w:rsidRDefault="00D10BEB" w:rsidP="00D10BEB">
      <w:pPr>
        <w:pStyle w:val="NoSpacing"/>
        <w:spacing w:line="360" w:lineRule="auto"/>
        <w:ind w:left="1440" w:hanging="720"/>
        <w:jc w:val="both"/>
        <w:rPr>
          <w:rFonts w:ascii="Arial" w:hAnsi="Arial" w:cs="Arial"/>
        </w:rPr>
      </w:pPr>
      <w:r w:rsidRPr="00D10BEB">
        <w:rPr>
          <w:rFonts w:ascii="Arial" w:hAnsi="Arial" w:cs="Arial"/>
        </w:rPr>
        <w:t>‘4</w:t>
      </w:r>
      <w:r w:rsidRPr="00D10BEB">
        <w:rPr>
          <w:rFonts w:ascii="Arial" w:hAnsi="Arial" w:cs="Arial"/>
        </w:rPr>
        <w:tab/>
      </w:r>
      <w:proofErr w:type="gramStart"/>
      <w:r w:rsidRPr="00D10BEB">
        <w:rPr>
          <w:rFonts w:ascii="Arial" w:hAnsi="Arial" w:cs="Arial"/>
        </w:rPr>
        <w:t>It</w:t>
      </w:r>
      <w:proofErr w:type="gramEnd"/>
      <w:r w:rsidRPr="00D10BEB">
        <w:rPr>
          <w:rFonts w:ascii="Arial" w:hAnsi="Arial" w:cs="Arial"/>
        </w:rPr>
        <w:t xml:space="preserve"> has now become common internationally — in some countries by legislation — for disputes to be resolved provisionally by adjudication. In </w:t>
      </w:r>
      <w:proofErr w:type="spellStart"/>
      <w:r w:rsidRPr="00D10BEB">
        <w:rPr>
          <w:rFonts w:ascii="Arial" w:hAnsi="Arial" w:cs="Arial"/>
          <w:i/>
        </w:rPr>
        <w:t>Macob</w:t>
      </w:r>
      <w:proofErr w:type="spellEnd"/>
      <w:r w:rsidRPr="00D10BEB">
        <w:rPr>
          <w:rFonts w:ascii="Arial" w:hAnsi="Arial" w:cs="Arial"/>
          <w:i/>
        </w:rPr>
        <w:t xml:space="preserve"> Civil Engineering Ltd v Morrison Construction Ltd</w:t>
      </w:r>
      <w:r w:rsidRPr="00D10BEB">
        <w:rPr>
          <w:rFonts w:ascii="Arial" w:hAnsi="Arial" w:cs="Arial"/>
        </w:rPr>
        <w:t xml:space="preserve"> adjudication was described, in the context of English legislation, as —</w:t>
      </w:r>
    </w:p>
    <w:p w:rsidR="00D10BEB" w:rsidRPr="00D10BEB" w:rsidRDefault="00D10BEB" w:rsidP="00D10BEB">
      <w:pPr>
        <w:pStyle w:val="NoSpacing"/>
        <w:spacing w:line="360" w:lineRule="auto"/>
        <w:ind w:left="720"/>
        <w:jc w:val="both"/>
        <w:rPr>
          <w:rFonts w:ascii="Arial" w:hAnsi="Arial" w:cs="Arial"/>
        </w:rPr>
      </w:pPr>
      <w:r w:rsidRPr="00D10BEB">
        <w:rPr>
          <w:rFonts w:ascii="Arial" w:hAnsi="Arial" w:cs="Arial"/>
        </w:rPr>
        <w:tab/>
      </w:r>
    </w:p>
    <w:p w:rsidR="00617ED2" w:rsidRPr="00D10BEB" w:rsidRDefault="00D10BEB" w:rsidP="00D10BEB">
      <w:pPr>
        <w:pStyle w:val="NoSpacing"/>
        <w:spacing w:line="360" w:lineRule="auto"/>
        <w:ind w:left="2160"/>
        <w:jc w:val="both"/>
        <w:rPr>
          <w:rFonts w:ascii="Arial" w:hAnsi="Arial" w:cs="Arial"/>
        </w:rPr>
      </w:pPr>
      <w:r w:rsidRPr="00D10BEB">
        <w:rPr>
          <w:rFonts w:ascii="Arial" w:hAnsi="Arial" w:cs="Arial"/>
        </w:rPr>
        <w:t>“a speedy mechanism for settling disputes [under] construction contracts on a provisional interim basis, and requiring the decision of adjudicators to be enforced pending the final determination of disputes by arbitration, litigation or agreement</w:t>
      </w:r>
      <w:r>
        <w:rPr>
          <w:rFonts w:ascii="Arial" w:hAnsi="Arial" w:cs="Arial"/>
        </w:rPr>
        <w:t xml:space="preserve"> </w:t>
      </w:r>
      <w:r w:rsidRPr="00D10BEB">
        <w:rPr>
          <w:rFonts w:ascii="Arial" w:hAnsi="Arial" w:cs="Arial"/>
        </w:rPr>
        <w:t>. . . . But Parliament has not abolished arbitration and litigation of construction disputes. It has merely introduced an intervening provisional stage in the dispute resolution process.”</w:t>
      </w:r>
    </w:p>
    <w:p w:rsidR="00D10BEB" w:rsidRPr="00D10BEB" w:rsidRDefault="00D10BEB" w:rsidP="00D10BEB">
      <w:pPr>
        <w:pStyle w:val="NoSpacing"/>
        <w:spacing w:line="360" w:lineRule="auto"/>
        <w:jc w:val="both"/>
        <w:rPr>
          <w:rFonts w:ascii="Arial" w:hAnsi="Arial" w:cs="Arial"/>
        </w:rPr>
      </w:pPr>
    </w:p>
    <w:p w:rsidR="00D10BEB" w:rsidRPr="00D10BEB" w:rsidRDefault="009F179F" w:rsidP="00D10BEB">
      <w:pPr>
        <w:pStyle w:val="NoSpacing"/>
        <w:spacing w:line="360" w:lineRule="auto"/>
        <w:ind w:left="1440" w:hanging="720"/>
        <w:jc w:val="both"/>
        <w:rPr>
          <w:rFonts w:ascii="Arial" w:hAnsi="Arial" w:cs="Arial"/>
        </w:rPr>
      </w:pPr>
      <w:r>
        <w:rPr>
          <w:rFonts w:ascii="Arial" w:hAnsi="Arial" w:cs="Arial"/>
        </w:rPr>
        <w:t>5</w:t>
      </w:r>
      <w:r w:rsidR="00D10BEB" w:rsidRPr="00D10BEB">
        <w:rPr>
          <w:rFonts w:ascii="Arial" w:hAnsi="Arial" w:cs="Arial"/>
        </w:rPr>
        <w:tab/>
        <w:t>The authors of Hudson's Building and Construction Contracts observe that under New Zealand construction legislation adjudication —</w:t>
      </w:r>
    </w:p>
    <w:p w:rsidR="00D10BEB" w:rsidRPr="00D10BEB" w:rsidRDefault="00D10BEB" w:rsidP="00D10BEB">
      <w:pPr>
        <w:pStyle w:val="NoSpacing"/>
        <w:spacing w:line="360" w:lineRule="auto"/>
        <w:jc w:val="both"/>
        <w:rPr>
          <w:rFonts w:ascii="Arial" w:hAnsi="Arial" w:cs="Arial"/>
        </w:rPr>
      </w:pPr>
      <w:r w:rsidRPr="00D10BEB">
        <w:rPr>
          <w:rFonts w:ascii="Arial" w:hAnsi="Arial" w:cs="Arial"/>
        </w:rPr>
        <w:tab/>
      </w:r>
    </w:p>
    <w:p w:rsidR="00D10BEB" w:rsidRDefault="009F179F" w:rsidP="00D10BEB">
      <w:pPr>
        <w:pStyle w:val="NoSpacing"/>
        <w:spacing w:line="360" w:lineRule="auto"/>
        <w:ind w:left="2160"/>
        <w:jc w:val="both"/>
        <w:rPr>
          <w:rFonts w:ascii="Arial" w:hAnsi="Arial" w:cs="Arial"/>
          <w:sz w:val="24"/>
          <w:szCs w:val="24"/>
        </w:rPr>
      </w:pPr>
      <w:r>
        <w:rPr>
          <w:rFonts w:ascii="Arial" w:hAnsi="Arial" w:cs="Arial"/>
        </w:rPr>
        <w:t>“</w:t>
      </w:r>
      <w:proofErr w:type="gramStart"/>
      <w:r w:rsidR="00D10BEB" w:rsidRPr="00D10BEB">
        <w:rPr>
          <w:rFonts w:ascii="Arial" w:hAnsi="Arial" w:cs="Arial"/>
        </w:rPr>
        <w:t>is</w:t>
      </w:r>
      <w:proofErr w:type="gramEnd"/>
      <w:r w:rsidR="00D10BEB" w:rsidRPr="00D10BEB">
        <w:rPr>
          <w:rFonts w:ascii="Arial" w:hAnsi="Arial" w:cs="Arial"/>
        </w:rPr>
        <w:t xml:space="preserve"> regarded as essentially a cash flow measure implementing what has been colloquially described as a quick and dirty exercise to avoid delays in payment pending definitive determination of litigation”.’</w:t>
      </w:r>
    </w:p>
    <w:p w:rsidR="00617ED2" w:rsidRDefault="00617ED2" w:rsidP="00617ED2">
      <w:pPr>
        <w:pStyle w:val="ListParagraph"/>
        <w:rPr>
          <w:rFonts w:ascii="Arial" w:hAnsi="Arial" w:cs="Arial"/>
          <w:sz w:val="24"/>
          <w:szCs w:val="24"/>
        </w:rPr>
      </w:pPr>
    </w:p>
    <w:p w:rsidR="00617ED2" w:rsidRDefault="009F179F" w:rsidP="00E8647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Despite </w:t>
      </w:r>
      <w:r w:rsidR="009B66B7">
        <w:rPr>
          <w:rFonts w:ascii="Arial" w:hAnsi="Arial" w:cs="Arial"/>
          <w:sz w:val="24"/>
          <w:szCs w:val="24"/>
        </w:rPr>
        <w:t xml:space="preserve">the </w:t>
      </w:r>
      <w:r w:rsidR="00012D6C">
        <w:rPr>
          <w:rFonts w:ascii="Arial" w:hAnsi="Arial" w:cs="Arial"/>
          <w:sz w:val="24"/>
          <w:szCs w:val="24"/>
        </w:rPr>
        <w:t xml:space="preserve">fact that </w:t>
      </w:r>
      <w:r w:rsidR="00AA0CAA">
        <w:rPr>
          <w:rFonts w:ascii="Arial" w:hAnsi="Arial" w:cs="Arial"/>
          <w:sz w:val="24"/>
          <w:szCs w:val="24"/>
        </w:rPr>
        <w:t xml:space="preserve">the </w:t>
      </w:r>
      <w:r w:rsidR="009B66B7">
        <w:rPr>
          <w:rFonts w:ascii="Arial" w:hAnsi="Arial" w:cs="Arial"/>
          <w:sz w:val="24"/>
          <w:szCs w:val="24"/>
        </w:rPr>
        <w:t xml:space="preserve">appellant now concedes that </w:t>
      </w:r>
      <w:r w:rsidR="00012D6C">
        <w:rPr>
          <w:rFonts w:ascii="Arial" w:hAnsi="Arial" w:cs="Arial"/>
          <w:sz w:val="24"/>
          <w:szCs w:val="24"/>
        </w:rPr>
        <w:t>it</w:t>
      </w:r>
      <w:r w:rsidR="009B66B7">
        <w:rPr>
          <w:rFonts w:ascii="Arial" w:hAnsi="Arial" w:cs="Arial"/>
          <w:sz w:val="24"/>
          <w:szCs w:val="24"/>
        </w:rPr>
        <w:t xml:space="preserve"> </w:t>
      </w:r>
      <w:r w:rsidR="00012D6C">
        <w:rPr>
          <w:rFonts w:ascii="Arial" w:hAnsi="Arial" w:cs="Arial"/>
          <w:sz w:val="24"/>
          <w:szCs w:val="24"/>
        </w:rPr>
        <w:t>is</w:t>
      </w:r>
      <w:r w:rsidR="009B66B7">
        <w:rPr>
          <w:rFonts w:ascii="Arial" w:hAnsi="Arial" w:cs="Arial"/>
          <w:sz w:val="24"/>
          <w:szCs w:val="24"/>
        </w:rPr>
        <w:t xml:space="preserve"> bound to comply with the decision of the adjudicator pending </w:t>
      </w:r>
      <w:r w:rsidR="00012D6C">
        <w:rPr>
          <w:rFonts w:ascii="Arial" w:hAnsi="Arial" w:cs="Arial"/>
          <w:sz w:val="24"/>
          <w:szCs w:val="24"/>
        </w:rPr>
        <w:t>the</w:t>
      </w:r>
      <w:r w:rsidR="009B66B7">
        <w:rPr>
          <w:rFonts w:ascii="Arial" w:hAnsi="Arial" w:cs="Arial"/>
          <w:sz w:val="24"/>
          <w:szCs w:val="24"/>
        </w:rPr>
        <w:t xml:space="preserve"> arbitration</w:t>
      </w:r>
      <w:r w:rsidR="00AA0CAA">
        <w:rPr>
          <w:rFonts w:ascii="Arial" w:hAnsi="Arial" w:cs="Arial"/>
          <w:sz w:val="24"/>
          <w:szCs w:val="24"/>
        </w:rPr>
        <w:t>,</w:t>
      </w:r>
      <w:r w:rsidR="009B66B7">
        <w:rPr>
          <w:rFonts w:ascii="Arial" w:hAnsi="Arial" w:cs="Arial"/>
          <w:sz w:val="24"/>
          <w:szCs w:val="24"/>
        </w:rPr>
        <w:t xml:space="preserve"> </w:t>
      </w:r>
      <w:r w:rsidR="00BC05BF">
        <w:rPr>
          <w:rFonts w:ascii="Arial" w:hAnsi="Arial" w:cs="Arial"/>
          <w:sz w:val="24"/>
          <w:szCs w:val="24"/>
        </w:rPr>
        <w:t xml:space="preserve">it </w:t>
      </w:r>
      <w:r w:rsidR="009B66B7">
        <w:rPr>
          <w:rFonts w:ascii="Arial" w:hAnsi="Arial" w:cs="Arial"/>
          <w:sz w:val="24"/>
          <w:szCs w:val="24"/>
        </w:rPr>
        <w:t xml:space="preserve">persists that it is not liable to make such payment as </w:t>
      </w:r>
      <w:r w:rsidR="00F75AC5">
        <w:rPr>
          <w:rFonts w:ascii="Arial" w:hAnsi="Arial" w:cs="Arial"/>
          <w:sz w:val="24"/>
          <w:szCs w:val="24"/>
        </w:rPr>
        <w:t>it</w:t>
      </w:r>
      <w:r w:rsidR="009B66B7">
        <w:rPr>
          <w:rFonts w:ascii="Arial" w:hAnsi="Arial" w:cs="Arial"/>
          <w:sz w:val="24"/>
          <w:szCs w:val="24"/>
        </w:rPr>
        <w:t xml:space="preserve"> sought an order in </w:t>
      </w:r>
      <w:r w:rsidR="00F75AC5">
        <w:rPr>
          <w:rFonts w:ascii="Arial" w:hAnsi="Arial" w:cs="Arial"/>
          <w:sz w:val="24"/>
          <w:szCs w:val="24"/>
        </w:rPr>
        <w:t>the</w:t>
      </w:r>
      <w:r w:rsidR="009B66B7">
        <w:rPr>
          <w:rFonts w:ascii="Arial" w:hAnsi="Arial" w:cs="Arial"/>
          <w:sz w:val="24"/>
          <w:szCs w:val="24"/>
        </w:rPr>
        <w:t xml:space="preserve"> counter application declaring the decision of the adjudicator invalid.</w:t>
      </w:r>
    </w:p>
    <w:p w:rsidR="00617ED2" w:rsidRDefault="00617ED2" w:rsidP="00617ED2">
      <w:pPr>
        <w:pStyle w:val="ListParagraph"/>
        <w:rPr>
          <w:rFonts w:ascii="Arial" w:hAnsi="Arial" w:cs="Arial"/>
          <w:sz w:val="24"/>
          <w:szCs w:val="24"/>
        </w:rPr>
      </w:pPr>
    </w:p>
    <w:p w:rsidR="00617ED2" w:rsidRDefault="009B66B7" w:rsidP="00E8647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Counsel for the appellant in his submission</w:t>
      </w:r>
      <w:r w:rsidR="004C459C">
        <w:rPr>
          <w:rFonts w:ascii="Arial" w:hAnsi="Arial" w:cs="Arial"/>
          <w:sz w:val="24"/>
          <w:szCs w:val="24"/>
        </w:rPr>
        <w:t>s</w:t>
      </w:r>
      <w:r>
        <w:rPr>
          <w:rFonts w:ascii="Arial" w:hAnsi="Arial" w:cs="Arial"/>
          <w:sz w:val="24"/>
          <w:szCs w:val="24"/>
        </w:rPr>
        <w:t xml:space="preserve"> advanced two main propositions</w:t>
      </w:r>
      <w:r w:rsidR="00012D6C">
        <w:rPr>
          <w:rFonts w:ascii="Arial" w:hAnsi="Arial" w:cs="Arial"/>
          <w:sz w:val="24"/>
          <w:szCs w:val="24"/>
        </w:rPr>
        <w:t xml:space="preserve"> for the stance that the </w:t>
      </w:r>
      <w:r w:rsidR="00F75AC5">
        <w:rPr>
          <w:rFonts w:ascii="Arial" w:hAnsi="Arial" w:cs="Arial"/>
          <w:sz w:val="24"/>
          <w:szCs w:val="24"/>
        </w:rPr>
        <w:t>validity of the adjudicator’s order be dealt with by the court</w:t>
      </w:r>
      <w:r>
        <w:rPr>
          <w:rFonts w:ascii="Arial" w:hAnsi="Arial" w:cs="Arial"/>
          <w:sz w:val="24"/>
          <w:szCs w:val="24"/>
        </w:rPr>
        <w:t xml:space="preserve">. Firstly, appellants simply cannot afford the </w:t>
      </w:r>
      <w:r w:rsidR="000B5157">
        <w:rPr>
          <w:rFonts w:ascii="Arial" w:hAnsi="Arial" w:cs="Arial"/>
          <w:sz w:val="24"/>
          <w:szCs w:val="24"/>
        </w:rPr>
        <w:t>amount determined by the adjudicator</w:t>
      </w:r>
      <w:r>
        <w:rPr>
          <w:rFonts w:ascii="Arial" w:hAnsi="Arial" w:cs="Arial"/>
          <w:sz w:val="24"/>
          <w:szCs w:val="24"/>
        </w:rPr>
        <w:t xml:space="preserve"> and as appellant’s contentions mostly involve legal issues as opposed to factual issues the court should assume jurisdiction despite the arbitration clause in the agreement between the parties. Secondly, that as far as the main </w:t>
      </w:r>
      <w:r w:rsidR="00012D6C">
        <w:rPr>
          <w:rFonts w:ascii="Arial" w:hAnsi="Arial" w:cs="Arial"/>
          <w:sz w:val="24"/>
          <w:szCs w:val="24"/>
        </w:rPr>
        <w:t>finding</w:t>
      </w:r>
      <w:r>
        <w:rPr>
          <w:rFonts w:ascii="Arial" w:hAnsi="Arial" w:cs="Arial"/>
          <w:sz w:val="24"/>
          <w:szCs w:val="24"/>
        </w:rPr>
        <w:t xml:space="preserve"> of the adjudicator was concerned relating to the question whether interest was payable on outstanding payments, that decision was ‘so unreasonable, improper, irregular or wrong as </w:t>
      </w:r>
      <w:r w:rsidR="00012D6C">
        <w:rPr>
          <w:rFonts w:ascii="Arial" w:hAnsi="Arial" w:cs="Arial"/>
          <w:sz w:val="24"/>
          <w:szCs w:val="24"/>
        </w:rPr>
        <w:t>to</w:t>
      </w:r>
      <w:r>
        <w:rPr>
          <w:rFonts w:ascii="Arial" w:hAnsi="Arial" w:cs="Arial"/>
          <w:sz w:val="24"/>
          <w:szCs w:val="24"/>
        </w:rPr>
        <w:t xml:space="preserve"> lead to obvious unfairness’</w:t>
      </w:r>
      <w:r w:rsidR="004C459C">
        <w:rPr>
          <w:rFonts w:ascii="Arial" w:hAnsi="Arial" w:cs="Arial"/>
          <w:sz w:val="24"/>
          <w:szCs w:val="24"/>
        </w:rPr>
        <w:t xml:space="preserve"> and should be set aside</w:t>
      </w:r>
      <w:r w:rsidR="002C2EFB">
        <w:rPr>
          <w:rFonts w:ascii="Arial" w:hAnsi="Arial" w:cs="Arial"/>
          <w:sz w:val="24"/>
          <w:szCs w:val="24"/>
        </w:rPr>
        <w:t>.</w:t>
      </w:r>
      <w:r w:rsidR="00FB53B9">
        <w:rPr>
          <w:rStyle w:val="FootnoteReference"/>
          <w:rFonts w:ascii="Arial" w:hAnsi="Arial" w:cs="Arial"/>
          <w:sz w:val="24"/>
          <w:szCs w:val="24"/>
        </w:rPr>
        <w:footnoteReference w:id="4"/>
      </w:r>
      <w:r w:rsidR="002C2EFB">
        <w:rPr>
          <w:rFonts w:ascii="Arial" w:hAnsi="Arial" w:cs="Arial"/>
          <w:sz w:val="24"/>
          <w:szCs w:val="24"/>
        </w:rPr>
        <w:t xml:space="preserve"> Counsel for the appellant with reference to case law stated the test as follows; namely ‘where the adjudicat</w:t>
      </w:r>
      <w:r w:rsidR="00012D6C">
        <w:rPr>
          <w:rFonts w:ascii="Arial" w:hAnsi="Arial" w:cs="Arial"/>
          <w:sz w:val="24"/>
          <w:szCs w:val="24"/>
        </w:rPr>
        <w:t>or</w:t>
      </w:r>
      <w:r w:rsidR="002C2EFB">
        <w:rPr>
          <w:rFonts w:ascii="Arial" w:hAnsi="Arial" w:cs="Arial"/>
          <w:sz w:val="24"/>
          <w:szCs w:val="24"/>
        </w:rPr>
        <w:t xml:space="preserve"> does not exercise the judgment of a reasonable man, where his judgment is exercised unreasonably, irregularly or wrongly so as to lead to a p</w:t>
      </w:r>
      <w:r w:rsidR="00BC05BF">
        <w:rPr>
          <w:rFonts w:ascii="Arial" w:hAnsi="Arial" w:cs="Arial"/>
          <w:sz w:val="24"/>
          <w:szCs w:val="24"/>
        </w:rPr>
        <w:t>a</w:t>
      </w:r>
      <w:r w:rsidR="002C2EFB">
        <w:rPr>
          <w:rFonts w:ascii="Arial" w:hAnsi="Arial" w:cs="Arial"/>
          <w:sz w:val="24"/>
          <w:szCs w:val="24"/>
        </w:rPr>
        <w:t xml:space="preserve">tently inequitable result, or a </w:t>
      </w:r>
      <w:r w:rsidR="00B21F1C">
        <w:rPr>
          <w:rFonts w:ascii="Arial" w:hAnsi="Arial" w:cs="Arial"/>
          <w:sz w:val="24"/>
          <w:szCs w:val="24"/>
        </w:rPr>
        <w:t>manifestly unjust evaluation’. The p</w:t>
      </w:r>
      <w:r w:rsidR="00BC05BF">
        <w:rPr>
          <w:rFonts w:ascii="Arial" w:hAnsi="Arial" w:cs="Arial"/>
          <w:sz w:val="24"/>
          <w:szCs w:val="24"/>
        </w:rPr>
        <w:t>a</w:t>
      </w:r>
      <w:r w:rsidR="00B21F1C">
        <w:rPr>
          <w:rFonts w:ascii="Arial" w:hAnsi="Arial" w:cs="Arial"/>
          <w:sz w:val="24"/>
          <w:szCs w:val="24"/>
        </w:rPr>
        <w:t>tently inequitable result or ‘obvious unfairness’ in the present matter being the fact that appellant would have to pay an amount it could not afford</w:t>
      </w:r>
      <w:r w:rsidR="00F75AC5">
        <w:rPr>
          <w:rFonts w:ascii="Arial" w:hAnsi="Arial" w:cs="Arial"/>
          <w:sz w:val="24"/>
          <w:szCs w:val="24"/>
        </w:rPr>
        <w:t>,</w:t>
      </w:r>
      <w:r w:rsidR="00B21F1C">
        <w:rPr>
          <w:rFonts w:ascii="Arial" w:hAnsi="Arial" w:cs="Arial"/>
          <w:sz w:val="24"/>
          <w:szCs w:val="24"/>
        </w:rPr>
        <w:t xml:space="preserve"> presumably leading to extremely adverse consequences for appellant</w:t>
      </w:r>
      <w:r w:rsidR="00F75AC5">
        <w:rPr>
          <w:rFonts w:ascii="Arial" w:hAnsi="Arial" w:cs="Arial"/>
          <w:sz w:val="24"/>
          <w:szCs w:val="24"/>
        </w:rPr>
        <w:t>, pending the arbitration</w:t>
      </w:r>
      <w:r w:rsidR="00B21F1C">
        <w:rPr>
          <w:rFonts w:ascii="Arial" w:hAnsi="Arial" w:cs="Arial"/>
          <w:sz w:val="24"/>
          <w:szCs w:val="24"/>
        </w:rPr>
        <w:t>.</w:t>
      </w:r>
    </w:p>
    <w:p w:rsidR="00617ED2" w:rsidRDefault="00617ED2" w:rsidP="00617ED2">
      <w:pPr>
        <w:pStyle w:val="ListParagraph"/>
        <w:rPr>
          <w:rFonts w:ascii="Arial" w:hAnsi="Arial" w:cs="Arial"/>
          <w:sz w:val="24"/>
          <w:szCs w:val="24"/>
        </w:rPr>
      </w:pPr>
    </w:p>
    <w:p w:rsidR="00617ED2" w:rsidRDefault="00257803" w:rsidP="00E8647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problem with the submissions based on the lack of fairness </w:t>
      </w:r>
      <w:r w:rsidR="00F75AC5">
        <w:rPr>
          <w:rFonts w:ascii="Arial" w:hAnsi="Arial" w:cs="Arial"/>
          <w:sz w:val="24"/>
          <w:szCs w:val="24"/>
        </w:rPr>
        <w:t>to</w:t>
      </w:r>
      <w:r>
        <w:rPr>
          <w:rFonts w:ascii="Arial" w:hAnsi="Arial" w:cs="Arial"/>
          <w:sz w:val="24"/>
          <w:szCs w:val="24"/>
        </w:rPr>
        <w:t xml:space="preserve"> appellant </w:t>
      </w:r>
      <w:r w:rsidR="004C459C">
        <w:rPr>
          <w:rFonts w:ascii="Arial" w:hAnsi="Arial" w:cs="Arial"/>
          <w:sz w:val="24"/>
          <w:szCs w:val="24"/>
        </w:rPr>
        <w:t xml:space="preserve">if compelled </w:t>
      </w:r>
      <w:r>
        <w:rPr>
          <w:rFonts w:ascii="Arial" w:hAnsi="Arial" w:cs="Arial"/>
          <w:sz w:val="24"/>
          <w:szCs w:val="24"/>
        </w:rPr>
        <w:t xml:space="preserve">to give effect to the decision of the adjudicator is that this was not the </w:t>
      </w:r>
      <w:r>
        <w:rPr>
          <w:rFonts w:ascii="Arial" w:hAnsi="Arial" w:cs="Arial"/>
          <w:sz w:val="24"/>
          <w:szCs w:val="24"/>
        </w:rPr>
        <w:lastRenderedPageBreak/>
        <w:t xml:space="preserve">case in the court </w:t>
      </w:r>
      <w:r w:rsidRPr="00AA0CAA">
        <w:rPr>
          <w:rFonts w:ascii="Arial" w:hAnsi="Arial" w:cs="Arial"/>
          <w:i/>
          <w:sz w:val="24"/>
          <w:szCs w:val="24"/>
        </w:rPr>
        <w:t>a quo</w:t>
      </w:r>
      <w:r>
        <w:rPr>
          <w:rFonts w:ascii="Arial" w:hAnsi="Arial" w:cs="Arial"/>
          <w:sz w:val="24"/>
          <w:szCs w:val="24"/>
        </w:rPr>
        <w:t xml:space="preserve"> nor does it appear in such stark terms</w:t>
      </w:r>
      <w:r w:rsidR="007618B0">
        <w:rPr>
          <w:rFonts w:ascii="Arial" w:hAnsi="Arial" w:cs="Arial"/>
          <w:sz w:val="24"/>
          <w:szCs w:val="24"/>
        </w:rPr>
        <w:t xml:space="preserve"> from the record</w:t>
      </w:r>
      <w:r>
        <w:rPr>
          <w:rFonts w:ascii="Arial" w:hAnsi="Arial" w:cs="Arial"/>
          <w:sz w:val="24"/>
          <w:szCs w:val="24"/>
        </w:rPr>
        <w:t xml:space="preserve"> as suggested by counsel. In fact, the deponent on behalf of the appellant states the position as follows in the counter application (where as indicated, among others, a stay of the adjudicator’</w:t>
      </w:r>
      <w:r w:rsidR="00994240">
        <w:rPr>
          <w:rFonts w:ascii="Arial" w:hAnsi="Arial" w:cs="Arial"/>
          <w:sz w:val="24"/>
          <w:szCs w:val="24"/>
        </w:rPr>
        <w:t xml:space="preserve">s decision pending the arbitration was sought): ‘If an amount of N$3,246 792.71 is paid, the </w:t>
      </w:r>
      <w:r w:rsidR="000B5157">
        <w:rPr>
          <w:rFonts w:ascii="Arial" w:hAnsi="Arial" w:cs="Arial"/>
          <w:sz w:val="24"/>
          <w:szCs w:val="24"/>
        </w:rPr>
        <w:t xml:space="preserve">(appellant) </w:t>
      </w:r>
      <w:r w:rsidR="00994240">
        <w:rPr>
          <w:rFonts w:ascii="Arial" w:hAnsi="Arial" w:cs="Arial"/>
          <w:sz w:val="24"/>
          <w:szCs w:val="24"/>
        </w:rPr>
        <w:t xml:space="preserve">will have to raise this amount by means of finance, even if only for limited period. It will seriously affect the ability of the (appellant) to complete the development of further phases as agreed with the </w:t>
      </w:r>
      <w:proofErr w:type="spellStart"/>
      <w:r w:rsidR="00994240">
        <w:rPr>
          <w:rFonts w:ascii="Arial" w:hAnsi="Arial" w:cs="Arial"/>
          <w:sz w:val="24"/>
          <w:szCs w:val="24"/>
        </w:rPr>
        <w:t>Henties</w:t>
      </w:r>
      <w:proofErr w:type="spellEnd"/>
      <w:r w:rsidR="00994240">
        <w:rPr>
          <w:rFonts w:ascii="Arial" w:hAnsi="Arial" w:cs="Arial"/>
          <w:sz w:val="24"/>
          <w:szCs w:val="24"/>
        </w:rPr>
        <w:t xml:space="preserve"> Bay Municipality. It will be a setback that (appellant) may not be able to recover from</w:t>
      </w:r>
      <w:r w:rsidR="00AA0CAA">
        <w:rPr>
          <w:rFonts w:ascii="Arial" w:hAnsi="Arial" w:cs="Arial"/>
          <w:sz w:val="24"/>
          <w:szCs w:val="24"/>
        </w:rPr>
        <w:t>.’</w:t>
      </w:r>
    </w:p>
    <w:p w:rsidR="00994240" w:rsidRDefault="00994240" w:rsidP="00994240">
      <w:pPr>
        <w:pStyle w:val="ListParagraph"/>
        <w:rPr>
          <w:rFonts w:ascii="Arial" w:hAnsi="Arial" w:cs="Arial"/>
          <w:sz w:val="24"/>
          <w:szCs w:val="24"/>
        </w:rPr>
      </w:pPr>
    </w:p>
    <w:p w:rsidR="00994240" w:rsidRDefault="00994240" w:rsidP="00E8647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is evident from what is stated above it was never stated that the appellant would </w:t>
      </w:r>
      <w:r w:rsidR="007618B0">
        <w:rPr>
          <w:rFonts w:ascii="Arial" w:hAnsi="Arial" w:cs="Arial"/>
          <w:sz w:val="24"/>
          <w:szCs w:val="24"/>
        </w:rPr>
        <w:t>no</w:t>
      </w:r>
      <w:r w:rsidR="00314EFE">
        <w:rPr>
          <w:rFonts w:ascii="Arial" w:hAnsi="Arial" w:cs="Arial"/>
          <w:sz w:val="24"/>
          <w:szCs w:val="24"/>
        </w:rPr>
        <w:t>t be able to raise the amount. I</w:t>
      </w:r>
      <w:r>
        <w:rPr>
          <w:rFonts w:ascii="Arial" w:hAnsi="Arial" w:cs="Arial"/>
          <w:sz w:val="24"/>
          <w:szCs w:val="24"/>
        </w:rPr>
        <w:t>t was simply stated that such money would hav</w:t>
      </w:r>
      <w:r w:rsidR="00314EFE">
        <w:rPr>
          <w:rFonts w:ascii="Arial" w:hAnsi="Arial" w:cs="Arial"/>
          <w:sz w:val="24"/>
          <w:szCs w:val="24"/>
        </w:rPr>
        <w:t>e to be financed and that this c</w:t>
      </w:r>
      <w:r>
        <w:rPr>
          <w:rFonts w:ascii="Arial" w:hAnsi="Arial" w:cs="Arial"/>
          <w:sz w:val="24"/>
          <w:szCs w:val="24"/>
        </w:rPr>
        <w:t xml:space="preserve">ould and even </w:t>
      </w:r>
      <w:r w:rsidR="00314EFE">
        <w:rPr>
          <w:rFonts w:ascii="Arial" w:hAnsi="Arial" w:cs="Arial"/>
          <w:sz w:val="24"/>
          <w:szCs w:val="24"/>
        </w:rPr>
        <w:t>w</w:t>
      </w:r>
      <w:r>
        <w:rPr>
          <w:rFonts w:ascii="Arial" w:hAnsi="Arial" w:cs="Arial"/>
          <w:sz w:val="24"/>
          <w:szCs w:val="24"/>
        </w:rPr>
        <w:t xml:space="preserve">ould </w:t>
      </w:r>
      <w:r w:rsidR="00F75AC5">
        <w:rPr>
          <w:rFonts w:ascii="Arial" w:hAnsi="Arial" w:cs="Arial"/>
          <w:sz w:val="24"/>
          <w:szCs w:val="24"/>
        </w:rPr>
        <w:t xml:space="preserve">adversely </w:t>
      </w:r>
      <w:r w:rsidR="00AA0CAA">
        <w:rPr>
          <w:rFonts w:ascii="Arial" w:hAnsi="Arial" w:cs="Arial"/>
          <w:sz w:val="24"/>
          <w:szCs w:val="24"/>
        </w:rPr>
        <w:t>affect</w:t>
      </w:r>
      <w:r>
        <w:rPr>
          <w:rFonts w:ascii="Arial" w:hAnsi="Arial" w:cs="Arial"/>
          <w:sz w:val="24"/>
          <w:szCs w:val="24"/>
        </w:rPr>
        <w:t xml:space="preserve"> the project. This was stated in the context of the stay application and was juxtaposed against the respondent’s alleged ‘precarious financial position’ so as to conclude that ‘there is a probability that if payment is made by the (appellant) in satisfaction of the decision by the adjudicator this sum of money will not be recovered once the </w:t>
      </w:r>
      <w:r w:rsidR="000E46F5">
        <w:rPr>
          <w:rFonts w:ascii="Arial" w:hAnsi="Arial" w:cs="Arial"/>
          <w:sz w:val="24"/>
          <w:szCs w:val="24"/>
        </w:rPr>
        <w:t>arbitrator find</w:t>
      </w:r>
      <w:r w:rsidR="00AA0CAA">
        <w:rPr>
          <w:rFonts w:ascii="Arial" w:hAnsi="Arial" w:cs="Arial"/>
          <w:sz w:val="24"/>
          <w:szCs w:val="24"/>
        </w:rPr>
        <w:t>s in favour of the (respondent)</w:t>
      </w:r>
      <w:r w:rsidR="000E46F5">
        <w:rPr>
          <w:rFonts w:ascii="Arial" w:hAnsi="Arial" w:cs="Arial"/>
          <w:sz w:val="24"/>
          <w:szCs w:val="24"/>
        </w:rPr>
        <w:t>.</w:t>
      </w:r>
      <w:r w:rsidR="00AA0CAA">
        <w:rPr>
          <w:rFonts w:ascii="Arial" w:hAnsi="Arial" w:cs="Arial"/>
          <w:sz w:val="24"/>
          <w:szCs w:val="24"/>
        </w:rPr>
        <w:t xml:space="preserve">’ In essence, the </w:t>
      </w:r>
      <w:r w:rsidR="000E46F5">
        <w:rPr>
          <w:rFonts w:ascii="Arial" w:hAnsi="Arial" w:cs="Arial"/>
          <w:sz w:val="24"/>
          <w:szCs w:val="24"/>
        </w:rPr>
        <w:t>appellant, for the purposes of the stay application, attempted to make out a case that whereas the raising of the finances to pay the money would prejudice them in the completion of the project</w:t>
      </w:r>
      <w:r w:rsidR="00AA0CAA">
        <w:rPr>
          <w:rFonts w:ascii="Arial" w:hAnsi="Arial" w:cs="Arial"/>
          <w:sz w:val="24"/>
          <w:szCs w:val="24"/>
        </w:rPr>
        <w:t>,</w:t>
      </w:r>
      <w:r w:rsidR="000E46F5">
        <w:rPr>
          <w:rFonts w:ascii="Arial" w:hAnsi="Arial" w:cs="Arial"/>
          <w:sz w:val="24"/>
          <w:szCs w:val="24"/>
        </w:rPr>
        <w:t xml:space="preserve"> the real prejudice would be the fact that they would not be able to recoup this money from the respondent if they are successful on arbitration.</w:t>
      </w:r>
      <w:r w:rsidR="000B5157">
        <w:rPr>
          <w:rFonts w:ascii="Arial" w:hAnsi="Arial" w:cs="Arial"/>
          <w:sz w:val="24"/>
          <w:szCs w:val="24"/>
        </w:rPr>
        <w:t xml:space="preserve"> In this manner the appellant attempted to show the balance of equities were in its favour for the purpose of the stay application.</w:t>
      </w:r>
    </w:p>
    <w:p w:rsidR="000E46F5" w:rsidRDefault="000E46F5" w:rsidP="000E46F5">
      <w:pPr>
        <w:pStyle w:val="ListParagraph"/>
        <w:rPr>
          <w:rFonts w:ascii="Arial" w:hAnsi="Arial" w:cs="Arial"/>
          <w:sz w:val="24"/>
          <w:szCs w:val="24"/>
        </w:rPr>
      </w:pPr>
    </w:p>
    <w:p w:rsidR="000E46F5" w:rsidRDefault="000E46F5" w:rsidP="00E8647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questions of the alleged ‘precarious financial position’ of the respondent did feature in the court </w:t>
      </w:r>
      <w:r w:rsidRPr="000E46F5">
        <w:rPr>
          <w:rFonts w:ascii="Arial" w:hAnsi="Arial" w:cs="Arial"/>
          <w:i/>
          <w:sz w:val="24"/>
          <w:szCs w:val="24"/>
        </w:rPr>
        <w:t>a quo</w:t>
      </w:r>
      <w:r>
        <w:rPr>
          <w:rFonts w:ascii="Arial" w:hAnsi="Arial" w:cs="Arial"/>
          <w:sz w:val="24"/>
          <w:szCs w:val="24"/>
        </w:rPr>
        <w:t xml:space="preserve"> but in the cont</w:t>
      </w:r>
      <w:r w:rsidR="00314EFE">
        <w:rPr>
          <w:rFonts w:ascii="Arial" w:hAnsi="Arial" w:cs="Arial"/>
          <w:sz w:val="24"/>
          <w:szCs w:val="24"/>
        </w:rPr>
        <w:t>ex</w:t>
      </w:r>
      <w:r>
        <w:rPr>
          <w:rFonts w:ascii="Arial" w:hAnsi="Arial" w:cs="Arial"/>
          <w:sz w:val="24"/>
          <w:szCs w:val="24"/>
        </w:rPr>
        <w:t xml:space="preserve">t of whether the court should order specific performance, </w:t>
      </w:r>
      <w:proofErr w:type="spellStart"/>
      <w:r>
        <w:rPr>
          <w:rFonts w:ascii="Arial" w:hAnsi="Arial" w:cs="Arial"/>
          <w:sz w:val="24"/>
          <w:szCs w:val="24"/>
        </w:rPr>
        <w:t>ie</w:t>
      </w:r>
      <w:proofErr w:type="spellEnd"/>
      <w:r>
        <w:rPr>
          <w:rFonts w:ascii="Arial" w:hAnsi="Arial" w:cs="Arial"/>
          <w:sz w:val="24"/>
          <w:szCs w:val="24"/>
        </w:rPr>
        <w:t xml:space="preserve"> payment of the amount determined by the adjudicator. </w:t>
      </w:r>
      <w:r w:rsidR="00D413D3">
        <w:rPr>
          <w:rFonts w:ascii="Arial" w:hAnsi="Arial" w:cs="Arial"/>
          <w:sz w:val="24"/>
          <w:szCs w:val="24"/>
        </w:rPr>
        <w:t xml:space="preserve">As pointed out by the court </w:t>
      </w:r>
      <w:r w:rsidR="00D413D3" w:rsidRPr="00D413D3">
        <w:rPr>
          <w:rFonts w:ascii="Arial" w:hAnsi="Arial" w:cs="Arial"/>
          <w:i/>
          <w:sz w:val="24"/>
          <w:szCs w:val="24"/>
        </w:rPr>
        <w:t>a quo</w:t>
      </w:r>
      <w:r w:rsidR="00D413D3">
        <w:rPr>
          <w:rFonts w:ascii="Arial" w:hAnsi="Arial" w:cs="Arial"/>
          <w:sz w:val="24"/>
          <w:szCs w:val="24"/>
        </w:rPr>
        <w:t xml:space="preserve"> appellant’s hardship to comply with the adjudicator’</w:t>
      </w:r>
      <w:r w:rsidR="007C0100">
        <w:rPr>
          <w:rFonts w:ascii="Arial" w:hAnsi="Arial" w:cs="Arial"/>
          <w:sz w:val="24"/>
          <w:szCs w:val="24"/>
        </w:rPr>
        <w:t>s decision was not that</w:t>
      </w:r>
      <w:r w:rsidR="00D413D3">
        <w:rPr>
          <w:rFonts w:ascii="Arial" w:hAnsi="Arial" w:cs="Arial"/>
          <w:sz w:val="24"/>
          <w:szCs w:val="24"/>
        </w:rPr>
        <w:t xml:space="preserve"> ‘I do not </w:t>
      </w:r>
      <w:r w:rsidR="007C0100">
        <w:rPr>
          <w:rFonts w:ascii="Arial" w:hAnsi="Arial" w:cs="Arial"/>
          <w:sz w:val="24"/>
          <w:szCs w:val="24"/>
        </w:rPr>
        <w:t xml:space="preserve">have funds to effect payment’ and that the ‘undue hardship is envisaged to be suffered some time in the future . . . . </w:t>
      </w:r>
      <w:proofErr w:type="gramStart"/>
      <w:r w:rsidR="007C0100">
        <w:rPr>
          <w:rFonts w:ascii="Arial" w:hAnsi="Arial" w:cs="Arial"/>
          <w:sz w:val="24"/>
          <w:szCs w:val="24"/>
        </w:rPr>
        <w:t>in</w:t>
      </w:r>
      <w:proofErr w:type="gramEnd"/>
      <w:r w:rsidR="007C0100">
        <w:rPr>
          <w:rFonts w:ascii="Arial" w:hAnsi="Arial" w:cs="Arial"/>
          <w:sz w:val="24"/>
          <w:szCs w:val="24"/>
        </w:rPr>
        <w:t xml:space="preserve"> that (respondent) would not be able to reimburse the (appellant) due to respondent’s current negative liquidity position’. It is this stance </w:t>
      </w:r>
      <w:r w:rsidR="00AA0CAA">
        <w:rPr>
          <w:rFonts w:ascii="Arial" w:hAnsi="Arial" w:cs="Arial"/>
          <w:sz w:val="24"/>
          <w:szCs w:val="24"/>
        </w:rPr>
        <w:t xml:space="preserve">which had been </w:t>
      </w:r>
      <w:r w:rsidR="007C0100">
        <w:rPr>
          <w:rFonts w:ascii="Arial" w:hAnsi="Arial" w:cs="Arial"/>
          <w:sz w:val="24"/>
          <w:szCs w:val="24"/>
        </w:rPr>
        <w:t xml:space="preserve">adopted by the applicant in the court </w:t>
      </w:r>
      <w:r w:rsidR="007C0100" w:rsidRPr="00AA0CAA">
        <w:rPr>
          <w:rFonts w:ascii="Arial" w:hAnsi="Arial" w:cs="Arial"/>
          <w:i/>
          <w:sz w:val="24"/>
          <w:szCs w:val="24"/>
        </w:rPr>
        <w:t>a quo</w:t>
      </w:r>
      <w:r w:rsidR="007C0100">
        <w:rPr>
          <w:rFonts w:ascii="Arial" w:hAnsi="Arial" w:cs="Arial"/>
          <w:sz w:val="24"/>
          <w:szCs w:val="24"/>
        </w:rPr>
        <w:t xml:space="preserve"> which probably led to the tender that the money could be paid into a trust account pending the arbitration.</w:t>
      </w:r>
    </w:p>
    <w:p w:rsidR="007C0100" w:rsidRDefault="007C0100" w:rsidP="007C0100">
      <w:pPr>
        <w:pStyle w:val="ListParagraph"/>
        <w:rPr>
          <w:rFonts w:ascii="Arial" w:hAnsi="Arial" w:cs="Arial"/>
          <w:sz w:val="24"/>
          <w:szCs w:val="24"/>
        </w:rPr>
      </w:pPr>
    </w:p>
    <w:p w:rsidR="007C0100" w:rsidRDefault="007C0100" w:rsidP="00E8647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Once it is accepted that the appellant’s position</w:t>
      </w:r>
      <w:r w:rsidR="00AA0CAA">
        <w:rPr>
          <w:rFonts w:ascii="Arial" w:hAnsi="Arial" w:cs="Arial"/>
          <w:sz w:val="24"/>
          <w:szCs w:val="24"/>
        </w:rPr>
        <w:t xml:space="preserve"> had</w:t>
      </w:r>
      <w:r>
        <w:rPr>
          <w:rFonts w:ascii="Arial" w:hAnsi="Arial" w:cs="Arial"/>
          <w:sz w:val="24"/>
          <w:szCs w:val="24"/>
        </w:rPr>
        <w:t xml:space="preserve"> never </w:t>
      </w:r>
      <w:r w:rsidR="00AA0CAA">
        <w:rPr>
          <w:rFonts w:ascii="Arial" w:hAnsi="Arial" w:cs="Arial"/>
          <w:sz w:val="24"/>
          <w:szCs w:val="24"/>
        </w:rPr>
        <w:t>been</w:t>
      </w:r>
      <w:r>
        <w:rPr>
          <w:rFonts w:ascii="Arial" w:hAnsi="Arial" w:cs="Arial"/>
          <w:sz w:val="24"/>
          <w:szCs w:val="24"/>
        </w:rPr>
        <w:t xml:space="preserve"> that it simply </w:t>
      </w:r>
      <w:r w:rsidR="00FE5384">
        <w:rPr>
          <w:rFonts w:ascii="Arial" w:hAnsi="Arial" w:cs="Arial"/>
          <w:sz w:val="24"/>
          <w:szCs w:val="24"/>
        </w:rPr>
        <w:t xml:space="preserve">was not in a position to pay the amount determined by the adjudicator, but that it would mean that the money would have to be raised at great cost and that they feared if they </w:t>
      </w:r>
      <w:r w:rsidR="00314EFE">
        <w:rPr>
          <w:rFonts w:ascii="Arial" w:hAnsi="Arial" w:cs="Arial"/>
          <w:sz w:val="24"/>
          <w:szCs w:val="24"/>
        </w:rPr>
        <w:t>were successful</w:t>
      </w:r>
      <w:r w:rsidR="00FE5384">
        <w:rPr>
          <w:rFonts w:ascii="Arial" w:hAnsi="Arial" w:cs="Arial"/>
          <w:sz w:val="24"/>
          <w:szCs w:val="24"/>
        </w:rPr>
        <w:t xml:space="preserve"> in arbitration</w:t>
      </w:r>
      <w:r w:rsidR="00AA0CAA">
        <w:rPr>
          <w:rFonts w:ascii="Arial" w:hAnsi="Arial" w:cs="Arial"/>
          <w:sz w:val="24"/>
          <w:szCs w:val="24"/>
        </w:rPr>
        <w:t>,</w:t>
      </w:r>
      <w:r w:rsidR="00FE5384">
        <w:rPr>
          <w:rFonts w:ascii="Arial" w:hAnsi="Arial" w:cs="Arial"/>
          <w:sz w:val="24"/>
          <w:szCs w:val="24"/>
        </w:rPr>
        <w:t xml:space="preserve"> the respondent would not be able to pay it (or some of it) back then a vital building block in respect of both propositions </w:t>
      </w:r>
      <w:r w:rsidR="00F75AC5">
        <w:rPr>
          <w:rFonts w:ascii="Arial" w:hAnsi="Arial" w:cs="Arial"/>
          <w:sz w:val="24"/>
          <w:szCs w:val="24"/>
        </w:rPr>
        <w:t>advanced</w:t>
      </w:r>
      <w:r w:rsidR="00314EFE">
        <w:rPr>
          <w:rFonts w:ascii="Arial" w:hAnsi="Arial" w:cs="Arial"/>
          <w:sz w:val="24"/>
          <w:szCs w:val="24"/>
        </w:rPr>
        <w:t xml:space="preserve"> </w:t>
      </w:r>
      <w:r w:rsidR="00FE5384">
        <w:rPr>
          <w:rFonts w:ascii="Arial" w:hAnsi="Arial" w:cs="Arial"/>
          <w:sz w:val="24"/>
          <w:szCs w:val="24"/>
        </w:rPr>
        <w:t xml:space="preserve">on appeal is missing and both propositions must fail. </w:t>
      </w:r>
    </w:p>
    <w:p w:rsidR="00FE5384" w:rsidRDefault="00FE5384" w:rsidP="00FE5384">
      <w:pPr>
        <w:pStyle w:val="ListParagraph"/>
        <w:rPr>
          <w:rFonts w:ascii="Arial" w:hAnsi="Arial" w:cs="Arial"/>
          <w:sz w:val="24"/>
          <w:szCs w:val="24"/>
        </w:rPr>
      </w:pPr>
    </w:p>
    <w:p w:rsidR="00FE5384" w:rsidRDefault="00FE5384" w:rsidP="00E8647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first proposition relating to the assumption </w:t>
      </w:r>
      <w:r w:rsidR="00F75AC5">
        <w:rPr>
          <w:rFonts w:ascii="Arial" w:hAnsi="Arial" w:cs="Arial"/>
          <w:sz w:val="24"/>
          <w:szCs w:val="24"/>
        </w:rPr>
        <w:t>by</w:t>
      </w:r>
      <w:r>
        <w:rPr>
          <w:rFonts w:ascii="Arial" w:hAnsi="Arial" w:cs="Arial"/>
          <w:sz w:val="24"/>
          <w:szCs w:val="24"/>
        </w:rPr>
        <w:t xml:space="preserve"> the court of jurisdiction despite the arbitration clause fails as this lack of resources is at the centre of the proposition being the sole reason why this court must assume jurisdiction. It needs to be mentioned in passing that this was also not the case made out on the papers or in the court </w:t>
      </w:r>
      <w:r w:rsidRPr="003207CE">
        <w:rPr>
          <w:rFonts w:ascii="Arial" w:hAnsi="Arial" w:cs="Arial"/>
          <w:i/>
          <w:sz w:val="24"/>
          <w:szCs w:val="24"/>
        </w:rPr>
        <w:t>a quo</w:t>
      </w:r>
      <w:r>
        <w:rPr>
          <w:rFonts w:ascii="Arial" w:hAnsi="Arial" w:cs="Arial"/>
          <w:sz w:val="24"/>
          <w:szCs w:val="24"/>
        </w:rPr>
        <w:t>. But for the fact that this supposed lack of finances had to be considered in the context of the second proposition on behalf of the appellant</w:t>
      </w:r>
      <w:r w:rsidR="003207CE">
        <w:rPr>
          <w:rFonts w:ascii="Arial" w:hAnsi="Arial" w:cs="Arial"/>
          <w:sz w:val="24"/>
          <w:szCs w:val="24"/>
        </w:rPr>
        <w:t xml:space="preserve"> this assumption of jurisdiction stood to be rejected solely on the basis that it was never the case for the appellant. </w:t>
      </w:r>
    </w:p>
    <w:p w:rsidR="003207CE" w:rsidRDefault="003207CE" w:rsidP="003207CE">
      <w:pPr>
        <w:pStyle w:val="ListParagraph"/>
        <w:rPr>
          <w:rFonts w:ascii="Arial" w:hAnsi="Arial" w:cs="Arial"/>
          <w:sz w:val="24"/>
          <w:szCs w:val="24"/>
        </w:rPr>
      </w:pPr>
    </w:p>
    <w:p w:rsidR="00314EFE" w:rsidRDefault="003207CE" w:rsidP="00E8647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far as the second proposition is concerned it is conceded that all the issues raised to indicate that the adjudicator came to the wrong conclusion can be addressed and set aside or altered on arbitration. However, </w:t>
      </w:r>
      <w:r w:rsidR="00314EFE">
        <w:rPr>
          <w:rFonts w:ascii="Arial" w:hAnsi="Arial" w:cs="Arial"/>
          <w:sz w:val="24"/>
          <w:szCs w:val="24"/>
        </w:rPr>
        <w:t xml:space="preserve">it is submitted </w:t>
      </w:r>
      <w:r w:rsidR="00F75AC5">
        <w:rPr>
          <w:rFonts w:ascii="Arial" w:hAnsi="Arial" w:cs="Arial"/>
          <w:sz w:val="24"/>
          <w:szCs w:val="24"/>
        </w:rPr>
        <w:t>the</w:t>
      </w:r>
      <w:r>
        <w:rPr>
          <w:rFonts w:ascii="Arial" w:hAnsi="Arial" w:cs="Arial"/>
          <w:sz w:val="24"/>
          <w:szCs w:val="24"/>
        </w:rPr>
        <w:t xml:space="preserve"> arbitration cannot proceed because of the appellant’s inability to, in the interim, make the payment determined by the adjudicator </w:t>
      </w:r>
      <w:r w:rsidR="00F75AC5">
        <w:rPr>
          <w:rFonts w:ascii="Arial" w:hAnsi="Arial" w:cs="Arial"/>
          <w:sz w:val="24"/>
          <w:szCs w:val="24"/>
        </w:rPr>
        <w:t>and a</w:t>
      </w:r>
      <w:r>
        <w:rPr>
          <w:rFonts w:ascii="Arial" w:hAnsi="Arial" w:cs="Arial"/>
          <w:sz w:val="24"/>
          <w:szCs w:val="24"/>
        </w:rPr>
        <w:t xml:space="preserve"> court may </w:t>
      </w:r>
      <w:r w:rsidR="00F75AC5">
        <w:rPr>
          <w:rFonts w:ascii="Arial" w:hAnsi="Arial" w:cs="Arial"/>
          <w:sz w:val="24"/>
          <w:szCs w:val="24"/>
        </w:rPr>
        <w:t xml:space="preserve">and should </w:t>
      </w:r>
      <w:r>
        <w:rPr>
          <w:rFonts w:ascii="Arial" w:hAnsi="Arial" w:cs="Arial"/>
          <w:sz w:val="24"/>
          <w:szCs w:val="24"/>
        </w:rPr>
        <w:t xml:space="preserve">set aside the decision of the adjudicator </w:t>
      </w:r>
      <w:r w:rsidR="00086647">
        <w:rPr>
          <w:rFonts w:ascii="Arial" w:hAnsi="Arial" w:cs="Arial"/>
          <w:sz w:val="24"/>
          <w:szCs w:val="24"/>
        </w:rPr>
        <w:t>at this interim juncture of the dispute resolution process based on</w:t>
      </w:r>
      <w:r w:rsidR="00314EFE">
        <w:rPr>
          <w:rFonts w:ascii="Arial" w:hAnsi="Arial" w:cs="Arial"/>
          <w:sz w:val="24"/>
          <w:szCs w:val="24"/>
        </w:rPr>
        <w:t xml:space="preserve"> the</w:t>
      </w:r>
      <w:r w:rsidR="00086647">
        <w:rPr>
          <w:rFonts w:ascii="Arial" w:hAnsi="Arial" w:cs="Arial"/>
          <w:sz w:val="24"/>
          <w:szCs w:val="24"/>
        </w:rPr>
        <w:t xml:space="preserve"> test proposed by the appellant. </w:t>
      </w:r>
      <w:r w:rsidR="000B5157">
        <w:rPr>
          <w:rFonts w:ascii="Arial" w:hAnsi="Arial" w:cs="Arial"/>
          <w:sz w:val="24"/>
          <w:szCs w:val="24"/>
        </w:rPr>
        <w:t>This is so because the inability to pay would lead to ‘obvious unfairness’ or be ‘manifestly unjust’.</w:t>
      </w:r>
    </w:p>
    <w:p w:rsidR="00314EFE" w:rsidRDefault="00314EFE" w:rsidP="00314EFE">
      <w:pPr>
        <w:pStyle w:val="ListParagraph"/>
        <w:rPr>
          <w:rFonts w:ascii="Arial" w:hAnsi="Arial" w:cs="Arial"/>
          <w:sz w:val="24"/>
          <w:szCs w:val="24"/>
        </w:rPr>
      </w:pPr>
    </w:p>
    <w:p w:rsidR="00A329A3" w:rsidRDefault="00086647" w:rsidP="00E8647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Once the alleged financial </w:t>
      </w:r>
      <w:r w:rsidR="00314EFE">
        <w:rPr>
          <w:rFonts w:ascii="Arial" w:hAnsi="Arial" w:cs="Arial"/>
          <w:sz w:val="24"/>
          <w:szCs w:val="24"/>
        </w:rPr>
        <w:t>im</w:t>
      </w:r>
      <w:r>
        <w:rPr>
          <w:rFonts w:ascii="Arial" w:hAnsi="Arial" w:cs="Arial"/>
          <w:sz w:val="24"/>
          <w:szCs w:val="24"/>
        </w:rPr>
        <w:t>possibility falls away I can see no reason why a court will not enforce the contract</w:t>
      </w:r>
      <w:r w:rsidR="00314EFE">
        <w:rPr>
          <w:rFonts w:ascii="Arial" w:hAnsi="Arial" w:cs="Arial"/>
          <w:sz w:val="24"/>
          <w:szCs w:val="24"/>
        </w:rPr>
        <w:t>ual</w:t>
      </w:r>
      <w:r>
        <w:rPr>
          <w:rFonts w:ascii="Arial" w:hAnsi="Arial" w:cs="Arial"/>
          <w:sz w:val="24"/>
          <w:szCs w:val="24"/>
        </w:rPr>
        <w:t xml:space="preserve"> provisions of the contract between the parties. This will</w:t>
      </w:r>
      <w:r w:rsidR="00314EFE">
        <w:rPr>
          <w:rFonts w:ascii="Arial" w:hAnsi="Arial" w:cs="Arial"/>
          <w:sz w:val="24"/>
          <w:szCs w:val="24"/>
        </w:rPr>
        <w:t>,</w:t>
      </w:r>
      <w:r>
        <w:rPr>
          <w:rFonts w:ascii="Arial" w:hAnsi="Arial" w:cs="Arial"/>
          <w:sz w:val="24"/>
          <w:szCs w:val="24"/>
        </w:rPr>
        <w:t xml:space="preserve"> after all, be in line with what </w:t>
      </w:r>
      <w:r w:rsidR="00314EFE">
        <w:rPr>
          <w:rFonts w:ascii="Arial" w:hAnsi="Arial" w:cs="Arial"/>
          <w:sz w:val="24"/>
          <w:szCs w:val="24"/>
        </w:rPr>
        <w:t>the parties</w:t>
      </w:r>
      <w:r>
        <w:rPr>
          <w:rFonts w:ascii="Arial" w:hAnsi="Arial" w:cs="Arial"/>
          <w:sz w:val="24"/>
          <w:szCs w:val="24"/>
        </w:rPr>
        <w:t xml:space="preserve"> agreed</w:t>
      </w:r>
      <w:r w:rsidR="00314EFE">
        <w:rPr>
          <w:rFonts w:ascii="Arial" w:hAnsi="Arial" w:cs="Arial"/>
          <w:sz w:val="24"/>
          <w:szCs w:val="24"/>
        </w:rPr>
        <w:t xml:space="preserve"> upon</w:t>
      </w:r>
      <w:r>
        <w:rPr>
          <w:rFonts w:ascii="Arial" w:hAnsi="Arial" w:cs="Arial"/>
          <w:sz w:val="24"/>
          <w:szCs w:val="24"/>
        </w:rPr>
        <w:t xml:space="preserve">. In the present matter this is in fact what appellant initially intended to do when a notice of dissatisfaction was filed and even a notice of arbitration together with particulars of claim served on the lawyers of the respondent. Once it is conceded that the relief </w:t>
      </w:r>
      <w:r w:rsidR="00360952">
        <w:rPr>
          <w:rFonts w:ascii="Arial" w:hAnsi="Arial" w:cs="Arial"/>
          <w:sz w:val="24"/>
          <w:szCs w:val="24"/>
        </w:rPr>
        <w:t xml:space="preserve">sought from </w:t>
      </w:r>
      <w:r w:rsidR="00F75AC5">
        <w:rPr>
          <w:rFonts w:ascii="Arial" w:hAnsi="Arial" w:cs="Arial"/>
          <w:sz w:val="24"/>
          <w:szCs w:val="24"/>
        </w:rPr>
        <w:t xml:space="preserve">the </w:t>
      </w:r>
      <w:r w:rsidR="00360952">
        <w:rPr>
          <w:rFonts w:ascii="Arial" w:hAnsi="Arial" w:cs="Arial"/>
          <w:sz w:val="24"/>
          <w:szCs w:val="24"/>
        </w:rPr>
        <w:t xml:space="preserve">court can be sought in the arbitration that should normally, in my view, be the end </w:t>
      </w:r>
      <w:r w:rsidR="00360952" w:rsidRPr="00A329A3">
        <w:rPr>
          <w:rFonts w:ascii="Arial" w:hAnsi="Arial" w:cs="Arial"/>
          <w:sz w:val="24"/>
          <w:szCs w:val="24"/>
        </w:rPr>
        <w:t xml:space="preserve">of the matter </w:t>
      </w:r>
      <w:r w:rsidR="00314EFE" w:rsidRPr="00A329A3">
        <w:rPr>
          <w:rFonts w:ascii="Arial" w:hAnsi="Arial" w:cs="Arial"/>
          <w:sz w:val="24"/>
          <w:szCs w:val="24"/>
        </w:rPr>
        <w:t xml:space="preserve">and it </w:t>
      </w:r>
      <w:r w:rsidR="00360952" w:rsidRPr="00A329A3">
        <w:rPr>
          <w:rFonts w:ascii="Arial" w:hAnsi="Arial" w:cs="Arial"/>
          <w:sz w:val="24"/>
          <w:szCs w:val="24"/>
        </w:rPr>
        <w:t>should proceed on arbitration.</w:t>
      </w:r>
      <w:r w:rsidR="00A329A3">
        <w:rPr>
          <w:rStyle w:val="FootnoteReference"/>
          <w:rFonts w:ascii="Arial" w:hAnsi="Arial" w:cs="Arial"/>
          <w:sz w:val="24"/>
          <w:szCs w:val="24"/>
        </w:rPr>
        <w:footnoteReference w:id="5"/>
      </w:r>
      <w:r w:rsidR="00360952" w:rsidRPr="00A329A3">
        <w:rPr>
          <w:rFonts w:ascii="Arial" w:hAnsi="Arial" w:cs="Arial"/>
          <w:sz w:val="24"/>
          <w:szCs w:val="24"/>
        </w:rPr>
        <w:t xml:space="preserve"> </w:t>
      </w:r>
      <w:r w:rsidR="00A329A3">
        <w:rPr>
          <w:rFonts w:ascii="Arial" w:hAnsi="Arial" w:cs="Arial"/>
          <w:sz w:val="24"/>
          <w:szCs w:val="24"/>
        </w:rPr>
        <w:t xml:space="preserve">I should mention in passing that the initiation of the arbitration proceedings by appellant </w:t>
      </w:r>
      <w:r w:rsidR="000B5157">
        <w:rPr>
          <w:rFonts w:ascii="Arial" w:hAnsi="Arial" w:cs="Arial"/>
          <w:sz w:val="24"/>
          <w:szCs w:val="24"/>
        </w:rPr>
        <w:t>may</w:t>
      </w:r>
      <w:r w:rsidR="00A329A3">
        <w:rPr>
          <w:rFonts w:ascii="Arial" w:hAnsi="Arial" w:cs="Arial"/>
          <w:sz w:val="24"/>
          <w:szCs w:val="24"/>
        </w:rPr>
        <w:t xml:space="preserve"> also bar him</w:t>
      </w:r>
      <w:r w:rsidR="00D327E2">
        <w:rPr>
          <w:rFonts w:ascii="Arial" w:hAnsi="Arial" w:cs="Arial"/>
          <w:sz w:val="24"/>
          <w:szCs w:val="24"/>
        </w:rPr>
        <w:t xml:space="preserve"> from </w:t>
      </w:r>
      <w:r w:rsidR="00F75AC5">
        <w:rPr>
          <w:rFonts w:ascii="Arial" w:hAnsi="Arial" w:cs="Arial"/>
          <w:sz w:val="24"/>
          <w:szCs w:val="24"/>
        </w:rPr>
        <w:t>seeking</w:t>
      </w:r>
      <w:r w:rsidR="00D327E2">
        <w:rPr>
          <w:rFonts w:ascii="Arial" w:hAnsi="Arial" w:cs="Arial"/>
          <w:sz w:val="24"/>
          <w:szCs w:val="24"/>
        </w:rPr>
        <w:t xml:space="preserve"> relief from a court as i</w:t>
      </w:r>
      <w:r w:rsidR="00F75AC5">
        <w:rPr>
          <w:rFonts w:ascii="Arial" w:hAnsi="Arial" w:cs="Arial"/>
          <w:sz w:val="24"/>
          <w:szCs w:val="24"/>
        </w:rPr>
        <w:t>t</w:t>
      </w:r>
      <w:r w:rsidR="00D327E2">
        <w:rPr>
          <w:rFonts w:ascii="Arial" w:hAnsi="Arial" w:cs="Arial"/>
          <w:sz w:val="24"/>
          <w:szCs w:val="24"/>
        </w:rPr>
        <w:t xml:space="preserve"> evidence</w:t>
      </w:r>
      <w:r w:rsidR="00F75AC5">
        <w:rPr>
          <w:rFonts w:ascii="Arial" w:hAnsi="Arial" w:cs="Arial"/>
          <w:sz w:val="24"/>
          <w:szCs w:val="24"/>
        </w:rPr>
        <w:t>s</w:t>
      </w:r>
      <w:r w:rsidR="00D327E2">
        <w:rPr>
          <w:rFonts w:ascii="Arial" w:hAnsi="Arial" w:cs="Arial"/>
          <w:sz w:val="24"/>
          <w:szCs w:val="24"/>
        </w:rPr>
        <w:t xml:space="preserve"> an </w:t>
      </w:r>
      <w:r w:rsidR="00F75AC5">
        <w:rPr>
          <w:rFonts w:ascii="Arial" w:hAnsi="Arial" w:cs="Arial"/>
          <w:sz w:val="24"/>
          <w:szCs w:val="24"/>
        </w:rPr>
        <w:t xml:space="preserve">election </w:t>
      </w:r>
      <w:r w:rsidR="00D327E2">
        <w:rPr>
          <w:rFonts w:ascii="Arial" w:hAnsi="Arial" w:cs="Arial"/>
          <w:sz w:val="24"/>
          <w:szCs w:val="24"/>
        </w:rPr>
        <w:t xml:space="preserve">which </w:t>
      </w:r>
      <w:r w:rsidR="00F75AC5">
        <w:rPr>
          <w:rFonts w:ascii="Arial" w:hAnsi="Arial" w:cs="Arial"/>
          <w:sz w:val="24"/>
          <w:szCs w:val="24"/>
        </w:rPr>
        <w:t xml:space="preserve">implicitly discounts </w:t>
      </w:r>
      <w:r w:rsidR="00D327E2">
        <w:rPr>
          <w:rFonts w:ascii="Arial" w:hAnsi="Arial" w:cs="Arial"/>
          <w:sz w:val="24"/>
          <w:szCs w:val="24"/>
        </w:rPr>
        <w:t xml:space="preserve">litigation as far as the </w:t>
      </w:r>
      <w:r w:rsidR="00F75AC5">
        <w:rPr>
          <w:rFonts w:ascii="Arial" w:hAnsi="Arial" w:cs="Arial"/>
          <w:sz w:val="24"/>
          <w:szCs w:val="24"/>
        </w:rPr>
        <w:t xml:space="preserve">dispute </w:t>
      </w:r>
      <w:r w:rsidR="000A64C1">
        <w:rPr>
          <w:rFonts w:ascii="Arial" w:hAnsi="Arial" w:cs="Arial"/>
          <w:sz w:val="24"/>
          <w:szCs w:val="24"/>
        </w:rPr>
        <w:t>is concerned.</w:t>
      </w:r>
      <w:r w:rsidR="000A64C1">
        <w:rPr>
          <w:rStyle w:val="FootnoteReference"/>
          <w:rFonts w:ascii="Arial" w:hAnsi="Arial" w:cs="Arial"/>
          <w:sz w:val="24"/>
          <w:szCs w:val="24"/>
        </w:rPr>
        <w:footnoteReference w:id="6"/>
      </w:r>
      <w:r w:rsidR="00D327E2">
        <w:rPr>
          <w:rFonts w:ascii="Arial" w:hAnsi="Arial" w:cs="Arial"/>
          <w:sz w:val="24"/>
          <w:szCs w:val="24"/>
        </w:rPr>
        <w:t xml:space="preserve"> </w:t>
      </w:r>
    </w:p>
    <w:p w:rsidR="00A329A3" w:rsidRDefault="00A329A3" w:rsidP="00A329A3">
      <w:pPr>
        <w:pStyle w:val="ListParagraph"/>
        <w:rPr>
          <w:rFonts w:ascii="Arial" w:hAnsi="Arial" w:cs="Arial"/>
          <w:sz w:val="24"/>
          <w:szCs w:val="24"/>
        </w:rPr>
      </w:pPr>
    </w:p>
    <w:p w:rsidR="003207CE" w:rsidRDefault="00360952" w:rsidP="00E8647F">
      <w:pPr>
        <w:pStyle w:val="NoSpacing"/>
        <w:numPr>
          <w:ilvl w:val="0"/>
          <w:numId w:val="4"/>
        </w:numPr>
        <w:spacing w:line="480" w:lineRule="auto"/>
        <w:ind w:left="0" w:firstLine="0"/>
        <w:jc w:val="both"/>
        <w:rPr>
          <w:rFonts w:ascii="Arial" w:hAnsi="Arial" w:cs="Arial"/>
          <w:sz w:val="24"/>
          <w:szCs w:val="24"/>
        </w:rPr>
      </w:pPr>
      <w:r w:rsidRPr="00A329A3">
        <w:rPr>
          <w:rFonts w:ascii="Arial" w:hAnsi="Arial" w:cs="Arial"/>
          <w:sz w:val="24"/>
          <w:szCs w:val="24"/>
        </w:rPr>
        <w:t xml:space="preserve">Because of the conclusion </w:t>
      </w:r>
      <w:r w:rsidR="00F75AC5">
        <w:rPr>
          <w:rFonts w:ascii="Arial" w:hAnsi="Arial" w:cs="Arial"/>
          <w:sz w:val="24"/>
          <w:szCs w:val="24"/>
        </w:rPr>
        <w:t>reached</w:t>
      </w:r>
      <w:r w:rsidR="00A329A3">
        <w:rPr>
          <w:rFonts w:ascii="Arial" w:hAnsi="Arial" w:cs="Arial"/>
          <w:sz w:val="24"/>
          <w:szCs w:val="24"/>
        </w:rPr>
        <w:t xml:space="preserve"> above</w:t>
      </w:r>
      <w:r w:rsidR="00AA0CAA">
        <w:rPr>
          <w:rFonts w:ascii="Arial" w:hAnsi="Arial" w:cs="Arial"/>
          <w:sz w:val="24"/>
          <w:szCs w:val="24"/>
        </w:rPr>
        <w:t>,</w:t>
      </w:r>
      <w:r w:rsidR="00A329A3">
        <w:rPr>
          <w:rFonts w:ascii="Arial" w:hAnsi="Arial" w:cs="Arial"/>
          <w:sz w:val="24"/>
          <w:szCs w:val="24"/>
        </w:rPr>
        <w:t xml:space="preserve"> it</w:t>
      </w:r>
      <w:r>
        <w:rPr>
          <w:rFonts w:ascii="Arial" w:hAnsi="Arial" w:cs="Arial"/>
          <w:sz w:val="24"/>
          <w:szCs w:val="24"/>
        </w:rPr>
        <w:t xml:space="preserve"> is not necessary to deal with </w:t>
      </w:r>
      <w:r w:rsidR="00F75AC5">
        <w:rPr>
          <w:rFonts w:ascii="Arial" w:hAnsi="Arial" w:cs="Arial"/>
          <w:sz w:val="24"/>
          <w:szCs w:val="24"/>
        </w:rPr>
        <w:t>the</w:t>
      </w:r>
      <w:r>
        <w:rPr>
          <w:rFonts w:ascii="Arial" w:hAnsi="Arial" w:cs="Arial"/>
          <w:sz w:val="24"/>
          <w:szCs w:val="24"/>
        </w:rPr>
        <w:t xml:space="preserve"> nature of </w:t>
      </w:r>
      <w:r w:rsidR="00A329A3">
        <w:rPr>
          <w:rFonts w:ascii="Arial" w:hAnsi="Arial" w:cs="Arial"/>
          <w:sz w:val="24"/>
          <w:szCs w:val="24"/>
        </w:rPr>
        <w:t xml:space="preserve">the </w:t>
      </w:r>
      <w:r>
        <w:rPr>
          <w:rFonts w:ascii="Arial" w:hAnsi="Arial" w:cs="Arial"/>
          <w:sz w:val="24"/>
          <w:szCs w:val="24"/>
        </w:rPr>
        <w:t xml:space="preserve">adjudicator’s decision and in what circumstances </w:t>
      </w:r>
      <w:r w:rsidR="00A329A3">
        <w:rPr>
          <w:rFonts w:ascii="Arial" w:hAnsi="Arial" w:cs="Arial"/>
          <w:sz w:val="24"/>
          <w:szCs w:val="24"/>
        </w:rPr>
        <w:t>it</w:t>
      </w:r>
      <w:r>
        <w:rPr>
          <w:rFonts w:ascii="Arial" w:hAnsi="Arial" w:cs="Arial"/>
          <w:sz w:val="24"/>
          <w:szCs w:val="24"/>
        </w:rPr>
        <w:t xml:space="preserve"> can be attacked in </w:t>
      </w:r>
      <w:r w:rsidR="00A329A3">
        <w:rPr>
          <w:rFonts w:ascii="Arial" w:hAnsi="Arial" w:cs="Arial"/>
          <w:sz w:val="24"/>
          <w:szCs w:val="24"/>
        </w:rPr>
        <w:lastRenderedPageBreak/>
        <w:t xml:space="preserve">a </w:t>
      </w:r>
      <w:r>
        <w:rPr>
          <w:rFonts w:ascii="Arial" w:hAnsi="Arial" w:cs="Arial"/>
          <w:sz w:val="24"/>
          <w:szCs w:val="24"/>
        </w:rPr>
        <w:t>court of law. It simply needs to be stated that the</w:t>
      </w:r>
      <w:r w:rsidR="00A329A3">
        <w:rPr>
          <w:rFonts w:ascii="Arial" w:hAnsi="Arial" w:cs="Arial"/>
          <w:sz w:val="24"/>
          <w:szCs w:val="24"/>
        </w:rPr>
        <w:t xml:space="preserve"> decision </w:t>
      </w:r>
      <w:r>
        <w:rPr>
          <w:rFonts w:ascii="Arial" w:hAnsi="Arial" w:cs="Arial"/>
          <w:sz w:val="24"/>
          <w:szCs w:val="24"/>
        </w:rPr>
        <w:t>differ</w:t>
      </w:r>
      <w:r w:rsidR="00A329A3">
        <w:rPr>
          <w:rFonts w:ascii="Arial" w:hAnsi="Arial" w:cs="Arial"/>
          <w:sz w:val="24"/>
          <w:szCs w:val="24"/>
        </w:rPr>
        <w:t>s</w:t>
      </w:r>
      <w:r>
        <w:rPr>
          <w:rFonts w:ascii="Arial" w:hAnsi="Arial" w:cs="Arial"/>
          <w:sz w:val="24"/>
          <w:szCs w:val="24"/>
        </w:rPr>
        <w:t xml:space="preserve"> from decisions of persons such as experts or valuators in that the decisions of such persons are usually final whereas those of adjudicator</w:t>
      </w:r>
      <w:r w:rsidR="00BC05BF">
        <w:rPr>
          <w:rFonts w:ascii="Arial" w:hAnsi="Arial" w:cs="Arial"/>
          <w:sz w:val="24"/>
          <w:szCs w:val="24"/>
        </w:rPr>
        <w:t>s</w:t>
      </w:r>
      <w:r>
        <w:rPr>
          <w:rFonts w:ascii="Arial" w:hAnsi="Arial" w:cs="Arial"/>
          <w:sz w:val="24"/>
          <w:szCs w:val="24"/>
        </w:rPr>
        <w:t xml:space="preserve"> are not. It is also not necessary to deal with the decision</w:t>
      </w:r>
      <w:r w:rsidR="00A329A3">
        <w:rPr>
          <w:rFonts w:ascii="Arial" w:hAnsi="Arial" w:cs="Arial"/>
          <w:sz w:val="24"/>
          <w:szCs w:val="24"/>
        </w:rPr>
        <w:t>s</w:t>
      </w:r>
      <w:r>
        <w:rPr>
          <w:rFonts w:ascii="Arial" w:hAnsi="Arial" w:cs="Arial"/>
          <w:sz w:val="24"/>
          <w:szCs w:val="24"/>
        </w:rPr>
        <w:t xml:space="preserve"> of </w:t>
      </w:r>
      <w:r w:rsidR="00A329A3">
        <w:rPr>
          <w:rFonts w:ascii="Arial" w:hAnsi="Arial" w:cs="Arial"/>
          <w:sz w:val="24"/>
          <w:szCs w:val="24"/>
        </w:rPr>
        <w:t xml:space="preserve">the </w:t>
      </w:r>
      <w:r>
        <w:rPr>
          <w:rFonts w:ascii="Arial" w:hAnsi="Arial" w:cs="Arial"/>
          <w:sz w:val="24"/>
          <w:szCs w:val="24"/>
        </w:rPr>
        <w:t>adjudicators in respect whereof appellant is aggrieved.</w:t>
      </w:r>
    </w:p>
    <w:p w:rsidR="001663E1" w:rsidRDefault="001663E1" w:rsidP="001663E1">
      <w:pPr>
        <w:pStyle w:val="ListParagraph"/>
        <w:rPr>
          <w:rFonts w:ascii="Arial" w:hAnsi="Arial" w:cs="Arial"/>
          <w:sz w:val="24"/>
          <w:szCs w:val="24"/>
        </w:rPr>
      </w:pPr>
    </w:p>
    <w:p w:rsidR="001663E1" w:rsidRDefault="001663E1" w:rsidP="00E8647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short the decision of the adjudicator stands and must be enforced pending the arbitration. This includes, in the circumstances of this matter, accepting its validity pending the arbitration.</w:t>
      </w:r>
    </w:p>
    <w:p w:rsidR="00617ED2" w:rsidRDefault="00617ED2" w:rsidP="00617ED2">
      <w:pPr>
        <w:pStyle w:val="ListParagraph"/>
        <w:rPr>
          <w:rFonts w:ascii="Arial" w:hAnsi="Arial" w:cs="Arial"/>
          <w:sz w:val="24"/>
          <w:szCs w:val="24"/>
        </w:rPr>
      </w:pPr>
    </w:p>
    <w:p w:rsidR="00617ED2" w:rsidRPr="001563C1" w:rsidRDefault="00360952" w:rsidP="00E8647F">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the result the appeal is dismissed with the costs including the costs of two instructed and one instructing counsel.</w:t>
      </w:r>
    </w:p>
    <w:p w:rsidR="00286F17" w:rsidRDefault="00286F17" w:rsidP="00D47BAC">
      <w:pPr>
        <w:pStyle w:val="NoSpacing"/>
        <w:jc w:val="both"/>
        <w:rPr>
          <w:rFonts w:ascii="Arial" w:hAnsi="Arial" w:cs="Arial"/>
          <w:sz w:val="24"/>
          <w:szCs w:val="24"/>
        </w:rPr>
      </w:pPr>
    </w:p>
    <w:p w:rsidR="00D47BAC" w:rsidRDefault="00D47BAC" w:rsidP="00D47BAC">
      <w:pPr>
        <w:pStyle w:val="NoSpacing"/>
        <w:jc w:val="both"/>
        <w:rPr>
          <w:rFonts w:ascii="Arial" w:hAnsi="Arial" w:cs="Arial"/>
          <w:sz w:val="24"/>
          <w:szCs w:val="24"/>
        </w:rPr>
      </w:pPr>
    </w:p>
    <w:p w:rsidR="00D47BAC" w:rsidRPr="001563C1" w:rsidRDefault="00D47BAC" w:rsidP="00D47BAC">
      <w:pPr>
        <w:pStyle w:val="NoSpacing"/>
        <w:jc w:val="both"/>
        <w:rPr>
          <w:rFonts w:ascii="Arial" w:hAnsi="Arial" w:cs="Arial"/>
          <w:sz w:val="24"/>
          <w:szCs w:val="24"/>
        </w:rPr>
      </w:pPr>
    </w:p>
    <w:p w:rsidR="002E426A" w:rsidRDefault="002E426A" w:rsidP="00D47BAC">
      <w:pPr>
        <w:pStyle w:val="NoSpacing"/>
        <w:jc w:val="both"/>
        <w:rPr>
          <w:rFonts w:ascii="Arial" w:hAnsi="Arial" w:cs="Arial"/>
          <w:sz w:val="24"/>
          <w:szCs w:val="24"/>
        </w:rPr>
      </w:pPr>
    </w:p>
    <w:p w:rsidR="002E426A" w:rsidRPr="001563C1" w:rsidRDefault="002E426A" w:rsidP="00D47BAC">
      <w:pPr>
        <w:pStyle w:val="NoSpacing"/>
        <w:rPr>
          <w:rFonts w:ascii="Arial" w:hAnsi="Arial" w:cs="Arial"/>
          <w:b/>
          <w:sz w:val="24"/>
          <w:szCs w:val="24"/>
        </w:rPr>
      </w:pPr>
      <w:r w:rsidRPr="001563C1">
        <w:rPr>
          <w:rFonts w:ascii="Arial" w:hAnsi="Arial" w:cs="Arial"/>
          <w:b/>
          <w:sz w:val="24"/>
          <w:szCs w:val="24"/>
        </w:rPr>
        <w:t>___________________</w:t>
      </w:r>
    </w:p>
    <w:p w:rsidR="002E426A" w:rsidRPr="001563C1" w:rsidRDefault="003152F2" w:rsidP="00D47BAC">
      <w:pPr>
        <w:pStyle w:val="NoSpacing"/>
        <w:rPr>
          <w:rFonts w:ascii="Arial" w:hAnsi="Arial" w:cs="Arial"/>
          <w:b/>
          <w:sz w:val="24"/>
          <w:szCs w:val="24"/>
        </w:rPr>
      </w:pPr>
      <w:r w:rsidRPr="001563C1">
        <w:rPr>
          <w:rFonts w:ascii="Arial" w:hAnsi="Arial" w:cs="Arial"/>
          <w:b/>
          <w:sz w:val="24"/>
          <w:szCs w:val="24"/>
        </w:rPr>
        <w:t>FRANK</w:t>
      </w:r>
      <w:r w:rsidR="002E426A" w:rsidRPr="001563C1">
        <w:rPr>
          <w:rFonts w:ascii="Arial" w:hAnsi="Arial" w:cs="Arial"/>
          <w:b/>
          <w:sz w:val="24"/>
          <w:szCs w:val="24"/>
        </w:rPr>
        <w:t xml:space="preserve"> </w:t>
      </w:r>
      <w:r w:rsidRPr="001563C1">
        <w:rPr>
          <w:rFonts w:ascii="Arial" w:hAnsi="Arial" w:cs="Arial"/>
          <w:b/>
          <w:sz w:val="24"/>
          <w:szCs w:val="24"/>
        </w:rPr>
        <w:t>A</w:t>
      </w:r>
      <w:r w:rsidR="002E426A" w:rsidRPr="001563C1">
        <w:rPr>
          <w:rFonts w:ascii="Arial" w:hAnsi="Arial" w:cs="Arial"/>
          <w:b/>
          <w:sz w:val="24"/>
          <w:szCs w:val="24"/>
        </w:rPr>
        <w:t>JA</w:t>
      </w:r>
    </w:p>
    <w:p w:rsidR="002E426A" w:rsidRPr="001563C1" w:rsidRDefault="002E426A" w:rsidP="00D47BAC">
      <w:pPr>
        <w:pStyle w:val="NoSpacing"/>
        <w:rPr>
          <w:rFonts w:ascii="Arial" w:hAnsi="Arial" w:cs="Arial"/>
          <w:b/>
          <w:sz w:val="24"/>
          <w:szCs w:val="24"/>
        </w:rPr>
      </w:pPr>
    </w:p>
    <w:p w:rsidR="002E426A" w:rsidRPr="001563C1" w:rsidRDefault="002E426A" w:rsidP="00D47BAC">
      <w:pPr>
        <w:pStyle w:val="NoSpacing"/>
        <w:rPr>
          <w:rFonts w:ascii="Arial" w:hAnsi="Arial" w:cs="Arial"/>
          <w:b/>
          <w:sz w:val="24"/>
          <w:szCs w:val="24"/>
        </w:rPr>
      </w:pPr>
    </w:p>
    <w:p w:rsidR="00305FE9" w:rsidRDefault="00305FE9" w:rsidP="00D47BAC">
      <w:pPr>
        <w:pStyle w:val="NoSpacing"/>
        <w:rPr>
          <w:rFonts w:ascii="Arial" w:hAnsi="Arial" w:cs="Arial"/>
          <w:b/>
          <w:sz w:val="24"/>
          <w:szCs w:val="24"/>
        </w:rPr>
      </w:pPr>
    </w:p>
    <w:p w:rsidR="000B5157" w:rsidRPr="001563C1" w:rsidRDefault="000B5157" w:rsidP="00D47BAC">
      <w:pPr>
        <w:pStyle w:val="NoSpacing"/>
        <w:rPr>
          <w:rFonts w:ascii="Arial" w:hAnsi="Arial" w:cs="Arial"/>
          <w:b/>
          <w:sz w:val="24"/>
          <w:szCs w:val="24"/>
        </w:rPr>
      </w:pPr>
    </w:p>
    <w:p w:rsidR="002E426A" w:rsidRPr="001563C1" w:rsidRDefault="002E426A" w:rsidP="00D47BAC">
      <w:pPr>
        <w:pStyle w:val="NoSpacing"/>
        <w:rPr>
          <w:rFonts w:ascii="Arial" w:hAnsi="Arial" w:cs="Arial"/>
          <w:b/>
          <w:sz w:val="24"/>
          <w:szCs w:val="24"/>
        </w:rPr>
      </w:pPr>
    </w:p>
    <w:p w:rsidR="002E426A" w:rsidRPr="001563C1" w:rsidRDefault="002E426A" w:rsidP="00D47BAC">
      <w:pPr>
        <w:pStyle w:val="NoSpacing"/>
        <w:rPr>
          <w:rFonts w:ascii="Arial" w:hAnsi="Arial" w:cs="Arial"/>
          <w:b/>
          <w:sz w:val="24"/>
          <w:szCs w:val="24"/>
        </w:rPr>
      </w:pPr>
      <w:r w:rsidRPr="001563C1">
        <w:rPr>
          <w:rFonts w:ascii="Arial" w:hAnsi="Arial" w:cs="Arial"/>
          <w:b/>
          <w:sz w:val="24"/>
          <w:szCs w:val="24"/>
        </w:rPr>
        <w:t>___________________</w:t>
      </w:r>
    </w:p>
    <w:p w:rsidR="002E426A" w:rsidRPr="001563C1" w:rsidRDefault="00E8647F" w:rsidP="00D47BAC">
      <w:pPr>
        <w:pStyle w:val="NoSpacing"/>
        <w:rPr>
          <w:rFonts w:ascii="Arial" w:hAnsi="Arial" w:cs="Arial"/>
          <w:b/>
          <w:sz w:val="24"/>
          <w:szCs w:val="24"/>
        </w:rPr>
      </w:pPr>
      <w:r>
        <w:rPr>
          <w:rFonts w:ascii="Arial" w:hAnsi="Arial" w:cs="Arial"/>
          <w:b/>
          <w:sz w:val="24"/>
          <w:szCs w:val="24"/>
        </w:rPr>
        <w:t>SMUTS JA</w:t>
      </w:r>
    </w:p>
    <w:p w:rsidR="002E426A" w:rsidRPr="001563C1" w:rsidRDefault="002E426A" w:rsidP="00D47BAC">
      <w:pPr>
        <w:pStyle w:val="NoSpacing"/>
        <w:rPr>
          <w:rFonts w:ascii="Arial" w:hAnsi="Arial" w:cs="Arial"/>
          <w:b/>
          <w:sz w:val="24"/>
          <w:szCs w:val="24"/>
        </w:rPr>
      </w:pPr>
    </w:p>
    <w:p w:rsidR="002E426A" w:rsidRPr="001563C1" w:rsidRDefault="002E426A" w:rsidP="00D47BAC">
      <w:pPr>
        <w:pStyle w:val="NoSpacing"/>
        <w:rPr>
          <w:rFonts w:ascii="Arial" w:hAnsi="Arial" w:cs="Arial"/>
          <w:b/>
          <w:sz w:val="24"/>
          <w:szCs w:val="24"/>
        </w:rPr>
      </w:pPr>
    </w:p>
    <w:p w:rsidR="00305FE9" w:rsidRDefault="00305FE9" w:rsidP="00D47BAC">
      <w:pPr>
        <w:pStyle w:val="NoSpacing"/>
        <w:rPr>
          <w:rFonts w:ascii="Arial" w:hAnsi="Arial" w:cs="Arial"/>
          <w:b/>
          <w:sz w:val="24"/>
          <w:szCs w:val="24"/>
        </w:rPr>
      </w:pPr>
    </w:p>
    <w:p w:rsidR="000B5157" w:rsidRPr="001563C1" w:rsidRDefault="000B5157" w:rsidP="00D47BAC">
      <w:pPr>
        <w:pStyle w:val="NoSpacing"/>
        <w:rPr>
          <w:rFonts w:ascii="Arial" w:hAnsi="Arial" w:cs="Arial"/>
          <w:b/>
          <w:sz w:val="24"/>
          <w:szCs w:val="24"/>
        </w:rPr>
      </w:pPr>
    </w:p>
    <w:p w:rsidR="002E426A" w:rsidRPr="001563C1" w:rsidRDefault="002E426A" w:rsidP="00D47BAC">
      <w:pPr>
        <w:pStyle w:val="NoSpacing"/>
        <w:rPr>
          <w:rFonts w:ascii="Arial" w:hAnsi="Arial" w:cs="Arial"/>
          <w:b/>
          <w:sz w:val="24"/>
          <w:szCs w:val="24"/>
        </w:rPr>
      </w:pPr>
    </w:p>
    <w:p w:rsidR="002E426A" w:rsidRPr="001563C1" w:rsidRDefault="002E426A" w:rsidP="00D47BAC">
      <w:pPr>
        <w:pStyle w:val="NoSpacing"/>
        <w:rPr>
          <w:rFonts w:ascii="Arial" w:hAnsi="Arial" w:cs="Arial"/>
          <w:b/>
          <w:sz w:val="24"/>
          <w:szCs w:val="24"/>
        </w:rPr>
      </w:pPr>
      <w:r w:rsidRPr="001563C1">
        <w:rPr>
          <w:rFonts w:ascii="Arial" w:hAnsi="Arial" w:cs="Arial"/>
          <w:b/>
          <w:sz w:val="24"/>
          <w:szCs w:val="24"/>
        </w:rPr>
        <w:t>___________________</w:t>
      </w:r>
    </w:p>
    <w:p w:rsidR="002E426A" w:rsidRPr="001563C1" w:rsidRDefault="00513468" w:rsidP="00D47BAC">
      <w:pPr>
        <w:pStyle w:val="NoSpacing"/>
        <w:jc w:val="both"/>
        <w:rPr>
          <w:rFonts w:ascii="Arial" w:hAnsi="Arial" w:cs="Arial"/>
          <w:sz w:val="24"/>
          <w:szCs w:val="24"/>
        </w:rPr>
      </w:pPr>
      <w:r w:rsidRPr="001563C1">
        <w:rPr>
          <w:rFonts w:ascii="Arial" w:hAnsi="Arial" w:cs="Arial"/>
          <w:b/>
          <w:sz w:val="24"/>
          <w:szCs w:val="24"/>
        </w:rPr>
        <w:t>HOFF</w:t>
      </w:r>
      <w:r w:rsidR="002E426A" w:rsidRPr="001563C1">
        <w:rPr>
          <w:rFonts w:ascii="Arial" w:hAnsi="Arial" w:cs="Arial"/>
          <w:b/>
          <w:sz w:val="24"/>
          <w:szCs w:val="24"/>
        </w:rPr>
        <w:t xml:space="preserve"> JA</w:t>
      </w:r>
      <w:r w:rsidR="002E426A" w:rsidRPr="001563C1">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1563C1" w:rsidTr="005C0BAB">
        <w:tc>
          <w:tcPr>
            <w:tcW w:w="4386" w:type="dxa"/>
            <w:shd w:val="clear" w:color="auto" w:fill="auto"/>
          </w:tcPr>
          <w:p w:rsidR="00721889" w:rsidRPr="001563C1" w:rsidRDefault="00721889" w:rsidP="002E426A">
            <w:pPr>
              <w:ind w:left="-108" w:right="-146"/>
              <w:rPr>
                <w:rFonts w:ascii="Arial" w:hAnsi="Arial" w:cs="Arial"/>
                <w:sz w:val="24"/>
                <w:szCs w:val="24"/>
              </w:rPr>
            </w:pPr>
            <w:r w:rsidRPr="001563C1">
              <w:rPr>
                <w:rFonts w:ascii="Arial" w:hAnsi="Arial" w:cs="Arial"/>
                <w:sz w:val="24"/>
                <w:szCs w:val="24"/>
              </w:rPr>
              <w:lastRenderedPageBreak/>
              <w:t>APPEARANCES</w:t>
            </w:r>
          </w:p>
          <w:p w:rsidR="00721889" w:rsidRPr="001563C1" w:rsidRDefault="00721889" w:rsidP="00503269">
            <w:pPr>
              <w:ind w:right="-146"/>
              <w:rPr>
                <w:rFonts w:ascii="Arial" w:hAnsi="Arial" w:cs="Arial"/>
                <w:sz w:val="24"/>
                <w:szCs w:val="24"/>
              </w:rPr>
            </w:pPr>
          </w:p>
          <w:p w:rsidR="00721889" w:rsidRPr="001563C1" w:rsidRDefault="00721889" w:rsidP="00B35D97">
            <w:pPr>
              <w:ind w:left="-108" w:right="-146"/>
              <w:rPr>
                <w:rFonts w:ascii="Arial" w:hAnsi="Arial" w:cs="Arial"/>
                <w:sz w:val="24"/>
                <w:szCs w:val="24"/>
              </w:rPr>
            </w:pPr>
            <w:r w:rsidRPr="001563C1">
              <w:rPr>
                <w:rFonts w:ascii="Arial" w:hAnsi="Arial" w:cs="Arial"/>
                <w:sz w:val="24"/>
                <w:szCs w:val="24"/>
              </w:rPr>
              <w:t>APPELLANT:</w:t>
            </w:r>
          </w:p>
        </w:tc>
        <w:tc>
          <w:tcPr>
            <w:tcW w:w="4261" w:type="dxa"/>
            <w:shd w:val="clear" w:color="auto" w:fill="auto"/>
          </w:tcPr>
          <w:p w:rsidR="00721889" w:rsidRPr="001563C1" w:rsidRDefault="00721889" w:rsidP="00503269">
            <w:pPr>
              <w:rPr>
                <w:rFonts w:ascii="Arial" w:hAnsi="Arial" w:cs="Arial"/>
                <w:sz w:val="24"/>
                <w:szCs w:val="24"/>
              </w:rPr>
            </w:pPr>
          </w:p>
          <w:p w:rsidR="00721889" w:rsidRPr="001563C1" w:rsidRDefault="00721889" w:rsidP="00503269">
            <w:pPr>
              <w:rPr>
                <w:rFonts w:ascii="Arial" w:hAnsi="Arial" w:cs="Arial"/>
                <w:sz w:val="24"/>
                <w:szCs w:val="24"/>
              </w:rPr>
            </w:pPr>
          </w:p>
          <w:p w:rsidR="00721889" w:rsidRPr="001563C1" w:rsidRDefault="004C459C" w:rsidP="00503269">
            <w:pPr>
              <w:rPr>
                <w:rFonts w:ascii="Arial" w:hAnsi="Arial" w:cs="Arial"/>
                <w:sz w:val="24"/>
                <w:szCs w:val="24"/>
              </w:rPr>
            </w:pPr>
            <w:r>
              <w:rPr>
                <w:rFonts w:ascii="Arial" w:hAnsi="Arial" w:cs="Arial"/>
                <w:sz w:val="24"/>
                <w:szCs w:val="24"/>
              </w:rPr>
              <w:t>P</w:t>
            </w:r>
            <w:r w:rsidR="007D6C66">
              <w:rPr>
                <w:rFonts w:ascii="Arial" w:hAnsi="Arial" w:cs="Arial"/>
                <w:sz w:val="24"/>
                <w:szCs w:val="24"/>
              </w:rPr>
              <w:t xml:space="preserve"> </w:t>
            </w:r>
            <w:r>
              <w:rPr>
                <w:rFonts w:ascii="Arial" w:hAnsi="Arial" w:cs="Arial"/>
                <w:sz w:val="24"/>
                <w:szCs w:val="24"/>
              </w:rPr>
              <w:t>C</w:t>
            </w:r>
            <w:r w:rsidR="007D6C66">
              <w:rPr>
                <w:rFonts w:ascii="Arial" w:hAnsi="Arial" w:cs="Arial"/>
                <w:sz w:val="24"/>
                <w:szCs w:val="24"/>
              </w:rPr>
              <w:t xml:space="preserve"> </w:t>
            </w:r>
            <w:r>
              <w:rPr>
                <w:rFonts w:ascii="Arial" w:hAnsi="Arial" w:cs="Arial"/>
                <w:sz w:val="24"/>
                <w:szCs w:val="24"/>
              </w:rPr>
              <w:t>I Barnard</w:t>
            </w:r>
          </w:p>
          <w:p w:rsidR="00860DA9" w:rsidRPr="001563C1" w:rsidRDefault="00860DA9" w:rsidP="004C459C">
            <w:pPr>
              <w:rPr>
                <w:rFonts w:ascii="Arial" w:hAnsi="Arial" w:cs="Arial"/>
                <w:sz w:val="24"/>
                <w:szCs w:val="24"/>
              </w:rPr>
            </w:pPr>
            <w:r w:rsidRPr="001563C1">
              <w:rPr>
                <w:rFonts w:ascii="Arial" w:hAnsi="Arial" w:cs="Arial"/>
                <w:sz w:val="24"/>
                <w:szCs w:val="24"/>
              </w:rPr>
              <w:t xml:space="preserve">Instructed by </w:t>
            </w:r>
            <w:r w:rsidR="004C459C">
              <w:rPr>
                <w:rFonts w:ascii="Arial" w:hAnsi="Arial" w:cs="Arial"/>
                <w:sz w:val="24"/>
                <w:szCs w:val="24"/>
              </w:rPr>
              <w:t xml:space="preserve">Du </w:t>
            </w:r>
            <w:proofErr w:type="spellStart"/>
            <w:r w:rsidR="004C459C">
              <w:rPr>
                <w:rFonts w:ascii="Arial" w:hAnsi="Arial" w:cs="Arial"/>
                <w:sz w:val="24"/>
                <w:szCs w:val="24"/>
              </w:rPr>
              <w:t>Pisani</w:t>
            </w:r>
            <w:proofErr w:type="spellEnd"/>
            <w:r w:rsidR="004C459C">
              <w:rPr>
                <w:rFonts w:ascii="Arial" w:hAnsi="Arial" w:cs="Arial"/>
                <w:sz w:val="24"/>
                <w:szCs w:val="24"/>
              </w:rPr>
              <w:t xml:space="preserve"> Legal Practitioners</w:t>
            </w:r>
          </w:p>
        </w:tc>
      </w:tr>
      <w:tr w:rsidR="00721889" w:rsidRPr="001563C1" w:rsidTr="005C0BAB">
        <w:tc>
          <w:tcPr>
            <w:tcW w:w="4386" w:type="dxa"/>
            <w:shd w:val="clear" w:color="auto" w:fill="auto"/>
          </w:tcPr>
          <w:p w:rsidR="00721889" w:rsidRPr="001563C1" w:rsidRDefault="00721889" w:rsidP="00503269">
            <w:pPr>
              <w:rPr>
                <w:rFonts w:ascii="Arial" w:hAnsi="Arial" w:cs="Arial"/>
                <w:sz w:val="24"/>
                <w:szCs w:val="24"/>
              </w:rPr>
            </w:pPr>
          </w:p>
          <w:p w:rsidR="00721889" w:rsidRPr="001563C1" w:rsidRDefault="00721889" w:rsidP="00B35D97">
            <w:pPr>
              <w:ind w:left="-108"/>
              <w:rPr>
                <w:rFonts w:ascii="Arial" w:hAnsi="Arial" w:cs="Arial"/>
                <w:sz w:val="24"/>
                <w:szCs w:val="24"/>
              </w:rPr>
            </w:pPr>
            <w:r w:rsidRPr="001563C1">
              <w:rPr>
                <w:rFonts w:ascii="Arial" w:hAnsi="Arial" w:cs="Arial"/>
                <w:sz w:val="24"/>
                <w:szCs w:val="24"/>
              </w:rPr>
              <w:t>RESPONDENT:</w:t>
            </w:r>
          </w:p>
        </w:tc>
        <w:tc>
          <w:tcPr>
            <w:tcW w:w="4261" w:type="dxa"/>
            <w:shd w:val="clear" w:color="auto" w:fill="auto"/>
          </w:tcPr>
          <w:p w:rsidR="00721889" w:rsidRPr="001563C1" w:rsidRDefault="00721889" w:rsidP="00503269">
            <w:pPr>
              <w:rPr>
                <w:rFonts w:ascii="Arial" w:hAnsi="Arial" w:cs="Arial"/>
                <w:sz w:val="24"/>
                <w:szCs w:val="24"/>
              </w:rPr>
            </w:pPr>
          </w:p>
          <w:p w:rsidR="008A6323" w:rsidRPr="001563C1" w:rsidRDefault="00F740E3" w:rsidP="00864712">
            <w:pPr>
              <w:rPr>
                <w:rFonts w:ascii="Arial" w:hAnsi="Arial" w:cs="Arial"/>
                <w:sz w:val="24"/>
                <w:szCs w:val="24"/>
              </w:rPr>
            </w:pPr>
            <w:r>
              <w:rPr>
                <w:rFonts w:ascii="Arial" w:hAnsi="Arial" w:cs="Arial"/>
                <w:sz w:val="24"/>
                <w:szCs w:val="24"/>
              </w:rPr>
              <w:t xml:space="preserve">R </w:t>
            </w:r>
            <w:proofErr w:type="spellStart"/>
            <w:r>
              <w:rPr>
                <w:rFonts w:ascii="Arial" w:hAnsi="Arial" w:cs="Arial"/>
                <w:sz w:val="24"/>
                <w:szCs w:val="24"/>
              </w:rPr>
              <w:t>Tötemeyer</w:t>
            </w:r>
            <w:proofErr w:type="spellEnd"/>
            <w:r>
              <w:rPr>
                <w:rFonts w:ascii="Arial" w:hAnsi="Arial" w:cs="Arial"/>
                <w:sz w:val="24"/>
                <w:szCs w:val="24"/>
              </w:rPr>
              <w:t xml:space="preserve"> (</w:t>
            </w:r>
            <w:r w:rsidR="004C459C">
              <w:rPr>
                <w:rFonts w:ascii="Arial" w:hAnsi="Arial" w:cs="Arial"/>
                <w:sz w:val="24"/>
                <w:szCs w:val="24"/>
              </w:rPr>
              <w:t xml:space="preserve">with </w:t>
            </w:r>
            <w:r>
              <w:rPr>
                <w:rFonts w:ascii="Arial" w:hAnsi="Arial" w:cs="Arial"/>
                <w:sz w:val="24"/>
                <w:szCs w:val="24"/>
              </w:rPr>
              <w:t xml:space="preserve">him </w:t>
            </w:r>
            <w:r w:rsidR="004C459C">
              <w:rPr>
                <w:rFonts w:ascii="Arial" w:hAnsi="Arial" w:cs="Arial"/>
                <w:sz w:val="24"/>
                <w:szCs w:val="24"/>
              </w:rPr>
              <w:t>G Dicks</w:t>
            </w:r>
            <w:r>
              <w:rPr>
                <w:rFonts w:ascii="Arial" w:hAnsi="Arial" w:cs="Arial"/>
                <w:sz w:val="24"/>
                <w:szCs w:val="24"/>
              </w:rPr>
              <w:t>)</w:t>
            </w:r>
            <w:bookmarkStart w:id="0" w:name="_GoBack"/>
            <w:bookmarkEnd w:id="0"/>
          </w:p>
          <w:p w:rsidR="00721889" w:rsidRPr="001563C1" w:rsidRDefault="008A6323" w:rsidP="004C459C">
            <w:pPr>
              <w:rPr>
                <w:rFonts w:ascii="Arial" w:hAnsi="Arial" w:cs="Arial"/>
                <w:sz w:val="24"/>
                <w:szCs w:val="24"/>
              </w:rPr>
            </w:pPr>
            <w:r w:rsidRPr="001563C1">
              <w:rPr>
                <w:rFonts w:ascii="Arial" w:hAnsi="Arial" w:cs="Arial"/>
                <w:sz w:val="24"/>
                <w:szCs w:val="24"/>
              </w:rPr>
              <w:t xml:space="preserve">Instructed by </w:t>
            </w:r>
            <w:r w:rsidR="004C459C">
              <w:rPr>
                <w:rFonts w:ascii="Arial" w:hAnsi="Arial" w:cs="Arial"/>
                <w:sz w:val="24"/>
                <w:szCs w:val="24"/>
              </w:rPr>
              <w:t xml:space="preserve">Ellis </w:t>
            </w:r>
            <w:proofErr w:type="spellStart"/>
            <w:r w:rsidR="004C459C">
              <w:rPr>
                <w:rFonts w:ascii="Arial" w:hAnsi="Arial" w:cs="Arial"/>
                <w:sz w:val="24"/>
                <w:szCs w:val="24"/>
              </w:rPr>
              <w:t>Shilengudwa</w:t>
            </w:r>
            <w:proofErr w:type="spellEnd"/>
            <w:r w:rsidR="004C459C">
              <w:rPr>
                <w:rFonts w:ascii="Arial" w:hAnsi="Arial" w:cs="Arial"/>
                <w:sz w:val="24"/>
                <w:szCs w:val="24"/>
              </w:rPr>
              <w:t xml:space="preserve"> </w:t>
            </w:r>
            <w:proofErr w:type="spellStart"/>
            <w:r w:rsidR="004C459C">
              <w:rPr>
                <w:rFonts w:ascii="Arial" w:hAnsi="Arial" w:cs="Arial"/>
                <w:sz w:val="24"/>
                <w:szCs w:val="24"/>
              </w:rPr>
              <w:t>Inc</w:t>
            </w:r>
            <w:proofErr w:type="spellEnd"/>
            <w:r w:rsidR="00721889" w:rsidRPr="001563C1">
              <w:rPr>
                <w:rFonts w:ascii="Arial" w:hAnsi="Arial" w:cs="Arial"/>
                <w:sz w:val="24"/>
                <w:szCs w:val="24"/>
              </w:rPr>
              <w:t xml:space="preserve"> </w:t>
            </w:r>
          </w:p>
        </w:tc>
      </w:tr>
    </w:tbl>
    <w:p w:rsidR="00721889" w:rsidRPr="001563C1" w:rsidRDefault="00721889" w:rsidP="00721889">
      <w:pPr>
        <w:pStyle w:val="NoSpacing"/>
        <w:jc w:val="both"/>
        <w:rPr>
          <w:rFonts w:ascii="Arial" w:hAnsi="Arial" w:cs="Arial"/>
          <w:sz w:val="24"/>
          <w:szCs w:val="24"/>
        </w:rPr>
      </w:pPr>
    </w:p>
    <w:sectPr w:rsidR="00721889" w:rsidRPr="001563C1"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8F3" w:rsidRDefault="00CF48F3" w:rsidP="00B5013F">
      <w:pPr>
        <w:spacing w:after="0" w:line="240" w:lineRule="auto"/>
      </w:pPr>
      <w:r>
        <w:separator/>
      </w:r>
    </w:p>
  </w:endnote>
  <w:endnote w:type="continuationSeparator" w:id="0">
    <w:p w:rsidR="00CF48F3" w:rsidRDefault="00CF48F3"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8F3" w:rsidRDefault="00CF48F3" w:rsidP="00B5013F">
      <w:pPr>
        <w:spacing w:after="0" w:line="240" w:lineRule="auto"/>
      </w:pPr>
      <w:r>
        <w:separator/>
      </w:r>
    </w:p>
  </w:footnote>
  <w:footnote w:type="continuationSeparator" w:id="0">
    <w:p w:rsidR="00CF48F3" w:rsidRDefault="00CF48F3" w:rsidP="00B5013F">
      <w:pPr>
        <w:spacing w:after="0" w:line="240" w:lineRule="auto"/>
      </w:pPr>
      <w:r>
        <w:continuationSeparator/>
      </w:r>
    </w:p>
  </w:footnote>
  <w:footnote w:id="1">
    <w:p w:rsidR="00971695" w:rsidRPr="00AA0CAA" w:rsidRDefault="00971695" w:rsidP="00AA0CAA">
      <w:pPr>
        <w:pStyle w:val="FootnoteText"/>
        <w:jc w:val="both"/>
        <w:rPr>
          <w:rFonts w:ascii="Arial" w:hAnsi="Arial" w:cs="Arial"/>
        </w:rPr>
      </w:pPr>
      <w:r w:rsidRPr="00AA0CAA">
        <w:rPr>
          <w:rStyle w:val="FootnoteReference"/>
          <w:rFonts w:ascii="Arial" w:hAnsi="Arial" w:cs="Arial"/>
        </w:rPr>
        <w:footnoteRef/>
      </w:r>
      <w:r w:rsidRPr="00AA0CAA">
        <w:rPr>
          <w:rFonts w:ascii="Arial" w:hAnsi="Arial" w:cs="Arial"/>
        </w:rPr>
        <w:t xml:space="preserve"> Conditions for contract for Construction </w:t>
      </w:r>
      <w:r w:rsidR="001D5351" w:rsidRPr="00AA0CAA">
        <w:rPr>
          <w:rFonts w:ascii="Arial" w:hAnsi="Arial" w:cs="Arial"/>
        </w:rPr>
        <w:t xml:space="preserve">published by the Federation Internationale des </w:t>
      </w:r>
      <w:proofErr w:type="spellStart"/>
      <w:r w:rsidR="001D5351" w:rsidRPr="00AA0CAA">
        <w:rPr>
          <w:rFonts w:ascii="Arial" w:hAnsi="Arial" w:cs="Arial"/>
        </w:rPr>
        <w:t>Ingenieurs-Conceils</w:t>
      </w:r>
      <w:proofErr w:type="spellEnd"/>
      <w:r w:rsidR="001D5351" w:rsidRPr="00AA0CAA">
        <w:rPr>
          <w:rFonts w:ascii="Arial" w:hAnsi="Arial" w:cs="Arial"/>
        </w:rPr>
        <w:t xml:space="preserve"> (FIDIC) 1</w:t>
      </w:r>
      <w:r w:rsidR="001D5351" w:rsidRPr="00AA0CAA">
        <w:rPr>
          <w:rFonts w:ascii="Arial" w:hAnsi="Arial" w:cs="Arial"/>
          <w:vertAlign w:val="superscript"/>
        </w:rPr>
        <w:t>st</w:t>
      </w:r>
      <w:r w:rsidR="001D5351" w:rsidRPr="00AA0CAA">
        <w:rPr>
          <w:rFonts w:ascii="Arial" w:hAnsi="Arial" w:cs="Arial"/>
        </w:rPr>
        <w:t xml:space="preserve"> </w:t>
      </w:r>
      <w:proofErr w:type="spellStart"/>
      <w:proofErr w:type="gramStart"/>
      <w:r w:rsidR="001D5351" w:rsidRPr="00AA0CAA">
        <w:rPr>
          <w:rFonts w:ascii="Arial" w:hAnsi="Arial" w:cs="Arial"/>
        </w:rPr>
        <w:t>ed</w:t>
      </w:r>
      <w:proofErr w:type="spellEnd"/>
      <w:proofErr w:type="gramEnd"/>
      <w:r w:rsidR="001D5351" w:rsidRPr="00AA0CAA">
        <w:rPr>
          <w:rFonts w:ascii="Arial" w:hAnsi="Arial" w:cs="Arial"/>
        </w:rPr>
        <w:t xml:space="preserve"> 1999.</w:t>
      </w:r>
    </w:p>
  </w:footnote>
  <w:footnote w:id="2">
    <w:p w:rsidR="00771E7B" w:rsidRPr="00AA0CAA" w:rsidRDefault="00771E7B" w:rsidP="00AA0CAA">
      <w:pPr>
        <w:pStyle w:val="FootnoteText"/>
        <w:jc w:val="both"/>
        <w:rPr>
          <w:rFonts w:ascii="Arial" w:hAnsi="Arial" w:cs="Arial"/>
        </w:rPr>
      </w:pPr>
      <w:r w:rsidRPr="00AA0CAA">
        <w:rPr>
          <w:rStyle w:val="FootnoteReference"/>
          <w:rFonts w:ascii="Arial" w:hAnsi="Arial" w:cs="Arial"/>
        </w:rPr>
        <w:footnoteRef/>
      </w:r>
      <w:r w:rsidRPr="00AA0CAA">
        <w:rPr>
          <w:rFonts w:ascii="Arial" w:hAnsi="Arial" w:cs="Arial"/>
        </w:rPr>
        <w:t xml:space="preserve"> </w:t>
      </w:r>
      <w:r w:rsidRPr="00AA0CAA">
        <w:rPr>
          <w:rFonts w:ascii="Arial" w:hAnsi="Arial" w:cs="Arial"/>
          <w:i/>
        </w:rPr>
        <w:t>Stock</w:t>
      </w:r>
      <w:r w:rsidR="00AA0CAA" w:rsidRPr="00AA0CAA">
        <w:rPr>
          <w:rFonts w:ascii="Arial" w:hAnsi="Arial" w:cs="Arial"/>
          <w:i/>
        </w:rPr>
        <w:t>s</w:t>
      </w:r>
      <w:r w:rsidRPr="00AA0CAA">
        <w:rPr>
          <w:rFonts w:ascii="Arial" w:hAnsi="Arial" w:cs="Arial"/>
          <w:i/>
        </w:rPr>
        <w:t xml:space="preserve"> </w:t>
      </w:r>
      <w:r w:rsidR="00AA0CAA" w:rsidRPr="00AA0CAA">
        <w:rPr>
          <w:rFonts w:ascii="Arial" w:hAnsi="Arial" w:cs="Arial"/>
          <w:i/>
        </w:rPr>
        <w:t>&amp;</w:t>
      </w:r>
      <w:r w:rsidRPr="00AA0CAA">
        <w:rPr>
          <w:rFonts w:ascii="Arial" w:hAnsi="Arial" w:cs="Arial"/>
          <w:i/>
        </w:rPr>
        <w:t xml:space="preserve"> Stock</w:t>
      </w:r>
      <w:r w:rsidR="00AA0CAA" w:rsidRPr="00AA0CAA">
        <w:rPr>
          <w:rFonts w:ascii="Arial" w:hAnsi="Arial" w:cs="Arial"/>
          <w:i/>
        </w:rPr>
        <w:t>s</w:t>
      </w:r>
      <w:r w:rsidRPr="00AA0CAA">
        <w:rPr>
          <w:rFonts w:ascii="Arial" w:hAnsi="Arial" w:cs="Arial"/>
          <w:i/>
        </w:rPr>
        <w:t xml:space="preserve"> (Cape) (Pty) Ltd v Gordon and others</w:t>
      </w:r>
      <w:r w:rsidR="00AA0CAA" w:rsidRPr="00AA0CAA">
        <w:rPr>
          <w:rFonts w:ascii="Arial" w:hAnsi="Arial" w:cs="Arial"/>
          <w:i/>
        </w:rPr>
        <w:t xml:space="preserve"> NNO</w:t>
      </w:r>
      <w:r w:rsidRPr="00AA0CAA">
        <w:rPr>
          <w:rFonts w:ascii="Arial" w:hAnsi="Arial" w:cs="Arial"/>
        </w:rPr>
        <w:t xml:space="preserve"> 1993 (1</w:t>
      </w:r>
      <w:r w:rsidR="00303D98" w:rsidRPr="00AA0CAA">
        <w:rPr>
          <w:rFonts w:ascii="Arial" w:hAnsi="Arial" w:cs="Arial"/>
        </w:rPr>
        <w:t xml:space="preserve">) SA 156 (T) and </w:t>
      </w:r>
      <w:r w:rsidR="00303D98" w:rsidRPr="00AA0CAA">
        <w:rPr>
          <w:rFonts w:ascii="Arial" w:hAnsi="Arial" w:cs="Arial"/>
          <w:i/>
        </w:rPr>
        <w:t>Tubular Holdings (Pty) Ltd v DBT Technologies (Pty) Ltd</w:t>
      </w:r>
      <w:r w:rsidR="00303D98" w:rsidRPr="00AA0CAA">
        <w:rPr>
          <w:rFonts w:ascii="Arial" w:hAnsi="Arial" w:cs="Arial"/>
        </w:rPr>
        <w:t xml:space="preserve"> 201</w:t>
      </w:r>
      <w:r w:rsidR="00265BF2" w:rsidRPr="00AA0CAA">
        <w:rPr>
          <w:rFonts w:ascii="Arial" w:hAnsi="Arial" w:cs="Arial"/>
        </w:rPr>
        <w:t>4</w:t>
      </w:r>
      <w:r w:rsidR="00303D98" w:rsidRPr="00AA0CAA">
        <w:rPr>
          <w:rFonts w:ascii="Arial" w:hAnsi="Arial" w:cs="Arial"/>
        </w:rPr>
        <w:t xml:space="preserve"> (1) SA 244 </w:t>
      </w:r>
      <w:r w:rsidR="00265BF2" w:rsidRPr="00AA0CAA">
        <w:rPr>
          <w:rFonts w:ascii="Arial" w:hAnsi="Arial" w:cs="Arial"/>
        </w:rPr>
        <w:t>(GSJ).</w:t>
      </w:r>
    </w:p>
  </w:footnote>
  <w:footnote w:id="3">
    <w:p w:rsidR="00265BF2" w:rsidRPr="00AA0CAA" w:rsidRDefault="00265BF2" w:rsidP="00AA0CAA">
      <w:pPr>
        <w:pStyle w:val="FootnoteText"/>
        <w:jc w:val="both"/>
        <w:rPr>
          <w:rFonts w:ascii="Arial" w:hAnsi="Arial" w:cs="Arial"/>
        </w:rPr>
      </w:pPr>
      <w:r w:rsidRPr="00AA0CAA">
        <w:rPr>
          <w:rStyle w:val="FootnoteReference"/>
          <w:rFonts w:ascii="Arial" w:hAnsi="Arial" w:cs="Arial"/>
        </w:rPr>
        <w:footnoteRef/>
      </w:r>
      <w:r w:rsidRPr="00AA0CAA">
        <w:rPr>
          <w:rFonts w:ascii="Arial" w:hAnsi="Arial" w:cs="Arial"/>
        </w:rPr>
        <w:t xml:space="preserve"> </w:t>
      </w:r>
      <w:r w:rsidRPr="00AA0CAA">
        <w:rPr>
          <w:rFonts w:ascii="Arial" w:hAnsi="Arial" w:cs="Arial"/>
          <w:i/>
        </w:rPr>
        <w:t>Radon Projects (Pty) Ltd v NV Properties (Pty) Ltd and another</w:t>
      </w:r>
      <w:r w:rsidRPr="00AA0CAA">
        <w:rPr>
          <w:rFonts w:ascii="Arial" w:hAnsi="Arial" w:cs="Arial"/>
        </w:rPr>
        <w:t xml:space="preserve"> 2013 (6) SA 345 (SCA). </w:t>
      </w:r>
    </w:p>
  </w:footnote>
  <w:footnote w:id="4">
    <w:p w:rsidR="00FB53B9" w:rsidRPr="00AA0CAA" w:rsidRDefault="00FB53B9" w:rsidP="00AA0CAA">
      <w:pPr>
        <w:pStyle w:val="FootnoteText"/>
        <w:jc w:val="both"/>
        <w:rPr>
          <w:rFonts w:ascii="Arial" w:hAnsi="Arial" w:cs="Arial"/>
        </w:rPr>
      </w:pPr>
      <w:r w:rsidRPr="00AA0CAA">
        <w:rPr>
          <w:rStyle w:val="FootnoteReference"/>
          <w:rFonts w:ascii="Arial" w:hAnsi="Arial" w:cs="Arial"/>
        </w:rPr>
        <w:footnoteRef/>
      </w:r>
      <w:r w:rsidRPr="00AA0CAA">
        <w:rPr>
          <w:rFonts w:ascii="Arial" w:hAnsi="Arial" w:cs="Arial"/>
        </w:rPr>
        <w:t xml:space="preserve"> </w:t>
      </w:r>
      <w:proofErr w:type="spellStart"/>
      <w:r w:rsidR="002C2EFB" w:rsidRPr="00AA0CAA">
        <w:rPr>
          <w:rFonts w:ascii="Arial" w:hAnsi="Arial" w:cs="Arial"/>
          <w:i/>
        </w:rPr>
        <w:t>R</w:t>
      </w:r>
      <w:r w:rsidR="00AA0CAA" w:rsidRPr="00AA0CAA">
        <w:rPr>
          <w:rFonts w:ascii="Arial" w:hAnsi="Arial" w:cs="Arial"/>
          <w:i/>
        </w:rPr>
        <w:t>ö</w:t>
      </w:r>
      <w:r w:rsidR="002C2EFB" w:rsidRPr="00AA0CAA">
        <w:rPr>
          <w:rFonts w:ascii="Arial" w:hAnsi="Arial" w:cs="Arial"/>
          <w:i/>
        </w:rPr>
        <w:t>ssing</w:t>
      </w:r>
      <w:proofErr w:type="spellEnd"/>
      <w:r w:rsidR="002C2EFB" w:rsidRPr="00AA0CAA">
        <w:rPr>
          <w:rFonts w:ascii="Arial" w:hAnsi="Arial" w:cs="Arial"/>
          <w:i/>
        </w:rPr>
        <w:t xml:space="preserve"> Stone Crushers (Pty) Ltd v Commercial Bank of Namibia and another</w:t>
      </w:r>
      <w:r w:rsidR="002C2EFB" w:rsidRPr="00AA0CAA">
        <w:rPr>
          <w:rFonts w:ascii="Arial" w:hAnsi="Arial" w:cs="Arial"/>
        </w:rPr>
        <w:t xml:space="preserve"> 1993 NR 274 (HC)</w:t>
      </w:r>
      <w:r w:rsidR="00314EFE" w:rsidRPr="00AA0CAA">
        <w:rPr>
          <w:rFonts w:ascii="Arial" w:hAnsi="Arial" w:cs="Arial"/>
        </w:rPr>
        <w:t xml:space="preserve"> at 285; </w:t>
      </w:r>
      <w:r w:rsidR="00314EFE" w:rsidRPr="00AA0CAA">
        <w:rPr>
          <w:rFonts w:ascii="Arial" w:hAnsi="Arial" w:cs="Arial"/>
          <w:i/>
        </w:rPr>
        <w:t>Per</w:t>
      </w:r>
      <w:r w:rsidR="00012D6C" w:rsidRPr="00AA0CAA">
        <w:rPr>
          <w:rFonts w:ascii="Arial" w:hAnsi="Arial" w:cs="Arial"/>
          <w:i/>
        </w:rPr>
        <w:t>dikis v Jamieson</w:t>
      </w:r>
      <w:r w:rsidR="00012D6C" w:rsidRPr="00AA0CAA">
        <w:rPr>
          <w:rFonts w:ascii="Arial" w:hAnsi="Arial" w:cs="Arial"/>
        </w:rPr>
        <w:t xml:space="preserve"> 2002 (</w:t>
      </w:r>
      <w:r w:rsidR="00A329A3" w:rsidRPr="00AA0CAA">
        <w:rPr>
          <w:rFonts w:ascii="Arial" w:hAnsi="Arial" w:cs="Arial"/>
        </w:rPr>
        <w:t>6</w:t>
      </w:r>
      <w:r w:rsidR="00012D6C" w:rsidRPr="00AA0CAA">
        <w:rPr>
          <w:rFonts w:ascii="Arial" w:hAnsi="Arial" w:cs="Arial"/>
        </w:rPr>
        <w:t>)</w:t>
      </w:r>
      <w:r w:rsidR="00B159F7" w:rsidRPr="00AA0CAA">
        <w:rPr>
          <w:rFonts w:ascii="Arial" w:hAnsi="Arial" w:cs="Arial"/>
        </w:rPr>
        <w:t xml:space="preserve"> SA 356 (w) at [5] and [6] and </w:t>
      </w:r>
      <w:r w:rsidR="00B159F7" w:rsidRPr="00AA0CAA">
        <w:rPr>
          <w:rFonts w:ascii="Arial" w:hAnsi="Arial" w:cs="Arial"/>
          <w:i/>
        </w:rPr>
        <w:t>Wright v Wright and another</w:t>
      </w:r>
      <w:r w:rsidR="00B159F7" w:rsidRPr="00AA0CAA">
        <w:rPr>
          <w:rFonts w:ascii="Arial" w:hAnsi="Arial" w:cs="Arial"/>
        </w:rPr>
        <w:t xml:space="preserve"> 2015 (1) SA 262 (SCA) at [10]</w:t>
      </w:r>
      <w:r w:rsidR="002C2EFB" w:rsidRPr="00AA0CAA">
        <w:rPr>
          <w:rFonts w:ascii="Arial" w:hAnsi="Arial" w:cs="Arial"/>
        </w:rPr>
        <w:t>.</w:t>
      </w:r>
    </w:p>
  </w:footnote>
  <w:footnote w:id="5">
    <w:p w:rsidR="00A329A3" w:rsidRPr="00AA0CAA" w:rsidRDefault="00A329A3" w:rsidP="00AA0CAA">
      <w:pPr>
        <w:pStyle w:val="FootnoteText"/>
        <w:jc w:val="both"/>
        <w:rPr>
          <w:rFonts w:ascii="Arial" w:hAnsi="Arial" w:cs="Arial"/>
        </w:rPr>
      </w:pPr>
      <w:r w:rsidRPr="00AA0CAA">
        <w:rPr>
          <w:rStyle w:val="FootnoteReference"/>
          <w:rFonts w:ascii="Arial" w:hAnsi="Arial" w:cs="Arial"/>
        </w:rPr>
        <w:footnoteRef/>
      </w:r>
      <w:r w:rsidRPr="00AA0CAA">
        <w:rPr>
          <w:rFonts w:ascii="Arial" w:hAnsi="Arial" w:cs="Arial"/>
        </w:rPr>
        <w:t xml:space="preserve"> </w:t>
      </w:r>
      <w:proofErr w:type="spellStart"/>
      <w:r w:rsidRPr="00AA0CAA">
        <w:rPr>
          <w:rFonts w:ascii="Arial" w:hAnsi="Arial" w:cs="Arial"/>
          <w:i/>
        </w:rPr>
        <w:t>Zhongji</w:t>
      </w:r>
      <w:proofErr w:type="spellEnd"/>
      <w:r w:rsidRPr="00AA0CAA">
        <w:rPr>
          <w:rFonts w:ascii="Arial" w:hAnsi="Arial" w:cs="Arial"/>
          <w:i/>
        </w:rPr>
        <w:t xml:space="preserve"> Development Construction Engineering Co Ltd v </w:t>
      </w:r>
      <w:proofErr w:type="spellStart"/>
      <w:r w:rsidRPr="00AA0CAA">
        <w:rPr>
          <w:rFonts w:ascii="Arial" w:hAnsi="Arial" w:cs="Arial"/>
          <w:i/>
        </w:rPr>
        <w:t>Kam</w:t>
      </w:r>
      <w:r w:rsidR="00AA0CAA" w:rsidRPr="00AA0CAA">
        <w:rPr>
          <w:rFonts w:ascii="Arial" w:hAnsi="Arial" w:cs="Arial"/>
          <w:i/>
        </w:rPr>
        <w:t>oto</w:t>
      </w:r>
      <w:proofErr w:type="spellEnd"/>
      <w:r w:rsidR="00AA0CAA" w:rsidRPr="00AA0CAA">
        <w:rPr>
          <w:rFonts w:ascii="Arial" w:hAnsi="Arial" w:cs="Arial"/>
          <w:i/>
        </w:rPr>
        <w:t xml:space="preserve"> Copper CO</w:t>
      </w:r>
      <w:r w:rsidRPr="00AA0CAA">
        <w:rPr>
          <w:rFonts w:ascii="Arial" w:hAnsi="Arial" w:cs="Arial"/>
        </w:rPr>
        <w:t xml:space="preserve"> SA</w:t>
      </w:r>
      <w:r w:rsidR="00AA0CAA" w:rsidRPr="00AA0CAA">
        <w:rPr>
          <w:rFonts w:ascii="Arial" w:hAnsi="Arial" w:cs="Arial"/>
        </w:rPr>
        <w:t>R</w:t>
      </w:r>
      <w:r w:rsidRPr="00AA0CAA">
        <w:rPr>
          <w:rFonts w:ascii="Arial" w:hAnsi="Arial" w:cs="Arial"/>
        </w:rPr>
        <w:t xml:space="preserve">L 2015 (1) SA </w:t>
      </w:r>
      <w:r w:rsidR="00AA0CAA" w:rsidRPr="00AA0CAA">
        <w:rPr>
          <w:rFonts w:ascii="Arial" w:hAnsi="Arial" w:cs="Arial"/>
        </w:rPr>
        <w:t>345</w:t>
      </w:r>
      <w:r w:rsidRPr="00AA0CAA">
        <w:rPr>
          <w:rFonts w:ascii="Arial" w:hAnsi="Arial" w:cs="Arial"/>
        </w:rPr>
        <w:t xml:space="preserve"> (SCA).</w:t>
      </w:r>
    </w:p>
  </w:footnote>
  <w:footnote w:id="6">
    <w:p w:rsidR="000A64C1" w:rsidRPr="00AA0CAA" w:rsidRDefault="000A64C1" w:rsidP="00AA0CAA">
      <w:pPr>
        <w:pStyle w:val="FootnoteText"/>
        <w:jc w:val="both"/>
        <w:rPr>
          <w:rFonts w:ascii="Arial" w:hAnsi="Arial" w:cs="Arial"/>
        </w:rPr>
      </w:pPr>
      <w:r w:rsidRPr="00AA0CAA">
        <w:rPr>
          <w:rStyle w:val="FootnoteReference"/>
          <w:rFonts w:ascii="Arial" w:hAnsi="Arial" w:cs="Arial"/>
        </w:rPr>
        <w:footnoteRef/>
      </w:r>
      <w:r w:rsidRPr="00AA0CAA">
        <w:rPr>
          <w:rFonts w:ascii="Arial" w:hAnsi="Arial" w:cs="Arial"/>
        </w:rPr>
        <w:t xml:space="preserve"> </w:t>
      </w:r>
      <w:r w:rsidRPr="00AA0CAA">
        <w:rPr>
          <w:rFonts w:ascii="Arial" w:hAnsi="Arial" w:cs="Arial"/>
          <w:i/>
        </w:rPr>
        <w:t>Ekurhuleni West College v Segal and another</w:t>
      </w:r>
      <w:r w:rsidRPr="00AA0CAA">
        <w:rPr>
          <w:rFonts w:ascii="Arial" w:hAnsi="Arial" w:cs="Arial"/>
        </w:rPr>
        <w:t xml:space="preserve"> </w:t>
      </w:r>
      <w:r w:rsidR="00AA0CAA" w:rsidRPr="00AA0CAA">
        <w:rPr>
          <w:rFonts w:ascii="Arial" w:hAnsi="Arial" w:cs="Arial"/>
        </w:rPr>
        <w:t xml:space="preserve">(26624/2017) </w:t>
      </w:r>
      <w:r w:rsidRPr="00AA0CAA">
        <w:rPr>
          <w:rFonts w:ascii="Arial" w:hAnsi="Arial" w:cs="Arial"/>
        </w:rPr>
        <w:t xml:space="preserve">[2018] </w:t>
      </w:r>
      <w:r w:rsidR="00AA0CAA" w:rsidRPr="00AA0CAA">
        <w:rPr>
          <w:rFonts w:ascii="Arial" w:hAnsi="Arial" w:cs="Arial"/>
        </w:rPr>
        <w:t>ZAG PPHC 662</w:t>
      </w:r>
      <w:r w:rsidRPr="00AA0CAA">
        <w:rPr>
          <w:rFonts w:ascii="Arial" w:hAnsi="Arial" w:cs="Arial"/>
        </w:rPr>
        <w:t xml:space="preserve"> at [38]</w:t>
      </w:r>
      <w:r w:rsidR="00AA0CAA">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422FAE" w:rsidRPr="00ED46B6" w:rsidRDefault="00422FAE">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F740E3">
          <w:rPr>
            <w:rFonts w:ascii="Arial" w:hAnsi="Arial" w:cs="Arial"/>
            <w:noProof/>
            <w:sz w:val="24"/>
            <w:szCs w:val="24"/>
          </w:rPr>
          <w:t>12</w:t>
        </w:r>
        <w:r w:rsidRPr="00ED46B6">
          <w:rPr>
            <w:rFonts w:ascii="Arial" w:hAnsi="Arial" w:cs="Arial"/>
            <w:noProof/>
            <w:sz w:val="24"/>
            <w:szCs w:val="24"/>
          </w:rPr>
          <w:fldChar w:fldCharType="end"/>
        </w:r>
      </w:p>
    </w:sdtContent>
  </w:sdt>
  <w:p w:rsidR="00422FAE" w:rsidRDefault="00422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2" w15:restartNumberingAfterBreak="0">
    <w:nsid w:val="0FB5412F"/>
    <w:multiLevelType w:val="multilevel"/>
    <w:tmpl w:val="F01620E2"/>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445B134E"/>
    <w:multiLevelType w:val="hybridMultilevel"/>
    <w:tmpl w:val="02F833D0"/>
    <w:lvl w:ilvl="0" w:tplc="710C72B6">
      <w:start w:val="1"/>
      <w:numFmt w:val="decimal"/>
      <w:lvlText w:val="[%1]"/>
      <w:lvlJc w:val="left"/>
      <w:pPr>
        <w:ind w:left="720" w:hanging="360"/>
      </w:pPr>
      <w:rPr>
        <w:rFonts w:hint="default"/>
      </w:rPr>
    </w:lvl>
    <w:lvl w:ilvl="1" w:tplc="0B16C80A">
      <w:start w:val="1"/>
      <w:numFmt w:val="decimal"/>
      <w:lvlText w:val="%2."/>
      <w:lvlJc w:val="left"/>
      <w:pPr>
        <w:ind w:left="1440" w:hanging="360"/>
      </w:pPr>
      <w:rPr>
        <w:rFonts w:ascii="Arial" w:eastAsiaTheme="minorHAnsi" w:hAnsi="Arial" w:cs="Arial"/>
      </w:rPr>
    </w:lvl>
    <w:lvl w:ilvl="2" w:tplc="F72C1812">
      <w:start w:val="1"/>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272BA2"/>
    <w:multiLevelType w:val="multilevel"/>
    <w:tmpl w:val="60622192"/>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7"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18"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5"/>
  </w:num>
  <w:num w:numId="3">
    <w:abstractNumId w:val="23"/>
  </w:num>
  <w:num w:numId="4">
    <w:abstractNumId w:val="11"/>
  </w:num>
  <w:num w:numId="5">
    <w:abstractNumId w:val="17"/>
  </w:num>
  <w:num w:numId="6">
    <w:abstractNumId w:val="0"/>
  </w:num>
  <w:num w:numId="7">
    <w:abstractNumId w:val="20"/>
  </w:num>
  <w:num w:numId="8">
    <w:abstractNumId w:val="5"/>
  </w:num>
  <w:num w:numId="9">
    <w:abstractNumId w:val="21"/>
  </w:num>
  <w:num w:numId="10">
    <w:abstractNumId w:val="10"/>
  </w:num>
  <w:num w:numId="11">
    <w:abstractNumId w:val="4"/>
  </w:num>
  <w:num w:numId="12">
    <w:abstractNumId w:val="1"/>
  </w:num>
  <w:num w:numId="13">
    <w:abstractNumId w:val="7"/>
  </w:num>
  <w:num w:numId="14">
    <w:abstractNumId w:val="12"/>
  </w:num>
  <w:num w:numId="15">
    <w:abstractNumId w:val="9"/>
  </w:num>
  <w:num w:numId="16">
    <w:abstractNumId w:val="8"/>
  </w:num>
  <w:num w:numId="17">
    <w:abstractNumId w:val="18"/>
  </w:num>
  <w:num w:numId="18">
    <w:abstractNumId w:val="22"/>
  </w:num>
  <w:num w:numId="19">
    <w:abstractNumId w:val="13"/>
  </w:num>
  <w:num w:numId="20">
    <w:abstractNumId w:val="19"/>
  </w:num>
  <w:num w:numId="21">
    <w:abstractNumId w:val="14"/>
  </w:num>
  <w:num w:numId="22">
    <w:abstractNumId w:val="3"/>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225F"/>
    <w:rsid w:val="00011EB9"/>
    <w:rsid w:val="00012D59"/>
    <w:rsid w:val="00012D6C"/>
    <w:rsid w:val="000139A0"/>
    <w:rsid w:val="00020554"/>
    <w:rsid w:val="00020736"/>
    <w:rsid w:val="00021ECC"/>
    <w:rsid w:val="00022452"/>
    <w:rsid w:val="00022644"/>
    <w:rsid w:val="000231F7"/>
    <w:rsid w:val="00026A64"/>
    <w:rsid w:val="00026DD5"/>
    <w:rsid w:val="0002744F"/>
    <w:rsid w:val="000276F0"/>
    <w:rsid w:val="00031EBA"/>
    <w:rsid w:val="00033256"/>
    <w:rsid w:val="000400C4"/>
    <w:rsid w:val="00042A20"/>
    <w:rsid w:val="00052B8A"/>
    <w:rsid w:val="00055805"/>
    <w:rsid w:val="00057B7B"/>
    <w:rsid w:val="000610A3"/>
    <w:rsid w:val="000626CC"/>
    <w:rsid w:val="000643B5"/>
    <w:rsid w:val="00065459"/>
    <w:rsid w:val="00066723"/>
    <w:rsid w:val="00073046"/>
    <w:rsid w:val="00076790"/>
    <w:rsid w:val="00076931"/>
    <w:rsid w:val="00076F53"/>
    <w:rsid w:val="00077B52"/>
    <w:rsid w:val="0008009C"/>
    <w:rsid w:val="000840CA"/>
    <w:rsid w:val="00084121"/>
    <w:rsid w:val="00086647"/>
    <w:rsid w:val="00090B47"/>
    <w:rsid w:val="00092565"/>
    <w:rsid w:val="00092D5D"/>
    <w:rsid w:val="00094C79"/>
    <w:rsid w:val="000A2F02"/>
    <w:rsid w:val="000A3C68"/>
    <w:rsid w:val="000A3CA0"/>
    <w:rsid w:val="000A3F6B"/>
    <w:rsid w:val="000A4DEC"/>
    <w:rsid w:val="000A64C1"/>
    <w:rsid w:val="000B06C9"/>
    <w:rsid w:val="000B0A11"/>
    <w:rsid w:val="000B5157"/>
    <w:rsid w:val="000C2A58"/>
    <w:rsid w:val="000C2D19"/>
    <w:rsid w:val="000D1ADC"/>
    <w:rsid w:val="000D2762"/>
    <w:rsid w:val="000E008B"/>
    <w:rsid w:val="000E0BFC"/>
    <w:rsid w:val="000E3DF0"/>
    <w:rsid w:val="000E46F5"/>
    <w:rsid w:val="000E6B27"/>
    <w:rsid w:val="000F1A59"/>
    <w:rsid w:val="000F27E4"/>
    <w:rsid w:val="000F4BBD"/>
    <w:rsid w:val="000F61A4"/>
    <w:rsid w:val="000F7D77"/>
    <w:rsid w:val="00101FDB"/>
    <w:rsid w:val="0010254D"/>
    <w:rsid w:val="00107552"/>
    <w:rsid w:val="00111339"/>
    <w:rsid w:val="00112DA2"/>
    <w:rsid w:val="00114682"/>
    <w:rsid w:val="00121972"/>
    <w:rsid w:val="001227DB"/>
    <w:rsid w:val="00122BEB"/>
    <w:rsid w:val="0012439B"/>
    <w:rsid w:val="0012527C"/>
    <w:rsid w:val="00126E64"/>
    <w:rsid w:val="00132216"/>
    <w:rsid w:val="001327CE"/>
    <w:rsid w:val="00135014"/>
    <w:rsid w:val="0013608D"/>
    <w:rsid w:val="00140678"/>
    <w:rsid w:val="00140A9D"/>
    <w:rsid w:val="00141FF6"/>
    <w:rsid w:val="001423E7"/>
    <w:rsid w:val="0014303A"/>
    <w:rsid w:val="0015196E"/>
    <w:rsid w:val="00151FFA"/>
    <w:rsid w:val="001563C1"/>
    <w:rsid w:val="00156AC7"/>
    <w:rsid w:val="001578CD"/>
    <w:rsid w:val="001663E1"/>
    <w:rsid w:val="0017081A"/>
    <w:rsid w:val="00180CE0"/>
    <w:rsid w:val="001838C9"/>
    <w:rsid w:val="00185996"/>
    <w:rsid w:val="00190F70"/>
    <w:rsid w:val="0019366B"/>
    <w:rsid w:val="00193825"/>
    <w:rsid w:val="00194D51"/>
    <w:rsid w:val="001957EE"/>
    <w:rsid w:val="00195AE1"/>
    <w:rsid w:val="001A0E25"/>
    <w:rsid w:val="001A2B18"/>
    <w:rsid w:val="001A4A99"/>
    <w:rsid w:val="001A666A"/>
    <w:rsid w:val="001A6B0E"/>
    <w:rsid w:val="001A7909"/>
    <w:rsid w:val="001C1802"/>
    <w:rsid w:val="001C25CA"/>
    <w:rsid w:val="001C353F"/>
    <w:rsid w:val="001C558D"/>
    <w:rsid w:val="001C7DF6"/>
    <w:rsid w:val="001D08D7"/>
    <w:rsid w:val="001D4856"/>
    <w:rsid w:val="001D4EB4"/>
    <w:rsid w:val="001D5351"/>
    <w:rsid w:val="001D58BA"/>
    <w:rsid w:val="001D608A"/>
    <w:rsid w:val="001E299E"/>
    <w:rsid w:val="001E3888"/>
    <w:rsid w:val="001E44D9"/>
    <w:rsid w:val="001E4C77"/>
    <w:rsid w:val="001F23F3"/>
    <w:rsid w:val="001F4CB8"/>
    <w:rsid w:val="001F7942"/>
    <w:rsid w:val="0020312C"/>
    <w:rsid w:val="00203A7F"/>
    <w:rsid w:val="00207960"/>
    <w:rsid w:val="00207D05"/>
    <w:rsid w:val="00215D8F"/>
    <w:rsid w:val="00215D99"/>
    <w:rsid w:val="002212AD"/>
    <w:rsid w:val="00224757"/>
    <w:rsid w:val="00230EC2"/>
    <w:rsid w:val="002317A5"/>
    <w:rsid w:val="002337F7"/>
    <w:rsid w:val="002340F6"/>
    <w:rsid w:val="00234CE1"/>
    <w:rsid w:val="00235E57"/>
    <w:rsid w:val="0023748C"/>
    <w:rsid w:val="002441F9"/>
    <w:rsid w:val="002447B6"/>
    <w:rsid w:val="002457A4"/>
    <w:rsid w:val="00251412"/>
    <w:rsid w:val="00252CED"/>
    <w:rsid w:val="00257803"/>
    <w:rsid w:val="00262874"/>
    <w:rsid w:val="00263481"/>
    <w:rsid w:val="002658ED"/>
    <w:rsid w:val="00265BF2"/>
    <w:rsid w:val="002662E3"/>
    <w:rsid w:val="00266E2B"/>
    <w:rsid w:val="00273EE9"/>
    <w:rsid w:val="00274F4E"/>
    <w:rsid w:val="0028168A"/>
    <w:rsid w:val="002855CF"/>
    <w:rsid w:val="00286029"/>
    <w:rsid w:val="00286F17"/>
    <w:rsid w:val="002A2B5C"/>
    <w:rsid w:val="002A4C01"/>
    <w:rsid w:val="002B0CAC"/>
    <w:rsid w:val="002B1CE3"/>
    <w:rsid w:val="002B2ED5"/>
    <w:rsid w:val="002C0FC3"/>
    <w:rsid w:val="002C2EFB"/>
    <w:rsid w:val="002C568C"/>
    <w:rsid w:val="002D1B71"/>
    <w:rsid w:val="002D1E38"/>
    <w:rsid w:val="002D1F1E"/>
    <w:rsid w:val="002E426A"/>
    <w:rsid w:val="002E4E6A"/>
    <w:rsid w:val="002E708E"/>
    <w:rsid w:val="002F7598"/>
    <w:rsid w:val="003039EF"/>
    <w:rsid w:val="00303D98"/>
    <w:rsid w:val="00305FE9"/>
    <w:rsid w:val="00306CA5"/>
    <w:rsid w:val="0030702B"/>
    <w:rsid w:val="0030737F"/>
    <w:rsid w:val="0030775E"/>
    <w:rsid w:val="00310940"/>
    <w:rsid w:val="00314EFE"/>
    <w:rsid w:val="003152F2"/>
    <w:rsid w:val="00317522"/>
    <w:rsid w:val="003207CE"/>
    <w:rsid w:val="003212CE"/>
    <w:rsid w:val="0032148F"/>
    <w:rsid w:val="00321ED1"/>
    <w:rsid w:val="0032319A"/>
    <w:rsid w:val="00324725"/>
    <w:rsid w:val="0032579A"/>
    <w:rsid w:val="00333E58"/>
    <w:rsid w:val="0033772A"/>
    <w:rsid w:val="00337BE9"/>
    <w:rsid w:val="003459C8"/>
    <w:rsid w:val="00346C25"/>
    <w:rsid w:val="00352985"/>
    <w:rsid w:val="003551AC"/>
    <w:rsid w:val="0035623F"/>
    <w:rsid w:val="00357C85"/>
    <w:rsid w:val="00360952"/>
    <w:rsid w:val="00362560"/>
    <w:rsid w:val="003638AE"/>
    <w:rsid w:val="00363974"/>
    <w:rsid w:val="00364B6B"/>
    <w:rsid w:val="00366DF0"/>
    <w:rsid w:val="00370025"/>
    <w:rsid w:val="003745AA"/>
    <w:rsid w:val="00376D79"/>
    <w:rsid w:val="003801E5"/>
    <w:rsid w:val="00381349"/>
    <w:rsid w:val="003863FC"/>
    <w:rsid w:val="003952EB"/>
    <w:rsid w:val="00395B99"/>
    <w:rsid w:val="003A1DAC"/>
    <w:rsid w:val="003A2101"/>
    <w:rsid w:val="003A31DE"/>
    <w:rsid w:val="003A78BA"/>
    <w:rsid w:val="003B0665"/>
    <w:rsid w:val="003B1EA2"/>
    <w:rsid w:val="003B72EC"/>
    <w:rsid w:val="003B7CB7"/>
    <w:rsid w:val="003C231E"/>
    <w:rsid w:val="003C4C67"/>
    <w:rsid w:val="003D4A07"/>
    <w:rsid w:val="003D6A9C"/>
    <w:rsid w:val="003D7216"/>
    <w:rsid w:val="003E1056"/>
    <w:rsid w:val="003E1A1C"/>
    <w:rsid w:val="003E289D"/>
    <w:rsid w:val="003E34C8"/>
    <w:rsid w:val="003E77F5"/>
    <w:rsid w:val="003E7F28"/>
    <w:rsid w:val="003F0643"/>
    <w:rsid w:val="003F3800"/>
    <w:rsid w:val="003F5965"/>
    <w:rsid w:val="003F6A2B"/>
    <w:rsid w:val="004023CC"/>
    <w:rsid w:val="00406D6A"/>
    <w:rsid w:val="004107D3"/>
    <w:rsid w:val="00413FB2"/>
    <w:rsid w:val="00414C3B"/>
    <w:rsid w:val="004154C8"/>
    <w:rsid w:val="0041592B"/>
    <w:rsid w:val="00417BF1"/>
    <w:rsid w:val="004211CC"/>
    <w:rsid w:val="004215C2"/>
    <w:rsid w:val="00422FAE"/>
    <w:rsid w:val="00427400"/>
    <w:rsid w:val="00431601"/>
    <w:rsid w:val="00432E79"/>
    <w:rsid w:val="00436AEB"/>
    <w:rsid w:val="00441FFE"/>
    <w:rsid w:val="00450915"/>
    <w:rsid w:val="00451609"/>
    <w:rsid w:val="00456872"/>
    <w:rsid w:val="00456D8B"/>
    <w:rsid w:val="00457F24"/>
    <w:rsid w:val="00461B37"/>
    <w:rsid w:val="004738B5"/>
    <w:rsid w:val="00475114"/>
    <w:rsid w:val="004774C0"/>
    <w:rsid w:val="00481267"/>
    <w:rsid w:val="00485805"/>
    <w:rsid w:val="00485BB6"/>
    <w:rsid w:val="00492B12"/>
    <w:rsid w:val="00494F8E"/>
    <w:rsid w:val="00497D6A"/>
    <w:rsid w:val="00497DB0"/>
    <w:rsid w:val="004A5FD0"/>
    <w:rsid w:val="004A60BA"/>
    <w:rsid w:val="004A64D1"/>
    <w:rsid w:val="004B0229"/>
    <w:rsid w:val="004B2A80"/>
    <w:rsid w:val="004B4AEE"/>
    <w:rsid w:val="004B584B"/>
    <w:rsid w:val="004B6477"/>
    <w:rsid w:val="004C0E0B"/>
    <w:rsid w:val="004C459C"/>
    <w:rsid w:val="004C4D6B"/>
    <w:rsid w:val="004D1969"/>
    <w:rsid w:val="004D7F3C"/>
    <w:rsid w:val="004E0F45"/>
    <w:rsid w:val="004E198A"/>
    <w:rsid w:val="004E2834"/>
    <w:rsid w:val="004E2A24"/>
    <w:rsid w:val="004F0692"/>
    <w:rsid w:val="004F0B37"/>
    <w:rsid w:val="004F0C0D"/>
    <w:rsid w:val="004F15DB"/>
    <w:rsid w:val="004F2F0E"/>
    <w:rsid w:val="004F41EF"/>
    <w:rsid w:val="0050014B"/>
    <w:rsid w:val="00503269"/>
    <w:rsid w:val="00507BBF"/>
    <w:rsid w:val="00510B8B"/>
    <w:rsid w:val="00511905"/>
    <w:rsid w:val="00511E9D"/>
    <w:rsid w:val="00512CAD"/>
    <w:rsid w:val="00513468"/>
    <w:rsid w:val="005157B4"/>
    <w:rsid w:val="005168D5"/>
    <w:rsid w:val="00516EBB"/>
    <w:rsid w:val="005171C3"/>
    <w:rsid w:val="00517EF4"/>
    <w:rsid w:val="00525868"/>
    <w:rsid w:val="0053087E"/>
    <w:rsid w:val="00532C17"/>
    <w:rsid w:val="00545BAD"/>
    <w:rsid w:val="0055044E"/>
    <w:rsid w:val="00551CFA"/>
    <w:rsid w:val="00552F70"/>
    <w:rsid w:val="00563855"/>
    <w:rsid w:val="005653A5"/>
    <w:rsid w:val="005717E1"/>
    <w:rsid w:val="00571EB3"/>
    <w:rsid w:val="00573062"/>
    <w:rsid w:val="00573289"/>
    <w:rsid w:val="00573E12"/>
    <w:rsid w:val="00576598"/>
    <w:rsid w:val="005821BB"/>
    <w:rsid w:val="00582D9F"/>
    <w:rsid w:val="00584213"/>
    <w:rsid w:val="00584D15"/>
    <w:rsid w:val="00587010"/>
    <w:rsid w:val="00593151"/>
    <w:rsid w:val="0059472F"/>
    <w:rsid w:val="00594EA3"/>
    <w:rsid w:val="005A0E6E"/>
    <w:rsid w:val="005A531E"/>
    <w:rsid w:val="005A73A9"/>
    <w:rsid w:val="005B0B36"/>
    <w:rsid w:val="005B483F"/>
    <w:rsid w:val="005C0BAB"/>
    <w:rsid w:val="005C38CD"/>
    <w:rsid w:val="005C5B26"/>
    <w:rsid w:val="005D1CBE"/>
    <w:rsid w:val="005D3137"/>
    <w:rsid w:val="005D54CF"/>
    <w:rsid w:val="005D6CA4"/>
    <w:rsid w:val="005D6E01"/>
    <w:rsid w:val="005E1818"/>
    <w:rsid w:val="005E22D2"/>
    <w:rsid w:val="005E3190"/>
    <w:rsid w:val="005E4D0E"/>
    <w:rsid w:val="005F1026"/>
    <w:rsid w:val="005F2A59"/>
    <w:rsid w:val="005F5C10"/>
    <w:rsid w:val="005F68D7"/>
    <w:rsid w:val="006000BB"/>
    <w:rsid w:val="00602218"/>
    <w:rsid w:val="006036B6"/>
    <w:rsid w:val="00607F6F"/>
    <w:rsid w:val="006105DE"/>
    <w:rsid w:val="006142DF"/>
    <w:rsid w:val="00617ED2"/>
    <w:rsid w:val="00634C4D"/>
    <w:rsid w:val="00642FBC"/>
    <w:rsid w:val="00643C33"/>
    <w:rsid w:val="00644C54"/>
    <w:rsid w:val="006515A9"/>
    <w:rsid w:val="00653E17"/>
    <w:rsid w:val="00662CAC"/>
    <w:rsid w:val="00662DCC"/>
    <w:rsid w:val="00662F25"/>
    <w:rsid w:val="00670783"/>
    <w:rsid w:val="00673B76"/>
    <w:rsid w:val="00675D54"/>
    <w:rsid w:val="00676179"/>
    <w:rsid w:val="00682C7E"/>
    <w:rsid w:val="00684052"/>
    <w:rsid w:val="00684CD4"/>
    <w:rsid w:val="00692548"/>
    <w:rsid w:val="0069532C"/>
    <w:rsid w:val="006A06DE"/>
    <w:rsid w:val="006A29CE"/>
    <w:rsid w:val="006A368C"/>
    <w:rsid w:val="006A7919"/>
    <w:rsid w:val="006B30C3"/>
    <w:rsid w:val="006B79FA"/>
    <w:rsid w:val="006C1358"/>
    <w:rsid w:val="006C367B"/>
    <w:rsid w:val="006C50CB"/>
    <w:rsid w:val="006C6093"/>
    <w:rsid w:val="006C6572"/>
    <w:rsid w:val="006C7E78"/>
    <w:rsid w:val="006D094B"/>
    <w:rsid w:val="006D7412"/>
    <w:rsid w:val="006E698F"/>
    <w:rsid w:val="006F1A08"/>
    <w:rsid w:val="006F4B7D"/>
    <w:rsid w:val="00703AD3"/>
    <w:rsid w:val="00704B5D"/>
    <w:rsid w:val="00706C7F"/>
    <w:rsid w:val="00710062"/>
    <w:rsid w:val="007104EF"/>
    <w:rsid w:val="00711D32"/>
    <w:rsid w:val="00712D3F"/>
    <w:rsid w:val="007217AA"/>
    <w:rsid w:val="00721889"/>
    <w:rsid w:val="00722186"/>
    <w:rsid w:val="007233CE"/>
    <w:rsid w:val="00725ABD"/>
    <w:rsid w:val="00726AAE"/>
    <w:rsid w:val="00730DB7"/>
    <w:rsid w:val="0073324C"/>
    <w:rsid w:val="007402BF"/>
    <w:rsid w:val="00742D5B"/>
    <w:rsid w:val="007433B8"/>
    <w:rsid w:val="00744D03"/>
    <w:rsid w:val="00745BF5"/>
    <w:rsid w:val="007531D6"/>
    <w:rsid w:val="007545D2"/>
    <w:rsid w:val="007618B0"/>
    <w:rsid w:val="00765464"/>
    <w:rsid w:val="00766963"/>
    <w:rsid w:val="00770A11"/>
    <w:rsid w:val="00770A4B"/>
    <w:rsid w:val="00771623"/>
    <w:rsid w:val="00771E7B"/>
    <w:rsid w:val="0077206A"/>
    <w:rsid w:val="00772442"/>
    <w:rsid w:val="007807B5"/>
    <w:rsid w:val="007841FA"/>
    <w:rsid w:val="0078589B"/>
    <w:rsid w:val="00785C2F"/>
    <w:rsid w:val="00786153"/>
    <w:rsid w:val="00786211"/>
    <w:rsid w:val="00787313"/>
    <w:rsid w:val="007967C2"/>
    <w:rsid w:val="007973FE"/>
    <w:rsid w:val="007A0174"/>
    <w:rsid w:val="007A1203"/>
    <w:rsid w:val="007A45D9"/>
    <w:rsid w:val="007B02CA"/>
    <w:rsid w:val="007B28AB"/>
    <w:rsid w:val="007B5DF9"/>
    <w:rsid w:val="007B65BB"/>
    <w:rsid w:val="007C0100"/>
    <w:rsid w:val="007C732D"/>
    <w:rsid w:val="007D5428"/>
    <w:rsid w:val="007D6C66"/>
    <w:rsid w:val="007E349A"/>
    <w:rsid w:val="007E4BD8"/>
    <w:rsid w:val="007E5D66"/>
    <w:rsid w:val="007F632F"/>
    <w:rsid w:val="007F6CEC"/>
    <w:rsid w:val="007F7AA0"/>
    <w:rsid w:val="00802893"/>
    <w:rsid w:val="00811FDA"/>
    <w:rsid w:val="00813A62"/>
    <w:rsid w:val="008150CF"/>
    <w:rsid w:val="00815F14"/>
    <w:rsid w:val="00817BE0"/>
    <w:rsid w:val="0082655F"/>
    <w:rsid w:val="00826CA7"/>
    <w:rsid w:val="008301A4"/>
    <w:rsid w:val="00832B89"/>
    <w:rsid w:val="00833B8C"/>
    <w:rsid w:val="00837884"/>
    <w:rsid w:val="00844974"/>
    <w:rsid w:val="00846D4B"/>
    <w:rsid w:val="00852FF1"/>
    <w:rsid w:val="00854DD1"/>
    <w:rsid w:val="00856376"/>
    <w:rsid w:val="0086095A"/>
    <w:rsid w:val="00860CDF"/>
    <w:rsid w:val="00860DA9"/>
    <w:rsid w:val="0086334F"/>
    <w:rsid w:val="00864712"/>
    <w:rsid w:val="0086653F"/>
    <w:rsid w:val="008730E4"/>
    <w:rsid w:val="00874C97"/>
    <w:rsid w:val="0088149D"/>
    <w:rsid w:val="00894EF0"/>
    <w:rsid w:val="008A1028"/>
    <w:rsid w:val="008A1B3F"/>
    <w:rsid w:val="008A3ADD"/>
    <w:rsid w:val="008A4B6E"/>
    <w:rsid w:val="008A55C8"/>
    <w:rsid w:val="008A5BE0"/>
    <w:rsid w:val="008A6323"/>
    <w:rsid w:val="008B2795"/>
    <w:rsid w:val="008B65FB"/>
    <w:rsid w:val="008C024E"/>
    <w:rsid w:val="008C1A41"/>
    <w:rsid w:val="008C3367"/>
    <w:rsid w:val="008C3CCB"/>
    <w:rsid w:val="008D444F"/>
    <w:rsid w:val="008E6FF0"/>
    <w:rsid w:val="008E7A2B"/>
    <w:rsid w:val="008F0180"/>
    <w:rsid w:val="008F3E78"/>
    <w:rsid w:val="008F45CA"/>
    <w:rsid w:val="009019E9"/>
    <w:rsid w:val="009021BA"/>
    <w:rsid w:val="00902ACB"/>
    <w:rsid w:val="00906CCA"/>
    <w:rsid w:val="00914143"/>
    <w:rsid w:val="00915E6F"/>
    <w:rsid w:val="0092134E"/>
    <w:rsid w:val="00922881"/>
    <w:rsid w:val="00923375"/>
    <w:rsid w:val="00924775"/>
    <w:rsid w:val="00934B73"/>
    <w:rsid w:val="009435D3"/>
    <w:rsid w:val="00945FA9"/>
    <w:rsid w:val="009509F3"/>
    <w:rsid w:val="009510CB"/>
    <w:rsid w:val="00951A76"/>
    <w:rsid w:val="00953906"/>
    <w:rsid w:val="009602DC"/>
    <w:rsid w:val="00960DA5"/>
    <w:rsid w:val="00963EDF"/>
    <w:rsid w:val="009667A6"/>
    <w:rsid w:val="00971638"/>
    <w:rsid w:val="00971695"/>
    <w:rsid w:val="00975830"/>
    <w:rsid w:val="009845A3"/>
    <w:rsid w:val="00985510"/>
    <w:rsid w:val="00985768"/>
    <w:rsid w:val="00986AA9"/>
    <w:rsid w:val="00990236"/>
    <w:rsid w:val="0099048E"/>
    <w:rsid w:val="00991227"/>
    <w:rsid w:val="00991729"/>
    <w:rsid w:val="00992B07"/>
    <w:rsid w:val="00994240"/>
    <w:rsid w:val="00997979"/>
    <w:rsid w:val="009A41F4"/>
    <w:rsid w:val="009A5DA5"/>
    <w:rsid w:val="009A655A"/>
    <w:rsid w:val="009B3D7F"/>
    <w:rsid w:val="009B66B7"/>
    <w:rsid w:val="009B6CF2"/>
    <w:rsid w:val="009B712C"/>
    <w:rsid w:val="009C0964"/>
    <w:rsid w:val="009C1391"/>
    <w:rsid w:val="009C16B6"/>
    <w:rsid w:val="009C51C5"/>
    <w:rsid w:val="009C70E6"/>
    <w:rsid w:val="009D0357"/>
    <w:rsid w:val="009D0845"/>
    <w:rsid w:val="009E035A"/>
    <w:rsid w:val="009E77E1"/>
    <w:rsid w:val="009E7CF0"/>
    <w:rsid w:val="009F02EB"/>
    <w:rsid w:val="009F179F"/>
    <w:rsid w:val="009F7D37"/>
    <w:rsid w:val="00A001B5"/>
    <w:rsid w:val="00A066DB"/>
    <w:rsid w:val="00A07047"/>
    <w:rsid w:val="00A106B4"/>
    <w:rsid w:val="00A14789"/>
    <w:rsid w:val="00A20498"/>
    <w:rsid w:val="00A20FD1"/>
    <w:rsid w:val="00A23D01"/>
    <w:rsid w:val="00A25AFC"/>
    <w:rsid w:val="00A26B21"/>
    <w:rsid w:val="00A329A3"/>
    <w:rsid w:val="00A44318"/>
    <w:rsid w:val="00A45FF9"/>
    <w:rsid w:val="00A501D5"/>
    <w:rsid w:val="00A528F9"/>
    <w:rsid w:val="00A54F78"/>
    <w:rsid w:val="00A5797F"/>
    <w:rsid w:val="00A63522"/>
    <w:rsid w:val="00A64F96"/>
    <w:rsid w:val="00A6519D"/>
    <w:rsid w:val="00A66719"/>
    <w:rsid w:val="00A8275B"/>
    <w:rsid w:val="00A82BB7"/>
    <w:rsid w:val="00A8322C"/>
    <w:rsid w:val="00A84254"/>
    <w:rsid w:val="00A92144"/>
    <w:rsid w:val="00A932C8"/>
    <w:rsid w:val="00A94967"/>
    <w:rsid w:val="00AA0CAA"/>
    <w:rsid w:val="00AA341C"/>
    <w:rsid w:val="00AA4F7E"/>
    <w:rsid w:val="00AA7AAB"/>
    <w:rsid w:val="00AA7B0A"/>
    <w:rsid w:val="00AB06FA"/>
    <w:rsid w:val="00AB3F69"/>
    <w:rsid w:val="00AB4D39"/>
    <w:rsid w:val="00AB58A9"/>
    <w:rsid w:val="00AC0134"/>
    <w:rsid w:val="00AD6D9C"/>
    <w:rsid w:val="00AD7F23"/>
    <w:rsid w:val="00AD7F3C"/>
    <w:rsid w:val="00AE0236"/>
    <w:rsid w:val="00AE3615"/>
    <w:rsid w:val="00AE369C"/>
    <w:rsid w:val="00AE3877"/>
    <w:rsid w:val="00AE4FE7"/>
    <w:rsid w:val="00AE5A44"/>
    <w:rsid w:val="00AE6161"/>
    <w:rsid w:val="00AE78DB"/>
    <w:rsid w:val="00AF0A17"/>
    <w:rsid w:val="00AF2889"/>
    <w:rsid w:val="00AF7B6D"/>
    <w:rsid w:val="00B02B85"/>
    <w:rsid w:val="00B02CAE"/>
    <w:rsid w:val="00B032CF"/>
    <w:rsid w:val="00B040F4"/>
    <w:rsid w:val="00B06B54"/>
    <w:rsid w:val="00B06BAE"/>
    <w:rsid w:val="00B13B3A"/>
    <w:rsid w:val="00B159F7"/>
    <w:rsid w:val="00B21F1C"/>
    <w:rsid w:val="00B231CE"/>
    <w:rsid w:val="00B23B40"/>
    <w:rsid w:val="00B25242"/>
    <w:rsid w:val="00B26C68"/>
    <w:rsid w:val="00B30010"/>
    <w:rsid w:val="00B30288"/>
    <w:rsid w:val="00B32436"/>
    <w:rsid w:val="00B35D97"/>
    <w:rsid w:val="00B40CD3"/>
    <w:rsid w:val="00B41390"/>
    <w:rsid w:val="00B4367B"/>
    <w:rsid w:val="00B44617"/>
    <w:rsid w:val="00B45E78"/>
    <w:rsid w:val="00B45FBC"/>
    <w:rsid w:val="00B5013F"/>
    <w:rsid w:val="00B501DF"/>
    <w:rsid w:val="00B51071"/>
    <w:rsid w:val="00B51E04"/>
    <w:rsid w:val="00B539E3"/>
    <w:rsid w:val="00B53ED8"/>
    <w:rsid w:val="00B551E3"/>
    <w:rsid w:val="00B55A60"/>
    <w:rsid w:val="00B56B94"/>
    <w:rsid w:val="00B56F30"/>
    <w:rsid w:val="00B57A5E"/>
    <w:rsid w:val="00B62F28"/>
    <w:rsid w:val="00B65AAF"/>
    <w:rsid w:val="00B665DC"/>
    <w:rsid w:val="00B70E55"/>
    <w:rsid w:val="00B756B8"/>
    <w:rsid w:val="00B76AE2"/>
    <w:rsid w:val="00B85752"/>
    <w:rsid w:val="00B863A6"/>
    <w:rsid w:val="00B94BF9"/>
    <w:rsid w:val="00B95F70"/>
    <w:rsid w:val="00BA09F8"/>
    <w:rsid w:val="00BA4655"/>
    <w:rsid w:val="00BA5821"/>
    <w:rsid w:val="00BA6518"/>
    <w:rsid w:val="00BB108F"/>
    <w:rsid w:val="00BC05AF"/>
    <w:rsid w:val="00BC05BF"/>
    <w:rsid w:val="00BC1430"/>
    <w:rsid w:val="00BC2766"/>
    <w:rsid w:val="00BC5BFA"/>
    <w:rsid w:val="00BD0CB3"/>
    <w:rsid w:val="00BD1121"/>
    <w:rsid w:val="00BD1685"/>
    <w:rsid w:val="00BD4EBD"/>
    <w:rsid w:val="00BD516C"/>
    <w:rsid w:val="00BE0BE7"/>
    <w:rsid w:val="00BE3075"/>
    <w:rsid w:val="00BE3CC2"/>
    <w:rsid w:val="00BF0146"/>
    <w:rsid w:val="00BF17E1"/>
    <w:rsid w:val="00BF3B10"/>
    <w:rsid w:val="00BF42DD"/>
    <w:rsid w:val="00C01777"/>
    <w:rsid w:val="00C01A55"/>
    <w:rsid w:val="00C03DC2"/>
    <w:rsid w:val="00C141AD"/>
    <w:rsid w:val="00C15776"/>
    <w:rsid w:val="00C17592"/>
    <w:rsid w:val="00C21C41"/>
    <w:rsid w:val="00C2521F"/>
    <w:rsid w:val="00C25ACC"/>
    <w:rsid w:val="00C26C5C"/>
    <w:rsid w:val="00C27B12"/>
    <w:rsid w:val="00C31EDE"/>
    <w:rsid w:val="00C3277B"/>
    <w:rsid w:val="00C35214"/>
    <w:rsid w:val="00C35577"/>
    <w:rsid w:val="00C40889"/>
    <w:rsid w:val="00C479DB"/>
    <w:rsid w:val="00C50740"/>
    <w:rsid w:val="00C522BA"/>
    <w:rsid w:val="00C53D6F"/>
    <w:rsid w:val="00C543B6"/>
    <w:rsid w:val="00C54BFE"/>
    <w:rsid w:val="00C55F13"/>
    <w:rsid w:val="00C5715F"/>
    <w:rsid w:val="00C57BF0"/>
    <w:rsid w:val="00C65A0E"/>
    <w:rsid w:val="00C65BD6"/>
    <w:rsid w:val="00C720A8"/>
    <w:rsid w:val="00C726FE"/>
    <w:rsid w:val="00C76FB3"/>
    <w:rsid w:val="00C7748D"/>
    <w:rsid w:val="00C8032B"/>
    <w:rsid w:val="00C82509"/>
    <w:rsid w:val="00C85199"/>
    <w:rsid w:val="00C85AAA"/>
    <w:rsid w:val="00C87343"/>
    <w:rsid w:val="00C92CA9"/>
    <w:rsid w:val="00CA1800"/>
    <w:rsid w:val="00CA2C74"/>
    <w:rsid w:val="00CA3D0A"/>
    <w:rsid w:val="00CA45A0"/>
    <w:rsid w:val="00CB32A7"/>
    <w:rsid w:val="00CB754A"/>
    <w:rsid w:val="00CC108A"/>
    <w:rsid w:val="00CC7A02"/>
    <w:rsid w:val="00CD1D09"/>
    <w:rsid w:val="00CE3A02"/>
    <w:rsid w:val="00CE5544"/>
    <w:rsid w:val="00CE6404"/>
    <w:rsid w:val="00CF48F3"/>
    <w:rsid w:val="00CF4DF7"/>
    <w:rsid w:val="00CF6A16"/>
    <w:rsid w:val="00CF7729"/>
    <w:rsid w:val="00D019CC"/>
    <w:rsid w:val="00D01CF5"/>
    <w:rsid w:val="00D03039"/>
    <w:rsid w:val="00D05BB6"/>
    <w:rsid w:val="00D06239"/>
    <w:rsid w:val="00D06C67"/>
    <w:rsid w:val="00D07A51"/>
    <w:rsid w:val="00D10BEB"/>
    <w:rsid w:val="00D11E3A"/>
    <w:rsid w:val="00D16EC4"/>
    <w:rsid w:val="00D205D0"/>
    <w:rsid w:val="00D20E1D"/>
    <w:rsid w:val="00D301B6"/>
    <w:rsid w:val="00D327E2"/>
    <w:rsid w:val="00D3451B"/>
    <w:rsid w:val="00D36DE1"/>
    <w:rsid w:val="00D413D3"/>
    <w:rsid w:val="00D479D5"/>
    <w:rsid w:val="00D47BAC"/>
    <w:rsid w:val="00D631D6"/>
    <w:rsid w:val="00D6347D"/>
    <w:rsid w:val="00D644FB"/>
    <w:rsid w:val="00D65D0E"/>
    <w:rsid w:val="00D67A47"/>
    <w:rsid w:val="00D76EC6"/>
    <w:rsid w:val="00D80476"/>
    <w:rsid w:val="00D84841"/>
    <w:rsid w:val="00D8490D"/>
    <w:rsid w:val="00D84BAC"/>
    <w:rsid w:val="00D85317"/>
    <w:rsid w:val="00D85432"/>
    <w:rsid w:val="00D864C0"/>
    <w:rsid w:val="00D86876"/>
    <w:rsid w:val="00D87151"/>
    <w:rsid w:val="00D87798"/>
    <w:rsid w:val="00D916AA"/>
    <w:rsid w:val="00D949B8"/>
    <w:rsid w:val="00D94F14"/>
    <w:rsid w:val="00D95C1E"/>
    <w:rsid w:val="00D97CAE"/>
    <w:rsid w:val="00DA7694"/>
    <w:rsid w:val="00DB39B3"/>
    <w:rsid w:val="00DB6B70"/>
    <w:rsid w:val="00DB77E5"/>
    <w:rsid w:val="00DC0068"/>
    <w:rsid w:val="00DC016F"/>
    <w:rsid w:val="00DC594F"/>
    <w:rsid w:val="00DC7EE4"/>
    <w:rsid w:val="00DD165B"/>
    <w:rsid w:val="00DD3B6E"/>
    <w:rsid w:val="00DD5689"/>
    <w:rsid w:val="00DD7541"/>
    <w:rsid w:val="00DD756E"/>
    <w:rsid w:val="00DE039D"/>
    <w:rsid w:val="00DE1A54"/>
    <w:rsid w:val="00DE4719"/>
    <w:rsid w:val="00DE7871"/>
    <w:rsid w:val="00DF1F9C"/>
    <w:rsid w:val="00DF2594"/>
    <w:rsid w:val="00E02EDF"/>
    <w:rsid w:val="00E059A9"/>
    <w:rsid w:val="00E0755A"/>
    <w:rsid w:val="00E10EEA"/>
    <w:rsid w:val="00E16776"/>
    <w:rsid w:val="00E1692E"/>
    <w:rsid w:val="00E16C70"/>
    <w:rsid w:val="00E1729A"/>
    <w:rsid w:val="00E17E65"/>
    <w:rsid w:val="00E2050D"/>
    <w:rsid w:val="00E3218C"/>
    <w:rsid w:val="00E34535"/>
    <w:rsid w:val="00E350CD"/>
    <w:rsid w:val="00E42454"/>
    <w:rsid w:val="00E454C2"/>
    <w:rsid w:val="00E46EBC"/>
    <w:rsid w:val="00E50E95"/>
    <w:rsid w:val="00E52942"/>
    <w:rsid w:val="00E54957"/>
    <w:rsid w:val="00E62AEF"/>
    <w:rsid w:val="00E63D3D"/>
    <w:rsid w:val="00E65443"/>
    <w:rsid w:val="00E71546"/>
    <w:rsid w:val="00E7527A"/>
    <w:rsid w:val="00E75B15"/>
    <w:rsid w:val="00E76268"/>
    <w:rsid w:val="00E76B62"/>
    <w:rsid w:val="00E76EE1"/>
    <w:rsid w:val="00E770D7"/>
    <w:rsid w:val="00E81F72"/>
    <w:rsid w:val="00E84B55"/>
    <w:rsid w:val="00E8647F"/>
    <w:rsid w:val="00E870EB"/>
    <w:rsid w:val="00E90AFE"/>
    <w:rsid w:val="00E9165F"/>
    <w:rsid w:val="00EA0987"/>
    <w:rsid w:val="00EA5644"/>
    <w:rsid w:val="00EA6B24"/>
    <w:rsid w:val="00EB403B"/>
    <w:rsid w:val="00EB4AB3"/>
    <w:rsid w:val="00EB6C94"/>
    <w:rsid w:val="00EC48CC"/>
    <w:rsid w:val="00EC5C7D"/>
    <w:rsid w:val="00EC7850"/>
    <w:rsid w:val="00ED04F8"/>
    <w:rsid w:val="00ED46B6"/>
    <w:rsid w:val="00EE7401"/>
    <w:rsid w:val="00EF030D"/>
    <w:rsid w:val="00EF424A"/>
    <w:rsid w:val="00EF4407"/>
    <w:rsid w:val="00EF5EE7"/>
    <w:rsid w:val="00EF68AC"/>
    <w:rsid w:val="00EF6EF1"/>
    <w:rsid w:val="00F00E47"/>
    <w:rsid w:val="00F01D36"/>
    <w:rsid w:val="00F03ABF"/>
    <w:rsid w:val="00F221DC"/>
    <w:rsid w:val="00F255FF"/>
    <w:rsid w:val="00F25A0A"/>
    <w:rsid w:val="00F2608D"/>
    <w:rsid w:val="00F3025D"/>
    <w:rsid w:val="00F314E7"/>
    <w:rsid w:val="00F330FA"/>
    <w:rsid w:val="00F35ACA"/>
    <w:rsid w:val="00F36521"/>
    <w:rsid w:val="00F36C83"/>
    <w:rsid w:val="00F41D83"/>
    <w:rsid w:val="00F468F2"/>
    <w:rsid w:val="00F50379"/>
    <w:rsid w:val="00F507DB"/>
    <w:rsid w:val="00F5582B"/>
    <w:rsid w:val="00F560A6"/>
    <w:rsid w:val="00F56540"/>
    <w:rsid w:val="00F653DE"/>
    <w:rsid w:val="00F7039E"/>
    <w:rsid w:val="00F7134F"/>
    <w:rsid w:val="00F71373"/>
    <w:rsid w:val="00F713EC"/>
    <w:rsid w:val="00F732B8"/>
    <w:rsid w:val="00F740E3"/>
    <w:rsid w:val="00F741A7"/>
    <w:rsid w:val="00F75AC5"/>
    <w:rsid w:val="00F92A4A"/>
    <w:rsid w:val="00F9698D"/>
    <w:rsid w:val="00F96BC1"/>
    <w:rsid w:val="00FA0DDF"/>
    <w:rsid w:val="00FA147E"/>
    <w:rsid w:val="00FA2A00"/>
    <w:rsid w:val="00FA4B55"/>
    <w:rsid w:val="00FB1B6F"/>
    <w:rsid w:val="00FB1DB0"/>
    <w:rsid w:val="00FB31DF"/>
    <w:rsid w:val="00FB53B9"/>
    <w:rsid w:val="00FB5BE0"/>
    <w:rsid w:val="00FC02A9"/>
    <w:rsid w:val="00FC060D"/>
    <w:rsid w:val="00FC4AEE"/>
    <w:rsid w:val="00FC672E"/>
    <w:rsid w:val="00FC6CE4"/>
    <w:rsid w:val="00FC7A6B"/>
    <w:rsid w:val="00FD1E6B"/>
    <w:rsid w:val="00FD247C"/>
    <w:rsid w:val="00FD2C12"/>
    <w:rsid w:val="00FD2E1C"/>
    <w:rsid w:val="00FD731A"/>
    <w:rsid w:val="00FE5384"/>
    <w:rsid w:val="00FE5E27"/>
    <w:rsid w:val="00FE5E3B"/>
    <w:rsid w:val="00FE7278"/>
    <w:rsid w:val="00FF05BE"/>
    <w:rsid w:val="00FF37E6"/>
    <w:rsid w:val="00FF3ADC"/>
    <w:rsid w:val="00FF41DA"/>
    <w:rsid w:val="00FF4533"/>
    <w:rsid w:val="00FF75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2183A-A3D2-47DF-A8A5-516320AC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12</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Yolandi E.D. Basson</cp:lastModifiedBy>
  <cp:revision>20</cp:revision>
  <cp:lastPrinted>2019-04-16T13:31:00Z</cp:lastPrinted>
  <dcterms:created xsi:type="dcterms:W3CDTF">2019-04-03T06:05:00Z</dcterms:created>
  <dcterms:modified xsi:type="dcterms:W3CDTF">2019-04-16T13:31:00Z</dcterms:modified>
</cp:coreProperties>
</file>