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41" w:rsidRDefault="00A90E41" w:rsidP="00654B82">
      <w:pPr>
        <w:spacing w:after="0" w:line="360" w:lineRule="auto"/>
        <w:jc w:val="center"/>
        <w:rPr>
          <w:rFonts w:ascii="Arial" w:eastAsia="Calibri" w:hAnsi="Arial" w:cs="Arial"/>
          <w:b/>
          <w:sz w:val="24"/>
          <w:szCs w:val="24"/>
        </w:rPr>
      </w:pPr>
      <w:r w:rsidRPr="000C3275">
        <w:rPr>
          <w:rFonts w:ascii="Arial" w:eastAsia="Calibri" w:hAnsi="Arial" w:cs="Arial"/>
          <w:b/>
          <w:noProof/>
          <w:sz w:val="24"/>
          <w:szCs w:val="24"/>
          <w:lang w:val="en-ZA" w:eastAsia="en-ZA"/>
        </w:rPr>
        <w:drawing>
          <wp:inline distT="0" distB="0" distL="0" distR="0" wp14:anchorId="6AEA4AA1" wp14:editId="393DEE9C">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rsidR="005E48BB" w:rsidRPr="000C3275" w:rsidRDefault="005E48BB" w:rsidP="00654B82">
      <w:pPr>
        <w:spacing w:after="0" w:line="360" w:lineRule="auto"/>
        <w:jc w:val="right"/>
        <w:rPr>
          <w:rFonts w:ascii="Arial" w:hAnsi="Arial" w:cs="Arial"/>
          <w:b/>
          <w:sz w:val="24"/>
          <w:szCs w:val="24"/>
        </w:rPr>
      </w:pPr>
      <w:r w:rsidRPr="000C3275">
        <w:rPr>
          <w:rFonts w:ascii="Arial" w:hAnsi="Arial" w:cs="Arial"/>
          <w:b/>
          <w:sz w:val="24"/>
          <w:szCs w:val="24"/>
        </w:rPr>
        <w:t>REPORTABLE</w:t>
      </w:r>
    </w:p>
    <w:p w:rsidR="00A90E41" w:rsidRPr="000C3275" w:rsidRDefault="00A726EB" w:rsidP="00654B82">
      <w:pPr>
        <w:spacing w:after="0" w:line="360" w:lineRule="auto"/>
        <w:jc w:val="right"/>
        <w:rPr>
          <w:rFonts w:ascii="Arial" w:hAnsi="Arial" w:cs="Arial"/>
          <w:sz w:val="24"/>
          <w:szCs w:val="24"/>
        </w:rPr>
      </w:pPr>
      <w:r>
        <w:rPr>
          <w:rFonts w:ascii="Arial" w:hAnsi="Arial" w:cs="Arial"/>
          <w:sz w:val="24"/>
          <w:szCs w:val="24"/>
        </w:rPr>
        <w:t>CASE NO: P</w:t>
      </w:r>
      <w:r w:rsidR="00A90E41" w:rsidRPr="000C3275">
        <w:rPr>
          <w:rFonts w:ascii="Arial" w:hAnsi="Arial" w:cs="Arial"/>
          <w:sz w:val="24"/>
          <w:szCs w:val="24"/>
        </w:rPr>
        <w:t>8/2018</w:t>
      </w:r>
    </w:p>
    <w:p w:rsidR="005E48BB" w:rsidRPr="000C3275" w:rsidRDefault="005E48BB" w:rsidP="00171583">
      <w:pPr>
        <w:spacing w:after="0" w:line="480" w:lineRule="auto"/>
        <w:rPr>
          <w:rFonts w:ascii="Arial" w:hAnsi="Arial" w:cs="Arial"/>
          <w:b/>
          <w:sz w:val="24"/>
          <w:szCs w:val="24"/>
        </w:rPr>
      </w:pPr>
      <w:r w:rsidRPr="000C3275">
        <w:rPr>
          <w:rFonts w:ascii="Arial" w:hAnsi="Arial" w:cs="Arial"/>
          <w:b/>
          <w:sz w:val="24"/>
          <w:szCs w:val="24"/>
        </w:rPr>
        <w:t>IN THE SUPREME COURT OF NAMIBIA</w:t>
      </w:r>
    </w:p>
    <w:p w:rsidR="005E48BB" w:rsidRPr="000C3275" w:rsidRDefault="005E48BB" w:rsidP="00171583">
      <w:pPr>
        <w:tabs>
          <w:tab w:val="left" w:pos="5625"/>
        </w:tabs>
        <w:spacing w:after="0" w:line="480" w:lineRule="auto"/>
        <w:jc w:val="both"/>
        <w:rPr>
          <w:rFonts w:ascii="Arial" w:hAnsi="Arial" w:cs="Arial"/>
          <w:sz w:val="24"/>
          <w:szCs w:val="24"/>
        </w:rPr>
      </w:pPr>
    </w:p>
    <w:p w:rsidR="005E48BB" w:rsidRPr="000C3275" w:rsidRDefault="00A90E41" w:rsidP="00171583">
      <w:pPr>
        <w:tabs>
          <w:tab w:val="left" w:pos="5625"/>
        </w:tabs>
        <w:spacing w:after="0" w:line="480" w:lineRule="auto"/>
        <w:jc w:val="both"/>
        <w:rPr>
          <w:rFonts w:ascii="Arial" w:hAnsi="Arial" w:cs="Arial"/>
          <w:sz w:val="24"/>
          <w:szCs w:val="24"/>
        </w:rPr>
      </w:pPr>
      <w:r w:rsidRPr="000C3275">
        <w:rPr>
          <w:rFonts w:ascii="Arial" w:hAnsi="Arial" w:cs="Arial"/>
          <w:sz w:val="24"/>
          <w:szCs w:val="24"/>
        </w:rPr>
        <w:t>In the matter between:</w:t>
      </w:r>
    </w:p>
    <w:p w:rsidR="005E48BB" w:rsidRPr="000C3275" w:rsidRDefault="005E48BB" w:rsidP="00171583">
      <w:pPr>
        <w:tabs>
          <w:tab w:val="left" w:pos="5625"/>
        </w:tabs>
        <w:spacing w:after="0" w:line="48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977"/>
      </w:tblGrid>
      <w:tr w:rsidR="00A726EB" w:rsidTr="00654B82">
        <w:tc>
          <w:tcPr>
            <w:tcW w:w="5812" w:type="dxa"/>
          </w:tcPr>
          <w:p w:rsidR="00A726EB" w:rsidRDefault="00A726EB" w:rsidP="00171583">
            <w:pPr>
              <w:spacing w:after="0" w:line="480" w:lineRule="auto"/>
              <w:jc w:val="both"/>
              <w:rPr>
                <w:rFonts w:ascii="Arial" w:hAnsi="Arial" w:cs="Arial"/>
                <w:b/>
                <w:sz w:val="24"/>
                <w:szCs w:val="24"/>
              </w:rPr>
            </w:pPr>
            <w:r w:rsidRPr="000C3275">
              <w:rPr>
                <w:rFonts w:ascii="Arial" w:hAnsi="Arial" w:cs="Arial"/>
                <w:b/>
                <w:sz w:val="24"/>
                <w:szCs w:val="24"/>
              </w:rPr>
              <w:t>MINISTER OF FINANCE</w:t>
            </w:r>
          </w:p>
        </w:tc>
        <w:tc>
          <w:tcPr>
            <w:tcW w:w="2977" w:type="dxa"/>
          </w:tcPr>
          <w:p w:rsidR="00A726EB" w:rsidRDefault="00A726EB" w:rsidP="00A726EB">
            <w:pPr>
              <w:spacing w:after="0" w:line="480" w:lineRule="auto"/>
              <w:jc w:val="both"/>
              <w:rPr>
                <w:rFonts w:ascii="Arial" w:hAnsi="Arial" w:cs="Arial"/>
                <w:b/>
                <w:sz w:val="24"/>
                <w:szCs w:val="24"/>
              </w:rPr>
            </w:pPr>
            <w:r>
              <w:rPr>
                <w:rFonts w:ascii="Arial" w:hAnsi="Arial" w:cs="Arial"/>
                <w:b/>
                <w:sz w:val="24"/>
                <w:szCs w:val="24"/>
              </w:rPr>
              <w:t xml:space="preserve">First </w:t>
            </w:r>
            <w:r w:rsidRPr="000C3275">
              <w:rPr>
                <w:rFonts w:ascii="Arial" w:hAnsi="Arial" w:cs="Arial"/>
                <w:b/>
                <w:sz w:val="24"/>
                <w:szCs w:val="24"/>
              </w:rPr>
              <w:t>Applicant</w:t>
            </w:r>
          </w:p>
        </w:tc>
      </w:tr>
      <w:tr w:rsidR="00A726EB" w:rsidTr="00654B82">
        <w:tc>
          <w:tcPr>
            <w:tcW w:w="5812" w:type="dxa"/>
          </w:tcPr>
          <w:p w:rsidR="00A726EB" w:rsidRPr="000C3275" w:rsidRDefault="00A726EB" w:rsidP="00A726EB">
            <w:pPr>
              <w:spacing w:after="0" w:line="480" w:lineRule="auto"/>
              <w:jc w:val="both"/>
              <w:rPr>
                <w:rFonts w:ascii="Arial" w:hAnsi="Arial" w:cs="Arial"/>
                <w:b/>
                <w:sz w:val="24"/>
                <w:szCs w:val="24"/>
              </w:rPr>
            </w:pPr>
            <w:r>
              <w:rPr>
                <w:rFonts w:ascii="Arial" w:hAnsi="Arial" w:cs="Arial"/>
                <w:b/>
                <w:sz w:val="24"/>
                <w:szCs w:val="24"/>
              </w:rPr>
              <w:t xml:space="preserve">NAMIBIA NATIONAL REINSURANCE </w:t>
            </w:r>
            <w:r w:rsidRPr="000C3275">
              <w:rPr>
                <w:rFonts w:ascii="Arial" w:hAnsi="Arial" w:cs="Arial"/>
                <w:b/>
                <w:sz w:val="24"/>
                <w:szCs w:val="24"/>
              </w:rPr>
              <w:t>CORPORATION LIMITED</w:t>
            </w:r>
          </w:p>
        </w:tc>
        <w:tc>
          <w:tcPr>
            <w:tcW w:w="2977" w:type="dxa"/>
          </w:tcPr>
          <w:p w:rsidR="00A726EB" w:rsidRDefault="00A726EB" w:rsidP="00A726EB">
            <w:pPr>
              <w:spacing w:after="0" w:line="480" w:lineRule="auto"/>
              <w:jc w:val="both"/>
              <w:rPr>
                <w:rFonts w:ascii="Arial" w:hAnsi="Arial" w:cs="Arial"/>
                <w:b/>
                <w:sz w:val="24"/>
                <w:szCs w:val="24"/>
              </w:rPr>
            </w:pPr>
          </w:p>
          <w:p w:rsidR="00A726EB" w:rsidRPr="000C3275" w:rsidRDefault="00A726EB" w:rsidP="00A726EB">
            <w:pPr>
              <w:spacing w:after="0" w:line="480" w:lineRule="auto"/>
              <w:jc w:val="both"/>
              <w:rPr>
                <w:rFonts w:ascii="Arial" w:hAnsi="Arial" w:cs="Arial"/>
                <w:b/>
                <w:sz w:val="24"/>
                <w:szCs w:val="24"/>
              </w:rPr>
            </w:pPr>
            <w:r>
              <w:rPr>
                <w:rFonts w:ascii="Arial" w:hAnsi="Arial" w:cs="Arial"/>
                <w:b/>
                <w:sz w:val="24"/>
                <w:szCs w:val="24"/>
              </w:rPr>
              <w:t>Second Applicant</w:t>
            </w:r>
          </w:p>
        </w:tc>
      </w:tr>
      <w:tr w:rsidR="00A726EB" w:rsidTr="00654B82">
        <w:tc>
          <w:tcPr>
            <w:tcW w:w="5812" w:type="dxa"/>
          </w:tcPr>
          <w:p w:rsidR="00724152" w:rsidRDefault="00724152" w:rsidP="00A726EB">
            <w:pPr>
              <w:spacing w:after="0" w:line="480" w:lineRule="auto"/>
              <w:jc w:val="both"/>
              <w:rPr>
                <w:rFonts w:ascii="Arial" w:hAnsi="Arial" w:cs="Arial"/>
                <w:sz w:val="24"/>
                <w:szCs w:val="24"/>
              </w:rPr>
            </w:pPr>
          </w:p>
          <w:p w:rsidR="00A726EB" w:rsidRPr="00A726EB" w:rsidRDefault="00A726EB" w:rsidP="00A726EB">
            <w:pPr>
              <w:spacing w:after="0" w:line="480" w:lineRule="auto"/>
              <w:jc w:val="both"/>
              <w:rPr>
                <w:rFonts w:ascii="Arial" w:hAnsi="Arial" w:cs="Arial"/>
                <w:sz w:val="24"/>
                <w:szCs w:val="24"/>
              </w:rPr>
            </w:pPr>
            <w:r>
              <w:rPr>
                <w:rFonts w:ascii="Arial" w:hAnsi="Arial" w:cs="Arial"/>
                <w:sz w:val="24"/>
                <w:szCs w:val="24"/>
              </w:rPr>
              <w:t>a</w:t>
            </w:r>
            <w:r w:rsidRPr="00A726EB">
              <w:rPr>
                <w:rFonts w:ascii="Arial" w:hAnsi="Arial" w:cs="Arial"/>
                <w:sz w:val="24"/>
                <w:szCs w:val="24"/>
              </w:rPr>
              <w:t>nd</w:t>
            </w:r>
          </w:p>
        </w:tc>
        <w:tc>
          <w:tcPr>
            <w:tcW w:w="2977" w:type="dxa"/>
          </w:tcPr>
          <w:p w:rsidR="00A726EB" w:rsidRDefault="00A726EB" w:rsidP="00A726EB">
            <w:pPr>
              <w:spacing w:after="0" w:line="480" w:lineRule="auto"/>
              <w:jc w:val="both"/>
              <w:rPr>
                <w:rFonts w:ascii="Arial" w:hAnsi="Arial" w:cs="Arial"/>
                <w:b/>
                <w:sz w:val="24"/>
                <w:szCs w:val="24"/>
              </w:rPr>
            </w:pPr>
          </w:p>
        </w:tc>
      </w:tr>
      <w:tr w:rsidR="00A726EB" w:rsidTr="00654B82">
        <w:tc>
          <w:tcPr>
            <w:tcW w:w="5812" w:type="dxa"/>
          </w:tcPr>
          <w:p w:rsidR="00724152" w:rsidRDefault="00724152" w:rsidP="00A726EB">
            <w:pPr>
              <w:tabs>
                <w:tab w:val="right" w:pos="8222"/>
              </w:tabs>
              <w:spacing w:after="0" w:line="480" w:lineRule="auto"/>
              <w:jc w:val="both"/>
              <w:rPr>
                <w:rFonts w:ascii="Arial" w:hAnsi="Arial" w:cs="Arial"/>
                <w:b/>
                <w:sz w:val="24"/>
                <w:szCs w:val="24"/>
              </w:rPr>
            </w:pPr>
          </w:p>
          <w:p w:rsidR="00A726EB" w:rsidRPr="00A726EB" w:rsidRDefault="00A726EB" w:rsidP="00A726EB">
            <w:pPr>
              <w:tabs>
                <w:tab w:val="right" w:pos="8222"/>
              </w:tabs>
              <w:spacing w:after="0" w:line="480" w:lineRule="auto"/>
              <w:jc w:val="both"/>
              <w:rPr>
                <w:rFonts w:ascii="Arial" w:hAnsi="Arial" w:cs="Arial"/>
                <w:sz w:val="24"/>
                <w:szCs w:val="24"/>
              </w:rPr>
            </w:pPr>
            <w:r w:rsidRPr="000C3275">
              <w:rPr>
                <w:rFonts w:ascii="Arial" w:hAnsi="Arial" w:cs="Arial"/>
                <w:b/>
                <w:sz w:val="24"/>
                <w:szCs w:val="24"/>
              </w:rPr>
              <w:t>HOLLARD INSURANCE COMPANY OF</w:t>
            </w:r>
            <w:r>
              <w:rPr>
                <w:rFonts w:ascii="Arial" w:hAnsi="Arial" w:cs="Arial"/>
                <w:b/>
                <w:sz w:val="24"/>
                <w:szCs w:val="24"/>
              </w:rPr>
              <w:t xml:space="preserve"> </w:t>
            </w:r>
            <w:r w:rsidRPr="000C3275">
              <w:rPr>
                <w:rFonts w:ascii="Arial" w:hAnsi="Arial" w:cs="Arial"/>
                <w:b/>
                <w:sz w:val="24"/>
                <w:szCs w:val="24"/>
              </w:rPr>
              <w:t xml:space="preserve">NAMIBIA LIMITED </w:t>
            </w:r>
          </w:p>
        </w:tc>
        <w:tc>
          <w:tcPr>
            <w:tcW w:w="2977" w:type="dxa"/>
          </w:tcPr>
          <w:p w:rsidR="00A726EB" w:rsidRDefault="00A726EB" w:rsidP="00A726EB">
            <w:pPr>
              <w:spacing w:after="0" w:line="480" w:lineRule="auto"/>
              <w:jc w:val="both"/>
              <w:rPr>
                <w:rFonts w:ascii="Arial" w:hAnsi="Arial" w:cs="Arial"/>
                <w:b/>
                <w:sz w:val="24"/>
                <w:szCs w:val="24"/>
              </w:rPr>
            </w:pPr>
          </w:p>
          <w:p w:rsidR="00724152" w:rsidRDefault="00724152" w:rsidP="00A726EB">
            <w:pPr>
              <w:spacing w:after="0" w:line="480" w:lineRule="auto"/>
              <w:jc w:val="both"/>
              <w:rPr>
                <w:rFonts w:ascii="Arial" w:hAnsi="Arial" w:cs="Arial"/>
                <w:b/>
                <w:sz w:val="24"/>
                <w:szCs w:val="24"/>
              </w:rPr>
            </w:pPr>
          </w:p>
          <w:p w:rsidR="00A726EB" w:rsidRDefault="00A726EB" w:rsidP="00A726EB">
            <w:pPr>
              <w:spacing w:after="0" w:line="480" w:lineRule="auto"/>
              <w:jc w:val="both"/>
              <w:rPr>
                <w:rFonts w:ascii="Arial" w:hAnsi="Arial" w:cs="Arial"/>
                <w:b/>
                <w:sz w:val="24"/>
                <w:szCs w:val="24"/>
              </w:rPr>
            </w:pPr>
            <w:r>
              <w:rPr>
                <w:rFonts w:ascii="Arial" w:hAnsi="Arial" w:cs="Arial"/>
                <w:b/>
                <w:sz w:val="24"/>
                <w:szCs w:val="24"/>
              </w:rPr>
              <w:t xml:space="preserve">First </w:t>
            </w:r>
            <w:r w:rsidRPr="000C3275">
              <w:rPr>
                <w:rFonts w:ascii="Arial" w:hAnsi="Arial" w:cs="Arial"/>
                <w:b/>
                <w:sz w:val="24"/>
                <w:szCs w:val="24"/>
              </w:rPr>
              <w:t>Respondent</w:t>
            </w:r>
          </w:p>
        </w:tc>
      </w:tr>
      <w:tr w:rsidR="00A726EB" w:rsidTr="00654B82">
        <w:tc>
          <w:tcPr>
            <w:tcW w:w="5812" w:type="dxa"/>
          </w:tcPr>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HOLLARD LIFE NAMIBIA LIMITED</w:t>
            </w:r>
          </w:p>
        </w:tc>
        <w:tc>
          <w:tcPr>
            <w:tcW w:w="2977" w:type="dxa"/>
          </w:tcPr>
          <w:p w:rsidR="00A726EB" w:rsidRDefault="00A726EB" w:rsidP="00A726EB">
            <w:pPr>
              <w:spacing w:after="0" w:line="480" w:lineRule="auto"/>
              <w:jc w:val="both"/>
              <w:rPr>
                <w:rFonts w:ascii="Arial" w:hAnsi="Arial" w:cs="Arial"/>
                <w:b/>
                <w:sz w:val="24"/>
                <w:szCs w:val="24"/>
              </w:rPr>
            </w:pPr>
            <w:r>
              <w:rPr>
                <w:rFonts w:ascii="Arial" w:hAnsi="Arial" w:cs="Arial"/>
                <w:b/>
                <w:sz w:val="24"/>
                <w:szCs w:val="24"/>
              </w:rPr>
              <w:t>Second Respondent</w:t>
            </w:r>
          </w:p>
        </w:tc>
      </w:tr>
      <w:tr w:rsidR="00A726EB" w:rsidTr="00654B82">
        <w:tc>
          <w:tcPr>
            <w:tcW w:w="5812" w:type="dxa"/>
          </w:tcPr>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SANLAM NAMIBIA LIMITED</w:t>
            </w:r>
          </w:p>
        </w:tc>
        <w:tc>
          <w:tcPr>
            <w:tcW w:w="2977" w:type="dxa"/>
          </w:tcPr>
          <w:p w:rsidR="00A726EB" w:rsidRDefault="00A726EB" w:rsidP="00A726EB">
            <w:pPr>
              <w:spacing w:after="0" w:line="480" w:lineRule="auto"/>
              <w:jc w:val="both"/>
              <w:rPr>
                <w:rFonts w:ascii="Arial" w:hAnsi="Arial" w:cs="Arial"/>
                <w:b/>
                <w:sz w:val="24"/>
                <w:szCs w:val="24"/>
              </w:rPr>
            </w:pPr>
            <w:r>
              <w:rPr>
                <w:rFonts w:ascii="Arial" w:hAnsi="Arial" w:cs="Arial"/>
                <w:b/>
                <w:sz w:val="24"/>
                <w:szCs w:val="24"/>
              </w:rPr>
              <w:t>Third Respondent</w:t>
            </w:r>
          </w:p>
        </w:tc>
      </w:tr>
      <w:tr w:rsidR="00A726EB" w:rsidTr="00654B82">
        <w:tc>
          <w:tcPr>
            <w:tcW w:w="5812" w:type="dxa"/>
          </w:tcPr>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SANTAM NAMIBIA LIMITED</w:t>
            </w:r>
          </w:p>
        </w:tc>
        <w:tc>
          <w:tcPr>
            <w:tcW w:w="2977" w:type="dxa"/>
          </w:tcPr>
          <w:p w:rsidR="00A726EB" w:rsidRDefault="00A726EB" w:rsidP="00A726EB">
            <w:pPr>
              <w:spacing w:after="0" w:line="480" w:lineRule="auto"/>
              <w:jc w:val="both"/>
              <w:rPr>
                <w:rFonts w:ascii="Arial" w:hAnsi="Arial" w:cs="Arial"/>
                <w:b/>
                <w:sz w:val="24"/>
                <w:szCs w:val="24"/>
              </w:rPr>
            </w:pPr>
            <w:r>
              <w:rPr>
                <w:rFonts w:ascii="Arial" w:hAnsi="Arial" w:cs="Arial"/>
                <w:b/>
                <w:sz w:val="24"/>
                <w:szCs w:val="24"/>
              </w:rPr>
              <w:t>Fourth Respondent</w:t>
            </w:r>
          </w:p>
        </w:tc>
      </w:tr>
      <w:tr w:rsidR="00A726EB" w:rsidTr="00654B82">
        <w:tc>
          <w:tcPr>
            <w:tcW w:w="5812" w:type="dxa"/>
          </w:tcPr>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TRUSTCO INSURANCE LIMITED</w:t>
            </w:r>
          </w:p>
        </w:tc>
        <w:tc>
          <w:tcPr>
            <w:tcW w:w="2977" w:type="dxa"/>
          </w:tcPr>
          <w:p w:rsidR="00A726EB" w:rsidRDefault="00A726EB" w:rsidP="00A726EB">
            <w:pPr>
              <w:spacing w:after="0" w:line="480" w:lineRule="auto"/>
              <w:jc w:val="both"/>
              <w:rPr>
                <w:rFonts w:ascii="Arial" w:hAnsi="Arial" w:cs="Arial"/>
                <w:b/>
                <w:sz w:val="24"/>
                <w:szCs w:val="24"/>
              </w:rPr>
            </w:pPr>
            <w:r>
              <w:rPr>
                <w:rFonts w:ascii="Arial" w:hAnsi="Arial" w:cs="Arial"/>
                <w:b/>
                <w:sz w:val="24"/>
                <w:szCs w:val="24"/>
              </w:rPr>
              <w:t>Fifth Respondent</w:t>
            </w:r>
          </w:p>
        </w:tc>
      </w:tr>
      <w:tr w:rsidR="00A726EB" w:rsidTr="00654B82">
        <w:tc>
          <w:tcPr>
            <w:tcW w:w="5812" w:type="dxa"/>
          </w:tcPr>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TRUSTCO LIFE LIMITED</w:t>
            </w:r>
          </w:p>
        </w:tc>
        <w:tc>
          <w:tcPr>
            <w:tcW w:w="2977" w:type="dxa"/>
          </w:tcPr>
          <w:p w:rsidR="00A726EB" w:rsidRDefault="00A726EB" w:rsidP="00A726EB">
            <w:pPr>
              <w:spacing w:after="0" w:line="480" w:lineRule="auto"/>
              <w:jc w:val="both"/>
              <w:rPr>
                <w:rFonts w:ascii="Arial" w:hAnsi="Arial" w:cs="Arial"/>
                <w:b/>
                <w:sz w:val="24"/>
                <w:szCs w:val="24"/>
              </w:rPr>
            </w:pPr>
            <w:r>
              <w:rPr>
                <w:rFonts w:ascii="Arial" w:hAnsi="Arial" w:cs="Arial"/>
                <w:b/>
                <w:sz w:val="24"/>
                <w:szCs w:val="24"/>
              </w:rPr>
              <w:t>Sixth Respondent</w:t>
            </w:r>
          </w:p>
        </w:tc>
      </w:tr>
      <w:tr w:rsidR="00A726EB" w:rsidTr="00654B82">
        <w:tc>
          <w:tcPr>
            <w:tcW w:w="5812" w:type="dxa"/>
          </w:tcPr>
          <w:p w:rsidR="00724152"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 xml:space="preserve">OUTSURANCE INSURANCE COMPANY </w:t>
            </w:r>
          </w:p>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OF</w:t>
            </w:r>
            <w:r>
              <w:rPr>
                <w:rFonts w:ascii="Arial" w:hAnsi="Arial" w:cs="Arial"/>
                <w:b/>
                <w:sz w:val="24"/>
                <w:szCs w:val="24"/>
              </w:rPr>
              <w:t xml:space="preserve"> </w:t>
            </w:r>
            <w:r w:rsidRPr="000C3275">
              <w:rPr>
                <w:rFonts w:ascii="Arial" w:hAnsi="Arial" w:cs="Arial"/>
                <w:b/>
                <w:sz w:val="24"/>
                <w:szCs w:val="24"/>
              </w:rPr>
              <w:t>NAMIBIA L</w:t>
            </w:r>
            <w:r>
              <w:rPr>
                <w:rFonts w:ascii="Arial" w:hAnsi="Arial" w:cs="Arial"/>
                <w:b/>
                <w:sz w:val="24"/>
                <w:szCs w:val="24"/>
              </w:rPr>
              <w:t>IMI</w:t>
            </w:r>
            <w:r w:rsidRPr="000C3275">
              <w:rPr>
                <w:rFonts w:ascii="Arial" w:hAnsi="Arial" w:cs="Arial"/>
                <w:b/>
                <w:sz w:val="24"/>
                <w:szCs w:val="24"/>
              </w:rPr>
              <w:t>T</w:t>
            </w:r>
            <w:r>
              <w:rPr>
                <w:rFonts w:ascii="Arial" w:hAnsi="Arial" w:cs="Arial"/>
                <w:b/>
                <w:sz w:val="24"/>
                <w:szCs w:val="24"/>
              </w:rPr>
              <w:t>E</w:t>
            </w:r>
            <w:r w:rsidRPr="000C3275">
              <w:rPr>
                <w:rFonts w:ascii="Arial" w:hAnsi="Arial" w:cs="Arial"/>
                <w:b/>
                <w:sz w:val="24"/>
                <w:szCs w:val="24"/>
              </w:rPr>
              <w:t>D</w:t>
            </w:r>
          </w:p>
        </w:tc>
        <w:tc>
          <w:tcPr>
            <w:tcW w:w="2977" w:type="dxa"/>
          </w:tcPr>
          <w:p w:rsidR="00A726EB" w:rsidRDefault="00A726EB" w:rsidP="00A726EB">
            <w:pPr>
              <w:spacing w:after="0" w:line="480" w:lineRule="auto"/>
              <w:jc w:val="both"/>
              <w:rPr>
                <w:rFonts w:ascii="Arial" w:hAnsi="Arial" w:cs="Arial"/>
                <w:b/>
                <w:sz w:val="24"/>
                <w:szCs w:val="24"/>
              </w:rPr>
            </w:pPr>
          </w:p>
          <w:p w:rsidR="00A726EB" w:rsidRDefault="00A726EB" w:rsidP="00A726EB">
            <w:pPr>
              <w:spacing w:after="0" w:line="480" w:lineRule="auto"/>
              <w:jc w:val="both"/>
              <w:rPr>
                <w:rFonts w:ascii="Arial" w:hAnsi="Arial" w:cs="Arial"/>
                <w:b/>
                <w:sz w:val="24"/>
                <w:szCs w:val="24"/>
              </w:rPr>
            </w:pPr>
            <w:r>
              <w:rPr>
                <w:rFonts w:ascii="Arial" w:hAnsi="Arial" w:cs="Arial"/>
                <w:b/>
                <w:sz w:val="24"/>
                <w:szCs w:val="24"/>
              </w:rPr>
              <w:t>Seventh Respondent</w:t>
            </w:r>
          </w:p>
        </w:tc>
      </w:tr>
      <w:tr w:rsidR="00A726EB" w:rsidTr="00654B82">
        <w:tc>
          <w:tcPr>
            <w:tcW w:w="5812" w:type="dxa"/>
          </w:tcPr>
          <w:p w:rsidR="00A726EB" w:rsidRPr="000C3275" w:rsidRDefault="00A726EB" w:rsidP="00724152">
            <w:pPr>
              <w:spacing w:after="0" w:line="480" w:lineRule="auto"/>
              <w:jc w:val="both"/>
              <w:rPr>
                <w:rFonts w:ascii="Arial" w:hAnsi="Arial" w:cs="Arial"/>
                <w:b/>
                <w:sz w:val="24"/>
                <w:szCs w:val="24"/>
              </w:rPr>
            </w:pPr>
            <w:r w:rsidRPr="000C3275">
              <w:rPr>
                <w:rFonts w:ascii="Arial" w:hAnsi="Arial" w:cs="Arial"/>
                <w:b/>
                <w:sz w:val="24"/>
                <w:szCs w:val="24"/>
              </w:rPr>
              <w:lastRenderedPageBreak/>
              <w:t>OLD MUTUAL LIFE ASSURANCE COMPANY</w:t>
            </w:r>
            <w:r>
              <w:rPr>
                <w:rFonts w:ascii="Arial" w:hAnsi="Arial" w:cs="Arial"/>
                <w:b/>
                <w:sz w:val="24"/>
                <w:szCs w:val="24"/>
              </w:rPr>
              <w:t xml:space="preserve"> </w:t>
            </w:r>
            <w:r w:rsidRPr="000C3275">
              <w:rPr>
                <w:rFonts w:ascii="Arial" w:hAnsi="Arial" w:cs="Arial"/>
                <w:b/>
                <w:sz w:val="24"/>
                <w:szCs w:val="24"/>
              </w:rPr>
              <w:t>NAMIBIA L</w:t>
            </w:r>
            <w:r>
              <w:rPr>
                <w:rFonts w:ascii="Arial" w:hAnsi="Arial" w:cs="Arial"/>
                <w:b/>
                <w:sz w:val="24"/>
                <w:szCs w:val="24"/>
              </w:rPr>
              <w:t>IMI</w:t>
            </w:r>
            <w:r w:rsidRPr="000C3275">
              <w:rPr>
                <w:rFonts w:ascii="Arial" w:hAnsi="Arial" w:cs="Arial"/>
                <w:b/>
                <w:sz w:val="24"/>
                <w:szCs w:val="24"/>
              </w:rPr>
              <w:t>T</w:t>
            </w:r>
            <w:r>
              <w:rPr>
                <w:rFonts w:ascii="Arial" w:hAnsi="Arial" w:cs="Arial"/>
                <w:b/>
                <w:sz w:val="24"/>
                <w:szCs w:val="24"/>
              </w:rPr>
              <w:t>E</w:t>
            </w:r>
            <w:r w:rsidR="00724152">
              <w:rPr>
                <w:rFonts w:ascii="Arial" w:hAnsi="Arial" w:cs="Arial"/>
                <w:b/>
                <w:sz w:val="24"/>
                <w:szCs w:val="24"/>
              </w:rPr>
              <w:t>D</w:t>
            </w:r>
          </w:p>
        </w:tc>
        <w:tc>
          <w:tcPr>
            <w:tcW w:w="2977" w:type="dxa"/>
          </w:tcPr>
          <w:p w:rsidR="00654B82" w:rsidRDefault="00654B82" w:rsidP="00A726EB">
            <w:pPr>
              <w:spacing w:after="0" w:line="480" w:lineRule="auto"/>
              <w:jc w:val="both"/>
              <w:rPr>
                <w:rFonts w:ascii="Arial" w:hAnsi="Arial" w:cs="Arial"/>
                <w:b/>
                <w:sz w:val="24"/>
                <w:szCs w:val="24"/>
              </w:rPr>
            </w:pPr>
          </w:p>
          <w:p w:rsidR="00A726EB" w:rsidRDefault="00A726EB" w:rsidP="00A726EB">
            <w:pPr>
              <w:spacing w:after="0" w:line="480" w:lineRule="auto"/>
              <w:jc w:val="both"/>
              <w:rPr>
                <w:rFonts w:ascii="Arial" w:hAnsi="Arial" w:cs="Arial"/>
                <w:b/>
                <w:sz w:val="24"/>
                <w:szCs w:val="24"/>
              </w:rPr>
            </w:pPr>
            <w:r>
              <w:rPr>
                <w:rFonts w:ascii="Arial" w:hAnsi="Arial" w:cs="Arial"/>
                <w:b/>
                <w:sz w:val="24"/>
                <w:szCs w:val="24"/>
              </w:rPr>
              <w:t>Eighth Respondent</w:t>
            </w:r>
          </w:p>
        </w:tc>
      </w:tr>
      <w:tr w:rsidR="00A726EB" w:rsidTr="00654B82">
        <w:tc>
          <w:tcPr>
            <w:tcW w:w="5812" w:type="dxa"/>
          </w:tcPr>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JACOB</w:t>
            </w:r>
            <w:r>
              <w:rPr>
                <w:rFonts w:ascii="Arial" w:hAnsi="Arial" w:cs="Arial"/>
                <w:b/>
                <w:sz w:val="24"/>
                <w:szCs w:val="24"/>
              </w:rPr>
              <w:t>U</w:t>
            </w:r>
            <w:r w:rsidRPr="000C3275">
              <w:rPr>
                <w:rFonts w:ascii="Arial" w:hAnsi="Arial" w:cs="Arial"/>
                <w:b/>
                <w:sz w:val="24"/>
                <w:szCs w:val="24"/>
              </w:rPr>
              <w:t>S CELLIERS LAMPRECHT</w:t>
            </w:r>
          </w:p>
        </w:tc>
        <w:tc>
          <w:tcPr>
            <w:tcW w:w="2977" w:type="dxa"/>
          </w:tcPr>
          <w:p w:rsidR="00A726EB" w:rsidRDefault="00A726EB" w:rsidP="00A726EB">
            <w:pPr>
              <w:spacing w:after="0" w:line="480" w:lineRule="auto"/>
              <w:jc w:val="both"/>
              <w:rPr>
                <w:rFonts w:ascii="Arial" w:hAnsi="Arial" w:cs="Arial"/>
                <w:b/>
                <w:sz w:val="24"/>
                <w:szCs w:val="24"/>
              </w:rPr>
            </w:pPr>
            <w:r>
              <w:rPr>
                <w:rFonts w:ascii="Arial" w:hAnsi="Arial" w:cs="Arial"/>
                <w:b/>
                <w:sz w:val="24"/>
                <w:szCs w:val="24"/>
              </w:rPr>
              <w:t>Ninth Respondent</w:t>
            </w:r>
          </w:p>
        </w:tc>
      </w:tr>
      <w:tr w:rsidR="00A726EB" w:rsidTr="00654B82">
        <w:tc>
          <w:tcPr>
            <w:tcW w:w="5812" w:type="dxa"/>
          </w:tcPr>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ANDRE VERMEULEN</w:t>
            </w:r>
          </w:p>
        </w:tc>
        <w:tc>
          <w:tcPr>
            <w:tcW w:w="2977" w:type="dxa"/>
          </w:tcPr>
          <w:p w:rsidR="00A726EB" w:rsidRDefault="00A726EB" w:rsidP="00A726EB">
            <w:pPr>
              <w:spacing w:after="0" w:line="480" w:lineRule="auto"/>
              <w:jc w:val="both"/>
              <w:rPr>
                <w:rFonts w:ascii="Arial" w:hAnsi="Arial" w:cs="Arial"/>
                <w:b/>
                <w:sz w:val="24"/>
                <w:szCs w:val="24"/>
              </w:rPr>
            </w:pPr>
            <w:r>
              <w:rPr>
                <w:rFonts w:ascii="Arial" w:hAnsi="Arial" w:cs="Arial"/>
                <w:b/>
                <w:sz w:val="24"/>
                <w:szCs w:val="24"/>
              </w:rPr>
              <w:t>Tenth Respondent</w:t>
            </w:r>
          </w:p>
        </w:tc>
      </w:tr>
      <w:tr w:rsidR="00A726EB" w:rsidTr="00654B82">
        <w:tc>
          <w:tcPr>
            <w:tcW w:w="5812" w:type="dxa"/>
          </w:tcPr>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TERTIUS JOHN RICHARD STEARS</w:t>
            </w:r>
          </w:p>
        </w:tc>
        <w:tc>
          <w:tcPr>
            <w:tcW w:w="2977" w:type="dxa"/>
          </w:tcPr>
          <w:p w:rsidR="00A726EB" w:rsidRDefault="00A726EB" w:rsidP="00A726EB">
            <w:pPr>
              <w:spacing w:after="0" w:line="480" w:lineRule="auto"/>
              <w:jc w:val="both"/>
              <w:rPr>
                <w:rFonts w:ascii="Arial" w:hAnsi="Arial" w:cs="Arial"/>
                <w:b/>
                <w:sz w:val="24"/>
                <w:szCs w:val="24"/>
              </w:rPr>
            </w:pPr>
            <w:r>
              <w:rPr>
                <w:rFonts w:ascii="Arial" w:hAnsi="Arial" w:cs="Arial"/>
                <w:b/>
                <w:sz w:val="24"/>
                <w:szCs w:val="24"/>
              </w:rPr>
              <w:t>Eleventh Respondent</w:t>
            </w:r>
          </w:p>
        </w:tc>
      </w:tr>
      <w:tr w:rsidR="00A726EB" w:rsidTr="00654B82">
        <w:tc>
          <w:tcPr>
            <w:tcW w:w="5812" w:type="dxa"/>
          </w:tcPr>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FRANCO GEOFFREY FERIS</w:t>
            </w:r>
          </w:p>
        </w:tc>
        <w:tc>
          <w:tcPr>
            <w:tcW w:w="2977" w:type="dxa"/>
          </w:tcPr>
          <w:p w:rsidR="00A726EB" w:rsidRDefault="008D3D48" w:rsidP="00A726EB">
            <w:pPr>
              <w:spacing w:after="0" w:line="480" w:lineRule="auto"/>
              <w:jc w:val="both"/>
              <w:rPr>
                <w:rFonts w:ascii="Arial" w:hAnsi="Arial" w:cs="Arial"/>
                <w:b/>
                <w:sz w:val="24"/>
                <w:szCs w:val="24"/>
              </w:rPr>
            </w:pPr>
            <w:r>
              <w:rPr>
                <w:rFonts w:ascii="Arial" w:hAnsi="Arial" w:cs="Arial"/>
                <w:b/>
                <w:sz w:val="24"/>
                <w:szCs w:val="24"/>
              </w:rPr>
              <w:t>Twelfth Respondent</w:t>
            </w:r>
          </w:p>
        </w:tc>
      </w:tr>
      <w:tr w:rsidR="00A726EB" w:rsidTr="00654B82">
        <w:tc>
          <w:tcPr>
            <w:tcW w:w="5812" w:type="dxa"/>
          </w:tcPr>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QUINTON VAN ROOYEN</w:t>
            </w:r>
          </w:p>
        </w:tc>
        <w:tc>
          <w:tcPr>
            <w:tcW w:w="2977" w:type="dxa"/>
          </w:tcPr>
          <w:p w:rsidR="00A726EB" w:rsidRDefault="008D3D48" w:rsidP="00A726EB">
            <w:pPr>
              <w:spacing w:after="0" w:line="480" w:lineRule="auto"/>
              <w:jc w:val="both"/>
              <w:rPr>
                <w:rFonts w:ascii="Arial" w:hAnsi="Arial" w:cs="Arial"/>
                <w:b/>
                <w:sz w:val="24"/>
                <w:szCs w:val="24"/>
              </w:rPr>
            </w:pPr>
            <w:r>
              <w:rPr>
                <w:rFonts w:ascii="Arial" w:hAnsi="Arial" w:cs="Arial"/>
                <w:b/>
                <w:sz w:val="24"/>
                <w:szCs w:val="24"/>
              </w:rPr>
              <w:t>Thirteenth Respondent</w:t>
            </w:r>
          </w:p>
        </w:tc>
      </w:tr>
      <w:tr w:rsidR="00A726EB" w:rsidTr="00654B82">
        <w:tc>
          <w:tcPr>
            <w:tcW w:w="5812" w:type="dxa"/>
          </w:tcPr>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ANNETTE BRANDT</w:t>
            </w:r>
          </w:p>
        </w:tc>
        <w:tc>
          <w:tcPr>
            <w:tcW w:w="2977" w:type="dxa"/>
          </w:tcPr>
          <w:p w:rsidR="00A726EB" w:rsidRDefault="008D3D48" w:rsidP="00A726EB">
            <w:pPr>
              <w:spacing w:after="0" w:line="480" w:lineRule="auto"/>
              <w:jc w:val="both"/>
              <w:rPr>
                <w:rFonts w:ascii="Arial" w:hAnsi="Arial" w:cs="Arial"/>
                <w:b/>
                <w:sz w:val="24"/>
                <w:szCs w:val="24"/>
              </w:rPr>
            </w:pPr>
            <w:r>
              <w:rPr>
                <w:rFonts w:ascii="Arial" w:hAnsi="Arial" w:cs="Arial"/>
                <w:b/>
                <w:sz w:val="24"/>
                <w:szCs w:val="24"/>
              </w:rPr>
              <w:t>Fourteenth Respondent</w:t>
            </w:r>
          </w:p>
        </w:tc>
      </w:tr>
      <w:tr w:rsidR="00A726EB" w:rsidTr="00654B82">
        <w:tc>
          <w:tcPr>
            <w:tcW w:w="5812" w:type="dxa"/>
          </w:tcPr>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NANGULA KA</w:t>
            </w:r>
            <w:r>
              <w:rPr>
                <w:rFonts w:ascii="Arial" w:hAnsi="Arial" w:cs="Arial"/>
                <w:b/>
                <w:sz w:val="24"/>
                <w:szCs w:val="24"/>
              </w:rPr>
              <w:t>UL</w:t>
            </w:r>
            <w:r w:rsidRPr="000C3275">
              <w:rPr>
                <w:rFonts w:ascii="Arial" w:hAnsi="Arial" w:cs="Arial"/>
                <w:b/>
                <w:sz w:val="24"/>
                <w:szCs w:val="24"/>
              </w:rPr>
              <w:t>UMA</w:t>
            </w:r>
          </w:p>
        </w:tc>
        <w:tc>
          <w:tcPr>
            <w:tcW w:w="2977" w:type="dxa"/>
          </w:tcPr>
          <w:p w:rsidR="00A726EB" w:rsidRDefault="008D3D48" w:rsidP="00A726EB">
            <w:pPr>
              <w:spacing w:after="0" w:line="480" w:lineRule="auto"/>
              <w:jc w:val="both"/>
              <w:rPr>
                <w:rFonts w:ascii="Arial" w:hAnsi="Arial" w:cs="Arial"/>
                <w:b/>
                <w:sz w:val="24"/>
                <w:szCs w:val="24"/>
              </w:rPr>
            </w:pPr>
            <w:r>
              <w:rPr>
                <w:rFonts w:ascii="Arial" w:hAnsi="Arial" w:cs="Arial"/>
                <w:b/>
                <w:sz w:val="24"/>
                <w:szCs w:val="24"/>
              </w:rPr>
              <w:t>Fifteenth Respondent</w:t>
            </w:r>
          </w:p>
        </w:tc>
      </w:tr>
      <w:tr w:rsidR="00A726EB" w:rsidTr="00654B82">
        <w:tc>
          <w:tcPr>
            <w:tcW w:w="5812" w:type="dxa"/>
          </w:tcPr>
          <w:p w:rsidR="00A726EB" w:rsidRPr="000C3275" w:rsidRDefault="00A726EB" w:rsidP="00A726EB">
            <w:pPr>
              <w:tabs>
                <w:tab w:val="right" w:pos="8222"/>
              </w:tabs>
              <w:spacing w:after="0" w:line="480" w:lineRule="auto"/>
              <w:jc w:val="both"/>
              <w:rPr>
                <w:rFonts w:ascii="Arial" w:hAnsi="Arial" w:cs="Arial"/>
                <w:b/>
                <w:sz w:val="24"/>
                <w:szCs w:val="24"/>
              </w:rPr>
            </w:pPr>
            <w:r w:rsidRPr="000C3275">
              <w:rPr>
                <w:rFonts w:ascii="Arial" w:hAnsi="Arial" w:cs="Arial"/>
                <w:b/>
                <w:sz w:val="24"/>
                <w:szCs w:val="24"/>
              </w:rPr>
              <w:t>KOSMAS HEINRICH EGUMBO</w:t>
            </w:r>
          </w:p>
        </w:tc>
        <w:tc>
          <w:tcPr>
            <w:tcW w:w="2977" w:type="dxa"/>
          </w:tcPr>
          <w:p w:rsidR="00A726EB" w:rsidRDefault="008D3D48" w:rsidP="00A726EB">
            <w:pPr>
              <w:spacing w:after="0" w:line="480" w:lineRule="auto"/>
              <w:jc w:val="both"/>
              <w:rPr>
                <w:rFonts w:ascii="Arial" w:hAnsi="Arial" w:cs="Arial"/>
                <w:b/>
                <w:sz w:val="24"/>
                <w:szCs w:val="24"/>
              </w:rPr>
            </w:pPr>
            <w:r>
              <w:rPr>
                <w:rFonts w:ascii="Arial" w:hAnsi="Arial" w:cs="Arial"/>
                <w:b/>
                <w:sz w:val="24"/>
                <w:szCs w:val="24"/>
              </w:rPr>
              <w:t>Sixteenth Respondent</w:t>
            </w:r>
          </w:p>
        </w:tc>
      </w:tr>
    </w:tbl>
    <w:p w:rsidR="00A90E41" w:rsidRPr="000C3275" w:rsidRDefault="00A90E41" w:rsidP="00171583">
      <w:pPr>
        <w:tabs>
          <w:tab w:val="right" w:pos="8222"/>
        </w:tabs>
        <w:spacing w:after="0" w:line="480" w:lineRule="auto"/>
        <w:jc w:val="both"/>
        <w:rPr>
          <w:rFonts w:ascii="Arial" w:hAnsi="Arial" w:cs="Arial"/>
          <w:b/>
          <w:sz w:val="24"/>
          <w:szCs w:val="24"/>
        </w:rPr>
      </w:pPr>
    </w:p>
    <w:p w:rsidR="00A90E41" w:rsidRPr="000C3275" w:rsidRDefault="00706DAF" w:rsidP="00171583">
      <w:pPr>
        <w:tabs>
          <w:tab w:val="left" w:pos="2127"/>
          <w:tab w:val="right" w:pos="8222"/>
        </w:tabs>
        <w:spacing w:after="0" w:line="480" w:lineRule="auto"/>
        <w:jc w:val="both"/>
        <w:rPr>
          <w:rFonts w:ascii="Arial" w:hAnsi="Arial" w:cs="Arial"/>
          <w:b/>
          <w:sz w:val="24"/>
          <w:szCs w:val="24"/>
        </w:rPr>
      </w:pPr>
      <w:r w:rsidRPr="000C3275">
        <w:rPr>
          <w:rFonts w:ascii="Arial" w:hAnsi="Arial" w:cs="Arial"/>
          <w:b/>
          <w:sz w:val="24"/>
          <w:szCs w:val="24"/>
        </w:rPr>
        <w:t>Coram</w:t>
      </w:r>
      <w:r w:rsidR="00A90E41" w:rsidRPr="000C3275">
        <w:rPr>
          <w:rFonts w:ascii="Arial" w:hAnsi="Arial" w:cs="Arial"/>
          <w:b/>
          <w:sz w:val="24"/>
          <w:szCs w:val="24"/>
        </w:rPr>
        <w:t xml:space="preserve">: </w:t>
      </w:r>
      <w:r w:rsidR="00A90E41" w:rsidRPr="000C3275">
        <w:rPr>
          <w:rFonts w:ascii="Arial" w:hAnsi="Arial" w:cs="Arial"/>
          <w:b/>
          <w:sz w:val="24"/>
          <w:szCs w:val="24"/>
        </w:rPr>
        <w:tab/>
      </w:r>
      <w:r w:rsidR="00341F69" w:rsidRPr="000C3275">
        <w:rPr>
          <w:rFonts w:ascii="Arial" w:hAnsi="Arial" w:cs="Arial"/>
          <w:sz w:val="24"/>
          <w:szCs w:val="24"/>
        </w:rPr>
        <w:t>DAMASEB DCJ, HOFF JA AND NKA</w:t>
      </w:r>
      <w:r w:rsidR="00A90E41" w:rsidRPr="000C3275">
        <w:rPr>
          <w:rFonts w:ascii="Arial" w:hAnsi="Arial" w:cs="Arial"/>
          <w:sz w:val="24"/>
          <w:szCs w:val="24"/>
        </w:rPr>
        <w:t>BINDE AJA</w:t>
      </w:r>
    </w:p>
    <w:p w:rsidR="00A90E41" w:rsidRPr="000C3275" w:rsidRDefault="00706DAF" w:rsidP="00171583">
      <w:pPr>
        <w:spacing w:after="0" w:line="480" w:lineRule="auto"/>
        <w:jc w:val="both"/>
        <w:rPr>
          <w:rFonts w:ascii="Arial" w:hAnsi="Arial" w:cs="Arial"/>
          <w:b/>
          <w:sz w:val="24"/>
          <w:szCs w:val="24"/>
        </w:rPr>
      </w:pPr>
      <w:r w:rsidRPr="000C3275">
        <w:rPr>
          <w:rFonts w:ascii="Arial" w:hAnsi="Arial" w:cs="Arial"/>
          <w:b/>
          <w:sz w:val="24"/>
          <w:szCs w:val="24"/>
        </w:rPr>
        <w:t>Heard</w:t>
      </w:r>
      <w:r w:rsidR="00C8066E" w:rsidRPr="000C3275">
        <w:rPr>
          <w:rFonts w:ascii="Arial" w:hAnsi="Arial" w:cs="Arial"/>
          <w:b/>
          <w:sz w:val="24"/>
          <w:szCs w:val="24"/>
        </w:rPr>
        <w:t>:</w:t>
      </w:r>
      <w:r w:rsidR="00171583" w:rsidRPr="000C3275">
        <w:rPr>
          <w:rFonts w:ascii="Arial" w:hAnsi="Arial" w:cs="Arial"/>
          <w:b/>
          <w:sz w:val="24"/>
          <w:szCs w:val="24"/>
        </w:rPr>
        <w:tab/>
      </w:r>
      <w:r w:rsidR="00171583" w:rsidRPr="000C3275">
        <w:rPr>
          <w:rFonts w:ascii="Arial" w:hAnsi="Arial" w:cs="Arial"/>
          <w:b/>
          <w:sz w:val="24"/>
          <w:szCs w:val="24"/>
        </w:rPr>
        <w:tab/>
        <w:t>26 March 2019</w:t>
      </w:r>
    </w:p>
    <w:p w:rsidR="00A90E41" w:rsidRPr="000C3275" w:rsidRDefault="00706DAF" w:rsidP="00171583">
      <w:pPr>
        <w:tabs>
          <w:tab w:val="left" w:pos="2127"/>
        </w:tabs>
        <w:spacing w:after="0" w:line="480" w:lineRule="auto"/>
        <w:jc w:val="both"/>
        <w:rPr>
          <w:rFonts w:ascii="Arial" w:hAnsi="Arial" w:cs="Arial"/>
          <w:b/>
          <w:sz w:val="24"/>
          <w:szCs w:val="24"/>
        </w:rPr>
      </w:pPr>
      <w:r w:rsidRPr="000C3275">
        <w:rPr>
          <w:rFonts w:ascii="Arial" w:hAnsi="Arial" w:cs="Arial"/>
          <w:b/>
          <w:sz w:val="24"/>
          <w:szCs w:val="24"/>
        </w:rPr>
        <w:t>Delivered:</w:t>
      </w:r>
      <w:r w:rsidR="00171583" w:rsidRPr="000C3275">
        <w:rPr>
          <w:rFonts w:ascii="Arial" w:hAnsi="Arial" w:cs="Arial"/>
          <w:b/>
          <w:sz w:val="24"/>
          <w:szCs w:val="24"/>
        </w:rPr>
        <w:tab/>
      </w:r>
      <w:r w:rsidR="00AC3E19">
        <w:rPr>
          <w:rFonts w:ascii="Arial" w:hAnsi="Arial" w:cs="Arial"/>
          <w:b/>
          <w:sz w:val="24"/>
          <w:szCs w:val="24"/>
        </w:rPr>
        <w:t xml:space="preserve">28 </w:t>
      </w:r>
      <w:r w:rsidR="00171583" w:rsidRPr="000C3275">
        <w:rPr>
          <w:rFonts w:ascii="Arial" w:hAnsi="Arial" w:cs="Arial"/>
          <w:b/>
          <w:sz w:val="24"/>
          <w:szCs w:val="24"/>
        </w:rPr>
        <w:t>May 2019</w:t>
      </w:r>
    </w:p>
    <w:p w:rsidR="00A90E41" w:rsidRPr="000C3275" w:rsidRDefault="00A90E41" w:rsidP="008C06C9">
      <w:pPr>
        <w:tabs>
          <w:tab w:val="right" w:pos="8222"/>
        </w:tabs>
        <w:spacing w:after="0" w:line="480" w:lineRule="auto"/>
        <w:jc w:val="both"/>
        <w:rPr>
          <w:rFonts w:ascii="Arial" w:hAnsi="Arial" w:cs="Arial"/>
          <w:b/>
          <w:sz w:val="24"/>
          <w:szCs w:val="24"/>
        </w:rPr>
      </w:pPr>
    </w:p>
    <w:p w:rsidR="00E875BD" w:rsidRDefault="00A90E41" w:rsidP="008D3D48">
      <w:pPr>
        <w:spacing w:after="0" w:line="360" w:lineRule="auto"/>
        <w:jc w:val="both"/>
        <w:rPr>
          <w:rFonts w:ascii="Arial" w:hAnsi="Arial" w:cs="Arial"/>
          <w:sz w:val="24"/>
          <w:szCs w:val="24"/>
          <w:lang w:val="en-GB"/>
        </w:rPr>
      </w:pPr>
      <w:r w:rsidRPr="000C3275">
        <w:rPr>
          <w:rFonts w:ascii="Arial" w:hAnsi="Arial" w:cs="Arial"/>
          <w:b/>
          <w:sz w:val="24"/>
          <w:szCs w:val="24"/>
        </w:rPr>
        <w:t>Summary:</w:t>
      </w:r>
      <w:r w:rsidR="007A0D97">
        <w:rPr>
          <w:rFonts w:ascii="Arial" w:hAnsi="Arial" w:cs="Arial"/>
          <w:b/>
          <w:sz w:val="24"/>
          <w:szCs w:val="24"/>
        </w:rPr>
        <w:t xml:space="preserve"> </w:t>
      </w:r>
      <w:r w:rsidR="00E875BD" w:rsidRPr="008F1D8E">
        <w:rPr>
          <w:rFonts w:ascii="Arial" w:hAnsi="Arial" w:cs="Arial"/>
          <w:sz w:val="24"/>
          <w:szCs w:val="24"/>
        </w:rPr>
        <w:t xml:space="preserve">This is an application </w:t>
      </w:r>
      <w:r w:rsidR="00E875BD" w:rsidRPr="008F1D8E">
        <w:rPr>
          <w:rFonts w:ascii="Arial" w:hAnsi="Arial" w:cs="Arial"/>
          <w:sz w:val="24"/>
          <w:szCs w:val="24"/>
          <w:lang w:val="en-GB"/>
        </w:rPr>
        <w:t>post-facto for the recusal of a judge of the Supreme Court who refused a petition to the Chief Justice seeking leave to appeal against an order of the High Court which suspended the</w:t>
      </w:r>
      <w:r w:rsidR="00767F8B">
        <w:rPr>
          <w:rFonts w:ascii="Arial" w:hAnsi="Arial" w:cs="Arial"/>
          <w:sz w:val="24"/>
          <w:szCs w:val="24"/>
          <w:lang w:val="en-GB"/>
        </w:rPr>
        <w:t xml:space="preserve"> application and implementation</w:t>
      </w:r>
      <w:r w:rsidR="00E875BD" w:rsidRPr="008F1D8E">
        <w:rPr>
          <w:rFonts w:ascii="Arial" w:hAnsi="Arial" w:cs="Arial"/>
          <w:sz w:val="24"/>
          <w:szCs w:val="24"/>
          <w:lang w:val="en-GB"/>
        </w:rPr>
        <w:t xml:space="preserve"> of provisions of an Act of Parliament and subordinate legislation made under it</w:t>
      </w:r>
      <w:r w:rsidR="00E875BD">
        <w:rPr>
          <w:rFonts w:ascii="Arial" w:hAnsi="Arial" w:cs="Arial"/>
          <w:sz w:val="24"/>
          <w:szCs w:val="24"/>
          <w:lang w:val="en-GB"/>
        </w:rPr>
        <w:t xml:space="preserve">. </w:t>
      </w:r>
    </w:p>
    <w:p w:rsidR="00767F8B" w:rsidRDefault="00767F8B" w:rsidP="008D3D48">
      <w:pPr>
        <w:spacing w:after="0" w:line="360" w:lineRule="auto"/>
        <w:jc w:val="both"/>
        <w:rPr>
          <w:rFonts w:ascii="Arial" w:hAnsi="Arial" w:cs="Arial"/>
          <w:sz w:val="24"/>
          <w:szCs w:val="24"/>
          <w:lang w:val="en-GB"/>
        </w:rPr>
      </w:pPr>
    </w:p>
    <w:p w:rsidR="00E875BD" w:rsidRDefault="00E875BD" w:rsidP="008D3D48">
      <w:pPr>
        <w:tabs>
          <w:tab w:val="left" w:pos="851"/>
        </w:tabs>
        <w:spacing w:after="0" w:line="360" w:lineRule="auto"/>
        <w:contextualSpacing/>
        <w:jc w:val="both"/>
        <w:rPr>
          <w:rFonts w:ascii="Arial" w:hAnsi="Arial" w:cs="Arial"/>
          <w:sz w:val="24"/>
          <w:szCs w:val="24"/>
        </w:rPr>
      </w:pPr>
      <w:r w:rsidRPr="00CC1F5D">
        <w:rPr>
          <w:rFonts w:ascii="Arial" w:hAnsi="Arial" w:cs="Arial"/>
          <w:sz w:val="24"/>
          <w:szCs w:val="24"/>
          <w:lang w:val="en-GB"/>
        </w:rPr>
        <w:t xml:space="preserve">The Minister of Finance, acting in terms of s 39(5) of the </w:t>
      </w:r>
      <w:r w:rsidRPr="00CC1F5D">
        <w:rPr>
          <w:rFonts w:ascii="Arial" w:hAnsi="Arial" w:cs="Arial"/>
          <w:sz w:val="24"/>
          <w:szCs w:val="24"/>
        </w:rPr>
        <w:t xml:space="preserve">Namibia National Reinsurance Corporation Act 22 of 1998 </w:t>
      </w:r>
      <w:r w:rsidRPr="00CC1F5D">
        <w:rPr>
          <w:rFonts w:ascii="Arial" w:hAnsi="Arial" w:cs="Arial"/>
          <w:sz w:val="24"/>
          <w:szCs w:val="24"/>
          <w:lang w:val="en-GB"/>
        </w:rPr>
        <w:t>on 29 December 2017, promulgated Government Notices No: 333, 334, 335, 336, 337 and 338 (the measures</w:t>
      </w:r>
      <w:r w:rsidR="001A58AE">
        <w:rPr>
          <w:rFonts w:ascii="Arial" w:hAnsi="Arial" w:cs="Arial"/>
          <w:sz w:val="24"/>
          <w:szCs w:val="24"/>
          <w:lang w:val="en-GB"/>
        </w:rPr>
        <w:t>)</w:t>
      </w:r>
      <w:r w:rsidRPr="00CC1F5D">
        <w:rPr>
          <w:rFonts w:ascii="Arial" w:hAnsi="Arial" w:cs="Arial"/>
          <w:sz w:val="24"/>
          <w:szCs w:val="24"/>
          <w:lang w:val="en-GB"/>
        </w:rPr>
        <w:t xml:space="preserve">, which </w:t>
      </w:r>
      <w:r w:rsidRPr="00CC1F5D">
        <w:rPr>
          <w:rFonts w:ascii="Arial" w:hAnsi="Arial" w:cs="Arial"/>
          <w:sz w:val="24"/>
          <w:szCs w:val="24"/>
        </w:rPr>
        <w:t xml:space="preserve">came into effect on 27 June 2018. </w:t>
      </w:r>
      <w:r w:rsidRPr="00CC1F5D">
        <w:rPr>
          <w:rFonts w:ascii="Arial" w:hAnsi="Arial" w:cs="Arial"/>
          <w:sz w:val="24"/>
          <w:szCs w:val="24"/>
          <w:lang w:val="en-GB"/>
        </w:rPr>
        <w:t xml:space="preserve">The measures create </w:t>
      </w:r>
      <w:r w:rsidRPr="00CC1F5D">
        <w:rPr>
          <w:rFonts w:ascii="Arial" w:hAnsi="Arial" w:cs="Arial"/>
          <w:sz w:val="24"/>
          <w:szCs w:val="24"/>
        </w:rPr>
        <w:t xml:space="preserve">a regime </w:t>
      </w:r>
      <w:proofErr w:type="spellStart"/>
      <w:r w:rsidRPr="00CC1F5D">
        <w:rPr>
          <w:rFonts w:ascii="Arial" w:hAnsi="Arial" w:cs="Arial"/>
          <w:sz w:val="24"/>
          <w:szCs w:val="24"/>
        </w:rPr>
        <w:t>authorising</w:t>
      </w:r>
      <w:proofErr w:type="spellEnd"/>
      <w:r w:rsidRPr="00CC1F5D">
        <w:rPr>
          <w:rFonts w:ascii="Arial" w:hAnsi="Arial" w:cs="Arial"/>
          <w:sz w:val="24"/>
          <w:szCs w:val="24"/>
        </w:rPr>
        <w:t xml:space="preserve"> the Minister to compel every registered insurer and reinsurer to cede a percentage of their business to </w:t>
      </w:r>
      <w:proofErr w:type="spellStart"/>
      <w:r w:rsidRPr="00CC1F5D">
        <w:rPr>
          <w:rFonts w:ascii="Arial" w:hAnsi="Arial" w:cs="Arial"/>
          <w:sz w:val="24"/>
          <w:szCs w:val="24"/>
        </w:rPr>
        <w:t>NAMRe</w:t>
      </w:r>
      <w:proofErr w:type="spellEnd"/>
      <w:r w:rsidRPr="00CC1F5D">
        <w:rPr>
          <w:rFonts w:ascii="Arial" w:hAnsi="Arial" w:cs="Arial"/>
          <w:sz w:val="24"/>
          <w:szCs w:val="24"/>
        </w:rPr>
        <w:t xml:space="preserve">. The measures are justified on the basis that it will assist in building a sustainable reinsurance industry in Namibia and </w:t>
      </w:r>
      <w:proofErr w:type="spellStart"/>
      <w:r w:rsidRPr="00CC1F5D">
        <w:rPr>
          <w:rFonts w:ascii="Arial" w:hAnsi="Arial" w:cs="Arial"/>
          <w:sz w:val="24"/>
          <w:szCs w:val="24"/>
        </w:rPr>
        <w:t>minimise</w:t>
      </w:r>
      <w:proofErr w:type="spellEnd"/>
      <w:r w:rsidRPr="00CC1F5D">
        <w:rPr>
          <w:rFonts w:ascii="Arial" w:hAnsi="Arial" w:cs="Arial"/>
          <w:sz w:val="24"/>
          <w:szCs w:val="24"/>
        </w:rPr>
        <w:t xml:space="preserve"> the extent to which reinsurance premiums are exported out of Namibia. In terms of s 42(1) of the </w:t>
      </w:r>
      <w:proofErr w:type="spellStart"/>
      <w:r w:rsidRPr="00CC1F5D">
        <w:rPr>
          <w:rFonts w:ascii="Arial" w:hAnsi="Arial" w:cs="Arial"/>
          <w:sz w:val="24"/>
          <w:szCs w:val="24"/>
        </w:rPr>
        <w:t>NAMRe</w:t>
      </w:r>
      <w:proofErr w:type="spellEnd"/>
      <w:r w:rsidRPr="00CC1F5D">
        <w:rPr>
          <w:rFonts w:ascii="Arial" w:hAnsi="Arial" w:cs="Arial"/>
          <w:sz w:val="24"/>
          <w:szCs w:val="24"/>
        </w:rPr>
        <w:t xml:space="preserve"> Act, any registered insurer and reinsurer who fails to comply with the </w:t>
      </w:r>
      <w:r w:rsidRPr="00CC1F5D">
        <w:rPr>
          <w:rFonts w:ascii="Arial" w:hAnsi="Arial" w:cs="Arial"/>
          <w:sz w:val="24"/>
          <w:szCs w:val="24"/>
        </w:rPr>
        <w:lastRenderedPageBreak/>
        <w:t xml:space="preserve">measures is </w:t>
      </w:r>
      <w:r w:rsidRPr="00CC1F5D">
        <w:rPr>
          <w:rFonts w:ascii="Arial" w:hAnsi="Arial" w:cs="Arial"/>
          <w:sz w:val="24"/>
          <w:szCs w:val="24"/>
          <w:lang w:val="en-GB"/>
        </w:rPr>
        <w:t>guilty of an offence and liable on conviction to a fine not exceeding N$150 000 or to imprisonment for a period not exceeding 10 years, or to both such fine and such imprisonment.</w:t>
      </w:r>
      <w:r w:rsidRPr="00CC1F5D">
        <w:rPr>
          <w:rFonts w:ascii="Arial" w:hAnsi="Arial" w:cs="Arial"/>
          <w:sz w:val="24"/>
          <w:szCs w:val="24"/>
        </w:rPr>
        <w:t xml:space="preserve"> </w:t>
      </w:r>
    </w:p>
    <w:p w:rsidR="00E875BD" w:rsidRDefault="00E875BD" w:rsidP="008D3D48">
      <w:pPr>
        <w:tabs>
          <w:tab w:val="left" w:pos="851"/>
        </w:tabs>
        <w:spacing w:after="0" w:line="360" w:lineRule="auto"/>
        <w:contextualSpacing/>
        <w:jc w:val="both"/>
        <w:rPr>
          <w:rFonts w:ascii="Arial" w:hAnsi="Arial" w:cs="Arial"/>
          <w:sz w:val="24"/>
          <w:szCs w:val="24"/>
        </w:rPr>
      </w:pPr>
    </w:p>
    <w:p w:rsidR="00E875BD" w:rsidRDefault="007E4589" w:rsidP="008D3D48">
      <w:pPr>
        <w:tabs>
          <w:tab w:val="left" w:pos="851"/>
        </w:tabs>
        <w:spacing w:after="0" w:line="360" w:lineRule="auto"/>
        <w:contextualSpacing/>
        <w:jc w:val="both"/>
        <w:rPr>
          <w:rFonts w:ascii="Arial" w:hAnsi="Arial" w:cs="Arial"/>
          <w:sz w:val="24"/>
          <w:szCs w:val="24"/>
        </w:rPr>
      </w:pPr>
      <w:r w:rsidRPr="007E4589">
        <w:rPr>
          <w:rFonts w:ascii="Arial" w:hAnsi="Arial" w:cs="Arial"/>
          <w:sz w:val="24"/>
          <w:szCs w:val="24"/>
        </w:rPr>
        <w:t xml:space="preserve">The current respondents brought an application in the court a </w:t>
      </w:r>
      <w:r w:rsidRPr="00767F8B">
        <w:rPr>
          <w:rFonts w:ascii="Arial" w:hAnsi="Arial" w:cs="Arial"/>
          <w:i/>
          <w:sz w:val="24"/>
          <w:szCs w:val="24"/>
        </w:rPr>
        <w:t>quo</w:t>
      </w:r>
      <w:r w:rsidRPr="007E4589">
        <w:rPr>
          <w:rFonts w:ascii="Arial" w:hAnsi="Arial" w:cs="Arial"/>
          <w:sz w:val="24"/>
          <w:szCs w:val="24"/>
        </w:rPr>
        <w:t xml:space="preserve"> challenging the constitutionality of certain provisions in the </w:t>
      </w:r>
      <w:proofErr w:type="spellStart"/>
      <w:r w:rsidRPr="007E4589">
        <w:rPr>
          <w:rFonts w:ascii="Arial" w:hAnsi="Arial" w:cs="Arial"/>
          <w:sz w:val="24"/>
          <w:szCs w:val="24"/>
        </w:rPr>
        <w:t>NAMRe</w:t>
      </w:r>
      <w:proofErr w:type="spellEnd"/>
      <w:r w:rsidRPr="007E4589">
        <w:rPr>
          <w:rFonts w:ascii="Arial" w:hAnsi="Arial" w:cs="Arial"/>
          <w:sz w:val="24"/>
          <w:szCs w:val="24"/>
        </w:rPr>
        <w:t xml:space="preserve"> Act and for the review of  measures under that Act  on grounds</w:t>
      </w:r>
      <w:r w:rsidR="00E875BD" w:rsidRPr="007E4589">
        <w:rPr>
          <w:rFonts w:ascii="Arial" w:hAnsi="Arial" w:cs="Arial"/>
          <w:sz w:val="24"/>
          <w:szCs w:val="24"/>
        </w:rPr>
        <w:t xml:space="preserve"> that the measures</w:t>
      </w:r>
      <w:r w:rsidR="00E875BD" w:rsidRPr="00CC1F5D">
        <w:rPr>
          <w:rFonts w:ascii="Arial" w:hAnsi="Arial" w:cs="Arial"/>
          <w:sz w:val="24"/>
          <w:szCs w:val="24"/>
        </w:rPr>
        <w:t xml:space="preserve"> are contrary to </w:t>
      </w:r>
      <w:r w:rsidR="00E875BD" w:rsidRPr="000C3275">
        <w:rPr>
          <w:rFonts w:ascii="Arial" w:eastAsia="Times New Roman" w:hAnsi="Arial" w:cs="Arial"/>
          <w:sz w:val="24"/>
          <w:szCs w:val="24"/>
          <w:lang w:val="en-GB" w:eastAsia="en-GB"/>
        </w:rPr>
        <w:t xml:space="preserve">Article 18 read with Articles 8, 16 and 21(1)(j) </w:t>
      </w:r>
      <w:r w:rsidR="00E875BD">
        <w:rPr>
          <w:rFonts w:ascii="Arial" w:hAnsi="Arial" w:cs="Arial"/>
          <w:sz w:val="24"/>
          <w:szCs w:val="24"/>
        </w:rPr>
        <w:t>of the Namibian Constitution.</w:t>
      </w:r>
      <w:r w:rsidR="00E875BD" w:rsidRPr="00CC1F5D">
        <w:rPr>
          <w:rFonts w:ascii="Arial" w:hAnsi="Arial" w:cs="Arial"/>
          <w:sz w:val="24"/>
          <w:szCs w:val="24"/>
        </w:rPr>
        <w:t xml:space="preserve"> </w:t>
      </w:r>
      <w:r w:rsidR="00E875BD">
        <w:rPr>
          <w:rFonts w:ascii="Arial" w:hAnsi="Arial" w:cs="Arial"/>
          <w:sz w:val="24"/>
          <w:szCs w:val="24"/>
        </w:rPr>
        <w:t>Pending these proceedings, an application to compel the respondents to, in the interim, comply with the measures, and in the alternative to commit,</w:t>
      </w:r>
      <w:r w:rsidR="00E875BD" w:rsidRPr="000C3275">
        <w:rPr>
          <w:rFonts w:ascii="Arial" w:hAnsi="Arial" w:cs="Arial"/>
          <w:sz w:val="24"/>
          <w:szCs w:val="24"/>
        </w:rPr>
        <w:t xml:space="preserve"> for contempt</w:t>
      </w:r>
      <w:r w:rsidR="00E875BD">
        <w:rPr>
          <w:rFonts w:ascii="Arial" w:hAnsi="Arial" w:cs="Arial"/>
          <w:sz w:val="24"/>
          <w:szCs w:val="24"/>
        </w:rPr>
        <w:t>,</w:t>
      </w:r>
      <w:r w:rsidR="00E875BD" w:rsidRPr="000C3275">
        <w:rPr>
          <w:rFonts w:ascii="Arial" w:hAnsi="Arial" w:cs="Arial"/>
          <w:sz w:val="24"/>
          <w:szCs w:val="24"/>
        </w:rPr>
        <w:t xml:space="preserve"> the corporate respondents’ executives (9</w:t>
      </w:r>
      <w:r w:rsidR="00E875BD" w:rsidRPr="000C3275">
        <w:rPr>
          <w:rFonts w:ascii="Arial" w:hAnsi="Arial" w:cs="Arial"/>
          <w:sz w:val="24"/>
          <w:szCs w:val="24"/>
          <w:vertAlign w:val="superscript"/>
        </w:rPr>
        <w:t>th</w:t>
      </w:r>
      <w:r w:rsidR="00E875BD" w:rsidRPr="000C3275">
        <w:rPr>
          <w:rFonts w:ascii="Arial" w:hAnsi="Arial" w:cs="Arial"/>
          <w:sz w:val="24"/>
          <w:szCs w:val="24"/>
        </w:rPr>
        <w:t xml:space="preserve"> to 16</w:t>
      </w:r>
      <w:r w:rsidR="00E875BD" w:rsidRPr="000C3275">
        <w:rPr>
          <w:rFonts w:ascii="Arial" w:hAnsi="Arial" w:cs="Arial"/>
          <w:sz w:val="24"/>
          <w:szCs w:val="24"/>
          <w:vertAlign w:val="superscript"/>
        </w:rPr>
        <w:t>th</w:t>
      </w:r>
      <w:r w:rsidR="00E875BD" w:rsidRPr="000C3275">
        <w:rPr>
          <w:rFonts w:ascii="Arial" w:hAnsi="Arial" w:cs="Arial"/>
          <w:sz w:val="24"/>
          <w:szCs w:val="24"/>
        </w:rPr>
        <w:t xml:space="preserve"> respondents) in the event that any of the respondents do no</w:t>
      </w:r>
      <w:r w:rsidR="00E875BD">
        <w:rPr>
          <w:rFonts w:ascii="Arial" w:hAnsi="Arial" w:cs="Arial"/>
          <w:sz w:val="24"/>
          <w:szCs w:val="24"/>
        </w:rPr>
        <w:t>t comply with the court’s order,</w:t>
      </w:r>
      <w:r w:rsidR="00E875BD" w:rsidRPr="000C3275">
        <w:rPr>
          <w:rFonts w:ascii="Arial" w:hAnsi="Arial" w:cs="Arial"/>
          <w:sz w:val="24"/>
          <w:szCs w:val="24"/>
        </w:rPr>
        <w:t xml:space="preserve"> </w:t>
      </w:r>
      <w:r w:rsidR="00E875BD">
        <w:rPr>
          <w:rFonts w:ascii="Arial" w:hAnsi="Arial" w:cs="Arial"/>
          <w:sz w:val="24"/>
          <w:szCs w:val="24"/>
        </w:rPr>
        <w:t xml:space="preserve">ended in the court a </w:t>
      </w:r>
      <w:r w:rsidR="00E875BD" w:rsidRPr="00901F7E">
        <w:rPr>
          <w:rFonts w:ascii="Arial" w:hAnsi="Arial" w:cs="Arial"/>
          <w:i/>
          <w:sz w:val="24"/>
          <w:szCs w:val="24"/>
        </w:rPr>
        <w:t>quo</w:t>
      </w:r>
      <w:r w:rsidR="00E875BD">
        <w:rPr>
          <w:rFonts w:ascii="Arial" w:hAnsi="Arial" w:cs="Arial"/>
          <w:sz w:val="24"/>
          <w:szCs w:val="24"/>
        </w:rPr>
        <w:t xml:space="preserve"> staying the implementation and application of the impugned provisions pending the determination of the constitutional challenge. </w:t>
      </w:r>
    </w:p>
    <w:p w:rsidR="00E875BD" w:rsidRDefault="00E875BD" w:rsidP="008D3D48">
      <w:pPr>
        <w:tabs>
          <w:tab w:val="left" w:pos="851"/>
        </w:tabs>
        <w:spacing w:after="0" w:line="360" w:lineRule="auto"/>
        <w:contextualSpacing/>
        <w:jc w:val="both"/>
        <w:rPr>
          <w:rFonts w:ascii="Arial" w:hAnsi="Arial" w:cs="Arial"/>
          <w:sz w:val="24"/>
          <w:szCs w:val="24"/>
        </w:rPr>
      </w:pPr>
    </w:p>
    <w:p w:rsidR="00E875BD" w:rsidRDefault="00E875BD" w:rsidP="008D3D48">
      <w:pPr>
        <w:tabs>
          <w:tab w:val="left" w:pos="851"/>
        </w:tabs>
        <w:spacing w:after="0" w:line="360" w:lineRule="auto"/>
        <w:contextualSpacing/>
        <w:jc w:val="both"/>
        <w:rPr>
          <w:rFonts w:ascii="Arial" w:hAnsi="Arial" w:cs="Arial"/>
          <w:sz w:val="24"/>
          <w:szCs w:val="24"/>
        </w:rPr>
      </w:pPr>
      <w:r>
        <w:rPr>
          <w:rFonts w:ascii="Arial" w:hAnsi="Arial" w:cs="Arial"/>
          <w:sz w:val="24"/>
          <w:szCs w:val="24"/>
        </w:rPr>
        <w:t>Leave to appeal against this order wa</w:t>
      </w:r>
      <w:r w:rsidR="008D3D48">
        <w:rPr>
          <w:rFonts w:ascii="Arial" w:hAnsi="Arial" w:cs="Arial"/>
          <w:sz w:val="24"/>
          <w:szCs w:val="24"/>
        </w:rPr>
        <w:t>s subsequently refused and the a</w:t>
      </w:r>
      <w:r>
        <w:rPr>
          <w:rFonts w:ascii="Arial" w:hAnsi="Arial" w:cs="Arial"/>
          <w:sz w:val="24"/>
          <w:szCs w:val="24"/>
        </w:rPr>
        <w:t>pplicants petitioned the Chief Justice for leave to appeal. Frank AJA refused in chambers the request to be granted leave to appeal against the order of stay.</w:t>
      </w:r>
    </w:p>
    <w:p w:rsidR="00E875BD" w:rsidRDefault="00E875BD" w:rsidP="008D3D48">
      <w:pPr>
        <w:tabs>
          <w:tab w:val="left" w:pos="851"/>
        </w:tabs>
        <w:spacing w:after="0" w:line="360" w:lineRule="auto"/>
        <w:contextualSpacing/>
        <w:jc w:val="both"/>
        <w:rPr>
          <w:rFonts w:ascii="Arial" w:hAnsi="Arial" w:cs="Arial"/>
          <w:sz w:val="24"/>
          <w:szCs w:val="24"/>
        </w:rPr>
      </w:pPr>
    </w:p>
    <w:p w:rsidR="00E875BD" w:rsidRDefault="00E875BD" w:rsidP="008D3D48">
      <w:pPr>
        <w:spacing w:after="0" w:line="360" w:lineRule="auto"/>
        <w:jc w:val="both"/>
        <w:rPr>
          <w:rFonts w:ascii="Arial" w:eastAsia="Times New Roman" w:hAnsi="Arial" w:cs="Arial"/>
          <w:sz w:val="24"/>
          <w:szCs w:val="24"/>
          <w:lang w:eastAsia="en-GB"/>
        </w:rPr>
      </w:pPr>
      <w:r w:rsidRPr="00230471">
        <w:rPr>
          <w:rFonts w:ascii="Arial" w:hAnsi="Arial" w:cs="Arial"/>
          <w:i/>
          <w:sz w:val="24"/>
          <w:szCs w:val="24"/>
        </w:rPr>
        <w:t xml:space="preserve">Post-facto </w:t>
      </w:r>
      <w:r>
        <w:rPr>
          <w:rFonts w:ascii="Arial" w:hAnsi="Arial" w:cs="Arial"/>
          <w:sz w:val="24"/>
          <w:szCs w:val="24"/>
        </w:rPr>
        <w:t>the Supreme Court order</w:t>
      </w:r>
      <w:r w:rsidRPr="001A7F31">
        <w:rPr>
          <w:rFonts w:ascii="Arial" w:eastAsia="Times New Roman" w:hAnsi="Arial" w:cs="Arial"/>
          <w:sz w:val="24"/>
          <w:szCs w:val="24"/>
          <w:lang w:eastAsia="en-GB"/>
        </w:rPr>
        <w:t xml:space="preserve"> </w:t>
      </w:r>
      <w:r w:rsidRPr="000C3275">
        <w:rPr>
          <w:rFonts w:ascii="Arial" w:eastAsia="Times New Roman" w:hAnsi="Arial" w:cs="Arial"/>
          <w:sz w:val="24"/>
          <w:szCs w:val="24"/>
          <w:lang w:eastAsia="en-GB"/>
        </w:rPr>
        <w:t>the applicants brought the present proceedings in th</w:t>
      </w:r>
      <w:r w:rsidR="008D3D48">
        <w:rPr>
          <w:rFonts w:ascii="Arial" w:eastAsia="Times New Roman" w:hAnsi="Arial" w:cs="Arial"/>
          <w:sz w:val="24"/>
          <w:szCs w:val="24"/>
          <w:lang w:eastAsia="en-GB"/>
        </w:rPr>
        <w:t>e Supreme Court in terms of Art</w:t>
      </w:r>
      <w:r w:rsidRPr="000C3275">
        <w:rPr>
          <w:rFonts w:ascii="Arial" w:eastAsia="Times New Roman" w:hAnsi="Arial" w:cs="Arial"/>
          <w:sz w:val="24"/>
          <w:szCs w:val="24"/>
          <w:lang w:eastAsia="en-GB"/>
        </w:rPr>
        <w:t xml:space="preserve"> 81 of the Constitution</w:t>
      </w:r>
      <w:r>
        <w:rPr>
          <w:rFonts w:ascii="Arial" w:eastAsia="Times New Roman" w:hAnsi="Arial" w:cs="Arial"/>
          <w:sz w:val="24"/>
          <w:szCs w:val="24"/>
          <w:lang w:eastAsia="en-GB"/>
        </w:rPr>
        <w:t>,</w:t>
      </w:r>
      <w:r w:rsidRPr="000C3275">
        <w:rPr>
          <w:rFonts w:ascii="Arial" w:eastAsia="Times New Roman" w:hAnsi="Arial" w:cs="Arial"/>
          <w:sz w:val="24"/>
          <w:szCs w:val="24"/>
          <w:lang w:eastAsia="en-GB"/>
        </w:rPr>
        <w:t xml:space="preserve"> seeking a </w:t>
      </w:r>
      <w:proofErr w:type="spellStart"/>
      <w:r w:rsidRPr="000C3275">
        <w:rPr>
          <w:rFonts w:ascii="Arial" w:eastAsia="Times New Roman" w:hAnsi="Arial" w:cs="Arial"/>
          <w:i/>
          <w:sz w:val="24"/>
          <w:szCs w:val="24"/>
          <w:lang w:eastAsia="en-GB"/>
        </w:rPr>
        <w:t>declarator</w:t>
      </w:r>
      <w:proofErr w:type="spellEnd"/>
      <w:r w:rsidRPr="000C3275">
        <w:rPr>
          <w:rFonts w:ascii="Arial" w:eastAsia="Times New Roman" w:hAnsi="Arial" w:cs="Arial"/>
          <w:sz w:val="24"/>
          <w:szCs w:val="24"/>
          <w:lang w:eastAsia="en-GB"/>
        </w:rPr>
        <w:t xml:space="preserve"> that, because of perceived bias on the petition judge’s part, the refusal of the petition is a nullity and that the full court should consider the petition afresh.</w:t>
      </w:r>
      <w:r>
        <w:rPr>
          <w:rFonts w:ascii="Arial" w:eastAsia="Times New Roman" w:hAnsi="Arial" w:cs="Arial"/>
          <w:sz w:val="24"/>
          <w:szCs w:val="24"/>
          <w:lang w:eastAsia="en-GB"/>
        </w:rPr>
        <w:t xml:space="preserve"> </w:t>
      </w:r>
    </w:p>
    <w:p w:rsidR="00767F8B" w:rsidRDefault="00767F8B" w:rsidP="008D3D48">
      <w:pPr>
        <w:spacing w:after="0" w:line="360" w:lineRule="auto"/>
        <w:jc w:val="both"/>
        <w:rPr>
          <w:rFonts w:ascii="Arial" w:eastAsia="Times New Roman" w:hAnsi="Arial" w:cs="Arial"/>
          <w:sz w:val="24"/>
          <w:szCs w:val="24"/>
          <w:lang w:eastAsia="en-GB"/>
        </w:rPr>
      </w:pPr>
    </w:p>
    <w:p w:rsidR="00E875BD" w:rsidRDefault="00E875BD" w:rsidP="008D3D48">
      <w:pPr>
        <w:spacing w:after="0" w:line="360" w:lineRule="auto"/>
        <w:jc w:val="both"/>
        <w:rPr>
          <w:rFonts w:ascii="Arial" w:hAnsi="Arial" w:cs="Arial"/>
          <w:sz w:val="24"/>
          <w:szCs w:val="24"/>
        </w:rPr>
      </w:pPr>
      <w:r>
        <w:rPr>
          <w:rFonts w:ascii="Arial" w:eastAsia="Times New Roman" w:hAnsi="Arial" w:cs="Arial"/>
          <w:sz w:val="24"/>
          <w:szCs w:val="24"/>
          <w:lang w:eastAsia="en-GB"/>
        </w:rPr>
        <w:t xml:space="preserve">This court reiterated that the </w:t>
      </w:r>
      <w:r w:rsidRPr="000C3275">
        <w:rPr>
          <w:rFonts w:ascii="Arial" w:hAnsi="Arial" w:cs="Arial"/>
          <w:sz w:val="24"/>
          <w:szCs w:val="24"/>
        </w:rPr>
        <w:t>test is whether a reasonable, objective and informed person would, on the correct facts, reasonably apprehend that the judge would not be impartial. The test is objective and the onus of establishing it rests upon the applicant.</w:t>
      </w:r>
      <w:r>
        <w:rPr>
          <w:rFonts w:ascii="Arial" w:hAnsi="Arial" w:cs="Arial"/>
          <w:sz w:val="24"/>
          <w:szCs w:val="24"/>
        </w:rPr>
        <w:t xml:space="preserve"> </w:t>
      </w:r>
    </w:p>
    <w:p w:rsidR="00767F8B" w:rsidRDefault="00767F8B" w:rsidP="008D3D48">
      <w:pPr>
        <w:spacing w:after="0" w:line="360" w:lineRule="auto"/>
        <w:jc w:val="both"/>
        <w:rPr>
          <w:rFonts w:ascii="Arial" w:hAnsi="Arial" w:cs="Arial"/>
          <w:i/>
          <w:sz w:val="24"/>
          <w:szCs w:val="24"/>
        </w:rPr>
      </w:pPr>
    </w:p>
    <w:p w:rsidR="00E875BD" w:rsidRDefault="00E875BD" w:rsidP="008D3D48">
      <w:pPr>
        <w:spacing w:after="0" w:line="360" w:lineRule="auto"/>
        <w:jc w:val="both"/>
        <w:rPr>
          <w:rFonts w:ascii="Arial" w:hAnsi="Arial" w:cs="Arial"/>
          <w:sz w:val="24"/>
          <w:szCs w:val="24"/>
        </w:rPr>
      </w:pPr>
      <w:r w:rsidRPr="00647944">
        <w:rPr>
          <w:rFonts w:ascii="Arial" w:hAnsi="Arial" w:cs="Arial"/>
          <w:i/>
          <w:sz w:val="24"/>
          <w:szCs w:val="24"/>
        </w:rPr>
        <w:t>Court on appeal held</w:t>
      </w:r>
      <w:r>
        <w:rPr>
          <w:rFonts w:ascii="Arial" w:hAnsi="Arial" w:cs="Arial"/>
          <w:sz w:val="24"/>
          <w:szCs w:val="24"/>
        </w:rPr>
        <w:t xml:space="preserve"> that </w:t>
      </w:r>
      <w:r w:rsidRPr="00647944">
        <w:rPr>
          <w:rFonts w:ascii="Arial" w:hAnsi="Arial" w:cs="Arial"/>
          <w:sz w:val="24"/>
          <w:szCs w:val="24"/>
        </w:rPr>
        <w:t>the cumulative effect of</w:t>
      </w:r>
      <w:r w:rsidR="008D3D48">
        <w:rPr>
          <w:rFonts w:ascii="Arial" w:hAnsi="Arial" w:cs="Arial"/>
          <w:sz w:val="24"/>
          <w:szCs w:val="24"/>
        </w:rPr>
        <w:t xml:space="preserve"> the petition judge having been</w:t>
      </w:r>
      <w:r w:rsidRPr="00647944">
        <w:rPr>
          <w:rFonts w:ascii="Arial" w:hAnsi="Arial" w:cs="Arial"/>
          <w:sz w:val="24"/>
          <w:szCs w:val="24"/>
        </w:rPr>
        <w:t xml:space="preserve"> the lead counsel for the insurance industry in the 1999 constitutional challenge; his remunerated association with NNHL (which is the holding company of </w:t>
      </w:r>
      <w:proofErr w:type="spellStart"/>
      <w:r w:rsidRPr="00647944">
        <w:rPr>
          <w:rFonts w:ascii="Arial" w:hAnsi="Arial" w:cs="Arial"/>
          <w:sz w:val="24"/>
          <w:szCs w:val="24"/>
        </w:rPr>
        <w:t>NedLife</w:t>
      </w:r>
      <w:proofErr w:type="spellEnd"/>
      <w:r w:rsidRPr="00647944">
        <w:rPr>
          <w:rFonts w:ascii="Arial" w:hAnsi="Arial" w:cs="Arial"/>
          <w:sz w:val="24"/>
          <w:szCs w:val="24"/>
        </w:rPr>
        <w:t xml:space="preserve">) and his previous directorship of </w:t>
      </w:r>
      <w:proofErr w:type="spellStart"/>
      <w:r w:rsidRPr="00647944">
        <w:rPr>
          <w:rFonts w:ascii="Arial" w:hAnsi="Arial" w:cs="Arial"/>
          <w:sz w:val="24"/>
          <w:szCs w:val="24"/>
        </w:rPr>
        <w:t>Trustco</w:t>
      </w:r>
      <w:proofErr w:type="spellEnd"/>
      <w:r w:rsidRPr="00647944">
        <w:rPr>
          <w:rFonts w:ascii="Arial" w:hAnsi="Arial" w:cs="Arial"/>
          <w:sz w:val="24"/>
          <w:szCs w:val="24"/>
        </w:rPr>
        <w:t xml:space="preserve"> Holdings (</w:t>
      </w:r>
      <w:proofErr w:type="spellStart"/>
      <w:r w:rsidRPr="00647944">
        <w:rPr>
          <w:rFonts w:ascii="Arial" w:hAnsi="Arial" w:cs="Arial"/>
          <w:sz w:val="24"/>
          <w:szCs w:val="24"/>
        </w:rPr>
        <w:t>Trustco</w:t>
      </w:r>
      <w:proofErr w:type="spellEnd"/>
      <w:r w:rsidRPr="00647944">
        <w:rPr>
          <w:rFonts w:ascii="Arial" w:hAnsi="Arial" w:cs="Arial"/>
          <w:sz w:val="24"/>
          <w:szCs w:val="24"/>
        </w:rPr>
        <w:t xml:space="preserve">), </w:t>
      </w:r>
      <w:r>
        <w:rPr>
          <w:rFonts w:ascii="Arial" w:hAnsi="Arial" w:cs="Arial"/>
          <w:sz w:val="24"/>
          <w:szCs w:val="24"/>
        </w:rPr>
        <w:t xml:space="preserve">would warrant a </w:t>
      </w:r>
      <w:r w:rsidRPr="00647944">
        <w:rPr>
          <w:rFonts w:ascii="Arial" w:hAnsi="Arial" w:cs="Arial"/>
          <w:sz w:val="24"/>
          <w:szCs w:val="24"/>
        </w:rPr>
        <w:t xml:space="preserve">reasonable lay observer </w:t>
      </w:r>
      <w:r>
        <w:rPr>
          <w:rFonts w:ascii="Arial" w:hAnsi="Arial" w:cs="Arial"/>
          <w:sz w:val="24"/>
          <w:szCs w:val="24"/>
        </w:rPr>
        <w:t xml:space="preserve">to, </w:t>
      </w:r>
      <w:r w:rsidRPr="00647944">
        <w:rPr>
          <w:rFonts w:ascii="Arial" w:hAnsi="Arial" w:cs="Arial"/>
          <w:sz w:val="24"/>
          <w:szCs w:val="24"/>
        </w:rPr>
        <w:t>on the known facts</w:t>
      </w:r>
      <w:r>
        <w:rPr>
          <w:rFonts w:ascii="Arial" w:hAnsi="Arial" w:cs="Arial"/>
          <w:sz w:val="24"/>
          <w:szCs w:val="24"/>
        </w:rPr>
        <w:t>,</w:t>
      </w:r>
      <w:r w:rsidRPr="00647944">
        <w:rPr>
          <w:rFonts w:ascii="Arial" w:hAnsi="Arial" w:cs="Arial"/>
          <w:sz w:val="24"/>
          <w:szCs w:val="24"/>
        </w:rPr>
        <w:t xml:space="preserve"> reaso</w:t>
      </w:r>
      <w:r>
        <w:rPr>
          <w:rFonts w:ascii="Arial" w:hAnsi="Arial" w:cs="Arial"/>
          <w:sz w:val="24"/>
          <w:szCs w:val="24"/>
        </w:rPr>
        <w:t>nably form</w:t>
      </w:r>
      <w:r w:rsidRPr="00647944">
        <w:rPr>
          <w:rFonts w:ascii="Arial" w:hAnsi="Arial" w:cs="Arial"/>
          <w:sz w:val="24"/>
          <w:szCs w:val="24"/>
        </w:rPr>
        <w:t xml:space="preserve"> the view that the petition judge might not bring an imparti</w:t>
      </w:r>
      <w:r>
        <w:rPr>
          <w:rFonts w:ascii="Arial" w:hAnsi="Arial" w:cs="Arial"/>
          <w:sz w:val="24"/>
          <w:szCs w:val="24"/>
        </w:rPr>
        <w:t xml:space="preserve">al mind to bear in the petition and further </w:t>
      </w:r>
      <w:r w:rsidRPr="00647944">
        <w:rPr>
          <w:rFonts w:ascii="Arial" w:hAnsi="Arial" w:cs="Arial"/>
          <w:sz w:val="24"/>
          <w:szCs w:val="24"/>
        </w:rPr>
        <w:t xml:space="preserve">that </w:t>
      </w:r>
      <w:r>
        <w:rPr>
          <w:rFonts w:ascii="Arial" w:hAnsi="Arial" w:cs="Arial"/>
          <w:sz w:val="24"/>
          <w:szCs w:val="24"/>
        </w:rPr>
        <w:t>t</w:t>
      </w:r>
      <w:r w:rsidRPr="000C3275">
        <w:rPr>
          <w:rFonts w:ascii="Arial" w:hAnsi="Arial" w:cs="Arial"/>
          <w:sz w:val="24"/>
          <w:szCs w:val="24"/>
        </w:rPr>
        <w:t xml:space="preserve">he petition </w:t>
      </w:r>
      <w:r w:rsidRPr="000C3275">
        <w:rPr>
          <w:rFonts w:ascii="Arial" w:hAnsi="Arial" w:cs="Arial"/>
          <w:sz w:val="24"/>
          <w:szCs w:val="24"/>
        </w:rPr>
        <w:lastRenderedPageBreak/>
        <w:t xml:space="preserve">judge ought not to have presided in the petition without </w:t>
      </w:r>
      <w:r>
        <w:rPr>
          <w:rFonts w:ascii="Arial" w:hAnsi="Arial" w:cs="Arial"/>
          <w:sz w:val="24"/>
          <w:szCs w:val="24"/>
        </w:rPr>
        <w:t>disclosing such information</w:t>
      </w:r>
      <w:r w:rsidRPr="000C3275">
        <w:rPr>
          <w:rFonts w:ascii="Arial" w:hAnsi="Arial" w:cs="Arial"/>
          <w:sz w:val="24"/>
          <w:szCs w:val="24"/>
        </w:rPr>
        <w:t xml:space="preserve"> and affording those desiring to do so to seek his recusal if so advised. </w:t>
      </w:r>
    </w:p>
    <w:p w:rsidR="00724152" w:rsidRDefault="00724152" w:rsidP="008D3D48">
      <w:pPr>
        <w:spacing w:after="0" w:line="360" w:lineRule="auto"/>
        <w:jc w:val="both"/>
        <w:rPr>
          <w:rFonts w:ascii="Arial" w:hAnsi="Arial" w:cs="Arial"/>
          <w:sz w:val="24"/>
          <w:szCs w:val="24"/>
        </w:rPr>
      </w:pPr>
    </w:p>
    <w:p w:rsidR="00E875BD" w:rsidRDefault="00E875BD" w:rsidP="008D3D48">
      <w:pPr>
        <w:spacing w:after="0" w:line="360" w:lineRule="auto"/>
        <w:jc w:val="both"/>
        <w:rPr>
          <w:rFonts w:ascii="Arial" w:hAnsi="Arial" w:cs="Arial"/>
          <w:sz w:val="24"/>
          <w:szCs w:val="24"/>
        </w:rPr>
      </w:pPr>
      <w:r>
        <w:rPr>
          <w:rFonts w:ascii="Arial" w:hAnsi="Arial" w:cs="Arial"/>
          <w:sz w:val="24"/>
          <w:szCs w:val="24"/>
        </w:rPr>
        <w:t xml:space="preserve">As regards the order of stay by the court a </w:t>
      </w:r>
      <w:r w:rsidRPr="00AE38B6">
        <w:rPr>
          <w:rFonts w:ascii="Arial" w:hAnsi="Arial" w:cs="Arial"/>
          <w:i/>
          <w:sz w:val="24"/>
          <w:szCs w:val="24"/>
        </w:rPr>
        <w:t>quo,</w:t>
      </w:r>
      <w:r>
        <w:rPr>
          <w:rFonts w:ascii="Arial" w:hAnsi="Arial" w:cs="Arial"/>
          <w:sz w:val="24"/>
          <w:szCs w:val="24"/>
        </w:rPr>
        <w:t xml:space="preserve"> court on appeal reiterating that </w:t>
      </w:r>
      <w:r w:rsidRPr="000C3275">
        <w:rPr>
          <w:rFonts w:ascii="Arial" w:hAnsi="Arial" w:cs="Arial"/>
          <w:sz w:val="24"/>
          <w:szCs w:val="24"/>
        </w:rPr>
        <w:t>a court is only competent to grant orders which were asked for by the litigants</w:t>
      </w:r>
      <w:r>
        <w:rPr>
          <w:rFonts w:ascii="Arial" w:hAnsi="Arial" w:cs="Arial"/>
          <w:sz w:val="24"/>
          <w:szCs w:val="24"/>
        </w:rPr>
        <w:t xml:space="preserve"> and </w:t>
      </w:r>
      <w:r w:rsidRPr="000C3275">
        <w:rPr>
          <w:rFonts w:ascii="Arial" w:hAnsi="Arial" w:cs="Arial"/>
          <w:sz w:val="24"/>
          <w:szCs w:val="24"/>
        </w:rPr>
        <w:t xml:space="preserve">may not usurp the powers delineated </w:t>
      </w:r>
      <w:r>
        <w:rPr>
          <w:rFonts w:ascii="Arial" w:hAnsi="Arial" w:cs="Arial"/>
          <w:sz w:val="24"/>
          <w:szCs w:val="24"/>
        </w:rPr>
        <w:t xml:space="preserve">to the executive </w:t>
      </w:r>
      <w:r w:rsidRPr="000C3275">
        <w:rPr>
          <w:rFonts w:ascii="Arial" w:hAnsi="Arial" w:cs="Arial"/>
          <w:sz w:val="24"/>
          <w:szCs w:val="24"/>
        </w:rPr>
        <w:t>under the Constitution</w:t>
      </w:r>
      <w:r>
        <w:rPr>
          <w:rFonts w:ascii="Arial" w:hAnsi="Arial" w:cs="Arial"/>
          <w:sz w:val="24"/>
          <w:szCs w:val="24"/>
        </w:rPr>
        <w:t>;</w:t>
      </w:r>
    </w:p>
    <w:p w:rsidR="00E875BD" w:rsidRDefault="00E875BD" w:rsidP="008D3D48">
      <w:pPr>
        <w:spacing w:after="0" w:line="360" w:lineRule="auto"/>
        <w:jc w:val="both"/>
        <w:rPr>
          <w:rFonts w:ascii="Arial" w:hAnsi="Arial" w:cs="Arial"/>
          <w:sz w:val="24"/>
          <w:szCs w:val="24"/>
        </w:rPr>
      </w:pPr>
    </w:p>
    <w:p w:rsidR="00E875BD" w:rsidRDefault="00345F00" w:rsidP="008D3D48">
      <w:pPr>
        <w:spacing w:after="0" w:line="360" w:lineRule="auto"/>
        <w:jc w:val="both"/>
        <w:rPr>
          <w:rFonts w:ascii="Arial" w:hAnsi="Arial" w:cs="Arial"/>
          <w:sz w:val="24"/>
          <w:szCs w:val="24"/>
        </w:rPr>
      </w:pPr>
      <w:r>
        <w:rPr>
          <w:rFonts w:ascii="Arial" w:hAnsi="Arial" w:cs="Arial"/>
          <w:sz w:val="24"/>
          <w:szCs w:val="24"/>
        </w:rPr>
        <w:t>Application for rec</w:t>
      </w:r>
      <w:r w:rsidR="00E875BD">
        <w:rPr>
          <w:rFonts w:ascii="Arial" w:hAnsi="Arial" w:cs="Arial"/>
          <w:sz w:val="24"/>
          <w:szCs w:val="24"/>
        </w:rPr>
        <w:t xml:space="preserve">usal granted, refusal of petition set aside and leave to appeal </w:t>
      </w:r>
      <w:r w:rsidR="00BB0962">
        <w:rPr>
          <w:rFonts w:ascii="Arial" w:hAnsi="Arial" w:cs="Arial"/>
          <w:sz w:val="24"/>
          <w:szCs w:val="24"/>
        </w:rPr>
        <w:t xml:space="preserve">granted </w:t>
      </w:r>
      <w:r w:rsidR="00E875BD">
        <w:rPr>
          <w:rFonts w:ascii="Arial" w:hAnsi="Arial" w:cs="Arial"/>
          <w:sz w:val="24"/>
          <w:szCs w:val="24"/>
        </w:rPr>
        <w:t>against order of stay.</w:t>
      </w:r>
    </w:p>
    <w:p w:rsidR="00036990" w:rsidRDefault="00036990" w:rsidP="00A47FC7">
      <w:pPr>
        <w:spacing w:after="0" w:line="480" w:lineRule="auto"/>
        <w:jc w:val="both"/>
        <w:rPr>
          <w:rFonts w:ascii="Arial" w:hAnsi="Arial" w:cs="Arial"/>
          <w:sz w:val="24"/>
          <w:szCs w:val="24"/>
        </w:rPr>
      </w:pPr>
    </w:p>
    <w:p w:rsidR="00A90E41" w:rsidRPr="000C3275" w:rsidRDefault="00A90E41" w:rsidP="008C06C9">
      <w:pPr>
        <w:pBdr>
          <w:bottom w:val="single" w:sz="12" w:space="1" w:color="auto"/>
        </w:pBdr>
        <w:spacing w:after="0" w:line="480" w:lineRule="auto"/>
        <w:jc w:val="both"/>
        <w:rPr>
          <w:rFonts w:ascii="Arial" w:hAnsi="Arial" w:cs="Arial"/>
          <w:b/>
          <w:sz w:val="24"/>
          <w:szCs w:val="24"/>
        </w:rPr>
      </w:pPr>
      <w:r w:rsidRPr="000C3275">
        <w:rPr>
          <w:rFonts w:ascii="Arial" w:hAnsi="Arial" w:cs="Arial"/>
          <w:b/>
          <w:sz w:val="24"/>
          <w:szCs w:val="24"/>
        </w:rPr>
        <w:t>________________________________________________________________</w:t>
      </w:r>
      <w:r w:rsidR="0043587C" w:rsidRPr="000C3275">
        <w:rPr>
          <w:rFonts w:ascii="Arial" w:hAnsi="Arial" w:cs="Arial"/>
          <w:b/>
          <w:sz w:val="24"/>
          <w:szCs w:val="24"/>
        </w:rPr>
        <w:t>___</w:t>
      </w:r>
    </w:p>
    <w:p w:rsidR="00A90E41" w:rsidRPr="000C3275" w:rsidRDefault="004B5BAF" w:rsidP="008C06C9">
      <w:pPr>
        <w:pBdr>
          <w:bottom w:val="single" w:sz="12" w:space="1" w:color="auto"/>
        </w:pBdr>
        <w:spacing w:after="0" w:line="480" w:lineRule="auto"/>
        <w:jc w:val="center"/>
        <w:rPr>
          <w:rFonts w:ascii="Arial" w:hAnsi="Arial" w:cs="Arial"/>
          <w:b/>
          <w:sz w:val="24"/>
          <w:szCs w:val="24"/>
        </w:rPr>
      </w:pPr>
      <w:r>
        <w:rPr>
          <w:rFonts w:ascii="Arial" w:hAnsi="Arial" w:cs="Arial"/>
          <w:b/>
          <w:sz w:val="24"/>
          <w:szCs w:val="24"/>
        </w:rPr>
        <w:t>APPLICATION</w:t>
      </w:r>
      <w:r w:rsidR="00FA7B03">
        <w:rPr>
          <w:rFonts w:ascii="Arial" w:hAnsi="Arial" w:cs="Arial"/>
          <w:b/>
          <w:sz w:val="24"/>
          <w:szCs w:val="24"/>
        </w:rPr>
        <w:t xml:space="preserve"> JUDGMENT</w:t>
      </w:r>
    </w:p>
    <w:p w:rsidR="00E875BD" w:rsidRDefault="00E875BD" w:rsidP="008D3D48">
      <w:pPr>
        <w:spacing w:after="0" w:line="480" w:lineRule="auto"/>
        <w:jc w:val="both"/>
        <w:rPr>
          <w:rFonts w:ascii="Arial" w:hAnsi="Arial" w:cs="Arial"/>
          <w:sz w:val="24"/>
          <w:szCs w:val="24"/>
        </w:rPr>
      </w:pPr>
    </w:p>
    <w:p w:rsidR="00A90E41" w:rsidRPr="000C3275" w:rsidRDefault="00341F69" w:rsidP="008D3D48">
      <w:pPr>
        <w:spacing w:after="0" w:line="480" w:lineRule="auto"/>
        <w:jc w:val="both"/>
        <w:rPr>
          <w:rFonts w:ascii="Arial" w:hAnsi="Arial" w:cs="Arial"/>
          <w:sz w:val="24"/>
          <w:szCs w:val="24"/>
        </w:rPr>
      </w:pPr>
      <w:r w:rsidRPr="000C3275">
        <w:rPr>
          <w:rFonts w:ascii="Arial" w:hAnsi="Arial" w:cs="Arial"/>
          <w:sz w:val="24"/>
          <w:szCs w:val="24"/>
        </w:rPr>
        <w:t>DAMASEB DCJ (HOFF JA and NKA</w:t>
      </w:r>
      <w:r w:rsidR="00A90E41" w:rsidRPr="000C3275">
        <w:rPr>
          <w:rFonts w:ascii="Arial" w:hAnsi="Arial" w:cs="Arial"/>
          <w:sz w:val="24"/>
          <w:szCs w:val="24"/>
        </w:rPr>
        <w:t>BINDE AJA concurring):</w:t>
      </w:r>
    </w:p>
    <w:p w:rsidR="00EC40B3" w:rsidRPr="00EC40B3" w:rsidRDefault="00592A02" w:rsidP="008D3D48">
      <w:pPr>
        <w:spacing w:after="0" w:line="480" w:lineRule="auto"/>
        <w:jc w:val="both"/>
        <w:rPr>
          <w:rFonts w:ascii="Arial" w:hAnsi="Arial" w:cs="Arial"/>
          <w:sz w:val="24"/>
          <w:szCs w:val="24"/>
          <w:u w:val="single"/>
        </w:rPr>
      </w:pPr>
      <w:r w:rsidRPr="000C3275">
        <w:rPr>
          <w:rFonts w:ascii="Arial" w:hAnsi="Arial" w:cs="Arial"/>
          <w:sz w:val="24"/>
          <w:szCs w:val="24"/>
          <w:u w:val="single"/>
        </w:rPr>
        <w:t>Introductio</w:t>
      </w:r>
      <w:r w:rsidR="00EC40B3">
        <w:rPr>
          <w:rFonts w:ascii="Arial" w:hAnsi="Arial" w:cs="Arial"/>
          <w:sz w:val="24"/>
          <w:szCs w:val="24"/>
          <w:u w:val="single"/>
        </w:rPr>
        <w:t>n</w:t>
      </w:r>
    </w:p>
    <w:p w:rsidR="008474BC" w:rsidRDefault="00EC40B3" w:rsidP="008D3D48">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8474BC">
        <w:rPr>
          <w:rFonts w:ascii="Arial" w:hAnsi="Arial" w:cs="Arial"/>
          <w:sz w:val="24"/>
          <w:szCs w:val="24"/>
          <w:lang w:val="en-GB"/>
        </w:rPr>
        <w:t xml:space="preserve">We are concerned with an opposed application for the </w:t>
      </w:r>
      <w:r w:rsidR="002920C0" w:rsidRPr="002920C0">
        <w:rPr>
          <w:rFonts w:ascii="Arial" w:hAnsi="Arial" w:cs="Arial"/>
          <w:i/>
          <w:sz w:val="24"/>
          <w:szCs w:val="24"/>
          <w:lang w:val="en-GB"/>
        </w:rPr>
        <w:t>ex</w:t>
      </w:r>
      <w:r w:rsidR="008D3D48">
        <w:rPr>
          <w:rFonts w:ascii="Arial" w:hAnsi="Arial" w:cs="Arial"/>
          <w:i/>
          <w:sz w:val="24"/>
          <w:szCs w:val="24"/>
          <w:lang w:val="en-GB"/>
        </w:rPr>
        <w:t xml:space="preserve"> post </w:t>
      </w:r>
      <w:r w:rsidRPr="002920C0">
        <w:rPr>
          <w:rFonts w:ascii="Arial" w:hAnsi="Arial" w:cs="Arial"/>
          <w:i/>
          <w:sz w:val="24"/>
          <w:szCs w:val="24"/>
          <w:lang w:val="en-GB"/>
        </w:rPr>
        <w:t>facto</w:t>
      </w:r>
      <w:r w:rsidRPr="008474BC">
        <w:rPr>
          <w:rFonts w:ascii="Arial" w:hAnsi="Arial" w:cs="Arial"/>
          <w:sz w:val="24"/>
          <w:szCs w:val="24"/>
          <w:lang w:val="en-GB"/>
        </w:rPr>
        <w:t xml:space="preserve"> recusal of a judge of the Supreme Court</w:t>
      </w:r>
      <w:r w:rsidR="00345F00">
        <w:rPr>
          <w:rFonts w:ascii="Arial" w:hAnsi="Arial" w:cs="Arial"/>
          <w:sz w:val="24"/>
          <w:szCs w:val="24"/>
          <w:lang w:val="en-GB"/>
        </w:rPr>
        <w:t>. The judge</w:t>
      </w:r>
      <w:r w:rsidRPr="008474BC">
        <w:rPr>
          <w:rFonts w:ascii="Arial" w:hAnsi="Arial" w:cs="Arial"/>
          <w:sz w:val="24"/>
          <w:szCs w:val="24"/>
          <w:lang w:val="en-GB"/>
        </w:rPr>
        <w:t xml:space="preserve"> refused a petition to the Chief Justice seeking leave to appeal against an order of the High Court which suspended the</w:t>
      </w:r>
      <w:r w:rsidR="00767F8B">
        <w:rPr>
          <w:rFonts w:ascii="Arial" w:hAnsi="Arial" w:cs="Arial"/>
          <w:sz w:val="24"/>
          <w:szCs w:val="24"/>
          <w:lang w:val="en-GB"/>
        </w:rPr>
        <w:t xml:space="preserve"> application and implementation</w:t>
      </w:r>
      <w:r w:rsidRPr="008474BC">
        <w:rPr>
          <w:rFonts w:ascii="Arial" w:hAnsi="Arial" w:cs="Arial"/>
          <w:sz w:val="24"/>
          <w:szCs w:val="24"/>
          <w:lang w:val="en-GB"/>
        </w:rPr>
        <w:t xml:space="preserve"> of </w:t>
      </w:r>
      <w:r w:rsidR="00345F00">
        <w:rPr>
          <w:rFonts w:ascii="Arial" w:hAnsi="Arial" w:cs="Arial"/>
          <w:sz w:val="24"/>
          <w:szCs w:val="24"/>
          <w:lang w:val="en-GB"/>
        </w:rPr>
        <w:t xml:space="preserve">certain </w:t>
      </w:r>
      <w:r w:rsidRPr="008474BC">
        <w:rPr>
          <w:rFonts w:ascii="Arial" w:hAnsi="Arial" w:cs="Arial"/>
          <w:sz w:val="24"/>
          <w:szCs w:val="24"/>
          <w:lang w:val="en-GB"/>
        </w:rPr>
        <w:t>provisions of an Act of Parliament and subordinate legislation made under it.</w:t>
      </w:r>
    </w:p>
    <w:p w:rsidR="008474BC" w:rsidRDefault="008474BC" w:rsidP="008474BC">
      <w:pPr>
        <w:tabs>
          <w:tab w:val="left" w:pos="851"/>
        </w:tabs>
        <w:spacing w:after="0" w:line="480" w:lineRule="auto"/>
        <w:contextualSpacing/>
        <w:jc w:val="both"/>
        <w:rPr>
          <w:rFonts w:ascii="Arial" w:hAnsi="Arial" w:cs="Arial"/>
          <w:sz w:val="24"/>
          <w:szCs w:val="24"/>
          <w:lang w:val="en-GB"/>
        </w:rPr>
      </w:pPr>
    </w:p>
    <w:p w:rsidR="00EC40B3" w:rsidRPr="008474BC" w:rsidRDefault="00EC40B3" w:rsidP="00D602D6">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8474BC">
        <w:rPr>
          <w:rFonts w:ascii="Arial" w:hAnsi="Arial" w:cs="Arial"/>
          <w:sz w:val="24"/>
          <w:szCs w:val="24"/>
          <w:lang w:val="en-GB"/>
        </w:rPr>
        <w:t>The applicants who seek the judge’s recusal ask for a consequent order declaring the petition’s refusal a nullity so that the full court can consider it afresh.</w:t>
      </w:r>
      <w:r w:rsidR="00C24BFA" w:rsidRPr="008474BC">
        <w:rPr>
          <w:rFonts w:ascii="Arial" w:hAnsi="Arial" w:cs="Arial"/>
          <w:sz w:val="24"/>
          <w:szCs w:val="24"/>
          <w:lang w:val="en-GB"/>
        </w:rPr>
        <w:t xml:space="preserve"> The </w:t>
      </w:r>
      <w:r w:rsidR="00F20CB9" w:rsidRPr="008474BC">
        <w:rPr>
          <w:rFonts w:ascii="Arial" w:hAnsi="Arial" w:cs="Arial"/>
          <w:sz w:val="24"/>
          <w:szCs w:val="24"/>
          <w:lang w:val="en-GB"/>
        </w:rPr>
        <w:t>lead counsel for the applicants</w:t>
      </w:r>
      <w:r w:rsidR="00C24BFA" w:rsidRPr="008474BC">
        <w:rPr>
          <w:rFonts w:ascii="Arial" w:hAnsi="Arial" w:cs="Arial"/>
          <w:sz w:val="24"/>
          <w:szCs w:val="24"/>
          <w:lang w:val="en-GB"/>
        </w:rPr>
        <w:t xml:space="preserve"> in these proceedings </w:t>
      </w:r>
      <w:r w:rsidR="00F20CB9" w:rsidRPr="008474BC">
        <w:rPr>
          <w:rFonts w:ascii="Arial" w:hAnsi="Arial" w:cs="Arial"/>
          <w:sz w:val="24"/>
          <w:szCs w:val="24"/>
          <w:lang w:val="en-GB"/>
        </w:rPr>
        <w:t xml:space="preserve">are </w:t>
      </w:r>
      <w:proofErr w:type="spellStart"/>
      <w:r w:rsidR="00F20CB9" w:rsidRPr="008474BC">
        <w:rPr>
          <w:rFonts w:ascii="Arial" w:hAnsi="Arial" w:cs="Arial"/>
          <w:sz w:val="24"/>
          <w:szCs w:val="24"/>
          <w:lang w:val="en-GB"/>
        </w:rPr>
        <w:t>Gauntlett</w:t>
      </w:r>
      <w:proofErr w:type="spellEnd"/>
      <w:r w:rsidR="00F20CB9" w:rsidRPr="008474BC">
        <w:rPr>
          <w:rFonts w:ascii="Arial" w:hAnsi="Arial" w:cs="Arial"/>
          <w:sz w:val="24"/>
          <w:szCs w:val="24"/>
          <w:lang w:val="en-GB"/>
        </w:rPr>
        <w:t xml:space="preserve"> SC QC and Mr Namandje while the lead counsel for the respondents are Mr Heathcote</w:t>
      </w:r>
      <w:r w:rsidR="008D3D48">
        <w:rPr>
          <w:rFonts w:ascii="Arial" w:hAnsi="Arial" w:cs="Arial"/>
          <w:sz w:val="24"/>
          <w:szCs w:val="24"/>
          <w:lang w:val="en-GB"/>
        </w:rPr>
        <w:t xml:space="preserve">, </w:t>
      </w:r>
      <w:proofErr w:type="spellStart"/>
      <w:r w:rsidR="008D3D48">
        <w:rPr>
          <w:rFonts w:ascii="Arial" w:hAnsi="Arial" w:cs="Arial"/>
          <w:sz w:val="24"/>
          <w:szCs w:val="24"/>
          <w:lang w:val="en-GB"/>
        </w:rPr>
        <w:t>Chaskalson</w:t>
      </w:r>
      <w:proofErr w:type="spellEnd"/>
      <w:r w:rsidR="008D3D48">
        <w:rPr>
          <w:rFonts w:ascii="Arial" w:hAnsi="Arial" w:cs="Arial"/>
          <w:sz w:val="24"/>
          <w:szCs w:val="24"/>
          <w:lang w:val="en-GB"/>
        </w:rPr>
        <w:t xml:space="preserve"> SC and </w:t>
      </w:r>
      <w:proofErr w:type="spellStart"/>
      <w:r w:rsidR="008D3D48">
        <w:rPr>
          <w:rFonts w:ascii="Arial" w:hAnsi="Arial" w:cs="Arial"/>
          <w:sz w:val="24"/>
          <w:szCs w:val="24"/>
          <w:lang w:val="en-GB"/>
        </w:rPr>
        <w:t>Tötemeyer</w:t>
      </w:r>
      <w:proofErr w:type="spellEnd"/>
      <w:r w:rsidR="00F20CB9" w:rsidRPr="008474BC">
        <w:rPr>
          <w:rFonts w:ascii="Arial" w:hAnsi="Arial" w:cs="Arial"/>
          <w:sz w:val="24"/>
          <w:szCs w:val="24"/>
          <w:lang w:val="en-GB"/>
        </w:rPr>
        <w:t>.</w:t>
      </w:r>
      <w:r w:rsidR="00F20CB9">
        <w:rPr>
          <w:rStyle w:val="FootnoteReference"/>
          <w:rFonts w:ascii="Arial" w:hAnsi="Arial" w:cs="Arial"/>
          <w:sz w:val="24"/>
          <w:szCs w:val="24"/>
          <w:lang w:val="en-GB"/>
        </w:rPr>
        <w:footnoteReference w:id="1"/>
      </w:r>
    </w:p>
    <w:p w:rsidR="00592A02" w:rsidRPr="000C3275" w:rsidRDefault="00A03F1B"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lastRenderedPageBreak/>
        <w:t>The Namibia</w:t>
      </w:r>
      <w:r w:rsidR="00A90E41" w:rsidRPr="000C3275">
        <w:rPr>
          <w:rFonts w:ascii="Arial" w:hAnsi="Arial" w:cs="Arial"/>
          <w:sz w:val="24"/>
          <w:szCs w:val="24"/>
        </w:rPr>
        <w:t xml:space="preserve"> National Reinsurance Corporation Act 22 of 1998 (</w:t>
      </w:r>
      <w:proofErr w:type="spellStart"/>
      <w:r w:rsidR="00A90E41" w:rsidRPr="000C3275">
        <w:rPr>
          <w:rFonts w:ascii="Arial" w:hAnsi="Arial" w:cs="Arial"/>
          <w:sz w:val="24"/>
          <w:szCs w:val="24"/>
        </w:rPr>
        <w:t>NAM</w:t>
      </w:r>
      <w:r w:rsidRPr="000C3275">
        <w:rPr>
          <w:rFonts w:ascii="Arial" w:hAnsi="Arial" w:cs="Arial"/>
          <w:sz w:val="24"/>
          <w:szCs w:val="24"/>
        </w:rPr>
        <w:t>Re</w:t>
      </w:r>
      <w:proofErr w:type="spellEnd"/>
      <w:r w:rsidRPr="000C3275">
        <w:rPr>
          <w:rFonts w:ascii="Arial" w:hAnsi="Arial" w:cs="Arial"/>
          <w:sz w:val="24"/>
          <w:szCs w:val="24"/>
        </w:rPr>
        <w:t xml:space="preserve"> Act) establishes the Namibia</w:t>
      </w:r>
      <w:r w:rsidR="00A90E41" w:rsidRPr="000C3275">
        <w:rPr>
          <w:rFonts w:ascii="Arial" w:hAnsi="Arial" w:cs="Arial"/>
          <w:sz w:val="24"/>
          <w:szCs w:val="24"/>
        </w:rPr>
        <w:t xml:space="preserve"> National Reinsurance Corporation </w:t>
      </w:r>
      <w:r w:rsidR="006D0469" w:rsidRPr="000C3275">
        <w:rPr>
          <w:rFonts w:ascii="Arial" w:hAnsi="Arial" w:cs="Arial"/>
          <w:sz w:val="24"/>
          <w:szCs w:val="24"/>
        </w:rPr>
        <w:t xml:space="preserve">Limited </w:t>
      </w:r>
      <w:r w:rsidR="00A90E41" w:rsidRPr="000C3275">
        <w:rPr>
          <w:rFonts w:ascii="Arial" w:hAnsi="Arial" w:cs="Arial"/>
          <w:sz w:val="24"/>
          <w:szCs w:val="24"/>
        </w:rPr>
        <w:t>(</w:t>
      </w:r>
      <w:proofErr w:type="spellStart"/>
      <w:r w:rsidR="00A90E41" w:rsidRPr="000C3275">
        <w:rPr>
          <w:rFonts w:ascii="Arial" w:hAnsi="Arial" w:cs="Arial"/>
          <w:sz w:val="24"/>
          <w:szCs w:val="24"/>
        </w:rPr>
        <w:t>NAMRe</w:t>
      </w:r>
      <w:proofErr w:type="spellEnd"/>
      <w:r w:rsidR="00A90E41" w:rsidRPr="000C3275">
        <w:rPr>
          <w:rFonts w:ascii="Arial" w:hAnsi="Arial" w:cs="Arial"/>
          <w:sz w:val="24"/>
          <w:szCs w:val="24"/>
        </w:rPr>
        <w:t>) as a juristic person</w:t>
      </w:r>
      <w:r w:rsidR="00A90E41" w:rsidRPr="000C3275">
        <w:rPr>
          <w:rStyle w:val="FootnoteReference"/>
          <w:rFonts w:ascii="Arial" w:hAnsi="Arial" w:cs="Arial"/>
          <w:sz w:val="24"/>
          <w:szCs w:val="24"/>
        </w:rPr>
        <w:footnoteReference w:id="2"/>
      </w:r>
      <w:r w:rsidR="00A90E41" w:rsidRPr="000C3275">
        <w:rPr>
          <w:rFonts w:ascii="Arial" w:hAnsi="Arial" w:cs="Arial"/>
          <w:sz w:val="24"/>
          <w:szCs w:val="24"/>
        </w:rPr>
        <w:t xml:space="preserve"> </w:t>
      </w:r>
      <w:r w:rsidR="00A90E41" w:rsidRPr="000C3275">
        <w:rPr>
          <w:rFonts w:ascii="Arial" w:hAnsi="Arial" w:cs="Arial"/>
          <w:sz w:val="24"/>
          <w:szCs w:val="24"/>
          <w:lang w:val="en-GB"/>
        </w:rPr>
        <w:t>to carry on reinsurance business in or outside Namibia in accordance with sound insurance practices and methods.</w:t>
      </w:r>
      <w:r w:rsidR="00A90E41" w:rsidRPr="000C3275">
        <w:rPr>
          <w:rStyle w:val="FootnoteReference"/>
          <w:rFonts w:ascii="Arial" w:hAnsi="Arial" w:cs="Arial"/>
          <w:sz w:val="24"/>
          <w:szCs w:val="24"/>
          <w:lang w:val="en-GB"/>
        </w:rPr>
        <w:footnoteReference w:id="3"/>
      </w:r>
      <w:r w:rsidR="00A90E41" w:rsidRPr="000C3275">
        <w:rPr>
          <w:rFonts w:ascii="Arial" w:hAnsi="Arial" w:cs="Arial"/>
          <w:sz w:val="24"/>
          <w:szCs w:val="24"/>
          <w:lang w:val="en-GB"/>
        </w:rPr>
        <w:t xml:space="preserve"> </w:t>
      </w:r>
    </w:p>
    <w:p w:rsidR="00592A02" w:rsidRPr="000C3275" w:rsidRDefault="00592A02" w:rsidP="008C06C9">
      <w:pPr>
        <w:tabs>
          <w:tab w:val="left" w:pos="851"/>
        </w:tabs>
        <w:spacing w:after="0" w:line="480" w:lineRule="auto"/>
        <w:contextualSpacing/>
        <w:jc w:val="both"/>
        <w:rPr>
          <w:rFonts w:ascii="Arial" w:hAnsi="Arial" w:cs="Arial"/>
          <w:sz w:val="24"/>
          <w:szCs w:val="24"/>
          <w:lang w:val="en-GB"/>
        </w:rPr>
      </w:pPr>
    </w:p>
    <w:p w:rsidR="00592A0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proofErr w:type="spellStart"/>
      <w:r w:rsidRPr="000C3275">
        <w:rPr>
          <w:rFonts w:ascii="Arial" w:hAnsi="Arial" w:cs="Arial"/>
          <w:sz w:val="24"/>
          <w:szCs w:val="24"/>
        </w:rPr>
        <w:t>NAMRe</w:t>
      </w:r>
      <w:proofErr w:type="spellEnd"/>
      <w:r w:rsidRPr="000C3275">
        <w:rPr>
          <w:rFonts w:ascii="Arial" w:hAnsi="Arial" w:cs="Arial"/>
          <w:sz w:val="24"/>
          <w:szCs w:val="24"/>
          <w:lang w:val="en-GB"/>
        </w:rPr>
        <w:t xml:space="preserve"> is vested</w:t>
      </w:r>
      <w:r w:rsidR="00345F00">
        <w:rPr>
          <w:rFonts w:ascii="Arial" w:hAnsi="Arial" w:cs="Arial"/>
          <w:sz w:val="24"/>
          <w:szCs w:val="24"/>
          <w:lang w:val="en-GB"/>
        </w:rPr>
        <w:t>,</w:t>
      </w:r>
      <w:r w:rsidRPr="000C3275">
        <w:rPr>
          <w:rFonts w:ascii="Arial" w:hAnsi="Arial" w:cs="Arial"/>
          <w:sz w:val="24"/>
          <w:szCs w:val="24"/>
          <w:lang w:val="en-GB"/>
        </w:rPr>
        <w:t xml:space="preserve"> under the </w:t>
      </w:r>
      <w:proofErr w:type="spellStart"/>
      <w:r w:rsidRPr="000C3275">
        <w:rPr>
          <w:rFonts w:ascii="Arial" w:hAnsi="Arial" w:cs="Arial"/>
          <w:sz w:val="24"/>
          <w:szCs w:val="24"/>
          <w:lang w:val="en-GB"/>
        </w:rPr>
        <w:t>NAMRe</w:t>
      </w:r>
      <w:proofErr w:type="spellEnd"/>
      <w:r w:rsidRPr="000C3275">
        <w:rPr>
          <w:rFonts w:ascii="Arial" w:hAnsi="Arial" w:cs="Arial"/>
          <w:sz w:val="24"/>
          <w:szCs w:val="24"/>
          <w:lang w:val="en-GB"/>
        </w:rPr>
        <w:t xml:space="preserve"> Act</w:t>
      </w:r>
      <w:r w:rsidR="00345F00">
        <w:rPr>
          <w:rFonts w:ascii="Arial" w:hAnsi="Arial" w:cs="Arial"/>
          <w:sz w:val="24"/>
          <w:szCs w:val="24"/>
          <w:lang w:val="en-GB"/>
        </w:rPr>
        <w:t>,</w:t>
      </w:r>
      <w:r w:rsidRPr="000C3275">
        <w:rPr>
          <w:rFonts w:ascii="Arial" w:hAnsi="Arial" w:cs="Arial"/>
          <w:sz w:val="24"/>
          <w:szCs w:val="24"/>
          <w:lang w:val="en-GB"/>
        </w:rPr>
        <w:t xml:space="preserve"> with the power to do or cause to be done all things necessary to achieve its objects and to effectively perform its functions in terms of that Act. One such function is to accept reinsurance business in respect of any class or classes of insurance business ceded or offered to </w:t>
      </w:r>
      <w:proofErr w:type="spellStart"/>
      <w:r w:rsidRPr="000C3275">
        <w:rPr>
          <w:rFonts w:ascii="Arial" w:hAnsi="Arial" w:cs="Arial"/>
          <w:sz w:val="24"/>
          <w:szCs w:val="24"/>
        </w:rPr>
        <w:t>NAMRe</w:t>
      </w:r>
      <w:proofErr w:type="spellEnd"/>
      <w:r w:rsidRPr="000C3275">
        <w:rPr>
          <w:rFonts w:ascii="Arial" w:hAnsi="Arial" w:cs="Arial"/>
          <w:sz w:val="24"/>
          <w:szCs w:val="24"/>
          <w:lang w:val="en-GB"/>
        </w:rPr>
        <w:t xml:space="preserve"> by registered insurers and reinsurers.</w:t>
      </w:r>
      <w:r w:rsidRPr="000C3275">
        <w:rPr>
          <w:rStyle w:val="FootnoteReference"/>
          <w:rFonts w:ascii="Arial" w:hAnsi="Arial" w:cs="Arial"/>
          <w:sz w:val="24"/>
          <w:szCs w:val="24"/>
          <w:lang w:val="en-GB"/>
        </w:rPr>
        <w:footnoteReference w:id="4"/>
      </w:r>
      <w:r w:rsidRPr="000C3275">
        <w:rPr>
          <w:rFonts w:ascii="Arial" w:hAnsi="Arial" w:cs="Arial"/>
          <w:sz w:val="24"/>
          <w:szCs w:val="24"/>
          <w:lang w:val="en-GB"/>
        </w:rPr>
        <w:t xml:space="preserve"> Cession is obligatory in terms of s 39 of the </w:t>
      </w:r>
      <w:proofErr w:type="spellStart"/>
      <w:r w:rsidRPr="000C3275">
        <w:rPr>
          <w:rFonts w:ascii="Arial" w:hAnsi="Arial" w:cs="Arial"/>
          <w:sz w:val="24"/>
          <w:szCs w:val="24"/>
          <w:lang w:val="en-GB"/>
        </w:rPr>
        <w:t>NAMRe</w:t>
      </w:r>
      <w:proofErr w:type="spellEnd"/>
      <w:r w:rsidRPr="000C3275">
        <w:rPr>
          <w:rFonts w:ascii="Arial" w:hAnsi="Arial" w:cs="Arial"/>
          <w:sz w:val="24"/>
          <w:szCs w:val="24"/>
          <w:lang w:val="en-GB"/>
        </w:rPr>
        <w:t xml:space="preserve"> Act. Th</w:t>
      </w:r>
      <w:r w:rsidR="00A03F1B" w:rsidRPr="000C3275">
        <w:rPr>
          <w:rFonts w:ascii="Arial" w:hAnsi="Arial" w:cs="Arial"/>
          <w:sz w:val="24"/>
          <w:szCs w:val="24"/>
          <w:lang w:val="en-GB"/>
        </w:rPr>
        <w:t>at</w:t>
      </w:r>
      <w:r w:rsidRPr="000C3275">
        <w:rPr>
          <w:rFonts w:ascii="Arial" w:hAnsi="Arial" w:cs="Arial"/>
          <w:sz w:val="24"/>
          <w:szCs w:val="24"/>
          <w:lang w:val="en-GB"/>
        </w:rPr>
        <w:t xml:space="preserve"> </w:t>
      </w:r>
      <w:r w:rsidR="00A03F1B" w:rsidRPr="000C3275">
        <w:rPr>
          <w:rFonts w:ascii="Arial" w:hAnsi="Arial" w:cs="Arial"/>
          <w:sz w:val="24"/>
          <w:szCs w:val="24"/>
          <w:lang w:val="en-GB"/>
        </w:rPr>
        <w:t xml:space="preserve">provision </w:t>
      </w:r>
      <w:r w:rsidRPr="000C3275">
        <w:rPr>
          <w:rFonts w:ascii="Arial" w:hAnsi="Arial" w:cs="Arial"/>
          <w:sz w:val="24"/>
          <w:szCs w:val="24"/>
          <w:lang w:val="en-GB"/>
        </w:rPr>
        <w:t xml:space="preserve">requires every registered insurer and reinsurer carrying on insurance business in Namibia to cede in reinsurance to </w:t>
      </w:r>
      <w:proofErr w:type="spellStart"/>
      <w:r w:rsidRPr="000C3275">
        <w:rPr>
          <w:rFonts w:ascii="Arial" w:hAnsi="Arial" w:cs="Arial"/>
          <w:sz w:val="24"/>
          <w:szCs w:val="24"/>
        </w:rPr>
        <w:t>NAMRe</w:t>
      </w:r>
      <w:proofErr w:type="spellEnd"/>
      <w:r w:rsidRPr="000C3275">
        <w:rPr>
          <w:rFonts w:ascii="Arial" w:hAnsi="Arial" w:cs="Arial"/>
          <w:sz w:val="24"/>
          <w:szCs w:val="24"/>
          <w:lang w:val="en-GB"/>
        </w:rPr>
        <w:t xml:space="preserve"> a percentage of the value of each policy issued or renewed in Namibia by it. </w:t>
      </w:r>
    </w:p>
    <w:p w:rsidR="00592A02" w:rsidRPr="000C3275" w:rsidRDefault="00592A02" w:rsidP="008C06C9">
      <w:pPr>
        <w:pStyle w:val="ListParagraph"/>
        <w:spacing w:after="0" w:line="480" w:lineRule="auto"/>
        <w:rPr>
          <w:rFonts w:ascii="Arial" w:hAnsi="Arial" w:cs="Arial"/>
          <w:sz w:val="24"/>
          <w:szCs w:val="24"/>
          <w:lang w:val="en-GB"/>
        </w:rPr>
      </w:pPr>
    </w:p>
    <w:p w:rsidR="00592A0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lang w:val="en-GB"/>
        </w:rPr>
        <w:t>The Minister of Finance</w:t>
      </w:r>
      <w:r w:rsidRPr="000C3275">
        <w:rPr>
          <w:rStyle w:val="FootnoteReference"/>
          <w:rFonts w:ascii="Arial" w:hAnsi="Arial" w:cs="Arial"/>
          <w:sz w:val="24"/>
          <w:szCs w:val="24"/>
          <w:lang w:val="en-GB"/>
        </w:rPr>
        <w:footnoteReference w:id="5"/>
      </w:r>
      <w:r w:rsidRPr="000C3275">
        <w:rPr>
          <w:rFonts w:ascii="Arial" w:hAnsi="Arial" w:cs="Arial"/>
          <w:sz w:val="24"/>
          <w:szCs w:val="24"/>
          <w:lang w:val="en-GB"/>
        </w:rPr>
        <w:t xml:space="preserve"> (the Minister) is empowered by the </w:t>
      </w:r>
      <w:proofErr w:type="spellStart"/>
      <w:r w:rsidRPr="000C3275">
        <w:rPr>
          <w:rFonts w:ascii="Arial" w:hAnsi="Arial" w:cs="Arial"/>
          <w:sz w:val="24"/>
          <w:szCs w:val="24"/>
          <w:lang w:val="en-GB"/>
        </w:rPr>
        <w:t>NAMRe</w:t>
      </w:r>
      <w:proofErr w:type="spellEnd"/>
      <w:r w:rsidRPr="000C3275">
        <w:rPr>
          <w:rFonts w:ascii="Arial" w:hAnsi="Arial" w:cs="Arial"/>
          <w:sz w:val="24"/>
          <w:szCs w:val="24"/>
          <w:lang w:val="en-GB"/>
        </w:rPr>
        <w:t xml:space="preserve"> Act to, determine and specify</w:t>
      </w:r>
      <w:r w:rsidR="00345F00">
        <w:rPr>
          <w:rFonts w:ascii="Arial" w:hAnsi="Arial" w:cs="Arial"/>
          <w:sz w:val="24"/>
          <w:szCs w:val="24"/>
          <w:lang w:val="en-GB"/>
        </w:rPr>
        <w:t>,</w:t>
      </w:r>
      <w:r w:rsidRPr="000C3275">
        <w:rPr>
          <w:rFonts w:ascii="Arial" w:hAnsi="Arial" w:cs="Arial"/>
          <w:sz w:val="24"/>
          <w:szCs w:val="24"/>
          <w:lang w:val="en-GB"/>
        </w:rPr>
        <w:t xml:space="preserve"> </w:t>
      </w:r>
      <w:r w:rsidR="00345F00" w:rsidRPr="000C3275">
        <w:rPr>
          <w:rFonts w:ascii="Arial" w:hAnsi="Arial" w:cs="Arial"/>
          <w:sz w:val="24"/>
          <w:szCs w:val="24"/>
          <w:lang w:val="en-GB"/>
        </w:rPr>
        <w:t xml:space="preserve">by notice in the </w:t>
      </w:r>
      <w:r w:rsidR="00345F00" w:rsidRPr="000C3275">
        <w:rPr>
          <w:rFonts w:ascii="Arial" w:hAnsi="Arial" w:cs="Arial"/>
          <w:i/>
          <w:iCs/>
          <w:sz w:val="24"/>
          <w:szCs w:val="24"/>
          <w:lang w:val="en-GB"/>
        </w:rPr>
        <w:t>Gazette</w:t>
      </w:r>
      <w:r w:rsidR="00345F00" w:rsidRPr="000C3275">
        <w:rPr>
          <w:rFonts w:ascii="Arial" w:hAnsi="Arial" w:cs="Arial"/>
          <w:sz w:val="24"/>
          <w:szCs w:val="24"/>
          <w:lang w:val="en-GB"/>
        </w:rPr>
        <w:t xml:space="preserve">, </w:t>
      </w:r>
      <w:r w:rsidRPr="000C3275">
        <w:rPr>
          <w:rFonts w:ascii="Arial" w:hAnsi="Arial" w:cs="Arial"/>
          <w:sz w:val="24"/>
          <w:szCs w:val="24"/>
          <w:lang w:val="en-GB"/>
        </w:rPr>
        <w:t>the class or classes of insurance business and the percentage of the value of each policy in respect of each class of insurance business to be ceded and to specify the date on which the requirements of that notice shall take effect.</w:t>
      </w:r>
      <w:r w:rsidRPr="000C3275">
        <w:rPr>
          <w:rStyle w:val="FootnoteReference"/>
          <w:rFonts w:ascii="Arial" w:hAnsi="Arial" w:cs="Arial"/>
          <w:sz w:val="24"/>
          <w:szCs w:val="24"/>
          <w:lang w:val="en-GB"/>
        </w:rPr>
        <w:footnoteReference w:id="6"/>
      </w:r>
    </w:p>
    <w:p w:rsidR="00592A02" w:rsidRPr="000C3275" w:rsidRDefault="00592A02" w:rsidP="008C06C9">
      <w:pPr>
        <w:pStyle w:val="ListParagraph"/>
        <w:spacing w:after="0" w:line="480" w:lineRule="auto"/>
        <w:rPr>
          <w:rFonts w:ascii="Arial" w:hAnsi="Arial" w:cs="Arial"/>
          <w:sz w:val="24"/>
          <w:szCs w:val="24"/>
          <w:lang w:val="en-GB"/>
        </w:rPr>
      </w:pPr>
    </w:p>
    <w:p w:rsidR="00592A0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lang w:val="en-GB"/>
        </w:rPr>
        <w:t xml:space="preserve">The Minister, acting in terms of s 39(5) of the </w:t>
      </w:r>
      <w:proofErr w:type="spellStart"/>
      <w:r w:rsidRPr="000C3275">
        <w:rPr>
          <w:rFonts w:ascii="Arial" w:hAnsi="Arial" w:cs="Arial"/>
          <w:sz w:val="24"/>
          <w:szCs w:val="24"/>
          <w:lang w:val="en-GB"/>
        </w:rPr>
        <w:t>NAMRe</w:t>
      </w:r>
      <w:proofErr w:type="spellEnd"/>
      <w:r w:rsidRPr="000C3275">
        <w:rPr>
          <w:rFonts w:ascii="Arial" w:hAnsi="Arial" w:cs="Arial"/>
          <w:sz w:val="24"/>
          <w:szCs w:val="24"/>
          <w:lang w:val="en-GB"/>
        </w:rPr>
        <w:t xml:space="preserve"> Act, on 29 December 2017, promulgated Government Notices No: 333, 334, 335, 336, 337 and 338 (the </w:t>
      </w:r>
      <w:r w:rsidRPr="000C3275">
        <w:rPr>
          <w:rFonts w:ascii="Arial" w:hAnsi="Arial" w:cs="Arial"/>
          <w:sz w:val="24"/>
          <w:szCs w:val="24"/>
          <w:lang w:val="en-GB"/>
        </w:rPr>
        <w:lastRenderedPageBreak/>
        <w:t xml:space="preserve">measures). The measures create </w:t>
      </w:r>
      <w:r w:rsidRPr="000C3275">
        <w:rPr>
          <w:rFonts w:ascii="Arial" w:hAnsi="Arial" w:cs="Arial"/>
          <w:sz w:val="24"/>
          <w:szCs w:val="24"/>
        </w:rPr>
        <w:t xml:space="preserve">a regime </w:t>
      </w:r>
      <w:proofErr w:type="spellStart"/>
      <w:r w:rsidRPr="000C3275">
        <w:rPr>
          <w:rFonts w:ascii="Arial" w:hAnsi="Arial" w:cs="Arial"/>
          <w:sz w:val="24"/>
          <w:szCs w:val="24"/>
        </w:rPr>
        <w:t>authorising</w:t>
      </w:r>
      <w:proofErr w:type="spellEnd"/>
      <w:r w:rsidRPr="000C3275">
        <w:rPr>
          <w:rFonts w:ascii="Arial" w:hAnsi="Arial" w:cs="Arial"/>
          <w:sz w:val="24"/>
          <w:szCs w:val="24"/>
        </w:rPr>
        <w:t xml:space="preserve"> the Minister to compel every registered insurer and reinsurer to cede a percentage of their business to </w:t>
      </w:r>
      <w:proofErr w:type="spellStart"/>
      <w:r w:rsidRPr="000C3275">
        <w:rPr>
          <w:rFonts w:ascii="Arial" w:hAnsi="Arial" w:cs="Arial"/>
          <w:sz w:val="24"/>
          <w:szCs w:val="24"/>
        </w:rPr>
        <w:t>NAMRe</w:t>
      </w:r>
      <w:proofErr w:type="spellEnd"/>
      <w:r w:rsidRPr="000C3275">
        <w:rPr>
          <w:rFonts w:ascii="Arial" w:hAnsi="Arial" w:cs="Arial"/>
          <w:sz w:val="24"/>
          <w:szCs w:val="24"/>
        </w:rPr>
        <w:t>. The measures came into effect on 27 June 2018.</w:t>
      </w:r>
      <w:r w:rsidR="00087AF8" w:rsidRPr="000C3275">
        <w:rPr>
          <w:rFonts w:ascii="Arial" w:hAnsi="Arial" w:cs="Arial"/>
          <w:sz w:val="24"/>
          <w:szCs w:val="24"/>
        </w:rPr>
        <w:t xml:space="preserve"> The Minister justifies the measures on the basis that it will assist in building a sustainable reinsurance industry in Namibia and </w:t>
      </w:r>
      <w:proofErr w:type="spellStart"/>
      <w:r w:rsidR="00087AF8" w:rsidRPr="000C3275">
        <w:rPr>
          <w:rFonts w:ascii="Arial" w:hAnsi="Arial" w:cs="Arial"/>
          <w:sz w:val="24"/>
          <w:szCs w:val="24"/>
        </w:rPr>
        <w:t>minimise</w:t>
      </w:r>
      <w:proofErr w:type="spellEnd"/>
      <w:r w:rsidR="00087AF8" w:rsidRPr="000C3275">
        <w:rPr>
          <w:rFonts w:ascii="Arial" w:hAnsi="Arial" w:cs="Arial"/>
          <w:sz w:val="24"/>
          <w:szCs w:val="24"/>
        </w:rPr>
        <w:t xml:space="preserve"> the extent to which reinsurance premiums </w:t>
      </w:r>
      <w:r w:rsidR="00053963" w:rsidRPr="000C3275">
        <w:rPr>
          <w:rFonts w:ascii="Arial" w:hAnsi="Arial" w:cs="Arial"/>
          <w:sz w:val="24"/>
          <w:szCs w:val="24"/>
        </w:rPr>
        <w:t>are exported out of Namibia.</w:t>
      </w:r>
    </w:p>
    <w:p w:rsidR="00592A02" w:rsidRPr="000C3275" w:rsidRDefault="00592A02" w:rsidP="008C06C9">
      <w:pPr>
        <w:pStyle w:val="ListParagraph"/>
        <w:spacing w:after="0" w:line="480" w:lineRule="auto"/>
        <w:rPr>
          <w:rFonts w:ascii="Arial" w:hAnsi="Arial" w:cs="Arial"/>
          <w:sz w:val="24"/>
          <w:szCs w:val="24"/>
        </w:rPr>
      </w:pPr>
    </w:p>
    <w:p w:rsidR="005446C2" w:rsidRPr="00A47FC7"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In terms of s 42(1) of the </w:t>
      </w:r>
      <w:proofErr w:type="spellStart"/>
      <w:r w:rsidRPr="000C3275">
        <w:rPr>
          <w:rFonts w:ascii="Arial" w:hAnsi="Arial" w:cs="Arial"/>
          <w:sz w:val="24"/>
          <w:szCs w:val="24"/>
        </w:rPr>
        <w:t>NAMRe</w:t>
      </w:r>
      <w:proofErr w:type="spellEnd"/>
      <w:r w:rsidRPr="000C3275">
        <w:rPr>
          <w:rFonts w:ascii="Arial" w:hAnsi="Arial" w:cs="Arial"/>
          <w:sz w:val="24"/>
          <w:szCs w:val="24"/>
        </w:rPr>
        <w:t xml:space="preserve"> Act, any registered insurer and reinsure</w:t>
      </w:r>
      <w:r w:rsidR="00A03F1B" w:rsidRPr="000C3275">
        <w:rPr>
          <w:rFonts w:ascii="Arial" w:hAnsi="Arial" w:cs="Arial"/>
          <w:sz w:val="24"/>
          <w:szCs w:val="24"/>
        </w:rPr>
        <w:t>r who fails to comply with the</w:t>
      </w:r>
      <w:r w:rsidRPr="000C3275">
        <w:rPr>
          <w:rFonts w:ascii="Arial" w:hAnsi="Arial" w:cs="Arial"/>
          <w:sz w:val="24"/>
          <w:szCs w:val="24"/>
        </w:rPr>
        <w:t xml:space="preserve"> measures is </w:t>
      </w:r>
      <w:r w:rsidRPr="000C3275">
        <w:rPr>
          <w:rFonts w:ascii="Arial" w:hAnsi="Arial" w:cs="Arial"/>
          <w:sz w:val="24"/>
          <w:szCs w:val="24"/>
          <w:lang w:val="en-GB"/>
        </w:rPr>
        <w:t>guilty of an offence and liable on conviction to a fine not exceeding N$150 000 or to imprisonment for a period not exceeding 10 years, or to both such fine and such imprisonment.</w:t>
      </w:r>
      <w:r w:rsidRPr="000C3275">
        <w:rPr>
          <w:rFonts w:ascii="Arial" w:hAnsi="Arial" w:cs="Arial"/>
          <w:sz w:val="24"/>
          <w:szCs w:val="24"/>
        </w:rPr>
        <w:t xml:space="preserve"> </w:t>
      </w:r>
    </w:p>
    <w:p w:rsidR="00A47FC7" w:rsidRPr="000C3275" w:rsidRDefault="00A47FC7" w:rsidP="00A47FC7">
      <w:pPr>
        <w:tabs>
          <w:tab w:val="left" w:pos="851"/>
        </w:tabs>
        <w:spacing w:after="0" w:line="480" w:lineRule="auto"/>
        <w:contextualSpacing/>
        <w:jc w:val="both"/>
        <w:rPr>
          <w:rFonts w:ascii="Arial" w:hAnsi="Arial" w:cs="Arial"/>
          <w:sz w:val="24"/>
          <w:szCs w:val="24"/>
          <w:lang w:val="en-GB"/>
        </w:rPr>
      </w:pPr>
    </w:p>
    <w:p w:rsidR="005446C2" w:rsidRPr="00345F00" w:rsidRDefault="00345F00" w:rsidP="00345F00">
      <w:pPr>
        <w:spacing w:after="0" w:line="480" w:lineRule="auto"/>
        <w:rPr>
          <w:rFonts w:ascii="Arial" w:eastAsia="Times New Roman" w:hAnsi="Arial" w:cs="Arial"/>
          <w:sz w:val="24"/>
          <w:szCs w:val="24"/>
          <w:u w:val="single"/>
          <w:lang w:eastAsia="en-GB"/>
        </w:rPr>
      </w:pPr>
      <w:r w:rsidRPr="00345F00">
        <w:rPr>
          <w:rFonts w:ascii="Arial" w:eastAsia="Times New Roman" w:hAnsi="Arial" w:cs="Arial"/>
          <w:sz w:val="24"/>
          <w:szCs w:val="24"/>
          <w:u w:val="single"/>
          <w:lang w:eastAsia="en-GB"/>
        </w:rPr>
        <w:t>Litigation background</w:t>
      </w: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 xml:space="preserve">Both the statutory provisions and the measures were challenged by </w:t>
      </w:r>
      <w:r w:rsidR="006D0469" w:rsidRPr="000C3275">
        <w:rPr>
          <w:rFonts w:ascii="Arial" w:eastAsia="Times New Roman" w:hAnsi="Arial" w:cs="Arial"/>
          <w:sz w:val="24"/>
          <w:szCs w:val="24"/>
          <w:lang w:eastAsia="en-GB"/>
        </w:rPr>
        <w:t>the present respondents in the M</w:t>
      </w:r>
      <w:r w:rsidRPr="000C3275">
        <w:rPr>
          <w:rFonts w:ascii="Arial" w:eastAsia="Times New Roman" w:hAnsi="Arial" w:cs="Arial"/>
          <w:sz w:val="24"/>
          <w:szCs w:val="24"/>
          <w:lang w:eastAsia="en-GB"/>
        </w:rPr>
        <w:t>ain Division of the High Court under case No:</w:t>
      </w:r>
      <w:r w:rsidRPr="000C3275">
        <w:rPr>
          <w:rFonts w:ascii="Arial" w:hAnsi="Arial" w:cs="Arial"/>
          <w:sz w:val="24"/>
          <w:szCs w:val="24"/>
        </w:rPr>
        <w:t xml:space="preserve"> HC-MD-ACT-CIV-OTH-2017/04493 and HC-MD-CIV-MOT-REV-2018/00127. </w:t>
      </w:r>
      <w:r w:rsidRPr="000C3275">
        <w:rPr>
          <w:rFonts w:ascii="Arial" w:eastAsia="Times New Roman" w:hAnsi="Arial" w:cs="Arial"/>
          <w:sz w:val="24"/>
          <w:szCs w:val="24"/>
          <w:lang w:eastAsia="en-GB"/>
        </w:rPr>
        <w:t xml:space="preserve">The challenge is in two parts: </w:t>
      </w:r>
      <w:r w:rsidR="00EC40B3">
        <w:rPr>
          <w:rFonts w:ascii="Arial" w:eastAsia="Times New Roman" w:hAnsi="Arial" w:cs="Arial"/>
          <w:sz w:val="24"/>
          <w:szCs w:val="24"/>
          <w:lang w:eastAsia="en-GB"/>
        </w:rPr>
        <w:t>In the first-mentioned case a</w:t>
      </w:r>
      <w:r w:rsidRPr="000C3275">
        <w:rPr>
          <w:rFonts w:ascii="Arial" w:eastAsia="Times New Roman" w:hAnsi="Arial" w:cs="Arial"/>
          <w:sz w:val="24"/>
          <w:szCs w:val="24"/>
          <w:lang w:eastAsia="en-GB"/>
        </w:rPr>
        <w:t xml:space="preserve"> constitutional challenge </w:t>
      </w:r>
      <w:r w:rsidR="006D0469" w:rsidRPr="000C3275">
        <w:rPr>
          <w:rFonts w:ascii="Arial" w:eastAsia="Times New Roman" w:hAnsi="Arial" w:cs="Arial"/>
          <w:sz w:val="24"/>
          <w:szCs w:val="24"/>
          <w:lang w:eastAsia="en-GB"/>
        </w:rPr>
        <w:t xml:space="preserve">of the </w:t>
      </w:r>
      <w:proofErr w:type="spellStart"/>
      <w:r w:rsidR="006D0469" w:rsidRPr="000C3275">
        <w:rPr>
          <w:rFonts w:ascii="Arial" w:eastAsia="Times New Roman" w:hAnsi="Arial" w:cs="Arial"/>
          <w:sz w:val="24"/>
          <w:szCs w:val="24"/>
          <w:lang w:eastAsia="en-GB"/>
        </w:rPr>
        <w:t>NAMRe</w:t>
      </w:r>
      <w:proofErr w:type="spellEnd"/>
      <w:r w:rsidR="006D0469" w:rsidRPr="000C3275">
        <w:rPr>
          <w:rFonts w:ascii="Arial" w:eastAsia="Times New Roman" w:hAnsi="Arial" w:cs="Arial"/>
          <w:sz w:val="24"/>
          <w:szCs w:val="24"/>
          <w:lang w:eastAsia="en-GB"/>
        </w:rPr>
        <w:t xml:space="preserve"> Act </w:t>
      </w:r>
      <w:r w:rsidRPr="000C3275">
        <w:rPr>
          <w:rFonts w:ascii="Arial" w:eastAsia="Times New Roman" w:hAnsi="Arial" w:cs="Arial"/>
          <w:sz w:val="24"/>
          <w:szCs w:val="24"/>
          <w:lang w:eastAsia="en-GB"/>
        </w:rPr>
        <w:t xml:space="preserve">and an </w:t>
      </w:r>
      <w:r w:rsidR="00EC40B3">
        <w:rPr>
          <w:rFonts w:ascii="Arial" w:eastAsia="Times New Roman" w:hAnsi="Arial" w:cs="Arial"/>
          <w:sz w:val="24"/>
          <w:szCs w:val="24"/>
          <w:lang w:eastAsia="en-GB"/>
        </w:rPr>
        <w:t xml:space="preserve">in the second-mentioned a </w:t>
      </w:r>
      <w:r w:rsidR="005446C2" w:rsidRPr="000C3275">
        <w:rPr>
          <w:rFonts w:ascii="Arial" w:eastAsia="Times New Roman" w:hAnsi="Arial" w:cs="Arial"/>
          <w:sz w:val="24"/>
          <w:szCs w:val="24"/>
          <w:lang w:eastAsia="en-GB"/>
        </w:rPr>
        <w:t xml:space="preserve">review </w:t>
      </w:r>
      <w:r w:rsidR="006D0469" w:rsidRPr="000C3275">
        <w:rPr>
          <w:rFonts w:ascii="Arial" w:eastAsia="Times New Roman" w:hAnsi="Arial" w:cs="Arial"/>
          <w:sz w:val="24"/>
          <w:szCs w:val="24"/>
          <w:lang w:eastAsia="en-GB"/>
        </w:rPr>
        <w:t>of the measures</w:t>
      </w:r>
      <w:r w:rsidR="005446C2" w:rsidRPr="000C3275">
        <w:rPr>
          <w:rFonts w:ascii="Arial" w:eastAsia="Times New Roman" w:hAnsi="Arial" w:cs="Arial"/>
          <w:sz w:val="24"/>
          <w:szCs w:val="24"/>
          <w:lang w:eastAsia="en-GB"/>
        </w:rPr>
        <w:t>.</w:t>
      </w:r>
    </w:p>
    <w:p w:rsidR="005446C2" w:rsidRPr="000C3275" w:rsidRDefault="005446C2" w:rsidP="00A47FC7">
      <w:pPr>
        <w:pStyle w:val="ListParagraph"/>
        <w:spacing w:after="0" w:line="480" w:lineRule="auto"/>
        <w:rPr>
          <w:rFonts w:ascii="Arial" w:eastAsia="Times New Roman" w:hAnsi="Arial" w:cs="Arial"/>
          <w:sz w:val="24"/>
          <w:szCs w:val="24"/>
          <w:lang w:eastAsia="en-GB"/>
        </w:rPr>
      </w:pPr>
    </w:p>
    <w:p w:rsidR="005446C2" w:rsidRPr="000C3275" w:rsidRDefault="00A90E41" w:rsidP="00A47FC7">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The constitutional challenge seeks to have</w:t>
      </w:r>
      <w:r w:rsidRPr="000C3275">
        <w:rPr>
          <w:rFonts w:ascii="Arial" w:hAnsi="Arial" w:cs="Arial"/>
          <w:sz w:val="24"/>
          <w:szCs w:val="24"/>
          <w:shd w:val="clear" w:color="auto" w:fill="FFFFFF"/>
        </w:rPr>
        <w:t xml:space="preserve"> s</w:t>
      </w:r>
      <w:r w:rsidR="008D3D48">
        <w:rPr>
          <w:rFonts w:ascii="Arial" w:hAnsi="Arial" w:cs="Arial"/>
          <w:sz w:val="24"/>
          <w:szCs w:val="24"/>
          <w:shd w:val="clear" w:color="auto" w:fill="FFFFFF"/>
        </w:rPr>
        <w:t>ect</w:t>
      </w:r>
      <w:r w:rsidRPr="000C3275">
        <w:rPr>
          <w:rFonts w:ascii="Arial" w:hAnsi="Arial" w:cs="Arial"/>
          <w:sz w:val="24"/>
          <w:szCs w:val="24"/>
          <w:shd w:val="clear" w:color="auto" w:fill="FFFFFF"/>
        </w:rPr>
        <w:t>i</w:t>
      </w:r>
      <w:r w:rsidR="00DB6D61" w:rsidRPr="000C3275">
        <w:rPr>
          <w:rFonts w:ascii="Arial" w:hAnsi="Arial" w:cs="Arial"/>
          <w:sz w:val="24"/>
          <w:szCs w:val="24"/>
          <w:shd w:val="clear" w:color="auto" w:fill="FFFFFF"/>
        </w:rPr>
        <w:t xml:space="preserve">ons 39, 40 and 43 of </w:t>
      </w:r>
      <w:r w:rsidR="00F20CB9" w:rsidRPr="000C3275">
        <w:rPr>
          <w:rFonts w:ascii="Arial" w:hAnsi="Arial" w:cs="Arial"/>
          <w:sz w:val="24"/>
          <w:szCs w:val="24"/>
          <w:shd w:val="clear" w:color="auto" w:fill="FFFFFF"/>
        </w:rPr>
        <w:t xml:space="preserve">the </w:t>
      </w:r>
      <w:proofErr w:type="spellStart"/>
      <w:r w:rsidR="00F20CB9" w:rsidRPr="000C3275">
        <w:rPr>
          <w:rFonts w:ascii="Arial" w:hAnsi="Arial" w:cs="Arial"/>
          <w:sz w:val="24"/>
          <w:szCs w:val="24"/>
          <w:shd w:val="clear" w:color="auto" w:fill="FFFFFF"/>
        </w:rPr>
        <w:t>NAMRe</w:t>
      </w:r>
      <w:proofErr w:type="spellEnd"/>
      <w:r w:rsidRPr="000C3275">
        <w:rPr>
          <w:rFonts w:ascii="Arial" w:hAnsi="Arial" w:cs="Arial"/>
          <w:sz w:val="24"/>
          <w:szCs w:val="24"/>
          <w:shd w:val="clear" w:color="auto" w:fill="FFFFFF"/>
        </w:rPr>
        <w:t xml:space="preserve"> Act declared unco</w:t>
      </w:r>
      <w:r w:rsidR="00BE633E" w:rsidRPr="000C3275">
        <w:rPr>
          <w:rFonts w:ascii="Arial" w:hAnsi="Arial" w:cs="Arial"/>
          <w:sz w:val="24"/>
          <w:szCs w:val="24"/>
          <w:shd w:val="clear" w:color="auto" w:fill="FFFFFF"/>
        </w:rPr>
        <w:t xml:space="preserve">nstitutional and null and void. </w:t>
      </w:r>
      <w:r w:rsidRPr="000C3275">
        <w:rPr>
          <w:rFonts w:ascii="Arial" w:hAnsi="Arial" w:cs="Arial"/>
          <w:sz w:val="24"/>
          <w:szCs w:val="24"/>
          <w:shd w:val="clear" w:color="auto" w:fill="FFFFFF"/>
        </w:rPr>
        <w:t xml:space="preserve">The review challenge seeks to have reviewed and </w:t>
      </w:r>
      <w:r w:rsidRPr="000C3275">
        <w:rPr>
          <w:rFonts w:ascii="Arial" w:eastAsia="Times New Roman" w:hAnsi="Arial" w:cs="Arial"/>
          <w:sz w:val="24"/>
          <w:szCs w:val="24"/>
          <w:lang w:val="en-GB" w:eastAsia="en-GB"/>
        </w:rPr>
        <w:t>set aside Regulations 5, 6, 7 and 9 published in Government Notice No 332 of 2017</w:t>
      </w:r>
      <w:r w:rsidRPr="000C3275">
        <w:rPr>
          <w:rStyle w:val="FootnoteReference"/>
          <w:rFonts w:ascii="Arial" w:eastAsia="Times New Roman" w:hAnsi="Arial" w:cs="Arial"/>
          <w:sz w:val="24"/>
          <w:szCs w:val="24"/>
          <w:lang w:val="en-GB" w:eastAsia="en-GB"/>
        </w:rPr>
        <w:footnoteReference w:id="7"/>
      </w:r>
      <w:r w:rsidRPr="000C3275">
        <w:rPr>
          <w:rFonts w:ascii="Arial" w:eastAsia="Times New Roman" w:hAnsi="Arial" w:cs="Arial"/>
          <w:sz w:val="24"/>
          <w:szCs w:val="24"/>
          <w:lang w:val="en-GB" w:eastAsia="en-GB"/>
        </w:rPr>
        <w:t xml:space="preserve"> including all decisions by the Minister underpinning those Regulations. It also impugns GN No</w:t>
      </w:r>
      <w:r w:rsidR="00A03F1B" w:rsidRPr="000C3275">
        <w:rPr>
          <w:rFonts w:ascii="Arial" w:eastAsia="Times New Roman" w:hAnsi="Arial" w:cs="Arial"/>
          <w:sz w:val="24"/>
          <w:szCs w:val="24"/>
          <w:lang w:val="en-GB" w:eastAsia="en-GB"/>
        </w:rPr>
        <w:t>:</w:t>
      </w:r>
      <w:r w:rsidRPr="000C3275">
        <w:rPr>
          <w:rFonts w:ascii="Arial" w:eastAsia="Times New Roman" w:hAnsi="Arial" w:cs="Arial"/>
          <w:sz w:val="24"/>
          <w:szCs w:val="24"/>
          <w:lang w:val="en-GB" w:eastAsia="en-GB"/>
        </w:rPr>
        <w:t xml:space="preserve"> 333; 334; 335; 336; 337; 338 of 2017 and all decisions by the Minister arising therefrom. </w:t>
      </w:r>
    </w:p>
    <w:p w:rsidR="005446C2" w:rsidRPr="000C3275" w:rsidRDefault="00A90E41" w:rsidP="00A47FC7">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val="en-GB" w:eastAsia="en-GB"/>
        </w:rPr>
        <w:lastRenderedPageBreak/>
        <w:t>In the alternative, the respondents seek to have declared Regulations 5, 6, 7 and 9 and all decisions by the Minister underpinning the Regulations, to be contrary to Article 18 read with Articles 8, 16 and 21(1)</w:t>
      </w:r>
      <w:r w:rsidRPr="008D3D48">
        <w:rPr>
          <w:rFonts w:ascii="Arial" w:eastAsia="Times New Roman" w:hAnsi="Arial" w:cs="Arial"/>
          <w:sz w:val="24"/>
          <w:szCs w:val="24"/>
          <w:lang w:val="en-GB" w:eastAsia="en-GB"/>
        </w:rPr>
        <w:t>(j)</w:t>
      </w:r>
      <w:r w:rsidRPr="000C3275">
        <w:rPr>
          <w:rFonts w:ascii="Arial" w:eastAsia="Times New Roman" w:hAnsi="Arial" w:cs="Arial"/>
          <w:sz w:val="24"/>
          <w:szCs w:val="24"/>
          <w:lang w:val="en-GB" w:eastAsia="en-GB"/>
        </w:rPr>
        <w:t xml:space="preserve"> of the </w:t>
      </w:r>
      <w:r w:rsidR="008D3D48">
        <w:rPr>
          <w:rFonts w:ascii="Arial" w:eastAsia="Times New Roman" w:hAnsi="Arial" w:cs="Arial"/>
          <w:sz w:val="24"/>
          <w:szCs w:val="24"/>
          <w:lang w:val="en-GB" w:eastAsia="en-GB"/>
        </w:rPr>
        <w:t xml:space="preserve">Namibian </w:t>
      </w:r>
      <w:r w:rsidRPr="000C3275">
        <w:rPr>
          <w:rFonts w:ascii="Arial" w:eastAsia="Times New Roman" w:hAnsi="Arial" w:cs="Arial"/>
          <w:sz w:val="24"/>
          <w:szCs w:val="24"/>
          <w:lang w:val="en-GB" w:eastAsia="en-GB"/>
        </w:rPr>
        <w:t>Constitution</w:t>
      </w:r>
      <w:r w:rsidR="00345F00">
        <w:rPr>
          <w:rFonts w:ascii="Arial" w:eastAsia="Times New Roman" w:hAnsi="Arial" w:cs="Arial"/>
          <w:sz w:val="24"/>
          <w:szCs w:val="24"/>
          <w:lang w:val="en-GB" w:eastAsia="en-GB"/>
        </w:rPr>
        <w:t xml:space="preserve"> (the Constitution) </w:t>
      </w:r>
      <w:r w:rsidRPr="000C3275">
        <w:rPr>
          <w:rFonts w:ascii="Arial" w:eastAsia="Times New Roman" w:hAnsi="Arial" w:cs="Arial"/>
          <w:sz w:val="24"/>
          <w:szCs w:val="24"/>
          <w:lang w:val="en-GB" w:eastAsia="en-GB"/>
        </w:rPr>
        <w:t>and to further have declared GN No 333 of 2017 to 338 of 2017 and all decisions by the Minister underpinning the Notices to be contrary to Article 18 read with Art</w:t>
      </w:r>
      <w:r w:rsidR="008D3D48">
        <w:rPr>
          <w:rFonts w:ascii="Arial" w:eastAsia="Times New Roman" w:hAnsi="Arial" w:cs="Arial"/>
          <w:sz w:val="24"/>
          <w:szCs w:val="24"/>
          <w:lang w:val="en-GB" w:eastAsia="en-GB"/>
        </w:rPr>
        <w:t>icles</w:t>
      </w:r>
      <w:r w:rsidRPr="000C3275">
        <w:rPr>
          <w:rFonts w:ascii="Arial" w:eastAsia="Times New Roman" w:hAnsi="Arial" w:cs="Arial"/>
          <w:sz w:val="24"/>
          <w:szCs w:val="24"/>
          <w:lang w:val="en-GB" w:eastAsia="en-GB"/>
        </w:rPr>
        <w:t xml:space="preserve"> 8, 16 and 21(1)(j) of the Constitution.</w:t>
      </w:r>
      <w:r w:rsidRPr="000C3275">
        <w:rPr>
          <w:rFonts w:ascii="Arial" w:eastAsia="Times New Roman" w:hAnsi="Arial" w:cs="Arial"/>
          <w:sz w:val="24"/>
          <w:szCs w:val="24"/>
          <w:lang w:eastAsia="en-GB"/>
        </w:rPr>
        <w:t xml:space="preserve"> </w:t>
      </w:r>
    </w:p>
    <w:p w:rsidR="005446C2" w:rsidRPr="000C3275" w:rsidRDefault="005446C2" w:rsidP="00A47FC7">
      <w:pPr>
        <w:pStyle w:val="ListParagraph"/>
        <w:spacing w:after="0" w:line="480" w:lineRule="auto"/>
        <w:rPr>
          <w:rFonts w:ascii="Arial" w:eastAsia="Times New Roman" w:hAnsi="Arial" w:cs="Arial"/>
          <w:sz w:val="24"/>
          <w:szCs w:val="24"/>
          <w:lang w:eastAsia="en-GB"/>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The constitutional challenge and administrative law review ar</w:t>
      </w:r>
      <w:r w:rsidR="00345F00">
        <w:rPr>
          <w:rFonts w:ascii="Arial" w:eastAsia="Times New Roman" w:hAnsi="Arial" w:cs="Arial"/>
          <w:sz w:val="24"/>
          <w:szCs w:val="24"/>
          <w:lang w:eastAsia="en-GB"/>
        </w:rPr>
        <w:t>e pending before the High Court.</w:t>
      </w:r>
    </w:p>
    <w:p w:rsidR="005446C2" w:rsidRPr="000C3275" w:rsidRDefault="005446C2" w:rsidP="008C06C9">
      <w:pPr>
        <w:pStyle w:val="ListParagraph"/>
        <w:spacing w:after="0" w:line="480" w:lineRule="auto"/>
        <w:rPr>
          <w:rFonts w:ascii="Arial" w:hAnsi="Arial" w:cs="Arial"/>
          <w:sz w:val="24"/>
          <w:szCs w:val="24"/>
        </w:rPr>
      </w:pPr>
    </w:p>
    <w:p w:rsidR="005446C2" w:rsidRPr="000C3275" w:rsidRDefault="00A90E41" w:rsidP="00A47FC7">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Having challenged the provisions of the </w:t>
      </w:r>
      <w:proofErr w:type="spellStart"/>
      <w:r w:rsidRPr="000C3275">
        <w:rPr>
          <w:rFonts w:ascii="Arial" w:hAnsi="Arial" w:cs="Arial"/>
          <w:sz w:val="24"/>
          <w:szCs w:val="24"/>
        </w:rPr>
        <w:t>NAMRe</w:t>
      </w:r>
      <w:proofErr w:type="spellEnd"/>
      <w:r w:rsidRPr="000C3275">
        <w:rPr>
          <w:rFonts w:ascii="Arial" w:hAnsi="Arial" w:cs="Arial"/>
          <w:sz w:val="24"/>
          <w:szCs w:val="24"/>
        </w:rPr>
        <w:t xml:space="preserve"> Act and the measures, the current respondents refused to comply with the </w:t>
      </w:r>
      <w:r w:rsidR="00EC40B3">
        <w:rPr>
          <w:rFonts w:ascii="Arial" w:hAnsi="Arial" w:cs="Arial"/>
          <w:sz w:val="24"/>
          <w:szCs w:val="24"/>
        </w:rPr>
        <w:t>law.</w:t>
      </w:r>
      <w:r w:rsidRPr="000C3275">
        <w:rPr>
          <w:rFonts w:ascii="Arial" w:hAnsi="Arial" w:cs="Arial"/>
          <w:sz w:val="24"/>
          <w:szCs w:val="24"/>
        </w:rPr>
        <w:t xml:space="preserve"> The refusal prompted an urgent application by the Minister and </w:t>
      </w:r>
      <w:proofErr w:type="spellStart"/>
      <w:r w:rsidRPr="000C3275">
        <w:rPr>
          <w:rFonts w:ascii="Arial" w:hAnsi="Arial" w:cs="Arial"/>
          <w:sz w:val="24"/>
          <w:szCs w:val="24"/>
        </w:rPr>
        <w:t>NAMRe</w:t>
      </w:r>
      <w:proofErr w:type="spellEnd"/>
      <w:r w:rsidRPr="000C3275">
        <w:rPr>
          <w:rFonts w:ascii="Arial" w:hAnsi="Arial" w:cs="Arial"/>
          <w:sz w:val="24"/>
          <w:szCs w:val="24"/>
        </w:rPr>
        <w:t xml:space="preserve"> (the applicants) seeking, principally, a </w:t>
      </w:r>
      <w:proofErr w:type="spellStart"/>
      <w:r w:rsidRPr="000C3275">
        <w:rPr>
          <w:rFonts w:ascii="Arial" w:hAnsi="Arial" w:cs="Arial"/>
          <w:i/>
          <w:sz w:val="24"/>
          <w:szCs w:val="24"/>
        </w:rPr>
        <w:t>declarator</w:t>
      </w:r>
      <w:proofErr w:type="spellEnd"/>
      <w:r w:rsidRPr="000C3275">
        <w:rPr>
          <w:rFonts w:ascii="Arial" w:hAnsi="Arial" w:cs="Arial"/>
          <w:sz w:val="24"/>
          <w:szCs w:val="24"/>
        </w:rPr>
        <w:t xml:space="preserve"> that the </w:t>
      </w:r>
      <w:proofErr w:type="spellStart"/>
      <w:r w:rsidRPr="000C3275">
        <w:rPr>
          <w:rFonts w:ascii="Arial" w:hAnsi="Arial" w:cs="Arial"/>
          <w:sz w:val="24"/>
          <w:szCs w:val="24"/>
        </w:rPr>
        <w:t>MAMRe</w:t>
      </w:r>
      <w:proofErr w:type="spellEnd"/>
      <w:r w:rsidRPr="000C3275">
        <w:rPr>
          <w:rFonts w:ascii="Arial" w:hAnsi="Arial" w:cs="Arial"/>
          <w:sz w:val="24"/>
          <w:szCs w:val="24"/>
        </w:rPr>
        <w:t xml:space="preserve"> Act and the measures are of full force and effect and that, pending the constitutional challenge and the review challenge, the respondents must comply with immediate effect with the provisions of that Act and the measures. A further prayer seeks an order of committal for contempt of the corporate respondents’ executives (9</w:t>
      </w:r>
      <w:r w:rsidRPr="000C3275">
        <w:rPr>
          <w:rFonts w:ascii="Arial" w:hAnsi="Arial" w:cs="Arial"/>
          <w:sz w:val="24"/>
          <w:szCs w:val="24"/>
          <w:vertAlign w:val="superscript"/>
        </w:rPr>
        <w:t>th</w:t>
      </w:r>
      <w:r w:rsidRPr="000C3275">
        <w:rPr>
          <w:rFonts w:ascii="Arial" w:hAnsi="Arial" w:cs="Arial"/>
          <w:sz w:val="24"/>
          <w:szCs w:val="24"/>
        </w:rPr>
        <w:t xml:space="preserve"> to 16</w:t>
      </w:r>
      <w:r w:rsidRPr="000C3275">
        <w:rPr>
          <w:rFonts w:ascii="Arial" w:hAnsi="Arial" w:cs="Arial"/>
          <w:sz w:val="24"/>
          <w:szCs w:val="24"/>
          <w:vertAlign w:val="superscript"/>
        </w:rPr>
        <w:t>th</w:t>
      </w:r>
      <w:r w:rsidRPr="000C3275">
        <w:rPr>
          <w:rFonts w:ascii="Arial" w:hAnsi="Arial" w:cs="Arial"/>
          <w:sz w:val="24"/>
          <w:szCs w:val="24"/>
        </w:rPr>
        <w:t xml:space="preserve"> respondents) in the event that any of the respondents do not comply with the court’s order. I will henceforth refer to this application as the ‘application to compel’.</w:t>
      </w:r>
    </w:p>
    <w:p w:rsidR="005446C2" w:rsidRPr="000C3275" w:rsidRDefault="005446C2" w:rsidP="00A47FC7">
      <w:pPr>
        <w:pStyle w:val="ListParagraph"/>
        <w:spacing w:after="0" w:line="480" w:lineRule="auto"/>
        <w:rPr>
          <w:rFonts w:ascii="Arial" w:hAnsi="Arial" w:cs="Arial"/>
          <w:sz w:val="24"/>
          <w:szCs w:val="24"/>
        </w:rPr>
      </w:pPr>
    </w:p>
    <w:p w:rsidR="005446C2" w:rsidRPr="000C3275" w:rsidRDefault="005B002C" w:rsidP="00A47FC7">
      <w:pPr>
        <w:numPr>
          <w:ilvl w:val="0"/>
          <w:numId w:val="4"/>
        </w:numPr>
        <w:tabs>
          <w:tab w:val="left" w:pos="851"/>
        </w:tabs>
        <w:spacing w:after="0" w:line="480" w:lineRule="auto"/>
        <w:ind w:left="0" w:hanging="11"/>
        <w:contextualSpacing/>
        <w:jc w:val="both"/>
        <w:rPr>
          <w:rFonts w:ascii="Arial" w:hAnsi="Arial" w:cs="Arial"/>
          <w:sz w:val="24"/>
          <w:szCs w:val="24"/>
        </w:rPr>
      </w:pPr>
      <w:r w:rsidRPr="000C3275">
        <w:rPr>
          <w:rFonts w:ascii="Arial" w:hAnsi="Arial" w:cs="Arial"/>
          <w:sz w:val="24"/>
          <w:szCs w:val="24"/>
        </w:rPr>
        <w:t>After the measures t</w:t>
      </w:r>
      <w:r w:rsidR="00EC40B3">
        <w:rPr>
          <w:rFonts w:ascii="Arial" w:hAnsi="Arial" w:cs="Arial"/>
          <w:sz w:val="24"/>
          <w:szCs w:val="24"/>
        </w:rPr>
        <w:t>ook</w:t>
      </w:r>
      <w:r w:rsidRPr="000C3275">
        <w:rPr>
          <w:rFonts w:ascii="Arial" w:hAnsi="Arial" w:cs="Arial"/>
          <w:sz w:val="24"/>
          <w:szCs w:val="24"/>
        </w:rPr>
        <w:t xml:space="preserve"> effect and b</w:t>
      </w:r>
      <w:r w:rsidR="00A90E41" w:rsidRPr="000C3275">
        <w:rPr>
          <w:rFonts w:ascii="Arial" w:hAnsi="Arial" w:cs="Arial"/>
          <w:sz w:val="24"/>
          <w:szCs w:val="24"/>
        </w:rPr>
        <w:t>efore the application to compel was launched, only six of the insurance companies affected by the meas</w:t>
      </w:r>
      <w:r w:rsidR="00004FC5" w:rsidRPr="000C3275">
        <w:rPr>
          <w:rFonts w:ascii="Arial" w:hAnsi="Arial" w:cs="Arial"/>
          <w:sz w:val="24"/>
          <w:szCs w:val="24"/>
        </w:rPr>
        <w:t xml:space="preserve">ures agreed to comply therewith. </w:t>
      </w:r>
      <w:proofErr w:type="spellStart"/>
      <w:r w:rsidR="00004FC5" w:rsidRPr="000C3275">
        <w:rPr>
          <w:rFonts w:ascii="Arial" w:hAnsi="Arial" w:cs="Arial"/>
          <w:sz w:val="24"/>
          <w:szCs w:val="24"/>
        </w:rPr>
        <w:t>Ned</w:t>
      </w:r>
      <w:r w:rsidR="00EC40B3">
        <w:rPr>
          <w:rFonts w:ascii="Arial" w:hAnsi="Arial" w:cs="Arial"/>
          <w:sz w:val="24"/>
          <w:szCs w:val="24"/>
        </w:rPr>
        <w:t>Life</w:t>
      </w:r>
      <w:proofErr w:type="spellEnd"/>
      <w:r w:rsidR="00EC40B3">
        <w:rPr>
          <w:rFonts w:ascii="Arial" w:hAnsi="Arial" w:cs="Arial"/>
          <w:sz w:val="24"/>
          <w:szCs w:val="24"/>
        </w:rPr>
        <w:t xml:space="preserve"> Namibia Limited</w:t>
      </w:r>
      <w:r w:rsidR="00004FC5" w:rsidRPr="000C3275">
        <w:rPr>
          <w:rFonts w:ascii="Arial" w:hAnsi="Arial" w:cs="Arial"/>
          <w:sz w:val="24"/>
          <w:szCs w:val="24"/>
        </w:rPr>
        <w:t xml:space="preserve"> is one of the six.</w:t>
      </w:r>
    </w:p>
    <w:p w:rsidR="00004FC5" w:rsidRPr="000C3275" w:rsidRDefault="00004FC5" w:rsidP="00A47FC7">
      <w:pPr>
        <w:tabs>
          <w:tab w:val="left" w:pos="851"/>
        </w:tabs>
        <w:spacing w:after="0" w:line="480" w:lineRule="auto"/>
        <w:contextualSpacing/>
        <w:jc w:val="both"/>
        <w:rPr>
          <w:rFonts w:ascii="Arial" w:hAnsi="Arial" w:cs="Arial"/>
          <w:sz w:val="24"/>
          <w:szCs w:val="24"/>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lastRenderedPageBreak/>
        <w:t>In the wa</w:t>
      </w:r>
      <w:r w:rsidR="00345F00">
        <w:rPr>
          <w:rFonts w:ascii="Arial" w:hAnsi="Arial" w:cs="Arial"/>
          <w:sz w:val="24"/>
          <w:szCs w:val="24"/>
        </w:rPr>
        <w:t>ke of the application to compel</w:t>
      </w:r>
      <w:r w:rsidR="00EC26F8">
        <w:rPr>
          <w:rFonts w:ascii="Arial" w:hAnsi="Arial" w:cs="Arial"/>
          <w:sz w:val="24"/>
          <w:szCs w:val="24"/>
        </w:rPr>
        <w:t xml:space="preserve"> </w:t>
      </w:r>
      <w:r w:rsidRPr="000C3275">
        <w:rPr>
          <w:rFonts w:ascii="Arial" w:hAnsi="Arial" w:cs="Arial"/>
          <w:sz w:val="24"/>
          <w:szCs w:val="24"/>
        </w:rPr>
        <w:t>t</w:t>
      </w:r>
      <w:r w:rsidRPr="000C3275">
        <w:rPr>
          <w:rFonts w:ascii="Arial" w:eastAsia="Times New Roman" w:hAnsi="Arial" w:cs="Arial"/>
          <w:sz w:val="24"/>
          <w:szCs w:val="24"/>
          <w:lang w:eastAsia="en-GB"/>
        </w:rPr>
        <w:t>he respondents</w:t>
      </w:r>
      <w:r w:rsidR="00EC26F8">
        <w:rPr>
          <w:rFonts w:ascii="Arial" w:eastAsia="Times New Roman" w:hAnsi="Arial" w:cs="Arial"/>
          <w:sz w:val="24"/>
          <w:szCs w:val="24"/>
          <w:lang w:eastAsia="en-GB"/>
        </w:rPr>
        <w:t xml:space="preserve"> </w:t>
      </w:r>
      <w:r w:rsidR="00EC26F8" w:rsidRPr="000C3275">
        <w:rPr>
          <w:rFonts w:ascii="Arial" w:eastAsia="Times New Roman" w:hAnsi="Arial" w:cs="Arial"/>
          <w:sz w:val="24"/>
          <w:szCs w:val="24"/>
          <w:lang w:eastAsia="en-GB"/>
        </w:rPr>
        <w:t>invoked the relief they seek in the pending constitutional challenge and the review by way of a collateral attack</w:t>
      </w:r>
      <w:r w:rsidR="00EC26F8">
        <w:rPr>
          <w:rStyle w:val="FootnoteReference"/>
          <w:rFonts w:ascii="Arial" w:eastAsia="Times New Roman" w:hAnsi="Arial" w:cs="Arial"/>
          <w:sz w:val="24"/>
          <w:szCs w:val="24"/>
          <w:lang w:eastAsia="en-GB"/>
        </w:rPr>
        <w:footnoteReference w:id="8"/>
      </w:r>
      <w:r w:rsidR="00EC26F8" w:rsidRPr="000C3275">
        <w:rPr>
          <w:rFonts w:ascii="Arial" w:eastAsia="Times New Roman" w:hAnsi="Arial" w:cs="Arial"/>
          <w:sz w:val="24"/>
          <w:szCs w:val="24"/>
          <w:lang w:eastAsia="en-GB"/>
        </w:rPr>
        <w:t xml:space="preserve"> against the validity of the </w:t>
      </w:r>
      <w:proofErr w:type="spellStart"/>
      <w:r w:rsidR="00EC26F8" w:rsidRPr="000C3275">
        <w:rPr>
          <w:rFonts w:ascii="Arial" w:eastAsia="Times New Roman" w:hAnsi="Arial" w:cs="Arial"/>
          <w:sz w:val="24"/>
          <w:szCs w:val="24"/>
          <w:lang w:eastAsia="en-GB"/>
        </w:rPr>
        <w:t>NAMRe</w:t>
      </w:r>
      <w:proofErr w:type="spellEnd"/>
      <w:r w:rsidR="00EC26F8" w:rsidRPr="000C3275">
        <w:rPr>
          <w:rFonts w:ascii="Arial" w:eastAsia="Times New Roman" w:hAnsi="Arial" w:cs="Arial"/>
          <w:sz w:val="24"/>
          <w:szCs w:val="24"/>
          <w:lang w:eastAsia="en-GB"/>
        </w:rPr>
        <w:t xml:space="preserve"> Act and the measures.</w:t>
      </w:r>
      <w:r w:rsidR="00EC26F8">
        <w:rPr>
          <w:rFonts w:ascii="Arial" w:eastAsia="Times New Roman" w:hAnsi="Arial" w:cs="Arial"/>
          <w:sz w:val="24"/>
          <w:szCs w:val="24"/>
          <w:lang w:eastAsia="en-GB"/>
        </w:rPr>
        <w:t xml:space="preserve"> The collateral attack was also intended </w:t>
      </w:r>
      <w:r w:rsidRPr="000C3275">
        <w:rPr>
          <w:rFonts w:ascii="Arial" w:eastAsia="Times New Roman" w:hAnsi="Arial" w:cs="Arial"/>
          <w:sz w:val="24"/>
          <w:szCs w:val="24"/>
          <w:lang w:eastAsia="en-GB"/>
        </w:rPr>
        <w:t xml:space="preserve">as a </w:t>
      </w:r>
      <w:proofErr w:type="spellStart"/>
      <w:r w:rsidRPr="000C3275">
        <w:rPr>
          <w:rFonts w:ascii="Arial" w:eastAsia="Times New Roman" w:hAnsi="Arial" w:cs="Arial"/>
          <w:sz w:val="24"/>
          <w:szCs w:val="24"/>
          <w:lang w:eastAsia="en-GB"/>
        </w:rPr>
        <w:t>defence</w:t>
      </w:r>
      <w:proofErr w:type="spellEnd"/>
      <w:r w:rsidRPr="000C3275">
        <w:rPr>
          <w:rFonts w:ascii="Arial" w:eastAsia="Times New Roman" w:hAnsi="Arial" w:cs="Arial"/>
          <w:sz w:val="24"/>
          <w:szCs w:val="24"/>
          <w:lang w:eastAsia="en-GB"/>
        </w:rPr>
        <w:t xml:space="preserve"> to </w:t>
      </w:r>
      <w:r w:rsidR="00EC26F8">
        <w:rPr>
          <w:rFonts w:ascii="Arial" w:eastAsia="Times New Roman" w:hAnsi="Arial" w:cs="Arial"/>
          <w:sz w:val="24"/>
          <w:szCs w:val="24"/>
          <w:lang w:eastAsia="en-GB"/>
        </w:rPr>
        <w:t>the application to compel.</w:t>
      </w:r>
      <w:r w:rsidRPr="000C3275">
        <w:rPr>
          <w:rFonts w:ascii="Arial" w:eastAsia="Times New Roman" w:hAnsi="Arial" w:cs="Arial"/>
          <w:sz w:val="24"/>
          <w:szCs w:val="24"/>
          <w:lang w:eastAsia="en-GB"/>
        </w:rPr>
        <w:t xml:space="preserve"> </w:t>
      </w:r>
    </w:p>
    <w:p w:rsidR="005446C2" w:rsidRPr="000C3275" w:rsidRDefault="005446C2" w:rsidP="008C06C9">
      <w:pPr>
        <w:pStyle w:val="ListParagraph"/>
        <w:spacing w:after="0" w:line="480" w:lineRule="auto"/>
        <w:rPr>
          <w:rFonts w:ascii="Arial" w:eastAsia="Times New Roman" w:hAnsi="Arial" w:cs="Arial"/>
          <w:sz w:val="24"/>
          <w:szCs w:val="24"/>
          <w:lang w:eastAsia="en-GB"/>
        </w:rPr>
      </w:pPr>
    </w:p>
    <w:p w:rsidR="005446C2" w:rsidRPr="000C3275" w:rsidRDefault="00A90E41" w:rsidP="00531575">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Both the application to compel and the collateral challenge were h</w:t>
      </w:r>
      <w:r w:rsidR="0035411E">
        <w:rPr>
          <w:rFonts w:ascii="Arial" w:eastAsia="Times New Roman" w:hAnsi="Arial" w:cs="Arial"/>
          <w:sz w:val="24"/>
          <w:szCs w:val="24"/>
          <w:lang w:eastAsia="en-GB"/>
        </w:rPr>
        <w:t>eard in the High Court and judg</w:t>
      </w:r>
      <w:r w:rsidRPr="000C3275">
        <w:rPr>
          <w:rFonts w:ascii="Arial" w:eastAsia="Times New Roman" w:hAnsi="Arial" w:cs="Arial"/>
          <w:sz w:val="24"/>
          <w:szCs w:val="24"/>
          <w:lang w:eastAsia="en-GB"/>
        </w:rPr>
        <w:t>ment handed down on 20 September 2018, with an order in the following terms:</w:t>
      </w:r>
    </w:p>
    <w:p w:rsidR="005446C2" w:rsidRPr="000C3275" w:rsidRDefault="005446C2" w:rsidP="00A47FC7">
      <w:pPr>
        <w:pStyle w:val="ListParagraph"/>
        <w:spacing w:after="0" w:line="480" w:lineRule="auto"/>
        <w:rPr>
          <w:rFonts w:ascii="Arial" w:hAnsi="Arial" w:cs="Arial"/>
          <w:sz w:val="24"/>
          <w:szCs w:val="24"/>
          <w:lang w:val="en-GB"/>
        </w:rPr>
      </w:pPr>
    </w:p>
    <w:p w:rsidR="005446C2" w:rsidRPr="000C3275" w:rsidRDefault="00531575" w:rsidP="00531575">
      <w:pPr>
        <w:pStyle w:val="ListParagraph"/>
        <w:numPr>
          <w:ilvl w:val="0"/>
          <w:numId w:val="1"/>
        </w:numPr>
        <w:spacing w:after="0" w:line="360" w:lineRule="auto"/>
        <w:ind w:left="1418" w:hanging="567"/>
        <w:jc w:val="both"/>
        <w:rPr>
          <w:rFonts w:ascii="Arial" w:hAnsi="Arial" w:cs="Arial"/>
        </w:rPr>
      </w:pPr>
      <w:r w:rsidRPr="000C3275">
        <w:rPr>
          <w:rFonts w:ascii="Arial" w:hAnsi="Arial" w:cs="Arial"/>
        </w:rPr>
        <w:t>‘</w:t>
      </w:r>
      <w:r w:rsidR="005446C2" w:rsidRPr="000C3275">
        <w:rPr>
          <w:rFonts w:ascii="Arial" w:hAnsi="Arial" w:cs="Arial"/>
        </w:rPr>
        <w:t xml:space="preserve">The application and implementation of the impugned provisions of the Namibia National Reinsurance Act No. 22 of 1998 (the ‘Act’) and Government Notices 333, 334, 335, 336, 337 and 338, promulgated by on 29 December 2017 in terms of the Act in Government Gazette 6496 and the Regulations promulgated on 29 December 2017 in terms of the Act, and published in terms of the Act and published in Government Gazette No. 6496 be and are hereby </w:t>
      </w:r>
      <w:r w:rsidR="005446C2" w:rsidRPr="000C3275">
        <w:rPr>
          <w:rFonts w:ascii="Arial" w:hAnsi="Arial" w:cs="Arial"/>
          <w:u w:val="single"/>
        </w:rPr>
        <w:t>stayed,</w:t>
      </w:r>
      <w:r w:rsidR="005446C2" w:rsidRPr="000C3275">
        <w:rPr>
          <w:rFonts w:ascii="Arial" w:hAnsi="Arial" w:cs="Arial"/>
        </w:rPr>
        <w:t xml:space="preserve"> pending the determination  of the following cases presently pending before this Court, namely, HC-MD-ACT-CIV-OTH-2017/04493 and HC-MD-CIV-MOT-REV-2018/00127.</w:t>
      </w:r>
    </w:p>
    <w:p w:rsidR="005446C2" w:rsidRPr="000C3275" w:rsidRDefault="005446C2" w:rsidP="00A47FC7">
      <w:pPr>
        <w:pStyle w:val="ListParagraph"/>
        <w:spacing w:after="0" w:line="360" w:lineRule="auto"/>
        <w:ind w:left="1701" w:hanging="567"/>
        <w:jc w:val="both"/>
        <w:rPr>
          <w:rFonts w:ascii="Arial" w:hAnsi="Arial" w:cs="Arial"/>
        </w:rPr>
      </w:pPr>
    </w:p>
    <w:p w:rsidR="005446C2" w:rsidRPr="000C3275" w:rsidRDefault="005446C2" w:rsidP="00531575">
      <w:pPr>
        <w:pStyle w:val="ListParagraph"/>
        <w:numPr>
          <w:ilvl w:val="0"/>
          <w:numId w:val="1"/>
        </w:numPr>
        <w:spacing w:after="0" w:line="360" w:lineRule="auto"/>
        <w:ind w:left="1418" w:hanging="567"/>
        <w:jc w:val="both"/>
        <w:rPr>
          <w:rFonts w:ascii="Arial" w:hAnsi="Arial" w:cs="Arial"/>
        </w:rPr>
      </w:pPr>
      <w:r w:rsidRPr="000C3275">
        <w:rPr>
          <w:rFonts w:ascii="Arial" w:hAnsi="Arial" w:cs="Arial"/>
        </w:rPr>
        <w:t>The Applicants are ordered to pay the costs of the application consequent upon the employment of one instructing and two instructed counsel.’</w:t>
      </w:r>
    </w:p>
    <w:p w:rsidR="005446C2" w:rsidRPr="000C3275" w:rsidRDefault="005446C2" w:rsidP="00A47FC7">
      <w:pPr>
        <w:tabs>
          <w:tab w:val="left" w:pos="851"/>
        </w:tabs>
        <w:spacing w:after="0" w:line="480" w:lineRule="auto"/>
        <w:contextualSpacing/>
        <w:jc w:val="both"/>
        <w:rPr>
          <w:rFonts w:ascii="Arial" w:hAnsi="Arial" w:cs="Arial"/>
          <w:sz w:val="24"/>
          <w:szCs w:val="24"/>
          <w:lang w:val="en-GB"/>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I will henceforth refer to this order as the ‘order of stay’.</w:t>
      </w:r>
    </w:p>
    <w:p w:rsidR="005446C2" w:rsidRPr="000C3275" w:rsidRDefault="005446C2" w:rsidP="00A47FC7">
      <w:pPr>
        <w:tabs>
          <w:tab w:val="left" w:pos="851"/>
        </w:tabs>
        <w:spacing w:after="0" w:line="480" w:lineRule="auto"/>
        <w:contextualSpacing/>
        <w:jc w:val="both"/>
        <w:rPr>
          <w:rFonts w:ascii="Arial" w:hAnsi="Arial" w:cs="Arial"/>
          <w:sz w:val="24"/>
          <w:szCs w:val="24"/>
          <w:lang w:val="en-GB"/>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The applicants applied to the High Court for leave to appeal against the order of stay on the grounds that: (a) the court had no power to grant a stay; (b) the order was made both </w:t>
      </w:r>
      <w:proofErr w:type="spellStart"/>
      <w:r w:rsidRPr="000C3275">
        <w:rPr>
          <w:rFonts w:ascii="Arial" w:hAnsi="Arial" w:cs="Arial"/>
          <w:i/>
          <w:sz w:val="24"/>
          <w:szCs w:val="24"/>
        </w:rPr>
        <w:t>mero</w:t>
      </w:r>
      <w:proofErr w:type="spellEnd"/>
      <w:r w:rsidRPr="000C3275">
        <w:rPr>
          <w:rFonts w:ascii="Arial" w:hAnsi="Arial" w:cs="Arial"/>
          <w:i/>
          <w:sz w:val="24"/>
          <w:szCs w:val="24"/>
        </w:rPr>
        <w:t xml:space="preserve"> </w:t>
      </w:r>
      <w:proofErr w:type="spellStart"/>
      <w:r w:rsidRPr="000C3275">
        <w:rPr>
          <w:rFonts w:ascii="Arial" w:hAnsi="Arial" w:cs="Arial"/>
          <w:i/>
          <w:sz w:val="24"/>
          <w:szCs w:val="24"/>
        </w:rPr>
        <w:t>motu</w:t>
      </w:r>
      <w:proofErr w:type="spellEnd"/>
      <w:r w:rsidRPr="000C3275">
        <w:rPr>
          <w:rFonts w:ascii="Arial" w:hAnsi="Arial" w:cs="Arial"/>
          <w:sz w:val="24"/>
          <w:szCs w:val="24"/>
        </w:rPr>
        <w:t xml:space="preserve"> and without joining parties patently affected by it; (c) the </w:t>
      </w:r>
      <w:r w:rsidRPr="000C3275">
        <w:rPr>
          <w:rFonts w:ascii="Arial" w:hAnsi="Arial" w:cs="Arial"/>
          <w:sz w:val="24"/>
          <w:szCs w:val="24"/>
        </w:rPr>
        <w:lastRenderedPageBreak/>
        <w:t xml:space="preserve">order infringes the doctrine of separation of powers and (d) the collateral challenge granted by the court should have been rejected. </w:t>
      </w:r>
    </w:p>
    <w:p w:rsidR="005446C2" w:rsidRPr="000C3275" w:rsidRDefault="005446C2" w:rsidP="00A47FC7">
      <w:pPr>
        <w:pStyle w:val="ListParagraph"/>
        <w:spacing w:after="0" w:line="480" w:lineRule="auto"/>
        <w:rPr>
          <w:rFonts w:ascii="Arial" w:hAnsi="Arial" w:cs="Arial"/>
          <w:sz w:val="24"/>
          <w:szCs w:val="24"/>
        </w:rPr>
      </w:pPr>
    </w:p>
    <w:p w:rsidR="007778AB" w:rsidRPr="000C3275" w:rsidRDefault="00C24BFA" w:rsidP="00496ACC">
      <w:pPr>
        <w:numPr>
          <w:ilvl w:val="0"/>
          <w:numId w:val="4"/>
        </w:numPr>
        <w:tabs>
          <w:tab w:val="left" w:pos="851"/>
        </w:tabs>
        <w:spacing w:after="0" w:line="480" w:lineRule="auto"/>
        <w:ind w:left="0" w:hanging="11"/>
        <w:contextualSpacing/>
        <w:jc w:val="both"/>
        <w:rPr>
          <w:rFonts w:ascii="Arial" w:hAnsi="Arial" w:cs="Arial"/>
          <w:sz w:val="24"/>
          <w:szCs w:val="24"/>
          <w:lang w:val="en-GB"/>
        </w:rPr>
      </w:pPr>
      <w:r>
        <w:rPr>
          <w:rFonts w:ascii="Arial" w:hAnsi="Arial" w:cs="Arial"/>
          <w:sz w:val="24"/>
          <w:szCs w:val="24"/>
        </w:rPr>
        <w:t xml:space="preserve">On 29 </w:t>
      </w:r>
      <w:r w:rsidR="00A90E41" w:rsidRPr="000C3275">
        <w:rPr>
          <w:rFonts w:ascii="Arial" w:hAnsi="Arial" w:cs="Arial"/>
          <w:sz w:val="24"/>
          <w:szCs w:val="24"/>
        </w:rPr>
        <w:t>September 2018</w:t>
      </w:r>
      <w:r>
        <w:rPr>
          <w:rFonts w:ascii="Arial" w:hAnsi="Arial" w:cs="Arial"/>
          <w:sz w:val="24"/>
          <w:szCs w:val="24"/>
        </w:rPr>
        <w:t>,</w:t>
      </w:r>
      <w:r w:rsidR="00A90E41" w:rsidRPr="000C3275">
        <w:rPr>
          <w:rFonts w:ascii="Arial" w:hAnsi="Arial" w:cs="Arial"/>
          <w:sz w:val="24"/>
          <w:szCs w:val="24"/>
        </w:rPr>
        <w:t xml:space="preserve"> the High Court refused the application for leave to appeal the order of stay on the ground that it is not </w:t>
      </w:r>
      <w:r w:rsidR="005A241B">
        <w:rPr>
          <w:rFonts w:ascii="Arial" w:hAnsi="Arial" w:cs="Arial"/>
          <w:sz w:val="24"/>
          <w:szCs w:val="24"/>
        </w:rPr>
        <w:t xml:space="preserve">an </w:t>
      </w:r>
      <w:r w:rsidR="00A90E41" w:rsidRPr="000C3275">
        <w:rPr>
          <w:rFonts w:ascii="Arial" w:hAnsi="Arial" w:cs="Arial"/>
          <w:sz w:val="24"/>
          <w:szCs w:val="24"/>
        </w:rPr>
        <w:t>appealable</w:t>
      </w:r>
      <w:r w:rsidR="005A241B">
        <w:rPr>
          <w:rFonts w:ascii="Arial" w:hAnsi="Arial" w:cs="Arial"/>
          <w:sz w:val="24"/>
          <w:szCs w:val="24"/>
        </w:rPr>
        <w:t xml:space="preserve"> judgement or order within the meaning of s 18(3) of the High Court Act 16 of 1990</w:t>
      </w:r>
      <w:r w:rsidR="00E875BD">
        <w:rPr>
          <w:rFonts w:ascii="Arial" w:hAnsi="Arial" w:cs="Arial"/>
          <w:sz w:val="24"/>
          <w:szCs w:val="24"/>
        </w:rPr>
        <w:t>.</w:t>
      </w:r>
      <w:r w:rsidR="005A241B">
        <w:rPr>
          <w:rStyle w:val="FootnoteReference"/>
          <w:rFonts w:ascii="Arial" w:hAnsi="Arial" w:cs="Arial"/>
          <w:sz w:val="24"/>
          <w:szCs w:val="24"/>
        </w:rPr>
        <w:footnoteReference w:id="9"/>
      </w:r>
      <w:r w:rsidR="007778AB" w:rsidRPr="000C3275">
        <w:rPr>
          <w:rFonts w:ascii="Arial" w:hAnsi="Arial" w:cs="Arial"/>
          <w:sz w:val="24"/>
          <w:szCs w:val="24"/>
        </w:rPr>
        <w:t xml:space="preserve"> As the High Court explained its reasons for refusing leave:</w:t>
      </w:r>
    </w:p>
    <w:p w:rsidR="00C81264" w:rsidRPr="000C3275" w:rsidRDefault="00C81264" w:rsidP="00A47FC7">
      <w:pPr>
        <w:pStyle w:val="ListParagraph"/>
        <w:spacing w:after="0" w:line="480" w:lineRule="auto"/>
        <w:rPr>
          <w:rFonts w:ascii="Arial" w:hAnsi="Arial" w:cs="Arial"/>
          <w:sz w:val="24"/>
          <w:szCs w:val="24"/>
          <w:lang w:val="en-GB"/>
        </w:rPr>
      </w:pPr>
    </w:p>
    <w:p w:rsidR="007778AB" w:rsidRPr="000C3275" w:rsidRDefault="00496ACC" w:rsidP="00A47FC7">
      <w:pPr>
        <w:tabs>
          <w:tab w:val="left" w:pos="851"/>
        </w:tabs>
        <w:spacing w:after="0" w:line="360" w:lineRule="auto"/>
        <w:ind w:left="720"/>
        <w:contextualSpacing/>
        <w:jc w:val="both"/>
        <w:rPr>
          <w:rFonts w:ascii="Arial" w:hAnsi="Arial" w:cs="Arial"/>
          <w:lang w:val="en-GB"/>
        </w:rPr>
      </w:pPr>
      <w:r w:rsidRPr="000C3275">
        <w:rPr>
          <w:rFonts w:ascii="Arial" w:hAnsi="Arial" w:cs="Arial"/>
          <w:lang w:val="en-GB"/>
        </w:rPr>
        <w:tab/>
      </w:r>
      <w:r w:rsidR="007778AB" w:rsidRPr="000C3275">
        <w:rPr>
          <w:rFonts w:ascii="Arial" w:hAnsi="Arial" w:cs="Arial"/>
          <w:lang w:val="en-GB"/>
        </w:rPr>
        <w:t>‘The court did not make any determination on the validity or otherwise of the impugned provisions. What the Court did strictly speaking was to suspend the enforcem</w:t>
      </w:r>
      <w:r w:rsidR="00086F0C" w:rsidRPr="000C3275">
        <w:rPr>
          <w:rFonts w:ascii="Arial" w:hAnsi="Arial" w:cs="Arial"/>
          <w:lang w:val="en-GB"/>
        </w:rPr>
        <w:t>ent</w:t>
      </w:r>
      <w:r w:rsidR="007778AB" w:rsidRPr="000C3275">
        <w:rPr>
          <w:rFonts w:ascii="Arial" w:hAnsi="Arial" w:cs="Arial"/>
          <w:lang w:val="en-GB"/>
        </w:rPr>
        <w:t xml:space="preserve"> of the provisions </w:t>
      </w:r>
      <w:r w:rsidRPr="000C3275">
        <w:rPr>
          <w:rFonts w:ascii="Arial" w:hAnsi="Arial" w:cs="Arial"/>
          <w:lang w:val="en-GB"/>
        </w:rPr>
        <w:t>pending the determination of the impugned provisions in that the Court did not pronounce itself on the validity or otherwise of the impugned provisions.’</w:t>
      </w:r>
    </w:p>
    <w:p w:rsidR="005446C2" w:rsidRPr="000C3275" w:rsidRDefault="005446C2" w:rsidP="00A47FC7">
      <w:pPr>
        <w:pStyle w:val="ListParagraph"/>
        <w:spacing w:after="0" w:line="480" w:lineRule="auto"/>
        <w:rPr>
          <w:rFonts w:ascii="Arial" w:hAnsi="Arial" w:cs="Arial"/>
          <w:sz w:val="24"/>
          <w:szCs w:val="24"/>
        </w:rPr>
      </w:pPr>
    </w:p>
    <w:p w:rsidR="005446C2" w:rsidRPr="000C3275" w:rsidRDefault="00A90E41" w:rsidP="00A47FC7">
      <w:pPr>
        <w:numPr>
          <w:ilvl w:val="0"/>
          <w:numId w:val="4"/>
        </w:numPr>
        <w:tabs>
          <w:tab w:val="left" w:pos="851"/>
        </w:tabs>
        <w:spacing w:after="0" w:line="480" w:lineRule="auto"/>
        <w:ind w:left="0" w:hanging="11"/>
        <w:contextualSpacing/>
        <w:jc w:val="both"/>
        <w:rPr>
          <w:rFonts w:ascii="Arial" w:eastAsia="Times New Roman" w:hAnsi="Arial" w:cs="Arial"/>
          <w:sz w:val="24"/>
          <w:szCs w:val="24"/>
          <w:lang w:eastAsia="en-GB"/>
        </w:rPr>
      </w:pPr>
      <w:r w:rsidRPr="000C3275">
        <w:rPr>
          <w:rFonts w:ascii="Arial" w:hAnsi="Arial" w:cs="Arial"/>
          <w:sz w:val="24"/>
          <w:szCs w:val="24"/>
        </w:rPr>
        <w:t xml:space="preserve">The applicants thereupon petitioned the Chief Justice </w:t>
      </w:r>
      <w:r w:rsidR="0081096B" w:rsidRPr="000C3275">
        <w:rPr>
          <w:rFonts w:ascii="Arial" w:hAnsi="Arial" w:cs="Arial"/>
          <w:sz w:val="24"/>
          <w:szCs w:val="24"/>
        </w:rPr>
        <w:t xml:space="preserve">for leave to appeal against the </w:t>
      </w:r>
      <w:r w:rsidRPr="000C3275">
        <w:rPr>
          <w:rFonts w:ascii="Arial" w:hAnsi="Arial" w:cs="Arial"/>
          <w:sz w:val="24"/>
          <w:szCs w:val="24"/>
        </w:rPr>
        <w:t>order of stay. The petition was considered in chambers and</w:t>
      </w:r>
      <w:r w:rsidR="0035411E">
        <w:rPr>
          <w:rFonts w:ascii="Arial" w:hAnsi="Arial" w:cs="Arial"/>
          <w:sz w:val="24"/>
          <w:szCs w:val="24"/>
        </w:rPr>
        <w:t>,</w:t>
      </w:r>
      <w:r w:rsidRPr="000C3275">
        <w:rPr>
          <w:rFonts w:ascii="Arial" w:hAnsi="Arial" w:cs="Arial"/>
          <w:sz w:val="24"/>
          <w:szCs w:val="24"/>
        </w:rPr>
        <w:t xml:space="preserve"> on 29 January 2019</w:t>
      </w:r>
      <w:r w:rsidR="0035411E">
        <w:rPr>
          <w:rFonts w:ascii="Arial" w:hAnsi="Arial" w:cs="Arial"/>
          <w:sz w:val="24"/>
          <w:szCs w:val="24"/>
        </w:rPr>
        <w:t>,</w:t>
      </w:r>
      <w:r w:rsidRPr="000C3275">
        <w:rPr>
          <w:rFonts w:ascii="Arial" w:hAnsi="Arial" w:cs="Arial"/>
          <w:sz w:val="24"/>
          <w:szCs w:val="24"/>
        </w:rPr>
        <w:t xml:space="preserve"> refused by Frank AJ</w:t>
      </w:r>
      <w:r w:rsidR="00496ACC" w:rsidRPr="000C3275">
        <w:rPr>
          <w:rFonts w:ascii="Arial" w:hAnsi="Arial" w:cs="Arial"/>
          <w:sz w:val="24"/>
          <w:szCs w:val="24"/>
        </w:rPr>
        <w:t>A (the petition j</w:t>
      </w:r>
      <w:r w:rsidRPr="000C3275">
        <w:rPr>
          <w:rFonts w:ascii="Arial" w:hAnsi="Arial" w:cs="Arial"/>
          <w:sz w:val="24"/>
          <w:szCs w:val="24"/>
        </w:rPr>
        <w:t>udge)</w:t>
      </w:r>
      <w:r w:rsidR="00004FC5" w:rsidRPr="000C3275">
        <w:rPr>
          <w:rFonts w:ascii="Arial" w:hAnsi="Arial" w:cs="Arial"/>
          <w:sz w:val="24"/>
          <w:szCs w:val="24"/>
        </w:rPr>
        <w:t>.</w:t>
      </w:r>
      <w:r w:rsidRPr="000C3275">
        <w:rPr>
          <w:rFonts w:ascii="Arial" w:hAnsi="Arial" w:cs="Arial"/>
          <w:sz w:val="24"/>
          <w:szCs w:val="24"/>
        </w:rPr>
        <w:t xml:space="preserve"> </w:t>
      </w:r>
    </w:p>
    <w:p w:rsidR="00004FC5" w:rsidRPr="000C3275" w:rsidRDefault="00004FC5" w:rsidP="00A47FC7">
      <w:pPr>
        <w:tabs>
          <w:tab w:val="left" w:pos="851"/>
        </w:tabs>
        <w:spacing w:after="0" w:line="480" w:lineRule="auto"/>
        <w:contextualSpacing/>
        <w:jc w:val="both"/>
        <w:rPr>
          <w:rFonts w:ascii="Arial" w:eastAsia="Times New Roman" w:hAnsi="Arial" w:cs="Arial"/>
          <w:sz w:val="24"/>
          <w:szCs w:val="24"/>
          <w:lang w:eastAsia="en-GB"/>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Alleging that</w:t>
      </w:r>
      <w:r w:rsidR="00496ACC" w:rsidRPr="000C3275">
        <w:rPr>
          <w:rFonts w:ascii="Arial" w:eastAsia="Times New Roman" w:hAnsi="Arial" w:cs="Arial"/>
          <w:sz w:val="24"/>
          <w:szCs w:val="24"/>
          <w:lang w:eastAsia="en-GB"/>
        </w:rPr>
        <w:t xml:space="preserve"> they only became aware of the petition j</w:t>
      </w:r>
      <w:r w:rsidRPr="000C3275">
        <w:rPr>
          <w:rFonts w:ascii="Arial" w:eastAsia="Times New Roman" w:hAnsi="Arial" w:cs="Arial"/>
          <w:sz w:val="24"/>
          <w:szCs w:val="24"/>
          <w:lang w:eastAsia="en-GB"/>
        </w:rPr>
        <w:t>udge’s involvement in the petition after the fact, the applicants brought the present proceedings in terms of Art. 81 of the Constitution</w:t>
      </w:r>
      <w:r w:rsidR="00335229">
        <w:rPr>
          <w:rFonts w:ascii="Arial" w:eastAsia="Times New Roman" w:hAnsi="Arial" w:cs="Arial"/>
          <w:sz w:val="24"/>
          <w:szCs w:val="24"/>
          <w:lang w:eastAsia="en-GB"/>
        </w:rPr>
        <w:t>.</w:t>
      </w:r>
      <w:r w:rsidR="00496ACC" w:rsidRPr="000C3275">
        <w:rPr>
          <w:rStyle w:val="FootnoteReference"/>
          <w:rFonts w:ascii="Arial" w:eastAsia="Times New Roman" w:hAnsi="Arial" w:cs="Arial"/>
          <w:sz w:val="24"/>
          <w:szCs w:val="24"/>
          <w:lang w:eastAsia="en-GB"/>
        </w:rPr>
        <w:footnoteReference w:id="10"/>
      </w:r>
      <w:r w:rsidRPr="000C3275">
        <w:rPr>
          <w:rFonts w:ascii="Arial" w:eastAsia="Times New Roman" w:hAnsi="Arial" w:cs="Arial"/>
          <w:sz w:val="24"/>
          <w:szCs w:val="24"/>
          <w:lang w:eastAsia="en-GB"/>
        </w:rPr>
        <w:t xml:space="preserve"> </w:t>
      </w:r>
      <w:r w:rsidR="00335229">
        <w:rPr>
          <w:rFonts w:ascii="Arial" w:eastAsia="Times New Roman" w:hAnsi="Arial" w:cs="Arial"/>
          <w:sz w:val="24"/>
          <w:szCs w:val="24"/>
          <w:lang w:eastAsia="en-GB"/>
        </w:rPr>
        <w:t>The applicants contended that the petition judge ought to have recused himself.</w:t>
      </w:r>
      <w:r w:rsidRPr="000C3275">
        <w:rPr>
          <w:rFonts w:ascii="Arial" w:eastAsia="Times New Roman" w:hAnsi="Arial" w:cs="Arial"/>
          <w:sz w:val="24"/>
          <w:szCs w:val="24"/>
          <w:lang w:eastAsia="en-GB"/>
        </w:rPr>
        <w:t xml:space="preserve"> </w:t>
      </w:r>
      <w:r w:rsidR="00335229">
        <w:rPr>
          <w:rFonts w:ascii="Arial" w:eastAsia="Times New Roman" w:hAnsi="Arial" w:cs="Arial"/>
          <w:sz w:val="24"/>
          <w:szCs w:val="24"/>
          <w:lang w:eastAsia="en-GB"/>
        </w:rPr>
        <w:t>The</w:t>
      </w:r>
      <w:r w:rsidR="000E56F5">
        <w:rPr>
          <w:rFonts w:ascii="Arial" w:eastAsia="Times New Roman" w:hAnsi="Arial" w:cs="Arial"/>
          <w:sz w:val="24"/>
          <w:szCs w:val="24"/>
          <w:lang w:eastAsia="en-GB"/>
        </w:rPr>
        <w:t>y</w:t>
      </w:r>
      <w:r w:rsidR="00335229">
        <w:rPr>
          <w:rFonts w:ascii="Arial" w:eastAsia="Times New Roman" w:hAnsi="Arial" w:cs="Arial"/>
          <w:sz w:val="24"/>
          <w:szCs w:val="24"/>
          <w:lang w:eastAsia="en-GB"/>
        </w:rPr>
        <w:t xml:space="preserve"> sought a </w:t>
      </w:r>
      <w:proofErr w:type="spellStart"/>
      <w:r w:rsidRPr="000C3275">
        <w:rPr>
          <w:rFonts w:ascii="Arial" w:eastAsia="Times New Roman" w:hAnsi="Arial" w:cs="Arial"/>
          <w:i/>
          <w:sz w:val="24"/>
          <w:szCs w:val="24"/>
          <w:lang w:eastAsia="en-GB"/>
        </w:rPr>
        <w:t>declarator</w:t>
      </w:r>
      <w:proofErr w:type="spellEnd"/>
      <w:r w:rsidRPr="000C3275">
        <w:rPr>
          <w:rFonts w:ascii="Arial" w:eastAsia="Times New Roman" w:hAnsi="Arial" w:cs="Arial"/>
          <w:sz w:val="24"/>
          <w:szCs w:val="24"/>
          <w:lang w:eastAsia="en-GB"/>
        </w:rPr>
        <w:t xml:space="preserve"> that</w:t>
      </w:r>
      <w:r w:rsidR="00004FC5" w:rsidRPr="000C3275">
        <w:rPr>
          <w:rFonts w:ascii="Arial" w:eastAsia="Times New Roman" w:hAnsi="Arial" w:cs="Arial"/>
          <w:sz w:val="24"/>
          <w:szCs w:val="24"/>
          <w:lang w:eastAsia="en-GB"/>
        </w:rPr>
        <w:t>,</w:t>
      </w:r>
      <w:r w:rsidRPr="000C3275">
        <w:rPr>
          <w:rFonts w:ascii="Arial" w:eastAsia="Times New Roman" w:hAnsi="Arial" w:cs="Arial"/>
          <w:sz w:val="24"/>
          <w:szCs w:val="24"/>
          <w:lang w:eastAsia="en-GB"/>
        </w:rPr>
        <w:t xml:space="preserve"> be</w:t>
      </w:r>
      <w:r w:rsidR="00004FC5" w:rsidRPr="000C3275">
        <w:rPr>
          <w:rFonts w:ascii="Arial" w:eastAsia="Times New Roman" w:hAnsi="Arial" w:cs="Arial"/>
          <w:sz w:val="24"/>
          <w:szCs w:val="24"/>
          <w:lang w:eastAsia="en-GB"/>
        </w:rPr>
        <w:t xml:space="preserve">cause of perceived bias on </w:t>
      </w:r>
      <w:r w:rsidR="00004FC5" w:rsidRPr="000C3275">
        <w:rPr>
          <w:rFonts w:ascii="Arial" w:eastAsia="Times New Roman" w:hAnsi="Arial" w:cs="Arial"/>
          <w:sz w:val="24"/>
          <w:szCs w:val="24"/>
          <w:lang w:eastAsia="en-GB"/>
        </w:rPr>
        <w:lastRenderedPageBreak/>
        <w:t>the p</w:t>
      </w:r>
      <w:r w:rsidRPr="000C3275">
        <w:rPr>
          <w:rFonts w:ascii="Arial" w:eastAsia="Times New Roman" w:hAnsi="Arial" w:cs="Arial"/>
          <w:sz w:val="24"/>
          <w:szCs w:val="24"/>
          <w:lang w:eastAsia="en-GB"/>
        </w:rPr>
        <w:t>etiti</w:t>
      </w:r>
      <w:r w:rsidR="00004FC5" w:rsidRPr="000C3275">
        <w:rPr>
          <w:rFonts w:ascii="Arial" w:eastAsia="Times New Roman" w:hAnsi="Arial" w:cs="Arial"/>
          <w:sz w:val="24"/>
          <w:szCs w:val="24"/>
          <w:lang w:eastAsia="en-GB"/>
        </w:rPr>
        <w:t>on j</w:t>
      </w:r>
      <w:r w:rsidRPr="000C3275">
        <w:rPr>
          <w:rFonts w:ascii="Arial" w:eastAsia="Times New Roman" w:hAnsi="Arial" w:cs="Arial"/>
          <w:sz w:val="24"/>
          <w:szCs w:val="24"/>
          <w:lang w:eastAsia="en-GB"/>
        </w:rPr>
        <w:t>udge’s part, the refusal of the petition is a nullity and that the full court should consider the petition afresh.</w:t>
      </w:r>
    </w:p>
    <w:p w:rsidR="005446C2" w:rsidRPr="000C3275" w:rsidRDefault="005446C2" w:rsidP="00A47FC7">
      <w:pPr>
        <w:pStyle w:val="ListParagraph"/>
        <w:spacing w:after="0" w:line="480" w:lineRule="auto"/>
        <w:rPr>
          <w:rFonts w:ascii="Arial" w:eastAsia="Times New Roman" w:hAnsi="Arial" w:cs="Arial"/>
          <w:sz w:val="24"/>
          <w:szCs w:val="24"/>
          <w:lang w:eastAsia="en-GB"/>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 xml:space="preserve">Since the applicants had already filed an </w:t>
      </w:r>
      <w:r w:rsidR="00E61A38" w:rsidRPr="000C3275">
        <w:rPr>
          <w:rFonts w:ascii="Arial" w:eastAsia="Times New Roman" w:hAnsi="Arial" w:cs="Arial"/>
          <w:sz w:val="24"/>
          <w:szCs w:val="24"/>
          <w:lang w:eastAsia="en-GB"/>
        </w:rPr>
        <w:t>application for the petition j</w:t>
      </w:r>
      <w:r w:rsidRPr="000C3275">
        <w:rPr>
          <w:rFonts w:ascii="Arial" w:eastAsia="Times New Roman" w:hAnsi="Arial" w:cs="Arial"/>
          <w:sz w:val="24"/>
          <w:szCs w:val="24"/>
          <w:lang w:eastAsia="en-GB"/>
        </w:rPr>
        <w:t>udge</w:t>
      </w:r>
      <w:r w:rsidR="005A241B">
        <w:rPr>
          <w:rFonts w:ascii="Arial" w:eastAsia="Times New Roman" w:hAnsi="Arial" w:cs="Arial"/>
          <w:sz w:val="24"/>
          <w:szCs w:val="24"/>
          <w:lang w:eastAsia="en-GB"/>
        </w:rPr>
        <w:t xml:space="preserve">’s </w:t>
      </w:r>
      <w:r w:rsidR="00F20CB9">
        <w:rPr>
          <w:rFonts w:ascii="Arial" w:eastAsia="Times New Roman" w:hAnsi="Arial" w:cs="Arial"/>
          <w:sz w:val="24"/>
          <w:szCs w:val="24"/>
          <w:lang w:eastAsia="en-GB"/>
        </w:rPr>
        <w:t xml:space="preserve">recusal </w:t>
      </w:r>
      <w:r w:rsidR="00F20CB9" w:rsidRPr="000C3275">
        <w:rPr>
          <w:rFonts w:ascii="Arial" w:eastAsia="Times New Roman" w:hAnsi="Arial" w:cs="Arial"/>
          <w:sz w:val="24"/>
          <w:szCs w:val="24"/>
          <w:lang w:eastAsia="en-GB"/>
        </w:rPr>
        <w:t>and</w:t>
      </w:r>
      <w:r w:rsidRPr="000C3275">
        <w:rPr>
          <w:rFonts w:ascii="Arial" w:eastAsia="Times New Roman" w:hAnsi="Arial" w:cs="Arial"/>
          <w:sz w:val="24"/>
          <w:szCs w:val="24"/>
          <w:lang w:eastAsia="en-GB"/>
        </w:rPr>
        <w:t xml:space="preserve"> for reconsideration of the petition, the court issued directions to the parties in the following terms:</w:t>
      </w:r>
    </w:p>
    <w:p w:rsidR="005446C2" w:rsidRPr="000C3275" w:rsidRDefault="005446C2" w:rsidP="008C06C9">
      <w:pPr>
        <w:pStyle w:val="ListParagraph"/>
        <w:spacing w:after="0" w:line="480" w:lineRule="auto"/>
        <w:rPr>
          <w:rFonts w:ascii="Arial" w:hAnsi="Arial" w:cs="Arial"/>
          <w:sz w:val="24"/>
          <w:szCs w:val="24"/>
        </w:rPr>
      </w:pPr>
    </w:p>
    <w:p w:rsidR="005446C2" w:rsidRPr="000C3275" w:rsidRDefault="005446C2" w:rsidP="00A47FC7">
      <w:pPr>
        <w:kinsoku w:val="0"/>
        <w:overflowPunct w:val="0"/>
        <w:spacing w:after="0" w:line="360" w:lineRule="auto"/>
        <w:ind w:left="1134"/>
        <w:jc w:val="both"/>
        <w:textAlignment w:val="baseline"/>
        <w:rPr>
          <w:rFonts w:ascii="Arial" w:hAnsi="Arial" w:cs="Arial"/>
        </w:rPr>
      </w:pPr>
      <w:r w:rsidRPr="000C3275">
        <w:rPr>
          <w:rFonts w:ascii="Arial" w:hAnsi="Arial" w:cs="Arial"/>
        </w:rPr>
        <w:t xml:space="preserve">‘Oral argument will be heard on </w:t>
      </w:r>
      <w:r w:rsidRPr="000C3275">
        <w:rPr>
          <w:rFonts w:ascii="Arial" w:hAnsi="Arial" w:cs="Arial"/>
          <w:bCs/>
        </w:rPr>
        <w:t xml:space="preserve">26 March 2019 </w:t>
      </w:r>
      <w:r w:rsidR="008D3D48">
        <w:rPr>
          <w:rFonts w:ascii="Arial" w:hAnsi="Arial" w:cs="Arial"/>
        </w:rPr>
        <w:t xml:space="preserve">. . . </w:t>
      </w:r>
      <w:r w:rsidRPr="000C3275">
        <w:rPr>
          <w:rFonts w:ascii="Arial" w:hAnsi="Arial" w:cs="Arial"/>
        </w:rPr>
        <w:t>on the question:</w:t>
      </w:r>
    </w:p>
    <w:p w:rsidR="005446C2" w:rsidRPr="000C3275" w:rsidRDefault="005446C2" w:rsidP="00A47FC7">
      <w:pPr>
        <w:kinsoku w:val="0"/>
        <w:overflowPunct w:val="0"/>
        <w:spacing w:after="0" w:line="360" w:lineRule="auto"/>
        <w:ind w:left="1134"/>
        <w:jc w:val="both"/>
        <w:textAlignment w:val="baseline"/>
        <w:rPr>
          <w:rFonts w:ascii="Arial" w:hAnsi="Arial" w:cs="Arial"/>
        </w:rPr>
      </w:pPr>
    </w:p>
    <w:p w:rsidR="005446C2" w:rsidRPr="000C3275" w:rsidRDefault="005446C2" w:rsidP="00A47FC7">
      <w:pPr>
        <w:kinsoku w:val="0"/>
        <w:overflowPunct w:val="0"/>
        <w:spacing w:after="0" w:line="360" w:lineRule="auto"/>
        <w:ind w:left="1134"/>
        <w:jc w:val="both"/>
        <w:textAlignment w:val="baseline"/>
        <w:rPr>
          <w:rFonts w:ascii="Arial" w:hAnsi="Arial" w:cs="Arial"/>
          <w:bCs/>
        </w:rPr>
      </w:pPr>
      <w:r w:rsidRPr="000C3275">
        <w:rPr>
          <w:rFonts w:ascii="Arial" w:hAnsi="Arial" w:cs="Arial"/>
        </w:rPr>
        <w:t xml:space="preserve">Whether Frank AJA's refusal of the petition in the above matter is a nullity due to an alleged association with parties to the litigation raising a reasonable apprehension of bias, based on the allegations made by the Minister of Finance in his application filed of record on </w:t>
      </w:r>
      <w:r w:rsidRPr="000C3275">
        <w:rPr>
          <w:rFonts w:ascii="Arial" w:hAnsi="Arial" w:cs="Arial"/>
          <w:bCs/>
        </w:rPr>
        <w:t>7 February 2019.</w:t>
      </w:r>
    </w:p>
    <w:p w:rsidR="005446C2" w:rsidRPr="000C3275" w:rsidRDefault="005446C2" w:rsidP="00A47FC7">
      <w:pPr>
        <w:kinsoku w:val="0"/>
        <w:overflowPunct w:val="0"/>
        <w:spacing w:after="0" w:line="360" w:lineRule="auto"/>
        <w:ind w:left="567"/>
        <w:jc w:val="both"/>
        <w:textAlignment w:val="baseline"/>
        <w:rPr>
          <w:rFonts w:ascii="Arial" w:hAnsi="Arial" w:cs="Arial"/>
          <w:b/>
          <w:bCs/>
        </w:rPr>
      </w:pPr>
    </w:p>
    <w:p w:rsidR="005446C2" w:rsidRPr="000C3275" w:rsidRDefault="005446C2" w:rsidP="00A47FC7">
      <w:pPr>
        <w:widowControl w:val="0"/>
        <w:numPr>
          <w:ilvl w:val="0"/>
          <w:numId w:val="2"/>
        </w:numPr>
        <w:tabs>
          <w:tab w:val="clear" w:pos="1224"/>
          <w:tab w:val="num" w:pos="1701"/>
        </w:tabs>
        <w:kinsoku w:val="0"/>
        <w:overflowPunct w:val="0"/>
        <w:spacing w:after="0" w:line="360" w:lineRule="auto"/>
        <w:ind w:left="1134" w:firstLine="0"/>
        <w:jc w:val="both"/>
        <w:textAlignment w:val="baseline"/>
        <w:rPr>
          <w:rFonts w:ascii="Arial" w:hAnsi="Arial" w:cs="Arial"/>
        </w:rPr>
      </w:pPr>
      <w:r w:rsidRPr="000C3275">
        <w:rPr>
          <w:rFonts w:ascii="Arial" w:hAnsi="Arial" w:cs="Arial"/>
        </w:rPr>
        <w:t>If the full Court disagrees with the imputation of bias, the refusal of the petition stands.</w:t>
      </w:r>
    </w:p>
    <w:p w:rsidR="005446C2" w:rsidRPr="000C3275" w:rsidRDefault="005446C2" w:rsidP="00A47FC7">
      <w:pPr>
        <w:widowControl w:val="0"/>
        <w:tabs>
          <w:tab w:val="num" w:pos="567"/>
          <w:tab w:val="num" w:pos="1701"/>
        </w:tabs>
        <w:kinsoku w:val="0"/>
        <w:overflowPunct w:val="0"/>
        <w:spacing w:after="0" w:line="360" w:lineRule="auto"/>
        <w:ind w:left="1134"/>
        <w:jc w:val="both"/>
        <w:textAlignment w:val="baseline"/>
        <w:rPr>
          <w:rFonts w:ascii="Arial" w:hAnsi="Arial" w:cs="Arial"/>
        </w:rPr>
      </w:pPr>
    </w:p>
    <w:p w:rsidR="005446C2" w:rsidRPr="000C3275" w:rsidRDefault="005446C2" w:rsidP="00A47FC7">
      <w:pPr>
        <w:widowControl w:val="0"/>
        <w:numPr>
          <w:ilvl w:val="0"/>
          <w:numId w:val="2"/>
        </w:numPr>
        <w:tabs>
          <w:tab w:val="clear" w:pos="1224"/>
          <w:tab w:val="num" w:pos="1701"/>
        </w:tabs>
        <w:kinsoku w:val="0"/>
        <w:overflowPunct w:val="0"/>
        <w:spacing w:after="0" w:line="360" w:lineRule="auto"/>
        <w:ind w:left="1134" w:firstLine="0"/>
        <w:jc w:val="both"/>
        <w:textAlignment w:val="baseline"/>
        <w:rPr>
          <w:rFonts w:ascii="Arial" w:hAnsi="Arial" w:cs="Arial"/>
        </w:rPr>
      </w:pPr>
      <w:r w:rsidRPr="000C3275">
        <w:rPr>
          <w:rFonts w:ascii="Arial" w:hAnsi="Arial" w:cs="Arial"/>
        </w:rPr>
        <w:t>If the full Court sustains the allegations of bias, the Court will proceed to consider whether or not leave should be granted on the same papers that served before Frank AJA.</w:t>
      </w:r>
    </w:p>
    <w:p w:rsidR="005446C2" w:rsidRPr="000C3275" w:rsidRDefault="005446C2" w:rsidP="00A47FC7">
      <w:pPr>
        <w:widowControl w:val="0"/>
        <w:kinsoku w:val="0"/>
        <w:overflowPunct w:val="0"/>
        <w:spacing w:after="0" w:line="360" w:lineRule="auto"/>
        <w:ind w:left="567"/>
        <w:jc w:val="both"/>
        <w:textAlignment w:val="baseline"/>
        <w:rPr>
          <w:rFonts w:ascii="Arial" w:hAnsi="Arial" w:cs="Arial"/>
        </w:rPr>
      </w:pPr>
    </w:p>
    <w:p w:rsidR="005446C2" w:rsidRPr="000C3275" w:rsidRDefault="005446C2" w:rsidP="00A47FC7">
      <w:pPr>
        <w:kinsoku w:val="0"/>
        <w:overflowPunct w:val="0"/>
        <w:spacing w:after="0" w:line="360" w:lineRule="auto"/>
        <w:ind w:left="1134"/>
        <w:jc w:val="both"/>
        <w:textAlignment w:val="baseline"/>
        <w:rPr>
          <w:rFonts w:ascii="Arial" w:hAnsi="Arial" w:cs="Arial"/>
        </w:rPr>
      </w:pPr>
      <w:r w:rsidRPr="000C3275">
        <w:rPr>
          <w:rFonts w:ascii="Arial" w:hAnsi="Arial" w:cs="Arial"/>
        </w:rPr>
        <w:t>In view of (b), the parties are required to argue both the question of alleged bias and whether or not leave should be granted on the 26</w:t>
      </w:r>
      <w:r w:rsidRPr="000C3275">
        <w:rPr>
          <w:rFonts w:ascii="Arial" w:hAnsi="Arial" w:cs="Arial"/>
          <w:vertAlign w:val="superscript"/>
        </w:rPr>
        <w:t>th</w:t>
      </w:r>
      <w:r w:rsidRPr="000C3275">
        <w:rPr>
          <w:rFonts w:ascii="Arial" w:hAnsi="Arial" w:cs="Arial"/>
        </w:rPr>
        <w:t xml:space="preserve"> of March 2019.</w:t>
      </w:r>
    </w:p>
    <w:p w:rsidR="005446C2" w:rsidRPr="000C3275" w:rsidRDefault="005446C2" w:rsidP="00A47FC7">
      <w:pPr>
        <w:kinsoku w:val="0"/>
        <w:overflowPunct w:val="0"/>
        <w:spacing w:after="0" w:line="360" w:lineRule="auto"/>
        <w:ind w:left="1134"/>
        <w:jc w:val="both"/>
        <w:textAlignment w:val="baseline"/>
        <w:rPr>
          <w:rFonts w:ascii="Arial" w:hAnsi="Arial" w:cs="Arial"/>
          <w:bCs/>
        </w:rPr>
      </w:pPr>
      <w:r w:rsidRPr="000C3275">
        <w:rPr>
          <w:rFonts w:ascii="Arial" w:hAnsi="Arial" w:cs="Arial"/>
        </w:rPr>
        <w:t xml:space="preserve">A party wishing to file any affidavit in opposition to the Minister's application filed of record must do so on or before 7 </w:t>
      </w:r>
      <w:r w:rsidRPr="000C3275">
        <w:rPr>
          <w:rFonts w:ascii="Arial" w:hAnsi="Arial" w:cs="Arial"/>
          <w:bCs/>
        </w:rPr>
        <w:t>March 2019.</w:t>
      </w:r>
    </w:p>
    <w:p w:rsidR="005446C2" w:rsidRPr="000C3275" w:rsidRDefault="005446C2" w:rsidP="00A47FC7">
      <w:pPr>
        <w:kinsoku w:val="0"/>
        <w:overflowPunct w:val="0"/>
        <w:spacing w:after="0" w:line="360" w:lineRule="auto"/>
        <w:ind w:left="1134"/>
        <w:jc w:val="both"/>
        <w:textAlignment w:val="baseline"/>
        <w:rPr>
          <w:rFonts w:ascii="Arial" w:hAnsi="Arial" w:cs="Arial"/>
          <w:b/>
          <w:bCs/>
        </w:rPr>
      </w:pPr>
    </w:p>
    <w:p w:rsidR="005446C2" w:rsidRPr="000C3275" w:rsidRDefault="005446C2" w:rsidP="00A47FC7">
      <w:pPr>
        <w:kinsoku w:val="0"/>
        <w:overflowPunct w:val="0"/>
        <w:spacing w:after="0" w:line="360" w:lineRule="auto"/>
        <w:ind w:left="1134"/>
        <w:jc w:val="both"/>
        <w:textAlignment w:val="baseline"/>
        <w:rPr>
          <w:rFonts w:ascii="Arial" w:hAnsi="Arial" w:cs="Arial"/>
        </w:rPr>
      </w:pPr>
      <w:r w:rsidRPr="000C3275">
        <w:rPr>
          <w:rFonts w:ascii="Arial" w:hAnsi="Arial" w:cs="Arial"/>
        </w:rPr>
        <w:t xml:space="preserve">Heads of argument must be filed by the Minister on </w:t>
      </w:r>
      <w:r w:rsidRPr="000C3275">
        <w:rPr>
          <w:rFonts w:ascii="Arial" w:hAnsi="Arial" w:cs="Arial"/>
          <w:bCs/>
        </w:rPr>
        <w:t xml:space="preserve">11 March 2019 </w:t>
      </w:r>
      <w:r w:rsidRPr="000C3275">
        <w:rPr>
          <w:rFonts w:ascii="Arial" w:hAnsi="Arial" w:cs="Arial"/>
        </w:rPr>
        <w:t xml:space="preserve">and by the other parties on </w:t>
      </w:r>
      <w:r w:rsidRPr="000C3275">
        <w:rPr>
          <w:rFonts w:ascii="Arial" w:hAnsi="Arial" w:cs="Arial"/>
          <w:bCs/>
        </w:rPr>
        <w:t>15 March 2019</w:t>
      </w:r>
      <w:r w:rsidRPr="000C3275">
        <w:rPr>
          <w:rFonts w:ascii="Arial" w:hAnsi="Arial" w:cs="Arial"/>
          <w:b/>
          <w:bCs/>
        </w:rPr>
        <w:t xml:space="preserve">.  </w:t>
      </w:r>
      <w:r w:rsidRPr="000C3275">
        <w:rPr>
          <w:rFonts w:ascii="Arial" w:hAnsi="Arial" w:cs="Arial"/>
        </w:rPr>
        <w:t>Heads of argument must comply strictly with the relevant rules of Court.</w:t>
      </w:r>
    </w:p>
    <w:p w:rsidR="005446C2" w:rsidRPr="000C3275" w:rsidRDefault="005446C2" w:rsidP="00A47FC7">
      <w:pPr>
        <w:kinsoku w:val="0"/>
        <w:overflowPunct w:val="0"/>
        <w:spacing w:after="0" w:line="360" w:lineRule="auto"/>
        <w:ind w:left="1134"/>
        <w:jc w:val="both"/>
        <w:textAlignment w:val="baseline"/>
        <w:rPr>
          <w:rFonts w:ascii="Arial" w:hAnsi="Arial" w:cs="Arial"/>
        </w:rPr>
      </w:pPr>
    </w:p>
    <w:p w:rsidR="005446C2" w:rsidRPr="000C3275" w:rsidRDefault="005446C2" w:rsidP="00A47FC7">
      <w:pPr>
        <w:kinsoku w:val="0"/>
        <w:overflowPunct w:val="0"/>
        <w:spacing w:after="0" w:line="360" w:lineRule="auto"/>
        <w:ind w:left="1134"/>
        <w:jc w:val="both"/>
        <w:textAlignment w:val="baseline"/>
        <w:rPr>
          <w:rFonts w:ascii="Arial" w:hAnsi="Arial" w:cs="Arial"/>
        </w:rPr>
      </w:pPr>
      <w:r w:rsidRPr="000C3275">
        <w:rPr>
          <w:rFonts w:ascii="Arial" w:hAnsi="Arial" w:cs="Arial"/>
        </w:rPr>
        <w:t xml:space="preserve">In view of the personal nature of the allegations concerning Frank AJA, this direction and the Minister's application will be presented to Frank AJA to make </w:t>
      </w:r>
      <w:r w:rsidRPr="000C3275">
        <w:rPr>
          <w:rFonts w:ascii="Arial" w:hAnsi="Arial" w:cs="Arial"/>
        </w:rPr>
        <w:lastRenderedPageBreak/>
        <w:t>whatever comment he finds necessary, for the attention of the Deputy Chief Justice. Such comment, if any, will be shared by the Registrar with the parties.’</w:t>
      </w:r>
    </w:p>
    <w:p w:rsidR="00FA7B03" w:rsidRPr="000C3275" w:rsidRDefault="00FA7B03" w:rsidP="00A47FC7">
      <w:pPr>
        <w:kinsoku w:val="0"/>
        <w:overflowPunct w:val="0"/>
        <w:spacing w:after="0" w:line="480" w:lineRule="auto"/>
        <w:ind w:left="567"/>
        <w:jc w:val="both"/>
        <w:textAlignment w:val="baseline"/>
        <w:rPr>
          <w:rFonts w:ascii="Arial" w:eastAsia="Times New Roman" w:hAnsi="Arial" w:cs="Arial"/>
          <w:sz w:val="24"/>
          <w:szCs w:val="24"/>
          <w:lang w:eastAsia="en-GB"/>
        </w:rPr>
      </w:pPr>
    </w:p>
    <w:p w:rsidR="005446C2" w:rsidRPr="000C3275" w:rsidRDefault="005446C2" w:rsidP="008C06C9">
      <w:pPr>
        <w:spacing w:after="0" w:line="480" w:lineRule="auto"/>
        <w:jc w:val="both"/>
        <w:rPr>
          <w:rFonts w:ascii="Arial" w:hAnsi="Arial" w:cs="Arial"/>
          <w:sz w:val="24"/>
          <w:szCs w:val="24"/>
        </w:rPr>
      </w:pPr>
      <w:r w:rsidRPr="000C3275">
        <w:rPr>
          <w:rFonts w:ascii="Arial" w:hAnsi="Arial" w:cs="Arial"/>
          <w:sz w:val="24"/>
          <w:szCs w:val="24"/>
          <w:u w:val="single"/>
        </w:rPr>
        <w:t>Scope of the application</w:t>
      </w: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The application now before </w:t>
      </w:r>
      <w:r w:rsidR="0035411E">
        <w:rPr>
          <w:rFonts w:ascii="Arial" w:hAnsi="Arial" w:cs="Arial"/>
          <w:sz w:val="24"/>
          <w:szCs w:val="24"/>
        </w:rPr>
        <w:t>this</w:t>
      </w:r>
      <w:r w:rsidRPr="000C3275">
        <w:rPr>
          <w:rFonts w:ascii="Arial" w:hAnsi="Arial" w:cs="Arial"/>
          <w:sz w:val="24"/>
          <w:szCs w:val="24"/>
        </w:rPr>
        <w:t xml:space="preserve"> Court is in two parts: First, to have the </w:t>
      </w:r>
      <w:r w:rsidR="003F3EB9" w:rsidRPr="000C3275">
        <w:rPr>
          <w:rFonts w:ascii="Arial" w:hAnsi="Arial" w:cs="Arial"/>
          <w:sz w:val="24"/>
          <w:szCs w:val="24"/>
        </w:rPr>
        <w:t>refusal of the petition by the petition j</w:t>
      </w:r>
      <w:r w:rsidRPr="000C3275">
        <w:rPr>
          <w:rFonts w:ascii="Arial" w:hAnsi="Arial" w:cs="Arial"/>
          <w:sz w:val="24"/>
          <w:szCs w:val="24"/>
        </w:rPr>
        <w:t>udge declared a nullity and, secondly, for th</w:t>
      </w:r>
      <w:r w:rsidR="00AB0D02" w:rsidRPr="000C3275">
        <w:rPr>
          <w:rFonts w:ascii="Arial" w:hAnsi="Arial" w:cs="Arial"/>
          <w:sz w:val="24"/>
          <w:szCs w:val="24"/>
        </w:rPr>
        <w:t xml:space="preserve">e full court </w:t>
      </w:r>
      <w:r w:rsidR="0081096B" w:rsidRPr="000C3275">
        <w:rPr>
          <w:rFonts w:ascii="Arial" w:hAnsi="Arial" w:cs="Arial"/>
          <w:sz w:val="24"/>
          <w:szCs w:val="24"/>
        </w:rPr>
        <w:t xml:space="preserve">to </w:t>
      </w:r>
      <w:r w:rsidR="00AB0D02" w:rsidRPr="000C3275">
        <w:rPr>
          <w:rFonts w:ascii="Arial" w:hAnsi="Arial" w:cs="Arial"/>
          <w:sz w:val="24"/>
          <w:szCs w:val="24"/>
        </w:rPr>
        <w:t>consider afresh and</w:t>
      </w:r>
      <w:r w:rsidRPr="000C3275">
        <w:rPr>
          <w:rFonts w:ascii="Arial" w:hAnsi="Arial" w:cs="Arial"/>
          <w:sz w:val="24"/>
          <w:szCs w:val="24"/>
        </w:rPr>
        <w:t xml:space="preserve"> grant leave to appeal against the order of stay. </w:t>
      </w:r>
    </w:p>
    <w:p w:rsidR="008232D8" w:rsidRPr="000C3275" w:rsidRDefault="008232D8" w:rsidP="008232D8">
      <w:pPr>
        <w:tabs>
          <w:tab w:val="left" w:pos="851"/>
        </w:tabs>
        <w:spacing w:after="0" w:line="480" w:lineRule="auto"/>
        <w:contextualSpacing/>
        <w:jc w:val="both"/>
        <w:rPr>
          <w:rFonts w:ascii="Arial" w:hAnsi="Arial" w:cs="Arial"/>
          <w:sz w:val="24"/>
          <w:szCs w:val="24"/>
          <w:lang w:val="en-GB"/>
        </w:rPr>
      </w:pPr>
    </w:p>
    <w:p w:rsidR="005446C2" w:rsidRPr="000C3275" w:rsidRDefault="005446C2" w:rsidP="008C06C9">
      <w:pPr>
        <w:pStyle w:val="ListParagraph"/>
        <w:spacing w:after="0" w:line="480" w:lineRule="auto"/>
        <w:ind w:left="0"/>
        <w:jc w:val="both"/>
        <w:rPr>
          <w:rFonts w:ascii="Arial" w:hAnsi="Arial" w:cs="Arial"/>
          <w:sz w:val="24"/>
          <w:szCs w:val="24"/>
          <w:u w:val="single"/>
        </w:rPr>
      </w:pPr>
      <w:r w:rsidRPr="000C3275">
        <w:rPr>
          <w:rFonts w:ascii="Arial" w:hAnsi="Arial" w:cs="Arial"/>
          <w:sz w:val="24"/>
          <w:szCs w:val="24"/>
          <w:u w:val="single"/>
        </w:rPr>
        <w:t xml:space="preserve">The issues </w:t>
      </w: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The two issues that call for decision </w:t>
      </w:r>
      <w:r w:rsidR="003F3EB9" w:rsidRPr="000C3275">
        <w:rPr>
          <w:rFonts w:ascii="Arial" w:hAnsi="Arial" w:cs="Arial"/>
          <w:sz w:val="24"/>
          <w:szCs w:val="24"/>
        </w:rPr>
        <w:t>are</w:t>
      </w:r>
      <w:r w:rsidR="000F0290">
        <w:rPr>
          <w:rFonts w:ascii="Arial" w:hAnsi="Arial" w:cs="Arial"/>
          <w:sz w:val="24"/>
          <w:szCs w:val="24"/>
        </w:rPr>
        <w:t>,</w:t>
      </w:r>
      <w:r w:rsidR="003F3EB9" w:rsidRPr="000C3275">
        <w:rPr>
          <w:rFonts w:ascii="Arial" w:hAnsi="Arial" w:cs="Arial"/>
          <w:sz w:val="24"/>
          <w:szCs w:val="24"/>
        </w:rPr>
        <w:t xml:space="preserve"> whether the petition j</w:t>
      </w:r>
      <w:r w:rsidR="00AB0D02" w:rsidRPr="000C3275">
        <w:rPr>
          <w:rFonts w:ascii="Arial" w:hAnsi="Arial" w:cs="Arial"/>
          <w:sz w:val="24"/>
          <w:szCs w:val="24"/>
        </w:rPr>
        <w:t>udge was conflicted</w:t>
      </w:r>
      <w:r w:rsidRPr="000C3275">
        <w:rPr>
          <w:rFonts w:ascii="Arial" w:hAnsi="Arial" w:cs="Arial"/>
          <w:sz w:val="24"/>
          <w:szCs w:val="24"/>
        </w:rPr>
        <w:t xml:space="preserve"> </w:t>
      </w:r>
      <w:r w:rsidR="0035411E">
        <w:rPr>
          <w:rFonts w:ascii="Arial" w:hAnsi="Arial" w:cs="Arial"/>
          <w:sz w:val="24"/>
          <w:szCs w:val="24"/>
        </w:rPr>
        <w:t xml:space="preserve">thus </w:t>
      </w:r>
      <w:r w:rsidRPr="000C3275">
        <w:rPr>
          <w:rFonts w:ascii="Arial" w:hAnsi="Arial" w:cs="Arial"/>
          <w:sz w:val="24"/>
          <w:szCs w:val="24"/>
        </w:rPr>
        <w:t xml:space="preserve">rendering the refusal of the petition a nullity, and if he was, whether leave should be granted in respect of the order of stay. </w:t>
      </w:r>
    </w:p>
    <w:p w:rsidR="005446C2" w:rsidRPr="000C3275" w:rsidRDefault="005446C2" w:rsidP="00A47FC7">
      <w:pPr>
        <w:tabs>
          <w:tab w:val="left" w:pos="851"/>
        </w:tabs>
        <w:spacing w:after="0" w:line="480" w:lineRule="auto"/>
        <w:contextualSpacing/>
        <w:jc w:val="both"/>
        <w:rPr>
          <w:rFonts w:ascii="Arial" w:hAnsi="Arial" w:cs="Arial"/>
          <w:sz w:val="24"/>
          <w:szCs w:val="24"/>
          <w:lang w:val="en-GB"/>
        </w:rPr>
      </w:pPr>
    </w:p>
    <w:p w:rsidR="003F3EB9" w:rsidRPr="000C3275" w:rsidRDefault="00335229" w:rsidP="003F3EB9">
      <w:pPr>
        <w:numPr>
          <w:ilvl w:val="0"/>
          <w:numId w:val="4"/>
        </w:numPr>
        <w:tabs>
          <w:tab w:val="left" w:pos="851"/>
        </w:tabs>
        <w:spacing w:after="0" w:line="480" w:lineRule="auto"/>
        <w:ind w:left="0" w:hanging="11"/>
        <w:contextualSpacing/>
        <w:jc w:val="both"/>
        <w:rPr>
          <w:rFonts w:ascii="Arial" w:hAnsi="Arial" w:cs="Arial"/>
          <w:sz w:val="24"/>
          <w:szCs w:val="24"/>
          <w:lang w:val="en-GB"/>
        </w:rPr>
      </w:pPr>
      <w:r>
        <w:rPr>
          <w:rFonts w:ascii="Arial" w:hAnsi="Arial" w:cs="Arial"/>
          <w:sz w:val="24"/>
          <w:szCs w:val="24"/>
        </w:rPr>
        <w:t>The test i</w:t>
      </w:r>
      <w:r w:rsidR="00A90E41" w:rsidRPr="000C3275">
        <w:rPr>
          <w:rFonts w:ascii="Arial" w:hAnsi="Arial" w:cs="Arial"/>
          <w:sz w:val="24"/>
          <w:szCs w:val="24"/>
        </w:rPr>
        <w:t>n an application for recusal of a judicial o</w:t>
      </w:r>
      <w:r>
        <w:rPr>
          <w:rFonts w:ascii="Arial" w:hAnsi="Arial" w:cs="Arial"/>
          <w:sz w:val="24"/>
          <w:szCs w:val="24"/>
        </w:rPr>
        <w:t xml:space="preserve">fficer based on perceived bias </w:t>
      </w:r>
      <w:r w:rsidR="00A90E41" w:rsidRPr="000C3275">
        <w:rPr>
          <w:rFonts w:ascii="Arial" w:hAnsi="Arial" w:cs="Arial"/>
          <w:sz w:val="24"/>
          <w:szCs w:val="24"/>
        </w:rPr>
        <w:t>is whether a reasonable, objective and informed person would, on the correct facts, reasonably apprehend that the judge would</w:t>
      </w:r>
      <w:r w:rsidR="0081096B" w:rsidRPr="000C3275">
        <w:rPr>
          <w:rFonts w:ascii="Arial" w:hAnsi="Arial" w:cs="Arial"/>
          <w:sz w:val="24"/>
          <w:szCs w:val="24"/>
        </w:rPr>
        <w:t xml:space="preserve"> not be impartial. The test is </w:t>
      </w:r>
      <w:r w:rsidR="00A90E41" w:rsidRPr="000C3275">
        <w:rPr>
          <w:rFonts w:ascii="Arial" w:hAnsi="Arial" w:cs="Arial"/>
          <w:sz w:val="24"/>
          <w:szCs w:val="24"/>
        </w:rPr>
        <w:t>objective and the onus of establishing it rests upon the applicant.</w:t>
      </w:r>
      <w:r w:rsidR="00A90E41" w:rsidRPr="000C3275">
        <w:rPr>
          <w:rStyle w:val="FootnoteReference"/>
          <w:rFonts w:ascii="Arial" w:hAnsi="Arial" w:cs="Arial"/>
          <w:sz w:val="24"/>
          <w:szCs w:val="24"/>
        </w:rPr>
        <w:footnoteReference w:id="11"/>
      </w:r>
      <w:r w:rsidR="00A90E41" w:rsidRPr="000C3275">
        <w:rPr>
          <w:rFonts w:ascii="Arial" w:hAnsi="Arial" w:cs="Arial"/>
          <w:sz w:val="24"/>
          <w:szCs w:val="24"/>
        </w:rPr>
        <w:t xml:space="preserve"> </w:t>
      </w:r>
    </w:p>
    <w:p w:rsidR="003F3EB9" w:rsidRPr="000C3275" w:rsidRDefault="003F3EB9" w:rsidP="00A47FC7">
      <w:pPr>
        <w:pStyle w:val="ListParagraph"/>
        <w:spacing w:after="0" w:line="480" w:lineRule="auto"/>
        <w:rPr>
          <w:rFonts w:ascii="Arial" w:hAnsi="Arial" w:cs="Arial"/>
          <w:sz w:val="24"/>
          <w:szCs w:val="24"/>
        </w:rPr>
      </w:pPr>
    </w:p>
    <w:p w:rsidR="005446C2" w:rsidRPr="000C3275" w:rsidRDefault="00A90E41" w:rsidP="003F3EB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The departure point is that a judicial officer is presumed to be impartial in adjudicating disputes and th</w:t>
      </w:r>
      <w:r w:rsidR="003F3EB9" w:rsidRPr="000C3275">
        <w:rPr>
          <w:rFonts w:ascii="Arial" w:hAnsi="Arial" w:cs="Arial"/>
          <w:sz w:val="24"/>
          <w:szCs w:val="24"/>
        </w:rPr>
        <w:t xml:space="preserve">at </w:t>
      </w:r>
      <w:r w:rsidRPr="000C3275">
        <w:rPr>
          <w:rFonts w:ascii="Arial" w:hAnsi="Arial" w:cs="Arial"/>
          <w:sz w:val="24"/>
          <w:szCs w:val="24"/>
        </w:rPr>
        <w:t xml:space="preserve">presumption is not easily dislodged. A mere apprehension of bias is </w:t>
      </w:r>
      <w:r w:rsidR="003F3EB9" w:rsidRPr="000C3275">
        <w:rPr>
          <w:rFonts w:ascii="Arial" w:hAnsi="Arial" w:cs="Arial"/>
          <w:sz w:val="24"/>
          <w:szCs w:val="24"/>
        </w:rPr>
        <w:t xml:space="preserve">therefore </w:t>
      </w:r>
      <w:r w:rsidRPr="000C3275">
        <w:rPr>
          <w:rFonts w:ascii="Arial" w:hAnsi="Arial" w:cs="Arial"/>
          <w:sz w:val="24"/>
          <w:szCs w:val="24"/>
        </w:rPr>
        <w:t>not sufficient to rebut the presumption. (</w:t>
      </w:r>
      <w:r w:rsidRPr="000C3275">
        <w:rPr>
          <w:rFonts w:ascii="Arial" w:hAnsi="Arial" w:cs="Arial"/>
          <w:i/>
          <w:sz w:val="24"/>
          <w:szCs w:val="24"/>
        </w:rPr>
        <w:t>S v SSH</w:t>
      </w:r>
      <w:r w:rsidRPr="000C3275">
        <w:rPr>
          <w:rFonts w:ascii="Arial" w:hAnsi="Arial" w:cs="Arial"/>
          <w:sz w:val="24"/>
          <w:szCs w:val="24"/>
        </w:rPr>
        <w:t xml:space="preserve"> 2017 (3) NR 871</w:t>
      </w:r>
      <w:r w:rsidR="008D3D48">
        <w:rPr>
          <w:rFonts w:ascii="Arial" w:hAnsi="Arial" w:cs="Arial"/>
          <w:sz w:val="24"/>
          <w:szCs w:val="24"/>
        </w:rPr>
        <w:t xml:space="preserve"> (SC) </w:t>
      </w:r>
      <w:r w:rsidRPr="000C3275">
        <w:rPr>
          <w:rFonts w:ascii="Arial" w:hAnsi="Arial" w:cs="Arial"/>
          <w:sz w:val="24"/>
          <w:szCs w:val="24"/>
        </w:rPr>
        <w:t>at 878A-F;</w:t>
      </w:r>
      <w:r w:rsidRPr="000C3275">
        <w:rPr>
          <w:rFonts w:ascii="Arial" w:hAnsi="Arial" w:cs="Arial"/>
          <w:i/>
          <w:sz w:val="24"/>
          <w:szCs w:val="24"/>
        </w:rPr>
        <w:t xml:space="preserve"> SARFU </w:t>
      </w:r>
      <w:r w:rsidRPr="000C3275">
        <w:rPr>
          <w:rFonts w:ascii="Arial" w:hAnsi="Arial" w:cs="Arial"/>
          <w:sz w:val="24"/>
          <w:szCs w:val="24"/>
        </w:rPr>
        <w:t xml:space="preserve">at 175; </w:t>
      </w:r>
      <w:r w:rsidRPr="000C3275">
        <w:rPr>
          <w:rFonts w:ascii="Arial" w:hAnsi="Arial" w:cs="Arial"/>
          <w:i/>
          <w:sz w:val="24"/>
          <w:szCs w:val="24"/>
        </w:rPr>
        <w:t xml:space="preserve">S v </w:t>
      </w:r>
      <w:proofErr w:type="spellStart"/>
      <w:r w:rsidRPr="000C3275">
        <w:rPr>
          <w:rFonts w:ascii="Arial" w:hAnsi="Arial" w:cs="Arial"/>
          <w:i/>
          <w:sz w:val="24"/>
          <w:szCs w:val="24"/>
        </w:rPr>
        <w:t>Lameck</w:t>
      </w:r>
      <w:proofErr w:type="spellEnd"/>
      <w:r w:rsidR="00AB0D02" w:rsidRPr="000C3275">
        <w:rPr>
          <w:rFonts w:ascii="Arial" w:hAnsi="Arial" w:cs="Arial"/>
          <w:sz w:val="24"/>
          <w:szCs w:val="24"/>
        </w:rPr>
        <w:t xml:space="preserve"> 2017 (3) NR 647</w:t>
      </w:r>
      <w:r w:rsidRPr="000C3275">
        <w:rPr>
          <w:rFonts w:ascii="Arial" w:hAnsi="Arial" w:cs="Arial"/>
          <w:sz w:val="24"/>
          <w:szCs w:val="24"/>
        </w:rPr>
        <w:t xml:space="preserve"> </w:t>
      </w:r>
      <w:r w:rsidR="008D3D48">
        <w:rPr>
          <w:rFonts w:ascii="Arial" w:hAnsi="Arial" w:cs="Arial"/>
          <w:sz w:val="24"/>
          <w:szCs w:val="24"/>
        </w:rPr>
        <w:t xml:space="preserve">(SC) </w:t>
      </w:r>
      <w:r w:rsidRPr="000C3275">
        <w:rPr>
          <w:rFonts w:ascii="Arial" w:hAnsi="Arial" w:cs="Arial"/>
          <w:sz w:val="24"/>
          <w:szCs w:val="24"/>
        </w:rPr>
        <w:t xml:space="preserve">at 664, para 52). </w:t>
      </w:r>
    </w:p>
    <w:p w:rsidR="00FA7B03" w:rsidRPr="008D3D48" w:rsidRDefault="00FA7B03" w:rsidP="008D3D48">
      <w:pPr>
        <w:spacing w:after="0" w:line="480" w:lineRule="auto"/>
        <w:rPr>
          <w:rFonts w:ascii="Arial" w:hAnsi="Arial" w:cs="Arial"/>
          <w:sz w:val="24"/>
          <w:szCs w:val="24"/>
          <w:lang w:val="en-GB"/>
        </w:rPr>
      </w:pPr>
    </w:p>
    <w:p w:rsidR="005446C2" w:rsidRPr="000C3275" w:rsidRDefault="005446C2" w:rsidP="008C06C9">
      <w:pPr>
        <w:spacing w:after="0" w:line="480" w:lineRule="auto"/>
        <w:jc w:val="both"/>
        <w:rPr>
          <w:rFonts w:ascii="Arial" w:hAnsi="Arial" w:cs="Arial"/>
          <w:sz w:val="24"/>
          <w:szCs w:val="24"/>
          <w:u w:val="single"/>
        </w:rPr>
      </w:pPr>
      <w:r w:rsidRPr="000C3275">
        <w:rPr>
          <w:rFonts w:ascii="Arial" w:hAnsi="Arial" w:cs="Arial"/>
          <w:sz w:val="24"/>
          <w:szCs w:val="24"/>
          <w:u w:val="single"/>
        </w:rPr>
        <w:lastRenderedPageBreak/>
        <w:t>Factual matrix: The recusal application</w:t>
      </w: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The material facts necessary for the adjudication of the recusal application are largely common cause. They are set out in the Minister’s supporting affidavit with which </w:t>
      </w:r>
      <w:proofErr w:type="spellStart"/>
      <w:r w:rsidRPr="000C3275">
        <w:rPr>
          <w:rFonts w:ascii="Arial" w:hAnsi="Arial" w:cs="Arial"/>
          <w:sz w:val="24"/>
          <w:szCs w:val="24"/>
        </w:rPr>
        <w:t>Ms</w:t>
      </w:r>
      <w:proofErr w:type="spellEnd"/>
      <w:r w:rsidRPr="000C3275">
        <w:rPr>
          <w:rFonts w:ascii="Arial" w:hAnsi="Arial" w:cs="Arial"/>
          <w:sz w:val="24"/>
          <w:szCs w:val="24"/>
        </w:rPr>
        <w:t xml:space="preserve"> </w:t>
      </w:r>
      <w:r w:rsidR="003F3EB9" w:rsidRPr="000C3275">
        <w:rPr>
          <w:rFonts w:ascii="Arial" w:hAnsi="Arial" w:cs="Arial"/>
          <w:sz w:val="24"/>
          <w:szCs w:val="24"/>
        </w:rPr>
        <w:t xml:space="preserve">Petronella Amalia </w:t>
      </w:r>
      <w:r w:rsidRPr="000C3275">
        <w:rPr>
          <w:rFonts w:ascii="Arial" w:hAnsi="Arial" w:cs="Arial"/>
          <w:sz w:val="24"/>
          <w:szCs w:val="24"/>
        </w:rPr>
        <w:t xml:space="preserve">Martin (the Chief Executive officer of </w:t>
      </w:r>
      <w:proofErr w:type="spellStart"/>
      <w:r w:rsidRPr="000C3275">
        <w:rPr>
          <w:rFonts w:ascii="Arial" w:hAnsi="Arial" w:cs="Arial"/>
          <w:sz w:val="24"/>
          <w:szCs w:val="24"/>
        </w:rPr>
        <w:t>NAMRe</w:t>
      </w:r>
      <w:proofErr w:type="spellEnd"/>
      <w:r w:rsidRPr="000C3275">
        <w:rPr>
          <w:rFonts w:ascii="Arial" w:hAnsi="Arial" w:cs="Arial"/>
          <w:sz w:val="24"/>
          <w:szCs w:val="24"/>
        </w:rPr>
        <w:t>) makes common cause</w:t>
      </w:r>
      <w:r w:rsidR="0031075F">
        <w:rPr>
          <w:rFonts w:ascii="Arial" w:hAnsi="Arial" w:cs="Arial"/>
          <w:sz w:val="24"/>
          <w:szCs w:val="24"/>
        </w:rPr>
        <w:t>.</w:t>
      </w:r>
      <w:r w:rsidRPr="000C3275">
        <w:rPr>
          <w:rFonts w:ascii="Arial" w:hAnsi="Arial" w:cs="Arial"/>
          <w:sz w:val="24"/>
          <w:szCs w:val="24"/>
        </w:rPr>
        <w:t xml:space="preserve"> </w:t>
      </w:r>
      <w:r w:rsidR="0031075F">
        <w:rPr>
          <w:rFonts w:ascii="Arial" w:hAnsi="Arial" w:cs="Arial"/>
          <w:sz w:val="24"/>
          <w:szCs w:val="24"/>
        </w:rPr>
        <w:t>As</w:t>
      </w:r>
      <w:r w:rsidRPr="000C3275">
        <w:rPr>
          <w:rFonts w:ascii="Arial" w:hAnsi="Arial" w:cs="Arial"/>
          <w:sz w:val="24"/>
          <w:szCs w:val="24"/>
        </w:rPr>
        <w:t xml:space="preserve"> to their materiality, </w:t>
      </w:r>
      <w:r w:rsidR="0031075F">
        <w:rPr>
          <w:rFonts w:ascii="Arial" w:hAnsi="Arial" w:cs="Arial"/>
          <w:sz w:val="24"/>
          <w:szCs w:val="24"/>
        </w:rPr>
        <w:t xml:space="preserve">they are </w:t>
      </w:r>
      <w:r w:rsidRPr="000C3275">
        <w:rPr>
          <w:rFonts w:ascii="Arial" w:hAnsi="Arial" w:cs="Arial"/>
          <w:sz w:val="24"/>
          <w:szCs w:val="24"/>
        </w:rPr>
        <w:t>either admitted or not denied by the respondents in the answering affidavit. Crucially, the mater</w:t>
      </w:r>
      <w:r w:rsidR="003F3EB9" w:rsidRPr="000C3275">
        <w:rPr>
          <w:rFonts w:ascii="Arial" w:hAnsi="Arial" w:cs="Arial"/>
          <w:sz w:val="24"/>
          <w:szCs w:val="24"/>
        </w:rPr>
        <w:t>ial facts are confirmed by the petition j</w:t>
      </w:r>
      <w:r w:rsidRPr="000C3275">
        <w:rPr>
          <w:rFonts w:ascii="Arial" w:hAnsi="Arial" w:cs="Arial"/>
          <w:sz w:val="24"/>
          <w:szCs w:val="24"/>
        </w:rPr>
        <w:t>u</w:t>
      </w:r>
      <w:r w:rsidR="0031075F">
        <w:rPr>
          <w:rFonts w:ascii="Arial" w:hAnsi="Arial" w:cs="Arial"/>
          <w:sz w:val="24"/>
          <w:szCs w:val="24"/>
        </w:rPr>
        <w:t>dge in his memo submitted to this</w:t>
      </w:r>
      <w:r w:rsidRPr="000C3275">
        <w:rPr>
          <w:rFonts w:ascii="Arial" w:hAnsi="Arial" w:cs="Arial"/>
          <w:sz w:val="24"/>
          <w:szCs w:val="24"/>
        </w:rPr>
        <w:t xml:space="preserve"> court at its invitation. </w:t>
      </w:r>
      <w:r w:rsidR="003F3EB9" w:rsidRPr="000C3275">
        <w:rPr>
          <w:rFonts w:ascii="Arial" w:hAnsi="Arial" w:cs="Arial"/>
          <w:sz w:val="24"/>
          <w:szCs w:val="24"/>
        </w:rPr>
        <w:t>I will refer to the memo in full later in th</w:t>
      </w:r>
      <w:r w:rsidR="0031075F">
        <w:rPr>
          <w:rFonts w:ascii="Arial" w:hAnsi="Arial" w:cs="Arial"/>
          <w:sz w:val="24"/>
          <w:szCs w:val="24"/>
        </w:rPr>
        <w:t>is</w:t>
      </w:r>
      <w:r w:rsidR="003F3EB9" w:rsidRPr="000C3275">
        <w:rPr>
          <w:rFonts w:ascii="Arial" w:hAnsi="Arial" w:cs="Arial"/>
          <w:sz w:val="24"/>
          <w:szCs w:val="24"/>
        </w:rPr>
        <w:t xml:space="preserve"> judgment.</w:t>
      </w:r>
    </w:p>
    <w:p w:rsidR="005446C2" w:rsidRPr="000C3275" w:rsidRDefault="005446C2" w:rsidP="00A47FC7">
      <w:pPr>
        <w:tabs>
          <w:tab w:val="left" w:pos="851"/>
        </w:tabs>
        <w:spacing w:after="0" w:line="480" w:lineRule="auto"/>
        <w:contextualSpacing/>
        <w:jc w:val="both"/>
        <w:rPr>
          <w:rFonts w:ascii="Arial" w:hAnsi="Arial" w:cs="Arial"/>
          <w:sz w:val="24"/>
          <w:szCs w:val="24"/>
          <w:lang w:val="en-GB"/>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At this stage of the proceedings before this court, the dispute between the applicants and the respondents is more about the legal conclusions that must be drawn from the facts that are common cause. I propose, therefore, to set out the material facts briefly and then set out the contentions advanced by the parties as to the legal consequences each suggests must follow from the known facts.</w:t>
      </w:r>
    </w:p>
    <w:p w:rsidR="005446C2" w:rsidRPr="000C3275" w:rsidRDefault="005446C2" w:rsidP="00A47FC7">
      <w:pPr>
        <w:pStyle w:val="ListParagraph"/>
        <w:spacing w:after="0" w:line="480" w:lineRule="auto"/>
        <w:rPr>
          <w:rFonts w:ascii="Arial" w:hAnsi="Arial" w:cs="Arial"/>
          <w:sz w:val="24"/>
          <w:szCs w:val="24"/>
        </w:rPr>
      </w:pPr>
    </w:p>
    <w:p w:rsidR="0026515C"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I</w:t>
      </w:r>
      <w:r w:rsidR="003F3EB9" w:rsidRPr="000C3275">
        <w:rPr>
          <w:rFonts w:ascii="Arial" w:hAnsi="Arial" w:cs="Arial"/>
          <w:sz w:val="24"/>
          <w:szCs w:val="24"/>
        </w:rPr>
        <w:t>t is common knowledge that the petition j</w:t>
      </w:r>
      <w:r w:rsidRPr="000C3275">
        <w:rPr>
          <w:rFonts w:ascii="Arial" w:hAnsi="Arial" w:cs="Arial"/>
          <w:sz w:val="24"/>
          <w:szCs w:val="24"/>
        </w:rPr>
        <w:t>udge is an acting judge of the Supreme Court since 1 March 2017. He had</w:t>
      </w:r>
      <w:r w:rsidR="00335229">
        <w:rPr>
          <w:rFonts w:ascii="Arial" w:hAnsi="Arial" w:cs="Arial"/>
          <w:sz w:val="24"/>
          <w:szCs w:val="24"/>
        </w:rPr>
        <w:t>,</w:t>
      </w:r>
      <w:r w:rsidRPr="000C3275">
        <w:rPr>
          <w:rFonts w:ascii="Arial" w:hAnsi="Arial" w:cs="Arial"/>
          <w:sz w:val="24"/>
          <w:szCs w:val="24"/>
        </w:rPr>
        <w:t xml:space="preserve"> for a long time</w:t>
      </w:r>
      <w:r w:rsidR="00335229">
        <w:rPr>
          <w:rFonts w:ascii="Arial" w:hAnsi="Arial" w:cs="Arial"/>
          <w:sz w:val="24"/>
          <w:szCs w:val="24"/>
        </w:rPr>
        <w:t>,</w:t>
      </w:r>
      <w:r w:rsidRPr="000C3275">
        <w:rPr>
          <w:rFonts w:ascii="Arial" w:hAnsi="Arial" w:cs="Arial"/>
          <w:sz w:val="24"/>
          <w:szCs w:val="24"/>
        </w:rPr>
        <w:t xml:space="preserve"> been </w:t>
      </w:r>
      <w:r w:rsidR="003F3EB9" w:rsidRPr="000C3275">
        <w:rPr>
          <w:rFonts w:ascii="Arial" w:hAnsi="Arial" w:cs="Arial"/>
          <w:sz w:val="24"/>
          <w:szCs w:val="24"/>
        </w:rPr>
        <w:t xml:space="preserve">a senior member of the local </w:t>
      </w:r>
      <w:proofErr w:type="gramStart"/>
      <w:r w:rsidR="003F3EB9" w:rsidRPr="000C3275">
        <w:rPr>
          <w:rFonts w:ascii="Arial" w:hAnsi="Arial" w:cs="Arial"/>
          <w:sz w:val="24"/>
          <w:szCs w:val="24"/>
        </w:rPr>
        <w:t>Bar</w:t>
      </w:r>
      <w:proofErr w:type="gramEnd"/>
      <w:r w:rsidR="003F3EB9" w:rsidRPr="000C3275">
        <w:rPr>
          <w:rFonts w:ascii="Arial" w:hAnsi="Arial" w:cs="Arial"/>
          <w:sz w:val="24"/>
          <w:szCs w:val="24"/>
        </w:rPr>
        <w:t>,</w:t>
      </w:r>
      <w:r w:rsidRPr="000C3275">
        <w:rPr>
          <w:rFonts w:ascii="Arial" w:hAnsi="Arial" w:cs="Arial"/>
          <w:sz w:val="24"/>
          <w:szCs w:val="24"/>
        </w:rPr>
        <w:t xml:space="preserve"> enjoying the accolade of Senio</w:t>
      </w:r>
      <w:r w:rsidR="003F3EB9" w:rsidRPr="000C3275">
        <w:rPr>
          <w:rFonts w:ascii="Arial" w:hAnsi="Arial" w:cs="Arial"/>
          <w:sz w:val="24"/>
          <w:szCs w:val="24"/>
        </w:rPr>
        <w:t>r Counsel. As an advocate, the petition j</w:t>
      </w:r>
      <w:r w:rsidRPr="000C3275">
        <w:rPr>
          <w:rFonts w:ascii="Arial" w:hAnsi="Arial" w:cs="Arial"/>
          <w:sz w:val="24"/>
          <w:szCs w:val="24"/>
        </w:rPr>
        <w:t xml:space="preserve">udge acted as lead counsel for the </w:t>
      </w:r>
      <w:r w:rsidR="003F3EB9" w:rsidRPr="000C3275">
        <w:rPr>
          <w:rFonts w:ascii="Arial" w:hAnsi="Arial" w:cs="Arial"/>
          <w:sz w:val="24"/>
          <w:szCs w:val="24"/>
        </w:rPr>
        <w:t xml:space="preserve">insurance industry </w:t>
      </w:r>
      <w:r w:rsidRPr="000C3275">
        <w:rPr>
          <w:rFonts w:ascii="Arial" w:hAnsi="Arial" w:cs="Arial"/>
          <w:sz w:val="24"/>
          <w:szCs w:val="24"/>
        </w:rPr>
        <w:t xml:space="preserve">in its 1999 unsuccessful bid to challenge the constitutionality of the </w:t>
      </w:r>
      <w:proofErr w:type="spellStart"/>
      <w:r w:rsidRPr="000C3275">
        <w:rPr>
          <w:rFonts w:ascii="Arial" w:hAnsi="Arial" w:cs="Arial"/>
          <w:sz w:val="24"/>
          <w:szCs w:val="24"/>
        </w:rPr>
        <w:t>NAMRe</w:t>
      </w:r>
      <w:proofErr w:type="spellEnd"/>
      <w:r w:rsidRPr="000C3275">
        <w:rPr>
          <w:rFonts w:ascii="Arial" w:hAnsi="Arial" w:cs="Arial"/>
          <w:sz w:val="24"/>
          <w:szCs w:val="24"/>
        </w:rPr>
        <w:t xml:space="preserve"> Act in the matter of </w:t>
      </w:r>
      <w:r w:rsidRPr="000C3275">
        <w:rPr>
          <w:rFonts w:ascii="Arial" w:hAnsi="Arial" w:cs="Arial"/>
          <w:i/>
          <w:sz w:val="24"/>
          <w:szCs w:val="24"/>
        </w:rPr>
        <w:t>Namibia Insurance Association v Government of the Republic of Namibia</w:t>
      </w:r>
      <w:r w:rsidRPr="000C3275">
        <w:rPr>
          <w:rFonts w:ascii="Arial" w:hAnsi="Arial" w:cs="Arial"/>
          <w:sz w:val="24"/>
          <w:szCs w:val="24"/>
        </w:rPr>
        <w:t xml:space="preserve"> 2001 NR 1 (HC)</w:t>
      </w:r>
      <w:r w:rsidR="003F3EB9" w:rsidRPr="000C3275">
        <w:rPr>
          <w:rFonts w:ascii="Arial" w:hAnsi="Arial" w:cs="Arial"/>
          <w:sz w:val="24"/>
          <w:szCs w:val="24"/>
        </w:rPr>
        <w:t>. I will henceforth refer to that litigation as ‘</w:t>
      </w:r>
      <w:r w:rsidR="00AB0D02" w:rsidRPr="000C3275">
        <w:rPr>
          <w:rFonts w:ascii="Arial" w:hAnsi="Arial" w:cs="Arial"/>
          <w:sz w:val="24"/>
          <w:szCs w:val="24"/>
        </w:rPr>
        <w:t>the 1999</w:t>
      </w:r>
      <w:r w:rsidRPr="000C3275">
        <w:rPr>
          <w:rFonts w:ascii="Arial" w:hAnsi="Arial" w:cs="Arial"/>
          <w:sz w:val="24"/>
          <w:szCs w:val="24"/>
        </w:rPr>
        <w:t xml:space="preserve"> constitutional </w:t>
      </w:r>
      <w:r w:rsidR="003F3EB9" w:rsidRPr="000C3275">
        <w:rPr>
          <w:rFonts w:ascii="Arial" w:hAnsi="Arial" w:cs="Arial"/>
          <w:sz w:val="24"/>
          <w:szCs w:val="24"/>
        </w:rPr>
        <w:t>challenge’</w:t>
      </w:r>
      <w:r w:rsidRPr="000C3275">
        <w:rPr>
          <w:rFonts w:ascii="Arial" w:hAnsi="Arial" w:cs="Arial"/>
          <w:sz w:val="24"/>
          <w:szCs w:val="24"/>
        </w:rPr>
        <w:t xml:space="preserve">. </w:t>
      </w:r>
    </w:p>
    <w:p w:rsidR="0062180F" w:rsidRPr="000C3275" w:rsidRDefault="0062180F" w:rsidP="00A47FC7">
      <w:pPr>
        <w:pStyle w:val="ListParagraph"/>
        <w:spacing w:after="0" w:line="480" w:lineRule="auto"/>
        <w:rPr>
          <w:rFonts w:ascii="Arial" w:hAnsi="Arial" w:cs="Arial"/>
          <w:sz w:val="24"/>
          <w:szCs w:val="24"/>
          <w:lang w:val="en-GB"/>
        </w:rPr>
      </w:pPr>
    </w:p>
    <w:p w:rsidR="0062180F" w:rsidRPr="000C3275" w:rsidRDefault="0062180F"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lang w:val="en-GB"/>
        </w:rPr>
        <w:t>In the 1999 constitutional challenge, the Full Bench held</w:t>
      </w:r>
      <w:r w:rsidR="00AB0D02" w:rsidRPr="000C3275">
        <w:rPr>
          <w:rFonts w:ascii="Arial" w:hAnsi="Arial" w:cs="Arial"/>
          <w:sz w:val="24"/>
          <w:szCs w:val="24"/>
          <w:lang w:val="en-GB"/>
        </w:rPr>
        <w:t>, contrary to the contention of the insurance industry,</w:t>
      </w:r>
      <w:r w:rsidRPr="000C3275">
        <w:rPr>
          <w:rFonts w:ascii="Arial" w:hAnsi="Arial" w:cs="Arial"/>
          <w:sz w:val="24"/>
          <w:szCs w:val="24"/>
          <w:lang w:val="en-GB"/>
        </w:rPr>
        <w:t xml:space="preserve"> that the provisions of th</w:t>
      </w:r>
      <w:r w:rsidR="00AB0D02" w:rsidRPr="000C3275">
        <w:rPr>
          <w:rFonts w:ascii="Arial" w:hAnsi="Arial" w:cs="Arial"/>
          <w:sz w:val="24"/>
          <w:szCs w:val="24"/>
          <w:lang w:val="en-GB"/>
        </w:rPr>
        <w:t xml:space="preserve">e </w:t>
      </w:r>
      <w:proofErr w:type="spellStart"/>
      <w:r w:rsidR="00AB0D02" w:rsidRPr="000C3275">
        <w:rPr>
          <w:rFonts w:ascii="Arial" w:hAnsi="Arial" w:cs="Arial"/>
          <w:sz w:val="24"/>
          <w:szCs w:val="24"/>
          <w:lang w:val="en-GB"/>
        </w:rPr>
        <w:t>NAMRe</w:t>
      </w:r>
      <w:proofErr w:type="spellEnd"/>
      <w:r w:rsidR="00AB0D02" w:rsidRPr="000C3275">
        <w:rPr>
          <w:rFonts w:ascii="Arial" w:hAnsi="Arial" w:cs="Arial"/>
          <w:sz w:val="24"/>
          <w:szCs w:val="24"/>
          <w:lang w:val="en-GB"/>
        </w:rPr>
        <w:t xml:space="preserve"> Act that were </w:t>
      </w:r>
      <w:r w:rsidR="00AB0D02" w:rsidRPr="000C3275">
        <w:rPr>
          <w:rFonts w:ascii="Arial" w:hAnsi="Arial" w:cs="Arial"/>
          <w:sz w:val="24"/>
          <w:szCs w:val="24"/>
          <w:lang w:val="en-GB"/>
        </w:rPr>
        <w:lastRenderedPageBreak/>
        <w:t xml:space="preserve">impugned </w:t>
      </w:r>
      <w:r w:rsidR="00732114" w:rsidRPr="000C3275">
        <w:rPr>
          <w:rFonts w:ascii="Arial" w:hAnsi="Arial" w:cs="Arial"/>
          <w:sz w:val="24"/>
          <w:szCs w:val="24"/>
          <w:lang w:val="en-GB"/>
        </w:rPr>
        <w:t>are an appropriate use of S</w:t>
      </w:r>
      <w:r w:rsidRPr="000C3275">
        <w:rPr>
          <w:rFonts w:ascii="Arial" w:hAnsi="Arial" w:cs="Arial"/>
          <w:sz w:val="24"/>
          <w:szCs w:val="24"/>
          <w:lang w:val="en-GB"/>
        </w:rPr>
        <w:t>tate regulatory power and therefore do not inf</w:t>
      </w:r>
      <w:r w:rsidR="00732114" w:rsidRPr="000C3275">
        <w:rPr>
          <w:rFonts w:ascii="Arial" w:hAnsi="Arial" w:cs="Arial"/>
          <w:sz w:val="24"/>
          <w:szCs w:val="24"/>
          <w:lang w:val="en-GB"/>
        </w:rPr>
        <w:t xml:space="preserve">ringe the right to equality in </w:t>
      </w:r>
      <w:r w:rsidR="00335229">
        <w:rPr>
          <w:rFonts w:ascii="Arial" w:hAnsi="Arial" w:cs="Arial"/>
          <w:sz w:val="24"/>
          <w:szCs w:val="24"/>
          <w:lang w:val="en-GB"/>
        </w:rPr>
        <w:t xml:space="preserve">terms of </w:t>
      </w:r>
      <w:r w:rsidR="00732114" w:rsidRPr="000C3275">
        <w:rPr>
          <w:rFonts w:ascii="Arial" w:hAnsi="Arial" w:cs="Arial"/>
          <w:sz w:val="24"/>
          <w:szCs w:val="24"/>
          <w:lang w:val="en-GB"/>
        </w:rPr>
        <w:t>A</w:t>
      </w:r>
      <w:r w:rsidRPr="000C3275">
        <w:rPr>
          <w:rFonts w:ascii="Arial" w:hAnsi="Arial" w:cs="Arial"/>
          <w:sz w:val="24"/>
          <w:szCs w:val="24"/>
          <w:lang w:val="en-GB"/>
        </w:rPr>
        <w:t>rt</w:t>
      </w:r>
      <w:r w:rsidR="008D3D48">
        <w:rPr>
          <w:rFonts w:ascii="Arial" w:hAnsi="Arial" w:cs="Arial"/>
          <w:sz w:val="24"/>
          <w:szCs w:val="24"/>
          <w:lang w:val="en-GB"/>
        </w:rPr>
        <w:t>icle</w:t>
      </w:r>
      <w:r w:rsidRPr="000C3275">
        <w:rPr>
          <w:rFonts w:ascii="Arial" w:hAnsi="Arial" w:cs="Arial"/>
          <w:sz w:val="24"/>
          <w:szCs w:val="24"/>
          <w:lang w:val="en-GB"/>
        </w:rPr>
        <w:t xml:space="preserve"> 10 or the right to practise any profession or carry on any occupation,</w:t>
      </w:r>
      <w:r w:rsidR="00AB0D02" w:rsidRPr="000C3275">
        <w:rPr>
          <w:rFonts w:ascii="Arial" w:hAnsi="Arial" w:cs="Arial"/>
          <w:sz w:val="24"/>
          <w:szCs w:val="24"/>
          <w:lang w:val="en-GB"/>
        </w:rPr>
        <w:t xml:space="preserve"> trade or business in terms of A</w:t>
      </w:r>
      <w:r w:rsidRPr="000C3275">
        <w:rPr>
          <w:rFonts w:ascii="Arial" w:hAnsi="Arial" w:cs="Arial"/>
          <w:sz w:val="24"/>
          <w:szCs w:val="24"/>
          <w:lang w:val="en-GB"/>
        </w:rPr>
        <w:t>rt</w:t>
      </w:r>
      <w:r w:rsidR="008D3D48">
        <w:rPr>
          <w:rFonts w:ascii="Arial" w:hAnsi="Arial" w:cs="Arial"/>
          <w:sz w:val="24"/>
          <w:szCs w:val="24"/>
          <w:lang w:val="en-GB"/>
        </w:rPr>
        <w:t>icle</w:t>
      </w:r>
      <w:r w:rsidR="00732114" w:rsidRPr="000C3275">
        <w:rPr>
          <w:rFonts w:ascii="Arial" w:hAnsi="Arial" w:cs="Arial"/>
          <w:sz w:val="24"/>
          <w:szCs w:val="24"/>
          <w:lang w:val="en-GB"/>
        </w:rPr>
        <w:t xml:space="preserve"> </w:t>
      </w:r>
      <w:r w:rsidRPr="000C3275">
        <w:rPr>
          <w:rFonts w:ascii="Arial" w:hAnsi="Arial" w:cs="Arial"/>
          <w:sz w:val="24"/>
          <w:szCs w:val="24"/>
          <w:lang w:val="en-GB"/>
        </w:rPr>
        <w:t>21(1</w:t>
      </w:r>
      <w:proofErr w:type="gramStart"/>
      <w:r w:rsidRPr="000C3275">
        <w:rPr>
          <w:rFonts w:ascii="Arial" w:hAnsi="Arial" w:cs="Arial"/>
          <w:sz w:val="24"/>
          <w:szCs w:val="24"/>
          <w:lang w:val="en-GB"/>
        </w:rPr>
        <w:t>)(</w:t>
      </w:r>
      <w:proofErr w:type="gramEnd"/>
      <w:r w:rsidR="00AB0D02" w:rsidRPr="000C3275">
        <w:rPr>
          <w:rFonts w:ascii="Arial" w:hAnsi="Arial" w:cs="Arial"/>
          <w:sz w:val="24"/>
          <w:szCs w:val="24"/>
          <w:lang w:val="en-GB"/>
        </w:rPr>
        <w:t>f) of the Constitution</w:t>
      </w:r>
      <w:r w:rsidR="00335229">
        <w:rPr>
          <w:rFonts w:ascii="Arial" w:hAnsi="Arial" w:cs="Arial"/>
          <w:sz w:val="24"/>
          <w:szCs w:val="24"/>
          <w:lang w:val="en-GB"/>
        </w:rPr>
        <w:t>.</w:t>
      </w:r>
      <w:r w:rsidR="002143CD">
        <w:rPr>
          <w:rFonts w:ascii="Arial" w:hAnsi="Arial" w:cs="Arial"/>
          <w:sz w:val="24"/>
          <w:szCs w:val="24"/>
          <w:lang w:val="en-GB"/>
        </w:rPr>
        <w:t xml:space="preserve"> </w:t>
      </w:r>
    </w:p>
    <w:p w:rsidR="0026515C" w:rsidRPr="000C3275" w:rsidRDefault="0026515C" w:rsidP="00A47FC7">
      <w:pPr>
        <w:pStyle w:val="ListParagraph"/>
        <w:spacing w:after="0" w:line="480" w:lineRule="auto"/>
        <w:rPr>
          <w:rFonts w:ascii="Arial" w:hAnsi="Arial" w:cs="Arial"/>
          <w:sz w:val="24"/>
          <w:szCs w:val="24"/>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Of the present respondents, only the fourth (</w:t>
      </w:r>
      <w:proofErr w:type="spellStart"/>
      <w:r w:rsidRPr="000C3275">
        <w:rPr>
          <w:rFonts w:ascii="Arial" w:hAnsi="Arial" w:cs="Arial"/>
          <w:sz w:val="24"/>
          <w:szCs w:val="24"/>
        </w:rPr>
        <w:t>Santam</w:t>
      </w:r>
      <w:proofErr w:type="spellEnd"/>
      <w:r w:rsidRPr="000C3275">
        <w:rPr>
          <w:rFonts w:ascii="Arial" w:hAnsi="Arial" w:cs="Arial"/>
          <w:sz w:val="24"/>
          <w:szCs w:val="24"/>
        </w:rPr>
        <w:t xml:space="preserve">) was a </w:t>
      </w:r>
      <w:r w:rsidR="003F3EB9" w:rsidRPr="000C3275">
        <w:rPr>
          <w:rFonts w:ascii="Arial" w:hAnsi="Arial" w:cs="Arial"/>
          <w:sz w:val="24"/>
          <w:szCs w:val="24"/>
        </w:rPr>
        <w:t xml:space="preserve">party (as applicant) </w:t>
      </w:r>
      <w:r w:rsidRPr="000C3275">
        <w:rPr>
          <w:rFonts w:ascii="Arial" w:hAnsi="Arial" w:cs="Arial"/>
          <w:sz w:val="24"/>
          <w:szCs w:val="24"/>
        </w:rPr>
        <w:t>in th</w:t>
      </w:r>
      <w:r w:rsidR="005446C2" w:rsidRPr="000C3275">
        <w:rPr>
          <w:rFonts w:ascii="Arial" w:hAnsi="Arial" w:cs="Arial"/>
          <w:sz w:val="24"/>
          <w:szCs w:val="24"/>
        </w:rPr>
        <w:t>e 1999 constitutional challenge.</w:t>
      </w:r>
    </w:p>
    <w:p w:rsidR="005446C2" w:rsidRPr="000C3275" w:rsidRDefault="005446C2" w:rsidP="008C06C9">
      <w:pPr>
        <w:pStyle w:val="ListParagraph"/>
        <w:spacing w:after="0" w:line="480" w:lineRule="auto"/>
        <w:rPr>
          <w:rFonts w:ascii="Arial" w:hAnsi="Arial" w:cs="Arial"/>
          <w:sz w:val="24"/>
          <w:szCs w:val="24"/>
        </w:rPr>
      </w:pPr>
    </w:p>
    <w:p w:rsidR="005446C2" w:rsidRPr="000C3275" w:rsidRDefault="00AF44CD"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As will soon become apparent, t</w:t>
      </w:r>
      <w:r w:rsidR="00A90E41" w:rsidRPr="000C3275">
        <w:rPr>
          <w:rFonts w:ascii="Arial" w:hAnsi="Arial" w:cs="Arial"/>
          <w:sz w:val="24"/>
          <w:szCs w:val="24"/>
        </w:rPr>
        <w:t>he respondents do not support th</w:t>
      </w:r>
      <w:r w:rsidR="00AB0D02" w:rsidRPr="000C3275">
        <w:rPr>
          <w:rFonts w:ascii="Arial" w:hAnsi="Arial" w:cs="Arial"/>
          <w:sz w:val="24"/>
          <w:szCs w:val="24"/>
        </w:rPr>
        <w:t>e</w:t>
      </w:r>
      <w:r w:rsidR="00A90E41" w:rsidRPr="000C3275">
        <w:rPr>
          <w:rFonts w:ascii="Arial" w:hAnsi="Arial" w:cs="Arial"/>
          <w:sz w:val="24"/>
          <w:szCs w:val="24"/>
        </w:rPr>
        <w:t xml:space="preserve"> </w:t>
      </w:r>
      <w:r w:rsidR="00331B55" w:rsidRPr="000C3275">
        <w:rPr>
          <w:rFonts w:ascii="Arial" w:hAnsi="Arial" w:cs="Arial"/>
          <w:sz w:val="24"/>
          <w:szCs w:val="24"/>
        </w:rPr>
        <w:t xml:space="preserve">conclusion </w:t>
      </w:r>
      <w:r w:rsidR="00A90E41" w:rsidRPr="000C3275">
        <w:rPr>
          <w:rFonts w:ascii="Arial" w:hAnsi="Arial" w:cs="Arial"/>
          <w:sz w:val="24"/>
          <w:szCs w:val="24"/>
        </w:rPr>
        <w:t>of the Full Bench. It must follow that if the constitutional challenge now pending in the High Court at the instance of the respondents is upheld, the Full Bench’s conclusion in 1999 would be found to have</w:t>
      </w:r>
      <w:r w:rsidRPr="000C3275">
        <w:rPr>
          <w:rFonts w:ascii="Arial" w:hAnsi="Arial" w:cs="Arial"/>
          <w:sz w:val="24"/>
          <w:szCs w:val="24"/>
        </w:rPr>
        <w:t xml:space="preserve"> been incorrect in law and the petition j</w:t>
      </w:r>
      <w:r w:rsidR="00A90E41" w:rsidRPr="000C3275">
        <w:rPr>
          <w:rFonts w:ascii="Arial" w:hAnsi="Arial" w:cs="Arial"/>
          <w:sz w:val="24"/>
          <w:szCs w:val="24"/>
        </w:rPr>
        <w:t xml:space="preserve">udge’s argument (as counsel for the insurance industry) in the 1999 </w:t>
      </w:r>
      <w:r w:rsidRPr="000C3275">
        <w:rPr>
          <w:rFonts w:ascii="Arial" w:hAnsi="Arial" w:cs="Arial"/>
          <w:sz w:val="24"/>
          <w:szCs w:val="24"/>
        </w:rPr>
        <w:t xml:space="preserve">constitutional challenge </w:t>
      </w:r>
      <w:r w:rsidR="00A90E41" w:rsidRPr="000C3275">
        <w:rPr>
          <w:rFonts w:ascii="Arial" w:hAnsi="Arial" w:cs="Arial"/>
          <w:sz w:val="24"/>
          <w:szCs w:val="24"/>
        </w:rPr>
        <w:t>vindicated.</w:t>
      </w:r>
    </w:p>
    <w:p w:rsidR="005446C2" w:rsidRPr="000C3275" w:rsidRDefault="005446C2" w:rsidP="00A47FC7">
      <w:pPr>
        <w:pStyle w:val="ListParagraph"/>
        <w:spacing w:after="0" w:line="480" w:lineRule="auto"/>
        <w:rPr>
          <w:rFonts w:ascii="Arial" w:hAnsi="Arial" w:cs="Arial"/>
          <w:sz w:val="24"/>
          <w:szCs w:val="24"/>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The companies that challenge the constitutionality of the </w:t>
      </w:r>
      <w:proofErr w:type="spellStart"/>
      <w:r w:rsidRPr="000C3275">
        <w:rPr>
          <w:rFonts w:ascii="Arial" w:hAnsi="Arial" w:cs="Arial"/>
          <w:sz w:val="24"/>
          <w:szCs w:val="24"/>
        </w:rPr>
        <w:t>NAMRe</w:t>
      </w:r>
      <w:proofErr w:type="spellEnd"/>
      <w:r w:rsidRPr="000C3275">
        <w:rPr>
          <w:rFonts w:ascii="Arial" w:hAnsi="Arial" w:cs="Arial"/>
          <w:sz w:val="24"/>
          <w:szCs w:val="24"/>
        </w:rPr>
        <w:t xml:space="preserve"> Act and the measures in the pending challenge in the High Court </w:t>
      </w:r>
      <w:r w:rsidR="00F66A81">
        <w:rPr>
          <w:rFonts w:ascii="Arial" w:hAnsi="Arial" w:cs="Arial"/>
          <w:sz w:val="24"/>
          <w:szCs w:val="24"/>
        </w:rPr>
        <w:t xml:space="preserve">include the following </w:t>
      </w:r>
      <w:r w:rsidR="00AF44CD" w:rsidRPr="000C3275">
        <w:rPr>
          <w:rFonts w:ascii="Arial" w:hAnsi="Arial" w:cs="Arial"/>
          <w:sz w:val="24"/>
          <w:szCs w:val="24"/>
        </w:rPr>
        <w:t xml:space="preserve">respondents in the petition: </w:t>
      </w:r>
      <w:proofErr w:type="spellStart"/>
      <w:r w:rsidRPr="000C3275">
        <w:rPr>
          <w:rFonts w:ascii="Arial" w:hAnsi="Arial" w:cs="Arial"/>
          <w:sz w:val="24"/>
          <w:szCs w:val="24"/>
        </w:rPr>
        <w:t>Trustco</w:t>
      </w:r>
      <w:proofErr w:type="spellEnd"/>
      <w:r w:rsidRPr="000C3275">
        <w:rPr>
          <w:rFonts w:ascii="Arial" w:hAnsi="Arial" w:cs="Arial"/>
          <w:sz w:val="24"/>
          <w:szCs w:val="24"/>
        </w:rPr>
        <w:t xml:space="preserve"> Insurance Ltd (5</w:t>
      </w:r>
      <w:r w:rsidRPr="000C3275">
        <w:rPr>
          <w:rFonts w:ascii="Arial" w:hAnsi="Arial" w:cs="Arial"/>
          <w:sz w:val="24"/>
          <w:szCs w:val="24"/>
          <w:vertAlign w:val="superscript"/>
        </w:rPr>
        <w:t>th</w:t>
      </w:r>
      <w:r w:rsidRPr="000C3275">
        <w:rPr>
          <w:rFonts w:ascii="Arial" w:hAnsi="Arial" w:cs="Arial"/>
          <w:sz w:val="24"/>
          <w:szCs w:val="24"/>
        </w:rPr>
        <w:t xml:space="preserve"> respondent) and </w:t>
      </w:r>
      <w:proofErr w:type="spellStart"/>
      <w:r w:rsidRPr="000C3275">
        <w:rPr>
          <w:rFonts w:ascii="Arial" w:hAnsi="Arial" w:cs="Arial"/>
          <w:sz w:val="24"/>
          <w:szCs w:val="24"/>
        </w:rPr>
        <w:t>Trustco</w:t>
      </w:r>
      <w:proofErr w:type="spellEnd"/>
      <w:r w:rsidRPr="000C3275">
        <w:rPr>
          <w:rFonts w:ascii="Arial" w:hAnsi="Arial" w:cs="Arial"/>
          <w:sz w:val="24"/>
          <w:szCs w:val="24"/>
        </w:rPr>
        <w:t xml:space="preserve"> Life Ltd (6</w:t>
      </w:r>
      <w:r w:rsidRPr="000C3275">
        <w:rPr>
          <w:rFonts w:ascii="Arial" w:hAnsi="Arial" w:cs="Arial"/>
          <w:sz w:val="24"/>
          <w:szCs w:val="24"/>
          <w:vertAlign w:val="superscript"/>
        </w:rPr>
        <w:t>th</w:t>
      </w:r>
      <w:r w:rsidRPr="000C3275">
        <w:rPr>
          <w:rFonts w:ascii="Arial" w:hAnsi="Arial" w:cs="Arial"/>
          <w:sz w:val="24"/>
          <w:szCs w:val="24"/>
        </w:rPr>
        <w:t xml:space="preserve"> respondent). </w:t>
      </w:r>
      <w:r w:rsidR="003E4058">
        <w:rPr>
          <w:rFonts w:ascii="Arial" w:hAnsi="Arial" w:cs="Arial"/>
          <w:sz w:val="24"/>
          <w:szCs w:val="24"/>
        </w:rPr>
        <w:t xml:space="preserve">The </w:t>
      </w:r>
      <w:proofErr w:type="spellStart"/>
      <w:r w:rsidR="003E4058">
        <w:rPr>
          <w:rFonts w:ascii="Arial" w:hAnsi="Arial" w:cs="Arial"/>
          <w:sz w:val="24"/>
          <w:szCs w:val="24"/>
        </w:rPr>
        <w:t>Trusco</w:t>
      </w:r>
      <w:proofErr w:type="spellEnd"/>
      <w:r w:rsidR="003E4058">
        <w:rPr>
          <w:rFonts w:ascii="Arial" w:hAnsi="Arial" w:cs="Arial"/>
          <w:sz w:val="24"/>
          <w:szCs w:val="24"/>
        </w:rPr>
        <w:t xml:space="preserve"> companies do all their insurance business in Namibia and do not export insurance premiums beyond national boundaries. </w:t>
      </w:r>
      <w:r w:rsidRPr="000C3275">
        <w:rPr>
          <w:rFonts w:ascii="Arial" w:hAnsi="Arial" w:cs="Arial"/>
          <w:sz w:val="24"/>
          <w:szCs w:val="24"/>
        </w:rPr>
        <w:t xml:space="preserve">In the application to compel, is cited, amongst others, Mr Quinton van </w:t>
      </w:r>
      <w:proofErr w:type="spellStart"/>
      <w:r w:rsidRPr="000C3275">
        <w:rPr>
          <w:rFonts w:ascii="Arial" w:hAnsi="Arial" w:cs="Arial"/>
          <w:sz w:val="24"/>
          <w:szCs w:val="24"/>
        </w:rPr>
        <w:t>Rooyen</w:t>
      </w:r>
      <w:proofErr w:type="spellEnd"/>
      <w:r w:rsidRPr="000C3275">
        <w:rPr>
          <w:rFonts w:ascii="Arial" w:hAnsi="Arial" w:cs="Arial"/>
          <w:sz w:val="24"/>
          <w:szCs w:val="24"/>
        </w:rPr>
        <w:t xml:space="preserve"> </w:t>
      </w:r>
      <w:r w:rsidR="00454543" w:rsidRPr="000C3275">
        <w:rPr>
          <w:rFonts w:ascii="Arial" w:hAnsi="Arial" w:cs="Arial"/>
          <w:sz w:val="24"/>
          <w:szCs w:val="24"/>
        </w:rPr>
        <w:t xml:space="preserve">(Mr van </w:t>
      </w:r>
      <w:proofErr w:type="spellStart"/>
      <w:r w:rsidR="00454543" w:rsidRPr="000C3275">
        <w:rPr>
          <w:rFonts w:ascii="Arial" w:hAnsi="Arial" w:cs="Arial"/>
          <w:sz w:val="24"/>
          <w:szCs w:val="24"/>
        </w:rPr>
        <w:t>Rooyen</w:t>
      </w:r>
      <w:proofErr w:type="spellEnd"/>
      <w:r w:rsidR="00454543" w:rsidRPr="000C3275">
        <w:rPr>
          <w:rFonts w:ascii="Arial" w:hAnsi="Arial" w:cs="Arial"/>
          <w:sz w:val="24"/>
          <w:szCs w:val="24"/>
        </w:rPr>
        <w:t xml:space="preserve">) </w:t>
      </w:r>
      <w:r w:rsidR="00331B55" w:rsidRPr="000C3275">
        <w:rPr>
          <w:rFonts w:ascii="Arial" w:hAnsi="Arial" w:cs="Arial"/>
          <w:sz w:val="24"/>
          <w:szCs w:val="24"/>
        </w:rPr>
        <w:t xml:space="preserve">as </w:t>
      </w:r>
      <w:r w:rsidRPr="000C3275">
        <w:rPr>
          <w:rFonts w:ascii="Arial" w:hAnsi="Arial" w:cs="Arial"/>
          <w:sz w:val="24"/>
          <w:szCs w:val="24"/>
        </w:rPr>
        <w:t>13</w:t>
      </w:r>
      <w:r w:rsidRPr="000C3275">
        <w:rPr>
          <w:rFonts w:ascii="Arial" w:hAnsi="Arial" w:cs="Arial"/>
          <w:sz w:val="24"/>
          <w:szCs w:val="24"/>
          <w:vertAlign w:val="superscript"/>
        </w:rPr>
        <w:t>th</w:t>
      </w:r>
      <w:r w:rsidRPr="000C3275">
        <w:rPr>
          <w:rFonts w:ascii="Arial" w:hAnsi="Arial" w:cs="Arial"/>
          <w:sz w:val="24"/>
          <w:szCs w:val="24"/>
        </w:rPr>
        <w:t xml:space="preserve"> responde</w:t>
      </w:r>
      <w:r w:rsidR="00AF44CD" w:rsidRPr="000C3275">
        <w:rPr>
          <w:rFonts w:ascii="Arial" w:hAnsi="Arial" w:cs="Arial"/>
          <w:sz w:val="24"/>
          <w:szCs w:val="24"/>
        </w:rPr>
        <w:t>nt in the application to compel</w:t>
      </w:r>
      <w:r w:rsidRPr="000C3275">
        <w:rPr>
          <w:rFonts w:ascii="Arial" w:hAnsi="Arial" w:cs="Arial"/>
          <w:sz w:val="24"/>
          <w:szCs w:val="24"/>
        </w:rPr>
        <w:t xml:space="preserve"> a</w:t>
      </w:r>
      <w:r w:rsidR="00493143" w:rsidRPr="000C3275">
        <w:rPr>
          <w:rFonts w:ascii="Arial" w:hAnsi="Arial" w:cs="Arial"/>
          <w:sz w:val="24"/>
          <w:szCs w:val="24"/>
        </w:rPr>
        <w:t>s well as</w:t>
      </w:r>
      <w:r w:rsidRPr="000C3275">
        <w:rPr>
          <w:rFonts w:ascii="Arial" w:hAnsi="Arial" w:cs="Arial"/>
          <w:sz w:val="24"/>
          <w:szCs w:val="24"/>
        </w:rPr>
        <w:t xml:space="preserve"> in the petition.</w:t>
      </w:r>
    </w:p>
    <w:p w:rsidR="005446C2" w:rsidRPr="000C3275" w:rsidRDefault="005446C2" w:rsidP="00A47FC7">
      <w:pPr>
        <w:pStyle w:val="ListParagraph"/>
        <w:spacing w:after="0" w:line="480" w:lineRule="auto"/>
        <w:rPr>
          <w:rFonts w:ascii="Arial" w:hAnsi="Arial" w:cs="Arial"/>
          <w:sz w:val="24"/>
          <w:szCs w:val="24"/>
        </w:rPr>
      </w:pPr>
    </w:p>
    <w:p w:rsidR="005446C2" w:rsidRPr="000C3275" w:rsidRDefault="00AF44CD"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The petition j</w:t>
      </w:r>
      <w:r w:rsidR="00A90E41" w:rsidRPr="000C3275">
        <w:rPr>
          <w:rFonts w:ascii="Arial" w:hAnsi="Arial" w:cs="Arial"/>
          <w:sz w:val="24"/>
          <w:szCs w:val="24"/>
        </w:rPr>
        <w:t xml:space="preserve">udge has either held or still holds directorships of insurance companies.  From 2006 to 2009, he was a director of </w:t>
      </w:r>
      <w:proofErr w:type="spellStart"/>
      <w:r w:rsidR="00A90E41" w:rsidRPr="000C3275">
        <w:rPr>
          <w:rFonts w:ascii="Arial" w:hAnsi="Arial" w:cs="Arial"/>
          <w:sz w:val="24"/>
          <w:szCs w:val="24"/>
        </w:rPr>
        <w:t>Trustco</w:t>
      </w:r>
      <w:proofErr w:type="spellEnd"/>
      <w:r w:rsidR="00A90E41" w:rsidRPr="000C3275">
        <w:rPr>
          <w:rFonts w:ascii="Arial" w:hAnsi="Arial" w:cs="Arial"/>
          <w:sz w:val="24"/>
          <w:szCs w:val="24"/>
        </w:rPr>
        <w:t xml:space="preserve"> Holdings of which Mr van </w:t>
      </w:r>
      <w:proofErr w:type="spellStart"/>
      <w:r w:rsidR="00A90E41" w:rsidRPr="000C3275">
        <w:rPr>
          <w:rFonts w:ascii="Arial" w:hAnsi="Arial" w:cs="Arial"/>
          <w:sz w:val="24"/>
          <w:szCs w:val="24"/>
        </w:rPr>
        <w:t>Rooyen</w:t>
      </w:r>
      <w:proofErr w:type="spellEnd"/>
      <w:r w:rsidR="00A90E41" w:rsidRPr="000C3275">
        <w:rPr>
          <w:rFonts w:ascii="Arial" w:hAnsi="Arial" w:cs="Arial"/>
          <w:sz w:val="24"/>
          <w:szCs w:val="24"/>
        </w:rPr>
        <w:t xml:space="preserve"> is the managing d</w:t>
      </w:r>
      <w:r w:rsidRPr="000C3275">
        <w:rPr>
          <w:rFonts w:ascii="Arial" w:hAnsi="Arial" w:cs="Arial"/>
          <w:sz w:val="24"/>
          <w:szCs w:val="24"/>
        </w:rPr>
        <w:t>irector and driving force. The petition j</w:t>
      </w:r>
      <w:r w:rsidR="00A90E41" w:rsidRPr="000C3275">
        <w:rPr>
          <w:rFonts w:ascii="Arial" w:hAnsi="Arial" w:cs="Arial"/>
          <w:sz w:val="24"/>
          <w:szCs w:val="24"/>
        </w:rPr>
        <w:t xml:space="preserve">udge therefore </w:t>
      </w:r>
      <w:r w:rsidR="00A90E41" w:rsidRPr="000C3275">
        <w:rPr>
          <w:rFonts w:ascii="Arial" w:hAnsi="Arial" w:cs="Arial"/>
          <w:sz w:val="24"/>
          <w:szCs w:val="24"/>
        </w:rPr>
        <w:lastRenderedPageBreak/>
        <w:t xml:space="preserve">worked closely with </w:t>
      </w:r>
      <w:r w:rsidR="00053963" w:rsidRPr="000C3275">
        <w:rPr>
          <w:rFonts w:ascii="Arial" w:hAnsi="Arial" w:cs="Arial"/>
          <w:sz w:val="24"/>
          <w:szCs w:val="24"/>
        </w:rPr>
        <w:t>Mr v</w:t>
      </w:r>
      <w:r w:rsidRPr="000C3275">
        <w:rPr>
          <w:rFonts w:ascii="Arial" w:hAnsi="Arial" w:cs="Arial"/>
          <w:sz w:val="24"/>
          <w:szCs w:val="24"/>
        </w:rPr>
        <w:t xml:space="preserve">an </w:t>
      </w:r>
      <w:proofErr w:type="spellStart"/>
      <w:r w:rsidRPr="000C3275">
        <w:rPr>
          <w:rFonts w:ascii="Arial" w:hAnsi="Arial" w:cs="Arial"/>
          <w:sz w:val="24"/>
          <w:szCs w:val="24"/>
        </w:rPr>
        <w:t>Rooyen</w:t>
      </w:r>
      <w:proofErr w:type="spellEnd"/>
      <w:r w:rsidRPr="000C3275">
        <w:rPr>
          <w:rFonts w:ascii="Arial" w:hAnsi="Arial" w:cs="Arial"/>
          <w:sz w:val="24"/>
          <w:szCs w:val="24"/>
        </w:rPr>
        <w:t xml:space="preserve"> </w:t>
      </w:r>
      <w:r w:rsidR="00A90E41" w:rsidRPr="000C3275">
        <w:rPr>
          <w:rFonts w:ascii="Arial" w:hAnsi="Arial" w:cs="Arial"/>
          <w:sz w:val="24"/>
          <w:szCs w:val="24"/>
        </w:rPr>
        <w:t xml:space="preserve">during that period and was remunerated for his services to </w:t>
      </w:r>
      <w:proofErr w:type="spellStart"/>
      <w:r w:rsidR="00A90E41" w:rsidRPr="000C3275">
        <w:rPr>
          <w:rFonts w:ascii="Arial" w:hAnsi="Arial" w:cs="Arial"/>
          <w:sz w:val="24"/>
          <w:szCs w:val="24"/>
        </w:rPr>
        <w:t>Trustco</w:t>
      </w:r>
      <w:proofErr w:type="spellEnd"/>
      <w:r w:rsidR="00A90E41" w:rsidRPr="000C3275">
        <w:rPr>
          <w:rFonts w:ascii="Arial" w:hAnsi="Arial" w:cs="Arial"/>
          <w:sz w:val="24"/>
          <w:szCs w:val="24"/>
        </w:rPr>
        <w:t xml:space="preserve"> Holdings.</w:t>
      </w:r>
      <w:r w:rsidRPr="000C3275">
        <w:rPr>
          <w:rFonts w:ascii="Arial" w:hAnsi="Arial" w:cs="Arial"/>
          <w:sz w:val="24"/>
          <w:szCs w:val="24"/>
        </w:rPr>
        <w:t xml:space="preserve"> From 200</w:t>
      </w:r>
      <w:r w:rsidR="00724152">
        <w:rPr>
          <w:rFonts w:ascii="Arial" w:hAnsi="Arial" w:cs="Arial"/>
          <w:sz w:val="24"/>
          <w:szCs w:val="24"/>
        </w:rPr>
        <w:t>5</w:t>
      </w:r>
      <w:r w:rsidRPr="000C3275">
        <w:rPr>
          <w:rFonts w:ascii="Arial" w:hAnsi="Arial" w:cs="Arial"/>
          <w:sz w:val="24"/>
          <w:szCs w:val="24"/>
        </w:rPr>
        <w:t xml:space="preserve"> </w:t>
      </w:r>
      <w:r w:rsidR="003E4058">
        <w:rPr>
          <w:rFonts w:ascii="Arial" w:hAnsi="Arial" w:cs="Arial"/>
          <w:sz w:val="24"/>
          <w:szCs w:val="24"/>
        </w:rPr>
        <w:t xml:space="preserve">up </w:t>
      </w:r>
      <w:r w:rsidRPr="000C3275">
        <w:rPr>
          <w:rFonts w:ascii="Arial" w:hAnsi="Arial" w:cs="Arial"/>
          <w:sz w:val="24"/>
          <w:szCs w:val="24"/>
        </w:rPr>
        <w:t>to the present</w:t>
      </w:r>
      <w:r w:rsidR="003E4058">
        <w:rPr>
          <w:rFonts w:ascii="Arial" w:hAnsi="Arial" w:cs="Arial"/>
          <w:sz w:val="24"/>
          <w:szCs w:val="24"/>
        </w:rPr>
        <w:t xml:space="preserve"> time</w:t>
      </w:r>
      <w:r w:rsidRPr="000C3275">
        <w:rPr>
          <w:rFonts w:ascii="Arial" w:hAnsi="Arial" w:cs="Arial"/>
          <w:sz w:val="24"/>
          <w:szCs w:val="24"/>
        </w:rPr>
        <w:t>, the petition j</w:t>
      </w:r>
      <w:r w:rsidR="00A90E41" w:rsidRPr="000C3275">
        <w:rPr>
          <w:rFonts w:ascii="Arial" w:hAnsi="Arial" w:cs="Arial"/>
          <w:sz w:val="24"/>
          <w:szCs w:val="24"/>
        </w:rPr>
        <w:t xml:space="preserve">udge is the remunerated chairman of </w:t>
      </w:r>
      <w:proofErr w:type="spellStart"/>
      <w:r w:rsidR="00A90E41" w:rsidRPr="000C3275">
        <w:rPr>
          <w:rFonts w:ascii="Arial" w:hAnsi="Arial" w:cs="Arial"/>
          <w:sz w:val="24"/>
          <w:szCs w:val="24"/>
        </w:rPr>
        <w:t>N</w:t>
      </w:r>
      <w:r w:rsidRPr="000C3275">
        <w:rPr>
          <w:rFonts w:ascii="Arial" w:hAnsi="Arial" w:cs="Arial"/>
          <w:sz w:val="24"/>
          <w:szCs w:val="24"/>
        </w:rPr>
        <w:t>ed</w:t>
      </w:r>
      <w:r w:rsidR="001C6056" w:rsidRPr="000C3275">
        <w:rPr>
          <w:rFonts w:ascii="Arial" w:hAnsi="Arial" w:cs="Arial"/>
          <w:sz w:val="24"/>
          <w:szCs w:val="24"/>
        </w:rPr>
        <w:t>Namibia</w:t>
      </w:r>
      <w:proofErr w:type="spellEnd"/>
      <w:r w:rsidRPr="000C3275">
        <w:rPr>
          <w:rFonts w:ascii="Arial" w:hAnsi="Arial" w:cs="Arial"/>
          <w:sz w:val="24"/>
          <w:szCs w:val="24"/>
        </w:rPr>
        <w:t xml:space="preserve"> Holdings Limited (</w:t>
      </w:r>
      <w:r w:rsidR="00A90E41" w:rsidRPr="000C3275">
        <w:rPr>
          <w:rFonts w:ascii="Arial" w:hAnsi="Arial" w:cs="Arial"/>
          <w:sz w:val="24"/>
          <w:szCs w:val="24"/>
        </w:rPr>
        <w:t>N</w:t>
      </w:r>
      <w:r w:rsidRPr="000C3275">
        <w:rPr>
          <w:rFonts w:ascii="Arial" w:hAnsi="Arial" w:cs="Arial"/>
          <w:sz w:val="24"/>
          <w:szCs w:val="24"/>
        </w:rPr>
        <w:t>N</w:t>
      </w:r>
      <w:r w:rsidR="00A90E41" w:rsidRPr="000C3275">
        <w:rPr>
          <w:rFonts w:ascii="Arial" w:hAnsi="Arial" w:cs="Arial"/>
          <w:sz w:val="24"/>
          <w:szCs w:val="24"/>
        </w:rPr>
        <w:t>HL</w:t>
      </w:r>
      <w:r w:rsidRPr="000C3275">
        <w:rPr>
          <w:rFonts w:ascii="Arial" w:hAnsi="Arial" w:cs="Arial"/>
          <w:sz w:val="24"/>
          <w:szCs w:val="24"/>
        </w:rPr>
        <w:t>)</w:t>
      </w:r>
      <w:r w:rsidR="00A90E41" w:rsidRPr="000C3275">
        <w:rPr>
          <w:rFonts w:ascii="Arial" w:hAnsi="Arial" w:cs="Arial"/>
          <w:sz w:val="24"/>
          <w:szCs w:val="24"/>
        </w:rPr>
        <w:t xml:space="preserve"> which owns all the shares in </w:t>
      </w:r>
      <w:proofErr w:type="spellStart"/>
      <w:r w:rsidR="00A90E41" w:rsidRPr="000C3275">
        <w:rPr>
          <w:rFonts w:ascii="Arial" w:hAnsi="Arial" w:cs="Arial"/>
          <w:sz w:val="24"/>
          <w:szCs w:val="24"/>
        </w:rPr>
        <w:t>Ned</w:t>
      </w:r>
      <w:r w:rsidR="001C6056" w:rsidRPr="000C3275">
        <w:rPr>
          <w:rFonts w:ascii="Arial" w:hAnsi="Arial" w:cs="Arial"/>
          <w:sz w:val="24"/>
          <w:szCs w:val="24"/>
        </w:rPr>
        <w:t>Namibia</w:t>
      </w:r>
      <w:proofErr w:type="spellEnd"/>
      <w:r w:rsidR="001C6056" w:rsidRPr="000C3275">
        <w:rPr>
          <w:rFonts w:ascii="Arial" w:hAnsi="Arial" w:cs="Arial"/>
          <w:sz w:val="24"/>
          <w:szCs w:val="24"/>
        </w:rPr>
        <w:t xml:space="preserve"> Life Assurance</w:t>
      </w:r>
      <w:r w:rsidR="00F66A81">
        <w:rPr>
          <w:rFonts w:ascii="Arial" w:hAnsi="Arial" w:cs="Arial"/>
          <w:sz w:val="24"/>
          <w:szCs w:val="24"/>
        </w:rPr>
        <w:t xml:space="preserve"> Limited (</w:t>
      </w:r>
      <w:proofErr w:type="spellStart"/>
      <w:r w:rsidR="00F66A81">
        <w:rPr>
          <w:rFonts w:ascii="Arial" w:hAnsi="Arial" w:cs="Arial"/>
          <w:sz w:val="24"/>
          <w:szCs w:val="24"/>
        </w:rPr>
        <w:t>NedL</w:t>
      </w:r>
      <w:r w:rsidR="001C6056" w:rsidRPr="000C3275">
        <w:rPr>
          <w:rFonts w:ascii="Arial" w:hAnsi="Arial" w:cs="Arial"/>
          <w:sz w:val="24"/>
          <w:szCs w:val="24"/>
        </w:rPr>
        <w:t>ife</w:t>
      </w:r>
      <w:proofErr w:type="spellEnd"/>
      <w:r w:rsidR="003E4058">
        <w:rPr>
          <w:rFonts w:ascii="Arial" w:hAnsi="Arial" w:cs="Arial"/>
          <w:sz w:val="24"/>
          <w:szCs w:val="24"/>
        </w:rPr>
        <w:t>),</w:t>
      </w:r>
      <w:r w:rsidR="00A90E41" w:rsidRPr="000C3275">
        <w:rPr>
          <w:rFonts w:ascii="Arial" w:hAnsi="Arial" w:cs="Arial"/>
          <w:sz w:val="24"/>
          <w:szCs w:val="24"/>
        </w:rPr>
        <w:t xml:space="preserve"> an applicant in the constitutional challenge pending in the High Court challenging the constitutionality of the </w:t>
      </w:r>
      <w:proofErr w:type="spellStart"/>
      <w:r w:rsidR="00A90E41" w:rsidRPr="000C3275">
        <w:rPr>
          <w:rFonts w:ascii="Arial" w:hAnsi="Arial" w:cs="Arial"/>
          <w:sz w:val="24"/>
          <w:szCs w:val="24"/>
        </w:rPr>
        <w:t>NAMRe</w:t>
      </w:r>
      <w:proofErr w:type="spellEnd"/>
      <w:r w:rsidR="00A90E41" w:rsidRPr="000C3275">
        <w:rPr>
          <w:rFonts w:ascii="Arial" w:hAnsi="Arial" w:cs="Arial"/>
          <w:sz w:val="24"/>
          <w:szCs w:val="24"/>
        </w:rPr>
        <w:t xml:space="preserve"> Act and the measures</w:t>
      </w:r>
      <w:r w:rsidR="00087AF8" w:rsidRPr="000C3275">
        <w:rPr>
          <w:rFonts w:ascii="Arial" w:hAnsi="Arial" w:cs="Arial"/>
          <w:sz w:val="24"/>
          <w:szCs w:val="24"/>
        </w:rPr>
        <w:t xml:space="preserve"> but is </w:t>
      </w:r>
      <w:r w:rsidR="00A90E41" w:rsidRPr="000C3275">
        <w:rPr>
          <w:rFonts w:ascii="Arial" w:hAnsi="Arial" w:cs="Arial"/>
          <w:sz w:val="24"/>
          <w:szCs w:val="24"/>
        </w:rPr>
        <w:t xml:space="preserve">not party </w:t>
      </w:r>
      <w:r w:rsidR="002143CD">
        <w:rPr>
          <w:rFonts w:ascii="Arial" w:hAnsi="Arial" w:cs="Arial"/>
          <w:sz w:val="24"/>
          <w:szCs w:val="24"/>
        </w:rPr>
        <w:t>to</w:t>
      </w:r>
      <w:r w:rsidR="00A90E41" w:rsidRPr="000C3275">
        <w:rPr>
          <w:rFonts w:ascii="Arial" w:hAnsi="Arial" w:cs="Arial"/>
          <w:sz w:val="24"/>
          <w:szCs w:val="24"/>
        </w:rPr>
        <w:t xml:space="preserve"> the application to compel</w:t>
      </w:r>
      <w:r w:rsidR="00087AF8" w:rsidRPr="000C3275">
        <w:rPr>
          <w:rFonts w:ascii="Arial" w:hAnsi="Arial" w:cs="Arial"/>
          <w:sz w:val="24"/>
          <w:szCs w:val="24"/>
        </w:rPr>
        <w:t xml:space="preserve"> and therefore also not a party in the petition</w:t>
      </w:r>
      <w:r w:rsidR="00A90E41" w:rsidRPr="000C3275">
        <w:rPr>
          <w:rFonts w:ascii="Arial" w:hAnsi="Arial" w:cs="Arial"/>
          <w:sz w:val="24"/>
          <w:szCs w:val="24"/>
        </w:rPr>
        <w:t xml:space="preserve">. </w:t>
      </w:r>
    </w:p>
    <w:p w:rsidR="00F845A3" w:rsidRPr="000C3275" w:rsidRDefault="00F845A3" w:rsidP="00F845A3">
      <w:pPr>
        <w:pStyle w:val="ListParagraph"/>
        <w:rPr>
          <w:rFonts w:ascii="Arial" w:hAnsi="Arial" w:cs="Arial"/>
          <w:sz w:val="24"/>
          <w:szCs w:val="24"/>
          <w:lang w:val="en-GB"/>
        </w:rPr>
      </w:pPr>
    </w:p>
    <w:p w:rsidR="00F845A3" w:rsidRPr="000C3275" w:rsidRDefault="00F845A3"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lang w:val="en-GB"/>
        </w:rPr>
        <w:t>In the pending constitutional challenge and the administrative law review, the respondents invoke</w:t>
      </w:r>
      <w:r w:rsidR="003511BF" w:rsidRPr="000C3275">
        <w:rPr>
          <w:rFonts w:ascii="Arial" w:hAnsi="Arial" w:cs="Arial"/>
          <w:sz w:val="24"/>
          <w:szCs w:val="24"/>
          <w:lang w:val="en-GB"/>
        </w:rPr>
        <w:t>,</w:t>
      </w:r>
      <w:r w:rsidRPr="000C3275">
        <w:rPr>
          <w:rFonts w:ascii="Arial" w:hAnsi="Arial" w:cs="Arial"/>
          <w:sz w:val="24"/>
          <w:szCs w:val="24"/>
          <w:lang w:val="en-GB"/>
        </w:rPr>
        <w:t xml:space="preserve"> am</w:t>
      </w:r>
      <w:r w:rsidR="003511BF" w:rsidRPr="000C3275">
        <w:rPr>
          <w:rFonts w:ascii="Arial" w:hAnsi="Arial" w:cs="Arial"/>
          <w:sz w:val="24"/>
          <w:szCs w:val="24"/>
          <w:lang w:val="en-GB"/>
        </w:rPr>
        <w:t>ongst others, Articles 10 and 21 of the Constitution which were relied on in the 1999 constitutional challenge.</w:t>
      </w:r>
    </w:p>
    <w:p w:rsidR="00053963" w:rsidRPr="000C3275" w:rsidRDefault="00053963" w:rsidP="00A47FC7">
      <w:pPr>
        <w:pStyle w:val="ListParagraph"/>
        <w:spacing w:after="0" w:line="480" w:lineRule="auto"/>
        <w:rPr>
          <w:rFonts w:ascii="Arial" w:hAnsi="Arial" w:cs="Arial"/>
          <w:sz w:val="24"/>
          <w:szCs w:val="24"/>
          <w:lang w:val="en-GB"/>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In terms of the practice of the Supreme Court, once a petition is received by the Chief Justice, it is assigned to one or more judges whose involvement is not disclosed to the parties until after the petition is considered and the outcome announced to them. </w:t>
      </w:r>
      <w:r w:rsidR="001C6056" w:rsidRPr="000C3275">
        <w:rPr>
          <w:rFonts w:ascii="Arial" w:hAnsi="Arial" w:cs="Arial"/>
          <w:sz w:val="24"/>
          <w:szCs w:val="24"/>
        </w:rPr>
        <w:t xml:space="preserve">Reasons for the order are also not published. </w:t>
      </w:r>
      <w:r w:rsidRPr="000C3275">
        <w:rPr>
          <w:rFonts w:ascii="Arial" w:hAnsi="Arial" w:cs="Arial"/>
          <w:sz w:val="24"/>
          <w:szCs w:val="24"/>
        </w:rPr>
        <w:t>That is what transpired in regard to the petition which is the subject of the recusal application.</w:t>
      </w:r>
    </w:p>
    <w:p w:rsidR="005E4E2F" w:rsidRDefault="005E4E2F" w:rsidP="00A47FC7">
      <w:pPr>
        <w:tabs>
          <w:tab w:val="left" w:pos="851"/>
        </w:tabs>
        <w:spacing w:after="0" w:line="480" w:lineRule="auto"/>
        <w:contextualSpacing/>
        <w:jc w:val="both"/>
        <w:rPr>
          <w:rFonts w:ascii="Arial" w:hAnsi="Arial" w:cs="Arial"/>
          <w:sz w:val="24"/>
          <w:szCs w:val="24"/>
          <w:lang w:val="en-GB"/>
        </w:rPr>
      </w:pPr>
    </w:p>
    <w:p w:rsidR="005446C2" w:rsidRPr="003E4058" w:rsidRDefault="005446C2" w:rsidP="008C06C9">
      <w:pPr>
        <w:spacing w:after="0" w:line="480" w:lineRule="auto"/>
        <w:jc w:val="both"/>
        <w:rPr>
          <w:rFonts w:ascii="Arial" w:hAnsi="Arial" w:cs="Arial"/>
          <w:sz w:val="24"/>
          <w:szCs w:val="24"/>
          <w:u w:val="single"/>
        </w:rPr>
      </w:pPr>
      <w:r w:rsidRPr="003E4058">
        <w:rPr>
          <w:rFonts w:ascii="Arial" w:hAnsi="Arial" w:cs="Arial"/>
          <w:sz w:val="24"/>
          <w:szCs w:val="24"/>
          <w:u w:val="single"/>
        </w:rPr>
        <w:t>The Minister’s contentions</w:t>
      </w: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Based on the known facts set out above, the appl</w:t>
      </w:r>
      <w:r w:rsidR="00053963" w:rsidRPr="000C3275">
        <w:rPr>
          <w:rFonts w:ascii="Arial" w:hAnsi="Arial" w:cs="Arial"/>
          <w:sz w:val="24"/>
          <w:szCs w:val="24"/>
        </w:rPr>
        <w:t>icants seek the recusal of the petition j</w:t>
      </w:r>
      <w:r w:rsidRPr="000C3275">
        <w:rPr>
          <w:rFonts w:ascii="Arial" w:hAnsi="Arial" w:cs="Arial"/>
          <w:sz w:val="24"/>
          <w:szCs w:val="24"/>
        </w:rPr>
        <w:t xml:space="preserve">udge on three principal grounds. </w:t>
      </w:r>
    </w:p>
    <w:p w:rsidR="005446C2" w:rsidRPr="000C3275" w:rsidRDefault="005446C2" w:rsidP="003E11F8">
      <w:pPr>
        <w:tabs>
          <w:tab w:val="left" w:pos="851"/>
        </w:tabs>
        <w:spacing w:after="0" w:line="480" w:lineRule="auto"/>
        <w:contextualSpacing/>
        <w:jc w:val="both"/>
        <w:rPr>
          <w:rFonts w:ascii="Arial" w:hAnsi="Arial" w:cs="Arial"/>
          <w:sz w:val="24"/>
          <w:szCs w:val="24"/>
          <w:lang w:val="en-GB"/>
        </w:rPr>
      </w:pPr>
    </w:p>
    <w:p w:rsidR="005446C2" w:rsidRPr="000C3275" w:rsidRDefault="00053963"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Firstly, the petition j</w:t>
      </w:r>
      <w:r w:rsidR="00A90E41" w:rsidRPr="000C3275">
        <w:rPr>
          <w:rFonts w:ascii="Arial" w:hAnsi="Arial" w:cs="Arial"/>
          <w:sz w:val="24"/>
          <w:szCs w:val="24"/>
        </w:rPr>
        <w:t>udge having acted as lead counsel for the in</w:t>
      </w:r>
      <w:r w:rsidR="001C6056" w:rsidRPr="000C3275">
        <w:rPr>
          <w:rFonts w:ascii="Arial" w:hAnsi="Arial" w:cs="Arial"/>
          <w:sz w:val="24"/>
          <w:szCs w:val="24"/>
        </w:rPr>
        <w:t>surance industry in the 199</w:t>
      </w:r>
      <w:r w:rsidR="00493143" w:rsidRPr="000C3275">
        <w:rPr>
          <w:rFonts w:ascii="Arial" w:hAnsi="Arial" w:cs="Arial"/>
          <w:sz w:val="24"/>
          <w:szCs w:val="24"/>
        </w:rPr>
        <w:t>9</w:t>
      </w:r>
      <w:r w:rsidR="00A90E41" w:rsidRPr="000C3275">
        <w:rPr>
          <w:rFonts w:ascii="Arial" w:hAnsi="Arial" w:cs="Arial"/>
          <w:sz w:val="24"/>
          <w:szCs w:val="24"/>
        </w:rPr>
        <w:t xml:space="preserve"> constitutional </w:t>
      </w:r>
      <w:r w:rsidRPr="000C3275">
        <w:rPr>
          <w:rFonts w:ascii="Arial" w:hAnsi="Arial" w:cs="Arial"/>
          <w:sz w:val="24"/>
          <w:szCs w:val="24"/>
        </w:rPr>
        <w:t xml:space="preserve">challenge </w:t>
      </w:r>
      <w:r w:rsidR="00A90E41" w:rsidRPr="000C3275">
        <w:rPr>
          <w:rFonts w:ascii="Arial" w:hAnsi="Arial" w:cs="Arial"/>
          <w:sz w:val="24"/>
          <w:szCs w:val="24"/>
        </w:rPr>
        <w:t xml:space="preserve">had, in </w:t>
      </w:r>
      <w:r w:rsidR="0062180F" w:rsidRPr="000C3275">
        <w:rPr>
          <w:rFonts w:ascii="Arial" w:hAnsi="Arial" w:cs="Arial"/>
          <w:sz w:val="24"/>
          <w:szCs w:val="24"/>
        </w:rPr>
        <w:t xml:space="preserve">his </w:t>
      </w:r>
      <w:r w:rsidRPr="000C3275">
        <w:rPr>
          <w:rFonts w:ascii="Arial" w:hAnsi="Arial" w:cs="Arial"/>
          <w:sz w:val="24"/>
          <w:szCs w:val="24"/>
        </w:rPr>
        <w:t>former capacity</w:t>
      </w:r>
      <w:r w:rsidR="00A90E41" w:rsidRPr="000C3275">
        <w:rPr>
          <w:rFonts w:ascii="Arial" w:hAnsi="Arial" w:cs="Arial"/>
          <w:sz w:val="24"/>
          <w:szCs w:val="24"/>
        </w:rPr>
        <w:t xml:space="preserve">, either advised </w:t>
      </w:r>
      <w:r w:rsidR="002143CD">
        <w:rPr>
          <w:rFonts w:ascii="Arial" w:hAnsi="Arial" w:cs="Arial"/>
          <w:sz w:val="24"/>
          <w:szCs w:val="24"/>
        </w:rPr>
        <w:t xml:space="preserve">a party in the petition </w:t>
      </w:r>
      <w:r w:rsidR="00A90E41" w:rsidRPr="000C3275">
        <w:rPr>
          <w:rFonts w:ascii="Arial" w:hAnsi="Arial" w:cs="Arial"/>
          <w:sz w:val="24"/>
          <w:szCs w:val="24"/>
        </w:rPr>
        <w:t xml:space="preserve">or acquired personal knowledge relevant to the petition. The </w:t>
      </w:r>
      <w:r w:rsidR="00A90E41" w:rsidRPr="000C3275">
        <w:rPr>
          <w:rFonts w:ascii="Arial" w:hAnsi="Arial" w:cs="Arial"/>
          <w:sz w:val="24"/>
          <w:szCs w:val="24"/>
        </w:rPr>
        <w:lastRenderedPageBreak/>
        <w:t>Minister maintains that this created a conflict of interest which should have become immediately apparent to the</w:t>
      </w:r>
      <w:r w:rsidRPr="000C3275">
        <w:rPr>
          <w:rFonts w:ascii="Arial" w:hAnsi="Arial" w:cs="Arial"/>
          <w:sz w:val="24"/>
          <w:szCs w:val="24"/>
        </w:rPr>
        <w:t xml:space="preserve"> petition j</w:t>
      </w:r>
      <w:r w:rsidR="00A90E41" w:rsidRPr="000C3275">
        <w:rPr>
          <w:rFonts w:ascii="Arial" w:hAnsi="Arial" w:cs="Arial"/>
          <w:sz w:val="24"/>
          <w:szCs w:val="24"/>
        </w:rPr>
        <w:t>udge upon becoming seized with the petition.</w:t>
      </w:r>
    </w:p>
    <w:p w:rsidR="005446C2" w:rsidRPr="000C3275" w:rsidRDefault="005446C2" w:rsidP="003E11F8">
      <w:pPr>
        <w:pStyle w:val="ListParagraph"/>
        <w:spacing w:after="0" w:line="480" w:lineRule="auto"/>
        <w:rPr>
          <w:rFonts w:ascii="Arial" w:hAnsi="Arial" w:cs="Arial"/>
          <w:sz w:val="24"/>
          <w:szCs w:val="24"/>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According </w:t>
      </w:r>
      <w:r w:rsidR="001C6056" w:rsidRPr="000C3275">
        <w:rPr>
          <w:rFonts w:ascii="Arial" w:hAnsi="Arial" w:cs="Arial"/>
          <w:sz w:val="24"/>
          <w:szCs w:val="24"/>
        </w:rPr>
        <w:t xml:space="preserve">to the Minister, </w:t>
      </w:r>
      <w:r w:rsidRPr="000C3275">
        <w:rPr>
          <w:rFonts w:ascii="Arial" w:hAnsi="Arial" w:cs="Arial"/>
          <w:sz w:val="24"/>
          <w:szCs w:val="24"/>
        </w:rPr>
        <w:t xml:space="preserve">the </w:t>
      </w:r>
      <w:proofErr w:type="spellStart"/>
      <w:r w:rsidRPr="000C3275">
        <w:rPr>
          <w:rFonts w:ascii="Arial" w:hAnsi="Arial" w:cs="Arial"/>
          <w:sz w:val="24"/>
          <w:szCs w:val="24"/>
        </w:rPr>
        <w:t>NAMRe</w:t>
      </w:r>
      <w:proofErr w:type="spellEnd"/>
      <w:r w:rsidRPr="000C3275">
        <w:rPr>
          <w:rFonts w:ascii="Arial" w:hAnsi="Arial" w:cs="Arial"/>
          <w:sz w:val="24"/>
          <w:szCs w:val="24"/>
        </w:rPr>
        <w:t xml:space="preserve"> Act was challenged by the insurance industry on the same bases that it is challenged in the proceedings </w:t>
      </w:r>
      <w:r w:rsidRPr="000C3275">
        <w:rPr>
          <w:rFonts w:ascii="Arial" w:hAnsi="Arial" w:cs="Arial"/>
          <w:i/>
          <w:sz w:val="24"/>
          <w:szCs w:val="24"/>
        </w:rPr>
        <w:t>a quo</w:t>
      </w:r>
      <w:r w:rsidRPr="000C3275">
        <w:rPr>
          <w:rFonts w:ascii="Arial" w:hAnsi="Arial" w:cs="Arial"/>
          <w:sz w:val="24"/>
          <w:szCs w:val="24"/>
        </w:rPr>
        <w:t xml:space="preserve"> and that t</w:t>
      </w:r>
      <w:r w:rsidR="00053963" w:rsidRPr="000C3275">
        <w:rPr>
          <w:rFonts w:ascii="Arial" w:hAnsi="Arial" w:cs="Arial"/>
          <w:sz w:val="24"/>
          <w:szCs w:val="24"/>
        </w:rPr>
        <w:t>he petition j</w:t>
      </w:r>
      <w:r w:rsidRPr="000C3275">
        <w:rPr>
          <w:rFonts w:ascii="Arial" w:hAnsi="Arial" w:cs="Arial"/>
          <w:sz w:val="24"/>
          <w:szCs w:val="24"/>
        </w:rPr>
        <w:t xml:space="preserve">udge (then as lead counsel for the insurance industry) was the architect of the legal strategy on which the challenge was based. The Minister points out that the constitutional challenge in the court </w:t>
      </w:r>
      <w:r w:rsidRPr="000C3275">
        <w:rPr>
          <w:rFonts w:ascii="Arial" w:hAnsi="Arial" w:cs="Arial"/>
          <w:i/>
          <w:sz w:val="24"/>
          <w:szCs w:val="24"/>
        </w:rPr>
        <w:t>a quo</w:t>
      </w:r>
      <w:r w:rsidRPr="000C3275">
        <w:rPr>
          <w:rFonts w:ascii="Arial" w:hAnsi="Arial" w:cs="Arial"/>
          <w:sz w:val="24"/>
          <w:szCs w:val="24"/>
        </w:rPr>
        <w:t xml:space="preserve"> proceeds from the premise that the judgment of the Full Bench in the 1999 constitutional </w:t>
      </w:r>
      <w:r w:rsidR="0062180F" w:rsidRPr="000C3275">
        <w:rPr>
          <w:rFonts w:ascii="Arial" w:hAnsi="Arial" w:cs="Arial"/>
          <w:sz w:val="24"/>
          <w:szCs w:val="24"/>
        </w:rPr>
        <w:t xml:space="preserve">challenge is </w:t>
      </w:r>
      <w:r w:rsidRPr="000C3275">
        <w:rPr>
          <w:rFonts w:ascii="Arial" w:hAnsi="Arial" w:cs="Arial"/>
          <w:sz w:val="24"/>
          <w:szCs w:val="24"/>
        </w:rPr>
        <w:t xml:space="preserve">wrong. </w:t>
      </w:r>
    </w:p>
    <w:p w:rsidR="005446C2" w:rsidRPr="000C3275" w:rsidRDefault="005446C2" w:rsidP="003E11F8">
      <w:pPr>
        <w:pStyle w:val="ListParagraph"/>
        <w:spacing w:after="0" w:line="480" w:lineRule="auto"/>
        <w:rPr>
          <w:rFonts w:ascii="Arial" w:hAnsi="Arial" w:cs="Arial"/>
          <w:sz w:val="24"/>
          <w:szCs w:val="24"/>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The Minister as</w:t>
      </w:r>
      <w:r w:rsidR="0062180F" w:rsidRPr="000C3275">
        <w:rPr>
          <w:rFonts w:ascii="Arial" w:hAnsi="Arial" w:cs="Arial"/>
          <w:sz w:val="24"/>
          <w:szCs w:val="24"/>
        </w:rPr>
        <w:t>serts that on those facts, the petition j</w:t>
      </w:r>
      <w:r w:rsidRPr="000C3275">
        <w:rPr>
          <w:rFonts w:ascii="Arial" w:hAnsi="Arial" w:cs="Arial"/>
          <w:sz w:val="24"/>
          <w:szCs w:val="24"/>
        </w:rPr>
        <w:t xml:space="preserve">udge would be reasonably perceived not to act impartially. </w:t>
      </w:r>
    </w:p>
    <w:p w:rsidR="005446C2" w:rsidRPr="000C3275" w:rsidRDefault="005446C2" w:rsidP="003E11F8">
      <w:pPr>
        <w:pStyle w:val="ListParagraph"/>
        <w:spacing w:after="0" w:line="480" w:lineRule="auto"/>
        <w:rPr>
          <w:rFonts w:ascii="Arial" w:hAnsi="Arial" w:cs="Arial"/>
          <w:sz w:val="24"/>
          <w:szCs w:val="24"/>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The se</w:t>
      </w:r>
      <w:r w:rsidR="0062180F" w:rsidRPr="000C3275">
        <w:rPr>
          <w:rFonts w:ascii="Arial" w:hAnsi="Arial" w:cs="Arial"/>
          <w:sz w:val="24"/>
          <w:szCs w:val="24"/>
        </w:rPr>
        <w:t>cond ground is premised on the petition j</w:t>
      </w:r>
      <w:r w:rsidRPr="000C3275">
        <w:rPr>
          <w:rFonts w:ascii="Arial" w:hAnsi="Arial" w:cs="Arial"/>
          <w:sz w:val="24"/>
          <w:szCs w:val="24"/>
        </w:rPr>
        <w:t>udge’s remunerated association with NNHL</w:t>
      </w:r>
      <w:r w:rsidR="00493143" w:rsidRPr="000C3275">
        <w:rPr>
          <w:rFonts w:ascii="Arial" w:hAnsi="Arial" w:cs="Arial"/>
          <w:sz w:val="24"/>
          <w:szCs w:val="24"/>
        </w:rPr>
        <w:t xml:space="preserve"> (which is the holding company of </w:t>
      </w:r>
      <w:proofErr w:type="spellStart"/>
      <w:r w:rsidR="00493143" w:rsidRPr="000C3275">
        <w:rPr>
          <w:rFonts w:ascii="Arial" w:hAnsi="Arial" w:cs="Arial"/>
          <w:sz w:val="24"/>
          <w:szCs w:val="24"/>
        </w:rPr>
        <w:t>NedLife</w:t>
      </w:r>
      <w:proofErr w:type="spellEnd"/>
      <w:r w:rsidR="00493143" w:rsidRPr="000C3275">
        <w:rPr>
          <w:rFonts w:ascii="Arial" w:hAnsi="Arial" w:cs="Arial"/>
          <w:sz w:val="24"/>
          <w:szCs w:val="24"/>
        </w:rPr>
        <w:t>)</w:t>
      </w:r>
      <w:r w:rsidR="00F573E8">
        <w:rPr>
          <w:rFonts w:ascii="Arial" w:hAnsi="Arial" w:cs="Arial"/>
          <w:sz w:val="24"/>
          <w:szCs w:val="24"/>
        </w:rPr>
        <w:t xml:space="preserve"> since February 2005. </w:t>
      </w:r>
      <w:r w:rsidR="001A6A06">
        <w:rPr>
          <w:rFonts w:ascii="Arial" w:hAnsi="Arial" w:cs="Arial"/>
          <w:sz w:val="24"/>
          <w:szCs w:val="24"/>
        </w:rPr>
        <w:t xml:space="preserve">To recap, </w:t>
      </w:r>
      <w:proofErr w:type="spellStart"/>
      <w:r w:rsidR="00F573E8">
        <w:rPr>
          <w:rFonts w:ascii="Arial" w:hAnsi="Arial" w:cs="Arial"/>
          <w:sz w:val="24"/>
          <w:szCs w:val="24"/>
        </w:rPr>
        <w:t>NedL</w:t>
      </w:r>
      <w:r w:rsidRPr="000C3275">
        <w:rPr>
          <w:rFonts w:ascii="Arial" w:hAnsi="Arial" w:cs="Arial"/>
          <w:sz w:val="24"/>
          <w:szCs w:val="24"/>
        </w:rPr>
        <w:t>ife</w:t>
      </w:r>
      <w:proofErr w:type="spellEnd"/>
      <w:r w:rsidRPr="000C3275">
        <w:rPr>
          <w:rFonts w:ascii="Arial" w:hAnsi="Arial" w:cs="Arial"/>
          <w:sz w:val="24"/>
          <w:szCs w:val="24"/>
        </w:rPr>
        <w:t xml:space="preserve">, although not cited as a party in the petition, is an applicant in the </w:t>
      </w:r>
      <w:r w:rsidR="0062180F" w:rsidRPr="000C3275">
        <w:rPr>
          <w:rFonts w:ascii="Arial" w:hAnsi="Arial" w:cs="Arial"/>
          <w:sz w:val="24"/>
          <w:szCs w:val="24"/>
        </w:rPr>
        <w:t xml:space="preserve">pending </w:t>
      </w:r>
      <w:r w:rsidRPr="000C3275">
        <w:rPr>
          <w:rFonts w:ascii="Arial" w:hAnsi="Arial" w:cs="Arial"/>
          <w:sz w:val="24"/>
          <w:szCs w:val="24"/>
        </w:rPr>
        <w:t xml:space="preserve">constitutional challenge and the review. </w:t>
      </w:r>
    </w:p>
    <w:p w:rsidR="005446C2" w:rsidRPr="000C3275" w:rsidRDefault="005446C2" w:rsidP="003E11F8">
      <w:pPr>
        <w:pStyle w:val="ListParagraph"/>
        <w:spacing w:after="0" w:line="480" w:lineRule="auto"/>
        <w:rPr>
          <w:rFonts w:ascii="Arial" w:hAnsi="Arial" w:cs="Arial"/>
          <w:sz w:val="24"/>
          <w:szCs w:val="24"/>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The Minister states that </w:t>
      </w:r>
      <w:proofErr w:type="spellStart"/>
      <w:r w:rsidRPr="000C3275">
        <w:rPr>
          <w:rFonts w:ascii="Arial" w:hAnsi="Arial" w:cs="Arial"/>
          <w:sz w:val="24"/>
          <w:szCs w:val="24"/>
        </w:rPr>
        <w:t>NedLife</w:t>
      </w:r>
      <w:proofErr w:type="spellEnd"/>
      <w:r w:rsidRPr="000C3275">
        <w:rPr>
          <w:rFonts w:ascii="Arial" w:hAnsi="Arial" w:cs="Arial"/>
          <w:sz w:val="24"/>
          <w:szCs w:val="24"/>
        </w:rPr>
        <w:t xml:space="preserve"> is referred to in the supporting affidavits in the petition as one of the insurers which agreed to comply with the measures on an interim basis and which is also directly affected by the order of stay in that it stands to benefit from the refusal of the petition as it will no longer be under an obligation to comply with the agreement reached to comply with the measures, pending the </w:t>
      </w:r>
      <w:proofErr w:type="spellStart"/>
      <w:r w:rsidRPr="000C3275">
        <w:rPr>
          <w:rFonts w:ascii="Arial" w:hAnsi="Arial" w:cs="Arial"/>
          <w:sz w:val="24"/>
          <w:szCs w:val="24"/>
        </w:rPr>
        <w:t>finalisation</w:t>
      </w:r>
      <w:proofErr w:type="spellEnd"/>
      <w:r w:rsidRPr="000C3275">
        <w:rPr>
          <w:rFonts w:ascii="Arial" w:hAnsi="Arial" w:cs="Arial"/>
          <w:sz w:val="24"/>
          <w:szCs w:val="24"/>
        </w:rPr>
        <w:t xml:space="preserve"> of the constitutional challenge and the review</w:t>
      </w:r>
      <w:r w:rsidR="00354DC4">
        <w:rPr>
          <w:rFonts w:ascii="Arial" w:hAnsi="Arial" w:cs="Arial"/>
          <w:sz w:val="24"/>
          <w:szCs w:val="24"/>
        </w:rPr>
        <w:t>.</w:t>
      </w:r>
    </w:p>
    <w:p w:rsidR="005446C2" w:rsidRPr="000C3275" w:rsidRDefault="005446C2" w:rsidP="003E11F8">
      <w:pPr>
        <w:pStyle w:val="ListParagraph"/>
        <w:spacing w:after="0" w:line="480" w:lineRule="auto"/>
        <w:rPr>
          <w:rFonts w:ascii="Arial" w:hAnsi="Arial" w:cs="Arial"/>
          <w:sz w:val="24"/>
          <w:szCs w:val="24"/>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lastRenderedPageBreak/>
        <w:t>According to t</w:t>
      </w:r>
      <w:r w:rsidR="0062180F" w:rsidRPr="000C3275">
        <w:rPr>
          <w:rFonts w:ascii="Arial" w:hAnsi="Arial" w:cs="Arial"/>
          <w:sz w:val="24"/>
          <w:szCs w:val="24"/>
        </w:rPr>
        <w:t>he Minister, the fact that the petition j</w:t>
      </w:r>
      <w:r w:rsidRPr="000C3275">
        <w:rPr>
          <w:rFonts w:ascii="Arial" w:hAnsi="Arial" w:cs="Arial"/>
          <w:sz w:val="24"/>
          <w:szCs w:val="24"/>
        </w:rPr>
        <w:t xml:space="preserve">udge, as chairman of NNHL, receives remuneration imposes a fiduciary duty on him towards </w:t>
      </w:r>
      <w:proofErr w:type="spellStart"/>
      <w:r w:rsidRPr="000C3275">
        <w:rPr>
          <w:rFonts w:ascii="Arial" w:hAnsi="Arial" w:cs="Arial"/>
          <w:sz w:val="24"/>
          <w:szCs w:val="24"/>
        </w:rPr>
        <w:t>NedLife</w:t>
      </w:r>
      <w:proofErr w:type="spellEnd"/>
      <w:r w:rsidRPr="000C3275">
        <w:rPr>
          <w:rFonts w:ascii="Arial" w:hAnsi="Arial" w:cs="Arial"/>
          <w:sz w:val="24"/>
          <w:szCs w:val="24"/>
        </w:rPr>
        <w:t xml:space="preserve"> </w:t>
      </w:r>
      <w:r w:rsidR="0062180F" w:rsidRPr="000C3275">
        <w:rPr>
          <w:rFonts w:ascii="Arial" w:hAnsi="Arial" w:cs="Arial"/>
          <w:sz w:val="24"/>
          <w:szCs w:val="24"/>
        </w:rPr>
        <w:t xml:space="preserve">which is a subsidiary of NNHL </w:t>
      </w:r>
      <w:r w:rsidRPr="000C3275">
        <w:rPr>
          <w:rFonts w:ascii="Arial" w:hAnsi="Arial" w:cs="Arial"/>
          <w:sz w:val="24"/>
          <w:szCs w:val="24"/>
        </w:rPr>
        <w:t xml:space="preserve">and </w:t>
      </w:r>
      <w:r w:rsidR="00354DC4">
        <w:rPr>
          <w:rFonts w:ascii="Arial" w:hAnsi="Arial" w:cs="Arial"/>
          <w:sz w:val="24"/>
          <w:szCs w:val="24"/>
        </w:rPr>
        <w:t>that made</w:t>
      </w:r>
      <w:r w:rsidRPr="000C3275">
        <w:rPr>
          <w:rFonts w:ascii="Arial" w:hAnsi="Arial" w:cs="Arial"/>
          <w:sz w:val="24"/>
          <w:szCs w:val="24"/>
        </w:rPr>
        <w:t xml:space="preserve"> it untenable for him to preside in the petition.</w:t>
      </w:r>
    </w:p>
    <w:p w:rsidR="005446C2" w:rsidRPr="000C3275" w:rsidRDefault="005446C2" w:rsidP="003E11F8">
      <w:pPr>
        <w:pStyle w:val="ListParagraph"/>
        <w:spacing w:after="0" w:line="480" w:lineRule="auto"/>
        <w:rPr>
          <w:rFonts w:ascii="Arial" w:hAnsi="Arial" w:cs="Arial"/>
          <w:sz w:val="24"/>
          <w:szCs w:val="24"/>
        </w:rPr>
      </w:pPr>
    </w:p>
    <w:p w:rsidR="005446C2" w:rsidRPr="000C3275" w:rsidRDefault="0062180F"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The third ground concerns the petition j</w:t>
      </w:r>
      <w:r w:rsidR="00A90E41" w:rsidRPr="000C3275">
        <w:rPr>
          <w:rFonts w:ascii="Arial" w:hAnsi="Arial" w:cs="Arial"/>
          <w:sz w:val="24"/>
          <w:szCs w:val="24"/>
        </w:rPr>
        <w:t xml:space="preserve">udge’s previous directorship of </w:t>
      </w:r>
      <w:proofErr w:type="spellStart"/>
      <w:r w:rsidR="00A90E41" w:rsidRPr="000C3275">
        <w:rPr>
          <w:rFonts w:ascii="Arial" w:hAnsi="Arial" w:cs="Arial"/>
          <w:sz w:val="24"/>
          <w:szCs w:val="24"/>
        </w:rPr>
        <w:t>T</w:t>
      </w:r>
      <w:r w:rsidR="008C3D33" w:rsidRPr="000C3275">
        <w:rPr>
          <w:rFonts w:ascii="Arial" w:hAnsi="Arial" w:cs="Arial"/>
          <w:sz w:val="24"/>
          <w:szCs w:val="24"/>
        </w:rPr>
        <w:t>rustco</w:t>
      </w:r>
      <w:proofErr w:type="spellEnd"/>
      <w:r w:rsidR="008C3D33" w:rsidRPr="000C3275">
        <w:rPr>
          <w:rFonts w:ascii="Arial" w:hAnsi="Arial" w:cs="Arial"/>
          <w:sz w:val="24"/>
          <w:szCs w:val="24"/>
        </w:rPr>
        <w:t xml:space="preserve"> </w:t>
      </w:r>
      <w:r w:rsidR="00A90E41" w:rsidRPr="000C3275">
        <w:rPr>
          <w:rFonts w:ascii="Arial" w:hAnsi="Arial" w:cs="Arial"/>
          <w:sz w:val="24"/>
          <w:szCs w:val="24"/>
        </w:rPr>
        <w:t>Holdings (</w:t>
      </w:r>
      <w:proofErr w:type="spellStart"/>
      <w:r w:rsidR="00A90E41" w:rsidRPr="000C3275">
        <w:rPr>
          <w:rFonts w:ascii="Arial" w:hAnsi="Arial" w:cs="Arial"/>
          <w:sz w:val="24"/>
          <w:szCs w:val="24"/>
        </w:rPr>
        <w:t>Trustco</w:t>
      </w:r>
      <w:proofErr w:type="spellEnd"/>
      <w:r w:rsidR="00A90E41" w:rsidRPr="000C3275">
        <w:rPr>
          <w:rFonts w:ascii="Arial" w:hAnsi="Arial" w:cs="Arial"/>
          <w:sz w:val="24"/>
          <w:szCs w:val="24"/>
        </w:rPr>
        <w:t xml:space="preserve">) for the period 2006-2009. </w:t>
      </w:r>
      <w:proofErr w:type="spellStart"/>
      <w:r w:rsidR="00A90E41" w:rsidRPr="000C3275">
        <w:rPr>
          <w:rFonts w:ascii="Arial" w:hAnsi="Arial" w:cs="Arial"/>
          <w:sz w:val="24"/>
          <w:szCs w:val="24"/>
        </w:rPr>
        <w:t>Trustco</w:t>
      </w:r>
      <w:proofErr w:type="spellEnd"/>
      <w:r w:rsidR="00A90E41" w:rsidRPr="000C3275">
        <w:rPr>
          <w:rFonts w:ascii="Arial" w:hAnsi="Arial" w:cs="Arial"/>
          <w:sz w:val="24"/>
          <w:szCs w:val="24"/>
        </w:rPr>
        <w:t xml:space="preserve"> owns the fifth</w:t>
      </w:r>
      <w:r w:rsidR="001A6A06">
        <w:rPr>
          <w:rFonts w:ascii="Arial" w:hAnsi="Arial" w:cs="Arial"/>
          <w:sz w:val="24"/>
          <w:szCs w:val="24"/>
        </w:rPr>
        <w:t xml:space="preserve"> (</w:t>
      </w:r>
      <w:proofErr w:type="spellStart"/>
      <w:r w:rsidR="001A6A06">
        <w:rPr>
          <w:rFonts w:ascii="Arial" w:hAnsi="Arial" w:cs="Arial"/>
          <w:sz w:val="24"/>
          <w:szCs w:val="24"/>
        </w:rPr>
        <w:t>Trusco</w:t>
      </w:r>
      <w:proofErr w:type="spellEnd"/>
      <w:r w:rsidR="001A6A06">
        <w:rPr>
          <w:rFonts w:ascii="Arial" w:hAnsi="Arial" w:cs="Arial"/>
          <w:sz w:val="24"/>
          <w:szCs w:val="24"/>
        </w:rPr>
        <w:t xml:space="preserve"> Insurance Limited)</w:t>
      </w:r>
      <w:r w:rsidR="00A90E41" w:rsidRPr="000C3275">
        <w:rPr>
          <w:rFonts w:ascii="Arial" w:hAnsi="Arial" w:cs="Arial"/>
          <w:sz w:val="24"/>
          <w:szCs w:val="24"/>
        </w:rPr>
        <w:t xml:space="preserve"> and sixth</w:t>
      </w:r>
      <w:r w:rsidR="001A6A06">
        <w:rPr>
          <w:rFonts w:ascii="Arial" w:hAnsi="Arial" w:cs="Arial"/>
          <w:sz w:val="24"/>
          <w:szCs w:val="24"/>
        </w:rPr>
        <w:t xml:space="preserve"> (</w:t>
      </w:r>
      <w:proofErr w:type="spellStart"/>
      <w:r w:rsidR="001A6A06">
        <w:rPr>
          <w:rFonts w:ascii="Arial" w:hAnsi="Arial" w:cs="Arial"/>
          <w:sz w:val="24"/>
          <w:szCs w:val="24"/>
        </w:rPr>
        <w:t>Trusco</w:t>
      </w:r>
      <w:proofErr w:type="spellEnd"/>
      <w:r w:rsidR="001A6A06">
        <w:rPr>
          <w:rFonts w:ascii="Arial" w:hAnsi="Arial" w:cs="Arial"/>
          <w:sz w:val="24"/>
          <w:szCs w:val="24"/>
        </w:rPr>
        <w:t xml:space="preserve"> Life Limited)</w:t>
      </w:r>
      <w:r w:rsidR="00A90E41" w:rsidRPr="000C3275">
        <w:rPr>
          <w:rFonts w:ascii="Arial" w:hAnsi="Arial" w:cs="Arial"/>
          <w:sz w:val="24"/>
          <w:szCs w:val="24"/>
        </w:rPr>
        <w:t xml:space="preserve"> respondents in the petition </w:t>
      </w:r>
      <w:r w:rsidR="008C3D33" w:rsidRPr="000C3275">
        <w:rPr>
          <w:rFonts w:ascii="Arial" w:hAnsi="Arial" w:cs="Arial"/>
          <w:sz w:val="24"/>
          <w:szCs w:val="24"/>
        </w:rPr>
        <w:t>of whom the</w:t>
      </w:r>
      <w:r w:rsidR="00A90E41" w:rsidRPr="000C3275">
        <w:rPr>
          <w:rFonts w:ascii="Arial" w:hAnsi="Arial" w:cs="Arial"/>
          <w:sz w:val="24"/>
          <w:szCs w:val="24"/>
        </w:rPr>
        <w:t xml:space="preserve"> 13</w:t>
      </w:r>
      <w:r w:rsidR="00A90E41" w:rsidRPr="000C3275">
        <w:rPr>
          <w:rFonts w:ascii="Arial" w:hAnsi="Arial" w:cs="Arial"/>
          <w:sz w:val="24"/>
          <w:szCs w:val="24"/>
          <w:vertAlign w:val="superscript"/>
        </w:rPr>
        <w:t>th</w:t>
      </w:r>
      <w:r w:rsidR="00A90E41" w:rsidRPr="000C3275">
        <w:rPr>
          <w:rFonts w:ascii="Arial" w:hAnsi="Arial" w:cs="Arial"/>
          <w:sz w:val="24"/>
          <w:szCs w:val="24"/>
        </w:rPr>
        <w:t xml:space="preserve"> respondent</w:t>
      </w:r>
      <w:r w:rsidR="001A6A06">
        <w:rPr>
          <w:rFonts w:ascii="Arial" w:hAnsi="Arial" w:cs="Arial"/>
          <w:sz w:val="24"/>
          <w:szCs w:val="24"/>
        </w:rPr>
        <w:t xml:space="preserve"> (Mr Quinton van </w:t>
      </w:r>
      <w:proofErr w:type="spellStart"/>
      <w:r w:rsidR="001A6A06">
        <w:rPr>
          <w:rFonts w:ascii="Arial" w:hAnsi="Arial" w:cs="Arial"/>
          <w:sz w:val="24"/>
          <w:szCs w:val="24"/>
        </w:rPr>
        <w:t>Rooyen</w:t>
      </w:r>
      <w:proofErr w:type="spellEnd"/>
      <w:r w:rsidR="001A6A06">
        <w:rPr>
          <w:rFonts w:ascii="Arial" w:hAnsi="Arial" w:cs="Arial"/>
          <w:sz w:val="24"/>
          <w:szCs w:val="24"/>
        </w:rPr>
        <w:t>)</w:t>
      </w:r>
      <w:r w:rsidR="008C3D33" w:rsidRPr="000C3275">
        <w:rPr>
          <w:rFonts w:ascii="Arial" w:hAnsi="Arial" w:cs="Arial"/>
          <w:sz w:val="24"/>
          <w:szCs w:val="24"/>
        </w:rPr>
        <w:t xml:space="preserve"> is the driving force</w:t>
      </w:r>
      <w:r w:rsidR="00A90E41" w:rsidRPr="000C3275">
        <w:rPr>
          <w:rFonts w:ascii="Arial" w:hAnsi="Arial" w:cs="Arial"/>
          <w:sz w:val="24"/>
          <w:szCs w:val="24"/>
        </w:rPr>
        <w:t xml:space="preserve">. All these </w:t>
      </w:r>
      <w:r w:rsidR="008C3D33" w:rsidRPr="000C3275">
        <w:rPr>
          <w:rFonts w:ascii="Arial" w:hAnsi="Arial" w:cs="Arial"/>
          <w:sz w:val="24"/>
          <w:szCs w:val="24"/>
        </w:rPr>
        <w:t xml:space="preserve">companies </w:t>
      </w:r>
      <w:r w:rsidR="00A90E41" w:rsidRPr="000C3275">
        <w:rPr>
          <w:rFonts w:ascii="Arial" w:hAnsi="Arial" w:cs="Arial"/>
          <w:sz w:val="24"/>
          <w:szCs w:val="24"/>
        </w:rPr>
        <w:t xml:space="preserve">are part of the constitutional </w:t>
      </w:r>
      <w:r w:rsidR="008C3D33" w:rsidRPr="000C3275">
        <w:rPr>
          <w:rFonts w:ascii="Arial" w:hAnsi="Arial" w:cs="Arial"/>
          <w:sz w:val="24"/>
          <w:szCs w:val="24"/>
        </w:rPr>
        <w:t xml:space="preserve">challenge </w:t>
      </w:r>
      <w:r w:rsidR="00A90E41" w:rsidRPr="000C3275">
        <w:rPr>
          <w:rFonts w:ascii="Arial" w:hAnsi="Arial" w:cs="Arial"/>
          <w:sz w:val="24"/>
          <w:szCs w:val="24"/>
        </w:rPr>
        <w:t xml:space="preserve">and review proceedings pending in the court </w:t>
      </w:r>
      <w:r w:rsidR="00A90E41" w:rsidRPr="000C3275">
        <w:rPr>
          <w:rFonts w:ascii="Arial" w:hAnsi="Arial" w:cs="Arial"/>
          <w:i/>
          <w:sz w:val="24"/>
          <w:szCs w:val="24"/>
        </w:rPr>
        <w:t>a quo</w:t>
      </w:r>
      <w:r w:rsidR="00A90E41" w:rsidRPr="000C3275">
        <w:rPr>
          <w:rFonts w:ascii="Arial" w:hAnsi="Arial" w:cs="Arial"/>
          <w:sz w:val="24"/>
          <w:szCs w:val="24"/>
        </w:rPr>
        <w:t xml:space="preserve">. According to the Minister, the lapse of 10 years is not enough to remove the concern of reasonable apprehension of bias and that the judge’s working relationship with Mr van </w:t>
      </w:r>
      <w:proofErr w:type="spellStart"/>
      <w:r w:rsidR="00A90E41" w:rsidRPr="000C3275">
        <w:rPr>
          <w:rFonts w:ascii="Arial" w:hAnsi="Arial" w:cs="Arial"/>
          <w:sz w:val="24"/>
          <w:szCs w:val="24"/>
        </w:rPr>
        <w:t>Rooyen</w:t>
      </w:r>
      <w:proofErr w:type="spellEnd"/>
      <w:r w:rsidR="00A90E41" w:rsidRPr="000C3275">
        <w:rPr>
          <w:rFonts w:ascii="Arial" w:hAnsi="Arial" w:cs="Arial"/>
          <w:sz w:val="24"/>
          <w:szCs w:val="24"/>
        </w:rPr>
        <w:t xml:space="preserve"> during that time does not guarantee, consciously or unconsciously, impartial conduct on his part. </w:t>
      </w:r>
    </w:p>
    <w:p w:rsidR="005446C2" w:rsidRPr="000C3275" w:rsidRDefault="005446C2" w:rsidP="003E11F8">
      <w:pPr>
        <w:pStyle w:val="ListParagraph"/>
        <w:spacing w:after="0" w:line="480" w:lineRule="auto"/>
        <w:rPr>
          <w:rFonts w:ascii="Arial" w:hAnsi="Arial" w:cs="Arial"/>
          <w:sz w:val="24"/>
          <w:szCs w:val="24"/>
        </w:rPr>
      </w:pPr>
    </w:p>
    <w:p w:rsidR="005446C2" w:rsidRPr="003E4058"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3E4058">
        <w:rPr>
          <w:rFonts w:ascii="Arial" w:hAnsi="Arial" w:cs="Arial"/>
          <w:sz w:val="24"/>
          <w:szCs w:val="24"/>
        </w:rPr>
        <w:t>The Minister alleges that the cumulative effect of th</w:t>
      </w:r>
      <w:r w:rsidR="008C3D33" w:rsidRPr="003E4058">
        <w:rPr>
          <w:rFonts w:ascii="Arial" w:hAnsi="Arial" w:cs="Arial"/>
          <w:sz w:val="24"/>
          <w:szCs w:val="24"/>
        </w:rPr>
        <w:t>e above facts disqualified the petition j</w:t>
      </w:r>
      <w:r w:rsidRPr="003E4058">
        <w:rPr>
          <w:rFonts w:ascii="Arial" w:hAnsi="Arial" w:cs="Arial"/>
          <w:sz w:val="24"/>
          <w:szCs w:val="24"/>
        </w:rPr>
        <w:t xml:space="preserve">udge from determining the petition. </w:t>
      </w:r>
      <w:r w:rsidR="003E4058" w:rsidRPr="003E4058">
        <w:rPr>
          <w:rFonts w:ascii="Arial" w:hAnsi="Arial" w:cs="Arial"/>
          <w:sz w:val="24"/>
          <w:szCs w:val="24"/>
        </w:rPr>
        <w:t xml:space="preserve">The Minister maintains that once the petition was assigned to him, the petition judge should have disclosed and consulted with the parties on his various associations with the respondents. He failed to do so. The Minister further contended that had he known that the petition judge </w:t>
      </w:r>
      <w:r w:rsidR="00354DC4" w:rsidRPr="003E4058">
        <w:rPr>
          <w:rFonts w:ascii="Arial" w:hAnsi="Arial" w:cs="Arial"/>
          <w:sz w:val="24"/>
          <w:szCs w:val="24"/>
        </w:rPr>
        <w:t xml:space="preserve">was seized with </w:t>
      </w:r>
      <w:r w:rsidRPr="003E4058">
        <w:rPr>
          <w:rFonts w:ascii="Arial" w:hAnsi="Arial" w:cs="Arial"/>
          <w:sz w:val="24"/>
          <w:szCs w:val="24"/>
        </w:rPr>
        <w:t>the petition</w:t>
      </w:r>
      <w:r w:rsidR="008C3D33" w:rsidRPr="003E4058">
        <w:rPr>
          <w:rFonts w:ascii="Arial" w:hAnsi="Arial" w:cs="Arial"/>
          <w:sz w:val="24"/>
          <w:szCs w:val="24"/>
        </w:rPr>
        <w:t>,</w:t>
      </w:r>
      <w:r w:rsidRPr="003E4058">
        <w:rPr>
          <w:rFonts w:ascii="Arial" w:hAnsi="Arial" w:cs="Arial"/>
          <w:sz w:val="24"/>
          <w:szCs w:val="24"/>
        </w:rPr>
        <w:t xml:space="preserve"> he would have noted an objection and sought the judge’s recusal.</w:t>
      </w:r>
    </w:p>
    <w:p w:rsidR="005446C2" w:rsidRPr="000C3275" w:rsidRDefault="005446C2" w:rsidP="003E11F8">
      <w:pPr>
        <w:pStyle w:val="ListParagraph"/>
        <w:spacing w:after="0" w:line="480" w:lineRule="auto"/>
        <w:rPr>
          <w:rFonts w:ascii="Arial" w:hAnsi="Arial" w:cs="Arial"/>
          <w:sz w:val="24"/>
          <w:szCs w:val="24"/>
        </w:rPr>
      </w:pPr>
    </w:p>
    <w:p w:rsidR="005446C2" w:rsidRPr="000C3275" w:rsidRDefault="008C3D33"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The Minister asserts that the petition j</w:t>
      </w:r>
      <w:r w:rsidR="00A90E41" w:rsidRPr="000C3275">
        <w:rPr>
          <w:rFonts w:ascii="Arial" w:hAnsi="Arial" w:cs="Arial"/>
          <w:sz w:val="24"/>
          <w:szCs w:val="24"/>
        </w:rPr>
        <w:t>udge’s failure to recuse himself rendered the order he made in the petition a nullity. He therefore asks the Supreme Court to exercise its inherent jurisdiction in terms of Art</w:t>
      </w:r>
      <w:r w:rsidR="00FB1B92">
        <w:rPr>
          <w:rFonts w:ascii="Arial" w:hAnsi="Arial" w:cs="Arial"/>
          <w:sz w:val="24"/>
          <w:szCs w:val="24"/>
        </w:rPr>
        <w:t>icle</w:t>
      </w:r>
      <w:r w:rsidR="00A90E41" w:rsidRPr="000C3275">
        <w:rPr>
          <w:rFonts w:ascii="Arial" w:hAnsi="Arial" w:cs="Arial"/>
          <w:sz w:val="24"/>
          <w:szCs w:val="24"/>
        </w:rPr>
        <w:t xml:space="preserve"> 78(4)</w:t>
      </w:r>
      <w:r w:rsidR="003E4058">
        <w:rPr>
          <w:rFonts w:ascii="Arial" w:hAnsi="Arial" w:cs="Arial"/>
          <w:sz w:val="24"/>
          <w:szCs w:val="24"/>
        </w:rPr>
        <w:t>,</w:t>
      </w:r>
      <w:r w:rsidRPr="000C3275">
        <w:rPr>
          <w:rStyle w:val="FootnoteReference"/>
          <w:rFonts w:ascii="Arial" w:hAnsi="Arial" w:cs="Arial"/>
          <w:sz w:val="24"/>
          <w:szCs w:val="24"/>
        </w:rPr>
        <w:footnoteReference w:id="12"/>
      </w:r>
      <w:r w:rsidR="003E4058">
        <w:rPr>
          <w:rFonts w:ascii="Arial" w:hAnsi="Arial" w:cs="Arial"/>
          <w:sz w:val="24"/>
          <w:szCs w:val="24"/>
        </w:rPr>
        <w:t xml:space="preserve"> -</w:t>
      </w:r>
      <w:r w:rsidRPr="000C3275">
        <w:rPr>
          <w:rFonts w:ascii="Arial" w:hAnsi="Arial" w:cs="Arial"/>
          <w:sz w:val="24"/>
          <w:szCs w:val="24"/>
        </w:rPr>
        <w:t xml:space="preserve"> and to reverse the petition </w:t>
      </w:r>
      <w:r w:rsidRPr="000C3275">
        <w:rPr>
          <w:rFonts w:ascii="Arial" w:hAnsi="Arial" w:cs="Arial"/>
          <w:sz w:val="24"/>
          <w:szCs w:val="24"/>
        </w:rPr>
        <w:lastRenderedPageBreak/>
        <w:t>judge’s refusal of the petition</w:t>
      </w:r>
      <w:r w:rsidR="00A90E41" w:rsidRPr="000C3275">
        <w:rPr>
          <w:rFonts w:ascii="Arial" w:hAnsi="Arial" w:cs="Arial"/>
          <w:sz w:val="24"/>
          <w:szCs w:val="24"/>
        </w:rPr>
        <w:t xml:space="preserve"> in terms of Art</w:t>
      </w:r>
      <w:r w:rsidR="00FB1B92">
        <w:rPr>
          <w:rFonts w:ascii="Arial" w:hAnsi="Arial" w:cs="Arial"/>
          <w:sz w:val="24"/>
          <w:szCs w:val="24"/>
        </w:rPr>
        <w:t>icle</w:t>
      </w:r>
      <w:r w:rsidR="00A90E41" w:rsidRPr="000C3275">
        <w:rPr>
          <w:rFonts w:ascii="Arial" w:hAnsi="Arial" w:cs="Arial"/>
          <w:sz w:val="24"/>
          <w:szCs w:val="24"/>
        </w:rPr>
        <w:t xml:space="preserve"> 81 of the Constitution and to consider the petition afresh.</w:t>
      </w:r>
    </w:p>
    <w:p w:rsidR="005E4E2F" w:rsidRPr="000C3275" w:rsidRDefault="005E4E2F" w:rsidP="003E11F8">
      <w:pPr>
        <w:tabs>
          <w:tab w:val="left" w:pos="851"/>
        </w:tabs>
        <w:spacing w:after="0" w:line="480" w:lineRule="auto"/>
        <w:contextualSpacing/>
        <w:jc w:val="both"/>
        <w:rPr>
          <w:rFonts w:ascii="Arial" w:hAnsi="Arial" w:cs="Arial"/>
          <w:sz w:val="24"/>
          <w:szCs w:val="24"/>
          <w:lang w:val="en-GB"/>
        </w:rPr>
      </w:pPr>
    </w:p>
    <w:p w:rsidR="005446C2" w:rsidRPr="000C3275" w:rsidRDefault="005446C2" w:rsidP="008C06C9">
      <w:pPr>
        <w:spacing w:after="0" w:line="480" w:lineRule="auto"/>
        <w:jc w:val="both"/>
        <w:rPr>
          <w:rFonts w:ascii="Arial" w:hAnsi="Arial" w:cs="Arial"/>
          <w:i/>
          <w:sz w:val="24"/>
          <w:szCs w:val="24"/>
        </w:rPr>
      </w:pPr>
      <w:r w:rsidRPr="000C3275">
        <w:rPr>
          <w:rFonts w:ascii="Arial" w:hAnsi="Arial" w:cs="Arial"/>
          <w:i/>
          <w:sz w:val="24"/>
          <w:szCs w:val="24"/>
        </w:rPr>
        <w:t xml:space="preserve">The respondents’ contentions </w:t>
      </w: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The respondents take the view that the applicants failed to make out</w:t>
      </w:r>
      <w:r w:rsidR="008C3D33" w:rsidRPr="000C3275">
        <w:rPr>
          <w:rFonts w:ascii="Arial" w:hAnsi="Arial" w:cs="Arial"/>
          <w:sz w:val="24"/>
          <w:szCs w:val="24"/>
        </w:rPr>
        <w:t xml:space="preserve"> a case for the recusal of the petition j</w:t>
      </w:r>
      <w:r w:rsidRPr="000C3275">
        <w:rPr>
          <w:rFonts w:ascii="Arial" w:hAnsi="Arial" w:cs="Arial"/>
          <w:sz w:val="24"/>
          <w:szCs w:val="24"/>
        </w:rPr>
        <w:t>udge. They deny that the Minister established either a case of actual bias or a reasonable apprehension of bias. According to the respondents, the Minister’s allegations in support of recusal do not undermine the presumption of judicial</w:t>
      </w:r>
      <w:r w:rsidR="008C3D33" w:rsidRPr="000C3275">
        <w:rPr>
          <w:rFonts w:ascii="Arial" w:hAnsi="Arial" w:cs="Arial"/>
          <w:sz w:val="24"/>
          <w:szCs w:val="24"/>
        </w:rPr>
        <w:t xml:space="preserve"> impartiality and the </w:t>
      </w:r>
      <w:r w:rsidR="00F20CB9">
        <w:rPr>
          <w:rFonts w:ascii="Arial" w:hAnsi="Arial" w:cs="Arial"/>
          <w:sz w:val="24"/>
          <w:szCs w:val="24"/>
        </w:rPr>
        <w:t>judge’s</w:t>
      </w:r>
      <w:r w:rsidR="00354DC4">
        <w:rPr>
          <w:rFonts w:ascii="Arial" w:hAnsi="Arial" w:cs="Arial"/>
          <w:sz w:val="24"/>
          <w:szCs w:val="24"/>
        </w:rPr>
        <w:t xml:space="preserve"> </w:t>
      </w:r>
      <w:r w:rsidR="008C3D33" w:rsidRPr="000C3275">
        <w:rPr>
          <w:rFonts w:ascii="Arial" w:hAnsi="Arial" w:cs="Arial"/>
          <w:sz w:val="24"/>
          <w:szCs w:val="24"/>
        </w:rPr>
        <w:t xml:space="preserve">duty </w:t>
      </w:r>
      <w:r w:rsidRPr="000C3275">
        <w:rPr>
          <w:rFonts w:ascii="Arial" w:hAnsi="Arial" w:cs="Arial"/>
          <w:sz w:val="24"/>
          <w:szCs w:val="24"/>
        </w:rPr>
        <w:t xml:space="preserve">to hear the petition. </w:t>
      </w:r>
    </w:p>
    <w:p w:rsidR="005446C2" w:rsidRPr="000C3275" w:rsidRDefault="005446C2" w:rsidP="003E11F8">
      <w:pPr>
        <w:tabs>
          <w:tab w:val="left" w:pos="851"/>
        </w:tabs>
        <w:spacing w:after="0" w:line="480" w:lineRule="auto"/>
        <w:contextualSpacing/>
        <w:jc w:val="both"/>
        <w:rPr>
          <w:rFonts w:ascii="Arial" w:hAnsi="Arial" w:cs="Arial"/>
          <w:sz w:val="24"/>
          <w:szCs w:val="24"/>
          <w:lang w:val="en-GB"/>
        </w:rPr>
      </w:pPr>
    </w:p>
    <w:p w:rsidR="008C3D33" w:rsidRPr="000C3275" w:rsidRDefault="008C3D33" w:rsidP="008C3D33">
      <w:pPr>
        <w:numPr>
          <w:ilvl w:val="0"/>
          <w:numId w:val="4"/>
        </w:numPr>
        <w:tabs>
          <w:tab w:val="left" w:pos="851"/>
        </w:tabs>
        <w:spacing w:after="0" w:line="480" w:lineRule="auto"/>
        <w:ind w:left="0" w:hanging="11"/>
        <w:contextualSpacing/>
        <w:jc w:val="both"/>
        <w:rPr>
          <w:rFonts w:ascii="Arial" w:hAnsi="Arial" w:cs="Arial"/>
          <w:sz w:val="24"/>
          <w:szCs w:val="24"/>
        </w:rPr>
      </w:pPr>
      <w:r w:rsidRPr="000C3275">
        <w:rPr>
          <w:rFonts w:ascii="Arial" w:hAnsi="Arial" w:cs="Arial"/>
          <w:sz w:val="24"/>
          <w:szCs w:val="24"/>
        </w:rPr>
        <w:t>As regards the petition j</w:t>
      </w:r>
      <w:r w:rsidR="00A90E41" w:rsidRPr="000C3275">
        <w:rPr>
          <w:rFonts w:ascii="Arial" w:hAnsi="Arial" w:cs="Arial"/>
          <w:sz w:val="24"/>
          <w:szCs w:val="24"/>
        </w:rPr>
        <w:t xml:space="preserve">udge’s association with the insurance industry’s 1999 constitutional </w:t>
      </w:r>
      <w:r w:rsidRPr="000C3275">
        <w:rPr>
          <w:rFonts w:ascii="Arial" w:hAnsi="Arial" w:cs="Arial"/>
          <w:sz w:val="24"/>
          <w:szCs w:val="24"/>
        </w:rPr>
        <w:t>challenge</w:t>
      </w:r>
      <w:r w:rsidR="00A90E41" w:rsidRPr="000C3275">
        <w:rPr>
          <w:rFonts w:ascii="Arial" w:hAnsi="Arial" w:cs="Arial"/>
          <w:sz w:val="24"/>
          <w:szCs w:val="24"/>
        </w:rPr>
        <w:t xml:space="preserve">, the </w:t>
      </w:r>
      <w:proofErr w:type="gramStart"/>
      <w:r w:rsidR="00FA7B03" w:rsidRPr="000C3275">
        <w:rPr>
          <w:rFonts w:ascii="Arial" w:hAnsi="Arial" w:cs="Arial"/>
          <w:sz w:val="24"/>
          <w:szCs w:val="24"/>
        </w:rPr>
        <w:t>respondents</w:t>
      </w:r>
      <w:proofErr w:type="gramEnd"/>
      <w:r w:rsidR="00A90E41" w:rsidRPr="000C3275">
        <w:rPr>
          <w:rFonts w:ascii="Arial" w:hAnsi="Arial" w:cs="Arial"/>
          <w:sz w:val="24"/>
          <w:szCs w:val="24"/>
        </w:rPr>
        <w:t xml:space="preserve"> dispute that there is a basis in law for recusal because of that, more so because in that litigation only </w:t>
      </w:r>
      <w:proofErr w:type="spellStart"/>
      <w:r w:rsidR="00A90E41" w:rsidRPr="000C3275">
        <w:rPr>
          <w:rFonts w:ascii="Arial" w:hAnsi="Arial" w:cs="Arial"/>
          <w:sz w:val="24"/>
          <w:szCs w:val="24"/>
        </w:rPr>
        <w:t>Santam</w:t>
      </w:r>
      <w:proofErr w:type="spellEnd"/>
      <w:r w:rsidR="00A90E41" w:rsidRPr="000C3275">
        <w:rPr>
          <w:rFonts w:ascii="Arial" w:hAnsi="Arial" w:cs="Arial"/>
          <w:sz w:val="24"/>
          <w:szCs w:val="24"/>
        </w:rPr>
        <w:t xml:space="preserve"> was a party and the </w:t>
      </w:r>
      <w:r w:rsidRPr="000C3275">
        <w:rPr>
          <w:rFonts w:ascii="Arial" w:hAnsi="Arial" w:cs="Arial"/>
          <w:sz w:val="24"/>
          <w:szCs w:val="24"/>
        </w:rPr>
        <w:t>rest of the present respondents in the petition were not.</w:t>
      </w:r>
    </w:p>
    <w:p w:rsidR="005446C2" w:rsidRPr="000C3275" w:rsidRDefault="005446C2" w:rsidP="003E11F8">
      <w:pPr>
        <w:tabs>
          <w:tab w:val="left" w:pos="851"/>
        </w:tabs>
        <w:spacing w:after="0" w:line="480" w:lineRule="auto"/>
        <w:contextualSpacing/>
        <w:jc w:val="both"/>
        <w:rPr>
          <w:rFonts w:ascii="Arial" w:hAnsi="Arial" w:cs="Arial"/>
          <w:sz w:val="24"/>
          <w:szCs w:val="24"/>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The respondents assert </w:t>
      </w:r>
      <w:r w:rsidR="008C3D33" w:rsidRPr="000C3275">
        <w:rPr>
          <w:rFonts w:ascii="Arial" w:hAnsi="Arial" w:cs="Arial"/>
          <w:sz w:val="24"/>
          <w:szCs w:val="24"/>
        </w:rPr>
        <w:t xml:space="preserve">further </w:t>
      </w:r>
      <w:r w:rsidRPr="000C3275">
        <w:rPr>
          <w:rFonts w:ascii="Arial" w:hAnsi="Arial" w:cs="Arial"/>
          <w:sz w:val="24"/>
          <w:szCs w:val="24"/>
        </w:rPr>
        <w:t>that the applicants hav</w:t>
      </w:r>
      <w:r w:rsidR="008C3D33" w:rsidRPr="000C3275">
        <w:rPr>
          <w:rFonts w:ascii="Arial" w:hAnsi="Arial" w:cs="Arial"/>
          <w:sz w:val="24"/>
          <w:szCs w:val="24"/>
        </w:rPr>
        <w:t>e not made out a case that the petition j</w:t>
      </w:r>
      <w:r w:rsidRPr="000C3275">
        <w:rPr>
          <w:rFonts w:ascii="Arial" w:hAnsi="Arial" w:cs="Arial"/>
          <w:sz w:val="24"/>
          <w:szCs w:val="24"/>
        </w:rPr>
        <w:t>udge</w:t>
      </w:r>
      <w:r w:rsidR="001735BE" w:rsidRPr="000C3275">
        <w:rPr>
          <w:rFonts w:ascii="Arial" w:hAnsi="Arial" w:cs="Arial"/>
          <w:sz w:val="24"/>
          <w:szCs w:val="24"/>
        </w:rPr>
        <w:t>,</w:t>
      </w:r>
      <w:r w:rsidRPr="000C3275">
        <w:rPr>
          <w:rFonts w:ascii="Arial" w:hAnsi="Arial" w:cs="Arial"/>
          <w:sz w:val="24"/>
          <w:szCs w:val="24"/>
        </w:rPr>
        <w:t xml:space="preserve"> as counsel in the 1999 </w:t>
      </w:r>
      <w:r w:rsidR="008C3D33" w:rsidRPr="000C3275">
        <w:rPr>
          <w:rFonts w:ascii="Arial" w:hAnsi="Arial" w:cs="Arial"/>
          <w:sz w:val="24"/>
          <w:szCs w:val="24"/>
        </w:rPr>
        <w:t>constitutional challenge</w:t>
      </w:r>
      <w:r w:rsidR="001735BE" w:rsidRPr="000C3275">
        <w:rPr>
          <w:rFonts w:ascii="Arial" w:hAnsi="Arial" w:cs="Arial"/>
          <w:sz w:val="24"/>
          <w:szCs w:val="24"/>
        </w:rPr>
        <w:t>,</w:t>
      </w:r>
      <w:r w:rsidR="008C3D33" w:rsidRPr="000C3275">
        <w:rPr>
          <w:rFonts w:ascii="Arial" w:hAnsi="Arial" w:cs="Arial"/>
          <w:sz w:val="24"/>
          <w:szCs w:val="24"/>
        </w:rPr>
        <w:t xml:space="preserve"> </w:t>
      </w:r>
      <w:r w:rsidRPr="000C3275">
        <w:rPr>
          <w:rFonts w:ascii="Arial" w:hAnsi="Arial" w:cs="Arial"/>
          <w:sz w:val="24"/>
          <w:szCs w:val="24"/>
        </w:rPr>
        <w:t xml:space="preserve">acquired any personal knowledge relevant to the issues in the petition. According to them, the </w:t>
      </w:r>
      <w:r w:rsidR="004C650A" w:rsidRPr="000C3275">
        <w:rPr>
          <w:rFonts w:ascii="Arial" w:hAnsi="Arial" w:cs="Arial"/>
          <w:sz w:val="24"/>
          <w:szCs w:val="24"/>
        </w:rPr>
        <w:t>petition j</w:t>
      </w:r>
      <w:r w:rsidRPr="000C3275">
        <w:rPr>
          <w:rFonts w:ascii="Arial" w:hAnsi="Arial" w:cs="Arial"/>
          <w:sz w:val="24"/>
          <w:szCs w:val="24"/>
        </w:rPr>
        <w:t xml:space="preserve">udge cannot be said to have been biased merely because he represented one of the parties now before court some 20 years ago. </w:t>
      </w:r>
    </w:p>
    <w:p w:rsidR="005446C2" w:rsidRPr="000C3275" w:rsidRDefault="005446C2" w:rsidP="003E11F8">
      <w:pPr>
        <w:pStyle w:val="ListParagraph"/>
        <w:spacing w:after="0" w:line="480" w:lineRule="auto"/>
        <w:rPr>
          <w:rFonts w:ascii="Arial" w:hAnsi="Arial" w:cs="Arial"/>
          <w:sz w:val="24"/>
          <w:szCs w:val="24"/>
        </w:rPr>
      </w:pPr>
    </w:p>
    <w:p w:rsidR="005446C2" w:rsidRPr="000C3275" w:rsidRDefault="00354DC4"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Pr>
          <w:rFonts w:ascii="Arial" w:hAnsi="Arial" w:cs="Arial"/>
          <w:sz w:val="24"/>
          <w:szCs w:val="24"/>
        </w:rPr>
        <w:t>T</w:t>
      </w:r>
      <w:r w:rsidR="00A90E41" w:rsidRPr="000C3275">
        <w:rPr>
          <w:rFonts w:ascii="Arial" w:hAnsi="Arial" w:cs="Arial"/>
          <w:sz w:val="24"/>
          <w:szCs w:val="24"/>
        </w:rPr>
        <w:t>he respondents</w:t>
      </w:r>
      <w:r>
        <w:rPr>
          <w:rFonts w:ascii="Arial" w:hAnsi="Arial" w:cs="Arial"/>
          <w:sz w:val="24"/>
          <w:szCs w:val="24"/>
        </w:rPr>
        <w:t xml:space="preserve"> contend that</w:t>
      </w:r>
      <w:r w:rsidR="00A90E41" w:rsidRPr="000C3275">
        <w:rPr>
          <w:rFonts w:ascii="Arial" w:hAnsi="Arial" w:cs="Arial"/>
          <w:sz w:val="24"/>
          <w:szCs w:val="24"/>
        </w:rPr>
        <w:t xml:space="preserve"> prior association will only form the basis of a reasonable apprehension of bias if the subject matter of the litigation in question arises from such association or activities but that no such suggestion is made by the </w:t>
      </w:r>
      <w:r w:rsidR="00A90E41" w:rsidRPr="000C3275">
        <w:rPr>
          <w:rFonts w:ascii="Arial" w:hAnsi="Arial" w:cs="Arial"/>
          <w:sz w:val="24"/>
          <w:szCs w:val="24"/>
        </w:rPr>
        <w:lastRenderedPageBreak/>
        <w:t>applicants</w:t>
      </w:r>
      <w:r w:rsidR="004C650A" w:rsidRPr="000C3275">
        <w:rPr>
          <w:rFonts w:ascii="Arial" w:hAnsi="Arial" w:cs="Arial"/>
          <w:sz w:val="24"/>
          <w:szCs w:val="24"/>
        </w:rPr>
        <w:t xml:space="preserve"> who, in any event, were aware that the petition judge was seized with the matter but opportunistically chose not to object before the petition was determined</w:t>
      </w:r>
      <w:r w:rsidR="00A90E41" w:rsidRPr="000C3275">
        <w:rPr>
          <w:rFonts w:ascii="Arial" w:hAnsi="Arial" w:cs="Arial"/>
          <w:sz w:val="24"/>
          <w:szCs w:val="24"/>
        </w:rPr>
        <w:t>.</w:t>
      </w:r>
    </w:p>
    <w:p w:rsidR="005446C2" w:rsidRPr="000C3275" w:rsidRDefault="005446C2" w:rsidP="003E11F8">
      <w:pPr>
        <w:pStyle w:val="ListParagraph"/>
        <w:spacing w:after="0" w:line="480" w:lineRule="auto"/>
        <w:rPr>
          <w:rFonts w:ascii="Arial" w:hAnsi="Arial" w:cs="Arial"/>
          <w:sz w:val="24"/>
          <w:szCs w:val="24"/>
        </w:rPr>
      </w:pPr>
    </w:p>
    <w:p w:rsidR="005446C2" w:rsidRPr="000C3275" w:rsidRDefault="004C650A" w:rsidP="008C06C9">
      <w:pPr>
        <w:numPr>
          <w:ilvl w:val="0"/>
          <w:numId w:val="4"/>
        </w:numPr>
        <w:tabs>
          <w:tab w:val="left" w:pos="851"/>
        </w:tabs>
        <w:spacing w:after="0" w:line="480" w:lineRule="auto"/>
        <w:ind w:left="0" w:hanging="11"/>
        <w:contextualSpacing/>
        <w:jc w:val="both"/>
        <w:rPr>
          <w:rFonts w:ascii="Arial" w:hAnsi="Arial" w:cs="Arial"/>
          <w:sz w:val="24"/>
          <w:szCs w:val="24"/>
        </w:rPr>
      </w:pPr>
      <w:r w:rsidRPr="000C3275">
        <w:rPr>
          <w:rFonts w:ascii="Arial" w:hAnsi="Arial" w:cs="Arial"/>
          <w:sz w:val="24"/>
          <w:szCs w:val="24"/>
        </w:rPr>
        <w:t>As regards the petition j</w:t>
      </w:r>
      <w:r w:rsidR="00A90E41" w:rsidRPr="000C3275">
        <w:rPr>
          <w:rFonts w:ascii="Arial" w:hAnsi="Arial" w:cs="Arial"/>
          <w:sz w:val="24"/>
          <w:szCs w:val="24"/>
        </w:rPr>
        <w:t xml:space="preserve">udge’s past association with </w:t>
      </w:r>
      <w:proofErr w:type="spellStart"/>
      <w:r w:rsidR="00A90E41" w:rsidRPr="000C3275">
        <w:rPr>
          <w:rFonts w:ascii="Arial" w:hAnsi="Arial" w:cs="Arial"/>
          <w:sz w:val="24"/>
          <w:szCs w:val="24"/>
        </w:rPr>
        <w:t>Trustco</w:t>
      </w:r>
      <w:proofErr w:type="spellEnd"/>
      <w:r w:rsidR="00A90E41" w:rsidRPr="000C3275">
        <w:rPr>
          <w:rFonts w:ascii="Arial" w:hAnsi="Arial" w:cs="Arial"/>
          <w:sz w:val="24"/>
          <w:szCs w:val="24"/>
        </w:rPr>
        <w:t xml:space="preserve">, the respondents’ stance is that it is irrelevant as the judge had resigned that position 10 years before he presided in the petition. That past relationship could therefore not give rise to any reasonable apprehension that the judge may be biased in </w:t>
      </w:r>
      <w:proofErr w:type="spellStart"/>
      <w:r w:rsidR="00A90E41" w:rsidRPr="000C3275">
        <w:rPr>
          <w:rFonts w:ascii="Arial" w:hAnsi="Arial" w:cs="Arial"/>
          <w:sz w:val="24"/>
          <w:szCs w:val="24"/>
        </w:rPr>
        <w:t>favour</w:t>
      </w:r>
      <w:proofErr w:type="spellEnd"/>
      <w:r w:rsidR="00A90E41" w:rsidRPr="000C3275">
        <w:rPr>
          <w:rFonts w:ascii="Arial" w:hAnsi="Arial" w:cs="Arial"/>
          <w:sz w:val="24"/>
          <w:szCs w:val="24"/>
        </w:rPr>
        <w:t xml:space="preserve"> of </w:t>
      </w:r>
      <w:proofErr w:type="spellStart"/>
      <w:r w:rsidR="00A90E41" w:rsidRPr="000C3275">
        <w:rPr>
          <w:rFonts w:ascii="Arial" w:hAnsi="Arial" w:cs="Arial"/>
          <w:sz w:val="24"/>
          <w:szCs w:val="24"/>
        </w:rPr>
        <w:t>Trustco</w:t>
      </w:r>
      <w:proofErr w:type="spellEnd"/>
      <w:r w:rsidRPr="000C3275">
        <w:rPr>
          <w:rFonts w:ascii="Arial" w:hAnsi="Arial" w:cs="Arial"/>
          <w:sz w:val="24"/>
          <w:szCs w:val="24"/>
        </w:rPr>
        <w:t>.</w:t>
      </w:r>
      <w:r w:rsidR="00A90E41" w:rsidRPr="000C3275">
        <w:rPr>
          <w:rFonts w:ascii="Arial" w:hAnsi="Arial" w:cs="Arial"/>
          <w:sz w:val="24"/>
          <w:szCs w:val="24"/>
        </w:rPr>
        <w:t xml:space="preserve"> </w:t>
      </w:r>
    </w:p>
    <w:p w:rsidR="004C650A" w:rsidRPr="000C3275" w:rsidRDefault="004C650A" w:rsidP="004C650A">
      <w:pPr>
        <w:tabs>
          <w:tab w:val="left" w:pos="851"/>
        </w:tabs>
        <w:spacing w:after="0" w:line="480" w:lineRule="auto"/>
        <w:contextualSpacing/>
        <w:jc w:val="both"/>
        <w:rPr>
          <w:rFonts w:ascii="Arial" w:hAnsi="Arial" w:cs="Arial"/>
          <w:sz w:val="24"/>
          <w:szCs w:val="24"/>
        </w:rPr>
      </w:pPr>
    </w:p>
    <w:p w:rsidR="005446C2" w:rsidRPr="000C3275" w:rsidRDefault="00A90E41" w:rsidP="003E11F8">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A</w:t>
      </w:r>
      <w:r w:rsidR="004C650A" w:rsidRPr="000C3275">
        <w:rPr>
          <w:rFonts w:ascii="Arial" w:hAnsi="Arial" w:cs="Arial"/>
          <w:sz w:val="24"/>
          <w:szCs w:val="24"/>
        </w:rPr>
        <w:t>lthough admitting that the petition j</w:t>
      </w:r>
      <w:r w:rsidRPr="000C3275">
        <w:rPr>
          <w:rFonts w:ascii="Arial" w:hAnsi="Arial" w:cs="Arial"/>
          <w:sz w:val="24"/>
          <w:szCs w:val="24"/>
        </w:rPr>
        <w:t xml:space="preserve">udge is the incumbent chairperson of NNHL and has been since 2005, the respondents dispute that NNHL in any way exercised control over the day to day operations of </w:t>
      </w:r>
      <w:proofErr w:type="spellStart"/>
      <w:r w:rsidRPr="000C3275">
        <w:rPr>
          <w:rFonts w:ascii="Arial" w:hAnsi="Arial" w:cs="Arial"/>
          <w:sz w:val="24"/>
          <w:szCs w:val="24"/>
        </w:rPr>
        <w:t>NedLife</w:t>
      </w:r>
      <w:proofErr w:type="spellEnd"/>
      <w:r w:rsidRPr="000C3275">
        <w:rPr>
          <w:rFonts w:ascii="Arial" w:hAnsi="Arial" w:cs="Arial"/>
          <w:sz w:val="24"/>
          <w:szCs w:val="24"/>
        </w:rPr>
        <w:t xml:space="preserve">. Their view is that </w:t>
      </w:r>
      <w:proofErr w:type="spellStart"/>
      <w:r w:rsidRPr="000C3275">
        <w:rPr>
          <w:rFonts w:ascii="Arial" w:hAnsi="Arial" w:cs="Arial"/>
          <w:sz w:val="24"/>
          <w:szCs w:val="24"/>
        </w:rPr>
        <w:t>NedLife</w:t>
      </w:r>
      <w:proofErr w:type="spellEnd"/>
      <w:r w:rsidRPr="000C3275">
        <w:rPr>
          <w:rFonts w:ascii="Arial" w:hAnsi="Arial" w:cs="Arial"/>
          <w:sz w:val="24"/>
          <w:szCs w:val="24"/>
        </w:rPr>
        <w:t xml:space="preserve"> is controlled by an entirely independent b</w:t>
      </w:r>
      <w:r w:rsidR="004C650A" w:rsidRPr="000C3275">
        <w:rPr>
          <w:rFonts w:ascii="Arial" w:hAnsi="Arial" w:cs="Arial"/>
          <w:sz w:val="24"/>
          <w:szCs w:val="24"/>
        </w:rPr>
        <w:t>oard of directors on which the petition j</w:t>
      </w:r>
      <w:r w:rsidRPr="000C3275">
        <w:rPr>
          <w:rFonts w:ascii="Arial" w:hAnsi="Arial" w:cs="Arial"/>
          <w:sz w:val="24"/>
          <w:szCs w:val="24"/>
        </w:rPr>
        <w:t>udge does not serve and he could therefore not have been conflicted. The respondents dismiss the r</w:t>
      </w:r>
      <w:r w:rsidR="004C650A" w:rsidRPr="000C3275">
        <w:rPr>
          <w:rFonts w:ascii="Arial" w:hAnsi="Arial" w:cs="Arial"/>
          <w:sz w:val="24"/>
          <w:szCs w:val="24"/>
        </w:rPr>
        <w:t>elevance of the emoluments the petition j</w:t>
      </w:r>
      <w:r w:rsidRPr="000C3275">
        <w:rPr>
          <w:rFonts w:ascii="Arial" w:hAnsi="Arial" w:cs="Arial"/>
          <w:sz w:val="24"/>
          <w:szCs w:val="24"/>
        </w:rPr>
        <w:t xml:space="preserve">udge receives from NNHL as it is from a company that is not party to the </w:t>
      </w:r>
      <w:r w:rsidR="004C650A" w:rsidRPr="000C3275">
        <w:rPr>
          <w:rFonts w:ascii="Arial" w:hAnsi="Arial" w:cs="Arial"/>
          <w:sz w:val="24"/>
          <w:szCs w:val="24"/>
        </w:rPr>
        <w:t xml:space="preserve">pending constitutional challenge and </w:t>
      </w:r>
      <w:r w:rsidR="00354DC4">
        <w:rPr>
          <w:rFonts w:ascii="Arial" w:hAnsi="Arial" w:cs="Arial"/>
          <w:sz w:val="24"/>
          <w:szCs w:val="24"/>
        </w:rPr>
        <w:t xml:space="preserve">the </w:t>
      </w:r>
      <w:r w:rsidR="004C650A" w:rsidRPr="000C3275">
        <w:rPr>
          <w:rFonts w:ascii="Arial" w:hAnsi="Arial" w:cs="Arial"/>
          <w:sz w:val="24"/>
          <w:szCs w:val="24"/>
        </w:rPr>
        <w:t xml:space="preserve">review </w:t>
      </w:r>
      <w:r w:rsidR="00F845A3" w:rsidRPr="000C3275">
        <w:rPr>
          <w:rFonts w:ascii="Arial" w:hAnsi="Arial" w:cs="Arial"/>
          <w:sz w:val="24"/>
          <w:szCs w:val="24"/>
        </w:rPr>
        <w:t>or</w:t>
      </w:r>
      <w:r w:rsidRPr="000C3275">
        <w:rPr>
          <w:rFonts w:ascii="Arial" w:hAnsi="Arial" w:cs="Arial"/>
          <w:sz w:val="24"/>
          <w:szCs w:val="24"/>
        </w:rPr>
        <w:t xml:space="preserve"> in the petition. </w:t>
      </w:r>
    </w:p>
    <w:p w:rsidR="005446C2" w:rsidRPr="000C3275" w:rsidRDefault="005446C2" w:rsidP="008C06C9">
      <w:pPr>
        <w:pStyle w:val="ListParagraph"/>
        <w:spacing w:after="0" w:line="480" w:lineRule="auto"/>
        <w:rPr>
          <w:rFonts w:ascii="Arial" w:hAnsi="Arial" w:cs="Arial"/>
          <w:sz w:val="24"/>
          <w:szCs w:val="24"/>
        </w:rPr>
      </w:pPr>
    </w:p>
    <w:p w:rsidR="005446C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The respondents maintain that it was the choosing of the Minister to exclude </w:t>
      </w:r>
      <w:proofErr w:type="spellStart"/>
      <w:r w:rsidRPr="000C3275">
        <w:rPr>
          <w:rFonts w:ascii="Arial" w:hAnsi="Arial" w:cs="Arial"/>
          <w:sz w:val="24"/>
          <w:szCs w:val="24"/>
        </w:rPr>
        <w:t>NedLife</w:t>
      </w:r>
      <w:proofErr w:type="spellEnd"/>
      <w:r w:rsidRPr="000C3275">
        <w:rPr>
          <w:rFonts w:ascii="Arial" w:hAnsi="Arial" w:cs="Arial"/>
          <w:sz w:val="24"/>
          <w:szCs w:val="24"/>
        </w:rPr>
        <w:t xml:space="preserve"> and other interested parties from the application to compel and consequently in the petition – a</w:t>
      </w:r>
      <w:r w:rsidR="006E37D9" w:rsidRPr="000C3275">
        <w:rPr>
          <w:rFonts w:ascii="Arial" w:hAnsi="Arial" w:cs="Arial"/>
          <w:sz w:val="24"/>
          <w:szCs w:val="24"/>
        </w:rPr>
        <w:t xml:space="preserve">n election that resulted in </w:t>
      </w:r>
      <w:proofErr w:type="spellStart"/>
      <w:r w:rsidR="006E37D9" w:rsidRPr="000C3275">
        <w:rPr>
          <w:rFonts w:ascii="Arial" w:hAnsi="Arial" w:cs="Arial"/>
          <w:sz w:val="24"/>
          <w:szCs w:val="24"/>
        </w:rPr>
        <w:t>NedLife</w:t>
      </w:r>
      <w:proofErr w:type="spellEnd"/>
      <w:r w:rsidR="006E37D9" w:rsidRPr="000C3275">
        <w:rPr>
          <w:rFonts w:ascii="Arial" w:hAnsi="Arial" w:cs="Arial"/>
          <w:sz w:val="24"/>
          <w:szCs w:val="24"/>
        </w:rPr>
        <w:t xml:space="preserve"> </w:t>
      </w:r>
      <w:r w:rsidRPr="000C3275">
        <w:rPr>
          <w:rFonts w:ascii="Arial" w:hAnsi="Arial" w:cs="Arial"/>
          <w:sz w:val="24"/>
          <w:szCs w:val="24"/>
        </w:rPr>
        <w:t>not being an interested party in the petition. Based thereon, the respondents are of the view that there is no basis in fact to sustain a reasonable apprehe</w:t>
      </w:r>
      <w:r w:rsidR="00093FA8" w:rsidRPr="000C3275">
        <w:rPr>
          <w:rFonts w:ascii="Arial" w:hAnsi="Arial" w:cs="Arial"/>
          <w:sz w:val="24"/>
          <w:szCs w:val="24"/>
        </w:rPr>
        <w:t>nsion of bias arising from the petition j</w:t>
      </w:r>
      <w:r w:rsidRPr="000C3275">
        <w:rPr>
          <w:rFonts w:ascii="Arial" w:hAnsi="Arial" w:cs="Arial"/>
          <w:sz w:val="24"/>
          <w:szCs w:val="24"/>
        </w:rPr>
        <w:t xml:space="preserve">udge’s </w:t>
      </w:r>
      <w:r w:rsidR="00354DC4">
        <w:rPr>
          <w:rFonts w:ascii="Arial" w:hAnsi="Arial" w:cs="Arial"/>
          <w:sz w:val="24"/>
          <w:szCs w:val="24"/>
        </w:rPr>
        <w:t xml:space="preserve">perceived </w:t>
      </w:r>
      <w:r w:rsidRPr="000C3275">
        <w:rPr>
          <w:rFonts w:ascii="Arial" w:hAnsi="Arial" w:cs="Arial"/>
          <w:sz w:val="24"/>
          <w:szCs w:val="24"/>
        </w:rPr>
        <w:t xml:space="preserve">association with </w:t>
      </w:r>
      <w:proofErr w:type="spellStart"/>
      <w:r w:rsidR="006E37D9" w:rsidRPr="000C3275">
        <w:rPr>
          <w:rFonts w:ascii="Arial" w:hAnsi="Arial" w:cs="Arial"/>
          <w:sz w:val="24"/>
          <w:szCs w:val="24"/>
        </w:rPr>
        <w:t>NedL</w:t>
      </w:r>
      <w:r w:rsidR="001735BE" w:rsidRPr="000C3275">
        <w:rPr>
          <w:rFonts w:ascii="Arial" w:hAnsi="Arial" w:cs="Arial"/>
          <w:sz w:val="24"/>
          <w:szCs w:val="24"/>
        </w:rPr>
        <w:t>ife</w:t>
      </w:r>
      <w:proofErr w:type="spellEnd"/>
      <w:r w:rsidRPr="000C3275">
        <w:rPr>
          <w:rFonts w:ascii="Arial" w:hAnsi="Arial" w:cs="Arial"/>
          <w:sz w:val="24"/>
          <w:szCs w:val="24"/>
        </w:rPr>
        <w:t xml:space="preserve">.  It is asserted that the fact that the Minister did not allege how the outcome of the petition would impact the financial position of the </w:t>
      </w:r>
      <w:r w:rsidR="00093FA8" w:rsidRPr="000C3275">
        <w:rPr>
          <w:rFonts w:ascii="Arial" w:hAnsi="Arial" w:cs="Arial"/>
          <w:sz w:val="24"/>
          <w:szCs w:val="24"/>
        </w:rPr>
        <w:t xml:space="preserve">judge </w:t>
      </w:r>
      <w:r w:rsidRPr="000C3275">
        <w:rPr>
          <w:rFonts w:ascii="Arial" w:hAnsi="Arial" w:cs="Arial"/>
          <w:sz w:val="24"/>
          <w:szCs w:val="24"/>
        </w:rPr>
        <w:lastRenderedPageBreak/>
        <w:t xml:space="preserve">is proof that no relation exists between him and </w:t>
      </w:r>
      <w:proofErr w:type="spellStart"/>
      <w:r w:rsidR="001735BE" w:rsidRPr="000C3275">
        <w:rPr>
          <w:rFonts w:ascii="Arial" w:hAnsi="Arial" w:cs="Arial"/>
          <w:sz w:val="24"/>
          <w:szCs w:val="24"/>
        </w:rPr>
        <w:t>NedLife</w:t>
      </w:r>
      <w:proofErr w:type="spellEnd"/>
      <w:r w:rsidRPr="000C3275">
        <w:rPr>
          <w:rFonts w:ascii="Arial" w:hAnsi="Arial" w:cs="Arial"/>
          <w:sz w:val="24"/>
          <w:szCs w:val="24"/>
        </w:rPr>
        <w:t xml:space="preserve"> and no reasonable apprehension of bias could therefore arise.</w:t>
      </w:r>
    </w:p>
    <w:p w:rsidR="005446C2" w:rsidRPr="000C3275" w:rsidRDefault="005446C2" w:rsidP="003E11F8">
      <w:pPr>
        <w:spacing w:after="0" w:line="480" w:lineRule="auto"/>
        <w:rPr>
          <w:rFonts w:ascii="Arial" w:hAnsi="Arial" w:cs="Arial"/>
          <w:sz w:val="24"/>
          <w:szCs w:val="24"/>
        </w:rPr>
      </w:pPr>
    </w:p>
    <w:p w:rsidR="005446C2" w:rsidRPr="000C3275" w:rsidRDefault="00FB1B92" w:rsidP="008C06C9">
      <w:pPr>
        <w:spacing w:after="0" w:line="480" w:lineRule="auto"/>
        <w:jc w:val="both"/>
        <w:rPr>
          <w:rFonts w:ascii="Arial" w:hAnsi="Arial" w:cs="Arial"/>
          <w:sz w:val="24"/>
          <w:szCs w:val="24"/>
          <w:u w:val="single"/>
        </w:rPr>
      </w:pPr>
      <w:r>
        <w:rPr>
          <w:rFonts w:ascii="Arial" w:hAnsi="Arial" w:cs="Arial"/>
          <w:sz w:val="24"/>
          <w:szCs w:val="24"/>
          <w:u w:val="single"/>
        </w:rPr>
        <w:t>Petition j</w:t>
      </w:r>
      <w:r w:rsidR="005446C2" w:rsidRPr="000C3275">
        <w:rPr>
          <w:rFonts w:ascii="Arial" w:hAnsi="Arial" w:cs="Arial"/>
          <w:sz w:val="24"/>
          <w:szCs w:val="24"/>
          <w:u w:val="single"/>
        </w:rPr>
        <w:t xml:space="preserve">udge’s reply to the Minister’s allegations </w:t>
      </w:r>
    </w:p>
    <w:p w:rsidR="008A2AAB" w:rsidRPr="000C3275" w:rsidRDefault="00093FA8"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The petition j</w:t>
      </w:r>
      <w:r w:rsidR="00A90E41" w:rsidRPr="000C3275">
        <w:rPr>
          <w:rFonts w:ascii="Arial" w:hAnsi="Arial" w:cs="Arial"/>
          <w:sz w:val="24"/>
          <w:szCs w:val="24"/>
        </w:rPr>
        <w:t xml:space="preserve">udge was invited to respond to the allegations made by the Minister in the recusal application. The learned judge does not dispute the primary facts relied on by the applicants concerning his involvement in the 1999 </w:t>
      </w:r>
      <w:r w:rsidRPr="000C3275">
        <w:rPr>
          <w:rFonts w:ascii="Arial" w:hAnsi="Arial" w:cs="Arial"/>
          <w:sz w:val="24"/>
          <w:szCs w:val="24"/>
        </w:rPr>
        <w:t>constitutional challenge</w:t>
      </w:r>
      <w:r w:rsidR="00354DC4">
        <w:rPr>
          <w:rFonts w:ascii="Arial" w:hAnsi="Arial" w:cs="Arial"/>
          <w:sz w:val="24"/>
          <w:szCs w:val="24"/>
        </w:rPr>
        <w:t>;</w:t>
      </w:r>
      <w:r w:rsidR="00A90E41" w:rsidRPr="000C3275">
        <w:rPr>
          <w:rFonts w:ascii="Arial" w:hAnsi="Arial" w:cs="Arial"/>
          <w:sz w:val="24"/>
          <w:szCs w:val="24"/>
        </w:rPr>
        <w:t xml:space="preserve"> that he is chairman of the NNHL which is the holding company of </w:t>
      </w:r>
      <w:proofErr w:type="spellStart"/>
      <w:r w:rsidR="00A90E41" w:rsidRPr="000C3275">
        <w:rPr>
          <w:rFonts w:ascii="Arial" w:hAnsi="Arial" w:cs="Arial"/>
          <w:sz w:val="24"/>
          <w:szCs w:val="24"/>
        </w:rPr>
        <w:t>NedLife</w:t>
      </w:r>
      <w:proofErr w:type="spellEnd"/>
      <w:r w:rsidR="00A90E41" w:rsidRPr="000C3275">
        <w:rPr>
          <w:rFonts w:ascii="Arial" w:hAnsi="Arial" w:cs="Arial"/>
          <w:sz w:val="24"/>
          <w:szCs w:val="24"/>
        </w:rPr>
        <w:t xml:space="preserve"> and that he had been</w:t>
      </w:r>
      <w:r w:rsidR="001735BE" w:rsidRPr="000C3275">
        <w:rPr>
          <w:rFonts w:ascii="Arial" w:hAnsi="Arial" w:cs="Arial"/>
          <w:sz w:val="24"/>
          <w:szCs w:val="24"/>
        </w:rPr>
        <w:t xml:space="preserve"> a director of </w:t>
      </w:r>
      <w:proofErr w:type="spellStart"/>
      <w:r w:rsidR="001735BE" w:rsidRPr="000C3275">
        <w:rPr>
          <w:rFonts w:ascii="Arial" w:hAnsi="Arial" w:cs="Arial"/>
          <w:sz w:val="24"/>
          <w:szCs w:val="24"/>
        </w:rPr>
        <w:t>Trustco</w:t>
      </w:r>
      <w:proofErr w:type="spellEnd"/>
      <w:r w:rsidR="00A90E41" w:rsidRPr="000C3275">
        <w:rPr>
          <w:rFonts w:ascii="Arial" w:hAnsi="Arial" w:cs="Arial"/>
          <w:sz w:val="24"/>
          <w:szCs w:val="24"/>
        </w:rPr>
        <w:t>.</w:t>
      </w:r>
    </w:p>
    <w:p w:rsidR="008A2AAB" w:rsidRPr="000C3275" w:rsidRDefault="008A2AAB" w:rsidP="008C06C9">
      <w:pPr>
        <w:tabs>
          <w:tab w:val="left" w:pos="851"/>
        </w:tabs>
        <w:spacing w:after="0" w:line="480" w:lineRule="auto"/>
        <w:contextualSpacing/>
        <w:jc w:val="both"/>
        <w:rPr>
          <w:rFonts w:ascii="Arial" w:hAnsi="Arial" w:cs="Arial"/>
          <w:sz w:val="24"/>
          <w:szCs w:val="24"/>
          <w:lang w:val="en-GB"/>
        </w:rPr>
      </w:pPr>
    </w:p>
    <w:p w:rsidR="008A2AAB" w:rsidRPr="000C3275" w:rsidRDefault="00093FA8"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As regards the first, the petition j</w:t>
      </w:r>
      <w:r w:rsidR="00A90E41" w:rsidRPr="000C3275">
        <w:rPr>
          <w:rFonts w:ascii="Arial" w:hAnsi="Arial" w:cs="Arial"/>
          <w:sz w:val="24"/>
          <w:szCs w:val="24"/>
        </w:rPr>
        <w:t xml:space="preserve">udge states that the constitutionality of the </w:t>
      </w:r>
      <w:proofErr w:type="spellStart"/>
      <w:r w:rsidR="00A90E41" w:rsidRPr="000C3275">
        <w:rPr>
          <w:rFonts w:ascii="Arial" w:hAnsi="Arial" w:cs="Arial"/>
          <w:sz w:val="24"/>
          <w:szCs w:val="24"/>
        </w:rPr>
        <w:t>NAMRe</w:t>
      </w:r>
      <w:proofErr w:type="spellEnd"/>
      <w:r w:rsidR="00A90E41" w:rsidRPr="000C3275">
        <w:rPr>
          <w:rFonts w:ascii="Arial" w:hAnsi="Arial" w:cs="Arial"/>
          <w:sz w:val="24"/>
          <w:szCs w:val="24"/>
        </w:rPr>
        <w:t xml:space="preserve"> Act was not an issue in the petition as that had to be accepted as common cause between the parties in deciding the petition and the issue therefore did not fall for determination. </w:t>
      </w:r>
    </w:p>
    <w:p w:rsidR="008A2AAB" w:rsidRPr="000C3275" w:rsidRDefault="008A2AAB" w:rsidP="003E11F8">
      <w:pPr>
        <w:pStyle w:val="ListParagraph"/>
        <w:spacing w:after="0" w:line="480" w:lineRule="auto"/>
        <w:rPr>
          <w:rFonts w:ascii="Arial" w:hAnsi="Arial" w:cs="Arial"/>
          <w:sz w:val="24"/>
          <w:szCs w:val="24"/>
        </w:rPr>
      </w:pPr>
    </w:p>
    <w:p w:rsidR="008A2AAB"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As concerns</w:t>
      </w:r>
      <w:r w:rsidR="001735BE" w:rsidRPr="000C3275">
        <w:rPr>
          <w:rFonts w:ascii="Arial" w:hAnsi="Arial" w:cs="Arial"/>
          <w:sz w:val="24"/>
          <w:szCs w:val="24"/>
        </w:rPr>
        <w:t xml:space="preserve"> his association with NNHL</w:t>
      </w:r>
      <w:r w:rsidR="00093FA8" w:rsidRPr="000C3275">
        <w:rPr>
          <w:rFonts w:ascii="Arial" w:hAnsi="Arial" w:cs="Arial"/>
          <w:sz w:val="24"/>
          <w:szCs w:val="24"/>
        </w:rPr>
        <w:t>, the petition j</w:t>
      </w:r>
      <w:r w:rsidRPr="000C3275">
        <w:rPr>
          <w:rFonts w:ascii="Arial" w:hAnsi="Arial" w:cs="Arial"/>
          <w:sz w:val="24"/>
          <w:szCs w:val="24"/>
        </w:rPr>
        <w:t xml:space="preserve">udge states that </w:t>
      </w:r>
      <w:proofErr w:type="spellStart"/>
      <w:r w:rsidR="006E37D9" w:rsidRPr="000C3275">
        <w:rPr>
          <w:rFonts w:ascii="Arial" w:hAnsi="Arial" w:cs="Arial"/>
          <w:sz w:val="24"/>
          <w:szCs w:val="24"/>
        </w:rPr>
        <w:t>NedL</w:t>
      </w:r>
      <w:r w:rsidR="001735BE" w:rsidRPr="000C3275">
        <w:rPr>
          <w:rFonts w:ascii="Arial" w:hAnsi="Arial" w:cs="Arial"/>
          <w:sz w:val="24"/>
          <w:szCs w:val="24"/>
        </w:rPr>
        <w:t>ife</w:t>
      </w:r>
      <w:proofErr w:type="spellEnd"/>
      <w:r w:rsidR="001735BE" w:rsidRPr="000C3275">
        <w:rPr>
          <w:rFonts w:ascii="Arial" w:hAnsi="Arial" w:cs="Arial"/>
          <w:sz w:val="24"/>
          <w:szCs w:val="24"/>
        </w:rPr>
        <w:t xml:space="preserve"> </w:t>
      </w:r>
      <w:r w:rsidRPr="000C3275">
        <w:rPr>
          <w:rFonts w:ascii="Arial" w:hAnsi="Arial" w:cs="Arial"/>
          <w:sz w:val="24"/>
          <w:szCs w:val="24"/>
        </w:rPr>
        <w:t>is controlled by its own board of directors on which he does</w:t>
      </w:r>
      <w:r w:rsidR="001A6A06">
        <w:rPr>
          <w:rFonts w:ascii="Arial" w:hAnsi="Arial" w:cs="Arial"/>
          <w:sz w:val="24"/>
          <w:szCs w:val="24"/>
        </w:rPr>
        <w:t xml:space="preserve"> not sit</w:t>
      </w:r>
      <w:r w:rsidR="003E4058">
        <w:rPr>
          <w:rFonts w:ascii="Arial" w:hAnsi="Arial" w:cs="Arial"/>
          <w:sz w:val="24"/>
          <w:szCs w:val="24"/>
        </w:rPr>
        <w:t>,</w:t>
      </w:r>
      <w:r w:rsidRPr="000C3275">
        <w:rPr>
          <w:rFonts w:ascii="Arial" w:hAnsi="Arial" w:cs="Arial"/>
          <w:sz w:val="24"/>
          <w:szCs w:val="24"/>
        </w:rPr>
        <w:t xml:space="preserve"> is not a party in the Minister’s application to compel and</w:t>
      </w:r>
      <w:r w:rsidR="001A6A06">
        <w:rPr>
          <w:rFonts w:ascii="Arial" w:hAnsi="Arial" w:cs="Arial"/>
          <w:sz w:val="24"/>
          <w:szCs w:val="24"/>
        </w:rPr>
        <w:t xml:space="preserve"> was</w:t>
      </w:r>
      <w:r w:rsidRPr="000C3275">
        <w:rPr>
          <w:rFonts w:ascii="Arial" w:hAnsi="Arial" w:cs="Arial"/>
          <w:sz w:val="24"/>
          <w:szCs w:val="24"/>
        </w:rPr>
        <w:t xml:space="preserve"> therefore </w:t>
      </w:r>
      <w:r w:rsidR="00093FA8" w:rsidRPr="000C3275">
        <w:rPr>
          <w:rFonts w:ascii="Arial" w:hAnsi="Arial" w:cs="Arial"/>
          <w:sz w:val="24"/>
          <w:szCs w:val="24"/>
        </w:rPr>
        <w:t>not</w:t>
      </w:r>
      <w:r w:rsidRPr="000C3275">
        <w:rPr>
          <w:rFonts w:ascii="Arial" w:hAnsi="Arial" w:cs="Arial"/>
          <w:sz w:val="24"/>
          <w:szCs w:val="24"/>
        </w:rPr>
        <w:t xml:space="preserve"> affected by the outcome of the petition.</w:t>
      </w:r>
    </w:p>
    <w:p w:rsidR="008A2AAB" w:rsidRPr="000C3275" w:rsidRDefault="008A2AAB" w:rsidP="003E11F8">
      <w:pPr>
        <w:pStyle w:val="ListParagraph"/>
        <w:spacing w:after="0" w:line="480" w:lineRule="auto"/>
        <w:rPr>
          <w:rFonts w:ascii="Arial" w:hAnsi="Arial" w:cs="Arial"/>
          <w:sz w:val="24"/>
          <w:szCs w:val="24"/>
        </w:rPr>
      </w:pPr>
    </w:p>
    <w:p w:rsidR="008A2AAB"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As regards the</w:t>
      </w:r>
      <w:r w:rsidR="00093FA8" w:rsidRPr="000C3275">
        <w:rPr>
          <w:rFonts w:ascii="Arial" w:hAnsi="Arial" w:cs="Arial"/>
          <w:sz w:val="24"/>
          <w:szCs w:val="24"/>
        </w:rPr>
        <w:t xml:space="preserve"> association with </w:t>
      </w:r>
      <w:proofErr w:type="spellStart"/>
      <w:r w:rsidR="00093FA8" w:rsidRPr="000C3275">
        <w:rPr>
          <w:rFonts w:ascii="Arial" w:hAnsi="Arial" w:cs="Arial"/>
          <w:sz w:val="24"/>
          <w:szCs w:val="24"/>
        </w:rPr>
        <w:t>Trustco</w:t>
      </w:r>
      <w:proofErr w:type="spellEnd"/>
      <w:r w:rsidR="00093FA8" w:rsidRPr="000C3275">
        <w:rPr>
          <w:rFonts w:ascii="Arial" w:hAnsi="Arial" w:cs="Arial"/>
          <w:sz w:val="24"/>
          <w:szCs w:val="24"/>
        </w:rPr>
        <w:t>, the petition j</w:t>
      </w:r>
      <w:r w:rsidRPr="000C3275">
        <w:rPr>
          <w:rFonts w:ascii="Arial" w:hAnsi="Arial" w:cs="Arial"/>
          <w:sz w:val="24"/>
          <w:szCs w:val="24"/>
        </w:rPr>
        <w:t>udge states that his relationship with th</w:t>
      </w:r>
      <w:r w:rsidR="00093FA8" w:rsidRPr="000C3275">
        <w:rPr>
          <w:rFonts w:ascii="Arial" w:hAnsi="Arial" w:cs="Arial"/>
          <w:sz w:val="24"/>
          <w:szCs w:val="24"/>
        </w:rPr>
        <w:t>at</w:t>
      </w:r>
      <w:r w:rsidRPr="000C3275">
        <w:rPr>
          <w:rFonts w:ascii="Arial" w:hAnsi="Arial" w:cs="Arial"/>
          <w:sz w:val="24"/>
          <w:szCs w:val="24"/>
        </w:rPr>
        <w:t xml:space="preserve"> company terminated during 2009 and that the facts giving rise to the petition or the proceedings </w:t>
      </w:r>
      <w:r w:rsidRPr="000C3275">
        <w:rPr>
          <w:rFonts w:ascii="Arial" w:hAnsi="Arial" w:cs="Arial"/>
          <w:i/>
          <w:sz w:val="24"/>
          <w:szCs w:val="24"/>
        </w:rPr>
        <w:t>a quo</w:t>
      </w:r>
      <w:r w:rsidRPr="000C3275">
        <w:rPr>
          <w:rFonts w:ascii="Arial" w:hAnsi="Arial" w:cs="Arial"/>
          <w:sz w:val="24"/>
          <w:szCs w:val="24"/>
        </w:rPr>
        <w:t xml:space="preserve"> never formed part of any discussion in </w:t>
      </w:r>
      <w:proofErr w:type="spellStart"/>
      <w:r w:rsidRPr="000C3275">
        <w:rPr>
          <w:rFonts w:ascii="Arial" w:hAnsi="Arial" w:cs="Arial"/>
          <w:sz w:val="24"/>
          <w:szCs w:val="24"/>
        </w:rPr>
        <w:t>Trustco</w:t>
      </w:r>
      <w:proofErr w:type="spellEnd"/>
      <w:r w:rsidRPr="000C3275">
        <w:rPr>
          <w:rFonts w:ascii="Arial" w:hAnsi="Arial" w:cs="Arial"/>
          <w:sz w:val="24"/>
          <w:szCs w:val="24"/>
        </w:rPr>
        <w:t xml:space="preserve"> during his tenure on its board.</w:t>
      </w:r>
    </w:p>
    <w:p w:rsidR="008A2AAB" w:rsidRPr="000C3275" w:rsidRDefault="008A2AAB" w:rsidP="003E11F8">
      <w:pPr>
        <w:pStyle w:val="ListParagraph"/>
        <w:spacing w:after="0" w:line="480" w:lineRule="auto"/>
        <w:rPr>
          <w:rFonts w:ascii="Arial" w:eastAsia="Times New Roman" w:hAnsi="Arial" w:cs="Arial"/>
          <w:sz w:val="24"/>
          <w:szCs w:val="24"/>
          <w:lang w:eastAsia="en-GB"/>
        </w:rPr>
      </w:pPr>
    </w:p>
    <w:p w:rsidR="008A2AAB" w:rsidRPr="000C3275" w:rsidRDefault="00FB1B92" w:rsidP="008C06C9">
      <w:pPr>
        <w:tabs>
          <w:tab w:val="left" w:pos="851"/>
        </w:tabs>
        <w:spacing w:after="0" w:line="480" w:lineRule="auto"/>
        <w:contextualSpacing/>
        <w:jc w:val="both"/>
        <w:rPr>
          <w:rFonts w:ascii="Arial" w:hAnsi="Arial" w:cs="Arial"/>
          <w:sz w:val="24"/>
          <w:szCs w:val="24"/>
          <w:lang w:val="en-GB"/>
        </w:rPr>
      </w:pPr>
      <w:r>
        <w:rPr>
          <w:rFonts w:ascii="Arial" w:hAnsi="Arial" w:cs="Arial"/>
          <w:sz w:val="24"/>
          <w:szCs w:val="24"/>
          <w:u w:val="single"/>
        </w:rPr>
        <w:lastRenderedPageBreak/>
        <w:t>Was the petition j</w:t>
      </w:r>
      <w:r w:rsidR="008A2AAB" w:rsidRPr="000C3275">
        <w:rPr>
          <w:rFonts w:ascii="Arial" w:hAnsi="Arial" w:cs="Arial"/>
          <w:sz w:val="24"/>
          <w:szCs w:val="24"/>
          <w:u w:val="single"/>
        </w:rPr>
        <w:t>udge conflicted?</w:t>
      </w:r>
    </w:p>
    <w:p w:rsidR="00F32B92" w:rsidRPr="000C3275" w:rsidRDefault="00A90E4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 xml:space="preserve">Although the applicants cite three distinct grounds on which they seek to have the outcome of the petition invalidated, that result will follow if only one of those grounds is upheld. The question is whether </w:t>
      </w:r>
      <w:r w:rsidR="00093FA8" w:rsidRPr="000C3275">
        <w:rPr>
          <w:rFonts w:ascii="Arial" w:eastAsia="Times New Roman" w:hAnsi="Arial" w:cs="Arial"/>
          <w:sz w:val="24"/>
          <w:szCs w:val="24"/>
          <w:lang w:eastAsia="en-GB"/>
        </w:rPr>
        <w:t>any of the associations of the p</w:t>
      </w:r>
      <w:r w:rsidRPr="000C3275">
        <w:rPr>
          <w:rFonts w:ascii="Arial" w:eastAsia="Times New Roman" w:hAnsi="Arial" w:cs="Arial"/>
          <w:sz w:val="24"/>
          <w:szCs w:val="24"/>
          <w:lang w:eastAsia="en-GB"/>
        </w:rPr>
        <w:t xml:space="preserve">etition </w:t>
      </w:r>
      <w:r w:rsidR="00093FA8" w:rsidRPr="000C3275">
        <w:rPr>
          <w:rFonts w:ascii="Arial" w:eastAsia="Times New Roman" w:hAnsi="Arial" w:cs="Arial"/>
          <w:sz w:val="24"/>
          <w:szCs w:val="24"/>
          <w:lang w:eastAsia="en-GB"/>
        </w:rPr>
        <w:t>j</w:t>
      </w:r>
      <w:r w:rsidR="00E472C5" w:rsidRPr="000C3275">
        <w:rPr>
          <w:rFonts w:ascii="Arial" w:eastAsia="Times New Roman" w:hAnsi="Arial" w:cs="Arial"/>
          <w:sz w:val="24"/>
          <w:szCs w:val="24"/>
          <w:lang w:eastAsia="en-GB"/>
        </w:rPr>
        <w:t>udge (</w:t>
      </w:r>
      <w:r w:rsidRPr="000C3275">
        <w:rPr>
          <w:rFonts w:ascii="Arial" w:eastAsia="Times New Roman" w:hAnsi="Arial" w:cs="Arial"/>
          <w:sz w:val="24"/>
          <w:szCs w:val="24"/>
          <w:lang w:eastAsia="en-GB"/>
        </w:rPr>
        <w:t>past or present</w:t>
      </w:r>
      <w:r w:rsidR="00E472C5" w:rsidRPr="000C3275">
        <w:rPr>
          <w:rFonts w:ascii="Arial" w:eastAsia="Times New Roman" w:hAnsi="Arial" w:cs="Arial"/>
          <w:sz w:val="24"/>
          <w:szCs w:val="24"/>
          <w:lang w:eastAsia="en-GB"/>
        </w:rPr>
        <w:t>)</w:t>
      </w:r>
      <w:r w:rsidRPr="000C3275">
        <w:rPr>
          <w:rFonts w:ascii="Arial" w:eastAsia="Times New Roman" w:hAnsi="Arial" w:cs="Arial"/>
          <w:sz w:val="24"/>
          <w:szCs w:val="24"/>
          <w:lang w:eastAsia="en-GB"/>
        </w:rPr>
        <w:t xml:space="preserve"> </w:t>
      </w:r>
      <w:r w:rsidR="00E472C5" w:rsidRPr="000C3275">
        <w:rPr>
          <w:rFonts w:ascii="Arial" w:eastAsia="Times New Roman" w:hAnsi="Arial" w:cs="Arial"/>
          <w:sz w:val="24"/>
          <w:szCs w:val="24"/>
          <w:lang w:eastAsia="en-GB"/>
        </w:rPr>
        <w:t xml:space="preserve">rise to the level of disqualifying bias. </w:t>
      </w:r>
    </w:p>
    <w:p w:rsidR="008232D8" w:rsidRDefault="008232D8" w:rsidP="003E11F8">
      <w:pPr>
        <w:tabs>
          <w:tab w:val="left" w:pos="851"/>
        </w:tabs>
        <w:spacing w:after="0" w:line="480" w:lineRule="auto"/>
        <w:contextualSpacing/>
        <w:jc w:val="both"/>
        <w:rPr>
          <w:rFonts w:ascii="Arial" w:hAnsi="Arial" w:cs="Arial"/>
          <w:sz w:val="24"/>
          <w:szCs w:val="24"/>
          <w:lang w:val="en-GB"/>
        </w:rPr>
      </w:pPr>
    </w:p>
    <w:p w:rsidR="008232D8" w:rsidRPr="000C3275" w:rsidRDefault="008232D8" w:rsidP="008232D8">
      <w:pPr>
        <w:tabs>
          <w:tab w:val="left" w:pos="851"/>
        </w:tabs>
        <w:spacing w:after="0" w:line="480" w:lineRule="auto"/>
        <w:jc w:val="both"/>
        <w:rPr>
          <w:rFonts w:ascii="Arial" w:hAnsi="Arial" w:cs="Arial"/>
          <w:sz w:val="24"/>
          <w:szCs w:val="24"/>
          <w:u w:val="single"/>
        </w:rPr>
      </w:pPr>
      <w:r w:rsidRPr="000C3275">
        <w:rPr>
          <w:rFonts w:ascii="Arial" w:hAnsi="Arial" w:cs="Arial"/>
          <w:sz w:val="24"/>
          <w:szCs w:val="24"/>
          <w:u w:val="single"/>
        </w:rPr>
        <w:t>Discussion</w:t>
      </w:r>
    </w:p>
    <w:p w:rsidR="008232D8" w:rsidRPr="000C3275" w:rsidRDefault="008232D8" w:rsidP="008232D8">
      <w:pPr>
        <w:pStyle w:val="ListParagraph"/>
        <w:numPr>
          <w:ilvl w:val="0"/>
          <w:numId w:val="4"/>
        </w:numPr>
        <w:tabs>
          <w:tab w:val="left" w:pos="851"/>
        </w:tabs>
        <w:spacing w:after="0" w:line="480" w:lineRule="auto"/>
        <w:ind w:left="0" w:firstLine="0"/>
        <w:jc w:val="both"/>
        <w:rPr>
          <w:rFonts w:ascii="Arial" w:hAnsi="Arial" w:cs="Arial"/>
          <w:sz w:val="24"/>
          <w:szCs w:val="24"/>
          <w:u w:val="single"/>
        </w:rPr>
      </w:pPr>
      <w:r w:rsidRPr="000C3275">
        <w:rPr>
          <w:rFonts w:ascii="Arial" w:hAnsi="Arial" w:cs="Arial"/>
          <w:sz w:val="24"/>
          <w:szCs w:val="24"/>
        </w:rPr>
        <w:t>A duty of recusal arises where it appears that the judicial officer has an interest in the case or where there is some other reasonable ground for believing that there will be a likelihood that the judge will not adjudicate impartially.</w:t>
      </w:r>
      <w:r w:rsidRPr="000C3275">
        <w:rPr>
          <w:rStyle w:val="FootnoteReference"/>
          <w:rFonts w:ascii="Arial" w:hAnsi="Arial" w:cs="Arial"/>
          <w:sz w:val="24"/>
          <w:szCs w:val="24"/>
        </w:rPr>
        <w:footnoteReference w:id="13"/>
      </w:r>
      <w:r w:rsidRPr="000C3275">
        <w:rPr>
          <w:rFonts w:ascii="Arial" w:hAnsi="Arial" w:cs="Arial"/>
          <w:sz w:val="24"/>
          <w:szCs w:val="24"/>
        </w:rPr>
        <w:t xml:space="preserve"> </w:t>
      </w:r>
    </w:p>
    <w:p w:rsidR="008232D8" w:rsidRPr="000C3275" w:rsidRDefault="008232D8" w:rsidP="003E11F8">
      <w:pPr>
        <w:tabs>
          <w:tab w:val="left" w:pos="851"/>
        </w:tabs>
        <w:spacing w:after="0" w:line="480" w:lineRule="auto"/>
        <w:jc w:val="both"/>
        <w:rPr>
          <w:rFonts w:ascii="Arial" w:hAnsi="Arial" w:cs="Arial"/>
          <w:sz w:val="24"/>
          <w:szCs w:val="24"/>
          <w:u w:val="single"/>
        </w:rPr>
      </w:pPr>
    </w:p>
    <w:p w:rsidR="008A2AAB"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In </w:t>
      </w:r>
      <w:r w:rsidRPr="000C3275">
        <w:rPr>
          <w:rFonts w:ascii="Arial" w:hAnsi="Arial" w:cs="Arial"/>
          <w:i/>
          <w:sz w:val="24"/>
          <w:szCs w:val="24"/>
        </w:rPr>
        <w:t xml:space="preserve">R v Bow Street Magistrate; Ex parte Pinochet </w:t>
      </w:r>
      <w:proofErr w:type="spellStart"/>
      <w:r w:rsidRPr="000C3275">
        <w:rPr>
          <w:rFonts w:ascii="Arial" w:hAnsi="Arial" w:cs="Arial"/>
          <w:i/>
          <w:sz w:val="24"/>
          <w:szCs w:val="24"/>
        </w:rPr>
        <w:t>Ugarte</w:t>
      </w:r>
      <w:proofErr w:type="spellEnd"/>
      <w:r w:rsidRPr="000C3275">
        <w:rPr>
          <w:rFonts w:ascii="Arial" w:hAnsi="Arial" w:cs="Arial"/>
          <w:sz w:val="24"/>
          <w:szCs w:val="24"/>
        </w:rPr>
        <w:t xml:space="preserve"> (No 2) [1999] 1 All ER 577, Lord Browne-Wilkinson explained the underpinnings of the law on recusal as follows:</w:t>
      </w:r>
    </w:p>
    <w:p w:rsidR="00706DAF" w:rsidRPr="000C3275" w:rsidRDefault="00706DAF" w:rsidP="003E11F8">
      <w:pPr>
        <w:tabs>
          <w:tab w:val="left" w:pos="851"/>
        </w:tabs>
        <w:spacing w:after="0" w:line="480" w:lineRule="auto"/>
        <w:contextualSpacing/>
        <w:jc w:val="both"/>
        <w:rPr>
          <w:rFonts w:ascii="Arial" w:hAnsi="Arial" w:cs="Arial"/>
          <w:sz w:val="24"/>
          <w:szCs w:val="24"/>
          <w:lang w:val="en-GB"/>
        </w:rPr>
      </w:pPr>
    </w:p>
    <w:p w:rsidR="008A2AAB" w:rsidRPr="00354DC4" w:rsidRDefault="00FB1B92" w:rsidP="003E11F8">
      <w:pPr>
        <w:pStyle w:val="ListParagraph"/>
        <w:spacing w:after="0" w:line="360" w:lineRule="auto"/>
        <w:ind w:left="1134"/>
        <w:jc w:val="both"/>
        <w:rPr>
          <w:rFonts w:ascii="Arial" w:hAnsi="Arial" w:cs="Arial"/>
          <w:sz w:val="24"/>
          <w:szCs w:val="24"/>
        </w:rPr>
      </w:pPr>
      <w:r>
        <w:rPr>
          <w:rFonts w:ascii="Arial" w:hAnsi="Arial" w:cs="Arial"/>
        </w:rPr>
        <w:t>‘</w:t>
      </w:r>
      <w:r w:rsidR="008A2AAB" w:rsidRPr="000C3275">
        <w:rPr>
          <w:rFonts w:ascii="Arial" w:hAnsi="Arial" w:cs="Arial"/>
        </w:rPr>
        <w:t xml:space="preserve">The fundamental principle is that a man may not be a judge in his own cause. This principle as developed by the courts, has two very similar but not identical implications. First it may be applied literally: if a judge is in fact a party to the litigation or has a financial or proprietary interest in its outcome then he is indeed sitting as a judge in his own cause. In that case, the mere fact that he is a party to the action or has a financial or proprietary interest in its outcome is sufficient to cause his automatic disqualification. The second application of the principle is where a judge is not a party to the suit and does not have a financial interest outcome, </w:t>
      </w:r>
      <w:r w:rsidR="008A2AAB" w:rsidRPr="000C3275">
        <w:rPr>
          <w:rFonts w:ascii="Arial" w:hAnsi="Arial" w:cs="Arial"/>
          <w:u w:val="single"/>
        </w:rPr>
        <w:t xml:space="preserve">but in some other way his conduct or behavior may give rise to a suspicion that he is not impartial, for example because of his friendship with a party. </w:t>
      </w:r>
      <w:r w:rsidR="008A2AAB" w:rsidRPr="000C3275">
        <w:rPr>
          <w:rFonts w:ascii="Arial" w:hAnsi="Arial" w:cs="Arial"/>
        </w:rPr>
        <w:t>This second type of case is not strictly speaking an application of the principle that a</w:t>
      </w:r>
      <w:r w:rsidR="001A58AE">
        <w:rPr>
          <w:rFonts w:ascii="Arial" w:hAnsi="Arial" w:cs="Arial"/>
        </w:rPr>
        <w:t xml:space="preserve"> man.</w:t>
      </w:r>
      <w:r w:rsidR="00F01034">
        <w:rPr>
          <w:rFonts w:ascii="Arial" w:hAnsi="Arial" w:cs="Arial"/>
        </w:rPr>
        <w:t xml:space="preserve"> . . </w:t>
      </w:r>
      <w:r w:rsidR="008A2AAB" w:rsidRPr="000C3275">
        <w:rPr>
          <w:rFonts w:ascii="Arial" w:hAnsi="Arial" w:cs="Arial"/>
        </w:rPr>
        <w:t xml:space="preserve"> must not be judge in his own cause, since the judge will </w:t>
      </w:r>
      <w:r w:rsidR="008A2AAB" w:rsidRPr="000C3275">
        <w:rPr>
          <w:rFonts w:ascii="Arial" w:hAnsi="Arial" w:cs="Arial"/>
        </w:rPr>
        <w:lastRenderedPageBreak/>
        <w:t>not normally be himself benefitting, but providing a benefit for anot</w:t>
      </w:r>
      <w:r>
        <w:rPr>
          <w:rFonts w:ascii="Arial" w:hAnsi="Arial" w:cs="Arial"/>
        </w:rPr>
        <w:t>her by failing to be impartial.’</w:t>
      </w:r>
      <w:r w:rsidR="00354DC4">
        <w:rPr>
          <w:rFonts w:ascii="Arial" w:hAnsi="Arial" w:cs="Arial"/>
        </w:rPr>
        <w:t xml:space="preserve"> </w:t>
      </w:r>
      <w:r w:rsidR="00354DC4" w:rsidRPr="00354DC4">
        <w:rPr>
          <w:rFonts w:ascii="Arial" w:hAnsi="Arial" w:cs="Arial"/>
          <w:sz w:val="24"/>
          <w:szCs w:val="24"/>
        </w:rPr>
        <w:t>(My underlining)</w:t>
      </w:r>
    </w:p>
    <w:p w:rsidR="008A2AAB" w:rsidRPr="000C3275" w:rsidRDefault="008A2AAB" w:rsidP="003E11F8">
      <w:pPr>
        <w:pStyle w:val="ListParagraph"/>
        <w:spacing w:after="0" w:line="480" w:lineRule="auto"/>
        <w:rPr>
          <w:rFonts w:ascii="Arial" w:hAnsi="Arial" w:cs="Arial"/>
          <w:sz w:val="24"/>
          <w:szCs w:val="24"/>
        </w:rPr>
      </w:pPr>
    </w:p>
    <w:p w:rsidR="008A2AAB" w:rsidRPr="000C3275" w:rsidRDefault="00F32B92" w:rsidP="003E11F8">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The H</w:t>
      </w:r>
      <w:r w:rsidR="001735BE" w:rsidRPr="000C3275">
        <w:rPr>
          <w:rFonts w:ascii="Arial" w:hAnsi="Arial" w:cs="Arial"/>
          <w:sz w:val="24"/>
          <w:szCs w:val="24"/>
        </w:rPr>
        <w:t>ouse of Lords</w:t>
      </w:r>
      <w:r w:rsidRPr="000C3275">
        <w:rPr>
          <w:rFonts w:ascii="Arial" w:hAnsi="Arial" w:cs="Arial"/>
          <w:sz w:val="24"/>
          <w:szCs w:val="24"/>
        </w:rPr>
        <w:t xml:space="preserve"> held that the sacred rule that a man may not be a judge in his own cause should no</w:t>
      </w:r>
      <w:r w:rsidR="00391155" w:rsidRPr="000C3275">
        <w:rPr>
          <w:rFonts w:ascii="Arial" w:hAnsi="Arial" w:cs="Arial"/>
          <w:sz w:val="24"/>
          <w:szCs w:val="24"/>
        </w:rPr>
        <w:t>t be confined to a ca</w:t>
      </w:r>
      <w:r w:rsidRPr="000C3275">
        <w:rPr>
          <w:rFonts w:ascii="Arial" w:hAnsi="Arial" w:cs="Arial"/>
          <w:sz w:val="24"/>
          <w:szCs w:val="24"/>
        </w:rPr>
        <w:t xml:space="preserve">se in which the judge is a </w:t>
      </w:r>
      <w:r w:rsidR="00391155" w:rsidRPr="000C3275">
        <w:rPr>
          <w:rFonts w:ascii="Arial" w:hAnsi="Arial" w:cs="Arial"/>
          <w:sz w:val="24"/>
          <w:szCs w:val="24"/>
        </w:rPr>
        <w:t>party, but applies also to a ca</w:t>
      </w:r>
      <w:r w:rsidRPr="000C3275">
        <w:rPr>
          <w:rFonts w:ascii="Arial" w:hAnsi="Arial" w:cs="Arial"/>
          <w:sz w:val="24"/>
          <w:szCs w:val="24"/>
        </w:rPr>
        <w:t>se in which he has an interest, whether financial</w:t>
      </w:r>
      <w:r w:rsidR="00354DC4">
        <w:rPr>
          <w:rFonts w:ascii="Arial" w:hAnsi="Arial" w:cs="Arial"/>
          <w:sz w:val="24"/>
          <w:szCs w:val="24"/>
        </w:rPr>
        <w:t>,</w:t>
      </w:r>
      <w:r w:rsidRPr="000C3275">
        <w:rPr>
          <w:rFonts w:ascii="Arial" w:hAnsi="Arial" w:cs="Arial"/>
          <w:sz w:val="24"/>
          <w:szCs w:val="24"/>
        </w:rPr>
        <w:t xml:space="preserve"> proprietary </w:t>
      </w:r>
      <w:r w:rsidR="00354DC4">
        <w:rPr>
          <w:rFonts w:ascii="Arial" w:hAnsi="Arial" w:cs="Arial"/>
          <w:sz w:val="24"/>
          <w:szCs w:val="24"/>
        </w:rPr>
        <w:t>or non-</w:t>
      </w:r>
      <w:r w:rsidRPr="000C3275">
        <w:rPr>
          <w:rFonts w:ascii="Arial" w:hAnsi="Arial" w:cs="Arial"/>
          <w:sz w:val="24"/>
          <w:szCs w:val="24"/>
        </w:rPr>
        <w:t>financial or proprietary.</w:t>
      </w:r>
      <w:r w:rsidRPr="000C3275">
        <w:rPr>
          <w:rStyle w:val="FootnoteReference"/>
          <w:rFonts w:ascii="Arial" w:hAnsi="Arial" w:cs="Arial"/>
          <w:sz w:val="24"/>
          <w:szCs w:val="24"/>
        </w:rPr>
        <w:footnoteReference w:id="14"/>
      </w:r>
      <w:r w:rsidR="00391155" w:rsidRPr="000C3275">
        <w:rPr>
          <w:rFonts w:ascii="Arial" w:hAnsi="Arial" w:cs="Arial"/>
          <w:sz w:val="24"/>
          <w:szCs w:val="24"/>
        </w:rPr>
        <w:t xml:space="preserve"> Therefore</w:t>
      </w:r>
      <w:r w:rsidRPr="000C3275">
        <w:rPr>
          <w:rFonts w:ascii="Arial" w:hAnsi="Arial" w:cs="Arial"/>
          <w:sz w:val="24"/>
          <w:szCs w:val="24"/>
        </w:rPr>
        <w:t>, it was held</w:t>
      </w:r>
      <w:r w:rsidR="00391155" w:rsidRPr="000C3275">
        <w:rPr>
          <w:rFonts w:ascii="Arial" w:hAnsi="Arial" w:cs="Arial"/>
          <w:sz w:val="24"/>
          <w:szCs w:val="24"/>
        </w:rPr>
        <w:t>,</w:t>
      </w:r>
      <w:r w:rsidRPr="000C3275">
        <w:rPr>
          <w:rFonts w:ascii="Arial" w:hAnsi="Arial" w:cs="Arial"/>
          <w:sz w:val="24"/>
          <w:szCs w:val="24"/>
        </w:rPr>
        <w:t xml:space="preserve"> that although a judge’s interest in a party to a case wi</w:t>
      </w:r>
      <w:r w:rsidR="00FB1B92">
        <w:rPr>
          <w:rFonts w:ascii="Arial" w:hAnsi="Arial" w:cs="Arial"/>
          <w:sz w:val="24"/>
          <w:szCs w:val="24"/>
        </w:rPr>
        <w:t>th which he was seized was non-</w:t>
      </w:r>
      <w:r w:rsidRPr="000C3275">
        <w:rPr>
          <w:rFonts w:ascii="Arial" w:hAnsi="Arial" w:cs="Arial"/>
          <w:sz w:val="24"/>
          <w:szCs w:val="24"/>
        </w:rPr>
        <w:t>pecuniary in nature, the rationale applies just as much if the judge’s decision will lead to the promotion of a cause in which the judge is involved together with one of the parties.</w:t>
      </w:r>
      <w:r w:rsidRPr="000C3275">
        <w:rPr>
          <w:rStyle w:val="FootnoteReference"/>
          <w:rFonts w:ascii="Arial" w:hAnsi="Arial" w:cs="Arial"/>
          <w:sz w:val="24"/>
          <w:szCs w:val="24"/>
        </w:rPr>
        <w:footnoteReference w:id="15"/>
      </w:r>
    </w:p>
    <w:p w:rsidR="008A2AAB" w:rsidRPr="000C3275" w:rsidRDefault="008A2AAB" w:rsidP="003E11F8">
      <w:pPr>
        <w:tabs>
          <w:tab w:val="left" w:pos="851"/>
        </w:tabs>
        <w:spacing w:after="0" w:line="480" w:lineRule="auto"/>
        <w:contextualSpacing/>
        <w:jc w:val="both"/>
        <w:rPr>
          <w:rFonts w:ascii="Arial" w:hAnsi="Arial" w:cs="Arial"/>
          <w:sz w:val="24"/>
          <w:szCs w:val="24"/>
          <w:lang w:val="en-GB"/>
        </w:rPr>
      </w:pPr>
    </w:p>
    <w:p w:rsidR="008A2AAB"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In </w:t>
      </w:r>
      <w:r w:rsidRPr="000C3275">
        <w:rPr>
          <w:rFonts w:ascii="Arial" w:hAnsi="Arial" w:cs="Arial"/>
          <w:i/>
          <w:sz w:val="24"/>
          <w:szCs w:val="24"/>
        </w:rPr>
        <w:t>BTR</w:t>
      </w:r>
      <w:r w:rsidRPr="000C3275">
        <w:rPr>
          <w:rFonts w:ascii="Arial" w:hAnsi="Arial" w:cs="Arial"/>
          <w:sz w:val="24"/>
          <w:szCs w:val="24"/>
        </w:rPr>
        <w:t xml:space="preserve"> </w:t>
      </w:r>
      <w:r w:rsidRPr="000C3275">
        <w:rPr>
          <w:rFonts w:ascii="Arial" w:hAnsi="Arial" w:cs="Arial"/>
          <w:i/>
          <w:sz w:val="24"/>
          <w:szCs w:val="24"/>
        </w:rPr>
        <w:t>Industries South Africa (Pty) Ltd v Metal and Allied Workers’ Union</w:t>
      </w:r>
      <w:r w:rsidRPr="000C3275">
        <w:rPr>
          <w:rFonts w:ascii="Arial" w:hAnsi="Arial" w:cs="Arial"/>
          <w:sz w:val="24"/>
          <w:szCs w:val="24"/>
        </w:rPr>
        <w:t xml:space="preserve"> the South African Supreme Court of Appeal held that:</w:t>
      </w:r>
      <w:r w:rsidRPr="000C3275">
        <w:rPr>
          <w:rStyle w:val="FootnoteReference"/>
          <w:rFonts w:ascii="Arial" w:hAnsi="Arial" w:cs="Arial"/>
          <w:sz w:val="24"/>
          <w:szCs w:val="24"/>
        </w:rPr>
        <w:footnoteReference w:id="16"/>
      </w:r>
    </w:p>
    <w:p w:rsidR="00706DAF" w:rsidRPr="000C3275" w:rsidRDefault="00706DAF" w:rsidP="003E11F8">
      <w:pPr>
        <w:tabs>
          <w:tab w:val="left" w:pos="851"/>
        </w:tabs>
        <w:spacing w:after="0" w:line="480" w:lineRule="auto"/>
        <w:contextualSpacing/>
        <w:jc w:val="both"/>
        <w:rPr>
          <w:rFonts w:ascii="Arial" w:hAnsi="Arial" w:cs="Arial"/>
          <w:sz w:val="24"/>
          <w:szCs w:val="24"/>
          <w:lang w:val="en-GB"/>
        </w:rPr>
      </w:pPr>
    </w:p>
    <w:p w:rsidR="008A2AAB" w:rsidRPr="000C3275" w:rsidRDefault="00FB1B92" w:rsidP="00D86634">
      <w:pPr>
        <w:pStyle w:val="ListParagraph"/>
        <w:spacing w:after="0" w:line="360" w:lineRule="auto"/>
        <w:ind w:left="1134"/>
        <w:jc w:val="both"/>
        <w:rPr>
          <w:rFonts w:ascii="Arial" w:hAnsi="Arial" w:cs="Arial"/>
          <w:u w:val="single"/>
        </w:rPr>
      </w:pPr>
      <w:r>
        <w:rPr>
          <w:rFonts w:ascii="Arial" w:hAnsi="Arial" w:cs="Arial"/>
        </w:rPr>
        <w:t>‘</w:t>
      </w:r>
      <w:r w:rsidR="008A2AAB" w:rsidRPr="000C3275">
        <w:rPr>
          <w:rFonts w:ascii="Arial" w:hAnsi="Arial" w:cs="Arial"/>
        </w:rPr>
        <w:t xml:space="preserve">[I]t is a hallowed maxim that if the judicial officer has any interest in the outcome of the matter before him (save an interest so clearly trivial in nature as to be disregarded under the </w:t>
      </w:r>
      <w:r w:rsidR="008A2AAB" w:rsidRPr="000C3275">
        <w:rPr>
          <w:rFonts w:ascii="Arial" w:hAnsi="Arial" w:cs="Arial"/>
          <w:i/>
        </w:rPr>
        <w:t xml:space="preserve">de </w:t>
      </w:r>
      <w:proofErr w:type="spellStart"/>
      <w:r w:rsidR="008A2AAB" w:rsidRPr="000C3275">
        <w:rPr>
          <w:rFonts w:ascii="Arial" w:hAnsi="Arial" w:cs="Arial"/>
          <w:i/>
        </w:rPr>
        <w:t>minimi</w:t>
      </w:r>
      <w:r w:rsidR="008A2AAB" w:rsidRPr="000C3275">
        <w:rPr>
          <w:rFonts w:ascii="Arial" w:hAnsi="Arial" w:cs="Arial"/>
        </w:rPr>
        <w:t>s</w:t>
      </w:r>
      <w:proofErr w:type="spellEnd"/>
      <w:r w:rsidR="008A2AAB" w:rsidRPr="000C3275">
        <w:rPr>
          <w:rFonts w:ascii="Arial" w:hAnsi="Arial" w:cs="Arial"/>
        </w:rPr>
        <w:t xml:space="preserve"> principle) he is disqualified, </w:t>
      </w:r>
      <w:r w:rsidR="008A2AAB" w:rsidRPr="000C3275">
        <w:rPr>
          <w:rFonts w:ascii="Arial" w:hAnsi="Arial" w:cs="Arial"/>
          <w:u w:val="single"/>
        </w:rPr>
        <w:t>no matter how small the interest by be . . . .</w:t>
      </w:r>
      <w:r w:rsidR="008A2AAB" w:rsidRPr="000C3275">
        <w:rPr>
          <w:rFonts w:ascii="Arial" w:hAnsi="Arial" w:cs="Arial"/>
        </w:rPr>
        <w:t xml:space="preserve"> </w:t>
      </w:r>
      <w:r w:rsidR="008A2AAB" w:rsidRPr="000C3275">
        <w:rPr>
          <w:rFonts w:ascii="Arial" w:hAnsi="Arial" w:cs="Arial"/>
          <w:u w:val="single"/>
        </w:rPr>
        <w:t>The law does not seek, in such a case, to measure the amount of his interest. I venture to suggest that the matter stands no differently with regard to the apprehension of bias by a lay litigant.</w:t>
      </w:r>
    </w:p>
    <w:p w:rsidR="008A2AAB" w:rsidRPr="000C3275" w:rsidRDefault="00F01034" w:rsidP="00D86634">
      <w:pPr>
        <w:pStyle w:val="ListParagraph"/>
        <w:spacing w:after="0" w:line="360" w:lineRule="auto"/>
        <w:ind w:left="1134"/>
        <w:jc w:val="both"/>
        <w:rPr>
          <w:rFonts w:ascii="Arial" w:hAnsi="Arial" w:cs="Arial"/>
        </w:rPr>
      </w:pPr>
      <w:r>
        <w:rPr>
          <w:rFonts w:ascii="Arial" w:hAnsi="Arial" w:cs="Arial"/>
        </w:rPr>
        <w:t xml:space="preserve">. . . </w:t>
      </w:r>
    </w:p>
    <w:p w:rsidR="008A2AAB" w:rsidRPr="000C3275" w:rsidRDefault="00F01034" w:rsidP="00D86634">
      <w:pPr>
        <w:pStyle w:val="ListParagraph"/>
        <w:spacing w:after="0" w:line="360" w:lineRule="auto"/>
        <w:ind w:left="1134"/>
        <w:jc w:val="both"/>
        <w:rPr>
          <w:rFonts w:ascii="Arial" w:hAnsi="Arial" w:cs="Arial"/>
        </w:rPr>
      </w:pPr>
      <w:r>
        <w:rPr>
          <w:rFonts w:ascii="Arial" w:hAnsi="Arial" w:cs="Arial"/>
        </w:rPr>
        <w:t xml:space="preserve">. . . </w:t>
      </w:r>
      <w:proofErr w:type="gramStart"/>
      <w:r w:rsidR="008A2AAB" w:rsidRPr="000C3275">
        <w:rPr>
          <w:rFonts w:ascii="Arial" w:hAnsi="Arial" w:cs="Arial"/>
        </w:rPr>
        <w:t>a</w:t>
      </w:r>
      <w:proofErr w:type="gramEnd"/>
      <w:r w:rsidR="008A2AAB" w:rsidRPr="000C3275">
        <w:rPr>
          <w:rFonts w:ascii="Arial" w:hAnsi="Arial" w:cs="Arial"/>
        </w:rPr>
        <w:t xml:space="preserve"> Court cannot </w:t>
      </w:r>
      <w:r>
        <w:rPr>
          <w:rFonts w:ascii="Arial" w:hAnsi="Arial" w:cs="Arial"/>
        </w:rPr>
        <w:t xml:space="preserve">. . . </w:t>
      </w:r>
      <w:r w:rsidR="008A2AAB" w:rsidRPr="000C3275">
        <w:rPr>
          <w:rFonts w:ascii="Arial" w:hAnsi="Arial" w:cs="Arial"/>
        </w:rPr>
        <w:t>be called upon to measure in a nice balance the precise extent of the apparent risk, if suspicion is reasonably apprehended, the</w:t>
      </w:r>
      <w:r w:rsidR="00FB1B92">
        <w:rPr>
          <w:rFonts w:ascii="Arial" w:hAnsi="Arial" w:cs="Arial"/>
        </w:rPr>
        <w:t>n that is an end to the matter.’</w:t>
      </w:r>
    </w:p>
    <w:p w:rsidR="008A2AAB" w:rsidRPr="000C3275" w:rsidRDefault="008A2AAB" w:rsidP="003E11F8">
      <w:pPr>
        <w:pStyle w:val="ListParagraph"/>
        <w:spacing w:after="0" w:line="480" w:lineRule="auto"/>
        <w:rPr>
          <w:rFonts w:ascii="Arial" w:hAnsi="Arial" w:cs="Arial"/>
          <w:sz w:val="24"/>
          <w:szCs w:val="24"/>
        </w:rPr>
      </w:pPr>
    </w:p>
    <w:p w:rsidR="008A2AAB"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It must be apparent from the authorities cited</w:t>
      </w:r>
      <w:r w:rsidR="003E4058">
        <w:rPr>
          <w:rFonts w:ascii="Arial" w:hAnsi="Arial" w:cs="Arial"/>
          <w:sz w:val="24"/>
          <w:szCs w:val="24"/>
        </w:rPr>
        <w:t xml:space="preserve"> above</w:t>
      </w:r>
      <w:r w:rsidRPr="000C3275">
        <w:rPr>
          <w:rFonts w:ascii="Arial" w:hAnsi="Arial" w:cs="Arial"/>
          <w:sz w:val="24"/>
          <w:szCs w:val="24"/>
        </w:rPr>
        <w:t xml:space="preserve"> that the law on recusal serves three objectives. The first is that the court system must not be </w:t>
      </w:r>
      <w:proofErr w:type="spellStart"/>
      <w:r w:rsidRPr="000C3275">
        <w:rPr>
          <w:rFonts w:ascii="Arial" w:hAnsi="Arial" w:cs="Arial"/>
          <w:sz w:val="24"/>
          <w:szCs w:val="24"/>
        </w:rPr>
        <w:t>paralysed</w:t>
      </w:r>
      <w:proofErr w:type="spellEnd"/>
      <w:r w:rsidRPr="000C3275">
        <w:rPr>
          <w:rFonts w:ascii="Arial" w:hAnsi="Arial" w:cs="Arial"/>
          <w:sz w:val="24"/>
          <w:szCs w:val="24"/>
        </w:rPr>
        <w:t xml:space="preserve"> </w:t>
      </w:r>
      <w:r w:rsidR="00391155" w:rsidRPr="000C3275">
        <w:rPr>
          <w:rFonts w:ascii="Arial" w:hAnsi="Arial" w:cs="Arial"/>
          <w:sz w:val="24"/>
          <w:szCs w:val="24"/>
        </w:rPr>
        <w:t xml:space="preserve">by </w:t>
      </w:r>
      <w:r w:rsidR="00391155" w:rsidRPr="000C3275">
        <w:rPr>
          <w:rFonts w:ascii="Arial" w:hAnsi="Arial" w:cs="Arial"/>
          <w:sz w:val="24"/>
          <w:szCs w:val="24"/>
        </w:rPr>
        <w:lastRenderedPageBreak/>
        <w:t>frivolous claims for recusal -</w:t>
      </w:r>
      <w:r w:rsidRPr="000C3275">
        <w:rPr>
          <w:rFonts w:ascii="Arial" w:hAnsi="Arial" w:cs="Arial"/>
          <w:sz w:val="24"/>
          <w:szCs w:val="24"/>
        </w:rPr>
        <w:t xml:space="preserve"> hence the presumption of impartiality and the duty to hear matters. The second is that those who sit in judgment over others must not promote their own or others’ interests or causes. The third is that everythi</w:t>
      </w:r>
      <w:r w:rsidR="00354DC4">
        <w:rPr>
          <w:rFonts w:ascii="Arial" w:hAnsi="Arial" w:cs="Arial"/>
          <w:sz w:val="24"/>
          <w:szCs w:val="24"/>
        </w:rPr>
        <w:t xml:space="preserve">ng possible must be done to not </w:t>
      </w:r>
      <w:r w:rsidRPr="000C3275">
        <w:rPr>
          <w:rFonts w:ascii="Arial" w:hAnsi="Arial" w:cs="Arial"/>
          <w:sz w:val="24"/>
          <w:szCs w:val="24"/>
        </w:rPr>
        <w:t>leave a nagging feeling in the public’s mind that one party to a dispute did not get a fair hearing because of who the judge is or was.</w:t>
      </w:r>
    </w:p>
    <w:p w:rsidR="005B0C2F" w:rsidRPr="000C3275" w:rsidRDefault="005B0C2F" w:rsidP="003E11F8">
      <w:pPr>
        <w:tabs>
          <w:tab w:val="left" w:pos="851"/>
        </w:tabs>
        <w:spacing w:after="0" w:line="480" w:lineRule="auto"/>
        <w:contextualSpacing/>
        <w:jc w:val="both"/>
        <w:rPr>
          <w:rFonts w:ascii="Arial" w:hAnsi="Arial" w:cs="Arial"/>
          <w:sz w:val="24"/>
          <w:szCs w:val="24"/>
          <w:lang w:val="en-GB"/>
        </w:rPr>
      </w:pPr>
    </w:p>
    <w:p w:rsidR="00391155"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All three objectives serve to promote confidence in the administration of justice. No one objective is less important than the other although there are different ways in which they can be given effect to – either through open ventilation or through administrative arrangements for which the head of jurisdiction is responsible</w:t>
      </w:r>
      <w:r w:rsidR="00C561A7" w:rsidRPr="000C3275">
        <w:rPr>
          <w:rFonts w:ascii="Arial" w:hAnsi="Arial" w:cs="Arial"/>
          <w:sz w:val="24"/>
          <w:szCs w:val="24"/>
        </w:rPr>
        <w:t>.</w:t>
      </w:r>
      <w:r w:rsidR="001735BE" w:rsidRPr="000C3275">
        <w:rPr>
          <w:rStyle w:val="FootnoteReference"/>
          <w:rFonts w:ascii="Arial" w:hAnsi="Arial" w:cs="Arial"/>
          <w:sz w:val="24"/>
          <w:szCs w:val="24"/>
        </w:rPr>
        <w:footnoteReference w:id="17"/>
      </w:r>
      <w:r w:rsidRPr="000C3275">
        <w:rPr>
          <w:rFonts w:ascii="Arial" w:hAnsi="Arial" w:cs="Arial"/>
          <w:sz w:val="24"/>
          <w:szCs w:val="24"/>
        </w:rPr>
        <w:t xml:space="preserve"> </w:t>
      </w:r>
    </w:p>
    <w:p w:rsidR="00391155" w:rsidRPr="000C3275" w:rsidRDefault="00391155" w:rsidP="003E11F8">
      <w:pPr>
        <w:pStyle w:val="ListParagraph"/>
        <w:spacing w:after="0" w:line="480" w:lineRule="auto"/>
        <w:rPr>
          <w:rFonts w:ascii="Arial" w:hAnsi="Arial" w:cs="Arial"/>
          <w:sz w:val="24"/>
          <w:szCs w:val="24"/>
        </w:rPr>
      </w:pPr>
    </w:p>
    <w:p w:rsidR="001735BE" w:rsidRPr="000C3275" w:rsidRDefault="00F32B92" w:rsidP="001735BE">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The last objective presents a peculiar problem in that the facts giving rise to its application are not easy to prove and is based on perception and value judgment</w:t>
      </w:r>
      <w:r w:rsidR="00E26DE2">
        <w:rPr>
          <w:rFonts w:ascii="Arial" w:hAnsi="Arial" w:cs="Arial"/>
          <w:sz w:val="24"/>
          <w:szCs w:val="24"/>
        </w:rPr>
        <w:t xml:space="preserve"> and in some way the thought processes of an affected judicial officer</w:t>
      </w:r>
      <w:r w:rsidRPr="000C3275">
        <w:rPr>
          <w:rFonts w:ascii="Arial" w:hAnsi="Arial" w:cs="Arial"/>
          <w:sz w:val="24"/>
          <w:szCs w:val="24"/>
        </w:rPr>
        <w:t>. It therefore highlights the importance of the judicial officer making full disclosure and to err on the side of caution if in doubt</w:t>
      </w:r>
      <w:r w:rsidR="00391155" w:rsidRPr="000C3275">
        <w:rPr>
          <w:rFonts w:ascii="Arial" w:hAnsi="Arial" w:cs="Arial"/>
          <w:sz w:val="24"/>
          <w:szCs w:val="24"/>
        </w:rPr>
        <w:t xml:space="preserve"> as </w:t>
      </w:r>
      <w:r w:rsidR="001735BE" w:rsidRPr="000C3275">
        <w:rPr>
          <w:rFonts w:ascii="Arial" w:hAnsi="Arial" w:cs="Arial"/>
          <w:sz w:val="24"/>
          <w:szCs w:val="24"/>
        </w:rPr>
        <w:t xml:space="preserve">explained in </w:t>
      </w:r>
      <w:r w:rsidR="009A5719" w:rsidRPr="000C3275">
        <w:rPr>
          <w:rFonts w:ascii="Arial" w:hAnsi="Arial" w:cs="Arial"/>
          <w:sz w:val="24"/>
          <w:szCs w:val="24"/>
        </w:rPr>
        <w:t xml:space="preserve">para </w:t>
      </w:r>
      <w:r w:rsidR="00354DC4" w:rsidRPr="00C36ABF">
        <w:rPr>
          <w:rFonts w:ascii="Arial" w:hAnsi="Arial" w:cs="Arial"/>
          <w:sz w:val="24"/>
          <w:szCs w:val="24"/>
        </w:rPr>
        <w:t>[</w:t>
      </w:r>
      <w:r w:rsidR="00C36ABF" w:rsidRPr="00C36ABF">
        <w:rPr>
          <w:rFonts w:ascii="Arial" w:hAnsi="Arial" w:cs="Arial"/>
          <w:sz w:val="24"/>
          <w:szCs w:val="24"/>
        </w:rPr>
        <w:t>85</w:t>
      </w:r>
      <w:r w:rsidR="00354DC4" w:rsidRPr="00C36ABF">
        <w:rPr>
          <w:rFonts w:ascii="Arial" w:hAnsi="Arial" w:cs="Arial"/>
          <w:sz w:val="24"/>
          <w:szCs w:val="24"/>
        </w:rPr>
        <w:t>]</w:t>
      </w:r>
      <w:r w:rsidR="009A5719" w:rsidRPr="00354DC4">
        <w:rPr>
          <w:rFonts w:ascii="Arial" w:hAnsi="Arial" w:cs="Arial"/>
          <w:color w:val="FF0000"/>
          <w:sz w:val="24"/>
          <w:szCs w:val="24"/>
        </w:rPr>
        <w:t xml:space="preserve"> </w:t>
      </w:r>
      <w:r w:rsidR="001735BE" w:rsidRPr="000C3275">
        <w:rPr>
          <w:rFonts w:ascii="Arial" w:hAnsi="Arial" w:cs="Arial"/>
          <w:sz w:val="24"/>
          <w:szCs w:val="24"/>
        </w:rPr>
        <w:t>below.</w:t>
      </w:r>
    </w:p>
    <w:p w:rsidR="00000FDC" w:rsidRPr="000C3275" w:rsidRDefault="00000FDC" w:rsidP="003E11F8">
      <w:pPr>
        <w:tabs>
          <w:tab w:val="left" w:pos="851"/>
        </w:tabs>
        <w:spacing w:after="0" w:line="480" w:lineRule="auto"/>
        <w:contextualSpacing/>
        <w:jc w:val="both"/>
        <w:rPr>
          <w:rFonts w:ascii="Arial" w:hAnsi="Arial" w:cs="Arial"/>
          <w:sz w:val="24"/>
          <w:szCs w:val="24"/>
          <w:lang w:val="en-GB"/>
        </w:rPr>
      </w:pPr>
    </w:p>
    <w:p w:rsidR="00000FDC" w:rsidRPr="00F01034" w:rsidRDefault="00391155"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The issue is whether the petition j</w:t>
      </w:r>
      <w:r w:rsidR="00F32B92" w:rsidRPr="000C3275">
        <w:rPr>
          <w:rFonts w:ascii="Arial" w:eastAsia="Times New Roman" w:hAnsi="Arial" w:cs="Arial"/>
          <w:sz w:val="24"/>
          <w:szCs w:val="24"/>
          <w:lang w:eastAsia="en-GB"/>
        </w:rPr>
        <w:t>udge’s admitted associations and relationships (past and present) are of the nature that a reasonable person, in possession of all the facts and aware of the surrounding circumstances, would reasonably form the view tha</w:t>
      </w:r>
      <w:r w:rsidRPr="000C3275">
        <w:rPr>
          <w:rFonts w:ascii="Arial" w:eastAsia="Times New Roman" w:hAnsi="Arial" w:cs="Arial"/>
          <w:sz w:val="24"/>
          <w:szCs w:val="24"/>
          <w:lang w:eastAsia="en-GB"/>
        </w:rPr>
        <w:t>t the petition j</w:t>
      </w:r>
      <w:r w:rsidR="00F32B92" w:rsidRPr="000C3275">
        <w:rPr>
          <w:rFonts w:ascii="Arial" w:eastAsia="Times New Roman" w:hAnsi="Arial" w:cs="Arial"/>
          <w:sz w:val="24"/>
          <w:szCs w:val="24"/>
          <w:lang w:eastAsia="en-GB"/>
        </w:rPr>
        <w:t>udge might (not would) be biased in the determination of the petition.</w:t>
      </w:r>
    </w:p>
    <w:p w:rsidR="00FA7B03" w:rsidRPr="00AD3A59" w:rsidRDefault="00FA7B03" w:rsidP="00AD3A59">
      <w:pPr>
        <w:spacing w:after="0" w:line="480" w:lineRule="auto"/>
        <w:rPr>
          <w:rFonts w:ascii="Arial" w:eastAsia="Times New Roman" w:hAnsi="Arial" w:cs="Arial"/>
          <w:sz w:val="24"/>
          <w:szCs w:val="24"/>
          <w:lang w:eastAsia="en-GB"/>
        </w:rPr>
      </w:pPr>
    </w:p>
    <w:p w:rsidR="00000FDC" w:rsidRPr="000C3275" w:rsidRDefault="00000FDC" w:rsidP="008C06C9">
      <w:pPr>
        <w:spacing w:after="0" w:line="480" w:lineRule="auto"/>
        <w:jc w:val="both"/>
        <w:rPr>
          <w:rFonts w:ascii="Arial" w:eastAsia="Times New Roman" w:hAnsi="Arial" w:cs="Arial"/>
          <w:sz w:val="24"/>
          <w:szCs w:val="24"/>
          <w:u w:val="single"/>
          <w:lang w:eastAsia="en-GB"/>
        </w:rPr>
      </w:pPr>
      <w:r w:rsidRPr="000C3275">
        <w:rPr>
          <w:rFonts w:ascii="Arial" w:eastAsia="Times New Roman" w:hAnsi="Arial" w:cs="Arial"/>
          <w:sz w:val="24"/>
          <w:szCs w:val="24"/>
          <w:u w:val="single"/>
          <w:lang w:eastAsia="en-GB"/>
        </w:rPr>
        <w:t>The submissions</w:t>
      </w:r>
    </w:p>
    <w:p w:rsidR="00000FDC" w:rsidRPr="000C3275" w:rsidRDefault="00000FDC" w:rsidP="001511B5">
      <w:pPr>
        <w:spacing w:after="0" w:line="480" w:lineRule="auto"/>
        <w:jc w:val="both"/>
        <w:rPr>
          <w:rFonts w:ascii="Arial" w:eastAsia="Times New Roman" w:hAnsi="Arial" w:cs="Arial"/>
          <w:i/>
          <w:sz w:val="24"/>
          <w:szCs w:val="24"/>
          <w:lang w:eastAsia="en-GB"/>
        </w:rPr>
      </w:pPr>
      <w:r w:rsidRPr="000C3275">
        <w:rPr>
          <w:rFonts w:ascii="Arial" w:eastAsia="Times New Roman" w:hAnsi="Arial" w:cs="Arial"/>
          <w:i/>
          <w:sz w:val="24"/>
          <w:szCs w:val="24"/>
          <w:lang w:eastAsia="en-GB"/>
        </w:rPr>
        <w:lastRenderedPageBreak/>
        <w:t>Applicants</w:t>
      </w:r>
    </w:p>
    <w:p w:rsidR="00000FDC" w:rsidRPr="000C3275" w:rsidRDefault="008D51E9" w:rsidP="008D51E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lang w:val="en-GB"/>
        </w:rPr>
        <w:t xml:space="preserve">The applicants’ submissions mirror the views expressed in the supporting affidavit </w:t>
      </w:r>
      <w:r w:rsidR="00E26DE2">
        <w:rPr>
          <w:rFonts w:ascii="Arial" w:hAnsi="Arial" w:cs="Arial"/>
          <w:sz w:val="24"/>
          <w:szCs w:val="24"/>
          <w:lang w:val="en-GB"/>
        </w:rPr>
        <w:t xml:space="preserve">and reply </w:t>
      </w:r>
      <w:r w:rsidRPr="000C3275">
        <w:rPr>
          <w:rFonts w:ascii="Arial" w:hAnsi="Arial" w:cs="Arial"/>
          <w:sz w:val="24"/>
          <w:szCs w:val="24"/>
          <w:lang w:val="en-GB"/>
        </w:rPr>
        <w:t xml:space="preserve">which are in material respects justified by reference to decided cases. I find it unnecessary therefore </w:t>
      </w:r>
      <w:r w:rsidR="00B01FE2" w:rsidRPr="000C3275">
        <w:rPr>
          <w:rFonts w:ascii="Arial" w:hAnsi="Arial" w:cs="Arial"/>
          <w:sz w:val="24"/>
          <w:szCs w:val="24"/>
          <w:lang w:val="en-GB"/>
        </w:rPr>
        <w:t xml:space="preserve">- </w:t>
      </w:r>
      <w:r w:rsidRPr="000C3275">
        <w:rPr>
          <w:rFonts w:ascii="Arial" w:hAnsi="Arial" w:cs="Arial"/>
          <w:sz w:val="24"/>
          <w:szCs w:val="24"/>
          <w:lang w:val="en-GB"/>
        </w:rPr>
        <w:t xml:space="preserve">not least because of the conclusion to which I come </w:t>
      </w:r>
      <w:r w:rsidR="00B01FE2" w:rsidRPr="000C3275">
        <w:rPr>
          <w:rFonts w:ascii="Arial" w:hAnsi="Arial" w:cs="Arial"/>
          <w:sz w:val="24"/>
          <w:szCs w:val="24"/>
          <w:lang w:val="en-GB"/>
        </w:rPr>
        <w:t xml:space="preserve">- </w:t>
      </w:r>
      <w:r w:rsidRPr="000C3275">
        <w:rPr>
          <w:rFonts w:ascii="Arial" w:hAnsi="Arial" w:cs="Arial"/>
          <w:sz w:val="24"/>
          <w:szCs w:val="24"/>
          <w:lang w:val="en-GB"/>
        </w:rPr>
        <w:t xml:space="preserve">to repeat them in great detail. In any event, I make </w:t>
      </w:r>
      <w:r w:rsidR="00B01FE2" w:rsidRPr="000C3275">
        <w:rPr>
          <w:rFonts w:ascii="Arial" w:hAnsi="Arial" w:cs="Arial"/>
          <w:sz w:val="24"/>
          <w:szCs w:val="24"/>
          <w:lang w:val="en-GB"/>
        </w:rPr>
        <w:t xml:space="preserve">sufficient </w:t>
      </w:r>
      <w:r w:rsidRPr="000C3275">
        <w:rPr>
          <w:rFonts w:ascii="Arial" w:hAnsi="Arial" w:cs="Arial"/>
          <w:sz w:val="24"/>
          <w:szCs w:val="24"/>
          <w:lang w:val="en-GB"/>
        </w:rPr>
        <w:t>reference to them in the judgment as I analyse specific aspects</w:t>
      </w:r>
      <w:r w:rsidR="00AD3A59">
        <w:rPr>
          <w:rFonts w:ascii="Arial" w:hAnsi="Arial" w:cs="Arial"/>
          <w:sz w:val="24"/>
          <w:szCs w:val="24"/>
          <w:lang w:val="en-GB"/>
        </w:rPr>
        <w:t xml:space="preserve"> of</w:t>
      </w:r>
      <w:r w:rsidRPr="000C3275">
        <w:rPr>
          <w:rFonts w:ascii="Arial" w:hAnsi="Arial" w:cs="Arial"/>
          <w:sz w:val="24"/>
          <w:szCs w:val="24"/>
          <w:lang w:val="en-GB"/>
        </w:rPr>
        <w:t xml:space="preserve"> the case.</w:t>
      </w:r>
    </w:p>
    <w:p w:rsidR="00000FDC" w:rsidRPr="000C3275" w:rsidRDefault="00000FDC" w:rsidP="008C06C9">
      <w:pPr>
        <w:tabs>
          <w:tab w:val="left" w:pos="851"/>
        </w:tabs>
        <w:spacing w:after="0" w:line="480" w:lineRule="auto"/>
        <w:contextualSpacing/>
        <w:jc w:val="both"/>
        <w:rPr>
          <w:rFonts w:ascii="Arial" w:hAnsi="Arial" w:cs="Arial"/>
          <w:sz w:val="24"/>
          <w:szCs w:val="24"/>
          <w:lang w:val="en-GB"/>
        </w:rPr>
      </w:pPr>
    </w:p>
    <w:p w:rsidR="00000FDC" w:rsidRPr="000C3275" w:rsidRDefault="00000FDC" w:rsidP="008C06C9">
      <w:pPr>
        <w:spacing w:after="0" w:line="480" w:lineRule="auto"/>
        <w:jc w:val="both"/>
        <w:rPr>
          <w:rFonts w:ascii="Arial" w:eastAsia="Times New Roman" w:hAnsi="Arial" w:cs="Arial"/>
          <w:i/>
          <w:sz w:val="24"/>
          <w:szCs w:val="24"/>
          <w:lang w:eastAsia="en-GB"/>
        </w:rPr>
      </w:pPr>
      <w:r w:rsidRPr="000C3275">
        <w:rPr>
          <w:rFonts w:ascii="Arial" w:eastAsia="Times New Roman" w:hAnsi="Arial" w:cs="Arial"/>
          <w:i/>
          <w:sz w:val="24"/>
          <w:szCs w:val="24"/>
          <w:lang w:eastAsia="en-GB"/>
        </w:rPr>
        <w:t>Respondents</w:t>
      </w:r>
    </w:p>
    <w:p w:rsidR="003D0AE0" w:rsidRPr="00724152" w:rsidRDefault="0043587C"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The respondents’ suppo</w:t>
      </w:r>
      <w:r w:rsidR="00391155" w:rsidRPr="000C3275">
        <w:rPr>
          <w:rFonts w:ascii="Arial" w:eastAsia="Times New Roman" w:hAnsi="Arial" w:cs="Arial"/>
          <w:sz w:val="24"/>
          <w:szCs w:val="24"/>
          <w:lang w:eastAsia="en-GB"/>
        </w:rPr>
        <w:t>rt for the preservation of the petition j</w:t>
      </w:r>
      <w:r w:rsidRPr="000C3275">
        <w:rPr>
          <w:rFonts w:ascii="Arial" w:eastAsia="Times New Roman" w:hAnsi="Arial" w:cs="Arial"/>
          <w:sz w:val="24"/>
          <w:szCs w:val="24"/>
          <w:lang w:eastAsia="en-GB"/>
        </w:rPr>
        <w:t xml:space="preserve">udge’s order refusing the applicants’ petition is founded on the following </w:t>
      </w:r>
      <w:r w:rsidR="00E07274" w:rsidRPr="000C3275">
        <w:rPr>
          <w:rFonts w:ascii="Arial" w:eastAsia="Times New Roman" w:hAnsi="Arial" w:cs="Arial"/>
          <w:sz w:val="24"/>
          <w:szCs w:val="24"/>
          <w:lang w:eastAsia="en-GB"/>
        </w:rPr>
        <w:t>bases.</w:t>
      </w:r>
      <w:r w:rsidRPr="000C3275">
        <w:rPr>
          <w:rFonts w:ascii="Arial" w:eastAsia="Times New Roman" w:hAnsi="Arial" w:cs="Arial"/>
          <w:sz w:val="24"/>
          <w:szCs w:val="24"/>
          <w:lang w:eastAsia="en-GB"/>
        </w:rPr>
        <w:t xml:space="preserve"> The first is that the applicants wer</w:t>
      </w:r>
      <w:r w:rsidR="00391155" w:rsidRPr="000C3275">
        <w:rPr>
          <w:rFonts w:ascii="Arial" w:eastAsia="Times New Roman" w:hAnsi="Arial" w:cs="Arial"/>
          <w:sz w:val="24"/>
          <w:szCs w:val="24"/>
          <w:lang w:eastAsia="en-GB"/>
        </w:rPr>
        <w:t>e aware of the identity of the petition j</w:t>
      </w:r>
      <w:r w:rsidRPr="000C3275">
        <w:rPr>
          <w:rFonts w:ascii="Arial" w:eastAsia="Times New Roman" w:hAnsi="Arial" w:cs="Arial"/>
          <w:sz w:val="24"/>
          <w:szCs w:val="24"/>
          <w:lang w:eastAsia="en-GB"/>
        </w:rPr>
        <w:t>udge before the determination of the petition and ought to have raised the objection then</w:t>
      </w:r>
      <w:r w:rsidR="00E07274" w:rsidRPr="000C3275">
        <w:rPr>
          <w:rFonts w:ascii="Arial" w:eastAsia="Times New Roman" w:hAnsi="Arial" w:cs="Arial"/>
          <w:sz w:val="24"/>
          <w:szCs w:val="24"/>
          <w:lang w:eastAsia="en-GB"/>
        </w:rPr>
        <w:t xml:space="preserve"> and that seeking recusal </w:t>
      </w:r>
      <w:r w:rsidRPr="000C3275">
        <w:rPr>
          <w:rFonts w:ascii="Arial" w:eastAsia="Times New Roman" w:hAnsi="Arial" w:cs="Arial"/>
          <w:sz w:val="24"/>
          <w:szCs w:val="24"/>
          <w:lang w:eastAsia="en-GB"/>
        </w:rPr>
        <w:t>after the fact is</w:t>
      </w:r>
      <w:r w:rsidR="00E07274" w:rsidRPr="000C3275">
        <w:rPr>
          <w:rFonts w:ascii="Arial" w:eastAsia="Times New Roman" w:hAnsi="Arial" w:cs="Arial"/>
          <w:sz w:val="24"/>
          <w:szCs w:val="24"/>
          <w:lang w:eastAsia="en-GB"/>
        </w:rPr>
        <w:t>,</w:t>
      </w:r>
      <w:r w:rsidRPr="000C3275">
        <w:rPr>
          <w:rFonts w:ascii="Arial" w:eastAsia="Times New Roman" w:hAnsi="Arial" w:cs="Arial"/>
          <w:sz w:val="24"/>
          <w:szCs w:val="24"/>
          <w:lang w:eastAsia="en-GB"/>
        </w:rPr>
        <w:t xml:space="preserve"> therefore</w:t>
      </w:r>
      <w:r w:rsidR="00E07274" w:rsidRPr="000C3275">
        <w:rPr>
          <w:rFonts w:ascii="Arial" w:eastAsia="Times New Roman" w:hAnsi="Arial" w:cs="Arial"/>
          <w:sz w:val="24"/>
          <w:szCs w:val="24"/>
          <w:lang w:eastAsia="en-GB"/>
        </w:rPr>
        <w:t>,</w:t>
      </w:r>
      <w:r w:rsidRPr="000C3275">
        <w:rPr>
          <w:rFonts w:ascii="Arial" w:eastAsia="Times New Roman" w:hAnsi="Arial" w:cs="Arial"/>
          <w:sz w:val="24"/>
          <w:szCs w:val="24"/>
          <w:lang w:eastAsia="en-GB"/>
        </w:rPr>
        <w:t xml:space="preserve"> opportunistic</w:t>
      </w:r>
      <w:r w:rsidR="00E07274" w:rsidRPr="000C3275">
        <w:rPr>
          <w:rFonts w:ascii="Arial" w:eastAsia="Times New Roman" w:hAnsi="Arial" w:cs="Arial"/>
          <w:sz w:val="24"/>
          <w:szCs w:val="24"/>
          <w:lang w:eastAsia="en-GB"/>
        </w:rPr>
        <w:t xml:space="preserve"> and should be rejected</w:t>
      </w:r>
      <w:r w:rsidRPr="000C3275">
        <w:rPr>
          <w:rFonts w:ascii="Arial" w:eastAsia="Times New Roman" w:hAnsi="Arial" w:cs="Arial"/>
          <w:sz w:val="24"/>
          <w:szCs w:val="24"/>
          <w:lang w:eastAsia="en-GB"/>
        </w:rPr>
        <w:t xml:space="preserve">. Those allegations were denied by the Minister. Nothing further need be said about this </w:t>
      </w:r>
      <w:r w:rsidR="00E5302A" w:rsidRPr="000C3275">
        <w:rPr>
          <w:rFonts w:ascii="Arial" w:eastAsia="Times New Roman" w:hAnsi="Arial" w:cs="Arial"/>
          <w:sz w:val="24"/>
          <w:szCs w:val="24"/>
          <w:lang w:eastAsia="en-GB"/>
        </w:rPr>
        <w:t>argument</w:t>
      </w:r>
      <w:r w:rsidRPr="000C3275">
        <w:rPr>
          <w:rFonts w:ascii="Arial" w:eastAsia="Times New Roman" w:hAnsi="Arial" w:cs="Arial"/>
          <w:sz w:val="24"/>
          <w:szCs w:val="24"/>
          <w:lang w:eastAsia="en-GB"/>
        </w:rPr>
        <w:t xml:space="preserve"> because </w:t>
      </w:r>
      <w:r w:rsidR="001561F5" w:rsidRPr="000C3275">
        <w:rPr>
          <w:rFonts w:ascii="Arial" w:eastAsia="Times New Roman" w:hAnsi="Arial" w:cs="Arial"/>
          <w:sz w:val="24"/>
          <w:szCs w:val="24"/>
          <w:lang w:eastAsia="en-GB"/>
        </w:rPr>
        <w:t>the issue</w:t>
      </w:r>
      <w:r w:rsidRPr="000C3275">
        <w:rPr>
          <w:rFonts w:ascii="Arial" w:eastAsia="Times New Roman" w:hAnsi="Arial" w:cs="Arial"/>
          <w:sz w:val="24"/>
          <w:szCs w:val="24"/>
          <w:lang w:eastAsia="en-GB"/>
        </w:rPr>
        <w:t xml:space="preserve"> became moot during oral argument when the court declined the respondents’ offer </w:t>
      </w:r>
      <w:r w:rsidR="001561F5" w:rsidRPr="000C3275">
        <w:rPr>
          <w:rFonts w:ascii="Arial" w:eastAsia="Times New Roman" w:hAnsi="Arial" w:cs="Arial"/>
          <w:sz w:val="24"/>
          <w:szCs w:val="24"/>
          <w:lang w:eastAsia="en-GB"/>
        </w:rPr>
        <w:t>(</w:t>
      </w:r>
      <w:r w:rsidRPr="000C3275">
        <w:rPr>
          <w:rFonts w:ascii="Arial" w:eastAsia="Times New Roman" w:hAnsi="Arial" w:cs="Arial"/>
          <w:sz w:val="24"/>
          <w:szCs w:val="24"/>
          <w:lang w:eastAsia="en-GB"/>
        </w:rPr>
        <w:t>if the court were amenable</w:t>
      </w:r>
      <w:r w:rsidR="001561F5" w:rsidRPr="000C3275">
        <w:rPr>
          <w:rFonts w:ascii="Arial" w:eastAsia="Times New Roman" w:hAnsi="Arial" w:cs="Arial"/>
          <w:sz w:val="24"/>
          <w:szCs w:val="24"/>
          <w:lang w:eastAsia="en-GB"/>
        </w:rPr>
        <w:t>)</w:t>
      </w:r>
      <w:r w:rsidRPr="000C3275">
        <w:rPr>
          <w:rFonts w:ascii="Arial" w:eastAsia="Times New Roman" w:hAnsi="Arial" w:cs="Arial"/>
          <w:sz w:val="24"/>
          <w:szCs w:val="24"/>
          <w:lang w:eastAsia="en-GB"/>
        </w:rPr>
        <w:t xml:space="preserve"> for Mr Heathcote</w:t>
      </w:r>
      <w:r w:rsidR="00E64664" w:rsidRPr="000C3275">
        <w:rPr>
          <w:rFonts w:ascii="Arial" w:eastAsia="Times New Roman" w:hAnsi="Arial" w:cs="Arial"/>
          <w:sz w:val="24"/>
          <w:szCs w:val="24"/>
          <w:lang w:eastAsia="en-GB"/>
        </w:rPr>
        <w:t xml:space="preserve"> </w:t>
      </w:r>
      <w:r w:rsidR="00F20CB9">
        <w:rPr>
          <w:rFonts w:ascii="Arial" w:eastAsia="Times New Roman" w:hAnsi="Arial" w:cs="Arial"/>
          <w:sz w:val="24"/>
          <w:szCs w:val="24"/>
          <w:lang w:eastAsia="en-GB"/>
        </w:rPr>
        <w:t>(</w:t>
      </w:r>
      <w:r w:rsidR="00E26DE2">
        <w:rPr>
          <w:rFonts w:ascii="Arial" w:eastAsia="Times New Roman" w:hAnsi="Arial" w:cs="Arial"/>
          <w:sz w:val="24"/>
          <w:szCs w:val="24"/>
          <w:lang w:eastAsia="en-GB"/>
        </w:rPr>
        <w:t>representing some of the respondents)</w:t>
      </w:r>
      <w:r w:rsidR="009A5719" w:rsidRPr="000C3275">
        <w:rPr>
          <w:rFonts w:ascii="Arial" w:eastAsia="Times New Roman" w:hAnsi="Arial" w:cs="Arial"/>
          <w:sz w:val="24"/>
          <w:szCs w:val="24"/>
          <w:lang w:eastAsia="en-GB"/>
        </w:rPr>
        <w:t xml:space="preserve"> to testify at the oral hearing</w:t>
      </w:r>
      <w:r w:rsidRPr="000C3275">
        <w:rPr>
          <w:rFonts w:ascii="Arial" w:eastAsia="Times New Roman" w:hAnsi="Arial" w:cs="Arial"/>
          <w:sz w:val="24"/>
          <w:szCs w:val="24"/>
          <w:lang w:eastAsia="en-GB"/>
        </w:rPr>
        <w:t xml:space="preserve"> to present evidence to support the allegation.</w:t>
      </w:r>
      <w:r w:rsidR="003E4058">
        <w:rPr>
          <w:rStyle w:val="FootnoteReference"/>
          <w:rFonts w:ascii="Arial" w:eastAsia="Times New Roman" w:hAnsi="Arial" w:cs="Arial"/>
          <w:sz w:val="24"/>
          <w:szCs w:val="24"/>
          <w:lang w:eastAsia="en-GB"/>
        </w:rPr>
        <w:footnoteReference w:id="18"/>
      </w:r>
    </w:p>
    <w:p w:rsidR="00724152" w:rsidRPr="000C3275" w:rsidRDefault="00724152" w:rsidP="00724152">
      <w:pPr>
        <w:tabs>
          <w:tab w:val="left" w:pos="851"/>
        </w:tabs>
        <w:spacing w:after="0" w:line="480" w:lineRule="auto"/>
        <w:contextualSpacing/>
        <w:jc w:val="both"/>
        <w:rPr>
          <w:rFonts w:ascii="Arial" w:hAnsi="Arial" w:cs="Arial"/>
          <w:sz w:val="24"/>
          <w:szCs w:val="24"/>
          <w:lang w:val="en-GB"/>
        </w:rPr>
      </w:pPr>
    </w:p>
    <w:p w:rsidR="003D0AE0" w:rsidRPr="000C3275" w:rsidRDefault="0043587C"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 xml:space="preserve">The further </w:t>
      </w:r>
      <w:r w:rsidR="001561F5" w:rsidRPr="000C3275">
        <w:rPr>
          <w:rFonts w:ascii="Arial" w:eastAsia="Times New Roman" w:hAnsi="Arial" w:cs="Arial"/>
          <w:sz w:val="24"/>
          <w:szCs w:val="24"/>
          <w:lang w:eastAsia="en-GB"/>
        </w:rPr>
        <w:t xml:space="preserve">argument </w:t>
      </w:r>
      <w:r w:rsidRPr="000C3275">
        <w:rPr>
          <w:rFonts w:ascii="Arial" w:eastAsia="Times New Roman" w:hAnsi="Arial" w:cs="Arial"/>
          <w:sz w:val="24"/>
          <w:szCs w:val="24"/>
          <w:lang w:eastAsia="en-GB"/>
        </w:rPr>
        <w:t>is that the applicants failed to satisfy the double reasonableness test by establishing the facts necessary for this court to come to t</w:t>
      </w:r>
      <w:r w:rsidR="00391155" w:rsidRPr="000C3275">
        <w:rPr>
          <w:rFonts w:ascii="Arial" w:eastAsia="Times New Roman" w:hAnsi="Arial" w:cs="Arial"/>
          <w:sz w:val="24"/>
          <w:szCs w:val="24"/>
          <w:lang w:eastAsia="en-GB"/>
        </w:rPr>
        <w:t>he conclusion that the petition j</w:t>
      </w:r>
      <w:r w:rsidRPr="000C3275">
        <w:rPr>
          <w:rFonts w:ascii="Arial" w:eastAsia="Times New Roman" w:hAnsi="Arial" w:cs="Arial"/>
          <w:sz w:val="24"/>
          <w:szCs w:val="24"/>
          <w:lang w:eastAsia="en-GB"/>
        </w:rPr>
        <w:t>udge should have recused himself</w:t>
      </w:r>
      <w:r w:rsidR="00E64664" w:rsidRPr="000C3275">
        <w:rPr>
          <w:rFonts w:ascii="Arial" w:eastAsia="Times New Roman" w:hAnsi="Arial" w:cs="Arial"/>
          <w:sz w:val="24"/>
          <w:szCs w:val="24"/>
          <w:lang w:eastAsia="en-GB"/>
        </w:rPr>
        <w:t xml:space="preserve"> and that the judge had the duty to hear the matter</w:t>
      </w:r>
      <w:r w:rsidRPr="000C3275">
        <w:rPr>
          <w:rFonts w:ascii="Arial" w:eastAsia="Times New Roman" w:hAnsi="Arial" w:cs="Arial"/>
          <w:sz w:val="24"/>
          <w:szCs w:val="24"/>
          <w:lang w:eastAsia="en-GB"/>
        </w:rPr>
        <w:t xml:space="preserve">. </w:t>
      </w:r>
      <w:r w:rsidR="001561F5" w:rsidRPr="000C3275">
        <w:rPr>
          <w:rFonts w:ascii="Arial" w:eastAsia="Times New Roman" w:hAnsi="Arial" w:cs="Arial"/>
          <w:sz w:val="24"/>
          <w:szCs w:val="24"/>
          <w:lang w:eastAsia="en-GB"/>
        </w:rPr>
        <w:t xml:space="preserve">It is contended in that regard </w:t>
      </w:r>
      <w:r w:rsidR="00391155" w:rsidRPr="000C3275">
        <w:rPr>
          <w:rFonts w:ascii="Arial" w:eastAsia="Times New Roman" w:hAnsi="Arial" w:cs="Arial"/>
          <w:sz w:val="24"/>
          <w:szCs w:val="24"/>
          <w:lang w:eastAsia="en-GB"/>
        </w:rPr>
        <w:t>that the petition j</w:t>
      </w:r>
      <w:r w:rsidRPr="000C3275">
        <w:rPr>
          <w:rFonts w:ascii="Arial" w:eastAsia="Times New Roman" w:hAnsi="Arial" w:cs="Arial"/>
          <w:sz w:val="24"/>
          <w:szCs w:val="24"/>
          <w:lang w:eastAsia="en-GB"/>
        </w:rPr>
        <w:t xml:space="preserve">udge’s </w:t>
      </w:r>
      <w:r w:rsidRPr="000C3275">
        <w:rPr>
          <w:rFonts w:ascii="Arial" w:eastAsia="Times New Roman" w:hAnsi="Arial" w:cs="Arial"/>
          <w:sz w:val="24"/>
          <w:szCs w:val="24"/>
          <w:lang w:eastAsia="en-GB"/>
        </w:rPr>
        <w:lastRenderedPageBreak/>
        <w:t xml:space="preserve">associations </w:t>
      </w:r>
      <w:r w:rsidR="002C404A" w:rsidRPr="000C3275">
        <w:rPr>
          <w:rFonts w:ascii="Arial" w:eastAsia="Times New Roman" w:hAnsi="Arial" w:cs="Arial"/>
          <w:sz w:val="24"/>
          <w:szCs w:val="24"/>
          <w:lang w:eastAsia="en-GB"/>
        </w:rPr>
        <w:t>relied on in support of the recusal application are either non-existent, too remote or distant in the past as to be of any consequence.</w:t>
      </w:r>
      <w:r w:rsidR="00E64664" w:rsidRPr="000C3275">
        <w:rPr>
          <w:rStyle w:val="FootnoteReference"/>
          <w:rFonts w:ascii="Arial" w:eastAsia="Times New Roman" w:hAnsi="Arial" w:cs="Arial"/>
          <w:sz w:val="24"/>
          <w:szCs w:val="24"/>
          <w:lang w:eastAsia="en-GB"/>
        </w:rPr>
        <w:footnoteReference w:id="19"/>
      </w:r>
    </w:p>
    <w:p w:rsidR="003D0AE0" w:rsidRPr="000C3275" w:rsidRDefault="003D0AE0" w:rsidP="003E11F8">
      <w:pPr>
        <w:pStyle w:val="ListParagraph"/>
        <w:spacing w:after="0" w:line="480" w:lineRule="auto"/>
        <w:rPr>
          <w:rFonts w:ascii="Arial" w:eastAsia="Times New Roman" w:hAnsi="Arial" w:cs="Arial"/>
          <w:sz w:val="24"/>
          <w:szCs w:val="24"/>
          <w:lang w:eastAsia="en-GB"/>
        </w:rPr>
      </w:pPr>
    </w:p>
    <w:p w:rsidR="00737E03" w:rsidRPr="003E4058" w:rsidRDefault="002C404A" w:rsidP="00FC2FC0">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The other argument is that the issue that fell for determination in the petition was radically different from and unre</w:t>
      </w:r>
      <w:r w:rsidR="00391155" w:rsidRPr="000C3275">
        <w:rPr>
          <w:rFonts w:ascii="Arial" w:eastAsia="Times New Roman" w:hAnsi="Arial" w:cs="Arial"/>
          <w:sz w:val="24"/>
          <w:szCs w:val="24"/>
          <w:lang w:eastAsia="en-GB"/>
        </w:rPr>
        <w:t>lated to that which l</w:t>
      </w:r>
      <w:r w:rsidR="009A5719" w:rsidRPr="000C3275">
        <w:rPr>
          <w:rFonts w:ascii="Arial" w:eastAsia="Times New Roman" w:hAnsi="Arial" w:cs="Arial"/>
          <w:sz w:val="24"/>
          <w:szCs w:val="24"/>
          <w:lang w:eastAsia="en-GB"/>
        </w:rPr>
        <w:t>inked the petition j</w:t>
      </w:r>
      <w:r w:rsidRPr="000C3275">
        <w:rPr>
          <w:rFonts w:ascii="Arial" w:eastAsia="Times New Roman" w:hAnsi="Arial" w:cs="Arial"/>
          <w:sz w:val="24"/>
          <w:szCs w:val="24"/>
          <w:lang w:eastAsia="en-GB"/>
        </w:rPr>
        <w:t xml:space="preserve">udge to </w:t>
      </w:r>
      <w:proofErr w:type="spellStart"/>
      <w:r w:rsidRPr="000C3275">
        <w:rPr>
          <w:rFonts w:ascii="Arial" w:eastAsia="Times New Roman" w:hAnsi="Arial" w:cs="Arial"/>
          <w:sz w:val="24"/>
          <w:szCs w:val="24"/>
          <w:lang w:eastAsia="en-GB"/>
        </w:rPr>
        <w:t>Santam</w:t>
      </w:r>
      <w:proofErr w:type="spellEnd"/>
      <w:r w:rsidRPr="000C3275">
        <w:rPr>
          <w:rFonts w:ascii="Arial" w:eastAsia="Times New Roman" w:hAnsi="Arial" w:cs="Arial"/>
          <w:sz w:val="24"/>
          <w:szCs w:val="24"/>
          <w:lang w:eastAsia="en-GB"/>
        </w:rPr>
        <w:t xml:space="preserve"> in th</w:t>
      </w:r>
      <w:r w:rsidR="00B01FE2" w:rsidRPr="000C3275">
        <w:rPr>
          <w:rFonts w:ascii="Arial" w:eastAsia="Times New Roman" w:hAnsi="Arial" w:cs="Arial"/>
          <w:sz w:val="24"/>
          <w:szCs w:val="24"/>
          <w:lang w:eastAsia="en-GB"/>
        </w:rPr>
        <w:t>e 1999 constitutional challenge</w:t>
      </w:r>
      <w:r w:rsidRPr="000C3275">
        <w:rPr>
          <w:rFonts w:ascii="Arial" w:eastAsia="Times New Roman" w:hAnsi="Arial" w:cs="Arial"/>
          <w:sz w:val="24"/>
          <w:szCs w:val="24"/>
          <w:lang w:eastAsia="en-GB"/>
        </w:rPr>
        <w:t>.</w:t>
      </w:r>
    </w:p>
    <w:p w:rsidR="003E4058" w:rsidRPr="000C3275" w:rsidRDefault="003E4058" w:rsidP="003E4058">
      <w:pPr>
        <w:tabs>
          <w:tab w:val="left" w:pos="851"/>
        </w:tabs>
        <w:spacing w:after="0" w:line="480" w:lineRule="auto"/>
        <w:contextualSpacing/>
        <w:jc w:val="both"/>
        <w:rPr>
          <w:rFonts w:ascii="Arial" w:hAnsi="Arial" w:cs="Arial"/>
          <w:sz w:val="24"/>
          <w:szCs w:val="24"/>
          <w:lang w:val="en-GB"/>
        </w:rPr>
      </w:pPr>
    </w:p>
    <w:p w:rsidR="00737E03" w:rsidRPr="000C3275" w:rsidRDefault="00737E03" w:rsidP="00737E03">
      <w:pPr>
        <w:spacing w:after="0" w:line="480" w:lineRule="auto"/>
        <w:jc w:val="both"/>
        <w:rPr>
          <w:rFonts w:ascii="Arial" w:eastAsia="Times New Roman" w:hAnsi="Arial" w:cs="Arial"/>
          <w:sz w:val="24"/>
          <w:szCs w:val="24"/>
          <w:u w:val="single"/>
          <w:lang w:eastAsia="en-GB"/>
        </w:rPr>
      </w:pPr>
      <w:r w:rsidRPr="000C3275">
        <w:rPr>
          <w:rFonts w:ascii="Arial" w:eastAsia="Times New Roman" w:hAnsi="Arial" w:cs="Arial"/>
          <w:sz w:val="24"/>
          <w:szCs w:val="24"/>
          <w:u w:val="single"/>
          <w:lang w:eastAsia="en-GB"/>
        </w:rPr>
        <w:t>The law to facts</w:t>
      </w:r>
    </w:p>
    <w:p w:rsidR="00737E03" w:rsidRPr="000C3275" w:rsidRDefault="00CC2D78" w:rsidP="00737E03">
      <w:pPr>
        <w:spacing w:after="0" w:line="480" w:lineRule="auto"/>
        <w:jc w:val="both"/>
        <w:rPr>
          <w:rFonts w:ascii="Arial" w:eastAsia="Times New Roman" w:hAnsi="Arial" w:cs="Arial"/>
          <w:i/>
          <w:sz w:val="24"/>
          <w:szCs w:val="24"/>
          <w:lang w:eastAsia="en-GB"/>
        </w:rPr>
      </w:pPr>
      <w:r>
        <w:rPr>
          <w:rFonts w:ascii="Arial" w:eastAsia="Times New Roman" w:hAnsi="Arial" w:cs="Arial"/>
          <w:i/>
          <w:sz w:val="24"/>
          <w:szCs w:val="24"/>
          <w:lang w:eastAsia="en-GB"/>
        </w:rPr>
        <w:t>Petition j</w:t>
      </w:r>
      <w:r w:rsidR="00737E03" w:rsidRPr="000C3275">
        <w:rPr>
          <w:rFonts w:ascii="Arial" w:eastAsia="Times New Roman" w:hAnsi="Arial" w:cs="Arial"/>
          <w:i/>
          <w:sz w:val="24"/>
          <w:szCs w:val="24"/>
          <w:lang w:eastAsia="en-GB"/>
        </w:rPr>
        <w:t>udge’s association with the</w:t>
      </w:r>
      <w:r w:rsidR="009A5719" w:rsidRPr="000C3275">
        <w:rPr>
          <w:rFonts w:ascii="Arial" w:eastAsia="Times New Roman" w:hAnsi="Arial" w:cs="Arial"/>
          <w:i/>
          <w:sz w:val="24"/>
          <w:szCs w:val="24"/>
          <w:lang w:eastAsia="en-GB"/>
        </w:rPr>
        <w:t xml:space="preserve"> 1999</w:t>
      </w:r>
      <w:r w:rsidR="00737E03" w:rsidRPr="000C3275">
        <w:rPr>
          <w:rFonts w:ascii="Arial" w:eastAsia="Times New Roman" w:hAnsi="Arial" w:cs="Arial"/>
          <w:i/>
          <w:sz w:val="24"/>
          <w:szCs w:val="24"/>
          <w:lang w:eastAsia="en-GB"/>
        </w:rPr>
        <w:t xml:space="preserve"> constitutional challenge</w:t>
      </w:r>
    </w:p>
    <w:p w:rsidR="00737E03" w:rsidRPr="000C3275" w:rsidRDefault="00F32B92" w:rsidP="00FC2FC0">
      <w:pPr>
        <w:numPr>
          <w:ilvl w:val="0"/>
          <w:numId w:val="4"/>
        </w:numPr>
        <w:tabs>
          <w:tab w:val="left" w:pos="851"/>
        </w:tabs>
        <w:spacing w:after="0" w:line="480" w:lineRule="auto"/>
        <w:ind w:left="0" w:hanging="11"/>
        <w:contextualSpacing/>
        <w:jc w:val="both"/>
        <w:rPr>
          <w:rFonts w:ascii="Arial" w:eastAsia="Times New Roman" w:hAnsi="Arial" w:cs="Arial"/>
          <w:i/>
          <w:sz w:val="24"/>
          <w:szCs w:val="24"/>
          <w:lang w:eastAsia="en-GB"/>
        </w:rPr>
      </w:pPr>
      <w:r w:rsidRPr="000C3275">
        <w:rPr>
          <w:rFonts w:ascii="Arial" w:eastAsia="Times New Roman" w:hAnsi="Arial" w:cs="Arial"/>
          <w:sz w:val="24"/>
          <w:szCs w:val="24"/>
          <w:lang w:eastAsia="en-GB"/>
        </w:rPr>
        <w:t xml:space="preserve">In the 1999 constitutional </w:t>
      </w:r>
      <w:r w:rsidR="00391155" w:rsidRPr="000C3275">
        <w:rPr>
          <w:rFonts w:ascii="Arial" w:eastAsia="Times New Roman" w:hAnsi="Arial" w:cs="Arial"/>
          <w:sz w:val="24"/>
          <w:szCs w:val="24"/>
          <w:lang w:eastAsia="en-GB"/>
        </w:rPr>
        <w:t>challenge the petition j</w:t>
      </w:r>
      <w:r w:rsidRPr="000C3275">
        <w:rPr>
          <w:rFonts w:ascii="Arial" w:eastAsia="Times New Roman" w:hAnsi="Arial" w:cs="Arial"/>
          <w:sz w:val="24"/>
          <w:szCs w:val="24"/>
          <w:lang w:eastAsia="en-GB"/>
        </w:rPr>
        <w:t>udge acted as lead counsel for the insurance companies tha</w:t>
      </w:r>
      <w:r w:rsidR="00391155" w:rsidRPr="000C3275">
        <w:rPr>
          <w:rFonts w:ascii="Arial" w:eastAsia="Times New Roman" w:hAnsi="Arial" w:cs="Arial"/>
          <w:sz w:val="24"/>
          <w:szCs w:val="24"/>
          <w:lang w:eastAsia="en-GB"/>
        </w:rPr>
        <w:t xml:space="preserve">t lost the bid to have the </w:t>
      </w:r>
      <w:proofErr w:type="spellStart"/>
      <w:r w:rsidR="00391155" w:rsidRPr="000C3275">
        <w:rPr>
          <w:rFonts w:ascii="Arial" w:eastAsia="Times New Roman" w:hAnsi="Arial" w:cs="Arial"/>
          <w:sz w:val="24"/>
          <w:szCs w:val="24"/>
          <w:lang w:eastAsia="en-GB"/>
        </w:rPr>
        <w:t>NAMRe</w:t>
      </w:r>
      <w:proofErr w:type="spellEnd"/>
      <w:r w:rsidR="00391155" w:rsidRPr="000C3275">
        <w:rPr>
          <w:rFonts w:ascii="Arial" w:eastAsia="Times New Roman" w:hAnsi="Arial" w:cs="Arial"/>
          <w:sz w:val="24"/>
          <w:szCs w:val="24"/>
          <w:lang w:eastAsia="en-GB"/>
        </w:rPr>
        <w:t xml:space="preserve"> Act </w:t>
      </w:r>
      <w:r w:rsidRPr="000C3275">
        <w:rPr>
          <w:rFonts w:ascii="Arial" w:eastAsia="Times New Roman" w:hAnsi="Arial" w:cs="Arial"/>
          <w:sz w:val="24"/>
          <w:szCs w:val="24"/>
          <w:lang w:eastAsia="en-GB"/>
        </w:rPr>
        <w:t>declared unconstitutional. That was some 20 years ago. It is implied</w:t>
      </w:r>
      <w:r w:rsidR="00971EAD" w:rsidRPr="000C3275">
        <w:rPr>
          <w:rFonts w:ascii="Arial" w:eastAsia="Times New Roman" w:hAnsi="Arial" w:cs="Arial"/>
          <w:sz w:val="24"/>
          <w:szCs w:val="24"/>
          <w:lang w:eastAsia="en-GB"/>
        </w:rPr>
        <w:t>, at least partly,</w:t>
      </w:r>
      <w:r w:rsidRPr="000C3275">
        <w:rPr>
          <w:rFonts w:ascii="Arial" w:eastAsia="Times New Roman" w:hAnsi="Arial" w:cs="Arial"/>
          <w:sz w:val="24"/>
          <w:szCs w:val="24"/>
          <w:lang w:eastAsia="en-GB"/>
        </w:rPr>
        <w:t xml:space="preserve"> in th</w:t>
      </w:r>
      <w:r w:rsidR="00D4365B" w:rsidRPr="000C3275">
        <w:rPr>
          <w:rFonts w:ascii="Arial" w:eastAsia="Times New Roman" w:hAnsi="Arial" w:cs="Arial"/>
          <w:sz w:val="24"/>
          <w:szCs w:val="24"/>
          <w:lang w:eastAsia="en-GB"/>
        </w:rPr>
        <w:t xml:space="preserve">e </w:t>
      </w:r>
      <w:r w:rsidRPr="000C3275">
        <w:rPr>
          <w:rFonts w:ascii="Arial" w:eastAsia="Times New Roman" w:hAnsi="Arial" w:cs="Arial"/>
          <w:sz w:val="24"/>
          <w:szCs w:val="24"/>
          <w:lang w:eastAsia="en-GB"/>
        </w:rPr>
        <w:t xml:space="preserve">objection </w:t>
      </w:r>
      <w:r w:rsidR="00D4365B" w:rsidRPr="000C3275">
        <w:rPr>
          <w:rFonts w:ascii="Arial" w:eastAsia="Times New Roman" w:hAnsi="Arial" w:cs="Arial"/>
          <w:sz w:val="24"/>
          <w:szCs w:val="24"/>
          <w:lang w:eastAsia="en-GB"/>
        </w:rPr>
        <w:t xml:space="preserve">on which that is based </w:t>
      </w:r>
      <w:r w:rsidRPr="000C3275">
        <w:rPr>
          <w:rFonts w:ascii="Arial" w:eastAsia="Times New Roman" w:hAnsi="Arial" w:cs="Arial"/>
          <w:sz w:val="24"/>
          <w:szCs w:val="24"/>
          <w:lang w:eastAsia="en-GB"/>
        </w:rPr>
        <w:t>that the learned judge had some identity of interest with the parties on whose behalf he acted. That much is apparent from the sugges</w:t>
      </w:r>
      <w:r w:rsidR="00CC2D78">
        <w:rPr>
          <w:rFonts w:ascii="Arial" w:eastAsia="Times New Roman" w:hAnsi="Arial" w:cs="Arial"/>
          <w:sz w:val="24"/>
          <w:szCs w:val="24"/>
          <w:lang w:eastAsia="en-GB"/>
        </w:rPr>
        <w:t>tion that he was the ‘architect’</w:t>
      </w:r>
      <w:r w:rsidRPr="000C3275">
        <w:rPr>
          <w:rFonts w:ascii="Arial" w:eastAsia="Times New Roman" w:hAnsi="Arial" w:cs="Arial"/>
          <w:sz w:val="24"/>
          <w:szCs w:val="24"/>
          <w:lang w:eastAsia="en-GB"/>
        </w:rPr>
        <w:t xml:space="preserve"> of the legal case instituted by the insurance companies. That argument goes against the fundamental principle of </w:t>
      </w:r>
      <w:r w:rsidR="00D4365B" w:rsidRPr="000C3275">
        <w:rPr>
          <w:rFonts w:ascii="Arial" w:eastAsia="Times New Roman" w:hAnsi="Arial" w:cs="Arial"/>
          <w:sz w:val="24"/>
          <w:szCs w:val="24"/>
          <w:lang w:eastAsia="en-GB"/>
        </w:rPr>
        <w:t xml:space="preserve">our law and practice </w:t>
      </w:r>
      <w:r w:rsidRPr="000C3275">
        <w:rPr>
          <w:rFonts w:ascii="Arial" w:eastAsia="Times New Roman" w:hAnsi="Arial" w:cs="Arial"/>
          <w:sz w:val="24"/>
          <w:szCs w:val="24"/>
          <w:lang w:eastAsia="en-GB"/>
        </w:rPr>
        <w:t xml:space="preserve">that the advocate represents the client’s interest however objectionable (as long as it is not illegal) he might consider the client’s case. </w:t>
      </w:r>
    </w:p>
    <w:p w:rsidR="00737E03" w:rsidRPr="000C3275" w:rsidRDefault="00737E03" w:rsidP="003E11F8">
      <w:pPr>
        <w:tabs>
          <w:tab w:val="left" w:pos="851"/>
        </w:tabs>
        <w:spacing w:after="0" w:line="480" w:lineRule="auto"/>
        <w:contextualSpacing/>
        <w:jc w:val="both"/>
        <w:rPr>
          <w:rFonts w:ascii="Arial" w:eastAsia="Times New Roman" w:hAnsi="Arial" w:cs="Arial"/>
          <w:i/>
          <w:sz w:val="24"/>
          <w:szCs w:val="24"/>
          <w:lang w:eastAsia="en-GB"/>
        </w:rPr>
      </w:pPr>
    </w:p>
    <w:p w:rsidR="00737E03"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I do not accept the im</w:t>
      </w:r>
      <w:r w:rsidR="00D4365B" w:rsidRPr="000C3275">
        <w:rPr>
          <w:rFonts w:ascii="Arial" w:eastAsia="Times New Roman" w:hAnsi="Arial" w:cs="Arial"/>
          <w:sz w:val="24"/>
          <w:szCs w:val="24"/>
          <w:lang w:eastAsia="en-GB"/>
        </w:rPr>
        <w:t>plied premise that because the petition j</w:t>
      </w:r>
      <w:r w:rsidRPr="000C3275">
        <w:rPr>
          <w:rFonts w:ascii="Arial" w:eastAsia="Times New Roman" w:hAnsi="Arial" w:cs="Arial"/>
          <w:sz w:val="24"/>
          <w:szCs w:val="24"/>
          <w:lang w:eastAsia="en-GB"/>
        </w:rPr>
        <w:t xml:space="preserve">udge acted as counsel in that matter, he was beholden to the views held by those he then represented and that he could not as counsel for that reason have acted for the interests of a party which in subsequent litigation held a view contrary to that held by the parties he previously represented. But the objection goes much more than that </w:t>
      </w:r>
      <w:r w:rsidRPr="000C3275">
        <w:rPr>
          <w:rFonts w:ascii="Arial" w:eastAsia="Times New Roman" w:hAnsi="Arial" w:cs="Arial"/>
          <w:sz w:val="24"/>
          <w:szCs w:val="24"/>
          <w:lang w:eastAsia="en-GB"/>
        </w:rPr>
        <w:lastRenderedPageBreak/>
        <w:t xml:space="preserve">and invokes a principle enunciated in </w:t>
      </w:r>
      <w:r w:rsidR="00D4365B" w:rsidRPr="000C3275">
        <w:rPr>
          <w:rFonts w:ascii="Arial" w:eastAsia="Times New Roman" w:hAnsi="Arial" w:cs="Arial"/>
          <w:sz w:val="24"/>
          <w:szCs w:val="24"/>
          <w:lang w:eastAsia="en-GB"/>
        </w:rPr>
        <w:t xml:space="preserve">a landmark judgment </w:t>
      </w:r>
      <w:r w:rsidR="00FC2FC0" w:rsidRPr="000C3275">
        <w:rPr>
          <w:rFonts w:ascii="Arial" w:eastAsia="Times New Roman" w:hAnsi="Arial" w:cs="Arial"/>
          <w:sz w:val="24"/>
          <w:szCs w:val="24"/>
          <w:lang w:eastAsia="en-GB"/>
        </w:rPr>
        <w:t xml:space="preserve">from South Africa’s apex court </w:t>
      </w:r>
      <w:r w:rsidR="00D4365B" w:rsidRPr="000C3275">
        <w:rPr>
          <w:rFonts w:ascii="Arial" w:eastAsia="Times New Roman" w:hAnsi="Arial" w:cs="Arial"/>
          <w:sz w:val="24"/>
          <w:szCs w:val="24"/>
          <w:lang w:eastAsia="en-GB"/>
        </w:rPr>
        <w:t>which has been cited with approval by our courts. That case is</w:t>
      </w:r>
      <w:r w:rsidR="00D4365B" w:rsidRPr="000C3275">
        <w:rPr>
          <w:rFonts w:ascii="Arial" w:eastAsia="Times New Roman" w:hAnsi="Arial" w:cs="Arial"/>
          <w:i/>
          <w:sz w:val="24"/>
          <w:szCs w:val="24"/>
          <w:lang w:eastAsia="en-GB"/>
        </w:rPr>
        <w:t xml:space="preserve"> </w:t>
      </w:r>
      <w:proofErr w:type="spellStart"/>
      <w:r w:rsidR="00D4365B" w:rsidRPr="000C3275">
        <w:rPr>
          <w:rFonts w:ascii="Arial" w:eastAsia="Times New Roman" w:hAnsi="Arial" w:cs="Arial"/>
          <w:i/>
          <w:sz w:val="24"/>
          <w:szCs w:val="24"/>
          <w:lang w:eastAsia="en-GB"/>
        </w:rPr>
        <w:t>Bernert</w:t>
      </w:r>
      <w:proofErr w:type="spellEnd"/>
      <w:r w:rsidR="00D4365B" w:rsidRPr="000C3275">
        <w:rPr>
          <w:rFonts w:ascii="Arial" w:eastAsia="Times New Roman" w:hAnsi="Arial" w:cs="Arial"/>
          <w:i/>
          <w:sz w:val="24"/>
          <w:szCs w:val="24"/>
          <w:lang w:eastAsia="en-GB"/>
        </w:rPr>
        <w:t xml:space="preserve"> v Absa Bank Ltd</w:t>
      </w:r>
      <w:r w:rsidR="00D4365B" w:rsidRPr="000C3275">
        <w:rPr>
          <w:rFonts w:ascii="Arial" w:eastAsia="Times New Roman" w:hAnsi="Arial" w:cs="Arial"/>
          <w:sz w:val="24"/>
          <w:szCs w:val="24"/>
          <w:lang w:eastAsia="en-GB"/>
        </w:rPr>
        <w:t>.</w:t>
      </w:r>
      <w:r w:rsidR="00D4365B" w:rsidRPr="000C3275">
        <w:rPr>
          <w:rStyle w:val="FootnoteReference"/>
          <w:rFonts w:ascii="Arial" w:eastAsia="Times New Roman" w:hAnsi="Arial" w:cs="Arial"/>
          <w:sz w:val="24"/>
          <w:szCs w:val="24"/>
          <w:lang w:eastAsia="en-GB"/>
        </w:rPr>
        <w:footnoteReference w:id="20"/>
      </w:r>
      <w:r w:rsidR="00D4365B" w:rsidRPr="000C3275">
        <w:rPr>
          <w:rFonts w:ascii="Arial" w:eastAsia="Times New Roman" w:hAnsi="Arial" w:cs="Arial"/>
          <w:i/>
          <w:sz w:val="24"/>
          <w:szCs w:val="24"/>
          <w:lang w:eastAsia="en-GB"/>
        </w:rPr>
        <w:t xml:space="preserve"> </w:t>
      </w:r>
    </w:p>
    <w:p w:rsidR="00737E03" w:rsidRPr="000C3275" w:rsidRDefault="00737E03" w:rsidP="003E11F8">
      <w:pPr>
        <w:pStyle w:val="ListParagraph"/>
        <w:spacing w:after="0" w:line="480" w:lineRule="auto"/>
        <w:rPr>
          <w:rFonts w:ascii="Arial" w:eastAsia="Times New Roman" w:hAnsi="Arial" w:cs="Arial"/>
          <w:i/>
          <w:sz w:val="24"/>
          <w:szCs w:val="24"/>
          <w:lang w:eastAsia="en-GB"/>
        </w:rPr>
      </w:pPr>
    </w:p>
    <w:p w:rsidR="003D0AE0"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proofErr w:type="spellStart"/>
      <w:r w:rsidRPr="000C3275">
        <w:rPr>
          <w:rFonts w:ascii="Arial" w:eastAsia="Times New Roman" w:hAnsi="Arial" w:cs="Arial"/>
          <w:i/>
          <w:sz w:val="24"/>
          <w:szCs w:val="24"/>
          <w:lang w:eastAsia="en-GB"/>
        </w:rPr>
        <w:t>Berne</w:t>
      </w:r>
      <w:r w:rsidR="004B4B78" w:rsidRPr="000C3275">
        <w:rPr>
          <w:rFonts w:ascii="Arial" w:eastAsia="Times New Roman" w:hAnsi="Arial" w:cs="Arial"/>
          <w:i/>
          <w:sz w:val="24"/>
          <w:szCs w:val="24"/>
          <w:lang w:eastAsia="en-GB"/>
        </w:rPr>
        <w:t>rt</w:t>
      </w:r>
      <w:proofErr w:type="spellEnd"/>
      <w:r w:rsidR="004B4B78" w:rsidRPr="000C3275">
        <w:rPr>
          <w:rFonts w:ascii="Arial" w:eastAsia="Times New Roman" w:hAnsi="Arial" w:cs="Arial"/>
          <w:i/>
          <w:sz w:val="24"/>
          <w:szCs w:val="24"/>
          <w:lang w:eastAsia="en-GB"/>
        </w:rPr>
        <w:t xml:space="preserve"> </w:t>
      </w:r>
      <w:r w:rsidRPr="000C3275">
        <w:rPr>
          <w:rFonts w:ascii="Arial" w:eastAsia="Times New Roman" w:hAnsi="Arial" w:cs="Arial"/>
          <w:sz w:val="24"/>
          <w:szCs w:val="24"/>
          <w:lang w:eastAsia="en-GB"/>
        </w:rPr>
        <w:t xml:space="preserve">makes clear that a reasonable apprehension of bias can arise either because the judge advised in the previous capacity or because he acquired personal knowledge about the matter which could </w:t>
      </w:r>
      <w:r w:rsidR="00971EAD" w:rsidRPr="000C3275">
        <w:rPr>
          <w:rFonts w:ascii="Arial" w:eastAsia="Times New Roman" w:hAnsi="Arial" w:cs="Arial"/>
          <w:sz w:val="24"/>
          <w:szCs w:val="24"/>
          <w:lang w:eastAsia="en-GB"/>
        </w:rPr>
        <w:t xml:space="preserve">potentially </w:t>
      </w:r>
      <w:r w:rsidRPr="000C3275">
        <w:rPr>
          <w:rFonts w:ascii="Arial" w:eastAsia="Times New Roman" w:hAnsi="Arial" w:cs="Arial"/>
          <w:sz w:val="24"/>
          <w:szCs w:val="24"/>
          <w:lang w:eastAsia="en-GB"/>
        </w:rPr>
        <w:t>be deployed to the detriment of one party and to the benefit of th</w:t>
      </w:r>
      <w:r w:rsidR="003D0AE0" w:rsidRPr="000C3275">
        <w:rPr>
          <w:rFonts w:ascii="Arial" w:eastAsia="Times New Roman" w:hAnsi="Arial" w:cs="Arial"/>
          <w:sz w:val="24"/>
          <w:szCs w:val="24"/>
          <w:lang w:eastAsia="en-GB"/>
        </w:rPr>
        <w:t xml:space="preserve">e opponent. As </w:t>
      </w:r>
      <w:proofErr w:type="spellStart"/>
      <w:r w:rsidR="003D0AE0" w:rsidRPr="000C3275">
        <w:rPr>
          <w:rFonts w:ascii="Arial" w:eastAsia="Times New Roman" w:hAnsi="Arial" w:cs="Arial"/>
          <w:sz w:val="24"/>
          <w:szCs w:val="24"/>
          <w:lang w:eastAsia="en-GB"/>
        </w:rPr>
        <w:t>Ncgobo</w:t>
      </w:r>
      <w:proofErr w:type="spellEnd"/>
      <w:r w:rsidR="003D0AE0" w:rsidRPr="000C3275">
        <w:rPr>
          <w:rFonts w:ascii="Arial" w:eastAsia="Times New Roman" w:hAnsi="Arial" w:cs="Arial"/>
          <w:sz w:val="24"/>
          <w:szCs w:val="24"/>
          <w:lang w:eastAsia="en-GB"/>
        </w:rPr>
        <w:t xml:space="preserve"> CJ put it:</w:t>
      </w:r>
    </w:p>
    <w:p w:rsidR="003D0AE0" w:rsidRPr="000C3275" w:rsidRDefault="003D0AE0" w:rsidP="003E11F8">
      <w:pPr>
        <w:pStyle w:val="ListParagraph"/>
        <w:spacing w:after="0" w:line="480" w:lineRule="auto"/>
        <w:rPr>
          <w:rFonts w:ascii="Arial" w:hAnsi="Arial" w:cs="Arial"/>
          <w:sz w:val="24"/>
          <w:szCs w:val="24"/>
        </w:rPr>
      </w:pPr>
    </w:p>
    <w:p w:rsidR="003D0AE0" w:rsidRPr="000C3275" w:rsidRDefault="00D10CCC" w:rsidP="00531575">
      <w:pPr>
        <w:spacing w:after="0" w:line="360" w:lineRule="auto"/>
        <w:ind w:left="1134"/>
        <w:jc w:val="both"/>
        <w:rPr>
          <w:rFonts w:ascii="Arial" w:hAnsi="Arial" w:cs="Arial"/>
        </w:rPr>
      </w:pPr>
      <w:r>
        <w:rPr>
          <w:rFonts w:ascii="Arial" w:hAnsi="Arial" w:cs="Arial"/>
        </w:rPr>
        <w:t>‘</w:t>
      </w:r>
      <w:r w:rsidR="003D0AE0" w:rsidRPr="000C3275">
        <w:rPr>
          <w:rFonts w:ascii="Arial" w:hAnsi="Arial" w:cs="Arial"/>
        </w:rPr>
        <w:t xml:space="preserve">Prior association with an institution cannot form the basis of a reasonable apprehension of bias, ‘unless the subject-matter of the </w:t>
      </w:r>
      <w:proofErr w:type="spellStart"/>
      <w:r w:rsidR="003D0AE0" w:rsidRPr="000C3275">
        <w:rPr>
          <w:rFonts w:ascii="Arial" w:hAnsi="Arial" w:cs="Arial"/>
        </w:rPr>
        <w:t>litigant</w:t>
      </w:r>
      <w:r w:rsidR="001A58AE">
        <w:rPr>
          <w:rFonts w:ascii="Arial" w:hAnsi="Arial" w:cs="Arial"/>
        </w:rPr>
        <w:t>ion</w:t>
      </w:r>
      <w:proofErr w:type="spellEnd"/>
      <w:r w:rsidR="003D0AE0" w:rsidRPr="000C3275">
        <w:rPr>
          <w:rFonts w:ascii="Arial" w:hAnsi="Arial" w:cs="Arial"/>
        </w:rPr>
        <w:t xml:space="preserve"> in question arises from such associations or activities</w:t>
      </w:r>
      <w:r w:rsidR="00F01034">
        <w:rPr>
          <w:rFonts w:ascii="Arial" w:hAnsi="Arial" w:cs="Arial"/>
        </w:rPr>
        <w:t xml:space="preserve">. . . </w:t>
      </w:r>
      <w:r w:rsidR="00F20CB9" w:rsidRPr="000C3275">
        <w:rPr>
          <w:rFonts w:ascii="Arial" w:hAnsi="Arial" w:cs="Arial"/>
        </w:rPr>
        <w:t xml:space="preserve"> Where</w:t>
      </w:r>
      <w:r w:rsidR="003D0AE0" w:rsidRPr="000C3275">
        <w:rPr>
          <w:rFonts w:ascii="Arial" w:hAnsi="Arial" w:cs="Arial"/>
        </w:rPr>
        <w:t xml:space="preserve"> a judicial officer, in his or her former capacity, </w:t>
      </w:r>
      <w:r w:rsidR="003D0AE0" w:rsidRPr="000C3275">
        <w:rPr>
          <w:rFonts w:ascii="Arial" w:hAnsi="Arial" w:cs="Arial"/>
          <w:u w:val="single"/>
        </w:rPr>
        <w:t>either advised or acquired personal knowledge</w:t>
      </w:r>
      <w:r w:rsidR="003D0AE0" w:rsidRPr="000C3275">
        <w:rPr>
          <w:rFonts w:ascii="Arial" w:hAnsi="Arial" w:cs="Arial"/>
        </w:rPr>
        <w:t xml:space="preserve"> relevant to a case before the court, it would not be proper for that judicial officer to sit in that case.</w:t>
      </w:r>
      <w:r>
        <w:rPr>
          <w:rFonts w:ascii="Arial" w:hAnsi="Arial" w:cs="Arial"/>
        </w:rPr>
        <w:t>’</w:t>
      </w:r>
      <w:r w:rsidR="003D0AE0" w:rsidRPr="000C3275">
        <w:rPr>
          <w:rStyle w:val="FootnoteReference"/>
          <w:rFonts w:ascii="Arial" w:hAnsi="Arial" w:cs="Arial"/>
        </w:rPr>
        <w:footnoteReference w:id="21"/>
      </w:r>
      <w:r w:rsidR="003E4058">
        <w:rPr>
          <w:rFonts w:ascii="Arial" w:hAnsi="Arial" w:cs="Arial"/>
        </w:rPr>
        <w:t xml:space="preserve"> (E</w:t>
      </w:r>
      <w:r w:rsidR="00C93FE9" w:rsidRPr="000C3275">
        <w:rPr>
          <w:rFonts w:ascii="Arial" w:hAnsi="Arial" w:cs="Arial"/>
        </w:rPr>
        <w:t>mphasis supplied</w:t>
      </w:r>
      <w:r w:rsidR="003E4058">
        <w:rPr>
          <w:rFonts w:ascii="Arial" w:hAnsi="Arial" w:cs="Arial"/>
        </w:rPr>
        <w:t>.</w:t>
      </w:r>
      <w:r w:rsidR="00C93FE9" w:rsidRPr="000C3275">
        <w:rPr>
          <w:rFonts w:ascii="Arial" w:hAnsi="Arial" w:cs="Arial"/>
        </w:rPr>
        <w:t>)</w:t>
      </w:r>
    </w:p>
    <w:p w:rsidR="003D0AE0" w:rsidRPr="000C3275" w:rsidRDefault="003D0AE0" w:rsidP="003E11F8">
      <w:pPr>
        <w:pStyle w:val="ListParagraph"/>
        <w:spacing w:after="0" w:line="480" w:lineRule="auto"/>
        <w:rPr>
          <w:rFonts w:ascii="Arial" w:hAnsi="Arial" w:cs="Arial"/>
          <w:sz w:val="24"/>
          <w:szCs w:val="24"/>
        </w:rPr>
      </w:pPr>
    </w:p>
    <w:p w:rsidR="003D0AE0" w:rsidRPr="000C3275" w:rsidRDefault="004B4B78"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And as</w:t>
      </w:r>
      <w:r w:rsidR="00F32B92" w:rsidRPr="000C3275">
        <w:rPr>
          <w:rFonts w:ascii="Arial" w:hAnsi="Arial" w:cs="Arial"/>
          <w:sz w:val="24"/>
          <w:szCs w:val="24"/>
        </w:rPr>
        <w:t xml:space="preserve"> the House of Lords </w:t>
      </w:r>
      <w:r w:rsidR="00297059" w:rsidRPr="000C3275">
        <w:rPr>
          <w:rFonts w:ascii="Arial" w:hAnsi="Arial" w:cs="Arial"/>
          <w:sz w:val="24"/>
          <w:szCs w:val="24"/>
        </w:rPr>
        <w:t>correctly stated</w:t>
      </w:r>
      <w:r w:rsidR="00F32B92" w:rsidRPr="000C3275">
        <w:rPr>
          <w:rFonts w:ascii="Arial" w:hAnsi="Arial" w:cs="Arial"/>
          <w:sz w:val="24"/>
          <w:szCs w:val="24"/>
        </w:rPr>
        <w:t xml:space="preserve"> in </w:t>
      </w:r>
      <w:r w:rsidR="00971EAD" w:rsidRPr="000C3275">
        <w:rPr>
          <w:rFonts w:ascii="Arial" w:hAnsi="Arial" w:cs="Arial"/>
          <w:i/>
          <w:sz w:val="24"/>
          <w:szCs w:val="24"/>
        </w:rPr>
        <w:t>Ex Parte</w:t>
      </w:r>
      <w:r w:rsidR="00971EAD" w:rsidRPr="000C3275">
        <w:rPr>
          <w:rFonts w:ascii="Arial" w:hAnsi="Arial" w:cs="Arial"/>
          <w:sz w:val="24"/>
          <w:szCs w:val="24"/>
        </w:rPr>
        <w:t xml:space="preserve"> </w:t>
      </w:r>
      <w:r w:rsidR="00F32B92" w:rsidRPr="000C3275">
        <w:rPr>
          <w:rFonts w:ascii="Arial" w:hAnsi="Arial" w:cs="Arial"/>
          <w:i/>
          <w:sz w:val="24"/>
          <w:szCs w:val="24"/>
        </w:rPr>
        <w:t>Pinochet</w:t>
      </w:r>
      <w:r w:rsidR="00971EAD" w:rsidRPr="000C3275">
        <w:rPr>
          <w:rFonts w:ascii="Arial" w:hAnsi="Arial" w:cs="Arial"/>
          <w:i/>
          <w:sz w:val="24"/>
          <w:szCs w:val="24"/>
        </w:rPr>
        <w:t xml:space="preserve"> </w:t>
      </w:r>
      <w:proofErr w:type="spellStart"/>
      <w:r w:rsidR="00971EAD" w:rsidRPr="000C3275">
        <w:rPr>
          <w:rFonts w:ascii="Arial" w:hAnsi="Arial" w:cs="Arial"/>
          <w:i/>
          <w:sz w:val="24"/>
          <w:szCs w:val="24"/>
        </w:rPr>
        <w:t>Ugarte</w:t>
      </w:r>
      <w:proofErr w:type="spellEnd"/>
      <w:r w:rsidR="00F32B92" w:rsidRPr="000C3275">
        <w:rPr>
          <w:rFonts w:ascii="Arial" w:hAnsi="Arial" w:cs="Arial"/>
          <w:i/>
          <w:sz w:val="24"/>
          <w:szCs w:val="24"/>
        </w:rPr>
        <w:t xml:space="preserve"> (2)</w:t>
      </w:r>
      <w:r w:rsidR="00F32B92" w:rsidRPr="000C3275">
        <w:rPr>
          <w:rStyle w:val="FootnoteReference"/>
          <w:rFonts w:ascii="Arial" w:hAnsi="Arial" w:cs="Arial"/>
          <w:sz w:val="24"/>
          <w:szCs w:val="24"/>
        </w:rPr>
        <w:footnoteReference w:id="22"/>
      </w:r>
      <w:r w:rsidR="00F32B92" w:rsidRPr="000C3275">
        <w:rPr>
          <w:rFonts w:ascii="Arial" w:hAnsi="Arial" w:cs="Arial"/>
          <w:sz w:val="24"/>
          <w:szCs w:val="24"/>
        </w:rPr>
        <w:t xml:space="preserve">: </w:t>
      </w:r>
    </w:p>
    <w:p w:rsidR="00D10CCC" w:rsidRDefault="00D10CCC" w:rsidP="00D86634">
      <w:pPr>
        <w:pStyle w:val="ListParagraph"/>
        <w:spacing w:after="0" w:line="360" w:lineRule="auto"/>
        <w:ind w:left="1134"/>
        <w:jc w:val="both"/>
        <w:rPr>
          <w:rFonts w:ascii="Arial" w:hAnsi="Arial" w:cs="Arial"/>
        </w:rPr>
      </w:pPr>
    </w:p>
    <w:p w:rsidR="003D0AE0" w:rsidRPr="000C3275" w:rsidRDefault="00D10CCC" w:rsidP="00D86634">
      <w:pPr>
        <w:pStyle w:val="ListParagraph"/>
        <w:spacing w:after="0" w:line="360" w:lineRule="auto"/>
        <w:ind w:left="1134"/>
        <w:jc w:val="both"/>
        <w:rPr>
          <w:rFonts w:ascii="Arial" w:eastAsia="Times New Roman" w:hAnsi="Arial" w:cs="Arial"/>
          <w:lang w:eastAsia="en-GB"/>
        </w:rPr>
      </w:pPr>
      <w:r>
        <w:rPr>
          <w:rFonts w:ascii="Arial" w:hAnsi="Arial" w:cs="Arial"/>
        </w:rPr>
        <w:t>‘</w:t>
      </w:r>
      <w:r w:rsidR="003D0AE0" w:rsidRPr="000C3275">
        <w:rPr>
          <w:rFonts w:ascii="Arial" w:hAnsi="Arial" w:cs="Arial"/>
        </w:rPr>
        <w:t>[I]f, as in the present case, the matter at issue does not relate to money or economic advantage but is concerned with the promotion of the cause, the rationale disqualifying a judge applies just as much if the judge’s decision will lead to the promotion of a cause in which the judge is involved to</w:t>
      </w:r>
      <w:r>
        <w:rPr>
          <w:rFonts w:ascii="Arial" w:hAnsi="Arial" w:cs="Arial"/>
        </w:rPr>
        <w:t>gether with one of the parties.’</w:t>
      </w:r>
    </w:p>
    <w:p w:rsidR="003D0AE0" w:rsidRPr="000C3275" w:rsidRDefault="003D0AE0" w:rsidP="003E11F8">
      <w:pPr>
        <w:tabs>
          <w:tab w:val="left" w:pos="851"/>
        </w:tabs>
        <w:spacing w:after="0" w:line="480" w:lineRule="auto"/>
        <w:contextualSpacing/>
        <w:jc w:val="both"/>
        <w:rPr>
          <w:rFonts w:ascii="Arial" w:hAnsi="Arial" w:cs="Arial"/>
          <w:sz w:val="24"/>
          <w:szCs w:val="24"/>
          <w:lang w:val="en-GB"/>
        </w:rPr>
      </w:pPr>
    </w:p>
    <w:p w:rsidR="003D0AE0"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The crucial factor in the presen</w:t>
      </w:r>
      <w:r w:rsidR="004B4B78" w:rsidRPr="000C3275">
        <w:rPr>
          <w:rFonts w:ascii="Arial" w:eastAsia="Times New Roman" w:hAnsi="Arial" w:cs="Arial"/>
          <w:sz w:val="24"/>
          <w:szCs w:val="24"/>
          <w:lang w:eastAsia="en-GB"/>
        </w:rPr>
        <w:t>t case is that the dispute the petition j</w:t>
      </w:r>
      <w:r w:rsidRPr="000C3275">
        <w:rPr>
          <w:rFonts w:ascii="Arial" w:eastAsia="Times New Roman" w:hAnsi="Arial" w:cs="Arial"/>
          <w:sz w:val="24"/>
          <w:szCs w:val="24"/>
          <w:lang w:eastAsia="en-GB"/>
        </w:rPr>
        <w:t xml:space="preserve">udge participated in as counsel in </w:t>
      </w:r>
      <w:r w:rsidR="00E36624" w:rsidRPr="000C3275">
        <w:rPr>
          <w:rFonts w:ascii="Arial" w:eastAsia="Times New Roman" w:hAnsi="Arial" w:cs="Arial"/>
          <w:sz w:val="24"/>
          <w:szCs w:val="24"/>
          <w:lang w:eastAsia="en-GB"/>
        </w:rPr>
        <w:t xml:space="preserve">the </w:t>
      </w:r>
      <w:r w:rsidRPr="000C3275">
        <w:rPr>
          <w:rFonts w:ascii="Arial" w:eastAsia="Times New Roman" w:hAnsi="Arial" w:cs="Arial"/>
          <w:sz w:val="24"/>
          <w:szCs w:val="24"/>
          <w:lang w:eastAsia="en-GB"/>
        </w:rPr>
        <w:t xml:space="preserve">1999 </w:t>
      </w:r>
      <w:r w:rsidR="00E36624" w:rsidRPr="000C3275">
        <w:rPr>
          <w:rFonts w:ascii="Arial" w:eastAsia="Times New Roman" w:hAnsi="Arial" w:cs="Arial"/>
          <w:sz w:val="24"/>
          <w:szCs w:val="24"/>
          <w:lang w:eastAsia="en-GB"/>
        </w:rPr>
        <w:t xml:space="preserve">constitutional challenge </w:t>
      </w:r>
      <w:r w:rsidRPr="000C3275">
        <w:rPr>
          <w:rFonts w:ascii="Arial" w:eastAsia="Times New Roman" w:hAnsi="Arial" w:cs="Arial"/>
          <w:sz w:val="24"/>
          <w:szCs w:val="24"/>
          <w:lang w:eastAsia="en-GB"/>
        </w:rPr>
        <w:t xml:space="preserve">remains a live issue </w:t>
      </w:r>
      <w:r w:rsidRPr="000C3275">
        <w:rPr>
          <w:rFonts w:ascii="Arial" w:eastAsia="Times New Roman" w:hAnsi="Arial" w:cs="Arial"/>
          <w:sz w:val="24"/>
          <w:szCs w:val="24"/>
          <w:lang w:eastAsia="en-GB"/>
        </w:rPr>
        <w:lastRenderedPageBreak/>
        <w:t>between at least one party (</w:t>
      </w:r>
      <w:proofErr w:type="spellStart"/>
      <w:r w:rsidRPr="000C3275">
        <w:rPr>
          <w:rFonts w:ascii="Arial" w:eastAsia="Times New Roman" w:hAnsi="Arial" w:cs="Arial"/>
          <w:sz w:val="24"/>
          <w:szCs w:val="24"/>
          <w:lang w:eastAsia="en-GB"/>
        </w:rPr>
        <w:t>Santam</w:t>
      </w:r>
      <w:proofErr w:type="spellEnd"/>
      <w:r w:rsidRPr="000C3275">
        <w:rPr>
          <w:rFonts w:ascii="Arial" w:eastAsia="Times New Roman" w:hAnsi="Arial" w:cs="Arial"/>
          <w:sz w:val="24"/>
          <w:szCs w:val="24"/>
          <w:lang w:eastAsia="en-GB"/>
        </w:rPr>
        <w:t>) he represented in 1999 and the same parties against whom he then acted in essentially the same form</w:t>
      </w:r>
      <w:r w:rsidR="00C93FE9" w:rsidRPr="000C3275">
        <w:rPr>
          <w:rFonts w:ascii="Arial" w:eastAsia="Times New Roman" w:hAnsi="Arial" w:cs="Arial"/>
          <w:sz w:val="24"/>
          <w:szCs w:val="24"/>
          <w:lang w:eastAsia="en-GB"/>
        </w:rPr>
        <w:t>.</w:t>
      </w:r>
      <w:r w:rsidR="00971EAD" w:rsidRPr="000C3275">
        <w:rPr>
          <w:rStyle w:val="FootnoteReference"/>
          <w:rFonts w:ascii="Arial" w:eastAsia="Times New Roman" w:hAnsi="Arial" w:cs="Arial"/>
          <w:sz w:val="24"/>
          <w:szCs w:val="24"/>
          <w:lang w:eastAsia="en-GB"/>
        </w:rPr>
        <w:footnoteReference w:id="23"/>
      </w:r>
      <w:r w:rsidRPr="000C3275">
        <w:rPr>
          <w:rFonts w:ascii="Arial" w:eastAsia="Times New Roman" w:hAnsi="Arial" w:cs="Arial"/>
          <w:sz w:val="24"/>
          <w:szCs w:val="24"/>
          <w:lang w:eastAsia="en-GB"/>
        </w:rPr>
        <w:t xml:space="preserve"> </w:t>
      </w:r>
    </w:p>
    <w:p w:rsidR="003D0AE0" w:rsidRPr="000C3275" w:rsidRDefault="003D0AE0" w:rsidP="003E11F8">
      <w:pPr>
        <w:tabs>
          <w:tab w:val="left" w:pos="851"/>
        </w:tabs>
        <w:spacing w:after="0" w:line="480" w:lineRule="auto"/>
        <w:contextualSpacing/>
        <w:jc w:val="both"/>
        <w:rPr>
          <w:rFonts w:ascii="Arial" w:hAnsi="Arial" w:cs="Arial"/>
          <w:sz w:val="24"/>
          <w:szCs w:val="24"/>
          <w:lang w:val="en-GB"/>
        </w:rPr>
      </w:pPr>
    </w:p>
    <w:p w:rsidR="00737E03" w:rsidRPr="000C3275" w:rsidRDefault="00F32B92" w:rsidP="004654F8">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 xml:space="preserve">At the core of the dispute in its current manifestation is whether the insurance industry should be bound by the </w:t>
      </w:r>
      <w:proofErr w:type="spellStart"/>
      <w:r w:rsidRPr="000C3275">
        <w:rPr>
          <w:rFonts w:ascii="Arial" w:eastAsia="Times New Roman" w:hAnsi="Arial" w:cs="Arial"/>
          <w:sz w:val="24"/>
          <w:szCs w:val="24"/>
          <w:lang w:eastAsia="en-GB"/>
        </w:rPr>
        <w:t>NAMRe</w:t>
      </w:r>
      <w:proofErr w:type="spellEnd"/>
      <w:r w:rsidRPr="000C3275">
        <w:rPr>
          <w:rFonts w:ascii="Arial" w:eastAsia="Times New Roman" w:hAnsi="Arial" w:cs="Arial"/>
          <w:sz w:val="24"/>
          <w:szCs w:val="24"/>
          <w:lang w:eastAsia="en-GB"/>
        </w:rPr>
        <w:t xml:space="preserve"> Act</w:t>
      </w:r>
      <w:r w:rsidR="00297059" w:rsidRPr="000C3275">
        <w:rPr>
          <w:rFonts w:ascii="Arial" w:eastAsia="Times New Roman" w:hAnsi="Arial" w:cs="Arial"/>
          <w:sz w:val="24"/>
          <w:szCs w:val="24"/>
          <w:lang w:eastAsia="en-GB"/>
        </w:rPr>
        <w:t>’</w:t>
      </w:r>
      <w:r w:rsidRPr="000C3275">
        <w:rPr>
          <w:rFonts w:ascii="Arial" w:eastAsia="Times New Roman" w:hAnsi="Arial" w:cs="Arial"/>
          <w:sz w:val="24"/>
          <w:szCs w:val="24"/>
          <w:lang w:eastAsia="en-GB"/>
        </w:rPr>
        <w:t xml:space="preserve">s provisions which require them to cede business to </w:t>
      </w:r>
      <w:proofErr w:type="spellStart"/>
      <w:r w:rsidRPr="000C3275">
        <w:rPr>
          <w:rFonts w:ascii="Arial" w:eastAsia="Times New Roman" w:hAnsi="Arial" w:cs="Arial"/>
          <w:sz w:val="24"/>
          <w:szCs w:val="24"/>
          <w:lang w:eastAsia="en-GB"/>
        </w:rPr>
        <w:t>NAMRe</w:t>
      </w:r>
      <w:proofErr w:type="spellEnd"/>
      <w:r w:rsidRPr="000C3275">
        <w:rPr>
          <w:rFonts w:ascii="Arial" w:eastAsia="Times New Roman" w:hAnsi="Arial" w:cs="Arial"/>
          <w:sz w:val="24"/>
          <w:szCs w:val="24"/>
          <w:lang w:eastAsia="en-GB"/>
        </w:rPr>
        <w:t xml:space="preserve">. Remove that and there is really no live issue between the protagonists. The application to compel and the collateral challenge which ultimately resulted in the petition are an outgrowth from the central issue of the constitutionality of the </w:t>
      </w:r>
      <w:proofErr w:type="spellStart"/>
      <w:r w:rsidRPr="000C3275">
        <w:rPr>
          <w:rFonts w:ascii="Arial" w:eastAsia="Times New Roman" w:hAnsi="Arial" w:cs="Arial"/>
          <w:sz w:val="24"/>
          <w:szCs w:val="24"/>
          <w:lang w:eastAsia="en-GB"/>
        </w:rPr>
        <w:t>NAMRe</w:t>
      </w:r>
      <w:proofErr w:type="spellEnd"/>
      <w:r w:rsidRPr="000C3275">
        <w:rPr>
          <w:rFonts w:ascii="Arial" w:eastAsia="Times New Roman" w:hAnsi="Arial" w:cs="Arial"/>
          <w:sz w:val="24"/>
          <w:szCs w:val="24"/>
          <w:lang w:eastAsia="en-GB"/>
        </w:rPr>
        <w:t xml:space="preserve"> Act.</w:t>
      </w:r>
    </w:p>
    <w:p w:rsidR="00737E03" w:rsidRPr="000C3275" w:rsidRDefault="00737E03" w:rsidP="003E11F8">
      <w:pPr>
        <w:pStyle w:val="ListParagraph"/>
        <w:spacing w:after="0" w:line="480" w:lineRule="auto"/>
        <w:rPr>
          <w:rFonts w:ascii="Arial" w:eastAsia="Times New Roman" w:hAnsi="Arial" w:cs="Arial"/>
          <w:sz w:val="24"/>
          <w:szCs w:val="24"/>
          <w:lang w:eastAsia="en-GB"/>
        </w:rPr>
      </w:pPr>
    </w:p>
    <w:p w:rsidR="00737E03" w:rsidRPr="000C3275" w:rsidRDefault="00E36624" w:rsidP="00737E03">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The petition j</w:t>
      </w:r>
      <w:r w:rsidR="00F32B92" w:rsidRPr="000C3275">
        <w:rPr>
          <w:rFonts w:ascii="Arial" w:eastAsia="Times New Roman" w:hAnsi="Arial" w:cs="Arial"/>
          <w:sz w:val="24"/>
          <w:szCs w:val="24"/>
          <w:lang w:eastAsia="en-GB"/>
        </w:rPr>
        <w:t xml:space="preserve">udge advised and represented </w:t>
      </w:r>
      <w:proofErr w:type="spellStart"/>
      <w:r w:rsidR="00F32B92" w:rsidRPr="000C3275">
        <w:rPr>
          <w:rFonts w:ascii="Arial" w:eastAsia="Times New Roman" w:hAnsi="Arial" w:cs="Arial"/>
          <w:sz w:val="24"/>
          <w:szCs w:val="24"/>
          <w:lang w:eastAsia="en-GB"/>
        </w:rPr>
        <w:t>S</w:t>
      </w:r>
      <w:r w:rsidRPr="000C3275">
        <w:rPr>
          <w:rFonts w:ascii="Arial" w:eastAsia="Times New Roman" w:hAnsi="Arial" w:cs="Arial"/>
          <w:sz w:val="24"/>
          <w:szCs w:val="24"/>
          <w:lang w:eastAsia="en-GB"/>
        </w:rPr>
        <w:t>antam</w:t>
      </w:r>
      <w:proofErr w:type="spellEnd"/>
      <w:r w:rsidR="00F32B92" w:rsidRPr="000C3275">
        <w:rPr>
          <w:rFonts w:ascii="Arial" w:eastAsia="Times New Roman" w:hAnsi="Arial" w:cs="Arial"/>
          <w:sz w:val="24"/>
          <w:szCs w:val="24"/>
          <w:lang w:eastAsia="en-GB"/>
        </w:rPr>
        <w:t xml:space="preserve"> and other insurance companies in the 1999 </w:t>
      </w:r>
      <w:r w:rsidRPr="000C3275">
        <w:rPr>
          <w:rFonts w:ascii="Arial" w:eastAsia="Times New Roman" w:hAnsi="Arial" w:cs="Arial"/>
          <w:sz w:val="24"/>
          <w:szCs w:val="24"/>
          <w:lang w:eastAsia="en-GB"/>
        </w:rPr>
        <w:t>constitutional challenge</w:t>
      </w:r>
      <w:r w:rsidR="00F32B92" w:rsidRPr="000C3275">
        <w:rPr>
          <w:rFonts w:ascii="Arial" w:eastAsia="Times New Roman" w:hAnsi="Arial" w:cs="Arial"/>
          <w:sz w:val="24"/>
          <w:szCs w:val="24"/>
          <w:lang w:eastAsia="en-GB"/>
        </w:rPr>
        <w:t xml:space="preserve"> and argued in </w:t>
      </w:r>
      <w:proofErr w:type="spellStart"/>
      <w:r w:rsidR="00F32B92" w:rsidRPr="000C3275">
        <w:rPr>
          <w:rFonts w:ascii="Arial" w:eastAsia="Times New Roman" w:hAnsi="Arial" w:cs="Arial"/>
          <w:sz w:val="24"/>
          <w:szCs w:val="24"/>
          <w:lang w:eastAsia="en-GB"/>
        </w:rPr>
        <w:t>favour</w:t>
      </w:r>
      <w:proofErr w:type="spellEnd"/>
      <w:r w:rsidR="00F32B92" w:rsidRPr="000C3275">
        <w:rPr>
          <w:rFonts w:ascii="Arial" w:eastAsia="Times New Roman" w:hAnsi="Arial" w:cs="Arial"/>
          <w:sz w:val="24"/>
          <w:szCs w:val="24"/>
          <w:lang w:eastAsia="en-GB"/>
        </w:rPr>
        <w:t xml:space="preserve"> of the unconstitutionality of the </w:t>
      </w:r>
      <w:proofErr w:type="spellStart"/>
      <w:r w:rsidR="00F32B92" w:rsidRPr="000C3275">
        <w:rPr>
          <w:rFonts w:ascii="Arial" w:eastAsia="Times New Roman" w:hAnsi="Arial" w:cs="Arial"/>
          <w:sz w:val="24"/>
          <w:szCs w:val="24"/>
          <w:lang w:eastAsia="en-GB"/>
        </w:rPr>
        <w:t>NAMRe</w:t>
      </w:r>
      <w:proofErr w:type="spellEnd"/>
      <w:r w:rsidR="00F32B92" w:rsidRPr="000C3275">
        <w:rPr>
          <w:rFonts w:ascii="Arial" w:eastAsia="Times New Roman" w:hAnsi="Arial" w:cs="Arial"/>
          <w:sz w:val="24"/>
          <w:szCs w:val="24"/>
          <w:lang w:eastAsia="en-GB"/>
        </w:rPr>
        <w:t xml:space="preserve"> Act. Although that issue was decided in a binding judgment of the Hig</w:t>
      </w:r>
      <w:r w:rsidR="00C93FE9" w:rsidRPr="000C3275">
        <w:rPr>
          <w:rFonts w:ascii="Arial" w:eastAsia="Times New Roman" w:hAnsi="Arial" w:cs="Arial"/>
          <w:sz w:val="24"/>
          <w:szCs w:val="24"/>
          <w:lang w:eastAsia="en-GB"/>
        </w:rPr>
        <w:t>h Court, it remains a live controversy</w:t>
      </w:r>
      <w:r w:rsidR="00F32B92" w:rsidRPr="000C3275">
        <w:rPr>
          <w:rFonts w:ascii="Arial" w:eastAsia="Times New Roman" w:hAnsi="Arial" w:cs="Arial"/>
          <w:sz w:val="24"/>
          <w:szCs w:val="24"/>
          <w:lang w:eastAsia="en-GB"/>
        </w:rPr>
        <w:t xml:space="preserve"> today because </w:t>
      </w:r>
      <w:proofErr w:type="spellStart"/>
      <w:r w:rsidR="00F32B92" w:rsidRPr="000C3275">
        <w:rPr>
          <w:rFonts w:ascii="Arial" w:eastAsia="Times New Roman" w:hAnsi="Arial" w:cs="Arial"/>
          <w:sz w:val="24"/>
          <w:szCs w:val="24"/>
          <w:lang w:eastAsia="en-GB"/>
        </w:rPr>
        <w:t>S</w:t>
      </w:r>
      <w:r w:rsidRPr="000C3275">
        <w:rPr>
          <w:rFonts w:ascii="Arial" w:eastAsia="Times New Roman" w:hAnsi="Arial" w:cs="Arial"/>
          <w:sz w:val="24"/>
          <w:szCs w:val="24"/>
          <w:lang w:eastAsia="en-GB"/>
        </w:rPr>
        <w:t>antam</w:t>
      </w:r>
      <w:proofErr w:type="spellEnd"/>
      <w:r w:rsidRPr="000C3275">
        <w:rPr>
          <w:rFonts w:ascii="Arial" w:eastAsia="Times New Roman" w:hAnsi="Arial" w:cs="Arial"/>
          <w:sz w:val="24"/>
          <w:szCs w:val="24"/>
          <w:lang w:eastAsia="en-GB"/>
        </w:rPr>
        <w:t xml:space="preserve"> </w:t>
      </w:r>
      <w:r w:rsidR="00F32B92" w:rsidRPr="000C3275">
        <w:rPr>
          <w:rFonts w:ascii="Arial" w:eastAsia="Times New Roman" w:hAnsi="Arial" w:cs="Arial"/>
          <w:sz w:val="24"/>
          <w:szCs w:val="24"/>
          <w:lang w:eastAsia="en-GB"/>
        </w:rPr>
        <w:t>and others in the insur</w:t>
      </w:r>
      <w:r w:rsidR="00C93FE9" w:rsidRPr="000C3275">
        <w:rPr>
          <w:rFonts w:ascii="Arial" w:eastAsia="Times New Roman" w:hAnsi="Arial" w:cs="Arial"/>
          <w:sz w:val="24"/>
          <w:szCs w:val="24"/>
          <w:lang w:eastAsia="en-GB"/>
        </w:rPr>
        <w:t>ance industry continue to believe</w:t>
      </w:r>
      <w:r w:rsidR="00F32B92" w:rsidRPr="000C3275">
        <w:rPr>
          <w:rFonts w:ascii="Arial" w:eastAsia="Times New Roman" w:hAnsi="Arial" w:cs="Arial"/>
          <w:sz w:val="24"/>
          <w:szCs w:val="24"/>
          <w:lang w:eastAsia="en-GB"/>
        </w:rPr>
        <w:t xml:space="preserve"> that the </w:t>
      </w:r>
      <w:proofErr w:type="spellStart"/>
      <w:r w:rsidR="00F32B92" w:rsidRPr="000C3275">
        <w:rPr>
          <w:rFonts w:ascii="Arial" w:eastAsia="Times New Roman" w:hAnsi="Arial" w:cs="Arial"/>
          <w:sz w:val="24"/>
          <w:szCs w:val="24"/>
          <w:lang w:eastAsia="en-GB"/>
        </w:rPr>
        <w:t>NAMRe</w:t>
      </w:r>
      <w:proofErr w:type="spellEnd"/>
      <w:r w:rsidR="00F32B92" w:rsidRPr="000C3275">
        <w:rPr>
          <w:rFonts w:ascii="Arial" w:eastAsia="Times New Roman" w:hAnsi="Arial" w:cs="Arial"/>
          <w:sz w:val="24"/>
          <w:szCs w:val="24"/>
          <w:lang w:eastAsia="en-GB"/>
        </w:rPr>
        <w:t xml:space="preserve"> Act is unconstitutional. That the belief is earnestly held became apparent from a submission made </w:t>
      </w:r>
      <w:r w:rsidR="00971EAD" w:rsidRPr="000C3275">
        <w:rPr>
          <w:rFonts w:ascii="Arial" w:eastAsia="Times New Roman" w:hAnsi="Arial" w:cs="Arial"/>
          <w:sz w:val="24"/>
          <w:szCs w:val="24"/>
          <w:lang w:eastAsia="en-GB"/>
        </w:rPr>
        <w:t>during oral argument</w:t>
      </w:r>
      <w:r w:rsidR="00F32B92" w:rsidRPr="000C3275">
        <w:rPr>
          <w:rFonts w:ascii="Arial" w:eastAsia="Times New Roman" w:hAnsi="Arial" w:cs="Arial"/>
          <w:sz w:val="24"/>
          <w:szCs w:val="24"/>
          <w:lang w:eastAsia="en-GB"/>
        </w:rPr>
        <w:t xml:space="preserve"> on behalf of one of the respondents’ counsel. In an undisguised critique of the 1999 </w:t>
      </w:r>
      <w:r w:rsidRPr="000C3275">
        <w:rPr>
          <w:rFonts w:ascii="Arial" w:eastAsia="Times New Roman" w:hAnsi="Arial" w:cs="Arial"/>
          <w:sz w:val="24"/>
          <w:szCs w:val="24"/>
          <w:lang w:eastAsia="en-GB"/>
        </w:rPr>
        <w:t xml:space="preserve">Full Bench decision on the </w:t>
      </w:r>
      <w:proofErr w:type="spellStart"/>
      <w:r w:rsidRPr="000C3275">
        <w:rPr>
          <w:rFonts w:ascii="Arial" w:eastAsia="Times New Roman" w:hAnsi="Arial" w:cs="Arial"/>
          <w:sz w:val="24"/>
          <w:szCs w:val="24"/>
          <w:lang w:eastAsia="en-GB"/>
        </w:rPr>
        <w:t>NAMRe</w:t>
      </w:r>
      <w:proofErr w:type="spellEnd"/>
      <w:r w:rsidR="00F32B92" w:rsidRPr="000C3275">
        <w:rPr>
          <w:rFonts w:ascii="Arial" w:eastAsia="Times New Roman" w:hAnsi="Arial" w:cs="Arial"/>
          <w:sz w:val="24"/>
          <w:szCs w:val="24"/>
          <w:lang w:eastAsia="en-GB"/>
        </w:rPr>
        <w:t xml:space="preserve"> Act, Mr Heathcote argued</w:t>
      </w:r>
      <w:r w:rsidRPr="000C3275">
        <w:rPr>
          <w:rFonts w:ascii="Arial" w:eastAsia="Times New Roman" w:hAnsi="Arial" w:cs="Arial"/>
          <w:sz w:val="24"/>
          <w:szCs w:val="24"/>
          <w:lang w:eastAsia="en-GB"/>
        </w:rPr>
        <w:t xml:space="preserve"> </w:t>
      </w:r>
      <w:r w:rsidR="00F32B92" w:rsidRPr="000C3275">
        <w:rPr>
          <w:rFonts w:ascii="Arial" w:eastAsia="Times New Roman" w:hAnsi="Arial" w:cs="Arial"/>
          <w:sz w:val="24"/>
          <w:szCs w:val="24"/>
          <w:lang w:eastAsia="en-GB"/>
        </w:rPr>
        <w:t xml:space="preserve">that the unconstitutionality of the </w:t>
      </w:r>
      <w:proofErr w:type="spellStart"/>
      <w:r w:rsidR="00F32B92" w:rsidRPr="000C3275">
        <w:rPr>
          <w:rFonts w:ascii="Arial" w:eastAsia="Times New Roman" w:hAnsi="Arial" w:cs="Arial"/>
          <w:sz w:val="24"/>
          <w:szCs w:val="24"/>
          <w:lang w:eastAsia="en-GB"/>
        </w:rPr>
        <w:t>NAMRe</w:t>
      </w:r>
      <w:proofErr w:type="spellEnd"/>
      <w:r w:rsidR="00F32B92" w:rsidRPr="000C3275">
        <w:rPr>
          <w:rFonts w:ascii="Arial" w:eastAsia="Times New Roman" w:hAnsi="Arial" w:cs="Arial"/>
          <w:sz w:val="24"/>
          <w:szCs w:val="24"/>
          <w:lang w:eastAsia="en-GB"/>
        </w:rPr>
        <w:t xml:space="preserve"> Act must be approached, not on the basis of the reasons given by the Full Bench in 1999, but on the principles </w:t>
      </w:r>
      <w:r w:rsidR="00DF215B">
        <w:rPr>
          <w:rFonts w:ascii="Arial" w:eastAsia="Times New Roman" w:hAnsi="Arial" w:cs="Arial"/>
          <w:sz w:val="24"/>
          <w:szCs w:val="24"/>
          <w:lang w:eastAsia="en-GB"/>
        </w:rPr>
        <w:t xml:space="preserve">authoritatively </w:t>
      </w:r>
      <w:r w:rsidR="00F32B92" w:rsidRPr="000C3275">
        <w:rPr>
          <w:rFonts w:ascii="Arial" w:eastAsia="Times New Roman" w:hAnsi="Arial" w:cs="Arial"/>
          <w:sz w:val="24"/>
          <w:szCs w:val="24"/>
          <w:lang w:eastAsia="en-GB"/>
        </w:rPr>
        <w:t xml:space="preserve">enunciated by this court as the apex court in </w:t>
      </w:r>
      <w:r w:rsidR="00F32B92" w:rsidRPr="000C3275">
        <w:rPr>
          <w:rFonts w:ascii="Arial" w:eastAsia="Times New Roman" w:hAnsi="Arial" w:cs="Arial"/>
          <w:i/>
          <w:sz w:val="24"/>
          <w:szCs w:val="24"/>
          <w:lang w:eastAsia="en-GB"/>
        </w:rPr>
        <w:t>Medical Association of Namibia</w:t>
      </w:r>
      <w:r w:rsidR="004654F8" w:rsidRPr="000C3275">
        <w:rPr>
          <w:rFonts w:ascii="Arial" w:eastAsia="Times New Roman" w:hAnsi="Arial" w:cs="Arial"/>
          <w:i/>
          <w:sz w:val="24"/>
          <w:szCs w:val="24"/>
          <w:lang w:eastAsia="en-GB"/>
        </w:rPr>
        <w:t xml:space="preserve"> </w:t>
      </w:r>
      <w:r w:rsidR="00D10CCC">
        <w:rPr>
          <w:rFonts w:ascii="Arial" w:eastAsia="Times New Roman" w:hAnsi="Arial" w:cs="Arial"/>
          <w:i/>
          <w:sz w:val="24"/>
          <w:szCs w:val="24"/>
          <w:lang w:eastAsia="en-GB"/>
        </w:rPr>
        <w:t>&amp;</w:t>
      </w:r>
      <w:r w:rsidR="004654F8" w:rsidRPr="000C3275">
        <w:rPr>
          <w:rFonts w:ascii="Arial" w:eastAsia="Times New Roman" w:hAnsi="Arial" w:cs="Arial"/>
          <w:i/>
          <w:sz w:val="24"/>
          <w:szCs w:val="24"/>
          <w:lang w:eastAsia="en-GB"/>
        </w:rPr>
        <w:t xml:space="preserve"> </w:t>
      </w:r>
      <w:r w:rsidR="00D10CCC">
        <w:rPr>
          <w:rFonts w:ascii="Arial" w:eastAsia="Times New Roman" w:hAnsi="Arial" w:cs="Arial"/>
          <w:i/>
          <w:sz w:val="24"/>
          <w:szCs w:val="24"/>
          <w:lang w:eastAsia="en-GB"/>
        </w:rPr>
        <w:t>a</w:t>
      </w:r>
      <w:r w:rsidR="004654F8" w:rsidRPr="000C3275">
        <w:rPr>
          <w:rFonts w:ascii="Arial" w:eastAsia="Times New Roman" w:hAnsi="Arial" w:cs="Arial"/>
          <w:i/>
          <w:sz w:val="24"/>
          <w:szCs w:val="24"/>
          <w:lang w:eastAsia="en-GB"/>
        </w:rPr>
        <w:t>nother v Minister o</w:t>
      </w:r>
      <w:r w:rsidR="00D10CCC">
        <w:rPr>
          <w:rFonts w:ascii="Arial" w:eastAsia="Times New Roman" w:hAnsi="Arial" w:cs="Arial"/>
          <w:i/>
          <w:sz w:val="24"/>
          <w:szCs w:val="24"/>
          <w:lang w:eastAsia="en-GB"/>
        </w:rPr>
        <w:t>f Health and Social Services &amp;</w:t>
      </w:r>
      <w:r w:rsidR="004654F8" w:rsidRPr="000C3275">
        <w:rPr>
          <w:rFonts w:ascii="Arial" w:eastAsia="Times New Roman" w:hAnsi="Arial" w:cs="Arial"/>
          <w:i/>
          <w:sz w:val="24"/>
          <w:szCs w:val="24"/>
          <w:lang w:eastAsia="en-GB"/>
        </w:rPr>
        <w:t xml:space="preserve"> </w:t>
      </w:r>
      <w:r w:rsidR="00D10CCC">
        <w:rPr>
          <w:rFonts w:ascii="Arial" w:eastAsia="Times New Roman" w:hAnsi="Arial" w:cs="Arial"/>
          <w:i/>
          <w:sz w:val="24"/>
          <w:szCs w:val="24"/>
          <w:lang w:eastAsia="en-GB"/>
        </w:rPr>
        <w:t>o</w:t>
      </w:r>
      <w:r w:rsidR="004654F8" w:rsidRPr="000C3275">
        <w:rPr>
          <w:rFonts w:ascii="Arial" w:eastAsia="Times New Roman" w:hAnsi="Arial" w:cs="Arial"/>
          <w:i/>
          <w:sz w:val="24"/>
          <w:szCs w:val="24"/>
          <w:lang w:eastAsia="en-GB"/>
        </w:rPr>
        <w:t>thers</w:t>
      </w:r>
      <w:r w:rsidR="00C93FE9" w:rsidRPr="000C3275">
        <w:rPr>
          <w:rFonts w:ascii="Arial" w:eastAsia="Times New Roman" w:hAnsi="Arial" w:cs="Arial"/>
          <w:i/>
          <w:sz w:val="24"/>
          <w:szCs w:val="24"/>
          <w:lang w:eastAsia="en-GB"/>
        </w:rPr>
        <w:t>.</w:t>
      </w:r>
      <w:r w:rsidR="004654F8" w:rsidRPr="000C3275">
        <w:rPr>
          <w:rStyle w:val="FootnoteReference"/>
          <w:rFonts w:ascii="Arial" w:eastAsia="Times New Roman" w:hAnsi="Arial" w:cs="Arial"/>
          <w:i/>
          <w:sz w:val="24"/>
          <w:szCs w:val="24"/>
          <w:lang w:eastAsia="en-GB"/>
        </w:rPr>
        <w:footnoteReference w:id="24"/>
      </w:r>
    </w:p>
    <w:p w:rsidR="00737E03" w:rsidRPr="000C3275" w:rsidRDefault="00737E03" w:rsidP="003E11F8">
      <w:pPr>
        <w:pStyle w:val="ListParagraph"/>
        <w:spacing w:after="0" w:line="480" w:lineRule="auto"/>
        <w:rPr>
          <w:rFonts w:ascii="Arial" w:eastAsia="Times New Roman" w:hAnsi="Arial" w:cs="Arial"/>
          <w:sz w:val="24"/>
          <w:szCs w:val="24"/>
          <w:lang w:eastAsia="en-GB"/>
        </w:rPr>
      </w:pPr>
    </w:p>
    <w:p w:rsidR="003D0AE0" w:rsidRPr="000C3275" w:rsidRDefault="00F32B92" w:rsidP="00737E03">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lastRenderedPageBreak/>
        <w:t>I reference this to demonstrate that the legal argu</w:t>
      </w:r>
      <w:r w:rsidR="00E36624" w:rsidRPr="000C3275">
        <w:rPr>
          <w:rFonts w:ascii="Arial" w:eastAsia="Times New Roman" w:hAnsi="Arial" w:cs="Arial"/>
          <w:sz w:val="24"/>
          <w:szCs w:val="24"/>
          <w:lang w:eastAsia="en-GB"/>
        </w:rPr>
        <w:t>ments relied on in 1999 by the petition j</w:t>
      </w:r>
      <w:r w:rsidRPr="000C3275">
        <w:rPr>
          <w:rFonts w:ascii="Arial" w:eastAsia="Times New Roman" w:hAnsi="Arial" w:cs="Arial"/>
          <w:sz w:val="24"/>
          <w:szCs w:val="24"/>
          <w:lang w:eastAsia="en-GB"/>
        </w:rPr>
        <w:t>udge in his former capacity as counsel for t</w:t>
      </w:r>
      <w:r w:rsidR="00297059" w:rsidRPr="000C3275">
        <w:rPr>
          <w:rFonts w:ascii="Arial" w:eastAsia="Times New Roman" w:hAnsi="Arial" w:cs="Arial"/>
          <w:sz w:val="24"/>
          <w:szCs w:val="24"/>
          <w:lang w:eastAsia="en-GB"/>
        </w:rPr>
        <w:t xml:space="preserve">he insurance industry remain </w:t>
      </w:r>
      <w:r w:rsidRPr="000C3275">
        <w:rPr>
          <w:rFonts w:ascii="Arial" w:eastAsia="Times New Roman" w:hAnsi="Arial" w:cs="Arial"/>
          <w:sz w:val="24"/>
          <w:szCs w:val="24"/>
          <w:lang w:eastAsia="en-GB"/>
        </w:rPr>
        <w:t xml:space="preserve"> as potent today as they were in 1999. </w:t>
      </w:r>
      <w:r w:rsidR="00297059" w:rsidRPr="000C3275">
        <w:rPr>
          <w:rFonts w:ascii="Arial" w:eastAsia="Times New Roman" w:hAnsi="Arial" w:cs="Arial"/>
          <w:sz w:val="24"/>
          <w:szCs w:val="24"/>
          <w:lang w:eastAsia="en-GB"/>
        </w:rPr>
        <w:t xml:space="preserve">The reluctance by the insurance industry to accept the constitutional </w:t>
      </w:r>
      <w:r w:rsidR="00297059" w:rsidRPr="000C3275">
        <w:rPr>
          <w:rFonts w:ascii="Arial" w:eastAsia="Times New Roman" w:hAnsi="Arial" w:cs="Arial"/>
          <w:i/>
          <w:sz w:val="24"/>
          <w:szCs w:val="24"/>
          <w:lang w:eastAsia="en-GB"/>
        </w:rPr>
        <w:t>vires</w:t>
      </w:r>
      <w:r w:rsidR="00297059" w:rsidRPr="000C3275">
        <w:rPr>
          <w:rFonts w:ascii="Arial" w:eastAsia="Times New Roman" w:hAnsi="Arial" w:cs="Arial"/>
          <w:sz w:val="24"/>
          <w:szCs w:val="24"/>
          <w:lang w:eastAsia="en-GB"/>
        </w:rPr>
        <w:t xml:space="preserve"> of the </w:t>
      </w:r>
      <w:proofErr w:type="spellStart"/>
      <w:r w:rsidR="00297059" w:rsidRPr="000C3275">
        <w:rPr>
          <w:rFonts w:ascii="Arial" w:eastAsia="Times New Roman" w:hAnsi="Arial" w:cs="Arial"/>
          <w:sz w:val="24"/>
          <w:szCs w:val="24"/>
          <w:lang w:eastAsia="en-GB"/>
        </w:rPr>
        <w:t>NAMRe</w:t>
      </w:r>
      <w:proofErr w:type="spellEnd"/>
      <w:r w:rsidR="00297059" w:rsidRPr="000C3275">
        <w:rPr>
          <w:rFonts w:ascii="Arial" w:eastAsia="Times New Roman" w:hAnsi="Arial" w:cs="Arial"/>
          <w:sz w:val="24"/>
          <w:szCs w:val="24"/>
          <w:lang w:eastAsia="en-GB"/>
        </w:rPr>
        <w:t xml:space="preserve"> Act is entrenched and passionately held. </w:t>
      </w:r>
      <w:r w:rsidR="00E36624" w:rsidRPr="000C3275">
        <w:rPr>
          <w:rFonts w:ascii="Arial" w:eastAsia="Times New Roman" w:hAnsi="Arial" w:cs="Arial"/>
          <w:sz w:val="24"/>
          <w:szCs w:val="24"/>
          <w:lang w:eastAsia="en-GB"/>
        </w:rPr>
        <w:t>Mr</w:t>
      </w:r>
      <w:r w:rsidR="00297059" w:rsidRPr="000C3275">
        <w:rPr>
          <w:rFonts w:ascii="Arial" w:eastAsia="Times New Roman" w:hAnsi="Arial" w:cs="Arial"/>
          <w:sz w:val="24"/>
          <w:szCs w:val="24"/>
          <w:lang w:eastAsia="en-GB"/>
        </w:rPr>
        <w:t xml:space="preserve"> van </w:t>
      </w:r>
      <w:proofErr w:type="spellStart"/>
      <w:r w:rsidR="00297059" w:rsidRPr="000C3275">
        <w:rPr>
          <w:rFonts w:ascii="Arial" w:eastAsia="Times New Roman" w:hAnsi="Arial" w:cs="Arial"/>
          <w:sz w:val="24"/>
          <w:szCs w:val="24"/>
          <w:lang w:eastAsia="en-GB"/>
        </w:rPr>
        <w:t>Rooyen</w:t>
      </w:r>
      <w:proofErr w:type="spellEnd"/>
      <w:r w:rsidR="00297059" w:rsidRPr="000C3275">
        <w:rPr>
          <w:rFonts w:ascii="Arial" w:eastAsia="Times New Roman" w:hAnsi="Arial" w:cs="Arial"/>
          <w:sz w:val="24"/>
          <w:szCs w:val="24"/>
          <w:lang w:eastAsia="en-GB"/>
        </w:rPr>
        <w:t xml:space="preserve"> </w:t>
      </w:r>
      <w:r w:rsidR="006A5054" w:rsidRPr="000C3275">
        <w:rPr>
          <w:rFonts w:ascii="Arial" w:eastAsia="Times New Roman" w:hAnsi="Arial" w:cs="Arial"/>
          <w:sz w:val="24"/>
          <w:szCs w:val="24"/>
          <w:lang w:eastAsia="en-GB"/>
        </w:rPr>
        <w:t xml:space="preserve">stated </w:t>
      </w:r>
      <w:r w:rsidR="003E4058">
        <w:rPr>
          <w:rFonts w:ascii="Arial" w:eastAsia="Times New Roman" w:hAnsi="Arial" w:cs="Arial"/>
          <w:sz w:val="24"/>
          <w:szCs w:val="24"/>
          <w:lang w:eastAsia="en-GB"/>
        </w:rPr>
        <w:t>(</w:t>
      </w:r>
      <w:r w:rsidR="006A5054" w:rsidRPr="000C3275">
        <w:rPr>
          <w:rFonts w:ascii="Arial" w:eastAsia="Times New Roman" w:hAnsi="Arial" w:cs="Arial"/>
          <w:sz w:val="24"/>
          <w:szCs w:val="24"/>
          <w:lang w:eastAsia="en-GB"/>
        </w:rPr>
        <w:t>on affidavit in the application to compel</w:t>
      </w:r>
      <w:r w:rsidR="003E4058">
        <w:rPr>
          <w:rFonts w:ascii="Arial" w:eastAsia="Times New Roman" w:hAnsi="Arial" w:cs="Arial"/>
          <w:sz w:val="24"/>
          <w:szCs w:val="24"/>
          <w:lang w:eastAsia="en-GB"/>
        </w:rPr>
        <w:t>)</w:t>
      </w:r>
      <w:r w:rsidR="006A5054" w:rsidRPr="000C3275">
        <w:rPr>
          <w:rFonts w:ascii="Arial" w:eastAsia="Times New Roman" w:hAnsi="Arial" w:cs="Arial"/>
          <w:sz w:val="24"/>
          <w:szCs w:val="24"/>
          <w:lang w:eastAsia="en-GB"/>
        </w:rPr>
        <w:t xml:space="preserve"> </w:t>
      </w:r>
      <w:r w:rsidR="00297059" w:rsidRPr="000C3275">
        <w:rPr>
          <w:rFonts w:ascii="Arial" w:eastAsia="Times New Roman" w:hAnsi="Arial" w:cs="Arial"/>
          <w:sz w:val="24"/>
          <w:szCs w:val="24"/>
          <w:lang w:eastAsia="en-GB"/>
        </w:rPr>
        <w:t xml:space="preserve">that he would rather go to jail than comply with </w:t>
      </w:r>
      <w:r w:rsidR="00E36624" w:rsidRPr="000C3275">
        <w:rPr>
          <w:rFonts w:ascii="Arial" w:eastAsia="Times New Roman" w:hAnsi="Arial" w:cs="Arial"/>
          <w:sz w:val="24"/>
          <w:szCs w:val="24"/>
          <w:lang w:eastAsia="en-GB"/>
        </w:rPr>
        <w:t>the Act and the measures</w:t>
      </w:r>
      <w:r w:rsidR="00297059" w:rsidRPr="000C3275">
        <w:rPr>
          <w:rFonts w:ascii="Arial" w:eastAsia="Times New Roman" w:hAnsi="Arial" w:cs="Arial"/>
          <w:sz w:val="24"/>
          <w:szCs w:val="24"/>
          <w:lang w:eastAsia="en-GB"/>
        </w:rPr>
        <w:t xml:space="preserve">. The objection to the </w:t>
      </w:r>
      <w:proofErr w:type="spellStart"/>
      <w:r w:rsidR="00E36624" w:rsidRPr="000C3275">
        <w:rPr>
          <w:rFonts w:ascii="Arial" w:eastAsia="Times New Roman" w:hAnsi="Arial" w:cs="Arial"/>
          <w:sz w:val="24"/>
          <w:szCs w:val="24"/>
          <w:lang w:eastAsia="en-GB"/>
        </w:rPr>
        <w:t>NAMRe</w:t>
      </w:r>
      <w:proofErr w:type="spellEnd"/>
      <w:r w:rsidR="00E36624" w:rsidRPr="000C3275">
        <w:rPr>
          <w:rFonts w:ascii="Arial" w:eastAsia="Times New Roman" w:hAnsi="Arial" w:cs="Arial"/>
          <w:sz w:val="24"/>
          <w:szCs w:val="24"/>
          <w:lang w:eastAsia="en-GB"/>
        </w:rPr>
        <w:t xml:space="preserve"> </w:t>
      </w:r>
      <w:r w:rsidR="00297059" w:rsidRPr="000C3275">
        <w:rPr>
          <w:rFonts w:ascii="Arial" w:eastAsia="Times New Roman" w:hAnsi="Arial" w:cs="Arial"/>
          <w:sz w:val="24"/>
          <w:szCs w:val="24"/>
          <w:lang w:eastAsia="en-GB"/>
        </w:rPr>
        <w:t xml:space="preserve">Act is therefore something approximating the pursuit of a cause. </w:t>
      </w:r>
      <w:r w:rsidRPr="000C3275">
        <w:rPr>
          <w:rFonts w:ascii="Arial" w:eastAsia="Times New Roman" w:hAnsi="Arial" w:cs="Arial"/>
          <w:sz w:val="24"/>
          <w:szCs w:val="24"/>
          <w:lang w:eastAsia="en-GB"/>
        </w:rPr>
        <w:t xml:space="preserve">That is the distinguishing feature about this case which brings it within the prohibition set out by </w:t>
      </w:r>
      <w:proofErr w:type="spellStart"/>
      <w:r w:rsidRPr="000C3275">
        <w:rPr>
          <w:rFonts w:ascii="Arial" w:eastAsia="Times New Roman" w:hAnsi="Arial" w:cs="Arial"/>
          <w:sz w:val="24"/>
          <w:szCs w:val="24"/>
          <w:lang w:eastAsia="en-GB"/>
        </w:rPr>
        <w:t>Ngcobo</w:t>
      </w:r>
      <w:proofErr w:type="spellEnd"/>
      <w:r w:rsidRPr="000C3275">
        <w:rPr>
          <w:rFonts w:ascii="Arial" w:eastAsia="Times New Roman" w:hAnsi="Arial" w:cs="Arial"/>
          <w:sz w:val="24"/>
          <w:szCs w:val="24"/>
          <w:lang w:eastAsia="en-GB"/>
        </w:rPr>
        <w:t xml:space="preserve"> CJ in </w:t>
      </w:r>
      <w:proofErr w:type="spellStart"/>
      <w:r w:rsidRPr="000C3275">
        <w:rPr>
          <w:rFonts w:ascii="Arial" w:eastAsia="Times New Roman" w:hAnsi="Arial" w:cs="Arial"/>
          <w:i/>
          <w:sz w:val="24"/>
          <w:szCs w:val="24"/>
          <w:lang w:eastAsia="en-GB"/>
        </w:rPr>
        <w:t>Berne</w:t>
      </w:r>
      <w:r w:rsidR="00E36624" w:rsidRPr="000C3275">
        <w:rPr>
          <w:rFonts w:ascii="Arial" w:eastAsia="Times New Roman" w:hAnsi="Arial" w:cs="Arial"/>
          <w:i/>
          <w:sz w:val="24"/>
          <w:szCs w:val="24"/>
          <w:lang w:eastAsia="en-GB"/>
        </w:rPr>
        <w:t>r</w:t>
      </w:r>
      <w:r w:rsidRPr="000C3275">
        <w:rPr>
          <w:rFonts w:ascii="Arial" w:eastAsia="Times New Roman" w:hAnsi="Arial" w:cs="Arial"/>
          <w:i/>
          <w:sz w:val="24"/>
          <w:szCs w:val="24"/>
          <w:lang w:eastAsia="en-GB"/>
        </w:rPr>
        <w:t>t</w:t>
      </w:r>
      <w:proofErr w:type="spellEnd"/>
      <w:r w:rsidRPr="000C3275">
        <w:rPr>
          <w:rFonts w:ascii="Arial" w:eastAsia="Times New Roman" w:hAnsi="Arial" w:cs="Arial"/>
          <w:sz w:val="24"/>
          <w:szCs w:val="24"/>
          <w:lang w:eastAsia="en-GB"/>
        </w:rPr>
        <w:t>.</w:t>
      </w:r>
    </w:p>
    <w:p w:rsidR="003D0AE0" w:rsidRPr="000C3275" w:rsidRDefault="003D0AE0" w:rsidP="003E11F8">
      <w:pPr>
        <w:pStyle w:val="ListParagraph"/>
        <w:spacing w:after="0" w:line="480" w:lineRule="auto"/>
        <w:rPr>
          <w:rFonts w:ascii="Arial" w:eastAsia="Times New Roman" w:hAnsi="Arial" w:cs="Arial"/>
          <w:sz w:val="24"/>
          <w:szCs w:val="24"/>
          <w:lang w:eastAsia="en-GB"/>
        </w:rPr>
      </w:pPr>
    </w:p>
    <w:p w:rsidR="003D0AE0"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Faced with these facts, a reasonable lay o</w:t>
      </w:r>
      <w:r w:rsidR="00E36624" w:rsidRPr="000C3275">
        <w:rPr>
          <w:rFonts w:ascii="Arial" w:eastAsia="Times New Roman" w:hAnsi="Arial" w:cs="Arial"/>
          <w:sz w:val="24"/>
          <w:szCs w:val="24"/>
          <w:lang w:eastAsia="en-GB"/>
        </w:rPr>
        <w:t>bserver will perceive that the petition j</w:t>
      </w:r>
      <w:r w:rsidRPr="000C3275">
        <w:rPr>
          <w:rFonts w:ascii="Arial" w:eastAsia="Times New Roman" w:hAnsi="Arial" w:cs="Arial"/>
          <w:sz w:val="24"/>
          <w:szCs w:val="24"/>
          <w:lang w:eastAsia="en-GB"/>
        </w:rPr>
        <w:t xml:space="preserve">udge adjudicated a dispute which relates to whether the insurance industry has a case that an issue he advised them on in the past was </w:t>
      </w:r>
      <w:r w:rsidR="009B0D98">
        <w:rPr>
          <w:rFonts w:ascii="Arial" w:eastAsia="Times New Roman" w:hAnsi="Arial" w:cs="Arial"/>
          <w:sz w:val="24"/>
          <w:szCs w:val="24"/>
          <w:lang w:eastAsia="en-GB"/>
        </w:rPr>
        <w:t>in</w:t>
      </w:r>
      <w:r w:rsidRPr="000C3275">
        <w:rPr>
          <w:rFonts w:ascii="Arial" w:eastAsia="Times New Roman" w:hAnsi="Arial" w:cs="Arial"/>
          <w:sz w:val="24"/>
          <w:szCs w:val="24"/>
          <w:lang w:eastAsia="en-GB"/>
        </w:rPr>
        <w:t>correctly decided in law</w:t>
      </w:r>
      <w:r w:rsidR="00297059" w:rsidRPr="000C3275">
        <w:rPr>
          <w:rFonts w:ascii="Arial" w:eastAsia="Times New Roman" w:hAnsi="Arial" w:cs="Arial"/>
          <w:sz w:val="24"/>
          <w:szCs w:val="24"/>
          <w:lang w:eastAsia="en-GB"/>
        </w:rPr>
        <w:t>: in other words</w:t>
      </w:r>
      <w:r w:rsidRPr="000C3275">
        <w:rPr>
          <w:rFonts w:ascii="Arial" w:eastAsia="Times New Roman" w:hAnsi="Arial" w:cs="Arial"/>
          <w:sz w:val="24"/>
          <w:szCs w:val="24"/>
          <w:lang w:eastAsia="en-GB"/>
        </w:rPr>
        <w:t xml:space="preserve"> that the legal argument he advanced in the past is correct </w:t>
      </w:r>
      <w:r w:rsidR="00297059" w:rsidRPr="000C3275">
        <w:rPr>
          <w:rFonts w:ascii="Arial" w:eastAsia="Times New Roman" w:hAnsi="Arial" w:cs="Arial"/>
          <w:sz w:val="24"/>
          <w:szCs w:val="24"/>
          <w:lang w:eastAsia="en-GB"/>
        </w:rPr>
        <w:t xml:space="preserve">- </w:t>
      </w:r>
      <w:r w:rsidRPr="000C3275">
        <w:rPr>
          <w:rFonts w:ascii="Arial" w:eastAsia="Times New Roman" w:hAnsi="Arial" w:cs="Arial"/>
          <w:sz w:val="24"/>
          <w:szCs w:val="24"/>
          <w:lang w:eastAsia="en-GB"/>
        </w:rPr>
        <w:t xml:space="preserve">as opposed to </w:t>
      </w:r>
      <w:r w:rsidR="00297059" w:rsidRPr="000C3275">
        <w:rPr>
          <w:rFonts w:ascii="Arial" w:eastAsia="Times New Roman" w:hAnsi="Arial" w:cs="Arial"/>
          <w:sz w:val="24"/>
          <w:szCs w:val="24"/>
          <w:lang w:eastAsia="en-GB"/>
        </w:rPr>
        <w:t xml:space="preserve">the conclusion reached by </w:t>
      </w:r>
      <w:r w:rsidRPr="000C3275">
        <w:rPr>
          <w:rFonts w:ascii="Arial" w:eastAsia="Times New Roman" w:hAnsi="Arial" w:cs="Arial"/>
          <w:sz w:val="24"/>
          <w:szCs w:val="24"/>
          <w:lang w:eastAsia="en-GB"/>
        </w:rPr>
        <w:t xml:space="preserve">the </w:t>
      </w:r>
      <w:r w:rsidR="00297059" w:rsidRPr="000C3275">
        <w:rPr>
          <w:rFonts w:ascii="Arial" w:eastAsia="Times New Roman" w:hAnsi="Arial" w:cs="Arial"/>
          <w:sz w:val="24"/>
          <w:szCs w:val="24"/>
          <w:lang w:eastAsia="en-GB"/>
        </w:rPr>
        <w:t xml:space="preserve">Full Bench </w:t>
      </w:r>
      <w:r w:rsidRPr="000C3275">
        <w:rPr>
          <w:rFonts w:ascii="Arial" w:eastAsia="Times New Roman" w:hAnsi="Arial" w:cs="Arial"/>
          <w:sz w:val="24"/>
          <w:szCs w:val="24"/>
          <w:lang w:eastAsia="en-GB"/>
        </w:rPr>
        <w:t xml:space="preserve">before which he </w:t>
      </w:r>
      <w:r w:rsidR="00297059" w:rsidRPr="000C3275">
        <w:rPr>
          <w:rFonts w:ascii="Arial" w:eastAsia="Times New Roman" w:hAnsi="Arial" w:cs="Arial"/>
          <w:sz w:val="24"/>
          <w:szCs w:val="24"/>
          <w:lang w:eastAsia="en-GB"/>
        </w:rPr>
        <w:t>appeared in 1999.</w:t>
      </w:r>
    </w:p>
    <w:p w:rsidR="003D0AE0" w:rsidRPr="000C3275" w:rsidRDefault="003D0AE0" w:rsidP="003E11F8">
      <w:pPr>
        <w:pStyle w:val="ListParagraph"/>
        <w:spacing w:after="0" w:line="480" w:lineRule="auto"/>
        <w:rPr>
          <w:rFonts w:ascii="Arial" w:eastAsia="Times New Roman" w:hAnsi="Arial" w:cs="Arial"/>
          <w:sz w:val="24"/>
          <w:szCs w:val="24"/>
          <w:lang w:eastAsia="en-GB"/>
        </w:rPr>
      </w:pPr>
    </w:p>
    <w:p w:rsidR="003D0AE0"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On that basis alone</w:t>
      </w:r>
      <w:r w:rsidR="00297059" w:rsidRPr="000C3275">
        <w:rPr>
          <w:rFonts w:ascii="Arial" w:eastAsia="Times New Roman" w:hAnsi="Arial" w:cs="Arial"/>
          <w:sz w:val="24"/>
          <w:szCs w:val="24"/>
          <w:lang w:eastAsia="en-GB"/>
        </w:rPr>
        <w:t>,</w:t>
      </w:r>
      <w:r w:rsidR="00E36624" w:rsidRPr="000C3275">
        <w:rPr>
          <w:rFonts w:ascii="Arial" w:eastAsia="Times New Roman" w:hAnsi="Arial" w:cs="Arial"/>
          <w:sz w:val="24"/>
          <w:szCs w:val="24"/>
          <w:lang w:eastAsia="en-GB"/>
        </w:rPr>
        <w:t xml:space="preserve"> the petition j</w:t>
      </w:r>
      <w:r w:rsidRPr="000C3275">
        <w:rPr>
          <w:rFonts w:ascii="Arial" w:eastAsia="Times New Roman" w:hAnsi="Arial" w:cs="Arial"/>
          <w:sz w:val="24"/>
          <w:szCs w:val="24"/>
          <w:lang w:eastAsia="en-GB"/>
        </w:rPr>
        <w:t>udge should not have determined the petition, alternatively should have consulted the parties on whether or not there would be any objection to his involvement, and to entertain any such objection</w:t>
      </w:r>
      <w:r w:rsidR="00297059" w:rsidRPr="000C3275">
        <w:rPr>
          <w:rFonts w:ascii="Arial" w:eastAsia="Times New Roman" w:hAnsi="Arial" w:cs="Arial"/>
          <w:sz w:val="24"/>
          <w:szCs w:val="24"/>
          <w:lang w:eastAsia="en-GB"/>
        </w:rPr>
        <w:t xml:space="preserve"> in a transparent manner</w:t>
      </w:r>
      <w:r w:rsidRPr="000C3275">
        <w:rPr>
          <w:rFonts w:ascii="Arial" w:eastAsia="Times New Roman" w:hAnsi="Arial" w:cs="Arial"/>
          <w:sz w:val="24"/>
          <w:szCs w:val="24"/>
          <w:lang w:eastAsia="en-GB"/>
        </w:rPr>
        <w:t xml:space="preserve">. </w:t>
      </w:r>
      <w:r w:rsidR="005A4515">
        <w:rPr>
          <w:rStyle w:val="FootnoteReference"/>
          <w:rFonts w:ascii="Arial" w:eastAsia="Times New Roman" w:hAnsi="Arial" w:cs="Arial"/>
          <w:sz w:val="24"/>
          <w:szCs w:val="24"/>
          <w:lang w:eastAsia="en-GB"/>
        </w:rPr>
        <w:footnoteReference w:id="25"/>
      </w:r>
    </w:p>
    <w:p w:rsidR="007F32EC" w:rsidRPr="000C3275" w:rsidRDefault="007F32EC" w:rsidP="003E11F8">
      <w:pPr>
        <w:tabs>
          <w:tab w:val="left" w:pos="851"/>
        </w:tabs>
        <w:spacing w:after="0" w:line="480" w:lineRule="auto"/>
        <w:contextualSpacing/>
        <w:jc w:val="both"/>
        <w:rPr>
          <w:rFonts w:ascii="Arial" w:hAnsi="Arial" w:cs="Arial"/>
          <w:sz w:val="24"/>
          <w:szCs w:val="24"/>
          <w:lang w:val="en-GB"/>
        </w:rPr>
      </w:pPr>
    </w:p>
    <w:p w:rsidR="003D0AE0" w:rsidRPr="000C3275" w:rsidRDefault="003D0AE0" w:rsidP="008C06C9">
      <w:pPr>
        <w:spacing w:after="0" w:line="480" w:lineRule="auto"/>
        <w:jc w:val="both"/>
        <w:rPr>
          <w:rFonts w:ascii="Arial" w:eastAsia="Times New Roman" w:hAnsi="Arial" w:cs="Arial"/>
          <w:sz w:val="24"/>
          <w:szCs w:val="24"/>
          <w:u w:val="single"/>
          <w:lang w:eastAsia="en-GB"/>
        </w:rPr>
      </w:pPr>
      <w:proofErr w:type="spellStart"/>
      <w:r w:rsidRPr="000C3275">
        <w:rPr>
          <w:rFonts w:ascii="Arial" w:eastAsia="Times New Roman" w:hAnsi="Arial" w:cs="Arial"/>
          <w:sz w:val="24"/>
          <w:szCs w:val="24"/>
          <w:u w:val="single"/>
          <w:lang w:eastAsia="en-GB"/>
        </w:rPr>
        <w:t>Ned</w:t>
      </w:r>
      <w:r w:rsidR="0081422D" w:rsidRPr="000C3275">
        <w:rPr>
          <w:rFonts w:ascii="Arial" w:eastAsia="Times New Roman" w:hAnsi="Arial" w:cs="Arial"/>
          <w:sz w:val="24"/>
          <w:szCs w:val="24"/>
          <w:u w:val="single"/>
          <w:lang w:eastAsia="en-GB"/>
        </w:rPr>
        <w:t>L</w:t>
      </w:r>
      <w:r w:rsidR="00DF215B">
        <w:rPr>
          <w:rFonts w:ascii="Arial" w:eastAsia="Times New Roman" w:hAnsi="Arial" w:cs="Arial"/>
          <w:sz w:val="24"/>
          <w:szCs w:val="24"/>
          <w:u w:val="single"/>
          <w:lang w:eastAsia="en-GB"/>
        </w:rPr>
        <w:t>ife</w:t>
      </w:r>
      <w:proofErr w:type="spellEnd"/>
    </w:p>
    <w:p w:rsidR="003D0AE0" w:rsidRPr="000C3275" w:rsidRDefault="00E36624"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The petition j</w:t>
      </w:r>
      <w:r w:rsidR="00F32B92" w:rsidRPr="000C3275">
        <w:rPr>
          <w:rFonts w:ascii="Arial" w:eastAsia="Times New Roman" w:hAnsi="Arial" w:cs="Arial"/>
          <w:sz w:val="24"/>
          <w:szCs w:val="24"/>
          <w:lang w:eastAsia="en-GB"/>
        </w:rPr>
        <w:t xml:space="preserve">udge’s </w:t>
      </w:r>
      <w:r w:rsidR="0081422D" w:rsidRPr="000C3275">
        <w:rPr>
          <w:rFonts w:ascii="Arial" w:eastAsia="Times New Roman" w:hAnsi="Arial" w:cs="Arial"/>
          <w:sz w:val="24"/>
          <w:szCs w:val="24"/>
          <w:lang w:eastAsia="en-GB"/>
        </w:rPr>
        <w:t xml:space="preserve">existing relationship with </w:t>
      </w:r>
      <w:proofErr w:type="spellStart"/>
      <w:r w:rsidR="0081422D" w:rsidRPr="000C3275">
        <w:rPr>
          <w:rFonts w:ascii="Arial" w:eastAsia="Times New Roman" w:hAnsi="Arial" w:cs="Arial"/>
          <w:sz w:val="24"/>
          <w:szCs w:val="24"/>
          <w:lang w:eastAsia="en-GB"/>
        </w:rPr>
        <w:t>NedLi</w:t>
      </w:r>
      <w:r w:rsidR="00F32B92" w:rsidRPr="000C3275">
        <w:rPr>
          <w:rFonts w:ascii="Arial" w:eastAsia="Times New Roman" w:hAnsi="Arial" w:cs="Arial"/>
          <w:sz w:val="24"/>
          <w:szCs w:val="24"/>
          <w:lang w:eastAsia="en-GB"/>
        </w:rPr>
        <w:t>fe</w:t>
      </w:r>
      <w:proofErr w:type="spellEnd"/>
      <w:r w:rsidR="00F32B92" w:rsidRPr="000C3275">
        <w:rPr>
          <w:rFonts w:ascii="Arial" w:eastAsia="Times New Roman" w:hAnsi="Arial" w:cs="Arial"/>
          <w:sz w:val="24"/>
          <w:szCs w:val="24"/>
          <w:lang w:eastAsia="en-GB"/>
        </w:rPr>
        <w:t xml:space="preserve"> raises a different, if unique</w:t>
      </w:r>
      <w:r w:rsidR="004322FF">
        <w:rPr>
          <w:rFonts w:ascii="Arial" w:eastAsia="Times New Roman" w:hAnsi="Arial" w:cs="Arial"/>
          <w:sz w:val="24"/>
          <w:szCs w:val="24"/>
          <w:lang w:eastAsia="en-GB"/>
        </w:rPr>
        <w:t>,</w:t>
      </w:r>
      <w:r w:rsidR="00F32B92" w:rsidRPr="000C3275">
        <w:rPr>
          <w:rFonts w:ascii="Arial" w:eastAsia="Times New Roman" w:hAnsi="Arial" w:cs="Arial"/>
          <w:sz w:val="24"/>
          <w:szCs w:val="24"/>
          <w:lang w:eastAsia="en-GB"/>
        </w:rPr>
        <w:t xml:space="preserve"> problem. </w:t>
      </w:r>
      <w:r w:rsidR="006A5054" w:rsidRPr="000C3275">
        <w:rPr>
          <w:rFonts w:ascii="Arial" w:eastAsia="Times New Roman" w:hAnsi="Arial" w:cs="Arial"/>
          <w:sz w:val="24"/>
          <w:szCs w:val="24"/>
          <w:lang w:eastAsia="en-GB"/>
        </w:rPr>
        <w:t xml:space="preserve">It </w:t>
      </w:r>
      <w:r w:rsidR="00F32B92" w:rsidRPr="000C3275">
        <w:rPr>
          <w:rFonts w:ascii="Arial" w:eastAsia="Times New Roman" w:hAnsi="Arial" w:cs="Arial"/>
          <w:sz w:val="24"/>
          <w:szCs w:val="24"/>
          <w:lang w:eastAsia="en-GB"/>
        </w:rPr>
        <w:t xml:space="preserve">is an interested party as regards whether or not the </w:t>
      </w:r>
      <w:proofErr w:type="spellStart"/>
      <w:r w:rsidR="00F32B92" w:rsidRPr="000C3275">
        <w:rPr>
          <w:rFonts w:ascii="Arial" w:eastAsia="Times New Roman" w:hAnsi="Arial" w:cs="Arial"/>
          <w:sz w:val="24"/>
          <w:szCs w:val="24"/>
          <w:lang w:eastAsia="en-GB"/>
        </w:rPr>
        <w:t>NAMRe</w:t>
      </w:r>
      <w:proofErr w:type="spellEnd"/>
      <w:r w:rsidR="00F32B92" w:rsidRPr="000C3275">
        <w:rPr>
          <w:rFonts w:ascii="Arial" w:eastAsia="Times New Roman" w:hAnsi="Arial" w:cs="Arial"/>
          <w:sz w:val="24"/>
          <w:szCs w:val="24"/>
          <w:lang w:eastAsia="en-GB"/>
        </w:rPr>
        <w:t xml:space="preserve"> Act is </w:t>
      </w:r>
      <w:r w:rsidR="00F32B92" w:rsidRPr="000C3275">
        <w:rPr>
          <w:rFonts w:ascii="Arial" w:eastAsia="Times New Roman" w:hAnsi="Arial" w:cs="Arial"/>
          <w:sz w:val="24"/>
          <w:szCs w:val="24"/>
          <w:lang w:eastAsia="en-GB"/>
        </w:rPr>
        <w:lastRenderedPageBreak/>
        <w:t>constitutional</w:t>
      </w:r>
      <w:r w:rsidR="006A5054" w:rsidRPr="000C3275">
        <w:rPr>
          <w:rFonts w:ascii="Arial" w:eastAsia="Times New Roman" w:hAnsi="Arial" w:cs="Arial"/>
          <w:sz w:val="24"/>
          <w:szCs w:val="24"/>
          <w:lang w:eastAsia="en-GB"/>
        </w:rPr>
        <w:t xml:space="preserve"> but has agreed to comply with the measures albeit in protest - </w:t>
      </w:r>
      <w:r w:rsidR="00F32B92" w:rsidRPr="000C3275">
        <w:rPr>
          <w:rFonts w:ascii="Arial" w:eastAsia="Times New Roman" w:hAnsi="Arial" w:cs="Arial"/>
          <w:sz w:val="24"/>
          <w:szCs w:val="24"/>
          <w:lang w:eastAsia="en-GB"/>
        </w:rPr>
        <w:t>not because it has abandoned the stance that the Act is unconstitutional</w:t>
      </w:r>
      <w:r w:rsidR="006A5054" w:rsidRPr="000C3275">
        <w:rPr>
          <w:rFonts w:ascii="Arial" w:eastAsia="Times New Roman" w:hAnsi="Arial" w:cs="Arial"/>
          <w:sz w:val="24"/>
          <w:szCs w:val="24"/>
          <w:lang w:eastAsia="en-GB"/>
        </w:rPr>
        <w:t>. In</w:t>
      </w:r>
      <w:r w:rsidR="00F32B92" w:rsidRPr="000C3275">
        <w:rPr>
          <w:rFonts w:ascii="Arial" w:eastAsia="Times New Roman" w:hAnsi="Arial" w:cs="Arial"/>
          <w:sz w:val="24"/>
          <w:szCs w:val="24"/>
          <w:lang w:eastAsia="en-GB"/>
        </w:rPr>
        <w:t xml:space="preserve"> any event,</w:t>
      </w:r>
      <w:r w:rsidR="0081422D" w:rsidRPr="000C3275">
        <w:rPr>
          <w:rFonts w:ascii="Arial" w:eastAsia="Times New Roman" w:hAnsi="Arial" w:cs="Arial"/>
          <w:sz w:val="24"/>
          <w:szCs w:val="24"/>
          <w:lang w:eastAsia="en-GB"/>
        </w:rPr>
        <w:t xml:space="preserve"> </w:t>
      </w:r>
      <w:proofErr w:type="spellStart"/>
      <w:r w:rsidR="0081422D" w:rsidRPr="000C3275">
        <w:rPr>
          <w:rFonts w:ascii="Arial" w:eastAsia="Times New Roman" w:hAnsi="Arial" w:cs="Arial"/>
          <w:sz w:val="24"/>
          <w:szCs w:val="24"/>
          <w:lang w:eastAsia="en-GB"/>
        </w:rPr>
        <w:t>NedL</w:t>
      </w:r>
      <w:r w:rsidR="006A5054" w:rsidRPr="000C3275">
        <w:rPr>
          <w:rFonts w:ascii="Arial" w:eastAsia="Times New Roman" w:hAnsi="Arial" w:cs="Arial"/>
          <w:sz w:val="24"/>
          <w:szCs w:val="24"/>
          <w:lang w:eastAsia="en-GB"/>
        </w:rPr>
        <w:t>ife</w:t>
      </w:r>
      <w:proofErr w:type="spellEnd"/>
      <w:r w:rsidR="00F32B92" w:rsidRPr="000C3275">
        <w:rPr>
          <w:rFonts w:ascii="Arial" w:eastAsia="Times New Roman" w:hAnsi="Arial" w:cs="Arial"/>
          <w:sz w:val="24"/>
          <w:szCs w:val="24"/>
          <w:lang w:eastAsia="en-GB"/>
        </w:rPr>
        <w:t xml:space="preserve"> stands to profit from any decision which has the effect of reversing the full force and effect of the </w:t>
      </w:r>
      <w:proofErr w:type="spellStart"/>
      <w:r w:rsidR="00F32B92" w:rsidRPr="000C3275">
        <w:rPr>
          <w:rFonts w:ascii="Arial" w:eastAsia="Times New Roman" w:hAnsi="Arial" w:cs="Arial"/>
          <w:sz w:val="24"/>
          <w:szCs w:val="24"/>
          <w:lang w:eastAsia="en-GB"/>
        </w:rPr>
        <w:t>NAMRe</w:t>
      </w:r>
      <w:proofErr w:type="spellEnd"/>
      <w:r w:rsidR="00F32B92" w:rsidRPr="000C3275">
        <w:rPr>
          <w:rFonts w:ascii="Arial" w:eastAsia="Times New Roman" w:hAnsi="Arial" w:cs="Arial"/>
          <w:sz w:val="24"/>
          <w:szCs w:val="24"/>
          <w:lang w:eastAsia="en-GB"/>
        </w:rPr>
        <w:t xml:space="preserve"> Act. </w:t>
      </w:r>
    </w:p>
    <w:p w:rsidR="003D0AE0" w:rsidRPr="000C3275" w:rsidRDefault="003D0AE0" w:rsidP="003E11F8">
      <w:pPr>
        <w:tabs>
          <w:tab w:val="left" w:pos="851"/>
        </w:tabs>
        <w:spacing w:after="0" w:line="480" w:lineRule="auto"/>
        <w:contextualSpacing/>
        <w:jc w:val="both"/>
        <w:rPr>
          <w:rFonts w:ascii="Arial" w:hAnsi="Arial" w:cs="Arial"/>
          <w:sz w:val="24"/>
          <w:szCs w:val="24"/>
          <w:lang w:val="en-GB"/>
        </w:rPr>
      </w:pPr>
    </w:p>
    <w:p w:rsidR="003D0AE0" w:rsidRPr="000C3275" w:rsidRDefault="003510DB"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In my view, </w:t>
      </w:r>
      <w:proofErr w:type="spellStart"/>
      <w:r w:rsidR="009D632E" w:rsidRPr="000C3275">
        <w:rPr>
          <w:rFonts w:ascii="Arial" w:hAnsi="Arial" w:cs="Arial"/>
          <w:sz w:val="24"/>
          <w:szCs w:val="24"/>
        </w:rPr>
        <w:t>NedL</w:t>
      </w:r>
      <w:r w:rsidR="00F32B92" w:rsidRPr="000C3275">
        <w:rPr>
          <w:rFonts w:ascii="Arial" w:hAnsi="Arial" w:cs="Arial"/>
          <w:sz w:val="24"/>
          <w:szCs w:val="24"/>
        </w:rPr>
        <w:t>ife</w:t>
      </w:r>
      <w:proofErr w:type="spellEnd"/>
      <w:r w:rsidR="00F32B92" w:rsidRPr="000C3275">
        <w:rPr>
          <w:rFonts w:ascii="Arial" w:hAnsi="Arial" w:cs="Arial"/>
          <w:sz w:val="24"/>
          <w:szCs w:val="24"/>
        </w:rPr>
        <w:t xml:space="preserve"> has a more than passing interest in the outcome of the petition. </w:t>
      </w:r>
      <w:r w:rsidR="006A5054" w:rsidRPr="000C3275">
        <w:rPr>
          <w:rFonts w:ascii="Arial" w:hAnsi="Arial" w:cs="Arial"/>
          <w:sz w:val="24"/>
          <w:szCs w:val="24"/>
        </w:rPr>
        <w:t xml:space="preserve">How could it not? </w:t>
      </w:r>
      <w:r w:rsidR="00F32B92" w:rsidRPr="000C3275">
        <w:rPr>
          <w:rFonts w:ascii="Arial" w:hAnsi="Arial" w:cs="Arial"/>
          <w:sz w:val="24"/>
          <w:szCs w:val="24"/>
        </w:rPr>
        <w:t xml:space="preserve">If the petition succeeds, the order of stay will be revisited. If the order of stay is reversed, there is a live issue whether or not the industry must comply with the </w:t>
      </w:r>
      <w:proofErr w:type="spellStart"/>
      <w:r w:rsidR="00F32B92" w:rsidRPr="000C3275">
        <w:rPr>
          <w:rFonts w:ascii="Arial" w:hAnsi="Arial" w:cs="Arial"/>
          <w:sz w:val="24"/>
          <w:szCs w:val="24"/>
        </w:rPr>
        <w:t>NAMRe</w:t>
      </w:r>
      <w:proofErr w:type="spellEnd"/>
      <w:r w:rsidR="00F32B92" w:rsidRPr="000C3275">
        <w:rPr>
          <w:rFonts w:ascii="Arial" w:hAnsi="Arial" w:cs="Arial"/>
          <w:sz w:val="24"/>
          <w:szCs w:val="24"/>
        </w:rPr>
        <w:t xml:space="preserve"> Act and the measures. If it is ordered that they must not</w:t>
      </w:r>
      <w:r w:rsidR="006A5054" w:rsidRPr="000C3275">
        <w:rPr>
          <w:rFonts w:ascii="Arial" w:hAnsi="Arial" w:cs="Arial"/>
          <w:sz w:val="24"/>
          <w:szCs w:val="24"/>
        </w:rPr>
        <w:t xml:space="preserve"> comply</w:t>
      </w:r>
      <w:r w:rsidR="002D658E" w:rsidRPr="000C3275">
        <w:rPr>
          <w:rFonts w:ascii="Arial" w:hAnsi="Arial" w:cs="Arial"/>
          <w:sz w:val="24"/>
          <w:szCs w:val="24"/>
        </w:rPr>
        <w:t xml:space="preserve">, the agreement which </w:t>
      </w:r>
      <w:proofErr w:type="spellStart"/>
      <w:r w:rsidR="002D658E" w:rsidRPr="000C3275">
        <w:rPr>
          <w:rFonts w:ascii="Arial" w:hAnsi="Arial" w:cs="Arial"/>
          <w:sz w:val="24"/>
          <w:szCs w:val="24"/>
        </w:rPr>
        <w:t>NedLi</w:t>
      </w:r>
      <w:r w:rsidR="00F32B92" w:rsidRPr="000C3275">
        <w:rPr>
          <w:rFonts w:ascii="Arial" w:hAnsi="Arial" w:cs="Arial"/>
          <w:sz w:val="24"/>
          <w:szCs w:val="24"/>
        </w:rPr>
        <w:t>fe</w:t>
      </w:r>
      <w:proofErr w:type="spellEnd"/>
      <w:r w:rsidR="00F32B92" w:rsidRPr="000C3275">
        <w:rPr>
          <w:rFonts w:ascii="Arial" w:hAnsi="Arial" w:cs="Arial"/>
          <w:sz w:val="24"/>
          <w:szCs w:val="24"/>
        </w:rPr>
        <w:t xml:space="preserve"> concluded </w:t>
      </w:r>
      <w:r w:rsidRPr="000C3275">
        <w:rPr>
          <w:rFonts w:ascii="Arial" w:hAnsi="Arial" w:cs="Arial"/>
          <w:sz w:val="24"/>
          <w:szCs w:val="24"/>
        </w:rPr>
        <w:t xml:space="preserve">with the applicants </w:t>
      </w:r>
      <w:r w:rsidR="00F32B92" w:rsidRPr="000C3275">
        <w:rPr>
          <w:rFonts w:ascii="Arial" w:hAnsi="Arial" w:cs="Arial"/>
          <w:sz w:val="24"/>
          <w:szCs w:val="24"/>
        </w:rPr>
        <w:t xml:space="preserve">in protest cannot have any valid basis in law and can be ignored. The fact that </w:t>
      </w:r>
      <w:proofErr w:type="spellStart"/>
      <w:r w:rsidR="00F32B92" w:rsidRPr="000C3275">
        <w:rPr>
          <w:rFonts w:ascii="Arial" w:hAnsi="Arial" w:cs="Arial"/>
          <w:sz w:val="24"/>
          <w:szCs w:val="24"/>
        </w:rPr>
        <w:t>Nedlife</w:t>
      </w:r>
      <w:proofErr w:type="spellEnd"/>
      <w:r w:rsidR="00F32B92" w:rsidRPr="000C3275">
        <w:rPr>
          <w:rFonts w:ascii="Arial" w:hAnsi="Arial" w:cs="Arial"/>
          <w:sz w:val="24"/>
          <w:szCs w:val="24"/>
        </w:rPr>
        <w:t xml:space="preserve"> had agreed to comply in the interim is</w:t>
      </w:r>
      <w:r w:rsidRPr="000C3275">
        <w:rPr>
          <w:rFonts w:ascii="Arial" w:hAnsi="Arial" w:cs="Arial"/>
          <w:sz w:val="24"/>
          <w:szCs w:val="24"/>
        </w:rPr>
        <w:t>,</w:t>
      </w:r>
      <w:r w:rsidR="00F32B92" w:rsidRPr="000C3275">
        <w:rPr>
          <w:rFonts w:ascii="Arial" w:hAnsi="Arial" w:cs="Arial"/>
          <w:sz w:val="24"/>
          <w:szCs w:val="24"/>
        </w:rPr>
        <w:t xml:space="preserve"> therefore</w:t>
      </w:r>
      <w:r w:rsidRPr="000C3275">
        <w:rPr>
          <w:rFonts w:ascii="Arial" w:hAnsi="Arial" w:cs="Arial"/>
          <w:sz w:val="24"/>
          <w:szCs w:val="24"/>
        </w:rPr>
        <w:t xml:space="preserve">, of no moment. </w:t>
      </w:r>
      <w:r w:rsidR="00F32B92" w:rsidRPr="000C3275">
        <w:rPr>
          <w:rFonts w:ascii="Arial" w:hAnsi="Arial" w:cs="Arial"/>
          <w:sz w:val="24"/>
          <w:szCs w:val="24"/>
        </w:rPr>
        <w:t xml:space="preserve"> </w:t>
      </w:r>
      <w:r w:rsidR="006A5054" w:rsidRPr="000C3275">
        <w:rPr>
          <w:rFonts w:ascii="Arial" w:hAnsi="Arial" w:cs="Arial"/>
          <w:sz w:val="24"/>
          <w:szCs w:val="24"/>
        </w:rPr>
        <w:t xml:space="preserve">The reality is that </w:t>
      </w:r>
      <w:r w:rsidR="00F32B92" w:rsidRPr="000C3275">
        <w:rPr>
          <w:rFonts w:ascii="Arial" w:hAnsi="Arial" w:cs="Arial"/>
          <w:sz w:val="24"/>
          <w:szCs w:val="24"/>
        </w:rPr>
        <w:t xml:space="preserve">at the time of the consideration of the petition, it remained a possibility for the Supreme Court to grant leave to appeal against the order of stay. </w:t>
      </w:r>
    </w:p>
    <w:p w:rsidR="003D0AE0" w:rsidRPr="000C3275" w:rsidRDefault="003D0AE0" w:rsidP="003E11F8">
      <w:pPr>
        <w:tabs>
          <w:tab w:val="left" w:pos="851"/>
        </w:tabs>
        <w:spacing w:after="0" w:line="480" w:lineRule="auto"/>
        <w:contextualSpacing/>
        <w:jc w:val="both"/>
        <w:rPr>
          <w:rFonts w:ascii="Arial" w:hAnsi="Arial" w:cs="Arial"/>
          <w:sz w:val="24"/>
          <w:szCs w:val="24"/>
          <w:lang w:val="en-GB"/>
        </w:rPr>
      </w:pPr>
    </w:p>
    <w:p w:rsidR="003D0AE0" w:rsidRPr="000C3275" w:rsidRDefault="004D09D6"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I accept that </w:t>
      </w:r>
      <w:proofErr w:type="spellStart"/>
      <w:r w:rsidRPr="000C3275">
        <w:rPr>
          <w:rFonts w:ascii="Arial" w:hAnsi="Arial" w:cs="Arial"/>
          <w:sz w:val="24"/>
          <w:szCs w:val="24"/>
        </w:rPr>
        <w:t>NedL</w:t>
      </w:r>
      <w:r w:rsidR="00F32B92" w:rsidRPr="000C3275">
        <w:rPr>
          <w:rFonts w:ascii="Arial" w:hAnsi="Arial" w:cs="Arial"/>
          <w:sz w:val="24"/>
          <w:szCs w:val="24"/>
        </w:rPr>
        <w:t>ife</w:t>
      </w:r>
      <w:proofErr w:type="spellEnd"/>
      <w:r w:rsidR="00F32B92" w:rsidRPr="000C3275">
        <w:rPr>
          <w:rFonts w:ascii="Arial" w:hAnsi="Arial" w:cs="Arial"/>
          <w:sz w:val="24"/>
          <w:szCs w:val="24"/>
        </w:rPr>
        <w:t xml:space="preserve"> is not a party </w:t>
      </w:r>
      <w:r w:rsidR="006A5054" w:rsidRPr="000C3275">
        <w:rPr>
          <w:rFonts w:ascii="Arial" w:hAnsi="Arial" w:cs="Arial"/>
          <w:sz w:val="24"/>
          <w:szCs w:val="24"/>
        </w:rPr>
        <w:t>to</w:t>
      </w:r>
      <w:r w:rsidR="00F32B92" w:rsidRPr="000C3275">
        <w:rPr>
          <w:rFonts w:ascii="Arial" w:hAnsi="Arial" w:cs="Arial"/>
          <w:sz w:val="24"/>
          <w:szCs w:val="24"/>
        </w:rPr>
        <w:t xml:space="preserve"> the proceedings that led to the petition. Yet, it makes common cause with others on an issue </w:t>
      </w:r>
      <w:r w:rsidR="006A5054" w:rsidRPr="000C3275">
        <w:rPr>
          <w:rFonts w:ascii="Arial" w:hAnsi="Arial" w:cs="Arial"/>
          <w:sz w:val="24"/>
          <w:szCs w:val="24"/>
        </w:rPr>
        <w:t>for</w:t>
      </w:r>
      <w:r w:rsidR="00F32B92" w:rsidRPr="000C3275">
        <w:rPr>
          <w:rFonts w:ascii="Arial" w:hAnsi="Arial" w:cs="Arial"/>
          <w:sz w:val="24"/>
          <w:szCs w:val="24"/>
        </w:rPr>
        <w:t xml:space="preserve"> which the</w:t>
      </w:r>
      <w:r w:rsidR="00E36624" w:rsidRPr="000C3275">
        <w:rPr>
          <w:rFonts w:ascii="Arial" w:hAnsi="Arial" w:cs="Arial"/>
          <w:sz w:val="24"/>
          <w:szCs w:val="24"/>
        </w:rPr>
        <w:t xml:space="preserve"> petition j</w:t>
      </w:r>
      <w:r w:rsidR="00F32B92" w:rsidRPr="000C3275">
        <w:rPr>
          <w:rFonts w:ascii="Arial" w:hAnsi="Arial" w:cs="Arial"/>
          <w:sz w:val="24"/>
          <w:szCs w:val="24"/>
        </w:rPr>
        <w:t xml:space="preserve">udge was lead counsel. </w:t>
      </w:r>
      <w:r w:rsidR="00E36624" w:rsidRPr="000C3275">
        <w:rPr>
          <w:rFonts w:ascii="Arial" w:hAnsi="Arial" w:cs="Arial"/>
          <w:sz w:val="24"/>
          <w:szCs w:val="24"/>
        </w:rPr>
        <w:t xml:space="preserve">It therefore continues to </w:t>
      </w:r>
      <w:proofErr w:type="spellStart"/>
      <w:r w:rsidR="00E36624" w:rsidRPr="000C3275">
        <w:rPr>
          <w:rFonts w:ascii="Arial" w:hAnsi="Arial" w:cs="Arial"/>
          <w:sz w:val="24"/>
          <w:szCs w:val="24"/>
        </w:rPr>
        <w:t>harbo</w:t>
      </w:r>
      <w:r w:rsidR="000A0152">
        <w:rPr>
          <w:rFonts w:ascii="Arial" w:hAnsi="Arial" w:cs="Arial"/>
          <w:sz w:val="24"/>
          <w:szCs w:val="24"/>
        </w:rPr>
        <w:t>u</w:t>
      </w:r>
      <w:r w:rsidR="00DF215B">
        <w:rPr>
          <w:rFonts w:ascii="Arial" w:hAnsi="Arial" w:cs="Arial"/>
          <w:sz w:val="24"/>
          <w:szCs w:val="24"/>
        </w:rPr>
        <w:t>r</w:t>
      </w:r>
      <w:proofErr w:type="spellEnd"/>
      <w:r w:rsidR="00DF215B">
        <w:rPr>
          <w:rFonts w:ascii="Arial" w:hAnsi="Arial" w:cs="Arial"/>
          <w:sz w:val="24"/>
          <w:szCs w:val="24"/>
        </w:rPr>
        <w:t xml:space="preserve"> a</w:t>
      </w:r>
      <w:r w:rsidR="00F32B92" w:rsidRPr="000C3275">
        <w:rPr>
          <w:rFonts w:ascii="Arial" w:hAnsi="Arial" w:cs="Arial"/>
          <w:sz w:val="24"/>
          <w:szCs w:val="24"/>
        </w:rPr>
        <w:t xml:space="preserve"> belief </w:t>
      </w:r>
      <w:r w:rsidR="00DF215B">
        <w:rPr>
          <w:rFonts w:ascii="Arial" w:hAnsi="Arial" w:cs="Arial"/>
          <w:sz w:val="24"/>
          <w:szCs w:val="24"/>
        </w:rPr>
        <w:t>in</w:t>
      </w:r>
      <w:r w:rsidR="00E36624" w:rsidRPr="000C3275">
        <w:rPr>
          <w:rFonts w:ascii="Arial" w:hAnsi="Arial" w:cs="Arial"/>
          <w:sz w:val="24"/>
          <w:szCs w:val="24"/>
        </w:rPr>
        <w:t xml:space="preserve"> the unconstitutionality of the </w:t>
      </w:r>
      <w:proofErr w:type="spellStart"/>
      <w:r w:rsidR="00E36624" w:rsidRPr="000C3275">
        <w:rPr>
          <w:rFonts w:ascii="Arial" w:hAnsi="Arial" w:cs="Arial"/>
          <w:sz w:val="24"/>
          <w:szCs w:val="24"/>
        </w:rPr>
        <w:t>NAMRe</w:t>
      </w:r>
      <w:proofErr w:type="spellEnd"/>
      <w:r w:rsidR="00F32B92" w:rsidRPr="000C3275">
        <w:rPr>
          <w:rFonts w:ascii="Arial" w:hAnsi="Arial" w:cs="Arial"/>
          <w:sz w:val="24"/>
          <w:szCs w:val="24"/>
        </w:rPr>
        <w:t xml:space="preserve"> Act</w:t>
      </w:r>
      <w:r w:rsidR="00E36624" w:rsidRPr="000C3275">
        <w:rPr>
          <w:rFonts w:ascii="Arial" w:hAnsi="Arial" w:cs="Arial"/>
          <w:sz w:val="24"/>
          <w:szCs w:val="24"/>
        </w:rPr>
        <w:t xml:space="preserve"> and the measures</w:t>
      </w:r>
      <w:r w:rsidR="00F32B92" w:rsidRPr="000C3275">
        <w:rPr>
          <w:rFonts w:ascii="Arial" w:hAnsi="Arial" w:cs="Arial"/>
          <w:sz w:val="24"/>
          <w:szCs w:val="24"/>
        </w:rPr>
        <w:t xml:space="preserve">. The suggestion by the respondents that the </w:t>
      </w:r>
      <w:r w:rsidR="00E36624" w:rsidRPr="000C3275">
        <w:rPr>
          <w:rFonts w:ascii="Arial" w:hAnsi="Arial" w:cs="Arial"/>
          <w:sz w:val="24"/>
          <w:szCs w:val="24"/>
        </w:rPr>
        <w:t>petition j</w:t>
      </w:r>
      <w:r w:rsidR="003510DB" w:rsidRPr="000C3275">
        <w:rPr>
          <w:rFonts w:ascii="Arial" w:hAnsi="Arial" w:cs="Arial"/>
          <w:sz w:val="24"/>
          <w:szCs w:val="24"/>
        </w:rPr>
        <w:t xml:space="preserve">udge’s </w:t>
      </w:r>
      <w:r w:rsidR="00F32B92" w:rsidRPr="000C3275">
        <w:rPr>
          <w:rFonts w:ascii="Arial" w:hAnsi="Arial" w:cs="Arial"/>
          <w:sz w:val="24"/>
          <w:szCs w:val="24"/>
        </w:rPr>
        <w:t>association</w:t>
      </w:r>
      <w:r w:rsidRPr="000C3275">
        <w:rPr>
          <w:rFonts w:ascii="Arial" w:hAnsi="Arial" w:cs="Arial"/>
          <w:sz w:val="24"/>
          <w:szCs w:val="24"/>
        </w:rPr>
        <w:t xml:space="preserve"> with </w:t>
      </w:r>
      <w:proofErr w:type="spellStart"/>
      <w:r w:rsidRPr="000C3275">
        <w:rPr>
          <w:rFonts w:ascii="Arial" w:hAnsi="Arial" w:cs="Arial"/>
          <w:sz w:val="24"/>
          <w:szCs w:val="24"/>
        </w:rPr>
        <w:t>NedLi</w:t>
      </w:r>
      <w:r w:rsidR="003510DB" w:rsidRPr="000C3275">
        <w:rPr>
          <w:rFonts w:ascii="Arial" w:hAnsi="Arial" w:cs="Arial"/>
          <w:sz w:val="24"/>
          <w:szCs w:val="24"/>
        </w:rPr>
        <w:t>fe</w:t>
      </w:r>
      <w:proofErr w:type="spellEnd"/>
      <w:r w:rsidR="00E36624" w:rsidRPr="000C3275">
        <w:rPr>
          <w:rFonts w:ascii="Arial" w:hAnsi="Arial" w:cs="Arial"/>
          <w:sz w:val="24"/>
          <w:szCs w:val="24"/>
        </w:rPr>
        <w:t xml:space="preserve"> is irrelevant because</w:t>
      </w:r>
      <w:r w:rsidR="00F32B92" w:rsidRPr="000C3275">
        <w:rPr>
          <w:rFonts w:ascii="Arial" w:hAnsi="Arial" w:cs="Arial"/>
          <w:sz w:val="24"/>
          <w:szCs w:val="24"/>
        </w:rPr>
        <w:t>, al</w:t>
      </w:r>
      <w:r w:rsidR="006A5054" w:rsidRPr="000C3275">
        <w:rPr>
          <w:rFonts w:ascii="Arial" w:hAnsi="Arial" w:cs="Arial"/>
          <w:sz w:val="24"/>
          <w:szCs w:val="24"/>
        </w:rPr>
        <w:t>though a subsidiary of NNHL</w:t>
      </w:r>
      <w:r w:rsidR="004322FF">
        <w:rPr>
          <w:rFonts w:ascii="Arial" w:hAnsi="Arial" w:cs="Arial"/>
          <w:sz w:val="24"/>
          <w:szCs w:val="24"/>
        </w:rPr>
        <w:t>,</w:t>
      </w:r>
      <w:r w:rsidR="00F32B92" w:rsidRPr="000C3275">
        <w:rPr>
          <w:rFonts w:ascii="Arial" w:hAnsi="Arial" w:cs="Arial"/>
          <w:sz w:val="24"/>
          <w:szCs w:val="24"/>
        </w:rPr>
        <w:t xml:space="preserve"> </w:t>
      </w:r>
      <w:r w:rsidR="00E36624" w:rsidRPr="000C3275">
        <w:rPr>
          <w:rFonts w:ascii="Arial" w:hAnsi="Arial" w:cs="Arial"/>
          <w:sz w:val="24"/>
          <w:szCs w:val="24"/>
        </w:rPr>
        <w:t xml:space="preserve">it </w:t>
      </w:r>
      <w:r w:rsidR="000A0152">
        <w:rPr>
          <w:rFonts w:ascii="Arial" w:hAnsi="Arial" w:cs="Arial"/>
          <w:sz w:val="24"/>
          <w:szCs w:val="24"/>
        </w:rPr>
        <w:t>has its own board of directors</w:t>
      </w:r>
      <w:r w:rsidR="00F32B92" w:rsidRPr="000C3275">
        <w:rPr>
          <w:rFonts w:ascii="Arial" w:hAnsi="Arial" w:cs="Arial"/>
          <w:sz w:val="24"/>
          <w:szCs w:val="24"/>
        </w:rPr>
        <w:t xml:space="preserve"> and not subject to the dictates of the board of NNHL</w:t>
      </w:r>
      <w:r w:rsidR="003510DB" w:rsidRPr="000C3275">
        <w:rPr>
          <w:rFonts w:ascii="Arial" w:hAnsi="Arial" w:cs="Arial"/>
          <w:sz w:val="24"/>
          <w:szCs w:val="24"/>
        </w:rPr>
        <w:t xml:space="preserve"> and</w:t>
      </w:r>
      <w:r w:rsidR="00E36624" w:rsidRPr="000C3275">
        <w:rPr>
          <w:rFonts w:ascii="Arial" w:hAnsi="Arial" w:cs="Arial"/>
          <w:sz w:val="24"/>
          <w:szCs w:val="24"/>
        </w:rPr>
        <w:t xml:space="preserve"> that the petition j</w:t>
      </w:r>
      <w:r w:rsidR="00F32B92" w:rsidRPr="000C3275">
        <w:rPr>
          <w:rFonts w:ascii="Arial" w:hAnsi="Arial" w:cs="Arial"/>
          <w:sz w:val="24"/>
          <w:szCs w:val="24"/>
        </w:rPr>
        <w:t xml:space="preserve">udge is </w:t>
      </w:r>
      <w:r w:rsidRPr="000C3275">
        <w:rPr>
          <w:rFonts w:ascii="Arial" w:hAnsi="Arial" w:cs="Arial"/>
          <w:sz w:val="24"/>
          <w:szCs w:val="24"/>
        </w:rPr>
        <w:t xml:space="preserve">not directly remunerated by </w:t>
      </w:r>
      <w:proofErr w:type="spellStart"/>
      <w:r w:rsidRPr="000C3275">
        <w:rPr>
          <w:rFonts w:ascii="Arial" w:hAnsi="Arial" w:cs="Arial"/>
          <w:sz w:val="24"/>
          <w:szCs w:val="24"/>
        </w:rPr>
        <w:t>NedL</w:t>
      </w:r>
      <w:r w:rsidR="00F32B92" w:rsidRPr="000C3275">
        <w:rPr>
          <w:rFonts w:ascii="Arial" w:hAnsi="Arial" w:cs="Arial"/>
          <w:sz w:val="24"/>
          <w:szCs w:val="24"/>
        </w:rPr>
        <w:t>ife</w:t>
      </w:r>
      <w:proofErr w:type="spellEnd"/>
      <w:r w:rsidR="00F32B92" w:rsidRPr="000C3275">
        <w:rPr>
          <w:rFonts w:ascii="Arial" w:hAnsi="Arial" w:cs="Arial"/>
          <w:sz w:val="24"/>
          <w:szCs w:val="24"/>
        </w:rPr>
        <w:t xml:space="preserve"> in any event, goes against the admonition in </w:t>
      </w:r>
      <w:r w:rsidR="00F32B92" w:rsidRPr="000C3275">
        <w:rPr>
          <w:rFonts w:ascii="Arial" w:hAnsi="Arial" w:cs="Arial"/>
          <w:i/>
          <w:sz w:val="24"/>
          <w:szCs w:val="24"/>
        </w:rPr>
        <w:t>BTR</w:t>
      </w:r>
      <w:r w:rsidR="00853A76" w:rsidRPr="000C3275">
        <w:rPr>
          <w:rFonts w:ascii="Arial" w:hAnsi="Arial" w:cs="Arial"/>
          <w:sz w:val="24"/>
          <w:szCs w:val="24"/>
        </w:rPr>
        <w:t xml:space="preserve"> that</w:t>
      </w:r>
      <w:r w:rsidR="005F3B3B" w:rsidRPr="000C3275">
        <w:rPr>
          <w:rFonts w:ascii="Arial" w:hAnsi="Arial" w:cs="Arial"/>
          <w:sz w:val="24"/>
          <w:szCs w:val="24"/>
        </w:rPr>
        <w:t>:</w:t>
      </w:r>
    </w:p>
    <w:p w:rsidR="003D0AE0" w:rsidRPr="000C3275" w:rsidRDefault="003D0AE0" w:rsidP="003E11F8">
      <w:pPr>
        <w:tabs>
          <w:tab w:val="left" w:pos="851"/>
        </w:tabs>
        <w:spacing w:after="0" w:line="480" w:lineRule="auto"/>
        <w:contextualSpacing/>
        <w:jc w:val="both"/>
        <w:rPr>
          <w:rFonts w:ascii="Arial" w:hAnsi="Arial" w:cs="Arial"/>
          <w:sz w:val="24"/>
          <w:szCs w:val="24"/>
          <w:lang w:val="en-GB"/>
        </w:rPr>
      </w:pPr>
    </w:p>
    <w:p w:rsidR="003D0AE0" w:rsidRPr="000C3275" w:rsidRDefault="003D0AE0" w:rsidP="00341F69">
      <w:pPr>
        <w:pStyle w:val="ListParagraph"/>
        <w:spacing w:after="0" w:line="360" w:lineRule="auto"/>
        <w:ind w:left="1134"/>
        <w:jc w:val="both"/>
        <w:rPr>
          <w:rFonts w:ascii="Arial" w:hAnsi="Arial" w:cs="Arial"/>
        </w:rPr>
      </w:pPr>
      <w:r w:rsidRPr="000C3275">
        <w:rPr>
          <w:rFonts w:ascii="Arial" w:hAnsi="Arial" w:cs="Arial"/>
        </w:rPr>
        <w:t>‘Provided the suspicion of partiality is one which might reasonably be entertained by a lay lit</w:t>
      </w:r>
      <w:r w:rsidR="00724152">
        <w:rPr>
          <w:rFonts w:ascii="Arial" w:hAnsi="Arial" w:cs="Arial"/>
        </w:rPr>
        <w:t xml:space="preserve">igant a reviewing Court cannot . . . </w:t>
      </w:r>
      <w:r w:rsidRPr="000C3275">
        <w:rPr>
          <w:rFonts w:ascii="Arial" w:hAnsi="Arial" w:cs="Arial"/>
        </w:rPr>
        <w:t xml:space="preserve"> be called upon to measure in a nice </w:t>
      </w:r>
      <w:r w:rsidRPr="000C3275">
        <w:rPr>
          <w:rFonts w:ascii="Arial" w:hAnsi="Arial" w:cs="Arial"/>
        </w:rPr>
        <w:lastRenderedPageBreak/>
        <w:t>balance the precise extent of the apparent risk, if suspicion is reasonably apprehended, then that is an end to the matter.’</w:t>
      </w:r>
      <w:r w:rsidR="006A5054" w:rsidRPr="000C3275">
        <w:rPr>
          <w:rStyle w:val="FootnoteReference"/>
          <w:rFonts w:ascii="Arial" w:hAnsi="Arial" w:cs="Arial"/>
        </w:rPr>
        <w:footnoteReference w:id="26"/>
      </w:r>
    </w:p>
    <w:p w:rsidR="003D0AE0" w:rsidRPr="000C3275" w:rsidRDefault="003D0AE0" w:rsidP="003E11F8">
      <w:pPr>
        <w:pStyle w:val="ListParagraph"/>
        <w:spacing w:after="0" w:line="480" w:lineRule="auto"/>
        <w:rPr>
          <w:rFonts w:ascii="Arial" w:eastAsia="Times New Roman" w:hAnsi="Arial" w:cs="Arial"/>
          <w:sz w:val="24"/>
          <w:szCs w:val="24"/>
          <w:lang w:val="en-ZA" w:eastAsia="en-GB"/>
        </w:rPr>
      </w:pPr>
    </w:p>
    <w:p w:rsidR="003D0AE0"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val="en-ZA" w:eastAsia="en-GB"/>
        </w:rPr>
        <w:t xml:space="preserve">True, the board of </w:t>
      </w:r>
      <w:proofErr w:type="spellStart"/>
      <w:r w:rsidRPr="000C3275">
        <w:rPr>
          <w:rFonts w:ascii="Arial" w:eastAsia="Times New Roman" w:hAnsi="Arial" w:cs="Arial"/>
          <w:sz w:val="24"/>
          <w:szCs w:val="24"/>
          <w:lang w:val="en-ZA" w:eastAsia="en-GB"/>
        </w:rPr>
        <w:t>NedLife</w:t>
      </w:r>
      <w:proofErr w:type="spellEnd"/>
      <w:r w:rsidRPr="000C3275">
        <w:rPr>
          <w:rFonts w:ascii="Arial" w:eastAsia="Times New Roman" w:hAnsi="Arial" w:cs="Arial"/>
          <w:sz w:val="24"/>
          <w:szCs w:val="24"/>
          <w:lang w:val="en-ZA" w:eastAsia="en-GB"/>
        </w:rPr>
        <w:t xml:space="preserve"> is not subject to direction by that of NNHL. That does not mean that the two entities have no shared financial interest or interdependence. It cannot be correct that the financial performance of </w:t>
      </w:r>
      <w:proofErr w:type="spellStart"/>
      <w:r w:rsidRPr="000C3275">
        <w:rPr>
          <w:rFonts w:ascii="Arial" w:eastAsia="Times New Roman" w:hAnsi="Arial" w:cs="Arial"/>
          <w:sz w:val="24"/>
          <w:szCs w:val="24"/>
          <w:lang w:val="en-ZA" w:eastAsia="en-GB"/>
        </w:rPr>
        <w:t>NedLife</w:t>
      </w:r>
      <w:proofErr w:type="spellEnd"/>
      <w:r w:rsidRPr="000C3275">
        <w:rPr>
          <w:rFonts w:ascii="Arial" w:eastAsia="Times New Roman" w:hAnsi="Arial" w:cs="Arial"/>
          <w:sz w:val="24"/>
          <w:szCs w:val="24"/>
          <w:lang w:val="en-ZA" w:eastAsia="en-GB"/>
        </w:rPr>
        <w:t xml:space="preserve"> is of no moment to NNHL. Proceeding from that premise, the financial soundness or otherwise of </w:t>
      </w:r>
      <w:proofErr w:type="spellStart"/>
      <w:r w:rsidRPr="000C3275">
        <w:rPr>
          <w:rFonts w:ascii="Arial" w:eastAsia="Times New Roman" w:hAnsi="Arial" w:cs="Arial"/>
          <w:sz w:val="24"/>
          <w:szCs w:val="24"/>
          <w:lang w:val="en-ZA" w:eastAsia="en-GB"/>
        </w:rPr>
        <w:t>NedLife</w:t>
      </w:r>
      <w:proofErr w:type="spellEnd"/>
      <w:r w:rsidRPr="000C3275">
        <w:rPr>
          <w:rFonts w:ascii="Arial" w:eastAsia="Times New Roman" w:hAnsi="Arial" w:cs="Arial"/>
          <w:sz w:val="24"/>
          <w:szCs w:val="24"/>
          <w:lang w:val="en-ZA" w:eastAsia="en-GB"/>
        </w:rPr>
        <w:t xml:space="preserve"> is a matter which is of interest and of benefit (or detriment) to the shareholders of NNHL to whom the latter’s directors owe a fiduciary duty.</w:t>
      </w:r>
    </w:p>
    <w:p w:rsidR="00E53A1E" w:rsidRPr="000C3275" w:rsidRDefault="00E53A1E" w:rsidP="003E11F8">
      <w:pPr>
        <w:tabs>
          <w:tab w:val="left" w:pos="851"/>
        </w:tabs>
        <w:spacing w:after="0" w:line="480" w:lineRule="auto"/>
        <w:contextualSpacing/>
        <w:jc w:val="both"/>
        <w:rPr>
          <w:rFonts w:ascii="Arial" w:hAnsi="Arial" w:cs="Arial"/>
          <w:sz w:val="24"/>
          <w:szCs w:val="24"/>
          <w:lang w:val="en-GB"/>
        </w:rPr>
      </w:pPr>
    </w:p>
    <w:p w:rsidR="006A5054" w:rsidRPr="000C3275" w:rsidRDefault="006A5054"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val="en-ZA" w:eastAsia="en-GB"/>
        </w:rPr>
        <w:t>Therefore, even if the petition judge derives no di</w:t>
      </w:r>
      <w:r w:rsidR="004D09D6" w:rsidRPr="000C3275">
        <w:rPr>
          <w:rFonts w:ascii="Arial" w:eastAsia="Times New Roman" w:hAnsi="Arial" w:cs="Arial"/>
          <w:sz w:val="24"/>
          <w:szCs w:val="24"/>
          <w:lang w:val="en-ZA" w:eastAsia="en-GB"/>
        </w:rPr>
        <w:t xml:space="preserve">rect financial benefit from </w:t>
      </w:r>
      <w:proofErr w:type="spellStart"/>
      <w:r w:rsidR="004D09D6" w:rsidRPr="000C3275">
        <w:rPr>
          <w:rFonts w:ascii="Arial" w:eastAsia="Times New Roman" w:hAnsi="Arial" w:cs="Arial"/>
          <w:sz w:val="24"/>
          <w:szCs w:val="24"/>
          <w:lang w:val="en-ZA" w:eastAsia="en-GB"/>
        </w:rPr>
        <w:t>NedL</w:t>
      </w:r>
      <w:r w:rsidRPr="000C3275">
        <w:rPr>
          <w:rFonts w:ascii="Arial" w:eastAsia="Times New Roman" w:hAnsi="Arial" w:cs="Arial"/>
          <w:sz w:val="24"/>
          <w:szCs w:val="24"/>
          <w:lang w:val="en-ZA" w:eastAsia="en-GB"/>
        </w:rPr>
        <w:t>ife</w:t>
      </w:r>
      <w:proofErr w:type="spellEnd"/>
      <w:r w:rsidRPr="000C3275">
        <w:rPr>
          <w:rFonts w:ascii="Arial" w:eastAsia="Times New Roman" w:hAnsi="Arial" w:cs="Arial"/>
          <w:sz w:val="24"/>
          <w:szCs w:val="24"/>
          <w:lang w:val="en-ZA" w:eastAsia="en-GB"/>
        </w:rPr>
        <w:t xml:space="preserve"> and it was not shown how he stood to benefit personally from the outcome of the</w:t>
      </w:r>
      <w:r w:rsidR="00E53A1E" w:rsidRPr="000C3275">
        <w:rPr>
          <w:rFonts w:ascii="Arial" w:eastAsia="Times New Roman" w:hAnsi="Arial" w:cs="Arial"/>
          <w:sz w:val="24"/>
          <w:szCs w:val="24"/>
          <w:lang w:val="en-ZA" w:eastAsia="en-GB"/>
        </w:rPr>
        <w:t xml:space="preserve"> petition, at the very least there was a duty of disclosure. I turn to that issue next.</w:t>
      </w:r>
    </w:p>
    <w:p w:rsidR="003D0AE0" w:rsidRPr="000C3275" w:rsidRDefault="003D0AE0" w:rsidP="003E11F8">
      <w:pPr>
        <w:tabs>
          <w:tab w:val="left" w:pos="851"/>
        </w:tabs>
        <w:spacing w:after="0" w:line="480" w:lineRule="auto"/>
        <w:contextualSpacing/>
        <w:jc w:val="both"/>
        <w:rPr>
          <w:rFonts w:ascii="Arial" w:eastAsia="Times New Roman" w:hAnsi="Arial" w:cs="Arial"/>
          <w:sz w:val="24"/>
          <w:szCs w:val="24"/>
          <w:lang w:val="en-ZA" w:eastAsia="en-GB"/>
        </w:rPr>
      </w:pPr>
    </w:p>
    <w:p w:rsidR="003D0AE0" w:rsidRPr="000C3275" w:rsidRDefault="003D0AE0" w:rsidP="008C06C9">
      <w:pPr>
        <w:pStyle w:val="PlainText"/>
        <w:spacing w:line="480" w:lineRule="auto"/>
        <w:jc w:val="both"/>
        <w:rPr>
          <w:rFonts w:ascii="Arial" w:hAnsi="Arial" w:cs="Arial"/>
          <w:sz w:val="24"/>
          <w:szCs w:val="24"/>
          <w:u w:val="single"/>
        </w:rPr>
      </w:pPr>
      <w:r w:rsidRPr="000C3275">
        <w:rPr>
          <w:rFonts w:ascii="Arial" w:hAnsi="Arial" w:cs="Arial"/>
          <w:sz w:val="24"/>
          <w:szCs w:val="24"/>
          <w:u w:val="single"/>
        </w:rPr>
        <w:t>Obligation of disclosure: the marginal cases</w:t>
      </w:r>
    </w:p>
    <w:p w:rsidR="00A465A0"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When there exists hint of a conflict</w:t>
      </w:r>
      <w:r w:rsidR="004322FF">
        <w:rPr>
          <w:rFonts w:ascii="Arial" w:hAnsi="Arial" w:cs="Arial"/>
          <w:sz w:val="24"/>
          <w:szCs w:val="24"/>
        </w:rPr>
        <w:t xml:space="preserve"> </w:t>
      </w:r>
      <w:r w:rsidRPr="000C3275">
        <w:rPr>
          <w:rFonts w:ascii="Arial" w:hAnsi="Arial" w:cs="Arial"/>
          <w:sz w:val="24"/>
          <w:szCs w:val="24"/>
        </w:rPr>
        <w:t>a judge may feel, applying the double reasonableness test, that there is no obligation to recuse herself</w:t>
      </w:r>
      <w:r w:rsidR="00F44FA2">
        <w:rPr>
          <w:rFonts w:ascii="Arial" w:hAnsi="Arial" w:cs="Arial"/>
          <w:sz w:val="24"/>
          <w:szCs w:val="24"/>
        </w:rPr>
        <w:t xml:space="preserve"> or </w:t>
      </w:r>
      <w:r w:rsidR="001A58AE">
        <w:rPr>
          <w:rFonts w:ascii="Arial" w:hAnsi="Arial" w:cs="Arial"/>
          <w:sz w:val="24"/>
          <w:szCs w:val="24"/>
        </w:rPr>
        <w:t>himself</w:t>
      </w:r>
      <w:r w:rsidRPr="000C3275">
        <w:rPr>
          <w:rFonts w:ascii="Arial" w:hAnsi="Arial" w:cs="Arial"/>
          <w:sz w:val="24"/>
          <w:szCs w:val="24"/>
        </w:rPr>
        <w:t xml:space="preserve"> and that she</w:t>
      </w:r>
      <w:r w:rsidR="00F44FA2">
        <w:rPr>
          <w:rFonts w:ascii="Arial" w:hAnsi="Arial" w:cs="Arial"/>
          <w:sz w:val="24"/>
          <w:szCs w:val="24"/>
        </w:rPr>
        <w:t xml:space="preserve"> </w:t>
      </w:r>
      <w:r w:rsidR="007864A1">
        <w:rPr>
          <w:rFonts w:ascii="Arial" w:hAnsi="Arial" w:cs="Arial"/>
          <w:sz w:val="24"/>
          <w:szCs w:val="24"/>
        </w:rPr>
        <w:t>or</w:t>
      </w:r>
      <w:r w:rsidR="00F44FA2">
        <w:rPr>
          <w:rFonts w:ascii="Arial" w:hAnsi="Arial" w:cs="Arial"/>
          <w:sz w:val="24"/>
          <w:szCs w:val="24"/>
        </w:rPr>
        <w:t xml:space="preserve"> </w:t>
      </w:r>
      <w:r w:rsidR="001A58AE">
        <w:rPr>
          <w:rFonts w:ascii="Arial" w:hAnsi="Arial" w:cs="Arial"/>
          <w:sz w:val="24"/>
          <w:szCs w:val="24"/>
        </w:rPr>
        <w:t>he</w:t>
      </w:r>
      <w:r w:rsidRPr="000C3275">
        <w:rPr>
          <w:rFonts w:ascii="Arial" w:hAnsi="Arial" w:cs="Arial"/>
          <w:sz w:val="24"/>
          <w:szCs w:val="24"/>
        </w:rPr>
        <w:t xml:space="preserve"> is in duty bound to sit</w:t>
      </w:r>
      <w:r w:rsidR="00D940B8">
        <w:rPr>
          <w:rFonts w:ascii="Arial" w:hAnsi="Arial" w:cs="Arial"/>
          <w:sz w:val="24"/>
          <w:szCs w:val="24"/>
        </w:rPr>
        <w:t>. Yet she</w:t>
      </w:r>
      <w:r w:rsidR="00F44FA2">
        <w:rPr>
          <w:rFonts w:ascii="Arial" w:hAnsi="Arial" w:cs="Arial"/>
          <w:sz w:val="24"/>
          <w:szCs w:val="24"/>
        </w:rPr>
        <w:t xml:space="preserve"> or </w:t>
      </w:r>
      <w:r w:rsidR="001A58AE">
        <w:rPr>
          <w:rFonts w:ascii="Arial" w:hAnsi="Arial" w:cs="Arial"/>
          <w:sz w:val="24"/>
          <w:szCs w:val="24"/>
        </w:rPr>
        <w:t>he</w:t>
      </w:r>
      <w:r w:rsidR="00D940B8">
        <w:rPr>
          <w:rFonts w:ascii="Arial" w:hAnsi="Arial" w:cs="Arial"/>
          <w:sz w:val="24"/>
          <w:szCs w:val="24"/>
        </w:rPr>
        <w:t xml:space="preserve"> might</w:t>
      </w:r>
      <w:r w:rsidRPr="000C3275">
        <w:rPr>
          <w:rFonts w:ascii="Arial" w:hAnsi="Arial" w:cs="Arial"/>
          <w:sz w:val="24"/>
          <w:szCs w:val="24"/>
        </w:rPr>
        <w:t xml:space="preserve"> still find herself</w:t>
      </w:r>
      <w:r w:rsidR="00F44FA2">
        <w:rPr>
          <w:rFonts w:ascii="Arial" w:hAnsi="Arial" w:cs="Arial"/>
          <w:sz w:val="24"/>
          <w:szCs w:val="24"/>
        </w:rPr>
        <w:t xml:space="preserve"> or </w:t>
      </w:r>
      <w:r w:rsidR="008135B4">
        <w:rPr>
          <w:rFonts w:ascii="Arial" w:hAnsi="Arial" w:cs="Arial"/>
          <w:sz w:val="24"/>
          <w:szCs w:val="24"/>
        </w:rPr>
        <w:t>himself</w:t>
      </w:r>
      <w:r w:rsidRPr="000C3275">
        <w:rPr>
          <w:rFonts w:ascii="Arial" w:hAnsi="Arial" w:cs="Arial"/>
          <w:sz w:val="24"/>
          <w:szCs w:val="24"/>
        </w:rPr>
        <w:t xml:space="preserve"> in the position where her</w:t>
      </w:r>
      <w:r w:rsidR="00F44FA2">
        <w:rPr>
          <w:rFonts w:ascii="Arial" w:hAnsi="Arial" w:cs="Arial"/>
          <w:sz w:val="24"/>
          <w:szCs w:val="24"/>
        </w:rPr>
        <w:t xml:space="preserve"> or </w:t>
      </w:r>
      <w:r w:rsidR="001A58AE">
        <w:rPr>
          <w:rFonts w:ascii="Arial" w:hAnsi="Arial" w:cs="Arial"/>
          <w:sz w:val="24"/>
          <w:szCs w:val="24"/>
        </w:rPr>
        <w:t>his</w:t>
      </w:r>
      <w:r w:rsidRPr="000C3275">
        <w:rPr>
          <w:rFonts w:ascii="Arial" w:hAnsi="Arial" w:cs="Arial"/>
          <w:sz w:val="24"/>
          <w:szCs w:val="24"/>
        </w:rPr>
        <w:t xml:space="preserve"> involvement in the case - because of a marginal disposit</w:t>
      </w:r>
      <w:r w:rsidR="003C77D8" w:rsidRPr="000C3275">
        <w:rPr>
          <w:rFonts w:ascii="Arial" w:hAnsi="Arial" w:cs="Arial"/>
          <w:sz w:val="24"/>
          <w:szCs w:val="24"/>
        </w:rPr>
        <w:t>ion towards one of the parties</w:t>
      </w:r>
      <w:r w:rsidRPr="000C3275">
        <w:rPr>
          <w:rFonts w:ascii="Arial" w:hAnsi="Arial" w:cs="Arial"/>
          <w:sz w:val="24"/>
          <w:szCs w:val="24"/>
        </w:rPr>
        <w:t xml:space="preserve"> may, after the verdict, be misconstrued as bias. It is in this kind of case (what one may call the marginal case) where the judge is required to make disclosure to the parties. </w:t>
      </w:r>
    </w:p>
    <w:p w:rsidR="00A465A0" w:rsidRPr="000C3275" w:rsidRDefault="00A465A0" w:rsidP="003E11F8">
      <w:pPr>
        <w:tabs>
          <w:tab w:val="left" w:pos="851"/>
        </w:tabs>
        <w:spacing w:after="0" w:line="480" w:lineRule="auto"/>
        <w:contextualSpacing/>
        <w:jc w:val="both"/>
        <w:rPr>
          <w:rFonts w:ascii="Arial" w:hAnsi="Arial" w:cs="Arial"/>
          <w:sz w:val="24"/>
          <w:szCs w:val="24"/>
          <w:lang w:val="en-GB"/>
        </w:rPr>
      </w:pPr>
    </w:p>
    <w:p w:rsidR="003D0AE0"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There are two reasons for this. The first is to afford the party potentially adversely affected to object to the judge sitting. The judge would be entitled (as would </w:t>
      </w:r>
      <w:r w:rsidRPr="000C3275">
        <w:rPr>
          <w:rFonts w:ascii="Arial" w:hAnsi="Arial" w:cs="Arial"/>
          <w:sz w:val="24"/>
          <w:szCs w:val="24"/>
        </w:rPr>
        <w:lastRenderedPageBreak/>
        <w:t>the opponent) to say: ‘Sorry, there is no reason for r</w:t>
      </w:r>
      <w:r w:rsidR="00361EEF">
        <w:rPr>
          <w:rFonts w:ascii="Arial" w:hAnsi="Arial" w:cs="Arial"/>
          <w:sz w:val="24"/>
          <w:szCs w:val="24"/>
        </w:rPr>
        <w:t>ecusal</w:t>
      </w:r>
      <w:r w:rsidRPr="000C3275">
        <w:rPr>
          <w:rFonts w:ascii="Arial" w:hAnsi="Arial" w:cs="Arial"/>
          <w:sz w:val="24"/>
          <w:szCs w:val="24"/>
        </w:rPr>
        <w:t>’</w:t>
      </w:r>
      <w:r w:rsidR="00361EEF">
        <w:rPr>
          <w:rFonts w:ascii="Arial" w:hAnsi="Arial" w:cs="Arial"/>
          <w:sz w:val="24"/>
          <w:szCs w:val="24"/>
        </w:rPr>
        <w:t>.</w:t>
      </w:r>
      <w:r w:rsidRPr="000C3275">
        <w:rPr>
          <w:rFonts w:ascii="Arial" w:hAnsi="Arial" w:cs="Arial"/>
          <w:sz w:val="24"/>
          <w:szCs w:val="24"/>
        </w:rPr>
        <w:t xml:space="preserve"> The objector would then (if so advised) bring a formal application for recusal which will be adjudicated transparently. It is at this stage where, on counsel’s advice based on the applicable test, most objections are abandoned.</w:t>
      </w:r>
    </w:p>
    <w:p w:rsidR="003D0AE0" w:rsidRPr="000C3275" w:rsidRDefault="003D0AE0" w:rsidP="008C06C9">
      <w:pPr>
        <w:tabs>
          <w:tab w:val="left" w:pos="851"/>
        </w:tabs>
        <w:spacing w:after="0" w:line="480" w:lineRule="auto"/>
        <w:contextualSpacing/>
        <w:jc w:val="both"/>
        <w:rPr>
          <w:rFonts w:ascii="Arial" w:hAnsi="Arial" w:cs="Arial"/>
          <w:sz w:val="24"/>
          <w:szCs w:val="24"/>
          <w:lang w:val="en-GB"/>
        </w:rPr>
      </w:pPr>
    </w:p>
    <w:p w:rsidR="003D0AE0"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The second reason is that it affords the head of jurisdiction to whose attention such a matter must immediately be brought, to look at the matter afresh and, if need be, reassign it to someone else - in the interest of saving time</w:t>
      </w:r>
      <w:r w:rsidR="00DF215B">
        <w:rPr>
          <w:rFonts w:ascii="Arial" w:hAnsi="Arial" w:cs="Arial"/>
          <w:sz w:val="24"/>
          <w:szCs w:val="24"/>
        </w:rPr>
        <w:t>.</w:t>
      </w:r>
      <w:r w:rsidRPr="000C3275">
        <w:rPr>
          <w:rFonts w:ascii="Arial" w:hAnsi="Arial" w:cs="Arial"/>
          <w:sz w:val="24"/>
          <w:szCs w:val="24"/>
        </w:rPr>
        <w:t xml:space="preserve"> To those not privy to the inner-workings of the court, this happens in practice more often than is assumed.</w:t>
      </w:r>
    </w:p>
    <w:p w:rsidR="003D0AE0" w:rsidRPr="000C3275" w:rsidRDefault="003D0AE0" w:rsidP="003E11F8">
      <w:pPr>
        <w:pStyle w:val="ListParagraph"/>
        <w:spacing w:after="0" w:line="480" w:lineRule="auto"/>
        <w:rPr>
          <w:rFonts w:ascii="Arial" w:hAnsi="Arial" w:cs="Arial"/>
          <w:sz w:val="24"/>
          <w:szCs w:val="24"/>
        </w:rPr>
      </w:pPr>
    </w:p>
    <w:p w:rsidR="003D0AE0"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The rationale of this practice is set out in </w:t>
      </w:r>
      <w:proofErr w:type="spellStart"/>
      <w:r w:rsidRPr="000C3275">
        <w:rPr>
          <w:rFonts w:ascii="Arial" w:hAnsi="Arial" w:cs="Arial"/>
          <w:i/>
          <w:sz w:val="24"/>
          <w:szCs w:val="24"/>
        </w:rPr>
        <w:t>Berne</w:t>
      </w:r>
      <w:r w:rsidR="00A465A0" w:rsidRPr="000C3275">
        <w:rPr>
          <w:rFonts w:ascii="Arial" w:hAnsi="Arial" w:cs="Arial"/>
          <w:i/>
          <w:sz w:val="24"/>
          <w:szCs w:val="24"/>
        </w:rPr>
        <w:t>r</w:t>
      </w:r>
      <w:r w:rsidRPr="000C3275">
        <w:rPr>
          <w:rFonts w:ascii="Arial" w:hAnsi="Arial" w:cs="Arial"/>
          <w:i/>
          <w:sz w:val="24"/>
          <w:szCs w:val="24"/>
        </w:rPr>
        <w:t>t</w:t>
      </w:r>
      <w:proofErr w:type="spellEnd"/>
      <w:r w:rsidRPr="000C3275">
        <w:rPr>
          <w:rFonts w:ascii="Arial" w:hAnsi="Arial" w:cs="Arial"/>
          <w:sz w:val="24"/>
          <w:szCs w:val="24"/>
        </w:rPr>
        <w:t xml:space="preserve">. </w:t>
      </w:r>
      <w:r w:rsidR="003C77D8" w:rsidRPr="000C3275">
        <w:rPr>
          <w:rFonts w:ascii="Arial" w:hAnsi="Arial" w:cs="Arial"/>
          <w:sz w:val="24"/>
          <w:szCs w:val="24"/>
        </w:rPr>
        <w:t>The learned Chief Justice reasoned that w</w:t>
      </w:r>
      <w:r w:rsidRPr="000C3275">
        <w:rPr>
          <w:rFonts w:ascii="Arial" w:hAnsi="Arial" w:cs="Arial"/>
          <w:sz w:val="24"/>
          <w:szCs w:val="24"/>
        </w:rPr>
        <w:t xml:space="preserve">here the judge’s interest in the matter before him is not trivial in nature, it may give rise to </w:t>
      </w:r>
      <w:r w:rsidR="003C77D8" w:rsidRPr="000C3275">
        <w:rPr>
          <w:rFonts w:ascii="Arial" w:hAnsi="Arial" w:cs="Arial"/>
          <w:sz w:val="24"/>
          <w:szCs w:val="24"/>
        </w:rPr>
        <w:t xml:space="preserve">a suspicion of partiality. The court pointed out </w:t>
      </w:r>
      <w:r w:rsidRPr="000C3275">
        <w:rPr>
          <w:rFonts w:ascii="Arial" w:hAnsi="Arial" w:cs="Arial"/>
          <w:sz w:val="24"/>
          <w:szCs w:val="24"/>
        </w:rPr>
        <w:t xml:space="preserve">that disclosure of any such interest must be made to the parties, even in cases where there is no realistic possibility that the outcome of a case would affect a judicial officer's interest or shareholding.  </w:t>
      </w:r>
      <w:proofErr w:type="spellStart"/>
      <w:r w:rsidRPr="000C3275">
        <w:rPr>
          <w:rFonts w:ascii="Arial" w:hAnsi="Arial" w:cs="Arial"/>
          <w:sz w:val="24"/>
          <w:szCs w:val="24"/>
        </w:rPr>
        <w:t>Ncgobo</w:t>
      </w:r>
      <w:proofErr w:type="spellEnd"/>
      <w:r w:rsidRPr="000C3275">
        <w:rPr>
          <w:rFonts w:ascii="Arial" w:hAnsi="Arial" w:cs="Arial"/>
          <w:sz w:val="24"/>
          <w:szCs w:val="24"/>
        </w:rPr>
        <w:t xml:space="preserve"> CJ </w:t>
      </w:r>
      <w:r w:rsidR="003C77D8" w:rsidRPr="000C3275">
        <w:rPr>
          <w:rFonts w:ascii="Arial" w:hAnsi="Arial" w:cs="Arial"/>
          <w:sz w:val="24"/>
          <w:szCs w:val="24"/>
        </w:rPr>
        <w:t xml:space="preserve">wrote </w:t>
      </w:r>
      <w:r w:rsidRPr="000C3275">
        <w:rPr>
          <w:rFonts w:ascii="Arial" w:hAnsi="Arial" w:cs="Arial"/>
          <w:sz w:val="24"/>
          <w:szCs w:val="24"/>
        </w:rPr>
        <w:t>(at p 111A-C):</w:t>
      </w:r>
    </w:p>
    <w:p w:rsidR="003D0AE0" w:rsidRPr="000C3275" w:rsidRDefault="003D0AE0" w:rsidP="003E11F8">
      <w:pPr>
        <w:pStyle w:val="ListParagraph"/>
        <w:spacing w:after="0" w:line="480" w:lineRule="auto"/>
        <w:rPr>
          <w:rFonts w:ascii="Arial" w:hAnsi="Arial" w:cs="Arial"/>
          <w:sz w:val="24"/>
          <w:szCs w:val="24"/>
        </w:rPr>
      </w:pPr>
    </w:p>
    <w:p w:rsidR="003D0AE0" w:rsidRPr="000C3275" w:rsidRDefault="003D0AE0" w:rsidP="00D86634">
      <w:pPr>
        <w:spacing w:after="0" w:line="360" w:lineRule="auto"/>
        <w:ind w:left="1134"/>
        <w:jc w:val="both"/>
        <w:rPr>
          <w:rFonts w:ascii="Arial" w:hAnsi="Arial" w:cs="Arial"/>
          <w:sz w:val="24"/>
          <w:szCs w:val="24"/>
        </w:rPr>
      </w:pPr>
      <w:r w:rsidRPr="000C3275">
        <w:rPr>
          <w:rFonts w:ascii="Arial" w:hAnsi="Arial" w:cs="Arial"/>
          <w:sz w:val="24"/>
          <w:szCs w:val="24"/>
        </w:rPr>
        <w:t>‘</w:t>
      </w:r>
      <w:r w:rsidRPr="000C3275">
        <w:rPr>
          <w:rFonts w:ascii="Arial" w:hAnsi="Arial" w:cs="Arial"/>
        </w:rPr>
        <w:t xml:space="preserve">The question which a judicial officer should subjectively ask himself or herself, therefore, is whether, having regard to his or her share ownership </w:t>
      </w:r>
      <w:r w:rsidRPr="000C3275">
        <w:rPr>
          <w:rFonts w:ascii="Arial" w:hAnsi="Arial" w:cs="Arial"/>
          <w:u w:val="single"/>
        </w:rPr>
        <w:t>or other interest in one of the litigants in proceedings</w:t>
      </w:r>
      <w:r w:rsidRPr="000C3275">
        <w:rPr>
          <w:rFonts w:ascii="Arial" w:hAnsi="Arial" w:cs="Arial"/>
        </w:rPr>
        <w:t xml:space="preserve">, he or she can bring the necessary judicial dispassion (objectivity) to the issues in the case. If the answer to this question is in the negative, the judicial officer must, of his or her own accord, recuse himself or herself. If, on the other hand, the answer to this question is in the affirmative, the second question to ask is whether there is any basis for a reasonable apprehension of bias on the part of the parties, whether on the basis of an interest in the outcome of the case, interest in one of the litigants (by shareholding, family relations or otherwise) </w:t>
      </w:r>
      <w:r w:rsidRPr="00DF215B">
        <w:rPr>
          <w:rFonts w:ascii="Arial" w:hAnsi="Arial" w:cs="Arial"/>
          <w:u w:val="single"/>
        </w:rPr>
        <w:t>or attachment to the case</w:t>
      </w:r>
      <w:r w:rsidRPr="000C3275">
        <w:rPr>
          <w:rFonts w:ascii="Arial" w:hAnsi="Arial" w:cs="Arial"/>
        </w:rPr>
        <w:t xml:space="preserve">. </w:t>
      </w:r>
      <w:r w:rsidRPr="000C3275">
        <w:rPr>
          <w:rFonts w:ascii="Arial" w:hAnsi="Arial" w:cs="Arial"/>
          <w:u w:val="single"/>
        </w:rPr>
        <w:t xml:space="preserve">If the answer to this question is in the affirmative, the judicial officer must disclose his or her interest in the case, </w:t>
      </w:r>
      <w:r w:rsidRPr="000C3275">
        <w:rPr>
          <w:rFonts w:ascii="Arial" w:hAnsi="Arial" w:cs="Arial"/>
          <w:u w:val="single"/>
        </w:rPr>
        <w:lastRenderedPageBreak/>
        <w:t>no matter how small or trivial that interest may be.</w:t>
      </w:r>
      <w:r w:rsidRPr="000C3275">
        <w:rPr>
          <w:rFonts w:ascii="Arial" w:hAnsi="Arial" w:cs="Arial"/>
        </w:rPr>
        <w:t xml:space="preserve"> And, in the event of any doubt, a judicial officer should err in </w:t>
      </w:r>
      <w:proofErr w:type="spellStart"/>
      <w:r w:rsidRPr="000C3275">
        <w:rPr>
          <w:rFonts w:ascii="Arial" w:hAnsi="Arial" w:cs="Arial"/>
        </w:rPr>
        <w:t>favour</w:t>
      </w:r>
      <w:proofErr w:type="spellEnd"/>
      <w:r w:rsidRPr="000C3275">
        <w:rPr>
          <w:rFonts w:ascii="Arial" w:hAnsi="Arial" w:cs="Arial"/>
        </w:rPr>
        <w:t xml:space="preserve"> of disclosure.’</w:t>
      </w:r>
      <w:r w:rsidR="00A465A0" w:rsidRPr="000C3275">
        <w:rPr>
          <w:rFonts w:ascii="Arial" w:hAnsi="Arial" w:cs="Arial"/>
        </w:rPr>
        <w:t xml:space="preserve">   </w:t>
      </w:r>
      <w:r w:rsidR="00A465A0" w:rsidRPr="000C3275">
        <w:rPr>
          <w:rFonts w:ascii="Arial" w:hAnsi="Arial" w:cs="Arial"/>
          <w:sz w:val="24"/>
          <w:szCs w:val="24"/>
        </w:rPr>
        <w:t>(My underling for emphasis)</w:t>
      </w:r>
    </w:p>
    <w:p w:rsidR="003D0AE0" w:rsidRPr="000C3275" w:rsidRDefault="003D0AE0" w:rsidP="003E11F8">
      <w:pPr>
        <w:pStyle w:val="ListParagraph"/>
        <w:spacing w:after="0" w:line="480" w:lineRule="auto"/>
        <w:ind w:left="1134"/>
        <w:rPr>
          <w:rFonts w:ascii="Arial" w:hAnsi="Arial" w:cs="Arial"/>
          <w:sz w:val="24"/>
          <w:szCs w:val="24"/>
        </w:rPr>
      </w:pPr>
    </w:p>
    <w:p w:rsidR="003D0AE0" w:rsidRPr="000C3275" w:rsidRDefault="00F32B92"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proofErr w:type="spellStart"/>
      <w:r w:rsidRPr="000C3275">
        <w:rPr>
          <w:rFonts w:ascii="Arial" w:hAnsi="Arial" w:cs="Arial"/>
          <w:sz w:val="24"/>
          <w:szCs w:val="24"/>
        </w:rPr>
        <w:t>Ncgobo</w:t>
      </w:r>
      <w:proofErr w:type="spellEnd"/>
      <w:r w:rsidRPr="000C3275">
        <w:rPr>
          <w:rFonts w:ascii="Arial" w:hAnsi="Arial" w:cs="Arial"/>
          <w:sz w:val="24"/>
          <w:szCs w:val="24"/>
        </w:rPr>
        <w:t xml:space="preserve"> CJ </w:t>
      </w:r>
      <w:proofErr w:type="spellStart"/>
      <w:r w:rsidRPr="000C3275">
        <w:rPr>
          <w:rFonts w:ascii="Arial" w:hAnsi="Arial" w:cs="Arial"/>
          <w:sz w:val="24"/>
          <w:szCs w:val="24"/>
        </w:rPr>
        <w:t>emphasised</w:t>
      </w:r>
      <w:proofErr w:type="spellEnd"/>
      <w:r w:rsidRPr="000C3275">
        <w:rPr>
          <w:rFonts w:ascii="Arial" w:hAnsi="Arial" w:cs="Arial"/>
          <w:sz w:val="24"/>
          <w:szCs w:val="24"/>
        </w:rPr>
        <w:t xml:space="preserve"> that litigants should not be left with the impression that the judicial officer is hiding his or her interest in the case from them. This is likely to be the case where there was no prior disclosure, and the parties subsequently discover that the judicial officer had an interest. This may raise questions about the impartiality of the judicial officer, in circumstances where this would not have been the case if there had been prior disclosure. </w:t>
      </w:r>
    </w:p>
    <w:p w:rsidR="003D0AE0" w:rsidRPr="000C3275" w:rsidRDefault="003D0AE0" w:rsidP="003E11F8">
      <w:pPr>
        <w:tabs>
          <w:tab w:val="left" w:pos="851"/>
        </w:tabs>
        <w:spacing w:after="0" w:line="480" w:lineRule="auto"/>
        <w:contextualSpacing/>
        <w:jc w:val="both"/>
        <w:rPr>
          <w:rFonts w:ascii="Arial" w:hAnsi="Arial" w:cs="Arial"/>
          <w:sz w:val="24"/>
          <w:szCs w:val="24"/>
          <w:lang w:val="en-GB"/>
        </w:rPr>
      </w:pPr>
    </w:p>
    <w:p w:rsidR="003D0AE0" w:rsidRPr="00A365FA" w:rsidRDefault="003C77D8"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The Chief Justice went on to explain that </w:t>
      </w:r>
      <w:r w:rsidR="00B25831" w:rsidRPr="000C3275">
        <w:rPr>
          <w:rFonts w:ascii="Arial" w:hAnsi="Arial" w:cs="Arial"/>
          <w:sz w:val="24"/>
          <w:szCs w:val="24"/>
        </w:rPr>
        <w:t xml:space="preserve">although failure to disclose an interest, in itself, does not lead to a reasonable apprehension of bias </w:t>
      </w:r>
      <w:r w:rsidRPr="000C3275">
        <w:rPr>
          <w:rFonts w:ascii="Arial" w:hAnsi="Arial" w:cs="Arial"/>
          <w:sz w:val="24"/>
          <w:szCs w:val="24"/>
        </w:rPr>
        <w:t>the</w:t>
      </w:r>
      <w:r w:rsidR="00F32B92" w:rsidRPr="000C3275">
        <w:rPr>
          <w:rFonts w:ascii="Arial" w:hAnsi="Arial" w:cs="Arial"/>
          <w:sz w:val="24"/>
          <w:szCs w:val="24"/>
        </w:rPr>
        <w:t xml:space="preserve"> advantage of this </w:t>
      </w:r>
      <w:r w:rsidRPr="000C3275">
        <w:rPr>
          <w:rFonts w:ascii="Arial" w:hAnsi="Arial" w:cs="Arial"/>
          <w:sz w:val="24"/>
          <w:szCs w:val="24"/>
        </w:rPr>
        <w:t xml:space="preserve">practice </w:t>
      </w:r>
      <w:r w:rsidR="00F32B92" w:rsidRPr="000C3275">
        <w:rPr>
          <w:rFonts w:ascii="Arial" w:hAnsi="Arial" w:cs="Arial"/>
          <w:sz w:val="24"/>
          <w:szCs w:val="24"/>
        </w:rPr>
        <w:t xml:space="preserve">is that it gives the parties the opportunity to object to the judicial officer sitting, or to bring to the attention of the judicial </w:t>
      </w:r>
      <w:r w:rsidRPr="000C3275">
        <w:rPr>
          <w:rFonts w:ascii="Arial" w:hAnsi="Arial" w:cs="Arial"/>
          <w:sz w:val="24"/>
          <w:szCs w:val="24"/>
        </w:rPr>
        <w:t>officer some aspect of the case</w:t>
      </w:r>
      <w:r w:rsidR="00F32B92" w:rsidRPr="000C3275">
        <w:rPr>
          <w:rFonts w:ascii="Arial" w:hAnsi="Arial" w:cs="Arial"/>
          <w:sz w:val="24"/>
          <w:szCs w:val="24"/>
        </w:rPr>
        <w:t xml:space="preserve"> that has a bearing on the shareholding or interest, that the judicial</w:t>
      </w:r>
      <w:r w:rsidR="00B25831" w:rsidRPr="000C3275">
        <w:rPr>
          <w:rFonts w:ascii="Arial" w:hAnsi="Arial" w:cs="Arial"/>
          <w:sz w:val="24"/>
          <w:szCs w:val="24"/>
        </w:rPr>
        <w:t xml:space="preserve"> officer might have overlooked. Moreover, it may be relevant</w:t>
      </w:r>
      <w:r w:rsidR="00F32B92" w:rsidRPr="000C3275">
        <w:rPr>
          <w:rFonts w:ascii="Arial" w:hAnsi="Arial" w:cs="Arial"/>
          <w:sz w:val="24"/>
          <w:szCs w:val="24"/>
        </w:rPr>
        <w:t xml:space="preserve"> because it may</w:t>
      </w:r>
      <w:r w:rsidR="00A465A0" w:rsidRPr="000C3275">
        <w:rPr>
          <w:rFonts w:ascii="Arial" w:hAnsi="Arial" w:cs="Arial"/>
          <w:sz w:val="24"/>
          <w:szCs w:val="24"/>
        </w:rPr>
        <w:t xml:space="preserve"> (as in the case before us)</w:t>
      </w:r>
      <w:r w:rsidR="00F32B92" w:rsidRPr="000C3275">
        <w:rPr>
          <w:rFonts w:ascii="Arial" w:hAnsi="Arial" w:cs="Arial"/>
          <w:sz w:val="24"/>
          <w:szCs w:val="24"/>
        </w:rPr>
        <w:t xml:space="preserve"> cast some evidentiary light on the ultimate question of </w:t>
      </w:r>
      <w:r w:rsidR="00B25831" w:rsidRPr="000C3275">
        <w:rPr>
          <w:rFonts w:ascii="Arial" w:hAnsi="Arial" w:cs="Arial"/>
          <w:sz w:val="24"/>
          <w:szCs w:val="24"/>
        </w:rPr>
        <w:t>reasonable apprehension of bias</w:t>
      </w:r>
      <w:r w:rsidR="00F32B92" w:rsidRPr="000C3275">
        <w:rPr>
          <w:rFonts w:ascii="Arial" w:hAnsi="Arial" w:cs="Arial"/>
          <w:sz w:val="24"/>
          <w:szCs w:val="24"/>
        </w:rPr>
        <w:t>.</w:t>
      </w:r>
    </w:p>
    <w:p w:rsidR="00A365FA" w:rsidRPr="000C3275" w:rsidRDefault="00A365FA" w:rsidP="00A365FA">
      <w:pPr>
        <w:tabs>
          <w:tab w:val="left" w:pos="851"/>
        </w:tabs>
        <w:spacing w:after="0" w:line="480" w:lineRule="auto"/>
        <w:contextualSpacing/>
        <w:jc w:val="both"/>
        <w:rPr>
          <w:rFonts w:ascii="Arial" w:hAnsi="Arial" w:cs="Arial"/>
          <w:sz w:val="24"/>
          <w:szCs w:val="24"/>
          <w:lang w:val="en-GB"/>
        </w:rPr>
      </w:pPr>
    </w:p>
    <w:p w:rsidR="003D0AE0" w:rsidRPr="000C3275" w:rsidRDefault="00B25831" w:rsidP="008C06C9">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In my view, </w:t>
      </w:r>
      <w:r w:rsidR="00F32B92" w:rsidRPr="000C3275">
        <w:rPr>
          <w:rFonts w:ascii="Arial" w:hAnsi="Arial" w:cs="Arial"/>
          <w:sz w:val="24"/>
          <w:szCs w:val="24"/>
        </w:rPr>
        <w:t>Art</w:t>
      </w:r>
      <w:r w:rsidR="00BE6A88">
        <w:rPr>
          <w:rFonts w:ascii="Arial" w:hAnsi="Arial" w:cs="Arial"/>
          <w:sz w:val="24"/>
          <w:szCs w:val="24"/>
        </w:rPr>
        <w:t>icle</w:t>
      </w:r>
      <w:r w:rsidR="00F32B92" w:rsidRPr="000C3275">
        <w:rPr>
          <w:rFonts w:ascii="Arial" w:hAnsi="Arial" w:cs="Arial"/>
          <w:sz w:val="24"/>
          <w:szCs w:val="24"/>
        </w:rPr>
        <w:t xml:space="preserve"> 12 (1)</w:t>
      </w:r>
      <w:r w:rsidRPr="000C3275">
        <w:rPr>
          <w:rFonts w:ascii="Arial" w:hAnsi="Arial" w:cs="Arial"/>
          <w:sz w:val="24"/>
          <w:szCs w:val="24"/>
        </w:rPr>
        <w:t xml:space="preserve"> of the Constitution </w:t>
      </w:r>
      <w:r w:rsidR="00F32B92" w:rsidRPr="000C3275">
        <w:rPr>
          <w:rFonts w:ascii="Arial" w:hAnsi="Arial" w:cs="Arial"/>
          <w:sz w:val="24"/>
          <w:szCs w:val="24"/>
        </w:rPr>
        <w:t xml:space="preserve">must be understood to include a right to object to a judge and </w:t>
      </w:r>
      <w:r w:rsidR="00F32B92" w:rsidRPr="000C3275">
        <w:rPr>
          <w:rFonts w:ascii="Arial" w:hAnsi="Arial" w:cs="Arial"/>
          <w:i/>
          <w:sz w:val="24"/>
          <w:szCs w:val="24"/>
        </w:rPr>
        <w:t>that</w:t>
      </w:r>
      <w:r w:rsidR="00F32B92" w:rsidRPr="000C3275">
        <w:rPr>
          <w:rFonts w:ascii="Arial" w:hAnsi="Arial" w:cs="Arial"/>
          <w:sz w:val="24"/>
          <w:szCs w:val="24"/>
        </w:rPr>
        <w:t xml:space="preserve"> is only possible if the litigant has the full facts which could give rise to it. It is this latter right that imposes </w:t>
      </w:r>
      <w:r w:rsidR="00DF215B">
        <w:rPr>
          <w:rFonts w:ascii="Arial" w:hAnsi="Arial" w:cs="Arial"/>
          <w:sz w:val="24"/>
          <w:szCs w:val="24"/>
        </w:rPr>
        <w:t>a</w:t>
      </w:r>
      <w:r w:rsidR="00F32B92" w:rsidRPr="000C3275">
        <w:rPr>
          <w:rFonts w:ascii="Arial" w:hAnsi="Arial" w:cs="Arial"/>
          <w:sz w:val="24"/>
          <w:szCs w:val="24"/>
        </w:rPr>
        <w:t xml:space="preserve"> duty on a judge seized with a petition to disclose facts peculiarly within her</w:t>
      </w:r>
      <w:r w:rsidR="00F44FA2">
        <w:rPr>
          <w:rFonts w:ascii="Arial" w:hAnsi="Arial" w:cs="Arial"/>
          <w:sz w:val="24"/>
          <w:szCs w:val="24"/>
        </w:rPr>
        <w:t xml:space="preserve"> or </w:t>
      </w:r>
      <w:r w:rsidR="001A58AE">
        <w:rPr>
          <w:rFonts w:ascii="Arial" w:hAnsi="Arial" w:cs="Arial"/>
          <w:sz w:val="24"/>
          <w:szCs w:val="24"/>
        </w:rPr>
        <w:t>his</w:t>
      </w:r>
      <w:r w:rsidR="00F32B92" w:rsidRPr="000C3275">
        <w:rPr>
          <w:rFonts w:ascii="Arial" w:hAnsi="Arial" w:cs="Arial"/>
          <w:sz w:val="24"/>
          <w:szCs w:val="24"/>
        </w:rPr>
        <w:t xml:space="preserve"> knowledge</w:t>
      </w:r>
      <w:r w:rsidR="00DF215B">
        <w:rPr>
          <w:rFonts w:ascii="Arial" w:hAnsi="Arial" w:cs="Arial"/>
          <w:sz w:val="24"/>
          <w:szCs w:val="24"/>
        </w:rPr>
        <w:t>, principally because the identity of the judge would be unknown to the parties</w:t>
      </w:r>
      <w:r w:rsidR="00F32B92" w:rsidRPr="000C3275">
        <w:rPr>
          <w:rFonts w:ascii="Arial" w:hAnsi="Arial" w:cs="Arial"/>
          <w:sz w:val="24"/>
          <w:szCs w:val="24"/>
        </w:rPr>
        <w:t>.</w:t>
      </w:r>
    </w:p>
    <w:p w:rsidR="00305068" w:rsidRPr="000C3275" w:rsidRDefault="00305068" w:rsidP="003E11F8">
      <w:pPr>
        <w:tabs>
          <w:tab w:val="left" w:pos="851"/>
        </w:tabs>
        <w:spacing w:after="0" w:line="480" w:lineRule="auto"/>
        <w:contextualSpacing/>
        <w:jc w:val="both"/>
        <w:rPr>
          <w:rFonts w:ascii="Arial" w:hAnsi="Arial" w:cs="Arial"/>
          <w:sz w:val="24"/>
          <w:szCs w:val="24"/>
          <w:lang w:val="en-GB"/>
        </w:rPr>
      </w:pPr>
    </w:p>
    <w:p w:rsidR="00305068" w:rsidRPr="000C3275" w:rsidRDefault="00305068" w:rsidP="00305068">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val="en-ZA" w:eastAsia="en-GB"/>
        </w:rPr>
        <w:lastRenderedPageBreak/>
        <w:t xml:space="preserve">The standard we must apply in these circumstances is not whether the applicants were treated unfairly but whether it was reasonable for them, armed with the correct facts, to form the reasonable suspicion that they were not.  </w:t>
      </w:r>
      <w:r w:rsidR="004322FF">
        <w:rPr>
          <w:rFonts w:ascii="Arial" w:eastAsia="Times New Roman" w:hAnsi="Arial" w:cs="Arial"/>
          <w:sz w:val="24"/>
          <w:szCs w:val="24"/>
          <w:lang w:val="en-ZA" w:eastAsia="en-GB"/>
        </w:rPr>
        <w:t>They ha</w:t>
      </w:r>
      <w:r w:rsidR="000E56F5">
        <w:rPr>
          <w:rFonts w:ascii="Arial" w:eastAsia="Times New Roman" w:hAnsi="Arial" w:cs="Arial"/>
          <w:sz w:val="24"/>
          <w:szCs w:val="24"/>
          <w:lang w:val="en-ZA" w:eastAsia="en-GB"/>
        </w:rPr>
        <w:t>d</w:t>
      </w:r>
      <w:r w:rsidR="004322FF">
        <w:rPr>
          <w:rFonts w:ascii="Arial" w:eastAsia="Times New Roman" w:hAnsi="Arial" w:cs="Arial"/>
          <w:sz w:val="24"/>
          <w:szCs w:val="24"/>
          <w:lang w:val="en-ZA" w:eastAsia="en-GB"/>
        </w:rPr>
        <w:t xml:space="preserve"> to discharge that </w:t>
      </w:r>
      <w:r w:rsidRPr="000C3275">
        <w:rPr>
          <w:rFonts w:ascii="Arial" w:eastAsia="Times New Roman" w:hAnsi="Arial" w:cs="Arial"/>
          <w:sz w:val="24"/>
          <w:szCs w:val="24"/>
          <w:lang w:val="en-ZA" w:eastAsia="en-GB"/>
        </w:rPr>
        <w:t xml:space="preserve">onus </w:t>
      </w:r>
      <w:r w:rsidR="004322FF">
        <w:rPr>
          <w:rFonts w:ascii="Arial" w:eastAsia="Times New Roman" w:hAnsi="Arial" w:cs="Arial"/>
          <w:sz w:val="24"/>
          <w:szCs w:val="24"/>
          <w:lang w:val="en-ZA" w:eastAsia="en-GB"/>
        </w:rPr>
        <w:t xml:space="preserve">and establish that </w:t>
      </w:r>
      <w:r w:rsidRPr="000C3275">
        <w:rPr>
          <w:rFonts w:ascii="Arial" w:eastAsia="Times New Roman" w:hAnsi="Arial" w:cs="Arial"/>
          <w:sz w:val="24"/>
          <w:szCs w:val="24"/>
          <w:lang w:val="en-ZA" w:eastAsia="en-GB"/>
        </w:rPr>
        <w:t>they are entitled to the relief they seek in the notice of motion.</w:t>
      </w:r>
    </w:p>
    <w:p w:rsidR="003D0AE0" w:rsidRPr="000C3275" w:rsidRDefault="003D0AE0" w:rsidP="003E11F8">
      <w:pPr>
        <w:pStyle w:val="ListParagraph"/>
        <w:spacing w:after="0" w:line="480" w:lineRule="auto"/>
        <w:rPr>
          <w:rFonts w:ascii="Arial" w:hAnsi="Arial" w:cs="Arial"/>
          <w:sz w:val="24"/>
          <w:szCs w:val="24"/>
        </w:rPr>
      </w:pPr>
    </w:p>
    <w:p w:rsidR="00C8066E" w:rsidRPr="00BE6A88" w:rsidRDefault="00F32B92" w:rsidP="00D86634">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For all of the above reasons</w:t>
      </w:r>
      <w:r w:rsidR="009A35B6" w:rsidRPr="000C3275">
        <w:rPr>
          <w:rFonts w:ascii="Arial" w:hAnsi="Arial" w:cs="Arial"/>
          <w:sz w:val="24"/>
          <w:szCs w:val="24"/>
        </w:rPr>
        <w:t>,</w:t>
      </w:r>
      <w:r w:rsidRPr="000C3275">
        <w:rPr>
          <w:rFonts w:ascii="Arial" w:hAnsi="Arial" w:cs="Arial"/>
          <w:sz w:val="24"/>
          <w:szCs w:val="24"/>
        </w:rPr>
        <w:t xml:space="preserve"> I am satisfied that the applicants made out the case:</w:t>
      </w:r>
    </w:p>
    <w:p w:rsidR="00BE6A88" w:rsidRPr="000C3275" w:rsidRDefault="00BE6A88" w:rsidP="00BE6A88">
      <w:pPr>
        <w:tabs>
          <w:tab w:val="left" w:pos="851"/>
        </w:tabs>
        <w:spacing w:after="0" w:line="480" w:lineRule="auto"/>
        <w:contextualSpacing/>
        <w:jc w:val="both"/>
        <w:rPr>
          <w:rFonts w:ascii="Arial" w:hAnsi="Arial" w:cs="Arial"/>
          <w:sz w:val="24"/>
          <w:szCs w:val="24"/>
          <w:lang w:val="en-GB"/>
        </w:rPr>
      </w:pPr>
    </w:p>
    <w:p w:rsidR="00C8066E" w:rsidRDefault="00C8066E" w:rsidP="00A17AD5">
      <w:pPr>
        <w:pStyle w:val="ListParagraph"/>
        <w:numPr>
          <w:ilvl w:val="0"/>
          <w:numId w:val="5"/>
        </w:numPr>
        <w:spacing w:after="0" w:line="480" w:lineRule="auto"/>
        <w:ind w:left="1418" w:hanging="567"/>
        <w:jc w:val="both"/>
        <w:rPr>
          <w:rFonts w:ascii="Arial" w:hAnsi="Arial" w:cs="Arial"/>
          <w:sz w:val="24"/>
          <w:szCs w:val="24"/>
        </w:rPr>
      </w:pPr>
      <w:r w:rsidRPr="000C3275">
        <w:rPr>
          <w:rFonts w:ascii="Arial" w:hAnsi="Arial" w:cs="Arial"/>
          <w:sz w:val="24"/>
          <w:szCs w:val="24"/>
        </w:rPr>
        <w:t>That the reasonable lay observer would on the known facts have reaso</w:t>
      </w:r>
      <w:r w:rsidR="00A465A0" w:rsidRPr="000C3275">
        <w:rPr>
          <w:rFonts w:ascii="Arial" w:hAnsi="Arial" w:cs="Arial"/>
          <w:sz w:val="24"/>
          <w:szCs w:val="24"/>
        </w:rPr>
        <w:t>nably formed the view that the petition j</w:t>
      </w:r>
      <w:r w:rsidRPr="000C3275">
        <w:rPr>
          <w:rFonts w:ascii="Arial" w:hAnsi="Arial" w:cs="Arial"/>
          <w:sz w:val="24"/>
          <w:szCs w:val="24"/>
        </w:rPr>
        <w:t xml:space="preserve">udge might not bring an impartial mind to bear in the petition; and that </w:t>
      </w:r>
    </w:p>
    <w:p w:rsidR="00BE6A88" w:rsidRPr="000C3275" w:rsidRDefault="00BE6A88" w:rsidP="00BE6A88">
      <w:pPr>
        <w:pStyle w:val="ListParagraph"/>
        <w:spacing w:after="0" w:line="480" w:lineRule="auto"/>
        <w:ind w:left="1418"/>
        <w:jc w:val="both"/>
        <w:rPr>
          <w:rFonts w:ascii="Arial" w:hAnsi="Arial" w:cs="Arial"/>
          <w:sz w:val="24"/>
          <w:szCs w:val="24"/>
        </w:rPr>
      </w:pPr>
    </w:p>
    <w:p w:rsidR="00A465A0" w:rsidRPr="000C3275" w:rsidRDefault="00A465A0" w:rsidP="008C4889">
      <w:pPr>
        <w:pStyle w:val="ListParagraph"/>
        <w:numPr>
          <w:ilvl w:val="0"/>
          <w:numId w:val="5"/>
        </w:numPr>
        <w:spacing w:after="0" w:line="480" w:lineRule="auto"/>
        <w:ind w:left="1418" w:hanging="567"/>
        <w:jc w:val="both"/>
        <w:rPr>
          <w:rFonts w:ascii="Arial" w:hAnsi="Arial" w:cs="Arial"/>
          <w:sz w:val="24"/>
          <w:szCs w:val="24"/>
        </w:rPr>
      </w:pPr>
      <w:r w:rsidRPr="000C3275">
        <w:rPr>
          <w:rFonts w:ascii="Arial" w:hAnsi="Arial" w:cs="Arial"/>
          <w:sz w:val="24"/>
          <w:szCs w:val="24"/>
        </w:rPr>
        <w:t>The petition j</w:t>
      </w:r>
      <w:r w:rsidR="00C8066E" w:rsidRPr="000C3275">
        <w:rPr>
          <w:rFonts w:ascii="Arial" w:hAnsi="Arial" w:cs="Arial"/>
          <w:sz w:val="24"/>
          <w:szCs w:val="24"/>
        </w:rPr>
        <w:t>udge ought not to have presided in the petition without seeking the views of the parties arising from his past associations and affording those desiring to do so to seek his recusal if so advise</w:t>
      </w:r>
      <w:r w:rsidRPr="000C3275">
        <w:rPr>
          <w:rFonts w:ascii="Arial" w:hAnsi="Arial" w:cs="Arial"/>
          <w:sz w:val="24"/>
          <w:szCs w:val="24"/>
        </w:rPr>
        <w:t>d</w:t>
      </w:r>
      <w:r w:rsidR="00C8066E" w:rsidRPr="000C3275">
        <w:rPr>
          <w:rFonts w:ascii="Arial" w:hAnsi="Arial" w:cs="Arial"/>
          <w:sz w:val="24"/>
          <w:szCs w:val="24"/>
        </w:rPr>
        <w:t xml:space="preserve">. </w:t>
      </w:r>
    </w:p>
    <w:p w:rsidR="0023721F" w:rsidRPr="000C3275" w:rsidRDefault="0023721F" w:rsidP="003E11F8">
      <w:pPr>
        <w:pStyle w:val="ListParagraph"/>
        <w:spacing w:after="0" w:line="480" w:lineRule="auto"/>
        <w:rPr>
          <w:rFonts w:ascii="Arial" w:hAnsi="Arial" w:cs="Arial"/>
          <w:sz w:val="24"/>
          <w:szCs w:val="24"/>
          <w:lang w:val="en-GB"/>
        </w:rPr>
      </w:pPr>
    </w:p>
    <w:p w:rsidR="00C8066E" w:rsidRPr="00A365FA" w:rsidRDefault="0023721F" w:rsidP="00A465A0">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It becomes unnecessary for me to consider the remaining grounds for recusal advanced by the applicants.</w:t>
      </w:r>
    </w:p>
    <w:p w:rsidR="00A365FA" w:rsidRPr="00EA1E8C" w:rsidRDefault="00A365FA" w:rsidP="00A365FA">
      <w:pPr>
        <w:tabs>
          <w:tab w:val="left" w:pos="851"/>
        </w:tabs>
        <w:spacing w:after="0" w:line="480" w:lineRule="auto"/>
        <w:contextualSpacing/>
        <w:jc w:val="both"/>
        <w:rPr>
          <w:rFonts w:ascii="Arial" w:hAnsi="Arial" w:cs="Arial"/>
          <w:sz w:val="24"/>
          <w:szCs w:val="24"/>
          <w:lang w:val="en-GB"/>
        </w:rPr>
      </w:pPr>
    </w:p>
    <w:p w:rsidR="00C8066E" w:rsidRPr="000C3275" w:rsidRDefault="00C8066E" w:rsidP="00BE6A88">
      <w:pPr>
        <w:spacing w:after="0" w:line="480" w:lineRule="auto"/>
        <w:jc w:val="both"/>
        <w:rPr>
          <w:rFonts w:ascii="Arial" w:hAnsi="Arial" w:cs="Arial"/>
          <w:sz w:val="24"/>
          <w:szCs w:val="24"/>
          <w:u w:val="single"/>
        </w:rPr>
      </w:pPr>
      <w:r w:rsidRPr="000C3275">
        <w:rPr>
          <w:rFonts w:ascii="Arial" w:hAnsi="Arial" w:cs="Arial"/>
          <w:sz w:val="24"/>
          <w:szCs w:val="24"/>
          <w:u w:val="single"/>
        </w:rPr>
        <w:t>Consequence of non-recusal</w:t>
      </w:r>
    </w:p>
    <w:p w:rsidR="00737E03" w:rsidRPr="000C3275" w:rsidRDefault="00F32B92" w:rsidP="00BE6A88">
      <w:pPr>
        <w:numPr>
          <w:ilvl w:val="0"/>
          <w:numId w:val="4"/>
        </w:numPr>
        <w:tabs>
          <w:tab w:val="left" w:pos="851"/>
        </w:tabs>
        <w:spacing w:after="0" w:line="480" w:lineRule="auto"/>
        <w:ind w:left="0" w:hanging="11"/>
        <w:contextualSpacing/>
        <w:jc w:val="both"/>
        <w:rPr>
          <w:rFonts w:ascii="Arial" w:hAnsi="Arial" w:cs="Arial"/>
          <w:b/>
          <w:sz w:val="24"/>
          <w:szCs w:val="24"/>
        </w:rPr>
      </w:pPr>
      <w:r w:rsidRPr="000C3275">
        <w:rPr>
          <w:rFonts w:ascii="Arial" w:hAnsi="Arial" w:cs="Arial"/>
          <w:sz w:val="24"/>
          <w:szCs w:val="24"/>
        </w:rPr>
        <w:t>Once it is established that a judge ought to have but did not recuse</w:t>
      </w:r>
      <w:r w:rsidR="004E772B">
        <w:rPr>
          <w:rFonts w:ascii="Arial" w:hAnsi="Arial" w:cs="Arial"/>
          <w:sz w:val="24"/>
          <w:szCs w:val="24"/>
        </w:rPr>
        <w:t xml:space="preserve"> himself</w:t>
      </w:r>
      <w:r w:rsidRPr="000C3275">
        <w:rPr>
          <w:rFonts w:ascii="Arial" w:hAnsi="Arial" w:cs="Arial"/>
          <w:sz w:val="24"/>
          <w:szCs w:val="24"/>
        </w:rPr>
        <w:t>, the failure vitiates.</w:t>
      </w:r>
      <w:r w:rsidR="00F8632B" w:rsidRPr="000C3275">
        <w:rPr>
          <w:rStyle w:val="FootnoteReference"/>
          <w:rFonts w:ascii="Arial" w:hAnsi="Arial" w:cs="Arial"/>
          <w:sz w:val="24"/>
          <w:szCs w:val="24"/>
        </w:rPr>
        <w:t xml:space="preserve"> </w:t>
      </w:r>
      <w:r w:rsidR="00F8632B" w:rsidRPr="000C3275">
        <w:rPr>
          <w:rStyle w:val="FootnoteReference"/>
          <w:rFonts w:ascii="Arial" w:hAnsi="Arial" w:cs="Arial"/>
          <w:sz w:val="24"/>
          <w:szCs w:val="24"/>
        </w:rPr>
        <w:footnoteReference w:id="27"/>
      </w:r>
      <w:r w:rsidRPr="000C3275">
        <w:rPr>
          <w:rFonts w:ascii="Arial" w:hAnsi="Arial" w:cs="Arial"/>
          <w:sz w:val="24"/>
          <w:szCs w:val="24"/>
        </w:rPr>
        <w:t xml:space="preserve"> I did not understand the respondents to suggest otherwise</w:t>
      </w:r>
      <w:r w:rsidR="00F8632B" w:rsidRPr="000C3275">
        <w:rPr>
          <w:rFonts w:ascii="Arial" w:hAnsi="Arial" w:cs="Arial"/>
          <w:sz w:val="24"/>
          <w:szCs w:val="24"/>
        </w:rPr>
        <w:t>.</w:t>
      </w:r>
    </w:p>
    <w:p w:rsidR="00290E67" w:rsidRPr="000C3275" w:rsidRDefault="004E772B" w:rsidP="000364A8">
      <w:pPr>
        <w:numPr>
          <w:ilvl w:val="0"/>
          <w:numId w:val="4"/>
        </w:numPr>
        <w:tabs>
          <w:tab w:val="left" w:pos="851"/>
        </w:tabs>
        <w:spacing w:after="0" w:line="480" w:lineRule="auto"/>
        <w:ind w:left="0" w:hanging="11"/>
        <w:contextualSpacing/>
        <w:jc w:val="both"/>
        <w:rPr>
          <w:rFonts w:ascii="Arial" w:hAnsi="Arial" w:cs="Arial"/>
          <w:sz w:val="24"/>
          <w:szCs w:val="24"/>
        </w:rPr>
      </w:pPr>
      <w:r>
        <w:rPr>
          <w:rFonts w:ascii="Arial" w:hAnsi="Arial" w:cs="Arial"/>
          <w:sz w:val="24"/>
          <w:szCs w:val="24"/>
        </w:rPr>
        <w:lastRenderedPageBreak/>
        <w:t>This court</w:t>
      </w:r>
      <w:r w:rsidR="008C4889" w:rsidRPr="000C3275">
        <w:rPr>
          <w:rFonts w:ascii="Arial" w:hAnsi="Arial" w:cs="Arial"/>
          <w:sz w:val="24"/>
          <w:szCs w:val="24"/>
        </w:rPr>
        <w:t xml:space="preserve"> has made clear that in an appropriate case it will reverse its own earlier decision in an exceptional case</w:t>
      </w:r>
      <w:r w:rsidR="00FB171D" w:rsidRPr="000C3275">
        <w:rPr>
          <w:rFonts w:ascii="Arial" w:hAnsi="Arial" w:cs="Arial"/>
          <w:sz w:val="24"/>
          <w:szCs w:val="24"/>
        </w:rPr>
        <w:t xml:space="preserve"> and specifically referenced the situation where a member of the court ought to have but did not recuse themselves</w:t>
      </w:r>
      <w:r w:rsidR="00737E03" w:rsidRPr="000C3275">
        <w:rPr>
          <w:rFonts w:ascii="Arial" w:hAnsi="Arial" w:cs="Arial"/>
          <w:sz w:val="24"/>
          <w:szCs w:val="24"/>
        </w:rPr>
        <w:t>.</w:t>
      </w:r>
      <w:r w:rsidR="008C4889" w:rsidRPr="000C3275">
        <w:rPr>
          <w:rStyle w:val="FootnoteReference"/>
          <w:rFonts w:ascii="Arial" w:hAnsi="Arial" w:cs="Arial"/>
          <w:sz w:val="24"/>
          <w:szCs w:val="24"/>
        </w:rPr>
        <w:footnoteReference w:id="28"/>
      </w:r>
      <w:r w:rsidR="00290E67" w:rsidRPr="000C3275">
        <w:rPr>
          <w:rFonts w:ascii="Arial" w:hAnsi="Arial" w:cs="Arial"/>
          <w:sz w:val="24"/>
          <w:szCs w:val="24"/>
        </w:rPr>
        <w:t xml:space="preserve"> </w:t>
      </w:r>
    </w:p>
    <w:p w:rsidR="00DB38FF" w:rsidRPr="000C3275" w:rsidRDefault="00DB38FF" w:rsidP="003E11F8">
      <w:pPr>
        <w:spacing w:after="0" w:line="480" w:lineRule="auto"/>
        <w:jc w:val="both"/>
        <w:rPr>
          <w:rFonts w:ascii="Arial" w:hAnsi="Arial" w:cs="Arial"/>
          <w:sz w:val="24"/>
          <w:szCs w:val="24"/>
        </w:rPr>
      </w:pPr>
    </w:p>
    <w:p w:rsidR="00A465A0" w:rsidRPr="000C3275" w:rsidRDefault="00A465A0" w:rsidP="0064564D">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The petition judge’s refusal of the petition is of no force and effect and we are at large to consider afresh the applicants’ application for leave to appeal</w:t>
      </w:r>
      <w:r w:rsidR="00B75D07">
        <w:rPr>
          <w:rFonts w:ascii="Arial" w:hAnsi="Arial" w:cs="Arial"/>
          <w:sz w:val="24"/>
          <w:szCs w:val="24"/>
        </w:rPr>
        <w:t xml:space="preserve"> the order of stay</w:t>
      </w:r>
      <w:r w:rsidRPr="000C3275">
        <w:rPr>
          <w:rFonts w:ascii="Arial" w:hAnsi="Arial" w:cs="Arial"/>
          <w:sz w:val="24"/>
          <w:szCs w:val="24"/>
        </w:rPr>
        <w:t>.</w:t>
      </w:r>
    </w:p>
    <w:p w:rsidR="00290E67" w:rsidRPr="000C3275" w:rsidRDefault="00290E67" w:rsidP="0064564D">
      <w:pPr>
        <w:tabs>
          <w:tab w:val="left" w:pos="851"/>
        </w:tabs>
        <w:spacing w:after="0" w:line="480" w:lineRule="auto"/>
        <w:contextualSpacing/>
        <w:jc w:val="both"/>
        <w:rPr>
          <w:rFonts w:ascii="Arial" w:hAnsi="Arial" w:cs="Arial"/>
          <w:sz w:val="24"/>
          <w:szCs w:val="24"/>
          <w:lang w:val="en-GB"/>
        </w:rPr>
      </w:pPr>
    </w:p>
    <w:p w:rsidR="00290E67" w:rsidRPr="000C3275" w:rsidRDefault="00290E67" w:rsidP="0064564D">
      <w:pPr>
        <w:pStyle w:val="ListParagraph"/>
        <w:spacing w:after="0" w:line="480" w:lineRule="auto"/>
        <w:ind w:left="0"/>
        <w:rPr>
          <w:rFonts w:ascii="Arial" w:eastAsia="Times New Roman" w:hAnsi="Arial" w:cs="Arial"/>
          <w:sz w:val="24"/>
          <w:szCs w:val="24"/>
          <w:u w:val="single"/>
          <w:lang w:eastAsia="en-GB"/>
        </w:rPr>
      </w:pPr>
      <w:r w:rsidRPr="000C3275">
        <w:rPr>
          <w:rFonts w:ascii="Arial" w:eastAsia="Times New Roman" w:hAnsi="Arial" w:cs="Arial"/>
          <w:sz w:val="24"/>
          <w:szCs w:val="24"/>
          <w:u w:val="single"/>
          <w:lang w:eastAsia="en-GB"/>
        </w:rPr>
        <w:t>Should leave to appeal be granted?</w:t>
      </w:r>
    </w:p>
    <w:p w:rsidR="00B8378C" w:rsidRPr="00A365FA" w:rsidRDefault="00290E67" w:rsidP="0064564D">
      <w:pPr>
        <w:numPr>
          <w:ilvl w:val="0"/>
          <w:numId w:val="4"/>
        </w:numPr>
        <w:shd w:val="clear" w:color="auto" w:fill="FFFFFF" w:themeFill="background1"/>
        <w:tabs>
          <w:tab w:val="left" w:pos="851"/>
        </w:tabs>
        <w:spacing w:after="0" w:line="480" w:lineRule="auto"/>
        <w:ind w:left="0" w:hanging="11"/>
        <w:contextualSpacing/>
        <w:jc w:val="both"/>
        <w:rPr>
          <w:rFonts w:ascii="Arial" w:hAnsi="Arial" w:cs="Arial"/>
          <w:sz w:val="24"/>
          <w:szCs w:val="24"/>
          <w:lang w:val="en-GB"/>
        </w:rPr>
      </w:pPr>
      <w:r w:rsidRPr="00B8378C">
        <w:rPr>
          <w:rFonts w:ascii="Arial" w:hAnsi="Arial" w:cs="Arial"/>
          <w:sz w:val="24"/>
          <w:szCs w:val="24"/>
        </w:rPr>
        <w:t>The parties proceeded from the premise that the application to compel</w:t>
      </w:r>
      <w:r w:rsidR="000E56F5">
        <w:rPr>
          <w:rFonts w:ascii="Arial" w:hAnsi="Arial" w:cs="Arial"/>
          <w:sz w:val="24"/>
          <w:szCs w:val="24"/>
        </w:rPr>
        <w:t>,</w:t>
      </w:r>
      <w:r w:rsidRPr="00B8378C">
        <w:rPr>
          <w:rFonts w:ascii="Arial" w:hAnsi="Arial" w:cs="Arial"/>
          <w:sz w:val="24"/>
          <w:szCs w:val="24"/>
        </w:rPr>
        <w:t xml:space="preserve"> which was met with the collateral challenge of the respondents</w:t>
      </w:r>
      <w:r w:rsidR="000E56F5">
        <w:rPr>
          <w:rFonts w:ascii="Arial" w:hAnsi="Arial" w:cs="Arial"/>
          <w:sz w:val="24"/>
          <w:szCs w:val="24"/>
        </w:rPr>
        <w:t>,</w:t>
      </w:r>
      <w:r w:rsidRPr="00B8378C">
        <w:rPr>
          <w:rFonts w:ascii="Arial" w:hAnsi="Arial" w:cs="Arial"/>
          <w:sz w:val="24"/>
          <w:szCs w:val="24"/>
        </w:rPr>
        <w:t xml:space="preserve"> was an interlocutory proceeding and that leave </w:t>
      </w:r>
      <w:r w:rsidR="00DB38FF" w:rsidRPr="00B8378C">
        <w:rPr>
          <w:rFonts w:ascii="Arial" w:hAnsi="Arial" w:cs="Arial"/>
          <w:sz w:val="24"/>
          <w:szCs w:val="24"/>
        </w:rPr>
        <w:t>of the High Court was</w:t>
      </w:r>
      <w:r w:rsidRPr="00B8378C">
        <w:rPr>
          <w:rFonts w:ascii="Arial" w:hAnsi="Arial" w:cs="Arial"/>
          <w:sz w:val="24"/>
          <w:szCs w:val="24"/>
        </w:rPr>
        <w:t xml:space="preserve"> required for an appeal to the Supreme Court.</w:t>
      </w:r>
      <w:r w:rsidR="00B8378C" w:rsidRPr="00B8378C">
        <w:rPr>
          <w:rFonts w:ascii="Arial" w:hAnsi="Arial" w:cs="Arial"/>
          <w:sz w:val="24"/>
          <w:szCs w:val="24"/>
        </w:rPr>
        <w:t xml:space="preserve"> </w:t>
      </w:r>
      <w:r w:rsidRPr="00B8378C">
        <w:rPr>
          <w:rFonts w:ascii="Arial" w:hAnsi="Arial" w:cs="Arial"/>
          <w:sz w:val="24"/>
          <w:szCs w:val="24"/>
        </w:rPr>
        <w:t>The High Court refused the applicants</w:t>
      </w:r>
      <w:r w:rsidR="000E56F5">
        <w:rPr>
          <w:rFonts w:ascii="Arial" w:hAnsi="Arial" w:cs="Arial"/>
          <w:sz w:val="24"/>
          <w:szCs w:val="24"/>
        </w:rPr>
        <w:t>’</w:t>
      </w:r>
      <w:r w:rsidRPr="00B8378C">
        <w:rPr>
          <w:rFonts w:ascii="Arial" w:hAnsi="Arial" w:cs="Arial"/>
          <w:sz w:val="24"/>
          <w:szCs w:val="24"/>
        </w:rPr>
        <w:t xml:space="preserve"> leave to appeal to this court on the ground, as it found, that the order of stay was interim in nature, did not finally determine the rights of the parties and, therefore, not appealable. </w:t>
      </w:r>
      <w:r w:rsidR="00B8378C" w:rsidRPr="00B8378C">
        <w:rPr>
          <w:rFonts w:ascii="Arial" w:hAnsi="Arial" w:cs="Arial"/>
          <w:sz w:val="24"/>
          <w:szCs w:val="24"/>
        </w:rPr>
        <w:t xml:space="preserve">The Court relied on the triad of factors articulated in the South African Appellate Division judgment in </w:t>
      </w:r>
      <w:proofErr w:type="spellStart"/>
      <w:r w:rsidR="00B8378C" w:rsidRPr="00B8378C">
        <w:rPr>
          <w:rFonts w:ascii="Arial" w:hAnsi="Arial" w:cs="Arial"/>
          <w:i/>
          <w:sz w:val="24"/>
          <w:szCs w:val="24"/>
        </w:rPr>
        <w:t>Zweni</w:t>
      </w:r>
      <w:proofErr w:type="spellEnd"/>
      <w:r w:rsidR="00B8378C" w:rsidRPr="00B8378C">
        <w:rPr>
          <w:rFonts w:ascii="Arial" w:hAnsi="Arial" w:cs="Arial"/>
          <w:i/>
          <w:sz w:val="24"/>
          <w:szCs w:val="24"/>
        </w:rPr>
        <w:t xml:space="preserve"> v Minister of Law and Order.</w:t>
      </w:r>
      <w:r w:rsidR="00B8378C" w:rsidRPr="00B8378C">
        <w:rPr>
          <w:rStyle w:val="FootnoteReference"/>
          <w:rFonts w:ascii="Arial" w:hAnsi="Arial" w:cs="Arial"/>
          <w:sz w:val="24"/>
          <w:szCs w:val="24"/>
        </w:rPr>
        <w:footnoteReference w:id="29"/>
      </w:r>
      <w:r w:rsidR="00B8378C" w:rsidRPr="00B8378C">
        <w:rPr>
          <w:rFonts w:ascii="Arial" w:hAnsi="Arial" w:cs="Arial"/>
          <w:sz w:val="24"/>
          <w:szCs w:val="24"/>
        </w:rPr>
        <w:t xml:space="preserve"> The respondents support that conclusion. </w:t>
      </w:r>
    </w:p>
    <w:p w:rsidR="00A365FA" w:rsidRPr="00B8378C" w:rsidRDefault="00A365FA" w:rsidP="00A365FA">
      <w:pPr>
        <w:shd w:val="clear" w:color="auto" w:fill="FFFFFF" w:themeFill="background1"/>
        <w:tabs>
          <w:tab w:val="left" w:pos="851"/>
        </w:tabs>
        <w:spacing w:after="0" w:line="480" w:lineRule="auto"/>
        <w:contextualSpacing/>
        <w:jc w:val="both"/>
        <w:rPr>
          <w:rFonts w:ascii="Arial" w:hAnsi="Arial" w:cs="Arial"/>
          <w:sz w:val="24"/>
          <w:szCs w:val="24"/>
          <w:lang w:val="en-GB"/>
        </w:rPr>
      </w:pPr>
    </w:p>
    <w:p w:rsidR="00DC7785" w:rsidRPr="000C3275" w:rsidRDefault="00DC7785" w:rsidP="00047CED">
      <w:pPr>
        <w:numPr>
          <w:ilvl w:val="0"/>
          <w:numId w:val="4"/>
        </w:numPr>
        <w:tabs>
          <w:tab w:val="left" w:pos="851"/>
        </w:tabs>
        <w:spacing w:after="0" w:line="480" w:lineRule="auto"/>
        <w:ind w:left="0" w:hanging="11"/>
        <w:contextualSpacing/>
        <w:jc w:val="both"/>
        <w:rPr>
          <w:rFonts w:ascii="Arial" w:hAnsi="Arial" w:cs="Arial"/>
          <w:sz w:val="24"/>
          <w:szCs w:val="24"/>
        </w:rPr>
      </w:pPr>
      <w:r w:rsidRPr="000C3275">
        <w:rPr>
          <w:rFonts w:ascii="Arial" w:hAnsi="Arial" w:cs="Arial"/>
          <w:sz w:val="24"/>
          <w:szCs w:val="24"/>
        </w:rPr>
        <w:t>In terms of s 18</w:t>
      </w:r>
      <w:r w:rsidR="00D10944" w:rsidRPr="000C3275">
        <w:rPr>
          <w:rFonts w:ascii="Arial" w:hAnsi="Arial" w:cs="Arial"/>
          <w:sz w:val="24"/>
          <w:szCs w:val="24"/>
        </w:rPr>
        <w:t>(3) of the High Court Act 16 of 1990, for a party to appeal against a judgment or order of the High Court, two requirements must be met. The first is that the judgment or order must be appe</w:t>
      </w:r>
      <w:r w:rsidR="00B8378C">
        <w:rPr>
          <w:rFonts w:ascii="Arial" w:hAnsi="Arial" w:cs="Arial"/>
          <w:sz w:val="24"/>
          <w:szCs w:val="24"/>
        </w:rPr>
        <w:t>alable and secondly if the judg</w:t>
      </w:r>
      <w:r w:rsidR="00D10944" w:rsidRPr="000C3275">
        <w:rPr>
          <w:rFonts w:ascii="Arial" w:hAnsi="Arial" w:cs="Arial"/>
          <w:sz w:val="24"/>
          <w:szCs w:val="24"/>
        </w:rPr>
        <w:t xml:space="preserve">ment or order is interlocutory, leave to appeal against it must first be granted by the High Court and </w:t>
      </w:r>
      <w:r w:rsidR="00D10944" w:rsidRPr="000C3275">
        <w:rPr>
          <w:rFonts w:ascii="Arial" w:hAnsi="Arial" w:cs="Arial"/>
          <w:sz w:val="24"/>
          <w:szCs w:val="24"/>
        </w:rPr>
        <w:lastRenderedPageBreak/>
        <w:t>if refused, leave should be obtained from the Supreme Court by way of petition to the Chief Justice.</w:t>
      </w:r>
      <w:r w:rsidR="00D10944" w:rsidRPr="000C3275">
        <w:rPr>
          <w:rStyle w:val="FootnoteReference"/>
          <w:rFonts w:ascii="Arial" w:hAnsi="Arial" w:cs="Arial"/>
          <w:sz w:val="24"/>
          <w:szCs w:val="24"/>
        </w:rPr>
        <w:footnoteReference w:id="30"/>
      </w:r>
    </w:p>
    <w:p w:rsidR="00DC7785" w:rsidRPr="000C3275" w:rsidRDefault="00DC7785" w:rsidP="003E11F8">
      <w:pPr>
        <w:tabs>
          <w:tab w:val="left" w:pos="851"/>
        </w:tabs>
        <w:spacing w:after="0" w:line="480" w:lineRule="auto"/>
        <w:contextualSpacing/>
        <w:jc w:val="both"/>
        <w:rPr>
          <w:rFonts w:ascii="Arial" w:hAnsi="Arial" w:cs="Arial"/>
          <w:sz w:val="24"/>
          <w:szCs w:val="24"/>
        </w:rPr>
      </w:pPr>
    </w:p>
    <w:p w:rsidR="00290E67" w:rsidRPr="000C3275" w:rsidRDefault="00290E67" w:rsidP="00047CED">
      <w:pPr>
        <w:numPr>
          <w:ilvl w:val="0"/>
          <w:numId w:val="4"/>
        </w:numPr>
        <w:tabs>
          <w:tab w:val="left" w:pos="851"/>
        </w:tabs>
        <w:spacing w:after="0" w:line="480" w:lineRule="auto"/>
        <w:ind w:left="0" w:hanging="11"/>
        <w:contextualSpacing/>
        <w:jc w:val="both"/>
        <w:rPr>
          <w:rFonts w:ascii="Arial" w:hAnsi="Arial" w:cs="Arial"/>
          <w:sz w:val="24"/>
          <w:szCs w:val="24"/>
        </w:rPr>
      </w:pPr>
      <w:r w:rsidRPr="000C3275">
        <w:rPr>
          <w:rFonts w:ascii="Arial" w:hAnsi="Arial" w:cs="Arial"/>
          <w:sz w:val="24"/>
          <w:szCs w:val="24"/>
        </w:rPr>
        <w:t>Therefore, what falls to be determined, since we have now become seized with the petition for leave to appeal, is whether the applicants made out the case</w:t>
      </w:r>
      <w:r w:rsidR="0023721F" w:rsidRPr="000C3275">
        <w:rPr>
          <w:rFonts w:ascii="Arial" w:hAnsi="Arial" w:cs="Arial"/>
          <w:sz w:val="24"/>
          <w:szCs w:val="24"/>
        </w:rPr>
        <w:t xml:space="preserve">, first, that the order of stay is appealable and, second, whether it enjoys prospects of success. </w:t>
      </w:r>
      <w:r w:rsidR="00DB38FF" w:rsidRPr="000C3275">
        <w:rPr>
          <w:rFonts w:ascii="Arial" w:hAnsi="Arial" w:cs="Arial"/>
          <w:sz w:val="24"/>
          <w:szCs w:val="24"/>
        </w:rPr>
        <w:t>T</w:t>
      </w:r>
      <w:r w:rsidR="0023721F" w:rsidRPr="000C3275">
        <w:rPr>
          <w:rFonts w:ascii="Arial" w:hAnsi="Arial" w:cs="Arial"/>
          <w:sz w:val="24"/>
          <w:szCs w:val="24"/>
        </w:rPr>
        <w:t xml:space="preserve">hose two questions are inextricably linked in </w:t>
      </w:r>
      <w:r w:rsidR="00DB38FF" w:rsidRPr="000C3275">
        <w:rPr>
          <w:rFonts w:ascii="Arial" w:hAnsi="Arial" w:cs="Arial"/>
          <w:sz w:val="24"/>
          <w:szCs w:val="24"/>
        </w:rPr>
        <w:t>light</w:t>
      </w:r>
      <w:r w:rsidR="0023721F" w:rsidRPr="000C3275">
        <w:rPr>
          <w:rFonts w:ascii="Arial" w:hAnsi="Arial" w:cs="Arial"/>
          <w:sz w:val="24"/>
          <w:szCs w:val="24"/>
        </w:rPr>
        <w:t xml:space="preserve"> of the nature of the order granted by the High Court. </w:t>
      </w:r>
      <w:r w:rsidRPr="000C3275">
        <w:rPr>
          <w:rFonts w:ascii="Arial" w:hAnsi="Arial" w:cs="Arial"/>
          <w:sz w:val="24"/>
          <w:szCs w:val="24"/>
        </w:rPr>
        <w:t xml:space="preserve"> </w:t>
      </w:r>
    </w:p>
    <w:p w:rsidR="0023721F" w:rsidRPr="000C3275" w:rsidRDefault="0023721F" w:rsidP="003E11F8">
      <w:pPr>
        <w:pStyle w:val="ListParagraph"/>
        <w:spacing w:after="0" w:line="480" w:lineRule="auto"/>
        <w:rPr>
          <w:rFonts w:ascii="Arial" w:hAnsi="Arial" w:cs="Arial"/>
          <w:sz w:val="24"/>
          <w:szCs w:val="24"/>
        </w:rPr>
      </w:pPr>
    </w:p>
    <w:p w:rsidR="00290E67" w:rsidRPr="000C3275" w:rsidRDefault="00290E67" w:rsidP="00047CED">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The applicants seek leave to appeal to </w:t>
      </w:r>
      <w:r w:rsidR="00B8378C">
        <w:rPr>
          <w:rFonts w:ascii="Arial" w:hAnsi="Arial" w:cs="Arial"/>
          <w:sz w:val="24"/>
          <w:szCs w:val="24"/>
        </w:rPr>
        <w:t>this</w:t>
      </w:r>
      <w:r w:rsidRPr="000C3275">
        <w:rPr>
          <w:rFonts w:ascii="Arial" w:hAnsi="Arial" w:cs="Arial"/>
          <w:sz w:val="24"/>
          <w:szCs w:val="24"/>
        </w:rPr>
        <w:t xml:space="preserve"> Court against the order of stay on </w:t>
      </w:r>
      <w:r w:rsidR="008B6150">
        <w:rPr>
          <w:rFonts w:ascii="Arial" w:hAnsi="Arial" w:cs="Arial"/>
          <w:sz w:val="24"/>
          <w:szCs w:val="24"/>
        </w:rPr>
        <w:t>the following</w:t>
      </w:r>
      <w:r w:rsidRPr="000C3275">
        <w:rPr>
          <w:rFonts w:ascii="Arial" w:hAnsi="Arial" w:cs="Arial"/>
          <w:sz w:val="24"/>
          <w:szCs w:val="24"/>
        </w:rPr>
        <w:t xml:space="preserve"> bases</w:t>
      </w:r>
      <w:r w:rsidR="008B6150">
        <w:rPr>
          <w:rFonts w:ascii="Arial" w:hAnsi="Arial" w:cs="Arial"/>
          <w:sz w:val="24"/>
          <w:szCs w:val="24"/>
        </w:rPr>
        <w:t xml:space="preserve">: First, that the court a </w:t>
      </w:r>
      <w:r w:rsidR="008B6150" w:rsidRPr="00036990">
        <w:rPr>
          <w:rFonts w:ascii="Arial" w:hAnsi="Arial" w:cs="Arial"/>
          <w:i/>
          <w:sz w:val="24"/>
          <w:szCs w:val="24"/>
        </w:rPr>
        <w:t>quo</w:t>
      </w:r>
      <w:r w:rsidR="008B6150">
        <w:rPr>
          <w:rFonts w:ascii="Arial" w:hAnsi="Arial" w:cs="Arial"/>
          <w:sz w:val="24"/>
          <w:szCs w:val="24"/>
        </w:rPr>
        <w:t xml:space="preserve"> erred in its approach to the test for leave to appeal because it failed to have regard to the principle </w:t>
      </w:r>
      <w:r w:rsidR="0088112F">
        <w:rPr>
          <w:rFonts w:ascii="Arial" w:hAnsi="Arial" w:cs="Arial"/>
          <w:sz w:val="24"/>
          <w:szCs w:val="24"/>
        </w:rPr>
        <w:t xml:space="preserve">that an order is appealable as of right because of the presence of other considerations </w:t>
      </w:r>
      <w:r w:rsidR="008B6150">
        <w:rPr>
          <w:rFonts w:ascii="Arial" w:hAnsi="Arial" w:cs="Arial"/>
          <w:sz w:val="24"/>
          <w:szCs w:val="24"/>
        </w:rPr>
        <w:t xml:space="preserve">which, </w:t>
      </w:r>
      <w:r w:rsidR="008B6150" w:rsidRPr="002920C0">
        <w:rPr>
          <w:rFonts w:ascii="Arial" w:hAnsi="Arial" w:cs="Arial"/>
          <w:sz w:val="24"/>
          <w:szCs w:val="24"/>
        </w:rPr>
        <w:t xml:space="preserve">as </w:t>
      </w:r>
      <w:r w:rsidR="002920C0" w:rsidRPr="002920C0">
        <w:rPr>
          <w:rFonts w:ascii="Arial" w:hAnsi="Arial" w:cs="Arial"/>
          <w:sz w:val="24"/>
          <w:szCs w:val="24"/>
        </w:rPr>
        <w:t>in the present case</w:t>
      </w:r>
      <w:r w:rsidR="0088112F">
        <w:rPr>
          <w:rFonts w:ascii="Arial" w:hAnsi="Arial" w:cs="Arial"/>
          <w:sz w:val="24"/>
          <w:szCs w:val="24"/>
        </w:rPr>
        <w:t>, do</w:t>
      </w:r>
      <w:r w:rsidR="008B6150">
        <w:rPr>
          <w:rFonts w:ascii="Arial" w:hAnsi="Arial" w:cs="Arial"/>
          <w:sz w:val="24"/>
          <w:szCs w:val="24"/>
        </w:rPr>
        <w:t xml:space="preserve"> not fit the </w:t>
      </w:r>
      <w:proofErr w:type="spellStart"/>
      <w:r w:rsidR="008B6150">
        <w:rPr>
          <w:rFonts w:ascii="Arial" w:hAnsi="Arial" w:cs="Arial"/>
          <w:sz w:val="24"/>
          <w:szCs w:val="24"/>
        </w:rPr>
        <w:t>mould</w:t>
      </w:r>
      <w:proofErr w:type="spellEnd"/>
      <w:r w:rsidR="008B6150">
        <w:rPr>
          <w:rFonts w:ascii="Arial" w:hAnsi="Arial" w:cs="Arial"/>
          <w:sz w:val="24"/>
          <w:szCs w:val="24"/>
        </w:rPr>
        <w:t xml:space="preserve"> of </w:t>
      </w:r>
      <w:proofErr w:type="spellStart"/>
      <w:r w:rsidR="008B6150" w:rsidRPr="008B6150">
        <w:rPr>
          <w:rFonts w:ascii="Arial" w:hAnsi="Arial" w:cs="Arial"/>
          <w:i/>
          <w:sz w:val="24"/>
          <w:szCs w:val="24"/>
        </w:rPr>
        <w:t>Zweni</w:t>
      </w:r>
      <w:proofErr w:type="spellEnd"/>
      <w:r w:rsidR="0088112F">
        <w:rPr>
          <w:rFonts w:ascii="Arial" w:hAnsi="Arial" w:cs="Arial"/>
          <w:i/>
          <w:sz w:val="24"/>
          <w:szCs w:val="24"/>
        </w:rPr>
        <w:t>.</w:t>
      </w:r>
      <w:r w:rsidR="008B6150">
        <w:rPr>
          <w:rFonts w:ascii="Arial" w:hAnsi="Arial" w:cs="Arial"/>
          <w:sz w:val="24"/>
          <w:szCs w:val="24"/>
        </w:rPr>
        <w:t xml:space="preserve"> The applicants maintained that the High Court</w:t>
      </w:r>
      <w:r w:rsidR="002920C0">
        <w:rPr>
          <w:rFonts w:ascii="Arial" w:hAnsi="Arial" w:cs="Arial"/>
          <w:sz w:val="24"/>
          <w:szCs w:val="24"/>
        </w:rPr>
        <w:t>’s order</w:t>
      </w:r>
      <w:r w:rsidR="008B6150">
        <w:rPr>
          <w:rFonts w:ascii="Arial" w:hAnsi="Arial" w:cs="Arial"/>
          <w:sz w:val="24"/>
          <w:szCs w:val="24"/>
        </w:rPr>
        <w:t xml:space="preserve"> was final in effect even if it was framed as interim. Second, </w:t>
      </w:r>
      <w:r w:rsidR="008B6150" w:rsidRPr="008B6150">
        <w:rPr>
          <w:rFonts w:ascii="Arial" w:hAnsi="Arial" w:cs="Arial"/>
          <w:color w:val="000000" w:themeColor="text1"/>
          <w:sz w:val="24"/>
          <w:szCs w:val="24"/>
        </w:rPr>
        <w:t xml:space="preserve">that the court’s order was not sought by any of the parties and, </w:t>
      </w:r>
      <w:r w:rsidR="008B6150">
        <w:rPr>
          <w:rFonts w:ascii="Arial" w:hAnsi="Arial" w:cs="Arial"/>
          <w:color w:val="000000" w:themeColor="text1"/>
          <w:sz w:val="24"/>
          <w:szCs w:val="24"/>
        </w:rPr>
        <w:t>thirdly</w:t>
      </w:r>
      <w:r w:rsidR="008B6150" w:rsidRPr="008B6150">
        <w:rPr>
          <w:rFonts w:ascii="Arial" w:hAnsi="Arial" w:cs="Arial"/>
          <w:color w:val="000000" w:themeColor="text1"/>
          <w:sz w:val="24"/>
          <w:szCs w:val="24"/>
        </w:rPr>
        <w:t xml:space="preserve"> </w:t>
      </w:r>
      <w:r w:rsidR="008B6150" w:rsidRPr="008B6150">
        <w:rPr>
          <w:rFonts w:ascii="Arial" w:hAnsi="Arial" w:cs="Arial"/>
          <w:sz w:val="24"/>
          <w:szCs w:val="24"/>
        </w:rPr>
        <w:t>that</w:t>
      </w:r>
      <w:r w:rsidR="008B6150" w:rsidRPr="000C3275">
        <w:rPr>
          <w:rFonts w:ascii="Arial" w:hAnsi="Arial" w:cs="Arial"/>
          <w:sz w:val="24"/>
          <w:szCs w:val="24"/>
        </w:rPr>
        <w:t xml:space="preserve"> an order staying the implementation of legislation is a judicial overreach as it does violence to the constitutionally </w:t>
      </w:r>
      <w:proofErr w:type="spellStart"/>
      <w:r w:rsidR="008B6150" w:rsidRPr="000C3275">
        <w:rPr>
          <w:rFonts w:ascii="Arial" w:hAnsi="Arial" w:cs="Arial"/>
          <w:sz w:val="24"/>
          <w:szCs w:val="24"/>
        </w:rPr>
        <w:t>recognised</w:t>
      </w:r>
      <w:proofErr w:type="spellEnd"/>
      <w:r w:rsidR="008B6150" w:rsidRPr="000C3275">
        <w:rPr>
          <w:rFonts w:ascii="Arial" w:hAnsi="Arial" w:cs="Arial"/>
          <w:sz w:val="24"/>
          <w:szCs w:val="24"/>
        </w:rPr>
        <w:t xml:space="preserve"> principle of separation of powers. </w:t>
      </w:r>
      <w:r w:rsidR="008B6150" w:rsidRPr="000C3275">
        <w:rPr>
          <w:rFonts w:ascii="Arial" w:eastAsia="Times New Roman" w:hAnsi="Arial" w:cs="Arial"/>
          <w:sz w:val="24"/>
          <w:szCs w:val="24"/>
          <w:lang w:eastAsia="en-GB"/>
        </w:rPr>
        <w:t>The competence of the order of suspension is therefore at the forefront of the application for leave to appeal.</w:t>
      </w:r>
    </w:p>
    <w:p w:rsidR="00290E67" w:rsidRPr="000C3275" w:rsidRDefault="00290E67" w:rsidP="003E11F8">
      <w:pPr>
        <w:pStyle w:val="ListParagraph"/>
        <w:spacing w:after="0" w:line="480" w:lineRule="auto"/>
        <w:rPr>
          <w:rFonts w:ascii="Arial" w:hAnsi="Arial" w:cs="Arial"/>
          <w:sz w:val="24"/>
          <w:szCs w:val="24"/>
        </w:rPr>
      </w:pPr>
    </w:p>
    <w:p w:rsidR="00290E67" w:rsidRPr="000C3275" w:rsidRDefault="00290E67" w:rsidP="00047CED">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In view of the grounds on which leave to appeal is sought, it is necessary to first set out what was before the High Court.</w:t>
      </w:r>
    </w:p>
    <w:p w:rsidR="00290E67" w:rsidRPr="000C3275" w:rsidRDefault="00290E67" w:rsidP="003E11F8">
      <w:pPr>
        <w:pStyle w:val="ListParagraph"/>
        <w:spacing w:after="0" w:line="480" w:lineRule="auto"/>
        <w:rPr>
          <w:rFonts w:ascii="Arial" w:hAnsi="Arial" w:cs="Arial"/>
          <w:sz w:val="24"/>
          <w:szCs w:val="24"/>
        </w:rPr>
      </w:pPr>
    </w:p>
    <w:p w:rsidR="00290E67" w:rsidRPr="000C3275" w:rsidRDefault="00290E67" w:rsidP="00047CED">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lastRenderedPageBreak/>
        <w:t xml:space="preserve">The High Court was seized with an application to compel the respondents to comply with the </w:t>
      </w:r>
      <w:proofErr w:type="spellStart"/>
      <w:r w:rsidRPr="000C3275">
        <w:rPr>
          <w:rFonts w:ascii="Arial" w:hAnsi="Arial" w:cs="Arial"/>
          <w:sz w:val="24"/>
          <w:szCs w:val="24"/>
        </w:rPr>
        <w:t>NAMRe</w:t>
      </w:r>
      <w:proofErr w:type="spellEnd"/>
      <w:r w:rsidRPr="000C3275">
        <w:rPr>
          <w:rFonts w:ascii="Arial" w:hAnsi="Arial" w:cs="Arial"/>
          <w:sz w:val="24"/>
          <w:szCs w:val="24"/>
        </w:rPr>
        <w:t xml:space="preserve"> Act and the measures, coupled with an application to commit the principals of the respondents to prison for contempt in the event of a failure to comply; and in addition the collateral challenge of the respondents that the </w:t>
      </w:r>
      <w:proofErr w:type="spellStart"/>
      <w:r w:rsidRPr="000C3275">
        <w:rPr>
          <w:rFonts w:ascii="Arial" w:hAnsi="Arial" w:cs="Arial"/>
          <w:sz w:val="24"/>
          <w:szCs w:val="24"/>
        </w:rPr>
        <w:t>NAMRe</w:t>
      </w:r>
      <w:proofErr w:type="spellEnd"/>
      <w:r w:rsidRPr="000C3275">
        <w:rPr>
          <w:rFonts w:ascii="Arial" w:hAnsi="Arial" w:cs="Arial"/>
          <w:sz w:val="24"/>
          <w:szCs w:val="24"/>
        </w:rPr>
        <w:t xml:space="preserve"> Act and the measures were unconstitutional.</w:t>
      </w:r>
    </w:p>
    <w:p w:rsidR="00290E67" w:rsidRPr="000C3275" w:rsidRDefault="00290E67" w:rsidP="00047CED">
      <w:pPr>
        <w:pStyle w:val="ListParagraph"/>
        <w:spacing w:after="0" w:line="480" w:lineRule="auto"/>
        <w:rPr>
          <w:rFonts w:ascii="Arial" w:hAnsi="Arial" w:cs="Arial"/>
          <w:sz w:val="24"/>
          <w:szCs w:val="24"/>
        </w:rPr>
      </w:pPr>
    </w:p>
    <w:p w:rsidR="00290E67" w:rsidRPr="000C3275" w:rsidRDefault="00290E67" w:rsidP="00047CED">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It became common cause in this court that the staying of th</w:t>
      </w:r>
      <w:r w:rsidR="00DA4DDA">
        <w:rPr>
          <w:rFonts w:ascii="Arial" w:hAnsi="Arial" w:cs="Arial"/>
          <w:sz w:val="24"/>
          <w:szCs w:val="24"/>
        </w:rPr>
        <w:t xml:space="preserve">e </w:t>
      </w:r>
      <w:proofErr w:type="spellStart"/>
      <w:r w:rsidR="00DA4DDA">
        <w:rPr>
          <w:rFonts w:ascii="Arial" w:hAnsi="Arial" w:cs="Arial"/>
          <w:sz w:val="24"/>
          <w:szCs w:val="24"/>
        </w:rPr>
        <w:t>NAMRe</w:t>
      </w:r>
      <w:proofErr w:type="spellEnd"/>
      <w:r w:rsidR="00DA4DDA">
        <w:rPr>
          <w:rFonts w:ascii="Arial" w:hAnsi="Arial" w:cs="Arial"/>
          <w:sz w:val="24"/>
          <w:szCs w:val="24"/>
        </w:rPr>
        <w:t xml:space="preserve"> Act and the measures were</w:t>
      </w:r>
      <w:r w:rsidRPr="000C3275">
        <w:rPr>
          <w:rFonts w:ascii="Arial" w:hAnsi="Arial" w:cs="Arial"/>
          <w:sz w:val="24"/>
          <w:szCs w:val="24"/>
        </w:rPr>
        <w:t xml:space="preserve"> no</w:t>
      </w:r>
      <w:r w:rsidR="00DA4DDA">
        <w:rPr>
          <w:rFonts w:ascii="Arial" w:hAnsi="Arial" w:cs="Arial"/>
          <w:sz w:val="24"/>
          <w:szCs w:val="24"/>
        </w:rPr>
        <w:t>t</w:t>
      </w:r>
      <w:r w:rsidRPr="000C3275">
        <w:rPr>
          <w:rFonts w:ascii="Arial" w:hAnsi="Arial" w:cs="Arial"/>
          <w:sz w:val="24"/>
          <w:szCs w:val="24"/>
        </w:rPr>
        <w:t xml:space="preserve"> part of the relief sought by any of the parties </w:t>
      </w:r>
      <w:r w:rsidRPr="000C3275">
        <w:rPr>
          <w:rFonts w:ascii="Arial" w:hAnsi="Arial" w:cs="Arial"/>
          <w:i/>
          <w:sz w:val="24"/>
          <w:szCs w:val="24"/>
        </w:rPr>
        <w:t>a quo</w:t>
      </w:r>
      <w:r w:rsidRPr="000C3275">
        <w:rPr>
          <w:rFonts w:ascii="Arial" w:hAnsi="Arial" w:cs="Arial"/>
          <w:sz w:val="24"/>
          <w:szCs w:val="24"/>
        </w:rPr>
        <w:t xml:space="preserve">. The respondents’ position rather is that the worst the court </w:t>
      </w:r>
      <w:r w:rsidRPr="000C3275">
        <w:rPr>
          <w:rFonts w:ascii="Arial" w:hAnsi="Arial" w:cs="Arial"/>
          <w:i/>
          <w:sz w:val="24"/>
          <w:szCs w:val="24"/>
        </w:rPr>
        <w:t>a quo</w:t>
      </w:r>
      <w:r w:rsidRPr="000C3275">
        <w:rPr>
          <w:rFonts w:ascii="Arial" w:hAnsi="Arial" w:cs="Arial"/>
          <w:sz w:val="24"/>
          <w:szCs w:val="24"/>
        </w:rPr>
        <w:t xml:space="preserve"> could have done was to declare the </w:t>
      </w:r>
      <w:proofErr w:type="spellStart"/>
      <w:r w:rsidRPr="000C3275">
        <w:rPr>
          <w:rFonts w:ascii="Arial" w:hAnsi="Arial" w:cs="Arial"/>
          <w:sz w:val="24"/>
          <w:szCs w:val="24"/>
        </w:rPr>
        <w:t>NAMRe</w:t>
      </w:r>
      <w:proofErr w:type="spellEnd"/>
      <w:r w:rsidRPr="000C3275">
        <w:rPr>
          <w:rFonts w:ascii="Arial" w:hAnsi="Arial" w:cs="Arial"/>
          <w:sz w:val="24"/>
          <w:szCs w:val="24"/>
        </w:rPr>
        <w:t xml:space="preserve"> Act and the measures unconstitutional but chose the lesser evil of staying their enforcement until the constitutional challenge and the review are finally determined. The applicants maintain that is not a good enough justification for the preservation of an incompetent order. </w:t>
      </w:r>
    </w:p>
    <w:p w:rsidR="00290E67" w:rsidRPr="000C3275" w:rsidRDefault="00290E67" w:rsidP="003E11F8">
      <w:pPr>
        <w:pStyle w:val="ListParagraph"/>
        <w:spacing w:after="0" w:line="480" w:lineRule="auto"/>
        <w:rPr>
          <w:rFonts w:ascii="Arial" w:eastAsia="Times New Roman" w:hAnsi="Arial" w:cs="Arial"/>
          <w:sz w:val="24"/>
          <w:szCs w:val="24"/>
          <w:lang w:eastAsia="en-GB"/>
        </w:rPr>
      </w:pPr>
    </w:p>
    <w:p w:rsidR="00290E67" w:rsidRPr="000C3275" w:rsidRDefault="00290E67" w:rsidP="00047CED">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 xml:space="preserve">During oral argument, the court expressed a concern about the propriety of the order as regards the separation of powers. It was for that reason that a member of the court asked the parties whether it would be proper to remit the matter to the High Court if it were found that the court </w:t>
      </w:r>
      <w:r w:rsidRPr="000C3275">
        <w:rPr>
          <w:rFonts w:ascii="Arial" w:eastAsia="Times New Roman" w:hAnsi="Arial" w:cs="Arial"/>
          <w:i/>
          <w:sz w:val="24"/>
          <w:szCs w:val="24"/>
          <w:lang w:eastAsia="en-GB"/>
        </w:rPr>
        <w:t>a quo</w:t>
      </w:r>
      <w:r w:rsidRPr="000C3275">
        <w:rPr>
          <w:rFonts w:ascii="Arial" w:eastAsia="Times New Roman" w:hAnsi="Arial" w:cs="Arial"/>
          <w:sz w:val="24"/>
          <w:szCs w:val="24"/>
          <w:lang w:eastAsia="en-GB"/>
        </w:rPr>
        <w:t xml:space="preserve"> made an order it was not asked to make and </w:t>
      </w:r>
      <w:r w:rsidR="0023721F" w:rsidRPr="000C3275">
        <w:rPr>
          <w:rFonts w:ascii="Arial" w:eastAsia="Times New Roman" w:hAnsi="Arial" w:cs="Arial"/>
          <w:sz w:val="24"/>
          <w:szCs w:val="24"/>
          <w:lang w:eastAsia="en-GB"/>
        </w:rPr>
        <w:t>opted not</w:t>
      </w:r>
      <w:r w:rsidRPr="000C3275">
        <w:rPr>
          <w:rFonts w:ascii="Arial" w:eastAsia="Times New Roman" w:hAnsi="Arial" w:cs="Arial"/>
          <w:sz w:val="24"/>
          <w:szCs w:val="24"/>
          <w:lang w:eastAsia="en-GB"/>
        </w:rPr>
        <w:t xml:space="preserve"> to deal with the relief prayed for in the pleadings.</w:t>
      </w:r>
    </w:p>
    <w:p w:rsidR="00290E67" w:rsidRPr="000C3275" w:rsidRDefault="00290E67" w:rsidP="003E11F8">
      <w:pPr>
        <w:pStyle w:val="ListParagraph"/>
        <w:spacing w:after="0" w:line="480" w:lineRule="auto"/>
        <w:rPr>
          <w:rFonts w:ascii="Arial" w:hAnsi="Arial" w:cs="Arial"/>
          <w:sz w:val="24"/>
          <w:szCs w:val="24"/>
        </w:rPr>
      </w:pPr>
    </w:p>
    <w:p w:rsidR="00290E67" w:rsidRPr="000C3275" w:rsidRDefault="00FB171D" w:rsidP="00DC7785">
      <w:pPr>
        <w:numPr>
          <w:ilvl w:val="0"/>
          <w:numId w:val="4"/>
        </w:numPr>
        <w:tabs>
          <w:tab w:val="left" w:pos="851"/>
        </w:tabs>
        <w:spacing w:after="0" w:line="480" w:lineRule="auto"/>
        <w:ind w:left="0" w:hanging="11"/>
        <w:contextualSpacing/>
        <w:jc w:val="both"/>
        <w:rPr>
          <w:rFonts w:ascii="Arial" w:hAnsi="Arial" w:cs="Arial"/>
          <w:sz w:val="24"/>
          <w:szCs w:val="24"/>
        </w:rPr>
      </w:pPr>
      <w:r w:rsidRPr="000C3275">
        <w:rPr>
          <w:rFonts w:ascii="Arial" w:hAnsi="Arial" w:cs="Arial"/>
          <w:sz w:val="24"/>
          <w:szCs w:val="24"/>
        </w:rPr>
        <w:t xml:space="preserve">According to the </w:t>
      </w:r>
      <w:r w:rsidR="00290E67" w:rsidRPr="000C3275">
        <w:rPr>
          <w:rFonts w:ascii="Arial" w:hAnsi="Arial" w:cs="Arial"/>
          <w:sz w:val="24"/>
          <w:szCs w:val="24"/>
        </w:rPr>
        <w:t>respondents</w:t>
      </w:r>
      <w:r w:rsidRPr="000C3275">
        <w:rPr>
          <w:rFonts w:ascii="Arial" w:hAnsi="Arial" w:cs="Arial"/>
          <w:sz w:val="24"/>
          <w:szCs w:val="24"/>
        </w:rPr>
        <w:t>,</w:t>
      </w:r>
      <w:r w:rsidR="00290E67" w:rsidRPr="000C3275">
        <w:rPr>
          <w:rFonts w:ascii="Arial" w:hAnsi="Arial" w:cs="Arial"/>
          <w:sz w:val="24"/>
          <w:szCs w:val="24"/>
        </w:rPr>
        <w:t xml:space="preserve"> the Supreme Court must reject the petition out of hand because the order of stay sought to be challenged by way of appeal is a non-appealable interim order which does not finally determine the rights of the parties</w:t>
      </w:r>
      <w:r w:rsidR="005030A2" w:rsidRPr="000C3275">
        <w:rPr>
          <w:rFonts w:ascii="Arial" w:hAnsi="Arial" w:cs="Arial"/>
          <w:sz w:val="24"/>
          <w:szCs w:val="24"/>
        </w:rPr>
        <w:t xml:space="preserve"> as enunciated in</w:t>
      </w:r>
      <w:r w:rsidR="0021770A" w:rsidRPr="000C3275">
        <w:rPr>
          <w:rFonts w:ascii="Arial" w:hAnsi="Arial" w:cs="Arial"/>
          <w:sz w:val="24"/>
          <w:szCs w:val="24"/>
        </w:rPr>
        <w:t>, for example</w:t>
      </w:r>
      <w:r w:rsidR="00DB38FF" w:rsidRPr="000C3275">
        <w:rPr>
          <w:rFonts w:ascii="Arial" w:hAnsi="Arial" w:cs="Arial"/>
          <w:sz w:val="24"/>
          <w:szCs w:val="24"/>
        </w:rPr>
        <w:t>,</w:t>
      </w:r>
      <w:r w:rsidR="0021770A" w:rsidRPr="000C3275">
        <w:rPr>
          <w:rFonts w:ascii="Arial" w:hAnsi="Arial" w:cs="Arial"/>
          <w:sz w:val="24"/>
          <w:szCs w:val="24"/>
        </w:rPr>
        <w:t xml:space="preserve"> </w:t>
      </w:r>
      <w:proofErr w:type="spellStart"/>
      <w:r w:rsidR="005030A2" w:rsidRPr="000C3275">
        <w:rPr>
          <w:rFonts w:ascii="Arial" w:hAnsi="Arial" w:cs="Arial"/>
          <w:i/>
          <w:sz w:val="24"/>
          <w:szCs w:val="24"/>
        </w:rPr>
        <w:t>Shetu</w:t>
      </w:r>
      <w:proofErr w:type="spellEnd"/>
      <w:r w:rsidR="005030A2" w:rsidRPr="000C3275">
        <w:rPr>
          <w:rFonts w:ascii="Arial" w:hAnsi="Arial" w:cs="Arial"/>
          <w:i/>
          <w:sz w:val="24"/>
          <w:szCs w:val="24"/>
        </w:rPr>
        <w:t xml:space="preserve"> </w:t>
      </w:r>
      <w:r w:rsidR="00E01E34" w:rsidRPr="000C3275">
        <w:rPr>
          <w:rFonts w:ascii="Arial" w:hAnsi="Arial" w:cs="Arial"/>
          <w:i/>
          <w:sz w:val="24"/>
          <w:szCs w:val="24"/>
        </w:rPr>
        <w:t xml:space="preserve">Trading CC </w:t>
      </w:r>
      <w:r w:rsidR="005030A2" w:rsidRPr="000C3275">
        <w:rPr>
          <w:rFonts w:ascii="Arial" w:hAnsi="Arial" w:cs="Arial"/>
          <w:i/>
          <w:sz w:val="24"/>
          <w:szCs w:val="24"/>
        </w:rPr>
        <w:t xml:space="preserve">v </w:t>
      </w:r>
      <w:r w:rsidR="00E01E34" w:rsidRPr="000C3275">
        <w:rPr>
          <w:rFonts w:ascii="Arial" w:hAnsi="Arial" w:cs="Arial"/>
          <w:i/>
          <w:sz w:val="24"/>
          <w:szCs w:val="24"/>
        </w:rPr>
        <w:t xml:space="preserve">Chair, </w:t>
      </w:r>
      <w:r w:rsidR="005030A2" w:rsidRPr="000C3275">
        <w:rPr>
          <w:rFonts w:ascii="Arial" w:hAnsi="Arial" w:cs="Arial"/>
          <w:i/>
          <w:sz w:val="24"/>
          <w:szCs w:val="24"/>
        </w:rPr>
        <w:t xml:space="preserve">Tender Board of Namibia and </w:t>
      </w:r>
      <w:r w:rsidR="005030A2" w:rsidRPr="000C3275">
        <w:rPr>
          <w:rFonts w:ascii="Arial" w:hAnsi="Arial" w:cs="Arial"/>
          <w:i/>
          <w:sz w:val="24"/>
          <w:szCs w:val="24"/>
        </w:rPr>
        <w:lastRenderedPageBreak/>
        <w:t>Others</w:t>
      </w:r>
      <w:r w:rsidR="0023721F" w:rsidRPr="000C3275">
        <w:rPr>
          <w:rStyle w:val="FootnoteReference"/>
          <w:rFonts w:ascii="Arial" w:hAnsi="Arial" w:cs="Arial"/>
          <w:sz w:val="24"/>
          <w:szCs w:val="24"/>
        </w:rPr>
        <w:footnoteReference w:id="31"/>
      </w:r>
      <w:r w:rsidR="005030A2" w:rsidRPr="000C3275">
        <w:rPr>
          <w:rFonts w:ascii="Arial" w:hAnsi="Arial" w:cs="Arial"/>
          <w:sz w:val="24"/>
          <w:szCs w:val="24"/>
        </w:rPr>
        <w:t xml:space="preserve"> </w:t>
      </w:r>
      <w:r w:rsidR="0021770A" w:rsidRPr="000C3275">
        <w:rPr>
          <w:rFonts w:ascii="Arial" w:hAnsi="Arial" w:cs="Arial"/>
          <w:sz w:val="24"/>
          <w:szCs w:val="24"/>
        </w:rPr>
        <w:t xml:space="preserve">relying on </w:t>
      </w:r>
      <w:proofErr w:type="spellStart"/>
      <w:r w:rsidR="004654F8" w:rsidRPr="000C3275">
        <w:rPr>
          <w:rFonts w:ascii="Arial" w:hAnsi="Arial" w:cs="Arial"/>
          <w:i/>
          <w:sz w:val="24"/>
          <w:szCs w:val="24"/>
        </w:rPr>
        <w:t>Zweni</w:t>
      </w:r>
      <w:proofErr w:type="spellEnd"/>
      <w:r w:rsidR="00036990">
        <w:rPr>
          <w:rFonts w:ascii="Arial" w:hAnsi="Arial" w:cs="Arial"/>
          <w:i/>
          <w:sz w:val="24"/>
          <w:szCs w:val="24"/>
        </w:rPr>
        <w:t>.</w:t>
      </w:r>
      <w:r w:rsidR="00E01E34" w:rsidRPr="000C3275">
        <w:rPr>
          <w:rStyle w:val="FootnoteReference"/>
          <w:rFonts w:ascii="Arial" w:hAnsi="Arial" w:cs="Arial"/>
          <w:i/>
          <w:sz w:val="24"/>
          <w:szCs w:val="24"/>
        </w:rPr>
        <w:footnoteReference w:id="32"/>
      </w:r>
      <w:r w:rsidR="004654F8" w:rsidRPr="000C3275">
        <w:rPr>
          <w:rFonts w:ascii="Arial" w:hAnsi="Arial" w:cs="Arial"/>
          <w:i/>
          <w:sz w:val="24"/>
          <w:szCs w:val="24"/>
        </w:rPr>
        <w:t xml:space="preserve"> </w:t>
      </w:r>
      <w:r w:rsidR="004654F8" w:rsidRPr="000C3275">
        <w:rPr>
          <w:rFonts w:ascii="Arial" w:hAnsi="Arial" w:cs="Arial"/>
          <w:sz w:val="24"/>
          <w:szCs w:val="24"/>
        </w:rPr>
        <w:t>The rational of the non-</w:t>
      </w:r>
      <w:proofErr w:type="spellStart"/>
      <w:r w:rsidR="004654F8" w:rsidRPr="000C3275">
        <w:rPr>
          <w:rFonts w:ascii="Arial" w:hAnsi="Arial" w:cs="Arial"/>
          <w:sz w:val="24"/>
          <w:szCs w:val="24"/>
        </w:rPr>
        <w:t>appealability</w:t>
      </w:r>
      <w:proofErr w:type="spellEnd"/>
      <w:r w:rsidR="004654F8" w:rsidRPr="000C3275">
        <w:rPr>
          <w:rFonts w:ascii="Arial" w:hAnsi="Arial" w:cs="Arial"/>
          <w:sz w:val="24"/>
          <w:szCs w:val="24"/>
        </w:rPr>
        <w:t xml:space="preserve"> of interim orders is to avoid piecemeal appeals which is unnecessarily expensive and that it is desirable that such issues be resolved by the same court and at one and the same time.</w:t>
      </w:r>
      <w:r w:rsidR="004654F8" w:rsidRPr="000C3275">
        <w:rPr>
          <w:rStyle w:val="FootnoteReference"/>
          <w:rFonts w:ascii="Arial" w:hAnsi="Arial" w:cs="Arial"/>
          <w:sz w:val="24"/>
          <w:szCs w:val="24"/>
        </w:rPr>
        <w:footnoteReference w:id="33"/>
      </w:r>
    </w:p>
    <w:p w:rsidR="0021770A" w:rsidRPr="000C3275" w:rsidRDefault="0021770A" w:rsidP="0021770A">
      <w:pPr>
        <w:tabs>
          <w:tab w:val="left" w:pos="851"/>
        </w:tabs>
        <w:spacing w:after="0" w:line="480" w:lineRule="auto"/>
        <w:contextualSpacing/>
        <w:jc w:val="both"/>
        <w:rPr>
          <w:rFonts w:ascii="Arial" w:hAnsi="Arial" w:cs="Arial"/>
          <w:sz w:val="24"/>
          <w:szCs w:val="24"/>
        </w:rPr>
      </w:pPr>
    </w:p>
    <w:p w:rsidR="00C81264" w:rsidRPr="000C3275" w:rsidRDefault="00290E67" w:rsidP="00593E3D">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w:t>
      </w:r>
      <w:r w:rsidR="00FB171D" w:rsidRPr="000C3275">
        <w:rPr>
          <w:rFonts w:ascii="Arial" w:hAnsi="Arial" w:cs="Arial"/>
          <w:sz w:val="24"/>
          <w:szCs w:val="24"/>
        </w:rPr>
        <w:t>e issue whether the order of stay is appealable</w:t>
      </w:r>
      <w:r w:rsidR="00E53A1E" w:rsidRPr="000C3275">
        <w:rPr>
          <w:rFonts w:ascii="Arial" w:hAnsi="Arial" w:cs="Arial"/>
          <w:sz w:val="24"/>
          <w:szCs w:val="24"/>
        </w:rPr>
        <w:t xml:space="preserve"> or not</w:t>
      </w:r>
      <w:r w:rsidRPr="000C3275">
        <w:rPr>
          <w:rFonts w:ascii="Arial" w:hAnsi="Arial" w:cs="Arial"/>
          <w:sz w:val="24"/>
          <w:szCs w:val="24"/>
        </w:rPr>
        <w:t xml:space="preserve"> need not occupy us long because</w:t>
      </w:r>
      <w:r w:rsidR="0023721F" w:rsidRPr="000C3275">
        <w:rPr>
          <w:rFonts w:ascii="Arial" w:hAnsi="Arial" w:cs="Arial"/>
          <w:sz w:val="24"/>
          <w:szCs w:val="24"/>
        </w:rPr>
        <w:t>,</w:t>
      </w:r>
      <w:r w:rsidRPr="000C3275">
        <w:rPr>
          <w:rFonts w:ascii="Arial" w:hAnsi="Arial" w:cs="Arial"/>
          <w:sz w:val="24"/>
          <w:szCs w:val="24"/>
        </w:rPr>
        <w:t xml:space="preserve"> if an order of a court is incompeten</w:t>
      </w:r>
      <w:r w:rsidR="00FB171D" w:rsidRPr="000C3275">
        <w:rPr>
          <w:rFonts w:ascii="Arial" w:hAnsi="Arial" w:cs="Arial"/>
          <w:sz w:val="24"/>
          <w:szCs w:val="24"/>
        </w:rPr>
        <w:t>t</w:t>
      </w:r>
      <w:r w:rsidRPr="000C3275">
        <w:rPr>
          <w:rFonts w:ascii="Arial" w:hAnsi="Arial" w:cs="Arial"/>
          <w:sz w:val="24"/>
          <w:szCs w:val="24"/>
        </w:rPr>
        <w:t xml:space="preserve"> it is </w:t>
      </w:r>
      <w:r w:rsidRPr="000C3275">
        <w:rPr>
          <w:rFonts w:ascii="Arial" w:hAnsi="Arial" w:cs="Arial"/>
          <w:i/>
          <w:sz w:val="24"/>
          <w:szCs w:val="24"/>
        </w:rPr>
        <w:t>a fortiori</w:t>
      </w:r>
      <w:r w:rsidRPr="000C3275">
        <w:rPr>
          <w:rFonts w:ascii="Arial" w:hAnsi="Arial" w:cs="Arial"/>
          <w:sz w:val="24"/>
          <w:szCs w:val="24"/>
        </w:rPr>
        <w:t xml:space="preserve"> appealable even if it is only interim and does not finally determine the rights of the parties. Allowing an incompetent order to stand offends the rule of law and legality. </w:t>
      </w:r>
      <w:r w:rsidRPr="000C3275">
        <w:rPr>
          <w:rFonts w:ascii="Arial" w:eastAsia="Times New Roman" w:hAnsi="Arial" w:cs="Arial"/>
          <w:sz w:val="24"/>
          <w:szCs w:val="24"/>
          <w:lang w:eastAsia="en-GB"/>
        </w:rPr>
        <w:t xml:space="preserve">The debate about </w:t>
      </w:r>
      <w:proofErr w:type="spellStart"/>
      <w:r w:rsidRPr="000C3275">
        <w:rPr>
          <w:rFonts w:ascii="Arial" w:eastAsia="Times New Roman" w:hAnsi="Arial" w:cs="Arial"/>
          <w:sz w:val="24"/>
          <w:szCs w:val="24"/>
          <w:lang w:eastAsia="en-GB"/>
        </w:rPr>
        <w:t>appealability</w:t>
      </w:r>
      <w:proofErr w:type="spellEnd"/>
      <w:r w:rsidRPr="000C3275">
        <w:rPr>
          <w:rFonts w:ascii="Arial" w:eastAsia="Times New Roman" w:hAnsi="Arial" w:cs="Arial"/>
          <w:sz w:val="24"/>
          <w:szCs w:val="24"/>
          <w:lang w:eastAsia="en-GB"/>
        </w:rPr>
        <w:t xml:space="preserve"> concerns competent orders granted by the High Court. If the High Court grants an order which is not competent in law that debate does not arise. </w:t>
      </w:r>
    </w:p>
    <w:p w:rsidR="00C81264" w:rsidRPr="000C3275" w:rsidRDefault="00C81264" w:rsidP="003E11F8">
      <w:pPr>
        <w:pStyle w:val="ListParagraph"/>
        <w:spacing w:after="0" w:line="480" w:lineRule="auto"/>
        <w:rPr>
          <w:rFonts w:ascii="Arial" w:eastAsia="Times New Roman" w:hAnsi="Arial" w:cs="Arial"/>
          <w:sz w:val="24"/>
          <w:szCs w:val="24"/>
          <w:lang w:eastAsia="en-GB"/>
        </w:rPr>
      </w:pPr>
    </w:p>
    <w:p w:rsidR="00D10221" w:rsidRPr="000C3275" w:rsidRDefault="0023721F" w:rsidP="00D10221">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 xml:space="preserve">It was </w:t>
      </w:r>
      <w:proofErr w:type="spellStart"/>
      <w:r w:rsidRPr="000C3275">
        <w:rPr>
          <w:rFonts w:ascii="Arial" w:eastAsia="Times New Roman" w:hAnsi="Arial" w:cs="Arial"/>
          <w:sz w:val="24"/>
          <w:szCs w:val="24"/>
          <w:lang w:eastAsia="en-GB"/>
        </w:rPr>
        <w:t>recognised</w:t>
      </w:r>
      <w:proofErr w:type="spellEnd"/>
      <w:r w:rsidRPr="000C3275">
        <w:rPr>
          <w:rFonts w:ascii="Arial" w:eastAsia="Times New Roman" w:hAnsi="Arial" w:cs="Arial"/>
          <w:sz w:val="24"/>
          <w:szCs w:val="24"/>
          <w:lang w:eastAsia="en-GB"/>
        </w:rPr>
        <w:t xml:space="preserve"> by the Constitutional Court </w:t>
      </w:r>
      <w:r w:rsidR="00593E3D" w:rsidRPr="000C3275">
        <w:rPr>
          <w:rFonts w:ascii="Arial" w:eastAsia="Times New Roman" w:hAnsi="Arial" w:cs="Arial"/>
          <w:sz w:val="24"/>
          <w:szCs w:val="24"/>
          <w:lang w:eastAsia="en-GB"/>
        </w:rPr>
        <w:t xml:space="preserve">of South Africa </w:t>
      </w:r>
      <w:r w:rsidRPr="000C3275">
        <w:rPr>
          <w:rFonts w:ascii="Arial" w:eastAsia="Times New Roman" w:hAnsi="Arial" w:cs="Arial"/>
          <w:sz w:val="24"/>
          <w:szCs w:val="24"/>
          <w:lang w:eastAsia="en-GB"/>
        </w:rPr>
        <w:t>that an incorrect application of the law offends the principle of</w:t>
      </w:r>
      <w:r w:rsidR="00697411" w:rsidRPr="000C3275">
        <w:rPr>
          <w:rFonts w:ascii="Arial" w:eastAsia="Times New Roman" w:hAnsi="Arial" w:cs="Arial"/>
          <w:sz w:val="24"/>
          <w:szCs w:val="24"/>
          <w:lang w:eastAsia="en-GB"/>
        </w:rPr>
        <w:t xml:space="preserve"> </w:t>
      </w:r>
      <w:r w:rsidR="00D10221">
        <w:rPr>
          <w:rFonts w:ascii="Arial" w:eastAsia="Times New Roman" w:hAnsi="Arial" w:cs="Arial"/>
          <w:sz w:val="24"/>
          <w:szCs w:val="24"/>
          <w:lang w:eastAsia="en-GB"/>
        </w:rPr>
        <w:t>legality.</w:t>
      </w:r>
      <w:r w:rsidR="00290E67" w:rsidRPr="000C3275">
        <w:rPr>
          <w:rStyle w:val="FootnoteReference"/>
          <w:rFonts w:ascii="Arial" w:eastAsia="Times New Roman" w:hAnsi="Arial" w:cs="Arial"/>
          <w:sz w:val="24"/>
          <w:szCs w:val="24"/>
          <w:lang w:eastAsia="en-GB"/>
        </w:rPr>
        <w:footnoteReference w:id="34"/>
      </w:r>
      <w:r w:rsidR="00AE00C1" w:rsidRPr="000C3275">
        <w:rPr>
          <w:rFonts w:ascii="Arial" w:eastAsia="Times New Roman" w:hAnsi="Arial" w:cs="Arial"/>
          <w:sz w:val="24"/>
          <w:szCs w:val="24"/>
          <w:lang w:eastAsia="en-GB"/>
        </w:rPr>
        <w:t>An incorrect application of the law on a matter as fundamental as the validity of a court order goes to the heart of legality and the rule of law.</w:t>
      </w:r>
      <w:r w:rsidR="00D10221">
        <w:rPr>
          <w:rFonts w:ascii="Arial" w:eastAsia="Times New Roman" w:hAnsi="Arial" w:cs="Arial"/>
          <w:sz w:val="24"/>
          <w:szCs w:val="24"/>
          <w:lang w:eastAsia="en-GB"/>
        </w:rPr>
        <w:t xml:space="preserve"> </w:t>
      </w:r>
      <w:r w:rsidR="00DA4DDA">
        <w:rPr>
          <w:rFonts w:ascii="Arial" w:eastAsia="Times New Roman" w:hAnsi="Arial" w:cs="Arial"/>
          <w:sz w:val="24"/>
          <w:szCs w:val="24"/>
          <w:lang w:eastAsia="en-GB"/>
        </w:rPr>
        <w:t xml:space="preserve">Besides, had the </w:t>
      </w:r>
      <w:r w:rsidR="00D10221" w:rsidRPr="00EC37C6">
        <w:rPr>
          <w:rFonts w:ascii="Arial" w:eastAsia="Times New Roman" w:hAnsi="Arial" w:cs="Arial"/>
          <w:sz w:val="24"/>
          <w:szCs w:val="24"/>
          <w:shd w:val="clear" w:color="auto" w:fill="FFFFFF" w:themeFill="background1"/>
          <w:lang w:eastAsia="en-GB"/>
        </w:rPr>
        <w:t xml:space="preserve">court </w:t>
      </w:r>
      <w:r w:rsidR="00D10221" w:rsidRPr="00DA4DDA">
        <w:rPr>
          <w:rFonts w:ascii="Arial" w:eastAsia="Times New Roman" w:hAnsi="Arial" w:cs="Arial"/>
          <w:i/>
          <w:sz w:val="24"/>
          <w:szCs w:val="24"/>
          <w:shd w:val="clear" w:color="auto" w:fill="FFFFFF" w:themeFill="background1"/>
          <w:lang w:eastAsia="en-GB"/>
        </w:rPr>
        <w:t>a</w:t>
      </w:r>
      <w:r w:rsidR="00D10221" w:rsidRPr="00036990">
        <w:rPr>
          <w:rFonts w:ascii="Arial" w:eastAsia="Times New Roman" w:hAnsi="Arial" w:cs="Arial"/>
          <w:sz w:val="24"/>
          <w:szCs w:val="24"/>
          <w:shd w:val="clear" w:color="auto" w:fill="FFFFFF" w:themeFill="background1"/>
          <w:lang w:eastAsia="en-GB"/>
        </w:rPr>
        <w:t xml:space="preserve"> </w:t>
      </w:r>
      <w:r w:rsidR="00D10221" w:rsidRPr="00036990">
        <w:rPr>
          <w:rFonts w:ascii="Arial" w:eastAsia="Times New Roman" w:hAnsi="Arial" w:cs="Arial"/>
          <w:i/>
          <w:sz w:val="24"/>
          <w:szCs w:val="24"/>
          <w:shd w:val="clear" w:color="auto" w:fill="FFFFFF" w:themeFill="background1"/>
          <w:lang w:eastAsia="en-GB"/>
        </w:rPr>
        <w:t>quo</w:t>
      </w:r>
      <w:r w:rsidR="00D10221" w:rsidRPr="00EC37C6">
        <w:rPr>
          <w:rFonts w:ascii="Arial" w:eastAsia="Times New Roman" w:hAnsi="Arial" w:cs="Arial"/>
          <w:sz w:val="24"/>
          <w:szCs w:val="24"/>
          <w:shd w:val="clear" w:color="auto" w:fill="FFFFFF" w:themeFill="background1"/>
          <w:lang w:eastAsia="en-GB"/>
        </w:rPr>
        <w:t xml:space="preserve"> </w:t>
      </w:r>
      <w:r w:rsidR="00DA4DDA">
        <w:rPr>
          <w:rFonts w:ascii="Arial" w:eastAsia="Times New Roman" w:hAnsi="Arial" w:cs="Arial"/>
          <w:sz w:val="24"/>
          <w:szCs w:val="24"/>
          <w:shd w:val="clear" w:color="auto" w:fill="FFFFFF" w:themeFill="background1"/>
          <w:lang w:eastAsia="en-GB"/>
        </w:rPr>
        <w:t>considered if there were other considerations on the facts which did not</w:t>
      </w:r>
      <w:r w:rsidR="00D10221" w:rsidRPr="00EC37C6">
        <w:rPr>
          <w:rFonts w:ascii="Arial" w:eastAsia="Times New Roman" w:hAnsi="Arial" w:cs="Arial"/>
          <w:sz w:val="24"/>
          <w:szCs w:val="24"/>
          <w:shd w:val="clear" w:color="auto" w:fill="FFFFFF" w:themeFill="background1"/>
          <w:lang w:eastAsia="en-GB"/>
        </w:rPr>
        <w:t xml:space="preserve"> </w:t>
      </w:r>
      <w:r w:rsidR="00CA1B45">
        <w:rPr>
          <w:rFonts w:ascii="Arial" w:eastAsia="Times New Roman" w:hAnsi="Arial" w:cs="Arial"/>
          <w:sz w:val="24"/>
          <w:szCs w:val="24"/>
          <w:shd w:val="clear" w:color="auto" w:fill="FFFFFF" w:themeFill="background1"/>
          <w:lang w:eastAsia="en-GB"/>
        </w:rPr>
        <w:t xml:space="preserve">fit </w:t>
      </w:r>
      <w:r w:rsidR="00D10221" w:rsidRPr="00EC37C6">
        <w:rPr>
          <w:rFonts w:ascii="Arial" w:eastAsia="Times New Roman" w:hAnsi="Arial" w:cs="Arial"/>
          <w:sz w:val="24"/>
          <w:szCs w:val="24"/>
          <w:shd w:val="clear" w:color="auto" w:fill="FFFFFF" w:themeFill="background1"/>
          <w:lang w:eastAsia="en-GB"/>
        </w:rPr>
        <w:t xml:space="preserve">the </w:t>
      </w:r>
      <w:proofErr w:type="spellStart"/>
      <w:r w:rsidR="00D10221" w:rsidRPr="00EC37C6">
        <w:rPr>
          <w:rFonts w:ascii="Arial" w:eastAsia="Times New Roman" w:hAnsi="Arial" w:cs="Arial"/>
          <w:sz w:val="24"/>
          <w:szCs w:val="24"/>
          <w:shd w:val="clear" w:color="auto" w:fill="FFFFFF" w:themeFill="background1"/>
          <w:lang w:eastAsia="en-GB"/>
        </w:rPr>
        <w:t>mould</w:t>
      </w:r>
      <w:proofErr w:type="spellEnd"/>
      <w:r w:rsidR="00D10221" w:rsidRPr="00EC37C6">
        <w:rPr>
          <w:rFonts w:ascii="Arial" w:eastAsia="Times New Roman" w:hAnsi="Arial" w:cs="Arial"/>
          <w:sz w:val="24"/>
          <w:szCs w:val="24"/>
          <w:shd w:val="clear" w:color="auto" w:fill="FFFFFF" w:themeFill="background1"/>
          <w:lang w:eastAsia="en-GB"/>
        </w:rPr>
        <w:t xml:space="preserve"> of </w:t>
      </w:r>
      <w:proofErr w:type="spellStart"/>
      <w:r w:rsidR="00D10221" w:rsidRPr="00EC37C6">
        <w:rPr>
          <w:rFonts w:ascii="Arial" w:eastAsia="Times New Roman" w:hAnsi="Arial" w:cs="Arial"/>
          <w:i/>
          <w:sz w:val="24"/>
          <w:szCs w:val="24"/>
          <w:shd w:val="clear" w:color="auto" w:fill="FFFFFF" w:themeFill="background1"/>
          <w:lang w:eastAsia="en-GB"/>
        </w:rPr>
        <w:t>Zweni</w:t>
      </w:r>
      <w:proofErr w:type="spellEnd"/>
      <w:r w:rsidR="00D10221" w:rsidRPr="00EC37C6">
        <w:rPr>
          <w:rStyle w:val="FootnoteReference"/>
          <w:rFonts w:ascii="Arial" w:eastAsia="Times New Roman" w:hAnsi="Arial" w:cs="Arial"/>
          <w:i/>
          <w:sz w:val="24"/>
          <w:szCs w:val="24"/>
          <w:shd w:val="clear" w:color="auto" w:fill="FFFFFF" w:themeFill="background1"/>
          <w:lang w:eastAsia="en-GB"/>
        </w:rPr>
        <w:footnoteReference w:id="35"/>
      </w:r>
      <w:r w:rsidR="00DA4DDA">
        <w:rPr>
          <w:rFonts w:ascii="Arial" w:eastAsia="Times New Roman" w:hAnsi="Arial" w:cs="Arial"/>
          <w:i/>
          <w:sz w:val="24"/>
          <w:szCs w:val="24"/>
          <w:shd w:val="clear" w:color="auto" w:fill="FFFFFF" w:themeFill="background1"/>
          <w:lang w:eastAsia="en-GB"/>
        </w:rPr>
        <w:t>,</w:t>
      </w:r>
      <w:r w:rsidR="00D10221" w:rsidRPr="00EC37C6">
        <w:rPr>
          <w:rFonts w:ascii="Arial" w:eastAsia="Times New Roman" w:hAnsi="Arial" w:cs="Arial"/>
          <w:sz w:val="24"/>
          <w:szCs w:val="24"/>
          <w:shd w:val="clear" w:color="auto" w:fill="FFFFFF" w:themeFill="background1"/>
          <w:lang w:eastAsia="en-GB"/>
        </w:rPr>
        <w:t xml:space="preserve"> </w:t>
      </w:r>
      <w:r w:rsidR="00DA4DDA">
        <w:rPr>
          <w:rFonts w:ascii="Arial" w:eastAsia="Times New Roman" w:hAnsi="Arial" w:cs="Arial"/>
          <w:sz w:val="24"/>
          <w:szCs w:val="24"/>
          <w:shd w:val="clear" w:color="auto" w:fill="FFFFFF" w:themeFill="background1"/>
          <w:lang w:eastAsia="en-GB"/>
        </w:rPr>
        <w:t>it would probably have found that, although framed as an interim</w:t>
      </w:r>
      <w:r w:rsidR="00A365FA">
        <w:rPr>
          <w:rFonts w:ascii="Arial" w:eastAsia="Times New Roman" w:hAnsi="Arial" w:cs="Arial"/>
          <w:sz w:val="24"/>
          <w:szCs w:val="24"/>
          <w:shd w:val="clear" w:color="auto" w:fill="FFFFFF" w:themeFill="background1"/>
          <w:lang w:eastAsia="en-GB"/>
        </w:rPr>
        <w:t xml:space="preserve"> order, the order of stay was</w:t>
      </w:r>
      <w:r w:rsidR="00DA4DDA">
        <w:rPr>
          <w:rFonts w:ascii="Arial" w:eastAsia="Times New Roman" w:hAnsi="Arial" w:cs="Arial"/>
          <w:sz w:val="24"/>
          <w:szCs w:val="24"/>
          <w:shd w:val="clear" w:color="auto" w:fill="FFFFFF" w:themeFill="background1"/>
          <w:lang w:eastAsia="en-GB"/>
        </w:rPr>
        <w:t xml:space="preserve"> final </w:t>
      </w:r>
      <w:r w:rsidR="00A365FA">
        <w:rPr>
          <w:rFonts w:ascii="Arial" w:eastAsia="Times New Roman" w:hAnsi="Arial" w:cs="Arial"/>
          <w:sz w:val="24"/>
          <w:szCs w:val="24"/>
          <w:shd w:val="clear" w:color="auto" w:fill="FFFFFF" w:themeFill="background1"/>
          <w:lang w:eastAsia="en-GB"/>
        </w:rPr>
        <w:t>in</w:t>
      </w:r>
      <w:r w:rsidR="00DA4DDA">
        <w:rPr>
          <w:rFonts w:ascii="Arial" w:eastAsia="Times New Roman" w:hAnsi="Arial" w:cs="Arial"/>
          <w:sz w:val="24"/>
          <w:szCs w:val="24"/>
          <w:shd w:val="clear" w:color="auto" w:fill="FFFFFF" w:themeFill="background1"/>
          <w:lang w:eastAsia="en-GB"/>
        </w:rPr>
        <w:t xml:space="preserve"> effect.</w:t>
      </w:r>
      <w:r w:rsidR="00D10221" w:rsidRPr="00EC37C6">
        <w:rPr>
          <w:rStyle w:val="FootnoteReference"/>
          <w:rFonts w:ascii="Arial" w:eastAsia="Times New Roman" w:hAnsi="Arial" w:cs="Arial"/>
          <w:sz w:val="24"/>
          <w:szCs w:val="24"/>
          <w:shd w:val="clear" w:color="auto" w:fill="FFFFFF" w:themeFill="background1"/>
          <w:lang w:eastAsia="en-GB"/>
        </w:rPr>
        <w:footnoteReference w:id="36"/>
      </w:r>
      <w:r w:rsidR="00D10221" w:rsidRPr="00EC37C6">
        <w:rPr>
          <w:rFonts w:ascii="Arial" w:eastAsia="Times New Roman" w:hAnsi="Arial" w:cs="Arial"/>
          <w:sz w:val="24"/>
          <w:szCs w:val="24"/>
          <w:shd w:val="clear" w:color="auto" w:fill="FFFFFF" w:themeFill="background1"/>
          <w:lang w:eastAsia="en-GB"/>
        </w:rPr>
        <w:t xml:space="preserve">  As it happens, that order still stands and, for the duration of its operation, an Act of Parliament (including measures promulgated under it) are rendered unenforceable.</w:t>
      </w:r>
    </w:p>
    <w:p w:rsidR="00C81264" w:rsidRPr="000C3275" w:rsidRDefault="00C81264" w:rsidP="003E11F8">
      <w:pPr>
        <w:tabs>
          <w:tab w:val="left" w:pos="851"/>
        </w:tabs>
        <w:spacing w:after="0" w:line="480" w:lineRule="auto"/>
        <w:contextualSpacing/>
        <w:jc w:val="both"/>
        <w:rPr>
          <w:rFonts w:ascii="Arial" w:hAnsi="Arial" w:cs="Arial"/>
          <w:sz w:val="24"/>
          <w:szCs w:val="24"/>
          <w:lang w:val="en-GB"/>
        </w:rPr>
      </w:pPr>
    </w:p>
    <w:p w:rsidR="00C81264" w:rsidRPr="000C3275" w:rsidRDefault="00BE633E" w:rsidP="00BE633E">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lastRenderedPageBreak/>
        <w:t xml:space="preserve"> </w:t>
      </w:r>
      <w:r w:rsidR="001033E8" w:rsidRPr="000C3275">
        <w:rPr>
          <w:rFonts w:ascii="Arial" w:hAnsi="Arial" w:cs="Arial"/>
          <w:sz w:val="24"/>
          <w:szCs w:val="24"/>
        </w:rPr>
        <w:t xml:space="preserve">Having found that the order of stay is appealable, I proceed to consider if the applicants enjoy prospects of success. </w:t>
      </w:r>
      <w:r w:rsidR="00290E67" w:rsidRPr="000C3275">
        <w:rPr>
          <w:rFonts w:ascii="Arial" w:hAnsi="Arial" w:cs="Arial"/>
          <w:sz w:val="24"/>
          <w:szCs w:val="24"/>
        </w:rPr>
        <w:t>The test for granting leave to appeal is whether there is a reasonable possibility, (not a probability) that the Supreme Court may come to a different conclusion</w:t>
      </w:r>
      <w:r w:rsidRPr="000C3275">
        <w:rPr>
          <w:rFonts w:ascii="Arial" w:hAnsi="Arial" w:cs="Arial"/>
          <w:sz w:val="24"/>
          <w:szCs w:val="24"/>
        </w:rPr>
        <w:t>.</w:t>
      </w:r>
      <w:r w:rsidR="00290E67" w:rsidRPr="000C3275">
        <w:rPr>
          <w:rStyle w:val="FootnoteReference"/>
          <w:rFonts w:ascii="Arial" w:hAnsi="Arial" w:cs="Arial"/>
          <w:sz w:val="24"/>
          <w:szCs w:val="24"/>
        </w:rPr>
        <w:footnoteReference w:id="37"/>
      </w:r>
      <w:r w:rsidR="00290E67" w:rsidRPr="000C3275">
        <w:rPr>
          <w:rFonts w:ascii="Arial" w:hAnsi="Arial" w:cs="Arial"/>
          <w:sz w:val="24"/>
          <w:szCs w:val="24"/>
        </w:rPr>
        <w:t xml:space="preserve"> The question in the present case </w:t>
      </w:r>
      <w:r w:rsidR="00290E67" w:rsidRPr="000C3275">
        <w:rPr>
          <w:rFonts w:ascii="Arial" w:eastAsia="Times New Roman" w:hAnsi="Arial" w:cs="Arial"/>
          <w:sz w:val="24"/>
          <w:szCs w:val="24"/>
          <w:lang w:eastAsia="en-GB"/>
        </w:rPr>
        <w:t xml:space="preserve">therefore is whether there are reasonable prospects that the Supreme Court might come to the conclusion that the order of stay </w:t>
      </w:r>
      <w:r w:rsidR="009D06BA" w:rsidRPr="000C3275">
        <w:rPr>
          <w:rFonts w:ascii="Arial" w:eastAsia="Times New Roman" w:hAnsi="Arial" w:cs="Arial"/>
          <w:sz w:val="24"/>
          <w:szCs w:val="24"/>
          <w:lang w:eastAsia="en-GB"/>
        </w:rPr>
        <w:t>is</w:t>
      </w:r>
      <w:r w:rsidR="00290E67" w:rsidRPr="000C3275">
        <w:rPr>
          <w:rFonts w:ascii="Arial" w:eastAsia="Times New Roman" w:hAnsi="Arial" w:cs="Arial"/>
          <w:sz w:val="24"/>
          <w:szCs w:val="24"/>
          <w:lang w:eastAsia="en-GB"/>
        </w:rPr>
        <w:t xml:space="preserve"> </w:t>
      </w:r>
      <w:r w:rsidR="009D06BA" w:rsidRPr="000C3275">
        <w:rPr>
          <w:rFonts w:ascii="Arial" w:eastAsia="Times New Roman" w:hAnsi="Arial" w:cs="Arial"/>
          <w:sz w:val="24"/>
          <w:szCs w:val="24"/>
          <w:lang w:eastAsia="en-GB"/>
        </w:rPr>
        <w:t>incompetent.</w:t>
      </w:r>
    </w:p>
    <w:p w:rsidR="00C81264" w:rsidRPr="000C3275" w:rsidRDefault="00C81264" w:rsidP="00F2267F">
      <w:pPr>
        <w:pStyle w:val="ListParagraph"/>
        <w:spacing w:after="0" w:line="480" w:lineRule="auto"/>
        <w:rPr>
          <w:rFonts w:ascii="Arial" w:hAnsi="Arial" w:cs="Arial"/>
          <w:sz w:val="24"/>
          <w:szCs w:val="24"/>
        </w:rPr>
      </w:pPr>
    </w:p>
    <w:p w:rsidR="00C81264" w:rsidRPr="000C3275" w:rsidRDefault="00290E67" w:rsidP="00BE633E">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If the order of stay was granted without being asked for or amounts to trespassing on the competence of the elected branch, it cannot be allowed to stand and the applicants would have made out the case for it being reconsidered on appeal.</w:t>
      </w:r>
    </w:p>
    <w:p w:rsidR="00C81264" w:rsidRPr="000C3275" w:rsidRDefault="00C81264" w:rsidP="00F2267F">
      <w:pPr>
        <w:pStyle w:val="ListParagraph"/>
        <w:spacing w:after="0" w:line="480" w:lineRule="auto"/>
        <w:rPr>
          <w:rFonts w:ascii="Arial" w:hAnsi="Arial" w:cs="Arial"/>
          <w:sz w:val="24"/>
          <w:szCs w:val="24"/>
          <w:lang w:val="en-GB"/>
        </w:rPr>
      </w:pPr>
    </w:p>
    <w:p w:rsidR="00C81264" w:rsidRPr="000C3275" w:rsidRDefault="00AE00C1" w:rsidP="00C81264">
      <w:pPr>
        <w:spacing w:after="0" w:line="480" w:lineRule="auto"/>
        <w:jc w:val="both"/>
        <w:rPr>
          <w:rFonts w:ascii="Arial" w:hAnsi="Arial" w:cs="Arial"/>
          <w:sz w:val="24"/>
          <w:szCs w:val="24"/>
          <w:u w:val="single"/>
        </w:rPr>
      </w:pPr>
      <w:r w:rsidRPr="000C3275">
        <w:rPr>
          <w:rFonts w:ascii="Arial" w:hAnsi="Arial" w:cs="Arial"/>
          <w:sz w:val="24"/>
          <w:szCs w:val="24"/>
          <w:u w:val="single"/>
        </w:rPr>
        <w:t>Order not asked for</w:t>
      </w:r>
      <w:r w:rsidR="00C81264" w:rsidRPr="000C3275">
        <w:rPr>
          <w:rFonts w:ascii="Arial" w:hAnsi="Arial" w:cs="Arial"/>
          <w:sz w:val="24"/>
          <w:szCs w:val="24"/>
          <w:u w:val="single"/>
        </w:rPr>
        <w:t>?</w:t>
      </w:r>
    </w:p>
    <w:p w:rsidR="0040773A" w:rsidRPr="000C3275" w:rsidRDefault="00290E67" w:rsidP="009D68A5">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It was common cause </w:t>
      </w:r>
      <w:r w:rsidR="00BB1127">
        <w:rPr>
          <w:rFonts w:ascii="Arial" w:hAnsi="Arial" w:cs="Arial"/>
          <w:sz w:val="24"/>
          <w:szCs w:val="24"/>
        </w:rPr>
        <w:t>in the present proceedings</w:t>
      </w:r>
      <w:r w:rsidRPr="000C3275">
        <w:rPr>
          <w:rFonts w:ascii="Arial" w:hAnsi="Arial" w:cs="Arial"/>
          <w:sz w:val="24"/>
          <w:szCs w:val="24"/>
        </w:rPr>
        <w:t xml:space="preserve"> that the order of stay was not asked for in the pleadings by the respondents and was not an issue in the proceedings </w:t>
      </w:r>
      <w:r w:rsidRPr="000C3275">
        <w:rPr>
          <w:rFonts w:ascii="Arial" w:hAnsi="Arial" w:cs="Arial"/>
          <w:i/>
          <w:sz w:val="24"/>
          <w:szCs w:val="24"/>
        </w:rPr>
        <w:t>a quo</w:t>
      </w:r>
      <w:r w:rsidRPr="000C3275">
        <w:rPr>
          <w:rFonts w:ascii="Arial" w:hAnsi="Arial" w:cs="Arial"/>
          <w:sz w:val="24"/>
          <w:szCs w:val="24"/>
        </w:rPr>
        <w:t>. The applicable principle in such a situation has been stated and restated by this court in a long line of cases</w:t>
      </w:r>
      <w:r w:rsidR="000106B4" w:rsidRPr="000C3275">
        <w:rPr>
          <w:rFonts w:ascii="Arial" w:hAnsi="Arial" w:cs="Arial"/>
          <w:sz w:val="24"/>
          <w:szCs w:val="24"/>
        </w:rPr>
        <w:t>.</w:t>
      </w:r>
      <w:r w:rsidR="00AE00C1" w:rsidRPr="000C3275">
        <w:rPr>
          <w:rStyle w:val="FootnoteReference"/>
          <w:rFonts w:ascii="Arial" w:hAnsi="Arial" w:cs="Arial"/>
          <w:sz w:val="24"/>
          <w:szCs w:val="24"/>
        </w:rPr>
        <w:footnoteReference w:id="38"/>
      </w:r>
      <w:r w:rsidRPr="000C3275">
        <w:rPr>
          <w:rFonts w:ascii="Arial" w:hAnsi="Arial" w:cs="Arial"/>
          <w:sz w:val="24"/>
          <w:szCs w:val="24"/>
        </w:rPr>
        <w:t xml:space="preserve"> It was </w:t>
      </w:r>
      <w:r w:rsidR="00593E3D" w:rsidRPr="000C3275">
        <w:rPr>
          <w:rFonts w:ascii="Arial" w:hAnsi="Arial" w:cs="Arial"/>
          <w:sz w:val="24"/>
          <w:szCs w:val="24"/>
        </w:rPr>
        <w:t xml:space="preserve">recently </w:t>
      </w:r>
      <w:r w:rsidR="00D10221">
        <w:rPr>
          <w:rFonts w:ascii="Arial" w:hAnsi="Arial" w:cs="Arial"/>
          <w:sz w:val="24"/>
          <w:szCs w:val="24"/>
        </w:rPr>
        <w:t>restated in a judg</w:t>
      </w:r>
      <w:r w:rsidRPr="000C3275">
        <w:rPr>
          <w:rFonts w:ascii="Arial" w:hAnsi="Arial" w:cs="Arial"/>
          <w:sz w:val="24"/>
          <w:szCs w:val="24"/>
        </w:rPr>
        <w:t xml:space="preserve">ment of this court in </w:t>
      </w:r>
      <w:r w:rsidRPr="000C3275">
        <w:rPr>
          <w:rFonts w:ascii="Arial" w:hAnsi="Arial" w:cs="Arial"/>
          <w:i/>
          <w:sz w:val="24"/>
          <w:szCs w:val="24"/>
        </w:rPr>
        <w:t>Namibia Airports Company Ltd v Fire Tech Systems CC and Others</w:t>
      </w:r>
      <w:r w:rsidR="000106B4" w:rsidRPr="000C3275">
        <w:rPr>
          <w:rFonts w:ascii="Arial" w:hAnsi="Arial" w:cs="Arial"/>
          <w:i/>
          <w:sz w:val="24"/>
          <w:szCs w:val="24"/>
        </w:rPr>
        <w:t>.</w:t>
      </w:r>
      <w:r w:rsidRPr="000C3275">
        <w:rPr>
          <w:rStyle w:val="FootnoteReference"/>
          <w:rFonts w:ascii="Arial" w:hAnsi="Arial" w:cs="Arial"/>
          <w:sz w:val="24"/>
          <w:szCs w:val="24"/>
        </w:rPr>
        <w:footnoteReference w:id="39"/>
      </w:r>
      <w:r w:rsidRPr="000C3275">
        <w:rPr>
          <w:rFonts w:ascii="Arial" w:hAnsi="Arial" w:cs="Arial"/>
          <w:sz w:val="24"/>
          <w:szCs w:val="24"/>
        </w:rPr>
        <w:t xml:space="preserve"> </w:t>
      </w:r>
      <w:r w:rsidR="009D68A5" w:rsidRPr="000C3275">
        <w:rPr>
          <w:rFonts w:ascii="Arial" w:hAnsi="Arial" w:cs="Arial"/>
          <w:sz w:val="24"/>
          <w:szCs w:val="24"/>
          <w:lang w:val="en-GB"/>
        </w:rPr>
        <w:t xml:space="preserve">Hoff JA </w:t>
      </w:r>
      <w:r w:rsidRPr="000C3275">
        <w:rPr>
          <w:rFonts w:ascii="Arial" w:hAnsi="Arial" w:cs="Arial"/>
          <w:sz w:val="24"/>
          <w:szCs w:val="24"/>
        </w:rPr>
        <w:t xml:space="preserve">made clear </w:t>
      </w:r>
      <w:r w:rsidR="009E5086" w:rsidRPr="000C3275">
        <w:rPr>
          <w:rFonts w:ascii="Arial" w:hAnsi="Arial" w:cs="Arial"/>
          <w:sz w:val="24"/>
          <w:szCs w:val="24"/>
        </w:rPr>
        <w:t>at para [29]</w:t>
      </w:r>
      <w:r w:rsidRPr="000C3275">
        <w:rPr>
          <w:rFonts w:ascii="Arial" w:hAnsi="Arial" w:cs="Arial"/>
          <w:sz w:val="24"/>
          <w:szCs w:val="24"/>
        </w:rPr>
        <w:t xml:space="preserve"> that </w:t>
      </w:r>
      <w:proofErr w:type="spellStart"/>
      <w:r w:rsidR="009E5086" w:rsidRPr="000C3275">
        <w:rPr>
          <w:rFonts w:ascii="Arial" w:hAnsi="Arial" w:cs="Arial"/>
          <w:sz w:val="24"/>
          <w:szCs w:val="24"/>
        </w:rPr>
        <w:t>‘a</w:t>
      </w:r>
      <w:proofErr w:type="spellEnd"/>
      <w:r w:rsidR="009E5086" w:rsidRPr="000C3275">
        <w:rPr>
          <w:rFonts w:ascii="Arial" w:hAnsi="Arial" w:cs="Arial"/>
          <w:sz w:val="24"/>
          <w:szCs w:val="24"/>
        </w:rPr>
        <w:t xml:space="preserve"> court is only competent to grant orders which were asked for by the litigants’.</w:t>
      </w:r>
      <w:r w:rsidRPr="000C3275">
        <w:rPr>
          <w:rFonts w:ascii="Arial" w:hAnsi="Arial" w:cs="Arial"/>
          <w:sz w:val="24"/>
          <w:szCs w:val="24"/>
        </w:rPr>
        <w:t xml:space="preserve"> </w:t>
      </w:r>
      <w:r w:rsidR="00BB1127">
        <w:rPr>
          <w:rFonts w:ascii="Arial" w:hAnsi="Arial" w:cs="Arial"/>
          <w:sz w:val="24"/>
          <w:szCs w:val="24"/>
        </w:rPr>
        <w:t>The Supreme Court might therefore set aside the order of stay on appeal.</w:t>
      </w:r>
    </w:p>
    <w:p w:rsidR="00C81264" w:rsidRDefault="00C81264" w:rsidP="00C81264">
      <w:pPr>
        <w:spacing w:after="0" w:line="480" w:lineRule="auto"/>
        <w:jc w:val="both"/>
        <w:rPr>
          <w:rFonts w:ascii="Arial" w:hAnsi="Arial" w:cs="Arial"/>
          <w:sz w:val="24"/>
          <w:szCs w:val="24"/>
          <w:u w:val="single"/>
        </w:rPr>
      </w:pPr>
    </w:p>
    <w:p w:rsidR="00FD629B" w:rsidRPr="000C3275" w:rsidRDefault="00FD629B" w:rsidP="00C81264">
      <w:pPr>
        <w:spacing w:after="0" w:line="480" w:lineRule="auto"/>
        <w:jc w:val="both"/>
        <w:rPr>
          <w:rFonts w:ascii="Arial" w:hAnsi="Arial" w:cs="Arial"/>
          <w:sz w:val="24"/>
          <w:szCs w:val="24"/>
          <w:u w:val="single"/>
        </w:rPr>
      </w:pPr>
    </w:p>
    <w:p w:rsidR="00C81264" w:rsidRPr="000C3275" w:rsidRDefault="00C81264" w:rsidP="00C81264">
      <w:pPr>
        <w:spacing w:after="0" w:line="480" w:lineRule="auto"/>
        <w:jc w:val="both"/>
        <w:rPr>
          <w:rFonts w:ascii="Arial" w:hAnsi="Arial" w:cs="Arial"/>
          <w:sz w:val="24"/>
          <w:szCs w:val="24"/>
        </w:rPr>
      </w:pPr>
      <w:r w:rsidRPr="000C3275">
        <w:rPr>
          <w:rFonts w:ascii="Arial" w:hAnsi="Arial" w:cs="Arial"/>
          <w:sz w:val="24"/>
          <w:szCs w:val="24"/>
          <w:u w:val="single"/>
        </w:rPr>
        <w:lastRenderedPageBreak/>
        <w:t>Does the order potentially violate separation of powers</w:t>
      </w:r>
      <w:r w:rsidRPr="000C3275">
        <w:rPr>
          <w:rFonts w:ascii="Arial" w:hAnsi="Arial" w:cs="Arial"/>
          <w:sz w:val="24"/>
          <w:szCs w:val="24"/>
        </w:rPr>
        <w:t>?</w:t>
      </w:r>
    </w:p>
    <w:p w:rsidR="00C81264" w:rsidRPr="000C3275" w:rsidRDefault="00FD7890" w:rsidP="00FD7890">
      <w:pPr>
        <w:numPr>
          <w:ilvl w:val="0"/>
          <w:numId w:val="4"/>
        </w:numPr>
        <w:tabs>
          <w:tab w:val="left" w:pos="851"/>
        </w:tabs>
        <w:spacing w:after="0" w:line="480" w:lineRule="auto"/>
        <w:ind w:left="0" w:hanging="11"/>
        <w:contextualSpacing/>
        <w:jc w:val="both"/>
        <w:rPr>
          <w:rFonts w:ascii="Arial" w:hAnsi="Arial" w:cs="Arial"/>
          <w:sz w:val="24"/>
          <w:szCs w:val="24"/>
        </w:rPr>
      </w:pPr>
      <w:r w:rsidRPr="000C3275">
        <w:rPr>
          <w:rFonts w:ascii="Arial" w:hAnsi="Arial" w:cs="Arial"/>
          <w:sz w:val="24"/>
          <w:szCs w:val="24"/>
        </w:rPr>
        <w:t xml:space="preserve"> </w:t>
      </w:r>
      <w:r w:rsidR="00290E67" w:rsidRPr="000C3275">
        <w:rPr>
          <w:rFonts w:ascii="Arial" w:hAnsi="Arial" w:cs="Arial"/>
          <w:sz w:val="24"/>
          <w:szCs w:val="24"/>
        </w:rPr>
        <w:t>In the heads of argument, counsel for the applicants challenged the respondents to cite any authority from either the Southern African region or elsewhere where a court of law had assumed jurisdiction to stay a legislative m</w:t>
      </w:r>
      <w:r w:rsidR="00B7663C">
        <w:rPr>
          <w:rFonts w:ascii="Arial" w:hAnsi="Arial" w:cs="Arial"/>
          <w:sz w:val="24"/>
          <w:szCs w:val="24"/>
        </w:rPr>
        <w:t>easure. We have not been referred</w:t>
      </w:r>
      <w:r w:rsidR="00290E67" w:rsidRPr="000C3275">
        <w:rPr>
          <w:rFonts w:ascii="Arial" w:hAnsi="Arial" w:cs="Arial"/>
          <w:sz w:val="24"/>
          <w:szCs w:val="24"/>
        </w:rPr>
        <w:t xml:space="preserve"> to any such authority by counsel for the respondents. </w:t>
      </w:r>
    </w:p>
    <w:p w:rsidR="00C81264" w:rsidRPr="000C3275" w:rsidRDefault="00C81264" w:rsidP="00F2267F">
      <w:pPr>
        <w:tabs>
          <w:tab w:val="left" w:pos="851"/>
        </w:tabs>
        <w:spacing w:after="0" w:line="480" w:lineRule="auto"/>
        <w:contextualSpacing/>
        <w:jc w:val="both"/>
        <w:rPr>
          <w:rFonts w:ascii="Arial" w:hAnsi="Arial" w:cs="Arial"/>
          <w:sz w:val="24"/>
          <w:szCs w:val="24"/>
        </w:rPr>
      </w:pPr>
    </w:p>
    <w:p w:rsidR="00C81264" w:rsidRPr="000C3275" w:rsidRDefault="00290E67" w:rsidP="00FD7890">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 xml:space="preserve">As </w:t>
      </w:r>
      <w:r w:rsidR="003F7EFF" w:rsidRPr="000C3275">
        <w:rPr>
          <w:rFonts w:ascii="Arial" w:hAnsi="Arial" w:cs="Arial"/>
          <w:sz w:val="24"/>
          <w:szCs w:val="24"/>
        </w:rPr>
        <w:t xml:space="preserve">counsel for the applicants </w:t>
      </w:r>
      <w:r w:rsidRPr="000C3275">
        <w:rPr>
          <w:rFonts w:ascii="Arial" w:hAnsi="Arial" w:cs="Arial"/>
          <w:sz w:val="24"/>
          <w:szCs w:val="24"/>
        </w:rPr>
        <w:t>suggested</w:t>
      </w:r>
      <w:r w:rsidR="003F7EFF" w:rsidRPr="000C3275">
        <w:rPr>
          <w:rFonts w:ascii="Arial" w:hAnsi="Arial" w:cs="Arial"/>
          <w:sz w:val="24"/>
          <w:szCs w:val="24"/>
        </w:rPr>
        <w:t>,</w:t>
      </w:r>
      <w:r w:rsidRPr="000C3275">
        <w:rPr>
          <w:rFonts w:ascii="Arial" w:hAnsi="Arial" w:cs="Arial"/>
          <w:sz w:val="24"/>
          <w:szCs w:val="24"/>
        </w:rPr>
        <w:t xml:space="preserve"> such comparative jurisprudence as there is points in the opposite direction. </w:t>
      </w:r>
      <w:r w:rsidR="003F7EFF" w:rsidRPr="000C3275">
        <w:rPr>
          <w:rFonts w:ascii="Arial" w:hAnsi="Arial" w:cs="Arial"/>
          <w:sz w:val="24"/>
          <w:szCs w:val="24"/>
        </w:rPr>
        <w:t xml:space="preserve">We were referred to </w:t>
      </w:r>
      <w:r w:rsidRPr="000C3275">
        <w:rPr>
          <w:rFonts w:ascii="Arial" w:hAnsi="Arial" w:cs="Arial"/>
          <w:sz w:val="24"/>
          <w:szCs w:val="24"/>
        </w:rPr>
        <w:t>judgments where the courts declined to assume such jurisdiction and where the apex courts reversed orders of first instance courts purporting to assume such jurisdiction.</w:t>
      </w:r>
      <w:r w:rsidR="000106B4" w:rsidRPr="000C3275">
        <w:rPr>
          <w:rStyle w:val="FootnoteReference"/>
          <w:rFonts w:ascii="Arial" w:hAnsi="Arial" w:cs="Arial"/>
          <w:sz w:val="24"/>
          <w:szCs w:val="24"/>
        </w:rPr>
        <w:footnoteReference w:id="40"/>
      </w:r>
      <w:r w:rsidRPr="000C3275">
        <w:rPr>
          <w:rFonts w:ascii="Arial" w:hAnsi="Arial" w:cs="Arial"/>
          <w:sz w:val="24"/>
          <w:szCs w:val="24"/>
        </w:rPr>
        <w:t xml:space="preserve"> </w:t>
      </w:r>
      <w:r w:rsidR="002C2B58" w:rsidRPr="000C3275">
        <w:rPr>
          <w:rFonts w:ascii="Arial" w:hAnsi="Arial" w:cs="Arial"/>
          <w:sz w:val="24"/>
          <w:szCs w:val="24"/>
        </w:rPr>
        <w:t>In tho</w:t>
      </w:r>
      <w:r w:rsidR="00380D72" w:rsidRPr="000C3275">
        <w:rPr>
          <w:rFonts w:ascii="Arial" w:hAnsi="Arial" w:cs="Arial"/>
          <w:sz w:val="24"/>
          <w:szCs w:val="24"/>
        </w:rPr>
        <w:t>se cases</w:t>
      </w:r>
      <w:r w:rsidR="002C2B58" w:rsidRPr="000C3275">
        <w:rPr>
          <w:rFonts w:ascii="Arial" w:hAnsi="Arial" w:cs="Arial"/>
          <w:sz w:val="24"/>
          <w:szCs w:val="24"/>
        </w:rPr>
        <w:t xml:space="preserve"> cited</w:t>
      </w:r>
      <w:r w:rsidR="00380D72" w:rsidRPr="000C3275">
        <w:rPr>
          <w:rFonts w:ascii="Arial" w:hAnsi="Arial" w:cs="Arial"/>
          <w:sz w:val="24"/>
          <w:szCs w:val="24"/>
        </w:rPr>
        <w:t xml:space="preserve">, the issue was whether the High Court had the power to suspend the operation of an Act of Parliament, pending a constitutional challenge to declare legislation invalid. </w:t>
      </w:r>
    </w:p>
    <w:p w:rsidR="00C81264" w:rsidRPr="000C3275" w:rsidRDefault="00C81264" w:rsidP="00F2267F">
      <w:pPr>
        <w:pStyle w:val="ListParagraph"/>
        <w:spacing w:after="0" w:line="480" w:lineRule="auto"/>
        <w:rPr>
          <w:rFonts w:ascii="Arial" w:hAnsi="Arial" w:cs="Arial"/>
          <w:sz w:val="24"/>
          <w:szCs w:val="24"/>
        </w:rPr>
      </w:pPr>
    </w:p>
    <w:p w:rsidR="00C81264" w:rsidRPr="000C3275" w:rsidRDefault="00380D72" w:rsidP="00C81264">
      <w:pPr>
        <w:numPr>
          <w:ilvl w:val="0"/>
          <w:numId w:val="4"/>
        </w:numPr>
        <w:tabs>
          <w:tab w:val="left" w:pos="851"/>
        </w:tabs>
        <w:spacing w:after="0" w:line="480" w:lineRule="auto"/>
        <w:ind w:left="0" w:hanging="11"/>
        <w:contextualSpacing/>
        <w:jc w:val="both"/>
        <w:rPr>
          <w:rFonts w:ascii="Arial" w:hAnsi="Arial" w:cs="Arial"/>
          <w:sz w:val="24"/>
          <w:szCs w:val="24"/>
        </w:rPr>
      </w:pPr>
      <w:r w:rsidRPr="000C3275">
        <w:rPr>
          <w:rFonts w:ascii="Arial" w:hAnsi="Arial" w:cs="Arial"/>
          <w:sz w:val="24"/>
          <w:szCs w:val="24"/>
        </w:rPr>
        <w:t xml:space="preserve">The constitutional court set aside the order of the court a </w:t>
      </w:r>
      <w:r w:rsidRPr="000C3275">
        <w:rPr>
          <w:rFonts w:ascii="Arial" w:hAnsi="Arial" w:cs="Arial"/>
          <w:i/>
          <w:sz w:val="24"/>
          <w:szCs w:val="24"/>
        </w:rPr>
        <w:t>quo</w:t>
      </w:r>
      <w:r w:rsidRPr="000C3275">
        <w:rPr>
          <w:rFonts w:ascii="Arial" w:hAnsi="Arial" w:cs="Arial"/>
          <w:sz w:val="24"/>
          <w:szCs w:val="24"/>
        </w:rPr>
        <w:t xml:space="preserve"> noting that the effect of such order defeats the will of parliament, hampering its ability to exercise the legislative authority conferred on it by the</w:t>
      </w:r>
      <w:r w:rsidR="00BB1127">
        <w:rPr>
          <w:rFonts w:ascii="Arial" w:hAnsi="Arial" w:cs="Arial"/>
          <w:sz w:val="24"/>
          <w:szCs w:val="24"/>
        </w:rPr>
        <w:t xml:space="preserve"> c</w:t>
      </w:r>
      <w:r w:rsidRPr="000C3275">
        <w:rPr>
          <w:rFonts w:ascii="Arial" w:hAnsi="Arial" w:cs="Arial"/>
          <w:sz w:val="24"/>
          <w:szCs w:val="24"/>
        </w:rPr>
        <w:t>onstitution.</w:t>
      </w:r>
      <w:r w:rsidRPr="000C3275">
        <w:rPr>
          <w:rStyle w:val="FootnoteReference"/>
          <w:rFonts w:ascii="Arial" w:hAnsi="Arial" w:cs="Arial"/>
          <w:sz w:val="24"/>
          <w:szCs w:val="24"/>
        </w:rPr>
        <w:footnoteReference w:id="41"/>
      </w:r>
      <w:r w:rsidRPr="000C3275">
        <w:rPr>
          <w:rFonts w:ascii="Arial" w:hAnsi="Arial" w:cs="Arial"/>
          <w:sz w:val="24"/>
          <w:szCs w:val="24"/>
        </w:rPr>
        <w:t xml:space="preserve"> </w:t>
      </w:r>
    </w:p>
    <w:p w:rsidR="003F7EFF" w:rsidRPr="000C3275" w:rsidRDefault="003F7EFF" w:rsidP="00F2267F">
      <w:pPr>
        <w:tabs>
          <w:tab w:val="left" w:pos="851"/>
        </w:tabs>
        <w:spacing w:after="0" w:line="480" w:lineRule="auto"/>
        <w:contextualSpacing/>
        <w:jc w:val="both"/>
        <w:rPr>
          <w:rFonts w:ascii="Arial" w:hAnsi="Arial" w:cs="Arial"/>
          <w:sz w:val="24"/>
          <w:szCs w:val="24"/>
        </w:rPr>
      </w:pPr>
    </w:p>
    <w:p w:rsidR="00C81264" w:rsidRPr="000C3275" w:rsidRDefault="00380D72" w:rsidP="00BE633E">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Counsel also made reference to Art</w:t>
      </w:r>
      <w:r w:rsidR="00B7663C">
        <w:rPr>
          <w:rFonts w:ascii="Arial" w:hAnsi="Arial" w:cs="Arial"/>
          <w:sz w:val="24"/>
          <w:szCs w:val="24"/>
        </w:rPr>
        <w:t>icle</w:t>
      </w:r>
      <w:r w:rsidRPr="000C3275">
        <w:rPr>
          <w:rFonts w:ascii="Arial" w:hAnsi="Arial" w:cs="Arial"/>
          <w:sz w:val="24"/>
          <w:szCs w:val="24"/>
        </w:rPr>
        <w:t xml:space="preserve"> 63(1) of the Constitution clothing the legislature with legislative powers and Article 25(1)(a) which gives the courts power to declare an Act of parliament unconstitutional and, if necessary, to suspend its operation and afford parliament the opportunity to rectify a legal defect. </w:t>
      </w:r>
      <w:r w:rsidR="003F7EFF" w:rsidRPr="000C3275">
        <w:rPr>
          <w:rFonts w:ascii="Arial" w:hAnsi="Arial" w:cs="Arial"/>
          <w:sz w:val="24"/>
          <w:szCs w:val="24"/>
        </w:rPr>
        <w:t xml:space="preserve">Applicants’ counsel argued </w:t>
      </w:r>
      <w:r w:rsidRPr="000C3275">
        <w:rPr>
          <w:rFonts w:ascii="Arial" w:hAnsi="Arial" w:cs="Arial"/>
          <w:sz w:val="24"/>
          <w:szCs w:val="24"/>
        </w:rPr>
        <w:t>that such a power does not include a power to stay a valid law.</w:t>
      </w:r>
    </w:p>
    <w:p w:rsidR="00C81264" w:rsidRPr="000C3275" w:rsidRDefault="00C81264" w:rsidP="00F2267F">
      <w:pPr>
        <w:pStyle w:val="ListParagraph"/>
        <w:spacing w:after="0" w:line="480" w:lineRule="auto"/>
        <w:rPr>
          <w:rFonts w:ascii="Arial" w:hAnsi="Arial" w:cs="Arial"/>
          <w:sz w:val="24"/>
          <w:szCs w:val="24"/>
        </w:rPr>
      </w:pPr>
    </w:p>
    <w:p w:rsidR="00C81264" w:rsidRPr="000C3275" w:rsidRDefault="00290E67" w:rsidP="002C2B58">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lastRenderedPageBreak/>
        <w:t xml:space="preserve">Neither the learned judge </w:t>
      </w:r>
      <w:r w:rsidRPr="000C3275">
        <w:rPr>
          <w:rFonts w:ascii="Arial" w:eastAsia="Times New Roman" w:hAnsi="Arial" w:cs="Arial"/>
          <w:i/>
          <w:sz w:val="24"/>
          <w:szCs w:val="24"/>
          <w:lang w:eastAsia="en-GB"/>
        </w:rPr>
        <w:t>a quo</w:t>
      </w:r>
      <w:r w:rsidRPr="000C3275">
        <w:rPr>
          <w:rFonts w:ascii="Arial" w:eastAsia="Times New Roman" w:hAnsi="Arial" w:cs="Arial"/>
          <w:sz w:val="24"/>
          <w:szCs w:val="24"/>
          <w:lang w:eastAsia="en-GB"/>
        </w:rPr>
        <w:t xml:space="preserve"> nor the respondents have cited any constitutional basis for the order granted by the High Court. To say that the High Court granted a lesser order than what was sought is no</w:t>
      </w:r>
      <w:r w:rsidR="00593E3D" w:rsidRPr="000C3275">
        <w:rPr>
          <w:rFonts w:ascii="Arial" w:eastAsia="Times New Roman" w:hAnsi="Arial" w:cs="Arial"/>
          <w:sz w:val="24"/>
          <w:szCs w:val="24"/>
          <w:lang w:eastAsia="en-GB"/>
        </w:rPr>
        <w:t>t an</w:t>
      </w:r>
      <w:r w:rsidRPr="000C3275">
        <w:rPr>
          <w:rFonts w:ascii="Arial" w:eastAsia="Times New Roman" w:hAnsi="Arial" w:cs="Arial"/>
          <w:sz w:val="24"/>
          <w:szCs w:val="24"/>
          <w:lang w:eastAsia="en-GB"/>
        </w:rPr>
        <w:t xml:space="preserve"> answer to the complaint that the court granted an order which was not competent because of the doctrine of separation of powers. Can it be right to argue that because life imprisonment is a more severe penalty than corporal punishment, the latter would pass muster if a court imposed corporal punishment</w:t>
      </w:r>
      <w:r w:rsidRPr="000C3275">
        <w:rPr>
          <w:rStyle w:val="FootnoteReference"/>
          <w:rFonts w:ascii="Arial" w:eastAsia="Times New Roman" w:hAnsi="Arial" w:cs="Arial"/>
          <w:sz w:val="24"/>
          <w:szCs w:val="24"/>
          <w:lang w:eastAsia="en-GB"/>
        </w:rPr>
        <w:footnoteReference w:id="42"/>
      </w:r>
      <w:r w:rsidRPr="000C3275">
        <w:rPr>
          <w:rFonts w:ascii="Arial" w:eastAsia="Times New Roman" w:hAnsi="Arial" w:cs="Arial"/>
          <w:sz w:val="24"/>
          <w:szCs w:val="24"/>
          <w:lang w:eastAsia="en-GB"/>
        </w:rPr>
        <w:t xml:space="preserve"> instead of life imprisonment which the prosecution asked for.</w:t>
      </w:r>
    </w:p>
    <w:p w:rsidR="00C81264" w:rsidRPr="000C3275" w:rsidRDefault="00C81264" w:rsidP="00F2267F">
      <w:pPr>
        <w:pStyle w:val="ListParagraph"/>
        <w:spacing w:after="0" w:line="480" w:lineRule="auto"/>
        <w:rPr>
          <w:rFonts w:ascii="Arial" w:hAnsi="Arial" w:cs="Arial"/>
          <w:sz w:val="24"/>
          <w:szCs w:val="24"/>
        </w:rPr>
      </w:pPr>
    </w:p>
    <w:p w:rsidR="002C2B58" w:rsidRPr="000C3275" w:rsidRDefault="00380D72" w:rsidP="002C2B58">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I have surveyed both Canadian</w:t>
      </w:r>
      <w:r w:rsidR="003F7EFF" w:rsidRPr="000C3275">
        <w:rPr>
          <w:rStyle w:val="FootnoteReference"/>
          <w:rFonts w:ascii="Arial" w:hAnsi="Arial" w:cs="Arial"/>
          <w:sz w:val="24"/>
          <w:szCs w:val="24"/>
        </w:rPr>
        <w:footnoteReference w:id="43"/>
      </w:r>
      <w:r w:rsidRPr="000C3275">
        <w:rPr>
          <w:rFonts w:ascii="Arial" w:hAnsi="Arial" w:cs="Arial"/>
          <w:sz w:val="24"/>
          <w:szCs w:val="24"/>
        </w:rPr>
        <w:t xml:space="preserve"> and Indian</w:t>
      </w:r>
      <w:r w:rsidR="003F7EFF" w:rsidRPr="000C3275">
        <w:rPr>
          <w:rStyle w:val="FootnoteReference"/>
          <w:rFonts w:ascii="Arial" w:hAnsi="Arial" w:cs="Arial"/>
          <w:sz w:val="24"/>
          <w:szCs w:val="24"/>
        </w:rPr>
        <w:footnoteReference w:id="44"/>
      </w:r>
      <w:r w:rsidRPr="000C3275">
        <w:rPr>
          <w:rFonts w:ascii="Arial" w:hAnsi="Arial" w:cs="Arial"/>
          <w:sz w:val="24"/>
          <w:szCs w:val="24"/>
        </w:rPr>
        <w:t xml:space="preserve"> jurisprudence to see if courts in those jurisdictions assume a jurisdiction to suspend the operation of legislation but was unable to</w:t>
      </w:r>
      <w:r w:rsidR="001033E8" w:rsidRPr="000C3275">
        <w:rPr>
          <w:rFonts w:ascii="Arial" w:hAnsi="Arial" w:cs="Arial"/>
          <w:sz w:val="24"/>
          <w:szCs w:val="24"/>
        </w:rPr>
        <w:t xml:space="preserve"> find support for the order of stay</w:t>
      </w:r>
      <w:r w:rsidRPr="000C3275">
        <w:rPr>
          <w:rFonts w:ascii="Arial" w:hAnsi="Arial" w:cs="Arial"/>
          <w:sz w:val="24"/>
          <w:szCs w:val="24"/>
        </w:rPr>
        <w:t xml:space="preserve">. </w:t>
      </w:r>
      <w:r w:rsidR="002C2B58" w:rsidRPr="000C3275">
        <w:rPr>
          <w:rFonts w:ascii="Arial" w:hAnsi="Arial" w:cs="Arial"/>
          <w:sz w:val="24"/>
          <w:szCs w:val="24"/>
        </w:rPr>
        <w:t xml:space="preserve">Separation of powers is just as justiciable as the rights enshrined in the Bill of Rights. It binds the courts </w:t>
      </w:r>
      <w:r w:rsidR="00B7663C">
        <w:rPr>
          <w:rFonts w:ascii="Arial" w:hAnsi="Arial" w:cs="Arial"/>
          <w:sz w:val="24"/>
          <w:szCs w:val="24"/>
        </w:rPr>
        <w:t>just as it does the other organs</w:t>
      </w:r>
      <w:r w:rsidR="002C2B58" w:rsidRPr="000C3275">
        <w:rPr>
          <w:rFonts w:ascii="Arial" w:hAnsi="Arial" w:cs="Arial"/>
          <w:sz w:val="24"/>
          <w:szCs w:val="24"/>
        </w:rPr>
        <w:t xml:space="preserve"> of the State. In other words, just as the Executive and the Legislature may not usurp the power of the courts, the Judiciary may not usurp the powers delineated under the Constitution to the other separate but equal branches.</w:t>
      </w:r>
    </w:p>
    <w:p w:rsidR="00C81264" w:rsidRPr="000C3275" w:rsidRDefault="00C81264" w:rsidP="00F2267F">
      <w:pPr>
        <w:spacing w:after="0" w:line="480" w:lineRule="auto"/>
        <w:rPr>
          <w:rFonts w:ascii="Arial" w:hAnsi="Arial" w:cs="Arial"/>
          <w:sz w:val="24"/>
          <w:szCs w:val="24"/>
        </w:rPr>
      </w:pPr>
    </w:p>
    <w:p w:rsidR="00C81264" w:rsidRPr="000C3275" w:rsidRDefault="00380D72" w:rsidP="00047CED">
      <w:pPr>
        <w:numPr>
          <w:ilvl w:val="0"/>
          <w:numId w:val="4"/>
        </w:numPr>
        <w:tabs>
          <w:tab w:val="left" w:pos="851"/>
        </w:tabs>
        <w:spacing w:after="0" w:line="480" w:lineRule="auto"/>
        <w:ind w:left="0" w:hanging="11"/>
        <w:contextualSpacing/>
        <w:jc w:val="both"/>
        <w:rPr>
          <w:rFonts w:ascii="Arial" w:hAnsi="Arial" w:cs="Arial"/>
          <w:sz w:val="24"/>
          <w:szCs w:val="24"/>
        </w:rPr>
      </w:pPr>
      <w:r w:rsidRPr="000C3275">
        <w:rPr>
          <w:rFonts w:ascii="Arial" w:hAnsi="Arial" w:cs="Arial"/>
          <w:sz w:val="24"/>
          <w:szCs w:val="24"/>
        </w:rPr>
        <w:t>The drift of authority is that courts enjoy the power under the constitution (just as it is the case in Namibia)</w:t>
      </w:r>
      <w:r w:rsidR="002C2B58" w:rsidRPr="000C3275">
        <w:rPr>
          <w:rStyle w:val="FootnoteReference"/>
          <w:rFonts w:ascii="Arial" w:hAnsi="Arial" w:cs="Arial"/>
          <w:sz w:val="24"/>
          <w:szCs w:val="24"/>
        </w:rPr>
        <w:footnoteReference w:id="45"/>
      </w:r>
      <w:r w:rsidRPr="000C3275">
        <w:rPr>
          <w:rFonts w:ascii="Arial" w:hAnsi="Arial" w:cs="Arial"/>
          <w:sz w:val="24"/>
          <w:szCs w:val="24"/>
        </w:rPr>
        <w:t xml:space="preserve"> to declare legislation invalid if it offends the constitution. That power includes a power to make a declaration of invalidity but to suspend its taking effect and to afford the legislature the opportunity to correct a defect in the law </w:t>
      </w:r>
      <w:r w:rsidRPr="000C3275">
        <w:rPr>
          <w:rFonts w:ascii="Arial" w:hAnsi="Arial" w:cs="Arial"/>
          <w:sz w:val="24"/>
          <w:szCs w:val="24"/>
        </w:rPr>
        <w:lastRenderedPageBreak/>
        <w:t xml:space="preserve">identified by the court. That is a power expressly granted under the constitution. Absent such a finding, </w:t>
      </w:r>
      <w:r w:rsidR="002C2B58" w:rsidRPr="000C3275">
        <w:rPr>
          <w:rFonts w:ascii="Arial" w:hAnsi="Arial" w:cs="Arial"/>
          <w:sz w:val="24"/>
          <w:szCs w:val="24"/>
        </w:rPr>
        <w:t xml:space="preserve">it is doubtful that a Namibian </w:t>
      </w:r>
      <w:r w:rsidRPr="000C3275">
        <w:rPr>
          <w:rFonts w:ascii="Arial" w:hAnsi="Arial" w:cs="Arial"/>
          <w:sz w:val="24"/>
          <w:szCs w:val="24"/>
        </w:rPr>
        <w:t xml:space="preserve">court enjoys </w:t>
      </w:r>
      <w:r w:rsidR="00BB1127">
        <w:rPr>
          <w:rFonts w:ascii="Arial" w:hAnsi="Arial" w:cs="Arial"/>
          <w:sz w:val="24"/>
          <w:szCs w:val="24"/>
        </w:rPr>
        <w:t>a</w:t>
      </w:r>
      <w:r w:rsidRPr="000C3275">
        <w:rPr>
          <w:rFonts w:ascii="Arial" w:hAnsi="Arial" w:cs="Arial"/>
          <w:sz w:val="24"/>
          <w:szCs w:val="24"/>
        </w:rPr>
        <w:t xml:space="preserve"> power to order that legislation not have the force of law for an indefinite period of time as happened in the present case.</w:t>
      </w:r>
      <w:r w:rsidR="002C2B58" w:rsidRPr="000C3275">
        <w:rPr>
          <w:rFonts w:ascii="Arial" w:hAnsi="Arial" w:cs="Arial"/>
          <w:sz w:val="24"/>
          <w:szCs w:val="24"/>
        </w:rPr>
        <w:t xml:space="preserve"> The issue can of course only be finally determined </w:t>
      </w:r>
      <w:r w:rsidR="00B7663C">
        <w:rPr>
          <w:rFonts w:ascii="Arial" w:hAnsi="Arial" w:cs="Arial"/>
          <w:sz w:val="24"/>
          <w:szCs w:val="24"/>
        </w:rPr>
        <w:t>on</w:t>
      </w:r>
      <w:r w:rsidR="002C2B58" w:rsidRPr="000C3275">
        <w:rPr>
          <w:rFonts w:ascii="Arial" w:hAnsi="Arial" w:cs="Arial"/>
          <w:sz w:val="24"/>
          <w:szCs w:val="24"/>
        </w:rPr>
        <w:t xml:space="preserve"> appeal.</w:t>
      </w:r>
    </w:p>
    <w:p w:rsidR="00C81264" w:rsidRPr="000C3275" w:rsidRDefault="00C81264" w:rsidP="00F2267F">
      <w:pPr>
        <w:pStyle w:val="ListParagraph"/>
        <w:spacing w:after="0" w:line="480" w:lineRule="auto"/>
        <w:rPr>
          <w:rFonts w:ascii="Arial" w:hAnsi="Arial" w:cs="Arial"/>
          <w:sz w:val="24"/>
          <w:szCs w:val="24"/>
        </w:rPr>
      </w:pPr>
    </w:p>
    <w:p w:rsidR="00C81264" w:rsidRPr="000C3275" w:rsidRDefault="00290E67" w:rsidP="00C81264">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hAnsi="Arial" w:cs="Arial"/>
          <w:sz w:val="24"/>
          <w:szCs w:val="24"/>
        </w:rPr>
        <w:t>There are therefore more than reasonable prospects that on either ground of incompetence advanced by the applicants, the Supreme Court m</w:t>
      </w:r>
      <w:r w:rsidR="00380D72" w:rsidRPr="000C3275">
        <w:rPr>
          <w:rFonts w:ascii="Arial" w:hAnsi="Arial" w:cs="Arial"/>
          <w:sz w:val="24"/>
          <w:szCs w:val="24"/>
        </w:rPr>
        <w:t xml:space="preserve">ight revisit the order of </w:t>
      </w:r>
      <w:r w:rsidRPr="000C3275">
        <w:rPr>
          <w:rFonts w:ascii="Arial" w:hAnsi="Arial" w:cs="Arial"/>
          <w:sz w:val="24"/>
          <w:szCs w:val="24"/>
        </w:rPr>
        <w:t>stay.</w:t>
      </w:r>
    </w:p>
    <w:p w:rsidR="00C81264" w:rsidRPr="000C3275" w:rsidRDefault="00C81264" w:rsidP="00527AC0">
      <w:pPr>
        <w:pStyle w:val="ListParagraph"/>
        <w:spacing w:after="0" w:line="480" w:lineRule="auto"/>
        <w:rPr>
          <w:rFonts w:ascii="Arial" w:hAnsi="Arial" w:cs="Arial"/>
          <w:sz w:val="24"/>
          <w:szCs w:val="24"/>
          <w:lang w:val="en-GB"/>
        </w:rPr>
      </w:pPr>
    </w:p>
    <w:p w:rsidR="00C81264" w:rsidRPr="000C3275" w:rsidRDefault="00C81264" w:rsidP="00527AC0">
      <w:pPr>
        <w:tabs>
          <w:tab w:val="left" w:pos="851"/>
        </w:tabs>
        <w:spacing w:after="0" w:line="480" w:lineRule="auto"/>
        <w:contextualSpacing/>
        <w:jc w:val="both"/>
        <w:rPr>
          <w:rFonts w:ascii="Arial" w:hAnsi="Arial" w:cs="Arial"/>
          <w:sz w:val="24"/>
          <w:szCs w:val="24"/>
          <w:u w:val="single"/>
          <w:lang w:val="en-GB"/>
        </w:rPr>
      </w:pPr>
      <w:proofErr w:type="spellStart"/>
      <w:r w:rsidRPr="000C3275">
        <w:rPr>
          <w:rFonts w:ascii="Arial" w:hAnsi="Arial" w:cs="Arial"/>
          <w:sz w:val="24"/>
          <w:szCs w:val="24"/>
          <w:u w:val="single"/>
          <w:lang w:val="en-GB"/>
        </w:rPr>
        <w:t>Trustco’s</w:t>
      </w:r>
      <w:proofErr w:type="spellEnd"/>
      <w:r w:rsidRPr="000C3275">
        <w:rPr>
          <w:rFonts w:ascii="Arial" w:hAnsi="Arial" w:cs="Arial"/>
          <w:sz w:val="24"/>
          <w:szCs w:val="24"/>
          <w:u w:val="single"/>
          <w:lang w:val="en-GB"/>
        </w:rPr>
        <w:t xml:space="preserve"> position </w:t>
      </w:r>
      <w:r w:rsidR="00036990">
        <w:rPr>
          <w:rFonts w:ascii="Arial" w:hAnsi="Arial" w:cs="Arial"/>
          <w:i/>
          <w:sz w:val="24"/>
          <w:szCs w:val="24"/>
          <w:u w:val="single"/>
          <w:lang w:val="en-GB"/>
        </w:rPr>
        <w:t>vis-a-</w:t>
      </w:r>
      <w:r w:rsidRPr="000C3275">
        <w:rPr>
          <w:rFonts w:ascii="Arial" w:hAnsi="Arial" w:cs="Arial"/>
          <w:i/>
          <w:sz w:val="24"/>
          <w:szCs w:val="24"/>
          <w:u w:val="single"/>
          <w:lang w:val="en-GB"/>
        </w:rPr>
        <w:t>vis</w:t>
      </w:r>
      <w:r w:rsidR="00697411" w:rsidRPr="000C3275">
        <w:rPr>
          <w:rFonts w:ascii="Arial" w:hAnsi="Arial" w:cs="Arial"/>
          <w:sz w:val="24"/>
          <w:szCs w:val="24"/>
          <w:u w:val="single"/>
          <w:lang w:val="en-GB"/>
        </w:rPr>
        <w:t xml:space="preserve"> leave to appeal</w:t>
      </w:r>
    </w:p>
    <w:p w:rsidR="00C81264" w:rsidRPr="000C3275" w:rsidRDefault="002C2B58" w:rsidP="00527AC0">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 xml:space="preserve">Mr </w:t>
      </w:r>
      <w:proofErr w:type="spellStart"/>
      <w:r w:rsidRPr="000C3275">
        <w:rPr>
          <w:rFonts w:ascii="Arial" w:eastAsia="Times New Roman" w:hAnsi="Arial" w:cs="Arial"/>
          <w:sz w:val="24"/>
          <w:szCs w:val="24"/>
          <w:lang w:eastAsia="en-GB"/>
        </w:rPr>
        <w:t>Chaskalson</w:t>
      </w:r>
      <w:proofErr w:type="spellEnd"/>
      <w:r w:rsidRPr="000C3275">
        <w:rPr>
          <w:rFonts w:ascii="Arial" w:eastAsia="Times New Roman" w:hAnsi="Arial" w:cs="Arial"/>
          <w:sz w:val="24"/>
          <w:szCs w:val="24"/>
          <w:lang w:eastAsia="en-GB"/>
        </w:rPr>
        <w:t xml:space="preserve"> SC </w:t>
      </w:r>
      <w:r w:rsidR="00290E67" w:rsidRPr="000C3275">
        <w:rPr>
          <w:rFonts w:ascii="Arial" w:eastAsia="Times New Roman" w:hAnsi="Arial" w:cs="Arial"/>
          <w:sz w:val="24"/>
          <w:szCs w:val="24"/>
          <w:lang w:eastAsia="en-GB"/>
        </w:rPr>
        <w:t xml:space="preserve">submitted on behalf of </w:t>
      </w:r>
      <w:proofErr w:type="spellStart"/>
      <w:r w:rsidR="00290E67" w:rsidRPr="000C3275">
        <w:rPr>
          <w:rFonts w:ascii="Arial" w:eastAsia="Times New Roman" w:hAnsi="Arial" w:cs="Arial"/>
          <w:sz w:val="24"/>
          <w:szCs w:val="24"/>
          <w:lang w:eastAsia="en-GB"/>
        </w:rPr>
        <w:t>Trustco</w:t>
      </w:r>
      <w:proofErr w:type="spellEnd"/>
      <w:r w:rsidR="00290E67" w:rsidRPr="000C3275">
        <w:rPr>
          <w:rFonts w:ascii="Arial" w:eastAsia="Times New Roman" w:hAnsi="Arial" w:cs="Arial"/>
          <w:sz w:val="24"/>
          <w:szCs w:val="24"/>
          <w:lang w:eastAsia="en-GB"/>
        </w:rPr>
        <w:t xml:space="preserve"> that his client was in a different position to the other respondents in that its reinsurance business is placed entirely within the borders of Namibia and that if ultimately the applicants achieve their objectives through the measures, the opposite result will occur. For that reason, counsel submitted, even if the applicants succeed to obtain leave </w:t>
      </w:r>
      <w:r w:rsidR="00D50936" w:rsidRPr="000C3275">
        <w:rPr>
          <w:rFonts w:ascii="Arial" w:eastAsia="Times New Roman" w:hAnsi="Arial" w:cs="Arial"/>
          <w:sz w:val="24"/>
          <w:szCs w:val="24"/>
          <w:lang w:eastAsia="en-GB"/>
        </w:rPr>
        <w:t>to appeal</w:t>
      </w:r>
      <w:r w:rsidR="003F7EFF" w:rsidRPr="000C3275">
        <w:rPr>
          <w:rFonts w:ascii="Arial" w:eastAsia="Times New Roman" w:hAnsi="Arial" w:cs="Arial"/>
          <w:sz w:val="24"/>
          <w:szCs w:val="24"/>
          <w:lang w:eastAsia="en-GB"/>
        </w:rPr>
        <w:t>,</w:t>
      </w:r>
      <w:r w:rsidR="00D50936" w:rsidRPr="000C3275">
        <w:rPr>
          <w:rFonts w:ascii="Arial" w:eastAsia="Times New Roman" w:hAnsi="Arial" w:cs="Arial"/>
          <w:sz w:val="24"/>
          <w:szCs w:val="24"/>
          <w:lang w:eastAsia="en-GB"/>
        </w:rPr>
        <w:t xml:space="preserve"> </w:t>
      </w:r>
      <w:r w:rsidR="00290E67" w:rsidRPr="000C3275">
        <w:rPr>
          <w:rFonts w:ascii="Arial" w:eastAsia="Times New Roman" w:hAnsi="Arial" w:cs="Arial"/>
          <w:sz w:val="24"/>
          <w:szCs w:val="24"/>
          <w:lang w:eastAsia="en-GB"/>
        </w:rPr>
        <w:t xml:space="preserve">they should not as against </w:t>
      </w:r>
      <w:proofErr w:type="spellStart"/>
      <w:r w:rsidR="00290E67" w:rsidRPr="000C3275">
        <w:rPr>
          <w:rFonts w:ascii="Arial" w:eastAsia="Times New Roman" w:hAnsi="Arial" w:cs="Arial"/>
          <w:sz w:val="24"/>
          <w:szCs w:val="24"/>
          <w:lang w:eastAsia="en-GB"/>
        </w:rPr>
        <w:t>Trustco</w:t>
      </w:r>
      <w:proofErr w:type="spellEnd"/>
      <w:r w:rsidR="00290E67" w:rsidRPr="000C3275">
        <w:rPr>
          <w:rFonts w:ascii="Arial" w:eastAsia="Times New Roman" w:hAnsi="Arial" w:cs="Arial"/>
          <w:sz w:val="24"/>
          <w:szCs w:val="24"/>
          <w:lang w:eastAsia="en-GB"/>
        </w:rPr>
        <w:t>.</w:t>
      </w:r>
    </w:p>
    <w:p w:rsidR="00C81264" w:rsidRPr="000C3275" w:rsidRDefault="00C81264" w:rsidP="00F2267F">
      <w:pPr>
        <w:tabs>
          <w:tab w:val="left" w:pos="851"/>
        </w:tabs>
        <w:spacing w:after="0" w:line="480" w:lineRule="auto"/>
        <w:contextualSpacing/>
        <w:jc w:val="both"/>
        <w:rPr>
          <w:rFonts w:ascii="Arial" w:hAnsi="Arial" w:cs="Arial"/>
          <w:sz w:val="24"/>
          <w:szCs w:val="24"/>
          <w:lang w:val="en-GB"/>
        </w:rPr>
      </w:pPr>
    </w:p>
    <w:p w:rsidR="00F55B6B" w:rsidRPr="000C3275" w:rsidRDefault="00BE633E" w:rsidP="00DF0C55">
      <w:pPr>
        <w:numPr>
          <w:ilvl w:val="0"/>
          <w:numId w:val="4"/>
        </w:numPr>
        <w:tabs>
          <w:tab w:val="left" w:pos="851"/>
        </w:tabs>
        <w:spacing w:after="0" w:line="480" w:lineRule="auto"/>
        <w:ind w:left="0" w:hanging="11"/>
        <w:contextualSpacing/>
        <w:jc w:val="both"/>
        <w:rPr>
          <w:rFonts w:ascii="Arial" w:hAnsi="Arial" w:cs="Arial"/>
          <w:sz w:val="24"/>
          <w:szCs w:val="24"/>
          <w:lang w:val="en-GB"/>
        </w:rPr>
      </w:pPr>
      <w:r w:rsidRPr="000C3275">
        <w:rPr>
          <w:rFonts w:ascii="Arial" w:eastAsia="Times New Roman" w:hAnsi="Arial" w:cs="Arial"/>
          <w:sz w:val="24"/>
          <w:szCs w:val="24"/>
          <w:lang w:eastAsia="en-GB"/>
        </w:rPr>
        <w:t>I</w:t>
      </w:r>
      <w:r w:rsidR="00290E67" w:rsidRPr="000C3275">
        <w:rPr>
          <w:rFonts w:ascii="Arial" w:eastAsia="Times New Roman" w:hAnsi="Arial" w:cs="Arial"/>
          <w:sz w:val="24"/>
          <w:szCs w:val="24"/>
          <w:lang w:eastAsia="en-GB"/>
        </w:rPr>
        <w:t xml:space="preserve"> cannot conceive of a situation where leave to appeal the order of stay is granted as against some of the parties and not others, when the issue in the appeal, if it ultimately comes to this court, is the competence of that order. If the order is found to be not competent in law, it will have that result against the entire world. Therefore, what Mr </w:t>
      </w:r>
      <w:proofErr w:type="spellStart"/>
      <w:r w:rsidR="00290E67" w:rsidRPr="000C3275">
        <w:rPr>
          <w:rFonts w:ascii="Arial" w:eastAsia="Times New Roman" w:hAnsi="Arial" w:cs="Arial"/>
          <w:sz w:val="24"/>
          <w:szCs w:val="24"/>
          <w:lang w:eastAsia="en-GB"/>
        </w:rPr>
        <w:t>Chaskalson</w:t>
      </w:r>
      <w:proofErr w:type="spellEnd"/>
      <w:r w:rsidR="00290E67" w:rsidRPr="000C3275">
        <w:rPr>
          <w:rFonts w:ascii="Arial" w:eastAsia="Times New Roman" w:hAnsi="Arial" w:cs="Arial"/>
          <w:sz w:val="24"/>
          <w:szCs w:val="24"/>
          <w:lang w:eastAsia="en-GB"/>
        </w:rPr>
        <w:t xml:space="preserve"> asks for is not legally possible.</w:t>
      </w:r>
    </w:p>
    <w:p w:rsidR="00036990" w:rsidRDefault="00036990" w:rsidP="00FD629B">
      <w:pPr>
        <w:spacing w:after="0" w:line="480" w:lineRule="auto"/>
        <w:rPr>
          <w:rFonts w:ascii="Arial" w:hAnsi="Arial" w:cs="Arial"/>
          <w:sz w:val="24"/>
          <w:szCs w:val="24"/>
          <w:lang w:val="en-GB"/>
        </w:rPr>
      </w:pPr>
    </w:p>
    <w:p w:rsidR="00FD629B" w:rsidRDefault="00FD629B" w:rsidP="00FD629B">
      <w:pPr>
        <w:spacing w:after="0" w:line="480" w:lineRule="auto"/>
        <w:rPr>
          <w:rFonts w:ascii="Arial" w:hAnsi="Arial" w:cs="Arial"/>
          <w:sz w:val="24"/>
          <w:szCs w:val="24"/>
          <w:lang w:val="en-GB"/>
        </w:rPr>
      </w:pPr>
    </w:p>
    <w:p w:rsidR="00FD629B" w:rsidRPr="00FD629B" w:rsidRDefault="00FD629B" w:rsidP="00FD629B">
      <w:pPr>
        <w:spacing w:after="0" w:line="480" w:lineRule="auto"/>
        <w:rPr>
          <w:rFonts w:ascii="Arial" w:hAnsi="Arial" w:cs="Arial"/>
          <w:sz w:val="24"/>
          <w:szCs w:val="24"/>
          <w:lang w:val="en-GB"/>
        </w:rPr>
      </w:pPr>
    </w:p>
    <w:p w:rsidR="00F55B6B" w:rsidRPr="000C3275" w:rsidRDefault="00F55B6B" w:rsidP="00527AC0">
      <w:pPr>
        <w:spacing w:after="0" w:line="480" w:lineRule="auto"/>
        <w:rPr>
          <w:rFonts w:ascii="Arial" w:hAnsi="Arial" w:cs="Arial"/>
          <w:sz w:val="24"/>
          <w:szCs w:val="24"/>
          <w:u w:val="single"/>
          <w:lang w:val="en-GB"/>
        </w:rPr>
      </w:pPr>
      <w:r w:rsidRPr="000C3275">
        <w:rPr>
          <w:rFonts w:ascii="Arial" w:hAnsi="Arial" w:cs="Arial"/>
          <w:sz w:val="24"/>
          <w:szCs w:val="24"/>
          <w:u w:val="single"/>
          <w:lang w:val="en-GB"/>
        </w:rPr>
        <w:lastRenderedPageBreak/>
        <w:t>Applications to strike</w:t>
      </w:r>
    </w:p>
    <w:p w:rsidR="00F55B6B" w:rsidRPr="000C3275" w:rsidRDefault="00645861" w:rsidP="00527AC0">
      <w:pPr>
        <w:numPr>
          <w:ilvl w:val="0"/>
          <w:numId w:val="4"/>
        </w:numPr>
        <w:tabs>
          <w:tab w:val="left" w:pos="851"/>
        </w:tabs>
        <w:spacing w:after="0" w:line="480" w:lineRule="auto"/>
        <w:ind w:left="0" w:hanging="11"/>
        <w:contextualSpacing/>
        <w:jc w:val="both"/>
        <w:rPr>
          <w:rFonts w:ascii="Arial" w:eastAsia="Times New Roman" w:hAnsi="Arial" w:cs="Arial"/>
          <w:sz w:val="24"/>
          <w:szCs w:val="24"/>
          <w:lang w:eastAsia="en-GB"/>
        </w:rPr>
      </w:pPr>
      <w:r w:rsidRPr="000C3275">
        <w:rPr>
          <w:rFonts w:ascii="Arial" w:hAnsi="Arial" w:cs="Arial"/>
          <w:sz w:val="24"/>
          <w:szCs w:val="24"/>
          <w:lang w:val="en-GB"/>
        </w:rPr>
        <w:t xml:space="preserve"> Both the applicants and the respondents had brought applications to strike certain matter from the respective affidavits</w:t>
      </w:r>
      <w:r w:rsidR="00DF0C55" w:rsidRPr="000C3275">
        <w:rPr>
          <w:rFonts w:ascii="Arial" w:hAnsi="Arial" w:cs="Arial"/>
          <w:sz w:val="24"/>
          <w:szCs w:val="24"/>
          <w:lang w:val="en-GB"/>
        </w:rPr>
        <w:t>,</w:t>
      </w:r>
      <w:r w:rsidRPr="000C3275">
        <w:rPr>
          <w:rFonts w:ascii="Arial" w:hAnsi="Arial" w:cs="Arial"/>
          <w:sz w:val="24"/>
          <w:szCs w:val="24"/>
          <w:lang w:val="en-GB"/>
        </w:rPr>
        <w:t xml:space="preserve"> and in one respect from the heads of argument of the other side. The common cause facts were sufficient to determine the outcome of this application without resort to the material either </w:t>
      </w:r>
      <w:r w:rsidR="00DF0C55" w:rsidRPr="000C3275">
        <w:rPr>
          <w:rFonts w:ascii="Arial" w:hAnsi="Arial" w:cs="Arial"/>
          <w:sz w:val="24"/>
          <w:szCs w:val="24"/>
          <w:lang w:val="en-GB"/>
        </w:rPr>
        <w:t xml:space="preserve">side </w:t>
      </w:r>
      <w:r w:rsidRPr="000C3275">
        <w:rPr>
          <w:rFonts w:ascii="Arial" w:hAnsi="Arial" w:cs="Arial"/>
          <w:sz w:val="24"/>
          <w:szCs w:val="24"/>
          <w:lang w:val="en-GB"/>
        </w:rPr>
        <w:t>sought to expunge from the others’ papers. Accordingly, I find no productive purpose in resolving the disputes that have arisen from the applications to strike as they do not – with the greatest r</w:t>
      </w:r>
      <w:r w:rsidR="002C2B58" w:rsidRPr="000C3275">
        <w:rPr>
          <w:rFonts w:ascii="Arial" w:hAnsi="Arial" w:cs="Arial"/>
          <w:sz w:val="24"/>
          <w:szCs w:val="24"/>
          <w:lang w:val="en-GB"/>
        </w:rPr>
        <w:t xml:space="preserve">espect to the parties – affect </w:t>
      </w:r>
      <w:r w:rsidRPr="000C3275">
        <w:rPr>
          <w:rFonts w:ascii="Arial" w:hAnsi="Arial" w:cs="Arial"/>
          <w:sz w:val="24"/>
          <w:szCs w:val="24"/>
          <w:lang w:val="en-GB"/>
        </w:rPr>
        <w:t>what the real disputes are between the</w:t>
      </w:r>
      <w:r w:rsidR="003F7EFF" w:rsidRPr="000C3275">
        <w:rPr>
          <w:rFonts w:ascii="Arial" w:hAnsi="Arial" w:cs="Arial"/>
          <w:sz w:val="24"/>
          <w:szCs w:val="24"/>
          <w:lang w:val="en-GB"/>
        </w:rPr>
        <w:t>m.</w:t>
      </w:r>
    </w:p>
    <w:p w:rsidR="002C2B58" w:rsidRPr="000C3275" w:rsidRDefault="002C2B58" w:rsidP="00F2267F">
      <w:pPr>
        <w:tabs>
          <w:tab w:val="left" w:pos="851"/>
        </w:tabs>
        <w:spacing w:after="0" w:line="480" w:lineRule="auto"/>
        <w:contextualSpacing/>
        <w:jc w:val="both"/>
        <w:rPr>
          <w:rFonts w:ascii="Arial" w:hAnsi="Arial" w:cs="Arial"/>
          <w:sz w:val="24"/>
          <w:szCs w:val="24"/>
          <w:u w:val="single"/>
          <w:lang w:val="en-GB"/>
        </w:rPr>
      </w:pPr>
    </w:p>
    <w:p w:rsidR="00F55B6B" w:rsidRPr="000C3275" w:rsidRDefault="00F55B6B" w:rsidP="00F55B6B">
      <w:pPr>
        <w:tabs>
          <w:tab w:val="left" w:pos="851"/>
        </w:tabs>
        <w:spacing w:after="0" w:line="480" w:lineRule="auto"/>
        <w:contextualSpacing/>
        <w:jc w:val="both"/>
        <w:rPr>
          <w:rFonts w:ascii="Arial" w:eastAsia="Times New Roman" w:hAnsi="Arial" w:cs="Arial"/>
          <w:sz w:val="24"/>
          <w:szCs w:val="24"/>
          <w:u w:val="single"/>
          <w:lang w:eastAsia="en-GB"/>
        </w:rPr>
      </w:pPr>
      <w:r w:rsidRPr="000C3275">
        <w:rPr>
          <w:rFonts w:ascii="Arial" w:hAnsi="Arial" w:cs="Arial"/>
          <w:sz w:val="24"/>
          <w:szCs w:val="24"/>
          <w:u w:val="single"/>
          <w:lang w:val="en-GB"/>
        </w:rPr>
        <w:t>Costs</w:t>
      </w:r>
    </w:p>
    <w:p w:rsidR="00F55B6B" w:rsidRPr="000C3275" w:rsidRDefault="00527AC0" w:rsidP="00DF0C55">
      <w:pPr>
        <w:numPr>
          <w:ilvl w:val="0"/>
          <w:numId w:val="4"/>
        </w:numPr>
        <w:tabs>
          <w:tab w:val="left" w:pos="851"/>
        </w:tabs>
        <w:spacing w:after="0" w:line="480" w:lineRule="auto"/>
        <w:ind w:left="0" w:hanging="11"/>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Having achieved success, the applicants are entitled to their costs. </w:t>
      </w:r>
      <w:r w:rsidR="00241819" w:rsidRPr="000C3275">
        <w:rPr>
          <w:rFonts w:ascii="Arial" w:eastAsia="Times New Roman" w:hAnsi="Arial" w:cs="Arial"/>
          <w:sz w:val="24"/>
          <w:szCs w:val="24"/>
          <w:lang w:eastAsia="en-GB"/>
        </w:rPr>
        <w:t xml:space="preserve">It is plain from the direction given by the Court in this matter that the heads of argument </w:t>
      </w:r>
      <w:r w:rsidR="003F7EFF" w:rsidRPr="000C3275">
        <w:rPr>
          <w:rFonts w:ascii="Arial" w:eastAsia="Times New Roman" w:hAnsi="Arial" w:cs="Arial"/>
          <w:sz w:val="24"/>
          <w:szCs w:val="24"/>
          <w:lang w:eastAsia="en-GB"/>
        </w:rPr>
        <w:t>had to</w:t>
      </w:r>
      <w:r w:rsidR="00241819" w:rsidRPr="000C3275">
        <w:rPr>
          <w:rFonts w:ascii="Arial" w:eastAsia="Times New Roman" w:hAnsi="Arial" w:cs="Arial"/>
          <w:sz w:val="24"/>
          <w:szCs w:val="24"/>
          <w:lang w:eastAsia="en-GB"/>
        </w:rPr>
        <w:t xml:space="preserve"> comply strictly with the rules of court.</w:t>
      </w:r>
      <w:r w:rsidR="009A1857" w:rsidRPr="000C3275">
        <w:rPr>
          <w:rStyle w:val="FootnoteReference"/>
          <w:rFonts w:ascii="Arial" w:eastAsia="Times New Roman" w:hAnsi="Arial" w:cs="Arial"/>
          <w:sz w:val="24"/>
          <w:szCs w:val="24"/>
          <w:lang w:eastAsia="en-GB"/>
        </w:rPr>
        <w:footnoteReference w:id="46"/>
      </w:r>
      <w:r w:rsidR="00241819" w:rsidRPr="000C3275">
        <w:rPr>
          <w:rFonts w:ascii="Arial" w:eastAsia="Times New Roman" w:hAnsi="Arial" w:cs="Arial"/>
          <w:sz w:val="24"/>
          <w:szCs w:val="24"/>
          <w:lang w:eastAsia="en-GB"/>
        </w:rPr>
        <w:t xml:space="preserve"> </w:t>
      </w:r>
      <w:r w:rsidR="009A1857" w:rsidRPr="000C3275">
        <w:rPr>
          <w:rFonts w:ascii="Arial" w:eastAsia="Times New Roman" w:hAnsi="Arial" w:cs="Arial"/>
          <w:sz w:val="24"/>
          <w:szCs w:val="24"/>
          <w:lang w:eastAsia="en-GB"/>
        </w:rPr>
        <w:t xml:space="preserve"> In terms of rule </w:t>
      </w:r>
      <w:r w:rsidR="002C2B58" w:rsidRPr="000C3275">
        <w:rPr>
          <w:rFonts w:ascii="Arial" w:eastAsia="Times New Roman" w:hAnsi="Arial" w:cs="Arial"/>
          <w:sz w:val="24"/>
          <w:szCs w:val="24"/>
          <w:lang w:eastAsia="en-GB"/>
        </w:rPr>
        <w:t>17(7</w:t>
      </w:r>
      <w:proofErr w:type="gramStart"/>
      <w:r w:rsidR="002C2B58" w:rsidRPr="000C3275">
        <w:rPr>
          <w:rFonts w:ascii="Arial" w:eastAsia="Times New Roman" w:hAnsi="Arial" w:cs="Arial"/>
          <w:sz w:val="24"/>
          <w:szCs w:val="24"/>
          <w:lang w:eastAsia="en-GB"/>
        </w:rPr>
        <w:t>)(</w:t>
      </w:r>
      <w:proofErr w:type="gramEnd"/>
      <w:r w:rsidR="002C2B58" w:rsidRPr="00A23C24">
        <w:rPr>
          <w:rFonts w:ascii="Arial" w:eastAsia="Times New Roman" w:hAnsi="Arial" w:cs="Arial"/>
          <w:i/>
          <w:sz w:val="24"/>
          <w:szCs w:val="24"/>
          <w:lang w:eastAsia="en-GB"/>
        </w:rPr>
        <w:t>k</w:t>
      </w:r>
      <w:r w:rsidR="002C2B58" w:rsidRPr="000C3275">
        <w:rPr>
          <w:rFonts w:ascii="Arial" w:eastAsia="Times New Roman" w:hAnsi="Arial" w:cs="Arial"/>
          <w:sz w:val="24"/>
          <w:szCs w:val="24"/>
          <w:lang w:eastAsia="en-GB"/>
        </w:rPr>
        <w:t xml:space="preserve">) heads of argument must not exceed 40 pages, unless a judge on request directs otherwise. </w:t>
      </w:r>
      <w:r w:rsidR="00290E67" w:rsidRPr="000C3275">
        <w:rPr>
          <w:rFonts w:ascii="Arial" w:eastAsia="Times New Roman" w:hAnsi="Arial" w:cs="Arial"/>
          <w:sz w:val="24"/>
          <w:szCs w:val="24"/>
          <w:lang w:eastAsia="en-GB"/>
        </w:rPr>
        <w:t xml:space="preserve">Without obtaining the leave of the Supreme Court, the applicants filed heads of argument in excess of </w:t>
      </w:r>
      <w:r w:rsidR="009A1857" w:rsidRPr="000C3275">
        <w:rPr>
          <w:rFonts w:ascii="Arial" w:eastAsia="Times New Roman" w:hAnsi="Arial" w:cs="Arial"/>
          <w:sz w:val="24"/>
          <w:szCs w:val="24"/>
          <w:lang w:eastAsia="en-GB"/>
        </w:rPr>
        <w:t>fifty</w:t>
      </w:r>
      <w:r w:rsidR="00290E67" w:rsidRPr="000C3275">
        <w:rPr>
          <w:rFonts w:ascii="Arial" w:eastAsia="Times New Roman" w:hAnsi="Arial" w:cs="Arial"/>
          <w:sz w:val="24"/>
          <w:szCs w:val="24"/>
          <w:lang w:eastAsia="en-GB"/>
        </w:rPr>
        <w:t xml:space="preserve"> pages</w:t>
      </w:r>
      <w:r w:rsidR="009A1857" w:rsidRPr="000C3275">
        <w:rPr>
          <w:rFonts w:ascii="Arial" w:eastAsia="Times New Roman" w:hAnsi="Arial" w:cs="Arial"/>
          <w:sz w:val="24"/>
          <w:szCs w:val="24"/>
          <w:lang w:eastAsia="en-GB"/>
        </w:rPr>
        <w:t>.</w:t>
      </w:r>
      <w:r w:rsidR="00290E67" w:rsidRPr="000C3275">
        <w:rPr>
          <w:rFonts w:ascii="Arial" w:eastAsia="Times New Roman" w:hAnsi="Arial" w:cs="Arial"/>
          <w:sz w:val="24"/>
          <w:szCs w:val="24"/>
          <w:lang w:eastAsia="en-GB"/>
        </w:rPr>
        <w:t xml:space="preserve"> That non-compliance is to be discouraged by an appropriate costs order. </w:t>
      </w:r>
      <w:r>
        <w:rPr>
          <w:rFonts w:ascii="Arial" w:eastAsia="Times New Roman" w:hAnsi="Arial" w:cs="Arial"/>
          <w:sz w:val="24"/>
          <w:szCs w:val="24"/>
          <w:lang w:eastAsia="en-GB"/>
        </w:rPr>
        <w:t>Legal p</w:t>
      </w:r>
      <w:r w:rsidR="00290E67" w:rsidRPr="000C3275">
        <w:rPr>
          <w:rFonts w:ascii="Arial" w:eastAsia="Times New Roman" w:hAnsi="Arial" w:cs="Arial"/>
          <w:sz w:val="24"/>
          <w:szCs w:val="24"/>
          <w:lang w:eastAsia="en-GB"/>
        </w:rPr>
        <w:t>ractitioners are cautioned to heed the peremptory terms of the rule which is</w:t>
      </w:r>
      <w:r w:rsidR="00BB1127">
        <w:rPr>
          <w:rFonts w:ascii="Arial" w:eastAsia="Times New Roman" w:hAnsi="Arial" w:cs="Arial"/>
          <w:sz w:val="24"/>
          <w:szCs w:val="24"/>
          <w:lang w:eastAsia="en-GB"/>
        </w:rPr>
        <w:t xml:space="preserve"> intended to prevent judges</w:t>
      </w:r>
      <w:r w:rsidR="00290E67" w:rsidRPr="000C3275">
        <w:rPr>
          <w:rFonts w:ascii="Arial" w:eastAsia="Times New Roman" w:hAnsi="Arial" w:cs="Arial"/>
          <w:sz w:val="24"/>
          <w:szCs w:val="24"/>
          <w:lang w:eastAsia="en-GB"/>
        </w:rPr>
        <w:t xml:space="preserve"> being bur</w:t>
      </w:r>
      <w:r w:rsidR="00D50936" w:rsidRPr="000C3275">
        <w:rPr>
          <w:rFonts w:ascii="Arial" w:eastAsia="Times New Roman" w:hAnsi="Arial" w:cs="Arial"/>
          <w:sz w:val="24"/>
          <w:szCs w:val="24"/>
          <w:lang w:eastAsia="en-GB"/>
        </w:rPr>
        <w:t>dened</w:t>
      </w:r>
      <w:r w:rsidR="00290E67" w:rsidRPr="000C3275">
        <w:rPr>
          <w:rFonts w:ascii="Arial" w:eastAsia="Times New Roman" w:hAnsi="Arial" w:cs="Arial"/>
          <w:sz w:val="24"/>
          <w:szCs w:val="24"/>
          <w:lang w:eastAsia="en-GB"/>
        </w:rPr>
        <w:t xml:space="preserve"> with prolix heads</w:t>
      </w:r>
      <w:r w:rsidR="009A1857" w:rsidRPr="000C3275">
        <w:rPr>
          <w:rFonts w:ascii="Arial" w:eastAsia="Times New Roman" w:hAnsi="Arial" w:cs="Arial"/>
          <w:sz w:val="24"/>
          <w:szCs w:val="24"/>
          <w:lang w:eastAsia="en-GB"/>
        </w:rPr>
        <w:t>.</w:t>
      </w:r>
      <w:r w:rsidR="00290E67" w:rsidRPr="000C3275">
        <w:rPr>
          <w:rFonts w:ascii="Arial" w:eastAsia="Times New Roman" w:hAnsi="Arial" w:cs="Arial"/>
          <w:sz w:val="24"/>
          <w:szCs w:val="24"/>
          <w:lang w:eastAsia="en-GB"/>
        </w:rPr>
        <w:t xml:space="preserve"> </w:t>
      </w:r>
    </w:p>
    <w:p w:rsidR="002C2B58" w:rsidRDefault="002C2B58" w:rsidP="00F2267F">
      <w:pPr>
        <w:tabs>
          <w:tab w:val="left" w:pos="851"/>
        </w:tabs>
        <w:spacing w:after="0" w:line="480" w:lineRule="auto"/>
        <w:contextualSpacing/>
        <w:jc w:val="both"/>
        <w:rPr>
          <w:rFonts w:ascii="Arial" w:eastAsia="Times New Roman" w:hAnsi="Arial" w:cs="Arial"/>
          <w:sz w:val="24"/>
          <w:szCs w:val="24"/>
          <w:lang w:eastAsia="en-GB"/>
        </w:rPr>
      </w:pPr>
    </w:p>
    <w:p w:rsidR="00F55B6B" w:rsidRPr="000C3275" w:rsidRDefault="002C2B58" w:rsidP="00F55B6B">
      <w:pPr>
        <w:tabs>
          <w:tab w:val="left" w:pos="851"/>
        </w:tabs>
        <w:spacing w:after="0" w:line="480" w:lineRule="auto"/>
        <w:contextualSpacing/>
        <w:jc w:val="both"/>
        <w:rPr>
          <w:rFonts w:ascii="Arial" w:eastAsia="Times New Roman" w:hAnsi="Arial" w:cs="Arial"/>
          <w:sz w:val="24"/>
          <w:szCs w:val="24"/>
          <w:u w:val="single"/>
          <w:lang w:eastAsia="en-GB"/>
        </w:rPr>
      </w:pPr>
      <w:r w:rsidRPr="000C3275">
        <w:rPr>
          <w:rFonts w:ascii="Arial" w:eastAsia="Times New Roman" w:hAnsi="Arial" w:cs="Arial"/>
          <w:sz w:val="24"/>
          <w:szCs w:val="24"/>
          <w:u w:val="single"/>
          <w:lang w:eastAsia="en-GB"/>
        </w:rPr>
        <w:t>Order</w:t>
      </w:r>
    </w:p>
    <w:p w:rsidR="00047CED" w:rsidRPr="000C3275" w:rsidRDefault="00DF0C55" w:rsidP="00DF0C55">
      <w:pPr>
        <w:numPr>
          <w:ilvl w:val="0"/>
          <w:numId w:val="4"/>
        </w:numPr>
        <w:tabs>
          <w:tab w:val="left" w:pos="851"/>
        </w:tabs>
        <w:spacing w:after="0" w:line="480" w:lineRule="auto"/>
        <w:ind w:left="0" w:hanging="11"/>
        <w:contextualSpacing/>
        <w:jc w:val="both"/>
        <w:rPr>
          <w:rFonts w:ascii="Arial" w:eastAsia="Times New Roman" w:hAnsi="Arial" w:cs="Arial"/>
          <w:sz w:val="24"/>
          <w:szCs w:val="24"/>
          <w:lang w:eastAsia="en-GB"/>
        </w:rPr>
      </w:pPr>
      <w:r w:rsidRPr="000C3275">
        <w:rPr>
          <w:rFonts w:ascii="Arial" w:eastAsia="Times New Roman" w:hAnsi="Arial" w:cs="Arial"/>
          <w:sz w:val="24"/>
          <w:szCs w:val="24"/>
          <w:lang w:eastAsia="en-GB"/>
        </w:rPr>
        <w:t xml:space="preserve"> </w:t>
      </w:r>
      <w:r w:rsidR="00290E67" w:rsidRPr="000C3275">
        <w:rPr>
          <w:rFonts w:ascii="Arial" w:eastAsia="Times New Roman" w:hAnsi="Arial" w:cs="Arial"/>
          <w:sz w:val="24"/>
          <w:szCs w:val="24"/>
          <w:lang w:eastAsia="en-GB"/>
        </w:rPr>
        <w:t>I would therefore propose the following order:</w:t>
      </w:r>
    </w:p>
    <w:p w:rsidR="00047CED" w:rsidRPr="000C3275" w:rsidRDefault="00047CED" w:rsidP="00527AC0">
      <w:pPr>
        <w:spacing w:after="0" w:line="480" w:lineRule="auto"/>
        <w:ind w:left="1276"/>
        <w:jc w:val="both"/>
        <w:rPr>
          <w:rFonts w:ascii="Arial" w:eastAsia="Times New Roman" w:hAnsi="Arial" w:cs="Arial"/>
          <w:sz w:val="24"/>
          <w:szCs w:val="24"/>
          <w:lang w:eastAsia="en-GB"/>
        </w:rPr>
      </w:pPr>
    </w:p>
    <w:p w:rsidR="00290E67" w:rsidRPr="000C3275" w:rsidRDefault="00290E67" w:rsidP="00527AC0">
      <w:pPr>
        <w:pStyle w:val="ListParagraph"/>
        <w:numPr>
          <w:ilvl w:val="0"/>
          <w:numId w:val="8"/>
        </w:numPr>
        <w:spacing w:after="0" w:line="480" w:lineRule="auto"/>
        <w:ind w:left="1276"/>
        <w:jc w:val="both"/>
        <w:rPr>
          <w:rFonts w:ascii="Arial" w:eastAsia="Times New Roman" w:hAnsi="Arial" w:cs="Arial"/>
          <w:sz w:val="24"/>
          <w:szCs w:val="24"/>
          <w:lang w:eastAsia="en-GB"/>
        </w:rPr>
      </w:pPr>
      <w:r w:rsidRPr="000C3275">
        <w:rPr>
          <w:rFonts w:ascii="Arial" w:eastAsia="Times New Roman" w:hAnsi="Arial" w:cs="Arial"/>
          <w:sz w:val="24"/>
          <w:szCs w:val="24"/>
          <w:lang w:eastAsia="en-GB"/>
        </w:rPr>
        <w:t>The application for the recusal of Frank AJA is granted and his refusal of the petition hereby set aside as being of no force and effect.</w:t>
      </w:r>
    </w:p>
    <w:p w:rsidR="0026707A" w:rsidRPr="000C3275" w:rsidRDefault="0026707A" w:rsidP="00527AC0">
      <w:pPr>
        <w:pStyle w:val="ListParagraph"/>
        <w:spacing w:after="0" w:line="480" w:lineRule="auto"/>
        <w:ind w:left="1276"/>
        <w:jc w:val="both"/>
        <w:rPr>
          <w:rFonts w:ascii="Arial" w:eastAsia="Times New Roman" w:hAnsi="Arial" w:cs="Arial"/>
          <w:sz w:val="24"/>
          <w:szCs w:val="24"/>
          <w:lang w:eastAsia="en-GB"/>
        </w:rPr>
      </w:pPr>
    </w:p>
    <w:p w:rsidR="00290E67" w:rsidRPr="000C3275" w:rsidRDefault="00290E67" w:rsidP="00527AC0">
      <w:pPr>
        <w:pStyle w:val="ListParagraph"/>
        <w:numPr>
          <w:ilvl w:val="0"/>
          <w:numId w:val="8"/>
        </w:numPr>
        <w:spacing w:after="0" w:line="480" w:lineRule="auto"/>
        <w:ind w:left="1276"/>
        <w:jc w:val="both"/>
        <w:rPr>
          <w:rFonts w:ascii="Arial" w:eastAsia="Times New Roman" w:hAnsi="Arial" w:cs="Arial"/>
          <w:sz w:val="24"/>
          <w:szCs w:val="24"/>
          <w:lang w:eastAsia="en-GB"/>
        </w:rPr>
      </w:pPr>
      <w:r w:rsidRPr="000C3275">
        <w:rPr>
          <w:rFonts w:ascii="Arial" w:eastAsia="Times New Roman" w:hAnsi="Arial" w:cs="Arial"/>
          <w:sz w:val="24"/>
          <w:szCs w:val="24"/>
          <w:lang w:eastAsia="en-GB"/>
        </w:rPr>
        <w:t>The first and second applicant</w:t>
      </w:r>
      <w:r w:rsidR="00527AC0">
        <w:rPr>
          <w:rFonts w:ascii="Arial" w:eastAsia="Times New Roman" w:hAnsi="Arial" w:cs="Arial"/>
          <w:sz w:val="24"/>
          <w:szCs w:val="24"/>
          <w:lang w:eastAsia="en-GB"/>
        </w:rPr>
        <w:t>s</w:t>
      </w:r>
      <w:r w:rsidRPr="000C3275">
        <w:rPr>
          <w:rFonts w:ascii="Arial" w:eastAsia="Times New Roman" w:hAnsi="Arial" w:cs="Arial"/>
          <w:sz w:val="24"/>
          <w:szCs w:val="24"/>
          <w:lang w:eastAsia="en-GB"/>
        </w:rPr>
        <w:t xml:space="preserve"> are granted leave to appeal to the Supreme Court against the order of stay granted by the High Court.</w:t>
      </w:r>
    </w:p>
    <w:p w:rsidR="00047CED" w:rsidRPr="000C3275" w:rsidRDefault="00047CED" w:rsidP="00527AC0">
      <w:pPr>
        <w:spacing w:after="0" w:line="480" w:lineRule="auto"/>
        <w:ind w:left="1276"/>
        <w:jc w:val="both"/>
        <w:rPr>
          <w:rFonts w:ascii="Arial" w:eastAsia="Times New Roman" w:hAnsi="Arial" w:cs="Arial"/>
          <w:sz w:val="24"/>
          <w:szCs w:val="24"/>
          <w:lang w:eastAsia="en-GB"/>
        </w:rPr>
      </w:pPr>
    </w:p>
    <w:p w:rsidR="00290E67" w:rsidRPr="000C3275" w:rsidRDefault="00290E67" w:rsidP="00527AC0">
      <w:pPr>
        <w:pStyle w:val="ListParagraph"/>
        <w:numPr>
          <w:ilvl w:val="0"/>
          <w:numId w:val="8"/>
        </w:numPr>
        <w:spacing w:after="0" w:line="480" w:lineRule="auto"/>
        <w:ind w:left="1276"/>
        <w:jc w:val="both"/>
        <w:rPr>
          <w:rFonts w:ascii="Arial" w:eastAsia="Times New Roman" w:hAnsi="Arial" w:cs="Arial"/>
          <w:sz w:val="24"/>
          <w:szCs w:val="24"/>
          <w:u w:val="single"/>
          <w:lang w:eastAsia="en-GB"/>
        </w:rPr>
      </w:pPr>
      <w:r w:rsidRPr="000C3275">
        <w:rPr>
          <w:rFonts w:ascii="Arial" w:eastAsia="Times New Roman" w:hAnsi="Arial" w:cs="Arial"/>
          <w:sz w:val="24"/>
          <w:szCs w:val="24"/>
          <w:lang w:eastAsia="en-GB"/>
        </w:rPr>
        <w:t>The applicants are awarded the costs of the application for recusal and leave to appeal against the respondents</w:t>
      </w:r>
      <w:r w:rsidR="00AC4644" w:rsidRPr="000C3275">
        <w:rPr>
          <w:rFonts w:ascii="Arial" w:eastAsia="Times New Roman" w:hAnsi="Arial" w:cs="Arial"/>
          <w:sz w:val="24"/>
          <w:szCs w:val="24"/>
          <w:lang w:eastAsia="en-GB"/>
        </w:rPr>
        <w:t xml:space="preserve"> -</w:t>
      </w:r>
      <w:r w:rsidRPr="000C3275">
        <w:rPr>
          <w:rFonts w:ascii="Arial" w:eastAsia="Times New Roman" w:hAnsi="Arial" w:cs="Arial"/>
          <w:sz w:val="24"/>
          <w:szCs w:val="24"/>
          <w:lang w:eastAsia="en-GB"/>
        </w:rPr>
        <w:t xml:space="preserve"> jointly and severally the one paying the other to be absolved, subject thereto that in respect only of the heads of argument the ap</w:t>
      </w:r>
      <w:r w:rsidR="00BB1127">
        <w:rPr>
          <w:rFonts w:ascii="Arial" w:eastAsia="Times New Roman" w:hAnsi="Arial" w:cs="Arial"/>
          <w:sz w:val="24"/>
          <w:szCs w:val="24"/>
          <w:lang w:eastAsia="en-GB"/>
        </w:rPr>
        <w:t xml:space="preserve">plicants’ taxed costs shall be to the extent of 85% of the </w:t>
      </w:r>
      <w:r w:rsidRPr="000C3275">
        <w:rPr>
          <w:rFonts w:ascii="Arial" w:eastAsia="Times New Roman" w:hAnsi="Arial" w:cs="Arial"/>
          <w:sz w:val="24"/>
          <w:szCs w:val="24"/>
          <w:lang w:eastAsia="en-GB"/>
        </w:rPr>
        <w:t>costs</w:t>
      </w:r>
      <w:r w:rsidR="00AC4644" w:rsidRPr="000C3275">
        <w:rPr>
          <w:rFonts w:ascii="Arial" w:eastAsia="Times New Roman" w:hAnsi="Arial" w:cs="Arial"/>
          <w:sz w:val="24"/>
          <w:szCs w:val="24"/>
          <w:lang w:eastAsia="en-GB"/>
        </w:rPr>
        <w:t xml:space="preserve"> </w:t>
      </w:r>
      <w:r w:rsidR="00BB1127">
        <w:rPr>
          <w:rFonts w:ascii="Arial" w:eastAsia="Times New Roman" w:hAnsi="Arial" w:cs="Arial"/>
          <w:sz w:val="24"/>
          <w:szCs w:val="24"/>
          <w:lang w:eastAsia="en-GB"/>
        </w:rPr>
        <w:t xml:space="preserve">allowed </w:t>
      </w:r>
      <w:r w:rsidR="00AC4644" w:rsidRPr="000C3275">
        <w:rPr>
          <w:rFonts w:ascii="Arial" w:eastAsia="Times New Roman" w:hAnsi="Arial" w:cs="Arial"/>
          <w:sz w:val="24"/>
          <w:szCs w:val="24"/>
          <w:lang w:eastAsia="en-GB"/>
        </w:rPr>
        <w:t>for the heads of argument</w:t>
      </w:r>
      <w:r w:rsidRPr="000C3275">
        <w:rPr>
          <w:rFonts w:ascii="Arial" w:eastAsia="Times New Roman" w:hAnsi="Arial" w:cs="Arial"/>
          <w:sz w:val="24"/>
          <w:szCs w:val="24"/>
          <w:lang w:eastAsia="en-GB"/>
        </w:rPr>
        <w:t xml:space="preserve">. </w:t>
      </w:r>
    </w:p>
    <w:p w:rsidR="0039034E" w:rsidRDefault="0039034E" w:rsidP="000641DA">
      <w:pPr>
        <w:pStyle w:val="PlainText"/>
        <w:jc w:val="both"/>
        <w:rPr>
          <w:rFonts w:ascii="Arial" w:hAnsi="Arial" w:cs="Arial"/>
          <w:sz w:val="24"/>
          <w:szCs w:val="24"/>
        </w:rPr>
      </w:pPr>
    </w:p>
    <w:p w:rsidR="002968FB" w:rsidRDefault="002968FB" w:rsidP="000641DA">
      <w:pPr>
        <w:pStyle w:val="PlainText"/>
        <w:jc w:val="both"/>
        <w:rPr>
          <w:rFonts w:ascii="Arial" w:hAnsi="Arial" w:cs="Arial"/>
          <w:sz w:val="24"/>
          <w:szCs w:val="24"/>
        </w:rPr>
      </w:pPr>
      <w:bookmarkStart w:id="0" w:name="_GoBack"/>
      <w:bookmarkEnd w:id="0"/>
    </w:p>
    <w:p w:rsidR="00341F69" w:rsidRPr="000C3275" w:rsidRDefault="00341F69" w:rsidP="000641DA">
      <w:pPr>
        <w:pStyle w:val="PlainText"/>
        <w:jc w:val="both"/>
        <w:rPr>
          <w:rFonts w:ascii="Arial" w:hAnsi="Arial" w:cs="Arial"/>
          <w:sz w:val="24"/>
          <w:szCs w:val="24"/>
        </w:rPr>
      </w:pPr>
    </w:p>
    <w:p w:rsidR="000641DA" w:rsidRPr="000C3275" w:rsidRDefault="000641DA" w:rsidP="00F2267F">
      <w:pPr>
        <w:pStyle w:val="PlainText"/>
        <w:rPr>
          <w:rFonts w:ascii="Arial" w:hAnsi="Arial" w:cs="Arial"/>
          <w:b/>
          <w:sz w:val="24"/>
          <w:szCs w:val="24"/>
          <w:u w:val="single"/>
        </w:rPr>
      </w:pPr>
      <w:r w:rsidRPr="000C3275">
        <w:rPr>
          <w:rFonts w:ascii="Arial" w:hAnsi="Arial" w:cs="Arial"/>
          <w:b/>
          <w:sz w:val="24"/>
          <w:szCs w:val="24"/>
          <w:u w:val="single"/>
        </w:rPr>
        <w:tab/>
      </w:r>
      <w:r w:rsidRPr="000C3275">
        <w:rPr>
          <w:rFonts w:ascii="Arial" w:hAnsi="Arial" w:cs="Arial"/>
          <w:b/>
          <w:sz w:val="24"/>
          <w:szCs w:val="24"/>
          <w:u w:val="single"/>
        </w:rPr>
        <w:tab/>
      </w:r>
      <w:r w:rsidRPr="000C3275">
        <w:rPr>
          <w:rFonts w:ascii="Arial" w:hAnsi="Arial" w:cs="Arial"/>
          <w:b/>
          <w:sz w:val="24"/>
          <w:szCs w:val="24"/>
          <w:u w:val="single"/>
        </w:rPr>
        <w:tab/>
      </w:r>
    </w:p>
    <w:p w:rsidR="000641DA" w:rsidRPr="000C3275" w:rsidRDefault="008C74BA" w:rsidP="00F2267F">
      <w:pPr>
        <w:pStyle w:val="PlainText"/>
        <w:rPr>
          <w:rFonts w:ascii="Arial" w:hAnsi="Arial" w:cs="Arial"/>
          <w:b/>
          <w:sz w:val="24"/>
          <w:szCs w:val="24"/>
        </w:rPr>
      </w:pPr>
      <w:r w:rsidRPr="000C3275">
        <w:rPr>
          <w:rFonts w:ascii="Arial" w:hAnsi="Arial" w:cs="Arial"/>
          <w:b/>
          <w:sz w:val="24"/>
          <w:szCs w:val="24"/>
        </w:rPr>
        <w:t>DAMASEB</w:t>
      </w:r>
      <w:r w:rsidR="000641DA" w:rsidRPr="000C3275">
        <w:rPr>
          <w:rFonts w:ascii="Arial" w:hAnsi="Arial" w:cs="Arial"/>
          <w:b/>
          <w:sz w:val="24"/>
          <w:szCs w:val="24"/>
        </w:rPr>
        <w:t xml:space="preserve"> DCJ</w:t>
      </w:r>
    </w:p>
    <w:p w:rsidR="000641DA" w:rsidRPr="000C3275" w:rsidRDefault="000641DA" w:rsidP="00F2267F">
      <w:pPr>
        <w:pStyle w:val="PlainText"/>
        <w:rPr>
          <w:rFonts w:ascii="Arial" w:hAnsi="Arial" w:cs="Arial"/>
          <w:sz w:val="24"/>
          <w:szCs w:val="24"/>
        </w:rPr>
      </w:pPr>
    </w:p>
    <w:p w:rsidR="000641DA" w:rsidRPr="000C3275" w:rsidRDefault="000641DA" w:rsidP="00F2267F">
      <w:pPr>
        <w:pStyle w:val="PlainText"/>
        <w:rPr>
          <w:rFonts w:ascii="Arial" w:hAnsi="Arial" w:cs="Arial"/>
          <w:sz w:val="24"/>
          <w:szCs w:val="24"/>
        </w:rPr>
      </w:pPr>
    </w:p>
    <w:p w:rsidR="00BE633E" w:rsidRPr="000C3275" w:rsidRDefault="00BE633E" w:rsidP="00F2267F">
      <w:pPr>
        <w:pStyle w:val="PlainText"/>
        <w:rPr>
          <w:rFonts w:ascii="Arial" w:hAnsi="Arial" w:cs="Arial"/>
          <w:sz w:val="24"/>
          <w:szCs w:val="24"/>
        </w:rPr>
      </w:pPr>
    </w:p>
    <w:p w:rsidR="00BE633E" w:rsidRDefault="00BE633E" w:rsidP="00F2267F">
      <w:pPr>
        <w:pStyle w:val="PlainText"/>
        <w:rPr>
          <w:rFonts w:ascii="Arial" w:hAnsi="Arial" w:cs="Arial"/>
          <w:sz w:val="24"/>
          <w:szCs w:val="24"/>
        </w:rPr>
      </w:pPr>
    </w:p>
    <w:p w:rsidR="00F2267F" w:rsidRPr="000C3275" w:rsidRDefault="00F2267F" w:rsidP="00F2267F">
      <w:pPr>
        <w:pStyle w:val="PlainText"/>
        <w:rPr>
          <w:rFonts w:ascii="Arial" w:hAnsi="Arial" w:cs="Arial"/>
          <w:sz w:val="24"/>
          <w:szCs w:val="24"/>
        </w:rPr>
      </w:pPr>
    </w:p>
    <w:p w:rsidR="000641DA" w:rsidRPr="000C3275" w:rsidRDefault="000641DA" w:rsidP="00F2267F">
      <w:pPr>
        <w:pStyle w:val="PlainText"/>
        <w:rPr>
          <w:rFonts w:ascii="Arial" w:hAnsi="Arial" w:cs="Arial"/>
          <w:b/>
          <w:sz w:val="24"/>
          <w:szCs w:val="24"/>
          <w:u w:val="single"/>
        </w:rPr>
      </w:pPr>
      <w:r w:rsidRPr="000C3275">
        <w:rPr>
          <w:rFonts w:ascii="Arial" w:hAnsi="Arial" w:cs="Arial"/>
          <w:b/>
          <w:sz w:val="24"/>
          <w:szCs w:val="24"/>
          <w:u w:val="single"/>
        </w:rPr>
        <w:tab/>
      </w:r>
      <w:r w:rsidRPr="000C3275">
        <w:rPr>
          <w:rFonts w:ascii="Arial" w:hAnsi="Arial" w:cs="Arial"/>
          <w:b/>
          <w:sz w:val="24"/>
          <w:szCs w:val="24"/>
          <w:u w:val="single"/>
        </w:rPr>
        <w:tab/>
      </w:r>
      <w:r w:rsidRPr="000C3275">
        <w:rPr>
          <w:rFonts w:ascii="Arial" w:hAnsi="Arial" w:cs="Arial"/>
          <w:b/>
          <w:sz w:val="24"/>
          <w:szCs w:val="24"/>
          <w:u w:val="single"/>
        </w:rPr>
        <w:tab/>
      </w:r>
    </w:p>
    <w:p w:rsidR="000641DA" w:rsidRPr="000C3275" w:rsidRDefault="000E2C23" w:rsidP="00F2267F">
      <w:pPr>
        <w:pStyle w:val="PlainText"/>
        <w:rPr>
          <w:rFonts w:ascii="Arial" w:hAnsi="Arial" w:cs="Arial"/>
          <w:b/>
          <w:sz w:val="24"/>
          <w:szCs w:val="24"/>
        </w:rPr>
      </w:pPr>
      <w:r w:rsidRPr="000C3275">
        <w:rPr>
          <w:rFonts w:ascii="Arial" w:hAnsi="Arial" w:cs="Arial"/>
          <w:b/>
          <w:sz w:val="24"/>
          <w:szCs w:val="24"/>
        </w:rPr>
        <w:t>HOFF</w:t>
      </w:r>
      <w:r w:rsidR="000641DA" w:rsidRPr="000C3275">
        <w:rPr>
          <w:rFonts w:ascii="Arial" w:hAnsi="Arial" w:cs="Arial"/>
          <w:b/>
          <w:sz w:val="24"/>
          <w:szCs w:val="24"/>
        </w:rPr>
        <w:t xml:space="preserve"> JA</w:t>
      </w:r>
    </w:p>
    <w:p w:rsidR="000641DA" w:rsidRPr="000C3275" w:rsidRDefault="000641DA" w:rsidP="00F2267F">
      <w:pPr>
        <w:pStyle w:val="PlainText"/>
        <w:rPr>
          <w:rFonts w:ascii="Arial" w:hAnsi="Arial" w:cs="Arial"/>
          <w:sz w:val="24"/>
          <w:szCs w:val="24"/>
        </w:rPr>
      </w:pPr>
    </w:p>
    <w:p w:rsidR="00BE633E" w:rsidRDefault="00BE633E" w:rsidP="00F2267F">
      <w:pPr>
        <w:pStyle w:val="PlainText"/>
        <w:rPr>
          <w:rFonts w:ascii="Arial" w:hAnsi="Arial" w:cs="Arial"/>
          <w:sz w:val="24"/>
          <w:szCs w:val="24"/>
        </w:rPr>
      </w:pPr>
    </w:p>
    <w:p w:rsidR="002968FB" w:rsidRPr="000C3275" w:rsidRDefault="002968FB" w:rsidP="00F2267F">
      <w:pPr>
        <w:pStyle w:val="PlainText"/>
        <w:rPr>
          <w:rFonts w:ascii="Arial" w:hAnsi="Arial" w:cs="Arial"/>
          <w:sz w:val="24"/>
          <w:szCs w:val="24"/>
        </w:rPr>
      </w:pPr>
    </w:p>
    <w:p w:rsidR="00BE633E" w:rsidRPr="000C3275" w:rsidRDefault="00BE633E" w:rsidP="00F2267F">
      <w:pPr>
        <w:pStyle w:val="PlainText"/>
        <w:rPr>
          <w:rFonts w:ascii="Arial" w:hAnsi="Arial" w:cs="Arial"/>
          <w:sz w:val="24"/>
          <w:szCs w:val="24"/>
        </w:rPr>
      </w:pPr>
    </w:p>
    <w:p w:rsidR="000641DA" w:rsidRPr="000C3275" w:rsidRDefault="000641DA" w:rsidP="00F2267F">
      <w:pPr>
        <w:pStyle w:val="PlainText"/>
        <w:rPr>
          <w:rFonts w:ascii="Arial" w:hAnsi="Arial" w:cs="Arial"/>
          <w:b/>
          <w:sz w:val="24"/>
          <w:szCs w:val="24"/>
          <w:u w:val="single"/>
        </w:rPr>
      </w:pPr>
      <w:r w:rsidRPr="000C3275">
        <w:rPr>
          <w:rFonts w:ascii="Arial" w:hAnsi="Arial" w:cs="Arial"/>
          <w:b/>
          <w:sz w:val="24"/>
          <w:szCs w:val="24"/>
          <w:u w:val="single"/>
        </w:rPr>
        <w:tab/>
      </w:r>
      <w:r w:rsidRPr="000C3275">
        <w:rPr>
          <w:rFonts w:ascii="Arial" w:hAnsi="Arial" w:cs="Arial"/>
          <w:b/>
          <w:sz w:val="24"/>
          <w:szCs w:val="24"/>
          <w:u w:val="single"/>
        </w:rPr>
        <w:tab/>
      </w:r>
      <w:r w:rsidRPr="000C3275">
        <w:rPr>
          <w:rFonts w:ascii="Arial" w:hAnsi="Arial" w:cs="Arial"/>
          <w:b/>
          <w:sz w:val="24"/>
          <w:szCs w:val="24"/>
          <w:u w:val="single"/>
        </w:rPr>
        <w:tab/>
      </w:r>
    </w:p>
    <w:p w:rsidR="000641DA" w:rsidRPr="000C3275" w:rsidRDefault="000E2C23" w:rsidP="00F2267F">
      <w:pPr>
        <w:pStyle w:val="PlainText"/>
        <w:tabs>
          <w:tab w:val="left" w:pos="1485"/>
        </w:tabs>
        <w:spacing w:line="480" w:lineRule="auto"/>
        <w:rPr>
          <w:rFonts w:ascii="Arial" w:hAnsi="Arial" w:cs="Arial"/>
          <w:b/>
          <w:sz w:val="24"/>
          <w:szCs w:val="24"/>
        </w:rPr>
      </w:pPr>
      <w:r w:rsidRPr="000C3275">
        <w:rPr>
          <w:rFonts w:ascii="Arial" w:hAnsi="Arial" w:cs="Arial"/>
          <w:b/>
          <w:sz w:val="24"/>
          <w:szCs w:val="24"/>
        </w:rPr>
        <w:t>NKABINDE</w:t>
      </w:r>
      <w:r w:rsidR="000641DA" w:rsidRPr="000C3275">
        <w:rPr>
          <w:rFonts w:ascii="Arial" w:hAnsi="Arial" w:cs="Arial"/>
          <w:b/>
          <w:sz w:val="24"/>
          <w:szCs w:val="24"/>
        </w:rPr>
        <w:t xml:space="preserve"> </w:t>
      </w:r>
      <w:r w:rsidRPr="000C3275">
        <w:rPr>
          <w:rFonts w:ascii="Arial" w:hAnsi="Arial" w:cs="Arial"/>
          <w:b/>
          <w:sz w:val="24"/>
          <w:szCs w:val="24"/>
        </w:rPr>
        <w:t>A</w:t>
      </w:r>
      <w:r w:rsidR="000641DA" w:rsidRPr="000C3275">
        <w:rPr>
          <w:rFonts w:ascii="Arial" w:hAnsi="Arial" w:cs="Arial"/>
          <w:b/>
          <w:sz w:val="24"/>
          <w:szCs w:val="24"/>
        </w:rPr>
        <w:t>JA</w:t>
      </w:r>
      <w:r w:rsidR="000641DA" w:rsidRPr="000C3275">
        <w:rPr>
          <w:rFonts w:ascii="Arial" w:hAnsi="Arial" w:cs="Arial"/>
          <w:b/>
          <w:sz w:val="24"/>
          <w:szCs w:val="24"/>
        </w:rPr>
        <w:tab/>
      </w:r>
    </w:p>
    <w:p w:rsidR="00BE633E" w:rsidRPr="000C3275" w:rsidRDefault="00BE633E" w:rsidP="00F2267F">
      <w:pPr>
        <w:spacing w:after="0" w:line="240" w:lineRule="auto"/>
        <w:rPr>
          <w:rFonts w:ascii="Arial" w:hAnsi="Arial" w:cs="Arial"/>
          <w:sz w:val="24"/>
          <w:szCs w:val="24"/>
          <w:lang w:val="en-ZA"/>
        </w:rPr>
      </w:pPr>
    </w:p>
    <w:p w:rsidR="00527AC0" w:rsidRDefault="00527AC0">
      <w:pPr>
        <w:spacing w:after="0" w:line="240" w:lineRule="auto"/>
        <w:rPr>
          <w:rFonts w:ascii="Arial" w:hAnsi="Arial" w:cs="Arial"/>
          <w:sz w:val="24"/>
          <w:szCs w:val="24"/>
          <w:lang w:val="en-ZA"/>
        </w:rPr>
      </w:pPr>
      <w:r>
        <w:rPr>
          <w:rFonts w:ascii="Arial" w:hAnsi="Arial" w:cs="Arial"/>
          <w:sz w:val="24"/>
          <w:szCs w:val="24"/>
        </w:rPr>
        <w:br w:type="page"/>
      </w:r>
    </w:p>
    <w:p w:rsidR="000641DA" w:rsidRPr="000C3275" w:rsidRDefault="000641DA" w:rsidP="000641DA">
      <w:pPr>
        <w:pStyle w:val="PlainText"/>
        <w:spacing w:line="480" w:lineRule="auto"/>
        <w:jc w:val="both"/>
        <w:rPr>
          <w:rFonts w:ascii="Arial" w:hAnsi="Arial" w:cs="Arial"/>
          <w:sz w:val="24"/>
          <w:szCs w:val="24"/>
        </w:rPr>
      </w:pPr>
      <w:r w:rsidRPr="000C3275">
        <w:rPr>
          <w:rFonts w:ascii="Arial" w:hAnsi="Arial" w:cs="Arial"/>
          <w:sz w:val="24"/>
          <w:szCs w:val="24"/>
        </w:rPr>
        <w:lastRenderedPageBreak/>
        <w:t>APPEARANCES</w:t>
      </w:r>
    </w:p>
    <w:p w:rsidR="000641DA" w:rsidRPr="000C3275" w:rsidRDefault="000641DA" w:rsidP="000641DA">
      <w:pPr>
        <w:pStyle w:val="PlainText"/>
        <w:spacing w:line="480" w:lineRule="auto"/>
        <w:jc w:val="both"/>
        <w:rPr>
          <w:rFonts w:ascii="Arial" w:hAnsi="Arial" w:cs="Arial"/>
          <w:sz w:val="24"/>
          <w:szCs w:val="24"/>
        </w:rPr>
      </w:pPr>
    </w:p>
    <w:p w:rsidR="00D67D1B" w:rsidRPr="000C3275" w:rsidRDefault="00D67D1B" w:rsidP="00D67D1B">
      <w:pPr>
        <w:spacing w:after="0" w:line="240" w:lineRule="auto"/>
        <w:jc w:val="both"/>
        <w:rPr>
          <w:rFonts w:ascii="Arial" w:hAnsi="Arial" w:cs="Arial"/>
          <w:sz w:val="24"/>
          <w:szCs w:val="24"/>
        </w:rPr>
      </w:pPr>
      <w:r w:rsidRPr="000C3275">
        <w:rPr>
          <w:rFonts w:ascii="Arial" w:hAnsi="Arial" w:cs="Arial"/>
          <w:sz w:val="24"/>
          <w:szCs w:val="24"/>
        </w:rPr>
        <w:t>1</w:t>
      </w:r>
      <w:r w:rsidRPr="000C3275">
        <w:rPr>
          <w:rFonts w:ascii="Arial" w:hAnsi="Arial" w:cs="Arial"/>
          <w:sz w:val="24"/>
          <w:szCs w:val="24"/>
          <w:vertAlign w:val="superscript"/>
        </w:rPr>
        <w:t>ST</w:t>
      </w:r>
      <w:r w:rsidRPr="000C3275">
        <w:rPr>
          <w:rFonts w:ascii="Arial" w:hAnsi="Arial" w:cs="Arial"/>
          <w:sz w:val="24"/>
          <w:szCs w:val="24"/>
        </w:rPr>
        <w:t xml:space="preserve"> APPLICANT</w:t>
      </w:r>
      <w:r w:rsidR="005F3A17" w:rsidRPr="000C3275">
        <w:rPr>
          <w:rFonts w:ascii="Arial" w:hAnsi="Arial" w:cs="Arial"/>
          <w:sz w:val="24"/>
          <w:szCs w:val="24"/>
        </w:rPr>
        <w:t>:</w:t>
      </w:r>
      <w:r w:rsidRPr="000C3275">
        <w:rPr>
          <w:rFonts w:ascii="Arial" w:hAnsi="Arial" w:cs="Arial"/>
          <w:sz w:val="24"/>
          <w:szCs w:val="24"/>
        </w:rPr>
        <w:tab/>
      </w:r>
      <w:r w:rsidRPr="000C3275">
        <w:rPr>
          <w:rFonts w:ascii="Arial" w:hAnsi="Arial" w:cs="Arial"/>
          <w:sz w:val="24"/>
          <w:szCs w:val="24"/>
        </w:rPr>
        <w:tab/>
      </w:r>
      <w:r w:rsidRPr="000C3275">
        <w:rPr>
          <w:rFonts w:ascii="Arial" w:hAnsi="Arial" w:cs="Arial"/>
          <w:sz w:val="24"/>
          <w:szCs w:val="24"/>
        </w:rPr>
        <w:tab/>
      </w:r>
      <w:r w:rsidR="00D33E92">
        <w:rPr>
          <w:rFonts w:ascii="Arial" w:hAnsi="Arial" w:cs="Arial"/>
          <w:sz w:val="24"/>
          <w:szCs w:val="24"/>
        </w:rPr>
        <w:t>J</w:t>
      </w:r>
      <w:r w:rsidR="00DF33CE">
        <w:rPr>
          <w:rFonts w:ascii="Arial" w:hAnsi="Arial" w:cs="Arial"/>
          <w:sz w:val="24"/>
          <w:szCs w:val="24"/>
        </w:rPr>
        <w:t xml:space="preserve"> </w:t>
      </w:r>
      <w:proofErr w:type="spellStart"/>
      <w:r w:rsidR="00D33E92">
        <w:rPr>
          <w:rFonts w:ascii="Arial" w:hAnsi="Arial" w:cs="Arial"/>
          <w:sz w:val="24"/>
          <w:szCs w:val="24"/>
        </w:rPr>
        <w:t>J</w:t>
      </w:r>
      <w:proofErr w:type="spellEnd"/>
      <w:r w:rsidR="00D33E92">
        <w:rPr>
          <w:rFonts w:ascii="Arial" w:hAnsi="Arial" w:cs="Arial"/>
          <w:sz w:val="24"/>
          <w:szCs w:val="24"/>
        </w:rPr>
        <w:t xml:space="preserve"> </w:t>
      </w:r>
      <w:proofErr w:type="spellStart"/>
      <w:r w:rsidR="0039034E" w:rsidRPr="000C3275">
        <w:rPr>
          <w:rFonts w:ascii="Arial" w:hAnsi="Arial" w:cs="Arial"/>
          <w:sz w:val="24"/>
          <w:szCs w:val="24"/>
        </w:rPr>
        <w:t>Ga</w:t>
      </w:r>
      <w:r w:rsidRPr="000C3275">
        <w:rPr>
          <w:rFonts w:ascii="Arial" w:hAnsi="Arial" w:cs="Arial"/>
          <w:sz w:val="24"/>
          <w:szCs w:val="24"/>
        </w:rPr>
        <w:t>untlett</w:t>
      </w:r>
      <w:proofErr w:type="spellEnd"/>
      <w:r w:rsidR="0039034E" w:rsidRPr="000C3275">
        <w:rPr>
          <w:rFonts w:ascii="Arial" w:hAnsi="Arial" w:cs="Arial"/>
          <w:sz w:val="24"/>
          <w:szCs w:val="24"/>
        </w:rPr>
        <w:t xml:space="preserve"> SC QC</w:t>
      </w:r>
      <w:r w:rsidRPr="000C3275">
        <w:rPr>
          <w:rFonts w:ascii="Arial" w:hAnsi="Arial" w:cs="Arial"/>
          <w:sz w:val="24"/>
          <w:szCs w:val="24"/>
        </w:rPr>
        <w:t xml:space="preserve"> (with him</w:t>
      </w:r>
      <w:r w:rsidR="00C53D44" w:rsidRPr="000C3275">
        <w:rPr>
          <w:rFonts w:ascii="Arial" w:hAnsi="Arial" w:cs="Arial"/>
          <w:sz w:val="24"/>
          <w:szCs w:val="24"/>
        </w:rPr>
        <w:t xml:space="preserve"> U</w:t>
      </w:r>
      <w:r w:rsidRPr="000C3275">
        <w:rPr>
          <w:rFonts w:ascii="Arial" w:hAnsi="Arial" w:cs="Arial"/>
          <w:sz w:val="24"/>
          <w:szCs w:val="24"/>
        </w:rPr>
        <w:t xml:space="preserve"> Hengari)</w:t>
      </w:r>
    </w:p>
    <w:p w:rsidR="00D67D1B" w:rsidRPr="000C3275" w:rsidRDefault="00D67D1B" w:rsidP="00D67D1B">
      <w:pPr>
        <w:spacing w:after="0" w:line="240" w:lineRule="auto"/>
        <w:ind w:left="3600"/>
        <w:jc w:val="both"/>
        <w:rPr>
          <w:rFonts w:ascii="Arial" w:hAnsi="Arial" w:cs="Arial"/>
          <w:sz w:val="24"/>
          <w:szCs w:val="24"/>
        </w:rPr>
      </w:pPr>
      <w:r w:rsidRPr="000C3275">
        <w:rPr>
          <w:rFonts w:ascii="Arial" w:hAnsi="Arial" w:cs="Arial"/>
          <w:sz w:val="24"/>
          <w:szCs w:val="24"/>
        </w:rPr>
        <w:t>Instructed by Government Attorney</w:t>
      </w:r>
    </w:p>
    <w:p w:rsidR="00D67D1B" w:rsidRPr="000C3275" w:rsidRDefault="00D67D1B" w:rsidP="00036990">
      <w:pPr>
        <w:spacing w:after="0" w:line="480" w:lineRule="auto"/>
        <w:jc w:val="both"/>
        <w:rPr>
          <w:rFonts w:ascii="Arial" w:hAnsi="Arial" w:cs="Arial"/>
          <w:sz w:val="24"/>
          <w:szCs w:val="24"/>
        </w:rPr>
      </w:pPr>
    </w:p>
    <w:p w:rsidR="00D67D1B" w:rsidRPr="000C3275" w:rsidRDefault="00D67D1B" w:rsidP="00D67D1B">
      <w:pPr>
        <w:spacing w:after="0" w:line="240" w:lineRule="auto"/>
        <w:jc w:val="both"/>
        <w:rPr>
          <w:rFonts w:ascii="Arial" w:hAnsi="Arial" w:cs="Arial"/>
          <w:sz w:val="24"/>
          <w:szCs w:val="24"/>
        </w:rPr>
      </w:pPr>
      <w:r w:rsidRPr="000C3275">
        <w:rPr>
          <w:rFonts w:ascii="Arial" w:hAnsi="Arial" w:cs="Arial"/>
          <w:sz w:val="24"/>
          <w:szCs w:val="24"/>
        </w:rPr>
        <w:t>2</w:t>
      </w:r>
      <w:r w:rsidRPr="000C3275">
        <w:rPr>
          <w:rFonts w:ascii="Arial" w:hAnsi="Arial" w:cs="Arial"/>
          <w:sz w:val="24"/>
          <w:szCs w:val="24"/>
          <w:vertAlign w:val="superscript"/>
        </w:rPr>
        <w:t>ND</w:t>
      </w:r>
      <w:r w:rsidRPr="000C3275">
        <w:rPr>
          <w:rFonts w:ascii="Arial" w:hAnsi="Arial" w:cs="Arial"/>
          <w:sz w:val="24"/>
          <w:szCs w:val="24"/>
        </w:rPr>
        <w:t xml:space="preserve"> APPLICANT</w:t>
      </w:r>
      <w:r w:rsidR="005F3A17" w:rsidRPr="000C3275">
        <w:rPr>
          <w:rFonts w:ascii="Arial" w:hAnsi="Arial" w:cs="Arial"/>
          <w:sz w:val="24"/>
          <w:szCs w:val="24"/>
        </w:rPr>
        <w:t>:</w:t>
      </w:r>
      <w:r w:rsidRPr="000C3275">
        <w:rPr>
          <w:rFonts w:ascii="Arial" w:hAnsi="Arial" w:cs="Arial"/>
          <w:sz w:val="24"/>
          <w:szCs w:val="24"/>
        </w:rPr>
        <w:tab/>
      </w:r>
      <w:r w:rsidRPr="000C3275">
        <w:rPr>
          <w:rFonts w:ascii="Arial" w:hAnsi="Arial" w:cs="Arial"/>
          <w:sz w:val="24"/>
          <w:szCs w:val="24"/>
        </w:rPr>
        <w:tab/>
      </w:r>
      <w:r w:rsidRPr="000C3275">
        <w:rPr>
          <w:rFonts w:ascii="Arial" w:hAnsi="Arial" w:cs="Arial"/>
          <w:sz w:val="24"/>
          <w:szCs w:val="24"/>
        </w:rPr>
        <w:tab/>
        <w:t>S Namandje (with him</w:t>
      </w:r>
      <w:r w:rsidR="00C53D44" w:rsidRPr="000C3275">
        <w:rPr>
          <w:rFonts w:ascii="Arial" w:hAnsi="Arial" w:cs="Arial"/>
          <w:sz w:val="24"/>
          <w:szCs w:val="24"/>
        </w:rPr>
        <w:t xml:space="preserve"> </w:t>
      </w:r>
      <w:r w:rsidRPr="000C3275">
        <w:rPr>
          <w:rFonts w:ascii="Arial" w:hAnsi="Arial" w:cs="Arial"/>
          <w:sz w:val="24"/>
          <w:szCs w:val="24"/>
        </w:rPr>
        <w:t>E Nekwaya)</w:t>
      </w:r>
    </w:p>
    <w:p w:rsidR="00D67D1B" w:rsidRPr="000C3275" w:rsidRDefault="00527AC0" w:rsidP="00D67D1B">
      <w:pPr>
        <w:spacing w:after="0" w:line="240" w:lineRule="auto"/>
        <w:ind w:left="2880" w:firstLine="720"/>
        <w:jc w:val="both"/>
        <w:rPr>
          <w:rFonts w:ascii="Arial" w:hAnsi="Arial" w:cs="Arial"/>
          <w:sz w:val="24"/>
          <w:szCs w:val="24"/>
        </w:rPr>
      </w:pPr>
      <w:proofErr w:type="gramStart"/>
      <w:r>
        <w:rPr>
          <w:rFonts w:ascii="Arial" w:hAnsi="Arial" w:cs="Arial"/>
          <w:sz w:val="24"/>
          <w:szCs w:val="24"/>
        </w:rPr>
        <w:t>of</w:t>
      </w:r>
      <w:proofErr w:type="gramEnd"/>
      <w:r w:rsidR="00D67D1B" w:rsidRPr="000C3275">
        <w:rPr>
          <w:rFonts w:ascii="Arial" w:hAnsi="Arial" w:cs="Arial"/>
          <w:sz w:val="24"/>
          <w:szCs w:val="24"/>
        </w:rPr>
        <w:t xml:space="preserve"> </w:t>
      </w:r>
      <w:r w:rsidR="00D75298" w:rsidRPr="000C3275">
        <w:rPr>
          <w:rFonts w:ascii="Arial" w:hAnsi="Arial" w:cs="Arial"/>
          <w:sz w:val="24"/>
          <w:szCs w:val="24"/>
        </w:rPr>
        <w:t>Sisa Namandje &amp; Co</w:t>
      </w:r>
    </w:p>
    <w:p w:rsidR="00D67D1B" w:rsidRPr="000C3275" w:rsidRDefault="00D67D1B" w:rsidP="00036990">
      <w:pPr>
        <w:spacing w:after="0" w:line="480" w:lineRule="auto"/>
        <w:jc w:val="both"/>
        <w:rPr>
          <w:rFonts w:ascii="Arial" w:hAnsi="Arial" w:cs="Arial"/>
          <w:sz w:val="24"/>
          <w:szCs w:val="24"/>
        </w:rPr>
      </w:pPr>
    </w:p>
    <w:p w:rsidR="005F3A17" w:rsidRPr="000C3275" w:rsidRDefault="005F3A17" w:rsidP="00F2267F">
      <w:pPr>
        <w:spacing w:after="0" w:line="240" w:lineRule="auto"/>
        <w:ind w:right="4"/>
        <w:jc w:val="both"/>
        <w:rPr>
          <w:rFonts w:ascii="Arial" w:hAnsi="Arial" w:cs="Arial"/>
          <w:sz w:val="24"/>
          <w:szCs w:val="24"/>
        </w:rPr>
      </w:pPr>
      <w:r w:rsidRPr="000C3275">
        <w:rPr>
          <w:rFonts w:ascii="Arial" w:hAnsi="Arial" w:cs="Arial"/>
          <w:sz w:val="24"/>
          <w:szCs w:val="24"/>
        </w:rPr>
        <w:t>1</w:t>
      </w:r>
      <w:r w:rsidRPr="000C3275">
        <w:rPr>
          <w:rFonts w:ascii="Arial" w:hAnsi="Arial" w:cs="Arial"/>
          <w:sz w:val="24"/>
          <w:szCs w:val="24"/>
          <w:vertAlign w:val="superscript"/>
        </w:rPr>
        <w:t>ST</w:t>
      </w:r>
      <w:r w:rsidRPr="000C3275">
        <w:rPr>
          <w:rFonts w:ascii="Arial" w:hAnsi="Arial" w:cs="Arial"/>
          <w:sz w:val="24"/>
          <w:szCs w:val="24"/>
        </w:rPr>
        <w:t>, 2</w:t>
      </w:r>
      <w:r w:rsidRPr="000C3275">
        <w:rPr>
          <w:rFonts w:ascii="Arial" w:hAnsi="Arial" w:cs="Arial"/>
          <w:sz w:val="24"/>
          <w:szCs w:val="24"/>
          <w:vertAlign w:val="superscript"/>
        </w:rPr>
        <w:t>ND</w:t>
      </w:r>
      <w:r w:rsidR="00D86D9A">
        <w:rPr>
          <w:rFonts w:ascii="Arial" w:hAnsi="Arial" w:cs="Arial"/>
          <w:sz w:val="24"/>
          <w:szCs w:val="24"/>
        </w:rPr>
        <w:t>, 3</w:t>
      </w:r>
      <w:r w:rsidR="00D86D9A" w:rsidRPr="00D86D9A">
        <w:rPr>
          <w:rFonts w:ascii="Arial" w:hAnsi="Arial" w:cs="Arial"/>
          <w:sz w:val="24"/>
          <w:szCs w:val="24"/>
          <w:vertAlign w:val="superscript"/>
        </w:rPr>
        <w:t>RD</w:t>
      </w:r>
      <w:r w:rsidRPr="000C3275">
        <w:rPr>
          <w:rFonts w:ascii="Arial" w:hAnsi="Arial" w:cs="Arial"/>
          <w:sz w:val="24"/>
          <w:szCs w:val="24"/>
        </w:rPr>
        <w:t>, 4</w:t>
      </w:r>
      <w:r w:rsidRPr="000C3275">
        <w:rPr>
          <w:rFonts w:ascii="Arial" w:hAnsi="Arial" w:cs="Arial"/>
          <w:sz w:val="24"/>
          <w:szCs w:val="24"/>
          <w:vertAlign w:val="superscript"/>
        </w:rPr>
        <w:t>TH</w:t>
      </w:r>
      <w:r w:rsidR="00EF7C85" w:rsidRPr="000C3275">
        <w:rPr>
          <w:rFonts w:ascii="Arial" w:hAnsi="Arial" w:cs="Arial"/>
          <w:sz w:val="24"/>
          <w:szCs w:val="24"/>
        </w:rPr>
        <w:t xml:space="preserve">, </w:t>
      </w:r>
      <w:r w:rsidR="00F2267F">
        <w:rPr>
          <w:rFonts w:ascii="Arial" w:hAnsi="Arial" w:cs="Arial"/>
          <w:sz w:val="24"/>
          <w:szCs w:val="24"/>
        </w:rPr>
        <w:t>7</w:t>
      </w:r>
      <w:r w:rsidR="00F2267F">
        <w:rPr>
          <w:rFonts w:ascii="Arial" w:hAnsi="Arial" w:cs="Arial"/>
          <w:sz w:val="24"/>
          <w:szCs w:val="24"/>
          <w:vertAlign w:val="superscript"/>
        </w:rPr>
        <w:t>TH</w:t>
      </w:r>
      <w:r w:rsidRPr="000C3275">
        <w:rPr>
          <w:rFonts w:ascii="Arial" w:hAnsi="Arial" w:cs="Arial"/>
          <w:sz w:val="24"/>
          <w:szCs w:val="24"/>
        </w:rPr>
        <w:t>,</w:t>
      </w:r>
      <w:r w:rsidRPr="000C3275">
        <w:rPr>
          <w:rFonts w:ascii="Arial" w:hAnsi="Arial" w:cs="Arial"/>
          <w:sz w:val="24"/>
          <w:szCs w:val="24"/>
        </w:rPr>
        <w:tab/>
      </w:r>
      <w:r w:rsidR="00036990">
        <w:rPr>
          <w:rFonts w:ascii="Arial" w:hAnsi="Arial" w:cs="Arial"/>
          <w:sz w:val="24"/>
          <w:szCs w:val="24"/>
        </w:rPr>
        <w:tab/>
      </w:r>
      <w:r w:rsidR="00FD4698">
        <w:rPr>
          <w:rFonts w:ascii="Arial" w:hAnsi="Arial" w:cs="Arial"/>
          <w:sz w:val="24"/>
          <w:szCs w:val="24"/>
        </w:rPr>
        <w:t xml:space="preserve">R Heathcote </w:t>
      </w:r>
    </w:p>
    <w:p w:rsidR="00036990" w:rsidRPr="000C3275" w:rsidRDefault="005F3A17" w:rsidP="00036990">
      <w:pPr>
        <w:spacing w:after="0" w:line="240" w:lineRule="auto"/>
        <w:ind w:right="6"/>
        <w:jc w:val="both"/>
        <w:rPr>
          <w:rFonts w:ascii="Arial" w:hAnsi="Arial" w:cs="Arial"/>
          <w:sz w:val="24"/>
          <w:szCs w:val="24"/>
        </w:rPr>
      </w:pPr>
      <w:r w:rsidRPr="000C3275">
        <w:rPr>
          <w:rFonts w:ascii="Arial" w:hAnsi="Arial" w:cs="Arial"/>
          <w:sz w:val="24"/>
          <w:szCs w:val="24"/>
        </w:rPr>
        <w:t>9</w:t>
      </w:r>
      <w:r w:rsidRPr="000C3275">
        <w:rPr>
          <w:rFonts w:ascii="Arial" w:hAnsi="Arial" w:cs="Arial"/>
          <w:sz w:val="24"/>
          <w:szCs w:val="24"/>
          <w:vertAlign w:val="superscript"/>
        </w:rPr>
        <w:t>TH</w:t>
      </w:r>
      <w:r w:rsidRPr="000C3275">
        <w:rPr>
          <w:rFonts w:ascii="Arial" w:hAnsi="Arial" w:cs="Arial"/>
          <w:sz w:val="24"/>
          <w:szCs w:val="24"/>
        </w:rPr>
        <w:t>, 10</w:t>
      </w:r>
      <w:r w:rsidRPr="000C3275">
        <w:rPr>
          <w:rFonts w:ascii="Arial" w:hAnsi="Arial" w:cs="Arial"/>
          <w:sz w:val="24"/>
          <w:szCs w:val="24"/>
          <w:vertAlign w:val="superscript"/>
        </w:rPr>
        <w:t>TH</w:t>
      </w:r>
      <w:r w:rsidRPr="000C3275">
        <w:rPr>
          <w:rFonts w:ascii="Arial" w:hAnsi="Arial" w:cs="Arial"/>
          <w:sz w:val="24"/>
          <w:szCs w:val="24"/>
        </w:rPr>
        <w:t xml:space="preserve"> 11</w:t>
      </w:r>
      <w:r w:rsidRPr="000C3275">
        <w:rPr>
          <w:rFonts w:ascii="Arial" w:hAnsi="Arial" w:cs="Arial"/>
          <w:sz w:val="24"/>
          <w:szCs w:val="24"/>
          <w:vertAlign w:val="superscript"/>
        </w:rPr>
        <w:t>TH</w:t>
      </w:r>
      <w:r w:rsidRPr="000C3275">
        <w:rPr>
          <w:rFonts w:ascii="Arial" w:hAnsi="Arial" w:cs="Arial"/>
          <w:sz w:val="24"/>
          <w:szCs w:val="24"/>
        </w:rPr>
        <w:t>, 12</w:t>
      </w:r>
      <w:r w:rsidRPr="000C3275">
        <w:rPr>
          <w:rFonts w:ascii="Arial" w:hAnsi="Arial" w:cs="Arial"/>
          <w:sz w:val="24"/>
          <w:szCs w:val="24"/>
          <w:vertAlign w:val="superscript"/>
        </w:rPr>
        <w:t>TH</w:t>
      </w:r>
      <w:r w:rsidRPr="000C3275">
        <w:rPr>
          <w:rFonts w:ascii="Arial" w:hAnsi="Arial" w:cs="Arial"/>
          <w:sz w:val="24"/>
          <w:szCs w:val="24"/>
        </w:rPr>
        <w:t>,</w:t>
      </w:r>
      <w:r w:rsidR="00036990">
        <w:rPr>
          <w:rFonts w:ascii="Arial" w:hAnsi="Arial" w:cs="Arial"/>
          <w:sz w:val="24"/>
          <w:szCs w:val="24"/>
        </w:rPr>
        <w:tab/>
      </w:r>
      <w:r w:rsidR="00036990">
        <w:rPr>
          <w:rFonts w:ascii="Arial" w:hAnsi="Arial" w:cs="Arial"/>
          <w:sz w:val="24"/>
          <w:szCs w:val="24"/>
        </w:rPr>
        <w:tab/>
      </w:r>
      <w:r w:rsidR="00036990" w:rsidRPr="000C3275">
        <w:rPr>
          <w:rFonts w:ascii="Arial" w:hAnsi="Arial" w:cs="Arial"/>
          <w:sz w:val="24"/>
          <w:szCs w:val="24"/>
        </w:rPr>
        <w:t>Instructed by Francois Erasmus &amp; Partners</w:t>
      </w:r>
    </w:p>
    <w:p w:rsidR="00036990" w:rsidRPr="000C3275" w:rsidRDefault="005F3A17" w:rsidP="00036990">
      <w:pPr>
        <w:spacing w:after="0" w:line="240" w:lineRule="auto"/>
        <w:ind w:right="4"/>
        <w:jc w:val="both"/>
        <w:rPr>
          <w:rFonts w:ascii="Arial" w:hAnsi="Arial" w:cs="Arial"/>
          <w:sz w:val="24"/>
          <w:szCs w:val="24"/>
        </w:rPr>
      </w:pPr>
      <w:r w:rsidRPr="000C3275">
        <w:rPr>
          <w:rFonts w:ascii="Arial" w:hAnsi="Arial" w:cs="Arial"/>
          <w:sz w:val="24"/>
          <w:szCs w:val="24"/>
        </w:rPr>
        <w:t>15</w:t>
      </w:r>
      <w:r w:rsidRPr="000C3275">
        <w:rPr>
          <w:rFonts w:ascii="Arial" w:hAnsi="Arial" w:cs="Arial"/>
          <w:sz w:val="24"/>
          <w:szCs w:val="24"/>
          <w:vertAlign w:val="superscript"/>
        </w:rPr>
        <w:t>TH</w:t>
      </w:r>
      <w:r w:rsidRPr="000C3275">
        <w:rPr>
          <w:rFonts w:ascii="Arial" w:hAnsi="Arial" w:cs="Arial"/>
          <w:sz w:val="24"/>
          <w:szCs w:val="24"/>
        </w:rPr>
        <w:t xml:space="preserve"> RESPONDENTS:</w:t>
      </w:r>
      <w:r w:rsidRPr="000C3275">
        <w:rPr>
          <w:rFonts w:ascii="Arial" w:hAnsi="Arial" w:cs="Arial"/>
          <w:sz w:val="24"/>
          <w:szCs w:val="24"/>
        </w:rPr>
        <w:tab/>
      </w:r>
      <w:r w:rsidRPr="000C3275">
        <w:rPr>
          <w:rFonts w:ascii="Arial" w:hAnsi="Arial" w:cs="Arial"/>
          <w:sz w:val="24"/>
          <w:szCs w:val="24"/>
        </w:rPr>
        <w:tab/>
      </w:r>
      <w:r w:rsidR="00036990" w:rsidRPr="000C3275">
        <w:rPr>
          <w:rFonts w:ascii="Arial" w:hAnsi="Arial" w:cs="Arial"/>
          <w:sz w:val="24"/>
          <w:szCs w:val="24"/>
        </w:rPr>
        <w:t>Instructed by Van der Merwe-</w:t>
      </w:r>
      <w:proofErr w:type="spellStart"/>
      <w:r w:rsidR="00036990" w:rsidRPr="000C3275">
        <w:rPr>
          <w:rFonts w:ascii="Arial" w:hAnsi="Arial" w:cs="Arial"/>
          <w:sz w:val="24"/>
          <w:szCs w:val="24"/>
        </w:rPr>
        <w:t>Greef</w:t>
      </w:r>
      <w:proofErr w:type="spellEnd"/>
      <w:r w:rsidR="00036990" w:rsidRPr="000C3275">
        <w:rPr>
          <w:rFonts w:ascii="Arial" w:hAnsi="Arial" w:cs="Arial"/>
          <w:sz w:val="24"/>
          <w:szCs w:val="24"/>
        </w:rPr>
        <w:t xml:space="preserve"> </w:t>
      </w:r>
      <w:proofErr w:type="spellStart"/>
      <w:r w:rsidR="00036990" w:rsidRPr="000C3275">
        <w:rPr>
          <w:rFonts w:ascii="Arial" w:hAnsi="Arial" w:cs="Arial"/>
          <w:sz w:val="24"/>
          <w:szCs w:val="24"/>
        </w:rPr>
        <w:t>Andima</w:t>
      </w:r>
      <w:proofErr w:type="spellEnd"/>
      <w:r w:rsidR="00036990" w:rsidRPr="000C3275">
        <w:rPr>
          <w:rFonts w:ascii="Arial" w:hAnsi="Arial" w:cs="Arial"/>
          <w:sz w:val="24"/>
          <w:szCs w:val="24"/>
        </w:rPr>
        <w:t xml:space="preserve"> </w:t>
      </w:r>
      <w:proofErr w:type="spellStart"/>
      <w:r w:rsidR="00036990" w:rsidRPr="000C3275">
        <w:rPr>
          <w:rFonts w:ascii="Arial" w:hAnsi="Arial" w:cs="Arial"/>
          <w:sz w:val="24"/>
          <w:szCs w:val="24"/>
        </w:rPr>
        <w:t>Inc</w:t>
      </w:r>
      <w:proofErr w:type="spellEnd"/>
    </w:p>
    <w:p w:rsidR="00036990" w:rsidRPr="000C3275" w:rsidRDefault="00036990" w:rsidP="00036990">
      <w:pPr>
        <w:tabs>
          <w:tab w:val="left" w:pos="3686"/>
        </w:tabs>
        <w:spacing w:after="0" w:line="480" w:lineRule="auto"/>
        <w:ind w:right="6"/>
        <w:jc w:val="both"/>
        <w:rPr>
          <w:rFonts w:ascii="Arial" w:hAnsi="Arial" w:cs="Arial"/>
          <w:sz w:val="24"/>
          <w:szCs w:val="24"/>
        </w:rPr>
      </w:pPr>
    </w:p>
    <w:p w:rsidR="005F3A17" w:rsidRPr="000C3275" w:rsidRDefault="005F3A17" w:rsidP="00036990">
      <w:pPr>
        <w:spacing w:after="0" w:line="240" w:lineRule="auto"/>
        <w:ind w:right="6"/>
        <w:jc w:val="both"/>
        <w:rPr>
          <w:rFonts w:ascii="Arial" w:hAnsi="Arial" w:cs="Arial"/>
          <w:sz w:val="24"/>
          <w:szCs w:val="24"/>
        </w:rPr>
      </w:pPr>
      <w:r w:rsidRPr="000C3275">
        <w:rPr>
          <w:rFonts w:ascii="Arial" w:hAnsi="Arial" w:cs="Arial"/>
          <w:sz w:val="24"/>
          <w:szCs w:val="24"/>
        </w:rPr>
        <w:t>5</w:t>
      </w:r>
      <w:r w:rsidRPr="000C3275">
        <w:rPr>
          <w:rFonts w:ascii="Arial" w:hAnsi="Arial" w:cs="Arial"/>
          <w:sz w:val="24"/>
          <w:szCs w:val="24"/>
          <w:vertAlign w:val="superscript"/>
        </w:rPr>
        <w:t>TH</w:t>
      </w:r>
      <w:r w:rsidRPr="000C3275">
        <w:rPr>
          <w:rFonts w:ascii="Arial" w:hAnsi="Arial" w:cs="Arial"/>
          <w:sz w:val="24"/>
          <w:szCs w:val="24"/>
        </w:rPr>
        <w:t>, 6</w:t>
      </w:r>
      <w:r w:rsidRPr="000C3275">
        <w:rPr>
          <w:rFonts w:ascii="Arial" w:hAnsi="Arial" w:cs="Arial"/>
          <w:sz w:val="24"/>
          <w:szCs w:val="24"/>
          <w:vertAlign w:val="superscript"/>
        </w:rPr>
        <w:t>TH</w:t>
      </w:r>
      <w:r w:rsidRPr="000C3275">
        <w:rPr>
          <w:rFonts w:ascii="Arial" w:hAnsi="Arial" w:cs="Arial"/>
          <w:sz w:val="24"/>
          <w:szCs w:val="24"/>
        </w:rPr>
        <w:t>, 13</w:t>
      </w:r>
      <w:r w:rsidRPr="000C3275">
        <w:rPr>
          <w:rFonts w:ascii="Arial" w:hAnsi="Arial" w:cs="Arial"/>
          <w:sz w:val="24"/>
          <w:szCs w:val="24"/>
          <w:vertAlign w:val="superscript"/>
        </w:rPr>
        <w:t>TH</w:t>
      </w:r>
      <w:r w:rsidRPr="000C3275">
        <w:rPr>
          <w:rFonts w:ascii="Arial" w:hAnsi="Arial" w:cs="Arial"/>
          <w:sz w:val="24"/>
          <w:szCs w:val="24"/>
        </w:rPr>
        <w:t>,</w:t>
      </w:r>
      <w:r w:rsidR="00036990" w:rsidRPr="00036990">
        <w:rPr>
          <w:rFonts w:ascii="Arial" w:hAnsi="Arial" w:cs="Arial"/>
          <w:sz w:val="24"/>
          <w:szCs w:val="24"/>
        </w:rPr>
        <w:t xml:space="preserve"> </w:t>
      </w:r>
      <w:r w:rsidR="00036990">
        <w:rPr>
          <w:rFonts w:ascii="Arial" w:hAnsi="Arial" w:cs="Arial"/>
          <w:sz w:val="24"/>
          <w:szCs w:val="24"/>
        </w:rPr>
        <w:tab/>
      </w:r>
      <w:r w:rsidR="00036990">
        <w:rPr>
          <w:rFonts w:ascii="Arial" w:hAnsi="Arial" w:cs="Arial"/>
          <w:sz w:val="24"/>
          <w:szCs w:val="24"/>
        </w:rPr>
        <w:tab/>
      </w:r>
      <w:r w:rsidR="00036990">
        <w:rPr>
          <w:rFonts w:ascii="Arial" w:hAnsi="Arial" w:cs="Arial"/>
          <w:sz w:val="24"/>
          <w:szCs w:val="24"/>
        </w:rPr>
        <w:tab/>
      </w:r>
      <w:r w:rsidR="00036990" w:rsidRPr="000C3275">
        <w:rPr>
          <w:rFonts w:ascii="Arial" w:hAnsi="Arial" w:cs="Arial"/>
          <w:sz w:val="24"/>
          <w:szCs w:val="24"/>
        </w:rPr>
        <w:t xml:space="preserve">M </w:t>
      </w:r>
      <w:proofErr w:type="spellStart"/>
      <w:r w:rsidR="00036990" w:rsidRPr="000C3275">
        <w:rPr>
          <w:rFonts w:ascii="Arial" w:hAnsi="Arial" w:cs="Arial"/>
          <w:sz w:val="24"/>
          <w:szCs w:val="24"/>
        </w:rPr>
        <w:t>Chaskalson</w:t>
      </w:r>
      <w:proofErr w:type="spellEnd"/>
      <w:r w:rsidR="00036990" w:rsidRPr="000C3275">
        <w:rPr>
          <w:rFonts w:ascii="Arial" w:hAnsi="Arial" w:cs="Arial"/>
          <w:sz w:val="24"/>
          <w:szCs w:val="24"/>
        </w:rPr>
        <w:t xml:space="preserve"> SC (with him </w:t>
      </w:r>
      <w:r w:rsidR="00036990">
        <w:rPr>
          <w:rFonts w:ascii="Arial" w:hAnsi="Arial" w:cs="Arial"/>
          <w:sz w:val="24"/>
          <w:szCs w:val="24"/>
        </w:rPr>
        <w:t>R Maa</w:t>
      </w:r>
      <w:r w:rsidR="00036990" w:rsidRPr="000C3275">
        <w:rPr>
          <w:rFonts w:ascii="Arial" w:hAnsi="Arial" w:cs="Arial"/>
          <w:sz w:val="24"/>
          <w:szCs w:val="24"/>
        </w:rPr>
        <w:t>sdorp)</w:t>
      </w:r>
    </w:p>
    <w:p w:rsidR="00036990" w:rsidRPr="000C3275" w:rsidRDefault="005F3A17" w:rsidP="00036990">
      <w:pPr>
        <w:spacing w:after="0" w:line="240" w:lineRule="auto"/>
        <w:ind w:right="4"/>
        <w:jc w:val="both"/>
        <w:rPr>
          <w:rFonts w:ascii="Arial" w:hAnsi="Arial" w:cs="Arial"/>
          <w:sz w:val="24"/>
          <w:szCs w:val="24"/>
        </w:rPr>
      </w:pPr>
      <w:r w:rsidRPr="000C3275">
        <w:rPr>
          <w:rFonts w:ascii="Arial" w:hAnsi="Arial" w:cs="Arial"/>
          <w:sz w:val="24"/>
          <w:szCs w:val="24"/>
        </w:rPr>
        <w:t>14</w:t>
      </w:r>
      <w:r w:rsidRPr="000C3275">
        <w:rPr>
          <w:rFonts w:ascii="Arial" w:hAnsi="Arial" w:cs="Arial"/>
          <w:sz w:val="24"/>
          <w:szCs w:val="24"/>
          <w:vertAlign w:val="superscript"/>
        </w:rPr>
        <w:t>TH</w:t>
      </w:r>
      <w:r w:rsidRPr="000C3275">
        <w:rPr>
          <w:rFonts w:ascii="Arial" w:hAnsi="Arial" w:cs="Arial"/>
          <w:sz w:val="24"/>
          <w:szCs w:val="24"/>
        </w:rPr>
        <w:t xml:space="preserve"> RESPONDENTS:</w:t>
      </w:r>
      <w:r w:rsidRPr="000C3275">
        <w:rPr>
          <w:rFonts w:ascii="Arial" w:hAnsi="Arial" w:cs="Arial"/>
          <w:sz w:val="24"/>
          <w:szCs w:val="24"/>
        </w:rPr>
        <w:tab/>
      </w:r>
      <w:r w:rsidR="00036990">
        <w:rPr>
          <w:rFonts w:ascii="Arial" w:hAnsi="Arial" w:cs="Arial"/>
          <w:sz w:val="24"/>
          <w:szCs w:val="24"/>
        </w:rPr>
        <w:tab/>
      </w:r>
      <w:r w:rsidR="00036990" w:rsidRPr="000C3275">
        <w:rPr>
          <w:rFonts w:ascii="Arial" w:hAnsi="Arial" w:cs="Arial"/>
          <w:sz w:val="24"/>
          <w:szCs w:val="24"/>
        </w:rPr>
        <w:t>Instructed by Van der Merwe-</w:t>
      </w:r>
      <w:proofErr w:type="spellStart"/>
      <w:r w:rsidR="00036990" w:rsidRPr="000C3275">
        <w:rPr>
          <w:rFonts w:ascii="Arial" w:hAnsi="Arial" w:cs="Arial"/>
          <w:sz w:val="24"/>
          <w:szCs w:val="24"/>
        </w:rPr>
        <w:t>Gree</w:t>
      </w:r>
      <w:r w:rsidR="00FF2629">
        <w:rPr>
          <w:rFonts w:ascii="Arial" w:hAnsi="Arial" w:cs="Arial"/>
          <w:sz w:val="24"/>
          <w:szCs w:val="24"/>
        </w:rPr>
        <w:t>f</w:t>
      </w:r>
      <w:r w:rsidR="00036990" w:rsidRPr="000C3275">
        <w:rPr>
          <w:rFonts w:ascii="Arial" w:hAnsi="Arial" w:cs="Arial"/>
          <w:sz w:val="24"/>
          <w:szCs w:val="24"/>
        </w:rPr>
        <w:t>f</w:t>
      </w:r>
      <w:proofErr w:type="spellEnd"/>
      <w:r w:rsidR="00036990" w:rsidRPr="000C3275">
        <w:rPr>
          <w:rFonts w:ascii="Arial" w:hAnsi="Arial" w:cs="Arial"/>
          <w:sz w:val="24"/>
          <w:szCs w:val="24"/>
        </w:rPr>
        <w:t xml:space="preserve"> </w:t>
      </w:r>
      <w:proofErr w:type="spellStart"/>
      <w:r w:rsidR="00036990" w:rsidRPr="000C3275">
        <w:rPr>
          <w:rFonts w:ascii="Arial" w:hAnsi="Arial" w:cs="Arial"/>
          <w:sz w:val="24"/>
          <w:szCs w:val="24"/>
        </w:rPr>
        <w:t>Andima</w:t>
      </w:r>
      <w:proofErr w:type="spellEnd"/>
      <w:r w:rsidR="00036990" w:rsidRPr="000C3275">
        <w:rPr>
          <w:rFonts w:ascii="Arial" w:hAnsi="Arial" w:cs="Arial"/>
          <w:sz w:val="24"/>
          <w:szCs w:val="24"/>
        </w:rPr>
        <w:t xml:space="preserve"> </w:t>
      </w:r>
      <w:proofErr w:type="spellStart"/>
      <w:r w:rsidR="00036990" w:rsidRPr="000C3275">
        <w:rPr>
          <w:rFonts w:ascii="Arial" w:hAnsi="Arial" w:cs="Arial"/>
          <w:sz w:val="24"/>
          <w:szCs w:val="24"/>
        </w:rPr>
        <w:t>Inc</w:t>
      </w:r>
      <w:proofErr w:type="spellEnd"/>
      <w:r w:rsidR="00036990" w:rsidRPr="000C3275">
        <w:rPr>
          <w:rFonts w:ascii="Arial" w:hAnsi="Arial" w:cs="Arial"/>
          <w:sz w:val="24"/>
          <w:szCs w:val="24"/>
        </w:rPr>
        <w:t xml:space="preserve"> </w:t>
      </w:r>
    </w:p>
    <w:p w:rsidR="00D67D1B" w:rsidRPr="00F2267F" w:rsidRDefault="00D67D1B" w:rsidP="00036990">
      <w:pPr>
        <w:spacing w:after="0" w:line="480" w:lineRule="auto"/>
        <w:ind w:left="3544" w:right="6" w:hanging="3544"/>
        <w:jc w:val="both"/>
        <w:rPr>
          <w:rFonts w:ascii="Arial" w:hAnsi="Arial" w:cs="Arial"/>
          <w:sz w:val="24"/>
          <w:szCs w:val="24"/>
        </w:rPr>
      </w:pPr>
    </w:p>
    <w:p w:rsidR="00D67D1B" w:rsidRPr="000C3275" w:rsidRDefault="0026707A" w:rsidP="00F2267F">
      <w:pPr>
        <w:tabs>
          <w:tab w:val="left" w:pos="3544"/>
        </w:tabs>
        <w:spacing w:after="0" w:line="240" w:lineRule="auto"/>
        <w:ind w:right="6"/>
        <w:jc w:val="both"/>
        <w:rPr>
          <w:rFonts w:ascii="Arial" w:hAnsi="Arial" w:cs="Arial"/>
          <w:sz w:val="24"/>
          <w:szCs w:val="24"/>
        </w:rPr>
      </w:pPr>
      <w:r w:rsidRPr="000C3275">
        <w:rPr>
          <w:rFonts w:ascii="Arial" w:hAnsi="Arial" w:cs="Arial"/>
          <w:sz w:val="24"/>
          <w:szCs w:val="24"/>
        </w:rPr>
        <w:t>8</w:t>
      </w:r>
      <w:r w:rsidRPr="000C3275">
        <w:rPr>
          <w:rFonts w:ascii="Arial" w:hAnsi="Arial" w:cs="Arial"/>
          <w:sz w:val="24"/>
          <w:szCs w:val="24"/>
          <w:vertAlign w:val="superscript"/>
        </w:rPr>
        <w:t>TH</w:t>
      </w:r>
      <w:r w:rsidR="00903AB1">
        <w:rPr>
          <w:rFonts w:ascii="Arial" w:hAnsi="Arial" w:cs="Arial"/>
          <w:sz w:val="24"/>
          <w:szCs w:val="24"/>
        </w:rPr>
        <w:t xml:space="preserve"> &amp;</w:t>
      </w:r>
      <w:r w:rsidRPr="000C3275">
        <w:rPr>
          <w:rFonts w:ascii="Arial" w:hAnsi="Arial" w:cs="Arial"/>
          <w:sz w:val="24"/>
          <w:szCs w:val="24"/>
          <w:vertAlign w:val="superscript"/>
        </w:rPr>
        <w:t xml:space="preserve"> </w:t>
      </w:r>
      <w:r w:rsidR="00F2267F">
        <w:rPr>
          <w:rFonts w:ascii="Arial" w:hAnsi="Arial" w:cs="Arial"/>
          <w:sz w:val="24"/>
          <w:szCs w:val="24"/>
        </w:rPr>
        <w:t>16</w:t>
      </w:r>
      <w:r w:rsidRPr="000C3275">
        <w:rPr>
          <w:rFonts w:ascii="Arial" w:hAnsi="Arial" w:cs="Arial"/>
          <w:sz w:val="24"/>
          <w:szCs w:val="24"/>
          <w:vertAlign w:val="superscript"/>
        </w:rPr>
        <w:t>TH</w:t>
      </w:r>
      <w:r w:rsidR="005F3A17" w:rsidRPr="000C3275">
        <w:rPr>
          <w:rFonts w:ascii="Arial" w:hAnsi="Arial" w:cs="Arial"/>
          <w:sz w:val="24"/>
          <w:szCs w:val="24"/>
        </w:rPr>
        <w:t xml:space="preserve"> RESPONDENTS</w:t>
      </w:r>
      <w:r w:rsidR="00F2267F">
        <w:rPr>
          <w:rFonts w:ascii="Arial" w:hAnsi="Arial" w:cs="Arial"/>
          <w:sz w:val="24"/>
          <w:szCs w:val="24"/>
        </w:rPr>
        <w:t>:</w:t>
      </w:r>
      <w:r w:rsidR="00F2267F">
        <w:rPr>
          <w:rFonts w:ascii="Arial" w:hAnsi="Arial" w:cs="Arial"/>
          <w:sz w:val="24"/>
          <w:szCs w:val="24"/>
        </w:rPr>
        <w:tab/>
      </w:r>
      <w:r w:rsidR="00C53D44" w:rsidRPr="000C3275">
        <w:rPr>
          <w:rFonts w:ascii="Arial" w:hAnsi="Arial" w:cs="Arial"/>
          <w:sz w:val="24"/>
          <w:szCs w:val="24"/>
        </w:rPr>
        <w:t xml:space="preserve">R </w:t>
      </w:r>
      <w:proofErr w:type="spellStart"/>
      <w:r w:rsidR="00D67D1B" w:rsidRPr="000C3275">
        <w:rPr>
          <w:rFonts w:ascii="Arial" w:hAnsi="Arial" w:cs="Arial"/>
          <w:sz w:val="24"/>
          <w:szCs w:val="24"/>
        </w:rPr>
        <w:t>T</w:t>
      </w:r>
      <w:r w:rsidR="00C53D44" w:rsidRPr="000C3275">
        <w:rPr>
          <w:rFonts w:ascii="Arial" w:hAnsi="Arial" w:cs="Arial"/>
          <w:sz w:val="24"/>
          <w:szCs w:val="24"/>
        </w:rPr>
        <w:t>ӧ</w:t>
      </w:r>
      <w:r w:rsidR="004F4013">
        <w:rPr>
          <w:rFonts w:ascii="Arial" w:hAnsi="Arial" w:cs="Arial"/>
          <w:sz w:val="24"/>
          <w:szCs w:val="24"/>
        </w:rPr>
        <w:t>te</w:t>
      </w:r>
      <w:r w:rsidR="00FD4698">
        <w:rPr>
          <w:rFonts w:ascii="Arial" w:hAnsi="Arial" w:cs="Arial"/>
          <w:sz w:val="24"/>
          <w:szCs w:val="24"/>
        </w:rPr>
        <w:t>meyer</w:t>
      </w:r>
      <w:proofErr w:type="spellEnd"/>
      <w:r w:rsidR="00D67D1B" w:rsidRPr="000C3275">
        <w:rPr>
          <w:rFonts w:ascii="Arial" w:hAnsi="Arial" w:cs="Arial"/>
          <w:sz w:val="24"/>
          <w:szCs w:val="24"/>
        </w:rPr>
        <w:t xml:space="preserve"> (</w:t>
      </w:r>
      <w:r w:rsidR="00C53D44" w:rsidRPr="000C3275">
        <w:rPr>
          <w:rFonts w:ascii="Arial" w:hAnsi="Arial" w:cs="Arial"/>
          <w:sz w:val="24"/>
          <w:szCs w:val="24"/>
        </w:rPr>
        <w:t xml:space="preserve">with him </w:t>
      </w:r>
      <w:r w:rsidR="00D67D1B" w:rsidRPr="000C3275">
        <w:rPr>
          <w:rFonts w:ascii="Arial" w:hAnsi="Arial" w:cs="Arial"/>
          <w:sz w:val="24"/>
          <w:szCs w:val="24"/>
        </w:rPr>
        <w:t xml:space="preserve">D </w:t>
      </w:r>
      <w:proofErr w:type="spellStart"/>
      <w:r w:rsidR="00D67D1B" w:rsidRPr="000C3275">
        <w:rPr>
          <w:rFonts w:ascii="Arial" w:hAnsi="Arial" w:cs="Arial"/>
          <w:sz w:val="24"/>
          <w:szCs w:val="24"/>
        </w:rPr>
        <w:t>Obbes</w:t>
      </w:r>
      <w:proofErr w:type="spellEnd"/>
      <w:r w:rsidR="00D67D1B" w:rsidRPr="000C3275">
        <w:rPr>
          <w:rFonts w:ascii="Arial" w:hAnsi="Arial" w:cs="Arial"/>
          <w:sz w:val="24"/>
          <w:szCs w:val="24"/>
        </w:rPr>
        <w:t>)</w:t>
      </w:r>
    </w:p>
    <w:p w:rsidR="00D67D1B" w:rsidRPr="000C3275" w:rsidRDefault="005F3A17" w:rsidP="00D75298">
      <w:pPr>
        <w:spacing w:after="0" w:line="240" w:lineRule="auto"/>
        <w:ind w:left="2880" w:right="6" w:firstLine="720"/>
        <w:jc w:val="both"/>
        <w:rPr>
          <w:rFonts w:ascii="Arial" w:hAnsi="Arial" w:cs="Arial"/>
          <w:sz w:val="24"/>
          <w:szCs w:val="24"/>
        </w:rPr>
      </w:pPr>
      <w:r w:rsidRPr="000C3275">
        <w:rPr>
          <w:rFonts w:ascii="Arial" w:hAnsi="Arial" w:cs="Arial"/>
          <w:sz w:val="24"/>
          <w:szCs w:val="24"/>
        </w:rPr>
        <w:t xml:space="preserve">Instructed by </w:t>
      </w:r>
      <w:proofErr w:type="spellStart"/>
      <w:r w:rsidR="00D75298" w:rsidRPr="000C3275">
        <w:rPr>
          <w:rFonts w:ascii="Arial" w:hAnsi="Arial" w:cs="Arial"/>
          <w:sz w:val="24"/>
          <w:szCs w:val="24"/>
        </w:rPr>
        <w:t>Engling</w:t>
      </w:r>
      <w:proofErr w:type="spellEnd"/>
      <w:r w:rsidR="00D75298" w:rsidRPr="000C3275">
        <w:rPr>
          <w:rFonts w:ascii="Arial" w:hAnsi="Arial" w:cs="Arial"/>
          <w:sz w:val="24"/>
          <w:szCs w:val="24"/>
        </w:rPr>
        <w:t xml:space="preserve"> </w:t>
      </w:r>
      <w:proofErr w:type="spellStart"/>
      <w:r w:rsidR="00D75298" w:rsidRPr="000C3275">
        <w:rPr>
          <w:rFonts w:ascii="Arial" w:hAnsi="Arial" w:cs="Arial"/>
          <w:sz w:val="24"/>
          <w:szCs w:val="24"/>
        </w:rPr>
        <w:t>Stritter</w:t>
      </w:r>
      <w:proofErr w:type="spellEnd"/>
      <w:r w:rsidR="00D75298" w:rsidRPr="000C3275">
        <w:rPr>
          <w:rFonts w:ascii="Arial" w:hAnsi="Arial" w:cs="Arial"/>
          <w:sz w:val="24"/>
          <w:szCs w:val="24"/>
        </w:rPr>
        <w:t xml:space="preserve"> and Partners</w:t>
      </w:r>
    </w:p>
    <w:p w:rsidR="00D67D1B" w:rsidRPr="000C3275" w:rsidRDefault="00D67D1B" w:rsidP="00D67D1B">
      <w:pPr>
        <w:spacing w:before="100" w:beforeAutospacing="1" w:after="100" w:afterAutospacing="1" w:line="360" w:lineRule="auto"/>
        <w:jc w:val="both"/>
        <w:rPr>
          <w:rFonts w:ascii="Arial" w:hAnsi="Arial" w:cs="Arial"/>
          <w:sz w:val="24"/>
          <w:szCs w:val="24"/>
        </w:rPr>
      </w:pPr>
    </w:p>
    <w:sectPr w:rsidR="00D67D1B" w:rsidRPr="000C3275" w:rsidSect="00902703">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D4" w:rsidRDefault="008468D4" w:rsidP="00A90E41">
      <w:pPr>
        <w:spacing w:after="0" w:line="240" w:lineRule="auto"/>
      </w:pPr>
      <w:r>
        <w:separator/>
      </w:r>
    </w:p>
  </w:endnote>
  <w:endnote w:type="continuationSeparator" w:id="0">
    <w:p w:rsidR="008468D4" w:rsidRDefault="008468D4" w:rsidP="00A9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D4" w:rsidRDefault="008468D4" w:rsidP="00A90E41">
      <w:pPr>
        <w:spacing w:after="0" w:line="240" w:lineRule="auto"/>
      </w:pPr>
      <w:r>
        <w:separator/>
      </w:r>
    </w:p>
  </w:footnote>
  <w:footnote w:type="continuationSeparator" w:id="0">
    <w:p w:rsidR="008468D4" w:rsidRDefault="008468D4" w:rsidP="00A90E41">
      <w:pPr>
        <w:spacing w:after="0" w:line="240" w:lineRule="auto"/>
      </w:pPr>
      <w:r>
        <w:continuationSeparator/>
      </w:r>
    </w:p>
  </w:footnote>
  <w:footnote w:id="1">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The respective parties they represented and their juniors appears more fully at the end of the judgment.</w:t>
      </w:r>
    </w:p>
  </w:footnote>
  <w:footnote w:id="2">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Section 2.</w:t>
      </w:r>
    </w:p>
  </w:footnote>
  <w:footnote w:id="3">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Section 20(</w:t>
      </w:r>
      <w:r w:rsidRPr="00D10221">
        <w:rPr>
          <w:rFonts w:ascii="Arial" w:hAnsi="Arial" w:cs="Arial"/>
          <w:i/>
          <w:color w:val="000000" w:themeColor="text1"/>
        </w:rPr>
        <w:t>a</w:t>
      </w:r>
      <w:r w:rsidRPr="00D10221">
        <w:rPr>
          <w:rFonts w:ascii="Arial" w:hAnsi="Arial" w:cs="Arial"/>
          <w:color w:val="000000" w:themeColor="text1"/>
        </w:rPr>
        <w:t>).</w:t>
      </w:r>
    </w:p>
  </w:footnote>
  <w:footnote w:id="4">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Section 22(a</w:t>
      </w:r>
      <w:proofErr w:type="gramStart"/>
      <w:r w:rsidRPr="00D10221">
        <w:rPr>
          <w:rFonts w:ascii="Arial" w:hAnsi="Arial" w:cs="Arial"/>
          <w:color w:val="000000" w:themeColor="text1"/>
        </w:rPr>
        <w:t>)(</w:t>
      </w:r>
      <w:proofErr w:type="spellStart"/>
      <w:proofErr w:type="gramEnd"/>
      <w:r w:rsidRPr="008D3D48">
        <w:rPr>
          <w:rFonts w:ascii="Arial" w:hAnsi="Arial" w:cs="Arial"/>
          <w:i/>
          <w:color w:val="000000" w:themeColor="text1"/>
        </w:rPr>
        <w:t>i</w:t>
      </w:r>
      <w:proofErr w:type="spellEnd"/>
      <w:r w:rsidRPr="008D3D48">
        <w:rPr>
          <w:rFonts w:ascii="Arial" w:hAnsi="Arial" w:cs="Arial"/>
          <w:i/>
          <w:color w:val="000000" w:themeColor="text1"/>
        </w:rPr>
        <w:t>)</w:t>
      </w:r>
      <w:r w:rsidRPr="00D10221">
        <w:rPr>
          <w:rFonts w:ascii="Arial" w:hAnsi="Arial" w:cs="Arial"/>
          <w:color w:val="000000" w:themeColor="text1"/>
        </w:rPr>
        <w:t>.</w:t>
      </w:r>
    </w:p>
  </w:footnote>
  <w:footnote w:id="5">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In terms of s 23(3), </w:t>
      </w:r>
      <w:r w:rsidRPr="00D10221">
        <w:rPr>
          <w:rFonts w:ascii="Arial" w:hAnsi="Arial" w:cs="Arial"/>
          <w:color w:val="000000" w:themeColor="text1"/>
          <w:lang w:val="en-GB"/>
        </w:rPr>
        <w:t>the State holds more than 50% of the shares in the NNRC through the Minister of Finance.</w:t>
      </w:r>
    </w:p>
  </w:footnote>
  <w:footnote w:id="6">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Pr>
          <w:rFonts w:ascii="Arial" w:hAnsi="Arial" w:cs="Arial"/>
          <w:color w:val="000000" w:themeColor="text1"/>
        </w:rPr>
        <w:t xml:space="preserve"> Section 39</w:t>
      </w:r>
      <w:r w:rsidRPr="00D10221">
        <w:rPr>
          <w:rFonts w:ascii="Arial" w:hAnsi="Arial" w:cs="Arial"/>
          <w:color w:val="000000" w:themeColor="text1"/>
        </w:rPr>
        <w:t>(2).</w:t>
      </w:r>
    </w:p>
  </w:footnote>
  <w:footnote w:id="7">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Issued under s 47 of the </w:t>
      </w:r>
      <w:proofErr w:type="spellStart"/>
      <w:r w:rsidRPr="00D10221">
        <w:rPr>
          <w:rFonts w:ascii="Arial" w:hAnsi="Arial" w:cs="Arial"/>
          <w:color w:val="000000" w:themeColor="text1"/>
        </w:rPr>
        <w:t>NAMRe</w:t>
      </w:r>
      <w:proofErr w:type="spellEnd"/>
      <w:r w:rsidRPr="00D10221">
        <w:rPr>
          <w:rFonts w:ascii="Arial" w:hAnsi="Arial" w:cs="Arial"/>
          <w:color w:val="000000" w:themeColor="text1"/>
        </w:rPr>
        <w:t xml:space="preserve"> Act.</w:t>
      </w:r>
    </w:p>
  </w:footnote>
  <w:footnote w:id="8">
    <w:p w:rsidR="00DA4DDA" w:rsidRPr="00D10221" w:rsidRDefault="00DA4DDA" w:rsidP="00EC26F8">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On the principles for collateral challenge enunciated in, for example, </w:t>
      </w:r>
      <w:r w:rsidRPr="00AC3E19">
        <w:rPr>
          <w:rFonts w:ascii="Arial" w:hAnsi="Arial" w:cs="Arial"/>
          <w:i/>
          <w:color w:val="000000" w:themeColor="text1"/>
        </w:rPr>
        <w:t>Black Range Mining v Minister of Mines and Energy</w:t>
      </w:r>
      <w:r w:rsidRPr="00D10221">
        <w:rPr>
          <w:rFonts w:ascii="Arial" w:hAnsi="Arial" w:cs="Arial"/>
          <w:color w:val="000000" w:themeColor="text1"/>
        </w:rPr>
        <w:t xml:space="preserve"> 2014 (2) NR 320 (SC).</w:t>
      </w:r>
    </w:p>
  </w:footnote>
  <w:footnote w:id="9">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Compare </w:t>
      </w:r>
      <w:proofErr w:type="spellStart"/>
      <w:r w:rsidRPr="00D10221">
        <w:rPr>
          <w:rFonts w:ascii="Arial" w:hAnsi="Arial" w:cs="Arial"/>
          <w:i/>
          <w:color w:val="000000" w:themeColor="text1"/>
        </w:rPr>
        <w:t>Shetu</w:t>
      </w:r>
      <w:proofErr w:type="spellEnd"/>
      <w:r w:rsidRPr="00D10221">
        <w:rPr>
          <w:rFonts w:ascii="Arial" w:hAnsi="Arial" w:cs="Arial"/>
          <w:i/>
          <w:color w:val="000000" w:themeColor="text1"/>
        </w:rPr>
        <w:t xml:space="preserve"> Trading CC v Chair, Tender Board of Namibia and Others</w:t>
      </w:r>
      <w:r w:rsidRPr="00D10221">
        <w:rPr>
          <w:rFonts w:ascii="Arial" w:hAnsi="Arial" w:cs="Arial"/>
          <w:color w:val="000000" w:themeColor="text1"/>
        </w:rPr>
        <w:t xml:space="preserve"> 2012 (1) NR 162 (SC) at 174D-176C; Di </w:t>
      </w:r>
      <w:proofErr w:type="spellStart"/>
      <w:r w:rsidRPr="00D10221">
        <w:rPr>
          <w:rFonts w:ascii="Arial" w:hAnsi="Arial" w:cs="Arial"/>
          <w:i/>
          <w:color w:val="000000" w:themeColor="text1"/>
        </w:rPr>
        <w:t>Savino</w:t>
      </w:r>
      <w:proofErr w:type="spellEnd"/>
      <w:r w:rsidRPr="00D10221">
        <w:rPr>
          <w:rFonts w:ascii="Arial" w:hAnsi="Arial" w:cs="Arial"/>
          <w:i/>
          <w:color w:val="000000" w:themeColor="text1"/>
        </w:rPr>
        <w:t xml:space="preserve"> v Nedbank Namibia Limited </w:t>
      </w:r>
      <w:r w:rsidRPr="00D10221">
        <w:rPr>
          <w:rFonts w:ascii="Arial" w:hAnsi="Arial" w:cs="Arial"/>
          <w:color w:val="000000" w:themeColor="text1"/>
        </w:rPr>
        <w:t xml:space="preserve">2017 (3) NR 880 (SC) at 891G-895G and </w:t>
      </w:r>
      <w:proofErr w:type="spellStart"/>
      <w:r w:rsidRPr="00D10221">
        <w:rPr>
          <w:rFonts w:ascii="Arial" w:hAnsi="Arial" w:cs="Arial"/>
          <w:i/>
          <w:color w:val="000000" w:themeColor="text1"/>
        </w:rPr>
        <w:t>Zweni</w:t>
      </w:r>
      <w:proofErr w:type="spellEnd"/>
      <w:r w:rsidRPr="00D10221">
        <w:rPr>
          <w:rFonts w:ascii="Arial" w:hAnsi="Arial" w:cs="Arial"/>
          <w:i/>
          <w:color w:val="000000" w:themeColor="text1"/>
        </w:rPr>
        <w:t xml:space="preserve"> v Minister of Law and Order</w:t>
      </w:r>
      <w:r w:rsidRPr="00D10221">
        <w:rPr>
          <w:rFonts w:ascii="Arial" w:hAnsi="Arial" w:cs="Arial"/>
          <w:color w:val="000000" w:themeColor="text1"/>
        </w:rPr>
        <w:t xml:space="preserve"> 1993 (1) SA 523</w:t>
      </w:r>
      <w:r>
        <w:rPr>
          <w:rFonts w:ascii="Arial" w:hAnsi="Arial" w:cs="Arial"/>
          <w:color w:val="000000" w:themeColor="text1"/>
        </w:rPr>
        <w:t xml:space="preserve"> </w:t>
      </w:r>
      <w:r w:rsidRPr="00D10221">
        <w:rPr>
          <w:rFonts w:ascii="Arial" w:hAnsi="Arial" w:cs="Arial"/>
          <w:color w:val="000000" w:themeColor="text1"/>
        </w:rPr>
        <w:t>(A) at 531I-533B.</w:t>
      </w:r>
    </w:p>
  </w:footnote>
  <w:footnote w:id="10">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Which states: ‘A decision of the Supreme Court shall be binding on all other Courts of Namibia and all persons in Namibia unless it is reversed by the Supreme Court itself, or is contradicted by an Act of Parliament lawfully enacted’. For an interpretation of the Article, see </w:t>
      </w:r>
      <w:r w:rsidRPr="00D10221">
        <w:rPr>
          <w:rFonts w:ascii="Arial" w:hAnsi="Arial" w:cs="Arial"/>
          <w:i/>
          <w:color w:val="000000" w:themeColor="text1"/>
        </w:rPr>
        <w:t xml:space="preserve">S v </w:t>
      </w:r>
      <w:proofErr w:type="spellStart"/>
      <w:r w:rsidRPr="00D10221">
        <w:rPr>
          <w:rFonts w:ascii="Arial" w:hAnsi="Arial" w:cs="Arial"/>
          <w:i/>
          <w:color w:val="000000" w:themeColor="text1"/>
        </w:rPr>
        <w:t>Likanyi</w:t>
      </w:r>
      <w:proofErr w:type="spellEnd"/>
      <w:r w:rsidRPr="00D10221">
        <w:rPr>
          <w:rFonts w:ascii="Arial" w:hAnsi="Arial" w:cs="Arial"/>
          <w:color w:val="000000" w:themeColor="text1"/>
        </w:rPr>
        <w:t xml:space="preserve"> 2017 (3) NR 771</w:t>
      </w:r>
      <w:r>
        <w:rPr>
          <w:rFonts w:ascii="Arial" w:hAnsi="Arial" w:cs="Arial"/>
          <w:color w:val="000000" w:themeColor="text1"/>
        </w:rPr>
        <w:t xml:space="preserve"> </w:t>
      </w:r>
      <w:r w:rsidRPr="00D10221">
        <w:rPr>
          <w:rFonts w:ascii="Arial" w:hAnsi="Arial" w:cs="Arial"/>
          <w:color w:val="000000" w:themeColor="text1"/>
        </w:rPr>
        <w:t>(SC) at 781A-I.</w:t>
      </w:r>
    </w:p>
  </w:footnote>
  <w:footnote w:id="11">
    <w:p w:rsidR="00DA4DDA" w:rsidRPr="00D10221" w:rsidRDefault="00DA4DDA" w:rsidP="008474BC">
      <w:pPr>
        <w:pStyle w:val="FootnoteText"/>
        <w:jc w:val="both"/>
        <w:rPr>
          <w:rFonts w:ascii="Arial" w:hAnsi="Arial" w:cs="Arial"/>
          <w:color w:val="000000" w:themeColor="text1"/>
          <w:lang w:val="en-ZA"/>
        </w:rPr>
      </w:pPr>
      <w:r w:rsidRPr="00D10221">
        <w:rPr>
          <w:rStyle w:val="FootnoteReference"/>
          <w:rFonts w:ascii="Arial" w:hAnsi="Arial" w:cs="Arial"/>
          <w:color w:val="000000" w:themeColor="text1"/>
        </w:rPr>
        <w:footnoteRef/>
      </w:r>
      <w:r w:rsidRPr="00D10221">
        <w:rPr>
          <w:rFonts w:ascii="Arial" w:hAnsi="Arial" w:cs="Arial"/>
          <w:color w:val="000000" w:themeColor="text1"/>
          <w:lang w:val="en-ZA"/>
        </w:rPr>
        <w:t xml:space="preserve">See </w:t>
      </w:r>
      <w:r w:rsidRPr="00D10221">
        <w:rPr>
          <w:rFonts w:ascii="Arial" w:hAnsi="Arial" w:cs="Arial"/>
          <w:i/>
          <w:color w:val="000000" w:themeColor="text1"/>
          <w:lang w:val="en-ZA"/>
        </w:rPr>
        <w:t xml:space="preserve">S v </w:t>
      </w:r>
      <w:proofErr w:type="spellStart"/>
      <w:r w:rsidRPr="00D10221">
        <w:rPr>
          <w:rFonts w:ascii="Arial" w:hAnsi="Arial" w:cs="Arial"/>
          <w:i/>
          <w:color w:val="000000" w:themeColor="text1"/>
          <w:lang w:val="en-ZA"/>
        </w:rPr>
        <w:t>Munuma</w:t>
      </w:r>
      <w:proofErr w:type="spellEnd"/>
      <w:r w:rsidRPr="00D10221">
        <w:rPr>
          <w:rFonts w:ascii="Arial" w:hAnsi="Arial" w:cs="Arial"/>
          <w:color w:val="000000" w:themeColor="text1"/>
          <w:lang w:val="en-ZA"/>
        </w:rPr>
        <w:t xml:space="preserve"> 2013 (4) NR 1156 (SC) at 1162D-F and </w:t>
      </w:r>
      <w:r w:rsidRPr="00D10221">
        <w:rPr>
          <w:rFonts w:ascii="Arial" w:hAnsi="Arial" w:cs="Arial"/>
          <w:i/>
          <w:color w:val="000000" w:themeColor="text1"/>
          <w:lang w:val="en-ZA"/>
        </w:rPr>
        <w:t>President of the Republic of South Africa and other v South African Rugby Football Union and other</w:t>
      </w:r>
      <w:r w:rsidRPr="00D10221">
        <w:rPr>
          <w:rFonts w:ascii="Arial" w:hAnsi="Arial" w:cs="Arial"/>
          <w:color w:val="000000" w:themeColor="text1"/>
          <w:lang w:val="en-ZA"/>
        </w:rPr>
        <w:t>s 1999 (4) SA 147</w:t>
      </w:r>
      <w:r>
        <w:rPr>
          <w:rFonts w:ascii="Arial" w:hAnsi="Arial" w:cs="Arial"/>
          <w:color w:val="000000" w:themeColor="text1"/>
          <w:lang w:val="en-ZA"/>
        </w:rPr>
        <w:t xml:space="preserve"> </w:t>
      </w:r>
      <w:r w:rsidRPr="00D10221">
        <w:rPr>
          <w:rFonts w:ascii="Arial" w:hAnsi="Arial" w:cs="Arial"/>
          <w:color w:val="000000" w:themeColor="text1"/>
          <w:lang w:val="en-ZA"/>
        </w:rPr>
        <w:t xml:space="preserve">(CC) at 175B-C (SARFU). </w:t>
      </w:r>
    </w:p>
  </w:footnote>
  <w:footnote w:id="12">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Which vests the Supreme Court with ‘inherent jurisdiction’ of a superior court of record.</w:t>
      </w:r>
    </w:p>
  </w:footnote>
  <w:footnote w:id="13">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F44FA2">
        <w:rPr>
          <w:rFonts w:ascii="Arial" w:hAnsi="Arial" w:cs="Arial"/>
          <w:i/>
          <w:color w:val="000000" w:themeColor="text1"/>
        </w:rPr>
        <w:t xml:space="preserve">S v </w:t>
      </w:r>
      <w:proofErr w:type="spellStart"/>
      <w:r w:rsidRPr="00F44FA2">
        <w:rPr>
          <w:rFonts w:ascii="Arial" w:hAnsi="Arial" w:cs="Arial"/>
          <w:i/>
          <w:color w:val="000000" w:themeColor="text1"/>
        </w:rPr>
        <w:t>Stewe</w:t>
      </w:r>
      <w:proofErr w:type="spellEnd"/>
      <w:r w:rsidRPr="00D10221">
        <w:rPr>
          <w:rFonts w:ascii="Arial" w:hAnsi="Arial" w:cs="Arial"/>
          <w:color w:val="000000" w:themeColor="text1"/>
        </w:rPr>
        <w:t xml:space="preserve"> (SA 2-2018) [2019] NASC (15 March 2019), para 12 and 13.</w:t>
      </w:r>
    </w:p>
  </w:footnote>
  <w:footnote w:id="14">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D10221">
        <w:rPr>
          <w:rFonts w:ascii="Arial" w:hAnsi="Arial" w:cs="Arial"/>
          <w:i/>
          <w:color w:val="000000" w:themeColor="text1"/>
        </w:rPr>
        <w:t xml:space="preserve">Ex parte Pinochet </w:t>
      </w:r>
      <w:proofErr w:type="spellStart"/>
      <w:r w:rsidRPr="00D10221">
        <w:rPr>
          <w:rFonts w:ascii="Arial" w:hAnsi="Arial" w:cs="Arial"/>
          <w:i/>
          <w:color w:val="000000" w:themeColor="text1"/>
        </w:rPr>
        <w:t>Ugarte</w:t>
      </w:r>
      <w:proofErr w:type="spellEnd"/>
      <w:r w:rsidRPr="00D10221">
        <w:rPr>
          <w:rFonts w:ascii="Arial" w:hAnsi="Arial" w:cs="Arial"/>
          <w:color w:val="000000" w:themeColor="text1"/>
        </w:rPr>
        <w:t xml:space="preserve"> (No 2), at 587E-F.</w:t>
      </w:r>
    </w:p>
  </w:footnote>
  <w:footnote w:id="15">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Ibid, at 588E-J.</w:t>
      </w:r>
    </w:p>
  </w:footnote>
  <w:footnote w:id="16">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1992 (3) SA 673 (A) at 690A-B.</w:t>
      </w:r>
    </w:p>
  </w:footnote>
  <w:footnote w:id="17">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See para [87] below for how this is relevant.</w:t>
      </w:r>
    </w:p>
  </w:footnote>
  <w:footnote w:id="18">
    <w:p w:rsidR="00DA4DDA" w:rsidRPr="00D10221" w:rsidRDefault="00DA4DDA" w:rsidP="00EC26F8">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Pr>
          <w:rFonts w:ascii="Arial" w:hAnsi="Arial" w:cs="Arial"/>
          <w:color w:val="000000" w:themeColor="text1"/>
        </w:rPr>
        <w:t>This was only a tender and not an application to lead evidence, which was resisted by the applicants and had the potential to unduly sidetrack the court from a consideration of the real dispute between the parties.</w:t>
      </w:r>
    </w:p>
  </w:footnote>
  <w:footnote w:id="19">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Compare: </w:t>
      </w:r>
      <w:proofErr w:type="spellStart"/>
      <w:r w:rsidRPr="00D10221">
        <w:rPr>
          <w:rFonts w:ascii="Arial" w:hAnsi="Arial" w:cs="Arial"/>
          <w:i/>
          <w:color w:val="000000" w:themeColor="text1"/>
        </w:rPr>
        <w:t>Locabali</w:t>
      </w:r>
      <w:proofErr w:type="spellEnd"/>
      <w:r w:rsidRPr="00D10221">
        <w:rPr>
          <w:rFonts w:ascii="Arial" w:hAnsi="Arial" w:cs="Arial"/>
          <w:i/>
          <w:color w:val="000000" w:themeColor="text1"/>
        </w:rPr>
        <w:t xml:space="preserve"> (UK) Ltd v </w:t>
      </w:r>
      <w:proofErr w:type="spellStart"/>
      <w:r w:rsidRPr="00D10221">
        <w:rPr>
          <w:rFonts w:ascii="Arial" w:hAnsi="Arial" w:cs="Arial"/>
          <w:i/>
          <w:color w:val="000000" w:themeColor="text1"/>
        </w:rPr>
        <w:t>Baysfield</w:t>
      </w:r>
      <w:proofErr w:type="spellEnd"/>
      <w:r w:rsidRPr="00D10221">
        <w:rPr>
          <w:rFonts w:ascii="Arial" w:hAnsi="Arial" w:cs="Arial"/>
          <w:i/>
          <w:color w:val="000000" w:themeColor="text1"/>
        </w:rPr>
        <w:t xml:space="preserve"> Properties</w:t>
      </w:r>
      <w:r w:rsidRPr="00D10221">
        <w:rPr>
          <w:rFonts w:ascii="Arial" w:hAnsi="Arial" w:cs="Arial"/>
          <w:color w:val="000000" w:themeColor="text1"/>
        </w:rPr>
        <w:t xml:space="preserve"> (and similar cases) [2000] 1 All</w:t>
      </w:r>
      <w:r>
        <w:rPr>
          <w:rFonts w:ascii="Arial" w:hAnsi="Arial" w:cs="Arial"/>
          <w:color w:val="000000" w:themeColor="text1"/>
        </w:rPr>
        <w:t xml:space="preserve"> </w:t>
      </w:r>
      <w:r w:rsidRPr="00D10221">
        <w:rPr>
          <w:rFonts w:ascii="Arial" w:hAnsi="Arial" w:cs="Arial"/>
          <w:color w:val="000000" w:themeColor="text1"/>
        </w:rPr>
        <w:t>ER 65 (CA).</w:t>
      </w:r>
    </w:p>
  </w:footnote>
  <w:footnote w:id="20">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2011 (3) SA 92 (CC).</w:t>
      </w:r>
    </w:p>
  </w:footnote>
  <w:footnote w:id="21">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2011 (3) SA 92 (CC) at para 78 </w:t>
      </w:r>
    </w:p>
  </w:footnote>
  <w:footnote w:id="22">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See 588E- F.</w:t>
      </w:r>
    </w:p>
  </w:footnote>
  <w:footnote w:id="23">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Showing that the respondents in the 1999 litigation in </w:t>
      </w:r>
      <w:r w:rsidRPr="00D10221">
        <w:rPr>
          <w:rFonts w:ascii="Arial" w:hAnsi="Arial" w:cs="Arial"/>
          <w:i/>
          <w:color w:val="000000" w:themeColor="text1"/>
        </w:rPr>
        <w:t>Namibia Insurance Association v Government of Namibia</w:t>
      </w:r>
      <w:r w:rsidRPr="00D10221">
        <w:rPr>
          <w:rFonts w:ascii="Arial" w:hAnsi="Arial" w:cs="Arial"/>
          <w:color w:val="000000" w:themeColor="text1"/>
        </w:rPr>
        <w:t xml:space="preserve"> 2001 NR 1 at 4C-D are the Government of Namibia, </w:t>
      </w:r>
      <w:proofErr w:type="spellStart"/>
      <w:r w:rsidRPr="00D10221">
        <w:rPr>
          <w:rFonts w:ascii="Arial" w:hAnsi="Arial" w:cs="Arial"/>
          <w:color w:val="000000" w:themeColor="text1"/>
        </w:rPr>
        <w:t>NAMRe</w:t>
      </w:r>
      <w:proofErr w:type="spellEnd"/>
      <w:r w:rsidRPr="00D10221">
        <w:rPr>
          <w:rFonts w:ascii="Arial" w:hAnsi="Arial" w:cs="Arial"/>
          <w:color w:val="000000" w:themeColor="text1"/>
        </w:rPr>
        <w:t xml:space="preserve"> and the Minister of Finance.</w:t>
      </w:r>
    </w:p>
  </w:footnote>
  <w:footnote w:id="24">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2017 (2) NR 544 (SC).</w:t>
      </w:r>
    </w:p>
  </w:footnote>
  <w:footnote w:id="25">
    <w:p w:rsidR="00DA4DDA" w:rsidRPr="00AC3E19" w:rsidRDefault="00DA4DDA">
      <w:pPr>
        <w:pStyle w:val="FootnoteText"/>
        <w:rPr>
          <w:rFonts w:ascii="Arial" w:hAnsi="Arial" w:cs="Arial"/>
        </w:rPr>
      </w:pPr>
      <w:r w:rsidRPr="00AC3E19">
        <w:rPr>
          <w:rStyle w:val="FootnoteReference"/>
          <w:rFonts w:ascii="Arial" w:hAnsi="Arial" w:cs="Arial"/>
        </w:rPr>
        <w:footnoteRef/>
      </w:r>
      <w:r w:rsidRPr="00AC3E19">
        <w:rPr>
          <w:rFonts w:ascii="Arial" w:hAnsi="Arial" w:cs="Arial"/>
        </w:rPr>
        <w:t xml:space="preserve"> </w:t>
      </w:r>
      <w:proofErr w:type="spellStart"/>
      <w:r w:rsidRPr="00AC3E19">
        <w:rPr>
          <w:rFonts w:ascii="Arial" w:hAnsi="Arial" w:cs="Arial"/>
          <w:i/>
        </w:rPr>
        <w:t>Bernert</w:t>
      </w:r>
      <w:proofErr w:type="spellEnd"/>
      <w:r w:rsidRPr="00AC3E19">
        <w:rPr>
          <w:rFonts w:ascii="Arial" w:hAnsi="Arial" w:cs="Arial"/>
        </w:rPr>
        <w:t>, at 111E-F.</w:t>
      </w:r>
    </w:p>
  </w:footnote>
  <w:footnote w:id="26">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At 694J-695A.</w:t>
      </w:r>
    </w:p>
  </w:footnote>
  <w:footnote w:id="27">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D10221">
        <w:rPr>
          <w:rFonts w:ascii="Arial" w:hAnsi="Arial" w:cs="Arial"/>
          <w:i/>
          <w:color w:val="000000" w:themeColor="text1"/>
        </w:rPr>
        <w:t xml:space="preserve">S v </w:t>
      </w:r>
      <w:proofErr w:type="spellStart"/>
      <w:r w:rsidRPr="00D10221">
        <w:rPr>
          <w:rFonts w:ascii="Arial" w:hAnsi="Arial" w:cs="Arial"/>
          <w:i/>
          <w:color w:val="000000" w:themeColor="text1"/>
        </w:rPr>
        <w:t>Munuma</w:t>
      </w:r>
      <w:proofErr w:type="spellEnd"/>
      <w:r w:rsidRPr="00D10221">
        <w:rPr>
          <w:rFonts w:ascii="Arial" w:hAnsi="Arial" w:cs="Arial"/>
          <w:color w:val="000000" w:themeColor="text1"/>
        </w:rPr>
        <w:t xml:space="preserve"> 2013</w:t>
      </w:r>
      <w:r>
        <w:rPr>
          <w:rFonts w:ascii="Arial" w:hAnsi="Arial" w:cs="Arial"/>
          <w:color w:val="000000" w:themeColor="text1"/>
        </w:rPr>
        <w:t xml:space="preserve"> </w:t>
      </w:r>
      <w:r w:rsidRPr="00D10221">
        <w:rPr>
          <w:rFonts w:ascii="Arial" w:hAnsi="Arial" w:cs="Arial"/>
          <w:color w:val="000000" w:themeColor="text1"/>
        </w:rPr>
        <w:t>(4) NR 1156</w:t>
      </w:r>
      <w:r>
        <w:rPr>
          <w:rFonts w:ascii="Arial" w:hAnsi="Arial" w:cs="Arial"/>
          <w:color w:val="000000" w:themeColor="text1"/>
        </w:rPr>
        <w:t xml:space="preserve"> (SC)</w:t>
      </w:r>
      <w:r w:rsidRPr="00D10221">
        <w:rPr>
          <w:rFonts w:ascii="Arial" w:hAnsi="Arial" w:cs="Arial"/>
          <w:color w:val="000000" w:themeColor="text1"/>
        </w:rPr>
        <w:t xml:space="preserve">, para 44; </w:t>
      </w:r>
      <w:r w:rsidRPr="009B4796">
        <w:rPr>
          <w:rFonts w:ascii="Arial" w:hAnsi="Arial" w:cs="Arial"/>
          <w:i/>
          <w:color w:val="000000" w:themeColor="text1"/>
        </w:rPr>
        <w:t xml:space="preserve">S v </w:t>
      </w:r>
      <w:proofErr w:type="spellStart"/>
      <w:r w:rsidRPr="009B4796">
        <w:rPr>
          <w:rFonts w:ascii="Arial" w:hAnsi="Arial" w:cs="Arial"/>
          <w:i/>
          <w:color w:val="000000" w:themeColor="text1"/>
        </w:rPr>
        <w:t>Likanyi</w:t>
      </w:r>
      <w:proofErr w:type="spellEnd"/>
      <w:r w:rsidRPr="009B4796">
        <w:rPr>
          <w:rFonts w:ascii="Arial" w:hAnsi="Arial" w:cs="Arial"/>
          <w:i/>
          <w:color w:val="000000" w:themeColor="text1"/>
        </w:rPr>
        <w:t xml:space="preserve"> </w:t>
      </w:r>
      <w:r w:rsidRPr="00D10221">
        <w:rPr>
          <w:rFonts w:ascii="Arial" w:hAnsi="Arial" w:cs="Arial"/>
          <w:color w:val="000000" w:themeColor="text1"/>
        </w:rPr>
        <w:t xml:space="preserve">2017 (3) NR 771 (SC) at 783A-D; </w:t>
      </w:r>
      <w:r w:rsidRPr="009B4796">
        <w:rPr>
          <w:rFonts w:ascii="Arial" w:hAnsi="Arial" w:cs="Arial"/>
          <w:i/>
          <w:color w:val="000000" w:themeColor="text1"/>
        </w:rPr>
        <w:t xml:space="preserve">S v </w:t>
      </w:r>
      <w:proofErr w:type="spellStart"/>
      <w:r w:rsidRPr="009B4796">
        <w:rPr>
          <w:rFonts w:ascii="Arial" w:hAnsi="Arial" w:cs="Arial"/>
          <w:i/>
          <w:color w:val="000000" w:themeColor="text1"/>
        </w:rPr>
        <w:t>Stewe</w:t>
      </w:r>
      <w:proofErr w:type="spellEnd"/>
      <w:r>
        <w:rPr>
          <w:rFonts w:ascii="Arial" w:hAnsi="Arial" w:cs="Arial"/>
          <w:color w:val="000000" w:themeColor="text1"/>
        </w:rPr>
        <w:t xml:space="preserve"> (SA 2-</w:t>
      </w:r>
      <w:r w:rsidRPr="00D10221">
        <w:rPr>
          <w:rFonts w:ascii="Arial" w:hAnsi="Arial" w:cs="Arial"/>
          <w:color w:val="000000" w:themeColor="text1"/>
        </w:rPr>
        <w:t xml:space="preserve">2018) [2019] NASC (15 March 2019), para 13, </w:t>
      </w:r>
      <w:r w:rsidRPr="009B4796">
        <w:rPr>
          <w:rFonts w:ascii="Arial" w:hAnsi="Arial" w:cs="Arial"/>
          <w:i/>
          <w:color w:val="000000" w:themeColor="text1"/>
        </w:rPr>
        <w:t xml:space="preserve">S v </w:t>
      </w:r>
      <w:proofErr w:type="spellStart"/>
      <w:r w:rsidRPr="009B4796">
        <w:rPr>
          <w:rFonts w:ascii="Arial" w:hAnsi="Arial" w:cs="Arial"/>
          <w:i/>
          <w:color w:val="000000" w:themeColor="text1"/>
        </w:rPr>
        <w:t>Molaudzi</w:t>
      </w:r>
      <w:proofErr w:type="spellEnd"/>
      <w:r w:rsidRPr="00D10221">
        <w:rPr>
          <w:rFonts w:ascii="Arial" w:hAnsi="Arial" w:cs="Arial"/>
          <w:color w:val="000000" w:themeColor="text1"/>
        </w:rPr>
        <w:t xml:space="preserve"> 2015 (2) SACR 341 (CC); </w:t>
      </w:r>
      <w:r w:rsidRPr="00036990">
        <w:rPr>
          <w:rFonts w:ascii="Arial" w:hAnsi="Arial" w:cs="Arial"/>
          <w:i/>
          <w:color w:val="000000" w:themeColor="text1"/>
        </w:rPr>
        <w:t xml:space="preserve">R Bow Street Magistrate; Ex Parte Pinochet </w:t>
      </w:r>
      <w:proofErr w:type="spellStart"/>
      <w:r w:rsidRPr="00036990">
        <w:rPr>
          <w:rFonts w:ascii="Arial" w:hAnsi="Arial" w:cs="Arial"/>
          <w:i/>
          <w:color w:val="000000" w:themeColor="text1"/>
        </w:rPr>
        <w:t>Ugarte</w:t>
      </w:r>
      <w:proofErr w:type="spellEnd"/>
      <w:r w:rsidRPr="00D10221">
        <w:rPr>
          <w:rFonts w:ascii="Arial" w:hAnsi="Arial" w:cs="Arial"/>
          <w:color w:val="000000" w:themeColor="text1"/>
        </w:rPr>
        <w:t xml:space="preserve"> (No 2) [1999] 1 All</w:t>
      </w:r>
      <w:r>
        <w:rPr>
          <w:rFonts w:ascii="Arial" w:hAnsi="Arial" w:cs="Arial"/>
          <w:color w:val="000000" w:themeColor="text1"/>
        </w:rPr>
        <w:t xml:space="preserve"> </w:t>
      </w:r>
      <w:r w:rsidRPr="00D10221">
        <w:rPr>
          <w:rFonts w:ascii="Arial" w:hAnsi="Arial" w:cs="Arial"/>
          <w:color w:val="000000" w:themeColor="text1"/>
        </w:rPr>
        <w:t xml:space="preserve">ER 577 </w:t>
      </w:r>
      <w:r>
        <w:rPr>
          <w:rFonts w:ascii="Arial" w:hAnsi="Arial" w:cs="Arial"/>
          <w:color w:val="000000" w:themeColor="text1"/>
        </w:rPr>
        <w:t xml:space="preserve">(HL) </w:t>
      </w:r>
      <w:r w:rsidRPr="00D10221">
        <w:rPr>
          <w:rFonts w:ascii="Arial" w:hAnsi="Arial" w:cs="Arial"/>
          <w:color w:val="000000" w:themeColor="text1"/>
        </w:rPr>
        <w:t xml:space="preserve">at 588E-J; </w:t>
      </w:r>
    </w:p>
  </w:footnote>
  <w:footnote w:id="28">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D10221">
        <w:rPr>
          <w:rFonts w:ascii="Arial" w:hAnsi="Arial" w:cs="Arial"/>
          <w:i/>
          <w:color w:val="000000" w:themeColor="text1"/>
        </w:rPr>
        <w:t xml:space="preserve">S v </w:t>
      </w:r>
      <w:proofErr w:type="spellStart"/>
      <w:r w:rsidRPr="00D10221">
        <w:rPr>
          <w:rFonts w:ascii="Arial" w:hAnsi="Arial" w:cs="Arial"/>
          <w:i/>
          <w:color w:val="000000" w:themeColor="text1"/>
        </w:rPr>
        <w:t>Likanyi</w:t>
      </w:r>
      <w:proofErr w:type="spellEnd"/>
      <w:r w:rsidRPr="00D10221">
        <w:rPr>
          <w:rFonts w:ascii="Arial" w:hAnsi="Arial" w:cs="Arial"/>
          <w:color w:val="000000" w:themeColor="text1"/>
        </w:rPr>
        <w:t xml:space="preserve"> 2017 (3) NR 771 (SC) at 788C-G.</w:t>
      </w:r>
    </w:p>
  </w:footnote>
  <w:footnote w:id="29">
    <w:p w:rsidR="00DA4DDA" w:rsidRPr="00D10221" w:rsidRDefault="00DA4DDA" w:rsidP="00B8378C">
      <w:pPr>
        <w:pStyle w:val="FootnoteText"/>
        <w:rPr>
          <w:rFonts w:ascii="Arial" w:hAnsi="Arial" w:cs="Arial"/>
          <w:color w:val="000000" w:themeColor="text1"/>
          <w:lang w:val="en-ZA"/>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D10221">
        <w:rPr>
          <w:rFonts w:ascii="Arial" w:hAnsi="Arial" w:cs="Arial"/>
          <w:color w:val="000000" w:themeColor="text1"/>
          <w:lang w:val="en-ZA"/>
        </w:rPr>
        <w:t>1993 (1) SA 523 (A) (</w:t>
      </w:r>
      <w:proofErr w:type="spellStart"/>
      <w:r w:rsidRPr="00D10221">
        <w:rPr>
          <w:rFonts w:ascii="Arial" w:hAnsi="Arial" w:cs="Arial"/>
          <w:i/>
          <w:color w:val="000000" w:themeColor="text1"/>
          <w:lang w:val="en-ZA"/>
        </w:rPr>
        <w:t>Zweni</w:t>
      </w:r>
      <w:proofErr w:type="spellEnd"/>
      <w:r w:rsidRPr="00D10221">
        <w:rPr>
          <w:rFonts w:ascii="Arial" w:hAnsi="Arial" w:cs="Arial"/>
          <w:color w:val="000000" w:themeColor="text1"/>
          <w:lang w:val="en-ZA"/>
        </w:rPr>
        <w:t>).</w:t>
      </w:r>
    </w:p>
  </w:footnote>
  <w:footnote w:id="30">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D10221">
        <w:rPr>
          <w:rFonts w:ascii="Arial" w:hAnsi="Arial" w:cs="Arial"/>
          <w:i/>
          <w:color w:val="000000" w:themeColor="text1"/>
        </w:rPr>
        <w:t xml:space="preserve">Di </w:t>
      </w:r>
      <w:proofErr w:type="spellStart"/>
      <w:r w:rsidRPr="00D10221">
        <w:rPr>
          <w:rFonts w:ascii="Arial" w:hAnsi="Arial" w:cs="Arial"/>
          <w:i/>
          <w:color w:val="000000" w:themeColor="text1"/>
        </w:rPr>
        <w:t>Savino</w:t>
      </w:r>
      <w:proofErr w:type="spellEnd"/>
      <w:r w:rsidRPr="00D10221">
        <w:rPr>
          <w:rFonts w:ascii="Arial" w:hAnsi="Arial" w:cs="Arial"/>
          <w:i/>
          <w:color w:val="000000" w:themeColor="text1"/>
        </w:rPr>
        <w:t xml:space="preserve"> v Nedbank Namibia Limited</w:t>
      </w:r>
      <w:r w:rsidRPr="00D10221">
        <w:rPr>
          <w:rFonts w:ascii="Arial" w:hAnsi="Arial" w:cs="Arial"/>
          <w:color w:val="000000" w:themeColor="text1"/>
        </w:rPr>
        <w:t xml:space="preserve"> 2017 (3) NR 880 (SC) at 892A-C (</w:t>
      </w:r>
      <w:r w:rsidRPr="00D10221">
        <w:rPr>
          <w:rFonts w:ascii="Arial" w:hAnsi="Arial" w:cs="Arial"/>
          <w:i/>
          <w:color w:val="000000" w:themeColor="text1"/>
        </w:rPr>
        <w:t xml:space="preserve">Di </w:t>
      </w:r>
      <w:proofErr w:type="spellStart"/>
      <w:r w:rsidRPr="00D10221">
        <w:rPr>
          <w:rFonts w:ascii="Arial" w:hAnsi="Arial" w:cs="Arial"/>
          <w:i/>
          <w:color w:val="000000" w:themeColor="text1"/>
        </w:rPr>
        <w:t>Savino</w:t>
      </w:r>
      <w:proofErr w:type="spellEnd"/>
      <w:r w:rsidRPr="00D10221">
        <w:rPr>
          <w:rFonts w:ascii="Arial" w:hAnsi="Arial" w:cs="Arial"/>
          <w:color w:val="000000" w:themeColor="text1"/>
        </w:rPr>
        <w:t>).</w:t>
      </w:r>
    </w:p>
  </w:footnote>
  <w:footnote w:id="31">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2012 (1) NR 162 (SC) at 174D-176C.</w:t>
      </w:r>
    </w:p>
  </w:footnote>
  <w:footnote w:id="32">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531I-533B.</w:t>
      </w:r>
    </w:p>
  </w:footnote>
  <w:footnote w:id="33">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proofErr w:type="spellStart"/>
      <w:r w:rsidRPr="00D10221">
        <w:rPr>
          <w:rFonts w:ascii="Arial" w:hAnsi="Arial" w:cs="Arial"/>
          <w:i/>
          <w:color w:val="000000" w:themeColor="text1"/>
        </w:rPr>
        <w:t>Shetu</w:t>
      </w:r>
      <w:proofErr w:type="spellEnd"/>
      <w:r w:rsidRPr="00D10221">
        <w:rPr>
          <w:rFonts w:ascii="Arial" w:hAnsi="Arial" w:cs="Arial"/>
          <w:color w:val="000000" w:themeColor="text1"/>
        </w:rPr>
        <w:t xml:space="preserve"> para 20.</w:t>
      </w:r>
    </w:p>
  </w:footnote>
  <w:footnote w:id="34">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D10221">
        <w:rPr>
          <w:rFonts w:ascii="Arial" w:eastAsia="Times New Roman" w:hAnsi="Arial" w:cs="Arial"/>
          <w:i/>
          <w:color w:val="000000" w:themeColor="text1"/>
          <w:lang w:eastAsia="en-GB"/>
        </w:rPr>
        <w:t>CUSA</w:t>
      </w:r>
      <w:r w:rsidR="00A365FA">
        <w:rPr>
          <w:rFonts w:ascii="Arial" w:eastAsia="Times New Roman" w:hAnsi="Arial" w:cs="Arial"/>
          <w:i/>
          <w:color w:val="000000" w:themeColor="text1"/>
          <w:lang w:eastAsia="en-GB"/>
        </w:rPr>
        <w:t xml:space="preserve"> v Tao Ying Metal Industries &amp; o</w:t>
      </w:r>
      <w:r w:rsidRPr="00D10221">
        <w:rPr>
          <w:rFonts w:ascii="Arial" w:eastAsia="Times New Roman" w:hAnsi="Arial" w:cs="Arial"/>
          <w:i/>
          <w:color w:val="000000" w:themeColor="text1"/>
          <w:lang w:eastAsia="en-GB"/>
        </w:rPr>
        <w:t>thers</w:t>
      </w:r>
      <w:r w:rsidRPr="00D10221">
        <w:rPr>
          <w:rFonts w:ascii="Arial" w:hAnsi="Arial" w:cs="Arial"/>
          <w:color w:val="000000" w:themeColor="text1"/>
        </w:rPr>
        <w:t xml:space="preserve"> 2009 (2) SA 204 (CC); 2009 (1) BCLR 1 (CC) at para 68.</w:t>
      </w:r>
    </w:p>
  </w:footnote>
  <w:footnote w:id="35">
    <w:p w:rsidR="00DA4DDA" w:rsidRPr="00D10221" w:rsidRDefault="00DA4DDA" w:rsidP="00D10221">
      <w:pPr>
        <w:pStyle w:val="FootnoteText"/>
        <w:rPr>
          <w:rFonts w:ascii="Arial" w:hAnsi="Arial" w:cs="Arial"/>
          <w:color w:val="000000" w:themeColor="text1"/>
          <w:lang w:val="en-ZA"/>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D10221">
        <w:rPr>
          <w:rFonts w:ascii="Arial" w:hAnsi="Arial" w:cs="Arial"/>
          <w:color w:val="000000" w:themeColor="text1"/>
          <w:lang w:val="en-ZA"/>
        </w:rPr>
        <w:t xml:space="preserve">See High Court judgment at para 12. </w:t>
      </w:r>
    </w:p>
  </w:footnote>
  <w:footnote w:id="36">
    <w:p w:rsidR="00DA4DDA" w:rsidRPr="00D10221" w:rsidRDefault="00DA4DDA" w:rsidP="00D10221">
      <w:pPr>
        <w:pStyle w:val="FootnoteText"/>
        <w:rPr>
          <w:rFonts w:ascii="Arial" w:hAnsi="Arial" w:cs="Arial"/>
          <w:color w:val="000000" w:themeColor="text1"/>
          <w:lang w:val="en-ZA"/>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D10221">
        <w:rPr>
          <w:rFonts w:ascii="Arial" w:hAnsi="Arial" w:cs="Arial"/>
          <w:color w:val="000000" w:themeColor="text1"/>
          <w:lang w:val="en-ZA"/>
        </w:rPr>
        <w:t xml:space="preserve">See </w:t>
      </w:r>
      <w:proofErr w:type="spellStart"/>
      <w:r w:rsidRPr="009B4796">
        <w:rPr>
          <w:rFonts w:ascii="Arial" w:hAnsi="Arial" w:cs="Arial"/>
          <w:i/>
          <w:color w:val="000000" w:themeColor="text1"/>
          <w:lang w:val="en-ZA"/>
        </w:rPr>
        <w:t>Knouwds</w:t>
      </w:r>
      <w:proofErr w:type="spellEnd"/>
      <w:r w:rsidRPr="009B4796">
        <w:rPr>
          <w:rFonts w:ascii="Arial" w:hAnsi="Arial" w:cs="Arial"/>
          <w:i/>
          <w:color w:val="000000" w:themeColor="text1"/>
          <w:lang w:val="en-ZA"/>
        </w:rPr>
        <w:t xml:space="preserve"> v Hosea</w:t>
      </w:r>
      <w:r w:rsidRPr="00D10221">
        <w:rPr>
          <w:rFonts w:ascii="Arial" w:hAnsi="Arial" w:cs="Arial"/>
          <w:color w:val="000000" w:themeColor="text1"/>
          <w:lang w:val="en-ZA"/>
        </w:rPr>
        <w:t xml:space="preserve"> </w:t>
      </w:r>
      <w:proofErr w:type="gramStart"/>
      <w:r w:rsidRPr="00D10221">
        <w:rPr>
          <w:rFonts w:ascii="Arial" w:hAnsi="Arial" w:cs="Arial"/>
          <w:color w:val="000000" w:themeColor="text1"/>
          <w:lang w:val="en-ZA"/>
        </w:rPr>
        <w:t>2010  (</w:t>
      </w:r>
      <w:proofErr w:type="gramEnd"/>
      <w:r w:rsidRPr="00D10221">
        <w:rPr>
          <w:rFonts w:ascii="Arial" w:hAnsi="Arial" w:cs="Arial"/>
          <w:color w:val="000000" w:themeColor="text1"/>
          <w:lang w:val="en-ZA"/>
        </w:rPr>
        <w:t>2) NR 754 at para 12.</w:t>
      </w:r>
    </w:p>
  </w:footnote>
  <w:footnote w:id="37">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D10221">
        <w:rPr>
          <w:rFonts w:ascii="Arial" w:hAnsi="Arial" w:cs="Arial"/>
          <w:i/>
          <w:color w:val="000000" w:themeColor="text1"/>
        </w:rPr>
        <w:t xml:space="preserve">S v </w:t>
      </w:r>
      <w:proofErr w:type="spellStart"/>
      <w:r w:rsidRPr="00D10221">
        <w:rPr>
          <w:rFonts w:ascii="Arial" w:hAnsi="Arial" w:cs="Arial"/>
          <w:i/>
          <w:color w:val="000000" w:themeColor="text1"/>
        </w:rPr>
        <w:t>Ningisa</w:t>
      </w:r>
      <w:proofErr w:type="spellEnd"/>
      <w:r w:rsidRPr="00D10221">
        <w:rPr>
          <w:rFonts w:ascii="Arial" w:hAnsi="Arial" w:cs="Arial"/>
          <w:i/>
          <w:color w:val="000000" w:themeColor="text1"/>
        </w:rPr>
        <w:t xml:space="preserve"> and Others</w:t>
      </w:r>
      <w:r w:rsidRPr="00D10221">
        <w:rPr>
          <w:rFonts w:ascii="Arial" w:hAnsi="Arial" w:cs="Arial"/>
          <w:color w:val="000000" w:themeColor="text1"/>
        </w:rPr>
        <w:t xml:space="preserve"> 2013 (2) NR 504 (SC) at para 5- 6.</w:t>
      </w:r>
    </w:p>
  </w:footnote>
  <w:footnote w:id="38">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proofErr w:type="spellStart"/>
      <w:r w:rsidRPr="00D10221">
        <w:rPr>
          <w:rFonts w:ascii="Arial" w:hAnsi="Arial" w:cs="Arial"/>
          <w:i/>
          <w:color w:val="000000" w:themeColor="text1"/>
        </w:rPr>
        <w:t>Kauesa</w:t>
      </w:r>
      <w:proofErr w:type="spellEnd"/>
      <w:r w:rsidRPr="00D10221">
        <w:rPr>
          <w:rFonts w:ascii="Arial" w:hAnsi="Arial" w:cs="Arial"/>
          <w:i/>
          <w:color w:val="000000" w:themeColor="text1"/>
        </w:rPr>
        <w:t xml:space="preserve"> v Minister of Home Affairs &amp; Others</w:t>
      </w:r>
      <w:r w:rsidRPr="00D10221">
        <w:rPr>
          <w:rFonts w:ascii="Arial" w:hAnsi="Arial" w:cs="Arial"/>
          <w:color w:val="000000" w:themeColor="text1"/>
        </w:rPr>
        <w:t xml:space="preserve"> 1995 NR 175 (SC) at 183E-G; </w:t>
      </w:r>
      <w:proofErr w:type="spellStart"/>
      <w:r w:rsidRPr="00D10221">
        <w:rPr>
          <w:rFonts w:ascii="Arial" w:hAnsi="Arial" w:cs="Arial"/>
          <w:i/>
          <w:color w:val="000000" w:themeColor="text1"/>
        </w:rPr>
        <w:t>Kasheela</w:t>
      </w:r>
      <w:proofErr w:type="spellEnd"/>
      <w:r w:rsidRPr="00D10221">
        <w:rPr>
          <w:rFonts w:ascii="Arial" w:hAnsi="Arial" w:cs="Arial"/>
          <w:i/>
          <w:color w:val="000000" w:themeColor="text1"/>
        </w:rPr>
        <w:t xml:space="preserve"> v </w:t>
      </w:r>
      <w:proofErr w:type="spellStart"/>
      <w:r w:rsidRPr="00D10221">
        <w:rPr>
          <w:rFonts w:ascii="Arial" w:hAnsi="Arial" w:cs="Arial"/>
          <w:i/>
          <w:color w:val="000000" w:themeColor="text1"/>
        </w:rPr>
        <w:t>Katima</w:t>
      </w:r>
      <w:proofErr w:type="spellEnd"/>
      <w:r w:rsidRPr="00D10221">
        <w:rPr>
          <w:rFonts w:ascii="Arial" w:hAnsi="Arial" w:cs="Arial"/>
          <w:i/>
          <w:color w:val="000000" w:themeColor="text1"/>
        </w:rPr>
        <w:t xml:space="preserve"> </w:t>
      </w:r>
      <w:proofErr w:type="spellStart"/>
      <w:r w:rsidRPr="00D10221">
        <w:rPr>
          <w:rFonts w:ascii="Arial" w:hAnsi="Arial" w:cs="Arial"/>
          <w:i/>
          <w:color w:val="000000" w:themeColor="text1"/>
        </w:rPr>
        <w:t>Mulilo</w:t>
      </w:r>
      <w:proofErr w:type="spellEnd"/>
      <w:r w:rsidRPr="00D10221">
        <w:rPr>
          <w:rFonts w:ascii="Arial" w:hAnsi="Arial" w:cs="Arial"/>
          <w:i/>
          <w:color w:val="000000" w:themeColor="text1"/>
        </w:rPr>
        <w:t xml:space="preserve"> Town Council</w:t>
      </w:r>
      <w:r w:rsidRPr="00D10221">
        <w:rPr>
          <w:rFonts w:ascii="Arial" w:hAnsi="Arial" w:cs="Arial"/>
          <w:color w:val="000000" w:themeColor="text1"/>
        </w:rPr>
        <w:t xml:space="preserve"> (SA 15-2017) [2018] NASC (16 November 2018); </w:t>
      </w:r>
      <w:r w:rsidRPr="00B7663C">
        <w:rPr>
          <w:rFonts w:ascii="Arial" w:hAnsi="Arial" w:cs="Arial"/>
          <w:i/>
          <w:color w:val="000000" w:themeColor="text1"/>
        </w:rPr>
        <w:t>JT v AE</w:t>
      </w:r>
      <w:r w:rsidRPr="00D10221">
        <w:rPr>
          <w:rFonts w:ascii="Arial" w:hAnsi="Arial" w:cs="Arial"/>
          <w:color w:val="000000" w:themeColor="text1"/>
        </w:rPr>
        <w:t xml:space="preserve"> 2013 (1) NR 1 (SC) at 8A-B, para 19; </w:t>
      </w:r>
      <w:r w:rsidRPr="00D10221">
        <w:rPr>
          <w:rFonts w:ascii="Arial" w:hAnsi="Arial" w:cs="Arial"/>
          <w:i/>
          <w:color w:val="000000" w:themeColor="text1"/>
        </w:rPr>
        <w:t>Namib Plains Farming and Tourism v Valencia Uranium</w:t>
      </w:r>
      <w:r w:rsidRPr="00D10221">
        <w:rPr>
          <w:rFonts w:ascii="Arial" w:hAnsi="Arial" w:cs="Arial"/>
          <w:color w:val="000000" w:themeColor="text1"/>
        </w:rPr>
        <w:t xml:space="preserve"> 2011 (2) NR 469</w:t>
      </w:r>
      <w:r>
        <w:rPr>
          <w:rFonts w:ascii="Arial" w:hAnsi="Arial" w:cs="Arial"/>
          <w:color w:val="000000" w:themeColor="text1"/>
        </w:rPr>
        <w:t xml:space="preserve"> </w:t>
      </w:r>
      <w:r w:rsidRPr="00D10221">
        <w:rPr>
          <w:rFonts w:ascii="Arial" w:hAnsi="Arial" w:cs="Arial"/>
          <w:color w:val="000000" w:themeColor="text1"/>
        </w:rPr>
        <w:t xml:space="preserve">(SC) at 483C-D; </w:t>
      </w:r>
      <w:proofErr w:type="spellStart"/>
      <w:r w:rsidRPr="00D10221">
        <w:rPr>
          <w:rFonts w:ascii="Arial" w:hAnsi="Arial" w:cs="Arial"/>
          <w:i/>
          <w:color w:val="000000" w:themeColor="text1"/>
        </w:rPr>
        <w:t>Teek</w:t>
      </w:r>
      <w:proofErr w:type="spellEnd"/>
      <w:r w:rsidRPr="00D10221">
        <w:rPr>
          <w:rFonts w:ascii="Arial" w:hAnsi="Arial" w:cs="Arial"/>
          <w:i/>
          <w:color w:val="000000" w:themeColor="text1"/>
        </w:rPr>
        <w:t xml:space="preserve"> v President of the Republic of Namibia</w:t>
      </w:r>
      <w:r w:rsidRPr="00D10221">
        <w:rPr>
          <w:rFonts w:ascii="Arial" w:hAnsi="Arial" w:cs="Arial"/>
          <w:color w:val="000000" w:themeColor="text1"/>
        </w:rPr>
        <w:t xml:space="preserve"> 2015 (1) NR 58 (SC) para 30.</w:t>
      </w:r>
    </w:p>
  </w:footnote>
  <w:footnote w:id="39">
    <w:p w:rsidR="00DA4DDA" w:rsidRPr="00D10221" w:rsidRDefault="00DA4DDA" w:rsidP="008474BC">
      <w:pPr>
        <w:pStyle w:val="FootnoteText"/>
        <w:jc w:val="both"/>
        <w:rPr>
          <w:rFonts w:ascii="Arial" w:hAnsi="Arial" w:cs="Arial"/>
          <w:color w:val="000000" w:themeColor="text1"/>
          <w:lang w:val="en-ZA"/>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Pr>
          <w:rFonts w:ascii="Arial" w:hAnsi="Arial" w:cs="Arial"/>
          <w:color w:val="000000" w:themeColor="text1"/>
          <w:lang w:val="en-ZA"/>
        </w:rPr>
        <w:t>Case No SA 49-</w:t>
      </w:r>
      <w:r w:rsidRPr="00D10221">
        <w:rPr>
          <w:rFonts w:ascii="Arial" w:hAnsi="Arial" w:cs="Arial"/>
          <w:color w:val="000000" w:themeColor="text1"/>
          <w:lang w:val="en-ZA"/>
        </w:rPr>
        <w:t>2016 (12 April 2019) at paras 28-33.</w:t>
      </w:r>
    </w:p>
  </w:footnote>
  <w:footnote w:id="40">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Counsel relied on two decisions of the Constitutional Court in </w:t>
      </w:r>
      <w:r w:rsidRPr="00D10221">
        <w:rPr>
          <w:rFonts w:ascii="Arial" w:hAnsi="Arial" w:cs="Arial"/>
          <w:i/>
          <w:color w:val="000000" w:themeColor="text1"/>
        </w:rPr>
        <w:t>UDM v President of the Republic of South Africa</w:t>
      </w:r>
      <w:r w:rsidRPr="00D10221">
        <w:rPr>
          <w:rFonts w:ascii="Arial" w:hAnsi="Arial" w:cs="Arial"/>
          <w:color w:val="000000" w:themeColor="text1"/>
        </w:rPr>
        <w:t xml:space="preserve"> 2003 (1) SA 488 (CC) and </w:t>
      </w:r>
      <w:r w:rsidRPr="00D10221">
        <w:rPr>
          <w:rFonts w:ascii="Arial" w:hAnsi="Arial" w:cs="Arial"/>
          <w:i/>
          <w:color w:val="000000" w:themeColor="text1"/>
        </w:rPr>
        <w:t xml:space="preserve">Ministry of Home Affairs v Eisenberg &amp; Associates </w:t>
      </w:r>
      <w:r w:rsidRPr="00D10221">
        <w:rPr>
          <w:rFonts w:ascii="Arial" w:hAnsi="Arial" w:cs="Arial"/>
          <w:color w:val="000000" w:themeColor="text1"/>
        </w:rPr>
        <w:t>2003 (5) SA 281 (CC).</w:t>
      </w:r>
    </w:p>
  </w:footnote>
  <w:footnote w:id="41">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D10221">
        <w:rPr>
          <w:rFonts w:ascii="Arial" w:hAnsi="Arial" w:cs="Arial"/>
          <w:i/>
          <w:color w:val="000000" w:themeColor="text1"/>
        </w:rPr>
        <w:t>UDM</w:t>
      </w:r>
      <w:r w:rsidRPr="00D10221">
        <w:rPr>
          <w:rFonts w:ascii="Arial" w:hAnsi="Arial" w:cs="Arial"/>
          <w:color w:val="000000" w:themeColor="text1"/>
        </w:rPr>
        <w:t>, at 491B-C.</w:t>
      </w:r>
    </w:p>
  </w:footnote>
  <w:footnote w:id="42">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Which is an unconstitutional form of punishment: </w:t>
      </w:r>
      <w:r w:rsidRPr="00D10221">
        <w:rPr>
          <w:rFonts w:ascii="Arial" w:hAnsi="Arial" w:cs="Arial"/>
          <w:i/>
          <w:color w:val="000000" w:themeColor="text1"/>
        </w:rPr>
        <w:t>Ex Parte Attorney-General: In Re Corporal Punishment by Organs of State</w:t>
      </w:r>
      <w:r w:rsidRPr="00D10221">
        <w:rPr>
          <w:rFonts w:ascii="Arial" w:hAnsi="Arial" w:cs="Arial"/>
          <w:color w:val="000000" w:themeColor="text1"/>
        </w:rPr>
        <w:t>: 1991 NR 178</w:t>
      </w:r>
      <w:r w:rsidR="00B7663C">
        <w:rPr>
          <w:rFonts w:ascii="Arial" w:hAnsi="Arial" w:cs="Arial"/>
          <w:color w:val="000000" w:themeColor="text1"/>
        </w:rPr>
        <w:t xml:space="preserve"> </w:t>
      </w:r>
      <w:r w:rsidRPr="00D10221">
        <w:rPr>
          <w:rFonts w:ascii="Arial" w:hAnsi="Arial" w:cs="Arial"/>
          <w:color w:val="000000" w:themeColor="text1"/>
        </w:rPr>
        <w:t>(SC).</w:t>
      </w:r>
    </w:p>
  </w:footnote>
  <w:footnote w:id="43">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9B4796">
        <w:rPr>
          <w:rFonts w:ascii="Arial" w:hAnsi="Arial" w:cs="Arial"/>
          <w:i/>
          <w:color w:val="000000" w:themeColor="text1"/>
        </w:rPr>
        <w:t>R v Ferguson</w:t>
      </w:r>
      <w:r w:rsidRPr="00D10221">
        <w:rPr>
          <w:rFonts w:ascii="Arial" w:hAnsi="Arial" w:cs="Arial"/>
          <w:color w:val="000000" w:themeColor="text1"/>
        </w:rPr>
        <w:t xml:space="preserve"> [2008] 1 S.C.R. 96 at para 35</w:t>
      </w:r>
      <w:r w:rsidRPr="009B4796">
        <w:rPr>
          <w:rFonts w:ascii="Arial" w:hAnsi="Arial" w:cs="Arial"/>
          <w:i/>
          <w:color w:val="000000" w:themeColor="text1"/>
        </w:rPr>
        <w:t>; Nova Scotia (Workers Compensation Board) v Martin</w:t>
      </w:r>
      <w:r w:rsidRPr="00D10221">
        <w:rPr>
          <w:rFonts w:ascii="Arial" w:hAnsi="Arial" w:cs="Arial"/>
          <w:color w:val="000000" w:themeColor="text1"/>
        </w:rPr>
        <w:t xml:space="preserve"> [2003] 2 S.C.R. 504 at para 28.</w:t>
      </w:r>
    </w:p>
  </w:footnote>
  <w:footnote w:id="44">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proofErr w:type="spellStart"/>
      <w:r w:rsidRPr="009B4796">
        <w:rPr>
          <w:rFonts w:ascii="Arial" w:hAnsi="Arial" w:cs="Arial"/>
          <w:i/>
          <w:color w:val="000000" w:themeColor="text1"/>
        </w:rPr>
        <w:t>Gopalan</w:t>
      </w:r>
      <w:proofErr w:type="spellEnd"/>
      <w:r w:rsidR="00B7663C">
        <w:rPr>
          <w:rFonts w:ascii="Arial" w:hAnsi="Arial" w:cs="Arial"/>
          <w:color w:val="000000" w:themeColor="text1"/>
        </w:rPr>
        <w:t xml:space="preserve"> (1950) S.C.R 88,120, (</w:t>
      </w:r>
      <w:r w:rsidRPr="00D10221">
        <w:rPr>
          <w:rFonts w:ascii="Arial" w:hAnsi="Arial" w:cs="Arial"/>
          <w:color w:val="000000" w:themeColor="text1"/>
        </w:rPr>
        <w:t xml:space="preserve">50) A.SC.27; </w:t>
      </w:r>
      <w:proofErr w:type="spellStart"/>
      <w:r w:rsidRPr="009B4796">
        <w:rPr>
          <w:rFonts w:ascii="Arial" w:hAnsi="Arial" w:cs="Arial"/>
          <w:i/>
          <w:color w:val="000000" w:themeColor="text1"/>
        </w:rPr>
        <w:t>Fram</w:t>
      </w:r>
      <w:proofErr w:type="spellEnd"/>
      <w:r w:rsidRPr="009B4796">
        <w:rPr>
          <w:rFonts w:ascii="Arial" w:hAnsi="Arial" w:cs="Arial"/>
          <w:i/>
          <w:color w:val="000000" w:themeColor="text1"/>
        </w:rPr>
        <w:t xml:space="preserve"> N. </w:t>
      </w:r>
      <w:proofErr w:type="spellStart"/>
      <w:r w:rsidRPr="009B4796">
        <w:rPr>
          <w:rFonts w:ascii="Arial" w:hAnsi="Arial" w:cs="Arial"/>
          <w:i/>
          <w:color w:val="000000" w:themeColor="text1"/>
        </w:rPr>
        <w:t>Balsara</w:t>
      </w:r>
      <w:proofErr w:type="spellEnd"/>
      <w:r w:rsidRPr="009B4796">
        <w:rPr>
          <w:rFonts w:ascii="Arial" w:hAnsi="Arial" w:cs="Arial"/>
          <w:i/>
          <w:color w:val="000000" w:themeColor="text1"/>
        </w:rPr>
        <w:t xml:space="preserve"> v Bombay</w:t>
      </w:r>
      <w:r w:rsidR="00B7663C">
        <w:rPr>
          <w:rFonts w:ascii="Arial" w:hAnsi="Arial" w:cs="Arial"/>
          <w:color w:val="000000" w:themeColor="text1"/>
        </w:rPr>
        <w:t xml:space="preserve"> (1951) S.C.R 682, (</w:t>
      </w:r>
      <w:r w:rsidRPr="00D10221">
        <w:rPr>
          <w:rFonts w:ascii="Arial" w:hAnsi="Arial" w:cs="Arial"/>
          <w:color w:val="000000" w:themeColor="text1"/>
        </w:rPr>
        <w:t>51) A.SC 318.</w:t>
      </w:r>
    </w:p>
  </w:footnote>
  <w:footnote w:id="45">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D10221">
        <w:rPr>
          <w:rFonts w:ascii="Arial" w:hAnsi="Arial" w:cs="Arial"/>
          <w:i/>
          <w:color w:val="000000" w:themeColor="text1"/>
        </w:rPr>
        <w:t xml:space="preserve">Government of the Republic of Namibia v </w:t>
      </w:r>
      <w:proofErr w:type="spellStart"/>
      <w:r w:rsidRPr="00D10221">
        <w:rPr>
          <w:rFonts w:ascii="Arial" w:hAnsi="Arial" w:cs="Arial"/>
          <w:i/>
          <w:color w:val="000000" w:themeColor="text1"/>
        </w:rPr>
        <w:t>Cultura</w:t>
      </w:r>
      <w:proofErr w:type="spellEnd"/>
      <w:r w:rsidRPr="00D10221">
        <w:rPr>
          <w:rFonts w:ascii="Arial" w:hAnsi="Arial" w:cs="Arial"/>
          <w:i/>
          <w:color w:val="000000" w:themeColor="text1"/>
        </w:rPr>
        <w:t xml:space="preserve"> </w:t>
      </w:r>
      <w:r w:rsidRPr="009B4796">
        <w:rPr>
          <w:rFonts w:ascii="Arial" w:hAnsi="Arial" w:cs="Arial"/>
          <w:color w:val="000000" w:themeColor="text1"/>
        </w:rPr>
        <w:t>2000</w:t>
      </w:r>
      <w:r w:rsidRPr="00D10221">
        <w:rPr>
          <w:rFonts w:ascii="Arial" w:hAnsi="Arial" w:cs="Arial"/>
          <w:i/>
          <w:color w:val="000000" w:themeColor="text1"/>
        </w:rPr>
        <w:t xml:space="preserve"> </w:t>
      </w:r>
      <w:r w:rsidRPr="00D10221">
        <w:rPr>
          <w:rFonts w:ascii="Arial" w:hAnsi="Arial" w:cs="Arial"/>
          <w:color w:val="000000" w:themeColor="text1"/>
        </w:rPr>
        <w:t>1993 NR 328 (SC) at 335E; 1994 (1) SA 407 (</w:t>
      </w:r>
      <w:proofErr w:type="spellStart"/>
      <w:r w:rsidRPr="00D10221">
        <w:rPr>
          <w:rFonts w:ascii="Arial" w:hAnsi="Arial" w:cs="Arial"/>
          <w:color w:val="000000" w:themeColor="text1"/>
        </w:rPr>
        <w:t>NmSC</w:t>
      </w:r>
      <w:proofErr w:type="spellEnd"/>
      <w:r w:rsidRPr="00D10221">
        <w:rPr>
          <w:rFonts w:ascii="Arial" w:hAnsi="Arial" w:cs="Arial"/>
          <w:color w:val="000000" w:themeColor="text1"/>
        </w:rPr>
        <w:t>)</w:t>
      </w:r>
    </w:p>
  </w:footnote>
  <w:footnote w:id="46">
    <w:p w:rsidR="00DA4DDA" w:rsidRPr="00D10221" w:rsidRDefault="00DA4DDA" w:rsidP="008474BC">
      <w:pPr>
        <w:pStyle w:val="FootnoteText"/>
        <w:jc w:val="both"/>
        <w:rPr>
          <w:rFonts w:ascii="Arial" w:hAnsi="Arial" w:cs="Arial"/>
          <w:color w:val="000000" w:themeColor="text1"/>
        </w:rPr>
      </w:pPr>
      <w:r w:rsidRPr="00D10221">
        <w:rPr>
          <w:rStyle w:val="FootnoteReference"/>
          <w:rFonts w:ascii="Arial" w:hAnsi="Arial" w:cs="Arial"/>
          <w:color w:val="000000" w:themeColor="text1"/>
        </w:rPr>
        <w:footnoteRef/>
      </w:r>
      <w:r w:rsidRPr="00D10221">
        <w:rPr>
          <w:rFonts w:ascii="Arial" w:hAnsi="Arial" w:cs="Arial"/>
          <w:color w:val="000000" w:themeColor="text1"/>
        </w:rPr>
        <w:t xml:space="preserve"> </w:t>
      </w:r>
      <w:r w:rsidRPr="00D10221">
        <w:rPr>
          <w:rFonts w:ascii="Arial" w:hAnsi="Arial" w:cs="Arial"/>
          <w:i/>
          <w:color w:val="000000" w:themeColor="text1"/>
        </w:rPr>
        <w:t>Vide</w:t>
      </w:r>
      <w:r w:rsidRPr="00D10221">
        <w:rPr>
          <w:rFonts w:ascii="Arial" w:hAnsi="Arial" w:cs="Arial"/>
          <w:color w:val="000000" w:themeColor="text1"/>
        </w:rPr>
        <w:t xml:space="preserve"> para [19]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3125"/>
      <w:docPartObj>
        <w:docPartGallery w:val="Page Numbers (Top of Page)"/>
        <w:docPartUnique/>
      </w:docPartObj>
    </w:sdtPr>
    <w:sdtEndPr>
      <w:rPr>
        <w:rFonts w:ascii="Arial" w:hAnsi="Arial" w:cs="Arial"/>
        <w:noProof/>
        <w:sz w:val="24"/>
        <w:szCs w:val="24"/>
      </w:rPr>
    </w:sdtEndPr>
    <w:sdtContent>
      <w:p w:rsidR="00DA4DDA" w:rsidRPr="00A726EB" w:rsidRDefault="00DA4DDA">
        <w:pPr>
          <w:pStyle w:val="Header"/>
          <w:jc w:val="right"/>
          <w:rPr>
            <w:rFonts w:ascii="Arial" w:hAnsi="Arial" w:cs="Arial"/>
            <w:sz w:val="24"/>
            <w:szCs w:val="24"/>
          </w:rPr>
        </w:pPr>
        <w:r w:rsidRPr="00A726EB">
          <w:rPr>
            <w:rFonts w:ascii="Arial" w:hAnsi="Arial" w:cs="Arial"/>
            <w:sz w:val="24"/>
            <w:szCs w:val="24"/>
          </w:rPr>
          <w:fldChar w:fldCharType="begin"/>
        </w:r>
        <w:r w:rsidRPr="00A726EB">
          <w:rPr>
            <w:rFonts w:ascii="Arial" w:hAnsi="Arial" w:cs="Arial"/>
            <w:sz w:val="24"/>
            <w:szCs w:val="24"/>
          </w:rPr>
          <w:instrText xml:space="preserve"> PAGE   \* MERGEFORMAT </w:instrText>
        </w:r>
        <w:r w:rsidRPr="00A726EB">
          <w:rPr>
            <w:rFonts w:ascii="Arial" w:hAnsi="Arial" w:cs="Arial"/>
            <w:sz w:val="24"/>
            <w:szCs w:val="24"/>
          </w:rPr>
          <w:fldChar w:fldCharType="separate"/>
        </w:r>
        <w:r w:rsidR="002968FB">
          <w:rPr>
            <w:rFonts w:ascii="Arial" w:hAnsi="Arial" w:cs="Arial"/>
            <w:noProof/>
            <w:sz w:val="24"/>
            <w:szCs w:val="24"/>
          </w:rPr>
          <w:t>41</w:t>
        </w:r>
        <w:r w:rsidRPr="00A726EB">
          <w:rPr>
            <w:rFonts w:ascii="Arial" w:hAnsi="Arial" w:cs="Arial"/>
            <w:noProof/>
            <w:sz w:val="24"/>
            <w:szCs w:val="24"/>
          </w:rPr>
          <w:fldChar w:fldCharType="end"/>
        </w:r>
      </w:p>
    </w:sdtContent>
  </w:sdt>
  <w:p w:rsidR="00DA4DDA" w:rsidRDefault="00DA4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F7DD"/>
    <w:multiLevelType w:val="singleLevel"/>
    <w:tmpl w:val="377F5E28"/>
    <w:lvl w:ilvl="0">
      <w:start w:val="1"/>
      <w:numFmt w:val="lowerLetter"/>
      <w:lvlText w:val="(%1)"/>
      <w:lvlJc w:val="left"/>
      <w:pPr>
        <w:tabs>
          <w:tab w:val="num" w:pos="1224"/>
        </w:tabs>
        <w:ind w:left="1224" w:hanging="504"/>
      </w:pPr>
      <w:rPr>
        <w:rFonts w:ascii="Arial" w:hAnsi="Arial" w:cs="Arial"/>
        <w:snapToGrid/>
        <w:sz w:val="23"/>
        <w:szCs w:val="23"/>
      </w:rPr>
    </w:lvl>
  </w:abstractNum>
  <w:abstractNum w:abstractNumId="1" w15:restartNumberingAfterBreak="0">
    <w:nsid w:val="230C4E2B"/>
    <w:multiLevelType w:val="hybridMultilevel"/>
    <w:tmpl w:val="0B921F80"/>
    <w:lvl w:ilvl="0" w:tplc="E384E044">
      <w:start w:val="1"/>
      <w:numFmt w:val="decimal"/>
      <w:lvlText w:val="[%1]"/>
      <w:lvlJc w:val="left"/>
      <w:pPr>
        <w:ind w:left="644" w:hanging="360"/>
      </w:pPr>
      <w:rPr>
        <w:b w:val="0"/>
        <w:i w:val="0"/>
        <w:color w:val="000000" w:themeColor="text1"/>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2" w15:restartNumberingAfterBreak="0">
    <w:nsid w:val="24226AC0"/>
    <w:multiLevelType w:val="hybridMultilevel"/>
    <w:tmpl w:val="0A7C7978"/>
    <w:lvl w:ilvl="0" w:tplc="AF18DE42">
      <w:start w:val="1"/>
      <w:numFmt w:val="lowerLetter"/>
      <w:lvlText w:val="(%1)"/>
      <w:lvlJc w:val="left"/>
      <w:pPr>
        <w:ind w:left="1855" w:hanging="360"/>
      </w:pPr>
      <w:rPr>
        <w:rFonts w:hint="default"/>
      </w:rPr>
    </w:lvl>
    <w:lvl w:ilvl="1" w:tplc="1C090019" w:tentative="1">
      <w:start w:val="1"/>
      <w:numFmt w:val="lowerLetter"/>
      <w:lvlText w:val="%2."/>
      <w:lvlJc w:val="left"/>
      <w:pPr>
        <w:ind w:left="2575" w:hanging="360"/>
      </w:pPr>
    </w:lvl>
    <w:lvl w:ilvl="2" w:tplc="1C09001B" w:tentative="1">
      <w:start w:val="1"/>
      <w:numFmt w:val="lowerRoman"/>
      <w:lvlText w:val="%3."/>
      <w:lvlJc w:val="right"/>
      <w:pPr>
        <w:ind w:left="3295" w:hanging="180"/>
      </w:pPr>
    </w:lvl>
    <w:lvl w:ilvl="3" w:tplc="1C09000F" w:tentative="1">
      <w:start w:val="1"/>
      <w:numFmt w:val="decimal"/>
      <w:lvlText w:val="%4."/>
      <w:lvlJc w:val="left"/>
      <w:pPr>
        <w:ind w:left="4015" w:hanging="360"/>
      </w:pPr>
    </w:lvl>
    <w:lvl w:ilvl="4" w:tplc="1C090019" w:tentative="1">
      <w:start w:val="1"/>
      <w:numFmt w:val="lowerLetter"/>
      <w:lvlText w:val="%5."/>
      <w:lvlJc w:val="left"/>
      <w:pPr>
        <w:ind w:left="4735" w:hanging="360"/>
      </w:pPr>
    </w:lvl>
    <w:lvl w:ilvl="5" w:tplc="1C09001B" w:tentative="1">
      <w:start w:val="1"/>
      <w:numFmt w:val="lowerRoman"/>
      <w:lvlText w:val="%6."/>
      <w:lvlJc w:val="right"/>
      <w:pPr>
        <w:ind w:left="5455" w:hanging="180"/>
      </w:pPr>
    </w:lvl>
    <w:lvl w:ilvl="6" w:tplc="1C09000F" w:tentative="1">
      <w:start w:val="1"/>
      <w:numFmt w:val="decimal"/>
      <w:lvlText w:val="%7."/>
      <w:lvlJc w:val="left"/>
      <w:pPr>
        <w:ind w:left="6175" w:hanging="360"/>
      </w:pPr>
    </w:lvl>
    <w:lvl w:ilvl="7" w:tplc="1C090019" w:tentative="1">
      <w:start w:val="1"/>
      <w:numFmt w:val="lowerLetter"/>
      <w:lvlText w:val="%8."/>
      <w:lvlJc w:val="left"/>
      <w:pPr>
        <w:ind w:left="6895" w:hanging="360"/>
      </w:pPr>
    </w:lvl>
    <w:lvl w:ilvl="8" w:tplc="1C09001B" w:tentative="1">
      <w:start w:val="1"/>
      <w:numFmt w:val="lowerRoman"/>
      <w:lvlText w:val="%9."/>
      <w:lvlJc w:val="right"/>
      <w:pPr>
        <w:ind w:left="7615" w:hanging="180"/>
      </w:pPr>
    </w:lvl>
  </w:abstractNum>
  <w:abstractNum w:abstractNumId="3" w15:restartNumberingAfterBreak="0">
    <w:nsid w:val="48C15FB9"/>
    <w:multiLevelType w:val="hybridMultilevel"/>
    <w:tmpl w:val="0FFE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34565"/>
    <w:multiLevelType w:val="hybridMultilevel"/>
    <w:tmpl w:val="44D883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09A0381"/>
    <w:multiLevelType w:val="hybridMultilevel"/>
    <w:tmpl w:val="A156C96A"/>
    <w:lvl w:ilvl="0" w:tplc="FF8C2360">
      <w:start w:val="1"/>
      <w:numFmt w:val="lowerLetter"/>
      <w:lvlText w:val="(%1)"/>
      <w:lvlJc w:val="left"/>
      <w:pPr>
        <w:ind w:left="5039" w:hanging="360"/>
      </w:pPr>
      <w:rPr>
        <w:rFonts w:hint="default"/>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6" w15:restartNumberingAfterBreak="0">
    <w:nsid w:val="7BB80532"/>
    <w:multiLevelType w:val="hybridMultilevel"/>
    <w:tmpl w:val="FA647104"/>
    <w:lvl w:ilvl="0" w:tplc="6A606D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41"/>
    <w:rsid w:val="00000FDC"/>
    <w:rsid w:val="00004FC5"/>
    <w:rsid w:val="000106B4"/>
    <w:rsid w:val="000108A6"/>
    <w:rsid w:val="00023BD4"/>
    <w:rsid w:val="000364A8"/>
    <w:rsid w:val="00036990"/>
    <w:rsid w:val="00047CED"/>
    <w:rsid w:val="00050C0E"/>
    <w:rsid w:val="00053963"/>
    <w:rsid w:val="00055562"/>
    <w:rsid w:val="000641DA"/>
    <w:rsid w:val="00086F0C"/>
    <w:rsid w:val="00087AF8"/>
    <w:rsid w:val="00093756"/>
    <w:rsid w:val="00093FA8"/>
    <w:rsid w:val="000A0152"/>
    <w:rsid w:val="000B6017"/>
    <w:rsid w:val="000C3275"/>
    <w:rsid w:val="000E1E1E"/>
    <w:rsid w:val="000E2C23"/>
    <w:rsid w:val="000E56F5"/>
    <w:rsid w:val="000E75BF"/>
    <w:rsid w:val="000F0290"/>
    <w:rsid w:val="000F2700"/>
    <w:rsid w:val="00100944"/>
    <w:rsid w:val="001025F1"/>
    <w:rsid w:val="001033E8"/>
    <w:rsid w:val="00103BD0"/>
    <w:rsid w:val="00115E26"/>
    <w:rsid w:val="00132374"/>
    <w:rsid w:val="001411BA"/>
    <w:rsid w:val="001511B5"/>
    <w:rsid w:val="001561F5"/>
    <w:rsid w:val="00163E46"/>
    <w:rsid w:val="00171583"/>
    <w:rsid w:val="001735BE"/>
    <w:rsid w:val="0017384D"/>
    <w:rsid w:val="0019265D"/>
    <w:rsid w:val="001A3CC0"/>
    <w:rsid w:val="001A58AE"/>
    <w:rsid w:val="001A6A06"/>
    <w:rsid w:val="001C6056"/>
    <w:rsid w:val="001D4711"/>
    <w:rsid w:val="00201BDA"/>
    <w:rsid w:val="00206713"/>
    <w:rsid w:val="00207F91"/>
    <w:rsid w:val="002143CD"/>
    <w:rsid w:val="0021770A"/>
    <w:rsid w:val="002258FB"/>
    <w:rsid w:val="0023721F"/>
    <w:rsid w:val="00241819"/>
    <w:rsid w:val="00254415"/>
    <w:rsid w:val="002621A6"/>
    <w:rsid w:val="0026515C"/>
    <w:rsid w:val="0026707A"/>
    <w:rsid w:val="00283AF0"/>
    <w:rsid w:val="00290E67"/>
    <w:rsid w:val="002920C0"/>
    <w:rsid w:val="002968FB"/>
    <w:rsid w:val="00297059"/>
    <w:rsid w:val="002A068B"/>
    <w:rsid w:val="002C2B58"/>
    <w:rsid w:val="002C404A"/>
    <w:rsid w:val="002C4BD6"/>
    <w:rsid w:val="002D658E"/>
    <w:rsid w:val="00305068"/>
    <w:rsid w:val="0031075F"/>
    <w:rsid w:val="0032076C"/>
    <w:rsid w:val="00322AA1"/>
    <w:rsid w:val="00322B38"/>
    <w:rsid w:val="00331B55"/>
    <w:rsid w:val="00335229"/>
    <w:rsid w:val="00341F69"/>
    <w:rsid w:val="0034497B"/>
    <w:rsid w:val="00345F00"/>
    <w:rsid w:val="003510DB"/>
    <w:rsid w:val="003511BF"/>
    <w:rsid w:val="0035411E"/>
    <w:rsid w:val="00354DC4"/>
    <w:rsid w:val="00360DE5"/>
    <w:rsid w:val="00361EEF"/>
    <w:rsid w:val="00380D72"/>
    <w:rsid w:val="0039034E"/>
    <w:rsid w:val="00391155"/>
    <w:rsid w:val="003935D6"/>
    <w:rsid w:val="003B75D6"/>
    <w:rsid w:val="003C0C83"/>
    <w:rsid w:val="003C77D8"/>
    <w:rsid w:val="003D0AE0"/>
    <w:rsid w:val="003E11F8"/>
    <w:rsid w:val="003E4058"/>
    <w:rsid w:val="003F3C8B"/>
    <w:rsid w:val="003F3EB9"/>
    <w:rsid w:val="003F609A"/>
    <w:rsid w:val="003F7EFF"/>
    <w:rsid w:val="004039B5"/>
    <w:rsid w:val="004062AD"/>
    <w:rsid w:val="0040773A"/>
    <w:rsid w:val="00414FF8"/>
    <w:rsid w:val="004153BF"/>
    <w:rsid w:val="004322FF"/>
    <w:rsid w:val="0043587C"/>
    <w:rsid w:val="00454543"/>
    <w:rsid w:val="004654F8"/>
    <w:rsid w:val="0047790C"/>
    <w:rsid w:val="00484414"/>
    <w:rsid w:val="00485DE7"/>
    <w:rsid w:val="00493143"/>
    <w:rsid w:val="00496ACC"/>
    <w:rsid w:val="004A7C55"/>
    <w:rsid w:val="004B4B78"/>
    <w:rsid w:val="004B5BAF"/>
    <w:rsid w:val="004C650A"/>
    <w:rsid w:val="004D09D6"/>
    <w:rsid w:val="004E313B"/>
    <w:rsid w:val="004E772B"/>
    <w:rsid w:val="004F4013"/>
    <w:rsid w:val="005030A2"/>
    <w:rsid w:val="00517F1E"/>
    <w:rsid w:val="00527AC0"/>
    <w:rsid w:val="00531575"/>
    <w:rsid w:val="005332B0"/>
    <w:rsid w:val="00540183"/>
    <w:rsid w:val="005446C2"/>
    <w:rsid w:val="00545028"/>
    <w:rsid w:val="00550DBD"/>
    <w:rsid w:val="00561970"/>
    <w:rsid w:val="00566A3F"/>
    <w:rsid w:val="00586C47"/>
    <w:rsid w:val="00586D66"/>
    <w:rsid w:val="00591C6F"/>
    <w:rsid w:val="00592A02"/>
    <w:rsid w:val="00593E3D"/>
    <w:rsid w:val="00594AD7"/>
    <w:rsid w:val="005A241B"/>
    <w:rsid w:val="005A3C13"/>
    <w:rsid w:val="005A4515"/>
    <w:rsid w:val="005B002C"/>
    <w:rsid w:val="005B0C2F"/>
    <w:rsid w:val="005C484B"/>
    <w:rsid w:val="005E48BB"/>
    <w:rsid w:val="005E4E2F"/>
    <w:rsid w:val="005F13B6"/>
    <w:rsid w:val="005F3A17"/>
    <w:rsid w:val="005F3B3B"/>
    <w:rsid w:val="0062180F"/>
    <w:rsid w:val="00632955"/>
    <w:rsid w:val="0064564D"/>
    <w:rsid w:val="00645861"/>
    <w:rsid w:val="00654B82"/>
    <w:rsid w:val="0066251F"/>
    <w:rsid w:val="0069465E"/>
    <w:rsid w:val="00697411"/>
    <w:rsid w:val="00697FBA"/>
    <w:rsid w:val="006A5054"/>
    <w:rsid w:val="006B4A0A"/>
    <w:rsid w:val="006B52D1"/>
    <w:rsid w:val="006D0469"/>
    <w:rsid w:val="006E37D9"/>
    <w:rsid w:val="006E4E7D"/>
    <w:rsid w:val="00700C91"/>
    <w:rsid w:val="00706DAF"/>
    <w:rsid w:val="00723E2F"/>
    <w:rsid w:val="00724152"/>
    <w:rsid w:val="00732114"/>
    <w:rsid w:val="00737E03"/>
    <w:rsid w:val="00742275"/>
    <w:rsid w:val="00743DE7"/>
    <w:rsid w:val="0075491B"/>
    <w:rsid w:val="00754BEC"/>
    <w:rsid w:val="00767F8B"/>
    <w:rsid w:val="007710CC"/>
    <w:rsid w:val="007770C1"/>
    <w:rsid w:val="007778AB"/>
    <w:rsid w:val="007864A1"/>
    <w:rsid w:val="007A0D97"/>
    <w:rsid w:val="007A494F"/>
    <w:rsid w:val="007B77D9"/>
    <w:rsid w:val="007C2905"/>
    <w:rsid w:val="007C33D9"/>
    <w:rsid w:val="007C7E82"/>
    <w:rsid w:val="007E4589"/>
    <w:rsid w:val="007F32EC"/>
    <w:rsid w:val="00806C24"/>
    <w:rsid w:val="0081096B"/>
    <w:rsid w:val="008135B4"/>
    <w:rsid w:val="0081422D"/>
    <w:rsid w:val="008232D8"/>
    <w:rsid w:val="00834159"/>
    <w:rsid w:val="008449F0"/>
    <w:rsid w:val="008468D4"/>
    <w:rsid w:val="008474BC"/>
    <w:rsid w:val="00853A76"/>
    <w:rsid w:val="0088112F"/>
    <w:rsid w:val="008A2AAB"/>
    <w:rsid w:val="008B5143"/>
    <w:rsid w:val="008B6150"/>
    <w:rsid w:val="008C06C9"/>
    <w:rsid w:val="008C3D33"/>
    <w:rsid w:val="008C4889"/>
    <w:rsid w:val="008C74BA"/>
    <w:rsid w:val="008D3D48"/>
    <w:rsid w:val="008D51E9"/>
    <w:rsid w:val="008E1ACF"/>
    <w:rsid w:val="008E50A9"/>
    <w:rsid w:val="008E6AF1"/>
    <w:rsid w:val="008F6503"/>
    <w:rsid w:val="008F6B4F"/>
    <w:rsid w:val="00900E9A"/>
    <w:rsid w:val="00902495"/>
    <w:rsid w:val="00902703"/>
    <w:rsid w:val="00903AB1"/>
    <w:rsid w:val="00916981"/>
    <w:rsid w:val="009664FD"/>
    <w:rsid w:val="00967E74"/>
    <w:rsid w:val="00971EAD"/>
    <w:rsid w:val="009932C5"/>
    <w:rsid w:val="009A1857"/>
    <w:rsid w:val="009A35B6"/>
    <w:rsid w:val="009A3617"/>
    <w:rsid w:val="009A5719"/>
    <w:rsid w:val="009B0D98"/>
    <w:rsid w:val="009B4796"/>
    <w:rsid w:val="009B5522"/>
    <w:rsid w:val="009C0397"/>
    <w:rsid w:val="009C2F28"/>
    <w:rsid w:val="009D06BA"/>
    <w:rsid w:val="009D632E"/>
    <w:rsid w:val="009D6780"/>
    <w:rsid w:val="009D68A5"/>
    <w:rsid w:val="009E5086"/>
    <w:rsid w:val="00A03F1B"/>
    <w:rsid w:val="00A106DE"/>
    <w:rsid w:val="00A17AD5"/>
    <w:rsid w:val="00A23C24"/>
    <w:rsid w:val="00A31544"/>
    <w:rsid w:val="00A32ACE"/>
    <w:rsid w:val="00A365FA"/>
    <w:rsid w:val="00A465A0"/>
    <w:rsid w:val="00A47FC7"/>
    <w:rsid w:val="00A521CA"/>
    <w:rsid w:val="00A62636"/>
    <w:rsid w:val="00A63D78"/>
    <w:rsid w:val="00A63F86"/>
    <w:rsid w:val="00A726EB"/>
    <w:rsid w:val="00A8066A"/>
    <w:rsid w:val="00A84BBC"/>
    <w:rsid w:val="00A90E41"/>
    <w:rsid w:val="00A92319"/>
    <w:rsid w:val="00AA68F7"/>
    <w:rsid w:val="00AB0D02"/>
    <w:rsid w:val="00AB3AB4"/>
    <w:rsid w:val="00AC3E19"/>
    <w:rsid w:val="00AC4644"/>
    <w:rsid w:val="00AD3A59"/>
    <w:rsid w:val="00AE00C1"/>
    <w:rsid w:val="00AF44CD"/>
    <w:rsid w:val="00B01FE2"/>
    <w:rsid w:val="00B25831"/>
    <w:rsid w:val="00B46533"/>
    <w:rsid w:val="00B52B65"/>
    <w:rsid w:val="00B63647"/>
    <w:rsid w:val="00B75D07"/>
    <w:rsid w:val="00B7663C"/>
    <w:rsid w:val="00B8378C"/>
    <w:rsid w:val="00B85898"/>
    <w:rsid w:val="00B85961"/>
    <w:rsid w:val="00BB0962"/>
    <w:rsid w:val="00BB1127"/>
    <w:rsid w:val="00BC4190"/>
    <w:rsid w:val="00BE5AB1"/>
    <w:rsid w:val="00BE633E"/>
    <w:rsid w:val="00BE6A88"/>
    <w:rsid w:val="00BF6E29"/>
    <w:rsid w:val="00C108E5"/>
    <w:rsid w:val="00C24BFA"/>
    <w:rsid w:val="00C310EB"/>
    <w:rsid w:val="00C361B0"/>
    <w:rsid w:val="00C36ABF"/>
    <w:rsid w:val="00C53D44"/>
    <w:rsid w:val="00C561A7"/>
    <w:rsid w:val="00C8066E"/>
    <w:rsid w:val="00C81264"/>
    <w:rsid w:val="00C87A1D"/>
    <w:rsid w:val="00C93FE9"/>
    <w:rsid w:val="00CA0695"/>
    <w:rsid w:val="00CA1B45"/>
    <w:rsid w:val="00CB5561"/>
    <w:rsid w:val="00CC2A4F"/>
    <w:rsid w:val="00CC2D78"/>
    <w:rsid w:val="00CC3CB5"/>
    <w:rsid w:val="00CC40C9"/>
    <w:rsid w:val="00CE3657"/>
    <w:rsid w:val="00CF1755"/>
    <w:rsid w:val="00CF6C82"/>
    <w:rsid w:val="00CF6E38"/>
    <w:rsid w:val="00D01F4C"/>
    <w:rsid w:val="00D10221"/>
    <w:rsid w:val="00D10944"/>
    <w:rsid w:val="00D10CCC"/>
    <w:rsid w:val="00D224C1"/>
    <w:rsid w:val="00D25235"/>
    <w:rsid w:val="00D33E92"/>
    <w:rsid w:val="00D4365B"/>
    <w:rsid w:val="00D50936"/>
    <w:rsid w:val="00D602D6"/>
    <w:rsid w:val="00D67D1B"/>
    <w:rsid w:val="00D75298"/>
    <w:rsid w:val="00D820BF"/>
    <w:rsid w:val="00D852BC"/>
    <w:rsid w:val="00D86634"/>
    <w:rsid w:val="00D86D9A"/>
    <w:rsid w:val="00D90DC4"/>
    <w:rsid w:val="00D940B8"/>
    <w:rsid w:val="00DA23FF"/>
    <w:rsid w:val="00DA4DDA"/>
    <w:rsid w:val="00DB38FF"/>
    <w:rsid w:val="00DB6D61"/>
    <w:rsid w:val="00DC7785"/>
    <w:rsid w:val="00DD64F7"/>
    <w:rsid w:val="00DF0C55"/>
    <w:rsid w:val="00DF215B"/>
    <w:rsid w:val="00DF33CE"/>
    <w:rsid w:val="00E01E34"/>
    <w:rsid w:val="00E068D1"/>
    <w:rsid w:val="00E06B36"/>
    <w:rsid w:val="00E07274"/>
    <w:rsid w:val="00E10A06"/>
    <w:rsid w:val="00E26DE2"/>
    <w:rsid w:val="00E36624"/>
    <w:rsid w:val="00E472C5"/>
    <w:rsid w:val="00E51B51"/>
    <w:rsid w:val="00E5302A"/>
    <w:rsid w:val="00E53A1E"/>
    <w:rsid w:val="00E545BC"/>
    <w:rsid w:val="00E60F26"/>
    <w:rsid w:val="00E61A38"/>
    <w:rsid w:val="00E64664"/>
    <w:rsid w:val="00E82C78"/>
    <w:rsid w:val="00E875BD"/>
    <w:rsid w:val="00EA1960"/>
    <w:rsid w:val="00EA1E8C"/>
    <w:rsid w:val="00EA63F0"/>
    <w:rsid w:val="00EB4AD8"/>
    <w:rsid w:val="00EC1D84"/>
    <w:rsid w:val="00EC26F8"/>
    <w:rsid w:val="00EC40B3"/>
    <w:rsid w:val="00ED1F50"/>
    <w:rsid w:val="00EE378D"/>
    <w:rsid w:val="00EF7C85"/>
    <w:rsid w:val="00F01034"/>
    <w:rsid w:val="00F0422E"/>
    <w:rsid w:val="00F137AE"/>
    <w:rsid w:val="00F20CB9"/>
    <w:rsid w:val="00F2267F"/>
    <w:rsid w:val="00F25BEF"/>
    <w:rsid w:val="00F32B92"/>
    <w:rsid w:val="00F44FA2"/>
    <w:rsid w:val="00F55B6B"/>
    <w:rsid w:val="00F573E8"/>
    <w:rsid w:val="00F66A81"/>
    <w:rsid w:val="00F845A3"/>
    <w:rsid w:val="00F8632B"/>
    <w:rsid w:val="00F9107A"/>
    <w:rsid w:val="00FA7B03"/>
    <w:rsid w:val="00FB171D"/>
    <w:rsid w:val="00FB1B92"/>
    <w:rsid w:val="00FC2FC0"/>
    <w:rsid w:val="00FD4698"/>
    <w:rsid w:val="00FD629B"/>
    <w:rsid w:val="00FD7890"/>
    <w:rsid w:val="00FF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1A497AA-F712-48E4-BE50-5D73210E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E4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A90E41"/>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A90E41"/>
    <w:rPr>
      <w:sz w:val="20"/>
      <w:szCs w:val="20"/>
      <w:lang w:val="en-US"/>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A90E41"/>
    <w:rPr>
      <w:vertAlign w:val="superscript"/>
    </w:rPr>
  </w:style>
  <w:style w:type="paragraph" w:styleId="ListParagraph">
    <w:name w:val="List Paragraph"/>
    <w:aliases w:val="Bullet Main"/>
    <w:basedOn w:val="Normal"/>
    <w:link w:val="ListParagraphChar"/>
    <w:uiPriority w:val="34"/>
    <w:qFormat/>
    <w:rsid w:val="00A90E41"/>
    <w:pPr>
      <w:ind w:left="720"/>
      <w:contextualSpacing/>
    </w:pPr>
  </w:style>
  <w:style w:type="character" w:customStyle="1" w:styleId="ListParagraphChar">
    <w:name w:val="List Paragraph Char"/>
    <w:aliases w:val="Bullet Main Char"/>
    <w:link w:val="ListParagraph"/>
    <w:uiPriority w:val="34"/>
    <w:locked/>
    <w:rsid w:val="00A90E41"/>
    <w:rPr>
      <w:sz w:val="22"/>
      <w:szCs w:val="22"/>
      <w:lang w:val="en-US"/>
    </w:rPr>
  </w:style>
  <w:style w:type="paragraph" w:styleId="PlainText">
    <w:name w:val="Plain Text"/>
    <w:basedOn w:val="Normal"/>
    <w:link w:val="PlainTextChar"/>
    <w:uiPriority w:val="99"/>
    <w:unhideWhenUsed/>
    <w:rsid w:val="00A90E41"/>
    <w:pPr>
      <w:spacing w:after="0" w:line="240" w:lineRule="auto"/>
    </w:pPr>
    <w:rPr>
      <w:rFonts w:ascii="Calibri" w:hAnsi="Calibri"/>
      <w:szCs w:val="21"/>
      <w:lang w:val="en-ZA"/>
    </w:rPr>
  </w:style>
  <w:style w:type="character" w:customStyle="1" w:styleId="PlainTextChar">
    <w:name w:val="Plain Text Char"/>
    <w:basedOn w:val="DefaultParagraphFont"/>
    <w:link w:val="PlainText"/>
    <w:uiPriority w:val="99"/>
    <w:rsid w:val="00A90E41"/>
    <w:rPr>
      <w:rFonts w:ascii="Calibri" w:hAnsi="Calibri"/>
      <w:sz w:val="22"/>
      <w:szCs w:val="21"/>
      <w:lang w:val="en-ZA"/>
    </w:rPr>
  </w:style>
  <w:style w:type="paragraph" w:styleId="BalloonText">
    <w:name w:val="Balloon Text"/>
    <w:basedOn w:val="Normal"/>
    <w:link w:val="BalloonTextChar"/>
    <w:uiPriority w:val="99"/>
    <w:semiHidden/>
    <w:unhideWhenUsed/>
    <w:rsid w:val="00E10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06"/>
    <w:rPr>
      <w:rFonts w:ascii="Segoe UI" w:hAnsi="Segoe UI" w:cs="Segoe UI"/>
      <w:sz w:val="18"/>
      <w:szCs w:val="18"/>
      <w:lang w:val="en-US"/>
    </w:rPr>
  </w:style>
  <w:style w:type="paragraph" w:styleId="Header">
    <w:name w:val="header"/>
    <w:basedOn w:val="Normal"/>
    <w:link w:val="HeaderChar"/>
    <w:uiPriority w:val="99"/>
    <w:unhideWhenUsed/>
    <w:rsid w:val="00902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703"/>
    <w:rPr>
      <w:sz w:val="22"/>
      <w:szCs w:val="22"/>
      <w:lang w:val="en-US"/>
    </w:rPr>
  </w:style>
  <w:style w:type="paragraph" w:styleId="Footer">
    <w:name w:val="footer"/>
    <w:basedOn w:val="Normal"/>
    <w:link w:val="FooterChar"/>
    <w:uiPriority w:val="99"/>
    <w:unhideWhenUsed/>
    <w:rsid w:val="00902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703"/>
    <w:rPr>
      <w:sz w:val="22"/>
      <w:szCs w:val="22"/>
      <w:lang w:val="en-US"/>
    </w:rPr>
  </w:style>
  <w:style w:type="character" w:styleId="CommentReference">
    <w:name w:val="annotation reference"/>
    <w:basedOn w:val="DefaultParagraphFont"/>
    <w:uiPriority w:val="99"/>
    <w:semiHidden/>
    <w:unhideWhenUsed/>
    <w:rsid w:val="008B6150"/>
    <w:rPr>
      <w:sz w:val="16"/>
      <w:szCs w:val="16"/>
    </w:rPr>
  </w:style>
  <w:style w:type="paragraph" w:styleId="CommentText">
    <w:name w:val="annotation text"/>
    <w:basedOn w:val="Normal"/>
    <w:link w:val="CommentTextChar"/>
    <w:uiPriority w:val="99"/>
    <w:semiHidden/>
    <w:unhideWhenUsed/>
    <w:rsid w:val="008B6150"/>
    <w:pPr>
      <w:spacing w:line="240" w:lineRule="auto"/>
    </w:pPr>
    <w:rPr>
      <w:sz w:val="20"/>
      <w:szCs w:val="20"/>
    </w:rPr>
  </w:style>
  <w:style w:type="character" w:customStyle="1" w:styleId="CommentTextChar">
    <w:name w:val="Comment Text Char"/>
    <w:basedOn w:val="DefaultParagraphFont"/>
    <w:link w:val="CommentText"/>
    <w:uiPriority w:val="99"/>
    <w:semiHidden/>
    <w:rsid w:val="008B6150"/>
    <w:rPr>
      <w:sz w:val="20"/>
      <w:szCs w:val="20"/>
      <w:lang w:val="en-US"/>
    </w:rPr>
  </w:style>
  <w:style w:type="table" w:styleId="TableGrid">
    <w:name w:val="Table Grid"/>
    <w:basedOn w:val="TableNormal"/>
    <w:uiPriority w:val="39"/>
    <w:rsid w:val="00A72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C50629C9-C1B6-4507-BCB6-77C097B8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43</Pages>
  <Words>9534</Words>
  <Characters>54344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 T. Damaseb</dc:creator>
  <cp:keywords/>
  <dc:description/>
  <cp:lastModifiedBy>Sevelia Nghitumbwa</cp:lastModifiedBy>
  <cp:revision>18</cp:revision>
  <cp:lastPrinted>2019-05-28T07:45:00Z</cp:lastPrinted>
  <dcterms:created xsi:type="dcterms:W3CDTF">2019-05-28T06:33:00Z</dcterms:created>
  <dcterms:modified xsi:type="dcterms:W3CDTF">2019-05-28T10:18:00Z</dcterms:modified>
</cp:coreProperties>
</file>