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DD" w:rsidRPr="006A55DD" w:rsidRDefault="006A55DD" w:rsidP="00E462FE">
      <w:pPr>
        <w:spacing w:after="0" w:line="480" w:lineRule="auto"/>
        <w:jc w:val="center"/>
        <w:rPr>
          <w:b/>
          <w:sz w:val="24"/>
          <w:szCs w:val="24"/>
        </w:rPr>
      </w:pPr>
      <w:bookmarkStart w:id="0" w:name="_GoBack"/>
      <w:bookmarkEnd w:id="0"/>
      <w:r w:rsidRPr="00A41CEE">
        <w:rPr>
          <w:b/>
          <w:noProof/>
          <w:sz w:val="24"/>
          <w:szCs w:val="24"/>
          <w:lang w:val="en-GB" w:eastAsia="en-GB"/>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742ED" w:rsidRPr="00E462FE" w:rsidRDefault="006742ED" w:rsidP="00E462FE">
      <w:pPr>
        <w:pStyle w:val="NoSpacing"/>
        <w:spacing w:line="480" w:lineRule="auto"/>
        <w:jc w:val="right"/>
        <w:rPr>
          <w:rFonts w:ascii="Arial" w:hAnsi="Arial" w:cs="Arial"/>
          <w:b/>
          <w:sz w:val="24"/>
          <w:szCs w:val="24"/>
        </w:rPr>
      </w:pPr>
      <w:r>
        <w:rPr>
          <w:rFonts w:ascii="Arial" w:hAnsi="Arial" w:cs="Arial"/>
          <w:b/>
          <w:sz w:val="24"/>
          <w:szCs w:val="24"/>
        </w:rPr>
        <w:t>REPORTABLE</w:t>
      </w:r>
    </w:p>
    <w:p w:rsidR="00CC4D0B" w:rsidRDefault="006A55DD" w:rsidP="00E462FE">
      <w:pPr>
        <w:pStyle w:val="NoSpacing"/>
        <w:spacing w:line="480" w:lineRule="auto"/>
        <w:jc w:val="right"/>
        <w:rPr>
          <w:rFonts w:ascii="Arial" w:hAnsi="Arial" w:cs="Arial"/>
          <w:sz w:val="24"/>
          <w:szCs w:val="24"/>
        </w:rPr>
      </w:pPr>
      <w:r>
        <w:rPr>
          <w:rFonts w:ascii="Arial" w:hAnsi="Arial" w:cs="Arial"/>
          <w:sz w:val="24"/>
          <w:szCs w:val="24"/>
        </w:rPr>
        <w:t>C</w:t>
      </w:r>
      <w:r w:rsidR="00C2392B">
        <w:rPr>
          <w:rFonts w:ascii="Arial" w:hAnsi="Arial" w:cs="Arial"/>
          <w:sz w:val="24"/>
          <w:szCs w:val="24"/>
        </w:rPr>
        <w:t>ASE NO</w:t>
      </w:r>
      <w:r w:rsidR="00980EE0">
        <w:rPr>
          <w:rFonts w:ascii="Arial" w:hAnsi="Arial" w:cs="Arial"/>
          <w:sz w:val="24"/>
          <w:szCs w:val="24"/>
        </w:rPr>
        <w:t>: SA 60/2017</w:t>
      </w:r>
    </w:p>
    <w:p w:rsidR="00E462FE" w:rsidRDefault="00E462FE" w:rsidP="00E462FE">
      <w:pPr>
        <w:pStyle w:val="NoSpacing"/>
        <w:spacing w:line="480" w:lineRule="auto"/>
        <w:jc w:val="right"/>
        <w:rPr>
          <w:rFonts w:ascii="Arial" w:hAnsi="Arial" w:cs="Arial"/>
          <w:sz w:val="24"/>
          <w:szCs w:val="24"/>
        </w:rPr>
      </w:pPr>
    </w:p>
    <w:p w:rsidR="006742ED" w:rsidRPr="006742ED" w:rsidRDefault="006742ED" w:rsidP="00E462FE">
      <w:pPr>
        <w:pStyle w:val="NoSpacing"/>
        <w:spacing w:line="480" w:lineRule="auto"/>
        <w:rPr>
          <w:rFonts w:ascii="Arial" w:hAnsi="Arial" w:cs="Arial"/>
          <w:b/>
          <w:sz w:val="24"/>
          <w:szCs w:val="24"/>
        </w:rPr>
      </w:pPr>
      <w:r w:rsidRPr="006742ED">
        <w:rPr>
          <w:rFonts w:ascii="Arial" w:hAnsi="Arial" w:cs="Arial"/>
          <w:b/>
          <w:sz w:val="24"/>
          <w:szCs w:val="24"/>
        </w:rPr>
        <w:t xml:space="preserve">IN THE SUPREME </w:t>
      </w:r>
      <w:r w:rsidR="00662971">
        <w:rPr>
          <w:rFonts w:ascii="Arial" w:hAnsi="Arial" w:cs="Arial"/>
          <w:b/>
          <w:sz w:val="24"/>
          <w:szCs w:val="24"/>
        </w:rPr>
        <w:t>COURT</w:t>
      </w:r>
      <w:r w:rsidRPr="006742ED">
        <w:rPr>
          <w:rFonts w:ascii="Arial" w:hAnsi="Arial" w:cs="Arial"/>
          <w:b/>
          <w:sz w:val="24"/>
          <w:szCs w:val="24"/>
        </w:rPr>
        <w:t xml:space="preserve"> OF NAMIBIA</w:t>
      </w:r>
    </w:p>
    <w:p w:rsidR="00CC4D0B" w:rsidRDefault="00CC4D0B" w:rsidP="00E462FE">
      <w:pPr>
        <w:pStyle w:val="NoSpacing"/>
        <w:spacing w:line="480" w:lineRule="auto"/>
        <w:rPr>
          <w:rFonts w:ascii="Arial" w:hAnsi="Arial" w:cs="Arial"/>
          <w:sz w:val="24"/>
          <w:szCs w:val="24"/>
        </w:rPr>
      </w:pPr>
    </w:p>
    <w:p w:rsidR="00701260" w:rsidRPr="00991107" w:rsidRDefault="00E462FE" w:rsidP="00E462FE">
      <w:pPr>
        <w:pStyle w:val="NoSpacing"/>
        <w:spacing w:line="480" w:lineRule="auto"/>
        <w:rPr>
          <w:rFonts w:ascii="Arial" w:hAnsi="Arial" w:cs="Arial"/>
          <w:sz w:val="24"/>
          <w:szCs w:val="24"/>
        </w:rPr>
      </w:pPr>
      <w:r>
        <w:rPr>
          <w:rFonts w:ascii="Arial" w:hAnsi="Arial" w:cs="Arial"/>
          <w:sz w:val="24"/>
          <w:szCs w:val="24"/>
        </w:rPr>
        <w:t>In the matter between:</w:t>
      </w:r>
    </w:p>
    <w:p w:rsidR="00D666F0" w:rsidRDefault="00D666F0" w:rsidP="00E462FE">
      <w:pPr>
        <w:pStyle w:val="NoSpacing"/>
        <w:spacing w:line="480" w:lineRule="auto"/>
        <w:rPr>
          <w:rFonts w:ascii="Arial" w:hAnsi="Arial" w:cs="Arial"/>
          <w:sz w:val="24"/>
          <w:szCs w:val="24"/>
        </w:rPr>
      </w:pPr>
    </w:p>
    <w:tbl>
      <w:tblPr>
        <w:tblStyle w:val="TableGrid"/>
        <w:tblW w:w="11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1677"/>
        <w:gridCol w:w="228"/>
        <w:gridCol w:w="2474"/>
        <w:gridCol w:w="2474"/>
      </w:tblGrid>
      <w:tr w:rsidR="00F104A3" w:rsidRPr="002F2B3F" w:rsidTr="00F104A3">
        <w:trPr>
          <w:trHeight w:val="1050"/>
        </w:trPr>
        <w:tc>
          <w:tcPr>
            <w:tcW w:w="4547" w:type="dxa"/>
          </w:tcPr>
          <w:p w:rsidR="00F104A3" w:rsidRPr="002F2B3F" w:rsidRDefault="00F104A3" w:rsidP="00E462FE">
            <w:pPr>
              <w:pStyle w:val="NoSpacing"/>
              <w:spacing w:line="480" w:lineRule="auto"/>
              <w:ind w:left="-108" w:right="2160"/>
              <w:rPr>
                <w:rFonts w:ascii="Arial" w:hAnsi="Arial" w:cs="Arial"/>
                <w:b/>
                <w:sz w:val="24"/>
                <w:szCs w:val="24"/>
              </w:rPr>
            </w:pPr>
            <w:r>
              <w:rPr>
                <w:rFonts w:ascii="Arial" w:hAnsi="Arial" w:cs="Arial"/>
                <w:b/>
                <w:sz w:val="24"/>
                <w:szCs w:val="24"/>
              </w:rPr>
              <w:t>PAMO TRADING ENTERPRISES CC</w:t>
            </w:r>
          </w:p>
        </w:tc>
        <w:tc>
          <w:tcPr>
            <w:tcW w:w="1677" w:type="dxa"/>
          </w:tcPr>
          <w:p w:rsidR="00F104A3" w:rsidRPr="002F2B3F" w:rsidRDefault="00F104A3" w:rsidP="00E462FE">
            <w:pPr>
              <w:pStyle w:val="NoSpacing"/>
              <w:spacing w:line="480" w:lineRule="auto"/>
              <w:jc w:val="right"/>
              <w:rPr>
                <w:rFonts w:ascii="Arial" w:hAnsi="Arial" w:cs="Arial"/>
                <w:b/>
                <w:sz w:val="24"/>
                <w:szCs w:val="24"/>
              </w:rPr>
            </w:pPr>
          </w:p>
        </w:tc>
        <w:tc>
          <w:tcPr>
            <w:tcW w:w="228" w:type="dxa"/>
          </w:tcPr>
          <w:p w:rsidR="00F104A3" w:rsidRPr="002F2B3F" w:rsidRDefault="00F104A3" w:rsidP="00E462FE">
            <w:pPr>
              <w:pStyle w:val="NoSpacing"/>
              <w:spacing w:line="480" w:lineRule="auto"/>
              <w:jc w:val="right"/>
              <w:rPr>
                <w:rFonts w:ascii="Arial" w:hAnsi="Arial" w:cs="Arial"/>
                <w:b/>
                <w:sz w:val="24"/>
                <w:szCs w:val="24"/>
              </w:rPr>
            </w:pPr>
          </w:p>
        </w:tc>
        <w:tc>
          <w:tcPr>
            <w:tcW w:w="2474" w:type="dxa"/>
          </w:tcPr>
          <w:p w:rsidR="00F104A3" w:rsidRPr="002F2B3F" w:rsidRDefault="00F104A3" w:rsidP="00E462FE">
            <w:pPr>
              <w:pStyle w:val="NoSpacing"/>
              <w:spacing w:line="480" w:lineRule="auto"/>
              <w:ind w:left="-1901"/>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Appellant</w:t>
            </w:r>
          </w:p>
        </w:tc>
        <w:tc>
          <w:tcPr>
            <w:tcW w:w="2474" w:type="dxa"/>
          </w:tcPr>
          <w:p w:rsidR="00F104A3" w:rsidRDefault="00F104A3" w:rsidP="00E462FE">
            <w:pPr>
              <w:pStyle w:val="NoSpacing"/>
              <w:spacing w:line="480" w:lineRule="auto"/>
              <w:ind w:left="-1901"/>
              <w:jc w:val="right"/>
              <w:rPr>
                <w:rFonts w:ascii="Arial" w:hAnsi="Arial" w:cs="Arial"/>
                <w:b/>
                <w:sz w:val="24"/>
                <w:szCs w:val="24"/>
              </w:rPr>
            </w:pPr>
          </w:p>
        </w:tc>
      </w:tr>
      <w:tr w:rsidR="00F104A3" w:rsidRPr="002F2B3F" w:rsidTr="00F104A3">
        <w:trPr>
          <w:trHeight w:val="1050"/>
        </w:trPr>
        <w:tc>
          <w:tcPr>
            <w:tcW w:w="4547" w:type="dxa"/>
          </w:tcPr>
          <w:p w:rsidR="00F104A3" w:rsidRDefault="00F104A3" w:rsidP="00E462FE">
            <w:pPr>
              <w:pStyle w:val="NoSpacing"/>
              <w:spacing w:line="480" w:lineRule="auto"/>
              <w:ind w:left="-108"/>
              <w:rPr>
                <w:rFonts w:ascii="Arial" w:hAnsi="Arial" w:cs="Arial"/>
                <w:b/>
                <w:sz w:val="24"/>
                <w:szCs w:val="24"/>
              </w:rPr>
            </w:pPr>
            <w:r>
              <w:rPr>
                <w:rFonts w:ascii="Arial" w:hAnsi="Arial" w:cs="Arial"/>
                <w:b/>
                <w:sz w:val="24"/>
                <w:szCs w:val="24"/>
              </w:rPr>
              <w:t>CIRCLE HOSPITALITY SERVICES (PTY) LTD</w:t>
            </w:r>
          </w:p>
        </w:tc>
        <w:tc>
          <w:tcPr>
            <w:tcW w:w="1677" w:type="dxa"/>
          </w:tcPr>
          <w:p w:rsidR="00F104A3" w:rsidRPr="002F2B3F" w:rsidRDefault="00F104A3" w:rsidP="00E462FE">
            <w:pPr>
              <w:pStyle w:val="NoSpacing"/>
              <w:spacing w:line="480" w:lineRule="auto"/>
              <w:jc w:val="right"/>
              <w:rPr>
                <w:rFonts w:ascii="Arial" w:hAnsi="Arial" w:cs="Arial"/>
                <w:b/>
                <w:sz w:val="24"/>
                <w:szCs w:val="24"/>
              </w:rPr>
            </w:pPr>
          </w:p>
        </w:tc>
        <w:tc>
          <w:tcPr>
            <w:tcW w:w="228" w:type="dxa"/>
          </w:tcPr>
          <w:p w:rsidR="00F104A3" w:rsidRPr="002F2B3F" w:rsidRDefault="00F104A3" w:rsidP="00E462FE">
            <w:pPr>
              <w:pStyle w:val="NoSpacing"/>
              <w:spacing w:line="480" w:lineRule="auto"/>
              <w:jc w:val="right"/>
              <w:rPr>
                <w:rFonts w:ascii="Arial" w:hAnsi="Arial" w:cs="Arial"/>
                <w:b/>
                <w:sz w:val="24"/>
                <w:szCs w:val="24"/>
              </w:rPr>
            </w:pPr>
          </w:p>
        </w:tc>
        <w:tc>
          <w:tcPr>
            <w:tcW w:w="2474" w:type="dxa"/>
          </w:tcPr>
          <w:p w:rsidR="00F104A3" w:rsidRDefault="00F104A3" w:rsidP="00E462FE">
            <w:pPr>
              <w:pStyle w:val="NoSpacing"/>
              <w:spacing w:line="480" w:lineRule="auto"/>
              <w:ind w:left="-1901"/>
              <w:jc w:val="right"/>
              <w:rPr>
                <w:rFonts w:ascii="Arial" w:hAnsi="Arial" w:cs="Arial"/>
                <w:b/>
                <w:sz w:val="24"/>
                <w:szCs w:val="24"/>
              </w:rPr>
            </w:pPr>
            <w:r>
              <w:rPr>
                <w:rFonts w:ascii="Arial" w:hAnsi="Arial" w:cs="Arial"/>
                <w:b/>
                <w:sz w:val="24"/>
                <w:szCs w:val="24"/>
              </w:rPr>
              <w:t>Second Appellant</w:t>
            </w:r>
          </w:p>
        </w:tc>
        <w:tc>
          <w:tcPr>
            <w:tcW w:w="2474" w:type="dxa"/>
          </w:tcPr>
          <w:p w:rsidR="00F104A3" w:rsidRDefault="00F104A3" w:rsidP="00E462FE">
            <w:pPr>
              <w:pStyle w:val="NoSpacing"/>
              <w:spacing w:line="480" w:lineRule="auto"/>
              <w:ind w:left="-1901"/>
              <w:jc w:val="right"/>
              <w:rPr>
                <w:rFonts w:ascii="Arial" w:hAnsi="Arial" w:cs="Arial"/>
                <w:b/>
                <w:sz w:val="24"/>
                <w:szCs w:val="24"/>
              </w:rPr>
            </w:pPr>
          </w:p>
        </w:tc>
      </w:tr>
      <w:tr w:rsidR="00F104A3" w:rsidTr="00F104A3">
        <w:trPr>
          <w:trHeight w:val="534"/>
        </w:trPr>
        <w:tc>
          <w:tcPr>
            <w:tcW w:w="4547" w:type="dxa"/>
          </w:tcPr>
          <w:p w:rsidR="00F104A3" w:rsidRDefault="00F104A3" w:rsidP="00E462FE">
            <w:pPr>
              <w:pStyle w:val="NoSpacing"/>
              <w:spacing w:line="480" w:lineRule="auto"/>
              <w:ind w:left="-108"/>
              <w:rPr>
                <w:rFonts w:ascii="Arial" w:hAnsi="Arial" w:cs="Arial"/>
                <w:sz w:val="24"/>
                <w:szCs w:val="24"/>
              </w:rPr>
            </w:pPr>
          </w:p>
        </w:tc>
        <w:tc>
          <w:tcPr>
            <w:tcW w:w="1677" w:type="dxa"/>
          </w:tcPr>
          <w:p w:rsidR="00F104A3" w:rsidRDefault="00F104A3" w:rsidP="00E462FE">
            <w:pPr>
              <w:pStyle w:val="NoSpacing"/>
              <w:spacing w:line="480" w:lineRule="auto"/>
              <w:jc w:val="right"/>
              <w:rPr>
                <w:rFonts w:ascii="Arial" w:hAnsi="Arial" w:cs="Arial"/>
                <w:sz w:val="24"/>
                <w:szCs w:val="24"/>
              </w:rPr>
            </w:pPr>
          </w:p>
        </w:tc>
        <w:tc>
          <w:tcPr>
            <w:tcW w:w="228" w:type="dxa"/>
          </w:tcPr>
          <w:p w:rsidR="00F104A3" w:rsidRDefault="00F104A3" w:rsidP="00E462FE">
            <w:pPr>
              <w:pStyle w:val="NoSpacing"/>
              <w:spacing w:line="480" w:lineRule="auto"/>
              <w:jc w:val="right"/>
              <w:rPr>
                <w:rFonts w:ascii="Arial" w:hAnsi="Arial" w:cs="Arial"/>
                <w:sz w:val="24"/>
                <w:szCs w:val="24"/>
              </w:rPr>
            </w:pPr>
          </w:p>
        </w:tc>
        <w:tc>
          <w:tcPr>
            <w:tcW w:w="2474" w:type="dxa"/>
          </w:tcPr>
          <w:p w:rsidR="00F104A3" w:rsidRDefault="00F104A3" w:rsidP="00E462FE">
            <w:pPr>
              <w:pStyle w:val="NoSpacing"/>
              <w:spacing w:line="480" w:lineRule="auto"/>
              <w:ind w:left="-1901"/>
              <w:jc w:val="right"/>
              <w:rPr>
                <w:rFonts w:ascii="Arial" w:hAnsi="Arial" w:cs="Arial"/>
                <w:sz w:val="24"/>
                <w:szCs w:val="24"/>
              </w:rPr>
            </w:pPr>
          </w:p>
        </w:tc>
        <w:tc>
          <w:tcPr>
            <w:tcW w:w="2474" w:type="dxa"/>
          </w:tcPr>
          <w:p w:rsidR="00F104A3" w:rsidRDefault="00F104A3" w:rsidP="00E462FE">
            <w:pPr>
              <w:pStyle w:val="NoSpacing"/>
              <w:spacing w:line="480" w:lineRule="auto"/>
              <w:ind w:left="-1901"/>
              <w:jc w:val="right"/>
              <w:rPr>
                <w:rFonts w:ascii="Arial" w:hAnsi="Arial" w:cs="Arial"/>
                <w:sz w:val="24"/>
                <w:szCs w:val="24"/>
              </w:rPr>
            </w:pPr>
          </w:p>
        </w:tc>
      </w:tr>
      <w:tr w:rsidR="00F104A3" w:rsidTr="00F104A3">
        <w:trPr>
          <w:trHeight w:val="515"/>
        </w:trPr>
        <w:tc>
          <w:tcPr>
            <w:tcW w:w="4547" w:type="dxa"/>
          </w:tcPr>
          <w:p w:rsidR="00F104A3" w:rsidRDefault="0053104E" w:rsidP="00E462FE">
            <w:pPr>
              <w:pStyle w:val="NoSpacing"/>
              <w:spacing w:line="480" w:lineRule="auto"/>
              <w:ind w:left="-108"/>
              <w:rPr>
                <w:rFonts w:ascii="Arial" w:hAnsi="Arial" w:cs="Arial"/>
                <w:sz w:val="24"/>
                <w:szCs w:val="24"/>
              </w:rPr>
            </w:pPr>
            <w:r>
              <w:rPr>
                <w:rFonts w:ascii="Arial" w:hAnsi="Arial" w:cs="Arial"/>
                <w:sz w:val="24"/>
                <w:szCs w:val="24"/>
              </w:rPr>
              <w:t>a</w:t>
            </w:r>
            <w:r w:rsidR="00F104A3">
              <w:rPr>
                <w:rFonts w:ascii="Arial" w:hAnsi="Arial" w:cs="Arial"/>
                <w:sz w:val="24"/>
                <w:szCs w:val="24"/>
              </w:rPr>
              <w:t>nd</w:t>
            </w:r>
          </w:p>
        </w:tc>
        <w:tc>
          <w:tcPr>
            <w:tcW w:w="1677" w:type="dxa"/>
          </w:tcPr>
          <w:p w:rsidR="00F104A3" w:rsidRDefault="00F104A3" w:rsidP="00E462FE">
            <w:pPr>
              <w:pStyle w:val="NoSpacing"/>
              <w:spacing w:line="480" w:lineRule="auto"/>
              <w:rPr>
                <w:rFonts w:ascii="Arial" w:hAnsi="Arial" w:cs="Arial"/>
                <w:sz w:val="24"/>
                <w:szCs w:val="24"/>
              </w:rPr>
            </w:pPr>
          </w:p>
        </w:tc>
        <w:tc>
          <w:tcPr>
            <w:tcW w:w="228" w:type="dxa"/>
          </w:tcPr>
          <w:p w:rsidR="00F104A3" w:rsidRDefault="00F104A3" w:rsidP="00E462FE">
            <w:pPr>
              <w:pStyle w:val="NoSpacing"/>
              <w:spacing w:line="480" w:lineRule="auto"/>
              <w:rPr>
                <w:rFonts w:ascii="Arial" w:hAnsi="Arial" w:cs="Arial"/>
                <w:sz w:val="24"/>
                <w:szCs w:val="24"/>
              </w:rPr>
            </w:pPr>
          </w:p>
        </w:tc>
        <w:tc>
          <w:tcPr>
            <w:tcW w:w="2474" w:type="dxa"/>
          </w:tcPr>
          <w:p w:rsidR="00F104A3" w:rsidRDefault="00F104A3" w:rsidP="00E462FE">
            <w:pPr>
              <w:pStyle w:val="NoSpacing"/>
              <w:spacing w:line="480" w:lineRule="auto"/>
              <w:ind w:left="-1901"/>
              <w:rPr>
                <w:rFonts w:ascii="Arial" w:hAnsi="Arial" w:cs="Arial"/>
                <w:sz w:val="24"/>
                <w:szCs w:val="24"/>
              </w:rPr>
            </w:pPr>
          </w:p>
        </w:tc>
        <w:tc>
          <w:tcPr>
            <w:tcW w:w="2474" w:type="dxa"/>
          </w:tcPr>
          <w:p w:rsidR="00F104A3" w:rsidRDefault="00F104A3" w:rsidP="00E462FE">
            <w:pPr>
              <w:pStyle w:val="NoSpacing"/>
              <w:spacing w:line="480" w:lineRule="auto"/>
              <w:ind w:left="-1901"/>
              <w:rPr>
                <w:rFonts w:ascii="Arial" w:hAnsi="Arial" w:cs="Arial"/>
                <w:sz w:val="24"/>
                <w:szCs w:val="24"/>
              </w:rPr>
            </w:pPr>
          </w:p>
        </w:tc>
      </w:tr>
      <w:tr w:rsidR="00F104A3" w:rsidTr="00F104A3">
        <w:trPr>
          <w:trHeight w:val="534"/>
        </w:trPr>
        <w:tc>
          <w:tcPr>
            <w:tcW w:w="4547" w:type="dxa"/>
          </w:tcPr>
          <w:p w:rsidR="00F104A3" w:rsidRDefault="00F104A3" w:rsidP="00E462FE">
            <w:pPr>
              <w:pStyle w:val="NoSpacing"/>
              <w:spacing w:line="480" w:lineRule="auto"/>
              <w:ind w:left="-108"/>
              <w:rPr>
                <w:rFonts w:ascii="Arial" w:hAnsi="Arial" w:cs="Arial"/>
                <w:sz w:val="24"/>
                <w:szCs w:val="24"/>
              </w:rPr>
            </w:pPr>
          </w:p>
        </w:tc>
        <w:tc>
          <w:tcPr>
            <w:tcW w:w="1677" w:type="dxa"/>
          </w:tcPr>
          <w:p w:rsidR="00F104A3" w:rsidRDefault="00F104A3" w:rsidP="00E462FE">
            <w:pPr>
              <w:pStyle w:val="NoSpacing"/>
              <w:spacing w:line="480" w:lineRule="auto"/>
              <w:rPr>
                <w:rFonts w:ascii="Arial" w:hAnsi="Arial" w:cs="Arial"/>
                <w:sz w:val="24"/>
                <w:szCs w:val="24"/>
              </w:rPr>
            </w:pPr>
          </w:p>
        </w:tc>
        <w:tc>
          <w:tcPr>
            <w:tcW w:w="228" w:type="dxa"/>
          </w:tcPr>
          <w:p w:rsidR="00F104A3" w:rsidRDefault="00F104A3" w:rsidP="00E462FE">
            <w:pPr>
              <w:pStyle w:val="NoSpacing"/>
              <w:spacing w:line="480" w:lineRule="auto"/>
              <w:rPr>
                <w:rFonts w:ascii="Arial" w:hAnsi="Arial" w:cs="Arial"/>
                <w:sz w:val="24"/>
                <w:szCs w:val="24"/>
              </w:rPr>
            </w:pPr>
          </w:p>
        </w:tc>
        <w:tc>
          <w:tcPr>
            <w:tcW w:w="2474" w:type="dxa"/>
          </w:tcPr>
          <w:p w:rsidR="00F104A3" w:rsidRDefault="00F104A3" w:rsidP="00E462FE">
            <w:pPr>
              <w:pStyle w:val="NoSpacing"/>
              <w:spacing w:line="480" w:lineRule="auto"/>
              <w:ind w:left="-1901"/>
              <w:rPr>
                <w:rFonts w:ascii="Arial" w:hAnsi="Arial" w:cs="Arial"/>
                <w:sz w:val="24"/>
                <w:szCs w:val="24"/>
              </w:rPr>
            </w:pPr>
          </w:p>
        </w:tc>
        <w:tc>
          <w:tcPr>
            <w:tcW w:w="2474" w:type="dxa"/>
          </w:tcPr>
          <w:p w:rsidR="00F104A3" w:rsidRDefault="00F104A3" w:rsidP="00E462FE">
            <w:pPr>
              <w:pStyle w:val="NoSpacing"/>
              <w:spacing w:line="480" w:lineRule="auto"/>
              <w:ind w:left="-1901"/>
              <w:rPr>
                <w:rFonts w:ascii="Arial" w:hAnsi="Arial" w:cs="Arial"/>
                <w:sz w:val="24"/>
                <w:szCs w:val="24"/>
              </w:rPr>
            </w:pPr>
          </w:p>
        </w:tc>
      </w:tr>
      <w:tr w:rsidR="00F104A3" w:rsidRPr="002F2B3F" w:rsidTr="00F104A3">
        <w:trPr>
          <w:trHeight w:val="1050"/>
        </w:trPr>
        <w:tc>
          <w:tcPr>
            <w:tcW w:w="4547" w:type="dxa"/>
          </w:tcPr>
          <w:p w:rsidR="00F104A3" w:rsidRPr="002F2B3F" w:rsidRDefault="00F104A3" w:rsidP="00E462FE">
            <w:pPr>
              <w:pStyle w:val="NoSpacing"/>
              <w:spacing w:line="480" w:lineRule="auto"/>
              <w:ind w:left="-108"/>
              <w:rPr>
                <w:rFonts w:ascii="Arial" w:hAnsi="Arial" w:cs="Arial"/>
                <w:b/>
                <w:sz w:val="24"/>
                <w:szCs w:val="24"/>
              </w:rPr>
            </w:pPr>
            <w:r>
              <w:rPr>
                <w:rFonts w:ascii="Arial" w:hAnsi="Arial" w:cs="Arial"/>
                <w:b/>
                <w:sz w:val="24"/>
                <w:szCs w:val="24"/>
              </w:rPr>
              <w:t>CHAIRPERSON OF THE TENDER BOARD OF NAMIBIA AND 90 OTHERS</w:t>
            </w:r>
          </w:p>
        </w:tc>
        <w:tc>
          <w:tcPr>
            <w:tcW w:w="1677" w:type="dxa"/>
          </w:tcPr>
          <w:p w:rsidR="00F104A3" w:rsidRPr="002F2B3F" w:rsidRDefault="00F104A3" w:rsidP="00E462FE">
            <w:pPr>
              <w:pStyle w:val="NoSpacing"/>
              <w:spacing w:line="480" w:lineRule="auto"/>
              <w:jc w:val="right"/>
              <w:rPr>
                <w:rFonts w:ascii="Arial" w:hAnsi="Arial" w:cs="Arial"/>
                <w:b/>
                <w:sz w:val="24"/>
                <w:szCs w:val="24"/>
              </w:rPr>
            </w:pPr>
          </w:p>
        </w:tc>
        <w:tc>
          <w:tcPr>
            <w:tcW w:w="228" w:type="dxa"/>
          </w:tcPr>
          <w:p w:rsidR="00F104A3" w:rsidRPr="002F2B3F" w:rsidRDefault="00F104A3" w:rsidP="00E462FE">
            <w:pPr>
              <w:pStyle w:val="NoSpacing"/>
              <w:spacing w:line="480" w:lineRule="auto"/>
              <w:jc w:val="right"/>
              <w:rPr>
                <w:rFonts w:ascii="Arial" w:hAnsi="Arial" w:cs="Arial"/>
                <w:b/>
                <w:sz w:val="24"/>
                <w:szCs w:val="24"/>
              </w:rPr>
            </w:pPr>
          </w:p>
        </w:tc>
        <w:tc>
          <w:tcPr>
            <w:tcW w:w="2474" w:type="dxa"/>
          </w:tcPr>
          <w:p w:rsidR="00F104A3" w:rsidRPr="002F2B3F" w:rsidRDefault="00F104A3" w:rsidP="00E462FE">
            <w:pPr>
              <w:pStyle w:val="NoSpacing"/>
              <w:spacing w:line="480" w:lineRule="auto"/>
              <w:ind w:left="-1901"/>
              <w:jc w:val="right"/>
              <w:rPr>
                <w:rFonts w:ascii="Arial" w:hAnsi="Arial" w:cs="Arial"/>
                <w:b/>
                <w:sz w:val="24"/>
                <w:szCs w:val="24"/>
              </w:rPr>
            </w:pPr>
            <w:r w:rsidRPr="002F2B3F">
              <w:rPr>
                <w:rFonts w:ascii="Arial" w:hAnsi="Arial" w:cs="Arial"/>
                <w:b/>
                <w:sz w:val="24"/>
                <w:szCs w:val="24"/>
              </w:rPr>
              <w:t>Respondent</w:t>
            </w:r>
            <w:r>
              <w:rPr>
                <w:rFonts w:ascii="Arial" w:hAnsi="Arial" w:cs="Arial"/>
                <w:b/>
                <w:sz w:val="24"/>
                <w:szCs w:val="24"/>
              </w:rPr>
              <w:t>s</w:t>
            </w:r>
          </w:p>
        </w:tc>
        <w:tc>
          <w:tcPr>
            <w:tcW w:w="2474" w:type="dxa"/>
          </w:tcPr>
          <w:p w:rsidR="00F104A3" w:rsidRPr="002F2B3F" w:rsidRDefault="00F104A3" w:rsidP="00E462FE">
            <w:pPr>
              <w:pStyle w:val="NoSpacing"/>
              <w:spacing w:line="480" w:lineRule="auto"/>
              <w:ind w:left="-1901"/>
              <w:jc w:val="right"/>
              <w:rPr>
                <w:rFonts w:ascii="Arial" w:hAnsi="Arial" w:cs="Arial"/>
                <w:b/>
                <w:sz w:val="24"/>
                <w:szCs w:val="24"/>
              </w:rPr>
            </w:pPr>
          </w:p>
        </w:tc>
      </w:tr>
    </w:tbl>
    <w:p w:rsidR="00D666F0" w:rsidRPr="00991107" w:rsidRDefault="00D666F0" w:rsidP="00CC4D0B">
      <w:pPr>
        <w:pStyle w:val="NoSpacing"/>
        <w:rPr>
          <w:rFonts w:ascii="Arial" w:hAnsi="Arial" w:cs="Arial"/>
          <w:sz w:val="24"/>
          <w:szCs w:val="24"/>
        </w:rPr>
      </w:pPr>
    </w:p>
    <w:p w:rsidR="00CC4D0B" w:rsidRPr="00991107" w:rsidRDefault="00CC4D0B" w:rsidP="00CC4D0B">
      <w:pPr>
        <w:pStyle w:val="NoSpacing"/>
        <w:rPr>
          <w:rFonts w:ascii="Arial" w:hAnsi="Arial" w:cs="Arial"/>
          <w:sz w:val="24"/>
          <w:szCs w:val="24"/>
        </w:rPr>
      </w:pPr>
      <w:r w:rsidRPr="00970591">
        <w:rPr>
          <w:rFonts w:ascii="Arial" w:hAnsi="Arial" w:cs="Arial"/>
          <w:b/>
          <w:sz w:val="24"/>
          <w:szCs w:val="24"/>
        </w:rPr>
        <w:t>Coram:</w:t>
      </w:r>
      <w:r w:rsidR="00980EE0">
        <w:rPr>
          <w:rFonts w:ascii="Arial" w:hAnsi="Arial" w:cs="Arial"/>
          <w:b/>
          <w:sz w:val="24"/>
          <w:szCs w:val="24"/>
        </w:rPr>
        <w:tab/>
      </w:r>
      <w:r w:rsidR="00ED272E">
        <w:rPr>
          <w:rFonts w:ascii="Arial" w:hAnsi="Arial" w:cs="Arial"/>
          <w:sz w:val="24"/>
          <w:szCs w:val="24"/>
        </w:rPr>
        <w:t xml:space="preserve">SMUTS JA, MOKGORO AJA </w:t>
      </w:r>
      <w:r w:rsidR="0053104E">
        <w:rPr>
          <w:rFonts w:ascii="Arial" w:hAnsi="Arial" w:cs="Arial"/>
          <w:sz w:val="24"/>
          <w:szCs w:val="24"/>
        </w:rPr>
        <w:t xml:space="preserve">and </w:t>
      </w:r>
      <w:r w:rsidR="007A2286">
        <w:rPr>
          <w:rFonts w:ascii="Arial" w:hAnsi="Arial" w:cs="Arial"/>
          <w:sz w:val="24"/>
          <w:szCs w:val="24"/>
        </w:rPr>
        <w:t>NKABINDE AJA</w:t>
      </w:r>
    </w:p>
    <w:p w:rsidR="00CC4D0B" w:rsidRPr="00466830" w:rsidRDefault="00CC4D0B" w:rsidP="00CC4D0B">
      <w:pPr>
        <w:pStyle w:val="NoSpacing"/>
        <w:rPr>
          <w:rFonts w:ascii="Arial" w:hAnsi="Arial" w:cs="Arial"/>
          <w:b/>
          <w:sz w:val="24"/>
          <w:szCs w:val="24"/>
        </w:rPr>
      </w:pPr>
    </w:p>
    <w:p w:rsidR="00CC4D0B" w:rsidRPr="00980EE0" w:rsidRDefault="00980EE0" w:rsidP="00CC4D0B">
      <w:pPr>
        <w:pStyle w:val="NoSpacing"/>
        <w:rPr>
          <w:rFonts w:ascii="Arial" w:hAnsi="Arial" w:cs="Arial"/>
          <w:sz w:val="24"/>
          <w:szCs w:val="24"/>
        </w:rPr>
      </w:pPr>
      <w:r>
        <w:rPr>
          <w:rFonts w:ascii="Arial" w:hAnsi="Arial" w:cs="Arial"/>
          <w:b/>
          <w:sz w:val="24"/>
          <w:szCs w:val="24"/>
        </w:rPr>
        <w:t>Heard:</w:t>
      </w:r>
      <w:r>
        <w:rPr>
          <w:rFonts w:ascii="Arial" w:hAnsi="Arial" w:cs="Arial"/>
          <w:b/>
          <w:sz w:val="24"/>
          <w:szCs w:val="24"/>
        </w:rPr>
        <w:tab/>
      </w:r>
      <w:r w:rsidRPr="007A2286">
        <w:rPr>
          <w:rFonts w:ascii="Arial" w:hAnsi="Arial" w:cs="Arial"/>
          <w:b/>
          <w:sz w:val="24"/>
          <w:szCs w:val="24"/>
        </w:rPr>
        <w:t>18 March 2019</w:t>
      </w:r>
    </w:p>
    <w:p w:rsidR="00CC4D0B" w:rsidRPr="00466830" w:rsidRDefault="00CC4D0B" w:rsidP="00CC4D0B">
      <w:pPr>
        <w:pStyle w:val="NoSpacing"/>
        <w:rPr>
          <w:rFonts w:ascii="Arial" w:hAnsi="Arial" w:cs="Arial"/>
          <w:b/>
          <w:sz w:val="24"/>
          <w:szCs w:val="24"/>
        </w:rPr>
      </w:pPr>
    </w:p>
    <w:p w:rsidR="00721FB6" w:rsidRDefault="009F0CC0" w:rsidP="00721FB6">
      <w:pPr>
        <w:pStyle w:val="NoSpacing"/>
        <w:spacing w:line="360" w:lineRule="auto"/>
        <w:rPr>
          <w:rFonts w:ascii="Arial" w:hAnsi="Arial" w:cs="Arial"/>
          <w:b/>
          <w:sz w:val="24"/>
          <w:szCs w:val="24"/>
        </w:rPr>
      </w:pPr>
      <w:r w:rsidRPr="009F0CC0">
        <w:rPr>
          <w:rFonts w:ascii="Arial" w:hAnsi="Arial" w:cs="Arial"/>
          <w:b/>
          <w:sz w:val="24"/>
          <w:szCs w:val="24"/>
        </w:rPr>
        <w:t>Delivered</w:t>
      </w:r>
      <w:r>
        <w:rPr>
          <w:rFonts w:ascii="Arial" w:hAnsi="Arial" w:cs="Arial"/>
          <w:b/>
          <w:sz w:val="24"/>
          <w:szCs w:val="24"/>
        </w:rPr>
        <w:t>:</w:t>
      </w:r>
      <w:r w:rsidR="00E8075F">
        <w:rPr>
          <w:rFonts w:ascii="Arial" w:hAnsi="Arial" w:cs="Arial"/>
          <w:b/>
          <w:sz w:val="24"/>
          <w:szCs w:val="24"/>
        </w:rPr>
        <w:tab/>
        <w:t xml:space="preserve">3 </w:t>
      </w:r>
      <w:r w:rsidR="006742ED">
        <w:rPr>
          <w:rFonts w:ascii="Arial" w:hAnsi="Arial" w:cs="Arial"/>
          <w:b/>
          <w:sz w:val="24"/>
          <w:szCs w:val="24"/>
        </w:rPr>
        <w:t>Ju</w:t>
      </w:r>
      <w:r w:rsidR="00A77B7D">
        <w:rPr>
          <w:rFonts w:ascii="Arial" w:hAnsi="Arial" w:cs="Arial"/>
          <w:b/>
          <w:sz w:val="24"/>
          <w:szCs w:val="24"/>
        </w:rPr>
        <w:t>ly</w:t>
      </w:r>
      <w:r w:rsidR="006742ED">
        <w:rPr>
          <w:rFonts w:ascii="Arial" w:hAnsi="Arial" w:cs="Arial"/>
          <w:b/>
          <w:sz w:val="24"/>
          <w:szCs w:val="24"/>
        </w:rPr>
        <w:t xml:space="preserve"> 2019</w:t>
      </w:r>
    </w:p>
    <w:p w:rsidR="006742ED" w:rsidRDefault="006742ED" w:rsidP="00E462FE">
      <w:pPr>
        <w:pStyle w:val="NoSpacing"/>
        <w:spacing w:line="480" w:lineRule="auto"/>
        <w:rPr>
          <w:rFonts w:ascii="Arial" w:hAnsi="Arial" w:cs="Arial"/>
          <w:b/>
          <w:sz w:val="24"/>
          <w:szCs w:val="24"/>
        </w:rPr>
      </w:pPr>
    </w:p>
    <w:p w:rsidR="006742ED" w:rsidRDefault="006742ED" w:rsidP="00E462FE">
      <w:pPr>
        <w:pStyle w:val="NoSpacing"/>
        <w:spacing w:line="48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 xml:space="preserve">  This is an opposed appeal against the decision of the High </w:t>
      </w:r>
      <w:r w:rsidR="00662971">
        <w:rPr>
          <w:rFonts w:ascii="Arial" w:hAnsi="Arial" w:cs="Arial"/>
          <w:sz w:val="24"/>
          <w:szCs w:val="24"/>
        </w:rPr>
        <w:t>Court</w:t>
      </w:r>
      <w:r>
        <w:rPr>
          <w:rFonts w:ascii="Arial" w:hAnsi="Arial" w:cs="Arial"/>
          <w:sz w:val="24"/>
          <w:szCs w:val="24"/>
        </w:rPr>
        <w:t xml:space="preserve"> dismissing the appellants’ application challenging</w:t>
      </w:r>
      <w:r w:rsidR="00B7422A">
        <w:rPr>
          <w:rFonts w:ascii="Arial" w:hAnsi="Arial" w:cs="Arial"/>
          <w:sz w:val="24"/>
          <w:szCs w:val="24"/>
        </w:rPr>
        <w:t xml:space="preserve">, in the main, </w:t>
      </w:r>
      <w:r w:rsidR="008555DA">
        <w:rPr>
          <w:rFonts w:ascii="Arial" w:hAnsi="Arial" w:cs="Arial"/>
          <w:sz w:val="24"/>
          <w:szCs w:val="24"/>
        </w:rPr>
        <w:t xml:space="preserve">the </w:t>
      </w:r>
      <w:r>
        <w:rPr>
          <w:rFonts w:ascii="Arial" w:hAnsi="Arial" w:cs="Arial"/>
          <w:sz w:val="24"/>
          <w:szCs w:val="24"/>
        </w:rPr>
        <w:t>cancellation of the</w:t>
      </w:r>
      <w:r w:rsidR="005B5951">
        <w:rPr>
          <w:rFonts w:ascii="Arial" w:hAnsi="Arial" w:cs="Arial"/>
          <w:sz w:val="24"/>
          <w:szCs w:val="24"/>
        </w:rPr>
        <w:t xml:space="preserve"> food </w:t>
      </w:r>
      <w:r>
        <w:rPr>
          <w:rFonts w:ascii="Arial" w:hAnsi="Arial" w:cs="Arial"/>
          <w:sz w:val="24"/>
          <w:szCs w:val="24"/>
        </w:rPr>
        <w:t xml:space="preserve">tender </w:t>
      </w:r>
      <w:r w:rsidR="008555DA">
        <w:rPr>
          <w:rFonts w:ascii="Arial" w:hAnsi="Arial" w:cs="Arial"/>
          <w:sz w:val="24"/>
          <w:szCs w:val="24"/>
        </w:rPr>
        <w:t>on procedural and substantive grounds</w:t>
      </w:r>
      <w:r w:rsidR="00B7422A">
        <w:rPr>
          <w:rFonts w:ascii="Arial" w:hAnsi="Arial" w:cs="Arial"/>
          <w:sz w:val="24"/>
          <w:szCs w:val="24"/>
        </w:rPr>
        <w:t xml:space="preserve">. The appellants contented that their </w:t>
      </w:r>
      <w:r w:rsidR="008555DA">
        <w:rPr>
          <w:rFonts w:ascii="Arial" w:hAnsi="Arial" w:cs="Arial"/>
          <w:sz w:val="24"/>
          <w:szCs w:val="24"/>
        </w:rPr>
        <w:t xml:space="preserve">fair process rights were violated because they were not afforded </w:t>
      </w:r>
      <w:r w:rsidR="00A66BE6">
        <w:rPr>
          <w:rFonts w:ascii="Arial" w:hAnsi="Arial" w:cs="Arial"/>
          <w:sz w:val="24"/>
          <w:szCs w:val="24"/>
        </w:rPr>
        <w:t xml:space="preserve">an </w:t>
      </w:r>
      <w:r>
        <w:rPr>
          <w:rFonts w:ascii="Arial" w:hAnsi="Arial" w:cs="Arial"/>
          <w:sz w:val="24"/>
          <w:szCs w:val="24"/>
        </w:rPr>
        <w:t xml:space="preserve">opportunity to </w:t>
      </w:r>
      <w:r w:rsidR="00A66BE6">
        <w:rPr>
          <w:rFonts w:ascii="Arial" w:hAnsi="Arial" w:cs="Arial"/>
          <w:sz w:val="24"/>
          <w:szCs w:val="24"/>
        </w:rPr>
        <w:t xml:space="preserve">be heard and </w:t>
      </w:r>
      <w:r w:rsidR="00AA5FFA">
        <w:rPr>
          <w:rFonts w:ascii="Arial" w:hAnsi="Arial" w:cs="Arial"/>
          <w:sz w:val="24"/>
          <w:szCs w:val="24"/>
        </w:rPr>
        <w:t>that the T</w:t>
      </w:r>
      <w:r w:rsidR="008555DA">
        <w:rPr>
          <w:rFonts w:ascii="Arial" w:hAnsi="Arial" w:cs="Arial"/>
          <w:sz w:val="24"/>
          <w:szCs w:val="24"/>
        </w:rPr>
        <w:t>ender Board</w:t>
      </w:r>
      <w:r w:rsidR="00BC7EF7">
        <w:rPr>
          <w:rFonts w:ascii="Arial" w:hAnsi="Arial" w:cs="Arial"/>
          <w:sz w:val="24"/>
          <w:szCs w:val="24"/>
        </w:rPr>
        <w:t xml:space="preserve"> of Namibia (the Board)</w:t>
      </w:r>
      <w:r w:rsidR="008555DA">
        <w:rPr>
          <w:rFonts w:ascii="Arial" w:hAnsi="Arial" w:cs="Arial"/>
          <w:sz w:val="24"/>
          <w:szCs w:val="24"/>
        </w:rPr>
        <w:t xml:space="preserve"> failed to comply with </w:t>
      </w:r>
      <w:r>
        <w:rPr>
          <w:rFonts w:ascii="Arial" w:hAnsi="Arial" w:cs="Arial"/>
          <w:sz w:val="24"/>
          <w:szCs w:val="24"/>
        </w:rPr>
        <w:t>statutory prescripts under section 16 of the Tender Board Act</w:t>
      </w:r>
      <w:r w:rsidR="00E53201">
        <w:rPr>
          <w:rFonts w:ascii="Arial" w:hAnsi="Arial" w:cs="Arial"/>
          <w:sz w:val="24"/>
          <w:szCs w:val="24"/>
        </w:rPr>
        <w:t xml:space="preserve"> </w:t>
      </w:r>
      <w:r w:rsidR="00E53201" w:rsidRPr="00C90D11">
        <w:rPr>
          <w:rFonts w:ascii="Arial" w:hAnsi="Arial" w:cs="Arial"/>
          <w:sz w:val="24"/>
          <w:szCs w:val="24"/>
        </w:rPr>
        <w:t>16 of 1996 (Tender Act)</w:t>
      </w:r>
      <w:r w:rsidR="00B7422A">
        <w:rPr>
          <w:rFonts w:ascii="Arial" w:hAnsi="Arial" w:cs="Arial"/>
          <w:sz w:val="24"/>
          <w:szCs w:val="24"/>
        </w:rPr>
        <w:t xml:space="preserve">, </w:t>
      </w:r>
      <w:r w:rsidR="00B7422A" w:rsidRPr="00B7422A">
        <w:rPr>
          <w:rFonts w:ascii="Arial" w:hAnsi="Arial" w:cs="Arial"/>
          <w:i/>
          <w:sz w:val="24"/>
          <w:szCs w:val="24"/>
        </w:rPr>
        <w:t>inter alia</w:t>
      </w:r>
      <w:r w:rsidR="00B7422A">
        <w:rPr>
          <w:rFonts w:ascii="Arial" w:hAnsi="Arial" w:cs="Arial"/>
          <w:sz w:val="24"/>
          <w:szCs w:val="24"/>
        </w:rPr>
        <w:t>, notifying them in writing of th</w:t>
      </w:r>
      <w:r w:rsidR="00185DD8">
        <w:rPr>
          <w:rFonts w:ascii="Arial" w:hAnsi="Arial" w:cs="Arial"/>
          <w:sz w:val="24"/>
          <w:szCs w:val="24"/>
        </w:rPr>
        <w:t xml:space="preserve">e acceptance of their tenders. </w:t>
      </w:r>
    </w:p>
    <w:p w:rsidR="00B7422A" w:rsidRDefault="00B7422A" w:rsidP="00E462FE">
      <w:pPr>
        <w:pStyle w:val="NoSpacing"/>
        <w:spacing w:line="480" w:lineRule="auto"/>
        <w:jc w:val="both"/>
        <w:rPr>
          <w:rFonts w:ascii="Arial" w:hAnsi="Arial" w:cs="Arial"/>
          <w:sz w:val="24"/>
          <w:szCs w:val="24"/>
        </w:rPr>
      </w:pPr>
    </w:p>
    <w:p w:rsidR="005B5951" w:rsidRDefault="006742ED" w:rsidP="00E462FE">
      <w:pPr>
        <w:pStyle w:val="NoSpacing"/>
        <w:spacing w:line="480" w:lineRule="auto"/>
        <w:jc w:val="both"/>
        <w:rPr>
          <w:rFonts w:ascii="Arial" w:hAnsi="Arial" w:cs="Arial"/>
          <w:sz w:val="24"/>
          <w:szCs w:val="24"/>
        </w:rPr>
      </w:pPr>
      <w:r>
        <w:rPr>
          <w:rFonts w:ascii="Arial" w:hAnsi="Arial" w:cs="Arial"/>
          <w:sz w:val="24"/>
          <w:szCs w:val="24"/>
        </w:rPr>
        <w:t>The</w:t>
      </w:r>
      <w:r w:rsidR="00BC7EF7">
        <w:rPr>
          <w:rFonts w:ascii="Arial" w:hAnsi="Arial" w:cs="Arial"/>
          <w:sz w:val="24"/>
          <w:szCs w:val="24"/>
        </w:rPr>
        <w:t xml:space="preserve"> </w:t>
      </w:r>
      <w:r w:rsidR="004355F0">
        <w:rPr>
          <w:rFonts w:ascii="Arial" w:hAnsi="Arial" w:cs="Arial"/>
          <w:sz w:val="24"/>
          <w:szCs w:val="24"/>
        </w:rPr>
        <w:t xml:space="preserve">Board awarded a food tender to certain bidders including the </w:t>
      </w:r>
      <w:r w:rsidR="00A66BE6">
        <w:rPr>
          <w:rFonts w:ascii="Arial" w:hAnsi="Arial" w:cs="Arial"/>
          <w:sz w:val="24"/>
          <w:szCs w:val="24"/>
        </w:rPr>
        <w:t xml:space="preserve">first and second </w:t>
      </w:r>
      <w:r>
        <w:rPr>
          <w:rFonts w:ascii="Arial" w:hAnsi="Arial" w:cs="Arial"/>
          <w:sz w:val="24"/>
          <w:szCs w:val="24"/>
        </w:rPr>
        <w:t xml:space="preserve">appellants </w:t>
      </w:r>
      <w:r w:rsidR="00A66BE6">
        <w:rPr>
          <w:rFonts w:ascii="Arial" w:hAnsi="Arial" w:cs="Arial"/>
          <w:sz w:val="24"/>
          <w:szCs w:val="24"/>
        </w:rPr>
        <w:t xml:space="preserve">(appellants) </w:t>
      </w:r>
      <w:r w:rsidR="004355F0">
        <w:rPr>
          <w:rFonts w:ascii="Arial" w:hAnsi="Arial" w:cs="Arial"/>
          <w:sz w:val="24"/>
          <w:szCs w:val="24"/>
        </w:rPr>
        <w:t xml:space="preserve">on 2 October 2014 in respect of the </w:t>
      </w:r>
      <w:r w:rsidR="00AE5C03">
        <w:rPr>
          <w:rFonts w:ascii="Arial" w:hAnsi="Arial" w:cs="Arial"/>
          <w:sz w:val="24"/>
          <w:szCs w:val="24"/>
        </w:rPr>
        <w:t>Khoma</w:t>
      </w:r>
      <w:r w:rsidR="00E462FE">
        <w:rPr>
          <w:rFonts w:ascii="Arial" w:hAnsi="Arial" w:cs="Arial"/>
          <w:sz w:val="24"/>
          <w:szCs w:val="24"/>
        </w:rPr>
        <w:t>s</w:t>
      </w:r>
      <w:r w:rsidR="00AE5C03">
        <w:rPr>
          <w:rFonts w:ascii="Arial" w:hAnsi="Arial" w:cs="Arial"/>
          <w:sz w:val="24"/>
          <w:szCs w:val="24"/>
        </w:rPr>
        <w:t xml:space="preserve"> and </w:t>
      </w:r>
      <w:r w:rsidR="008131B1" w:rsidRPr="00993EAB">
        <w:rPr>
          <w:rFonts w:ascii="Arial" w:hAnsi="Arial" w:cs="Arial"/>
          <w:sz w:val="24"/>
          <w:szCs w:val="24"/>
        </w:rPr>
        <w:t xml:space="preserve">Otjozondjupa </w:t>
      </w:r>
      <w:r w:rsidR="004355F0">
        <w:rPr>
          <w:rFonts w:ascii="Arial" w:hAnsi="Arial" w:cs="Arial"/>
          <w:sz w:val="24"/>
          <w:szCs w:val="24"/>
        </w:rPr>
        <w:t xml:space="preserve">catering </w:t>
      </w:r>
      <w:r w:rsidR="008131B1" w:rsidRPr="00993EAB">
        <w:rPr>
          <w:rFonts w:ascii="Arial" w:hAnsi="Arial" w:cs="Arial"/>
          <w:sz w:val="24"/>
          <w:szCs w:val="24"/>
        </w:rPr>
        <w:t>regions</w:t>
      </w:r>
      <w:r w:rsidR="008131B1">
        <w:rPr>
          <w:rFonts w:ascii="Arial" w:hAnsi="Arial" w:cs="Arial"/>
          <w:sz w:val="24"/>
          <w:szCs w:val="24"/>
        </w:rPr>
        <w:t>,</w:t>
      </w:r>
      <w:r w:rsidR="008131B1" w:rsidRPr="00993EAB">
        <w:rPr>
          <w:rFonts w:ascii="Arial" w:hAnsi="Arial" w:cs="Arial"/>
          <w:sz w:val="24"/>
          <w:szCs w:val="24"/>
        </w:rPr>
        <w:t xml:space="preserve"> respectively</w:t>
      </w:r>
      <w:r w:rsidR="004355F0">
        <w:rPr>
          <w:rFonts w:ascii="Arial" w:hAnsi="Arial" w:cs="Arial"/>
          <w:sz w:val="24"/>
          <w:szCs w:val="24"/>
        </w:rPr>
        <w:t>.</w:t>
      </w:r>
      <w:r w:rsidR="005F4FAF">
        <w:rPr>
          <w:rFonts w:ascii="Arial" w:hAnsi="Arial" w:cs="Arial"/>
          <w:sz w:val="24"/>
          <w:szCs w:val="24"/>
        </w:rPr>
        <w:t xml:space="preserve"> </w:t>
      </w:r>
      <w:r w:rsidR="00A66BE6">
        <w:rPr>
          <w:rFonts w:ascii="Arial" w:hAnsi="Arial" w:cs="Arial"/>
          <w:sz w:val="24"/>
          <w:szCs w:val="24"/>
        </w:rPr>
        <w:t>However, the entire tender was cancelled before the decision to awa</w:t>
      </w:r>
      <w:r w:rsidR="00BC7EF7">
        <w:rPr>
          <w:rFonts w:ascii="Arial" w:hAnsi="Arial" w:cs="Arial"/>
          <w:sz w:val="24"/>
          <w:szCs w:val="24"/>
        </w:rPr>
        <w:t xml:space="preserve">rd was communicated to them </w:t>
      </w:r>
      <w:r w:rsidR="00A66BE6">
        <w:rPr>
          <w:rFonts w:ascii="Arial" w:hAnsi="Arial" w:cs="Arial"/>
          <w:sz w:val="24"/>
          <w:szCs w:val="24"/>
        </w:rPr>
        <w:t>without being heard.</w:t>
      </w:r>
      <w:r w:rsidR="005F4FAF">
        <w:rPr>
          <w:rFonts w:ascii="Arial" w:hAnsi="Arial" w:cs="Arial"/>
          <w:sz w:val="24"/>
          <w:szCs w:val="24"/>
        </w:rPr>
        <w:t xml:space="preserve"> </w:t>
      </w:r>
      <w:r w:rsidR="00A66BE6">
        <w:rPr>
          <w:rFonts w:ascii="Arial" w:hAnsi="Arial" w:cs="Arial"/>
          <w:sz w:val="24"/>
          <w:szCs w:val="24"/>
        </w:rPr>
        <w:t xml:space="preserve"> Additionally, the decision to award</w:t>
      </w:r>
      <w:r w:rsidR="00BC7EF7">
        <w:rPr>
          <w:rFonts w:ascii="Arial" w:hAnsi="Arial" w:cs="Arial"/>
          <w:sz w:val="24"/>
          <w:szCs w:val="24"/>
        </w:rPr>
        <w:t xml:space="preserve"> was not reviewed and set aside.</w:t>
      </w:r>
    </w:p>
    <w:p w:rsidR="00A66BE6" w:rsidRDefault="00A66BE6" w:rsidP="00E53201">
      <w:pPr>
        <w:pStyle w:val="NoSpacing"/>
        <w:spacing w:line="360" w:lineRule="auto"/>
        <w:jc w:val="both"/>
        <w:rPr>
          <w:rFonts w:ascii="Arial" w:hAnsi="Arial" w:cs="Arial"/>
          <w:sz w:val="24"/>
          <w:szCs w:val="24"/>
        </w:rPr>
      </w:pPr>
    </w:p>
    <w:p w:rsidR="001B2FCA" w:rsidRDefault="00A66BE6" w:rsidP="001B2FCA">
      <w:pPr>
        <w:pStyle w:val="NoSpacing"/>
        <w:spacing w:line="480" w:lineRule="auto"/>
        <w:jc w:val="both"/>
        <w:rPr>
          <w:rFonts w:ascii="Arial" w:hAnsi="Arial" w:cs="Arial"/>
          <w:sz w:val="24"/>
          <w:szCs w:val="24"/>
        </w:rPr>
      </w:pPr>
      <w:r>
        <w:rPr>
          <w:rFonts w:ascii="Arial" w:hAnsi="Arial" w:cs="Arial"/>
          <w:sz w:val="24"/>
          <w:szCs w:val="24"/>
        </w:rPr>
        <w:t xml:space="preserve">The appellants unsuccessfully challenged the </w:t>
      </w:r>
      <w:r w:rsidR="005F4FAF">
        <w:rPr>
          <w:rFonts w:ascii="Arial" w:hAnsi="Arial" w:cs="Arial"/>
          <w:sz w:val="24"/>
          <w:szCs w:val="24"/>
        </w:rPr>
        <w:t xml:space="preserve">lawfulness of the </w:t>
      </w:r>
      <w:r>
        <w:rPr>
          <w:rFonts w:ascii="Arial" w:hAnsi="Arial" w:cs="Arial"/>
          <w:sz w:val="24"/>
          <w:szCs w:val="24"/>
        </w:rPr>
        <w:t xml:space="preserve">administrative decision to cancel the tender in the High </w:t>
      </w:r>
      <w:r w:rsidR="00662971">
        <w:rPr>
          <w:rFonts w:ascii="Arial" w:hAnsi="Arial" w:cs="Arial"/>
          <w:sz w:val="24"/>
          <w:szCs w:val="24"/>
        </w:rPr>
        <w:t>Court</w:t>
      </w:r>
      <w:r>
        <w:rPr>
          <w:rFonts w:ascii="Arial" w:hAnsi="Arial" w:cs="Arial"/>
          <w:sz w:val="24"/>
          <w:szCs w:val="24"/>
        </w:rPr>
        <w:t xml:space="preserve">. </w:t>
      </w:r>
      <w:r w:rsidR="00FC707D">
        <w:rPr>
          <w:rFonts w:ascii="Arial" w:hAnsi="Arial" w:cs="Arial"/>
          <w:sz w:val="24"/>
          <w:szCs w:val="24"/>
        </w:rPr>
        <w:t>They sought an order</w:t>
      </w:r>
      <w:r w:rsidR="00BC7EF7">
        <w:rPr>
          <w:rFonts w:ascii="Arial" w:hAnsi="Arial" w:cs="Arial"/>
          <w:sz w:val="24"/>
          <w:szCs w:val="24"/>
        </w:rPr>
        <w:t xml:space="preserve"> reviewing and setting aside that d</w:t>
      </w:r>
      <w:r w:rsidR="00FC707D">
        <w:rPr>
          <w:rFonts w:ascii="Arial" w:hAnsi="Arial" w:cs="Arial"/>
          <w:sz w:val="24"/>
          <w:szCs w:val="24"/>
        </w:rPr>
        <w:t xml:space="preserve">ecision to </w:t>
      </w:r>
      <w:r w:rsidR="00C61D01">
        <w:rPr>
          <w:rFonts w:ascii="Arial" w:hAnsi="Arial" w:cs="Arial"/>
          <w:sz w:val="24"/>
          <w:szCs w:val="24"/>
        </w:rPr>
        <w:t>cancel the tender and ancillary relief</w:t>
      </w:r>
      <w:r w:rsidR="00BC7EF7">
        <w:rPr>
          <w:rFonts w:ascii="Arial" w:hAnsi="Arial" w:cs="Arial"/>
          <w:sz w:val="24"/>
          <w:szCs w:val="24"/>
        </w:rPr>
        <w:t>:</w:t>
      </w:r>
      <w:r w:rsidR="00FC707D">
        <w:rPr>
          <w:rFonts w:ascii="Arial" w:hAnsi="Arial" w:cs="Arial"/>
          <w:sz w:val="24"/>
          <w:szCs w:val="24"/>
        </w:rPr>
        <w:t xml:space="preserve"> </w:t>
      </w:r>
      <w:r w:rsidR="00BC7EF7">
        <w:rPr>
          <w:rFonts w:ascii="Arial" w:hAnsi="Arial" w:cs="Arial"/>
          <w:sz w:val="24"/>
          <w:szCs w:val="24"/>
        </w:rPr>
        <w:t>directing the</w:t>
      </w:r>
      <w:r w:rsidR="00FC707D" w:rsidRPr="00FC707D">
        <w:rPr>
          <w:rFonts w:ascii="Arial" w:hAnsi="Arial" w:cs="Arial"/>
          <w:sz w:val="24"/>
          <w:szCs w:val="24"/>
        </w:rPr>
        <w:t xml:space="preserve"> Board and Minister of Ed</w:t>
      </w:r>
      <w:r w:rsidR="005223DE">
        <w:rPr>
          <w:rFonts w:ascii="Arial" w:hAnsi="Arial" w:cs="Arial"/>
          <w:sz w:val="24"/>
          <w:szCs w:val="24"/>
        </w:rPr>
        <w:t>ucation</w:t>
      </w:r>
      <w:r w:rsidR="00BC7EF7">
        <w:rPr>
          <w:rFonts w:ascii="Arial" w:hAnsi="Arial" w:cs="Arial"/>
          <w:sz w:val="24"/>
          <w:szCs w:val="24"/>
        </w:rPr>
        <w:t xml:space="preserve"> (Ministry)</w:t>
      </w:r>
      <w:r w:rsidR="005223DE">
        <w:rPr>
          <w:rFonts w:ascii="Arial" w:hAnsi="Arial" w:cs="Arial"/>
          <w:sz w:val="24"/>
          <w:szCs w:val="24"/>
        </w:rPr>
        <w:t xml:space="preserve"> </w:t>
      </w:r>
      <w:r w:rsidR="00BC7EF7">
        <w:rPr>
          <w:rFonts w:ascii="Arial" w:hAnsi="Arial" w:cs="Arial"/>
          <w:sz w:val="24"/>
          <w:szCs w:val="24"/>
        </w:rPr>
        <w:t xml:space="preserve">to conclude agreements </w:t>
      </w:r>
      <w:r w:rsidR="00BC7EF7" w:rsidRPr="00FC707D">
        <w:rPr>
          <w:rFonts w:ascii="Arial" w:hAnsi="Arial" w:cs="Arial"/>
          <w:sz w:val="24"/>
          <w:szCs w:val="24"/>
        </w:rPr>
        <w:t xml:space="preserve">with the appellants in respect of the </w:t>
      </w:r>
      <w:r w:rsidR="00BC7EF7">
        <w:rPr>
          <w:rFonts w:ascii="Arial" w:hAnsi="Arial" w:cs="Arial"/>
          <w:sz w:val="24"/>
          <w:szCs w:val="24"/>
        </w:rPr>
        <w:t xml:space="preserve">said </w:t>
      </w:r>
      <w:r w:rsidR="00BC7EF7" w:rsidRPr="00FC707D">
        <w:rPr>
          <w:rFonts w:ascii="Arial" w:hAnsi="Arial" w:cs="Arial"/>
          <w:sz w:val="24"/>
          <w:szCs w:val="24"/>
        </w:rPr>
        <w:t>catering regions</w:t>
      </w:r>
      <w:r w:rsidR="00BC7EF7">
        <w:rPr>
          <w:rFonts w:ascii="Arial" w:hAnsi="Arial" w:cs="Arial"/>
          <w:sz w:val="24"/>
          <w:szCs w:val="24"/>
        </w:rPr>
        <w:t xml:space="preserve"> (order </w:t>
      </w:r>
      <w:r w:rsidR="005223DE">
        <w:rPr>
          <w:rFonts w:ascii="Arial" w:hAnsi="Arial" w:cs="Arial"/>
          <w:sz w:val="24"/>
          <w:szCs w:val="24"/>
        </w:rPr>
        <w:t>to compel)</w:t>
      </w:r>
      <w:r w:rsidR="00BC7EF7">
        <w:rPr>
          <w:rFonts w:ascii="Arial" w:hAnsi="Arial" w:cs="Arial"/>
          <w:sz w:val="24"/>
          <w:szCs w:val="24"/>
        </w:rPr>
        <w:t>,</w:t>
      </w:r>
      <w:r w:rsidR="005223DE">
        <w:rPr>
          <w:rFonts w:ascii="Arial" w:hAnsi="Arial" w:cs="Arial"/>
          <w:sz w:val="24"/>
          <w:szCs w:val="24"/>
        </w:rPr>
        <w:t xml:space="preserve"> </w:t>
      </w:r>
      <w:r w:rsidR="00FC707D" w:rsidRPr="00FC707D">
        <w:rPr>
          <w:rFonts w:ascii="Arial" w:hAnsi="Arial" w:cs="Arial"/>
          <w:sz w:val="24"/>
          <w:szCs w:val="24"/>
        </w:rPr>
        <w:t>as contemplated in s</w:t>
      </w:r>
      <w:r w:rsidR="00BC7EF7">
        <w:rPr>
          <w:rFonts w:ascii="Arial" w:hAnsi="Arial" w:cs="Arial"/>
          <w:sz w:val="24"/>
          <w:szCs w:val="24"/>
        </w:rPr>
        <w:t>ection 16(2) of the Tender Act; and</w:t>
      </w:r>
      <w:r w:rsidR="00BB2C99">
        <w:rPr>
          <w:rFonts w:ascii="Arial" w:hAnsi="Arial" w:cs="Arial"/>
          <w:sz w:val="24"/>
          <w:szCs w:val="24"/>
        </w:rPr>
        <w:t xml:space="preserve"> an order </w:t>
      </w:r>
      <w:r w:rsidR="00BB2C99" w:rsidRPr="00895AA9">
        <w:rPr>
          <w:rFonts w:ascii="Arial" w:hAnsi="Arial" w:cs="Arial"/>
          <w:sz w:val="24"/>
          <w:szCs w:val="24"/>
        </w:rPr>
        <w:t>declaring</w:t>
      </w:r>
      <w:r w:rsidR="00BB2C99" w:rsidRPr="006815C8">
        <w:rPr>
          <w:rFonts w:ascii="Arial" w:hAnsi="Arial" w:cs="Arial"/>
          <w:sz w:val="24"/>
          <w:szCs w:val="24"/>
        </w:rPr>
        <w:t xml:space="preserve"> the ag</w:t>
      </w:r>
      <w:r w:rsidR="00BC7EF7">
        <w:rPr>
          <w:rFonts w:ascii="Arial" w:hAnsi="Arial" w:cs="Arial"/>
          <w:sz w:val="24"/>
          <w:szCs w:val="24"/>
        </w:rPr>
        <w:t>reements entered into by the Board and the Ministry</w:t>
      </w:r>
      <w:r w:rsidR="006815C8">
        <w:rPr>
          <w:rFonts w:ascii="Arial" w:hAnsi="Arial" w:cs="Arial"/>
          <w:sz w:val="24"/>
          <w:szCs w:val="24"/>
        </w:rPr>
        <w:t xml:space="preserve"> </w:t>
      </w:r>
      <w:r w:rsidR="00BB2C99" w:rsidRPr="006815C8">
        <w:rPr>
          <w:rFonts w:ascii="Arial" w:hAnsi="Arial" w:cs="Arial"/>
          <w:sz w:val="24"/>
          <w:szCs w:val="24"/>
        </w:rPr>
        <w:t xml:space="preserve"> with service providers, after the said award of the tenders to the appellants, </w:t>
      </w:r>
      <w:r w:rsidR="00BC7EF7" w:rsidRPr="00DE1C48">
        <w:rPr>
          <w:rFonts w:ascii="Arial" w:hAnsi="Arial" w:cs="Arial"/>
          <w:i/>
          <w:sz w:val="24"/>
          <w:szCs w:val="24"/>
        </w:rPr>
        <w:t>ultra vires</w:t>
      </w:r>
      <w:r w:rsidR="00BC7EF7">
        <w:rPr>
          <w:rFonts w:ascii="Arial" w:hAnsi="Arial" w:cs="Arial"/>
          <w:sz w:val="24"/>
          <w:szCs w:val="24"/>
        </w:rPr>
        <w:t xml:space="preserve"> the </w:t>
      </w:r>
      <w:r w:rsidR="00895AA9">
        <w:rPr>
          <w:rFonts w:ascii="Arial" w:hAnsi="Arial" w:cs="Arial"/>
          <w:sz w:val="24"/>
          <w:szCs w:val="24"/>
        </w:rPr>
        <w:t>Board</w:t>
      </w:r>
      <w:r w:rsidR="005223DE" w:rsidRPr="00895AA9">
        <w:rPr>
          <w:rFonts w:ascii="Arial" w:hAnsi="Arial" w:cs="Arial"/>
          <w:sz w:val="24"/>
          <w:szCs w:val="24"/>
        </w:rPr>
        <w:t xml:space="preserve"> (declaratory relief)</w:t>
      </w:r>
      <w:r w:rsidR="00BC7EF7">
        <w:rPr>
          <w:rFonts w:ascii="Arial" w:hAnsi="Arial" w:cs="Arial"/>
          <w:sz w:val="24"/>
          <w:szCs w:val="24"/>
        </w:rPr>
        <w:t>.</w:t>
      </w:r>
      <w:r w:rsidR="006815C8">
        <w:rPr>
          <w:rFonts w:ascii="Arial" w:hAnsi="Arial" w:cs="Arial"/>
        </w:rPr>
        <w:t xml:space="preserve"> </w:t>
      </w:r>
      <w:r w:rsidR="006815C8" w:rsidRPr="006815C8">
        <w:rPr>
          <w:rFonts w:ascii="Arial" w:hAnsi="Arial" w:cs="Arial"/>
          <w:sz w:val="24"/>
          <w:szCs w:val="24"/>
        </w:rPr>
        <w:t>The appellants had</w:t>
      </w:r>
      <w:r w:rsidR="006815C8">
        <w:rPr>
          <w:rFonts w:ascii="Arial" w:hAnsi="Arial" w:cs="Arial"/>
          <w:sz w:val="24"/>
          <w:szCs w:val="24"/>
        </w:rPr>
        <w:t>,</w:t>
      </w:r>
      <w:r w:rsidR="006815C8" w:rsidRPr="006815C8">
        <w:rPr>
          <w:rFonts w:ascii="Arial" w:hAnsi="Arial" w:cs="Arial"/>
          <w:sz w:val="24"/>
          <w:szCs w:val="24"/>
        </w:rPr>
        <w:t xml:space="preserve"> initially</w:t>
      </w:r>
      <w:r w:rsidR="006815C8">
        <w:rPr>
          <w:rFonts w:ascii="Arial" w:hAnsi="Arial" w:cs="Arial"/>
          <w:sz w:val="24"/>
          <w:szCs w:val="24"/>
        </w:rPr>
        <w:t>,</w:t>
      </w:r>
      <w:r w:rsidR="006815C8" w:rsidRPr="006815C8">
        <w:rPr>
          <w:rFonts w:ascii="Arial" w:hAnsi="Arial" w:cs="Arial"/>
          <w:sz w:val="24"/>
          <w:szCs w:val="24"/>
        </w:rPr>
        <w:t xml:space="preserve"> asked for an </w:t>
      </w:r>
      <w:r w:rsidR="006815C8" w:rsidRPr="001109B7">
        <w:rPr>
          <w:rFonts w:ascii="Arial" w:hAnsi="Arial" w:cs="Arial"/>
          <w:sz w:val="24"/>
          <w:szCs w:val="24"/>
        </w:rPr>
        <w:t>inte</w:t>
      </w:r>
      <w:r w:rsidR="00BC7EF7">
        <w:rPr>
          <w:rFonts w:ascii="Arial" w:hAnsi="Arial" w:cs="Arial"/>
          <w:sz w:val="24"/>
          <w:szCs w:val="24"/>
        </w:rPr>
        <w:t xml:space="preserve">rdictory relief restraining the </w:t>
      </w:r>
      <w:r w:rsidR="006815C8" w:rsidRPr="001109B7">
        <w:rPr>
          <w:rFonts w:ascii="Arial" w:hAnsi="Arial" w:cs="Arial"/>
          <w:sz w:val="24"/>
          <w:szCs w:val="24"/>
        </w:rPr>
        <w:t xml:space="preserve">Board and the Ministry </w:t>
      </w:r>
      <w:r w:rsidR="006815C8" w:rsidRPr="001109B7">
        <w:rPr>
          <w:rFonts w:ascii="Arial" w:hAnsi="Arial" w:cs="Arial"/>
          <w:sz w:val="24"/>
          <w:szCs w:val="24"/>
        </w:rPr>
        <w:lastRenderedPageBreak/>
        <w:t>from continuing with the implementation of the extended catering contracts. This relief</w:t>
      </w:r>
      <w:r w:rsidR="006815C8">
        <w:rPr>
          <w:rFonts w:ascii="Arial" w:hAnsi="Arial" w:cs="Arial"/>
          <w:sz w:val="24"/>
          <w:szCs w:val="24"/>
        </w:rPr>
        <w:t xml:space="preserve"> was </w:t>
      </w:r>
      <w:r w:rsidR="006815C8" w:rsidRPr="001109B7">
        <w:rPr>
          <w:rFonts w:ascii="Arial" w:hAnsi="Arial" w:cs="Arial"/>
          <w:sz w:val="24"/>
          <w:szCs w:val="24"/>
        </w:rPr>
        <w:t>abandoned.</w:t>
      </w:r>
    </w:p>
    <w:p w:rsidR="007B59ED" w:rsidRDefault="007B59ED" w:rsidP="001B2FCA">
      <w:pPr>
        <w:pStyle w:val="NoSpacing"/>
        <w:spacing w:line="480" w:lineRule="auto"/>
        <w:jc w:val="both"/>
        <w:rPr>
          <w:rFonts w:ascii="Arial" w:hAnsi="Arial" w:cs="Arial"/>
          <w:sz w:val="24"/>
          <w:szCs w:val="24"/>
        </w:rPr>
      </w:pPr>
    </w:p>
    <w:p w:rsidR="00A66BE6" w:rsidRDefault="00A66BE6" w:rsidP="00E462FE">
      <w:pPr>
        <w:pStyle w:val="NoSpacing"/>
        <w:spacing w:line="480" w:lineRule="auto"/>
        <w:jc w:val="both"/>
        <w:rPr>
          <w:rFonts w:ascii="Arial" w:hAnsi="Arial" w:cs="Arial"/>
          <w:sz w:val="24"/>
          <w:szCs w:val="24"/>
        </w:rPr>
      </w:pPr>
      <w:r>
        <w:rPr>
          <w:rFonts w:ascii="Arial" w:hAnsi="Arial" w:cs="Arial"/>
          <w:sz w:val="24"/>
          <w:szCs w:val="24"/>
        </w:rPr>
        <w:t>In dismissing the app</w:t>
      </w:r>
      <w:r w:rsidR="00775129">
        <w:rPr>
          <w:rFonts w:ascii="Arial" w:hAnsi="Arial" w:cs="Arial"/>
          <w:sz w:val="24"/>
          <w:szCs w:val="24"/>
        </w:rPr>
        <w:t>lication</w:t>
      </w:r>
      <w:r w:rsidR="008555DA">
        <w:rPr>
          <w:rFonts w:ascii="Arial" w:hAnsi="Arial" w:cs="Arial"/>
          <w:sz w:val="24"/>
          <w:szCs w:val="24"/>
        </w:rPr>
        <w:t xml:space="preserve"> the H</w:t>
      </w:r>
      <w:r>
        <w:rPr>
          <w:rFonts w:ascii="Arial" w:hAnsi="Arial" w:cs="Arial"/>
          <w:sz w:val="24"/>
          <w:szCs w:val="24"/>
        </w:rPr>
        <w:t xml:space="preserve">igh </w:t>
      </w:r>
      <w:r w:rsidR="00662971">
        <w:rPr>
          <w:rFonts w:ascii="Arial" w:hAnsi="Arial" w:cs="Arial"/>
          <w:sz w:val="24"/>
          <w:szCs w:val="24"/>
        </w:rPr>
        <w:t>Court</w:t>
      </w:r>
      <w:r>
        <w:rPr>
          <w:rFonts w:ascii="Arial" w:hAnsi="Arial" w:cs="Arial"/>
          <w:sz w:val="24"/>
          <w:szCs w:val="24"/>
        </w:rPr>
        <w:t xml:space="preserve"> held</w:t>
      </w:r>
      <w:r w:rsidR="008555DA">
        <w:rPr>
          <w:rFonts w:ascii="Arial" w:hAnsi="Arial" w:cs="Arial"/>
          <w:sz w:val="24"/>
          <w:szCs w:val="24"/>
        </w:rPr>
        <w:t>, among other things, that the cancellation was</w:t>
      </w:r>
      <w:r w:rsidR="006815C8">
        <w:rPr>
          <w:rFonts w:ascii="Arial" w:hAnsi="Arial" w:cs="Arial"/>
          <w:sz w:val="24"/>
          <w:szCs w:val="24"/>
        </w:rPr>
        <w:t xml:space="preserve"> n</w:t>
      </w:r>
      <w:r w:rsidR="005C3AF0">
        <w:rPr>
          <w:rFonts w:ascii="Arial" w:hAnsi="Arial" w:cs="Arial"/>
          <w:sz w:val="24"/>
          <w:szCs w:val="24"/>
        </w:rPr>
        <w:t>ot unreasonable and irrational.</w:t>
      </w:r>
      <w:r w:rsidR="001E40AA">
        <w:rPr>
          <w:rFonts w:ascii="Arial" w:hAnsi="Arial" w:cs="Arial"/>
          <w:sz w:val="24"/>
          <w:szCs w:val="24"/>
        </w:rPr>
        <w:t xml:space="preserve"> </w:t>
      </w:r>
      <w:r w:rsidR="006815C8">
        <w:rPr>
          <w:rFonts w:ascii="Arial" w:hAnsi="Arial" w:cs="Arial"/>
          <w:sz w:val="24"/>
          <w:szCs w:val="24"/>
        </w:rPr>
        <w:t xml:space="preserve">Regarding the fair process challenge, the </w:t>
      </w:r>
      <w:r w:rsidR="00662971">
        <w:rPr>
          <w:rFonts w:ascii="Arial" w:hAnsi="Arial" w:cs="Arial"/>
          <w:sz w:val="24"/>
          <w:szCs w:val="24"/>
        </w:rPr>
        <w:t>Court</w:t>
      </w:r>
      <w:r w:rsidR="006815C8">
        <w:rPr>
          <w:rFonts w:ascii="Arial" w:hAnsi="Arial" w:cs="Arial"/>
          <w:sz w:val="24"/>
          <w:szCs w:val="24"/>
        </w:rPr>
        <w:t xml:space="preserve"> </w:t>
      </w:r>
      <w:r w:rsidR="00775129" w:rsidRPr="00775129">
        <w:rPr>
          <w:rFonts w:ascii="Arial" w:hAnsi="Arial" w:cs="Arial"/>
          <w:i/>
          <w:sz w:val="24"/>
          <w:szCs w:val="24"/>
        </w:rPr>
        <w:t>a quo</w:t>
      </w:r>
      <w:r w:rsidR="00775129">
        <w:rPr>
          <w:rFonts w:ascii="Arial" w:hAnsi="Arial" w:cs="Arial"/>
          <w:sz w:val="24"/>
          <w:szCs w:val="24"/>
        </w:rPr>
        <w:t xml:space="preserve"> </w:t>
      </w:r>
      <w:r w:rsidR="006815C8">
        <w:rPr>
          <w:rFonts w:ascii="Arial" w:hAnsi="Arial" w:cs="Arial"/>
          <w:sz w:val="24"/>
          <w:szCs w:val="24"/>
        </w:rPr>
        <w:t>held that</w:t>
      </w:r>
      <w:r w:rsidR="001B2FCA" w:rsidRPr="001B2FCA">
        <w:rPr>
          <w:rFonts w:ascii="Arial" w:hAnsi="Arial" w:cs="Arial"/>
        </w:rPr>
        <w:t xml:space="preserve"> </w:t>
      </w:r>
      <w:r w:rsidR="00BC7EF7">
        <w:rPr>
          <w:rFonts w:ascii="Arial" w:hAnsi="Arial" w:cs="Arial"/>
          <w:sz w:val="24"/>
          <w:szCs w:val="24"/>
        </w:rPr>
        <w:t>the</w:t>
      </w:r>
      <w:r w:rsidR="001B2FCA" w:rsidRPr="001B2FCA">
        <w:rPr>
          <w:rFonts w:ascii="Arial" w:hAnsi="Arial" w:cs="Arial"/>
          <w:sz w:val="24"/>
          <w:szCs w:val="24"/>
        </w:rPr>
        <w:t xml:space="preserve"> Boar</w:t>
      </w:r>
      <w:r w:rsidR="00775129">
        <w:rPr>
          <w:rFonts w:ascii="Arial" w:hAnsi="Arial" w:cs="Arial"/>
          <w:sz w:val="24"/>
          <w:szCs w:val="24"/>
        </w:rPr>
        <w:t>d was duty bound to cancel the t</w:t>
      </w:r>
      <w:r w:rsidR="001B2FCA" w:rsidRPr="001B2FCA">
        <w:rPr>
          <w:rFonts w:ascii="Arial" w:hAnsi="Arial" w:cs="Arial"/>
          <w:sz w:val="24"/>
          <w:szCs w:val="24"/>
        </w:rPr>
        <w:t xml:space="preserve">ender and </w:t>
      </w:r>
      <w:r w:rsidR="001B2FCA">
        <w:rPr>
          <w:rFonts w:ascii="Arial" w:hAnsi="Arial" w:cs="Arial"/>
          <w:sz w:val="24"/>
          <w:szCs w:val="24"/>
        </w:rPr>
        <w:t xml:space="preserve">that </w:t>
      </w:r>
      <w:r w:rsidR="001B2FCA" w:rsidRPr="001B2FCA">
        <w:rPr>
          <w:rFonts w:ascii="Arial" w:hAnsi="Arial" w:cs="Arial"/>
          <w:sz w:val="24"/>
          <w:szCs w:val="24"/>
        </w:rPr>
        <w:t>when it did so without affording the tenderers (</w:t>
      </w:r>
      <w:r w:rsidR="001B2FCA">
        <w:rPr>
          <w:rFonts w:ascii="Arial" w:hAnsi="Arial" w:cs="Arial"/>
          <w:sz w:val="24"/>
          <w:szCs w:val="24"/>
        </w:rPr>
        <w:t xml:space="preserve">including the appellants) </w:t>
      </w:r>
      <w:r w:rsidR="00775129">
        <w:rPr>
          <w:rFonts w:ascii="Arial" w:hAnsi="Arial" w:cs="Arial"/>
          <w:sz w:val="24"/>
          <w:szCs w:val="24"/>
        </w:rPr>
        <w:t xml:space="preserve">an opportunity to be heard </w:t>
      </w:r>
      <w:r w:rsidR="001B2FCA" w:rsidRPr="001B2FCA">
        <w:rPr>
          <w:rFonts w:ascii="Arial" w:hAnsi="Arial" w:cs="Arial"/>
          <w:sz w:val="24"/>
          <w:szCs w:val="24"/>
        </w:rPr>
        <w:t>it did not</w:t>
      </w:r>
      <w:r w:rsidR="001B2FCA">
        <w:rPr>
          <w:rFonts w:ascii="Arial" w:hAnsi="Arial" w:cs="Arial"/>
          <w:sz w:val="24"/>
          <w:szCs w:val="24"/>
        </w:rPr>
        <w:t xml:space="preserve"> </w:t>
      </w:r>
      <w:r w:rsidR="001B2FCA" w:rsidRPr="001B2FCA">
        <w:rPr>
          <w:rFonts w:ascii="Arial" w:hAnsi="Arial" w:cs="Arial"/>
          <w:sz w:val="24"/>
          <w:szCs w:val="24"/>
        </w:rPr>
        <w:t>act unfairly</w:t>
      </w:r>
      <w:r w:rsidR="001B2FCA">
        <w:rPr>
          <w:rFonts w:ascii="Arial" w:hAnsi="Arial" w:cs="Arial"/>
          <w:sz w:val="24"/>
          <w:szCs w:val="24"/>
        </w:rPr>
        <w:t xml:space="preserve"> </w:t>
      </w:r>
      <w:r w:rsidR="001B2FCA" w:rsidRPr="001B2FCA">
        <w:rPr>
          <w:rFonts w:ascii="Arial" w:hAnsi="Arial" w:cs="Arial"/>
          <w:sz w:val="24"/>
          <w:szCs w:val="24"/>
        </w:rPr>
        <w:t>because the allegations of impropriety, corruption and</w:t>
      </w:r>
      <w:r w:rsidR="001B2FCA" w:rsidRPr="001B2FCA">
        <w:rPr>
          <w:rFonts w:ascii="Arial" w:hAnsi="Arial" w:cs="Arial"/>
          <w:i/>
          <w:sz w:val="24"/>
          <w:szCs w:val="24"/>
        </w:rPr>
        <w:t xml:space="preserve"> </w:t>
      </w:r>
      <w:r w:rsidR="001B2FCA" w:rsidRPr="0021400C">
        <w:rPr>
          <w:rFonts w:ascii="Arial" w:hAnsi="Arial" w:cs="Arial"/>
          <w:sz w:val="24"/>
          <w:szCs w:val="24"/>
        </w:rPr>
        <w:t>irregularity were not levelled against any of the tenderers</w:t>
      </w:r>
      <w:r w:rsidR="001B2FCA" w:rsidRPr="001B2FCA">
        <w:rPr>
          <w:rFonts w:ascii="Arial" w:hAnsi="Arial" w:cs="Arial"/>
          <w:sz w:val="24"/>
          <w:szCs w:val="24"/>
        </w:rPr>
        <w:t xml:space="preserve"> but against the officials of the </w:t>
      </w:r>
      <w:r w:rsidR="001B2FCA">
        <w:rPr>
          <w:rFonts w:ascii="Arial" w:hAnsi="Arial" w:cs="Arial"/>
          <w:sz w:val="24"/>
          <w:szCs w:val="24"/>
        </w:rPr>
        <w:t xml:space="preserve">Ministry. </w:t>
      </w:r>
    </w:p>
    <w:p w:rsidR="00E462FE" w:rsidRDefault="00E462FE" w:rsidP="00E462FE">
      <w:pPr>
        <w:pStyle w:val="NoSpacing"/>
        <w:spacing w:line="480" w:lineRule="auto"/>
        <w:jc w:val="both"/>
        <w:rPr>
          <w:rFonts w:ascii="Arial" w:hAnsi="Arial" w:cs="Arial"/>
          <w:sz w:val="24"/>
          <w:szCs w:val="24"/>
        </w:rPr>
      </w:pPr>
    </w:p>
    <w:p w:rsidR="00F65AE3" w:rsidRDefault="00114F8E" w:rsidP="00E462FE">
      <w:pPr>
        <w:pStyle w:val="NoSpacing"/>
        <w:spacing w:line="480" w:lineRule="auto"/>
        <w:jc w:val="both"/>
        <w:rPr>
          <w:rFonts w:ascii="Arial" w:hAnsi="Arial" w:cs="Arial"/>
          <w:sz w:val="24"/>
          <w:szCs w:val="24"/>
        </w:rPr>
      </w:pPr>
      <w:r>
        <w:rPr>
          <w:rFonts w:ascii="Arial" w:hAnsi="Arial" w:cs="Arial"/>
          <w:sz w:val="24"/>
          <w:szCs w:val="24"/>
        </w:rPr>
        <w:t xml:space="preserve">In upholding the appeal the </w:t>
      </w:r>
      <w:r w:rsidR="00662971">
        <w:rPr>
          <w:rFonts w:ascii="Arial" w:hAnsi="Arial" w:cs="Arial"/>
          <w:sz w:val="24"/>
          <w:szCs w:val="24"/>
        </w:rPr>
        <w:t>Court</w:t>
      </w:r>
      <w:r w:rsidR="008555DA" w:rsidRPr="00E462FE">
        <w:rPr>
          <w:rFonts w:ascii="Arial" w:hAnsi="Arial" w:cs="Arial"/>
          <w:sz w:val="24"/>
          <w:szCs w:val="24"/>
        </w:rPr>
        <w:t xml:space="preserve"> </w:t>
      </w:r>
      <w:r>
        <w:rPr>
          <w:rFonts w:ascii="Arial" w:hAnsi="Arial" w:cs="Arial"/>
          <w:sz w:val="24"/>
          <w:szCs w:val="24"/>
        </w:rPr>
        <w:t>stressed the need to uphold the rule of law and to protect and enforce entrench</w:t>
      </w:r>
      <w:r w:rsidR="00924F11">
        <w:rPr>
          <w:rFonts w:ascii="Arial" w:hAnsi="Arial" w:cs="Arial"/>
          <w:sz w:val="24"/>
          <w:szCs w:val="24"/>
        </w:rPr>
        <w:t>ed</w:t>
      </w:r>
      <w:r>
        <w:rPr>
          <w:rFonts w:ascii="Arial" w:hAnsi="Arial" w:cs="Arial"/>
          <w:sz w:val="24"/>
          <w:szCs w:val="24"/>
        </w:rPr>
        <w:t xml:space="preserve"> rights. Following an analysis on whether the cancellation of the tender was irrational</w:t>
      </w:r>
      <w:r w:rsidR="00A42B2C">
        <w:rPr>
          <w:rFonts w:ascii="Arial" w:hAnsi="Arial" w:cs="Arial"/>
          <w:sz w:val="24"/>
          <w:szCs w:val="24"/>
        </w:rPr>
        <w:t xml:space="preserve"> and unlawful the </w:t>
      </w:r>
      <w:r w:rsidR="00662971">
        <w:rPr>
          <w:rFonts w:ascii="Arial" w:hAnsi="Arial" w:cs="Arial"/>
          <w:sz w:val="24"/>
          <w:szCs w:val="24"/>
        </w:rPr>
        <w:t>Court</w:t>
      </w:r>
      <w:r>
        <w:rPr>
          <w:rFonts w:ascii="Arial" w:hAnsi="Arial" w:cs="Arial"/>
          <w:sz w:val="24"/>
          <w:szCs w:val="24"/>
        </w:rPr>
        <w:t xml:space="preserve"> held </w:t>
      </w:r>
      <w:r w:rsidR="00A42B2C">
        <w:rPr>
          <w:rFonts w:ascii="Arial" w:hAnsi="Arial" w:cs="Arial"/>
          <w:sz w:val="24"/>
          <w:szCs w:val="24"/>
        </w:rPr>
        <w:t xml:space="preserve">that </w:t>
      </w:r>
      <w:r w:rsidR="008555DA" w:rsidRPr="00C90D11">
        <w:rPr>
          <w:rFonts w:ascii="Arial" w:hAnsi="Arial" w:cs="Arial"/>
          <w:sz w:val="24"/>
          <w:szCs w:val="24"/>
        </w:rPr>
        <w:t xml:space="preserve">the High </w:t>
      </w:r>
      <w:r w:rsidR="00662971">
        <w:rPr>
          <w:rFonts w:ascii="Arial" w:hAnsi="Arial" w:cs="Arial"/>
          <w:sz w:val="24"/>
          <w:szCs w:val="24"/>
        </w:rPr>
        <w:t>Court</w:t>
      </w:r>
      <w:r w:rsidR="008555DA" w:rsidRPr="00C90D11">
        <w:rPr>
          <w:rFonts w:ascii="Arial" w:hAnsi="Arial" w:cs="Arial"/>
          <w:sz w:val="24"/>
          <w:szCs w:val="24"/>
        </w:rPr>
        <w:t xml:space="preserve"> misdirected</w:t>
      </w:r>
      <w:r w:rsidR="00C61D01">
        <w:rPr>
          <w:rFonts w:ascii="Arial" w:hAnsi="Arial" w:cs="Arial"/>
          <w:sz w:val="24"/>
          <w:szCs w:val="24"/>
        </w:rPr>
        <w:t xml:space="preserve"> itself </w:t>
      </w:r>
      <w:r>
        <w:rPr>
          <w:rFonts w:ascii="Arial" w:hAnsi="Arial" w:cs="Arial"/>
          <w:sz w:val="24"/>
          <w:szCs w:val="24"/>
        </w:rPr>
        <w:t xml:space="preserve">in </w:t>
      </w:r>
      <w:r w:rsidR="005F4FAF">
        <w:rPr>
          <w:rFonts w:ascii="Arial" w:hAnsi="Arial" w:cs="Arial"/>
          <w:sz w:val="24"/>
          <w:szCs w:val="24"/>
        </w:rPr>
        <w:t xml:space="preserve">concluding that the </w:t>
      </w:r>
      <w:r w:rsidR="008555DA" w:rsidRPr="00C90D11">
        <w:rPr>
          <w:rFonts w:ascii="Arial" w:hAnsi="Arial" w:cs="Arial"/>
          <w:sz w:val="24"/>
          <w:szCs w:val="24"/>
        </w:rPr>
        <w:t>cancellation of the tender</w:t>
      </w:r>
      <w:r w:rsidR="005F4FAF">
        <w:rPr>
          <w:rFonts w:ascii="Arial" w:hAnsi="Arial" w:cs="Arial"/>
          <w:sz w:val="24"/>
          <w:szCs w:val="24"/>
        </w:rPr>
        <w:t xml:space="preserve"> was, </w:t>
      </w:r>
      <w:r w:rsidR="008555DA" w:rsidRPr="00C90D11">
        <w:rPr>
          <w:rFonts w:ascii="Arial" w:hAnsi="Arial" w:cs="Arial"/>
          <w:sz w:val="24"/>
          <w:szCs w:val="24"/>
        </w:rPr>
        <w:t>in the circumstances</w:t>
      </w:r>
      <w:r w:rsidR="005F4FAF">
        <w:rPr>
          <w:rFonts w:ascii="Arial" w:hAnsi="Arial" w:cs="Arial"/>
          <w:sz w:val="24"/>
          <w:szCs w:val="24"/>
        </w:rPr>
        <w:t xml:space="preserve">, </w:t>
      </w:r>
      <w:r w:rsidR="00F65AE3">
        <w:rPr>
          <w:rFonts w:ascii="Arial" w:hAnsi="Arial" w:cs="Arial"/>
          <w:sz w:val="24"/>
          <w:szCs w:val="24"/>
        </w:rPr>
        <w:t>rational</w:t>
      </w:r>
      <w:r w:rsidR="005F4FAF">
        <w:rPr>
          <w:rFonts w:ascii="Arial" w:hAnsi="Arial" w:cs="Arial"/>
          <w:sz w:val="24"/>
          <w:szCs w:val="24"/>
        </w:rPr>
        <w:t xml:space="preserve"> </w:t>
      </w:r>
      <w:r w:rsidR="005223DE">
        <w:rPr>
          <w:rFonts w:ascii="Arial" w:hAnsi="Arial" w:cs="Arial"/>
          <w:sz w:val="24"/>
          <w:szCs w:val="24"/>
        </w:rPr>
        <w:t>and</w:t>
      </w:r>
      <w:r>
        <w:rPr>
          <w:rFonts w:ascii="Arial" w:hAnsi="Arial" w:cs="Arial"/>
          <w:sz w:val="24"/>
          <w:szCs w:val="24"/>
        </w:rPr>
        <w:t>,</w:t>
      </w:r>
      <w:r w:rsidR="001E40AA">
        <w:rPr>
          <w:rFonts w:ascii="Arial" w:hAnsi="Arial" w:cs="Arial"/>
          <w:sz w:val="24"/>
          <w:szCs w:val="24"/>
        </w:rPr>
        <w:t xml:space="preserve"> as regards the appellants’</w:t>
      </w:r>
      <w:r w:rsidR="005223DE">
        <w:rPr>
          <w:rFonts w:ascii="Arial" w:hAnsi="Arial" w:cs="Arial"/>
          <w:sz w:val="24"/>
          <w:szCs w:val="24"/>
        </w:rPr>
        <w:t xml:space="preserve"> fair process rights</w:t>
      </w:r>
      <w:r w:rsidR="00E65805">
        <w:rPr>
          <w:rFonts w:ascii="Arial" w:hAnsi="Arial" w:cs="Arial"/>
          <w:sz w:val="24"/>
          <w:szCs w:val="24"/>
        </w:rPr>
        <w:t>, that the</w:t>
      </w:r>
      <w:r w:rsidR="00B1745F">
        <w:rPr>
          <w:rFonts w:ascii="Arial" w:hAnsi="Arial" w:cs="Arial"/>
          <w:sz w:val="24"/>
          <w:szCs w:val="24"/>
        </w:rPr>
        <w:t xml:space="preserve"> Board did not act unfairly and consequently dismissing the application.</w:t>
      </w:r>
    </w:p>
    <w:p w:rsidR="00B1745F" w:rsidRDefault="00B1745F" w:rsidP="00E462FE">
      <w:pPr>
        <w:pStyle w:val="NoSpacing"/>
        <w:spacing w:line="480" w:lineRule="auto"/>
        <w:jc w:val="both"/>
        <w:rPr>
          <w:rFonts w:ascii="Arial" w:hAnsi="Arial" w:cs="Arial"/>
          <w:sz w:val="24"/>
          <w:szCs w:val="24"/>
        </w:rPr>
      </w:pPr>
    </w:p>
    <w:p w:rsidR="00B1745F" w:rsidRDefault="00B1745F" w:rsidP="00E462FE">
      <w:pPr>
        <w:pStyle w:val="NoSpacing"/>
        <w:spacing w:line="480" w:lineRule="auto"/>
        <w:jc w:val="both"/>
        <w:rPr>
          <w:rFonts w:ascii="Arial" w:hAnsi="Arial" w:cs="Arial"/>
          <w:sz w:val="24"/>
          <w:szCs w:val="24"/>
        </w:rPr>
      </w:pPr>
      <w:r>
        <w:rPr>
          <w:rFonts w:ascii="Arial" w:hAnsi="Arial" w:cs="Arial"/>
          <w:sz w:val="24"/>
          <w:szCs w:val="24"/>
        </w:rPr>
        <w:t xml:space="preserve">The </w:t>
      </w:r>
      <w:r w:rsidR="00662971">
        <w:rPr>
          <w:rFonts w:ascii="Arial" w:hAnsi="Arial" w:cs="Arial"/>
          <w:sz w:val="24"/>
          <w:szCs w:val="24"/>
        </w:rPr>
        <w:t>Court</w:t>
      </w:r>
      <w:r>
        <w:rPr>
          <w:rFonts w:ascii="Arial" w:hAnsi="Arial" w:cs="Arial"/>
          <w:sz w:val="24"/>
          <w:szCs w:val="24"/>
        </w:rPr>
        <w:t xml:space="preserve"> held that the Board failed </w:t>
      </w:r>
      <w:r w:rsidR="001E5DBF">
        <w:rPr>
          <w:rFonts w:ascii="Arial" w:hAnsi="Arial" w:cs="Arial"/>
          <w:sz w:val="24"/>
          <w:szCs w:val="24"/>
        </w:rPr>
        <w:t xml:space="preserve">to comply </w:t>
      </w:r>
      <w:r>
        <w:rPr>
          <w:rFonts w:ascii="Arial" w:hAnsi="Arial" w:cs="Arial"/>
          <w:sz w:val="24"/>
          <w:szCs w:val="24"/>
        </w:rPr>
        <w:t>and ought to have complied with section 16 of the Tender Act after awarding the tender to the successful bidders, including the appellants</w:t>
      </w:r>
      <w:r w:rsidR="00C21373">
        <w:rPr>
          <w:rFonts w:ascii="Arial" w:hAnsi="Arial" w:cs="Arial"/>
          <w:sz w:val="24"/>
          <w:szCs w:val="24"/>
        </w:rPr>
        <w:t>:</w:t>
      </w:r>
      <w:r>
        <w:rPr>
          <w:rFonts w:ascii="Arial" w:hAnsi="Arial" w:cs="Arial"/>
          <w:sz w:val="24"/>
          <w:szCs w:val="24"/>
        </w:rPr>
        <w:t xml:space="preserve"> </w:t>
      </w:r>
      <w:r w:rsidR="00C21373">
        <w:rPr>
          <w:rFonts w:ascii="Arial" w:hAnsi="Arial" w:cs="Arial"/>
          <w:sz w:val="24"/>
          <w:szCs w:val="24"/>
        </w:rPr>
        <w:t xml:space="preserve">it </w:t>
      </w:r>
      <w:r>
        <w:rPr>
          <w:rFonts w:ascii="Arial" w:hAnsi="Arial" w:cs="Arial"/>
          <w:sz w:val="24"/>
          <w:szCs w:val="24"/>
        </w:rPr>
        <w:t xml:space="preserve">should have notified them in writing of the award.  </w:t>
      </w:r>
      <w:r w:rsidR="001371FA">
        <w:rPr>
          <w:rFonts w:ascii="Arial" w:hAnsi="Arial" w:cs="Arial"/>
          <w:sz w:val="24"/>
          <w:szCs w:val="24"/>
        </w:rPr>
        <w:t xml:space="preserve">It held that the Board acted unlawfully in failing to do so. The </w:t>
      </w:r>
      <w:r w:rsidR="00662971">
        <w:rPr>
          <w:rFonts w:ascii="Arial" w:hAnsi="Arial" w:cs="Arial"/>
          <w:sz w:val="24"/>
          <w:szCs w:val="24"/>
        </w:rPr>
        <w:t>Court</w:t>
      </w:r>
      <w:r w:rsidR="001371FA">
        <w:rPr>
          <w:rFonts w:ascii="Arial" w:hAnsi="Arial" w:cs="Arial"/>
          <w:sz w:val="24"/>
          <w:szCs w:val="24"/>
        </w:rPr>
        <w:t xml:space="preserve"> further held that the Board acted</w:t>
      </w:r>
      <w:r w:rsidR="00924F11">
        <w:rPr>
          <w:rFonts w:ascii="Arial" w:hAnsi="Arial" w:cs="Arial"/>
          <w:sz w:val="24"/>
          <w:szCs w:val="24"/>
        </w:rPr>
        <w:t xml:space="preserve"> in</w:t>
      </w:r>
      <w:r w:rsidR="004D7B30">
        <w:rPr>
          <w:rFonts w:ascii="Arial" w:hAnsi="Arial" w:cs="Arial"/>
          <w:sz w:val="24"/>
          <w:szCs w:val="24"/>
        </w:rPr>
        <w:t xml:space="preserve"> breach of</w:t>
      </w:r>
      <w:r w:rsidR="001371FA">
        <w:rPr>
          <w:rFonts w:ascii="Arial" w:hAnsi="Arial" w:cs="Arial"/>
          <w:sz w:val="24"/>
          <w:szCs w:val="24"/>
        </w:rPr>
        <w:t xml:space="preserve"> the appellants’ fair proce</w:t>
      </w:r>
      <w:r w:rsidR="001E5DBF">
        <w:rPr>
          <w:rFonts w:ascii="Arial" w:hAnsi="Arial" w:cs="Arial"/>
          <w:sz w:val="24"/>
          <w:szCs w:val="24"/>
        </w:rPr>
        <w:t>ss right by failing to afford</w:t>
      </w:r>
      <w:r w:rsidR="001371FA">
        <w:rPr>
          <w:rFonts w:ascii="Arial" w:hAnsi="Arial" w:cs="Arial"/>
          <w:sz w:val="24"/>
          <w:szCs w:val="24"/>
        </w:rPr>
        <w:t xml:space="preserve"> them </w:t>
      </w:r>
      <w:r w:rsidR="001371FA">
        <w:rPr>
          <w:rFonts w:ascii="Arial" w:hAnsi="Arial" w:cs="Arial"/>
          <w:sz w:val="24"/>
          <w:szCs w:val="24"/>
        </w:rPr>
        <w:lastRenderedPageBreak/>
        <w:t>hearing (</w:t>
      </w:r>
      <w:r w:rsidR="001371FA" w:rsidRPr="001371FA">
        <w:rPr>
          <w:rFonts w:ascii="Arial" w:hAnsi="Arial" w:cs="Arial"/>
          <w:i/>
          <w:sz w:val="24"/>
          <w:szCs w:val="24"/>
        </w:rPr>
        <w:t>audi alteram partem</w:t>
      </w:r>
      <w:r w:rsidR="001371FA">
        <w:rPr>
          <w:rFonts w:ascii="Arial" w:hAnsi="Arial" w:cs="Arial"/>
          <w:sz w:val="24"/>
          <w:szCs w:val="24"/>
        </w:rPr>
        <w:t xml:space="preserve">) or at least invite them to make written representations before the tender was cancelled. </w:t>
      </w:r>
    </w:p>
    <w:p w:rsidR="001371FA" w:rsidRDefault="001371FA" w:rsidP="00E462FE">
      <w:pPr>
        <w:pStyle w:val="NoSpacing"/>
        <w:spacing w:line="480" w:lineRule="auto"/>
        <w:jc w:val="both"/>
        <w:rPr>
          <w:rFonts w:ascii="Arial" w:hAnsi="Arial" w:cs="Arial"/>
          <w:sz w:val="24"/>
          <w:szCs w:val="24"/>
        </w:rPr>
      </w:pPr>
    </w:p>
    <w:p w:rsidR="00D84C4D" w:rsidRDefault="001371FA" w:rsidP="00E462FE">
      <w:pPr>
        <w:pStyle w:val="NoSpacing"/>
        <w:spacing w:line="480" w:lineRule="auto"/>
        <w:jc w:val="both"/>
        <w:rPr>
          <w:rFonts w:ascii="Arial" w:hAnsi="Arial" w:cs="Arial"/>
          <w:sz w:val="24"/>
          <w:szCs w:val="24"/>
        </w:rPr>
      </w:pPr>
      <w:r>
        <w:rPr>
          <w:rFonts w:ascii="Arial" w:hAnsi="Arial" w:cs="Arial"/>
          <w:sz w:val="24"/>
          <w:szCs w:val="24"/>
        </w:rPr>
        <w:t xml:space="preserve">The </w:t>
      </w:r>
      <w:r w:rsidR="00662971">
        <w:rPr>
          <w:rFonts w:ascii="Arial" w:hAnsi="Arial" w:cs="Arial"/>
          <w:sz w:val="24"/>
          <w:szCs w:val="24"/>
        </w:rPr>
        <w:t>Court</w:t>
      </w:r>
      <w:r>
        <w:rPr>
          <w:rFonts w:ascii="Arial" w:hAnsi="Arial" w:cs="Arial"/>
          <w:sz w:val="24"/>
          <w:szCs w:val="24"/>
        </w:rPr>
        <w:t xml:space="preserve"> held that no reasons were raised as to why the Ministry did not approach a competent </w:t>
      </w:r>
      <w:r w:rsidR="00662971">
        <w:rPr>
          <w:rFonts w:ascii="Arial" w:hAnsi="Arial" w:cs="Arial"/>
          <w:sz w:val="24"/>
          <w:szCs w:val="24"/>
        </w:rPr>
        <w:t>Court</w:t>
      </w:r>
      <w:r>
        <w:rPr>
          <w:rFonts w:ascii="Arial" w:hAnsi="Arial" w:cs="Arial"/>
          <w:sz w:val="24"/>
          <w:szCs w:val="24"/>
        </w:rPr>
        <w:t xml:space="preserve"> to review and set aside the tender</w:t>
      </w:r>
      <w:r w:rsidR="00C502D2">
        <w:rPr>
          <w:rFonts w:ascii="Arial" w:hAnsi="Arial" w:cs="Arial"/>
          <w:sz w:val="24"/>
          <w:szCs w:val="24"/>
        </w:rPr>
        <w:t xml:space="preserve"> and the decision awarding the tender to the successful bidders</w:t>
      </w:r>
      <w:r w:rsidR="001E5DBF">
        <w:rPr>
          <w:rFonts w:ascii="Arial" w:hAnsi="Arial" w:cs="Arial"/>
          <w:sz w:val="24"/>
          <w:szCs w:val="24"/>
        </w:rPr>
        <w:t>,</w:t>
      </w:r>
      <w:r w:rsidR="00C502D2">
        <w:rPr>
          <w:rFonts w:ascii="Arial" w:hAnsi="Arial" w:cs="Arial"/>
          <w:sz w:val="24"/>
          <w:szCs w:val="24"/>
        </w:rPr>
        <w:t xml:space="preserve"> including the appellants</w:t>
      </w:r>
      <w:r w:rsidR="001E5DBF">
        <w:rPr>
          <w:rFonts w:ascii="Arial" w:hAnsi="Arial" w:cs="Arial"/>
          <w:sz w:val="24"/>
          <w:szCs w:val="24"/>
        </w:rPr>
        <w:t>,</w:t>
      </w:r>
      <w:r>
        <w:rPr>
          <w:rFonts w:ascii="Arial" w:hAnsi="Arial" w:cs="Arial"/>
          <w:sz w:val="24"/>
          <w:szCs w:val="24"/>
        </w:rPr>
        <w:t xml:space="preserve"> when</w:t>
      </w:r>
      <w:r w:rsidR="001E5DBF">
        <w:rPr>
          <w:rFonts w:ascii="Arial" w:hAnsi="Arial" w:cs="Arial"/>
          <w:sz w:val="24"/>
          <w:szCs w:val="24"/>
        </w:rPr>
        <w:t xml:space="preserve"> the</w:t>
      </w:r>
      <w:r>
        <w:rPr>
          <w:rFonts w:ascii="Arial" w:hAnsi="Arial" w:cs="Arial"/>
          <w:sz w:val="24"/>
          <w:szCs w:val="24"/>
        </w:rPr>
        <w:t xml:space="preserve"> allegations of impropriety and corruption surfaced. </w:t>
      </w:r>
      <w:r w:rsidR="00C502D2">
        <w:rPr>
          <w:rFonts w:ascii="Arial" w:hAnsi="Arial" w:cs="Arial"/>
          <w:sz w:val="24"/>
          <w:szCs w:val="24"/>
        </w:rPr>
        <w:t xml:space="preserve">The decision </w:t>
      </w:r>
      <w:r>
        <w:rPr>
          <w:rFonts w:ascii="Arial" w:hAnsi="Arial" w:cs="Arial"/>
          <w:sz w:val="24"/>
          <w:szCs w:val="24"/>
        </w:rPr>
        <w:t>award</w:t>
      </w:r>
      <w:r w:rsidR="00C502D2">
        <w:rPr>
          <w:rFonts w:ascii="Arial" w:hAnsi="Arial" w:cs="Arial"/>
          <w:sz w:val="24"/>
          <w:szCs w:val="24"/>
        </w:rPr>
        <w:t xml:space="preserve">ing the </w:t>
      </w:r>
      <w:r>
        <w:rPr>
          <w:rFonts w:ascii="Arial" w:hAnsi="Arial" w:cs="Arial"/>
          <w:sz w:val="24"/>
          <w:szCs w:val="24"/>
        </w:rPr>
        <w:t>tender</w:t>
      </w:r>
      <w:r w:rsidR="00C502D2">
        <w:rPr>
          <w:rFonts w:ascii="Arial" w:hAnsi="Arial" w:cs="Arial"/>
          <w:sz w:val="24"/>
          <w:szCs w:val="24"/>
        </w:rPr>
        <w:t xml:space="preserve"> thus remained extant.</w:t>
      </w:r>
      <w:r w:rsidR="000269CE">
        <w:rPr>
          <w:rFonts w:ascii="Arial" w:hAnsi="Arial" w:cs="Arial"/>
          <w:sz w:val="24"/>
          <w:szCs w:val="24"/>
        </w:rPr>
        <w:t xml:space="preserve"> The </w:t>
      </w:r>
      <w:r w:rsidR="00662971">
        <w:rPr>
          <w:rFonts w:ascii="Arial" w:hAnsi="Arial" w:cs="Arial"/>
          <w:sz w:val="24"/>
          <w:szCs w:val="24"/>
        </w:rPr>
        <w:t>Court</w:t>
      </w:r>
      <w:r w:rsidR="000269CE">
        <w:rPr>
          <w:rFonts w:ascii="Arial" w:hAnsi="Arial" w:cs="Arial"/>
          <w:sz w:val="24"/>
          <w:szCs w:val="24"/>
        </w:rPr>
        <w:t xml:space="preserve"> further held that, based on the revealing uneasiness and statements made by the members of the Board at its meeting before the cancellation of the tender, the contention of the appellants that the decision to cancel was that of the Ministry and not of the Board was not far-fetched. </w:t>
      </w:r>
    </w:p>
    <w:p w:rsidR="000269CE" w:rsidRDefault="000269CE" w:rsidP="00E462FE">
      <w:pPr>
        <w:pStyle w:val="NoSpacing"/>
        <w:spacing w:line="480" w:lineRule="auto"/>
        <w:jc w:val="both"/>
        <w:rPr>
          <w:rFonts w:ascii="Arial" w:hAnsi="Arial" w:cs="Arial"/>
          <w:sz w:val="24"/>
          <w:szCs w:val="24"/>
        </w:rPr>
      </w:pPr>
    </w:p>
    <w:p w:rsidR="00D84C4D" w:rsidRDefault="00D84C4D" w:rsidP="00E462FE">
      <w:pPr>
        <w:pStyle w:val="NoSpacing"/>
        <w:spacing w:line="480" w:lineRule="auto"/>
        <w:jc w:val="both"/>
        <w:rPr>
          <w:rFonts w:ascii="Arial" w:hAnsi="Arial" w:cs="Arial"/>
          <w:sz w:val="24"/>
          <w:szCs w:val="24"/>
        </w:rPr>
      </w:pPr>
      <w:r>
        <w:rPr>
          <w:rFonts w:ascii="Arial" w:hAnsi="Arial" w:cs="Arial"/>
          <w:sz w:val="24"/>
          <w:szCs w:val="24"/>
        </w:rPr>
        <w:t xml:space="preserve">Regarding the ancillary relief sought the </w:t>
      </w:r>
      <w:r w:rsidR="00662971">
        <w:rPr>
          <w:rFonts w:ascii="Arial" w:hAnsi="Arial" w:cs="Arial"/>
          <w:sz w:val="24"/>
          <w:szCs w:val="24"/>
        </w:rPr>
        <w:t>Court</w:t>
      </w:r>
      <w:r>
        <w:rPr>
          <w:rFonts w:ascii="Arial" w:hAnsi="Arial" w:cs="Arial"/>
          <w:sz w:val="24"/>
          <w:szCs w:val="24"/>
        </w:rPr>
        <w:t xml:space="preserve"> held </w:t>
      </w:r>
      <w:r w:rsidR="000269CE">
        <w:rPr>
          <w:rFonts w:ascii="Arial" w:hAnsi="Arial" w:cs="Arial"/>
          <w:sz w:val="24"/>
          <w:szCs w:val="24"/>
        </w:rPr>
        <w:t xml:space="preserve">that granting of the relief would </w:t>
      </w:r>
      <w:r>
        <w:rPr>
          <w:rFonts w:ascii="Arial" w:hAnsi="Arial" w:cs="Arial"/>
          <w:sz w:val="24"/>
          <w:szCs w:val="24"/>
        </w:rPr>
        <w:t xml:space="preserve">be inappropriate in the circumstances </w:t>
      </w:r>
      <w:r w:rsidR="001E5DBF">
        <w:rPr>
          <w:rFonts w:ascii="Arial" w:hAnsi="Arial" w:cs="Arial"/>
          <w:sz w:val="24"/>
          <w:szCs w:val="24"/>
        </w:rPr>
        <w:t xml:space="preserve">particularly because </w:t>
      </w:r>
      <w:r w:rsidR="000269CE">
        <w:rPr>
          <w:rFonts w:ascii="Arial" w:hAnsi="Arial" w:cs="Arial"/>
          <w:sz w:val="24"/>
          <w:szCs w:val="24"/>
        </w:rPr>
        <w:t xml:space="preserve">the appellants </w:t>
      </w:r>
      <w:r>
        <w:rPr>
          <w:rFonts w:ascii="Arial" w:hAnsi="Arial" w:cs="Arial"/>
          <w:sz w:val="24"/>
          <w:szCs w:val="24"/>
        </w:rPr>
        <w:t xml:space="preserve">failed to make a case for </w:t>
      </w:r>
      <w:r w:rsidR="00C84746">
        <w:rPr>
          <w:rFonts w:ascii="Arial" w:hAnsi="Arial" w:cs="Arial"/>
          <w:sz w:val="24"/>
          <w:szCs w:val="24"/>
        </w:rPr>
        <w:t>same.</w:t>
      </w:r>
    </w:p>
    <w:p w:rsidR="00D84C4D" w:rsidRDefault="00D84C4D" w:rsidP="00E462FE">
      <w:pPr>
        <w:pStyle w:val="NoSpacing"/>
        <w:spacing w:line="480" w:lineRule="auto"/>
        <w:jc w:val="both"/>
        <w:rPr>
          <w:rFonts w:ascii="Arial" w:hAnsi="Arial" w:cs="Arial"/>
          <w:sz w:val="24"/>
          <w:szCs w:val="24"/>
        </w:rPr>
      </w:pPr>
    </w:p>
    <w:p w:rsidR="00D84C4D" w:rsidRDefault="00FD2976" w:rsidP="00E462FE">
      <w:pPr>
        <w:pStyle w:val="NoSpacing"/>
        <w:spacing w:line="480" w:lineRule="auto"/>
        <w:jc w:val="both"/>
        <w:rPr>
          <w:rFonts w:ascii="Arial" w:hAnsi="Arial" w:cs="Arial"/>
          <w:sz w:val="24"/>
          <w:szCs w:val="24"/>
        </w:rPr>
      </w:pPr>
      <w:r>
        <w:rPr>
          <w:rFonts w:ascii="Arial" w:hAnsi="Arial" w:cs="Arial"/>
          <w:sz w:val="24"/>
          <w:szCs w:val="24"/>
        </w:rPr>
        <w:t xml:space="preserve">Consequently, </w:t>
      </w:r>
      <w:r w:rsidR="00D84C4D">
        <w:rPr>
          <w:rFonts w:ascii="Arial" w:hAnsi="Arial" w:cs="Arial"/>
          <w:sz w:val="24"/>
          <w:szCs w:val="24"/>
        </w:rPr>
        <w:t xml:space="preserve">the appeal succeeded in part </w:t>
      </w:r>
      <w:r w:rsidR="00F87EBA">
        <w:rPr>
          <w:rFonts w:ascii="Arial" w:hAnsi="Arial" w:cs="Arial"/>
          <w:sz w:val="24"/>
          <w:szCs w:val="24"/>
        </w:rPr>
        <w:t>(with costs against the Government respondents also in relation to the ancillary relief based on</w:t>
      </w:r>
      <w:r w:rsidR="004D7B30">
        <w:rPr>
          <w:rFonts w:ascii="Arial" w:hAnsi="Arial" w:cs="Arial"/>
          <w:sz w:val="24"/>
          <w:szCs w:val="24"/>
        </w:rPr>
        <w:t xml:space="preserve"> the</w:t>
      </w:r>
      <w:r w:rsidR="00F87EBA">
        <w:rPr>
          <w:rFonts w:ascii="Arial" w:hAnsi="Arial" w:cs="Arial"/>
          <w:sz w:val="24"/>
          <w:szCs w:val="24"/>
        </w:rPr>
        <w:t xml:space="preserve"> </w:t>
      </w:r>
      <w:r w:rsidR="00592C4D" w:rsidRPr="00592C4D">
        <w:rPr>
          <w:rFonts w:ascii="Arial" w:hAnsi="Arial" w:cs="Arial"/>
          <w:i/>
          <w:sz w:val="24"/>
          <w:szCs w:val="24"/>
        </w:rPr>
        <w:t>Biowatch</w:t>
      </w:r>
      <w:r w:rsidR="00592C4D">
        <w:rPr>
          <w:rFonts w:ascii="Arial" w:hAnsi="Arial" w:cs="Arial"/>
          <w:sz w:val="24"/>
          <w:szCs w:val="24"/>
        </w:rPr>
        <w:t xml:space="preserve"> </w:t>
      </w:r>
      <w:r w:rsidR="00F87EBA">
        <w:rPr>
          <w:rFonts w:ascii="Arial" w:hAnsi="Arial" w:cs="Arial"/>
          <w:sz w:val="24"/>
          <w:szCs w:val="24"/>
        </w:rPr>
        <w:t xml:space="preserve">principles) </w:t>
      </w:r>
      <w:r w:rsidR="00D84C4D">
        <w:rPr>
          <w:rFonts w:ascii="Arial" w:hAnsi="Arial" w:cs="Arial"/>
          <w:sz w:val="24"/>
          <w:szCs w:val="24"/>
        </w:rPr>
        <w:t xml:space="preserve">with the result that the order of the High </w:t>
      </w:r>
      <w:r w:rsidR="00662971">
        <w:rPr>
          <w:rFonts w:ascii="Arial" w:hAnsi="Arial" w:cs="Arial"/>
          <w:sz w:val="24"/>
          <w:szCs w:val="24"/>
        </w:rPr>
        <w:t>Court</w:t>
      </w:r>
      <w:r w:rsidR="00D84C4D">
        <w:rPr>
          <w:rFonts w:ascii="Arial" w:hAnsi="Arial" w:cs="Arial"/>
          <w:sz w:val="24"/>
          <w:szCs w:val="24"/>
        </w:rPr>
        <w:t xml:space="preserve"> was set aside and substituted with an order </w:t>
      </w:r>
      <w:r>
        <w:rPr>
          <w:rFonts w:ascii="Arial" w:hAnsi="Arial" w:cs="Arial"/>
          <w:sz w:val="24"/>
          <w:szCs w:val="24"/>
        </w:rPr>
        <w:t>setting aside the decision of the Board cancelling the tender and referring the matter back to the appropriate functionary</w:t>
      </w:r>
      <w:r w:rsidR="00DA55A9">
        <w:rPr>
          <w:rFonts w:ascii="Arial" w:hAnsi="Arial" w:cs="Arial"/>
          <w:sz w:val="24"/>
          <w:szCs w:val="24"/>
        </w:rPr>
        <w:t xml:space="preserve"> −</w:t>
      </w:r>
      <w:r w:rsidR="00F170D8">
        <w:rPr>
          <w:rFonts w:ascii="Arial" w:hAnsi="Arial" w:cs="Arial"/>
          <w:sz w:val="24"/>
          <w:szCs w:val="24"/>
        </w:rPr>
        <w:t xml:space="preserve"> the successor to </w:t>
      </w:r>
      <w:r>
        <w:rPr>
          <w:rFonts w:ascii="Arial" w:hAnsi="Arial" w:cs="Arial"/>
          <w:sz w:val="24"/>
          <w:szCs w:val="24"/>
        </w:rPr>
        <w:t>the Tender Board of Namibia in terms of the Public Procurement Act</w:t>
      </w:r>
      <w:r w:rsidR="00592C4D">
        <w:rPr>
          <w:rFonts w:ascii="Arial" w:hAnsi="Arial" w:cs="Arial"/>
          <w:sz w:val="24"/>
          <w:szCs w:val="24"/>
        </w:rPr>
        <w:t>,</w:t>
      </w:r>
      <w:r w:rsidR="00DA55A9">
        <w:rPr>
          <w:rFonts w:ascii="Arial" w:hAnsi="Arial" w:cs="Arial"/>
          <w:sz w:val="24"/>
          <w:szCs w:val="24"/>
        </w:rPr>
        <w:t xml:space="preserve"> </w:t>
      </w:r>
      <w:r>
        <w:rPr>
          <w:rFonts w:ascii="Arial" w:hAnsi="Arial" w:cs="Arial"/>
          <w:sz w:val="24"/>
          <w:szCs w:val="24"/>
        </w:rPr>
        <w:t xml:space="preserve">15 of 2015.  </w:t>
      </w:r>
    </w:p>
    <w:p w:rsidR="00F87EBA" w:rsidRDefault="00F87EBA" w:rsidP="00E462FE">
      <w:pPr>
        <w:pStyle w:val="NoSpacing"/>
        <w:spacing w:line="480" w:lineRule="auto"/>
        <w:jc w:val="both"/>
        <w:rPr>
          <w:rFonts w:ascii="Arial" w:hAnsi="Arial" w:cs="Arial"/>
          <w:sz w:val="24"/>
          <w:szCs w:val="24"/>
        </w:rPr>
      </w:pPr>
    </w:p>
    <w:p w:rsidR="003F729E" w:rsidRDefault="00461A03" w:rsidP="00B8362F">
      <w:pPr>
        <w:pStyle w:val="NoSpacing"/>
        <w:spacing w:line="480" w:lineRule="auto"/>
        <w:jc w:val="both"/>
        <w:rPr>
          <w:rFonts w:ascii="Arial" w:hAnsi="Arial" w:cs="Arial"/>
          <w:sz w:val="24"/>
          <w:szCs w:val="24"/>
        </w:rPr>
      </w:pPr>
      <w:r>
        <w:rPr>
          <w:rFonts w:ascii="Arial" w:hAnsi="Arial" w:cs="Arial"/>
          <w:sz w:val="24"/>
          <w:szCs w:val="24"/>
        </w:rPr>
        <w:lastRenderedPageBreak/>
        <w:t xml:space="preserve">An appropriate costs </w:t>
      </w:r>
      <w:r w:rsidR="00DB088E">
        <w:rPr>
          <w:rFonts w:ascii="Arial" w:hAnsi="Arial" w:cs="Arial"/>
          <w:sz w:val="24"/>
          <w:szCs w:val="24"/>
        </w:rPr>
        <w:t xml:space="preserve">order against the appellants </w:t>
      </w:r>
      <w:r w:rsidR="00592C4D">
        <w:rPr>
          <w:rFonts w:ascii="Arial" w:hAnsi="Arial" w:cs="Arial"/>
          <w:sz w:val="24"/>
          <w:szCs w:val="24"/>
        </w:rPr>
        <w:t xml:space="preserve">and </w:t>
      </w:r>
      <w:r w:rsidR="00DB088E">
        <w:rPr>
          <w:rFonts w:ascii="Arial" w:hAnsi="Arial" w:cs="Arial"/>
          <w:sz w:val="24"/>
          <w:szCs w:val="24"/>
        </w:rPr>
        <w:t>in favour of the further respondents who opposed the appeal, particularly in relation to the ancillary relief sought, was made.</w:t>
      </w:r>
    </w:p>
    <w:p w:rsidR="007B59ED" w:rsidRPr="00991107" w:rsidRDefault="007B59ED" w:rsidP="00F104A3">
      <w:pPr>
        <w:pStyle w:val="NoSpacing"/>
        <w:pBdr>
          <w:bottom w:val="single" w:sz="4" w:space="1" w:color="auto"/>
        </w:pBdr>
        <w:rPr>
          <w:rFonts w:ascii="Arial" w:hAnsi="Arial" w:cs="Arial"/>
          <w:sz w:val="24"/>
          <w:szCs w:val="24"/>
        </w:rPr>
      </w:pPr>
    </w:p>
    <w:p w:rsidR="00F104A3" w:rsidRDefault="00F104A3" w:rsidP="00CC4D0B">
      <w:pPr>
        <w:pStyle w:val="NoSpacing"/>
        <w:jc w:val="center"/>
        <w:rPr>
          <w:rFonts w:ascii="Arial" w:hAnsi="Arial" w:cs="Arial"/>
          <w:b/>
          <w:sz w:val="24"/>
          <w:szCs w:val="24"/>
        </w:rPr>
      </w:pPr>
    </w:p>
    <w:p w:rsidR="00CC4D0B" w:rsidRPr="00970591" w:rsidRDefault="00E462FE" w:rsidP="00CC4D0B">
      <w:pPr>
        <w:pStyle w:val="NoSpacing"/>
        <w:jc w:val="center"/>
        <w:rPr>
          <w:rFonts w:ascii="Arial" w:hAnsi="Arial" w:cs="Arial"/>
          <w:b/>
          <w:sz w:val="24"/>
          <w:szCs w:val="24"/>
        </w:rPr>
      </w:pPr>
      <w:r>
        <w:rPr>
          <w:rFonts w:ascii="Arial" w:hAnsi="Arial" w:cs="Arial"/>
          <w:b/>
          <w:sz w:val="24"/>
          <w:szCs w:val="24"/>
        </w:rPr>
        <w:t xml:space="preserve">APPEAL JUDGMENT </w:t>
      </w:r>
    </w:p>
    <w:p w:rsidR="00CC4D0B" w:rsidRDefault="00CC4D0B" w:rsidP="00CC4D0B">
      <w:pPr>
        <w:pStyle w:val="NoSpacing"/>
        <w:rPr>
          <w:rFonts w:ascii="Arial" w:hAnsi="Arial" w:cs="Arial"/>
          <w:sz w:val="24"/>
          <w:szCs w:val="24"/>
        </w:rPr>
      </w:pPr>
      <w:r>
        <w:rPr>
          <w:rFonts w:ascii="Arial" w:hAnsi="Arial" w:cs="Arial"/>
          <w:sz w:val="24"/>
          <w:szCs w:val="24"/>
        </w:rPr>
        <w:t>____________________________________</w:t>
      </w:r>
      <w:r w:rsidR="007B59ED">
        <w:rPr>
          <w:rFonts w:ascii="Arial" w:hAnsi="Arial" w:cs="Arial"/>
          <w:sz w:val="24"/>
          <w:szCs w:val="24"/>
        </w:rPr>
        <w:t>______________________________</w:t>
      </w:r>
    </w:p>
    <w:p w:rsidR="003F729E" w:rsidRDefault="003F729E" w:rsidP="00721FB6">
      <w:pPr>
        <w:pStyle w:val="NoSpacing"/>
        <w:spacing w:line="480" w:lineRule="auto"/>
        <w:rPr>
          <w:rFonts w:ascii="Arial" w:hAnsi="Arial" w:cs="Arial"/>
          <w:sz w:val="24"/>
          <w:szCs w:val="24"/>
        </w:rPr>
      </w:pPr>
    </w:p>
    <w:p w:rsidR="00CC4D0B" w:rsidRDefault="00DE5414" w:rsidP="00721FB6">
      <w:pPr>
        <w:pStyle w:val="NoSpacing"/>
        <w:spacing w:line="480" w:lineRule="auto"/>
        <w:rPr>
          <w:rFonts w:ascii="Arial" w:hAnsi="Arial" w:cs="Arial"/>
          <w:sz w:val="24"/>
          <w:szCs w:val="24"/>
        </w:rPr>
      </w:pPr>
      <w:r>
        <w:rPr>
          <w:rFonts w:ascii="Arial" w:hAnsi="Arial" w:cs="Arial"/>
          <w:sz w:val="24"/>
          <w:szCs w:val="24"/>
        </w:rPr>
        <w:t>NKABINDE AJA</w:t>
      </w:r>
      <w:r w:rsidR="0038248D">
        <w:rPr>
          <w:rFonts w:ascii="Arial" w:hAnsi="Arial" w:cs="Arial"/>
          <w:sz w:val="24"/>
          <w:szCs w:val="24"/>
        </w:rPr>
        <w:t xml:space="preserve"> (SMUTS JA and MOKGORO AJA </w:t>
      </w:r>
      <w:r w:rsidR="001127D2">
        <w:rPr>
          <w:rFonts w:ascii="Arial" w:hAnsi="Arial" w:cs="Arial"/>
          <w:sz w:val="24"/>
          <w:szCs w:val="24"/>
        </w:rPr>
        <w:t>concurring)</w:t>
      </w:r>
      <w:r w:rsidR="0038248D">
        <w:rPr>
          <w:rFonts w:ascii="Arial" w:hAnsi="Arial" w:cs="Arial"/>
          <w:sz w:val="24"/>
          <w:szCs w:val="24"/>
        </w:rPr>
        <w:t>:</w:t>
      </w:r>
    </w:p>
    <w:p w:rsidR="00D22758" w:rsidRDefault="00D22758" w:rsidP="00721FB6">
      <w:pPr>
        <w:pStyle w:val="NoSpacing"/>
        <w:spacing w:line="480" w:lineRule="auto"/>
        <w:rPr>
          <w:rFonts w:ascii="Arial" w:hAnsi="Arial" w:cs="Arial"/>
          <w:sz w:val="24"/>
          <w:szCs w:val="24"/>
        </w:rPr>
      </w:pPr>
    </w:p>
    <w:p w:rsidR="00721FB6" w:rsidRPr="0038248D" w:rsidRDefault="00721FB6" w:rsidP="00721FB6">
      <w:pPr>
        <w:pStyle w:val="NoSpacing"/>
        <w:spacing w:line="480" w:lineRule="auto"/>
        <w:jc w:val="both"/>
        <w:rPr>
          <w:rFonts w:ascii="Arial" w:hAnsi="Arial" w:cs="Arial"/>
          <w:sz w:val="24"/>
          <w:szCs w:val="24"/>
          <w:u w:val="single"/>
        </w:rPr>
      </w:pPr>
      <w:r w:rsidRPr="0038248D">
        <w:rPr>
          <w:rFonts w:ascii="Arial" w:hAnsi="Arial" w:cs="Arial"/>
          <w:sz w:val="24"/>
          <w:szCs w:val="24"/>
          <w:u w:val="single"/>
        </w:rPr>
        <w:t>Introduction</w:t>
      </w:r>
    </w:p>
    <w:p w:rsidR="009615C5" w:rsidRDefault="00150B5F" w:rsidP="009615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appeal </w:t>
      </w:r>
      <w:r w:rsidR="00DA5A9B">
        <w:rPr>
          <w:rFonts w:ascii="Arial" w:hAnsi="Arial" w:cs="Arial"/>
          <w:sz w:val="24"/>
          <w:szCs w:val="24"/>
        </w:rPr>
        <w:t xml:space="preserve">lies against the decision of the </w:t>
      </w:r>
      <w:r w:rsidR="00662971">
        <w:rPr>
          <w:rFonts w:ascii="Arial" w:hAnsi="Arial" w:cs="Arial"/>
          <w:sz w:val="24"/>
          <w:szCs w:val="24"/>
        </w:rPr>
        <w:t>Court</w:t>
      </w:r>
      <w:r w:rsidR="001127D2">
        <w:rPr>
          <w:rFonts w:ascii="Arial" w:hAnsi="Arial" w:cs="Arial"/>
          <w:sz w:val="24"/>
          <w:szCs w:val="24"/>
        </w:rPr>
        <w:t xml:space="preserve"> </w:t>
      </w:r>
      <w:r w:rsidR="00DA5A9B" w:rsidRPr="001127D2">
        <w:rPr>
          <w:rFonts w:ascii="Arial" w:hAnsi="Arial" w:cs="Arial"/>
          <w:i/>
          <w:sz w:val="24"/>
          <w:szCs w:val="24"/>
        </w:rPr>
        <w:t>a quo</w:t>
      </w:r>
      <w:r w:rsidR="001127D2" w:rsidRPr="001127D2">
        <w:rPr>
          <w:rStyle w:val="FootnoteReference"/>
          <w:rFonts w:ascii="Arial" w:hAnsi="Arial" w:cs="Arial"/>
          <w:sz w:val="24"/>
          <w:szCs w:val="24"/>
        </w:rPr>
        <w:footnoteReference w:id="1"/>
      </w:r>
      <w:r w:rsidR="00DA5A9B">
        <w:rPr>
          <w:rFonts w:ascii="Arial" w:hAnsi="Arial" w:cs="Arial"/>
          <w:sz w:val="24"/>
          <w:szCs w:val="24"/>
        </w:rPr>
        <w:t xml:space="preserve"> dismissing</w:t>
      </w:r>
      <w:r w:rsidR="001127D2">
        <w:rPr>
          <w:rFonts w:ascii="Arial" w:hAnsi="Arial" w:cs="Arial"/>
          <w:sz w:val="24"/>
          <w:szCs w:val="24"/>
        </w:rPr>
        <w:t xml:space="preserve">, with costs, </w:t>
      </w:r>
      <w:r w:rsidR="00DA5A9B">
        <w:rPr>
          <w:rFonts w:ascii="Arial" w:hAnsi="Arial" w:cs="Arial"/>
          <w:sz w:val="24"/>
          <w:szCs w:val="24"/>
        </w:rPr>
        <w:t>the appellants’</w:t>
      </w:r>
      <w:r w:rsidR="001127D2">
        <w:rPr>
          <w:rFonts w:ascii="Arial" w:hAnsi="Arial" w:cs="Arial"/>
          <w:sz w:val="24"/>
          <w:szCs w:val="24"/>
        </w:rPr>
        <w:t xml:space="preserve"> application for certain relief – in the main</w:t>
      </w:r>
      <w:r w:rsidR="00DA5A9B">
        <w:rPr>
          <w:rFonts w:ascii="Arial" w:hAnsi="Arial" w:cs="Arial"/>
          <w:sz w:val="24"/>
          <w:szCs w:val="24"/>
        </w:rPr>
        <w:t xml:space="preserve"> the rev</w:t>
      </w:r>
      <w:r w:rsidR="006F25EE">
        <w:rPr>
          <w:rFonts w:ascii="Arial" w:hAnsi="Arial" w:cs="Arial"/>
          <w:sz w:val="24"/>
          <w:szCs w:val="24"/>
        </w:rPr>
        <w:t>iewing and setting aside of the</w:t>
      </w:r>
      <w:r w:rsidR="00DA5A9B">
        <w:rPr>
          <w:rFonts w:ascii="Arial" w:hAnsi="Arial" w:cs="Arial"/>
          <w:sz w:val="24"/>
          <w:szCs w:val="24"/>
        </w:rPr>
        <w:t xml:space="preserve"> administrative decision cancelling a tender awarded in favour of certain bidders including the appellants</w:t>
      </w:r>
      <w:r w:rsidR="0032450F">
        <w:rPr>
          <w:rFonts w:ascii="Arial" w:hAnsi="Arial" w:cs="Arial"/>
          <w:sz w:val="24"/>
          <w:szCs w:val="24"/>
        </w:rPr>
        <w:t xml:space="preserve"> − including ancillary</w:t>
      </w:r>
      <w:r w:rsidR="004D7B30">
        <w:rPr>
          <w:rFonts w:ascii="Arial" w:hAnsi="Arial" w:cs="Arial"/>
          <w:sz w:val="24"/>
          <w:szCs w:val="24"/>
        </w:rPr>
        <w:t xml:space="preserve"> relief</w:t>
      </w:r>
      <w:r w:rsidR="005C3AF0">
        <w:rPr>
          <w:rFonts w:ascii="Arial" w:hAnsi="Arial" w:cs="Arial"/>
          <w:sz w:val="24"/>
          <w:szCs w:val="24"/>
        </w:rPr>
        <w:t>.</w:t>
      </w:r>
      <w:r w:rsidR="00DA5A9B">
        <w:rPr>
          <w:rFonts w:ascii="Arial" w:hAnsi="Arial" w:cs="Arial"/>
          <w:sz w:val="24"/>
          <w:szCs w:val="24"/>
        </w:rPr>
        <w:t xml:space="preserve"> The High </w:t>
      </w:r>
      <w:r w:rsidR="00662971">
        <w:rPr>
          <w:rFonts w:ascii="Arial" w:hAnsi="Arial" w:cs="Arial"/>
          <w:sz w:val="24"/>
          <w:szCs w:val="24"/>
        </w:rPr>
        <w:t>Court</w:t>
      </w:r>
      <w:r w:rsidR="00DA5A9B">
        <w:rPr>
          <w:rFonts w:ascii="Arial" w:hAnsi="Arial" w:cs="Arial"/>
          <w:sz w:val="24"/>
          <w:szCs w:val="24"/>
        </w:rPr>
        <w:t xml:space="preserve"> held</w:t>
      </w:r>
      <w:r w:rsidR="00596717">
        <w:rPr>
          <w:rFonts w:ascii="Arial" w:hAnsi="Arial" w:cs="Arial"/>
          <w:sz w:val="24"/>
          <w:szCs w:val="24"/>
        </w:rPr>
        <w:t xml:space="preserve">, among other things, </w:t>
      </w:r>
      <w:r w:rsidR="00DA5A9B">
        <w:rPr>
          <w:rFonts w:ascii="Arial" w:hAnsi="Arial" w:cs="Arial"/>
          <w:sz w:val="24"/>
          <w:szCs w:val="24"/>
        </w:rPr>
        <w:t>that the cancellation was</w:t>
      </w:r>
      <w:r w:rsidR="00E65805">
        <w:rPr>
          <w:rFonts w:ascii="Arial" w:hAnsi="Arial" w:cs="Arial"/>
          <w:sz w:val="24"/>
          <w:szCs w:val="24"/>
        </w:rPr>
        <w:t xml:space="preserve"> lawful and that the appellants’</w:t>
      </w:r>
      <w:r w:rsidR="00DA5A9B">
        <w:rPr>
          <w:rFonts w:ascii="Arial" w:hAnsi="Arial" w:cs="Arial"/>
          <w:sz w:val="24"/>
          <w:szCs w:val="24"/>
        </w:rPr>
        <w:t xml:space="preserve"> co</w:t>
      </w:r>
      <w:r w:rsidR="00E65805">
        <w:rPr>
          <w:rFonts w:ascii="Arial" w:hAnsi="Arial" w:cs="Arial"/>
          <w:sz w:val="24"/>
          <w:szCs w:val="24"/>
        </w:rPr>
        <w:t>nstitutional fair process right</w:t>
      </w:r>
      <w:r w:rsidR="00DA5A9B">
        <w:rPr>
          <w:rFonts w:ascii="Arial" w:hAnsi="Arial" w:cs="Arial"/>
          <w:sz w:val="24"/>
          <w:szCs w:val="24"/>
        </w:rPr>
        <w:t xml:space="preserve"> had not been violated when the tender was cancelled.</w:t>
      </w:r>
      <w:r w:rsidR="00DA09C2">
        <w:rPr>
          <w:rFonts w:ascii="Arial" w:hAnsi="Arial" w:cs="Arial"/>
          <w:sz w:val="24"/>
          <w:szCs w:val="24"/>
        </w:rPr>
        <w:t xml:space="preserve"> </w:t>
      </w:r>
      <w:r w:rsidR="009D7181">
        <w:rPr>
          <w:rFonts w:ascii="Arial" w:hAnsi="Arial" w:cs="Arial"/>
          <w:sz w:val="24"/>
          <w:szCs w:val="24"/>
        </w:rPr>
        <w:t>The first to third respondent</w:t>
      </w:r>
      <w:r w:rsidR="00E65805">
        <w:rPr>
          <w:rFonts w:ascii="Arial" w:hAnsi="Arial" w:cs="Arial"/>
          <w:sz w:val="24"/>
          <w:szCs w:val="24"/>
        </w:rPr>
        <w:t>s</w:t>
      </w:r>
      <w:r w:rsidR="009D7181">
        <w:rPr>
          <w:rFonts w:ascii="Arial" w:hAnsi="Arial" w:cs="Arial"/>
          <w:sz w:val="24"/>
          <w:szCs w:val="24"/>
        </w:rPr>
        <w:t xml:space="preserve"> oppose</w:t>
      </w:r>
      <w:r w:rsidR="00E65805">
        <w:rPr>
          <w:rFonts w:ascii="Arial" w:hAnsi="Arial" w:cs="Arial"/>
          <w:sz w:val="24"/>
          <w:szCs w:val="24"/>
        </w:rPr>
        <w:t>d</w:t>
      </w:r>
      <w:r w:rsidR="009D7181">
        <w:rPr>
          <w:rFonts w:ascii="Arial" w:hAnsi="Arial" w:cs="Arial"/>
          <w:sz w:val="24"/>
          <w:szCs w:val="24"/>
        </w:rPr>
        <w:t xml:space="preserve"> the </w:t>
      </w:r>
      <w:r w:rsidR="0009672F">
        <w:rPr>
          <w:rFonts w:ascii="Arial" w:hAnsi="Arial" w:cs="Arial"/>
          <w:sz w:val="24"/>
          <w:szCs w:val="24"/>
        </w:rPr>
        <w:t>appeal.</w:t>
      </w:r>
      <w:r w:rsidR="009D7181">
        <w:rPr>
          <w:rFonts w:ascii="Arial" w:hAnsi="Arial" w:cs="Arial"/>
          <w:sz w:val="24"/>
          <w:szCs w:val="24"/>
        </w:rPr>
        <w:t xml:space="preserve"> </w:t>
      </w:r>
      <w:r w:rsidR="00C61D01">
        <w:rPr>
          <w:rFonts w:ascii="Arial" w:hAnsi="Arial" w:cs="Arial"/>
          <w:sz w:val="24"/>
          <w:szCs w:val="24"/>
        </w:rPr>
        <w:t>As will be explained later, s</w:t>
      </w:r>
      <w:r w:rsidR="009D7181">
        <w:rPr>
          <w:rFonts w:ascii="Arial" w:hAnsi="Arial" w:cs="Arial"/>
          <w:sz w:val="24"/>
          <w:szCs w:val="24"/>
        </w:rPr>
        <w:t>ome of the respondent</w:t>
      </w:r>
      <w:r w:rsidR="00C61D01">
        <w:rPr>
          <w:rFonts w:ascii="Arial" w:hAnsi="Arial" w:cs="Arial"/>
          <w:sz w:val="24"/>
          <w:szCs w:val="24"/>
        </w:rPr>
        <w:t>s</w:t>
      </w:r>
      <w:r w:rsidR="00E65805">
        <w:rPr>
          <w:rFonts w:ascii="Arial" w:hAnsi="Arial" w:cs="Arial"/>
          <w:sz w:val="24"/>
          <w:szCs w:val="24"/>
        </w:rPr>
        <w:t xml:space="preserve"> also</w:t>
      </w:r>
      <w:r w:rsidR="009D7181">
        <w:rPr>
          <w:rFonts w:ascii="Arial" w:hAnsi="Arial" w:cs="Arial"/>
          <w:sz w:val="24"/>
          <w:szCs w:val="24"/>
        </w:rPr>
        <w:t xml:space="preserve"> oppose</w:t>
      </w:r>
      <w:r w:rsidR="00E65805">
        <w:rPr>
          <w:rFonts w:ascii="Arial" w:hAnsi="Arial" w:cs="Arial"/>
          <w:sz w:val="24"/>
          <w:szCs w:val="24"/>
        </w:rPr>
        <w:t>d</w:t>
      </w:r>
      <w:r w:rsidR="009D7181">
        <w:rPr>
          <w:rFonts w:ascii="Arial" w:hAnsi="Arial" w:cs="Arial"/>
          <w:sz w:val="24"/>
          <w:szCs w:val="24"/>
        </w:rPr>
        <w:t xml:space="preserve"> the appeal only in relation to the granting of the </w:t>
      </w:r>
      <w:r w:rsidR="00C61D01">
        <w:rPr>
          <w:rFonts w:ascii="Arial" w:hAnsi="Arial" w:cs="Arial"/>
          <w:sz w:val="24"/>
          <w:szCs w:val="24"/>
        </w:rPr>
        <w:t>order to compel</w:t>
      </w:r>
      <w:r w:rsidR="004D7B30">
        <w:rPr>
          <w:rFonts w:ascii="Arial" w:hAnsi="Arial" w:cs="Arial"/>
          <w:sz w:val="24"/>
          <w:szCs w:val="24"/>
        </w:rPr>
        <w:t xml:space="preserve"> the</w:t>
      </w:r>
      <w:r w:rsidR="00C61D01">
        <w:rPr>
          <w:rFonts w:ascii="Arial" w:hAnsi="Arial" w:cs="Arial"/>
          <w:sz w:val="24"/>
          <w:szCs w:val="24"/>
        </w:rPr>
        <w:t xml:space="preserve"> conclusion of </w:t>
      </w:r>
      <w:r w:rsidR="004D7B30">
        <w:rPr>
          <w:rFonts w:ascii="Arial" w:hAnsi="Arial" w:cs="Arial"/>
          <w:sz w:val="24"/>
          <w:szCs w:val="24"/>
        </w:rPr>
        <w:t xml:space="preserve">an </w:t>
      </w:r>
      <w:r w:rsidR="00C61D01">
        <w:rPr>
          <w:rFonts w:ascii="Arial" w:hAnsi="Arial" w:cs="Arial"/>
          <w:sz w:val="24"/>
          <w:szCs w:val="24"/>
        </w:rPr>
        <w:t>agreement and</w:t>
      </w:r>
      <w:r w:rsidR="009025E5">
        <w:rPr>
          <w:rFonts w:ascii="Arial" w:hAnsi="Arial" w:cs="Arial"/>
          <w:sz w:val="24"/>
          <w:szCs w:val="24"/>
        </w:rPr>
        <w:t xml:space="preserve"> of </w:t>
      </w:r>
      <w:r w:rsidR="00831B72">
        <w:rPr>
          <w:rFonts w:ascii="Arial" w:hAnsi="Arial" w:cs="Arial"/>
          <w:sz w:val="24"/>
          <w:szCs w:val="24"/>
        </w:rPr>
        <w:t>a declaratory relief.</w:t>
      </w:r>
      <w:r w:rsidR="00C61D01">
        <w:rPr>
          <w:rFonts w:ascii="Arial" w:hAnsi="Arial" w:cs="Arial"/>
          <w:sz w:val="24"/>
          <w:szCs w:val="24"/>
        </w:rPr>
        <w:t xml:space="preserve"> </w:t>
      </w:r>
    </w:p>
    <w:p w:rsidR="009615C5" w:rsidRDefault="009615C5" w:rsidP="009615C5">
      <w:pPr>
        <w:pStyle w:val="NoSpacing"/>
        <w:spacing w:line="480" w:lineRule="auto"/>
        <w:jc w:val="both"/>
        <w:rPr>
          <w:rFonts w:ascii="Arial" w:hAnsi="Arial" w:cs="Arial"/>
          <w:sz w:val="24"/>
          <w:szCs w:val="24"/>
        </w:rPr>
      </w:pPr>
    </w:p>
    <w:p w:rsidR="009615C5" w:rsidRDefault="009615C5" w:rsidP="0038248D">
      <w:pPr>
        <w:pStyle w:val="NoSpacing"/>
        <w:numPr>
          <w:ilvl w:val="0"/>
          <w:numId w:val="1"/>
        </w:numPr>
        <w:spacing w:line="480" w:lineRule="auto"/>
        <w:ind w:left="0" w:firstLine="0"/>
        <w:jc w:val="both"/>
        <w:rPr>
          <w:rFonts w:ascii="Arial" w:hAnsi="Arial" w:cs="Arial"/>
          <w:sz w:val="24"/>
          <w:szCs w:val="24"/>
        </w:rPr>
      </w:pPr>
      <w:r w:rsidRPr="009615C5">
        <w:rPr>
          <w:rFonts w:ascii="Arial" w:hAnsi="Arial" w:cs="Arial"/>
          <w:sz w:val="24"/>
          <w:szCs w:val="24"/>
        </w:rPr>
        <w:t>The only impugned decision in these proceedings concerns the cancellation of the entire food tender in circumstances where the decision,</w:t>
      </w:r>
      <w:r>
        <w:rPr>
          <w:rStyle w:val="FootnoteReference"/>
          <w:rFonts w:ascii="Arial" w:hAnsi="Arial" w:cs="Arial"/>
          <w:sz w:val="24"/>
          <w:szCs w:val="24"/>
        </w:rPr>
        <w:footnoteReference w:id="2"/>
      </w:r>
      <w:r w:rsidRPr="009615C5">
        <w:rPr>
          <w:rFonts w:ascii="Arial" w:hAnsi="Arial" w:cs="Arial"/>
          <w:sz w:val="24"/>
          <w:szCs w:val="24"/>
        </w:rPr>
        <w:t xml:space="preserve"> to award the tender </w:t>
      </w:r>
      <w:r w:rsidR="005A4E30">
        <w:rPr>
          <w:rFonts w:ascii="Arial" w:hAnsi="Arial" w:cs="Arial"/>
          <w:sz w:val="24"/>
          <w:szCs w:val="24"/>
        </w:rPr>
        <w:lastRenderedPageBreak/>
        <w:t>to the Khomas and Otjozondjupa R</w:t>
      </w:r>
      <w:r w:rsidRPr="009615C5">
        <w:rPr>
          <w:rFonts w:ascii="Arial" w:hAnsi="Arial" w:cs="Arial"/>
          <w:sz w:val="24"/>
          <w:szCs w:val="24"/>
        </w:rPr>
        <w:t>egions to first and second appellants − Pa</w:t>
      </w:r>
      <w:r w:rsidR="005A4E30">
        <w:rPr>
          <w:rFonts w:ascii="Arial" w:hAnsi="Arial" w:cs="Arial"/>
          <w:sz w:val="24"/>
          <w:szCs w:val="24"/>
        </w:rPr>
        <w:t xml:space="preserve">mo and Circle respectively, was </w:t>
      </w:r>
      <w:r w:rsidRPr="009615C5">
        <w:rPr>
          <w:rFonts w:ascii="Arial" w:hAnsi="Arial" w:cs="Arial"/>
          <w:sz w:val="24"/>
          <w:szCs w:val="24"/>
        </w:rPr>
        <w:t>ne</w:t>
      </w:r>
      <w:r w:rsidR="005A4E30">
        <w:rPr>
          <w:rFonts w:ascii="Arial" w:hAnsi="Arial" w:cs="Arial"/>
          <w:sz w:val="24"/>
          <w:szCs w:val="24"/>
        </w:rPr>
        <w:t>ver communicated to them and</w:t>
      </w:r>
      <w:r w:rsidRPr="009615C5">
        <w:rPr>
          <w:rFonts w:ascii="Arial" w:hAnsi="Arial" w:cs="Arial"/>
          <w:sz w:val="24"/>
          <w:szCs w:val="24"/>
        </w:rPr>
        <w:t xml:space="preserve"> not reviewed and set aside.</w:t>
      </w:r>
    </w:p>
    <w:p w:rsidR="007B59ED" w:rsidRPr="0038248D" w:rsidRDefault="007B59ED" w:rsidP="007B59ED">
      <w:pPr>
        <w:pStyle w:val="NoSpacing"/>
        <w:spacing w:line="480" w:lineRule="auto"/>
        <w:jc w:val="both"/>
        <w:rPr>
          <w:rFonts w:ascii="Arial" w:hAnsi="Arial" w:cs="Arial"/>
          <w:sz w:val="24"/>
          <w:szCs w:val="24"/>
        </w:rPr>
      </w:pPr>
    </w:p>
    <w:p w:rsidR="00757865" w:rsidRDefault="008D0E71" w:rsidP="007578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perform thei</w:t>
      </w:r>
      <w:r w:rsidR="004341EE">
        <w:rPr>
          <w:rFonts w:ascii="Arial" w:hAnsi="Arial" w:cs="Arial"/>
          <w:sz w:val="24"/>
          <w:szCs w:val="24"/>
        </w:rPr>
        <w:t>r administrative obligations</w:t>
      </w:r>
      <w:r>
        <w:rPr>
          <w:rFonts w:ascii="Arial" w:hAnsi="Arial" w:cs="Arial"/>
          <w:sz w:val="24"/>
          <w:szCs w:val="24"/>
        </w:rPr>
        <w:t xml:space="preserve"> organs of </w:t>
      </w:r>
      <w:r w:rsidR="00861975">
        <w:rPr>
          <w:rFonts w:ascii="Arial" w:hAnsi="Arial" w:cs="Arial"/>
          <w:sz w:val="24"/>
          <w:szCs w:val="24"/>
        </w:rPr>
        <w:t>S</w:t>
      </w:r>
      <w:r>
        <w:rPr>
          <w:rFonts w:ascii="Arial" w:hAnsi="Arial" w:cs="Arial"/>
          <w:sz w:val="24"/>
          <w:szCs w:val="24"/>
        </w:rPr>
        <w:t>tate</w:t>
      </w:r>
      <w:r w:rsidR="005A4E30">
        <w:rPr>
          <w:rFonts w:ascii="Arial" w:hAnsi="Arial" w:cs="Arial"/>
          <w:sz w:val="24"/>
          <w:szCs w:val="24"/>
        </w:rPr>
        <w:t xml:space="preserve">, the </w:t>
      </w:r>
      <w:r w:rsidR="00DF0FCE">
        <w:rPr>
          <w:rFonts w:ascii="Arial" w:hAnsi="Arial" w:cs="Arial"/>
          <w:sz w:val="24"/>
          <w:szCs w:val="24"/>
        </w:rPr>
        <w:t xml:space="preserve">Tender </w:t>
      </w:r>
      <w:r w:rsidR="00B02541">
        <w:rPr>
          <w:rFonts w:ascii="Arial" w:hAnsi="Arial" w:cs="Arial"/>
          <w:sz w:val="24"/>
          <w:szCs w:val="24"/>
        </w:rPr>
        <w:t xml:space="preserve">Board </w:t>
      </w:r>
      <w:r w:rsidR="00DF0FCE">
        <w:rPr>
          <w:rFonts w:ascii="Arial" w:hAnsi="Arial" w:cs="Arial"/>
          <w:sz w:val="24"/>
          <w:szCs w:val="24"/>
        </w:rPr>
        <w:t xml:space="preserve">of Namibia (the Board) </w:t>
      </w:r>
      <w:r w:rsidR="00B02541">
        <w:rPr>
          <w:rFonts w:ascii="Arial" w:hAnsi="Arial" w:cs="Arial"/>
          <w:sz w:val="24"/>
          <w:szCs w:val="24"/>
        </w:rPr>
        <w:t>in this case – acting as a statutory procurement agent in terms of section 7 of the Tender Board Act</w:t>
      </w:r>
      <w:r w:rsidR="005A4E30">
        <w:rPr>
          <w:rStyle w:val="FootnoteReference"/>
          <w:rFonts w:ascii="Arial" w:hAnsi="Arial" w:cs="Arial"/>
          <w:sz w:val="24"/>
          <w:szCs w:val="24"/>
        </w:rPr>
        <w:footnoteReference w:id="3"/>
      </w:r>
      <w:r w:rsidR="005A4E30">
        <w:rPr>
          <w:rFonts w:ascii="Arial" w:hAnsi="Arial" w:cs="Arial"/>
          <w:sz w:val="24"/>
          <w:szCs w:val="24"/>
        </w:rPr>
        <w:t xml:space="preserve"> </w:t>
      </w:r>
      <w:r w:rsidR="00757865">
        <w:rPr>
          <w:rFonts w:ascii="Arial" w:hAnsi="Arial" w:cs="Arial"/>
          <w:sz w:val="24"/>
          <w:szCs w:val="24"/>
        </w:rPr>
        <w:t>(</w:t>
      </w:r>
      <w:r w:rsidR="009D7181">
        <w:rPr>
          <w:rFonts w:ascii="Arial" w:hAnsi="Arial" w:cs="Arial"/>
          <w:sz w:val="24"/>
          <w:szCs w:val="24"/>
        </w:rPr>
        <w:t xml:space="preserve">Tender </w:t>
      </w:r>
      <w:r w:rsidR="00757865">
        <w:rPr>
          <w:rFonts w:ascii="Arial" w:hAnsi="Arial" w:cs="Arial"/>
          <w:sz w:val="24"/>
          <w:szCs w:val="24"/>
        </w:rPr>
        <w:t>Act)</w:t>
      </w:r>
      <w:r w:rsidR="00B02541">
        <w:rPr>
          <w:rFonts w:ascii="Arial" w:hAnsi="Arial" w:cs="Arial"/>
          <w:sz w:val="24"/>
          <w:szCs w:val="24"/>
        </w:rPr>
        <w:t>,</w:t>
      </w:r>
      <w:r w:rsidR="00B02541" w:rsidRPr="00020E43">
        <w:rPr>
          <w:rFonts w:ascii="Arial" w:hAnsi="Arial" w:cs="Arial"/>
          <w:sz w:val="24"/>
          <w:szCs w:val="24"/>
        </w:rPr>
        <w:t xml:space="preserve"> </w:t>
      </w:r>
      <w:r w:rsidRPr="00020E43">
        <w:rPr>
          <w:rFonts w:ascii="Arial" w:hAnsi="Arial" w:cs="Arial"/>
          <w:sz w:val="24"/>
          <w:szCs w:val="24"/>
        </w:rPr>
        <w:t>must exercise its power or</w:t>
      </w:r>
      <w:r w:rsidR="005A4E30">
        <w:rPr>
          <w:rFonts w:ascii="Arial" w:hAnsi="Arial" w:cs="Arial"/>
          <w:sz w:val="24"/>
          <w:szCs w:val="24"/>
        </w:rPr>
        <w:t xml:space="preserve"> perform its public function</w:t>
      </w:r>
      <w:r w:rsidR="00E53201">
        <w:rPr>
          <w:rFonts w:ascii="Arial" w:hAnsi="Arial" w:cs="Arial"/>
          <w:sz w:val="24"/>
          <w:szCs w:val="24"/>
        </w:rPr>
        <w:t xml:space="preserve"> in terms of the Constitution of the Republic of Namibia</w:t>
      </w:r>
      <w:r w:rsidRPr="00020E43">
        <w:rPr>
          <w:rFonts w:ascii="Arial" w:hAnsi="Arial" w:cs="Arial"/>
          <w:sz w:val="24"/>
          <w:szCs w:val="24"/>
        </w:rPr>
        <w:t xml:space="preserve"> </w:t>
      </w:r>
      <w:r w:rsidR="00E53201">
        <w:rPr>
          <w:rFonts w:ascii="Arial" w:hAnsi="Arial" w:cs="Arial"/>
          <w:sz w:val="24"/>
          <w:szCs w:val="24"/>
        </w:rPr>
        <w:t xml:space="preserve">(the Constitution) and </w:t>
      </w:r>
      <w:r w:rsidR="00757865">
        <w:rPr>
          <w:rFonts w:ascii="Arial" w:hAnsi="Arial" w:cs="Arial"/>
          <w:sz w:val="24"/>
          <w:szCs w:val="24"/>
        </w:rPr>
        <w:t xml:space="preserve">the </w:t>
      </w:r>
      <w:r w:rsidR="009D7181">
        <w:rPr>
          <w:rFonts w:ascii="Arial" w:hAnsi="Arial" w:cs="Arial"/>
          <w:sz w:val="24"/>
          <w:szCs w:val="24"/>
        </w:rPr>
        <w:t xml:space="preserve">Tender </w:t>
      </w:r>
      <w:r w:rsidR="00757865">
        <w:rPr>
          <w:rFonts w:ascii="Arial" w:hAnsi="Arial" w:cs="Arial"/>
          <w:sz w:val="24"/>
          <w:szCs w:val="24"/>
        </w:rPr>
        <w:t>Act.</w:t>
      </w:r>
      <w:r w:rsidR="005F4FAF">
        <w:rPr>
          <w:rFonts w:ascii="Arial" w:hAnsi="Arial" w:cs="Arial"/>
          <w:sz w:val="24"/>
          <w:szCs w:val="24"/>
        </w:rPr>
        <w:t xml:space="preserve"> </w:t>
      </w:r>
      <w:r w:rsidR="00525CDC">
        <w:rPr>
          <w:rFonts w:ascii="Arial" w:hAnsi="Arial" w:cs="Arial"/>
          <w:sz w:val="24"/>
          <w:szCs w:val="24"/>
        </w:rPr>
        <w:t>The applicable c</w:t>
      </w:r>
      <w:r w:rsidR="009D7181">
        <w:rPr>
          <w:rFonts w:ascii="Arial" w:hAnsi="Arial" w:cs="Arial"/>
          <w:sz w:val="24"/>
          <w:szCs w:val="24"/>
        </w:rPr>
        <w:t>onstitution</w:t>
      </w:r>
      <w:r w:rsidR="00525CDC">
        <w:rPr>
          <w:rFonts w:ascii="Arial" w:hAnsi="Arial" w:cs="Arial"/>
          <w:sz w:val="24"/>
          <w:szCs w:val="24"/>
        </w:rPr>
        <w:t xml:space="preserve">al and </w:t>
      </w:r>
      <w:r w:rsidR="009D7181">
        <w:rPr>
          <w:rFonts w:ascii="Arial" w:hAnsi="Arial" w:cs="Arial"/>
          <w:sz w:val="24"/>
          <w:szCs w:val="24"/>
        </w:rPr>
        <w:t xml:space="preserve">statutory </w:t>
      </w:r>
      <w:r w:rsidR="00525CDC">
        <w:rPr>
          <w:rFonts w:ascii="Arial" w:hAnsi="Arial" w:cs="Arial"/>
          <w:sz w:val="24"/>
          <w:szCs w:val="24"/>
        </w:rPr>
        <w:t>framework is</w:t>
      </w:r>
      <w:r w:rsidR="005B5951">
        <w:rPr>
          <w:rFonts w:ascii="Arial" w:hAnsi="Arial" w:cs="Arial"/>
          <w:sz w:val="24"/>
          <w:szCs w:val="24"/>
        </w:rPr>
        <w:t>, therefore,</w:t>
      </w:r>
      <w:r w:rsidR="009D7181">
        <w:rPr>
          <w:rFonts w:ascii="Arial" w:hAnsi="Arial" w:cs="Arial"/>
          <w:sz w:val="24"/>
          <w:szCs w:val="24"/>
        </w:rPr>
        <w:t xml:space="preserve"> the starting point.</w:t>
      </w:r>
    </w:p>
    <w:p w:rsidR="00AE515F" w:rsidRDefault="00AE515F" w:rsidP="00AE515F">
      <w:pPr>
        <w:pStyle w:val="NoSpacing"/>
        <w:spacing w:line="480" w:lineRule="auto"/>
        <w:jc w:val="both"/>
        <w:rPr>
          <w:rFonts w:ascii="Arial" w:hAnsi="Arial" w:cs="Arial"/>
          <w:sz w:val="24"/>
          <w:szCs w:val="24"/>
        </w:rPr>
      </w:pPr>
    </w:p>
    <w:p w:rsidR="009E261A" w:rsidRPr="0038248D" w:rsidRDefault="009E261A" w:rsidP="009E261A">
      <w:pPr>
        <w:rPr>
          <w:rFonts w:ascii="Arial" w:hAnsi="Arial" w:cs="Arial"/>
          <w:sz w:val="24"/>
          <w:szCs w:val="24"/>
          <w:u w:val="single"/>
        </w:rPr>
      </w:pPr>
      <w:r w:rsidRPr="0038248D">
        <w:rPr>
          <w:rFonts w:ascii="Arial" w:hAnsi="Arial" w:cs="Arial"/>
          <w:sz w:val="24"/>
          <w:szCs w:val="24"/>
          <w:u w:val="single"/>
        </w:rPr>
        <w:t>Constitutional and statutory framework</w:t>
      </w:r>
    </w:p>
    <w:p w:rsidR="009615C5" w:rsidRPr="009E261A" w:rsidRDefault="004341EE" w:rsidP="009E261A">
      <w:pPr>
        <w:pStyle w:val="NoSpacing"/>
        <w:numPr>
          <w:ilvl w:val="0"/>
          <w:numId w:val="1"/>
        </w:numPr>
        <w:spacing w:line="480" w:lineRule="auto"/>
        <w:ind w:left="0" w:firstLine="0"/>
        <w:jc w:val="both"/>
        <w:rPr>
          <w:rFonts w:ascii="Arial" w:hAnsi="Arial" w:cs="Arial"/>
          <w:sz w:val="24"/>
          <w:szCs w:val="24"/>
        </w:rPr>
      </w:pPr>
      <w:r w:rsidRPr="009E261A">
        <w:rPr>
          <w:rFonts w:ascii="Arial" w:hAnsi="Arial" w:cs="Arial"/>
          <w:sz w:val="24"/>
          <w:szCs w:val="24"/>
        </w:rPr>
        <w:t>The Constitution is the supreme law</w:t>
      </w:r>
      <w:r w:rsidR="003C649C" w:rsidRPr="009615C5">
        <w:rPr>
          <w:rStyle w:val="FootnoteReference"/>
          <w:rFonts w:ascii="Arial" w:hAnsi="Arial" w:cs="Arial"/>
          <w:sz w:val="24"/>
          <w:szCs w:val="24"/>
        </w:rPr>
        <w:footnoteReference w:id="4"/>
      </w:r>
      <w:r w:rsidRPr="009E261A">
        <w:rPr>
          <w:rFonts w:ascii="Arial" w:hAnsi="Arial" w:cs="Arial"/>
          <w:sz w:val="24"/>
          <w:szCs w:val="24"/>
        </w:rPr>
        <w:t xml:space="preserve"> </w:t>
      </w:r>
      <w:r w:rsidR="003C649C" w:rsidRPr="009E261A">
        <w:rPr>
          <w:rFonts w:ascii="Arial" w:hAnsi="Arial" w:cs="Arial"/>
          <w:sz w:val="24"/>
          <w:szCs w:val="24"/>
        </w:rPr>
        <w:t>of the Republic of Namibia which is founded upon</w:t>
      </w:r>
      <w:r w:rsidR="0066390A" w:rsidRPr="009E261A">
        <w:rPr>
          <w:rFonts w:ascii="Arial" w:hAnsi="Arial" w:cs="Arial"/>
          <w:sz w:val="24"/>
          <w:szCs w:val="24"/>
        </w:rPr>
        <w:t xml:space="preserve"> the principles of, </w:t>
      </w:r>
      <w:r w:rsidR="003C649C" w:rsidRPr="009E261A">
        <w:rPr>
          <w:rFonts w:ascii="Arial" w:hAnsi="Arial" w:cs="Arial"/>
          <w:i/>
          <w:sz w:val="24"/>
          <w:szCs w:val="24"/>
        </w:rPr>
        <w:t>inter alia</w:t>
      </w:r>
      <w:r w:rsidR="003C649C" w:rsidRPr="009E261A">
        <w:rPr>
          <w:rFonts w:ascii="Arial" w:hAnsi="Arial" w:cs="Arial"/>
          <w:sz w:val="24"/>
          <w:szCs w:val="24"/>
        </w:rPr>
        <w:t>,</w:t>
      </w:r>
      <w:r w:rsidR="0066390A" w:rsidRPr="009E261A">
        <w:rPr>
          <w:rFonts w:ascii="Arial" w:hAnsi="Arial" w:cs="Arial"/>
          <w:sz w:val="24"/>
          <w:szCs w:val="24"/>
        </w:rPr>
        <w:t xml:space="preserve"> </w:t>
      </w:r>
      <w:r w:rsidR="003C649C" w:rsidRPr="009E261A">
        <w:rPr>
          <w:rFonts w:ascii="Arial" w:hAnsi="Arial" w:cs="Arial"/>
          <w:sz w:val="24"/>
          <w:szCs w:val="24"/>
        </w:rPr>
        <w:t>the rule of law and justice for all.</w:t>
      </w:r>
      <w:r w:rsidR="003C649C" w:rsidRPr="009615C5">
        <w:rPr>
          <w:rStyle w:val="FootnoteReference"/>
          <w:rFonts w:ascii="Arial" w:hAnsi="Arial" w:cs="Arial"/>
          <w:sz w:val="24"/>
          <w:szCs w:val="24"/>
        </w:rPr>
        <w:footnoteReference w:id="5"/>
      </w:r>
      <w:r w:rsidR="0066390A" w:rsidRPr="009E261A">
        <w:rPr>
          <w:rFonts w:ascii="Arial" w:hAnsi="Arial" w:cs="Arial"/>
          <w:sz w:val="24"/>
          <w:szCs w:val="24"/>
        </w:rPr>
        <w:t xml:space="preserve"> </w:t>
      </w:r>
      <w:r w:rsidR="003C649C" w:rsidRPr="009E261A">
        <w:rPr>
          <w:rFonts w:ascii="Arial" w:hAnsi="Arial" w:cs="Arial"/>
          <w:sz w:val="24"/>
          <w:szCs w:val="24"/>
        </w:rPr>
        <w:t xml:space="preserve"> </w:t>
      </w:r>
      <w:r w:rsidR="009615C5" w:rsidRPr="009E261A">
        <w:rPr>
          <w:rFonts w:ascii="Arial" w:hAnsi="Arial" w:cs="Arial"/>
          <w:sz w:val="24"/>
          <w:szCs w:val="24"/>
        </w:rPr>
        <w:t xml:space="preserve"> Chapter 3 of the Constitution deals with fundamental human rights and freedoms. Article 5</w:t>
      </w:r>
      <w:r w:rsidR="00AA21BF">
        <w:rPr>
          <w:rFonts w:ascii="Arial" w:hAnsi="Arial" w:cs="Arial"/>
          <w:sz w:val="24"/>
          <w:szCs w:val="24"/>
        </w:rPr>
        <w:t xml:space="preserve"> of the Constitution, entitled ‘</w:t>
      </w:r>
      <w:r w:rsidR="009615C5" w:rsidRPr="009E261A">
        <w:rPr>
          <w:rFonts w:ascii="Arial" w:hAnsi="Arial" w:cs="Arial"/>
          <w:sz w:val="24"/>
          <w:szCs w:val="24"/>
        </w:rPr>
        <w:t>protection of fundamen</w:t>
      </w:r>
      <w:r w:rsidR="00AA21BF">
        <w:rPr>
          <w:rFonts w:ascii="Arial" w:hAnsi="Arial" w:cs="Arial"/>
          <w:sz w:val="24"/>
          <w:szCs w:val="24"/>
        </w:rPr>
        <w:t>tal rights and freedoms’</w:t>
      </w:r>
      <w:r w:rsidR="009615C5" w:rsidRPr="009E261A">
        <w:rPr>
          <w:rFonts w:ascii="Arial" w:hAnsi="Arial" w:cs="Arial"/>
          <w:sz w:val="24"/>
          <w:szCs w:val="24"/>
        </w:rPr>
        <w:t xml:space="preserve"> provides:</w:t>
      </w:r>
    </w:p>
    <w:p w:rsidR="006F5E83" w:rsidRPr="00DA2C06" w:rsidRDefault="006F5E83" w:rsidP="009615C5">
      <w:pPr>
        <w:pStyle w:val="NoSpacing"/>
        <w:spacing w:line="480" w:lineRule="auto"/>
        <w:ind w:left="720"/>
        <w:jc w:val="both"/>
        <w:rPr>
          <w:rFonts w:ascii="Arial" w:hAnsi="Arial" w:cs="Arial"/>
        </w:rPr>
      </w:pPr>
    </w:p>
    <w:p w:rsidR="009615C5" w:rsidRDefault="005A4E30" w:rsidP="00AA21BF">
      <w:pPr>
        <w:pStyle w:val="NoSpacing"/>
        <w:spacing w:line="360" w:lineRule="auto"/>
        <w:ind w:left="720"/>
        <w:jc w:val="both"/>
        <w:rPr>
          <w:rFonts w:ascii="Arial" w:hAnsi="Arial" w:cs="Arial"/>
        </w:rPr>
      </w:pPr>
      <w:r>
        <w:rPr>
          <w:rFonts w:ascii="Arial" w:hAnsi="Arial" w:cs="Arial"/>
        </w:rPr>
        <w:t>‘</w:t>
      </w:r>
      <w:r w:rsidR="009615C5" w:rsidRPr="00F17491">
        <w:rPr>
          <w:rFonts w:ascii="Arial" w:hAnsi="Arial" w:cs="Arial"/>
          <w:i/>
        </w:rPr>
        <w:t>The fundamental rights</w:t>
      </w:r>
      <w:r w:rsidR="009615C5">
        <w:rPr>
          <w:rFonts w:ascii="Arial" w:hAnsi="Arial" w:cs="Arial"/>
        </w:rPr>
        <w:t xml:space="preserve"> and freedoms </w:t>
      </w:r>
      <w:r w:rsidR="009615C5" w:rsidRPr="002C6600">
        <w:rPr>
          <w:rFonts w:ascii="Arial" w:hAnsi="Arial" w:cs="Arial"/>
          <w:i/>
        </w:rPr>
        <w:t>enshrined in this Chapter shall be respected and upheld by</w:t>
      </w:r>
      <w:r w:rsidR="009615C5">
        <w:rPr>
          <w:rFonts w:ascii="Arial" w:hAnsi="Arial" w:cs="Arial"/>
        </w:rPr>
        <w:t xml:space="preserve"> the Executive, Legislature and </w:t>
      </w:r>
      <w:r w:rsidR="009615C5" w:rsidRPr="002C6600">
        <w:rPr>
          <w:rFonts w:ascii="Arial" w:hAnsi="Arial" w:cs="Arial"/>
          <w:i/>
        </w:rPr>
        <w:t xml:space="preserve">Judiciary and </w:t>
      </w:r>
      <w:r w:rsidR="009615C5" w:rsidRPr="00F17491">
        <w:rPr>
          <w:rFonts w:ascii="Arial" w:hAnsi="Arial" w:cs="Arial"/>
          <w:i/>
        </w:rPr>
        <w:t xml:space="preserve">all organs of the Government </w:t>
      </w:r>
      <w:r w:rsidR="009615C5" w:rsidRPr="002C1480">
        <w:rPr>
          <w:rFonts w:ascii="Arial" w:hAnsi="Arial" w:cs="Arial"/>
          <w:i/>
        </w:rPr>
        <w:t xml:space="preserve">and its agencies </w:t>
      </w:r>
      <w:r w:rsidR="009615C5" w:rsidRPr="00F17491">
        <w:rPr>
          <w:rFonts w:ascii="Arial" w:hAnsi="Arial" w:cs="Arial"/>
          <w:i/>
        </w:rPr>
        <w:t>and</w:t>
      </w:r>
      <w:r w:rsidR="009615C5">
        <w:rPr>
          <w:rFonts w:ascii="Arial" w:hAnsi="Arial" w:cs="Arial"/>
        </w:rPr>
        <w:t xml:space="preserve">, where applicable to them, by all natural and legal persons in Namibia, </w:t>
      </w:r>
      <w:r w:rsidR="009615C5" w:rsidRPr="002C6600">
        <w:rPr>
          <w:rFonts w:ascii="Arial" w:hAnsi="Arial" w:cs="Arial"/>
          <w:i/>
        </w:rPr>
        <w:t xml:space="preserve">and shall be enforceable by the </w:t>
      </w:r>
      <w:r w:rsidR="00662971">
        <w:rPr>
          <w:rFonts w:ascii="Arial" w:hAnsi="Arial" w:cs="Arial"/>
          <w:i/>
        </w:rPr>
        <w:t>Court</w:t>
      </w:r>
      <w:r w:rsidR="009615C5" w:rsidRPr="002C6600">
        <w:rPr>
          <w:rFonts w:ascii="Arial" w:hAnsi="Arial" w:cs="Arial"/>
          <w:i/>
        </w:rPr>
        <w:t>s</w:t>
      </w:r>
      <w:r w:rsidR="009615C5">
        <w:rPr>
          <w:rFonts w:ascii="Arial" w:hAnsi="Arial" w:cs="Arial"/>
        </w:rPr>
        <w:t xml:space="preserve"> in the</w:t>
      </w:r>
      <w:r>
        <w:rPr>
          <w:rFonts w:ascii="Arial" w:hAnsi="Arial" w:cs="Arial"/>
        </w:rPr>
        <w:t xml:space="preserve"> manner hereinafter prescribed.’</w:t>
      </w:r>
    </w:p>
    <w:p w:rsidR="009615C5" w:rsidRPr="009615C5" w:rsidRDefault="009615C5" w:rsidP="00DC31ED">
      <w:pPr>
        <w:pStyle w:val="NoSpacing"/>
        <w:spacing w:line="480" w:lineRule="auto"/>
        <w:ind w:firstLine="720"/>
        <w:jc w:val="both"/>
        <w:rPr>
          <w:rFonts w:ascii="Arial" w:hAnsi="Arial" w:cs="Arial"/>
        </w:rPr>
      </w:pPr>
      <w:r>
        <w:rPr>
          <w:rFonts w:ascii="Arial" w:hAnsi="Arial" w:cs="Arial"/>
        </w:rPr>
        <w:t>(Emphasis added.)</w:t>
      </w:r>
    </w:p>
    <w:p w:rsidR="008D0E71" w:rsidRDefault="0066390A" w:rsidP="00EA498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A</w:t>
      </w:r>
      <w:r w:rsidR="008D0E71" w:rsidRPr="00EA4983">
        <w:rPr>
          <w:rFonts w:ascii="Arial" w:hAnsi="Arial" w:cs="Arial"/>
          <w:sz w:val="24"/>
          <w:szCs w:val="24"/>
        </w:rPr>
        <w:t>rticle 18</w:t>
      </w:r>
      <w:r>
        <w:rPr>
          <w:rFonts w:ascii="Arial" w:hAnsi="Arial" w:cs="Arial"/>
          <w:sz w:val="24"/>
          <w:szCs w:val="24"/>
        </w:rPr>
        <w:t xml:space="preserve">, the </w:t>
      </w:r>
      <w:r w:rsidR="008D0E71" w:rsidRPr="00EA4983">
        <w:rPr>
          <w:rFonts w:ascii="Arial" w:hAnsi="Arial" w:cs="Arial"/>
          <w:sz w:val="24"/>
          <w:szCs w:val="24"/>
        </w:rPr>
        <w:t>Constitution</w:t>
      </w:r>
      <w:r>
        <w:rPr>
          <w:rFonts w:ascii="Arial" w:hAnsi="Arial" w:cs="Arial"/>
          <w:sz w:val="24"/>
          <w:szCs w:val="24"/>
        </w:rPr>
        <w:t xml:space="preserve"> </w:t>
      </w:r>
      <w:r w:rsidR="005B5951">
        <w:rPr>
          <w:rFonts w:ascii="Arial" w:hAnsi="Arial" w:cs="Arial"/>
          <w:sz w:val="24"/>
          <w:szCs w:val="24"/>
        </w:rPr>
        <w:t xml:space="preserve">makes provision for </w:t>
      </w:r>
      <w:r w:rsidR="008D0E71" w:rsidRPr="00EA4983">
        <w:rPr>
          <w:rFonts w:ascii="Arial" w:hAnsi="Arial" w:cs="Arial"/>
          <w:sz w:val="24"/>
          <w:szCs w:val="24"/>
        </w:rPr>
        <w:t>administrative justice</w:t>
      </w:r>
      <w:r w:rsidR="005B5951">
        <w:rPr>
          <w:rFonts w:ascii="Arial" w:hAnsi="Arial" w:cs="Arial"/>
          <w:sz w:val="24"/>
          <w:szCs w:val="24"/>
        </w:rPr>
        <w:t>.  It reads</w:t>
      </w:r>
      <w:r w:rsidR="008D0E71" w:rsidRPr="00EA4983">
        <w:rPr>
          <w:rFonts w:ascii="Arial" w:hAnsi="Arial" w:cs="Arial"/>
          <w:sz w:val="24"/>
          <w:szCs w:val="24"/>
        </w:rPr>
        <w:t>:</w:t>
      </w:r>
    </w:p>
    <w:p w:rsidR="006F5E83" w:rsidRDefault="006F5E83" w:rsidP="00AA21BF">
      <w:pPr>
        <w:pStyle w:val="NoSpacing"/>
        <w:spacing w:line="360" w:lineRule="auto"/>
        <w:jc w:val="both"/>
        <w:rPr>
          <w:rFonts w:ascii="Arial" w:hAnsi="Arial" w:cs="Arial"/>
        </w:rPr>
      </w:pPr>
    </w:p>
    <w:p w:rsidR="006F5E83" w:rsidRDefault="00AA21BF" w:rsidP="00AA21BF">
      <w:pPr>
        <w:pStyle w:val="NoSpacing"/>
        <w:spacing w:line="360" w:lineRule="auto"/>
        <w:ind w:left="720"/>
        <w:jc w:val="both"/>
        <w:rPr>
          <w:rFonts w:ascii="Arial" w:hAnsi="Arial" w:cs="Arial"/>
        </w:rPr>
      </w:pPr>
      <w:r>
        <w:rPr>
          <w:rFonts w:ascii="Arial" w:hAnsi="Arial" w:cs="Arial"/>
        </w:rPr>
        <w:t>‘</w:t>
      </w:r>
      <w:r w:rsidR="006F5E83">
        <w:rPr>
          <w:rFonts w:ascii="Arial" w:hAnsi="Arial" w:cs="Arial"/>
        </w:rPr>
        <w:t xml:space="preserve">Administrative bodies and administrative officials </w:t>
      </w:r>
      <w:r w:rsidR="006F5E83" w:rsidRPr="00F17491">
        <w:rPr>
          <w:rFonts w:ascii="Arial" w:hAnsi="Arial" w:cs="Arial"/>
          <w:i/>
        </w:rPr>
        <w:t>shall act fairly</w:t>
      </w:r>
      <w:r w:rsidR="006F5E83">
        <w:rPr>
          <w:rFonts w:ascii="Arial" w:hAnsi="Arial" w:cs="Arial"/>
        </w:rPr>
        <w:t xml:space="preserve"> and reasonably </w:t>
      </w:r>
      <w:r w:rsidR="006F5E83" w:rsidRPr="00AB36B3">
        <w:rPr>
          <w:rFonts w:ascii="Arial" w:hAnsi="Arial" w:cs="Arial"/>
          <w:i/>
        </w:rPr>
        <w:t xml:space="preserve">and comply with the requirements imposed upon such bodies </w:t>
      </w:r>
      <w:r w:rsidR="006F5E83">
        <w:rPr>
          <w:rFonts w:ascii="Arial" w:hAnsi="Arial" w:cs="Arial"/>
        </w:rPr>
        <w:t xml:space="preserve">and officials </w:t>
      </w:r>
      <w:r w:rsidR="006F5E83" w:rsidRPr="002C1480">
        <w:rPr>
          <w:rFonts w:ascii="Arial" w:hAnsi="Arial" w:cs="Arial"/>
          <w:i/>
        </w:rPr>
        <w:t>by</w:t>
      </w:r>
      <w:r w:rsidR="006F5E83">
        <w:rPr>
          <w:rFonts w:ascii="Arial" w:hAnsi="Arial" w:cs="Arial"/>
        </w:rPr>
        <w:t xml:space="preserve"> </w:t>
      </w:r>
      <w:r w:rsidR="006F5E83" w:rsidRPr="0044124C">
        <w:rPr>
          <w:rFonts w:ascii="Arial" w:hAnsi="Arial" w:cs="Arial"/>
          <w:i/>
        </w:rPr>
        <w:t>common law</w:t>
      </w:r>
      <w:r w:rsidR="006F5E83" w:rsidRPr="002C1480">
        <w:rPr>
          <w:rFonts w:ascii="Arial" w:hAnsi="Arial" w:cs="Arial"/>
          <w:i/>
        </w:rPr>
        <w:t xml:space="preserve"> and any relevant legislation,</w:t>
      </w:r>
      <w:r w:rsidR="006F5E83">
        <w:rPr>
          <w:rFonts w:ascii="Arial" w:hAnsi="Arial" w:cs="Arial"/>
        </w:rPr>
        <w:t xml:space="preserve"> and persons aggrieved by the exercise of such acts and decisions </w:t>
      </w:r>
      <w:r w:rsidR="006F5E83" w:rsidRPr="002C1480">
        <w:rPr>
          <w:rFonts w:ascii="Arial" w:hAnsi="Arial" w:cs="Arial"/>
          <w:i/>
        </w:rPr>
        <w:t xml:space="preserve">shall have the right to seek redress before a competent </w:t>
      </w:r>
      <w:r w:rsidR="00662971">
        <w:rPr>
          <w:rFonts w:ascii="Arial" w:hAnsi="Arial" w:cs="Arial"/>
          <w:i/>
        </w:rPr>
        <w:t>Court</w:t>
      </w:r>
      <w:r w:rsidR="006F5E83" w:rsidRPr="002C1480">
        <w:rPr>
          <w:rFonts w:ascii="Arial" w:hAnsi="Arial" w:cs="Arial"/>
          <w:i/>
        </w:rPr>
        <w:t xml:space="preserve"> or Tribunal.</w:t>
      </w:r>
      <w:r>
        <w:rPr>
          <w:rFonts w:ascii="Arial" w:hAnsi="Arial" w:cs="Arial"/>
        </w:rPr>
        <w:t>’</w:t>
      </w:r>
      <w:r w:rsidR="00857251">
        <w:rPr>
          <w:rFonts w:ascii="Arial" w:hAnsi="Arial" w:cs="Arial"/>
        </w:rPr>
        <w:t>(Emphasis added.)</w:t>
      </w:r>
    </w:p>
    <w:p w:rsidR="006F5E83" w:rsidRDefault="006F5E83" w:rsidP="006F5E83">
      <w:pPr>
        <w:pStyle w:val="NoSpacing"/>
        <w:spacing w:line="480" w:lineRule="auto"/>
        <w:ind w:left="720"/>
        <w:jc w:val="both"/>
        <w:rPr>
          <w:rFonts w:ascii="Arial" w:hAnsi="Arial" w:cs="Arial"/>
          <w:sz w:val="24"/>
          <w:szCs w:val="24"/>
        </w:rPr>
      </w:pPr>
    </w:p>
    <w:p w:rsidR="006F5E83" w:rsidRDefault="00EA4983" w:rsidP="005B5951">
      <w:pPr>
        <w:pStyle w:val="NoSpacing"/>
        <w:numPr>
          <w:ilvl w:val="0"/>
          <w:numId w:val="1"/>
        </w:numPr>
        <w:spacing w:line="480" w:lineRule="auto"/>
        <w:ind w:left="0" w:firstLine="0"/>
        <w:jc w:val="both"/>
        <w:rPr>
          <w:rFonts w:ascii="Arial" w:hAnsi="Arial" w:cs="Arial"/>
          <w:sz w:val="24"/>
          <w:szCs w:val="24"/>
        </w:rPr>
      </w:pPr>
      <w:r w:rsidRPr="006F5E83">
        <w:rPr>
          <w:rFonts w:ascii="Arial" w:hAnsi="Arial" w:cs="Arial"/>
          <w:sz w:val="24"/>
          <w:szCs w:val="24"/>
        </w:rPr>
        <w:t>Article 25 of the Constitution</w:t>
      </w:r>
      <w:r w:rsidR="00E53201" w:rsidRPr="006F5E83">
        <w:rPr>
          <w:rFonts w:ascii="Arial" w:hAnsi="Arial" w:cs="Arial"/>
          <w:sz w:val="24"/>
          <w:szCs w:val="24"/>
        </w:rPr>
        <w:t xml:space="preserve">, concerning </w:t>
      </w:r>
      <w:r w:rsidRPr="006F5E83">
        <w:rPr>
          <w:rFonts w:ascii="Arial" w:hAnsi="Arial" w:cs="Arial"/>
          <w:sz w:val="24"/>
          <w:szCs w:val="24"/>
        </w:rPr>
        <w:t>the enforcement of fundament</w:t>
      </w:r>
      <w:r w:rsidR="006F5E83" w:rsidRPr="006F5E83">
        <w:rPr>
          <w:rFonts w:ascii="Arial" w:hAnsi="Arial" w:cs="Arial"/>
          <w:sz w:val="24"/>
          <w:szCs w:val="24"/>
        </w:rPr>
        <w:t xml:space="preserve">al rights and freedoms, </w:t>
      </w:r>
      <w:r w:rsidR="005A4E30">
        <w:rPr>
          <w:rFonts w:ascii="Arial" w:hAnsi="Arial" w:cs="Arial"/>
          <w:sz w:val="24"/>
          <w:szCs w:val="24"/>
        </w:rPr>
        <w:t xml:space="preserve">in relevant parts </w:t>
      </w:r>
      <w:r w:rsidR="006F5E83" w:rsidRPr="006F5E83">
        <w:rPr>
          <w:rFonts w:ascii="Arial" w:hAnsi="Arial" w:cs="Arial"/>
          <w:sz w:val="24"/>
          <w:szCs w:val="24"/>
        </w:rPr>
        <w:t>reads</w:t>
      </w:r>
      <w:r w:rsidRPr="006F5E83">
        <w:rPr>
          <w:rFonts w:ascii="Arial" w:hAnsi="Arial" w:cs="Arial"/>
          <w:sz w:val="24"/>
          <w:szCs w:val="24"/>
        </w:rPr>
        <w:t>:</w:t>
      </w:r>
    </w:p>
    <w:p w:rsidR="0038248D" w:rsidRDefault="0038248D" w:rsidP="005C3AF0">
      <w:pPr>
        <w:pStyle w:val="NoSpacing"/>
        <w:spacing w:line="360" w:lineRule="auto"/>
        <w:jc w:val="both"/>
        <w:rPr>
          <w:rFonts w:ascii="Arial" w:hAnsi="Arial" w:cs="Arial"/>
          <w:sz w:val="24"/>
          <w:szCs w:val="24"/>
        </w:rPr>
      </w:pPr>
    </w:p>
    <w:p w:rsidR="006F5E83" w:rsidRDefault="00AA21BF" w:rsidP="00AA21BF">
      <w:pPr>
        <w:pStyle w:val="NoSpacing"/>
        <w:spacing w:line="360" w:lineRule="auto"/>
        <w:ind w:left="720"/>
        <w:jc w:val="both"/>
        <w:rPr>
          <w:rFonts w:ascii="Arial" w:hAnsi="Arial" w:cs="Arial"/>
        </w:rPr>
      </w:pPr>
      <w:r>
        <w:rPr>
          <w:rFonts w:ascii="Arial" w:hAnsi="Arial" w:cs="Arial"/>
        </w:rPr>
        <w:t>‘</w:t>
      </w:r>
      <w:r w:rsidR="006F5E83">
        <w:rPr>
          <w:rFonts w:ascii="Arial" w:hAnsi="Arial" w:cs="Arial"/>
        </w:rPr>
        <w:t>(1)</w:t>
      </w:r>
      <w:r w:rsidR="006F5E83">
        <w:rPr>
          <w:rFonts w:ascii="Arial" w:hAnsi="Arial" w:cs="Arial"/>
        </w:rPr>
        <w:tab/>
        <w:t xml:space="preserve">Save in so far as it may be authorised to do so by this Constitution . . . the Executive and </w:t>
      </w:r>
      <w:r w:rsidR="006F5E83" w:rsidRPr="00EA4983">
        <w:rPr>
          <w:rFonts w:ascii="Arial" w:hAnsi="Arial" w:cs="Arial"/>
          <w:i/>
        </w:rPr>
        <w:t>the agencies of Government shall not</w:t>
      </w:r>
      <w:r w:rsidR="006F5E83">
        <w:rPr>
          <w:rFonts w:ascii="Arial" w:hAnsi="Arial" w:cs="Arial"/>
          <w:i/>
        </w:rPr>
        <w:t xml:space="preserve"> </w:t>
      </w:r>
      <w:r w:rsidR="006F5E83" w:rsidRPr="002C1480">
        <w:rPr>
          <w:rFonts w:ascii="Arial" w:hAnsi="Arial" w:cs="Arial"/>
          <w:i/>
        </w:rPr>
        <w:t>take any action which abolishes or bridges the fundamental rights . . . conferred by this Chapter</w:t>
      </w:r>
      <w:r>
        <w:rPr>
          <w:rFonts w:ascii="Arial" w:hAnsi="Arial" w:cs="Arial"/>
        </w:rPr>
        <w:t xml:space="preserve"> . . . .’</w:t>
      </w:r>
    </w:p>
    <w:p w:rsidR="006F5E83" w:rsidRPr="00EA4983" w:rsidRDefault="006F5E83" w:rsidP="006F5E83">
      <w:pPr>
        <w:pStyle w:val="NoSpacing"/>
        <w:spacing w:line="480" w:lineRule="auto"/>
        <w:ind w:left="720"/>
        <w:jc w:val="both"/>
        <w:rPr>
          <w:rFonts w:ascii="Arial" w:hAnsi="Arial" w:cs="Arial"/>
        </w:rPr>
      </w:pPr>
      <w:r>
        <w:rPr>
          <w:rFonts w:ascii="Arial" w:hAnsi="Arial" w:cs="Arial"/>
        </w:rPr>
        <w:t>(Emphasis added.)</w:t>
      </w:r>
    </w:p>
    <w:p w:rsidR="006F5E83" w:rsidRDefault="006F5E83" w:rsidP="006F5E83">
      <w:pPr>
        <w:pStyle w:val="NoSpacing"/>
        <w:spacing w:line="480" w:lineRule="auto"/>
        <w:ind w:left="720"/>
        <w:jc w:val="both"/>
        <w:rPr>
          <w:rFonts w:ascii="Arial" w:hAnsi="Arial" w:cs="Arial"/>
          <w:sz w:val="24"/>
          <w:szCs w:val="24"/>
        </w:rPr>
      </w:pPr>
    </w:p>
    <w:p w:rsidR="00DA4967" w:rsidRDefault="00DA4967" w:rsidP="006F5E83">
      <w:pPr>
        <w:pStyle w:val="NoSpacing"/>
        <w:numPr>
          <w:ilvl w:val="0"/>
          <w:numId w:val="1"/>
        </w:numPr>
        <w:spacing w:line="480" w:lineRule="auto"/>
        <w:ind w:left="0" w:firstLine="0"/>
        <w:jc w:val="both"/>
        <w:rPr>
          <w:rFonts w:ascii="Arial" w:hAnsi="Arial" w:cs="Arial"/>
          <w:sz w:val="24"/>
          <w:szCs w:val="24"/>
        </w:rPr>
      </w:pPr>
      <w:r w:rsidRPr="006F5E83">
        <w:rPr>
          <w:rFonts w:ascii="Arial" w:hAnsi="Arial" w:cs="Arial"/>
          <w:sz w:val="24"/>
          <w:szCs w:val="24"/>
        </w:rPr>
        <w:t xml:space="preserve">Section 16 of the </w:t>
      </w:r>
      <w:r w:rsidR="005B5951" w:rsidRPr="006F5E83">
        <w:rPr>
          <w:rFonts w:ascii="Arial" w:hAnsi="Arial" w:cs="Arial"/>
          <w:sz w:val="24"/>
          <w:szCs w:val="24"/>
        </w:rPr>
        <w:t xml:space="preserve">Tender </w:t>
      </w:r>
      <w:r w:rsidRPr="006F5E83">
        <w:rPr>
          <w:rFonts w:ascii="Arial" w:hAnsi="Arial" w:cs="Arial"/>
          <w:sz w:val="24"/>
          <w:szCs w:val="24"/>
        </w:rPr>
        <w:t xml:space="preserve">Act </w:t>
      </w:r>
      <w:r w:rsidR="005B5951" w:rsidRPr="006F5E83">
        <w:rPr>
          <w:rFonts w:ascii="Arial" w:hAnsi="Arial" w:cs="Arial"/>
          <w:sz w:val="24"/>
          <w:szCs w:val="24"/>
        </w:rPr>
        <w:t xml:space="preserve">deals with the acceptance of tenders and </w:t>
      </w:r>
      <w:r w:rsidR="00E33584">
        <w:rPr>
          <w:rFonts w:ascii="Arial" w:hAnsi="Arial" w:cs="Arial"/>
          <w:sz w:val="24"/>
          <w:szCs w:val="24"/>
        </w:rPr>
        <w:t>entry into force of agreements.</w:t>
      </w:r>
      <w:r w:rsidR="005B5951" w:rsidRPr="006F5E83">
        <w:rPr>
          <w:rFonts w:ascii="Arial" w:hAnsi="Arial" w:cs="Arial"/>
          <w:sz w:val="24"/>
          <w:szCs w:val="24"/>
        </w:rPr>
        <w:t xml:space="preserve"> It </w:t>
      </w:r>
      <w:r w:rsidR="008D0E71" w:rsidRPr="006F5E83">
        <w:rPr>
          <w:rFonts w:ascii="Arial" w:hAnsi="Arial" w:cs="Arial"/>
          <w:sz w:val="24"/>
          <w:szCs w:val="24"/>
        </w:rPr>
        <w:t>reads:</w:t>
      </w:r>
    </w:p>
    <w:p w:rsidR="0038248D" w:rsidRPr="006F5E83" w:rsidRDefault="0038248D" w:rsidP="00AA21BF">
      <w:pPr>
        <w:pStyle w:val="NoSpacing"/>
        <w:spacing w:line="360" w:lineRule="auto"/>
        <w:jc w:val="both"/>
        <w:rPr>
          <w:rFonts w:ascii="Arial" w:hAnsi="Arial" w:cs="Arial"/>
          <w:sz w:val="24"/>
          <w:szCs w:val="24"/>
        </w:rPr>
      </w:pPr>
    </w:p>
    <w:p w:rsidR="00BE414C" w:rsidRPr="001424A5" w:rsidRDefault="00AA21BF" w:rsidP="00AA21BF">
      <w:pPr>
        <w:pStyle w:val="NoSpacing"/>
        <w:spacing w:line="360" w:lineRule="auto"/>
        <w:ind w:left="720"/>
        <w:jc w:val="both"/>
        <w:rPr>
          <w:rFonts w:ascii="Arial" w:hAnsi="Arial" w:cs="Arial"/>
        </w:rPr>
      </w:pPr>
      <w:r>
        <w:rPr>
          <w:rFonts w:ascii="Arial" w:hAnsi="Arial" w:cs="Arial"/>
        </w:rPr>
        <w:t>‘</w:t>
      </w:r>
      <w:r w:rsidR="005B5951">
        <w:rPr>
          <w:rFonts w:ascii="Arial" w:hAnsi="Arial" w:cs="Arial"/>
        </w:rPr>
        <w:t>(1)</w:t>
      </w:r>
      <w:r w:rsidR="005B5951">
        <w:rPr>
          <w:rFonts w:ascii="Arial" w:hAnsi="Arial" w:cs="Arial"/>
        </w:rPr>
        <w:tab/>
      </w:r>
      <w:r w:rsidR="00BE414C">
        <w:rPr>
          <w:rFonts w:ascii="Arial" w:hAnsi="Arial" w:cs="Arial"/>
        </w:rPr>
        <w:t xml:space="preserve">The </w:t>
      </w:r>
      <w:r w:rsidR="00BE414C" w:rsidRPr="001424A5">
        <w:rPr>
          <w:rFonts w:ascii="Arial" w:hAnsi="Arial" w:cs="Arial"/>
        </w:rPr>
        <w:t>Board shall in every particular case</w:t>
      </w:r>
      <w:r w:rsidR="001424A5" w:rsidRPr="001424A5">
        <w:rPr>
          <w:rFonts w:ascii="Arial" w:hAnsi="Arial" w:cs="Arial"/>
        </w:rPr>
        <w:t xml:space="preserve"> </w:t>
      </w:r>
      <w:r w:rsidR="00BE414C" w:rsidRPr="001424A5">
        <w:rPr>
          <w:rFonts w:ascii="Arial" w:hAnsi="Arial" w:cs="Arial"/>
        </w:rPr>
        <w:t>−</w:t>
      </w:r>
    </w:p>
    <w:p w:rsidR="00BE414C" w:rsidRDefault="00B02541" w:rsidP="00AA21BF">
      <w:pPr>
        <w:pStyle w:val="NoSpacing"/>
        <w:numPr>
          <w:ilvl w:val="0"/>
          <w:numId w:val="6"/>
        </w:numPr>
        <w:spacing w:line="360" w:lineRule="auto"/>
        <w:jc w:val="both"/>
        <w:rPr>
          <w:rFonts w:ascii="Arial" w:hAnsi="Arial" w:cs="Arial"/>
        </w:rPr>
      </w:pPr>
      <w:r w:rsidRPr="001424A5">
        <w:rPr>
          <w:rFonts w:ascii="Arial" w:hAnsi="Arial" w:cs="Arial"/>
        </w:rPr>
        <w:t>n</w:t>
      </w:r>
      <w:r w:rsidR="00BE414C" w:rsidRPr="001424A5">
        <w:rPr>
          <w:rFonts w:ascii="Arial" w:hAnsi="Arial" w:cs="Arial"/>
        </w:rPr>
        <w:t>otify the tenderers concerned in writing of the acceptance or rejection of their tenders,</w:t>
      </w:r>
      <w:r w:rsidR="00BE414C">
        <w:rPr>
          <w:rFonts w:ascii="Arial" w:hAnsi="Arial" w:cs="Arial"/>
        </w:rPr>
        <w:t xml:space="preserve"> as the case may be, and the name of the tenderer whose tender has been accepted by the Board shall be made known to all other tenderers;</w:t>
      </w:r>
    </w:p>
    <w:p w:rsidR="00BE414C" w:rsidRDefault="00DF0FCE" w:rsidP="00AA21BF">
      <w:pPr>
        <w:pStyle w:val="NoSpacing"/>
        <w:numPr>
          <w:ilvl w:val="0"/>
          <w:numId w:val="6"/>
        </w:numPr>
        <w:spacing w:line="360" w:lineRule="auto"/>
        <w:jc w:val="both"/>
        <w:rPr>
          <w:rFonts w:ascii="Arial" w:hAnsi="Arial" w:cs="Arial"/>
        </w:rPr>
      </w:pPr>
      <w:r>
        <w:rPr>
          <w:rFonts w:ascii="Arial" w:hAnsi="Arial" w:cs="Arial"/>
        </w:rPr>
        <w:t>o</w:t>
      </w:r>
      <w:r w:rsidR="00BE414C">
        <w:rPr>
          <w:rFonts w:ascii="Arial" w:hAnsi="Arial" w:cs="Arial"/>
        </w:rPr>
        <w:t>n the written request of a tenderer, give reasons for the acceptance or rejection of his or her tender.</w:t>
      </w:r>
    </w:p>
    <w:p w:rsidR="001424A5" w:rsidRDefault="001424A5" w:rsidP="001424A5">
      <w:pPr>
        <w:pStyle w:val="NoSpacing"/>
        <w:spacing w:line="360" w:lineRule="auto"/>
        <w:ind w:left="1440"/>
        <w:jc w:val="both"/>
        <w:rPr>
          <w:rFonts w:ascii="Arial" w:hAnsi="Arial" w:cs="Arial"/>
        </w:rPr>
      </w:pPr>
    </w:p>
    <w:p w:rsidR="00BE414C" w:rsidRDefault="00BE414C" w:rsidP="00AA21BF">
      <w:pPr>
        <w:pStyle w:val="NoSpacing"/>
        <w:numPr>
          <w:ilvl w:val="0"/>
          <w:numId w:val="13"/>
        </w:numPr>
        <w:spacing w:line="360" w:lineRule="auto"/>
        <w:jc w:val="both"/>
        <w:rPr>
          <w:rFonts w:ascii="Arial" w:hAnsi="Arial" w:cs="Arial"/>
        </w:rPr>
      </w:pPr>
      <w:r>
        <w:rPr>
          <w:rFonts w:ascii="Arial" w:hAnsi="Arial" w:cs="Arial"/>
        </w:rPr>
        <w:t>Where in terms of a title of tender−</w:t>
      </w:r>
    </w:p>
    <w:p w:rsidR="00BE414C" w:rsidRDefault="00DF0FCE" w:rsidP="00AA21BF">
      <w:pPr>
        <w:pStyle w:val="NoSpacing"/>
        <w:numPr>
          <w:ilvl w:val="0"/>
          <w:numId w:val="7"/>
        </w:numPr>
        <w:spacing w:line="360" w:lineRule="auto"/>
        <w:jc w:val="both"/>
        <w:rPr>
          <w:rFonts w:ascii="Arial" w:hAnsi="Arial" w:cs="Arial"/>
        </w:rPr>
      </w:pPr>
      <w:r>
        <w:rPr>
          <w:rFonts w:ascii="Arial" w:hAnsi="Arial" w:cs="Arial"/>
        </w:rPr>
        <w:t xml:space="preserve">a </w:t>
      </w:r>
      <w:r w:rsidR="00BE414C">
        <w:rPr>
          <w:rFonts w:ascii="Arial" w:hAnsi="Arial" w:cs="Arial"/>
        </w:rPr>
        <w:t xml:space="preserve">written agreement is required to be concluded after the acceptance of a tender, the Board and the tenderer concerned </w:t>
      </w:r>
      <w:r w:rsidR="00BE414C" w:rsidRPr="00A76CC2">
        <w:rPr>
          <w:rFonts w:ascii="Arial" w:hAnsi="Arial" w:cs="Arial"/>
          <w:i/>
        </w:rPr>
        <w:t>shall</w:t>
      </w:r>
      <w:r w:rsidR="00BE414C">
        <w:rPr>
          <w:rFonts w:ascii="Arial" w:hAnsi="Arial" w:cs="Arial"/>
        </w:rPr>
        <w:t xml:space="preserve">, within 30 days from the </w:t>
      </w:r>
      <w:r w:rsidR="00BE414C">
        <w:rPr>
          <w:rFonts w:ascii="Arial" w:hAnsi="Arial" w:cs="Arial"/>
        </w:rPr>
        <w:lastRenderedPageBreak/>
        <w:t>date on which the tenderer was notified accordingly in terms of subsection (1) (a) or within such extended period as the Board my determine, enter into such an agreement;</w:t>
      </w:r>
    </w:p>
    <w:p w:rsidR="00BE414C" w:rsidRDefault="00BE414C" w:rsidP="00AA21BF">
      <w:pPr>
        <w:pStyle w:val="NoSpacing"/>
        <w:numPr>
          <w:ilvl w:val="0"/>
          <w:numId w:val="7"/>
        </w:numPr>
        <w:spacing w:line="360" w:lineRule="auto"/>
        <w:jc w:val="both"/>
        <w:rPr>
          <w:rFonts w:ascii="Arial" w:hAnsi="Arial" w:cs="Arial"/>
        </w:rPr>
      </w:pPr>
      <w:r>
        <w:rPr>
          <w:rFonts w:ascii="Arial" w:hAnsi="Arial" w:cs="Arial"/>
        </w:rPr>
        <w:t>a written</w:t>
      </w:r>
      <w:r w:rsidR="001424A5">
        <w:rPr>
          <w:rFonts w:ascii="Arial" w:hAnsi="Arial" w:cs="Arial"/>
        </w:rPr>
        <w:t xml:space="preserve"> agreement</w:t>
      </w:r>
      <w:r>
        <w:rPr>
          <w:rFonts w:ascii="Arial" w:hAnsi="Arial" w:cs="Arial"/>
        </w:rPr>
        <w:t xml:space="preserve"> is not required to be so concluded, </w:t>
      </w:r>
      <w:r w:rsidR="00A76CC2">
        <w:rPr>
          <w:rFonts w:ascii="Arial" w:hAnsi="Arial" w:cs="Arial"/>
        </w:rPr>
        <w:t>an agreement shall come into force on the date on which the tenderer concerned is notifi</w:t>
      </w:r>
      <w:r w:rsidR="00993EAB">
        <w:rPr>
          <w:rFonts w:ascii="Arial" w:hAnsi="Arial" w:cs="Arial"/>
        </w:rPr>
        <w:t>ed in terms of subsection (1)(a)</w:t>
      </w:r>
      <w:r w:rsidR="00A76CC2">
        <w:rPr>
          <w:rFonts w:ascii="Arial" w:hAnsi="Arial" w:cs="Arial"/>
        </w:rPr>
        <w:t xml:space="preserve"> of the acceptance of his or her tender.</w:t>
      </w:r>
    </w:p>
    <w:p w:rsidR="001424A5" w:rsidRDefault="001424A5" w:rsidP="001424A5">
      <w:pPr>
        <w:pStyle w:val="NoSpacing"/>
        <w:spacing w:line="360" w:lineRule="auto"/>
        <w:ind w:left="1440"/>
        <w:jc w:val="both"/>
        <w:rPr>
          <w:rFonts w:ascii="Arial" w:hAnsi="Arial" w:cs="Arial"/>
        </w:rPr>
      </w:pPr>
    </w:p>
    <w:p w:rsidR="00A76CC2" w:rsidRDefault="00A76CC2" w:rsidP="00AA21BF">
      <w:pPr>
        <w:pStyle w:val="NoSpacing"/>
        <w:numPr>
          <w:ilvl w:val="0"/>
          <w:numId w:val="13"/>
        </w:numPr>
        <w:spacing w:line="360" w:lineRule="auto"/>
        <w:jc w:val="both"/>
        <w:rPr>
          <w:rFonts w:ascii="Arial" w:hAnsi="Arial" w:cs="Arial"/>
        </w:rPr>
      </w:pPr>
      <w:r>
        <w:rPr>
          <w:rFonts w:ascii="Arial" w:hAnsi="Arial" w:cs="Arial"/>
        </w:rPr>
        <w:t>If, in the circumstances contemplated in subsection (2)(a), the tender</w:t>
      </w:r>
      <w:r w:rsidR="00DF0FCE">
        <w:rPr>
          <w:rFonts w:ascii="Arial" w:hAnsi="Arial" w:cs="Arial"/>
        </w:rPr>
        <w:t>er</w:t>
      </w:r>
      <w:r>
        <w:rPr>
          <w:rFonts w:ascii="Arial" w:hAnsi="Arial" w:cs="Arial"/>
        </w:rPr>
        <w:t xml:space="preserve"> fails to enter into an agreement within the period mentioned in that subsection or, if that period has been extended by the Board, within the extended period, or if the tenderer, when required to do so, fails to furnish the required security for the performance of the agreement, the Board may withdraw its acceptance of the tender in question and−</w:t>
      </w:r>
    </w:p>
    <w:p w:rsidR="00A76CC2" w:rsidRDefault="00A76CC2" w:rsidP="00AA21BF">
      <w:pPr>
        <w:pStyle w:val="NoSpacing"/>
        <w:numPr>
          <w:ilvl w:val="0"/>
          <w:numId w:val="8"/>
        </w:numPr>
        <w:spacing w:line="360" w:lineRule="auto"/>
        <w:jc w:val="both"/>
        <w:rPr>
          <w:rFonts w:ascii="Arial" w:hAnsi="Arial" w:cs="Arial"/>
        </w:rPr>
      </w:pPr>
      <w:r>
        <w:rPr>
          <w:rFonts w:ascii="Arial" w:hAnsi="Arial" w:cs="Arial"/>
        </w:rPr>
        <w:t xml:space="preserve">accept any other tender from among the tenders submitted to it; or </w:t>
      </w:r>
    </w:p>
    <w:p w:rsidR="00EA4983" w:rsidRDefault="00DF0FCE" w:rsidP="00AA21BF">
      <w:pPr>
        <w:pStyle w:val="NoSpacing"/>
        <w:numPr>
          <w:ilvl w:val="0"/>
          <w:numId w:val="8"/>
        </w:numPr>
        <w:spacing w:line="360" w:lineRule="auto"/>
        <w:jc w:val="both"/>
        <w:rPr>
          <w:rFonts w:ascii="Arial" w:hAnsi="Arial" w:cs="Arial"/>
        </w:rPr>
      </w:pPr>
      <w:r>
        <w:rPr>
          <w:rFonts w:ascii="Arial" w:hAnsi="Arial" w:cs="Arial"/>
        </w:rPr>
        <w:t>i</w:t>
      </w:r>
      <w:r w:rsidR="00AA21BF">
        <w:rPr>
          <w:rFonts w:ascii="Arial" w:hAnsi="Arial" w:cs="Arial"/>
        </w:rPr>
        <w:t>nvite tenders afresh.’</w:t>
      </w:r>
    </w:p>
    <w:p w:rsidR="00A76CC2" w:rsidRPr="00BE414C" w:rsidRDefault="00A76CC2" w:rsidP="00397569">
      <w:pPr>
        <w:pStyle w:val="NoSpacing"/>
        <w:spacing w:line="480" w:lineRule="auto"/>
        <w:ind w:left="360" w:firstLine="720"/>
        <w:jc w:val="both"/>
        <w:rPr>
          <w:rFonts w:ascii="Arial" w:hAnsi="Arial" w:cs="Arial"/>
        </w:rPr>
      </w:pPr>
      <w:r>
        <w:rPr>
          <w:rFonts w:ascii="Arial" w:hAnsi="Arial" w:cs="Arial"/>
        </w:rPr>
        <w:t>(Emphasis added.)</w:t>
      </w:r>
    </w:p>
    <w:p w:rsidR="0038248D" w:rsidRDefault="0038248D" w:rsidP="00721FB6">
      <w:pPr>
        <w:pStyle w:val="NoSpacing"/>
        <w:spacing w:line="480" w:lineRule="auto"/>
        <w:jc w:val="both"/>
        <w:rPr>
          <w:rFonts w:ascii="Arial" w:hAnsi="Arial" w:cs="Arial"/>
          <w:sz w:val="24"/>
          <w:szCs w:val="24"/>
        </w:rPr>
      </w:pPr>
    </w:p>
    <w:p w:rsidR="0071383D" w:rsidRPr="0038248D" w:rsidRDefault="00DE5414" w:rsidP="00721FB6">
      <w:pPr>
        <w:pStyle w:val="NoSpacing"/>
        <w:spacing w:line="480" w:lineRule="auto"/>
        <w:jc w:val="both"/>
        <w:rPr>
          <w:rFonts w:ascii="Arial" w:hAnsi="Arial" w:cs="Arial"/>
          <w:sz w:val="24"/>
          <w:szCs w:val="24"/>
          <w:u w:val="single"/>
        </w:rPr>
      </w:pPr>
      <w:r w:rsidRPr="0038248D">
        <w:rPr>
          <w:rFonts w:ascii="Arial" w:hAnsi="Arial" w:cs="Arial"/>
          <w:sz w:val="24"/>
          <w:szCs w:val="24"/>
          <w:u w:val="single"/>
        </w:rPr>
        <w:t>B</w:t>
      </w:r>
      <w:r w:rsidR="00721FB6" w:rsidRPr="0038248D">
        <w:rPr>
          <w:rFonts w:ascii="Arial" w:hAnsi="Arial" w:cs="Arial"/>
          <w:sz w:val="24"/>
          <w:szCs w:val="24"/>
          <w:u w:val="single"/>
        </w:rPr>
        <w:t>ackground</w:t>
      </w:r>
    </w:p>
    <w:p w:rsidR="009E261A" w:rsidRDefault="00E53201" w:rsidP="00E53201">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C5D81">
        <w:rPr>
          <w:rFonts w:ascii="Arial" w:hAnsi="Arial" w:cs="Arial"/>
          <w:sz w:val="24"/>
          <w:szCs w:val="24"/>
        </w:rPr>
        <w:t>During March 2014 t</w:t>
      </w:r>
      <w:r w:rsidR="00721FB6">
        <w:rPr>
          <w:rFonts w:ascii="Arial" w:hAnsi="Arial" w:cs="Arial"/>
          <w:sz w:val="24"/>
          <w:szCs w:val="24"/>
        </w:rPr>
        <w:t xml:space="preserve">he </w:t>
      </w:r>
      <w:r w:rsidR="00A8397D">
        <w:rPr>
          <w:rFonts w:ascii="Arial" w:hAnsi="Arial" w:cs="Arial"/>
          <w:sz w:val="24"/>
          <w:szCs w:val="24"/>
        </w:rPr>
        <w:t xml:space="preserve">first </w:t>
      </w:r>
      <w:r w:rsidR="00857251">
        <w:rPr>
          <w:rFonts w:ascii="Arial" w:hAnsi="Arial" w:cs="Arial"/>
          <w:sz w:val="24"/>
          <w:szCs w:val="24"/>
        </w:rPr>
        <w:t>respondent, the Board,</w:t>
      </w:r>
      <w:r w:rsidR="00BA6F6B">
        <w:rPr>
          <w:rFonts w:ascii="Arial" w:hAnsi="Arial" w:cs="Arial"/>
          <w:sz w:val="24"/>
          <w:szCs w:val="24"/>
        </w:rPr>
        <w:t xml:space="preserve"> </w:t>
      </w:r>
      <w:r w:rsidR="002C1480">
        <w:rPr>
          <w:rFonts w:ascii="Arial" w:hAnsi="Arial" w:cs="Arial"/>
          <w:sz w:val="24"/>
          <w:szCs w:val="24"/>
        </w:rPr>
        <w:t>advertised a t</w:t>
      </w:r>
      <w:r w:rsidR="00721FB6">
        <w:rPr>
          <w:rFonts w:ascii="Arial" w:hAnsi="Arial" w:cs="Arial"/>
          <w:sz w:val="24"/>
          <w:szCs w:val="24"/>
        </w:rPr>
        <w:t>ender for the provision of catering services to Government</w:t>
      </w:r>
      <w:r w:rsidR="00E0013B">
        <w:rPr>
          <w:rFonts w:ascii="Arial" w:hAnsi="Arial" w:cs="Arial"/>
          <w:sz w:val="24"/>
          <w:szCs w:val="24"/>
        </w:rPr>
        <w:t xml:space="preserve"> school</w:t>
      </w:r>
      <w:r w:rsidR="00721FB6">
        <w:rPr>
          <w:rFonts w:ascii="Arial" w:hAnsi="Arial" w:cs="Arial"/>
          <w:sz w:val="24"/>
          <w:szCs w:val="24"/>
        </w:rPr>
        <w:t xml:space="preserve"> hostels</w:t>
      </w:r>
      <w:r w:rsidR="00E0013B">
        <w:rPr>
          <w:rFonts w:ascii="Arial" w:hAnsi="Arial" w:cs="Arial"/>
          <w:sz w:val="24"/>
          <w:szCs w:val="24"/>
        </w:rPr>
        <w:t xml:space="preserve"> in each of the seven regions </w:t>
      </w:r>
      <w:r w:rsidR="00397569">
        <w:rPr>
          <w:rFonts w:ascii="Arial" w:hAnsi="Arial" w:cs="Arial"/>
          <w:sz w:val="24"/>
          <w:szCs w:val="24"/>
        </w:rPr>
        <w:t>of</w:t>
      </w:r>
      <w:r w:rsidR="00E0013B">
        <w:rPr>
          <w:rFonts w:ascii="Arial" w:hAnsi="Arial" w:cs="Arial"/>
          <w:sz w:val="24"/>
          <w:szCs w:val="24"/>
        </w:rPr>
        <w:t xml:space="preserve"> Namibia</w:t>
      </w:r>
      <w:r w:rsidR="00721FB6">
        <w:rPr>
          <w:rFonts w:ascii="Arial" w:hAnsi="Arial" w:cs="Arial"/>
          <w:sz w:val="24"/>
          <w:szCs w:val="24"/>
        </w:rPr>
        <w:t xml:space="preserve"> for the </w:t>
      </w:r>
      <w:r w:rsidR="00554762">
        <w:rPr>
          <w:rFonts w:ascii="Arial" w:hAnsi="Arial" w:cs="Arial"/>
          <w:sz w:val="24"/>
          <w:szCs w:val="24"/>
        </w:rPr>
        <w:t>duration</w:t>
      </w:r>
      <w:r w:rsidR="00B76C20">
        <w:rPr>
          <w:rFonts w:ascii="Arial" w:hAnsi="Arial" w:cs="Arial"/>
          <w:sz w:val="24"/>
          <w:szCs w:val="24"/>
        </w:rPr>
        <w:t xml:space="preserve"> </w:t>
      </w:r>
      <w:r w:rsidR="00DB2C21">
        <w:rPr>
          <w:rFonts w:ascii="Arial" w:hAnsi="Arial" w:cs="Arial"/>
          <w:sz w:val="24"/>
          <w:szCs w:val="24"/>
        </w:rPr>
        <w:t xml:space="preserve">commencing </w:t>
      </w:r>
      <w:r w:rsidR="00B76C20">
        <w:rPr>
          <w:rFonts w:ascii="Arial" w:hAnsi="Arial" w:cs="Arial"/>
          <w:sz w:val="24"/>
          <w:szCs w:val="24"/>
        </w:rPr>
        <w:t xml:space="preserve">on </w:t>
      </w:r>
      <w:r w:rsidR="00ED272E">
        <w:rPr>
          <w:rFonts w:ascii="Arial" w:hAnsi="Arial" w:cs="Arial"/>
          <w:sz w:val="24"/>
          <w:szCs w:val="24"/>
        </w:rPr>
        <w:t xml:space="preserve">1 </w:t>
      </w:r>
      <w:r w:rsidR="00721FB6">
        <w:rPr>
          <w:rFonts w:ascii="Arial" w:hAnsi="Arial" w:cs="Arial"/>
          <w:sz w:val="24"/>
          <w:szCs w:val="24"/>
        </w:rPr>
        <w:t>June 2014 to 31</w:t>
      </w:r>
      <w:r w:rsidR="00B76C20">
        <w:rPr>
          <w:rFonts w:ascii="Arial" w:hAnsi="Arial" w:cs="Arial"/>
          <w:sz w:val="24"/>
          <w:szCs w:val="24"/>
        </w:rPr>
        <w:t xml:space="preserve"> </w:t>
      </w:r>
      <w:r w:rsidR="00721FB6">
        <w:rPr>
          <w:rFonts w:ascii="Arial" w:hAnsi="Arial" w:cs="Arial"/>
          <w:sz w:val="24"/>
          <w:szCs w:val="24"/>
        </w:rPr>
        <w:t xml:space="preserve">May 2019. </w:t>
      </w:r>
      <w:r w:rsidR="00ED272E">
        <w:rPr>
          <w:rFonts w:ascii="Arial" w:hAnsi="Arial" w:cs="Arial"/>
          <w:sz w:val="24"/>
          <w:szCs w:val="24"/>
        </w:rPr>
        <w:t xml:space="preserve"> </w:t>
      </w:r>
      <w:r w:rsidR="00721FB6">
        <w:rPr>
          <w:rFonts w:ascii="Arial" w:hAnsi="Arial" w:cs="Arial"/>
          <w:sz w:val="24"/>
          <w:szCs w:val="24"/>
        </w:rPr>
        <w:t xml:space="preserve">In response to the advertisement, the appellants </w:t>
      </w:r>
      <w:r w:rsidR="00DB2C21">
        <w:rPr>
          <w:rFonts w:ascii="Arial" w:hAnsi="Arial" w:cs="Arial"/>
          <w:sz w:val="24"/>
          <w:szCs w:val="24"/>
        </w:rPr>
        <w:t xml:space="preserve">and other </w:t>
      </w:r>
      <w:r w:rsidR="00397569">
        <w:rPr>
          <w:rFonts w:ascii="Arial" w:hAnsi="Arial" w:cs="Arial"/>
          <w:sz w:val="24"/>
          <w:szCs w:val="24"/>
        </w:rPr>
        <w:t>bidders</w:t>
      </w:r>
      <w:r w:rsidR="00DB2C21">
        <w:rPr>
          <w:rFonts w:ascii="Arial" w:hAnsi="Arial" w:cs="Arial"/>
          <w:sz w:val="24"/>
          <w:szCs w:val="24"/>
        </w:rPr>
        <w:t xml:space="preserve"> </w:t>
      </w:r>
      <w:r w:rsidR="00721FB6">
        <w:rPr>
          <w:rFonts w:ascii="Arial" w:hAnsi="Arial" w:cs="Arial"/>
          <w:sz w:val="24"/>
          <w:szCs w:val="24"/>
        </w:rPr>
        <w:t>submitted their proposals</w:t>
      </w:r>
      <w:r w:rsidR="00E0013B">
        <w:rPr>
          <w:rFonts w:ascii="Arial" w:hAnsi="Arial" w:cs="Arial"/>
          <w:sz w:val="24"/>
          <w:szCs w:val="24"/>
        </w:rPr>
        <w:t xml:space="preserve"> </w:t>
      </w:r>
      <w:r w:rsidR="00397569">
        <w:rPr>
          <w:rFonts w:ascii="Arial" w:hAnsi="Arial" w:cs="Arial"/>
          <w:sz w:val="24"/>
          <w:szCs w:val="24"/>
        </w:rPr>
        <w:t>on/before t</w:t>
      </w:r>
      <w:r w:rsidR="00B76C20">
        <w:rPr>
          <w:rFonts w:ascii="Arial" w:hAnsi="Arial" w:cs="Arial"/>
          <w:sz w:val="24"/>
          <w:szCs w:val="24"/>
        </w:rPr>
        <w:t>he</w:t>
      </w:r>
      <w:r w:rsidR="0071383D">
        <w:rPr>
          <w:rFonts w:ascii="Arial" w:hAnsi="Arial" w:cs="Arial"/>
          <w:sz w:val="24"/>
          <w:szCs w:val="24"/>
        </w:rPr>
        <w:t xml:space="preserve"> closing date, </w:t>
      </w:r>
      <w:r w:rsidR="00397569">
        <w:rPr>
          <w:rFonts w:ascii="Arial" w:hAnsi="Arial" w:cs="Arial"/>
          <w:sz w:val="24"/>
          <w:szCs w:val="24"/>
        </w:rPr>
        <w:t>1</w:t>
      </w:r>
      <w:r w:rsidR="00E0013B">
        <w:rPr>
          <w:rFonts w:ascii="Arial" w:hAnsi="Arial" w:cs="Arial"/>
          <w:sz w:val="24"/>
          <w:szCs w:val="24"/>
        </w:rPr>
        <w:t xml:space="preserve"> April 2014</w:t>
      </w:r>
      <w:r w:rsidR="00BA6F6B">
        <w:rPr>
          <w:rFonts w:ascii="Arial" w:hAnsi="Arial" w:cs="Arial"/>
          <w:sz w:val="24"/>
          <w:szCs w:val="24"/>
        </w:rPr>
        <w:t xml:space="preserve">, which </w:t>
      </w:r>
      <w:r w:rsidR="00397569">
        <w:rPr>
          <w:rFonts w:ascii="Arial" w:hAnsi="Arial" w:cs="Arial"/>
          <w:sz w:val="24"/>
          <w:szCs w:val="24"/>
        </w:rPr>
        <w:t xml:space="preserve">proposals </w:t>
      </w:r>
      <w:r w:rsidR="00BA6F6B">
        <w:rPr>
          <w:rFonts w:ascii="Arial" w:hAnsi="Arial" w:cs="Arial"/>
          <w:sz w:val="24"/>
          <w:szCs w:val="24"/>
        </w:rPr>
        <w:t xml:space="preserve">were, seemingly, </w:t>
      </w:r>
      <w:r w:rsidR="00BF52DC">
        <w:rPr>
          <w:rFonts w:ascii="Arial" w:hAnsi="Arial" w:cs="Arial"/>
          <w:sz w:val="24"/>
          <w:szCs w:val="24"/>
        </w:rPr>
        <w:t>in compliance with all</w:t>
      </w:r>
      <w:r w:rsidR="0071383D">
        <w:rPr>
          <w:rFonts w:ascii="Arial" w:hAnsi="Arial" w:cs="Arial"/>
          <w:sz w:val="24"/>
          <w:szCs w:val="24"/>
        </w:rPr>
        <w:t xml:space="preserve"> </w:t>
      </w:r>
      <w:r w:rsidR="00BF52DC">
        <w:rPr>
          <w:rFonts w:ascii="Arial" w:hAnsi="Arial" w:cs="Arial"/>
          <w:sz w:val="24"/>
          <w:szCs w:val="24"/>
        </w:rPr>
        <w:t>the</w:t>
      </w:r>
      <w:r w:rsidR="00F75F08">
        <w:rPr>
          <w:rFonts w:ascii="Arial" w:hAnsi="Arial" w:cs="Arial"/>
          <w:sz w:val="24"/>
          <w:szCs w:val="24"/>
        </w:rPr>
        <w:t xml:space="preserve"> requirements</w:t>
      </w:r>
      <w:r w:rsidR="00BF52DC">
        <w:rPr>
          <w:rFonts w:ascii="Arial" w:hAnsi="Arial" w:cs="Arial"/>
          <w:sz w:val="24"/>
          <w:szCs w:val="24"/>
        </w:rPr>
        <w:t xml:space="preserve">. </w:t>
      </w:r>
      <w:r w:rsidR="0071383D">
        <w:rPr>
          <w:rFonts w:ascii="Arial" w:hAnsi="Arial" w:cs="Arial"/>
          <w:sz w:val="24"/>
          <w:szCs w:val="24"/>
        </w:rPr>
        <w:t>A total of 88 interested parties submitted their tenders.</w:t>
      </w:r>
    </w:p>
    <w:p w:rsidR="0071383D" w:rsidRDefault="0071383D" w:rsidP="0071383D">
      <w:pPr>
        <w:pStyle w:val="NoSpacing"/>
        <w:spacing w:line="480" w:lineRule="auto"/>
        <w:jc w:val="both"/>
        <w:rPr>
          <w:rFonts w:ascii="Arial" w:hAnsi="Arial" w:cs="Arial"/>
          <w:sz w:val="24"/>
          <w:szCs w:val="24"/>
        </w:rPr>
      </w:pPr>
    </w:p>
    <w:p w:rsidR="0071383D" w:rsidRDefault="00E53201" w:rsidP="00E53201">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1383D">
        <w:rPr>
          <w:rFonts w:ascii="Arial" w:hAnsi="Arial" w:cs="Arial"/>
          <w:sz w:val="24"/>
          <w:szCs w:val="24"/>
        </w:rPr>
        <w:t xml:space="preserve">The first </w:t>
      </w:r>
      <w:r w:rsidR="00B820F5">
        <w:rPr>
          <w:rFonts w:ascii="Arial" w:hAnsi="Arial" w:cs="Arial"/>
          <w:sz w:val="24"/>
          <w:szCs w:val="24"/>
        </w:rPr>
        <w:t>tender process under the Evaluation C</w:t>
      </w:r>
      <w:r w:rsidR="0023309F">
        <w:rPr>
          <w:rFonts w:ascii="Arial" w:hAnsi="Arial" w:cs="Arial"/>
          <w:sz w:val="24"/>
          <w:szCs w:val="24"/>
        </w:rPr>
        <w:t>ommittee</w:t>
      </w:r>
      <w:r w:rsidR="00AA5FFA">
        <w:rPr>
          <w:rFonts w:ascii="Arial" w:hAnsi="Arial" w:cs="Arial"/>
          <w:sz w:val="24"/>
          <w:szCs w:val="24"/>
        </w:rPr>
        <w:t xml:space="preserve"> (Committee)</w:t>
      </w:r>
      <w:r w:rsidR="004168C2">
        <w:rPr>
          <w:rFonts w:ascii="Arial" w:hAnsi="Arial" w:cs="Arial"/>
          <w:sz w:val="24"/>
          <w:szCs w:val="24"/>
        </w:rPr>
        <w:t xml:space="preserve"> was completed. </w:t>
      </w:r>
      <w:r w:rsidR="0023309F">
        <w:rPr>
          <w:rFonts w:ascii="Arial" w:hAnsi="Arial" w:cs="Arial"/>
          <w:sz w:val="24"/>
          <w:szCs w:val="24"/>
        </w:rPr>
        <w:t>O</w:t>
      </w:r>
      <w:r w:rsidR="0071383D">
        <w:rPr>
          <w:rFonts w:ascii="Arial" w:hAnsi="Arial" w:cs="Arial"/>
          <w:sz w:val="24"/>
          <w:szCs w:val="24"/>
        </w:rPr>
        <w:t xml:space="preserve">n 15 July </w:t>
      </w:r>
      <w:r w:rsidR="00AA5FFA">
        <w:rPr>
          <w:rFonts w:ascii="Arial" w:hAnsi="Arial" w:cs="Arial"/>
          <w:sz w:val="24"/>
          <w:szCs w:val="24"/>
        </w:rPr>
        <w:t>2014, the C</w:t>
      </w:r>
      <w:r w:rsidR="0071383D">
        <w:rPr>
          <w:rFonts w:ascii="Arial" w:hAnsi="Arial" w:cs="Arial"/>
          <w:sz w:val="24"/>
          <w:szCs w:val="24"/>
        </w:rPr>
        <w:t>ommittee made a written rec</w:t>
      </w:r>
      <w:r w:rsidR="007059E0">
        <w:rPr>
          <w:rFonts w:ascii="Arial" w:hAnsi="Arial" w:cs="Arial"/>
          <w:sz w:val="24"/>
          <w:szCs w:val="24"/>
        </w:rPr>
        <w:t xml:space="preserve">ommendation to </w:t>
      </w:r>
      <w:r w:rsidR="007059E0">
        <w:rPr>
          <w:rFonts w:ascii="Arial" w:hAnsi="Arial" w:cs="Arial"/>
          <w:sz w:val="24"/>
          <w:szCs w:val="24"/>
        </w:rPr>
        <w:lastRenderedPageBreak/>
        <w:t>award the tender</w:t>
      </w:r>
      <w:r w:rsidR="0071383D">
        <w:rPr>
          <w:rFonts w:ascii="Arial" w:hAnsi="Arial" w:cs="Arial"/>
          <w:sz w:val="24"/>
          <w:szCs w:val="24"/>
        </w:rPr>
        <w:t xml:space="preserve"> to</w:t>
      </w:r>
      <w:r w:rsidR="007059E0">
        <w:rPr>
          <w:rFonts w:ascii="Arial" w:hAnsi="Arial" w:cs="Arial"/>
          <w:sz w:val="24"/>
          <w:szCs w:val="24"/>
        </w:rPr>
        <w:t xml:space="preserve"> </w:t>
      </w:r>
      <w:r w:rsidR="0071383D">
        <w:rPr>
          <w:rFonts w:ascii="Arial" w:hAnsi="Arial" w:cs="Arial"/>
          <w:sz w:val="24"/>
          <w:szCs w:val="24"/>
        </w:rPr>
        <w:t>various successful tenderers</w:t>
      </w:r>
      <w:r w:rsidR="00AA5FFA">
        <w:rPr>
          <w:rFonts w:ascii="Arial" w:hAnsi="Arial" w:cs="Arial"/>
          <w:sz w:val="24"/>
          <w:szCs w:val="24"/>
        </w:rPr>
        <w:t>, including the appellants</w:t>
      </w:r>
      <w:r w:rsidR="0071383D">
        <w:rPr>
          <w:rFonts w:ascii="Arial" w:hAnsi="Arial" w:cs="Arial"/>
          <w:sz w:val="24"/>
          <w:szCs w:val="24"/>
        </w:rPr>
        <w:t>.</w:t>
      </w:r>
      <w:r w:rsidR="0023309F">
        <w:rPr>
          <w:rFonts w:ascii="Arial" w:hAnsi="Arial" w:cs="Arial"/>
          <w:sz w:val="24"/>
          <w:szCs w:val="24"/>
        </w:rPr>
        <w:t xml:space="preserve"> </w:t>
      </w:r>
      <w:r w:rsidR="00AA5FFA">
        <w:rPr>
          <w:rFonts w:ascii="Arial" w:hAnsi="Arial" w:cs="Arial"/>
          <w:sz w:val="24"/>
          <w:szCs w:val="24"/>
        </w:rPr>
        <w:t xml:space="preserve">This </w:t>
      </w:r>
      <w:r w:rsidR="00114FBE">
        <w:rPr>
          <w:rFonts w:ascii="Arial" w:hAnsi="Arial" w:cs="Arial"/>
          <w:sz w:val="24"/>
          <w:szCs w:val="24"/>
        </w:rPr>
        <w:t>recommendation was</w:t>
      </w:r>
      <w:r w:rsidR="00AA5FFA">
        <w:rPr>
          <w:rFonts w:ascii="Arial" w:hAnsi="Arial" w:cs="Arial"/>
          <w:sz w:val="24"/>
          <w:szCs w:val="24"/>
        </w:rPr>
        <w:t xml:space="preserve">, however, </w:t>
      </w:r>
      <w:r w:rsidR="00114FBE">
        <w:rPr>
          <w:rFonts w:ascii="Arial" w:hAnsi="Arial" w:cs="Arial"/>
          <w:sz w:val="24"/>
          <w:szCs w:val="24"/>
        </w:rPr>
        <w:t>sent ba</w:t>
      </w:r>
      <w:r w:rsidR="00AA5FFA">
        <w:rPr>
          <w:rFonts w:ascii="Arial" w:hAnsi="Arial" w:cs="Arial"/>
          <w:sz w:val="24"/>
          <w:szCs w:val="24"/>
        </w:rPr>
        <w:t>ck to the C</w:t>
      </w:r>
      <w:r w:rsidR="00B820F5">
        <w:rPr>
          <w:rFonts w:ascii="Arial" w:hAnsi="Arial" w:cs="Arial"/>
          <w:sz w:val="24"/>
          <w:szCs w:val="24"/>
        </w:rPr>
        <w:t>ommittee as there were</w:t>
      </w:r>
      <w:r w:rsidR="00114FBE">
        <w:rPr>
          <w:rFonts w:ascii="Arial" w:hAnsi="Arial" w:cs="Arial"/>
          <w:sz w:val="24"/>
          <w:szCs w:val="24"/>
        </w:rPr>
        <w:t xml:space="preserve"> various issues </w:t>
      </w:r>
      <w:r w:rsidR="004D7B30">
        <w:rPr>
          <w:rFonts w:ascii="Arial" w:hAnsi="Arial" w:cs="Arial"/>
          <w:sz w:val="24"/>
          <w:szCs w:val="24"/>
        </w:rPr>
        <w:t xml:space="preserve">impacting the tender process </w:t>
      </w:r>
      <w:r w:rsidR="00114FBE">
        <w:rPr>
          <w:rFonts w:ascii="Arial" w:hAnsi="Arial" w:cs="Arial"/>
          <w:sz w:val="24"/>
          <w:szCs w:val="24"/>
        </w:rPr>
        <w:t>which needed to be clarified</w:t>
      </w:r>
      <w:r w:rsidR="00B820F5">
        <w:rPr>
          <w:rFonts w:ascii="Arial" w:hAnsi="Arial" w:cs="Arial"/>
          <w:sz w:val="24"/>
          <w:szCs w:val="24"/>
        </w:rPr>
        <w:t xml:space="preserve"> including </w:t>
      </w:r>
      <w:r w:rsidR="004D7B30">
        <w:rPr>
          <w:rFonts w:ascii="Arial" w:hAnsi="Arial" w:cs="Arial"/>
          <w:sz w:val="24"/>
          <w:szCs w:val="24"/>
        </w:rPr>
        <w:t>question</w:t>
      </w:r>
      <w:r w:rsidR="00397569">
        <w:rPr>
          <w:rFonts w:ascii="Arial" w:hAnsi="Arial" w:cs="Arial"/>
          <w:sz w:val="24"/>
          <w:szCs w:val="24"/>
        </w:rPr>
        <w:t xml:space="preserve">s </w:t>
      </w:r>
      <w:r w:rsidR="004D7B30">
        <w:rPr>
          <w:rFonts w:ascii="Arial" w:hAnsi="Arial" w:cs="Arial"/>
          <w:sz w:val="24"/>
          <w:szCs w:val="24"/>
        </w:rPr>
        <w:t>concerning</w:t>
      </w:r>
      <w:r w:rsidR="00397569">
        <w:rPr>
          <w:rFonts w:ascii="Arial" w:hAnsi="Arial" w:cs="Arial"/>
          <w:sz w:val="24"/>
          <w:szCs w:val="24"/>
        </w:rPr>
        <w:t xml:space="preserve"> the bidders’ </w:t>
      </w:r>
      <w:r w:rsidR="00B820F5">
        <w:rPr>
          <w:rFonts w:ascii="Arial" w:hAnsi="Arial" w:cs="Arial"/>
          <w:sz w:val="24"/>
          <w:szCs w:val="24"/>
        </w:rPr>
        <w:t>warehouses</w:t>
      </w:r>
      <w:r w:rsidR="00114FBE">
        <w:rPr>
          <w:rFonts w:ascii="Arial" w:hAnsi="Arial" w:cs="Arial"/>
          <w:sz w:val="24"/>
          <w:szCs w:val="24"/>
        </w:rPr>
        <w:t xml:space="preserve">. </w:t>
      </w:r>
      <w:r w:rsidR="00BA6F6B">
        <w:rPr>
          <w:rFonts w:ascii="Arial" w:hAnsi="Arial" w:cs="Arial"/>
          <w:sz w:val="24"/>
          <w:szCs w:val="24"/>
        </w:rPr>
        <w:t>During September 2014 officials from the Ministry of E</w:t>
      </w:r>
      <w:r w:rsidR="0017675F">
        <w:rPr>
          <w:rFonts w:ascii="Arial" w:hAnsi="Arial" w:cs="Arial"/>
          <w:sz w:val="24"/>
          <w:szCs w:val="24"/>
        </w:rPr>
        <w:t xml:space="preserve">ducation </w:t>
      </w:r>
      <w:r w:rsidR="007059E0">
        <w:rPr>
          <w:rFonts w:ascii="Arial" w:hAnsi="Arial" w:cs="Arial"/>
          <w:sz w:val="24"/>
          <w:szCs w:val="24"/>
        </w:rPr>
        <w:t xml:space="preserve">(the Ministry) </w:t>
      </w:r>
      <w:r w:rsidR="0017675F">
        <w:rPr>
          <w:rFonts w:ascii="Arial" w:hAnsi="Arial" w:cs="Arial"/>
          <w:sz w:val="24"/>
          <w:szCs w:val="24"/>
        </w:rPr>
        <w:t>conducted site visits at</w:t>
      </w:r>
      <w:r w:rsidR="00C310DD">
        <w:rPr>
          <w:rFonts w:ascii="Arial" w:hAnsi="Arial" w:cs="Arial"/>
          <w:sz w:val="24"/>
          <w:szCs w:val="24"/>
        </w:rPr>
        <w:t xml:space="preserve"> the appellants’ sites.</w:t>
      </w:r>
      <w:r w:rsidR="006F25EE">
        <w:rPr>
          <w:rFonts w:ascii="Arial" w:hAnsi="Arial" w:cs="Arial"/>
          <w:sz w:val="24"/>
          <w:szCs w:val="24"/>
        </w:rPr>
        <w:t xml:space="preserve"> </w:t>
      </w:r>
      <w:r w:rsidR="00BA6F6B">
        <w:rPr>
          <w:rFonts w:ascii="Arial" w:hAnsi="Arial" w:cs="Arial"/>
          <w:sz w:val="24"/>
          <w:szCs w:val="24"/>
        </w:rPr>
        <w:t>Th</w:t>
      </w:r>
      <w:r w:rsidR="0017675F">
        <w:rPr>
          <w:rFonts w:ascii="Arial" w:hAnsi="Arial" w:cs="Arial"/>
          <w:sz w:val="24"/>
          <w:szCs w:val="24"/>
        </w:rPr>
        <w:t>e appellants state</w:t>
      </w:r>
      <w:r w:rsidR="007059E0">
        <w:rPr>
          <w:rFonts w:ascii="Arial" w:hAnsi="Arial" w:cs="Arial"/>
          <w:sz w:val="24"/>
          <w:szCs w:val="24"/>
        </w:rPr>
        <w:t>d</w:t>
      </w:r>
      <w:r w:rsidR="0017675F">
        <w:rPr>
          <w:rFonts w:ascii="Arial" w:hAnsi="Arial" w:cs="Arial"/>
          <w:sz w:val="24"/>
          <w:szCs w:val="24"/>
        </w:rPr>
        <w:t xml:space="preserve"> that </w:t>
      </w:r>
      <w:r w:rsidR="004B1486">
        <w:rPr>
          <w:rFonts w:ascii="Arial" w:hAnsi="Arial" w:cs="Arial"/>
          <w:sz w:val="24"/>
          <w:szCs w:val="24"/>
        </w:rPr>
        <w:t xml:space="preserve">the </w:t>
      </w:r>
      <w:r w:rsidR="00BA6F6B">
        <w:rPr>
          <w:rFonts w:ascii="Arial" w:hAnsi="Arial" w:cs="Arial"/>
          <w:sz w:val="24"/>
          <w:szCs w:val="24"/>
        </w:rPr>
        <w:t>visit</w:t>
      </w:r>
      <w:r w:rsidR="0017675F">
        <w:rPr>
          <w:rFonts w:ascii="Arial" w:hAnsi="Arial" w:cs="Arial"/>
          <w:sz w:val="24"/>
          <w:szCs w:val="24"/>
        </w:rPr>
        <w:t>s</w:t>
      </w:r>
      <w:r w:rsidR="00BA6F6B">
        <w:rPr>
          <w:rFonts w:ascii="Arial" w:hAnsi="Arial" w:cs="Arial"/>
          <w:sz w:val="24"/>
          <w:szCs w:val="24"/>
        </w:rPr>
        <w:t xml:space="preserve"> </w:t>
      </w:r>
      <w:r w:rsidR="0017675F">
        <w:rPr>
          <w:rFonts w:ascii="Arial" w:hAnsi="Arial" w:cs="Arial"/>
          <w:sz w:val="24"/>
          <w:szCs w:val="24"/>
        </w:rPr>
        <w:t xml:space="preserve">made them </w:t>
      </w:r>
      <w:r w:rsidR="00BA6F6B">
        <w:rPr>
          <w:rFonts w:ascii="Arial" w:hAnsi="Arial" w:cs="Arial"/>
          <w:sz w:val="24"/>
          <w:szCs w:val="24"/>
        </w:rPr>
        <w:t>optimistic that there were prospects of success on being one of the successful</w:t>
      </w:r>
      <w:r w:rsidR="004B1486">
        <w:rPr>
          <w:rFonts w:ascii="Arial" w:hAnsi="Arial" w:cs="Arial"/>
          <w:sz w:val="24"/>
          <w:szCs w:val="24"/>
        </w:rPr>
        <w:t xml:space="preserve"> bidders</w:t>
      </w:r>
      <w:r w:rsidR="00BA6F6B">
        <w:rPr>
          <w:rFonts w:ascii="Arial" w:hAnsi="Arial" w:cs="Arial"/>
          <w:sz w:val="24"/>
          <w:szCs w:val="24"/>
        </w:rPr>
        <w:t>.</w:t>
      </w:r>
    </w:p>
    <w:p w:rsidR="009E261A" w:rsidRDefault="009E261A" w:rsidP="00E53201">
      <w:pPr>
        <w:pStyle w:val="NoSpacing"/>
        <w:spacing w:line="480" w:lineRule="auto"/>
        <w:jc w:val="both"/>
        <w:rPr>
          <w:rFonts w:ascii="Arial" w:hAnsi="Arial" w:cs="Arial"/>
          <w:sz w:val="24"/>
          <w:szCs w:val="24"/>
        </w:rPr>
      </w:pPr>
    </w:p>
    <w:p w:rsidR="0071383D" w:rsidRPr="004D7B30" w:rsidRDefault="00114FBE" w:rsidP="004D7B30">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During one of </w:t>
      </w:r>
      <w:r w:rsidR="00BA6F6B">
        <w:rPr>
          <w:rFonts w:ascii="Arial" w:hAnsi="Arial" w:cs="Arial"/>
          <w:sz w:val="24"/>
          <w:szCs w:val="24"/>
        </w:rPr>
        <w:t xml:space="preserve">its </w:t>
      </w:r>
      <w:r>
        <w:rPr>
          <w:rFonts w:ascii="Arial" w:hAnsi="Arial" w:cs="Arial"/>
          <w:sz w:val="24"/>
          <w:szCs w:val="24"/>
        </w:rPr>
        <w:t>meetings, held o</w:t>
      </w:r>
      <w:r w:rsidR="007059E0">
        <w:rPr>
          <w:rFonts w:ascii="Arial" w:hAnsi="Arial" w:cs="Arial"/>
          <w:sz w:val="24"/>
          <w:szCs w:val="24"/>
        </w:rPr>
        <w:t>n 2 October 2014, the Board</w:t>
      </w:r>
      <w:r w:rsidR="00A420B2" w:rsidRPr="00AE515F">
        <w:rPr>
          <w:rFonts w:ascii="Arial" w:hAnsi="Arial" w:cs="Arial"/>
          <w:sz w:val="24"/>
          <w:szCs w:val="24"/>
        </w:rPr>
        <w:t xml:space="preserve"> award</w:t>
      </w:r>
      <w:r w:rsidR="00BA6F6B" w:rsidRPr="00AE515F">
        <w:rPr>
          <w:rFonts w:ascii="Arial" w:hAnsi="Arial" w:cs="Arial"/>
          <w:sz w:val="24"/>
          <w:szCs w:val="24"/>
        </w:rPr>
        <w:t>ed</w:t>
      </w:r>
      <w:r w:rsidR="00A420B2" w:rsidRPr="00AE515F">
        <w:rPr>
          <w:rFonts w:ascii="Arial" w:hAnsi="Arial" w:cs="Arial"/>
          <w:sz w:val="24"/>
          <w:szCs w:val="24"/>
        </w:rPr>
        <w:t xml:space="preserve"> the tender for the Khomas Region to the first a</w:t>
      </w:r>
      <w:r w:rsidR="0023309F" w:rsidRPr="00AE515F">
        <w:rPr>
          <w:rFonts w:ascii="Arial" w:hAnsi="Arial" w:cs="Arial"/>
          <w:sz w:val="24"/>
          <w:szCs w:val="24"/>
        </w:rPr>
        <w:t xml:space="preserve">ppellant </w:t>
      </w:r>
      <w:r w:rsidR="007059E0">
        <w:rPr>
          <w:rFonts w:ascii="Arial" w:hAnsi="Arial" w:cs="Arial"/>
          <w:sz w:val="24"/>
          <w:szCs w:val="24"/>
        </w:rPr>
        <w:t xml:space="preserve">and </w:t>
      </w:r>
      <w:r w:rsidR="00A420B2" w:rsidRPr="00AE515F">
        <w:rPr>
          <w:rFonts w:ascii="Arial" w:hAnsi="Arial" w:cs="Arial"/>
          <w:sz w:val="24"/>
          <w:szCs w:val="24"/>
        </w:rPr>
        <w:t>for the Otjozo</w:t>
      </w:r>
      <w:r w:rsidR="0023309F" w:rsidRPr="00AE515F">
        <w:rPr>
          <w:rFonts w:ascii="Arial" w:hAnsi="Arial" w:cs="Arial"/>
          <w:sz w:val="24"/>
          <w:szCs w:val="24"/>
        </w:rPr>
        <w:t>ndjupa Region to the second appellant</w:t>
      </w:r>
      <w:r w:rsidR="00A420B2" w:rsidRPr="00AE515F">
        <w:rPr>
          <w:rFonts w:ascii="Arial" w:hAnsi="Arial" w:cs="Arial"/>
          <w:sz w:val="24"/>
          <w:szCs w:val="24"/>
        </w:rPr>
        <w:t xml:space="preserve">. </w:t>
      </w:r>
      <w:r w:rsidR="007059E0">
        <w:rPr>
          <w:rFonts w:ascii="Arial" w:hAnsi="Arial" w:cs="Arial"/>
          <w:sz w:val="24"/>
          <w:szCs w:val="24"/>
        </w:rPr>
        <w:t xml:space="preserve">It based its award on the recommendation of the Committee. </w:t>
      </w:r>
      <w:r w:rsidRPr="00AE515F">
        <w:rPr>
          <w:rFonts w:ascii="Arial" w:hAnsi="Arial" w:cs="Arial"/>
          <w:sz w:val="24"/>
          <w:szCs w:val="24"/>
        </w:rPr>
        <w:t xml:space="preserve">However, </w:t>
      </w:r>
      <w:r w:rsidR="00455FFF" w:rsidRPr="00AE515F">
        <w:rPr>
          <w:rFonts w:ascii="Arial" w:hAnsi="Arial" w:cs="Arial"/>
          <w:sz w:val="24"/>
          <w:szCs w:val="24"/>
        </w:rPr>
        <w:t xml:space="preserve">the </w:t>
      </w:r>
      <w:r w:rsidRPr="004D7B30">
        <w:rPr>
          <w:rFonts w:ascii="Arial" w:hAnsi="Arial" w:cs="Arial"/>
          <w:sz w:val="24"/>
          <w:szCs w:val="24"/>
        </w:rPr>
        <w:t xml:space="preserve">successful </w:t>
      </w:r>
      <w:r w:rsidR="004A69C2" w:rsidRPr="004D7B30">
        <w:rPr>
          <w:rFonts w:ascii="Arial" w:hAnsi="Arial" w:cs="Arial"/>
          <w:sz w:val="24"/>
          <w:szCs w:val="24"/>
        </w:rPr>
        <w:t xml:space="preserve">bidders </w:t>
      </w:r>
      <w:r w:rsidR="004D7B30">
        <w:rPr>
          <w:rFonts w:ascii="Arial" w:hAnsi="Arial" w:cs="Arial"/>
          <w:sz w:val="24"/>
          <w:szCs w:val="24"/>
        </w:rPr>
        <w:t xml:space="preserve">including the appellants </w:t>
      </w:r>
      <w:r w:rsidR="007059E0" w:rsidRPr="004D7B30">
        <w:rPr>
          <w:rFonts w:ascii="Arial" w:hAnsi="Arial" w:cs="Arial"/>
          <w:sz w:val="24"/>
          <w:szCs w:val="24"/>
        </w:rPr>
        <w:t>were not informed of that</w:t>
      </w:r>
      <w:r w:rsidRPr="004D7B30">
        <w:rPr>
          <w:rFonts w:ascii="Arial" w:hAnsi="Arial" w:cs="Arial"/>
          <w:sz w:val="24"/>
          <w:szCs w:val="24"/>
        </w:rPr>
        <w:t xml:space="preserve"> outcome. </w:t>
      </w:r>
    </w:p>
    <w:p w:rsidR="0071383D" w:rsidRDefault="0071383D" w:rsidP="0071383D">
      <w:pPr>
        <w:pStyle w:val="NoSpacing"/>
        <w:spacing w:line="480" w:lineRule="auto"/>
        <w:jc w:val="both"/>
        <w:rPr>
          <w:rFonts w:ascii="Arial" w:hAnsi="Arial" w:cs="Arial"/>
          <w:sz w:val="24"/>
          <w:szCs w:val="24"/>
        </w:rPr>
      </w:pPr>
    </w:p>
    <w:p w:rsidR="00EC3BAD" w:rsidRDefault="00BA6F6B" w:rsidP="0038248D">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Before the appellants and other </w:t>
      </w:r>
      <w:r w:rsidR="004A69C2">
        <w:rPr>
          <w:rFonts w:ascii="Arial" w:hAnsi="Arial" w:cs="Arial"/>
          <w:sz w:val="24"/>
          <w:szCs w:val="24"/>
        </w:rPr>
        <w:t xml:space="preserve">successful bidders were </w:t>
      </w:r>
      <w:r w:rsidR="00EE7676">
        <w:rPr>
          <w:rFonts w:ascii="Arial" w:hAnsi="Arial" w:cs="Arial"/>
          <w:sz w:val="24"/>
          <w:szCs w:val="24"/>
        </w:rPr>
        <w:t>notified</w:t>
      </w:r>
      <w:r w:rsidR="008131B1">
        <w:rPr>
          <w:rFonts w:ascii="Arial" w:hAnsi="Arial" w:cs="Arial"/>
          <w:sz w:val="24"/>
          <w:szCs w:val="24"/>
        </w:rPr>
        <w:t xml:space="preserve"> of the outcome</w:t>
      </w:r>
      <w:r w:rsidR="00EE7676">
        <w:rPr>
          <w:rFonts w:ascii="Arial" w:hAnsi="Arial" w:cs="Arial"/>
          <w:sz w:val="24"/>
          <w:szCs w:val="24"/>
        </w:rPr>
        <w:t xml:space="preserve"> (as they should have been</w:t>
      </w:r>
      <w:r w:rsidR="009D5312">
        <w:rPr>
          <w:rFonts w:ascii="Arial" w:hAnsi="Arial" w:cs="Arial"/>
          <w:sz w:val="24"/>
          <w:szCs w:val="24"/>
        </w:rPr>
        <w:t xml:space="preserve"> in terms of section 16 of the </w:t>
      </w:r>
      <w:r w:rsidR="008131B1">
        <w:rPr>
          <w:rFonts w:ascii="Arial" w:hAnsi="Arial" w:cs="Arial"/>
          <w:sz w:val="24"/>
          <w:szCs w:val="24"/>
        </w:rPr>
        <w:t xml:space="preserve">Tender </w:t>
      </w:r>
      <w:r w:rsidR="009D5312">
        <w:rPr>
          <w:rFonts w:ascii="Arial" w:hAnsi="Arial" w:cs="Arial"/>
          <w:sz w:val="24"/>
          <w:szCs w:val="24"/>
        </w:rPr>
        <w:t>Act</w:t>
      </w:r>
      <w:r w:rsidR="008131B1">
        <w:rPr>
          <w:rFonts w:ascii="Arial" w:hAnsi="Arial" w:cs="Arial"/>
          <w:sz w:val="24"/>
          <w:szCs w:val="24"/>
        </w:rPr>
        <w:t>)</w:t>
      </w:r>
      <w:r w:rsidR="004A69C2">
        <w:rPr>
          <w:rFonts w:ascii="Arial" w:hAnsi="Arial" w:cs="Arial"/>
          <w:sz w:val="24"/>
          <w:szCs w:val="24"/>
        </w:rPr>
        <w:t>, serious allegations surfaced</w:t>
      </w:r>
      <w:r w:rsidR="004D7B30">
        <w:rPr>
          <w:rFonts w:ascii="Arial" w:hAnsi="Arial" w:cs="Arial"/>
          <w:sz w:val="24"/>
          <w:szCs w:val="24"/>
        </w:rPr>
        <w:t xml:space="preserve"> and were reported</w:t>
      </w:r>
      <w:r w:rsidR="004A69C2">
        <w:rPr>
          <w:rFonts w:ascii="Arial" w:hAnsi="Arial" w:cs="Arial"/>
          <w:sz w:val="24"/>
          <w:szCs w:val="24"/>
        </w:rPr>
        <w:t xml:space="preserve"> in </w:t>
      </w:r>
      <w:r w:rsidR="0023309F">
        <w:rPr>
          <w:rFonts w:ascii="Arial" w:hAnsi="Arial" w:cs="Arial"/>
          <w:sz w:val="24"/>
          <w:szCs w:val="24"/>
        </w:rPr>
        <w:t>two</w:t>
      </w:r>
      <w:r>
        <w:rPr>
          <w:rFonts w:ascii="Arial" w:hAnsi="Arial" w:cs="Arial"/>
          <w:sz w:val="24"/>
          <w:szCs w:val="24"/>
        </w:rPr>
        <w:t xml:space="preserve"> separate </w:t>
      </w:r>
      <w:r w:rsidR="00B820F5">
        <w:rPr>
          <w:rFonts w:ascii="Arial" w:hAnsi="Arial" w:cs="Arial"/>
          <w:sz w:val="24"/>
          <w:szCs w:val="24"/>
        </w:rPr>
        <w:t>local newspaper</w:t>
      </w:r>
      <w:r w:rsidR="0023309F">
        <w:rPr>
          <w:rFonts w:ascii="Arial" w:hAnsi="Arial" w:cs="Arial"/>
          <w:sz w:val="24"/>
          <w:szCs w:val="24"/>
        </w:rPr>
        <w:t>s</w:t>
      </w:r>
      <w:r w:rsidR="00B820F5">
        <w:rPr>
          <w:rFonts w:ascii="Arial" w:hAnsi="Arial" w:cs="Arial"/>
          <w:sz w:val="24"/>
          <w:szCs w:val="24"/>
        </w:rPr>
        <w:t xml:space="preserve"> </w:t>
      </w:r>
      <w:r w:rsidR="004A69C2">
        <w:rPr>
          <w:rFonts w:ascii="Arial" w:hAnsi="Arial" w:cs="Arial"/>
          <w:sz w:val="24"/>
          <w:szCs w:val="24"/>
        </w:rPr>
        <w:t>on</w:t>
      </w:r>
      <w:r w:rsidR="00A420B2">
        <w:rPr>
          <w:rFonts w:ascii="Arial" w:hAnsi="Arial" w:cs="Arial"/>
          <w:sz w:val="24"/>
          <w:szCs w:val="24"/>
        </w:rPr>
        <w:t xml:space="preserve"> 1</w:t>
      </w:r>
      <w:r w:rsidR="001C3051">
        <w:rPr>
          <w:rFonts w:ascii="Arial" w:hAnsi="Arial" w:cs="Arial"/>
          <w:sz w:val="24"/>
          <w:szCs w:val="24"/>
        </w:rPr>
        <w:t xml:space="preserve">0 </w:t>
      </w:r>
      <w:r w:rsidR="0023309F">
        <w:rPr>
          <w:rFonts w:ascii="Arial" w:hAnsi="Arial" w:cs="Arial"/>
          <w:sz w:val="24"/>
          <w:szCs w:val="24"/>
        </w:rPr>
        <w:t xml:space="preserve">and 13 </w:t>
      </w:r>
      <w:r w:rsidR="001C3051">
        <w:rPr>
          <w:rFonts w:ascii="Arial" w:hAnsi="Arial" w:cs="Arial"/>
          <w:sz w:val="24"/>
          <w:szCs w:val="24"/>
        </w:rPr>
        <w:t>October 2014</w:t>
      </w:r>
      <w:r w:rsidR="0018327D">
        <w:rPr>
          <w:rFonts w:ascii="Arial" w:hAnsi="Arial" w:cs="Arial"/>
          <w:sz w:val="24"/>
          <w:szCs w:val="24"/>
        </w:rPr>
        <w:t xml:space="preserve"> regarding</w:t>
      </w:r>
      <w:r w:rsidR="004D7B30">
        <w:rPr>
          <w:rFonts w:ascii="Arial" w:hAnsi="Arial" w:cs="Arial"/>
          <w:sz w:val="24"/>
          <w:szCs w:val="24"/>
        </w:rPr>
        <w:t xml:space="preserve"> the</w:t>
      </w:r>
      <w:r w:rsidR="0018327D">
        <w:rPr>
          <w:rFonts w:ascii="Arial" w:hAnsi="Arial" w:cs="Arial"/>
          <w:sz w:val="24"/>
          <w:szCs w:val="24"/>
        </w:rPr>
        <w:t xml:space="preserve"> tender</w:t>
      </w:r>
      <w:r>
        <w:rPr>
          <w:rFonts w:ascii="Arial" w:hAnsi="Arial" w:cs="Arial"/>
          <w:sz w:val="24"/>
          <w:szCs w:val="24"/>
        </w:rPr>
        <w:t>.</w:t>
      </w:r>
      <w:r w:rsidR="0018327D">
        <w:rPr>
          <w:rFonts w:ascii="Arial" w:hAnsi="Arial" w:cs="Arial"/>
          <w:sz w:val="24"/>
          <w:szCs w:val="24"/>
        </w:rPr>
        <w:t xml:space="preserve"> The al</w:t>
      </w:r>
      <w:r w:rsidR="001C3051">
        <w:rPr>
          <w:rFonts w:ascii="Arial" w:hAnsi="Arial" w:cs="Arial"/>
          <w:sz w:val="24"/>
          <w:szCs w:val="24"/>
        </w:rPr>
        <w:t>leg</w:t>
      </w:r>
      <w:r w:rsidR="0018327D">
        <w:rPr>
          <w:rFonts w:ascii="Arial" w:hAnsi="Arial" w:cs="Arial"/>
          <w:sz w:val="24"/>
          <w:szCs w:val="24"/>
        </w:rPr>
        <w:t xml:space="preserve">ations </w:t>
      </w:r>
      <w:r w:rsidR="00EC3BAD">
        <w:rPr>
          <w:rFonts w:ascii="Arial" w:hAnsi="Arial" w:cs="Arial"/>
          <w:sz w:val="24"/>
          <w:szCs w:val="24"/>
        </w:rPr>
        <w:t xml:space="preserve">were </w:t>
      </w:r>
      <w:r w:rsidR="001C3051">
        <w:rPr>
          <w:rFonts w:ascii="Arial" w:hAnsi="Arial" w:cs="Arial"/>
          <w:sz w:val="24"/>
          <w:szCs w:val="24"/>
        </w:rPr>
        <w:t>that the Permanent Secretary</w:t>
      </w:r>
      <w:r w:rsidR="004A69C2">
        <w:rPr>
          <w:rFonts w:ascii="Arial" w:hAnsi="Arial" w:cs="Arial"/>
          <w:sz w:val="24"/>
          <w:szCs w:val="24"/>
        </w:rPr>
        <w:t>, a senior state official</w:t>
      </w:r>
      <w:r w:rsidR="0023309F">
        <w:rPr>
          <w:rFonts w:ascii="Arial" w:hAnsi="Arial" w:cs="Arial"/>
          <w:sz w:val="24"/>
          <w:szCs w:val="24"/>
        </w:rPr>
        <w:t xml:space="preserve"> in the </w:t>
      </w:r>
      <w:r w:rsidR="00F2287B">
        <w:rPr>
          <w:rFonts w:ascii="Arial" w:hAnsi="Arial" w:cs="Arial"/>
          <w:sz w:val="24"/>
          <w:szCs w:val="24"/>
        </w:rPr>
        <w:t>Ministry</w:t>
      </w:r>
      <w:r w:rsidR="00EC3BAD">
        <w:rPr>
          <w:rFonts w:ascii="Arial" w:hAnsi="Arial" w:cs="Arial"/>
          <w:sz w:val="24"/>
          <w:szCs w:val="24"/>
        </w:rPr>
        <w:t>,</w:t>
      </w:r>
      <w:r w:rsidR="001C3051">
        <w:rPr>
          <w:rFonts w:ascii="Arial" w:hAnsi="Arial" w:cs="Arial"/>
          <w:sz w:val="24"/>
          <w:szCs w:val="24"/>
        </w:rPr>
        <w:t xml:space="preserve"> was involved in the allocation of </w:t>
      </w:r>
      <w:r w:rsidR="00CC5D81">
        <w:rPr>
          <w:rFonts w:ascii="Arial" w:hAnsi="Arial" w:cs="Arial"/>
          <w:sz w:val="24"/>
          <w:szCs w:val="24"/>
        </w:rPr>
        <w:t>one of the</w:t>
      </w:r>
      <w:r w:rsidR="001C3051">
        <w:rPr>
          <w:rFonts w:ascii="Arial" w:hAnsi="Arial" w:cs="Arial"/>
          <w:sz w:val="24"/>
          <w:szCs w:val="24"/>
        </w:rPr>
        <w:t xml:space="preserve"> tender</w:t>
      </w:r>
      <w:r w:rsidR="00CC5D81">
        <w:rPr>
          <w:rFonts w:ascii="Arial" w:hAnsi="Arial" w:cs="Arial"/>
          <w:sz w:val="24"/>
          <w:szCs w:val="24"/>
        </w:rPr>
        <w:t>s</w:t>
      </w:r>
      <w:r w:rsidR="004A69C2">
        <w:rPr>
          <w:rFonts w:ascii="Arial" w:hAnsi="Arial" w:cs="Arial"/>
          <w:sz w:val="24"/>
          <w:szCs w:val="24"/>
        </w:rPr>
        <w:t xml:space="preserve"> </w:t>
      </w:r>
      <w:r w:rsidR="00CC5D81">
        <w:rPr>
          <w:rFonts w:ascii="Arial" w:hAnsi="Arial" w:cs="Arial"/>
          <w:sz w:val="24"/>
          <w:szCs w:val="24"/>
        </w:rPr>
        <w:t>in respect of one of the regions</w:t>
      </w:r>
      <w:r w:rsidR="008131B1">
        <w:rPr>
          <w:rFonts w:ascii="Arial" w:hAnsi="Arial" w:cs="Arial"/>
          <w:sz w:val="24"/>
          <w:szCs w:val="24"/>
        </w:rPr>
        <w:t xml:space="preserve">. The </w:t>
      </w:r>
      <w:r w:rsidR="007059E0">
        <w:rPr>
          <w:rFonts w:ascii="Arial" w:hAnsi="Arial" w:cs="Arial"/>
          <w:sz w:val="24"/>
          <w:szCs w:val="24"/>
        </w:rPr>
        <w:t>amount</w:t>
      </w:r>
      <w:r w:rsidR="001C3051">
        <w:rPr>
          <w:rFonts w:ascii="Arial" w:hAnsi="Arial" w:cs="Arial"/>
          <w:sz w:val="24"/>
          <w:szCs w:val="24"/>
        </w:rPr>
        <w:t xml:space="preserve"> </w:t>
      </w:r>
      <w:r w:rsidR="008131B1">
        <w:rPr>
          <w:rFonts w:ascii="Arial" w:hAnsi="Arial" w:cs="Arial"/>
          <w:sz w:val="24"/>
          <w:szCs w:val="24"/>
        </w:rPr>
        <w:t xml:space="preserve">involved was in the </w:t>
      </w:r>
      <w:r w:rsidR="00CC5D81">
        <w:rPr>
          <w:rFonts w:ascii="Arial" w:hAnsi="Arial" w:cs="Arial"/>
          <w:sz w:val="24"/>
          <w:szCs w:val="24"/>
        </w:rPr>
        <w:t xml:space="preserve">sum of </w:t>
      </w:r>
      <w:r w:rsidR="001C3051">
        <w:rPr>
          <w:rFonts w:ascii="Arial" w:hAnsi="Arial" w:cs="Arial"/>
          <w:sz w:val="24"/>
          <w:szCs w:val="24"/>
        </w:rPr>
        <w:t>N$ 47 million</w:t>
      </w:r>
      <w:r w:rsidR="00CC392E">
        <w:rPr>
          <w:rFonts w:ascii="Arial" w:hAnsi="Arial" w:cs="Arial"/>
          <w:sz w:val="24"/>
          <w:szCs w:val="24"/>
        </w:rPr>
        <w:t>.</w:t>
      </w:r>
      <w:r w:rsidR="0018327D">
        <w:rPr>
          <w:rFonts w:ascii="Arial" w:hAnsi="Arial" w:cs="Arial"/>
          <w:sz w:val="24"/>
          <w:szCs w:val="24"/>
        </w:rPr>
        <w:t xml:space="preserve"> The allocation i</w:t>
      </w:r>
      <w:r w:rsidR="0023309F">
        <w:rPr>
          <w:rFonts w:ascii="Arial" w:hAnsi="Arial" w:cs="Arial"/>
          <w:sz w:val="24"/>
          <w:szCs w:val="24"/>
        </w:rPr>
        <w:t>s alleged to have been made to</w:t>
      </w:r>
      <w:r w:rsidR="001C3051">
        <w:rPr>
          <w:rFonts w:ascii="Arial" w:hAnsi="Arial" w:cs="Arial"/>
          <w:sz w:val="24"/>
          <w:szCs w:val="24"/>
        </w:rPr>
        <w:t xml:space="preserve"> a company </w:t>
      </w:r>
      <w:r w:rsidR="0018327D">
        <w:rPr>
          <w:rFonts w:ascii="Arial" w:hAnsi="Arial" w:cs="Arial"/>
          <w:sz w:val="24"/>
          <w:szCs w:val="24"/>
        </w:rPr>
        <w:t xml:space="preserve">in </w:t>
      </w:r>
      <w:r w:rsidR="001C3051">
        <w:rPr>
          <w:rFonts w:ascii="Arial" w:hAnsi="Arial" w:cs="Arial"/>
          <w:sz w:val="24"/>
          <w:szCs w:val="24"/>
        </w:rPr>
        <w:t xml:space="preserve">which </w:t>
      </w:r>
      <w:r w:rsidR="0023309F">
        <w:rPr>
          <w:rFonts w:ascii="Arial" w:hAnsi="Arial" w:cs="Arial"/>
          <w:sz w:val="24"/>
          <w:szCs w:val="24"/>
        </w:rPr>
        <w:t xml:space="preserve">the Permanent Secretary’s </w:t>
      </w:r>
      <w:r w:rsidR="001C3051">
        <w:rPr>
          <w:rFonts w:ascii="Arial" w:hAnsi="Arial" w:cs="Arial"/>
          <w:sz w:val="24"/>
          <w:szCs w:val="24"/>
        </w:rPr>
        <w:t>wife had an interest</w:t>
      </w:r>
      <w:r w:rsidR="00EC3BAD">
        <w:rPr>
          <w:rFonts w:ascii="Arial" w:hAnsi="Arial" w:cs="Arial"/>
          <w:sz w:val="24"/>
          <w:szCs w:val="24"/>
        </w:rPr>
        <w:t>.</w:t>
      </w:r>
    </w:p>
    <w:p w:rsidR="00AA21BF" w:rsidRPr="0038248D" w:rsidRDefault="00AA21BF" w:rsidP="00AA21BF">
      <w:pPr>
        <w:pStyle w:val="NoSpacing"/>
        <w:spacing w:line="480" w:lineRule="auto"/>
        <w:jc w:val="both"/>
        <w:rPr>
          <w:rFonts w:ascii="Arial" w:hAnsi="Arial" w:cs="Arial"/>
          <w:sz w:val="24"/>
          <w:szCs w:val="24"/>
        </w:rPr>
      </w:pPr>
    </w:p>
    <w:p w:rsidR="00F52228" w:rsidRDefault="004A69C2" w:rsidP="007C2C6F">
      <w:pPr>
        <w:pStyle w:val="NoSpacing"/>
        <w:numPr>
          <w:ilvl w:val="0"/>
          <w:numId w:val="16"/>
        </w:numPr>
        <w:spacing w:line="480" w:lineRule="auto"/>
        <w:ind w:left="0" w:firstLine="0"/>
        <w:jc w:val="both"/>
        <w:rPr>
          <w:rFonts w:ascii="Arial" w:hAnsi="Arial" w:cs="Arial"/>
          <w:sz w:val="24"/>
          <w:szCs w:val="24"/>
        </w:rPr>
      </w:pPr>
      <w:r w:rsidRPr="00F52228">
        <w:rPr>
          <w:rFonts w:ascii="Arial" w:hAnsi="Arial" w:cs="Arial"/>
          <w:sz w:val="24"/>
          <w:szCs w:val="24"/>
        </w:rPr>
        <w:lastRenderedPageBreak/>
        <w:t>In ligh</w:t>
      </w:r>
      <w:r w:rsidR="00BA6F6B" w:rsidRPr="00F52228">
        <w:rPr>
          <w:rFonts w:ascii="Arial" w:hAnsi="Arial" w:cs="Arial"/>
          <w:sz w:val="24"/>
          <w:szCs w:val="24"/>
        </w:rPr>
        <w:t>t of the above,</w:t>
      </w:r>
      <w:r w:rsidR="009D5312">
        <w:rPr>
          <w:rFonts w:ascii="Arial" w:hAnsi="Arial" w:cs="Arial"/>
          <w:sz w:val="24"/>
          <w:szCs w:val="24"/>
        </w:rPr>
        <w:t xml:space="preserve"> </w:t>
      </w:r>
      <w:r w:rsidR="007059E0">
        <w:rPr>
          <w:rFonts w:ascii="Arial" w:hAnsi="Arial" w:cs="Arial"/>
          <w:sz w:val="24"/>
          <w:szCs w:val="24"/>
        </w:rPr>
        <w:t>the Ministry</w:t>
      </w:r>
      <w:r w:rsidR="006F5E83">
        <w:rPr>
          <w:rFonts w:ascii="Arial" w:hAnsi="Arial" w:cs="Arial"/>
          <w:sz w:val="24"/>
          <w:szCs w:val="24"/>
        </w:rPr>
        <w:t xml:space="preserve"> requested </w:t>
      </w:r>
      <w:r w:rsidR="009D5312">
        <w:rPr>
          <w:rFonts w:ascii="Arial" w:hAnsi="Arial" w:cs="Arial"/>
          <w:sz w:val="24"/>
          <w:szCs w:val="24"/>
        </w:rPr>
        <w:t xml:space="preserve">the </w:t>
      </w:r>
      <w:r w:rsidR="00CC392E">
        <w:rPr>
          <w:rFonts w:ascii="Arial" w:hAnsi="Arial" w:cs="Arial"/>
          <w:sz w:val="24"/>
          <w:szCs w:val="24"/>
        </w:rPr>
        <w:t xml:space="preserve">Board to cancel the tender. </w:t>
      </w:r>
      <w:r w:rsidR="00BA6F6B" w:rsidRPr="00F52228">
        <w:rPr>
          <w:rFonts w:ascii="Arial" w:hAnsi="Arial" w:cs="Arial"/>
          <w:sz w:val="24"/>
          <w:szCs w:val="24"/>
        </w:rPr>
        <w:t xml:space="preserve">This </w:t>
      </w:r>
      <w:r w:rsidR="004B2F77" w:rsidRPr="00F52228">
        <w:rPr>
          <w:rFonts w:ascii="Arial" w:hAnsi="Arial" w:cs="Arial"/>
          <w:sz w:val="24"/>
          <w:szCs w:val="24"/>
        </w:rPr>
        <w:t xml:space="preserve">request </w:t>
      </w:r>
      <w:r w:rsidR="00BA6F6B" w:rsidRPr="00F52228">
        <w:rPr>
          <w:rFonts w:ascii="Arial" w:hAnsi="Arial" w:cs="Arial"/>
          <w:sz w:val="24"/>
          <w:szCs w:val="24"/>
        </w:rPr>
        <w:t xml:space="preserve">was considered at the </w:t>
      </w:r>
      <w:r w:rsidR="00264098" w:rsidRPr="00F52228">
        <w:rPr>
          <w:rFonts w:ascii="Arial" w:hAnsi="Arial" w:cs="Arial"/>
          <w:sz w:val="24"/>
          <w:szCs w:val="24"/>
        </w:rPr>
        <w:t xml:space="preserve">Board </w:t>
      </w:r>
      <w:r w:rsidR="00BA6F6B" w:rsidRPr="00F52228">
        <w:rPr>
          <w:rFonts w:ascii="Arial" w:hAnsi="Arial" w:cs="Arial"/>
          <w:sz w:val="24"/>
          <w:szCs w:val="24"/>
        </w:rPr>
        <w:t xml:space="preserve">meeting </w:t>
      </w:r>
      <w:r w:rsidR="00264098" w:rsidRPr="00F52228">
        <w:rPr>
          <w:rFonts w:ascii="Arial" w:hAnsi="Arial" w:cs="Arial"/>
          <w:sz w:val="24"/>
          <w:szCs w:val="24"/>
        </w:rPr>
        <w:t xml:space="preserve">held on </w:t>
      </w:r>
      <w:r w:rsidRPr="00F52228">
        <w:rPr>
          <w:rFonts w:ascii="Arial" w:hAnsi="Arial" w:cs="Arial"/>
          <w:sz w:val="24"/>
          <w:szCs w:val="24"/>
        </w:rPr>
        <w:t xml:space="preserve">13 October 2014. </w:t>
      </w:r>
      <w:r w:rsidR="004B2F77" w:rsidRPr="00F52228">
        <w:rPr>
          <w:rFonts w:ascii="Arial" w:hAnsi="Arial" w:cs="Arial"/>
          <w:sz w:val="24"/>
          <w:szCs w:val="24"/>
        </w:rPr>
        <w:t xml:space="preserve"> There were </w:t>
      </w:r>
      <w:r w:rsidR="00777C09">
        <w:rPr>
          <w:rFonts w:ascii="Arial" w:hAnsi="Arial" w:cs="Arial"/>
          <w:sz w:val="24"/>
          <w:szCs w:val="24"/>
        </w:rPr>
        <w:t xml:space="preserve">protracted </w:t>
      </w:r>
      <w:r w:rsidR="004B2F77" w:rsidRPr="00F52228">
        <w:rPr>
          <w:rFonts w:ascii="Arial" w:hAnsi="Arial" w:cs="Arial"/>
          <w:sz w:val="24"/>
          <w:szCs w:val="24"/>
        </w:rPr>
        <w:t xml:space="preserve">debates </w:t>
      </w:r>
      <w:r w:rsidR="009D5312">
        <w:rPr>
          <w:rFonts w:ascii="Arial" w:hAnsi="Arial" w:cs="Arial"/>
          <w:sz w:val="24"/>
          <w:szCs w:val="24"/>
        </w:rPr>
        <w:t xml:space="preserve">at </w:t>
      </w:r>
      <w:r w:rsidR="004B2F77" w:rsidRPr="00F52228">
        <w:rPr>
          <w:rFonts w:ascii="Arial" w:hAnsi="Arial" w:cs="Arial"/>
          <w:sz w:val="24"/>
          <w:szCs w:val="24"/>
        </w:rPr>
        <w:t xml:space="preserve">the meetings regarding the appropriateness of the </w:t>
      </w:r>
      <w:r w:rsidR="00777C09">
        <w:rPr>
          <w:rFonts w:ascii="Arial" w:hAnsi="Arial" w:cs="Arial"/>
          <w:sz w:val="24"/>
          <w:szCs w:val="24"/>
        </w:rPr>
        <w:t xml:space="preserve">Ministry’s </w:t>
      </w:r>
      <w:r w:rsidR="004B2F77" w:rsidRPr="00F52228">
        <w:rPr>
          <w:rFonts w:ascii="Arial" w:hAnsi="Arial" w:cs="Arial"/>
          <w:sz w:val="24"/>
          <w:szCs w:val="24"/>
        </w:rPr>
        <w:t>request</w:t>
      </w:r>
      <w:r w:rsidR="00777C09">
        <w:rPr>
          <w:rFonts w:ascii="Arial" w:hAnsi="Arial" w:cs="Arial"/>
          <w:sz w:val="24"/>
          <w:szCs w:val="24"/>
        </w:rPr>
        <w:t xml:space="preserve"> to cancel the tender</w:t>
      </w:r>
      <w:r w:rsidR="00CC392E">
        <w:rPr>
          <w:rFonts w:ascii="Arial" w:hAnsi="Arial" w:cs="Arial"/>
          <w:sz w:val="24"/>
          <w:szCs w:val="24"/>
        </w:rPr>
        <w:t xml:space="preserve">. </w:t>
      </w:r>
      <w:r w:rsidR="004B2F77" w:rsidRPr="00F52228">
        <w:rPr>
          <w:rFonts w:ascii="Arial" w:hAnsi="Arial" w:cs="Arial"/>
          <w:sz w:val="24"/>
          <w:szCs w:val="24"/>
        </w:rPr>
        <w:t>The transcription of the meeting of the Board held on 13 October reveal</w:t>
      </w:r>
      <w:r w:rsidR="007059E0">
        <w:rPr>
          <w:rFonts w:ascii="Arial" w:hAnsi="Arial" w:cs="Arial"/>
          <w:sz w:val="24"/>
          <w:szCs w:val="24"/>
        </w:rPr>
        <w:t>ed</w:t>
      </w:r>
      <w:r w:rsidR="004B2F77" w:rsidRPr="00F52228">
        <w:rPr>
          <w:rFonts w:ascii="Arial" w:hAnsi="Arial" w:cs="Arial"/>
          <w:sz w:val="24"/>
          <w:szCs w:val="24"/>
        </w:rPr>
        <w:t xml:space="preserve"> certain misgivings on the part of</w:t>
      </w:r>
      <w:r w:rsidR="007059E0">
        <w:rPr>
          <w:rFonts w:ascii="Arial" w:hAnsi="Arial" w:cs="Arial"/>
          <w:sz w:val="24"/>
          <w:szCs w:val="24"/>
        </w:rPr>
        <w:t xml:space="preserve"> certain members of the </w:t>
      </w:r>
      <w:r w:rsidR="00EE7676" w:rsidRPr="00F52228">
        <w:rPr>
          <w:rFonts w:ascii="Arial" w:hAnsi="Arial" w:cs="Arial"/>
          <w:sz w:val="24"/>
          <w:szCs w:val="24"/>
        </w:rPr>
        <w:t>B</w:t>
      </w:r>
      <w:r w:rsidR="004B2F77" w:rsidRPr="00F52228">
        <w:rPr>
          <w:rFonts w:ascii="Arial" w:hAnsi="Arial" w:cs="Arial"/>
          <w:sz w:val="24"/>
          <w:szCs w:val="24"/>
        </w:rPr>
        <w:t>oard regarding the request</w:t>
      </w:r>
      <w:r w:rsidR="00F06E57" w:rsidRPr="00F52228">
        <w:rPr>
          <w:rFonts w:ascii="Arial" w:hAnsi="Arial" w:cs="Arial"/>
          <w:sz w:val="24"/>
          <w:szCs w:val="24"/>
        </w:rPr>
        <w:t xml:space="preserve"> to cancel</w:t>
      </w:r>
      <w:r w:rsidR="00FE3C1B" w:rsidRPr="00F52228">
        <w:rPr>
          <w:rFonts w:ascii="Arial" w:hAnsi="Arial" w:cs="Arial"/>
          <w:sz w:val="24"/>
          <w:szCs w:val="24"/>
        </w:rPr>
        <w:t xml:space="preserve"> </w:t>
      </w:r>
      <w:r w:rsidR="00F52228" w:rsidRPr="00F52228">
        <w:rPr>
          <w:rFonts w:ascii="Arial" w:hAnsi="Arial" w:cs="Arial"/>
          <w:sz w:val="24"/>
          <w:szCs w:val="24"/>
        </w:rPr>
        <w:t xml:space="preserve">and the perceived interference by the Ministry in the work of the Board. I </w:t>
      </w:r>
      <w:r w:rsidR="009D5312">
        <w:rPr>
          <w:rFonts w:ascii="Arial" w:hAnsi="Arial" w:cs="Arial"/>
          <w:sz w:val="24"/>
          <w:szCs w:val="24"/>
        </w:rPr>
        <w:t xml:space="preserve">briefly refer to </w:t>
      </w:r>
      <w:r w:rsidR="00F52228" w:rsidRPr="00F52228">
        <w:rPr>
          <w:rFonts w:ascii="Arial" w:hAnsi="Arial" w:cs="Arial"/>
          <w:sz w:val="24"/>
          <w:szCs w:val="24"/>
        </w:rPr>
        <w:t>exchanges later when determining whether the decision to</w:t>
      </w:r>
      <w:r w:rsidR="007059E0">
        <w:rPr>
          <w:rFonts w:ascii="Arial" w:hAnsi="Arial" w:cs="Arial"/>
          <w:sz w:val="24"/>
          <w:szCs w:val="24"/>
        </w:rPr>
        <w:t xml:space="preserve"> cancel was that of the Ministry</w:t>
      </w:r>
      <w:r w:rsidR="00F52228" w:rsidRPr="00F52228">
        <w:rPr>
          <w:rFonts w:ascii="Arial" w:hAnsi="Arial" w:cs="Arial"/>
          <w:sz w:val="24"/>
          <w:szCs w:val="24"/>
        </w:rPr>
        <w:t xml:space="preserve"> and not the Board as contended for by the appellants. </w:t>
      </w:r>
    </w:p>
    <w:p w:rsidR="00F52228" w:rsidRPr="00150B5F" w:rsidRDefault="00F52228" w:rsidP="00150B5F">
      <w:pPr>
        <w:rPr>
          <w:rFonts w:ascii="Arial" w:hAnsi="Arial" w:cs="Arial"/>
          <w:sz w:val="24"/>
          <w:szCs w:val="24"/>
        </w:rPr>
      </w:pPr>
    </w:p>
    <w:p w:rsidR="00264098" w:rsidRPr="00DA09C2" w:rsidRDefault="004A69C2" w:rsidP="007C2C6F">
      <w:pPr>
        <w:pStyle w:val="NoSpacing"/>
        <w:numPr>
          <w:ilvl w:val="0"/>
          <w:numId w:val="16"/>
        </w:numPr>
        <w:spacing w:line="480" w:lineRule="auto"/>
        <w:ind w:left="0" w:firstLine="0"/>
        <w:jc w:val="both"/>
        <w:rPr>
          <w:rFonts w:ascii="Arial" w:hAnsi="Arial" w:cs="Arial"/>
          <w:b/>
          <w:sz w:val="24"/>
          <w:szCs w:val="24"/>
          <w:u w:val="single"/>
        </w:rPr>
      </w:pPr>
      <w:r w:rsidRPr="00DA09C2">
        <w:rPr>
          <w:rFonts w:ascii="Arial" w:hAnsi="Arial" w:cs="Arial"/>
          <w:sz w:val="24"/>
          <w:szCs w:val="24"/>
        </w:rPr>
        <w:t xml:space="preserve">After seeking legal advice on the implications </w:t>
      </w:r>
      <w:r w:rsidR="00493C14">
        <w:rPr>
          <w:rFonts w:ascii="Arial" w:hAnsi="Arial" w:cs="Arial"/>
          <w:sz w:val="24"/>
          <w:szCs w:val="24"/>
        </w:rPr>
        <w:t xml:space="preserve">of the requests on the powers of the </w:t>
      </w:r>
      <w:r w:rsidR="00264098" w:rsidRPr="00DA09C2">
        <w:rPr>
          <w:rFonts w:ascii="Arial" w:hAnsi="Arial" w:cs="Arial"/>
          <w:sz w:val="24"/>
          <w:szCs w:val="24"/>
        </w:rPr>
        <w:t>Board</w:t>
      </w:r>
      <w:r w:rsidR="007059E0">
        <w:rPr>
          <w:rFonts w:ascii="Arial" w:hAnsi="Arial" w:cs="Arial"/>
          <w:sz w:val="24"/>
          <w:szCs w:val="24"/>
        </w:rPr>
        <w:t>,</w:t>
      </w:r>
      <w:r w:rsidR="00264098" w:rsidRPr="00DA09C2">
        <w:rPr>
          <w:rFonts w:ascii="Arial" w:hAnsi="Arial" w:cs="Arial"/>
          <w:sz w:val="24"/>
          <w:szCs w:val="24"/>
        </w:rPr>
        <w:t xml:space="preserve"> </w:t>
      </w:r>
      <w:r w:rsidR="00493C14">
        <w:rPr>
          <w:rFonts w:ascii="Arial" w:hAnsi="Arial" w:cs="Arial"/>
          <w:sz w:val="24"/>
          <w:szCs w:val="24"/>
        </w:rPr>
        <w:t>in terms of</w:t>
      </w:r>
      <w:r w:rsidR="004D7B30">
        <w:rPr>
          <w:rFonts w:ascii="Arial" w:hAnsi="Arial" w:cs="Arial"/>
          <w:sz w:val="24"/>
          <w:szCs w:val="24"/>
        </w:rPr>
        <w:t xml:space="preserve"> the</w:t>
      </w:r>
      <w:r w:rsidR="00493C14">
        <w:rPr>
          <w:rFonts w:ascii="Arial" w:hAnsi="Arial" w:cs="Arial"/>
          <w:sz w:val="24"/>
          <w:szCs w:val="24"/>
        </w:rPr>
        <w:t xml:space="preserve"> </w:t>
      </w:r>
      <w:r w:rsidR="008131B1">
        <w:rPr>
          <w:rFonts w:ascii="Arial" w:hAnsi="Arial" w:cs="Arial"/>
          <w:sz w:val="24"/>
          <w:szCs w:val="24"/>
        </w:rPr>
        <w:t xml:space="preserve">Tender </w:t>
      </w:r>
      <w:r w:rsidR="00493C14">
        <w:rPr>
          <w:rFonts w:ascii="Arial" w:hAnsi="Arial" w:cs="Arial"/>
          <w:sz w:val="24"/>
          <w:szCs w:val="24"/>
        </w:rPr>
        <w:t>Act</w:t>
      </w:r>
      <w:r w:rsidR="007059E0">
        <w:rPr>
          <w:rFonts w:ascii="Arial" w:hAnsi="Arial" w:cs="Arial"/>
          <w:sz w:val="24"/>
          <w:szCs w:val="24"/>
        </w:rPr>
        <w:t xml:space="preserve">, </w:t>
      </w:r>
      <w:r w:rsidR="00F534D7" w:rsidRPr="00DA09C2">
        <w:rPr>
          <w:rFonts w:ascii="Arial" w:hAnsi="Arial" w:cs="Arial"/>
          <w:sz w:val="24"/>
          <w:szCs w:val="24"/>
        </w:rPr>
        <w:t xml:space="preserve">the entire </w:t>
      </w:r>
      <w:r w:rsidR="00264098" w:rsidRPr="00DA09C2">
        <w:rPr>
          <w:rFonts w:ascii="Arial" w:hAnsi="Arial" w:cs="Arial"/>
          <w:sz w:val="24"/>
          <w:szCs w:val="24"/>
        </w:rPr>
        <w:t>tender</w:t>
      </w:r>
      <w:r w:rsidR="00F534D7" w:rsidRPr="00DA09C2">
        <w:rPr>
          <w:rFonts w:ascii="Arial" w:hAnsi="Arial" w:cs="Arial"/>
          <w:sz w:val="24"/>
          <w:szCs w:val="24"/>
        </w:rPr>
        <w:t xml:space="preserve"> was cancelled</w:t>
      </w:r>
      <w:r w:rsidR="00D604A6">
        <w:rPr>
          <w:rFonts w:ascii="Arial" w:hAnsi="Arial" w:cs="Arial"/>
          <w:sz w:val="24"/>
          <w:szCs w:val="24"/>
        </w:rPr>
        <w:t xml:space="preserve">. </w:t>
      </w:r>
      <w:r w:rsidR="00264098" w:rsidRPr="00DA09C2">
        <w:rPr>
          <w:rFonts w:ascii="Arial" w:hAnsi="Arial" w:cs="Arial"/>
          <w:sz w:val="24"/>
          <w:szCs w:val="24"/>
        </w:rPr>
        <w:t xml:space="preserve">The </w:t>
      </w:r>
      <w:r w:rsidRPr="00DA09C2">
        <w:rPr>
          <w:rFonts w:ascii="Arial" w:hAnsi="Arial" w:cs="Arial"/>
          <w:sz w:val="24"/>
          <w:szCs w:val="24"/>
        </w:rPr>
        <w:t xml:space="preserve">cancellation was communicated via </w:t>
      </w:r>
      <w:r w:rsidR="00A01A8F" w:rsidRPr="00DA09C2">
        <w:rPr>
          <w:rFonts w:ascii="Arial" w:hAnsi="Arial" w:cs="Arial"/>
          <w:sz w:val="24"/>
          <w:szCs w:val="24"/>
        </w:rPr>
        <w:t xml:space="preserve">facsimile </w:t>
      </w:r>
      <w:r w:rsidR="00306CBB" w:rsidRPr="00DA09C2">
        <w:rPr>
          <w:rFonts w:ascii="Arial" w:hAnsi="Arial" w:cs="Arial"/>
          <w:sz w:val="24"/>
          <w:szCs w:val="24"/>
        </w:rPr>
        <w:t xml:space="preserve">to all the </w:t>
      </w:r>
      <w:r w:rsidR="00264098" w:rsidRPr="00DA09C2">
        <w:rPr>
          <w:rFonts w:ascii="Arial" w:hAnsi="Arial" w:cs="Arial"/>
          <w:sz w:val="24"/>
          <w:szCs w:val="24"/>
        </w:rPr>
        <w:t>bidders on 15</w:t>
      </w:r>
      <w:r w:rsidR="008C500F" w:rsidRPr="00DA09C2">
        <w:rPr>
          <w:rFonts w:ascii="Arial" w:hAnsi="Arial" w:cs="Arial"/>
          <w:sz w:val="24"/>
          <w:szCs w:val="24"/>
        </w:rPr>
        <w:t xml:space="preserve"> October 2014</w:t>
      </w:r>
      <w:r w:rsidR="009F2F3B" w:rsidRPr="00DA09C2">
        <w:rPr>
          <w:rFonts w:ascii="Arial" w:hAnsi="Arial" w:cs="Arial"/>
          <w:sz w:val="24"/>
          <w:szCs w:val="24"/>
        </w:rPr>
        <w:t xml:space="preserve"> indicating</w:t>
      </w:r>
      <w:r w:rsidR="007059E0">
        <w:rPr>
          <w:rFonts w:ascii="Arial" w:hAnsi="Arial" w:cs="Arial"/>
          <w:sz w:val="24"/>
          <w:szCs w:val="24"/>
        </w:rPr>
        <w:t xml:space="preserve"> that the</w:t>
      </w:r>
      <w:r w:rsidR="00264098" w:rsidRPr="00DA09C2">
        <w:rPr>
          <w:rFonts w:ascii="Arial" w:hAnsi="Arial" w:cs="Arial"/>
          <w:sz w:val="24"/>
          <w:szCs w:val="24"/>
        </w:rPr>
        <w:t xml:space="preserve"> B</w:t>
      </w:r>
      <w:r w:rsidR="00597A9F">
        <w:rPr>
          <w:rFonts w:ascii="Arial" w:hAnsi="Arial" w:cs="Arial"/>
          <w:sz w:val="24"/>
          <w:szCs w:val="24"/>
        </w:rPr>
        <w:t>oard had a meeting</w:t>
      </w:r>
      <w:r w:rsidR="006D1D67" w:rsidRPr="00DA09C2">
        <w:rPr>
          <w:rFonts w:ascii="Arial" w:hAnsi="Arial" w:cs="Arial"/>
          <w:sz w:val="24"/>
          <w:szCs w:val="24"/>
        </w:rPr>
        <w:t xml:space="preserve"> where </w:t>
      </w:r>
      <w:r w:rsidR="00306CBB" w:rsidRPr="00DA09C2">
        <w:rPr>
          <w:rFonts w:ascii="Arial" w:hAnsi="Arial" w:cs="Arial"/>
          <w:sz w:val="24"/>
          <w:szCs w:val="24"/>
        </w:rPr>
        <w:t xml:space="preserve">it </w:t>
      </w:r>
      <w:r w:rsidR="006D1D67" w:rsidRPr="00DA09C2">
        <w:rPr>
          <w:rFonts w:ascii="Arial" w:hAnsi="Arial" w:cs="Arial"/>
          <w:sz w:val="24"/>
          <w:szCs w:val="24"/>
        </w:rPr>
        <w:t xml:space="preserve">resolved </w:t>
      </w:r>
      <w:r w:rsidR="00264098" w:rsidRPr="00DA09C2">
        <w:rPr>
          <w:rFonts w:ascii="Arial" w:hAnsi="Arial" w:cs="Arial"/>
          <w:sz w:val="24"/>
          <w:szCs w:val="24"/>
        </w:rPr>
        <w:t>to cancel the decision to award the tend</w:t>
      </w:r>
      <w:r w:rsidR="007059E0">
        <w:rPr>
          <w:rFonts w:ascii="Arial" w:hAnsi="Arial" w:cs="Arial"/>
          <w:sz w:val="24"/>
          <w:szCs w:val="24"/>
        </w:rPr>
        <w:t>ers.</w:t>
      </w:r>
      <w:r w:rsidR="00F534D7" w:rsidRPr="00DA09C2">
        <w:rPr>
          <w:rFonts w:ascii="Arial" w:hAnsi="Arial" w:cs="Arial"/>
          <w:sz w:val="24"/>
          <w:szCs w:val="24"/>
        </w:rPr>
        <w:t xml:space="preserve"> </w:t>
      </w:r>
    </w:p>
    <w:p w:rsidR="00721FB6" w:rsidRPr="00DA09C2" w:rsidRDefault="00721FB6" w:rsidP="00264098">
      <w:pPr>
        <w:pStyle w:val="NoSpacing"/>
        <w:spacing w:line="480" w:lineRule="auto"/>
        <w:jc w:val="both"/>
        <w:rPr>
          <w:rFonts w:ascii="Arial" w:hAnsi="Arial" w:cs="Arial"/>
          <w:sz w:val="24"/>
          <w:szCs w:val="24"/>
        </w:rPr>
      </w:pPr>
    </w:p>
    <w:p w:rsidR="006D37EA" w:rsidRDefault="00981553" w:rsidP="007C2C6F">
      <w:pPr>
        <w:pStyle w:val="NoSpacing"/>
        <w:numPr>
          <w:ilvl w:val="0"/>
          <w:numId w:val="16"/>
        </w:numPr>
        <w:spacing w:line="480" w:lineRule="auto"/>
        <w:ind w:left="0" w:firstLine="0"/>
        <w:jc w:val="both"/>
        <w:rPr>
          <w:rFonts w:ascii="Arial" w:hAnsi="Arial" w:cs="Arial"/>
          <w:sz w:val="24"/>
          <w:szCs w:val="24"/>
        </w:rPr>
      </w:pPr>
      <w:r w:rsidRPr="00DA09C2">
        <w:rPr>
          <w:rFonts w:ascii="Arial" w:hAnsi="Arial" w:cs="Arial"/>
          <w:sz w:val="24"/>
          <w:szCs w:val="24"/>
        </w:rPr>
        <w:t xml:space="preserve">Due to the uncertainty that followed, the </w:t>
      </w:r>
      <w:r w:rsidR="000911ED" w:rsidRPr="00DA09C2">
        <w:rPr>
          <w:rFonts w:ascii="Arial" w:hAnsi="Arial" w:cs="Arial"/>
          <w:sz w:val="24"/>
          <w:szCs w:val="24"/>
        </w:rPr>
        <w:t xml:space="preserve">attorneys for the appellants </w:t>
      </w:r>
      <w:r w:rsidR="00F534D7" w:rsidRPr="00DA09C2">
        <w:rPr>
          <w:rFonts w:ascii="Arial" w:hAnsi="Arial" w:cs="Arial"/>
          <w:sz w:val="24"/>
          <w:szCs w:val="24"/>
        </w:rPr>
        <w:t xml:space="preserve">addressed a </w:t>
      </w:r>
      <w:r w:rsidR="007059E0">
        <w:rPr>
          <w:rFonts w:ascii="Arial" w:hAnsi="Arial" w:cs="Arial"/>
          <w:sz w:val="24"/>
          <w:szCs w:val="24"/>
        </w:rPr>
        <w:t>letter to the</w:t>
      </w:r>
      <w:r w:rsidRPr="00DA09C2">
        <w:rPr>
          <w:rFonts w:ascii="Arial" w:hAnsi="Arial" w:cs="Arial"/>
          <w:sz w:val="24"/>
          <w:szCs w:val="24"/>
        </w:rPr>
        <w:t xml:space="preserve"> Board, dated 23 October 2014</w:t>
      </w:r>
      <w:r w:rsidR="004A7411">
        <w:rPr>
          <w:rFonts w:ascii="Arial" w:hAnsi="Arial" w:cs="Arial"/>
          <w:sz w:val="24"/>
          <w:szCs w:val="24"/>
        </w:rPr>
        <w:t xml:space="preserve"> and</w:t>
      </w:r>
      <w:r w:rsidR="008131B1">
        <w:rPr>
          <w:rFonts w:ascii="Arial" w:hAnsi="Arial" w:cs="Arial"/>
          <w:sz w:val="24"/>
          <w:szCs w:val="24"/>
        </w:rPr>
        <w:t xml:space="preserve"> </w:t>
      </w:r>
      <w:r w:rsidR="009B58E5">
        <w:rPr>
          <w:rFonts w:ascii="Arial" w:hAnsi="Arial" w:cs="Arial"/>
          <w:sz w:val="24"/>
          <w:szCs w:val="24"/>
        </w:rPr>
        <w:t>stating</w:t>
      </w:r>
      <w:r w:rsidR="00150B5F">
        <w:rPr>
          <w:rFonts w:ascii="Arial" w:hAnsi="Arial" w:cs="Arial"/>
          <w:sz w:val="24"/>
          <w:szCs w:val="24"/>
        </w:rPr>
        <w:t>:</w:t>
      </w:r>
    </w:p>
    <w:p w:rsidR="0038248D" w:rsidRPr="00DA09C2" w:rsidRDefault="0038248D" w:rsidP="00AA21BF">
      <w:pPr>
        <w:pStyle w:val="NoSpacing"/>
        <w:spacing w:line="360" w:lineRule="auto"/>
        <w:jc w:val="both"/>
        <w:rPr>
          <w:rFonts w:ascii="Arial" w:hAnsi="Arial" w:cs="Arial"/>
          <w:sz w:val="24"/>
          <w:szCs w:val="24"/>
        </w:rPr>
      </w:pPr>
    </w:p>
    <w:p w:rsidR="00333BAE" w:rsidRDefault="00AA21BF" w:rsidP="00AA21BF">
      <w:pPr>
        <w:pStyle w:val="ListParagraph"/>
        <w:spacing w:line="360" w:lineRule="auto"/>
        <w:jc w:val="both"/>
        <w:rPr>
          <w:rFonts w:ascii="Arial" w:hAnsi="Arial" w:cs="Arial"/>
        </w:rPr>
      </w:pPr>
      <w:r>
        <w:rPr>
          <w:rFonts w:ascii="Arial" w:hAnsi="Arial" w:cs="Arial"/>
        </w:rPr>
        <w:t>‘</w:t>
      </w:r>
      <w:r w:rsidR="00333BAE">
        <w:rPr>
          <w:rFonts w:ascii="Arial" w:hAnsi="Arial" w:cs="Arial"/>
        </w:rPr>
        <w:t xml:space="preserve"> . . . .</w:t>
      </w:r>
    </w:p>
    <w:p w:rsidR="006D37EA" w:rsidRDefault="00AB0D99" w:rsidP="00CC392E">
      <w:pPr>
        <w:pStyle w:val="ListParagraph"/>
        <w:spacing w:line="360" w:lineRule="auto"/>
        <w:jc w:val="both"/>
        <w:rPr>
          <w:rFonts w:ascii="Arial" w:hAnsi="Arial" w:cs="Arial"/>
        </w:rPr>
      </w:pPr>
      <w:r>
        <w:rPr>
          <w:rFonts w:ascii="Arial" w:hAnsi="Arial" w:cs="Arial"/>
        </w:rPr>
        <w:t>Our clients subm</w:t>
      </w:r>
      <w:r w:rsidR="00333BAE">
        <w:rPr>
          <w:rFonts w:ascii="Arial" w:hAnsi="Arial" w:cs="Arial"/>
        </w:rPr>
        <w:t>itted individual tenders for</w:t>
      </w:r>
      <w:r>
        <w:rPr>
          <w:rFonts w:ascii="Arial" w:hAnsi="Arial" w:cs="Arial"/>
        </w:rPr>
        <w:t xml:space="preserve"> Tender . . . </w:t>
      </w:r>
      <w:r w:rsidR="00137FBC">
        <w:rPr>
          <w:rFonts w:ascii="Arial" w:hAnsi="Arial" w:cs="Arial"/>
        </w:rPr>
        <w:t xml:space="preserve">. They </w:t>
      </w:r>
      <w:r>
        <w:rPr>
          <w:rFonts w:ascii="Arial" w:hAnsi="Arial" w:cs="Arial"/>
        </w:rPr>
        <w:t>were not disqualified</w:t>
      </w:r>
      <w:r w:rsidR="00137FBC">
        <w:rPr>
          <w:rFonts w:ascii="Arial" w:hAnsi="Arial" w:cs="Arial"/>
        </w:rPr>
        <w:t>.</w:t>
      </w:r>
      <w:r>
        <w:rPr>
          <w:rFonts w:ascii="Arial" w:hAnsi="Arial" w:cs="Arial"/>
        </w:rPr>
        <w:t xml:space="preserve"> </w:t>
      </w:r>
      <w:r w:rsidR="00137FBC">
        <w:rPr>
          <w:rFonts w:ascii="Arial" w:hAnsi="Arial" w:cs="Arial"/>
        </w:rPr>
        <w:t xml:space="preserve">. . . [They] complied </w:t>
      </w:r>
      <w:r>
        <w:rPr>
          <w:rFonts w:ascii="Arial" w:hAnsi="Arial" w:cs="Arial"/>
        </w:rPr>
        <w:t>with all of the tender requirements.</w:t>
      </w:r>
    </w:p>
    <w:p w:rsidR="00AB0D99" w:rsidRDefault="00AB0D99" w:rsidP="00AA21BF">
      <w:pPr>
        <w:pStyle w:val="ListParagraph"/>
        <w:spacing w:line="360" w:lineRule="auto"/>
        <w:jc w:val="both"/>
        <w:rPr>
          <w:rFonts w:ascii="Arial" w:hAnsi="Arial" w:cs="Arial"/>
        </w:rPr>
      </w:pPr>
    </w:p>
    <w:p w:rsidR="00AB0D99" w:rsidRDefault="00333BAE" w:rsidP="00AA21BF">
      <w:pPr>
        <w:pStyle w:val="ListParagraph"/>
        <w:spacing w:line="360" w:lineRule="auto"/>
        <w:jc w:val="both"/>
        <w:rPr>
          <w:rFonts w:ascii="Arial" w:hAnsi="Arial" w:cs="Arial"/>
        </w:rPr>
      </w:pPr>
      <w:r>
        <w:rPr>
          <w:rFonts w:ascii="Arial" w:hAnsi="Arial" w:cs="Arial"/>
        </w:rPr>
        <w:t>Our client</w:t>
      </w:r>
      <w:r w:rsidR="00AB0D99">
        <w:rPr>
          <w:rFonts w:ascii="Arial" w:hAnsi="Arial" w:cs="Arial"/>
        </w:rPr>
        <w:t xml:space="preserve"> learnt on 15 </w:t>
      </w:r>
      <w:r>
        <w:rPr>
          <w:rFonts w:ascii="Arial" w:hAnsi="Arial" w:cs="Arial"/>
        </w:rPr>
        <w:t>October 2014 that the tender has</w:t>
      </w:r>
      <w:r w:rsidR="00AB0D99">
        <w:rPr>
          <w:rFonts w:ascii="Arial" w:hAnsi="Arial" w:cs="Arial"/>
        </w:rPr>
        <w:t xml:space="preserve"> been cancelled. </w:t>
      </w:r>
      <w:r w:rsidR="006F25EE">
        <w:rPr>
          <w:rFonts w:ascii="Arial" w:hAnsi="Arial" w:cs="Arial"/>
        </w:rPr>
        <w:t xml:space="preserve"> </w:t>
      </w:r>
      <w:r w:rsidR="00AB0D99">
        <w:rPr>
          <w:rFonts w:ascii="Arial" w:hAnsi="Arial" w:cs="Arial"/>
        </w:rPr>
        <w:t xml:space="preserve">They </w:t>
      </w:r>
      <w:r w:rsidR="00AB0D99" w:rsidRPr="00AB0D99">
        <w:rPr>
          <w:rFonts w:ascii="Arial" w:hAnsi="Arial" w:cs="Arial"/>
          <w:i/>
        </w:rPr>
        <w:t>are clearly materially prejudiced by the cancellation.</w:t>
      </w:r>
      <w:r w:rsidR="00AB0D99">
        <w:rPr>
          <w:rFonts w:ascii="Arial" w:hAnsi="Arial" w:cs="Arial"/>
        </w:rPr>
        <w:t xml:space="preserve"> </w:t>
      </w:r>
      <w:r w:rsidR="006F25EE">
        <w:rPr>
          <w:rFonts w:ascii="Arial" w:hAnsi="Arial" w:cs="Arial"/>
        </w:rPr>
        <w:t xml:space="preserve"> </w:t>
      </w:r>
      <w:r w:rsidR="00AB0D99" w:rsidRPr="00AB0D99">
        <w:rPr>
          <w:rFonts w:ascii="Arial" w:hAnsi="Arial" w:cs="Arial"/>
          <w:i/>
        </w:rPr>
        <w:t>They were also not consulted</w:t>
      </w:r>
      <w:r w:rsidR="00AB0D99">
        <w:rPr>
          <w:rFonts w:ascii="Arial" w:hAnsi="Arial" w:cs="Arial"/>
        </w:rPr>
        <w:t xml:space="preserve"> at all on the possibility of the Tender’s cancellation. </w:t>
      </w:r>
    </w:p>
    <w:p w:rsidR="00AB0D99" w:rsidRDefault="00AB0D99" w:rsidP="00AA21BF">
      <w:pPr>
        <w:pStyle w:val="ListParagraph"/>
        <w:spacing w:line="360" w:lineRule="auto"/>
        <w:jc w:val="both"/>
        <w:rPr>
          <w:rFonts w:ascii="Arial" w:hAnsi="Arial" w:cs="Arial"/>
        </w:rPr>
      </w:pPr>
    </w:p>
    <w:p w:rsidR="00AB0D99" w:rsidRDefault="00AB0D99" w:rsidP="00AA21BF">
      <w:pPr>
        <w:pStyle w:val="ListParagraph"/>
        <w:spacing w:line="360" w:lineRule="auto"/>
        <w:jc w:val="both"/>
        <w:rPr>
          <w:rFonts w:ascii="Arial" w:hAnsi="Arial" w:cs="Arial"/>
        </w:rPr>
      </w:pPr>
      <w:r>
        <w:rPr>
          <w:rFonts w:ascii="Arial" w:hAnsi="Arial" w:cs="Arial"/>
        </w:rPr>
        <w:t>To enable us to responsibly advise our clients with respect to their rights, we</w:t>
      </w:r>
      <w:r w:rsidR="00333BAE">
        <w:rPr>
          <w:rFonts w:ascii="Arial" w:hAnsi="Arial" w:cs="Arial"/>
        </w:rPr>
        <w:t xml:space="preserve"> [therefore </w:t>
      </w:r>
      <w:r>
        <w:rPr>
          <w:rFonts w:ascii="Arial" w:hAnsi="Arial" w:cs="Arial"/>
        </w:rPr>
        <w:t>kindly</w:t>
      </w:r>
      <w:r w:rsidR="00333BAE">
        <w:rPr>
          <w:rFonts w:ascii="Arial" w:hAnsi="Arial" w:cs="Arial"/>
        </w:rPr>
        <w:t xml:space="preserve"> require you]</w:t>
      </w:r>
      <w:r>
        <w:rPr>
          <w:rFonts w:ascii="Arial" w:hAnsi="Arial" w:cs="Arial"/>
        </w:rPr>
        <w:t xml:space="preserve"> to furnish us with the minutes of </w:t>
      </w:r>
      <w:r w:rsidR="00FA0657">
        <w:rPr>
          <w:rFonts w:ascii="Arial" w:hAnsi="Arial" w:cs="Arial"/>
        </w:rPr>
        <w:t>a</w:t>
      </w:r>
      <w:r>
        <w:rPr>
          <w:rFonts w:ascii="Arial" w:hAnsi="Arial" w:cs="Arial"/>
        </w:rPr>
        <w:t>ll meetings, at which the captioned Tender was discussed by the Tender Board, including the meeting at which the decision to cancel was deliberated and taken.</w:t>
      </w:r>
    </w:p>
    <w:p w:rsidR="00AB0D99" w:rsidRDefault="00AB0D99" w:rsidP="00AA21BF">
      <w:pPr>
        <w:pStyle w:val="ListParagraph"/>
        <w:spacing w:line="360" w:lineRule="auto"/>
        <w:jc w:val="both"/>
        <w:rPr>
          <w:rFonts w:ascii="Arial" w:hAnsi="Arial" w:cs="Arial"/>
        </w:rPr>
      </w:pPr>
    </w:p>
    <w:p w:rsidR="00AB0D99" w:rsidRDefault="00AB0D99" w:rsidP="00AA21BF">
      <w:pPr>
        <w:pStyle w:val="ListParagraph"/>
        <w:spacing w:line="360" w:lineRule="auto"/>
        <w:jc w:val="both"/>
        <w:rPr>
          <w:rFonts w:ascii="Arial" w:hAnsi="Arial" w:cs="Arial"/>
        </w:rPr>
      </w:pPr>
      <w:r>
        <w:rPr>
          <w:rFonts w:ascii="Arial" w:hAnsi="Arial" w:cs="Arial"/>
        </w:rPr>
        <w:t xml:space="preserve">. . . Although the Tender Board Act and Regulations do not make it compulsory for the Tender Board to make available all documents which served before the Tender Board </w:t>
      </w:r>
      <w:r w:rsidR="00FA0657">
        <w:rPr>
          <w:rFonts w:ascii="Arial" w:hAnsi="Arial" w:cs="Arial"/>
        </w:rPr>
        <w:t xml:space="preserve">when the meetings referred to took place, our </w:t>
      </w:r>
      <w:r w:rsidR="00662971">
        <w:rPr>
          <w:rFonts w:ascii="Arial" w:hAnsi="Arial" w:cs="Arial"/>
        </w:rPr>
        <w:t>Court</w:t>
      </w:r>
      <w:r w:rsidR="00FA0657">
        <w:rPr>
          <w:rFonts w:ascii="Arial" w:hAnsi="Arial" w:cs="Arial"/>
        </w:rPr>
        <w:t xml:space="preserve">s have now on numerous occasions adopted the attitude that Article 18 of the Constitution makes an aggrieved tenderer entitled to have access to such documents (you will recall the High </w:t>
      </w:r>
      <w:r w:rsidR="00662971">
        <w:rPr>
          <w:rFonts w:ascii="Arial" w:hAnsi="Arial" w:cs="Arial"/>
        </w:rPr>
        <w:t>Court</w:t>
      </w:r>
      <w:r w:rsidR="00FA0657">
        <w:rPr>
          <w:rFonts w:ascii="Arial" w:hAnsi="Arial" w:cs="Arial"/>
        </w:rPr>
        <w:t xml:space="preserve">‘s attitude in the Neckartal case). </w:t>
      </w:r>
      <w:r w:rsidR="006F25EE">
        <w:rPr>
          <w:rFonts w:ascii="Arial" w:hAnsi="Arial" w:cs="Arial"/>
        </w:rPr>
        <w:t xml:space="preserve"> </w:t>
      </w:r>
      <w:r w:rsidR="00FA0657">
        <w:rPr>
          <w:rFonts w:ascii="Arial" w:hAnsi="Arial" w:cs="Arial"/>
        </w:rPr>
        <w:t>In the light thereof, we request you to make such docum</w:t>
      </w:r>
      <w:r w:rsidR="00AA21BF">
        <w:rPr>
          <w:rFonts w:ascii="Arial" w:hAnsi="Arial" w:cs="Arial"/>
        </w:rPr>
        <w:t>e</w:t>
      </w:r>
      <w:r w:rsidR="00333BAE">
        <w:rPr>
          <w:rFonts w:ascii="Arial" w:hAnsi="Arial" w:cs="Arial"/>
        </w:rPr>
        <w:t>nts also availabl</w:t>
      </w:r>
      <w:r w:rsidR="00387DFA">
        <w:rPr>
          <w:rFonts w:ascii="Arial" w:hAnsi="Arial" w:cs="Arial"/>
        </w:rPr>
        <w:t>e.</w:t>
      </w:r>
      <w:r w:rsidR="00AA21BF">
        <w:rPr>
          <w:rFonts w:ascii="Arial" w:hAnsi="Arial" w:cs="Arial"/>
        </w:rPr>
        <w:t xml:space="preserve"> . . .’</w:t>
      </w:r>
    </w:p>
    <w:p w:rsidR="00AB0D99" w:rsidRDefault="00AB0D99" w:rsidP="006D37EA">
      <w:pPr>
        <w:pStyle w:val="ListParagraph"/>
        <w:rPr>
          <w:rFonts w:ascii="Arial" w:hAnsi="Arial" w:cs="Arial"/>
        </w:rPr>
      </w:pPr>
    </w:p>
    <w:p w:rsidR="00721FB6" w:rsidRDefault="00B76C20" w:rsidP="006D37EA">
      <w:pPr>
        <w:pStyle w:val="NoSpacing"/>
        <w:spacing w:line="480" w:lineRule="auto"/>
        <w:jc w:val="both"/>
        <w:rPr>
          <w:rFonts w:ascii="Arial" w:hAnsi="Arial" w:cs="Arial"/>
          <w:sz w:val="24"/>
          <w:szCs w:val="24"/>
        </w:rPr>
      </w:pPr>
      <w:r>
        <w:rPr>
          <w:rFonts w:ascii="Arial" w:hAnsi="Arial" w:cs="Arial"/>
          <w:sz w:val="24"/>
          <w:szCs w:val="24"/>
        </w:rPr>
        <w:t>O</w:t>
      </w:r>
      <w:r w:rsidR="00A867CB">
        <w:rPr>
          <w:rFonts w:ascii="Arial" w:hAnsi="Arial" w:cs="Arial"/>
          <w:sz w:val="24"/>
          <w:szCs w:val="24"/>
        </w:rPr>
        <w:t xml:space="preserve">n </w:t>
      </w:r>
      <w:r w:rsidR="00DC7926">
        <w:rPr>
          <w:rFonts w:ascii="Arial" w:hAnsi="Arial" w:cs="Arial"/>
          <w:sz w:val="24"/>
          <w:szCs w:val="24"/>
        </w:rPr>
        <w:t>4</w:t>
      </w:r>
      <w:r w:rsidR="00A867CB">
        <w:rPr>
          <w:rFonts w:ascii="Arial" w:hAnsi="Arial" w:cs="Arial"/>
          <w:sz w:val="24"/>
          <w:szCs w:val="24"/>
        </w:rPr>
        <w:t xml:space="preserve"> November 2014</w:t>
      </w:r>
      <w:r w:rsidR="00DC7926">
        <w:rPr>
          <w:rFonts w:ascii="Arial" w:hAnsi="Arial" w:cs="Arial"/>
          <w:sz w:val="24"/>
          <w:szCs w:val="24"/>
        </w:rPr>
        <w:t xml:space="preserve"> the appellants received a response </w:t>
      </w:r>
      <w:r w:rsidR="00387DFA">
        <w:rPr>
          <w:rFonts w:ascii="Arial" w:hAnsi="Arial" w:cs="Arial"/>
          <w:sz w:val="24"/>
          <w:szCs w:val="24"/>
        </w:rPr>
        <w:t>from the Board indicating</w:t>
      </w:r>
      <w:r w:rsidR="00DC7926">
        <w:rPr>
          <w:rFonts w:ascii="Arial" w:hAnsi="Arial" w:cs="Arial"/>
          <w:sz w:val="24"/>
          <w:szCs w:val="24"/>
        </w:rPr>
        <w:t xml:space="preserve"> that the letter was forwarded to the Government attorney’s office.</w:t>
      </w:r>
      <w:r w:rsidR="00362EA0">
        <w:rPr>
          <w:rStyle w:val="FootnoteReference"/>
          <w:rFonts w:ascii="Arial" w:hAnsi="Arial" w:cs="Arial"/>
          <w:sz w:val="24"/>
          <w:szCs w:val="24"/>
        </w:rPr>
        <w:footnoteReference w:id="6"/>
      </w:r>
      <w:r w:rsidR="00265747">
        <w:rPr>
          <w:rFonts w:ascii="Arial" w:hAnsi="Arial" w:cs="Arial"/>
          <w:sz w:val="24"/>
          <w:szCs w:val="24"/>
        </w:rPr>
        <w:t xml:space="preserve"> </w:t>
      </w:r>
    </w:p>
    <w:p w:rsidR="00A867CB" w:rsidRDefault="00A867CB" w:rsidP="00306CBB">
      <w:pPr>
        <w:rPr>
          <w:rFonts w:ascii="Arial" w:hAnsi="Arial" w:cs="Arial"/>
          <w:sz w:val="24"/>
          <w:szCs w:val="24"/>
        </w:rPr>
      </w:pPr>
    </w:p>
    <w:p w:rsidR="00DC7926" w:rsidRPr="0038248D" w:rsidRDefault="00A867CB" w:rsidP="00306CBB">
      <w:pPr>
        <w:rPr>
          <w:rFonts w:ascii="Arial" w:hAnsi="Arial" w:cs="Arial"/>
          <w:sz w:val="24"/>
          <w:szCs w:val="24"/>
          <w:u w:val="single"/>
        </w:rPr>
      </w:pPr>
      <w:r w:rsidRPr="0038248D">
        <w:rPr>
          <w:rFonts w:ascii="Arial" w:hAnsi="Arial" w:cs="Arial"/>
          <w:sz w:val="24"/>
          <w:szCs w:val="24"/>
          <w:u w:val="single"/>
        </w:rPr>
        <w:t xml:space="preserve">High </w:t>
      </w:r>
      <w:r w:rsidR="00662971">
        <w:rPr>
          <w:rFonts w:ascii="Arial" w:hAnsi="Arial" w:cs="Arial"/>
          <w:sz w:val="24"/>
          <w:szCs w:val="24"/>
          <w:u w:val="single"/>
        </w:rPr>
        <w:t>Court</w:t>
      </w:r>
      <w:r w:rsidRPr="0038248D">
        <w:rPr>
          <w:rFonts w:ascii="Arial" w:hAnsi="Arial" w:cs="Arial"/>
          <w:sz w:val="24"/>
          <w:szCs w:val="24"/>
          <w:u w:val="single"/>
        </w:rPr>
        <w:t xml:space="preserve"> proceedings</w:t>
      </w:r>
    </w:p>
    <w:p w:rsidR="00BF1C62" w:rsidRDefault="006C3346" w:rsidP="007C2C6F">
      <w:pPr>
        <w:pStyle w:val="NoSpacing"/>
        <w:numPr>
          <w:ilvl w:val="0"/>
          <w:numId w:val="16"/>
        </w:numPr>
        <w:spacing w:line="480" w:lineRule="auto"/>
        <w:ind w:left="0" w:firstLine="0"/>
        <w:jc w:val="both"/>
        <w:rPr>
          <w:rFonts w:ascii="Arial" w:hAnsi="Arial" w:cs="Arial"/>
          <w:sz w:val="24"/>
          <w:szCs w:val="24"/>
        </w:rPr>
      </w:pPr>
      <w:r w:rsidRPr="006929F5">
        <w:rPr>
          <w:rFonts w:ascii="Arial" w:hAnsi="Arial" w:cs="Arial"/>
          <w:sz w:val="24"/>
          <w:szCs w:val="24"/>
        </w:rPr>
        <w:t xml:space="preserve">Aggrieved by the response of the </w:t>
      </w:r>
      <w:r w:rsidR="00DD4351">
        <w:rPr>
          <w:rFonts w:ascii="Arial" w:hAnsi="Arial" w:cs="Arial"/>
          <w:sz w:val="24"/>
          <w:szCs w:val="24"/>
        </w:rPr>
        <w:t>Board</w:t>
      </w:r>
      <w:r w:rsidRPr="006929F5">
        <w:rPr>
          <w:rFonts w:ascii="Arial" w:hAnsi="Arial" w:cs="Arial"/>
          <w:sz w:val="24"/>
          <w:szCs w:val="24"/>
        </w:rPr>
        <w:t xml:space="preserve"> the appellant</w:t>
      </w:r>
      <w:r w:rsidR="00DD4351">
        <w:rPr>
          <w:rFonts w:ascii="Arial" w:hAnsi="Arial" w:cs="Arial"/>
          <w:sz w:val="24"/>
          <w:szCs w:val="24"/>
        </w:rPr>
        <w:t>s</w:t>
      </w:r>
      <w:r w:rsidRPr="006929F5">
        <w:rPr>
          <w:rFonts w:ascii="Arial" w:hAnsi="Arial" w:cs="Arial"/>
          <w:sz w:val="24"/>
          <w:szCs w:val="24"/>
        </w:rPr>
        <w:t xml:space="preserve"> launched </w:t>
      </w:r>
      <w:r w:rsidR="00984516">
        <w:rPr>
          <w:rFonts w:ascii="Arial" w:hAnsi="Arial" w:cs="Arial"/>
          <w:sz w:val="24"/>
          <w:szCs w:val="24"/>
        </w:rPr>
        <w:t>an</w:t>
      </w:r>
      <w:r w:rsidRPr="006929F5">
        <w:rPr>
          <w:rFonts w:ascii="Arial" w:hAnsi="Arial" w:cs="Arial"/>
          <w:sz w:val="24"/>
          <w:szCs w:val="24"/>
        </w:rPr>
        <w:t xml:space="preserve"> application in the High </w:t>
      </w:r>
      <w:r w:rsidR="00662971">
        <w:rPr>
          <w:rFonts w:ascii="Arial" w:hAnsi="Arial" w:cs="Arial"/>
          <w:sz w:val="24"/>
          <w:szCs w:val="24"/>
        </w:rPr>
        <w:t>Court</w:t>
      </w:r>
      <w:r w:rsidRPr="006929F5">
        <w:rPr>
          <w:rFonts w:ascii="Arial" w:hAnsi="Arial" w:cs="Arial"/>
          <w:sz w:val="24"/>
          <w:szCs w:val="24"/>
        </w:rPr>
        <w:t xml:space="preserve"> seeking </w:t>
      </w:r>
      <w:r w:rsidR="006929F5" w:rsidRPr="006929F5">
        <w:rPr>
          <w:rFonts w:ascii="Arial" w:hAnsi="Arial" w:cs="Arial"/>
          <w:sz w:val="24"/>
          <w:szCs w:val="24"/>
        </w:rPr>
        <w:t>an</w:t>
      </w:r>
      <w:r w:rsidR="00BF1C62">
        <w:rPr>
          <w:rFonts w:ascii="Arial" w:hAnsi="Arial" w:cs="Arial"/>
          <w:sz w:val="24"/>
          <w:szCs w:val="24"/>
        </w:rPr>
        <w:t xml:space="preserve"> order in the following terms:</w:t>
      </w:r>
    </w:p>
    <w:p w:rsidR="0038248D" w:rsidRDefault="0038248D" w:rsidP="0038248D">
      <w:pPr>
        <w:pStyle w:val="NoSpacing"/>
        <w:spacing w:line="480" w:lineRule="auto"/>
        <w:jc w:val="both"/>
        <w:rPr>
          <w:rFonts w:ascii="Arial" w:hAnsi="Arial" w:cs="Arial"/>
          <w:sz w:val="24"/>
          <w:szCs w:val="24"/>
        </w:rPr>
      </w:pPr>
    </w:p>
    <w:p w:rsidR="00CE6AC1" w:rsidRDefault="00AA21BF" w:rsidP="00AA21BF">
      <w:pPr>
        <w:pStyle w:val="NoSpacing"/>
        <w:spacing w:line="360" w:lineRule="auto"/>
        <w:ind w:left="720"/>
        <w:jc w:val="both"/>
        <w:rPr>
          <w:rFonts w:ascii="Arial" w:hAnsi="Arial" w:cs="Arial"/>
        </w:rPr>
      </w:pPr>
      <w:r>
        <w:rPr>
          <w:rFonts w:ascii="Arial" w:hAnsi="Arial" w:cs="Arial"/>
        </w:rPr>
        <w:lastRenderedPageBreak/>
        <w:t>‘</w:t>
      </w:r>
      <w:r w:rsidR="00CE6AC1">
        <w:rPr>
          <w:rFonts w:ascii="Arial" w:hAnsi="Arial" w:cs="Arial"/>
        </w:rPr>
        <w:t>1.</w:t>
      </w:r>
      <w:r w:rsidR="00CE6AC1">
        <w:rPr>
          <w:rFonts w:ascii="Arial" w:hAnsi="Arial" w:cs="Arial"/>
        </w:rPr>
        <w:tab/>
        <w:t>Reviewing and correcting or setting aside the decision by the Tender Board … communicated to the [appellants] on 15 October 2014, to cancel Tender No M9-11/2014 for the provision of catering services to Government school hostels for the period 1 June 2014 to 31 May 2019 (“the Tender”)</w:t>
      </w:r>
      <w:r w:rsidR="00333BAE">
        <w:rPr>
          <w:rFonts w:ascii="Arial" w:hAnsi="Arial" w:cs="Arial"/>
        </w:rPr>
        <w:t>.</w:t>
      </w:r>
    </w:p>
    <w:p w:rsidR="00CE6AC1" w:rsidRDefault="00333BAE" w:rsidP="00AA21BF">
      <w:pPr>
        <w:pStyle w:val="NoSpacing"/>
        <w:spacing w:line="360" w:lineRule="auto"/>
        <w:ind w:left="720"/>
        <w:jc w:val="both"/>
        <w:rPr>
          <w:rFonts w:ascii="Arial" w:hAnsi="Arial" w:cs="Arial"/>
        </w:rPr>
      </w:pPr>
      <w:r>
        <w:rPr>
          <w:rFonts w:ascii="Arial" w:hAnsi="Arial" w:cs="Arial"/>
        </w:rPr>
        <w:t>2.</w:t>
      </w:r>
      <w:r>
        <w:rPr>
          <w:rFonts w:ascii="Arial" w:hAnsi="Arial" w:cs="Arial"/>
        </w:rPr>
        <w:tab/>
        <w:t xml:space="preserve">Directing the [Board] and the </w:t>
      </w:r>
      <w:r w:rsidR="005D0EE2">
        <w:rPr>
          <w:rFonts w:ascii="Arial" w:hAnsi="Arial" w:cs="Arial"/>
        </w:rPr>
        <w:t xml:space="preserve">[Ministry </w:t>
      </w:r>
      <w:r w:rsidR="00CE6AC1">
        <w:rPr>
          <w:rFonts w:ascii="Arial" w:hAnsi="Arial" w:cs="Arial"/>
        </w:rPr>
        <w:t>of Education] to enter into agreements, as contemplated in section 16(2)</w:t>
      </w:r>
      <w:r>
        <w:rPr>
          <w:rFonts w:ascii="Arial" w:hAnsi="Arial" w:cs="Arial"/>
        </w:rPr>
        <w:t xml:space="preserve"> of the [Tender </w:t>
      </w:r>
      <w:r w:rsidR="00CE6AC1">
        <w:rPr>
          <w:rFonts w:ascii="Arial" w:hAnsi="Arial" w:cs="Arial"/>
        </w:rPr>
        <w:t>Act</w:t>
      </w:r>
      <w:r>
        <w:rPr>
          <w:rFonts w:ascii="Arial" w:hAnsi="Arial" w:cs="Arial"/>
        </w:rPr>
        <w:t>]</w:t>
      </w:r>
      <w:r w:rsidR="00CE6AC1">
        <w:rPr>
          <w:rFonts w:ascii="Arial" w:hAnsi="Arial" w:cs="Arial"/>
        </w:rPr>
        <w:t>, with the [appellants] in respect of the Khomas and Otjozondjupa catering regions respectively awarded to them</w:t>
      </w:r>
      <w:r>
        <w:rPr>
          <w:rFonts w:ascii="Arial" w:hAnsi="Arial" w:cs="Arial"/>
        </w:rPr>
        <w:t xml:space="preserve"> on 2 October 2014 by [the</w:t>
      </w:r>
      <w:r w:rsidR="00CE6AC1">
        <w:rPr>
          <w:rFonts w:ascii="Arial" w:hAnsi="Arial" w:cs="Arial"/>
        </w:rPr>
        <w:t xml:space="preserve"> Board</w:t>
      </w:r>
      <w:r>
        <w:rPr>
          <w:rFonts w:ascii="Arial" w:hAnsi="Arial" w:cs="Arial"/>
        </w:rPr>
        <w:t>]</w:t>
      </w:r>
      <w:r w:rsidR="00CE6AC1">
        <w:rPr>
          <w:rFonts w:ascii="Arial" w:hAnsi="Arial" w:cs="Arial"/>
        </w:rPr>
        <w:t>, within 7 days.</w:t>
      </w:r>
    </w:p>
    <w:p w:rsidR="00CE6AC1" w:rsidRDefault="00CE6AC1" w:rsidP="00AA21BF">
      <w:pPr>
        <w:pStyle w:val="NoSpacing"/>
        <w:spacing w:line="360" w:lineRule="auto"/>
        <w:ind w:left="720"/>
        <w:jc w:val="both"/>
        <w:rPr>
          <w:rFonts w:ascii="Arial" w:hAnsi="Arial" w:cs="Arial"/>
        </w:rPr>
      </w:pPr>
      <w:r>
        <w:rPr>
          <w:rFonts w:ascii="Arial" w:hAnsi="Arial" w:cs="Arial"/>
        </w:rPr>
        <w:t>3.</w:t>
      </w:r>
      <w:r>
        <w:rPr>
          <w:rFonts w:ascii="Arial" w:hAnsi="Arial" w:cs="Arial"/>
        </w:rPr>
        <w:tab/>
        <w:t>Declaring that the agreements en</w:t>
      </w:r>
      <w:r w:rsidR="00333BAE">
        <w:rPr>
          <w:rFonts w:ascii="Arial" w:hAnsi="Arial" w:cs="Arial"/>
        </w:rPr>
        <w:t>tered into by [the</w:t>
      </w:r>
      <w:r>
        <w:rPr>
          <w:rFonts w:ascii="Arial" w:hAnsi="Arial" w:cs="Arial"/>
        </w:rPr>
        <w:t xml:space="preserve"> Board</w:t>
      </w:r>
      <w:r w:rsidR="00333BAE">
        <w:rPr>
          <w:rFonts w:ascii="Arial" w:hAnsi="Arial" w:cs="Arial"/>
        </w:rPr>
        <w:t xml:space="preserve">] and the [Ministry] </w:t>
      </w:r>
      <w:r>
        <w:rPr>
          <w:rFonts w:ascii="Arial" w:hAnsi="Arial" w:cs="Arial"/>
        </w:rPr>
        <w:t>with service providers, to extend catering contracts originally concluded after the service providers successfully tendered to provide those services, as alluded to in paragraphs 25 and 26 of the answering affidavit</w:t>
      </w:r>
      <w:r w:rsidR="00333BAE">
        <w:rPr>
          <w:rFonts w:ascii="Arial" w:hAnsi="Arial" w:cs="Arial"/>
        </w:rPr>
        <w:t xml:space="preserve"> . . . on behalf on the [Board, Minist</w:t>
      </w:r>
      <w:r>
        <w:rPr>
          <w:rFonts w:ascii="Arial" w:hAnsi="Arial" w:cs="Arial"/>
        </w:rPr>
        <w:t>r</w:t>
      </w:r>
      <w:r w:rsidR="00333BAE">
        <w:rPr>
          <w:rFonts w:ascii="Arial" w:hAnsi="Arial" w:cs="Arial"/>
        </w:rPr>
        <w:t>y</w:t>
      </w:r>
      <w:r>
        <w:rPr>
          <w:rFonts w:ascii="Arial" w:hAnsi="Arial" w:cs="Arial"/>
        </w:rPr>
        <w:t xml:space="preserve"> and third respondent, Prime Minister of the Repub</w:t>
      </w:r>
      <w:r w:rsidR="00333BAE">
        <w:rPr>
          <w:rFonts w:ascii="Arial" w:hAnsi="Arial" w:cs="Arial"/>
        </w:rPr>
        <w:t>lic of Namibia (Prime Minister)]</w:t>
      </w:r>
      <w:r w:rsidR="00895AA9">
        <w:rPr>
          <w:rFonts w:ascii="Arial" w:hAnsi="Arial" w:cs="Arial"/>
        </w:rPr>
        <w:t xml:space="preserve"> on 10 June 2015, are unlawful as they are </w:t>
      </w:r>
      <w:r w:rsidR="00895AA9" w:rsidRPr="00895AA9">
        <w:rPr>
          <w:rFonts w:ascii="Arial" w:hAnsi="Arial" w:cs="Arial"/>
          <w:i/>
        </w:rPr>
        <w:t>ultra vires</w:t>
      </w:r>
      <w:r w:rsidR="00333BAE">
        <w:rPr>
          <w:rFonts w:ascii="Arial" w:hAnsi="Arial" w:cs="Arial"/>
        </w:rPr>
        <w:t xml:space="preserve"> the </w:t>
      </w:r>
      <w:r w:rsidR="00895AA9">
        <w:rPr>
          <w:rFonts w:ascii="Arial" w:hAnsi="Arial" w:cs="Arial"/>
        </w:rPr>
        <w:t>Board.</w:t>
      </w:r>
    </w:p>
    <w:p w:rsidR="00597A9F" w:rsidRDefault="00CE6AC1" w:rsidP="00AA21BF">
      <w:pPr>
        <w:pStyle w:val="NoSpacing"/>
        <w:spacing w:line="360" w:lineRule="auto"/>
        <w:ind w:left="720"/>
        <w:jc w:val="both"/>
        <w:rPr>
          <w:rFonts w:ascii="Arial" w:hAnsi="Arial" w:cs="Arial"/>
        </w:rPr>
      </w:pPr>
      <w:r>
        <w:rPr>
          <w:rFonts w:ascii="Arial" w:hAnsi="Arial" w:cs="Arial"/>
        </w:rPr>
        <w:t xml:space="preserve">4. </w:t>
      </w:r>
      <w:r w:rsidR="00597A9F">
        <w:rPr>
          <w:rFonts w:ascii="Arial" w:hAnsi="Arial" w:cs="Arial"/>
        </w:rPr>
        <w:t>. . . .</w:t>
      </w:r>
    </w:p>
    <w:p w:rsidR="00CE6AC1" w:rsidRDefault="00597A9F" w:rsidP="00AA21BF">
      <w:pPr>
        <w:pStyle w:val="NoSpacing"/>
        <w:spacing w:line="360" w:lineRule="auto"/>
        <w:ind w:left="720"/>
        <w:jc w:val="both"/>
        <w:rPr>
          <w:rFonts w:ascii="Arial" w:hAnsi="Arial" w:cs="Arial"/>
        </w:rPr>
      </w:pPr>
      <w:r>
        <w:rPr>
          <w:rFonts w:ascii="Arial" w:hAnsi="Arial" w:cs="Arial"/>
        </w:rPr>
        <w:t xml:space="preserve">5. </w:t>
      </w:r>
      <w:r w:rsidR="00CE6AC1">
        <w:rPr>
          <w:rFonts w:ascii="Arial" w:hAnsi="Arial" w:cs="Arial"/>
        </w:rPr>
        <w:t>Costs of suit against those respondents opposing this application, jointly and severally, if more than one opposes.</w:t>
      </w:r>
    </w:p>
    <w:p w:rsidR="00CE6AC1" w:rsidRDefault="00AA21BF" w:rsidP="00AA21BF">
      <w:pPr>
        <w:pStyle w:val="NoSpacing"/>
        <w:spacing w:line="360" w:lineRule="auto"/>
        <w:ind w:left="720"/>
        <w:jc w:val="both"/>
        <w:rPr>
          <w:rFonts w:ascii="Arial" w:hAnsi="Arial" w:cs="Arial"/>
        </w:rPr>
      </w:pPr>
      <w:r>
        <w:rPr>
          <w:rFonts w:ascii="Arial" w:hAnsi="Arial" w:cs="Arial"/>
        </w:rPr>
        <w:t>. . . ‘</w:t>
      </w:r>
    </w:p>
    <w:p w:rsidR="00AA21BF" w:rsidRDefault="00AA21BF" w:rsidP="00AA21BF">
      <w:pPr>
        <w:pStyle w:val="NoSpacing"/>
        <w:spacing w:line="360" w:lineRule="auto"/>
        <w:ind w:left="720"/>
        <w:jc w:val="both"/>
        <w:rPr>
          <w:rFonts w:ascii="Arial" w:hAnsi="Arial" w:cs="Arial"/>
        </w:rPr>
      </w:pPr>
    </w:p>
    <w:p w:rsidR="00CE6AC1" w:rsidRPr="001109B7" w:rsidRDefault="00597A9F" w:rsidP="00597A9F">
      <w:pPr>
        <w:pStyle w:val="NoSpacing"/>
        <w:spacing w:line="480" w:lineRule="auto"/>
        <w:jc w:val="both"/>
        <w:rPr>
          <w:rFonts w:ascii="Arial" w:hAnsi="Arial" w:cs="Arial"/>
          <w:sz w:val="24"/>
          <w:szCs w:val="24"/>
        </w:rPr>
      </w:pPr>
      <w:r w:rsidRPr="001109B7">
        <w:rPr>
          <w:rFonts w:ascii="Arial" w:hAnsi="Arial" w:cs="Arial"/>
          <w:sz w:val="24"/>
          <w:szCs w:val="24"/>
        </w:rPr>
        <w:t>In prayer 4 of the amended notice of motion the appellants sought an interdictory relief restraining the Board and the Ministry from continuing with the implementation of the extended catering contracts. This relief has since been abandoned.</w:t>
      </w:r>
    </w:p>
    <w:p w:rsidR="00597A9F" w:rsidRPr="00BF1C62" w:rsidRDefault="00597A9F" w:rsidP="00597A9F">
      <w:pPr>
        <w:pStyle w:val="NoSpacing"/>
        <w:spacing w:line="480" w:lineRule="auto"/>
        <w:jc w:val="both"/>
        <w:rPr>
          <w:rFonts w:ascii="Arial" w:hAnsi="Arial" w:cs="Arial"/>
        </w:rPr>
      </w:pPr>
    </w:p>
    <w:p w:rsidR="001F743D" w:rsidRPr="00CE6AC1" w:rsidRDefault="00CD50D1" w:rsidP="007C2C6F">
      <w:pPr>
        <w:pStyle w:val="NoSpacing"/>
        <w:numPr>
          <w:ilvl w:val="0"/>
          <w:numId w:val="16"/>
        </w:numPr>
        <w:spacing w:line="480" w:lineRule="auto"/>
        <w:ind w:left="0" w:firstLine="0"/>
        <w:jc w:val="both"/>
        <w:rPr>
          <w:rFonts w:ascii="Arial" w:hAnsi="Arial" w:cs="Arial"/>
          <w:sz w:val="24"/>
          <w:szCs w:val="24"/>
        </w:rPr>
      </w:pPr>
      <w:r w:rsidRPr="00CE6AC1">
        <w:rPr>
          <w:rFonts w:ascii="Arial" w:hAnsi="Arial" w:cs="Arial"/>
          <w:sz w:val="24"/>
          <w:szCs w:val="24"/>
        </w:rPr>
        <w:t>The</w:t>
      </w:r>
      <w:r w:rsidR="00E716F7" w:rsidRPr="00CE6AC1">
        <w:rPr>
          <w:rFonts w:ascii="Arial" w:hAnsi="Arial" w:cs="Arial"/>
          <w:sz w:val="24"/>
          <w:szCs w:val="24"/>
        </w:rPr>
        <w:t xml:space="preserve"> </w:t>
      </w:r>
      <w:r w:rsidR="00597A9F">
        <w:rPr>
          <w:rFonts w:ascii="Arial" w:hAnsi="Arial" w:cs="Arial"/>
          <w:sz w:val="24"/>
          <w:szCs w:val="24"/>
        </w:rPr>
        <w:t xml:space="preserve">main </w:t>
      </w:r>
      <w:r w:rsidR="00E716F7" w:rsidRPr="00CE6AC1">
        <w:rPr>
          <w:rFonts w:ascii="Arial" w:hAnsi="Arial" w:cs="Arial"/>
          <w:sz w:val="24"/>
          <w:szCs w:val="24"/>
        </w:rPr>
        <w:t xml:space="preserve">relief sought </w:t>
      </w:r>
      <w:r w:rsidR="00597A9F">
        <w:rPr>
          <w:rFonts w:ascii="Arial" w:hAnsi="Arial" w:cs="Arial"/>
          <w:sz w:val="24"/>
          <w:szCs w:val="24"/>
        </w:rPr>
        <w:t>(</w:t>
      </w:r>
      <w:r w:rsidR="00895AA9">
        <w:rPr>
          <w:rFonts w:ascii="Arial" w:hAnsi="Arial" w:cs="Arial"/>
          <w:sz w:val="24"/>
          <w:szCs w:val="24"/>
        </w:rPr>
        <w:t xml:space="preserve">reviewing and </w:t>
      </w:r>
      <w:r w:rsidR="00597A9F">
        <w:rPr>
          <w:rFonts w:ascii="Arial" w:hAnsi="Arial" w:cs="Arial"/>
          <w:sz w:val="24"/>
          <w:szCs w:val="24"/>
        </w:rPr>
        <w:t>setting aside the canc</w:t>
      </w:r>
      <w:r w:rsidR="00895AA9">
        <w:rPr>
          <w:rFonts w:ascii="Arial" w:hAnsi="Arial" w:cs="Arial"/>
          <w:sz w:val="24"/>
          <w:szCs w:val="24"/>
        </w:rPr>
        <w:t>ellation decision) was based</w:t>
      </w:r>
      <w:r w:rsidR="00597A9F">
        <w:rPr>
          <w:rFonts w:ascii="Arial" w:hAnsi="Arial" w:cs="Arial"/>
          <w:sz w:val="24"/>
          <w:szCs w:val="24"/>
        </w:rPr>
        <w:t xml:space="preserve"> first, </w:t>
      </w:r>
      <w:r w:rsidR="00895AA9">
        <w:rPr>
          <w:rFonts w:ascii="Arial" w:hAnsi="Arial" w:cs="Arial"/>
          <w:sz w:val="24"/>
          <w:szCs w:val="24"/>
        </w:rPr>
        <w:t xml:space="preserve">on </w:t>
      </w:r>
      <w:r w:rsidR="00E716F7" w:rsidRPr="00CE6AC1">
        <w:rPr>
          <w:rFonts w:ascii="Arial" w:hAnsi="Arial" w:cs="Arial"/>
          <w:sz w:val="24"/>
          <w:szCs w:val="24"/>
        </w:rPr>
        <w:t>a procedural ground − that the appellants were denied a right to be heard (</w:t>
      </w:r>
      <w:r w:rsidR="00E716F7" w:rsidRPr="00333BAE">
        <w:rPr>
          <w:rFonts w:ascii="Arial" w:hAnsi="Arial" w:cs="Arial"/>
          <w:i/>
          <w:sz w:val="24"/>
          <w:szCs w:val="24"/>
        </w:rPr>
        <w:t>audi</w:t>
      </w:r>
      <w:r w:rsidR="001F743D" w:rsidRPr="00333BAE">
        <w:rPr>
          <w:rFonts w:ascii="Arial" w:hAnsi="Arial" w:cs="Arial"/>
          <w:i/>
          <w:sz w:val="24"/>
          <w:szCs w:val="24"/>
        </w:rPr>
        <w:t xml:space="preserve"> </w:t>
      </w:r>
      <w:r w:rsidR="001F743D" w:rsidRPr="00CE6AC1">
        <w:rPr>
          <w:rFonts w:ascii="Arial" w:hAnsi="Arial" w:cs="Arial"/>
          <w:i/>
          <w:sz w:val="24"/>
          <w:szCs w:val="24"/>
        </w:rPr>
        <w:t>alteram partem</w:t>
      </w:r>
      <w:r w:rsidR="00E716F7" w:rsidRPr="00CE6AC1">
        <w:rPr>
          <w:rFonts w:ascii="Arial" w:hAnsi="Arial" w:cs="Arial"/>
          <w:i/>
          <w:sz w:val="24"/>
          <w:szCs w:val="24"/>
        </w:rPr>
        <w:t>)</w:t>
      </w:r>
      <w:r w:rsidR="0000481B" w:rsidRPr="00CE6AC1">
        <w:rPr>
          <w:rFonts w:ascii="Arial" w:hAnsi="Arial" w:cs="Arial"/>
          <w:i/>
          <w:sz w:val="24"/>
          <w:szCs w:val="24"/>
        </w:rPr>
        <w:t xml:space="preserve"> </w:t>
      </w:r>
      <w:r w:rsidR="001C0516" w:rsidRPr="00597A9F">
        <w:rPr>
          <w:rFonts w:ascii="Arial" w:hAnsi="Arial" w:cs="Arial"/>
          <w:sz w:val="24"/>
          <w:szCs w:val="24"/>
        </w:rPr>
        <w:t>and</w:t>
      </w:r>
      <w:r w:rsidR="001109B7">
        <w:rPr>
          <w:rFonts w:ascii="Arial" w:hAnsi="Arial" w:cs="Arial"/>
          <w:sz w:val="24"/>
          <w:szCs w:val="24"/>
        </w:rPr>
        <w:t xml:space="preserve"> were</w:t>
      </w:r>
      <w:r w:rsidR="001C0516" w:rsidRPr="00597A9F">
        <w:rPr>
          <w:rFonts w:ascii="Arial" w:hAnsi="Arial" w:cs="Arial"/>
          <w:sz w:val="24"/>
          <w:szCs w:val="24"/>
        </w:rPr>
        <w:t xml:space="preserve"> prejudiced</w:t>
      </w:r>
      <w:r w:rsidR="00333BAE">
        <w:rPr>
          <w:rFonts w:ascii="Arial" w:hAnsi="Arial" w:cs="Arial"/>
          <w:sz w:val="24"/>
          <w:szCs w:val="24"/>
        </w:rPr>
        <w:t>. S</w:t>
      </w:r>
      <w:r w:rsidR="00597A9F">
        <w:rPr>
          <w:rFonts w:ascii="Arial" w:hAnsi="Arial" w:cs="Arial"/>
          <w:sz w:val="24"/>
          <w:szCs w:val="24"/>
        </w:rPr>
        <w:t>econd,</w:t>
      </w:r>
      <w:r w:rsidR="00333BAE">
        <w:rPr>
          <w:rFonts w:ascii="Arial" w:hAnsi="Arial" w:cs="Arial"/>
          <w:sz w:val="24"/>
          <w:szCs w:val="24"/>
        </w:rPr>
        <w:t xml:space="preserve"> on</w:t>
      </w:r>
      <w:r w:rsidR="00597A9F">
        <w:rPr>
          <w:rFonts w:ascii="Arial" w:hAnsi="Arial" w:cs="Arial"/>
          <w:sz w:val="24"/>
          <w:szCs w:val="24"/>
        </w:rPr>
        <w:t xml:space="preserve"> </w:t>
      </w:r>
      <w:r w:rsidR="00895AA9">
        <w:rPr>
          <w:rFonts w:ascii="Arial" w:hAnsi="Arial" w:cs="Arial"/>
          <w:sz w:val="24"/>
          <w:szCs w:val="24"/>
        </w:rPr>
        <w:t xml:space="preserve">a </w:t>
      </w:r>
      <w:r w:rsidR="00E716F7" w:rsidRPr="00597A9F">
        <w:rPr>
          <w:rFonts w:ascii="Arial" w:hAnsi="Arial" w:cs="Arial"/>
          <w:sz w:val="24"/>
          <w:szCs w:val="24"/>
        </w:rPr>
        <w:t xml:space="preserve">substantive ground – that the cancellation was </w:t>
      </w:r>
      <w:r w:rsidR="00895AA9">
        <w:rPr>
          <w:rFonts w:ascii="Arial" w:hAnsi="Arial" w:cs="Arial"/>
          <w:sz w:val="24"/>
          <w:szCs w:val="24"/>
        </w:rPr>
        <w:t xml:space="preserve">irrational and thus </w:t>
      </w:r>
      <w:r w:rsidR="00E716F7" w:rsidRPr="00597A9F">
        <w:rPr>
          <w:rFonts w:ascii="Arial" w:hAnsi="Arial" w:cs="Arial"/>
          <w:sz w:val="24"/>
          <w:szCs w:val="24"/>
        </w:rPr>
        <w:t>unlawful</w:t>
      </w:r>
      <w:r w:rsidR="00597A9F">
        <w:rPr>
          <w:rFonts w:ascii="Arial" w:hAnsi="Arial" w:cs="Arial"/>
          <w:i/>
          <w:sz w:val="24"/>
          <w:szCs w:val="24"/>
        </w:rPr>
        <w:t>.</w:t>
      </w:r>
      <w:r w:rsidR="00597A9F">
        <w:rPr>
          <w:rFonts w:ascii="Arial" w:hAnsi="Arial" w:cs="Arial"/>
          <w:sz w:val="24"/>
          <w:szCs w:val="24"/>
        </w:rPr>
        <w:t xml:space="preserve"> Thirdly, it was contended that the</w:t>
      </w:r>
      <w:r w:rsidR="005F1ED2" w:rsidRPr="00CE6AC1">
        <w:rPr>
          <w:rFonts w:ascii="Arial" w:hAnsi="Arial" w:cs="Arial"/>
          <w:sz w:val="24"/>
          <w:szCs w:val="24"/>
        </w:rPr>
        <w:t xml:space="preserve"> Board and</w:t>
      </w:r>
      <w:r w:rsidR="00895AA9">
        <w:rPr>
          <w:rFonts w:ascii="Arial" w:hAnsi="Arial" w:cs="Arial"/>
          <w:sz w:val="24"/>
          <w:szCs w:val="24"/>
        </w:rPr>
        <w:t xml:space="preserve"> the</w:t>
      </w:r>
      <w:r w:rsidR="005F1ED2" w:rsidRPr="00CE6AC1">
        <w:rPr>
          <w:rFonts w:ascii="Arial" w:hAnsi="Arial" w:cs="Arial"/>
          <w:sz w:val="24"/>
          <w:szCs w:val="24"/>
        </w:rPr>
        <w:t xml:space="preserve"> Ministr</w:t>
      </w:r>
      <w:r w:rsidR="00984516" w:rsidRPr="00CE6AC1">
        <w:rPr>
          <w:rFonts w:ascii="Arial" w:hAnsi="Arial" w:cs="Arial"/>
          <w:sz w:val="24"/>
          <w:szCs w:val="24"/>
        </w:rPr>
        <w:t>y w</w:t>
      </w:r>
      <w:r w:rsidR="001109B7">
        <w:rPr>
          <w:rFonts w:ascii="Arial" w:hAnsi="Arial" w:cs="Arial"/>
          <w:sz w:val="24"/>
          <w:szCs w:val="24"/>
        </w:rPr>
        <w:t xml:space="preserve">ere </w:t>
      </w:r>
      <w:r w:rsidR="00984516" w:rsidRPr="00CE6AC1">
        <w:rPr>
          <w:rFonts w:ascii="Arial" w:hAnsi="Arial" w:cs="Arial"/>
          <w:i/>
          <w:sz w:val="24"/>
          <w:szCs w:val="24"/>
        </w:rPr>
        <w:t>functus of</w:t>
      </w:r>
      <w:r w:rsidR="00DE5414">
        <w:rPr>
          <w:rFonts w:ascii="Arial" w:hAnsi="Arial" w:cs="Arial"/>
          <w:i/>
          <w:sz w:val="24"/>
          <w:szCs w:val="24"/>
        </w:rPr>
        <w:t>f</w:t>
      </w:r>
      <w:r w:rsidR="00984516" w:rsidRPr="00CE6AC1">
        <w:rPr>
          <w:rFonts w:ascii="Arial" w:hAnsi="Arial" w:cs="Arial"/>
          <w:i/>
          <w:sz w:val="24"/>
          <w:szCs w:val="24"/>
        </w:rPr>
        <w:t>icio.</w:t>
      </w:r>
      <w:r w:rsidR="000B7C49">
        <w:rPr>
          <w:rStyle w:val="FootnoteReference"/>
          <w:rFonts w:ascii="Arial" w:hAnsi="Arial" w:cs="Arial"/>
          <w:i/>
          <w:sz w:val="24"/>
          <w:szCs w:val="24"/>
        </w:rPr>
        <w:footnoteReference w:id="7"/>
      </w:r>
      <w:r w:rsidR="004F3B4E" w:rsidRPr="004F3B4E">
        <w:rPr>
          <w:rFonts w:ascii="Arial" w:hAnsi="Arial" w:cs="Arial"/>
          <w:sz w:val="24"/>
          <w:szCs w:val="24"/>
        </w:rPr>
        <w:t xml:space="preserve"> </w:t>
      </w:r>
      <w:r w:rsidR="00400964" w:rsidRPr="00CE6AC1">
        <w:rPr>
          <w:rFonts w:ascii="Arial" w:hAnsi="Arial" w:cs="Arial"/>
          <w:sz w:val="24"/>
          <w:szCs w:val="24"/>
        </w:rPr>
        <w:t xml:space="preserve">The appellants </w:t>
      </w:r>
      <w:r w:rsidR="00400964" w:rsidRPr="00CE6AC1">
        <w:rPr>
          <w:rFonts w:ascii="Arial" w:hAnsi="Arial" w:cs="Arial"/>
          <w:sz w:val="24"/>
          <w:szCs w:val="24"/>
        </w:rPr>
        <w:lastRenderedPageBreak/>
        <w:t>contende</w:t>
      </w:r>
      <w:r w:rsidRPr="00CE6AC1">
        <w:rPr>
          <w:rFonts w:ascii="Arial" w:hAnsi="Arial" w:cs="Arial"/>
          <w:sz w:val="24"/>
          <w:szCs w:val="24"/>
        </w:rPr>
        <w:t>d</w:t>
      </w:r>
      <w:r w:rsidR="00400964" w:rsidRPr="00CE6AC1">
        <w:rPr>
          <w:rFonts w:ascii="Arial" w:hAnsi="Arial" w:cs="Arial"/>
          <w:sz w:val="24"/>
          <w:szCs w:val="24"/>
        </w:rPr>
        <w:t xml:space="preserve"> that </w:t>
      </w:r>
      <w:r w:rsidR="00333BAE">
        <w:rPr>
          <w:rFonts w:ascii="Arial" w:hAnsi="Arial" w:cs="Arial"/>
          <w:sz w:val="24"/>
          <w:szCs w:val="24"/>
        </w:rPr>
        <w:t>section 16 of the</w:t>
      </w:r>
      <w:r w:rsidRPr="00CE6AC1">
        <w:rPr>
          <w:rFonts w:ascii="Arial" w:hAnsi="Arial" w:cs="Arial"/>
          <w:sz w:val="24"/>
          <w:szCs w:val="24"/>
        </w:rPr>
        <w:t xml:space="preserve"> Act created an obli</w:t>
      </w:r>
      <w:r w:rsidR="00333BAE">
        <w:rPr>
          <w:rFonts w:ascii="Arial" w:hAnsi="Arial" w:cs="Arial"/>
          <w:sz w:val="24"/>
          <w:szCs w:val="24"/>
        </w:rPr>
        <w:t>gation on the part of the</w:t>
      </w:r>
      <w:r w:rsidRPr="00CE6AC1">
        <w:rPr>
          <w:rFonts w:ascii="Arial" w:hAnsi="Arial" w:cs="Arial"/>
          <w:sz w:val="24"/>
          <w:szCs w:val="24"/>
        </w:rPr>
        <w:t xml:space="preserve"> Board – to inform the bidders of the d</w:t>
      </w:r>
      <w:r w:rsidR="001C1CFD">
        <w:rPr>
          <w:rFonts w:ascii="Arial" w:hAnsi="Arial" w:cs="Arial"/>
          <w:sz w:val="24"/>
          <w:szCs w:val="24"/>
        </w:rPr>
        <w:t>ecision to award without delay.</w:t>
      </w:r>
      <w:r w:rsidR="004F3B4E">
        <w:rPr>
          <w:rFonts w:ascii="Arial" w:hAnsi="Arial" w:cs="Arial"/>
          <w:sz w:val="24"/>
          <w:szCs w:val="24"/>
        </w:rPr>
        <w:t xml:space="preserve"> </w:t>
      </w:r>
      <w:r w:rsidR="000D75E4">
        <w:rPr>
          <w:rFonts w:ascii="Arial" w:hAnsi="Arial" w:cs="Arial"/>
          <w:sz w:val="24"/>
          <w:szCs w:val="24"/>
        </w:rPr>
        <w:t>Fourthly, th</w:t>
      </w:r>
      <w:r w:rsidR="00333BAE">
        <w:rPr>
          <w:rFonts w:ascii="Arial" w:hAnsi="Arial" w:cs="Arial"/>
          <w:sz w:val="24"/>
          <w:szCs w:val="24"/>
        </w:rPr>
        <w:t>ey contended that the Board and not the Ministry</w:t>
      </w:r>
      <w:r w:rsidR="00B726D1" w:rsidRPr="00CE6AC1">
        <w:rPr>
          <w:rFonts w:ascii="Arial" w:hAnsi="Arial" w:cs="Arial"/>
          <w:sz w:val="24"/>
          <w:szCs w:val="24"/>
        </w:rPr>
        <w:t xml:space="preserve"> or Prime Minister was the sole </w:t>
      </w:r>
      <w:r w:rsidR="00895AA9">
        <w:rPr>
          <w:rFonts w:ascii="Arial" w:hAnsi="Arial" w:cs="Arial"/>
          <w:sz w:val="24"/>
          <w:szCs w:val="24"/>
        </w:rPr>
        <w:t>agency that could cancel the t</w:t>
      </w:r>
      <w:r w:rsidR="00B726D1" w:rsidRPr="00CE6AC1">
        <w:rPr>
          <w:rFonts w:ascii="Arial" w:hAnsi="Arial" w:cs="Arial"/>
          <w:sz w:val="24"/>
          <w:szCs w:val="24"/>
        </w:rPr>
        <w:t xml:space="preserve">ender, at best for the former, after affording them </w:t>
      </w:r>
      <w:r w:rsidR="00B726D1" w:rsidRPr="00CE6AC1">
        <w:rPr>
          <w:rFonts w:ascii="Arial" w:hAnsi="Arial" w:cs="Arial"/>
          <w:i/>
          <w:sz w:val="24"/>
          <w:szCs w:val="24"/>
        </w:rPr>
        <w:t>audi</w:t>
      </w:r>
      <w:r w:rsidR="00B726D1" w:rsidRPr="00CE6AC1">
        <w:rPr>
          <w:rFonts w:ascii="Arial" w:hAnsi="Arial" w:cs="Arial"/>
          <w:sz w:val="24"/>
          <w:szCs w:val="24"/>
        </w:rPr>
        <w:t>. This contention was based</w:t>
      </w:r>
      <w:r w:rsidR="00333BAE">
        <w:rPr>
          <w:rFonts w:ascii="Arial" w:hAnsi="Arial" w:cs="Arial"/>
          <w:sz w:val="24"/>
          <w:szCs w:val="24"/>
        </w:rPr>
        <w:t xml:space="preserve"> on allegations that the </w:t>
      </w:r>
      <w:r w:rsidR="00B726D1" w:rsidRPr="00CE6AC1">
        <w:rPr>
          <w:rFonts w:ascii="Arial" w:hAnsi="Arial" w:cs="Arial"/>
          <w:sz w:val="24"/>
          <w:szCs w:val="24"/>
        </w:rPr>
        <w:t xml:space="preserve">Board was </w:t>
      </w:r>
      <w:r w:rsidR="00333BAE">
        <w:rPr>
          <w:rFonts w:ascii="Arial" w:hAnsi="Arial" w:cs="Arial"/>
          <w:sz w:val="24"/>
          <w:szCs w:val="24"/>
        </w:rPr>
        <w:t>asked</w:t>
      </w:r>
      <w:r w:rsidR="00B726D1" w:rsidRPr="00CE6AC1">
        <w:rPr>
          <w:rFonts w:ascii="Arial" w:hAnsi="Arial" w:cs="Arial"/>
          <w:sz w:val="24"/>
          <w:szCs w:val="24"/>
        </w:rPr>
        <w:t xml:space="preserve"> to cancel the tender</w:t>
      </w:r>
      <w:r w:rsidR="00333BAE">
        <w:rPr>
          <w:rFonts w:ascii="Arial" w:hAnsi="Arial" w:cs="Arial"/>
          <w:sz w:val="24"/>
          <w:szCs w:val="24"/>
        </w:rPr>
        <w:t xml:space="preserve"> and that the Board</w:t>
      </w:r>
      <w:r w:rsidR="00304139" w:rsidRPr="00CE6AC1">
        <w:rPr>
          <w:rFonts w:ascii="Arial" w:hAnsi="Arial" w:cs="Arial"/>
          <w:sz w:val="24"/>
          <w:szCs w:val="24"/>
        </w:rPr>
        <w:t xml:space="preserve"> simply rubberstamped the already taken decision to cancel.</w:t>
      </w:r>
    </w:p>
    <w:p w:rsidR="00265747" w:rsidRPr="00C60D19" w:rsidRDefault="00265747" w:rsidP="00C60D19">
      <w:pPr>
        <w:pStyle w:val="NoSpacing"/>
        <w:spacing w:line="480" w:lineRule="auto"/>
        <w:jc w:val="both"/>
        <w:rPr>
          <w:rFonts w:ascii="Arial" w:hAnsi="Arial" w:cs="Arial"/>
          <w:sz w:val="24"/>
          <w:szCs w:val="24"/>
        </w:rPr>
      </w:pPr>
    </w:p>
    <w:p w:rsidR="00893E5F" w:rsidRDefault="00C60D19" w:rsidP="007C2C6F">
      <w:pPr>
        <w:pStyle w:val="NoSpacing"/>
        <w:numPr>
          <w:ilvl w:val="0"/>
          <w:numId w:val="16"/>
        </w:numPr>
        <w:spacing w:line="480" w:lineRule="auto"/>
        <w:ind w:left="0" w:firstLine="0"/>
        <w:jc w:val="both"/>
        <w:rPr>
          <w:rFonts w:ascii="Arial" w:hAnsi="Arial" w:cs="Arial"/>
          <w:sz w:val="24"/>
          <w:szCs w:val="24"/>
        </w:rPr>
      </w:pPr>
      <w:r w:rsidRPr="00C60D19">
        <w:rPr>
          <w:rFonts w:ascii="Arial" w:hAnsi="Arial" w:cs="Arial"/>
          <w:sz w:val="24"/>
          <w:szCs w:val="24"/>
        </w:rPr>
        <w:t xml:space="preserve">In the </w:t>
      </w:r>
      <w:r w:rsidR="0049376B">
        <w:rPr>
          <w:rFonts w:ascii="Arial" w:hAnsi="Arial" w:cs="Arial"/>
          <w:sz w:val="24"/>
          <w:szCs w:val="24"/>
        </w:rPr>
        <w:t xml:space="preserve">opposing </w:t>
      </w:r>
      <w:r w:rsidRPr="00C60D19">
        <w:rPr>
          <w:rFonts w:ascii="Arial" w:hAnsi="Arial" w:cs="Arial"/>
          <w:sz w:val="24"/>
          <w:szCs w:val="24"/>
        </w:rPr>
        <w:t>affidavit deposed to by the Permanent Secretary for F</w:t>
      </w:r>
      <w:r>
        <w:rPr>
          <w:rFonts w:ascii="Arial" w:hAnsi="Arial" w:cs="Arial"/>
          <w:sz w:val="24"/>
          <w:szCs w:val="24"/>
        </w:rPr>
        <w:t xml:space="preserve">inance </w:t>
      </w:r>
      <w:r w:rsidR="0049376B">
        <w:rPr>
          <w:rFonts w:ascii="Arial" w:hAnsi="Arial" w:cs="Arial"/>
          <w:sz w:val="24"/>
          <w:szCs w:val="24"/>
        </w:rPr>
        <w:t xml:space="preserve">on behalf </w:t>
      </w:r>
      <w:r w:rsidR="001C0516">
        <w:rPr>
          <w:rFonts w:ascii="Arial" w:hAnsi="Arial" w:cs="Arial"/>
          <w:sz w:val="24"/>
          <w:szCs w:val="24"/>
        </w:rPr>
        <w:t>the G</w:t>
      </w:r>
      <w:r w:rsidR="0049376B">
        <w:rPr>
          <w:rFonts w:ascii="Arial" w:hAnsi="Arial" w:cs="Arial"/>
          <w:sz w:val="24"/>
          <w:szCs w:val="24"/>
        </w:rPr>
        <w:t>overnment respondents</w:t>
      </w:r>
      <w:r w:rsidR="000D75E4">
        <w:rPr>
          <w:rFonts w:ascii="Arial" w:hAnsi="Arial" w:cs="Arial"/>
          <w:sz w:val="24"/>
          <w:szCs w:val="24"/>
        </w:rPr>
        <w:t xml:space="preserve">, </w:t>
      </w:r>
      <w:r w:rsidRPr="00C60D19">
        <w:rPr>
          <w:rFonts w:ascii="Arial" w:hAnsi="Arial" w:cs="Arial"/>
          <w:sz w:val="24"/>
          <w:szCs w:val="24"/>
        </w:rPr>
        <w:t>who is also a Chairperso</w:t>
      </w:r>
      <w:r w:rsidR="00333BAE">
        <w:rPr>
          <w:rFonts w:ascii="Arial" w:hAnsi="Arial" w:cs="Arial"/>
          <w:sz w:val="24"/>
          <w:szCs w:val="24"/>
        </w:rPr>
        <w:t xml:space="preserve">n of the </w:t>
      </w:r>
      <w:r w:rsidR="00BB1B3F">
        <w:rPr>
          <w:rFonts w:ascii="Arial" w:hAnsi="Arial" w:cs="Arial"/>
          <w:sz w:val="24"/>
          <w:szCs w:val="24"/>
        </w:rPr>
        <w:t>Bo</w:t>
      </w:r>
      <w:r w:rsidR="000D75E4">
        <w:rPr>
          <w:rFonts w:ascii="Arial" w:hAnsi="Arial" w:cs="Arial"/>
          <w:sz w:val="24"/>
          <w:szCs w:val="24"/>
        </w:rPr>
        <w:t>ard,</w:t>
      </w:r>
      <w:r w:rsidR="00512D8F">
        <w:rPr>
          <w:rFonts w:ascii="Arial" w:hAnsi="Arial" w:cs="Arial"/>
          <w:sz w:val="24"/>
          <w:szCs w:val="24"/>
        </w:rPr>
        <w:t xml:space="preserve"> </w:t>
      </w:r>
      <w:r w:rsidRPr="00C60D19">
        <w:rPr>
          <w:rFonts w:ascii="Arial" w:hAnsi="Arial" w:cs="Arial"/>
          <w:sz w:val="24"/>
          <w:szCs w:val="24"/>
        </w:rPr>
        <w:t>the sequence of events</w:t>
      </w:r>
      <w:r w:rsidR="00333BAE">
        <w:rPr>
          <w:rFonts w:ascii="Arial" w:hAnsi="Arial" w:cs="Arial"/>
          <w:sz w:val="24"/>
          <w:szCs w:val="24"/>
        </w:rPr>
        <w:t xml:space="preserve"> </w:t>
      </w:r>
      <w:r w:rsidR="00F2287B">
        <w:rPr>
          <w:rFonts w:ascii="Arial" w:hAnsi="Arial" w:cs="Arial"/>
          <w:sz w:val="24"/>
          <w:szCs w:val="24"/>
        </w:rPr>
        <w:t>as stated by the appellants was</w:t>
      </w:r>
      <w:r w:rsidR="00D604A6">
        <w:rPr>
          <w:rFonts w:ascii="Arial" w:hAnsi="Arial" w:cs="Arial"/>
          <w:sz w:val="24"/>
          <w:szCs w:val="24"/>
        </w:rPr>
        <w:t xml:space="preserve"> not disputed.</w:t>
      </w:r>
      <w:r w:rsidR="00893E5F">
        <w:rPr>
          <w:rFonts w:ascii="Arial" w:hAnsi="Arial" w:cs="Arial"/>
          <w:sz w:val="24"/>
          <w:szCs w:val="24"/>
        </w:rPr>
        <w:t xml:space="preserve"> </w:t>
      </w:r>
      <w:r w:rsidRPr="00C60D19">
        <w:rPr>
          <w:rFonts w:ascii="Arial" w:hAnsi="Arial" w:cs="Arial"/>
          <w:sz w:val="24"/>
          <w:szCs w:val="24"/>
        </w:rPr>
        <w:t xml:space="preserve">The deponent </w:t>
      </w:r>
      <w:r w:rsidR="00512D8F">
        <w:rPr>
          <w:rFonts w:ascii="Arial" w:hAnsi="Arial" w:cs="Arial"/>
          <w:sz w:val="24"/>
          <w:szCs w:val="24"/>
        </w:rPr>
        <w:t>stated</w:t>
      </w:r>
      <w:r w:rsidRPr="00C60D19">
        <w:rPr>
          <w:rFonts w:ascii="Arial" w:hAnsi="Arial" w:cs="Arial"/>
          <w:sz w:val="24"/>
          <w:szCs w:val="24"/>
        </w:rPr>
        <w:t xml:space="preserve"> that before the appellants were advised of the outcomes of the bids (following its decision to award</w:t>
      </w:r>
      <w:r w:rsidR="00512D8F">
        <w:rPr>
          <w:rFonts w:ascii="Arial" w:hAnsi="Arial" w:cs="Arial"/>
          <w:sz w:val="24"/>
          <w:szCs w:val="24"/>
        </w:rPr>
        <w:t>)</w:t>
      </w:r>
      <w:r w:rsidRPr="00C60D19">
        <w:rPr>
          <w:rFonts w:ascii="Arial" w:hAnsi="Arial" w:cs="Arial"/>
          <w:sz w:val="24"/>
          <w:szCs w:val="24"/>
        </w:rPr>
        <w:t xml:space="preserve"> serious allegations of impropriety and corruption</w:t>
      </w:r>
      <w:r w:rsidR="00512D8F">
        <w:rPr>
          <w:rFonts w:ascii="Arial" w:hAnsi="Arial" w:cs="Arial"/>
          <w:sz w:val="24"/>
          <w:szCs w:val="24"/>
        </w:rPr>
        <w:t xml:space="preserve"> surfaced. The allegations </w:t>
      </w:r>
      <w:r w:rsidRPr="00C60D19">
        <w:rPr>
          <w:rFonts w:ascii="Arial" w:hAnsi="Arial" w:cs="Arial"/>
          <w:sz w:val="24"/>
          <w:szCs w:val="24"/>
        </w:rPr>
        <w:t>imput</w:t>
      </w:r>
      <w:r w:rsidR="00512D8F">
        <w:rPr>
          <w:rFonts w:ascii="Arial" w:hAnsi="Arial" w:cs="Arial"/>
          <w:sz w:val="24"/>
          <w:szCs w:val="24"/>
        </w:rPr>
        <w:t>ed</w:t>
      </w:r>
      <w:r w:rsidRPr="00C60D19">
        <w:rPr>
          <w:rFonts w:ascii="Arial" w:hAnsi="Arial" w:cs="Arial"/>
          <w:sz w:val="24"/>
          <w:szCs w:val="24"/>
        </w:rPr>
        <w:t xml:space="preserve"> material conflict of interest</w:t>
      </w:r>
      <w:r>
        <w:rPr>
          <w:rFonts w:ascii="Arial" w:hAnsi="Arial" w:cs="Arial"/>
          <w:sz w:val="24"/>
          <w:szCs w:val="24"/>
        </w:rPr>
        <w:t xml:space="preserve"> to,</w:t>
      </w:r>
      <w:r w:rsidRPr="00C60D19">
        <w:rPr>
          <w:rFonts w:ascii="Arial" w:hAnsi="Arial" w:cs="Arial"/>
          <w:sz w:val="24"/>
          <w:szCs w:val="24"/>
        </w:rPr>
        <w:t xml:space="preserve"> </w:t>
      </w:r>
      <w:r w:rsidRPr="00C60D19">
        <w:rPr>
          <w:rFonts w:ascii="Arial" w:hAnsi="Arial" w:cs="Arial"/>
          <w:i/>
          <w:sz w:val="24"/>
          <w:szCs w:val="24"/>
        </w:rPr>
        <w:t>inter alia</w:t>
      </w:r>
      <w:r w:rsidR="0055284F">
        <w:rPr>
          <w:rFonts w:ascii="Arial" w:hAnsi="Arial" w:cs="Arial"/>
          <w:sz w:val="24"/>
          <w:szCs w:val="24"/>
        </w:rPr>
        <w:t>, the P</w:t>
      </w:r>
      <w:r w:rsidRPr="00C60D19">
        <w:rPr>
          <w:rFonts w:ascii="Arial" w:hAnsi="Arial" w:cs="Arial"/>
          <w:sz w:val="24"/>
          <w:szCs w:val="24"/>
        </w:rPr>
        <w:t xml:space="preserve">ermanent </w:t>
      </w:r>
      <w:r w:rsidR="0055284F">
        <w:rPr>
          <w:rFonts w:ascii="Arial" w:hAnsi="Arial" w:cs="Arial"/>
          <w:sz w:val="24"/>
          <w:szCs w:val="24"/>
        </w:rPr>
        <w:t>Secret</w:t>
      </w:r>
      <w:r w:rsidR="00333BAE">
        <w:rPr>
          <w:rFonts w:ascii="Arial" w:hAnsi="Arial" w:cs="Arial"/>
          <w:sz w:val="24"/>
          <w:szCs w:val="24"/>
        </w:rPr>
        <w:t>ary of the Ministry</w:t>
      </w:r>
      <w:r w:rsidR="0055284F">
        <w:rPr>
          <w:rFonts w:ascii="Arial" w:hAnsi="Arial" w:cs="Arial"/>
          <w:sz w:val="24"/>
          <w:szCs w:val="24"/>
        </w:rPr>
        <w:t xml:space="preserve"> whose wife was </w:t>
      </w:r>
      <w:r w:rsidR="00333BAE">
        <w:rPr>
          <w:rFonts w:ascii="Arial" w:hAnsi="Arial" w:cs="Arial"/>
          <w:sz w:val="24"/>
          <w:szCs w:val="24"/>
        </w:rPr>
        <w:t>alleged to have been involved as</w:t>
      </w:r>
      <w:r w:rsidR="0055284F">
        <w:rPr>
          <w:rFonts w:ascii="Arial" w:hAnsi="Arial" w:cs="Arial"/>
          <w:sz w:val="24"/>
          <w:szCs w:val="24"/>
        </w:rPr>
        <w:t xml:space="preserve"> </w:t>
      </w:r>
      <w:r w:rsidR="00512D8F">
        <w:rPr>
          <w:rFonts w:ascii="Arial" w:hAnsi="Arial" w:cs="Arial"/>
          <w:sz w:val="24"/>
          <w:szCs w:val="24"/>
        </w:rPr>
        <w:t>one of the successful tenderers (</w:t>
      </w:r>
      <w:r w:rsidR="0055284F">
        <w:rPr>
          <w:rFonts w:ascii="Arial" w:hAnsi="Arial" w:cs="Arial"/>
          <w:sz w:val="24"/>
          <w:szCs w:val="24"/>
        </w:rPr>
        <w:t>namely the Cattle Country and Food Services</w:t>
      </w:r>
      <w:r w:rsidR="00273383">
        <w:rPr>
          <w:rFonts w:ascii="Arial" w:hAnsi="Arial" w:cs="Arial"/>
          <w:sz w:val="24"/>
          <w:szCs w:val="24"/>
        </w:rPr>
        <w:t xml:space="preserve">). </w:t>
      </w:r>
      <w:r w:rsidR="00512D8F">
        <w:rPr>
          <w:rFonts w:ascii="Arial" w:hAnsi="Arial" w:cs="Arial"/>
          <w:sz w:val="24"/>
          <w:szCs w:val="24"/>
        </w:rPr>
        <w:t>Seemingly, the Secretary</w:t>
      </w:r>
      <w:r w:rsidR="004F3B4E">
        <w:rPr>
          <w:rFonts w:ascii="Arial" w:hAnsi="Arial" w:cs="Arial"/>
          <w:sz w:val="24"/>
          <w:szCs w:val="24"/>
        </w:rPr>
        <w:t xml:space="preserve"> </w:t>
      </w:r>
      <w:r w:rsidR="0055284F">
        <w:rPr>
          <w:rFonts w:ascii="Arial" w:hAnsi="Arial" w:cs="Arial"/>
          <w:sz w:val="24"/>
          <w:szCs w:val="24"/>
        </w:rPr>
        <w:t>recommended the award of the tender in the Omaheke Hostel c</w:t>
      </w:r>
      <w:r w:rsidR="00333BAE">
        <w:rPr>
          <w:rFonts w:ascii="Arial" w:hAnsi="Arial" w:cs="Arial"/>
          <w:sz w:val="24"/>
          <w:szCs w:val="24"/>
        </w:rPr>
        <w:t>atering region</w:t>
      </w:r>
      <w:r w:rsidR="004D7B30">
        <w:rPr>
          <w:rFonts w:ascii="Arial" w:hAnsi="Arial" w:cs="Arial"/>
          <w:sz w:val="24"/>
          <w:szCs w:val="24"/>
        </w:rPr>
        <w:t xml:space="preserve"> to the company in which his wife was involved</w:t>
      </w:r>
      <w:r w:rsidR="00333BAE">
        <w:rPr>
          <w:rFonts w:ascii="Arial" w:hAnsi="Arial" w:cs="Arial"/>
          <w:sz w:val="24"/>
          <w:szCs w:val="24"/>
        </w:rPr>
        <w:t xml:space="preserve"> and </w:t>
      </w:r>
      <w:r w:rsidR="004D7B30">
        <w:rPr>
          <w:rFonts w:ascii="Arial" w:hAnsi="Arial" w:cs="Arial"/>
          <w:sz w:val="24"/>
          <w:szCs w:val="24"/>
        </w:rPr>
        <w:t xml:space="preserve">later the </w:t>
      </w:r>
      <w:r w:rsidR="0055284F">
        <w:rPr>
          <w:rFonts w:ascii="Arial" w:hAnsi="Arial" w:cs="Arial"/>
          <w:sz w:val="24"/>
          <w:szCs w:val="24"/>
        </w:rPr>
        <w:t>Board awarded the tender</w:t>
      </w:r>
      <w:r w:rsidR="004D7B30">
        <w:rPr>
          <w:rFonts w:ascii="Arial" w:hAnsi="Arial" w:cs="Arial"/>
          <w:sz w:val="24"/>
          <w:szCs w:val="24"/>
        </w:rPr>
        <w:t xml:space="preserve"> to that company</w:t>
      </w:r>
      <w:r w:rsidR="00D604A6">
        <w:rPr>
          <w:rFonts w:ascii="Arial" w:hAnsi="Arial" w:cs="Arial"/>
          <w:sz w:val="24"/>
          <w:szCs w:val="24"/>
        </w:rPr>
        <w:t>.</w:t>
      </w:r>
      <w:r w:rsidR="00893E5F">
        <w:rPr>
          <w:rFonts w:ascii="Arial" w:hAnsi="Arial" w:cs="Arial"/>
          <w:sz w:val="24"/>
          <w:szCs w:val="24"/>
        </w:rPr>
        <w:t xml:space="preserve"> </w:t>
      </w:r>
      <w:r w:rsidR="0055284F">
        <w:rPr>
          <w:rFonts w:ascii="Arial" w:hAnsi="Arial" w:cs="Arial"/>
          <w:sz w:val="24"/>
          <w:szCs w:val="24"/>
        </w:rPr>
        <w:t xml:space="preserve">In light of these developments, </w:t>
      </w:r>
      <w:r w:rsidR="00333BAE">
        <w:rPr>
          <w:rFonts w:ascii="Arial" w:hAnsi="Arial" w:cs="Arial"/>
          <w:sz w:val="24"/>
          <w:szCs w:val="24"/>
        </w:rPr>
        <w:t>the</w:t>
      </w:r>
      <w:r w:rsidR="0093112E">
        <w:rPr>
          <w:rFonts w:ascii="Arial" w:hAnsi="Arial" w:cs="Arial"/>
          <w:sz w:val="24"/>
          <w:szCs w:val="24"/>
        </w:rPr>
        <w:t xml:space="preserve"> Committee requested </w:t>
      </w:r>
      <w:r w:rsidR="00333BAE">
        <w:rPr>
          <w:rFonts w:ascii="Arial" w:hAnsi="Arial" w:cs="Arial"/>
          <w:sz w:val="24"/>
          <w:szCs w:val="24"/>
        </w:rPr>
        <w:t xml:space="preserve">the </w:t>
      </w:r>
      <w:r w:rsidR="00895AA9">
        <w:rPr>
          <w:rFonts w:ascii="Arial" w:hAnsi="Arial" w:cs="Arial"/>
          <w:sz w:val="24"/>
          <w:szCs w:val="24"/>
        </w:rPr>
        <w:t>Board to cancel the t</w:t>
      </w:r>
      <w:r w:rsidR="0093112E">
        <w:rPr>
          <w:rFonts w:ascii="Arial" w:hAnsi="Arial" w:cs="Arial"/>
          <w:sz w:val="24"/>
          <w:szCs w:val="24"/>
        </w:rPr>
        <w:t xml:space="preserve">ender. </w:t>
      </w:r>
    </w:p>
    <w:p w:rsidR="00BB1B3F" w:rsidRDefault="00BB1B3F" w:rsidP="00BB1B3F">
      <w:pPr>
        <w:pStyle w:val="NoSpacing"/>
        <w:spacing w:line="480" w:lineRule="auto"/>
        <w:jc w:val="both"/>
        <w:rPr>
          <w:rFonts w:ascii="Arial" w:hAnsi="Arial" w:cs="Arial"/>
          <w:sz w:val="24"/>
          <w:szCs w:val="24"/>
        </w:rPr>
      </w:pPr>
    </w:p>
    <w:p w:rsidR="000D75E4" w:rsidRDefault="0093112E" w:rsidP="007C2C6F">
      <w:pPr>
        <w:pStyle w:val="NoSpacing"/>
        <w:numPr>
          <w:ilvl w:val="0"/>
          <w:numId w:val="16"/>
        </w:numPr>
        <w:spacing w:line="480" w:lineRule="auto"/>
        <w:ind w:left="0" w:firstLine="0"/>
        <w:jc w:val="both"/>
        <w:rPr>
          <w:rFonts w:ascii="Arial" w:hAnsi="Arial" w:cs="Arial"/>
          <w:sz w:val="24"/>
          <w:szCs w:val="24"/>
        </w:rPr>
      </w:pPr>
      <w:r w:rsidRPr="0044124C">
        <w:rPr>
          <w:rFonts w:ascii="Arial" w:hAnsi="Arial" w:cs="Arial"/>
          <w:sz w:val="24"/>
          <w:szCs w:val="24"/>
        </w:rPr>
        <w:t xml:space="preserve">The </w:t>
      </w:r>
      <w:r w:rsidR="00101E22" w:rsidRPr="0044124C">
        <w:rPr>
          <w:rFonts w:ascii="Arial" w:hAnsi="Arial" w:cs="Arial"/>
          <w:sz w:val="24"/>
          <w:szCs w:val="24"/>
        </w:rPr>
        <w:t xml:space="preserve">Government respondents </w:t>
      </w:r>
      <w:r w:rsidRPr="0044124C">
        <w:rPr>
          <w:rFonts w:ascii="Arial" w:hAnsi="Arial" w:cs="Arial"/>
          <w:sz w:val="24"/>
          <w:szCs w:val="24"/>
        </w:rPr>
        <w:t>maintain</w:t>
      </w:r>
      <w:r w:rsidR="00101E22" w:rsidRPr="0044124C">
        <w:rPr>
          <w:rFonts w:ascii="Arial" w:hAnsi="Arial" w:cs="Arial"/>
          <w:sz w:val="24"/>
          <w:szCs w:val="24"/>
        </w:rPr>
        <w:t>ed</w:t>
      </w:r>
      <w:r w:rsidRPr="0044124C">
        <w:rPr>
          <w:rFonts w:ascii="Arial" w:hAnsi="Arial" w:cs="Arial"/>
          <w:sz w:val="24"/>
          <w:szCs w:val="24"/>
        </w:rPr>
        <w:t xml:space="preserve"> that the decision to cancel the tender was made by the </w:t>
      </w:r>
      <w:r w:rsidR="000D75E4" w:rsidRPr="0044124C">
        <w:rPr>
          <w:rFonts w:ascii="Arial" w:hAnsi="Arial" w:cs="Arial"/>
          <w:sz w:val="24"/>
          <w:szCs w:val="24"/>
        </w:rPr>
        <w:t>B</w:t>
      </w:r>
      <w:r w:rsidRPr="0044124C">
        <w:rPr>
          <w:rFonts w:ascii="Arial" w:hAnsi="Arial" w:cs="Arial"/>
          <w:sz w:val="24"/>
          <w:szCs w:val="24"/>
        </w:rPr>
        <w:t>oard itse</w:t>
      </w:r>
      <w:r w:rsidR="00893E5F" w:rsidRPr="0044124C">
        <w:rPr>
          <w:rFonts w:ascii="Arial" w:hAnsi="Arial" w:cs="Arial"/>
          <w:sz w:val="24"/>
          <w:szCs w:val="24"/>
        </w:rPr>
        <w:t xml:space="preserve">lf after seeking legal opinion </w:t>
      </w:r>
      <w:r w:rsidRPr="0044124C">
        <w:rPr>
          <w:rFonts w:ascii="Arial" w:hAnsi="Arial" w:cs="Arial"/>
          <w:sz w:val="24"/>
          <w:szCs w:val="24"/>
        </w:rPr>
        <w:t xml:space="preserve">on whether it could </w:t>
      </w:r>
      <w:r w:rsidRPr="0044124C">
        <w:rPr>
          <w:rFonts w:ascii="Arial" w:hAnsi="Arial" w:cs="Arial"/>
          <w:sz w:val="24"/>
          <w:szCs w:val="24"/>
        </w:rPr>
        <w:lastRenderedPageBreak/>
        <w:t xml:space="preserve">do so on allegations of impropriety and corruption and that it was incorrect for the appellants to attribute </w:t>
      </w:r>
      <w:r w:rsidR="00AE07EE" w:rsidRPr="0044124C">
        <w:rPr>
          <w:rFonts w:ascii="Arial" w:hAnsi="Arial" w:cs="Arial"/>
          <w:sz w:val="24"/>
          <w:szCs w:val="24"/>
        </w:rPr>
        <w:t xml:space="preserve">cancellation of the tender </w:t>
      </w:r>
      <w:r w:rsidR="00333BAE">
        <w:rPr>
          <w:rFonts w:ascii="Arial" w:hAnsi="Arial" w:cs="Arial"/>
          <w:sz w:val="24"/>
          <w:szCs w:val="24"/>
        </w:rPr>
        <w:t>to</w:t>
      </w:r>
      <w:r w:rsidR="00240D47" w:rsidRPr="0044124C">
        <w:rPr>
          <w:rFonts w:ascii="Arial" w:hAnsi="Arial" w:cs="Arial"/>
          <w:sz w:val="24"/>
          <w:szCs w:val="24"/>
        </w:rPr>
        <w:t xml:space="preserve"> the </w:t>
      </w:r>
      <w:r w:rsidR="00AE07EE" w:rsidRPr="0044124C">
        <w:rPr>
          <w:rFonts w:ascii="Arial" w:hAnsi="Arial" w:cs="Arial"/>
          <w:sz w:val="24"/>
          <w:szCs w:val="24"/>
        </w:rPr>
        <w:t>Ministr</w:t>
      </w:r>
      <w:r w:rsidR="00333BAE">
        <w:rPr>
          <w:rFonts w:ascii="Arial" w:hAnsi="Arial" w:cs="Arial"/>
          <w:sz w:val="24"/>
          <w:szCs w:val="24"/>
        </w:rPr>
        <w:t>y</w:t>
      </w:r>
      <w:r w:rsidR="00AE07EE" w:rsidRPr="0044124C">
        <w:rPr>
          <w:rFonts w:ascii="Arial" w:hAnsi="Arial" w:cs="Arial"/>
          <w:sz w:val="24"/>
          <w:szCs w:val="24"/>
        </w:rPr>
        <w:t xml:space="preserve"> and Prime Minister. </w:t>
      </w:r>
    </w:p>
    <w:p w:rsidR="0044124C" w:rsidRPr="0044124C" w:rsidRDefault="0044124C" w:rsidP="0044124C">
      <w:pPr>
        <w:pStyle w:val="NoSpacing"/>
        <w:spacing w:line="480" w:lineRule="auto"/>
        <w:jc w:val="both"/>
        <w:rPr>
          <w:rFonts w:ascii="Arial" w:hAnsi="Arial" w:cs="Arial"/>
          <w:sz w:val="24"/>
          <w:szCs w:val="24"/>
        </w:rPr>
      </w:pPr>
    </w:p>
    <w:p w:rsidR="00AE07EE" w:rsidRDefault="00101E22"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According to the Government respondents </w:t>
      </w:r>
      <w:r w:rsidR="00333BAE">
        <w:rPr>
          <w:rFonts w:ascii="Arial" w:hAnsi="Arial" w:cs="Arial"/>
          <w:sz w:val="24"/>
          <w:szCs w:val="24"/>
        </w:rPr>
        <w:t>the Minist</w:t>
      </w:r>
      <w:r w:rsidR="00AE07EE">
        <w:rPr>
          <w:rFonts w:ascii="Arial" w:hAnsi="Arial" w:cs="Arial"/>
          <w:sz w:val="24"/>
          <w:szCs w:val="24"/>
        </w:rPr>
        <w:t>r</w:t>
      </w:r>
      <w:r w:rsidR="00333BAE">
        <w:rPr>
          <w:rFonts w:ascii="Arial" w:hAnsi="Arial" w:cs="Arial"/>
          <w:sz w:val="24"/>
          <w:szCs w:val="24"/>
        </w:rPr>
        <w:t>y</w:t>
      </w:r>
      <w:r w:rsidR="00AE07EE">
        <w:rPr>
          <w:rFonts w:ascii="Arial" w:hAnsi="Arial" w:cs="Arial"/>
          <w:sz w:val="24"/>
          <w:szCs w:val="24"/>
        </w:rPr>
        <w:t xml:space="preserve"> and Pr</w:t>
      </w:r>
      <w:r w:rsidR="001C0516">
        <w:rPr>
          <w:rFonts w:ascii="Arial" w:hAnsi="Arial" w:cs="Arial"/>
          <w:sz w:val="24"/>
          <w:szCs w:val="24"/>
        </w:rPr>
        <w:t>i</w:t>
      </w:r>
      <w:r w:rsidR="00AE07EE">
        <w:rPr>
          <w:rFonts w:ascii="Arial" w:hAnsi="Arial" w:cs="Arial"/>
          <w:sz w:val="24"/>
          <w:szCs w:val="24"/>
        </w:rPr>
        <w:t>me Minis</w:t>
      </w:r>
      <w:r w:rsidR="00C114BD">
        <w:rPr>
          <w:rFonts w:ascii="Arial" w:hAnsi="Arial" w:cs="Arial"/>
          <w:sz w:val="24"/>
          <w:szCs w:val="24"/>
        </w:rPr>
        <w:t xml:space="preserve">ter </w:t>
      </w:r>
      <w:r w:rsidR="00AE07EE">
        <w:rPr>
          <w:rFonts w:ascii="Arial" w:hAnsi="Arial" w:cs="Arial"/>
          <w:sz w:val="24"/>
          <w:szCs w:val="24"/>
        </w:rPr>
        <w:t>had a constitutional duty to act on the strength of the allegations of corruption imputed to senior state officials</w:t>
      </w:r>
      <w:r w:rsidR="00333BAE">
        <w:rPr>
          <w:rFonts w:ascii="Arial" w:hAnsi="Arial" w:cs="Arial"/>
          <w:sz w:val="24"/>
          <w:szCs w:val="24"/>
        </w:rPr>
        <w:t xml:space="preserve">. The Ministry, they said, caused the </w:t>
      </w:r>
      <w:r w:rsidR="00AE07EE">
        <w:rPr>
          <w:rFonts w:ascii="Arial" w:hAnsi="Arial" w:cs="Arial"/>
          <w:sz w:val="24"/>
          <w:szCs w:val="24"/>
        </w:rPr>
        <w:t xml:space="preserve">Committee </w:t>
      </w:r>
      <w:r w:rsidR="00CC6536">
        <w:rPr>
          <w:rFonts w:ascii="Arial" w:hAnsi="Arial" w:cs="Arial"/>
          <w:sz w:val="24"/>
          <w:szCs w:val="24"/>
        </w:rPr>
        <w:t>to deal with the allegations w</w:t>
      </w:r>
      <w:r w:rsidR="00AE07EE">
        <w:rPr>
          <w:rFonts w:ascii="Arial" w:hAnsi="Arial" w:cs="Arial"/>
          <w:sz w:val="24"/>
          <w:szCs w:val="24"/>
        </w:rPr>
        <w:t>hich recommended</w:t>
      </w:r>
      <w:r w:rsidR="00333BAE">
        <w:rPr>
          <w:rFonts w:ascii="Arial" w:hAnsi="Arial" w:cs="Arial"/>
          <w:sz w:val="24"/>
          <w:szCs w:val="24"/>
        </w:rPr>
        <w:t xml:space="preserve"> the cancellation</w:t>
      </w:r>
      <w:r w:rsidR="00AE07EE">
        <w:rPr>
          <w:rFonts w:ascii="Arial" w:hAnsi="Arial" w:cs="Arial"/>
          <w:sz w:val="24"/>
          <w:szCs w:val="24"/>
        </w:rPr>
        <w:t xml:space="preserve"> of the tender before the successful tenders were informed of the </w:t>
      </w:r>
      <w:r w:rsidR="001C1FC5">
        <w:rPr>
          <w:rFonts w:ascii="Arial" w:hAnsi="Arial" w:cs="Arial"/>
          <w:sz w:val="24"/>
          <w:szCs w:val="24"/>
        </w:rPr>
        <w:t>outcome of the tender.</w:t>
      </w:r>
      <w:r w:rsidR="00AE07EE">
        <w:rPr>
          <w:rFonts w:ascii="Arial" w:hAnsi="Arial" w:cs="Arial"/>
          <w:sz w:val="24"/>
          <w:szCs w:val="24"/>
        </w:rPr>
        <w:t xml:space="preserve"> </w:t>
      </w:r>
      <w:r>
        <w:rPr>
          <w:rFonts w:ascii="Arial" w:hAnsi="Arial" w:cs="Arial"/>
          <w:sz w:val="24"/>
          <w:szCs w:val="24"/>
        </w:rPr>
        <w:t>The deponent stated</w:t>
      </w:r>
      <w:r w:rsidR="00AE07EE">
        <w:rPr>
          <w:rFonts w:ascii="Arial" w:hAnsi="Arial" w:cs="Arial"/>
          <w:sz w:val="24"/>
          <w:szCs w:val="24"/>
        </w:rPr>
        <w:t>:</w:t>
      </w:r>
    </w:p>
    <w:p w:rsidR="00AA21BF" w:rsidRDefault="00AA21BF" w:rsidP="00AA21BF">
      <w:pPr>
        <w:pStyle w:val="NoSpacing"/>
        <w:spacing w:line="480" w:lineRule="auto"/>
        <w:jc w:val="both"/>
        <w:rPr>
          <w:rFonts w:ascii="Arial" w:hAnsi="Arial" w:cs="Arial"/>
          <w:sz w:val="24"/>
          <w:szCs w:val="24"/>
        </w:rPr>
      </w:pPr>
    </w:p>
    <w:p w:rsidR="00AE07EE" w:rsidRDefault="00AA21BF" w:rsidP="00AA21BF">
      <w:pPr>
        <w:pStyle w:val="NoSpacing"/>
        <w:spacing w:line="360" w:lineRule="auto"/>
        <w:ind w:left="720"/>
        <w:jc w:val="both"/>
        <w:rPr>
          <w:rFonts w:ascii="Arial" w:hAnsi="Arial" w:cs="Arial"/>
        </w:rPr>
      </w:pPr>
      <w:r>
        <w:rPr>
          <w:rFonts w:ascii="Arial" w:hAnsi="Arial" w:cs="Arial"/>
        </w:rPr>
        <w:t>‘</w:t>
      </w:r>
      <w:r w:rsidR="00AE07EE">
        <w:rPr>
          <w:rFonts w:ascii="Arial" w:hAnsi="Arial" w:cs="Arial"/>
        </w:rPr>
        <w:t>21</w:t>
      </w:r>
      <w:r w:rsidR="00AE07EE">
        <w:rPr>
          <w:rFonts w:ascii="Arial" w:hAnsi="Arial" w:cs="Arial"/>
        </w:rPr>
        <w:tab/>
      </w:r>
      <w:r w:rsidR="00333BAE">
        <w:rPr>
          <w:rFonts w:ascii="Arial" w:hAnsi="Arial" w:cs="Arial"/>
        </w:rPr>
        <w:t>. . . [</w:t>
      </w:r>
      <w:r w:rsidR="00333BAE" w:rsidRPr="005D0EE2">
        <w:rPr>
          <w:rFonts w:ascii="Arial" w:hAnsi="Arial" w:cs="Arial"/>
        </w:rPr>
        <w:t>T]he [</w:t>
      </w:r>
      <w:r w:rsidR="001C0516" w:rsidRPr="005D0EE2">
        <w:rPr>
          <w:rFonts w:ascii="Arial" w:hAnsi="Arial" w:cs="Arial"/>
        </w:rPr>
        <w:t>Committe</w:t>
      </w:r>
      <w:r w:rsidR="00AE07EE" w:rsidRPr="005D0EE2">
        <w:rPr>
          <w:rFonts w:ascii="Arial" w:hAnsi="Arial" w:cs="Arial"/>
        </w:rPr>
        <w:t>e</w:t>
      </w:r>
      <w:r w:rsidR="00333BAE" w:rsidRPr="005D0EE2">
        <w:rPr>
          <w:rFonts w:ascii="Arial" w:hAnsi="Arial" w:cs="Arial"/>
        </w:rPr>
        <w:t>]</w:t>
      </w:r>
      <w:r w:rsidR="00AE07EE" w:rsidRPr="005D0EE2">
        <w:rPr>
          <w:rFonts w:ascii="Arial" w:hAnsi="Arial" w:cs="Arial"/>
        </w:rPr>
        <w:t xml:space="preserve"> and the </w:t>
      </w:r>
      <w:r w:rsidR="00333BAE" w:rsidRPr="005D0EE2">
        <w:rPr>
          <w:rFonts w:ascii="Arial" w:hAnsi="Arial" w:cs="Arial"/>
        </w:rPr>
        <w:t>[Board], as well as the [Ministry</w:t>
      </w:r>
      <w:r w:rsidR="00AE07EE" w:rsidRPr="005D0EE2">
        <w:rPr>
          <w:rFonts w:ascii="Arial" w:hAnsi="Arial" w:cs="Arial"/>
        </w:rPr>
        <w:t xml:space="preserve">] and [Prime Minister] acted responsibly, and in line with their constitutional duty by bringing about the cancellation of the tender in the face of allegations of impropriety and corruption relating to the tender. </w:t>
      </w:r>
      <w:r w:rsidR="00B56B1C" w:rsidRPr="005D0EE2">
        <w:rPr>
          <w:rFonts w:ascii="Arial" w:hAnsi="Arial" w:cs="Arial"/>
        </w:rPr>
        <w:t xml:space="preserve"> </w:t>
      </w:r>
      <w:r w:rsidR="00AE07EE" w:rsidRPr="005D0EE2">
        <w:rPr>
          <w:rFonts w:ascii="Arial" w:hAnsi="Arial" w:cs="Arial"/>
        </w:rPr>
        <w:t>The</w:t>
      </w:r>
      <w:r w:rsidR="001C0516" w:rsidRPr="005D0EE2">
        <w:rPr>
          <w:rFonts w:ascii="Arial" w:hAnsi="Arial" w:cs="Arial"/>
        </w:rPr>
        <w:t xml:space="preserve"> </w:t>
      </w:r>
      <w:r w:rsidR="00AE07EE" w:rsidRPr="005D0EE2">
        <w:rPr>
          <w:rFonts w:ascii="Arial" w:hAnsi="Arial" w:cs="Arial"/>
        </w:rPr>
        <w:t>award of the tender in these circumstances would be extrem</w:t>
      </w:r>
      <w:r w:rsidR="004D7B30" w:rsidRPr="005D0EE2">
        <w:rPr>
          <w:rFonts w:ascii="Arial" w:hAnsi="Arial" w:cs="Arial"/>
        </w:rPr>
        <w:t>ely irresponsible and create an</w:t>
      </w:r>
      <w:r w:rsidR="00AE07EE" w:rsidRPr="005D0EE2">
        <w:rPr>
          <w:rFonts w:ascii="Arial" w:hAnsi="Arial" w:cs="Arial"/>
        </w:rPr>
        <w:t xml:space="preserve"> impression th</w:t>
      </w:r>
      <w:r w:rsidR="001C0516" w:rsidRPr="005D0EE2">
        <w:rPr>
          <w:rFonts w:ascii="Arial" w:hAnsi="Arial" w:cs="Arial"/>
        </w:rPr>
        <w:t>at the state condones or is indi</w:t>
      </w:r>
      <w:r w:rsidR="00AE07EE" w:rsidRPr="005D0EE2">
        <w:rPr>
          <w:rFonts w:ascii="Arial" w:hAnsi="Arial" w:cs="Arial"/>
        </w:rPr>
        <w:t>fferent to suc</w:t>
      </w:r>
      <w:r w:rsidR="001C0516" w:rsidRPr="005D0EE2">
        <w:rPr>
          <w:rFonts w:ascii="Arial" w:hAnsi="Arial" w:cs="Arial"/>
        </w:rPr>
        <w:t>h</w:t>
      </w:r>
      <w:r w:rsidRPr="005D0EE2">
        <w:rPr>
          <w:rFonts w:ascii="Arial" w:hAnsi="Arial" w:cs="Arial"/>
        </w:rPr>
        <w:t xml:space="preserve"> wrong-doing</w:t>
      </w:r>
      <w:r>
        <w:rPr>
          <w:rFonts w:ascii="Arial" w:hAnsi="Arial" w:cs="Arial"/>
        </w:rPr>
        <w:t>.’</w:t>
      </w:r>
      <w:r w:rsidR="00AE07EE">
        <w:rPr>
          <w:rFonts w:ascii="Arial" w:hAnsi="Arial" w:cs="Arial"/>
        </w:rPr>
        <w:t xml:space="preserve"> </w:t>
      </w:r>
    </w:p>
    <w:p w:rsidR="001C0516" w:rsidRPr="00AE07EE" w:rsidRDefault="001C0516" w:rsidP="00B56B1C">
      <w:pPr>
        <w:pStyle w:val="NoSpacing"/>
        <w:spacing w:line="480" w:lineRule="auto"/>
        <w:jc w:val="both"/>
        <w:rPr>
          <w:rFonts w:ascii="Arial" w:hAnsi="Arial" w:cs="Arial"/>
        </w:rPr>
      </w:pPr>
    </w:p>
    <w:p w:rsidR="00AE07EE" w:rsidRDefault="001C0516"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It is contended further that the appellants could not be awarded the tender because the tender was a composite one although divided into different regions</w:t>
      </w:r>
      <w:r w:rsidR="00AD47CD">
        <w:rPr>
          <w:rFonts w:ascii="Arial" w:hAnsi="Arial" w:cs="Arial"/>
          <w:sz w:val="24"/>
          <w:szCs w:val="24"/>
        </w:rPr>
        <w:t xml:space="preserve"> and </w:t>
      </w:r>
      <w:r>
        <w:rPr>
          <w:rFonts w:ascii="Arial" w:hAnsi="Arial" w:cs="Arial"/>
          <w:sz w:val="24"/>
          <w:szCs w:val="24"/>
        </w:rPr>
        <w:t>that the mere fact that the corruption did not extend to all regions is irrelevant because it relates to the tender as a whole</w:t>
      </w:r>
      <w:r w:rsidR="00F74BDF">
        <w:rPr>
          <w:rFonts w:ascii="Arial" w:hAnsi="Arial" w:cs="Arial"/>
          <w:sz w:val="24"/>
          <w:szCs w:val="24"/>
        </w:rPr>
        <w:t xml:space="preserve"> and </w:t>
      </w:r>
      <w:r w:rsidR="00333BAE">
        <w:rPr>
          <w:rFonts w:ascii="Arial" w:hAnsi="Arial" w:cs="Arial"/>
          <w:sz w:val="24"/>
          <w:szCs w:val="24"/>
        </w:rPr>
        <w:t xml:space="preserve">administered by the </w:t>
      </w:r>
      <w:r>
        <w:rPr>
          <w:rFonts w:ascii="Arial" w:hAnsi="Arial" w:cs="Arial"/>
          <w:sz w:val="24"/>
          <w:szCs w:val="24"/>
        </w:rPr>
        <w:t xml:space="preserve">Ministry. The deponent </w:t>
      </w:r>
      <w:r w:rsidR="00B56B1C">
        <w:rPr>
          <w:rFonts w:ascii="Arial" w:hAnsi="Arial" w:cs="Arial"/>
          <w:sz w:val="24"/>
          <w:szCs w:val="24"/>
        </w:rPr>
        <w:t>stated</w:t>
      </w:r>
      <w:r w:rsidR="00AD47CD">
        <w:rPr>
          <w:rFonts w:ascii="Arial" w:hAnsi="Arial" w:cs="Arial"/>
          <w:sz w:val="24"/>
          <w:szCs w:val="24"/>
        </w:rPr>
        <w:t xml:space="preserve"> </w:t>
      </w:r>
      <w:r>
        <w:rPr>
          <w:rFonts w:ascii="Arial" w:hAnsi="Arial" w:cs="Arial"/>
          <w:sz w:val="24"/>
          <w:szCs w:val="24"/>
        </w:rPr>
        <w:t>that the appellants were not materially affected by the cancellation because they had not been notifi</w:t>
      </w:r>
      <w:r w:rsidR="00F74BDF">
        <w:rPr>
          <w:rFonts w:ascii="Arial" w:hAnsi="Arial" w:cs="Arial"/>
          <w:sz w:val="24"/>
          <w:szCs w:val="24"/>
        </w:rPr>
        <w:t>ed of the outcome of the tender</w:t>
      </w:r>
      <w:r>
        <w:rPr>
          <w:rFonts w:ascii="Arial" w:hAnsi="Arial" w:cs="Arial"/>
          <w:sz w:val="24"/>
          <w:szCs w:val="24"/>
        </w:rPr>
        <w:t xml:space="preserve"> when the cancellation was made</w:t>
      </w:r>
      <w:r w:rsidR="00F74BDF">
        <w:rPr>
          <w:rFonts w:ascii="Arial" w:hAnsi="Arial" w:cs="Arial"/>
          <w:sz w:val="24"/>
          <w:szCs w:val="24"/>
        </w:rPr>
        <w:t>. Accordingly</w:t>
      </w:r>
      <w:r w:rsidR="003F6AB3">
        <w:rPr>
          <w:rFonts w:ascii="Arial" w:hAnsi="Arial" w:cs="Arial"/>
          <w:sz w:val="24"/>
          <w:szCs w:val="24"/>
        </w:rPr>
        <w:t>, so the argument went, the appellants’</w:t>
      </w:r>
      <w:r>
        <w:rPr>
          <w:rFonts w:ascii="Arial" w:hAnsi="Arial" w:cs="Arial"/>
          <w:sz w:val="24"/>
          <w:szCs w:val="24"/>
        </w:rPr>
        <w:t xml:space="preserve"> right to fair process h</w:t>
      </w:r>
      <w:r w:rsidR="00333BAE">
        <w:rPr>
          <w:rFonts w:ascii="Arial" w:hAnsi="Arial" w:cs="Arial"/>
          <w:sz w:val="24"/>
          <w:szCs w:val="24"/>
        </w:rPr>
        <w:t>ad</w:t>
      </w:r>
      <w:r w:rsidR="00150B5F">
        <w:rPr>
          <w:rFonts w:ascii="Arial" w:hAnsi="Arial" w:cs="Arial"/>
          <w:sz w:val="24"/>
          <w:szCs w:val="24"/>
        </w:rPr>
        <w:t xml:space="preserve"> </w:t>
      </w:r>
      <w:r>
        <w:rPr>
          <w:rFonts w:ascii="Arial" w:hAnsi="Arial" w:cs="Arial"/>
          <w:sz w:val="24"/>
          <w:szCs w:val="24"/>
        </w:rPr>
        <w:t>not been infringed.</w:t>
      </w:r>
    </w:p>
    <w:p w:rsidR="00B56B1C" w:rsidRPr="00FE349E" w:rsidRDefault="00B56B1C" w:rsidP="00B56B1C">
      <w:pPr>
        <w:rPr>
          <w:rFonts w:ascii="Arial" w:hAnsi="Arial" w:cs="Arial"/>
          <w:sz w:val="24"/>
          <w:szCs w:val="24"/>
        </w:rPr>
      </w:pPr>
    </w:p>
    <w:p w:rsidR="00ED3BD9" w:rsidRDefault="00B56B1C" w:rsidP="007C2C6F">
      <w:pPr>
        <w:pStyle w:val="NoSpacing"/>
        <w:numPr>
          <w:ilvl w:val="0"/>
          <w:numId w:val="16"/>
        </w:numPr>
        <w:spacing w:line="480" w:lineRule="auto"/>
        <w:ind w:left="0" w:firstLine="0"/>
        <w:jc w:val="both"/>
        <w:rPr>
          <w:rFonts w:ascii="Arial" w:hAnsi="Arial" w:cs="Arial"/>
          <w:sz w:val="24"/>
          <w:szCs w:val="24"/>
        </w:rPr>
      </w:pPr>
      <w:r w:rsidRPr="003F6AB3">
        <w:rPr>
          <w:rFonts w:ascii="Arial" w:hAnsi="Arial" w:cs="Arial"/>
          <w:sz w:val="24"/>
          <w:szCs w:val="24"/>
        </w:rPr>
        <w:lastRenderedPageBreak/>
        <w:t xml:space="preserve">The </w:t>
      </w:r>
      <w:r w:rsidR="003F6AB3" w:rsidRPr="003F6AB3">
        <w:rPr>
          <w:rFonts w:ascii="Arial" w:hAnsi="Arial" w:cs="Arial"/>
          <w:sz w:val="24"/>
          <w:szCs w:val="24"/>
        </w:rPr>
        <w:t>further</w:t>
      </w:r>
      <w:r w:rsidR="0092426D" w:rsidRPr="003F6AB3">
        <w:rPr>
          <w:rFonts w:ascii="Arial" w:hAnsi="Arial" w:cs="Arial"/>
          <w:sz w:val="24"/>
          <w:szCs w:val="24"/>
        </w:rPr>
        <w:t xml:space="preserve"> </w:t>
      </w:r>
      <w:r w:rsidRPr="003F6AB3">
        <w:rPr>
          <w:rFonts w:ascii="Arial" w:hAnsi="Arial" w:cs="Arial"/>
          <w:sz w:val="24"/>
          <w:szCs w:val="24"/>
        </w:rPr>
        <w:t>respondents</w:t>
      </w:r>
      <w:r w:rsidRPr="00C60D19">
        <w:rPr>
          <w:rStyle w:val="FootnoteReference"/>
          <w:rFonts w:ascii="Arial" w:hAnsi="Arial" w:cs="Arial"/>
          <w:sz w:val="24"/>
          <w:szCs w:val="24"/>
        </w:rPr>
        <w:footnoteReference w:id="8"/>
      </w:r>
      <w:r w:rsidRPr="003F6AB3">
        <w:rPr>
          <w:rFonts w:ascii="Arial" w:hAnsi="Arial" w:cs="Arial"/>
          <w:sz w:val="24"/>
          <w:szCs w:val="24"/>
        </w:rPr>
        <w:t xml:space="preserve"> also opposed the application particularly in relation to the</w:t>
      </w:r>
      <w:r w:rsidR="003F6AB3" w:rsidRPr="003F6AB3">
        <w:rPr>
          <w:rFonts w:ascii="Arial" w:hAnsi="Arial" w:cs="Arial"/>
          <w:sz w:val="24"/>
          <w:szCs w:val="24"/>
        </w:rPr>
        <w:t xml:space="preserve"> order to compel and the declaratory relief in paragraphs</w:t>
      </w:r>
      <w:r w:rsidRPr="003F6AB3">
        <w:rPr>
          <w:rFonts w:ascii="Arial" w:hAnsi="Arial" w:cs="Arial"/>
          <w:sz w:val="24"/>
          <w:szCs w:val="24"/>
        </w:rPr>
        <w:t xml:space="preserve"> 2 and 3 of</w:t>
      </w:r>
      <w:r w:rsidR="000D75E4" w:rsidRPr="003F6AB3">
        <w:rPr>
          <w:rFonts w:ascii="Arial" w:hAnsi="Arial" w:cs="Arial"/>
          <w:sz w:val="24"/>
          <w:szCs w:val="24"/>
        </w:rPr>
        <w:t xml:space="preserve"> the amended notice of motion</w:t>
      </w:r>
      <w:r w:rsidR="003F6AB3" w:rsidRPr="003F6AB3">
        <w:rPr>
          <w:rFonts w:ascii="Arial" w:hAnsi="Arial" w:cs="Arial"/>
          <w:sz w:val="24"/>
          <w:szCs w:val="24"/>
        </w:rPr>
        <w:t>, respectively</w:t>
      </w:r>
      <w:r w:rsidR="000D75E4" w:rsidRPr="003F6AB3">
        <w:rPr>
          <w:rFonts w:ascii="Arial" w:hAnsi="Arial" w:cs="Arial"/>
          <w:sz w:val="24"/>
          <w:szCs w:val="24"/>
        </w:rPr>
        <w:t xml:space="preserve">. </w:t>
      </w:r>
      <w:r w:rsidR="00333BAE">
        <w:rPr>
          <w:rFonts w:ascii="Arial" w:hAnsi="Arial" w:cs="Arial"/>
          <w:sz w:val="24"/>
          <w:szCs w:val="24"/>
        </w:rPr>
        <w:t>In</w:t>
      </w:r>
      <w:r w:rsidR="005D0EE2">
        <w:rPr>
          <w:rFonts w:ascii="Arial" w:hAnsi="Arial" w:cs="Arial"/>
          <w:sz w:val="24"/>
          <w:szCs w:val="24"/>
        </w:rPr>
        <w:t xml:space="preserve"> essence,</w:t>
      </w:r>
      <w:r w:rsidR="00333BAE">
        <w:rPr>
          <w:rFonts w:ascii="Arial" w:hAnsi="Arial" w:cs="Arial"/>
          <w:sz w:val="24"/>
          <w:szCs w:val="24"/>
        </w:rPr>
        <w:t xml:space="preserve"> these further respondents</w:t>
      </w:r>
      <w:r w:rsidR="003F6AB3" w:rsidRPr="003F6AB3">
        <w:rPr>
          <w:rFonts w:ascii="Arial" w:hAnsi="Arial" w:cs="Arial"/>
          <w:sz w:val="24"/>
          <w:szCs w:val="24"/>
        </w:rPr>
        <w:t xml:space="preserve"> supported the relief sought for the review and setting aside of the decision to cancel the tender but forcefully opposed the appeal for the said</w:t>
      </w:r>
      <w:r w:rsidR="00333BAE">
        <w:rPr>
          <w:rFonts w:ascii="Arial" w:hAnsi="Arial" w:cs="Arial"/>
          <w:sz w:val="24"/>
          <w:szCs w:val="24"/>
        </w:rPr>
        <w:t xml:space="preserve"> order to compel and the </w:t>
      </w:r>
      <w:r w:rsidR="00B8362F">
        <w:rPr>
          <w:rFonts w:ascii="Arial" w:hAnsi="Arial" w:cs="Arial"/>
          <w:sz w:val="24"/>
          <w:szCs w:val="24"/>
        </w:rPr>
        <w:t>declarator</w:t>
      </w:r>
      <w:r w:rsidR="003F6AB3" w:rsidRPr="003F6AB3">
        <w:rPr>
          <w:rFonts w:ascii="Arial" w:hAnsi="Arial" w:cs="Arial"/>
          <w:sz w:val="24"/>
          <w:szCs w:val="24"/>
        </w:rPr>
        <w:t xml:space="preserve">. </w:t>
      </w:r>
    </w:p>
    <w:p w:rsidR="003F6AB3" w:rsidRPr="003F6AB3" w:rsidRDefault="003F6AB3" w:rsidP="003F6AB3">
      <w:pPr>
        <w:pStyle w:val="NoSpacing"/>
        <w:spacing w:line="480" w:lineRule="auto"/>
        <w:jc w:val="both"/>
        <w:rPr>
          <w:rFonts w:ascii="Arial" w:hAnsi="Arial" w:cs="Arial"/>
          <w:sz w:val="24"/>
          <w:szCs w:val="24"/>
        </w:rPr>
      </w:pPr>
    </w:p>
    <w:p w:rsidR="00B5768B" w:rsidRDefault="001F743D" w:rsidP="007C2C6F">
      <w:pPr>
        <w:pStyle w:val="NoSpacing"/>
        <w:numPr>
          <w:ilvl w:val="0"/>
          <w:numId w:val="16"/>
        </w:numPr>
        <w:spacing w:line="480" w:lineRule="auto"/>
        <w:ind w:left="0" w:firstLine="0"/>
        <w:jc w:val="both"/>
        <w:rPr>
          <w:rFonts w:ascii="Arial" w:hAnsi="Arial" w:cs="Arial"/>
          <w:sz w:val="24"/>
          <w:szCs w:val="24"/>
        </w:rPr>
      </w:pPr>
      <w:r w:rsidRPr="00663681">
        <w:rPr>
          <w:rFonts w:ascii="Arial" w:hAnsi="Arial" w:cs="Arial"/>
          <w:sz w:val="24"/>
          <w:szCs w:val="24"/>
        </w:rPr>
        <w:t xml:space="preserve">The High </w:t>
      </w:r>
      <w:r w:rsidR="00662971">
        <w:rPr>
          <w:rFonts w:ascii="Arial" w:hAnsi="Arial" w:cs="Arial"/>
          <w:sz w:val="24"/>
          <w:szCs w:val="24"/>
        </w:rPr>
        <w:t>Court</w:t>
      </w:r>
      <w:r w:rsidRPr="00663681">
        <w:rPr>
          <w:rFonts w:ascii="Arial" w:hAnsi="Arial" w:cs="Arial"/>
          <w:sz w:val="24"/>
          <w:szCs w:val="24"/>
        </w:rPr>
        <w:t xml:space="preserve"> held that the reasons advanced for the cancellation of the food tender were reasonable</w:t>
      </w:r>
      <w:r w:rsidR="00663681" w:rsidRPr="00663681">
        <w:rPr>
          <w:rFonts w:ascii="Arial" w:hAnsi="Arial" w:cs="Arial"/>
          <w:sz w:val="24"/>
          <w:szCs w:val="24"/>
        </w:rPr>
        <w:t>.</w:t>
      </w:r>
      <w:r w:rsidR="00273383">
        <w:rPr>
          <w:rFonts w:ascii="Arial" w:hAnsi="Arial" w:cs="Arial"/>
          <w:sz w:val="24"/>
          <w:szCs w:val="24"/>
        </w:rPr>
        <w:t xml:space="preserve"> </w:t>
      </w:r>
      <w:r w:rsidR="00663681">
        <w:rPr>
          <w:rFonts w:ascii="Arial" w:hAnsi="Arial" w:cs="Arial"/>
          <w:sz w:val="24"/>
          <w:szCs w:val="24"/>
        </w:rPr>
        <w:t xml:space="preserve">It held that the involvement of some of the </w:t>
      </w:r>
      <w:r w:rsidR="00333BAE">
        <w:rPr>
          <w:rFonts w:ascii="Arial" w:hAnsi="Arial" w:cs="Arial"/>
          <w:sz w:val="24"/>
          <w:szCs w:val="24"/>
        </w:rPr>
        <w:t xml:space="preserve">members of the </w:t>
      </w:r>
      <w:r w:rsidR="00CD1217">
        <w:rPr>
          <w:rFonts w:ascii="Arial" w:hAnsi="Arial" w:cs="Arial"/>
          <w:sz w:val="24"/>
          <w:szCs w:val="24"/>
        </w:rPr>
        <w:t xml:space="preserve">Committee associated </w:t>
      </w:r>
      <w:r w:rsidR="00333BAE">
        <w:rPr>
          <w:rFonts w:ascii="Arial" w:hAnsi="Arial" w:cs="Arial"/>
          <w:sz w:val="24"/>
          <w:szCs w:val="24"/>
        </w:rPr>
        <w:t xml:space="preserve">with some of the tenderers was </w:t>
      </w:r>
      <w:r w:rsidR="00CD1217">
        <w:rPr>
          <w:rFonts w:ascii="Arial" w:hAnsi="Arial" w:cs="Arial"/>
          <w:sz w:val="24"/>
          <w:szCs w:val="24"/>
        </w:rPr>
        <w:t>unacceptable and disgraceful</w:t>
      </w:r>
      <w:r w:rsidR="008A000C">
        <w:rPr>
          <w:rFonts w:ascii="Arial" w:hAnsi="Arial" w:cs="Arial"/>
          <w:sz w:val="24"/>
          <w:szCs w:val="24"/>
        </w:rPr>
        <w:t>.</w:t>
      </w:r>
      <w:r w:rsidR="008A000C">
        <w:rPr>
          <w:rStyle w:val="FootnoteReference"/>
          <w:rFonts w:ascii="Arial" w:hAnsi="Arial" w:cs="Arial"/>
          <w:sz w:val="24"/>
          <w:szCs w:val="24"/>
        </w:rPr>
        <w:footnoteReference w:id="9"/>
      </w:r>
      <w:r w:rsidR="008A000C">
        <w:rPr>
          <w:rFonts w:ascii="Arial" w:hAnsi="Arial" w:cs="Arial"/>
          <w:sz w:val="24"/>
          <w:szCs w:val="24"/>
        </w:rPr>
        <w:t xml:space="preserve"> The </w:t>
      </w:r>
      <w:r w:rsidR="00662971">
        <w:rPr>
          <w:rFonts w:ascii="Arial" w:hAnsi="Arial" w:cs="Arial"/>
          <w:sz w:val="24"/>
          <w:szCs w:val="24"/>
        </w:rPr>
        <w:t>Court</w:t>
      </w:r>
      <w:r w:rsidR="008A000C">
        <w:rPr>
          <w:rFonts w:ascii="Arial" w:hAnsi="Arial" w:cs="Arial"/>
          <w:sz w:val="24"/>
          <w:szCs w:val="24"/>
        </w:rPr>
        <w:t xml:space="preserve"> said that those members </w:t>
      </w:r>
      <w:r w:rsidR="00CD1217">
        <w:rPr>
          <w:rFonts w:ascii="Arial" w:hAnsi="Arial" w:cs="Arial"/>
          <w:sz w:val="24"/>
          <w:szCs w:val="24"/>
        </w:rPr>
        <w:t>disregarde</w:t>
      </w:r>
      <w:r w:rsidR="00333BAE">
        <w:rPr>
          <w:rFonts w:ascii="Arial" w:hAnsi="Arial" w:cs="Arial"/>
          <w:sz w:val="24"/>
          <w:szCs w:val="24"/>
        </w:rPr>
        <w:t xml:space="preserve">d the relevant legal prescripts and </w:t>
      </w:r>
      <w:r w:rsidR="00CD1217">
        <w:rPr>
          <w:rFonts w:ascii="Arial" w:hAnsi="Arial" w:cs="Arial"/>
          <w:sz w:val="24"/>
          <w:szCs w:val="24"/>
        </w:rPr>
        <w:t xml:space="preserve">abused public authority </w:t>
      </w:r>
      <w:r w:rsidR="00333BAE">
        <w:rPr>
          <w:rFonts w:ascii="Arial" w:hAnsi="Arial" w:cs="Arial"/>
          <w:sz w:val="24"/>
          <w:szCs w:val="24"/>
        </w:rPr>
        <w:t xml:space="preserve">to facilitate a desired outcome – inconsistent with </w:t>
      </w:r>
      <w:r w:rsidR="00CD1217">
        <w:rPr>
          <w:rFonts w:ascii="Arial" w:hAnsi="Arial" w:cs="Arial"/>
          <w:sz w:val="24"/>
          <w:szCs w:val="24"/>
        </w:rPr>
        <w:t>the principles and values of the Constitutio</w:t>
      </w:r>
      <w:r w:rsidR="00333BAE">
        <w:rPr>
          <w:rFonts w:ascii="Arial" w:hAnsi="Arial" w:cs="Arial"/>
          <w:sz w:val="24"/>
          <w:szCs w:val="24"/>
        </w:rPr>
        <w:t xml:space="preserve">n, especially Article 18 that </w:t>
      </w:r>
      <w:r w:rsidR="00CD1217">
        <w:rPr>
          <w:rFonts w:ascii="Arial" w:hAnsi="Arial" w:cs="Arial"/>
          <w:sz w:val="24"/>
          <w:szCs w:val="24"/>
        </w:rPr>
        <w:t>imposes an obligation on officials to act fairly, reasonably and lawful</w:t>
      </w:r>
      <w:r w:rsidR="00333BAE">
        <w:rPr>
          <w:rFonts w:ascii="Arial" w:hAnsi="Arial" w:cs="Arial"/>
          <w:sz w:val="24"/>
          <w:szCs w:val="24"/>
        </w:rPr>
        <w:t>ly when exercising public power</w:t>
      </w:r>
      <w:r w:rsidR="00AE515F">
        <w:rPr>
          <w:rFonts w:ascii="Arial" w:hAnsi="Arial" w:cs="Arial"/>
          <w:sz w:val="24"/>
          <w:szCs w:val="24"/>
        </w:rPr>
        <w:t>.</w:t>
      </w:r>
      <w:r w:rsidR="007960F1">
        <w:rPr>
          <w:rStyle w:val="FootnoteReference"/>
          <w:rFonts w:ascii="Arial" w:hAnsi="Arial" w:cs="Arial"/>
          <w:sz w:val="24"/>
          <w:szCs w:val="24"/>
        </w:rPr>
        <w:footnoteReference w:id="10"/>
      </w:r>
      <w:r w:rsidR="007960F1">
        <w:rPr>
          <w:rFonts w:ascii="Arial" w:hAnsi="Arial" w:cs="Arial"/>
          <w:sz w:val="24"/>
          <w:szCs w:val="24"/>
        </w:rPr>
        <w:t xml:space="preserve"> </w:t>
      </w:r>
      <w:r w:rsidR="00246FF3" w:rsidRPr="00663681">
        <w:rPr>
          <w:rFonts w:ascii="Arial" w:hAnsi="Arial" w:cs="Arial"/>
          <w:sz w:val="24"/>
          <w:szCs w:val="24"/>
        </w:rPr>
        <w:t xml:space="preserve"> </w:t>
      </w:r>
    </w:p>
    <w:p w:rsidR="00CD1217" w:rsidRPr="00663681" w:rsidRDefault="00CD1217" w:rsidP="00CD1217">
      <w:pPr>
        <w:pStyle w:val="NoSpacing"/>
        <w:spacing w:line="480" w:lineRule="auto"/>
        <w:jc w:val="both"/>
        <w:rPr>
          <w:rFonts w:ascii="Arial" w:hAnsi="Arial" w:cs="Arial"/>
          <w:sz w:val="24"/>
          <w:szCs w:val="24"/>
        </w:rPr>
      </w:pPr>
    </w:p>
    <w:p w:rsidR="00032BC8" w:rsidRDefault="00881DC9"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On the fair process aspect, </w:t>
      </w:r>
      <w:r w:rsidR="009874FB" w:rsidRPr="006C1CCA">
        <w:rPr>
          <w:rFonts w:ascii="Arial" w:hAnsi="Arial" w:cs="Arial"/>
          <w:sz w:val="24"/>
          <w:szCs w:val="24"/>
        </w:rPr>
        <w:t>t</w:t>
      </w:r>
      <w:r w:rsidR="001F743D" w:rsidRPr="006C1CCA">
        <w:rPr>
          <w:rFonts w:ascii="Arial" w:hAnsi="Arial" w:cs="Arial"/>
          <w:sz w:val="24"/>
          <w:szCs w:val="24"/>
        </w:rPr>
        <w:t xml:space="preserve">he </w:t>
      </w:r>
      <w:r w:rsidR="00662971">
        <w:rPr>
          <w:rFonts w:ascii="Arial" w:hAnsi="Arial" w:cs="Arial"/>
          <w:sz w:val="24"/>
          <w:szCs w:val="24"/>
        </w:rPr>
        <w:t>Court</w:t>
      </w:r>
      <w:r w:rsidR="002A5D46" w:rsidRPr="000D75E4">
        <w:rPr>
          <w:rFonts w:ascii="Arial" w:hAnsi="Arial" w:cs="Arial"/>
          <w:i/>
          <w:sz w:val="24"/>
          <w:szCs w:val="24"/>
        </w:rPr>
        <w:t xml:space="preserve"> </w:t>
      </w:r>
      <w:r w:rsidR="000D75E4" w:rsidRPr="000D75E4">
        <w:rPr>
          <w:rFonts w:ascii="Arial" w:hAnsi="Arial" w:cs="Arial"/>
          <w:i/>
          <w:sz w:val="24"/>
          <w:szCs w:val="24"/>
        </w:rPr>
        <w:t>a quo</w:t>
      </w:r>
      <w:r w:rsidR="000D75E4">
        <w:rPr>
          <w:rFonts w:ascii="Arial" w:hAnsi="Arial" w:cs="Arial"/>
          <w:sz w:val="24"/>
          <w:szCs w:val="24"/>
        </w:rPr>
        <w:t xml:space="preserve"> </w:t>
      </w:r>
      <w:r w:rsidR="002A5D46">
        <w:rPr>
          <w:rFonts w:ascii="Arial" w:hAnsi="Arial" w:cs="Arial"/>
          <w:sz w:val="24"/>
          <w:szCs w:val="24"/>
        </w:rPr>
        <w:t>relied</w:t>
      </w:r>
      <w:r w:rsidR="002A5D46">
        <w:rPr>
          <w:rStyle w:val="FootnoteReference"/>
          <w:rFonts w:ascii="Arial" w:hAnsi="Arial" w:cs="Arial"/>
          <w:sz w:val="24"/>
          <w:szCs w:val="24"/>
        </w:rPr>
        <w:footnoteReference w:id="11"/>
      </w:r>
      <w:r w:rsidR="002A5D46">
        <w:rPr>
          <w:rFonts w:ascii="Arial" w:hAnsi="Arial" w:cs="Arial"/>
          <w:sz w:val="24"/>
          <w:szCs w:val="24"/>
        </w:rPr>
        <w:t xml:space="preserve"> </w:t>
      </w:r>
      <w:r w:rsidR="009874FB" w:rsidRPr="006C1CCA">
        <w:rPr>
          <w:rFonts w:ascii="Arial" w:hAnsi="Arial" w:cs="Arial"/>
          <w:sz w:val="24"/>
          <w:szCs w:val="24"/>
        </w:rPr>
        <w:t xml:space="preserve">on the </w:t>
      </w:r>
      <w:r w:rsidR="00AA21BF">
        <w:rPr>
          <w:rFonts w:ascii="Arial" w:hAnsi="Arial" w:cs="Arial"/>
          <w:sz w:val="24"/>
          <w:szCs w:val="24"/>
        </w:rPr>
        <w:t>‘context part’</w:t>
      </w:r>
      <w:r w:rsidR="00C64182" w:rsidRPr="006C1CCA">
        <w:rPr>
          <w:rFonts w:ascii="Arial" w:hAnsi="Arial" w:cs="Arial"/>
          <w:sz w:val="24"/>
          <w:szCs w:val="24"/>
        </w:rPr>
        <w:t xml:space="preserve"> of the </w:t>
      </w:r>
      <w:r w:rsidR="009874FB" w:rsidRPr="006C1CCA">
        <w:rPr>
          <w:rFonts w:ascii="Arial" w:hAnsi="Arial" w:cs="Arial"/>
          <w:sz w:val="24"/>
          <w:szCs w:val="24"/>
        </w:rPr>
        <w:t xml:space="preserve">English case of </w:t>
      </w:r>
      <w:r w:rsidR="009874FB" w:rsidRPr="006C1CCA">
        <w:rPr>
          <w:rFonts w:ascii="Arial" w:hAnsi="Arial" w:cs="Arial"/>
          <w:i/>
          <w:sz w:val="24"/>
          <w:szCs w:val="24"/>
        </w:rPr>
        <w:t>Doody</w:t>
      </w:r>
      <w:r w:rsidR="00CD1217">
        <w:rPr>
          <w:rStyle w:val="FootnoteReference"/>
          <w:rFonts w:ascii="Arial" w:hAnsi="Arial" w:cs="Arial"/>
          <w:i/>
          <w:sz w:val="24"/>
          <w:szCs w:val="24"/>
        </w:rPr>
        <w:footnoteReference w:id="12"/>
      </w:r>
      <w:r w:rsidR="00CD1217">
        <w:rPr>
          <w:rFonts w:ascii="Arial" w:hAnsi="Arial" w:cs="Arial"/>
          <w:sz w:val="24"/>
          <w:szCs w:val="24"/>
        </w:rPr>
        <w:t xml:space="preserve"> </w:t>
      </w:r>
      <w:r w:rsidR="000855ED" w:rsidRPr="006C1CCA">
        <w:rPr>
          <w:rFonts w:ascii="Arial" w:hAnsi="Arial" w:cs="Arial"/>
          <w:sz w:val="24"/>
          <w:szCs w:val="24"/>
        </w:rPr>
        <w:t xml:space="preserve">where Lord </w:t>
      </w:r>
      <w:r w:rsidR="006C1CCA" w:rsidRPr="006C1CCA">
        <w:rPr>
          <w:rFonts w:ascii="Arial" w:hAnsi="Arial" w:cs="Arial"/>
          <w:sz w:val="24"/>
          <w:szCs w:val="24"/>
        </w:rPr>
        <w:t xml:space="preserve">Mustill, </w:t>
      </w:r>
      <w:r w:rsidR="000855ED" w:rsidRPr="006C1CCA">
        <w:rPr>
          <w:rFonts w:ascii="Arial" w:hAnsi="Arial" w:cs="Arial"/>
          <w:sz w:val="24"/>
          <w:szCs w:val="24"/>
        </w:rPr>
        <w:t>among other things</w:t>
      </w:r>
      <w:r w:rsidR="00333BAE">
        <w:rPr>
          <w:rFonts w:ascii="Arial" w:hAnsi="Arial" w:cs="Arial"/>
          <w:sz w:val="24"/>
          <w:szCs w:val="24"/>
        </w:rPr>
        <w:t>, said ‘</w:t>
      </w:r>
      <w:r w:rsidR="006C1CCA" w:rsidRPr="006C1CCA">
        <w:rPr>
          <w:rFonts w:ascii="Arial" w:hAnsi="Arial" w:cs="Arial"/>
          <w:sz w:val="24"/>
          <w:szCs w:val="24"/>
        </w:rPr>
        <w:t>[w]</w:t>
      </w:r>
      <w:r w:rsidR="000855ED" w:rsidRPr="006C1CCA">
        <w:rPr>
          <w:rFonts w:ascii="Arial" w:hAnsi="Arial" w:cs="Arial"/>
          <w:sz w:val="24"/>
          <w:szCs w:val="24"/>
        </w:rPr>
        <w:t xml:space="preserve">hat fairness </w:t>
      </w:r>
      <w:r w:rsidR="000855ED" w:rsidRPr="006C1CCA">
        <w:rPr>
          <w:rFonts w:ascii="Arial" w:hAnsi="Arial" w:cs="Arial"/>
          <w:sz w:val="24"/>
          <w:szCs w:val="24"/>
        </w:rPr>
        <w:lastRenderedPageBreak/>
        <w:t>demands is dependent on the context of the decision and this is to be taken i</w:t>
      </w:r>
      <w:r w:rsidR="00E80F72" w:rsidRPr="006C1CCA">
        <w:rPr>
          <w:rFonts w:ascii="Arial" w:hAnsi="Arial" w:cs="Arial"/>
          <w:sz w:val="24"/>
          <w:szCs w:val="24"/>
        </w:rPr>
        <w:t>nto account in all its aspects.</w:t>
      </w:r>
      <w:r w:rsidR="00333BAE">
        <w:rPr>
          <w:rFonts w:ascii="Arial" w:hAnsi="Arial" w:cs="Arial"/>
          <w:sz w:val="24"/>
          <w:szCs w:val="24"/>
        </w:rPr>
        <w:t>’</w:t>
      </w:r>
      <w:r w:rsidR="000855ED" w:rsidRPr="006C1CCA">
        <w:rPr>
          <w:rFonts w:ascii="Arial" w:hAnsi="Arial" w:cs="Arial"/>
          <w:sz w:val="24"/>
          <w:szCs w:val="24"/>
        </w:rPr>
        <w:t xml:space="preserve"> </w:t>
      </w:r>
      <w:r w:rsidR="006C1CCA" w:rsidRPr="006C1CCA">
        <w:rPr>
          <w:rFonts w:ascii="Arial" w:hAnsi="Arial" w:cs="Arial"/>
          <w:sz w:val="24"/>
          <w:szCs w:val="24"/>
        </w:rPr>
        <w:t xml:space="preserve"> </w:t>
      </w:r>
      <w:r w:rsidR="00B5768B" w:rsidRPr="006C1CCA">
        <w:rPr>
          <w:rFonts w:ascii="Arial" w:hAnsi="Arial" w:cs="Arial"/>
          <w:sz w:val="24"/>
          <w:szCs w:val="24"/>
        </w:rPr>
        <w:t xml:space="preserve">Having </w:t>
      </w:r>
      <w:r>
        <w:rPr>
          <w:rFonts w:ascii="Arial" w:hAnsi="Arial" w:cs="Arial"/>
          <w:sz w:val="24"/>
          <w:szCs w:val="24"/>
        </w:rPr>
        <w:t>referr</w:t>
      </w:r>
      <w:r w:rsidR="00B5768B" w:rsidRPr="006C1CCA">
        <w:rPr>
          <w:rFonts w:ascii="Arial" w:hAnsi="Arial" w:cs="Arial"/>
          <w:sz w:val="24"/>
          <w:szCs w:val="24"/>
        </w:rPr>
        <w:t xml:space="preserve">ed to the </w:t>
      </w:r>
      <w:r w:rsidR="00114080" w:rsidRPr="006C1CCA">
        <w:rPr>
          <w:rFonts w:ascii="Arial" w:hAnsi="Arial" w:cs="Arial"/>
          <w:sz w:val="24"/>
          <w:szCs w:val="24"/>
        </w:rPr>
        <w:t>context aspect t</w:t>
      </w:r>
      <w:r w:rsidR="00322655" w:rsidRPr="006C1CCA">
        <w:rPr>
          <w:rFonts w:ascii="Arial" w:hAnsi="Arial" w:cs="Arial"/>
          <w:sz w:val="24"/>
          <w:szCs w:val="24"/>
        </w:rPr>
        <w:t xml:space="preserve">he High </w:t>
      </w:r>
      <w:r w:rsidR="00662971">
        <w:rPr>
          <w:rFonts w:ascii="Arial" w:hAnsi="Arial" w:cs="Arial"/>
          <w:sz w:val="24"/>
          <w:szCs w:val="24"/>
        </w:rPr>
        <w:t>Court</w:t>
      </w:r>
      <w:r w:rsidR="00322655" w:rsidRPr="006C1CCA">
        <w:rPr>
          <w:rFonts w:ascii="Arial" w:hAnsi="Arial" w:cs="Arial"/>
          <w:sz w:val="24"/>
          <w:szCs w:val="24"/>
        </w:rPr>
        <w:t xml:space="preserve"> </w:t>
      </w:r>
      <w:r w:rsidR="00CC66DF" w:rsidRPr="006C1CCA">
        <w:rPr>
          <w:rFonts w:ascii="Arial" w:hAnsi="Arial" w:cs="Arial"/>
          <w:sz w:val="24"/>
          <w:szCs w:val="24"/>
        </w:rPr>
        <w:t>then quizzed</w:t>
      </w:r>
      <w:r w:rsidR="00114080" w:rsidRPr="006C1CCA">
        <w:rPr>
          <w:rFonts w:ascii="Arial" w:hAnsi="Arial" w:cs="Arial"/>
          <w:sz w:val="24"/>
          <w:szCs w:val="24"/>
        </w:rPr>
        <w:t>:</w:t>
      </w:r>
      <w:r w:rsidR="002A5D46">
        <w:rPr>
          <w:rFonts w:ascii="Arial" w:hAnsi="Arial" w:cs="Arial"/>
          <w:sz w:val="24"/>
          <w:szCs w:val="24"/>
        </w:rPr>
        <w:t xml:space="preserve"> </w:t>
      </w:r>
      <w:r w:rsidR="00AA21BF">
        <w:rPr>
          <w:rFonts w:ascii="Arial" w:hAnsi="Arial" w:cs="Arial"/>
          <w:sz w:val="24"/>
          <w:szCs w:val="24"/>
        </w:rPr>
        <w:t>‘</w:t>
      </w:r>
      <w:r w:rsidR="00114080" w:rsidRPr="006C1CCA">
        <w:rPr>
          <w:rFonts w:ascii="Arial" w:hAnsi="Arial" w:cs="Arial"/>
          <w:sz w:val="24"/>
          <w:szCs w:val="24"/>
        </w:rPr>
        <w:t>What is the context in which the decision</w:t>
      </w:r>
      <w:r w:rsidR="008A000C">
        <w:rPr>
          <w:rFonts w:ascii="Arial" w:hAnsi="Arial" w:cs="Arial"/>
          <w:sz w:val="24"/>
          <w:szCs w:val="24"/>
        </w:rPr>
        <w:t xml:space="preserve"> to cancel the tender was taken [?]</w:t>
      </w:r>
      <w:r w:rsidR="00AA21BF">
        <w:rPr>
          <w:rFonts w:ascii="Arial" w:hAnsi="Arial" w:cs="Arial"/>
          <w:sz w:val="24"/>
          <w:szCs w:val="24"/>
        </w:rPr>
        <w:t>’</w:t>
      </w:r>
      <w:r>
        <w:rPr>
          <w:rStyle w:val="FootnoteReference"/>
          <w:rFonts w:ascii="Arial" w:hAnsi="Arial" w:cs="Arial"/>
          <w:sz w:val="24"/>
          <w:szCs w:val="24"/>
        </w:rPr>
        <w:footnoteReference w:id="13"/>
      </w:r>
      <w:r w:rsidR="00114080" w:rsidRPr="006C1CCA">
        <w:rPr>
          <w:rFonts w:ascii="Arial" w:hAnsi="Arial" w:cs="Arial"/>
          <w:sz w:val="24"/>
          <w:szCs w:val="24"/>
        </w:rPr>
        <w:t xml:space="preserve"> The High </w:t>
      </w:r>
      <w:r w:rsidR="00662971">
        <w:rPr>
          <w:rFonts w:ascii="Arial" w:hAnsi="Arial" w:cs="Arial"/>
          <w:sz w:val="24"/>
          <w:szCs w:val="24"/>
        </w:rPr>
        <w:t>Court</w:t>
      </w:r>
      <w:r w:rsidR="00114080" w:rsidRPr="006C1CCA">
        <w:rPr>
          <w:rFonts w:ascii="Arial" w:hAnsi="Arial" w:cs="Arial"/>
          <w:sz w:val="24"/>
          <w:szCs w:val="24"/>
        </w:rPr>
        <w:t xml:space="preserve"> stated that the part</w:t>
      </w:r>
      <w:r w:rsidR="00333BAE">
        <w:rPr>
          <w:rFonts w:ascii="Arial" w:hAnsi="Arial" w:cs="Arial"/>
          <w:sz w:val="24"/>
          <w:szCs w:val="24"/>
        </w:rPr>
        <w:t>ies agreed that after the Bo</w:t>
      </w:r>
      <w:r w:rsidR="00114080" w:rsidRPr="006C1CCA">
        <w:rPr>
          <w:rFonts w:ascii="Arial" w:hAnsi="Arial" w:cs="Arial"/>
          <w:sz w:val="24"/>
          <w:szCs w:val="24"/>
        </w:rPr>
        <w:t>ard had met and resol</w:t>
      </w:r>
      <w:r>
        <w:rPr>
          <w:rFonts w:ascii="Arial" w:hAnsi="Arial" w:cs="Arial"/>
          <w:sz w:val="24"/>
          <w:szCs w:val="24"/>
        </w:rPr>
        <w:t xml:space="preserve">ved on how to award the tender </w:t>
      </w:r>
      <w:r w:rsidR="00114080" w:rsidRPr="006C1CCA">
        <w:rPr>
          <w:rFonts w:ascii="Arial" w:hAnsi="Arial" w:cs="Arial"/>
          <w:sz w:val="24"/>
          <w:szCs w:val="24"/>
        </w:rPr>
        <w:t>allegations of corruption and irregularities in the award of the tender surfaced.</w:t>
      </w:r>
      <w:r w:rsidR="002A5D46">
        <w:rPr>
          <w:rFonts w:ascii="Arial" w:hAnsi="Arial" w:cs="Arial"/>
          <w:sz w:val="24"/>
          <w:szCs w:val="24"/>
        </w:rPr>
        <w:t xml:space="preserve"> </w:t>
      </w:r>
      <w:r w:rsidR="00114080" w:rsidRPr="006C1CCA">
        <w:rPr>
          <w:rFonts w:ascii="Arial" w:hAnsi="Arial" w:cs="Arial"/>
          <w:sz w:val="24"/>
          <w:szCs w:val="24"/>
        </w:rPr>
        <w:t>Becaus</w:t>
      </w:r>
      <w:r w:rsidR="00333BAE">
        <w:rPr>
          <w:rFonts w:ascii="Arial" w:hAnsi="Arial" w:cs="Arial"/>
          <w:sz w:val="24"/>
          <w:szCs w:val="24"/>
        </w:rPr>
        <w:t>e of the allegations the Minist</w:t>
      </w:r>
      <w:r w:rsidR="00114080" w:rsidRPr="006C1CCA">
        <w:rPr>
          <w:rFonts w:ascii="Arial" w:hAnsi="Arial" w:cs="Arial"/>
          <w:sz w:val="24"/>
          <w:szCs w:val="24"/>
        </w:rPr>
        <w:t>r</w:t>
      </w:r>
      <w:r w:rsidR="00333BAE">
        <w:rPr>
          <w:rFonts w:ascii="Arial" w:hAnsi="Arial" w:cs="Arial"/>
          <w:sz w:val="24"/>
          <w:szCs w:val="24"/>
        </w:rPr>
        <w:t>y asked</w:t>
      </w:r>
      <w:r w:rsidR="006518FA">
        <w:rPr>
          <w:rFonts w:ascii="Arial" w:hAnsi="Arial" w:cs="Arial"/>
          <w:sz w:val="24"/>
          <w:szCs w:val="24"/>
        </w:rPr>
        <w:t xml:space="preserve"> the </w:t>
      </w:r>
      <w:r w:rsidR="00114080" w:rsidRPr="006C1CCA">
        <w:rPr>
          <w:rFonts w:ascii="Arial" w:hAnsi="Arial" w:cs="Arial"/>
          <w:sz w:val="24"/>
          <w:szCs w:val="24"/>
        </w:rPr>
        <w:t>Board to cancel the tender.</w:t>
      </w:r>
      <w:r w:rsidR="00032BC8" w:rsidRPr="006C1CCA">
        <w:rPr>
          <w:rFonts w:ascii="Arial" w:hAnsi="Arial" w:cs="Arial"/>
          <w:sz w:val="24"/>
          <w:szCs w:val="24"/>
        </w:rPr>
        <w:t xml:space="preserve"> The </w:t>
      </w:r>
      <w:r w:rsidR="00662971">
        <w:rPr>
          <w:rFonts w:ascii="Arial" w:hAnsi="Arial" w:cs="Arial"/>
          <w:sz w:val="24"/>
          <w:szCs w:val="24"/>
        </w:rPr>
        <w:t>Court</w:t>
      </w:r>
      <w:r w:rsidR="00032BC8" w:rsidRPr="006C1CCA">
        <w:rPr>
          <w:rFonts w:ascii="Arial" w:hAnsi="Arial" w:cs="Arial"/>
          <w:sz w:val="24"/>
          <w:szCs w:val="24"/>
        </w:rPr>
        <w:t xml:space="preserve">, </w:t>
      </w:r>
      <w:r w:rsidR="002A5D46">
        <w:rPr>
          <w:rFonts w:ascii="Arial" w:hAnsi="Arial" w:cs="Arial"/>
          <w:sz w:val="24"/>
          <w:szCs w:val="24"/>
        </w:rPr>
        <w:t xml:space="preserve">relying on the South African Constitutional decision in </w:t>
      </w:r>
      <w:r w:rsidR="00032BC8" w:rsidRPr="006C1CCA">
        <w:rPr>
          <w:rFonts w:ascii="Arial" w:hAnsi="Arial" w:cs="Arial"/>
          <w:i/>
          <w:sz w:val="24"/>
          <w:szCs w:val="24"/>
        </w:rPr>
        <w:t>Heath</w:t>
      </w:r>
      <w:r w:rsidR="00032BC8" w:rsidRPr="006C1CCA">
        <w:rPr>
          <w:rFonts w:ascii="Arial" w:hAnsi="Arial" w:cs="Arial"/>
          <w:sz w:val="24"/>
          <w:szCs w:val="24"/>
        </w:rPr>
        <w:t>,</w:t>
      </w:r>
      <w:r w:rsidR="002A5D46">
        <w:rPr>
          <w:rStyle w:val="FootnoteReference"/>
          <w:rFonts w:ascii="Arial" w:hAnsi="Arial" w:cs="Arial"/>
          <w:sz w:val="24"/>
          <w:szCs w:val="24"/>
        </w:rPr>
        <w:footnoteReference w:id="14"/>
      </w:r>
      <w:r w:rsidR="00032BC8" w:rsidRPr="006C1CCA">
        <w:rPr>
          <w:rFonts w:ascii="Arial" w:hAnsi="Arial" w:cs="Arial"/>
          <w:sz w:val="24"/>
          <w:szCs w:val="24"/>
        </w:rPr>
        <w:t xml:space="preserve"> concluded </w:t>
      </w:r>
      <w:r w:rsidR="00246FF3" w:rsidRPr="006C1CCA">
        <w:rPr>
          <w:rFonts w:ascii="Arial" w:hAnsi="Arial" w:cs="Arial"/>
          <w:sz w:val="24"/>
          <w:szCs w:val="24"/>
        </w:rPr>
        <w:t>as follows on th</w:t>
      </w:r>
      <w:r>
        <w:rPr>
          <w:rFonts w:ascii="Arial" w:hAnsi="Arial" w:cs="Arial"/>
          <w:sz w:val="24"/>
          <w:szCs w:val="24"/>
        </w:rPr>
        <w:t xml:space="preserve">is </w:t>
      </w:r>
      <w:r w:rsidR="00032BC8" w:rsidRPr="006C1CCA">
        <w:rPr>
          <w:rFonts w:ascii="Arial" w:hAnsi="Arial" w:cs="Arial"/>
          <w:sz w:val="24"/>
          <w:szCs w:val="24"/>
        </w:rPr>
        <w:t>aspect</w:t>
      </w:r>
      <w:r w:rsidR="001B2FCA">
        <w:rPr>
          <w:rFonts w:ascii="Arial" w:hAnsi="Arial" w:cs="Arial"/>
          <w:sz w:val="24"/>
          <w:szCs w:val="24"/>
        </w:rPr>
        <w:t>:</w:t>
      </w:r>
    </w:p>
    <w:p w:rsidR="00AA21BF" w:rsidRPr="006C1CCA" w:rsidRDefault="00AA21BF" w:rsidP="00AA21BF">
      <w:pPr>
        <w:pStyle w:val="NoSpacing"/>
        <w:spacing w:line="480" w:lineRule="auto"/>
        <w:jc w:val="both"/>
        <w:rPr>
          <w:rFonts w:ascii="Arial" w:hAnsi="Arial" w:cs="Arial"/>
          <w:sz w:val="24"/>
          <w:szCs w:val="24"/>
        </w:rPr>
      </w:pPr>
    </w:p>
    <w:p w:rsidR="006C3346" w:rsidRPr="005D0EE2" w:rsidRDefault="00AA21BF" w:rsidP="00AA21BF">
      <w:pPr>
        <w:pStyle w:val="NoSpacing"/>
        <w:spacing w:line="360" w:lineRule="auto"/>
        <w:ind w:left="720"/>
        <w:jc w:val="both"/>
        <w:rPr>
          <w:rFonts w:ascii="Arial" w:hAnsi="Arial" w:cs="Arial"/>
        </w:rPr>
      </w:pPr>
      <w:r>
        <w:rPr>
          <w:rFonts w:ascii="Arial" w:hAnsi="Arial" w:cs="Arial"/>
        </w:rPr>
        <w:t>‘</w:t>
      </w:r>
      <w:r w:rsidR="00C44212">
        <w:rPr>
          <w:rFonts w:ascii="Arial" w:hAnsi="Arial" w:cs="Arial"/>
        </w:rPr>
        <w:t xml:space="preserve">Tender </w:t>
      </w:r>
      <w:r w:rsidR="00032BC8" w:rsidRPr="00AE71EE">
        <w:rPr>
          <w:rFonts w:ascii="Arial" w:hAnsi="Arial" w:cs="Arial"/>
        </w:rPr>
        <w:t xml:space="preserve">Board was duty bound to cancel the Tender and when it did so without affording the tenderers </w:t>
      </w:r>
      <w:r w:rsidR="00C44212">
        <w:rPr>
          <w:rFonts w:ascii="Arial" w:hAnsi="Arial" w:cs="Arial"/>
        </w:rPr>
        <w:t xml:space="preserve">(this include [the </w:t>
      </w:r>
      <w:r w:rsidR="005D0EE2">
        <w:rPr>
          <w:rFonts w:ascii="Arial" w:hAnsi="Arial" w:cs="Arial"/>
        </w:rPr>
        <w:t>a</w:t>
      </w:r>
      <w:r w:rsidR="00C44212">
        <w:rPr>
          <w:rFonts w:ascii="Arial" w:hAnsi="Arial" w:cs="Arial"/>
        </w:rPr>
        <w:t xml:space="preserve">ppellants] </w:t>
      </w:r>
      <w:r w:rsidR="00032BC8" w:rsidRPr="00AE71EE">
        <w:rPr>
          <w:rFonts w:ascii="Arial" w:hAnsi="Arial" w:cs="Arial"/>
        </w:rPr>
        <w:t>an opportu</w:t>
      </w:r>
      <w:r w:rsidR="00246FF3">
        <w:rPr>
          <w:rFonts w:ascii="Arial" w:hAnsi="Arial" w:cs="Arial"/>
        </w:rPr>
        <w:t>nity to be heard it did not</w:t>
      </w:r>
      <w:r w:rsidR="00686A2A">
        <w:rPr>
          <w:rFonts w:ascii="Arial" w:hAnsi="Arial" w:cs="Arial"/>
        </w:rPr>
        <w:t xml:space="preserve"> in my view </w:t>
      </w:r>
      <w:r w:rsidR="00032BC8" w:rsidRPr="00AE71EE">
        <w:rPr>
          <w:rFonts w:ascii="Arial" w:hAnsi="Arial" w:cs="Arial"/>
        </w:rPr>
        <w:t xml:space="preserve">act unfairly, this was so because the allegations of impropriety, corruption </w:t>
      </w:r>
      <w:r w:rsidR="00032BC8" w:rsidRPr="005D0EE2">
        <w:rPr>
          <w:rFonts w:ascii="Arial" w:hAnsi="Arial" w:cs="Arial"/>
        </w:rPr>
        <w:t xml:space="preserve">and irregularity were not levelled against any of the tenderers but against the officials of the </w:t>
      </w:r>
      <w:r w:rsidRPr="005D0EE2">
        <w:rPr>
          <w:rFonts w:ascii="Arial" w:hAnsi="Arial" w:cs="Arial"/>
        </w:rPr>
        <w:t>Ministry.’</w:t>
      </w:r>
      <w:r w:rsidR="005D0EE2">
        <w:rPr>
          <w:rStyle w:val="FootnoteReference"/>
          <w:rFonts w:ascii="Arial" w:hAnsi="Arial" w:cs="Arial"/>
        </w:rPr>
        <w:footnoteReference w:id="15"/>
      </w:r>
    </w:p>
    <w:p w:rsidR="008A000C" w:rsidRDefault="008A000C" w:rsidP="008A000C">
      <w:pPr>
        <w:pStyle w:val="NoSpacing"/>
        <w:spacing w:line="480" w:lineRule="auto"/>
        <w:ind w:left="720"/>
        <w:jc w:val="both"/>
        <w:rPr>
          <w:rFonts w:ascii="Arial" w:hAnsi="Arial" w:cs="Arial"/>
          <w:sz w:val="24"/>
          <w:szCs w:val="24"/>
        </w:rPr>
      </w:pPr>
    </w:p>
    <w:p w:rsidR="00C44212" w:rsidRDefault="00032BC8"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Regarding</w:t>
      </w:r>
      <w:r w:rsidR="00333BAE">
        <w:rPr>
          <w:rFonts w:ascii="Arial" w:hAnsi="Arial" w:cs="Arial"/>
          <w:sz w:val="24"/>
          <w:szCs w:val="24"/>
        </w:rPr>
        <w:t xml:space="preserve"> the substantive challenge,</w:t>
      </w:r>
      <w:r>
        <w:rPr>
          <w:rFonts w:ascii="Arial" w:hAnsi="Arial" w:cs="Arial"/>
          <w:sz w:val="24"/>
          <w:szCs w:val="24"/>
        </w:rPr>
        <w:t xml:space="preserve"> that the cancellation of the tender was unreasonable and irrational, </w:t>
      </w:r>
      <w:r w:rsidR="00A02948">
        <w:rPr>
          <w:rFonts w:ascii="Arial" w:hAnsi="Arial" w:cs="Arial"/>
          <w:sz w:val="24"/>
          <w:szCs w:val="24"/>
        </w:rPr>
        <w:t xml:space="preserve">the </w:t>
      </w:r>
      <w:r w:rsidR="00662971">
        <w:rPr>
          <w:rFonts w:ascii="Arial" w:hAnsi="Arial" w:cs="Arial"/>
          <w:sz w:val="24"/>
          <w:szCs w:val="24"/>
        </w:rPr>
        <w:t>Court</w:t>
      </w:r>
      <w:r w:rsidR="00686A2A">
        <w:rPr>
          <w:rFonts w:ascii="Arial" w:hAnsi="Arial" w:cs="Arial"/>
          <w:sz w:val="24"/>
          <w:szCs w:val="24"/>
        </w:rPr>
        <w:t xml:space="preserve"> </w:t>
      </w:r>
      <w:r w:rsidR="00A02948">
        <w:rPr>
          <w:rFonts w:ascii="Arial" w:hAnsi="Arial" w:cs="Arial"/>
          <w:sz w:val="24"/>
          <w:szCs w:val="24"/>
        </w:rPr>
        <w:t>remarked</w:t>
      </w:r>
      <w:r w:rsidR="00C44212">
        <w:rPr>
          <w:rFonts w:ascii="Arial" w:hAnsi="Arial" w:cs="Arial"/>
          <w:sz w:val="24"/>
          <w:szCs w:val="24"/>
        </w:rPr>
        <w:t>:</w:t>
      </w:r>
    </w:p>
    <w:p w:rsidR="00AA21BF" w:rsidRDefault="00AA21BF" w:rsidP="00AA21BF">
      <w:pPr>
        <w:pStyle w:val="NoSpacing"/>
        <w:spacing w:line="360" w:lineRule="auto"/>
        <w:jc w:val="both"/>
        <w:rPr>
          <w:rFonts w:ascii="Arial" w:hAnsi="Arial" w:cs="Arial"/>
          <w:sz w:val="24"/>
          <w:szCs w:val="24"/>
        </w:rPr>
      </w:pPr>
    </w:p>
    <w:p w:rsidR="00D0366C" w:rsidRDefault="00AA21BF" w:rsidP="00AA21BF">
      <w:pPr>
        <w:pStyle w:val="NoSpacing"/>
        <w:spacing w:line="360" w:lineRule="auto"/>
        <w:ind w:left="720"/>
        <w:jc w:val="both"/>
        <w:rPr>
          <w:rFonts w:ascii="Arial" w:hAnsi="Arial" w:cs="Arial"/>
        </w:rPr>
      </w:pPr>
      <w:r>
        <w:rPr>
          <w:rFonts w:ascii="Arial" w:hAnsi="Arial" w:cs="Arial"/>
        </w:rPr>
        <w:t>‘</w:t>
      </w:r>
      <w:r w:rsidR="00C44212">
        <w:rPr>
          <w:rFonts w:ascii="Arial" w:hAnsi="Arial" w:cs="Arial"/>
        </w:rPr>
        <w:t>I have, in detail, quoted above the deliberations which led to the cancella</w:t>
      </w:r>
      <w:r w:rsidR="00333BAE">
        <w:rPr>
          <w:rFonts w:ascii="Arial" w:hAnsi="Arial" w:cs="Arial"/>
        </w:rPr>
        <w:t>tion of the tender by the [</w:t>
      </w:r>
      <w:r w:rsidR="00C44212">
        <w:rPr>
          <w:rFonts w:ascii="Arial" w:hAnsi="Arial" w:cs="Arial"/>
        </w:rPr>
        <w:t>Board</w:t>
      </w:r>
      <w:r w:rsidR="00333BAE">
        <w:rPr>
          <w:rFonts w:ascii="Arial" w:hAnsi="Arial" w:cs="Arial"/>
        </w:rPr>
        <w:t>]</w:t>
      </w:r>
      <w:r w:rsidR="000A2D3D">
        <w:rPr>
          <w:rFonts w:ascii="Arial" w:hAnsi="Arial" w:cs="Arial"/>
        </w:rPr>
        <w:t>.</w:t>
      </w:r>
      <w:r w:rsidR="00C44212">
        <w:rPr>
          <w:rFonts w:ascii="Arial" w:hAnsi="Arial" w:cs="Arial"/>
        </w:rPr>
        <w:t xml:space="preserve"> A staff member of the </w:t>
      </w:r>
      <w:r w:rsidR="00333BAE">
        <w:rPr>
          <w:rFonts w:ascii="Arial" w:hAnsi="Arial" w:cs="Arial"/>
        </w:rPr>
        <w:t>[</w:t>
      </w:r>
      <w:r w:rsidR="00C44212">
        <w:rPr>
          <w:rFonts w:ascii="Arial" w:hAnsi="Arial" w:cs="Arial"/>
        </w:rPr>
        <w:t>Ministry</w:t>
      </w:r>
      <w:r w:rsidR="00333BAE">
        <w:rPr>
          <w:rFonts w:ascii="Arial" w:hAnsi="Arial" w:cs="Arial"/>
        </w:rPr>
        <w:t>]</w:t>
      </w:r>
      <w:r w:rsidR="00C44212">
        <w:rPr>
          <w:rFonts w:ascii="Arial" w:hAnsi="Arial" w:cs="Arial"/>
        </w:rPr>
        <w:t xml:space="preserve"> ‘confesses’ that ‘Officials having interests were requested not to participate in the ev</w:t>
      </w:r>
      <w:r w:rsidR="00D0366C">
        <w:rPr>
          <w:rFonts w:ascii="Arial" w:hAnsi="Arial" w:cs="Arial"/>
        </w:rPr>
        <w:t>aluation, but they partici</w:t>
      </w:r>
      <w:r w:rsidR="00C44212">
        <w:rPr>
          <w:rFonts w:ascii="Arial" w:hAnsi="Arial" w:cs="Arial"/>
        </w:rPr>
        <w:t xml:space="preserve">pated and did not declare their interest’ this was not only improper but sheer corruption. </w:t>
      </w:r>
      <w:r w:rsidR="008A000C">
        <w:rPr>
          <w:rFonts w:ascii="Arial" w:hAnsi="Arial" w:cs="Arial"/>
        </w:rPr>
        <w:t xml:space="preserve"> </w:t>
      </w:r>
      <w:r w:rsidR="00C44212">
        <w:rPr>
          <w:rFonts w:ascii="Arial" w:hAnsi="Arial" w:cs="Arial"/>
        </w:rPr>
        <w:t>I fail to understand how</w:t>
      </w:r>
      <w:r w:rsidR="00D0366C">
        <w:rPr>
          <w:rFonts w:ascii="Arial" w:hAnsi="Arial" w:cs="Arial"/>
        </w:rPr>
        <w:t xml:space="preserve"> </w:t>
      </w:r>
      <w:r w:rsidR="005D0EE2">
        <w:rPr>
          <w:rFonts w:ascii="Arial" w:hAnsi="Arial" w:cs="Arial"/>
        </w:rPr>
        <w:t>counsel for the [ap</w:t>
      </w:r>
      <w:r w:rsidR="00C44212">
        <w:rPr>
          <w:rFonts w:ascii="Arial" w:hAnsi="Arial" w:cs="Arial"/>
        </w:rPr>
        <w:t xml:space="preserve">pellants] could, without putting up facts contradicting the statement by the ‘technical person’ representing the </w:t>
      </w:r>
      <w:r w:rsidR="00C44212">
        <w:rPr>
          <w:rFonts w:ascii="Arial" w:hAnsi="Arial" w:cs="Arial"/>
        </w:rPr>
        <w:lastRenderedPageBreak/>
        <w:t xml:space="preserve">Ministry at the </w:t>
      </w:r>
      <w:r w:rsidR="00333BAE">
        <w:rPr>
          <w:rFonts w:ascii="Arial" w:hAnsi="Arial" w:cs="Arial"/>
        </w:rPr>
        <w:t>[</w:t>
      </w:r>
      <w:r w:rsidR="00C44212">
        <w:rPr>
          <w:rFonts w:ascii="Arial" w:hAnsi="Arial" w:cs="Arial"/>
        </w:rPr>
        <w:t>Board</w:t>
      </w:r>
      <w:r w:rsidR="00333BAE">
        <w:rPr>
          <w:rFonts w:ascii="Arial" w:hAnsi="Arial" w:cs="Arial"/>
        </w:rPr>
        <w:t>]</w:t>
      </w:r>
      <w:r w:rsidR="00C44212">
        <w:rPr>
          <w:rFonts w:ascii="Arial" w:hAnsi="Arial" w:cs="Arial"/>
        </w:rPr>
        <w:t xml:space="preserve"> argue that these allegations by the technical person are simply ‘rumours’</w:t>
      </w:r>
      <w:r w:rsidR="00D0366C">
        <w:rPr>
          <w:rFonts w:ascii="Arial" w:hAnsi="Arial" w:cs="Arial"/>
        </w:rPr>
        <w:t xml:space="preserve"> </w:t>
      </w:r>
      <w:r w:rsidR="00C44212">
        <w:rPr>
          <w:rFonts w:ascii="Arial" w:hAnsi="Arial" w:cs="Arial"/>
        </w:rPr>
        <w:t>and conjured reasons.</w:t>
      </w:r>
    </w:p>
    <w:p w:rsidR="00D0366C" w:rsidRDefault="00D0366C" w:rsidP="00AA21BF">
      <w:pPr>
        <w:pStyle w:val="NoSpacing"/>
        <w:spacing w:line="360" w:lineRule="auto"/>
        <w:ind w:left="720"/>
        <w:jc w:val="both"/>
        <w:rPr>
          <w:rFonts w:ascii="Arial" w:hAnsi="Arial" w:cs="Arial"/>
        </w:rPr>
      </w:pPr>
      <w:r>
        <w:rPr>
          <w:rFonts w:ascii="Arial" w:hAnsi="Arial" w:cs="Arial"/>
        </w:rPr>
        <w:t xml:space="preserve">I repeat, the minutes of the meeting of 13 October 2014 . . . </w:t>
      </w:r>
      <w:r w:rsidRPr="00D0366C">
        <w:rPr>
          <w:rFonts w:ascii="Arial" w:hAnsi="Arial" w:cs="Arial"/>
          <w:i/>
        </w:rPr>
        <w:t>disclose corruption</w:t>
      </w:r>
      <w:r>
        <w:rPr>
          <w:rFonts w:ascii="Arial" w:hAnsi="Arial" w:cs="Arial"/>
        </w:rPr>
        <w:t xml:space="preserve"> and incompetence on t</w:t>
      </w:r>
      <w:r w:rsidR="00686A2A">
        <w:rPr>
          <w:rFonts w:ascii="Arial" w:hAnsi="Arial" w:cs="Arial"/>
        </w:rPr>
        <w:t xml:space="preserve">he part of the officers in the </w:t>
      </w:r>
      <w:r w:rsidR="00333BAE">
        <w:rPr>
          <w:rFonts w:ascii="Arial" w:hAnsi="Arial" w:cs="Arial"/>
        </w:rPr>
        <w:t>[</w:t>
      </w:r>
      <w:r w:rsidR="00686A2A">
        <w:rPr>
          <w:rFonts w:ascii="Arial" w:hAnsi="Arial" w:cs="Arial"/>
        </w:rPr>
        <w:t>M</w:t>
      </w:r>
      <w:r w:rsidR="00333BAE">
        <w:rPr>
          <w:rFonts w:ascii="Arial" w:hAnsi="Arial" w:cs="Arial"/>
        </w:rPr>
        <w:t>inistry]</w:t>
      </w:r>
      <w:r>
        <w:rPr>
          <w:rFonts w:ascii="Arial" w:hAnsi="Arial" w:cs="Arial"/>
        </w:rPr>
        <w:t>.  The basis upon which the decision to cancel the tender was made was the corrupt and irregular pro</w:t>
      </w:r>
      <w:r w:rsidR="00333BAE">
        <w:rPr>
          <w:rFonts w:ascii="Arial" w:hAnsi="Arial" w:cs="Arial"/>
        </w:rPr>
        <w:t>cess followed by the [</w:t>
      </w:r>
      <w:r>
        <w:rPr>
          <w:rFonts w:ascii="Arial" w:hAnsi="Arial" w:cs="Arial"/>
        </w:rPr>
        <w:t>Committee</w:t>
      </w:r>
      <w:r w:rsidR="00333BAE">
        <w:rPr>
          <w:rFonts w:ascii="Arial" w:hAnsi="Arial" w:cs="Arial"/>
        </w:rPr>
        <w:t>]</w:t>
      </w:r>
      <w:r>
        <w:rPr>
          <w:rFonts w:ascii="Arial" w:hAnsi="Arial" w:cs="Arial"/>
        </w:rPr>
        <w:t xml:space="preserve"> and the question this </w:t>
      </w:r>
      <w:r w:rsidR="00662971">
        <w:rPr>
          <w:rFonts w:ascii="Arial" w:hAnsi="Arial" w:cs="Arial"/>
        </w:rPr>
        <w:t>Court</w:t>
      </w:r>
      <w:r>
        <w:rPr>
          <w:rFonts w:ascii="Arial" w:hAnsi="Arial" w:cs="Arial"/>
        </w:rPr>
        <w:t xml:space="preserve"> must answer is whether it was irrational</w:t>
      </w:r>
      <w:r w:rsidR="00333BAE">
        <w:rPr>
          <w:rFonts w:ascii="Arial" w:hAnsi="Arial" w:cs="Arial"/>
        </w:rPr>
        <w:t xml:space="preserve"> or unreasonable for the [</w:t>
      </w:r>
      <w:r>
        <w:rPr>
          <w:rFonts w:ascii="Arial" w:hAnsi="Arial" w:cs="Arial"/>
        </w:rPr>
        <w:t>Board</w:t>
      </w:r>
      <w:r w:rsidR="00333BAE">
        <w:rPr>
          <w:rFonts w:ascii="Arial" w:hAnsi="Arial" w:cs="Arial"/>
        </w:rPr>
        <w:t>]</w:t>
      </w:r>
      <w:r>
        <w:rPr>
          <w:rFonts w:ascii="Arial" w:hAnsi="Arial" w:cs="Arial"/>
        </w:rPr>
        <w:t xml:space="preserve"> to have sought to address the situation in the manner it did.  On the evidence before me the cancellation of the tender cannot be said to</w:t>
      </w:r>
      <w:r w:rsidR="00AA21BF">
        <w:rPr>
          <w:rFonts w:ascii="Arial" w:hAnsi="Arial" w:cs="Arial"/>
        </w:rPr>
        <w:t xml:space="preserve"> be unreasonable or irrational.’</w:t>
      </w:r>
      <w:r>
        <w:rPr>
          <w:rStyle w:val="FootnoteReference"/>
          <w:rFonts w:ascii="Arial" w:hAnsi="Arial" w:cs="Arial"/>
        </w:rPr>
        <w:footnoteReference w:id="16"/>
      </w:r>
    </w:p>
    <w:p w:rsidR="00C44212" w:rsidRPr="00C44212" w:rsidRDefault="00C44212" w:rsidP="00150B5F">
      <w:pPr>
        <w:pStyle w:val="NoSpacing"/>
        <w:spacing w:line="480" w:lineRule="auto"/>
        <w:jc w:val="both"/>
        <w:rPr>
          <w:rFonts w:ascii="Arial" w:hAnsi="Arial" w:cs="Arial"/>
        </w:rPr>
      </w:pPr>
    </w:p>
    <w:p w:rsidR="006F25EE" w:rsidRDefault="008A000C"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Concerning</w:t>
      </w:r>
      <w:r w:rsidR="00333BAE">
        <w:rPr>
          <w:rFonts w:ascii="Arial" w:hAnsi="Arial" w:cs="Arial"/>
          <w:sz w:val="24"/>
          <w:szCs w:val="24"/>
        </w:rPr>
        <w:t xml:space="preserve"> the challenge that the</w:t>
      </w:r>
      <w:r w:rsidR="00F419CE" w:rsidRPr="00686A2A">
        <w:rPr>
          <w:rFonts w:ascii="Arial" w:hAnsi="Arial" w:cs="Arial"/>
          <w:sz w:val="24"/>
          <w:szCs w:val="24"/>
        </w:rPr>
        <w:t xml:space="preserve"> Board was </w:t>
      </w:r>
      <w:r w:rsidR="00F419CE" w:rsidRPr="006A5F4F">
        <w:rPr>
          <w:rFonts w:ascii="Arial" w:hAnsi="Arial" w:cs="Arial"/>
          <w:i/>
          <w:sz w:val="24"/>
          <w:szCs w:val="24"/>
        </w:rPr>
        <w:t>functus officio</w:t>
      </w:r>
      <w:r w:rsidR="00F419CE" w:rsidRPr="00686A2A">
        <w:rPr>
          <w:rFonts w:ascii="Arial" w:hAnsi="Arial" w:cs="Arial"/>
          <w:sz w:val="24"/>
          <w:szCs w:val="24"/>
        </w:rPr>
        <w:t xml:space="preserve">, the </w:t>
      </w:r>
      <w:r w:rsidR="00190808" w:rsidRPr="00686A2A">
        <w:rPr>
          <w:rFonts w:ascii="Arial" w:hAnsi="Arial" w:cs="Arial"/>
          <w:sz w:val="24"/>
          <w:szCs w:val="24"/>
        </w:rPr>
        <w:t xml:space="preserve">High </w:t>
      </w:r>
      <w:r w:rsidR="00662971">
        <w:rPr>
          <w:rFonts w:ascii="Arial" w:hAnsi="Arial" w:cs="Arial"/>
          <w:sz w:val="24"/>
          <w:szCs w:val="24"/>
        </w:rPr>
        <w:t>Court</w:t>
      </w:r>
      <w:r w:rsidR="00333BAE">
        <w:rPr>
          <w:rFonts w:ascii="Arial" w:hAnsi="Arial" w:cs="Arial"/>
          <w:sz w:val="24"/>
          <w:szCs w:val="24"/>
        </w:rPr>
        <w:t xml:space="preserve"> remarked that the</w:t>
      </w:r>
      <w:r w:rsidR="006A5F4F">
        <w:rPr>
          <w:rFonts w:ascii="Arial" w:hAnsi="Arial" w:cs="Arial"/>
          <w:sz w:val="24"/>
          <w:szCs w:val="24"/>
        </w:rPr>
        <w:t xml:space="preserve"> B</w:t>
      </w:r>
      <w:r w:rsidR="00F419CE" w:rsidRPr="00686A2A">
        <w:rPr>
          <w:rFonts w:ascii="Arial" w:hAnsi="Arial" w:cs="Arial"/>
          <w:sz w:val="24"/>
          <w:szCs w:val="24"/>
        </w:rPr>
        <w:t xml:space="preserve">oard’s decision </w:t>
      </w:r>
      <w:r w:rsidR="00172D33" w:rsidRPr="00686A2A">
        <w:rPr>
          <w:rFonts w:ascii="Arial" w:hAnsi="Arial" w:cs="Arial"/>
          <w:sz w:val="24"/>
          <w:szCs w:val="24"/>
        </w:rPr>
        <w:t xml:space="preserve">taken at the meeting </w:t>
      </w:r>
      <w:r w:rsidR="00F419CE" w:rsidRPr="00686A2A">
        <w:rPr>
          <w:rFonts w:ascii="Arial" w:hAnsi="Arial" w:cs="Arial"/>
          <w:sz w:val="24"/>
          <w:szCs w:val="24"/>
        </w:rPr>
        <w:t>of 2 October 2014</w:t>
      </w:r>
      <w:r w:rsidR="00172D33" w:rsidRPr="00686A2A">
        <w:rPr>
          <w:rFonts w:ascii="Arial" w:hAnsi="Arial" w:cs="Arial"/>
          <w:sz w:val="24"/>
          <w:szCs w:val="24"/>
        </w:rPr>
        <w:t>,</w:t>
      </w:r>
      <w:r w:rsidR="00F419CE" w:rsidRPr="00686A2A">
        <w:rPr>
          <w:rFonts w:ascii="Arial" w:hAnsi="Arial" w:cs="Arial"/>
          <w:sz w:val="24"/>
          <w:szCs w:val="24"/>
        </w:rPr>
        <w:t xml:space="preserve"> in respec</w:t>
      </w:r>
      <w:r w:rsidR="00190808" w:rsidRPr="00686A2A">
        <w:rPr>
          <w:rFonts w:ascii="Arial" w:hAnsi="Arial" w:cs="Arial"/>
          <w:sz w:val="24"/>
          <w:szCs w:val="24"/>
        </w:rPr>
        <w:t>t of the Khoma</w:t>
      </w:r>
      <w:r w:rsidR="00AA21BF">
        <w:rPr>
          <w:rFonts w:ascii="Arial" w:hAnsi="Arial" w:cs="Arial"/>
          <w:sz w:val="24"/>
          <w:szCs w:val="24"/>
        </w:rPr>
        <w:t>s</w:t>
      </w:r>
      <w:r w:rsidR="00190808" w:rsidRPr="00686A2A">
        <w:rPr>
          <w:rFonts w:ascii="Arial" w:hAnsi="Arial" w:cs="Arial"/>
          <w:sz w:val="24"/>
          <w:szCs w:val="24"/>
        </w:rPr>
        <w:t xml:space="preserve"> and Otjozondjupa</w:t>
      </w:r>
      <w:r w:rsidR="00333BAE">
        <w:rPr>
          <w:rFonts w:ascii="Arial" w:hAnsi="Arial" w:cs="Arial"/>
          <w:sz w:val="24"/>
          <w:szCs w:val="24"/>
        </w:rPr>
        <w:t xml:space="preserve"> Regions</w:t>
      </w:r>
      <w:r w:rsidR="00190808" w:rsidRPr="00686A2A">
        <w:rPr>
          <w:rFonts w:ascii="Arial" w:hAnsi="Arial" w:cs="Arial"/>
          <w:sz w:val="24"/>
          <w:szCs w:val="24"/>
        </w:rPr>
        <w:t xml:space="preserve">, </w:t>
      </w:r>
      <w:r w:rsidR="00F419CE" w:rsidRPr="00686A2A">
        <w:rPr>
          <w:rFonts w:ascii="Arial" w:hAnsi="Arial" w:cs="Arial"/>
          <w:sz w:val="24"/>
          <w:szCs w:val="24"/>
        </w:rPr>
        <w:t>ha</w:t>
      </w:r>
      <w:r w:rsidR="00686A2A" w:rsidRPr="00686A2A">
        <w:rPr>
          <w:rFonts w:ascii="Arial" w:hAnsi="Arial" w:cs="Arial"/>
          <w:sz w:val="24"/>
          <w:szCs w:val="24"/>
        </w:rPr>
        <w:t>d not been communicated to the a</w:t>
      </w:r>
      <w:r w:rsidR="00F419CE" w:rsidRPr="00686A2A">
        <w:rPr>
          <w:rFonts w:ascii="Arial" w:hAnsi="Arial" w:cs="Arial"/>
          <w:sz w:val="24"/>
          <w:szCs w:val="24"/>
        </w:rPr>
        <w:t>ppellants.</w:t>
      </w:r>
      <w:r w:rsidR="00190808">
        <w:rPr>
          <w:rStyle w:val="FootnoteReference"/>
          <w:rFonts w:ascii="Arial" w:hAnsi="Arial" w:cs="Arial"/>
          <w:sz w:val="24"/>
          <w:szCs w:val="24"/>
        </w:rPr>
        <w:footnoteReference w:id="17"/>
      </w:r>
      <w:r w:rsidR="00141AA9">
        <w:rPr>
          <w:rFonts w:ascii="Arial" w:hAnsi="Arial" w:cs="Arial"/>
          <w:sz w:val="24"/>
          <w:szCs w:val="24"/>
        </w:rPr>
        <w:t xml:space="preserve"> </w:t>
      </w:r>
      <w:r w:rsidR="00F419CE" w:rsidRPr="00686A2A">
        <w:rPr>
          <w:rFonts w:ascii="Arial" w:hAnsi="Arial" w:cs="Arial"/>
          <w:sz w:val="24"/>
          <w:szCs w:val="24"/>
        </w:rPr>
        <w:t>The non-communication</w:t>
      </w:r>
      <w:r w:rsidR="00B75C65" w:rsidRPr="00686A2A">
        <w:rPr>
          <w:rFonts w:ascii="Arial" w:hAnsi="Arial" w:cs="Arial"/>
          <w:sz w:val="24"/>
          <w:szCs w:val="24"/>
        </w:rPr>
        <w:t xml:space="preserve">, the </w:t>
      </w:r>
      <w:r w:rsidR="00662971">
        <w:rPr>
          <w:rFonts w:ascii="Arial" w:hAnsi="Arial" w:cs="Arial"/>
          <w:sz w:val="24"/>
          <w:szCs w:val="24"/>
        </w:rPr>
        <w:t>Court</w:t>
      </w:r>
      <w:r w:rsidR="00333BAE">
        <w:rPr>
          <w:rFonts w:ascii="Arial" w:hAnsi="Arial" w:cs="Arial"/>
          <w:sz w:val="24"/>
          <w:szCs w:val="24"/>
        </w:rPr>
        <w:t xml:space="preserve"> held</w:t>
      </w:r>
      <w:r w:rsidR="00141AA9">
        <w:rPr>
          <w:rFonts w:ascii="Arial" w:hAnsi="Arial" w:cs="Arial"/>
          <w:sz w:val="24"/>
          <w:szCs w:val="24"/>
        </w:rPr>
        <w:t>,</w:t>
      </w:r>
      <w:r w:rsidR="00B75C65" w:rsidRPr="00686A2A">
        <w:rPr>
          <w:rFonts w:ascii="Arial" w:hAnsi="Arial" w:cs="Arial"/>
          <w:sz w:val="24"/>
          <w:szCs w:val="24"/>
        </w:rPr>
        <w:t xml:space="preserve"> </w:t>
      </w:r>
      <w:r w:rsidR="00F419CE" w:rsidRPr="00686A2A">
        <w:rPr>
          <w:rFonts w:ascii="Arial" w:hAnsi="Arial" w:cs="Arial"/>
          <w:sz w:val="24"/>
          <w:szCs w:val="24"/>
        </w:rPr>
        <w:t>was occasioned by the fact that the decision was not final</w:t>
      </w:r>
      <w:r w:rsidR="002A5D46" w:rsidRPr="00686A2A">
        <w:rPr>
          <w:rFonts w:ascii="Arial" w:hAnsi="Arial" w:cs="Arial"/>
          <w:sz w:val="24"/>
          <w:szCs w:val="24"/>
        </w:rPr>
        <w:t>.</w:t>
      </w:r>
      <w:r w:rsidR="00B75C65">
        <w:rPr>
          <w:rStyle w:val="FootnoteReference"/>
          <w:rFonts w:ascii="Arial" w:hAnsi="Arial" w:cs="Arial"/>
          <w:sz w:val="24"/>
          <w:szCs w:val="24"/>
        </w:rPr>
        <w:footnoteReference w:id="18"/>
      </w:r>
      <w:r w:rsidR="002A5D46" w:rsidRPr="00686A2A">
        <w:rPr>
          <w:rFonts w:ascii="Arial" w:hAnsi="Arial" w:cs="Arial"/>
          <w:sz w:val="24"/>
          <w:szCs w:val="24"/>
        </w:rPr>
        <w:t xml:space="preserve"> </w:t>
      </w:r>
      <w:r w:rsidR="00333BAE">
        <w:rPr>
          <w:rFonts w:ascii="Arial" w:hAnsi="Arial" w:cs="Arial"/>
          <w:sz w:val="24"/>
          <w:szCs w:val="24"/>
        </w:rPr>
        <w:t xml:space="preserve">The </w:t>
      </w:r>
      <w:r w:rsidR="00662971">
        <w:rPr>
          <w:rFonts w:ascii="Arial" w:hAnsi="Arial" w:cs="Arial"/>
          <w:sz w:val="24"/>
          <w:szCs w:val="24"/>
        </w:rPr>
        <w:t>Court</w:t>
      </w:r>
      <w:r w:rsidR="00333BAE">
        <w:rPr>
          <w:rFonts w:ascii="Arial" w:hAnsi="Arial" w:cs="Arial"/>
          <w:sz w:val="24"/>
          <w:szCs w:val="24"/>
        </w:rPr>
        <w:t xml:space="preserve"> relied on the decision of the Constitutional </w:t>
      </w:r>
      <w:r w:rsidR="00662971">
        <w:rPr>
          <w:rFonts w:ascii="Arial" w:hAnsi="Arial" w:cs="Arial"/>
          <w:sz w:val="24"/>
          <w:szCs w:val="24"/>
        </w:rPr>
        <w:t>Court</w:t>
      </w:r>
      <w:r w:rsidR="00333BAE">
        <w:rPr>
          <w:rFonts w:ascii="Arial" w:hAnsi="Arial" w:cs="Arial"/>
          <w:sz w:val="24"/>
          <w:szCs w:val="24"/>
        </w:rPr>
        <w:t xml:space="preserve"> of South Africa</w:t>
      </w:r>
      <w:r w:rsidR="006518FA">
        <w:rPr>
          <w:rFonts w:ascii="Arial" w:hAnsi="Arial" w:cs="Arial"/>
          <w:sz w:val="24"/>
          <w:szCs w:val="24"/>
        </w:rPr>
        <w:t xml:space="preserve"> in</w:t>
      </w:r>
      <w:r w:rsidR="00333BAE">
        <w:rPr>
          <w:rFonts w:ascii="Arial" w:hAnsi="Arial" w:cs="Arial"/>
          <w:sz w:val="24"/>
          <w:szCs w:val="24"/>
        </w:rPr>
        <w:t xml:space="preserve"> </w:t>
      </w:r>
      <w:r w:rsidR="00333BAE" w:rsidRPr="00D0366C">
        <w:rPr>
          <w:rFonts w:ascii="Arial" w:hAnsi="Arial" w:cs="Arial"/>
          <w:i/>
          <w:sz w:val="24"/>
          <w:szCs w:val="24"/>
        </w:rPr>
        <w:t>SARFU</w:t>
      </w:r>
      <w:r w:rsidR="00333BAE">
        <w:rPr>
          <w:rFonts w:ascii="Arial" w:hAnsi="Arial" w:cs="Arial"/>
          <w:i/>
          <w:sz w:val="24"/>
          <w:szCs w:val="24"/>
        </w:rPr>
        <w:t>.</w:t>
      </w:r>
      <w:r w:rsidR="00333BAE">
        <w:rPr>
          <w:rStyle w:val="FootnoteReference"/>
          <w:rFonts w:ascii="Arial" w:hAnsi="Arial" w:cs="Arial"/>
          <w:sz w:val="24"/>
          <w:szCs w:val="24"/>
        </w:rPr>
        <w:footnoteReference w:id="19"/>
      </w:r>
    </w:p>
    <w:p w:rsidR="00686A2A" w:rsidRPr="00686A2A" w:rsidRDefault="00686A2A" w:rsidP="00686A2A">
      <w:pPr>
        <w:pStyle w:val="NoSpacing"/>
        <w:spacing w:line="480" w:lineRule="auto"/>
        <w:jc w:val="both"/>
        <w:rPr>
          <w:rFonts w:ascii="Arial" w:hAnsi="Arial" w:cs="Arial"/>
          <w:sz w:val="24"/>
          <w:szCs w:val="24"/>
        </w:rPr>
      </w:pPr>
    </w:p>
    <w:p w:rsidR="00F8729B" w:rsidRPr="00150B5F" w:rsidRDefault="00F8729B" w:rsidP="007C2C6F">
      <w:pPr>
        <w:pStyle w:val="NoSpacing"/>
        <w:numPr>
          <w:ilvl w:val="0"/>
          <w:numId w:val="16"/>
        </w:numPr>
        <w:spacing w:line="480" w:lineRule="auto"/>
        <w:ind w:left="0" w:firstLine="0"/>
        <w:jc w:val="both"/>
        <w:rPr>
          <w:rStyle w:val="FootnoteReference"/>
          <w:rFonts w:ascii="Arial" w:hAnsi="Arial" w:cs="Arial"/>
          <w:sz w:val="24"/>
          <w:szCs w:val="24"/>
          <w:vertAlign w:val="baseline"/>
        </w:rPr>
      </w:pPr>
      <w:r>
        <w:rPr>
          <w:rFonts w:ascii="Arial" w:hAnsi="Arial" w:cs="Arial"/>
          <w:sz w:val="24"/>
          <w:szCs w:val="24"/>
        </w:rPr>
        <w:t xml:space="preserve">On the question of the lawfulness of the extension of the agreements (allegedly being </w:t>
      </w:r>
      <w:r w:rsidRPr="00F8729B">
        <w:rPr>
          <w:rFonts w:ascii="Arial" w:hAnsi="Arial" w:cs="Arial"/>
          <w:i/>
          <w:sz w:val="24"/>
          <w:szCs w:val="24"/>
        </w:rPr>
        <w:t>ultra vires</w:t>
      </w:r>
      <w:r>
        <w:rPr>
          <w:rFonts w:ascii="Arial" w:hAnsi="Arial" w:cs="Arial"/>
          <w:sz w:val="24"/>
          <w:szCs w:val="24"/>
        </w:rPr>
        <w:t xml:space="preserve"> the powers of the Board</w:t>
      </w:r>
      <w:r w:rsidR="00777183">
        <w:rPr>
          <w:rFonts w:ascii="Arial" w:hAnsi="Arial" w:cs="Arial"/>
          <w:sz w:val="24"/>
          <w:szCs w:val="24"/>
        </w:rPr>
        <w:t>)</w:t>
      </w:r>
      <w:r>
        <w:rPr>
          <w:rFonts w:ascii="Arial" w:hAnsi="Arial" w:cs="Arial"/>
          <w:sz w:val="24"/>
          <w:szCs w:val="24"/>
        </w:rPr>
        <w:t xml:space="preserve">, the High </w:t>
      </w:r>
      <w:r w:rsidR="00662971">
        <w:rPr>
          <w:rFonts w:ascii="Arial" w:hAnsi="Arial" w:cs="Arial"/>
          <w:sz w:val="24"/>
          <w:szCs w:val="24"/>
        </w:rPr>
        <w:t>Court</w:t>
      </w:r>
      <w:r w:rsidR="00777183">
        <w:rPr>
          <w:rFonts w:ascii="Arial" w:hAnsi="Arial" w:cs="Arial"/>
          <w:sz w:val="24"/>
          <w:szCs w:val="24"/>
        </w:rPr>
        <w:t xml:space="preserve"> held that reliance by the a</w:t>
      </w:r>
      <w:r>
        <w:rPr>
          <w:rFonts w:ascii="Arial" w:hAnsi="Arial" w:cs="Arial"/>
          <w:sz w:val="24"/>
          <w:szCs w:val="24"/>
        </w:rPr>
        <w:t>ppellants on the</w:t>
      </w:r>
      <w:r w:rsidR="00333BAE">
        <w:rPr>
          <w:rFonts w:ascii="Arial" w:hAnsi="Arial" w:cs="Arial"/>
          <w:sz w:val="24"/>
          <w:szCs w:val="24"/>
        </w:rPr>
        <w:t xml:space="preserve"> decision of the South African Supreme </w:t>
      </w:r>
      <w:r w:rsidR="00662971">
        <w:rPr>
          <w:rFonts w:ascii="Arial" w:hAnsi="Arial" w:cs="Arial"/>
          <w:sz w:val="24"/>
          <w:szCs w:val="24"/>
        </w:rPr>
        <w:t>Court</w:t>
      </w:r>
      <w:r w:rsidR="00333BAE">
        <w:rPr>
          <w:rFonts w:ascii="Arial" w:hAnsi="Arial" w:cs="Arial"/>
          <w:sz w:val="24"/>
          <w:szCs w:val="24"/>
        </w:rPr>
        <w:t xml:space="preserve"> of Appeal</w:t>
      </w:r>
      <w:r>
        <w:rPr>
          <w:rFonts w:ascii="Arial" w:hAnsi="Arial" w:cs="Arial"/>
          <w:sz w:val="24"/>
          <w:szCs w:val="24"/>
        </w:rPr>
        <w:t xml:space="preserve"> in </w:t>
      </w:r>
      <w:r w:rsidRPr="00F8729B">
        <w:rPr>
          <w:rFonts w:ascii="Arial" w:hAnsi="Arial" w:cs="Arial"/>
          <w:i/>
          <w:sz w:val="24"/>
          <w:szCs w:val="24"/>
        </w:rPr>
        <w:lastRenderedPageBreak/>
        <w:t>Contractprops</w:t>
      </w:r>
      <w:r>
        <w:rPr>
          <w:rStyle w:val="FootnoteReference"/>
          <w:rFonts w:ascii="Arial" w:hAnsi="Arial" w:cs="Arial"/>
          <w:sz w:val="24"/>
          <w:szCs w:val="24"/>
        </w:rPr>
        <w:footnoteReference w:id="20"/>
      </w:r>
      <w:r>
        <w:rPr>
          <w:rFonts w:ascii="Arial" w:hAnsi="Arial" w:cs="Arial"/>
          <w:sz w:val="24"/>
          <w:szCs w:val="24"/>
        </w:rPr>
        <w:t xml:space="preserve"> </w:t>
      </w:r>
      <w:r w:rsidRPr="00F8729B">
        <w:rPr>
          <w:rFonts w:ascii="Arial" w:hAnsi="Arial" w:cs="Arial"/>
          <w:sz w:val="24"/>
          <w:szCs w:val="24"/>
        </w:rPr>
        <w:t>was misplaced</w:t>
      </w:r>
      <w:r>
        <w:rPr>
          <w:rFonts w:ascii="Arial" w:hAnsi="Arial" w:cs="Arial"/>
          <w:sz w:val="24"/>
          <w:szCs w:val="24"/>
        </w:rPr>
        <w:t xml:space="preserve"> </w:t>
      </w:r>
      <w:r w:rsidRPr="00F8729B">
        <w:rPr>
          <w:rFonts w:ascii="Arial" w:hAnsi="Arial" w:cs="Arial"/>
          <w:sz w:val="24"/>
          <w:szCs w:val="24"/>
        </w:rPr>
        <w:t xml:space="preserve">because the facts </w:t>
      </w:r>
      <w:r>
        <w:rPr>
          <w:rFonts w:ascii="Arial" w:hAnsi="Arial" w:cs="Arial"/>
          <w:sz w:val="24"/>
          <w:szCs w:val="24"/>
        </w:rPr>
        <w:t xml:space="preserve">in </w:t>
      </w:r>
      <w:r w:rsidRPr="00150B5F">
        <w:rPr>
          <w:rFonts w:ascii="Arial" w:hAnsi="Arial" w:cs="Arial"/>
          <w:sz w:val="24"/>
          <w:szCs w:val="24"/>
        </w:rPr>
        <w:t xml:space="preserve">that case were distinguishable and </w:t>
      </w:r>
      <w:r w:rsidR="00777183">
        <w:rPr>
          <w:rFonts w:ascii="Arial" w:hAnsi="Arial" w:cs="Arial"/>
          <w:sz w:val="24"/>
          <w:szCs w:val="24"/>
        </w:rPr>
        <w:t xml:space="preserve">that the lack of authority </w:t>
      </w:r>
      <w:r w:rsidRPr="00150B5F">
        <w:rPr>
          <w:rFonts w:ascii="Arial" w:hAnsi="Arial" w:cs="Arial"/>
          <w:sz w:val="24"/>
          <w:szCs w:val="24"/>
        </w:rPr>
        <w:t>did not arise</w:t>
      </w:r>
      <w:r w:rsidR="00777183">
        <w:rPr>
          <w:rFonts w:ascii="Arial" w:hAnsi="Arial" w:cs="Arial"/>
          <w:sz w:val="24"/>
          <w:szCs w:val="24"/>
        </w:rPr>
        <w:t xml:space="preserve"> in </w:t>
      </w:r>
      <w:r w:rsidR="00777183" w:rsidRPr="00777183">
        <w:rPr>
          <w:rFonts w:ascii="Arial" w:hAnsi="Arial" w:cs="Arial"/>
          <w:i/>
          <w:sz w:val="24"/>
          <w:szCs w:val="24"/>
        </w:rPr>
        <w:t>casu</w:t>
      </w:r>
      <w:r w:rsidRPr="00150B5F">
        <w:rPr>
          <w:rFonts w:ascii="Arial" w:hAnsi="Arial" w:cs="Arial"/>
          <w:sz w:val="24"/>
          <w:szCs w:val="24"/>
        </w:rPr>
        <w:t>.</w:t>
      </w:r>
      <w:r w:rsidRPr="00150B5F">
        <w:rPr>
          <w:rStyle w:val="FootnoteReference"/>
          <w:rFonts w:ascii="Arial" w:hAnsi="Arial" w:cs="Arial"/>
          <w:sz w:val="24"/>
          <w:szCs w:val="24"/>
        </w:rPr>
        <w:footnoteReference w:id="21"/>
      </w:r>
    </w:p>
    <w:p w:rsidR="00AE71EE" w:rsidRPr="00150B5F" w:rsidRDefault="00AE71EE" w:rsidP="00150B5F">
      <w:pPr>
        <w:rPr>
          <w:rFonts w:ascii="Arial" w:hAnsi="Arial" w:cs="Arial"/>
          <w:sz w:val="24"/>
          <w:szCs w:val="24"/>
        </w:rPr>
      </w:pPr>
    </w:p>
    <w:p w:rsidR="00AE71EE" w:rsidRPr="0038248D" w:rsidRDefault="00AE71EE" w:rsidP="00AE71EE">
      <w:pPr>
        <w:pStyle w:val="NoSpacing"/>
        <w:spacing w:line="480" w:lineRule="auto"/>
        <w:jc w:val="both"/>
        <w:rPr>
          <w:rFonts w:ascii="Arial" w:hAnsi="Arial" w:cs="Arial"/>
          <w:sz w:val="24"/>
          <w:szCs w:val="24"/>
          <w:u w:val="single"/>
        </w:rPr>
      </w:pPr>
      <w:r w:rsidRPr="0038248D">
        <w:rPr>
          <w:rFonts w:ascii="Arial" w:hAnsi="Arial" w:cs="Arial"/>
          <w:sz w:val="24"/>
          <w:szCs w:val="24"/>
          <w:u w:val="single"/>
        </w:rPr>
        <w:t>On appeal</w:t>
      </w:r>
    </w:p>
    <w:p w:rsidR="00E9183A" w:rsidRPr="00672E88" w:rsidRDefault="009733D2"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T</w:t>
      </w:r>
      <w:r w:rsidR="00246FF3" w:rsidRPr="00246FF3">
        <w:rPr>
          <w:rFonts w:ascii="Arial" w:hAnsi="Arial" w:cs="Arial"/>
          <w:sz w:val="24"/>
          <w:szCs w:val="24"/>
        </w:rPr>
        <w:t>h</w:t>
      </w:r>
      <w:r w:rsidR="00246FF3" w:rsidRPr="00047E41">
        <w:rPr>
          <w:rFonts w:ascii="Arial" w:hAnsi="Arial" w:cs="Arial"/>
          <w:sz w:val="24"/>
          <w:szCs w:val="24"/>
        </w:rPr>
        <w:t>e key issue is whether the cancel</w:t>
      </w:r>
      <w:r w:rsidR="00246FF3">
        <w:rPr>
          <w:rFonts w:ascii="Arial" w:hAnsi="Arial" w:cs="Arial"/>
          <w:sz w:val="24"/>
          <w:szCs w:val="24"/>
        </w:rPr>
        <w:t xml:space="preserve">lation of the tender was lawful or not. </w:t>
      </w:r>
      <w:r w:rsidR="00822CC4">
        <w:rPr>
          <w:rFonts w:ascii="Arial" w:hAnsi="Arial" w:cs="Arial"/>
          <w:sz w:val="24"/>
          <w:szCs w:val="24"/>
        </w:rPr>
        <w:t xml:space="preserve"> </w:t>
      </w:r>
      <w:r w:rsidR="00246FF3">
        <w:rPr>
          <w:rFonts w:ascii="Arial" w:hAnsi="Arial" w:cs="Arial"/>
          <w:sz w:val="24"/>
          <w:szCs w:val="24"/>
        </w:rPr>
        <w:t xml:space="preserve">Subsidiary </w:t>
      </w:r>
      <w:r w:rsidR="00351EC3">
        <w:rPr>
          <w:rFonts w:ascii="Arial" w:hAnsi="Arial" w:cs="Arial"/>
          <w:sz w:val="24"/>
          <w:szCs w:val="24"/>
        </w:rPr>
        <w:t>to this issue are questions including</w:t>
      </w:r>
      <w:r w:rsidR="00822CC4">
        <w:rPr>
          <w:rFonts w:ascii="Arial" w:hAnsi="Arial" w:cs="Arial"/>
          <w:sz w:val="24"/>
          <w:szCs w:val="24"/>
        </w:rPr>
        <w:t xml:space="preserve"> </w:t>
      </w:r>
      <w:r w:rsidR="00246FF3">
        <w:rPr>
          <w:rFonts w:ascii="Arial" w:hAnsi="Arial" w:cs="Arial"/>
          <w:sz w:val="24"/>
          <w:szCs w:val="24"/>
        </w:rPr>
        <w:t xml:space="preserve">whether (a) </w:t>
      </w:r>
      <w:r w:rsidR="00E4092A">
        <w:rPr>
          <w:rFonts w:ascii="Arial" w:hAnsi="Arial" w:cs="Arial"/>
          <w:sz w:val="24"/>
          <w:szCs w:val="24"/>
        </w:rPr>
        <w:t xml:space="preserve">even if the </w:t>
      </w:r>
      <w:r w:rsidR="00246FF3">
        <w:rPr>
          <w:rFonts w:ascii="Arial" w:hAnsi="Arial" w:cs="Arial"/>
          <w:sz w:val="24"/>
          <w:szCs w:val="24"/>
        </w:rPr>
        <w:t>Board had authority to cancel the tender</w:t>
      </w:r>
      <w:r w:rsidR="00822CC4">
        <w:rPr>
          <w:rFonts w:ascii="Arial" w:hAnsi="Arial" w:cs="Arial"/>
          <w:sz w:val="24"/>
          <w:szCs w:val="24"/>
        </w:rPr>
        <w:t xml:space="preserve"> (which is denied)</w:t>
      </w:r>
      <w:r w:rsidR="00A4493F">
        <w:rPr>
          <w:rFonts w:ascii="Arial" w:hAnsi="Arial" w:cs="Arial"/>
          <w:sz w:val="24"/>
          <w:szCs w:val="24"/>
        </w:rPr>
        <w:t>,</w:t>
      </w:r>
      <w:r w:rsidR="00E4092A">
        <w:rPr>
          <w:rFonts w:ascii="Arial" w:hAnsi="Arial" w:cs="Arial"/>
          <w:sz w:val="24"/>
          <w:szCs w:val="24"/>
        </w:rPr>
        <w:t xml:space="preserve"> </w:t>
      </w:r>
      <w:r w:rsidR="00A4493F">
        <w:rPr>
          <w:rFonts w:ascii="Arial" w:hAnsi="Arial" w:cs="Arial"/>
          <w:sz w:val="24"/>
          <w:szCs w:val="24"/>
        </w:rPr>
        <w:t>the</w:t>
      </w:r>
      <w:r w:rsidR="00822CC4">
        <w:rPr>
          <w:rFonts w:ascii="Arial" w:hAnsi="Arial" w:cs="Arial"/>
          <w:sz w:val="24"/>
          <w:szCs w:val="24"/>
        </w:rPr>
        <w:t xml:space="preserve"> </w:t>
      </w:r>
      <w:r w:rsidR="00246FF3">
        <w:rPr>
          <w:rFonts w:ascii="Arial" w:hAnsi="Arial" w:cs="Arial"/>
          <w:sz w:val="24"/>
          <w:szCs w:val="24"/>
        </w:rPr>
        <w:t>reasons advanced entitle</w:t>
      </w:r>
      <w:r w:rsidR="00A4493F">
        <w:rPr>
          <w:rFonts w:ascii="Arial" w:hAnsi="Arial" w:cs="Arial"/>
          <w:sz w:val="24"/>
          <w:szCs w:val="24"/>
        </w:rPr>
        <w:t>d</w:t>
      </w:r>
      <w:r w:rsidR="00246FF3">
        <w:rPr>
          <w:rFonts w:ascii="Arial" w:hAnsi="Arial" w:cs="Arial"/>
          <w:sz w:val="24"/>
          <w:szCs w:val="24"/>
        </w:rPr>
        <w:t xml:space="preserve"> it to cancel</w:t>
      </w:r>
      <w:r w:rsidR="00A4493F">
        <w:rPr>
          <w:rFonts w:ascii="Arial" w:hAnsi="Arial" w:cs="Arial"/>
          <w:sz w:val="24"/>
          <w:szCs w:val="24"/>
        </w:rPr>
        <w:t xml:space="preserve"> the</w:t>
      </w:r>
      <w:r w:rsidR="004A4424">
        <w:rPr>
          <w:rFonts w:ascii="Arial" w:hAnsi="Arial" w:cs="Arial"/>
          <w:sz w:val="24"/>
          <w:szCs w:val="24"/>
        </w:rPr>
        <w:t xml:space="preserve"> </w:t>
      </w:r>
      <w:r w:rsidR="008A000C">
        <w:rPr>
          <w:rFonts w:ascii="Arial" w:hAnsi="Arial" w:cs="Arial"/>
          <w:sz w:val="24"/>
          <w:szCs w:val="24"/>
        </w:rPr>
        <w:t>t</w:t>
      </w:r>
      <w:r w:rsidR="00A4493F">
        <w:rPr>
          <w:rFonts w:ascii="Arial" w:hAnsi="Arial" w:cs="Arial"/>
          <w:sz w:val="24"/>
          <w:szCs w:val="24"/>
        </w:rPr>
        <w:t>ender</w:t>
      </w:r>
      <w:r w:rsidR="00E4092A">
        <w:rPr>
          <w:rFonts w:ascii="Arial" w:hAnsi="Arial" w:cs="Arial"/>
          <w:sz w:val="24"/>
          <w:szCs w:val="24"/>
        </w:rPr>
        <w:t>.</w:t>
      </w:r>
      <w:r w:rsidR="00020E43">
        <w:rPr>
          <w:rFonts w:ascii="Arial" w:hAnsi="Arial" w:cs="Arial"/>
          <w:sz w:val="24"/>
          <w:szCs w:val="24"/>
        </w:rPr>
        <w:t xml:space="preserve"> </w:t>
      </w:r>
      <w:r w:rsidR="00E4092A">
        <w:rPr>
          <w:rFonts w:ascii="Arial" w:hAnsi="Arial" w:cs="Arial"/>
          <w:sz w:val="24"/>
          <w:szCs w:val="24"/>
        </w:rPr>
        <w:t>T</w:t>
      </w:r>
      <w:r w:rsidR="00020E43">
        <w:rPr>
          <w:rFonts w:ascii="Arial" w:hAnsi="Arial" w:cs="Arial"/>
          <w:sz w:val="24"/>
          <w:szCs w:val="24"/>
        </w:rPr>
        <w:t xml:space="preserve">he </w:t>
      </w:r>
      <w:r w:rsidR="00246FF3">
        <w:rPr>
          <w:rFonts w:ascii="Arial" w:hAnsi="Arial" w:cs="Arial"/>
          <w:sz w:val="24"/>
          <w:szCs w:val="24"/>
        </w:rPr>
        <w:t>appellants contend</w:t>
      </w:r>
      <w:r w:rsidR="0012381C">
        <w:rPr>
          <w:rFonts w:ascii="Arial" w:hAnsi="Arial" w:cs="Arial"/>
          <w:sz w:val="24"/>
          <w:szCs w:val="24"/>
        </w:rPr>
        <w:t>ed</w:t>
      </w:r>
      <w:r w:rsidR="00246FF3">
        <w:rPr>
          <w:rFonts w:ascii="Arial" w:hAnsi="Arial" w:cs="Arial"/>
          <w:sz w:val="24"/>
          <w:szCs w:val="24"/>
        </w:rPr>
        <w:t xml:space="preserve"> that it was a false claim that they did not cater f</w:t>
      </w:r>
      <w:r w:rsidR="0012710F">
        <w:rPr>
          <w:rFonts w:ascii="Arial" w:hAnsi="Arial" w:cs="Arial"/>
          <w:sz w:val="24"/>
          <w:szCs w:val="24"/>
        </w:rPr>
        <w:t>or the special needs students;</w:t>
      </w:r>
      <w:r w:rsidR="00E4092A">
        <w:rPr>
          <w:rFonts w:ascii="Arial" w:hAnsi="Arial" w:cs="Arial"/>
          <w:sz w:val="24"/>
          <w:szCs w:val="24"/>
        </w:rPr>
        <w:t xml:space="preserve"> </w:t>
      </w:r>
      <w:r w:rsidR="0012710F">
        <w:rPr>
          <w:rFonts w:ascii="Arial" w:hAnsi="Arial" w:cs="Arial"/>
          <w:sz w:val="24"/>
          <w:szCs w:val="24"/>
        </w:rPr>
        <w:t>(b</w:t>
      </w:r>
      <w:r w:rsidR="00E4092A">
        <w:rPr>
          <w:rFonts w:ascii="Arial" w:hAnsi="Arial" w:cs="Arial"/>
          <w:sz w:val="24"/>
          <w:szCs w:val="24"/>
        </w:rPr>
        <w:t xml:space="preserve">) the </w:t>
      </w:r>
      <w:r w:rsidR="00246FF3">
        <w:rPr>
          <w:rFonts w:ascii="Arial" w:hAnsi="Arial" w:cs="Arial"/>
          <w:sz w:val="24"/>
          <w:szCs w:val="24"/>
        </w:rPr>
        <w:t xml:space="preserve">Board could itself reverse its own decision without having applied to </w:t>
      </w:r>
      <w:r w:rsidR="00662971">
        <w:rPr>
          <w:rFonts w:ascii="Arial" w:hAnsi="Arial" w:cs="Arial"/>
          <w:sz w:val="24"/>
          <w:szCs w:val="24"/>
        </w:rPr>
        <w:t>Court</w:t>
      </w:r>
      <w:r w:rsidR="00246FF3">
        <w:rPr>
          <w:rFonts w:ascii="Arial" w:hAnsi="Arial" w:cs="Arial"/>
          <w:sz w:val="24"/>
          <w:szCs w:val="24"/>
        </w:rPr>
        <w:t xml:space="preserve"> for the review and setting aside of the decision to award the tenders to the appellants; and </w:t>
      </w:r>
      <w:r w:rsidR="00A4493F">
        <w:rPr>
          <w:rFonts w:ascii="Arial" w:hAnsi="Arial" w:cs="Arial"/>
          <w:sz w:val="24"/>
          <w:szCs w:val="24"/>
        </w:rPr>
        <w:t>(</w:t>
      </w:r>
      <w:r w:rsidR="0012710F">
        <w:rPr>
          <w:rFonts w:ascii="Arial" w:hAnsi="Arial" w:cs="Arial"/>
          <w:sz w:val="24"/>
          <w:szCs w:val="24"/>
        </w:rPr>
        <w:t>c</w:t>
      </w:r>
      <w:r w:rsidR="00A4493F">
        <w:rPr>
          <w:rFonts w:ascii="Arial" w:hAnsi="Arial" w:cs="Arial"/>
          <w:sz w:val="24"/>
          <w:szCs w:val="24"/>
        </w:rPr>
        <w:t xml:space="preserve">) </w:t>
      </w:r>
      <w:r w:rsidR="00246FF3">
        <w:rPr>
          <w:rFonts w:ascii="Arial" w:hAnsi="Arial" w:cs="Arial"/>
          <w:sz w:val="24"/>
          <w:szCs w:val="24"/>
        </w:rPr>
        <w:t>the decision t</w:t>
      </w:r>
      <w:r w:rsidR="00E4092A">
        <w:rPr>
          <w:rFonts w:ascii="Arial" w:hAnsi="Arial" w:cs="Arial"/>
          <w:sz w:val="24"/>
          <w:szCs w:val="24"/>
        </w:rPr>
        <w:t>o cancel was that of the Minist</w:t>
      </w:r>
      <w:r w:rsidR="00246FF3">
        <w:rPr>
          <w:rFonts w:ascii="Arial" w:hAnsi="Arial" w:cs="Arial"/>
          <w:sz w:val="24"/>
          <w:szCs w:val="24"/>
        </w:rPr>
        <w:t>r</w:t>
      </w:r>
      <w:r w:rsidR="00E4092A">
        <w:rPr>
          <w:rFonts w:ascii="Arial" w:hAnsi="Arial" w:cs="Arial"/>
          <w:sz w:val="24"/>
          <w:szCs w:val="24"/>
        </w:rPr>
        <w:t>y</w:t>
      </w:r>
      <w:r w:rsidR="00246FF3">
        <w:rPr>
          <w:rFonts w:ascii="Arial" w:hAnsi="Arial" w:cs="Arial"/>
          <w:sz w:val="24"/>
          <w:szCs w:val="24"/>
        </w:rPr>
        <w:t xml:space="preserve"> at the instance of the Pr</w:t>
      </w:r>
      <w:r w:rsidR="00E4092A">
        <w:rPr>
          <w:rFonts w:ascii="Arial" w:hAnsi="Arial" w:cs="Arial"/>
          <w:sz w:val="24"/>
          <w:szCs w:val="24"/>
        </w:rPr>
        <w:t xml:space="preserve">ime Minister and not the </w:t>
      </w:r>
      <w:r w:rsidR="00A4493F">
        <w:rPr>
          <w:rFonts w:ascii="Arial" w:hAnsi="Arial" w:cs="Arial"/>
          <w:sz w:val="24"/>
          <w:szCs w:val="24"/>
        </w:rPr>
        <w:t>Board itself.</w:t>
      </w:r>
      <w:r w:rsidR="00020E43">
        <w:rPr>
          <w:rFonts w:ascii="Arial" w:hAnsi="Arial" w:cs="Arial"/>
          <w:sz w:val="24"/>
          <w:szCs w:val="24"/>
        </w:rPr>
        <w:t xml:space="preserve"> It is </w:t>
      </w:r>
      <w:r w:rsidR="00A4493F">
        <w:rPr>
          <w:rFonts w:ascii="Arial" w:hAnsi="Arial" w:cs="Arial"/>
          <w:sz w:val="24"/>
          <w:szCs w:val="24"/>
        </w:rPr>
        <w:t xml:space="preserve">submitted that the </w:t>
      </w:r>
      <w:r w:rsidR="00246FF3">
        <w:rPr>
          <w:rFonts w:ascii="Arial" w:hAnsi="Arial" w:cs="Arial"/>
          <w:sz w:val="24"/>
          <w:szCs w:val="24"/>
        </w:rPr>
        <w:t>Board simply rubberstamped the</w:t>
      </w:r>
      <w:r w:rsidR="006518FA">
        <w:rPr>
          <w:rFonts w:ascii="Arial" w:hAnsi="Arial" w:cs="Arial"/>
          <w:sz w:val="24"/>
          <w:szCs w:val="24"/>
        </w:rPr>
        <w:t xml:space="preserve"> decision</w:t>
      </w:r>
      <w:r w:rsidR="00246FF3">
        <w:rPr>
          <w:rFonts w:ascii="Arial" w:hAnsi="Arial" w:cs="Arial"/>
          <w:sz w:val="24"/>
          <w:szCs w:val="24"/>
        </w:rPr>
        <w:t xml:space="preserve"> </w:t>
      </w:r>
      <w:r w:rsidR="00020E43">
        <w:rPr>
          <w:rFonts w:ascii="Arial" w:hAnsi="Arial" w:cs="Arial"/>
          <w:sz w:val="24"/>
          <w:szCs w:val="24"/>
        </w:rPr>
        <w:t xml:space="preserve">already taken </w:t>
      </w:r>
      <w:r w:rsidR="00246FF3">
        <w:rPr>
          <w:rFonts w:ascii="Arial" w:hAnsi="Arial" w:cs="Arial"/>
          <w:sz w:val="24"/>
          <w:szCs w:val="24"/>
        </w:rPr>
        <w:t>to cancel</w:t>
      </w:r>
      <w:r w:rsidR="00927063">
        <w:rPr>
          <w:rFonts w:ascii="Arial" w:hAnsi="Arial" w:cs="Arial"/>
          <w:sz w:val="24"/>
          <w:szCs w:val="24"/>
        </w:rPr>
        <w:t xml:space="preserve"> the tender. </w:t>
      </w:r>
      <w:r w:rsidR="00246FF3">
        <w:rPr>
          <w:rFonts w:ascii="Arial" w:hAnsi="Arial" w:cs="Arial"/>
          <w:sz w:val="24"/>
          <w:szCs w:val="24"/>
        </w:rPr>
        <w:t>The appellant</w:t>
      </w:r>
      <w:r w:rsidR="00E4092A">
        <w:rPr>
          <w:rFonts w:ascii="Arial" w:hAnsi="Arial" w:cs="Arial"/>
          <w:sz w:val="24"/>
          <w:szCs w:val="24"/>
        </w:rPr>
        <w:t>s submit</w:t>
      </w:r>
      <w:r w:rsidR="004C1275">
        <w:rPr>
          <w:rFonts w:ascii="Arial" w:hAnsi="Arial" w:cs="Arial"/>
          <w:sz w:val="24"/>
          <w:szCs w:val="24"/>
        </w:rPr>
        <w:t>s</w:t>
      </w:r>
      <w:r w:rsidR="00E4092A">
        <w:rPr>
          <w:rFonts w:ascii="Arial" w:hAnsi="Arial" w:cs="Arial"/>
          <w:sz w:val="24"/>
          <w:szCs w:val="24"/>
        </w:rPr>
        <w:t xml:space="preserve"> that the Ministry</w:t>
      </w:r>
      <w:r w:rsidR="00927063">
        <w:rPr>
          <w:rFonts w:ascii="Arial" w:hAnsi="Arial" w:cs="Arial"/>
          <w:sz w:val="24"/>
          <w:szCs w:val="24"/>
        </w:rPr>
        <w:t xml:space="preserve"> and Prime Minister </w:t>
      </w:r>
      <w:r w:rsidR="00246FF3">
        <w:rPr>
          <w:rFonts w:ascii="Arial" w:hAnsi="Arial" w:cs="Arial"/>
          <w:sz w:val="24"/>
          <w:szCs w:val="24"/>
        </w:rPr>
        <w:t>had no autho</w:t>
      </w:r>
      <w:r w:rsidR="00E4092A">
        <w:rPr>
          <w:rFonts w:ascii="Arial" w:hAnsi="Arial" w:cs="Arial"/>
          <w:sz w:val="24"/>
          <w:szCs w:val="24"/>
        </w:rPr>
        <w:t>rity to direct the</w:t>
      </w:r>
      <w:r w:rsidR="00927063">
        <w:rPr>
          <w:rFonts w:ascii="Arial" w:hAnsi="Arial" w:cs="Arial"/>
          <w:sz w:val="24"/>
          <w:szCs w:val="24"/>
        </w:rPr>
        <w:t xml:space="preserve"> Board</w:t>
      </w:r>
      <w:r w:rsidR="00246FF3">
        <w:rPr>
          <w:rFonts w:ascii="Arial" w:hAnsi="Arial" w:cs="Arial"/>
          <w:sz w:val="24"/>
          <w:szCs w:val="24"/>
        </w:rPr>
        <w:t xml:space="preserve"> to cancel the Tender.</w:t>
      </w:r>
      <w:r w:rsidR="00927063">
        <w:rPr>
          <w:rFonts w:ascii="Arial" w:hAnsi="Arial" w:cs="Arial"/>
          <w:sz w:val="24"/>
          <w:szCs w:val="24"/>
        </w:rPr>
        <w:t xml:space="preserve"> </w:t>
      </w:r>
      <w:r w:rsidR="004C1275">
        <w:rPr>
          <w:rFonts w:ascii="Arial" w:hAnsi="Arial" w:cs="Arial"/>
          <w:sz w:val="24"/>
          <w:szCs w:val="24"/>
        </w:rPr>
        <w:t>I</w:t>
      </w:r>
      <w:r w:rsidR="00927063" w:rsidRPr="00672E88">
        <w:rPr>
          <w:rFonts w:ascii="Arial" w:hAnsi="Arial" w:cs="Arial"/>
          <w:sz w:val="24"/>
          <w:szCs w:val="24"/>
        </w:rPr>
        <w:t xml:space="preserve"> deal with the issues </w:t>
      </w:r>
      <w:r w:rsidR="00BB7C82" w:rsidRPr="00672E88">
        <w:rPr>
          <w:rFonts w:ascii="Arial" w:hAnsi="Arial" w:cs="Arial"/>
          <w:sz w:val="24"/>
          <w:szCs w:val="24"/>
        </w:rPr>
        <w:t>but not n</w:t>
      </w:r>
      <w:r w:rsidR="00E4092A">
        <w:rPr>
          <w:rFonts w:ascii="Arial" w:hAnsi="Arial" w:cs="Arial"/>
          <w:sz w:val="24"/>
          <w:szCs w:val="24"/>
        </w:rPr>
        <w:t>ecessarily in the order of this</w:t>
      </w:r>
      <w:r w:rsidR="00BB7C82" w:rsidRPr="00672E88">
        <w:rPr>
          <w:rFonts w:ascii="Arial" w:hAnsi="Arial" w:cs="Arial"/>
          <w:sz w:val="24"/>
          <w:szCs w:val="24"/>
        </w:rPr>
        <w:t xml:space="preserve"> sequence.</w:t>
      </w:r>
    </w:p>
    <w:p w:rsidR="004C1275" w:rsidRDefault="004C1275" w:rsidP="00927063">
      <w:pPr>
        <w:pStyle w:val="NoSpacing"/>
        <w:spacing w:line="480" w:lineRule="auto"/>
        <w:jc w:val="both"/>
        <w:rPr>
          <w:rFonts w:ascii="Arial" w:hAnsi="Arial" w:cs="Arial"/>
          <w:sz w:val="24"/>
          <w:szCs w:val="24"/>
        </w:rPr>
      </w:pPr>
    </w:p>
    <w:p w:rsidR="00927063" w:rsidRPr="00127B6A" w:rsidRDefault="005E194D" w:rsidP="00927063">
      <w:pPr>
        <w:pStyle w:val="NoSpacing"/>
        <w:spacing w:line="480" w:lineRule="auto"/>
        <w:jc w:val="both"/>
        <w:rPr>
          <w:rFonts w:ascii="Arial" w:hAnsi="Arial" w:cs="Arial"/>
          <w:i/>
          <w:sz w:val="24"/>
          <w:szCs w:val="24"/>
        </w:rPr>
      </w:pPr>
      <w:r w:rsidRPr="00127B6A">
        <w:rPr>
          <w:rFonts w:ascii="Arial" w:hAnsi="Arial" w:cs="Arial"/>
          <w:i/>
          <w:sz w:val="24"/>
          <w:szCs w:val="24"/>
        </w:rPr>
        <w:t>Was cancellation rational or lawful</w:t>
      </w:r>
      <w:r w:rsidR="00A4493F" w:rsidRPr="00127B6A">
        <w:rPr>
          <w:rFonts w:ascii="Arial" w:hAnsi="Arial" w:cs="Arial"/>
          <w:i/>
          <w:sz w:val="24"/>
          <w:szCs w:val="24"/>
        </w:rPr>
        <w:t>?</w:t>
      </w:r>
    </w:p>
    <w:p w:rsidR="002044F5" w:rsidRDefault="006B60DA" w:rsidP="00AF5641">
      <w:pPr>
        <w:pStyle w:val="NoSpacing"/>
        <w:numPr>
          <w:ilvl w:val="0"/>
          <w:numId w:val="16"/>
        </w:numPr>
        <w:spacing w:line="480" w:lineRule="auto"/>
        <w:ind w:left="0" w:firstLine="0"/>
        <w:jc w:val="both"/>
        <w:rPr>
          <w:rFonts w:ascii="Arial" w:hAnsi="Arial" w:cs="Arial"/>
          <w:sz w:val="24"/>
          <w:szCs w:val="24"/>
        </w:rPr>
      </w:pPr>
      <w:r w:rsidRPr="002071CF">
        <w:rPr>
          <w:rFonts w:ascii="Arial" w:hAnsi="Arial" w:cs="Arial"/>
          <w:sz w:val="24"/>
          <w:szCs w:val="24"/>
        </w:rPr>
        <w:t>Org</w:t>
      </w:r>
      <w:r w:rsidR="00E4092A" w:rsidRPr="002071CF">
        <w:rPr>
          <w:rFonts w:ascii="Arial" w:hAnsi="Arial" w:cs="Arial"/>
          <w:sz w:val="24"/>
          <w:szCs w:val="24"/>
        </w:rPr>
        <w:t xml:space="preserve">ans of State such as the </w:t>
      </w:r>
      <w:r w:rsidRPr="002071CF">
        <w:rPr>
          <w:rFonts w:ascii="Arial" w:hAnsi="Arial" w:cs="Arial"/>
          <w:sz w:val="24"/>
          <w:szCs w:val="24"/>
        </w:rPr>
        <w:t xml:space="preserve">Board, performing public functions, utilise public funds. </w:t>
      </w:r>
      <w:r w:rsidR="004301F4" w:rsidRPr="002071CF">
        <w:rPr>
          <w:rFonts w:ascii="Arial" w:hAnsi="Arial" w:cs="Arial"/>
          <w:sz w:val="24"/>
          <w:szCs w:val="24"/>
        </w:rPr>
        <w:t xml:space="preserve">There can be no doubt that decisions relating to procurement of services ordinarily qualify as administrative action under the Constitution and, specifically, in </w:t>
      </w:r>
      <w:r w:rsidR="004301F4" w:rsidRPr="002071CF">
        <w:rPr>
          <w:rFonts w:ascii="Arial" w:hAnsi="Arial" w:cs="Arial"/>
          <w:sz w:val="24"/>
          <w:szCs w:val="24"/>
        </w:rPr>
        <w:lastRenderedPageBreak/>
        <w:t>terms of Article 18</w:t>
      </w:r>
      <w:r w:rsidR="00E4092A" w:rsidRPr="002071CF">
        <w:rPr>
          <w:rFonts w:ascii="Arial" w:hAnsi="Arial" w:cs="Arial"/>
          <w:sz w:val="24"/>
          <w:szCs w:val="24"/>
        </w:rPr>
        <w:t xml:space="preserve"> of the Constitution</w:t>
      </w:r>
      <w:r w:rsidR="004301F4" w:rsidRPr="002071CF">
        <w:rPr>
          <w:rFonts w:ascii="Arial" w:hAnsi="Arial" w:cs="Arial"/>
          <w:sz w:val="24"/>
          <w:szCs w:val="24"/>
        </w:rPr>
        <w:t>.</w:t>
      </w:r>
      <w:r w:rsidR="00304D88">
        <w:rPr>
          <w:rStyle w:val="FootnoteReference"/>
          <w:rFonts w:ascii="Arial" w:hAnsi="Arial" w:cs="Arial"/>
          <w:sz w:val="24"/>
          <w:szCs w:val="24"/>
        </w:rPr>
        <w:footnoteReference w:id="22"/>
      </w:r>
      <w:r w:rsidR="001C5E71">
        <w:rPr>
          <w:rFonts w:ascii="Arial" w:hAnsi="Arial" w:cs="Arial"/>
          <w:sz w:val="24"/>
          <w:szCs w:val="24"/>
        </w:rPr>
        <w:t xml:space="preserve"> </w:t>
      </w:r>
      <w:r w:rsidR="002071CF" w:rsidRPr="002071CF">
        <w:rPr>
          <w:rFonts w:ascii="Arial" w:hAnsi="Arial" w:cs="Arial"/>
          <w:sz w:val="24"/>
          <w:szCs w:val="24"/>
        </w:rPr>
        <w:t xml:space="preserve">This case is distinguishable </w:t>
      </w:r>
      <w:r w:rsidR="006518FA">
        <w:rPr>
          <w:rFonts w:ascii="Arial" w:hAnsi="Arial" w:cs="Arial"/>
          <w:sz w:val="24"/>
          <w:szCs w:val="24"/>
        </w:rPr>
        <w:t xml:space="preserve">from </w:t>
      </w:r>
      <w:r w:rsidR="002071CF" w:rsidRPr="002071CF">
        <w:rPr>
          <w:rFonts w:ascii="Arial" w:hAnsi="Arial" w:cs="Arial"/>
          <w:sz w:val="24"/>
          <w:szCs w:val="24"/>
        </w:rPr>
        <w:t xml:space="preserve">the South African Supreme </w:t>
      </w:r>
      <w:r w:rsidR="00662971">
        <w:rPr>
          <w:rFonts w:ascii="Arial" w:hAnsi="Arial" w:cs="Arial"/>
          <w:sz w:val="24"/>
          <w:szCs w:val="24"/>
        </w:rPr>
        <w:t>Court</w:t>
      </w:r>
      <w:r w:rsidR="002071CF" w:rsidRPr="002071CF">
        <w:rPr>
          <w:rFonts w:ascii="Arial" w:hAnsi="Arial" w:cs="Arial"/>
          <w:sz w:val="24"/>
          <w:szCs w:val="24"/>
        </w:rPr>
        <w:t xml:space="preserve"> of Appeal case in </w:t>
      </w:r>
      <w:r w:rsidR="002071CF" w:rsidRPr="002071CF">
        <w:rPr>
          <w:rFonts w:ascii="Arial" w:hAnsi="Arial" w:cs="Arial"/>
          <w:i/>
          <w:sz w:val="24"/>
          <w:szCs w:val="24"/>
        </w:rPr>
        <w:t>Grintek</w:t>
      </w:r>
      <w:r w:rsidR="00F81F8D">
        <w:rPr>
          <w:rFonts w:ascii="Arial" w:hAnsi="Arial" w:cs="Arial"/>
          <w:i/>
          <w:sz w:val="24"/>
          <w:szCs w:val="24"/>
        </w:rPr>
        <w:t>,</w:t>
      </w:r>
      <w:r w:rsidR="002071CF">
        <w:rPr>
          <w:rStyle w:val="FootnoteReference"/>
          <w:rFonts w:ascii="Arial" w:hAnsi="Arial" w:cs="Arial"/>
          <w:i/>
          <w:sz w:val="24"/>
          <w:szCs w:val="24"/>
        </w:rPr>
        <w:footnoteReference w:id="23"/>
      </w:r>
      <w:r w:rsidR="002071CF" w:rsidRPr="002071CF">
        <w:rPr>
          <w:rFonts w:ascii="Arial" w:hAnsi="Arial" w:cs="Arial"/>
          <w:sz w:val="24"/>
          <w:szCs w:val="24"/>
        </w:rPr>
        <w:t xml:space="preserve"> (referred to in oral argument) in which the </w:t>
      </w:r>
      <w:r w:rsidR="00662971">
        <w:rPr>
          <w:rFonts w:ascii="Arial" w:hAnsi="Arial" w:cs="Arial"/>
          <w:sz w:val="24"/>
          <w:szCs w:val="24"/>
        </w:rPr>
        <w:t>Court</w:t>
      </w:r>
      <w:r w:rsidR="002071CF" w:rsidRPr="002071CF">
        <w:rPr>
          <w:rFonts w:ascii="Arial" w:hAnsi="Arial" w:cs="Arial"/>
          <w:sz w:val="24"/>
          <w:szCs w:val="24"/>
        </w:rPr>
        <w:t xml:space="preserve"> correctly found that the decision to cancel was made in</w:t>
      </w:r>
      <w:r w:rsidR="006518FA">
        <w:rPr>
          <w:rFonts w:ascii="Arial" w:hAnsi="Arial" w:cs="Arial"/>
          <w:sz w:val="24"/>
          <w:szCs w:val="24"/>
        </w:rPr>
        <w:t xml:space="preserve"> the</w:t>
      </w:r>
      <w:r w:rsidR="002071CF" w:rsidRPr="002071CF">
        <w:rPr>
          <w:rFonts w:ascii="Arial" w:hAnsi="Arial" w:cs="Arial"/>
          <w:sz w:val="24"/>
          <w:szCs w:val="24"/>
        </w:rPr>
        <w:t xml:space="preserve"> exercise of executive authority and that it did not constitute administrative action. The reasons for cancellation were therefore, held not to offend the principle of legality. </w:t>
      </w:r>
    </w:p>
    <w:p w:rsidR="002071CF" w:rsidRPr="002071CF" w:rsidRDefault="002071CF" w:rsidP="002071CF">
      <w:pPr>
        <w:pStyle w:val="NoSpacing"/>
        <w:spacing w:line="480" w:lineRule="auto"/>
        <w:jc w:val="both"/>
        <w:rPr>
          <w:rFonts w:ascii="Arial" w:hAnsi="Arial" w:cs="Arial"/>
          <w:sz w:val="24"/>
          <w:szCs w:val="24"/>
        </w:rPr>
      </w:pPr>
    </w:p>
    <w:p w:rsidR="002044F5" w:rsidRPr="002044F5" w:rsidRDefault="004301F4" w:rsidP="007C2C6F">
      <w:pPr>
        <w:pStyle w:val="NoSpacing"/>
        <w:numPr>
          <w:ilvl w:val="0"/>
          <w:numId w:val="16"/>
        </w:numPr>
        <w:spacing w:line="480" w:lineRule="auto"/>
        <w:ind w:left="0" w:firstLine="0"/>
        <w:jc w:val="both"/>
        <w:rPr>
          <w:rFonts w:ascii="Arial" w:hAnsi="Arial" w:cs="Arial"/>
          <w:sz w:val="24"/>
          <w:szCs w:val="24"/>
        </w:rPr>
      </w:pPr>
      <w:r w:rsidRPr="0012710F">
        <w:rPr>
          <w:rFonts w:ascii="Arial" w:hAnsi="Arial" w:cs="Arial"/>
          <w:sz w:val="24"/>
          <w:szCs w:val="24"/>
        </w:rPr>
        <w:t>Procurement steps taken by public offici</w:t>
      </w:r>
      <w:r w:rsidR="00E4092A">
        <w:rPr>
          <w:rFonts w:ascii="Arial" w:hAnsi="Arial" w:cs="Arial"/>
          <w:sz w:val="24"/>
          <w:szCs w:val="24"/>
        </w:rPr>
        <w:t>als and agencies like the</w:t>
      </w:r>
      <w:r w:rsidRPr="0012710F">
        <w:rPr>
          <w:rFonts w:ascii="Arial" w:hAnsi="Arial" w:cs="Arial"/>
          <w:sz w:val="24"/>
          <w:szCs w:val="24"/>
        </w:rPr>
        <w:t xml:space="preserve"> Board must therefore b</w:t>
      </w:r>
      <w:r w:rsidR="0011418D">
        <w:rPr>
          <w:rFonts w:ascii="Arial" w:hAnsi="Arial" w:cs="Arial"/>
          <w:sz w:val="24"/>
          <w:szCs w:val="24"/>
        </w:rPr>
        <w:t>e lawful and procedurally fair.</w:t>
      </w:r>
      <w:r w:rsidR="00304D88">
        <w:rPr>
          <w:rFonts w:ascii="Arial" w:hAnsi="Arial" w:cs="Arial"/>
          <w:sz w:val="24"/>
          <w:szCs w:val="24"/>
        </w:rPr>
        <w:t xml:space="preserve"> </w:t>
      </w:r>
      <w:r w:rsidRPr="0012710F">
        <w:rPr>
          <w:rFonts w:ascii="Arial" w:hAnsi="Arial" w:cs="Arial"/>
          <w:sz w:val="24"/>
          <w:szCs w:val="24"/>
        </w:rPr>
        <w:t>This is particularly so because public money is used by public officials and bodies/</w:t>
      </w:r>
      <w:r w:rsidR="006518FA">
        <w:rPr>
          <w:rFonts w:ascii="Arial" w:hAnsi="Arial" w:cs="Arial"/>
          <w:sz w:val="24"/>
          <w:szCs w:val="24"/>
        </w:rPr>
        <w:t>agencies in the public interest</w:t>
      </w:r>
      <w:r w:rsidRPr="0012710F">
        <w:rPr>
          <w:rFonts w:ascii="Arial" w:hAnsi="Arial" w:cs="Arial"/>
          <w:sz w:val="24"/>
          <w:szCs w:val="24"/>
        </w:rPr>
        <w:t>.</w:t>
      </w:r>
      <w:r>
        <w:rPr>
          <w:rStyle w:val="FootnoteReference"/>
          <w:rFonts w:ascii="Arial" w:hAnsi="Arial" w:cs="Arial"/>
          <w:sz w:val="24"/>
          <w:szCs w:val="24"/>
        </w:rPr>
        <w:footnoteReference w:id="24"/>
      </w:r>
      <w:r w:rsidR="002044F5">
        <w:rPr>
          <w:rFonts w:ascii="Arial" w:hAnsi="Arial" w:cs="Arial"/>
          <w:sz w:val="24"/>
          <w:szCs w:val="24"/>
        </w:rPr>
        <w:t xml:space="preserve"> These admin</w:t>
      </w:r>
      <w:r w:rsidR="00E4092A">
        <w:rPr>
          <w:rFonts w:ascii="Arial" w:hAnsi="Arial" w:cs="Arial"/>
          <w:sz w:val="24"/>
          <w:szCs w:val="24"/>
        </w:rPr>
        <w:t xml:space="preserve">istrators, including the </w:t>
      </w:r>
      <w:r w:rsidR="002044F5">
        <w:rPr>
          <w:rFonts w:ascii="Arial" w:hAnsi="Arial" w:cs="Arial"/>
          <w:sz w:val="24"/>
          <w:szCs w:val="24"/>
        </w:rPr>
        <w:t>Board as the procurement agency, are</w:t>
      </w:r>
      <w:r w:rsidR="008F7F52">
        <w:rPr>
          <w:rFonts w:ascii="Arial" w:hAnsi="Arial" w:cs="Arial"/>
          <w:sz w:val="24"/>
          <w:szCs w:val="24"/>
        </w:rPr>
        <w:t xml:space="preserve"> therefore </w:t>
      </w:r>
      <w:r w:rsidR="002044F5" w:rsidRPr="0012710F">
        <w:rPr>
          <w:rFonts w:ascii="Arial" w:hAnsi="Arial" w:cs="Arial"/>
          <w:sz w:val="24"/>
          <w:szCs w:val="24"/>
        </w:rPr>
        <w:t>held to a more stringent standard to ensure, among other things, that rights are not adversely affected.</w:t>
      </w:r>
    </w:p>
    <w:p w:rsidR="008240AE" w:rsidRDefault="008240AE" w:rsidP="008240AE">
      <w:pPr>
        <w:pStyle w:val="NoSpacing"/>
        <w:spacing w:line="480" w:lineRule="auto"/>
        <w:jc w:val="both"/>
        <w:rPr>
          <w:rFonts w:ascii="Arial" w:hAnsi="Arial" w:cs="Arial"/>
          <w:sz w:val="24"/>
          <w:szCs w:val="24"/>
        </w:rPr>
      </w:pPr>
    </w:p>
    <w:p w:rsidR="008432CB" w:rsidRDefault="008240AE" w:rsidP="007C2C6F">
      <w:pPr>
        <w:pStyle w:val="NoSpacing"/>
        <w:numPr>
          <w:ilvl w:val="0"/>
          <w:numId w:val="16"/>
        </w:numPr>
        <w:spacing w:line="480" w:lineRule="auto"/>
        <w:ind w:left="0" w:firstLine="0"/>
        <w:jc w:val="both"/>
        <w:rPr>
          <w:rFonts w:ascii="Arial" w:hAnsi="Arial" w:cs="Arial"/>
          <w:sz w:val="24"/>
          <w:szCs w:val="24"/>
        </w:rPr>
      </w:pPr>
      <w:r w:rsidRPr="008240AE">
        <w:rPr>
          <w:rFonts w:ascii="Arial" w:hAnsi="Arial" w:cs="Arial"/>
          <w:sz w:val="24"/>
          <w:szCs w:val="24"/>
        </w:rPr>
        <w:t xml:space="preserve">The foundational pillars and values that underpin the grand edifice of </w:t>
      </w:r>
      <w:r>
        <w:rPr>
          <w:rFonts w:ascii="Arial" w:hAnsi="Arial" w:cs="Arial"/>
          <w:sz w:val="24"/>
          <w:szCs w:val="24"/>
        </w:rPr>
        <w:t xml:space="preserve">a </w:t>
      </w:r>
      <w:r w:rsidRPr="008240AE">
        <w:rPr>
          <w:rFonts w:ascii="Arial" w:hAnsi="Arial" w:cs="Arial"/>
          <w:sz w:val="24"/>
          <w:szCs w:val="24"/>
        </w:rPr>
        <w:t xml:space="preserve">democratic </w:t>
      </w:r>
      <w:r>
        <w:rPr>
          <w:rFonts w:ascii="Arial" w:hAnsi="Arial" w:cs="Arial"/>
          <w:sz w:val="24"/>
          <w:szCs w:val="24"/>
        </w:rPr>
        <w:t xml:space="preserve">and unitary State </w:t>
      </w:r>
      <w:r w:rsidR="007E628C">
        <w:rPr>
          <w:rFonts w:ascii="Arial" w:hAnsi="Arial" w:cs="Arial"/>
          <w:sz w:val="24"/>
          <w:szCs w:val="24"/>
        </w:rPr>
        <w:t xml:space="preserve">(Republic of Namibia) </w:t>
      </w:r>
      <w:r>
        <w:rPr>
          <w:rFonts w:ascii="Arial" w:hAnsi="Arial" w:cs="Arial"/>
          <w:sz w:val="24"/>
          <w:szCs w:val="24"/>
        </w:rPr>
        <w:t>include supremacy of the C</w:t>
      </w:r>
      <w:r w:rsidRPr="008240AE">
        <w:rPr>
          <w:rFonts w:ascii="Arial" w:hAnsi="Arial" w:cs="Arial"/>
          <w:sz w:val="24"/>
          <w:szCs w:val="24"/>
        </w:rPr>
        <w:t>onstitution</w:t>
      </w:r>
      <w:r w:rsidR="00612E09">
        <w:rPr>
          <w:rFonts w:ascii="Arial" w:hAnsi="Arial" w:cs="Arial"/>
          <w:sz w:val="24"/>
          <w:szCs w:val="24"/>
        </w:rPr>
        <w:t>,</w:t>
      </w:r>
      <w:r>
        <w:rPr>
          <w:rStyle w:val="FootnoteReference"/>
          <w:rFonts w:ascii="Arial" w:hAnsi="Arial" w:cs="Arial"/>
          <w:sz w:val="24"/>
          <w:szCs w:val="24"/>
        </w:rPr>
        <w:footnoteReference w:id="25"/>
      </w:r>
      <w:r w:rsidR="00612E09">
        <w:rPr>
          <w:rFonts w:ascii="Arial" w:hAnsi="Arial" w:cs="Arial"/>
          <w:sz w:val="24"/>
          <w:szCs w:val="24"/>
        </w:rPr>
        <w:t xml:space="preserve"> </w:t>
      </w:r>
      <w:r w:rsidRPr="00612E09">
        <w:rPr>
          <w:rFonts w:ascii="Arial" w:hAnsi="Arial" w:cs="Arial"/>
          <w:sz w:val="24"/>
          <w:szCs w:val="24"/>
        </w:rPr>
        <w:t>the rule of law</w:t>
      </w:r>
      <w:r>
        <w:rPr>
          <w:rFonts w:ascii="Arial" w:hAnsi="Arial" w:cs="Arial"/>
          <w:sz w:val="24"/>
          <w:szCs w:val="24"/>
        </w:rPr>
        <w:t xml:space="preserve"> and justice for all</w:t>
      </w:r>
      <w:r w:rsidR="00612E09">
        <w:rPr>
          <w:rFonts w:ascii="Arial" w:hAnsi="Arial" w:cs="Arial"/>
          <w:sz w:val="24"/>
          <w:szCs w:val="24"/>
        </w:rPr>
        <w:t>.</w:t>
      </w:r>
      <w:r w:rsidRPr="008240AE">
        <w:rPr>
          <w:rStyle w:val="FootnoteReference"/>
          <w:rFonts w:ascii="Arial" w:hAnsi="Arial" w:cs="Arial"/>
          <w:sz w:val="24"/>
          <w:szCs w:val="24"/>
        </w:rPr>
        <w:footnoteReference w:id="26"/>
      </w:r>
      <w:r>
        <w:rPr>
          <w:rFonts w:ascii="Arial" w:hAnsi="Arial" w:cs="Arial"/>
          <w:sz w:val="24"/>
          <w:szCs w:val="24"/>
        </w:rPr>
        <w:t xml:space="preserve"> </w:t>
      </w:r>
    </w:p>
    <w:p w:rsidR="008432CB" w:rsidRPr="008432CB" w:rsidRDefault="008432CB" w:rsidP="008432CB">
      <w:pPr>
        <w:rPr>
          <w:rFonts w:ascii="Arial" w:hAnsi="Arial" w:cs="Arial"/>
          <w:sz w:val="24"/>
          <w:szCs w:val="24"/>
        </w:rPr>
      </w:pPr>
    </w:p>
    <w:p w:rsidR="008432CB" w:rsidRDefault="008432CB"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lastRenderedPageBreak/>
        <w:t xml:space="preserve">This </w:t>
      </w:r>
      <w:r w:rsidR="00662971">
        <w:rPr>
          <w:rFonts w:ascii="Arial" w:hAnsi="Arial" w:cs="Arial"/>
          <w:sz w:val="24"/>
          <w:szCs w:val="24"/>
        </w:rPr>
        <w:t>Court</w:t>
      </w:r>
      <w:r w:rsidR="00F910BA">
        <w:rPr>
          <w:rFonts w:ascii="Arial" w:hAnsi="Arial" w:cs="Arial"/>
          <w:sz w:val="24"/>
          <w:szCs w:val="24"/>
        </w:rPr>
        <w:t xml:space="preserve"> </w:t>
      </w:r>
      <w:r>
        <w:rPr>
          <w:rFonts w:ascii="Arial" w:hAnsi="Arial" w:cs="Arial"/>
          <w:sz w:val="24"/>
          <w:szCs w:val="24"/>
        </w:rPr>
        <w:t xml:space="preserve">in </w:t>
      </w:r>
      <w:r>
        <w:rPr>
          <w:rFonts w:ascii="Arial" w:hAnsi="Arial" w:cs="Arial"/>
          <w:i/>
          <w:sz w:val="24"/>
          <w:szCs w:val="24"/>
        </w:rPr>
        <w:t>Rally for Democracy</w:t>
      </w:r>
      <w:r w:rsidRPr="001B3231">
        <w:rPr>
          <w:rStyle w:val="FootnoteReference"/>
          <w:rFonts w:ascii="Arial" w:hAnsi="Arial" w:cs="Arial"/>
          <w:sz w:val="24"/>
          <w:szCs w:val="24"/>
        </w:rPr>
        <w:footnoteReference w:id="27"/>
      </w:r>
      <w:r w:rsidR="006F5C4F" w:rsidRPr="006F5C4F">
        <w:rPr>
          <w:rFonts w:ascii="Arial" w:hAnsi="Arial" w:cs="Arial"/>
          <w:sz w:val="24"/>
          <w:szCs w:val="24"/>
        </w:rPr>
        <w:t xml:space="preserve"> per Shivute CJ</w:t>
      </w:r>
      <w:r w:rsidR="006F5C4F">
        <w:rPr>
          <w:rFonts w:ascii="Arial" w:hAnsi="Arial" w:cs="Arial"/>
          <w:sz w:val="24"/>
          <w:szCs w:val="24"/>
        </w:rPr>
        <w:t>,</w:t>
      </w:r>
      <w:r w:rsidRPr="001B3231">
        <w:rPr>
          <w:rFonts w:ascii="Arial" w:hAnsi="Arial" w:cs="Arial"/>
          <w:sz w:val="24"/>
          <w:szCs w:val="24"/>
        </w:rPr>
        <w:t xml:space="preserve"> </w:t>
      </w:r>
      <w:r>
        <w:rPr>
          <w:rFonts w:ascii="Arial" w:hAnsi="Arial" w:cs="Arial"/>
          <w:sz w:val="24"/>
          <w:szCs w:val="24"/>
        </w:rPr>
        <w:t xml:space="preserve">had the </w:t>
      </w:r>
      <w:r w:rsidR="00577467">
        <w:rPr>
          <w:rFonts w:ascii="Arial" w:hAnsi="Arial" w:cs="Arial"/>
          <w:sz w:val="24"/>
          <w:szCs w:val="24"/>
        </w:rPr>
        <w:t>following to</w:t>
      </w:r>
      <w:r w:rsidR="002044F5">
        <w:rPr>
          <w:rFonts w:ascii="Arial" w:hAnsi="Arial" w:cs="Arial"/>
          <w:sz w:val="24"/>
          <w:szCs w:val="24"/>
        </w:rPr>
        <w:t xml:space="preserve"> say regar</w:t>
      </w:r>
      <w:r w:rsidR="00612E09">
        <w:rPr>
          <w:rFonts w:ascii="Arial" w:hAnsi="Arial" w:cs="Arial"/>
          <w:sz w:val="24"/>
          <w:szCs w:val="24"/>
        </w:rPr>
        <w:t>ding the principle of legality</w:t>
      </w:r>
      <w:r w:rsidR="006518FA">
        <w:rPr>
          <w:rFonts w:ascii="Arial" w:hAnsi="Arial" w:cs="Arial"/>
          <w:sz w:val="24"/>
          <w:szCs w:val="24"/>
        </w:rPr>
        <w:t>,</w:t>
      </w:r>
      <w:r w:rsidR="002044F5">
        <w:rPr>
          <w:rFonts w:ascii="Arial" w:hAnsi="Arial" w:cs="Arial"/>
          <w:sz w:val="24"/>
          <w:szCs w:val="24"/>
        </w:rPr>
        <w:t xml:space="preserve"> </w:t>
      </w:r>
      <w:r w:rsidR="006518FA">
        <w:rPr>
          <w:rFonts w:ascii="Arial" w:hAnsi="Arial" w:cs="Arial"/>
          <w:sz w:val="24"/>
          <w:szCs w:val="24"/>
        </w:rPr>
        <w:t>the sub-set of the rule of law,</w:t>
      </w:r>
      <w:r w:rsidR="002044F5">
        <w:rPr>
          <w:rFonts w:ascii="Arial" w:hAnsi="Arial" w:cs="Arial"/>
          <w:sz w:val="24"/>
          <w:szCs w:val="24"/>
        </w:rPr>
        <w:t xml:space="preserve"> </w:t>
      </w:r>
      <w:r>
        <w:rPr>
          <w:rFonts w:ascii="Arial" w:hAnsi="Arial" w:cs="Arial"/>
          <w:sz w:val="24"/>
          <w:szCs w:val="24"/>
        </w:rPr>
        <w:t xml:space="preserve">and </w:t>
      </w:r>
      <w:r w:rsidR="006518FA">
        <w:rPr>
          <w:rFonts w:ascii="Arial" w:hAnsi="Arial" w:cs="Arial"/>
          <w:sz w:val="24"/>
          <w:szCs w:val="24"/>
        </w:rPr>
        <w:t xml:space="preserve">the </w:t>
      </w:r>
      <w:r>
        <w:rPr>
          <w:rFonts w:ascii="Arial" w:hAnsi="Arial" w:cs="Arial"/>
          <w:sz w:val="24"/>
          <w:szCs w:val="24"/>
        </w:rPr>
        <w:t>exercise of any public power:</w:t>
      </w:r>
    </w:p>
    <w:p w:rsidR="002044F5" w:rsidRDefault="002044F5" w:rsidP="002044F5">
      <w:pPr>
        <w:pStyle w:val="ListParagraph"/>
        <w:rPr>
          <w:rFonts w:ascii="Arial" w:hAnsi="Arial" w:cs="Arial"/>
          <w:sz w:val="24"/>
          <w:szCs w:val="24"/>
        </w:rPr>
      </w:pPr>
    </w:p>
    <w:p w:rsidR="008432CB" w:rsidRDefault="00612E09" w:rsidP="001C5E71">
      <w:pPr>
        <w:pStyle w:val="NoSpacing"/>
        <w:spacing w:line="360" w:lineRule="auto"/>
        <w:ind w:left="720"/>
        <w:jc w:val="both"/>
        <w:rPr>
          <w:rFonts w:ascii="Arial" w:hAnsi="Arial" w:cs="Arial"/>
        </w:rPr>
      </w:pPr>
      <w:r>
        <w:rPr>
          <w:rFonts w:ascii="Arial" w:hAnsi="Arial" w:cs="Arial"/>
        </w:rPr>
        <w:t>‘</w:t>
      </w:r>
      <w:r w:rsidR="008432CB">
        <w:rPr>
          <w:rFonts w:ascii="Arial" w:hAnsi="Arial" w:cs="Arial"/>
        </w:rPr>
        <w:t>The rule of law is one of the founda</w:t>
      </w:r>
      <w:r w:rsidR="00CC392E">
        <w:rPr>
          <w:rFonts w:ascii="Arial" w:hAnsi="Arial" w:cs="Arial"/>
        </w:rPr>
        <w:t>tional principles of our State.</w:t>
      </w:r>
      <w:r w:rsidR="008432CB">
        <w:rPr>
          <w:rFonts w:ascii="Arial" w:hAnsi="Arial" w:cs="Arial"/>
        </w:rPr>
        <w:t xml:space="preserve"> One of the incidents that follows logically and naturally from this principle is the doctrine of legality.  In our country, under a Constitution as its “Supreme Law”, it demands that the exercise of any public power should be authorised by law – either by the Constitution itself or by any other law recognised by o</w:t>
      </w:r>
      <w:r w:rsidR="00CC392E">
        <w:rPr>
          <w:rFonts w:ascii="Arial" w:hAnsi="Arial" w:cs="Arial"/>
        </w:rPr>
        <w:t xml:space="preserve">r made under the Constitution. </w:t>
      </w:r>
      <w:r w:rsidR="008432CB">
        <w:rPr>
          <w:rFonts w:ascii="Arial" w:hAnsi="Arial" w:cs="Arial"/>
        </w:rPr>
        <w:t xml:space="preserve">“The exercise of public power </w:t>
      </w:r>
      <w:r>
        <w:rPr>
          <w:rFonts w:ascii="Arial" w:hAnsi="Arial" w:cs="Arial"/>
        </w:rPr>
        <w:t>is only legitimate where lawful”</w:t>
      </w:r>
      <w:r w:rsidR="00CC392E">
        <w:rPr>
          <w:rFonts w:ascii="Arial" w:hAnsi="Arial" w:cs="Arial"/>
        </w:rPr>
        <w:t>.</w:t>
      </w:r>
      <w:r w:rsidR="008432CB">
        <w:rPr>
          <w:rFonts w:ascii="Arial" w:hAnsi="Arial" w:cs="Arial"/>
        </w:rPr>
        <w:t xml:space="preserve"> If public functionaries purports to exercise powers or perform functions outside the parameters of their legal authority they, in effect, usurp powers of State constitutionally entrusted to legislative authorities and other public functionaries. The doctrine, as a means to determine legality of administrative conduct, is therefore fundamental in controlling – and where necessary, in constraining –</w:t>
      </w:r>
      <w:r>
        <w:rPr>
          <w:rFonts w:ascii="Arial" w:hAnsi="Arial" w:cs="Arial"/>
        </w:rPr>
        <w:t xml:space="preserve"> </w:t>
      </w:r>
      <w:r w:rsidR="008432CB">
        <w:rPr>
          <w:rFonts w:ascii="Arial" w:hAnsi="Arial" w:cs="Arial"/>
        </w:rPr>
        <w:t>the exercise of public powers and functions i</w:t>
      </w:r>
      <w:r>
        <w:rPr>
          <w:rFonts w:ascii="Arial" w:hAnsi="Arial" w:cs="Arial"/>
        </w:rPr>
        <w:t>n our constitutional democracy.’</w:t>
      </w:r>
    </w:p>
    <w:p w:rsidR="00F95C16" w:rsidRDefault="00F95C16" w:rsidP="00F95C16">
      <w:pPr>
        <w:pStyle w:val="NoSpacing"/>
        <w:spacing w:line="480" w:lineRule="auto"/>
        <w:jc w:val="both"/>
        <w:rPr>
          <w:rFonts w:ascii="Arial" w:hAnsi="Arial" w:cs="Arial"/>
          <w:sz w:val="24"/>
          <w:szCs w:val="24"/>
        </w:rPr>
      </w:pPr>
    </w:p>
    <w:p w:rsidR="008432CB" w:rsidRDefault="00EE65A2" w:rsidP="00577467">
      <w:pPr>
        <w:pStyle w:val="NoSpacing"/>
        <w:spacing w:line="480" w:lineRule="auto"/>
        <w:jc w:val="both"/>
        <w:rPr>
          <w:rFonts w:ascii="Arial" w:hAnsi="Arial" w:cs="Arial"/>
          <w:sz w:val="24"/>
          <w:szCs w:val="24"/>
        </w:rPr>
      </w:pPr>
      <w:r>
        <w:rPr>
          <w:rFonts w:ascii="Arial" w:hAnsi="Arial" w:cs="Arial"/>
          <w:sz w:val="24"/>
          <w:szCs w:val="24"/>
        </w:rPr>
        <w:t xml:space="preserve">These remarks </w:t>
      </w:r>
      <w:r w:rsidR="00F95C16">
        <w:rPr>
          <w:rFonts w:ascii="Arial" w:hAnsi="Arial" w:cs="Arial"/>
          <w:sz w:val="24"/>
          <w:szCs w:val="24"/>
        </w:rPr>
        <w:t xml:space="preserve">endorse the </w:t>
      </w:r>
      <w:r w:rsidR="00F95C16" w:rsidRPr="008432CB">
        <w:rPr>
          <w:rFonts w:ascii="Arial" w:hAnsi="Arial" w:cs="Arial"/>
          <w:sz w:val="24"/>
          <w:szCs w:val="24"/>
        </w:rPr>
        <w:t>fundamental principle that administrators must have lawful aut</w:t>
      </w:r>
      <w:r>
        <w:rPr>
          <w:rFonts w:ascii="Arial" w:hAnsi="Arial" w:cs="Arial"/>
          <w:sz w:val="24"/>
          <w:szCs w:val="24"/>
        </w:rPr>
        <w:t xml:space="preserve">hority for everything they do </w:t>
      </w:r>
      <w:r w:rsidR="00F95C16" w:rsidRPr="008432CB">
        <w:rPr>
          <w:rFonts w:ascii="Arial" w:hAnsi="Arial" w:cs="Arial"/>
          <w:sz w:val="24"/>
          <w:szCs w:val="24"/>
        </w:rPr>
        <w:t>or undo.</w:t>
      </w:r>
    </w:p>
    <w:p w:rsidR="008240AE" w:rsidRPr="008240AE" w:rsidRDefault="008240AE" w:rsidP="008240AE">
      <w:pPr>
        <w:pStyle w:val="JUDGMENTCONTINUED"/>
        <w:rPr>
          <w:rFonts w:ascii="Arial" w:hAnsi="Arial" w:cs="Arial"/>
          <w:sz w:val="24"/>
          <w:szCs w:val="24"/>
        </w:rPr>
      </w:pPr>
    </w:p>
    <w:p w:rsidR="00D93444" w:rsidRDefault="00F95C16"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Following the</w:t>
      </w:r>
      <w:r w:rsidR="00D93444">
        <w:rPr>
          <w:rFonts w:ascii="Arial" w:hAnsi="Arial" w:cs="Arial"/>
          <w:sz w:val="24"/>
          <w:szCs w:val="24"/>
        </w:rPr>
        <w:t xml:space="preserve"> aforementioned </w:t>
      </w:r>
      <w:r>
        <w:rPr>
          <w:rFonts w:ascii="Arial" w:hAnsi="Arial" w:cs="Arial"/>
          <w:sz w:val="24"/>
          <w:szCs w:val="24"/>
        </w:rPr>
        <w:t xml:space="preserve">fundamental principles, </w:t>
      </w:r>
      <w:r w:rsidR="00FA1573" w:rsidRPr="008432CB">
        <w:rPr>
          <w:rFonts w:ascii="Arial" w:hAnsi="Arial" w:cs="Arial"/>
          <w:sz w:val="24"/>
          <w:szCs w:val="24"/>
        </w:rPr>
        <w:t>individuals should be entitled t</w:t>
      </w:r>
      <w:r w:rsidR="00020E43" w:rsidRPr="008432CB">
        <w:rPr>
          <w:rFonts w:ascii="Arial" w:hAnsi="Arial" w:cs="Arial"/>
          <w:sz w:val="24"/>
          <w:szCs w:val="24"/>
        </w:rPr>
        <w:t xml:space="preserve">o rely on government decisions and </w:t>
      </w:r>
      <w:r w:rsidR="00FA1573" w:rsidRPr="008432CB">
        <w:rPr>
          <w:rFonts w:ascii="Arial" w:hAnsi="Arial" w:cs="Arial"/>
          <w:sz w:val="24"/>
          <w:szCs w:val="24"/>
        </w:rPr>
        <w:t>be able to</w:t>
      </w:r>
      <w:r w:rsidR="00E66C42">
        <w:rPr>
          <w:rFonts w:ascii="Arial" w:hAnsi="Arial" w:cs="Arial"/>
          <w:sz w:val="24"/>
          <w:szCs w:val="24"/>
        </w:rPr>
        <w:t xml:space="preserve"> function and</w:t>
      </w:r>
      <w:r w:rsidR="00FA1573" w:rsidRPr="008432CB">
        <w:rPr>
          <w:rFonts w:ascii="Arial" w:hAnsi="Arial" w:cs="Arial"/>
          <w:sz w:val="24"/>
          <w:szCs w:val="24"/>
        </w:rPr>
        <w:t xml:space="preserve"> plan their lives around such decisions,</w:t>
      </w:r>
      <w:r>
        <w:rPr>
          <w:rFonts w:ascii="Arial" w:hAnsi="Arial" w:cs="Arial"/>
          <w:sz w:val="24"/>
          <w:szCs w:val="24"/>
        </w:rPr>
        <w:t xml:space="preserve"> insulated </w:t>
      </w:r>
      <w:r w:rsidR="00FA1573" w:rsidRPr="008432CB">
        <w:rPr>
          <w:rFonts w:ascii="Arial" w:hAnsi="Arial" w:cs="Arial"/>
          <w:sz w:val="24"/>
          <w:szCs w:val="24"/>
        </w:rPr>
        <w:t>at least to some degree from the injustice that would result from a sudden change of mind on the administrator’s act</w:t>
      </w:r>
      <w:r w:rsidR="00E66C42">
        <w:rPr>
          <w:rFonts w:ascii="Arial" w:hAnsi="Arial" w:cs="Arial"/>
          <w:sz w:val="24"/>
          <w:szCs w:val="24"/>
        </w:rPr>
        <w:t xml:space="preserve"> in a way that may result in illegality</w:t>
      </w:r>
      <w:r w:rsidR="00F81F8D">
        <w:rPr>
          <w:rFonts w:ascii="Arial" w:hAnsi="Arial" w:cs="Arial"/>
          <w:sz w:val="24"/>
          <w:szCs w:val="24"/>
        </w:rPr>
        <w:t xml:space="preserve">. </w:t>
      </w:r>
      <w:r w:rsidR="00E66C42">
        <w:rPr>
          <w:rFonts w:ascii="Arial" w:hAnsi="Arial" w:cs="Arial"/>
          <w:sz w:val="24"/>
          <w:szCs w:val="24"/>
        </w:rPr>
        <w:t>Needless to say</w:t>
      </w:r>
      <w:r w:rsidR="003208E9">
        <w:rPr>
          <w:rFonts w:ascii="Arial" w:hAnsi="Arial" w:cs="Arial"/>
          <w:sz w:val="24"/>
          <w:szCs w:val="24"/>
        </w:rPr>
        <w:t xml:space="preserve"> fair procedure</w:t>
      </w:r>
      <w:r w:rsidR="008432CB" w:rsidRPr="008432CB">
        <w:rPr>
          <w:rFonts w:ascii="Arial" w:hAnsi="Arial" w:cs="Arial"/>
          <w:sz w:val="24"/>
          <w:szCs w:val="24"/>
        </w:rPr>
        <w:t xml:space="preserve"> is designed to prevent </w:t>
      </w:r>
      <w:r w:rsidR="008432CB" w:rsidRPr="008432CB">
        <w:rPr>
          <w:rFonts w:ascii="Arial" w:hAnsi="Arial" w:cs="Arial"/>
          <w:sz w:val="24"/>
          <w:szCs w:val="24"/>
        </w:rPr>
        <w:lastRenderedPageBreak/>
        <w:t>arbitrariness in the outcome of any administrative decision</w:t>
      </w:r>
      <w:r w:rsidR="00E66C42">
        <w:rPr>
          <w:rFonts w:ascii="Arial" w:hAnsi="Arial" w:cs="Arial"/>
          <w:sz w:val="24"/>
          <w:szCs w:val="24"/>
        </w:rPr>
        <w:t xml:space="preserve"> that may result in unfairness</w:t>
      </w:r>
      <w:r w:rsidR="008432CB" w:rsidRPr="008432CB">
        <w:rPr>
          <w:rFonts w:ascii="Arial" w:hAnsi="Arial" w:cs="Arial"/>
          <w:sz w:val="24"/>
          <w:szCs w:val="24"/>
        </w:rPr>
        <w:t xml:space="preserve">. </w:t>
      </w:r>
    </w:p>
    <w:p w:rsidR="00D93444" w:rsidRDefault="00D93444" w:rsidP="00D93444">
      <w:pPr>
        <w:pStyle w:val="NoSpacing"/>
        <w:spacing w:line="480" w:lineRule="auto"/>
        <w:jc w:val="both"/>
        <w:rPr>
          <w:rFonts w:ascii="Arial" w:hAnsi="Arial" w:cs="Arial"/>
          <w:sz w:val="24"/>
          <w:szCs w:val="24"/>
        </w:rPr>
      </w:pPr>
    </w:p>
    <w:p w:rsidR="00C6715D" w:rsidRDefault="008432CB"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Th</w:t>
      </w:r>
      <w:r w:rsidR="00D93444">
        <w:rPr>
          <w:rFonts w:ascii="Arial" w:hAnsi="Arial" w:cs="Arial"/>
          <w:sz w:val="24"/>
          <w:szCs w:val="24"/>
        </w:rPr>
        <w:t xml:space="preserve">at </w:t>
      </w:r>
      <w:r>
        <w:rPr>
          <w:rFonts w:ascii="Arial" w:hAnsi="Arial" w:cs="Arial"/>
          <w:sz w:val="24"/>
          <w:szCs w:val="24"/>
        </w:rPr>
        <w:t xml:space="preserve">is </w:t>
      </w:r>
      <w:r w:rsidR="00C6715D">
        <w:rPr>
          <w:rFonts w:ascii="Arial" w:hAnsi="Arial" w:cs="Arial"/>
          <w:sz w:val="24"/>
          <w:szCs w:val="24"/>
        </w:rPr>
        <w:t xml:space="preserve">what the Constitutional </w:t>
      </w:r>
      <w:r w:rsidR="00662971">
        <w:rPr>
          <w:rFonts w:ascii="Arial" w:hAnsi="Arial" w:cs="Arial"/>
          <w:sz w:val="24"/>
          <w:szCs w:val="24"/>
        </w:rPr>
        <w:t>Court</w:t>
      </w:r>
      <w:r w:rsidR="00C6715D">
        <w:rPr>
          <w:rFonts w:ascii="Arial" w:hAnsi="Arial" w:cs="Arial"/>
          <w:sz w:val="24"/>
          <w:szCs w:val="24"/>
        </w:rPr>
        <w:t xml:space="preserve"> of South Africa </w:t>
      </w:r>
      <w:r w:rsidR="00D93444">
        <w:rPr>
          <w:rFonts w:ascii="Arial" w:hAnsi="Arial" w:cs="Arial"/>
          <w:sz w:val="24"/>
          <w:szCs w:val="24"/>
        </w:rPr>
        <w:t xml:space="preserve">cautioned about </w:t>
      </w:r>
      <w:r w:rsidR="00C6715D">
        <w:rPr>
          <w:rFonts w:ascii="Arial" w:hAnsi="Arial" w:cs="Arial"/>
          <w:sz w:val="24"/>
          <w:szCs w:val="24"/>
        </w:rPr>
        <w:t xml:space="preserve">in </w:t>
      </w:r>
      <w:r w:rsidRPr="008432CB">
        <w:rPr>
          <w:rFonts w:ascii="Arial" w:hAnsi="Arial" w:cs="Arial"/>
          <w:i/>
          <w:sz w:val="24"/>
          <w:szCs w:val="24"/>
        </w:rPr>
        <w:t>De Lange</w:t>
      </w:r>
      <w:r w:rsidR="00E66C42">
        <w:rPr>
          <w:rFonts w:ascii="Arial" w:hAnsi="Arial" w:cs="Arial"/>
          <w:i/>
          <w:sz w:val="24"/>
          <w:szCs w:val="24"/>
        </w:rPr>
        <w:t>:</w:t>
      </w:r>
      <w:r w:rsidR="00C6715D">
        <w:rPr>
          <w:rStyle w:val="FootnoteReference"/>
          <w:rFonts w:ascii="Arial" w:hAnsi="Arial" w:cs="Arial"/>
          <w:i/>
          <w:sz w:val="24"/>
          <w:szCs w:val="24"/>
        </w:rPr>
        <w:footnoteReference w:id="28"/>
      </w:r>
      <w:r w:rsidR="00F95C16">
        <w:rPr>
          <w:rFonts w:ascii="Arial" w:hAnsi="Arial" w:cs="Arial"/>
          <w:i/>
          <w:sz w:val="24"/>
          <w:szCs w:val="24"/>
        </w:rPr>
        <w:t xml:space="preserve"> </w:t>
      </w:r>
    </w:p>
    <w:p w:rsidR="00F95C16" w:rsidRPr="00C6715D" w:rsidRDefault="00F95C16" w:rsidP="00F95C16">
      <w:pPr>
        <w:pStyle w:val="NoSpacing"/>
        <w:spacing w:line="480" w:lineRule="auto"/>
        <w:jc w:val="both"/>
        <w:rPr>
          <w:rFonts w:ascii="Arial" w:hAnsi="Arial" w:cs="Arial"/>
          <w:sz w:val="24"/>
          <w:szCs w:val="24"/>
        </w:rPr>
      </w:pPr>
    </w:p>
    <w:p w:rsidR="00C6715D" w:rsidRPr="004276D5" w:rsidRDefault="00E66C42" w:rsidP="001C5E71">
      <w:pPr>
        <w:pStyle w:val="NoSpacing"/>
        <w:spacing w:line="360" w:lineRule="auto"/>
        <w:ind w:left="720"/>
        <w:jc w:val="both"/>
        <w:rPr>
          <w:rFonts w:ascii="Arial" w:hAnsi="Arial" w:cs="Arial"/>
        </w:rPr>
      </w:pPr>
      <w:r>
        <w:rPr>
          <w:rFonts w:ascii="Arial" w:hAnsi="Arial" w:cs="Arial"/>
        </w:rPr>
        <w:t>‘</w:t>
      </w:r>
      <w:r w:rsidR="004276D5">
        <w:rPr>
          <w:rFonts w:ascii="Arial" w:hAnsi="Arial" w:cs="Arial"/>
        </w:rPr>
        <w:t>The time-honoured principle that no-one shall be the judge in his or her own matter and that the other side should be heard [</w:t>
      </w:r>
      <w:r w:rsidR="004276D5" w:rsidRPr="004276D5">
        <w:rPr>
          <w:rFonts w:ascii="Arial" w:hAnsi="Arial" w:cs="Arial"/>
          <w:i/>
        </w:rPr>
        <w:t>audi alteram partem</w:t>
      </w:r>
      <w:r w:rsidR="004276D5">
        <w:rPr>
          <w:rFonts w:ascii="Arial" w:hAnsi="Arial" w:cs="Arial"/>
        </w:rPr>
        <w:t xml:space="preserve">] aim towards eliminating the proscribed arbitrariness in a way that gives content to the rule of law.  They reach deep down into the adjudication process, attempting to remove bias and ignorance from it. . . . </w:t>
      </w:r>
      <w:r w:rsidR="004276D5" w:rsidRPr="004276D5">
        <w:rPr>
          <w:rFonts w:ascii="Arial" w:hAnsi="Arial" w:cs="Arial"/>
          <w:i/>
        </w:rPr>
        <w:t>Everyone has the right to state his or her own case</w:t>
      </w:r>
      <w:r w:rsidR="004276D5">
        <w:rPr>
          <w:rFonts w:ascii="Arial" w:hAnsi="Arial" w:cs="Arial"/>
        </w:rPr>
        <w:t xml:space="preserve">, not because his or her version is right, and must be accepted, but because, in evaluating the cogency of any argument, the arbiter, still a fallible human being, </w:t>
      </w:r>
      <w:r w:rsidR="004276D5" w:rsidRPr="004276D5">
        <w:rPr>
          <w:rFonts w:ascii="Arial" w:hAnsi="Arial" w:cs="Arial"/>
          <w:i/>
        </w:rPr>
        <w:t>must be informed about the points of view of both parties in order to stand any real chance of coming up with an objectively justifiable conclusion</w:t>
      </w:r>
      <w:r w:rsidR="004276D5">
        <w:rPr>
          <w:rFonts w:ascii="Arial" w:hAnsi="Arial" w:cs="Arial"/>
        </w:rPr>
        <w:t xml:space="preserve"> that is anything more than chance. </w:t>
      </w:r>
      <w:r w:rsidR="004276D5" w:rsidRPr="004276D5">
        <w:rPr>
          <w:rFonts w:ascii="Arial" w:hAnsi="Arial" w:cs="Arial"/>
          <w:i/>
        </w:rPr>
        <w:t>Absent these central and core notions, any procedure that touches in an enduring and far-reaching manner on a vital human interest  . . . points</w:t>
      </w:r>
      <w:r w:rsidR="007077C2">
        <w:rPr>
          <w:rFonts w:ascii="Arial" w:hAnsi="Arial" w:cs="Arial"/>
          <w:i/>
        </w:rPr>
        <w:t xml:space="preserve"> in the direction of violation.</w:t>
      </w:r>
      <w:r w:rsidR="004276D5">
        <w:rPr>
          <w:rFonts w:ascii="Arial" w:hAnsi="Arial" w:cs="Arial"/>
        </w:rPr>
        <w:t xml:space="preserve"> (Emphasis added.)</w:t>
      </w:r>
    </w:p>
    <w:p w:rsidR="008432CB" w:rsidRDefault="008432CB" w:rsidP="008432CB">
      <w:pPr>
        <w:pStyle w:val="NoSpacing"/>
        <w:spacing w:line="480" w:lineRule="auto"/>
        <w:jc w:val="both"/>
        <w:rPr>
          <w:rFonts w:ascii="Arial" w:hAnsi="Arial" w:cs="Arial"/>
          <w:sz w:val="24"/>
          <w:szCs w:val="24"/>
        </w:rPr>
      </w:pPr>
    </w:p>
    <w:p w:rsidR="008432CB" w:rsidRPr="008240AE" w:rsidRDefault="008432CB" w:rsidP="007C2C6F">
      <w:pPr>
        <w:pStyle w:val="NoSpacing"/>
        <w:numPr>
          <w:ilvl w:val="0"/>
          <w:numId w:val="16"/>
        </w:numPr>
        <w:spacing w:line="480" w:lineRule="auto"/>
        <w:ind w:left="0" w:firstLine="0"/>
        <w:jc w:val="both"/>
        <w:rPr>
          <w:rFonts w:ascii="Arial" w:hAnsi="Arial" w:cs="Arial"/>
          <w:sz w:val="24"/>
          <w:szCs w:val="24"/>
        </w:rPr>
      </w:pPr>
      <w:r w:rsidRPr="008240AE">
        <w:rPr>
          <w:rFonts w:ascii="Arial" w:hAnsi="Arial" w:cs="Arial"/>
          <w:sz w:val="24"/>
          <w:szCs w:val="24"/>
        </w:rPr>
        <w:t>The following remarks by Francis Neate,</w:t>
      </w:r>
      <w:r w:rsidRPr="008240AE">
        <w:rPr>
          <w:rStyle w:val="FootnoteReference"/>
          <w:rFonts w:ascii="Arial" w:hAnsi="Arial" w:cs="Arial"/>
          <w:sz w:val="24"/>
          <w:szCs w:val="24"/>
        </w:rPr>
        <w:footnoteReference w:id="29"/>
      </w:r>
      <w:r w:rsidRPr="008240AE">
        <w:rPr>
          <w:rFonts w:ascii="Arial" w:hAnsi="Arial" w:cs="Arial"/>
          <w:sz w:val="24"/>
          <w:szCs w:val="24"/>
        </w:rPr>
        <w:t xml:space="preserve"> in relation to the </w:t>
      </w:r>
      <w:r w:rsidR="003D1C2F">
        <w:rPr>
          <w:rFonts w:ascii="Arial" w:hAnsi="Arial" w:cs="Arial"/>
          <w:sz w:val="24"/>
          <w:szCs w:val="24"/>
        </w:rPr>
        <w:t xml:space="preserve">aforementioned </w:t>
      </w:r>
      <w:r>
        <w:rPr>
          <w:rFonts w:ascii="Arial" w:hAnsi="Arial" w:cs="Arial"/>
          <w:sz w:val="24"/>
          <w:szCs w:val="24"/>
        </w:rPr>
        <w:t xml:space="preserve">foundational values, </w:t>
      </w:r>
      <w:r w:rsidR="00D93444">
        <w:rPr>
          <w:rFonts w:ascii="Arial" w:hAnsi="Arial" w:cs="Arial"/>
          <w:sz w:val="24"/>
          <w:szCs w:val="24"/>
        </w:rPr>
        <w:t xml:space="preserve">also </w:t>
      </w:r>
      <w:r w:rsidR="003D1C2F">
        <w:rPr>
          <w:rFonts w:ascii="Arial" w:hAnsi="Arial" w:cs="Arial"/>
          <w:sz w:val="24"/>
          <w:szCs w:val="24"/>
        </w:rPr>
        <w:t>bear relevance</w:t>
      </w:r>
      <w:r w:rsidRPr="008240AE">
        <w:rPr>
          <w:rFonts w:ascii="Arial" w:hAnsi="Arial" w:cs="Arial"/>
          <w:sz w:val="24"/>
          <w:szCs w:val="24"/>
        </w:rPr>
        <w:t>:</w:t>
      </w:r>
    </w:p>
    <w:p w:rsidR="008432CB" w:rsidRPr="008240AE" w:rsidRDefault="008432CB" w:rsidP="00AA21BF">
      <w:pPr>
        <w:pStyle w:val="QUOTEINFOOTNOTE"/>
        <w:spacing w:line="360" w:lineRule="auto"/>
        <w:rPr>
          <w:rFonts w:ascii="Arial" w:hAnsi="Arial" w:cs="Arial"/>
          <w:sz w:val="24"/>
          <w:szCs w:val="24"/>
        </w:rPr>
      </w:pPr>
    </w:p>
    <w:p w:rsidR="008432CB" w:rsidRPr="008240AE" w:rsidRDefault="00AA21BF" w:rsidP="00AA21BF">
      <w:pPr>
        <w:pStyle w:val="QUOTATION"/>
        <w:rPr>
          <w:rFonts w:ascii="Arial" w:hAnsi="Arial" w:cs="Arial"/>
        </w:rPr>
      </w:pPr>
      <w:r>
        <w:rPr>
          <w:rFonts w:ascii="Arial" w:hAnsi="Arial" w:cs="Arial"/>
        </w:rPr>
        <w:t>‘</w:t>
      </w:r>
      <w:r w:rsidR="008432CB" w:rsidRPr="008240AE">
        <w:rPr>
          <w:rFonts w:ascii="Arial" w:hAnsi="Arial" w:cs="Arial"/>
        </w:rPr>
        <w:t xml:space="preserve">For lawyers throughout the world, the Rule of Law, is our compass, our gravity. It ensures predictability, stability and fairness.  Without it, we cannot function.  Individuals cannot flourish.  Business cannot flourish.  Society </w:t>
      </w:r>
      <w:r w:rsidR="008432CB" w:rsidRPr="008240AE">
        <w:rPr>
          <w:rFonts w:ascii="Arial" w:hAnsi="Arial" w:cs="Arial"/>
        </w:rPr>
        <w:lastRenderedPageBreak/>
        <w:t>cannot grow.  Anywhere it is under attack, lawyers [and I might add, the popul</w:t>
      </w:r>
      <w:r>
        <w:rPr>
          <w:rFonts w:ascii="Arial" w:hAnsi="Arial" w:cs="Arial"/>
        </w:rPr>
        <w:t>ace] everywhere are threatened.’</w:t>
      </w:r>
    </w:p>
    <w:p w:rsidR="00391E15" w:rsidRPr="006B60DA" w:rsidRDefault="00391E15" w:rsidP="00150B5F">
      <w:pPr>
        <w:pStyle w:val="NoSpacing"/>
        <w:spacing w:line="480" w:lineRule="auto"/>
        <w:jc w:val="both"/>
        <w:rPr>
          <w:rFonts w:ascii="Arial" w:hAnsi="Arial" w:cs="Arial"/>
        </w:rPr>
      </w:pPr>
    </w:p>
    <w:p w:rsidR="00FC43E0" w:rsidRPr="0032450F" w:rsidRDefault="003D1C2F"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The Government resp</w:t>
      </w:r>
      <w:r w:rsidR="00504D46">
        <w:rPr>
          <w:rFonts w:ascii="Arial" w:hAnsi="Arial" w:cs="Arial"/>
          <w:sz w:val="24"/>
          <w:szCs w:val="24"/>
        </w:rPr>
        <w:t>ondents</w:t>
      </w:r>
      <w:r w:rsidR="00DA0CF8">
        <w:rPr>
          <w:rFonts w:ascii="Arial" w:hAnsi="Arial" w:cs="Arial"/>
          <w:sz w:val="24"/>
          <w:szCs w:val="24"/>
        </w:rPr>
        <w:t xml:space="preserve"> did </w:t>
      </w:r>
      <w:r>
        <w:rPr>
          <w:rFonts w:ascii="Arial" w:hAnsi="Arial" w:cs="Arial"/>
          <w:sz w:val="24"/>
          <w:szCs w:val="24"/>
        </w:rPr>
        <w:t>not deny that the successful bidders, including th</w:t>
      </w:r>
      <w:r w:rsidR="007C2528">
        <w:rPr>
          <w:rFonts w:ascii="Arial" w:hAnsi="Arial" w:cs="Arial"/>
          <w:sz w:val="24"/>
          <w:szCs w:val="24"/>
        </w:rPr>
        <w:t>e appellants, were not heard or at least</w:t>
      </w:r>
      <w:r>
        <w:rPr>
          <w:rFonts w:ascii="Arial" w:hAnsi="Arial" w:cs="Arial"/>
          <w:sz w:val="24"/>
          <w:szCs w:val="24"/>
        </w:rPr>
        <w:t xml:space="preserve"> afforded an opportunity</w:t>
      </w:r>
      <w:r w:rsidR="007C2528">
        <w:rPr>
          <w:rFonts w:ascii="Arial" w:hAnsi="Arial" w:cs="Arial"/>
          <w:sz w:val="24"/>
          <w:szCs w:val="24"/>
        </w:rPr>
        <w:t xml:space="preserve"> to make written re</w:t>
      </w:r>
      <w:r>
        <w:rPr>
          <w:rFonts w:ascii="Arial" w:hAnsi="Arial" w:cs="Arial"/>
          <w:sz w:val="24"/>
          <w:szCs w:val="24"/>
        </w:rPr>
        <w:t>presentation before the cancellation of th</w:t>
      </w:r>
      <w:r w:rsidR="00504D46">
        <w:rPr>
          <w:rFonts w:ascii="Arial" w:hAnsi="Arial" w:cs="Arial"/>
          <w:sz w:val="24"/>
          <w:szCs w:val="24"/>
        </w:rPr>
        <w:t>e tender</w:t>
      </w:r>
      <w:r w:rsidR="007C2528">
        <w:rPr>
          <w:rFonts w:ascii="Arial" w:hAnsi="Arial" w:cs="Arial"/>
          <w:sz w:val="24"/>
          <w:szCs w:val="24"/>
        </w:rPr>
        <w:t xml:space="preserve"> after the</w:t>
      </w:r>
      <w:r w:rsidR="00504D46">
        <w:rPr>
          <w:rFonts w:ascii="Arial" w:hAnsi="Arial" w:cs="Arial"/>
          <w:sz w:val="24"/>
          <w:szCs w:val="24"/>
        </w:rPr>
        <w:t xml:space="preserve"> awa</w:t>
      </w:r>
      <w:r w:rsidR="005049B3">
        <w:rPr>
          <w:rFonts w:ascii="Arial" w:hAnsi="Arial" w:cs="Arial"/>
          <w:sz w:val="24"/>
          <w:szCs w:val="24"/>
        </w:rPr>
        <w:t>rd.</w:t>
      </w:r>
      <w:r w:rsidR="00504D46">
        <w:rPr>
          <w:rFonts w:ascii="Arial" w:hAnsi="Arial" w:cs="Arial"/>
          <w:sz w:val="24"/>
          <w:szCs w:val="24"/>
        </w:rPr>
        <w:t xml:space="preserve"> </w:t>
      </w:r>
      <w:r w:rsidR="00E4092A">
        <w:rPr>
          <w:rFonts w:ascii="Arial" w:hAnsi="Arial" w:cs="Arial"/>
          <w:sz w:val="24"/>
          <w:szCs w:val="24"/>
        </w:rPr>
        <w:t>The</w:t>
      </w:r>
      <w:r w:rsidR="00661981">
        <w:rPr>
          <w:rFonts w:ascii="Arial" w:hAnsi="Arial" w:cs="Arial"/>
          <w:sz w:val="24"/>
          <w:szCs w:val="24"/>
        </w:rPr>
        <w:t xml:space="preserve"> Board did not deny that it failed to comply with its statutory obligation to inform the successful bidders of its decision to award.  </w:t>
      </w:r>
      <w:r w:rsidR="00DA0CF8">
        <w:rPr>
          <w:rFonts w:ascii="Arial" w:hAnsi="Arial" w:cs="Arial"/>
          <w:sz w:val="24"/>
          <w:szCs w:val="24"/>
        </w:rPr>
        <w:t>Instead, t</w:t>
      </w:r>
      <w:r w:rsidR="0051385D">
        <w:rPr>
          <w:rFonts w:ascii="Arial" w:hAnsi="Arial" w:cs="Arial"/>
          <w:sz w:val="24"/>
          <w:szCs w:val="24"/>
        </w:rPr>
        <w:t>he</w:t>
      </w:r>
      <w:r w:rsidR="00661981">
        <w:rPr>
          <w:rFonts w:ascii="Arial" w:hAnsi="Arial" w:cs="Arial"/>
          <w:sz w:val="24"/>
          <w:szCs w:val="24"/>
        </w:rPr>
        <w:t xml:space="preserve"> Government respondents </w:t>
      </w:r>
      <w:r w:rsidR="0051385D">
        <w:rPr>
          <w:rFonts w:ascii="Arial" w:hAnsi="Arial" w:cs="Arial"/>
          <w:sz w:val="24"/>
          <w:szCs w:val="24"/>
        </w:rPr>
        <w:t xml:space="preserve">made much of the fact that </w:t>
      </w:r>
      <w:r w:rsidR="00661981">
        <w:rPr>
          <w:rFonts w:ascii="Arial" w:hAnsi="Arial" w:cs="Arial"/>
          <w:sz w:val="24"/>
          <w:szCs w:val="24"/>
        </w:rPr>
        <w:t xml:space="preserve">the appellants and other successful bidders </w:t>
      </w:r>
      <w:r w:rsidR="00661981" w:rsidRPr="0032450F">
        <w:rPr>
          <w:rFonts w:ascii="Arial" w:hAnsi="Arial" w:cs="Arial"/>
          <w:sz w:val="24"/>
          <w:szCs w:val="24"/>
        </w:rPr>
        <w:t xml:space="preserve">were not informed.  </w:t>
      </w:r>
    </w:p>
    <w:p w:rsidR="00FC43E0" w:rsidRDefault="00FC43E0" w:rsidP="00FC43E0">
      <w:pPr>
        <w:pStyle w:val="NoSpacing"/>
        <w:spacing w:line="480" w:lineRule="auto"/>
        <w:jc w:val="both"/>
        <w:rPr>
          <w:rFonts w:ascii="Arial" w:hAnsi="Arial" w:cs="Arial"/>
          <w:sz w:val="24"/>
          <w:szCs w:val="24"/>
        </w:rPr>
      </w:pPr>
    </w:p>
    <w:p w:rsidR="00D93444" w:rsidRPr="0032450F" w:rsidRDefault="00661981" w:rsidP="007C2C6F">
      <w:pPr>
        <w:pStyle w:val="NoSpacing"/>
        <w:numPr>
          <w:ilvl w:val="0"/>
          <w:numId w:val="16"/>
        </w:numPr>
        <w:spacing w:line="480" w:lineRule="auto"/>
        <w:ind w:left="0" w:firstLine="0"/>
        <w:jc w:val="both"/>
        <w:rPr>
          <w:rFonts w:ascii="Arial" w:hAnsi="Arial" w:cs="Arial"/>
          <w:sz w:val="24"/>
          <w:szCs w:val="24"/>
        </w:rPr>
      </w:pPr>
      <w:r w:rsidRPr="0032450F">
        <w:rPr>
          <w:rFonts w:ascii="Arial" w:hAnsi="Arial" w:cs="Arial"/>
          <w:sz w:val="24"/>
          <w:szCs w:val="24"/>
        </w:rPr>
        <w:t>Clearly, the Bo</w:t>
      </w:r>
      <w:r w:rsidR="006518FA">
        <w:rPr>
          <w:rFonts w:ascii="Arial" w:hAnsi="Arial" w:cs="Arial"/>
          <w:sz w:val="24"/>
          <w:szCs w:val="24"/>
        </w:rPr>
        <w:t>ard cannot rely on its failure when</w:t>
      </w:r>
      <w:r w:rsidRPr="0032450F">
        <w:rPr>
          <w:rFonts w:ascii="Arial" w:hAnsi="Arial" w:cs="Arial"/>
          <w:sz w:val="24"/>
          <w:szCs w:val="24"/>
        </w:rPr>
        <w:t xml:space="preserve"> perform</w:t>
      </w:r>
      <w:r w:rsidR="006518FA">
        <w:rPr>
          <w:rFonts w:ascii="Arial" w:hAnsi="Arial" w:cs="Arial"/>
          <w:sz w:val="24"/>
          <w:szCs w:val="24"/>
        </w:rPr>
        <w:t>ing</w:t>
      </w:r>
      <w:r w:rsidRPr="0032450F">
        <w:rPr>
          <w:rFonts w:ascii="Arial" w:hAnsi="Arial" w:cs="Arial"/>
          <w:sz w:val="24"/>
          <w:szCs w:val="24"/>
        </w:rPr>
        <w:t xml:space="preserve"> a mandatory function</w:t>
      </w:r>
      <w:r w:rsidR="0097703F" w:rsidRPr="0032450F">
        <w:rPr>
          <w:rFonts w:ascii="Arial" w:hAnsi="Arial" w:cs="Arial"/>
          <w:sz w:val="24"/>
          <w:szCs w:val="24"/>
        </w:rPr>
        <w:t xml:space="preserve"> </w:t>
      </w:r>
      <w:r w:rsidR="006518FA">
        <w:rPr>
          <w:rFonts w:ascii="Arial" w:hAnsi="Arial" w:cs="Arial"/>
          <w:sz w:val="24"/>
          <w:szCs w:val="24"/>
        </w:rPr>
        <w:t>and</w:t>
      </w:r>
      <w:r w:rsidRPr="0032450F">
        <w:rPr>
          <w:rFonts w:ascii="Arial" w:hAnsi="Arial" w:cs="Arial"/>
          <w:sz w:val="24"/>
          <w:szCs w:val="24"/>
        </w:rPr>
        <w:t xml:space="preserve"> assert that the successful tendere</w:t>
      </w:r>
      <w:r w:rsidR="0097703F" w:rsidRPr="0032450F">
        <w:rPr>
          <w:rFonts w:ascii="Arial" w:hAnsi="Arial" w:cs="Arial"/>
          <w:sz w:val="24"/>
          <w:szCs w:val="24"/>
        </w:rPr>
        <w:t>r</w:t>
      </w:r>
      <w:r w:rsidR="00AA21BF" w:rsidRPr="0032450F">
        <w:rPr>
          <w:rFonts w:ascii="Arial" w:hAnsi="Arial" w:cs="Arial"/>
          <w:sz w:val="24"/>
          <w:szCs w:val="24"/>
        </w:rPr>
        <w:t xml:space="preserve">s were not informed. </w:t>
      </w:r>
      <w:r w:rsidR="00FE5917" w:rsidRPr="0032450F">
        <w:rPr>
          <w:rFonts w:ascii="Arial" w:hAnsi="Arial" w:cs="Arial"/>
          <w:sz w:val="24"/>
          <w:szCs w:val="24"/>
        </w:rPr>
        <w:t>The</w:t>
      </w:r>
      <w:r w:rsidR="006518FA">
        <w:rPr>
          <w:rFonts w:ascii="Arial" w:hAnsi="Arial" w:cs="Arial"/>
          <w:sz w:val="24"/>
          <w:szCs w:val="24"/>
        </w:rPr>
        <w:t xml:space="preserve"> Government respondents</w:t>
      </w:r>
      <w:r w:rsidR="00DD1BCD" w:rsidRPr="0032450F">
        <w:rPr>
          <w:rFonts w:ascii="Arial" w:hAnsi="Arial" w:cs="Arial"/>
          <w:sz w:val="24"/>
          <w:szCs w:val="24"/>
        </w:rPr>
        <w:t xml:space="preserve"> contended that because of the impropriety and al</w:t>
      </w:r>
      <w:r w:rsidR="00E4092A" w:rsidRPr="0032450F">
        <w:rPr>
          <w:rFonts w:ascii="Arial" w:hAnsi="Arial" w:cs="Arial"/>
          <w:sz w:val="24"/>
          <w:szCs w:val="24"/>
        </w:rPr>
        <w:t xml:space="preserve">legations </w:t>
      </w:r>
      <w:r w:rsidR="006518FA">
        <w:rPr>
          <w:rFonts w:ascii="Arial" w:hAnsi="Arial" w:cs="Arial"/>
          <w:sz w:val="24"/>
          <w:szCs w:val="24"/>
        </w:rPr>
        <w:t xml:space="preserve">of </w:t>
      </w:r>
      <w:r w:rsidR="00E4092A" w:rsidRPr="0032450F">
        <w:rPr>
          <w:rFonts w:ascii="Arial" w:hAnsi="Arial" w:cs="Arial"/>
          <w:sz w:val="24"/>
          <w:szCs w:val="24"/>
        </w:rPr>
        <w:t xml:space="preserve">corruption the </w:t>
      </w:r>
      <w:r w:rsidR="00DD1BCD" w:rsidRPr="0032450F">
        <w:rPr>
          <w:rFonts w:ascii="Arial" w:hAnsi="Arial" w:cs="Arial"/>
          <w:sz w:val="24"/>
          <w:szCs w:val="24"/>
        </w:rPr>
        <w:t xml:space="preserve">Board and the Ministry acted responsibly and in line </w:t>
      </w:r>
      <w:r w:rsidR="00DA0CF8" w:rsidRPr="0032450F">
        <w:rPr>
          <w:rFonts w:ascii="Arial" w:hAnsi="Arial" w:cs="Arial"/>
          <w:sz w:val="24"/>
          <w:szCs w:val="24"/>
        </w:rPr>
        <w:t>with their</w:t>
      </w:r>
      <w:r w:rsidR="00DD1BCD" w:rsidRPr="0032450F">
        <w:rPr>
          <w:rFonts w:ascii="Arial" w:hAnsi="Arial" w:cs="Arial"/>
          <w:sz w:val="24"/>
          <w:szCs w:val="24"/>
        </w:rPr>
        <w:t xml:space="preserve"> constitutional duty by bringing about the cancellation of the tender to obviate any impression that the State condoned or is i</w:t>
      </w:r>
      <w:r w:rsidR="005049B3">
        <w:rPr>
          <w:rFonts w:ascii="Arial" w:hAnsi="Arial" w:cs="Arial"/>
          <w:sz w:val="24"/>
          <w:szCs w:val="24"/>
        </w:rPr>
        <w:t>ndifferent to such wrong-doing.</w:t>
      </w:r>
      <w:r w:rsidR="00D93444" w:rsidRPr="0032450F">
        <w:rPr>
          <w:rFonts w:ascii="Arial" w:hAnsi="Arial" w:cs="Arial"/>
          <w:sz w:val="24"/>
          <w:szCs w:val="24"/>
        </w:rPr>
        <w:t xml:space="preserve"> </w:t>
      </w:r>
      <w:r w:rsidRPr="0032450F">
        <w:rPr>
          <w:rFonts w:ascii="Arial" w:hAnsi="Arial" w:cs="Arial"/>
          <w:sz w:val="24"/>
          <w:szCs w:val="24"/>
        </w:rPr>
        <w:t xml:space="preserve">Once it is accepted that the tenderers should have been informed, they were entitled to be heard when the Board afterwards considered cancellation of the tender, even in an attenuated manner, such as inviting the affected tenderers to make written representations within a certain period. </w:t>
      </w:r>
      <w:r w:rsidR="0097703F" w:rsidRPr="0032450F">
        <w:rPr>
          <w:rFonts w:ascii="Arial" w:hAnsi="Arial" w:cs="Arial"/>
          <w:sz w:val="24"/>
          <w:szCs w:val="24"/>
        </w:rPr>
        <w:t>This</w:t>
      </w:r>
      <w:r w:rsidR="00FC43E0" w:rsidRPr="0032450F">
        <w:rPr>
          <w:rFonts w:ascii="Arial" w:hAnsi="Arial" w:cs="Arial"/>
          <w:sz w:val="24"/>
          <w:szCs w:val="24"/>
        </w:rPr>
        <w:t>,</w:t>
      </w:r>
      <w:r w:rsidR="0097703F" w:rsidRPr="0032450F">
        <w:rPr>
          <w:rFonts w:ascii="Arial" w:hAnsi="Arial" w:cs="Arial"/>
          <w:sz w:val="24"/>
          <w:szCs w:val="24"/>
        </w:rPr>
        <w:t xml:space="preserve"> also</w:t>
      </w:r>
      <w:r w:rsidR="00FC43E0" w:rsidRPr="0032450F">
        <w:rPr>
          <w:rFonts w:ascii="Arial" w:hAnsi="Arial" w:cs="Arial"/>
          <w:sz w:val="24"/>
          <w:szCs w:val="24"/>
        </w:rPr>
        <w:t>,</w:t>
      </w:r>
      <w:r w:rsidR="0097703F" w:rsidRPr="0032450F">
        <w:rPr>
          <w:rFonts w:ascii="Arial" w:hAnsi="Arial" w:cs="Arial"/>
          <w:sz w:val="24"/>
          <w:szCs w:val="24"/>
        </w:rPr>
        <w:t xml:space="preserve"> did not happen.</w:t>
      </w:r>
    </w:p>
    <w:p w:rsidR="00D93444" w:rsidRPr="0032450F" w:rsidRDefault="00D93444" w:rsidP="00D93444">
      <w:pPr>
        <w:pStyle w:val="NoSpacing"/>
        <w:spacing w:line="480" w:lineRule="auto"/>
        <w:jc w:val="both"/>
        <w:rPr>
          <w:rFonts w:ascii="Arial" w:hAnsi="Arial" w:cs="Arial"/>
          <w:sz w:val="24"/>
          <w:szCs w:val="24"/>
        </w:rPr>
      </w:pPr>
    </w:p>
    <w:p w:rsidR="00D93444" w:rsidRPr="0032450F" w:rsidRDefault="00D93444" w:rsidP="007C2C6F">
      <w:pPr>
        <w:pStyle w:val="NoSpacing"/>
        <w:numPr>
          <w:ilvl w:val="0"/>
          <w:numId w:val="16"/>
        </w:numPr>
        <w:spacing w:line="480" w:lineRule="auto"/>
        <w:ind w:left="0" w:firstLine="0"/>
        <w:jc w:val="both"/>
        <w:rPr>
          <w:rFonts w:ascii="Arial" w:hAnsi="Arial" w:cs="Arial"/>
          <w:sz w:val="24"/>
          <w:szCs w:val="24"/>
        </w:rPr>
      </w:pPr>
      <w:r w:rsidRPr="0032450F">
        <w:rPr>
          <w:rFonts w:ascii="Arial" w:hAnsi="Arial" w:cs="Arial"/>
          <w:sz w:val="24"/>
          <w:szCs w:val="24"/>
        </w:rPr>
        <w:t>The Government respondents thus submitted that a rational basis existed for the cancellation of a tender and that the appellants were thus not</w:t>
      </w:r>
      <w:r w:rsidR="00A90C27">
        <w:rPr>
          <w:rFonts w:ascii="Arial" w:hAnsi="Arial" w:cs="Arial"/>
          <w:sz w:val="24"/>
          <w:szCs w:val="24"/>
        </w:rPr>
        <w:t xml:space="preserve"> entitled to be heard. </w:t>
      </w:r>
      <w:r w:rsidRPr="0032450F">
        <w:rPr>
          <w:rFonts w:ascii="Arial" w:hAnsi="Arial" w:cs="Arial"/>
          <w:sz w:val="24"/>
          <w:szCs w:val="24"/>
        </w:rPr>
        <w:lastRenderedPageBreak/>
        <w:t xml:space="preserve">In light of the core notions articulately set out by this </w:t>
      </w:r>
      <w:r w:rsidR="00662971">
        <w:rPr>
          <w:rFonts w:ascii="Arial" w:hAnsi="Arial" w:cs="Arial"/>
          <w:sz w:val="24"/>
          <w:szCs w:val="24"/>
        </w:rPr>
        <w:t>Court</w:t>
      </w:r>
      <w:r w:rsidRPr="0032450F">
        <w:rPr>
          <w:rFonts w:ascii="Arial" w:hAnsi="Arial" w:cs="Arial"/>
          <w:sz w:val="24"/>
          <w:szCs w:val="24"/>
        </w:rPr>
        <w:t>, per</w:t>
      </w:r>
      <w:r w:rsidR="00471492" w:rsidRPr="0032450F">
        <w:rPr>
          <w:rFonts w:ascii="Arial" w:hAnsi="Arial" w:cs="Arial"/>
          <w:sz w:val="24"/>
          <w:szCs w:val="24"/>
        </w:rPr>
        <w:t xml:space="preserve"> Shivute CJ,</w:t>
      </w:r>
      <w:r w:rsidRPr="0032450F">
        <w:rPr>
          <w:rFonts w:ascii="Arial" w:hAnsi="Arial" w:cs="Arial"/>
          <w:sz w:val="24"/>
          <w:szCs w:val="24"/>
        </w:rPr>
        <w:t xml:space="preserve"> in </w:t>
      </w:r>
      <w:r w:rsidRPr="0032450F">
        <w:rPr>
          <w:rFonts w:ascii="Arial" w:hAnsi="Arial" w:cs="Arial"/>
          <w:i/>
          <w:sz w:val="24"/>
          <w:szCs w:val="24"/>
        </w:rPr>
        <w:t xml:space="preserve">Rally for Democracy </w:t>
      </w:r>
      <w:r w:rsidRPr="0032450F">
        <w:rPr>
          <w:rFonts w:ascii="Arial" w:hAnsi="Arial" w:cs="Arial"/>
          <w:sz w:val="24"/>
          <w:szCs w:val="24"/>
        </w:rPr>
        <w:t xml:space="preserve">and the Constitutional </w:t>
      </w:r>
      <w:r w:rsidR="00662971">
        <w:rPr>
          <w:rFonts w:ascii="Arial" w:hAnsi="Arial" w:cs="Arial"/>
          <w:sz w:val="24"/>
          <w:szCs w:val="24"/>
        </w:rPr>
        <w:t>Court</w:t>
      </w:r>
      <w:r w:rsidRPr="0032450F">
        <w:rPr>
          <w:rFonts w:ascii="Arial" w:hAnsi="Arial" w:cs="Arial"/>
          <w:sz w:val="24"/>
          <w:szCs w:val="24"/>
        </w:rPr>
        <w:t xml:space="preserve"> of South Africa in </w:t>
      </w:r>
      <w:r w:rsidRPr="0032450F">
        <w:rPr>
          <w:rFonts w:ascii="Arial" w:hAnsi="Arial" w:cs="Arial"/>
          <w:i/>
          <w:sz w:val="24"/>
          <w:szCs w:val="24"/>
        </w:rPr>
        <w:t xml:space="preserve">De </w:t>
      </w:r>
      <w:r w:rsidR="00FC43E0" w:rsidRPr="0032450F">
        <w:rPr>
          <w:rFonts w:ascii="Arial" w:hAnsi="Arial" w:cs="Arial"/>
          <w:sz w:val="24"/>
          <w:szCs w:val="24"/>
        </w:rPr>
        <w:t xml:space="preserve">Lange </w:t>
      </w:r>
      <w:r w:rsidRPr="0032450F">
        <w:rPr>
          <w:rFonts w:ascii="Arial" w:hAnsi="Arial" w:cs="Arial"/>
          <w:sz w:val="24"/>
          <w:szCs w:val="24"/>
        </w:rPr>
        <w:t>the Government respondents’ approac</w:t>
      </w:r>
      <w:r w:rsidR="00A90C27">
        <w:rPr>
          <w:rFonts w:ascii="Arial" w:hAnsi="Arial" w:cs="Arial"/>
          <w:sz w:val="24"/>
          <w:szCs w:val="24"/>
        </w:rPr>
        <w:t xml:space="preserve">h is unquestionably untenable. </w:t>
      </w:r>
      <w:r w:rsidR="00CF40E9" w:rsidRPr="0032450F">
        <w:rPr>
          <w:rFonts w:ascii="Arial" w:hAnsi="Arial" w:cs="Arial"/>
          <w:sz w:val="24"/>
          <w:szCs w:val="24"/>
        </w:rPr>
        <w:t xml:space="preserve">That approach, borrowing the words used in </w:t>
      </w:r>
      <w:r w:rsidR="00CF40E9" w:rsidRPr="0032450F">
        <w:rPr>
          <w:rFonts w:ascii="Arial" w:hAnsi="Arial" w:cs="Arial"/>
          <w:i/>
          <w:sz w:val="24"/>
          <w:szCs w:val="24"/>
        </w:rPr>
        <w:t>De Lange</w:t>
      </w:r>
      <w:r w:rsidR="00A90C27">
        <w:rPr>
          <w:rFonts w:ascii="Arial" w:hAnsi="Arial" w:cs="Arial"/>
          <w:i/>
          <w:sz w:val="24"/>
          <w:szCs w:val="24"/>
        </w:rPr>
        <w:t>,</w:t>
      </w:r>
      <w:r w:rsidR="00CF40E9" w:rsidRPr="0032450F">
        <w:rPr>
          <w:rFonts w:ascii="Arial" w:hAnsi="Arial" w:cs="Arial"/>
          <w:sz w:val="24"/>
          <w:szCs w:val="24"/>
        </w:rPr>
        <w:t xml:space="preserve"> </w:t>
      </w:r>
      <w:r w:rsidRPr="0032450F">
        <w:rPr>
          <w:rFonts w:ascii="Arial" w:hAnsi="Arial" w:cs="Arial"/>
          <w:sz w:val="24"/>
          <w:szCs w:val="24"/>
        </w:rPr>
        <w:t>touched in an enduring and far-reaching manner on vital human interest that pointed</w:t>
      </w:r>
      <w:r w:rsidR="00CF40E9" w:rsidRPr="0032450F">
        <w:rPr>
          <w:rFonts w:ascii="Arial" w:hAnsi="Arial" w:cs="Arial"/>
          <w:sz w:val="24"/>
          <w:szCs w:val="24"/>
        </w:rPr>
        <w:t xml:space="preserve"> in the direction of violation.</w:t>
      </w:r>
      <w:r w:rsidR="00CF40E9" w:rsidRPr="0032450F">
        <w:rPr>
          <w:rStyle w:val="FootnoteReference"/>
          <w:rFonts w:ascii="Arial" w:hAnsi="Arial" w:cs="Arial"/>
          <w:sz w:val="24"/>
          <w:szCs w:val="24"/>
        </w:rPr>
        <w:footnoteReference w:id="30"/>
      </w:r>
      <w:r w:rsidRPr="0032450F">
        <w:rPr>
          <w:rFonts w:ascii="Arial" w:hAnsi="Arial" w:cs="Arial"/>
          <w:sz w:val="24"/>
          <w:szCs w:val="24"/>
        </w:rPr>
        <w:t xml:space="preserve"> </w:t>
      </w:r>
    </w:p>
    <w:p w:rsidR="00D93444" w:rsidRPr="0032450F" w:rsidRDefault="00D93444" w:rsidP="00D93444">
      <w:pPr>
        <w:pStyle w:val="NoSpacing"/>
        <w:spacing w:line="480" w:lineRule="auto"/>
        <w:jc w:val="both"/>
        <w:rPr>
          <w:rFonts w:ascii="Arial" w:hAnsi="Arial" w:cs="Arial"/>
          <w:sz w:val="24"/>
          <w:szCs w:val="24"/>
        </w:rPr>
      </w:pPr>
    </w:p>
    <w:p w:rsidR="00A657A6" w:rsidRPr="003607D4" w:rsidRDefault="00D93444" w:rsidP="007C2C6F">
      <w:pPr>
        <w:pStyle w:val="NoSpacing"/>
        <w:numPr>
          <w:ilvl w:val="0"/>
          <w:numId w:val="16"/>
        </w:numPr>
        <w:spacing w:line="480" w:lineRule="auto"/>
        <w:ind w:left="0" w:firstLine="0"/>
        <w:jc w:val="both"/>
        <w:rPr>
          <w:rFonts w:ascii="Arial" w:hAnsi="Arial" w:cs="Arial"/>
          <w:sz w:val="24"/>
          <w:szCs w:val="24"/>
        </w:rPr>
      </w:pPr>
      <w:r w:rsidRPr="0032450F">
        <w:rPr>
          <w:rFonts w:ascii="Arial" w:hAnsi="Arial" w:cs="Arial"/>
          <w:sz w:val="24"/>
          <w:szCs w:val="24"/>
        </w:rPr>
        <w:t xml:space="preserve">The High </w:t>
      </w:r>
      <w:r w:rsidR="00662971">
        <w:rPr>
          <w:rFonts w:ascii="Arial" w:hAnsi="Arial" w:cs="Arial"/>
          <w:sz w:val="24"/>
          <w:szCs w:val="24"/>
        </w:rPr>
        <w:t>Court</w:t>
      </w:r>
      <w:r w:rsidRPr="0032450F">
        <w:rPr>
          <w:rFonts w:ascii="Arial" w:hAnsi="Arial" w:cs="Arial"/>
          <w:sz w:val="24"/>
          <w:szCs w:val="24"/>
        </w:rPr>
        <w:t xml:space="preserve"> relied on </w:t>
      </w:r>
      <w:r w:rsidRPr="0032450F">
        <w:rPr>
          <w:rFonts w:ascii="Arial" w:hAnsi="Arial" w:cs="Arial"/>
          <w:i/>
          <w:sz w:val="24"/>
          <w:szCs w:val="24"/>
        </w:rPr>
        <w:t>Heath</w:t>
      </w:r>
      <w:r w:rsidR="001433A0" w:rsidRPr="0032450F">
        <w:rPr>
          <w:rFonts w:ascii="Arial" w:hAnsi="Arial" w:cs="Arial"/>
          <w:i/>
          <w:sz w:val="24"/>
          <w:szCs w:val="24"/>
        </w:rPr>
        <w:t>,</w:t>
      </w:r>
      <w:r w:rsidR="00BA60DC" w:rsidRPr="0032450F">
        <w:rPr>
          <w:rStyle w:val="FootnoteReference"/>
          <w:rFonts w:ascii="Arial" w:hAnsi="Arial" w:cs="Arial"/>
          <w:i/>
          <w:sz w:val="24"/>
          <w:szCs w:val="24"/>
        </w:rPr>
        <w:footnoteReference w:id="31"/>
      </w:r>
      <w:r w:rsidRPr="0032450F">
        <w:rPr>
          <w:rFonts w:ascii="Arial" w:hAnsi="Arial" w:cs="Arial"/>
          <w:sz w:val="24"/>
          <w:szCs w:val="24"/>
        </w:rPr>
        <w:t xml:space="preserve"> in concluding, on the procedural aspect, that the Board was bound to cancel the tender without affording the appellants an opport</w:t>
      </w:r>
      <w:r w:rsidRPr="003607D4">
        <w:rPr>
          <w:rFonts w:ascii="Arial" w:hAnsi="Arial" w:cs="Arial"/>
          <w:sz w:val="24"/>
          <w:szCs w:val="24"/>
        </w:rPr>
        <w:t>unity to be heard and that it did not act unfairly because of the allegation of impropriety and corruption.</w:t>
      </w:r>
      <w:r>
        <w:rPr>
          <w:rStyle w:val="FootnoteReference"/>
          <w:rFonts w:ascii="Arial" w:hAnsi="Arial" w:cs="Arial"/>
          <w:sz w:val="24"/>
          <w:szCs w:val="24"/>
        </w:rPr>
        <w:footnoteReference w:id="32"/>
      </w:r>
      <w:r w:rsidRPr="003607D4">
        <w:rPr>
          <w:rFonts w:ascii="Arial" w:hAnsi="Arial" w:cs="Arial"/>
          <w:sz w:val="24"/>
          <w:szCs w:val="24"/>
        </w:rPr>
        <w:t xml:space="preserve"> </w:t>
      </w:r>
      <w:r w:rsidRPr="003607D4">
        <w:rPr>
          <w:rFonts w:ascii="Arial" w:hAnsi="Arial" w:cs="Arial"/>
          <w:i/>
          <w:sz w:val="24"/>
          <w:szCs w:val="24"/>
        </w:rPr>
        <w:t>Heath</w:t>
      </w:r>
      <w:r w:rsidRPr="003607D4">
        <w:rPr>
          <w:rFonts w:ascii="Arial" w:hAnsi="Arial" w:cs="Arial"/>
          <w:sz w:val="24"/>
          <w:szCs w:val="24"/>
        </w:rPr>
        <w:t xml:space="preserve"> does not countenance illegality</w:t>
      </w:r>
      <w:r w:rsidR="002C2C1C">
        <w:rPr>
          <w:rFonts w:ascii="Arial" w:hAnsi="Arial" w:cs="Arial"/>
          <w:sz w:val="24"/>
          <w:szCs w:val="24"/>
        </w:rPr>
        <w:t xml:space="preserve"> of this kind</w:t>
      </w:r>
      <w:r w:rsidR="001F3E8A">
        <w:rPr>
          <w:rFonts w:ascii="Arial" w:hAnsi="Arial" w:cs="Arial"/>
          <w:sz w:val="24"/>
          <w:szCs w:val="24"/>
        </w:rPr>
        <w:t>.</w:t>
      </w:r>
      <w:r w:rsidRPr="003607D4">
        <w:rPr>
          <w:rFonts w:ascii="Arial" w:hAnsi="Arial" w:cs="Arial"/>
          <w:sz w:val="24"/>
          <w:szCs w:val="24"/>
        </w:rPr>
        <w:t xml:space="preserve"> </w:t>
      </w:r>
      <w:r w:rsidR="004843CD" w:rsidRPr="003607D4">
        <w:rPr>
          <w:rFonts w:ascii="Arial" w:hAnsi="Arial" w:cs="Arial"/>
          <w:sz w:val="24"/>
          <w:szCs w:val="24"/>
        </w:rPr>
        <w:t>I</w:t>
      </w:r>
      <w:r w:rsidR="00340615" w:rsidRPr="003607D4">
        <w:rPr>
          <w:rFonts w:ascii="Arial" w:hAnsi="Arial" w:cs="Arial"/>
          <w:sz w:val="24"/>
          <w:szCs w:val="24"/>
        </w:rPr>
        <w:t xml:space="preserve">t is </w:t>
      </w:r>
      <w:r w:rsidR="00A5163D" w:rsidRPr="00A5163D">
        <w:rPr>
          <w:rFonts w:ascii="Arial" w:hAnsi="Arial" w:cs="Arial"/>
          <w:sz w:val="24"/>
          <w:szCs w:val="24"/>
        </w:rPr>
        <w:t>distinguishable</w:t>
      </w:r>
      <w:r w:rsidR="001F3E8A">
        <w:rPr>
          <w:rFonts w:ascii="Arial" w:hAnsi="Arial" w:cs="Arial"/>
          <w:sz w:val="24"/>
          <w:szCs w:val="24"/>
        </w:rPr>
        <w:t xml:space="preserve"> from this case.</w:t>
      </w:r>
      <w:r w:rsidR="002E565D" w:rsidRPr="00A5163D">
        <w:rPr>
          <w:rFonts w:ascii="Arial" w:hAnsi="Arial" w:cs="Arial"/>
          <w:sz w:val="24"/>
          <w:szCs w:val="24"/>
        </w:rPr>
        <w:t xml:space="preserve"> </w:t>
      </w:r>
      <w:r w:rsidR="004843CD" w:rsidRPr="00A5163D">
        <w:rPr>
          <w:rFonts w:ascii="Arial" w:hAnsi="Arial" w:cs="Arial"/>
          <w:sz w:val="24"/>
          <w:szCs w:val="24"/>
        </w:rPr>
        <w:t>In any event,</w:t>
      </w:r>
      <w:r w:rsidR="002E565D" w:rsidRPr="00A5163D">
        <w:rPr>
          <w:rFonts w:ascii="Arial" w:hAnsi="Arial" w:cs="Arial"/>
          <w:sz w:val="24"/>
          <w:szCs w:val="24"/>
        </w:rPr>
        <w:t xml:space="preserve"> the Government respondents maintained that the appellants were disqualified be</w:t>
      </w:r>
      <w:r w:rsidR="002C2C1C" w:rsidRPr="00A5163D">
        <w:rPr>
          <w:rFonts w:ascii="Arial" w:hAnsi="Arial" w:cs="Arial"/>
          <w:sz w:val="24"/>
          <w:szCs w:val="24"/>
        </w:rPr>
        <w:t>c</w:t>
      </w:r>
      <w:r w:rsidR="002E565D" w:rsidRPr="00A5163D">
        <w:rPr>
          <w:rFonts w:ascii="Arial" w:hAnsi="Arial" w:cs="Arial"/>
          <w:sz w:val="24"/>
          <w:szCs w:val="24"/>
        </w:rPr>
        <w:t xml:space="preserve">ause </w:t>
      </w:r>
      <w:r w:rsidR="003607D4" w:rsidRPr="00A5163D">
        <w:rPr>
          <w:rFonts w:ascii="Arial" w:hAnsi="Arial" w:cs="Arial"/>
          <w:sz w:val="24"/>
          <w:szCs w:val="24"/>
        </w:rPr>
        <w:t>they did not comply with one important condition</w:t>
      </w:r>
      <w:r w:rsidR="00A5163D" w:rsidRPr="00A5163D">
        <w:rPr>
          <w:rFonts w:ascii="Arial" w:hAnsi="Arial" w:cs="Arial"/>
          <w:sz w:val="24"/>
          <w:szCs w:val="24"/>
        </w:rPr>
        <w:t xml:space="preserve">: </w:t>
      </w:r>
      <w:r w:rsidR="003607D4" w:rsidRPr="00A5163D">
        <w:rPr>
          <w:rFonts w:ascii="Arial" w:hAnsi="Arial" w:cs="Arial"/>
          <w:sz w:val="24"/>
          <w:szCs w:val="24"/>
        </w:rPr>
        <w:t>that each tenderer must include in its bid spec</w:t>
      </w:r>
      <w:r w:rsidR="00FC43E0">
        <w:rPr>
          <w:rFonts w:ascii="Arial" w:hAnsi="Arial" w:cs="Arial"/>
          <w:sz w:val="24"/>
          <w:szCs w:val="24"/>
        </w:rPr>
        <w:t>ial school hostels per region</w:t>
      </w:r>
      <w:r w:rsidR="003607D4" w:rsidRPr="00A5163D">
        <w:rPr>
          <w:rFonts w:ascii="Arial" w:hAnsi="Arial" w:cs="Arial"/>
          <w:sz w:val="24"/>
          <w:szCs w:val="24"/>
        </w:rPr>
        <w:t xml:space="preserve">.  </w:t>
      </w:r>
    </w:p>
    <w:p w:rsidR="003607D4" w:rsidRPr="003607D4" w:rsidRDefault="003607D4" w:rsidP="003607D4">
      <w:pPr>
        <w:rPr>
          <w:rFonts w:ascii="Arial" w:hAnsi="Arial" w:cs="Arial"/>
          <w:sz w:val="24"/>
          <w:szCs w:val="24"/>
        </w:rPr>
      </w:pPr>
    </w:p>
    <w:p w:rsidR="00A873CA" w:rsidRDefault="00506E90"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A</w:t>
      </w:r>
      <w:r w:rsidR="00AA6BF1">
        <w:rPr>
          <w:rFonts w:ascii="Arial" w:hAnsi="Arial" w:cs="Arial"/>
          <w:sz w:val="24"/>
          <w:szCs w:val="24"/>
        </w:rPr>
        <w:t xml:space="preserve">s evident </w:t>
      </w:r>
      <w:r>
        <w:rPr>
          <w:rFonts w:ascii="Arial" w:hAnsi="Arial" w:cs="Arial"/>
          <w:sz w:val="24"/>
          <w:szCs w:val="24"/>
        </w:rPr>
        <w:t>from the</w:t>
      </w:r>
      <w:r w:rsidR="00AA6BF1">
        <w:rPr>
          <w:rFonts w:ascii="Arial" w:hAnsi="Arial" w:cs="Arial"/>
          <w:sz w:val="24"/>
          <w:szCs w:val="24"/>
        </w:rPr>
        <w:t>ir opposing papers,</w:t>
      </w:r>
      <w:r>
        <w:rPr>
          <w:rFonts w:ascii="Arial" w:hAnsi="Arial" w:cs="Arial"/>
          <w:sz w:val="24"/>
          <w:szCs w:val="24"/>
        </w:rPr>
        <w:t xml:space="preserve"> The Government respondents</w:t>
      </w:r>
      <w:r w:rsidR="00AA6BF1">
        <w:rPr>
          <w:rFonts w:ascii="Arial" w:hAnsi="Arial" w:cs="Arial"/>
          <w:sz w:val="24"/>
          <w:szCs w:val="24"/>
        </w:rPr>
        <w:t xml:space="preserve"> </w:t>
      </w:r>
      <w:r w:rsidR="00D237A3">
        <w:rPr>
          <w:rFonts w:ascii="Arial" w:hAnsi="Arial" w:cs="Arial"/>
          <w:sz w:val="24"/>
          <w:szCs w:val="24"/>
        </w:rPr>
        <w:t>remained steadfast that the successful bidders had no right, in law or under the Constitution, to the award of a tender because a tender is an invitation to do business and not a righ</w:t>
      </w:r>
      <w:r w:rsidR="001F3E8A">
        <w:rPr>
          <w:rFonts w:ascii="Arial" w:hAnsi="Arial" w:cs="Arial"/>
          <w:sz w:val="24"/>
          <w:szCs w:val="24"/>
        </w:rPr>
        <w:t xml:space="preserve">t to be awarded a contract. </w:t>
      </w:r>
      <w:r w:rsidR="001433A0">
        <w:rPr>
          <w:rFonts w:ascii="Arial" w:hAnsi="Arial" w:cs="Arial"/>
          <w:sz w:val="24"/>
          <w:szCs w:val="24"/>
        </w:rPr>
        <w:t>This</w:t>
      </w:r>
      <w:r w:rsidR="00D237A3">
        <w:rPr>
          <w:rFonts w:ascii="Arial" w:hAnsi="Arial" w:cs="Arial"/>
          <w:sz w:val="24"/>
          <w:szCs w:val="24"/>
        </w:rPr>
        <w:t xml:space="preserve"> proposition is</w:t>
      </w:r>
      <w:r w:rsidR="001433A0">
        <w:rPr>
          <w:rFonts w:ascii="Arial" w:hAnsi="Arial" w:cs="Arial"/>
          <w:sz w:val="24"/>
          <w:szCs w:val="24"/>
        </w:rPr>
        <w:t>, under the circumstances of this case,</w:t>
      </w:r>
      <w:r w:rsidR="00D237A3">
        <w:rPr>
          <w:rFonts w:ascii="Arial" w:hAnsi="Arial" w:cs="Arial"/>
          <w:sz w:val="24"/>
          <w:szCs w:val="24"/>
        </w:rPr>
        <w:t xml:space="preserve"> demonstrably flawed: T</w:t>
      </w:r>
      <w:r w:rsidR="00A657A6">
        <w:rPr>
          <w:rFonts w:ascii="Arial" w:hAnsi="Arial" w:cs="Arial"/>
          <w:sz w:val="24"/>
          <w:szCs w:val="24"/>
        </w:rPr>
        <w:t>he issue is not whether the appella</w:t>
      </w:r>
      <w:r w:rsidR="00D237A3">
        <w:rPr>
          <w:rFonts w:ascii="Arial" w:hAnsi="Arial" w:cs="Arial"/>
          <w:sz w:val="24"/>
          <w:szCs w:val="24"/>
        </w:rPr>
        <w:t>nts h</w:t>
      </w:r>
      <w:r w:rsidR="00A657A6">
        <w:rPr>
          <w:rFonts w:ascii="Arial" w:hAnsi="Arial" w:cs="Arial"/>
          <w:sz w:val="24"/>
          <w:szCs w:val="24"/>
        </w:rPr>
        <w:t xml:space="preserve">ad </w:t>
      </w:r>
      <w:r w:rsidR="00D237A3">
        <w:rPr>
          <w:rFonts w:ascii="Arial" w:hAnsi="Arial" w:cs="Arial"/>
          <w:sz w:val="24"/>
          <w:szCs w:val="24"/>
        </w:rPr>
        <w:t>a right to be awar</w:t>
      </w:r>
      <w:r w:rsidR="001433A0">
        <w:rPr>
          <w:rFonts w:ascii="Arial" w:hAnsi="Arial" w:cs="Arial"/>
          <w:sz w:val="24"/>
          <w:szCs w:val="24"/>
        </w:rPr>
        <w:t>ded a tender contract.</w:t>
      </w:r>
      <w:r w:rsidR="00A657A6">
        <w:rPr>
          <w:rFonts w:ascii="Arial" w:hAnsi="Arial" w:cs="Arial"/>
          <w:sz w:val="24"/>
          <w:szCs w:val="24"/>
        </w:rPr>
        <w:t xml:space="preserve"> It is about the fair process rights aimed towards </w:t>
      </w:r>
      <w:r w:rsidR="00A657A6">
        <w:rPr>
          <w:rFonts w:ascii="Arial" w:hAnsi="Arial" w:cs="Arial"/>
          <w:sz w:val="24"/>
          <w:szCs w:val="24"/>
        </w:rPr>
        <w:lastRenderedPageBreak/>
        <w:t>eliminating the proscribed arbitrariness in a way that giv</w:t>
      </w:r>
      <w:r w:rsidR="00D25DB0">
        <w:rPr>
          <w:rFonts w:ascii="Arial" w:hAnsi="Arial" w:cs="Arial"/>
          <w:sz w:val="24"/>
          <w:szCs w:val="24"/>
        </w:rPr>
        <w:t>es contents to the rule of law.</w:t>
      </w:r>
    </w:p>
    <w:p w:rsidR="00436DF0" w:rsidRPr="00436DF0" w:rsidRDefault="00436DF0" w:rsidP="00436DF0">
      <w:pPr>
        <w:rPr>
          <w:rFonts w:ascii="Arial" w:hAnsi="Arial" w:cs="Arial"/>
          <w:sz w:val="24"/>
          <w:szCs w:val="24"/>
        </w:rPr>
      </w:pPr>
    </w:p>
    <w:p w:rsidR="006C1CCA" w:rsidRDefault="00436DF0"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The reliance by the </w:t>
      </w:r>
      <w:r w:rsidR="00662971">
        <w:rPr>
          <w:rFonts w:ascii="Arial" w:hAnsi="Arial" w:cs="Arial"/>
          <w:sz w:val="24"/>
          <w:szCs w:val="24"/>
        </w:rPr>
        <w:t>Court</w:t>
      </w:r>
      <w:r>
        <w:rPr>
          <w:rFonts w:ascii="Arial" w:hAnsi="Arial" w:cs="Arial"/>
          <w:sz w:val="24"/>
          <w:szCs w:val="24"/>
        </w:rPr>
        <w:t xml:space="preserve"> a</w:t>
      </w:r>
      <w:r w:rsidRPr="00436DF0">
        <w:rPr>
          <w:rFonts w:ascii="Arial" w:hAnsi="Arial" w:cs="Arial"/>
          <w:i/>
          <w:sz w:val="24"/>
          <w:szCs w:val="24"/>
        </w:rPr>
        <w:t xml:space="preserve"> quo</w:t>
      </w:r>
      <w:r w:rsidR="001433A0">
        <w:rPr>
          <w:rFonts w:ascii="Arial" w:hAnsi="Arial" w:cs="Arial"/>
          <w:sz w:val="24"/>
          <w:szCs w:val="24"/>
        </w:rPr>
        <w:t xml:space="preserve"> on the ‘context</w:t>
      </w:r>
      <w:r>
        <w:rPr>
          <w:rFonts w:ascii="Arial" w:hAnsi="Arial" w:cs="Arial"/>
          <w:sz w:val="24"/>
          <w:szCs w:val="24"/>
        </w:rPr>
        <w:t xml:space="preserve"> in </w:t>
      </w:r>
      <w:r w:rsidRPr="001433A0">
        <w:rPr>
          <w:rFonts w:ascii="Arial" w:hAnsi="Arial" w:cs="Arial"/>
          <w:i/>
          <w:sz w:val="24"/>
          <w:szCs w:val="24"/>
        </w:rPr>
        <w:t>Doody</w:t>
      </w:r>
      <w:r w:rsidR="00F81F8D">
        <w:rPr>
          <w:rFonts w:ascii="Arial" w:hAnsi="Arial" w:cs="Arial"/>
          <w:i/>
          <w:sz w:val="24"/>
          <w:szCs w:val="24"/>
        </w:rPr>
        <w:t>,</w:t>
      </w:r>
      <w:r w:rsidR="001433A0">
        <w:rPr>
          <w:rStyle w:val="FootnoteReference"/>
          <w:rFonts w:ascii="Arial" w:hAnsi="Arial" w:cs="Arial"/>
          <w:i/>
          <w:sz w:val="24"/>
          <w:szCs w:val="24"/>
        </w:rPr>
        <w:footnoteReference w:id="33"/>
      </w:r>
      <w:r w:rsidR="001F3E8A">
        <w:rPr>
          <w:rFonts w:ascii="Arial" w:hAnsi="Arial" w:cs="Arial"/>
          <w:sz w:val="24"/>
          <w:szCs w:val="24"/>
        </w:rPr>
        <w:t xml:space="preserve"> was also incorrect. </w:t>
      </w:r>
      <w:r>
        <w:rPr>
          <w:rFonts w:ascii="Arial" w:hAnsi="Arial" w:cs="Arial"/>
          <w:sz w:val="24"/>
          <w:szCs w:val="24"/>
        </w:rPr>
        <w:t xml:space="preserve">Obviously, the </w:t>
      </w:r>
      <w:r w:rsidR="006C1CCA" w:rsidRPr="00391E15">
        <w:rPr>
          <w:rFonts w:ascii="Arial" w:hAnsi="Arial" w:cs="Arial"/>
          <w:sz w:val="24"/>
          <w:szCs w:val="24"/>
        </w:rPr>
        <w:t xml:space="preserve">High </w:t>
      </w:r>
      <w:r w:rsidR="00662971">
        <w:rPr>
          <w:rFonts w:ascii="Arial" w:hAnsi="Arial" w:cs="Arial"/>
          <w:sz w:val="24"/>
          <w:szCs w:val="24"/>
        </w:rPr>
        <w:t>Court</w:t>
      </w:r>
      <w:r w:rsidR="006C1CCA" w:rsidRPr="00391E15">
        <w:rPr>
          <w:rFonts w:ascii="Arial" w:hAnsi="Arial" w:cs="Arial"/>
          <w:sz w:val="24"/>
          <w:szCs w:val="24"/>
        </w:rPr>
        <w:t xml:space="preserve"> overlooked </w:t>
      </w:r>
      <w:r w:rsidR="00C64182" w:rsidRPr="00391E15">
        <w:rPr>
          <w:rFonts w:ascii="Arial" w:hAnsi="Arial" w:cs="Arial"/>
          <w:sz w:val="24"/>
          <w:szCs w:val="24"/>
        </w:rPr>
        <w:t>the complete gamut</w:t>
      </w:r>
      <w:r w:rsidR="00D455B0" w:rsidRPr="00391E15">
        <w:rPr>
          <w:rFonts w:ascii="Arial" w:hAnsi="Arial" w:cs="Arial"/>
          <w:sz w:val="24"/>
          <w:szCs w:val="24"/>
        </w:rPr>
        <w:t xml:space="preserve"> </w:t>
      </w:r>
      <w:r w:rsidR="00C64182" w:rsidRPr="00391E15">
        <w:rPr>
          <w:rFonts w:ascii="Arial" w:hAnsi="Arial" w:cs="Arial"/>
          <w:sz w:val="24"/>
          <w:szCs w:val="24"/>
        </w:rPr>
        <w:t xml:space="preserve">of the principles in that part of </w:t>
      </w:r>
      <w:r w:rsidR="00C64182" w:rsidRPr="00391E15">
        <w:rPr>
          <w:rFonts w:ascii="Arial" w:hAnsi="Arial" w:cs="Arial"/>
          <w:i/>
          <w:sz w:val="24"/>
          <w:szCs w:val="24"/>
        </w:rPr>
        <w:t>Doody</w:t>
      </w:r>
      <w:r w:rsidR="00F715AD">
        <w:rPr>
          <w:rFonts w:ascii="Arial" w:hAnsi="Arial" w:cs="Arial"/>
          <w:sz w:val="24"/>
          <w:szCs w:val="24"/>
        </w:rPr>
        <w:t xml:space="preserve"> which is more equally critical. In that part </w:t>
      </w:r>
      <w:r w:rsidR="006C1CCA" w:rsidRPr="00391E15">
        <w:rPr>
          <w:rFonts w:ascii="Arial" w:hAnsi="Arial" w:cs="Arial"/>
          <w:sz w:val="24"/>
          <w:szCs w:val="24"/>
        </w:rPr>
        <w:t>Lord Mustill remarked:</w:t>
      </w:r>
    </w:p>
    <w:p w:rsidR="00506E90" w:rsidRDefault="00506E90" w:rsidP="00506E90">
      <w:pPr>
        <w:pStyle w:val="NoSpacing"/>
        <w:spacing w:line="480" w:lineRule="auto"/>
        <w:jc w:val="both"/>
        <w:rPr>
          <w:rFonts w:ascii="Arial" w:hAnsi="Arial" w:cs="Arial"/>
          <w:sz w:val="24"/>
          <w:szCs w:val="24"/>
        </w:rPr>
      </w:pPr>
    </w:p>
    <w:p w:rsidR="009C7A95" w:rsidRDefault="00AA21BF" w:rsidP="00AA21BF">
      <w:pPr>
        <w:pStyle w:val="NoSpacing"/>
        <w:spacing w:line="360" w:lineRule="auto"/>
        <w:ind w:left="720"/>
        <w:jc w:val="both"/>
        <w:rPr>
          <w:rFonts w:ascii="Arial" w:hAnsi="Arial" w:cs="Arial"/>
        </w:rPr>
      </w:pPr>
      <w:r>
        <w:rPr>
          <w:rFonts w:ascii="Arial" w:hAnsi="Arial" w:cs="Arial"/>
        </w:rPr>
        <w:t>‘</w:t>
      </w:r>
      <w:r w:rsidR="009C7A95" w:rsidRPr="00D455B0">
        <w:rPr>
          <w:rFonts w:ascii="Arial" w:hAnsi="Arial" w:cs="Arial"/>
        </w:rPr>
        <w:t>[F]airness will very often require that a person who may be adversely affected by the decision will have an opportunity to make representation on his own behalf either before the decision is taken with a view to producing a favourable result or after it is taken with a view to procuring its modification, or both</w:t>
      </w:r>
      <w:r w:rsidR="009C7A95">
        <w:rPr>
          <w:rFonts w:ascii="Arial" w:hAnsi="Arial" w:cs="Arial"/>
        </w:rPr>
        <w:t xml:space="preserve"> . . . </w:t>
      </w:r>
      <w:r>
        <w:rPr>
          <w:rFonts w:ascii="Arial" w:hAnsi="Arial" w:cs="Arial"/>
        </w:rPr>
        <w:t>.’</w:t>
      </w:r>
      <w:r w:rsidR="009C7A95">
        <w:rPr>
          <w:rStyle w:val="FootnoteReference"/>
          <w:rFonts w:ascii="Arial" w:hAnsi="Arial" w:cs="Arial"/>
        </w:rPr>
        <w:footnoteReference w:id="34"/>
      </w:r>
    </w:p>
    <w:p w:rsidR="009C7A95" w:rsidRDefault="009C7A95" w:rsidP="00150B5F">
      <w:pPr>
        <w:pStyle w:val="NoSpacing"/>
        <w:spacing w:line="480" w:lineRule="auto"/>
        <w:jc w:val="both"/>
        <w:rPr>
          <w:rFonts w:ascii="Arial" w:hAnsi="Arial" w:cs="Arial"/>
          <w:sz w:val="24"/>
          <w:szCs w:val="24"/>
        </w:rPr>
      </w:pPr>
    </w:p>
    <w:p w:rsidR="00852B78" w:rsidRDefault="00505FA0" w:rsidP="007C2C6F">
      <w:pPr>
        <w:pStyle w:val="NoSpacing"/>
        <w:numPr>
          <w:ilvl w:val="0"/>
          <w:numId w:val="16"/>
        </w:numPr>
        <w:spacing w:line="480" w:lineRule="auto"/>
        <w:ind w:left="0" w:firstLine="0"/>
        <w:jc w:val="both"/>
        <w:rPr>
          <w:rFonts w:ascii="Arial" w:hAnsi="Arial" w:cs="Arial"/>
          <w:sz w:val="24"/>
          <w:szCs w:val="24"/>
        </w:rPr>
      </w:pPr>
      <w:r w:rsidRPr="009C7A95">
        <w:rPr>
          <w:rFonts w:ascii="Arial" w:hAnsi="Arial" w:cs="Arial"/>
          <w:sz w:val="24"/>
          <w:szCs w:val="24"/>
        </w:rPr>
        <w:t>W</w:t>
      </w:r>
      <w:r w:rsidR="000D0A42" w:rsidRPr="009C7A95">
        <w:rPr>
          <w:rFonts w:ascii="Arial" w:hAnsi="Arial" w:cs="Arial"/>
          <w:sz w:val="24"/>
          <w:szCs w:val="24"/>
        </w:rPr>
        <w:t>hi</w:t>
      </w:r>
      <w:r w:rsidR="00F715AD">
        <w:rPr>
          <w:rFonts w:ascii="Arial" w:hAnsi="Arial" w:cs="Arial"/>
          <w:sz w:val="24"/>
          <w:szCs w:val="24"/>
        </w:rPr>
        <w:t>l</w:t>
      </w:r>
      <w:r w:rsidR="000D0A42" w:rsidRPr="009C7A95">
        <w:rPr>
          <w:rFonts w:ascii="Arial" w:hAnsi="Arial" w:cs="Arial"/>
          <w:sz w:val="24"/>
          <w:szCs w:val="24"/>
        </w:rPr>
        <w:t>st one recognises that the du</w:t>
      </w:r>
      <w:r w:rsidR="003D2B86" w:rsidRPr="009C7A95">
        <w:rPr>
          <w:rFonts w:ascii="Arial" w:hAnsi="Arial" w:cs="Arial"/>
          <w:sz w:val="24"/>
          <w:szCs w:val="24"/>
        </w:rPr>
        <w:t>t</w:t>
      </w:r>
      <w:r w:rsidRPr="009C7A95">
        <w:rPr>
          <w:rFonts w:ascii="Arial" w:hAnsi="Arial" w:cs="Arial"/>
          <w:sz w:val="24"/>
          <w:szCs w:val="24"/>
        </w:rPr>
        <w:t>y to act fa</w:t>
      </w:r>
      <w:r w:rsidR="000D0A42" w:rsidRPr="009C7A95">
        <w:rPr>
          <w:rFonts w:ascii="Arial" w:hAnsi="Arial" w:cs="Arial"/>
          <w:sz w:val="24"/>
          <w:szCs w:val="24"/>
        </w:rPr>
        <w:t xml:space="preserve">irly </w:t>
      </w:r>
      <w:r w:rsidRPr="009C7A95">
        <w:rPr>
          <w:rFonts w:ascii="Arial" w:hAnsi="Arial" w:cs="Arial"/>
          <w:sz w:val="24"/>
          <w:szCs w:val="24"/>
        </w:rPr>
        <w:t xml:space="preserve">is not a rigid principle imposing obligations </w:t>
      </w:r>
      <w:r w:rsidR="000D0A42" w:rsidRPr="009C7A95">
        <w:rPr>
          <w:rFonts w:ascii="Arial" w:hAnsi="Arial" w:cs="Arial"/>
          <w:sz w:val="24"/>
          <w:szCs w:val="24"/>
        </w:rPr>
        <w:t xml:space="preserve">upon administrative officials and agencies </w:t>
      </w:r>
      <w:r w:rsidR="00786721">
        <w:rPr>
          <w:rFonts w:ascii="Arial" w:hAnsi="Arial" w:cs="Arial"/>
          <w:sz w:val="24"/>
          <w:szCs w:val="24"/>
        </w:rPr>
        <w:t>i</w:t>
      </w:r>
      <w:r w:rsidR="00B55272">
        <w:rPr>
          <w:rFonts w:ascii="Arial" w:hAnsi="Arial" w:cs="Arial"/>
          <w:sz w:val="24"/>
          <w:szCs w:val="24"/>
        </w:rPr>
        <w:t xml:space="preserve">n an inflexible way </w:t>
      </w:r>
      <w:r w:rsidR="00506E90">
        <w:rPr>
          <w:rFonts w:ascii="Arial" w:hAnsi="Arial" w:cs="Arial"/>
          <w:sz w:val="24"/>
          <w:szCs w:val="24"/>
        </w:rPr>
        <w:t xml:space="preserve">as this </w:t>
      </w:r>
      <w:r w:rsidR="00662971">
        <w:rPr>
          <w:rFonts w:ascii="Arial" w:hAnsi="Arial" w:cs="Arial"/>
          <w:sz w:val="24"/>
          <w:szCs w:val="24"/>
        </w:rPr>
        <w:t>Court</w:t>
      </w:r>
      <w:r w:rsidR="00506E90">
        <w:rPr>
          <w:rFonts w:ascii="Arial" w:hAnsi="Arial" w:cs="Arial"/>
          <w:sz w:val="24"/>
          <w:szCs w:val="24"/>
        </w:rPr>
        <w:t>, per</w:t>
      </w:r>
      <w:r w:rsidR="004625F9">
        <w:rPr>
          <w:rFonts w:ascii="Arial" w:hAnsi="Arial" w:cs="Arial"/>
          <w:sz w:val="24"/>
          <w:szCs w:val="24"/>
        </w:rPr>
        <w:t xml:space="preserve"> O’Regan AJA,</w:t>
      </w:r>
      <w:r w:rsidR="00506E90">
        <w:rPr>
          <w:rFonts w:ascii="Arial" w:hAnsi="Arial" w:cs="Arial"/>
          <w:sz w:val="24"/>
          <w:szCs w:val="24"/>
        </w:rPr>
        <w:t xml:space="preserve"> </w:t>
      </w:r>
      <w:r w:rsidR="000D0A42" w:rsidRPr="009C7A95">
        <w:rPr>
          <w:rFonts w:ascii="Arial" w:hAnsi="Arial" w:cs="Arial"/>
          <w:sz w:val="24"/>
          <w:szCs w:val="24"/>
        </w:rPr>
        <w:t xml:space="preserve">said in </w:t>
      </w:r>
      <w:r w:rsidR="000D0A42" w:rsidRPr="009C7A95">
        <w:rPr>
          <w:rFonts w:ascii="Arial" w:hAnsi="Arial" w:cs="Arial"/>
          <w:i/>
          <w:sz w:val="24"/>
          <w:szCs w:val="24"/>
        </w:rPr>
        <w:t>Petrone</w:t>
      </w:r>
      <w:r w:rsidR="004625F9">
        <w:rPr>
          <w:rFonts w:ascii="Arial" w:hAnsi="Arial" w:cs="Arial"/>
          <w:i/>
          <w:sz w:val="24"/>
          <w:szCs w:val="24"/>
        </w:rPr>
        <w:t>f</w:t>
      </w:r>
      <w:r w:rsidR="00D25DB0">
        <w:rPr>
          <w:rFonts w:ascii="Arial" w:hAnsi="Arial" w:cs="Arial"/>
          <w:i/>
          <w:sz w:val="24"/>
          <w:szCs w:val="24"/>
        </w:rPr>
        <w:t>t</w:t>
      </w:r>
      <w:r w:rsidR="000D0A42" w:rsidRPr="009C7A95">
        <w:rPr>
          <w:rFonts w:ascii="Arial" w:hAnsi="Arial" w:cs="Arial"/>
          <w:sz w:val="24"/>
          <w:szCs w:val="24"/>
        </w:rPr>
        <w:t>,</w:t>
      </w:r>
      <w:r w:rsidR="000D0A42">
        <w:rPr>
          <w:rStyle w:val="FootnoteReference"/>
          <w:rFonts w:ascii="Arial" w:hAnsi="Arial" w:cs="Arial"/>
          <w:sz w:val="24"/>
          <w:szCs w:val="24"/>
        </w:rPr>
        <w:footnoteReference w:id="35"/>
      </w:r>
      <w:r w:rsidR="00D25DB0">
        <w:rPr>
          <w:rFonts w:ascii="Arial" w:hAnsi="Arial" w:cs="Arial"/>
          <w:sz w:val="24"/>
          <w:szCs w:val="24"/>
        </w:rPr>
        <w:t xml:space="preserve"> I think that here the</w:t>
      </w:r>
      <w:r w:rsidR="000D0A42" w:rsidRPr="009C7A95">
        <w:rPr>
          <w:rFonts w:ascii="Arial" w:hAnsi="Arial" w:cs="Arial"/>
          <w:sz w:val="24"/>
          <w:szCs w:val="24"/>
        </w:rPr>
        <w:t xml:space="preserve"> Board − acting as a statutory procurement agent in terms of section 7 of the </w:t>
      </w:r>
      <w:r w:rsidR="00577A74">
        <w:rPr>
          <w:rFonts w:ascii="Arial" w:hAnsi="Arial" w:cs="Arial"/>
          <w:sz w:val="24"/>
          <w:szCs w:val="24"/>
        </w:rPr>
        <w:t xml:space="preserve">Tender </w:t>
      </w:r>
      <w:r w:rsidR="000D0A42" w:rsidRPr="009C7A95">
        <w:rPr>
          <w:rFonts w:ascii="Arial" w:hAnsi="Arial" w:cs="Arial"/>
          <w:sz w:val="24"/>
          <w:szCs w:val="24"/>
        </w:rPr>
        <w:t xml:space="preserve">Act − </w:t>
      </w:r>
      <w:r w:rsidR="00D455B0" w:rsidRPr="009C7A95">
        <w:rPr>
          <w:rFonts w:ascii="Arial" w:hAnsi="Arial" w:cs="Arial"/>
          <w:sz w:val="24"/>
          <w:szCs w:val="24"/>
        </w:rPr>
        <w:t>ought to have</w:t>
      </w:r>
      <w:r w:rsidR="00391E15" w:rsidRPr="009C7A95">
        <w:rPr>
          <w:rFonts w:ascii="Arial" w:hAnsi="Arial" w:cs="Arial"/>
          <w:sz w:val="24"/>
          <w:szCs w:val="24"/>
        </w:rPr>
        <w:t xml:space="preserve"> dis</w:t>
      </w:r>
      <w:r w:rsidR="00D25DB0">
        <w:rPr>
          <w:rFonts w:ascii="Arial" w:hAnsi="Arial" w:cs="Arial"/>
          <w:sz w:val="24"/>
          <w:szCs w:val="24"/>
        </w:rPr>
        <w:t>charged its obligations under</w:t>
      </w:r>
      <w:r w:rsidR="00391E15" w:rsidRPr="009C7A95">
        <w:rPr>
          <w:rFonts w:ascii="Arial" w:hAnsi="Arial" w:cs="Arial"/>
          <w:sz w:val="24"/>
          <w:szCs w:val="24"/>
        </w:rPr>
        <w:t xml:space="preserve"> Article 18 of the Constitution and the peremptory prescripts </w:t>
      </w:r>
      <w:r w:rsidR="000D0A42" w:rsidRPr="009C7A95">
        <w:rPr>
          <w:rFonts w:ascii="Arial" w:hAnsi="Arial" w:cs="Arial"/>
          <w:sz w:val="24"/>
          <w:szCs w:val="24"/>
        </w:rPr>
        <w:t xml:space="preserve">in terms of </w:t>
      </w:r>
      <w:r w:rsidR="00577A74">
        <w:rPr>
          <w:rFonts w:ascii="Arial" w:hAnsi="Arial" w:cs="Arial"/>
          <w:sz w:val="24"/>
          <w:szCs w:val="24"/>
        </w:rPr>
        <w:t>section 16 of that Act</w:t>
      </w:r>
      <w:r w:rsidR="0012710F">
        <w:rPr>
          <w:rFonts w:ascii="Arial" w:hAnsi="Arial" w:cs="Arial"/>
          <w:sz w:val="24"/>
          <w:szCs w:val="24"/>
        </w:rPr>
        <w:t>.</w:t>
      </w:r>
      <w:r w:rsidR="00EC0762">
        <w:rPr>
          <w:rStyle w:val="FootnoteReference"/>
          <w:rFonts w:ascii="Arial" w:hAnsi="Arial" w:cs="Arial"/>
          <w:sz w:val="24"/>
          <w:szCs w:val="24"/>
        </w:rPr>
        <w:footnoteReference w:id="36"/>
      </w:r>
      <w:r w:rsidR="00FE3C1B" w:rsidRPr="009C7A95">
        <w:rPr>
          <w:rFonts w:ascii="Arial" w:hAnsi="Arial" w:cs="Arial"/>
          <w:sz w:val="24"/>
          <w:szCs w:val="24"/>
        </w:rPr>
        <w:t xml:space="preserve"> </w:t>
      </w:r>
      <w:r w:rsidR="00D25DB0">
        <w:rPr>
          <w:rFonts w:ascii="Arial" w:hAnsi="Arial" w:cs="Arial"/>
          <w:sz w:val="24"/>
          <w:szCs w:val="24"/>
        </w:rPr>
        <w:t>It did not. This much was accepted by the Board.</w:t>
      </w:r>
      <w:r w:rsidR="00506E90">
        <w:rPr>
          <w:rFonts w:ascii="Arial" w:hAnsi="Arial" w:cs="Arial"/>
          <w:sz w:val="24"/>
          <w:szCs w:val="24"/>
        </w:rPr>
        <w:t xml:space="preserve"> </w:t>
      </w:r>
      <w:r w:rsidR="00577A74">
        <w:rPr>
          <w:rFonts w:ascii="Arial" w:hAnsi="Arial" w:cs="Arial"/>
          <w:sz w:val="24"/>
          <w:szCs w:val="24"/>
        </w:rPr>
        <w:t>Obviously</w:t>
      </w:r>
      <w:r w:rsidR="00DF476F" w:rsidRPr="009C7A95">
        <w:rPr>
          <w:rFonts w:ascii="Arial" w:hAnsi="Arial" w:cs="Arial"/>
          <w:sz w:val="24"/>
          <w:szCs w:val="24"/>
        </w:rPr>
        <w:t xml:space="preserve">, the Board failed to </w:t>
      </w:r>
      <w:r w:rsidR="00FE3C1B" w:rsidRPr="009C7A95">
        <w:rPr>
          <w:rFonts w:ascii="Arial" w:hAnsi="Arial" w:cs="Arial"/>
          <w:sz w:val="24"/>
          <w:szCs w:val="24"/>
        </w:rPr>
        <w:t>exercise its power or perform its public function</w:t>
      </w:r>
      <w:r w:rsidR="00C504ED" w:rsidRPr="009C7A95">
        <w:rPr>
          <w:rFonts w:ascii="Arial" w:hAnsi="Arial" w:cs="Arial"/>
          <w:sz w:val="24"/>
          <w:szCs w:val="24"/>
        </w:rPr>
        <w:t xml:space="preserve">, not only under </w:t>
      </w:r>
      <w:r w:rsidR="00D25DB0">
        <w:rPr>
          <w:rFonts w:ascii="Arial" w:hAnsi="Arial" w:cs="Arial"/>
          <w:sz w:val="24"/>
          <w:szCs w:val="24"/>
        </w:rPr>
        <w:t xml:space="preserve">the </w:t>
      </w:r>
      <w:r w:rsidR="00C504ED" w:rsidRPr="009C7A95">
        <w:rPr>
          <w:rFonts w:ascii="Arial" w:hAnsi="Arial" w:cs="Arial"/>
          <w:sz w:val="24"/>
          <w:szCs w:val="24"/>
        </w:rPr>
        <w:t xml:space="preserve">Constitution but also </w:t>
      </w:r>
      <w:r w:rsidR="00FE3C1B" w:rsidRPr="009C7A95">
        <w:rPr>
          <w:rFonts w:ascii="Arial" w:hAnsi="Arial" w:cs="Arial"/>
          <w:sz w:val="24"/>
          <w:szCs w:val="24"/>
        </w:rPr>
        <w:t xml:space="preserve">in terms of the </w:t>
      </w:r>
      <w:r w:rsidR="00DF476F" w:rsidRPr="009C7A95">
        <w:rPr>
          <w:rFonts w:ascii="Arial" w:hAnsi="Arial" w:cs="Arial"/>
          <w:sz w:val="24"/>
          <w:szCs w:val="24"/>
        </w:rPr>
        <w:t xml:space="preserve">empowering legislation, </w:t>
      </w:r>
      <w:r w:rsidR="00FE3C1B" w:rsidRPr="009C7A95">
        <w:rPr>
          <w:rFonts w:ascii="Arial" w:hAnsi="Arial" w:cs="Arial"/>
          <w:sz w:val="24"/>
          <w:szCs w:val="24"/>
        </w:rPr>
        <w:t>the</w:t>
      </w:r>
      <w:r w:rsidR="00D25DB0">
        <w:rPr>
          <w:rFonts w:ascii="Arial" w:hAnsi="Arial" w:cs="Arial"/>
          <w:sz w:val="24"/>
          <w:szCs w:val="24"/>
        </w:rPr>
        <w:t xml:space="preserve"> Tender</w:t>
      </w:r>
      <w:r w:rsidR="001F3E8A">
        <w:rPr>
          <w:rFonts w:ascii="Arial" w:hAnsi="Arial" w:cs="Arial"/>
          <w:sz w:val="24"/>
          <w:szCs w:val="24"/>
        </w:rPr>
        <w:t xml:space="preserve"> Act.</w:t>
      </w:r>
      <w:r w:rsidR="00C504ED" w:rsidRPr="009C7A95">
        <w:rPr>
          <w:rFonts w:ascii="Arial" w:hAnsi="Arial" w:cs="Arial"/>
          <w:sz w:val="24"/>
          <w:szCs w:val="24"/>
        </w:rPr>
        <w:t xml:space="preserve"> In effect, the Board violated the </w:t>
      </w:r>
      <w:r w:rsidR="001B3231" w:rsidRPr="009C7A95">
        <w:rPr>
          <w:rFonts w:ascii="Arial" w:hAnsi="Arial" w:cs="Arial"/>
          <w:sz w:val="24"/>
          <w:szCs w:val="24"/>
        </w:rPr>
        <w:t>legality</w:t>
      </w:r>
      <w:r w:rsidR="00C504ED" w:rsidRPr="009C7A95">
        <w:rPr>
          <w:rFonts w:ascii="Arial" w:hAnsi="Arial" w:cs="Arial"/>
          <w:sz w:val="24"/>
          <w:szCs w:val="24"/>
        </w:rPr>
        <w:t xml:space="preserve"> </w:t>
      </w:r>
      <w:r w:rsidR="00C504ED" w:rsidRPr="009C7A95">
        <w:rPr>
          <w:rFonts w:ascii="Arial" w:hAnsi="Arial" w:cs="Arial"/>
          <w:sz w:val="24"/>
          <w:szCs w:val="24"/>
        </w:rPr>
        <w:lastRenderedPageBreak/>
        <w:t>principle</w:t>
      </w:r>
      <w:r w:rsidR="001B3231" w:rsidRPr="009C7A95">
        <w:rPr>
          <w:rFonts w:ascii="Arial" w:hAnsi="Arial" w:cs="Arial"/>
          <w:sz w:val="24"/>
          <w:szCs w:val="24"/>
        </w:rPr>
        <w:t xml:space="preserve"> that reigns supreme under the Constitution</w:t>
      </w:r>
      <w:r w:rsidR="001B3231">
        <w:rPr>
          <w:rStyle w:val="FootnoteReference"/>
          <w:rFonts w:ascii="Arial" w:hAnsi="Arial" w:cs="Arial"/>
          <w:sz w:val="24"/>
          <w:szCs w:val="24"/>
        </w:rPr>
        <w:footnoteReference w:id="37"/>
      </w:r>
      <w:r w:rsidR="001B3231" w:rsidRPr="009C7A95">
        <w:rPr>
          <w:rFonts w:ascii="Arial" w:hAnsi="Arial" w:cs="Arial"/>
          <w:sz w:val="24"/>
          <w:szCs w:val="24"/>
        </w:rPr>
        <w:t xml:space="preserve"> − on</w:t>
      </w:r>
      <w:r w:rsidR="00C504ED" w:rsidRPr="009C7A95">
        <w:rPr>
          <w:rFonts w:ascii="Arial" w:hAnsi="Arial" w:cs="Arial"/>
          <w:sz w:val="24"/>
          <w:szCs w:val="24"/>
        </w:rPr>
        <w:t xml:space="preserve"> both the right to fair process</w:t>
      </w:r>
      <w:r w:rsidR="001B3231" w:rsidRPr="009C7A95">
        <w:rPr>
          <w:rFonts w:ascii="Arial" w:hAnsi="Arial" w:cs="Arial"/>
          <w:sz w:val="24"/>
          <w:szCs w:val="24"/>
        </w:rPr>
        <w:t xml:space="preserve"> </w:t>
      </w:r>
      <w:r w:rsidR="00C504ED" w:rsidRPr="009C7A95">
        <w:rPr>
          <w:rFonts w:ascii="Arial" w:hAnsi="Arial" w:cs="Arial"/>
          <w:sz w:val="24"/>
          <w:szCs w:val="24"/>
        </w:rPr>
        <w:t xml:space="preserve">and lawfulness of its actions and/or </w:t>
      </w:r>
      <w:r w:rsidR="001B3231" w:rsidRPr="009C7A95">
        <w:rPr>
          <w:rFonts w:ascii="Arial" w:hAnsi="Arial" w:cs="Arial"/>
          <w:sz w:val="24"/>
          <w:szCs w:val="24"/>
        </w:rPr>
        <w:t>omission</w:t>
      </w:r>
      <w:r w:rsidR="00C504ED" w:rsidRPr="009C7A95">
        <w:rPr>
          <w:rFonts w:ascii="Arial" w:hAnsi="Arial" w:cs="Arial"/>
          <w:sz w:val="24"/>
          <w:szCs w:val="24"/>
        </w:rPr>
        <w:t>.</w:t>
      </w:r>
    </w:p>
    <w:p w:rsidR="009C7A95" w:rsidRDefault="009C7A95" w:rsidP="009C7A95">
      <w:pPr>
        <w:pStyle w:val="NoSpacing"/>
        <w:spacing w:line="480" w:lineRule="auto"/>
        <w:jc w:val="both"/>
        <w:rPr>
          <w:rFonts w:ascii="Arial" w:hAnsi="Arial" w:cs="Arial"/>
          <w:sz w:val="24"/>
          <w:szCs w:val="24"/>
        </w:rPr>
      </w:pPr>
    </w:p>
    <w:p w:rsidR="009C7A95" w:rsidRDefault="00B02541" w:rsidP="007C2C6F">
      <w:pPr>
        <w:pStyle w:val="NoSpacing"/>
        <w:numPr>
          <w:ilvl w:val="0"/>
          <w:numId w:val="16"/>
        </w:numPr>
        <w:spacing w:line="480" w:lineRule="auto"/>
        <w:ind w:left="0" w:firstLine="0"/>
        <w:jc w:val="both"/>
        <w:rPr>
          <w:rFonts w:ascii="Arial" w:hAnsi="Arial" w:cs="Arial"/>
          <w:sz w:val="24"/>
          <w:szCs w:val="24"/>
        </w:rPr>
      </w:pPr>
      <w:r w:rsidRPr="009C7A95">
        <w:rPr>
          <w:rFonts w:ascii="Arial" w:hAnsi="Arial" w:cs="Arial"/>
          <w:sz w:val="24"/>
          <w:szCs w:val="24"/>
        </w:rPr>
        <w:t xml:space="preserve">More to the point and following </w:t>
      </w:r>
      <w:r w:rsidRPr="00794180">
        <w:rPr>
          <w:rFonts w:ascii="Arial" w:hAnsi="Arial" w:cs="Arial"/>
          <w:i/>
          <w:sz w:val="24"/>
          <w:szCs w:val="24"/>
        </w:rPr>
        <w:t>Doody</w:t>
      </w:r>
      <w:r w:rsidR="00794180">
        <w:rPr>
          <w:rFonts w:ascii="Arial" w:hAnsi="Arial" w:cs="Arial"/>
          <w:sz w:val="24"/>
          <w:szCs w:val="24"/>
        </w:rPr>
        <w:t xml:space="preserve"> and at the risk of repetition, the Board should have allowed the appellants to make representations. </w:t>
      </w:r>
      <w:r w:rsidR="007A3143">
        <w:rPr>
          <w:rFonts w:ascii="Arial" w:hAnsi="Arial" w:cs="Arial"/>
          <w:sz w:val="24"/>
          <w:szCs w:val="24"/>
        </w:rPr>
        <w:t xml:space="preserve">It failed to do so despite </w:t>
      </w:r>
      <w:r w:rsidRPr="009C7A95">
        <w:rPr>
          <w:rFonts w:ascii="Arial" w:hAnsi="Arial" w:cs="Arial"/>
          <w:sz w:val="24"/>
          <w:szCs w:val="24"/>
        </w:rPr>
        <w:t>the fact that the appellants had, in the letter dated</w:t>
      </w:r>
      <w:r w:rsidR="00FA0657" w:rsidRPr="009C7A95">
        <w:rPr>
          <w:rFonts w:ascii="Arial" w:hAnsi="Arial" w:cs="Arial"/>
          <w:sz w:val="24"/>
          <w:szCs w:val="24"/>
        </w:rPr>
        <w:t xml:space="preserve"> 23 October 2014, alerted the Board of th</w:t>
      </w:r>
      <w:r w:rsidR="00C504ED" w:rsidRPr="009C7A95">
        <w:rPr>
          <w:rFonts w:ascii="Arial" w:hAnsi="Arial" w:cs="Arial"/>
          <w:sz w:val="24"/>
          <w:szCs w:val="24"/>
        </w:rPr>
        <w:t>eir predicament</w:t>
      </w:r>
      <w:r w:rsidR="00FA0657" w:rsidRPr="009C7A95">
        <w:rPr>
          <w:rFonts w:ascii="Arial" w:hAnsi="Arial" w:cs="Arial"/>
          <w:sz w:val="24"/>
          <w:szCs w:val="24"/>
        </w:rPr>
        <w:t xml:space="preserve"> particularly that they had been materially prejudiced by the cancellation without having been consulted and that but for </w:t>
      </w:r>
      <w:r w:rsidR="005166A0" w:rsidRPr="009C7A95">
        <w:rPr>
          <w:rFonts w:ascii="Arial" w:hAnsi="Arial" w:cs="Arial"/>
          <w:sz w:val="24"/>
          <w:szCs w:val="24"/>
        </w:rPr>
        <w:t>knowing about the award in the newspapers, they had not been notified of same.</w:t>
      </w:r>
    </w:p>
    <w:p w:rsidR="009C7A95" w:rsidRPr="00150B5F" w:rsidRDefault="009C7A95" w:rsidP="00150B5F">
      <w:pPr>
        <w:rPr>
          <w:rFonts w:ascii="Arial" w:hAnsi="Arial" w:cs="Arial"/>
          <w:sz w:val="24"/>
          <w:szCs w:val="24"/>
        </w:rPr>
      </w:pPr>
    </w:p>
    <w:p w:rsidR="009C7A95" w:rsidRDefault="00C75316" w:rsidP="007C2C6F">
      <w:pPr>
        <w:pStyle w:val="NoSpacing"/>
        <w:numPr>
          <w:ilvl w:val="0"/>
          <w:numId w:val="16"/>
        </w:numPr>
        <w:spacing w:line="480" w:lineRule="auto"/>
        <w:ind w:left="0" w:firstLine="0"/>
        <w:jc w:val="both"/>
        <w:rPr>
          <w:rFonts w:ascii="Arial" w:hAnsi="Arial" w:cs="Arial"/>
          <w:sz w:val="24"/>
          <w:szCs w:val="24"/>
        </w:rPr>
      </w:pPr>
      <w:r w:rsidRPr="009C7A95">
        <w:rPr>
          <w:rFonts w:ascii="Arial" w:hAnsi="Arial" w:cs="Arial"/>
          <w:sz w:val="24"/>
          <w:szCs w:val="24"/>
        </w:rPr>
        <w:t>T</w:t>
      </w:r>
      <w:r w:rsidR="00792B66">
        <w:rPr>
          <w:rFonts w:ascii="Arial" w:hAnsi="Arial" w:cs="Arial"/>
          <w:sz w:val="24"/>
          <w:szCs w:val="24"/>
        </w:rPr>
        <w:t>he Government respondents</w:t>
      </w:r>
      <w:r w:rsidRPr="009C7A95">
        <w:rPr>
          <w:rFonts w:ascii="Arial" w:hAnsi="Arial" w:cs="Arial"/>
          <w:sz w:val="24"/>
          <w:szCs w:val="24"/>
        </w:rPr>
        <w:t xml:space="preserve"> submit</w:t>
      </w:r>
      <w:r w:rsidR="00506E90">
        <w:rPr>
          <w:rFonts w:ascii="Arial" w:hAnsi="Arial" w:cs="Arial"/>
          <w:sz w:val="24"/>
          <w:szCs w:val="24"/>
        </w:rPr>
        <w:t>ted</w:t>
      </w:r>
      <w:r w:rsidRPr="009C7A95">
        <w:rPr>
          <w:rFonts w:ascii="Arial" w:hAnsi="Arial" w:cs="Arial"/>
          <w:sz w:val="24"/>
          <w:szCs w:val="24"/>
        </w:rPr>
        <w:t xml:space="preserve"> that the appellants were not materially affected by the cancellation </w:t>
      </w:r>
      <w:r w:rsidR="00792B66">
        <w:rPr>
          <w:rFonts w:ascii="Arial" w:hAnsi="Arial" w:cs="Arial"/>
          <w:sz w:val="24"/>
          <w:szCs w:val="24"/>
        </w:rPr>
        <w:t xml:space="preserve">simply </w:t>
      </w:r>
      <w:r w:rsidRPr="009C7A95">
        <w:rPr>
          <w:rFonts w:ascii="Arial" w:hAnsi="Arial" w:cs="Arial"/>
          <w:sz w:val="24"/>
          <w:szCs w:val="24"/>
        </w:rPr>
        <w:t xml:space="preserve">because they had not been notified of </w:t>
      </w:r>
      <w:r w:rsidR="005049B3">
        <w:rPr>
          <w:rFonts w:ascii="Arial" w:hAnsi="Arial" w:cs="Arial"/>
          <w:sz w:val="24"/>
          <w:szCs w:val="24"/>
        </w:rPr>
        <w:t>the award.</w:t>
      </w:r>
      <w:r w:rsidR="00150B5F">
        <w:rPr>
          <w:rFonts w:ascii="Arial" w:hAnsi="Arial" w:cs="Arial"/>
          <w:sz w:val="24"/>
          <w:szCs w:val="24"/>
        </w:rPr>
        <w:t xml:space="preserve"> </w:t>
      </w:r>
      <w:r w:rsidRPr="009C7A95">
        <w:rPr>
          <w:rFonts w:ascii="Arial" w:hAnsi="Arial" w:cs="Arial"/>
          <w:sz w:val="24"/>
          <w:szCs w:val="24"/>
        </w:rPr>
        <w:t>They contend</w:t>
      </w:r>
      <w:r w:rsidR="007A3143">
        <w:rPr>
          <w:rFonts w:ascii="Arial" w:hAnsi="Arial" w:cs="Arial"/>
          <w:sz w:val="24"/>
          <w:szCs w:val="24"/>
        </w:rPr>
        <w:t>ed</w:t>
      </w:r>
      <w:r w:rsidRPr="009C7A95">
        <w:rPr>
          <w:rFonts w:ascii="Arial" w:hAnsi="Arial" w:cs="Arial"/>
          <w:sz w:val="24"/>
          <w:szCs w:val="24"/>
        </w:rPr>
        <w:t xml:space="preserve"> further that there was no legitimate expectation created by the Board </w:t>
      </w:r>
      <w:r w:rsidR="00792B66">
        <w:rPr>
          <w:rFonts w:ascii="Arial" w:hAnsi="Arial" w:cs="Arial"/>
          <w:sz w:val="24"/>
          <w:szCs w:val="24"/>
        </w:rPr>
        <w:t>or</w:t>
      </w:r>
      <w:r w:rsidRPr="009C7A95">
        <w:rPr>
          <w:rFonts w:ascii="Arial" w:hAnsi="Arial" w:cs="Arial"/>
          <w:sz w:val="24"/>
          <w:szCs w:val="24"/>
        </w:rPr>
        <w:t xml:space="preserve"> the Committee and as a result the appellants’ right to fair process was not infringed. </w:t>
      </w:r>
      <w:r w:rsidR="00506E90">
        <w:rPr>
          <w:rFonts w:ascii="Arial" w:hAnsi="Arial" w:cs="Arial"/>
          <w:sz w:val="24"/>
          <w:szCs w:val="24"/>
        </w:rPr>
        <w:t xml:space="preserve">It is incorrect to suggest that the appellants were not adversely or </w:t>
      </w:r>
      <w:r w:rsidR="00506E90" w:rsidRPr="009C7A95">
        <w:rPr>
          <w:rFonts w:ascii="Arial" w:hAnsi="Arial" w:cs="Arial"/>
          <w:sz w:val="24"/>
          <w:szCs w:val="24"/>
        </w:rPr>
        <w:t>materially affected by the cancellation</w:t>
      </w:r>
      <w:r w:rsidR="00506E90">
        <w:rPr>
          <w:rFonts w:ascii="Arial" w:hAnsi="Arial" w:cs="Arial"/>
          <w:sz w:val="24"/>
          <w:szCs w:val="24"/>
        </w:rPr>
        <w:t xml:space="preserve">. </w:t>
      </w:r>
      <w:r w:rsidR="008971E8">
        <w:rPr>
          <w:rFonts w:ascii="Arial" w:hAnsi="Arial" w:cs="Arial"/>
          <w:sz w:val="24"/>
          <w:szCs w:val="24"/>
        </w:rPr>
        <w:t>In their supplementary papers t</w:t>
      </w:r>
      <w:r w:rsidR="007A3143">
        <w:rPr>
          <w:rFonts w:ascii="Arial" w:hAnsi="Arial" w:cs="Arial"/>
          <w:sz w:val="24"/>
          <w:szCs w:val="24"/>
        </w:rPr>
        <w:t>he appellants explicitly contend</w:t>
      </w:r>
      <w:r w:rsidR="00506E90">
        <w:rPr>
          <w:rFonts w:ascii="Arial" w:hAnsi="Arial" w:cs="Arial"/>
          <w:sz w:val="24"/>
          <w:szCs w:val="24"/>
        </w:rPr>
        <w:t>ed that they expended va</w:t>
      </w:r>
      <w:r w:rsidR="008971E8">
        <w:rPr>
          <w:rFonts w:ascii="Arial" w:hAnsi="Arial" w:cs="Arial"/>
          <w:sz w:val="24"/>
          <w:szCs w:val="24"/>
        </w:rPr>
        <w:t>st amounts of time, money</w:t>
      </w:r>
      <w:r w:rsidR="00506E90">
        <w:rPr>
          <w:rFonts w:ascii="Arial" w:hAnsi="Arial" w:cs="Arial"/>
          <w:sz w:val="24"/>
          <w:szCs w:val="24"/>
        </w:rPr>
        <w:t xml:space="preserve"> and effort in preparing their tenders including but not limited to conducting all of the site visits and being operationally ready as were necessary t</w:t>
      </w:r>
      <w:r w:rsidR="005049B3">
        <w:rPr>
          <w:rFonts w:ascii="Arial" w:hAnsi="Arial" w:cs="Arial"/>
          <w:sz w:val="24"/>
          <w:szCs w:val="24"/>
        </w:rPr>
        <w:t>o fulfil the tender requisites.</w:t>
      </w:r>
      <w:r w:rsidR="008971E8">
        <w:rPr>
          <w:rFonts w:ascii="Arial" w:hAnsi="Arial" w:cs="Arial"/>
          <w:sz w:val="24"/>
          <w:szCs w:val="24"/>
        </w:rPr>
        <w:t xml:space="preserve"> Notably, the Government respondents did not t</w:t>
      </w:r>
      <w:r w:rsidR="005049B3">
        <w:rPr>
          <w:rFonts w:ascii="Arial" w:hAnsi="Arial" w:cs="Arial"/>
          <w:sz w:val="24"/>
          <w:szCs w:val="24"/>
        </w:rPr>
        <w:t>ake issue with these averments.</w:t>
      </w:r>
      <w:r w:rsidR="00506E90">
        <w:rPr>
          <w:rFonts w:ascii="Arial" w:hAnsi="Arial" w:cs="Arial"/>
          <w:sz w:val="24"/>
          <w:szCs w:val="24"/>
        </w:rPr>
        <w:t xml:space="preserve"> </w:t>
      </w:r>
      <w:r w:rsidR="00792B66">
        <w:rPr>
          <w:rFonts w:ascii="Arial" w:hAnsi="Arial" w:cs="Arial"/>
          <w:sz w:val="24"/>
          <w:szCs w:val="24"/>
        </w:rPr>
        <w:t xml:space="preserve">Interestingly, the Government respondents </w:t>
      </w:r>
      <w:r w:rsidRPr="009C7A95">
        <w:rPr>
          <w:rFonts w:ascii="Arial" w:hAnsi="Arial" w:cs="Arial"/>
          <w:sz w:val="24"/>
          <w:szCs w:val="24"/>
        </w:rPr>
        <w:t>do not deny that Art</w:t>
      </w:r>
      <w:r w:rsidR="00786721">
        <w:rPr>
          <w:rFonts w:ascii="Arial" w:hAnsi="Arial" w:cs="Arial"/>
          <w:sz w:val="24"/>
          <w:szCs w:val="24"/>
        </w:rPr>
        <w:t>icle</w:t>
      </w:r>
      <w:r w:rsidRPr="009C7A95">
        <w:rPr>
          <w:rFonts w:ascii="Arial" w:hAnsi="Arial" w:cs="Arial"/>
          <w:sz w:val="24"/>
          <w:szCs w:val="24"/>
        </w:rPr>
        <w:t xml:space="preserve"> 18 of the Constitution conferred a </w:t>
      </w:r>
      <w:r w:rsidR="00792B66">
        <w:rPr>
          <w:rFonts w:ascii="Arial" w:hAnsi="Arial" w:cs="Arial"/>
          <w:sz w:val="24"/>
          <w:szCs w:val="24"/>
        </w:rPr>
        <w:t xml:space="preserve">fair process </w:t>
      </w:r>
      <w:r w:rsidRPr="009C7A95">
        <w:rPr>
          <w:rFonts w:ascii="Arial" w:hAnsi="Arial" w:cs="Arial"/>
          <w:sz w:val="24"/>
          <w:szCs w:val="24"/>
        </w:rPr>
        <w:t xml:space="preserve">right to the appellants. </w:t>
      </w:r>
      <w:r w:rsidR="00CC0442" w:rsidRPr="009C7A95">
        <w:rPr>
          <w:rFonts w:ascii="Arial" w:hAnsi="Arial" w:cs="Arial"/>
          <w:sz w:val="24"/>
          <w:szCs w:val="24"/>
        </w:rPr>
        <w:t xml:space="preserve">They do not deny also that the Board </w:t>
      </w:r>
      <w:r w:rsidR="00CC0442" w:rsidRPr="009C7A95">
        <w:rPr>
          <w:rFonts w:ascii="Arial" w:hAnsi="Arial" w:cs="Arial"/>
          <w:sz w:val="24"/>
          <w:szCs w:val="24"/>
        </w:rPr>
        <w:lastRenderedPageBreak/>
        <w:t xml:space="preserve">failed to discharge its obligation in terms of section 16 of the </w:t>
      </w:r>
      <w:r w:rsidR="00507C36">
        <w:rPr>
          <w:rFonts w:ascii="Arial" w:hAnsi="Arial" w:cs="Arial"/>
          <w:sz w:val="24"/>
          <w:szCs w:val="24"/>
        </w:rPr>
        <w:t xml:space="preserve">Tender </w:t>
      </w:r>
      <w:r w:rsidR="00CC0442" w:rsidRPr="009C7A95">
        <w:rPr>
          <w:rFonts w:ascii="Arial" w:hAnsi="Arial" w:cs="Arial"/>
          <w:sz w:val="24"/>
          <w:szCs w:val="24"/>
        </w:rPr>
        <w:t>Act. In fact, they admit non-compliance with the empowering legislation.</w:t>
      </w:r>
    </w:p>
    <w:p w:rsidR="009C7A95" w:rsidRPr="00150B5F" w:rsidRDefault="009C7A95" w:rsidP="00150B5F">
      <w:pPr>
        <w:rPr>
          <w:rFonts w:ascii="Arial" w:hAnsi="Arial" w:cs="Arial"/>
          <w:sz w:val="24"/>
          <w:szCs w:val="24"/>
        </w:rPr>
      </w:pPr>
    </w:p>
    <w:p w:rsidR="009C7A95" w:rsidRDefault="00CC0442" w:rsidP="007C2C6F">
      <w:pPr>
        <w:pStyle w:val="NoSpacing"/>
        <w:numPr>
          <w:ilvl w:val="0"/>
          <w:numId w:val="16"/>
        </w:numPr>
        <w:spacing w:line="480" w:lineRule="auto"/>
        <w:ind w:left="0" w:firstLine="0"/>
        <w:jc w:val="both"/>
        <w:rPr>
          <w:rFonts w:ascii="Arial" w:hAnsi="Arial" w:cs="Arial"/>
          <w:sz w:val="24"/>
          <w:szCs w:val="24"/>
        </w:rPr>
      </w:pPr>
      <w:r w:rsidRPr="009C7A95">
        <w:rPr>
          <w:rFonts w:ascii="Arial" w:hAnsi="Arial" w:cs="Arial"/>
          <w:sz w:val="24"/>
          <w:szCs w:val="24"/>
        </w:rPr>
        <w:t xml:space="preserve"> </w:t>
      </w:r>
      <w:r w:rsidR="003C6082">
        <w:rPr>
          <w:rFonts w:ascii="Arial" w:hAnsi="Arial" w:cs="Arial"/>
          <w:sz w:val="24"/>
          <w:szCs w:val="24"/>
        </w:rPr>
        <w:t>Art</w:t>
      </w:r>
      <w:r w:rsidR="00ED3BD9">
        <w:rPr>
          <w:rFonts w:ascii="Arial" w:hAnsi="Arial" w:cs="Arial"/>
          <w:sz w:val="24"/>
          <w:szCs w:val="24"/>
        </w:rPr>
        <w:t>icle</w:t>
      </w:r>
      <w:r w:rsidR="003C6082">
        <w:rPr>
          <w:rFonts w:ascii="Arial" w:hAnsi="Arial" w:cs="Arial"/>
          <w:sz w:val="24"/>
          <w:szCs w:val="24"/>
        </w:rPr>
        <w:t xml:space="preserve"> 25 of the Constitution</w:t>
      </w:r>
      <w:r w:rsidR="00507C36">
        <w:rPr>
          <w:rStyle w:val="FootnoteReference"/>
          <w:rFonts w:ascii="Arial" w:hAnsi="Arial" w:cs="Arial"/>
          <w:sz w:val="24"/>
          <w:szCs w:val="24"/>
        </w:rPr>
        <w:footnoteReference w:id="38"/>
      </w:r>
      <w:r w:rsidR="00507C36">
        <w:rPr>
          <w:rFonts w:ascii="Arial" w:hAnsi="Arial" w:cs="Arial"/>
          <w:sz w:val="24"/>
          <w:szCs w:val="24"/>
        </w:rPr>
        <w:t xml:space="preserve"> </w:t>
      </w:r>
      <w:r w:rsidR="003C6082">
        <w:rPr>
          <w:rFonts w:ascii="Arial" w:hAnsi="Arial" w:cs="Arial"/>
          <w:sz w:val="24"/>
          <w:szCs w:val="24"/>
        </w:rPr>
        <w:t>enjoins agencies of Government</w:t>
      </w:r>
      <w:r w:rsidR="00AD4A0A">
        <w:rPr>
          <w:rFonts w:ascii="Arial" w:hAnsi="Arial" w:cs="Arial"/>
          <w:sz w:val="24"/>
          <w:szCs w:val="24"/>
        </w:rPr>
        <w:t xml:space="preserve"> </w:t>
      </w:r>
      <w:r w:rsidR="00AF0F99">
        <w:rPr>
          <w:rFonts w:ascii="Arial" w:hAnsi="Arial" w:cs="Arial"/>
          <w:sz w:val="24"/>
          <w:szCs w:val="24"/>
        </w:rPr>
        <w:t xml:space="preserve">– </w:t>
      </w:r>
      <w:r w:rsidR="00AD4A0A">
        <w:rPr>
          <w:rFonts w:ascii="Arial" w:hAnsi="Arial" w:cs="Arial"/>
          <w:sz w:val="24"/>
          <w:szCs w:val="24"/>
        </w:rPr>
        <w:t>the</w:t>
      </w:r>
      <w:r w:rsidR="00AF0F99">
        <w:rPr>
          <w:rFonts w:ascii="Arial" w:hAnsi="Arial" w:cs="Arial"/>
          <w:sz w:val="24"/>
          <w:szCs w:val="24"/>
        </w:rPr>
        <w:t xml:space="preserve"> </w:t>
      </w:r>
      <w:r w:rsidR="00AD4A0A">
        <w:rPr>
          <w:rFonts w:ascii="Arial" w:hAnsi="Arial" w:cs="Arial"/>
          <w:sz w:val="24"/>
          <w:szCs w:val="24"/>
        </w:rPr>
        <w:t>Board</w:t>
      </w:r>
      <w:r w:rsidR="00AF0F99">
        <w:rPr>
          <w:rFonts w:ascii="Arial" w:hAnsi="Arial" w:cs="Arial"/>
          <w:sz w:val="24"/>
          <w:szCs w:val="24"/>
        </w:rPr>
        <w:t xml:space="preserve"> in this case</w:t>
      </w:r>
      <w:r w:rsidR="00AD4A0A">
        <w:rPr>
          <w:rFonts w:ascii="Arial" w:hAnsi="Arial" w:cs="Arial"/>
          <w:sz w:val="24"/>
          <w:szCs w:val="24"/>
        </w:rPr>
        <w:t xml:space="preserve"> −</w:t>
      </w:r>
      <w:r w:rsidR="00792B66">
        <w:rPr>
          <w:rFonts w:ascii="Arial" w:hAnsi="Arial" w:cs="Arial"/>
          <w:sz w:val="24"/>
          <w:szCs w:val="24"/>
        </w:rPr>
        <w:t xml:space="preserve"> </w:t>
      </w:r>
      <w:r w:rsidR="003C6082">
        <w:rPr>
          <w:rFonts w:ascii="Arial" w:hAnsi="Arial" w:cs="Arial"/>
          <w:sz w:val="24"/>
          <w:szCs w:val="24"/>
        </w:rPr>
        <w:t xml:space="preserve">not to take any action which </w:t>
      </w:r>
      <w:r w:rsidR="00DD0F73">
        <w:rPr>
          <w:rFonts w:ascii="Arial" w:hAnsi="Arial" w:cs="Arial"/>
          <w:sz w:val="24"/>
          <w:szCs w:val="24"/>
        </w:rPr>
        <w:t xml:space="preserve">breaches </w:t>
      </w:r>
      <w:r w:rsidR="003C6082">
        <w:rPr>
          <w:rFonts w:ascii="Arial" w:hAnsi="Arial" w:cs="Arial"/>
          <w:sz w:val="24"/>
          <w:szCs w:val="24"/>
        </w:rPr>
        <w:t xml:space="preserve">the fundamental </w:t>
      </w:r>
      <w:r w:rsidR="00792B66">
        <w:rPr>
          <w:rFonts w:ascii="Arial" w:hAnsi="Arial" w:cs="Arial"/>
          <w:sz w:val="24"/>
          <w:szCs w:val="24"/>
        </w:rPr>
        <w:t xml:space="preserve">rights </w:t>
      </w:r>
      <w:r w:rsidR="003C6082">
        <w:rPr>
          <w:rFonts w:ascii="Arial" w:hAnsi="Arial" w:cs="Arial"/>
          <w:sz w:val="24"/>
          <w:szCs w:val="24"/>
        </w:rPr>
        <w:t>conferred by the Constitution, including the rights under Art</w:t>
      </w:r>
      <w:r w:rsidR="007A3143">
        <w:rPr>
          <w:rFonts w:ascii="Arial" w:hAnsi="Arial" w:cs="Arial"/>
          <w:sz w:val="24"/>
          <w:szCs w:val="24"/>
        </w:rPr>
        <w:t>icle</w:t>
      </w:r>
      <w:r w:rsidR="003C6082">
        <w:rPr>
          <w:rFonts w:ascii="Arial" w:hAnsi="Arial" w:cs="Arial"/>
          <w:sz w:val="24"/>
          <w:szCs w:val="24"/>
        </w:rPr>
        <w:t xml:space="preserve"> 18. </w:t>
      </w:r>
      <w:r w:rsidR="00792B66">
        <w:rPr>
          <w:rFonts w:ascii="Arial" w:hAnsi="Arial" w:cs="Arial"/>
          <w:sz w:val="24"/>
          <w:szCs w:val="24"/>
        </w:rPr>
        <w:t>Unquestionably,</w:t>
      </w:r>
      <w:r w:rsidR="007A3143">
        <w:rPr>
          <w:rFonts w:ascii="Arial" w:hAnsi="Arial" w:cs="Arial"/>
          <w:sz w:val="24"/>
          <w:szCs w:val="24"/>
        </w:rPr>
        <w:t xml:space="preserve"> as aforementioned</w:t>
      </w:r>
      <w:r w:rsidR="00792B66">
        <w:rPr>
          <w:rFonts w:ascii="Arial" w:hAnsi="Arial" w:cs="Arial"/>
          <w:sz w:val="24"/>
          <w:szCs w:val="24"/>
        </w:rPr>
        <w:t xml:space="preserve"> the Board and the Ministry </w:t>
      </w:r>
      <w:r w:rsidR="003C6082">
        <w:rPr>
          <w:rFonts w:ascii="Arial" w:hAnsi="Arial" w:cs="Arial"/>
          <w:sz w:val="24"/>
          <w:szCs w:val="24"/>
        </w:rPr>
        <w:t>acted in breach of the implicated</w:t>
      </w:r>
      <w:r w:rsidR="00486A8E">
        <w:rPr>
          <w:rFonts w:ascii="Arial" w:hAnsi="Arial" w:cs="Arial"/>
          <w:sz w:val="24"/>
          <w:szCs w:val="24"/>
        </w:rPr>
        <w:t xml:space="preserve"> right</w:t>
      </w:r>
      <w:r w:rsidR="008C29ED">
        <w:rPr>
          <w:rFonts w:ascii="Arial" w:hAnsi="Arial" w:cs="Arial"/>
          <w:sz w:val="24"/>
          <w:szCs w:val="24"/>
        </w:rPr>
        <w:t xml:space="preserve"> contrary to Article 25</w:t>
      </w:r>
      <w:r w:rsidR="000C7167">
        <w:rPr>
          <w:rFonts w:ascii="Arial" w:hAnsi="Arial" w:cs="Arial"/>
          <w:sz w:val="24"/>
          <w:szCs w:val="24"/>
        </w:rPr>
        <w:t xml:space="preserve">. </w:t>
      </w:r>
    </w:p>
    <w:p w:rsidR="009C7A95" w:rsidRPr="00150B5F" w:rsidRDefault="009C7A95" w:rsidP="00150B5F">
      <w:pPr>
        <w:rPr>
          <w:rFonts w:ascii="Arial" w:hAnsi="Arial" w:cs="Arial"/>
          <w:sz w:val="24"/>
          <w:szCs w:val="24"/>
        </w:rPr>
      </w:pPr>
    </w:p>
    <w:p w:rsidR="00C504ED" w:rsidRPr="00104D6A" w:rsidRDefault="00776D35" w:rsidP="00EE36F8">
      <w:pPr>
        <w:pStyle w:val="NoSpacing"/>
        <w:numPr>
          <w:ilvl w:val="0"/>
          <w:numId w:val="16"/>
        </w:numPr>
        <w:spacing w:line="480" w:lineRule="auto"/>
        <w:ind w:left="0" w:firstLine="0"/>
        <w:jc w:val="both"/>
        <w:rPr>
          <w:rFonts w:ascii="Arial" w:hAnsi="Arial" w:cs="Arial"/>
          <w:sz w:val="24"/>
          <w:szCs w:val="24"/>
        </w:rPr>
      </w:pPr>
      <w:r w:rsidRPr="009C7A95">
        <w:rPr>
          <w:rFonts w:ascii="Arial" w:hAnsi="Arial" w:cs="Arial"/>
          <w:sz w:val="24"/>
          <w:szCs w:val="24"/>
        </w:rPr>
        <w:t xml:space="preserve"> </w:t>
      </w:r>
      <w:r w:rsidRPr="005C3AF0">
        <w:rPr>
          <w:rFonts w:ascii="Arial" w:hAnsi="Arial" w:cs="Arial"/>
          <w:sz w:val="24"/>
          <w:szCs w:val="24"/>
        </w:rPr>
        <w:t xml:space="preserve">The High </w:t>
      </w:r>
      <w:r w:rsidR="00662971">
        <w:rPr>
          <w:rFonts w:ascii="Arial" w:hAnsi="Arial" w:cs="Arial"/>
          <w:sz w:val="24"/>
          <w:szCs w:val="24"/>
        </w:rPr>
        <w:t>Court</w:t>
      </w:r>
      <w:r w:rsidRPr="005C3AF0">
        <w:rPr>
          <w:rFonts w:ascii="Arial" w:hAnsi="Arial" w:cs="Arial"/>
          <w:sz w:val="24"/>
          <w:szCs w:val="24"/>
        </w:rPr>
        <w:t xml:space="preserve"> correct</w:t>
      </w:r>
      <w:r w:rsidR="0013523F" w:rsidRPr="005C3AF0">
        <w:rPr>
          <w:rFonts w:ascii="Arial" w:hAnsi="Arial" w:cs="Arial"/>
          <w:sz w:val="24"/>
          <w:szCs w:val="24"/>
        </w:rPr>
        <w:t xml:space="preserve">ly recognised </w:t>
      </w:r>
      <w:r w:rsidRPr="005C3AF0">
        <w:rPr>
          <w:rFonts w:ascii="Arial" w:hAnsi="Arial" w:cs="Arial"/>
          <w:sz w:val="24"/>
          <w:szCs w:val="24"/>
        </w:rPr>
        <w:t xml:space="preserve">that </w:t>
      </w:r>
      <w:r w:rsidR="00AA21BF" w:rsidRPr="005C3AF0">
        <w:rPr>
          <w:rFonts w:ascii="Arial" w:hAnsi="Arial" w:cs="Arial"/>
          <w:sz w:val="24"/>
          <w:szCs w:val="24"/>
        </w:rPr>
        <w:t>‘</w:t>
      </w:r>
      <w:r w:rsidR="003C6082" w:rsidRPr="005C3AF0">
        <w:rPr>
          <w:rFonts w:ascii="Arial" w:hAnsi="Arial" w:cs="Arial"/>
          <w:sz w:val="24"/>
          <w:szCs w:val="24"/>
        </w:rPr>
        <w:t>t</w:t>
      </w:r>
      <w:r w:rsidRPr="005C3AF0">
        <w:rPr>
          <w:rFonts w:ascii="Arial" w:hAnsi="Arial" w:cs="Arial"/>
          <w:sz w:val="24"/>
          <w:szCs w:val="24"/>
        </w:rPr>
        <w:t>he Cons</w:t>
      </w:r>
      <w:r w:rsidR="004F02DE" w:rsidRPr="005C3AF0">
        <w:rPr>
          <w:rFonts w:ascii="Arial" w:hAnsi="Arial" w:cs="Arial"/>
          <w:sz w:val="24"/>
          <w:szCs w:val="24"/>
        </w:rPr>
        <w:t>titution</w:t>
      </w:r>
      <w:r w:rsidRPr="005C3AF0">
        <w:rPr>
          <w:rFonts w:ascii="Arial" w:hAnsi="Arial" w:cs="Arial"/>
          <w:sz w:val="24"/>
          <w:szCs w:val="24"/>
        </w:rPr>
        <w:t>, in Article 18,</w:t>
      </w:r>
      <w:r w:rsidRPr="009C7A95">
        <w:rPr>
          <w:rFonts w:ascii="Arial" w:hAnsi="Arial" w:cs="Arial"/>
          <w:sz w:val="24"/>
          <w:szCs w:val="24"/>
        </w:rPr>
        <w:t xml:space="preserve"> imposes an obligation on officials to act, fairly, reasonably and lawfull</w:t>
      </w:r>
      <w:r w:rsidR="00AA21BF">
        <w:rPr>
          <w:rFonts w:ascii="Arial" w:hAnsi="Arial" w:cs="Arial"/>
          <w:sz w:val="24"/>
          <w:szCs w:val="24"/>
        </w:rPr>
        <w:t>y when exercising public power.’</w:t>
      </w:r>
      <w:r>
        <w:rPr>
          <w:rStyle w:val="FootnoteReference"/>
          <w:rFonts w:ascii="Arial" w:hAnsi="Arial" w:cs="Arial"/>
          <w:sz w:val="24"/>
          <w:szCs w:val="24"/>
        </w:rPr>
        <w:footnoteReference w:id="39"/>
      </w:r>
      <w:r w:rsidR="00CC392E">
        <w:rPr>
          <w:rFonts w:ascii="Arial" w:hAnsi="Arial" w:cs="Arial"/>
          <w:sz w:val="24"/>
          <w:szCs w:val="24"/>
        </w:rPr>
        <w:t xml:space="preserve"> </w:t>
      </w:r>
      <w:r w:rsidR="0013523F">
        <w:rPr>
          <w:rFonts w:ascii="Arial" w:hAnsi="Arial" w:cs="Arial"/>
          <w:sz w:val="24"/>
          <w:szCs w:val="24"/>
        </w:rPr>
        <w:t xml:space="preserve">It </w:t>
      </w:r>
      <w:r w:rsidR="000C7167">
        <w:rPr>
          <w:rFonts w:ascii="Arial" w:hAnsi="Arial" w:cs="Arial"/>
          <w:sz w:val="24"/>
          <w:szCs w:val="24"/>
        </w:rPr>
        <w:t xml:space="preserve">remarked </w:t>
      </w:r>
      <w:r w:rsidR="00AA21BF">
        <w:rPr>
          <w:rFonts w:ascii="Arial" w:hAnsi="Arial" w:cs="Arial"/>
          <w:sz w:val="24"/>
          <w:szCs w:val="24"/>
        </w:rPr>
        <w:t>that ‘</w:t>
      </w:r>
      <w:r w:rsidR="000C7167">
        <w:rPr>
          <w:rFonts w:ascii="Arial" w:hAnsi="Arial" w:cs="Arial"/>
          <w:sz w:val="24"/>
          <w:szCs w:val="24"/>
        </w:rPr>
        <w:t>from the deli</w:t>
      </w:r>
      <w:r w:rsidR="00436DF0">
        <w:rPr>
          <w:rFonts w:ascii="Arial" w:hAnsi="Arial" w:cs="Arial"/>
          <w:sz w:val="24"/>
          <w:szCs w:val="24"/>
        </w:rPr>
        <w:t>b</w:t>
      </w:r>
      <w:r w:rsidRPr="009C7A95">
        <w:rPr>
          <w:rFonts w:ascii="Arial" w:hAnsi="Arial" w:cs="Arial"/>
          <w:sz w:val="24"/>
          <w:szCs w:val="24"/>
        </w:rPr>
        <w:t xml:space="preserve">erations quoted [in the judgment], it is clear that the initial evaluation of the tender was </w:t>
      </w:r>
      <w:r w:rsidRPr="00AF0F99">
        <w:rPr>
          <w:rFonts w:ascii="Arial" w:hAnsi="Arial" w:cs="Arial"/>
          <w:sz w:val="24"/>
          <w:szCs w:val="24"/>
        </w:rPr>
        <w:t>not based on a lawful and fair process as enjoined by the Constitution</w:t>
      </w:r>
      <w:r w:rsidR="00AF0F99">
        <w:rPr>
          <w:rFonts w:ascii="Arial" w:hAnsi="Arial" w:cs="Arial"/>
          <w:sz w:val="24"/>
          <w:szCs w:val="24"/>
        </w:rPr>
        <w:t xml:space="preserve">. . . . ‘ </w:t>
      </w:r>
      <w:r w:rsidRPr="00AF0F99">
        <w:rPr>
          <w:rFonts w:ascii="Arial" w:hAnsi="Arial" w:cs="Arial"/>
          <w:sz w:val="24"/>
          <w:szCs w:val="24"/>
        </w:rPr>
        <w:t>It i</w:t>
      </w:r>
      <w:r w:rsidR="004F02DE" w:rsidRPr="00AF0F99">
        <w:rPr>
          <w:rFonts w:ascii="Arial" w:hAnsi="Arial" w:cs="Arial"/>
          <w:sz w:val="24"/>
          <w:szCs w:val="24"/>
        </w:rPr>
        <w:t>s</w:t>
      </w:r>
      <w:r w:rsidR="00436DF0" w:rsidRPr="00AF0F99">
        <w:rPr>
          <w:rFonts w:ascii="Arial" w:hAnsi="Arial" w:cs="Arial"/>
          <w:sz w:val="24"/>
          <w:szCs w:val="24"/>
        </w:rPr>
        <w:t xml:space="preserve"> there</w:t>
      </w:r>
      <w:r w:rsidR="00436DF0">
        <w:rPr>
          <w:rFonts w:ascii="Arial" w:hAnsi="Arial" w:cs="Arial"/>
          <w:sz w:val="24"/>
          <w:szCs w:val="24"/>
        </w:rPr>
        <w:t>fore astounding</w:t>
      </w:r>
      <w:r w:rsidR="00C504ED" w:rsidRPr="009C7A95">
        <w:rPr>
          <w:rFonts w:ascii="Arial" w:hAnsi="Arial" w:cs="Arial"/>
          <w:sz w:val="24"/>
          <w:szCs w:val="24"/>
        </w:rPr>
        <w:t xml:space="preserve"> </w:t>
      </w:r>
      <w:r w:rsidR="004F02DE" w:rsidRPr="009C7A95">
        <w:rPr>
          <w:rFonts w:ascii="Arial" w:hAnsi="Arial" w:cs="Arial"/>
          <w:sz w:val="24"/>
          <w:szCs w:val="24"/>
        </w:rPr>
        <w:t xml:space="preserve">that the </w:t>
      </w:r>
      <w:r w:rsidR="00662971">
        <w:rPr>
          <w:rFonts w:ascii="Arial" w:hAnsi="Arial" w:cs="Arial"/>
          <w:sz w:val="24"/>
          <w:szCs w:val="24"/>
        </w:rPr>
        <w:t>Court</w:t>
      </w:r>
      <w:r w:rsidR="004237BF" w:rsidRPr="009C7A95">
        <w:rPr>
          <w:rFonts w:ascii="Arial" w:hAnsi="Arial" w:cs="Arial"/>
          <w:sz w:val="24"/>
          <w:szCs w:val="24"/>
        </w:rPr>
        <w:t xml:space="preserve">, despite the </w:t>
      </w:r>
      <w:r w:rsidR="00436DF0">
        <w:rPr>
          <w:rFonts w:ascii="Arial" w:hAnsi="Arial" w:cs="Arial"/>
          <w:sz w:val="24"/>
          <w:szCs w:val="24"/>
        </w:rPr>
        <w:t xml:space="preserve">acknowledgment </w:t>
      </w:r>
      <w:r w:rsidR="004237BF" w:rsidRPr="009C7A95">
        <w:rPr>
          <w:rFonts w:ascii="Arial" w:hAnsi="Arial" w:cs="Arial"/>
          <w:sz w:val="24"/>
          <w:szCs w:val="24"/>
        </w:rPr>
        <w:t>for non-compliance with statutory prescripts</w:t>
      </w:r>
      <w:r w:rsidR="004F02DE" w:rsidRPr="009C7A95">
        <w:rPr>
          <w:rFonts w:ascii="Arial" w:hAnsi="Arial" w:cs="Arial"/>
          <w:sz w:val="24"/>
          <w:szCs w:val="24"/>
        </w:rPr>
        <w:t xml:space="preserve"> (the section 16 obligations)</w:t>
      </w:r>
      <w:r w:rsidR="007F25C4">
        <w:rPr>
          <w:rFonts w:ascii="Arial" w:hAnsi="Arial" w:cs="Arial"/>
          <w:sz w:val="24"/>
          <w:szCs w:val="24"/>
        </w:rPr>
        <w:t xml:space="preserve"> by the Government respondents,</w:t>
      </w:r>
      <w:r w:rsidR="004237BF" w:rsidRPr="009C7A95">
        <w:rPr>
          <w:rFonts w:ascii="Arial" w:hAnsi="Arial" w:cs="Arial"/>
          <w:sz w:val="24"/>
          <w:szCs w:val="24"/>
        </w:rPr>
        <w:t xml:space="preserve"> did not </w:t>
      </w:r>
      <w:r w:rsidR="0013523F">
        <w:rPr>
          <w:rFonts w:ascii="Arial" w:hAnsi="Arial" w:cs="Arial"/>
          <w:sz w:val="24"/>
          <w:szCs w:val="24"/>
        </w:rPr>
        <w:t>act in te</w:t>
      </w:r>
      <w:r w:rsidR="00436DF0">
        <w:rPr>
          <w:rFonts w:ascii="Arial" w:hAnsi="Arial" w:cs="Arial"/>
          <w:sz w:val="24"/>
          <w:szCs w:val="24"/>
        </w:rPr>
        <w:t>rms of Article 5 of the</w:t>
      </w:r>
      <w:r w:rsidR="0013523F">
        <w:rPr>
          <w:rFonts w:ascii="Arial" w:hAnsi="Arial" w:cs="Arial"/>
          <w:sz w:val="24"/>
          <w:szCs w:val="24"/>
        </w:rPr>
        <w:t xml:space="preserve"> Constitution to protect the</w:t>
      </w:r>
      <w:r w:rsidR="007F25C4">
        <w:rPr>
          <w:rFonts w:ascii="Arial" w:hAnsi="Arial" w:cs="Arial"/>
          <w:sz w:val="24"/>
          <w:szCs w:val="24"/>
        </w:rPr>
        <w:t xml:space="preserve"> rights of the appellants.</w:t>
      </w:r>
      <w:r w:rsidR="004237BF" w:rsidRPr="009C7A95">
        <w:rPr>
          <w:rFonts w:ascii="Arial" w:hAnsi="Arial" w:cs="Arial"/>
          <w:sz w:val="24"/>
          <w:szCs w:val="24"/>
        </w:rPr>
        <w:t xml:space="preserve"> Langa CJ</w:t>
      </w:r>
      <w:r w:rsidR="004F02DE" w:rsidRPr="009C7A95">
        <w:rPr>
          <w:rFonts w:ascii="Arial" w:hAnsi="Arial" w:cs="Arial"/>
          <w:sz w:val="24"/>
          <w:szCs w:val="24"/>
        </w:rPr>
        <w:t>,</w:t>
      </w:r>
      <w:r w:rsidR="004237BF" w:rsidRPr="009C7A95">
        <w:rPr>
          <w:rFonts w:ascii="Arial" w:hAnsi="Arial" w:cs="Arial"/>
          <w:sz w:val="24"/>
          <w:szCs w:val="24"/>
        </w:rPr>
        <w:t xml:space="preserve"> in the decision of the Constitutional </w:t>
      </w:r>
      <w:r w:rsidR="00662971">
        <w:rPr>
          <w:rFonts w:ascii="Arial" w:hAnsi="Arial" w:cs="Arial"/>
          <w:sz w:val="24"/>
          <w:szCs w:val="24"/>
        </w:rPr>
        <w:t>Court</w:t>
      </w:r>
      <w:r w:rsidR="004237BF" w:rsidRPr="009C7A95">
        <w:rPr>
          <w:rFonts w:ascii="Arial" w:hAnsi="Arial" w:cs="Arial"/>
          <w:sz w:val="24"/>
          <w:szCs w:val="24"/>
        </w:rPr>
        <w:t xml:space="preserve"> of South Africa in </w:t>
      </w:r>
      <w:r w:rsidR="004237BF" w:rsidRPr="005C3AF0">
        <w:rPr>
          <w:rFonts w:ascii="Arial" w:hAnsi="Arial" w:cs="Arial"/>
          <w:i/>
          <w:sz w:val="24"/>
          <w:szCs w:val="24"/>
        </w:rPr>
        <w:t>Chirwa,</w:t>
      </w:r>
      <w:r w:rsidR="004237BF" w:rsidRPr="005C3AF0">
        <w:rPr>
          <w:rStyle w:val="FootnoteReference"/>
          <w:rFonts w:ascii="Arial" w:hAnsi="Arial" w:cs="Arial"/>
          <w:sz w:val="24"/>
          <w:szCs w:val="24"/>
        </w:rPr>
        <w:footnoteReference w:id="40"/>
      </w:r>
      <w:r w:rsidR="008D599A">
        <w:rPr>
          <w:rFonts w:ascii="Arial" w:hAnsi="Arial" w:cs="Arial"/>
          <w:sz w:val="24"/>
          <w:szCs w:val="24"/>
        </w:rPr>
        <w:t xml:space="preserve"> cautioned that </w:t>
      </w:r>
      <w:r w:rsidR="004237BF" w:rsidRPr="005C3AF0">
        <w:rPr>
          <w:rFonts w:ascii="Arial" w:hAnsi="Arial" w:cs="Arial"/>
          <w:sz w:val="24"/>
          <w:szCs w:val="24"/>
        </w:rPr>
        <w:t>litigants are entitled to the full protection of all and any applicable rights</w:t>
      </w:r>
      <w:r w:rsidR="000A3182" w:rsidRPr="005C3AF0">
        <w:rPr>
          <w:rFonts w:ascii="Arial" w:hAnsi="Arial" w:cs="Arial"/>
          <w:sz w:val="24"/>
          <w:szCs w:val="24"/>
        </w:rPr>
        <w:t xml:space="preserve"> and that is why </w:t>
      </w:r>
      <w:r w:rsidR="00662971">
        <w:rPr>
          <w:rFonts w:ascii="Arial" w:hAnsi="Arial" w:cs="Arial"/>
          <w:sz w:val="24"/>
          <w:szCs w:val="24"/>
        </w:rPr>
        <w:t>Court</w:t>
      </w:r>
      <w:r w:rsidR="000A3182" w:rsidRPr="005C3AF0">
        <w:rPr>
          <w:rFonts w:ascii="Arial" w:hAnsi="Arial" w:cs="Arial"/>
          <w:sz w:val="24"/>
          <w:szCs w:val="24"/>
        </w:rPr>
        <w:t xml:space="preserve">s </w:t>
      </w:r>
      <w:r w:rsidR="004237BF" w:rsidRPr="005C3AF0">
        <w:rPr>
          <w:rFonts w:ascii="Arial" w:hAnsi="Arial" w:cs="Arial"/>
          <w:sz w:val="24"/>
          <w:szCs w:val="24"/>
        </w:rPr>
        <w:t>s</w:t>
      </w:r>
      <w:r w:rsidR="00153C93" w:rsidRPr="005C3AF0">
        <w:rPr>
          <w:rFonts w:ascii="Arial" w:hAnsi="Arial" w:cs="Arial"/>
          <w:sz w:val="24"/>
          <w:szCs w:val="24"/>
        </w:rPr>
        <w:t>hould not presume to determine that the essence</w:t>
      </w:r>
      <w:r w:rsidR="004237BF" w:rsidRPr="005C3AF0">
        <w:rPr>
          <w:rFonts w:ascii="Arial" w:hAnsi="Arial" w:cs="Arial"/>
          <w:sz w:val="24"/>
          <w:szCs w:val="24"/>
        </w:rPr>
        <w:t xml:space="preserve"> of a claim engages</w:t>
      </w:r>
      <w:r w:rsidR="0013523F" w:rsidRPr="005C3AF0">
        <w:rPr>
          <w:rFonts w:ascii="Arial" w:hAnsi="Arial" w:cs="Arial"/>
          <w:sz w:val="24"/>
          <w:szCs w:val="24"/>
        </w:rPr>
        <w:t xml:space="preserve"> </w:t>
      </w:r>
      <w:r w:rsidR="004237BF" w:rsidRPr="005C3AF0">
        <w:rPr>
          <w:rFonts w:ascii="Arial" w:hAnsi="Arial" w:cs="Arial"/>
          <w:sz w:val="24"/>
          <w:szCs w:val="24"/>
        </w:rPr>
        <w:t>one right more than another</w:t>
      </w:r>
      <w:r w:rsidR="000A3182" w:rsidRPr="005C3AF0">
        <w:rPr>
          <w:rFonts w:ascii="Arial" w:hAnsi="Arial" w:cs="Arial"/>
          <w:sz w:val="24"/>
          <w:szCs w:val="24"/>
        </w:rPr>
        <w:t>.</w:t>
      </w:r>
      <w:r w:rsidR="008D599A">
        <w:rPr>
          <w:rStyle w:val="FootnoteReference"/>
          <w:rFonts w:ascii="Arial" w:hAnsi="Arial" w:cs="Arial"/>
          <w:sz w:val="24"/>
          <w:szCs w:val="24"/>
        </w:rPr>
        <w:footnoteReference w:id="41"/>
      </w:r>
    </w:p>
    <w:p w:rsidR="00776D35" w:rsidRDefault="004A3EDE"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seeking to defend the </w:t>
      </w:r>
      <w:r w:rsidR="0097703F">
        <w:rPr>
          <w:rFonts w:ascii="Arial" w:hAnsi="Arial" w:cs="Arial"/>
          <w:sz w:val="24"/>
          <w:szCs w:val="24"/>
        </w:rPr>
        <w:t>decision a quo t</w:t>
      </w:r>
      <w:r w:rsidR="0055405E">
        <w:rPr>
          <w:rFonts w:ascii="Arial" w:hAnsi="Arial" w:cs="Arial"/>
          <w:sz w:val="24"/>
          <w:szCs w:val="24"/>
        </w:rPr>
        <w:t xml:space="preserve">he Government </w:t>
      </w:r>
      <w:r w:rsidR="0097703F">
        <w:rPr>
          <w:rFonts w:ascii="Arial" w:hAnsi="Arial" w:cs="Arial"/>
          <w:sz w:val="24"/>
          <w:szCs w:val="24"/>
        </w:rPr>
        <w:t>respondent</w:t>
      </w:r>
      <w:r w:rsidR="00CC0442">
        <w:rPr>
          <w:rFonts w:ascii="Arial" w:hAnsi="Arial" w:cs="Arial"/>
          <w:sz w:val="24"/>
          <w:szCs w:val="24"/>
        </w:rPr>
        <w:t xml:space="preserve"> </w:t>
      </w:r>
      <w:r w:rsidR="0055405E">
        <w:rPr>
          <w:rFonts w:ascii="Arial" w:hAnsi="Arial" w:cs="Arial"/>
          <w:sz w:val="24"/>
          <w:szCs w:val="24"/>
        </w:rPr>
        <w:t>rel</w:t>
      </w:r>
      <w:r w:rsidR="0097703F">
        <w:rPr>
          <w:rFonts w:ascii="Arial" w:hAnsi="Arial" w:cs="Arial"/>
          <w:sz w:val="24"/>
          <w:szCs w:val="24"/>
        </w:rPr>
        <w:t>ied</w:t>
      </w:r>
      <w:r w:rsidR="00153C93">
        <w:rPr>
          <w:rFonts w:ascii="Arial" w:hAnsi="Arial" w:cs="Arial"/>
          <w:sz w:val="24"/>
          <w:szCs w:val="24"/>
        </w:rPr>
        <w:t>,</w:t>
      </w:r>
      <w:r w:rsidR="0097703F">
        <w:rPr>
          <w:rFonts w:ascii="Arial" w:hAnsi="Arial" w:cs="Arial"/>
          <w:sz w:val="24"/>
          <w:szCs w:val="24"/>
        </w:rPr>
        <w:t xml:space="preserve"> </w:t>
      </w:r>
      <w:r w:rsidR="005C41E8">
        <w:rPr>
          <w:rFonts w:ascii="Arial" w:hAnsi="Arial" w:cs="Arial"/>
          <w:sz w:val="24"/>
          <w:szCs w:val="24"/>
        </w:rPr>
        <w:t>in their written submissions</w:t>
      </w:r>
      <w:r w:rsidR="00153C93">
        <w:rPr>
          <w:rFonts w:ascii="Arial" w:hAnsi="Arial" w:cs="Arial"/>
          <w:sz w:val="24"/>
          <w:szCs w:val="24"/>
        </w:rPr>
        <w:t>,</w:t>
      </w:r>
      <w:r w:rsidR="005C41E8">
        <w:rPr>
          <w:rFonts w:ascii="Arial" w:hAnsi="Arial" w:cs="Arial"/>
          <w:sz w:val="24"/>
          <w:szCs w:val="24"/>
        </w:rPr>
        <w:t xml:space="preserve"> on </w:t>
      </w:r>
      <w:r w:rsidR="00927063" w:rsidRPr="00EE36F8">
        <w:rPr>
          <w:rFonts w:ascii="Arial" w:hAnsi="Arial" w:cs="Arial"/>
          <w:sz w:val="24"/>
          <w:szCs w:val="24"/>
        </w:rPr>
        <w:t xml:space="preserve">section 15 </w:t>
      </w:r>
      <w:r w:rsidR="0055405E">
        <w:rPr>
          <w:rFonts w:ascii="Arial" w:hAnsi="Arial" w:cs="Arial"/>
          <w:sz w:val="24"/>
          <w:szCs w:val="24"/>
        </w:rPr>
        <w:t>of the</w:t>
      </w:r>
      <w:r w:rsidR="00153C93">
        <w:rPr>
          <w:rFonts w:ascii="Arial" w:hAnsi="Arial" w:cs="Arial"/>
          <w:sz w:val="24"/>
          <w:szCs w:val="24"/>
        </w:rPr>
        <w:t xml:space="preserve"> Tender</w:t>
      </w:r>
      <w:r w:rsidR="0055405E">
        <w:rPr>
          <w:rFonts w:ascii="Arial" w:hAnsi="Arial" w:cs="Arial"/>
          <w:sz w:val="24"/>
          <w:szCs w:val="24"/>
        </w:rPr>
        <w:t xml:space="preserve"> Act and submit</w:t>
      </w:r>
      <w:r w:rsidR="0097703F">
        <w:rPr>
          <w:rFonts w:ascii="Arial" w:hAnsi="Arial" w:cs="Arial"/>
          <w:sz w:val="24"/>
          <w:szCs w:val="24"/>
        </w:rPr>
        <w:t>ted</w:t>
      </w:r>
      <w:r w:rsidR="00AF0F99">
        <w:rPr>
          <w:rFonts w:ascii="Arial" w:hAnsi="Arial" w:cs="Arial"/>
          <w:sz w:val="24"/>
          <w:szCs w:val="24"/>
        </w:rPr>
        <w:t xml:space="preserve"> that in any event (</w:t>
      </w:r>
      <w:r w:rsidR="00CC0442">
        <w:rPr>
          <w:rFonts w:ascii="Arial" w:hAnsi="Arial" w:cs="Arial"/>
          <w:sz w:val="24"/>
          <w:szCs w:val="24"/>
        </w:rPr>
        <w:t>the</w:t>
      </w:r>
      <w:r w:rsidR="0055405E">
        <w:rPr>
          <w:rFonts w:ascii="Arial" w:hAnsi="Arial" w:cs="Arial"/>
          <w:sz w:val="24"/>
          <w:szCs w:val="24"/>
        </w:rPr>
        <w:t xml:space="preserve"> corruption ground aside</w:t>
      </w:r>
      <w:r w:rsidR="00755982">
        <w:rPr>
          <w:rFonts w:ascii="Arial" w:hAnsi="Arial" w:cs="Arial"/>
          <w:sz w:val="24"/>
          <w:szCs w:val="24"/>
        </w:rPr>
        <w:t>)</w:t>
      </w:r>
      <w:r w:rsidR="00776D35">
        <w:rPr>
          <w:rFonts w:ascii="Arial" w:hAnsi="Arial" w:cs="Arial"/>
          <w:sz w:val="24"/>
          <w:szCs w:val="24"/>
        </w:rPr>
        <w:t>−</w:t>
      </w:r>
    </w:p>
    <w:p w:rsidR="00DA09C2" w:rsidRPr="000A3182" w:rsidRDefault="00AA21BF" w:rsidP="00AA21BF">
      <w:pPr>
        <w:pStyle w:val="NoSpacing"/>
        <w:spacing w:line="360" w:lineRule="auto"/>
        <w:ind w:left="720"/>
        <w:jc w:val="both"/>
        <w:rPr>
          <w:rFonts w:ascii="Arial" w:hAnsi="Arial" w:cs="Arial"/>
        </w:rPr>
      </w:pPr>
      <w:r>
        <w:rPr>
          <w:rFonts w:ascii="Arial" w:hAnsi="Arial" w:cs="Arial"/>
        </w:rPr>
        <w:t>‘</w:t>
      </w:r>
      <w:r w:rsidR="00DA09C2" w:rsidRPr="000A3182">
        <w:rPr>
          <w:rFonts w:ascii="Arial" w:hAnsi="Arial" w:cs="Arial"/>
        </w:rPr>
        <w:t xml:space="preserve">the revelations by the technical person that the tender specifications and conditions required that all tenderers include in their chosen region special school hostels, and if not, such a tenderer would be disqualified was important, and </w:t>
      </w:r>
      <w:r w:rsidR="00DA09C2" w:rsidRPr="00AA21BF">
        <w:rPr>
          <w:rFonts w:ascii="Arial" w:hAnsi="Arial" w:cs="Arial"/>
          <w:i/>
          <w:u w:val="single"/>
        </w:rPr>
        <w:t>in</w:t>
      </w:r>
      <w:r w:rsidR="00DA09C2" w:rsidRPr="000A3182">
        <w:rPr>
          <w:rFonts w:ascii="Arial" w:hAnsi="Arial" w:cs="Arial"/>
          <w:i/>
          <w:u w:val="single"/>
        </w:rPr>
        <w:t xml:space="preserve"> fact decisive,</w:t>
      </w:r>
      <w:r w:rsidR="00DA09C2" w:rsidRPr="000A3182">
        <w:rPr>
          <w:rFonts w:ascii="Arial" w:hAnsi="Arial" w:cs="Arial"/>
        </w:rPr>
        <w:t xml:space="preserve"> as section 15(2)(a) of the Act prohibits the Tender Board from considering any tender t</w:t>
      </w:r>
      <w:r w:rsidR="001F3E8A">
        <w:rPr>
          <w:rFonts w:ascii="Arial" w:hAnsi="Arial" w:cs="Arial"/>
        </w:rPr>
        <w:t>hat does not meet any or all of</w:t>
      </w:r>
      <w:r w:rsidR="00DA09C2" w:rsidRPr="000A3182">
        <w:rPr>
          <w:rFonts w:ascii="Arial" w:hAnsi="Arial" w:cs="Arial"/>
        </w:rPr>
        <w:t xml:space="preserve"> the requirements under a tender title. The decision to cancel was rational because of certain non-compliance with the requirement set out in</w:t>
      </w:r>
      <w:r>
        <w:rPr>
          <w:rFonts w:ascii="Arial" w:hAnsi="Arial" w:cs="Arial"/>
        </w:rPr>
        <w:t xml:space="preserve"> the Tender.’</w:t>
      </w:r>
      <w:r w:rsidR="000A3182">
        <w:rPr>
          <w:rFonts w:ascii="Arial" w:hAnsi="Arial" w:cs="Arial"/>
        </w:rPr>
        <w:t xml:space="preserve"> (Emphasis added.)</w:t>
      </w:r>
    </w:p>
    <w:p w:rsidR="00DA09C2" w:rsidRDefault="00DA09C2" w:rsidP="00DA09C2">
      <w:pPr>
        <w:pStyle w:val="NoSpacing"/>
        <w:spacing w:line="480" w:lineRule="auto"/>
        <w:ind w:left="720"/>
        <w:jc w:val="both"/>
        <w:rPr>
          <w:rFonts w:ascii="Arial" w:hAnsi="Arial" w:cs="Arial"/>
          <w:sz w:val="24"/>
          <w:szCs w:val="24"/>
        </w:rPr>
      </w:pPr>
    </w:p>
    <w:p w:rsidR="00FF2D88" w:rsidRDefault="009A29F4" w:rsidP="007C2C6F">
      <w:pPr>
        <w:pStyle w:val="NoSpacing"/>
        <w:numPr>
          <w:ilvl w:val="0"/>
          <w:numId w:val="16"/>
        </w:numPr>
        <w:spacing w:line="480" w:lineRule="auto"/>
        <w:ind w:left="0" w:firstLine="0"/>
        <w:jc w:val="both"/>
        <w:rPr>
          <w:rFonts w:ascii="Arial" w:hAnsi="Arial" w:cs="Arial"/>
          <w:sz w:val="24"/>
          <w:szCs w:val="24"/>
        </w:rPr>
      </w:pPr>
      <w:r w:rsidRPr="00DA09C2">
        <w:rPr>
          <w:rFonts w:ascii="Arial" w:hAnsi="Arial" w:cs="Arial"/>
          <w:sz w:val="24"/>
          <w:szCs w:val="24"/>
        </w:rPr>
        <w:t>In my view, s</w:t>
      </w:r>
      <w:r w:rsidR="00927063" w:rsidRPr="00DA09C2">
        <w:rPr>
          <w:rFonts w:ascii="Arial" w:hAnsi="Arial" w:cs="Arial"/>
          <w:sz w:val="24"/>
          <w:szCs w:val="24"/>
        </w:rPr>
        <w:t>ection 1</w:t>
      </w:r>
      <w:r w:rsidR="00E9523C" w:rsidRPr="00DA09C2">
        <w:rPr>
          <w:rFonts w:ascii="Arial" w:hAnsi="Arial" w:cs="Arial"/>
          <w:sz w:val="24"/>
          <w:szCs w:val="24"/>
        </w:rPr>
        <w:t xml:space="preserve">5(2)(a) </w:t>
      </w:r>
      <w:r w:rsidR="00FF2D88">
        <w:rPr>
          <w:rFonts w:ascii="Arial" w:hAnsi="Arial" w:cs="Arial"/>
          <w:sz w:val="24"/>
          <w:szCs w:val="24"/>
        </w:rPr>
        <w:t>does not assist the Government r</w:t>
      </w:r>
      <w:r w:rsidRPr="00DA09C2">
        <w:rPr>
          <w:rFonts w:ascii="Arial" w:hAnsi="Arial" w:cs="Arial"/>
          <w:sz w:val="24"/>
          <w:szCs w:val="24"/>
        </w:rPr>
        <w:t>espondent</w:t>
      </w:r>
      <w:r w:rsidR="00CC0442" w:rsidRPr="00DA09C2">
        <w:rPr>
          <w:rFonts w:ascii="Arial" w:hAnsi="Arial" w:cs="Arial"/>
          <w:sz w:val="24"/>
          <w:szCs w:val="24"/>
        </w:rPr>
        <w:t>s.</w:t>
      </w:r>
      <w:r w:rsidR="00E9523C" w:rsidRPr="00DA09C2">
        <w:rPr>
          <w:rFonts w:ascii="Arial" w:hAnsi="Arial" w:cs="Arial"/>
          <w:sz w:val="24"/>
          <w:szCs w:val="24"/>
        </w:rPr>
        <w:t xml:space="preserve"> The appellants maintain</w:t>
      </w:r>
      <w:r w:rsidR="00153C93">
        <w:rPr>
          <w:rFonts w:ascii="Arial" w:hAnsi="Arial" w:cs="Arial"/>
          <w:sz w:val="24"/>
          <w:szCs w:val="24"/>
        </w:rPr>
        <w:t>ed</w:t>
      </w:r>
      <w:r w:rsidR="00E9523C" w:rsidRPr="00DA09C2">
        <w:rPr>
          <w:rFonts w:ascii="Arial" w:hAnsi="Arial" w:cs="Arial"/>
          <w:sz w:val="24"/>
          <w:szCs w:val="24"/>
        </w:rPr>
        <w:t xml:space="preserve"> that the</w:t>
      </w:r>
      <w:r w:rsidR="00FF2D88">
        <w:rPr>
          <w:rFonts w:ascii="Arial" w:hAnsi="Arial" w:cs="Arial"/>
          <w:sz w:val="24"/>
          <w:szCs w:val="24"/>
        </w:rPr>
        <w:t xml:space="preserve"> Board or Ministry </w:t>
      </w:r>
      <w:r w:rsidR="00E9523C" w:rsidRPr="00DA09C2">
        <w:rPr>
          <w:rFonts w:ascii="Arial" w:hAnsi="Arial" w:cs="Arial"/>
          <w:sz w:val="24"/>
          <w:szCs w:val="24"/>
        </w:rPr>
        <w:t>had no authority to canc</w:t>
      </w:r>
      <w:r w:rsidR="00FF2D88">
        <w:rPr>
          <w:rFonts w:ascii="Arial" w:hAnsi="Arial" w:cs="Arial"/>
          <w:sz w:val="24"/>
          <w:szCs w:val="24"/>
        </w:rPr>
        <w:t xml:space="preserve">el the tender and that even if it </w:t>
      </w:r>
      <w:r w:rsidR="00E9523C" w:rsidRPr="00DA09C2">
        <w:rPr>
          <w:rFonts w:ascii="Arial" w:hAnsi="Arial" w:cs="Arial"/>
          <w:sz w:val="24"/>
          <w:szCs w:val="24"/>
        </w:rPr>
        <w:t xml:space="preserve">did, the reasons advanced did not </w:t>
      </w:r>
      <w:r w:rsidR="001F3E8A">
        <w:rPr>
          <w:rFonts w:ascii="Arial" w:hAnsi="Arial" w:cs="Arial"/>
          <w:sz w:val="24"/>
          <w:szCs w:val="24"/>
        </w:rPr>
        <w:t xml:space="preserve">entitle it to cancel. </w:t>
      </w:r>
      <w:r w:rsidR="00E9523C" w:rsidRPr="00DA09C2">
        <w:rPr>
          <w:rFonts w:ascii="Arial" w:hAnsi="Arial" w:cs="Arial"/>
          <w:sz w:val="24"/>
          <w:szCs w:val="24"/>
        </w:rPr>
        <w:t>They sa</w:t>
      </w:r>
      <w:r w:rsidR="00C57F31">
        <w:rPr>
          <w:rFonts w:ascii="Arial" w:hAnsi="Arial" w:cs="Arial"/>
          <w:sz w:val="24"/>
          <w:szCs w:val="24"/>
        </w:rPr>
        <w:t>id</w:t>
      </w:r>
      <w:r w:rsidR="00E9523C" w:rsidRPr="00DA09C2">
        <w:rPr>
          <w:rFonts w:ascii="Arial" w:hAnsi="Arial" w:cs="Arial"/>
          <w:sz w:val="24"/>
          <w:szCs w:val="24"/>
        </w:rPr>
        <w:t xml:space="preserve"> that it was a false claim that they did not cater for the special needs students. </w:t>
      </w:r>
      <w:r w:rsidR="003607D4">
        <w:rPr>
          <w:rFonts w:ascii="Arial" w:hAnsi="Arial" w:cs="Arial"/>
          <w:sz w:val="24"/>
          <w:szCs w:val="24"/>
        </w:rPr>
        <w:t xml:space="preserve"> The government respondent did not take issue with this contention.</w:t>
      </w:r>
    </w:p>
    <w:p w:rsidR="00FF2D88" w:rsidRDefault="00FF2D88" w:rsidP="00FF2D88">
      <w:pPr>
        <w:pStyle w:val="NoSpacing"/>
        <w:spacing w:line="480" w:lineRule="auto"/>
        <w:jc w:val="both"/>
        <w:rPr>
          <w:rFonts w:ascii="Arial" w:hAnsi="Arial" w:cs="Arial"/>
          <w:sz w:val="24"/>
          <w:szCs w:val="24"/>
        </w:rPr>
      </w:pPr>
    </w:p>
    <w:p w:rsidR="00927063" w:rsidRDefault="00E9523C" w:rsidP="007C2C6F">
      <w:pPr>
        <w:pStyle w:val="NoSpacing"/>
        <w:numPr>
          <w:ilvl w:val="0"/>
          <w:numId w:val="16"/>
        </w:numPr>
        <w:spacing w:line="480" w:lineRule="auto"/>
        <w:ind w:left="0" w:firstLine="0"/>
        <w:jc w:val="both"/>
        <w:rPr>
          <w:rFonts w:ascii="Arial" w:hAnsi="Arial" w:cs="Arial"/>
          <w:sz w:val="24"/>
          <w:szCs w:val="24"/>
        </w:rPr>
      </w:pPr>
      <w:r w:rsidRPr="00DA09C2">
        <w:rPr>
          <w:rFonts w:ascii="Arial" w:hAnsi="Arial" w:cs="Arial"/>
          <w:sz w:val="24"/>
          <w:szCs w:val="24"/>
        </w:rPr>
        <w:t xml:space="preserve">It is correct that conflicting reasons </w:t>
      </w:r>
      <w:r w:rsidR="00FF2D88">
        <w:rPr>
          <w:rFonts w:ascii="Arial" w:hAnsi="Arial" w:cs="Arial"/>
          <w:sz w:val="24"/>
          <w:szCs w:val="24"/>
        </w:rPr>
        <w:t xml:space="preserve">(and somewhat vague reasons hence repeated request for clarification and more information by the Board) supporting </w:t>
      </w:r>
      <w:r w:rsidRPr="00DA09C2">
        <w:rPr>
          <w:rFonts w:ascii="Arial" w:hAnsi="Arial" w:cs="Arial"/>
          <w:sz w:val="24"/>
          <w:szCs w:val="24"/>
        </w:rPr>
        <w:t xml:space="preserve">the </w:t>
      </w:r>
      <w:r w:rsidR="00FF2D88">
        <w:rPr>
          <w:rFonts w:ascii="Arial" w:hAnsi="Arial" w:cs="Arial"/>
          <w:sz w:val="24"/>
          <w:szCs w:val="24"/>
        </w:rPr>
        <w:t xml:space="preserve">request for </w:t>
      </w:r>
      <w:r w:rsidRPr="00DA09C2">
        <w:rPr>
          <w:rFonts w:ascii="Arial" w:hAnsi="Arial" w:cs="Arial"/>
          <w:sz w:val="24"/>
          <w:szCs w:val="24"/>
        </w:rPr>
        <w:t>cancellation of the tender were given.</w:t>
      </w:r>
      <w:r>
        <w:rPr>
          <w:rStyle w:val="FootnoteReference"/>
          <w:rFonts w:ascii="Arial" w:hAnsi="Arial" w:cs="Arial"/>
          <w:sz w:val="24"/>
          <w:szCs w:val="24"/>
        </w:rPr>
        <w:footnoteReference w:id="42"/>
      </w:r>
      <w:r w:rsidR="00C57F31">
        <w:rPr>
          <w:rFonts w:ascii="Arial" w:hAnsi="Arial" w:cs="Arial"/>
          <w:sz w:val="24"/>
          <w:szCs w:val="24"/>
        </w:rPr>
        <w:t xml:space="preserve"> The Government respondent’s</w:t>
      </w:r>
      <w:r w:rsidR="00153C93">
        <w:rPr>
          <w:rFonts w:ascii="Arial" w:hAnsi="Arial" w:cs="Arial"/>
          <w:sz w:val="24"/>
          <w:szCs w:val="24"/>
        </w:rPr>
        <w:t xml:space="preserve"> case</w:t>
      </w:r>
      <w:r w:rsidR="00CC0442" w:rsidRPr="00DA09C2">
        <w:rPr>
          <w:rFonts w:ascii="Arial" w:hAnsi="Arial" w:cs="Arial"/>
          <w:sz w:val="24"/>
          <w:szCs w:val="24"/>
        </w:rPr>
        <w:t xml:space="preserve"> for cancellation</w:t>
      </w:r>
      <w:r w:rsidR="00776D35" w:rsidRPr="00DA09C2">
        <w:rPr>
          <w:rFonts w:ascii="Arial" w:hAnsi="Arial" w:cs="Arial"/>
          <w:sz w:val="24"/>
          <w:szCs w:val="24"/>
        </w:rPr>
        <w:t xml:space="preserve">, </w:t>
      </w:r>
      <w:r w:rsidR="004F02DE" w:rsidRPr="00DA09C2">
        <w:rPr>
          <w:rFonts w:ascii="Arial" w:hAnsi="Arial" w:cs="Arial"/>
          <w:sz w:val="24"/>
          <w:szCs w:val="24"/>
        </w:rPr>
        <w:t xml:space="preserve">buttressed by the </w:t>
      </w:r>
      <w:r w:rsidR="00776D35" w:rsidRPr="00DA09C2">
        <w:rPr>
          <w:rFonts w:ascii="Arial" w:hAnsi="Arial" w:cs="Arial"/>
          <w:sz w:val="24"/>
          <w:szCs w:val="24"/>
        </w:rPr>
        <w:t xml:space="preserve">High </w:t>
      </w:r>
      <w:r w:rsidR="00662971">
        <w:rPr>
          <w:rFonts w:ascii="Arial" w:hAnsi="Arial" w:cs="Arial"/>
          <w:sz w:val="24"/>
          <w:szCs w:val="24"/>
        </w:rPr>
        <w:t>Court</w:t>
      </w:r>
      <w:r w:rsidR="004F02DE" w:rsidRPr="00DA09C2">
        <w:rPr>
          <w:rFonts w:ascii="Arial" w:hAnsi="Arial" w:cs="Arial"/>
          <w:sz w:val="24"/>
          <w:szCs w:val="24"/>
        </w:rPr>
        <w:t>,</w:t>
      </w:r>
      <w:r w:rsidR="009A29F4" w:rsidRPr="00DA09C2">
        <w:rPr>
          <w:rFonts w:ascii="Arial" w:hAnsi="Arial" w:cs="Arial"/>
          <w:sz w:val="24"/>
          <w:szCs w:val="24"/>
        </w:rPr>
        <w:t xml:space="preserve"> </w:t>
      </w:r>
      <w:r w:rsidR="004F02DE" w:rsidRPr="00DA09C2">
        <w:rPr>
          <w:rFonts w:ascii="Arial" w:hAnsi="Arial" w:cs="Arial"/>
          <w:sz w:val="24"/>
          <w:szCs w:val="24"/>
        </w:rPr>
        <w:t xml:space="preserve">was </w:t>
      </w:r>
      <w:r w:rsidR="009A29F4" w:rsidRPr="00DA09C2">
        <w:rPr>
          <w:rFonts w:ascii="Arial" w:hAnsi="Arial" w:cs="Arial"/>
          <w:sz w:val="24"/>
          <w:szCs w:val="24"/>
        </w:rPr>
        <w:t>based (although vaguely because of the varied grounds</w:t>
      </w:r>
      <w:r w:rsidR="00251CD8" w:rsidRPr="00DA09C2">
        <w:rPr>
          <w:rFonts w:ascii="Arial" w:hAnsi="Arial" w:cs="Arial"/>
          <w:sz w:val="24"/>
          <w:szCs w:val="24"/>
        </w:rPr>
        <w:t>)</w:t>
      </w:r>
      <w:r w:rsidR="009A29F4" w:rsidRPr="00DA09C2">
        <w:rPr>
          <w:rFonts w:ascii="Arial" w:hAnsi="Arial" w:cs="Arial"/>
          <w:sz w:val="24"/>
          <w:szCs w:val="24"/>
        </w:rPr>
        <w:t xml:space="preserve">, </w:t>
      </w:r>
      <w:r w:rsidR="00AA21BF">
        <w:rPr>
          <w:rFonts w:ascii="Arial" w:hAnsi="Arial" w:cs="Arial"/>
          <w:sz w:val="24"/>
          <w:szCs w:val="24"/>
        </w:rPr>
        <w:t>‘</w:t>
      </w:r>
      <w:r w:rsidR="009A29F4" w:rsidRPr="00DA09C2">
        <w:rPr>
          <w:rFonts w:ascii="Arial" w:hAnsi="Arial" w:cs="Arial"/>
          <w:sz w:val="24"/>
          <w:szCs w:val="24"/>
        </w:rPr>
        <w:t>on the</w:t>
      </w:r>
      <w:r w:rsidR="00251CD8" w:rsidRPr="00DA09C2">
        <w:rPr>
          <w:rFonts w:ascii="Arial" w:hAnsi="Arial" w:cs="Arial"/>
          <w:sz w:val="24"/>
          <w:szCs w:val="24"/>
        </w:rPr>
        <w:t xml:space="preserve"> recomme</w:t>
      </w:r>
      <w:r w:rsidR="00776D35" w:rsidRPr="00DA09C2">
        <w:rPr>
          <w:rFonts w:ascii="Arial" w:hAnsi="Arial" w:cs="Arial"/>
          <w:sz w:val="24"/>
          <w:szCs w:val="24"/>
        </w:rPr>
        <w:t>n</w:t>
      </w:r>
      <w:r w:rsidR="00251CD8" w:rsidRPr="00DA09C2">
        <w:rPr>
          <w:rFonts w:ascii="Arial" w:hAnsi="Arial" w:cs="Arial"/>
          <w:sz w:val="24"/>
          <w:szCs w:val="24"/>
        </w:rPr>
        <w:t>dation that w</w:t>
      </w:r>
      <w:r w:rsidR="00776D35" w:rsidRPr="00DA09C2">
        <w:rPr>
          <w:rFonts w:ascii="Arial" w:hAnsi="Arial" w:cs="Arial"/>
          <w:sz w:val="24"/>
          <w:szCs w:val="24"/>
        </w:rPr>
        <w:t xml:space="preserve">as influenced by the </w:t>
      </w:r>
      <w:r w:rsidR="00776D35" w:rsidRPr="00C57F31">
        <w:rPr>
          <w:rFonts w:ascii="Arial" w:hAnsi="Arial" w:cs="Arial"/>
          <w:sz w:val="24"/>
          <w:szCs w:val="24"/>
        </w:rPr>
        <w:lastRenderedPageBreak/>
        <w:t>corrup</w:t>
      </w:r>
      <w:r w:rsidR="00251CD8" w:rsidRPr="00C57F31">
        <w:rPr>
          <w:rFonts w:ascii="Arial" w:hAnsi="Arial" w:cs="Arial"/>
          <w:sz w:val="24"/>
          <w:szCs w:val="24"/>
        </w:rPr>
        <w:t>t</w:t>
      </w:r>
      <w:r w:rsidR="00776D35" w:rsidRPr="00C57F31">
        <w:rPr>
          <w:rFonts w:ascii="Arial" w:hAnsi="Arial" w:cs="Arial"/>
          <w:sz w:val="24"/>
          <w:szCs w:val="24"/>
        </w:rPr>
        <w:t xml:space="preserve"> int</w:t>
      </w:r>
      <w:r w:rsidR="00251CD8" w:rsidRPr="00C57F31">
        <w:rPr>
          <w:rFonts w:ascii="Arial" w:hAnsi="Arial" w:cs="Arial"/>
          <w:sz w:val="24"/>
          <w:szCs w:val="24"/>
        </w:rPr>
        <w:t>erference</w:t>
      </w:r>
      <w:r w:rsidR="00251CD8" w:rsidRPr="00DA09C2">
        <w:rPr>
          <w:rFonts w:ascii="Arial" w:hAnsi="Arial" w:cs="Arial"/>
          <w:sz w:val="24"/>
          <w:szCs w:val="24"/>
        </w:rPr>
        <w:t xml:space="preserve"> and incompetence by office</w:t>
      </w:r>
      <w:r w:rsidR="00C57F31">
        <w:rPr>
          <w:rFonts w:ascii="Arial" w:hAnsi="Arial" w:cs="Arial"/>
          <w:sz w:val="24"/>
          <w:szCs w:val="24"/>
        </w:rPr>
        <w:t>rs of [the Ministry]</w:t>
      </w:r>
      <w:r w:rsidR="00AA21BF">
        <w:rPr>
          <w:rFonts w:ascii="Arial" w:hAnsi="Arial" w:cs="Arial"/>
          <w:sz w:val="24"/>
          <w:szCs w:val="24"/>
        </w:rPr>
        <w:t>’</w:t>
      </w:r>
      <w:r w:rsidR="004F02DE">
        <w:rPr>
          <w:rStyle w:val="FootnoteReference"/>
          <w:rFonts w:ascii="Arial" w:hAnsi="Arial" w:cs="Arial"/>
          <w:sz w:val="24"/>
          <w:szCs w:val="24"/>
        </w:rPr>
        <w:footnoteReference w:id="43"/>
      </w:r>
      <w:r w:rsidRPr="00DA09C2">
        <w:rPr>
          <w:rFonts w:ascii="Arial" w:hAnsi="Arial" w:cs="Arial"/>
          <w:sz w:val="24"/>
          <w:szCs w:val="24"/>
        </w:rPr>
        <w:t xml:space="preserve"> and not as submitted </w:t>
      </w:r>
      <w:r w:rsidR="00153C93">
        <w:rPr>
          <w:rFonts w:ascii="Arial" w:hAnsi="Arial" w:cs="Arial"/>
          <w:sz w:val="24"/>
          <w:szCs w:val="24"/>
        </w:rPr>
        <w:t xml:space="preserve">in argument </w:t>
      </w:r>
      <w:r w:rsidRPr="00DA09C2">
        <w:rPr>
          <w:rFonts w:ascii="Arial" w:hAnsi="Arial" w:cs="Arial"/>
          <w:sz w:val="24"/>
          <w:szCs w:val="24"/>
        </w:rPr>
        <w:t>(the s</w:t>
      </w:r>
      <w:r w:rsidR="0013523F">
        <w:rPr>
          <w:rFonts w:ascii="Arial" w:hAnsi="Arial" w:cs="Arial"/>
          <w:sz w:val="24"/>
          <w:szCs w:val="24"/>
        </w:rPr>
        <w:t>ection 15</w:t>
      </w:r>
      <w:r w:rsidR="00954278">
        <w:rPr>
          <w:rFonts w:ascii="Arial" w:hAnsi="Arial" w:cs="Arial"/>
          <w:sz w:val="24"/>
          <w:szCs w:val="24"/>
        </w:rPr>
        <w:t>(2)(a) defence).</w:t>
      </w:r>
      <w:r w:rsidR="00C504ED" w:rsidRPr="00DA09C2">
        <w:rPr>
          <w:rFonts w:ascii="Arial" w:hAnsi="Arial" w:cs="Arial"/>
          <w:sz w:val="24"/>
          <w:szCs w:val="24"/>
        </w:rPr>
        <w:t xml:space="preserve"> </w:t>
      </w:r>
      <w:r w:rsidRPr="00DA09C2">
        <w:rPr>
          <w:rFonts w:ascii="Arial" w:hAnsi="Arial" w:cs="Arial"/>
          <w:sz w:val="24"/>
          <w:szCs w:val="24"/>
        </w:rPr>
        <w:t>In any event, d</w:t>
      </w:r>
      <w:r w:rsidR="004F02DE" w:rsidRPr="00DA09C2">
        <w:rPr>
          <w:rFonts w:ascii="Arial" w:hAnsi="Arial" w:cs="Arial"/>
          <w:sz w:val="24"/>
          <w:szCs w:val="24"/>
        </w:rPr>
        <w:t>espite the fact that the alleg</w:t>
      </w:r>
      <w:r w:rsidR="00251CD8" w:rsidRPr="00DA09C2">
        <w:rPr>
          <w:rFonts w:ascii="Arial" w:hAnsi="Arial" w:cs="Arial"/>
          <w:sz w:val="24"/>
          <w:szCs w:val="24"/>
        </w:rPr>
        <w:t>ed corrupt activities</w:t>
      </w:r>
      <w:r w:rsidR="00471CA7" w:rsidRPr="00DA09C2">
        <w:rPr>
          <w:rFonts w:ascii="Arial" w:hAnsi="Arial" w:cs="Arial"/>
          <w:sz w:val="24"/>
          <w:szCs w:val="24"/>
        </w:rPr>
        <w:t xml:space="preserve"> were and are still </w:t>
      </w:r>
      <w:r w:rsidR="00EE394A" w:rsidRPr="00DA09C2">
        <w:rPr>
          <w:rFonts w:ascii="Arial" w:hAnsi="Arial" w:cs="Arial"/>
          <w:sz w:val="24"/>
          <w:szCs w:val="24"/>
        </w:rPr>
        <w:t xml:space="preserve">properly </w:t>
      </w:r>
      <w:r w:rsidR="00251CD8" w:rsidRPr="00DA09C2">
        <w:rPr>
          <w:rFonts w:ascii="Arial" w:hAnsi="Arial" w:cs="Arial"/>
          <w:sz w:val="24"/>
          <w:szCs w:val="24"/>
        </w:rPr>
        <w:t>under investigation</w:t>
      </w:r>
      <w:r w:rsidR="00EA73CD">
        <w:rPr>
          <w:rFonts w:ascii="Arial" w:hAnsi="Arial" w:cs="Arial"/>
          <w:sz w:val="24"/>
          <w:szCs w:val="24"/>
        </w:rPr>
        <w:t xml:space="preserve"> </w:t>
      </w:r>
      <w:r w:rsidR="00251CD8" w:rsidRPr="00DA09C2">
        <w:rPr>
          <w:rFonts w:ascii="Arial" w:hAnsi="Arial" w:cs="Arial"/>
          <w:sz w:val="24"/>
          <w:szCs w:val="24"/>
        </w:rPr>
        <w:t xml:space="preserve">by the </w:t>
      </w:r>
      <w:r w:rsidR="00471CA7" w:rsidRPr="00DA09C2">
        <w:rPr>
          <w:rFonts w:ascii="Arial" w:hAnsi="Arial" w:cs="Arial"/>
          <w:sz w:val="24"/>
          <w:szCs w:val="24"/>
        </w:rPr>
        <w:t>Anti-Corruption Commission</w:t>
      </w:r>
      <w:r w:rsidR="00153C93">
        <w:rPr>
          <w:rFonts w:ascii="Arial" w:hAnsi="Arial" w:cs="Arial"/>
          <w:sz w:val="24"/>
          <w:szCs w:val="24"/>
        </w:rPr>
        <w:t>,</w:t>
      </w:r>
      <w:r w:rsidR="00471CA7" w:rsidRPr="00DA09C2">
        <w:rPr>
          <w:rFonts w:ascii="Arial" w:hAnsi="Arial" w:cs="Arial"/>
          <w:sz w:val="24"/>
          <w:szCs w:val="24"/>
        </w:rPr>
        <w:t xml:space="preserve"> the </w:t>
      </w:r>
      <w:r w:rsidR="00662971">
        <w:rPr>
          <w:rFonts w:ascii="Arial" w:hAnsi="Arial" w:cs="Arial"/>
          <w:sz w:val="24"/>
          <w:szCs w:val="24"/>
        </w:rPr>
        <w:t>Court</w:t>
      </w:r>
      <w:r w:rsidR="00FF2D88">
        <w:rPr>
          <w:rFonts w:ascii="Arial" w:hAnsi="Arial" w:cs="Arial"/>
          <w:sz w:val="24"/>
          <w:szCs w:val="24"/>
        </w:rPr>
        <w:t xml:space="preserve"> </w:t>
      </w:r>
      <w:r w:rsidR="00FF2D88" w:rsidRPr="00FF2D88">
        <w:rPr>
          <w:rFonts w:ascii="Arial" w:hAnsi="Arial" w:cs="Arial"/>
          <w:i/>
          <w:sz w:val="24"/>
          <w:szCs w:val="24"/>
        </w:rPr>
        <w:t>a quo</w:t>
      </w:r>
      <w:r w:rsidR="00FF2D88">
        <w:rPr>
          <w:rFonts w:ascii="Arial" w:hAnsi="Arial" w:cs="Arial"/>
          <w:sz w:val="24"/>
          <w:szCs w:val="24"/>
        </w:rPr>
        <w:t xml:space="preserve"> </w:t>
      </w:r>
      <w:r w:rsidR="00471CA7" w:rsidRPr="00DA09C2">
        <w:rPr>
          <w:rFonts w:ascii="Arial" w:hAnsi="Arial" w:cs="Arial"/>
          <w:sz w:val="24"/>
          <w:szCs w:val="24"/>
        </w:rPr>
        <w:t xml:space="preserve">concluded that </w:t>
      </w:r>
      <w:r w:rsidR="00C504ED" w:rsidRPr="00DA09C2">
        <w:rPr>
          <w:rFonts w:ascii="Arial" w:hAnsi="Arial" w:cs="Arial"/>
          <w:sz w:val="24"/>
          <w:szCs w:val="24"/>
        </w:rPr>
        <w:t xml:space="preserve">the </w:t>
      </w:r>
      <w:r w:rsidR="00471CA7" w:rsidRPr="00DA09C2">
        <w:rPr>
          <w:rFonts w:ascii="Arial" w:hAnsi="Arial" w:cs="Arial"/>
          <w:sz w:val="24"/>
          <w:szCs w:val="24"/>
        </w:rPr>
        <w:t>corrupt interference and incompetence by official</w:t>
      </w:r>
      <w:r w:rsidR="00153C93">
        <w:rPr>
          <w:rFonts w:ascii="Arial" w:hAnsi="Arial" w:cs="Arial"/>
          <w:sz w:val="24"/>
          <w:szCs w:val="24"/>
        </w:rPr>
        <w:t xml:space="preserve">s of the Ministry </w:t>
      </w:r>
      <w:r w:rsidRPr="00DA09C2">
        <w:rPr>
          <w:rFonts w:ascii="Arial" w:hAnsi="Arial" w:cs="Arial"/>
          <w:sz w:val="24"/>
          <w:szCs w:val="24"/>
        </w:rPr>
        <w:t>[</w:t>
      </w:r>
      <w:r w:rsidR="00471CA7" w:rsidRPr="00DA09C2">
        <w:rPr>
          <w:rFonts w:ascii="Arial" w:hAnsi="Arial" w:cs="Arial"/>
          <w:sz w:val="24"/>
          <w:szCs w:val="24"/>
        </w:rPr>
        <w:t>constitute</w:t>
      </w:r>
      <w:r w:rsidR="00153C93">
        <w:rPr>
          <w:rFonts w:ascii="Arial" w:hAnsi="Arial" w:cs="Arial"/>
          <w:sz w:val="24"/>
          <w:szCs w:val="24"/>
        </w:rPr>
        <w:t>d</w:t>
      </w:r>
      <w:r w:rsidRPr="00DA09C2">
        <w:rPr>
          <w:rFonts w:ascii="Arial" w:hAnsi="Arial" w:cs="Arial"/>
          <w:sz w:val="24"/>
          <w:szCs w:val="24"/>
        </w:rPr>
        <w:t>]</w:t>
      </w:r>
      <w:r w:rsidR="00AA21BF">
        <w:rPr>
          <w:rFonts w:ascii="Arial" w:hAnsi="Arial" w:cs="Arial"/>
          <w:sz w:val="24"/>
          <w:szCs w:val="24"/>
        </w:rPr>
        <w:t xml:space="preserve"> ‘corruption’</w:t>
      </w:r>
      <w:r w:rsidR="00471CA7" w:rsidRPr="00DA09C2">
        <w:rPr>
          <w:rFonts w:ascii="Arial" w:hAnsi="Arial" w:cs="Arial"/>
          <w:sz w:val="24"/>
          <w:szCs w:val="24"/>
        </w:rPr>
        <w:t>.</w:t>
      </w:r>
      <w:r w:rsidR="00471CA7">
        <w:rPr>
          <w:rStyle w:val="FootnoteReference"/>
          <w:rFonts w:ascii="Arial" w:hAnsi="Arial" w:cs="Arial"/>
          <w:sz w:val="24"/>
          <w:szCs w:val="24"/>
        </w:rPr>
        <w:footnoteReference w:id="44"/>
      </w:r>
      <w:r w:rsidR="00954278">
        <w:rPr>
          <w:rFonts w:ascii="Arial" w:hAnsi="Arial" w:cs="Arial"/>
          <w:sz w:val="24"/>
          <w:szCs w:val="24"/>
        </w:rPr>
        <w:t xml:space="preserve"> </w:t>
      </w:r>
      <w:r w:rsidR="00471CA7" w:rsidRPr="00DA09C2">
        <w:rPr>
          <w:rFonts w:ascii="Arial" w:hAnsi="Arial" w:cs="Arial"/>
          <w:sz w:val="24"/>
          <w:szCs w:val="24"/>
        </w:rPr>
        <w:t xml:space="preserve">Explicitly, the </w:t>
      </w:r>
      <w:r w:rsidR="00662971">
        <w:rPr>
          <w:rFonts w:ascii="Arial" w:hAnsi="Arial" w:cs="Arial"/>
          <w:sz w:val="24"/>
          <w:szCs w:val="24"/>
        </w:rPr>
        <w:t>Court</w:t>
      </w:r>
      <w:r w:rsidR="00471CA7" w:rsidRPr="00DA09C2">
        <w:rPr>
          <w:rFonts w:ascii="Arial" w:hAnsi="Arial" w:cs="Arial"/>
          <w:sz w:val="24"/>
          <w:szCs w:val="24"/>
        </w:rPr>
        <w:t xml:space="preserve"> </w:t>
      </w:r>
      <w:r w:rsidR="00471CA7" w:rsidRPr="00DA09C2">
        <w:rPr>
          <w:rFonts w:ascii="Arial" w:hAnsi="Arial" w:cs="Arial"/>
          <w:i/>
          <w:sz w:val="24"/>
          <w:szCs w:val="24"/>
        </w:rPr>
        <w:t>a quo</w:t>
      </w:r>
      <w:r w:rsidR="00471CA7" w:rsidRPr="00DA09C2">
        <w:rPr>
          <w:rFonts w:ascii="Arial" w:hAnsi="Arial" w:cs="Arial"/>
          <w:sz w:val="24"/>
          <w:szCs w:val="24"/>
        </w:rPr>
        <w:t xml:space="preserve"> said:</w:t>
      </w:r>
    </w:p>
    <w:p w:rsidR="00ED2A59" w:rsidRDefault="00ED2A59" w:rsidP="00AA21BF">
      <w:pPr>
        <w:pStyle w:val="ListParagraph"/>
        <w:spacing w:line="360" w:lineRule="auto"/>
        <w:rPr>
          <w:rFonts w:ascii="Arial" w:hAnsi="Arial" w:cs="Arial"/>
          <w:sz w:val="24"/>
          <w:szCs w:val="24"/>
        </w:rPr>
      </w:pPr>
    </w:p>
    <w:p w:rsidR="00ED2A59" w:rsidRPr="00C34DA1" w:rsidRDefault="00AA21BF" w:rsidP="00AA21BF">
      <w:pPr>
        <w:pStyle w:val="NoSpacing"/>
        <w:spacing w:line="360" w:lineRule="auto"/>
        <w:ind w:left="720"/>
        <w:jc w:val="both"/>
        <w:rPr>
          <w:rFonts w:ascii="Arial" w:hAnsi="Arial" w:cs="Arial"/>
        </w:rPr>
      </w:pPr>
      <w:r>
        <w:rPr>
          <w:rFonts w:ascii="Arial" w:hAnsi="Arial" w:cs="Arial"/>
        </w:rPr>
        <w:t>‘</w:t>
      </w:r>
      <w:r w:rsidR="00ED2A59">
        <w:rPr>
          <w:rFonts w:ascii="Arial" w:hAnsi="Arial" w:cs="Arial"/>
        </w:rPr>
        <w:t xml:space="preserve">From the deliberations quoted above, it is clear that the initial evaluation of the tender was </w:t>
      </w:r>
      <w:r w:rsidR="00ED2A59" w:rsidRPr="0013523F">
        <w:rPr>
          <w:rFonts w:ascii="Arial" w:hAnsi="Arial" w:cs="Arial"/>
          <w:i/>
          <w:u w:val="single"/>
        </w:rPr>
        <w:t>not based on a lawful and fair process as enjoined by the constitution,</w:t>
      </w:r>
      <w:r w:rsidR="00ED2A59">
        <w:rPr>
          <w:rFonts w:ascii="Arial" w:hAnsi="Arial" w:cs="Arial"/>
        </w:rPr>
        <w:t xml:space="preserve"> but certain recommendations were influenced by the corrupt interference and incompetence by officers of the Ministry of Education. There is no doubt in my mind that </w:t>
      </w:r>
      <w:r w:rsidR="00ED2A59" w:rsidRPr="00E9523C">
        <w:rPr>
          <w:rFonts w:ascii="Arial" w:hAnsi="Arial" w:cs="Arial"/>
          <w:i/>
          <w:u w:val="single"/>
        </w:rPr>
        <w:t>this is corruption</w:t>
      </w:r>
      <w:r>
        <w:rPr>
          <w:rFonts w:ascii="Arial" w:hAnsi="Arial" w:cs="Arial"/>
        </w:rPr>
        <w:t>.’</w:t>
      </w:r>
      <w:r w:rsidR="00ED2A59">
        <w:rPr>
          <w:rStyle w:val="FootnoteReference"/>
          <w:rFonts w:ascii="Arial" w:hAnsi="Arial" w:cs="Arial"/>
        </w:rPr>
        <w:footnoteReference w:id="45"/>
      </w:r>
      <w:r w:rsidR="00C34DA1">
        <w:rPr>
          <w:rFonts w:ascii="Arial" w:hAnsi="Arial" w:cs="Arial"/>
        </w:rPr>
        <w:t xml:space="preserve"> </w:t>
      </w:r>
      <w:r w:rsidR="005F2B02">
        <w:rPr>
          <w:rFonts w:ascii="Arial" w:hAnsi="Arial" w:cs="Arial"/>
        </w:rPr>
        <w:t>(</w:t>
      </w:r>
      <w:r w:rsidR="00C34DA1">
        <w:rPr>
          <w:rFonts w:ascii="Arial" w:hAnsi="Arial" w:cs="Arial"/>
        </w:rPr>
        <w:t>Emphasis added.</w:t>
      </w:r>
      <w:r w:rsidR="005F2B02">
        <w:rPr>
          <w:rFonts w:ascii="Arial" w:hAnsi="Arial" w:cs="Arial"/>
        </w:rPr>
        <w:t>)</w:t>
      </w:r>
    </w:p>
    <w:p w:rsidR="00ED2A59" w:rsidRPr="00C34DA1" w:rsidRDefault="00ED2A59" w:rsidP="00C34DA1">
      <w:pPr>
        <w:rPr>
          <w:rFonts w:ascii="Arial" w:hAnsi="Arial" w:cs="Arial"/>
          <w:sz w:val="24"/>
          <w:szCs w:val="24"/>
        </w:rPr>
      </w:pPr>
    </w:p>
    <w:p w:rsidR="00CC6536" w:rsidRPr="00ED2A59" w:rsidRDefault="00830141" w:rsidP="007C2C6F">
      <w:pPr>
        <w:pStyle w:val="NoSpacing"/>
        <w:numPr>
          <w:ilvl w:val="0"/>
          <w:numId w:val="16"/>
        </w:numPr>
        <w:spacing w:line="480" w:lineRule="auto"/>
        <w:ind w:left="0" w:firstLine="0"/>
        <w:jc w:val="both"/>
        <w:rPr>
          <w:rFonts w:ascii="Arial" w:hAnsi="Arial" w:cs="Arial"/>
          <w:sz w:val="24"/>
          <w:szCs w:val="24"/>
        </w:rPr>
      </w:pPr>
      <w:r w:rsidRPr="00ED2A59">
        <w:rPr>
          <w:rFonts w:ascii="Arial" w:hAnsi="Arial" w:cs="Arial"/>
          <w:sz w:val="24"/>
          <w:szCs w:val="24"/>
        </w:rPr>
        <w:t xml:space="preserve">It is </w:t>
      </w:r>
      <w:r w:rsidR="00ED2A59" w:rsidRPr="00ED2A59">
        <w:rPr>
          <w:rFonts w:ascii="Arial" w:hAnsi="Arial" w:cs="Arial"/>
          <w:sz w:val="24"/>
          <w:szCs w:val="24"/>
        </w:rPr>
        <w:t xml:space="preserve">difficult to understand </w:t>
      </w:r>
      <w:r w:rsidR="00ED2A59">
        <w:rPr>
          <w:rFonts w:ascii="Arial" w:hAnsi="Arial" w:cs="Arial"/>
          <w:sz w:val="24"/>
          <w:szCs w:val="24"/>
        </w:rPr>
        <w:t xml:space="preserve">why, </w:t>
      </w:r>
      <w:r w:rsidR="00C802F7" w:rsidRPr="00ED2A59">
        <w:rPr>
          <w:rFonts w:ascii="Arial" w:hAnsi="Arial" w:cs="Arial"/>
          <w:sz w:val="24"/>
          <w:szCs w:val="24"/>
        </w:rPr>
        <w:t xml:space="preserve">despite the fact that the allegations of corruption surfaced in the media almost </w:t>
      </w:r>
      <w:r w:rsidR="003C3204" w:rsidRPr="00ED2A59">
        <w:rPr>
          <w:rFonts w:ascii="Arial" w:hAnsi="Arial" w:cs="Arial"/>
          <w:sz w:val="24"/>
          <w:szCs w:val="24"/>
        </w:rPr>
        <w:t xml:space="preserve">eight and ten </w:t>
      </w:r>
      <w:r w:rsidR="00C802F7" w:rsidRPr="00ED2A59">
        <w:rPr>
          <w:rFonts w:ascii="Arial" w:hAnsi="Arial" w:cs="Arial"/>
          <w:sz w:val="24"/>
          <w:szCs w:val="24"/>
        </w:rPr>
        <w:t xml:space="preserve">days after award, the Minister </w:t>
      </w:r>
      <w:r w:rsidR="003C3204" w:rsidRPr="00ED2A59">
        <w:rPr>
          <w:rFonts w:ascii="Arial" w:hAnsi="Arial" w:cs="Arial"/>
          <w:sz w:val="24"/>
          <w:szCs w:val="24"/>
        </w:rPr>
        <w:t xml:space="preserve">− </w:t>
      </w:r>
      <w:r w:rsidR="00C802F7" w:rsidRPr="00ED2A59">
        <w:rPr>
          <w:rFonts w:ascii="Arial" w:hAnsi="Arial" w:cs="Arial"/>
          <w:sz w:val="24"/>
          <w:szCs w:val="24"/>
        </w:rPr>
        <w:t xml:space="preserve">who </w:t>
      </w:r>
      <w:r w:rsidR="003C3204" w:rsidRPr="00ED2A59">
        <w:rPr>
          <w:rFonts w:ascii="Arial" w:hAnsi="Arial" w:cs="Arial"/>
          <w:sz w:val="24"/>
          <w:szCs w:val="24"/>
        </w:rPr>
        <w:t xml:space="preserve">is alleged to have been </w:t>
      </w:r>
      <w:r w:rsidR="00EC4296">
        <w:rPr>
          <w:rFonts w:ascii="Arial" w:hAnsi="Arial" w:cs="Arial"/>
          <w:sz w:val="24"/>
          <w:szCs w:val="24"/>
        </w:rPr>
        <w:t>‘</w:t>
      </w:r>
      <w:r w:rsidR="003C3204" w:rsidRPr="00ED2A59">
        <w:rPr>
          <w:rFonts w:ascii="Arial" w:hAnsi="Arial" w:cs="Arial"/>
          <w:sz w:val="24"/>
          <w:szCs w:val="24"/>
        </w:rPr>
        <w:t>furious</w:t>
      </w:r>
      <w:r w:rsidR="00EC4296">
        <w:rPr>
          <w:rFonts w:ascii="Arial" w:hAnsi="Arial" w:cs="Arial"/>
          <w:sz w:val="24"/>
          <w:szCs w:val="24"/>
        </w:rPr>
        <w:t>’</w:t>
      </w:r>
      <w:r w:rsidR="00C802F7" w:rsidRPr="00ED2A59">
        <w:rPr>
          <w:rFonts w:ascii="Arial" w:hAnsi="Arial" w:cs="Arial"/>
          <w:sz w:val="24"/>
          <w:szCs w:val="24"/>
        </w:rPr>
        <w:t xml:space="preserve"> when</w:t>
      </w:r>
      <w:r w:rsidR="003C3204" w:rsidRPr="00ED2A59">
        <w:rPr>
          <w:rFonts w:ascii="Arial" w:hAnsi="Arial" w:cs="Arial"/>
          <w:sz w:val="24"/>
          <w:szCs w:val="24"/>
        </w:rPr>
        <w:t xml:space="preserve"> reading the newspaper articles</w:t>
      </w:r>
      <w:r w:rsidR="00ED2A59" w:rsidRPr="00ED2A59">
        <w:rPr>
          <w:rFonts w:ascii="Arial" w:hAnsi="Arial" w:cs="Arial"/>
          <w:sz w:val="24"/>
          <w:szCs w:val="24"/>
        </w:rPr>
        <w:t xml:space="preserve"> </w:t>
      </w:r>
      <w:r w:rsidR="003C3204" w:rsidRPr="00ED2A59">
        <w:rPr>
          <w:rFonts w:ascii="Arial" w:hAnsi="Arial" w:cs="Arial"/>
          <w:sz w:val="24"/>
          <w:szCs w:val="24"/>
        </w:rPr>
        <w:t>−</w:t>
      </w:r>
      <w:r w:rsidR="00C802F7" w:rsidRPr="00ED2A59">
        <w:rPr>
          <w:rFonts w:ascii="Arial" w:hAnsi="Arial" w:cs="Arial"/>
          <w:sz w:val="24"/>
          <w:szCs w:val="24"/>
        </w:rPr>
        <w:t xml:space="preserve"> failed to go to </w:t>
      </w:r>
      <w:r w:rsidR="00662971">
        <w:rPr>
          <w:rFonts w:ascii="Arial" w:hAnsi="Arial" w:cs="Arial"/>
          <w:sz w:val="24"/>
          <w:szCs w:val="24"/>
        </w:rPr>
        <w:t>Court</w:t>
      </w:r>
      <w:r w:rsidR="00C802F7" w:rsidRPr="00ED2A59">
        <w:rPr>
          <w:rFonts w:ascii="Arial" w:hAnsi="Arial" w:cs="Arial"/>
          <w:sz w:val="24"/>
          <w:szCs w:val="24"/>
        </w:rPr>
        <w:t xml:space="preserve"> and sought an order reviewing and setting asid</w:t>
      </w:r>
      <w:r w:rsidR="00ED2A59" w:rsidRPr="00ED2A59">
        <w:rPr>
          <w:rFonts w:ascii="Arial" w:hAnsi="Arial" w:cs="Arial"/>
          <w:sz w:val="24"/>
          <w:szCs w:val="24"/>
        </w:rPr>
        <w:t>e the award and cancelling the t</w:t>
      </w:r>
      <w:r w:rsidR="00954278">
        <w:rPr>
          <w:rFonts w:ascii="Arial" w:hAnsi="Arial" w:cs="Arial"/>
          <w:sz w:val="24"/>
          <w:szCs w:val="24"/>
        </w:rPr>
        <w:t>ender.</w:t>
      </w:r>
      <w:r w:rsidR="00ED2A59" w:rsidRPr="00ED2A59">
        <w:rPr>
          <w:rFonts w:ascii="Arial" w:hAnsi="Arial" w:cs="Arial"/>
          <w:sz w:val="24"/>
          <w:szCs w:val="24"/>
        </w:rPr>
        <w:t xml:space="preserve"> </w:t>
      </w:r>
      <w:r w:rsidR="003F60F2">
        <w:rPr>
          <w:rFonts w:ascii="Arial" w:hAnsi="Arial" w:cs="Arial"/>
          <w:sz w:val="24"/>
          <w:szCs w:val="24"/>
        </w:rPr>
        <w:t>In fact, t</w:t>
      </w:r>
      <w:r w:rsidR="003C3204" w:rsidRPr="00ED2A59">
        <w:rPr>
          <w:rFonts w:ascii="Arial" w:hAnsi="Arial" w:cs="Arial"/>
          <w:sz w:val="24"/>
          <w:szCs w:val="24"/>
        </w:rPr>
        <w:t xml:space="preserve">he Government respondents </w:t>
      </w:r>
      <w:r w:rsidR="003F60F2">
        <w:rPr>
          <w:rFonts w:ascii="Arial" w:hAnsi="Arial" w:cs="Arial"/>
          <w:sz w:val="24"/>
          <w:szCs w:val="24"/>
        </w:rPr>
        <w:t>did not provide</w:t>
      </w:r>
      <w:r w:rsidR="003C3204" w:rsidRPr="00ED2A59">
        <w:rPr>
          <w:rFonts w:ascii="Arial" w:hAnsi="Arial" w:cs="Arial"/>
          <w:sz w:val="24"/>
          <w:szCs w:val="24"/>
        </w:rPr>
        <w:t xml:space="preserve"> any reason </w:t>
      </w:r>
      <w:r w:rsidR="00F30D41">
        <w:rPr>
          <w:rFonts w:ascii="Arial" w:hAnsi="Arial" w:cs="Arial"/>
          <w:sz w:val="24"/>
          <w:szCs w:val="24"/>
        </w:rPr>
        <w:t xml:space="preserve">whatsoever </w:t>
      </w:r>
      <w:r w:rsidR="003C3204" w:rsidRPr="00ED2A59">
        <w:rPr>
          <w:rFonts w:ascii="Arial" w:hAnsi="Arial" w:cs="Arial"/>
          <w:sz w:val="24"/>
          <w:szCs w:val="24"/>
        </w:rPr>
        <w:t>why it was not necessary for the Minister</w:t>
      </w:r>
      <w:r w:rsidR="00F30D41">
        <w:rPr>
          <w:rFonts w:ascii="Arial" w:hAnsi="Arial" w:cs="Arial"/>
          <w:sz w:val="24"/>
          <w:szCs w:val="24"/>
        </w:rPr>
        <w:t xml:space="preserve">, </w:t>
      </w:r>
      <w:r w:rsidR="003C3204" w:rsidRPr="00ED2A59">
        <w:rPr>
          <w:rFonts w:ascii="Arial" w:hAnsi="Arial" w:cs="Arial"/>
          <w:sz w:val="24"/>
          <w:szCs w:val="24"/>
        </w:rPr>
        <w:t>armed with the evidence that the Permanent Secretary who defied his</w:t>
      </w:r>
      <w:r w:rsidR="00ED2A59" w:rsidRPr="00ED2A59">
        <w:rPr>
          <w:rFonts w:ascii="Arial" w:hAnsi="Arial" w:cs="Arial"/>
          <w:sz w:val="24"/>
          <w:szCs w:val="24"/>
        </w:rPr>
        <w:t xml:space="preserve"> instructions not to be involved</w:t>
      </w:r>
      <w:r w:rsidR="003C3204" w:rsidRPr="00ED2A59">
        <w:rPr>
          <w:rFonts w:ascii="Arial" w:hAnsi="Arial" w:cs="Arial"/>
          <w:sz w:val="24"/>
          <w:szCs w:val="24"/>
        </w:rPr>
        <w:t xml:space="preserve"> participated</w:t>
      </w:r>
      <w:r w:rsidR="00ED2A59" w:rsidRPr="00ED2A59">
        <w:rPr>
          <w:rFonts w:ascii="Arial" w:hAnsi="Arial" w:cs="Arial"/>
          <w:sz w:val="24"/>
          <w:szCs w:val="24"/>
        </w:rPr>
        <w:t xml:space="preserve"> in the decision making process</w:t>
      </w:r>
      <w:r w:rsidR="003C3204" w:rsidRPr="00ED2A59">
        <w:rPr>
          <w:rFonts w:ascii="Arial" w:hAnsi="Arial" w:cs="Arial"/>
          <w:sz w:val="24"/>
          <w:szCs w:val="24"/>
        </w:rPr>
        <w:t xml:space="preserve"> and failed to declare an interest and </w:t>
      </w:r>
      <w:r w:rsidR="00ED2A59" w:rsidRPr="00ED2A59">
        <w:rPr>
          <w:rFonts w:ascii="Arial" w:hAnsi="Arial" w:cs="Arial"/>
          <w:sz w:val="24"/>
          <w:szCs w:val="24"/>
        </w:rPr>
        <w:t xml:space="preserve">the </w:t>
      </w:r>
      <w:r w:rsidR="003C3204" w:rsidRPr="00ED2A59">
        <w:rPr>
          <w:rFonts w:ascii="Arial" w:hAnsi="Arial" w:cs="Arial"/>
          <w:sz w:val="24"/>
          <w:szCs w:val="24"/>
        </w:rPr>
        <w:t>allegations of corrup</w:t>
      </w:r>
      <w:r w:rsidR="00F30D41">
        <w:rPr>
          <w:rFonts w:ascii="Arial" w:hAnsi="Arial" w:cs="Arial"/>
          <w:sz w:val="24"/>
          <w:szCs w:val="24"/>
        </w:rPr>
        <w:t>tion in the award of the tender</w:t>
      </w:r>
      <w:r w:rsidR="001B3991" w:rsidRPr="00ED2A59">
        <w:rPr>
          <w:rFonts w:ascii="Arial" w:hAnsi="Arial" w:cs="Arial"/>
          <w:sz w:val="24"/>
          <w:szCs w:val="24"/>
        </w:rPr>
        <w:t xml:space="preserve">, </w:t>
      </w:r>
      <w:r w:rsidR="003C3204" w:rsidRPr="00ED2A59">
        <w:rPr>
          <w:rFonts w:ascii="Arial" w:hAnsi="Arial" w:cs="Arial"/>
          <w:sz w:val="24"/>
          <w:szCs w:val="24"/>
        </w:rPr>
        <w:t>to</w:t>
      </w:r>
      <w:r w:rsidR="00662971">
        <w:rPr>
          <w:rFonts w:ascii="Arial" w:hAnsi="Arial" w:cs="Arial"/>
          <w:sz w:val="24"/>
          <w:szCs w:val="24"/>
        </w:rPr>
        <w:t xml:space="preserve"> approach a Court</w:t>
      </w:r>
      <w:r w:rsidR="00ED2A59" w:rsidRPr="00ED2A59">
        <w:rPr>
          <w:rFonts w:ascii="Arial" w:hAnsi="Arial" w:cs="Arial"/>
          <w:sz w:val="24"/>
          <w:szCs w:val="24"/>
        </w:rPr>
        <w:t xml:space="preserve"> to review </w:t>
      </w:r>
      <w:r w:rsidR="00ED2A59" w:rsidRPr="00ED2A59">
        <w:rPr>
          <w:rFonts w:ascii="Arial" w:hAnsi="Arial" w:cs="Arial"/>
          <w:sz w:val="24"/>
          <w:szCs w:val="24"/>
        </w:rPr>
        <w:lastRenderedPageBreak/>
        <w:t xml:space="preserve">and set aside the award particularly </w:t>
      </w:r>
      <w:r w:rsidR="00AD22F7" w:rsidRPr="00ED2A59">
        <w:rPr>
          <w:rFonts w:ascii="Arial" w:hAnsi="Arial" w:cs="Arial"/>
          <w:sz w:val="24"/>
          <w:szCs w:val="24"/>
        </w:rPr>
        <w:t xml:space="preserve">because transparency and accountability are fundamental principles of public procurement </w:t>
      </w:r>
      <w:r w:rsidR="00ED2A59" w:rsidRPr="00ED2A59">
        <w:rPr>
          <w:rFonts w:ascii="Arial" w:hAnsi="Arial" w:cs="Arial"/>
          <w:sz w:val="24"/>
          <w:szCs w:val="24"/>
        </w:rPr>
        <w:t>system</w:t>
      </w:r>
      <w:r w:rsidR="00153C93">
        <w:rPr>
          <w:rFonts w:ascii="Arial" w:hAnsi="Arial" w:cs="Arial"/>
          <w:sz w:val="24"/>
          <w:szCs w:val="24"/>
        </w:rPr>
        <w:t xml:space="preserve">. </w:t>
      </w:r>
    </w:p>
    <w:p w:rsidR="00ED2A59" w:rsidRDefault="00ED2A59" w:rsidP="00CC6536">
      <w:pPr>
        <w:pStyle w:val="NoSpacing"/>
        <w:spacing w:line="480" w:lineRule="auto"/>
        <w:jc w:val="both"/>
        <w:rPr>
          <w:rFonts w:ascii="Arial" w:hAnsi="Arial" w:cs="Arial"/>
          <w:sz w:val="24"/>
          <w:szCs w:val="24"/>
        </w:rPr>
      </w:pPr>
    </w:p>
    <w:p w:rsidR="00E24336" w:rsidRDefault="00DD2193" w:rsidP="007C2C6F">
      <w:pPr>
        <w:pStyle w:val="NoSpacing"/>
        <w:numPr>
          <w:ilvl w:val="0"/>
          <w:numId w:val="16"/>
        </w:numPr>
        <w:spacing w:line="480" w:lineRule="auto"/>
        <w:ind w:left="0" w:firstLine="0"/>
        <w:jc w:val="both"/>
        <w:rPr>
          <w:rFonts w:ascii="Arial" w:hAnsi="Arial" w:cs="Arial"/>
          <w:sz w:val="24"/>
          <w:szCs w:val="24"/>
        </w:rPr>
      </w:pPr>
      <w:r w:rsidRPr="001F0E84">
        <w:rPr>
          <w:rFonts w:ascii="Arial" w:hAnsi="Arial" w:cs="Arial"/>
          <w:sz w:val="24"/>
          <w:szCs w:val="24"/>
        </w:rPr>
        <w:t>More to the point regarding the lawfulness of the decision to cancel is the challenge based on the contention that the decision to cancel w</w:t>
      </w:r>
      <w:r w:rsidR="002E7F41">
        <w:rPr>
          <w:rFonts w:ascii="Arial" w:hAnsi="Arial" w:cs="Arial"/>
          <w:sz w:val="24"/>
          <w:szCs w:val="24"/>
        </w:rPr>
        <w:t>as that of the Ministry</w:t>
      </w:r>
      <w:r w:rsidR="0013523F">
        <w:rPr>
          <w:rFonts w:ascii="Arial" w:hAnsi="Arial" w:cs="Arial"/>
          <w:sz w:val="24"/>
          <w:szCs w:val="24"/>
        </w:rPr>
        <w:t xml:space="preserve"> and not</w:t>
      </w:r>
      <w:r w:rsidR="0085038A">
        <w:rPr>
          <w:rFonts w:ascii="Arial" w:hAnsi="Arial" w:cs="Arial"/>
          <w:sz w:val="24"/>
          <w:szCs w:val="24"/>
        </w:rPr>
        <w:t xml:space="preserve"> the Board. </w:t>
      </w:r>
      <w:r w:rsidR="00E9523C" w:rsidRPr="001F0E84">
        <w:rPr>
          <w:rFonts w:ascii="Arial" w:hAnsi="Arial" w:cs="Arial"/>
          <w:sz w:val="24"/>
          <w:szCs w:val="24"/>
        </w:rPr>
        <w:t>The ap</w:t>
      </w:r>
      <w:r w:rsidR="002E7F41">
        <w:rPr>
          <w:rFonts w:ascii="Arial" w:hAnsi="Arial" w:cs="Arial"/>
          <w:sz w:val="24"/>
          <w:szCs w:val="24"/>
        </w:rPr>
        <w:t>pellants argue that the Ministry</w:t>
      </w:r>
      <w:r w:rsidR="00E9523C" w:rsidRPr="001F0E84">
        <w:rPr>
          <w:rFonts w:ascii="Arial" w:hAnsi="Arial" w:cs="Arial"/>
          <w:sz w:val="24"/>
          <w:szCs w:val="24"/>
        </w:rPr>
        <w:t xml:space="preserve"> had no authority to direct </w:t>
      </w:r>
      <w:r w:rsidR="00954278">
        <w:rPr>
          <w:rFonts w:ascii="Arial" w:hAnsi="Arial" w:cs="Arial"/>
          <w:sz w:val="24"/>
          <w:szCs w:val="24"/>
        </w:rPr>
        <w:t>the Board to cancel the Tender.</w:t>
      </w:r>
      <w:r w:rsidR="00E9523C" w:rsidRPr="001F0E84">
        <w:rPr>
          <w:rFonts w:ascii="Arial" w:hAnsi="Arial" w:cs="Arial"/>
          <w:sz w:val="24"/>
          <w:szCs w:val="24"/>
        </w:rPr>
        <w:t xml:space="preserve"> Although the Government respondents deny that the decision to cancel was made by the Ministry, the </w:t>
      </w:r>
      <w:r w:rsidR="001F0E84" w:rsidRPr="001F0E84">
        <w:rPr>
          <w:rFonts w:ascii="Arial" w:hAnsi="Arial" w:cs="Arial"/>
          <w:sz w:val="24"/>
          <w:szCs w:val="24"/>
        </w:rPr>
        <w:t>appellants</w:t>
      </w:r>
      <w:r w:rsidR="00F11D09">
        <w:rPr>
          <w:rFonts w:ascii="Arial" w:hAnsi="Arial" w:cs="Arial"/>
          <w:sz w:val="24"/>
          <w:szCs w:val="24"/>
        </w:rPr>
        <w:t>’</w:t>
      </w:r>
      <w:r w:rsidR="001F0E84" w:rsidRPr="001F0E84">
        <w:rPr>
          <w:rFonts w:ascii="Arial" w:hAnsi="Arial" w:cs="Arial"/>
          <w:sz w:val="24"/>
          <w:szCs w:val="24"/>
        </w:rPr>
        <w:t xml:space="preserve"> argument is </w:t>
      </w:r>
      <w:r w:rsidRPr="001F0E84">
        <w:rPr>
          <w:rFonts w:ascii="Arial" w:hAnsi="Arial" w:cs="Arial"/>
          <w:sz w:val="24"/>
          <w:szCs w:val="24"/>
        </w:rPr>
        <w:t>not far-fetched</w:t>
      </w:r>
      <w:r w:rsidR="00CC0442" w:rsidRPr="001F0E84">
        <w:rPr>
          <w:rFonts w:ascii="Arial" w:hAnsi="Arial" w:cs="Arial"/>
          <w:sz w:val="24"/>
          <w:szCs w:val="24"/>
        </w:rPr>
        <w:t xml:space="preserve">: </w:t>
      </w:r>
      <w:r w:rsidR="003F60F2">
        <w:rPr>
          <w:rFonts w:ascii="Arial" w:hAnsi="Arial" w:cs="Arial"/>
          <w:sz w:val="24"/>
          <w:szCs w:val="24"/>
        </w:rPr>
        <w:t>Strikingly, in their opposing papers these respondents maintained, on one hand, that from the rendition of the rele</w:t>
      </w:r>
      <w:r w:rsidR="00153C93">
        <w:rPr>
          <w:rFonts w:ascii="Arial" w:hAnsi="Arial" w:cs="Arial"/>
          <w:sz w:val="24"/>
          <w:szCs w:val="24"/>
        </w:rPr>
        <w:t>vant facts neither the Ministry</w:t>
      </w:r>
      <w:r w:rsidR="003F60F2">
        <w:rPr>
          <w:rFonts w:ascii="Arial" w:hAnsi="Arial" w:cs="Arial"/>
          <w:sz w:val="24"/>
          <w:szCs w:val="24"/>
        </w:rPr>
        <w:t xml:space="preserve"> nor the Prime Minister dictated to the Board to cancel the tender but unambiguously stated, on the other, that the Ministries had a duty to act on the strength of those allegations because of their constitutional obligations and that it was preci</w:t>
      </w:r>
      <w:r w:rsidR="00AA21BF">
        <w:rPr>
          <w:rFonts w:ascii="Arial" w:hAnsi="Arial" w:cs="Arial"/>
          <w:sz w:val="24"/>
          <w:szCs w:val="24"/>
        </w:rPr>
        <w:t>sely for that reason that they ‘caused’</w:t>
      </w:r>
      <w:r w:rsidR="00E24336">
        <w:rPr>
          <w:rFonts w:ascii="Arial" w:hAnsi="Arial" w:cs="Arial"/>
          <w:sz w:val="24"/>
          <w:szCs w:val="24"/>
        </w:rPr>
        <w:t xml:space="preserve"> the Committee</w:t>
      </w:r>
      <w:r w:rsidR="00954278">
        <w:rPr>
          <w:rFonts w:ascii="Arial" w:hAnsi="Arial" w:cs="Arial"/>
          <w:sz w:val="24"/>
          <w:szCs w:val="24"/>
        </w:rPr>
        <w:t xml:space="preserve"> to deal with the allegations. </w:t>
      </w:r>
      <w:r w:rsidR="00E24336">
        <w:rPr>
          <w:rFonts w:ascii="Arial" w:hAnsi="Arial" w:cs="Arial"/>
          <w:sz w:val="24"/>
          <w:szCs w:val="24"/>
        </w:rPr>
        <w:t xml:space="preserve">The committee then resolved to recommend cancellation. </w:t>
      </w:r>
    </w:p>
    <w:p w:rsidR="00E24336" w:rsidRDefault="00E24336" w:rsidP="00E24336">
      <w:pPr>
        <w:pStyle w:val="ListParagraph"/>
        <w:rPr>
          <w:rFonts w:ascii="Arial" w:hAnsi="Arial" w:cs="Arial"/>
          <w:sz w:val="24"/>
          <w:szCs w:val="24"/>
        </w:rPr>
      </w:pPr>
    </w:p>
    <w:p w:rsidR="00100DB4" w:rsidRDefault="00E24336"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In any event t</w:t>
      </w:r>
      <w:r w:rsidR="001F0E84">
        <w:rPr>
          <w:rFonts w:ascii="Arial" w:hAnsi="Arial" w:cs="Arial"/>
          <w:sz w:val="24"/>
          <w:szCs w:val="24"/>
        </w:rPr>
        <w:t xml:space="preserve">he </w:t>
      </w:r>
      <w:r w:rsidR="00DD2193" w:rsidRPr="001F0E84">
        <w:rPr>
          <w:rFonts w:ascii="Arial" w:hAnsi="Arial" w:cs="Arial"/>
          <w:sz w:val="24"/>
          <w:szCs w:val="24"/>
        </w:rPr>
        <w:t xml:space="preserve">debates and disquiet </w:t>
      </w:r>
      <w:r w:rsidR="001F0E84">
        <w:rPr>
          <w:rFonts w:ascii="Arial" w:hAnsi="Arial" w:cs="Arial"/>
          <w:sz w:val="24"/>
          <w:szCs w:val="24"/>
        </w:rPr>
        <w:t xml:space="preserve">expressed </w:t>
      </w:r>
      <w:r w:rsidR="00DD2193" w:rsidRPr="001F0E84">
        <w:rPr>
          <w:rFonts w:ascii="Arial" w:hAnsi="Arial" w:cs="Arial"/>
          <w:sz w:val="24"/>
          <w:szCs w:val="24"/>
        </w:rPr>
        <w:t>by members of the Board</w:t>
      </w:r>
      <w:r>
        <w:rPr>
          <w:rFonts w:ascii="Arial" w:hAnsi="Arial" w:cs="Arial"/>
          <w:sz w:val="24"/>
          <w:szCs w:val="24"/>
        </w:rPr>
        <w:t xml:space="preserve">, </w:t>
      </w:r>
      <w:r w:rsidR="00DD2193" w:rsidRPr="001F0E84">
        <w:rPr>
          <w:rFonts w:ascii="Arial" w:hAnsi="Arial" w:cs="Arial"/>
          <w:sz w:val="24"/>
          <w:szCs w:val="24"/>
        </w:rPr>
        <w:t xml:space="preserve">when the </w:t>
      </w:r>
      <w:r w:rsidR="00AA21BF">
        <w:rPr>
          <w:rFonts w:ascii="Arial" w:hAnsi="Arial" w:cs="Arial"/>
          <w:sz w:val="24"/>
          <w:szCs w:val="24"/>
        </w:rPr>
        <w:t>request for ‘</w:t>
      </w:r>
      <w:r w:rsidR="00DD2193" w:rsidRPr="001F0E84">
        <w:rPr>
          <w:rFonts w:ascii="Arial" w:hAnsi="Arial" w:cs="Arial"/>
          <w:sz w:val="24"/>
          <w:szCs w:val="24"/>
        </w:rPr>
        <w:t>withdrawal</w:t>
      </w:r>
      <w:r w:rsidR="00AA21BF">
        <w:rPr>
          <w:rFonts w:ascii="Arial" w:hAnsi="Arial" w:cs="Arial"/>
          <w:sz w:val="24"/>
          <w:szCs w:val="24"/>
        </w:rPr>
        <w:t>’</w:t>
      </w:r>
      <w:r w:rsidR="00CC320C">
        <w:rPr>
          <w:rFonts w:ascii="Arial" w:hAnsi="Arial" w:cs="Arial"/>
          <w:sz w:val="24"/>
          <w:szCs w:val="24"/>
        </w:rPr>
        <w:t xml:space="preserve"> or </w:t>
      </w:r>
      <w:r w:rsidR="001F0E84">
        <w:rPr>
          <w:rFonts w:ascii="Arial" w:hAnsi="Arial" w:cs="Arial"/>
          <w:sz w:val="24"/>
          <w:szCs w:val="24"/>
        </w:rPr>
        <w:t xml:space="preserve">cancellation </w:t>
      </w:r>
      <w:r w:rsidR="00DD2193" w:rsidRPr="001F0E84">
        <w:rPr>
          <w:rFonts w:ascii="Arial" w:hAnsi="Arial" w:cs="Arial"/>
          <w:sz w:val="24"/>
          <w:szCs w:val="24"/>
        </w:rPr>
        <w:t xml:space="preserve">of the tender was </w:t>
      </w:r>
      <w:r>
        <w:rPr>
          <w:rFonts w:ascii="Arial" w:hAnsi="Arial" w:cs="Arial"/>
          <w:sz w:val="24"/>
          <w:szCs w:val="24"/>
        </w:rPr>
        <w:t xml:space="preserve">made at the instance of the </w:t>
      </w:r>
      <w:r w:rsidR="00DD2193" w:rsidRPr="001F0E84">
        <w:rPr>
          <w:rFonts w:ascii="Arial" w:hAnsi="Arial" w:cs="Arial"/>
          <w:sz w:val="24"/>
          <w:szCs w:val="24"/>
        </w:rPr>
        <w:t>Ministry</w:t>
      </w:r>
      <w:r w:rsidR="00CC320C">
        <w:rPr>
          <w:rFonts w:ascii="Arial" w:hAnsi="Arial" w:cs="Arial"/>
          <w:sz w:val="24"/>
          <w:szCs w:val="24"/>
        </w:rPr>
        <w:t xml:space="preserve"> by its </w:t>
      </w:r>
      <w:r w:rsidR="00DD2193" w:rsidRPr="001F0E84">
        <w:rPr>
          <w:rFonts w:ascii="Arial" w:hAnsi="Arial" w:cs="Arial"/>
          <w:sz w:val="24"/>
          <w:szCs w:val="24"/>
        </w:rPr>
        <w:t>technical person</w:t>
      </w:r>
      <w:r w:rsidR="001F0E84">
        <w:rPr>
          <w:rFonts w:ascii="Arial" w:hAnsi="Arial" w:cs="Arial"/>
          <w:sz w:val="24"/>
          <w:szCs w:val="24"/>
        </w:rPr>
        <w:t xml:space="preserve"> </w:t>
      </w:r>
      <w:r w:rsidR="00DD2193" w:rsidRPr="001F0E84">
        <w:rPr>
          <w:rFonts w:ascii="Arial" w:hAnsi="Arial" w:cs="Arial"/>
          <w:sz w:val="24"/>
          <w:szCs w:val="24"/>
        </w:rPr>
        <w:t xml:space="preserve">at the </w:t>
      </w:r>
      <w:r w:rsidR="001F0E84">
        <w:rPr>
          <w:rFonts w:ascii="Arial" w:hAnsi="Arial" w:cs="Arial"/>
          <w:sz w:val="24"/>
          <w:szCs w:val="24"/>
        </w:rPr>
        <w:t xml:space="preserve">Board’s </w:t>
      </w:r>
      <w:r w:rsidR="00DD2193" w:rsidRPr="001F0E84">
        <w:rPr>
          <w:rFonts w:ascii="Arial" w:hAnsi="Arial" w:cs="Arial"/>
          <w:sz w:val="24"/>
          <w:szCs w:val="24"/>
        </w:rPr>
        <w:t>meeting of 13 October 2014</w:t>
      </w:r>
      <w:r>
        <w:rPr>
          <w:rFonts w:ascii="Arial" w:hAnsi="Arial" w:cs="Arial"/>
          <w:sz w:val="24"/>
          <w:szCs w:val="24"/>
        </w:rPr>
        <w:t>,</w:t>
      </w:r>
      <w:r w:rsidR="001F0E84">
        <w:rPr>
          <w:rFonts w:ascii="Arial" w:hAnsi="Arial" w:cs="Arial"/>
          <w:sz w:val="24"/>
          <w:szCs w:val="24"/>
        </w:rPr>
        <w:t xml:space="preserve"> are </w:t>
      </w:r>
      <w:r w:rsidR="00CC320C">
        <w:rPr>
          <w:rFonts w:ascii="Arial" w:hAnsi="Arial" w:cs="Arial"/>
          <w:sz w:val="24"/>
          <w:szCs w:val="24"/>
        </w:rPr>
        <w:t>telling</w:t>
      </w:r>
      <w:r w:rsidR="00954278">
        <w:rPr>
          <w:rFonts w:ascii="Arial" w:hAnsi="Arial" w:cs="Arial"/>
          <w:sz w:val="24"/>
          <w:szCs w:val="24"/>
        </w:rPr>
        <w:t>.</w:t>
      </w:r>
      <w:r>
        <w:rPr>
          <w:rFonts w:ascii="Arial" w:hAnsi="Arial" w:cs="Arial"/>
          <w:sz w:val="24"/>
          <w:szCs w:val="24"/>
        </w:rPr>
        <w:t xml:space="preserve"> </w:t>
      </w:r>
      <w:r w:rsidR="001F0E84">
        <w:rPr>
          <w:rFonts w:ascii="Arial" w:hAnsi="Arial" w:cs="Arial"/>
          <w:sz w:val="24"/>
          <w:szCs w:val="24"/>
        </w:rPr>
        <w:t>T</w:t>
      </w:r>
      <w:r w:rsidR="00DD2193" w:rsidRPr="001F0E84">
        <w:rPr>
          <w:rFonts w:ascii="Arial" w:hAnsi="Arial" w:cs="Arial"/>
          <w:sz w:val="24"/>
          <w:szCs w:val="24"/>
        </w:rPr>
        <w:t>he</w:t>
      </w:r>
      <w:r>
        <w:rPr>
          <w:rFonts w:ascii="Arial" w:hAnsi="Arial" w:cs="Arial"/>
          <w:sz w:val="24"/>
          <w:szCs w:val="24"/>
        </w:rPr>
        <w:t xml:space="preserve"> members of the Board </w:t>
      </w:r>
      <w:r w:rsidR="001F0E84">
        <w:rPr>
          <w:rFonts w:ascii="Arial" w:hAnsi="Arial" w:cs="Arial"/>
          <w:sz w:val="24"/>
          <w:szCs w:val="24"/>
        </w:rPr>
        <w:t>explicitly demonstrate</w:t>
      </w:r>
      <w:r>
        <w:rPr>
          <w:rFonts w:ascii="Arial" w:hAnsi="Arial" w:cs="Arial"/>
          <w:sz w:val="24"/>
          <w:szCs w:val="24"/>
        </w:rPr>
        <w:t>d</w:t>
      </w:r>
      <w:r w:rsidR="001F0E84">
        <w:rPr>
          <w:rFonts w:ascii="Arial" w:hAnsi="Arial" w:cs="Arial"/>
          <w:sz w:val="24"/>
          <w:szCs w:val="24"/>
        </w:rPr>
        <w:t xml:space="preserve"> open </w:t>
      </w:r>
      <w:r w:rsidR="00DD2193" w:rsidRPr="001F0E84">
        <w:rPr>
          <w:rFonts w:ascii="Arial" w:hAnsi="Arial" w:cs="Arial"/>
          <w:sz w:val="24"/>
          <w:szCs w:val="24"/>
        </w:rPr>
        <w:t xml:space="preserve">uneasiness about the Ministry’s meddling </w:t>
      </w:r>
      <w:r w:rsidR="00CC320C">
        <w:rPr>
          <w:rFonts w:ascii="Arial" w:hAnsi="Arial" w:cs="Arial"/>
          <w:sz w:val="24"/>
          <w:szCs w:val="24"/>
        </w:rPr>
        <w:t>in</w:t>
      </w:r>
      <w:r w:rsidR="001F0E84">
        <w:rPr>
          <w:rFonts w:ascii="Arial" w:hAnsi="Arial" w:cs="Arial"/>
          <w:sz w:val="24"/>
          <w:szCs w:val="24"/>
        </w:rPr>
        <w:t xml:space="preserve"> the </w:t>
      </w:r>
      <w:r w:rsidR="00CC320C">
        <w:rPr>
          <w:rFonts w:ascii="Arial" w:hAnsi="Arial" w:cs="Arial"/>
          <w:sz w:val="24"/>
          <w:szCs w:val="24"/>
        </w:rPr>
        <w:t>Board</w:t>
      </w:r>
      <w:r w:rsidR="00F77FFC">
        <w:rPr>
          <w:rFonts w:ascii="Arial" w:hAnsi="Arial" w:cs="Arial"/>
          <w:sz w:val="24"/>
          <w:szCs w:val="24"/>
        </w:rPr>
        <w:t xml:space="preserve">’s </w:t>
      </w:r>
      <w:r w:rsidR="001F0E84">
        <w:rPr>
          <w:rFonts w:ascii="Arial" w:hAnsi="Arial" w:cs="Arial"/>
          <w:sz w:val="24"/>
          <w:szCs w:val="24"/>
        </w:rPr>
        <w:t xml:space="preserve">procurement </w:t>
      </w:r>
      <w:r w:rsidR="00CC320C">
        <w:rPr>
          <w:rFonts w:ascii="Arial" w:hAnsi="Arial" w:cs="Arial"/>
          <w:sz w:val="24"/>
          <w:szCs w:val="24"/>
        </w:rPr>
        <w:t xml:space="preserve">function or </w:t>
      </w:r>
      <w:r w:rsidR="001F0E84">
        <w:rPr>
          <w:rFonts w:ascii="Arial" w:hAnsi="Arial" w:cs="Arial"/>
          <w:sz w:val="24"/>
          <w:szCs w:val="24"/>
        </w:rPr>
        <w:t xml:space="preserve">process. </w:t>
      </w:r>
      <w:r w:rsidR="00BC084E" w:rsidRPr="00BC084E">
        <w:rPr>
          <w:rFonts w:ascii="Arial" w:hAnsi="Arial" w:cs="Arial"/>
          <w:sz w:val="24"/>
          <w:szCs w:val="24"/>
        </w:rPr>
        <w:t>To avoid prolixity it is not necessary to refer, in detail</w:t>
      </w:r>
      <w:r w:rsidR="00BC084E">
        <w:rPr>
          <w:rFonts w:ascii="Arial" w:hAnsi="Arial" w:cs="Arial"/>
          <w:sz w:val="24"/>
          <w:szCs w:val="24"/>
        </w:rPr>
        <w:t>,</w:t>
      </w:r>
      <w:r w:rsidR="00BC084E" w:rsidRPr="00BC084E">
        <w:rPr>
          <w:rFonts w:ascii="Arial" w:hAnsi="Arial" w:cs="Arial"/>
          <w:sz w:val="24"/>
          <w:szCs w:val="24"/>
        </w:rPr>
        <w:t xml:space="preserve"> to the relevant parts of the transcript to demonstrate this point.</w:t>
      </w:r>
      <w:r w:rsidR="00BC084E">
        <w:rPr>
          <w:rFonts w:ascii="Arial" w:hAnsi="Arial" w:cs="Arial"/>
          <w:sz w:val="24"/>
          <w:szCs w:val="24"/>
        </w:rPr>
        <w:t xml:space="preserve"> </w:t>
      </w:r>
    </w:p>
    <w:p w:rsidR="00100DB4" w:rsidRPr="00100DB4" w:rsidRDefault="00100DB4" w:rsidP="00100DB4">
      <w:pPr>
        <w:rPr>
          <w:rFonts w:ascii="Arial" w:hAnsi="Arial" w:cs="Arial"/>
          <w:sz w:val="24"/>
          <w:szCs w:val="24"/>
        </w:rPr>
      </w:pPr>
    </w:p>
    <w:p w:rsidR="00DD2193" w:rsidRPr="00F52228" w:rsidRDefault="00EE1652"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lastRenderedPageBreak/>
        <w:t>It</w:t>
      </w:r>
      <w:r w:rsidR="00E24336">
        <w:rPr>
          <w:rFonts w:ascii="Arial" w:hAnsi="Arial" w:cs="Arial"/>
          <w:sz w:val="24"/>
          <w:szCs w:val="24"/>
        </w:rPr>
        <w:t xml:space="preserve"> </w:t>
      </w:r>
      <w:r>
        <w:rPr>
          <w:rFonts w:ascii="Arial" w:hAnsi="Arial" w:cs="Arial"/>
          <w:sz w:val="24"/>
          <w:szCs w:val="24"/>
        </w:rPr>
        <w:t>s</w:t>
      </w:r>
      <w:r w:rsidR="00F52228">
        <w:rPr>
          <w:rFonts w:ascii="Arial" w:hAnsi="Arial" w:cs="Arial"/>
          <w:sz w:val="24"/>
          <w:szCs w:val="24"/>
        </w:rPr>
        <w:t>uffices to mention</w:t>
      </w:r>
      <w:r>
        <w:rPr>
          <w:rFonts w:ascii="Arial" w:hAnsi="Arial" w:cs="Arial"/>
          <w:sz w:val="24"/>
          <w:szCs w:val="24"/>
        </w:rPr>
        <w:t xml:space="preserve"> the following</w:t>
      </w:r>
      <w:r w:rsidR="00F52228">
        <w:rPr>
          <w:rFonts w:ascii="Arial" w:hAnsi="Arial" w:cs="Arial"/>
          <w:sz w:val="24"/>
          <w:szCs w:val="24"/>
        </w:rPr>
        <w:t xml:space="preserve"> </w:t>
      </w:r>
      <w:r>
        <w:rPr>
          <w:rFonts w:ascii="Arial" w:hAnsi="Arial" w:cs="Arial"/>
          <w:sz w:val="24"/>
          <w:szCs w:val="24"/>
        </w:rPr>
        <w:t>revealing</w:t>
      </w:r>
      <w:r w:rsidR="00F52228" w:rsidRPr="00F52228">
        <w:rPr>
          <w:rFonts w:ascii="Arial" w:hAnsi="Arial" w:cs="Arial"/>
          <w:sz w:val="24"/>
          <w:szCs w:val="24"/>
        </w:rPr>
        <w:t>, among other things, uneasiness on the part of the Board regarding the Executive</w:t>
      </w:r>
      <w:r w:rsidR="00F77FFC">
        <w:rPr>
          <w:rFonts w:ascii="Arial" w:hAnsi="Arial" w:cs="Arial"/>
          <w:sz w:val="24"/>
          <w:szCs w:val="24"/>
        </w:rPr>
        <w:t xml:space="preserve">’s perceived </w:t>
      </w:r>
      <w:r w:rsidR="00F52228" w:rsidRPr="00F52228">
        <w:rPr>
          <w:rFonts w:ascii="Arial" w:hAnsi="Arial" w:cs="Arial"/>
          <w:sz w:val="24"/>
          <w:szCs w:val="24"/>
        </w:rPr>
        <w:t>me</w:t>
      </w:r>
      <w:r>
        <w:rPr>
          <w:rFonts w:ascii="Arial" w:hAnsi="Arial" w:cs="Arial"/>
          <w:sz w:val="24"/>
          <w:szCs w:val="24"/>
        </w:rPr>
        <w:t>ddling in the work of the Board;</w:t>
      </w:r>
      <w:r w:rsidR="00F52228" w:rsidRPr="00F52228">
        <w:rPr>
          <w:rFonts w:ascii="Arial" w:hAnsi="Arial" w:cs="Arial"/>
          <w:sz w:val="24"/>
          <w:szCs w:val="24"/>
        </w:rPr>
        <w:t xml:space="preserve"> The Minister was said to </w:t>
      </w:r>
      <w:r w:rsidR="00F52228">
        <w:rPr>
          <w:rFonts w:ascii="Arial" w:hAnsi="Arial" w:cs="Arial"/>
          <w:sz w:val="24"/>
          <w:szCs w:val="24"/>
        </w:rPr>
        <w:t xml:space="preserve">have wanted the Board to </w:t>
      </w:r>
      <w:r w:rsidR="00F52228" w:rsidRPr="00F52228">
        <w:rPr>
          <w:rFonts w:ascii="Arial" w:hAnsi="Arial" w:cs="Arial"/>
          <w:sz w:val="24"/>
          <w:szCs w:val="24"/>
        </w:rPr>
        <w:t xml:space="preserve">brief him on the tender before the </w:t>
      </w:r>
      <w:r>
        <w:rPr>
          <w:rFonts w:ascii="Arial" w:hAnsi="Arial" w:cs="Arial"/>
          <w:sz w:val="24"/>
          <w:szCs w:val="24"/>
        </w:rPr>
        <w:t>‘Board could mitigate the tender’</w:t>
      </w:r>
      <w:r w:rsidR="00F52228" w:rsidRPr="00F52228">
        <w:rPr>
          <w:rFonts w:ascii="Arial" w:hAnsi="Arial" w:cs="Arial"/>
          <w:sz w:val="24"/>
          <w:szCs w:val="24"/>
        </w:rPr>
        <w:t xml:space="preserve">; The Board </w:t>
      </w:r>
      <w:r w:rsidR="00E24336">
        <w:rPr>
          <w:rFonts w:ascii="Arial" w:hAnsi="Arial" w:cs="Arial"/>
          <w:sz w:val="24"/>
          <w:szCs w:val="24"/>
        </w:rPr>
        <w:t xml:space="preserve">was steadfast that the </w:t>
      </w:r>
      <w:r w:rsidR="00F52228" w:rsidRPr="00F52228">
        <w:rPr>
          <w:rFonts w:ascii="Arial" w:hAnsi="Arial" w:cs="Arial"/>
          <w:sz w:val="24"/>
          <w:szCs w:val="24"/>
        </w:rPr>
        <w:t>ma</w:t>
      </w:r>
      <w:r w:rsidR="00E24336">
        <w:rPr>
          <w:rFonts w:ascii="Arial" w:hAnsi="Arial" w:cs="Arial"/>
          <w:sz w:val="24"/>
          <w:szCs w:val="24"/>
        </w:rPr>
        <w:t xml:space="preserve">tter was a procurement issue; </w:t>
      </w:r>
      <w:r w:rsidR="00F52228" w:rsidRPr="00F52228">
        <w:rPr>
          <w:rFonts w:ascii="Arial" w:hAnsi="Arial" w:cs="Arial"/>
          <w:sz w:val="24"/>
          <w:szCs w:val="24"/>
        </w:rPr>
        <w:t>The Board</w:t>
      </w:r>
      <w:r w:rsidR="00F77FFC">
        <w:rPr>
          <w:rFonts w:ascii="Arial" w:hAnsi="Arial" w:cs="Arial"/>
          <w:sz w:val="24"/>
          <w:szCs w:val="24"/>
        </w:rPr>
        <w:t>,</w:t>
      </w:r>
      <w:r w:rsidR="00F52228" w:rsidRPr="00F52228">
        <w:rPr>
          <w:rFonts w:ascii="Arial" w:hAnsi="Arial" w:cs="Arial"/>
          <w:sz w:val="24"/>
          <w:szCs w:val="24"/>
        </w:rPr>
        <w:t xml:space="preserve"> through one of its outspoken member</w:t>
      </w:r>
      <w:r w:rsidR="00BB07D0">
        <w:rPr>
          <w:rFonts w:ascii="Arial" w:hAnsi="Arial" w:cs="Arial"/>
          <w:sz w:val="24"/>
          <w:szCs w:val="24"/>
        </w:rPr>
        <w:t>s</w:t>
      </w:r>
      <w:r w:rsidR="00F77FFC">
        <w:rPr>
          <w:rFonts w:ascii="Arial" w:hAnsi="Arial" w:cs="Arial"/>
          <w:sz w:val="24"/>
          <w:szCs w:val="24"/>
        </w:rPr>
        <w:t>,</w:t>
      </w:r>
      <w:r w:rsidR="00F52228" w:rsidRPr="00F52228">
        <w:rPr>
          <w:rFonts w:ascii="Arial" w:hAnsi="Arial" w:cs="Arial"/>
          <w:sz w:val="24"/>
          <w:szCs w:val="24"/>
        </w:rPr>
        <w:t xml:space="preserve"> disagreed that the Executive was entitled to be briefed because the only body to take the decision was the Board</w:t>
      </w:r>
      <w:r w:rsidR="0085038A">
        <w:rPr>
          <w:rFonts w:ascii="Arial" w:hAnsi="Arial" w:cs="Arial"/>
          <w:sz w:val="24"/>
          <w:szCs w:val="24"/>
        </w:rPr>
        <w:t>.</w:t>
      </w:r>
      <w:r w:rsidR="00F52228" w:rsidRPr="00F52228">
        <w:rPr>
          <w:rFonts w:ascii="Arial" w:hAnsi="Arial" w:cs="Arial"/>
          <w:sz w:val="24"/>
          <w:szCs w:val="24"/>
        </w:rPr>
        <w:t xml:space="preserve"> Mention was also made </w:t>
      </w:r>
      <w:r w:rsidR="00F77FFC">
        <w:rPr>
          <w:rFonts w:ascii="Arial" w:hAnsi="Arial" w:cs="Arial"/>
          <w:sz w:val="24"/>
          <w:szCs w:val="24"/>
        </w:rPr>
        <w:t xml:space="preserve">by the technical person </w:t>
      </w:r>
      <w:r w:rsidR="00E25E33">
        <w:rPr>
          <w:rFonts w:ascii="Arial" w:hAnsi="Arial" w:cs="Arial"/>
          <w:sz w:val="24"/>
          <w:szCs w:val="24"/>
        </w:rPr>
        <w:t>that this was for ‘internal consultation’</w:t>
      </w:r>
      <w:r>
        <w:rPr>
          <w:rFonts w:ascii="Arial" w:hAnsi="Arial" w:cs="Arial"/>
          <w:sz w:val="24"/>
          <w:szCs w:val="24"/>
        </w:rPr>
        <w:t xml:space="preserve"> and that it was ‘for </w:t>
      </w:r>
      <w:r w:rsidR="00662971">
        <w:rPr>
          <w:rFonts w:ascii="Arial" w:hAnsi="Arial" w:cs="Arial"/>
          <w:sz w:val="24"/>
          <w:szCs w:val="24"/>
        </w:rPr>
        <w:t>Court</w:t>
      </w:r>
      <w:r>
        <w:rPr>
          <w:rFonts w:ascii="Arial" w:hAnsi="Arial" w:cs="Arial"/>
          <w:sz w:val="24"/>
          <w:szCs w:val="24"/>
        </w:rPr>
        <w:t>esy’</w:t>
      </w:r>
      <w:r w:rsidR="00F52228" w:rsidRPr="00F52228">
        <w:rPr>
          <w:rFonts w:ascii="Arial" w:hAnsi="Arial" w:cs="Arial"/>
          <w:sz w:val="24"/>
          <w:szCs w:val="24"/>
        </w:rPr>
        <w:t xml:space="preserve"> for </w:t>
      </w:r>
      <w:r w:rsidR="00E25E33">
        <w:rPr>
          <w:rFonts w:ascii="Arial" w:hAnsi="Arial" w:cs="Arial"/>
          <w:sz w:val="24"/>
          <w:szCs w:val="24"/>
        </w:rPr>
        <w:t>the ‘Ministry to give direction’</w:t>
      </w:r>
      <w:r w:rsidR="00954278">
        <w:rPr>
          <w:rFonts w:ascii="Arial" w:hAnsi="Arial" w:cs="Arial"/>
          <w:sz w:val="24"/>
          <w:szCs w:val="24"/>
        </w:rPr>
        <w:t>.</w:t>
      </w:r>
      <w:r w:rsidR="00E24336">
        <w:rPr>
          <w:rFonts w:ascii="Arial" w:hAnsi="Arial" w:cs="Arial"/>
          <w:sz w:val="24"/>
          <w:szCs w:val="24"/>
        </w:rPr>
        <w:t xml:space="preserve"> The Board</w:t>
      </w:r>
      <w:r w:rsidR="00F77FFC">
        <w:rPr>
          <w:rFonts w:ascii="Arial" w:hAnsi="Arial" w:cs="Arial"/>
          <w:sz w:val="24"/>
          <w:szCs w:val="24"/>
        </w:rPr>
        <w:t xml:space="preserve"> cautioned </w:t>
      </w:r>
      <w:r w:rsidR="00F52228" w:rsidRPr="00F52228">
        <w:rPr>
          <w:rFonts w:ascii="Arial" w:hAnsi="Arial" w:cs="Arial"/>
          <w:sz w:val="24"/>
          <w:szCs w:val="24"/>
        </w:rPr>
        <w:t>that procurement law does not prescribe the participation of the Executive in such pro</w:t>
      </w:r>
      <w:r w:rsidR="00795D1A">
        <w:rPr>
          <w:rFonts w:ascii="Arial" w:hAnsi="Arial" w:cs="Arial"/>
          <w:sz w:val="24"/>
          <w:szCs w:val="24"/>
        </w:rPr>
        <w:t xml:space="preserve">curement matters. </w:t>
      </w:r>
      <w:r w:rsidR="00E24336">
        <w:rPr>
          <w:rFonts w:ascii="Arial" w:hAnsi="Arial" w:cs="Arial"/>
          <w:sz w:val="24"/>
          <w:szCs w:val="24"/>
        </w:rPr>
        <w:t xml:space="preserve">It correctly said that </w:t>
      </w:r>
      <w:r w:rsidR="00F52228" w:rsidRPr="00F52228">
        <w:rPr>
          <w:rFonts w:ascii="Arial" w:hAnsi="Arial" w:cs="Arial"/>
          <w:sz w:val="24"/>
          <w:szCs w:val="24"/>
        </w:rPr>
        <w:t xml:space="preserve">the law empowers only the Board to do procurement, be it evaluation which is referred to sub-adjudication and award; repeatedly </w:t>
      </w:r>
      <w:r w:rsidR="00E24336">
        <w:rPr>
          <w:rFonts w:ascii="Arial" w:hAnsi="Arial" w:cs="Arial"/>
          <w:sz w:val="24"/>
          <w:szCs w:val="24"/>
        </w:rPr>
        <w:t xml:space="preserve">members </w:t>
      </w:r>
      <w:r w:rsidR="00F52228" w:rsidRPr="00F52228">
        <w:rPr>
          <w:rFonts w:ascii="Arial" w:hAnsi="Arial" w:cs="Arial"/>
          <w:sz w:val="24"/>
          <w:szCs w:val="24"/>
        </w:rPr>
        <w:t>cautioned that the Board will be creating a pr</w:t>
      </w:r>
      <w:r w:rsidR="00F77FFC">
        <w:rPr>
          <w:rFonts w:ascii="Arial" w:hAnsi="Arial" w:cs="Arial"/>
          <w:sz w:val="24"/>
          <w:szCs w:val="24"/>
        </w:rPr>
        <w:t xml:space="preserve">ecedent in </w:t>
      </w:r>
      <w:r w:rsidR="00F52228" w:rsidRPr="00F52228">
        <w:rPr>
          <w:rFonts w:ascii="Arial" w:hAnsi="Arial" w:cs="Arial"/>
          <w:sz w:val="24"/>
          <w:szCs w:val="24"/>
        </w:rPr>
        <w:t xml:space="preserve">allowing </w:t>
      </w:r>
      <w:r w:rsidR="00F77FFC">
        <w:rPr>
          <w:rFonts w:ascii="Arial" w:hAnsi="Arial" w:cs="Arial"/>
          <w:sz w:val="24"/>
          <w:szCs w:val="24"/>
        </w:rPr>
        <w:t>consultation with the Executive</w:t>
      </w:r>
      <w:r w:rsidR="00E24336">
        <w:rPr>
          <w:rFonts w:ascii="Arial" w:hAnsi="Arial" w:cs="Arial"/>
          <w:sz w:val="24"/>
          <w:szCs w:val="24"/>
        </w:rPr>
        <w:t xml:space="preserve"> when executing its procurement obligations</w:t>
      </w:r>
      <w:r w:rsidR="00F77FFC">
        <w:rPr>
          <w:rFonts w:ascii="Arial" w:hAnsi="Arial" w:cs="Arial"/>
          <w:sz w:val="24"/>
          <w:szCs w:val="24"/>
        </w:rPr>
        <w:t>.</w:t>
      </w:r>
      <w:r w:rsidR="00E24336">
        <w:rPr>
          <w:rFonts w:ascii="Arial" w:hAnsi="Arial" w:cs="Arial"/>
          <w:sz w:val="24"/>
          <w:szCs w:val="24"/>
        </w:rPr>
        <w:t xml:space="preserve"> F</w:t>
      </w:r>
      <w:r w:rsidR="00F52228" w:rsidRPr="00F52228">
        <w:rPr>
          <w:rFonts w:ascii="Arial" w:hAnsi="Arial" w:cs="Arial"/>
          <w:sz w:val="24"/>
          <w:szCs w:val="24"/>
        </w:rPr>
        <w:t>orthright</w:t>
      </w:r>
      <w:r w:rsidR="00F77FFC">
        <w:rPr>
          <w:rFonts w:ascii="Arial" w:hAnsi="Arial" w:cs="Arial"/>
          <w:sz w:val="24"/>
          <w:szCs w:val="24"/>
        </w:rPr>
        <w:t>ly</w:t>
      </w:r>
      <w:r w:rsidR="00340615">
        <w:rPr>
          <w:rFonts w:ascii="Arial" w:hAnsi="Arial" w:cs="Arial"/>
          <w:sz w:val="24"/>
          <w:szCs w:val="24"/>
        </w:rPr>
        <w:t xml:space="preserve">, </w:t>
      </w:r>
      <w:r w:rsidR="00E24336">
        <w:rPr>
          <w:rFonts w:ascii="Arial" w:hAnsi="Arial" w:cs="Arial"/>
          <w:sz w:val="24"/>
          <w:szCs w:val="24"/>
        </w:rPr>
        <w:t>a</w:t>
      </w:r>
      <w:r w:rsidR="00340615">
        <w:rPr>
          <w:rFonts w:ascii="Arial" w:hAnsi="Arial" w:cs="Arial"/>
          <w:sz w:val="24"/>
          <w:szCs w:val="24"/>
        </w:rPr>
        <w:t xml:space="preserve"> point was raised </w:t>
      </w:r>
      <w:r w:rsidR="00E24336">
        <w:rPr>
          <w:rFonts w:ascii="Arial" w:hAnsi="Arial" w:cs="Arial"/>
          <w:sz w:val="24"/>
          <w:szCs w:val="24"/>
        </w:rPr>
        <w:t>that</w:t>
      </w:r>
      <w:r w:rsidR="00340615">
        <w:rPr>
          <w:rFonts w:ascii="Arial" w:hAnsi="Arial" w:cs="Arial"/>
          <w:sz w:val="24"/>
          <w:szCs w:val="24"/>
        </w:rPr>
        <w:t xml:space="preserve"> allowing consultation with the Executive </w:t>
      </w:r>
      <w:r w:rsidR="00E24336">
        <w:rPr>
          <w:rFonts w:ascii="Arial" w:hAnsi="Arial" w:cs="Arial"/>
          <w:sz w:val="24"/>
          <w:szCs w:val="24"/>
        </w:rPr>
        <w:t xml:space="preserve">the Board </w:t>
      </w:r>
      <w:r>
        <w:rPr>
          <w:rFonts w:ascii="Arial" w:hAnsi="Arial" w:cs="Arial"/>
          <w:sz w:val="24"/>
          <w:szCs w:val="24"/>
        </w:rPr>
        <w:t>‘</w:t>
      </w:r>
      <w:r w:rsidR="00E24336">
        <w:rPr>
          <w:rFonts w:ascii="Arial" w:hAnsi="Arial" w:cs="Arial"/>
          <w:sz w:val="24"/>
          <w:szCs w:val="24"/>
        </w:rPr>
        <w:t xml:space="preserve">will be </w:t>
      </w:r>
      <w:r w:rsidR="00F52228" w:rsidRPr="00F52228">
        <w:rPr>
          <w:rFonts w:ascii="Arial" w:hAnsi="Arial" w:cs="Arial"/>
          <w:sz w:val="24"/>
          <w:szCs w:val="24"/>
        </w:rPr>
        <w:t>entering a very dangerous [zone]</w:t>
      </w:r>
      <w:r>
        <w:rPr>
          <w:rFonts w:ascii="Arial" w:hAnsi="Arial" w:cs="Arial"/>
          <w:sz w:val="24"/>
          <w:szCs w:val="24"/>
        </w:rPr>
        <w:t>’</w:t>
      </w:r>
      <w:r w:rsidR="00F52228" w:rsidRPr="00F52228">
        <w:rPr>
          <w:rFonts w:ascii="Arial" w:hAnsi="Arial" w:cs="Arial"/>
          <w:sz w:val="24"/>
          <w:szCs w:val="24"/>
        </w:rPr>
        <w:t xml:space="preserve"> and </w:t>
      </w:r>
      <w:r w:rsidR="00E24336">
        <w:rPr>
          <w:rFonts w:ascii="Arial" w:hAnsi="Arial" w:cs="Arial"/>
          <w:sz w:val="24"/>
          <w:szCs w:val="24"/>
        </w:rPr>
        <w:t xml:space="preserve">that it </w:t>
      </w:r>
      <w:r>
        <w:rPr>
          <w:rFonts w:ascii="Arial" w:hAnsi="Arial" w:cs="Arial"/>
          <w:sz w:val="24"/>
          <w:szCs w:val="24"/>
        </w:rPr>
        <w:t>‘</w:t>
      </w:r>
      <w:r w:rsidR="00E24336">
        <w:rPr>
          <w:rFonts w:ascii="Arial" w:hAnsi="Arial" w:cs="Arial"/>
          <w:sz w:val="24"/>
          <w:szCs w:val="24"/>
        </w:rPr>
        <w:t xml:space="preserve">will be </w:t>
      </w:r>
      <w:r w:rsidR="00F52228" w:rsidRPr="00F52228">
        <w:rPr>
          <w:rFonts w:ascii="Arial" w:hAnsi="Arial" w:cs="Arial"/>
          <w:sz w:val="24"/>
          <w:szCs w:val="24"/>
        </w:rPr>
        <w:t xml:space="preserve">weakening </w:t>
      </w:r>
      <w:r w:rsidR="00340615">
        <w:rPr>
          <w:rFonts w:ascii="Arial" w:hAnsi="Arial" w:cs="Arial"/>
          <w:sz w:val="24"/>
          <w:szCs w:val="24"/>
        </w:rPr>
        <w:t xml:space="preserve">itself and will be </w:t>
      </w:r>
      <w:r w:rsidR="00F52228" w:rsidRPr="00F52228">
        <w:rPr>
          <w:rFonts w:ascii="Arial" w:hAnsi="Arial" w:cs="Arial"/>
          <w:sz w:val="24"/>
          <w:szCs w:val="24"/>
        </w:rPr>
        <w:t>s</w:t>
      </w:r>
      <w:r w:rsidR="00786721">
        <w:rPr>
          <w:rFonts w:ascii="Arial" w:hAnsi="Arial" w:cs="Arial"/>
          <w:sz w:val="24"/>
          <w:szCs w:val="24"/>
        </w:rPr>
        <w:t>ubjecting answers to any things</w:t>
      </w:r>
      <w:r>
        <w:rPr>
          <w:rFonts w:ascii="Arial" w:hAnsi="Arial" w:cs="Arial"/>
          <w:sz w:val="24"/>
          <w:szCs w:val="24"/>
        </w:rPr>
        <w:t>’</w:t>
      </w:r>
      <w:r w:rsidR="00786721">
        <w:rPr>
          <w:rFonts w:ascii="Arial" w:hAnsi="Arial" w:cs="Arial"/>
          <w:sz w:val="24"/>
          <w:szCs w:val="24"/>
        </w:rPr>
        <w:t>.</w:t>
      </w:r>
      <w:r w:rsidR="00340615">
        <w:rPr>
          <w:rFonts w:ascii="Arial" w:hAnsi="Arial" w:cs="Arial"/>
          <w:sz w:val="24"/>
          <w:szCs w:val="24"/>
        </w:rPr>
        <w:t xml:space="preserve"> All these remarks are indeed revealing.</w:t>
      </w:r>
    </w:p>
    <w:p w:rsidR="00F11D09" w:rsidRDefault="00F11D09" w:rsidP="00F11D09">
      <w:pPr>
        <w:pStyle w:val="NoSpacing"/>
        <w:spacing w:line="480" w:lineRule="auto"/>
        <w:jc w:val="both"/>
        <w:rPr>
          <w:rFonts w:ascii="Arial" w:hAnsi="Arial" w:cs="Arial"/>
          <w:sz w:val="24"/>
          <w:szCs w:val="24"/>
        </w:rPr>
      </w:pPr>
    </w:p>
    <w:p w:rsidR="00340615" w:rsidRPr="003607D4" w:rsidRDefault="001B7FB1"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In any event</w:t>
      </w:r>
      <w:r w:rsidR="001F0E84" w:rsidRPr="00922851">
        <w:rPr>
          <w:rFonts w:ascii="Arial" w:hAnsi="Arial" w:cs="Arial"/>
          <w:sz w:val="24"/>
          <w:szCs w:val="24"/>
        </w:rPr>
        <w:t xml:space="preserve"> the Government respondents’ </w:t>
      </w:r>
      <w:r>
        <w:rPr>
          <w:rFonts w:ascii="Arial" w:hAnsi="Arial" w:cs="Arial"/>
          <w:sz w:val="24"/>
          <w:szCs w:val="24"/>
        </w:rPr>
        <w:t xml:space="preserve">own words in their </w:t>
      </w:r>
      <w:r w:rsidR="00786721">
        <w:rPr>
          <w:rFonts w:ascii="Arial" w:hAnsi="Arial" w:cs="Arial"/>
          <w:sz w:val="24"/>
          <w:szCs w:val="24"/>
        </w:rPr>
        <w:t xml:space="preserve">opposing papers </w:t>
      </w:r>
      <w:r w:rsidR="001F0E84" w:rsidRPr="00922851">
        <w:rPr>
          <w:rFonts w:ascii="Arial" w:hAnsi="Arial" w:cs="Arial"/>
          <w:sz w:val="24"/>
          <w:szCs w:val="24"/>
        </w:rPr>
        <w:t>show that the decision was not only of the Board. They state</w:t>
      </w:r>
      <w:r w:rsidR="00EE1652">
        <w:rPr>
          <w:rFonts w:ascii="Arial" w:hAnsi="Arial" w:cs="Arial"/>
          <w:sz w:val="24"/>
          <w:szCs w:val="24"/>
        </w:rPr>
        <w:t>d</w:t>
      </w:r>
      <w:r w:rsidR="001F0E84" w:rsidRPr="00922851">
        <w:rPr>
          <w:rFonts w:ascii="Arial" w:hAnsi="Arial" w:cs="Arial"/>
          <w:sz w:val="24"/>
          <w:szCs w:val="24"/>
        </w:rPr>
        <w:t xml:space="preserve"> t</w:t>
      </w:r>
      <w:r w:rsidR="00EE1652">
        <w:rPr>
          <w:rFonts w:ascii="Arial" w:hAnsi="Arial" w:cs="Arial"/>
          <w:sz w:val="24"/>
          <w:szCs w:val="24"/>
        </w:rPr>
        <w:t>hat ‘</w:t>
      </w:r>
      <w:r w:rsidR="00922851" w:rsidRPr="00922851">
        <w:rPr>
          <w:rFonts w:ascii="Arial" w:hAnsi="Arial" w:cs="Arial"/>
          <w:sz w:val="24"/>
          <w:szCs w:val="24"/>
        </w:rPr>
        <w:t>t</w:t>
      </w:r>
      <w:r w:rsidR="001F0E84" w:rsidRPr="00922851">
        <w:rPr>
          <w:rFonts w:ascii="Arial" w:hAnsi="Arial" w:cs="Arial"/>
          <w:sz w:val="24"/>
          <w:szCs w:val="24"/>
        </w:rPr>
        <w:t xml:space="preserve">he </w:t>
      </w:r>
      <w:r w:rsidR="00922851" w:rsidRPr="00922851">
        <w:rPr>
          <w:rFonts w:ascii="Arial" w:hAnsi="Arial" w:cs="Arial"/>
          <w:sz w:val="24"/>
          <w:szCs w:val="24"/>
        </w:rPr>
        <w:t xml:space="preserve">Committee and the Board, </w:t>
      </w:r>
      <w:r w:rsidR="00922851" w:rsidRPr="00922851">
        <w:rPr>
          <w:rFonts w:ascii="Arial" w:hAnsi="Arial" w:cs="Arial"/>
          <w:i/>
          <w:sz w:val="24"/>
          <w:szCs w:val="24"/>
        </w:rPr>
        <w:t>as well as the [Minist</w:t>
      </w:r>
      <w:r w:rsidR="004F1E79">
        <w:rPr>
          <w:rFonts w:ascii="Arial" w:hAnsi="Arial" w:cs="Arial"/>
          <w:i/>
          <w:sz w:val="24"/>
          <w:szCs w:val="24"/>
        </w:rPr>
        <w:t>ry</w:t>
      </w:r>
      <w:r w:rsidR="00922851" w:rsidRPr="00922851">
        <w:rPr>
          <w:rFonts w:ascii="Arial" w:hAnsi="Arial" w:cs="Arial"/>
          <w:i/>
          <w:sz w:val="24"/>
          <w:szCs w:val="24"/>
        </w:rPr>
        <w:t>] and [Prime Minister]</w:t>
      </w:r>
      <w:r w:rsidR="00922851" w:rsidRPr="00922851">
        <w:rPr>
          <w:rFonts w:ascii="Arial" w:hAnsi="Arial" w:cs="Arial"/>
          <w:sz w:val="24"/>
          <w:szCs w:val="24"/>
        </w:rPr>
        <w:t xml:space="preserve"> acted responsibly and in line with their constitutional duty </w:t>
      </w:r>
      <w:r w:rsidR="00922851" w:rsidRPr="001B7FB1">
        <w:rPr>
          <w:rFonts w:ascii="Arial" w:hAnsi="Arial" w:cs="Arial"/>
          <w:i/>
          <w:sz w:val="24"/>
          <w:szCs w:val="24"/>
        </w:rPr>
        <w:t>by bringing about the cancellation of the tender</w:t>
      </w:r>
      <w:r w:rsidR="00922851" w:rsidRPr="00922851">
        <w:rPr>
          <w:rFonts w:ascii="Arial" w:hAnsi="Arial" w:cs="Arial"/>
          <w:sz w:val="24"/>
          <w:szCs w:val="24"/>
        </w:rPr>
        <w:t>.</w:t>
      </w:r>
      <w:r w:rsidR="00EE1652">
        <w:rPr>
          <w:rFonts w:ascii="Arial" w:hAnsi="Arial" w:cs="Arial"/>
        </w:rPr>
        <w:t>’</w:t>
      </w:r>
      <w:r w:rsidR="00F77FFC">
        <w:rPr>
          <w:rFonts w:ascii="Arial" w:hAnsi="Arial" w:cs="Arial"/>
          <w:sz w:val="24"/>
          <w:szCs w:val="24"/>
        </w:rPr>
        <w:t xml:space="preserve"> </w:t>
      </w:r>
      <w:r w:rsidR="00922851" w:rsidRPr="00922851">
        <w:rPr>
          <w:rFonts w:ascii="Arial" w:hAnsi="Arial" w:cs="Arial"/>
          <w:sz w:val="24"/>
          <w:szCs w:val="24"/>
        </w:rPr>
        <w:t>It is thus not unexpected that the appellant</w:t>
      </w:r>
      <w:r>
        <w:rPr>
          <w:rFonts w:ascii="Arial" w:hAnsi="Arial" w:cs="Arial"/>
          <w:sz w:val="24"/>
          <w:szCs w:val="24"/>
        </w:rPr>
        <w:t>s</w:t>
      </w:r>
      <w:r w:rsidR="00922851" w:rsidRPr="00922851">
        <w:rPr>
          <w:rFonts w:ascii="Arial" w:hAnsi="Arial" w:cs="Arial"/>
          <w:sz w:val="24"/>
          <w:szCs w:val="24"/>
        </w:rPr>
        <w:t xml:space="preserve">, given the request to cancel </w:t>
      </w:r>
      <w:r w:rsidR="00922851">
        <w:rPr>
          <w:rFonts w:ascii="Arial" w:hAnsi="Arial" w:cs="Arial"/>
          <w:sz w:val="24"/>
          <w:szCs w:val="24"/>
        </w:rPr>
        <w:t xml:space="preserve">the tender </w:t>
      </w:r>
      <w:r w:rsidR="00922851" w:rsidRPr="00922851">
        <w:rPr>
          <w:rFonts w:ascii="Arial" w:hAnsi="Arial" w:cs="Arial"/>
          <w:sz w:val="24"/>
          <w:szCs w:val="24"/>
        </w:rPr>
        <w:t xml:space="preserve">and </w:t>
      </w:r>
      <w:r w:rsidR="00A00A04">
        <w:rPr>
          <w:rFonts w:ascii="Arial" w:hAnsi="Arial" w:cs="Arial"/>
          <w:sz w:val="24"/>
          <w:szCs w:val="24"/>
        </w:rPr>
        <w:t xml:space="preserve">coupled with </w:t>
      </w:r>
      <w:r w:rsidR="00922851" w:rsidRPr="00922851">
        <w:rPr>
          <w:rFonts w:ascii="Arial" w:hAnsi="Arial" w:cs="Arial"/>
          <w:sz w:val="24"/>
          <w:szCs w:val="24"/>
        </w:rPr>
        <w:t xml:space="preserve">the information </w:t>
      </w:r>
      <w:r w:rsidR="00922851">
        <w:rPr>
          <w:rFonts w:ascii="Arial" w:hAnsi="Arial" w:cs="Arial"/>
          <w:sz w:val="24"/>
          <w:szCs w:val="24"/>
        </w:rPr>
        <w:t xml:space="preserve">regarding what </w:t>
      </w:r>
      <w:r w:rsidR="00922851" w:rsidRPr="00922851">
        <w:rPr>
          <w:rFonts w:ascii="Arial" w:hAnsi="Arial" w:cs="Arial"/>
          <w:sz w:val="24"/>
          <w:szCs w:val="24"/>
        </w:rPr>
        <w:t xml:space="preserve">the Minister </w:t>
      </w:r>
      <w:r w:rsidR="00922851" w:rsidRPr="00922851">
        <w:rPr>
          <w:rFonts w:ascii="Arial" w:hAnsi="Arial" w:cs="Arial"/>
          <w:sz w:val="24"/>
          <w:szCs w:val="24"/>
        </w:rPr>
        <w:lastRenderedPageBreak/>
        <w:t>wanted, consider</w:t>
      </w:r>
      <w:r w:rsidR="00922851">
        <w:rPr>
          <w:rFonts w:ascii="Arial" w:hAnsi="Arial" w:cs="Arial"/>
          <w:sz w:val="24"/>
          <w:szCs w:val="24"/>
        </w:rPr>
        <w:t>ed that the Board merely rubberstamped the already taken decision.</w:t>
      </w:r>
      <w:r w:rsidR="00340615" w:rsidRPr="003607D4">
        <w:rPr>
          <w:rFonts w:ascii="Arial" w:hAnsi="Arial" w:cs="Arial"/>
          <w:sz w:val="24"/>
          <w:szCs w:val="24"/>
        </w:rPr>
        <w:t xml:space="preserve"> </w:t>
      </w:r>
    </w:p>
    <w:p w:rsidR="00BA375A" w:rsidRPr="00150B5F" w:rsidRDefault="00BA375A" w:rsidP="00150B5F">
      <w:pPr>
        <w:rPr>
          <w:rFonts w:ascii="Arial" w:hAnsi="Arial" w:cs="Arial"/>
          <w:sz w:val="24"/>
          <w:szCs w:val="24"/>
        </w:rPr>
      </w:pPr>
    </w:p>
    <w:p w:rsidR="00BA375A" w:rsidRDefault="00BA375A"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In its challenge, the appellants submitted that the Board, having awarded the tender to the successful bidders was </w:t>
      </w:r>
      <w:r w:rsidRPr="00BA375A">
        <w:rPr>
          <w:rFonts w:ascii="Arial" w:hAnsi="Arial" w:cs="Arial"/>
          <w:i/>
          <w:sz w:val="24"/>
          <w:szCs w:val="24"/>
        </w:rPr>
        <w:t>functus officio</w:t>
      </w:r>
      <w:r>
        <w:rPr>
          <w:rFonts w:ascii="Arial" w:hAnsi="Arial" w:cs="Arial"/>
          <w:sz w:val="24"/>
          <w:szCs w:val="24"/>
        </w:rPr>
        <w:t xml:space="preserve"> apropos its decision to cancel the tender. In the view I take of the matter, it is not necessary to decide this issue.</w:t>
      </w:r>
    </w:p>
    <w:p w:rsidR="005E194D" w:rsidRDefault="005E194D" w:rsidP="005E194D">
      <w:pPr>
        <w:pStyle w:val="ListParagraph"/>
        <w:rPr>
          <w:rFonts w:ascii="Arial" w:hAnsi="Arial" w:cs="Arial"/>
          <w:sz w:val="24"/>
          <w:szCs w:val="24"/>
        </w:rPr>
      </w:pPr>
    </w:p>
    <w:p w:rsidR="00922851" w:rsidRPr="0085038A" w:rsidRDefault="005E194D" w:rsidP="00922851">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All things </w:t>
      </w:r>
      <w:r w:rsidR="00CD385C">
        <w:rPr>
          <w:rFonts w:ascii="Arial" w:hAnsi="Arial" w:cs="Arial"/>
          <w:sz w:val="24"/>
          <w:szCs w:val="24"/>
        </w:rPr>
        <w:t xml:space="preserve">said </w:t>
      </w:r>
      <w:r>
        <w:rPr>
          <w:rFonts w:ascii="Arial" w:hAnsi="Arial" w:cs="Arial"/>
          <w:sz w:val="24"/>
          <w:szCs w:val="24"/>
        </w:rPr>
        <w:t>and done, the cancellation of the tender in these circumstanc</w:t>
      </w:r>
      <w:r w:rsidR="00127B6A">
        <w:rPr>
          <w:rFonts w:ascii="Arial" w:hAnsi="Arial" w:cs="Arial"/>
          <w:sz w:val="24"/>
          <w:szCs w:val="24"/>
        </w:rPr>
        <w:t>es was irrational and unlawful.</w:t>
      </w:r>
      <w:r>
        <w:rPr>
          <w:rFonts w:ascii="Arial" w:hAnsi="Arial" w:cs="Arial"/>
          <w:sz w:val="24"/>
          <w:szCs w:val="24"/>
        </w:rPr>
        <w:t xml:space="preserve"> </w:t>
      </w:r>
    </w:p>
    <w:p w:rsidR="0085038A" w:rsidRDefault="0085038A" w:rsidP="00922851">
      <w:pPr>
        <w:pStyle w:val="NoSpacing"/>
        <w:spacing w:line="480" w:lineRule="auto"/>
        <w:jc w:val="both"/>
        <w:rPr>
          <w:rFonts w:ascii="Arial" w:hAnsi="Arial" w:cs="Arial"/>
          <w:sz w:val="24"/>
          <w:szCs w:val="24"/>
        </w:rPr>
      </w:pPr>
    </w:p>
    <w:p w:rsidR="00D2773B" w:rsidRPr="00127B6A" w:rsidRDefault="00D2773B" w:rsidP="00922851">
      <w:pPr>
        <w:pStyle w:val="NoSpacing"/>
        <w:spacing w:line="480" w:lineRule="auto"/>
        <w:jc w:val="both"/>
        <w:rPr>
          <w:rFonts w:ascii="Arial" w:hAnsi="Arial" w:cs="Arial"/>
          <w:i/>
          <w:sz w:val="24"/>
          <w:szCs w:val="24"/>
        </w:rPr>
      </w:pPr>
      <w:r w:rsidRPr="00127B6A">
        <w:rPr>
          <w:rFonts w:ascii="Arial" w:hAnsi="Arial" w:cs="Arial"/>
          <w:i/>
          <w:sz w:val="24"/>
          <w:szCs w:val="24"/>
        </w:rPr>
        <w:t>Appropriate relief</w:t>
      </w:r>
    </w:p>
    <w:p w:rsidR="002B398E" w:rsidRDefault="002B398E" w:rsidP="007C2C6F">
      <w:pPr>
        <w:pStyle w:val="NoSpacing"/>
        <w:numPr>
          <w:ilvl w:val="0"/>
          <w:numId w:val="16"/>
        </w:numPr>
        <w:spacing w:line="480" w:lineRule="auto"/>
        <w:ind w:left="0" w:firstLine="0"/>
        <w:jc w:val="both"/>
        <w:rPr>
          <w:rFonts w:ascii="Arial" w:hAnsi="Arial" w:cs="Arial"/>
          <w:sz w:val="24"/>
          <w:szCs w:val="24"/>
        </w:rPr>
      </w:pPr>
      <w:r w:rsidRPr="00076B81">
        <w:rPr>
          <w:rFonts w:ascii="Arial" w:hAnsi="Arial" w:cs="Arial"/>
          <w:sz w:val="24"/>
          <w:szCs w:val="24"/>
        </w:rPr>
        <w:t>Ordinarily, a breach of administrative justice attracts public law remedies.</w:t>
      </w:r>
      <w:r w:rsidR="0085038A">
        <w:rPr>
          <w:rFonts w:ascii="Arial" w:hAnsi="Arial" w:cs="Arial"/>
          <w:sz w:val="24"/>
          <w:szCs w:val="24"/>
        </w:rPr>
        <w:t xml:space="preserve"> </w:t>
      </w:r>
      <w:r w:rsidR="00EC3BF9">
        <w:rPr>
          <w:rFonts w:ascii="Arial" w:hAnsi="Arial" w:cs="Arial"/>
          <w:sz w:val="24"/>
          <w:szCs w:val="24"/>
        </w:rPr>
        <w:t>The appellants sought relief as set out in the amended notice of mot</w:t>
      </w:r>
      <w:r w:rsidR="007B0A93">
        <w:rPr>
          <w:rFonts w:ascii="Arial" w:hAnsi="Arial" w:cs="Arial"/>
          <w:sz w:val="24"/>
          <w:szCs w:val="24"/>
        </w:rPr>
        <w:t>ion.</w:t>
      </w:r>
      <w:r w:rsidR="00EE1652">
        <w:rPr>
          <w:rStyle w:val="FootnoteReference"/>
          <w:rFonts w:ascii="Arial" w:hAnsi="Arial" w:cs="Arial"/>
          <w:sz w:val="24"/>
          <w:szCs w:val="24"/>
        </w:rPr>
        <w:footnoteReference w:id="46"/>
      </w:r>
      <w:r w:rsidR="00C719E8">
        <w:rPr>
          <w:rFonts w:ascii="Arial" w:hAnsi="Arial" w:cs="Arial"/>
          <w:sz w:val="24"/>
          <w:szCs w:val="24"/>
        </w:rPr>
        <w:t xml:space="preserve"> As alluded to above the appellants</w:t>
      </w:r>
      <w:r w:rsidR="007B0A93">
        <w:rPr>
          <w:rFonts w:ascii="Arial" w:hAnsi="Arial" w:cs="Arial"/>
          <w:sz w:val="24"/>
          <w:szCs w:val="24"/>
        </w:rPr>
        <w:t xml:space="preserve"> judiciously </w:t>
      </w:r>
      <w:r w:rsidR="00EC3BF9">
        <w:rPr>
          <w:rFonts w:ascii="Arial" w:hAnsi="Arial" w:cs="Arial"/>
          <w:sz w:val="24"/>
          <w:szCs w:val="24"/>
        </w:rPr>
        <w:t xml:space="preserve">jettisoned the interdictory relief in terms of which </w:t>
      </w:r>
      <w:r w:rsidR="00C719E8">
        <w:rPr>
          <w:rFonts w:ascii="Arial" w:hAnsi="Arial" w:cs="Arial"/>
          <w:sz w:val="24"/>
          <w:szCs w:val="24"/>
        </w:rPr>
        <w:t>the Government respondents were to</w:t>
      </w:r>
      <w:r w:rsidR="007B0A93">
        <w:rPr>
          <w:rFonts w:ascii="Arial" w:hAnsi="Arial" w:cs="Arial"/>
          <w:sz w:val="24"/>
          <w:szCs w:val="24"/>
        </w:rPr>
        <w:t xml:space="preserve"> be restrained from continuing to implement </w:t>
      </w:r>
      <w:r w:rsidR="00954278">
        <w:rPr>
          <w:rFonts w:ascii="Arial" w:hAnsi="Arial" w:cs="Arial"/>
          <w:sz w:val="24"/>
          <w:szCs w:val="24"/>
        </w:rPr>
        <w:t>the extended catering contract.</w:t>
      </w:r>
      <w:r w:rsidR="007B0A93">
        <w:rPr>
          <w:rFonts w:ascii="Arial" w:hAnsi="Arial" w:cs="Arial"/>
          <w:sz w:val="24"/>
          <w:szCs w:val="24"/>
        </w:rPr>
        <w:t xml:space="preserve"> </w:t>
      </w:r>
      <w:r>
        <w:rPr>
          <w:rFonts w:ascii="Arial" w:hAnsi="Arial" w:cs="Arial"/>
          <w:sz w:val="24"/>
          <w:szCs w:val="24"/>
        </w:rPr>
        <w:t xml:space="preserve">The interdictory relief, if it were to be granted, would have had no practical effect as the extended </w:t>
      </w:r>
      <w:r w:rsidR="00E25E33">
        <w:rPr>
          <w:rFonts w:ascii="Arial" w:hAnsi="Arial" w:cs="Arial"/>
          <w:sz w:val="24"/>
          <w:szCs w:val="24"/>
        </w:rPr>
        <w:t>contract</w:t>
      </w:r>
      <w:r w:rsidR="00954278">
        <w:rPr>
          <w:rFonts w:ascii="Arial" w:hAnsi="Arial" w:cs="Arial"/>
          <w:sz w:val="24"/>
          <w:szCs w:val="24"/>
        </w:rPr>
        <w:t xml:space="preserve"> ran out in May 2019.</w:t>
      </w:r>
      <w:r>
        <w:rPr>
          <w:rFonts w:ascii="Arial" w:hAnsi="Arial" w:cs="Arial"/>
          <w:sz w:val="24"/>
          <w:szCs w:val="24"/>
        </w:rPr>
        <w:t xml:space="preserve"> Besides, it would have had unintended disastrous consequences for the poor learners.</w:t>
      </w:r>
    </w:p>
    <w:p w:rsidR="002B398E" w:rsidRDefault="002B398E" w:rsidP="002B398E">
      <w:pPr>
        <w:pStyle w:val="NoSpacing"/>
        <w:spacing w:line="480" w:lineRule="auto"/>
        <w:jc w:val="both"/>
        <w:rPr>
          <w:rFonts w:ascii="Arial" w:hAnsi="Arial" w:cs="Arial"/>
          <w:sz w:val="24"/>
          <w:szCs w:val="24"/>
        </w:rPr>
      </w:pPr>
    </w:p>
    <w:p w:rsidR="00076B81" w:rsidRDefault="00D2773B" w:rsidP="007C2C6F">
      <w:pPr>
        <w:pStyle w:val="NoSpacing"/>
        <w:numPr>
          <w:ilvl w:val="0"/>
          <w:numId w:val="16"/>
        </w:numPr>
        <w:spacing w:line="480" w:lineRule="auto"/>
        <w:ind w:left="0" w:firstLine="0"/>
        <w:jc w:val="both"/>
        <w:rPr>
          <w:rFonts w:ascii="Arial" w:hAnsi="Arial" w:cs="Arial"/>
          <w:sz w:val="24"/>
          <w:szCs w:val="24"/>
        </w:rPr>
      </w:pPr>
      <w:r w:rsidRPr="00076B81">
        <w:rPr>
          <w:rFonts w:ascii="Arial" w:hAnsi="Arial" w:cs="Arial"/>
          <w:sz w:val="24"/>
          <w:szCs w:val="24"/>
        </w:rPr>
        <w:t>A determination of what constitute</w:t>
      </w:r>
      <w:r w:rsidR="00C719E8">
        <w:rPr>
          <w:rFonts w:ascii="Arial" w:hAnsi="Arial" w:cs="Arial"/>
          <w:sz w:val="24"/>
          <w:szCs w:val="24"/>
        </w:rPr>
        <w:t>s</w:t>
      </w:r>
      <w:r w:rsidRPr="00076B81">
        <w:rPr>
          <w:rFonts w:ascii="Arial" w:hAnsi="Arial" w:cs="Arial"/>
          <w:sz w:val="24"/>
          <w:szCs w:val="24"/>
        </w:rPr>
        <w:t xml:space="preserve"> an appropriate </w:t>
      </w:r>
      <w:r w:rsidR="001B7FB1" w:rsidRPr="00076B81">
        <w:rPr>
          <w:rFonts w:ascii="Arial" w:hAnsi="Arial" w:cs="Arial"/>
          <w:sz w:val="24"/>
          <w:szCs w:val="24"/>
        </w:rPr>
        <w:t>remedy</w:t>
      </w:r>
      <w:r w:rsidR="00AB453B" w:rsidRPr="00076B81">
        <w:rPr>
          <w:rFonts w:ascii="Arial" w:hAnsi="Arial" w:cs="Arial"/>
          <w:sz w:val="24"/>
          <w:szCs w:val="24"/>
        </w:rPr>
        <w:t xml:space="preserve"> </w:t>
      </w:r>
      <w:r w:rsidRPr="00076B81">
        <w:rPr>
          <w:rFonts w:ascii="Arial" w:hAnsi="Arial" w:cs="Arial"/>
          <w:sz w:val="24"/>
          <w:szCs w:val="24"/>
        </w:rPr>
        <w:t xml:space="preserve">– given the constitutional </w:t>
      </w:r>
      <w:r w:rsidR="00AB453B" w:rsidRPr="00076B81">
        <w:rPr>
          <w:rFonts w:ascii="Arial" w:hAnsi="Arial" w:cs="Arial"/>
          <w:sz w:val="24"/>
          <w:szCs w:val="24"/>
        </w:rPr>
        <w:t xml:space="preserve">and statutory breaches </w:t>
      </w:r>
      <w:r w:rsidRPr="00076B81">
        <w:rPr>
          <w:rFonts w:ascii="Arial" w:hAnsi="Arial" w:cs="Arial"/>
          <w:sz w:val="24"/>
          <w:szCs w:val="24"/>
        </w:rPr>
        <w:t xml:space="preserve">on one hand and the effluxion of time of the </w:t>
      </w:r>
      <w:r w:rsidR="002B398E">
        <w:rPr>
          <w:rFonts w:ascii="Arial" w:hAnsi="Arial" w:cs="Arial"/>
          <w:sz w:val="24"/>
          <w:szCs w:val="24"/>
        </w:rPr>
        <w:t>t</w:t>
      </w:r>
      <w:r w:rsidRPr="00076B81">
        <w:rPr>
          <w:rFonts w:ascii="Arial" w:hAnsi="Arial" w:cs="Arial"/>
          <w:sz w:val="24"/>
          <w:szCs w:val="24"/>
        </w:rPr>
        <w:t>ender</w:t>
      </w:r>
      <w:r w:rsidR="00AB453B" w:rsidRPr="00076B81">
        <w:rPr>
          <w:rFonts w:ascii="Arial" w:hAnsi="Arial" w:cs="Arial"/>
          <w:sz w:val="24"/>
          <w:szCs w:val="24"/>
        </w:rPr>
        <w:t xml:space="preserve"> on the other</w:t>
      </w:r>
      <w:r w:rsidRPr="00076B81">
        <w:rPr>
          <w:rFonts w:ascii="Arial" w:hAnsi="Arial" w:cs="Arial"/>
          <w:sz w:val="24"/>
          <w:szCs w:val="24"/>
        </w:rPr>
        <w:t xml:space="preserve">, is </w:t>
      </w:r>
      <w:r w:rsidR="00AB453B" w:rsidRPr="00076B81">
        <w:rPr>
          <w:rFonts w:ascii="Arial" w:hAnsi="Arial" w:cs="Arial"/>
          <w:sz w:val="24"/>
          <w:szCs w:val="24"/>
        </w:rPr>
        <w:t xml:space="preserve">somewhat </w:t>
      </w:r>
      <w:r w:rsidRPr="00076B81">
        <w:rPr>
          <w:rFonts w:ascii="Arial" w:hAnsi="Arial" w:cs="Arial"/>
          <w:sz w:val="24"/>
          <w:szCs w:val="24"/>
        </w:rPr>
        <w:t>t</w:t>
      </w:r>
      <w:r w:rsidR="00DA09C2" w:rsidRPr="00076B81">
        <w:rPr>
          <w:rFonts w:ascii="Arial" w:hAnsi="Arial" w:cs="Arial"/>
          <w:sz w:val="24"/>
          <w:szCs w:val="24"/>
        </w:rPr>
        <w:t xml:space="preserve">ricky. </w:t>
      </w:r>
      <w:r w:rsidR="00076B81">
        <w:rPr>
          <w:rFonts w:ascii="Arial" w:hAnsi="Arial" w:cs="Arial"/>
          <w:sz w:val="24"/>
          <w:szCs w:val="24"/>
        </w:rPr>
        <w:t xml:space="preserve">The </w:t>
      </w:r>
      <w:r w:rsidR="001C4FD0" w:rsidRPr="00076B81">
        <w:rPr>
          <w:rFonts w:ascii="Arial" w:hAnsi="Arial" w:cs="Arial"/>
          <w:sz w:val="24"/>
          <w:szCs w:val="24"/>
        </w:rPr>
        <w:t>determination is a discretionary matter</w:t>
      </w:r>
      <w:r w:rsidR="00076B81" w:rsidRPr="00076B81">
        <w:rPr>
          <w:rFonts w:ascii="Arial" w:hAnsi="Arial" w:cs="Arial"/>
          <w:sz w:val="24"/>
          <w:szCs w:val="24"/>
        </w:rPr>
        <w:t xml:space="preserve"> </w:t>
      </w:r>
      <w:r w:rsidR="004860A5" w:rsidRPr="00076B81">
        <w:rPr>
          <w:rFonts w:ascii="Arial" w:hAnsi="Arial" w:cs="Arial"/>
          <w:sz w:val="24"/>
          <w:szCs w:val="24"/>
        </w:rPr>
        <w:lastRenderedPageBreak/>
        <w:t>which discretion must be exercised judicially upon consideration of certain factors in the circumstances, including consideration of fairn</w:t>
      </w:r>
      <w:r w:rsidR="00076B81">
        <w:rPr>
          <w:rFonts w:ascii="Arial" w:hAnsi="Arial" w:cs="Arial"/>
          <w:sz w:val="24"/>
          <w:szCs w:val="24"/>
        </w:rPr>
        <w:t>ess to all concerned</w:t>
      </w:r>
      <w:r w:rsidR="004860A5" w:rsidRPr="00076B81">
        <w:rPr>
          <w:rFonts w:ascii="Arial" w:hAnsi="Arial" w:cs="Arial"/>
          <w:sz w:val="24"/>
          <w:szCs w:val="24"/>
        </w:rPr>
        <w:t>.</w:t>
      </w:r>
      <w:r w:rsidR="004860A5" w:rsidRPr="008B1EC2">
        <w:rPr>
          <w:rStyle w:val="FootnoteReference"/>
          <w:rFonts w:ascii="Arial" w:hAnsi="Arial" w:cs="Arial"/>
          <w:sz w:val="24"/>
          <w:szCs w:val="24"/>
        </w:rPr>
        <w:footnoteReference w:id="47"/>
      </w:r>
      <w:r w:rsidR="004860A5" w:rsidRPr="00076B81">
        <w:rPr>
          <w:rFonts w:ascii="Arial" w:hAnsi="Arial" w:cs="Arial"/>
          <w:sz w:val="24"/>
          <w:szCs w:val="24"/>
        </w:rPr>
        <w:t xml:space="preserve"> </w:t>
      </w:r>
    </w:p>
    <w:p w:rsidR="00076B81" w:rsidRDefault="00076B81" w:rsidP="00076B81">
      <w:pPr>
        <w:pStyle w:val="NoSpacing"/>
        <w:spacing w:line="480" w:lineRule="auto"/>
        <w:jc w:val="both"/>
        <w:rPr>
          <w:rFonts w:ascii="Arial" w:hAnsi="Arial" w:cs="Arial"/>
          <w:sz w:val="24"/>
          <w:szCs w:val="24"/>
        </w:rPr>
      </w:pPr>
    </w:p>
    <w:p w:rsidR="001C4FD0" w:rsidRPr="00076B81" w:rsidRDefault="001C4FD0" w:rsidP="007C2C6F">
      <w:pPr>
        <w:pStyle w:val="NoSpacing"/>
        <w:numPr>
          <w:ilvl w:val="0"/>
          <w:numId w:val="16"/>
        </w:numPr>
        <w:spacing w:line="480" w:lineRule="auto"/>
        <w:ind w:left="0" w:firstLine="0"/>
        <w:jc w:val="both"/>
        <w:rPr>
          <w:rFonts w:ascii="Arial" w:hAnsi="Arial" w:cs="Arial"/>
          <w:sz w:val="24"/>
          <w:szCs w:val="24"/>
        </w:rPr>
      </w:pPr>
      <w:r w:rsidRPr="00076B81">
        <w:rPr>
          <w:rFonts w:ascii="Arial" w:hAnsi="Arial" w:cs="Arial"/>
          <w:sz w:val="24"/>
          <w:szCs w:val="24"/>
        </w:rPr>
        <w:t xml:space="preserve"> In </w:t>
      </w:r>
      <w:r w:rsidRPr="00076B81">
        <w:rPr>
          <w:rFonts w:ascii="Arial" w:hAnsi="Arial" w:cs="Arial"/>
          <w:i/>
          <w:sz w:val="24"/>
          <w:szCs w:val="24"/>
        </w:rPr>
        <w:t>JFE Sapela Electronics</w:t>
      </w:r>
      <w:r w:rsidR="00C719E8">
        <w:rPr>
          <w:rFonts w:ascii="Arial" w:hAnsi="Arial" w:cs="Arial"/>
          <w:i/>
          <w:sz w:val="24"/>
          <w:szCs w:val="24"/>
        </w:rPr>
        <w:t>,</w:t>
      </w:r>
      <w:r w:rsidRPr="008B1EC2">
        <w:rPr>
          <w:rStyle w:val="FootnoteReference"/>
          <w:rFonts w:ascii="Arial" w:hAnsi="Arial" w:cs="Arial"/>
          <w:sz w:val="24"/>
          <w:szCs w:val="24"/>
        </w:rPr>
        <w:footnoteReference w:id="48"/>
      </w:r>
      <w:r w:rsidRPr="00076B81">
        <w:rPr>
          <w:rFonts w:ascii="Arial" w:hAnsi="Arial" w:cs="Arial"/>
          <w:sz w:val="24"/>
          <w:szCs w:val="24"/>
        </w:rPr>
        <w:t xml:space="preserve"> the South African S</w:t>
      </w:r>
      <w:r w:rsidR="002B398E">
        <w:rPr>
          <w:rFonts w:ascii="Arial" w:hAnsi="Arial" w:cs="Arial"/>
          <w:sz w:val="24"/>
          <w:szCs w:val="24"/>
        </w:rPr>
        <w:t xml:space="preserve">upreme </w:t>
      </w:r>
      <w:r w:rsidR="00662971">
        <w:rPr>
          <w:rFonts w:ascii="Arial" w:hAnsi="Arial" w:cs="Arial"/>
          <w:sz w:val="24"/>
          <w:szCs w:val="24"/>
        </w:rPr>
        <w:t>Court</w:t>
      </w:r>
      <w:r w:rsidR="002B398E">
        <w:rPr>
          <w:rFonts w:ascii="Arial" w:hAnsi="Arial" w:cs="Arial"/>
          <w:sz w:val="24"/>
          <w:szCs w:val="24"/>
        </w:rPr>
        <w:t xml:space="preserve"> of Appeal</w:t>
      </w:r>
      <w:r w:rsidRPr="00076B81">
        <w:rPr>
          <w:rFonts w:ascii="Arial" w:hAnsi="Arial" w:cs="Arial"/>
          <w:sz w:val="24"/>
          <w:szCs w:val="24"/>
        </w:rPr>
        <w:t xml:space="preserve"> quoted with approval its earlier pronouncement in </w:t>
      </w:r>
      <w:r w:rsidRPr="00076B81">
        <w:rPr>
          <w:rFonts w:ascii="Arial" w:hAnsi="Arial" w:cs="Arial"/>
          <w:i/>
          <w:sz w:val="24"/>
          <w:szCs w:val="24"/>
        </w:rPr>
        <w:t>Oudekraal</w:t>
      </w:r>
      <w:r w:rsidR="00F81F8D">
        <w:rPr>
          <w:rFonts w:ascii="Arial" w:hAnsi="Arial" w:cs="Arial"/>
          <w:i/>
          <w:sz w:val="24"/>
          <w:szCs w:val="24"/>
        </w:rPr>
        <w:t>,</w:t>
      </w:r>
      <w:r>
        <w:rPr>
          <w:rStyle w:val="FootnoteReference"/>
          <w:rFonts w:ascii="Arial" w:hAnsi="Arial" w:cs="Arial"/>
          <w:i/>
          <w:sz w:val="24"/>
          <w:szCs w:val="24"/>
        </w:rPr>
        <w:footnoteReference w:id="49"/>
      </w:r>
      <w:r w:rsidRPr="00076B81">
        <w:rPr>
          <w:rFonts w:ascii="Arial" w:hAnsi="Arial" w:cs="Arial"/>
          <w:sz w:val="24"/>
          <w:szCs w:val="24"/>
        </w:rPr>
        <w:t xml:space="preserve"> that the discretion of a </w:t>
      </w:r>
      <w:r w:rsidR="00662971">
        <w:rPr>
          <w:rFonts w:ascii="Arial" w:hAnsi="Arial" w:cs="Arial"/>
          <w:sz w:val="24"/>
          <w:szCs w:val="24"/>
        </w:rPr>
        <w:t>Court</w:t>
      </w:r>
      <w:r w:rsidRPr="00076B81">
        <w:rPr>
          <w:rFonts w:ascii="Arial" w:hAnsi="Arial" w:cs="Arial"/>
          <w:sz w:val="24"/>
          <w:szCs w:val="24"/>
        </w:rPr>
        <w:t xml:space="preserve"> </w:t>
      </w:r>
      <w:r w:rsidR="00350723">
        <w:rPr>
          <w:rFonts w:ascii="Arial" w:hAnsi="Arial" w:cs="Arial"/>
          <w:sz w:val="24"/>
          <w:szCs w:val="24"/>
        </w:rPr>
        <w:t>‘</w:t>
      </w:r>
      <w:r w:rsidRPr="00076B81">
        <w:rPr>
          <w:rFonts w:ascii="Arial" w:hAnsi="Arial" w:cs="Arial"/>
          <w:sz w:val="24"/>
          <w:szCs w:val="24"/>
        </w:rPr>
        <w:t>constitutes the indispensable moderating tool for avoiding or minimising injustice when l</w:t>
      </w:r>
      <w:r w:rsidR="00350723">
        <w:rPr>
          <w:rFonts w:ascii="Arial" w:hAnsi="Arial" w:cs="Arial"/>
          <w:sz w:val="24"/>
          <w:szCs w:val="24"/>
        </w:rPr>
        <w:t>egality and certainty collides.’</w:t>
      </w:r>
      <w:r w:rsidRPr="00076B81">
        <w:rPr>
          <w:rFonts w:ascii="Arial" w:hAnsi="Arial" w:cs="Arial"/>
          <w:sz w:val="24"/>
          <w:szCs w:val="24"/>
        </w:rPr>
        <w:t xml:space="preserve"> </w:t>
      </w:r>
      <w:r w:rsidR="00C74ABA">
        <w:rPr>
          <w:rFonts w:ascii="Arial" w:hAnsi="Arial" w:cs="Arial"/>
          <w:sz w:val="24"/>
          <w:szCs w:val="24"/>
        </w:rPr>
        <w:t>It is correct that a</w:t>
      </w:r>
      <w:r w:rsidR="00662971">
        <w:rPr>
          <w:rFonts w:ascii="Arial" w:hAnsi="Arial" w:cs="Arial"/>
          <w:sz w:val="24"/>
          <w:szCs w:val="24"/>
        </w:rPr>
        <w:t xml:space="preserve"> Court</w:t>
      </w:r>
      <w:r w:rsidR="00AB453B" w:rsidRPr="00076B81">
        <w:rPr>
          <w:rFonts w:ascii="Arial" w:hAnsi="Arial" w:cs="Arial"/>
          <w:sz w:val="24"/>
          <w:szCs w:val="24"/>
        </w:rPr>
        <w:t>, in th</w:t>
      </w:r>
      <w:r w:rsidR="00C74ABA">
        <w:rPr>
          <w:rFonts w:ascii="Arial" w:hAnsi="Arial" w:cs="Arial"/>
          <w:sz w:val="24"/>
          <w:szCs w:val="24"/>
        </w:rPr>
        <w:t>e exercise of its discretion to determine</w:t>
      </w:r>
      <w:r w:rsidR="00AB453B" w:rsidRPr="00076B81">
        <w:rPr>
          <w:rFonts w:ascii="Arial" w:hAnsi="Arial" w:cs="Arial"/>
          <w:sz w:val="24"/>
          <w:szCs w:val="24"/>
        </w:rPr>
        <w:t xml:space="preserve"> an equitable remedy</w:t>
      </w:r>
      <w:r w:rsidRPr="00076B81">
        <w:rPr>
          <w:rFonts w:ascii="Arial" w:hAnsi="Arial" w:cs="Arial"/>
          <w:sz w:val="24"/>
          <w:szCs w:val="24"/>
        </w:rPr>
        <w:t>,</w:t>
      </w:r>
      <w:r w:rsidR="00AB453B" w:rsidRPr="00076B81">
        <w:rPr>
          <w:rFonts w:ascii="Arial" w:hAnsi="Arial" w:cs="Arial"/>
          <w:sz w:val="24"/>
          <w:szCs w:val="24"/>
        </w:rPr>
        <w:t xml:space="preserve"> may be confronted with challenges and may decide not to set aside the impugned</w:t>
      </w:r>
      <w:r w:rsidRPr="00076B81">
        <w:rPr>
          <w:rFonts w:ascii="Arial" w:hAnsi="Arial" w:cs="Arial"/>
          <w:sz w:val="24"/>
          <w:szCs w:val="24"/>
        </w:rPr>
        <w:t xml:space="preserve"> decision (in this case </w:t>
      </w:r>
      <w:r w:rsidR="00AB453B" w:rsidRPr="00076B81">
        <w:rPr>
          <w:rFonts w:ascii="Arial" w:hAnsi="Arial" w:cs="Arial"/>
          <w:sz w:val="24"/>
          <w:szCs w:val="24"/>
        </w:rPr>
        <w:t>cancelling the tender</w:t>
      </w:r>
      <w:r w:rsidRPr="00076B81">
        <w:rPr>
          <w:rFonts w:ascii="Arial" w:hAnsi="Arial" w:cs="Arial"/>
          <w:sz w:val="24"/>
          <w:szCs w:val="24"/>
        </w:rPr>
        <w:t>)</w:t>
      </w:r>
      <w:r w:rsidR="00AB453B" w:rsidRPr="00076B81">
        <w:rPr>
          <w:rFonts w:ascii="Arial" w:hAnsi="Arial" w:cs="Arial"/>
          <w:sz w:val="24"/>
          <w:szCs w:val="24"/>
        </w:rPr>
        <w:t xml:space="preserve"> for example</w:t>
      </w:r>
      <w:r w:rsidRPr="00076B81">
        <w:rPr>
          <w:rFonts w:ascii="Arial" w:hAnsi="Arial" w:cs="Arial"/>
          <w:sz w:val="24"/>
          <w:szCs w:val="24"/>
        </w:rPr>
        <w:t>:</w:t>
      </w:r>
      <w:r w:rsidR="00AB453B" w:rsidRPr="00076B81">
        <w:rPr>
          <w:rFonts w:ascii="Arial" w:hAnsi="Arial" w:cs="Arial"/>
          <w:sz w:val="24"/>
          <w:szCs w:val="24"/>
        </w:rPr>
        <w:t xml:space="preserve"> where doing so may not achieve practical purposes or where doing so will be disruptive to the provision of services. In my view, the setting aside the decision cancelling the tender will not have catastrophic consequences </w:t>
      </w:r>
      <w:r w:rsidR="00A46D84" w:rsidRPr="00076B81">
        <w:rPr>
          <w:rFonts w:ascii="Arial" w:hAnsi="Arial" w:cs="Arial"/>
          <w:sz w:val="24"/>
          <w:szCs w:val="24"/>
        </w:rPr>
        <w:t>especially for the learners and the curr</w:t>
      </w:r>
      <w:r w:rsidR="00C74ABA">
        <w:rPr>
          <w:rFonts w:ascii="Arial" w:hAnsi="Arial" w:cs="Arial"/>
          <w:sz w:val="24"/>
          <w:szCs w:val="24"/>
        </w:rPr>
        <w:t>ent extended agreements which ca</w:t>
      </w:r>
      <w:r w:rsidR="00954278">
        <w:rPr>
          <w:rFonts w:ascii="Arial" w:hAnsi="Arial" w:cs="Arial"/>
          <w:sz w:val="24"/>
          <w:szCs w:val="24"/>
        </w:rPr>
        <w:t>me to an end in May 2019.</w:t>
      </w:r>
      <w:r w:rsidR="00A46D84" w:rsidRPr="00076B81">
        <w:rPr>
          <w:rFonts w:ascii="Arial" w:hAnsi="Arial" w:cs="Arial"/>
          <w:sz w:val="24"/>
          <w:szCs w:val="24"/>
        </w:rPr>
        <w:t xml:space="preserve"> Moreover, the Government </w:t>
      </w:r>
      <w:r w:rsidR="00AB453B" w:rsidRPr="00076B81">
        <w:rPr>
          <w:rFonts w:ascii="Arial" w:hAnsi="Arial" w:cs="Arial"/>
          <w:sz w:val="24"/>
          <w:szCs w:val="24"/>
        </w:rPr>
        <w:t xml:space="preserve">respondents </w:t>
      </w:r>
      <w:r w:rsidR="00A46D84" w:rsidRPr="00076B81">
        <w:rPr>
          <w:rFonts w:ascii="Arial" w:hAnsi="Arial" w:cs="Arial"/>
          <w:sz w:val="24"/>
          <w:szCs w:val="24"/>
        </w:rPr>
        <w:t>(bearing in mind that the further respondent</w:t>
      </w:r>
      <w:r w:rsidR="00076B81">
        <w:rPr>
          <w:rFonts w:ascii="Arial" w:hAnsi="Arial" w:cs="Arial"/>
          <w:sz w:val="24"/>
          <w:szCs w:val="24"/>
        </w:rPr>
        <w:t>s</w:t>
      </w:r>
      <w:r w:rsidR="00A46D84" w:rsidRPr="00076B81">
        <w:rPr>
          <w:rFonts w:ascii="Arial" w:hAnsi="Arial" w:cs="Arial"/>
          <w:sz w:val="24"/>
          <w:szCs w:val="24"/>
        </w:rPr>
        <w:t xml:space="preserve"> d</w:t>
      </w:r>
      <w:r w:rsidR="00C74ABA">
        <w:rPr>
          <w:rFonts w:ascii="Arial" w:hAnsi="Arial" w:cs="Arial"/>
          <w:sz w:val="24"/>
          <w:szCs w:val="24"/>
        </w:rPr>
        <w:t>id</w:t>
      </w:r>
      <w:r w:rsidR="00A46D84" w:rsidRPr="00076B81">
        <w:rPr>
          <w:rFonts w:ascii="Arial" w:hAnsi="Arial" w:cs="Arial"/>
          <w:sz w:val="24"/>
          <w:szCs w:val="24"/>
        </w:rPr>
        <w:t xml:space="preserve"> not oppose the setting aside of the decision to cancel) </w:t>
      </w:r>
      <w:r w:rsidR="00AB453B" w:rsidRPr="00076B81">
        <w:rPr>
          <w:rFonts w:ascii="Arial" w:hAnsi="Arial" w:cs="Arial"/>
          <w:sz w:val="24"/>
          <w:szCs w:val="24"/>
        </w:rPr>
        <w:t xml:space="preserve">have not shown that </w:t>
      </w:r>
      <w:r w:rsidR="00076B81">
        <w:rPr>
          <w:rFonts w:ascii="Arial" w:hAnsi="Arial" w:cs="Arial"/>
          <w:sz w:val="24"/>
          <w:szCs w:val="24"/>
        </w:rPr>
        <w:t xml:space="preserve">any </w:t>
      </w:r>
      <w:r w:rsidR="000C1716">
        <w:rPr>
          <w:rFonts w:ascii="Arial" w:hAnsi="Arial" w:cs="Arial"/>
          <w:sz w:val="24"/>
          <w:szCs w:val="24"/>
        </w:rPr>
        <w:t>shattering</w:t>
      </w:r>
      <w:r w:rsidR="00076B81">
        <w:rPr>
          <w:rFonts w:ascii="Arial" w:hAnsi="Arial" w:cs="Arial"/>
          <w:sz w:val="24"/>
          <w:szCs w:val="24"/>
        </w:rPr>
        <w:t xml:space="preserve"> </w:t>
      </w:r>
      <w:r w:rsidR="000C1716">
        <w:rPr>
          <w:rFonts w:ascii="Arial" w:hAnsi="Arial" w:cs="Arial"/>
          <w:sz w:val="24"/>
          <w:szCs w:val="24"/>
        </w:rPr>
        <w:t>result will follow</w:t>
      </w:r>
      <w:r w:rsidR="00AB453B" w:rsidRPr="00076B81">
        <w:rPr>
          <w:rFonts w:ascii="Arial" w:hAnsi="Arial" w:cs="Arial"/>
          <w:sz w:val="24"/>
          <w:szCs w:val="24"/>
        </w:rPr>
        <w:t xml:space="preserve"> if the cancellation </w:t>
      </w:r>
      <w:r w:rsidR="000C1716">
        <w:rPr>
          <w:rFonts w:ascii="Arial" w:hAnsi="Arial" w:cs="Arial"/>
          <w:sz w:val="24"/>
          <w:szCs w:val="24"/>
        </w:rPr>
        <w:t xml:space="preserve">decision </w:t>
      </w:r>
      <w:r w:rsidR="00AB453B" w:rsidRPr="00076B81">
        <w:rPr>
          <w:rFonts w:ascii="Arial" w:hAnsi="Arial" w:cs="Arial"/>
          <w:sz w:val="24"/>
          <w:szCs w:val="24"/>
        </w:rPr>
        <w:t xml:space="preserve">is set aside. </w:t>
      </w:r>
    </w:p>
    <w:p w:rsidR="001C4FD0" w:rsidRDefault="001C4FD0" w:rsidP="001C4FD0">
      <w:pPr>
        <w:pStyle w:val="NoSpacing"/>
        <w:spacing w:line="480" w:lineRule="auto"/>
        <w:jc w:val="both"/>
        <w:rPr>
          <w:rFonts w:ascii="Arial" w:hAnsi="Arial" w:cs="Arial"/>
          <w:sz w:val="24"/>
          <w:szCs w:val="24"/>
        </w:rPr>
      </w:pPr>
    </w:p>
    <w:p w:rsidR="00D2773B" w:rsidRPr="001C4FD0" w:rsidRDefault="00A46D84" w:rsidP="007C2C6F">
      <w:pPr>
        <w:pStyle w:val="NoSpacing"/>
        <w:numPr>
          <w:ilvl w:val="0"/>
          <w:numId w:val="16"/>
        </w:numPr>
        <w:spacing w:line="480" w:lineRule="auto"/>
        <w:ind w:left="0" w:firstLine="0"/>
        <w:jc w:val="both"/>
        <w:rPr>
          <w:rFonts w:ascii="Arial" w:hAnsi="Arial" w:cs="Arial"/>
          <w:sz w:val="24"/>
          <w:szCs w:val="24"/>
        </w:rPr>
      </w:pPr>
      <w:r w:rsidRPr="001C4FD0">
        <w:rPr>
          <w:rFonts w:ascii="Arial" w:hAnsi="Arial" w:cs="Arial"/>
          <w:sz w:val="24"/>
          <w:szCs w:val="24"/>
        </w:rPr>
        <w:t xml:space="preserve">In fact, the setting aside of the </w:t>
      </w:r>
      <w:r w:rsidR="00CE6B95" w:rsidRPr="001C4FD0">
        <w:rPr>
          <w:rFonts w:ascii="Arial" w:hAnsi="Arial" w:cs="Arial"/>
          <w:sz w:val="24"/>
          <w:szCs w:val="24"/>
        </w:rPr>
        <w:t xml:space="preserve">cancellation </w:t>
      </w:r>
      <w:r w:rsidR="001C4FD0">
        <w:rPr>
          <w:rFonts w:ascii="Arial" w:hAnsi="Arial" w:cs="Arial"/>
          <w:sz w:val="24"/>
          <w:szCs w:val="24"/>
        </w:rPr>
        <w:t xml:space="preserve">decision </w:t>
      </w:r>
      <w:r w:rsidR="004860A5">
        <w:rPr>
          <w:rFonts w:ascii="Arial" w:hAnsi="Arial" w:cs="Arial"/>
          <w:sz w:val="24"/>
          <w:szCs w:val="24"/>
        </w:rPr>
        <w:t xml:space="preserve">will </w:t>
      </w:r>
      <w:r w:rsidR="003B4A41">
        <w:rPr>
          <w:rFonts w:ascii="Arial" w:hAnsi="Arial" w:cs="Arial"/>
          <w:sz w:val="24"/>
          <w:szCs w:val="24"/>
        </w:rPr>
        <w:t xml:space="preserve">not be disruptive of the ongoing provision of food to the learners. </w:t>
      </w:r>
      <w:r w:rsidR="004860A5">
        <w:rPr>
          <w:rFonts w:ascii="Arial" w:hAnsi="Arial" w:cs="Arial"/>
          <w:sz w:val="24"/>
          <w:szCs w:val="24"/>
        </w:rPr>
        <w:t xml:space="preserve">It will </w:t>
      </w:r>
      <w:r w:rsidR="001C4FD0">
        <w:rPr>
          <w:rFonts w:ascii="Arial" w:hAnsi="Arial" w:cs="Arial"/>
          <w:sz w:val="24"/>
          <w:szCs w:val="24"/>
        </w:rPr>
        <w:t>be fair to those concerned</w:t>
      </w:r>
      <w:r w:rsidR="00901B92">
        <w:rPr>
          <w:rFonts w:ascii="Arial" w:hAnsi="Arial" w:cs="Arial"/>
          <w:sz w:val="24"/>
          <w:szCs w:val="24"/>
        </w:rPr>
        <w:t xml:space="preserve"> and</w:t>
      </w:r>
      <w:r w:rsidR="0027782B">
        <w:rPr>
          <w:rFonts w:ascii="Arial" w:hAnsi="Arial" w:cs="Arial"/>
          <w:sz w:val="24"/>
          <w:szCs w:val="24"/>
        </w:rPr>
        <w:t xml:space="preserve"> </w:t>
      </w:r>
      <w:r w:rsidR="001C4FD0">
        <w:rPr>
          <w:rFonts w:ascii="Arial" w:hAnsi="Arial" w:cs="Arial"/>
          <w:sz w:val="24"/>
          <w:szCs w:val="24"/>
        </w:rPr>
        <w:t xml:space="preserve">will be in the interest of justice </w:t>
      </w:r>
      <w:r w:rsidR="004860A5">
        <w:rPr>
          <w:rFonts w:ascii="Arial" w:hAnsi="Arial" w:cs="Arial"/>
          <w:sz w:val="24"/>
          <w:szCs w:val="24"/>
        </w:rPr>
        <w:t xml:space="preserve">as the functionary will </w:t>
      </w:r>
      <w:r w:rsidR="000C1716">
        <w:rPr>
          <w:rFonts w:ascii="Arial" w:hAnsi="Arial" w:cs="Arial"/>
          <w:sz w:val="24"/>
          <w:szCs w:val="24"/>
        </w:rPr>
        <w:t xml:space="preserve">then be able to afford the </w:t>
      </w:r>
      <w:r w:rsidR="000C1716">
        <w:rPr>
          <w:rFonts w:ascii="Arial" w:hAnsi="Arial" w:cs="Arial"/>
          <w:sz w:val="24"/>
          <w:szCs w:val="24"/>
        </w:rPr>
        <w:lastRenderedPageBreak/>
        <w:t xml:space="preserve">appellants </w:t>
      </w:r>
      <w:r w:rsidR="000C1716" w:rsidRPr="000C1716">
        <w:rPr>
          <w:rFonts w:ascii="Arial" w:hAnsi="Arial" w:cs="Arial"/>
          <w:i/>
          <w:sz w:val="24"/>
          <w:szCs w:val="24"/>
        </w:rPr>
        <w:t>audi</w:t>
      </w:r>
      <w:r w:rsidR="00585BE2">
        <w:rPr>
          <w:rFonts w:ascii="Arial" w:hAnsi="Arial" w:cs="Arial"/>
          <w:sz w:val="24"/>
          <w:szCs w:val="24"/>
        </w:rPr>
        <w:t xml:space="preserve">, to safeguard their </w:t>
      </w:r>
      <w:r w:rsidR="002B398E">
        <w:rPr>
          <w:rFonts w:ascii="Arial" w:hAnsi="Arial" w:cs="Arial"/>
          <w:sz w:val="24"/>
          <w:szCs w:val="24"/>
        </w:rPr>
        <w:t>fair process</w:t>
      </w:r>
      <w:r w:rsidR="00585BE2">
        <w:rPr>
          <w:rFonts w:ascii="Arial" w:hAnsi="Arial" w:cs="Arial"/>
          <w:sz w:val="24"/>
          <w:szCs w:val="24"/>
        </w:rPr>
        <w:t xml:space="preserve"> right</w:t>
      </w:r>
      <w:r w:rsidR="002B398E">
        <w:rPr>
          <w:rFonts w:ascii="Arial" w:hAnsi="Arial" w:cs="Arial"/>
          <w:sz w:val="24"/>
          <w:szCs w:val="24"/>
        </w:rPr>
        <w:t>;</w:t>
      </w:r>
      <w:r w:rsidR="0027782B">
        <w:rPr>
          <w:rFonts w:ascii="Arial" w:hAnsi="Arial" w:cs="Arial"/>
          <w:sz w:val="24"/>
          <w:szCs w:val="24"/>
        </w:rPr>
        <w:t xml:space="preserve"> will be able to observe the principle of legality and </w:t>
      </w:r>
      <w:r w:rsidR="002B398E">
        <w:rPr>
          <w:rFonts w:ascii="Arial" w:hAnsi="Arial" w:cs="Arial"/>
          <w:sz w:val="24"/>
          <w:szCs w:val="24"/>
        </w:rPr>
        <w:t xml:space="preserve">will </w:t>
      </w:r>
      <w:r w:rsidR="00C74ABA">
        <w:rPr>
          <w:rFonts w:ascii="Arial" w:hAnsi="Arial" w:cs="Arial"/>
          <w:sz w:val="24"/>
          <w:szCs w:val="24"/>
        </w:rPr>
        <w:t>also</w:t>
      </w:r>
      <w:r w:rsidR="0027782B">
        <w:rPr>
          <w:rFonts w:ascii="Arial" w:hAnsi="Arial" w:cs="Arial"/>
          <w:sz w:val="24"/>
          <w:szCs w:val="24"/>
        </w:rPr>
        <w:t xml:space="preserve"> gi</w:t>
      </w:r>
      <w:r w:rsidR="000C1716">
        <w:rPr>
          <w:rFonts w:ascii="Arial" w:hAnsi="Arial" w:cs="Arial"/>
          <w:sz w:val="24"/>
          <w:szCs w:val="24"/>
        </w:rPr>
        <w:t xml:space="preserve">ve effect to the </w:t>
      </w:r>
      <w:r w:rsidR="003B4A41">
        <w:rPr>
          <w:rFonts w:ascii="Arial" w:hAnsi="Arial" w:cs="Arial"/>
          <w:sz w:val="24"/>
          <w:szCs w:val="24"/>
        </w:rPr>
        <w:t xml:space="preserve">extant decision awarding the tender to the successful bidders including the appellants. </w:t>
      </w:r>
      <w:r w:rsidR="000C1716">
        <w:rPr>
          <w:rFonts w:ascii="Arial" w:hAnsi="Arial" w:cs="Arial"/>
          <w:sz w:val="24"/>
          <w:szCs w:val="24"/>
        </w:rPr>
        <w:t>I</w:t>
      </w:r>
      <w:r w:rsidR="00D2773B" w:rsidRPr="001C4FD0">
        <w:rPr>
          <w:rFonts w:ascii="Arial" w:hAnsi="Arial" w:cs="Arial"/>
          <w:sz w:val="24"/>
          <w:szCs w:val="24"/>
        </w:rPr>
        <w:t xml:space="preserve">t </w:t>
      </w:r>
      <w:r w:rsidR="00326F70" w:rsidRPr="001C4FD0">
        <w:rPr>
          <w:rFonts w:ascii="Arial" w:hAnsi="Arial" w:cs="Arial"/>
          <w:sz w:val="24"/>
          <w:szCs w:val="24"/>
        </w:rPr>
        <w:t>is not insignificant that th</w:t>
      </w:r>
      <w:r w:rsidR="003B4A41">
        <w:rPr>
          <w:rFonts w:ascii="Arial" w:hAnsi="Arial" w:cs="Arial"/>
          <w:sz w:val="24"/>
          <w:szCs w:val="24"/>
        </w:rPr>
        <w:t xml:space="preserve">at </w:t>
      </w:r>
      <w:r w:rsidR="00326F70" w:rsidRPr="001C4FD0">
        <w:rPr>
          <w:rFonts w:ascii="Arial" w:hAnsi="Arial" w:cs="Arial"/>
          <w:sz w:val="24"/>
          <w:szCs w:val="24"/>
        </w:rPr>
        <w:t xml:space="preserve">decision </w:t>
      </w:r>
      <w:r w:rsidR="003B4A41">
        <w:rPr>
          <w:rFonts w:ascii="Arial" w:hAnsi="Arial" w:cs="Arial"/>
          <w:sz w:val="24"/>
          <w:szCs w:val="24"/>
        </w:rPr>
        <w:t xml:space="preserve">(awarding the tender) </w:t>
      </w:r>
      <w:r w:rsidR="00326F70" w:rsidRPr="001C4FD0">
        <w:rPr>
          <w:rFonts w:ascii="Arial" w:hAnsi="Arial" w:cs="Arial"/>
          <w:sz w:val="24"/>
          <w:szCs w:val="24"/>
        </w:rPr>
        <w:t>has not been reviewed and set aside</w:t>
      </w:r>
      <w:r w:rsidR="00D2773B" w:rsidRPr="001C4FD0">
        <w:rPr>
          <w:rFonts w:ascii="Arial" w:hAnsi="Arial" w:cs="Arial"/>
          <w:sz w:val="24"/>
          <w:szCs w:val="24"/>
        </w:rPr>
        <w:t>.</w:t>
      </w:r>
      <w:r w:rsidR="003B4A41">
        <w:rPr>
          <w:rFonts w:ascii="Arial" w:hAnsi="Arial" w:cs="Arial"/>
          <w:sz w:val="24"/>
          <w:szCs w:val="24"/>
        </w:rPr>
        <w:t xml:space="preserve"> </w:t>
      </w:r>
      <w:r w:rsidR="00D2773B" w:rsidRPr="001C4FD0">
        <w:rPr>
          <w:rFonts w:ascii="Arial" w:hAnsi="Arial" w:cs="Arial"/>
          <w:sz w:val="24"/>
          <w:szCs w:val="24"/>
        </w:rPr>
        <w:t>Effectively, t</w:t>
      </w:r>
      <w:r w:rsidR="00326F70" w:rsidRPr="001C4FD0">
        <w:rPr>
          <w:rFonts w:ascii="Arial" w:hAnsi="Arial" w:cs="Arial"/>
          <w:sz w:val="24"/>
          <w:szCs w:val="24"/>
        </w:rPr>
        <w:t>h</w:t>
      </w:r>
      <w:r w:rsidR="00C74ABA">
        <w:rPr>
          <w:rFonts w:ascii="Arial" w:hAnsi="Arial" w:cs="Arial"/>
          <w:sz w:val="24"/>
          <w:szCs w:val="24"/>
        </w:rPr>
        <w:t>e</w:t>
      </w:r>
      <w:r w:rsidR="003B4A41">
        <w:rPr>
          <w:rFonts w:ascii="Arial" w:hAnsi="Arial" w:cs="Arial"/>
          <w:sz w:val="24"/>
          <w:szCs w:val="24"/>
        </w:rPr>
        <w:t xml:space="preserve"> d</w:t>
      </w:r>
      <w:r w:rsidR="00D2773B" w:rsidRPr="001C4FD0">
        <w:rPr>
          <w:rFonts w:ascii="Arial" w:hAnsi="Arial" w:cs="Arial"/>
          <w:sz w:val="24"/>
          <w:szCs w:val="24"/>
        </w:rPr>
        <w:t xml:space="preserve">ecision to </w:t>
      </w:r>
      <w:r w:rsidR="00326F70" w:rsidRPr="001C4FD0">
        <w:rPr>
          <w:rFonts w:ascii="Arial" w:hAnsi="Arial" w:cs="Arial"/>
          <w:sz w:val="24"/>
          <w:szCs w:val="24"/>
        </w:rPr>
        <w:t>award still stands.</w:t>
      </w:r>
      <w:r w:rsidR="000C1716">
        <w:rPr>
          <w:rFonts w:ascii="Arial" w:hAnsi="Arial" w:cs="Arial"/>
          <w:sz w:val="24"/>
          <w:szCs w:val="24"/>
        </w:rPr>
        <w:t xml:space="preserve"> All things considered, the </w:t>
      </w:r>
      <w:r w:rsidR="003B4A41">
        <w:rPr>
          <w:rFonts w:ascii="Arial" w:hAnsi="Arial" w:cs="Arial"/>
          <w:sz w:val="24"/>
          <w:szCs w:val="24"/>
        </w:rPr>
        <w:t xml:space="preserve">principles enunciated in </w:t>
      </w:r>
      <w:r w:rsidR="003B4A41" w:rsidRPr="003B4A41">
        <w:rPr>
          <w:rFonts w:ascii="Arial" w:hAnsi="Arial" w:cs="Arial"/>
          <w:i/>
          <w:sz w:val="24"/>
          <w:szCs w:val="24"/>
        </w:rPr>
        <w:t>Sa</w:t>
      </w:r>
      <w:r w:rsidR="003B4A41">
        <w:rPr>
          <w:rFonts w:ascii="Arial" w:hAnsi="Arial" w:cs="Arial"/>
          <w:i/>
          <w:sz w:val="24"/>
          <w:szCs w:val="24"/>
        </w:rPr>
        <w:t>p</w:t>
      </w:r>
      <w:r w:rsidR="003B4A41" w:rsidRPr="003B4A41">
        <w:rPr>
          <w:rFonts w:ascii="Arial" w:hAnsi="Arial" w:cs="Arial"/>
          <w:i/>
          <w:sz w:val="24"/>
          <w:szCs w:val="24"/>
        </w:rPr>
        <w:t>ela</w:t>
      </w:r>
      <w:r w:rsidR="003B4A41" w:rsidRPr="003B4A41">
        <w:rPr>
          <w:rFonts w:ascii="Arial" w:hAnsi="Arial" w:cs="Arial"/>
          <w:sz w:val="24"/>
          <w:szCs w:val="24"/>
        </w:rPr>
        <w:t xml:space="preserve"> and</w:t>
      </w:r>
      <w:r w:rsidR="003B4A41" w:rsidRPr="003B4A41">
        <w:rPr>
          <w:rFonts w:ascii="Arial" w:hAnsi="Arial" w:cs="Arial"/>
          <w:i/>
          <w:sz w:val="24"/>
          <w:szCs w:val="24"/>
        </w:rPr>
        <w:t xml:space="preserve"> Oudekraal</w:t>
      </w:r>
      <w:r w:rsidR="003B4A41">
        <w:rPr>
          <w:rFonts w:ascii="Arial" w:hAnsi="Arial" w:cs="Arial"/>
          <w:sz w:val="24"/>
          <w:szCs w:val="24"/>
        </w:rPr>
        <w:t xml:space="preserve"> will thus not find application here.</w:t>
      </w:r>
    </w:p>
    <w:p w:rsidR="00B97B92" w:rsidRPr="00B97B92" w:rsidRDefault="00B97B92" w:rsidP="00B97B92">
      <w:pPr>
        <w:rPr>
          <w:rFonts w:ascii="Arial" w:hAnsi="Arial" w:cs="Arial"/>
          <w:sz w:val="24"/>
          <w:szCs w:val="24"/>
        </w:rPr>
      </w:pPr>
    </w:p>
    <w:p w:rsidR="00C82BD1" w:rsidRDefault="00C74ABA"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w:t>
      </w:r>
      <w:r w:rsidR="00B97B92">
        <w:rPr>
          <w:rFonts w:ascii="Arial" w:hAnsi="Arial" w:cs="Arial"/>
          <w:sz w:val="24"/>
          <w:szCs w:val="24"/>
        </w:rPr>
        <w:t xml:space="preserve">t follows therefore </w:t>
      </w:r>
      <w:r w:rsidR="008E1989" w:rsidRPr="008E1989">
        <w:rPr>
          <w:rFonts w:ascii="Arial" w:hAnsi="Arial" w:cs="Arial"/>
          <w:sz w:val="24"/>
          <w:szCs w:val="24"/>
        </w:rPr>
        <w:t xml:space="preserve">that </w:t>
      </w:r>
      <w:r w:rsidR="003B4A41" w:rsidRPr="008E1989">
        <w:rPr>
          <w:rFonts w:ascii="Arial" w:hAnsi="Arial" w:cs="Arial"/>
          <w:sz w:val="24"/>
          <w:szCs w:val="24"/>
        </w:rPr>
        <w:t xml:space="preserve">the </w:t>
      </w:r>
      <w:r w:rsidR="00662971">
        <w:rPr>
          <w:rFonts w:ascii="Arial" w:hAnsi="Arial" w:cs="Arial"/>
          <w:sz w:val="24"/>
          <w:szCs w:val="24"/>
        </w:rPr>
        <w:t>Court</w:t>
      </w:r>
      <w:r w:rsidR="003B4A41" w:rsidRPr="008E1989">
        <w:rPr>
          <w:rFonts w:ascii="Arial" w:hAnsi="Arial" w:cs="Arial"/>
          <w:sz w:val="24"/>
          <w:szCs w:val="24"/>
        </w:rPr>
        <w:t xml:space="preserve"> </w:t>
      </w:r>
      <w:r w:rsidR="003B4A41" w:rsidRPr="008E1989">
        <w:rPr>
          <w:rFonts w:ascii="Arial" w:hAnsi="Arial" w:cs="Arial"/>
          <w:i/>
          <w:sz w:val="24"/>
          <w:szCs w:val="24"/>
        </w:rPr>
        <w:t>a quo</w:t>
      </w:r>
      <w:r w:rsidR="003B4A41" w:rsidRPr="008E1989">
        <w:rPr>
          <w:rFonts w:ascii="Arial" w:hAnsi="Arial" w:cs="Arial"/>
          <w:sz w:val="24"/>
          <w:szCs w:val="24"/>
        </w:rPr>
        <w:t xml:space="preserve"> erred and misdirected itself </w:t>
      </w:r>
      <w:r>
        <w:rPr>
          <w:rFonts w:ascii="Arial" w:hAnsi="Arial" w:cs="Arial"/>
          <w:sz w:val="24"/>
          <w:szCs w:val="24"/>
        </w:rPr>
        <w:t xml:space="preserve">in dismissing the application and, specifically, </w:t>
      </w:r>
      <w:r w:rsidR="00B97B92">
        <w:rPr>
          <w:rFonts w:ascii="Arial" w:hAnsi="Arial" w:cs="Arial"/>
          <w:sz w:val="24"/>
          <w:szCs w:val="24"/>
        </w:rPr>
        <w:t xml:space="preserve">refusing to set aside the </w:t>
      </w:r>
      <w:r w:rsidR="004860A5" w:rsidRPr="008E1989">
        <w:rPr>
          <w:rFonts w:ascii="Arial" w:hAnsi="Arial" w:cs="Arial"/>
          <w:sz w:val="24"/>
          <w:szCs w:val="24"/>
        </w:rPr>
        <w:t>decision to cancel the tender.</w:t>
      </w:r>
      <w:r w:rsidR="000C1716">
        <w:rPr>
          <w:rFonts w:ascii="Arial" w:hAnsi="Arial" w:cs="Arial"/>
          <w:sz w:val="24"/>
          <w:szCs w:val="24"/>
        </w:rPr>
        <w:t xml:space="preserve"> </w:t>
      </w:r>
      <w:r w:rsidR="004860A5" w:rsidRPr="008E1989">
        <w:rPr>
          <w:rFonts w:ascii="Arial" w:hAnsi="Arial" w:cs="Arial"/>
          <w:sz w:val="24"/>
          <w:szCs w:val="24"/>
        </w:rPr>
        <w:t>I</w:t>
      </w:r>
      <w:r>
        <w:rPr>
          <w:rFonts w:ascii="Arial" w:hAnsi="Arial" w:cs="Arial"/>
          <w:sz w:val="24"/>
          <w:szCs w:val="24"/>
        </w:rPr>
        <w:t>n the circumstances, the appeal must be upheld</w:t>
      </w:r>
      <w:r w:rsidR="008B1EC2" w:rsidRPr="008E1989">
        <w:rPr>
          <w:rFonts w:ascii="Arial" w:hAnsi="Arial" w:cs="Arial"/>
          <w:sz w:val="24"/>
          <w:szCs w:val="24"/>
        </w:rPr>
        <w:t xml:space="preserve"> and </w:t>
      </w:r>
      <w:r>
        <w:rPr>
          <w:rFonts w:ascii="Arial" w:hAnsi="Arial" w:cs="Arial"/>
          <w:sz w:val="24"/>
          <w:szCs w:val="24"/>
        </w:rPr>
        <w:t xml:space="preserve">the relief sought in </w:t>
      </w:r>
      <w:r w:rsidR="004616DD" w:rsidRPr="008E1989">
        <w:rPr>
          <w:rFonts w:ascii="Arial" w:hAnsi="Arial" w:cs="Arial"/>
          <w:sz w:val="24"/>
          <w:szCs w:val="24"/>
        </w:rPr>
        <w:t xml:space="preserve">para 1 </w:t>
      </w:r>
      <w:r w:rsidR="008B1EC2" w:rsidRPr="008E1989">
        <w:rPr>
          <w:rFonts w:ascii="Arial" w:hAnsi="Arial" w:cs="Arial"/>
          <w:sz w:val="24"/>
          <w:szCs w:val="24"/>
        </w:rPr>
        <w:t>of the amended notice of motion – settin</w:t>
      </w:r>
      <w:r w:rsidR="00831B98">
        <w:rPr>
          <w:rFonts w:ascii="Arial" w:hAnsi="Arial" w:cs="Arial"/>
          <w:sz w:val="24"/>
          <w:szCs w:val="24"/>
        </w:rPr>
        <w:t>g aside the decision to cancel</w:t>
      </w:r>
      <w:r w:rsidR="006859EC">
        <w:rPr>
          <w:rFonts w:ascii="Arial" w:hAnsi="Arial" w:cs="Arial"/>
          <w:sz w:val="24"/>
          <w:szCs w:val="24"/>
        </w:rPr>
        <w:t xml:space="preserve"> the</w:t>
      </w:r>
      <w:r w:rsidR="00831B98">
        <w:rPr>
          <w:rFonts w:ascii="Arial" w:hAnsi="Arial" w:cs="Arial"/>
          <w:sz w:val="24"/>
          <w:szCs w:val="24"/>
        </w:rPr>
        <w:t xml:space="preserve"> t</w:t>
      </w:r>
      <w:r w:rsidR="008B1EC2" w:rsidRPr="008E1989">
        <w:rPr>
          <w:rFonts w:ascii="Arial" w:hAnsi="Arial" w:cs="Arial"/>
          <w:sz w:val="24"/>
          <w:szCs w:val="24"/>
        </w:rPr>
        <w:t>ender</w:t>
      </w:r>
      <w:r w:rsidR="006859EC">
        <w:rPr>
          <w:rFonts w:ascii="Arial" w:hAnsi="Arial" w:cs="Arial"/>
          <w:sz w:val="24"/>
          <w:szCs w:val="24"/>
        </w:rPr>
        <w:t xml:space="preserve"> </w:t>
      </w:r>
      <w:r>
        <w:rPr>
          <w:rFonts w:ascii="Arial" w:hAnsi="Arial" w:cs="Arial"/>
          <w:sz w:val="24"/>
          <w:szCs w:val="24"/>
        </w:rPr>
        <w:t>must be granted</w:t>
      </w:r>
      <w:r w:rsidR="004860A5" w:rsidRPr="008E1989">
        <w:rPr>
          <w:rFonts w:ascii="Arial" w:hAnsi="Arial" w:cs="Arial"/>
          <w:sz w:val="24"/>
          <w:szCs w:val="24"/>
        </w:rPr>
        <w:t>.</w:t>
      </w:r>
    </w:p>
    <w:p w:rsidR="00786721" w:rsidRPr="00150B5F" w:rsidRDefault="00786721" w:rsidP="00150B5F">
      <w:pPr>
        <w:rPr>
          <w:rFonts w:ascii="Arial" w:hAnsi="Arial" w:cs="Arial"/>
          <w:sz w:val="24"/>
          <w:szCs w:val="24"/>
        </w:rPr>
      </w:pPr>
    </w:p>
    <w:p w:rsidR="00F11D09" w:rsidRPr="00127B6A" w:rsidRDefault="00F11D09" w:rsidP="00F11D09">
      <w:pPr>
        <w:rPr>
          <w:rFonts w:ascii="Arial" w:hAnsi="Arial" w:cs="Arial"/>
          <w:i/>
          <w:sz w:val="24"/>
          <w:szCs w:val="24"/>
        </w:rPr>
      </w:pPr>
      <w:r w:rsidRPr="00127B6A">
        <w:rPr>
          <w:rFonts w:ascii="Arial" w:hAnsi="Arial" w:cs="Arial"/>
          <w:i/>
          <w:sz w:val="24"/>
          <w:szCs w:val="24"/>
        </w:rPr>
        <w:t>The appropriateness of the further relief sought</w:t>
      </w:r>
    </w:p>
    <w:p w:rsidR="00F11D09" w:rsidRDefault="00F11D09" w:rsidP="007C2C6F">
      <w:pPr>
        <w:pStyle w:val="NoSpacing"/>
        <w:numPr>
          <w:ilvl w:val="0"/>
          <w:numId w:val="16"/>
        </w:numPr>
        <w:spacing w:line="480" w:lineRule="auto"/>
        <w:ind w:left="0" w:firstLine="0"/>
        <w:jc w:val="both"/>
        <w:rPr>
          <w:rFonts w:ascii="Arial" w:hAnsi="Arial" w:cs="Arial"/>
          <w:sz w:val="24"/>
          <w:szCs w:val="24"/>
        </w:rPr>
      </w:pPr>
      <w:r w:rsidRPr="00F11D09">
        <w:rPr>
          <w:rFonts w:ascii="Arial" w:hAnsi="Arial" w:cs="Arial"/>
          <w:sz w:val="24"/>
          <w:szCs w:val="24"/>
        </w:rPr>
        <w:t>T</w:t>
      </w:r>
      <w:r w:rsidR="004616DD" w:rsidRPr="00F11D09">
        <w:rPr>
          <w:rFonts w:ascii="Arial" w:hAnsi="Arial" w:cs="Arial"/>
          <w:sz w:val="24"/>
          <w:szCs w:val="24"/>
        </w:rPr>
        <w:t>he next question that arises is whether the appellants are entitled to the</w:t>
      </w:r>
      <w:r w:rsidR="00B97B92">
        <w:rPr>
          <w:rFonts w:ascii="Arial" w:hAnsi="Arial" w:cs="Arial"/>
          <w:sz w:val="24"/>
          <w:szCs w:val="24"/>
        </w:rPr>
        <w:t xml:space="preserve"> </w:t>
      </w:r>
      <w:r w:rsidR="00870DE3">
        <w:rPr>
          <w:rFonts w:ascii="Arial" w:hAnsi="Arial" w:cs="Arial"/>
          <w:sz w:val="24"/>
          <w:szCs w:val="24"/>
        </w:rPr>
        <w:t xml:space="preserve">further relief </w:t>
      </w:r>
      <w:r w:rsidR="00B97B92">
        <w:rPr>
          <w:rFonts w:ascii="Arial" w:hAnsi="Arial" w:cs="Arial"/>
          <w:sz w:val="24"/>
          <w:szCs w:val="24"/>
        </w:rPr>
        <w:t>sough</w:t>
      </w:r>
      <w:r w:rsidR="002B2080">
        <w:rPr>
          <w:rFonts w:ascii="Arial" w:hAnsi="Arial" w:cs="Arial"/>
          <w:sz w:val="24"/>
          <w:szCs w:val="24"/>
        </w:rPr>
        <w:t>t</w:t>
      </w:r>
      <w:r w:rsidR="00B97B92">
        <w:rPr>
          <w:rFonts w:ascii="Arial" w:hAnsi="Arial" w:cs="Arial"/>
          <w:sz w:val="24"/>
          <w:szCs w:val="24"/>
        </w:rPr>
        <w:t xml:space="preserve"> in </w:t>
      </w:r>
      <w:r w:rsidR="00922851" w:rsidRPr="00F11D09">
        <w:rPr>
          <w:rFonts w:ascii="Arial" w:hAnsi="Arial" w:cs="Arial"/>
          <w:sz w:val="24"/>
          <w:szCs w:val="24"/>
        </w:rPr>
        <w:t xml:space="preserve">paragraphs </w:t>
      </w:r>
      <w:r w:rsidR="006C1D13" w:rsidRPr="00F11D09">
        <w:rPr>
          <w:rFonts w:ascii="Arial" w:hAnsi="Arial" w:cs="Arial"/>
          <w:sz w:val="24"/>
          <w:szCs w:val="24"/>
        </w:rPr>
        <w:t xml:space="preserve">2 and 3 of the </w:t>
      </w:r>
      <w:r w:rsidR="00B97B92">
        <w:rPr>
          <w:rFonts w:ascii="Arial" w:hAnsi="Arial" w:cs="Arial"/>
          <w:sz w:val="24"/>
          <w:szCs w:val="24"/>
        </w:rPr>
        <w:t xml:space="preserve">amended </w:t>
      </w:r>
      <w:r w:rsidR="006C1D13" w:rsidRPr="00F11D09">
        <w:rPr>
          <w:rFonts w:ascii="Arial" w:hAnsi="Arial" w:cs="Arial"/>
          <w:sz w:val="24"/>
          <w:szCs w:val="24"/>
        </w:rPr>
        <w:t>notice of motion</w:t>
      </w:r>
      <w:r w:rsidR="002B2080">
        <w:rPr>
          <w:rFonts w:ascii="Arial" w:hAnsi="Arial" w:cs="Arial"/>
          <w:sz w:val="24"/>
          <w:szCs w:val="24"/>
        </w:rPr>
        <w:t>.</w:t>
      </w:r>
      <w:r w:rsidR="00B97B92">
        <w:rPr>
          <w:rFonts w:ascii="Arial" w:hAnsi="Arial" w:cs="Arial"/>
          <w:sz w:val="24"/>
          <w:szCs w:val="24"/>
        </w:rPr>
        <w:t xml:space="preserve"> </w:t>
      </w:r>
      <w:r w:rsidR="007B5C93">
        <w:rPr>
          <w:rFonts w:ascii="Arial" w:hAnsi="Arial" w:cs="Arial"/>
          <w:sz w:val="24"/>
          <w:szCs w:val="24"/>
        </w:rPr>
        <w:t>To recap, t</w:t>
      </w:r>
      <w:r w:rsidR="00B97B92">
        <w:rPr>
          <w:rFonts w:ascii="Arial" w:hAnsi="Arial" w:cs="Arial"/>
          <w:sz w:val="24"/>
          <w:szCs w:val="24"/>
        </w:rPr>
        <w:t>hese</w:t>
      </w:r>
      <w:r w:rsidR="006C1D13" w:rsidRPr="00F11D09">
        <w:rPr>
          <w:rFonts w:ascii="Arial" w:hAnsi="Arial" w:cs="Arial"/>
          <w:sz w:val="24"/>
          <w:szCs w:val="24"/>
        </w:rPr>
        <w:t xml:space="preserve"> relating to </w:t>
      </w:r>
      <w:r w:rsidR="007B5C93">
        <w:rPr>
          <w:rFonts w:ascii="Arial" w:hAnsi="Arial" w:cs="Arial"/>
          <w:sz w:val="24"/>
          <w:szCs w:val="24"/>
        </w:rPr>
        <w:t xml:space="preserve">first, </w:t>
      </w:r>
      <w:r w:rsidR="006C1D13" w:rsidRPr="00F11D09">
        <w:rPr>
          <w:rFonts w:ascii="Arial" w:hAnsi="Arial" w:cs="Arial"/>
          <w:sz w:val="24"/>
          <w:szCs w:val="24"/>
        </w:rPr>
        <w:t>an order directing the Board and Ministry to conclude agreements (as contemplated in section 16(2)) with the appellants and</w:t>
      </w:r>
      <w:r w:rsidR="007B5C93">
        <w:rPr>
          <w:rFonts w:ascii="Arial" w:hAnsi="Arial" w:cs="Arial"/>
          <w:sz w:val="24"/>
          <w:szCs w:val="24"/>
        </w:rPr>
        <w:t>, second,</w:t>
      </w:r>
      <w:r w:rsidR="006C1D13" w:rsidRPr="00F11D09">
        <w:rPr>
          <w:rFonts w:ascii="Arial" w:hAnsi="Arial" w:cs="Arial"/>
          <w:sz w:val="24"/>
          <w:szCs w:val="24"/>
        </w:rPr>
        <w:t xml:space="preserve"> the order declaring the current extended service agreements</w:t>
      </w:r>
      <w:r w:rsidR="002B2080">
        <w:rPr>
          <w:rFonts w:ascii="Arial" w:hAnsi="Arial" w:cs="Arial"/>
          <w:sz w:val="24"/>
          <w:szCs w:val="24"/>
        </w:rPr>
        <w:t xml:space="preserve"> unlawful, respectively.</w:t>
      </w:r>
      <w:r w:rsidR="004616DD" w:rsidRPr="00F11D09">
        <w:rPr>
          <w:rFonts w:ascii="Arial" w:hAnsi="Arial" w:cs="Arial"/>
          <w:sz w:val="24"/>
          <w:szCs w:val="24"/>
        </w:rPr>
        <w:t xml:space="preserve"> </w:t>
      </w:r>
      <w:r w:rsidR="00243BD6" w:rsidRPr="00F11D09">
        <w:rPr>
          <w:rFonts w:ascii="Arial" w:hAnsi="Arial" w:cs="Arial"/>
          <w:sz w:val="24"/>
          <w:szCs w:val="24"/>
        </w:rPr>
        <w:t xml:space="preserve">Essentially, </w:t>
      </w:r>
      <w:r w:rsidR="00AA18ED" w:rsidRPr="00F11D09">
        <w:rPr>
          <w:rFonts w:ascii="Arial" w:hAnsi="Arial" w:cs="Arial"/>
          <w:sz w:val="24"/>
          <w:szCs w:val="24"/>
        </w:rPr>
        <w:t xml:space="preserve">the appellants want this </w:t>
      </w:r>
      <w:r w:rsidR="00662971">
        <w:rPr>
          <w:rFonts w:ascii="Arial" w:hAnsi="Arial" w:cs="Arial"/>
          <w:sz w:val="24"/>
          <w:szCs w:val="24"/>
        </w:rPr>
        <w:t>Court</w:t>
      </w:r>
      <w:r w:rsidR="00AA18ED" w:rsidRPr="00F11D09">
        <w:rPr>
          <w:rFonts w:ascii="Arial" w:hAnsi="Arial" w:cs="Arial"/>
          <w:sz w:val="24"/>
          <w:szCs w:val="24"/>
        </w:rPr>
        <w:t xml:space="preserve"> to substitute its own decision for that </w:t>
      </w:r>
      <w:r w:rsidR="00246A54">
        <w:rPr>
          <w:rFonts w:ascii="Arial" w:hAnsi="Arial" w:cs="Arial"/>
          <w:sz w:val="24"/>
          <w:szCs w:val="24"/>
        </w:rPr>
        <w:t xml:space="preserve">of the </w:t>
      </w:r>
      <w:r w:rsidR="006C1D13" w:rsidRPr="00F11D09">
        <w:rPr>
          <w:rFonts w:ascii="Arial" w:hAnsi="Arial" w:cs="Arial"/>
          <w:sz w:val="24"/>
          <w:szCs w:val="24"/>
        </w:rPr>
        <w:t>Tender Board</w:t>
      </w:r>
      <w:r w:rsidR="00AA18ED" w:rsidRPr="00F11D09">
        <w:rPr>
          <w:rFonts w:ascii="Arial" w:hAnsi="Arial" w:cs="Arial"/>
          <w:sz w:val="24"/>
          <w:szCs w:val="24"/>
        </w:rPr>
        <w:t>.</w:t>
      </w:r>
      <w:r w:rsidR="00246A54">
        <w:rPr>
          <w:rFonts w:ascii="Arial" w:hAnsi="Arial" w:cs="Arial"/>
          <w:sz w:val="24"/>
          <w:szCs w:val="24"/>
        </w:rPr>
        <w:t xml:space="preserve">  </w:t>
      </w:r>
    </w:p>
    <w:p w:rsidR="00F11D09" w:rsidRDefault="00F11D09" w:rsidP="00F11D09">
      <w:pPr>
        <w:pStyle w:val="NoSpacing"/>
        <w:spacing w:line="480" w:lineRule="auto"/>
        <w:jc w:val="both"/>
        <w:rPr>
          <w:rFonts w:ascii="Arial" w:hAnsi="Arial" w:cs="Arial"/>
          <w:sz w:val="24"/>
          <w:szCs w:val="24"/>
        </w:rPr>
      </w:pPr>
    </w:p>
    <w:p w:rsidR="007B5C93" w:rsidRPr="00C25569" w:rsidRDefault="008E1989"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w:t>
      </w:r>
      <w:r w:rsidR="00FC188E" w:rsidRPr="00FC188E">
        <w:rPr>
          <w:rFonts w:ascii="Arial" w:hAnsi="Arial" w:cs="Arial"/>
          <w:sz w:val="24"/>
          <w:szCs w:val="24"/>
        </w:rPr>
        <w:t xml:space="preserve">t </w:t>
      </w:r>
      <w:r>
        <w:rPr>
          <w:rFonts w:ascii="Arial" w:hAnsi="Arial" w:cs="Arial"/>
          <w:sz w:val="24"/>
          <w:szCs w:val="24"/>
        </w:rPr>
        <w:t xml:space="preserve">will </w:t>
      </w:r>
      <w:r w:rsidR="00246A54">
        <w:rPr>
          <w:rFonts w:ascii="Arial" w:hAnsi="Arial" w:cs="Arial"/>
          <w:sz w:val="24"/>
          <w:szCs w:val="24"/>
        </w:rPr>
        <w:t>not be</w:t>
      </w:r>
      <w:r>
        <w:rPr>
          <w:rFonts w:ascii="Arial" w:hAnsi="Arial" w:cs="Arial"/>
          <w:sz w:val="24"/>
          <w:szCs w:val="24"/>
        </w:rPr>
        <w:t xml:space="preserve"> just and equitable </w:t>
      </w:r>
      <w:r w:rsidR="00FC188E" w:rsidRPr="00FC188E">
        <w:rPr>
          <w:rFonts w:ascii="Arial" w:hAnsi="Arial" w:cs="Arial"/>
          <w:sz w:val="24"/>
          <w:szCs w:val="24"/>
        </w:rPr>
        <w:t>to grant the further orde</w:t>
      </w:r>
      <w:r w:rsidR="002B2080">
        <w:rPr>
          <w:rFonts w:ascii="Arial" w:hAnsi="Arial" w:cs="Arial"/>
          <w:sz w:val="24"/>
          <w:szCs w:val="24"/>
        </w:rPr>
        <w:t>rs sought in the circumstances.</w:t>
      </w:r>
      <w:r>
        <w:rPr>
          <w:rFonts w:ascii="Arial" w:hAnsi="Arial" w:cs="Arial"/>
          <w:sz w:val="24"/>
          <w:szCs w:val="24"/>
        </w:rPr>
        <w:t xml:space="preserve"> </w:t>
      </w:r>
      <w:r w:rsidR="00662971">
        <w:rPr>
          <w:rFonts w:ascii="Arial" w:hAnsi="Arial" w:cs="Arial"/>
          <w:sz w:val="24"/>
          <w:szCs w:val="24"/>
        </w:rPr>
        <w:t>Court</w:t>
      </w:r>
      <w:r>
        <w:rPr>
          <w:rFonts w:ascii="Arial" w:hAnsi="Arial" w:cs="Arial"/>
          <w:sz w:val="24"/>
          <w:szCs w:val="24"/>
        </w:rPr>
        <w:t xml:space="preserve">s are generally loath to substitute their own decisions </w:t>
      </w:r>
      <w:r w:rsidR="00831B98">
        <w:rPr>
          <w:rFonts w:ascii="Arial" w:hAnsi="Arial" w:cs="Arial"/>
          <w:sz w:val="24"/>
          <w:szCs w:val="24"/>
        </w:rPr>
        <w:t xml:space="preserve">to that of </w:t>
      </w:r>
      <w:r w:rsidR="00831B98">
        <w:rPr>
          <w:rFonts w:ascii="Arial" w:hAnsi="Arial" w:cs="Arial"/>
          <w:sz w:val="24"/>
          <w:szCs w:val="24"/>
        </w:rPr>
        <w:lastRenderedPageBreak/>
        <w:t>functionary</w:t>
      </w:r>
      <w:r>
        <w:rPr>
          <w:rFonts w:ascii="Arial" w:hAnsi="Arial" w:cs="Arial"/>
          <w:sz w:val="24"/>
          <w:szCs w:val="24"/>
        </w:rPr>
        <w:t xml:space="preserve"> unless </w:t>
      </w:r>
      <w:r w:rsidR="00831B98">
        <w:rPr>
          <w:rFonts w:ascii="Arial" w:hAnsi="Arial" w:cs="Arial"/>
          <w:sz w:val="24"/>
          <w:szCs w:val="24"/>
        </w:rPr>
        <w:t>exceptional circumstance exists</w:t>
      </w:r>
      <w:r w:rsidR="00A54D9C">
        <w:rPr>
          <w:rFonts w:ascii="Arial" w:hAnsi="Arial" w:cs="Arial"/>
          <w:sz w:val="24"/>
          <w:szCs w:val="24"/>
        </w:rPr>
        <w:t>,</w:t>
      </w:r>
      <w:r>
        <w:rPr>
          <w:rStyle w:val="FootnoteReference"/>
          <w:rFonts w:ascii="Arial" w:hAnsi="Arial" w:cs="Arial"/>
          <w:sz w:val="24"/>
          <w:szCs w:val="24"/>
        </w:rPr>
        <w:footnoteReference w:id="50"/>
      </w:r>
      <w:r w:rsidR="0095223C">
        <w:rPr>
          <w:rFonts w:ascii="Arial" w:hAnsi="Arial" w:cs="Arial"/>
          <w:sz w:val="24"/>
          <w:szCs w:val="24"/>
        </w:rPr>
        <w:t xml:space="preserve"> including that the functionary </w:t>
      </w:r>
      <w:r w:rsidR="00A54D9C">
        <w:rPr>
          <w:rFonts w:ascii="Arial" w:hAnsi="Arial" w:cs="Arial"/>
          <w:sz w:val="24"/>
          <w:szCs w:val="24"/>
        </w:rPr>
        <w:t xml:space="preserve">concerned </w:t>
      </w:r>
      <w:r w:rsidR="0095223C">
        <w:rPr>
          <w:rFonts w:ascii="Arial" w:hAnsi="Arial" w:cs="Arial"/>
          <w:sz w:val="24"/>
          <w:szCs w:val="24"/>
        </w:rPr>
        <w:t>has exhibited bias or incompetence to such degree that it would be unfair to require the appellants to submit to the same authority</w:t>
      </w:r>
      <w:r w:rsidR="00A54D9C">
        <w:rPr>
          <w:rFonts w:ascii="Arial" w:hAnsi="Arial" w:cs="Arial"/>
          <w:sz w:val="24"/>
          <w:szCs w:val="24"/>
        </w:rPr>
        <w:t>/agency</w:t>
      </w:r>
      <w:r w:rsidR="002B2080">
        <w:rPr>
          <w:rFonts w:ascii="Arial" w:hAnsi="Arial" w:cs="Arial"/>
          <w:sz w:val="24"/>
          <w:szCs w:val="24"/>
        </w:rPr>
        <w:t>.</w:t>
      </w:r>
      <w:r w:rsidR="007B5C93">
        <w:rPr>
          <w:rFonts w:ascii="Arial" w:hAnsi="Arial" w:cs="Arial"/>
          <w:sz w:val="24"/>
          <w:szCs w:val="24"/>
        </w:rPr>
        <w:t xml:space="preserve"> It must also be shown that </w:t>
      </w:r>
      <w:r w:rsidR="00A54D9C">
        <w:rPr>
          <w:rFonts w:ascii="Arial" w:hAnsi="Arial" w:cs="Arial"/>
          <w:sz w:val="24"/>
          <w:szCs w:val="24"/>
        </w:rPr>
        <w:t xml:space="preserve">the </w:t>
      </w:r>
      <w:r w:rsidR="00662971">
        <w:rPr>
          <w:rFonts w:ascii="Arial" w:hAnsi="Arial" w:cs="Arial"/>
          <w:sz w:val="24"/>
          <w:szCs w:val="24"/>
        </w:rPr>
        <w:t>Court</w:t>
      </w:r>
      <w:r w:rsidR="00A54D9C">
        <w:rPr>
          <w:rFonts w:ascii="Arial" w:hAnsi="Arial" w:cs="Arial"/>
          <w:sz w:val="24"/>
          <w:szCs w:val="24"/>
        </w:rPr>
        <w:t xml:space="preserve"> is in as good position to make the decision itself.</w:t>
      </w:r>
      <w:r w:rsidR="00A54D9C">
        <w:rPr>
          <w:rStyle w:val="FootnoteReference"/>
          <w:rFonts w:ascii="Arial" w:hAnsi="Arial" w:cs="Arial"/>
          <w:sz w:val="24"/>
          <w:szCs w:val="24"/>
        </w:rPr>
        <w:footnoteReference w:id="51"/>
      </w:r>
      <w:r w:rsidR="00596EB1">
        <w:rPr>
          <w:rFonts w:ascii="Arial" w:hAnsi="Arial" w:cs="Arial"/>
          <w:sz w:val="24"/>
          <w:szCs w:val="24"/>
        </w:rPr>
        <w:t xml:space="preserve"> </w:t>
      </w:r>
      <w:r w:rsidR="00C21373" w:rsidRPr="00C25569">
        <w:rPr>
          <w:rFonts w:ascii="Arial" w:hAnsi="Arial" w:cs="Arial"/>
          <w:sz w:val="24"/>
          <w:szCs w:val="24"/>
        </w:rPr>
        <w:t xml:space="preserve">The loathness finds support in the decision of this </w:t>
      </w:r>
      <w:r w:rsidR="00662971">
        <w:rPr>
          <w:rFonts w:ascii="Arial" w:hAnsi="Arial" w:cs="Arial"/>
          <w:sz w:val="24"/>
          <w:szCs w:val="24"/>
        </w:rPr>
        <w:t>Court</w:t>
      </w:r>
      <w:r w:rsidR="00C21373" w:rsidRPr="00C25569">
        <w:rPr>
          <w:rFonts w:ascii="Arial" w:hAnsi="Arial" w:cs="Arial"/>
          <w:sz w:val="24"/>
          <w:szCs w:val="24"/>
        </w:rPr>
        <w:t xml:space="preserve"> in </w:t>
      </w:r>
      <w:r w:rsidR="00C21373" w:rsidRPr="00C25569">
        <w:rPr>
          <w:rFonts w:ascii="Arial" w:hAnsi="Arial" w:cs="Arial"/>
          <w:i/>
          <w:sz w:val="24"/>
          <w:szCs w:val="24"/>
        </w:rPr>
        <w:t>Trustco</w:t>
      </w:r>
      <w:r w:rsidR="002E0F78">
        <w:rPr>
          <w:rFonts w:ascii="Arial" w:hAnsi="Arial" w:cs="Arial"/>
          <w:i/>
          <w:sz w:val="24"/>
          <w:szCs w:val="24"/>
        </w:rPr>
        <w:t>, per Oregan AJA,</w:t>
      </w:r>
      <w:r w:rsidR="00C21373" w:rsidRPr="00C25569">
        <w:rPr>
          <w:rStyle w:val="FootnoteReference"/>
          <w:rFonts w:ascii="Arial" w:hAnsi="Arial" w:cs="Arial"/>
          <w:sz w:val="24"/>
          <w:szCs w:val="24"/>
        </w:rPr>
        <w:footnoteReference w:id="52"/>
      </w:r>
      <w:r w:rsidR="00596EB1" w:rsidRPr="00C25569">
        <w:rPr>
          <w:rFonts w:ascii="Arial" w:hAnsi="Arial" w:cs="Arial"/>
          <w:sz w:val="24"/>
          <w:szCs w:val="24"/>
        </w:rPr>
        <w:t xml:space="preserve"> </w:t>
      </w:r>
      <w:r w:rsidR="00C21373" w:rsidRPr="00C25569">
        <w:rPr>
          <w:rFonts w:ascii="Arial" w:hAnsi="Arial" w:cs="Arial"/>
          <w:sz w:val="24"/>
          <w:szCs w:val="24"/>
        </w:rPr>
        <w:t xml:space="preserve">where this </w:t>
      </w:r>
      <w:r w:rsidR="00662971">
        <w:rPr>
          <w:rFonts w:ascii="Arial" w:hAnsi="Arial" w:cs="Arial"/>
          <w:sz w:val="24"/>
          <w:szCs w:val="24"/>
        </w:rPr>
        <w:t>Court</w:t>
      </w:r>
      <w:r w:rsidR="00C21373" w:rsidRPr="00C25569">
        <w:rPr>
          <w:rFonts w:ascii="Arial" w:hAnsi="Arial" w:cs="Arial"/>
          <w:sz w:val="24"/>
          <w:szCs w:val="24"/>
        </w:rPr>
        <w:t xml:space="preserve"> remarked that a </w:t>
      </w:r>
      <w:r w:rsidR="00662971">
        <w:rPr>
          <w:rFonts w:ascii="Arial" w:hAnsi="Arial" w:cs="Arial"/>
          <w:sz w:val="24"/>
          <w:szCs w:val="24"/>
        </w:rPr>
        <w:t>Court</w:t>
      </w:r>
      <w:r w:rsidR="00C21373" w:rsidRPr="00C25569">
        <w:rPr>
          <w:rFonts w:ascii="Arial" w:hAnsi="Arial" w:cs="Arial"/>
          <w:sz w:val="24"/>
          <w:szCs w:val="24"/>
        </w:rPr>
        <w:t xml:space="preserve"> will only concern itself with whether an administrative decision was arrived at rationally when confronted with administrative decisions that are policy-laden</w:t>
      </w:r>
      <w:r w:rsidR="00870DE3" w:rsidRPr="00C25569">
        <w:rPr>
          <w:rFonts w:ascii="Arial" w:hAnsi="Arial" w:cs="Arial"/>
          <w:sz w:val="24"/>
          <w:szCs w:val="24"/>
        </w:rPr>
        <w:t>.</w:t>
      </w:r>
    </w:p>
    <w:p w:rsidR="007B5C93" w:rsidRDefault="007B5C93" w:rsidP="007B5C93">
      <w:pPr>
        <w:pStyle w:val="ListParagraph"/>
        <w:rPr>
          <w:rFonts w:ascii="Arial" w:hAnsi="Arial" w:cs="Arial"/>
          <w:sz w:val="24"/>
          <w:szCs w:val="24"/>
        </w:rPr>
      </w:pPr>
    </w:p>
    <w:p w:rsidR="00BD1ED2" w:rsidRDefault="00596EB1"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In </w:t>
      </w:r>
      <w:r w:rsidRPr="00596EB1">
        <w:rPr>
          <w:rFonts w:ascii="Arial" w:hAnsi="Arial" w:cs="Arial"/>
          <w:i/>
          <w:sz w:val="24"/>
          <w:szCs w:val="24"/>
        </w:rPr>
        <w:t>Waterberg</w:t>
      </w:r>
      <w:r>
        <w:rPr>
          <w:rStyle w:val="FootnoteReference"/>
          <w:rFonts w:ascii="Arial" w:hAnsi="Arial" w:cs="Arial"/>
          <w:i/>
          <w:sz w:val="24"/>
          <w:szCs w:val="24"/>
        </w:rPr>
        <w:footnoteReference w:id="53"/>
      </w:r>
      <w:r w:rsidR="008E1989">
        <w:rPr>
          <w:rFonts w:ascii="Arial" w:hAnsi="Arial" w:cs="Arial"/>
          <w:sz w:val="24"/>
          <w:szCs w:val="24"/>
        </w:rPr>
        <w:t xml:space="preserve"> </w:t>
      </w:r>
      <w:r>
        <w:rPr>
          <w:rFonts w:ascii="Arial" w:hAnsi="Arial" w:cs="Arial"/>
          <w:sz w:val="24"/>
          <w:szCs w:val="24"/>
        </w:rPr>
        <w:t xml:space="preserve">this </w:t>
      </w:r>
      <w:r w:rsidR="00662971">
        <w:rPr>
          <w:rFonts w:ascii="Arial" w:hAnsi="Arial" w:cs="Arial"/>
          <w:sz w:val="24"/>
          <w:szCs w:val="24"/>
        </w:rPr>
        <w:t>Court</w:t>
      </w:r>
      <w:r w:rsidR="007B5C93">
        <w:rPr>
          <w:rFonts w:ascii="Arial" w:hAnsi="Arial" w:cs="Arial"/>
          <w:sz w:val="24"/>
          <w:szCs w:val="24"/>
        </w:rPr>
        <w:t>, per</w:t>
      </w:r>
      <w:r w:rsidR="004625F9">
        <w:rPr>
          <w:rFonts w:ascii="Arial" w:hAnsi="Arial" w:cs="Arial"/>
          <w:sz w:val="24"/>
          <w:szCs w:val="24"/>
        </w:rPr>
        <w:t xml:space="preserve"> Shivute CJ, </w:t>
      </w:r>
      <w:r>
        <w:rPr>
          <w:rFonts w:ascii="Arial" w:hAnsi="Arial" w:cs="Arial"/>
          <w:sz w:val="24"/>
          <w:szCs w:val="24"/>
        </w:rPr>
        <w:t>held that a measure of judicial deference</w:t>
      </w:r>
      <w:r w:rsidR="007B5C93">
        <w:rPr>
          <w:rFonts w:ascii="Arial" w:hAnsi="Arial" w:cs="Arial"/>
          <w:sz w:val="24"/>
          <w:szCs w:val="24"/>
        </w:rPr>
        <w:t xml:space="preserve">, </w:t>
      </w:r>
      <w:r>
        <w:rPr>
          <w:rFonts w:ascii="Arial" w:hAnsi="Arial" w:cs="Arial"/>
          <w:sz w:val="24"/>
          <w:szCs w:val="24"/>
        </w:rPr>
        <w:t>which involves the typically complex task o</w:t>
      </w:r>
      <w:r w:rsidR="007B5C93">
        <w:rPr>
          <w:rFonts w:ascii="Arial" w:hAnsi="Arial" w:cs="Arial"/>
          <w:sz w:val="24"/>
          <w:szCs w:val="24"/>
        </w:rPr>
        <w:t xml:space="preserve">f balancing competing interests, is called for </w:t>
      </w:r>
      <w:r>
        <w:rPr>
          <w:rFonts w:ascii="Arial" w:hAnsi="Arial" w:cs="Arial"/>
          <w:sz w:val="24"/>
          <w:szCs w:val="24"/>
        </w:rPr>
        <w:t>especially where substitution is not justified.</w:t>
      </w:r>
      <w:r>
        <w:rPr>
          <w:rStyle w:val="FootnoteReference"/>
          <w:rFonts w:ascii="Arial" w:hAnsi="Arial" w:cs="Arial"/>
          <w:sz w:val="24"/>
          <w:szCs w:val="24"/>
        </w:rPr>
        <w:footnoteReference w:id="54"/>
      </w:r>
      <w:r w:rsidR="005B050F">
        <w:rPr>
          <w:rFonts w:ascii="Arial" w:hAnsi="Arial" w:cs="Arial"/>
          <w:sz w:val="24"/>
          <w:szCs w:val="24"/>
        </w:rPr>
        <w:t xml:space="preserve"> </w:t>
      </w:r>
      <w:r w:rsidR="00650E06">
        <w:rPr>
          <w:rFonts w:ascii="Arial" w:hAnsi="Arial" w:cs="Arial"/>
          <w:sz w:val="24"/>
          <w:szCs w:val="24"/>
        </w:rPr>
        <w:t>Th</w:t>
      </w:r>
      <w:r w:rsidR="007B5C93">
        <w:rPr>
          <w:rFonts w:ascii="Arial" w:hAnsi="Arial" w:cs="Arial"/>
          <w:sz w:val="24"/>
          <w:szCs w:val="24"/>
        </w:rPr>
        <w:t xml:space="preserve">e </w:t>
      </w:r>
      <w:r w:rsidR="00662971">
        <w:rPr>
          <w:rFonts w:ascii="Arial" w:hAnsi="Arial" w:cs="Arial"/>
          <w:sz w:val="24"/>
          <w:szCs w:val="24"/>
        </w:rPr>
        <w:t>Court</w:t>
      </w:r>
      <w:r w:rsidR="00650E06">
        <w:rPr>
          <w:rFonts w:ascii="Arial" w:hAnsi="Arial" w:cs="Arial"/>
          <w:sz w:val="24"/>
          <w:szCs w:val="24"/>
        </w:rPr>
        <w:t xml:space="preserve"> quoted</w:t>
      </w:r>
      <w:r w:rsidR="007B5C93">
        <w:rPr>
          <w:rFonts w:ascii="Arial" w:hAnsi="Arial" w:cs="Arial"/>
          <w:sz w:val="24"/>
          <w:szCs w:val="24"/>
        </w:rPr>
        <w:t>,</w:t>
      </w:r>
      <w:r w:rsidR="00650E06">
        <w:rPr>
          <w:rFonts w:ascii="Arial" w:hAnsi="Arial" w:cs="Arial"/>
          <w:sz w:val="24"/>
          <w:szCs w:val="24"/>
        </w:rPr>
        <w:t xml:space="preserve"> with approval</w:t>
      </w:r>
      <w:r w:rsidR="007B5C93">
        <w:rPr>
          <w:rFonts w:ascii="Arial" w:hAnsi="Arial" w:cs="Arial"/>
          <w:sz w:val="24"/>
          <w:szCs w:val="24"/>
        </w:rPr>
        <w:t>,</w:t>
      </w:r>
      <w:r w:rsidR="00650E06">
        <w:rPr>
          <w:rFonts w:ascii="Arial" w:hAnsi="Arial" w:cs="Arial"/>
          <w:sz w:val="24"/>
          <w:szCs w:val="24"/>
        </w:rPr>
        <w:t xml:space="preserve"> the remarks by the South African S</w:t>
      </w:r>
      <w:r w:rsidR="007B5C93">
        <w:rPr>
          <w:rFonts w:ascii="Arial" w:hAnsi="Arial" w:cs="Arial"/>
          <w:sz w:val="24"/>
          <w:szCs w:val="24"/>
        </w:rPr>
        <w:t xml:space="preserve">upreme </w:t>
      </w:r>
      <w:r w:rsidR="00662971">
        <w:rPr>
          <w:rFonts w:ascii="Arial" w:hAnsi="Arial" w:cs="Arial"/>
          <w:sz w:val="24"/>
          <w:szCs w:val="24"/>
        </w:rPr>
        <w:t>Court</w:t>
      </w:r>
      <w:r w:rsidR="007B5C93">
        <w:rPr>
          <w:rFonts w:ascii="Arial" w:hAnsi="Arial" w:cs="Arial"/>
          <w:sz w:val="24"/>
          <w:szCs w:val="24"/>
        </w:rPr>
        <w:t xml:space="preserve"> of Appeal </w:t>
      </w:r>
      <w:r w:rsidR="00650E06">
        <w:rPr>
          <w:rFonts w:ascii="Arial" w:hAnsi="Arial" w:cs="Arial"/>
          <w:sz w:val="24"/>
          <w:szCs w:val="24"/>
        </w:rPr>
        <w:lastRenderedPageBreak/>
        <w:t xml:space="preserve">in </w:t>
      </w:r>
      <w:r w:rsidR="00650E06" w:rsidRPr="00650E06">
        <w:rPr>
          <w:rFonts w:ascii="Arial" w:hAnsi="Arial" w:cs="Arial"/>
          <w:i/>
          <w:sz w:val="24"/>
          <w:szCs w:val="24"/>
        </w:rPr>
        <w:t>Phambili Fisheries</w:t>
      </w:r>
      <w:r w:rsidR="002B2080">
        <w:rPr>
          <w:rFonts w:ascii="Arial" w:hAnsi="Arial" w:cs="Arial"/>
          <w:sz w:val="24"/>
          <w:szCs w:val="24"/>
        </w:rPr>
        <w:t>,</w:t>
      </w:r>
      <w:r w:rsidR="00650E06">
        <w:rPr>
          <w:rStyle w:val="FootnoteReference"/>
          <w:rFonts w:ascii="Arial" w:hAnsi="Arial" w:cs="Arial"/>
          <w:sz w:val="24"/>
          <w:szCs w:val="24"/>
        </w:rPr>
        <w:footnoteReference w:id="55"/>
      </w:r>
      <w:r w:rsidR="00650E06">
        <w:rPr>
          <w:rFonts w:ascii="Arial" w:hAnsi="Arial" w:cs="Arial"/>
          <w:sz w:val="24"/>
          <w:szCs w:val="24"/>
        </w:rPr>
        <w:t xml:space="preserve"> where the appeal </w:t>
      </w:r>
      <w:r w:rsidR="00662971">
        <w:rPr>
          <w:rFonts w:ascii="Arial" w:hAnsi="Arial" w:cs="Arial"/>
          <w:sz w:val="24"/>
          <w:szCs w:val="24"/>
        </w:rPr>
        <w:t>Court</w:t>
      </w:r>
      <w:r w:rsidR="00650E06">
        <w:rPr>
          <w:rFonts w:ascii="Arial" w:hAnsi="Arial" w:cs="Arial"/>
          <w:sz w:val="24"/>
          <w:szCs w:val="24"/>
        </w:rPr>
        <w:t xml:space="preserve"> </w:t>
      </w:r>
      <w:r w:rsidR="007B5C93">
        <w:rPr>
          <w:rFonts w:ascii="Arial" w:hAnsi="Arial" w:cs="Arial"/>
          <w:sz w:val="24"/>
          <w:szCs w:val="24"/>
        </w:rPr>
        <w:t>said</w:t>
      </w:r>
      <w:r w:rsidR="001358B4">
        <w:rPr>
          <w:rFonts w:ascii="Arial" w:hAnsi="Arial" w:cs="Arial"/>
          <w:sz w:val="24"/>
          <w:szCs w:val="24"/>
        </w:rPr>
        <w:t xml:space="preserve"> </w:t>
      </w:r>
      <w:r w:rsidR="00E25E33">
        <w:rPr>
          <w:rFonts w:ascii="Arial" w:hAnsi="Arial" w:cs="Arial"/>
          <w:sz w:val="24"/>
          <w:szCs w:val="24"/>
        </w:rPr>
        <w:t>‘</w:t>
      </w:r>
      <w:r w:rsidR="00650E06">
        <w:rPr>
          <w:rFonts w:ascii="Arial" w:hAnsi="Arial" w:cs="Arial"/>
          <w:sz w:val="24"/>
          <w:szCs w:val="24"/>
        </w:rPr>
        <w:t xml:space="preserve">Judicial deference is particularly appropriate where the subject-matter of an administrative action is very technical or of a kind in which a </w:t>
      </w:r>
      <w:r w:rsidR="00662971">
        <w:rPr>
          <w:rFonts w:ascii="Arial" w:hAnsi="Arial" w:cs="Arial"/>
          <w:sz w:val="24"/>
          <w:szCs w:val="24"/>
        </w:rPr>
        <w:t>Court</w:t>
      </w:r>
      <w:r w:rsidR="00E25E33">
        <w:rPr>
          <w:rFonts w:ascii="Arial" w:hAnsi="Arial" w:cs="Arial"/>
          <w:sz w:val="24"/>
          <w:szCs w:val="24"/>
        </w:rPr>
        <w:t xml:space="preserve"> has no particular proficiency.’</w:t>
      </w:r>
      <w:r w:rsidR="00BD1ED2">
        <w:rPr>
          <w:rStyle w:val="FootnoteReference"/>
          <w:rFonts w:ascii="Arial" w:hAnsi="Arial" w:cs="Arial"/>
          <w:sz w:val="24"/>
          <w:szCs w:val="24"/>
        </w:rPr>
        <w:footnoteReference w:id="56"/>
      </w:r>
      <w:r w:rsidR="00BD1ED2">
        <w:rPr>
          <w:rFonts w:ascii="Arial" w:hAnsi="Arial" w:cs="Arial"/>
          <w:sz w:val="24"/>
          <w:szCs w:val="24"/>
        </w:rPr>
        <w:t xml:space="preserve"> These sentiments apply with equal force here. </w:t>
      </w:r>
    </w:p>
    <w:p w:rsidR="00BD1ED2" w:rsidRDefault="00BD1ED2" w:rsidP="00BD1ED2">
      <w:pPr>
        <w:pStyle w:val="ListParagraph"/>
        <w:rPr>
          <w:rFonts w:ascii="Arial" w:hAnsi="Arial" w:cs="Arial"/>
          <w:sz w:val="24"/>
          <w:szCs w:val="24"/>
        </w:rPr>
      </w:pPr>
    </w:p>
    <w:p w:rsidR="004E2444" w:rsidRPr="00CC392E" w:rsidRDefault="00494182" w:rsidP="004E2444">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T</w:t>
      </w:r>
      <w:r w:rsidR="008E1989">
        <w:rPr>
          <w:rFonts w:ascii="Arial" w:hAnsi="Arial" w:cs="Arial"/>
          <w:sz w:val="24"/>
          <w:szCs w:val="24"/>
        </w:rPr>
        <w:t xml:space="preserve">he </w:t>
      </w:r>
      <w:r w:rsidR="008E1989" w:rsidRPr="00FC188E">
        <w:rPr>
          <w:rFonts w:ascii="Arial" w:hAnsi="Arial" w:cs="Arial"/>
          <w:sz w:val="24"/>
          <w:szCs w:val="24"/>
        </w:rPr>
        <w:t xml:space="preserve">appellants </w:t>
      </w:r>
      <w:r>
        <w:rPr>
          <w:rFonts w:ascii="Arial" w:hAnsi="Arial" w:cs="Arial"/>
          <w:sz w:val="24"/>
          <w:szCs w:val="24"/>
        </w:rPr>
        <w:t xml:space="preserve">have not shown that any such </w:t>
      </w:r>
      <w:r w:rsidR="008E1989">
        <w:rPr>
          <w:rFonts w:ascii="Arial" w:hAnsi="Arial" w:cs="Arial"/>
          <w:sz w:val="24"/>
          <w:szCs w:val="24"/>
        </w:rPr>
        <w:t>exceptional circumstances</w:t>
      </w:r>
      <w:r w:rsidR="00BD1ED2">
        <w:rPr>
          <w:rFonts w:ascii="Arial" w:hAnsi="Arial" w:cs="Arial"/>
          <w:sz w:val="24"/>
          <w:szCs w:val="24"/>
        </w:rPr>
        <w:t xml:space="preserve"> </w:t>
      </w:r>
      <w:r>
        <w:rPr>
          <w:rFonts w:ascii="Arial" w:hAnsi="Arial" w:cs="Arial"/>
          <w:sz w:val="24"/>
          <w:szCs w:val="24"/>
        </w:rPr>
        <w:t xml:space="preserve">exist </w:t>
      </w:r>
      <w:r w:rsidR="00BD1ED2">
        <w:rPr>
          <w:rFonts w:ascii="Arial" w:hAnsi="Arial" w:cs="Arial"/>
          <w:sz w:val="24"/>
          <w:szCs w:val="24"/>
        </w:rPr>
        <w:t>or</w:t>
      </w:r>
      <w:r w:rsidR="000A4BD6">
        <w:rPr>
          <w:rFonts w:ascii="Arial" w:hAnsi="Arial" w:cs="Arial"/>
          <w:sz w:val="24"/>
          <w:szCs w:val="24"/>
        </w:rPr>
        <w:t xml:space="preserve"> are</w:t>
      </w:r>
      <w:r w:rsidR="00BD1ED2">
        <w:rPr>
          <w:rFonts w:ascii="Arial" w:hAnsi="Arial" w:cs="Arial"/>
          <w:sz w:val="24"/>
          <w:szCs w:val="24"/>
        </w:rPr>
        <w:t xml:space="preserve"> </w:t>
      </w:r>
      <w:r>
        <w:rPr>
          <w:rFonts w:ascii="Arial" w:hAnsi="Arial" w:cs="Arial"/>
          <w:sz w:val="24"/>
          <w:szCs w:val="24"/>
        </w:rPr>
        <w:t>shown</w:t>
      </w:r>
      <w:r w:rsidR="00441616">
        <w:rPr>
          <w:rFonts w:ascii="Arial" w:hAnsi="Arial" w:cs="Arial"/>
          <w:sz w:val="24"/>
          <w:szCs w:val="24"/>
        </w:rPr>
        <w:t>:</w:t>
      </w:r>
      <w:r w:rsidR="00BD1ED2">
        <w:rPr>
          <w:rFonts w:ascii="Arial" w:hAnsi="Arial" w:cs="Arial"/>
          <w:sz w:val="24"/>
          <w:szCs w:val="24"/>
        </w:rPr>
        <w:t xml:space="preserve"> that the Tender Board has exhibited bias or incompetence</w:t>
      </w:r>
      <w:r w:rsidR="008E1989">
        <w:rPr>
          <w:rFonts w:ascii="Arial" w:hAnsi="Arial" w:cs="Arial"/>
          <w:sz w:val="24"/>
          <w:szCs w:val="24"/>
        </w:rPr>
        <w:t xml:space="preserve"> for this </w:t>
      </w:r>
      <w:r w:rsidR="00662971">
        <w:rPr>
          <w:rFonts w:ascii="Arial" w:hAnsi="Arial" w:cs="Arial"/>
          <w:sz w:val="24"/>
          <w:szCs w:val="24"/>
        </w:rPr>
        <w:t>Court</w:t>
      </w:r>
      <w:r w:rsidR="008E1989">
        <w:rPr>
          <w:rFonts w:ascii="Arial" w:hAnsi="Arial" w:cs="Arial"/>
          <w:sz w:val="24"/>
          <w:szCs w:val="24"/>
        </w:rPr>
        <w:t xml:space="preserve"> to perform the administrative functionary’s function.</w:t>
      </w:r>
      <w:r w:rsidR="00BD1ED2">
        <w:rPr>
          <w:rFonts w:ascii="Arial" w:hAnsi="Arial" w:cs="Arial"/>
          <w:sz w:val="24"/>
          <w:szCs w:val="24"/>
        </w:rPr>
        <w:t xml:space="preserve"> </w:t>
      </w:r>
      <w:r w:rsidR="008E1989">
        <w:rPr>
          <w:rFonts w:ascii="Arial" w:hAnsi="Arial" w:cs="Arial"/>
          <w:sz w:val="24"/>
          <w:szCs w:val="24"/>
        </w:rPr>
        <w:t xml:space="preserve">In any event, </w:t>
      </w:r>
      <w:r w:rsidR="00C73D1A">
        <w:rPr>
          <w:rFonts w:ascii="Arial" w:hAnsi="Arial" w:cs="Arial"/>
          <w:sz w:val="24"/>
          <w:szCs w:val="24"/>
        </w:rPr>
        <w:t xml:space="preserve">were it not for the fact that the extended agreements between the Tender Board and service providers came to an end, </w:t>
      </w:r>
      <w:r w:rsidR="008E1989">
        <w:rPr>
          <w:rFonts w:ascii="Arial" w:hAnsi="Arial" w:cs="Arial"/>
          <w:sz w:val="24"/>
          <w:szCs w:val="24"/>
        </w:rPr>
        <w:t xml:space="preserve">the granting of the relief in para 2 and 3 of the </w:t>
      </w:r>
      <w:r w:rsidR="00C73D1A">
        <w:rPr>
          <w:rFonts w:ascii="Arial" w:hAnsi="Arial" w:cs="Arial"/>
          <w:sz w:val="24"/>
          <w:szCs w:val="24"/>
        </w:rPr>
        <w:t xml:space="preserve">amended </w:t>
      </w:r>
      <w:r w:rsidR="008E1989">
        <w:rPr>
          <w:rFonts w:ascii="Arial" w:hAnsi="Arial" w:cs="Arial"/>
          <w:sz w:val="24"/>
          <w:szCs w:val="24"/>
        </w:rPr>
        <w:t xml:space="preserve">notice of motion </w:t>
      </w:r>
      <w:r w:rsidR="00C73D1A">
        <w:rPr>
          <w:rFonts w:ascii="Arial" w:hAnsi="Arial" w:cs="Arial"/>
          <w:sz w:val="24"/>
          <w:szCs w:val="24"/>
        </w:rPr>
        <w:t xml:space="preserve">would have and may still, assuming the further extension is granted, </w:t>
      </w:r>
      <w:r w:rsidR="008E1989">
        <w:rPr>
          <w:rFonts w:ascii="Arial" w:hAnsi="Arial" w:cs="Arial"/>
          <w:sz w:val="24"/>
          <w:szCs w:val="24"/>
        </w:rPr>
        <w:t>disrupt t</w:t>
      </w:r>
      <w:r w:rsidR="00FC188E" w:rsidRPr="00FC188E">
        <w:rPr>
          <w:rFonts w:ascii="Arial" w:hAnsi="Arial" w:cs="Arial"/>
          <w:sz w:val="24"/>
          <w:szCs w:val="24"/>
        </w:rPr>
        <w:t>he current supply of catering to schools</w:t>
      </w:r>
      <w:r w:rsidR="00C73D1A">
        <w:rPr>
          <w:rFonts w:ascii="Arial" w:hAnsi="Arial" w:cs="Arial"/>
          <w:sz w:val="24"/>
          <w:szCs w:val="24"/>
        </w:rPr>
        <w:t>.</w:t>
      </w:r>
      <w:r w:rsidR="00831B98">
        <w:rPr>
          <w:rFonts w:ascii="Arial" w:hAnsi="Arial" w:cs="Arial"/>
          <w:sz w:val="24"/>
          <w:szCs w:val="24"/>
        </w:rPr>
        <w:t xml:space="preserve"> </w:t>
      </w:r>
      <w:r w:rsidR="00C73D1A">
        <w:rPr>
          <w:rFonts w:ascii="Arial" w:hAnsi="Arial" w:cs="Arial"/>
          <w:sz w:val="24"/>
          <w:szCs w:val="24"/>
        </w:rPr>
        <w:t>This is so because the</w:t>
      </w:r>
      <w:r w:rsidR="008E1989">
        <w:rPr>
          <w:rFonts w:ascii="Arial" w:hAnsi="Arial" w:cs="Arial"/>
          <w:sz w:val="24"/>
          <w:szCs w:val="24"/>
        </w:rPr>
        <w:t xml:space="preserve"> period for the extended agreement end</w:t>
      </w:r>
      <w:r w:rsidR="00C73D1A">
        <w:rPr>
          <w:rFonts w:ascii="Arial" w:hAnsi="Arial" w:cs="Arial"/>
          <w:sz w:val="24"/>
          <w:szCs w:val="24"/>
        </w:rPr>
        <w:t>ed</w:t>
      </w:r>
      <w:r w:rsidR="008E1989">
        <w:rPr>
          <w:rFonts w:ascii="Arial" w:hAnsi="Arial" w:cs="Arial"/>
          <w:sz w:val="24"/>
          <w:szCs w:val="24"/>
        </w:rPr>
        <w:t xml:space="preserve"> in May 2019 but one cannot exclude a possibility </w:t>
      </w:r>
      <w:r w:rsidR="000D4FDB">
        <w:rPr>
          <w:rFonts w:ascii="Arial" w:hAnsi="Arial" w:cs="Arial"/>
          <w:sz w:val="24"/>
          <w:szCs w:val="24"/>
        </w:rPr>
        <w:t>of a month to month extension of the current agreements so that learners in Government school hostels are not left without food while the functionary take</w:t>
      </w:r>
      <w:r w:rsidR="006518FA">
        <w:rPr>
          <w:rFonts w:ascii="Arial" w:hAnsi="Arial" w:cs="Arial"/>
          <w:sz w:val="24"/>
          <w:szCs w:val="24"/>
        </w:rPr>
        <w:t>s</w:t>
      </w:r>
      <w:r w:rsidR="000D4FDB">
        <w:rPr>
          <w:rFonts w:ascii="Arial" w:hAnsi="Arial" w:cs="Arial"/>
          <w:sz w:val="24"/>
          <w:szCs w:val="24"/>
        </w:rPr>
        <w:t xml:space="preserve"> steps in light of this judgment.</w:t>
      </w:r>
      <w:r w:rsidR="00BD1ED2">
        <w:rPr>
          <w:rFonts w:ascii="Arial" w:hAnsi="Arial" w:cs="Arial"/>
          <w:sz w:val="24"/>
          <w:szCs w:val="24"/>
        </w:rPr>
        <w:t xml:space="preserve"> For these reasons, I would refuse to grant the relief sought in paragraphs 2 and 3.</w:t>
      </w:r>
    </w:p>
    <w:p w:rsidR="005C3AF0" w:rsidRDefault="005C3AF0" w:rsidP="00FC188E">
      <w:pPr>
        <w:pStyle w:val="NoSpacing"/>
        <w:spacing w:line="480" w:lineRule="auto"/>
        <w:jc w:val="both"/>
        <w:rPr>
          <w:rFonts w:ascii="Arial" w:hAnsi="Arial" w:cs="Arial"/>
          <w:sz w:val="24"/>
          <w:szCs w:val="24"/>
          <w:u w:val="single"/>
        </w:rPr>
      </w:pPr>
    </w:p>
    <w:p w:rsidR="00FC188E" w:rsidRPr="00127B6A" w:rsidRDefault="00A838A3" w:rsidP="00FC188E">
      <w:pPr>
        <w:pStyle w:val="NoSpacing"/>
        <w:spacing w:line="480" w:lineRule="auto"/>
        <w:jc w:val="both"/>
        <w:rPr>
          <w:rFonts w:ascii="Arial" w:hAnsi="Arial" w:cs="Arial"/>
          <w:i/>
          <w:sz w:val="24"/>
          <w:szCs w:val="24"/>
        </w:rPr>
      </w:pPr>
      <w:r w:rsidRPr="00127B6A">
        <w:rPr>
          <w:rFonts w:ascii="Arial" w:hAnsi="Arial" w:cs="Arial"/>
          <w:i/>
          <w:sz w:val="24"/>
          <w:szCs w:val="24"/>
        </w:rPr>
        <w:t>Costs</w:t>
      </w:r>
    </w:p>
    <w:p w:rsidR="00CA5894" w:rsidRDefault="009B6CEB"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Ordinarily</w:t>
      </w:r>
      <w:r w:rsidR="00C84B6D">
        <w:rPr>
          <w:rFonts w:ascii="Arial" w:hAnsi="Arial" w:cs="Arial"/>
          <w:sz w:val="24"/>
          <w:szCs w:val="24"/>
        </w:rPr>
        <w:t>,</w:t>
      </w:r>
      <w:r w:rsidR="002B2080">
        <w:rPr>
          <w:rFonts w:ascii="Arial" w:hAnsi="Arial" w:cs="Arial"/>
          <w:sz w:val="24"/>
          <w:szCs w:val="24"/>
        </w:rPr>
        <w:t xml:space="preserve"> costs follow the results. </w:t>
      </w:r>
      <w:r>
        <w:rPr>
          <w:rFonts w:ascii="Arial" w:hAnsi="Arial" w:cs="Arial"/>
          <w:sz w:val="24"/>
          <w:szCs w:val="24"/>
        </w:rPr>
        <w:t>An award of co</w:t>
      </w:r>
      <w:r w:rsidR="00441616">
        <w:rPr>
          <w:rFonts w:ascii="Arial" w:hAnsi="Arial" w:cs="Arial"/>
          <w:sz w:val="24"/>
          <w:szCs w:val="24"/>
        </w:rPr>
        <w:t xml:space="preserve">sts is a discretionary matter. </w:t>
      </w:r>
      <w:r>
        <w:rPr>
          <w:rFonts w:ascii="Arial" w:hAnsi="Arial" w:cs="Arial"/>
          <w:sz w:val="24"/>
          <w:szCs w:val="24"/>
        </w:rPr>
        <w:t xml:space="preserve">The discretion must be exercised judicially with due consideration </w:t>
      </w:r>
      <w:r w:rsidR="00C84B6D">
        <w:rPr>
          <w:rFonts w:ascii="Arial" w:hAnsi="Arial" w:cs="Arial"/>
          <w:sz w:val="24"/>
          <w:szCs w:val="24"/>
        </w:rPr>
        <w:t>of</w:t>
      </w:r>
      <w:r>
        <w:rPr>
          <w:rFonts w:ascii="Arial" w:hAnsi="Arial" w:cs="Arial"/>
          <w:sz w:val="24"/>
          <w:szCs w:val="24"/>
        </w:rPr>
        <w:t xml:space="preserve"> all relevant </w:t>
      </w:r>
      <w:r>
        <w:rPr>
          <w:rFonts w:ascii="Arial" w:hAnsi="Arial" w:cs="Arial"/>
          <w:sz w:val="24"/>
          <w:szCs w:val="24"/>
        </w:rPr>
        <w:lastRenderedPageBreak/>
        <w:t>factors.</w:t>
      </w:r>
      <w:r w:rsidR="00C84B6D">
        <w:rPr>
          <w:rFonts w:ascii="Arial" w:hAnsi="Arial" w:cs="Arial"/>
          <w:sz w:val="24"/>
          <w:szCs w:val="24"/>
        </w:rPr>
        <w:t xml:space="preserve"> </w:t>
      </w:r>
      <w:r>
        <w:rPr>
          <w:rFonts w:ascii="Arial" w:hAnsi="Arial" w:cs="Arial"/>
          <w:sz w:val="24"/>
          <w:szCs w:val="24"/>
        </w:rPr>
        <w:t xml:space="preserve">In </w:t>
      </w:r>
      <w:r w:rsidRPr="009B6CEB">
        <w:rPr>
          <w:rFonts w:ascii="Arial" w:hAnsi="Arial" w:cs="Arial"/>
          <w:i/>
          <w:sz w:val="24"/>
          <w:szCs w:val="24"/>
        </w:rPr>
        <w:t>Biowatch</w:t>
      </w:r>
      <w:r w:rsidRPr="009B6CEB">
        <w:rPr>
          <w:rFonts w:ascii="Arial" w:hAnsi="Arial" w:cs="Arial"/>
          <w:sz w:val="24"/>
          <w:szCs w:val="24"/>
        </w:rPr>
        <w:t>,</w:t>
      </w:r>
      <w:r w:rsidRPr="009B6CEB">
        <w:rPr>
          <w:rStyle w:val="FootnoteReference"/>
          <w:rFonts w:ascii="Arial" w:hAnsi="Arial" w:cs="Arial"/>
          <w:sz w:val="24"/>
          <w:szCs w:val="24"/>
        </w:rPr>
        <w:footnoteReference w:id="57"/>
      </w:r>
      <w:r>
        <w:rPr>
          <w:rFonts w:ascii="Arial" w:hAnsi="Arial" w:cs="Arial"/>
          <w:sz w:val="24"/>
          <w:szCs w:val="24"/>
        </w:rPr>
        <w:t xml:space="preserve"> the Constitutional </w:t>
      </w:r>
      <w:r w:rsidR="00662971">
        <w:rPr>
          <w:rFonts w:ascii="Arial" w:hAnsi="Arial" w:cs="Arial"/>
          <w:sz w:val="24"/>
          <w:szCs w:val="24"/>
        </w:rPr>
        <w:t>Court</w:t>
      </w:r>
      <w:r>
        <w:rPr>
          <w:rFonts w:ascii="Arial" w:hAnsi="Arial" w:cs="Arial"/>
          <w:sz w:val="24"/>
          <w:szCs w:val="24"/>
        </w:rPr>
        <w:t xml:space="preserve"> of South Africa had occasion to deal with </w:t>
      </w:r>
      <w:r w:rsidR="00C84B6D">
        <w:rPr>
          <w:rFonts w:ascii="Arial" w:hAnsi="Arial" w:cs="Arial"/>
          <w:sz w:val="24"/>
          <w:szCs w:val="24"/>
        </w:rPr>
        <w:t>the question of costs in constitutional litigation and held</w:t>
      </w:r>
      <w:r w:rsidR="00B72BC4">
        <w:rPr>
          <w:rFonts w:ascii="Arial" w:hAnsi="Arial" w:cs="Arial"/>
          <w:sz w:val="24"/>
          <w:szCs w:val="24"/>
        </w:rPr>
        <w:t>, among other things,</w:t>
      </w:r>
      <w:r w:rsidR="00C84B6D">
        <w:rPr>
          <w:rFonts w:ascii="Arial" w:hAnsi="Arial" w:cs="Arial"/>
          <w:sz w:val="24"/>
          <w:szCs w:val="24"/>
        </w:rPr>
        <w:t xml:space="preserve"> that the primary consideration</w:t>
      </w:r>
      <w:r w:rsidR="00CC7146">
        <w:rPr>
          <w:rFonts w:ascii="Arial" w:hAnsi="Arial" w:cs="Arial"/>
          <w:sz w:val="24"/>
          <w:szCs w:val="24"/>
        </w:rPr>
        <w:t xml:space="preserve"> −</w:t>
      </w:r>
      <w:r w:rsidR="00C84B6D">
        <w:rPr>
          <w:rFonts w:ascii="Arial" w:hAnsi="Arial" w:cs="Arial"/>
          <w:sz w:val="24"/>
          <w:szCs w:val="24"/>
        </w:rPr>
        <w:t xml:space="preserve"> in such litigation</w:t>
      </w:r>
      <w:r w:rsidR="00F5723B">
        <w:rPr>
          <w:rFonts w:ascii="Arial" w:hAnsi="Arial" w:cs="Arial"/>
          <w:sz w:val="24"/>
          <w:szCs w:val="24"/>
        </w:rPr>
        <w:t xml:space="preserve"> −</w:t>
      </w:r>
      <w:r w:rsidR="00C84B6D">
        <w:rPr>
          <w:rFonts w:ascii="Arial" w:hAnsi="Arial" w:cs="Arial"/>
          <w:sz w:val="24"/>
          <w:szCs w:val="24"/>
        </w:rPr>
        <w:t xml:space="preserve"> is the way in which a costs order would hinder or promote the advancement of constitutional justice.</w:t>
      </w:r>
      <w:r w:rsidR="00CA5894">
        <w:rPr>
          <w:rStyle w:val="FootnoteReference"/>
          <w:rFonts w:ascii="Arial" w:hAnsi="Arial" w:cs="Arial"/>
          <w:sz w:val="24"/>
          <w:szCs w:val="24"/>
        </w:rPr>
        <w:footnoteReference w:id="58"/>
      </w:r>
      <w:r w:rsidR="002B2080">
        <w:rPr>
          <w:rFonts w:ascii="Arial" w:hAnsi="Arial" w:cs="Arial"/>
          <w:sz w:val="24"/>
          <w:szCs w:val="24"/>
        </w:rPr>
        <w:t xml:space="preserve"> </w:t>
      </w:r>
      <w:r w:rsidR="00CA5894">
        <w:rPr>
          <w:rFonts w:ascii="Arial" w:hAnsi="Arial" w:cs="Arial"/>
          <w:sz w:val="24"/>
          <w:szCs w:val="24"/>
        </w:rPr>
        <w:t xml:space="preserve">That </w:t>
      </w:r>
      <w:r w:rsidR="00662971">
        <w:rPr>
          <w:rFonts w:ascii="Arial" w:hAnsi="Arial" w:cs="Arial"/>
          <w:sz w:val="24"/>
          <w:szCs w:val="24"/>
        </w:rPr>
        <w:t>Court</w:t>
      </w:r>
      <w:r w:rsidR="00CA5894">
        <w:rPr>
          <w:rFonts w:ascii="Arial" w:hAnsi="Arial" w:cs="Arial"/>
          <w:sz w:val="24"/>
          <w:szCs w:val="24"/>
        </w:rPr>
        <w:t xml:space="preserve"> further held that private parties that lost in constitutional litigation against the State (for example, where litigation was to oppose </w:t>
      </w:r>
      <w:r w:rsidR="006518FA">
        <w:rPr>
          <w:rFonts w:ascii="Arial" w:hAnsi="Arial" w:cs="Arial"/>
          <w:sz w:val="24"/>
          <w:szCs w:val="24"/>
        </w:rPr>
        <w:t xml:space="preserve">the </w:t>
      </w:r>
      <w:r w:rsidR="00CA5894">
        <w:rPr>
          <w:rFonts w:ascii="Arial" w:hAnsi="Arial" w:cs="Arial"/>
          <w:sz w:val="24"/>
          <w:szCs w:val="24"/>
        </w:rPr>
        <w:t>State’s posture) should not as a rule be mulcted with costs rather than ordering each party to pay its own costs.</w:t>
      </w:r>
      <w:r w:rsidR="00CA5894">
        <w:rPr>
          <w:rStyle w:val="FootnoteReference"/>
          <w:rFonts w:ascii="Arial" w:hAnsi="Arial" w:cs="Arial"/>
          <w:sz w:val="24"/>
          <w:szCs w:val="24"/>
        </w:rPr>
        <w:footnoteReference w:id="59"/>
      </w:r>
      <w:r w:rsidR="00CA5894">
        <w:rPr>
          <w:rFonts w:ascii="Arial" w:hAnsi="Arial" w:cs="Arial"/>
          <w:sz w:val="24"/>
          <w:szCs w:val="24"/>
        </w:rPr>
        <w:t xml:space="preserve"> </w:t>
      </w:r>
    </w:p>
    <w:p w:rsidR="00CA5894" w:rsidRDefault="00CA5894" w:rsidP="00CA5894">
      <w:pPr>
        <w:pStyle w:val="NoSpacing"/>
        <w:spacing w:line="480" w:lineRule="auto"/>
        <w:jc w:val="both"/>
        <w:rPr>
          <w:rFonts w:ascii="Arial" w:hAnsi="Arial" w:cs="Arial"/>
          <w:sz w:val="24"/>
          <w:szCs w:val="24"/>
        </w:rPr>
      </w:pPr>
    </w:p>
    <w:p w:rsidR="00F5723B" w:rsidRPr="00BD15B6" w:rsidRDefault="00CA5894" w:rsidP="00AF5641">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In this litigation th</w:t>
      </w:r>
      <w:r w:rsidR="00136E4B" w:rsidRPr="0031077D">
        <w:rPr>
          <w:rFonts w:ascii="Arial" w:hAnsi="Arial" w:cs="Arial"/>
          <w:sz w:val="24"/>
          <w:szCs w:val="24"/>
        </w:rPr>
        <w:t>e appellants sought</w:t>
      </w:r>
      <w:r w:rsidR="00136E4B">
        <w:rPr>
          <w:rFonts w:ascii="Arial" w:hAnsi="Arial" w:cs="Arial"/>
          <w:sz w:val="24"/>
          <w:szCs w:val="24"/>
        </w:rPr>
        <w:t xml:space="preserve"> costs of one instruct</w:t>
      </w:r>
      <w:r w:rsidR="002B2080">
        <w:rPr>
          <w:rFonts w:ascii="Arial" w:hAnsi="Arial" w:cs="Arial"/>
          <w:sz w:val="24"/>
          <w:szCs w:val="24"/>
        </w:rPr>
        <w:t>ing and two instructed counsel.</w:t>
      </w:r>
      <w:r w:rsidR="00136E4B">
        <w:rPr>
          <w:rFonts w:ascii="Arial" w:hAnsi="Arial" w:cs="Arial"/>
          <w:sz w:val="24"/>
          <w:szCs w:val="24"/>
        </w:rPr>
        <w:t xml:space="preserve"> The </w:t>
      </w:r>
      <w:r w:rsidR="00A838A3">
        <w:rPr>
          <w:rFonts w:ascii="Arial" w:hAnsi="Arial" w:cs="Arial"/>
          <w:sz w:val="24"/>
          <w:szCs w:val="24"/>
        </w:rPr>
        <w:t xml:space="preserve">appellants </w:t>
      </w:r>
      <w:r w:rsidR="00BE6F5A">
        <w:rPr>
          <w:rFonts w:ascii="Arial" w:hAnsi="Arial" w:cs="Arial"/>
          <w:sz w:val="24"/>
          <w:szCs w:val="24"/>
        </w:rPr>
        <w:t xml:space="preserve">have </w:t>
      </w:r>
      <w:r w:rsidR="00136E4B">
        <w:rPr>
          <w:rFonts w:ascii="Arial" w:hAnsi="Arial" w:cs="Arial"/>
          <w:sz w:val="24"/>
          <w:szCs w:val="24"/>
        </w:rPr>
        <w:t xml:space="preserve">been partly </w:t>
      </w:r>
      <w:r w:rsidR="00BE6F5A">
        <w:rPr>
          <w:rFonts w:ascii="Arial" w:hAnsi="Arial" w:cs="Arial"/>
          <w:sz w:val="24"/>
          <w:szCs w:val="24"/>
        </w:rPr>
        <w:t>succe</w:t>
      </w:r>
      <w:r w:rsidR="00136E4B">
        <w:rPr>
          <w:rFonts w:ascii="Arial" w:hAnsi="Arial" w:cs="Arial"/>
          <w:sz w:val="24"/>
          <w:szCs w:val="24"/>
        </w:rPr>
        <w:t>ssful (in relation to the main relief) and partly unsuccessful (in relation to the further and ancillary</w:t>
      </w:r>
      <w:r w:rsidR="00AF5641">
        <w:rPr>
          <w:rFonts w:ascii="Arial" w:hAnsi="Arial" w:cs="Arial"/>
          <w:sz w:val="24"/>
          <w:szCs w:val="24"/>
        </w:rPr>
        <w:t xml:space="preserve"> </w:t>
      </w:r>
      <w:r w:rsidR="00AF5641" w:rsidRPr="00E4792D">
        <w:rPr>
          <w:rFonts w:ascii="Arial" w:hAnsi="Arial" w:cs="Arial"/>
          <w:sz w:val="24"/>
          <w:szCs w:val="24"/>
        </w:rPr>
        <w:t>relief</w:t>
      </w:r>
      <w:r w:rsidR="00662971">
        <w:rPr>
          <w:rFonts w:ascii="Arial" w:hAnsi="Arial" w:cs="Arial"/>
          <w:sz w:val="24"/>
          <w:szCs w:val="24"/>
        </w:rPr>
        <w:t xml:space="preserve">). </w:t>
      </w:r>
      <w:r w:rsidR="00AF5641" w:rsidRPr="00E4792D">
        <w:rPr>
          <w:rFonts w:ascii="Arial" w:hAnsi="Arial" w:cs="Arial"/>
          <w:sz w:val="24"/>
          <w:szCs w:val="24"/>
        </w:rPr>
        <w:t>A</w:t>
      </w:r>
      <w:r w:rsidR="00F5723B" w:rsidRPr="00E4792D">
        <w:rPr>
          <w:rFonts w:ascii="Arial" w:hAnsi="Arial" w:cs="Arial"/>
          <w:sz w:val="24"/>
          <w:szCs w:val="24"/>
        </w:rPr>
        <w:t xml:space="preserve">ppellants </w:t>
      </w:r>
      <w:r w:rsidR="00F5723B">
        <w:rPr>
          <w:rFonts w:ascii="Arial" w:hAnsi="Arial" w:cs="Arial"/>
          <w:sz w:val="24"/>
          <w:szCs w:val="24"/>
        </w:rPr>
        <w:t>sought to vindicate their right</w:t>
      </w:r>
      <w:r w:rsidR="005334D4">
        <w:rPr>
          <w:rFonts w:ascii="Arial" w:hAnsi="Arial" w:cs="Arial"/>
          <w:sz w:val="24"/>
          <w:szCs w:val="24"/>
        </w:rPr>
        <w:t xml:space="preserve"> to fair process </w:t>
      </w:r>
      <w:r w:rsidR="00F5723B">
        <w:rPr>
          <w:rFonts w:ascii="Arial" w:hAnsi="Arial" w:cs="Arial"/>
          <w:sz w:val="24"/>
          <w:szCs w:val="24"/>
        </w:rPr>
        <w:t xml:space="preserve">and </w:t>
      </w:r>
      <w:r w:rsidR="005334D4">
        <w:rPr>
          <w:rFonts w:ascii="Arial" w:hAnsi="Arial" w:cs="Arial"/>
          <w:sz w:val="24"/>
          <w:szCs w:val="24"/>
        </w:rPr>
        <w:t xml:space="preserve">to </w:t>
      </w:r>
      <w:r w:rsidR="00F5723B">
        <w:rPr>
          <w:rFonts w:ascii="Arial" w:hAnsi="Arial" w:cs="Arial"/>
          <w:sz w:val="24"/>
          <w:szCs w:val="24"/>
        </w:rPr>
        <w:t>uphold the rule of law</w:t>
      </w:r>
      <w:r w:rsidR="00662971">
        <w:rPr>
          <w:rFonts w:ascii="Arial" w:hAnsi="Arial" w:cs="Arial"/>
          <w:sz w:val="24"/>
          <w:szCs w:val="24"/>
        </w:rPr>
        <w:t xml:space="preserve"> </w:t>
      </w:r>
      <w:r w:rsidR="002B2080">
        <w:rPr>
          <w:rFonts w:ascii="Arial" w:hAnsi="Arial" w:cs="Arial"/>
          <w:sz w:val="24"/>
          <w:szCs w:val="24"/>
        </w:rPr>
        <w:t>– legality principle.</w:t>
      </w:r>
      <w:r w:rsidR="00F5723B">
        <w:rPr>
          <w:rFonts w:ascii="Arial" w:hAnsi="Arial" w:cs="Arial"/>
          <w:sz w:val="24"/>
          <w:szCs w:val="24"/>
        </w:rPr>
        <w:t xml:space="preserve"> They have succeeded in vindicating their </w:t>
      </w:r>
      <w:r w:rsidR="005334D4">
        <w:rPr>
          <w:rFonts w:ascii="Arial" w:hAnsi="Arial" w:cs="Arial"/>
          <w:sz w:val="24"/>
          <w:szCs w:val="24"/>
        </w:rPr>
        <w:t xml:space="preserve">fair process right and upholding constitutional principles (legality) as well as compliance with legislative prescripts </w:t>
      </w:r>
      <w:r w:rsidR="002B2080">
        <w:rPr>
          <w:rFonts w:ascii="Arial" w:hAnsi="Arial" w:cs="Arial"/>
          <w:sz w:val="24"/>
          <w:szCs w:val="24"/>
        </w:rPr>
        <w:t>(section 16 of the Tender Act).</w:t>
      </w:r>
      <w:r w:rsidR="00F5723B">
        <w:rPr>
          <w:rFonts w:ascii="Arial" w:hAnsi="Arial" w:cs="Arial"/>
          <w:sz w:val="24"/>
          <w:szCs w:val="24"/>
        </w:rPr>
        <w:t xml:space="preserve"> They have, however, been unsuccessful in relation </w:t>
      </w:r>
      <w:r w:rsidR="002B2080">
        <w:rPr>
          <w:rFonts w:ascii="Arial" w:hAnsi="Arial" w:cs="Arial"/>
          <w:sz w:val="24"/>
          <w:szCs w:val="24"/>
        </w:rPr>
        <w:t>to the ancillary relief sought.</w:t>
      </w:r>
      <w:r w:rsidR="00F5723B">
        <w:rPr>
          <w:rFonts w:ascii="Arial" w:hAnsi="Arial" w:cs="Arial"/>
          <w:sz w:val="24"/>
          <w:szCs w:val="24"/>
        </w:rPr>
        <w:t xml:space="preserve"> Even so</w:t>
      </w:r>
      <w:r w:rsidR="00986B44">
        <w:rPr>
          <w:rFonts w:ascii="Arial" w:hAnsi="Arial" w:cs="Arial"/>
          <w:sz w:val="24"/>
          <w:szCs w:val="24"/>
        </w:rPr>
        <w:t xml:space="preserve">, </w:t>
      </w:r>
      <w:r w:rsidR="00F5723B">
        <w:rPr>
          <w:rFonts w:ascii="Arial" w:hAnsi="Arial" w:cs="Arial"/>
          <w:sz w:val="24"/>
          <w:szCs w:val="24"/>
        </w:rPr>
        <w:t>I would order the Government respondents to pay the</w:t>
      </w:r>
      <w:r w:rsidR="00986B44">
        <w:rPr>
          <w:rFonts w:ascii="Arial" w:hAnsi="Arial" w:cs="Arial"/>
          <w:sz w:val="24"/>
          <w:szCs w:val="24"/>
        </w:rPr>
        <w:t xml:space="preserve"> appellants’</w:t>
      </w:r>
      <w:r w:rsidR="00F5723B">
        <w:rPr>
          <w:rFonts w:ascii="Arial" w:hAnsi="Arial" w:cs="Arial"/>
          <w:sz w:val="24"/>
          <w:szCs w:val="24"/>
        </w:rPr>
        <w:t xml:space="preserve"> costs in th</w:t>
      </w:r>
      <w:r w:rsidR="002B2080">
        <w:rPr>
          <w:rFonts w:ascii="Arial" w:hAnsi="Arial" w:cs="Arial"/>
          <w:sz w:val="24"/>
          <w:szCs w:val="24"/>
        </w:rPr>
        <w:t xml:space="preserve">is </w:t>
      </w:r>
      <w:r w:rsidR="00662971">
        <w:rPr>
          <w:rFonts w:ascii="Arial" w:hAnsi="Arial" w:cs="Arial"/>
          <w:sz w:val="24"/>
          <w:szCs w:val="24"/>
        </w:rPr>
        <w:t>Court</w:t>
      </w:r>
      <w:r w:rsidR="002B2080">
        <w:rPr>
          <w:rFonts w:ascii="Arial" w:hAnsi="Arial" w:cs="Arial"/>
          <w:sz w:val="24"/>
          <w:szCs w:val="24"/>
        </w:rPr>
        <w:t xml:space="preserve"> and in the High </w:t>
      </w:r>
      <w:r w:rsidR="00662971">
        <w:rPr>
          <w:rFonts w:ascii="Arial" w:hAnsi="Arial" w:cs="Arial"/>
          <w:sz w:val="24"/>
          <w:szCs w:val="24"/>
        </w:rPr>
        <w:t>Court</w:t>
      </w:r>
      <w:r w:rsidR="002B2080">
        <w:rPr>
          <w:rFonts w:ascii="Arial" w:hAnsi="Arial" w:cs="Arial"/>
          <w:sz w:val="24"/>
          <w:szCs w:val="24"/>
        </w:rPr>
        <w:t>.</w:t>
      </w:r>
      <w:r w:rsidR="00ED32C6">
        <w:rPr>
          <w:rFonts w:ascii="Arial" w:hAnsi="Arial" w:cs="Arial"/>
          <w:sz w:val="24"/>
          <w:szCs w:val="24"/>
        </w:rPr>
        <w:t xml:space="preserve"> Th</w:t>
      </w:r>
      <w:r w:rsidR="00986B44">
        <w:rPr>
          <w:rFonts w:ascii="Arial" w:hAnsi="Arial" w:cs="Arial"/>
          <w:sz w:val="24"/>
          <w:szCs w:val="24"/>
        </w:rPr>
        <w:t>is is particularly so because</w:t>
      </w:r>
      <w:r w:rsidR="006518FA">
        <w:rPr>
          <w:rFonts w:ascii="Arial" w:hAnsi="Arial" w:cs="Arial"/>
          <w:sz w:val="24"/>
          <w:szCs w:val="24"/>
        </w:rPr>
        <w:t xml:space="preserve"> of</w:t>
      </w:r>
      <w:r w:rsidR="00986B44">
        <w:rPr>
          <w:rFonts w:ascii="Arial" w:hAnsi="Arial" w:cs="Arial"/>
          <w:sz w:val="24"/>
          <w:szCs w:val="24"/>
        </w:rPr>
        <w:t xml:space="preserve"> th</w:t>
      </w:r>
      <w:r w:rsidR="00ED32C6">
        <w:rPr>
          <w:rFonts w:ascii="Arial" w:hAnsi="Arial" w:cs="Arial"/>
          <w:sz w:val="24"/>
          <w:szCs w:val="24"/>
        </w:rPr>
        <w:t xml:space="preserve">e </w:t>
      </w:r>
      <w:r w:rsidR="00986B44">
        <w:rPr>
          <w:rFonts w:ascii="Arial" w:hAnsi="Arial" w:cs="Arial"/>
          <w:sz w:val="24"/>
          <w:szCs w:val="24"/>
        </w:rPr>
        <w:t>posture of the State</w:t>
      </w:r>
      <w:r w:rsidR="006518FA">
        <w:rPr>
          <w:rFonts w:ascii="Arial" w:hAnsi="Arial" w:cs="Arial"/>
          <w:sz w:val="24"/>
          <w:szCs w:val="24"/>
        </w:rPr>
        <w:t>,</w:t>
      </w:r>
      <w:r w:rsidR="00924F11">
        <w:rPr>
          <w:rFonts w:ascii="Arial" w:hAnsi="Arial" w:cs="Arial"/>
          <w:sz w:val="24"/>
          <w:szCs w:val="24"/>
        </w:rPr>
        <w:t xml:space="preserve"> </w:t>
      </w:r>
      <w:r w:rsidR="00662971">
        <w:rPr>
          <w:rFonts w:ascii="Arial" w:hAnsi="Arial" w:cs="Arial"/>
          <w:sz w:val="24"/>
          <w:szCs w:val="24"/>
        </w:rPr>
        <w:t>not approaching a Court</w:t>
      </w:r>
      <w:r w:rsidR="00986B44">
        <w:rPr>
          <w:rFonts w:ascii="Arial" w:hAnsi="Arial" w:cs="Arial"/>
          <w:sz w:val="24"/>
          <w:szCs w:val="24"/>
        </w:rPr>
        <w:t xml:space="preserve"> for review and setting aside the tender and the impugned decision to cancel when the allegations of corruption surfaced</w:t>
      </w:r>
      <w:r w:rsidR="00924F11">
        <w:rPr>
          <w:rFonts w:ascii="Arial" w:hAnsi="Arial" w:cs="Arial"/>
          <w:sz w:val="24"/>
          <w:szCs w:val="24"/>
        </w:rPr>
        <w:t xml:space="preserve"> </w:t>
      </w:r>
      <w:r w:rsidR="00986B44">
        <w:rPr>
          <w:rFonts w:ascii="Arial" w:hAnsi="Arial" w:cs="Arial"/>
          <w:sz w:val="24"/>
          <w:szCs w:val="24"/>
        </w:rPr>
        <w:t xml:space="preserve">is not insignificant. Instead of approaching a </w:t>
      </w:r>
      <w:r w:rsidR="00662971">
        <w:rPr>
          <w:rFonts w:ascii="Arial" w:hAnsi="Arial" w:cs="Arial"/>
          <w:sz w:val="24"/>
          <w:szCs w:val="24"/>
        </w:rPr>
        <w:t>Court</w:t>
      </w:r>
      <w:r w:rsidR="00986B44">
        <w:rPr>
          <w:rFonts w:ascii="Arial" w:hAnsi="Arial" w:cs="Arial"/>
          <w:sz w:val="24"/>
          <w:szCs w:val="24"/>
        </w:rPr>
        <w:t xml:space="preserve">, </w:t>
      </w:r>
      <w:r w:rsidR="00986B44">
        <w:rPr>
          <w:rFonts w:ascii="Arial" w:hAnsi="Arial" w:cs="Arial"/>
          <w:sz w:val="24"/>
          <w:szCs w:val="24"/>
        </w:rPr>
        <w:lastRenderedPageBreak/>
        <w:t xml:space="preserve">the State (through </w:t>
      </w:r>
      <w:r w:rsidR="00F102DE">
        <w:rPr>
          <w:rFonts w:ascii="Arial" w:hAnsi="Arial" w:cs="Arial"/>
          <w:sz w:val="24"/>
          <w:szCs w:val="24"/>
        </w:rPr>
        <w:t>its agency</w:t>
      </w:r>
      <w:r w:rsidR="002B2080">
        <w:rPr>
          <w:rFonts w:ascii="Arial" w:hAnsi="Arial" w:cs="Arial"/>
          <w:sz w:val="24"/>
          <w:szCs w:val="24"/>
        </w:rPr>
        <w:t xml:space="preserve"> </w:t>
      </w:r>
      <w:r w:rsidR="00F102DE">
        <w:rPr>
          <w:rFonts w:ascii="Arial" w:hAnsi="Arial" w:cs="Arial"/>
          <w:sz w:val="24"/>
          <w:szCs w:val="24"/>
        </w:rPr>
        <w:t xml:space="preserve">- </w:t>
      </w:r>
      <w:r w:rsidR="00986B44">
        <w:rPr>
          <w:rFonts w:ascii="Arial" w:hAnsi="Arial" w:cs="Arial"/>
          <w:sz w:val="24"/>
          <w:szCs w:val="24"/>
        </w:rPr>
        <w:t>the Board</w:t>
      </w:r>
      <w:r w:rsidR="00F102DE">
        <w:rPr>
          <w:rFonts w:ascii="Arial" w:hAnsi="Arial" w:cs="Arial"/>
          <w:sz w:val="24"/>
          <w:szCs w:val="24"/>
        </w:rPr>
        <w:t xml:space="preserve"> which discharged its administrative function by awarding the tenders</w:t>
      </w:r>
      <w:r w:rsidR="00BD15B6">
        <w:rPr>
          <w:rFonts w:ascii="Arial" w:hAnsi="Arial" w:cs="Arial"/>
          <w:sz w:val="24"/>
          <w:szCs w:val="24"/>
        </w:rPr>
        <w:t>)</w:t>
      </w:r>
      <w:r w:rsidR="00F102DE">
        <w:rPr>
          <w:rFonts w:ascii="Arial" w:hAnsi="Arial" w:cs="Arial"/>
          <w:sz w:val="24"/>
          <w:szCs w:val="24"/>
        </w:rPr>
        <w:t xml:space="preserve"> </w:t>
      </w:r>
      <w:r w:rsidR="00BD15B6">
        <w:rPr>
          <w:rFonts w:ascii="Arial" w:hAnsi="Arial" w:cs="Arial"/>
          <w:sz w:val="24"/>
          <w:szCs w:val="24"/>
        </w:rPr>
        <w:t>may not, in law,</w:t>
      </w:r>
      <w:r w:rsidR="00F102DE">
        <w:rPr>
          <w:rFonts w:ascii="Arial" w:hAnsi="Arial" w:cs="Arial"/>
          <w:sz w:val="24"/>
          <w:szCs w:val="24"/>
        </w:rPr>
        <w:t xml:space="preserve"> ha</w:t>
      </w:r>
      <w:r w:rsidR="00BD15B6">
        <w:rPr>
          <w:rFonts w:ascii="Arial" w:hAnsi="Arial" w:cs="Arial"/>
          <w:sz w:val="24"/>
          <w:szCs w:val="24"/>
        </w:rPr>
        <w:t xml:space="preserve">ve </w:t>
      </w:r>
      <w:r w:rsidR="00F102DE">
        <w:rPr>
          <w:rFonts w:ascii="Arial" w:hAnsi="Arial" w:cs="Arial"/>
          <w:sz w:val="24"/>
          <w:szCs w:val="24"/>
        </w:rPr>
        <w:t xml:space="preserve">revoked </w:t>
      </w:r>
      <w:r w:rsidR="00BD15B6">
        <w:rPr>
          <w:rFonts w:ascii="Arial" w:hAnsi="Arial" w:cs="Arial"/>
          <w:sz w:val="24"/>
          <w:szCs w:val="24"/>
        </w:rPr>
        <w:t xml:space="preserve">its own </w:t>
      </w:r>
      <w:r w:rsidR="00F102DE">
        <w:rPr>
          <w:rFonts w:ascii="Arial" w:hAnsi="Arial" w:cs="Arial"/>
          <w:sz w:val="24"/>
          <w:szCs w:val="24"/>
        </w:rPr>
        <w:t>decision</w:t>
      </w:r>
      <w:r w:rsidR="00BD15B6">
        <w:rPr>
          <w:rFonts w:ascii="Arial" w:hAnsi="Arial" w:cs="Arial"/>
          <w:sz w:val="24"/>
          <w:szCs w:val="24"/>
        </w:rPr>
        <w:t>.</w:t>
      </w:r>
      <w:r w:rsidR="002B2080">
        <w:rPr>
          <w:rFonts w:ascii="Arial" w:hAnsi="Arial" w:cs="Arial"/>
          <w:sz w:val="24"/>
          <w:szCs w:val="24"/>
        </w:rPr>
        <w:t xml:space="preserve"> </w:t>
      </w:r>
    </w:p>
    <w:p w:rsidR="00F5723B" w:rsidRPr="00F5723B" w:rsidRDefault="00F5723B" w:rsidP="00F5723B">
      <w:pPr>
        <w:pStyle w:val="NoSpacing"/>
        <w:spacing w:line="480" w:lineRule="auto"/>
        <w:jc w:val="both"/>
        <w:rPr>
          <w:rFonts w:ascii="Arial" w:hAnsi="Arial" w:cs="Arial"/>
          <w:sz w:val="24"/>
          <w:szCs w:val="24"/>
        </w:rPr>
      </w:pPr>
    </w:p>
    <w:p w:rsidR="00B07F41" w:rsidRPr="006365CF" w:rsidRDefault="00136E4B" w:rsidP="006365C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 xml:space="preserve">The </w:t>
      </w:r>
      <w:r w:rsidR="001C4983">
        <w:rPr>
          <w:rFonts w:ascii="Arial" w:hAnsi="Arial" w:cs="Arial"/>
          <w:sz w:val="24"/>
          <w:szCs w:val="24"/>
        </w:rPr>
        <w:t xml:space="preserve">ancillary </w:t>
      </w:r>
      <w:r w:rsidR="00A838A3">
        <w:rPr>
          <w:rFonts w:ascii="Arial" w:hAnsi="Arial" w:cs="Arial"/>
          <w:sz w:val="24"/>
          <w:szCs w:val="24"/>
        </w:rPr>
        <w:t xml:space="preserve">relief </w:t>
      </w:r>
      <w:r>
        <w:rPr>
          <w:rFonts w:ascii="Arial" w:hAnsi="Arial" w:cs="Arial"/>
          <w:sz w:val="24"/>
          <w:szCs w:val="24"/>
        </w:rPr>
        <w:t xml:space="preserve">sought </w:t>
      </w:r>
      <w:r w:rsidR="001C4983">
        <w:rPr>
          <w:rFonts w:ascii="Arial" w:hAnsi="Arial" w:cs="Arial"/>
          <w:sz w:val="24"/>
          <w:szCs w:val="24"/>
        </w:rPr>
        <w:t xml:space="preserve">has </w:t>
      </w:r>
      <w:r>
        <w:rPr>
          <w:rFonts w:ascii="Arial" w:hAnsi="Arial" w:cs="Arial"/>
          <w:sz w:val="24"/>
          <w:szCs w:val="24"/>
        </w:rPr>
        <w:t xml:space="preserve">been </w:t>
      </w:r>
      <w:r w:rsidR="00C302CE">
        <w:rPr>
          <w:rFonts w:ascii="Arial" w:hAnsi="Arial" w:cs="Arial"/>
          <w:sz w:val="24"/>
          <w:szCs w:val="24"/>
        </w:rPr>
        <w:t>successfully o</w:t>
      </w:r>
      <w:r w:rsidR="00A838A3">
        <w:rPr>
          <w:rFonts w:ascii="Arial" w:hAnsi="Arial" w:cs="Arial"/>
          <w:sz w:val="24"/>
          <w:szCs w:val="24"/>
        </w:rPr>
        <w:t xml:space="preserve">pposed by </w:t>
      </w:r>
      <w:r w:rsidR="00BE6F5A">
        <w:rPr>
          <w:rFonts w:ascii="Arial" w:hAnsi="Arial" w:cs="Arial"/>
          <w:sz w:val="24"/>
          <w:szCs w:val="24"/>
        </w:rPr>
        <w:t xml:space="preserve">the Government and </w:t>
      </w:r>
      <w:r w:rsidR="002B2080">
        <w:rPr>
          <w:rFonts w:ascii="Arial" w:hAnsi="Arial" w:cs="Arial"/>
          <w:sz w:val="24"/>
          <w:szCs w:val="24"/>
        </w:rPr>
        <w:t xml:space="preserve">further </w:t>
      </w:r>
      <w:r w:rsidR="001C4983">
        <w:rPr>
          <w:rFonts w:ascii="Arial" w:hAnsi="Arial" w:cs="Arial"/>
          <w:sz w:val="24"/>
          <w:szCs w:val="24"/>
        </w:rPr>
        <w:t>respondent</w:t>
      </w:r>
      <w:r w:rsidR="00CD385C">
        <w:rPr>
          <w:rFonts w:ascii="Arial" w:hAnsi="Arial" w:cs="Arial"/>
          <w:sz w:val="24"/>
          <w:szCs w:val="24"/>
        </w:rPr>
        <w:t>s</w:t>
      </w:r>
      <w:r w:rsidR="001C4983">
        <w:rPr>
          <w:rFonts w:ascii="Arial" w:hAnsi="Arial" w:cs="Arial"/>
          <w:sz w:val="24"/>
          <w:szCs w:val="24"/>
        </w:rPr>
        <w:t xml:space="preserve"> (non-governmental</w:t>
      </w:r>
      <w:r w:rsidR="00A838A3">
        <w:rPr>
          <w:rFonts w:ascii="Arial" w:hAnsi="Arial" w:cs="Arial"/>
          <w:sz w:val="24"/>
          <w:szCs w:val="24"/>
        </w:rPr>
        <w:t xml:space="preserve"> respondents</w:t>
      </w:r>
      <w:r w:rsidR="001C4983">
        <w:rPr>
          <w:rFonts w:ascii="Arial" w:hAnsi="Arial" w:cs="Arial"/>
          <w:sz w:val="24"/>
          <w:szCs w:val="24"/>
        </w:rPr>
        <w:t>)</w:t>
      </w:r>
      <w:r w:rsidR="00A838A3">
        <w:rPr>
          <w:rFonts w:ascii="Arial" w:hAnsi="Arial" w:cs="Arial"/>
          <w:sz w:val="24"/>
          <w:szCs w:val="24"/>
        </w:rPr>
        <w:t>. In my view, the appellants should pay the</w:t>
      </w:r>
      <w:r>
        <w:rPr>
          <w:rFonts w:ascii="Arial" w:hAnsi="Arial" w:cs="Arial"/>
          <w:sz w:val="24"/>
          <w:szCs w:val="24"/>
        </w:rPr>
        <w:t xml:space="preserve"> costs of the </w:t>
      </w:r>
      <w:r w:rsidR="001C4983">
        <w:rPr>
          <w:rFonts w:ascii="Arial" w:hAnsi="Arial" w:cs="Arial"/>
          <w:sz w:val="24"/>
          <w:szCs w:val="24"/>
        </w:rPr>
        <w:t xml:space="preserve">further respondent </w:t>
      </w:r>
      <w:r w:rsidR="00A838A3">
        <w:rPr>
          <w:rFonts w:ascii="Arial" w:hAnsi="Arial" w:cs="Arial"/>
          <w:sz w:val="24"/>
          <w:szCs w:val="24"/>
        </w:rPr>
        <w:t xml:space="preserve">in opposing the appeal </w:t>
      </w:r>
      <w:r>
        <w:rPr>
          <w:rFonts w:ascii="Arial" w:hAnsi="Arial" w:cs="Arial"/>
          <w:sz w:val="24"/>
          <w:szCs w:val="24"/>
        </w:rPr>
        <w:t xml:space="preserve">regarding </w:t>
      </w:r>
      <w:r w:rsidR="00E33584">
        <w:rPr>
          <w:rFonts w:ascii="Arial" w:hAnsi="Arial" w:cs="Arial"/>
          <w:sz w:val="24"/>
          <w:szCs w:val="24"/>
        </w:rPr>
        <w:t>further relief.</w:t>
      </w:r>
      <w:r w:rsidR="00C302CE">
        <w:rPr>
          <w:rFonts w:ascii="Arial" w:hAnsi="Arial" w:cs="Arial"/>
          <w:sz w:val="24"/>
          <w:szCs w:val="24"/>
        </w:rPr>
        <w:t xml:space="preserve"> </w:t>
      </w:r>
    </w:p>
    <w:p w:rsidR="00441616" w:rsidRPr="00F5723B" w:rsidRDefault="00441616" w:rsidP="006365CF">
      <w:pPr>
        <w:pStyle w:val="NoSpacing"/>
        <w:spacing w:line="480" w:lineRule="auto"/>
        <w:jc w:val="both"/>
        <w:rPr>
          <w:rFonts w:ascii="Arial" w:hAnsi="Arial" w:cs="Arial"/>
          <w:sz w:val="24"/>
          <w:szCs w:val="24"/>
        </w:rPr>
      </w:pPr>
    </w:p>
    <w:p w:rsidR="0062125D" w:rsidRPr="00127B6A" w:rsidRDefault="002C1605" w:rsidP="0062125D">
      <w:pPr>
        <w:pStyle w:val="NoSpacing"/>
        <w:spacing w:line="480" w:lineRule="auto"/>
        <w:jc w:val="both"/>
        <w:rPr>
          <w:rFonts w:ascii="Arial" w:hAnsi="Arial" w:cs="Arial"/>
          <w:i/>
          <w:sz w:val="24"/>
          <w:szCs w:val="24"/>
        </w:rPr>
      </w:pPr>
      <w:r w:rsidRPr="00127B6A">
        <w:rPr>
          <w:rFonts w:ascii="Arial" w:hAnsi="Arial" w:cs="Arial"/>
          <w:i/>
          <w:sz w:val="24"/>
          <w:szCs w:val="24"/>
        </w:rPr>
        <w:t>Condonation</w:t>
      </w:r>
    </w:p>
    <w:p w:rsidR="005C3AF0" w:rsidRPr="00127B6A" w:rsidRDefault="0062125D" w:rsidP="00577467">
      <w:pPr>
        <w:pStyle w:val="NoSpacing"/>
        <w:numPr>
          <w:ilvl w:val="0"/>
          <w:numId w:val="16"/>
        </w:numPr>
        <w:spacing w:line="480" w:lineRule="auto"/>
        <w:ind w:left="0" w:firstLine="0"/>
        <w:jc w:val="both"/>
        <w:rPr>
          <w:rFonts w:ascii="Arial" w:hAnsi="Arial" w:cs="Arial"/>
          <w:sz w:val="24"/>
          <w:szCs w:val="24"/>
        </w:rPr>
      </w:pPr>
      <w:r w:rsidRPr="0062125D">
        <w:rPr>
          <w:rFonts w:ascii="Arial" w:hAnsi="Arial" w:cs="Arial"/>
          <w:sz w:val="24"/>
          <w:szCs w:val="24"/>
        </w:rPr>
        <w:t>The appellant</w:t>
      </w:r>
      <w:r w:rsidR="00D4538D">
        <w:rPr>
          <w:rFonts w:ascii="Arial" w:hAnsi="Arial" w:cs="Arial"/>
          <w:sz w:val="24"/>
          <w:szCs w:val="24"/>
        </w:rPr>
        <w:t>s’ heads of argument were filed out of the prescribe</w:t>
      </w:r>
      <w:r w:rsidR="002B2080">
        <w:rPr>
          <w:rFonts w:ascii="Arial" w:hAnsi="Arial" w:cs="Arial"/>
          <w:sz w:val="24"/>
          <w:szCs w:val="24"/>
        </w:rPr>
        <w:t xml:space="preserve">d period in terms of the </w:t>
      </w:r>
      <w:r w:rsidR="00DA66A0">
        <w:rPr>
          <w:rFonts w:ascii="Arial" w:hAnsi="Arial" w:cs="Arial"/>
          <w:sz w:val="24"/>
          <w:szCs w:val="24"/>
        </w:rPr>
        <w:t>R</w:t>
      </w:r>
      <w:r w:rsidR="002B2080">
        <w:rPr>
          <w:rFonts w:ascii="Arial" w:hAnsi="Arial" w:cs="Arial"/>
          <w:sz w:val="24"/>
          <w:szCs w:val="24"/>
        </w:rPr>
        <w:t>ules</w:t>
      </w:r>
      <w:r w:rsidR="00DA66A0">
        <w:rPr>
          <w:rFonts w:ascii="Arial" w:hAnsi="Arial" w:cs="Arial"/>
          <w:sz w:val="24"/>
          <w:szCs w:val="24"/>
        </w:rPr>
        <w:t xml:space="preserve"> of this </w:t>
      </w:r>
      <w:r w:rsidR="00662971">
        <w:rPr>
          <w:rFonts w:ascii="Arial" w:hAnsi="Arial" w:cs="Arial"/>
          <w:sz w:val="24"/>
          <w:szCs w:val="24"/>
        </w:rPr>
        <w:t>Court</w:t>
      </w:r>
      <w:r w:rsidR="002B2080">
        <w:rPr>
          <w:rFonts w:ascii="Arial" w:hAnsi="Arial" w:cs="Arial"/>
          <w:sz w:val="24"/>
          <w:szCs w:val="24"/>
        </w:rPr>
        <w:t>.</w:t>
      </w:r>
      <w:r w:rsidR="00BE6F5A">
        <w:rPr>
          <w:rFonts w:ascii="Arial" w:hAnsi="Arial" w:cs="Arial"/>
          <w:sz w:val="24"/>
          <w:szCs w:val="24"/>
        </w:rPr>
        <w:t xml:space="preserve"> </w:t>
      </w:r>
      <w:r w:rsidR="00D4538D">
        <w:rPr>
          <w:rFonts w:ascii="Arial" w:hAnsi="Arial" w:cs="Arial"/>
          <w:sz w:val="24"/>
          <w:szCs w:val="24"/>
        </w:rPr>
        <w:t xml:space="preserve">They therefore </w:t>
      </w:r>
      <w:r w:rsidRPr="0062125D">
        <w:rPr>
          <w:rFonts w:ascii="Arial" w:hAnsi="Arial" w:cs="Arial"/>
          <w:sz w:val="24"/>
          <w:szCs w:val="24"/>
        </w:rPr>
        <w:t xml:space="preserve">sought condonation for the late filing of </w:t>
      </w:r>
      <w:r w:rsidR="00D4538D">
        <w:rPr>
          <w:rFonts w:ascii="Arial" w:hAnsi="Arial" w:cs="Arial"/>
          <w:sz w:val="24"/>
          <w:szCs w:val="24"/>
        </w:rPr>
        <w:t>their heads</w:t>
      </w:r>
      <w:r w:rsidRPr="0062125D">
        <w:rPr>
          <w:rFonts w:ascii="Arial" w:hAnsi="Arial" w:cs="Arial"/>
          <w:sz w:val="24"/>
          <w:szCs w:val="24"/>
        </w:rPr>
        <w:t xml:space="preserve">. </w:t>
      </w:r>
      <w:r w:rsidR="002B2080">
        <w:rPr>
          <w:rFonts w:ascii="Arial" w:hAnsi="Arial" w:cs="Arial"/>
          <w:sz w:val="24"/>
          <w:szCs w:val="24"/>
        </w:rPr>
        <w:t>The application is not opposed.</w:t>
      </w:r>
      <w:r w:rsidRPr="0062125D">
        <w:rPr>
          <w:rFonts w:ascii="Arial" w:hAnsi="Arial" w:cs="Arial"/>
          <w:sz w:val="24"/>
          <w:szCs w:val="24"/>
        </w:rPr>
        <w:t xml:space="preserve"> </w:t>
      </w:r>
      <w:r w:rsidR="00BE6F5A">
        <w:rPr>
          <w:rFonts w:ascii="Arial" w:hAnsi="Arial" w:cs="Arial"/>
          <w:sz w:val="24"/>
          <w:szCs w:val="24"/>
        </w:rPr>
        <w:t>I am satisfied that a</w:t>
      </w:r>
      <w:r w:rsidRPr="0062125D">
        <w:rPr>
          <w:rFonts w:ascii="Arial" w:hAnsi="Arial" w:cs="Arial"/>
          <w:sz w:val="24"/>
          <w:szCs w:val="24"/>
        </w:rPr>
        <w:t xml:space="preserve"> case has been made out for condoning the delayed lodgement</w:t>
      </w:r>
      <w:r w:rsidR="00D4538D">
        <w:rPr>
          <w:rFonts w:ascii="Arial" w:hAnsi="Arial" w:cs="Arial"/>
          <w:sz w:val="24"/>
          <w:szCs w:val="24"/>
        </w:rPr>
        <w:t>.</w:t>
      </w:r>
      <w:r w:rsidRPr="0062125D">
        <w:rPr>
          <w:rFonts w:ascii="Arial" w:hAnsi="Arial" w:cs="Arial"/>
          <w:sz w:val="24"/>
          <w:szCs w:val="24"/>
        </w:rPr>
        <w:t xml:space="preserve"> I would </w:t>
      </w:r>
      <w:r w:rsidR="00D4538D">
        <w:rPr>
          <w:rFonts w:ascii="Arial" w:hAnsi="Arial" w:cs="Arial"/>
          <w:sz w:val="24"/>
          <w:szCs w:val="24"/>
        </w:rPr>
        <w:t xml:space="preserve">thus </w:t>
      </w:r>
      <w:r w:rsidRPr="0062125D">
        <w:rPr>
          <w:rFonts w:ascii="Arial" w:hAnsi="Arial" w:cs="Arial"/>
          <w:sz w:val="24"/>
          <w:szCs w:val="24"/>
        </w:rPr>
        <w:t xml:space="preserve">condone the delayed filing. </w:t>
      </w:r>
    </w:p>
    <w:p w:rsidR="005C3AF0" w:rsidRDefault="005C3AF0" w:rsidP="00577467">
      <w:pPr>
        <w:pStyle w:val="NoSpacing"/>
        <w:spacing w:line="480" w:lineRule="auto"/>
        <w:jc w:val="both"/>
        <w:rPr>
          <w:rFonts w:ascii="Arial" w:hAnsi="Arial" w:cs="Arial"/>
          <w:sz w:val="24"/>
          <w:szCs w:val="24"/>
        </w:rPr>
      </w:pPr>
    </w:p>
    <w:p w:rsidR="002B398E" w:rsidRPr="00127B6A" w:rsidRDefault="002B398E" w:rsidP="002B398E">
      <w:pPr>
        <w:pStyle w:val="NoSpacing"/>
        <w:spacing w:line="480" w:lineRule="auto"/>
        <w:jc w:val="both"/>
        <w:rPr>
          <w:rFonts w:ascii="Arial" w:hAnsi="Arial" w:cs="Arial"/>
          <w:i/>
          <w:sz w:val="24"/>
          <w:szCs w:val="24"/>
        </w:rPr>
      </w:pPr>
      <w:r w:rsidRPr="00127B6A">
        <w:rPr>
          <w:rFonts w:ascii="Arial" w:hAnsi="Arial" w:cs="Arial"/>
          <w:i/>
          <w:sz w:val="24"/>
          <w:szCs w:val="24"/>
        </w:rPr>
        <w:t xml:space="preserve">Effect of the </w:t>
      </w:r>
      <w:r w:rsidR="00EB0F34" w:rsidRPr="00127B6A">
        <w:rPr>
          <w:rFonts w:ascii="Arial" w:hAnsi="Arial" w:cs="Arial"/>
          <w:i/>
          <w:sz w:val="24"/>
          <w:szCs w:val="24"/>
        </w:rPr>
        <w:t>New Procurement Act</w:t>
      </w:r>
    </w:p>
    <w:p w:rsidR="005D56EA" w:rsidRDefault="00075F4A" w:rsidP="00662971">
      <w:pPr>
        <w:pStyle w:val="NoSpacing"/>
        <w:numPr>
          <w:ilvl w:val="0"/>
          <w:numId w:val="16"/>
        </w:numPr>
        <w:spacing w:line="480" w:lineRule="auto"/>
        <w:ind w:left="0" w:firstLine="0"/>
        <w:jc w:val="both"/>
        <w:rPr>
          <w:rFonts w:ascii="Arial" w:hAnsi="Arial" w:cs="Arial"/>
          <w:sz w:val="24"/>
          <w:szCs w:val="24"/>
        </w:rPr>
      </w:pPr>
      <w:r w:rsidRPr="001E5DBF">
        <w:rPr>
          <w:rFonts w:ascii="Arial" w:hAnsi="Arial" w:cs="Arial"/>
          <w:sz w:val="24"/>
          <w:szCs w:val="24"/>
        </w:rPr>
        <w:t xml:space="preserve">Belatedly during oral argument and, supposedly, as </w:t>
      </w:r>
      <w:r w:rsidR="00EB0F34" w:rsidRPr="001E5DBF">
        <w:rPr>
          <w:rFonts w:ascii="Arial" w:hAnsi="Arial" w:cs="Arial"/>
          <w:sz w:val="24"/>
          <w:szCs w:val="24"/>
        </w:rPr>
        <w:t>an afterthought the</w:t>
      </w:r>
      <w:r w:rsidRPr="001E5DBF">
        <w:rPr>
          <w:rFonts w:ascii="Arial" w:hAnsi="Arial" w:cs="Arial"/>
          <w:sz w:val="24"/>
          <w:szCs w:val="24"/>
        </w:rPr>
        <w:t xml:space="preserve"> Government respondents urged this </w:t>
      </w:r>
      <w:r w:rsidR="00662971">
        <w:rPr>
          <w:rFonts w:ascii="Arial" w:hAnsi="Arial" w:cs="Arial"/>
          <w:sz w:val="24"/>
          <w:szCs w:val="24"/>
        </w:rPr>
        <w:t>Court</w:t>
      </w:r>
      <w:r w:rsidR="00EB0F34" w:rsidRPr="001E5DBF">
        <w:rPr>
          <w:rFonts w:ascii="Arial" w:hAnsi="Arial" w:cs="Arial"/>
          <w:sz w:val="24"/>
          <w:szCs w:val="24"/>
        </w:rPr>
        <w:t xml:space="preserve"> to consider the Public Procurement Act</w:t>
      </w:r>
      <w:r w:rsidR="00924136">
        <w:rPr>
          <w:rFonts w:ascii="Arial" w:hAnsi="Arial" w:cs="Arial"/>
          <w:sz w:val="24"/>
          <w:szCs w:val="24"/>
        </w:rPr>
        <w:t>,</w:t>
      </w:r>
      <w:r w:rsidR="00EB0F34">
        <w:rPr>
          <w:rStyle w:val="FootnoteReference"/>
          <w:rFonts w:ascii="Arial" w:hAnsi="Arial" w:cs="Arial"/>
          <w:sz w:val="24"/>
          <w:szCs w:val="24"/>
        </w:rPr>
        <w:footnoteReference w:id="60"/>
      </w:r>
      <w:r w:rsidR="00AA374C">
        <w:rPr>
          <w:rFonts w:ascii="Arial" w:hAnsi="Arial" w:cs="Arial"/>
          <w:sz w:val="24"/>
          <w:szCs w:val="24"/>
        </w:rPr>
        <w:t xml:space="preserve"> </w:t>
      </w:r>
      <w:r w:rsidRPr="001E5DBF">
        <w:rPr>
          <w:rFonts w:ascii="Arial" w:hAnsi="Arial" w:cs="Arial"/>
          <w:sz w:val="24"/>
          <w:szCs w:val="24"/>
        </w:rPr>
        <w:t>(n</w:t>
      </w:r>
      <w:r w:rsidR="00EB0F34" w:rsidRPr="001E5DBF">
        <w:rPr>
          <w:rFonts w:ascii="Arial" w:hAnsi="Arial" w:cs="Arial"/>
          <w:sz w:val="24"/>
          <w:szCs w:val="24"/>
        </w:rPr>
        <w:t>ew Procurement Act) which came into effect from 1 Ap</w:t>
      </w:r>
      <w:r w:rsidR="00FD7BAE">
        <w:rPr>
          <w:rFonts w:ascii="Arial" w:hAnsi="Arial" w:cs="Arial"/>
          <w:sz w:val="24"/>
          <w:szCs w:val="24"/>
        </w:rPr>
        <w:t>ril 2017.</w:t>
      </w:r>
      <w:r w:rsidRPr="001E5DBF">
        <w:rPr>
          <w:rFonts w:ascii="Arial" w:hAnsi="Arial" w:cs="Arial"/>
          <w:sz w:val="24"/>
          <w:szCs w:val="24"/>
        </w:rPr>
        <w:t xml:space="preserve"> It is not clear to this </w:t>
      </w:r>
      <w:r w:rsidR="00662971">
        <w:rPr>
          <w:rFonts w:ascii="Arial" w:hAnsi="Arial" w:cs="Arial"/>
          <w:sz w:val="24"/>
          <w:szCs w:val="24"/>
        </w:rPr>
        <w:t>Court</w:t>
      </w:r>
      <w:r w:rsidRPr="001E5DBF">
        <w:rPr>
          <w:rFonts w:ascii="Arial" w:hAnsi="Arial" w:cs="Arial"/>
          <w:sz w:val="24"/>
          <w:szCs w:val="24"/>
        </w:rPr>
        <w:t xml:space="preserve"> why the n</w:t>
      </w:r>
      <w:r w:rsidR="00EB0F34" w:rsidRPr="001E5DBF">
        <w:rPr>
          <w:rFonts w:ascii="Arial" w:hAnsi="Arial" w:cs="Arial"/>
          <w:sz w:val="24"/>
          <w:szCs w:val="24"/>
        </w:rPr>
        <w:t>ew</w:t>
      </w:r>
      <w:r w:rsidRPr="001E5DBF">
        <w:rPr>
          <w:rFonts w:ascii="Arial" w:hAnsi="Arial" w:cs="Arial"/>
          <w:sz w:val="24"/>
          <w:szCs w:val="24"/>
        </w:rPr>
        <w:t xml:space="preserve"> Procurement Act</w:t>
      </w:r>
      <w:r w:rsidR="00EB0F34" w:rsidRPr="001E5DBF">
        <w:rPr>
          <w:rFonts w:ascii="Arial" w:hAnsi="Arial" w:cs="Arial"/>
          <w:sz w:val="24"/>
          <w:szCs w:val="24"/>
        </w:rPr>
        <w:t xml:space="preserve"> was raised at</w:t>
      </w:r>
      <w:r w:rsidRPr="001E5DBF">
        <w:rPr>
          <w:rFonts w:ascii="Arial" w:hAnsi="Arial" w:cs="Arial"/>
          <w:sz w:val="24"/>
          <w:szCs w:val="24"/>
        </w:rPr>
        <w:t xml:space="preserve"> that stage</w:t>
      </w:r>
      <w:r w:rsidR="002B2080" w:rsidRPr="001E5DBF">
        <w:rPr>
          <w:rFonts w:ascii="Arial" w:hAnsi="Arial" w:cs="Arial"/>
          <w:sz w:val="24"/>
          <w:szCs w:val="24"/>
        </w:rPr>
        <w:t>.</w:t>
      </w:r>
      <w:r w:rsidR="00EB0F34" w:rsidRPr="001E5DBF">
        <w:rPr>
          <w:rFonts w:ascii="Arial" w:hAnsi="Arial" w:cs="Arial"/>
          <w:sz w:val="24"/>
          <w:szCs w:val="24"/>
        </w:rPr>
        <w:t xml:space="preserve"> One can only spec</w:t>
      </w:r>
      <w:r w:rsidRPr="001E5DBF">
        <w:rPr>
          <w:rFonts w:ascii="Arial" w:hAnsi="Arial" w:cs="Arial"/>
          <w:sz w:val="24"/>
          <w:szCs w:val="24"/>
        </w:rPr>
        <w:t xml:space="preserve">ulate that they did so in case this </w:t>
      </w:r>
      <w:r w:rsidR="00662971">
        <w:rPr>
          <w:rFonts w:ascii="Arial" w:hAnsi="Arial" w:cs="Arial"/>
          <w:sz w:val="24"/>
          <w:szCs w:val="24"/>
        </w:rPr>
        <w:t>Court</w:t>
      </w:r>
      <w:r w:rsidRPr="001E5DBF">
        <w:rPr>
          <w:rFonts w:ascii="Arial" w:hAnsi="Arial" w:cs="Arial"/>
          <w:sz w:val="24"/>
          <w:szCs w:val="24"/>
        </w:rPr>
        <w:t xml:space="preserve"> was</w:t>
      </w:r>
      <w:r w:rsidR="00EB0F34" w:rsidRPr="001E5DBF">
        <w:rPr>
          <w:rFonts w:ascii="Arial" w:hAnsi="Arial" w:cs="Arial"/>
          <w:sz w:val="24"/>
          <w:szCs w:val="24"/>
        </w:rPr>
        <w:t xml:space="preserve"> minded to grant an order compelling the Board and Ministry to conclude </w:t>
      </w:r>
      <w:r w:rsidRPr="001E5DBF">
        <w:rPr>
          <w:rFonts w:ascii="Arial" w:hAnsi="Arial" w:cs="Arial"/>
          <w:sz w:val="24"/>
          <w:szCs w:val="24"/>
        </w:rPr>
        <w:t>contracts with the appellants</w:t>
      </w:r>
      <w:r w:rsidR="00EB0F34" w:rsidRPr="001E5DBF">
        <w:rPr>
          <w:rFonts w:ascii="Arial" w:hAnsi="Arial" w:cs="Arial"/>
          <w:sz w:val="24"/>
          <w:szCs w:val="24"/>
        </w:rPr>
        <w:t xml:space="preserve">. </w:t>
      </w:r>
      <w:r w:rsidRPr="001E5DBF">
        <w:rPr>
          <w:rFonts w:ascii="Arial" w:hAnsi="Arial" w:cs="Arial"/>
          <w:sz w:val="24"/>
          <w:szCs w:val="24"/>
        </w:rPr>
        <w:t xml:space="preserve">As mentioned </w:t>
      </w:r>
      <w:r w:rsidRPr="001E5DBF">
        <w:rPr>
          <w:rFonts w:ascii="Arial" w:hAnsi="Arial" w:cs="Arial"/>
          <w:sz w:val="24"/>
          <w:szCs w:val="24"/>
        </w:rPr>
        <w:lastRenderedPageBreak/>
        <w:t>above, the appellants have failed to make a case for granting the said further relief.</w:t>
      </w:r>
      <w:r w:rsidR="00EB0F34" w:rsidRPr="001E5DBF">
        <w:rPr>
          <w:rFonts w:ascii="Arial" w:hAnsi="Arial" w:cs="Arial"/>
          <w:sz w:val="24"/>
          <w:szCs w:val="24"/>
        </w:rPr>
        <w:t xml:space="preserve"> It follows that the new </w:t>
      </w:r>
      <w:r w:rsidRPr="001E5DBF">
        <w:rPr>
          <w:rFonts w:ascii="Arial" w:hAnsi="Arial" w:cs="Arial"/>
          <w:sz w:val="24"/>
          <w:szCs w:val="24"/>
        </w:rPr>
        <w:t xml:space="preserve">Procurement Act </w:t>
      </w:r>
      <w:r w:rsidR="00EB0F34" w:rsidRPr="001E5DBF">
        <w:rPr>
          <w:rFonts w:ascii="Arial" w:hAnsi="Arial" w:cs="Arial"/>
          <w:sz w:val="24"/>
          <w:szCs w:val="24"/>
        </w:rPr>
        <w:t>will not</w:t>
      </w:r>
      <w:r w:rsidR="001E5DBF">
        <w:rPr>
          <w:rFonts w:ascii="Arial" w:hAnsi="Arial" w:cs="Arial"/>
          <w:sz w:val="24"/>
          <w:szCs w:val="24"/>
        </w:rPr>
        <w:t>, under the circumstances,</w:t>
      </w:r>
      <w:r w:rsidR="00EB0F34" w:rsidRPr="001E5DBF">
        <w:rPr>
          <w:rFonts w:ascii="Arial" w:hAnsi="Arial" w:cs="Arial"/>
          <w:sz w:val="24"/>
          <w:szCs w:val="24"/>
        </w:rPr>
        <w:t xml:space="preserve"> have any impact save, conceivably, for the substitution of the Board with the Central Procurement Board</w:t>
      </w:r>
      <w:r w:rsidRPr="001E5DBF">
        <w:rPr>
          <w:rFonts w:ascii="Arial" w:hAnsi="Arial" w:cs="Arial"/>
          <w:sz w:val="24"/>
          <w:szCs w:val="24"/>
        </w:rPr>
        <w:t xml:space="preserve"> under </w:t>
      </w:r>
      <w:r w:rsidR="001E5DBF">
        <w:rPr>
          <w:rFonts w:ascii="Arial" w:hAnsi="Arial" w:cs="Arial"/>
          <w:sz w:val="24"/>
          <w:szCs w:val="24"/>
        </w:rPr>
        <w:t>it.</w:t>
      </w:r>
    </w:p>
    <w:p w:rsidR="000641A4" w:rsidRPr="001E5DBF" w:rsidRDefault="000641A4" w:rsidP="00924136">
      <w:pPr>
        <w:pStyle w:val="NoSpacing"/>
        <w:spacing w:line="480" w:lineRule="auto"/>
        <w:jc w:val="both"/>
        <w:rPr>
          <w:rFonts w:ascii="Arial" w:hAnsi="Arial" w:cs="Arial"/>
          <w:sz w:val="24"/>
          <w:szCs w:val="24"/>
        </w:rPr>
      </w:pPr>
    </w:p>
    <w:p w:rsidR="00FC188E" w:rsidRPr="00127B6A" w:rsidRDefault="00DA09C2" w:rsidP="00DA09C2">
      <w:pPr>
        <w:rPr>
          <w:rFonts w:ascii="Arial" w:hAnsi="Arial" w:cs="Arial"/>
          <w:i/>
          <w:sz w:val="24"/>
          <w:szCs w:val="24"/>
        </w:rPr>
      </w:pPr>
      <w:r w:rsidRPr="00127B6A">
        <w:rPr>
          <w:rFonts w:ascii="Arial" w:hAnsi="Arial" w:cs="Arial"/>
          <w:i/>
          <w:sz w:val="24"/>
          <w:szCs w:val="24"/>
        </w:rPr>
        <w:t>Order</w:t>
      </w:r>
    </w:p>
    <w:p w:rsidR="003C00E0" w:rsidRDefault="00280179" w:rsidP="007C2C6F">
      <w:pPr>
        <w:pStyle w:val="NoSpacing"/>
        <w:numPr>
          <w:ilvl w:val="0"/>
          <w:numId w:val="16"/>
        </w:numPr>
        <w:spacing w:line="480" w:lineRule="auto"/>
        <w:ind w:left="0" w:firstLine="0"/>
        <w:jc w:val="both"/>
        <w:rPr>
          <w:rFonts w:ascii="Arial" w:hAnsi="Arial" w:cs="Arial"/>
          <w:sz w:val="24"/>
          <w:szCs w:val="24"/>
        </w:rPr>
      </w:pPr>
      <w:r>
        <w:rPr>
          <w:rFonts w:ascii="Arial" w:hAnsi="Arial" w:cs="Arial"/>
          <w:sz w:val="24"/>
          <w:szCs w:val="24"/>
        </w:rPr>
        <w:t>For the reasons set out above</w:t>
      </w:r>
      <w:r w:rsidR="007C33E0">
        <w:rPr>
          <w:rFonts w:ascii="Arial" w:hAnsi="Arial" w:cs="Arial"/>
          <w:sz w:val="24"/>
          <w:szCs w:val="24"/>
        </w:rPr>
        <w:t xml:space="preserve">, </w:t>
      </w:r>
      <w:r w:rsidR="00FC188E">
        <w:rPr>
          <w:rFonts w:ascii="Arial" w:hAnsi="Arial" w:cs="Arial"/>
          <w:sz w:val="24"/>
          <w:szCs w:val="24"/>
        </w:rPr>
        <w:t>the following order</w:t>
      </w:r>
      <w:r w:rsidR="007C33E0">
        <w:rPr>
          <w:rFonts w:ascii="Arial" w:hAnsi="Arial" w:cs="Arial"/>
          <w:sz w:val="24"/>
          <w:szCs w:val="24"/>
        </w:rPr>
        <w:t xml:space="preserve"> is made</w:t>
      </w:r>
      <w:r w:rsidR="00FC188E">
        <w:rPr>
          <w:rFonts w:ascii="Arial" w:hAnsi="Arial" w:cs="Arial"/>
          <w:sz w:val="24"/>
          <w:szCs w:val="24"/>
        </w:rPr>
        <w:t>:</w:t>
      </w:r>
    </w:p>
    <w:p w:rsidR="00FC188E" w:rsidRPr="00150B5F" w:rsidRDefault="00FC188E" w:rsidP="00150B5F">
      <w:pPr>
        <w:rPr>
          <w:rFonts w:ascii="Arial" w:hAnsi="Arial" w:cs="Arial"/>
          <w:sz w:val="24"/>
          <w:szCs w:val="24"/>
        </w:rPr>
      </w:pPr>
    </w:p>
    <w:p w:rsidR="00FC188E" w:rsidRDefault="009156AE" w:rsidP="00FC188E">
      <w:pPr>
        <w:pStyle w:val="NoSpacing"/>
        <w:numPr>
          <w:ilvl w:val="0"/>
          <w:numId w:val="10"/>
        </w:numPr>
        <w:spacing w:line="480" w:lineRule="auto"/>
        <w:jc w:val="both"/>
        <w:rPr>
          <w:rFonts w:ascii="Arial" w:hAnsi="Arial" w:cs="Arial"/>
          <w:sz w:val="24"/>
          <w:szCs w:val="24"/>
        </w:rPr>
      </w:pPr>
      <w:r>
        <w:rPr>
          <w:rFonts w:ascii="Arial" w:hAnsi="Arial" w:cs="Arial"/>
          <w:sz w:val="24"/>
          <w:szCs w:val="24"/>
        </w:rPr>
        <w:t>The late filing of the appellants’ heads of argument is condone</w:t>
      </w:r>
      <w:r w:rsidR="003C2AC7">
        <w:rPr>
          <w:rFonts w:ascii="Arial" w:hAnsi="Arial" w:cs="Arial"/>
          <w:sz w:val="24"/>
          <w:szCs w:val="24"/>
        </w:rPr>
        <w:t>d.</w:t>
      </w:r>
    </w:p>
    <w:p w:rsidR="003C2AC7" w:rsidRDefault="00A838A3" w:rsidP="00FC188E">
      <w:pPr>
        <w:pStyle w:val="NoSpacing"/>
        <w:numPr>
          <w:ilvl w:val="0"/>
          <w:numId w:val="10"/>
        </w:numPr>
        <w:spacing w:line="480" w:lineRule="auto"/>
        <w:jc w:val="both"/>
        <w:rPr>
          <w:rFonts w:ascii="Arial" w:hAnsi="Arial" w:cs="Arial"/>
          <w:sz w:val="24"/>
          <w:szCs w:val="24"/>
        </w:rPr>
      </w:pPr>
      <w:r>
        <w:rPr>
          <w:rFonts w:ascii="Arial" w:hAnsi="Arial" w:cs="Arial"/>
          <w:sz w:val="24"/>
          <w:szCs w:val="24"/>
        </w:rPr>
        <w:t>The appeal is upheld</w:t>
      </w:r>
      <w:r w:rsidR="0044124C">
        <w:rPr>
          <w:rFonts w:ascii="Arial" w:hAnsi="Arial" w:cs="Arial"/>
          <w:sz w:val="24"/>
          <w:szCs w:val="24"/>
        </w:rPr>
        <w:t xml:space="preserve"> only in relation to the review and setting aside of the cancellation decision</w:t>
      </w:r>
      <w:r w:rsidR="003C2AC7">
        <w:rPr>
          <w:rFonts w:ascii="Arial" w:hAnsi="Arial" w:cs="Arial"/>
          <w:sz w:val="24"/>
          <w:szCs w:val="24"/>
        </w:rPr>
        <w:t>.</w:t>
      </w:r>
    </w:p>
    <w:p w:rsidR="003C2AC7" w:rsidRDefault="003C2AC7" w:rsidP="003C2AC7">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 order of the </w:t>
      </w:r>
      <w:r w:rsidR="00662971">
        <w:rPr>
          <w:rFonts w:ascii="Arial" w:hAnsi="Arial" w:cs="Arial"/>
          <w:sz w:val="24"/>
          <w:szCs w:val="24"/>
        </w:rPr>
        <w:t>Court</w:t>
      </w:r>
      <w:r>
        <w:rPr>
          <w:rFonts w:ascii="Arial" w:hAnsi="Arial" w:cs="Arial"/>
          <w:sz w:val="24"/>
          <w:szCs w:val="24"/>
        </w:rPr>
        <w:t xml:space="preserve"> </w:t>
      </w:r>
      <w:r w:rsidRPr="003602B8">
        <w:rPr>
          <w:rFonts w:ascii="Arial" w:hAnsi="Arial" w:cs="Arial"/>
          <w:i/>
          <w:sz w:val="24"/>
          <w:szCs w:val="24"/>
        </w:rPr>
        <w:t>a quo</w:t>
      </w:r>
      <w:r>
        <w:rPr>
          <w:rFonts w:ascii="Arial" w:hAnsi="Arial" w:cs="Arial"/>
          <w:sz w:val="24"/>
          <w:szCs w:val="24"/>
        </w:rPr>
        <w:t xml:space="preserve"> is set aside and the following is substituted in its place: </w:t>
      </w:r>
    </w:p>
    <w:p w:rsidR="005D56EA" w:rsidRDefault="00350723" w:rsidP="004D7F0A">
      <w:pPr>
        <w:pStyle w:val="NoSpacing"/>
        <w:spacing w:line="480" w:lineRule="auto"/>
        <w:ind w:left="1440" w:hanging="720"/>
        <w:jc w:val="both"/>
        <w:rPr>
          <w:rFonts w:ascii="Arial" w:hAnsi="Arial" w:cs="Arial"/>
          <w:sz w:val="24"/>
          <w:szCs w:val="24"/>
        </w:rPr>
      </w:pPr>
      <w:r>
        <w:rPr>
          <w:rFonts w:ascii="Arial" w:hAnsi="Arial" w:cs="Arial"/>
          <w:sz w:val="24"/>
          <w:szCs w:val="24"/>
        </w:rPr>
        <w:t>‘</w:t>
      </w:r>
      <w:r w:rsidR="003C2AC7">
        <w:rPr>
          <w:rFonts w:ascii="Arial" w:hAnsi="Arial" w:cs="Arial"/>
          <w:sz w:val="24"/>
          <w:szCs w:val="24"/>
        </w:rPr>
        <w:t>(i)</w:t>
      </w:r>
      <w:r w:rsidR="003C2AC7">
        <w:rPr>
          <w:rFonts w:ascii="Arial" w:hAnsi="Arial" w:cs="Arial"/>
          <w:sz w:val="24"/>
          <w:szCs w:val="24"/>
        </w:rPr>
        <w:tab/>
        <w:t xml:space="preserve">The decision by the Tender Board of Namibia, communicated to the appellants on 15 October 2014, to cancel Tender No M9-11/2014 for the provision of catering services to Government school hostels for the period 1 June 2014 to 31 May 2019, is reviewed and </w:t>
      </w:r>
      <w:r w:rsidR="005D56EA">
        <w:rPr>
          <w:rFonts w:ascii="Arial" w:hAnsi="Arial" w:cs="Arial"/>
          <w:sz w:val="24"/>
          <w:szCs w:val="24"/>
        </w:rPr>
        <w:t>set aside.</w:t>
      </w:r>
    </w:p>
    <w:p w:rsidR="005D56EA" w:rsidRDefault="005D56EA" w:rsidP="005D56EA">
      <w:pPr>
        <w:pStyle w:val="NoSpacing"/>
        <w:spacing w:line="480" w:lineRule="auto"/>
        <w:ind w:left="1440" w:hanging="72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t>T</w:t>
      </w:r>
      <w:r w:rsidR="00670CF6">
        <w:rPr>
          <w:rFonts w:ascii="Arial" w:hAnsi="Arial" w:cs="Arial"/>
          <w:sz w:val="24"/>
          <w:szCs w:val="24"/>
        </w:rPr>
        <w:t>he matter</w:t>
      </w:r>
      <w:r>
        <w:rPr>
          <w:rFonts w:ascii="Arial" w:hAnsi="Arial" w:cs="Arial"/>
          <w:sz w:val="24"/>
          <w:szCs w:val="24"/>
        </w:rPr>
        <w:t xml:space="preserve"> is referred back to the appropriate functionary − the successor </w:t>
      </w:r>
      <w:r w:rsidR="00E005F6">
        <w:rPr>
          <w:rFonts w:ascii="Arial" w:hAnsi="Arial" w:cs="Arial"/>
          <w:sz w:val="24"/>
          <w:szCs w:val="24"/>
        </w:rPr>
        <w:t xml:space="preserve">to </w:t>
      </w:r>
      <w:r>
        <w:rPr>
          <w:rFonts w:ascii="Arial" w:hAnsi="Arial" w:cs="Arial"/>
          <w:sz w:val="24"/>
          <w:szCs w:val="24"/>
        </w:rPr>
        <w:t xml:space="preserve">the Tender Board of Namibia in terms of the Public Procurement Act, 15 of 2015.  </w:t>
      </w:r>
    </w:p>
    <w:p w:rsidR="003C2AC7" w:rsidRDefault="003C2AC7" w:rsidP="00670CF6">
      <w:pPr>
        <w:pStyle w:val="NoSpacing"/>
        <w:spacing w:line="480" w:lineRule="auto"/>
        <w:ind w:left="1440" w:hanging="720"/>
        <w:jc w:val="both"/>
        <w:rPr>
          <w:rFonts w:ascii="Arial" w:hAnsi="Arial" w:cs="Arial"/>
          <w:sz w:val="24"/>
          <w:szCs w:val="24"/>
        </w:rPr>
      </w:pPr>
      <w:r>
        <w:rPr>
          <w:rFonts w:ascii="Arial" w:hAnsi="Arial" w:cs="Arial"/>
          <w:sz w:val="24"/>
          <w:szCs w:val="24"/>
        </w:rPr>
        <w:t>(</w:t>
      </w:r>
      <w:r w:rsidR="004D7F0A">
        <w:rPr>
          <w:rFonts w:ascii="Arial" w:hAnsi="Arial" w:cs="Arial"/>
          <w:sz w:val="24"/>
          <w:szCs w:val="24"/>
        </w:rPr>
        <w:t>i</w:t>
      </w:r>
      <w:r>
        <w:rPr>
          <w:rFonts w:ascii="Arial" w:hAnsi="Arial" w:cs="Arial"/>
          <w:sz w:val="24"/>
          <w:szCs w:val="24"/>
        </w:rPr>
        <w:t>ii)</w:t>
      </w:r>
      <w:r>
        <w:rPr>
          <w:rFonts w:ascii="Arial" w:hAnsi="Arial" w:cs="Arial"/>
          <w:sz w:val="24"/>
          <w:szCs w:val="24"/>
        </w:rPr>
        <w:tab/>
        <w:t>The first, second and third respondents must pay the applicants’ costs, jointly and severally, including costs of one instructing attorney and of two instructed counsel.</w:t>
      </w:r>
    </w:p>
    <w:p w:rsidR="003C2AC7" w:rsidRDefault="003C2AC7" w:rsidP="004D7F0A">
      <w:pPr>
        <w:pStyle w:val="NoSpacing"/>
        <w:numPr>
          <w:ilvl w:val="0"/>
          <w:numId w:val="18"/>
        </w:numPr>
        <w:spacing w:line="480" w:lineRule="auto"/>
        <w:jc w:val="both"/>
        <w:rPr>
          <w:rFonts w:ascii="Arial" w:hAnsi="Arial" w:cs="Arial"/>
          <w:sz w:val="24"/>
          <w:szCs w:val="24"/>
        </w:rPr>
      </w:pPr>
      <w:r>
        <w:rPr>
          <w:rFonts w:ascii="Arial" w:hAnsi="Arial" w:cs="Arial"/>
          <w:sz w:val="24"/>
          <w:szCs w:val="24"/>
        </w:rPr>
        <w:lastRenderedPageBreak/>
        <w:t>The applicants must pay the further respondents’ costs jointly and severally, including costs of one instructing attorney and of two instructed counsel, if any.</w:t>
      </w:r>
      <w:r w:rsidR="00350723">
        <w:rPr>
          <w:rFonts w:ascii="Arial" w:hAnsi="Arial" w:cs="Arial"/>
          <w:sz w:val="24"/>
          <w:szCs w:val="24"/>
        </w:rPr>
        <w:t>’</w:t>
      </w:r>
    </w:p>
    <w:p w:rsidR="00A838A3" w:rsidRDefault="003C2AC7" w:rsidP="00FC188E">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 </w:t>
      </w:r>
      <w:r w:rsidR="00CF36D3">
        <w:rPr>
          <w:rFonts w:ascii="Arial" w:hAnsi="Arial" w:cs="Arial"/>
          <w:sz w:val="24"/>
          <w:szCs w:val="24"/>
        </w:rPr>
        <w:t xml:space="preserve">first, second and third respondents are ordered to pay </w:t>
      </w:r>
      <w:r w:rsidR="00F7302B">
        <w:rPr>
          <w:rFonts w:ascii="Arial" w:hAnsi="Arial" w:cs="Arial"/>
          <w:sz w:val="24"/>
          <w:szCs w:val="24"/>
        </w:rPr>
        <w:t>the appellants’ costs on appeal including costs o</w:t>
      </w:r>
      <w:r w:rsidR="00670CF6">
        <w:rPr>
          <w:rFonts w:ascii="Arial" w:hAnsi="Arial" w:cs="Arial"/>
          <w:sz w:val="24"/>
          <w:szCs w:val="24"/>
        </w:rPr>
        <w:t>f</w:t>
      </w:r>
      <w:r w:rsidR="00F7302B">
        <w:rPr>
          <w:rFonts w:ascii="Arial" w:hAnsi="Arial" w:cs="Arial"/>
          <w:sz w:val="24"/>
          <w:szCs w:val="24"/>
        </w:rPr>
        <w:t xml:space="preserve"> one instructing </w:t>
      </w:r>
      <w:r w:rsidR="0044124C">
        <w:rPr>
          <w:rFonts w:ascii="Arial" w:hAnsi="Arial" w:cs="Arial"/>
          <w:sz w:val="24"/>
          <w:szCs w:val="24"/>
        </w:rPr>
        <w:t xml:space="preserve">attorney </w:t>
      </w:r>
      <w:r w:rsidR="00670CF6">
        <w:rPr>
          <w:rFonts w:ascii="Arial" w:hAnsi="Arial" w:cs="Arial"/>
          <w:sz w:val="24"/>
          <w:szCs w:val="24"/>
        </w:rPr>
        <w:t>and two instructed counsel.</w:t>
      </w:r>
    </w:p>
    <w:p w:rsidR="00335461" w:rsidRPr="005C3AF0" w:rsidRDefault="00CF36D3" w:rsidP="005C3AF0">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 appellants are ordered to pay the further respondents’ costs on appeal </w:t>
      </w:r>
      <w:r w:rsidR="00F7302B">
        <w:rPr>
          <w:rFonts w:ascii="Arial" w:hAnsi="Arial" w:cs="Arial"/>
          <w:sz w:val="24"/>
          <w:szCs w:val="24"/>
        </w:rPr>
        <w:t>jointly and severally, including costs o</w:t>
      </w:r>
      <w:r w:rsidR="0044124C">
        <w:rPr>
          <w:rFonts w:ascii="Arial" w:hAnsi="Arial" w:cs="Arial"/>
          <w:sz w:val="24"/>
          <w:szCs w:val="24"/>
        </w:rPr>
        <w:t>f</w:t>
      </w:r>
      <w:r w:rsidR="00F7302B">
        <w:rPr>
          <w:rFonts w:ascii="Arial" w:hAnsi="Arial" w:cs="Arial"/>
          <w:sz w:val="24"/>
          <w:szCs w:val="24"/>
        </w:rPr>
        <w:t xml:space="preserve"> one instructing attorney and of two instructed counsel, if any.</w:t>
      </w:r>
    </w:p>
    <w:p w:rsidR="00C25569" w:rsidRDefault="00C25569" w:rsidP="00721FB6">
      <w:pPr>
        <w:pStyle w:val="NoSpacing"/>
        <w:spacing w:line="480" w:lineRule="auto"/>
        <w:rPr>
          <w:rFonts w:ascii="Arial" w:hAnsi="Arial" w:cs="Arial"/>
          <w:b/>
          <w:sz w:val="24"/>
          <w:szCs w:val="24"/>
        </w:rPr>
      </w:pPr>
    </w:p>
    <w:p w:rsidR="005C3AF0" w:rsidRDefault="005C3AF0" w:rsidP="00721FB6">
      <w:pPr>
        <w:pStyle w:val="NoSpacing"/>
        <w:spacing w:line="480" w:lineRule="auto"/>
        <w:rPr>
          <w:rFonts w:ascii="Arial" w:hAnsi="Arial" w:cs="Arial"/>
          <w:b/>
          <w:sz w:val="24"/>
          <w:szCs w:val="24"/>
        </w:rPr>
      </w:pPr>
    </w:p>
    <w:p w:rsidR="00502822" w:rsidRPr="00991107" w:rsidRDefault="00502822" w:rsidP="00721FB6">
      <w:pPr>
        <w:pStyle w:val="NoSpacing"/>
        <w:spacing w:line="480" w:lineRule="auto"/>
        <w:rPr>
          <w:rFonts w:ascii="Arial" w:hAnsi="Arial" w:cs="Arial"/>
          <w:b/>
          <w:sz w:val="24"/>
          <w:szCs w:val="24"/>
        </w:rPr>
      </w:pPr>
    </w:p>
    <w:p w:rsidR="00CC4D0B" w:rsidRPr="00F4471E" w:rsidRDefault="00CC4D0B" w:rsidP="00877740">
      <w:pPr>
        <w:spacing w:after="0" w:line="240" w:lineRule="auto"/>
        <w:jc w:val="both"/>
        <w:rPr>
          <w:rFonts w:ascii="Arial" w:hAnsi="Arial" w:cs="Arial"/>
          <w:b/>
          <w:sz w:val="24"/>
          <w:szCs w:val="24"/>
        </w:rPr>
      </w:pPr>
      <w:r>
        <w:rPr>
          <w:rFonts w:ascii="Arial" w:hAnsi="Arial" w:cs="Arial"/>
          <w:b/>
          <w:sz w:val="24"/>
          <w:szCs w:val="24"/>
        </w:rPr>
        <w:t>__________________</w:t>
      </w:r>
    </w:p>
    <w:p w:rsidR="00335461" w:rsidRDefault="009A1D4D" w:rsidP="00CC392E">
      <w:pPr>
        <w:spacing w:after="0" w:line="240" w:lineRule="auto"/>
        <w:jc w:val="both"/>
        <w:rPr>
          <w:rFonts w:ascii="Arial" w:hAnsi="Arial" w:cs="Arial"/>
          <w:b/>
          <w:sz w:val="24"/>
          <w:szCs w:val="24"/>
        </w:rPr>
      </w:pPr>
      <w:r w:rsidRPr="009A1D4D">
        <w:rPr>
          <w:rFonts w:ascii="Arial" w:hAnsi="Arial" w:cs="Arial"/>
          <w:b/>
          <w:sz w:val="24"/>
          <w:szCs w:val="24"/>
        </w:rPr>
        <w:t>NKABINDE AJA</w:t>
      </w:r>
    </w:p>
    <w:p w:rsidR="007F6E6A" w:rsidRDefault="007F6E6A" w:rsidP="009A1D4D">
      <w:pPr>
        <w:spacing w:after="0" w:line="480" w:lineRule="auto"/>
        <w:jc w:val="both"/>
        <w:rPr>
          <w:rFonts w:ascii="Arial" w:hAnsi="Arial" w:cs="Arial"/>
          <w:b/>
          <w:sz w:val="24"/>
          <w:szCs w:val="24"/>
        </w:rPr>
      </w:pPr>
    </w:p>
    <w:p w:rsidR="005C3AF0" w:rsidRDefault="005C3AF0" w:rsidP="009A1D4D">
      <w:pPr>
        <w:spacing w:after="0" w:line="480" w:lineRule="auto"/>
        <w:jc w:val="both"/>
        <w:rPr>
          <w:rFonts w:ascii="Arial" w:hAnsi="Arial" w:cs="Arial"/>
          <w:b/>
          <w:sz w:val="24"/>
          <w:szCs w:val="24"/>
        </w:rPr>
      </w:pPr>
    </w:p>
    <w:p w:rsidR="00057F60" w:rsidRDefault="00057F60" w:rsidP="009A1D4D">
      <w:pPr>
        <w:spacing w:after="0" w:line="480" w:lineRule="auto"/>
        <w:jc w:val="both"/>
        <w:rPr>
          <w:rFonts w:ascii="Arial" w:hAnsi="Arial" w:cs="Arial"/>
          <w:b/>
          <w:sz w:val="24"/>
          <w:szCs w:val="24"/>
        </w:rPr>
      </w:pPr>
    </w:p>
    <w:p w:rsidR="00CC4D0B" w:rsidRDefault="00CC4D0B" w:rsidP="00877740">
      <w:pPr>
        <w:spacing w:after="0" w:line="240" w:lineRule="auto"/>
        <w:jc w:val="both"/>
        <w:rPr>
          <w:rFonts w:ascii="Arial" w:hAnsi="Arial" w:cs="Arial"/>
          <w:b/>
          <w:sz w:val="24"/>
          <w:szCs w:val="24"/>
        </w:rPr>
      </w:pPr>
      <w:r>
        <w:rPr>
          <w:rFonts w:ascii="Arial" w:hAnsi="Arial" w:cs="Arial"/>
          <w:b/>
          <w:sz w:val="24"/>
          <w:szCs w:val="24"/>
        </w:rPr>
        <w:t>__________________</w:t>
      </w:r>
    </w:p>
    <w:p w:rsidR="009A1D4D" w:rsidRDefault="00877740" w:rsidP="00877740">
      <w:pPr>
        <w:spacing w:after="0" w:line="240" w:lineRule="auto"/>
        <w:jc w:val="both"/>
        <w:rPr>
          <w:rFonts w:ascii="Arial" w:hAnsi="Arial" w:cs="Arial"/>
          <w:b/>
          <w:sz w:val="24"/>
          <w:szCs w:val="24"/>
        </w:rPr>
      </w:pPr>
      <w:r>
        <w:rPr>
          <w:rFonts w:ascii="Arial" w:hAnsi="Arial" w:cs="Arial"/>
          <w:b/>
          <w:sz w:val="24"/>
          <w:szCs w:val="24"/>
        </w:rPr>
        <w:t>SMUTS JA</w:t>
      </w:r>
    </w:p>
    <w:p w:rsidR="00CC4D0B" w:rsidRDefault="00CC4D0B" w:rsidP="009A1D4D">
      <w:pPr>
        <w:spacing w:after="0" w:line="480" w:lineRule="auto"/>
        <w:jc w:val="both"/>
        <w:rPr>
          <w:rFonts w:ascii="Arial" w:hAnsi="Arial" w:cs="Arial"/>
          <w:b/>
          <w:sz w:val="24"/>
          <w:szCs w:val="24"/>
        </w:rPr>
      </w:pPr>
    </w:p>
    <w:p w:rsidR="00CC4D0B" w:rsidRDefault="00CC4D0B" w:rsidP="009A1D4D">
      <w:pPr>
        <w:spacing w:after="0" w:line="480" w:lineRule="auto"/>
        <w:jc w:val="both"/>
        <w:rPr>
          <w:rFonts w:ascii="Arial" w:hAnsi="Arial" w:cs="Arial"/>
          <w:b/>
          <w:sz w:val="24"/>
          <w:szCs w:val="24"/>
        </w:rPr>
      </w:pPr>
    </w:p>
    <w:p w:rsidR="00FA5847" w:rsidRDefault="00FA5847" w:rsidP="009A1D4D">
      <w:pPr>
        <w:spacing w:after="0" w:line="480" w:lineRule="auto"/>
        <w:jc w:val="both"/>
        <w:rPr>
          <w:rFonts w:ascii="Arial" w:hAnsi="Arial" w:cs="Arial"/>
          <w:b/>
          <w:sz w:val="24"/>
          <w:szCs w:val="24"/>
        </w:rPr>
      </w:pPr>
    </w:p>
    <w:p w:rsidR="00CC4D0B" w:rsidRDefault="00CC4D0B" w:rsidP="00877740">
      <w:pPr>
        <w:spacing w:after="0" w:line="240" w:lineRule="auto"/>
        <w:jc w:val="both"/>
        <w:rPr>
          <w:rFonts w:ascii="Arial" w:hAnsi="Arial" w:cs="Arial"/>
          <w:b/>
          <w:sz w:val="24"/>
          <w:szCs w:val="24"/>
        </w:rPr>
      </w:pPr>
      <w:r>
        <w:rPr>
          <w:rFonts w:ascii="Arial" w:hAnsi="Arial" w:cs="Arial"/>
          <w:b/>
          <w:sz w:val="24"/>
          <w:szCs w:val="24"/>
        </w:rPr>
        <w:t>__________________</w:t>
      </w:r>
    </w:p>
    <w:p w:rsidR="00CC4D0B" w:rsidRDefault="009A1D4D" w:rsidP="00877740">
      <w:pPr>
        <w:pStyle w:val="BodyText"/>
        <w:autoSpaceDE w:val="0"/>
        <w:autoSpaceDN w:val="0"/>
        <w:adjustRightInd w:val="0"/>
        <w:jc w:val="both"/>
        <w:rPr>
          <w:rFonts w:ascii="Arial" w:hAnsi="Arial" w:cs="Arial"/>
        </w:rPr>
      </w:pPr>
      <w:r w:rsidRPr="009A1D4D">
        <w:rPr>
          <w:rFonts w:ascii="Arial" w:hAnsi="Arial" w:cs="Arial"/>
          <w:b/>
        </w:rPr>
        <w:t>MOKGORO AJA</w:t>
      </w:r>
    </w:p>
    <w:p w:rsidR="005C3AF0" w:rsidRDefault="005C3AF0" w:rsidP="00CC4D0B">
      <w:pPr>
        <w:pStyle w:val="BodyText"/>
        <w:autoSpaceDE w:val="0"/>
        <w:autoSpaceDN w:val="0"/>
        <w:adjustRightInd w:val="0"/>
        <w:spacing w:line="480" w:lineRule="auto"/>
        <w:jc w:val="both"/>
        <w:rPr>
          <w:rFonts w:ascii="Arial" w:hAnsi="Arial" w:cs="Arial"/>
        </w:rPr>
      </w:pPr>
    </w:p>
    <w:p w:rsidR="00104D6A" w:rsidRDefault="00104D6A" w:rsidP="00CC4D0B">
      <w:pPr>
        <w:pStyle w:val="BodyText"/>
        <w:autoSpaceDE w:val="0"/>
        <w:autoSpaceDN w:val="0"/>
        <w:adjustRightInd w:val="0"/>
        <w:spacing w:line="480" w:lineRule="auto"/>
        <w:jc w:val="both"/>
        <w:rPr>
          <w:rFonts w:ascii="Arial" w:hAnsi="Arial" w:cs="Arial"/>
        </w:rPr>
      </w:pPr>
    </w:p>
    <w:p w:rsidR="00FA5847" w:rsidRDefault="00FA5847" w:rsidP="00CC4D0B">
      <w:pPr>
        <w:pStyle w:val="BodyText"/>
        <w:autoSpaceDE w:val="0"/>
        <w:autoSpaceDN w:val="0"/>
        <w:adjustRightInd w:val="0"/>
        <w:spacing w:line="480" w:lineRule="auto"/>
        <w:jc w:val="both"/>
        <w:rPr>
          <w:rFonts w:ascii="Arial" w:hAnsi="Arial" w:cs="Arial"/>
        </w:rPr>
      </w:pPr>
    </w:p>
    <w:p w:rsidR="00FA5847" w:rsidRDefault="00FA5847" w:rsidP="00CC4D0B">
      <w:pPr>
        <w:pStyle w:val="BodyText"/>
        <w:autoSpaceDE w:val="0"/>
        <w:autoSpaceDN w:val="0"/>
        <w:adjustRightInd w:val="0"/>
        <w:spacing w:line="480" w:lineRule="auto"/>
        <w:jc w:val="both"/>
        <w:rPr>
          <w:rFonts w:ascii="Arial" w:hAnsi="Arial" w:cs="Arial"/>
        </w:rPr>
      </w:pPr>
    </w:p>
    <w:p w:rsidR="005C3AF0" w:rsidRDefault="005C3AF0" w:rsidP="00CC4D0B">
      <w:pPr>
        <w:pStyle w:val="BodyText"/>
        <w:autoSpaceDE w:val="0"/>
        <w:autoSpaceDN w:val="0"/>
        <w:adjustRightInd w:val="0"/>
        <w:spacing w:line="480" w:lineRule="auto"/>
        <w:jc w:val="both"/>
        <w:rPr>
          <w:rFonts w:ascii="Arial" w:hAnsi="Arial" w:cs="Arial"/>
        </w:rPr>
      </w:pPr>
    </w:p>
    <w:p w:rsidR="00350723" w:rsidRDefault="00350723" w:rsidP="00CC4D0B">
      <w:pPr>
        <w:pStyle w:val="BodyText"/>
        <w:autoSpaceDE w:val="0"/>
        <w:autoSpaceDN w:val="0"/>
        <w:adjustRightInd w:val="0"/>
        <w:spacing w:line="480" w:lineRule="auto"/>
        <w:jc w:val="both"/>
        <w:rPr>
          <w:rFonts w:ascii="Arial" w:hAnsi="Arial" w:cs="Arial"/>
        </w:rPr>
      </w:pPr>
      <w:r>
        <w:rPr>
          <w:rFonts w:ascii="Arial" w:hAnsi="Arial" w:cs="Arial"/>
        </w:rPr>
        <w:t>APPEARANCES</w:t>
      </w:r>
    </w:p>
    <w:p w:rsidR="0027586D" w:rsidRDefault="0027586D" w:rsidP="00CC4D0B">
      <w:pPr>
        <w:pStyle w:val="BodyText"/>
        <w:autoSpaceDE w:val="0"/>
        <w:autoSpaceDN w:val="0"/>
        <w:adjustRightInd w:val="0"/>
        <w:spacing w:line="480" w:lineRule="auto"/>
        <w:jc w:val="both"/>
        <w:rPr>
          <w:rFonts w:ascii="Arial" w:hAnsi="Arial" w:cs="Arial"/>
        </w:rPr>
      </w:pPr>
    </w:p>
    <w:p w:rsidR="00350723" w:rsidRDefault="00350723" w:rsidP="00CC4D0B">
      <w:pPr>
        <w:pStyle w:val="BodyText"/>
        <w:autoSpaceDE w:val="0"/>
        <w:autoSpaceDN w:val="0"/>
        <w:adjustRightInd w:val="0"/>
        <w:spacing w:line="480" w:lineRule="auto"/>
        <w:jc w:val="both"/>
        <w:rPr>
          <w:rFonts w:ascii="Arial" w:hAnsi="Arial" w:cs="Arial"/>
        </w:rPr>
      </w:pPr>
      <w:r>
        <w:rPr>
          <w:rFonts w:ascii="Arial" w:hAnsi="Arial" w:cs="Arial"/>
        </w:rPr>
        <w:t>APPELLANT</w:t>
      </w:r>
      <w:r w:rsidR="0027586D">
        <w:rPr>
          <w:rFonts w:ascii="Arial" w:hAnsi="Arial" w:cs="Arial"/>
        </w:rPr>
        <w:t>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2F5DEF">
        <w:rPr>
          <w:rFonts w:ascii="Arial" w:hAnsi="Arial" w:cs="Arial"/>
        </w:rPr>
        <w:t xml:space="preserve">R </w:t>
      </w:r>
      <w:r w:rsidR="00E212CD">
        <w:rPr>
          <w:rFonts w:ascii="Arial" w:hAnsi="Arial" w:cs="Arial"/>
        </w:rPr>
        <w:t>Heathcote SC (with him</w:t>
      </w:r>
      <w:r w:rsidR="002F5DEF">
        <w:rPr>
          <w:rFonts w:ascii="Arial" w:hAnsi="Arial" w:cs="Arial"/>
        </w:rPr>
        <w:t xml:space="preserve"> R</w:t>
      </w:r>
      <w:r w:rsidR="00E212CD">
        <w:rPr>
          <w:rFonts w:ascii="Arial" w:hAnsi="Arial" w:cs="Arial"/>
        </w:rPr>
        <w:t xml:space="preserve"> Maasdorp)</w:t>
      </w:r>
      <w:r>
        <w:rPr>
          <w:rFonts w:ascii="Arial" w:hAnsi="Arial" w:cs="Arial"/>
        </w:rPr>
        <w:t xml:space="preserve"> </w:t>
      </w:r>
    </w:p>
    <w:p w:rsidR="00350723" w:rsidRDefault="00350723" w:rsidP="00CC4D0B">
      <w:pPr>
        <w:pStyle w:val="BodyText"/>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Instructed by </w:t>
      </w:r>
      <w:r w:rsidR="00F665F5">
        <w:rPr>
          <w:rFonts w:ascii="Arial" w:hAnsi="Arial" w:cs="Arial"/>
        </w:rPr>
        <w:t>Engling,</w:t>
      </w:r>
      <w:r w:rsidR="00E212CD">
        <w:rPr>
          <w:rFonts w:ascii="Arial" w:hAnsi="Arial" w:cs="Arial"/>
        </w:rPr>
        <w:t xml:space="preserve"> Stritter &amp; Partners</w:t>
      </w:r>
    </w:p>
    <w:p w:rsidR="00350723" w:rsidRDefault="00350723" w:rsidP="00CC4D0B">
      <w:pPr>
        <w:pStyle w:val="BodyText"/>
        <w:autoSpaceDE w:val="0"/>
        <w:autoSpaceDN w:val="0"/>
        <w:adjustRightInd w:val="0"/>
        <w:spacing w:line="480" w:lineRule="auto"/>
        <w:jc w:val="both"/>
        <w:rPr>
          <w:rFonts w:ascii="Arial" w:hAnsi="Arial" w:cs="Arial"/>
        </w:rPr>
      </w:pPr>
    </w:p>
    <w:p w:rsidR="00350723" w:rsidRDefault="00E212CD" w:rsidP="00E212CD">
      <w:pPr>
        <w:pStyle w:val="BodyText"/>
        <w:autoSpaceDE w:val="0"/>
        <w:autoSpaceDN w:val="0"/>
        <w:adjustRightInd w:val="0"/>
        <w:spacing w:line="480" w:lineRule="auto"/>
        <w:jc w:val="both"/>
        <w:rPr>
          <w:rFonts w:ascii="Arial" w:hAnsi="Arial" w:cs="Arial"/>
        </w:rPr>
      </w:pPr>
      <w:r>
        <w:rPr>
          <w:rFonts w:ascii="Arial" w:hAnsi="Arial" w:cs="Arial"/>
        </w:rPr>
        <w:t>1</w:t>
      </w:r>
      <w:r w:rsidRPr="00E212CD">
        <w:rPr>
          <w:rFonts w:ascii="Arial" w:hAnsi="Arial" w:cs="Arial"/>
          <w:vertAlign w:val="superscript"/>
        </w:rPr>
        <w:t>st</w:t>
      </w:r>
      <w:r>
        <w:rPr>
          <w:rFonts w:ascii="Arial" w:hAnsi="Arial" w:cs="Arial"/>
        </w:rPr>
        <w:t xml:space="preserve"> – 3</w:t>
      </w:r>
      <w:r w:rsidRPr="00E212CD">
        <w:rPr>
          <w:rFonts w:ascii="Arial" w:hAnsi="Arial" w:cs="Arial"/>
          <w:vertAlign w:val="superscript"/>
        </w:rPr>
        <w:t>rd</w:t>
      </w:r>
      <w:r>
        <w:rPr>
          <w:rFonts w:ascii="Arial" w:hAnsi="Arial" w:cs="Arial"/>
        </w:rPr>
        <w:t xml:space="preserve"> RESPONDENT</w:t>
      </w:r>
      <w:r w:rsidR="002F5DEF">
        <w:rPr>
          <w:rFonts w:ascii="Arial" w:hAnsi="Arial" w:cs="Arial"/>
        </w:rPr>
        <w:t>S</w:t>
      </w:r>
      <w:r>
        <w:rPr>
          <w:rFonts w:ascii="Arial" w:hAnsi="Arial" w:cs="Arial"/>
        </w:rPr>
        <w:t>:</w:t>
      </w:r>
      <w:r>
        <w:rPr>
          <w:rFonts w:ascii="Arial" w:hAnsi="Arial" w:cs="Arial"/>
        </w:rPr>
        <w:tab/>
      </w:r>
      <w:r>
        <w:rPr>
          <w:rFonts w:ascii="Arial" w:hAnsi="Arial" w:cs="Arial"/>
        </w:rPr>
        <w:tab/>
      </w:r>
      <w:r>
        <w:rPr>
          <w:rFonts w:ascii="Arial" w:hAnsi="Arial" w:cs="Arial"/>
        </w:rPr>
        <w:tab/>
        <w:t xml:space="preserve">S Namandje (with him </w:t>
      </w:r>
      <w:r w:rsidR="002F5DEF">
        <w:rPr>
          <w:rFonts w:ascii="Arial" w:hAnsi="Arial" w:cs="Arial"/>
        </w:rPr>
        <w:t xml:space="preserve">M </w:t>
      </w:r>
      <w:r>
        <w:rPr>
          <w:rFonts w:ascii="Arial" w:hAnsi="Arial" w:cs="Arial"/>
        </w:rPr>
        <w:t>Bo</w:t>
      </w:r>
      <w:r w:rsidR="00E25431">
        <w:rPr>
          <w:rFonts w:ascii="Arial" w:hAnsi="Arial" w:cs="Arial"/>
        </w:rPr>
        <w:t>onz</w:t>
      </w:r>
      <w:r>
        <w:rPr>
          <w:rFonts w:ascii="Arial" w:hAnsi="Arial" w:cs="Arial"/>
        </w:rPr>
        <w:t>aier)</w:t>
      </w:r>
    </w:p>
    <w:p w:rsidR="00350723" w:rsidRDefault="00350723" w:rsidP="00CC4D0B">
      <w:pPr>
        <w:pStyle w:val="BodyText"/>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Instructed by </w:t>
      </w:r>
      <w:r w:rsidR="002F5DEF">
        <w:rPr>
          <w:rFonts w:ascii="Arial" w:hAnsi="Arial" w:cs="Arial"/>
        </w:rPr>
        <w:t>Government Attorney</w:t>
      </w:r>
    </w:p>
    <w:p w:rsidR="002F5DEF" w:rsidRDefault="002F5DEF" w:rsidP="00CC4D0B">
      <w:pPr>
        <w:pStyle w:val="BodyText"/>
        <w:autoSpaceDE w:val="0"/>
        <w:autoSpaceDN w:val="0"/>
        <w:adjustRightInd w:val="0"/>
        <w:spacing w:line="480" w:lineRule="auto"/>
        <w:jc w:val="both"/>
        <w:rPr>
          <w:rFonts w:ascii="Arial" w:hAnsi="Arial" w:cs="Arial"/>
        </w:rPr>
      </w:pPr>
    </w:p>
    <w:p w:rsidR="002F5DEF" w:rsidRDefault="002F5DEF" w:rsidP="002F5DEF">
      <w:pPr>
        <w:pStyle w:val="BodyText"/>
        <w:autoSpaceDE w:val="0"/>
        <w:autoSpaceDN w:val="0"/>
        <w:adjustRightInd w:val="0"/>
        <w:spacing w:line="480" w:lineRule="auto"/>
        <w:jc w:val="both"/>
        <w:rPr>
          <w:rFonts w:ascii="Arial" w:hAnsi="Arial" w:cs="Arial"/>
        </w:rPr>
      </w:pPr>
      <w:r>
        <w:rPr>
          <w:rFonts w:ascii="Arial" w:hAnsi="Arial" w:cs="Arial"/>
        </w:rPr>
        <w:t>6</w:t>
      </w:r>
      <w:r w:rsidRPr="002F5DEF">
        <w:rPr>
          <w:rFonts w:ascii="Arial" w:hAnsi="Arial" w:cs="Arial"/>
          <w:vertAlign w:val="superscript"/>
        </w:rPr>
        <w:t>th</w:t>
      </w:r>
      <w:r>
        <w:rPr>
          <w:rFonts w:ascii="Arial" w:hAnsi="Arial" w:cs="Arial"/>
        </w:rPr>
        <w:t>, 32</w:t>
      </w:r>
      <w:r w:rsidRPr="002F5DEF">
        <w:rPr>
          <w:rFonts w:ascii="Arial" w:hAnsi="Arial" w:cs="Arial"/>
          <w:vertAlign w:val="superscript"/>
        </w:rPr>
        <w:t>nd</w:t>
      </w:r>
      <w:r>
        <w:rPr>
          <w:rFonts w:ascii="Arial" w:hAnsi="Arial" w:cs="Arial"/>
        </w:rPr>
        <w:t>, 56</w:t>
      </w:r>
      <w:r w:rsidR="00E8075F" w:rsidRPr="00E8075F">
        <w:rPr>
          <w:rFonts w:ascii="Arial" w:hAnsi="Arial" w:cs="Arial"/>
          <w:vertAlign w:val="superscript"/>
        </w:rPr>
        <w:t>th</w:t>
      </w:r>
      <w:r w:rsidR="00E8075F">
        <w:rPr>
          <w:rFonts w:ascii="Arial" w:hAnsi="Arial" w:cs="Arial"/>
        </w:rPr>
        <w:t>,</w:t>
      </w:r>
      <w:r>
        <w:rPr>
          <w:rFonts w:ascii="Arial" w:hAnsi="Arial" w:cs="Arial"/>
        </w:rPr>
        <w:t xml:space="preserve"> 62</w:t>
      </w:r>
      <w:r w:rsidRPr="002F5DEF">
        <w:rPr>
          <w:rFonts w:ascii="Arial" w:hAnsi="Arial" w:cs="Arial"/>
          <w:vertAlign w:val="superscript"/>
        </w:rPr>
        <w:t>nd</w:t>
      </w:r>
      <w:r>
        <w:rPr>
          <w:rFonts w:ascii="Arial" w:hAnsi="Arial" w:cs="Arial"/>
        </w:rPr>
        <w:t>, and 83</w:t>
      </w:r>
      <w:r w:rsidRPr="002F5DEF">
        <w:rPr>
          <w:rFonts w:ascii="Arial" w:hAnsi="Arial" w:cs="Arial"/>
          <w:vertAlign w:val="superscript"/>
        </w:rPr>
        <w:t>rd</w:t>
      </w:r>
      <w:r>
        <w:rPr>
          <w:rFonts w:ascii="Arial" w:hAnsi="Arial" w:cs="Arial"/>
        </w:rPr>
        <w:t xml:space="preserve"> </w:t>
      </w:r>
      <w:r>
        <w:rPr>
          <w:rFonts w:ascii="Arial" w:hAnsi="Arial" w:cs="Arial"/>
        </w:rPr>
        <w:tab/>
      </w:r>
      <w:r>
        <w:rPr>
          <w:rFonts w:ascii="Arial" w:hAnsi="Arial" w:cs="Arial"/>
        </w:rPr>
        <w:tab/>
      </w:r>
      <w:r w:rsidR="00DF64BF">
        <w:rPr>
          <w:rFonts w:ascii="Arial" w:hAnsi="Arial" w:cs="Arial"/>
        </w:rPr>
        <w:t>S Akween</w:t>
      </w:r>
      <w:r w:rsidR="00AA374C">
        <w:rPr>
          <w:rFonts w:ascii="Arial" w:hAnsi="Arial" w:cs="Arial"/>
        </w:rPr>
        <w:t>d</w:t>
      </w:r>
      <w:r w:rsidR="00DF64BF">
        <w:rPr>
          <w:rFonts w:ascii="Arial" w:hAnsi="Arial" w:cs="Arial"/>
        </w:rPr>
        <w:t>a (with him E Nekwaya)</w:t>
      </w:r>
    </w:p>
    <w:p w:rsidR="002F5DEF" w:rsidRDefault="00DF64BF" w:rsidP="002F5DEF">
      <w:pPr>
        <w:pStyle w:val="BodyText"/>
        <w:autoSpaceDE w:val="0"/>
        <w:autoSpaceDN w:val="0"/>
        <w:adjustRightInd w:val="0"/>
        <w:spacing w:line="480" w:lineRule="auto"/>
        <w:jc w:val="both"/>
        <w:rPr>
          <w:rFonts w:ascii="Arial" w:hAnsi="Arial" w:cs="Arial"/>
        </w:rPr>
      </w:pPr>
      <w:r>
        <w:rPr>
          <w:rFonts w:ascii="Arial" w:hAnsi="Arial" w:cs="Arial"/>
        </w:rPr>
        <w:t>RESPONDENTS:</w:t>
      </w:r>
      <w:r>
        <w:rPr>
          <w:rFonts w:ascii="Arial" w:hAnsi="Arial" w:cs="Arial"/>
        </w:rPr>
        <w:tab/>
      </w:r>
      <w:r>
        <w:rPr>
          <w:rFonts w:ascii="Arial" w:hAnsi="Arial" w:cs="Arial"/>
        </w:rPr>
        <w:tab/>
      </w:r>
      <w:r>
        <w:rPr>
          <w:rFonts w:ascii="Arial" w:hAnsi="Arial" w:cs="Arial"/>
        </w:rPr>
        <w:tab/>
      </w:r>
      <w:r>
        <w:rPr>
          <w:rFonts w:ascii="Arial" w:hAnsi="Arial" w:cs="Arial"/>
        </w:rPr>
        <w:tab/>
        <w:t>Instructed by Amupanda Kamanja</w:t>
      </w:r>
      <w:r w:rsidR="004132C5">
        <w:rPr>
          <w:rFonts w:ascii="Arial" w:hAnsi="Arial" w:cs="Arial"/>
        </w:rPr>
        <w:t xml:space="preserve"> Inc.</w:t>
      </w:r>
    </w:p>
    <w:p w:rsidR="00350723" w:rsidRDefault="00350723" w:rsidP="00CC4D0B">
      <w:pPr>
        <w:pStyle w:val="BodyText"/>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350723" w:rsidSect="000531B8">
      <w:headerReference w:type="even" r:id="rId9"/>
      <w:headerReference w:type="default" r:id="rId10"/>
      <w:type w:val="oddPage"/>
      <w:pgSz w:w="12240" w:h="15840" w:code="1"/>
      <w:pgMar w:top="811" w:right="1701"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88" w:rsidRDefault="00FC1E88" w:rsidP="004D6713">
      <w:pPr>
        <w:spacing w:after="0" w:line="240" w:lineRule="auto"/>
      </w:pPr>
      <w:r>
        <w:separator/>
      </w:r>
    </w:p>
  </w:endnote>
  <w:endnote w:type="continuationSeparator" w:id="0">
    <w:p w:rsidR="00FC1E88" w:rsidRDefault="00FC1E88" w:rsidP="004D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88" w:rsidRDefault="00FC1E88" w:rsidP="004D6713">
      <w:pPr>
        <w:spacing w:after="0" w:line="240" w:lineRule="auto"/>
      </w:pPr>
      <w:r>
        <w:separator/>
      </w:r>
    </w:p>
  </w:footnote>
  <w:footnote w:type="continuationSeparator" w:id="0">
    <w:p w:rsidR="00FC1E88" w:rsidRDefault="00FC1E88" w:rsidP="004D6713">
      <w:pPr>
        <w:spacing w:after="0" w:line="240" w:lineRule="auto"/>
      </w:pPr>
      <w:r>
        <w:continuationSeparator/>
      </w:r>
    </w:p>
  </w:footnote>
  <w:footnote w:id="1">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The High </w:t>
      </w:r>
      <w:r>
        <w:rPr>
          <w:rFonts w:ascii="Arial" w:hAnsi="Arial" w:cs="Arial"/>
        </w:rPr>
        <w:t>Court</w:t>
      </w:r>
      <w:r w:rsidRPr="009D546D">
        <w:rPr>
          <w:rFonts w:ascii="Arial" w:hAnsi="Arial" w:cs="Arial"/>
        </w:rPr>
        <w:t xml:space="preserve"> of Namibia Main Division-Windhoek. Reported </w:t>
      </w:r>
      <w:r w:rsidRPr="009D546D">
        <w:rPr>
          <w:rFonts w:ascii="Arial" w:hAnsi="Arial" w:cs="Arial"/>
          <w:i/>
        </w:rPr>
        <w:t>Pamo Trading Enterprises CC v Chairperson of the Tender Board of Namibia</w:t>
      </w:r>
      <w:r w:rsidRPr="009D546D">
        <w:rPr>
          <w:rFonts w:ascii="Arial" w:hAnsi="Arial" w:cs="Arial"/>
        </w:rPr>
        <w:t xml:space="preserve"> (A349/2014) [2017] NAHCMD 268(18 September 2017).</w:t>
      </w:r>
    </w:p>
  </w:footnote>
  <w:footnote w:id="2">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Regulations made in terms of Tender Act deal, in regulation 5, with decisions of the Tender Bo</w:t>
      </w:r>
      <w:r w:rsidR="007A663D">
        <w:rPr>
          <w:rFonts w:ascii="Arial" w:hAnsi="Arial" w:cs="Arial"/>
        </w:rPr>
        <w:t>ard. Sub-regulation (1) reads: ‘</w:t>
      </w:r>
      <w:r w:rsidRPr="009D546D">
        <w:rPr>
          <w:rFonts w:ascii="Arial" w:hAnsi="Arial" w:cs="Arial"/>
        </w:rPr>
        <w:t>Decisions of the Board shall be obtained by means of meeting, and the Board shall kee</w:t>
      </w:r>
      <w:r w:rsidR="007A663D">
        <w:rPr>
          <w:rFonts w:ascii="Arial" w:hAnsi="Arial" w:cs="Arial"/>
        </w:rPr>
        <w:t>p minutes of each such meeting.’</w:t>
      </w:r>
    </w:p>
  </w:footnote>
  <w:footnote w:id="3">
    <w:p w:rsidR="00662971" w:rsidRPr="009D546D" w:rsidRDefault="00662971" w:rsidP="009D546D">
      <w:pPr>
        <w:pStyle w:val="FootnoteText"/>
        <w:jc w:val="both"/>
        <w:rPr>
          <w:rFonts w:ascii="Arial" w:hAnsi="Arial" w:cs="Arial"/>
          <w:lang w:val="en-US"/>
        </w:rPr>
      </w:pPr>
      <w:r w:rsidRPr="009D546D">
        <w:rPr>
          <w:rStyle w:val="FootnoteReference"/>
          <w:rFonts w:ascii="Arial" w:hAnsi="Arial" w:cs="Arial"/>
        </w:rPr>
        <w:footnoteRef/>
      </w:r>
      <w:r w:rsidRPr="009D546D">
        <w:rPr>
          <w:rFonts w:ascii="Arial" w:hAnsi="Arial" w:cs="Arial"/>
        </w:rPr>
        <w:t xml:space="preserve"> Act 16 of 1996.</w:t>
      </w:r>
    </w:p>
  </w:footnote>
  <w:footnote w:id="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Article 1(1) of the Constitution.</w:t>
      </w:r>
    </w:p>
  </w:footnote>
  <w:footnote w:id="5">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Article 1(6) of the Constitution.</w:t>
      </w:r>
    </w:p>
  </w:footnote>
  <w:footnote w:id="6">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This response prompted the launching of an urgent application in the High </w:t>
      </w:r>
      <w:r>
        <w:rPr>
          <w:rFonts w:ascii="Arial" w:hAnsi="Arial" w:cs="Arial"/>
        </w:rPr>
        <w:t>Court</w:t>
      </w:r>
      <w:r w:rsidRPr="009D546D">
        <w:rPr>
          <w:rFonts w:ascii="Arial" w:hAnsi="Arial" w:cs="Arial"/>
        </w:rPr>
        <w:t xml:space="preserve"> on 5 November 2014 by the appellants. The matter was originally set down for hearing on Monday 10 November 2014. The respondents were afforded time to file answering papers. According to the appellants the matter was urgent because the newspaper report had quoted the Minister as having said that the new tender will be advertised and finalised by the end of December. On 14 November 2014 the High </w:t>
      </w:r>
      <w:r>
        <w:rPr>
          <w:rFonts w:ascii="Arial" w:hAnsi="Arial" w:cs="Arial"/>
        </w:rPr>
        <w:t>Court</w:t>
      </w:r>
      <w:r w:rsidRPr="009D546D">
        <w:rPr>
          <w:rFonts w:ascii="Arial" w:hAnsi="Arial" w:cs="Arial"/>
        </w:rPr>
        <w:t xml:space="preserve"> ordered the Tender Board to furnish the Appellants with the requested minutes. Despite the </w:t>
      </w:r>
      <w:r>
        <w:rPr>
          <w:rFonts w:ascii="Arial" w:hAnsi="Arial" w:cs="Arial"/>
        </w:rPr>
        <w:t>Court</w:t>
      </w:r>
      <w:r w:rsidRPr="009D546D">
        <w:rPr>
          <w:rFonts w:ascii="Arial" w:hAnsi="Arial" w:cs="Arial"/>
        </w:rPr>
        <w:t xml:space="preserve"> order the Tender Board has allegedly failed to produce the minutes. The appellants addressed another letter to the Government Attorneys asking whether they were going to comply with the </w:t>
      </w:r>
      <w:r>
        <w:rPr>
          <w:rFonts w:ascii="Arial" w:hAnsi="Arial" w:cs="Arial"/>
        </w:rPr>
        <w:t>Court</w:t>
      </w:r>
      <w:r w:rsidRPr="009D546D">
        <w:rPr>
          <w:rFonts w:ascii="Arial" w:hAnsi="Arial" w:cs="Arial"/>
        </w:rPr>
        <w:t xml:space="preserve"> order and whether they were going to proceed to re-advertise and finalise the tender by end of December as reported in the newspaper. Due to the urgency of the matter the deadline for the response was 24 November 2014. Again the Government Attorneys remained tight-lipped. Instead a notice of appeal was noted. In the further correspondence the Government Attorneys confirmed that they would not comply with the </w:t>
      </w:r>
      <w:r>
        <w:rPr>
          <w:rFonts w:ascii="Arial" w:hAnsi="Arial" w:cs="Arial"/>
        </w:rPr>
        <w:t>Court</w:t>
      </w:r>
      <w:r w:rsidRPr="009D546D">
        <w:rPr>
          <w:rFonts w:ascii="Arial" w:hAnsi="Arial" w:cs="Arial"/>
        </w:rPr>
        <w:t xml:space="preserve"> order pending their appeal to this </w:t>
      </w:r>
      <w:r>
        <w:rPr>
          <w:rFonts w:ascii="Arial" w:hAnsi="Arial" w:cs="Arial"/>
        </w:rPr>
        <w:t>Court</w:t>
      </w:r>
      <w:r w:rsidRPr="009D546D">
        <w:rPr>
          <w:rFonts w:ascii="Arial" w:hAnsi="Arial" w:cs="Arial"/>
        </w:rPr>
        <w:t xml:space="preserve"> but stated that they would not re-advertise and finalise the Tender afresh by end of December. </w:t>
      </w:r>
    </w:p>
  </w:footnote>
  <w:footnote w:id="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 legal maxim described as meaning that an administrator/decision-maker/official who has once ‘discharged his official function’ by making a decision is unable to change his mind and revoke, withdraw or revisit the decision (Cora Hoexter </w:t>
      </w:r>
      <w:r w:rsidRPr="009D546D">
        <w:rPr>
          <w:rFonts w:ascii="Arial" w:hAnsi="Arial" w:cs="Arial"/>
          <w:i/>
        </w:rPr>
        <w:t>Administrative Law in South Africa</w:t>
      </w:r>
      <w:r w:rsidRPr="009D546D">
        <w:rPr>
          <w:rFonts w:ascii="Arial" w:hAnsi="Arial" w:cs="Arial"/>
        </w:rPr>
        <w:t xml:space="preserve"> (2 ed) (2012) at p 277. </w:t>
      </w:r>
    </w:p>
  </w:footnote>
  <w:footnote w:id="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These are the respondents opposing the order to compel and the declaratory relief sought in prayer 2 and 3 of the amended notice of motion. They are the 6</w:t>
      </w:r>
      <w:r w:rsidRPr="009D546D">
        <w:rPr>
          <w:rFonts w:ascii="Arial" w:hAnsi="Arial" w:cs="Arial"/>
          <w:vertAlign w:val="superscript"/>
        </w:rPr>
        <w:t>th,</w:t>
      </w:r>
      <w:r w:rsidRPr="009D546D">
        <w:rPr>
          <w:rFonts w:ascii="Arial" w:hAnsi="Arial" w:cs="Arial"/>
        </w:rPr>
        <w:t xml:space="preserve"> 32</w:t>
      </w:r>
      <w:r w:rsidRPr="009D546D">
        <w:rPr>
          <w:rFonts w:ascii="Arial" w:hAnsi="Arial" w:cs="Arial"/>
          <w:vertAlign w:val="superscript"/>
        </w:rPr>
        <w:t>nd,</w:t>
      </w:r>
      <w:r w:rsidRPr="009D546D">
        <w:rPr>
          <w:rFonts w:ascii="Arial" w:hAnsi="Arial" w:cs="Arial"/>
        </w:rPr>
        <w:t xml:space="preserve"> 56</w:t>
      </w:r>
      <w:r w:rsidRPr="009D546D">
        <w:rPr>
          <w:rFonts w:ascii="Arial" w:hAnsi="Arial" w:cs="Arial"/>
          <w:vertAlign w:val="superscript"/>
        </w:rPr>
        <w:t>th,</w:t>
      </w:r>
      <w:r w:rsidRPr="009D546D">
        <w:rPr>
          <w:rFonts w:ascii="Arial" w:hAnsi="Arial" w:cs="Arial"/>
        </w:rPr>
        <w:t xml:space="preserve"> 62</w:t>
      </w:r>
      <w:r w:rsidRPr="009D546D">
        <w:rPr>
          <w:rFonts w:ascii="Arial" w:hAnsi="Arial" w:cs="Arial"/>
          <w:vertAlign w:val="superscript"/>
        </w:rPr>
        <w:t>nd,</w:t>
      </w:r>
      <w:r w:rsidRPr="009D546D">
        <w:rPr>
          <w:rFonts w:ascii="Arial" w:hAnsi="Arial" w:cs="Arial"/>
        </w:rPr>
        <w:t xml:space="preserve"> and 83</w:t>
      </w:r>
      <w:r w:rsidRPr="009D546D">
        <w:rPr>
          <w:rFonts w:ascii="Arial" w:hAnsi="Arial" w:cs="Arial"/>
          <w:vertAlign w:val="superscript"/>
        </w:rPr>
        <w:t>rd,</w:t>
      </w:r>
      <w:r w:rsidRPr="009D546D">
        <w:rPr>
          <w:rFonts w:ascii="Arial" w:hAnsi="Arial" w:cs="Arial"/>
        </w:rPr>
        <w:t xml:space="preserve"> respondents (represented by Amupanda Kamanja &amp; Inc); the 83</w:t>
      </w:r>
      <w:r w:rsidRPr="009D546D">
        <w:rPr>
          <w:rFonts w:ascii="Arial" w:hAnsi="Arial" w:cs="Arial"/>
          <w:vertAlign w:val="superscript"/>
        </w:rPr>
        <w:t>rd</w:t>
      </w:r>
      <w:r w:rsidRPr="009D546D">
        <w:rPr>
          <w:rFonts w:ascii="Arial" w:hAnsi="Arial" w:cs="Arial"/>
        </w:rPr>
        <w:t xml:space="preserve"> respondent (Heritage Caterers (Pty) Ltd whose agreement had been extended in respect of the Otjozondjupa region; the 54</w:t>
      </w:r>
      <w:r w:rsidRPr="009D546D">
        <w:rPr>
          <w:rFonts w:ascii="Arial" w:hAnsi="Arial" w:cs="Arial"/>
          <w:vertAlign w:val="superscript"/>
        </w:rPr>
        <w:t>th</w:t>
      </w:r>
      <w:r w:rsidRPr="009D546D">
        <w:rPr>
          <w:rFonts w:ascii="Arial" w:hAnsi="Arial" w:cs="Arial"/>
        </w:rPr>
        <w:t xml:space="preserve"> respondent and the 74</w:t>
      </w:r>
      <w:r w:rsidRPr="009D546D">
        <w:rPr>
          <w:rFonts w:ascii="Arial" w:hAnsi="Arial" w:cs="Arial"/>
          <w:vertAlign w:val="superscript"/>
        </w:rPr>
        <w:t>th</w:t>
      </w:r>
      <w:r w:rsidRPr="009D546D">
        <w:rPr>
          <w:rFonts w:ascii="Arial" w:hAnsi="Arial" w:cs="Arial"/>
        </w:rPr>
        <w:t xml:space="preserve"> respondents (represented by Clement Daniels Attorneys); and the 84</w:t>
      </w:r>
      <w:r w:rsidRPr="009D546D">
        <w:rPr>
          <w:rFonts w:ascii="Arial" w:hAnsi="Arial" w:cs="Arial"/>
          <w:vertAlign w:val="superscript"/>
        </w:rPr>
        <w:t>th</w:t>
      </w:r>
      <w:r w:rsidRPr="009D546D">
        <w:rPr>
          <w:rFonts w:ascii="Arial" w:hAnsi="Arial" w:cs="Arial"/>
        </w:rPr>
        <w:t xml:space="preserve"> respondent (OKG Food Services (Pty) Ltd, whose agreement had been extended in respect of the Khomas region.</w:t>
      </w:r>
    </w:p>
  </w:footnote>
  <w:footnote w:id="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36.</w:t>
      </w:r>
    </w:p>
  </w:footnote>
  <w:footnote w:id="10">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 37.</w:t>
      </w:r>
    </w:p>
  </w:footnote>
  <w:footnote w:id="11">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paras 33 - 34.</w:t>
      </w:r>
    </w:p>
  </w:footnote>
  <w:footnote w:id="12">
    <w:p w:rsidR="00662971" w:rsidRPr="009D546D" w:rsidRDefault="00662971" w:rsidP="009D546D">
      <w:pPr>
        <w:pStyle w:val="FootnoteText"/>
        <w:jc w:val="both"/>
        <w:rPr>
          <w:rFonts w:ascii="Arial" w:hAnsi="Arial" w:cs="Arial"/>
          <w:i/>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R</w:t>
      </w:r>
      <w:r w:rsidRPr="009D546D">
        <w:rPr>
          <w:rFonts w:ascii="Arial" w:hAnsi="Arial" w:cs="Arial"/>
        </w:rPr>
        <w:t xml:space="preserve"> v </w:t>
      </w:r>
      <w:r w:rsidRPr="009D546D">
        <w:rPr>
          <w:rFonts w:ascii="Arial" w:hAnsi="Arial" w:cs="Arial"/>
          <w:i/>
        </w:rPr>
        <w:t xml:space="preserve">Doody v Secretary of State for the Home Department and Other Appeals </w:t>
      </w:r>
      <w:r w:rsidRPr="009D546D">
        <w:rPr>
          <w:rFonts w:ascii="Arial" w:hAnsi="Arial" w:cs="Arial"/>
        </w:rPr>
        <w:t xml:space="preserve">[1993] 3 All ER 92 (HL) at 106d-e, cited with approval by Corbett CJ in </w:t>
      </w:r>
      <w:r w:rsidRPr="009D546D">
        <w:rPr>
          <w:rFonts w:ascii="Arial" w:hAnsi="Arial" w:cs="Arial"/>
          <w:i/>
        </w:rPr>
        <w:t xml:space="preserve">Du Preez v TRC </w:t>
      </w:r>
      <w:r w:rsidRPr="009D546D">
        <w:rPr>
          <w:rFonts w:ascii="Arial" w:hAnsi="Arial" w:cs="Arial"/>
        </w:rPr>
        <w:t>1997 (3) SA 204 (A) at 231I-234D’(</w:t>
      </w:r>
      <w:r w:rsidRPr="009D546D">
        <w:rPr>
          <w:rFonts w:ascii="Arial" w:hAnsi="Arial" w:cs="Arial"/>
          <w:i/>
        </w:rPr>
        <w:t>Doody</w:t>
      </w:r>
      <w:r w:rsidRPr="009D546D">
        <w:rPr>
          <w:rFonts w:ascii="Arial" w:hAnsi="Arial" w:cs="Arial"/>
        </w:rPr>
        <w:t>)</w:t>
      </w:r>
      <w:r w:rsidRPr="009D546D">
        <w:rPr>
          <w:rFonts w:ascii="Arial" w:hAnsi="Arial" w:cs="Arial"/>
          <w:i/>
        </w:rPr>
        <w:t>.</w:t>
      </w:r>
    </w:p>
  </w:footnote>
  <w:footnote w:id="13">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34.</w:t>
      </w:r>
    </w:p>
  </w:footnote>
  <w:footnote w:id="1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So</w:t>
      </w:r>
      <w:r w:rsidRPr="009D546D">
        <w:rPr>
          <w:rFonts w:ascii="Arial" w:hAnsi="Arial" w:cs="Arial"/>
          <w:i/>
        </w:rPr>
        <w:t>uth African Association of Personal Injury Lawyers v Heath and Others</w:t>
      </w:r>
      <w:r w:rsidRPr="009D546D">
        <w:rPr>
          <w:rFonts w:ascii="Arial" w:hAnsi="Arial" w:cs="Arial"/>
        </w:rPr>
        <w:t xml:space="preserve"> 2001 (1) SA 883 (CC) at para 4 (</w:t>
      </w:r>
      <w:r w:rsidRPr="009D546D">
        <w:rPr>
          <w:rFonts w:ascii="Arial" w:hAnsi="Arial" w:cs="Arial"/>
          <w:i/>
        </w:rPr>
        <w:t>Heath</w:t>
      </w:r>
      <w:r w:rsidRPr="009D546D">
        <w:rPr>
          <w:rFonts w:ascii="Arial" w:hAnsi="Arial" w:cs="Arial"/>
        </w:rPr>
        <w:t>).</w:t>
      </w:r>
    </w:p>
  </w:footnote>
  <w:footnote w:id="15">
    <w:p w:rsidR="00662971" w:rsidRPr="009D546D" w:rsidRDefault="00662971" w:rsidP="009D546D">
      <w:pPr>
        <w:pStyle w:val="FootnoteText"/>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39</w:t>
      </w:r>
      <w:r w:rsidR="00D426AD">
        <w:rPr>
          <w:rFonts w:ascii="Arial" w:hAnsi="Arial" w:cs="Arial"/>
        </w:rPr>
        <w:t>.</w:t>
      </w:r>
    </w:p>
  </w:footnote>
  <w:footnote w:id="16">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 40 - 41.</w:t>
      </w:r>
    </w:p>
  </w:footnote>
  <w:footnote w:id="1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 43.</w:t>
      </w:r>
    </w:p>
  </w:footnote>
  <w:footnote w:id="1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 44.</w:t>
      </w:r>
    </w:p>
  </w:footnote>
  <w:footnote w:id="1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 xml:space="preserve">President of the Republic of South Africa and Others v South African Rugby </w:t>
      </w:r>
      <w:r w:rsidRPr="009D546D">
        <w:rPr>
          <w:rFonts w:ascii="Arial" w:hAnsi="Arial" w:cs="Arial"/>
        </w:rPr>
        <w:t>Football Union  (</w:t>
      </w:r>
      <w:r w:rsidRPr="00D426AD">
        <w:rPr>
          <w:rFonts w:ascii="Arial" w:hAnsi="Arial" w:cs="Arial"/>
          <w:i/>
        </w:rPr>
        <w:t>SARFU</w:t>
      </w:r>
      <w:r w:rsidRPr="009D546D">
        <w:rPr>
          <w:rFonts w:ascii="Arial" w:hAnsi="Arial" w:cs="Arial"/>
        </w:rPr>
        <w:t xml:space="preserve">) and Others 2000 (1) SA 1 (CC) where the Constitutional </w:t>
      </w:r>
      <w:r>
        <w:rPr>
          <w:rFonts w:ascii="Arial" w:hAnsi="Arial" w:cs="Arial"/>
        </w:rPr>
        <w:t>Court</w:t>
      </w:r>
      <w:r w:rsidRPr="009D546D">
        <w:rPr>
          <w:rFonts w:ascii="Arial" w:hAnsi="Arial" w:cs="Arial"/>
        </w:rPr>
        <w:t xml:space="preserve"> remarked at para 44: </w:t>
      </w:r>
    </w:p>
    <w:p w:rsidR="00662971" w:rsidRPr="009D546D" w:rsidRDefault="00662971" w:rsidP="009D546D">
      <w:pPr>
        <w:pStyle w:val="FootnoteText"/>
        <w:ind w:left="720"/>
        <w:jc w:val="both"/>
        <w:rPr>
          <w:rFonts w:ascii="Arial" w:hAnsi="Arial" w:cs="Arial"/>
          <w:lang w:val="en-GB"/>
        </w:rPr>
      </w:pPr>
      <w:r>
        <w:rPr>
          <w:rFonts w:ascii="Arial" w:hAnsi="Arial" w:cs="Arial"/>
        </w:rPr>
        <w:t>‘</w:t>
      </w:r>
      <w:r w:rsidRPr="009D546D">
        <w:rPr>
          <w:rFonts w:ascii="Arial" w:hAnsi="Arial" w:cs="Arial"/>
          <w:lang w:val="en-GB"/>
        </w:rPr>
        <w:t>In law, the appointment of a commission only takes place when the President’s decision is translated into an overt act, through public notification. . . . The President would have been entitled to change his mind at any time prior to the promulgation of the notice and nothing which he might have said to the Minister could h</w:t>
      </w:r>
      <w:r>
        <w:rPr>
          <w:rFonts w:ascii="Arial" w:hAnsi="Arial" w:cs="Arial"/>
          <w:lang w:val="en-GB"/>
        </w:rPr>
        <w:t>ave deprived him of that power.’</w:t>
      </w:r>
    </w:p>
    <w:p w:rsidR="00662971" w:rsidRPr="009D546D" w:rsidRDefault="00662971" w:rsidP="009D546D">
      <w:pPr>
        <w:pStyle w:val="FootnoteText"/>
        <w:jc w:val="both"/>
        <w:rPr>
          <w:rFonts w:ascii="Arial" w:hAnsi="Arial" w:cs="Arial"/>
        </w:rPr>
      </w:pPr>
      <w:r w:rsidRPr="009D546D">
        <w:rPr>
          <w:rFonts w:ascii="Arial" w:hAnsi="Arial" w:cs="Arial"/>
        </w:rPr>
        <w:t>Hoexter sums the position as follows at p 278:</w:t>
      </w:r>
      <w:r w:rsidR="00D426AD">
        <w:rPr>
          <w:rFonts w:ascii="Arial" w:hAnsi="Arial" w:cs="Arial"/>
        </w:rPr>
        <w:t xml:space="preserve"> </w:t>
      </w:r>
    </w:p>
    <w:p w:rsidR="00662971" w:rsidRPr="009D546D" w:rsidRDefault="00662971" w:rsidP="009D546D">
      <w:pPr>
        <w:pStyle w:val="FootnoteText"/>
        <w:ind w:left="720"/>
        <w:jc w:val="both"/>
        <w:rPr>
          <w:rFonts w:ascii="Arial" w:hAnsi="Arial" w:cs="Arial"/>
        </w:rPr>
      </w:pPr>
      <w:r>
        <w:rPr>
          <w:rFonts w:ascii="Arial" w:hAnsi="Arial" w:cs="Arial"/>
        </w:rPr>
        <w:t>‘</w:t>
      </w:r>
      <w:r w:rsidRPr="009D546D">
        <w:rPr>
          <w:rFonts w:ascii="Arial" w:hAnsi="Arial" w:cs="Arial"/>
        </w:rPr>
        <w:t xml:space="preserve">In general, the </w:t>
      </w:r>
      <w:r w:rsidRPr="009D546D">
        <w:rPr>
          <w:rFonts w:ascii="Arial" w:hAnsi="Arial" w:cs="Arial"/>
          <w:i/>
        </w:rPr>
        <w:t>functus officio</w:t>
      </w:r>
      <w:r w:rsidRPr="009D546D">
        <w:rPr>
          <w:rFonts w:ascii="Arial" w:hAnsi="Arial" w:cs="Arial"/>
        </w:rPr>
        <w:t xml:space="preserve"> doctrine applies only to final decisions, so that a decision is revocable before it becomes final. Finally is a point arrived at when the decision is published, announced or otherwise conveyed to those affected by it</w:t>
      </w:r>
      <w:r w:rsidR="00D426AD">
        <w:rPr>
          <w:rFonts w:ascii="Arial" w:hAnsi="Arial" w:cs="Arial"/>
        </w:rPr>
        <w:t>.</w:t>
      </w:r>
      <w:r>
        <w:rPr>
          <w:rFonts w:ascii="Arial" w:hAnsi="Arial" w:cs="Arial"/>
        </w:rPr>
        <w:t>’</w:t>
      </w:r>
    </w:p>
  </w:footnote>
  <w:footnote w:id="20">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Eastern Cape Provincial Government and Others v Contractprops 25 (Pty) Ltd</w:t>
      </w:r>
      <w:r w:rsidRPr="009D546D">
        <w:rPr>
          <w:rFonts w:ascii="Arial" w:hAnsi="Arial" w:cs="Arial"/>
        </w:rPr>
        <w:t xml:space="preserve"> 2001 (4) SA 142 (SCA).</w:t>
      </w:r>
    </w:p>
  </w:footnote>
  <w:footnote w:id="21">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High </w:t>
      </w:r>
      <w:r>
        <w:rPr>
          <w:rFonts w:ascii="Arial" w:hAnsi="Arial" w:cs="Arial"/>
        </w:rPr>
        <w:t>Court</w:t>
      </w:r>
      <w:r w:rsidRPr="009D546D">
        <w:rPr>
          <w:rFonts w:ascii="Arial" w:hAnsi="Arial" w:cs="Arial"/>
        </w:rPr>
        <w:t xml:space="preserve"> Judgment at para 48-54.</w:t>
      </w:r>
    </w:p>
  </w:footnote>
  <w:footnote w:id="22">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in this regard </w:t>
      </w:r>
      <w:r w:rsidRPr="009D546D">
        <w:rPr>
          <w:rFonts w:ascii="Arial" w:hAnsi="Arial" w:cs="Arial"/>
          <w:i/>
        </w:rPr>
        <w:t>Permanent Secretary of the Ministry of Finance and Others v Ward</w:t>
      </w:r>
      <w:r w:rsidRPr="009D546D">
        <w:rPr>
          <w:rFonts w:ascii="Arial" w:hAnsi="Arial" w:cs="Arial"/>
        </w:rPr>
        <w:t xml:space="preserve"> </w:t>
      </w:r>
      <w:r w:rsidRPr="007C2D8A">
        <w:rPr>
          <w:rFonts w:ascii="Arial" w:hAnsi="Arial" w:cs="Arial"/>
        </w:rPr>
        <w:t xml:space="preserve">2009 (1) NR 314 </w:t>
      </w:r>
      <w:r>
        <w:rPr>
          <w:rFonts w:ascii="Arial" w:hAnsi="Arial" w:cs="Arial"/>
        </w:rPr>
        <w:t>SC</w:t>
      </w:r>
      <w:r w:rsidRPr="009D546D">
        <w:rPr>
          <w:rFonts w:ascii="Arial" w:hAnsi="Arial" w:cs="Arial"/>
        </w:rPr>
        <w:t xml:space="preserve"> at para 26; see also </w:t>
      </w:r>
      <w:r w:rsidRPr="009D546D">
        <w:rPr>
          <w:rFonts w:ascii="Arial" w:hAnsi="Arial" w:cs="Arial"/>
          <w:i/>
        </w:rPr>
        <w:t>Logbro Properties CC v Bedderson NO and Others</w:t>
      </w:r>
      <w:r w:rsidRPr="009D546D">
        <w:rPr>
          <w:rFonts w:ascii="Arial" w:hAnsi="Arial" w:cs="Arial"/>
        </w:rPr>
        <w:t xml:space="preserve"> 2003 (2) SA 460 (SCA) and </w:t>
      </w:r>
      <w:r w:rsidRPr="009D546D">
        <w:rPr>
          <w:rFonts w:ascii="Arial" w:hAnsi="Arial" w:cs="Arial"/>
          <w:i/>
        </w:rPr>
        <w:t>Umfolosi Transport (Edms) Bpk v Minister van Vervoer</w:t>
      </w:r>
      <w:r w:rsidRPr="009D546D">
        <w:rPr>
          <w:rFonts w:ascii="Arial" w:hAnsi="Arial" w:cs="Arial"/>
        </w:rPr>
        <w:t xml:space="preserve"> [1997] 2 All SA 548 (A) 552j-553a (</w:t>
      </w:r>
      <w:r w:rsidRPr="009D546D">
        <w:rPr>
          <w:rFonts w:ascii="Arial" w:hAnsi="Arial" w:cs="Arial"/>
          <w:i/>
        </w:rPr>
        <w:t>Umfolosi).</w:t>
      </w:r>
    </w:p>
  </w:footnote>
  <w:footnote w:id="23">
    <w:p w:rsidR="00662971" w:rsidRPr="009D546D" w:rsidRDefault="00662971" w:rsidP="009D546D">
      <w:pPr>
        <w:pStyle w:val="FootnoteText"/>
        <w:jc w:val="both"/>
        <w:rPr>
          <w:rFonts w:ascii="Arial" w:hAnsi="Arial" w:cs="Arial"/>
          <w:lang w:val="en-US"/>
        </w:rPr>
      </w:pPr>
      <w:r w:rsidRPr="009D546D">
        <w:rPr>
          <w:rStyle w:val="FootnoteReference"/>
          <w:rFonts w:ascii="Arial" w:hAnsi="Arial" w:cs="Arial"/>
        </w:rPr>
        <w:footnoteRef/>
      </w:r>
      <w:r w:rsidRPr="009D546D">
        <w:rPr>
          <w:rFonts w:ascii="Arial" w:hAnsi="Arial" w:cs="Arial"/>
          <w:i/>
          <w:lang w:val="en-US"/>
        </w:rPr>
        <w:t xml:space="preserve">SAAB Grintek Defence (Pty) Ltd v South African Police Services and Others </w:t>
      </w:r>
      <w:r w:rsidRPr="009D546D">
        <w:rPr>
          <w:rFonts w:ascii="Arial" w:hAnsi="Arial" w:cs="Arial"/>
          <w:lang w:val="en-US"/>
        </w:rPr>
        <w:t xml:space="preserve">[2016] 3 All SA </w:t>
      </w:r>
      <w:r>
        <w:rPr>
          <w:rFonts w:ascii="Arial" w:hAnsi="Arial" w:cs="Arial"/>
          <w:lang w:val="en-US"/>
        </w:rPr>
        <w:t>669 (SCA)</w:t>
      </w:r>
      <w:r w:rsidRPr="009D546D">
        <w:rPr>
          <w:rFonts w:ascii="Arial" w:hAnsi="Arial" w:cs="Arial"/>
          <w:lang w:val="en-US"/>
        </w:rPr>
        <w:t>.</w:t>
      </w:r>
    </w:p>
  </w:footnote>
  <w:footnote w:id="2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In the decision of the South African Constitutional </w:t>
      </w:r>
      <w:r>
        <w:rPr>
          <w:rFonts w:ascii="Arial" w:hAnsi="Arial" w:cs="Arial"/>
        </w:rPr>
        <w:t>Court</w:t>
      </w:r>
      <w:r w:rsidRPr="009D546D">
        <w:rPr>
          <w:rFonts w:ascii="Arial" w:hAnsi="Arial" w:cs="Arial"/>
        </w:rPr>
        <w:t xml:space="preserve"> in </w:t>
      </w:r>
      <w:r w:rsidRPr="009D546D">
        <w:rPr>
          <w:rFonts w:ascii="Arial" w:hAnsi="Arial" w:cs="Arial"/>
          <w:i/>
        </w:rPr>
        <w:t>AllPay</w:t>
      </w:r>
      <w:r w:rsidRPr="009D546D">
        <w:rPr>
          <w:rFonts w:ascii="Arial" w:hAnsi="Arial" w:cs="Arial"/>
        </w:rPr>
        <w:t xml:space="preserve"> </w:t>
      </w:r>
      <w:r w:rsidRPr="009D546D">
        <w:rPr>
          <w:rFonts w:ascii="Arial" w:hAnsi="Arial" w:cs="Arial"/>
          <w:i/>
        </w:rPr>
        <w:t xml:space="preserve">Consolidated and Others Investment Holdings (Pty) Ltd and Others v Chief Executive Officer of the South African Social Security Agency </w:t>
      </w:r>
      <w:r w:rsidRPr="009D546D">
        <w:rPr>
          <w:rFonts w:ascii="Arial" w:hAnsi="Arial" w:cs="Arial"/>
        </w:rPr>
        <w:t xml:space="preserve">2014 (1) SA 604 (CC) at para 4, the </w:t>
      </w:r>
      <w:r>
        <w:rPr>
          <w:rFonts w:ascii="Arial" w:hAnsi="Arial" w:cs="Arial"/>
        </w:rPr>
        <w:t>Court</w:t>
      </w:r>
      <w:r w:rsidRPr="009D546D">
        <w:rPr>
          <w:rFonts w:ascii="Arial" w:hAnsi="Arial" w:cs="Arial"/>
        </w:rPr>
        <w:t xml:space="preserve"> stressed that because procurement palpably implicate socio-economic rights of people, the public has interest in procurement tendering being conducted in a fair, equitable, transparent, competitive and costs-effective manner. </w:t>
      </w:r>
    </w:p>
  </w:footnote>
  <w:footnote w:id="25">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Article 1(6) of the Constitution.</w:t>
      </w:r>
    </w:p>
  </w:footnote>
  <w:footnote w:id="26">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Article 1(1) of the Constitution.</w:t>
      </w:r>
    </w:p>
  </w:footnote>
  <w:footnote w:id="2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Rally for Democracy and Progress and Others v Electoral Commission of Namibia and Others</w:t>
      </w:r>
      <w:r w:rsidRPr="009D546D">
        <w:rPr>
          <w:rFonts w:ascii="Arial" w:hAnsi="Arial" w:cs="Arial"/>
        </w:rPr>
        <w:t xml:space="preserve"> </w:t>
      </w:r>
      <w:r w:rsidR="00D426AD">
        <w:rPr>
          <w:rFonts w:ascii="Arial" w:hAnsi="Arial" w:cs="Arial"/>
        </w:rPr>
        <w:t>2010 (2) NR 487 (SC) at para 23</w:t>
      </w:r>
      <w:r w:rsidRPr="009D546D">
        <w:rPr>
          <w:rFonts w:ascii="Arial" w:hAnsi="Arial" w:cs="Arial"/>
        </w:rPr>
        <w:t xml:space="preserve"> (</w:t>
      </w:r>
      <w:r w:rsidRPr="009D546D">
        <w:rPr>
          <w:rFonts w:ascii="Arial" w:hAnsi="Arial" w:cs="Arial"/>
          <w:i/>
        </w:rPr>
        <w:t>Rally for Democracy</w:t>
      </w:r>
      <w:r w:rsidRPr="009D546D">
        <w:rPr>
          <w:rFonts w:ascii="Arial" w:hAnsi="Arial" w:cs="Arial"/>
        </w:rPr>
        <w:t>).</w:t>
      </w:r>
    </w:p>
  </w:footnote>
  <w:footnote w:id="2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De Lange v Smuts NO and Others</w:t>
      </w:r>
      <w:r w:rsidRPr="009D546D">
        <w:rPr>
          <w:rFonts w:ascii="Arial" w:hAnsi="Arial" w:cs="Arial"/>
        </w:rPr>
        <w:t xml:space="preserve"> 1998 (3) SA 785 (CC) at para 131 (</w:t>
      </w:r>
      <w:r w:rsidRPr="009D546D">
        <w:rPr>
          <w:rFonts w:ascii="Arial" w:hAnsi="Arial" w:cs="Arial"/>
          <w:i/>
        </w:rPr>
        <w:t>De Lange</w:t>
      </w:r>
      <w:r w:rsidRPr="009D546D">
        <w:rPr>
          <w:rFonts w:ascii="Arial" w:hAnsi="Arial" w:cs="Arial"/>
        </w:rPr>
        <w:t xml:space="preserve">) quoted by the same </w:t>
      </w:r>
      <w:r>
        <w:rPr>
          <w:rFonts w:ascii="Arial" w:hAnsi="Arial" w:cs="Arial"/>
        </w:rPr>
        <w:t>Court</w:t>
      </w:r>
      <w:r w:rsidRPr="009D546D">
        <w:rPr>
          <w:rFonts w:ascii="Arial" w:hAnsi="Arial" w:cs="Arial"/>
        </w:rPr>
        <w:t xml:space="preserve"> in </w:t>
      </w:r>
      <w:r w:rsidRPr="009D546D">
        <w:rPr>
          <w:rFonts w:ascii="Arial" w:hAnsi="Arial" w:cs="Arial"/>
          <w:i/>
        </w:rPr>
        <w:t>Stopforth Swanepoel &amp; Brewis Incorporated v Royal Anthem Investments</w:t>
      </w:r>
      <w:r w:rsidRPr="009D546D">
        <w:rPr>
          <w:rFonts w:ascii="Arial" w:hAnsi="Arial" w:cs="Arial"/>
        </w:rPr>
        <w:t xml:space="preserve"> 129 (Pty) Ltd and Others 2015 (2) SA 539 (CC) 26.</w:t>
      </w:r>
    </w:p>
  </w:footnote>
  <w:footnote w:id="2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Francis Neate, </w:t>
      </w:r>
      <w:r w:rsidRPr="009D546D">
        <w:rPr>
          <w:rFonts w:ascii="Arial" w:hAnsi="Arial" w:cs="Arial"/>
          <w:i/>
        </w:rPr>
        <w:t>The Rule of Law: Perspective from around the Globe</w:t>
      </w:r>
      <w:r w:rsidRPr="009D546D">
        <w:rPr>
          <w:rFonts w:ascii="Arial" w:hAnsi="Arial" w:cs="Arial"/>
        </w:rPr>
        <w:t xml:space="preserve"> (Lexis Nexis</w:t>
      </w:r>
      <w:r w:rsidR="00EC4296">
        <w:rPr>
          <w:rFonts w:ascii="Arial" w:hAnsi="Arial" w:cs="Arial"/>
        </w:rPr>
        <w:t>)</w:t>
      </w:r>
      <w:r w:rsidRPr="009D546D">
        <w:rPr>
          <w:rFonts w:ascii="Arial" w:hAnsi="Arial" w:cs="Arial"/>
        </w:rPr>
        <w:t xml:space="preserve"> 2009, at p 22.</w:t>
      </w:r>
    </w:p>
  </w:footnote>
  <w:footnote w:id="30">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Above at [33].</w:t>
      </w:r>
    </w:p>
  </w:footnote>
  <w:footnote w:id="31">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Above note 15.</w:t>
      </w:r>
    </w:p>
  </w:footnote>
  <w:footnote w:id="32">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4.</w:t>
      </w:r>
    </w:p>
  </w:footnote>
  <w:footnote w:id="33">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above note 13.</w:t>
      </w:r>
    </w:p>
  </w:footnote>
  <w:footnote w:id="3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The passage is cited by this </w:t>
      </w:r>
      <w:r>
        <w:rPr>
          <w:rFonts w:ascii="Arial" w:hAnsi="Arial" w:cs="Arial"/>
        </w:rPr>
        <w:t>Court</w:t>
      </w:r>
      <w:r w:rsidRPr="009D546D">
        <w:rPr>
          <w:rFonts w:ascii="Arial" w:hAnsi="Arial" w:cs="Arial"/>
        </w:rPr>
        <w:t xml:space="preserve"> in </w:t>
      </w:r>
      <w:r w:rsidRPr="009D546D">
        <w:rPr>
          <w:rFonts w:ascii="Arial" w:hAnsi="Arial" w:cs="Arial"/>
          <w:i/>
        </w:rPr>
        <w:t xml:space="preserve">Vaatz v Municipal Council of the Municipality of Windhoek </w:t>
      </w:r>
      <w:r w:rsidRPr="009D546D">
        <w:rPr>
          <w:rFonts w:ascii="Arial" w:hAnsi="Arial" w:cs="Arial"/>
        </w:rPr>
        <w:t>2017 (1) NR 32 (SC) at para 25.</w:t>
      </w:r>
    </w:p>
  </w:footnote>
  <w:footnote w:id="35">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Minister of Mines and Energy and Others v Petroneft International Ltd and Others</w:t>
      </w:r>
      <w:r w:rsidRPr="009D546D">
        <w:rPr>
          <w:rFonts w:ascii="Arial" w:hAnsi="Arial" w:cs="Arial"/>
        </w:rPr>
        <w:t xml:space="preserve"> 2012 (2) NR 781 (SC) at para 38.</w:t>
      </w:r>
    </w:p>
  </w:footnote>
  <w:footnote w:id="36">
    <w:p w:rsidR="00662971" w:rsidRPr="009D546D" w:rsidRDefault="00662971" w:rsidP="009D546D">
      <w:pPr>
        <w:pStyle w:val="NoSpacing"/>
        <w:jc w:val="both"/>
        <w:rPr>
          <w:rFonts w:ascii="Arial" w:hAnsi="Arial" w:cs="Arial"/>
          <w:sz w:val="20"/>
          <w:szCs w:val="20"/>
        </w:rPr>
      </w:pPr>
      <w:r w:rsidRPr="009D546D">
        <w:rPr>
          <w:rStyle w:val="FootnoteReference"/>
          <w:rFonts w:ascii="Arial" w:hAnsi="Arial" w:cs="Arial"/>
          <w:sz w:val="20"/>
          <w:szCs w:val="20"/>
        </w:rPr>
        <w:footnoteRef/>
      </w:r>
      <w:r w:rsidRPr="009D546D">
        <w:rPr>
          <w:rFonts w:ascii="Arial" w:hAnsi="Arial" w:cs="Arial"/>
          <w:sz w:val="20"/>
          <w:szCs w:val="20"/>
        </w:rPr>
        <w:t xml:space="preserve"> See above [7]. </w:t>
      </w:r>
    </w:p>
  </w:footnote>
  <w:footnote w:id="3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in this regard </w:t>
      </w:r>
      <w:r w:rsidRPr="009D546D">
        <w:rPr>
          <w:rFonts w:ascii="Arial" w:hAnsi="Arial" w:cs="Arial"/>
          <w:i/>
        </w:rPr>
        <w:t xml:space="preserve">Rally for Democracy </w:t>
      </w:r>
      <w:r w:rsidRPr="009D546D">
        <w:rPr>
          <w:rFonts w:ascii="Arial" w:hAnsi="Arial" w:cs="Arial"/>
        </w:rPr>
        <w:t>at para 23.</w:t>
      </w:r>
    </w:p>
  </w:footnote>
  <w:footnote w:id="3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Above at [6].</w:t>
      </w:r>
    </w:p>
  </w:footnote>
  <w:footnote w:id="3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37.</w:t>
      </w:r>
    </w:p>
  </w:footnote>
  <w:footnote w:id="40">
    <w:p w:rsidR="00662971" w:rsidRPr="009D546D" w:rsidRDefault="00662971" w:rsidP="009D546D">
      <w:pPr>
        <w:pStyle w:val="FootnoteText"/>
        <w:jc w:val="both"/>
        <w:rPr>
          <w:rFonts w:ascii="Arial" w:hAnsi="Arial" w:cs="Arial"/>
          <w:i/>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 xml:space="preserve">Chirwa v Transnet Ltd and Others </w:t>
      </w:r>
      <w:r w:rsidRPr="009D546D">
        <w:rPr>
          <w:rFonts w:ascii="Arial" w:hAnsi="Arial" w:cs="Arial"/>
        </w:rPr>
        <w:t xml:space="preserve">2008 (4) SA 367 (CC). </w:t>
      </w:r>
    </w:p>
  </w:footnote>
  <w:footnote w:id="41">
    <w:p w:rsidR="00662971" w:rsidRPr="009D546D" w:rsidRDefault="00662971" w:rsidP="009D546D">
      <w:pPr>
        <w:pStyle w:val="FootnoteText"/>
        <w:rPr>
          <w:rFonts w:ascii="Arial" w:hAnsi="Arial" w:cs="Arial"/>
        </w:rPr>
      </w:pPr>
      <w:r w:rsidRPr="00200B18">
        <w:rPr>
          <w:rStyle w:val="FootnoteReference"/>
          <w:rFonts w:ascii="Arial" w:hAnsi="Arial" w:cs="Arial"/>
        </w:rPr>
        <w:footnoteRef/>
      </w:r>
      <w:r w:rsidRPr="00200B18">
        <w:rPr>
          <w:rFonts w:ascii="Arial" w:hAnsi="Arial" w:cs="Arial"/>
        </w:rPr>
        <w:t xml:space="preserve"> Id at para 175.</w:t>
      </w:r>
      <w:r w:rsidRPr="009D546D">
        <w:rPr>
          <w:rFonts w:ascii="Arial" w:hAnsi="Arial" w:cs="Arial"/>
        </w:rPr>
        <w:t xml:space="preserve"> </w:t>
      </w:r>
    </w:p>
  </w:footnote>
  <w:footnote w:id="42">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The transcript reveals that the Ministry was serious on wanting to cancel the tender but reasons were not given to the Board. The Ministry was not forthcoming with the reasons for cancellation. The reason advanced for cancelling the tender as per the opposing papers of the first to third resp</w:t>
      </w:r>
      <w:r w:rsidR="00EC4296">
        <w:rPr>
          <w:rFonts w:ascii="Arial" w:hAnsi="Arial" w:cs="Arial"/>
        </w:rPr>
        <w:t>ondent was that of the alleged ‘</w:t>
      </w:r>
      <w:r w:rsidRPr="009D546D">
        <w:rPr>
          <w:rFonts w:ascii="Arial" w:hAnsi="Arial" w:cs="Arial"/>
        </w:rPr>
        <w:t>revelations of the allegation</w:t>
      </w:r>
      <w:r w:rsidR="00EC4296">
        <w:rPr>
          <w:rFonts w:ascii="Arial" w:hAnsi="Arial" w:cs="Arial"/>
        </w:rPr>
        <w:t>s of impropriety and corruption.’</w:t>
      </w:r>
      <w:r w:rsidRPr="009D546D">
        <w:rPr>
          <w:rFonts w:ascii="Arial" w:hAnsi="Arial" w:cs="Arial"/>
        </w:rPr>
        <w:t xml:space="preserve"> The transcription of the meeting of the Board mentions information of lapses of integrity and conflict of interests and non-compliance with the tender for catering for the special needs students.</w:t>
      </w:r>
    </w:p>
  </w:footnote>
  <w:footnote w:id="43">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High </w:t>
      </w:r>
      <w:r>
        <w:rPr>
          <w:rFonts w:ascii="Arial" w:hAnsi="Arial" w:cs="Arial"/>
        </w:rPr>
        <w:t>Court</w:t>
      </w:r>
      <w:r w:rsidRPr="009D546D">
        <w:rPr>
          <w:rFonts w:ascii="Arial" w:hAnsi="Arial" w:cs="Arial"/>
        </w:rPr>
        <w:t xml:space="preserve"> Judgment at para 37.</w:t>
      </w:r>
    </w:p>
  </w:footnote>
  <w:footnote w:id="4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Above note 42.</w:t>
      </w:r>
    </w:p>
  </w:footnote>
  <w:footnote w:id="45">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w:t>
      </w:r>
    </w:p>
  </w:footnote>
  <w:footnote w:id="46">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above [15].</w:t>
      </w:r>
    </w:p>
  </w:footnote>
  <w:footnote w:id="4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in this regard </w:t>
      </w:r>
      <w:r w:rsidRPr="009D546D">
        <w:rPr>
          <w:rFonts w:ascii="Arial" w:hAnsi="Arial" w:cs="Arial"/>
          <w:i/>
        </w:rPr>
        <w:t xml:space="preserve">Minister of Health and Social Services v Lisse </w:t>
      </w:r>
      <w:r w:rsidRPr="009D546D">
        <w:rPr>
          <w:rFonts w:ascii="Arial" w:hAnsi="Arial" w:cs="Arial"/>
        </w:rPr>
        <w:t>2006 (2) NR 739.</w:t>
      </w:r>
    </w:p>
  </w:footnote>
  <w:footnote w:id="4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Chairperson, STC v JFE Sapela Electronics (Pt</w:t>
      </w:r>
      <w:r>
        <w:rPr>
          <w:rFonts w:ascii="Arial" w:hAnsi="Arial" w:cs="Arial"/>
          <w:i/>
        </w:rPr>
        <w:t>y</w:t>
      </w:r>
      <w:r w:rsidRPr="009D546D">
        <w:rPr>
          <w:rFonts w:ascii="Arial" w:hAnsi="Arial" w:cs="Arial"/>
          <w:i/>
        </w:rPr>
        <w:t xml:space="preserve">) Ltd </w:t>
      </w:r>
      <w:r w:rsidRPr="009D546D">
        <w:rPr>
          <w:rFonts w:ascii="Arial" w:hAnsi="Arial" w:cs="Arial"/>
        </w:rPr>
        <w:t>2008 (2) SA 638 at 650</w:t>
      </w:r>
      <w:r>
        <w:rPr>
          <w:rFonts w:ascii="Arial" w:hAnsi="Arial" w:cs="Arial"/>
        </w:rPr>
        <w:t xml:space="preserve"> (SCA)</w:t>
      </w:r>
      <w:r w:rsidRPr="009D546D">
        <w:rPr>
          <w:rFonts w:ascii="Arial" w:hAnsi="Arial" w:cs="Arial"/>
        </w:rPr>
        <w:t xml:space="preserve"> (</w:t>
      </w:r>
      <w:r w:rsidRPr="009D546D">
        <w:rPr>
          <w:rFonts w:ascii="Arial" w:hAnsi="Arial" w:cs="Arial"/>
          <w:i/>
        </w:rPr>
        <w:t>Sapela</w:t>
      </w:r>
      <w:r w:rsidRPr="009D546D">
        <w:rPr>
          <w:rFonts w:ascii="Arial" w:hAnsi="Arial" w:cs="Arial"/>
        </w:rPr>
        <w:t xml:space="preserve">), quoted with approval </w:t>
      </w:r>
      <w:r>
        <w:rPr>
          <w:rFonts w:ascii="Arial" w:hAnsi="Arial" w:cs="Arial"/>
        </w:rPr>
        <w:t xml:space="preserve">in </w:t>
      </w:r>
      <w:r w:rsidRPr="00234666">
        <w:rPr>
          <w:rFonts w:ascii="Arial" w:hAnsi="Arial" w:cs="Arial"/>
          <w:i/>
        </w:rPr>
        <w:t>Fire Tech Systems CC v Namibia Airports Co Ltd and Others</w:t>
      </w:r>
      <w:r w:rsidRPr="009D546D">
        <w:rPr>
          <w:rFonts w:ascii="Arial" w:hAnsi="Arial" w:cs="Arial"/>
        </w:rPr>
        <w:t xml:space="preserve"> 2016 (3) NR 802 (HC) at para 61.</w:t>
      </w:r>
    </w:p>
  </w:footnote>
  <w:footnote w:id="4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Oudekraal Estate (Pty) Ltd v City of Cape Town</w:t>
      </w:r>
      <w:r w:rsidRPr="009D546D">
        <w:rPr>
          <w:rFonts w:ascii="Arial" w:hAnsi="Arial" w:cs="Arial"/>
        </w:rPr>
        <w:t xml:space="preserve"> 2004 (6) SA 222 (SCA) </w:t>
      </w:r>
      <w:r>
        <w:rPr>
          <w:rFonts w:ascii="Arial" w:hAnsi="Arial" w:cs="Arial"/>
        </w:rPr>
        <w:t xml:space="preserve">at </w:t>
      </w:r>
      <w:r w:rsidRPr="009D546D">
        <w:rPr>
          <w:rFonts w:ascii="Arial" w:hAnsi="Arial" w:cs="Arial"/>
        </w:rPr>
        <w:t>para 36 (</w:t>
      </w:r>
      <w:r w:rsidRPr="009D546D">
        <w:rPr>
          <w:rFonts w:ascii="Arial" w:hAnsi="Arial" w:cs="Arial"/>
          <w:i/>
        </w:rPr>
        <w:t>Oudekraal)</w:t>
      </w:r>
      <w:r w:rsidRPr="009D546D">
        <w:rPr>
          <w:rFonts w:ascii="Arial" w:hAnsi="Arial" w:cs="Arial"/>
        </w:rPr>
        <w:t>.</w:t>
      </w:r>
    </w:p>
  </w:footnote>
  <w:footnote w:id="50">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w:t>
      </w:r>
      <w:r w:rsidRPr="009D546D">
        <w:rPr>
          <w:rFonts w:ascii="Arial" w:hAnsi="Arial" w:cs="Arial"/>
          <w:i/>
        </w:rPr>
        <w:t>SA Jewish Board of Deputies v Sutherland NO and Others</w:t>
      </w:r>
      <w:r w:rsidRPr="009D546D">
        <w:rPr>
          <w:rFonts w:ascii="Arial" w:hAnsi="Arial" w:cs="Arial"/>
        </w:rPr>
        <w:t xml:space="preserve"> 2004 (4) SA 368 at 390B.</w:t>
      </w:r>
    </w:p>
  </w:footnote>
  <w:footnote w:id="51">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See the decision of the South African Westerns Cape High </w:t>
      </w:r>
      <w:r>
        <w:rPr>
          <w:rFonts w:ascii="Arial" w:hAnsi="Arial" w:cs="Arial"/>
        </w:rPr>
        <w:t>Court</w:t>
      </w:r>
      <w:r w:rsidRPr="009D546D">
        <w:rPr>
          <w:rFonts w:ascii="Arial" w:hAnsi="Arial" w:cs="Arial"/>
        </w:rPr>
        <w:t xml:space="preserve"> in </w:t>
      </w:r>
      <w:r w:rsidRPr="009D546D">
        <w:rPr>
          <w:rFonts w:ascii="Arial" w:hAnsi="Arial" w:cs="Arial"/>
          <w:i/>
        </w:rPr>
        <w:t xml:space="preserve">University of the Western Cape and Others v Member of Executive Committee for Health and Social Services and Others </w:t>
      </w:r>
      <w:r w:rsidRPr="009D546D">
        <w:rPr>
          <w:rFonts w:ascii="Arial" w:hAnsi="Arial" w:cs="Arial"/>
        </w:rPr>
        <w:t xml:space="preserve">1998 (3) SA 124 (C) at 131D-G, cited with approval by this </w:t>
      </w:r>
      <w:r>
        <w:rPr>
          <w:rFonts w:ascii="Arial" w:hAnsi="Arial" w:cs="Arial"/>
        </w:rPr>
        <w:t>Court</w:t>
      </w:r>
      <w:r w:rsidRPr="009D546D">
        <w:rPr>
          <w:rFonts w:ascii="Arial" w:hAnsi="Arial" w:cs="Arial"/>
        </w:rPr>
        <w:t xml:space="preserve"> in </w:t>
      </w:r>
      <w:r w:rsidRPr="009D546D">
        <w:rPr>
          <w:rFonts w:ascii="Arial" w:hAnsi="Arial" w:cs="Arial"/>
          <w:i/>
        </w:rPr>
        <w:t xml:space="preserve">Waterberg Big Game Hunting Lodge Otjahewita (Pty) Ltd v Minister of Environment &amp; Tourism </w:t>
      </w:r>
      <w:r w:rsidRPr="009D546D">
        <w:rPr>
          <w:rFonts w:ascii="Arial" w:hAnsi="Arial" w:cs="Arial"/>
        </w:rPr>
        <w:t>2010 (1) NR (1) (SC) at 32E-H (</w:t>
      </w:r>
      <w:r w:rsidRPr="009D546D">
        <w:rPr>
          <w:rFonts w:ascii="Arial" w:hAnsi="Arial" w:cs="Arial"/>
          <w:i/>
        </w:rPr>
        <w:t>Waterberg</w:t>
      </w:r>
      <w:r w:rsidRPr="009D546D">
        <w:rPr>
          <w:rFonts w:ascii="Arial" w:hAnsi="Arial" w:cs="Arial"/>
        </w:rPr>
        <w:t>).</w:t>
      </w:r>
    </w:p>
  </w:footnote>
  <w:footnote w:id="52">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Trustco Ltd t/a Shield Namibia and another v Deeds Registries Regulation Board and Others</w:t>
      </w:r>
      <w:r w:rsidRPr="009D546D">
        <w:rPr>
          <w:rFonts w:ascii="Arial" w:hAnsi="Arial" w:cs="Arial"/>
        </w:rPr>
        <w:t xml:space="preserve"> </w:t>
      </w:r>
      <w:r w:rsidR="00EA73CD" w:rsidRPr="00EA73CD">
        <w:rPr>
          <w:rFonts w:ascii="Arial" w:hAnsi="Arial" w:cs="Arial"/>
        </w:rPr>
        <w:t>2011 (2) NR 726 (SC)</w:t>
      </w:r>
      <w:r w:rsidRPr="009D546D">
        <w:rPr>
          <w:rFonts w:ascii="Arial" w:hAnsi="Arial" w:cs="Arial"/>
        </w:rPr>
        <w:t xml:space="preserve">. This was endorsed later by this </w:t>
      </w:r>
      <w:r>
        <w:rPr>
          <w:rFonts w:ascii="Arial" w:hAnsi="Arial" w:cs="Arial"/>
        </w:rPr>
        <w:t>Court</w:t>
      </w:r>
      <w:r w:rsidRPr="009D546D">
        <w:rPr>
          <w:rFonts w:ascii="Arial" w:hAnsi="Arial" w:cs="Arial"/>
        </w:rPr>
        <w:t xml:space="preserve"> </w:t>
      </w:r>
      <w:r w:rsidRPr="009D546D">
        <w:rPr>
          <w:rFonts w:ascii="Arial" w:hAnsi="Arial" w:cs="Arial"/>
          <w:i/>
        </w:rPr>
        <w:t>in New Era Investment (Pty) Ltd v The Road Authority, The Chairperson of</w:t>
      </w:r>
      <w:r w:rsidR="00B75DC1">
        <w:rPr>
          <w:rFonts w:ascii="Arial" w:hAnsi="Arial" w:cs="Arial"/>
          <w:i/>
        </w:rPr>
        <w:t xml:space="preserve"> the Board of Directors – Road </w:t>
      </w:r>
      <w:r w:rsidRPr="009D546D">
        <w:rPr>
          <w:rFonts w:ascii="Arial" w:hAnsi="Arial" w:cs="Arial"/>
          <w:i/>
        </w:rPr>
        <w:t>Authority</w:t>
      </w:r>
      <w:r w:rsidRPr="009D546D">
        <w:rPr>
          <w:rFonts w:ascii="Arial" w:hAnsi="Arial" w:cs="Arial"/>
        </w:rPr>
        <w:t xml:space="preserve"> </w:t>
      </w:r>
      <w:r w:rsidR="00B75DC1" w:rsidRPr="00B75DC1">
        <w:rPr>
          <w:rFonts w:ascii="Arial" w:hAnsi="Arial" w:cs="Arial"/>
        </w:rPr>
        <w:t xml:space="preserve">2017 (4) NR 1160 (SC) </w:t>
      </w:r>
      <w:r w:rsidRPr="009D546D">
        <w:rPr>
          <w:rFonts w:ascii="Arial" w:hAnsi="Arial" w:cs="Arial"/>
        </w:rPr>
        <w:t xml:space="preserve">at para 36. See also the decision of the South African Constitutional </w:t>
      </w:r>
      <w:r>
        <w:rPr>
          <w:rFonts w:ascii="Arial" w:hAnsi="Arial" w:cs="Arial"/>
        </w:rPr>
        <w:t>Court</w:t>
      </w:r>
      <w:r w:rsidRPr="009D546D">
        <w:rPr>
          <w:rFonts w:ascii="Arial" w:hAnsi="Arial" w:cs="Arial"/>
        </w:rPr>
        <w:t xml:space="preserve">s in </w:t>
      </w:r>
      <w:r w:rsidRPr="009D546D">
        <w:rPr>
          <w:rFonts w:ascii="Arial" w:hAnsi="Arial" w:cs="Arial"/>
          <w:i/>
        </w:rPr>
        <w:t>Bato Star Fishing (Pty) Ltd v Minister of Environmental Affairs and Others</w:t>
      </w:r>
      <w:r w:rsidRPr="009D546D">
        <w:rPr>
          <w:rFonts w:ascii="Arial" w:hAnsi="Arial" w:cs="Arial"/>
        </w:rPr>
        <w:t xml:space="preserve"> 2004 (4) SA 490 (CC) </w:t>
      </w:r>
      <w:r w:rsidR="001A2E5C">
        <w:rPr>
          <w:rFonts w:ascii="Arial" w:hAnsi="Arial" w:cs="Arial"/>
        </w:rPr>
        <w:t xml:space="preserve">at para </w:t>
      </w:r>
      <w:r w:rsidRPr="009D546D">
        <w:rPr>
          <w:rFonts w:ascii="Arial" w:hAnsi="Arial" w:cs="Arial"/>
        </w:rPr>
        <w:t xml:space="preserve">15. </w:t>
      </w:r>
    </w:p>
  </w:footnote>
  <w:footnote w:id="53">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00D426AD">
        <w:rPr>
          <w:rFonts w:ascii="Arial" w:hAnsi="Arial" w:cs="Arial"/>
        </w:rPr>
        <w:t xml:space="preserve"> </w:t>
      </w:r>
      <w:r w:rsidR="00E33584">
        <w:rPr>
          <w:rFonts w:ascii="Arial" w:hAnsi="Arial" w:cs="Arial"/>
        </w:rPr>
        <w:t xml:space="preserve">See </w:t>
      </w:r>
      <w:r w:rsidR="00E33584" w:rsidRPr="00E33584">
        <w:rPr>
          <w:rFonts w:ascii="Arial" w:hAnsi="Arial" w:cs="Arial"/>
          <w:i/>
        </w:rPr>
        <w:t>Waterberg</w:t>
      </w:r>
      <w:r w:rsidR="00E33584">
        <w:rPr>
          <w:rFonts w:ascii="Arial" w:hAnsi="Arial" w:cs="Arial"/>
        </w:rPr>
        <w:t xml:space="preserve"> a</w:t>
      </w:r>
      <w:r w:rsidR="00D426AD">
        <w:rPr>
          <w:rFonts w:ascii="Arial" w:hAnsi="Arial" w:cs="Arial"/>
        </w:rPr>
        <w:t>bove note 51</w:t>
      </w:r>
      <w:r w:rsidRPr="009D546D">
        <w:rPr>
          <w:rFonts w:ascii="Arial" w:hAnsi="Arial" w:cs="Arial"/>
        </w:rPr>
        <w:t>.</w:t>
      </w:r>
    </w:p>
  </w:footnote>
  <w:footnote w:id="54">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It held that judicial deference in the context of that case should be understood to mean−</w:t>
      </w:r>
    </w:p>
    <w:p w:rsidR="00662971" w:rsidRPr="009D546D" w:rsidRDefault="00662971" w:rsidP="009D546D">
      <w:pPr>
        <w:pStyle w:val="FootnoteText"/>
        <w:ind w:left="720"/>
        <w:jc w:val="both"/>
        <w:rPr>
          <w:rFonts w:ascii="Arial" w:hAnsi="Arial" w:cs="Arial"/>
        </w:rPr>
      </w:pPr>
      <w:r>
        <w:rPr>
          <w:rFonts w:ascii="Arial" w:hAnsi="Arial" w:cs="Arial"/>
        </w:rPr>
        <w:t>‘</w:t>
      </w:r>
      <w:r w:rsidRPr="009D546D">
        <w:rPr>
          <w:rFonts w:ascii="Arial" w:hAnsi="Arial" w:cs="Arial"/>
        </w:rPr>
        <w:t>. . . a judicial willingness to appreciate the legitimate and constitutionally-ordained province of administrative agencies: to admit the expertise of those agencies in policy-laden or polycentric issues; and to be sensitive in general to the interests legitimately pursued by administrative bodies and the practical and financial constraints under which they operate.  This type of deference is perfectly consistent with a concern for individual rights . . . . It ought to be shaped not by an unwillingness to scrutinize administrative action, but by a careful weighing up of the need for − and the consequence of – judicial intervention.  Above all, it ought to be shaped by a conscious determination not to usurp the function of administrative agencies, not to cr</w:t>
      </w:r>
      <w:r>
        <w:rPr>
          <w:rFonts w:ascii="Arial" w:hAnsi="Arial" w:cs="Arial"/>
        </w:rPr>
        <w:t>oss over from review to appeal.’</w:t>
      </w:r>
    </w:p>
  </w:footnote>
  <w:footnote w:id="55">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 xml:space="preserve">Minister of Environmental Affairs and Tourism and Others v Phambili Fisheries (Pty) Ltd </w:t>
      </w:r>
      <w:r w:rsidR="001A2E5C">
        <w:rPr>
          <w:rFonts w:ascii="Arial" w:hAnsi="Arial" w:cs="Arial"/>
        </w:rPr>
        <w:t>2003 (6) SA 407 (SCA)</w:t>
      </w:r>
      <w:r w:rsidRPr="009D546D">
        <w:rPr>
          <w:rFonts w:ascii="Arial" w:hAnsi="Arial" w:cs="Arial"/>
        </w:rPr>
        <w:t xml:space="preserve"> 432</w:t>
      </w:r>
      <w:r w:rsidR="001A2E5C">
        <w:rPr>
          <w:rFonts w:ascii="Arial" w:hAnsi="Arial" w:cs="Arial"/>
        </w:rPr>
        <w:t xml:space="preserve"> at</w:t>
      </w:r>
      <w:r w:rsidRPr="009D546D">
        <w:rPr>
          <w:rFonts w:ascii="Arial" w:hAnsi="Arial" w:cs="Arial"/>
        </w:rPr>
        <w:t xml:space="preserve"> para 53.</w:t>
      </w:r>
    </w:p>
  </w:footnote>
  <w:footnote w:id="56">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00E33584">
        <w:rPr>
          <w:rFonts w:ascii="Arial" w:hAnsi="Arial" w:cs="Arial"/>
        </w:rPr>
        <w:t xml:space="preserve">See </w:t>
      </w:r>
      <w:r w:rsidR="00E33584" w:rsidRPr="00E33584">
        <w:rPr>
          <w:rFonts w:ascii="Arial" w:hAnsi="Arial" w:cs="Arial"/>
          <w:i/>
        </w:rPr>
        <w:t>Waterberg</w:t>
      </w:r>
      <w:r w:rsidR="00E33584">
        <w:rPr>
          <w:rFonts w:ascii="Arial" w:hAnsi="Arial" w:cs="Arial"/>
        </w:rPr>
        <w:t xml:space="preserve"> a</w:t>
      </w:r>
      <w:r w:rsidR="00D426AD">
        <w:rPr>
          <w:rFonts w:ascii="Arial" w:hAnsi="Arial" w:cs="Arial"/>
        </w:rPr>
        <w:t>bove note</w:t>
      </w:r>
      <w:r w:rsidRPr="009D546D">
        <w:rPr>
          <w:rFonts w:ascii="Arial" w:hAnsi="Arial" w:cs="Arial"/>
        </w:rPr>
        <w:t xml:space="preserve"> </w:t>
      </w:r>
      <w:r w:rsidR="00D426AD">
        <w:rPr>
          <w:rFonts w:ascii="Arial" w:hAnsi="Arial" w:cs="Arial"/>
        </w:rPr>
        <w:t>5</w:t>
      </w:r>
      <w:r w:rsidRPr="009D546D">
        <w:rPr>
          <w:rFonts w:ascii="Arial" w:hAnsi="Arial" w:cs="Arial"/>
        </w:rPr>
        <w:t>1.</w:t>
      </w:r>
    </w:p>
  </w:footnote>
  <w:footnote w:id="57">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w:t>
      </w:r>
      <w:r w:rsidRPr="009D546D">
        <w:rPr>
          <w:rFonts w:ascii="Arial" w:hAnsi="Arial" w:cs="Arial"/>
          <w:i/>
        </w:rPr>
        <w:t xml:space="preserve">Biowatch Trust v Registrar Genetic Resource and Others </w:t>
      </w:r>
      <w:r w:rsidRPr="009D546D">
        <w:rPr>
          <w:rFonts w:ascii="Arial" w:hAnsi="Arial" w:cs="Arial"/>
        </w:rPr>
        <w:t>2009 (6) SA 232 (CC) (</w:t>
      </w:r>
      <w:r w:rsidRPr="009D546D">
        <w:rPr>
          <w:rFonts w:ascii="Arial" w:hAnsi="Arial" w:cs="Arial"/>
          <w:i/>
        </w:rPr>
        <w:t>Biowatch)</w:t>
      </w:r>
      <w:r w:rsidRPr="009D546D">
        <w:rPr>
          <w:rFonts w:ascii="Arial" w:hAnsi="Arial" w:cs="Arial"/>
        </w:rPr>
        <w:t xml:space="preserve"> as quoted by this </w:t>
      </w:r>
      <w:r>
        <w:rPr>
          <w:rFonts w:ascii="Arial" w:hAnsi="Arial" w:cs="Arial"/>
        </w:rPr>
        <w:t>Court</w:t>
      </w:r>
      <w:r w:rsidRPr="009D546D">
        <w:rPr>
          <w:rFonts w:ascii="Arial" w:hAnsi="Arial" w:cs="Arial"/>
        </w:rPr>
        <w:t xml:space="preserve"> in </w:t>
      </w:r>
      <w:r w:rsidRPr="009D546D">
        <w:rPr>
          <w:rFonts w:ascii="Arial" w:hAnsi="Arial" w:cs="Arial"/>
          <w:i/>
        </w:rPr>
        <w:t>Kambazembi Guest Farm CC v Minister of Lands and Resettlement</w:t>
      </w:r>
      <w:r w:rsidRPr="009D546D">
        <w:rPr>
          <w:rFonts w:ascii="Arial" w:hAnsi="Arial" w:cs="Arial"/>
        </w:rPr>
        <w:t xml:space="preserve"> </w:t>
      </w:r>
      <w:r w:rsidR="001A2E5C" w:rsidRPr="001A2E5C">
        <w:rPr>
          <w:rFonts w:ascii="Arial" w:hAnsi="Arial" w:cs="Arial"/>
        </w:rPr>
        <w:t>2018 (3) NR 800 (SC)</w:t>
      </w:r>
      <w:r w:rsidRPr="009D546D">
        <w:rPr>
          <w:rFonts w:ascii="Arial" w:hAnsi="Arial" w:cs="Arial"/>
        </w:rPr>
        <w:t xml:space="preserve">. </w:t>
      </w:r>
    </w:p>
  </w:footnote>
  <w:footnote w:id="58">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 14 at 241J – 242B.</w:t>
      </w:r>
    </w:p>
  </w:footnote>
  <w:footnote w:id="59">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Pr="009D546D">
        <w:rPr>
          <w:rFonts w:ascii="Arial" w:hAnsi="Arial" w:cs="Arial"/>
        </w:rPr>
        <w:t xml:space="preserve"> Id at paras 21- 22.</w:t>
      </w:r>
    </w:p>
  </w:footnote>
  <w:footnote w:id="60">
    <w:p w:rsidR="00662971" w:rsidRPr="009D546D" w:rsidRDefault="00662971" w:rsidP="009D546D">
      <w:pPr>
        <w:pStyle w:val="FootnoteText"/>
        <w:jc w:val="both"/>
        <w:rPr>
          <w:rFonts w:ascii="Arial" w:hAnsi="Arial" w:cs="Arial"/>
        </w:rPr>
      </w:pPr>
      <w:r w:rsidRPr="009D546D">
        <w:rPr>
          <w:rStyle w:val="FootnoteReference"/>
          <w:rFonts w:ascii="Arial" w:hAnsi="Arial" w:cs="Arial"/>
        </w:rPr>
        <w:footnoteRef/>
      </w:r>
      <w:r w:rsidR="001C1CFD">
        <w:rPr>
          <w:rFonts w:ascii="Arial" w:hAnsi="Arial" w:cs="Arial"/>
        </w:rPr>
        <w:t xml:space="preserve"> </w:t>
      </w:r>
      <w:r w:rsidRPr="009D546D">
        <w:rPr>
          <w:rFonts w:ascii="Arial" w:hAnsi="Arial" w:cs="Arial"/>
        </w:rPr>
        <w:t>15 of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662971" w:rsidRDefault="006629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62971" w:rsidRDefault="00662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662971" w:rsidRPr="00E856AA" w:rsidRDefault="00662971">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D71F18">
          <w:rPr>
            <w:rFonts w:ascii="Arial" w:hAnsi="Arial" w:cs="Arial"/>
            <w:noProof/>
          </w:rPr>
          <w:t>2</w:t>
        </w:r>
        <w:r w:rsidRPr="00E856AA">
          <w:rPr>
            <w:rFonts w:ascii="Arial" w:hAnsi="Arial" w:cs="Arial"/>
            <w:noProof/>
          </w:rPr>
          <w:fldChar w:fldCharType="end"/>
        </w:r>
      </w:p>
    </w:sdtContent>
  </w:sdt>
  <w:p w:rsidR="00662971" w:rsidRDefault="0066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A26"/>
    <w:multiLevelType w:val="hybridMultilevel"/>
    <w:tmpl w:val="FAD0C84E"/>
    <w:lvl w:ilvl="0" w:tplc="010A55BE">
      <w:start w:val="1"/>
      <w:numFmt w:val="decimal"/>
      <w:pStyle w:val="JUDGMENTNUMBERED"/>
      <w:lvlText w:val="[%1]"/>
      <w:lvlJc w:val="left"/>
      <w:pPr>
        <w:ind w:left="1040" w:hanging="360"/>
      </w:pPr>
      <w:rPr>
        <w:rFonts w:ascii="Times New Roman" w:hAnsi="Times New Roman" w:cs="Times New Roman" w:hint="default"/>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96097"/>
    <w:multiLevelType w:val="hybridMultilevel"/>
    <w:tmpl w:val="86F27B2E"/>
    <w:lvl w:ilvl="0" w:tplc="BB94A9FE">
      <w:start w:val="10"/>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EE9424D"/>
    <w:multiLevelType w:val="hybridMultilevel"/>
    <w:tmpl w:val="936862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1F0D37"/>
    <w:multiLevelType w:val="hybridMultilevel"/>
    <w:tmpl w:val="9DE02140"/>
    <w:lvl w:ilvl="0" w:tplc="BC2A08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2581D3E"/>
    <w:multiLevelType w:val="hybridMultilevel"/>
    <w:tmpl w:val="872E9320"/>
    <w:lvl w:ilvl="0" w:tplc="E0B2BBFC">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D6518FE"/>
    <w:multiLevelType w:val="hybridMultilevel"/>
    <w:tmpl w:val="1206F77E"/>
    <w:lvl w:ilvl="0" w:tplc="1C090011">
      <w:start w:val="9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411061"/>
    <w:multiLevelType w:val="hybridMultilevel"/>
    <w:tmpl w:val="ADE011A4"/>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E543912"/>
    <w:multiLevelType w:val="hybridMultilevel"/>
    <w:tmpl w:val="DBAA9A12"/>
    <w:lvl w:ilvl="0" w:tplc="4B9C125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F582E8C"/>
    <w:multiLevelType w:val="hybridMultilevel"/>
    <w:tmpl w:val="FFDAF772"/>
    <w:lvl w:ilvl="0" w:tplc="6430F9E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016165F"/>
    <w:multiLevelType w:val="hybridMultilevel"/>
    <w:tmpl w:val="4E3E317A"/>
    <w:lvl w:ilvl="0" w:tplc="C4DCB2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65959B1"/>
    <w:multiLevelType w:val="hybridMultilevel"/>
    <w:tmpl w:val="31782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55365E3"/>
    <w:multiLevelType w:val="hybridMultilevel"/>
    <w:tmpl w:val="5C942B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9E7D5E"/>
    <w:multiLevelType w:val="hybridMultilevel"/>
    <w:tmpl w:val="DF1CC6B6"/>
    <w:lvl w:ilvl="0" w:tplc="590C7A44">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9604860"/>
    <w:multiLevelType w:val="hybridMultilevel"/>
    <w:tmpl w:val="B652DDBC"/>
    <w:lvl w:ilvl="0" w:tplc="B6A8ED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9E1389A"/>
    <w:multiLevelType w:val="hybridMultilevel"/>
    <w:tmpl w:val="84F6654C"/>
    <w:lvl w:ilvl="0" w:tplc="8E168298">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E5F133C"/>
    <w:multiLevelType w:val="hybridMultilevel"/>
    <w:tmpl w:val="2BCCA688"/>
    <w:lvl w:ilvl="0" w:tplc="D05CD170">
      <w:start w:val="1"/>
      <w:numFmt w:val="lowerLetter"/>
      <w:lvlText w:val="(%1)"/>
      <w:lvlJc w:val="left"/>
      <w:pPr>
        <w:ind w:left="1800" w:hanging="360"/>
      </w:pPr>
      <w:rPr>
        <w:rFonts w:hint="default"/>
        <w:u w:val="non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78B92BA7"/>
    <w:multiLevelType w:val="hybridMultilevel"/>
    <w:tmpl w:val="321485FC"/>
    <w:lvl w:ilvl="0" w:tplc="858E276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E833426"/>
    <w:multiLevelType w:val="hybridMultilevel"/>
    <w:tmpl w:val="F6D85C4A"/>
    <w:lvl w:ilvl="0" w:tplc="05E477F8">
      <w:start w:val="3"/>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6"/>
  </w:num>
  <w:num w:numId="3">
    <w:abstractNumId w:val="11"/>
  </w:num>
  <w:num w:numId="4">
    <w:abstractNumId w:val="10"/>
  </w:num>
  <w:num w:numId="5">
    <w:abstractNumId w:val="9"/>
  </w:num>
  <w:num w:numId="6">
    <w:abstractNumId w:val="8"/>
  </w:num>
  <w:num w:numId="7">
    <w:abstractNumId w:val="7"/>
  </w:num>
  <w:num w:numId="8">
    <w:abstractNumId w:val="3"/>
  </w:num>
  <w:num w:numId="9">
    <w:abstractNumId w:val="15"/>
  </w:num>
  <w:num w:numId="10">
    <w:abstractNumId w:val="2"/>
  </w:num>
  <w:num w:numId="11">
    <w:abstractNumId w:val="13"/>
  </w:num>
  <w:num w:numId="12">
    <w:abstractNumId w:val="17"/>
  </w:num>
  <w:num w:numId="13">
    <w:abstractNumId w:val="1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B"/>
    <w:rsid w:val="00000EAA"/>
    <w:rsid w:val="00002095"/>
    <w:rsid w:val="000030EE"/>
    <w:rsid w:val="0000481B"/>
    <w:rsid w:val="00012F61"/>
    <w:rsid w:val="00013F8D"/>
    <w:rsid w:val="00020E43"/>
    <w:rsid w:val="00023E12"/>
    <w:rsid w:val="000269CE"/>
    <w:rsid w:val="00027872"/>
    <w:rsid w:val="00030C68"/>
    <w:rsid w:val="000326A9"/>
    <w:rsid w:val="00032AD4"/>
    <w:rsid w:val="00032BC8"/>
    <w:rsid w:val="00034792"/>
    <w:rsid w:val="00035A82"/>
    <w:rsid w:val="00035DB1"/>
    <w:rsid w:val="00043ACB"/>
    <w:rsid w:val="00043EBA"/>
    <w:rsid w:val="00047E41"/>
    <w:rsid w:val="000517A7"/>
    <w:rsid w:val="000531B8"/>
    <w:rsid w:val="00054701"/>
    <w:rsid w:val="00056937"/>
    <w:rsid w:val="00057F60"/>
    <w:rsid w:val="000641A4"/>
    <w:rsid w:val="00075E2F"/>
    <w:rsid w:val="00075F4A"/>
    <w:rsid w:val="00076B81"/>
    <w:rsid w:val="00081247"/>
    <w:rsid w:val="0008208D"/>
    <w:rsid w:val="000855ED"/>
    <w:rsid w:val="00090FFE"/>
    <w:rsid w:val="000911ED"/>
    <w:rsid w:val="0009672F"/>
    <w:rsid w:val="000A2D3D"/>
    <w:rsid w:val="000A30C4"/>
    <w:rsid w:val="000A3182"/>
    <w:rsid w:val="000A4BD6"/>
    <w:rsid w:val="000B0A29"/>
    <w:rsid w:val="000B62D5"/>
    <w:rsid w:val="000B7C49"/>
    <w:rsid w:val="000C1716"/>
    <w:rsid w:val="000C7167"/>
    <w:rsid w:val="000D0A42"/>
    <w:rsid w:val="000D4FDB"/>
    <w:rsid w:val="000D5E73"/>
    <w:rsid w:val="000D75E4"/>
    <w:rsid w:val="000E0A3F"/>
    <w:rsid w:val="000E0A8B"/>
    <w:rsid w:val="000E3A44"/>
    <w:rsid w:val="000E4E93"/>
    <w:rsid w:val="000E7AF2"/>
    <w:rsid w:val="00100DB4"/>
    <w:rsid w:val="00101663"/>
    <w:rsid w:val="00101E22"/>
    <w:rsid w:val="00102142"/>
    <w:rsid w:val="00103FE9"/>
    <w:rsid w:val="00104A08"/>
    <w:rsid w:val="00104D6A"/>
    <w:rsid w:val="001109B7"/>
    <w:rsid w:val="00111A4E"/>
    <w:rsid w:val="001127D2"/>
    <w:rsid w:val="00114080"/>
    <w:rsid w:val="0011418D"/>
    <w:rsid w:val="00114F8E"/>
    <w:rsid w:val="00114FBE"/>
    <w:rsid w:val="00116E23"/>
    <w:rsid w:val="00122341"/>
    <w:rsid w:val="0012381C"/>
    <w:rsid w:val="0012710F"/>
    <w:rsid w:val="00127B6A"/>
    <w:rsid w:val="00131F8C"/>
    <w:rsid w:val="001320A8"/>
    <w:rsid w:val="0013523F"/>
    <w:rsid w:val="001358B4"/>
    <w:rsid w:val="00136E4B"/>
    <w:rsid w:val="001371FA"/>
    <w:rsid w:val="00137FBC"/>
    <w:rsid w:val="0014198F"/>
    <w:rsid w:val="00141AA9"/>
    <w:rsid w:val="001424A5"/>
    <w:rsid w:val="001433A0"/>
    <w:rsid w:val="00150B5F"/>
    <w:rsid w:val="00153C93"/>
    <w:rsid w:val="00154BC0"/>
    <w:rsid w:val="00160D5F"/>
    <w:rsid w:val="00165C03"/>
    <w:rsid w:val="00172C74"/>
    <w:rsid w:val="00172D33"/>
    <w:rsid w:val="00174C7F"/>
    <w:rsid w:val="0017675F"/>
    <w:rsid w:val="00180AFD"/>
    <w:rsid w:val="0018327D"/>
    <w:rsid w:val="00185DD8"/>
    <w:rsid w:val="00186146"/>
    <w:rsid w:val="00190808"/>
    <w:rsid w:val="00191F53"/>
    <w:rsid w:val="001A2E5C"/>
    <w:rsid w:val="001B0898"/>
    <w:rsid w:val="001B2FCA"/>
    <w:rsid w:val="001B3231"/>
    <w:rsid w:val="001B3991"/>
    <w:rsid w:val="001B7FB1"/>
    <w:rsid w:val="001C04DF"/>
    <w:rsid w:val="001C0516"/>
    <w:rsid w:val="001C1CFD"/>
    <w:rsid w:val="001C1FC5"/>
    <w:rsid w:val="001C3051"/>
    <w:rsid w:val="001C4983"/>
    <w:rsid w:val="001C4FD0"/>
    <w:rsid w:val="001C5E71"/>
    <w:rsid w:val="001C6511"/>
    <w:rsid w:val="001D1F26"/>
    <w:rsid w:val="001D223F"/>
    <w:rsid w:val="001D550B"/>
    <w:rsid w:val="001E09EA"/>
    <w:rsid w:val="001E2CAF"/>
    <w:rsid w:val="001E40AA"/>
    <w:rsid w:val="001E43C1"/>
    <w:rsid w:val="001E5DBF"/>
    <w:rsid w:val="001E6660"/>
    <w:rsid w:val="001F0E84"/>
    <w:rsid w:val="001F3E8A"/>
    <w:rsid w:val="001F4D51"/>
    <w:rsid w:val="001F743D"/>
    <w:rsid w:val="00200B18"/>
    <w:rsid w:val="00203077"/>
    <w:rsid w:val="002044F5"/>
    <w:rsid w:val="002071CF"/>
    <w:rsid w:val="0021400C"/>
    <w:rsid w:val="0021507B"/>
    <w:rsid w:val="002163DE"/>
    <w:rsid w:val="00217F2C"/>
    <w:rsid w:val="0022423C"/>
    <w:rsid w:val="002316AD"/>
    <w:rsid w:val="00231929"/>
    <w:rsid w:val="0023309F"/>
    <w:rsid w:val="00234666"/>
    <w:rsid w:val="00234ECD"/>
    <w:rsid w:val="00236D91"/>
    <w:rsid w:val="00240D47"/>
    <w:rsid w:val="0024280E"/>
    <w:rsid w:val="00243BD6"/>
    <w:rsid w:val="00246A54"/>
    <w:rsid w:val="00246FF3"/>
    <w:rsid w:val="00251CD8"/>
    <w:rsid w:val="00255F35"/>
    <w:rsid w:val="00264098"/>
    <w:rsid w:val="00265747"/>
    <w:rsid w:val="0026614D"/>
    <w:rsid w:val="0026719F"/>
    <w:rsid w:val="00267912"/>
    <w:rsid w:val="00270A9B"/>
    <w:rsid w:val="00273383"/>
    <w:rsid w:val="0027586D"/>
    <w:rsid w:val="0027663E"/>
    <w:rsid w:val="00276906"/>
    <w:rsid w:val="0027782B"/>
    <w:rsid w:val="0027787B"/>
    <w:rsid w:val="00280179"/>
    <w:rsid w:val="0029270B"/>
    <w:rsid w:val="00296E0D"/>
    <w:rsid w:val="002A39DB"/>
    <w:rsid w:val="002A5D46"/>
    <w:rsid w:val="002B18E8"/>
    <w:rsid w:val="002B2080"/>
    <w:rsid w:val="002B398E"/>
    <w:rsid w:val="002B7836"/>
    <w:rsid w:val="002B7F15"/>
    <w:rsid w:val="002C1480"/>
    <w:rsid w:val="002C1605"/>
    <w:rsid w:val="002C2C1C"/>
    <w:rsid w:val="002C6600"/>
    <w:rsid w:val="002D38B1"/>
    <w:rsid w:val="002D39BB"/>
    <w:rsid w:val="002D6864"/>
    <w:rsid w:val="002D741C"/>
    <w:rsid w:val="002D7B63"/>
    <w:rsid w:val="002E0F78"/>
    <w:rsid w:val="002E35C5"/>
    <w:rsid w:val="002E565D"/>
    <w:rsid w:val="002E7F41"/>
    <w:rsid w:val="002E7FEC"/>
    <w:rsid w:val="002F2B3F"/>
    <w:rsid w:val="002F4EA6"/>
    <w:rsid w:val="002F518E"/>
    <w:rsid w:val="002F5DEF"/>
    <w:rsid w:val="00301D32"/>
    <w:rsid w:val="00303CA0"/>
    <w:rsid w:val="00304139"/>
    <w:rsid w:val="00304D88"/>
    <w:rsid w:val="00306CBB"/>
    <w:rsid w:val="0031077D"/>
    <w:rsid w:val="003130D4"/>
    <w:rsid w:val="00313B94"/>
    <w:rsid w:val="00315780"/>
    <w:rsid w:val="00320286"/>
    <w:rsid w:val="003208E9"/>
    <w:rsid w:val="00320C4C"/>
    <w:rsid w:val="00322655"/>
    <w:rsid w:val="0032450F"/>
    <w:rsid w:val="00326E48"/>
    <w:rsid w:val="00326F70"/>
    <w:rsid w:val="00333BAE"/>
    <w:rsid w:val="00335461"/>
    <w:rsid w:val="00336A48"/>
    <w:rsid w:val="00340615"/>
    <w:rsid w:val="00341986"/>
    <w:rsid w:val="00342ED1"/>
    <w:rsid w:val="00346466"/>
    <w:rsid w:val="00350723"/>
    <w:rsid w:val="00351EC3"/>
    <w:rsid w:val="00355043"/>
    <w:rsid w:val="003602B8"/>
    <w:rsid w:val="003607D4"/>
    <w:rsid w:val="00360C33"/>
    <w:rsid w:val="00362229"/>
    <w:rsid w:val="00362EA0"/>
    <w:rsid w:val="00363030"/>
    <w:rsid w:val="00365F05"/>
    <w:rsid w:val="003704AB"/>
    <w:rsid w:val="003731E4"/>
    <w:rsid w:val="003817FF"/>
    <w:rsid w:val="0038248D"/>
    <w:rsid w:val="0038765B"/>
    <w:rsid w:val="00387DFA"/>
    <w:rsid w:val="00391E15"/>
    <w:rsid w:val="00397569"/>
    <w:rsid w:val="003A1066"/>
    <w:rsid w:val="003A2AAC"/>
    <w:rsid w:val="003B0395"/>
    <w:rsid w:val="003B13F8"/>
    <w:rsid w:val="003B4A41"/>
    <w:rsid w:val="003C00E0"/>
    <w:rsid w:val="003C2AC7"/>
    <w:rsid w:val="003C3204"/>
    <w:rsid w:val="003C6074"/>
    <w:rsid w:val="003C6082"/>
    <w:rsid w:val="003C649C"/>
    <w:rsid w:val="003D1C2F"/>
    <w:rsid w:val="003D2B86"/>
    <w:rsid w:val="003D4AEE"/>
    <w:rsid w:val="003E2B5D"/>
    <w:rsid w:val="003F1754"/>
    <w:rsid w:val="003F60F2"/>
    <w:rsid w:val="003F6467"/>
    <w:rsid w:val="003F6AB3"/>
    <w:rsid w:val="003F729E"/>
    <w:rsid w:val="003F74E9"/>
    <w:rsid w:val="00400964"/>
    <w:rsid w:val="00412B74"/>
    <w:rsid w:val="004132C5"/>
    <w:rsid w:val="004133D7"/>
    <w:rsid w:val="00414B60"/>
    <w:rsid w:val="00415370"/>
    <w:rsid w:val="004168C2"/>
    <w:rsid w:val="004237BF"/>
    <w:rsid w:val="004276D5"/>
    <w:rsid w:val="004301F4"/>
    <w:rsid w:val="0043418A"/>
    <w:rsid w:val="004341EE"/>
    <w:rsid w:val="004355F0"/>
    <w:rsid w:val="00436DF0"/>
    <w:rsid w:val="004372AE"/>
    <w:rsid w:val="0044124C"/>
    <w:rsid w:val="00441616"/>
    <w:rsid w:val="00447B63"/>
    <w:rsid w:val="004513E8"/>
    <w:rsid w:val="00452C35"/>
    <w:rsid w:val="00455FFF"/>
    <w:rsid w:val="00460120"/>
    <w:rsid w:val="004616DD"/>
    <w:rsid w:val="00461A03"/>
    <w:rsid w:val="004625F9"/>
    <w:rsid w:val="00471492"/>
    <w:rsid w:val="00471CA7"/>
    <w:rsid w:val="004724E1"/>
    <w:rsid w:val="004843CD"/>
    <w:rsid w:val="004860A5"/>
    <w:rsid w:val="00486A8E"/>
    <w:rsid w:val="00487F96"/>
    <w:rsid w:val="0049376B"/>
    <w:rsid w:val="00493C14"/>
    <w:rsid w:val="00494182"/>
    <w:rsid w:val="004955C6"/>
    <w:rsid w:val="004961FC"/>
    <w:rsid w:val="004A3EDE"/>
    <w:rsid w:val="004A4424"/>
    <w:rsid w:val="004A69C2"/>
    <w:rsid w:val="004A7411"/>
    <w:rsid w:val="004B1486"/>
    <w:rsid w:val="004B2F77"/>
    <w:rsid w:val="004C1275"/>
    <w:rsid w:val="004D070A"/>
    <w:rsid w:val="004D28CA"/>
    <w:rsid w:val="004D380A"/>
    <w:rsid w:val="004D6713"/>
    <w:rsid w:val="004D7B30"/>
    <w:rsid w:val="004D7F0A"/>
    <w:rsid w:val="004E2367"/>
    <w:rsid w:val="004E2444"/>
    <w:rsid w:val="004E46FB"/>
    <w:rsid w:val="004E4B9C"/>
    <w:rsid w:val="004F02DE"/>
    <w:rsid w:val="004F1E79"/>
    <w:rsid w:val="004F3B4E"/>
    <w:rsid w:val="004F4DD3"/>
    <w:rsid w:val="004F6349"/>
    <w:rsid w:val="0050040C"/>
    <w:rsid w:val="00502822"/>
    <w:rsid w:val="00502D70"/>
    <w:rsid w:val="005049B3"/>
    <w:rsid w:val="00504D46"/>
    <w:rsid w:val="00505FA0"/>
    <w:rsid w:val="00506E90"/>
    <w:rsid w:val="0050768F"/>
    <w:rsid w:val="00507881"/>
    <w:rsid w:val="00507C36"/>
    <w:rsid w:val="00511194"/>
    <w:rsid w:val="00512D8F"/>
    <w:rsid w:val="00513333"/>
    <w:rsid w:val="0051385D"/>
    <w:rsid w:val="00515354"/>
    <w:rsid w:val="005166A0"/>
    <w:rsid w:val="00520C6B"/>
    <w:rsid w:val="00521BDB"/>
    <w:rsid w:val="005223DE"/>
    <w:rsid w:val="00524F80"/>
    <w:rsid w:val="00525CDC"/>
    <w:rsid w:val="0053104E"/>
    <w:rsid w:val="005325D3"/>
    <w:rsid w:val="005334D4"/>
    <w:rsid w:val="00536914"/>
    <w:rsid w:val="00541144"/>
    <w:rsid w:val="00546FCD"/>
    <w:rsid w:val="0055284F"/>
    <w:rsid w:val="0055405E"/>
    <w:rsid w:val="00554762"/>
    <w:rsid w:val="00554C31"/>
    <w:rsid w:val="005551D6"/>
    <w:rsid w:val="0055765C"/>
    <w:rsid w:val="00567C01"/>
    <w:rsid w:val="00574006"/>
    <w:rsid w:val="00577467"/>
    <w:rsid w:val="00577A74"/>
    <w:rsid w:val="00585BE2"/>
    <w:rsid w:val="00587703"/>
    <w:rsid w:val="00592C4D"/>
    <w:rsid w:val="00594D97"/>
    <w:rsid w:val="00595ABD"/>
    <w:rsid w:val="00595F11"/>
    <w:rsid w:val="00596717"/>
    <w:rsid w:val="00596EB1"/>
    <w:rsid w:val="00597857"/>
    <w:rsid w:val="00597A9F"/>
    <w:rsid w:val="005A4E30"/>
    <w:rsid w:val="005B050F"/>
    <w:rsid w:val="005B5951"/>
    <w:rsid w:val="005C24AE"/>
    <w:rsid w:val="005C30AD"/>
    <w:rsid w:val="005C3AF0"/>
    <w:rsid w:val="005C41E8"/>
    <w:rsid w:val="005D0EE2"/>
    <w:rsid w:val="005D1513"/>
    <w:rsid w:val="005D56EA"/>
    <w:rsid w:val="005E194D"/>
    <w:rsid w:val="005E4582"/>
    <w:rsid w:val="005F1ED2"/>
    <w:rsid w:val="005F2B02"/>
    <w:rsid w:val="005F4FAF"/>
    <w:rsid w:val="006127E5"/>
    <w:rsid w:val="00612E09"/>
    <w:rsid w:val="00613E7E"/>
    <w:rsid w:val="0062125D"/>
    <w:rsid w:val="00630E90"/>
    <w:rsid w:val="00632CF1"/>
    <w:rsid w:val="00634BED"/>
    <w:rsid w:val="006365CF"/>
    <w:rsid w:val="00647C66"/>
    <w:rsid w:val="006509DA"/>
    <w:rsid w:val="00650E06"/>
    <w:rsid w:val="006518FA"/>
    <w:rsid w:val="00661981"/>
    <w:rsid w:val="00662971"/>
    <w:rsid w:val="00663395"/>
    <w:rsid w:val="00663681"/>
    <w:rsid w:val="0066390A"/>
    <w:rsid w:val="00664078"/>
    <w:rsid w:val="00665601"/>
    <w:rsid w:val="00665A90"/>
    <w:rsid w:val="00666FFB"/>
    <w:rsid w:val="00670CF6"/>
    <w:rsid w:val="00672E88"/>
    <w:rsid w:val="006742ED"/>
    <w:rsid w:val="006746CE"/>
    <w:rsid w:val="00676662"/>
    <w:rsid w:val="006815C8"/>
    <w:rsid w:val="00683C0F"/>
    <w:rsid w:val="006859EC"/>
    <w:rsid w:val="00686A2A"/>
    <w:rsid w:val="006929F5"/>
    <w:rsid w:val="00695D3F"/>
    <w:rsid w:val="006967E6"/>
    <w:rsid w:val="006A04ED"/>
    <w:rsid w:val="006A2F3B"/>
    <w:rsid w:val="006A55DD"/>
    <w:rsid w:val="006A5F4F"/>
    <w:rsid w:val="006B0025"/>
    <w:rsid w:val="006B02A1"/>
    <w:rsid w:val="006B60DA"/>
    <w:rsid w:val="006C1CCA"/>
    <w:rsid w:val="006C1D13"/>
    <w:rsid w:val="006C2951"/>
    <w:rsid w:val="006C311F"/>
    <w:rsid w:val="006C3346"/>
    <w:rsid w:val="006C4E3B"/>
    <w:rsid w:val="006D1D67"/>
    <w:rsid w:val="006D37EA"/>
    <w:rsid w:val="006D45BE"/>
    <w:rsid w:val="006D5C0D"/>
    <w:rsid w:val="006D7AC1"/>
    <w:rsid w:val="006E0A12"/>
    <w:rsid w:val="006E1FD5"/>
    <w:rsid w:val="006E264F"/>
    <w:rsid w:val="006F25EE"/>
    <w:rsid w:val="006F5C4F"/>
    <w:rsid w:val="006F5E83"/>
    <w:rsid w:val="006F6CDF"/>
    <w:rsid w:val="00701260"/>
    <w:rsid w:val="007059E0"/>
    <w:rsid w:val="007077C2"/>
    <w:rsid w:val="007114E5"/>
    <w:rsid w:val="0071326B"/>
    <w:rsid w:val="0071383D"/>
    <w:rsid w:val="00713AE6"/>
    <w:rsid w:val="007147A5"/>
    <w:rsid w:val="00714D00"/>
    <w:rsid w:val="00716908"/>
    <w:rsid w:val="00721FB6"/>
    <w:rsid w:val="0073214A"/>
    <w:rsid w:val="00751979"/>
    <w:rsid w:val="00755982"/>
    <w:rsid w:val="0075685D"/>
    <w:rsid w:val="00757865"/>
    <w:rsid w:val="00757B35"/>
    <w:rsid w:val="007616C2"/>
    <w:rsid w:val="00764092"/>
    <w:rsid w:val="00775129"/>
    <w:rsid w:val="00776D35"/>
    <w:rsid w:val="00777183"/>
    <w:rsid w:val="00777C09"/>
    <w:rsid w:val="007805DE"/>
    <w:rsid w:val="007832D1"/>
    <w:rsid w:val="00785A5D"/>
    <w:rsid w:val="00786721"/>
    <w:rsid w:val="00786757"/>
    <w:rsid w:val="00792B66"/>
    <w:rsid w:val="00794180"/>
    <w:rsid w:val="00794B1B"/>
    <w:rsid w:val="007953DC"/>
    <w:rsid w:val="00795D1A"/>
    <w:rsid w:val="007960F1"/>
    <w:rsid w:val="007A1974"/>
    <w:rsid w:val="007A2286"/>
    <w:rsid w:val="007A2D46"/>
    <w:rsid w:val="007A3143"/>
    <w:rsid w:val="007A34DC"/>
    <w:rsid w:val="007A663D"/>
    <w:rsid w:val="007B0A93"/>
    <w:rsid w:val="007B59ED"/>
    <w:rsid w:val="007B5C93"/>
    <w:rsid w:val="007C2528"/>
    <w:rsid w:val="007C2C6F"/>
    <w:rsid w:val="007C2D8A"/>
    <w:rsid w:val="007C33E0"/>
    <w:rsid w:val="007D00BC"/>
    <w:rsid w:val="007E628C"/>
    <w:rsid w:val="007F25C4"/>
    <w:rsid w:val="007F6E6A"/>
    <w:rsid w:val="008131B1"/>
    <w:rsid w:val="00813B51"/>
    <w:rsid w:val="0081566A"/>
    <w:rsid w:val="00821996"/>
    <w:rsid w:val="00822CC4"/>
    <w:rsid w:val="008240AE"/>
    <w:rsid w:val="00830141"/>
    <w:rsid w:val="00831B72"/>
    <w:rsid w:val="00831B98"/>
    <w:rsid w:val="00832804"/>
    <w:rsid w:val="008432CB"/>
    <w:rsid w:val="0085038A"/>
    <w:rsid w:val="0085261E"/>
    <w:rsid w:val="00852B28"/>
    <w:rsid w:val="00852B78"/>
    <w:rsid w:val="008555DA"/>
    <w:rsid w:val="00857251"/>
    <w:rsid w:val="00861975"/>
    <w:rsid w:val="00865101"/>
    <w:rsid w:val="00870DE3"/>
    <w:rsid w:val="00873003"/>
    <w:rsid w:val="00873E27"/>
    <w:rsid w:val="0087577A"/>
    <w:rsid w:val="00877740"/>
    <w:rsid w:val="00881DC9"/>
    <w:rsid w:val="00883E8E"/>
    <w:rsid w:val="008872C6"/>
    <w:rsid w:val="00890D91"/>
    <w:rsid w:val="00893E5F"/>
    <w:rsid w:val="00895AA9"/>
    <w:rsid w:val="008971E8"/>
    <w:rsid w:val="008A000C"/>
    <w:rsid w:val="008A4576"/>
    <w:rsid w:val="008A55F8"/>
    <w:rsid w:val="008B1EC2"/>
    <w:rsid w:val="008B5021"/>
    <w:rsid w:val="008C29ED"/>
    <w:rsid w:val="008C4A22"/>
    <w:rsid w:val="008C500F"/>
    <w:rsid w:val="008D0E71"/>
    <w:rsid w:val="008D47CF"/>
    <w:rsid w:val="008D599A"/>
    <w:rsid w:val="008D6FC6"/>
    <w:rsid w:val="008E0580"/>
    <w:rsid w:val="008E1989"/>
    <w:rsid w:val="008E1C36"/>
    <w:rsid w:val="008E704A"/>
    <w:rsid w:val="008F190E"/>
    <w:rsid w:val="008F530D"/>
    <w:rsid w:val="008F7F52"/>
    <w:rsid w:val="00901B92"/>
    <w:rsid w:val="009025E5"/>
    <w:rsid w:val="0090412D"/>
    <w:rsid w:val="00906DA4"/>
    <w:rsid w:val="00914B91"/>
    <w:rsid w:val="009156AE"/>
    <w:rsid w:val="00917012"/>
    <w:rsid w:val="00917940"/>
    <w:rsid w:val="00922851"/>
    <w:rsid w:val="00923E47"/>
    <w:rsid w:val="00924136"/>
    <w:rsid w:val="0092426D"/>
    <w:rsid w:val="00924F11"/>
    <w:rsid w:val="00925634"/>
    <w:rsid w:val="00927063"/>
    <w:rsid w:val="00927F1C"/>
    <w:rsid w:val="0093112E"/>
    <w:rsid w:val="0093365A"/>
    <w:rsid w:val="0093744F"/>
    <w:rsid w:val="00937555"/>
    <w:rsid w:val="00937F0A"/>
    <w:rsid w:val="009442F9"/>
    <w:rsid w:val="0095223C"/>
    <w:rsid w:val="00954278"/>
    <w:rsid w:val="009558CD"/>
    <w:rsid w:val="009573F1"/>
    <w:rsid w:val="009615C5"/>
    <w:rsid w:val="009733D2"/>
    <w:rsid w:val="0097703F"/>
    <w:rsid w:val="00977213"/>
    <w:rsid w:val="00980EE0"/>
    <w:rsid w:val="00981553"/>
    <w:rsid w:val="00981AE8"/>
    <w:rsid w:val="009831A9"/>
    <w:rsid w:val="0098426B"/>
    <w:rsid w:val="00984516"/>
    <w:rsid w:val="00986B44"/>
    <w:rsid w:val="009874FB"/>
    <w:rsid w:val="00993EAB"/>
    <w:rsid w:val="009A0434"/>
    <w:rsid w:val="009A1D4D"/>
    <w:rsid w:val="009A29F4"/>
    <w:rsid w:val="009A3278"/>
    <w:rsid w:val="009B58E5"/>
    <w:rsid w:val="009B6CEB"/>
    <w:rsid w:val="009C1401"/>
    <w:rsid w:val="009C294B"/>
    <w:rsid w:val="009C790C"/>
    <w:rsid w:val="009C7A95"/>
    <w:rsid w:val="009D2C50"/>
    <w:rsid w:val="009D312E"/>
    <w:rsid w:val="009D5312"/>
    <w:rsid w:val="009D546D"/>
    <w:rsid w:val="009D7181"/>
    <w:rsid w:val="009E261A"/>
    <w:rsid w:val="009E3567"/>
    <w:rsid w:val="009F0CC0"/>
    <w:rsid w:val="009F2BBE"/>
    <w:rsid w:val="009F2F3B"/>
    <w:rsid w:val="00A00A04"/>
    <w:rsid w:val="00A01A8F"/>
    <w:rsid w:val="00A02948"/>
    <w:rsid w:val="00A04A34"/>
    <w:rsid w:val="00A058B6"/>
    <w:rsid w:val="00A05C23"/>
    <w:rsid w:val="00A064BD"/>
    <w:rsid w:val="00A07CF0"/>
    <w:rsid w:val="00A10039"/>
    <w:rsid w:val="00A11CD4"/>
    <w:rsid w:val="00A149B0"/>
    <w:rsid w:val="00A25C51"/>
    <w:rsid w:val="00A270DA"/>
    <w:rsid w:val="00A3131D"/>
    <w:rsid w:val="00A3176D"/>
    <w:rsid w:val="00A41CEE"/>
    <w:rsid w:val="00A41DFA"/>
    <w:rsid w:val="00A420B2"/>
    <w:rsid w:val="00A42B2C"/>
    <w:rsid w:val="00A4493F"/>
    <w:rsid w:val="00A46D84"/>
    <w:rsid w:val="00A5163D"/>
    <w:rsid w:val="00A52496"/>
    <w:rsid w:val="00A54D9C"/>
    <w:rsid w:val="00A571C7"/>
    <w:rsid w:val="00A5769D"/>
    <w:rsid w:val="00A6174A"/>
    <w:rsid w:val="00A617FF"/>
    <w:rsid w:val="00A657A6"/>
    <w:rsid w:val="00A66BE6"/>
    <w:rsid w:val="00A728EF"/>
    <w:rsid w:val="00A76CC2"/>
    <w:rsid w:val="00A77B7D"/>
    <w:rsid w:val="00A82DFC"/>
    <w:rsid w:val="00A838A3"/>
    <w:rsid w:val="00A8397D"/>
    <w:rsid w:val="00A867CB"/>
    <w:rsid w:val="00A873CA"/>
    <w:rsid w:val="00A901E8"/>
    <w:rsid w:val="00A90C27"/>
    <w:rsid w:val="00A94F81"/>
    <w:rsid w:val="00A95599"/>
    <w:rsid w:val="00A97645"/>
    <w:rsid w:val="00AA13E2"/>
    <w:rsid w:val="00AA18ED"/>
    <w:rsid w:val="00AA21BF"/>
    <w:rsid w:val="00AA374C"/>
    <w:rsid w:val="00AA5FFA"/>
    <w:rsid w:val="00AA6BF1"/>
    <w:rsid w:val="00AB0D99"/>
    <w:rsid w:val="00AB2C22"/>
    <w:rsid w:val="00AB36B3"/>
    <w:rsid w:val="00AB453B"/>
    <w:rsid w:val="00AC3BEE"/>
    <w:rsid w:val="00AC55E5"/>
    <w:rsid w:val="00AC6BD9"/>
    <w:rsid w:val="00AD22F7"/>
    <w:rsid w:val="00AD47CD"/>
    <w:rsid w:val="00AD4A0A"/>
    <w:rsid w:val="00AD6A34"/>
    <w:rsid w:val="00AE07EE"/>
    <w:rsid w:val="00AE3330"/>
    <w:rsid w:val="00AE515F"/>
    <w:rsid w:val="00AE5C03"/>
    <w:rsid w:val="00AE6952"/>
    <w:rsid w:val="00AE71EE"/>
    <w:rsid w:val="00AF0D48"/>
    <w:rsid w:val="00AF0F99"/>
    <w:rsid w:val="00AF2928"/>
    <w:rsid w:val="00AF4497"/>
    <w:rsid w:val="00AF48B3"/>
    <w:rsid w:val="00AF5641"/>
    <w:rsid w:val="00AF781C"/>
    <w:rsid w:val="00B02541"/>
    <w:rsid w:val="00B07F41"/>
    <w:rsid w:val="00B1745F"/>
    <w:rsid w:val="00B33922"/>
    <w:rsid w:val="00B442EB"/>
    <w:rsid w:val="00B47BA6"/>
    <w:rsid w:val="00B508CB"/>
    <w:rsid w:val="00B547A3"/>
    <w:rsid w:val="00B55272"/>
    <w:rsid w:val="00B56B1C"/>
    <w:rsid w:val="00B5768B"/>
    <w:rsid w:val="00B60870"/>
    <w:rsid w:val="00B60C50"/>
    <w:rsid w:val="00B726D1"/>
    <w:rsid w:val="00B72BC4"/>
    <w:rsid w:val="00B7422A"/>
    <w:rsid w:val="00B75C65"/>
    <w:rsid w:val="00B75DC1"/>
    <w:rsid w:val="00B76C20"/>
    <w:rsid w:val="00B820F5"/>
    <w:rsid w:val="00B8362F"/>
    <w:rsid w:val="00B84CD8"/>
    <w:rsid w:val="00B92930"/>
    <w:rsid w:val="00B9301F"/>
    <w:rsid w:val="00B97B92"/>
    <w:rsid w:val="00BA375A"/>
    <w:rsid w:val="00BA44D0"/>
    <w:rsid w:val="00BA60DC"/>
    <w:rsid w:val="00BA6F6B"/>
    <w:rsid w:val="00BB01C7"/>
    <w:rsid w:val="00BB020C"/>
    <w:rsid w:val="00BB07D0"/>
    <w:rsid w:val="00BB1B3F"/>
    <w:rsid w:val="00BB2329"/>
    <w:rsid w:val="00BB2C99"/>
    <w:rsid w:val="00BB64FE"/>
    <w:rsid w:val="00BB7C82"/>
    <w:rsid w:val="00BC084E"/>
    <w:rsid w:val="00BC242B"/>
    <w:rsid w:val="00BC3470"/>
    <w:rsid w:val="00BC7EF7"/>
    <w:rsid w:val="00BD15B6"/>
    <w:rsid w:val="00BD1ED2"/>
    <w:rsid w:val="00BE414C"/>
    <w:rsid w:val="00BE6F5A"/>
    <w:rsid w:val="00BF1C62"/>
    <w:rsid w:val="00BF2A26"/>
    <w:rsid w:val="00BF30CE"/>
    <w:rsid w:val="00BF52DC"/>
    <w:rsid w:val="00C01F99"/>
    <w:rsid w:val="00C02D0D"/>
    <w:rsid w:val="00C06A97"/>
    <w:rsid w:val="00C11093"/>
    <w:rsid w:val="00C11378"/>
    <w:rsid w:val="00C114BD"/>
    <w:rsid w:val="00C133C4"/>
    <w:rsid w:val="00C162E1"/>
    <w:rsid w:val="00C16766"/>
    <w:rsid w:val="00C21373"/>
    <w:rsid w:val="00C2392B"/>
    <w:rsid w:val="00C25569"/>
    <w:rsid w:val="00C302CE"/>
    <w:rsid w:val="00C310DD"/>
    <w:rsid w:val="00C33DE5"/>
    <w:rsid w:val="00C34DA1"/>
    <w:rsid w:val="00C424AE"/>
    <w:rsid w:val="00C44212"/>
    <w:rsid w:val="00C502D2"/>
    <w:rsid w:val="00C504ED"/>
    <w:rsid w:val="00C51391"/>
    <w:rsid w:val="00C5236F"/>
    <w:rsid w:val="00C57F31"/>
    <w:rsid w:val="00C60D19"/>
    <w:rsid w:val="00C61D01"/>
    <w:rsid w:val="00C63BE5"/>
    <w:rsid w:val="00C63D84"/>
    <w:rsid w:val="00C64182"/>
    <w:rsid w:val="00C646C5"/>
    <w:rsid w:val="00C6715D"/>
    <w:rsid w:val="00C719E8"/>
    <w:rsid w:val="00C728CC"/>
    <w:rsid w:val="00C73B6F"/>
    <w:rsid w:val="00C73D1A"/>
    <w:rsid w:val="00C74ABA"/>
    <w:rsid w:val="00C75316"/>
    <w:rsid w:val="00C75865"/>
    <w:rsid w:val="00C802F7"/>
    <w:rsid w:val="00C82BD1"/>
    <w:rsid w:val="00C84746"/>
    <w:rsid w:val="00C84B6D"/>
    <w:rsid w:val="00C90D11"/>
    <w:rsid w:val="00C91D5A"/>
    <w:rsid w:val="00CA526D"/>
    <w:rsid w:val="00CA5894"/>
    <w:rsid w:val="00CB6CD9"/>
    <w:rsid w:val="00CC0442"/>
    <w:rsid w:val="00CC2C09"/>
    <w:rsid w:val="00CC320C"/>
    <w:rsid w:val="00CC392E"/>
    <w:rsid w:val="00CC4D0B"/>
    <w:rsid w:val="00CC5D81"/>
    <w:rsid w:val="00CC6536"/>
    <w:rsid w:val="00CC66DF"/>
    <w:rsid w:val="00CC7146"/>
    <w:rsid w:val="00CD1217"/>
    <w:rsid w:val="00CD385C"/>
    <w:rsid w:val="00CD50D1"/>
    <w:rsid w:val="00CE6AC1"/>
    <w:rsid w:val="00CE6B95"/>
    <w:rsid w:val="00CF36D3"/>
    <w:rsid w:val="00CF375E"/>
    <w:rsid w:val="00CF40E9"/>
    <w:rsid w:val="00CF4F92"/>
    <w:rsid w:val="00D0366C"/>
    <w:rsid w:val="00D062C0"/>
    <w:rsid w:val="00D07782"/>
    <w:rsid w:val="00D11EF7"/>
    <w:rsid w:val="00D22758"/>
    <w:rsid w:val="00D2328D"/>
    <w:rsid w:val="00D237A3"/>
    <w:rsid w:val="00D25DB0"/>
    <w:rsid w:val="00D2773B"/>
    <w:rsid w:val="00D27EA5"/>
    <w:rsid w:val="00D31C50"/>
    <w:rsid w:val="00D31E71"/>
    <w:rsid w:val="00D426AD"/>
    <w:rsid w:val="00D4538D"/>
    <w:rsid w:val="00D455B0"/>
    <w:rsid w:val="00D604A6"/>
    <w:rsid w:val="00D60F94"/>
    <w:rsid w:val="00D666F0"/>
    <w:rsid w:val="00D705E8"/>
    <w:rsid w:val="00D71F18"/>
    <w:rsid w:val="00D75947"/>
    <w:rsid w:val="00D7698D"/>
    <w:rsid w:val="00D84C4D"/>
    <w:rsid w:val="00D879A8"/>
    <w:rsid w:val="00D914E0"/>
    <w:rsid w:val="00D93444"/>
    <w:rsid w:val="00D97AEF"/>
    <w:rsid w:val="00DA09C2"/>
    <w:rsid w:val="00DA0CF8"/>
    <w:rsid w:val="00DA2C06"/>
    <w:rsid w:val="00DA4967"/>
    <w:rsid w:val="00DA55A9"/>
    <w:rsid w:val="00DA5A9B"/>
    <w:rsid w:val="00DA66A0"/>
    <w:rsid w:val="00DA6CBF"/>
    <w:rsid w:val="00DB088E"/>
    <w:rsid w:val="00DB0A9A"/>
    <w:rsid w:val="00DB2C21"/>
    <w:rsid w:val="00DB5DF7"/>
    <w:rsid w:val="00DC0BFF"/>
    <w:rsid w:val="00DC31ED"/>
    <w:rsid w:val="00DC7926"/>
    <w:rsid w:val="00DD0F73"/>
    <w:rsid w:val="00DD1BCD"/>
    <w:rsid w:val="00DD2193"/>
    <w:rsid w:val="00DD4351"/>
    <w:rsid w:val="00DD4FDA"/>
    <w:rsid w:val="00DD7106"/>
    <w:rsid w:val="00DE1C48"/>
    <w:rsid w:val="00DE5414"/>
    <w:rsid w:val="00DE60AB"/>
    <w:rsid w:val="00DE7640"/>
    <w:rsid w:val="00DE7DBC"/>
    <w:rsid w:val="00DF0FCE"/>
    <w:rsid w:val="00DF476F"/>
    <w:rsid w:val="00DF5A31"/>
    <w:rsid w:val="00DF64BF"/>
    <w:rsid w:val="00DF76F2"/>
    <w:rsid w:val="00E0013B"/>
    <w:rsid w:val="00E005F6"/>
    <w:rsid w:val="00E02B31"/>
    <w:rsid w:val="00E05278"/>
    <w:rsid w:val="00E12F93"/>
    <w:rsid w:val="00E212CD"/>
    <w:rsid w:val="00E24336"/>
    <w:rsid w:val="00E25431"/>
    <w:rsid w:val="00E25E33"/>
    <w:rsid w:val="00E31FD2"/>
    <w:rsid w:val="00E33584"/>
    <w:rsid w:val="00E4092A"/>
    <w:rsid w:val="00E461BE"/>
    <w:rsid w:val="00E462FE"/>
    <w:rsid w:val="00E473EA"/>
    <w:rsid w:val="00E4792D"/>
    <w:rsid w:val="00E47E04"/>
    <w:rsid w:val="00E52086"/>
    <w:rsid w:val="00E53201"/>
    <w:rsid w:val="00E5637A"/>
    <w:rsid w:val="00E6038C"/>
    <w:rsid w:val="00E64F54"/>
    <w:rsid w:val="00E65805"/>
    <w:rsid w:val="00E66C42"/>
    <w:rsid w:val="00E716F7"/>
    <w:rsid w:val="00E72DF7"/>
    <w:rsid w:val="00E8075F"/>
    <w:rsid w:val="00E80F72"/>
    <w:rsid w:val="00E856AA"/>
    <w:rsid w:val="00E9183A"/>
    <w:rsid w:val="00E9523C"/>
    <w:rsid w:val="00E955D4"/>
    <w:rsid w:val="00EA4983"/>
    <w:rsid w:val="00EA5149"/>
    <w:rsid w:val="00EA6382"/>
    <w:rsid w:val="00EA73CD"/>
    <w:rsid w:val="00EB0F34"/>
    <w:rsid w:val="00EB38A0"/>
    <w:rsid w:val="00EC06BC"/>
    <w:rsid w:val="00EC0762"/>
    <w:rsid w:val="00EC19C4"/>
    <w:rsid w:val="00EC3BAD"/>
    <w:rsid w:val="00EC3BF9"/>
    <w:rsid w:val="00EC4296"/>
    <w:rsid w:val="00EC66FE"/>
    <w:rsid w:val="00ED272E"/>
    <w:rsid w:val="00ED2A59"/>
    <w:rsid w:val="00ED32C6"/>
    <w:rsid w:val="00ED3BD9"/>
    <w:rsid w:val="00ED7437"/>
    <w:rsid w:val="00EE1652"/>
    <w:rsid w:val="00EE36F8"/>
    <w:rsid w:val="00EE394A"/>
    <w:rsid w:val="00EE486F"/>
    <w:rsid w:val="00EE5668"/>
    <w:rsid w:val="00EE65A2"/>
    <w:rsid w:val="00EE7676"/>
    <w:rsid w:val="00F00857"/>
    <w:rsid w:val="00F01468"/>
    <w:rsid w:val="00F06E57"/>
    <w:rsid w:val="00F102DE"/>
    <w:rsid w:val="00F104A3"/>
    <w:rsid w:val="00F11D09"/>
    <w:rsid w:val="00F14A53"/>
    <w:rsid w:val="00F170D8"/>
    <w:rsid w:val="00F17491"/>
    <w:rsid w:val="00F2010C"/>
    <w:rsid w:val="00F2287B"/>
    <w:rsid w:val="00F262E8"/>
    <w:rsid w:val="00F30D41"/>
    <w:rsid w:val="00F3246F"/>
    <w:rsid w:val="00F325E3"/>
    <w:rsid w:val="00F33CE9"/>
    <w:rsid w:val="00F419CE"/>
    <w:rsid w:val="00F42EB5"/>
    <w:rsid w:val="00F43CCC"/>
    <w:rsid w:val="00F52228"/>
    <w:rsid w:val="00F534D7"/>
    <w:rsid w:val="00F56C1A"/>
    <w:rsid w:val="00F5723B"/>
    <w:rsid w:val="00F603DB"/>
    <w:rsid w:val="00F60596"/>
    <w:rsid w:val="00F65AE3"/>
    <w:rsid w:val="00F665F5"/>
    <w:rsid w:val="00F675AD"/>
    <w:rsid w:val="00F710C9"/>
    <w:rsid w:val="00F715AD"/>
    <w:rsid w:val="00F723E0"/>
    <w:rsid w:val="00F7302B"/>
    <w:rsid w:val="00F74BDF"/>
    <w:rsid w:val="00F75359"/>
    <w:rsid w:val="00F75F08"/>
    <w:rsid w:val="00F77FFC"/>
    <w:rsid w:val="00F81F8D"/>
    <w:rsid w:val="00F82D1E"/>
    <w:rsid w:val="00F86AB4"/>
    <w:rsid w:val="00F8729B"/>
    <w:rsid w:val="00F87B2B"/>
    <w:rsid w:val="00F87EBA"/>
    <w:rsid w:val="00F910BA"/>
    <w:rsid w:val="00F9137C"/>
    <w:rsid w:val="00F95C16"/>
    <w:rsid w:val="00FA0657"/>
    <w:rsid w:val="00FA1573"/>
    <w:rsid w:val="00FA5847"/>
    <w:rsid w:val="00FA6FCD"/>
    <w:rsid w:val="00FA7740"/>
    <w:rsid w:val="00FB08C9"/>
    <w:rsid w:val="00FB0928"/>
    <w:rsid w:val="00FB0EAF"/>
    <w:rsid w:val="00FB4054"/>
    <w:rsid w:val="00FC188E"/>
    <w:rsid w:val="00FC1E88"/>
    <w:rsid w:val="00FC2346"/>
    <w:rsid w:val="00FC43E0"/>
    <w:rsid w:val="00FC707D"/>
    <w:rsid w:val="00FC73A8"/>
    <w:rsid w:val="00FD2976"/>
    <w:rsid w:val="00FD7BAE"/>
    <w:rsid w:val="00FE349E"/>
    <w:rsid w:val="00FE36AC"/>
    <w:rsid w:val="00FE3C1B"/>
    <w:rsid w:val="00FE5917"/>
    <w:rsid w:val="00FF2D88"/>
    <w:rsid w:val="00FF683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6CB5F-1A99-40C0-9155-F766B490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0B"/>
  </w:style>
  <w:style w:type="paragraph" w:styleId="Heading2">
    <w:name w:val="heading 2"/>
    <w:basedOn w:val="Normal"/>
    <w:next w:val="Normal"/>
    <w:link w:val="Heading2Char"/>
    <w:uiPriority w:val="9"/>
    <w:semiHidden/>
    <w:unhideWhenUsed/>
    <w:qFormat/>
    <w:rsid w:val="00A97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D0B"/>
    <w:pPr>
      <w:spacing w:after="0" w:line="240" w:lineRule="auto"/>
    </w:pPr>
  </w:style>
  <w:style w:type="paragraph" w:styleId="BodyText">
    <w:name w:val="Body Text"/>
    <w:basedOn w:val="Normal"/>
    <w:link w:val="BodyTextChar"/>
    <w:rsid w:val="00CC4D0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C4D0B"/>
    <w:rPr>
      <w:rFonts w:ascii="Times New Roman" w:eastAsia="Times New Roman" w:hAnsi="Times New Roman" w:cs="Times New Roman"/>
      <w:sz w:val="24"/>
      <w:szCs w:val="24"/>
      <w:lang w:val="en-GB"/>
    </w:rPr>
  </w:style>
  <w:style w:type="table" w:styleId="TableGrid">
    <w:name w:val="Table Grid"/>
    <w:basedOn w:val="TableNormal"/>
    <w:uiPriority w:val="39"/>
    <w:rsid w:val="00C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13"/>
  </w:style>
  <w:style w:type="paragraph" w:styleId="Footer">
    <w:name w:val="footer"/>
    <w:basedOn w:val="Normal"/>
    <w:link w:val="FooterChar"/>
    <w:uiPriority w:val="99"/>
    <w:unhideWhenUsed/>
    <w:rsid w:val="004D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13"/>
  </w:style>
  <w:style w:type="paragraph" w:styleId="ListParagraph">
    <w:name w:val="List Paragraph"/>
    <w:basedOn w:val="Normal"/>
    <w:uiPriority w:val="34"/>
    <w:qFormat/>
    <w:rsid w:val="003C6074"/>
    <w:pPr>
      <w:ind w:left="720"/>
      <w:contextualSpacing/>
    </w:pPr>
  </w:style>
  <w:style w:type="paragraph" w:styleId="BalloonText">
    <w:name w:val="Balloon Text"/>
    <w:basedOn w:val="Normal"/>
    <w:link w:val="BalloonTextChar"/>
    <w:uiPriority w:val="99"/>
    <w:semiHidden/>
    <w:unhideWhenUsed/>
    <w:rsid w:val="00A4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B2"/>
    <w:rPr>
      <w:rFonts w:ascii="Tahoma" w:hAnsi="Tahoma" w:cs="Tahoma"/>
      <w:sz w:val="16"/>
      <w:szCs w:val="16"/>
    </w:rPr>
  </w:style>
  <w:style w:type="paragraph" w:styleId="FootnoteText">
    <w:name w:val="footnote text"/>
    <w:basedOn w:val="Normal"/>
    <w:link w:val="FootnoteTextChar"/>
    <w:semiHidden/>
    <w:unhideWhenUsed/>
    <w:rsid w:val="006929F5"/>
    <w:pPr>
      <w:spacing w:after="0" w:line="240" w:lineRule="auto"/>
    </w:pPr>
    <w:rPr>
      <w:sz w:val="20"/>
      <w:szCs w:val="20"/>
    </w:rPr>
  </w:style>
  <w:style w:type="character" w:customStyle="1" w:styleId="FootnoteTextChar">
    <w:name w:val="Footnote Text Char"/>
    <w:basedOn w:val="DefaultParagraphFont"/>
    <w:link w:val="FootnoteText"/>
    <w:semiHidden/>
    <w:rsid w:val="006929F5"/>
    <w:rPr>
      <w:sz w:val="20"/>
      <w:szCs w:val="20"/>
    </w:rPr>
  </w:style>
  <w:style w:type="character" w:styleId="FootnoteReference">
    <w:name w:val="footnote reference"/>
    <w:basedOn w:val="DefaultParagraphFont"/>
    <w:semiHidden/>
    <w:unhideWhenUsed/>
    <w:rsid w:val="006929F5"/>
    <w:rPr>
      <w:vertAlign w:val="superscript"/>
    </w:rPr>
  </w:style>
  <w:style w:type="paragraph" w:styleId="Quote">
    <w:name w:val="Quote"/>
    <w:basedOn w:val="Normal"/>
    <w:next w:val="Normal"/>
    <w:link w:val="QuoteChar"/>
    <w:uiPriority w:val="29"/>
    <w:qFormat/>
    <w:rsid w:val="00C162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62E1"/>
    <w:rPr>
      <w:i/>
      <w:iCs/>
      <w:color w:val="404040" w:themeColor="text1" w:themeTint="BF"/>
    </w:rPr>
  </w:style>
  <w:style w:type="character" w:customStyle="1" w:styleId="JUDGMENTNUMBEREDChar">
    <w:name w:val="JUDGMENT NUMBERED Char"/>
    <w:basedOn w:val="DefaultParagraphFont"/>
    <w:link w:val="JUDGMENTNUMBERED"/>
    <w:locked/>
    <w:rsid w:val="008240AE"/>
    <w:rPr>
      <w:rFonts w:ascii="Times New Roman" w:hAnsi="Times New Roman" w:cs="Times New Roman"/>
      <w:sz w:val="26"/>
    </w:rPr>
  </w:style>
  <w:style w:type="paragraph" w:customStyle="1" w:styleId="JUDGMENTCONTINUED">
    <w:name w:val="JUDGMENT CONTINUED"/>
    <w:basedOn w:val="JUDGMENTNUMBERED"/>
    <w:next w:val="JUDGMENTNUMBERED"/>
    <w:qFormat/>
    <w:rsid w:val="008240AE"/>
    <w:pPr>
      <w:numPr>
        <w:numId w:val="0"/>
      </w:numPr>
    </w:pPr>
  </w:style>
  <w:style w:type="paragraph" w:customStyle="1" w:styleId="JUDGMENTNUMBERED">
    <w:name w:val="JUDGMENT NUMBERED"/>
    <w:basedOn w:val="Normal"/>
    <w:next w:val="JUDGMENTCONTINUED"/>
    <w:link w:val="JUDGMENTNUMBEREDChar"/>
    <w:qFormat/>
    <w:rsid w:val="008240AE"/>
    <w:pPr>
      <w:numPr>
        <w:numId w:val="15"/>
      </w:numPr>
      <w:spacing w:after="0" w:line="360" w:lineRule="auto"/>
      <w:ind w:left="0" w:firstLine="0"/>
      <w:jc w:val="both"/>
    </w:pPr>
    <w:rPr>
      <w:rFonts w:ascii="Times New Roman" w:hAnsi="Times New Roman" w:cs="Times New Roman"/>
      <w:sz w:val="26"/>
    </w:rPr>
  </w:style>
  <w:style w:type="paragraph" w:customStyle="1" w:styleId="QUOTATION">
    <w:name w:val="QUOTATION"/>
    <w:basedOn w:val="Normal"/>
    <w:next w:val="JUDGMENTCONTINUED"/>
    <w:qFormat/>
    <w:rsid w:val="008240AE"/>
    <w:pPr>
      <w:spacing w:after="180" w:line="360" w:lineRule="auto"/>
      <w:ind w:left="720" w:right="720"/>
      <w:jc w:val="both"/>
    </w:pPr>
    <w:rPr>
      <w:rFonts w:ascii="Times New Roman" w:eastAsia="Calibri" w:hAnsi="Times New Roman" w:cs="Times New Roman"/>
    </w:rPr>
  </w:style>
  <w:style w:type="paragraph" w:customStyle="1" w:styleId="QUOTEINFOOTNOTE">
    <w:name w:val="QUOTE IN FOOTNOTE"/>
    <w:basedOn w:val="Normal"/>
    <w:next w:val="Normal"/>
    <w:qFormat/>
    <w:rsid w:val="008240AE"/>
    <w:pPr>
      <w:spacing w:after="120" w:line="240" w:lineRule="auto"/>
      <w:ind w:left="720" w:right="720"/>
      <w:jc w:val="both"/>
    </w:pPr>
    <w:rPr>
      <w:rFonts w:ascii="Times New Roman" w:eastAsia="Calibri" w:hAnsi="Times New Roman" w:cs="Times New Roman"/>
      <w:sz w:val="20"/>
    </w:rPr>
  </w:style>
  <w:style w:type="character" w:customStyle="1" w:styleId="Heading2Char">
    <w:name w:val="Heading 2 Char"/>
    <w:basedOn w:val="DefaultParagraphFont"/>
    <w:link w:val="Heading2"/>
    <w:uiPriority w:val="9"/>
    <w:semiHidden/>
    <w:rsid w:val="00A976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 w:id="10184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2019-07-02T18:30:00+00:00</Judgment_x0020_Date>
    <Year xmlns="63bdd487-88aa-4c54-b893-ddaa81ed2e7c">2019</Year>
  </documentManagement>
</p:properties>
</file>

<file path=customXml/itemProps1.xml><?xml version="1.0" encoding="utf-8"?>
<ds:datastoreItem xmlns:ds="http://schemas.openxmlformats.org/officeDocument/2006/customXml" ds:itemID="{423BC841-8504-43FF-A6E8-EA83CB02759A}"/>
</file>

<file path=customXml/itemProps2.xml><?xml version="1.0" encoding="utf-8"?>
<ds:datastoreItem xmlns:ds="http://schemas.openxmlformats.org/officeDocument/2006/customXml" ds:itemID="{BC6DD39E-BE55-48C8-AC7A-68A4AB21ED1F}"/>
</file>

<file path=customXml/itemProps3.xml><?xml version="1.0" encoding="utf-8"?>
<ds:datastoreItem xmlns:ds="http://schemas.openxmlformats.org/officeDocument/2006/customXml" ds:itemID="{B370CC84-97C2-4C74-B097-9068398C8BC4}"/>
</file>

<file path=customXml/itemProps4.xml><?xml version="1.0" encoding="utf-8"?>
<ds:datastoreItem xmlns:ds="http://schemas.openxmlformats.org/officeDocument/2006/customXml" ds:itemID="{7B8AD1DF-CBF3-4AA8-8262-1ECCA8975C2F}"/>
</file>

<file path=docProps/app.xml><?xml version="1.0" encoding="utf-8"?>
<Properties xmlns="http://schemas.openxmlformats.org/officeDocument/2006/extended-properties" xmlns:vt="http://schemas.openxmlformats.org/officeDocument/2006/docPropsVTypes">
  <Template>Normal</Template>
  <TotalTime>0</TotalTime>
  <Pages>40</Pages>
  <Words>8299</Words>
  <Characters>47308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2019-07-02T13:27:00Z</cp:lastPrinted>
  <dcterms:created xsi:type="dcterms:W3CDTF">2019-07-04T12:30:00Z</dcterms:created>
  <dcterms:modified xsi:type="dcterms:W3CDTF">2019-07-04T12:30:00Z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