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563C1" w:rsidRDefault="00D76EC6" w:rsidP="008C3367">
      <w:pPr>
        <w:keepNext/>
        <w:spacing w:line="360" w:lineRule="auto"/>
        <w:jc w:val="center"/>
        <w:outlineLvl w:val="0"/>
        <w:rPr>
          <w:rFonts w:ascii="Arial" w:hAnsi="Arial" w:cs="Arial"/>
          <w:b/>
          <w:bCs/>
          <w:sz w:val="24"/>
          <w:szCs w:val="24"/>
        </w:rPr>
      </w:pPr>
      <w:bookmarkStart w:id="0" w:name="_GoBack"/>
      <w:bookmarkEnd w:id="0"/>
      <w:r w:rsidRPr="001563C1">
        <w:rPr>
          <w:rFonts w:ascii="Arial" w:hAnsi="Arial" w:cs="Arial"/>
          <w:b/>
          <w:bCs/>
          <w:sz w:val="24"/>
          <w:szCs w:val="24"/>
        </w:rPr>
        <w:t xml:space="preserve"> </w:t>
      </w:r>
      <w:r w:rsidR="008C3367" w:rsidRPr="001563C1">
        <w:rPr>
          <w:rFonts w:ascii="Arial" w:hAnsi="Arial" w:cs="Arial"/>
          <w:b/>
          <w:bCs/>
          <w:noProof/>
          <w:sz w:val="24"/>
          <w:szCs w:val="24"/>
          <w:lang w:val="en-GB" w:eastAsia="en-GB"/>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563C1" w:rsidRDefault="008D41DE" w:rsidP="00145873">
      <w:pPr>
        <w:tabs>
          <w:tab w:val="left" w:pos="6806"/>
          <w:tab w:val="right" w:pos="8787"/>
        </w:tabs>
        <w:spacing w:after="0" w:line="240" w:lineRule="auto"/>
        <w:jc w:val="right"/>
        <w:rPr>
          <w:rFonts w:ascii="Arial" w:hAnsi="Arial" w:cs="Arial"/>
          <w:b/>
          <w:sz w:val="24"/>
          <w:szCs w:val="24"/>
        </w:rPr>
      </w:pPr>
      <w:r>
        <w:rPr>
          <w:rFonts w:ascii="Arial" w:hAnsi="Arial" w:cs="Arial"/>
          <w:b/>
          <w:sz w:val="24"/>
          <w:szCs w:val="24"/>
        </w:rPr>
        <w:tab/>
      </w:r>
      <w:r w:rsidR="008C3367" w:rsidRPr="001563C1">
        <w:rPr>
          <w:rFonts w:ascii="Arial" w:hAnsi="Arial" w:cs="Arial"/>
          <w:b/>
          <w:sz w:val="24"/>
          <w:szCs w:val="24"/>
        </w:rPr>
        <w:t>REPORTABLE</w:t>
      </w:r>
    </w:p>
    <w:p w:rsidR="006B168E" w:rsidRDefault="006B168E" w:rsidP="00145873">
      <w:pPr>
        <w:spacing w:after="0" w:line="240" w:lineRule="auto"/>
        <w:jc w:val="right"/>
        <w:rPr>
          <w:rFonts w:ascii="Arial" w:hAnsi="Arial" w:cs="Arial"/>
          <w:sz w:val="24"/>
          <w:szCs w:val="24"/>
        </w:rPr>
      </w:pPr>
    </w:p>
    <w:p w:rsidR="008C3367" w:rsidRDefault="008C3367" w:rsidP="00145873">
      <w:pPr>
        <w:spacing w:after="0" w:line="240" w:lineRule="auto"/>
        <w:jc w:val="right"/>
        <w:rPr>
          <w:rFonts w:ascii="Arial" w:hAnsi="Arial" w:cs="Arial"/>
          <w:sz w:val="24"/>
          <w:szCs w:val="24"/>
        </w:rPr>
      </w:pPr>
      <w:r w:rsidRPr="001563C1">
        <w:rPr>
          <w:rFonts w:ascii="Arial" w:hAnsi="Arial" w:cs="Arial"/>
          <w:sz w:val="24"/>
          <w:szCs w:val="24"/>
        </w:rPr>
        <w:t>CASE NO: S</w:t>
      </w:r>
      <w:r w:rsidR="00502736">
        <w:rPr>
          <w:rFonts w:ascii="Arial" w:hAnsi="Arial" w:cs="Arial"/>
          <w:sz w:val="24"/>
          <w:szCs w:val="24"/>
        </w:rPr>
        <w:t>A</w:t>
      </w:r>
      <w:r w:rsidRPr="001563C1">
        <w:rPr>
          <w:rFonts w:ascii="Arial" w:hAnsi="Arial" w:cs="Arial"/>
          <w:sz w:val="24"/>
          <w:szCs w:val="24"/>
        </w:rPr>
        <w:t xml:space="preserve"> </w:t>
      </w:r>
      <w:r w:rsidR="00060ED6">
        <w:rPr>
          <w:rFonts w:ascii="Arial" w:hAnsi="Arial" w:cs="Arial"/>
          <w:sz w:val="24"/>
          <w:szCs w:val="24"/>
        </w:rPr>
        <w:t>29</w:t>
      </w:r>
      <w:r w:rsidRPr="001563C1">
        <w:rPr>
          <w:rFonts w:ascii="Arial" w:hAnsi="Arial" w:cs="Arial"/>
          <w:sz w:val="24"/>
          <w:szCs w:val="24"/>
        </w:rPr>
        <w:t>/201</w:t>
      </w:r>
      <w:r w:rsidR="00EC1536">
        <w:rPr>
          <w:rFonts w:ascii="Arial" w:hAnsi="Arial" w:cs="Arial"/>
          <w:sz w:val="24"/>
          <w:szCs w:val="24"/>
        </w:rPr>
        <w:t>7</w:t>
      </w:r>
    </w:p>
    <w:p w:rsidR="00145873" w:rsidRDefault="00145873" w:rsidP="00060ED6">
      <w:pPr>
        <w:spacing w:after="0" w:line="240" w:lineRule="auto"/>
        <w:rPr>
          <w:rFonts w:ascii="Arial" w:hAnsi="Arial" w:cs="Arial"/>
          <w:sz w:val="24"/>
          <w:szCs w:val="24"/>
        </w:rPr>
      </w:pPr>
    </w:p>
    <w:p w:rsidR="00B868DD" w:rsidRPr="008D41DE" w:rsidRDefault="00B868DD" w:rsidP="00060ED6">
      <w:pPr>
        <w:spacing w:after="0" w:line="240" w:lineRule="auto"/>
        <w:rPr>
          <w:rFonts w:ascii="Arial" w:hAnsi="Arial" w:cs="Arial"/>
          <w:sz w:val="24"/>
          <w:szCs w:val="24"/>
        </w:rPr>
      </w:pPr>
    </w:p>
    <w:p w:rsidR="008C3367" w:rsidRPr="001563C1" w:rsidRDefault="008C3367" w:rsidP="008D41DE">
      <w:pPr>
        <w:spacing w:after="0" w:line="240" w:lineRule="auto"/>
        <w:jc w:val="both"/>
        <w:rPr>
          <w:rFonts w:ascii="Arial" w:hAnsi="Arial" w:cs="Arial"/>
          <w:b/>
          <w:sz w:val="24"/>
          <w:szCs w:val="24"/>
        </w:rPr>
      </w:pPr>
      <w:r w:rsidRPr="001563C1">
        <w:rPr>
          <w:rFonts w:ascii="Arial" w:hAnsi="Arial" w:cs="Arial"/>
          <w:b/>
          <w:sz w:val="24"/>
          <w:szCs w:val="24"/>
        </w:rPr>
        <w:t>IN THE SUPREME COURT OF NAMIBIA</w:t>
      </w:r>
    </w:p>
    <w:p w:rsidR="008C3367" w:rsidRDefault="008C3367" w:rsidP="008D41DE">
      <w:pPr>
        <w:spacing w:after="0" w:line="240" w:lineRule="auto"/>
        <w:jc w:val="both"/>
        <w:rPr>
          <w:rFonts w:ascii="Arial" w:hAnsi="Arial" w:cs="Arial"/>
          <w:sz w:val="24"/>
          <w:szCs w:val="24"/>
        </w:rPr>
      </w:pPr>
    </w:p>
    <w:p w:rsidR="008D41DE" w:rsidRPr="001563C1" w:rsidRDefault="008D41DE" w:rsidP="008D41DE">
      <w:pPr>
        <w:spacing w:after="0" w:line="240" w:lineRule="auto"/>
        <w:jc w:val="both"/>
        <w:rPr>
          <w:rFonts w:ascii="Arial" w:hAnsi="Arial" w:cs="Arial"/>
          <w:sz w:val="24"/>
          <w:szCs w:val="24"/>
        </w:rPr>
      </w:pPr>
    </w:p>
    <w:p w:rsidR="008C3367" w:rsidRPr="001563C1" w:rsidRDefault="008C3367" w:rsidP="008D41DE">
      <w:pPr>
        <w:spacing w:after="0" w:line="240" w:lineRule="auto"/>
        <w:jc w:val="both"/>
        <w:rPr>
          <w:rFonts w:ascii="Arial" w:hAnsi="Arial" w:cs="Arial"/>
          <w:sz w:val="24"/>
          <w:szCs w:val="24"/>
        </w:rPr>
      </w:pPr>
      <w:r w:rsidRPr="001563C1">
        <w:rPr>
          <w:rFonts w:ascii="Arial" w:hAnsi="Arial" w:cs="Arial"/>
          <w:sz w:val="24"/>
          <w:szCs w:val="24"/>
        </w:rPr>
        <w:t>In the matter between:</w:t>
      </w:r>
    </w:p>
    <w:p w:rsidR="008D41DE" w:rsidRDefault="008D41DE" w:rsidP="008D41DE">
      <w:pPr>
        <w:spacing w:after="0" w:line="240" w:lineRule="auto"/>
        <w:jc w:val="both"/>
        <w:rPr>
          <w:rFonts w:ascii="Arial" w:hAnsi="Arial" w:cs="Arial"/>
          <w:sz w:val="24"/>
          <w:szCs w:val="24"/>
        </w:rPr>
      </w:pPr>
    </w:p>
    <w:p w:rsidR="00B868DD" w:rsidRPr="001563C1" w:rsidRDefault="00B868DD" w:rsidP="008D41DE">
      <w:pPr>
        <w:spacing w:after="0"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513468" w:rsidRPr="001563C1" w:rsidTr="00B40CD3">
        <w:tc>
          <w:tcPr>
            <w:tcW w:w="6204" w:type="dxa"/>
            <w:shd w:val="clear" w:color="auto" w:fill="auto"/>
          </w:tcPr>
          <w:p w:rsidR="00513468" w:rsidRPr="001563C1" w:rsidRDefault="00EC1536" w:rsidP="00145873">
            <w:pPr>
              <w:spacing w:after="0"/>
              <w:jc w:val="both"/>
              <w:rPr>
                <w:rFonts w:ascii="Arial" w:hAnsi="Arial" w:cs="Arial"/>
                <w:b/>
                <w:sz w:val="24"/>
                <w:szCs w:val="24"/>
              </w:rPr>
            </w:pPr>
            <w:r>
              <w:rPr>
                <w:rFonts w:ascii="Arial" w:hAnsi="Arial" w:cs="Arial"/>
                <w:b/>
                <w:sz w:val="24"/>
                <w:szCs w:val="24"/>
              </w:rPr>
              <w:t>STANDARD BANK NAMIBIA LTD</w:t>
            </w:r>
          </w:p>
        </w:tc>
        <w:tc>
          <w:tcPr>
            <w:tcW w:w="3011" w:type="dxa"/>
            <w:shd w:val="clear" w:color="auto" w:fill="auto"/>
          </w:tcPr>
          <w:p w:rsidR="00513468" w:rsidRPr="001563C1" w:rsidRDefault="00513468" w:rsidP="00145873">
            <w:pPr>
              <w:spacing w:after="0"/>
              <w:jc w:val="right"/>
              <w:rPr>
                <w:rFonts w:ascii="Arial" w:hAnsi="Arial" w:cs="Arial"/>
                <w:b/>
                <w:sz w:val="24"/>
                <w:szCs w:val="24"/>
              </w:rPr>
            </w:pPr>
            <w:r w:rsidRPr="001563C1">
              <w:rPr>
                <w:rFonts w:ascii="Arial" w:hAnsi="Arial" w:cs="Arial"/>
                <w:b/>
                <w:sz w:val="24"/>
                <w:szCs w:val="24"/>
              </w:rPr>
              <w:t>Appellant</w:t>
            </w:r>
          </w:p>
        </w:tc>
      </w:tr>
      <w:tr w:rsidR="008C3367" w:rsidRPr="001563C1" w:rsidTr="00B40CD3">
        <w:tc>
          <w:tcPr>
            <w:tcW w:w="6204" w:type="dxa"/>
            <w:shd w:val="clear" w:color="auto" w:fill="auto"/>
          </w:tcPr>
          <w:p w:rsidR="008C3367" w:rsidRPr="001563C1" w:rsidRDefault="008C3367" w:rsidP="00145873">
            <w:pPr>
              <w:spacing w:after="0"/>
              <w:jc w:val="both"/>
              <w:rPr>
                <w:rFonts w:ascii="Arial" w:hAnsi="Arial" w:cs="Arial"/>
                <w:b/>
                <w:sz w:val="24"/>
                <w:szCs w:val="24"/>
              </w:rPr>
            </w:pPr>
          </w:p>
        </w:tc>
        <w:tc>
          <w:tcPr>
            <w:tcW w:w="3011" w:type="dxa"/>
            <w:shd w:val="clear" w:color="auto" w:fill="auto"/>
          </w:tcPr>
          <w:p w:rsidR="008C3367" w:rsidRPr="001563C1" w:rsidRDefault="008C3367" w:rsidP="00145873">
            <w:pPr>
              <w:spacing w:after="0"/>
              <w:jc w:val="right"/>
              <w:rPr>
                <w:rFonts w:ascii="Arial" w:hAnsi="Arial" w:cs="Arial"/>
                <w:b/>
                <w:sz w:val="24"/>
                <w:szCs w:val="24"/>
              </w:rPr>
            </w:pPr>
          </w:p>
        </w:tc>
      </w:tr>
      <w:tr w:rsidR="008C3367" w:rsidRPr="001563C1" w:rsidTr="00B40CD3">
        <w:tc>
          <w:tcPr>
            <w:tcW w:w="6204" w:type="dxa"/>
            <w:shd w:val="clear" w:color="auto" w:fill="auto"/>
          </w:tcPr>
          <w:p w:rsidR="008C3367" w:rsidRPr="001563C1" w:rsidRDefault="007C732D" w:rsidP="00145873">
            <w:pPr>
              <w:spacing w:after="0"/>
              <w:jc w:val="both"/>
              <w:rPr>
                <w:rFonts w:ascii="Arial" w:hAnsi="Arial" w:cs="Arial"/>
                <w:sz w:val="24"/>
                <w:szCs w:val="24"/>
              </w:rPr>
            </w:pPr>
            <w:r w:rsidRPr="001563C1">
              <w:rPr>
                <w:rFonts w:ascii="Arial" w:hAnsi="Arial" w:cs="Arial"/>
                <w:sz w:val="24"/>
                <w:szCs w:val="24"/>
              </w:rPr>
              <w:t>a</w:t>
            </w:r>
            <w:r w:rsidR="008C3367" w:rsidRPr="001563C1">
              <w:rPr>
                <w:rFonts w:ascii="Arial" w:hAnsi="Arial" w:cs="Arial"/>
                <w:sz w:val="24"/>
                <w:szCs w:val="24"/>
              </w:rPr>
              <w:t>nd</w:t>
            </w:r>
          </w:p>
        </w:tc>
        <w:tc>
          <w:tcPr>
            <w:tcW w:w="3011" w:type="dxa"/>
            <w:shd w:val="clear" w:color="auto" w:fill="auto"/>
          </w:tcPr>
          <w:p w:rsidR="008C3367" w:rsidRPr="001563C1" w:rsidRDefault="008C3367" w:rsidP="00145873">
            <w:pPr>
              <w:spacing w:after="0"/>
              <w:jc w:val="both"/>
              <w:rPr>
                <w:rFonts w:ascii="Arial" w:hAnsi="Arial" w:cs="Arial"/>
                <w:b/>
                <w:sz w:val="24"/>
                <w:szCs w:val="24"/>
              </w:rPr>
            </w:pPr>
          </w:p>
        </w:tc>
      </w:tr>
      <w:tr w:rsidR="008C3367" w:rsidRPr="001563C1" w:rsidTr="00B40CD3">
        <w:tc>
          <w:tcPr>
            <w:tcW w:w="6204" w:type="dxa"/>
            <w:shd w:val="clear" w:color="auto" w:fill="auto"/>
          </w:tcPr>
          <w:p w:rsidR="008C3367" w:rsidRPr="001563C1" w:rsidRDefault="008C3367" w:rsidP="00145873">
            <w:pPr>
              <w:spacing w:after="0"/>
              <w:jc w:val="both"/>
              <w:rPr>
                <w:rFonts w:ascii="Arial" w:hAnsi="Arial" w:cs="Arial"/>
                <w:b/>
                <w:sz w:val="24"/>
                <w:szCs w:val="24"/>
              </w:rPr>
            </w:pPr>
          </w:p>
        </w:tc>
        <w:tc>
          <w:tcPr>
            <w:tcW w:w="3011" w:type="dxa"/>
            <w:shd w:val="clear" w:color="auto" w:fill="auto"/>
          </w:tcPr>
          <w:p w:rsidR="008C3367" w:rsidRPr="001563C1" w:rsidRDefault="008C3367" w:rsidP="00145873">
            <w:pPr>
              <w:spacing w:after="0"/>
              <w:jc w:val="both"/>
              <w:rPr>
                <w:rFonts w:ascii="Arial" w:hAnsi="Arial" w:cs="Arial"/>
                <w:b/>
                <w:sz w:val="24"/>
                <w:szCs w:val="24"/>
              </w:rPr>
            </w:pPr>
          </w:p>
        </w:tc>
      </w:tr>
      <w:tr w:rsidR="008C3367" w:rsidRPr="001563C1" w:rsidTr="00B40CD3">
        <w:tc>
          <w:tcPr>
            <w:tcW w:w="6204" w:type="dxa"/>
            <w:shd w:val="clear" w:color="auto" w:fill="auto"/>
          </w:tcPr>
          <w:p w:rsidR="008C3367" w:rsidRPr="001563C1" w:rsidRDefault="00EC1536" w:rsidP="00145873">
            <w:pPr>
              <w:spacing w:after="0"/>
              <w:jc w:val="both"/>
              <w:rPr>
                <w:rFonts w:ascii="Arial" w:hAnsi="Arial" w:cs="Arial"/>
                <w:b/>
                <w:sz w:val="24"/>
                <w:szCs w:val="24"/>
              </w:rPr>
            </w:pPr>
            <w:r>
              <w:rPr>
                <w:rFonts w:ascii="Arial" w:hAnsi="Arial" w:cs="Arial"/>
                <w:b/>
                <w:sz w:val="24"/>
                <w:szCs w:val="24"/>
              </w:rPr>
              <w:t>KARIBIB CONSTRUCTION SERVICES CC</w:t>
            </w:r>
          </w:p>
        </w:tc>
        <w:tc>
          <w:tcPr>
            <w:tcW w:w="3011" w:type="dxa"/>
            <w:shd w:val="clear" w:color="auto" w:fill="auto"/>
          </w:tcPr>
          <w:p w:rsidR="00584213" w:rsidRPr="001563C1" w:rsidRDefault="000074D9" w:rsidP="00145873">
            <w:pPr>
              <w:spacing w:after="0"/>
              <w:jc w:val="right"/>
              <w:rPr>
                <w:rFonts w:ascii="Arial" w:hAnsi="Arial" w:cs="Arial"/>
                <w:b/>
                <w:sz w:val="24"/>
                <w:szCs w:val="24"/>
              </w:rPr>
            </w:pPr>
            <w:r>
              <w:rPr>
                <w:rFonts w:ascii="Arial" w:hAnsi="Arial" w:cs="Arial"/>
                <w:b/>
                <w:sz w:val="24"/>
                <w:szCs w:val="24"/>
              </w:rPr>
              <w:t xml:space="preserve">First </w:t>
            </w:r>
            <w:r w:rsidR="00584213" w:rsidRPr="001563C1">
              <w:rPr>
                <w:rFonts w:ascii="Arial" w:hAnsi="Arial" w:cs="Arial"/>
                <w:b/>
                <w:sz w:val="24"/>
                <w:szCs w:val="24"/>
              </w:rPr>
              <w:t>Respondent</w:t>
            </w:r>
          </w:p>
        </w:tc>
      </w:tr>
      <w:tr w:rsidR="000074D9" w:rsidRPr="001563C1" w:rsidTr="00B40CD3">
        <w:tc>
          <w:tcPr>
            <w:tcW w:w="6204" w:type="dxa"/>
            <w:shd w:val="clear" w:color="auto" w:fill="auto"/>
          </w:tcPr>
          <w:p w:rsidR="000074D9" w:rsidRDefault="00EC1536" w:rsidP="00145873">
            <w:pPr>
              <w:spacing w:after="0"/>
              <w:jc w:val="both"/>
              <w:rPr>
                <w:rFonts w:ascii="Arial" w:hAnsi="Arial" w:cs="Arial"/>
                <w:b/>
                <w:sz w:val="24"/>
                <w:szCs w:val="24"/>
              </w:rPr>
            </w:pPr>
            <w:r>
              <w:rPr>
                <w:rFonts w:ascii="Arial" w:hAnsi="Arial" w:cs="Arial"/>
                <w:b/>
                <w:sz w:val="24"/>
                <w:szCs w:val="24"/>
              </w:rPr>
              <w:t xml:space="preserve">FIRST NATIONAL BANK OF NAMIBIA </w:t>
            </w:r>
          </w:p>
        </w:tc>
        <w:tc>
          <w:tcPr>
            <w:tcW w:w="3011" w:type="dxa"/>
            <w:shd w:val="clear" w:color="auto" w:fill="auto"/>
          </w:tcPr>
          <w:p w:rsidR="000074D9" w:rsidRDefault="000074D9" w:rsidP="00145873">
            <w:pPr>
              <w:spacing w:after="0"/>
              <w:jc w:val="right"/>
              <w:rPr>
                <w:rFonts w:ascii="Arial" w:hAnsi="Arial" w:cs="Arial"/>
                <w:b/>
                <w:sz w:val="24"/>
                <w:szCs w:val="24"/>
              </w:rPr>
            </w:pPr>
            <w:r>
              <w:rPr>
                <w:rFonts w:ascii="Arial" w:hAnsi="Arial" w:cs="Arial"/>
                <w:b/>
                <w:sz w:val="24"/>
                <w:szCs w:val="24"/>
              </w:rPr>
              <w:t>Second Respondent</w:t>
            </w:r>
          </w:p>
        </w:tc>
      </w:tr>
      <w:tr w:rsidR="000074D9" w:rsidRPr="001563C1" w:rsidTr="00B40CD3">
        <w:tc>
          <w:tcPr>
            <w:tcW w:w="6204" w:type="dxa"/>
            <w:shd w:val="clear" w:color="auto" w:fill="auto"/>
          </w:tcPr>
          <w:p w:rsidR="000074D9" w:rsidRDefault="00EC1536" w:rsidP="00145873">
            <w:pPr>
              <w:spacing w:after="0"/>
              <w:jc w:val="both"/>
              <w:rPr>
                <w:rFonts w:ascii="Arial" w:hAnsi="Arial" w:cs="Arial"/>
                <w:b/>
                <w:sz w:val="24"/>
                <w:szCs w:val="24"/>
              </w:rPr>
            </w:pPr>
            <w:r>
              <w:rPr>
                <w:rFonts w:ascii="Arial" w:hAnsi="Arial" w:cs="Arial"/>
                <w:b/>
                <w:sz w:val="24"/>
                <w:szCs w:val="24"/>
              </w:rPr>
              <w:t>BPO LOGISTICS CC</w:t>
            </w:r>
          </w:p>
        </w:tc>
        <w:tc>
          <w:tcPr>
            <w:tcW w:w="3011" w:type="dxa"/>
            <w:shd w:val="clear" w:color="auto" w:fill="auto"/>
          </w:tcPr>
          <w:p w:rsidR="000074D9" w:rsidRDefault="000074D9" w:rsidP="00145873">
            <w:pPr>
              <w:spacing w:after="0"/>
              <w:jc w:val="right"/>
              <w:rPr>
                <w:rFonts w:ascii="Arial" w:hAnsi="Arial" w:cs="Arial"/>
                <w:b/>
                <w:sz w:val="24"/>
                <w:szCs w:val="24"/>
              </w:rPr>
            </w:pPr>
            <w:r>
              <w:rPr>
                <w:rFonts w:ascii="Arial" w:hAnsi="Arial" w:cs="Arial"/>
                <w:b/>
                <w:sz w:val="24"/>
                <w:szCs w:val="24"/>
              </w:rPr>
              <w:t>Third Respondent</w:t>
            </w:r>
          </w:p>
        </w:tc>
      </w:tr>
      <w:tr w:rsidR="00EC1536" w:rsidRPr="001563C1" w:rsidTr="00B40CD3">
        <w:tc>
          <w:tcPr>
            <w:tcW w:w="6204" w:type="dxa"/>
            <w:shd w:val="clear" w:color="auto" w:fill="auto"/>
          </w:tcPr>
          <w:p w:rsidR="00EC1536" w:rsidRDefault="00EC1536" w:rsidP="008D41DE">
            <w:pPr>
              <w:spacing w:after="0"/>
              <w:jc w:val="both"/>
              <w:rPr>
                <w:rFonts w:ascii="Arial" w:hAnsi="Arial" w:cs="Arial"/>
                <w:b/>
                <w:sz w:val="24"/>
                <w:szCs w:val="24"/>
              </w:rPr>
            </w:pPr>
            <w:r>
              <w:rPr>
                <w:rFonts w:ascii="Arial" w:hAnsi="Arial" w:cs="Arial"/>
                <w:b/>
                <w:sz w:val="24"/>
                <w:szCs w:val="24"/>
              </w:rPr>
              <w:t>DF MALHERBE AND PARTNERS</w:t>
            </w:r>
          </w:p>
        </w:tc>
        <w:tc>
          <w:tcPr>
            <w:tcW w:w="3011" w:type="dxa"/>
            <w:shd w:val="clear" w:color="auto" w:fill="auto"/>
          </w:tcPr>
          <w:p w:rsidR="00EC1536" w:rsidRDefault="00EC1536" w:rsidP="008D41DE">
            <w:pPr>
              <w:spacing w:after="0"/>
              <w:jc w:val="right"/>
              <w:rPr>
                <w:rFonts w:ascii="Arial" w:hAnsi="Arial" w:cs="Arial"/>
                <w:b/>
                <w:sz w:val="24"/>
                <w:szCs w:val="24"/>
              </w:rPr>
            </w:pPr>
            <w:r>
              <w:rPr>
                <w:rFonts w:ascii="Arial" w:hAnsi="Arial" w:cs="Arial"/>
                <w:b/>
                <w:sz w:val="24"/>
                <w:szCs w:val="24"/>
              </w:rPr>
              <w:t>Fourth Respondent</w:t>
            </w:r>
          </w:p>
        </w:tc>
      </w:tr>
    </w:tbl>
    <w:p w:rsidR="00145873" w:rsidRDefault="00145873" w:rsidP="008D41DE">
      <w:pPr>
        <w:spacing w:after="0" w:line="240" w:lineRule="auto"/>
        <w:jc w:val="both"/>
        <w:rPr>
          <w:rFonts w:ascii="Arial" w:hAnsi="Arial" w:cs="Arial"/>
          <w:b/>
          <w:sz w:val="24"/>
          <w:szCs w:val="24"/>
        </w:rPr>
      </w:pPr>
    </w:p>
    <w:p w:rsidR="00B868DD" w:rsidRDefault="00B868DD" w:rsidP="008D41DE">
      <w:pPr>
        <w:spacing w:after="0" w:line="240" w:lineRule="auto"/>
        <w:jc w:val="both"/>
        <w:rPr>
          <w:rFonts w:ascii="Arial" w:hAnsi="Arial" w:cs="Arial"/>
          <w:b/>
          <w:sz w:val="24"/>
          <w:szCs w:val="24"/>
        </w:rPr>
      </w:pPr>
    </w:p>
    <w:p w:rsidR="00B868DD" w:rsidRPr="001563C1" w:rsidRDefault="00B868DD" w:rsidP="008D41DE">
      <w:pPr>
        <w:spacing w:after="0" w:line="240" w:lineRule="auto"/>
        <w:jc w:val="both"/>
        <w:rPr>
          <w:rFonts w:ascii="Arial" w:hAnsi="Arial" w:cs="Arial"/>
          <w:b/>
          <w:sz w:val="24"/>
          <w:szCs w:val="24"/>
        </w:rPr>
      </w:pPr>
    </w:p>
    <w:p w:rsidR="008C3367" w:rsidRPr="001563C1" w:rsidRDefault="008C3367" w:rsidP="008D41DE">
      <w:pPr>
        <w:spacing w:after="0" w:line="240" w:lineRule="auto"/>
        <w:ind w:left="-142" w:firstLine="142"/>
        <w:jc w:val="both"/>
        <w:rPr>
          <w:rFonts w:ascii="Arial" w:hAnsi="Arial" w:cs="Arial"/>
          <w:sz w:val="24"/>
          <w:szCs w:val="24"/>
        </w:rPr>
      </w:pPr>
      <w:r w:rsidRPr="001563C1">
        <w:rPr>
          <w:rFonts w:ascii="Arial" w:hAnsi="Arial" w:cs="Arial"/>
          <w:b/>
          <w:sz w:val="24"/>
          <w:szCs w:val="24"/>
        </w:rPr>
        <w:t>Coram:</w:t>
      </w:r>
      <w:r w:rsidRPr="001563C1">
        <w:rPr>
          <w:rFonts w:ascii="Arial" w:hAnsi="Arial" w:cs="Arial"/>
          <w:sz w:val="24"/>
          <w:szCs w:val="24"/>
        </w:rPr>
        <w:tab/>
      </w:r>
      <w:r w:rsidRPr="001563C1">
        <w:rPr>
          <w:rFonts w:ascii="Arial" w:hAnsi="Arial" w:cs="Arial"/>
          <w:sz w:val="24"/>
          <w:szCs w:val="24"/>
        </w:rPr>
        <w:tab/>
      </w:r>
      <w:r w:rsidR="00EC1536">
        <w:rPr>
          <w:rFonts w:ascii="Arial" w:hAnsi="Arial" w:cs="Arial"/>
          <w:sz w:val="24"/>
          <w:szCs w:val="24"/>
        </w:rPr>
        <w:t>MAINGA JA</w:t>
      </w:r>
      <w:r w:rsidRPr="001563C1">
        <w:rPr>
          <w:rFonts w:ascii="Arial" w:hAnsi="Arial" w:cs="Arial"/>
          <w:sz w:val="24"/>
          <w:szCs w:val="24"/>
        </w:rPr>
        <w:t xml:space="preserve">, </w:t>
      </w:r>
      <w:r w:rsidR="00513468" w:rsidRPr="001563C1">
        <w:rPr>
          <w:rFonts w:ascii="Arial" w:hAnsi="Arial" w:cs="Arial"/>
          <w:sz w:val="24"/>
          <w:szCs w:val="24"/>
        </w:rPr>
        <w:t>HOFF</w:t>
      </w:r>
      <w:r w:rsidR="009C70E6" w:rsidRPr="001563C1">
        <w:rPr>
          <w:rFonts w:ascii="Arial" w:hAnsi="Arial" w:cs="Arial"/>
          <w:sz w:val="24"/>
          <w:szCs w:val="24"/>
        </w:rPr>
        <w:t xml:space="preserve"> JA</w:t>
      </w:r>
      <w:r w:rsidR="006C6572" w:rsidRPr="001563C1">
        <w:rPr>
          <w:rFonts w:ascii="Arial" w:hAnsi="Arial" w:cs="Arial"/>
          <w:sz w:val="24"/>
          <w:szCs w:val="24"/>
        </w:rPr>
        <w:t xml:space="preserve"> and FRANK AJA</w:t>
      </w:r>
    </w:p>
    <w:p w:rsidR="008D41DE" w:rsidRDefault="008D41DE" w:rsidP="008D41DE">
      <w:pPr>
        <w:spacing w:after="0" w:line="240" w:lineRule="auto"/>
        <w:ind w:left="-142" w:firstLine="142"/>
        <w:jc w:val="both"/>
        <w:rPr>
          <w:rFonts w:ascii="Arial" w:hAnsi="Arial" w:cs="Arial"/>
          <w:b/>
          <w:sz w:val="24"/>
          <w:szCs w:val="24"/>
        </w:rPr>
      </w:pPr>
    </w:p>
    <w:p w:rsidR="008C3367" w:rsidRPr="001563C1" w:rsidRDefault="008C3367" w:rsidP="008D41DE">
      <w:pPr>
        <w:spacing w:after="0" w:line="240" w:lineRule="auto"/>
        <w:ind w:left="-142" w:firstLine="142"/>
        <w:jc w:val="both"/>
        <w:rPr>
          <w:rFonts w:ascii="Arial" w:hAnsi="Arial" w:cs="Arial"/>
          <w:b/>
          <w:sz w:val="24"/>
          <w:szCs w:val="24"/>
        </w:rPr>
      </w:pPr>
      <w:r w:rsidRPr="001563C1">
        <w:rPr>
          <w:rFonts w:ascii="Arial" w:hAnsi="Arial" w:cs="Arial"/>
          <w:b/>
          <w:sz w:val="24"/>
          <w:szCs w:val="24"/>
        </w:rPr>
        <w:t>Heard:</w:t>
      </w:r>
      <w:r w:rsidRPr="001563C1">
        <w:rPr>
          <w:rFonts w:ascii="Arial" w:hAnsi="Arial" w:cs="Arial"/>
          <w:b/>
          <w:sz w:val="24"/>
          <w:szCs w:val="24"/>
        </w:rPr>
        <w:tab/>
      </w:r>
      <w:r w:rsidRPr="001563C1">
        <w:rPr>
          <w:rFonts w:ascii="Arial" w:hAnsi="Arial" w:cs="Arial"/>
          <w:b/>
          <w:sz w:val="24"/>
          <w:szCs w:val="24"/>
        </w:rPr>
        <w:tab/>
      </w:r>
      <w:r w:rsidR="00276835">
        <w:rPr>
          <w:rFonts w:ascii="Arial" w:hAnsi="Arial" w:cs="Arial"/>
          <w:b/>
          <w:sz w:val="24"/>
          <w:szCs w:val="24"/>
        </w:rPr>
        <w:t>1</w:t>
      </w:r>
      <w:r w:rsidR="00EC1536">
        <w:rPr>
          <w:rFonts w:ascii="Arial" w:hAnsi="Arial" w:cs="Arial"/>
          <w:b/>
          <w:sz w:val="24"/>
          <w:szCs w:val="24"/>
        </w:rPr>
        <w:t>0</w:t>
      </w:r>
      <w:r w:rsidR="00E8647F">
        <w:rPr>
          <w:rFonts w:ascii="Arial" w:hAnsi="Arial" w:cs="Arial"/>
          <w:b/>
          <w:sz w:val="24"/>
          <w:szCs w:val="24"/>
        </w:rPr>
        <w:t xml:space="preserve"> April</w:t>
      </w:r>
      <w:r w:rsidR="006C6572" w:rsidRPr="001563C1">
        <w:rPr>
          <w:rFonts w:ascii="Arial" w:hAnsi="Arial" w:cs="Arial"/>
          <w:b/>
          <w:sz w:val="24"/>
          <w:szCs w:val="24"/>
        </w:rPr>
        <w:t xml:space="preserve"> 2019</w:t>
      </w:r>
    </w:p>
    <w:p w:rsidR="008D41DE" w:rsidRDefault="008D41DE" w:rsidP="008D41DE">
      <w:pPr>
        <w:spacing w:after="0" w:line="240" w:lineRule="auto"/>
        <w:jc w:val="both"/>
        <w:rPr>
          <w:rFonts w:ascii="Arial" w:hAnsi="Arial" w:cs="Arial"/>
          <w:b/>
          <w:sz w:val="24"/>
          <w:szCs w:val="24"/>
        </w:rPr>
      </w:pPr>
    </w:p>
    <w:p w:rsidR="008C3367" w:rsidRDefault="008C3367" w:rsidP="008D41DE">
      <w:pPr>
        <w:spacing w:after="0" w:line="240" w:lineRule="auto"/>
        <w:jc w:val="both"/>
        <w:rPr>
          <w:rFonts w:ascii="Arial" w:hAnsi="Arial" w:cs="Arial"/>
          <w:b/>
          <w:sz w:val="24"/>
          <w:szCs w:val="24"/>
        </w:rPr>
      </w:pPr>
      <w:r w:rsidRPr="001563C1">
        <w:rPr>
          <w:rFonts w:ascii="Arial" w:hAnsi="Arial" w:cs="Arial"/>
          <w:b/>
          <w:sz w:val="24"/>
          <w:szCs w:val="24"/>
        </w:rPr>
        <w:t>Delivered:</w:t>
      </w:r>
      <w:r w:rsidRPr="001563C1">
        <w:rPr>
          <w:rFonts w:ascii="Arial" w:hAnsi="Arial" w:cs="Arial"/>
          <w:b/>
          <w:sz w:val="24"/>
          <w:szCs w:val="24"/>
        </w:rPr>
        <w:tab/>
      </w:r>
      <w:r w:rsidR="00B40CD3" w:rsidRPr="001563C1">
        <w:rPr>
          <w:rFonts w:ascii="Arial" w:hAnsi="Arial" w:cs="Arial"/>
          <w:b/>
          <w:sz w:val="24"/>
          <w:szCs w:val="24"/>
        </w:rPr>
        <w:tab/>
      </w:r>
      <w:r w:rsidR="00450B86">
        <w:rPr>
          <w:rFonts w:ascii="Arial" w:hAnsi="Arial" w:cs="Arial"/>
          <w:b/>
          <w:sz w:val="24"/>
          <w:szCs w:val="24"/>
        </w:rPr>
        <w:t>9</w:t>
      </w:r>
      <w:r w:rsidR="000E15F8">
        <w:rPr>
          <w:rFonts w:ascii="Arial" w:hAnsi="Arial" w:cs="Arial"/>
          <w:b/>
          <w:sz w:val="24"/>
          <w:szCs w:val="24"/>
        </w:rPr>
        <w:t xml:space="preserve"> October</w:t>
      </w:r>
      <w:r w:rsidR="006C6572" w:rsidRPr="001563C1">
        <w:rPr>
          <w:rFonts w:ascii="Arial" w:hAnsi="Arial" w:cs="Arial"/>
          <w:b/>
          <w:sz w:val="24"/>
          <w:szCs w:val="24"/>
        </w:rPr>
        <w:t xml:space="preserve"> 2019</w:t>
      </w:r>
    </w:p>
    <w:p w:rsidR="00B7459C" w:rsidRDefault="00B7459C" w:rsidP="008D41DE">
      <w:pPr>
        <w:spacing w:after="0" w:line="240" w:lineRule="auto"/>
        <w:jc w:val="both"/>
        <w:rPr>
          <w:rFonts w:ascii="Arial" w:hAnsi="Arial" w:cs="Arial"/>
          <w:sz w:val="24"/>
          <w:szCs w:val="24"/>
        </w:rPr>
      </w:pPr>
    </w:p>
    <w:p w:rsidR="00145873" w:rsidRDefault="00145873" w:rsidP="008D41DE">
      <w:pPr>
        <w:spacing w:after="0" w:line="240" w:lineRule="auto"/>
        <w:jc w:val="both"/>
        <w:rPr>
          <w:rFonts w:ascii="Arial" w:hAnsi="Arial" w:cs="Arial"/>
          <w:sz w:val="24"/>
          <w:szCs w:val="24"/>
        </w:rPr>
      </w:pPr>
    </w:p>
    <w:p w:rsidR="00B868DD" w:rsidRDefault="00B868DD" w:rsidP="008D41DE">
      <w:pPr>
        <w:spacing w:after="0" w:line="240" w:lineRule="auto"/>
        <w:jc w:val="both"/>
        <w:rPr>
          <w:rFonts w:ascii="Arial" w:hAnsi="Arial" w:cs="Arial"/>
          <w:sz w:val="24"/>
          <w:szCs w:val="24"/>
        </w:rPr>
      </w:pPr>
    </w:p>
    <w:p w:rsidR="008D41DE" w:rsidRDefault="008D41DE" w:rsidP="00D857C5">
      <w:pPr>
        <w:spacing w:after="0" w:line="360" w:lineRule="auto"/>
        <w:jc w:val="both"/>
        <w:rPr>
          <w:rFonts w:ascii="Arial" w:hAnsi="Arial" w:cs="Arial"/>
          <w:sz w:val="24"/>
          <w:szCs w:val="24"/>
        </w:rPr>
      </w:pPr>
      <w:r w:rsidRPr="008D41DE">
        <w:rPr>
          <w:rFonts w:ascii="Arial" w:hAnsi="Arial" w:cs="Arial"/>
          <w:b/>
          <w:sz w:val="24"/>
          <w:szCs w:val="24"/>
        </w:rPr>
        <w:t>Summary:</w:t>
      </w:r>
      <w:r w:rsidRPr="008D41DE">
        <w:rPr>
          <w:rFonts w:ascii="Arial" w:hAnsi="Arial" w:cs="Arial"/>
          <w:b/>
          <w:sz w:val="24"/>
          <w:szCs w:val="24"/>
        </w:rPr>
        <w:tab/>
      </w:r>
      <w:r w:rsidR="00D857C5" w:rsidRPr="00D857C5">
        <w:rPr>
          <w:rFonts w:ascii="Arial" w:hAnsi="Arial" w:cs="Arial"/>
          <w:sz w:val="24"/>
          <w:szCs w:val="24"/>
        </w:rPr>
        <w:t xml:space="preserve">Demand guarantees are widely used in commercial transactions </w:t>
      </w:r>
      <w:r w:rsidR="000A1917">
        <w:rPr>
          <w:rFonts w:ascii="Arial" w:hAnsi="Arial" w:cs="Arial"/>
          <w:sz w:val="24"/>
          <w:szCs w:val="24"/>
        </w:rPr>
        <w:t xml:space="preserve">and are </w:t>
      </w:r>
      <w:r w:rsidR="00D857C5" w:rsidRPr="00D857C5">
        <w:rPr>
          <w:rFonts w:ascii="Arial" w:hAnsi="Arial" w:cs="Arial"/>
          <w:sz w:val="24"/>
          <w:szCs w:val="24"/>
        </w:rPr>
        <w:t>important</w:t>
      </w:r>
      <w:r w:rsidR="00B868DD">
        <w:rPr>
          <w:rFonts w:ascii="Arial" w:hAnsi="Arial" w:cs="Arial"/>
          <w:sz w:val="24"/>
          <w:szCs w:val="24"/>
        </w:rPr>
        <w:t>,</w:t>
      </w:r>
      <w:r w:rsidR="00D857C5" w:rsidRPr="00D857C5">
        <w:rPr>
          <w:rFonts w:ascii="Arial" w:hAnsi="Arial" w:cs="Arial"/>
          <w:sz w:val="24"/>
          <w:szCs w:val="24"/>
        </w:rPr>
        <w:t xml:space="preserve"> </w:t>
      </w:r>
      <w:r w:rsidR="00D857C5">
        <w:rPr>
          <w:rFonts w:ascii="Arial" w:hAnsi="Arial" w:cs="Arial"/>
          <w:sz w:val="24"/>
          <w:szCs w:val="24"/>
        </w:rPr>
        <w:t>because of their nature they are regarded ‘as valuable as a promissory note’, and their beneficiaries are entitled to payment pending the resolution of any contractual disputes that may arise.</w:t>
      </w:r>
    </w:p>
    <w:p w:rsidR="00D857C5" w:rsidRDefault="00D857C5" w:rsidP="00D857C5">
      <w:pPr>
        <w:spacing w:after="0" w:line="360" w:lineRule="auto"/>
        <w:jc w:val="both"/>
        <w:rPr>
          <w:rFonts w:ascii="Arial" w:hAnsi="Arial" w:cs="Arial"/>
          <w:sz w:val="24"/>
          <w:szCs w:val="24"/>
        </w:rPr>
      </w:pPr>
    </w:p>
    <w:p w:rsidR="00D857C5" w:rsidRDefault="00D857C5" w:rsidP="00D857C5">
      <w:pPr>
        <w:spacing w:after="0" w:line="360" w:lineRule="auto"/>
        <w:jc w:val="both"/>
        <w:rPr>
          <w:rFonts w:ascii="Arial" w:hAnsi="Arial" w:cs="Arial"/>
          <w:sz w:val="24"/>
          <w:szCs w:val="24"/>
        </w:rPr>
      </w:pPr>
      <w:r>
        <w:rPr>
          <w:rFonts w:ascii="Arial" w:hAnsi="Arial" w:cs="Arial"/>
          <w:sz w:val="24"/>
          <w:szCs w:val="24"/>
        </w:rPr>
        <w:t>An obligation under a demand guarantee is wholly independent of the under</w:t>
      </w:r>
      <w:r w:rsidR="000A1917">
        <w:rPr>
          <w:rFonts w:ascii="Arial" w:hAnsi="Arial" w:cs="Arial"/>
          <w:sz w:val="24"/>
          <w:szCs w:val="24"/>
        </w:rPr>
        <w:t>lying</w:t>
      </w:r>
      <w:r>
        <w:rPr>
          <w:rFonts w:ascii="Arial" w:hAnsi="Arial" w:cs="Arial"/>
          <w:sz w:val="24"/>
          <w:szCs w:val="24"/>
        </w:rPr>
        <w:t xml:space="preserve"> contract except where there is proof of fraud on the part of the beneficiary. The alleged fraud must be apparent from the document which embodies the demand guarantee rather than the underlying</w:t>
      </w:r>
      <w:r w:rsidR="00145873">
        <w:rPr>
          <w:rFonts w:ascii="Arial" w:hAnsi="Arial" w:cs="Arial"/>
          <w:sz w:val="24"/>
          <w:szCs w:val="24"/>
        </w:rPr>
        <w:t xml:space="preserve"> contract.</w:t>
      </w:r>
    </w:p>
    <w:p w:rsidR="00D857C5" w:rsidRPr="00D857C5" w:rsidRDefault="00D857C5" w:rsidP="00145873">
      <w:pPr>
        <w:spacing w:after="0" w:line="360" w:lineRule="auto"/>
        <w:jc w:val="both"/>
        <w:rPr>
          <w:rFonts w:ascii="Arial" w:hAnsi="Arial" w:cs="Arial"/>
          <w:sz w:val="24"/>
          <w:szCs w:val="24"/>
        </w:rPr>
      </w:pPr>
      <w:r w:rsidRPr="00E153F2">
        <w:rPr>
          <w:rFonts w:ascii="Arial" w:hAnsi="Arial" w:cs="Arial"/>
          <w:sz w:val="24"/>
          <w:szCs w:val="24"/>
        </w:rPr>
        <w:lastRenderedPageBreak/>
        <w:t>On appeal – held,</w:t>
      </w:r>
      <w:r>
        <w:rPr>
          <w:rFonts w:ascii="Arial" w:hAnsi="Arial" w:cs="Arial"/>
          <w:sz w:val="24"/>
          <w:szCs w:val="24"/>
        </w:rPr>
        <w:t xml:space="preserve"> that </w:t>
      </w:r>
      <w:r w:rsidR="002B1A4D">
        <w:rPr>
          <w:rFonts w:ascii="Arial" w:hAnsi="Arial" w:cs="Arial"/>
          <w:sz w:val="24"/>
          <w:szCs w:val="24"/>
        </w:rPr>
        <w:t xml:space="preserve">a letter addressed by appellant to second respondent </w:t>
      </w:r>
      <w:r w:rsidR="00D3253F">
        <w:rPr>
          <w:rFonts w:ascii="Arial" w:hAnsi="Arial" w:cs="Arial"/>
          <w:sz w:val="24"/>
          <w:szCs w:val="24"/>
        </w:rPr>
        <w:t>constituted a demand guarantee. The appellant may not refuse to perform in terms of this demand guarantee on the basis that a dispute in respect of a construction agreement had not been resolved between first and third respondents.</w:t>
      </w:r>
    </w:p>
    <w:p w:rsidR="008D41DE" w:rsidRDefault="008D41DE" w:rsidP="00145873">
      <w:pPr>
        <w:spacing w:after="0" w:line="360" w:lineRule="auto"/>
        <w:jc w:val="both"/>
        <w:rPr>
          <w:rFonts w:ascii="Arial" w:hAnsi="Arial" w:cs="Arial"/>
          <w:sz w:val="24"/>
          <w:szCs w:val="24"/>
        </w:rPr>
      </w:pPr>
    </w:p>
    <w:p w:rsidR="00145873" w:rsidRDefault="00145873" w:rsidP="00145873">
      <w:pPr>
        <w:spacing w:after="0" w:line="360" w:lineRule="auto"/>
        <w:jc w:val="both"/>
        <w:rPr>
          <w:rFonts w:ascii="Arial" w:hAnsi="Arial" w:cs="Arial"/>
          <w:sz w:val="24"/>
          <w:szCs w:val="24"/>
        </w:rPr>
      </w:pPr>
      <w:r>
        <w:rPr>
          <w:rFonts w:ascii="Arial" w:hAnsi="Arial" w:cs="Arial"/>
          <w:sz w:val="24"/>
          <w:szCs w:val="24"/>
        </w:rPr>
        <w:t xml:space="preserve">The appeal from a decision of the court </w:t>
      </w:r>
      <w:r w:rsidRPr="00145873">
        <w:rPr>
          <w:rFonts w:ascii="Arial" w:hAnsi="Arial" w:cs="Arial"/>
          <w:i/>
          <w:sz w:val="24"/>
          <w:szCs w:val="24"/>
        </w:rPr>
        <w:t>a quo</w:t>
      </w:r>
      <w:r>
        <w:rPr>
          <w:rFonts w:ascii="Arial" w:hAnsi="Arial" w:cs="Arial"/>
          <w:sz w:val="24"/>
          <w:szCs w:val="24"/>
        </w:rPr>
        <w:t xml:space="preserve"> dismissed with costs.</w:t>
      </w:r>
    </w:p>
    <w:p w:rsidR="00B868DD" w:rsidRPr="001563C1" w:rsidRDefault="00B868DD" w:rsidP="00145873">
      <w:pPr>
        <w:spacing w:after="0" w:line="360" w:lineRule="auto"/>
        <w:jc w:val="both"/>
        <w:rPr>
          <w:rFonts w:ascii="Arial" w:hAnsi="Arial" w:cs="Arial"/>
          <w:sz w:val="24"/>
          <w:szCs w:val="24"/>
        </w:rPr>
      </w:pPr>
    </w:p>
    <w:p w:rsidR="008C3367" w:rsidRPr="001563C1" w:rsidRDefault="008C3367" w:rsidP="00145873">
      <w:pPr>
        <w:pBdr>
          <w:top w:val="single" w:sz="12" w:space="1" w:color="auto"/>
          <w:bottom w:val="single" w:sz="12" w:space="1" w:color="auto"/>
        </w:pBdr>
        <w:spacing w:after="0" w:line="240" w:lineRule="auto"/>
        <w:jc w:val="both"/>
        <w:rPr>
          <w:rFonts w:ascii="Arial" w:hAnsi="Arial" w:cs="Arial"/>
          <w:b/>
          <w:sz w:val="24"/>
          <w:szCs w:val="24"/>
        </w:rPr>
      </w:pPr>
    </w:p>
    <w:p w:rsidR="008C3367" w:rsidRDefault="008C3367" w:rsidP="00145873">
      <w:pPr>
        <w:pBdr>
          <w:top w:val="single" w:sz="12" w:space="1" w:color="auto"/>
          <w:bottom w:val="single" w:sz="12" w:space="1" w:color="auto"/>
        </w:pBdr>
        <w:spacing w:after="0" w:line="240" w:lineRule="auto"/>
        <w:jc w:val="center"/>
        <w:rPr>
          <w:rFonts w:ascii="Arial" w:hAnsi="Arial" w:cs="Arial"/>
          <w:b/>
          <w:sz w:val="24"/>
          <w:szCs w:val="24"/>
        </w:rPr>
      </w:pPr>
      <w:r w:rsidRPr="001563C1">
        <w:rPr>
          <w:rFonts w:ascii="Arial" w:hAnsi="Arial" w:cs="Arial"/>
          <w:b/>
          <w:sz w:val="24"/>
          <w:szCs w:val="24"/>
        </w:rPr>
        <w:t>APPEAL JUDGMENT</w:t>
      </w:r>
    </w:p>
    <w:p w:rsidR="00B868DD" w:rsidRPr="00B868DD" w:rsidRDefault="00B868DD" w:rsidP="00145873">
      <w:pPr>
        <w:pBdr>
          <w:top w:val="single" w:sz="12" w:space="1" w:color="auto"/>
          <w:bottom w:val="single" w:sz="12" w:space="1" w:color="auto"/>
        </w:pBdr>
        <w:spacing w:after="0" w:line="240" w:lineRule="auto"/>
        <w:jc w:val="center"/>
        <w:rPr>
          <w:rFonts w:ascii="Arial" w:hAnsi="Arial" w:cs="Arial"/>
          <w:sz w:val="24"/>
          <w:szCs w:val="24"/>
        </w:rPr>
      </w:pPr>
    </w:p>
    <w:p w:rsidR="00B868DD" w:rsidRDefault="00B868DD" w:rsidP="00A26B21">
      <w:pPr>
        <w:pStyle w:val="NoSpacing"/>
        <w:rPr>
          <w:rFonts w:ascii="Arial" w:hAnsi="Arial" w:cs="Arial"/>
          <w:sz w:val="24"/>
          <w:szCs w:val="24"/>
        </w:rPr>
      </w:pPr>
    </w:p>
    <w:p w:rsidR="00C46565" w:rsidRPr="001563C1" w:rsidRDefault="00C46565" w:rsidP="00A26B21">
      <w:pPr>
        <w:pStyle w:val="NoSpacing"/>
        <w:rPr>
          <w:rFonts w:ascii="Arial" w:hAnsi="Arial" w:cs="Arial"/>
          <w:sz w:val="24"/>
          <w:szCs w:val="24"/>
        </w:rPr>
      </w:pPr>
    </w:p>
    <w:p w:rsidR="005F1D52" w:rsidRDefault="00672E14" w:rsidP="002850F9">
      <w:pPr>
        <w:spacing w:line="480" w:lineRule="auto"/>
        <w:jc w:val="both"/>
        <w:rPr>
          <w:rFonts w:ascii="Arial" w:hAnsi="Arial" w:cs="Arial"/>
          <w:sz w:val="24"/>
          <w:szCs w:val="24"/>
        </w:rPr>
      </w:pPr>
      <w:r>
        <w:rPr>
          <w:rFonts w:ascii="Arial" w:hAnsi="Arial" w:cs="Arial"/>
          <w:sz w:val="24"/>
          <w:szCs w:val="24"/>
        </w:rPr>
        <w:t>HOFF JA</w:t>
      </w:r>
      <w:r w:rsidR="004A2B43">
        <w:rPr>
          <w:rFonts w:ascii="Arial" w:hAnsi="Arial" w:cs="Arial"/>
          <w:sz w:val="24"/>
          <w:szCs w:val="24"/>
        </w:rPr>
        <w:t xml:space="preserve"> </w:t>
      </w:r>
      <w:r w:rsidR="004A2B43" w:rsidRPr="004A2B43">
        <w:rPr>
          <w:rFonts w:ascii="Arial" w:hAnsi="Arial" w:cs="Arial"/>
          <w:i/>
          <w:sz w:val="24"/>
          <w:szCs w:val="24"/>
        </w:rPr>
        <w:t>et</w:t>
      </w:r>
      <w:r w:rsidR="004A2B43">
        <w:rPr>
          <w:rFonts w:ascii="Arial" w:hAnsi="Arial" w:cs="Arial"/>
          <w:sz w:val="24"/>
          <w:szCs w:val="24"/>
        </w:rPr>
        <w:t xml:space="preserve"> FRANK AJA</w:t>
      </w:r>
      <w:r w:rsidR="008C3367" w:rsidRPr="001563C1">
        <w:rPr>
          <w:rFonts w:ascii="Arial" w:hAnsi="Arial" w:cs="Arial"/>
          <w:sz w:val="24"/>
          <w:szCs w:val="24"/>
        </w:rPr>
        <w:t xml:space="preserve"> (</w:t>
      </w:r>
      <w:r w:rsidR="00EC1536">
        <w:rPr>
          <w:rFonts w:ascii="Arial" w:hAnsi="Arial" w:cs="Arial"/>
          <w:sz w:val="24"/>
          <w:szCs w:val="24"/>
        </w:rPr>
        <w:t>MAINGA JA</w:t>
      </w:r>
      <w:r w:rsidR="004A2B43">
        <w:rPr>
          <w:rFonts w:ascii="Arial" w:hAnsi="Arial" w:cs="Arial"/>
          <w:sz w:val="24"/>
          <w:szCs w:val="24"/>
        </w:rPr>
        <w:t xml:space="preserve"> </w:t>
      </w:r>
      <w:r w:rsidR="008C3367" w:rsidRPr="001563C1">
        <w:rPr>
          <w:rFonts w:ascii="Arial" w:hAnsi="Arial" w:cs="Arial"/>
          <w:sz w:val="24"/>
          <w:szCs w:val="24"/>
        </w:rPr>
        <w:t>concurring):</w:t>
      </w:r>
    </w:p>
    <w:p w:rsidR="00A31E54" w:rsidRDefault="00DA2583" w:rsidP="002850F9">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Pr>
          <w:rFonts w:ascii="Arial" w:hAnsi="Arial" w:cs="Arial"/>
          <w:sz w:val="24"/>
          <w:szCs w:val="24"/>
        </w:rPr>
        <w:t>The</w:t>
      </w:r>
      <w:r w:rsidR="00A31E54">
        <w:rPr>
          <w:rFonts w:ascii="Arial" w:hAnsi="Arial" w:cs="Arial"/>
          <w:sz w:val="24"/>
          <w:szCs w:val="24"/>
        </w:rPr>
        <w:t xml:space="preserve"> issue in this appeal is whether, the appellant </w:t>
      </w:r>
      <w:r w:rsidR="00C46565">
        <w:rPr>
          <w:rFonts w:ascii="Arial" w:hAnsi="Arial" w:cs="Arial"/>
          <w:sz w:val="24"/>
          <w:szCs w:val="24"/>
        </w:rPr>
        <w:t xml:space="preserve">Standard Bank Namibia Ltd </w:t>
      </w:r>
      <w:r w:rsidR="00A31E54">
        <w:rPr>
          <w:rFonts w:ascii="Arial" w:hAnsi="Arial" w:cs="Arial"/>
          <w:sz w:val="24"/>
          <w:szCs w:val="24"/>
        </w:rPr>
        <w:t xml:space="preserve">(Standard Bank) may raise a subsequent dispute between the third respondent </w:t>
      </w:r>
      <w:r w:rsidR="00C46565">
        <w:rPr>
          <w:rFonts w:ascii="Arial" w:hAnsi="Arial" w:cs="Arial"/>
          <w:sz w:val="24"/>
          <w:szCs w:val="24"/>
        </w:rPr>
        <w:t xml:space="preserve">BPO Logistics CC </w:t>
      </w:r>
      <w:r w:rsidR="00A31E54">
        <w:rPr>
          <w:rFonts w:ascii="Arial" w:hAnsi="Arial" w:cs="Arial"/>
          <w:sz w:val="24"/>
          <w:szCs w:val="24"/>
        </w:rPr>
        <w:t>(BPO) and the first respondent</w:t>
      </w:r>
      <w:r w:rsidR="00C46565">
        <w:rPr>
          <w:rFonts w:ascii="Arial" w:hAnsi="Arial" w:cs="Arial"/>
          <w:sz w:val="24"/>
          <w:szCs w:val="24"/>
        </w:rPr>
        <w:t xml:space="preserve"> Karibib Construction Services CC</w:t>
      </w:r>
      <w:r w:rsidR="00A31E54">
        <w:rPr>
          <w:rFonts w:ascii="Arial" w:hAnsi="Arial" w:cs="Arial"/>
          <w:sz w:val="24"/>
          <w:szCs w:val="24"/>
        </w:rPr>
        <w:t xml:space="preserve"> (Karibib Construction) on a construction agreement, to avoid its undertaking made to second respondent </w:t>
      </w:r>
      <w:r w:rsidR="00C46565">
        <w:rPr>
          <w:rFonts w:ascii="Arial" w:hAnsi="Arial" w:cs="Arial"/>
          <w:sz w:val="24"/>
          <w:szCs w:val="24"/>
        </w:rPr>
        <w:t xml:space="preserve">First National Bank of Namibia </w:t>
      </w:r>
      <w:r w:rsidR="00A31E54">
        <w:rPr>
          <w:rFonts w:ascii="Arial" w:hAnsi="Arial" w:cs="Arial"/>
          <w:sz w:val="24"/>
          <w:szCs w:val="24"/>
        </w:rPr>
        <w:t xml:space="preserve">(FNB) in its letter dated </w:t>
      </w:r>
      <w:r w:rsidR="00C46565">
        <w:rPr>
          <w:rFonts w:ascii="Arial" w:hAnsi="Arial" w:cs="Arial"/>
          <w:sz w:val="24"/>
          <w:szCs w:val="24"/>
        </w:rPr>
        <w:t xml:space="preserve">           </w:t>
      </w:r>
      <w:r w:rsidR="00A31E54">
        <w:rPr>
          <w:rFonts w:ascii="Arial" w:hAnsi="Arial" w:cs="Arial"/>
          <w:sz w:val="24"/>
          <w:szCs w:val="24"/>
        </w:rPr>
        <w:t>14 December 2012, once the terms of its undertaking had been satisfied.</w:t>
      </w:r>
    </w:p>
    <w:p w:rsidR="00EA64C4" w:rsidRDefault="00EA64C4" w:rsidP="00EA64C4">
      <w:pPr>
        <w:pStyle w:val="NoSpacing"/>
        <w:widowControl w:val="0"/>
        <w:autoSpaceDE w:val="0"/>
        <w:autoSpaceDN w:val="0"/>
        <w:adjustRightInd w:val="0"/>
        <w:spacing w:line="480" w:lineRule="auto"/>
        <w:jc w:val="both"/>
        <w:rPr>
          <w:rFonts w:ascii="Arial" w:hAnsi="Arial" w:cs="Arial"/>
          <w:sz w:val="24"/>
          <w:szCs w:val="24"/>
        </w:rPr>
      </w:pPr>
    </w:p>
    <w:p w:rsidR="00145873" w:rsidRDefault="00EA64C4" w:rsidP="00145873">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Pr>
          <w:rFonts w:ascii="Arial" w:hAnsi="Arial" w:cs="Arial"/>
          <w:sz w:val="24"/>
          <w:szCs w:val="24"/>
        </w:rPr>
        <w:t xml:space="preserve">BPO is Standard Bank’s client </w:t>
      </w:r>
      <w:r w:rsidR="00B868DD">
        <w:rPr>
          <w:rFonts w:ascii="Arial" w:hAnsi="Arial" w:cs="Arial"/>
          <w:sz w:val="24"/>
          <w:szCs w:val="24"/>
        </w:rPr>
        <w:t xml:space="preserve">which </w:t>
      </w:r>
      <w:r>
        <w:rPr>
          <w:rFonts w:ascii="Arial" w:hAnsi="Arial" w:cs="Arial"/>
          <w:sz w:val="24"/>
          <w:szCs w:val="24"/>
        </w:rPr>
        <w:t>rented property in Walvis Bay and sub-let it to Namport for shipping containers. On 15 August 2012</w:t>
      </w:r>
      <w:r w:rsidR="00B868DD">
        <w:rPr>
          <w:rFonts w:ascii="Arial" w:hAnsi="Arial" w:cs="Arial"/>
          <w:sz w:val="24"/>
          <w:szCs w:val="24"/>
        </w:rPr>
        <w:t>,</w:t>
      </w:r>
      <w:r>
        <w:rPr>
          <w:rFonts w:ascii="Arial" w:hAnsi="Arial" w:cs="Arial"/>
          <w:sz w:val="24"/>
          <w:szCs w:val="24"/>
        </w:rPr>
        <w:t xml:space="preserve"> Karibib Construction submitted a quotation to BPO in the amount of N$2</w:t>
      </w:r>
      <w:r w:rsidR="005E63A6">
        <w:rPr>
          <w:rFonts w:ascii="Arial" w:hAnsi="Arial" w:cs="Arial"/>
          <w:sz w:val="24"/>
          <w:szCs w:val="24"/>
        </w:rPr>
        <w:t xml:space="preserve"> </w:t>
      </w:r>
      <w:r>
        <w:rPr>
          <w:rFonts w:ascii="Arial" w:hAnsi="Arial" w:cs="Arial"/>
          <w:sz w:val="24"/>
          <w:szCs w:val="24"/>
        </w:rPr>
        <w:t>250</w:t>
      </w:r>
      <w:r w:rsidR="005E63A6">
        <w:rPr>
          <w:rFonts w:ascii="Arial" w:hAnsi="Arial" w:cs="Arial"/>
          <w:sz w:val="24"/>
          <w:szCs w:val="24"/>
        </w:rPr>
        <w:t xml:space="preserve"> 000 </w:t>
      </w:r>
      <w:r>
        <w:rPr>
          <w:rFonts w:ascii="Arial" w:hAnsi="Arial" w:cs="Arial"/>
          <w:sz w:val="24"/>
          <w:szCs w:val="24"/>
        </w:rPr>
        <w:t>for the construction of a motor vehicle parking area at the leased property.</w:t>
      </w:r>
    </w:p>
    <w:p w:rsidR="00145873" w:rsidRPr="00145873" w:rsidRDefault="00145873" w:rsidP="00145873">
      <w:pPr>
        <w:pStyle w:val="NoSpacing"/>
        <w:widowControl w:val="0"/>
        <w:autoSpaceDE w:val="0"/>
        <w:autoSpaceDN w:val="0"/>
        <w:adjustRightInd w:val="0"/>
        <w:spacing w:line="480" w:lineRule="auto"/>
        <w:jc w:val="both"/>
        <w:rPr>
          <w:rFonts w:ascii="Arial" w:hAnsi="Arial" w:cs="Arial"/>
          <w:sz w:val="24"/>
          <w:szCs w:val="24"/>
        </w:rPr>
      </w:pPr>
    </w:p>
    <w:p w:rsidR="00EA64C4" w:rsidRDefault="00EA64C4" w:rsidP="00EA64C4">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Pr>
          <w:rFonts w:ascii="Arial" w:hAnsi="Arial" w:cs="Arial"/>
          <w:sz w:val="24"/>
          <w:szCs w:val="24"/>
        </w:rPr>
        <w:t xml:space="preserve">The payment details on the quotation stated that 50 per cent of the contract amount was payable prior to the commencement of the work as a </w:t>
      </w:r>
      <w:r w:rsidR="005E63A6">
        <w:rPr>
          <w:rFonts w:ascii="Arial" w:hAnsi="Arial" w:cs="Arial"/>
          <w:sz w:val="24"/>
          <w:szCs w:val="24"/>
        </w:rPr>
        <w:t xml:space="preserve">cash </w:t>
      </w:r>
      <w:r>
        <w:rPr>
          <w:rFonts w:ascii="Arial" w:hAnsi="Arial" w:cs="Arial"/>
          <w:sz w:val="24"/>
          <w:szCs w:val="24"/>
        </w:rPr>
        <w:t xml:space="preserve">deposit, the balance on completion of the works. BPO accepted the quotation and issued a purchase order on 11 September 2012. Karibib Construction commenced with the </w:t>
      </w:r>
      <w:r>
        <w:rPr>
          <w:rFonts w:ascii="Arial" w:hAnsi="Arial" w:cs="Arial"/>
          <w:sz w:val="24"/>
          <w:szCs w:val="24"/>
        </w:rPr>
        <w:lastRenderedPageBreak/>
        <w:t>works on 20 September 2012 before</w:t>
      </w:r>
      <w:r w:rsidR="00C265ED">
        <w:rPr>
          <w:rFonts w:ascii="Arial" w:hAnsi="Arial" w:cs="Arial"/>
          <w:sz w:val="24"/>
          <w:szCs w:val="24"/>
        </w:rPr>
        <w:t xml:space="preserve"> it</w:t>
      </w:r>
      <w:r>
        <w:rPr>
          <w:rFonts w:ascii="Arial" w:hAnsi="Arial" w:cs="Arial"/>
          <w:sz w:val="24"/>
          <w:szCs w:val="24"/>
        </w:rPr>
        <w:t xml:space="preserve"> had received the 50 per cent deposit from</w:t>
      </w:r>
      <w:r w:rsidR="00B868DD">
        <w:rPr>
          <w:rFonts w:ascii="Arial" w:hAnsi="Arial" w:cs="Arial"/>
          <w:sz w:val="24"/>
          <w:szCs w:val="24"/>
        </w:rPr>
        <w:t xml:space="preserve"> </w:t>
      </w:r>
      <w:r>
        <w:rPr>
          <w:rFonts w:ascii="Arial" w:hAnsi="Arial" w:cs="Arial"/>
          <w:sz w:val="24"/>
          <w:szCs w:val="24"/>
        </w:rPr>
        <w:t>BPO.</w:t>
      </w:r>
    </w:p>
    <w:p w:rsidR="00C46565" w:rsidRDefault="00C46565" w:rsidP="00C46565">
      <w:pPr>
        <w:pStyle w:val="NoSpacing"/>
        <w:widowControl w:val="0"/>
        <w:autoSpaceDE w:val="0"/>
        <w:autoSpaceDN w:val="0"/>
        <w:adjustRightInd w:val="0"/>
        <w:spacing w:line="480" w:lineRule="auto"/>
        <w:jc w:val="both"/>
        <w:rPr>
          <w:rFonts w:ascii="Arial" w:hAnsi="Arial" w:cs="Arial"/>
          <w:sz w:val="24"/>
          <w:szCs w:val="24"/>
        </w:rPr>
      </w:pPr>
    </w:p>
    <w:p w:rsidR="00EA64C4" w:rsidRDefault="008B361A" w:rsidP="00EA64C4">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Pr>
          <w:rFonts w:ascii="Arial" w:hAnsi="Arial" w:cs="Arial"/>
          <w:sz w:val="24"/>
          <w:szCs w:val="24"/>
        </w:rPr>
        <w:t xml:space="preserve">BPO </w:t>
      </w:r>
      <w:r w:rsidR="00381548">
        <w:rPr>
          <w:rFonts w:ascii="Arial" w:hAnsi="Arial" w:cs="Arial"/>
          <w:sz w:val="24"/>
          <w:szCs w:val="24"/>
        </w:rPr>
        <w:t>however</w:t>
      </w:r>
      <w:r w:rsidR="00E12808">
        <w:rPr>
          <w:rFonts w:ascii="Arial" w:hAnsi="Arial" w:cs="Arial"/>
          <w:sz w:val="24"/>
          <w:szCs w:val="24"/>
        </w:rPr>
        <w:t>,</w:t>
      </w:r>
      <w:r w:rsidR="00381548">
        <w:rPr>
          <w:rFonts w:ascii="Arial" w:hAnsi="Arial" w:cs="Arial"/>
          <w:sz w:val="24"/>
          <w:szCs w:val="24"/>
        </w:rPr>
        <w:t xml:space="preserve"> </w:t>
      </w:r>
      <w:r>
        <w:rPr>
          <w:rFonts w:ascii="Arial" w:hAnsi="Arial" w:cs="Arial"/>
          <w:sz w:val="24"/>
          <w:szCs w:val="24"/>
        </w:rPr>
        <w:t xml:space="preserve">failed </w:t>
      </w:r>
      <w:r w:rsidR="00EA64C4">
        <w:rPr>
          <w:rFonts w:ascii="Arial" w:hAnsi="Arial" w:cs="Arial"/>
          <w:sz w:val="24"/>
          <w:szCs w:val="24"/>
        </w:rPr>
        <w:t>to pay the deposit</w:t>
      </w:r>
      <w:r>
        <w:rPr>
          <w:rFonts w:ascii="Arial" w:hAnsi="Arial" w:cs="Arial"/>
          <w:sz w:val="24"/>
          <w:szCs w:val="24"/>
        </w:rPr>
        <w:t xml:space="preserve">. This </w:t>
      </w:r>
      <w:r w:rsidR="00EA64C4">
        <w:rPr>
          <w:rFonts w:ascii="Arial" w:hAnsi="Arial" w:cs="Arial"/>
          <w:sz w:val="24"/>
          <w:szCs w:val="24"/>
        </w:rPr>
        <w:t>was due to a failure to obtain the necessary finance from</w:t>
      </w:r>
      <w:r>
        <w:rPr>
          <w:rFonts w:ascii="Arial" w:hAnsi="Arial" w:cs="Arial"/>
          <w:sz w:val="24"/>
          <w:szCs w:val="24"/>
        </w:rPr>
        <w:t xml:space="preserve"> its bank (Standard Bank). BPO undertook</w:t>
      </w:r>
      <w:r w:rsidR="00EA64C4">
        <w:rPr>
          <w:rFonts w:ascii="Arial" w:hAnsi="Arial" w:cs="Arial"/>
          <w:sz w:val="24"/>
          <w:szCs w:val="24"/>
        </w:rPr>
        <w:t xml:space="preserve"> to pay the deposit as soon as it had secured the necessary finance.</w:t>
      </w:r>
    </w:p>
    <w:p w:rsidR="00EA64C4" w:rsidRDefault="00EA64C4" w:rsidP="00EA64C4">
      <w:pPr>
        <w:pStyle w:val="ListParagraph"/>
        <w:spacing w:after="0" w:line="480" w:lineRule="auto"/>
        <w:rPr>
          <w:rFonts w:ascii="Arial" w:hAnsi="Arial" w:cs="Arial"/>
          <w:sz w:val="24"/>
          <w:szCs w:val="24"/>
        </w:rPr>
      </w:pPr>
    </w:p>
    <w:p w:rsidR="00EA64C4" w:rsidRDefault="00EA64C4" w:rsidP="00EA64C4">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Pr>
          <w:rFonts w:ascii="Arial" w:hAnsi="Arial" w:cs="Arial"/>
          <w:sz w:val="24"/>
          <w:szCs w:val="24"/>
        </w:rPr>
        <w:t>Standard Bank subsequently, during November 2012, approved a credit facility for BPO to finance the works. The credit facility was made subject to the registration of a bond over the leased property in favour of Standard Bank.</w:t>
      </w:r>
    </w:p>
    <w:p w:rsidR="00EA64C4" w:rsidRDefault="00EA64C4" w:rsidP="00EA64C4">
      <w:pPr>
        <w:pStyle w:val="ListParagraph"/>
        <w:spacing w:after="0" w:line="480" w:lineRule="auto"/>
        <w:rPr>
          <w:rFonts w:ascii="Arial" w:hAnsi="Arial" w:cs="Arial"/>
          <w:sz w:val="24"/>
          <w:szCs w:val="24"/>
        </w:rPr>
      </w:pPr>
    </w:p>
    <w:p w:rsidR="00EA64C4" w:rsidRDefault="00EA64C4" w:rsidP="00EA64C4">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Pr>
          <w:rFonts w:ascii="Arial" w:hAnsi="Arial" w:cs="Arial"/>
          <w:sz w:val="24"/>
          <w:szCs w:val="24"/>
        </w:rPr>
        <w:t>After working for three months on the project without payment Karibib Construction stopped the works and abandoned the site in December 2012. At the beginning of December 2012</w:t>
      </w:r>
      <w:r w:rsidR="00E12808">
        <w:rPr>
          <w:rFonts w:ascii="Arial" w:hAnsi="Arial" w:cs="Arial"/>
          <w:sz w:val="24"/>
          <w:szCs w:val="24"/>
        </w:rPr>
        <w:t>,</w:t>
      </w:r>
      <w:r>
        <w:rPr>
          <w:rFonts w:ascii="Arial" w:hAnsi="Arial" w:cs="Arial"/>
          <w:sz w:val="24"/>
          <w:szCs w:val="24"/>
        </w:rPr>
        <w:t xml:space="preserve"> Karibib Construction requested an overdraft facility from FNB since it experienced financial difficulty.</w:t>
      </w:r>
    </w:p>
    <w:p w:rsidR="00EA64C4" w:rsidRDefault="00EA64C4" w:rsidP="00EA64C4">
      <w:pPr>
        <w:pStyle w:val="ListParagraph"/>
        <w:spacing w:after="0" w:line="480" w:lineRule="auto"/>
        <w:rPr>
          <w:rFonts w:ascii="Arial" w:hAnsi="Arial" w:cs="Arial"/>
          <w:sz w:val="24"/>
          <w:szCs w:val="24"/>
        </w:rPr>
      </w:pPr>
    </w:p>
    <w:p w:rsidR="00EA64C4" w:rsidRDefault="007B0724" w:rsidP="007B0724">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Pr>
          <w:rFonts w:ascii="Arial" w:hAnsi="Arial" w:cs="Arial"/>
          <w:sz w:val="24"/>
          <w:szCs w:val="24"/>
        </w:rPr>
        <w:t>In order to obtain the overdraft facility (of N$600 000) from FNB, Karibib Construction asked BPO to issue it with a letter or guarantee confirming that the deposit (to which it was entitled in terms of the quotation) would be paid into its bank account with FNB. On 14 December 2012</w:t>
      </w:r>
      <w:r w:rsidR="00E12808">
        <w:rPr>
          <w:rFonts w:ascii="Arial" w:hAnsi="Arial" w:cs="Arial"/>
          <w:sz w:val="24"/>
          <w:szCs w:val="24"/>
        </w:rPr>
        <w:t>,</w:t>
      </w:r>
      <w:r>
        <w:rPr>
          <w:rFonts w:ascii="Arial" w:hAnsi="Arial" w:cs="Arial"/>
          <w:sz w:val="24"/>
          <w:szCs w:val="24"/>
        </w:rPr>
        <w:t xml:space="preserve"> Standard Bank issued </w:t>
      </w:r>
      <w:r w:rsidR="008B361A">
        <w:rPr>
          <w:rFonts w:ascii="Arial" w:hAnsi="Arial" w:cs="Arial"/>
          <w:sz w:val="24"/>
          <w:szCs w:val="24"/>
        </w:rPr>
        <w:t xml:space="preserve">such </w:t>
      </w:r>
      <w:r>
        <w:rPr>
          <w:rFonts w:ascii="Arial" w:hAnsi="Arial" w:cs="Arial"/>
          <w:sz w:val="24"/>
          <w:szCs w:val="24"/>
        </w:rPr>
        <w:t>a letter to FNB. The content of this letter will be referred to in detail hereunder.</w:t>
      </w:r>
    </w:p>
    <w:p w:rsidR="007B0724" w:rsidRDefault="007B0724" w:rsidP="007B0724">
      <w:pPr>
        <w:pStyle w:val="ListParagraph"/>
        <w:spacing w:after="0" w:line="480" w:lineRule="auto"/>
        <w:rPr>
          <w:rFonts w:ascii="Arial" w:hAnsi="Arial" w:cs="Arial"/>
          <w:sz w:val="24"/>
          <w:szCs w:val="24"/>
        </w:rPr>
      </w:pPr>
    </w:p>
    <w:p w:rsidR="007B0724" w:rsidRDefault="007B0724" w:rsidP="007B0724">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Pr>
          <w:rFonts w:ascii="Arial" w:hAnsi="Arial" w:cs="Arial"/>
          <w:sz w:val="24"/>
          <w:szCs w:val="24"/>
        </w:rPr>
        <w:t xml:space="preserve">On </w:t>
      </w:r>
      <w:r w:rsidR="00016A45">
        <w:rPr>
          <w:rFonts w:ascii="Arial" w:hAnsi="Arial" w:cs="Arial"/>
          <w:sz w:val="24"/>
          <w:szCs w:val="24"/>
        </w:rPr>
        <w:t>18 April 2013</w:t>
      </w:r>
      <w:r w:rsidR="00381548">
        <w:rPr>
          <w:rFonts w:ascii="Arial" w:hAnsi="Arial" w:cs="Arial"/>
          <w:sz w:val="24"/>
          <w:szCs w:val="24"/>
        </w:rPr>
        <w:t>,</w:t>
      </w:r>
      <w:r w:rsidR="00016A45">
        <w:rPr>
          <w:rFonts w:ascii="Arial" w:hAnsi="Arial" w:cs="Arial"/>
          <w:sz w:val="24"/>
          <w:szCs w:val="24"/>
        </w:rPr>
        <w:t xml:space="preserve"> BPO informed Karibib Construction that it had secured the required deposit, indicating that the deposit would be transferred into Karibib Construction’s bank account only after a contract </w:t>
      </w:r>
      <w:r w:rsidR="00DA2583">
        <w:rPr>
          <w:rFonts w:ascii="Arial" w:hAnsi="Arial" w:cs="Arial"/>
          <w:sz w:val="24"/>
          <w:szCs w:val="24"/>
        </w:rPr>
        <w:t xml:space="preserve">with ‘clear terms’ </w:t>
      </w:r>
      <w:r w:rsidR="00016A45">
        <w:rPr>
          <w:rFonts w:ascii="Arial" w:hAnsi="Arial" w:cs="Arial"/>
          <w:sz w:val="24"/>
          <w:szCs w:val="24"/>
        </w:rPr>
        <w:t>had been concluded between Karibib Construction and BPO.</w:t>
      </w:r>
    </w:p>
    <w:p w:rsidR="00016A45" w:rsidRDefault="00016A45" w:rsidP="00016A45">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Pr>
          <w:rFonts w:ascii="Arial" w:hAnsi="Arial" w:cs="Arial"/>
          <w:sz w:val="24"/>
          <w:szCs w:val="24"/>
        </w:rPr>
        <w:lastRenderedPageBreak/>
        <w:t>Karibib Construction on its part demanded to</w:t>
      </w:r>
      <w:r w:rsidR="00254724">
        <w:rPr>
          <w:rFonts w:ascii="Arial" w:hAnsi="Arial" w:cs="Arial"/>
          <w:sz w:val="24"/>
          <w:szCs w:val="24"/>
        </w:rPr>
        <w:t xml:space="preserve"> be</w:t>
      </w:r>
      <w:r>
        <w:rPr>
          <w:rFonts w:ascii="Arial" w:hAnsi="Arial" w:cs="Arial"/>
          <w:sz w:val="24"/>
          <w:szCs w:val="24"/>
        </w:rPr>
        <w:t xml:space="preserve"> paid compensation</w:t>
      </w:r>
      <w:r w:rsidR="00F375F7">
        <w:rPr>
          <w:rFonts w:ascii="Arial" w:hAnsi="Arial" w:cs="Arial"/>
          <w:sz w:val="24"/>
          <w:szCs w:val="24"/>
        </w:rPr>
        <w:t xml:space="preserve">           </w:t>
      </w:r>
      <w:r>
        <w:rPr>
          <w:rFonts w:ascii="Arial" w:hAnsi="Arial" w:cs="Arial"/>
          <w:sz w:val="24"/>
          <w:szCs w:val="24"/>
        </w:rPr>
        <w:t xml:space="preserve"> (N$350 000) by BPO for damages it had allegedly suffered, in addition to the deposit stipulated in the quotation. Karibib </w:t>
      </w:r>
      <w:r w:rsidR="009A44D9">
        <w:rPr>
          <w:rFonts w:ascii="Arial" w:hAnsi="Arial" w:cs="Arial"/>
          <w:sz w:val="24"/>
          <w:szCs w:val="24"/>
        </w:rPr>
        <w:t>Construction was unwilling to sign a new contract as requested by BPO. A stalemate ensued with Karibib Construction refusing to return to site and BPO unwilling to meet the demand of Karibib Construction. BPO cancelled the agreement (quotation</w:t>
      </w:r>
      <w:r w:rsidR="006F791B">
        <w:rPr>
          <w:rFonts w:ascii="Arial" w:hAnsi="Arial" w:cs="Arial"/>
          <w:sz w:val="24"/>
          <w:szCs w:val="24"/>
        </w:rPr>
        <w:t>)</w:t>
      </w:r>
      <w:r w:rsidR="009A44D9">
        <w:rPr>
          <w:rFonts w:ascii="Arial" w:hAnsi="Arial" w:cs="Arial"/>
          <w:sz w:val="24"/>
          <w:szCs w:val="24"/>
        </w:rPr>
        <w:t xml:space="preserve"> on 24 May 2013.</w:t>
      </w:r>
    </w:p>
    <w:p w:rsidR="00A31E54" w:rsidRDefault="00A31E54" w:rsidP="00A31E54">
      <w:pPr>
        <w:pStyle w:val="NoSpacing"/>
        <w:widowControl w:val="0"/>
        <w:autoSpaceDE w:val="0"/>
        <w:autoSpaceDN w:val="0"/>
        <w:adjustRightInd w:val="0"/>
        <w:spacing w:line="480" w:lineRule="auto"/>
        <w:jc w:val="both"/>
        <w:rPr>
          <w:rFonts w:ascii="Arial" w:hAnsi="Arial" w:cs="Arial"/>
          <w:sz w:val="24"/>
          <w:szCs w:val="24"/>
        </w:rPr>
      </w:pPr>
    </w:p>
    <w:p w:rsidR="002850F9" w:rsidRDefault="002850F9" w:rsidP="002850F9">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sidRPr="00A125DC">
        <w:rPr>
          <w:rFonts w:ascii="Arial" w:hAnsi="Arial" w:cs="Arial"/>
          <w:sz w:val="24"/>
          <w:szCs w:val="24"/>
        </w:rPr>
        <w:t>Per letter dated 14 December 2012, Standard Bank inform</w:t>
      </w:r>
      <w:r w:rsidR="00C46565">
        <w:rPr>
          <w:rFonts w:ascii="Arial" w:hAnsi="Arial" w:cs="Arial"/>
          <w:sz w:val="24"/>
          <w:szCs w:val="24"/>
        </w:rPr>
        <w:t>ed the Usakos branch of FNB</w:t>
      </w:r>
      <w:r w:rsidRPr="00A125DC">
        <w:rPr>
          <w:rFonts w:ascii="Arial" w:hAnsi="Arial" w:cs="Arial"/>
          <w:sz w:val="24"/>
          <w:szCs w:val="24"/>
        </w:rPr>
        <w:t xml:space="preserve"> as follows:</w:t>
      </w:r>
    </w:p>
    <w:p w:rsidR="002850F9" w:rsidRDefault="002850F9" w:rsidP="00A31E54">
      <w:pPr>
        <w:pStyle w:val="NoSpacing"/>
        <w:spacing w:line="360" w:lineRule="auto"/>
        <w:ind w:left="720"/>
        <w:jc w:val="both"/>
        <w:rPr>
          <w:rFonts w:ascii="Arial" w:hAnsi="Arial" w:cs="Arial"/>
          <w:sz w:val="24"/>
          <w:szCs w:val="24"/>
        </w:rPr>
      </w:pPr>
    </w:p>
    <w:p w:rsidR="002850F9" w:rsidRPr="003218C8" w:rsidRDefault="002850F9" w:rsidP="002850F9">
      <w:pPr>
        <w:pStyle w:val="NoSpacing"/>
        <w:spacing w:line="360" w:lineRule="auto"/>
        <w:ind w:left="720"/>
        <w:jc w:val="both"/>
        <w:rPr>
          <w:rFonts w:ascii="Arial" w:hAnsi="Arial" w:cs="Arial"/>
        </w:rPr>
      </w:pPr>
      <w:r w:rsidRPr="003218C8">
        <w:rPr>
          <w:rFonts w:ascii="Arial" w:hAnsi="Arial" w:cs="Arial"/>
        </w:rPr>
        <w:t>‘Acting under instructions received from BPO Logistics CC we advise that we undertake to pay the sum of N$1 293 750 (One million two hundred and ninety three thousand seven hundred and fifty Namibia Dollars only), being 50% deposit to Karibib Construction Services CC for work to be performed as per quotation dated 15 August 2012.</w:t>
      </w:r>
    </w:p>
    <w:p w:rsidR="002850F9" w:rsidRPr="003218C8" w:rsidRDefault="002850F9" w:rsidP="002850F9">
      <w:pPr>
        <w:pStyle w:val="NoSpacing"/>
        <w:spacing w:line="360" w:lineRule="auto"/>
        <w:ind w:left="720"/>
        <w:jc w:val="both"/>
        <w:rPr>
          <w:rFonts w:ascii="Arial" w:hAnsi="Arial" w:cs="Arial"/>
        </w:rPr>
      </w:pPr>
    </w:p>
    <w:p w:rsidR="002850F9" w:rsidRPr="003218C8" w:rsidRDefault="002850F9" w:rsidP="002850F9">
      <w:pPr>
        <w:pStyle w:val="NoSpacing"/>
        <w:spacing w:line="360" w:lineRule="auto"/>
        <w:ind w:left="720"/>
        <w:jc w:val="both"/>
        <w:rPr>
          <w:rFonts w:ascii="Arial" w:hAnsi="Arial" w:cs="Arial"/>
        </w:rPr>
      </w:pPr>
      <w:r w:rsidRPr="003218C8">
        <w:rPr>
          <w:rFonts w:ascii="Arial" w:hAnsi="Arial" w:cs="Arial"/>
        </w:rPr>
        <w:t xml:space="preserve">This amount will be paid to your account with First National Bank, Usakos upon advice in writing </w:t>
      </w:r>
      <w:r w:rsidR="00C46565">
        <w:rPr>
          <w:rFonts w:ascii="Arial" w:hAnsi="Arial" w:cs="Arial"/>
        </w:rPr>
        <w:t>f</w:t>
      </w:r>
      <w:r w:rsidRPr="003218C8">
        <w:rPr>
          <w:rFonts w:ascii="Arial" w:hAnsi="Arial" w:cs="Arial"/>
        </w:rPr>
        <w:t>rom DF Malherbe and Partners that the following transaction has been registered in the Deeds Office, Windhoek:</w:t>
      </w:r>
    </w:p>
    <w:p w:rsidR="002850F9" w:rsidRPr="003218C8" w:rsidRDefault="002850F9" w:rsidP="002850F9">
      <w:pPr>
        <w:pStyle w:val="NoSpacing"/>
        <w:spacing w:line="360" w:lineRule="auto"/>
        <w:ind w:left="720"/>
        <w:jc w:val="both"/>
        <w:rPr>
          <w:rFonts w:ascii="Arial" w:hAnsi="Arial" w:cs="Arial"/>
        </w:rPr>
      </w:pPr>
    </w:p>
    <w:p w:rsidR="002850F9" w:rsidRPr="003218C8" w:rsidRDefault="002850F9" w:rsidP="002850F9">
      <w:pPr>
        <w:pStyle w:val="NoSpacing"/>
        <w:spacing w:line="360" w:lineRule="auto"/>
        <w:ind w:left="1440"/>
        <w:jc w:val="both"/>
        <w:rPr>
          <w:rFonts w:ascii="Arial" w:hAnsi="Arial" w:cs="Arial"/>
        </w:rPr>
      </w:pPr>
      <w:r w:rsidRPr="003218C8">
        <w:rPr>
          <w:rFonts w:ascii="Arial" w:hAnsi="Arial" w:cs="Arial"/>
        </w:rPr>
        <w:t>“Registration of a Covering Mortgage Bond in favour of Standard Bank Namibia Limited over the lease No 1 and No 3 on Portion 196, Walvis Bay Town &amp; Townlands registered in name of the Municipality of Walvis Bay.”</w:t>
      </w:r>
    </w:p>
    <w:p w:rsidR="002850F9" w:rsidRPr="003218C8" w:rsidRDefault="002850F9" w:rsidP="002850F9">
      <w:pPr>
        <w:pStyle w:val="NoSpacing"/>
        <w:spacing w:line="360" w:lineRule="auto"/>
        <w:ind w:firstLine="720"/>
        <w:jc w:val="both"/>
        <w:rPr>
          <w:rFonts w:ascii="Arial" w:hAnsi="Arial" w:cs="Arial"/>
        </w:rPr>
      </w:pPr>
    </w:p>
    <w:p w:rsidR="002850F9" w:rsidRDefault="002850F9" w:rsidP="002850F9">
      <w:pPr>
        <w:pStyle w:val="NoSpacing"/>
        <w:spacing w:line="360" w:lineRule="auto"/>
        <w:ind w:left="720"/>
        <w:jc w:val="both"/>
        <w:rPr>
          <w:rFonts w:ascii="Arial" w:hAnsi="Arial" w:cs="Arial"/>
          <w:sz w:val="24"/>
          <w:szCs w:val="24"/>
        </w:rPr>
      </w:pPr>
      <w:r w:rsidRPr="003218C8">
        <w:rPr>
          <w:rFonts w:ascii="Arial" w:hAnsi="Arial" w:cs="Arial"/>
        </w:rPr>
        <w:t>Should any circumstances arise to prevent or unduly delay registration of the abovementioned transaction we reserve the right to withdraw here from by giving you written notice to that effect, whereupon the said sum will no longer be held at your disposal.’</w:t>
      </w:r>
    </w:p>
    <w:p w:rsidR="002850F9" w:rsidRDefault="002850F9" w:rsidP="00B7459C">
      <w:pPr>
        <w:pStyle w:val="NoSpacing"/>
        <w:spacing w:line="480" w:lineRule="auto"/>
        <w:jc w:val="both"/>
        <w:rPr>
          <w:rFonts w:ascii="Arial" w:hAnsi="Arial" w:cs="Arial"/>
          <w:sz w:val="24"/>
          <w:szCs w:val="24"/>
        </w:rPr>
      </w:pPr>
    </w:p>
    <w:p w:rsidR="002850F9" w:rsidRDefault="002850F9" w:rsidP="002850F9">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sidRPr="00A125DC">
        <w:rPr>
          <w:rFonts w:ascii="Arial" w:hAnsi="Arial" w:cs="Arial"/>
          <w:sz w:val="24"/>
          <w:szCs w:val="24"/>
        </w:rPr>
        <w:t xml:space="preserve">When called upon to honour the undertaking in the letter, Standard </w:t>
      </w:r>
      <w:r w:rsidR="00C46565">
        <w:rPr>
          <w:rFonts w:ascii="Arial" w:hAnsi="Arial" w:cs="Arial"/>
          <w:sz w:val="24"/>
          <w:szCs w:val="24"/>
        </w:rPr>
        <w:t>Bank refused as its client, BPO</w:t>
      </w:r>
      <w:r w:rsidRPr="00A125DC">
        <w:rPr>
          <w:rFonts w:ascii="Arial" w:hAnsi="Arial" w:cs="Arial"/>
          <w:sz w:val="24"/>
          <w:szCs w:val="24"/>
        </w:rPr>
        <w:t xml:space="preserve">, informed it that a dispute arose between it and Karibib Construction </w:t>
      </w:r>
      <w:r w:rsidR="003E163B">
        <w:rPr>
          <w:rFonts w:ascii="Arial" w:hAnsi="Arial" w:cs="Arial"/>
          <w:sz w:val="24"/>
          <w:szCs w:val="24"/>
        </w:rPr>
        <w:t xml:space="preserve">and that </w:t>
      </w:r>
      <w:r w:rsidRPr="00A125DC">
        <w:rPr>
          <w:rFonts w:ascii="Arial" w:hAnsi="Arial" w:cs="Arial"/>
          <w:sz w:val="24"/>
          <w:szCs w:val="24"/>
        </w:rPr>
        <w:t xml:space="preserve">the work had ceased on the project and the contract between </w:t>
      </w:r>
      <w:r w:rsidRPr="00A125DC">
        <w:rPr>
          <w:rFonts w:ascii="Arial" w:hAnsi="Arial" w:cs="Arial"/>
          <w:sz w:val="24"/>
          <w:szCs w:val="24"/>
        </w:rPr>
        <w:lastRenderedPageBreak/>
        <w:t>the parties had been cancelled and hence Karibib Construction was not entitled to payment.</w:t>
      </w:r>
    </w:p>
    <w:p w:rsidR="002850F9" w:rsidRDefault="002850F9" w:rsidP="002850F9">
      <w:pPr>
        <w:pStyle w:val="ListParagraph"/>
        <w:spacing w:after="0" w:line="480" w:lineRule="auto"/>
        <w:ind w:left="0"/>
        <w:rPr>
          <w:rFonts w:ascii="Arial" w:hAnsi="Arial" w:cs="Arial"/>
          <w:sz w:val="24"/>
          <w:szCs w:val="24"/>
        </w:rPr>
      </w:pPr>
    </w:p>
    <w:p w:rsidR="002850F9" w:rsidRDefault="002850F9" w:rsidP="002850F9">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sidRPr="00A125DC">
        <w:rPr>
          <w:rFonts w:ascii="Arial" w:hAnsi="Arial" w:cs="Arial"/>
          <w:sz w:val="24"/>
          <w:szCs w:val="24"/>
        </w:rPr>
        <w:t>FNB (and Karibib Construction's) stance is that the letter from Standard Bank constituted a demand guarantee and as the conditions stated in it was fulfilled by the bond being registered over the property on 26 April 201</w:t>
      </w:r>
      <w:r w:rsidR="00381548">
        <w:rPr>
          <w:rFonts w:ascii="Arial" w:hAnsi="Arial" w:cs="Arial"/>
          <w:sz w:val="24"/>
          <w:szCs w:val="24"/>
        </w:rPr>
        <w:t>3</w:t>
      </w:r>
      <w:r w:rsidR="00C46565">
        <w:rPr>
          <w:rFonts w:ascii="Arial" w:hAnsi="Arial" w:cs="Arial"/>
          <w:sz w:val="24"/>
          <w:szCs w:val="24"/>
        </w:rPr>
        <w:t>.</w:t>
      </w:r>
      <w:r w:rsidRPr="00A125DC">
        <w:rPr>
          <w:rFonts w:ascii="Arial" w:hAnsi="Arial" w:cs="Arial"/>
          <w:sz w:val="24"/>
          <w:szCs w:val="24"/>
        </w:rPr>
        <w:t xml:space="preserve"> Standard Bank had to perform according to its tenure. Standard Bank'</w:t>
      </w:r>
      <w:r w:rsidR="00502736">
        <w:rPr>
          <w:rFonts w:ascii="Arial" w:hAnsi="Arial" w:cs="Arial"/>
          <w:sz w:val="24"/>
          <w:szCs w:val="24"/>
        </w:rPr>
        <w:t>s stance is that the letter is ‘</w:t>
      </w:r>
      <w:r w:rsidRPr="00A125DC">
        <w:rPr>
          <w:rFonts w:ascii="Arial" w:hAnsi="Arial" w:cs="Arial"/>
          <w:sz w:val="24"/>
          <w:szCs w:val="24"/>
        </w:rPr>
        <w:t xml:space="preserve">essentially based on the underlying performance in terms of a construction offer made by Karibib Construction to BPO </w:t>
      </w:r>
      <w:r w:rsidR="00DA2583">
        <w:rPr>
          <w:rFonts w:ascii="Arial" w:hAnsi="Arial" w:cs="Arial"/>
          <w:sz w:val="24"/>
          <w:szCs w:val="24"/>
        </w:rPr>
        <w:t xml:space="preserve">Logistics </w:t>
      </w:r>
      <w:r w:rsidRPr="00A125DC">
        <w:rPr>
          <w:rFonts w:ascii="Arial" w:hAnsi="Arial" w:cs="Arial"/>
          <w:sz w:val="24"/>
          <w:szCs w:val="24"/>
        </w:rPr>
        <w:t>and cannot be const</w:t>
      </w:r>
      <w:r w:rsidR="00502736">
        <w:rPr>
          <w:rFonts w:ascii="Arial" w:hAnsi="Arial" w:cs="Arial"/>
          <w:sz w:val="24"/>
          <w:szCs w:val="24"/>
        </w:rPr>
        <w:t>rued as a performance guarantee’</w:t>
      </w:r>
      <w:r w:rsidRPr="00A125DC">
        <w:rPr>
          <w:rFonts w:ascii="Arial" w:hAnsi="Arial" w:cs="Arial"/>
          <w:sz w:val="24"/>
          <w:szCs w:val="24"/>
        </w:rPr>
        <w:t>. It maintains that as a result of the dispute between the parties as to what remuneration Karibib Construction is entitled to</w:t>
      </w:r>
      <w:r w:rsidR="00254724">
        <w:rPr>
          <w:rFonts w:ascii="Arial" w:hAnsi="Arial" w:cs="Arial"/>
          <w:sz w:val="24"/>
          <w:szCs w:val="24"/>
        </w:rPr>
        <w:t>,</w:t>
      </w:r>
      <w:r w:rsidRPr="00A125DC">
        <w:rPr>
          <w:rFonts w:ascii="Arial" w:hAnsi="Arial" w:cs="Arial"/>
          <w:sz w:val="24"/>
          <w:szCs w:val="24"/>
        </w:rPr>
        <w:t xml:space="preserve"> it is not in a position to pay out </w:t>
      </w:r>
      <w:r w:rsidR="00502736">
        <w:rPr>
          <w:rFonts w:ascii="Arial" w:hAnsi="Arial" w:cs="Arial"/>
          <w:sz w:val="24"/>
          <w:szCs w:val="24"/>
        </w:rPr>
        <w:t>any amount based on the letter ‘</w:t>
      </w:r>
      <w:r w:rsidRPr="00A125DC">
        <w:rPr>
          <w:rFonts w:ascii="Arial" w:hAnsi="Arial" w:cs="Arial"/>
          <w:sz w:val="24"/>
          <w:szCs w:val="24"/>
        </w:rPr>
        <w:t>unless an unequivocal and written instruction is received from BPO Logisti</w:t>
      </w:r>
      <w:r w:rsidR="00502736">
        <w:rPr>
          <w:rFonts w:ascii="Arial" w:hAnsi="Arial" w:cs="Arial"/>
          <w:sz w:val="24"/>
          <w:szCs w:val="24"/>
        </w:rPr>
        <w:t>cs to make such payment’</w:t>
      </w:r>
      <w:r w:rsidRPr="00A125DC">
        <w:rPr>
          <w:rFonts w:ascii="Arial" w:hAnsi="Arial" w:cs="Arial"/>
          <w:sz w:val="24"/>
          <w:szCs w:val="24"/>
        </w:rPr>
        <w:t>.</w:t>
      </w:r>
    </w:p>
    <w:p w:rsidR="002850F9" w:rsidRDefault="002850F9" w:rsidP="002850F9">
      <w:pPr>
        <w:pStyle w:val="ListParagraph"/>
        <w:spacing w:after="0" w:line="480" w:lineRule="auto"/>
        <w:ind w:left="0"/>
        <w:rPr>
          <w:rFonts w:ascii="Arial" w:hAnsi="Arial" w:cs="Arial"/>
          <w:sz w:val="24"/>
          <w:szCs w:val="24"/>
        </w:rPr>
      </w:pPr>
    </w:p>
    <w:p w:rsidR="002850F9" w:rsidRDefault="002850F9" w:rsidP="002850F9">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sidRPr="00A125DC">
        <w:rPr>
          <w:rFonts w:ascii="Arial" w:hAnsi="Arial" w:cs="Arial"/>
          <w:sz w:val="24"/>
          <w:szCs w:val="24"/>
        </w:rPr>
        <w:t>Because of the deadlock between the two banks referred to above</w:t>
      </w:r>
      <w:r w:rsidR="00A31E54">
        <w:rPr>
          <w:rFonts w:ascii="Arial" w:hAnsi="Arial" w:cs="Arial"/>
          <w:sz w:val="24"/>
          <w:szCs w:val="24"/>
        </w:rPr>
        <w:t>,</w:t>
      </w:r>
      <w:r w:rsidRPr="00A125DC">
        <w:rPr>
          <w:rFonts w:ascii="Arial" w:hAnsi="Arial" w:cs="Arial"/>
          <w:sz w:val="24"/>
          <w:szCs w:val="24"/>
        </w:rPr>
        <w:t xml:space="preserve"> Karibib Construction brought an application in the High Court to essentially compel Standard Bank to make payment pursuant to the letter. The court </w:t>
      </w:r>
      <w:r w:rsidRPr="00254724">
        <w:rPr>
          <w:rFonts w:ascii="Arial" w:hAnsi="Arial" w:cs="Arial"/>
          <w:i/>
          <w:sz w:val="24"/>
          <w:szCs w:val="24"/>
        </w:rPr>
        <w:t>a quo</w:t>
      </w:r>
      <w:r w:rsidRPr="00A125DC">
        <w:rPr>
          <w:rFonts w:ascii="Arial" w:hAnsi="Arial" w:cs="Arial"/>
          <w:sz w:val="24"/>
          <w:szCs w:val="24"/>
        </w:rPr>
        <w:t xml:space="preserve"> </w:t>
      </w:r>
      <w:r w:rsidR="00760F5E">
        <w:rPr>
          <w:rFonts w:ascii="Arial" w:hAnsi="Arial" w:cs="Arial"/>
          <w:sz w:val="24"/>
          <w:szCs w:val="24"/>
        </w:rPr>
        <w:t>found in it</w:t>
      </w:r>
      <w:r w:rsidRPr="00A125DC">
        <w:rPr>
          <w:rFonts w:ascii="Arial" w:hAnsi="Arial" w:cs="Arial"/>
          <w:sz w:val="24"/>
          <w:szCs w:val="24"/>
        </w:rPr>
        <w:t xml:space="preserve">s favour and gave an order spelling out how payment had to be </w:t>
      </w:r>
      <w:r w:rsidR="00254724">
        <w:rPr>
          <w:rFonts w:ascii="Arial" w:hAnsi="Arial" w:cs="Arial"/>
          <w:sz w:val="24"/>
          <w:szCs w:val="24"/>
        </w:rPr>
        <w:t>e</w:t>
      </w:r>
      <w:r w:rsidRPr="00A125DC">
        <w:rPr>
          <w:rFonts w:ascii="Arial" w:hAnsi="Arial" w:cs="Arial"/>
          <w:sz w:val="24"/>
          <w:szCs w:val="24"/>
        </w:rPr>
        <w:t>ffected. The appeal lies against this order.</w:t>
      </w:r>
    </w:p>
    <w:p w:rsidR="002850F9" w:rsidRDefault="002850F9" w:rsidP="002850F9">
      <w:pPr>
        <w:pStyle w:val="ListParagraph"/>
        <w:spacing w:after="0" w:line="480" w:lineRule="auto"/>
        <w:ind w:left="0"/>
        <w:rPr>
          <w:rFonts w:ascii="Arial" w:hAnsi="Arial" w:cs="Arial"/>
          <w:sz w:val="24"/>
          <w:szCs w:val="24"/>
        </w:rPr>
      </w:pPr>
    </w:p>
    <w:p w:rsidR="002850F9" w:rsidRDefault="002850F9" w:rsidP="002850F9">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sidRPr="00A125DC">
        <w:rPr>
          <w:rFonts w:ascii="Arial" w:hAnsi="Arial" w:cs="Arial"/>
          <w:sz w:val="24"/>
          <w:szCs w:val="24"/>
        </w:rPr>
        <w:t>I need to mention in passing that apart from the contention that the letter did not constitute a demand guarantee the defence was also raised that Karibib Construction was not entitled to the money as it knew it was not due following the cancelation of the contract</w:t>
      </w:r>
      <w:r w:rsidR="00254724">
        <w:rPr>
          <w:rFonts w:ascii="Arial" w:hAnsi="Arial" w:cs="Arial"/>
          <w:sz w:val="24"/>
          <w:szCs w:val="24"/>
        </w:rPr>
        <w:t>,</w:t>
      </w:r>
      <w:r w:rsidRPr="00A125DC">
        <w:rPr>
          <w:rFonts w:ascii="Arial" w:hAnsi="Arial" w:cs="Arial"/>
          <w:sz w:val="24"/>
          <w:szCs w:val="24"/>
        </w:rPr>
        <w:t xml:space="preserve"> and that to claim it amounted to fraudulent action.</w:t>
      </w:r>
    </w:p>
    <w:p w:rsidR="002850F9" w:rsidRDefault="002850F9" w:rsidP="002850F9">
      <w:pPr>
        <w:pStyle w:val="ListParagraph"/>
        <w:spacing w:after="0" w:line="480" w:lineRule="auto"/>
        <w:ind w:left="0"/>
        <w:rPr>
          <w:rFonts w:ascii="Arial" w:hAnsi="Arial" w:cs="Arial"/>
          <w:sz w:val="24"/>
          <w:szCs w:val="24"/>
        </w:rPr>
      </w:pPr>
    </w:p>
    <w:p w:rsidR="002850F9" w:rsidRDefault="002850F9" w:rsidP="002850F9">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sidRPr="00A125DC">
        <w:rPr>
          <w:rFonts w:ascii="Arial" w:hAnsi="Arial" w:cs="Arial"/>
          <w:sz w:val="24"/>
          <w:szCs w:val="24"/>
        </w:rPr>
        <w:t>When it comes to demand bonds or guarantees this court dealt with the</w:t>
      </w:r>
      <w:r w:rsidR="003E163B">
        <w:rPr>
          <w:rFonts w:ascii="Arial" w:hAnsi="Arial" w:cs="Arial"/>
          <w:sz w:val="24"/>
          <w:szCs w:val="24"/>
        </w:rPr>
        <w:t xml:space="preserve"> </w:t>
      </w:r>
      <w:r w:rsidRPr="00A125DC">
        <w:rPr>
          <w:rFonts w:ascii="Arial" w:hAnsi="Arial" w:cs="Arial"/>
          <w:sz w:val="24"/>
          <w:szCs w:val="24"/>
        </w:rPr>
        <w:lastRenderedPageBreak/>
        <w:t>characteristics and nature by quoting South African and English authorities with approval as follows:</w:t>
      </w:r>
      <w:r w:rsidR="000A2840">
        <w:rPr>
          <w:rStyle w:val="FootnoteReference"/>
          <w:rFonts w:ascii="Arial" w:hAnsi="Arial" w:cs="Arial"/>
          <w:sz w:val="24"/>
          <w:szCs w:val="24"/>
        </w:rPr>
        <w:footnoteReference w:id="1"/>
      </w:r>
    </w:p>
    <w:p w:rsidR="002850F9" w:rsidRDefault="002850F9" w:rsidP="008D41DE">
      <w:pPr>
        <w:pStyle w:val="ListParagraph"/>
        <w:spacing w:after="0" w:line="360" w:lineRule="auto"/>
        <w:rPr>
          <w:rFonts w:ascii="Arial" w:hAnsi="Arial" w:cs="Arial"/>
          <w:sz w:val="24"/>
          <w:szCs w:val="24"/>
        </w:rPr>
      </w:pPr>
    </w:p>
    <w:p w:rsidR="002850F9" w:rsidRPr="003218C8" w:rsidRDefault="002850F9" w:rsidP="008D41DE">
      <w:pPr>
        <w:pStyle w:val="NoSpacing"/>
        <w:spacing w:line="360" w:lineRule="auto"/>
        <w:ind w:left="1440" w:hanging="720"/>
        <w:jc w:val="both"/>
        <w:rPr>
          <w:rFonts w:ascii="Arial" w:hAnsi="Arial" w:cs="Arial"/>
        </w:rPr>
      </w:pPr>
      <w:r w:rsidRPr="003218C8">
        <w:rPr>
          <w:rFonts w:ascii="Arial" w:hAnsi="Arial" w:cs="Arial"/>
        </w:rPr>
        <w:t>‘16</w:t>
      </w:r>
      <w:r w:rsidRPr="003218C8">
        <w:rPr>
          <w:rFonts w:ascii="Arial" w:hAnsi="Arial" w:cs="Arial"/>
        </w:rPr>
        <w:tab/>
        <w:t>Although sweeping categorisations by label must be avoided and the legal character of each guarantee must be ascertained with reference to its terms, purpose, effect and application, the different types of demand guarantee share many common attributes. They all contemplate payment of an obligation by the guarantor upon demand made by the beneficiary. As such, they are 'readily, promptly and assuredly realisable' and accord the beneficiary 'a means of immediate compensation without the need to go through arbitration, negotiation or litigation', not unlike the position as regards documentary letters of credit. It is widely recognised in international case law that, except for certain nuanced differences, instruments of this nature (most often in the form of performance guarantees) are similar in effect to letters of credit and, importantly for purposes of the discussion that follows, are founded on essentially the same legal principles. Those principles, fundamental to the law relating to letters of credit</w:t>
      </w:r>
      <w:r w:rsidR="00381548">
        <w:rPr>
          <w:rFonts w:ascii="Arial" w:hAnsi="Arial" w:cs="Arial"/>
        </w:rPr>
        <w:t>,</w:t>
      </w:r>
      <w:r w:rsidRPr="003218C8">
        <w:rPr>
          <w:rFonts w:ascii="Arial" w:hAnsi="Arial" w:cs="Arial"/>
        </w:rPr>
        <w:t xml:space="preserve"> are twofold: (i) the autonomy of the credit</w:t>
      </w:r>
      <w:r w:rsidR="00381548">
        <w:rPr>
          <w:rFonts w:ascii="Arial" w:hAnsi="Arial" w:cs="Arial"/>
        </w:rPr>
        <w:t>;</w:t>
      </w:r>
      <w:r w:rsidRPr="003218C8">
        <w:rPr>
          <w:rFonts w:ascii="Arial" w:hAnsi="Arial" w:cs="Arial"/>
        </w:rPr>
        <w:t xml:space="preserve"> and (ii) the doctrine of strict performance.</w:t>
      </w:r>
    </w:p>
    <w:p w:rsidR="002850F9" w:rsidRPr="003218C8" w:rsidRDefault="002850F9" w:rsidP="002850F9">
      <w:pPr>
        <w:pStyle w:val="NoSpacing"/>
        <w:spacing w:line="360" w:lineRule="auto"/>
        <w:ind w:left="1440" w:hanging="720"/>
        <w:jc w:val="both"/>
        <w:rPr>
          <w:rFonts w:ascii="Arial" w:hAnsi="Arial" w:cs="Arial"/>
        </w:rPr>
      </w:pPr>
    </w:p>
    <w:p w:rsidR="002850F9" w:rsidRPr="003218C8" w:rsidRDefault="002850F9" w:rsidP="002850F9">
      <w:pPr>
        <w:pStyle w:val="NoSpacing"/>
        <w:spacing w:line="360" w:lineRule="auto"/>
        <w:ind w:left="1440" w:hanging="720"/>
        <w:jc w:val="both"/>
        <w:rPr>
          <w:rFonts w:ascii="Arial" w:hAnsi="Arial" w:cs="Arial"/>
        </w:rPr>
      </w:pPr>
      <w:r w:rsidRPr="003218C8">
        <w:rPr>
          <w:rFonts w:ascii="Arial" w:hAnsi="Arial" w:cs="Arial"/>
        </w:rPr>
        <w:t>17</w:t>
      </w:r>
      <w:r w:rsidRPr="003218C8">
        <w:rPr>
          <w:rFonts w:ascii="Arial" w:hAnsi="Arial" w:cs="Arial"/>
        </w:rPr>
        <w:tab/>
        <w:t xml:space="preserve">Dr Henning forcefully emphasised the importance and application of the autonomy-principle to the Stocks guarantee with reference to quotations from a number of South African cases, such as </w:t>
      </w:r>
      <w:r w:rsidR="00381548">
        <w:rPr>
          <w:rFonts w:ascii="Arial" w:hAnsi="Arial" w:cs="Arial"/>
          <w:i/>
        </w:rPr>
        <w:t>Phillips &amp; A</w:t>
      </w:r>
      <w:r w:rsidRPr="00502736">
        <w:rPr>
          <w:rFonts w:ascii="Arial" w:hAnsi="Arial" w:cs="Arial"/>
          <w:i/>
        </w:rPr>
        <w:t>nother v Stand</w:t>
      </w:r>
      <w:r w:rsidR="00381548">
        <w:rPr>
          <w:rFonts w:ascii="Arial" w:hAnsi="Arial" w:cs="Arial"/>
          <w:i/>
        </w:rPr>
        <w:t>ard Bank of South Africa Ltd &amp; O</w:t>
      </w:r>
      <w:r w:rsidRPr="00502736">
        <w:rPr>
          <w:rFonts w:ascii="Arial" w:hAnsi="Arial" w:cs="Arial"/>
          <w:i/>
        </w:rPr>
        <w:t>thers,</w:t>
      </w:r>
      <w:r w:rsidR="00760F5E">
        <w:rPr>
          <w:rFonts w:ascii="Arial" w:hAnsi="Arial" w:cs="Arial"/>
          <w:i/>
        </w:rPr>
        <w:t xml:space="preserve"> </w:t>
      </w:r>
      <w:r w:rsidRPr="00502736">
        <w:rPr>
          <w:rFonts w:ascii="Arial" w:hAnsi="Arial" w:cs="Arial"/>
          <w:i/>
        </w:rPr>
        <w:t xml:space="preserve">Ex parte Sapan Trading (Pty) Ltd and, in particular, Loomcraft Fabrics CC v Nedbank Ltd &amp; </w:t>
      </w:r>
      <w:r w:rsidR="00381548">
        <w:rPr>
          <w:rFonts w:ascii="Arial" w:hAnsi="Arial" w:cs="Arial"/>
          <w:i/>
        </w:rPr>
        <w:t>A</w:t>
      </w:r>
      <w:r w:rsidRPr="00502736">
        <w:rPr>
          <w:rFonts w:ascii="Arial" w:hAnsi="Arial" w:cs="Arial"/>
          <w:i/>
        </w:rPr>
        <w:t>nother</w:t>
      </w:r>
      <w:r w:rsidRPr="003218C8">
        <w:rPr>
          <w:rFonts w:ascii="Arial" w:hAnsi="Arial" w:cs="Arial"/>
        </w:rPr>
        <w:t xml:space="preserve">. An exposition of this principle is also given in </w:t>
      </w:r>
      <w:r w:rsidRPr="00502736">
        <w:rPr>
          <w:rFonts w:ascii="Arial" w:hAnsi="Arial" w:cs="Arial"/>
          <w:i/>
        </w:rPr>
        <w:t>Lombard Insurance Co Ltd v</w:t>
      </w:r>
      <w:r w:rsidR="00381548">
        <w:rPr>
          <w:rFonts w:ascii="Arial" w:hAnsi="Arial" w:cs="Arial"/>
          <w:i/>
        </w:rPr>
        <w:t xml:space="preserve"> Landmark Holdings (Pty) Ltd &amp; O</w:t>
      </w:r>
      <w:r w:rsidRPr="00502736">
        <w:rPr>
          <w:rFonts w:ascii="Arial" w:hAnsi="Arial" w:cs="Arial"/>
          <w:i/>
        </w:rPr>
        <w:t>thers</w:t>
      </w:r>
      <w:r w:rsidRPr="003218C8">
        <w:rPr>
          <w:rFonts w:ascii="Arial" w:hAnsi="Arial" w:cs="Arial"/>
        </w:rPr>
        <w:t>, where the South African Supreme Court of Appeal said the following:</w:t>
      </w:r>
    </w:p>
    <w:p w:rsidR="002850F9" w:rsidRPr="003218C8" w:rsidRDefault="002850F9" w:rsidP="002850F9">
      <w:pPr>
        <w:pStyle w:val="NoSpacing"/>
        <w:spacing w:line="360" w:lineRule="auto"/>
        <w:ind w:left="1440" w:hanging="720"/>
        <w:jc w:val="both"/>
        <w:rPr>
          <w:rFonts w:ascii="Arial" w:hAnsi="Arial" w:cs="Arial"/>
        </w:rPr>
      </w:pPr>
    </w:p>
    <w:p w:rsidR="002850F9" w:rsidRPr="003218C8" w:rsidRDefault="002850F9" w:rsidP="002850F9">
      <w:pPr>
        <w:pStyle w:val="NoSpacing"/>
        <w:spacing w:line="360" w:lineRule="auto"/>
        <w:ind w:left="2160"/>
        <w:jc w:val="both"/>
        <w:rPr>
          <w:rFonts w:ascii="Arial" w:hAnsi="Arial" w:cs="Arial"/>
        </w:rPr>
      </w:pPr>
      <w:r w:rsidRPr="003218C8">
        <w:rPr>
          <w:rFonts w:ascii="Arial" w:hAnsi="Arial" w:cs="Arial"/>
        </w:rPr>
        <w:t xml:space="preserve">“The guarantee by Lombard is not unlike irrevocable letters of credit issued by banks and used in international trade, the essential feature of which is the establishment of a contractual obligation on the part of a bank to pay the beneficiary (seller). This obligation is wholly independent of the underlying contract of sale and assures the seller of payment of the purchase price before he or she parts with the </w:t>
      </w:r>
      <w:r w:rsidRPr="003218C8">
        <w:rPr>
          <w:rFonts w:ascii="Arial" w:hAnsi="Arial" w:cs="Arial"/>
        </w:rPr>
        <w:lastRenderedPageBreak/>
        <w:t>goods being sold. Whatever disputes may subsequently arise between buyer and seller is of no moment insofar as the bank's obligation is concerned. The bank's liability to the seller is to honour the credit. The bank undertakes to pay provided only that the conditions specified in the credit are met. The only basis upon which the bank can escape liability is proof of fraud on the part of the beneficiary. This exception falls within a narrow compass and applies where the seller, for the purpose of drawing on the credit, fraudulently presents to the bank documents that to the seller's knowledge misrepresent the material facts."</w:t>
      </w:r>
    </w:p>
    <w:p w:rsidR="002850F9" w:rsidRPr="003218C8" w:rsidRDefault="002850F9" w:rsidP="002850F9">
      <w:pPr>
        <w:pStyle w:val="NoSpacing"/>
        <w:spacing w:line="360" w:lineRule="auto"/>
        <w:jc w:val="both"/>
        <w:rPr>
          <w:rFonts w:ascii="Arial" w:hAnsi="Arial" w:cs="Arial"/>
        </w:rPr>
      </w:pPr>
    </w:p>
    <w:p w:rsidR="002850F9" w:rsidRPr="003218C8" w:rsidRDefault="002850F9" w:rsidP="002850F9">
      <w:pPr>
        <w:pStyle w:val="NoSpacing"/>
        <w:spacing w:line="360" w:lineRule="auto"/>
        <w:ind w:left="1440" w:hanging="720"/>
        <w:jc w:val="both"/>
        <w:rPr>
          <w:rFonts w:ascii="Arial" w:hAnsi="Arial" w:cs="Arial"/>
        </w:rPr>
      </w:pPr>
      <w:r w:rsidRPr="003218C8">
        <w:rPr>
          <w:rFonts w:ascii="Arial" w:hAnsi="Arial" w:cs="Arial"/>
        </w:rPr>
        <w:t>18</w:t>
      </w:r>
      <w:r w:rsidRPr="003218C8">
        <w:rPr>
          <w:rFonts w:ascii="Arial" w:hAnsi="Arial" w:cs="Arial"/>
        </w:rPr>
        <w:tab/>
        <w:t>Some of these authorities refer to and rely on excerpts from</w:t>
      </w:r>
      <w:r w:rsidR="00381548">
        <w:rPr>
          <w:rFonts w:ascii="Arial" w:hAnsi="Arial" w:cs="Arial"/>
        </w:rPr>
        <w:t xml:space="preserve"> the opinions of Lord Denning M</w:t>
      </w:r>
      <w:r w:rsidRPr="003218C8">
        <w:rPr>
          <w:rFonts w:ascii="Arial" w:hAnsi="Arial" w:cs="Arial"/>
        </w:rPr>
        <w:t xml:space="preserve">R on the autonomy of these instruments in </w:t>
      </w:r>
      <w:r w:rsidRPr="00502736">
        <w:rPr>
          <w:rFonts w:ascii="Arial" w:hAnsi="Arial" w:cs="Arial"/>
          <w:i/>
        </w:rPr>
        <w:t>Edward Owen Engineering Ltd v Barclays Bank International Ltd and Power Curber International Ltd v National Bank of Kuwait SAK</w:t>
      </w:r>
      <w:r w:rsidRPr="003218C8">
        <w:rPr>
          <w:rFonts w:ascii="Arial" w:hAnsi="Arial" w:cs="Arial"/>
        </w:rPr>
        <w:t xml:space="preserve">. In the </w:t>
      </w:r>
      <w:r w:rsidRPr="00502736">
        <w:rPr>
          <w:rFonts w:ascii="Arial" w:hAnsi="Arial" w:cs="Arial"/>
          <w:i/>
        </w:rPr>
        <w:t>Edward Owen</w:t>
      </w:r>
      <w:r w:rsidRPr="003218C8">
        <w:rPr>
          <w:rFonts w:ascii="Arial" w:hAnsi="Arial" w:cs="Arial"/>
        </w:rPr>
        <w:t xml:space="preserve"> case, he said </w:t>
      </w:r>
      <w:r w:rsidR="00381548">
        <w:rPr>
          <w:rFonts w:ascii="Arial" w:hAnsi="Arial" w:cs="Arial"/>
        </w:rPr>
        <w:t>of performance bonds (labelled “performance guarantees”</w:t>
      </w:r>
      <w:r w:rsidRPr="003218C8">
        <w:rPr>
          <w:rFonts w:ascii="Arial" w:hAnsi="Arial" w:cs="Arial"/>
        </w:rPr>
        <w:t xml:space="preserve"> in this jurisdiction) the following:</w:t>
      </w:r>
    </w:p>
    <w:p w:rsidR="002850F9" w:rsidRPr="003218C8" w:rsidRDefault="002850F9" w:rsidP="002850F9">
      <w:pPr>
        <w:pStyle w:val="NoSpacing"/>
        <w:spacing w:line="360" w:lineRule="auto"/>
        <w:ind w:left="1440" w:hanging="720"/>
        <w:jc w:val="both"/>
        <w:rPr>
          <w:rFonts w:ascii="Arial" w:hAnsi="Arial" w:cs="Arial"/>
        </w:rPr>
      </w:pPr>
    </w:p>
    <w:p w:rsidR="002850F9" w:rsidRPr="003218C8" w:rsidRDefault="002850F9" w:rsidP="002850F9">
      <w:pPr>
        <w:pStyle w:val="NoSpacing"/>
        <w:spacing w:line="360" w:lineRule="auto"/>
        <w:ind w:left="2160"/>
        <w:jc w:val="both"/>
        <w:rPr>
          <w:rFonts w:ascii="Arial" w:hAnsi="Arial" w:cs="Arial"/>
        </w:rPr>
      </w:pPr>
      <w:r w:rsidRPr="003218C8">
        <w:rPr>
          <w:rFonts w:ascii="Arial" w:hAnsi="Arial" w:cs="Arial"/>
        </w:rPr>
        <w:t>“All this leads to the conclusion that the performance guarantee stands on a similar footing to a letter of credit. A bank which gives a performance guarantee must honour that guarantee according to its terms. It is not concerned in the least with the relations between the supplier and the customer; nor with the question whether the supplier has performed his contracted obligation or not; nor with the question whether the supplier is in default or not. The bank must pay according to its guarantee, on demand if so stipulated, without proof or conditions. The only exception is when there is a clear fraud of which the bank has notice.”’</w:t>
      </w:r>
    </w:p>
    <w:p w:rsidR="002850F9" w:rsidRDefault="002850F9" w:rsidP="002850F9">
      <w:pPr>
        <w:pStyle w:val="NoSpacing"/>
        <w:spacing w:line="480" w:lineRule="auto"/>
        <w:jc w:val="both"/>
        <w:rPr>
          <w:rFonts w:ascii="Arial" w:hAnsi="Arial" w:cs="Arial"/>
          <w:sz w:val="24"/>
          <w:szCs w:val="24"/>
        </w:rPr>
      </w:pPr>
    </w:p>
    <w:p w:rsidR="002850F9" w:rsidRPr="00A125DC" w:rsidRDefault="002850F9" w:rsidP="002850F9">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sidRPr="00A125DC">
        <w:rPr>
          <w:rFonts w:ascii="Arial" w:hAnsi="Arial" w:cs="Arial"/>
          <w:sz w:val="24"/>
          <w:szCs w:val="24"/>
        </w:rPr>
        <w:t>The legal effect of</w:t>
      </w:r>
      <w:r w:rsidR="00E12808">
        <w:rPr>
          <w:rFonts w:ascii="Arial" w:hAnsi="Arial" w:cs="Arial"/>
          <w:sz w:val="24"/>
          <w:szCs w:val="24"/>
        </w:rPr>
        <w:t xml:space="preserve"> the</w:t>
      </w:r>
      <w:r w:rsidRPr="00A125DC">
        <w:rPr>
          <w:rFonts w:ascii="Arial" w:hAnsi="Arial" w:cs="Arial"/>
          <w:sz w:val="24"/>
          <w:szCs w:val="24"/>
        </w:rPr>
        <w:t xml:space="preserve"> demand guarantee is not </w:t>
      </w:r>
      <w:r w:rsidR="004A2B43">
        <w:rPr>
          <w:rFonts w:ascii="Arial" w:hAnsi="Arial" w:cs="Arial"/>
          <w:sz w:val="24"/>
          <w:szCs w:val="24"/>
        </w:rPr>
        <w:t>in</w:t>
      </w:r>
      <w:r w:rsidRPr="00A125DC">
        <w:rPr>
          <w:rFonts w:ascii="Arial" w:hAnsi="Arial" w:cs="Arial"/>
          <w:sz w:val="24"/>
          <w:szCs w:val="24"/>
        </w:rPr>
        <w:t xml:space="preserve"> dispute. What is in dispute is whether the letter from Standard Bank to FNB does indeed constitute a demand guarantee. The court </w:t>
      </w:r>
      <w:r w:rsidRPr="006B168E">
        <w:rPr>
          <w:rFonts w:ascii="Arial" w:hAnsi="Arial" w:cs="Arial"/>
          <w:i/>
          <w:sz w:val="24"/>
          <w:szCs w:val="24"/>
        </w:rPr>
        <w:t>a quo</w:t>
      </w:r>
      <w:r w:rsidRPr="00A125DC">
        <w:rPr>
          <w:rFonts w:ascii="Arial" w:hAnsi="Arial" w:cs="Arial"/>
          <w:sz w:val="24"/>
          <w:szCs w:val="24"/>
        </w:rPr>
        <w:t xml:space="preserve"> found that the letter taken at face value and its ordinary grammatical meaning constituted a demand guarantee.</w:t>
      </w:r>
    </w:p>
    <w:p w:rsidR="002850F9" w:rsidRDefault="002850F9" w:rsidP="002850F9">
      <w:pPr>
        <w:pStyle w:val="NoSpacing"/>
        <w:spacing w:line="480" w:lineRule="auto"/>
        <w:jc w:val="both"/>
        <w:rPr>
          <w:rFonts w:ascii="Arial" w:hAnsi="Arial" w:cs="Arial"/>
          <w:sz w:val="24"/>
          <w:szCs w:val="24"/>
        </w:rPr>
      </w:pPr>
    </w:p>
    <w:p w:rsidR="002850F9" w:rsidRDefault="002850F9" w:rsidP="002850F9">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sidRPr="00D0389C">
        <w:rPr>
          <w:rFonts w:ascii="Arial" w:hAnsi="Arial" w:cs="Arial"/>
          <w:sz w:val="24"/>
          <w:szCs w:val="24"/>
        </w:rPr>
        <w:lastRenderedPageBreak/>
        <w:t>Standard Bank undertakes, albeit under instruction from BPO to pay the mentioned amount, being 50</w:t>
      </w:r>
      <w:r w:rsidR="00254724">
        <w:rPr>
          <w:rFonts w:ascii="Arial" w:hAnsi="Arial" w:cs="Arial"/>
          <w:sz w:val="24"/>
          <w:szCs w:val="24"/>
        </w:rPr>
        <w:t xml:space="preserve"> per cent</w:t>
      </w:r>
      <w:r w:rsidRPr="00D0389C">
        <w:rPr>
          <w:rFonts w:ascii="Arial" w:hAnsi="Arial" w:cs="Arial"/>
          <w:sz w:val="24"/>
          <w:szCs w:val="24"/>
        </w:rPr>
        <w:t xml:space="preserve"> deposit for services to be performed by Karibib Construction pursuant to a quotation dated 16 August 2012. This simply identifies the parties to the underlying agreement and that what is involved is a deposit required by Karibib Construction. This paragraph does not in any manner whatsoever introduce some conditionality based on the performance of the envisaged work. The condition follows the introductory part and relates to the registration of a mortgage bond and the bank's right to revoke the letter on notice should there be an undue delay in the registration of the bond. It is common cause that the bond was registered and no case has been made t</w:t>
      </w:r>
      <w:r w:rsidR="00A8470D">
        <w:rPr>
          <w:rFonts w:ascii="Arial" w:hAnsi="Arial" w:cs="Arial"/>
          <w:sz w:val="24"/>
          <w:szCs w:val="24"/>
        </w:rPr>
        <w:t>hat it was not done timeously. We</w:t>
      </w:r>
      <w:r w:rsidRPr="00D0389C">
        <w:rPr>
          <w:rFonts w:ascii="Arial" w:hAnsi="Arial" w:cs="Arial"/>
          <w:sz w:val="24"/>
          <w:szCs w:val="24"/>
        </w:rPr>
        <w:t xml:space="preserve"> thus agree with the judge </w:t>
      </w:r>
      <w:r w:rsidRPr="00254724">
        <w:rPr>
          <w:rFonts w:ascii="Arial" w:hAnsi="Arial" w:cs="Arial"/>
          <w:i/>
          <w:sz w:val="24"/>
          <w:szCs w:val="24"/>
        </w:rPr>
        <w:t>a quo</w:t>
      </w:r>
      <w:r w:rsidRPr="00D0389C">
        <w:rPr>
          <w:rFonts w:ascii="Arial" w:hAnsi="Arial" w:cs="Arial"/>
          <w:sz w:val="24"/>
          <w:szCs w:val="24"/>
        </w:rPr>
        <w:t xml:space="preserve"> that the letter </w:t>
      </w:r>
      <w:r w:rsidR="00254724">
        <w:rPr>
          <w:rFonts w:ascii="Arial" w:hAnsi="Arial" w:cs="Arial"/>
          <w:sz w:val="24"/>
          <w:szCs w:val="24"/>
        </w:rPr>
        <w:t>by</w:t>
      </w:r>
      <w:r w:rsidRPr="00D0389C">
        <w:rPr>
          <w:rFonts w:ascii="Arial" w:hAnsi="Arial" w:cs="Arial"/>
          <w:sz w:val="24"/>
          <w:szCs w:val="24"/>
        </w:rPr>
        <w:t xml:space="preserve"> Standard Bank on the face thereof constitutes a demand guarantee. This is the effect of its ordinary grammatical meaning.</w:t>
      </w:r>
    </w:p>
    <w:p w:rsidR="002850F9" w:rsidRDefault="002850F9" w:rsidP="002850F9">
      <w:pPr>
        <w:pStyle w:val="ListParagraph"/>
        <w:spacing w:after="0" w:line="480" w:lineRule="auto"/>
        <w:rPr>
          <w:rFonts w:ascii="Arial" w:hAnsi="Arial" w:cs="Arial"/>
          <w:sz w:val="24"/>
          <w:szCs w:val="24"/>
        </w:rPr>
      </w:pPr>
    </w:p>
    <w:p w:rsidR="002850F9" w:rsidRDefault="002850F9" w:rsidP="002850F9">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sidRPr="00A125DC">
        <w:rPr>
          <w:rFonts w:ascii="Arial" w:hAnsi="Arial" w:cs="Arial"/>
          <w:sz w:val="24"/>
          <w:szCs w:val="24"/>
        </w:rPr>
        <w:t>Is there in the context of the matter something that disturbs the ordinary grammatical meaning? The quotation is clear. A 50</w:t>
      </w:r>
      <w:r w:rsidR="00254724">
        <w:rPr>
          <w:rFonts w:ascii="Arial" w:hAnsi="Arial" w:cs="Arial"/>
          <w:sz w:val="24"/>
          <w:szCs w:val="24"/>
        </w:rPr>
        <w:t xml:space="preserve"> per cent</w:t>
      </w:r>
      <w:r w:rsidRPr="00A125DC">
        <w:rPr>
          <w:rFonts w:ascii="Arial" w:hAnsi="Arial" w:cs="Arial"/>
          <w:sz w:val="24"/>
          <w:szCs w:val="24"/>
        </w:rPr>
        <w:t xml:space="preserve"> cash deposit was required 'prior to commencement' of the works. This clearly flies in the face of a provision to make this payment conditional on work already done. Furthermore, why would Standard Bank refer to this deposit and not simply mention </w:t>
      </w:r>
      <w:r w:rsidR="008977A6">
        <w:rPr>
          <w:rFonts w:ascii="Arial" w:hAnsi="Arial" w:cs="Arial"/>
          <w:sz w:val="24"/>
          <w:szCs w:val="24"/>
        </w:rPr>
        <w:t xml:space="preserve">that </w:t>
      </w:r>
      <w:r w:rsidRPr="00A125DC">
        <w:rPr>
          <w:rFonts w:ascii="Arial" w:hAnsi="Arial" w:cs="Arial"/>
          <w:sz w:val="24"/>
          <w:szCs w:val="24"/>
        </w:rPr>
        <w:t>the amount is held as a performance guarantee. A deponent on behalf of Standard Bank stated that it was instructed by BPO 'to give an undertaking . . . that 50</w:t>
      </w:r>
      <w:r w:rsidR="00254724">
        <w:rPr>
          <w:rFonts w:ascii="Arial" w:hAnsi="Arial" w:cs="Arial"/>
          <w:sz w:val="24"/>
          <w:szCs w:val="24"/>
        </w:rPr>
        <w:t xml:space="preserve"> per cent</w:t>
      </w:r>
      <w:r w:rsidRPr="00A125DC">
        <w:rPr>
          <w:rFonts w:ascii="Arial" w:hAnsi="Arial" w:cs="Arial"/>
          <w:sz w:val="24"/>
          <w:szCs w:val="24"/>
        </w:rPr>
        <w:t xml:space="preserve"> deposit will be paid in contemplation of the construction agreement being entered into and the work done in terms of the agreement'. Despite this instruction nowhere is it stated in the letter that the money will only be available on the basis suggested. It must also be borne in mind that these types of undertakings are widely used and </w:t>
      </w:r>
      <w:r w:rsidR="00254724">
        <w:rPr>
          <w:rFonts w:ascii="Arial" w:hAnsi="Arial" w:cs="Arial"/>
          <w:sz w:val="24"/>
          <w:szCs w:val="24"/>
        </w:rPr>
        <w:lastRenderedPageBreak/>
        <w:t xml:space="preserve">are </w:t>
      </w:r>
      <w:r w:rsidRPr="00A125DC">
        <w:rPr>
          <w:rFonts w:ascii="Arial" w:hAnsi="Arial" w:cs="Arial"/>
          <w:sz w:val="24"/>
          <w:szCs w:val="24"/>
        </w:rPr>
        <w:t>important in the world of business</w:t>
      </w:r>
      <w:r w:rsidR="00254724">
        <w:rPr>
          <w:rFonts w:ascii="Arial" w:hAnsi="Arial" w:cs="Arial"/>
          <w:sz w:val="24"/>
          <w:szCs w:val="24"/>
        </w:rPr>
        <w:t>,</w:t>
      </w:r>
      <w:r w:rsidR="00AF76CA">
        <w:rPr>
          <w:rStyle w:val="FootnoteReference"/>
          <w:rFonts w:ascii="Arial" w:hAnsi="Arial" w:cs="Arial"/>
          <w:sz w:val="24"/>
          <w:szCs w:val="24"/>
        </w:rPr>
        <w:footnoteReference w:id="2"/>
      </w:r>
      <w:r w:rsidRPr="00A125DC">
        <w:rPr>
          <w:rFonts w:ascii="Arial" w:hAnsi="Arial" w:cs="Arial"/>
          <w:sz w:val="24"/>
          <w:szCs w:val="24"/>
        </w:rPr>
        <w:t xml:space="preserve"> and because of their nature are regarded 'as valuable as a “promissory note"</w:t>
      </w:r>
      <w:r w:rsidR="00DA2583">
        <w:rPr>
          <w:rFonts w:ascii="Arial" w:hAnsi="Arial" w:cs="Arial"/>
          <w:sz w:val="24"/>
          <w:szCs w:val="24"/>
        </w:rPr>
        <w:t>,</w:t>
      </w:r>
      <w:r w:rsidRPr="00A125DC">
        <w:rPr>
          <w:rFonts w:ascii="Arial" w:hAnsi="Arial" w:cs="Arial"/>
          <w:sz w:val="24"/>
          <w:szCs w:val="24"/>
        </w:rPr>
        <w:t xml:space="preserve"> and their beneficiaries are entitled to payment pending the resolution of any contractual disputes that may arise'.</w:t>
      </w:r>
      <w:r w:rsidR="00AF76CA">
        <w:rPr>
          <w:rStyle w:val="FootnoteReference"/>
          <w:rFonts w:ascii="Arial" w:hAnsi="Arial" w:cs="Arial"/>
          <w:sz w:val="24"/>
          <w:szCs w:val="24"/>
        </w:rPr>
        <w:footnoteReference w:id="3"/>
      </w:r>
      <w:r w:rsidRPr="00A125DC">
        <w:rPr>
          <w:rFonts w:ascii="Arial" w:hAnsi="Arial" w:cs="Arial"/>
          <w:sz w:val="24"/>
          <w:szCs w:val="24"/>
        </w:rPr>
        <w:t xml:space="preserve"> In </w:t>
      </w:r>
      <w:r w:rsidR="00A8470D">
        <w:rPr>
          <w:rFonts w:ascii="Arial" w:hAnsi="Arial" w:cs="Arial"/>
          <w:sz w:val="24"/>
          <w:szCs w:val="24"/>
        </w:rPr>
        <w:t>our</w:t>
      </w:r>
      <w:r w:rsidRPr="00A125DC">
        <w:rPr>
          <w:rFonts w:ascii="Arial" w:hAnsi="Arial" w:cs="Arial"/>
          <w:sz w:val="24"/>
          <w:szCs w:val="24"/>
        </w:rPr>
        <w:t xml:space="preserve"> view</w:t>
      </w:r>
      <w:r w:rsidR="008977A6">
        <w:rPr>
          <w:rFonts w:ascii="Arial" w:hAnsi="Arial" w:cs="Arial"/>
          <w:sz w:val="24"/>
          <w:szCs w:val="24"/>
        </w:rPr>
        <w:t>,</w:t>
      </w:r>
      <w:r w:rsidRPr="00A125DC">
        <w:rPr>
          <w:rFonts w:ascii="Arial" w:hAnsi="Arial" w:cs="Arial"/>
          <w:sz w:val="24"/>
          <w:szCs w:val="24"/>
        </w:rPr>
        <w:t xml:space="preserve"> the context of the issuing of the letter by Standard Bank does not detract from its ordinary meaning, but on the contrary reinforces it as a demand guarantee.</w:t>
      </w:r>
    </w:p>
    <w:p w:rsidR="002850F9" w:rsidRPr="00A125DC" w:rsidRDefault="002850F9" w:rsidP="002850F9">
      <w:pPr>
        <w:pStyle w:val="NoSpacing"/>
        <w:spacing w:line="480" w:lineRule="auto"/>
        <w:jc w:val="both"/>
        <w:rPr>
          <w:rFonts w:ascii="Arial" w:hAnsi="Arial" w:cs="Arial"/>
          <w:sz w:val="24"/>
          <w:szCs w:val="24"/>
        </w:rPr>
      </w:pPr>
    </w:p>
    <w:p w:rsidR="002850F9" w:rsidRPr="00A125DC" w:rsidRDefault="002850F9" w:rsidP="002850F9">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sidRPr="00A125DC">
        <w:rPr>
          <w:rFonts w:ascii="Arial" w:hAnsi="Arial" w:cs="Arial"/>
          <w:sz w:val="24"/>
          <w:szCs w:val="24"/>
        </w:rPr>
        <w:t>Counsel for Standard Bank submits that the intention of the officials of Standard Bank was not to create a demand guarantee but one conditional on the conclusion of an agreement (presumably written) and linked to the performance on the project. It is true that this is what the deponent on behalf of the bank states. It however</w:t>
      </w:r>
      <w:r w:rsidR="008977A6">
        <w:rPr>
          <w:rFonts w:ascii="Arial" w:hAnsi="Arial" w:cs="Arial"/>
          <w:sz w:val="24"/>
          <w:szCs w:val="24"/>
        </w:rPr>
        <w:t>,</w:t>
      </w:r>
      <w:r w:rsidRPr="00A125DC">
        <w:rPr>
          <w:rFonts w:ascii="Arial" w:hAnsi="Arial" w:cs="Arial"/>
          <w:sz w:val="24"/>
          <w:szCs w:val="24"/>
        </w:rPr>
        <w:t xml:space="preserve"> beggar believe that a senior bank official with such intention would not have insured that the further conditions made their way into the letter. Be that as it may</w:t>
      </w:r>
      <w:r w:rsidR="00254724">
        <w:rPr>
          <w:rFonts w:ascii="Arial" w:hAnsi="Arial" w:cs="Arial"/>
          <w:sz w:val="24"/>
          <w:szCs w:val="24"/>
        </w:rPr>
        <w:t>,</w:t>
      </w:r>
      <w:r w:rsidRPr="00A125DC">
        <w:rPr>
          <w:rFonts w:ascii="Arial" w:hAnsi="Arial" w:cs="Arial"/>
          <w:sz w:val="24"/>
          <w:szCs w:val="24"/>
        </w:rPr>
        <w:t xml:space="preserve"> the judge </w:t>
      </w:r>
      <w:r w:rsidRPr="00254724">
        <w:rPr>
          <w:rFonts w:ascii="Arial" w:hAnsi="Arial" w:cs="Arial"/>
          <w:i/>
          <w:sz w:val="24"/>
          <w:szCs w:val="24"/>
        </w:rPr>
        <w:t>a quo</w:t>
      </w:r>
      <w:r w:rsidRPr="00A125DC">
        <w:rPr>
          <w:rFonts w:ascii="Arial" w:hAnsi="Arial" w:cs="Arial"/>
          <w:sz w:val="24"/>
          <w:szCs w:val="24"/>
        </w:rPr>
        <w:t xml:space="preserve"> made short thrift </w:t>
      </w:r>
      <w:r w:rsidR="004A2B43">
        <w:rPr>
          <w:rFonts w:ascii="Arial" w:hAnsi="Arial" w:cs="Arial"/>
          <w:sz w:val="24"/>
          <w:szCs w:val="24"/>
        </w:rPr>
        <w:t xml:space="preserve">of </w:t>
      </w:r>
      <w:r w:rsidRPr="00A125DC">
        <w:rPr>
          <w:rFonts w:ascii="Arial" w:hAnsi="Arial" w:cs="Arial"/>
          <w:sz w:val="24"/>
          <w:szCs w:val="24"/>
        </w:rPr>
        <w:t xml:space="preserve">this submission pointing out that the law is primarily concerned with the external manifestations by parties of their minds. </w:t>
      </w:r>
      <w:r w:rsidR="00A8470D">
        <w:rPr>
          <w:rFonts w:ascii="Arial" w:hAnsi="Arial" w:cs="Arial"/>
          <w:sz w:val="24"/>
          <w:szCs w:val="24"/>
        </w:rPr>
        <w:t>We</w:t>
      </w:r>
      <w:r w:rsidRPr="00A125DC">
        <w:rPr>
          <w:rFonts w:ascii="Arial" w:hAnsi="Arial" w:cs="Arial"/>
          <w:sz w:val="24"/>
          <w:szCs w:val="24"/>
        </w:rPr>
        <w:t xml:space="preserve"> cannot fault this approach. The letter which is addressed to FNB is, as pointed out above, very clear. How was FNB to know it did not </w:t>
      </w:r>
      <w:r w:rsidR="00A31E54">
        <w:rPr>
          <w:rFonts w:ascii="Arial" w:hAnsi="Arial" w:cs="Arial"/>
          <w:sz w:val="24"/>
          <w:szCs w:val="24"/>
        </w:rPr>
        <w:t>intend</w:t>
      </w:r>
      <w:r w:rsidRPr="00A125DC">
        <w:rPr>
          <w:rFonts w:ascii="Arial" w:hAnsi="Arial" w:cs="Arial"/>
          <w:sz w:val="24"/>
          <w:szCs w:val="24"/>
        </w:rPr>
        <w:t xml:space="preserve"> to convey what it actually conveyed? The </w:t>
      </w:r>
      <w:r w:rsidRPr="00502736">
        <w:rPr>
          <w:rFonts w:ascii="Arial" w:hAnsi="Arial" w:cs="Arial"/>
          <w:i/>
          <w:sz w:val="24"/>
          <w:szCs w:val="24"/>
        </w:rPr>
        <w:t>Ridon</w:t>
      </w:r>
      <w:r w:rsidR="00AF76CA">
        <w:rPr>
          <w:rStyle w:val="FootnoteReference"/>
          <w:rFonts w:ascii="Arial" w:hAnsi="Arial" w:cs="Arial"/>
          <w:sz w:val="24"/>
          <w:szCs w:val="24"/>
        </w:rPr>
        <w:footnoteReference w:id="4"/>
      </w:r>
      <w:r w:rsidRPr="00A125DC">
        <w:rPr>
          <w:rFonts w:ascii="Arial" w:hAnsi="Arial" w:cs="Arial"/>
          <w:sz w:val="24"/>
          <w:szCs w:val="24"/>
        </w:rPr>
        <w:t xml:space="preserve"> case referred to by the counsel does not assist him. In that case an ambiguous phrase was in dispute whereas in the present matter no ambiguity arises. Further, the </w:t>
      </w:r>
      <w:r w:rsidRPr="00502736">
        <w:rPr>
          <w:rFonts w:ascii="Arial" w:hAnsi="Arial" w:cs="Arial"/>
          <w:i/>
          <w:sz w:val="24"/>
          <w:szCs w:val="24"/>
        </w:rPr>
        <w:t>Ridon</w:t>
      </w:r>
      <w:r w:rsidRPr="00A125DC">
        <w:rPr>
          <w:rFonts w:ascii="Arial" w:hAnsi="Arial" w:cs="Arial"/>
          <w:sz w:val="24"/>
          <w:szCs w:val="24"/>
        </w:rPr>
        <w:t xml:space="preserve"> case reiterates the accepted test, namely; was there a misrepresentation as to Standard Bank's intention, who made the representation and was the other party misled thereby. In this case the letter did misrepresent Standard Bank's intention (accepting for the moment that it was not intended to issue a demand guarantee). Was FNB as a reasonable bank misled </w:t>
      </w:r>
      <w:r w:rsidRPr="00A125DC">
        <w:rPr>
          <w:rFonts w:ascii="Arial" w:hAnsi="Arial" w:cs="Arial"/>
          <w:sz w:val="24"/>
          <w:szCs w:val="24"/>
        </w:rPr>
        <w:lastRenderedPageBreak/>
        <w:t xml:space="preserve">thereby? The answer is obvious as it advanced credit to Karibib Construction on the basis thereof and it is common cause that the signatories of the letter on behalf of Standard Bank had authority to do so. Like the judge </w:t>
      </w:r>
      <w:r w:rsidRPr="00502736">
        <w:rPr>
          <w:rFonts w:ascii="Arial" w:hAnsi="Arial" w:cs="Arial"/>
          <w:i/>
          <w:sz w:val="24"/>
          <w:szCs w:val="24"/>
        </w:rPr>
        <w:t>a quo</w:t>
      </w:r>
      <w:r w:rsidRPr="00A125DC">
        <w:rPr>
          <w:rFonts w:ascii="Arial" w:hAnsi="Arial" w:cs="Arial"/>
          <w:sz w:val="24"/>
          <w:szCs w:val="24"/>
        </w:rPr>
        <w:t xml:space="preserve"> </w:t>
      </w:r>
      <w:r w:rsidR="00730770">
        <w:rPr>
          <w:rFonts w:ascii="Arial" w:hAnsi="Arial" w:cs="Arial"/>
          <w:sz w:val="24"/>
          <w:szCs w:val="24"/>
        </w:rPr>
        <w:t>we</w:t>
      </w:r>
      <w:r w:rsidRPr="00A125DC">
        <w:rPr>
          <w:rFonts w:ascii="Arial" w:hAnsi="Arial" w:cs="Arial"/>
          <w:sz w:val="24"/>
          <w:szCs w:val="24"/>
        </w:rPr>
        <w:t xml:space="preserve"> have no hesitation to find that Standard Bank is bound by the letter which was accepted by FNB at face value.</w:t>
      </w:r>
    </w:p>
    <w:p w:rsidR="002850F9" w:rsidRDefault="002850F9" w:rsidP="002850F9">
      <w:pPr>
        <w:pStyle w:val="NoSpacing"/>
        <w:spacing w:line="480" w:lineRule="auto"/>
        <w:jc w:val="both"/>
        <w:rPr>
          <w:rFonts w:ascii="Arial" w:hAnsi="Arial" w:cs="Arial"/>
          <w:sz w:val="24"/>
          <w:szCs w:val="24"/>
        </w:rPr>
      </w:pPr>
    </w:p>
    <w:p w:rsidR="002850F9" w:rsidRDefault="002850F9" w:rsidP="002850F9">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sidRPr="00D0389C">
        <w:rPr>
          <w:rFonts w:ascii="Arial" w:hAnsi="Arial" w:cs="Arial"/>
          <w:sz w:val="24"/>
          <w:szCs w:val="24"/>
        </w:rPr>
        <w:t xml:space="preserve">When it comes to </w:t>
      </w:r>
      <w:r w:rsidR="00A31E54">
        <w:rPr>
          <w:rFonts w:ascii="Arial" w:hAnsi="Arial" w:cs="Arial"/>
          <w:sz w:val="24"/>
          <w:szCs w:val="24"/>
        </w:rPr>
        <w:t xml:space="preserve">a </w:t>
      </w:r>
      <w:r w:rsidRPr="00D0389C">
        <w:rPr>
          <w:rFonts w:ascii="Arial" w:hAnsi="Arial" w:cs="Arial"/>
          <w:sz w:val="24"/>
          <w:szCs w:val="24"/>
        </w:rPr>
        <w:t xml:space="preserve">summary of the law in respect of 'demand bonds' </w:t>
      </w:r>
      <w:r w:rsidR="00A8470D">
        <w:rPr>
          <w:rFonts w:ascii="Arial" w:hAnsi="Arial" w:cs="Arial"/>
          <w:sz w:val="24"/>
          <w:szCs w:val="24"/>
        </w:rPr>
        <w:t xml:space="preserve">we </w:t>
      </w:r>
      <w:r w:rsidRPr="00D0389C">
        <w:rPr>
          <w:rFonts w:ascii="Arial" w:hAnsi="Arial" w:cs="Arial"/>
          <w:sz w:val="24"/>
          <w:szCs w:val="24"/>
        </w:rPr>
        <w:t>can do no better than to refer in this regard to the judgment of Theron JA</w:t>
      </w:r>
      <w:r w:rsidR="008977A6">
        <w:rPr>
          <w:rFonts w:ascii="Arial" w:hAnsi="Arial" w:cs="Arial"/>
          <w:sz w:val="24"/>
          <w:szCs w:val="24"/>
        </w:rPr>
        <w:t>,</w:t>
      </w:r>
      <w:r w:rsidRPr="00D0389C">
        <w:rPr>
          <w:rFonts w:ascii="Arial" w:hAnsi="Arial" w:cs="Arial"/>
          <w:sz w:val="24"/>
          <w:szCs w:val="24"/>
        </w:rPr>
        <w:t xml:space="preserve"> in the South African Supreme Court of Appeal which reads as follows:</w:t>
      </w:r>
      <w:r w:rsidR="00AF76CA">
        <w:rPr>
          <w:rStyle w:val="FootnoteReference"/>
          <w:rFonts w:ascii="Arial" w:hAnsi="Arial" w:cs="Arial"/>
          <w:sz w:val="24"/>
          <w:szCs w:val="24"/>
        </w:rPr>
        <w:footnoteReference w:id="5"/>
      </w:r>
      <w:r>
        <w:rPr>
          <w:rFonts w:ascii="Arial" w:hAnsi="Arial" w:cs="Arial"/>
          <w:sz w:val="24"/>
          <w:szCs w:val="24"/>
        </w:rPr>
        <w:t xml:space="preserve"> </w:t>
      </w:r>
    </w:p>
    <w:p w:rsidR="002850F9" w:rsidRDefault="002850F9" w:rsidP="008D41DE">
      <w:pPr>
        <w:pStyle w:val="NoSpacing"/>
        <w:spacing w:line="360" w:lineRule="auto"/>
        <w:ind w:left="1440" w:hanging="720"/>
        <w:jc w:val="both"/>
        <w:rPr>
          <w:rFonts w:ascii="Arial" w:hAnsi="Arial" w:cs="Arial"/>
          <w:sz w:val="24"/>
          <w:szCs w:val="24"/>
        </w:rPr>
      </w:pPr>
    </w:p>
    <w:p w:rsidR="002850F9" w:rsidRPr="003218C8" w:rsidRDefault="002850F9" w:rsidP="008D41DE">
      <w:pPr>
        <w:pStyle w:val="NoSpacing"/>
        <w:spacing w:line="360" w:lineRule="auto"/>
        <w:ind w:left="1440" w:hanging="720"/>
        <w:jc w:val="both"/>
        <w:rPr>
          <w:rFonts w:ascii="Arial" w:hAnsi="Arial" w:cs="Arial"/>
        </w:rPr>
      </w:pPr>
      <w:r w:rsidRPr="003218C8">
        <w:rPr>
          <w:rFonts w:ascii="Arial" w:hAnsi="Arial" w:cs="Arial"/>
        </w:rPr>
        <w:t>'28</w:t>
      </w:r>
      <w:r w:rsidRPr="003218C8">
        <w:rPr>
          <w:rFonts w:ascii="Arial" w:hAnsi="Arial" w:cs="Arial"/>
        </w:rPr>
        <w:tab/>
        <w:t>Our courts</w:t>
      </w:r>
      <w:r w:rsidR="008977A6">
        <w:rPr>
          <w:rFonts w:ascii="Arial" w:hAnsi="Arial" w:cs="Arial"/>
        </w:rPr>
        <w:t>,</w:t>
      </w:r>
      <w:r w:rsidRPr="003218C8">
        <w:rPr>
          <w:rFonts w:ascii="Arial" w:hAnsi="Arial" w:cs="Arial"/>
        </w:rPr>
        <w:t xml:space="preserve"> in a long line of cases and also relying on English authorities, have strictly applied the principle that a bank faced with a valid demand in respect of a performance guarantee, is obliged to pay the beneficiary without investigation of the contractual position between the beneficiaries and the principle debtor. One of the main reasons why courts are ordinarily reluctant to entertain the underling contractual disputes between an employer and a contractor when faced with a demand based on an on demand or unconditional performance guarantee, is because of the principle that to do so would undermine the efficacy of such guarantees. This court in </w:t>
      </w:r>
      <w:r w:rsidRPr="00502736">
        <w:rPr>
          <w:rFonts w:ascii="Arial" w:hAnsi="Arial" w:cs="Arial"/>
          <w:i/>
        </w:rPr>
        <w:t>Loomcraft</w:t>
      </w:r>
      <w:r w:rsidRPr="003218C8">
        <w:rPr>
          <w:rFonts w:ascii="Arial" w:hAnsi="Arial" w:cs="Arial"/>
        </w:rPr>
        <w:t xml:space="preserve"> referred to the fact that the autonomous nature of the obligation owned by the bank to the beneficiary under a letter of credit 'has been stressed by courts both in South Africa and overseas'. The learned judge referred to a number of authorities, both local and English to illustrate this point. Similarly, this court in Lombard Insurance, confirmed that the obligation on the part of the bank to make payment on a performance guarantee is independent of the underlying contract and whatever disputes may arise between the buyer and the seller are irrelevant as far as the bank's obligation is concerned.</w:t>
      </w:r>
    </w:p>
    <w:p w:rsidR="002850F9" w:rsidRPr="003218C8" w:rsidRDefault="002850F9" w:rsidP="002850F9">
      <w:pPr>
        <w:pStyle w:val="NoSpacing"/>
        <w:spacing w:line="360" w:lineRule="auto"/>
        <w:ind w:left="1440" w:hanging="720"/>
        <w:jc w:val="both"/>
        <w:rPr>
          <w:rFonts w:ascii="Arial" w:hAnsi="Arial" w:cs="Arial"/>
        </w:rPr>
      </w:pPr>
    </w:p>
    <w:p w:rsidR="002850F9" w:rsidRDefault="002850F9" w:rsidP="002850F9">
      <w:pPr>
        <w:pStyle w:val="NoSpacing"/>
        <w:spacing w:line="360" w:lineRule="auto"/>
        <w:ind w:left="1440" w:hanging="720"/>
        <w:jc w:val="both"/>
        <w:rPr>
          <w:rFonts w:ascii="Arial" w:hAnsi="Arial" w:cs="Arial"/>
          <w:sz w:val="24"/>
          <w:szCs w:val="24"/>
        </w:rPr>
      </w:pPr>
      <w:r w:rsidRPr="003218C8">
        <w:rPr>
          <w:rFonts w:ascii="Arial" w:hAnsi="Arial" w:cs="Arial"/>
        </w:rPr>
        <w:t>29</w:t>
      </w:r>
      <w:r w:rsidRPr="003218C8">
        <w:rPr>
          <w:rFonts w:ascii="Arial" w:hAnsi="Arial" w:cs="Arial"/>
        </w:rPr>
        <w:tab/>
        <w:t xml:space="preserve">In my view this principle is based on sound reason. It underscores the commercial nature of performance guarantees. In determining whether payment should be made on such a guarantee, accessory obligations are of </w:t>
      </w:r>
      <w:r w:rsidRPr="003218C8">
        <w:rPr>
          <w:rFonts w:ascii="Arial" w:hAnsi="Arial" w:cs="Arial"/>
        </w:rPr>
        <w:lastRenderedPageBreak/>
        <w:t>no consequence. The very purpose of the guarantee is so that the beneficiary can call up the guarantee without having to wait for the final determination of its rights in terms of accessory obligations. To find otherwise, would involve an unjustified paradigm shift and defeat the commercial purpose of performance guarantees.'</w:t>
      </w:r>
    </w:p>
    <w:p w:rsidR="002850F9" w:rsidRDefault="002850F9" w:rsidP="002850F9">
      <w:pPr>
        <w:pStyle w:val="NoSpacing"/>
        <w:spacing w:line="480" w:lineRule="auto"/>
        <w:jc w:val="both"/>
        <w:rPr>
          <w:rFonts w:ascii="Arial" w:hAnsi="Arial" w:cs="Arial"/>
          <w:sz w:val="24"/>
          <w:szCs w:val="24"/>
        </w:rPr>
      </w:pPr>
    </w:p>
    <w:p w:rsidR="002850F9" w:rsidRDefault="002850F9" w:rsidP="002850F9">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sidRPr="00D0389C">
        <w:rPr>
          <w:rFonts w:ascii="Arial" w:hAnsi="Arial" w:cs="Arial"/>
          <w:sz w:val="24"/>
          <w:szCs w:val="24"/>
        </w:rPr>
        <w:t xml:space="preserve">This brings </w:t>
      </w:r>
      <w:r w:rsidR="00A8470D">
        <w:rPr>
          <w:rFonts w:ascii="Arial" w:hAnsi="Arial" w:cs="Arial"/>
          <w:sz w:val="24"/>
          <w:szCs w:val="24"/>
        </w:rPr>
        <w:t>us</w:t>
      </w:r>
      <w:r w:rsidRPr="00D0389C">
        <w:rPr>
          <w:rFonts w:ascii="Arial" w:hAnsi="Arial" w:cs="Arial"/>
          <w:sz w:val="24"/>
          <w:szCs w:val="24"/>
        </w:rPr>
        <w:t xml:space="preserve"> to the last aspect raised on behalf of Standard Bank</w:t>
      </w:r>
      <w:r w:rsidR="008977A6">
        <w:rPr>
          <w:rFonts w:ascii="Arial" w:hAnsi="Arial" w:cs="Arial"/>
          <w:sz w:val="24"/>
          <w:szCs w:val="24"/>
        </w:rPr>
        <w:t>,</w:t>
      </w:r>
      <w:r w:rsidRPr="00D0389C">
        <w:rPr>
          <w:rFonts w:ascii="Arial" w:hAnsi="Arial" w:cs="Arial"/>
          <w:sz w:val="24"/>
          <w:szCs w:val="24"/>
        </w:rPr>
        <w:t xml:space="preserve"> namely that to seek enforcement of the 'demand guarantee' amounts to fraud as the beneficiary is d</w:t>
      </w:r>
      <w:r w:rsidR="00502736">
        <w:rPr>
          <w:rFonts w:ascii="Arial" w:hAnsi="Arial" w:cs="Arial"/>
          <w:sz w:val="24"/>
          <w:szCs w:val="24"/>
        </w:rPr>
        <w:t>emanding money it is not entitle</w:t>
      </w:r>
      <w:r w:rsidRPr="00D0389C">
        <w:rPr>
          <w:rFonts w:ascii="Arial" w:hAnsi="Arial" w:cs="Arial"/>
          <w:sz w:val="24"/>
          <w:szCs w:val="24"/>
        </w:rPr>
        <w:t>d to</w:t>
      </w:r>
      <w:r w:rsidR="00A31E54">
        <w:rPr>
          <w:rFonts w:ascii="Arial" w:hAnsi="Arial" w:cs="Arial"/>
          <w:sz w:val="24"/>
          <w:szCs w:val="24"/>
        </w:rPr>
        <w:t>.</w:t>
      </w:r>
      <w:r w:rsidRPr="00D0389C">
        <w:rPr>
          <w:rFonts w:ascii="Arial" w:hAnsi="Arial" w:cs="Arial"/>
          <w:sz w:val="24"/>
          <w:szCs w:val="24"/>
        </w:rPr>
        <w:t xml:space="preserve"> This submission is based on the fact that the work had ceased and </w:t>
      </w:r>
      <w:r w:rsidR="00A31E54">
        <w:rPr>
          <w:rFonts w:ascii="Arial" w:hAnsi="Arial" w:cs="Arial"/>
          <w:sz w:val="24"/>
          <w:szCs w:val="24"/>
        </w:rPr>
        <w:t>that</w:t>
      </w:r>
      <w:r w:rsidRPr="00D0389C">
        <w:rPr>
          <w:rFonts w:ascii="Arial" w:hAnsi="Arial" w:cs="Arial"/>
          <w:sz w:val="24"/>
          <w:szCs w:val="24"/>
        </w:rPr>
        <w:t xml:space="preserve"> Karibib Construction is entitled to remuneration for work done up to cessation for which the remuneration is apparently much less than what is provided for in the guarantee. The first hurdle Standard Bank faces in this regard is that the fraud relied upon must be in the document rather than in the underlying transaction.</w:t>
      </w:r>
      <w:r w:rsidR="00AF76CA">
        <w:rPr>
          <w:rStyle w:val="FootnoteReference"/>
          <w:rFonts w:ascii="Arial" w:hAnsi="Arial" w:cs="Arial"/>
          <w:sz w:val="24"/>
          <w:szCs w:val="24"/>
        </w:rPr>
        <w:footnoteReference w:id="6"/>
      </w:r>
      <w:r w:rsidRPr="00D0389C">
        <w:rPr>
          <w:rFonts w:ascii="Arial" w:hAnsi="Arial" w:cs="Arial"/>
          <w:sz w:val="24"/>
          <w:szCs w:val="24"/>
        </w:rPr>
        <w:t xml:space="preserve"> This is not the position in this matter. In fact it is common cause that Standard Bank issued the letter in the terms it did and that the condition set out in the letter relating to the registration of a bond had been fulfilled. The second hurdle is the fact that the underlying transaction to the 'demand guarantee' is irrelevant to these proceedings to enforce the bond. Whatever claims and counterclaims that may arise between the parties to the underlying transaction is for th</w:t>
      </w:r>
      <w:r>
        <w:rPr>
          <w:rFonts w:ascii="Arial" w:hAnsi="Arial" w:cs="Arial"/>
          <w:sz w:val="24"/>
          <w:szCs w:val="24"/>
        </w:rPr>
        <w:t xml:space="preserve">em to resolve in </w:t>
      </w:r>
      <w:r w:rsidR="00502736">
        <w:rPr>
          <w:rFonts w:ascii="Arial" w:hAnsi="Arial" w:cs="Arial"/>
          <w:sz w:val="24"/>
          <w:szCs w:val="24"/>
        </w:rPr>
        <w:t>another</w:t>
      </w:r>
      <w:r>
        <w:rPr>
          <w:rFonts w:ascii="Arial" w:hAnsi="Arial" w:cs="Arial"/>
          <w:sz w:val="24"/>
          <w:szCs w:val="24"/>
        </w:rPr>
        <w:t xml:space="preserve"> forum.</w:t>
      </w:r>
    </w:p>
    <w:p w:rsidR="002850F9" w:rsidRDefault="002850F9" w:rsidP="002850F9">
      <w:pPr>
        <w:pStyle w:val="NoSpacing"/>
        <w:spacing w:line="480" w:lineRule="auto"/>
        <w:jc w:val="both"/>
        <w:rPr>
          <w:rFonts w:ascii="Arial" w:hAnsi="Arial" w:cs="Arial"/>
          <w:sz w:val="24"/>
          <w:szCs w:val="24"/>
        </w:rPr>
      </w:pPr>
    </w:p>
    <w:p w:rsidR="002850F9" w:rsidRDefault="002850F9" w:rsidP="002850F9">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sidRPr="00D0389C">
        <w:rPr>
          <w:rFonts w:ascii="Arial" w:hAnsi="Arial" w:cs="Arial"/>
          <w:sz w:val="24"/>
          <w:szCs w:val="24"/>
        </w:rPr>
        <w:t>Counsel for Standard Bank submits in conclusion in his heads of argument that: 'ultimately it is fundamentally unfair that (Ka</w:t>
      </w:r>
      <w:r w:rsidR="00502736">
        <w:rPr>
          <w:rFonts w:ascii="Arial" w:hAnsi="Arial" w:cs="Arial"/>
          <w:sz w:val="24"/>
          <w:szCs w:val="24"/>
        </w:rPr>
        <w:t>r</w:t>
      </w:r>
      <w:r w:rsidRPr="00D0389C">
        <w:rPr>
          <w:rFonts w:ascii="Arial" w:hAnsi="Arial" w:cs="Arial"/>
          <w:sz w:val="24"/>
          <w:szCs w:val="24"/>
        </w:rPr>
        <w:t>ibib Construction) can be permitted to rely on an undertaking between two banks to extort money which it is not entitled to from (BPO Logistics)'. That demand guarantee</w:t>
      </w:r>
      <w:r w:rsidR="00502736">
        <w:rPr>
          <w:rFonts w:ascii="Arial" w:hAnsi="Arial" w:cs="Arial"/>
          <w:sz w:val="24"/>
          <w:szCs w:val="24"/>
        </w:rPr>
        <w:t>s c</w:t>
      </w:r>
      <w:r w:rsidRPr="00D0389C">
        <w:rPr>
          <w:rFonts w:ascii="Arial" w:hAnsi="Arial" w:cs="Arial"/>
          <w:sz w:val="24"/>
          <w:szCs w:val="24"/>
        </w:rPr>
        <w:t xml:space="preserve">an work unfairly to the persons involved in transactions underlying it is part of the nature of the beast and follows </w:t>
      </w:r>
      <w:r w:rsidRPr="00D0389C">
        <w:rPr>
          <w:rFonts w:ascii="Arial" w:hAnsi="Arial" w:cs="Arial"/>
          <w:sz w:val="24"/>
          <w:szCs w:val="24"/>
        </w:rPr>
        <w:lastRenderedPageBreak/>
        <w:t>from its autonomous nature as was pointed out by this court in dealing with the risks involved in these instruments:</w:t>
      </w:r>
      <w:r w:rsidR="00AF76CA">
        <w:rPr>
          <w:rStyle w:val="FootnoteReference"/>
          <w:rFonts w:ascii="Arial" w:hAnsi="Arial" w:cs="Arial"/>
          <w:sz w:val="24"/>
          <w:szCs w:val="24"/>
        </w:rPr>
        <w:footnoteReference w:id="7"/>
      </w:r>
      <w:r>
        <w:rPr>
          <w:rFonts w:ascii="Arial" w:hAnsi="Arial" w:cs="Arial"/>
          <w:sz w:val="24"/>
          <w:szCs w:val="24"/>
        </w:rPr>
        <w:t xml:space="preserve"> </w:t>
      </w:r>
    </w:p>
    <w:p w:rsidR="002850F9" w:rsidRDefault="002850F9" w:rsidP="00502736">
      <w:pPr>
        <w:pStyle w:val="ListParagraph"/>
        <w:tabs>
          <w:tab w:val="left" w:pos="1140"/>
        </w:tabs>
        <w:spacing w:after="0" w:line="360" w:lineRule="auto"/>
        <w:rPr>
          <w:rFonts w:ascii="Arial" w:hAnsi="Arial" w:cs="Arial"/>
          <w:sz w:val="24"/>
          <w:szCs w:val="24"/>
        </w:rPr>
      </w:pPr>
    </w:p>
    <w:p w:rsidR="002850F9" w:rsidRPr="003218C8" w:rsidRDefault="002850F9" w:rsidP="002850F9">
      <w:pPr>
        <w:pStyle w:val="NoSpacing"/>
        <w:spacing w:line="360" w:lineRule="auto"/>
        <w:ind w:left="720"/>
        <w:jc w:val="both"/>
        <w:rPr>
          <w:rFonts w:ascii="Arial" w:hAnsi="Arial" w:cs="Arial"/>
        </w:rPr>
      </w:pPr>
      <w:r w:rsidRPr="003218C8">
        <w:rPr>
          <w:rFonts w:ascii="Arial" w:hAnsi="Arial" w:cs="Arial"/>
        </w:rPr>
        <w:t>‘. . . As it is, demand guarantees, by their nature and application, impose heavy risks on account parties (- - -). (a) The autonomous nature of demand guarantees deprives them of the right to resist payment of the guarantee on grounds which would otherwise be well-founded had the demand been based on the underlying agreements — the obligation to pay demand guarantees is not even extinguished if the underlying agreement is cancelled on valid grounds. (b) . . . (c) . . . (d) The account party is financially exposed to the possibility of unfair demand or abuse of the guarantee, etc.’</w:t>
      </w:r>
    </w:p>
    <w:p w:rsidR="002850F9" w:rsidRDefault="002850F9" w:rsidP="00F375F7">
      <w:pPr>
        <w:pStyle w:val="NoSpacing"/>
        <w:spacing w:line="480" w:lineRule="auto"/>
        <w:jc w:val="both"/>
        <w:rPr>
          <w:rFonts w:ascii="Arial" w:hAnsi="Arial" w:cs="Arial"/>
          <w:sz w:val="24"/>
          <w:szCs w:val="24"/>
        </w:rPr>
      </w:pPr>
    </w:p>
    <w:p w:rsidR="002850F9" w:rsidRDefault="00A8470D" w:rsidP="00F375F7">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Pr>
          <w:rFonts w:ascii="Arial" w:hAnsi="Arial" w:cs="Arial"/>
          <w:sz w:val="24"/>
          <w:szCs w:val="24"/>
        </w:rPr>
        <w:t>T</w:t>
      </w:r>
      <w:r w:rsidR="002850F9" w:rsidRPr="00D0389C">
        <w:rPr>
          <w:rFonts w:ascii="Arial" w:hAnsi="Arial" w:cs="Arial"/>
          <w:sz w:val="24"/>
          <w:szCs w:val="24"/>
        </w:rPr>
        <w:t>he call for fairness on behalf of the Standard Bank's coun</w:t>
      </w:r>
      <w:r w:rsidR="002850F9">
        <w:rPr>
          <w:rFonts w:ascii="Arial" w:hAnsi="Arial" w:cs="Arial"/>
          <w:sz w:val="24"/>
          <w:szCs w:val="24"/>
        </w:rPr>
        <w:t>sel can thus not be acceded to.</w:t>
      </w:r>
    </w:p>
    <w:p w:rsidR="002850F9" w:rsidRDefault="002850F9" w:rsidP="002850F9">
      <w:pPr>
        <w:pStyle w:val="NoSpacing"/>
        <w:spacing w:line="480" w:lineRule="auto"/>
        <w:jc w:val="both"/>
        <w:rPr>
          <w:rFonts w:ascii="Arial" w:hAnsi="Arial" w:cs="Arial"/>
          <w:sz w:val="24"/>
          <w:szCs w:val="24"/>
        </w:rPr>
      </w:pPr>
    </w:p>
    <w:p w:rsidR="00C46565" w:rsidRDefault="002850F9" w:rsidP="002850F9">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sidRPr="00D0389C">
        <w:rPr>
          <w:rFonts w:ascii="Arial" w:hAnsi="Arial" w:cs="Arial"/>
          <w:sz w:val="24"/>
          <w:szCs w:val="24"/>
        </w:rPr>
        <w:t>It follows from the reasons mentioned above that the appeal is bound to fail</w:t>
      </w:r>
      <w:r w:rsidR="00C46565">
        <w:rPr>
          <w:rFonts w:ascii="Arial" w:hAnsi="Arial" w:cs="Arial"/>
          <w:sz w:val="24"/>
          <w:szCs w:val="24"/>
        </w:rPr>
        <w:t>.</w:t>
      </w:r>
    </w:p>
    <w:p w:rsidR="00C46565" w:rsidRDefault="00C46565" w:rsidP="00C46565">
      <w:pPr>
        <w:pStyle w:val="ListParagraph"/>
        <w:spacing w:after="0" w:line="480" w:lineRule="auto"/>
        <w:rPr>
          <w:rFonts w:ascii="Arial" w:hAnsi="Arial" w:cs="Arial"/>
          <w:sz w:val="24"/>
          <w:szCs w:val="24"/>
        </w:rPr>
      </w:pPr>
    </w:p>
    <w:p w:rsidR="00C46565" w:rsidRDefault="00C46565" w:rsidP="00C46565">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Pr>
          <w:rFonts w:ascii="Arial" w:hAnsi="Arial" w:cs="Arial"/>
          <w:sz w:val="24"/>
          <w:szCs w:val="24"/>
        </w:rPr>
        <w:t>The costs should follow the cause.</w:t>
      </w:r>
    </w:p>
    <w:p w:rsidR="00C46565" w:rsidRDefault="00C46565" w:rsidP="00C46565">
      <w:pPr>
        <w:pStyle w:val="ListParagraph"/>
        <w:spacing w:after="0" w:line="480" w:lineRule="auto"/>
        <w:rPr>
          <w:rFonts w:ascii="Arial" w:hAnsi="Arial" w:cs="Arial"/>
          <w:sz w:val="24"/>
          <w:szCs w:val="24"/>
        </w:rPr>
      </w:pPr>
    </w:p>
    <w:p w:rsidR="00C46565" w:rsidRDefault="00C46565" w:rsidP="00CF46C6">
      <w:pPr>
        <w:pStyle w:val="NoSpacing"/>
        <w:widowControl w:val="0"/>
        <w:numPr>
          <w:ilvl w:val="0"/>
          <w:numId w:val="25"/>
        </w:numPr>
        <w:autoSpaceDE w:val="0"/>
        <w:autoSpaceDN w:val="0"/>
        <w:adjustRightInd w:val="0"/>
        <w:spacing w:line="480" w:lineRule="auto"/>
        <w:ind w:left="0" w:firstLine="0"/>
        <w:jc w:val="both"/>
        <w:rPr>
          <w:rFonts w:ascii="Arial" w:hAnsi="Arial" w:cs="Arial"/>
          <w:sz w:val="24"/>
          <w:szCs w:val="24"/>
        </w:rPr>
      </w:pPr>
      <w:r>
        <w:rPr>
          <w:rFonts w:ascii="Arial" w:hAnsi="Arial" w:cs="Arial"/>
          <w:sz w:val="24"/>
          <w:szCs w:val="24"/>
        </w:rPr>
        <w:t>Accordingly we make the following order:</w:t>
      </w:r>
    </w:p>
    <w:p w:rsidR="00C46565" w:rsidRDefault="00C46565" w:rsidP="00CF46C6">
      <w:pPr>
        <w:pStyle w:val="ListParagraph"/>
        <w:spacing w:after="0" w:line="480" w:lineRule="auto"/>
        <w:jc w:val="both"/>
        <w:rPr>
          <w:rFonts w:ascii="Arial" w:hAnsi="Arial" w:cs="Arial"/>
          <w:sz w:val="24"/>
          <w:szCs w:val="24"/>
        </w:rPr>
      </w:pPr>
    </w:p>
    <w:p w:rsidR="002850F9" w:rsidRDefault="00C46565" w:rsidP="00CF46C6">
      <w:pPr>
        <w:pStyle w:val="NoSpacing"/>
        <w:widowControl w:val="0"/>
        <w:autoSpaceDE w:val="0"/>
        <w:autoSpaceDN w:val="0"/>
        <w:adjustRightInd w:val="0"/>
        <w:spacing w:line="480" w:lineRule="auto"/>
        <w:ind w:left="720"/>
        <w:jc w:val="both"/>
        <w:rPr>
          <w:rFonts w:ascii="Arial" w:hAnsi="Arial" w:cs="Arial"/>
          <w:sz w:val="24"/>
          <w:szCs w:val="24"/>
        </w:rPr>
      </w:pPr>
      <w:r>
        <w:rPr>
          <w:rFonts w:ascii="Arial" w:hAnsi="Arial" w:cs="Arial"/>
          <w:sz w:val="24"/>
          <w:szCs w:val="24"/>
        </w:rPr>
        <w:t xml:space="preserve">The appeal is </w:t>
      </w:r>
      <w:r w:rsidR="002850F9" w:rsidRPr="00D0389C">
        <w:rPr>
          <w:rFonts w:ascii="Arial" w:hAnsi="Arial" w:cs="Arial"/>
          <w:sz w:val="24"/>
          <w:szCs w:val="24"/>
        </w:rPr>
        <w:t>dismissed with costs</w:t>
      </w:r>
      <w:r w:rsidR="00A8470D">
        <w:rPr>
          <w:rFonts w:ascii="Arial" w:hAnsi="Arial" w:cs="Arial"/>
          <w:sz w:val="24"/>
          <w:szCs w:val="24"/>
        </w:rPr>
        <w:t>,</w:t>
      </w:r>
      <w:r w:rsidR="002850F9" w:rsidRPr="00D0389C">
        <w:rPr>
          <w:rFonts w:ascii="Arial" w:hAnsi="Arial" w:cs="Arial"/>
          <w:sz w:val="24"/>
          <w:szCs w:val="24"/>
        </w:rPr>
        <w:t xml:space="preserve"> such costs to include the costs of one instruc</w:t>
      </w:r>
      <w:r w:rsidR="00C219DD">
        <w:rPr>
          <w:rFonts w:ascii="Arial" w:hAnsi="Arial" w:cs="Arial"/>
          <w:sz w:val="24"/>
          <w:szCs w:val="24"/>
        </w:rPr>
        <w:t>ted and one instructing legal practitioner.</w:t>
      </w:r>
    </w:p>
    <w:p w:rsidR="003C1096" w:rsidRPr="00087BB0" w:rsidRDefault="003C1096" w:rsidP="00CF46C6">
      <w:pPr>
        <w:pStyle w:val="NoSpacing"/>
        <w:jc w:val="both"/>
        <w:rPr>
          <w:rFonts w:ascii="Arial" w:hAnsi="Arial" w:cs="Arial"/>
          <w:sz w:val="24"/>
          <w:szCs w:val="24"/>
        </w:rPr>
      </w:pPr>
    </w:p>
    <w:p w:rsidR="00A62F67" w:rsidRPr="00087BB0" w:rsidRDefault="00A62F67" w:rsidP="00D47BAC">
      <w:pPr>
        <w:pStyle w:val="NoSpacing"/>
        <w:jc w:val="both"/>
        <w:rPr>
          <w:rFonts w:ascii="Arial" w:hAnsi="Arial" w:cs="Arial"/>
          <w:b/>
          <w:sz w:val="24"/>
          <w:szCs w:val="24"/>
        </w:rPr>
      </w:pPr>
    </w:p>
    <w:p w:rsidR="002E426A" w:rsidRPr="001563C1" w:rsidRDefault="002E426A" w:rsidP="00D47BAC">
      <w:pPr>
        <w:pStyle w:val="NoSpacing"/>
        <w:rPr>
          <w:rFonts w:ascii="Arial" w:hAnsi="Arial" w:cs="Arial"/>
          <w:b/>
          <w:sz w:val="24"/>
          <w:szCs w:val="24"/>
        </w:rPr>
      </w:pPr>
      <w:r w:rsidRPr="001563C1">
        <w:rPr>
          <w:rFonts w:ascii="Arial" w:hAnsi="Arial" w:cs="Arial"/>
          <w:b/>
          <w:sz w:val="24"/>
          <w:szCs w:val="24"/>
        </w:rPr>
        <w:t>___________________</w:t>
      </w:r>
      <w:r w:rsidR="00A8470D">
        <w:rPr>
          <w:rFonts w:ascii="Arial" w:hAnsi="Arial" w:cs="Arial"/>
          <w:b/>
          <w:sz w:val="24"/>
          <w:szCs w:val="24"/>
        </w:rPr>
        <w:tab/>
      </w:r>
      <w:r w:rsidR="00A8470D">
        <w:rPr>
          <w:rFonts w:ascii="Arial" w:hAnsi="Arial" w:cs="Arial"/>
          <w:b/>
          <w:sz w:val="24"/>
          <w:szCs w:val="24"/>
        </w:rPr>
        <w:tab/>
      </w:r>
      <w:r w:rsidR="00A8470D">
        <w:rPr>
          <w:rFonts w:ascii="Arial" w:hAnsi="Arial" w:cs="Arial"/>
          <w:b/>
          <w:sz w:val="24"/>
          <w:szCs w:val="24"/>
        </w:rPr>
        <w:tab/>
      </w:r>
      <w:r w:rsidR="00A8470D">
        <w:rPr>
          <w:rFonts w:ascii="Arial" w:hAnsi="Arial" w:cs="Arial"/>
          <w:b/>
          <w:sz w:val="24"/>
          <w:szCs w:val="24"/>
        </w:rPr>
        <w:tab/>
      </w:r>
      <w:r w:rsidR="00A8470D">
        <w:rPr>
          <w:rFonts w:ascii="Arial" w:hAnsi="Arial" w:cs="Arial"/>
          <w:b/>
          <w:sz w:val="24"/>
          <w:szCs w:val="24"/>
        </w:rPr>
        <w:tab/>
      </w:r>
      <w:r w:rsidR="00A8470D">
        <w:rPr>
          <w:rFonts w:ascii="Arial" w:hAnsi="Arial" w:cs="Arial"/>
          <w:b/>
          <w:sz w:val="24"/>
          <w:szCs w:val="24"/>
        </w:rPr>
        <w:tab/>
        <w:t>_________________</w:t>
      </w:r>
    </w:p>
    <w:p w:rsidR="002E426A" w:rsidRPr="001563C1" w:rsidRDefault="00672E14" w:rsidP="00D47BAC">
      <w:pPr>
        <w:pStyle w:val="NoSpacing"/>
        <w:rPr>
          <w:rFonts w:ascii="Arial" w:hAnsi="Arial" w:cs="Arial"/>
          <w:b/>
          <w:sz w:val="24"/>
          <w:szCs w:val="24"/>
        </w:rPr>
      </w:pPr>
      <w:r>
        <w:rPr>
          <w:rFonts w:ascii="Arial" w:hAnsi="Arial" w:cs="Arial"/>
          <w:b/>
          <w:sz w:val="24"/>
          <w:szCs w:val="24"/>
        </w:rPr>
        <w:t>HOFF JA</w:t>
      </w:r>
      <w:r w:rsidR="00A8470D">
        <w:rPr>
          <w:rFonts w:ascii="Arial" w:hAnsi="Arial" w:cs="Arial"/>
          <w:b/>
          <w:sz w:val="24"/>
          <w:szCs w:val="24"/>
        </w:rPr>
        <w:tab/>
      </w:r>
      <w:r w:rsidR="00A8470D">
        <w:rPr>
          <w:rFonts w:ascii="Arial" w:hAnsi="Arial" w:cs="Arial"/>
          <w:b/>
          <w:sz w:val="24"/>
          <w:szCs w:val="24"/>
        </w:rPr>
        <w:tab/>
      </w:r>
      <w:r w:rsidR="00A8470D">
        <w:rPr>
          <w:rFonts w:ascii="Arial" w:hAnsi="Arial" w:cs="Arial"/>
          <w:b/>
          <w:sz w:val="24"/>
          <w:szCs w:val="24"/>
        </w:rPr>
        <w:tab/>
      </w:r>
      <w:r w:rsidR="00A8470D">
        <w:rPr>
          <w:rFonts w:ascii="Arial" w:hAnsi="Arial" w:cs="Arial"/>
          <w:b/>
          <w:sz w:val="24"/>
          <w:szCs w:val="24"/>
        </w:rPr>
        <w:tab/>
      </w:r>
      <w:r w:rsidR="00A8470D">
        <w:rPr>
          <w:rFonts w:ascii="Arial" w:hAnsi="Arial" w:cs="Arial"/>
          <w:b/>
          <w:sz w:val="24"/>
          <w:szCs w:val="24"/>
        </w:rPr>
        <w:tab/>
      </w:r>
      <w:r w:rsidR="00A8470D">
        <w:rPr>
          <w:rFonts w:ascii="Arial" w:hAnsi="Arial" w:cs="Arial"/>
          <w:b/>
          <w:sz w:val="24"/>
          <w:szCs w:val="24"/>
        </w:rPr>
        <w:tab/>
      </w:r>
      <w:r w:rsidR="00A8470D">
        <w:rPr>
          <w:rFonts w:ascii="Arial" w:hAnsi="Arial" w:cs="Arial"/>
          <w:b/>
          <w:sz w:val="24"/>
          <w:szCs w:val="24"/>
        </w:rPr>
        <w:tab/>
      </w:r>
      <w:r w:rsidR="00A8470D">
        <w:rPr>
          <w:rFonts w:ascii="Arial" w:hAnsi="Arial" w:cs="Arial"/>
          <w:b/>
          <w:sz w:val="24"/>
          <w:szCs w:val="24"/>
        </w:rPr>
        <w:tab/>
        <w:t>FRANK AJA</w:t>
      </w:r>
    </w:p>
    <w:p w:rsidR="002E426A" w:rsidRPr="001563C1" w:rsidRDefault="002E426A" w:rsidP="00D47BAC">
      <w:pPr>
        <w:pStyle w:val="NoSpacing"/>
        <w:rPr>
          <w:rFonts w:ascii="Arial" w:hAnsi="Arial" w:cs="Arial"/>
          <w:b/>
          <w:sz w:val="24"/>
          <w:szCs w:val="24"/>
        </w:rPr>
      </w:pPr>
    </w:p>
    <w:p w:rsidR="002E426A" w:rsidRDefault="002E426A" w:rsidP="00D47BAC">
      <w:pPr>
        <w:pStyle w:val="NoSpacing"/>
        <w:rPr>
          <w:rFonts w:ascii="Arial" w:hAnsi="Arial" w:cs="Arial"/>
          <w:b/>
          <w:sz w:val="24"/>
          <w:szCs w:val="24"/>
        </w:rPr>
      </w:pPr>
    </w:p>
    <w:p w:rsidR="00E12808" w:rsidRPr="001563C1" w:rsidRDefault="00E12808" w:rsidP="00D47BAC">
      <w:pPr>
        <w:pStyle w:val="NoSpacing"/>
        <w:rPr>
          <w:rFonts w:ascii="Arial" w:hAnsi="Arial" w:cs="Arial"/>
          <w:b/>
          <w:sz w:val="24"/>
          <w:szCs w:val="24"/>
        </w:rPr>
      </w:pPr>
    </w:p>
    <w:p w:rsidR="00305FE9" w:rsidRDefault="00A62F67" w:rsidP="00D47BAC">
      <w:pPr>
        <w:pStyle w:val="NoSpacing"/>
        <w:rPr>
          <w:rFonts w:ascii="Arial" w:hAnsi="Arial" w:cs="Arial"/>
          <w:b/>
          <w:sz w:val="24"/>
          <w:szCs w:val="24"/>
        </w:rPr>
      </w:pPr>
      <w:r>
        <w:rPr>
          <w:rFonts w:ascii="Arial" w:hAnsi="Arial" w:cs="Arial"/>
          <w:b/>
          <w:sz w:val="24"/>
          <w:szCs w:val="24"/>
        </w:rPr>
        <w:t>__________________</w:t>
      </w:r>
    </w:p>
    <w:p w:rsidR="002E426A" w:rsidRDefault="00A62F67" w:rsidP="00D47BAC">
      <w:pPr>
        <w:pStyle w:val="NoSpacing"/>
        <w:rPr>
          <w:rFonts w:ascii="Arial" w:hAnsi="Arial" w:cs="Arial"/>
          <w:b/>
          <w:sz w:val="24"/>
          <w:szCs w:val="24"/>
        </w:rPr>
      </w:pPr>
      <w:r>
        <w:rPr>
          <w:rFonts w:ascii="Arial" w:hAnsi="Arial" w:cs="Arial"/>
          <w:b/>
          <w:sz w:val="24"/>
          <w:szCs w:val="24"/>
        </w:rPr>
        <w:t>MAINGA JA</w:t>
      </w:r>
    </w:p>
    <w:p w:rsidR="007020FD" w:rsidRPr="00A62F67" w:rsidRDefault="007020FD" w:rsidP="008D41DE">
      <w:pPr>
        <w:pStyle w:val="NoSpacing"/>
        <w:spacing w:line="480" w:lineRule="auto"/>
        <w:jc w:val="both"/>
        <w:rPr>
          <w:rFonts w:ascii="Arial" w:hAnsi="Arial" w:cs="Arial"/>
          <w:sz w:val="24"/>
          <w:szCs w:val="24"/>
        </w:rPr>
      </w:pPr>
    </w:p>
    <w:p w:rsidR="008D41DE" w:rsidRDefault="008D41DE" w:rsidP="008D41DE">
      <w:pPr>
        <w:pStyle w:val="NoSpacing"/>
        <w:spacing w:line="480" w:lineRule="auto"/>
        <w:jc w:val="both"/>
        <w:rPr>
          <w:rFonts w:ascii="Arial" w:hAnsi="Arial" w:cs="Arial"/>
          <w:sz w:val="24"/>
          <w:szCs w:val="24"/>
        </w:rPr>
      </w:pPr>
      <w:r>
        <w:rPr>
          <w:rFonts w:ascii="Arial" w:hAnsi="Arial" w:cs="Arial"/>
          <w:sz w:val="24"/>
          <w:szCs w:val="24"/>
        </w:rPr>
        <w:t>APPEARANCES:</w:t>
      </w:r>
    </w:p>
    <w:p w:rsidR="008D41DE" w:rsidRDefault="008D41DE" w:rsidP="008D41DE">
      <w:pPr>
        <w:pStyle w:val="NoSpacing"/>
        <w:spacing w:line="480" w:lineRule="auto"/>
        <w:jc w:val="both"/>
        <w:rPr>
          <w:rFonts w:ascii="Arial" w:hAnsi="Arial" w:cs="Arial"/>
          <w:sz w:val="24"/>
          <w:szCs w:val="24"/>
        </w:rPr>
      </w:pPr>
    </w:p>
    <w:p w:rsidR="008D41DE" w:rsidRDefault="00876610" w:rsidP="008D41DE">
      <w:pPr>
        <w:pStyle w:val="NoSpacing"/>
        <w:spacing w:line="480" w:lineRule="auto"/>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 C</w:t>
      </w:r>
      <w:r w:rsidR="008D41DE">
        <w:rPr>
          <w:rFonts w:ascii="Arial" w:hAnsi="Arial" w:cs="Arial"/>
          <w:sz w:val="24"/>
          <w:szCs w:val="24"/>
        </w:rPr>
        <w:t>oleman</w:t>
      </w:r>
    </w:p>
    <w:p w:rsidR="008D41DE" w:rsidRDefault="008D41DE" w:rsidP="008D41DE">
      <w:pPr>
        <w:pStyle w:val="NoSpacing"/>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 AngulaCo. Inc., Windhoek</w:t>
      </w:r>
    </w:p>
    <w:p w:rsidR="008D41DE" w:rsidRDefault="008D41DE" w:rsidP="008D41DE">
      <w:pPr>
        <w:pStyle w:val="NoSpacing"/>
        <w:spacing w:line="480" w:lineRule="auto"/>
        <w:jc w:val="both"/>
        <w:rPr>
          <w:rFonts w:ascii="Arial" w:hAnsi="Arial" w:cs="Arial"/>
          <w:sz w:val="24"/>
          <w:szCs w:val="24"/>
        </w:rPr>
      </w:pPr>
    </w:p>
    <w:p w:rsidR="008D41DE" w:rsidRDefault="008D41DE" w:rsidP="008D41DE">
      <w:pPr>
        <w:pStyle w:val="NoSpacing"/>
        <w:spacing w:line="480" w:lineRule="auto"/>
        <w:jc w:val="both"/>
        <w:rPr>
          <w:rFonts w:ascii="Arial" w:hAnsi="Arial" w:cs="Arial"/>
          <w:sz w:val="24"/>
          <w:szCs w:val="24"/>
        </w:rPr>
      </w:pPr>
    </w:p>
    <w:p w:rsidR="008D41DE" w:rsidRDefault="008D41DE" w:rsidP="008D41DE">
      <w:pPr>
        <w:pStyle w:val="NoSpacing"/>
        <w:spacing w:line="480" w:lineRule="auto"/>
        <w:jc w:val="both"/>
        <w:rPr>
          <w:rFonts w:ascii="Arial" w:hAnsi="Arial" w:cs="Arial"/>
          <w:sz w:val="24"/>
          <w:szCs w:val="24"/>
        </w:rPr>
      </w:pPr>
      <w:r>
        <w:rPr>
          <w:rFonts w:ascii="Arial" w:hAnsi="Arial" w:cs="Arial"/>
          <w:sz w:val="24"/>
          <w:szCs w:val="24"/>
        </w:rPr>
        <w:t>FIRST RESPONDENT:</w:t>
      </w:r>
      <w:r>
        <w:rPr>
          <w:rFonts w:ascii="Arial" w:hAnsi="Arial" w:cs="Arial"/>
          <w:sz w:val="24"/>
          <w:szCs w:val="24"/>
        </w:rPr>
        <w:tab/>
      </w:r>
      <w:r>
        <w:rPr>
          <w:rFonts w:ascii="Arial" w:hAnsi="Arial" w:cs="Arial"/>
          <w:sz w:val="24"/>
          <w:szCs w:val="24"/>
        </w:rPr>
        <w:tab/>
      </w:r>
      <w:r>
        <w:rPr>
          <w:rFonts w:ascii="Arial" w:hAnsi="Arial" w:cs="Arial"/>
          <w:sz w:val="24"/>
          <w:szCs w:val="24"/>
        </w:rPr>
        <w:tab/>
        <w:t>N Marcus</w:t>
      </w:r>
    </w:p>
    <w:p w:rsidR="00EE2F16" w:rsidRDefault="00EE2F16" w:rsidP="008D41DE">
      <w:pPr>
        <w:pStyle w:val="NoSpacing"/>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Nixon Marcus Public Law Office,</w:t>
      </w:r>
    </w:p>
    <w:p w:rsidR="00EE2F16" w:rsidRDefault="00EE2F16" w:rsidP="008D41DE">
      <w:pPr>
        <w:pStyle w:val="NoSpacing"/>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8D41DE" w:rsidRDefault="008D41DE" w:rsidP="008D41DE">
      <w:pPr>
        <w:pStyle w:val="NoSpacing"/>
        <w:spacing w:line="480" w:lineRule="auto"/>
        <w:jc w:val="both"/>
        <w:rPr>
          <w:rFonts w:ascii="Arial" w:hAnsi="Arial" w:cs="Arial"/>
          <w:sz w:val="24"/>
          <w:szCs w:val="24"/>
        </w:rPr>
      </w:pPr>
    </w:p>
    <w:p w:rsidR="008D41DE" w:rsidRDefault="008D41DE" w:rsidP="008D41DE">
      <w:pPr>
        <w:pStyle w:val="NoSpacing"/>
        <w:spacing w:line="480" w:lineRule="auto"/>
        <w:jc w:val="both"/>
        <w:rPr>
          <w:rFonts w:ascii="Arial" w:hAnsi="Arial" w:cs="Arial"/>
          <w:sz w:val="24"/>
          <w:szCs w:val="24"/>
        </w:rPr>
      </w:pPr>
    </w:p>
    <w:p w:rsidR="008D41DE" w:rsidRDefault="008D41DE" w:rsidP="008D41DE">
      <w:pPr>
        <w:pStyle w:val="NoSpacing"/>
        <w:spacing w:line="480" w:lineRule="auto"/>
        <w:jc w:val="both"/>
        <w:rPr>
          <w:rFonts w:ascii="Arial" w:hAnsi="Arial" w:cs="Arial"/>
          <w:sz w:val="24"/>
          <w:szCs w:val="24"/>
        </w:rPr>
      </w:pPr>
    </w:p>
    <w:p w:rsidR="00721889" w:rsidRPr="001563C1" w:rsidRDefault="00721889" w:rsidP="00721889">
      <w:pPr>
        <w:pStyle w:val="NoSpacing"/>
        <w:jc w:val="both"/>
        <w:rPr>
          <w:rFonts w:ascii="Arial" w:hAnsi="Arial" w:cs="Arial"/>
          <w:sz w:val="24"/>
          <w:szCs w:val="24"/>
        </w:rPr>
      </w:pPr>
    </w:p>
    <w:sectPr w:rsidR="00721889" w:rsidRPr="001563C1"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5F" w:rsidRDefault="0085125F" w:rsidP="00B5013F">
      <w:pPr>
        <w:spacing w:after="0" w:line="240" w:lineRule="auto"/>
      </w:pPr>
      <w:r>
        <w:separator/>
      </w:r>
    </w:p>
  </w:endnote>
  <w:endnote w:type="continuationSeparator" w:id="0">
    <w:p w:rsidR="0085125F" w:rsidRDefault="0085125F"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5F" w:rsidRDefault="0085125F" w:rsidP="00B5013F">
      <w:pPr>
        <w:spacing w:after="0" w:line="240" w:lineRule="auto"/>
      </w:pPr>
      <w:r>
        <w:separator/>
      </w:r>
    </w:p>
  </w:footnote>
  <w:footnote w:type="continuationSeparator" w:id="0">
    <w:p w:rsidR="0085125F" w:rsidRDefault="0085125F" w:rsidP="00B5013F">
      <w:pPr>
        <w:spacing w:after="0" w:line="240" w:lineRule="auto"/>
      </w:pPr>
      <w:r>
        <w:continuationSeparator/>
      </w:r>
    </w:p>
  </w:footnote>
  <w:footnote w:id="1">
    <w:p w:rsidR="000A2840" w:rsidRPr="00502736" w:rsidRDefault="000A2840" w:rsidP="00502736">
      <w:pPr>
        <w:pStyle w:val="FootnoteText"/>
        <w:jc w:val="both"/>
        <w:rPr>
          <w:rFonts w:ascii="Arial" w:hAnsi="Arial" w:cs="Arial"/>
        </w:rPr>
      </w:pPr>
      <w:r w:rsidRPr="00502736">
        <w:rPr>
          <w:rStyle w:val="FootnoteReference"/>
          <w:rFonts w:ascii="Arial" w:hAnsi="Arial" w:cs="Arial"/>
        </w:rPr>
        <w:footnoteRef/>
      </w:r>
      <w:r w:rsidRPr="00502736">
        <w:rPr>
          <w:rFonts w:ascii="Arial" w:hAnsi="Arial" w:cs="Arial"/>
        </w:rPr>
        <w:t xml:space="preserve"> </w:t>
      </w:r>
      <w:r w:rsidRPr="00502736">
        <w:rPr>
          <w:rFonts w:ascii="Arial" w:hAnsi="Arial" w:cs="Arial"/>
          <w:i/>
          <w:iCs/>
        </w:rPr>
        <w:t xml:space="preserve">Standard Bank of South Africa </w:t>
      </w:r>
      <w:r w:rsidR="00381548">
        <w:rPr>
          <w:rFonts w:ascii="Arial" w:hAnsi="Arial" w:cs="Arial"/>
          <w:i/>
          <w:iCs/>
        </w:rPr>
        <w:t xml:space="preserve">Ltd </w:t>
      </w:r>
      <w:r w:rsidRPr="00502736">
        <w:rPr>
          <w:rFonts w:ascii="Arial" w:hAnsi="Arial" w:cs="Arial"/>
          <w:i/>
          <w:iCs/>
        </w:rPr>
        <w:t xml:space="preserve">v Council of the Municipality of Windhoek </w:t>
      </w:r>
      <w:r w:rsidR="00381548">
        <w:rPr>
          <w:rFonts w:ascii="Arial" w:hAnsi="Arial" w:cs="Arial"/>
        </w:rPr>
        <w:t>2016 (1) NR 51 (SC) paras 16-18</w:t>
      </w:r>
      <w:r w:rsidRPr="00502736">
        <w:rPr>
          <w:rFonts w:ascii="Arial" w:hAnsi="Arial" w:cs="Arial"/>
        </w:rPr>
        <w:t xml:space="preserve"> at 59-60.</w:t>
      </w:r>
    </w:p>
  </w:footnote>
  <w:footnote w:id="2">
    <w:p w:rsidR="00AF76CA" w:rsidRPr="00502736" w:rsidRDefault="00AF76CA" w:rsidP="00502736">
      <w:pPr>
        <w:pStyle w:val="FootnoteText"/>
        <w:jc w:val="both"/>
        <w:rPr>
          <w:rFonts w:ascii="Arial" w:hAnsi="Arial" w:cs="Arial"/>
        </w:rPr>
      </w:pPr>
      <w:r w:rsidRPr="00502736">
        <w:rPr>
          <w:rStyle w:val="FootnoteReference"/>
          <w:rFonts w:ascii="Arial" w:hAnsi="Arial" w:cs="Arial"/>
        </w:rPr>
        <w:footnoteRef/>
      </w:r>
      <w:r w:rsidRPr="00502736">
        <w:rPr>
          <w:rFonts w:ascii="Arial" w:hAnsi="Arial" w:cs="Arial"/>
        </w:rPr>
        <w:t xml:space="preserve"> </w:t>
      </w:r>
      <w:r w:rsidRPr="00502736">
        <w:rPr>
          <w:rFonts w:ascii="Arial" w:hAnsi="Arial" w:cs="Arial"/>
          <w:i/>
          <w:spacing w:val="4"/>
        </w:rPr>
        <w:t>Standard Bank</w:t>
      </w:r>
      <w:r w:rsidR="008977A6">
        <w:rPr>
          <w:rFonts w:ascii="Arial" w:hAnsi="Arial" w:cs="Arial"/>
          <w:spacing w:val="4"/>
        </w:rPr>
        <w:t xml:space="preserve"> case above para </w:t>
      </w:r>
      <w:r w:rsidRPr="00502736">
        <w:rPr>
          <w:rFonts w:ascii="Arial" w:hAnsi="Arial" w:cs="Arial"/>
          <w:spacing w:val="4"/>
        </w:rPr>
        <w:t>43 at 71F.</w:t>
      </w:r>
    </w:p>
  </w:footnote>
  <w:footnote w:id="3">
    <w:p w:rsidR="00AF76CA" w:rsidRPr="00502736" w:rsidRDefault="00AF76CA" w:rsidP="00502736">
      <w:pPr>
        <w:pStyle w:val="FootnoteText"/>
        <w:jc w:val="both"/>
        <w:rPr>
          <w:rFonts w:ascii="Arial" w:hAnsi="Arial" w:cs="Arial"/>
        </w:rPr>
      </w:pPr>
      <w:r w:rsidRPr="00502736">
        <w:rPr>
          <w:rStyle w:val="FootnoteReference"/>
          <w:rFonts w:ascii="Arial" w:hAnsi="Arial" w:cs="Arial"/>
        </w:rPr>
        <w:footnoteRef/>
      </w:r>
      <w:r w:rsidRPr="00502736">
        <w:rPr>
          <w:rFonts w:ascii="Arial" w:hAnsi="Arial" w:cs="Arial"/>
        </w:rPr>
        <w:t xml:space="preserve"> </w:t>
      </w:r>
      <w:r w:rsidRPr="00502736">
        <w:rPr>
          <w:rFonts w:ascii="Arial" w:hAnsi="Arial" w:cs="Arial"/>
          <w:i/>
          <w:iCs/>
        </w:rPr>
        <w:t>Cargil</w:t>
      </w:r>
      <w:r w:rsidR="008977A6">
        <w:rPr>
          <w:rFonts w:ascii="Arial" w:hAnsi="Arial" w:cs="Arial"/>
          <w:i/>
          <w:iCs/>
        </w:rPr>
        <w:t>l</w:t>
      </w:r>
      <w:r w:rsidRPr="00502736">
        <w:rPr>
          <w:rFonts w:ascii="Arial" w:hAnsi="Arial" w:cs="Arial"/>
          <w:i/>
          <w:iCs/>
        </w:rPr>
        <w:t xml:space="preserve"> International SA &amp; another v Bangladesh Sugar and Food Industries Corporation </w:t>
      </w:r>
      <w:r w:rsidRPr="00502736">
        <w:rPr>
          <w:rFonts w:ascii="Arial" w:hAnsi="Arial" w:cs="Arial"/>
        </w:rPr>
        <w:t>[1996] 4 All ER 563 (QB) 569d-e.</w:t>
      </w:r>
    </w:p>
  </w:footnote>
  <w:footnote w:id="4">
    <w:p w:rsidR="00AF76CA" w:rsidRPr="00502736" w:rsidRDefault="00AF76CA" w:rsidP="00502736">
      <w:pPr>
        <w:pStyle w:val="FootnoteText"/>
        <w:jc w:val="both"/>
        <w:rPr>
          <w:rFonts w:ascii="Arial" w:hAnsi="Arial" w:cs="Arial"/>
        </w:rPr>
      </w:pPr>
      <w:r w:rsidRPr="00502736">
        <w:rPr>
          <w:rStyle w:val="FootnoteReference"/>
          <w:rFonts w:ascii="Arial" w:hAnsi="Arial" w:cs="Arial"/>
        </w:rPr>
        <w:footnoteRef/>
      </w:r>
      <w:r w:rsidRPr="00502736">
        <w:rPr>
          <w:rFonts w:ascii="Arial" w:hAnsi="Arial" w:cs="Arial"/>
        </w:rPr>
        <w:t xml:space="preserve"> </w:t>
      </w:r>
      <w:r w:rsidR="008977A6">
        <w:rPr>
          <w:rFonts w:ascii="Arial" w:hAnsi="Arial" w:cs="Arial"/>
          <w:i/>
          <w:iCs/>
        </w:rPr>
        <w:t>Ridon v Van der Spu</w:t>
      </w:r>
      <w:r w:rsidRPr="00502736">
        <w:rPr>
          <w:rFonts w:ascii="Arial" w:hAnsi="Arial" w:cs="Arial"/>
          <w:i/>
          <w:iCs/>
        </w:rPr>
        <w:t xml:space="preserve">y and Partners (Wes-Kaap) Inc </w:t>
      </w:r>
      <w:r w:rsidRPr="00502736">
        <w:rPr>
          <w:rFonts w:ascii="Arial" w:hAnsi="Arial" w:cs="Arial"/>
        </w:rPr>
        <w:t xml:space="preserve">2002 (2) SA 121 (C). See also </w:t>
      </w:r>
      <w:r w:rsidRPr="00502736">
        <w:rPr>
          <w:rFonts w:ascii="Arial" w:hAnsi="Arial" w:cs="Arial"/>
          <w:i/>
          <w:iCs/>
        </w:rPr>
        <w:t xml:space="preserve">Standard Bank </w:t>
      </w:r>
      <w:r w:rsidR="008977A6">
        <w:rPr>
          <w:rFonts w:ascii="Arial" w:hAnsi="Arial" w:cs="Arial"/>
        </w:rPr>
        <w:t xml:space="preserve">case above para </w:t>
      </w:r>
      <w:r w:rsidRPr="00502736">
        <w:rPr>
          <w:rFonts w:ascii="Arial" w:hAnsi="Arial" w:cs="Arial"/>
        </w:rPr>
        <w:t>48 at 74B-C.</w:t>
      </w:r>
    </w:p>
  </w:footnote>
  <w:footnote w:id="5">
    <w:p w:rsidR="00AF76CA" w:rsidRPr="00502736" w:rsidRDefault="00AF76CA" w:rsidP="00502736">
      <w:pPr>
        <w:pStyle w:val="FootnoteText"/>
        <w:jc w:val="both"/>
        <w:rPr>
          <w:rFonts w:ascii="Arial" w:hAnsi="Arial" w:cs="Arial"/>
        </w:rPr>
      </w:pPr>
      <w:r w:rsidRPr="00502736">
        <w:rPr>
          <w:rStyle w:val="FootnoteReference"/>
          <w:rFonts w:ascii="Arial" w:hAnsi="Arial" w:cs="Arial"/>
        </w:rPr>
        <w:footnoteRef/>
      </w:r>
      <w:r w:rsidRPr="00502736">
        <w:rPr>
          <w:rFonts w:ascii="Arial" w:hAnsi="Arial" w:cs="Arial"/>
        </w:rPr>
        <w:t xml:space="preserve"> </w:t>
      </w:r>
      <w:r w:rsidRPr="00502736">
        <w:rPr>
          <w:rFonts w:ascii="Arial" w:hAnsi="Arial" w:cs="Arial"/>
          <w:i/>
          <w:iCs/>
          <w:spacing w:val="-8"/>
        </w:rPr>
        <w:t xml:space="preserve">Guardrisk Insurance Company Ltd &amp; others v Kentz (Pty) Ltd </w:t>
      </w:r>
      <w:r w:rsidR="008977A6">
        <w:rPr>
          <w:rFonts w:ascii="Arial" w:hAnsi="Arial" w:cs="Arial"/>
          <w:spacing w:val="-8"/>
        </w:rPr>
        <w:t xml:space="preserve">[2014] 1 All SA 307 paras </w:t>
      </w:r>
      <w:r w:rsidRPr="00502736">
        <w:rPr>
          <w:rFonts w:ascii="Arial" w:hAnsi="Arial" w:cs="Arial"/>
          <w:spacing w:val="-8"/>
        </w:rPr>
        <w:t>28</w:t>
      </w:r>
      <w:r w:rsidR="008977A6">
        <w:rPr>
          <w:rFonts w:ascii="Arial" w:hAnsi="Arial" w:cs="Arial"/>
          <w:spacing w:val="-8"/>
        </w:rPr>
        <w:t>-</w:t>
      </w:r>
      <w:r w:rsidRPr="00502736">
        <w:rPr>
          <w:rFonts w:ascii="Arial" w:hAnsi="Arial" w:cs="Arial"/>
          <w:spacing w:val="-8"/>
        </w:rPr>
        <w:t>29.</w:t>
      </w:r>
    </w:p>
  </w:footnote>
  <w:footnote w:id="6">
    <w:p w:rsidR="00AF76CA" w:rsidRPr="00502736" w:rsidRDefault="00AF76CA" w:rsidP="00502736">
      <w:pPr>
        <w:pStyle w:val="FootnoteText"/>
        <w:jc w:val="both"/>
        <w:rPr>
          <w:rFonts w:ascii="Arial" w:hAnsi="Arial" w:cs="Arial"/>
        </w:rPr>
      </w:pPr>
      <w:r w:rsidRPr="00502736">
        <w:rPr>
          <w:rStyle w:val="FootnoteReference"/>
          <w:rFonts w:ascii="Arial" w:hAnsi="Arial" w:cs="Arial"/>
        </w:rPr>
        <w:footnoteRef/>
      </w:r>
      <w:r w:rsidRPr="00502736">
        <w:rPr>
          <w:rFonts w:ascii="Arial" w:hAnsi="Arial" w:cs="Arial"/>
        </w:rPr>
        <w:t xml:space="preserve"> </w:t>
      </w:r>
      <w:r w:rsidRPr="00502736">
        <w:rPr>
          <w:rFonts w:ascii="Arial" w:hAnsi="Arial" w:cs="Arial"/>
          <w:i/>
          <w:iCs/>
          <w:spacing w:val="-3"/>
        </w:rPr>
        <w:t xml:space="preserve">Standard Bank </w:t>
      </w:r>
      <w:r w:rsidR="008977A6">
        <w:rPr>
          <w:rFonts w:ascii="Arial" w:hAnsi="Arial" w:cs="Arial"/>
          <w:spacing w:val="-3"/>
        </w:rPr>
        <w:t>case, above para 44</w:t>
      </w:r>
      <w:r w:rsidRPr="00502736">
        <w:rPr>
          <w:rFonts w:ascii="Arial" w:hAnsi="Arial" w:cs="Arial"/>
          <w:spacing w:val="-3"/>
        </w:rPr>
        <w:t xml:space="preserve"> fn 36 and </w:t>
      </w:r>
      <w:r w:rsidR="00502736">
        <w:rPr>
          <w:rFonts w:ascii="Arial" w:hAnsi="Arial" w:cs="Arial"/>
          <w:i/>
          <w:iCs/>
          <w:spacing w:val="-3"/>
        </w:rPr>
        <w:t>Guardrisk Insu</w:t>
      </w:r>
      <w:r w:rsidRPr="00502736">
        <w:rPr>
          <w:rFonts w:ascii="Arial" w:hAnsi="Arial" w:cs="Arial"/>
          <w:i/>
          <w:iCs/>
          <w:spacing w:val="-3"/>
        </w:rPr>
        <w:t xml:space="preserve">rance </w:t>
      </w:r>
      <w:r w:rsidRPr="00502736">
        <w:rPr>
          <w:rFonts w:ascii="Arial" w:hAnsi="Arial" w:cs="Arial"/>
          <w:spacing w:val="-3"/>
        </w:rPr>
        <w:t>case above at para [17].</w:t>
      </w:r>
    </w:p>
  </w:footnote>
  <w:footnote w:id="7">
    <w:p w:rsidR="00AF76CA" w:rsidRPr="00502736" w:rsidRDefault="00AF76CA" w:rsidP="00502736">
      <w:pPr>
        <w:pStyle w:val="FootnoteText"/>
        <w:jc w:val="both"/>
        <w:rPr>
          <w:rFonts w:ascii="Arial" w:hAnsi="Arial" w:cs="Arial"/>
        </w:rPr>
      </w:pPr>
      <w:r w:rsidRPr="00502736">
        <w:rPr>
          <w:rStyle w:val="FootnoteReference"/>
          <w:rFonts w:ascii="Arial" w:hAnsi="Arial" w:cs="Arial"/>
        </w:rPr>
        <w:footnoteRef/>
      </w:r>
      <w:r w:rsidRPr="00502736">
        <w:rPr>
          <w:rFonts w:ascii="Arial" w:hAnsi="Arial" w:cs="Arial"/>
        </w:rPr>
        <w:t xml:space="preserve"> </w:t>
      </w:r>
      <w:r w:rsidRPr="00502736">
        <w:rPr>
          <w:rFonts w:ascii="Arial" w:hAnsi="Arial" w:cs="Arial"/>
          <w:i/>
          <w:spacing w:val="-4"/>
        </w:rPr>
        <w:t>Standard Bank</w:t>
      </w:r>
      <w:r w:rsidR="008977A6">
        <w:rPr>
          <w:rFonts w:ascii="Arial" w:hAnsi="Arial" w:cs="Arial"/>
          <w:spacing w:val="-4"/>
        </w:rPr>
        <w:t xml:space="preserve"> case above para </w:t>
      </w:r>
      <w:r w:rsidRPr="00502736">
        <w:rPr>
          <w:rFonts w:ascii="Arial" w:hAnsi="Arial" w:cs="Arial"/>
          <w:spacing w:val="-4"/>
        </w:rPr>
        <w:t>23</w:t>
      </w:r>
      <w:r w:rsidR="008977A6">
        <w:rPr>
          <w:rFonts w:ascii="Arial" w:hAnsi="Arial" w:cs="Arial"/>
          <w:spacing w:val="-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747EA1" w:rsidRPr="00ED46B6" w:rsidRDefault="00747EA1">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4B32A9">
          <w:rPr>
            <w:rFonts w:ascii="Arial" w:hAnsi="Arial" w:cs="Arial"/>
            <w:noProof/>
            <w:sz w:val="24"/>
            <w:szCs w:val="24"/>
          </w:rPr>
          <w:t>2</w:t>
        </w:r>
        <w:r w:rsidRPr="00ED46B6">
          <w:rPr>
            <w:rFonts w:ascii="Arial" w:hAnsi="Arial" w:cs="Arial"/>
            <w:noProof/>
            <w:sz w:val="24"/>
            <w:szCs w:val="24"/>
          </w:rPr>
          <w:fldChar w:fldCharType="end"/>
        </w:r>
      </w:p>
    </w:sdtContent>
  </w:sdt>
  <w:p w:rsidR="00747EA1" w:rsidRDefault="00747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61B5"/>
    <w:multiLevelType w:val="hybridMultilevel"/>
    <w:tmpl w:val="3CE8E414"/>
    <w:lvl w:ilvl="0" w:tplc="710C7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3" w15:restartNumberingAfterBreak="0">
    <w:nsid w:val="0FB5412F"/>
    <w:multiLevelType w:val="multilevel"/>
    <w:tmpl w:val="F01620E2"/>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445B134E"/>
    <w:multiLevelType w:val="hybridMultilevel"/>
    <w:tmpl w:val="02F833D0"/>
    <w:lvl w:ilvl="0" w:tplc="710C72B6">
      <w:start w:val="1"/>
      <w:numFmt w:val="decimal"/>
      <w:lvlText w:val="[%1]"/>
      <w:lvlJc w:val="left"/>
      <w:pPr>
        <w:ind w:left="720" w:hanging="360"/>
      </w:pPr>
      <w:rPr>
        <w:rFonts w:hint="default"/>
      </w:rPr>
    </w:lvl>
    <w:lvl w:ilvl="1" w:tplc="0B16C80A">
      <w:start w:val="1"/>
      <w:numFmt w:val="decimal"/>
      <w:lvlText w:val="%2."/>
      <w:lvlJc w:val="left"/>
      <w:pPr>
        <w:ind w:left="1440" w:hanging="360"/>
      </w:pPr>
      <w:rPr>
        <w:rFonts w:ascii="Arial" w:eastAsiaTheme="minorHAnsi" w:hAnsi="Arial" w:cs="Arial"/>
      </w:rPr>
    </w:lvl>
    <w:lvl w:ilvl="2" w:tplc="F72C1812">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72BA2"/>
    <w:multiLevelType w:val="multilevel"/>
    <w:tmpl w:val="60622192"/>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8"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19"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6"/>
  </w:num>
  <w:num w:numId="3">
    <w:abstractNumId w:val="24"/>
  </w:num>
  <w:num w:numId="4">
    <w:abstractNumId w:val="12"/>
  </w:num>
  <w:num w:numId="5">
    <w:abstractNumId w:val="18"/>
  </w:num>
  <w:num w:numId="6">
    <w:abstractNumId w:val="1"/>
  </w:num>
  <w:num w:numId="7">
    <w:abstractNumId w:val="21"/>
  </w:num>
  <w:num w:numId="8">
    <w:abstractNumId w:val="6"/>
  </w:num>
  <w:num w:numId="9">
    <w:abstractNumId w:val="22"/>
  </w:num>
  <w:num w:numId="10">
    <w:abstractNumId w:val="11"/>
  </w:num>
  <w:num w:numId="11">
    <w:abstractNumId w:val="5"/>
  </w:num>
  <w:num w:numId="12">
    <w:abstractNumId w:val="2"/>
  </w:num>
  <w:num w:numId="13">
    <w:abstractNumId w:val="8"/>
  </w:num>
  <w:num w:numId="14">
    <w:abstractNumId w:val="13"/>
  </w:num>
  <w:num w:numId="15">
    <w:abstractNumId w:val="10"/>
  </w:num>
  <w:num w:numId="16">
    <w:abstractNumId w:val="9"/>
  </w:num>
  <w:num w:numId="17">
    <w:abstractNumId w:val="19"/>
  </w:num>
  <w:num w:numId="18">
    <w:abstractNumId w:val="23"/>
  </w:num>
  <w:num w:numId="19">
    <w:abstractNumId w:val="14"/>
  </w:num>
  <w:num w:numId="20">
    <w:abstractNumId w:val="20"/>
  </w:num>
  <w:num w:numId="21">
    <w:abstractNumId w:val="15"/>
  </w:num>
  <w:num w:numId="22">
    <w:abstractNumId w:val="4"/>
  </w:num>
  <w:num w:numId="23">
    <w:abstractNumId w:val="1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225F"/>
    <w:rsid w:val="000074D9"/>
    <w:rsid w:val="00010DF4"/>
    <w:rsid w:val="00011EB9"/>
    <w:rsid w:val="00012D59"/>
    <w:rsid w:val="00012D6C"/>
    <w:rsid w:val="000139A0"/>
    <w:rsid w:val="00016A45"/>
    <w:rsid w:val="00020554"/>
    <w:rsid w:val="00020736"/>
    <w:rsid w:val="00021ECC"/>
    <w:rsid w:val="00022452"/>
    <w:rsid w:val="00022644"/>
    <w:rsid w:val="000231F7"/>
    <w:rsid w:val="00026A64"/>
    <w:rsid w:val="00026DD5"/>
    <w:rsid w:val="0002744F"/>
    <w:rsid w:val="000276F0"/>
    <w:rsid w:val="000304BA"/>
    <w:rsid w:val="00031EBA"/>
    <w:rsid w:val="00033256"/>
    <w:rsid w:val="000400C4"/>
    <w:rsid w:val="00042A20"/>
    <w:rsid w:val="00043401"/>
    <w:rsid w:val="00043E45"/>
    <w:rsid w:val="00052B8A"/>
    <w:rsid w:val="00055805"/>
    <w:rsid w:val="00057B7B"/>
    <w:rsid w:val="00060ED6"/>
    <w:rsid w:val="000610A3"/>
    <w:rsid w:val="000626CC"/>
    <w:rsid w:val="000643B5"/>
    <w:rsid w:val="00065459"/>
    <w:rsid w:val="000665BD"/>
    <w:rsid w:val="00066723"/>
    <w:rsid w:val="00073046"/>
    <w:rsid w:val="00076790"/>
    <w:rsid w:val="00076931"/>
    <w:rsid w:val="00076F53"/>
    <w:rsid w:val="00077B52"/>
    <w:rsid w:val="0008009C"/>
    <w:rsid w:val="000800AA"/>
    <w:rsid w:val="000840CA"/>
    <w:rsid w:val="00084121"/>
    <w:rsid w:val="000855E0"/>
    <w:rsid w:val="00086647"/>
    <w:rsid w:val="00087BB0"/>
    <w:rsid w:val="00090B47"/>
    <w:rsid w:val="00092565"/>
    <w:rsid w:val="00092D5D"/>
    <w:rsid w:val="00094C79"/>
    <w:rsid w:val="000A1917"/>
    <w:rsid w:val="000A2583"/>
    <w:rsid w:val="000A2840"/>
    <w:rsid w:val="000A2F02"/>
    <w:rsid w:val="000A3C68"/>
    <w:rsid w:val="000A3CA0"/>
    <w:rsid w:val="000A3F6B"/>
    <w:rsid w:val="000A4DEC"/>
    <w:rsid w:val="000A64C1"/>
    <w:rsid w:val="000A7E1F"/>
    <w:rsid w:val="000B06C9"/>
    <w:rsid w:val="000B0A11"/>
    <w:rsid w:val="000C2A58"/>
    <w:rsid w:val="000C2D19"/>
    <w:rsid w:val="000D1ADC"/>
    <w:rsid w:val="000D2762"/>
    <w:rsid w:val="000E008B"/>
    <w:rsid w:val="000E0BFC"/>
    <w:rsid w:val="000E15F8"/>
    <w:rsid w:val="000E28A2"/>
    <w:rsid w:val="000E3DF0"/>
    <w:rsid w:val="000E46F5"/>
    <w:rsid w:val="000E6B27"/>
    <w:rsid w:val="000F1A59"/>
    <w:rsid w:val="000F27E4"/>
    <w:rsid w:val="000F4BBD"/>
    <w:rsid w:val="000F61A4"/>
    <w:rsid w:val="000F7D77"/>
    <w:rsid w:val="00101FDB"/>
    <w:rsid w:val="0010254D"/>
    <w:rsid w:val="00107552"/>
    <w:rsid w:val="00111339"/>
    <w:rsid w:val="00112DA2"/>
    <w:rsid w:val="00114682"/>
    <w:rsid w:val="00121972"/>
    <w:rsid w:val="001227DB"/>
    <w:rsid w:val="0012439B"/>
    <w:rsid w:val="0012527C"/>
    <w:rsid w:val="00126E64"/>
    <w:rsid w:val="00132216"/>
    <w:rsid w:val="001327CE"/>
    <w:rsid w:val="00135014"/>
    <w:rsid w:val="0013608D"/>
    <w:rsid w:val="00140678"/>
    <w:rsid w:val="00140A9D"/>
    <w:rsid w:val="00141FF6"/>
    <w:rsid w:val="001423E7"/>
    <w:rsid w:val="0014303A"/>
    <w:rsid w:val="00145873"/>
    <w:rsid w:val="0015196E"/>
    <w:rsid w:val="00151FFA"/>
    <w:rsid w:val="001563C1"/>
    <w:rsid w:val="00156AC7"/>
    <w:rsid w:val="001578CD"/>
    <w:rsid w:val="00157F20"/>
    <w:rsid w:val="0017081A"/>
    <w:rsid w:val="00180CE0"/>
    <w:rsid w:val="001838C9"/>
    <w:rsid w:val="00185996"/>
    <w:rsid w:val="00190F70"/>
    <w:rsid w:val="0019366B"/>
    <w:rsid w:val="00193825"/>
    <w:rsid w:val="00194D51"/>
    <w:rsid w:val="001957EE"/>
    <w:rsid w:val="00195AE1"/>
    <w:rsid w:val="001A0E25"/>
    <w:rsid w:val="001A152A"/>
    <w:rsid w:val="001A2B18"/>
    <w:rsid w:val="001A4A99"/>
    <w:rsid w:val="001A666A"/>
    <w:rsid w:val="001A6B0E"/>
    <w:rsid w:val="001A7909"/>
    <w:rsid w:val="001C1802"/>
    <w:rsid w:val="001C25CA"/>
    <w:rsid w:val="001C353F"/>
    <w:rsid w:val="001C558D"/>
    <w:rsid w:val="001C7DF6"/>
    <w:rsid w:val="001D08D7"/>
    <w:rsid w:val="001D4856"/>
    <w:rsid w:val="001D4EB4"/>
    <w:rsid w:val="001D5351"/>
    <w:rsid w:val="001D58BA"/>
    <w:rsid w:val="001D608A"/>
    <w:rsid w:val="001E299E"/>
    <w:rsid w:val="001E3888"/>
    <w:rsid w:val="001E44D9"/>
    <w:rsid w:val="001E4C77"/>
    <w:rsid w:val="001F39D3"/>
    <w:rsid w:val="001F4CB8"/>
    <w:rsid w:val="001F7942"/>
    <w:rsid w:val="0020312C"/>
    <w:rsid w:val="002033A4"/>
    <w:rsid w:val="00207960"/>
    <w:rsid w:val="00207D05"/>
    <w:rsid w:val="00215D8F"/>
    <w:rsid w:val="002212AD"/>
    <w:rsid w:val="00224757"/>
    <w:rsid w:val="00230BEB"/>
    <w:rsid w:val="00230EC2"/>
    <w:rsid w:val="002317A5"/>
    <w:rsid w:val="002337F7"/>
    <w:rsid w:val="002340F6"/>
    <w:rsid w:val="00234CE1"/>
    <w:rsid w:val="00235E57"/>
    <w:rsid w:val="0023748C"/>
    <w:rsid w:val="002441F9"/>
    <w:rsid w:val="002447B6"/>
    <w:rsid w:val="002457A4"/>
    <w:rsid w:val="00251412"/>
    <w:rsid w:val="00252CED"/>
    <w:rsid w:val="00254724"/>
    <w:rsid w:val="00257803"/>
    <w:rsid w:val="00262874"/>
    <w:rsid w:val="00263481"/>
    <w:rsid w:val="002658ED"/>
    <w:rsid w:val="00265BF2"/>
    <w:rsid w:val="002662E3"/>
    <w:rsid w:val="00266E2B"/>
    <w:rsid w:val="00273EE9"/>
    <w:rsid w:val="00274F4E"/>
    <w:rsid w:val="00276835"/>
    <w:rsid w:val="0028168A"/>
    <w:rsid w:val="002850F9"/>
    <w:rsid w:val="002855CF"/>
    <w:rsid w:val="00286029"/>
    <w:rsid w:val="00286F17"/>
    <w:rsid w:val="002A2B5C"/>
    <w:rsid w:val="002A4C01"/>
    <w:rsid w:val="002B0CAC"/>
    <w:rsid w:val="002B1A4D"/>
    <w:rsid w:val="002B1CE3"/>
    <w:rsid w:val="002C0FC3"/>
    <w:rsid w:val="002C2338"/>
    <w:rsid w:val="002C2EFB"/>
    <w:rsid w:val="002C568C"/>
    <w:rsid w:val="002D1B71"/>
    <w:rsid w:val="002D1E38"/>
    <w:rsid w:val="002D1F1E"/>
    <w:rsid w:val="002D38BF"/>
    <w:rsid w:val="002E426A"/>
    <w:rsid w:val="002E4E6A"/>
    <w:rsid w:val="002E708E"/>
    <w:rsid w:val="002F39B4"/>
    <w:rsid w:val="002F7598"/>
    <w:rsid w:val="003039EF"/>
    <w:rsid w:val="00303D98"/>
    <w:rsid w:val="00305FE9"/>
    <w:rsid w:val="00306CA5"/>
    <w:rsid w:val="0030702B"/>
    <w:rsid w:val="0030737F"/>
    <w:rsid w:val="0030775E"/>
    <w:rsid w:val="00310940"/>
    <w:rsid w:val="00314EFE"/>
    <w:rsid w:val="003152F2"/>
    <w:rsid w:val="00317522"/>
    <w:rsid w:val="003207CE"/>
    <w:rsid w:val="003212CE"/>
    <w:rsid w:val="0032148F"/>
    <w:rsid w:val="00321ED1"/>
    <w:rsid w:val="0032319A"/>
    <w:rsid w:val="00324725"/>
    <w:rsid w:val="0032579A"/>
    <w:rsid w:val="00333E58"/>
    <w:rsid w:val="0033772A"/>
    <w:rsid w:val="00337BE9"/>
    <w:rsid w:val="00343A5F"/>
    <w:rsid w:val="003459C8"/>
    <w:rsid w:val="00346C25"/>
    <w:rsid w:val="00352985"/>
    <w:rsid w:val="003551AC"/>
    <w:rsid w:val="00357C85"/>
    <w:rsid w:val="00360952"/>
    <w:rsid w:val="00362560"/>
    <w:rsid w:val="003638AE"/>
    <w:rsid w:val="00363974"/>
    <w:rsid w:val="00364B6B"/>
    <w:rsid w:val="00366DF0"/>
    <w:rsid w:val="00370025"/>
    <w:rsid w:val="003745AA"/>
    <w:rsid w:val="00376D79"/>
    <w:rsid w:val="003801E5"/>
    <w:rsid w:val="00381349"/>
    <w:rsid w:val="00381548"/>
    <w:rsid w:val="003863FC"/>
    <w:rsid w:val="00386B90"/>
    <w:rsid w:val="003924D2"/>
    <w:rsid w:val="003952EB"/>
    <w:rsid w:val="00395831"/>
    <w:rsid w:val="00395B99"/>
    <w:rsid w:val="003A1DAC"/>
    <w:rsid w:val="003A2101"/>
    <w:rsid w:val="003A31DE"/>
    <w:rsid w:val="003A78BA"/>
    <w:rsid w:val="003B0228"/>
    <w:rsid w:val="003B0665"/>
    <w:rsid w:val="003B72EC"/>
    <w:rsid w:val="003B7CB7"/>
    <w:rsid w:val="003C1096"/>
    <w:rsid w:val="003C231E"/>
    <w:rsid w:val="003C4C67"/>
    <w:rsid w:val="003D4A07"/>
    <w:rsid w:val="003D6A9C"/>
    <w:rsid w:val="003D7216"/>
    <w:rsid w:val="003E1056"/>
    <w:rsid w:val="003E163B"/>
    <w:rsid w:val="003E1A1C"/>
    <w:rsid w:val="003E289D"/>
    <w:rsid w:val="003E34C8"/>
    <w:rsid w:val="003E77F5"/>
    <w:rsid w:val="003E7F28"/>
    <w:rsid w:val="003F0643"/>
    <w:rsid w:val="003F3800"/>
    <w:rsid w:val="003F5965"/>
    <w:rsid w:val="003F6A2B"/>
    <w:rsid w:val="004023CC"/>
    <w:rsid w:val="0040692C"/>
    <w:rsid w:val="00406D6A"/>
    <w:rsid w:val="004107D3"/>
    <w:rsid w:val="00413FB2"/>
    <w:rsid w:val="00414C3B"/>
    <w:rsid w:val="004154C8"/>
    <w:rsid w:val="0041592B"/>
    <w:rsid w:val="00417BF1"/>
    <w:rsid w:val="004211CC"/>
    <w:rsid w:val="004215C2"/>
    <w:rsid w:val="00422FAE"/>
    <w:rsid w:val="00427400"/>
    <w:rsid w:val="00431601"/>
    <w:rsid w:val="00432E79"/>
    <w:rsid w:val="00436AEB"/>
    <w:rsid w:val="00441FFE"/>
    <w:rsid w:val="00445038"/>
    <w:rsid w:val="00450915"/>
    <w:rsid w:val="00450B86"/>
    <w:rsid w:val="00451609"/>
    <w:rsid w:val="00456872"/>
    <w:rsid w:val="00456D8B"/>
    <w:rsid w:val="00457F24"/>
    <w:rsid w:val="00461B37"/>
    <w:rsid w:val="004738B5"/>
    <w:rsid w:val="00475114"/>
    <w:rsid w:val="004774C0"/>
    <w:rsid w:val="00480521"/>
    <w:rsid w:val="00481267"/>
    <w:rsid w:val="00485805"/>
    <w:rsid w:val="00485BB6"/>
    <w:rsid w:val="00492B12"/>
    <w:rsid w:val="00494F8E"/>
    <w:rsid w:val="00497D6A"/>
    <w:rsid w:val="00497DB0"/>
    <w:rsid w:val="004A2B43"/>
    <w:rsid w:val="004A5FD0"/>
    <w:rsid w:val="004A60BA"/>
    <w:rsid w:val="004A64D1"/>
    <w:rsid w:val="004B0229"/>
    <w:rsid w:val="004B2A80"/>
    <w:rsid w:val="004B32A9"/>
    <w:rsid w:val="004B4AEE"/>
    <w:rsid w:val="004B584B"/>
    <w:rsid w:val="004B6477"/>
    <w:rsid w:val="004C0E0B"/>
    <w:rsid w:val="004C4D6B"/>
    <w:rsid w:val="004D1969"/>
    <w:rsid w:val="004D3C3E"/>
    <w:rsid w:val="004E0F45"/>
    <w:rsid w:val="004E198A"/>
    <w:rsid w:val="004E2834"/>
    <w:rsid w:val="004E2A24"/>
    <w:rsid w:val="004E53B0"/>
    <w:rsid w:val="004F0692"/>
    <w:rsid w:val="004F0B37"/>
    <w:rsid w:val="004F0C0D"/>
    <w:rsid w:val="004F15DB"/>
    <w:rsid w:val="004F2F0E"/>
    <w:rsid w:val="004F41EF"/>
    <w:rsid w:val="0050014B"/>
    <w:rsid w:val="00502736"/>
    <w:rsid w:val="00503269"/>
    <w:rsid w:val="00510B8B"/>
    <w:rsid w:val="00511905"/>
    <w:rsid w:val="00512CAD"/>
    <w:rsid w:val="00513468"/>
    <w:rsid w:val="005157B4"/>
    <w:rsid w:val="005168D5"/>
    <w:rsid w:val="00516EBB"/>
    <w:rsid w:val="005171C3"/>
    <w:rsid w:val="00517EF4"/>
    <w:rsid w:val="00525868"/>
    <w:rsid w:val="0053087E"/>
    <w:rsid w:val="00532C17"/>
    <w:rsid w:val="00545BAD"/>
    <w:rsid w:val="0055044E"/>
    <w:rsid w:val="00551CFA"/>
    <w:rsid w:val="00552F70"/>
    <w:rsid w:val="00563855"/>
    <w:rsid w:val="005653A5"/>
    <w:rsid w:val="005717E1"/>
    <w:rsid w:val="00571EB3"/>
    <w:rsid w:val="00573062"/>
    <w:rsid w:val="00573289"/>
    <w:rsid w:val="00573E12"/>
    <w:rsid w:val="00576598"/>
    <w:rsid w:val="005821BB"/>
    <w:rsid w:val="00582D9F"/>
    <w:rsid w:val="00584087"/>
    <w:rsid w:val="00584213"/>
    <w:rsid w:val="00584D15"/>
    <w:rsid w:val="00587010"/>
    <w:rsid w:val="00593151"/>
    <w:rsid w:val="0059472F"/>
    <w:rsid w:val="00594EA3"/>
    <w:rsid w:val="005A0E6E"/>
    <w:rsid w:val="005A531E"/>
    <w:rsid w:val="005A73A9"/>
    <w:rsid w:val="005B0B36"/>
    <w:rsid w:val="005B483F"/>
    <w:rsid w:val="005C0BAB"/>
    <w:rsid w:val="005C38CD"/>
    <w:rsid w:val="005C5B26"/>
    <w:rsid w:val="005D1CBE"/>
    <w:rsid w:val="005D3137"/>
    <w:rsid w:val="005D54CF"/>
    <w:rsid w:val="005D6CA4"/>
    <w:rsid w:val="005D6E01"/>
    <w:rsid w:val="005E1818"/>
    <w:rsid w:val="005E22D2"/>
    <w:rsid w:val="005E3190"/>
    <w:rsid w:val="005E4D0E"/>
    <w:rsid w:val="005E63A6"/>
    <w:rsid w:val="005F1D52"/>
    <w:rsid w:val="005F2A59"/>
    <w:rsid w:val="005F5C10"/>
    <w:rsid w:val="005F68D7"/>
    <w:rsid w:val="00602218"/>
    <w:rsid w:val="006036B6"/>
    <w:rsid w:val="00607F6F"/>
    <w:rsid w:val="006105DE"/>
    <w:rsid w:val="006142DF"/>
    <w:rsid w:val="00617ED2"/>
    <w:rsid w:val="00622E51"/>
    <w:rsid w:val="00634C4D"/>
    <w:rsid w:val="00642FBC"/>
    <w:rsid w:val="00643C33"/>
    <w:rsid w:val="00644C54"/>
    <w:rsid w:val="006515A9"/>
    <w:rsid w:val="00653E17"/>
    <w:rsid w:val="0065458D"/>
    <w:rsid w:val="00662CAC"/>
    <w:rsid w:val="00662DCC"/>
    <w:rsid w:val="00662F25"/>
    <w:rsid w:val="00670783"/>
    <w:rsid w:val="00672E14"/>
    <w:rsid w:val="00673B76"/>
    <w:rsid w:val="00675D54"/>
    <w:rsid w:val="00676179"/>
    <w:rsid w:val="00682C7E"/>
    <w:rsid w:val="00684052"/>
    <w:rsid w:val="00684CD4"/>
    <w:rsid w:val="00692548"/>
    <w:rsid w:val="0069532C"/>
    <w:rsid w:val="006A06DE"/>
    <w:rsid w:val="006A11C0"/>
    <w:rsid w:val="006A29CE"/>
    <w:rsid w:val="006A368C"/>
    <w:rsid w:val="006A7919"/>
    <w:rsid w:val="006B168E"/>
    <w:rsid w:val="006B30C3"/>
    <w:rsid w:val="006B79FA"/>
    <w:rsid w:val="006C1358"/>
    <w:rsid w:val="006C367B"/>
    <w:rsid w:val="006C50CB"/>
    <w:rsid w:val="006C6572"/>
    <w:rsid w:val="006C7E78"/>
    <w:rsid w:val="006D094B"/>
    <w:rsid w:val="006D7412"/>
    <w:rsid w:val="006E698F"/>
    <w:rsid w:val="006F1A08"/>
    <w:rsid w:val="006F4B7D"/>
    <w:rsid w:val="006F791B"/>
    <w:rsid w:val="007020FD"/>
    <w:rsid w:val="00703AD3"/>
    <w:rsid w:val="00704B5D"/>
    <w:rsid w:val="00706C7F"/>
    <w:rsid w:val="00710062"/>
    <w:rsid w:val="007104EF"/>
    <w:rsid w:val="00711D32"/>
    <w:rsid w:val="00712D3F"/>
    <w:rsid w:val="007217AA"/>
    <w:rsid w:val="00721889"/>
    <w:rsid w:val="00722186"/>
    <w:rsid w:val="0072268F"/>
    <w:rsid w:val="007233CE"/>
    <w:rsid w:val="00725ABD"/>
    <w:rsid w:val="00726AAE"/>
    <w:rsid w:val="00730770"/>
    <w:rsid w:val="00730DB7"/>
    <w:rsid w:val="0073324C"/>
    <w:rsid w:val="007402BF"/>
    <w:rsid w:val="00742C5C"/>
    <w:rsid w:val="00742D5B"/>
    <w:rsid w:val="007433B8"/>
    <w:rsid w:val="00744D03"/>
    <w:rsid w:val="00745BF5"/>
    <w:rsid w:val="00747EA1"/>
    <w:rsid w:val="007531D6"/>
    <w:rsid w:val="007545D2"/>
    <w:rsid w:val="00760F5E"/>
    <w:rsid w:val="007618B0"/>
    <w:rsid w:val="00765464"/>
    <w:rsid w:val="00766963"/>
    <w:rsid w:val="00770A11"/>
    <w:rsid w:val="00770A4B"/>
    <w:rsid w:val="00771623"/>
    <w:rsid w:val="00771E7B"/>
    <w:rsid w:val="0077206A"/>
    <w:rsid w:val="007807B5"/>
    <w:rsid w:val="007841FA"/>
    <w:rsid w:val="0078422F"/>
    <w:rsid w:val="0078589B"/>
    <w:rsid w:val="00785C2F"/>
    <w:rsid w:val="00786153"/>
    <w:rsid w:val="00786211"/>
    <w:rsid w:val="00787313"/>
    <w:rsid w:val="007967C2"/>
    <w:rsid w:val="007973FE"/>
    <w:rsid w:val="007A0174"/>
    <w:rsid w:val="007A1203"/>
    <w:rsid w:val="007A45D9"/>
    <w:rsid w:val="007A5E16"/>
    <w:rsid w:val="007B02CA"/>
    <w:rsid w:val="007B0724"/>
    <w:rsid w:val="007B28AB"/>
    <w:rsid w:val="007B5DF9"/>
    <w:rsid w:val="007B65BB"/>
    <w:rsid w:val="007C0100"/>
    <w:rsid w:val="007C732D"/>
    <w:rsid w:val="007D5428"/>
    <w:rsid w:val="007E349A"/>
    <w:rsid w:val="007E4BD8"/>
    <w:rsid w:val="007E5D66"/>
    <w:rsid w:val="007F632F"/>
    <w:rsid w:val="007F6CEC"/>
    <w:rsid w:val="007F7AA0"/>
    <w:rsid w:val="00802893"/>
    <w:rsid w:val="00811FDA"/>
    <w:rsid w:val="00813A62"/>
    <w:rsid w:val="008150CF"/>
    <w:rsid w:val="00815F14"/>
    <w:rsid w:val="00817BE0"/>
    <w:rsid w:val="008259E5"/>
    <w:rsid w:val="0082655F"/>
    <w:rsid w:val="00826CA7"/>
    <w:rsid w:val="008301A4"/>
    <w:rsid w:val="00832B89"/>
    <w:rsid w:val="00833B8C"/>
    <w:rsid w:val="008365B5"/>
    <w:rsid w:val="00837884"/>
    <w:rsid w:val="00844974"/>
    <w:rsid w:val="00846D4B"/>
    <w:rsid w:val="0085125F"/>
    <w:rsid w:val="00852FF1"/>
    <w:rsid w:val="00854DD1"/>
    <w:rsid w:val="00856376"/>
    <w:rsid w:val="0086095A"/>
    <w:rsid w:val="00860CDF"/>
    <w:rsid w:val="00860DA9"/>
    <w:rsid w:val="0086334F"/>
    <w:rsid w:val="00864712"/>
    <w:rsid w:val="0086653F"/>
    <w:rsid w:val="008730E4"/>
    <w:rsid w:val="00874C97"/>
    <w:rsid w:val="00876610"/>
    <w:rsid w:val="0088149D"/>
    <w:rsid w:val="00885B07"/>
    <w:rsid w:val="00887B13"/>
    <w:rsid w:val="00890B59"/>
    <w:rsid w:val="0089489E"/>
    <w:rsid w:val="00894EF0"/>
    <w:rsid w:val="008977A6"/>
    <w:rsid w:val="008A1028"/>
    <w:rsid w:val="008A1B3F"/>
    <w:rsid w:val="008A3ADD"/>
    <w:rsid w:val="008A4B6E"/>
    <w:rsid w:val="008A55C8"/>
    <w:rsid w:val="008A5BE0"/>
    <w:rsid w:val="008A6323"/>
    <w:rsid w:val="008B2795"/>
    <w:rsid w:val="008B361A"/>
    <w:rsid w:val="008B65FB"/>
    <w:rsid w:val="008B67FC"/>
    <w:rsid w:val="008C024E"/>
    <w:rsid w:val="008C1A41"/>
    <w:rsid w:val="008C3367"/>
    <w:rsid w:val="008C3CCB"/>
    <w:rsid w:val="008D1044"/>
    <w:rsid w:val="008D41DE"/>
    <w:rsid w:val="008D444F"/>
    <w:rsid w:val="008E6FF0"/>
    <w:rsid w:val="008E7A2B"/>
    <w:rsid w:val="008F0180"/>
    <w:rsid w:val="008F3E78"/>
    <w:rsid w:val="008F45CA"/>
    <w:rsid w:val="008F70F6"/>
    <w:rsid w:val="009019E9"/>
    <w:rsid w:val="009021BA"/>
    <w:rsid w:val="00902ACB"/>
    <w:rsid w:val="00906CCA"/>
    <w:rsid w:val="00914143"/>
    <w:rsid w:val="00915E6F"/>
    <w:rsid w:val="0092134E"/>
    <w:rsid w:val="00922881"/>
    <w:rsid w:val="00923375"/>
    <w:rsid w:val="00924775"/>
    <w:rsid w:val="00925A6B"/>
    <w:rsid w:val="00934B73"/>
    <w:rsid w:val="009435D3"/>
    <w:rsid w:val="00945FA9"/>
    <w:rsid w:val="009509F3"/>
    <w:rsid w:val="009510CB"/>
    <w:rsid w:val="00951A76"/>
    <w:rsid w:val="00953906"/>
    <w:rsid w:val="009602DC"/>
    <w:rsid w:val="00960DA5"/>
    <w:rsid w:val="00963EDF"/>
    <w:rsid w:val="009667A6"/>
    <w:rsid w:val="00971638"/>
    <w:rsid w:val="00971695"/>
    <w:rsid w:val="00975830"/>
    <w:rsid w:val="009845A3"/>
    <w:rsid w:val="00985510"/>
    <w:rsid w:val="00985768"/>
    <w:rsid w:val="00986AA9"/>
    <w:rsid w:val="00990236"/>
    <w:rsid w:val="0099048E"/>
    <w:rsid w:val="00991227"/>
    <w:rsid w:val="00991729"/>
    <w:rsid w:val="00992B07"/>
    <w:rsid w:val="00994240"/>
    <w:rsid w:val="00997979"/>
    <w:rsid w:val="009A41F4"/>
    <w:rsid w:val="009A44D9"/>
    <w:rsid w:val="009A5DA5"/>
    <w:rsid w:val="009A655A"/>
    <w:rsid w:val="009B3D7F"/>
    <w:rsid w:val="009B66B7"/>
    <w:rsid w:val="009B6CF2"/>
    <w:rsid w:val="009B712C"/>
    <w:rsid w:val="009C0964"/>
    <w:rsid w:val="009C1391"/>
    <w:rsid w:val="009C16B6"/>
    <w:rsid w:val="009C51C5"/>
    <w:rsid w:val="009C70E6"/>
    <w:rsid w:val="009D0357"/>
    <w:rsid w:val="009D0845"/>
    <w:rsid w:val="009D12B6"/>
    <w:rsid w:val="009E035A"/>
    <w:rsid w:val="009E77E1"/>
    <w:rsid w:val="009E7CF0"/>
    <w:rsid w:val="009F02EB"/>
    <w:rsid w:val="009F179F"/>
    <w:rsid w:val="009F7D37"/>
    <w:rsid w:val="00A001B5"/>
    <w:rsid w:val="00A066DB"/>
    <w:rsid w:val="00A07047"/>
    <w:rsid w:val="00A106B4"/>
    <w:rsid w:val="00A14789"/>
    <w:rsid w:val="00A20498"/>
    <w:rsid w:val="00A20FD1"/>
    <w:rsid w:val="00A23D01"/>
    <w:rsid w:val="00A25AFC"/>
    <w:rsid w:val="00A26B21"/>
    <w:rsid w:val="00A31E54"/>
    <w:rsid w:val="00A329A3"/>
    <w:rsid w:val="00A41A01"/>
    <w:rsid w:val="00A438DA"/>
    <w:rsid w:val="00A44318"/>
    <w:rsid w:val="00A45FF9"/>
    <w:rsid w:val="00A501D5"/>
    <w:rsid w:val="00A528F9"/>
    <w:rsid w:val="00A54F78"/>
    <w:rsid w:val="00A56E71"/>
    <w:rsid w:val="00A5797F"/>
    <w:rsid w:val="00A62F67"/>
    <w:rsid w:val="00A63522"/>
    <w:rsid w:val="00A638BA"/>
    <w:rsid w:val="00A64F96"/>
    <w:rsid w:val="00A6519D"/>
    <w:rsid w:val="00A66719"/>
    <w:rsid w:val="00A8275B"/>
    <w:rsid w:val="00A82BB7"/>
    <w:rsid w:val="00A8322C"/>
    <w:rsid w:val="00A84254"/>
    <w:rsid w:val="00A8470D"/>
    <w:rsid w:val="00A86930"/>
    <w:rsid w:val="00A92144"/>
    <w:rsid w:val="00A932C8"/>
    <w:rsid w:val="00A94967"/>
    <w:rsid w:val="00AA341C"/>
    <w:rsid w:val="00AA4F7E"/>
    <w:rsid w:val="00AA7AAB"/>
    <w:rsid w:val="00AA7B0A"/>
    <w:rsid w:val="00AB06FA"/>
    <w:rsid w:val="00AB3F69"/>
    <w:rsid w:val="00AB4D39"/>
    <w:rsid w:val="00AB54E5"/>
    <w:rsid w:val="00AB58A9"/>
    <w:rsid w:val="00AC0134"/>
    <w:rsid w:val="00AD6D9C"/>
    <w:rsid w:val="00AD7F23"/>
    <w:rsid w:val="00AD7F3C"/>
    <w:rsid w:val="00AE0236"/>
    <w:rsid w:val="00AE1993"/>
    <w:rsid w:val="00AE3615"/>
    <w:rsid w:val="00AE369C"/>
    <w:rsid w:val="00AE3877"/>
    <w:rsid w:val="00AE4FE7"/>
    <w:rsid w:val="00AE5A44"/>
    <w:rsid w:val="00AE6161"/>
    <w:rsid w:val="00AE78DB"/>
    <w:rsid w:val="00AF0A17"/>
    <w:rsid w:val="00AF2889"/>
    <w:rsid w:val="00AF76CA"/>
    <w:rsid w:val="00AF7B6D"/>
    <w:rsid w:val="00B02B85"/>
    <w:rsid w:val="00B02CAE"/>
    <w:rsid w:val="00B032CF"/>
    <w:rsid w:val="00B040F4"/>
    <w:rsid w:val="00B06B54"/>
    <w:rsid w:val="00B06BAE"/>
    <w:rsid w:val="00B1229D"/>
    <w:rsid w:val="00B13B3A"/>
    <w:rsid w:val="00B159F7"/>
    <w:rsid w:val="00B217D6"/>
    <w:rsid w:val="00B21F1C"/>
    <w:rsid w:val="00B231CE"/>
    <w:rsid w:val="00B23B40"/>
    <w:rsid w:val="00B25242"/>
    <w:rsid w:val="00B26C68"/>
    <w:rsid w:val="00B30010"/>
    <w:rsid w:val="00B30288"/>
    <w:rsid w:val="00B31D37"/>
    <w:rsid w:val="00B32436"/>
    <w:rsid w:val="00B40CD3"/>
    <w:rsid w:val="00B41390"/>
    <w:rsid w:val="00B4367B"/>
    <w:rsid w:val="00B44617"/>
    <w:rsid w:val="00B45E78"/>
    <w:rsid w:val="00B45FBC"/>
    <w:rsid w:val="00B5013F"/>
    <w:rsid w:val="00B501DF"/>
    <w:rsid w:val="00B50F5E"/>
    <w:rsid w:val="00B51071"/>
    <w:rsid w:val="00B51E04"/>
    <w:rsid w:val="00B51F79"/>
    <w:rsid w:val="00B539E3"/>
    <w:rsid w:val="00B53ED8"/>
    <w:rsid w:val="00B551E3"/>
    <w:rsid w:val="00B55A60"/>
    <w:rsid w:val="00B56B94"/>
    <w:rsid w:val="00B56F30"/>
    <w:rsid w:val="00B57A5E"/>
    <w:rsid w:val="00B57D97"/>
    <w:rsid w:val="00B624E6"/>
    <w:rsid w:val="00B62F28"/>
    <w:rsid w:val="00B65AAF"/>
    <w:rsid w:val="00B665DC"/>
    <w:rsid w:val="00B70E55"/>
    <w:rsid w:val="00B7459C"/>
    <w:rsid w:val="00B756B8"/>
    <w:rsid w:val="00B76AE2"/>
    <w:rsid w:val="00B85752"/>
    <w:rsid w:val="00B863A6"/>
    <w:rsid w:val="00B868DD"/>
    <w:rsid w:val="00B94BF9"/>
    <w:rsid w:val="00B95F70"/>
    <w:rsid w:val="00BA09F8"/>
    <w:rsid w:val="00BA4655"/>
    <w:rsid w:val="00BA5821"/>
    <w:rsid w:val="00BA6518"/>
    <w:rsid w:val="00BB108F"/>
    <w:rsid w:val="00BC05AF"/>
    <w:rsid w:val="00BC1430"/>
    <w:rsid w:val="00BC2766"/>
    <w:rsid w:val="00BC5BFA"/>
    <w:rsid w:val="00BD0CB3"/>
    <w:rsid w:val="00BD1121"/>
    <w:rsid w:val="00BD1685"/>
    <w:rsid w:val="00BD516C"/>
    <w:rsid w:val="00BE0BE7"/>
    <w:rsid w:val="00BE3075"/>
    <w:rsid w:val="00BE3CC2"/>
    <w:rsid w:val="00BF0146"/>
    <w:rsid w:val="00BF17E1"/>
    <w:rsid w:val="00BF3B10"/>
    <w:rsid w:val="00BF42DD"/>
    <w:rsid w:val="00C01777"/>
    <w:rsid w:val="00C01A55"/>
    <w:rsid w:val="00C03DC2"/>
    <w:rsid w:val="00C141AD"/>
    <w:rsid w:val="00C15776"/>
    <w:rsid w:val="00C17592"/>
    <w:rsid w:val="00C2060B"/>
    <w:rsid w:val="00C219DD"/>
    <w:rsid w:val="00C21C41"/>
    <w:rsid w:val="00C2521F"/>
    <w:rsid w:val="00C25ACC"/>
    <w:rsid w:val="00C265ED"/>
    <w:rsid w:val="00C27B12"/>
    <w:rsid w:val="00C31EDE"/>
    <w:rsid w:val="00C3277B"/>
    <w:rsid w:val="00C35214"/>
    <w:rsid w:val="00C35577"/>
    <w:rsid w:val="00C40889"/>
    <w:rsid w:val="00C42BE0"/>
    <w:rsid w:val="00C46565"/>
    <w:rsid w:val="00C479DB"/>
    <w:rsid w:val="00C50740"/>
    <w:rsid w:val="00C522BA"/>
    <w:rsid w:val="00C53D6F"/>
    <w:rsid w:val="00C543B6"/>
    <w:rsid w:val="00C54BFE"/>
    <w:rsid w:val="00C55F13"/>
    <w:rsid w:val="00C5715F"/>
    <w:rsid w:val="00C57BF0"/>
    <w:rsid w:val="00C65A0E"/>
    <w:rsid w:val="00C65BD6"/>
    <w:rsid w:val="00C720A8"/>
    <w:rsid w:val="00C726FE"/>
    <w:rsid w:val="00C76FB3"/>
    <w:rsid w:val="00C7748D"/>
    <w:rsid w:val="00C8032B"/>
    <w:rsid w:val="00C82509"/>
    <w:rsid w:val="00C8420C"/>
    <w:rsid w:val="00C85199"/>
    <w:rsid w:val="00C85AAA"/>
    <w:rsid w:val="00C87343"/>
    <w:rsid w:val="00C92CA9"/>
    <w:rsid w:val="00CA1800"/>
    <w:rsid w:val="00CA2C74"/>
    <w:rsid w:val="00CA3D0A"/>
    <w:rsid w:val="00CB32A7"/>
    <w:rsid w:val="00CB754A"/>
    <w:rsid w:val="00CC108A"/>
    <w:rsid w:val="00CC7A02"/>
    <w:rsid w:val="00CD1D09"/>
    <w:rsid w:val="00CE3A02"/>
    <w:rsid w:val="00CE5544"/>
    <w:rsid w:val="00CE6404"/>
    <w:rsid w:val="00CF46C6"/>
    <w:rsid w:val="00CF4DF7"/>
    <w:rsid w:val="00CF7729"/>
    <w:rsid w:val="00D019CC"/>
    <w:rsid w:val="00D01CF5"/>
    <w:rsid w:val="00D02DB8"/>
    <w:rsid w:val="00D03039"/>
    <w:rsid w:val="00D045D5"/>
    <w:rsid w:val="00D05BB6"/>
    <w:rsid w:val="00D06239"/>
    <w:rsid w:val="00D06C67"/>
    <w:rsid w:val="00D07A51"/>
    <w:rsid w:val="00D10BEB"/>
    <w:rsid w:val="00D11E3A"/>
    <w:rsid w:val="00D16EC4"/>
    <w:rsid w:val="00D205D0"/>
    <w:rsid w:val="00D20E1D"/>
    <w:rsid w:val="00D301B6"/>
    <w:rsid w:val="00D3253F"/>
    <w:rsid w:val="00D327E2"/>
    <w:rsid w:val="00D3451B"/>
    <w:rsid w:val="00D36DE1"/>
    <w:rsid w:val="00D413D3"/>
    <w:rsid w:val="00D479D5"/>
    <w:rsid w:val="00D47BAC"/>
    <w:rsid w:val="00D564C6"/>
    <w:rsid w:val="00D631D6"/>
    <w:rsid w:val="00D6347D"/>
    <w:rsid w:val="00D644FB"/>
    <w:rsid w:val="00D65D0E"/>
    <w:rsid w:val="00D76EC6"/>
    <w:rsid w:val="00D84841"/>
    <w:rsid w:val="00D8490D"/>
    <w:rsid w:val="00D84BAC"/>
    <w:rsid w:val="00D85317"/>
    <w:rsid w:val="00D85432"/>
    <w:rsid w:val="00D8549F"/>
    <w:rsid w:val="00D857C5"/>
    <w:rsid w:val="00D864C0"/>
    <w:rsid w:val="00D86876"/>
    <w:rsid w:val="00D87798"/>
    <w:rsid w:val="00D916AA"/>
    <w:rsid w:val="00D94F14"/>
    <w:rsid w:val="00D95C1E"/>
    <w:rsid w:val="00D97CAE"/>
    <w:rsid w:val="00DA2583"/>
    <w:rsid w:val="00DA2B99"/>
    <w:rsid w:val="00DA7694"/>
    <w:rsid w:val="00DB39B3"/>
    <w:rsid w:val="00DB6B70"/>
    <w:rsid w:val="00DB77E5"/>
    <w:rsid w:val="00DC0068"/>
    <w:rsid w:val="00DC016F"/>
    <w:rsid w:val="00DC594F"/>
    <w:rsid w:val="00DC7EE4"/>
    <w:rsid w:val="00DD165B"/>
    <w:rsid w:val="00DD3B6E"/>
    <w:rsid w:val="00DD5689"/>
    <w:rsid w:val="00DD7541"/>
    <w:rsid w:val="00DD756E"/>
    <w:rsid w:val="00DE039D"/>
    <w:rsid w:val="00DE1A54"/>
    <w:rsid w:val="00DE4719"/>
    <w:rsid w:val="00DE7871"/>
    <w:rsid w:val="00DF1F9C"/>
    <w:rsid w:val="00DF2594"/>
    <w:rsid w:val="00E01AA9"/>
    <w:rsid w:val="00E02EDF"/>
    <w:rsid w:val="00E0361A"/>
    <w:rsid w:val="00E059A9"/>
    <w:rsid w:val="00E0755A"/>
    <w:rsid w:val="00E07A1D"/>
    <w:rsid w:val="00E10EEA"/>
    <w:rsid w:val="00E12808"/>
    <w:rsid w:val="00E153F2"/>
    <w:rsid w:val="00E16776"/>
    <w:rsid w:val="00E1692E"/>
    <w:rsid w:val="00E16C70"/>
    <w:rsid w:val="00E1729A"/>
    <w:rsid w:val="00E17E65"/>
    <w:rsid w:val="00E2050D"/>
    <w:rsid w:val="00E3218C"/>
    <w:rsid w:val="00E34535"/>
    <w:rsid w:val="00E350CD"/>
    <w:rsid w:val="00E35C7D"/>
    <w:rsid w:val="00E42454"/>
    <w:rsid w:val="00E454C2"/>
    <w:rsid w:val="00E46EBC"/>
    <w:rsid w:val="00E50E95"/>
    <w:rsid w:val="00E52942"/>
    <w:rsid w:val="00E54957"/>
    <w:rsid w:val="00E62AEF"/>
    <w:rsid w:val="00E63D3D"/>
    <w:rsid w:val="00E65443"/>
    <w:rsid w:val="00E70425"/>
    <w:rsid w:val="00E71546"/>
    <w:rsid w:val="00E7527A"/>
    <w:rsid w:val="00E75B15"/>
    <w:rsid w:val="00E76268"/>
    <w:rsid w:val="00E76B62"/>
    <w:rsid w:val="00E76EE1"/>
    <w:rsid w:val="00E770D7"/>
    <w:rsid w:val="00E81F72"/>
    <w:rsid w:val="00E8331E"/>
    <w:rsid w:val="00E84B55"/>
    <w:rsid w:val="00E8647F"/>
    <w:rsid w:val="00E870EB"/>
    <w:rsid w:val="00E90AFE"/>
    <w:rsid w:val="00E91EC7"/>
    <w:rsid w:val="00E96BA3"/>
    <w:rsid w:val="00EA0987"/>
    <w:rsid w:val="00EA5644"/>
    <w:rsid w:val="00EA64C4"/>
    <w:rsid w:val="00EA6B24"/>
    <w:rsid w:val="00EB403B"/>
    <w:rsid w:val="00EB4AB3"/>
    <w:rsid w:val="00EB6C94"/>
    <w:rsid w:val="00EC1536"/>
    <w:rsid w:val="00EC48CC"/>
    <w:rsid w:val="00EC5C7D"/>
    <w:rsid w:val="00EC7850"/>
    <w:rsid w:val="00ED04F8"/>
    <w:rsid w:val="00ED46B6"/>
    <w:rsid w:val="00EE2F16"/>
    <w:rsid w:val="00EE7401"/>
    <w:rsid w:val="00EF030D"/>
    <w:rsid w:val="00EF424A"/>
    <w:rsid w:val="00EF4407"/>
    <w:rsid w:val="00EF59A4"/>
    <w:rsid w:val="00EF5EE7"/>
    <w:rsid w:val="00EF68AC"/>
    <w:rsid w:val="00EF6EF1"/>
    <w:rsid w:val="00F00E47"/>
    <w:rsid w:val="00F01D36"/>
    <w:rsid w:val="00F03ABF"/>
    <w:rsid w:val="00F221DC"/>
    <w:rsid w:val="00F255FF"/>
    <w:rsid w:val="00F25A0A"/>
    <w:rsid w:val="00F2608D"/>
    <w:rsid w:val="00F3025D"/>
    <w:rsid w:val="00F314E7"/>
    <w:rsid w:val="00F330FA"/>
    <w:rsid w:val="00F35ACA"/>
    <w:rsid w:val="00F36521"/>
    <w:rsid w:val="00F36C83"/>
    <w:rsid w:val="00F375F7"/>
    <w:rsid w:val="00F41D83"/>
    <w:rsid w:val="00F46724"/>
    <w:rsid w:val="00F468F2"/>
    <w:rsid w:val="00F50379"/>
    <w:rsid w:val="00F507DB"/>
    <w:rsid w:val="00F5581C"/>
    <w:rsid w:val="00F5582B"/>
    <w:rsid w:val="00F560A6"/>
    <w:rsid w:val="00F56540"/>
    <w:rsid w:val="00F653DE"/>
    <w:rsid w:val="00F7039E"/>
    <w:rsid w:val="00F7134F"/>
    <w:rsid w:val="00F71373"/>
    <w:rsid w:val="00F713EC"/>
    <w:rsid w:val="00F732B8"/>
    <w:rsid w:val="00F73A7D"/>
    <w:rsid w:val="00F741A7"/>
    <w:rsid w:val="00F92A4A"/>
    <w:rsid w:val="00F9698D"/>
    <w:rsid w:val="00F96BC1"/>
    <w:rsid w:val="00FA0DDF"/>
    <w:rsid w:val="00FA147E"/>
    <w:rsid w:val="00FA1545"/>
    <w:rsid w:val="00FA2A00"/>
    <w:rsid w:val="00FA4B55"/>
    <w:rsid w:val="00FB1B6F"/>
    <w:rsid w:val="00FB1DB0"/>
    <w:rsid w:val="00FB31DF"/>
    <w:rsid w:val="00FB53B9"/>
    <w:rsid w:val="00FB5BE0"/>
    <w:rsid w:val="00FC02A9"/>
    <w:rsid w:val="00FC060D"/>
    <w:rsid w:val="00FC4AEE"/>
    <w:rsid w:val="00FC672E"/>
    <w:rsid w:val="00FC6CE4"/>
    <w:rsid w:val="00FC7A6B"/>
    <w:rsid w:val="00FD1E6B"/>
    <w:rsid w:val="00FD247C"/>
    <w:rsid w:val="00FD2C12"/>
    <w:rsid w:val="00FD2E1C"/>
    <w:rsid w:val="00FD731A"/>
    <w:rsid w:val="00FE07C3"/>
    <w:rsid w:val="00FE5384"/>
    <w:rsid w:val="00FE5E27"/>
    <w:rsid w:val="00FE5E3B"/>
    <w:rsid w:val="00FE7278"/>
    <w:rsid w:val="00FF05BE"/>
    <w:rsid w:val="00FF37E6"/>
    <w:rsid w:val="00FF3ADC"/>
    <w:rsid w:val="00FF41DA"/>
    <w:rsid w:val="00FF4533"/>
    <w:rsid w:val="00FF75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paragraph" w:styleId="NormalWeb">
    <w:name w:val="Normal (Web)"/>
    <w:basedOn w:val="Normal"/>
    <w:uiPriority w:val="99"/>
    <w:semiHidden/>
    <w:unhideWhenUsed/>
    <w:rsid w:val="008365B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rteindent1">
    <w:name w:val="rteindent1"/>
    <w:basedOn w:val="Normal"/>
    <w:rsid w:val="008365B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2019-10-08T18:30:00+00:00</Judgment_x0020_Date>
    <Year xmlns="63bdd487-88aa-4c54-b893-ddaa81ed2e7c">2019</Year>
  </documentManagement>
</p:properties>
</file>

<file path=customXml/itemProps1.xml><?xml version="1.0" encoding="utf-8"?>
<ds:datastoreItem xmlns:ds="http://schemas.openxmlformats.org/officeDocument/2006/customXml" ds:itemID="{22AF7B89-B066-4034-B000-0153655CB31F}"/>
</file>

<file path=customXml/itemProps2.xml><?xml version="1.0" encoding="utf-8"?>
<ds:datastoreItem xmlns:ds="http://schemas.openxmlformats.org/officeDocument/2006/customXml" ds:itemID="{5C1931C9-C327-488A-8E36-135B4403B7FB}"/>
</file>

<file path=customXml/itemProps3.xml><?xml version="1.0" encoding="utf-8"?>
<ds:datastoreItem xmlns:ds="http://schemas.openxmlformats.org/officeDocument/2006/customXml" ds:itemID="{70172F63-F939-426D-A3B8-CE248E82040D}"/>
</file>

<file path=customXml/itemProps4.xml><?xml version="1.0" encoding="utf-8"?>
<ds:datastoreItem xmlns:ds="http://schemas.openxmlformats.org/officeDocument/2006/customXml" ds:itemID="{18C393BA-05BC-4BF4-A974-AE81213F5A61}"/>
</file>

<file path=docProps/app.xml><?xml version="1.0" encoding="utf-8"?>
<Properties xmlns="http://schemas.openxmlformats.org/officeDocument/2006/extended-properties" xmlns:vt="http://schemas.openxmlformats.org/officeDocument/2006/docPropsVTypes">
  <Template>Normal</Template>
  <TotalTime>0</TotalTime>
  <Pages>13</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Lotta N. Ambunda</cp:lastModifiedBy>
  <cp:revision>2</cp:revision>
  <cp:lastPrinted>2019-10-07T13:57:00Z</cp:lastPrinted>
  <dcterms:created xsi:type="dcterms:W3CDTF">2019-10-10T10:29:00Z</dcterms:created>
  <dcterms:modified xsi:type="dcterms:W3CDTF">2019-10-10T10:29:00Z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