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9E" w:rsidRPr="006A55DD" w:rsidRDefault="0013079E" w:rsidP="0013079E">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25A3F18E" wp14:editId="1D76974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13079E" w:rsidRDefault="005E5408" w:rsidP="0013079E">
      <w:pPr>
        <w:pStyle w:val="NoSpacing"/>
        <w:jc w:val="right"/>
        <w:rPr>
          <w:rFonts w:ascii="Arial" w:hAnsi="Arial" w:cs="Arial"/>
          <w:b/>
          <w:sz w:val="24"/>
          <w:szCs w:val="24"/>
        </w:rPr>
      </w:pPr>
      <w:r>
        <w:rPr>
          <w:rFonts w:ascii="Arial" w:hAnsi="Arial" w:cs="Arial"/>
          <w:b/>
          <w:sz w:val="24"/>
          <w:szCs w:val="24"/>
        </w:rPr>
        <w:t>REPORTABLE</w:t>
      </w:r>
    </w:p>
    <w:p w:rsidR="0013079E" w:rsidRDefault="0013079E" w:rsidP="0013079E">
      <w:pPr>
        <w:pStyle w:val="NoSpacing"/>
        <w:jc w:val="right"/>
        <w:rPr>
          <w:rFonts w:ascii="Arial" w:hAnsi="Arial" w:cs="Arial"/>
          <w:sz w:val="24"/>
          <w:szCs w:val="24"/>
        </w:rPr>
      </w:pPr>
    </w:p>
    <w:p w:rsidR="0013079E" w:rsidRDefault="0013079E" w:rsidP="0013079E">
      <w:pPr>
        <w:pStyle w:val="NoSpacing"/>
        <w:jc w:val="right"/>
        <w:rPr>
          <w:rFonts w:ascii="Arial" w:hAnsi="Arial" w:cs="Arial"/>
          <w:sz w:val="24"/>
          <w:szCs w:val="24"/>
        </w:rPr>
      </w:pPr>
      <w:r>
        <w:rPr>
          <w:rFonts w:ascii="Arial" w:hAnsi="Arial" w:cs="Arial"/>
          <w:sz w:val="24"/>
          <w:szCs w:val="24"/>
        </w:rPr>
        <w:t>CASE NO: SA 10/2018</w:t>
      </w:r>
    </w:p>
    <w:p w:rsidR="0013079E" w:rsidRDefault="0013079E" w:rsidP="0013079E">
      <w:pPr>
        <w:pStyle w:val="NoSpacing"/>
        <w:rPr>
          <w:rFonts w:ascii="Arial" w:hAnsi="Arial" w:cs="Arial"/>
          <w:sz w:val="24"/>
          <w:szCs w:val="24"/>
        </w:rPr>
      </w:pPr>
    </w:p>
    <w:p w:rsidR="0013079E" w:rsidRPr="00991107" w:rsidRDefault="0013079E" w:rsidP="0013079E">
      <w:pPr>
        <w:pStyle w:val="NoSpacing"/>
        <w:rPr>
          <w:rFonts w:ascii="Arial" w:hAnsi="Arial" w:cs="Arial"/>
          <w:sz w:val="24"/>
          <w:szCs w:val="24"/>
        </w:rPr>
      </w:pPr>
    </w:p>
    <w:p w:rsidR="0013079E" w:rsidRPr="00970591" w:rsidRDefault="0013079E" w:rsidP="0013079E">
      <w:pPr>
        <w:pStyle w:val="NoSpacing"/>
        <w:rPr>
          <w:rFonts w:ascii="Arial" w:hAnsi="Arial" w:cs="Arial"/>
          <w:b/>
          <w:sz w:val="24"/>
          <w:szCs w:val="24"/>
        </w:rPr>
      </w:pPr>
      <w:r w:rsidRPr="00970591">
        <w:rPr>
          <w:rFonts w:ascii="Arial" w:hAnsi="Arial" w:cs="Arial"/>
          <w:b/>
          <w:sz w:val="24"/>
          <w:szCs w:val="24"/>
        </w:rPr>
        <w:t>IN THE SUPREME COURT OF NAMIBIA</w:t>
      </w:r>
    </w:p>
    <w:p w:rsidR="0013079E" w:rsidRDefault="0013079E" w:rsidP="0013079E">
      <w:pPr>
        <w:pStyle w:val="NoSpacing"/>
        <w:rPr>
          <w:rFonts w:ascii="Arial" w:hAnsi="Arial" w:cs="Arial"/>
          <w:sz w:val="24"/>
          <w:szCs w:val="24"/>
        </w:rPr>
      </w:pPr>
    </w:p>
    <w:p w:rsidR="0013079E" w:rsidRDefault="0013079E" w:rsidP="0013079E">
      <w:pPr>
        <w:pStyle w:val="NoSpacing"/>
        <w:rPr>
          <w:rFonts w:ascii="Arial" w:hAnsi="Arial" w:cs="Arial"/>
          <w:sz w:val="24"/>
          <w:szCs w:val="24"/>
        </w:rPr>
      </w:pPr>
    </w:p>
    <w:p w:rsidR="0013079E" w:rsidRDefault="0013079E" w:rsidP="0013079E">
      <w:pPr>
        <w:pStyle w:val="NoSpacing"/>
        <w:rPr>
          <w:rFonts w:ascii="Arial" w:hAnsi="Arial" w:cs="Arial"/>
          <w:sz w:val="24"/>
          <w:szCs w:val="24"/>
        </w:rPr>
      </w:pPr>
      <w:r>
        <w:rPr>
          <w:rFonts w:ascii="Arial" w:hAnsi="Arial" w:cs="Arial"/>
          <w:sz w:val="24"/>
          <w:szCs w:val="24"/>
        </w:rPr>
        <w:t>In the matter between:</w:t>
      </w:r>
    </w:p>
    <w:p w:rsidR="0013079E" w:rsidRDefault="0013079E" w:rsidP="0013079E">
      <w:pPr>
        <w:pStyle w:val="NoSpacing"/>
        <w:rPr>
          <w:rFonts w:ascii="Arial" w:hAnsi="Arial" w:cs="Arial"/>
          <w:sz w:val="24"/>
          <w:szCs w:val="24"/>
        </w:rPr>
      </w:pPr>
    </w:p>
    <w:p w:rsidR="0013079E" w:rsidRPr="00991107" w:rsidRDefault="0013079E" w:rsidP="0013079E">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62"/>
      </w:tblGrid>
      <w:tr w:rsidR="001545B0" w:rsidTr="00B10C0A">
        <w:tc>
          <w:tcPr>
            <w:tcW w:w="5949" w:type="dxa"/>
          </w:tcPr>
          <w:p w:rsidR="00564133" w:rsidRDefault="0074468D" w:rsidP="00B10C0A">
            <w:pPr>
              <w:pStyle w:val="NoSpacing"/>
              <w:spacing w:line="276" w:lineRule="auto"/>
              <w:ind w:left="-113"/>
              <w:rPr>
                <w:rFonts w:ascii="Arial" w:hAnsi="Arial" w:cs="Arial"/>
                <w:b/>
                <w:sz w:val="24"/>
                <w:szCs w:val="24"/>
              </w:rPr>
            </w:pPr>
            <w:r>
              <w:rPr>
                <w:rFonts w:ascii="Arial" w:hAnsi="Arial" w:cs="Arial"/>
                <w:b/>
                <w:sz w:val="24"/>
                <w:szCs w:val="24"/>
              </w:rPr>
              <w:t>BABYFACE CIVILS CC JV HENNIMMA</w:t>
            </w:r>
          </w:p>
          <w:p w:rsidR="001545B0" w:rsidRPr="001545B0" w:rsidRDefault="001545B0" w:rsidP="00B10C0A">
            <w:pPr>
              <w:pStyle w:val="NoSpacing"/>
              <w:spacing w:line="276" w:lineRule="auto"/>
              <w:ind w:left="-113"/>
              <w:rPr>
                <w:rFonts w:ascii="Arial" w:hAnsi="Arial" w:cs="Arial"/>
                <w:b/>
                <w:sz w:val="24"/>
                <w:szCs w:val="24"/>
              </w:rPr>
            </w:pPr>
            <w:r w:rsidRPr="001545B0">
              <w:rPr>
                <w:rFonts w:ascii="Arial" w:hAnsi="Arial" w:cs="Arial"/>
                <w:b/>
                <w:sz w:val="24"/>
                <w:szCs w:val="24"/>
              </w:rPr>
              <w:t>INVESTMENTS CC</w:t>
            </w:r>
          </w:p>
        </w:tc>
        <w:tc>
          <w:tcPr>
            <w:tcW w:w="3162" w:type="dxa"/>
          </w:tcPr>
          <w:p w:rsidR="001545B0" w:rsidRPr="001545B0" w:rsidRDefault="001545B0" w:rsidP="00B10C0A">
            <w:pPr>
              <w:pStyle w:val="NoSpacing"/>
              <w:spacing w:line="276" w:lineRule="auto"/>
              <w:jc w:val="right"/>
              <w:rPr>
                <w:rFonts w:ascii="Arial" w:hAnsi="Arial" w:cs="Arial"/>
                <w:b/>
                <w:sz w:val="24"/>
                <w:szCs w:val="24"/>
              </w:rPr>
            </w:pPr>
          </w:p>
          <w:p w:rsidR="001545B0" w:rsidRPr="001545B0" w:rsidRDefault="001545B0" w:rsidP="00B10C0A">
            <w:pPr>
              <w:pStyle w:val="NoSpacing"/>
              <w:spacing w:line="276" w:lineRule="auto"/>
              <w:jc w:val="right"/>
              <w:rPr>
                <w:rFonts w:ascii="Arial" w:hAnsi="Arial" w:cs="Arial"/>
                <w:b/>
                <w:sz w:val="24"/>
                <w:szCs w:val="24"/>
              </w:rPr>
            </w:pPr>
            <w:r w:rsidRPr="001545B0">
              <w:rPr>
                <w:rFonts w:ascii="Arial" w:hAnsi="Arial" w:cs="Arial"/>
                <w:b/>
                <w:sz w:val="24"/>
                <w:szCs w:val="24"/>
              </w:rPr>
              <w:t>First Appellant</w:t>
            </w:r>
          </w:p>
        </w:tc>
      </w:tr>
      <w:tr w:rsidR="001545B0" w:rsidTr="00B10C0A">
        <w:tc>
          <w:tcPr>
            <w:tcW w:w="5949" w:type="dxa"/>
          </w:tcPr>
          <w:p w:rsidR="001545B0" w:rsidRPr="001545B0" w:rsidRDefault="001545B0" w:rsidP="00B10C0A">
            <w:pPr>
              <w:pStyle w:val="NoSpacing"/>
              <w:spacing w:line="276" w:lineRule="auto"/>
              <w:ind w:left="-113"/>
              <w:rPr>
                <w:rFonts w:ascii="Arial" w:hAnsi="Arial" w:cs="Arial"/>
                <w:b/>
                <w:sz w:val="24"/>
                <w:szCs w:val="24"/>
              </w:rPr>
            </w:pPr>
            <w:r w:rsidRPr="001545B0">
              <w:rPr>
                <w:rFonts w:ascii="Arial" w:hAnsi="Arial" w:cs="Arial"/>
                <w:b/>
                <w:sz w:val="24"/>
                <w:szCs w:val="24"/>
              </w:rPr>
              <w:t>BABAYFACE CIVILS CC</w:t>
            </w:r>
          </w:p>
        </w:tc>
        <w:tc>
          <w:tcPr>
            <w:tcW w:w="3162" w:type="dxa"/>
          </w:tcPr>
          <w:p w:rsidR="001545B0" w:rsidRPr="001545B0" w:rsidRDefault="001545B0" w:rsidP="00B10C0A">
            <w:pPr>
              <w:pStyle w:val="NoSpacing"/>
              <w:spacing w:line="276" w:lineRule="auto"/>
              <w:jc w:val="right"/>
              <w:rPr>
                <w:rFonts w:ascii="Arial" w:hAnsi="Arial" w:cs="Arial"/>
                <w:b/>
                <w:sz w:val="24"/>
                <w:szCs w:val="24"/>
              </w:rPr>
            </w:pPr>
            <w:r w:rsidRPr="001545B0">
              <w:rPr>
                <w:rFonts w:ascii="Arial" w:hAnsi="Arial" w:cs="Arial"/>
                <w:b/>
                <w:sz w:val="24"/>
                <w:szCs w:val="24"/>
              </w:rPr>
              <w:t>Second Appellant</w:t>
            </w:r>
          </w:p>
        </w:tc>
      </w:tr>
      <w:tr w:rsidR="001545B0" w:rsidTr="00B10C0A">
        <w:tc>
          <w:tcPr>
            <w:tcW w:w="5949" w:type="dxa"/>
          </w:tcPr>
          <w:p w:rsidR="001545B0" w:rsidRPr="001545B0" w:rsidRDefault="001545B0" w:rsidP="00B10C0A">
            <w:pPr>
              <w:pStyle w:val="NoSpacing"/>
              <w:spacing w:line="276" w:lineRule="auto"/>
              <w:ind w:left="-113"/>
              <w:rPr>
                <w:rFonts w:ascii="Arial" w:hAnsi="Arial" w:cs="Arial"/>
                <w:b/>
                <w:sz w:val="24"/>
                <w:szCs w:val="24"/>
              </w:rPr>
            </w:pPr>
            <w:r w:rsidRPr="001545B0">
              <w:rPr>
                <w:rFonts w:ascii="Arial" w:hAnsi="Arial" w:cs="Arial"/>
                <w:b/>
                <w:sz w:val="24"/>
                <w:szCs w:val="24"/>
              </w:rPr>
              <w:t>HENNIMMA INVESTMENTS CC</w:t>
            </w:r>
          </w:p>
        </w:tc>
        <w:tc>
          <w:tcPr>
            <w:tcW w:w="3162" w:type="dxa"/>
          </w:tcPr>
          <w:p w:rsidR="001545B0" w:rsidRPr="001545B0" w:rsidRDefault="001545B0" w:rsidP="00B10C0A">
            <w:pPr>
              <w:pStyle w:val="NoSpacing"/>
              <w:spacing w:line="276" w:lineRule="auto"/>
              <w:jc w:val="right"/>
              <w:rPr>
                <w:rFonts w:ascii="Arial" w:hAnsi="Arial" w:cs="Arial"/>
                <w:b/>
                <w:sz w:val="24"/>
                <w:szCs w:val="24"/>
              </w:rPr>
            </w:pPr>
            <w:r w:rsidRPr="001545B0">
              <w:rPr>
                <w:rFonts w:ascii="Arial" w:hAnsi="Arial" w:cs="Arial"/>
                <w:b/>
                <w:sz w:val="24"/>
                <w:szCs w:val="24"/>
              </w:rPr>
              <w:t>Third Appellant</w:t>
            </w:r>
          </w:p>
        </w:tc>
      </w:tr>
      <w:tr w:rsidR="001545B0" w:rsidTr="00B10C0A">
        <w:tc>
          <w:tcPr>
            <w:tcW w:w="5949" w:type="dxa"/>
          </w:tcPr>
          <w:p w:rsidR="001545B0" w:rsidRDefault="001545B0" w:rsidP="00B10C0A">
            <w:pPr>
              <w:pStyle w:val="NoSpacing"/>
              <w:spacing w:line="276" w:lineRule="auto"/>
              <w:ind w:left="-113"/>
              <w:rPr>
                <w:rFonts w:ascii="Arial" w:hAnsi="Arial" w:cs="Arial"/>
                <w:sz w:val="24"/>
                <w:szCs w:val="24"/>
              </w:rPr>
            </w:pPr>
          </w:p>
        </w:tc>
        <w:tc>
          <w:tcPr>
            <w:tcW w:w="3162" w:type="dxa"/>
          </w:tcPr>
          <w:p w:rsidR="001545B0" w:rsidRDefault="001545B0" w:rsidP="00B10C0A">
            <w:pPr>
              <w:pStyle w:val="NoSpacing"/>
              <w:spacing w:line="276" w:lineRule="auto"/>
              <w:jc w:val="right"/>
              <w:rPr>
                <w:rFonts w:ascii="Arial" w:hAnsi="Arial" w:cs="Arial"/>
                <w:sz w:val="24"/>
                <w:szCs w:val="24"/>
              </w:rPr>
            </w:pPr>
          </w:p>
        </w:tc>
      </w:tr>
      <w:tr w:rsidR="001545B0" w:rsidTr="00B10C0A">
        <w:tc>
          <w:tcPr>
            <w:tcW w:w="5949" w:type="dxa"/>
          </w:tcPr>
          <w:p w:rsidR="001545B0" w:rsidRDefault="005F7A92" w:rsidP="00B10C0A">
            <w:pPr>
              <w:pStyle w:val="NoSpacing"/>
              <w:spacing w:line="276" w:lineRule="auto"/>
              <w:ind w:left="-113"/>
              <w:rPr>
                <w:rFonts w:ascii="Arial" w:hAnsi="Arial" w:cs="Arial"/>
                <w:sz w:val="24"/>
                <w:szCs w:val="24"/>
              </w:rPr>
            </w:pPr>
            <w:r>
              <w:rPr>
                <w:rFonts w:ascii="Arial" w:hAnsi="Arial" w:cs="Arial"/>
                <w:sz w:val="24"/>
                <w:szCs w:val="24"/>
              </w:rPr>
              <w:t>a</w:t>
            </w:r>
            <w:r w:rsidR="001545B0">
              <w:rPr>
                <w:rFonts w:ascii="Arial" w:hAnsi="Arial" w:cs="Arial"/>
                <w:sz w:val="24"/>
                <w:szCs w:val="24"/>
              </w:rPr>
              <w:t>nd</w:t>
            </w:r>
          </w:p>
        </w:tc>
        <w:tc>
          <w:tcPr>
            <w:tcW w:w="3162" w:type="dxa"/>
          </w:tcPr>
          <w:p w:rsidR="001545B0" w:rsidRDefault="001545B0" w:rsidP="00B10C0A">
            <w:pPr>
              <w:pStyle w:val="NoSpacing"/>
              <w:spacing w:line="276" w:lineRule="auto"/>
              <w:jc w:val="right"/>
              <w:rPr>
                <w:rFonts w:ascii="Arial" w:hAnsi="Arial" w:cs="Arial"/>
                <w:sz w:val="24"/>
                <w:szCs w:val="24"/>
              </w:rPr>
            </w:pPr>
          </w:p>
        </w:tc>
      </w:tr>
      <w:tr w:rsidR="001545B0" w:rsidTr="00B10C0A">
        <w:tc>
          <w:tcPr>
            <w:tcW w:w="5949" w:type="dxa"/>
          </w:tcPr>
          <w:p w:rsidR="001545B0" w:rsidRDefault="001545B0" w:rsidP="00B10C0A">
            <w:pPr>
              <w:pStyle w:val="NoSpacing"/>
              <w:spacing w:line="276" w:lineRule="auto"/>
              <w:ind w:left="-113"/>
              <w:rPr>
                <w:rFonts w:ascii="Arial" w:hAnsi="Arial" w:cs="Arial"/>
                <w:sz w:val="24"/>
                <w:szCs w:val="24"/>
              </w:rPr>
            </w:pPr>
          </w:p>
        </w:tc>
        <w:tc>
          <w:tcPr>
            <w:tcW w:w="3162" w:type="dxa"/>
          </w:tcPr>
          <w:p w:rsidR="001545B0" w:rsidRDefault="001545B0" w:rsidP="00B10C0A">
            <w:pPr>
              <w:pStyle w:val="NoSpacing"/>
              <w:spacing w:line="276" w:lineRule="auto"/>
              <w:jc w:val="right"/>
              <w:rPr>
                <w:rFonts w:ascii="Arial" w:hAnsi="Arial" w:cs="Arial"/>
                <w:sz w:val="24"/>
                <w:szCs w:val="24"/>
              </w:rPr>
            </w:pPr>
          </w:p>
        </w:tc>
      </w:tr>
      <w:tr w:rsidR="001545B0" w:rsidTr="00B10C0A">
        <w:tc>
          <w:tcPr>
            <w:tcW w:w="5949" w:type="dxa"/>
          </w:tcPr>
          <w:p w:rsidR="001545B0" w:rsidRPr="00AE75D7" w:rsidRDefault="00AE75D7" w:rsidP="00B10C0A">
            <w:pPr>
              <w:pStyle w:val="NoSpacing"/>
              <w:spacing w:line="276" w:lineRule="auto"/>
              <w:ind w:left="-113"/>
              <w:rPr>
                <w:rFonts w:ascii="Arial" w:hAnsi="Arial" w:cs="Arial"/>
                <w:b/>
                <w:sz w:val="24"/>
                <w:szCs w:val="24"/>
              </w:rPr>
            </w:pPr>
            <w:r w:rsidRPr="00AE75D7">
              <w:rPr>
                <w:rFonts w:ascii="Arial" w:hAnsi="Arial" w:cs="Arial"/>
                <w:b/>
                <w:sz w:val="24"/>
                <w:szCs w:val="24"/>
              </w:rPr>
              <w:t xml:space="preserve">//KHARAS </w:t>
            </w:r>
            <w:r w:rsidR="003B52EC">
              <w:rPr>
                <w:rFonts w:ascii="Arial" w:hAnsi="Arial" w:cs="Arial"/>
                <w:b/>
                <w:sz w:val="24"/>
                <w:szCs w:val="24"/>
              </w:rPr>
              <w:t>REGIONAL COUNCIL</w:t>
            </w:r>
          </w:p>
        </w:tc>
        <w:tc>
          <w:tcPr>
            <w:tcW w:w="3162" w:type="dxa"/>
          </w:tcPr>
          <w:p w:rsidR="001545B0" w:rsidRPr="00AE75D7" w:rsidRDefault="00AE75D7" w:rsidP="00B10C0A">
            <w:pPr>
              <w:pStyle w:val="NoSpacing"/>
              <w:spacing w:line="276" w:lineRule="auto"/>
              <w:jc w:val="right"/>
              <w:rPr>
                <w:rFonts w:ascii="Arial" w:hAnsi="Arial" w:cs="Arial"/>
                <w:b/>
                <w:sz w:val="24"/>
                <w:szCs w:val="24"/>
              </w:rPr>
            </w:pPr>
            <w:r w:rsidRPr="00AE75D7">
              <w:rPr>
                <w:rFonts w:ascii="Arial" w:hAnsi="Arial" w:cs="Arial"/>
                <w:b/>
                <w:sz w:val="24"/>
                <w:szCs w:val="24"/>
              </w:rPr>
              <w:t>First Respondent</w:t>
            </w:r>
          </w:p>
        </w:tc>
      </w:tr>
      <w:tr w:rsidR="001545B0" w:rsidTr="00B10C0A">
        <w:tc>
          <w:tcPr>
            <w:tcW w:w="5949" w:type="dxa"/>
          </w:tcPr>
          <w:p w:rsidR="001545B0" w:rsidRPr="00AE75D7" w:rsidRDefault="00AE75D7" w:rsidP="00B10C0A">
            <w:pPr>
              <w:pStyle w:val="NoSpacing"/>
              <w:spacing w:line="276" w:lineRule="auto"/>
              <w:ind w:left="-113"/>
              <w:rPr>
                <w:rFonts w:ascii="Arial" w:hAnsi="Arial" w:cs="Arial"/>
                <w:b/>
                <w:sz w:val="24"/>
                <w:szCs w:val="24"/>
              </w:rPr>
            </w:pPr>
            <w:r w:rsidRPr="00AE75D7">
              <w:rPr>
                <w:rFonts w:ascii="Arial" w:hAnsi="Arial" w:cs="Arial"/>
                <w:b/>
                <w:sz w:val="24"/>
                <w:szCs w:val="24"/>
              </w:rPr>
              <w:t xml:space="preserve">CHAIRPERSON OF //KHARAS </w:t>
            </w:r>
            <w:r w:rsidR="003B52EC">
              <w:rPr>
                <w:rFonts w:ascii="Arial" w:hAnsi="Arial" w:cs="Arial"/>
                <w:b/>
                <w:sz w:val="24"/>
                <w:szCs w:val="24"/>
              </w:rPr>
              <w:t>REGIONAL COUNCIL</w:t>
            </w:r>
          </w:p>
        </w:tc>
        <w:tc>
          <w:tcPr>
            <w:tcW w:w="3162" w:type="dxa"/>
          </w:tcPr>
          <w:p w:rsidR="001545B0" w:rsidRPr="00AE75D7" w:rsidRDefault="00AE75D7" w:rsidP="00B10C0A">
            <w:pPr>
              <w:pStyle w:val="NoSpacing"/>
              <w:spacing w:line="276" w:lineRule="auto"/>
              <w:jc w:val="right"/>
              <w:rPr>
                <w:rFonts w:ascii="Arial" w:hAnsi="Arial" w:cs="Arial"/>
                <w:b/>
                <w:sz w:val="24"/>
                <w:szCs w:val="24"/>
              </w:rPr>
            </w:pPr>
            <w:r w:rsidRPr="00AE75D7">
              <w:rPr>
                <w:rFonts w:ascii="Arial" w:hAnsi="Arial" w:cs="Arial"/>
                <w:b/>
                <w:sz w:val="24"/>
                <w:szCs w:val="24"/>
              </w:rPr>
              <w:t>Second Respondent</w:t>
            </w:r>
          </w:p>
        </w:tc>
      </w:tr>
      <w:tr w:rsidR="001545B0" w:rsidTr="00B10C0A">
        <w:tc>
          <w:tcPr>
            <w:tcW w:w="5949" w:type="dxa"/>
          </w:tcPr>
          <w:p w:rsidR="001545B0" w:rsidRPr="00AE75D7" w:rsidRDefault="00AE75D7" w:rsidP="00B10C0A">
            <w:pPr>
              <w:pStyle w:val="NoSpacing"/>
              <w:spacing w:line="276" w:lineRule="auto"/>
              <w:ind w:left="-113"/>
              <w:rPr>
                <w:rFonts w:ascii="Arial" w:hAnsi="Arial" w:cs="Arial"/>
                <w:b/>
                <w:sz w:val="24"/>
                <w:szCs w:val="24"/>
              </w:rPr>
            </w:pPr>
            <w:r w:rsidRPr="00AE75D7">
              <w:rPr>
                <w:rFonts w:ascii="Arial" w:hAnsi="Arial" w:cs="Arial"/>
                <w:b/>
                <w:sz w:val="24"/>
                <w:szCs w:val="24"/>
              </w:rPr>
              <w:t xml:space="preserve">MANAGEMENT COMMITTEE OF //KHARAS </w:t>
            </w:r>
            <w:r w:rsidR="003B52EC">
              <w:rPr>
                <w:rFonts w:ascii="Arial" w:hAnsi="Arial" w:cs="Arial"/>
                <w:b/>
                <w:sz w:val="24"/>
                <w:szCs w:val="24"/>
              </w:rPr>
              <w:t>REGIONAL COUNCIL</w:t>
            </w:r>
          </w:p>
        </w:tc>
        <w:tc>
          <w:tcPr>
            <w:tcW w:w="3162" w:type="dxa"/>
          </w:tcPr>
          <w:p w:rsidR="001545B0" w:rsidRPr="00AE75D7" w:rsidRDefault="001545B0" w:rsidP="00B10C0A">
            <w:pPr>
              <w:pStyle w:val="NoSpacing"/>
              <w:spacing w:line="276" w:lineRule="auto"/>
              <w:jc w:val="right"/>
              <w:rPr>
                <w:rFonts w:ascii="Arial" w:hAnsi="Arial" w:cs="Arial"/>
                <w:b/>
                <w:sz w:val="24"/>
                <w:szCs w:val="24"/>
              </w:rPr>
            </w:pPr>
          </w:p>
          <w:p w:rsidR="00AE75D7" w:rsidRPr="00AE75D7" w:rsidRDefault="00AE75D7" w:rsidP="00B10C0A">
            <w:pPr>
              <w:pStyle w:val="NoSpacing"/>
              <w:spacing w:line="276" w:lineRule="auto"/>
              <w:jc w:val="right"/>
              <w:rPr>
                <w:rFonts w:ascii="Arial" w:hAnsi="Arial" w:cs="Arial"/>
                <w:b/>
                <w:sz w:val="24"/>
                <w:szCs w:val="24"/>
              </w:rPr>
            </w:pPr>
            <w:r w:rsidRPr="00AE75D7">
              <w:rPr>
                <w:rFonts w:ascii="Arial" w:hAnsi="Arial" w:cs="Arial"/>
                <w:b/>
                <w:sz w:val="24"/>
                <w:szCs w:val="24"/>
              </w:rPr>
              <w:t>Third Respondent</w:t>
            </w:r>
          </w:p>
        </w:tc>
      </w:tr>
      <w:tr w:rsidR="001545B0" w:rsidTr="00B10C0A">
        <w:tc>
          <w:tcPr>
            <w:tcW w:w="5949" w:type="dxa"/>
          </w:tcPr>
          <w:p w:rsidR="001545B0" w:rsidRPr="00AE75D7" w:rsidRDefault="00AE75D7" w:rsidP="00B10C0A">
            <w:pPr>
              <w:pStyle w:val="NoSpacing"/>
              <w:spacing w:line="276" w:lineRule="auto"/>
              <w:ind w:left="-113"/>
              <w:rPr>
                <w:rFonts w:ascii="Arial" w:hAnsi="Arial" w:cs="Arial"/>
                <w:b/>
                <w:sz w:val="24"/>
                <w:szCs w:val="24"/>
              </w:rPr>
            </w:pPr>
            <w:r w:rsidRPr="00AE75D7">
              <w:rPr>
                <w:rFonts w:ascii="Arial" w:hAnsi="Arial" w:cs="Arial"/>
                <w:b/>
                <w:sz w:val="24"/>
                <w:szCs w:val="24"/>
              </w:rPr>
              <w:t xml:space="preserve">CHAIRPERSON OF THE MANAGEMENT COMMITTEE OF //KHARAS </w:t>
            </w:r>
            <w:r w:rsidR="003B52EC">
              <w:rPr>
                <w:rFonts w:ascii="Arial" w:hAnsi="Arial" w:cs="Arial"/>
                <w:b/>
                <w:sz w:val="24"/>
                <w:szCs w:val="24"/>
              </w:rPr>
              <w:t>REGIONAL COUNCIL</w:t>
            </w:r>
          </w:p>
        </w:tc>
        <w:tc>
          <w:tcPr>
            <w:tcW w:w="3162" w:type="dxa"/>
          </w:tcPr>
          <w:p w:rsidR="001545B0" w:rsidRPr="00AE75D7" w:rsidRDefault="001545B0" w:rsidP="00B10C0A">
            <w:pPr>
              <w:pStyle w:val="NoSpacing"/>
              <w:spacing w:line="276" w:lineRule="auto"/>
              <w:jc w:val="right"/>
              <w:rPr>
                <w:rFonts w:ascii="Arial" w:hAnsi="Arial" w:cs="Arial"/>
                <w:b/>
                <w:sz w:val="24"/>
                <w:szCs w:val="24"/>
              </w:rPr>
            </w:pPr>
          </w:p>
          <w:p w:rsidR="00AE75D7" w:rsidRPr="00AE75D7" w:rsidRDefault="00AE75D7" w:rsidP="00B10C0A">
            <w:pPr>
              <w:pStyle w:val="NoSpacing"/>
              <w:spacing w:line="276" w:lineRule="auto"/>
              <w:jc w:val="right"/>
              <w:rPr>
                <w:rFonts w:ascii="Arial" w:hAnsi="Arial" w:cs="Arial"/>
                <w:b/>
                <w:sz w:val="24"/>
                <w:szCs w:val="24"/>
              </w:rPr>
            </w:pPr>
            <w:r w:rsidRPr="00AE75D7">
              <w:rPr>
                <w:rFonts w:ascii="Arial" w:hAnsi="Arial" w:cs="Arial"/>
                <w:b/>
                <w:sz w:val="24"/>
                <w:szCs w:val="24"/>
              </w:rPr>
              <w:t>Fourth Respondent</w:t>
            </w:r>
          </w:p>
        </w:tc>
      </w:tr>
      <w:tr w:rsidR="001545B0" w:rsidTr="00B10C0A">
        <w:tc>
          <w:tcPr>
            <w:tcW w:w="5949" w:type="dxa"/>
          </w:tcPr>
          <w:p w:rsidR="001545B0" w:rsidRPr="00AE75D7" w:rsidRDefault="00AE75D7" w:rsidP="00B10C0A">
            <w:pPr>
              <w:pStyle w:val="NoSpacing"/>
              <w:spacing w:line="276" w:lineRule="auto"/>
              <w:ind w:left="-113"/>
              <w:rPr>
                <w:rFonts w:ascii="Arial" w:hAnsi="Arial" w:cs="Arial"/>
                <w:b/>
                <w:sz w:val="24"/>
                <w:szCs w:val="24"/>
              </w:rPr>
            </w:pPr>
            <w:r w:rsidRPr="00AE75D7">
              <w:rPr>
                <w:rFonts w:ascii="Arial" w:hAnsi="Arial" w:cs="Arial"/>
                <w:b/>
                <w:sz w:val="24"/>
                <w:szCs w:val="24"/>
              </w:rPr>
              <w:t>//KHARAS REGIONAL TENDER BOARD</w:t>
            </w:r>
          </w:p>
        </w:tc>
        <w:tc>
          <w:tcPr>
            <w:tcW w:w="3162" w:type="dxa"/>
          </w:tcPr>
          <w:p w:rsidR="001545B0" w:rsidRPr="00AE75D7" w:rsidRDefault="00AE75D7" w:rsidP="00B10C0A">
            <w:pPr>
              <w:pStyle w:val="NoSpacing"/>
              <w:spacing w:line="276" w:lineRule="auto"/>
              <w:jc w:val="right"/>
              <w:rPr>
                <w:rFonts w:ascii="Arial" w:hAnsi="Arial" w:cs="Arial"/>
                <w:b/>
                <w:sz w:val="24"/>
                <w:szCs w:val="24"/>
              </w:rPr>
            </w:pPr>
            <w:r w:rsidRPr="00AE75D7">
              <w:rPr>
                <w:rFonts w:ascii="Arial" w:hAnsi="Arial" w:cs="Arial"/>
                <w:b/>
                <w:sz w:val="24"/>
                <w:szCs w:val="24"/>
              </w:rPr>
              <w:t>Fifth Respondent</w:t>
            </w:r>
          </w:p>
        </w:tc>
      </w:tr>
      <w:tr w:rsidR="001545B0" w:rsidTr="00B10C0A">
        <w:tc>
          <w:tcPr>
            <w:tcW w:w="5949" w:type="dxa"/>
          </w:tcPr>
          <w:p w:rsidR="001545B0" w:rsidRPr="00AE75D7" w:rsidRDefault="00AE75D7" w:rsidP="00B10C0A">
            <w:pPr>
              <w:pStyle w:val="NoSpacing"/>
              <w:spacing w:line="276" w:lineRule="auto"/>
              <w:ind w:left="-113"/>
              <w:rPr>
                <w:rFonts w:ascii="Arial" w:hAnsi="Arial" w:cs="Arial"/>
                <w:b/>
                <w:sz w:val="24"/>
                <w:szCs w:val="24"/>
              </w:rPr>
            </w:pPr>
            <w:r w:rsidRPr="00AE75D7">
              <w:rPr>
                <w:rFonts w:ascii="Arial" w:hAnsi="Arial" w:cs="Arial"/>
                <w:b/>
                <w:sz w:val="24"/>
                <w:szCs w:val="24"/>
              </w:rPr>
              <w:t>MINISTER OF EDUCATION, ARTS &amp; CULTURE</w:t>
            </w:r>
          </w:p>
        </w:tc>
        <w:tc>
          <w:tcPr>
            <w:tcW w:w="3162" w:type="dxa"/>
          </w:tcPr>
          <w:p w:rsidR="001545B0" w:rsidRPr="00AE75D7" w:rsidRDefault="00AE75D7" w:rsidP="00B10C0A">
            <w:pPr>
              <w:pStyle w:val="NoSpacing"/>
              <w:spacing w:line="276" w:lineRule="auto"/>
              <w:jc w:val="right"/>
              <w:rPr>
                <w:rFonts w:ascii="Arial" w:hAnsi="Arial" w:cs="Arial"/>
                <w:b/>
                <w:sz w:val="24"/>
                <w:szCs w:val="24"/>
              </w:rPr>
            </w:pPr>
            <w:r w:rsidRPr="00AE75D7">
              <w:rPr>
                <w:rFonts w:ascii="Arial" w:hAnsi="Arial" w:cs="Arial"/>
                <w:b/>
                <w:sz w:val="24"/>
                <w:szCs w:val="24"/>
              </w:rPr>
              <w:t>Sixth Respondent</w:t>
            </w:r>
          </w:p>
        </w:tc>
      </w:tr>
      <w:tr w:rsidR="001545B0" w:rsidTr="00B10C0A">
        <w:tc>
          <w:tcPr>
            <w:tcW w:w="5949" w:type="dxa"/>
          </w:tcPr>
          <w:p w:rsidR="001545B0" w:rsidRPr="00AE75D7" w:rsidRDefault="00AE75D7" w:rsidP="00B10C0A">
            <w:pPr>
              <w:pStyle w:val="NoSpacing"/>
              <w:spacing w:line="276" w:lineRule="auto"/>
              <w:ind w:left="-113"/>
              <w:rPr>
                <w:rFonts w:ascii="Arial" w:hAnsi="Arial" w:cs="Arial"/>
                <w:b/>
                <w:sz w:val="24"/>
                <w:szCs w:val="24"/>
              </w:rPr>
            </w:pPr>
            <w:r w:rsidRPr="00AE75D7">
              <w:rPr>
                <w:rFonts w:ascii="Arial" w:hAnsi="Arial" w:cs="Arial"/>
                <w:b/>
                <w:sz w:val="24"/>
                <w:szCs w:val="24"/>
              </w:rPr>
              <w:t>MINISTER OF URBAN &amp; RURAL DEVELOPMENT</w:t>
            </w:r>
          </w:p>
        </w:tc>
        <w:tc>
          <w:tcPr>
            <w:tcW w:w="3162" w:type="dxa"/>
          </w:tcPr>
          <w:p w:rsidR="001545B0" w:rsidRPr="00AE75D7" w:rsidRDefault="00AE75D7" w:rsidP="00B10C0A">
            <w:pPr>
              <w:pStyle w:val="NoSpacing"/>
              <w:spacing w:line="276" w:lineRule="auto"/>
              <w:jc w:val="right"/>
              <w:rPr>
                <w:rFonts w:ascii="Arial" w:hAnsi="Arial" w:cs="Arial"/>
                <w:b/>
                <w:sz w:val="24"/>
                <w:szCs w:val="24"/>
              </w:rPr>
            </w:pPr>
            <w:r w:rsidRPr="00AE75D7">
              <w:rPr>
                <w:rFonts w:ascii="Arial" w:hAnsi="Arial" w:cs="Arial"/>
                <w:b/>
                <w:sz w:val="24"/>
                <w:szCs w:val="24"/>
              </w:rPr>
              <w:t>Seventh Respondent</w:t>
            </w:r>
          </w:p>
        </w:tc>
      </w:tr>
      <w:tr w:rsidR="001545B0" w:rsidTr="00B10C0A">
        <w:tc>
          <w:tcPr>
            <w:tcW w:w="5949" w:type="dxa"/>
          </w:tcPr>
          <w:p w:rsidR="001545B0" w:rsidRPr="00AE75D7" w:rsidRDefault="00AE75D7" w:rsidP="00B10C0A">
            <w:pPr>
              <w:pStyle w:val="NoSpacing"/>
              <w:spacing w:line="276" w:lineRule="auto"/>
              <w:ind w:left="-113"/>
              <w:rPr>
                <w:rFonts w:ascii="Arial" w:hAnsi="Arial" w:cs="Arial"/>
                <w:b/>
                <w:sz w:val="24"/>
                <w:szCs w:val="24"/>
              </w:rPr>
            </w:pPr>
            <w:r w:rsidRPr="00AE75D7">
              <w:rPr>
                <w:rFonts w:ascii="Arial" w:hAnsi="Arial" w:cs="Arial"/>
                <w:b/>
                <w:sz w:val="24"/>
                <w:szCs w:val="24"/>
              </w:rPr>
              <w:t xml:space="preserve">KAREN MUNTING </w:t>
            </w:r>
            <w:r w:rsidR="003B52EC">
              <w:rPr>
                <w:rFonts w:ascii="Arial" w:hAnsi="Arial" w:cs="Arial"/>
                <w:b/>
                <w:sz w:val="24"/>
                <w:szCs w:val="24"/>
              </w:rPr>
              <w:t>ARCHITECT</w:t>
            </w:r>
          </w:p>
        </w:tc>
        <w:tc>
          <w:tcPr>
            <w:tcW w:w="3162" w:type="dxa"/>
          </w:tcPr>
          <w:p w:rsidR="001545B0" w:rsidRPr="00AE75D7" w:rsidRDefault="00AE75D7" w:rsidP="00B10C0A">
            <w:pPr>
              <w:pStyle w:val="NoSpacing"/>
              <w:spacing w:line="276" w:lineRule="auto"/>
              <w:jc w:val="right"/>
              <w:rPr>
                <w:rFonts w:ascii="Arial" w:hAnsi="Arial" w:cs="Arial"/>
                <w:b/>
                <w:sz w:val="24"/>
                <w:szCs w:val="24"/>
              </w:rPr>
            </w:pPr>
            <w:r w:rsidRPr="00AE75D7">
              <w:rPr>
                <w:rFonts w:ascii="Arial" w:hAnsi="Arial" w:cs="Arial"/>
                <w:b/>
                <w:sz w:val="24"/>
                <w:szCs w:val="24"/>
              </w:rPr>
              <w:t>Eight Respondent</w:t>
            </w:r>
          </w:p>
        </w:tc>
      </w:tr>
      <w:tr w:rsidR="001545B0" w:rsidTr="00B10C0A">
        <w:tc>
          <w:tcPr>
            <w:tcW w:w="5949" w:type="dxa"/>
          </w:tcPr>
          <w:p w:rsidR="001545B0" w:rsidRPr="00AE75D7" w:rsidRDefault="00AE75D7" w:rsidP="00B10C0A">
            <w:pPr>
              <w:pStyle w:val="NoSpacing"/>
              <w:spacing w:line="276" w:lineRule="auto"/>
              <w:ind w:left="-113"/>
              <w:rPr>
                <w:rFonts w:ascii="Arial" w:hAnsi="Arial" w:cs="Arial"/>
                <w:b/>
                <w:sz w:val="24"/>
                <w:szCs w:val="24"/>
              </w:rPr>
            </w:pPr>
            <w:r w:rsidRPr="00AE75D7">
              <w:rPr>
                <w:rFonts w:ascii="Arial" w:hAnsi="Arial" w:cs="Arial"/>
                <w:b/>
                <w:sz w:val="24"/>
                <w:szCs w:val="24"/>
              </w:rPr>
              <w:t>MINISTER OF WORKS &amp; TRANSPORT</w:t>
            </w:r>
          </w:p>
        </w:tc>
        <w:tc>
          <w:tcPr>
            <w:tcW w:w="3162" w:type="dxa"/>
          </w:tcPr>
          <w:p w:rsidR="001545B0" w:rsidRPr="00AE75D7" w:rsidRDefault="00AE75D7" w:rsidP="00B10C0A">
            <w:pPr>
              <w:pStyle w:val="NoSpacing"/>
              <w:spacing w:line="276" w:lineRule="auto"/>
              <w:jc w:val="right"/>
              <w:rPr>
                <w:rFonts w:ascii="Arial" w:hAnsi="Arial" w:cs="Arial"/>
                <w:b/>
                <w:sz w:val="24"/>
                <w:szCs w:val="24"/>
              </w:rPr>
            </w:pPr>
            <w:r w:rsidRPr="00AE75D7">
              <w:rPr>
                <w:rFonts w:ascii="Arial" w:hAnsi="Arial" w:cs="Arial"/>
                <w:b/>
                <w:sz w:val="24"/>
                <w:szCs w:val="24"/>
              </w:rPr>
              <w:t>Ninth Respondent</w:t>
            </w:r>
          </w:p>
        </w:tc>
      </w:tr>
    </w:tbl>
    <w:p w:rsidR="0013079E" w:rsidRDefault="0013079E" w:rsidP="0013079E">
      <w:pPr>
        <w:pStyle w:val="NoSpacing"/>
        <w:rPr>
          <w:rFonts w:ascii="Arial" w:hAnsi="Arial" w:cs="Arial"/>
          <w:sz w:val="24"/>
          <w:szCs w:val="24"/>
        </w:rPr>
      </w:pPr>
    </w:p>
    <w:p w:rsidR="00B10C0A" w:rsidRDefault="00B10C0A" w:rsidP="0013079E">
      <w:pPr>
        <w:pStyle w:val="NoSpacing"/>
        <w:rPr>
          <w:rFonts w:ascii="Arial" w:hAnsi="Arial" w:cs="Arial"/>
          <w:sz w:val="24"/>
          <w:szCs w:val="24"/>
        </w:rPr>
      </w:pPr>
    </w:p>
    <w:p w:rsidR="0013079E" w:rsidRPr="00991107" w:rsidRDefault="0013079E" w:rsidP="0013079E">
      <w:pPr>
        <w:pStyle w:val="NoSpacing"/>
        <w:rPr>
          <w:rFonts w:ascii="Arial" w:hAnsi="Arial" w:cs="Arial"/>
          <w:sz w:val="24"/>
          <w:szCs w:val="24"/>
        </w:rPr>
      </w:pPr>
    </w:p>
    <w:p w:rsidR="0013079E" w:rsidRPr="00991107" w:rsidRDefault="0013079E" w:rsidP="0013079E">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SHIVUTE CJ, MAINGA JA and FRANK AJA</w:t>
      </w:r>
    </w:p>
    <w:p w:rsidR="0013079E" w:rsidRPr="00466830" w:rsidRDefault="0013079E" w:rsidP="0013079E">
      <w:pPr>
        <w:pStyle w:val="NoSpacing"/>
        <w:rPr>
          <w:rFonts w:ascii="Arial" w:hAnsi="Arial" w:cs="Arial"/>
          <w:b/>
          <w:sz w:val="24"/>
          <w:szCs w:val="24"/>
        </w:rPr>
      </w:pPr>
    </w:p>
    <w:p w:rsidR="0013079E" w:rsidRPr="00466830" w:rsidRDefault="0013079E" w:rsidP="0013079E">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24 October 2019</w:t>
      </w:r>
    </w:p>
    <w:p w:rsidR="0013079E" w:rsidRPr="00466830" w:rsidRDefault="0013079E" w:rsidP="0013079E">
      <w:pPr>
        <w:pStyle w:val="NoSpacing"/>
        <w:rPr>
          <w:rFonts w:ascii="Arial" w:hAnsi="Arial" w:cs="Arial"/>
          <w:b/>
          <w:sz w:val="24"/>
          <w:szCs w:val="24"/>
        </w:rPr>
      </w:pPr>
    </w:p>
    <w:p w:rsidR="0013079E" w:rsidRPr="00466830" w:rsidRDefault="0013079E" w:rsidP="0013079E">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842C18">
        <w:rPr>
          <w:rFonts w:ascii="Arial" w:hAnsi="Arial" w:cs="Arial"/>
          <w:b/>
          <w:sz w:val="24"/>
          <w:szCs w:val="24"/>
        </w:rPr>
        <w:t>9</w:t>
      </w:r>
      <w:r w:rsidR="00AC3CE3">
        <w:rPr>
          <w:rFonts w:ascii="Arial" w:hAnsi="Arial" w:cs="Arial"/>
          <w:b/>
          <w:sz w:val="24"/>
          <w:szCs w:val="24"/>
        </w:rPr>
        <w:t xml:space="preserve"> December 2019</w:t>
      </w:r>
    </w:p>
    <w:p w:rsidR="0013079E" w:rsidRDefault="0013079E" w:rsidP="000B292B">
      <w:pPr>
        <w:pStyle w:val="NoSpacing"/>
        <w:spacing w:line="360" w:lineRule="auto"/>
        <w:jc w:val="both"/>
        <w:rPr>
          <w:rFonts w:ascii="Arial" w:hAnsi="Arial" w:cs="Arial"/>
          <w:sz w:val="24"/>
          <w:szCs w:val="24"/>
        </w:rPr>
      </w:pPr>
      <w:r w:rsidRPr="006A55DD">
        <w:rPr>
          <w:rFonts w:ascii="Arial" w:hAnsi="Arial" w:cs="Arial"/>
          <w:b/>
          <w:sz w:val="24"/>
          <w:szCs w:val="24"/>
        </w:rPr>
        <w:lastRenderedPageBreak/>
        <w:t>Summary:</w:t>
      </w:r>
      <w:r w:rsidRPr="00840E4D">
        <w:rPr>
          <w:rFonts w:ascii="Arial" w:hAnsi="Arial" w:cs="Arial"/>
          <w:sz w:val="24"/>
          <w:szCs w:val="24"/>
        </w:rPr>
        <w:tab/>
      </w:r>
      <w:r w:rsidR="00DB4554">
        <w:rPr>
          <w:rFonts w:ascii="Arial" w:hAnsi="Arial" w:cs="Arial"/>
          <w:sz w:val="24"/>
          <w:szCs w:val="24"/>
        </w:rPr>
        <w:t>A</w:t>
      </w:r>
      <w:r w:rsidR="000B292B" w:rsidRPr="00840E4D">
        <w:rPr>
          <w:rFonts w:ascii="Arial" w:hAnsi="Arial" w:cs="Arial"/>
          <w:sz w:val="24"/>
          <w:szCs w:val="24"/>
        </w:rPr>
        <w:t>ppellant</w:t>
      </w:r>
      <w:r w:rsidR="0021712A" w:rsidRPr="00840E4D">
        <w:rPr>
          <w:rFonts w:ascii="Arial" w:hAnsi="Arial" w:cs="Arial"/>
          <w:sz w:val="24"/>
          <w:szCs w:val="24"/>
        </w:rPr>
        <w:t xml:space="preserve">s brought an appeal against the judgment of the court </w:t>
      </w:r>
      <w:r w:rsidR="0021712A" w:rsidRPr="00840E4D">
        <w:rPr>
          <w:rFonts w:ascii="Arial" w:hAnsi="Arial" w:cs="Arial"/>
          <w:i/>
          <w:sz w:val="24"/>
          <w:szCs w:val="24"/>
        </w:rPr>
        <w:t>a quo</w:t>
      </w:r>
      <w:r w:rsidR="0021712A" w:rsidRPr="00840E4D">
        <w:rPr>
          <w:rFonts w:ascii="Arial" w:hAnsi="Arial" w:cs="Arial"/>
          <w:sz w:val="24"/>
          <w:szCs w:val="24"/>
        </w:rPr>
        <w:t>.</w:t>
      </w:r>
      <w:r w:rsidR="000B292B" w:rsidRPr="00840E4D">
        <w:rPr>
          <w:rFonts w:ascii="Arial" w:hAnsi="Arial" w:cs="Arial"/>
          <w:sz w:val="24"/>
          <w:szCs w:val="24"/>
        </w:rPr>
        <w:t xml:space="preserve"> </w:t>
      </w:r>
      <w:r w:rsidR="0021712A" w:rsidRPr="00840E4D">
        <w:rPr>
          <w:rFonts w:ascii="Arial" w:hAnsi="Arial" w:cs="Arial"/>
          <w:sz w:val="24"/>
          <w:szCs w:val="24"/>
        </w:rPr>
        <w:t xml:space="preserve">The first appellant, a </w:t>
      </w:r>
      <w:r w:rsidR="009238B1">
        <w:rPr>
          <w:rFonts w:ascii="Arial" w:hAnsi="Arial" w:cs="Arial"/>
          <w:sz w:val="24"/>
          <w:szCs w:val="24"/>
        </w:rPr>
        <w:t>j</w:t>
      </w:r>
      <w:r w:rsidR="000B292B" w:rsidRPr="00840E4D">
        <w:rPr>
          <w:rFonts w:ascii="Arial" w:hAnsi="Arial" w:cs="Arial"/>
          <w:sz w:val="24"/>
          <w:szCs w:val="24"/>
        </w:rPr>
        <w:t xml:space="preserve">oint </w:t>
      </w:r>
      <w:r w:rsidR="009238B1">
        <w:rPr>
          <w:rFonts w:ascii="Arial" w:hAnsi="Arial" w:cs="Arial"/>
          <w:sz w:val="24"/>
          <w:szCs w:val="24"/>
        </w:rPr>
        <w:t>v</w:t>
      </w:r>
      <w:r w:rsidR="000B292B" w:rsidRPr="00840E4D">
        <w:rPr>
          <w:rFonts w:ascii="Arial" w:hAnsi="Arial" w:cs="Arial"/>
          <w:sz w:val="24"/>
          <w:szCs w:val="24"/>
        </w:rPr>
        <w:t xml:space="preserve">enture between </w:t>
      </w:r>
      <w:r w:rsidR="00DB4554">
        <w:rPr>
          <w:rFonts w:ascii="Arial" w:hAnsi="Arial" w:cs="Arial"/>
          <w:sz w:val="24"/>
          <w:szCs w:val="24"/>
        </w:rPr>
        <w:t xml:space="preserve">the </w:t>
      </w:r>
      <w:r w:rsidR="000B292B" w:rsidRPr="00840E4D">
        <w:rPr>
          <w:rFonts w:ascii="Arial" w:hAnsi="Arial" w:cs="Arial"/>
          <w:sz w:val="24"/>
          <w:szCs w:val="24"/>
        </w:rPr>
        <w:t>second and third appellants</w:t>
      </w:r>
      <w:r w:rsidR="00DB4554">
        <w:rPr>
          <w:rFonts w:ascii="Arial" w:hAnsi="Arial" w:cs="Arial"/>
          <w:sz w:val="24"/>
          <w:szCs w:val="24"/>
        </w:rPr>
        <w:t>, placed a</w:t>
      </w:r>
      <w:r w:rsidR="0021712A" w:rsidRPr="00840E4D">
        <w:rPr>
          <w:rFonts w:ascii="Arial" w:hAnsi="Arial" w:cs="Arial"/>
          <w:sz w:val="24"/>
          <w:szCs w:val="24"/>
        </w:rPr>
        <w:t xml:space="preserve"> bid for a tender of which it was successful</w:t>
      </w:r>
      <w:r w:rsidR="00840E4D" w:rsidRPr="00840E4D">
        <w:rPr>
          <w:rFonts w:ascii="Arial" w:hAnsi="Arial" w:cs="Arial"/>
          <w:sz w:val="24"/>
          <w:szCs w:val="24"/>
        </w:rPr>
        <w:t>. It was informed</w:t>
      </w:r>
      <w:r w:rsidR="00DB4554">
        <w:rPr>
          <w:rFonts w:ascii="Arial" w:hAnsi="Arial" w:cs="Arial"/>
          <w:sz w:val="24"/>
          <w:szCs w:val="24"/>
        </w:rPr>
        <w:t xml:space="preserve"> by the </w:t>
      </w:r>
      <w:r w:rsidR="003B52EC">
        <w:rPr>
          <w:rFonts w:ascii="Arial" w:hAnsi="Arial" w:cs="Arial"/>
          <w:sz w:val="24"/>
          <w:szCs w:val="24"/>
        </w:rPr>
        <w:t>architect</w:t>
      </w:r>
      <w:r w:rsidR="00DB4554">
        <w:rPr>
          <w:rFonts w:ascii="Arial" w:hAnsi="Arial" w:cs="Arial"/>
          <w:sz w:val="24"/>
          <w:szCs w:val="24"/>
        </w:rPr>
        <w:t xml:space="preserve"> in a letter dated</w:t>
      </w:r>
      <w:r w:rsidR="00840E4D" w:rsidRPr="00840E4D">
        <w:rPr>
          <w:rFonts w:ascii="Arial" w:hAnsi="Arial" w:cs="Arial"/>
          <w:sz w:val="24"/>
          <w:szCs w:val="24"/>
        </w:rPr>
        <w:t xml:space="preserve"> 8 December 2016 that </w:t>
      </w:r>
      <w:r w:rsidR="007A0A9E">
        <w:rPr>
          <w:rFonts w:ascii="Arial" w:hAnsi="Arial" w:cs="Arial"/>
          <w:sz w:val="24"/>
          <w:szCs w:val="24"/>
        </w:rPr>
        <w:t>its</w:t>
      </w:r>
      <w:r w:rsidR="00840E4D" w:rsidRPr="00840E4D">
        <w:rPr>
          <w:rFonts w:ascii="Arial" w:hAnsi="Arial" w:cs="Arial"/>
          <w:sz w:val="24"/>
          <w:szCs w:val="24"/>
        </w:rPr>
        <w:t xml:space="preserve"> bid was accepted</w:t>
      </w:r>
      <w:r w:rsidR="0021712A" w:rsidRPr="00840E4D">
        <w:rPr>
          <w:rFonts w:ascii="Arial" w:hAnsi="Arial" w:cs="Arial"/>
          <w:sz w:val="24"/>
          <w:szCs w:val="24"/>
        </w:rPr>
        <w:t xml:space="preserve"> on </w:t>
      </w:r>
      <w:r w:rsidR="000B292B" w:rsidRPr="00840E4D">
        <w:rPr>
          <w:rFonts w:ascii="Arial" w:hAnsi="Arial" w:cs="Arial"/>
          <w:sz w:val="24"/>
          <w:szCs w:val="24"/>
        </w:rPr>
        <w:t>condition</w:t>
      </w:r>
      <w:r w:rsidR="0021712A" w:rsidRPr="00840E4D">
        <w:rPr>
          <w:rFonts w:ascii="Arial" w:hAnsi="Arial" w:cs="Arial"/>
          <w:sz w:val="24"/>
          <w:szCs w:val="24"/>
        </w:rPr>
        <w:t xml:space="preserve"> that </w:t>
      </w:r>
      <w:r w:rsidR="009238B1">
        <w:rPr>
          <w:rFonts w:ascii="Arial" w:hAnsi="Arial" w:cs="Arial"/>
          <w:sz w:val="24"/>
          <w:szCs w:val="24"/>
        </w:rPr>
        <w:t>the joint v</w:t>
      </w:r>
      <w:r w:rsidR="00840E4D" w:rsidRPr="00840E4D">
        <w:rPr>
          <w:rFonts w:ascii="Arial" w:hAnsi="Arial" w:cs="Arial"/>
          <w:sz w:val="24"/>
          <w:szCs w:val="24"/>
        </w:rPr>
        <w:t>enture provides the quantity surveyors</w:t>
      </w:r>
      <w:r w:rsidR="00157152">
        <w:rPr>
          <w:rFonts w:ascii="Arial" w:hAnsi="Arial" w:cs="Arial"/>
          <w:sz w:val="24"/>
          <w:szCs w:val="24"/>
        </w:rPr>
        <w:t xml:space="preserve"> </w:t>
      </w:r>
      <w:r w:rsidR="007A0A9E">
        <w:rPr>
          <w:rFonts w:ascii="Arial" w:hAnsi="Arial" w:cs="Arial"/>
          <w:sz w:val="24"/>
          <w:szCs w:val="24"/>
        </w:rPr>
        <w:t xml:space="preserve">with </w:t>
      </w:r>
      <w:r w:rsidR="00157152">
        <w:rPr>
          <w:rFonts w:ascii="Arial" w:hAnsi="Arial" w:cs="Arial"/>
          <w:sz w:val="24"/>
          <w:szCs w:val="24"/>
        </w:rPr>
        <w:t>the following: (1)</w:t>
      </w:r>
      <w:r w:rsidR="00840E4D" w:rsidRPr="00840E4D">
        <w:rPr>
          <w:rFonts w:ascii="Arial" w:hAnsi="Arial" w:cs="Arial"/>
          <w:sz w:val="24"/>
          <w:szCs w:val="24"/>
        </w:rPr>
        <w:t xml:space="preserve"> a</w:t>
      </w:r>
      <w:r w:rsidR="0021712A" w:rsidRPr="00840E4D">
        <w:rPr>
          <w:rFonts w:ascii="Arial" w:hAnsi="Arial" w:cs="Arial"/>
          <w:sz w:val="24"/>
          <w:szCs w:val="24"/>
        </w:rPr>
        <w:t xml:space="preserve"> detailed </w:t>
      </w:r>
      <w:r w:rsidR="003B52EC">
        <w:rPr>
          <w:rFonts w:ascii="Arial" w:hAnsi="Arial" w:cs="Arial"/>
          <w:sz w:val="24"/>
          <w:szCs w:val="24"/>
        </w:rPr>
        <w:t>bill of q</w:t>
      </w:r>
      <w:r w:rsidR="00840E4D" w:rsidRPr="00840E4D">
        <w:rPr>
          <w:rFonts w:ascii="Arial" w:hAnsi="Arial" w:cs="Arial"/>
          <w:sz w:val="24"/>
          <w:szCs w:val="24"/>
        </w:rPr>
        <w:t>uantities within seven days;</w:t>
      </w:r>
      <w:r w:rsidR="0021712A" w:rsidRPr="00840E4D">
        <w:rPr>
          <w:rFonts w:ascii="Arial" w:hAnsi="Arial" w:cs="Arial"/>
          <w:sz w:val="24"/>
          <w:szCs w:val="24"/>
        </w:rPr>
        <w:t xml:space="preserve"> </w:t>
      </w:r>
      <w:r w:rsidR="00157152">
        <w:rPr>
          <w:rFonts w:ascii="Arial" w:hAnsi="Arial" w:cs="Arial"/>
          <w:sz w:val="24"/>
          <w:szCs w:val="24"/>
        </w:rPr>
        <w:t>(2)</w:t>
      </w:r>
      <w:r w:rsidR="00840E4D" w:rsidRPr="00840E4D">
        <w:rPr>
          <w:rFonts w:ascii="Arial" w:hAnsi="Arial" w:cs="Arial"/>
          <w:sz w:val="24"/>
          <w:szCs w:val="24"/>
        </w:rPr>
        <w:t xml:space="preserve"> a</w:t>
      </w:r>
      <w:r w:rsidR="0021712A" w:rsidRPr="00840E4D">
        <w:rPr>
          <w:rFonts w:ascii="Arial" w:hAnsi="Arial" w:cs="Arial"/>
          <w:sz w:val="24"/>
          <w:szCs w:val="24"/>
        </w:rPr>
        <w:t xml:space="preserve"> performance guarantee of 10 per cent of the con</w:t>
      </w:r>
      <w:r w:rsidR="00840E4D" w:rsidRPr="00840E4D">
        <w:rPr>
          <w:rFonts w:ascii="Arial" w:hAnsi="Arial" w:cs="Arial"/>
          <w:sz w:val="24"/>
          <w:szCs w:val="24"/>
        </w:rPr>
        <w:t xml:space="preserve">tract amount within seven days; and, </w:t>
      </w:r>
      <w:r w:rsidR="00157152">
        <w:rPr>
          <w:rFonts w:ascii="Arial" w:hAnsi="Arial" w:cs="Arial"/>
          <w:sz w:val="24"/>
          <w:szCs w:val="24"/>
        </w:rPr>
        <w:t xml:space="preserve">(3) </w:t>
      </w:r>
      <w:r w:rsidR="00840E4D" w:rsidRPr="00840E4D">
        <w:rPr>
          <w:rFonts w:ascii="Arial" w:hAnsi="Arial" w:cs="Arial"/>
          <w:sz w:val="24"/>
          <w:szCs w:val="24"/>
        </w:rPr>
        <w:t>a satisfactory</w:t>
      </w:r>
      <w:r w:rsidR="0021712A" w:rsidRPr="00840E4D">
        <w:rPr>
          <w:rFonts w:ascii="Arial" w:hAnsi="Arial" w:cs="Arial"/>
          <w:sz w:val="24"/>
          <w:szCs w:val="24"/>
        </w:rPr>
        <w:t xml:space="preserve"> w</w:t>
      </w:r>
      <w:r w:rsidR="00840E4D" w:rsidRPr="00840E4D">
        <w:rPr>
          <w:rFonts w:ascii="Arial" w:hAnsi="Arial" w:cs="Arial"/>
          <w:sz w:val="24"/>
          <w:szCs w:val="24"/>
        </w:rPr>
        <w:t>ork programme</w:t>
      </w:r>
      <w:r w:rsidR="0021712A" w:rsidRPr="00840E4D">
        <w:rPr>
          <w:rFonts w:ascii="Arial" w:hAnsi="Arial" w:cs="Arial"/>
          <w:sz w:val="24"/>
          <w:szCs w:val="24"/>
        </w:rPr>
        <w:t xml:space="preserve"> within </w:t>
      </w:r>
      <w:r w:rsidR="004B18BD">
        <w:rPr>
          <w:rFonts w:ascii="Arial" w:hAnsi="Arial" w:cs="Arial"/>
          <w:sz w:val="24"/>
          <w:szCs w:val="24"/>
        </w:rPr>
        <w:t>14</w:t>
      </w:r>
      <w:r w:rsidR="007A0A9E">
        <w:rPr>
          <w:rFonts w:ascii="Arial" w:hAnsi="Arial" w:cs="Arial"/>
          <w:sz w:val="24"/>
          <w:szCs w:val="24"/>
        </w:rPr>
        <w:t xml:space="preserve"> </w:t>
      </w:r>
      <w:r w:rsidR="0021712A" w:rsidRPr="00840E4D">
        <w:rPr>
          <w:rFonts w:ascii="Arial" w:hAnsi="Arial" w:cs="Arial"/>
          <w:sz w:val="24"/>
          <w:szCs w:val="24"/>
        </w:rPr>
        <w:t>days.</w:t>
      </w:r>
      <w:r w:rsidR="00840E4D" w:rsidRPr="00840E4D">
        <w:rPr>
          <w:rFonts w:ascii="Arial" w:hAnsi="Arial" w:cs="Arial"/>
          <w:sz w:val="24"/>
          <w:szCs w:val="24"/>
        </w:rPr>
        <w:t xml:space="preserve"> An extension to </w:t>
      </w:r>
      <w:r w:rsidR="00B6117A">
        <w:rPr>
          <w:rFonts w:ascii="Arial" w:hAnsi="Arial" w:cs="Arial"/>
          <w:sz w:val="24"/>
          <w:szCs w:val="24"/>
        </w:rPr>
        <w:t>provide the performance guarantee within the period set was</w:t>
      </w:r>
      <w:r w:rsidR="00840E4D" w:rsidRPr="00840E4D">
        <w:rPr>
          <w:rFonts w:ascii="Arial" w:hAnsi="Arial" w:cs="Arial"/>
          <w:sz w:val="24"/>
          <w:szCs w:val="24"/>
        </w:rPr>
        <w:t xml:space="preserve"> soug</w:t>
      </w:r>
      <w:r w:rsidR="00F26B70">
        <w:rPr>
          <w:rFonts w:ascii="Arial" w:hAnsi="Arial" w:cs="Arial"/>
          <w:sz w:val="24"/>
          <w:szCs w:val="24"/>
        </w:rPr>
        <w:t xml:space="preserve">ht </w:t>
      </w:r>
      <w:r w:rsidR="00356B91">
        <w:rPr>
          <w:rFonts w:ascii="Arial" w:hAnsi="Arial" w:cs="Arial"/>
          <w:sz w:val="24"/>
          <w:szCs w:val="24"/>
        </w:rPr>
        <w:t>by the appellants. They undertook</w:t>
      </w:r>
      <w:r w:rsidR="00F26B70">
        <w:rPr>
          <w:rFonts w:ascii="Arial" w:hAnsi="Arial" w:cs="Arial"/>
          <w:sz w:val="24"/>
          <w:szCs w:val="24"/>
        </w:rPr>
        <w:t xml:space="preserve"> to fulfil thi</w:t>
      </w:r>
      <w:r w:rsidR="00356B91">
        <w:rPr>
          <w:rFonts w:ascii="Arial" w:hAnsi="Arial" w:cs="Arial"/>
          <w:sz w:val="24"/>
          <w:szCs w:val="24"/>
        </w:rPr>
        <w:t>s condition on 12 January 2017, however</w:t>
      </w:r>
      <w:r w:rsidR="00730E8C">
        <w:rPr>
          <w:rFonts w:ascii="Arial" w:hAnsi="Arial" w:cs="Arial"/>
          <w:sz w:val="24"/>
          <w:szCs w:val="24"/>
        </w:rPr>
        <w:t>,</w:t>
      </w:r>
      <w:r w:rsidR="00356B91">
        <w:rPr>
          <w:rFonts w:ascii="Arial" w:hAnsi="Arial" w:cs="Arial"/>
          <w:sz w:val="24"/>
          <w:szCs w:val="24"/>
        </w:rPr>
        <w:t xml:space="preserve"> the</w:t>
      </w:r>
      <w:r w:rsidR="00F26B70">
        <w:rPr>
          <w:rFonts w:ascii="Arial" w:hAnsi="Arial" w:cs="Arial"/>
          <w:sz w:val="24"/>
          <w:szCs w:val="24"/>
        </w:rPr>
        <w:t xml:space="preserve"> </w:t>
      </w:r>
      <w:r w:rsidR="00356B91">
        <w:rPr>
          <w:rFonts w:ascii="Arial" w:hAnsi="Arial" w:cs="Arial"/>
          <w:sz w:val="24"/>
          <w:szCs w:val="24"/>
        </w:rPr>
        <w:t xml:space="preserve">performance </w:t>
      </w:r>
      <w:r w:rsidR="00F26B70">
        <w:rPr>
          <w:rFonts w:ascii="Arial" w:hAnsi="Arial" w:cs="Arial"/>
          <w:sz w:val="24"/>
          <w:szCs w:val="24"/>
        </w:rPr>
        <w:t xml:space="preserve">guarantee was only delivered to the </w:t>
      </w:r>
      <w:r w:rsidR="003B52EC">
        <w:rPr>
          <w:rFonts w:ascii="Arial" w:hAnsi="Arial" w:cs="Arial"/>
          <w:sz w:val="24"/>
          <w:szCs w:val="24"/>
        </w:rPr>
        <w:t>architect</w:t>
      </w:r>
      <w:r w:rsidR="00F26B70">
        <w:rPr>
          <w:rFonts w:ascii="Arial" w:hAnsi="Arial" w:cs="Arial"/>
          <w:sz w:val="24"/>
          <w:szCs w:val="24"/>
        </w:rPr>
        <w:t xml:space="preserve"> on 9 February 2017</w:t>
      </w:r>
      <w:r w:rsidR="00AC3CE3">
        <w:rPr>
          <w:rFonts w:ascii="Arial" w:hAnsi="Arial" w:cs="Arial"/>
          <w:sz w:val="24"/>
          <w:szCs w:val="24"/>
        </w:rPr>
        <w:t xml:space="preserve">. On </w:t>
      </w:r>
      <w:r w:rsidR="007A0A9E">
        <w:rPr>
          <w:rFonts w:ascii="Arial" w:hAnsi="Arial" w:cs="Arial"/>
          <w:sz w:val="24"/>
          <w:szCs w:val="24"/>
        </w:rPr>
        <w:t>13 February</w:t>
      </w:r>
      <w:r w:rsidR="00356B91">
        <w:rPr>
          <w:rFonts w:ascii="Arial" w:hAnsi="Arial" w:cs="Arial"/>
          <w:sz w:val="24"/>
          <w:szCs w:val="24"/>
        </w:rPr>
        <w:t xml:space="preserve"> </w:t>
      </w:r>
      <w:r w:rsidR="00730E8C">
        <w:rPr>
          <w:rFonts w:ascii="Arial" w:hAnsi="Arial" w:cs="Arial"/>
          <w:sz w:val="24"/>
          <w:szCs w:val="24"/>
        </w:rPr>
        <w:t xml:space="preserve">2017 </w:t>
      </w:r>
      <w:r w:rsidR="00356B91">
        <w:rPr>
          <w:rFonts w:ascii="Arial" w:hAnsi="Arial" w:cs="Arial"/>
          <w:sz w:val="24"/>
          <w:szCs w:val="24"/>
        </w:rPr>
        <w:t xml:space="preserve">appellants were informed via letter by the </w:t>
      </w:r>
      <w:r w:rsidR="003B52EC">
        <w:rPr>
          <w:rFonts w:ascii="Arial" w:hAnsi="Arial" w:cs="Arial"/>
          <w:sz w:val="24"/>
          <w:szCs w:val="24"/>
        </w:rPr>
        <w:t>architect</w:t>
      </w:r>
      <w:r w:rsidR="00356B91">
        <w:rPr>
          <w:rFonts w:ascii="Arial" w:hAnsi="Arial" w:cs="Arial"/>
          <w:sz w:val="24"/>
          <w:szCs w:val="24"/>
        </w:rPr>
        <w:t xml:space="preserve"> that there was non-compliance</w:t>
      </w:r>
      <w:r w:rsidR="00157152">
        <w:rPr>
          <w:rFonts w:ascii="Arial" w:hAnsi="Arial" w:cs="Arial"/>
          <w:sz w:val="24"/>
          <w:szCs w:val="24"/>
        </w:rPr>
        <w:t xml:space="preserve"> with the performance guarantee which had to be submitted</w:t>
      </w:r>
      <w:r w:rsidR="00356B91">
        <w:rPr>
          <w:rFonts w:ascii="Arial" w:hAnsi="Arial" w:cs="Arial"/>
          <w:sz w:val="24"/>
          <w:szCs w:val="24"/>
        </w:rPr>
        <w:t xml:space="preserve"> within seven days and as a consequence of this non-compliance, their appointment was cancelled. That letter also info</w:t>
      </w:r>
      <w:r w:rsidR="007A0A9E">
        <w:rPr>
          <w:rFonts w:ascii="Arial" w:hAnsi="Arial" w:cs="Arial"/>
          <w:sz w:val="24"/>
          <w:szCs w:val="24"/>
        </w:rPr>
        <w:t>rmed the appellants that there wa</w:t>
      </w:r>
      <w:r w:rsidR="00356B91">
        <w:rPr>
          <w:rFonts w:ascii="Arial" w:hAnsi="Arial" w:cs="Arial"/>
          <w:sz w:val="24"/>
          <w:szCs w:val="24"/>
        </w:rPr>
        <w:t>s a moratorium in place on all capital projects, including the project in question.</w:t>
      </w:r>
    </w:p>
    <w:p w:rsidR="00356B91" w:rsidRDefault="00356B91" w:rsidP="000B292B">
      <w:pPr>
        <w:pStyle w:val="NoSpacing"/>
        <w:spacing w:line="360" w:lineRule="auto"/>
        <w:jc w:val="both"/>
        <w:rPr>
          <w:rFonts w:ascii="Arial" w:hAnsi="Arial" w:cs="Arial"/>
          <w:sz w:val="24"/>
          <w:szCs w:val="24"/>
        </w:rPr>
      </w:pPr>
    </w:p>
    <w:p w:rsidR="00AF675B" w:rsidRDefault="00356B91" w:rsidP="00AF675B">
      <w:pPr>
        <w:pStyle w:val="NoSpacing"/>
        <w:spacing w:line="360" w:lineRule="auto"/>
        <w:jc w:val="both"/>
        <w:rPr>
          <w:rFonts w:ascii="Arial" w:hAnsi="Arial" w:cs="Arial"/>
          <w:sz w:val="24"/>
          <w:szCs w:val="24"/>
        </w:rPr>
      </w:pPr>
      <w:r>
        <w:rPr>
          <w:rFonts w:ascii="Arial" w:hAnsi="Arial" w:cs="Arial"/>
          <w:sz w:val="24"/>
          <w:szCs w:val="24"/>
        </w:rPr>
        <w:t>On 19 June 2017, appellants lodged a review application in the High Court seeking to set aside the cancella</w:t>
      </w:r>
      <w:r w:rsidR="009238B1">
        <w:rPr>
          <w:rFonts w:ascii="Arial" w:hAnsi="Arial" w:cs="Arial"/>
          <w:sz w:val="24"/>
          <w:szCs w:val="24"/>
        </w:rPr>
        <w:t>tion of the appointment of the joint v</w:t>
      </w:r>
      <w:r>
        <w:rPr>
          <w:rFonts w:ascii="Arial" w:hAnsi="Arial" w:cs="Arial"/>
          <w:sz w:val="24"/>
          <w:szCs w:val="24"/>
        </w:rPr>
        <w:t>ent</w:t>
      </w:r>
      <w:r w:rsidR="00E64A4B">
        <w:rPr>
          <w:rFonts w:ascii="Arial" w:hAnsi="Arial" w:cs="Arial"/>
          <w:sz w:val="24"/>
          <w:szCs w:val="24"/>
        </w:rPr>
        <w:t xml:space="preserve">ure and an order directing the </w:t>
      </w:r>
      <w:r w:rsidR="007A0A9E">
        <w:rPr>
          <w:rFonts w:ascii="Arial" w:hAnsi="Arial" w:cs="Arial"/>
          <w:sz w:val="24"/>
          <w:szCs w:val="24"/>
        </w:rPr>
        <w:t>//Kharas Regional Co</w:t>
      </w:r>
      <w:r w:rsidR="003B52EC">
        <w:rPr>
          <w:rFonts w:ascii="Arial" w:hAnsi="Arial" w:cs="Arial"/>
          <w:sz w:val="24"/>
          <w:szCs w:val="24"/>
        </w:rPr>
        <w:t>uncil</w:t>
      </w:r>
      <w:r>
        <w:rPr>
          <w:rFonts w:ascii="Arial" w:hAnsi="Arial" w:cs="Arial"/>
          <w:sz w:val="24"/>
          <w:szCs w:val="24"/>
        </w:rPr>
        <w:t xml:space="preserve"> to en</w:t>
      </w:r>
      <w:r w:rsidR="009238B1">
        <w:rPr>
          <w:rFonts w:ascii="Arial" w:hAnsi="Arial" w:cs="Arial"/>
          <w:sz w:val="24"/>
          <w:szCs w:val="24"/>
        </w:rPr>
        <w:t>ter into an agreement with the joint v</w:t>
      </w:r>
      <w:r>
        <w:rPr>
          <w:rFonts w:ascii="Arial" w:hAnsi="Arial" w:cs="Arial"/>
          <w:sz w:val="24"/>
          <w:szCs w:val="24"/>
        </w:rPr>
        <w:t>enture to complete the project.</w:t>
      </w:r>
      <w:r w:rsidR="000B1318">
        <w:rPr>
          <w:rFonts w:ascii="Arial" w:hAnsi="Arial" w:cs="Arial"/>
          <w:sz w:val="24"/>
          <w:szCs w:val="24"/>
        </w:rPr>
        <w:t xml:space="preserve"> Respondents defended the review application and also brought a counter-a</w:t>
      </w:r>
      <w:r w:rsidR="00CB152F">
        <w:rPr>
          <w:rFonts w:ascii="Arial" w:hAnsi="Arial" w:cs="Arial"/>
          <w:sz w:val="24"/>
          <w:szCs w:val="24"/>
        </w:rPr>
        <w:t>pplication to have the award</w:t>
      </w:r>
      <w:r w:rsidR="000B1318">
        <w:rPr>
          <w:rFonts w:ascii="Arial" w:hAnsi="Arial" w:cs="Arial"/>
          <w:sz w:val="24"/>
          <w:szCs w:val="24"/>
        </w:rPr>
        <w:t xml:space="preserve"> of the tender set aside</w:t>
      </w:r>
      <w:r w:rsidR="00C22878">
        <w:rPr>
          <w:rFonts w:ascii="Arial" w:hAnsi="Arial" w:cs="Arial"/>
          <w:sz w:val="24"/>
          <w:szCs w:val="24"/>
        </w:rPr>
        <w:t xml:space="preserve"> as treasu</w:t>
      </w:r>
      <w:r w:rsidR="006D74C9">
        <w:rPr>
          <w:rFonts w:ascii="Arial" w:hAnsi="Arial" w:cs="Arial"/>
          <w:sz w:val="24"/>
          <w:szCs w:val="24"/>
        </w:rPr>
        <w:t xml:space="preserve">ry approval was not </w:t>
      </w:r>
      <w:r w:rsidR="007A0A9E">
        <w:rPr>
          <w:rFonts w:ascii="Arial" w:hAnsi="Arial" w:cs="Arial"/>
          <w:sz w:val="24"/>
          <w:szCs w:val="24"/>
        </w:rPr>
        <w:t>granted</w:t>
      </w:r>
      <w:r w:rsidR="00157152">
        <w:rPr>
          <w:rFonts w:ascii="Arial" w:hAnsi="Arial" w:cs="Arial"/>
          <w:sz w:val="24"/>
          <w:szCs w:val="24"/>
        </w:rPr>
        <w:t xml:space="preserve"> in terms of s 17 of the State Finance Act</w:t>
      </w:r>
      <w:r w:rsidR="000B1318">
        <w:rPr>
          <w:rFonts w:ascii="Arial" w:hAnsi="Arial" w:cs="Arial"/>
          <w:sz w:val="24"/>
          <w:szCs w:val="24"/>
        </w:rPr>
        <w:t>.</w:t>
      </w:r>
    </w:p>
    <w:p w:rsidR="00AF675B" w:rsidRDefault="00AF675B" w:rsidP="00AF675B">
      <w:pPr>
        <w:pStyle w:val="NoSpacing"/>
        <w:spacing w:line="360" w:lineRule="auto"/>
        <w:jc w:val="both"/>
        <w:rPr>
          <w:rFonts w:ascii="Arial" w:hAnsi="Arial" w:cs="Arial"/>
          <w:sz w:val="24"/>
          <w:szCs w:val="24"/>
        </w:rPr>
      </w:pPr>
    </w:p>
    <w:p w:rsidR="00AF675B" w:rsidRDefault="00AF675B" w:rsidP="00AF675B">
      <w:pPr>
        <w:pStyle w:val="NoSpacing"/>
        <w:spacing w:line="360" w:lineRule="auto"/>
        <w:jc w:val="both"/>
        <w:rPr>
          <w:rFonts w:ascii="Arial" w:hAnsi="Arial" w:cs="Arial"/>
          <w:sz w:val="24"/>
          <w:szCs w:val="24"/>
        </w:rPr>
      </w:pPr>
      <w:r>
        <w:rPr>
          <w:rFonts w:ascii="Arial" w:hAnsi="Arial" w:cs="Arial"/>
          <w:sz w:val="24"/>
          <w:szCs w:val="24"/>
        </w:rPr>
        <w:t xml:space="preserve">In its findings, the court </w:t>
      </w:r>
      <w:r w:rsidRPr="002E716E">
        <w:rPr>
          <w:rFonts w:ascii="Arial" w:hAnsi="Arial" w:cs="Arial"/>
          <w:i/>
          <w:sz w:val="24"/>
          <w:szCs w:val="24"/>
        </w:rPr>
        <w:t>a quo</w:t>
      </w:r>
      <w:r>
        <w:rPr>
          <w:rFonts w:ascii="Arial" w:hAnsi="Arial" w:cs="Arial"/>
          <w:sz w:val="24"/>
          <w:szCs w:val="24"/>
        </w:rPr>
        <w:t xml:space="preserve"> held that neither the </w:t>
      </w:r>
      <w:r w:rsidR="003B52EC">
        <w:rPr>
          <w:rFonts w:ascii="Arial" w:hAnsi="Arial" w:cs="Arial"/>
          <w:sz w:val="24"/>
          <w:szCs w:val="24"/>
        </w:rPr>
        <w:t>architect</w:t>
      </w:r>
      <w:r>
        <w:rPr>
          <w:rFonts w:ascii="Arial" w:hAnsi="Arial" w:cs="Arial"/>
          <w:sz w:val="24"/>
          <w:szCs w:val="24"/>
        </w:rPr>
        <w:t xml:space="preserve"> nor the official from the </w:t>
      </w:r>
      <w:r w:rsidR="00E64A4B">
        <w:rPr>
          <w:rFonts w:ascii="Arial" w:hAnsi="Arial" w:cs="Arial"/>
          <w:sz w:val="24"/>
          <w:szCs w:val="24"/>
        </w:rPr>
        <w:t>regional c</w:t>
      </w:r>
      <w:r w:rsidR="003B52EC">
        <w:rPr>
          <w:rFonts w:ascii="Arial" w:hAnsi="Arial" w:cs="Arial"/>
          <w:sz w:val="24"/>
          <w:szCs w:val="24"/>
        </w:rPr>
        <w:t>ouncil</w:t>
      </w:r>
      <w:r>
        <w:rPr>
          <w:rFonts w:ascii="Arial" w:hAnsi="Arial" w:cs="Arial"/>
          <w:sz w:val="24"/>
          <w:szCs w:val="24"/>
        </w:rPr>
        <w:t xml:space="preserve"> involved had the authority to</w:t>
      </w:r>
      <w:r w:rsidR="009238B1">
        <w:rPr>
          <w:rFonts w:ascii="Arial" w:hAnsi="Arial" w:cs="Arial"/>
          <w:sz w:val="24"/>
          <w:szCs w:val="24"/>
        </w:rPr>
        <w:t xml:space="preserve"> cancel the appointment of the joint v</w:t>
      </w:r>
      <w:r>
        <w:rPr>
          <w:rFonts w:ascii="Arial" w:hAnsi="Arial" w:cs="Arial"/>
          <w:sz w:val="24"/>
          <w:szCs w:val="24"/>
        </w:rPr>
        <w:t xml:space="preserve">enture </w:t>
      </w:r>
      <w:r w:rsidR="00B475F8">
        <w:rPr>
          <w:rFonts w:ascii="Arial" w:hAnsi="Arial" w:cs="Arial"/>
          <w:sz w:val="24"/>
          <w:szCs w:val="24"/>
        </w:rPr>
        <w:t xml:space="preserve">pursuant to s 37(6) of the </w:t>
      </w:r>
      <w:r w:rsidR="003B52EC">
        <w:rPr>
          <w:rFonts w:ascii="Arial" w:hAnsi="Arial" w:cs="Arial"/>
          <w:sz w:val="24"/>
          <w:szCs w:val="24"/>
        </w:rPr>
        <w:t>Regional Council</w:t>
      </w:r>
      <w:r w:rsidR="00B475F8">
        <w:rPr>
          <w:rFonts w:ascii="Arial" w:hAnsi="Arial" w:cs="Arial"/>
          <w:sz w:val="24"/>
          <w:szCs w:val="24"/>
        </w:rPr>
        <w:t xml:space="preserve">s Act. Only the Minister of Urban and Rural Development in consultation with the </w:t>
      </w:r>
      <w:r w:rsidR="00E64A4B">
        <w:rPr>
          <w:rFonts w:ascii="Arial" w:hAnsi="Arial" w:cs="Arial"/>
          <w:sz w:val="24"/>
          <w:szCs w:val="24"/>
        </w:rPr>
        <w:t>regional c</w:t>
      </w:r>
      <w:r w:rsidR="003B52EC">
        <w:rPr>
          <w:rFonts w:ascii="Arial" w:hAnsi="Arial" w:cs="Arial"/>
          <w:sz w:val="24"/>
          <w:szCs w:val="24"/>
        </w:rPr>
        <w:t>ouncil</w:t>
      </w:r>
      <w:r w:rsidR="00B475F8">
        <w:rPr>
          <w:rFonts w:ascii="Arial" w:hAnsi="Arial" w:cs="Arial"/>
          <w:sz w:val="24"/>
          <w:szCs w:val="24"/>
        </w:rPr>
        <w:t xml:space="preserve"> has that power. As a consequence, the court </w:t>
      </w:r>
      <w:r w:rsidR="00B475F8" w:rsidRPr="00B475F8">
        <w:rPr>
          <w:rFonts w:ascii="Arial" w:hAnsi="Arial" w:cs="Arial"/>
          <w:i/>
          <w:sz w:val="24"/>
          <w:szCs w:val="24"/>
        </w:rPr>
        <w:t>a quo</w:t>
      </w:r>
      <w:r w:rsidR="00B475F8">
        <w:rPr>
          <w:rFonts w:ascii="Arial" w:hAnsi="Arial" w:cs="Arial"/>
          <w:sz w:val="24"/>
          <w:szCs w:val="24"/>
        </w:rPr>
        <w:t xml:space="preserve"> held that the cancellation was </w:t>
      </w:r>
      <w:r>
        <w:rPr>
          <w:rFonts w:ascii="Arial" w:hAnsi="Arial" w:cs="Arial"/>
          <w:sz w:val="24"/>
          <w:szCs w:val="24"/>
        </w:rPr>
        <w:t xml:space="preserve">invalid. It also held in respect of the counter application, </w:t>
      </w:r>
      <w:r w:rsidR="004B18BD">
        <w:rPr>
          <w:rFonts w:ascii="Arial" w:hAnsi="Arial" w:cs="Arial"/>
          <w:sz w:val="24"/>
          <w:szCs w:val="24"/>
        </w:rPr>
        <w:t xml:space="preserve">that </w:t>
      </w:r>
      <w:r>
        <w:rPr>
          <w:rFonts w:ascii="Arial" w:hAnsi="Arial" w:cs="Arial"/>
          <w:sz w:val="24"/>
          <w:szCs w:val="24"/>
        </w:rPr>
        <w:t>because the estoppel raised by the appellant</w:t>
      </w:r>
      <w:r w:rsidR="00BB5B99">
        <w:rPr>
          <w:rFonts w:ascii="Arial" w:hAnsi="Arial" w:cs="Arial"/>
          <w:sz w:val="24"/>
          <w:szCs w:val="24"/>
        </w:rPr>
        <w:t>s</w:t>
      </w:r>
      <w:r>
        <w:rPr>
          <w:rFonts w:ascii="Arial" w:hAnsi="Arial" w:cs="Arial"/>
          <w:sz w:val="24"/>
          <w:szCs w:val="24"/>
        </w:rPr>
        <w:t xml:space="preserve"> would result in validating an </w:t>
      </w:r>
      <w:r w:rsidR="004B18BD">
        <w:rPr>
          <w:rFonts w:ascii="Arial" w:hAnsi="Arial" w:cs="Arial"/>
          <w:sz w:val="24"/>
          <w:szCs w:val="24"/>
        </w:rPr>
        <w:t>invalid award</w:t>
      </w:r>
      <w:r>
        <w:rPr>
          <w:rFonts w:ascii="Arial" w:hAnsi="Arial" w:cs="Arial"/>
          <w:sz w:val="24"/>
          <w:szCs w:val="24"/>
        </w:rPr>
        <w:t xml:space="preserve">, </w:t>
      </w:r>
      <w:r w:rsidR="004B18BD">
        <w:rPr>
          <w:rFonts w:ascii="Arial" w:hAnsi="Arial" w:cs="Arial"/>
          <w:sz w:val="24"/>
          <w:szCs w:val="24"/>
        </w:rPr>
        <w:t xml:space="preserve">due to the </w:t>
      </w:r>
      <w:r>
        <w:rPr>
          <w:rFonts w:ascii="Arial" w:hAnsi="Arial" w:cs="Arial"/>
          <w:sz w:val="24"/>
          <w:szCs w:val="24"/>
        </w:rPr>
        <w:t>non-compliance with s 17 of the State Finance Act,</w:t>
      </w:r>
      <w:r w:rsidR="00157152">
        <w:rPr>
          <w:rFonts w:ascii="Arial" w:hAnsi="Arial" w:cs="Arial"/>
          <w:sz w:val="24"/>
          <w:szCs w:val="24"/>
        </w:rPr>
        <w:t xml:space="preserve"> the estoppel point had to fail. The court </w:t>
      </w:r>
      <w:r w:rsidR="00157152" w:rsidRPr="00157152">
        <w:rPr>
          <w:rFonts w:ascii="Arial" w:hAnsi="Arial" w:cs="Arial"/>
          <w:i/>
          <w:sz w:val="24"/>
          <w:szCs w:val="24"/>
        </w:rPr>
        <w:t>a quo</w:t>
      </w:r>
      <w:r w:rsidR="00157152">
        <w:rPr>
          <w:rFonts w:ascii="Arial" w:hAnsi="Arial" w:cs="Arial"/>
          <w:sz w:val="24"/>
          <w:szCs w:val="24"/>
        </w:rPr>
        <w:t xml:space="preserve"> </w:t>
      </w:r>
      <w:r>
        <w:rPr>
          <w:rFonts w:ascii="Arial" w:hAnsi="Arial" w:cs="Arial"/>
          <w:sz w:val="24"/>
          <w:szCs w:val="24"/>
        </w:rPr>
        <w:t xml:space="preserve">thus dismissed the </w:t>
      </w:r>
      <w:r>
        <w:rPr>
          <w:rFonts w:ascii="Arial" w:hAnsi="Arial" w:cs="Arial"/>
          <w:sz w:val="24"/>
          <w:szCs w:val="24"/>
        </w:rPr>
        <w:lastRenderedPageBreak/>
        <w:t xml:space="preserve">main application with costs. As far as the counter application was concerned, the court </w:t>
      </w:r>
      <w:r w:rsidRPr="00117419">
        <w:rPr>
          <w:rFonts w:ascii="Arial" w:hAnsi="Arial" w:cs="Arial"/>
          <w:i/>
          <w:sz w:val="24"/>
          <w:szCs w:val="24"/>
        </w:rPr>
        <w:t>a quo</w:t>
      </w:r>
      <w:r>
        <w:rPr>
          <w:rFonts w:ascii="Arial" w:hAnsi="Arial" w:cs="Arial"/>
          <w:sz w:val="24"/>
          <w:szCs w:val="24"/>
        </w:rPr>
        <w:t xml:space="preserve"> upheld it with costs on the</w:t>
      </w:r>
      <w:r w:rsidR="004B18BD">
        <w:rPr>
          <w:rFonts w:ascii="Arial" w:hAnsi="Arial" w:cs="Arial"/>
          <w:sz w:val="24"/>
          <w:szCs w:val="24"/>
        </w:rPr>
        <w:t xml:space="preserve"> basis that authorisation from T</w:t>
      </w:r>
      <w:r>
        <w:rPr>
          <w:rFonts w:ascii="Arial" w:hAnsi="Arial" w:cs="Arial"/>
          <w:sz w:val="24"/>
          <w:szCs w:val="24"/>
        </w:rPr>
        <w:t>reasury pursuant to s</w:t>
      </w:r>
      <w:r w:rsidR="00157152">
        <w:rPr>
          <w:rFonts w:ascii="Arial" w:hAnsi="Arial" w:cs="Arial"/>
          <w:sz w:val="24"/>
          <w:szCs w:val="24"/>
        </w:rPr>
        <w:t xml:space="preserve"> </w:t>
      </w:r>
      <w:r>
        <w:rPr>
          <w:rFonts w:ascii="Arial" w:hAnsi="Arial" w:cs="Arial"/>
          <w:sz w:val="24"/>
          <w:szCs w:val="24"/>
        </w:rPr>
        <w:t>17 of the State Finance Act was a prerequisite for the making of an award by the Tender Board.</w:t>
      </w:r>
    </w:p>
    <w:p w:rsidR="00824C1D" w:rsidRDefault="00824C1D" w:rsidP="00AF675B">
      <w:pPr>
        <w:pStyle w:val="NoSpacing"/>
        <w:spacing w:line="360" w:lineRule="auto"/>
        <w:jc w:val="both"/>
        <w:rPr>
          <w:rFonts w:ascii="Arial" w:hAnsi="Arial" w:cs="Arial"/>
          <w:sz w:val="24"/>
          <w:szCs w:val="24"/>
        </w:rPr>
      </w:pPr>
    </w:p>
    <w:p w:rsidR="00824C1D" w:rsidRDefault="00824C1D" w:rsidP="00AF675B">
      <w:pPr>
        <w:pStyle w:val="NoSpacing"/>
        <w:spacing w:line="360" w:lineRule="auto"/>
        <w:jc w:val="both"/>
        <w:rPr>
          <w:rFonts w:ascii="Arial" w:hAnsi="Arial" w:cs="Arial"/>
          <w:sz w:val="24"/>
          <w:szCs w:val="24"/>
        </w:rPr>
      </w:pPr>
      <w:r>
        <w:rPr>
          <w:rFonts w:ascii="Arial" w:hAnsi="Arial" w:cs="Arial"/>
          <w:sz w:val="24"/>
          <w:szCs w:val="24"/>
        </w:rPr>
        <w:t xml:space="preserve">This court </w:t>
      </w:r>
      <w:r w:rsidR="00B475F8">
        <w:rPr>
          <w:rFonts w:ascii="Arial" w:hAnsi="Arial" w:cs="Arial"/>
          <w:sz w:val="24"/>
          <w:szCs w:val="24"/>
        </w:rPr>
        <w:t>was seized with the task of dealing with the issue of the cancellation of the tender award</w:t>
      </w:r>
      <w:r w:rsidR="00E52B63">
        <w:rPr>
          <w:rFonts w:ascii="Arial" w:hAnsi="Arial" w:cs="Arial"/>
          <w:sz w:val="24"/>
          <w:szCs w:val="24"/>
        </w:rPr>
        <w:t xml:space="preserve"> by the </w:t>
      </w:r>
      <w:r w:rsidR="003B52EC">
        <w:rPr>
          <w:rFonts w:ascii="Arial" w:hAnsi="Arial" w:cs="Arial"/>
          <w:sz w:val="24"/>
          <w:szCs w:val="24"/>
        </w:rPr>
        <w:t>architect</w:t>
      </w:r>
      <w:r w:rsidR="00E52B63">
        <w:rPr>
          <w:rFonts w:ascii="Arial" w:hAnsi="Arial" w:cs="Arial"/>
          <w:sz w:val="24"/>
          <w:szCs w:val="24"/>
        </w:rPr>
        <w:t xml:space="preserve"> and the</w:t>
      </w:r>
      <w:r w:rsidR="003B52EC">
        <w:rPr>
          <w:rFonts w:ascii="Arial" w:hAnsi="Arial" w:cs="Arial"/>
          <w:sz w:val="24"/>
          <w:szCs w:val="24"/>
        </w:rPr>
        <w:t xml:space="preserve"> d</w:t>
      </w:r>
      <w:r w:rsidR="0093520C">
        <w:rPr>
          <w:rFonts w:ascii="Arial" w:hAnsi="Arial" w:cs="Arial"/>
          <w:sz w:val="24"/>
          <w:szCs w:val="24"/>
        </w:rPr>
        <w:t>irector of the</w:t>
      </w:r>
      <w:r w:rsidR="00E52B63">
        <w:rPr>
          <w:rFonts w:ascii="Arial" w:hAnsi="Arial" w:cs="Arial"/>
          <w:sz w:val="24"/>
          <w:szCs w:val="24"/>
        </w:rPr>
        <w:t xml:space="preserve"> </w:t>
      </w:r>
      <w:r w:rsidR="00E64A4B">
        <w:rPr>
          <w:rFonts w:ascii="Arial" w:hAnsi="Arial" w:cs="Arial"/>
          <w:sz w:val="24"/>
          <w:szCs w:val="24"/>
        </w:rPr>
        <w:t>regional c</w:t>
      </w:r>
      <w:r w:rsidR="003B52EC">
        <w:rPr>
          <w:rFonts w:ascii="Arial" w:hAnsi="Arial" w:cs="Arial"/>
          <w:sz w:val="24"/>
          <w:szCs w:val="24"/>
        </w:rPr>
        <w:t>ouncil</w:t>
      </w:r>
      <w:r w:rsidR="00E52B63">
        <w:rPr>
          <w:rFonts w:ascii="Arial" w:hAnsi="Arial" w:cs="Arial"/>
          <w:sz w:val="24"/>
          <w:szCs w:val="24"/>
        </w:rPr>
        <w:t>,</w:t>
      </w:r>
      <w:r w:rsidR="00B475F8">
        <w:rPr>
          <w:rFonts w:ascii="Arial" w:hAnsi="Arial" w:cs="Arial"/>
          <w:sz w:val="24"/>
          <w:szCs w:val="24"/>
        </w:rPr>
        <w:t xml:space="preserve"> and the issue of estoppel.</w:t>
      </w:r>
    </w:p>
    <w:p w:rsidR="00157152" w:rsidRDefault="00157152" w:rsidP="00AF675B">
      <w:pPr>
        <w:pStyle w:val="NoSpacing"/>
        <w:spacing w:line="360" w:lineRule="auto"/>
        <w:jc w:val="both"/>
        <w:rPr>
          <w:rFonts w:ascii="Arial" w:hAnsi="Arial" w:cs="Arial"/>
          <w:sz w:val="24"/>
          <w:szCs w:val="24"/>
        </w:rPr>
      </w:pPr>
    </w:p>
    <w:p w:rsidR="008447A7" w:rsidRDefault="00157152" w:rsidP="00AF675B">
      <w:pPr>
        <w:pStyle w:val="NoSpacing"/>
        <w:spacing w:line="360" w:lineRule="auto"/>
        <w:jc w:val="both"/>
        <w:rPr>
          <w:rFonts w:ascii="Arial" w:hAnsi="Arial" w:cs="Arial"/>
          <w:sz w:val="24"/>
          <w:szCs w:val="24"/>
        </w:rPr>
      </w:pPr>
      <w:r>
        <w:rPr>
          <w:rFonts w:ascii="Arial" w:hAnsi="Arial" w:cs="Arial"/>
          <w:sz w:val="24"/>
          <w:szCs w:val="24"/>
        </w:rPr>
        <w:t xml:space="preserve">Although the finding of the court </w:t>
      </w:r>
      <w:r w:rsidRPr="00157152">
        <w:rPr>
          <w:rFonts w:ascii="Arial" w:hAnsi="Arial" w:cs="Arial"/>
          <w:i/>
          <w:sz w:val="24"/>
          <w:szCs w:val="24"/>
        </w:rPr>
        <w:t>a quo</w:t>
      </w:r>
      <w:r>
        <w:rPr>
          <w:rFonts w:ascii="Arial" w:hAnsi="Arial" w:cs="Arial"/>
          <w:sz w:val="24"/>
          <w:szCs w:val="24"/>
        </w:rPr>
        <w:t xml:space="preserve"> in relation to the cancellation of the award was correct, it was not dealt with in the correct context.</w:t>
      </w:r>
      <w:r w:rsidR="008447A7">
        <w:rPr>
          <w:rFonts w:ascii="Arial" w:hAnsi="Arial" w:cs="Arial"/>
          <w:sz w:val="24"/>
          <w:szCs w:val="24"/>
        </w:rPr>
        <w:t xml:space="preserve"> </w:t>
      </w:r>
      <w:r>
        <w:rPr>
          <w:rFonts w:ascii="Arial" w:hAnsi="Arial" w:cs="Arial"/>
          <w:sz w:val="24"/>
          <w:szCs w:val="24"/>
        </w:rPr>
        <w:t>T</w:t>
      </w:r>
      <w:r w:rsidR="008447A7">
        <w:rPr>
          <w:rFonts w:ascii="Arial" w:hAnsi="Arial" w:cs="Arial"/>
          <w:sz w:val="24"/>
          <w:szCs w:val="24"/>
        </w:rPr>
        <w:t>he obligation to deliver a performance guarantee was a condition precedent to a contract being entered into in respect of the project.</w:t>
      </w:r>
    </w:p>
    <w:p w:rsidR="00AF675B" w:rsidRDefault="00AF675B" w:rsidP="000B292B">
      <w:pPr>
        <w:pStyle w:val="NoSpacing"/>
        <w:spacing w:line="360" w:lineRule="auto"/>
        <w:jc w:val="both"/>
        <w:rPr>
          <w:rFonts w:ascii="Arial" w:hAnsi="Arial" w:cs="Arial"/>
          <w:sz w:val="24"/>
          <w:szCs w:val="24"/>
        </w:rPr>
      </w:pPr>
    </w:p>
    <w:p w:rsidR="002A7509" w:rsidRDefault="00824C1D" w:rsidP="002A7509">
      <w:pPr>
        <w:pStyle w:val="NoSpacing"/>
        <w:spacing w:line="360" w:lineRule="auto"/>
        <w:jc w:val="both"/>
        <w:rPr>
          <w:rFonts w:ascii="Arial" w:hAnsi="Arial" w:cs="Arial"/>
          <w:sz w:val="24"/>
          <w:szCs w:val="24"/>
        </w:rPr>
      </w:pPr>
      <w:r w:rsidRPr="00E52B63">
        <w:rPr>
          <w:rFonts w:ascii="Arial" w:hAnsi="Arial" w:cs="Arial"/>
          <w:i/>
          <w:sz w:val="24"/>
          <w:szCs w:val="24"/>
        </w:rPr>
        <w:t>It is held that</w:t>
      </w:r>
      <w:r>
        <w:rPr>
          <w:rFonts w:ascii="Arial" w:hAnsi="Arial" w:cs="Arial"/>
          <w:sz w:val="24"/>
          <w:szCs w:val="24"/>
        </w:rPr>
        <w:t xml:space="preserve">, </w:t>
      </w:r>
      <w:r w:rsidR="00E52B63">
        <w:rPr>
          <w:rFonts w:ascii="Arial" w:hAnsi="Arial" w:cs="Arial"/>
          <w:sz w:val="24"/>
          <w:szCs w:val="24"/>
        </w:rPr>
        <w:t xml:space="preserve">the use of the word ‘cancelled’ by the </w:t>
      </w:r>
      <w:r w:rsidR="00D630AB">
        <w:rPr>
          <w:rFonts w:ascii="Arial" w:hAnsi="Arial" w:cs="Arial"/>
          <w:sz w:val="24"/>
          <w:szCs w:val="24"/>
        </w:rPr>
        <w:t>a</w:t>
      </w:r>
      <w:r w:rsidR="003B52EC">
        <w:rPr>
          <w:rFonts w:ascii="Arial" w:hAnsi="Arial" w:cs="Arial"/>
          <w:sz w:val="24"/>
          <w:szCs w:val="24"/>
        </w:rPr>
        <w:t>rchitect</w:t>
      </w:r>
      <w:r w:rsidR="00E52B63">
        <w:rPr>
          <w:rFonts w:ascii="Arial" w:hAnsi="Arial" w:cs="Arial"/>
          <w:sz w:val="24"/>
          <w:szCs w:val="24"/>
        </w:rPr>
        <w:t xml:space="preserve"> must not be </w:t>
      </w:r>
      <w:r w:rsidR="004B18BD">
        <w:rPr>
          <w:rFonts w:ascii="Arial" w:hAnsi="Arial" w:cs="Arial"/>
          <w:sz w:val="24"/>
          <w:szCs w:val="24"/>
        </w:rPr>
        <w:t xml:space="preserve">understood </w:t>
      </w:r>
      <w:r w:rsidR="00E52B63">
        <w:rPr>
          <w:rFonts w:ascii="Arial" w:hAnsi="Arial" w:cs="Arial"/>
          <w:sz w:val="24"/>
          <w:szCs w:val="24"/>
        </w:rPr>
        <w:t xml:space="preserve">out of context and in the sense that a legal practitioner will use it, namely to cancel an otherwise binding agreement. As the condition to provide the performance guarantee suspended the conclusion of the agreement, it had the effect of a normal suspensive condition (ie the right of the parties remained in abeyance pending the fulfilment of the condition). </w:t>
      </w:r>
      <w:r w:rsidR="002A7509">
        <w:rPr>
          <w:rFonts w:ascii="Arial" w:hAnsi="Arial" w:cs="Arial"/>
          <w:sz w:val="24"/>
          <w:szCs w:val="24"/>
        </w:rPr>
        <w:t>Thus</w:t>
      </w:r>
      <w:r w:rsidR="00E52B63">
        <w:rPr>
          <w:rFonts w:ascii="Arial" w:hAnsi="Arial" w:cs="Arial"/>
          <w:sz w:val="24"/>
          <w:szCs w:val="24"/>
        </w:rPr>
        <w:t xml:space="preserve">, </w:t>
      </w:r>
      <w:r w:rsidR="002A7509">
        <w:rPr>
          <w:rFonts w:ascii="Arial" w:hAnsi="Arial" w:cs="Arial"/>
          <w:sz w:val="24"/>
          <w:szCs w:val="24"/>
        </w:rPr>
        <w:t xml:space="preserve">upon </w:t>
      </w:r>
      <w:r w:rsidR="00E52B63">
        <w:rPr>
          <w:rFonts w:ascii="Arial" w:hAnsi="Arial" w:cs="Arial"/>
          <w:sz w:val="24"/>
          <w:szCs w:val="24"/>
        </w:rPr>
        <w:t>the non-fulfilment of the condition</w:t>
      </w:r>
      <w:r w:rsidR="009238B1">
        <w:rPr>
          <w:rFonts w:ascii="Arial" w:hAnsi="Arial" w:cs="Arial"/>
          <w:sz w:val="24"/>
          <w:szCs w:val="24"/>
        </w:rPr>
        <w:t>, the appointment of the j</w:t>
      </w:r>
      <w:r w:rsidR="002A7509">
        <w:rPr>
          <w:rFonts w:ascii="Arial" w:hAnsi="Arial" w:cs="Arial"/>
          <w:sz w:val="24"/>
          <w:szCs w:val="24"/>
        </w:rPr>
        <w:t xml:space="preserve">oint </w:t>
      </w:r>
      <w:r w:rsidR="009238B1">
        <w:rPr>
          <w:rFonts w:ascii="Arial" w:hAnsi="Arial" w:cs="Arial"/>
          <w:sz w:val="24"/>
          <w:szCs w:val="24"/>
        </w:rPr>
        <w:t>v</w:t>
      </w:r>
      <w:r w:rsidR="002A7509">
        <w:rPr>
          <w:rFonts w:ascii="Arial" w:hAnsi="Arial" w:cs="Arial"/>
          <w:sz w:val="24"/>
          <w:szCs w:val="24"/>
        </w:rPr>
        <w:t xml:space="preserve">enture fell by the wayside. There was no need to cancel anything as the appointment of the </w:t>
      </w:r>
      <w:r w:rsidR="009238B1">
        <w:rPr>
          <w:rFonts w:ascii="Arial" w:hAnsi="Arial" w:cs="Arial"/>
          <w:sz w:val="24"/>
          <w:szCs w:val="24"/>
        </w:rPr>
        <w:t>joint v</w:t>
      </w:r>
      <w:r w:rsidR="002A7509">
        <w:rPr>
          <w:rFonts w:ascii="Arial" w:hAnsi="Arial" w:cs="Arial"/>
          <w:sz w:val="24"/>
          <w:szCs w:val="24"/>
        </w:rPr>
        <w:t>enture automatically lapsed.</w:t>
      </w:r>
      <w:r w:rsidR="00E52B63">
        <w:rPr>
          <w:rFonts w:ascii="Arial" w:hAnsi="Arial" w:cs="Arial"/>
          <w:sz w:val="24"/>
          <w:szCs w:val="24"/>
        </w:rPr>
        <w:t xml:space="preserve"> </w:t>
      </w:r>
    </w:p>
    <w:p w:rsidR="002A7509" w:rsidRDefault="002A7509" w:rsidP="002A7509">
      <w:pPr>
        <w:pStyle w:val="NoSpacing"/>
        <w:spacing w:line="360" w:lineRule="auto"/>
        <w:jc w:val="both"/>
        <w:rPr>
          <w:rFonts w:ascii="Arial" w:hAnsi="Arial" w:cs="Arial"/>
          <w:sz w:val="24"/>
          <w:szCs w:val="24"/>
        </w:rPr>
      </w:pPr>
    </w:p>
    <w:p w:rsidR="002A7509" w:rsidRDefault="002A7509" w:rsidP="002A7509">
      <w:pPr>
        <w:pStyle w:val="NoSpacing"/>
        <w:spacing w:line="360" w:lineRule="auto"/>
        <w:jc w:val="both"/>
        <w:rPr>
          <w:rFonts w:ascii="Arial" w:hAnsi="Arial" w:cs="Arial"/>
          <w:sz w:val="24"/>
          <w:szCs w:val="24"/>
        </w:rPr>
      </w:pPr>
      <w:r w:rsidRPr="002A7509">
        <w:rPr>
          <w:rFonts w:ascii="Arial" w:hAnsi="Arial" w:cs="Arial"/>
          <w:i/>
          <w:sz w:val="24"/>
          <w:szCs w:val="24"/>
        </w:rPr>
        <w:t>Held that</w:t>
      </w:r>
      <w:r>
        <w:rPr>
          <w:rFonts w:ascii="Arial" w:hAnsi="Arial" w:cs="Arial"/>
          <w:sz w:val="24"/>
          <w:szCs w:val="24"/>
        </w:rPr>
        <w:t xml:space="preserve">, the authority of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w:t>
      </w:r>
      <w:r w:rsidRPr="0030030A">
        <w:rPr>
          <w:rFonts w:ascii="Arial" w:hAnsi="Arial" w:cs="Arial"/>
          <w:sz w:val="24"/>
          <w:szCs w:val="24"/>
        </w:rPr>
        <w:t>or the Director</w:t>
      </w:r>
      <w:r>
        <w:rPr>
          <w:rFonts w:ascii="Arial" w:hAnsi="Arial" w:cs="Arial"/>
          <w:sz w:val="24"/>
          <w:szCs w:val="24"/>
        </w:rPr>
        <w:t xml:space="preserve"> to cancel is irrelevant as the</w:t>
      </w:r>
      <w:r w:rsidR="009238B1">
        <w:rPr>
          <w:rFonts w:ascii="Arial" w:hAnsi="Arial" w:cs="Arial"/>
          <w:sz w:val="24"/>
          <w:szCs w:val="24"/>
        </w:rPr>
        <w:t>y did not cancel anything. The joint v</w:t>
      </w:r>
      <w:r>
        <w:rPr>
          <w:rFonts w:ascii="Arial" w:hAnsi="Arial" w:cs="Arial"/>
          <w:sz w:val="24"/>
          <w:szCs w:val="24"/>
        </w:rPr>
        <w:t xml:space="preserve">enture’s appointment simply came to an end when it failed to provide the guarantee timeously. Despite the use of the word ‘cancelled’ by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it is clear what she intended to say was that t</w:t>
      </w:r>
      <w:r w:rsidR="009238B1">
        <w:rPr>
          <w:rFonts w:ascii="Arial" w:hAnsi="Arial" w:cs="Arial"/>
          <w:sz w:val="24"/>
          <w:szCs w:val="24"/>
        </w:rPr>
        <w:t>here was non-compliance by the joint v</w:t>
      </w:r>
      <w:r>
        <w:rPr>
          <w:rFonts w:ascii="Arial" w:hAnsi="Arial" w:cs="Arial"/>
          <w:sz w:val="24"/>
          <w:szCs w:val="24"/>
        </w:rPr>
        <w:t>enture to adhere to the terms of the condition relating to the guarantee timeously and that is what led to the termination of the appointment.</w:t>
      </w:r>
    </w:p>
    <w:p w:rsidR="002A7509" w:rsidRDefault="002A7509" w:rsidP="000B292B">
      <w:pPr>
        <w:pStyle w:val="NoSpacing"/>
        <w:spacing w:line="360" w:lineRule="auto"/>
        <w:jc w:val="both"/>
        <w:rPr>
          <w:rFonts w:ascii="Arial" w:hAnsi="Arial" w:cs="Arial"/>
          <w:sz w:val="24"/>
          <w:szCs w:val="24"/>
        </w:rPr>
      </w:pPr>
    </w:p>
    <w:p w:rsidR="00356B91" w:rsidRPr="00840E4D" w:rsidRDefault="00254E7F" w:rsidP="000B292B">
      <w:pPr>
        <w:pStyle w:val="NoSpacing"/>
        <w:spacing w:line="360" w:lineRule="auto"/>
        <w:jc w:val="both"/>
        <w:rPr>
          <w:rFonts w:ascii="Arial" w:hAnsi="Arial" w:cs="Arial"/>
          <w:sz w:val="24"/>
          <w:szCs w:val="24"/>
        </w:rPr>
      </w:pPr>
      <w:r>
        <w:rPr>
          <w:rFonts w:ascii="Arial" w:hAnsi="Arial" w:cs="Arial"/>
          <w:sz w:val="24"/>
          <w:szCs w:val="24"/>
        </w:rPr>
        <w:lastRenderedPageBreak/>
        <w:t xml:space="preserve">Appellants averred before the court </w:t>
      </w:r>
      <w:r w:rsidRPr="0093520C">
        <w:rPr>
          <w:rFonts w:ascii="Arial" w:hAnsi="Arial" w:cs="Arial"/>
          <w:i/>
          <w:sz w:val="24"/>
          <w:szCs w:val="24"/>
        </w:rPr>
        <w:t>a quo</w:t>
      </w:r>
      <w:r>
        <w:rPr>
          <w:rFonts w:ascii="Arial" w:hAnsi="Arial" w:cs="Arial"/>
          <w:sz w:val="24"/>
          <w:szCs w:val="24"/>
        </w:rPr>
        <w:t xml:space="preserve"> that the respondents were estopped from denying authority of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to extend the deadline for the submission </w:t>
      </w:r>
      <w:r w:rsidR="0093520C">
        <w:rPr>
          <w:rFonts w:ascii="Arial" w:hAnsi="Arial" w:cs="Arial"/>
          <w:sz w:val="24"/>
          <w:szCs w:val="24"/>
        </w:rPr>
        <w:t>of</w:t>
      </w:r>
      <w:r>
        <w:rPr>
          <w:rFonts w:ascii="Arial" w:hAnsi="Arial" w:cs="Arial"/>
          <w:sz w:val="24"/>
          <w:szCs w:val="24"/>
        </w:rPr>
        <w:t xml:space="preserve"> the performance guarantee.</w:t>
      </w:r>
      <w:r w:rsidR="0093520C">
        <w:rPr>
          <w:rFonts w:ascii="Arial" w:hAnsi="Arial" w:cs="Arial"/>
          <w:sz w:val="24"/>
          <w:szCs w:val="24"/>
        </w:rPr>
        <w:t xml:space="preserve"> </w:t>
      </w:r>
    </w:p>
    <w:p w:rsidR="00385C8A" w:rsidRDefault="00385C8A" w:rsidP="000B292B">
      <w:pPr>
        <w:pStyle w:val="NoSpacing"/>
        <w:spacing w:line="360" w:lineRule="auto"/>
        <w:jc w:val="both"/>
        <w:rPr>
          <w:rFonts w:ascii="Arial" w:hAnsi="Arial" w:cs="Arial"/>
          <w:sz w:val="24"/>
          <w:szCs w:val="24"/>
        </w:rPr>
      </w:pPr>
    </w:p>
    <w:p w:rsidR="00CA257C" w:rsidRDefault="0093520C" w:rsidP="000B292B">
      <w:pPr>
        <w:pStyle w:val="NoSpacing"/>
        <w:spacing w:line="360" w:lineRule="auto"/>
        <w:jc w:val="both"/>
        <w:rPr>
          <w:rFonts w:ascii="Arial" w:hAnsi="Arial" w:cs="Arial"/>
          <w:sz w:val="24"/>
          <w:szCs w:val="24"/>
        </w:rPr>
      </w:pPr>
      <w:r w:rsidRPr="009C2B82">
        <w:rPr>
          <w:rFonts w:ascii="Arial" w:hAnsi="Arial" w:cs="Arial"/>
          <w:i/>
          <w:sz w:val="24"/>
          <w:szCs w:val="24"/>
        </w:rPr>
        <w:t>It is held that</w:t>
      </w:r>
      <w:r>
        <w:rPr>
          <w:rFonts w:ascii="Arial" w:hAnsi="Arial" w:cs="Arial"/>
          <w:sz w:val="24"/>
          <w:szCs w:val="24"/>
        </w:rPr>
        <w:t xml:space="preserve">, the court </w:t>
      </w:r>
      <w:r w:rsidRPr="009C2B82">
        <w:rPr>
          <w:rFonts w:ascii="Arial" w:hAnsi="Arial" w:cs="Arial"/>
          <w:i/>
          <w:sz w:val="24"/>
          <w:szCs w:val="24"/>
        </w:rPr>
        <w:t>a quo</w:t>
      </w:r>
      <w:r>
        <w:rPr>
          <w:rFonts w:ascii="Arial" w:hAnsi="Arial" w:cs="Arial"/>
          <w:sz w:val="24"/>
          <w:szCs w:val="24"/>
        </w:rPr>
        <w:t xml:space="preserve"> was correct in finding that neither the </w:t>
      </w:r>
      <w:r w:rsidR="003B52EC">
        <w:rPr>
          <w:rFonts w:ascii="Arial" w:hAnsi="Arial" w:cs="Arial"/>
          <w:sz w:val="24"/>
          <w:szCs w:val="24"/>
        </w:rPr>
        <w:t>architect</w:t>
      </w:r>
      <w:r>
        <w:rPr>
          <w:rFonts w:ascii="Arial" w:hAnsi="Arial" w:cs="Arial"/>
          <w:sz w:val="24"/>
          <w:szCs w:val="24"/>
        </w:rPr>
        <w:t xml:space="preserve"> nor the Director of the </w:t>
      </w:r>
      <w:r w:rsidR="00E64A4B">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xml:space="preserve"> had the authority to agree to the extension</w:t>
      </w:r>
      <w:r w:rsidR="009C2B82">
        <w:rPr>
          <w:rFonts w:ascii="Arial" w:hAnsi="Arial" w:cs="Arial"/>
          <w:sz w:val="24"/>
          <w:szCs w:val="24"/>
        </w:rPr>
        <w:t xml:space="preserve">. </w:t>
      </w:r>
      <w:r w:rsidR="00F546CA">
        <w:rPr>
          <w:rFonts w:ascii="Arial" w:hAnsi="Arial" w:cs="Arial"/>
          <w:sz w:val="24"/>
          <w:szCs w:val="24"/>
        </w:rPr>
        <w:t xml:space="preserve">It is clear that neither these persons had express authority to grant extensions. Neither did they have implied or ostensible authority. An </w:t>
      </w:r>
      <w:r w:rsidR="00D630AB">
        <w:rPr>
          <w:rFonts w:ascii="Arial" w:hAnsi="Arial" w:cs="Arial"/>
          <w:sz w:val="24"/>
          <w:szCs w:val="24"/>
        </w:rPr>
        <w:t>a</w:t>
      </w:r>
      <w:r w:rsidR="003B52EC">
        <w:rPr>
          <w:rFonts w:ascii="Arial" w:hAnsi="Arial" w:cs="Arial"/>
          <w:sz w:val="24"/>
          <w:szCs w:val="24"/>
        </w:rPr>
        <w:t>rchitect</w:t>
      </w:r>
      <w:r w:rsidR="00F546CA">
        <w:rPr>
          <w:rFonts w:ascii="Arial" w:hAnsi="Arial" w:cs="Arial"/>
          <w:sz w:val="24"/>
          <w:szCs w:val="24"/>
        </w:rPr>
        <w:t xml:space="preserve"> does not have the implied authority to alter the terms of a contract. To accept such </w:t>
      </w:r>
      <w:r w:rsidR="00F546CA" w:rsidRPr="00471055">
        <w:rPr>
          <w:rFonts w:ascii="Arial" w:hAnsi="Arial" w:cs="Arial"/>
          <w:sz w:val="24"/>
          <w:szCs w:val="24"/>
        </w:rPr>
        <w:t>implied</w:t>
      </w:r>
      <w:r w:rsidR="00F546CA">
        <w:rPr>
          <w:rFonts w:ascii="Arial" w:hAnsi="Arial" w:cs="Arial"/>
          <w:sz w:val="24"/>
          <w:szCs w:val="24"/>
        </w:rPr>
        <w:t xml:space="preserve"> authority to extend time periods attached to the conditions precedent would be to allow an </w:t>
      </w:r>
      <w:r w:rsidR="00D630AB">
        <w:rPr>
          <w:rFonts w:ascii="Arial" w:hAnsi="Arial" w:cs="Arial"/>
          <w:sz w:val="24"/>
          <w:szCs w:val="24"/>
        </w:rPr>
        <w:t>a</w:t>
      </w:r>
      <w:r w:rsidR="003B52EC">
        <w:rPr>
          <w:rFonts w:ascii="Arial" w:hAnsi="Arial" w:cs="Arial"/>
          <w:sz w:val="24"/>
          <w:szCs w:val="24"/>
        </w:rPr>
        <w:t>rchitect</w:t>
      </w:r>
      <w:r w:rsidR="00F546CA">
        <w:rPr>
          <w:rFonts w:ascii="Arial" w:hAnsi="Arial" w:cs="Arial"/>
          <w:sz w:val="24"/>
          <w:szCs w:val="24"/>
        </w:rPr>
        <w:t xml:space="preserve"> to resurrect the whole contract when he or she does not have the power to alter a single clause. </w:t>
      </w:r>
      <w:r w:rsidR="009C2B82">
        <w:rPr>
          <w:rFonts w:ascii="Arial" w:hAnsi="Arial" w:cs="Arial"/>
          <w:sz w:val="24"/>
          <w:szCs w:val="24"/>
        </w:rPr>
        <w:t>If the delay in the submission of the performance guarantee was agreed to by the Ministry of Education or the said M</w:t>
      </w:r>
      <w:r w:rsidR="009238B1">
        <w:rPr>
          <w:rFonts w:ascii="Arial" w:hAnsi="Arial" w:cs="Arial"/>
          <w:sz w:val="24"/>
          <w:szCs w:val="24"/>
        </w:rPr>
        <w:t>inistry had represented to the joint v</w:t>
      </w:r>
      <w:r w:rsidR="009C2B82">
        <w:rPr>
          <w:rFonts w:ascii="Arial" w:hAnsi="Arial" w:cs="Arial"/>
          <w:sz w:val="24"/>
          <w:szCs w:val="24"/>
        </w:rPr>
        <w:t xml:space="preserve">enture that its representative had authority to agree to an extension of the time period involved, it may have been estopped from denying the lack of authority. Where the </w:t>
      </w:r>
      <w:r w:rsidR="00E64A4B">
        <w:rPr>
          <w:rFonts w:ascii="Arial" w:hAnsi="Arial" w:cs="Arial"/>
          <w:sz w:val="24"/>
          <w:szCs w:val="24"/>
        </w:rPr>
        <w:t>r</w:t>
      </w:r>
      <w:r w:rsidR="00D630AB">
        <w:rPr>
          <w:rFonts w:ascii="Arial" w:hAnsi="Arial" w:cs="Arial"/>
          <w:sz w:val="24"/>
          <w:szCs w:val="24"/>
        </w:rPr>
        <w:t>e</w:t>
      </w:r>
      <w:r w:rsidR="00E64A4B">
        <w:rPr>
          <w:rFonts w:ascii="Arial" w:hAnsi="Arial" w:cs="Arial"/>
          <w:sz w:val="24"/>
          <w:szCs w:val="24"/>
        </w:rPr>
        <w:t>gional c</w:t>
      </w:r>
      <w:r w:rsidR="003B52EC">
        <w:rPr>
          <w:rFonts w:ascii="Arial" w:hAnsi="Arial" w:cs="Arial"/>
          <w:sz w:val="24"/>
          <w:szCs w:val="24"/>
        </w:rPr>
        <w:t>ouncil</w:t>
      </w:r>
      <w:r w:rsidR="009C2B82">
        <w:rPr>
          <w:rFonts w:ascii="Arial" w:hAnsi="Arial" w:cs="Arial"/>
          <w:sz w:val="24"/>
          <w:szCs w:val="24"/>
        </w:rPr>
        <w:t xml:space="preserve"> as agent of the Ministry of Education had</w:t>
      </w:r>
      <w:r w:rsidR="004B18BD">
        <w:rPr>
          <w:rFonts w:ascii="Arial" w:hAnsi="Arial" w:cs="Arial"/>
          <w:sz w:val="24"/>
          <w:szCs w:val="24"/>
        </w:rPr>
        <w:t xml:space="preserve"> agreed to extend the deadline for</w:t>
      </w:r>
      <w:r w:rsidR="009C2B82">
        <w:rPr>
          <w:rFonts w:ascii="Arial" w:hAnsi="Arial" w:cs="Arial"/>
          <w:sz w:val="24"/>
          <w:szCs w:val="24"/>
        </w:rPr>
        <w:t xml:space="preserve"> the filing of the guarantee, then there may have been some basis to argue that it had implied authority to do so. Also, </w:t>
      </w:r>
      <w:r w:rsidR="009238B1">
        <w:rPr>
          <w:rFonts w:ascii="Arial" w:hAnsi="Arial" w:cs="Arial"/>
          <w:sz w:val="24"/>
          <w:szCs w:val="24"/>
        </w:rPr>
        <w:t>if they had represented to the joint v</w:t>
      </w:r>
      <w:r w:rsidR="009C2B82">
        <w:rPr>
          <w:rFonts w:ascii="Arial" w:hAnsi="Arial" w:cs="Arial"/>
          <w:sz w:val="24"/>
          <w:szCs w:val="24"/>
        </w:rPr>
        <w:t xml:space="preserve">enture that the </w:t>
      </w:r>
      <w:r w:rsidR="00D630AB">
        <w:rPr>
          <w:rFonts w:ascii="Arial" w:hAnsi="Arial" w:cs="Arial"/>
          <w:sz w:val="24"/>
          <w:szCs w:val="24"/>
        </w:rPr>
        <w:t>a</w:t>
      </w:r>
      <w:r w:rsidR="003B52EC">
        <w:rPr>
          <w:rFonts w:ascii="Arial" w:hAnsi="Arial" w:cs="Arial"/>
          <w:sz w:val="24"/>
          <w:szCs w:val="24"/>
        </w:rPr>
        <w:t>rchitect</w:t>
      </w:r>
      <w:r w:rsidR="009C2B82">
        <w:rPr>
          <w:rFonts w:ascii="Arial" w:hAnsi="Arial" w:cs="Arial"/>
          <w:sz w:val="24"/>
          <w:szCs w:val="24"/>
        </w:rPr>
        <w:t xml:space="preserve"> had the authority to extend the deadline to submit the guarantee, the question of estoppel might have arisen.</w:t>
      </w:r>
    </w:p>
    <w:p w:rsidR="00F546CA" w:rsidRDefault="00F546CA" w:rsidP="000B292B">
      <w:pPr>
        <w:pStyle w:val="NoSpacing"/>
        <w:spacing w:line="360" w:lineRule="auto"/>
        <w:jc w:val="both"/>
        <w:rPr>
          <w:rFonts w:ascii="Arial" w:hAnsi="Arial" w:cs="Arial"/>
          <w:sz w:val="24"/>
          <w:szCs w:val="24"/>
        </w:rPr>
      </w:pPr>
    </w:p>
    <w:p w:rsidR="00EB423A" w:rsidRDefault="00F546CA" w:rsidP="00EB423A">
      <w:pPr>
        <w:pStyle w:val="NoSpacing"/>
        <w:spacing w:line="360" w:lineRule="auto"/>
        <w:jc w:val="both"/>
        <w:rPr>
          <w:rFonts w:ascii="Arial" w:hAnsi="Arial" w:cs="Arial"/>
          <w:sz w:val="24"/>
          <w:szCs w:val="24"/>
        </w:rPr>
      </w:pPr>
      <w:r w:rsidRPr="00F546CA">
        <w:rPr>
          <w:rFonts w:ascii="Arial" w:hAnsi="Arial" w:cs="Arial"/>
          <w:i/>
          <w:sz w:val="24"/>
          <w:szCs w:val="24"/>
        </w:rPr>
        <w:t>Held that</w:t>
      </w:r>
      <w:r>
        <w:rPr>
          <w:rFonts w:ascii="Arial" w:hAnsi="Arial" w:cs="Arial"/>
          <w:sz w:val="24"/>
          <w:szCs w:val="24"/>
        </w:rPr>
        <w:t xml:space="preserve">,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as agent could not </w:t>
      </w:r>
      <w:r w:rsidR="00D03EAE">
        <w:rPr>
          <w:rFonts w:ascii="Arial" w:hAnsi="Arial" w:cs="Arial"/>
          <w:sz w:val="24"/>
          <w:szCs w:val="24"/>
        </w:rPr>
        <w:t xml:space="preserve">through </w:t>
      </w:r>
      <w:r>
        <w:rPr>
          <w:rFonts w:ascii="Arial" w:hAnsi="Arial" w:cs="Arial"/>
          <w:sz w:val="24"/>
          <w:szCs w:val="24"/>
        </w:rPr>
        <w:t xml:space="preserve">her </w:t>
      </w:r>
      <w:r w:rsidR="00D03EAE">
        <w:rPr>
          <w:rFonts w:ascii="Arial" w:hAnsi="Arial" w:cs="Arial"/>
          <w:sz w:val="24"/>
          <w:szCs w:val="24"/>
        </w:rPr>
        <w:t xml:space="preserve">representations </w:t>
      </w:r>
      <w:r>
        <w:rPr>
          <w:rFonts w:ascii="Arial" w:hAnsi="Arial" w:cs="Arial"/>
          <w:sz w:val="24"/>
          <w:szCs w:val="24"/>
        </w:rPr>
        <w:t xml:space="preserve">create an estoppel binding on the Ministry or the </w:t>
      </w:r>
      <w:r w:rsidR="00E64A4B">
        <w:rPr>
          <w:rFonts w:ascii="Arial" w:hAnsi="Arial" w:cs="Arial"/>
          <w:sz w:val="24"/>
          <w:szCs w:val="24"/>
        </w:rPr>
        <w:t>r</w:t>
      </w:r>
      <w:r w:rsidR="00D630AB">
        <w:rPr>
          <w:rFonts w:ascii="Arial" w:hAnsi="Arial" w:cs="Arial"/>
          <w:sz w:val="24"/>
          <w:szCs w:val="24"/>
        </w:rPr>
        <w:t>egio</w:t>
      </w:r>
      <w:r w:rsidR="00E64A4B">
        <w:rPr>
          <w:rFonts w:ascii="Arial" w:hAnsi="Arial" w:cs="Arial"/>
          <w:sz w:val="24"/>
          <w:szCs w:val="24"/>
        </w:rPr>
        <w:t>nal c</w:t>
      </w:r>
      <w:r w:rsidR="003B52EC">
        <w:rPr>
          <w:rFonts w:ascii="Arial" w:hAnsi="Arial" w:cs="Arial"/>
          <w:sz w:val="24"/>
          <w:szCs w:val="24"/>
        </w:rPr>
        <w:t>ouncil</w:t>
      </w:r>
      <w:r>
        <w:rPr>
          <w:rFonts w:ascii="Arial" w:hAnsi="Arial" w:cs="Arial"/>
          <w:sz w:val="24"/>
          <w:szCs w:val="24"/>
        </w:rPr>
        <w:t xml:space="preserve">. These two entities </w:t>
      </w:r>
      <w:r w:rsidR="00D03EAE">
        <w:rPr>
          <w:rFonts w:ascii="Arial" w:hAnsi="Arial" w:cs="Arial"/>
          <w:sz w:val="24"/>
          <w:szCs w:val="24"/>
        </w:rPr>
        <w:t>could only be</w:t>
      </w:r>
      <w:r>
        <w:rPr>
          <w:rFonts w:ascii="Arial" w:hAnsi="Arial" w:cs="Arial"/>
          <w:sz w:val="24"/>
          <w:szCs w:val="24"/>
        </w:rPr>
        <w:t xml:space="preserve"> estopped </w:t>
      </w:r>
      <w:r w:rsidR="00D03EAE">
        <w:rPr>
          <w:rFonts w:ascii="Arial" w:hAnsi="Arial" w:cs="Arial"/>
          <w:sz w:val="24"/>
          <w:szCs w:val="24"/>
        </w:rPr>
        <w:t xml:space="preserve">from denying the authority of the </w:t>
      </w:r>
      <w:r w:rsidR="00D630AB">
        <w:rPr>
          <w:rFonts w:ascii="Arial" w:hAnsi="Arial" w:cs="Arial"/>
          <w:sz w:val="24"/>
          <w:szCs w:val="24"/>
        </w:rPr>
        <w:t>a</w:t>
      </w:r>
      <w:r w:rsidR="003B52EC">
        <w:rPr>
          <w:rFonts w:ascii="Arial" w:hAnsi="Arial" w:cs="Arial"/>
          <w:sz w:val="24"/>
          <w:szCs w:val="24"/>
        </w:rPr>
        <w:t>rchitect</w:t>
      </w:r>
      <w:r w:rsidR="00D03EAE">
        <w:rPr>
          <w:rFonts w:ascii="Arial" w:hAnsi="Arial" w:cs="Arial"/>
          <w:sz w:val="24"/>
          <w:szCs w:val="24"/>
        </w:rPr>
        <w:t xml:space="preserve"> if they had made representations that the </w:t>
      </w:r>
      <w:r w:rsidR="00D630AB">
        <w:rPr>
          <w:rFonts w:ascii="Arial" w:hAnsi="Arial" w:cs="Arial"/>
          <w:sz w:val="24"/>
          <w:szCs w:val="24"/>
        </w:rPr>
        <w:t>a</w:t>
      </w:r>
      <w:r w:rsidR="003B52EC">
        <w:rPr>
          <w:rFonts w:ascii="Arial" w:hAnsi="Arial" w:cs="Arial"/>
          <w:sz w:val="24"/>
          <w:szCs w:val="24"/>
        </w:rPr>
        <w:t>rchitect</w:t>
      </w:r>
      <w:r w:rsidR="00D03EAE">
        <w:rPr>
          <w:rFonts w:ascii="Arial" w:hAnsi="Arial" w:cs="Arial"/>
          <w:sz w:val="24"/>
          <w:szCs w:val="24"/>
        </w:rPr>
        <w:t xml:space="preserve"> had the necessary authority. This they did not do hence the estoppel did not succeed.</w:t>
      </w:r>
    </w:p>
    <w:p w:rsidR="00EB423A" w:rsidRDefault="00EB423A" w:rsidP="00EB423A">
      <w:pPr>
        <w:pStyle w:val="NoSpacing"/>
        <w:spacing w:line="360" w:lineRule="auto"/>
        <w:jc w:val="both"/>
        <w:rPr>
          <w:rFonts w:ascii="Arial" w:hAnsi="Arial" w:cs="Arial"/>
          <w:sz w:val="24"/>
          <w:szCs w:val="24"/>
        </w:rPr>
      </w:pPr>
    </w:p>
    <w:p w:rsidR="001D31B9" w:rsidRDefault="00CA257C" w:rsidP="00EB423A">
      <w:pPr>
        <w:pStyle w:val="NoSpacing"/>
        <w:spacing w:line="360" w:lineRule="auto"/>
        <w:jc w:val="both"/>
        <w:rPr>
          <w:rFonts w:ascii="Arial" w:hAnsi="Arial" w:cs="Arial"/>
          <w:sz w:val="24"/>
          <w:szCs w:val="24"/>
        </w:rPr>
      </w:pPr>
      <w:r w:rsidRPr="00CA257C">
        <w:rPr>
          <w:rFonts w:ascii="Arial" w:hAnsi="Arial" w:cs="Arial"/>
          <w:i/>
          <w:sz w:val="24"/>
          <w:szCs w:val="24"/>
        </w:rPr>
        <w:t>It is held that</w:t>
      </w:r>
      <w:r>
        <w:rPr>
          <w:rFonts w:ascii="Arial" w:hAnsi="Arial" w:cs="Arial"/>
          <w:sz w:val="24"/>
          <w:szCs w:val="24"/>
        </w:rPr>
        <w:t xml:space="preserve">, </w:t>
      </w:r>
      <w:r w:rsidR="00EB423A">
        <w:rPr>
          <w:rFonts w:ascii="Arial" w:hAnsi="Arial" w:cs="Arial"/>
          <w:sz w:val="24"/>
          <w:szCs w:val="24"/>
        </w:rPr>
        <w:t xml:space="preserve">the </w:t>
      </w:r>
      <w:r w:rsidR="004B18BD">
        <w:rPr>
          <w:rFonts w:ascii="Arial" w:hAnsi="Arial" w:cs="Arial"/>
          <w:sz w:val="24"/>
          <w:szCs w:val="24"/>
        </w:rPr>
        <w:t xml:space="preserve">Regional </w:t>
      </w:r>
      <w:r w:rsidR="00EB423A">
        <w:rPr>
          <w:rFonts w:ascii="Arial" w:hAnsi="Arial" w:cs="Arial"/>
          <w:sz w:val="24"/>
          <w:szCs w:val="24"/>
        </w:rPr>
        <w:t xml:space="preserve">Tender Board acted </w:t>
      </w:r>
      <w:r w:rsidR="00EB423A" w:rsidRPr="00FC45E5">
        <w:rPr>
          <w:rFonts w:ascii="Arial" w:hAnsi="Arial" w:cs="Arial"/>
          <w:i/>
          <w:sz w:val="24"/>
          <w:szCs w:val="24"/>
        </w:rPr>
        <w:t>ultra vires</w:t>
      </w:r>
      <w:r w:rsidR="00EB423A">
        <w:rPr>
          <w:rFonts w:ascii="Arial" w:hAnsi="Arial" w:cs="Arial"/>
          <w:sz w:val="24"/>
          <w:szCs w:val="24"/>
        </w:rPr>
        <w:t xml:space="preserve"> its powers when it continued to deal with the project without a mandate. Both the </w:t>
      </w:r>
      <w:r w:rsidR="00E64A4B">
        <w:rPr>
          <w:rFonts w:ascii="Arial" w:hAnsi="Arial" w:cs="Arial"/>
          <w:sz w:val="24"/>
          <w:szCs w:val="24"/>
        </w:rPr>
        <w:t>regional c</w:t>
      </w:r>
      <w:r w:rsidR="003B52EC">
        <w:rPr>
          <w:rFonts w:ascii="Arial" w:hAnsi="Arial" w:cs="Arial"/>
          <w:sz w:val="24"/>
          <w:szCs w:val="24"/>
        </w:rPr>
        <w:t>ouncil</w:t>
      </w:r>
      <w:r w:rsidR="001D31B9">
        <w:rPr>
          <w:rFonts w:ascii="Arial" w:hAnsi="Arial" w:cs="Arial"/>
          <w:sz w:val="24"/>
          <w:szCs w:val="24"/>
        </w:rPr>
        <w:t xml:space="preserve"> and the Tender Board were aware of the directive by the accounting officer of the Ministry of Education. Their attempt to hide behind the alleged </w:t>
      </w:r>
      <w:r w:rsidR="001D31B9" w:rsidRPr="006222FE">
        <w:rPr>
          <w:rFonts w:ascii="Arial" w:hAnsi="Arial" w:cs="Arial"/>
          <w:sz w:val="24"/>
          <w:szCs w:val="24"/>
        </w:rPr>
        <w:t>lack of clarity</w:t>
      </w:r>
      <w:r w:rsidR="001D31B9">
        <w:rPr>
          <w:rFonts w:ascii="Arial" w:hAnsi="Arial" w:cs="Arial"/>
          <w:sz w:val="24"/>
          <w:szCs w:val="24"/>
        </w:rPr>
        <w:t xml:space="preserve"> contained in the directive in this </w:t>
      </w:r>
      <w:r w:rsidR="001D31B9">
        <w:rPr>
          <w:rFonts w:ascii="Arial" w:hAnsi="Arial" w:cs="Arial"/>
          <w:sz w:val="24"/>
          <w:szCs w:val="24"/>
        </w:rPr>
        <w:lastRenderedPageBreak/>
        <w:t>regard cannot be accepted and it was anything but vague, ambiguous or badly conceptualised.</w:t>
      </w:r>
    </w:p>
    <w:p w:rsidR="001D31B9" w:rsidRDefault="001D31B9" w:rsidP="00EB423A">
      <w:pPr>
        <w:pStyle w:val="NoSpacing"/>
        <w:spacing w:line="360" w:lineRule="auto"/>
        <w:jc w:val="both"/>
        <w:rPr>
          <w:rFonts w:ascii="Arial" w:hAnsi="Arial" w:cs="Arial"/>
          <w:sz w:val="24"/>
          <w:szCs w:val="24"/>
        </w:rPr>
      </w:pPr>
    </w:p>
    <w:p w:rsidR="001D31B9" w:rsidRDefault="001D31B9" w:rsidP="00EB423A">
      <w:pPr>
        <w:pStyle w:val="NoSpacing"/>
        <w:spacing w:line="360" w:lineRule="auto"/>
        <w:jc w:val="both"/>
        <w:rPr>
          <w:rFonts w:ascii="Arial" w:hAnsi="Arial" w:cs="Arial"/>
          <w:sz w:val="24"/>
          <w:szCs w:val="24"/>
        </w:rPr>
      </w:pPr>
      <w:r w:rsidRPr="001D31B9">
        <w:rPr>
          <w:rFonts w:ascii="Arial" w:hAnsi="Arial" w:cs="Arial"/>
          <w:i/>
          <w:sz w:val="24"/>
          <w:szCs w:val="24"/>
        </w:rPr>
        <w:t>It is held that</w:t>
      </w:r>
      <w:r>
        <w:rPr>
          <w:rFonts w:ascii="Arial" w:hAnsi="Arial" w:cs="Arial"/>
          <w:sz w:val="24"/>
          <w:szCs w:val="24"/>
        </w:rPr>
        <w:t>, the accounting officer of the Ministry of Education through the directive terminated the Tender Board’s mandate to evaluate and to award the tender in respect of the project and to award the tender</w:t>
      </w:r>
      <w:r w:rsidR="008E3483">
        <w:rPr>
          <w:rFonts w:ascii="Arial" w:hAnsi="Arial" w:cs="Arial"/>
          <w:sz w:val="24"/>
          <w:szCs w:val="24"/>
        </w:rPr>
        <w:t>.</w:t>
      </w:r>
    </w:p>
    <w:p w:rsidR="001D31B9" w:rsidRDefault="001D31B9" w:rsidP="00EB423A">
      <w:pPr>
        <w:pStyle w:val="NoSpacing"/>
        <w:spacing w:line="360" w:lineRule="auto"/>
        <w:jc w:val="both"/>
        <w:rPr>
          <w:rFonts w:ascii="Arial" w:hAnsi="Arial" w:cs="Arial"/>
          <w:sz w:val="24"/>
          <w:szCs w:val="24"/>
        </w:rPr>
      </w:pPr>
    </w:p>
    <w:p w:rsidR="008E3483" w:rsidRDefault="008E3483" w:rsidP="00EB423A">
      <w:pPr>
        <w:pStyle w:val="NoSpacing"/>
        <w:spacing w:line="360" w:lineRule="auto"/>
        <w:jc w:val="both"/>
        <w:rPr>
          <w:rFonts w:ascii="Arial" w:hAnsi="Arial" w:cs="Arial"/>
          <w:sz w:val="24"/>
          <w:szCs w:val="24"/>
        </w:rPr>
      </w:pPr>
      <w:r w:rsidRPr="008E3483">
        <w:rPr>
          <w:rFonts w:ascii="Arial" w:hAnsi="Arial" w:cs="Arial"/>
          <w:i/>
          <w:sz w:val="24"/>
          <w:szCs w:val="24"/>
        </w:rPr>
        <w:t>Held that</w:t>
      </w:r>
      <w:r w:rsidRPr="008E3483">
        <w:rPr>
          <w:rFonts w:ascii="Arial" w:hAnsi="Arial" w:cs="Arial"/>
          <w:sz w:val="24"/>
          <w:szCs w:val="24"/>
        </w:rPr>
        <w:t>, not clear that authorisation from Treasury pursuant to s 17 of the State Finance Act was a prerequisite for a valid award by the Tender Board. However, it was not necessary to decide this point</w:t>
      </w:r>
      <w:r>
        <w:rPr>
          <w:rFonts w:ascii="Arial" w:hAnsi="Arial" w:cs="Arial"/>
          <w:sz w:val="24"/>
          <w:szCs w:val="24"/>
        </w:rPr>
        <w:t>.</w:t>
      </w:r>
    </w:p>
    <w:p w:rsidR="008E3483" w:rsidRDefault="008E3483" w:rsidP="00EB423A">
      <w:pPr>
        <w:pStyle w:val="NoSpacing"/>
        <w:spacing w:line="360" w:lineRule="auto"/>
        <w:jc w:val="both"/>
        <w:rPr>
          <w:rFonts w:ascii="Arial" w:hAnsi="Arial" w:cs="Arial"/>
          <w:sz w:val="24"/>
          <w:szCs w:val="24"/>
        </w:rPr>
      </w:pPr>
    </w:p>
    <w:p w:rsidR="00EB423A" w:rsidRDefault="001D31B9" w:rsidP="00EB423A">
      <w:pPr>
        <w:pStyle w:val="NoSpacing"/>
        <w:spacing w:line="360" w:lineRule="auto"/>
        <w:jc w:val="both"/>
        <w:rPr>
          <w:rFonts w:ascii="Arial" w:hAnsi="Arial" w:cs="Arial"/>
          <w:sz w:val="24"/>
          <w:szCs w:val="24"/>
        </w:rPr>
      </w:pPr>
      <w:r>
        <w:rPr>
          <w:rFonts w:ascii="Arial" w:hAnsi="Arial" w:cs="Arial"/>
          <w:sz w:val="24"/>
          <w:szCs w:val="24"/>
        </w:rPr>
        <w:t>Respondents’ counter application thus succeeds with costs.</w:t>
      </w:r>
      <w:r w:rsidR="00EB423A">
        <w:rPr>
          <w:rFonts w:ascii="Arial" w:hAnsi="Arial" w:cs="Arial"/>
          <w:sz w:val="24"/>
          <w:szCs w:val="24"/>
        </w:rPr>
        <w:t xml:space="preserve"> </w:t>
      </w:r>
    </w:p>
    <w:p w:rsidR="00F546CA" w:rsidRPr="00991107" w:rsidRDefault="00F546CA" w:rsidP="00F546CA">
      <w:pPr>
        <w:pStyle w:val="NoSpacing"/>
        <w:spacing w:line="360" w:lineRule="auto"/>
        <w:jc w:val="both"/>
        <w:rPr>
          <w:rFonts w:ascii="Arial" w:hAnsi="Arial" w:cs="Arial"/>
          <w:sz w:val="24"/>
          <w:szCs w:val="24"/>
        </w:rPr>
      </w:pPr>
    </w:p>
    <w:p w:rsidR="0013079E" w:rsidRPr="00991107" w:rsidRDefault="0013079E" w:rsidP="0013079E">
      <w:pPr>
        <w:pStyle w:val="NoSpacing"/>
        <w:rPr>
          <w:rFonts w:ascii="Arial" w:hAnsi="Arial" w:cs="Arial"/>
          <w:sz w:val="24"/>
          <w:szCs w:val="24"/>
        </w:rPr>
      </w:pPr>
      <w:r>
        <w:rPr>
          <w:rFonts w:ascii="Arial" w:hAnsi="Arial" w:cs="Arial"/>
          <w:sz w:val="24"/>
          <w:szCs w:val="24"/>
        </w:rPr>
        <w:t>____________________________________________________________________</w:t>
      </w:r>
    </w:p>
    <w:p w:rsidR="0013079E" w:rsidRPr="00991107" w:rsidRDefault="0013079E" w:rsidP="0013079E">
      <w:pPr>
        <w:pStyle w:val="NoSpacing"/>
        <w:rPr>
          <w:rFonts w:ascii="Arial" w:hAnsi="Arial" w:cs="Arial"/>
          <w:sz w:val="24"/>
          <w:szCs w:val="24"/>
        </w:rPr>
      </w:pPr>
    </w:p>
    <w:p w:rsidR="0013079E" w:rsidRPr="00970591" w:rsidRDefault="0013079E" w:rsidP="0013079E">
      <w:pPr>
        <w:pStyle w:val="NoSpacing"/>
        <w:jc w:val="center"/>
        <w:rPr>
          <w:rFonts w:ascii="Arial" w:hAnsi="Arial" w:cs="Arial"/>
          <w:b/>
          <w:sz w:val="24"/>
          <w:szCs w:val="24"/>
        </w:rPr>
      </w:pPr>
      <w:r w:rsidRPr="00970591">
        <w:rPr>
          <w:rFonts w:ascii="Arial" w:hAnsi="Arial" w:cs="Arial"/>
          <w:b/>
          <w:sz w:val="24"/>
          <w:szCs w:val="24"/>
        </w:rPr>
        <w:t>APPEAL JUDGMENT</w:t>
      </w:r>
    </w:p>
    <w:p w:rsidR="0013079E" w:rsidRPr="00991107" w:rsidRDefault="0013079E" w:rsidP="0013079E">
      <w:pPr>
        <w:pStyle w:val="NoSpacing"/>
        <w:rPr>
          <w:rFonts w:ascii="Arial" w:hAnsi="Arial" w:cs="Arial"/>
          <w:sz w:val="24"/>
          <w:szCs w:val="24"/>
        </w:rPr>
      </w:pPr>
      <w:r>
        <w:rPr>
          <w:rFonts w:ascii="Arial" w:hAnsi="Arial" w:cs="Arial"/>
          <w:sz w:val="24"/>
          <w:szCs w:val="24"/>
        </w:rPr>
        <w:t>____________________________________________________________________</w:t>
      </w:r>
    </w:p>
    <w:p w:rsidR="0013079E" w:rsidRDefault="0013079E" w:rsidP="0013079E">
      <w:pPr>
        <w:pStyle w:val="NoSpacing"/>
        <w:rPr>
          <w:rFonts w:ascii="Arial" w:hAnsi="Arial" w:cs="Arial"/>
          <w:sz w:val="24"/>
          <w:szCs w:val="24"/>
        </w:rPr>
      </w:pPr>
    </w:p>
    <w:p w:rsidR="0013079E" w:rsidRPr="00991107" w:rsidRDefault="0013079E" w:rsidP="0013079E">
      <w:pPr>
        <w:pStyle w:val="NoSpacing"/>
        <w:rPr>
          <w:rFonts w:ascii="Arial" w:hAnsi="Arial" w:cs="Arial"/>
          <w:sz w:val="24"/>
          <w:szCs w:val="24"/>
        </w:rPr>
      </w:pPr>
    </w:p>
    <w:p w:rsidR="0013079E" w:rsidRDefault="0013079E" w:rsidP="0013079E">
      <w:pPr>
        <w:pStyle w:val="NoSpacing"/>
        <w:spacing w:line="480" w:lineRule="auto"/>
        <w:jc w:val="both"/>
        <w:rPr>
          <w:rFonts w:ascii="Arial" w:hAnsi="Arial" w:cs="Arial"/>
          <w:sz w:val="24"/>
          <w:szCs w:val="24"/>
        </w:rPr>
      </w:pPr>
      <w:r>
        <w:rPr>
          <w:rFonts w:ascii="Arial" w:hAnsi="Arial" w:cs="Arial"/>
          <w:sz w:val="24"/>
          <w:szCs w:val="24"/>
        </w:rPr>
        <w:t>FRANK AJA (SHIVUTE CJ and MAINGA JA concurring):</w:t>
      </w:r>
    </w:p>
    <w:p w:rsidR="009C50E3" w:rsidRPr="009C50E3" w:rsidRDefault="009C50E3" w:rsidP="009C50E3">
      <w:pPr>
        <w:pStyle w:val="NoSpacing"/>
        <w:spacing w:line="480" w:lineRule="auto"/>
        <w:jc w:val="both"/>
        <w:rPr>
          <w:rFonts w:ascii="Arial" w:hAnsi="Arial" w:cs="Arial"/>
          <w:sz w:val="24"/>
          <w:szCs w:val="24"/>
          <w:u w:val="single"/>
        </w:rPr>
      </w:pPr>
      <w:r w:rsidRPr="003C0310">
        <w:rPr>
          <w:rFonts w:ascii="Arial" w:hAnsi="Arial" w:cs="Arial"/>
          <w:sz w:val="24"/>
          <w:szCs w:val="24"/>
        </w:rPr>
        <w:t>A.</w:t>
      </w:r>
      <w:r w:rsidRPr="003C0310">
        <w:rPr>
          <w:rFonts w:ascii="Arial" w:hAnsi="Arial" w:cs="Arial"/>
          <w:sz w:val="24"/>
          <w:szCs w:val="24"/>
        </w:rPr>
        <w:tab/>
      </w:r>
      <w:r w:rsidRPr="009C50E3">
        <w:rPr>
          <w:rFonts w:ascii="Arial" w:hAnsi="Arial" w:cs="Arial"/>
          <w:sz w:val="24"/>
          <w:szCs w:val="24"/>
          <w:u w:val="single"/>
        </w:rPr>
        <w:t>Introduction</w:t>
      </w:r>
    </w:p>
    <w:p w:rsidR="0013079E" w:rsidRDefault="009C50E3" w:rsidP="001307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4A4B89">
        <w:rPr>
          <w:rFonts w:ascii="Arial" w:hAnsi="Arial" w:cs="Arial"/>
          <w:sz w:val="24"/>
          <w:szCs w:val="24"/>
        </w:rPr>
        <w:t xml:space="preserve">//Kharas </w:t>
      </w:r>
      <w:r w:rsidR="003B52EC">
        <w:rPr>
          <w:rFonts w:ascii="Arial" w:hAnsi="Arial" w:cs="Arial"/>
          <w:sz w:val="24"/>
          <w:szCs w:val="24"/>
        </w:rPr>
        <w:t>Regional Council</w:t>
      </w:r>
      <w:r w:rsidR="004A4B89">
        <w:rPr>
          <w:rFonts w:ascii="Arial" w:hAnsi="Arial" w:cs="Arial"/>
          <w:sz w:val="24"/>
          <w:szCs w:val="24"/>
        </w:rPr>
        <w:t xml:space="preserve"> (</w:t>
      </w:r>
      <w:r w:rsidR="000A3CCA">
        <w:rPr>
          <w:rFonts w:ascii="Arial" w:hAnsi="Arial" w:cs="Arial"/>
          <w:sz w:val="24"/>
          <w:szCs w:val="24"/>
        </w:rPr>
        <w:t xml:space="preserve">the </w:t>
      </w:r>
      <w:r w:rsidR="00E64A4B">
        <w:rPr>
          <w:rFonts w:ascii="Arial" w:hAnsi="Arial" w:cs="Arial"/>
          <w:sz w:val="24"/>
          <w:szCs w:val="24"/>
        </w:rPr>
        <w:t>regional c</w:t>
      </w:r>
      <w:r w:rsidR="003B52EC">
        <w:rPr>
          <w:rFonts w:ascii="Arial" w:hAnsi="Arial" w:cs="Arial"/>
          <w:sz w:val="24"/>
          <w:szCs w:val="24"/>
        </w:rPr>
        <w:t>ouncil</w:t>
      </w:r>
      <w:r w:rsidR="004A4B89">
        <w:rPr>
          <w:rFonts w:ascii="Arial" w:hAnsi="Arial" w:cs="Arial"/>
          <w:sz w:val="24"/>
          <w:szCs w:val="24"/>
        </w:rPr>
        <w:t>) per advertisement</w:t>
      </w:r>
      <w:r w:rsidR="00564B48">
        <w:rPr>
          <w:rFonts w:ascii="Arial" w:hAnsi="Arial" w:cs="Arial"/>
          <w:sz w:val="24"/>
          <w:szCs w:val="24"/>
        </w:rPr>
        <w:t>s</w:t>
      </w:r>
      <w:r w:rsidR="004A4B89">
        <w:rPr>
          <w:rFonts w:ascii="Arial" w:hAnsi="Arial" w:cs="Arial"/>
          <w:sz w:val="24"/>
          <w:szCs w:val="24"/>
        </w:rPr>
        <w:t xml:space="preserve"> placed in the print media on 20 September 2016 invited bidders to tender for the building of a school at Oranjemund (the project). </w:t>
      </w:r>
      <w:r w:rsidR="00564B48">
        <w:rPr>
          <w:rFonts w:ascii="Arial" w:hAnsi="Arial" w:cs="Arial"/>
          <w:sz w:val="24"/>
          <w:szCs w:val="24"/>
        </w:rPr>
        <w:t xml:space="preserve">By the closing date of the tender on 26 October 2016 a total of 36 bids were received. </w:t>
      </w:r>
    </w:p>
    <w:p w:rsidR="0013079E" w:rsidRDefault="0013079E" w:rsidP="0013079E">
      <w:pPr>
        <w:pStyle w:val="NoSpacing"/>
        <w:spacing w:line="480" w:lineRule="auto"/>
        <w:jc w:val="both"/>
        <w:rPr>
          <w:rFonts w:ascii="Arial" w:hAnsi="Arial" w:cs="Arial"/>
          <w:sz w:val="24"/>
          <w:szCs w:val="24"/>
        </w:rPr>
      </w:pPr>
    </w:p>
    <w:p w:rsidR="0013079E" w:rsidRDefault="00564B48" w:rsidP="001307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//Kharas Regional Tender Board (</w:t>
      </w:r>
      <w:r w:rsidR="000A3CCA">
        <w:rPr>
          <w:rFonts w:ascii="Arial" w:hAnsi="Arial" w:cs="Arial"/>
          <w:sz w:val="24"/>
          <w:szCs w:val="24"/>
        </w:rPr>
        <w:t xml:space="preserve">the </w:t>
      </w:r>
      <w:r>
        <w:rPr>
          <w:rFonts w:ascii="Arial" w:hAnsi="Arial" w:cs="Arial"/>
          <w:sz w:val="24"/>
          <w:szCs w:val="24"/>
        </w:rPr>
        <w:t xml:space="preserve">Tender Board) was tasked with the evaluation of the bids so as to determine to which bidder the project had to be </w:t>
      </w:r>
      <w:r w:rsidR="00DB5273">
        <w:rPr>
          <w:rFonts w:ascii="Arial" w:hAnsi="Arial" w:cs="Arial"/>
          <w:sz w:val="24"/>
          <w:szCs w:val="24"/>
        </w:rPr>
        <w:t>awarded. At the meeting of the Tender B</w:t>
      </w:r>
      <w:r>
        <w:rPr>
          <w:rFonts w:ascii="Arial" w:hAnsi="Arial" w:cs="Arial"/>
          <w:sz w:val="24"/>
          <w:szCs w:val="24"/>
        </w:rPr>
        <w:t xml:space="preserve">oard on 7 December 2016 it was resolved to award the tender to the first appellant which was a joint venture between the second and third </w:t>
      </w:r>
      <w:r>
        <w:rPr>
          <w:rFonts w:ascii="Arial" w:hAnsi="Arial" w:cs="Arial"/>
          <w:sz w:val="24"/>
          <w:szCs w:val="24"/>
        </w:rPr>
        <w:lastRenderedPageBreak/>
        <w:t>appellants (</w:t>
      </w:r>
      <w:r w:rsidR="000A3CCA">
        <w:rPr>
          <w:rFonts w:ascii="Arial" w:hAnsi="Arial" w:cs="Arial"/>
          <w:sz w:val="24"/>
          <w:szCs w:val="24"/>
        </w:rPr>
        <w:t xml:space="preserve">the </w:t>
      </w:r>
      <w:r w:rsidR="00861CC8">
        <w:rPr>
          <w:rFonts w:ascii="Arial" w:hAnsi="Arial" w:cs="Arial"/>
          <w:sz w:val="24"/>
          <w:szCs w:val="24"/>
        </w:rPr>
        <w:t>joint v</w:t>
      </w:r>
      <w:r>
        <w:rPr>
          <w:rFonts w:ascii="Arial" w:hAnsi="Arial" w:cs="Arial"/>
          <w:sz w:val="24"/>
          <w:szCs w:val="24"/>
        </w:rPr>
        <w:t>enture)</w:t>
      </w:r>
      <w:r w:rsidR="00DB5273">
        <w:rPr>
          <w:rFonts w:ascii="Arial" w:hAnsi="Arial" w:cs="Arial"/>
          <w:sz w:val="24"/>
          <w:szCs w:val="24"/>
        </w:rPr>
        <w:t>. The minutes of the mentioned Tender B</w:t>
      </w:r>
      <w:r>
        <w:rPr>
          <w:rFonts w:ascii="Arial" w:hAnsi="Arial" w:cs="Arial"/>
          <w:sz w:val="24"/>
          <w:szCs w:val="24"/>
        </w:rPr>
        <w:t xml:space="preserve">oard meeting </w:t>
      </w:r>
      <w:r w:rsidR="007435AF">
        <w:rPr>
          <w:rFonts w:ascii="Arial" w:hAnsi="Arial" w:cs="Arial"/>
          <w:sz w:val="24"/>
          <w:szCs w:val="24"/>
        </w:rPr>
        <w:t xml:space="preserve">states that it was resolved that </w:t>
      </w:r>
      <w:r w:rsidR="00861CC8">
        <w:rPr>
          <w:rFonts w:ascii="Arial" w:hAnsi="Arial" w:cs="Arial"/>
          <w:sz w:val="24"/>
          <w:szCs w:val="24"/>
        </w:rPr>
        <w:t>the tender ‘be awarded to (the joint v</w:t>
      </w:r>
      <w:r w:rsidR="007435AF">
        <w:rPr>
          <w:rFonts w:ascii="Arial" w:hAnsi="Arial" w:cs="Arial"/>
          <w:sz w:val="24"/>
          <w:szCs w:val="24"/>
        </w:rPr>
        <w:t>enture). The total tender amount is N$81 507 989,84 (incl. VAT)’. The d</w:t>
      </w:r>
      <w:r w:rsidR="00DB5273">
        <w:rPr>
          <w:rFonts w:ascii="Arial" w:hAnsi="Arial" w:cs="Arial"/>
          <w:sz w:val="24"/>
          <w:szCs w:val="24"/>
        </w:rPr>
        <w:t>ecision by the Tender B</w:t>
      </w:r>
      <w:r w:rsidR="007435AF">
        <w:rPr>
          <w:rFonts w:ascii="Arial" w:hAnsi="Arial" w:cs="Arial"/>
          <w:sz w:val="24"/>
          <w:szCs w:val="24"/>
        </w:rPr>
        <w:t xml:space="preserve">oard was conveyed </w:t>
      </w:r>
      <w:r w:rsidR="0073379D">
        <w:rPr>
          <w:rFonts w:ascii="Arial" w:hAnsi="Arial" w:cs="Arial"/>
          <w:sz w:val="24"/>
          <w:szCs w:val="24"/>
        </w:rPr>
        <w:t xml:space="preserve">to </w:t>
      </w:r>
      <w:r w:rsidR="007435AF">
        <w:rPr>
          <w:rFonts w:ascii="Arial" w:hAnsi="Arial" w:cs="Arial"/>
          <w:sz w:val="24"/>
          <w:szCs w:val="24"/>
        </w:rPr>
        <w:t xml:space="preserve">Karen Munting </w:t>
      </w:r>
      <w:r w:rsidR="008322A2">
        <w:rPr>
          <w:rFonts w:ascii="Arial" w:hAnsi="Arial" w:cs="Arial"/>
          <w:sz w:val="24"/>
          <w:szCs w:val="24"/>
        </w:rPr>
        <w:t>A</w:t>
      </w:r>
      <w:r w:rsidR="003B52EC">
        <w:rPr>
          <w:rFonts w:ascii="Arial" w:hAnsi="Arial" w:cs="Arial"/>
          <w:sz w:val="24"/>
          <w:szCs w:val="24"/>
        </w:rPr>
        <w:t>rchitect</w:t>
      </w:r>
      <w:r w:rsidR="007435AF">
        <w:rPr>
          <w:rFonts w:ascii="Arial" w:hAnsi="Arial" w:cs="Arial"/>
          <w:sz w:val="24"/>
          <w:szCs w:val="24"/>
        </w:rPr>
        <w:t xml:space="preserve"> (the </w:t>
      </w:r>
      <w:r w:rsidR="00D630AB">
        <w:rPr>
          <w:rFonts w:ascii="Arial" w:hAnsi="Arial" w:cs="Arial"/>
          <w:sz w:val="24"/>
          <w:szCs w:val="24"/>
        </w:rPr>
        <w:t>a</w:t>
      </w:r>
      <w:r w:rsidR="003B52EC">
        <w:rPr>
          <w:rFonts w:ascii="Arial" w:hAnsi="Arial" w:cs="Arial"/>
          <w:sz w:val="24"/>
          <w:szCs w:val="24"/>
        </w:rPr>
        <w:t>rchitect</w:t>
      </w:r>
      <w:r w:rsidR="007435AF">
        <w:rPr>
          <w:rFonts w:ascii="Arial" w:hAnsi="Arial" w:cs="Arial"/>
          <w:sz w:val="24"/>
          <w:szCs w:val="24"/>
        </w:rPr>
        <w:t xml:space="preserve">) per letter from the </w:t>
      </w:r>
      <w:r w:rsidR="00E64A4B">
        <w:rPr>
          <w:rFonts w:ascii="Arial" w:hAnsi="Arial" w:cs="Arial"/>
          <w:sz w:val="24"/>
          <w:szCs w:val="24"/>
        </w:rPr>
        <w:t>r</w:t>
      </w:r>
      <w:r w:rsidR="003B52EC">
        <w:rPr>
          <w:rFonts w:ascii="Arial" w:hAnsi="Arial" w:cs="Arial"/>
          <w:sz w:val="24"/>
          <w:szCs w:val="24"/>
        </w:rPr>
        <w:t>egional council</w:t>
      </w:r>
      <w:r w:rsidR="007435AF">
        <w:rPr>
          <w:rFonts w:ascii="Arial" w:hAnsi="Arial" w:cs="Arial"/>
          <w:sz w:val="24"/>
          <w:szCs w:val="24"/>
        </w:rPr>
        <w:t xml:space="preserve">. </w:t>
      </w:r>
      <w:r w:rsidR="00FE1DDE">
        <w:rPr>
          <w:rFonts w:ascii="Arial" w:hAnsi="Arial" w:cs="Arial"/>
          <w:sz w:val="24"/>
          <w:szCs w:val="24"/>
        </w:rPr>
        <w:t xml:space="preserve">The letter of 7 December 2016 from the </w:t>
      </w:r>
      <w:r w:rsidR="00E64A4B">
        <w:rPr>
          <w:rFonts w:ascii="Arial" w:hAnsi="Arial" w:cs="Arial"/>
          <w:sz w:val="24"/>
          <w:szCs w:val="24"/>
        </w:rPr>
        <w:t>r</w:t>
      </w:r>
      <w:r w:rsidR="003B52EC">
        <w:rPr>
          <w:rFonts w:ascii="Arial" w:hAnsi="Arial" w:cs="Arial"/>
          <w:sz w:val="24"/>
          <w:szCs w:val="24"/>
        </w:rPr>
        <w:t>egional council</w:t>
      </w:r>
      <w:r w:rsidR="00FE1DDE">
        <w:rPr>
          <w:rFonts w:ascii="Arial" w:hAnsi="Arial" w:cs="Arial"/>
          <w:sz w:val="24"/>
          <w:szCs w:val="24"/>
        </w:rPr>
        <w:t xml:space="preserve"> to </w:t>
      </w:r>
      <w:r w:rsidR="000A3CCA">
        <w:rPr>
          <w:rFonts w:ascii="Arial" w:hAnsi="Arial" w:cs="Arial"/>
          <w:sz w:val="24"/>
          <w:szCs w:val="24"/>
        </w:rPr>
        <w:t xml:space="preserve">the </w:t>
      </w:r>
      <w:r w:rsidR="00D630AB">
        <w:rPr>
          <w:rFonts w:ascii="Arial" w:hAnsi="Arial" w:cs="Arial"/>
          <w:sz w:val="24"/>
          <w:szCs w:val="24"/>
        </w:rPr>
        <w:t>a</w:t>
      </w:r>
      <w:r w:rsidR="003B52EC">
        <w:rPr>
          <w:rFonts w:ascii="Arial" w:hAnsi="Arial" w:cs="Arial"/>
          <w:sz w:val="24"/>
          <w:szCs w:val="24"/>
        </w:rPr>
        <w:t>rchitect</w:t>
      </w:r>
      <w:r w:rsidR="00FE1DDE">
        <w:rPr>
          <w:rFonts w:ascii="Arial" w:hAnsi="Arial" w:cs="Arial"/>
          <w:sz w:val="24"/>
          <w:szCs w:val="24"/>
        </w:rPr>
        <w:t xml:space="preserve"> di</w:t>
      </w:r>
      <w:r w:rsidR="009238B1">
        <w:rPr>
          <w:rFonts w:ascii="Arial" w:hAnsi="Arial" w:cs="Arial"/>
          <w:sz w:val="24"/>
          <w:szCs w:val="24"/>
        </w:rPr>
        <w:t>rect</w:t>
      </w:r>
      <w:r w:rsidR="004B18BD">
        <w:rPr>
          <w:rFonts w:ascii="Arial" w:hAnsi="Arial" w:cs="Arial"/>
          <w:sz w:val="24"/>
          <w:szCs w:val="24"/>
        </w:rPr>
        <w:t>ed</w:t>
      </w:r>
      <w:r w:rsidR="009238B1">
        <w:rPr>
          <w:rFonts w:ascii="Arial" w:hAnsi="Arial" w:cs="Arial"/>
          <w:sz w:val="24"/>
          <w:szCs w:val="24"/>
        </w:rPr>
        <w:t xml:space="preserve"> the latter to inform the joint v</w:t>
      </w:r>
      <w:r w:rsidR="00FE1DDE">
        <w:rPr>
          <w:rFonts w:ascii="Arial" w:hAnsi="Arial" w:cs="Arial"/>
          <w:sz w:val="24"/>
          <w:szCs w:val="24"/>
        </w:rPr>
        <w:t>enture within three days of the award of the project and it further direct</w:t>
      </w:r>
      <w:r w:rsidR="004B18BD">
        <w:rPr>
          <w:rFonts w:ascii="Arial" w:hAnsi="Arial" w:cs="Arial"/>
          <w:sz w:val="24"/>
          <w:szCs w:val="24"/>
        </w:rPr>
        <w:t>ed</w:t>
      </w:r>
      <w:r w:rsidR="00FE1DDE">
        <w:rPr>
          <w:rFonts w:ascii="Arial" w:hAnsi="Arial" w:cs="Arial"/>
          <w:sz w:val="24"/>
          <w:szCs w:val="24"/>
        </w:rPr>
        <w:t xml:space="preserve"> that the contract consequent to the award of the project be signed within seven days.</w:t>
      </w:r>
    </w:p>
    <w:p w:rsidR="00903E47" w:rsidRDefault="00903E47" w:rsidP="00903E47">
      <w:pPr>
        <w:pStyle w:val="NoSpacing"/>
        <w:spacing w:line="480" w:lineRule="auto"/>
        <w:jc w:val="both"/>
        <w:rPr>
          <w:rFonts w:ascii="Arial" w:hAnsi="Arial" w:cs="Arial"/>
          <w:sz w:val="24"/>
          <w:szCs w:val="24"/>
        </w:rPr>
      </w:pPr>
    </w:p>
    <w:p w:rsidR="00903E47" w:rsidRDefault="00FE1DDE" w:rsidP="001307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Per letter dated 8 December 2016</w:t>
      </w:r>
      <w:r w:rsidR="000A3CCA">
        <w:rPr>
          <w:rFonts w:ascii="Arial" w:hAnsi="Arial" w:cs="Arial"/>
          <w:sz w:val="24"/>
          <w:szCs w:val="24"/>
        </w:rPr>
        <w:t>,</w:t>
      </w:r>
      <w:r>
        <w:rPr>
          <w:rFonts w:ascii="Arial" w:hAnsi="Arial" w:cs="Arial"/>
          <w:sz w:val="24"/>
          <w:szCs w:val="24"/>
        </w:rPr>
        <w:t xml:space="preserve">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inform</w:t>
      </w:r>
      <w:r w:rsidR="004C461C">
        <w:rPr>
          <w:rFonts w:ascii="Arial" w:hAnsi="Arial" w:cs="Arial"/>
          <w:sz w:val="24"/>
          <w:szCs w:val="24"/>
        </w:rPr>
        <w:t>ed</w:t>
      </w:r>
      <w:r w:rsidR="009238B1">
        <w:rPr>
          <w:rFonts w:ascii="Arial" w:hAnsi="Arial" w:cs="Arial"/>
          <w:sz w:val="24"/>
          <w:szCs w:val="24"/>
        </w:rPr>
        <w:t xml:space="preserve"> the joint v</w:t>
      </w:r>
      <w:r>
        <w:rPr>
          <w:rFonts w:ascii="Arial" w:hAnsi="Arial" w:cs="Arial"/>
          <w:sz w:val="24"/>
          <w:szCs w:val="24"/>
        </w:rPr>
        <w:t xml:space="preserve">enture that </w:t>
      </w:r>
      <w:r w:rsidR="004B18BD">
        <w:rPr>
          <w:rFonts w:ascii="Arial" w:hAnsi="Arial" w:cs="Arial"/>
          <w:sz w:val="24"/>
          <w:szCs w:val="24"/>
        </w:rPr>
        <w:t>its</w:t>
      </w:r>
      <w:r>
        <w:rPr>
          <w:rFonts w:ascii="Arial" w:hAnsi="Arial" w:cs="Arial"/>
          <w:sz w:val="24"/>
          <w:szCs w:val="24"/>
        </w:rPr>
        <w:t xml:space="preserve"> bid was conditionally accepted. </w:t>
      </w:r>
      <w:r w:rsidR="00496CA0">
        <w:rPr>
          <w:rFonts w:ascii="Arial" w:hAnsi="Arial" w:cs="Arial"/>
          <w:sz w:val="24"/>
          <w:szCs w:val="24"/>
        </w:rPr>
        <w:t>Three conditi</w:t>
      </w:r>
      <w:r w:rsidR="003B52EC">
        <w:rPr>
          <w:rFonts w:ascii="Arial" w:hAnsi="Arial" w:cs="Arial"/>
          <w:sz w:val="24"/>
          <w:szCs w:val="24"/>
        </w:rPr>
        <w:t xml:space="preserve">ons </w:t>
      </w:r>
      <w:r w:rsidR="004B18BD">
        <w:rPr>
          <w:rFonts w:ascii="Arial" w:hAnsi="Arial" w:cs="Arial"/>
          <w:sz w:val="24"/>
          <w:szCs w:val="24"/>
        </w:rPr>
        <w:t>were</w:t>
      </w:r>
      <w:r w:rsidR="003B52EC">
        <w:rPr>
          <w:rFonts w:ascii="Arial" w:hAnsi="Arial" w:cs="Arial"/>
          <w:sz w:val="24"/>
          <w:szCs w:val="24"/>
        </w:rPr>
        <w:t xml:space="preserve"> stipulated. A detailed bill of q</w:t>
      </w:r>
      <w:r w:rsidR="00496CA0">
        <w:rPr>
          <w:rFonts w:ascii="Arial" w:hAnsi="Arial" w:cs="Arial"/>
          <w:sz w:val="24"/>
          <w:szCs w:val="24"/>
        </w:rPr>
        <w:t xml:space="preserve">uantities had to be provided to the quantity surveyors within seven days. </w:t>
      </w:r>
      <w:r w:rsidR="00011D50">
        <w:rPr>
          <w:rFonts w:ascii="Arial" w:hAnsi="Arial" w:cs="Arial"/>
          <w:sz w:val="24"/>
          <w:szCs w:val="24"/>
        </w:rPr>
        <w:t>A</w:t>
      </w:r>
      <w:r w:rsidR="00496CA0">
        <w:rPr>
          <w:rFonts w:ascii="Arial" w:hAnsi="Arial" w:cs="Arial"/>
          <w:sz w:val="24"/>
          <w:szCs w:val="24"/>
        </w:rPr>
        <w:t xml:space="preserve"> performance guarantee of 10 per cent of the contract amount had to be provided within seven days. A satisfactory work programme had to be provided within 14 days. </w:t>
      </w:r>
      <w:r w:rsidR="008C6A85">
        <w:rPr>
          <w:rFonts w:ascii="Arial" w:hAnsi="Arial" w:cs="Arial"/>
          <w:sz w:val="24"/>
          <w:szCs w:val="24"/>
        </w:rPr>
        <w:t>The le</w:t>
      </w:r>
      <w:r w:rsidR="009238B1">
        <w:rPr>
          <w:rFonts w:ascii="Arial" w:hAnsi="Arial" w:cs="Arial"/>
          <w:sz w:val="24"/>
          <w:szCs w:val="24"/>
        </w:rPr>
        <w:t>tter end</w:t>
      </w:r>
      <w:r w:rsidR="009E752C">
        <w:rPr>
          <w:rFonts w:ascii="Arial" w:hAnsi="Arial" w:cs="Arial"/>
          <w:sz w:val="24"/>
          <w:szCs w:val="24"/>
        </w:rPr>
        <w:t>ed</w:t>
      </w:r>
      <w:r w:rsidR="009238B1">
        <w:rPr>
          <w:rFonts w:ascii="Arial" w:hAnsi="Arial" w:cs="Arial"/>
          <w:sz w:val="24"/>
          <w:szCs w:val="24"/>
        </w:rPr>
        <w:t xml:space="preserve"> off by informing the joint v</w:t>
      </w:r>
      <w:r w:rsidR="008C6A85">
        <w:rPr>
          <w:rFonts w:ascii="Arial" w:hAnsi="Arial" w:cs="Arial"/>
          <w:sz w:val="24"/>
          <w:szCs w:val="24"/>
        </w:rPr>
        <w:t xml:space="preserve">enture that the agreement relating to the project would </w:t>
      </w:r>
      <w:r w:rsidR="00011D50">
        <w:rPr>
          <w:rFonts w:ascii="Arial" w:hAnsi="Arial" w:cs="Arial"/>
          <w:sz w:val="24"/>
          <w:szCs w:val="24"/>
        </w:rPr>
        <w:t xml:space="preserve">only </w:t>
      </w:r>
      <w:r w:rsidR="008C6A85">
        <w:rPr>
          <w:rFonts w:ascii="Arial" w:hAnsi="Arial" w:cs="Arial"/>
          <w:sz w:val="24"/>
          <w:szCs w:val="24"/>
        </w:rPr>
        <w:t>be signed if the conditions were fulfilled.</w:t>
      </w:r>
      <w:r w:rsidR="00011D50">
        <w:rPr>
          <w:rFonts w:ascii="Arial" w:hAnsi="Arial" w:cs="Arial"/>
          <w:sz w:val="24"/>
          <w:szCs w:val="24"/>
        </w:rPr>
        <w:t xml:space="preserve"> It is obvious from the conditions that a contract would not be signed within seven days as</w:t>
      </w:r>
      <w:r w:rsidR="00492EBB">
        <w:rPr>
          <w:rFonts w:ascii="Arial" w:hAnsi="Arial" w:cs="Arial"/>
          <w:sz w:val="24"/>
          <w:szCs w:val="24"/>
        </w:rPr>
        <w:t xml:space="preserve"> </w:t>
      </w:r>
      <w:r w:rsidR="00492EBB" w:rsidRPr="005E5408">
        <w:rPr>
          <w:rFonts w:ascii="Arial" w:hAnsi="Arial" w:cs="Arial"/>
          <w:sz w:val="24"/>
          <w:szCs w:val="24"/>
        </w:rPr>
        <w:t>directed</w:t>
      </w:r>
      <w:r w:rsidR="00492EBB">
        <w:rPr>
          <w:rFonts w:ascii="Arial" w:hAnsi="Arial" w:cs="Arial"/>
          <w:sz w:val="24"/>
          <w:szCs w:val="24"/>
        </w:rPr>
        <w:t xml:space="preserve"> </w:t>
      </w:r>
      <w:r w:rsidR="00011D50">
        <w:rPr>
          <w:rFonts w:ascii="Arial" w:hAnsi="Arial" w:cs="Arial"/>
          <w:sz w:val="24"/>
          <w:szCs w:val="24"/>
        </w:rPr>
        <w:t xml:space="preserve">by the </w:t>
      </w:r>
      <w:r w:rsidR="00E64A4B">
        <w:rPr>
          <w:rFonts w:ascii="Arial" w:hAnsi="Arial" w:cs="Arial"/>
          <w:sz w:val="24"/>
          <w:szCs w:val="24"/>
        </w:rPr>
        <w:t>r</w:t>
      </w:r>
      <w:r w:rsidR="003B52EC">
        <w:rPr>
          <w:rFonts w:ascii="Arial" w:hAnsi="Arial" w:cs="Arial"/>
          <w:sz w:val="24"/>
          <w:szCs w:val="24"/>
        </w:rPr>
        <w:t>egional council</w:t>
      </w:r>
      <w:r w:rsidR="00011D50">
        <w:rPr>
          <w:rFonts w:ascii="Arial" w:hAnsi="Arial" w:cs="Arial"/>
          <w:sz w:val="24"/>
          <w:szCs w:val="24"/>
        </w:rPr>
        <w:t>.</w:t>
      </w:r>
    </w:p>
    <w:p w:rsidR="00903E47" w:rsidRDefault="00903E47" w:rsidP="00903E47">
      <w:pPr>
        <w:pStyle w:val="NoSpacing"/>
        <w:spacing w:line="480" w:lineRule="auto"/>
        <w:jc w:val="both"/>
        <w:rPr>
          <w:rFonts w:ascii="Arial" w:hAnsi="Arial" w:cs="Arial"/>
          <w:sz w:val="24"/>
          <w:szCs w:val="24"/>
        </w:rPr>
      </w:pPr>
    </w:p>
    <w:p w:rsidR="00903E47" w:rsidRDefault="009238B1" w:rsidP="001307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joint v</w:t>
      </w:r>
      <w:r w:rsidR="008C6A85">
        <w:rPr>
          <w:rFonts w:ascii="Arial" w:hAnsi="Arial" w:cs="Arial"/>
          <w:sz w:val="24"/>
          <w:szCs w:val="24"/>
        </w:rPr>
        <w:t xml:space="preserve">enture on 15 December 2016 informed the </w:t>
      </w:r>
      <w:r w:rsidR="003B52EC">
        <w:rPr>
          <w:rFonts w:ascii="Arial" w:hAnsi="Arial" w:cs="Arial"/>
          <w:sz w:val="24"/>
          <w:szCs w:val="24"/>
        </w:rPr>
        <w:t>architect</w:t>
      </w:r>
      <w:r w:rsidR="008C6A85">
        <w:rPr>
          <w:rFonts w:ascii="Arial" w:hAnsi="Arial" w:cs="Arial"/>
          <w:sz w:val="24"/>
          <w:szCs w:val="24"/>
        </w:rPr>
        <w:t xml:space="preserve"> that it would not </w:t>
      </w:r>
      <w:r w:rsidR="000A3CCA">
        <w:rPr>
          <w:rFonts w:ascii="Arial" w:hAnsi="Arial" w:cs="Arial"/>
          <w:sz w:val="24"/>
          <w:szCs w:val="24"/>
        </w:rPr>
        <w:t xml:space="preserve">be </w:t>
      </w:r>
      <w:r w:rsidR="008C6A85">
        <w:rPr>
          <w:rFonts w:ascii="Arial" w:hAnsi="Arial" w:cs="Arial"/>
          <w:sz w:val="24"/>
          <w:szCs w:val="24"/>
        </w:rPr>
        <w:t>able to provide the performance guarantee (the guarantee) within the time period mentioned but would do so on 12 January 2017. At the beginning of 2017 further correspondence in th</w:t>
      </w:r>
      <w:r>
        <w:rPr>
          <w:rFonts w:ascii="Arial" w:hAnsi="Arial" w:cs="Arial"/>
          <w:sz w:val="24"/>
          <w:szCs w:val="24"/>
        </w:rPr>
        <w:t>is regard followed between the joint v</w:t>
      </w:r>
      <w:r w:rsidR="008C6A85">
        <w:rPr>
          <w:rFonts w:ascii="Arial" w:hAnsi="Arial" w:cs="Arial"/>
          <w:sz w:val="24"/>
          <w:szCs w:val="24"/>
        </w:rPr>
        <w:t xml:space="preserve">enture and the </w:t>
      </w:r>
      <w:r w:rsidR="00D630AB">
        <w:rPr>
          <w:rFonts w:ascii="Arial" w:hAnsi="Arial" w:cs="Arial"/>
          <w:sz w:val="24"/>
          <w:szCs w:val="24"/>
        </w:rPr>
        <w:t>a</w:t>
      </w:r>
      <w:r w:rsidR="003B52EC">
        <w:rPr>
          <w:rFonts w:ascii="Arial" w:hAnsi="Arial" w:cs="Arial"/>
          <w:sz w:val="24"/>
          <w:szCs w:val="24"/>
        </w:rPr>
        <w:t>rchitect</w:t>
      </w:r>
      <w:r w:rsidR="008C6A85">
        <w:rPr>
          <w:rFonts w:ascii="Arial" w:hAnsi="Arial" w:cs="Arial"/>
          <w:sz w:val="24"/>
          <w:szCs w:val="24"/>
        </w:rPr>
        <w:t xml:space="preserve">. Eventually on 9 February 2017 the guarantee was delivered to the </w:t>
      </w:r>
      <w:r w:rsidR="00D630AB">
        <w:rPr>
          <w:rFonts w:ascii="Arial" w:hAnsi="Arial" w:cs="Arial"/>
          <w:sz w:val="24"/>
          <w:szCs w:val="24"/>
        </w:rPr>
        <w:t>a</w:t>
      </w:r>
      <w:r w:rsidR="003B52EC">
        <w:rPr>
          <w:rFonts w:ascii="Arial" w:hAnsi="Arial" w:cs="Arial"/>
          <w:sz w:val="24"/>
          <w:szCs w:val="24"/>
        </w:rPr>
        <w:t>rchitect</w:t>
      </w:r>
      <w:r w:rsidR="008C6A85">
        <w:rPr>
          <w:rFonts w:ascii="Arial" w:hAnsi="Arial" w:cs="Arial"/>
          <w:sz w:val="24"/>
          <w:szCs w:val="24"/>
        </w:rPr>
        <w:t xml:space="preserve">. The </w:t>
      </w:r>
      <w:r w:rsidR="00D630AB">
        <w:rPr>
          <w:rFonts w:ascii="Arial" w:hAnsi="Arial" w:cs="Arial"/>
          <w:sz w:val="24"/>
          <w:szCs w:val="24"/>
        </w:rPr>
        <w:lastRenderedPageBreak/>
        <w:t>a</w:t>
      </w:r>
      <w:r w:rsidR="003B52EC">
        <w:rPr>
          <w:rFonts w:ascii="Arial" w:hAnsi="Arial" w:cs="Arial"/>
          <w:sz w:val="24"/>
          <w:szCs w:val="24"/>
        </w:rPr>
        <w:t>rchitect</w:t>
      </w:r>
      <w:r w:rsidR="008C6A85">
        <w:rPr>
          <w:rFonts w:ascii="Arial" w:hAnsi="Arial" w:cs="Arial"/>
          <w:sz w:val="24"/>
          <w:szCs w:val="24"/>
        </w:rPr>
        <w:t xml:space="preserve"> on</w:t>
      </w:r>
      <w:r>
        <w:rPr>
          <w:rFonts w:ascii="Arial" w:hAnsi="Arial" w:cs="Arial"/>
          <w:sz w:val="24"/>
          <w:szCs w:val="24"/>
        </w:rPr>
        <w:t xml:space="preserve"> 13 February 2017 informed the joint v</w:t>
      </w:r>
      <w:r w:rsidR="008C6A85">
        <w:rPr>
          <w:rFonts w:ascii="Arial" w:hAnsi="Arial" w:cs="Arial"/>
          <w:sz w:val="24"/>
          <w:szCs w:val="24"/>
        </w:rPr>
        <w:t xml:space="preserve">enture that there was non-compliance with the </w:t>
      </w:r>
      <w:r w:rsidR="00216BA1">
        <w:rPr>
          <w:rFonts w:ascii="Arial" w:hAnsi="Arial" w:cs="Arial"/>
          <w:sz w:val="24"/>
          <w:szCs w:val="24"/>
        </w:rPr>
        <w:t>requirement</w:t>
      </w:r>
      <w:r w:rsidR="008C6A85">
        <w:rPr>
          <w:rFonts w:ascii="Arial" w:hAnsi="Arial" w:cs="Arial"/>
          <w:sz w:val="24"/>
          <w:szCs w:val="24"/>
        </w:rPr>
        <w:t xml:space="preserve"> that a performance guarantee had to be in place within seven days </w:t>
      </w:r>
      <w:r w:rsidR="00216BA1">
        <w:rPr>
          <w:rFonts w:ascii="Arial" w:hAnsi="Arial" w:cs="Arial"/>
          <w:sz w:val="24"/>
          <w:szCs w:val="24"/>
        </w:rPr>
        <w:t xml:space="preserve">‘thus your appointment is cancelled’. The letter from the </w:t>
      </w:r>
      <w:r w:rsidR="00D630AB">
        <w:rPr>
          <w:rFonts w:ascii="Arial" w:hAnsi="Arial" w:cs="Arial"/>
          <w:sz w:val="24"/>
          <w:szCs w:val="24"/>
        </w:rPr>
        <w:t>a</w:t>
      </w:r>
      <w:r w:rsidR="003B52EC">
        <w:rPr>
          <w:rFonts w:ascii="Arial" w:hAnsi="Arial" w:cs="Arial"/>
          <w:sz w:val="24"/>
          <w:szCs w:val="24"/>
        </w:rPr>
        <w:t>rchitect</w:t>
      </w:r>
      <w:r w:rsidR="00216BA1">
        <w:rPr>
          <w:rFonts w:ascii="Arial" w:hAnsi="Arial" w:cs="Arial"/>
          <w:sz w:val="24"/>
          <w:szCs w:val="24"/>
        </w:rPr>
        <w:t xml:space="preserve"> also indicated that a moratorium had been placed on all capital projects including the one in question and that the project had thus been halted and that the Ministry of Urban and Rural Development ha</w:t>
      </w:r>
      <w:r w:rsidR="0073379D">
        <w:rPr>
          <w:rFonts w:ascii="Arial" w:hAnsi="Arial" w:cs="Arial"/>
          <w:sz w:val="24"/>
          <w:szCs w:val="24"/>
        </w:rPr>
        <w:t>d</w:t>
      </w:r>
      <w:r w:rsidR="00216BA1">
        <w:rPr>
          <w:rFonts w:ascii="Arial" w:hAnsi="Arial" w:cs="Arial"/>
          <w:sz w:val="24"/>
          <w:szCs w:val="24"/>
        </w:rPr>
        <w:t xml:space="preserve"> received writte</w:t>
      </w:r>
      <w:r w:rsidR="00B93526">
        <w:rPr>
          <w:rFonts w:ascii="Arial" w:hAnsi="Arial" w:cs="Arial"/>
          <w:sz w:val="24"/>
          <w:szCs w:val="24"/>
        </w:rPr>
        <w:t>n allegations of corrupt practic</w:t>
      </w:r>
      <w:r w:rsidR="00216BA1">
        <w:rPr>
          <w:rFonts w:ascii="Arial" w:hAnsi="Arial" w:cs="Arial"/>
          <w:sz w:val="24"/>
          <w:szCs w:val="24"/>
        </w:rPr>
        <w:t xml:space="preserve">es at the </w:t>
      </w:r>
      <w:r w:rsidR="00142620">
        <w:rPr>
          <w:rFonts w:ascii="Arial" w:hAnsi="Arial" w:cs="Arial"/>
          <w:sz w:val="24"/>
          <w:szCs w:val="24"/>
        </w:rPr>
        <w:t>r</w:t>
      </w:r>
      <w:r w:rsidR="003B52EC">
        <w:rPr>
          <w:rFonts w:ascii="Arial" w:hAnsi="Arial" w:cs="Arial"/>
          <w:sz w:val="24"/>
          <w:szCs w:val="24"/>
        </w:rPr>
        <w:t>egional council</w:t>
      </w:r>
      <w:r w:rsidR="00216BA1">
        <w:rPr>
          <w:rFonts w:ascii="Arial" w:hAnsi="Arial" w:cs="Arial"/>
          <w:sz w:val="24"/>
          <w:szCs w:val="24"/>
        </w:rPr>
        <w:t>.</w:t>
      </w:r>
    </w:p>
    <w:p w:rsidR="00903E47" w:rsidRDefault="00903E47" w:rsidP="00903E47">
      <w:pPr>
        <w:pStyle w:val="NoSpacing"/>
        <w:spacing w:line="480" w:lineRule="auto"/>
        <w:jc w:val="both"/>
        <w:rPr>
          <w:rFonts w:ascii="Arial" w:hAnsi="Arial" w:cs="Arial"/>
          <w:sz w:val="24"/>
          <w:szCs w:val="24"/>
        </w:rPr>
      </w:pPr>
    </w:p>
    <w:p w:rsidR="00903E47" w:rsidRDefault="00700AD5" w:rsidP="001307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appellants on 19 June 2017 lodged a review application in the High Court seeking to set aside the cancellation of the </w:t>
      </w:r>
      <w:r w:rsidR="009238B1">
        <w:rPr>
          <w:rFonts w:ascii="Arial" w:hAnsi="Arial" w:cs="Arial"/>
          <w:sz w:val="24"/>
          <w:szCs w:val="24"/>
        </w:rPr>
        <w:t>appointment of the joint v</w:t>
      </w:r>
      <w:r w:rsidR="00011D50">
        <w:rPr>
          <w:rFonts w:ascii="Arial" w:hAnsi="Arial" w:cs="Arial"/>
          <w:sz w:val="24"/>
          <w:szCs w:val="24"/>
        </w:rPr>
        <w:t>enture</w:t>
      </w:r>
      <w:r>
        <w:rPr>
          <w:rFonts w:ascii="Arial" w:hAnsi="Arial" w:cs="Arial"/>
          <w:sz w:val="24"/>
          <w:szCs w:val="24"/>
        </w:rPr>
        <w:t xml:space="preserve"> and an order directing the </w:t>
      </w:r>
      <w:r w:rsidR="00E64A4B">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xml:space="preserve"> to en</w:t>
      </w:r>
      <w:r w:rsidR="009238B1">
        <w:rPr>
          <w:rFonts w:ascii="Arial" w:hAnsi="Arial" w:cs="Arial"/>
          <w:sz w:val="24"/>
          <w:szCs w:val="24"/>
        </w:rPr>
        <w:t>ter into an agreement with the joint v</w:t>
      </w:r>
      <w:r>
        <w:rPr>
          <w:rFonts w:ascii="Arial" w:hAnsi="Arial" w:cs="Arial"/>
          <w:sz w:val="24"/>
          <w:szCs w:val="24"/>
        </w:rPr>
        <w:t>enture to complete the project.</w:t>
      </w:r>
    </w:p>
    <w:p w:rsidR="00903E47" w:rsidRDefault="00903E47" w:rsidP="00903E47">
      <w:pPr>
        <w:pStyle w:val="NoSpacing"/>
        <w:spacing w:line="480" w:lineRule="auto"/>
        <w:jc w:val="both"/>
        <w:rPr>
          <w:rFonts w:ascii="Arial" w:hAnsi="Arial" w:cs="Arial"/>
          <w:sz w:val="24"/>
          <w:szCs w:val="24"/>
        </w:rPr>
      </w:pPr>
    </w:p>
    <w:p w:rsidR="00F546CA" w:rsidRDefault="00A14305" w:rsidP="00F546C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review application t</w:t>
      </w:r>
      <w:r w:rsidR="00700AD5">
        <w:rPr>
          <w:rFonts w:ascii="Arial" w:hAnsi="Arial" w:cs="Arial"/>
          <w:sz w:val="24"/>
          <w:szCs w:val="24"/>
        </w:rPr>
        <w:t xml:space="preserve">he appellants alleged that they were never </w:t>
      </w:r>
      <w:r w:rsidR="006B585B">
        <w:rPr>
          <w:rFonts w:ascii="Arial" w:hAnsi="Arial" w:cs="Arial"/>
          <w:sz w:val="24"/>
          <w:szCs w:val="24"/>
        </w:rPr>
        <w:t>given a hearing with regard to</w:t>
      </w:r>
      <w:r w:rsidR="00DA2B39">
        <w:rPr>
          <w:rFonts w:ascii="Arial" w:hAnsi="Arial" w:cs="Arial"/>
          <w:sz w:val="24"/>
          <w:szCs w:val="24"/>
        </w:rPr>
        <w:t xml:space="preserve"> </w:t>
      </w:r>
      <w:r w:rsidR="00700AD5">
        <w:rPr>
          <w:rFonts w:ascii="Arial" w:hAnsi="Arial" w:cs="Arial"/>
          <w:sz w:val="24"/>
          <w:szCs w:val="24"/>
        </w:rPr>
        <w:t xml:space="preserve">the allegations of corruption at the </w:t>
      </w:r>
      <w:r w:rsidR="00E64A4B">
        <w:rPr>
          <w:rFonts w:ascii="Arial" w:hAnsi="Arial" w:cs="Arial"/>
          <w:sz w:val="24"/>
          <w:szCs w:val="24"/>
        </w:rPr>
        <w:t>r</w:t>
      </w:r>
      <w:r w:rsidR="003B52EC">
        <w:rPr>
          <w:rFonts w:ascii="Arial" w:hAnsi="Arial" w:cs="Arial"/>
          <w:sz w:val="24"/>
          <w:szCs w:val="24"/>
        </w:rPr>
        <w:t>egional council</w:t>
      </w:r>
      <w:r w:rsidR="00700AD5">
        <w:rPr>
          <w:rFonts w:ascii="Arial" w:hAnsi="Arial" w:cs="Arial"/>
          <w:sz w:val="24"/>
          <w:szCs w:val="24"/>
        </w:rPr>
        <w:t xml:space="preserve"> and hence the </w:t>
      </w:r>
      <w:r w:rsidR="00700AD5" w:rsidRPr="00DA2B39">
        <w:rPr>
          <w:rFonts w:ascii="Arial" w:hAnsi="Arial" w:cs="Arial"/>
          <w:i/>
          <w:sz w:val="24"/>
          <w:szCs w:val="24"/>
        </w:rPr>
        <w:t>audi alteram partem</w:t>
      </w:r>
      <w:r w:rsidR="00DA2B39">
        <w:rPr>
          <w:rFonts w:ascii="Arial" w:hAnsi="Arial" w:cs="Arial"/>
          <w:sz w:val="24"/>
          <w:szCs w:val="24"/>
        </w:rPr>
        <w:t xml:space="preserve"> rule was not adhered to. Further</w:t>
      </w:r>
      <w:r w:rsidR="000A3CCA">
        <w:rPr>
          <w:rFonts w:ascii="Arial" w:hAnsi="Arial" w:cs="Arial"/>
          <w:sz w:val="24"/>
          <w:szCs w:val="24"/>
        </w:rPr>
        <w:t>,</w:t>
      </w:r>
      <w:r w:rsidR="00DA2B39">
        <w:rPr>
          <w:rFonts w:ascii="Arial" w:hAnsi="Arial" w:cs="Arial"/>
          <w:sz w:val="24"/>
          <w:szCs w:val="24"/>
        </w:rPr>
        <w:t xml:space="preserve"> that the moratorium simply entailed </w:t>
      </w:r>
      <w:r w:rsidR="00011D50">
        <w:rPr>
          <w:rFonts w:ascii="Arial" w:hAnsi="Arial" w:cs="Arial"/>
          <w:sz w:val="24"/>
          <w:szCs w:val="24"/>
        </w:rPr>
        <w:t>a</w:t>
      </w:r>
      <w:r w:rsidR="00DA2B39">
        <w:rPr>
          <w:rFonts w:ascii="Arial" w:hAnsi="Arial" w:cs="Arial"/>
          <w:sz w:val="24"/>
          <w:szCs w:val="24"/>
        </w:rPr>
        <w:t xml:space="preserve"> te</w:t>
      </w:r>
      <w:r w:rsidR="00D1036D">
        <w:rPr>
          <w:rFonts w:ascii="Arial" w:hAnsi="Arial" w:cs="Arial"/>
          <w:sz w:val="24"/>
          <w:szCs w:val="24"/>
        </w:rPr>
        <w:t>mporary suspension and</w:t>
      </w:r>
      <w:r w:rsidR="00DA2B39">
        <w:rPr>
          <w:rFonts w:ascii="Arial" w:hAnsi="Arial" w:cs="Arial"/>
          <w:sz w:val="24"/>
          <w:szCs w:val="24"/>
        </w:rPr>
        <w:t xml:space="preserve"> this did not </w:t>
      </w:r>
      <w:r w:rsidR="00D1036D">
        <w:rPr>
          <w:rFonts w:ascii="Arial" w:hAnsi="Arial" w:cs="Arial"/>
          <w:sz w:val="24"/>
          <w:szCs w:val="24"/>
        </w:rPr>
        <w:t>prevent them from signing the agreement for the project which would be implemented at some future date. As far as the non-compliance with the condition relating to the guarantee is concerned</w:t>
      </w:r>
      <w:r w:rsidR="00107A3E">
        <w:rPr>
          <w:rFonts w:ascii="Arial" w:hAnsi="Arial" w:cs="Arial"/>
          <w:sz w:val="24"/>
          <w:szCs w:val="24"/>
        </w:rPr>
        <w:t>,</w:t>
      </w:r>
      <w:r w:rsidR="00D1036D">
        <w:rPr>
          <w:rFonts w:ascii="Arial" w:hAnsi="Arial" w:cs="Arial"/>
          <w:sz w:val="24"/>
          <w:szCs w:val="24"/>
        </w:rPr>
        <w:t xml:space="preserve"> </w:t>
      </w:r>
      <w:r w:rsidR="0073379D">
        <w:rPr>
          <w:rFonts w:ascii="Arial" w:hAnsi="Arial" w:cs="Arial"/>
          <w:sz w:val="24"/>
          <w:szCs w:val="24"/>
        </w:rPr>
        <w:t xml:space="preserve">in </w:t>
      </w:r>
      <w:r w:rsidR="00D1036D">
        <w:rPr>
          <w:rFonts w:ascii="Arial" w:hAnsi="Arial" w:cs="Arial"/>
          <w:sz w:val="24"/>
          <w:szCs w:val="24"/>
        </w:rPr>
        <w:t xml:space="preserve">neither the founding affidavits nor the supplementary affidavit is it </w:t>
      </w:r>
      <w:r w:rsidR="0073379D">
        <w:rPr>
          <w:rFonts w:ascii="Arial" w:hAnsi="Arial" w:cs="Arial"/>
          <w:sz w:val="24"/>
          <w:szCs w:val="24"/>
        </w:rPr>
        <w:t>averred</w:t>
      </w:r>
      <w:r w:rsidR="00D1036D">
        <w:rPr>
          <w:rFonts w:ascii="Arial" w:hAnsi="Arial" w:cs="Arial"/>
          <w:sz w:val="24"/>
          <w:szCs w:val="24"/>
        </w:rPr>
        <w:t xml:space="preserve"> that the </w:t>
      </w:r>
      <w:r w:rsidR="00D630AB">
        <w:rPr>
          <w:rFonts w:ascii="Arial" w:hAnsi="Arial" w:cs="Arial"/>
          <w:sz w:val="24"/>
          <w:szCs w:val="24"/>
        </w:rPr>
        <w:t>a</w:t>
      </w:r>
      <w:r w:rsidR="003B52EC">
        <w:rPr>
          <w:rFonts w:ascii="Arial" w:hAnsi="Arial" w:cs="Arial"/>
          <w:sz w:val="24"/>
          <w:szCs w:val="24"/>
        </w:rPr>
        <w:t>rchitect</w:t>
      </w:r>
      <w:r w:rsidR="00D1036D">
        <w:rPr>
          <w:rFonts w:ascii="Arial" w:hAnsi="Arial" w:cs="Arial"/>
          <w:sz w:val="24"/>
          <w:szCs w:val="24"/>
        </w:rPr>
        <w:t xml:space="preserve"> had the authority (express </w:t>
      </w:r>
      <w:r w:rsidR="00A408C5">
        <w:rPr>
          <w:rFonts w:ascii="Arial" w:hAnsi="Arial" w:cs="Arial"/>
          <w:sz w:val="24"/>
          <w:szCs w:val="24"/>
        </w:rPr>
        <w:t>or</w:t>
      </w:r>
      <w:r w:rsidR="00D1036D">
        <w:rPr>
          <w:rFonts w:ascii="Arial" w:hAnsi="Arial" w:cs="Arial"/>
          <w:sz w:val="24"/>
          <w:szCs w:val="24"/>
        </w:rPr>
        <w:t xml:space="preserve"> implied) to grant an extension of the time period to pro</w:t>
      </w:r>
      <w:r w:rsidR="0073379D">
        <w:rPr>
          <w:rFonts w:ascii="Arial" w:hAnsi="Arial" w:cs="Arial"/>
          <w:sz w:val="24"/>
          <w:szCs w:val="24"/>
        </w:rPr>
        <w:t>vide</w:t>
      </w:r>
      <w:r w:rsidR="00D1036D">
        <w:rPr>
          <w:rFonts w:ascii="Arial" w:hAnsi="Arial" w:cs="Arial"/>
          <w:sz w:val="24"/>
          <w:szCs w:val="24"/>
        </w:rPr>
        <w:t xml:space="preserve"> the guarantee. Ignoring the fact that the </w:t>
      </w:r>
      <w:r w:rsidR="0070053C">
        <w:rPr>
          <w:rFonts w:ascii="Arial" w:hAnsi="Arial" w:cs="Arial"/>
          <w:sz w:val="24"/>
          <w:szCs w:val="24"/>
        </w:rPr>
        <w:t>estoppel</w:t>
      </w:r>
      <w:r w:rsidR="00D1036D">
        <w:rPr>
          <w:rFonts w:ascii="Arial" w:hAnsi="Arial" w:cs="Arial"/>
          <w:sz w:val="24"/>
          <w:szCs w:val="24"/>
        </w:rPr>
        <w:t xml:space="preserve"> </w:t>
      </w:r>
      <w:r w:rsidR="00CC7DBC">
        <w:rPr>
          <w:rFonts w:ascii="Arial" w:hAnsi="Arial" w:cs="Arial"/>
          <w:sz w:val="24"/>
          <w:szCs w:val="24"/>
        </w:rPr>
        <w:t>cannot be a cause of action but is a ‘shield of defence’</w:t>
      </w:r>
      <w:r w:rsidR="000A3CCA">
        <w:rPr>
          <w:rFonts w:ascii="Arial" w:hAnsi="Arial" w:cs="Arial"/>
          <w:sz w:val="24"/>
          <w:szCs w:val="24"/>
        </w:rPr>
        <w:t>,</w:t>
      </w:r>
      <w:r w:rsidR="00CC7DBC">
        <w:rPr>
          <w:rFonts w:ascii="Arial" w:hAnsi="Arial" w:cs="Arial"/>
          <w:sz w:val="24"/>
          <w:szCs w:val="24"/>
        </w:rPr>
        <w:t xml:space="preserve"> the founding affidavit alleged that the respondents were estopped </w:t>
      </w:r>
      <w:r w:rsidR="00CC7DBC">
        <w:rPr>
          <w:rFonts w:ascii="Arial" w:hAnsi="Arial" w:cs="Arial"/>
          <w:sz w:val="24"/>
          <w:szCs w:val="24"/>
        </w:rPr>
        <w:lastRenderedPageBreak/>
        <w:t xml:space="preserve">from denying the authority of the </w:t>
      </w:r>
      <w:r w:rsidR="00D630AB">
        <w:rPr>
          <w:rFonts w:ascii="Arial" w:hAnsi="Arial" w:cs="Arial"/>
          <w:sz w:val="24"/>
          <w:szCs w:val="24"/>
        </w:rPr>
        <w:t>a</w:t>
      </w:r>
      <w:r w:rsidR="003B52EC">
        <w:rPr>
          <w:rFonts w:ascii="Arial" w:hAnsi="Arial" w:cs="Arial"/>
          <w:sz w:val="24"/>
          <w:szCs w:val="24"/>
        </w:rPr>
        <w:t>rchitect</w:t>
      </w:r>
      <w:r w:rsidR="00CC7DBC">
        <w:rPr>
          <w:rFonts w:ascii="Arial" w:hAnsi="Arial" w:cs="Arial"/>
          <w:sz w:val="24"/>
          <w:szCs w:val="24"/>
        </w:rPr>
        <w:t>.</w:t>
      </w:r>
      <w:r w:rsidR="00CC7DBC">
        <w:rPr>
          <w:rStyle w:val="FootnoteReference"/>
          <w:rFonts w:ascii="Arial" w:hAnsi="Arial" w:cs="Arial"/>
          <w:sz w:val="24"/>
          <w:szCs w:val="24"/>
        </w:rPr>
        <w:footnoteReference w:id="1"/>
      </w:r>
      <w:r w:rsidR="0070053C">
        <w:rPr>
          <w:rFonts w:ascii="Arial" w:hAnsi="Arial" w:cs="Arial"/>
          <w:sz w:val="24"/>
          <w:szCs w:val="24"/>
        </w:rPr>
        <w:t xml:space="preserve"> It is only in the replying affidavit that the actual authority on behalf of the </w:t>
      </w:r>
      <w:r w:rsidR="00D630AB">
        <w:rPr>
          <w:rFonts w:ascii="Arial" w:hAnsi="Arial" w:cs="Arial"/>
          <w:sz w:val="24"/>
          <w:szCs w:val="24"/>
        </w:rPr>
        <w:t>a</w:t>
      </w:r>
      <w:r w:rsidR="003B52EC">
        <w:rPr>
          <w:rFonts w:ascii="Arial" w:hAnsi="Arial" w:cs="Arial"/>
          <w:sz w:val="24"/>
          <w:szCs w:val="24"/>
        </w:rPr>
        <w:t>rchitect</w:t>
      </w:r>
      <w:r w:rsidR="0070053C">
        <w:rPr>
          <w:rFonts w:ascii="Arial" w:hAnsi="Arial" w:cs="Arial"/>
          <w:sz w:val="24"/>
          <w:szCs w:val="24"/>
        </w:rPr>
        <w:t xml:space="preserve"> is raised.</w:t>
      </w:r>
    </w:p>
    <w:p w:rsidR="00B77D8F" w:rsidRPr="00953905" w:rsidRDefault="00B77D8F" w:rsidP="00B77D8F">
      <w:pPr>
        <w:pStyle w:val="NoSpacing"/>
        <w:spacing w:line="480" w:lineRule="auto"/>
        <w:jc w:val="both"/>
        <w:rPr>
          <w:rFonts w:ascii="Arial" w:hAnsi="Arial" w:cs="Arial"/>
          <w:sz w:val="24"/>
          <w:szCs w:val="24"/>
        </w:rPr>
      </w:pPr>
    </w:p>
    <w:p w:rsidR="009E752C" w:rsidRDefault="0070053C" w:rsidP="003536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respondents in the</w:t>
      </w:r>
      <w:r w:rsidR="0073379D">
        <w:rPr>
          <w:rFonts w:ascii="Arial" w:hAnsi="Arial" w:cs="Arial"/>
          <w:sz w:val="24"/>
          <w:szCs w:val="24"/>
        </w:rPr>
        <w:t>ir</w:t>
      </w:r>
      <w:r>
        <w:rPr>
          <w:rFonts w:ascii="Arial" w:hAnsi="Arial" w:cs="Arial"/>
          <w:sz w:val="24"/>
          <w:szCs w:val="24"/>
        </w:rPr>
        <w:t xml:space="preserve"> opposition to the review application raised certain defences and also brought a counter application to have the award of the tender</w:t>
      </w:r>
      <w:r w:rsidR="009238B1">
        <w:rPr>
          <w:rFonts w:ascii="Arial" w:hAnsi="Arial" w:cs="Arial"/>
          <w:sz w:val="24"/>
          <w:szCs w:val="24"/>
        </w:rPr>
        <w:t xml:space="preserve"> to the joint v</w:t>
      </w:r>
      <w:r w:rsidR="00580A07">
        <w:rPr>
          <w:rFonts w:ascii="Arial" w:hAnsi="Arial" w:cs="Arial"/>
          <w:sz w:val="24"/>
          <w:szCs w:val="24"/>
        </w:rPr>
        <w:t>enture set aside. The Permanent Secretary of the Ministry of Education</w:t>
      </w:r>
      <w:r w:rsidR="00372FD2">
        <w:rPr>
          <w:rFonts w:ascii="Arial" w:hAnsi="Arial" w:cs="Arial"/>
          <w:sz w:val="24"/>
          <w:szCs w:val="24"/>
        </w:rPr>
        <w:t xml:space="preserve">, Arts and Culture </w:t>
      </w:r>
      <w:r w:rsidR="00A408C5">
        <w:rPr>
          <w:rFonts w:ascii="Arial" w:hAnsi="Arial" w:cs="Arial"/>
          <w:sz w:val="24"/>
          <w:szCs w:val="24"/>
        </w:rPr>
        <w:t xml:space="preserve">(Ministry of Education) </w:t>
      </w:r>
      <w:r w:rsidR="00372FD2">
        <w:rPr>
          <w:rFonts w:ascii="Arial" w:hAnsi="Arial" w:cs="Arial"/>
          <w:sz w:val="24"/>
          <w:szCs w:val="24"/>
        </w:rPr>
        <w:t xml:space="preserve">deposed to the affidavit filed on behalf of the respondents. It is </w:t>
      </w:r>
      <w:r w:rsidR="003536C7">
        <w:rPr>
          <w:rFonts w:ascii="Arial" w:hAnsi="Arial" w:cs="Arial"/>
          <w:sz w:val="24"/>
          <w:szCs w:val="24"/>
        </w:rPr>
        <w:t>contended</w:t>
      </w:r>
      <w:r w:rsidR="009238B1">
        <w:rPr>
          <w:rFonts w:ascii="Arial" w:hAnsi="Arial" w:cs="Arial"/>
          <w:sz w:val="24"/>
          <w:szCs w:val="24"/>
        </w:rPr>
        <w:t xml:space="preserve"> that the appointment of the joint v</w:t>
      </w:r>
      <w:r w:rsidR="00372FD2">
        <w:rPr>
          <w:rFonts w:ascii="Arial" w:hAnsi="Arial" w:cs="Arial"/>
          <w:sz w:val="24"/>
          <w:szCs w:val="24"/>
        </w:rPr>
        <w:t>enture terminated as a result of the guarantee not being provided timeously. Further</w:t>
      </w:r>
      <w:r w:rsidR="000A3CCA">
        <w:rPr>
          <w:rFonts w:ascii="Arial" w:hAnsi="Arial" w:cs="Arial"/>
          <w:sz w:val="24"/>
          <w:szCs w:val="24"/>
        </w:rPr>
        <w:t>,</w:t>
      </w:r>
      <w:r w:rsidR="00372FD2">
        <w:rPr>
          <w:rFonts w:ascii="Arial" w:hAnsi="Arial" w:cs="Arial"/>
          <w:sz w:val="24"/>
          <w:szCs w:val="24"/>
        </w:rPr>
        <w:t xml:space="preserve"> that as money from the central government would be involved in the project it meant that the source of the </w:t>
      </w:r>
      <w:r w:rsidR="003536C7">
        <w:rPr>
          <w:rFonts w:ascii="Arial" w:hAnsi="Arial" w:cs="Arial"/>
          <w:sz w:val="24"/>
          <w:szCs w:val="24"/>
        </w:rPr>
        <w:t xml:space="preserve">funding was the </w:t>
      </w:r>
      <w:r w:rsidR="00372FD2">
        <w:rPr>
          <w:rFonts w:ascii="Arial" w:hAnsi="Arial" w:cs="Arial"/>
          <w:sz w:val="24"/>
          <w:szCs w:val="24"/>
        </w:rPr>
        <w:t xml:space="preserve">central government </w:t>
      </w:r>
      <w:r w:rsidR="003536C7">
        <w:rPr>
          <w:rFonts w:ascii="Arial" w:hAnsi="Arial" w:cs="Arial"/>
          <w:sz w:val="24"/>
          <w:szCs w:val="24"/>
        </w:rPr>
        <w:t>and hence that the award could not have been made without treasury authorisation as contemplated in s 17 of the State Finance Act</w:t>
      </w:r>
      <w:r w:rsidR="003536C7">
        <w:rPr>
          <w:rStyle w:val="FootnoteReference"/>
          <w:rFonts w:ascii="Arial" w:hAnsi="Arial" w:cs="Arial"/>
          <w:sz w:val="24"/>
          <w:szCs w:val="24"/>
        </w:rPr>
        <w:footnoteReference w:id="2"/>
      </w:r>
      <w:r w:rsidR="00E41ECC">
        <w:rPr>
          <w:rFonts w:ascii="Arial" w:hAnsi="Arial" w:cs="Arial"/>
          <w:sz w:val="24"/>
          <w:szCs w:val="24"/>
        </w:rPr>
        <w:t xml:space="preserve"> be</w:t>
      </w:r>
      <w:r w:rsidR="00A408C5">
        <w:rPr>
          <w:rFonts w:ascii="Arial" w:hAnsi="Arial" w:cs="Arial"/>
          <w:sz w:val="24"/>
          <w:szCs w:val="24"/>
        </w:rPr>
        <w:t>ing</w:t>
      </w:r>
      <w:r w:rsidR="00E41ECC">
        <w:rPr>
          <w:rFonts w:ascii="Arial" w:hAnsi="Arial" w:cs="Arial"/>
          <w:sz w:val="24"/>
          <w:szCs w:val="24"/>
        </w:rPr>
        <w:t xml:space="preserve"> in place</w:t>
      </w:r>
      <w:r w:rsidR="003536C7">
        <w:rPr>
          <w:rFonts w:ascii="Arial" w:hAnsi="Arial" w:cs="Arial"/>
          <w:sz w:val="24"/>
          <w:szCs w:val="24"/>
        </w:rPr>
        <w:t>. As</w:t>
      </w:r>
      <w:r w:rsidR="00E41ECC">
        <w:rPr>
          <w:rFonts w:ascii="Arial" w:hAnsi="Arial" w:cs="Arial"/>
          <w:sz w:val="24"/>
          <w:szCs w:val="24"/>
        </w:rPr>
        <w:t xml:space="preserve"> far as the counter application is concerned reliance is placed on a moratorium announced by the Ministry</w:t>
      </w:r>
      <w:r w:rsidR="003D05FB">
        <w:rPr>
          <w:rFonts w:ascii="Arial" w:hAnsi="Arial" w:cs="Arial"/>
          <w:sz w:val="24"/>
          <w:szCs w:val="24"/>
        </w:rPr>
        <w:t xml:space="preserve"> of Finance on 12 September 2016 which directed that no capital projects under the national budget should be proceeded with. The </w:t>
      </w:r>
      <w:r w:rsidR="00E64A4B">
        <w:rPr>
          <w:rFonts w:ascii="Arial" w:hAnsi="Arial" w:cs="Arial"/>
          <w:sz w:val="24"/>
          <w:szCs w:val="24"/>
        </w:rPr>
        <w:t>r</w:t>
      </w:r>
      <w:r w:rsidR="003B52EC">
        <w:rPr>
          <w:rFonts w:ascii="Arial" w:hAnsi="Arial" w:cs="Arial"/>
          <w:sz w:val="24"/>
          <w:szCs w:val="24"/>
        </w:rPr>
        <w:t>egional council</w:t>
      </w:r>
      <w:r w:rsidR="003D05FB">
        <w:rPr>
          <w:rFonts w:ascii="Arial" w:hAnsi="Arial" w:cs="Arial"/>
          <w:sz w:val="24"/>
          <w:szCs w:val="24"/>
        </w:rPr>
        <w:t xml:space="preserve"> was informed of this but</w:t>
      </w:r>
      <w:r w:rsidR="000A3CCA">
        <w:rPr>
          <w:rFonts w:ascii="Arial" w:hAnsi="Arial" w:cs="Arial"/>
          <w:sz w:val="24"/>
          <w:szCs w:val="24"/>
        </w:rPr>
        <w:t>,</w:t>
      </w:r>
      <w:r w:rsidR="003D05FB">
        <w:rPr>
          <w:rFonts w:ascii="Arial" w:hAnsi="Arial" w:cs="Arial"/>
          <w:sz w:val="24"/>
          <w:szCs w:val="24"/>
        </w:rPr>
        <w:t xml:space="preserve"> despite this</w:t>
      </w:r>
      <w:r w:rsidR="000A3CCA">
        <w:rPr>
          <w:rFonts w:ascii="Arial" w:hAnsi="Arial" w:cs="Arial"/>
          <w:sz w:val="24"/>
          <w:szCs w:val="24"/>
        </w:rPr>
        <w:t>,</w:t>
      </w:r>
      <w:r w:rsidR="003D05FB">
        <w:rPr>
          <w:rFonts w:ascii="Arial" w:hAnsi="Arial" w:cs="Arial"/>
          <w:sz w:val="24"/>
          <w:szCs w:val="24"/>
        </w:rPr>
        <w:t xml:space="preserve"> the tender process was persisted </w:t>
      </w:r>
      <w:r w:rsidR="000A3CCA">
        <w:rPr>
          <w:rFonts w:ascii="Arial" w:hAnsi="Arial" w:cs="Arial"/>
          <w:sz w:val="24"/>
          <w:szCs w:val="24"/>
        </w:rPr>
        <w:t>with</w:t>
      </w:r>
      <w:r w:rsidR="003D05FB">
        <w:rPr>
          <w:rFonts w:ascii="Arial" w:hAnsi="Arial" w:cs="Arial"/>
          <w:sz w:val="24"/>
          <w:szCs w:val="24"/>
        </w:rPr>
        <w:t xml:space="preserve"> and </w:t>
      </w:r>
      <w:r w:rsidR="00A408C5">
        <w:rPr>
          <w:rFonts w:ascii="Arial" w:hAnsi="Arial" w:cs="Arial"/>
          <w:sz w:val="24"/>
          <w:szCs w:val="24"/>
        </w:rPr>
        <w:t xml:space="preserve">the </w:t>
      </w:r>
      <w:r w:rsidR="009238B1">
        <w:rPr>
          <w:rFonts w:ascii="Arial" w:hAnsi="Arial" w:cs="Arial"/>
          <w:sz w:val="24"/>
          <w:szCs w:val="24"/>
        </w:rPr>
        <w:t>joint v</w:t>
      </w:r>
      <w:r w:rsidR="003D05FB">
        <w:rPr>
          <w:rFonts w:ascii="Arial" w:hAnsi="Arial" w:cs="Arial"/>
          <w:sz w:val="24"/>
          <w:szCs w:val="24"/>
        </w:rPr>
        <w:t xml:space="preserve">enture conditionally appointed. It is alleged that this conduct meant that the award </w:t>
      </w:r>
      <w:r w:rsidR="0010153B">
        <w:rPr>
          <w:rFonts w:ascii="Arial" w:hAnsi="Arial" w:cs="Arial"/>
          <w:sz w:val="24"/>
          <w:szCs w:val="24"/>
        </w:rPr>
        <w:t xml:space="preserve">to </w:t>
      </w:r>
      <w:r w:rsidR="009238B1">
        <w:rPr>
          <w:rFonts w:ascii="Arial" w:hAnsi="Arial" w:cs="Arial"/>
          <w:sz w:val="24"/>
          <w:szCs w:val="24"/>
        </w:rPr>
        <w:t>the joint v</w:t>
      </w:r>
      <w:r w:rsidR="003D05FB">
        <w:rPr>
          <w:rFonts w:ascii="Arial" w:hAnsi="Arial" w:cs="Arial"/>
          <w:sz w:val="24"/>
          <w:szCs w:val="24"/>
        </w:rPr>
        <w:t xml:space="preserve">enture was </w:t>
      </w:r>
      <w:r w:rsidR="003D05FB" w:rsidRPr="0010153B">
        <w:rPr>
          <w:rFonts w:ascii="Arial" w:hAnsi="Arial" w:cs="Arial"/>
          <w:i/>
          <w:sz w:val="24"/>
          <w:szCs w:val="24"/>
        </w:rPr>
        <w:t>ultra vires</w:t>
      </w:r>
      <w:r w:rsidR="00DB5273">
        <w:rPr>
          <w:rFonts w:ascii="Arial" w:hAnsi="Arial" w:cs="Arial"/>
          <w:sz w:val="24"/>
          <w:szCs w:val="24"/>
        </w:rPr>
        <w:t xml:space="preserve"> the powers of the Tender B</w:t>
      </w:r>
      <w:r w:rsidR="003D05FB">
        <w:rPr>
          <w:rFonts w:ascii="Arial" w:hAnsi="Arial" w:cs="Arial"/>
          <w:sz w:val="24"/>
          <w:szCs w:val="24"/>
        </w:rPr>
        <w:t>oard.</w:t>
      </w:r>
      <w:r w:rsidR="0010153B">
        <w:rPr>
          <w:rFonts w:ascii="Arial" w:hAnsi="Arial" w:cs="Arial"/>
          <w:sz w:val="24"/>
          <w:szCs w:val="24"/>
        </w:rPr>
        <w:t xml:space="preserve"> Further</w:t>
      </w:r>
      <w:r w:rsidR="00A408C5">
        <w:rPr>
          <w:rFonts w:ascii="Arial" w:hAnsi="Arial" w:cs="Arial"/>
          <w:sz w:val="24"/>
          <w:szCs w:val="24"/>
        </w:rPr>
        <w:t>,</w:t>
      </w:r>
      <w:r w:rsidR="0010153B">
        <w:rPr>
          <w:rFonts w:ascii="Arial" w:hAnsi="Arial" w:cs="Arial"/>
          <w:sz w:val="24"/>
          <w:szCs w:val="24"/>
        </w:rPr>
        <w:t xml:space="preserve"> that </w:t>
      </w:r>
      <w:r w:rsidR="00DB5273">
        <w:rPr>
          <w:rFonts w:ascii="Arial" w:hAnsi="Arial" w:cs="Arial"/>
          <w:sz w:val="24"/>
          <w:szCs w:val="24"/>
        </w:rPr>
        <w:t xml:space="preserve">as </w:t>
      </w:r>
      <w:r w:rsidR="0010153B">
        <w:rPr>
          <w:rFonts w:ascii="Arial" w:hAnsi="Arial" w:cs="Arial"/>
          <w:sz w:val="24"/>
          <w:szCs w:val="24"/>
        </w:rPr>
        <w:t xml:space="preserve">the </w:t>
      </w:r>
      <w:r w:rsidR="00DB5273">
        <w:rPr>
          <w:rFonts w:ascii="Arial" w:hAnsi="Arial" w:cs="Arial"/>
          <w:sz w:val="24"/>
          <w:szCs w:val="24"/>
        </w:rPr>
        <w:t>Tender Board</w:t>
      </w:r>
      <w:r w:rsidR="0010153B">
        <w:rPr>
          <w:rFonts w:ascii="Arial" w:hAnsi="Arial" w:cs="Arial"/>
          <w:sz w:val="24"/>
          <w:szCs w:val="24"/>
        </w:rPr>
        <w:t xml:space="preserve"> did not have </w:t>
      </w:r>
      <w:r w:rsidR="00A408C5">
        <w:rPr>
          <w:rFonts w:ascii="Arial" w:hAnsi="Arial" w:cs="Arial"/>
          <w:sz w:val="24"/>
          <w:szCs w:val="24"/>
        </w:rPr>
        <w:t>the T</w:t>
      </w:r>
      <w:r w:rsidR="0010153B">
        <w:rPr>
          <w:rFonts w:ascii="Arial" w:hAnsi="Arial" w:cs="Arial"/>
          <w:sz w:val="24"/>
          <w:szCs w:val="24"/>
        </w:rPr>
        <w:t>reasur</w:t>
      </w:r>
      <w:r w:rsidR="00A408C5">
        <w:rPr>
          <w:rFonts w:ascii="Arial" w:hAnsi="Arial" w:cs="Arial"/>
          <w:sz w:val="24"/>
          <w:szCs w:val="24"/>
        </w:rPr>
        <w:t>y</w:t>
      </w:r>
      <w:r w:rsidR="0010153B">
        <w:rPr>
          <w:rFonts w:ascii="Arial" w:hAnsi="Arial" w:cs="Arial"/>
          <w:sz w:val="24"/>
          <w:szCs w:val="24"/>
        </w:rPr>
        <w:t xml:space="preserve"> approval </w:t>
      </w:r>
      <w:r w:rsidR="00DB5273">
        <w:rPr>
          <w:rFonts w:ascii="Arial" w:hAnsi="Arial" w:cs="Arial"/>
          <w:sz w:val="24"/>
          <w:szCs w:val="24"/>
        </w:rPr>
        <w:t>mentioned above</w:t>
      </w:r>
      <w:r w:rsidR="00C22878">
        <w:rPr>
          <w:rFonts w:ascii="Arial" w:hAnsi="Arial" w:cs="Arial"/>
          <w:sz w:val="24"/>
          <w:szCs w:val="24"/>
        </w:rPr>
        <w:t>,</w:t>
      </w:r>
      <w:r w:rsidR="00DB5273">
        <w:rPr>
          <w:rFonts w:ascii="Arial" w:hAnsi="Arial" w:cs="Arial"/>
          <w:sz w:val="24"/>
          <w:szCs w:val="24"/>
        </w:rPr>
        <w:t xml:space="preserve"> the award could not be made. </w:t>
      </w:r>
    </w:p>
    <w:p w:rsidR="00903E47" w:rsidRDefault="00DB5273" w:rsidP="003536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answer to the counter application the appellants aver that the moratorium only related to tenders that were dealt with by the Tender Board of Namibia</w:t>
      </w:r>
      <w:r w:rsidR="008C0383">
        <w:rPr>
          <w:rFonts w:ascii="Arial" w:hAnsi="Arial" w:cs="Arial"/>
          <w:sz w:val="24"/>
          <w:szCs w:val="24"/>
        </w:rPr>
        <w:t xml:space="preserve"> and did not include tenders that the regional tender board had to deal with. It is further denied that the State Finance Act was of relevance and it is alleged that the </w:t>
      </w:r>
      <w:r w:rsidR="00E64A4B">
        <w:rPr>
          <w:rFonts w:ascii="Arial" w:hAnsi="Arial" w:cs="Arial"/>
          <w:sz w:val="24"/>
          <w:szCs w:val="24"/>
        </w:rPr>
        <w:t>Regional C</w:t>
      </w:r>
      <w:r w:rsidR="003B52EC">
        <w:rPr>
          <w:rFonts w:ascii="Arial" w:hAnsi="Arial" w:cs="Arial"/>
          <w:sz w:val="24"/>
          <w:szCs w:val="24"/>
        </w:rPr>
        <w:t>ouncil</w:t>
      </w:r>
      <w:r w:rsidR="00AC3CE3">
        <w:rPr>
          <w:rFonts w:ascii="Arial" w:hAnsi="Arial" w:cs="Arial"/>
          <w:sz w:val="24"/>
          <w:szCs w:val="24"/>
        </w:rPr>
        <w:t>s</w:t>
      </w:r>
      <w:r w:rsidR="008C0383">
        <w:rPr>
          <w:rFonts w:ascii="Arial" w:hAnsi="Arial" w:cs="Arial"/>
          <w:sz w:val="24"/>
          <w:szCs w:val="24"/>
        </w:rPr>
        <w:t xml:space="preserve"> Act</w:t>
      </w:r>
      <w:r w:rsidR="008C0383">
        <w:rPr>
          <w:rStyle w:val="FootnoteReference"/>
          <w:rFonts w:ascii="Arial" w:hAnsi="Arial" w:cs="Arial"/>
          <w:sz w:val="24"/>
          <w:szCs w:val="24"/>
        </w:rPr>
        <w:footnoteReference w:id="3"/>
      </w:r>
      <w:r w:rsidR="008C0383">
        <w:rPr>
          <w:rFonts w:ascii="Arial" w:hAnsi="Arial" w:cs="Arial"/>
          <w:sz w:val="24"/>
          <w:szCs w:val="24"/>
        </w:rPr>
        <w:t xml:space="preserve"> was </w:t>
      </w:r>
      <w:r w:rsidR="00A408C5">
        <w:rPr>
          <w:rFonts w:ascii="Arial" w:hAnsi="Arial" w:cs="Arial"/>
          <w:sz w:val="24"/>
          <w:szCs w:val="24"/>
        </w:rPr>
        <w:t>the applicable</w:t>
      </w:r>
      <w:r w:rsidR="008C0383">
        <w:rPr>
          <w:rFonts w:ascii="Arial" w:hAnsi="Arial" w:cs="Arial"/>
          <w:sz w:val="24"/>
          <w:szCs w:val="24"/>
        </w:rPr>
        <w:t xml:space="preserve"> legislation. From </w:t>
      </w:r>
      <w:r w:rsidR="00A408C5">
        <w:rPr>
          <w:rFonts w:ascii="Arial" w:hAnsi="Arial" w:cs="Arial"/>
          <w:sz w:val="24"/>
          <w:szCs w:val="24"/>
        </w:rPr>
        <w:t>a</w:t>
      </w:r>
      <w:r w:rsidR="008C0383">
        <w:rPr>
          <w:rFonts w:ascii="Arial" w:hAnsi="Arial" w:cs="Arial"/>
          <w:sz w:val="24"/>
          <w:szCs w:val="24"/>
        </w:rPr>
        <w:t xml:space="preserve"> factual perspective it is alleged that it appears from documentation from the Ministry of Education, that </w:t>
      </w:r>
      <w:r w:rsidR="002E716E">
        <w:rPr>
          <w:rFonts w:ascii="Arial" w:hAnsi="Arial" w:cs="Arial"/>
          <w:sz w:val="24"/>
          <w:szCs w:val="24"/>
        </w:rPr>
        <w:t xml:space="preserve">the </w:t>
      </w:r>
      <w:r w:rsidR="008C0383">
        <w:rPr>
          <w:rFonts w:ascii="Arial" w:hAnsi="Arial" w:cs="Arial"/>
          <w:sz w:val="24"/>
          <w:szCs w:val="24"/>
        </w:rPr>
        <w:t>funds were indeed available.</w:t>
      </w:r>
    </w:p>
    <w:p w:rsidR="003536C7" w:rsidRDefault="003536C7" w:rsidP="003536C7">
      <w:pPr>
        <w:pStyle w:val="NoSpacing"/>
        <w:spacing w:line="480" w:lineRule="auto"/>
        <w:jc w:val="both"/>
        <w:rPr>
          <w:rFonts w:ascii="Arial" w:hAnsi="Arial" w:cs="Arial"/>
          <w:sz w:val="24"/>
          <w:szCs w:val="24"/>
        </w:rPr>
      </w:pPr>
    </w:p>
    <w:p w:rsidR="00903E47" w:rsidRDefault="002E716E" w:rsidP="001307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E716E">
        <w:rPr>
          <w:rFonts w:ascii="Arial" w:hAnsi="Arial" w:cs="Arial"/>
          <w:i/>
          <w:sz w:val="24"/>
          <w:szCs w:val="24"/>
        </w:rPr>
        <w:t>a quo</w:t>
      </w:r>
      <w:r>
        <w:rPr>
          <w:rFonts w:ascii="Arial" w:hAnsi="Arial" w:cs="Arial"/>
          <w:sz w:val="24"/>
          <w:szCs w:val="24"/>
        </w:rPr>
        <w:t xml:space="preserve"> held that the </w:t>
      </w:r>
      <w:r w:rsidRPr="002E716E">
        <w:rPr>
          <w:rFonts w:ascii="Arial" w:hAnsi="Arial" w:cs="Arial"/>
          <w:i/>
          <w:sz w:val="24"/>
          <w:szCs w:val="24"/>
        </w:rPr>
        <w:t>audi alteram partem</w:t>
      </w:r>
      <w:r>
        <w:rPr>
          <w:rFonts w:ascii="Arial" w:hAnsi="Arial" w:cs="Arial"/>
          <w:sz w:val="24"/>
          <w:szCs w:val="24"/>
        </w:rPr>
        <w:t xml:space="preserve"> point relating to the allegation</w:t>
      </w:r>
      <w:r w:rsidR="00AC3CE3">
        <w:rPr>
          <w:rFonts w:ascii="Arial" w:hAnsi="Arial" w:cs="Arial"/>
          <w:sz w:val="24"/>
          <w:szCs w:val="24"/>
        </w:rPr>
        <w:t>s</w:t>
      </w:r>
      <w:r>
        <w:rPr>
          <w:rFonts w:ascii="Arial" w:hAnsi="Arial" w:cs="Arial"/>
          <w:sz w:val="24"/>
          <w:szCs w:val="24"/>
        </w:rPr>
        <w:t xml:space="preserve"> of co</w:t>
      </w:r>
      <w:r w:rsidR="00BB5B99">
        <w:rPr>
          <w:rFonts w:ascii="Arial" w:hAnsi="Arial" w:cs="Arial"/>
          <w:sz w:val="24"/>
          <w:szCs w:val="24"/>
        </w:rPr>
        <w:t>rrupt practises w</w:t>
      </w:r>
      <w:r w:rsidR="00AC3CE3">
        <w:rPr>
          <w:rFonts w:ascii="Arial" w:hAnsi="Arial" w:cs="Arial"/>
          <w:sz w:val="24"/>
          <w:szCs w:val="24"/>
        </w:rPr>
        <w:t>as</w:t>
      </w:r>
      <w:r w:rsidR="00506F32">
        <w:rPr>
          <w:rFonts w:ascii="Arial" w:hAnsi="Arial" w:cs="Arial"/>
          <w:sz w:val="24"/>
          <w:szCs w:val="24"/>
        </w:rPr>
        <w:t xml:space="preserve"> without merit as those allegations were not </w:t>
      </w:r>
      <w:r w:rsidR="009238B1">
        <w:rPr>
          <w:rFonts w:ascii="Arial" w:hAnsi="Arial" w:cs="Arial"/>
          <w:sz w:val="24"/>
          <w:szCs w:val="24"/>
        </w:rPr>
        <w:t>levelled at the joint v</w:t>
      </w:r>
      <w:r w:rsidR="00A732E1">
        <w:rPr>
          <w:rFonts w:ascii="Arial" w:hAnsi="Arial" w:cs="Arial"/>
          <w:sz w:val="24"/>
          <w:szCs w:val="24"/>
        </w:rPr>
        <w:t>enture (t</w:t>
      </w:r>
      <w:r w:rsidR="00506F32">
        <w:rPr>
          <w:rFonts w:ascii="Arial" w:hAnsi="Arial" w:cs="Arial"/>
          <w:sz w:val="24"/>
          <w:szCs w:val="24"/>
        </w:rPr>
        <w:t>his aspect was not raised on appeal). It further held that</w:t>
      </w:r>
      <w:r w:rsidR="00BB5B99">
        <w:rPr>
          <w:rFonts w:ascii="Arial" w:hAnsi="Arial" w:cs="Arial"/>
          <w:sz w:val="24"/>
          <w:szCs w:val="24"/>
        </w:rPr>
        <w:t>,</w:t>
      </w:r>
      <w:r w:rsidR="00506F32">
        <w:rPr>
          <w:rFonts w:ascii="Arial" w:hAnsi="Arial" w:cs="Arial"/>
          <w:sz w:val="24"/>
          <w:szCs w:val="24"/>
        </w:rPr>
        <w:t xml:space="preserve"> neither the </w:t>
      </w:r>
      <w:r w:rsidR="00D630AB">
        <w:rPr>
          <w:rFonts w:ascii="Arial" w:hAnsi="Arial" w:cs="Arial"/>
          <w:sz w:val="24"/>
          <w:szCs w:val="24"/>
        </w:rPr>
        <w:t>a</w:t>
      </w:r>
      <w:r w:rsidR="003B52EC">
        <w:rPr>
          <w:rFonts w:ascii="Arial" w:hAnsi="Arial" w:cs="Arial"/>
          <w:sz w:val="24"/>
          <w:szCs w:val="24"/>
        </w:rPr>
        <w:t>rchitect</w:t>
      </w:r>
      <w:r w:rsidR="00506F32">
        <w:rPr>
          <w:rFonts w:ascii="Arial" w:hAnsi="Arial" w:cs="Arial"/>
          <w:sz w:val="24"/>
          <w:szCs w:val="24"/>
        </w:rPr>
        <w:t xml:space="preserve"> nor the official from the </w:t>
      </w:r>
      <w:r w:rsidR="00E64A4B">
        <w:rPr>
          <w:rFonts w:ascii="Arial" w:hAnsi="Arial" w:cs="Arial"/>
          <w:sz w:val="24"/>
          <w:szCs w:val="24"/>
        </w:rPr>
        <w:t>r</w:t>
      </w:r>
      <w:r w:rsidR="003B52EC">
        <w:rPr>
          <w:rFonts w:ascii="Arial" w:hAnsi="Arial" w:cs="Arial"/>
          <w:sz w:val="24"/>
          <w:szCs w:val="24"/>
        </w:rPr>
        <w:t>egional council</w:t>
      </w:r>
      <w:r w:rsidR="00506F32">
        <w:rPr>
          <w:rFonts w:ascii="Arial" w:hAnsi="Arial" w:cs="Arial"/>
          <w:sz w:val="24"/>
          <w:szCs w:val="24"/>
        </w:rPr>
        <w:t xml:space="preserve"> involved had the authority to</w:t>
      </w:r>
      <w:r w:rsidR="009238B1">
        <w:rPr>
          <w:rFonts w:ascii="Arial" w:hAnsi="Arial" w:cs="Arial"/>
          <w:sz w:val="24"/>
          <w:szCs w:val="24"/>
        </w:rPr>
        <w:t xml:space="preserve"> cancel the appointment of the joint v</w:t>
      </w:r>
      <w:r w:rsidR="00506F32">
        <w:rPr>
          <w:rFonts w:ascii="Arial" w:hAnsi="Arial" w:cs="Arial"/>
          <w:sz w:val="24"/>
          <w:szCs w:val="24"/>
        </w:rPr>
        <w:t xml:space="preserve">enture and that the cancellation was thus invalid. It also held with reference to its decision in respect </w:t>
      </w:r>
      <w:r w:rsidR="006C64FA">
        <w:rPr>
          <w:rFonts w:ascii="Arial" w:hAnsi="Arial" w:cs="Arial"/>
          <w:sz w:val="24"/>
          <w:szCs w:val="24"/>
        </w:rPr>
        <w:t>of</w:t>
      </w:r>
      <w:r w:rsidR="00506F32">
        <w:rPr>
          <w:rFonts w:ascii="Arial" w:hAnsi="Arial" w:cs="Arial"/>
          <w:sz w:val="24"/>
          <w:szCs w:val="24"/>
        </w:rPr>
        <w:t xml:space="preserve"> the counter application </w:t>
      </w:r>
      <w:r w:rsidR="00117419">
        <w:rPr>
          <w:rFonts w:ascii="Arial" w:hAnsi="Arial" w:cs="Arial"/>
          <w:sz w:val="24"/>
          <w:szCs w:val="24"/>
        </w:rPr>
        <w:t>that because the estoppel raised by the appellant</w:t>
      </w:r>
      <w:r w:rsidR="00BB5B99">
        <w:rPr>
          <w:rFonts w:ascii="Arial" w:hAnsi="Arial" w:cs="Arial"/>
          <w:sz w:val="24"/>
          <w:szCs w:val="24"/>
        </w:rPr>
        <w:t>s</w:t>
      </w:r>
      <w:r w:rsidR="00117419">
        <w:rPr>
          <w:rFonts w:ascii="Arial" w:hAnsi="Arial" w:cs="Arial"/>
          <w:sz w:val="24"/>
          <w:szCs w:val="24"/>
        </w:rPr>
        <w:t xml:space="preserve"> would result in</w:t>
      </w:r>
      <w:r w:rsidR="006D2874">
        <w:rPr>
          <w:rFonts w:ascii="Arial" w:hAnsi="Arial" w:cs="Arial"/>
          <w:sz w:val="24"/>
          <w:szCs w:val="24"/>
        </w:rPr>
        <w:t xml:space="preserve"> </w:t>
      </w:r>
      <w:r w:rsidR="00117419">
        <w:rPr>
          <w:rFonts w:ascii="Arial" w:hAnsi="Arial" w:cs="Arial"/>
          <w:sz w:val="24"/>
          <w:szCs w:val="24"/>
        </w:rPr>
        <w:t>validating an award that was not valid</w:t>
      </w:r>
      <w:r w:rsidR="006D2874">
        <w:rPr>
          <w:rFonts w:ascii="Arial" w:hAnsi="Arial" w:cs="Arial"/>
          <w:sz w:val="24"/>
          <w:szCs w:val="24"/>
        </w:rPr>
        <w:t>,</w:t>
      </w:r>
      <w:r w:rsidR="00117419">
        <w:rPr>
          <w:rFonts w:ascii="Arial" w:hAnsi="Arial" w:cs="Arial"/>
          <w:sz w:val="24"/>
          <w:szCs w:val="24"/>
        </w:rPr>
        <w:t xml:space="preserve"> </w:t>
      </w:r>
      <w:r w:rsidR="009E752C">
        <w:rPr>
          <w:rFonts w:ascii="Arial" w:hAnsi="Arial" w:cs="Arial"/>
          <w:sz w:val="24"/>
          <w:szCs w:val="24"/>
        </w:rPr>
        <w:t xml:space="preserve">due to the </w:t>
      </w:r>
      <w:r w:rsidR="00117419">
        <w:rPr>
          <w:rFonts w:ascii="Arial" w:hAnsi="Arial" w:cs="Arial"/>
          <w:sz w:val="24"/>
          <w:szCs w:val="24"/>
        </w:rPr>
        <w:t>non-compliance with s 17 of the State Finance Act</w:t>
      </w:r>
      <w:r w:rsidR="006D2874">
        <w:rPr>
          <w:rFonts w:ascii="Arial" w:hAnsi="Arial" w:cs="Arial"/>
          <w:sz w:val="24"/>
          <w:szCs w:val="24"/>
        </w:rPr>
        <w:t>,</w:t>
      </w:r>
      <w:r w:rsidR="00117419">
        <w:rPr>
          <w:rFonts w:ascii="Arial" w:hAnsi="Arial" w:cs="Arial"/>
          <w:sz w:val="24"/>
          <w:szCs w:val="24"/>
        </w:rPr>
        <w:t xml:space="preserve"> the estoppel point had to fail and thus </w:t>
      </w:r>
      <w:r w:rsidR="009E752C">
        <w:rPr>
          <w:rFonts w:ascii="Arial" w:hAnsi="Arial" w:cs="Arial"/>
          <w:sz w:val="24"/>
          <w:szCs w:val="24"/>
        </w:rPr>
        <w:t>t</w:t>
      </w:r>
      <w:r w:rsidR="00117419">
        <w:rPr>
          <w:rFonts w:ascii="Arial" w:hAnsi="Arial" w:cs="Arial"/>
          <w:sz w:val="24"/>
          <w:szCs w:val="24"/>
        </w:rPr>
        <w:t xml:space="preserve">he main application </w:t>
      </w:r>
      <w:r w:rsidR="009E752C">
        <w:rPr>
          <w:rFonts w:ascii="Arial" w:hAnsi="Arial" w:cs="Arial"/>
          <w:sz w:val="24"/>
          <w:szCs w:val="24"/>
        </w:rPr>
        <w:t xml:space="preserve">was dismissed </w:t>
      </w:r>
      <w:r w:rsidR="00117419">
        <w:rPr>
          <w:rFonts w:ascii="Arial" w:hAnsi="Arial" w:cs="Arial"/>
          <w:sz w:val="24"/>
          <w:szCs w:val="24"/>
        </w:rPr>
        <w:t>with costs. As far as the counter application was concerned</w:t>
      </w:r>
      <w:r w:rsidR="009E752C">
        <w:rPr>
          <w:rFonts w:ascii="Arial" w:hAnsi="Arial" w:cs="Arial"/>
          <w:sz w:val="24"/>
          <w:szCs w:val="24"/>
        </w:rPr>
        <w:t>,</w:t>
      </w:r>
      <w:r w:rsidR="00117419">
        <w:rPr>
          <w:rFonts w:ascii="Arial" w:hAnsi="Arial" w:cs="Arial"/>
          <w:sz w:val="24"/>
          <w:szCs w:val="24"/>
        </w:rPr>
        <w:t xml:space="preserve"> the court </w:t>
      </w:r>
      <w:r w:rsidR="00117419" w:rsidRPr="00117419">
        <w:rPr>
          <w:rFonts w:ascii="Arial" w:hAnsi="Arial" w:cs="Arial"/>
          <w:i/>
          <w:sz w:val="24"/>
          <w:szCs w:val="24"/>
        </w:rPr>
        <w:t>a quo</w:t>
      </w:r>
      <w:r w:rsidR="00117419">
        <w:rPr>
          <w:rFonts w:ascii="Arial" w:hAnsi="Arial" w:cs="Arial"/>
          <w:sz w:val="24"/>
          <w:szCs w:val="24"/>
        </w:rPr>
        <w:t xml:space="preserve"> upheld it with costs on the basis that authorisation from treasury pursuant to </w:t>
      </w:r>
      <w:r w:rsidR="00D81D90">
        <w:rPr>
          <w:rFonts w:ascii="Arial" w:hAnsi="Arial" w:cs="Arial"/>
          <w:sz w:val="24"/>
          <w:szCs w:val="24"/>
        </w:rPr>
        <w:t xml:space="preserve">s 17 of the State Finance Act was a prerequisite </w:t>
      </w:r>
      <w:r w:rsidR="009E752C">
        <w:rPr>
          <w:rFonts w:ascii="Arial" w:hAnsi="Arial" w:cs="Arial"/>
          <w:sz w:val="24"/>
          <w:szCs w:val="24"/>
        </w:rPr>
        <w:t>to</w:t>
      </w:r>
      <w:r w:rsidR="00D81D90">
        <w:rPr>
          <w:rFonts w:ascii="Arial" w:hAnsi="Arial" w:cs="Arial"/>
          <w:sz w:val="24"/>
          <w:szCs w:val="24"/>
        </w:rPr>
        <w:t xml:space="preserve"> the making of an award by the Tender Board. The appeal lies against both the above orders of the court </w:t>
      </w:r>
      <w:r w:rsidR="00D81D90" w:rsidRPr="00D81D90">
        <w:rPr>
          <w:rFonts w:ascii="Arial" w:hAnsi="Arial" w:cs="Arial"/>
          <w:i/>
          <w:sz w:val="24"/>
          <w:szCs w:val="24"/>
        </w:rPr>
        <w:t>a quo</w:t>
      </w:r>
      <w:r w:rsidR="00D81D90">
        <w:rPr>
          <w:rFonts w:ascii="Arial" w:hAnsi="Arial" w:cs="Arial"/>
          <w:sz w:val="24"/>
          <w:szCs w:val="24"/>
        </w:rPr>
        <w:t>.</w:t>
      </w:r>
    </w:p>
    <w:p w:rsidR="00B77D8F" w:rsidRDefault="00B77D8F" w:rsidP="00903E47">
      <w:pPr>
        <w:pStyle w:val="NoSpacing"/>
        <w:spacing w:line="480" w:lineRule="auto"/>
        <w:jc w:val="both"/>
        <w:rPr>
          <w:rFonts w:ascii="Arial" w:hAnsi="Arial" w:cs="Arial"/>
          <w:sz w:val="24"/>
          <w:szCs w:val="24"/>
        </w:rPr>
      </w:pPr>
    </w:p>
    <w:p w:rsidR="00D81D90" w:rsidRPr="00DF2E64" w:rsidRDefault="00D81D90" w:rsidP="00903E47">
      <w:pPr>
        <w:pStyle w:val="NoSpacing"/>
        <w:spacing w:line="480" w:lineRule="auto"/>
        <w:jc w:val="both"/>
        <w:rPr>
          <w:rFonts w:ascii="Arial" w:hAnsi="Arial" w:cs="Arial"/>
          <w:sz w:val="24"/>
          <w:szCs w:val="24"/>
          <w:u w:val="single"/>
        </w:rPr>
      </w:pPr>
      <w:r w:rsidRPr="003C0310">
        <w:rPr>
          <w:rFonts w:ascii="Arial" w:hAnsi="Arial" w:cs="Arial"/>
          <w:sz w:val="24"/>
          <w:szCs w:val="24"/>
        </w:rPr>
        <w:lastRenderedPageBreak/>
        <w:t>B.</w:t>
      </w:r>
      <w:r w:rsidRPr="003C0310">
        <w:rPr>
          <w:rFonts w:ascii="Arial" w:hAnsi="Arial" w:cs="Arial"/>
          <w:sz w:val="24"/>
          <w:szCs w:val="24"/>
        </w:rPr>
        <w:tab/>
      </w:r>
      <w:r w:rsidRPr="00DF2E64">
        <w:rPr>
          <w:rFonts w:ascii="Arial" w:hAnsi="Arial" w:cs="Arial"/>
          <w:sz w:val="24"/>
          <w:szCs w:val="24"/>
          <w:u w:val="single"/>
        </w:rPr>
        <w:t>Relevant parties</w:t>
      </w:r>
    </w:p>
    <w:p w:rsidR="00903E47" w:rsidRDefault="00DF2E64" w:rsidP="00903E47">
      <w:pPr>
        <w:pStyle w:val="NoSpacing"/>
        <w:numPr>
          <w:ilvl w:val="0"/>
          <w:numId w:val="1"/>
        </w:numPr>
        <w:spacing w:line="480" w:lineRule="auto"/>
        <w:ind w:left="0" w:firstLine="0"/>
        <w:jc w:val="both"/>
        <w:rPr>
          <w:rFonts w:ascii="Arial" w:hAnsi="Arial" w:cs="Arial"/>
          <w:sz w:val="24"/>
          <w:szCs w:val="24"/>
        </w:rPr>
      </w:pPr>
      <w:r w:rsidRPr="00910975">
        <w:rPr>
          <w:rFonts w:ascii="Arial" w:hAnsi="Arial" w:cs="Arial"/>
          <w:sz w:val="24"/>
          <w:szCs w:val="24"/>
        </w:rPr>
        <w:t xml:space="preserve">It is necessary to deal </w:t>
      </w:r>
      <w:r w:rsidR="006D2874">
        <w:rPr>
          <w:rFonts w:ascii="Arial" w:hAnsi="Arial" w:cs="Arial"/>
          <w:sz w:val="24"/>
          <w:szCs w:val="24"/>
        </w:rPr>
        <w:t>in some detail</w:t>
      </w:r>
      <w:r w:rsidRPr="00910975">
        <w:rPr>
          <w:rFonts w:ascii="Arial" w:hAnsi="Arial" w:cs="Arial"/>
          <w:sz w:val="24"/>
          <w:szCs w:val="24"/>
        </w:rPr>
        <w:t xml:space="preserve"> with certain parties so as to evaluate their roles in the matter. I should start off to deprecate the practise to cite every person or entity one can think of when instituting reviews so as not to be faced with a point of non-joinder being taken. In this matter</w:t>
      </w:r>
      <w:r w:rsidR="000A3CCA">
        <w:rPr>
          <w:rFonts w:ascii="Arial" w:hAnsi="Arial" w:cs="Arial"/>
          <w:sz w:val="24"/>
          <w:szCs w:val="24"/>
        </w:rPr>
        <w:t>,</w:t>
      </w:r>
      <w:r w:rsidRPr="00910975">
        <w:rPr>
          <w:rFonts w:ascii="Arial" w:hAnsi="Arial" w:cs="Arial"/>
          <w:sz w:val="24"/>
          <w:szCs w:val="24"/>
        </w:rPr>
        <w:t xml:space="preserve"> to have cited both the chair</w:t>
      </w:r>
      <w:r w:rsidR="00AC3CE3">
        <w:rPr>
          <w:rFonts w:ascii="Arial" w:hAnsi="Arial" w:cs="Arial"/>
          <w:sz w:val="24"/>
          <w:szCs w:val="24"/>
        </w:rPr>
        <w:t>person</w:t>
      </w:r>
      <w:r w:rsidRPr="00910975">
        <w:rPr>
          <w:rFonts w:ascii="Arial" w:hAnsi="Arial" w:cs="Arial"/>
          <w:sz w:val="24"/>
          <w:szCs w:val="24"/>
        </w:rPr>
        <w:t xml:space="preserve">s of the </w:t>
      </w:r>
      <w:r w:rsidR="00E64A4B">
        <w:rPr>
          <w:rFonts w:ascii="Arial" w:hAnsi="Arial" w:cs="Arial"/>
          <w:sz w:val="24"/>
          <w:szCs w:val="24"/>
        </w:rPr>
        <w:t>r</w:t>
      </w:r>
      <w:r w:rsidR="003B52EC">
        <w:rPr>
          <w:rFonts w:ascii="Arial" w:hAnsi="Arial" w:cs="Arial"/>
          <w:sz w:val="24"/>
          <w:szCs w:val="24"/>
        </w:rPr>
        <w:t>egional council</w:t>
      </w:r>
      <w:r w:rsidR="00AE0ABB">
        <w:rPr>
          <w:rFonts w:ascii="Arial" w:hAnsi="Arial" w:cs="Arial"/>
          <w:sz w:val="24"/>
          <w:szCs w:val="24"/>
        </w:rPr>
        <w:t xml:space="preserve"> and its management c</w:t>
      </w:r>
      <w:r w:rsidRPr="00910975">
        <w:rPr>
          <w:rFonts w:ascii="Arial" w:hAnsi="Arial" w:cs="Arial"/>
          <w:sz w:val="24"/>
          <w:szCs w:val="24"/>
        </w:rPr>
        <w:t xml:space="preserve">ommittee in their </w:t>
      </w:r>
      <w:r w:rsidR="006D2874">
        <w:rPr>
          <w:rFonts w:ascii="Arial" w:hAnsi="Arial" w:cs="Arial"/>
          <w:sz w:val="24"/>
          <w:szCs w:val="24"/>
        </w:rPr>
        <w:t xml:space="preserve">capacities as such and the </w:t>
      </w:r>
      <w:r w:rsidR="00E64A4B">
        <w:rPr>
          <w:rFonts w:ascii="Arial" w:hAnsi="Arial" w:cs="Arial"/>
          <w:sz w:val="24"/>
          <w:szCs w:val="24"/>
        </w:rPr>
        <w:t>r</w:t>
      </w:r>
      <w:r w:rsidR="003B52EC">
        <w:rPr>
          <w:rFonts w:ascii="Arial" w:hAnsi="Arial" w:cs="Arial"/>
          <w:sz w:val="24"/>
          <w:szCs w:val="24"/>
        </w:rPr>
        <w:t>egional council</w:t>
      </w:r>
      <w:r w:rsidR="00AE0ABB">
        <w:rPr>
          <w:rFonts w:ascii="Arial" w:hAnsi="Arial" w:cs="Arial"/>
          <w:sz w:val="24"/>
          <w:szCs w:val="24"/>
        </w:rPr>
        <w:t xml:space="preserve"> and management c</w:t>
      </w:r>
      <w:r w:rsidR="006D2874">
        <w:rPr>
          <w:rFonts w:ascii="Arial" w:hAnsi="Arial" w:cs="Arial"/>
          <w:sz w:val="24"/>
          <w:szCs w:val="24"/>
        </w:rPr>
        <w:t>ommittee separately</w:t>
      </w:r>
      <w:r w:rsidRPr="00910975">
        <w:rPr>
          <w:rFonts w:ascii="Arial" w:hAnsi="Arial" w:cs="Arial"/>
          <w:sz w:val="24"/>
          <w:szCs w:val="24"/>
        </w:rPr>
        <w:t xml:space="preserve"> amounted to two </w:t>
      </w:r>
      <w:r w:rsidR="00D32D1B" w:rsidRPr="00910975">
        <w:rPr>
          <w:rFonts w:ascii="Arial" w:hAnsi="Arial" w:cs="Arial"/>
          <w:sz w:val="24"/>
          <w:szCs w:val="24"/>
        </w:rPr>
        <w:t xml:space="preserve">misjoinders. </w:t>
      </w:r>
      <w:r w:rsidR="00EB4BD8" w:rsidRPr="00910975">
        <w:rPr>
          <w:rFonts w:ascii="Arial" w:hAnsi="Arial" w:cs="Arial"/>
          <w:sz w:val="24"/>
          <w:szCs w:val="24"/>
        </w:rPr>
        <w:t>The</w:t>
      </w:r>
      <w:r w:rsidR="006D2874">
        <w:rPr>
          <w:rFonts w:ascii="Arial" w:hAnsi="Arial" w:cs="Arial"/>
          <w:sz w:val="24"/>
          <w:szCs w:val="24"/>
        </w:rPr>
        <w:t xml:space="preserve"> chairpersons </w:t>
      </w:r>
      <w:r w:rsidR="00EB4BD8" w:rsidRPr="00910975">
        <w:rPr>
          <w:rFonts w:ascii="Arial" w:hAnsi="Arial" w:cs="Arial"/>
          <w:sz w:val="24"/>
          <w:szCs w:val="24"/>
        </w:rPr>
        <w:t>either represent their respective bodies or they don’t. If they do there is no need to cite the body they represent. If they don’t they must be cited in their personal capacities.</w:t>
      </w:r>
      <w:r w:rsidR="00EB4BD8">
        <w:rPr>
          <w:rStyle w:val="FootnoteReference"/>
          <w:rFonts w:ascii="Arial" w:hAnsi="Arial" w:cs="Arial"/>
          <w:sz w:val="24"/>
          <w:szCs w:val="24"/>
        </w:rPr>
        <w:footnoteReference w:id="4"/>
      </w:r>
      <w:r w:rsidR="006D2874">
        <w:rPr>
          <w:rFonts w:ascii="Arial" w:hAnsi="Arial" w:cs="Arial"/>
          <w:sz w:val="24"/>
          <w:szCs w:val="24"/>
        </w:rPr>
        <w:t xml:space="preserve"> Further, to</w:t>
      </w:r>
      <w:r w:rsidR="00AE0ABB">
        <w:rPr>
          <w:rFonts w:ascii="Arial" w:hAnsi="Arial" w:cs="Arial"/>
          <w:sz w:val="24"/>
          <w:szCs w:val="24"/>
        </w:rPr>
        <w:t xml:space="preserve"> have cited the management c</w:t>
      </w:r>
      <w:r w:rsidR="00EB4BD8" w:rsidRPr="00910975">
        <w:rPr>
          <w:rFonts w:ascii="Arial" w:hAnsi="Arial" w:cs="Arial"/>
          <w:sz w:val="24"/>
          <w:szCs w:val="24"/>
        </w:rPr>
        <w:t>ommittee twice in th</w:t>
      </w:r>
      <w:r w:rsidR="000A3CCA">
        <w:rPr>
          <w:rFonts w:ascii="Arial" w:hAnsi="Arial" w:cs="Arial"/>
          <w:sz w:val="24"/>
          <w:szCs w:val="24"/>
        </w:rPr>
        <w:t>ese</w:t>
      </w:r>
      <w:r w:rsidR="00EB4BD8" w:rsidRPr="00910975">
        <w:rPr>
          <w:rFonts w:ascii="Arial" w:hAnsi="Arial" w:cs="Arial"/>
          <w:sz w:val="24"/>
          <w:szCs w:val="24"/>
        </w:rPr>
        <w:t xml:space="preserve"> proceedings, once per the chair</w:t>
      </w:r>
      <w:r w:rsidR="00AC3CE3">
        <w:rPr>
          <w:rFonts w:ascii="Arial" w:hAnsi="Arial" w:cs="Arial"/>
          <w:sz w:val="24"/>
          <w:szCs w:val="24"/>
        </w:rPr>
        <w:t>person</w:t>
      </w:r>
      <w:r w:rsidR="00EB4BD8" w:rsidRPr="00910975">
        <w:rPr>
          <w:rFonts w:ascii="Arial" w:hAnsi="Arial" w:cs="Arial"/>
          <w:sz w:val="24"/>
          <w:szCs w:val="24"/>
        </w:rPr>
        <w:t xml:space="preserve"> and once in its own name, </w:t>
      </w:r>
      <w:r w:rsidR="00910975" w:rsidRPr="00910975">
        <w:rPr>
          <w:rFonts w:ascii="Arial" w:hAnsi="Arial" w:cs="Arial"/>
          <w:sz w:val="24"/>
          <w:szCs w:val="24"/>
        </w:rPr>
        <w:t>when they played no role also amounted to misjoinder</w:t>
      </w:r>
      <w:r w:rsidR="002806A1">
        <w:rPr>
          <w:rFonts w:ascii="Arial" w:hAnsi="Arial" w:cs="Arial"/>
          <w:sz w:val="24"/>
          <w:szCs w:val="24"/>
        </w:rPr>
        <w:t>s</w:t>
      </w:r>
      <w:r w:rsidR="00910975" w:rsidRPr="00910975">
        <w:rPr>
          <w:rFonts w:ascii="Arial" w:hAnsi="Arial" w:cs="Arial"/>
          <w:sz w:val="24"/>
          <w:szCs w:val="24"/>
        </w:rPr>
        <w:t xml:space="preserve">. The one person who was correctly not cited, namely the </w:t>
      </w:r>
      <w:r w:rsidR="00D630AB">
        <w:rPr>
          <w:rFonts w:ascii="Arial" w:hAnsi="Arial" w:cs="Arial"/>
          <w:sz w:val="24"/>
          <w:szCs w:val="24"/>
        </w:rPr>
        <w:t>a</w:t>
      </w:r>
      <w:r w:rsidR="003B52EC">
        <w:rPr>
          <w:rFonts w:ascii="Arial" w:hAnsi="Arial" w:cs="Arial"/>
          <w:sz w:val="24"/>
          <w:szCs w:val="24"/>
        </w:rPr>
        <w:t>rchitect</w:t>
      </w:r>
      <w:r w:rsidR="00910975">
        <w:rPr>
          <w:rFonts w:ascii="Arial" w:hAnsi="Arial" w:cs="Arial"/>
          <w:sz w:val="24"/>
          <w:szCs w:val="24"/>
        </w:rPr>
        <w:t xml:space="preserve"> led to a non-joiner point being taken against the appellant</w:t>
      </w:r>
      <w:r w:rsidR="00FB78C3">
        <w:rPr>
          <w:rFonts w:ascii="Arial" w:hAnsi="Arial" w:cs="Arial"/>
          <w:sz w:val="24"/>
          <w:szCs w:val="24"/>
        </w:rPr>
        <w:t>s</w:t>
      </w:r>
      <w:r w:rsidR="00910975">
        <w:rPr>
          <w:rFonts w:ascii="Arial" w:hAnsi="Arial" w:cs="Arial"/>
          <w:sz w:val="24"/>
          <w:szCs w:val="24"/>
        </w:rPr>
        <w:t xml:space="preserve"> and hence an application to join which was granted. The </w:t>
      </w:r>
      <w:r w:rsidR="00D630AB">
        <w:rPr>
          <w:rFonts w:ascii="Arial" w:hAnsi="Arial" w:cs="Arial"/>
          <w:sz w:val="24"/>
          <w:szCs w:val="24"/>
        </w:rPr>
        <w:t>a</w:t>
      </w:r>
      <w:r w:rsidR="003B52EC">
        <w:rPr>
          <w:rFonts w:ascii="Arial" w:hAnsi="Arial" w:cs="Arial"/>
          <w:sz w:val="24"/>
          <w:szCs w:val="24"/>
        </w:rPr>
        <w:t>rchitect</w:t>
      </w:r>
      <w:r w:rsidR="00910975">
        <w:rPr>
          <w:rFonts w:ascii="Arial" w:hAnsi="Arial" w:cs="Arial"/>
          <w:sz w:val="24"/>
          <w:szCs w:val="24"/>
        </w:rPr>
        <w:t xml:space="preserve"> was allegedly an agent and once the principal was cited there was no need to cite the agent. The principal is bound by what the agent did if the agent acted within </w:t>
      </w:r>
      <w:r w:rsidR="006D2874">
        <w:rPr>
          <w:rFonts w:ascii="Arial" w:hAnsi="Arial" w:cs="Arial"/>
          <w:sz w:val="24"/>
          <w:szCs w:val="24"/>
        </w:rPr>
        <w:t>his or her</w:t>
      </w:r>
      <w:r w:rsidR="00910975">
        <w:rPr>
          <w:rFonts w:ascii="Arial" w:hAnsi="Arial" w:cs="Arial"/>
          <w:sz w:val="24"/>
          <w:szCs w:val="24"/>
        </w:rPr>
        <w:t xml:space="preserve"> mandate and depending on the </w:t>
      </w:r>
      <w:r w:rsidR="00F10727">
        <w:rPr>
          <w:rFonts w:ascii="Arial" w:hAnsi="Arial" w:cs="Arial"/>
          <w:sz w:val="24"/>
          <w:szCs w:val="24"/>
        </w:rPr>
        <w:t xml:space="preserve">circumstances the principal may have to use the agent as a witness (deponent) to deal with the factual situation. This does not mean any potential witness must be cited as a party. If the fact of agency </w:t>
      </w:r>
      <w:r w:rsidR="006D2874">
        <w:rPr>
          <w:rFonts w:ascii="Arial" w:hAnsi="Arial" w:cs="Arial"/>
          <w:sz w:val="24"/>
          <w:szCs w:val="24"/>
        </w:rPr>
        <w:t xml:space="preserve">is </w:t>
      </w:r>
      <w:r w:rsidR="00F10727">
        <w:rPr>
          <w:rFonts w:ascii="Arial" w:hAnsi="Arial" w:cs="Arial"/>
          <w:sz w:val="24"/>
          <w:szCs w:val="24"/>
        </w:rPr>
        <w:t xml:space="preserve">denied or the authority of the agent is denied then </w:t>
      </w:r>
      <w:r w:rsidR="00491C07">
        <w:rPr>
          <w:rFonts w:ascii="Arial" w:hAnsi="Arial" w:cs="Arial"/>
          <w:sz w:val="24"/>
          <w:szCs w:val="24"/>
        </w:rPr>
        <w:t xml:space="preserve">only may it </w:t>
      </w:r>
      <w:r w:rsidR="00F10727">
        <w:rPr>
          <w:rFonts w:ascii="Arial" w:hAnsi="Arial" w:cs="Arial"/>
          <w:sz w:val="24"/>
          <w:szCs w:val="24"/>
        </w:rPr>
        <w:t>become necessary to join the agent.</w:t>
      </w:r>
    </w:p>
    <w:p w:rsidR="00910975" w:rsidRPr="00910975" w:rsidRDefault="00910975" w:rsidP="00910975">
      <w:pPr>
        <w:pStyle w:val="NoSpacing"/>
        <w:spacing w:line="480" w:lineRule="auto"/>
        <w:jc w:val="both"/>
        <w:rPr>
          <w:rFonts w:ascii="Arial" w:hAnsi="Arial" w:cs="Arial"/>
          <w:sz w:val="24"/>
          <w:szCs w:val="24"/>
        </w:rPr>
      </w:pPr>
    </w:p>
    <w:p w:rsidR="00903E47" w:rsidRDefault="0033352C" w:rsidP="001307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As will become apparent below it is common cause that the Ministry of Education, delegated the execution of the project to the </w:t>
      </w:r>
      <w:r w:rsidR="00E64A4B">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This delegation was done pursuant to the provisions of the Decentralisation Enabling Act.</w:t>
      </w:r>
      <w:r>
        <w:rPr>
          <w:rStyle w:val="FootnoteReference"/>
          <w:rFonts w:ascii="Arial" w:hAnsi="Arial" w:cs="Arial"/>
          <w:sz w:val="24"/>
          <w:szCs w:val="24"/>
        </w:rPr>
        <w:footnoteReference w:id="5"/>
      </w:r>
      <w:r>
        <w:rPr>
          <w:rFonts w:ascii="Arial" w:hAnsi="Arial" w:cs="Arial"/>
          <w:sz w:val="24"/>
          <w:szCs w:val="24"/>
        </w:rPr>
        <w:t xml:space="preserve"> In terms of the Decentralisation Act ‘delegation’ is defined as follows: (I quote only the portion relevant to this appeal):</w:t>
      </w:r>
    </w:p>
    <w:p w:rsidR="0033352C" w:rsidRPr="00D5304C" w:rsidRDefault="0033352C" w:rsidP="00D5304C">
      <w:pPr>
        <w:pStyle w:val="ListParagraph"/>
        <w:spacing w:after="0" w:line="360" w:lineRule="auto"/>
        <w:rPr>
          <w:rFonts w:ascii="Arial" w:hAnsi="Arial" w:cs="Arial"/>
        </w:rPr>
      </w:pPr>
    </w:p>
    <w:p w:rsidR="0033352C" w:rsidRPr="00D5304C" w:rsidRDefault="00D5304C" w:rsidP="00D5304C">
      <w:pPr>
        <w:pStyle w:val="ListParagraph"/>
        <w:spacing w:after="0" w:line="360" w:lineRule="auto"/>
        <w:jc w:val="both"/>
        <w:rPr>
          <w:rFonts w:ascii="Arial" w:hAnsi="Arial" w:cs="Arial"/>
        </w:rPr>
      </w:pPr>
      <w:r>
        <w:rPr>
          <w:rFonts w:ascii="Arial" w:hAnsi="Arial" w:cs="Arial"/>
        </w:rPr>
        <w:t>‘</w:t>
      </w:r>
      <w:r w:rsidR="00B93526">
        <w:rPr>
          <w:rFonts w:ascii="Arial" w:hAnsi="Arial" w:cs="Arial"/>
        </w:rPr>
        <w:t>“delegation”</w:t>
      </w:r>
      <w:r w:rsidR="0033352C" w:rsidRPr="00D5304C">
        <w:rPr>
          <w:rFonts w:ascii="Arial" w:hAnsi="Arial" w:cs="Arial"/>
        </w:rPr>
        <w:t xml:space="preserve"> means the transfer by the Minister, . . ., of a function from (the Ministry) to a </w:t>
      </w:r>
      <w:r w:rsidR="009E752C">
        <w:rPr>
          <w:rFonts w:ascii="Arial" w:hAnsi="Arial" w:cs="Arial"/>
        </w:rPr>
        <w:t>r</w:t>
      </w:r>
      <w:r w:rsidR="003B52EC">
        <w:rPr>
          <w:rFonts w:ascii="Arial" w:hAnsi="Arial" w:cs="Arial"/>
        </w:rPr>
        <w:t>egional council</w:t>
      </w:r>
      <w:r w:rsidR="0033352C" w:rsidRPr="00D5304C">
        <w:rPr>
          <w:rFonts w:ascii="Arial" w:hAnsi="Arial" w:cs="Arial"/>
        </w:rPr>
        <w:t xml:space="preserve">, . . ., in order to empower and enable the </w:t>
      </w:r>
      <w:r w:rsidR="009E752C">
        <w:rPr>
          <w:rFonts w:ascii="Arial" w:hAnsi="Arial" w:cs="Arial"/>
        </w:rPr>
        <w:t>r</w:t>
      </w:r>
      <w:r w:rsidR="003B52EC">
        <w:rPr>
          <w:rFonts w:ascii="Arial" w:hAnsi="Arial" w:cs="Arial"/>
        </w:rPr>
        <w:t>egional council</w:t>
      </w:r>
      <w:r w:rsidR="0033352C" w:rsidRPr="00D5304C">
        <w:rPr>
          <w:rFonts w:ascii="Arial" w:hAnsi="Arial" w:cs="Arial"/>
        </w:rPr>
        <w:t xml:space="preserve"> . . . </w:t>
      </w:r>
      <w:r w:rsidRPr="00D5304C">
        <w:rPr>
          <w:rFonts w:ascii="Arial" w:hAnsi="Arial" w:cs="Arial"/>
        </w:rPr>
        <w:t>to which the function has been decentralised, to perform the function as an agent on behalf and in the name of the (Ministry), . . . .’</w:t>
      </w:r>
    </w:p>
    <w:p w:rsidR="00FE275D" w:rsidRDefault="00FE275D" w:rsidP="00D5304C">
      <w:pPr>
        <w:spacing w:after="0" w:line="480" w:lineRule="auto"/>
        <w:rPr>
          <w:rFonts w:ascii="Arial" w:hAnsi="Arial" w:cs="Arial"/>
          <w:sz w:val="24"/>
          <w:szCs w:val="24"/>
        </w:rPr>
      </w:pPr>
    </w:p>
    <w:p w:rsidR="00D5304C" w:rsidRDefault="0000654A" w:rsidP="002E6628">
      <w:pPr>
        <w:spacing w:after="0" w:line="480" w:lineRule="auto"/>
        <w:jc w:val="both"/>
        <w:rPr>
          <w:rFonts w:ascii="Arial" w:hAnsi="Arial" w:cs="Arial"/>
          <w:sz w:val="24"/>
          <w:szCs w:val="24"/>
        </w:rPr>
      </w:pPr>
      <w:r>
        <w:rPr>
          <w:rFonts w:ascii="Arial" w:hAnsi="Arial" w:cs="Arial"/>
          <w:sz w:val="24"/>
          <w:szCs w:val="24"/>
        </w:rPr>
        <w:t xml:space="preserve">It thus follows that the </w:t>
      </w:r>
      <w:r w:rsidR="00E64A4B">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xml:space="preserve"> was, in respect of the project the agen</w:t>
      </w:r>
      <w:r w:rsidR="006D2874">
        <w:rPr>
          <w:rFonts w:ascii="Arial" w:hAnsi="Arial" w:cs="Arial"/>
          <w:sz w:val="24"/>
          <w:szCs w:val="24"/>
        </w:rPr>
        <w:t>t of the Ministry of Education.</w:t>
      </w:r>
      <w:r w:rsidR="00662DFD">
        <w:rPr>
          <w:rFonts w:ascii="Arial" w:hAnsi="Arial" w:cs="Arial"/>
          <w:sz w:val="24"/>
          <w:szCs w:val="24"/>
        </w:rPr>
        <w:t xml:space="preserve"> The said m</w:t>
      </w:r>
      <w:r>
        <w:rPr>
          <w:rFonts w:ascii="Arial" w:hAnsi="Arial" w:cs="Arial"/>
          <w:sz w:val="24"/>
          <w:szCs w:val="24"/>
        </w:rPr>
        <w:t>inistry could thus, as princip</w:t>
      </w:r>
      <w:r w:rsidR="006D2874">
        <w:rPr>
          <w:rFonts w:ascii="Arial" w:hAnsi="Arial" w:cs="Arial"/>
          <w:sz w:val="24"/>
          <w:szCs w:val="24"/>
        </w:rPr>
        <w:t>al</w:t>
      </w:r>
      <w:r w:rsidR="002E6628">
        <w:rPr>
          <w:rFonts w:ascii="Arial" w:hAnsi="Arial" w:cs="Arial"/>
          <w:sz w:val="24"/>
          <w:szCs w:val="24"/>
        </w:rPr>
        <w:t>,</w:t>
      </w:r>
      <w:r>
        <w:rPr>
          <w:rFonts w:ascii="Arial" w:hAnsi="Arial" w:cs="Arial"/>
          <w:sz w:val="24"/>
          <w:szCs w:val="24"/>
        </w:rPr>
        <w:t xml:space="preserve"> instruct </w:t>
      </w:r>
      <w:r w:rsidR="002E6628">
        <w:rPr>
          <w:rFonts w:ascii="Arial" w:hAnsi="Arial" w:cs="Arial"/>
          <w:sz w:val="24"/>
          <w:szCs w:val="24"/>
        </w:rPr>
        <w:t xml:space="preserve">the </w:t>
      </w:r>
      <w:r w:rsidR="00E64A4B">
        <w:rPr>
          <w:rFonts w:ascii="Arial" w:hAnsi="Arial" w:cs="Arial"/>
          <w:sz w:val="24"/>
          <w:szCs w:val="24"/>
        </w:rPr>
        <w:t>r</w:t>
      </w:r>
      <w:r w:rsidR="003B52EC">
        <w:rPr>
          <w:rFonts w:ascii="Arial" w:hAnsi="Arial" w:cs="Arial"/>
          <w:sz w:val="24"/>
          <w:szCs w:val="24"/>
        </w:rPr>
        <w:t>egional council</w:t>
      </w:r>
      <w:r w:rsidR="002E6628">
        <w:rPr>
          <w:rFonts w:ascii="Arial" w:hAnsi="Arial" w:cs="Arial"/>
          <w:sz w:val="24"/>
          <w:szCs w:val="24"/>
        </w:rPr>
        <w:t xml:space="preserve"> on all matters pertaining to the project.</w:t>
      </w:r>
    </w:p>
    <w:p w:rsidR="002806A1" w:rsidRPr="00D5304C" w:rsidRDefault="002806A1" w:rsidP="002E6628">
      <w:pPr>
        <w:spacing w:after="0" w:line="480" w:lineRule="auto"/>
        <w:jc w:val="both"/>
        <w:rPr>
          <w:rFonts w:ascii="Arial" w:hAnsi="Arial" w:cs="Arial"/>
          <w:sz w:val="24"/>
          <w:szCs w:val="24"/>
        </w:rPr>
      </w:pPr>
    </w:p>
    <w:p w:rsidR="0033352C" w:rsidRDefault="006D2874"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w:t>
      </w:r>
      <w:r w:rsidR="00E5433A">
        <w:rPr>
          <w:rFonts w:ascii="Arial" w:hAnsi="Arial" w:cs="Arial"/>
          <w:sz w:val="24"/>
          <w:szCs w:val="24"/>
        </w:rPr>
        <w:t xml:space="preserve">he </w:t>
      </w:r>
      <w:r w:rsidR="00E64A4B">
        <w:rPr>
          <w:rFonts w:ascii="Arial" w:hAnsi="Arial" w:cs="Arial"/>
          <w:sz w:val="24"/>
          <w:szCs w:val="24"/>
        </w:rPr>
        <w:t>r</w:t>
      </w:r>
      <w:r w:rsidR="003B52EC">
        <w:rPr>
          <w:rFonts w:ascii="Arial" w:hAnsi="Arial" w:cs="Arial"/>
          <w:sz w:val="24"/>
          <w:szCs w:val="24"/>
        </w:rPr>
        <w:t>egional council</w:t>
      </w:r>
      <w:r w:rsidR="00E5433A">
        <w:rPr>
          <w:rFonts w:ascii="Arial" w:hAnsi="Arial" w:cs="Arial"/>
          <w:sz w:val="24"/>
          <w:szCs w:val="24"/>
        </w:rPr>
        <w:t xml:space="preserve"> invited bids for the project by way of advertisements in the print media. The task to evaluate the bids received and to nominate a bidder for the project fell to the </w:t>
      </w:r>
      <w:r w:rsidR="009E752C">
        <w:rPr>
          <w:rFonts w:ascii="Arial" w:hAnsi="Arial" w:cs="Arial"/>
          <w:sz w:val="24"/>
          <w:szCs w:val="24"/>
        </w:rPr>
        <w:t xml:space="preserve">Regional </w:t>
      </w:r>
      <w:r w:rsidR="00E5433A">
        <w:rPr>
          <w:rFonts w:ascii="Arial" w:hAnsi="Arial" w:cs="Arial"/>
          <w:sz w:val="24"/>
          <w:szCs w:val="24"/>
        </w:rPr>
        <w:t xml:space="preserve">Tender Board. The </w:t>
      </w:r>
      <w:r w:rsidR="009E752C">
        <w:rPr>
          <w:rFonts w:ascii="Arial" w:hAnsi="Arial" w:cs="Arial"/>
          <w:sz w:val="24"/>
          <w:szCs w:val="24"/>
        </w:rPr>
        <w:t xml:space="preserve">Regional </w:t>
      </w:r>
      <w:r w:rsidR="00E5433A">
        <w:rPr>
          <w:rFonts w:ascii="Arial" w:hAnsi="Arial" w:cs="Arial"/>
          <w:sz w:val="24"/>
          <w:szCs w:val="24"/>
        </w:rPr>
        <w:t xml:space="preserve">Tender Board could not itself decide what capital projects it would put out on tender and evaluate. The </w:t>
      </w:r>
      <w:r w:rsidR="009E752C">
        <w:rPr>
          <w:rFonts w:ascii="Arial" w:hAnsi="Arial" w:cs="Arial"/>
          <w:sz w:val="24"/>
          <w:szCs w:val="24"/>
        </w:rPr>
        <w:t xml:space="preserve">Regional </w:t>
      </w:r>
      <w:r w:rsidR="00E5433A">
        <w:rPr>
          <w:rFonts w:ascii="Arial" w:hAnsi="Arial" w:cs="Arial"/>
          <w:sz w:val="24"/>
          <w:szCs w:val="24"/>
        </w:rPr>
        <w:t xml:space="preserve">Tender Board received its mandate to do this from the </w:t>
      </w:r>
      <w:r w:rsidR="00E64A4B">
        <w:rPr>
          <w:rFonts w:ascii="Arial" w:hAnsi="Arial" w:cs="Arial"/>
          <w:sz w:val="24"/>
          <w:szCs w:val="24"/>
        </w:rPr>
        <w:t>r</w:t>
      </w:r>
      <w:r w:rsidR="003B52EC">
        <w:rPr>
          <w:rFonts w:ascii="Arial" w:hAnsi="Arial" w:cs="Arial"/>
          <w:sz w:val="24"/>
          <w:szCs w:val="24"/>
        </w:rPr>
        <w:t>egional council</w:t>
      </w:r>
      <w:r w:rsidR="00E5433A">
        <w:rPr>
          <w:rFonts w:ascii="Arial" w:hAnsi="Arial" w:cs="Arial"/>
          <w:sz w:val="24"/>
          <w:szCs w:val="24"/>
        </w:rPr>
        <w:t xml:space="preserve">. Thus, if the </w:t>
      </w:r>
      <w:r w:rsidR="00E64A4B">
        <w:rPr>
          <w:rFonts w:ascii="Arial" w:hAnsi="Arial" w:cs="Arial"/>
          <w:sz w:val="24"/>
          <w:szCs w:val="24"/>
        </w:rPr>
        <w:t>r</w:t>
      </w:r>
      <w:r w:rsidR="003B52EC">
        <w:rPr>
          <w:rFonts w:ascii="Arial" w:hAnsi="Arial" w:cs="Arial"/>
          <w:sz w:val="24"/>
          <w:szCs w:val="24"/>
        </w:rPr>
        <w:t>egional council</w:t>
      </w:r>
      <w:r w:rsidR="00E5433A">
        <w:rPr>
          <w:rFonts w:ascii="Arial" w:hAnsi="Arial" w:cs="Arial"/>
          <w:sz w:val="24"/>
          <w:szCs w:val="24"/>
        </w:rPr>
        <w:t>’s mandate (where it acts</w:t>
      </w:r>
      <w:r>
        <w:rPr>
          <w:rFonts w:ascii="Arial" w:hAnsi="Arial" w:cs="Arial"/>
          <w:sz w:val="24"/>
          <w:szCs w:val="24"/>
        </w:rPr>
        <w:t xml:space="preserve"> as an agent) is withdrawn so is</w:t>
      </w:r>
      <w:r w:rsidR="00E5433A">
        <w:rPr>
          <w:rFonts w:ascii="Arial" w:hAnsi="Arial" w:cs="Arial"/>
          <w:sz w:val="24"/>
          <w:szCs w:val="24"/>
        </w:rPr>
        <w:t xml:space="preserve"> that of the </w:t>
      </w:r>
      <w:r w:rsidR="009E752C">
        <w:rPr>
          <w:rFonts w:ascii="Arial" w:hAnsi="Arial" w:cs="Arial"/>
          <w:sz w:val="24"/>
          <w:szCs w:val="24"/>
        </w:rPr>
        <w:t xml:space="preserve">Regional </w:t>
      </w:r>
      <w:r w:rsidR="00E5433A">
        <w:rPr>
          <w:rFonts w:ascii="Arial" w:hAnsi="Arial" w:cs="Arial"/>
          <w:sz w:val="24"/>
          <w:szCs w:val="24"/>
        </w:rPr>
        <w:t xml:space="preserve">Tender Board. If the Regional Tender Board in such circumstances continues with </w:t>
      </w:r>
      <w:r w:rsidR="00D7154E">
        <w:rPr>
          <w:rFonts w:ascii="Arial" w:hAnsi="Arial" w:cs="Arial"/>
          <w:sz w:val="24"/>
          <w:szCs w:val="24"/>
        </w:rPr>
        <w:t>its processes and make</w:t>
      </w:r>
      <w:r>
        <w:rPr>
          <w:rFonts w:ascii="Arial" w:hAnsi="Arial" w:cs="Arial"/>
          <w:sz w:val="24"/>
          <w:szCs w:val="24"/>
        </w:rPr>
        <w:t>s</w:t>
      </w:r>
      <w:r w:rsidR="00D7154E">
        <w:rPr>
          <w:rFonts w:ascii="Arial" w:hAnsi="Arial" w:cs="Arial"/>
          <w:sz w:val="24"/>
          <w:szCs w:val="24"/>
        </w:rPr>
        <w:t xml:space="preserve"> an award</w:t>
      </w:r>
      <w:r w:rsidR="000A3CCA">
        <w:rPr>
          <w:rFonts w:ascii="Arial" w:hAnsi="Arial" w:cs="Arial"/>
          <w:sz w:val="24"/>
          <w:szCs w:val="24"/>
        </w:rPr>
        <w:t>,</w:t>
      </w:r>
      <w:r w:rsidR="00D7154E">
        <w:rPr>
          <w:rFonts w:ascii="Arial" w:hAnsi="Arial" w:cs="Arial"/>
          <w:sz w:val="24"/>
          <w:szCs w:val="24"/>
        </w:rPr>
        <w:t xml:space="preserve"> it acts </w:t>
      </w:r>
      <w:r w:rsidR="00D7154E" w:rsidRPr="00D7154E">
        <w:rPr>
          <w:rFonts w:ascii="Arial" w:hAnsi="Arial" w:cs="Arial"/>
          <w:i/>
          <w:sz w:val="24"/>
          <w:szCs w:val="24"/>
        </w:rPr>
        <w:t>ultra vires</w:t>
      </w:r>
      <w:r w:rsidR="00D7154E">
        <w:rPr>
          <w:rFonts w:ascii="Arial" w:hAnsi="Arial" w:cs="Arial"/>
          <w:sz w:val="24"/>
          <w:szCs w:val="24"/>
        </w:rPr>
        <w:t xml:space="preserve"> its mandate (powers) and </w:t>
      </w:r>
      <w:r w:rsidR="00D7154E">
        <w:rPr>
          <w:rFonts w:ascii="Arial" w:hAnsi="Arial" w:cs="Arial"/>
          <w:sz w:val="24"/>
          <w:szCs w:val="24"/>
        </w:rPr>
        <w:lastRenderedPageBreak/>
        <w:t>such act would be invalid. Whether estoppel can arise in these circumstances is not necessary to decide on the facts and pleading</w:t>
      </w:r>
      <w:r>
        <w:rPr>
          <w:rFonts w:ascii="Arial" w:hAnsi="Arial" w:cs="Arial"/>
          <w:sz w:val="24"/>
          <w:szCs w:val="24"/>
        </w:rPr>
        <w:t>s</w:t>
      </w:r>
      <w:r w:rsidR="00D7154E">
        <w:rPr>
          <w:rFonts w:ascii="Arial" w:hAnsi="Arial" w:cs="Arial"/>
          <w:sz w:val="24"/>
          <w:szCs w:val="24"/>
        </w:rPr>
        <w:t xml:space="preserve"> of this appeal.</w:t>
      </w:r>
    </w:p>
    <w:p w:rsidR="00903E47" w:rsidRDefault="00903E47" w:rsidP="002E6628">
      <w:pPr>
        <w:pStyle w:val="NoSpacing"/>
        <w:spacing w:line="480" w:lineRule="auto"/>
        <w:jc w:val="both"/>
        <w:rPr>
          <w:rFonts w:ascii="Arial" w:hAnsi="Arial" w:cs="Arial"/>
          <w:sz w:val="24"/>
          <w:szCs w:val="24"/>
        </w:rPr>
      </w:pPr>
    </w:p>
    <w:p w:rsidR="00903E47" w:rsidRDefault="00A0746C"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record shows that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was appointed nearly a year prior to </w:t>
      </w:r>
      <w:r w:rsidR="009238B1">
        <w:rPr>
          <w:rFonts w:ascii="Arial" w:hAnsi="Arial" w:cs="Arial"/>
          <w:sz w:val="24"/>
          <w:szCs w:val="24"/>
        </w:rPr>
        <w:t>the award of the tender to the joint v</w:t>
      </w:r>
      <w:r>
        <w:rPr>
          <w:rFonts w:ascii="Arial" w:hAnsi="Arial" w:cs="Arial"/>
          <w:sz w:val="24"/>
          <w:szCs w:val="24"/>
        </w:rPr>
        <w:t>enture by the</w:t>
      </w:r>
      <w:r w:rsidR="00B61090">
        <w:rPr>
          <w:rFonts w:ascii="Arial" w:hAnsi="Arial" w:cs="Arial"/>
          <w:sz w:val="24"/>
          <w:szCs w:val="24"/>
        </w:rPr>
        <w:t xml:space="preserve"> Regional</w:t>
      </w:r>
      <w:r>
        <w:rPr>
          <w:rFonts w:ascii="Arial" w:hAnsi="Arial" w:cs="Arial"/>
          <w:sz w:val="24"/>
          <w:szCs w:val="24"/>
        </w:rPr>
        <w:t xml:space="preserve"> Tender Board. She was appointed on 12 June 2015 by the Ministry of Works and Transport as </w:t>
      </w:r>
      <w:r w:rsidR="00B93526">
        <w:rPr>
          <w:rFonts w:ascii="Arial" w:hAnsi="Arial" w:cs="Arial"/>
          <w:sz w:val="24"/>
          <w:szCs w:val="24"/>
        </w:rPr>
        <w:t xml:space="preserve">the </w:t>
      </w:r>
      <w:r>
        <w:rPr>
          <w:rFonts w:ascii="Arial" w:hAnsi="Arial" w:cs="Arial"/>
          <w:sz w:val="24"/>
          <w:szCs w:val="24"/>
        </w:rPr>
        <w:t xml:space="preserve">consultant in respect of government capital construction projects. Her services as </w:t>
      </w:r>
      <w:r w:rsidR="00B93526">
        <w:rPr>
          <w:rFonts w:ascii="Arial" w:hAnsi="Arial" w:cs="Arial"/>
          <w:sz w:val="24"/>
          <w:szCs w:val="24"/>
        </w:rPr>
        <w:t xml:space="preserve">the </w:t>
      </w:r>
      <w:r>
        <w:rPr>
          <w:rFonts w:ascii="Arial" w:hAnsi="Arial" w:cs="Arial"/>
          <w:sz w:val="24"/>
          <w:szCs w:val="24"/>
        </w:rPr>
        <w:t xml:space="preserve">consultant </w:t>
      </w:r>
      <w:r w:rsidR="00FB78C3">
        <w:rPr>
          <w:rFonts w:ascii="Arial" w:hAnsi="Arial" w:cs="Arial"/>
          <w:sz w:val="24"/>
          <w:szCs w:val="24"/>
        </w:rPr>
        <w:t>were</w:t>
      </w:r>
      <w:r>
        <w:rPr>
          <w:rFonts w:ascii="Arial" w:hAnsi="Arial" w:cs="Arial"/>
          <w:sz w:val="24"/>
          <w:szCs w:val="24"/>
        </w:rPr>
        <w:t xml:space="preserve"> described as ‘Technical Documentation’, ‘Contract Administration’ and ‘Supervision’. These three broad areas are not described </w:t>
      </w:r>
      <w:r w:rsidR="008738DC">
        <w:rPr>
          <w:rFonts w:ascii="Arial" w:hAnsi="Arial" w:cs="Arial"/>
          <w:sz w:val="24"/>
          <w:szCs w:val="24"/>
        </w:rPr>
        <w:t xml:space="preserve">further in any detail. This broad description is latched on </w:t>
      </w:r>
      <w:r w:rsidR="00953905">
        <w:rPr>
          <w:rFonts w:ascii="Arial" w:hAnsi="Arial" w:cs="Arial"/>
          <w:sz w:val="24"/>
          <w:szCs w:val="24"/>
        </w:rPr>
        <w:t>by the appellants to</w:t>
      </w:r>
      <w:r w:rsidR="008738DC">
        <w:rPr>
          <w:rFonts w:ascii="Arial" w:hAnsi="Arial" w:cs="Arial"/>
          <w:sz w:val="24"/>
          <w:szCs w:val="24"/>
        </w:rPr>
        <w:t xml:space="preserve"> allege act</w:t>
      </w:r>
      <w:r w:rsidR="006D2874">
        <w:rPr>
          <w:rFonts w:ascii="Arial" w:hAnsi="Arial" w:cs="Arial"/>
          <w:sz w:val="24"/>
          <w:szCs w:val="24"/>
        </w:rPr>
        <w:t>ual</w:t>
      </w:r>
      <w:r w:rsidR="008738DC">
        <w:rPr>
          <w:rFonts w:ascii="Arial" w:hAnsi="Arial" w:cs="Arial"/>
          <w:sz w:val="24"/>
          <w:szCs w:val="24"/>
        </w:rPr>
        <w:t xml:space="preserve"> auth</w:t>
      </w:r>
      <w:r w:rsidR="000A3CCA">
        <w:rPr>
          <w:rFonts w:ascii="Arial" w:hAnsi="Arial" w:cs="Arial"/>
          <w:sz w:val="24"/>
          <w:szCs w:val="24"/>
        </w:rPr>
        <w:t xml:space="preserve">ority by the </w:t>
      </w:r>
      <w:r w:rsidR="00D630AB">
        <w:rPr>
          <w:rFonts w:ascii="Arial" w:hAnsi="Arial" w:cs="Arial"/>
          <w:sz w:val="24"/>
          <w:szCs w:val="24"/>
        </w:rPr>
        <w:t>a</w:t>
      </w:r>
      <w:r w:rsidR="003B52EC">
        <w:rPr>
          <w:rFonts w:ascii="Arial" w:hAnsi="Arial" w:cs="Arial"/>
          <w:sz w:val="24"/>
          <w:szCs w:val="24"/>
        </w:rPr>
        <w:t>rchitect</w:t>
      </w:r>
      <w:r w:rsidR="000A3CCA">
        <w:rPr>
          <w:rFonts w:ascii="Arial" w:hAnsi="Arial" w:cs="Arial"/>
          <w:sz w:val="24"/>
          <w:szCs w:val="24"/>
        </w:rPr>
        <w:t xml:space="preserve"> to extend</w:t>
      </w:r>
      <w:r w:rsidR="008738DC">
        <w:rPr>
          <w:rFonts w:ascii="Arial" w:hAnsi="Arial" w:cs="Arial"/>
          <w:sz w:val="24"/>
          <w:szCs w:val="24"/>
        </w:rPr>
        <w:t xml:space="preserve"> the timeline for the furnishing of the guarantee. By letter dated 12 July 2016</w:t>
      </w:r>
      <w:r w:rsidR="000A3CCA">
        <w:rPr>
          <w:rFonts w:ascii="Arial" w:hAnsi="Arial" w:cs="Arial"/>
          <w:sz w:val="24"/>
          <w:szCs w:val="24"/>
        </w:rPr>
        <w:t>,</w:t>
      </w:r>
      <w:r w:rsidR="008738DC">
        <w:rPr>
          <w:rFonts w:ascii="Arial" w:hAnsi="Arial" w:cs="Arial"/>
          <w:sz w:val="24"/>
          <w:szCs w:val="24"/>
        </w:rPr>
        <w:t xml:space="preserve"> the </w:t>
      </w:r>
      <w:r w:rsidR="00D630AB">
        <w:rPr>
          <w:rFonts w:ascii="Arial" w:hAnsi="Arial" w:cs="Arial"/>
          <w:sz w:val="24"/>
          <w:szCs w:val="24"/>
        </w:rPr>
        <w:t>a</w:t>
      </w:r>
      <w:r w:rsidR="003B52EC">
        <w:rPr>
          <w:rFonts w:ascii="Arial" w:hAnsi="Arial" w:cs="Arial"/>
          <w:sz w:val="24"/>
          <w:szCs w:val="24"/>
        </w:rPr>
        <w:t>rchitect</w:t>
      </w:r>
      <w:r w:rsidR="008738DC">
        <w:rPr>
          <w:rFonts w:ascii="Arial" w:hAnsi="Arial" w:cs="Arial"/>
          <w:sz w:val="24"/>
          <w:szCs w:val="24"/>
        </w:rPr>
        <w:t xml:space="preserve"> was informed that she was appointed on the project and that payments in respect of the project, such as payments of professional fees and interim payment certificates</w:t>
      </w:r>
      <w:r w:rsidR="0047591B">
        <w:rPr>
          <w:rFonts w:ascii="Arial" w:hAnsi="Arial" w:cs="Arial"/>
          <w:sz w:val="24"/>
          <w:szCs w:val="24"/>
        </w:rPr>
        <w:t xml:space="preserve"> would be done at regional level. From the </w:t>
      </w:r>
      <w:r w:rsidR="002806A1">
        <w:rPr>
          <w:rFonts w:ascii="Arial" w:hAnsi="Arial" w:cs="Arial"/>
          <w:sz w:val="24"/>
          <w:szCs w:val="24"/>
        </w:rPr>
        <w:t>record</w:t>
      </w:r>
      <w:r w:rsidR="00B61090">
        <w:rPr>
          <w:rFonts w:ascii="Arial" w:hAnsi="Arial" w:cs="Arial"/>
          <w:sz w:val="24"/>
          <w:szCs w:val="24"/>
        </w:rPr>
        <w:t>,</w:t>
      </w:r>
      <w:r w:rsidR="0047591B">
        <w:rPr>
          <w:rFonts w:ascii="Arial" w:hAnsi="Arial" w:cs="Arial"/>
          <w:sz w:val="24"/>
          <w:szCs w:val="24"/>
        </w:rPr>
        <w:t xml:space="preserve"> it appears that the Ministry of Works and Transport is the ‘implementer of all government projects’. The relationship between </w:t>
      </w:r>
      <w:r w:rsidR="00FB78C3">
        <w:rPr>
          <w:rFonts w:ascii="Arial" w:hAnsi="Arial" w:cs="Arial"/>
          <w:sz w:val="24"/>
          <w:szCs w:val="24"/>
        </w:rPr>
        <w:t xml:space="preserve">the </w:t>
      </w:r>
      <w:r w:rsidR="0047591B">
        <w:rPr>
          <w:rFonts w:ascii="Arial" w:hAnsi="Arial" w:cs="Arial"/>
          <w:sz w:val="24"/>
          <w:szCs w:val="24"/>
        </w:rPr>
        <w:t>Ministry of Education</w:t>
      </w:r>
      <w:r w:rsidR="006D2874">
        <w:rPr>
          <w:rFonts w:ascii="Arial" w:hAnsi="Arial" w:cs="Arial"/>
          <w:sz w:val="24"/>
          <w:szCs w:val="24"/>
        </w:rPr>
        <w:t xml:space="preserve"> a</w:t>
      </w:r>
      <w:r w:rsidR="0047591B">
        <w:rPr>
          <w:rFonts w:ascii="Arial" w:hAnsi="Arial" w:cs="Arial"/>
          <w:sz w:val="24"/>
          <w:szCs w:val="24"/>
        </w:rPr>
        <w:t xml:space="preserve">nd </w:t>
      </w:r>
      <w:r w:rsidR="00FB78C3">
        <w:rPr>
          <w:rFonts w:ascii="Arial" w:hAnsi="Arial" w:cs="Arial"/>
          <w:sz w:val="24"/>
          <w:szCs w:val="24"/>
        </w:rPr>
        <w:t xml:space="preserve">the </w:t>
      </w:r>
      <w:r w:rsidR="0047591B">
        <w:rPr>
          <w:rFonts w:ascii="Arial" w:hAnsi="Arial" w:cs="Arial"/>
          <w:sz w:val="24"/>
          <w:szCs w:val="24"/>
        </w:rPr>
        <w:t>Ministry of Works and Transport is not further elaborated</w:t>
      </w:r>
      <w:r w:rsidR="006D2874">
        <w:rPr>
          <w:rFonts w:ascii="Arial" w:hAnsi="Arial" w:cs="Arial"/>
          <w:sz w:val="24"/>
          <w:szCs w:val="24"/>
        </w:rPr>
        <w:t xml:space="preserve"> on</w:t>
      </w:r>
      <w:r w:rsidR="0047591B">
        <w:rPr>
          <w:rFonts w:ascii="Arial" w:hAnsi="Arial" w:cs="Arial"/>
          <w:sz w:val="24"/>
          <w:szCs w:val="24"/>
        </w:rPr>
        <w:t xml:space="preserve">. From the little information in this regard it seems to me that the Ministry of Works and Transport represents the Ministry of Education, so as to have oversight of the construction process on the project and the </w:t>
      </w:r>
      <w:r w:rsidR="00D630AB">
        <w:rPr>
          <w:rFonts w:ascii="Arial" w:hAnsi="Arial" w:cs="Arial"/>
          <w:sz w:val="24"/>
          <w:szCs w:val="24"/>
        </w:rPr>
        <w:t>a</w:t>
      </w:r>
      <w:r w:rsidR="003B52EC">
        <w:rPr>
          <w:rFonts w:ascii="Arial" w:hAnsi="Arial" w:cs="Arial"/>
          <w:sz w:val="24"/>
          <w:szCs w:val="24"/>
        </w:rPr>
        <w:t>rchitect</w:t>
      </w:r>
      <w:r w:rsidR="0047591B">
        <w:rPr>
          <w:rFonts w:ascii="Arial" w:hAnsi="Arial" w:cs="Arial"/>
          <w:sz w:val="24"/>
          <w:szCs w:val="24"/>
        </w:rPr>
        <w:t xml:space="preserve"> in turn is an appointee of </w:t>
      </w:r>
      <w:r w:rsidR="00B61090">
        <w:rPr>
          <w:rFonts w:ascii="Arial" w:hAnsi="Arial" w:cs="Arial"/>
          <w:sz w:val="24"/>
          <w:szCs w:val="24"/>
        </w:rPr>
        <w:t xml:space="preserve">the </w:t>
      </w:r>
      <w:r w:rsidR="0047591B">
        <w:rPr>
          <w:rFonts w:ascii="Arial" w:hAnsi="Arial" w:cs="Arial"/>
          <w:sz w:val="24"/>
          <w:szCs w:val="24"/>
        </w:rPr>
        <w:t xml:space="preserve">Ministry of Works and Transport, ie independent contractor to the latter mentioned Ministry. As she reports to the Ministry of Works and Transport she can </w:t>
      </w:r>
      <w:r w:rsidR="000A3CCA">
        <w:rPr>
          <w:rFonts w:ascii="Arial" w:hAnsi="Arial" w:cs="Arial"/>
          <w:sz w:val="24"/>
          <w:szCs w:val="24"/>
        </w:rPr>
        <w:t xml:space="preserve">be </w:t>
      </w:r>
      <w:r w:rsidR="0047591B">
        <w:rPr>
          <w:rFonts w:ascii="Arial" w:hAnsi="Arial" w:cs="Arial"/>
          <w:sz w:val="24"/>
          <w:szCs w:val="24"/>
        </w:rPr>
        <w:t xml:space="preserve">loosely described as an agent </w:t>
      </w:r>
      <w:r w:rsidR="00047CF0">
        <w:rPr>
          <w:rFonts w:ascii="Arial" w:hAnsi="Arial" w:cs="Arial"/>
          <w:sz w:val="24"/>
          <w:szCs w:val="24"/>
        </w:rPr>
        <w:t>of this Ministry which in turn can be loosely described as an agent of th</w:t>
      </w:r>
      <w:r w:rsidR="006D2874">
        <w:rPr>
          <w:rFonts w:ascii="Arial" w:hAnsi="Arial" w:cs="Arial"/>
          <w:sz w:val="24"/>
          <w:szCs w:val="24"/>
        </w:rPr>
        <w:t>e Ministry of Education.</w:t>
      </w:r>
    </w:p>
    <w:p w:rsidR="00903E47" w:rsidRDefault="00903E47" w:rsidP="002E6628">
      <w:pPr>
        <w:pStyle w:val="NoSpacing"/>
        <w:spacing w:line="480" w:lineRule="auto"/>
        <w:jc w:val="both"/>
        <w:rPr>
          <w:rFonts w:ascii="Arial" w:hAnsi="Arial" w:cs="Arial"/>
          <w:sz w:val="24"/>
          <w:szCs w:val="24"/>
        </w:rPr>
      </w:pPr>
    </w:p>
    <w:p w:rsidR="00903E47" w:rsidRDefault="00047CF0"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As pointed out in the introduction above</w:t>
      </w:r>
      <w:r w:rsidR="000A3CCA">
        <w:rPr>
          <w:rFonts w:ascii="Arial" w:hAnsi="Arial" w:cs="Arial"/>
          <w:sz w:val="24"/>
          <w:szCs w:val="24"/>
        </w:rPr>
        <w:t>,</w:t>
      </w:r>
      <w:r>
        <w:rPr>
          <w:rFonts w:ascii="Arial" w:hAnsi="Arial" w:cs="Arial"/>
          <w:sz w:val="24"/>
          <w:szCs w:val="24"/>
        </w:rPr>
        <w:t xml:space="preserve"> the </w:t>
      </w:r>
      <w:r w:rsidR="00D630AB">
        <w:rPr>
          <w:rFonts w:ascii="Arial" w:hAnsi="Arial" w:cs="Arial"/>
          <w:sz w:val="24"/>
          <w:szCs w:val="24"/>
        </w:rPr>
        <w:t>a</w:t>
      </w:r>
      <w:r w:rsidR="003B52EC">
        <w:rPr>
          <w:rFonts w:ascii="Arial" w:hAnsi="Arial" w:cs="Arial"/>
          <w:sz w:val="24"/>
          <w:szCs w:val="24"/>
        </w:rPr>
        <w:t>rchitect</w:t>
      </w:r>
      <w:r w:rsidR="009238B1">
        <w:rPr>
          <w:rFonts w:ascii="Arial" w:hAnsi="Arial" w:cs="Arial"/>
          <w:sz w:val="24"/>
          <w:szCs w:val="24"/>
        </w:rPr>
        <w:t xml:space="preserve"> informed the joint v</w:t>
      </w:r>
      <w:r>
        <w:rPr>
          <w:rFonts w:ascii="Arial" w:hAnsi="Arial" w:cs="Arial"/>
          <w:sz w:val="24"/>
          <w:szCs w:val="24"/>
        </w:rPr>
        <w:t xml:space="preserve">enture that it was the successful bidder but that a contract in respect of the project would only be concluded if </w:t>
      </w:r>
      <w:r w:rsidR="00B61090">
        <w:rPr>
          <w:rFonts w:ascii="Arial" w:hAnsi="Arial" w:cs="Arial"/>
          <w:sz w:val="24"/>
          <w:szCs w:val="24"/>
        </w:rPr>
        <w:t xml:space="preserve">it met the </w:t>
      </w:r>
      <w:r>
        <w:rPr>
          <w:rFonts w:ascii="Arial" w:hAnsi="Arial" w:cs="Arial"/>
          <w:sz w:val="24"/>
          <w:szCs w:val="24"/>
        </w:rPr>
        <w:t>three conditions. The fact of the conditions is not disputed at all nor is the authority to have made</w:t>
      </w:r>
      <w:r w:rsidR="009238B1">
        <w:rPr>
          <w:rFonts w:ascii="Arial" w:hAnsi="Arial" w:cs="Arial"/>
          <w:sz w:val="24"/>
          <w:szCs w:val="24"/>
        </w:rPr>
        <w:t xml:space="preserve"> the appointment of the joint v</w:t>
      </w:r>
      <w:r>
        <w:rPr>
          <w:rFonts w:ascii="Arial" w:hAnsi="Arial" w:cs="Arial"/>
          <w:sz w:val="24"/>
          <w:szCs w:val="24"/>
        </w:rPr>
        <w:t>enture a conditional one. Neither the minutes of the Tender Board</w:t>
      </w:r>
      <w:r w:rsidR="0056146B">
        <w:rPr>
          <w:rFonts w:ascii="Arial" w:hAnsi="Arial" w:cs="Arial"/>
          <w:sz w:val="24"/>
          <w:szCs w:val="24"/>
        </w:rPr>
        <w:t>,</w:t>
      </w:r>
      <w:r w:rsidR="009238B1">
        <w:rPr>
          <w:rFonts w:ascii="Arial" w:hAnsi="Arial" w:cs="Arial"/>
          <w:sz w:val="24"/>
          <w:szCs w:val="24"/>
        </w:rPr>
        <w:t xml:space="preserve"> where the award to the joint v</w:t>
      </w:r>
      <w:r>
        <w:rPr>
          <w:rFonts w:ascii="Arial" w:hAnsi="Arial" w:cs="Arial"/>
          <w:sz w:val="24"/>
          <w:szCs w:val="24"/>
        </w:rPr>
        <w:t>enture was made</w:t>
      </w:r>
      <w:r w:rsidR="0056146B">
        <w:rPr>
          <w:rFonts w:ascii="Arial" w:hAnsi="Arial" w:cs="Arial"/>
          <w:sz w:val="24"/>
          <w:szCs w:val="24"/>
        </w:rPr>
        <w:t>,</w:t>
      </w:r>
      <w:r>
        <w:rPr>
          <w:rFonts w:ascii="Arial" w:hAnsi="Arial" w:cs="Arial"/>
          <w:sz w:val="24"/>
          <w:szCs w:val="24"/>
        </w:rPr>
        <w:t xml:space="preserve"> nor the letter from the </w:t>
      </w:r>
      <w:r w:rsidR="00E64A4B">
        <w:rPr>
          <w:rFonts w:ascii="Arial" w:hAnsi="Arial" w:cs="Arial"/>
          <w:sz w:val="24"/>
          <w:szCs w:val="24"/>
        </w:rPr>
        <w:t>r</w:t>
      </w:r>
      <w:r w:rsidR="003B52EC">
        <w:rPr>
          <w:rFonts w:ascii="Arial" w:hAnsi="Arial" w:cs="Arial"/>
          <w:sz w:val="24"/>
          <w:szCs w:val="24"/>
        </w:rPr>
        <w:t>egional council</w:t>
      </w:r>
      <w:r w:rsidR="00211788">
        <w:rPr>
          <w:rFonts w:ascii="Arial" w:hAnsi="Arial" w:cs="Arial"/>
          <w:sz w:val="24"/>
          <w:szCs w:val="24"/>
        </w:rPr>
        <w:t xml:space="preserve"> to the </w:t>
      </w:r>
      <w:r w:rsidR="00D630AB">
        <w:rPr>
          <w:rFonts w:ascii="Arial" w:hAnsi="Arial" w:cs="Arial"/>
          <w:sz w:val="24"/>
          <w:szCs w:val="24"/>
        </w:rPr>
        <w:t>a</w:t>
      </w:r>
      <w:r w:rsidR="003B52EC">
        <w:rPr>
          <w:rFonts w:ascii="Arial" w:hAnsi="Arial" w:cs="Arial"/>
          <w:sz w:val="24"/>
          <w:szCs w:val="24"/>
        </w:rPr>
        <w:t>rchitect</w:t>
      </w:r>
      <w:r w:rsidR="00211788">
        <w:rPr>
          <w:rFonts w:ascii="Arial" w:hAnsi="Arial" w:cs="Arial"/>
          <w:sz w:val="24"/>
          <w:szCs w:val="24"/>
        </w:rPr>
        <w:t xml:space="preserve"> directed </w:t>
      </w:r>
      <w:r>
        <w:rPr>
          <w:rFonts w:ascii="Arial" w:hAnsi="Arial" w:cs="Arial"/>
          <w:sz w:val="24"/>
          <w:szCs w:val="24"/>
        </w:rPr>
        <w:t xml:space="preserve">her that the contract </w:t>
      </w:r>
      <w:r w:rsidR="00211788">
        <w:rPr>
          <w:rFonts w:ascii="Arial" w:hAnsi="Arial" w:cs="Arial"/>
          <w:sz w:val="24"/>
          <w:szCs w:val="24"/>
        </w:rPr>
        <w:t xml:space="preserve">that had to be signed within seven days was conditional and not final. One would expect, at least, the condition relating to </w:t>
      </w:r>
      <w:r w:rsidR="005E5408">
        <w:rPr>
          <w:rFonts w:ascii="Arial" w:hAnsi="Arial" w:cs="Arial"/>
          <w:sz w:val="24"/>
          <w:szCs w:val="24"/>
        </w:rPr>
        <w:t xml:space="preserve">a </w:t>
      </w:r>
      <w:r w:rsidR="00211788">
        <w:rPr>
          <w:rFonts w:ascii="Arial" w:hAnsi="Arial" w:cs="Arial"/>
          <w:sz w:val="24"/>
          <w:szCs w:val="24"/>
        </w:rPr>
        <w:t xml:space="preserve">performance guarantee to have featured in any construction agreement of the magnitude of the one involved in the project. The conditions may have been part and parcel </w:t>
      </w:r>
      <w:r w:rsidR="000A6682">
        <w:rPr>
          <w:rFonts w:ascii="Arial" w:hAnsi="Arial" w:cs="Arial"/>
          <w:sz w:val="24"/>
          <w:szCs w:val="24"/>
        </w:rPr>
        <w:t xml:space="preserve">of the terms of the tender and this </w:t>
      </w:r>
      <w:r w:rsidR="008D7988">
        <w:rPr>
          <w:rFonts w:ascii="Arial" w:hAnsi="Arial" w:cs="Arial"/>
          <w:sz w:val="24"/>
          <w:szCs w:val="24"/>
        </w:rPr>
        <w:t xml:space="preserve">is </w:t>
      </w:r>
      <w:r w:rsidR="000A6682">
        <w:rPr>
          <w:rFonts w:ascii="Arial" w:hAnsi="Arial" w:cs="Arial"/>
          <w:sz w:val="24"/>
          <w:szCs w:val="24"/>
        </w:rPr>
        <w:t>what I suspect</w:t>
      </w:r>
      <w:r w:rsidR="008D7988">
        <w:rPr>
          <w:rFonts w:ascii="Arial" w:hAnsi="Arial" w:cs="Arial"/>
          <w:sz w:val="24"/>
          <w:szCs w:val="24"/>
        </w:rPr>
        <w:t>,</w:t>
      </w:r>
      <w:r w:rsidR="000A6682">
        <w:rPr>
          <w:rFonts w:ascii="Arial" w:hAnsi="Arial" w:cs="Arial"/>
          <w:sz w:val="24"/>
          <w:szCs w:val="24"/>
        </w:rPr>
        <w:t xml:space="preserve"> but how and why these conditions formed pa</w:t>
      </w:r>
      <w:r w:rsidR="009238B1">
        <w:rPr>
          <w:rFonts w:ascii="Arial" w:hAnsi="Arial" w:cs="Arial"/>
          <w:sz w:val="24"/>
          <w:szCs w:val="24"/>
        </w:rPr>
        <w:t>rt of the communication to the joint v</w:t>
      </w:r>
      <w:r w:rsidR="000A6682">
        <w:rPr>
          <w:rFonts w:ascii="Arial" w:hAnsi="Arial" w:cs="Arial"/>
          <w:sz w:val="24"/>
          <w:szCs w:val="24"/>
        </w:rPr>
        <w:t xml:space="preserve">enture is not dealt with at all. </w:t>
      </w:r>
      <w:r w:rsidR="008D7988">
        <w:rPr>
          <w:rFonts w:ascii="Arial" w:hAnsi="Arial" w:cs="Arial"/>
          <w:sz w:val="24"/>
          <w:szCs w:val="24"/>
        </w:rPr>
        <w:t>The l</w:t>
      </w:r>
      <w:r w:rsidR="00BF0FE6">
        <w:rPr>
          <w:rFonts w:ascii="Arial" w:hAnsi="Arial" w:cs="Arial"/>
          <w:sz w:val="24"/>
          <w:szCs w:val="24"/>
        </w:rPr>
        <w:t>egal practitioner</w:t>
      </w:r>
      <w:r w:rsidR="000A6682">
        <w:rPr>
          <w:rFonts w:ascii="Arial" w:hAnsi="Arial" w:cs="Arial"/>
          <w:sz w:val="24"/>
          <w:szCs w:val="24"/>
        </w:rPr>
        <w:t xml:space="preserve"> for the respondents pointed out in his heads of argument that in terms of the regulations published pursuant to the Tender Board Act</w:t>
      </w:r>
      <w:r w:rsidR="000A3CCA">
        <w:rPr>
          <w:rFonts w:ascii="Arial" w:hAnsi="Arial" w:cs="Arial"/>
          <w:sz w:val="24"/>
          <w:szCs w:val="24"/>
        </w:rPr>
        <w:t>,</w:t>
      </w:r>
      <w:r w:rsidR="000A6682">
        <w:rPr>
          <w:rStyle w:val="FootnoteReference"/>
          <w:rFonts w:ascii="Arial" w:hAnsi="Arial" w:cs="Arial"/>
          <w:sz w:val="24"/>
          <w:szCs w:val="24"/>
        </w:rPr>
        <w:footnoteReference w:id="6"/>
      </w:r>
      <w:r w:rsidR="00E217DE">
        <w:rPr>
          <w:rFonts w:ascii="Arial" w:hAnsi="Arial" w:cs="Arial"/>
          <w:sz w:val="24"/>
          <w:szCs w:val="24"/>
        </w:rPr>
        <w:t xml:space="preserve"> a regional tender board must ‘require a successful tenderer to furnish security for the performance in terms of an agreement to be entered into’. As the Tender Board decision does not reflect these conditions it may be that this was so because of the fact that the requirement was always catered for in the conditions or terms of the tender.</w:t>
      </w:r>
    </w:p>
    <w:p w:rsidR="00903E47" w:rsidRDefault="00903E47" w:rsidP="002E6628">
      <w:pPr>
        <w:pStyle w:val="NoSpacing"/>
        <w:spacing w:line="480" w:lineRule="auto"/>
        <w:jc w:val="both"/>
        <w:rPr>
          <w:rFonts w:ascii="Arial" w:hAnsi="Arial" w:cs="Arial"/>
          <w:sz w:val="24"/>
          <w:szCs w:val="24"/>
        </w:rPr>
      </w:pPr>
    </w:p>
    <w:p w:rsidR="00DB5F17" w:rsidRPr="00DB5F17" w:rsidRDefault="00DB5F17" w:rsidP="002E6628">
      <w:pPr>
        <w:pStyle w:val="NoSpacing"/>
        <w:spacing w:line="480" w:lineRule="auto"/>
        <w:jc w:val="both"/>
        <w:rPr>
          <w:rFonts w:ascii="Arial" w:hAnsi="Arial" w:cs="Arial"/>
          <w:sz w:val="24"/>
          <w:szCs w:val="24"/>
          <w:u w:val="single"/>
        </w:rPr>
      </w:pPr>
      <w:r w:rsidRPr="003C0310">
        <w:rPr>
          <w:rFonts w:ascii="Arial" w:hAnsi="Arial" w:cs="Arial"/>
          <w:sz w:val="24"/>
          <w:szCs w:val="24"/>
        </w:rPr>
        <w:t>C.</w:t>
      </w:r>
      <w:r w:rsidRPr="003C0310">
        <w:rPr>
          <w:rFonts w:ascii="Arial" w:hAnsi="Arial" w:cs="Arial"/>
          <w:sz w:val="24"/>
          <w:szCs w:val="24"/>
        </w:rPr>
        <w:tab/>
      </w:r>
      <w:r w:rsidRPr="00DB5F17">
        <w:rPr>
          <w:rFonts w:ascii="Arial" w:hAnsi="Arial" w:cs="Arial"/>
          <w:sz w:val="24"/>
          <w:szCs w:val="24"/>
          <w:u w:val="single"/>
        </w:rPr>
        <w:t>Revenue flow</w:t>
      </w:r>
    </w:p>
    <w:p w:rsidR="0056146B" w:rsidRDefault="00DB5F17"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terms of the Namibian Constitution all income </w:t>
      </w:r>
      <w:r w:rsidR="00E77DCC">
        <w:rPr>
          <w:rFonts w:ascii="Arial" w:hAnsi="Arial" w:cs="Arial"/>
          <w:sz w:val="24"/>
          <w:szCs w:val="24"/>
        </w:rPr>
        <w:t>accruing to the State must be paid into a State Revenue Fund</w:t>
      </w:r>
      <w:r w:rsidR="00E77DCC">
        <w:rPr>
          <w:rStyle w:val="FootnoteReference"/>
          <w:rFonts w:ascii="Arial" w:hAnsi="Arial" w:cs="Arial"/>
          <w:sz w:val="24"/>
          <w:szCs w:val="24"/>
        </w:rPr>
        <w:footnoteReference w:id="7"/>
      </w:r>
      <w:r w:rsidR="00E77DCC">
        <w:rPr>
          <w:rFonts w:ascii="Arial" w:hAnsi="Arial" w:cs="Arial"/>
          <w:sz w:val="24"/>
          <w:szCs w:val="24"/>
        </w:rPr>
        <w:t>. The State Finance Act gives effect to th</w:t>
      </w:r>
      <w:r w:rsidR="000A3CCA">
        <w:rPr>
          <w:rFonts w:ascii="Arial" w:hAnsi="Arial" w:cs="Arial"/>
          <w:sz w:val="24"/>
          <w:szCs w:val="24"/>
        </w:rPr>
        <w:t>ese</w:t>
      </w:r>
      <w:r w:rsidR="00E77DCC">
        <w:rPr>
          <w:rFonts w:ascii="Arial" w:hAnsi="Arial" w:cs="Arial"/>
          <w:sz w:val="24"/>
          <w:szCs w:val="24"/>
        </w:rPr>
        <w:t xml:space="preserve"> provisions </w:t>
      </w:r>
      <w:r w:rsidR="00E77DCC">
        <w:rPr>
          <w:rFonts w:ascii="Arial" w:hAnsi="Arial" w:cs="Arial"/>
          <w:sz w:val="24"/>
          <w:szCs w:val="24"/>
        </w:rPr>
        <w:lastRenderedPageBreak/>
        <w:t>and provides for all State revenue to be paid into an account held at the Bank of Namibia. In general, the funds in this account may not be dealt with contrary to the provisions of any Appropriation Act in place from time to time.</w:t>
      </w:r>
      <w:r w:rsidR="00E77DCC">
        <w:rPr>
          <w:rStyle w:val="FootnoteReference"/>
          <w:rFonts w:ascii="Arial" w:hAnsi="Arial" w:cs="Arial"/>
          <w:sz w:val="24"/>
          <w:szCs w:val="24"/>
        </w:rPr>
        <w:footnoteReference w:id="8"/>
      </w:r>
      <w:r w:rsidR="00E77DCC">
        <w:rPr>
          <w:rFonts w:ascii="Arial" w:hAnsi="Arial" w:cs="Arial"/>
          <w:sz w:val="24"/>
          <w:szCs w:val="24"/>
        </w:rPr>
        <w:t xml:space="preserve"> A department within the Ministry of Finance namely the Treasury is tasked with the administration relating to the State Revenue Fund so as to record </w:t>
      </w:r>
      <w:r w:rsidR="00494386">
        <w:rPr>
          <w:rFonts w:ascii="Arial" w:hAnsi="Arial" w:cs="Arial"/>
          <w:sz w:val="24"/>
          <w:szCs w:val="24"/>
        </w:rPr>
        <w:t>transaction</w:t>
      </w:r>
      <w:r w:rsidR="00E573F0">
        <w:rPr>
          <w:rFonts w:ascii="Arial" w:hAnsi="Arial" w:cs="Arial"/>
          <w:sz w:val="24"/>
          <w:szCs w:val="24"/>
        </w:rPr>
        <w:t>s</w:t>
      </w:r>
      <w:r w:rsidR="00494386">
        <w:rPr>
          <w:rFonts w:ascii="Arial" w:hAnsi="Arial" w:cs="Arial"/>
          <w:sz w:val="24"/>
          <w:szCs w:val="24"/>
        </w:rPr>
        <w:t xml:space="preserve"> flowing through the account and to ensure expenditure is in line with the relevant Appropriation Act.</w:t>
      </w:r>
      <w:r w:rsidR="00494386">
        <w:rPr>
          <w:rStyle w:val="FootnoteReference"/>
          <w:rFonts w:ascii="Arial" w:hAnsi="Arial" w:cs="Arial"/>
          <w:sz w:val="24"/>
          <w:szCs w:val="24"/>
        </w:rPr>
        <w:footnoteReference w:id="9"/>
      </w:r>
      <w:r w:rsidR="00494386">
        <w:rPr>
          <w:rFonts w:ascii="Arial" w:hAnsi="Arial" w:cs="Arial"/>
          <w:sz w:val="24"/>
          <w:szCs w:val="24"/>
        </w:rPr>
        <w:t xml:space="preserve"> </w:t>
      </w:r>
      <w:r w:rsidR="002806A1">
        <w:rPr>
          <w:rFonts w:ascii="Arial" w:hAnsi="Arial" w:cs="Arial"/>
          <w:sz w:val="24"/>
          <w:szCs w:val="24"/>
        </w:rPr>
        <w:t>Here it must be bor</w:t>
      </w:r>
      <w:r w:rsidR="000A3CCA">
        <w:rPr>
          <w:rFonts w:ascii="Arial" w:hAnsi="Arial" w:cs="Arial"/>
          <w:sz w:val="24"/>
          <w:szCs w:val="24"/>
        </w:rPr>
        <w:t>ne</w:t>
      </w:r>
      <w:r w:rsidR="002806A1">
        <w:rPr>
          <w:rFonts w:ascii="Arial" w:hAnsi="Arial" w:cs="Arial"/>
          <w:sz w:val="24"/>
          <w:szCs w:val="24"/>
        </w:rPr>
        <w:t xml:space="preserve"> in mind that Appropriation Act</w:t>
      </w:r>
      <w:r w:rsidR="009A5FFD">
        <w:rPr>
          <w:rFonts w:ascii="Arial" w:hAnsi="Arial" w:cs="Arial"/>
          <w:sz w:val="24"/>
          <w:szCs w:val="24"/>
        </w:rPr>
        <w:t xml:space="preserve">s </w:t>
      </w:r>
      <w:r w:rsidR="002806A1">
        <w:rPr>
          <w:rFonts w:ascii="Arial" w:hAnsi="Arial" w:cs="Arial"/>
          <w:sz w:val="24"/>
          <w:szCs w:val="24"/>
        </w:rPr>
        <w:t>do not appropriate financing to specific project</w:t>
      </w:r>
      <w:r w:rsidR="005973C4">
        <w:rPr>
          <w:rFonts w:ascii="Arial" w:hAnsi="Arial" w:cs="Arial"/>
          <w:sz w:val="24"/>
          <w:szCs w:val="24"/>
        </w:rPr>
        <w:t>s</w:t>
      </w:r>
      <w:r w:rsidR="00A80534">
        <w:rPr>
          <w:rFonts w:ascii="Arial" w:hAnsi="Arial" w:cs="Arial"/>
          <w:sz w:val="24"/>
          <w:szCs w:val="24"/>
        </w:rPr>
        <w:t xml:space="preserve"> or expenses but simply appropriate financing to the established Ministries so as to cater for all those Ministries’ needs for the </w:t>
      </w:r>
      <w:r w:rsidR="005E5408">
        <w:rPr>
          <w:rFonts w:ascii="Arial" w:hAnsi="Arial" w:cs="Arial"/>
          <w:sz w:val="24"/>
          <w:szCs w:val="24"/>
        </w:rPr>
        <w:t>relevant</w:t>
      </w:r>
      <w:r w:rsidR="0056146B">
        <w:rPr>
          <w:rFonts w:ascii="Arial" w:hAnsi="Arial" w:cs="Arial"/>
          <w:sz w:val="24"/>
          <w:szCs w:val="24"/>
        </w:rPr>
        <w:t xml:space="preserve"> </w:t>
      </w:r>
      <w:r w:rsidR="00A80534">
        <w:rPr>
          <w:rFonts w:ascii="Arial" w:hAnsi="Arial" w:cs="Arial"/>
          <w:sz w:val="24"/>
          <w:szCs w:val="24"/>
        </w:rPr>
        <w:t>a</w:t>
      </w:r>
      <w:r w:rsidR="00662DFD">
        <w:rPr>
          <w:rFonts w:ascii="Arial" w:hAnsi="Arial" w:cs="Arial"/>
          <w:sz w:val="24"/>
          <w:szCs w:val="24"/>
        </w:rPr>
        <w:t>ppropriation period. Thus each m</w:t>
      </w:r>
      <w:r w:rsidR="00A80534">
        <w:rPr>
          <w:rFonts w:ascii="Arial" w:hAnsi="Arial" w:cs="Arial"/>
          <w:sz w:val="24"/>
          <w:szCs w:val="24"/>
        </w:rPr>
        <w:t xml:space="preserve">inistry is allocated a </w:t>
      </w:r>
      <w:r w:rsidR="005E5408">
        <w:rPr>
          <w:rFonts w:ascii="Arial" w:hAnsi="Arial" w:cs="Arial"/>
          <w:sz w:val="24"/>
          <w:szCs w:val="24"/>
        </w:rPr>
        <w:t>total</w:t>
      </w:r>
      <w:r w:rsidR="0056146B">
        <w:rPr>
          <w:rFonts w:ascii="Arial" w:hAnsi="Arial" w:cs="Arial"/>
          <w:sz w:val="24"/>
          <w:szCs w:val="24"/>
        </w:rPr>
        <w:t xml:space="preserve"> </w:t>
      </w:r>
      <w:r w:rsidR="00A80534">
        <w:rPr>
          <w:rFonts w:ascii="Arial" w:hAnsi="Arial" w:cs="Arial"/>
          <w:sz w:val="24"/>
          <w:szCs w:val="24"/>
        </w:rPr>
        <w:t xml:space="preserve">amount which it must deal with within </w:t>
      </w:r>
      <w:r w:rsidR="0056146B">
        <w:rPr>
          <w:rFonts w:ascii="Arial" w:hAnsi="Arial" w:cs="Arial"/>
          <w:sz w:val="24"/>
          <w:szCs w:val="24"/>
        </w:rPr>
        <w:t xml:space="preserve">the parameters of its own budget. Its ‘internal control’ </w:t>
      </w:r>
      <w:r w:rsidR="00BE518C">
        <w:rPr>
          <w:rFonts w:ascii="Arial" w:hAnsi="Arial" w:cs="Arial"/>
          <w:sz w:val="24"/>
          <w:szCs w:val="24"/>
        </w:rPr>
        <w:t>is the responsibility of</w:t>
      </w:r>
      <w:r w:rsidR="0056146B">
        <w:rPr>
          <w:rFonts w:ascii="Arial" w:hAnsi="Arial" w:cs="Arial"/>
          <w:sz w:val="24"/>
          <w:szCs w:val="24"/>
        </w:rPr>
        <w:t xml:space="preserve"> </w:t>
      </w:r>
      <w:r w:rsidR="00662DFD">
        <w:rPr>
          <w:rFonts w:ascii="Arial" w:hAnsi="Arial" w:cs="Arial"/>
          <w:sz w:val="24"/>
          <w:szCs w:val="24"/>
        </w:rPr>
        <w:t>the accounting officer of each m</w:t>
      </w:r>
      <w:r w:rsidR="0056146B">
        <w:rPr>
          <w:rFonts w:ascii="Arial" w:hAnsi="Arial" w:cs="Arial"/>
          <w:sz w:val="24"/>
          <w:szCs w:val="24"/>
        </w:rPr>
        <w:t>inistry.</w:t>
      </w:r>
      <w:r w:rsidR="00A80534">
        <w:rPr>
          <w:rFonts w:ascii="Arial" w:hAnsi="Arial" w:cs="Arial"/>
          <w:sz w:val="24"/>
          <w:szCs w:val="24"/>
        </w:rPr>
        <w:t xml:space="preserve"> </w:t>
      </w:r>
    </w:p>
    <w:p w:rsidR="0056146B" w:rsidRDefault="0056146B" w:rsidP="0056146B">
      <w:pPr>
        <w:pStyle w:val="NoSpacing"/>
        <w:spacing w:line="480" w:lineRule="auto"/>
        <w:jc w:val="both"/>
        <w:rPr>
          <w:rFonts w:ascii="Arial" w:hAnsi="Arial" w:cs="Arial"/>
          <w:sz w:val="24"/>
          <w:szCs w:val="24"/>
        </w:rPr>
      </w:pPr>
    </w:p>
    <w:p w:rsidR="00903E47" w:rsidRDefault="00494386"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 17 of the</w:t>
      </w:r>
      <w:r w:rsidR="00435C69">
        <w:rPr>
          <w:rFonts w:ascii="Arial" w:hAnsi="Arial" w:cs="Arial"/>
          <w:sz w:val="24"/>
          <w:szCs w:val="24"/>
        </w:rPr>
        <w:t xml:space="preserve"> State Finance </w:t>
      </w:r>
      <w:r>
        <w:rPr>
          <w:rFonts w:ascii="Arial" w:hAnsi="Arial" w:cs="Arial"/>
          <w:sz w:val="24"/>
          <w:szCs w:val="24"/>
        </w:rPr>
        <w:t xml:space="preserve">Act </w:t>
      </w:r>
      <w:r w:rsidR="00B22471">
        <w:rPr>
          <w:rFonts w:ascii="Arial" w:hAnsi="Arial" w:cs="Arial"/>
          <w:sz w:val="24"/>
          <w:szCs w:val="24"/>
        </w:rPr>
        <w:t xml:space="preserve">prohibits the </w:t>
      </w:r>
      <w:r w:rsidR="00435C69">
        <w:rPr>
          <w:rFonts w:ascii="Arial" w:hAnsi="Arial" w:cs="Arial"/>
          <w:sz w:val="24"/>
          <w:szCs w:val="24"/>
        </w:rPr>
        <w:t xml:space="preserve">incurring of </w:t>
      </w:r>
      <w:r w:rsidR="00B22471">
        <w:rPr>
          <w:rFonts w:ascii="Arial" w:hAnsi="Arial" w:cs="Arial"/>
          <w:sz w:val="24"/>
          <w:szCs w:val="24"/>
        </w:rPr>
        <w:t>expenditure or payments from the State Revenue Fund without approval from the Treasury. The section reads as follows:</w:t>
      </w:r>
    </w:p>
    <w:p w:rsidR="00B22471" w:rsidRPr="00F02B73" w:rsidRDefault="00B22471" w:rsidP="0056146B">
      <w:pPr>
        <w:pStyle w:val="NoSpacing"/>
        <w:spacing w:line="360" w:lineRule="auto"/>
        <w:ind w:left="720"/>
        <w:jc w:val="both"/>
        <w:rPr>
          <w:rFonts w:ascii="Arial" w:hAnsi="Arial" w:cs="Arial"/>
        </w:rPr>
      </w:pPr>
    </w:p>
    <w:p w:rsidR="00B22471" w:rsidRPr="00F02B73" w:rsidRDefault="00435C69" w:rsidP="004325F6">
      <w:pPr>
        <w:pStyle w:val="NoSpacing"/>
        <w:spacing w:line="360" w:lineRule="auto"/>
        <w:ind w:left="720"/>
        <w:jc w:val="both"/>
        <w:rPr>
          <w:rFonts w:ascii="Arial" w:hAnsi="Arial" w:cs="Arial"/>
        </w:rPr>
      </w:pPr>
      <w:r>
        <w:rPr>
          <w:rFonts w:ascii="Arial" w:hAnsi="Arial" w:cs="Arial"/>
        </w:rPr>
        <w:t>‘</w:t>
      </w:r>
      <w:r w:rsidR="00B22471" w:rsidRPr="00F02B73">
        <w:rPr>
          <w:rFonts w:ascii="Arial" w:hAnsi="Arial" w:cs="Arial"/>
        </w:rPr>
        <w:t>17.</w:t>
      </w:r>
      <w:r w:rsidR="00B22471" w:rsidRPr="00F02B73">
        <w:rPr>
          <w:rFonts w:ascii="Arial" w:hAnsi="Arial" w:cs="Arial"/>
        </w:rPr>
        <w:tab/>
        <w:t>Subject to the provisions of this Act and notwithstanding anything to the contrary in any other law contained</w:t>
      </w:r>
      <w:r w:rsidR="00F02B73" w:rsidRPr="00F02B73">
        <w:rPr>
          <w:rFonts w:ascii="Arial" w:hAnsi="Arial" w:cs="Arial"/>
        </w:rPr>
        <w:t xml:space="preserve"> - </w:t>
      </w:r>
    </w:p>
    <w:p w:rsidR="00B22471" w:rsidRPr="00F02B73" w:rsidRDefault="00F02B73" w:rsidP="004325F6">
      <w:pPr>
        <w:pStyle w:val="NoSpacing"/>
        <w:spacing w:line="360" w:lineRule="auto"/>
        <w:jc w:val="both"/>
        <w:rPr>
          <w:rFonts w:ascii="Arial" w:hAnsi="Arial" w:cs="Arial"/>
        </w:rPr>
      </w:pPr>
      <w:r w:rsidRPr="00F02B73">
        <w:rPr>
          <w:rFonts w:ascii="Arial" w:hAnsi="Arial" w:cs="Arial"/>
        </w:rPr>
        <w:tab/>
      </w:r>
    </w:p>
    <w:p w:rsidR="00B22471" w:rsidRPr="00F02B73" w:rsidRDefault="00F02B73" w:rsidP="004325F6">
      <w:pPr>
        <w:pStyle w:val="NoSpacing"/>
        <w:numPr>
          <w:ilvl w:val="0"/>
          <w:numId w:val="4"/>
        </w:numPr>
        <w:spacing w:line="360" w:lineRule="auto"/>
        <w:jc w:val="both"/>
        <w:rPr>
          <w:rFonts w:ascii="Arial" w:hAnsi="Arial" w:cs="Arial"/>
        </w:rPr>
      </w:pPr>
      <w:r w:rsidRPr="00F02B73">
        <w:rPr>
          <w:rFonts w:ascii="Arial" w:hAnsi="Arial" w:cs="Arial"/>
        </w:rPr>
        <w:t>no expenditure shall be incurred as a charge to the State Revenue Fund;</w:t>
      </w:r>
    </w:p>
    <w:p w:rsidR="00F02B73" w:rsidRPr="00F02B73" w:rsidRDefault="00F02B73" w:rsidP="004325F6">
      <w:pPr>
        <w:pStyle w:val="NoSpacing"/>
        <w:spacing w:line="360" w:lineRule="auto"/>
        <w:ind w:left="1440"/>
        <w:jc w:val="both"/>
        <w:rPr>
          <w:rFonts w:ascii="Arial" w:hAnsi="Arial" w:cs="Arial"/>
        </w:rPr>
      </w:pPr>
    </w:p>
    <w:p w:rsidR="00F02B73" w:rsidRPr="00F02B73" w:rsidRDefault="00F02B73" w:rsidP="004325F6">
      <w:pPr>
        <w:pStyle w:val="NoSpacing"/>
        <w:numPr>
          <w:ilvl w:val="0"/>
          <w:numId w:val="4"/>
        </w:numPr>
        <w:spacing w:line="360" w:lineRule="auto"/>
        <w:jc w:val="both"/>
        <w:rPr>
          <w:rFonts w:ascii="Arial" w:hAnsi="Arial" w:cs="Arial"/>
        </w:rPr>
      </w:pPr>
      <w:r w:rsidRPr="00F02B73">
        <w:rPr>
          <w:rFonts w:ascii="Arial" w:hAnsi="Arial" w:cs="Arial"/>
        </w:rPr>
        <w:t>no payments shall be made as a charge to the State Revenue Fund;</w:t>
      </w:r>
    </w:p>
    <w:p w:rsidR="00F02B73" w:rsidRPr="00F02B73" w:rsidRDefault="00F02B73" w:rsidP="004325F6">
      <w:pPr>
        <w:pStyle w:val="ListParagraph"/>
        <w:spacing w:line="360" w:lineRule="auto"/>
        <w:jc w:val="both"/>
        <w:rPr>
          <w:rFonts w:ascii="Arial" w:hAnsi="Arial" w:cs="Arial"/>
        </w:rPr>
      </w:pPr>
    </w:p>
    <w:p w:rsidR="00F02B73" w:rsidRPr="00F02B73" w:rsidRDefault="00F02B73" w:rsidP="004325F6">
      <w:pPr>
        <w:pStyle w:val="NoSpacing"/>
        <w:numPr>
          <w:ilvl w:val="0"/>
          <w:numId w:val="4"/>
        </w:numPr>
        <w:spacing w:line="360" w:lineRule="auto"/>
        <w:jc w:val="both"/>
        <w:rPr>
          <w:rFonts w:ascii="Arial" w:hAnsi="Arial" w:cs="Arial"/>
        </w:rPr>
      </w:pPr>
      <w:r w:rsidRPr="00F02B73">
        <w:rPr>
          <w:rFonts w:ascii="Arial" w:hAnsi="Arial" w:cs="Arial"/>
        </w:rPr>
        <w:lastRenderedPageBreak/>
        <w:t>no fees or charges, or the rates, scales or tariffs thereof, shall be determined as a c</w:t>
      </w:r>
      <w:r w:rsidR="00B93526">
        <w:rPr>
          <w:rFonts w:ascii="Arial" w:hAnsi="Arial" w:cs="Arial"/>
        </w:rPr>
        <w:t>harge to the State Revenue Fund;</w:t>
      </w:r>
    </w:p>
    <w:p w:rsidR="00F02B73" w:rsidRPr="00F02B73" w:rsidRDefault="00F02B73" w:rsidP="00B77D8F">
      <w:pPr>
        <w:pStyle w:val="ListParagraph"/>
        <w:spacing w:after="0" w:line="360" w:lineRule="auto"/>
        <w:rPr>
          <w:rFonts w:ascii="Arial" w:hAnsi="Arial" w:cs="Arial"/>
        </w:rPr>
      </w:pPr>
    </w:p>
    <w:p w:rsidR="00F02B73" w:rsidRPr="00F02B73" w:rsidRDefault="00F02B73" w:rsidP="00B77D8F">
      <w:pPr>
        <w:pStyle w:val="NoSpacing"/>
        <w:spacing w:line="360" w:lineRule="auto"/>
        <w:ind w:left="720"/>
        <w:jc w:val="both"/>
        <w:rPr>
          <w:rFonts w:ascii="Arial" w:hAnsi="Arial" w:cs="Arial"/>
        </w:rPr>
      </w:pPr>
      <w:r w:rsidRPr="00F02B73">
        <w:rPr>
          <w:rFonts w:ascii="Arial" w:hAnsi="Arial" w:cs="Arial"/>
        </w:rPr>
        <w:t>without the authorisation of the Treasury.’</w:t>
      </w:r>
    </w:p>
    <w:p w:rsidR="00B22471" w:rsidRDefault="00B22471" w:rsidP="00B77D8F">
      <w:pPr>
        <w:pStyle w:val="NoSpacing"/>
        <w:spacing w:line="360" w:lineRule="auto"/>
        <w:jc w:val="both"/>
        <w:rPr>
          <w:rFonts w:ascii="Arial" w:hAnsi="Arial" w:cs="Arial"/>
          <w:sz w:val="24"/>
          <w:szCs w:val="24"/>
        </w:rPr>
      </w:pPr>
    </w:p>
    <w:p w:rsidR="00B22471" w:rsidRDefault="00B7440F"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Where the function has been decentralised the Decentralisation Act provides that income received in respect of such function is to be deposited, ‘notwithstanding anything contained in the State Finance Act, into a separate account of the </w:t>
      </w:r>
      <w:r w:rsidR="00E64A4B">
        <w:rPr>
          <w:rFonts w:ascii="Arial" w:hAnsi="Arial" w:cs="Arial"/>
          <w:sz w:val="24"/>
          <w:szCs w:val="24"/>
        </w:rPr>
        <w:t>r</w:t>
      </w:r>
      <w:r w:rsidR="003B52EC">
        <w:rPr>
          <w:rFonts w:ascii="Arial" w:hAnsi="Arial" w:cs="Arial"/>
          <w:sz w:val="24"/>
          <w:szCs w:val="24"/>
        </w:rPr>
        <w:t>egional council</w:t>
      </w:r>
      <w:r w:rsidR="005E5408">
        <w:rPr>
          <w:rFonts w:ascii="Arial" w:hAnsi="Arial" w:cs="Arial"/>
          <w:sz w:val="24"/>
          <w:szCs w:val="24"/>
        </w:rPr>
        <w:t>’</w:t>
      </w:r>
      <w:r>
        <w:rPr>
          <w:rFonts w:ascii="Arial" w:hAnsi="Arial" w:cs="Arial"/>
          <w:sz w:val="24"/>
          <w:szCs w:val="24"/>
        </w:rPr>
        <w:t xml:space="preserve"> which account must be operated specifically for the purpose of decentralised function.</w:t>
      </w:r>
      <w:r>
        <w:rPr>
          <w:rStyle w:val="FootnoteReference"/>
          <w:rFonts w:ascii="Arial" w:hAnsi="Arial" w:cs="Arial"/>
          <w:sz w:val="24"/>
          <w:szCs w:val="24"/>
        </w:rPr>
        <w:footnoteReference w:id="10"/>
      </w:r>
      <w:r w:rsidR="00DF5777">
        <w:rPr>
          <w:rFonts w:ascii="Arial" w:hAnsi="Arial" w:cs="Arial"/>
          <w:sz w:val="24"/>
          <w:szCs w:val="24"/>
        </w:rPr>
        <w:t xml:space="preserve"> Section 5(5)</w:t>
      </w:r>
      <w:r w:rsidR="00DF5777" w:rsidRPr="00DF5777">
        <w:rPr>
          <w:rFonts w:ascii="Arial" w:hAnsi="Arial" w:cs="Arial"/>
          <w:i/>
          <w:sz w:val="24"/>
          <w:szCs w:val="24"/>
        </w:rPr>
        <w:t>(b)</w:t>
      </w:r>
      <w:r w:rsidR="00DF5777">
        <w:rPr>
          <w:rFonts w:ascii="Arial" w:hAnsi="Arial" w:cs="Arial"/>
          <w:sz w:val="24"/>
          <w:szCs w:val="24"/>
        </w:rPr>
        <w:t xml:space="preserve"> of the Decentralis</w:t>
      </w:r>
      <w:r w:rsidR="00662DFD">
        <w:rPr>
          <w:rFonts w:ascii="Arial" w:hAnsi="Arial" w:cs="Arial"/>
          <w:sz w:val="24"/>
          <w:szCs w:val="24"/>
        </w:rPr>
        <w:t>ation Act also provides that a m</w:t>
      </w:r>
      <w:r w:rsidR="00DF5777">
        <w:rPr>
          <w:rFonts w:ascii="Arial" w:hAnsi="Arial" w:cs="Arial"/>
          <w:sz w:val="24"/>
          <w:szCs w:val="24"/>
        </w:rPr>
        <w:t xml:space="preserve">inistry may budget ‘for the following financial year for funds to be paid to </w:t>
      </w:r>
      <w:r w:rsidR="00E64A4B">
        <w:rPr>
          <w:rFonts w:ascii="Arial" w:hAnsi="Arial" w:cs="Arial"/>
          <w:sz w:val="24"/>
          <w:szCs w:val="24"/>
        </w:rPr>
        <w:t>r</w:t>
      </w:r>
      <w:r w:rsidR="003B52EC">
        <w:rPr>
          <w:rFonts w:ascii="Arial" w:hAnsi="Arial" w:cs="Arial"/>
          <w:sz w:val="24"/>
          <w:szCs w:val="24"/>
        </w:rPr>
        <w:t>egional council</w:t>
      </w:r>
      <w:r w:rsidR="00DF5777">
        <w:rPr>
          <w:rFonts w:ascii="Arial" w:hAnsi="Arial" w:cs="Arial"/>
          <w:sz w:val="24"/>
          <w:szCs w:val="24"/>
        </w:rPr>
        <w:t>s . . . in respect of any function which has been devolved’.</w:t>
      </w:r>
    </w:p>
    <w:p w:rsidR="00903E47" w:rsidRDefault="00903E47" w:rsidP="002E6628">
      <w:pPr>
        <w:pStyle w:val="NoSpacing"/>
        <w:spacing w:line="480" w:lineRule="auto"/>
        <w:jc w:val="both"/>
        <w:rPr>
          <w:rFonts w:ascii="Arial" w:hAnsi="Arial" w:cs="Arial"/>
          <w:sz w:val="24"/>
          <w:szCs w:val="24"/>
        </w:rPr>
      </w:pPr>
    </w:p>
    <w:p w:rsidR="00903E47" w:rsidRDefault="0014015B"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Once the </w:t>
      </w:r>
      <w:r w:rsidR="00E64A4B">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xml:space="preserve"> has opened the account in respect of the delegated function</w:t>
      </w:r>
      <w:r w:rsidR="00435C69">
        <w:rPr>
          <w:rFonts w:ascii="Arial" w:hAnsi="Arial" w:cs="Arial"/>
          <w:sz w:val="24"/>
          <w:szCs w:val="24"/>
        </w:rPr>
        <w:t>,</w:t>
      </w:r>
      <w:r>
        <w:rPr>
          <w:rFonts w:ascii="Arial" w:hAnsi="Arial" w:cs="Arial"/>
          <w:sz w:val="24"/>
          <w:szCs w:val="24"/>
        </w:rPr>
        <w:t xml:space="preserve"> this account is operated under the auspices of the Minist</w:t>
      </w:r>
      <w:r w:rsidR="0056146B">
        <w:rPr>
          <w:rFonts w:ascii="Arial" w:hAnsi="Arial" w:cs="Arial"/>
          <w:sz w:val="24"/>
          <w:szCs w:val="24"/>
        </w:rPr>
        <w:t>er</w:t>
      </w:r>
      <w:r>
        <w:rPr>
          <w:rFonts w:ascii="Arial" w:hAnsi="Arial" w:cs="Arial"/>
          <w:sz w:val="24"/>
          <w:szCs w:val="24"/>
        </w:rPr>
        <w:t xml:space="preserve"> of Urban and Rural Development</w:t>
      </w:r>
      <w:r w:rsidR="00E573F0">
        <w:rPr>
          <w:rFonts w:ascii="Arial" w:hAnsi="Arial" w:cs="Arial"/>
          <w:sz w:val="24"/>
          <w:szCs w:val="24"/>
        </w:rPr>
        <w:t>.</w:t>
      </w:r>
      <w:r w:rsidR="001F6DF6">
        <w:rPr>
          <w:rFonts w:ascii="Arial" w:hAnsi="Arial" w:cs="Arial"/>
          <w:sz w:val="24"/>
          <w:szCs w:val="24"/>
        </w:rPr>
        <w:t xml:space="preserve"> Prior authorisation from the said Minister is required to incur any expenditure in respect of </w:t>
      </w:r>
      <w:r w:rsidR="005E5408">
        <w:rPr>
          <w:rFonts w:ascii="Arial" w:hAnsi="Arial" w:cs="Arial"/>
          <w:sz w:val="24"/>
          <w:szCs w:val="24"/>
        </w:rPr>
        <w:t>such</w:t>
      </w:r>
      <w:r w:rsidR="001F6DF6">
        <w:rPr>
          <w:rFonts w:ascii="Arial" w:hAnsi="Arial" w:cs="Arial"/>
          <w:sz w:val="24"/>
          <w:szCs w:val="24"/>
        </w:rPr>
        <w:t xml:space="preserve"> account held by the </w:t>
      </w:r>
      <w:r w:rsidR="00E64A4B">
        <w:rPr>
          <w:rFonts w:ascii="Arial" w:hAnsi="Arial" w:cs="Arial"/>
          <w:sz w:val="24"/>
          <w:szCs w:val="24"/>
        </w:rPr>
        <w:t>r</w:t>
      </w:r>
      <w:r w:rsidR="003B52EC">
        <w:rPr>
          <w:rFonts w:ascii="Arial" w:hAnsi="Arial" w:cs="Arial"/>
          <w:sz w:val="24"/>
          <w:szCs w:val="24"/>
        </w:rPr>
        <w:t>egional council</w:t>
      </w:r>
      <w:r w:rsidR="001F6DF6">
        <w:rPr>
          <w:rFonts w:ascii="Arial" w:hAnsi="Arial" w:cs="Arial"/>
          <w:sz w:val="24"/>
          <w:szCs w:val="24"/>
        </w:rPr>
        <w:t>.</w:t>
      </w:r>
      <w:r w:rsidR="00E573F0">
        <w:rPr>
          <w:rStyle w:val="FootnoteReference"/>
          <w:rFonts w:ascii="Arial" w:hAnsi="Arial" w:cs="Arial"/>
          <w:sz w:val="24"/>
          <w:szCs w:val="24"/>
        </w:rPr>
        <w:footnoteReference w:id="11"/>
      </w:r>
    </w:p>
    <w:p w:rsidR="00903E47" w:rsidRDefault="00903E47" w:rsidP="002E6628">
      <w:pPr>
        <w:pStyle w:val="NoSpacing"/>
        <w:spacing w:line="480" w:lineRule="auto"/>
        <w:jc w:val="both"/>
        <w:rPr>
          <w:rFonts w:ascii="Arial" w:hAnsi="Arial" w:cs="Arial"/>
          <w:sz w:val="24"/>
          <w:szCs w:val="24"/>
        </w:rPr>
      </w:pPr>
    </w:p>
    <w:p w:rsidR="00903E47" w:rsidRDefault="001F6DF6"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w:t>
      </w:r>
      <w:r w:rsidR="0056146B">
        <w:rPr>
          <w:rFonts w:ascii="Arial" w:hAnsi="Arial" w:cs="Arial"/>
          <w:sz w:val="24"/>
          <w:szCs w:val="24"/>
        </w:rPr>
        <w:t>rticle</w:t>
      </w:r>
      <w:r>
        <w:rPr>
          <w:rFonts w:ascii="Arial" w:hAnsi="Arial" w:cs="Arial"/>
          <w:sz w:val="24"/>
          <w:szCs w:val="24"/>
        </w:rPr>
        <w:t xml:space="preserve"> 125(3) of</w:t>
      </w:r>
      <w:r w:rsidR="00FB7BEB">
        <w:rPr>
          <w:rFonts w:ascii="Arial" w:hAnsi="Arial" w:cs="Arial"/>
          <w:sz w:val="24"/>
          <w:szCs w:val="24"/>
        </w:rPr>
        <w:t xml:space="preserve"> the Namibian Constitution does</w:t>
      </w:r>
      <w:r w:rsidR="006B585B">
        <w:rPr>
          <w:rFonts w:ascii="Arial" w:hAnsi="Arial" w:cs="Arial"/>
          <w:sz w:val="24"/>
          <w:szCs w:val="24"/>
        </w:rPr>
        <w:t xml:space="preserve"> </w:t>
      </w:r>
      <w:r>
        <w:rPr>
          <w:rFonts w:ascii="Arial" w:hAnsi="Arial" w:cs="Arial"/>
          <w:sz w:val="24"/>
          <w:szCs w:val="24"/>
        </w:rPr>
        <w:t>allow for mon</w:t>
      </w:r>
      <w:r w:rsidR="00E5135C">
        <w:rPr>
          <w:rFonts w:ascii="Arial" w:hAnsi="Arial" w:cs="Arial"/>
          <w:sz w:val="24"/>
          <w:szCs w:val="24"/>
        </w:rPr>
        <w:t>ey</w:t>
      </w:r>
      <w:r w:rsidR="00515E43">
        <w:rPr>
          <w:rFonts w:ascii="Arial" w:hAnsi="Arial" w:cs="Arial"/>
          <w:sz w:val="24"/>
          <w:szCs w:val="24"/>
        </w:rPr>
        <w:t>s</w:t>
      </w:r>
      <w:r>
        <w:rPr>
          <w:rFonts w:ascii="Arial" w:hAnsi="Arial" w:cs="Arial"/>
          <w:sz w:val="24"/>
          <w:szCs w:val="24"/>
        </w:rPr>
        <w:t xml:space="preserve"> </w:t>
      </w:r>
      <w:r w:rsidR="004912EE">
        <w:rPr>
          <w:rFonts w:ascii="Arial" w:hAnsi="Arial" w:cs="Arial"/>
          <w:sz w:val="24"/>
          <w:szCs w:val="24"/>
        </w:rPr>
        <w:t xml:space="preserve">to be paid into accounts other than the State Revenue Fund where it is designated for a special purpose. </w:t>
      </w:r>
      <w:r w:rsidR="00C01E67">
        <w:rPr>
          <w:rFonts w:ascii="Arial" w:hAnsi="Arial" w:cs="Arial"/>
          <w:sz w:val="24"/>
          <w:szCs w:val="24"/>
        </w:rPr>
        <w:t>T</w:t>
      </w:r>
      <w:r w:rsidR="004912EE">
        <w:rPr>
          <w:rFonts w:ascii="Arial" w:hAnsi="Arial" w:cs="Arial"/>
          <w:sz w:val="24"/>
          <w:szCs w:val="24"/>
        </w:rPr>
        <w:t>he Decentralisation Act expressly states that:</w:t>
      </w:r>
    </w:p>
    <w:p w:rsidR="00903E47" w:rsidRPr="004912EE" w:rsidRDefault="00903E47" w:rsidP="006B585B">
      <w:pPr>
        <w:pStyle w:val="NoSpacing"/>
        <w:spacing w:line="360" w:lineRule="auto"/>
        <w:ind w:left="720"/>
        <w:jc w:val="both"/>
        <w:rPr>
          <w:rFonts w:ascii="Arial" w:hAnsi="Arial" w:cs="Arial"/>
        </w:rPr>
      </w:pPr>
    </w:p>
    <w:p w:rsidR="00E573F0" w:rsidRPr="00E573F0" w:rsidRDefault="004912EE" w:rsidP="00E573F0">
      <w:pPr>
        <w:pStyle w:val="NoSpacing"/>
        <w:spacing w:line="360" w:lineRule="auto"/>
        <w:ind w:left="720"/>
        <w:jc w:val="both"/>
        <w:rPr>
          <w:rFonts w:ascii="Arial" w:hAnsi="Arial" w:cs="Arial"/>
        </w:rPr>
      </w:pPr>
      <w:r w:rsidRPr="004912EE">
        <w:rPr>
          <w:rFonts w:ascii="Arial" w:hAnsi="Arial" w:cs="Arial"/>
        </w:rPr>
        <w:t xml:space="preserve">‘Any provision of this Act relating to the application of moneys accruing to the State in any manner other than the deposit thereof in the State Revenue Fund is enacted upon </w:t>
      </w:r>
      <w:r w:rsidRPr="004912EE">
        <w:rPr>
          <w:rFonts w:ascii="Arial" w:hAnsi="Arial" w:cs="Arial"/>
        </w:rPr>
        <w:lastRenderedPageBreak/>
        <w:t>the authority of Art 12</w:t>
      </w:r>
      <w:r w:rsidR="00413BCA">
        <w:rPr>
          <w:rFonts w:ascii="Arial" w:hAnsi="Arial" w:cs="Arial"/>
        </w:rPr>
        <w:t>5</w:t>
      </w:r>
      <w:r w:rsidRPr="004912EE">
        <w:rPr>
          <w:rFonts w:ascii="Arial" w:hAnsi="Arial" w:cs="Arial"/>
        </w:rPr>
        <w:t>(3) of the Namibian Constitution and shall apply notwithstanding any provision of the State Finance Act.’</w:t>
      </w:r>
      <w:r w:rsidR="00B61090">
        <w:rPr>
          <w:rStyle w:val="FootnoteReference"/>
          <w:rFonts w:ascii="Arial" w:hAnsi="Arial" w:cs="Arial"/>
        </w:rPr>
        <w:footnoteReference w:id="12"/>
      </w:r>
    </w:p>
    <w:p w:rsidR="00E573F0" w:rsidRDefault="00E573F0" w:rsidP="002E6628">
      <w:pPr>
        <w:pStyle w:val="NoSpacing"/>
        <w:spacing w:line="480" w:lineRule="auto"/>
        <w:jc w:val="both"/>
        <w:rPr>
          <w:rFonts w:ascii="Arial" w:hAnsi="Arial" w:cs="Arial"/>
          <w:sz w:val="24"/>
          <w:szCs w:val="24"/>
        </w:rPr>
      </w:pPr>
    </w:p>
    <w:p w:rsidR="00903E47" w:rsidRDefault="0010105A"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w:t>
      </w:r>
      <w:r w:rsidR="00BF0FE6">
        <w:rPr>
          <w:rFonts w:ascii="Arial" w:hAnsi="Arial" w:cs="Arial"/>
          <w:sz w:val="24"/>
          <w:szCs w:val="24"/>
        </w:rPr>
        <w:t>egal practitioner</w:t>
      </w:r>
      <w:r w:rsidR="004912EE">
        <w:rPr>
          <w:rFonts w:ascii="Arial" w:hAnsi="Arial" w:cs="Arial"/>
          <w:sz w:val="24"/>
          <w:szCs w:val="24"/>
        </w:rPr>
        <w:t xml:space="preserve"> on behalf of the appellants submitted </w:t>
      </w:r>
      <w:r w:rsidR="00D1727C">
        <w:rPr>
          <w:rFonts w:ascii="Arial" w:hAnsi="Arial" w:cs="Arial"/>
          <w:sz w:val="24"/>
          <w:szCs w:val="24"/>
        </w:rPr>
        <w:t xml:space="preserve">that s 17 of the State Finance Act finds no application once a function has been decentralised. I cannot agree with this as a general proposition. </w:t>
      </w:r>
      <w:r w:rsidR="00515E43">
        <w:rPr>
          <w:rFonts w:ascii="Arial" w:hAnsi="Arial" w:cs="Arial"/>
          <w:sz w:val="24"/>
          <w:szCs w:val="24"/>
        </w:rPr>
        <w:t xml:space="preserve">If the </w:t>
      </w:r>
      <w:r w:rsidR="00E5135C">
        <w:rPr>
          <w:rFonts w:ascii="Arial" w:hAnsi="Arial" w:cs="Arial"/>
          <w:sz w:val="24"/>
          <w:szCs w:val="24"/>
        </w:rPr>
        <w:t>moneys</w:t>
      </w:r>
      <w:r w:rsidR="00515E43">
        <w:rPr>
          <w:rFonts w:ascii="Arial" w:hAnsi="Arial" w:cs="Arial"/>
          <w:sz w:val="24"/>
          <w:szCs w:val="24"/>
        </w:rPr>
        <w:t xml:space="preserve"> relevant to the delegated function is to be transferred from the State Revenue Fund to the special account created for this purpose by the Regional Authority such transfers can only be effected with the authority of the Treasury. </w:t>
      </w:r>
      <w:r w:rsidR="00E5135C">
        <w:rPr>
          <w:rFonts w:ascii="Arial" w:hAnsi="Arial" w:cs="Arial"/>
          <w:sz w:val="24"/>
          <w:szCs w:val="24"/>
        </w:rPr>
        <w:t>Once the money</w:t>
      </w:r>
      <w:r w:rsidR="00515E43">
        <w:rPr>
          <w:rFonts w:ascii="Arial" w:hAnsi="Arial" w:cs="Arial"/>
          <w:sz w:val="24"/>
          <w:szCs w:val="24"/>
        </w:rPr>
        <w:t xml:space="preserve">s have been deposited in the special account of the </w:t>
      </w:r>
      <w:r w:rsidR="00E64A4B">
        <w:rPr>
          <w:rFonts w:ascii="Arial" w:hAnsi="Arial" w:cs="Arial"/>
          <w:sz w:val="24"/>
          <w:szCs w:val="24"/>
        </w:rPr>
        <w:t>r</w:t>
      </w:r>
      <w:r w:rsidR="003B52EC">
        <w:rPr>
          <w:rFonts w:ascii="Arial" w:hAnsi="Arial" w:cs="Arial"/>
          <w:sz w:val="24"/>
          <w:szCs w:val="24"/>
        </w:rPr>
        <w:t>egional council</w:t>
      </w:r>
      <w:r w:rsidR="00515E43">
        <w:rPr>
          <w:rFonts w:ascii="Arial" w:hAnsi="Arial" w:cs="Arial"/>
          <w:sz w:val="24"/>
          <w:szCs w:val="24"/>
        </w:rPr>
        <w:t xml:space="preserve"> the supervisory function of the Treasury with regard to such mon</w:t>
      </w:r>
      <w:r w:rsidR="00E5135C">
        <w:rPr>
          <w:rFonts w:ascii="Arial" w:hAnsi="Arial" w:cs="Arial"/>
          <w:sz w:val="24"/>
          <w:szCs w:val="24"/>
        </w:rPr>
        <w:t>eys</w:t>
      </w:r>
      <w:r w:rsidR="00515E43">
        <w:rPr>
          <w:rFonts w:ascii="Arial" w:hAnsi="Arial" w:cs="Arial"/>
          <w:sz w:val="24"/>
          <w:szCs w:val="24"/>
        </w:rPr>
        <w:t xml:space="preserve"> falls away and s 37 of the </w:t>
      </w:r>
      <w:r w:rsidR="00E64A4B">
        <w:rPr>
          <w:rFonts w:ascii="Arial" w:hAnsi="Arial" w:cs="Arial"/>
          <w:sz w:val="24"/>
          <w:szCs w:val="24"/>
        </w:rPr>
        <w:t>Regional C</w:t>
      </w:r>
      <w:r w:rsidR="003B52EC">
        <w:rPr>
          <w:rFonts w:ascii="Arial" w:hAnsi="Arial" w:cs="Arial"/>
          <w:sz w:val="24"/>
          <w:szCs w:val="24"/>
        </w:rPr>
        <w:t>ouncil</w:t>
      </w:r>
      <w:r w:rsidR="00515E43">
        <w:rPr>
          <w:rFonts w:ascii="Arial" w:hAnsi="Arial" w:cs="Arial"/>
          <w:sz w:val="24"/>
          <w:szCs w:val="24"/>
        </w:rPr>
        <w:t xml:space="preserve">s Act kicks in and the </w:t>
      </w:r>
      <w:r w:rsidR="009D40AB">
        <w:rPr>
          <w:rFonts w:ascii="Arial" w:hAnsi="Arial" w:cs="Arial"/>
          <w:sz w:val="24"/>
          <w:szCs w:val="24"/>
        </w:rPr>
        <w:t>supervisory function shifts to the Minist</w:t>
      </w:r>
      <w:r w:rsidR="005E5408">
        <w:rPr>
          <w:rFonts w:ascii="Arial" w:hAnsi="Arial" w:cs="Arial"/>
          <w:sz w:val="24"/>
          <w:szCs w:val="24"/>
        </w:rPr>
        <w:t>er</w:t>
      </w:r>
      <w:r w:rsidR="009D40AB">
        <w:rPr>
          <w:rFonts w:ascii="Arial" w:hAnsi="Arial" w:cs="Arial"/>
          <w:sz w:val="24"/>
          <w:szCs w:val="24"/>
        </w:rPr>
        <w:t xml:space="preserve"> of Urban and Rural Development. Th</w:t>
      </w:r>
      <w:r w:rsidR="008D7988">
        <w:rPr>
          <w:rFonts w:ascii="Arial" w:hAnsi="Arial" w:cs="Arial"/>
          <w:sz w:val="24"/>
          <w:szCs w:val="24"/>
        </w:rPr>
        <w:t>is</w:t>
      </w:r>
      <w:r w:rsidR="009D40AB">
        <w:rPr>
          <w:rFonts w:ascii="Arial" w:hAnsi="Arial" w:cs="Arial"/>
          <w:sz w:val="24"/>
          <w:szCs w:val="24"/>
        </w:rPr>
        <w:t xml:space="preserve"> Minister must then authorise expenditure from this special account. Should the </w:t>
      </w:r>
      <w:r w:rsidR="00E64A4B">
        <w:rPr>
          <w:rFonts w:ascii="Arial" w:hAnsi="Arial" w:cs="Arial"/>
          <w:sz w:val="24"/>
          <w:szCs w:val="24"/>
        </w:rPr>
        <w:t>r</w:t>
      </w:r>
      <w:r w:rsidR="003B52EC">
        <w:rPr>
          <w:rFonts w:ascii="Arial" w:hAnsi="Arial" w:cs="Arial"/>
          <w:sz w:val="24"/>
          <w:szCs w:val="24"/>
        </w:rPr>
        <w:t>egional council</w:t>
      </w:r>
      <w:r w:rsidR="009D40AB">
        <w:rPr>
          <w:rFonts w:ascii="Arial" w:hAnsi="Arial" w:cs="Arial"/>
          <w:sz w:val="24"/>
          <w:szCs w:val="24"/>
        </w:rPr>
        <w:t xml:space="preserve"> in performing the delegated funct</w:t>
      </w:r>
      <w:r w:rsidR="00824C1D">
        <w:rPr>
          <w:rFonts w:ascii="Arial" w:hAnsi="Arial" w:cs="Arial"/>
          <w:sz w:val="24"/>
          <w:szCs w:val="24"/>
        </w:rPr>
        <w:t>ion receive, for example, fees;</w:t>
      </w:r>
      <w:r w:rsidR="009D40AB">
        <w:rPr>
          <w:rFonts w:ascii="Arial" w:hAnsi="Arial" w:cs="Arial"/>
          <w:sz w:val="24"/>
          <w:szCs w:val="24"/>
        </w:rPr>
        <w:t xml:space="preserve"> levies or fines</w:t>
      </w:r>
      <w:r w:rsidR="00435C69">
        <w:rPr>
          <w:rFonts w:ascii="Arial" w:hAnsi="Arial" w:cs="Arial"/>
          <w:sz w:val="24"/>
          <w:szCs w:val="24"/>
        </w:rPr>
        <w:t>,</w:t>
      </w:r>
      <w:r w:rsidR="009D40AB">
        <w:rPr>
          <w:rFonts w:ascii="Arial" w:hAnsi="Arial" w:cs="Arial"/>
          <w:sz w:val="24"/>
          <w:szCs w:val="24"/>
        </w:rPr>
        <w:t xml:space="preserve"> these would not have to be paid into the State Revenue Fund but</w:t>
      </w:r>
      <w:r w:rsidR="001251B6">
        <w:rPr>
          <w:rFonts w:ascii="Arial" w:hAnsi="Arial" w:cs="Arial"/>
          <w:sz w:val="24"/>
          <w:szCs w:val="24"/>
        </w:rPr>
        <w:t>,</w:t>
      </w:r>
      <w:r w:rsidR="009D40AB">
        <w:rPr>
          <w:rFonts w:ascii="Arial" w:hAnsi="Arial" w:cs="Arial"/>
          <w:sz w:val="24"/>
          <w:szCs w:val="24"/>
        </w:rPr>
        <w:t xml:space="preserve"> can be paid directly into the special acc</w:t>
      </w:r>
      <w:r w:rsidR="00E5135C">
        <w:rPr>
          <w:rFonts w:ascii="Arial" w:hAnsi="Arial" w:cs="Arial"/>
          <w:sz w:val="24"/>
          <w:szCs w:val="24"/>
        </w:rPr>
        <w:t>ount. In other words any moneys receive</w:t>
      </w:r>
      <w:r w:rsidR="00413BCA">
        <w:rPr>
          <w:rFonts w:ascii="Arial" w:hAnsi="Arial" w:cs="Arial"/>
          <w:sz w:val="24"/>
          <w:szCs w:val="24"/>
        </w:rPr>
        <w:t>d</w:t>
      </w:r>
      <w:r w:rsidR="00E5135C">
        <w:rPr>
          <w:rFonts w:ascii="Arial" w:hAnsi="Arial" w:cs="Arial"/>
          <w:sz w:val="24"/>
          <w:szCs w:val="24"/>
        </w:rPr>
        <w:t xml:space="preserve"> directly (and not from the State Revenue Fund) as a consequence of the delegation </w:t>
      </w:r>
      <w:r w:rsidR="00B2147E">
        <w:rPr>
          <w:rFonts w:ascii="Arial" w:hAnsi="Arial" w:cs="Arial"/>
          <w:sz w:val="24"/>
          <w:szCs w:val="24"/>
        </w:rPr>
        <w:t>to it of a function from the central government can be deposited into the special account and not into the State Revenue Fund.</w:t>
      </w:r>
    </w:p>
    <w:p w:rsidR="00E573F0" w:rsidRDefault="00E573F0" w:rsidP="00E573F0">
      <w:pPr>
        <w:pStyle w:val="NoSpacing"/>
        <w:spacing w:line="480" w:lineRule="auto"/>
        <w:jc w:val="both"/>
        <w:rPr>
          <w:rFonts w:ascii="Arial" w:hAnsi="Arial" w:cs="Arial"/>
          <w:sz w:val="24"/>
          <w:szCs w:val="24"/>
        </w:rPr>
      </w:pPr>
    </w:p>
    <w:p w:rsidR="000443BC" w:rsidRDefault="00E01B51" w:rsidP="008F44D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Accounts </w:t>
      </w:r>
      <w:r w:rsidR="00F17B41">
        <w:rPr>
          <w:rFonts w:ascii="Arial" w:hAnsi="Arial" w:cs="Arial"/>
          <w:sz w:val="24"/>
          <w:szCs w:val="24"/>
        </w:rPr>
        <w:t>are</w:t>
      </w:r>
      <w:r>
        <w:rPr>
          <w:rFonts w:ascii="Arial" w:hAnsi="Arial" w:cs="Arial"/>
          <w:sz w:val="24"/>
          <w:szCs w:val="24"/>
        </w:rPr>
        <w:t xml:space="preserve"> kept in the Treasury for the respective </w:t>
      </w:r>
      <w:r w:rsidR="00662DFD">
        <w:rPr>
          <w:rFonts w:ascii="Arial" w:hAnsi="Arial" w:cs="Arial"/>
          <w:sz w:val="24"/>
          <w:szCs w:val="24"/>
        </w:rPr>
        <w:t>Ministries in which each m</w:t>
      </w:r>
      <w:r w:rsidR="000443BC">
        <w:rPr>
          <w:rFonts w:ascii="Arial" w:hAnsi="Arial" w:cs="Arial"/>
          <w:sz w:val="24"/>
          <w:szCs w:val="24"/>
        </w:rPr>
        <w:t>inistry’s expected total allocation from an Appropriation Act will be reflected. This account will also reflect payments from the amo</w:t>
      </w:r>
      <w:r w:rsidR="00662DFD">
        <w:rPr>
          <w:rFonts w:ascii="Arial" w:hAnsi="Arial" w:cs="Arial"/>
          <w:sz w:val="24"/>
          <w:szCs w:val="24"/>
        </w:rPr>
        <w:t xml:space="preserve">unts standing in favour of any ministry </w:t>
      </w:r>
      <w:r w:rsidR="00662DFD">
        <w:rPr>
          <w:rFonts w:ascii="Arial" w:hAnsi="Arial" w:cs="Arial"/>
          <w:sz w:val="24"/>
          <w:szCs w:val="24"/>
        </w:rPr>
        <w:lastRenderedPageBreak/>
        <w:t>to such m</w:t>
      </w:r>
      <w:r w:rsidR="000443BC">
        <w:rPr>
          <w:rFonts w:ascii="Arial" w:hAnsi="Arial" w:cs="Arial"/>
          <w:sz w:val="24"/>
          <w:szCs w:val="24"/>
        </w:rPr>
        <w:t>inistry. Depending o</w:t>
      </w:r>
      <w:r w:rsidR="00662DFD">
        <w:rPr>
          <w:rFonts w:ascii="Arial" w:hAnsi="Arial" w:cs="Arial"/>
          <w:sz w:val="24"/>
          <w:szCs w:val="24"/>
        </w:rPr>
        <w:t>n the nature of the needs of a m</w:t>
      </w:r>
      <w:r w:rsidR="000443BC">
        <w:rPr>
          <w:rFonts w:ascii="Arial" w:hAnsi="Arial" w:cs="Arial"/>
          <w:sz w:val="24"/>
          <w:szCs w:val="24"/>
        </w:rPr>
        <w:t>inistry</w:t>
      </w:r>
      <w:r w:rsidR="00435C69">
        <w:rPr>
          <w:rFonts w:ascii="Arial" w:hAnsi="Arial" w:cs="Arial"/>
          <w:sz w:val="24"/>
          <w:szCs w:val="24"/>
        </w:rPr>
        <w:t>,</w:t>
      </w:r>
      <w:r w:rsidR="000F3BC9">
        <w:rPr>
          <w:rFonts w:ascii="Arial" w:hAnsi="Arial" w:cs="Arial"/>
          <w:sz w:val="24"/>
          <w:szCs w:val="24"/>
        </w:rPr>
        <w:t xml:space="preserve"> </w:t>
      </w:r>
      <w:r w:rsidR="000443BC">
        <w:rPr>
          <w:rFonts w:ascii="Arial" w:hAnsi="Arial" w:cs="Arial"/>
          <w:sz w:val="24"/>
          <w:szCs w:val="24"/>
        </w:rPr>
        <w:t xml:space="preserve">Treasury will </w:t>
      </w:r>
      <w:r w:rsidR="00662DFD">
        <w:rPr>
          <w:rFonts w:ascii="Arial" w:hAnsi="Arial" w:cs="Arial"/>
          <w:sz w:val="24"/>
          <w:szCs w:val="24"/>
        </w:rPr>
        <w:t>make payment to a m</w:t>
      </w:r>
      <w:r w:rsidR="000443BC">
        <w:rPr>
          <w:rFonts w:ascii="Arial" w:hAnsi="Arial" w:cs="Arial"/>
          <w:sz w:val="24"/>
          <w:szCs w:val="24"/>
        </w:rPr>
        <w:t xml:space="preserve">inistry to in turn honour its obligation to its </w:t>
      </w:r>
      <w:r w:rsidR="00FB78C3">
        <w:rPr>
          <w:rFonts w:ascii="Arial" w:hAnsi="Arial" w:cs="Arial"/>
          <w:sz w:val="24"/>
          <w:szCs w:val="24"/>
        </w:rPr>
        <w:t>service providers</w:t>
      </w:r>
      <w:r w:rsidR="00435C69">
        <w:rPr>
          <w:rFonts w:ascii="Arial" w:hAnsi="Arial" w:cs="Arial"/>
          <w:sz w:val="24"/>
          <w:szCs w:val="24"/>
        </w:rPr>
        <w:t>,</w:t>
      </w:r>
      <w:r w:rsidR="00662DFD">
        <w:rPr>
          <w:rFonts w:ascii="Arial" w:hAnsi="Arial" w:cs="Arial"/>
          <w:sz w:val="24"/>
          <w:szCs w:val="24"/>
        </w:rPr>
        <w:t xml:space="preserve"> provided the m</w:t>
      </w:r>
      <w:r w:rsidR="000443BC">
        <w:rPr>
          <w:rFonts w:ascii="Arial" w:hAnsi="Arial" w:cs="Arial"/>
          <w:sz w:val="24"/>
          <w:szCs w:val="24"/>
        </w:rPr>
        <w:t>inistry remains within its Appropriation amount (budget) and from an internal perspective also wi</w:t>
      </w:r>
      <w:r w:rsidR="00A50DF3">
        <w:rPr>
          <w:rFonts w:ascii="Arial" w:hAnsi="Arial" w:cs="Arial"/>
          <w:sz w:val="24"/>
          <w:szCs w:val="24"/>
        </w:rPr>
        <w:t>thin the parameters of its own m</w:t>
      </w:r>
      <w:r w:rsidR="000443BC">
        <w:rPr>
          <w:rFonts w:ascii="Arial" w:hAnsi="Arial" w:cs="Arial"/>
          <w:sz w:val="24"/>
          <w:szCs w:val="24"/>
        </w:rPr>
        <w:t xml:space="preserve">inisterial budget. These amounts are paid into accounts held with ordinary commercial banks </w:t>
      </w:r>
      <w:r w:rsidR="00F17B41">
        <w:rPr>
          <w:rFonts w:ascii="Arial" w:hAnsi="Arial" w:cs="Arial"/>
          <w:sz w:val="24"/>
          <w:szCs w:val="24"/>
        </w:rPr>
        <w:t>by</w:t>
      </w:r>
      <w:r w:rsidR="000443BC">
        <w:rPr>
          <w:rFonts w:ascii="Arial" w:hAnsi="Arial" w:cs="Arial"/>
          <w:sz w:val="24"/>
          <w:szCs w:val="24"/>
        </w:rPr>
        <w:t xml:space="preserve"> the Ministries </w:t>
      </w:r>
      <w:r w:rsidR="00F17B41">
        <w:rPr>
          <w:rFonts w:ascii="Arial" w:hAnsi="Arial" w:cs="Arial"/>
          <w:sz w:val="24"/>
          <w:szCs w:val="24"/>
        </w:rPr>
        <w:t>for use to cover its ordinary operational expenses.</w:t>
      </w:r>
      <w:r w:rsidR="00F17B41">
        <w:rPr>
          <w:rStyle w:val="FootnoteReference"/>
          <w:rFonts w:ascii="Arial" w:hAnsi="Arial" w:cs="Arial"/>
          <w:sz w:val="24"/>
          <w:szCs w:val="24"/>
        </w:rPr>
        <w:footnoteReference w:id="13"/>
      </w:r>
      <w:r w:rsidR="00F17B41">
        <w:rPr>
          <w:rFonts w:ascii="Arial" w:hAnsi="Arial" w:cs="Arial"/>
          <w:sz w:val="24"/>
          <w:szCs w:val="24"/>
        </w:rPr>
        <w:t xml:space="preserve"> It goes without saying that the payments </w:t>
      </w:r>
      <w:r w:rsidR="00413BCA">
        <w:rPr>
          <w:rFonts w:ascii="Arial" w:hAnsi="Arial" w:cs="Arial"/>
          <w:sz w:val="24"/>
          <w:szCs w:val="24"/>
        </w:rPr>
        <w:t>made</w:t>
      </w:r>
      <w:r w:rsidR="00F17B41">
        <w:rPr>
          <w:rFonts w:ascii="Arial" w:hAnsi="Arial" w:cs="Arial"/>
          <w:sz w:val="24"/>
          <w:szCs w:val="24"/>
        </w:rPr>
        <w:t xml:space="preserve"> from these accounts at ordinary commercial banks do not require Treasury approval. Thus, transfers of payments are made by Treasury to the Ministries over any given period in the above fashion. Whether instalment payments in respect of capital projects </w:t>
      </w:r>
      <w:r w:rsidR="00DF0943">
        <w:rPr>
          <w:rFonts w:ascii="Arial" w:hAnsi="Arial" w:cs="Arial"/>
          <w:sz w:val="24"/>
          <w:szCs w:val="24"/>
        </w:rPr>
        <w:t>are</w:t>
      </w:r>
      <w:r w:rsidR="00F17B41">
        <w:rPr>
          <w:rFonts w:ascii="Arial" w:hAnsi="Arial" w:cs="Arial"/>
          <w:sz w:val="24"/>
          <w:szCs w:val="24"/>
        </w:rPr>
        <w:t xml:space="preserve"> dealt with in this fashion or whether Treasury will pay </w:t>
      </w:r>
      <w:r w:rsidR="00DF0943">
        <w:rPr>
          <w:rFonts w:ascii="Arial" w:hAnsi="Arial" w:cs="Arial"/>
          <w:sz w:val="24"/>
          <w:szCs w:val="24"/>
        </w:rPr>
        <w:t>this directly does not appear from the record. The averment is that the money was to come from the budget of the Ministry of Education.</w:t>
      </w:r>
    </w:p>
    <w:p w:rsidR="00B93526" w:rsidRPr="00107A3E" w:rsidRDefault="00B93526" w:rsidP="00B93526">
      <w:pPr>
        <w:pStyle w:val="NoSpacing"/>
        <w:spacing w:line="480" w:lineRule="auto"/>
        <w:jc w:val="both"/>
        <w:rPr>
          <w:rFonts w:ascii="Arial" w:hAnsi="Arial" w:cs="Arial"/>
          <w:sz w:val="24"/>
          <w:szCs w:val="24"/>
        </w:rPr>
      </w:pPr>
    </w:p>
    <w:p w:rsidR="00903E47" w:rsidRDefault="00B2147E"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present matter no allegations are made as to whether the funds </w:t>
      </w:r>
      <w:r w:rsidR="00FB78C3">
        <w:rPr>
          <w:rFonts w:ascii="Arial" w:hAnsi="Arial" w:cs="Arial"/>
          <w:sz w:val="24"/>
          <w:szCs w:val="24"/>
        </w:rPr>
        <w:t>for</w:t>
      </w:r>
      <w:r>
        <w:rPr>
          <w:rFonts w:ascii="Arial" w:hAnsi="Arial" w:cs="Arial"/>
          <w:sz w:val="24"/>
          <w:szCs w:val="24"/>
        </w:rPr>
        <w:t xml:space="preserve"> the project w</w:t>
      </w:r>
      <w:r w:rsidR="00790B77">
        <w:rPr>
          <w:rFonts w:ascii="Arial" w:hAnsi="Arial" w:cs="Arial"/>
          <w:sz w:val="24"/>
          <w:szCs w:val="24"/>
        </w:rPr>
        <w:t>ere</w:t>
      </w:r>
      <w:r>
        <w:rPr>
          <w:rFonts w:ascii="Arial" w:hAnsi="Arial" w:cs="Arial"/>
          <w:sz w:val="24"/>
          <w:szCs w:val="24"/>
        </w:rPr>
        <w:t xml:space="preserve"> in the State Revenue Fund</w:t>
      </w:r>
      <w:r w:rsidR="00E573F0">
        <w:rPr>
          <w:rFonts w:ascii="Arial" w:hAnsi="Arial" w:cs="Arial"/>
          <w:sz w:val="24"/>
          <w:szCs w:val="24"/>
        </w:rPr>
        <w:t>,</w:t>
      </w:r>
      <w:r>
        <w:rPr>
          <w:rFonts w:ascii="Arial" w:hAnsi="Arial" w:cs="Arial"/>
          <w:sz w:val="24"/>
          <w:szCs w:val="24"/>
        </w:rPr>
        <w:t xml:space="preserve"> </w:t>
      </w:r>
      <w:r w:rsidR="00E573F0">
        <w:rPr>
          <w:rFonts w:ascii="Arial" w:hAnsi="Arial" w:cs="Arial"/>
          <w:sz w:val="24"/>
          <w:szCs w:val="24"/>
        </w:rPr>
        <w:t xml:space="preserve">an account of the Ministry of Education with a commercial bank </w:t>
      </w:r>
      <w:r>
        <w:rPr>
          <w:rFonts w:ascii="Arial" w:hAnsi="Arial" w:cs="Arial"/>
          <w:sz w:val="24"/>
          <w:szCs w:val="24"/>
        </w:rPr>
        <w:t>or whether it was held in an account of the Regional Authority opened for this purpose. It does seem however</w:t>
      </w:r>
      <w:r w:rsidR="00F02BCA">
        <w:rPr>
          <w:rFonts w:ascii="Arial" w:hAnsi="Arial" w:cs="Arial"/>
          <w:sz w:val="24"/>
          <w:szCs w:val="24"/>
        </w:rPr>
        <w:t>,</w:t>
      </w:r>
      <w:r>
        <w:rPr>
          <w:rFonts w:ascii="Arial" w:hAnsi="Arial" w:cs="Arial"/>
          <w:sz w:val="24"/>
          <w:szCs w:val="24"/>
        </w:rPr>
        <w:t xml:space="preserve"> that the funds still had to come from the State Revenue Fund and hence the point taken in this regard. It should be mention</w:t>
      </w:r>
      <w:r w:rsidR="00435C69">
        <w:rPr>
          <w:rFonts w:ascii="Arial" w:hAnsi="Arial" w:cs="Arial"/>
          <w:sz w:val="24"/>
          <w:szCs w:val="24"/>
        </w:rPr>
        <w:t>ed</w:t>
      </w:r>
      <w:r>
        <w:rPr>
          <w:rFonts w:ascii="Arial" w:hAnsi="Arial" w:cs="Arial"/>
          <w:sz w:val="24"/>
          <w:szCs w:val="24"/>
        </w:rPr>
        <w:t xml:space="preserve"> that it is common cause that it was for the central government to fund the project through the Ministry of Education.</w:t>
      </w:r>
    </w:p>
    <w:p w:rsidR="00903E47" w:rsidRDefault="00903E47" w:rsidP="002E6628">
      <w:pPr>
        <w:pStyle w:val="NoSpacing"/>
        <w:spacing w:line="480" w:lineRule="auto"/>
        <w:jc w:val="both"/>
        <w:rPr>
          <w:rFonts w:ascii="Arial" w:hAnsi="Arial" w:cs="Arial"/>
          <w:sz w:val="24"/>
          <w:szCs w:val="24"/>
        </w:rPr>
      </w:pPr>
    </w:p>
    <w:p w:rsidR="00903E47" w:rsidRDefault="009814AE"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9814AE">
        <w:rPr>
          <w:rFonts w:ascii="Arial" w:hAnsi="Arial" w:cs="Arial"/>
          <w:i/>
          <w:sz w:val="24"/>
          <w:szCs w:val="24"/>
        </w:rPr>
        <w:t>a quo</w:t>
      </w:r>
      <w:r>
        <w:rPr>
          <w:rFonts w:ascii="Arial" w:hAnsi="Arial" w:cs="Arial"/>
          <w:sz w:val="24"/>
          <w:szCs w:val="24"/>
        </w:rPr>
        <w:t xml:space="preserve"> reason</w:t>
      </w:r>
      <w:r w:rsidR="007C1C29">
        <w:rPr>
          <w:rFonts w:ascii="Arial" w:hAnsi="Arial" w:cs="Arial"/>
          <w:sz w:val="24"/>
          <w:szCs w:val="24"/>
        </w:rPr>
        <w:t>ed</w:t>
      </w:r>
      <w:r>
        <w:rPr>
          <w:rFonts w:ascii="Arial" w:hAnsi="Arial" w:cs="Arial"/>
          <w:sz w:val="24"/>
          <w:szCs w:val="24"/>
        </w:rPr>
        <w:t xml:space="preserve"> that </w:t>
      </w:r>
      <w:r w:rsidR="007C1C29">
        <w:rPr>
          <w:rFonts w:ascii="Arial" w:hAnsi="Arial" w:cs="Arial"/>
          <w:sz w:val="24"/>
          <w:szCs w:val="24"/>
        </w:rPr>
        <w:t>even if the funds were in the special account</w:t>
      </w:r>
      <w:r w:rsidR="00686B41">
        <w:rPr>
          <w:rFonts w:ascii="Arial" w:hAnsi="Arial" w:cs="Arial"/>
          <w:sz w:val="24"/>
          <w:szCs w:val="24"/>
        </w:rPr>
        <w:t xml:space="preserve"> of the </w:t>
      </w:r>
      <w:r w:rsidR="00E64A4B">
        <w:rPr>
          <w:rFonts w:ascii="Arial" w:hAnsi="Arial" w:cs="Arial"/>
          <w:sz w:val="24"/>
          <w:szCs w:val="24"/>
        </w:rPr>
        <w:t>r</w:t>
      </w:r>
      <w:r w:rsidR="003B52EC">
        <w:rPr>
          <w:rFonts w:ascii="Arial" w:hAnsi="Arial" w:cs="Arial"/>
          <w:sz w:val="24"/>
          <w:szCs w:val="24"/>
        </w:rPr>
        <w:t>egional council</w:t>
      </w:r>
      <w:r w:rsidR="00435C69">
        <w:rPr>
          <w:rFonts w:ascii="Arial" w:hAnsi="Arial" w:cs="Arial"/>
          <w:sz w:val="24"/>
          <w:szCs w:val="24"/>
        </w:rPr>
        <w:t>,</w:t>
      </w:r>
      <w:r w:rsidR="00686B41">
        <w:rPr>
          <w:rFonts w:ascii="Arial" w:hAnsi="Arial" w:cs="Arial"/>
          <w:sz w:val="24"/>
          <w:szCs w:val="24"/>
        </w:rPr>
        <w:t xml:space="preserve"> this w</w:t>
      </w:r>
      <w:r w:rsidR="007C1C29">
        <w:rPr>
          <w:rFonts w:ascii="Arial" w:hAnsi="Arial" w:cs="Arial"/>
          <w:sz w:val="24"/>
          <w:szCs w:val="24"/>
        </w:rPr>
        <w:t>ould not assist the appellants as there was no proof that the expenditure that would be incurred w</w:t>
      </w:r>
      <w:r w:rsidR="00435C69">
        <w:rPr>
          <w:rFonts w:ascii="Arial" w:hAnsi="Arial" w:cs="Arial"/>
          <w:sz w:val="24"/>
          <w:szCs w:val="24"/>
        </w:rPr>
        <w:t>as</w:t>
      </w:r>
      <w:r w:rsidR="007C1C29">
        <w:rPr>
          <w:rFonts w:ascii="Arial" w:hAnsi="Arial" w:cs="Arial"/>
          <w:sz w:val="24"/>
          <w:szCs w:val="24"/>
        </w:rPr>
        <w:t xml:space="preserve"> authorised by the Minist</w:t>
      </w:r>
      <w:r w:rsidR="00686B41">
        <w:rPr>
          <w:rFonts w:ascii="Arial" w:hAnsi="Arial" w:cs="Arial"/>
          <w:sz w:val="24"/>
          <w:szCs w:val="24"/>
        </w:rPr>
        <w:t>er</w:t>
      </w:r>
      <w:r w:rsidR="007C1C29">
        <w:rPr>
          <w:rFonts w:ascii="Arial" w:hAnsi="Arial" w:cs="Arial"/>
          <w:sz w:val="24"/>
          <w:szCs w:val="24"/>
        </w:rPr>
        <w:t xml:space="preserve"> of Urban and Rural Development. This issue was not raised in the review application and should </w:t>
      </w:r>
      <w:r w:rsidR="00971299">
        <w:rPr>
          <w:rFonts w:ascii="Arial" w:hAnsi="Arial" w:cs="Arial"/>
          <w:sz w:val="24"/>
          <w:szCs w:val="24"/>
        </w:rPr>
        <w:t xml:space="preserve">not have been dealt with by the court </w:t>
      </w:r>
      <w:r w:rsidR="00971299" w:rsidRPr="00971299">
        <w:rPr>
          <w:rFonts w:ascii="Arial" w:hAnsi="Arial" w:cs="Arial"/>
          <w:i/>
          <w:sz w:val="24"/>
          <w:szCs w:val="24"/>
        </w:rPr>
        <w:t>a quo</w:t>
      </w:r>
      <w:r w:rsidR="00971299">
        <w:rPr>
          <w:rFonts w:ascii="Arial" w:hAnsi="Arial" w:cs="Arial"/>
          <w:sz w:val="24"/>
          <w:szCs w:val="24"/>
        </w:rPr>
        <w:t>. I do not deal with this aspect any further save to mention that</w:t>
      </w:r>
      <w:r w:rsidR="00435C69">
        <w:rPr>
          <w:rFonts w:ascii="Arial" w:hAnsi="Arial" w:cs="Arial"/>
          <w:sz w:val="24"/>
          <w:szCs w:val="24"/>
        </w:rPr>
        <w:t>,</w:t>
      </w:r>
      <w:r w:rsidR="00971299">
        <w:rPr>
          <w:rFonts w:ascii="Arial" w:hAnsi="Arial" w:cs="Arial"/>
          <w:sz w:val="24"/>
          <w:szCs w:val="24"/>
        </w:rPr>
        <w:t xml:space="preserve"> the conclusion reached in respect of the point relating to the authority from the Treasury may have a bearing on </w:t>
      </w:r>
      <w:r w:rsidR="00686B41">
        <w:rPr>
          <w:rFonts w:ascii="Arial" w:hAnsi="Arial" w:cs="Arial"/>
          <w:sz w:val="24"/>
          <w:szCs w:val="24"/>
        </w:rPr>
        <w:t xml:space="preserve">how the </w:t>
      </w:r>
      <w:r w:rsidR="00971299">
        <w:rPr>
          <w:rFonts w:ascii="Arial" w:hAnsi="Arial" w:cs="Arial"/>
          <w:sz w:val="24"/>
          <w:szCs w:val="24"/>
        </w:rPr>
        <w:t>point relating to the lack of authority from the Minister of Urban and Rural Development should be approached once it is established such authority (where relevant) had not been forthcoming.</w:t>
      </w:r>
    </w:p>
    <w:p w:rsidR="00471055" w:rsidRDefault="00471055" w:rsidP="002E6628">
      <w:pPr>
        <w:pStyle w:val="NoSpacing"/>
        <w:spacing w:line="480" w:lineRule="auto"/>
        <w:jc w:val="both"/>
        <w:rPr>
          <w:rFonts w:ascii="Arial" w:hAnsi="Arial" w:cs="Arial"/>
          <w:sz w:val="24"/>
          <w:szCs w:val="24"/>
        </w:rPr>
      </w:pPr>
    </w:p>
    <w:p w:rsidR="00971299" w:rsidRPr="00971299" w:rsidRDefault="00971299" w:rsidP="002E6628">
      <w:pPr>
        <w:pStyle w:val="NoSpacing"/>
        <w:spacing w:line="480" w:lineRule="auto"/>
        <w:jc w:val="both"/>
        <w:rPr>
          <w:rFonts w:ascii="Arial" w:hAnsi="Arial" w:cs="Arial"/>
          <w:sz w:val="24"/>
          <w:szCs w:val="24"/>
          <w:u w:val="single"/>
        </w:rPr>
      </w:pPr>
      <w:r w:rsidRPr="003C0310">
        <w:rPr>
          <w:rFonts w:ascii="Arial" w:hAnsi="Arial" w:cs="Arial"/>
          <w:sz w:val="24"/>
          <w:szCs w:val="24"/>
        </w:rPr>
        <w:t>D.</w:t>
      </w:r>
      <w:r w:rsidRPr="003C0310">
        <w:rPr>
          <w:rFonts w:ascii="Arial" w:hAnsi="Arial" w:cs="Arial"/>
          <w:sz w:val="24"/>
          <w:szCs w:val="24"/>
        </w:rPr>
        <w:tab/>
      </w:r>
      <w:r w:rsidRPr="00971299">
        <w:rPr>
          <w:rFonts w:ascii="Arial" w:hAnsi="Arial" w:cs="Arial"/>
          <w:sz w:val="24"/>
          <w:szCs w:val="24"/>
          <w:u w:val="single"/>
        </w:rPr>
        <w:t>Further relevant background facts</w:t>
      </w:r>
    </w:p>
    <w:p w:rsidR="00903E47" w:rsidRDefault="00E353DB"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already mentioned the Ministry of Works and Transport informed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on 12 July 2016 that she would be employed in respect of the project which had been decentralised. However, on 12 September 2016 the Ministry of Finance (with</w:t>
      </w:r>
      <w:r w:rsidR="00686B41">
        <w:rPr>
          <w:rFonts w:ascii="Arial" w:hAnsi="Arial" w:cs="Arial"/>
          <w:sz w:val="24"/>
          <w:szCs w:val="24"/>
        </w:rPr>
        <w:t>in</w:t>
      </w:r>
      <w:r w:rsidR="00662DFD">
        <w:rPr>
          <w:rFonts w:ascii="Arial" w:hAnsi="Arial" w:cs="Arial"/>
          <w:sz w:val="24"/>
          <w:szCs w:val="24"/>
        </w:rPr>
        <w:t xml:space="preserve"> which m</w:t>
      </w:r>
      <w:r>
        <w:rPr>
          <w:rFonts w:ascii="Arial" w:hAnsi="Arial" w:cs="Arial"/>
          <w:sz w:val="24"/>
          <w:szCs w:val="24"/>
        </w:rPr>
        <w:t>inistry the Treasury is housed) per letter to the chair</w:t>
      </w:r>
      <w:r w:rsidR="00AC3CE3">
        <w:rPr>
          <w:rFonts w:ascii="Arial" w:hAnsi="Arial" w:cs="Arial"/>
          <w:sz w:val="24"/>
          <w:szCs w:val="24"/>
        </w:rPr>
        <w:t>person</w:t>
      </w:r>
      <w:r>
        <w:rPr>
          <w:rFonts w:ascii="Arial" w:hAnsi="Arial" w:cs="Arial"/>
          <w:sz w:val="24"/>
          <w:szCs w:val="24"/>
        </w:rPr>
        <w:t xml:space="preserve"> of the Tender Board of Namibia directed that ‘no tender award should be made’ until such time as budget review had taken place relating to reprioritising capital projects. In this letter</w:t>
      </w:r>
      <w:r w:rsidR="00435C69">
        <w:rPr>
          <w:rFonts w:ascii="Arial" w:hAnsi="Arial" w:cs="Arial"/>
          <w:sz w:val="24"/>
          <w:szCs w:val="24"/>
        </w:rPr>
        <w:t>,</w:t>
      </w:r>
      <w:r>
        <w:rPr>
          <w:rFonts w:ascii="Arial" w:hAnsi="Arial" w:cs="Arial"/>
          <w:sz w:val="24"/>
          <w:szCs w:val="24"/>
        </w:rPr>
        <w:t xml:space="preserve"> Accounting Officers (of which the deponent to the respondents’</w:t>
      </w:r>
      <w:r w:rsidR="002B1CD6">
        <w:rPr>
          <w:rFonts w:ascii="Arial" w:hAnsi="Arial" w:cs="Arial"/>
          <w:sz w:val="24"/>
          <w:szCs w:val="24"/>
        </w:rPr>
        <w:t xml:space="preserve"> affidavit was one) </w:t>
      </w:r>
      <w:r w:rsidR="00790B77">
        <w:rPr>
          <w:rFonts w:ascii="Arial" w:hAnsi="Arial" w:cs="Arial"/>
          <w:sz w:val="24"/>
          <w:szCs w:val="24"/>
        </w:rPr>
        <w:t>were</w:t>
      </w:r>
      <w:r>
        <w:rPr>
          <w:rFonts w:ascii="Arial" w:hAnsi="Arial" w:cs="Arial"/>
          <w:sz w:val="24"/>
          <w:szCs w:val="24"/>
        </w:rPr>
        <w:t xml:space="preserve"> informed that the directive also applie</w:t>
      </w:r>
      <w:r w:rsidR="00686B41">
        <w:rPr>
          <w:rFonts w:ascii="Arial" w:hAnsi="Arial" w:cs="Arial"/>
          <w:sz w:val="24"/>
          <w:szCs w:val="24"/>
        </w:rPr>
        <w:t>d</w:t>
      </w:r>
      <w:r>
        <w:rPr>
          <w:rFonts w:ascii="Arial" w:hAnsi="Arial" w:cs="Arial"/>
          <w:sz w:val="24"/>
          <w:szCs w:val="24"/>
        </w:rPr>
        <w:t xml:space="preserve"> to ‘capital projects that are funded under the national budget’ but whose execution fal</w:t>
      </w:r>
      <w:r w:rsidR="002B1CD6">
        <w:rPr>
          <w:rFonts w:ascii="Arial" w:hAnsi="Arial" w:cs="Arial"/>
          <w:sz w:val="24"/>
          <w:szCs w:val="24"/>
        </w:rPr>
        <w:t>l under other authorities. According to the accounting officer</w:t>
      </w:r>
      <w:r w:rsidR="00435C69">
        <w:rPr>
          <w:rFonts w:ascii="Arial" w:hAnsi="Arial" w:cs="Arial"/>
          <w:sz w:val="24"/>
          <w:szCs w:val="24"/>
        </w:rPr>
        <w:t>,</w:t>
      </w:r>
      <w:r w:rsidR="002B1CD6">
        <w:rPr>
          <w:rFonts w:ascii="Arial" w:hAnsi="Arial" w:cs="Arial"/>
          <w:sz w:val="24"/>
          <w:szCs w:val="24"/>
        </w:rPr>
        <w:t xml:space="preserve"> this directive was brought to the attention of the </w:t>
      </w:r>
      <w:r w:rsidR="00E64A4B">
        <w:rPr>
          <w:rFonts w:ascii="Arial" w:hAnsi="Arial" w:cs="Arial"/>
          <w:sz w:val="24"/>
          <w:szCs w:val="24"/>
        </w:rPr>
        <w:t>r</w:t>
      </w:r>
      <w:r w:rsidR="003B52EC">
        <w:rPr>
          <w:rFonts w:ascii="Arial" w:hAnsi="Arial" w:cs="Arial"/>
          <w:sz w:val="24"/>
          <w:szCs w:val="24"/>
        </w:rPr>
        <w:t>egional council</w:t>
      </w:r>
      <w:r w:rsidR="002B1CD6">
        <w:rPr>
          <w:rFonts w:ascii="Arial" w:hAnsi="Arial" w:cs="Arial"/>
          <w:sz w:val="24"/>
          <w:szCs w:val="24"/>
        </w:rPr>
        <w:t>. This directive was referred to by the parties as a moratorium on the award of tenders.</w:t>
      </w:r>
    </w:p>
    <w:p w:rsidR="00903E47" w:rsidRDefault="00903E47" w:rsidP="002E6628">
      <w:pPr>
        <w:pStyle w:val="NoSpacing"/>
        <w:spacing w:line="480" w:lineRule="auto"/>
        <w:jc w:val="both"/>
        <w:rPr>
          <w:rFonts w:ascii="Arial" w:hAnsi="Arial" w:cs="Arial"/>
          <w:sz w:val="24"/>
          <w:szCs w:val="24"/>
        </w:rPr>
      </w:pPr>
    </w:p>
    <w:p w:rsidR="00903E47" w:rsidRDefault="002B1CD6"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On 30 September 2016 the Ministry of Works and Transport sent out a circular to all its consultants (which included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to inform them of the moratorium and pointing out among</w:t>
      </w:r>
      <w:r w:rsidR="00532692">
        <w:rPr>
          <w:rFonts w:ascii="Arial" w:hAnsi="Arial" w:cs="Arial"/>
          <w:sz w:val="24"/>
          <w:szCs w:val="24"/>
        </w:rPr>
        <w:t>st</w:t>
      </w:r>
      <w:r>
        <w:rPr>
          <w:rFonts w:ascii="Arial" w:hAnsi="Arial" w:cs="Arial"/>
          <w:sz w:val="24"/>
          <w:szCs w:val="24"/>
        </w:rPr>
        <w:t xml:space="preserve"> others that during the moratorium ‘there will be no awarding of tenders on new projects’.</w:t>
      </w:r>
    </w:p>
    <w:p w:rsidR="00903E47" w:rsidRDefault="00903E47" w:rsidP="002E6628">
      <w:pPr>
        <w:pStyle w:val="NoSpacing"/>
        <w:spacing w:line="480" w:lineRule="auto"/>
        <w:jc w:val="both"/>
        <w:rPr>
          <w:rFonts w:ascii="Arial" w:hAnsi="Arial" w:cs="Arial"/>
          <w:sz w:val="24"/>
          <w:szCs w:val="24"/>
        </w:rPr>
      </w:pPr>
    </w:p>
    <w:p w:rsidR="00903E47" w:rsidRDefault="002B1CD6"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evident that the </w:t>
      </w:r>
      <w:r w:rsidR="00A22BA1">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xml:space="preserve">, the </w:t>
      </w:r>
      <w:r w:rsidR="00790B77">
        <w:rPr>
          <w:rFonts w:ascii="Arial" w:hAnsi="Arial" w:cs="Arial"/>
          <w:sz w:val="24"/>
          <w:szCs w:val="24"/>
        </w:rPr>
        <w:t>Regional T</w:t>
      </w:r>
      <w:r>
        <w:rPr>
          <w:rFonts w:ascii="Arial" w:hAnsi="Arial" w:cs="Arial"/>
          <w:sz w:val="24"/>
          <w:szCs w:val="24"/>
        </w:rPr>
        <w:t xml:space="preserve">ender Board and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simply ignored the directive. Thus, the </w:t>
      </w:r>
      <w:r w:rsidR="00A22BA1">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xml:space="preserve"> advertised the tender after the directive was issued, namely on </w:t>
      </w:r>
      <w:r w:rsidR="00471055">
        <w:rPr>
          <w:rFonts w:ascii="Arial" w:hAnsi="Arial" w:cs="Arial"/>
          <w:sz w:val="24"/>
          <w:szCs w:val="24"/>
        </w:rPr>
        <w:t>12</w:t>
      </w:r>
      <w:r>
        <w:rPr>
          <w:rFonts w:ascii="Arial" w:hAnsi="Arial" w:cs="Arial"/>
          <w:sz w:val="24"/>
          <w:szCs w:val="24"/>
        </w:rPr>
        <w:t xml:space="preserve"> September 2016. The advertisements were not withdrawn nor were any steps taken </w:t>
      </w:r>
      <w:r w:rsidR="00401F3C">
        <w:rPr>
          <w:rFonts w:ascii="Arial" w:hAnsi="Arial" w:cs="Arial"/>
          <w:sz w:val="24"/>
          <w:szCs w:val="24"/>
        </w:rPr>
        <w:t xml:space="preserve">to withdraw the advertisements or to notify the bidders prior to the closing date for the bids, ie 20 October 2016. On the contrary the </w:t>
      </w:r>
      <w:r w:rsidR="00790B77">
        <w:rPr>
          <w:rFonts w:ascii="Arial" w:hAnsi="Arial" w:cs="Arial"/>
          <w:sz w:val="24"/>
          <w:szCs w:val="24"/>
        </w:rPr>
        <w:t xml:space="preserve">Regional </w:t>
      </w:r>
      <w:r w:rsidR="00401F3C">
        <w:rPr>
          <w:rFonts w:ascii="Arial" w:hAnsi="Arial" w:cs="Arial"/>
          <w:sz w:val="24"/>
          <w:szCs w:val="24"/>
        </w:rPr>
        <w:t>Tender Board considered the bids and made an award on 7 December 2016.</w:t>
      </w:r>
    </w:p>
    <w:p w:rsidR="00B77D8F" w:rsidRDefault="00B77D8F" w:rsidP="00B77D8F">
      <w:pPr>
        <w:pStyle w:val="NoSpacing"/>
        <w:spacing w:line="480" w:lineRule="auto"/>
        <w:jc w:val="both"/>
        <w:rPr>
          <w:rFonts w:ascii="Arial" w:hAnsi="Arial" w:cs="Arial"/>
          <w:sz w:val="24"/>
          <w:szCs w:val="24"/>
        </w:rPr>
      </w:pPr>
    </w:p>
    <w:p w:rsidR="00FB7298" w:rsidRDefault="00401F3C"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covering email of 8 December 2016 to which the letter of the </w:t>
      </w:r>
      <w:r w:rsidR="00686B41">
        <w:rPr>
          <w:rFonts w:ascii="Arial" w:hAnsi="Arial" w:cs="Arial"/>
          <w:sz w:val="24"/>
          <w:szCs w:val="24"/>
        </w:rPr>
        <w:t xml:space="preserve">conditional </w:t>
      </w:r>
      <w:r w:rsidR="009238B1">
        <w:rPr>
          <w:rFonts w:ascii="Arial" w:hAnsi="Arial" w:cs="Arial"/>
          <w:sz w:val="24"/>
          <w:szCs w:val="24"/>
        </w:rPr>
        <w:t>appointment of the joint v</w:t>
      </w:r>
      <w:r>
        <w:rPr>
          <w:rFonts w:ascii="Arial" w:hAnsi="Arial" w:cs="Arial"/>
          <w:sz w:val="24"/>
          <w:szCs w:val="24"/>
        </w:rPr>
        <w:t>enture was attached also raise</w:t>
      </w:r>
      <w:r w:rsidR="00686B41">
        <w:rPr>
          <w:rFonts w:ascii="Arial" w:hAnsi="Arial" w:cs="Arial"/>
          <w:sz w:val="24"/>
          <w:szCs w:val="24"/>
        </w:rPr>
        <w:t xml:space="preserve">d the matter of the </w:t>
      </w:r>
      <w:r>
        <w:rPr>
          <w:rFonts w:ascii="Arial" w:hAnsi="Arial" w:cs="Arial"/>
          <w:sz w:val="24"/>
          <w:szCs w:val="24"/>
        </w:rPr>
        <w:t xml:space="preserve">guarantee stipulated in the letter. The </w:t>
      </w:r>
      <w:r w:rsidR="00D630AB">
        <w:rPr>
          <w:rFonts w:ascii="Arial" w:hAnsi="Arial" w:cs="Arial"/>
          <w:sz w:val="24"/>
          <w:szCs w:val="24"/>
        </w:rPr>
        <w:t>a</w:t>
      </w:r>
      <w:r w:rsidR="003B52EC">
        <w:rPr>
          <w:rFonts w:ascii="Arial" w:hAnsi="Arial" w:cs="Arial"/>
          <w:sz w:val="24"/>
          <w:szCs w:val="24"/>
        </w:rPr>
        <w:t>rchitect</w:t>
      </w:r>
      <w:r w:rsidR="009238B1">
        <w:rPr>
          <w:rFonts w:ascii="Arial" w:hAnsi="Arial" w:cs="Arial"/>
          <w:sz w:val="24"/>
          <w:szCs w:val="24"/>
        </w:rPr>
        <w:t xml:space="preserve"> enquired whether the joint v</w:t>
      </w:r>
      <w:r>
        <w:rPr>
          <w:rFonts w:ascii="Arial" w:hAnsi="Arial" w:cs="Arial"/>
          <w:sz w:val="24"/>
          <w:szCs w:val="24"/>
        </w:rPr>
        <w:t xml:space="preserve">enture would be able to provide the guarantee within the </w:t>
      </w:r>
      <w:r w:rsidR="009238B1">
        <w:rPr>
          <w:rFonts w:ascii="Arial" w:hAnsi="Arial" w:cs="Arial"/>
          <w:sz w:val="24"/>
          <w:szCs w:val="24"/>
        </w:rPr>
        <w:t>next week. She inform</w:t>
      </w:r>
      <w:r w:rsidR="006B585B">
        <w:rPr>
          <w:rFonts w:ascii="Arial" w:hAnsi="Arial" w:cs="Arial"/>
          <w:sz w:val="24"/>
          <w:szCs w:val="24"/>
        </w:rPr>
        <w:t>ed</w:t>
      </w:r>
      <w:r w:rsidR="009238B1">
        <w:rPr>
          <w:rFonts w:ascii="Arial" w:hAnsi="Arial" w:cs="Arial"/>
          <w:sz w:val="24"/>
          <w:szCs w:val="24"/>
        </w:rPr>
        <w:t xml:space="preserve"> the joint v</w:t>
      </w:r>
      <w:r w:rsidR="00B65264">
        <w:rPr>
          <w:rFonts w:ascii="Arial" w:hAnsi="Arial" w:cs="Arial"/>
          <w:sz w:val="24"/>
          <w:szCs w:val="24"/>
        </w:rPr>
        <w:t>enture that her office would close on Tuesday 15 December 2016. On that dat</w:t>
      </w:r>
      <w:r w:rsidR="009238B1">
        <w:rPr>
          <w:rFonts w:ascii="Arial" w:hAnsi="Arial" w:cs="Arial"/>
          <w:sz w:val="24"/>
          <w:szCs w:val="24"/>
        </w:rPr>
        <w:t>e namely, 15 December 2016 the joint v</w:t>
      </w:r>
      <w:r w:rsidR="00B65264">
        <w:rPr>
          <w:rFonts w:ascii="Arial" w:hAnsi="Arial" w:cs="Arial"/>
          <w:sz w:val="24"/>
          <w:szCs w:val="24"/>
        </w:rPr>
        <w:t xml:space="preserve">enture informed the </w:t>
      </w:r>
      <w:r w:rsidR="00D630AB">
        <w:rPr>
          <w:rFonts w:ascii="Arial" w:hAnsi="Arial" w:cs="Arial"/>
          <w:sz w:val="24"/>
          <w:szCs w:val="24"/>
        </w:rPr>
        <w:t>a</w:t>
      </w:r>
      <w:r w:rsidR="003B52EC">
        <w:rPr>
          <w:rFonts w:ascii="Arial" w:hAnsi="Arial" w:cs="Arial"/>
          <w:sz w:val="24"/>
          <w:szCs w:val="24"/>
        </w:rPr>
        <w:t>rchitect</w:t>
      </w:r>
      <w:r w:rsidR="00B65264">
        <w:rPr>
          <w:rFonts w:ascii="Arial" w:hAnsi="Arial" w:cs="Arial"/>
          <w:sz w:val="24"/>
          <w:szCs w:val="24"/>
        </w:rPr>
        <w:t xml:space="preserve"> that the performance guarantee would only be provided by 12 January 2017. On 10 January 2017 further infor</w:t>
      </w:r>
      <w:r w:rsidR="00F02BCA">
        <w:rPr>
          <w:rFonts w:ascii="Arial" w:hAnsi="Arial" w:cs="Arial"/>
          <w:sz w:val="24"/>
          <w:szCs w:val="24"/>
        </w:rPr>
        <w:t>mation relevant to the project wa</w:t>
      </w:r>
      <w:r w:rsidR="009238B1">
        <w:rPr>
          <w:rFonts w:ascii="Arial" w:hAnsi="Arial" w:cs="Arial"/>
          <w:sz w:val="24"/>
          <w:szCs w:val="24"/>
        </w:rPr>
        <w:t>s requested by the j</w:t>
      </w:r>
      <w:r w:rsidR="00B65264">
        <w:rPr>
          <w:rFonts w:ascii="Arial" w:hAnsi="Arial" w:cs="Arial"/>
          <w:sz w:val="24"/>
          <w:szCs w:val="24"/>
        </w:rPr>
        <w:t>oi</w:t>
      </w:r>
      <w:r w:rsidR="009238B1">
        <w:rPr>
          <w:rFonts w:ascii="Arial" w:hAnsi="Arial" w:cs="Arial"/>
          <w:sz w:val="24"/>
          <w:szCs w:val="24"/>
        </w:rPr>
        <w:t>nt v</w:t>
      </w:r>
      <w:r w:rsidR="00B65264">
        <w:rPr>
          <w:rFonts w:ascii="Arial" w:hAnsi="Arial" w:cs="Arial"/>
          <w:sz w:val="24"/>
          <w:szCs w:val="24"/>
        </w:rPr>
        <w:t xml:space="preserve">enture from the </w:t>
      </w:r>
      <w:r w:rsidR="00D630AB">
        <w:rPr>
          <w:rFonts w:ascii="Arial" w:hAnsi="Arial" w:cs="Arial"/>
          <w:sz w:val="24"/>
          <w:szCs w:val="24"/>
        </w:rPr>
        <w:t>a</w:t>
      </w:r>
      <w:r w:rsidR="003B52EC">
        <w:rPr>
          <w:rFonts w:ascii="Arial" w:hAnsi="Arial" w:cs="Arial"/>
          <w:sz w:val="24"/>
          <w:szCs w:val="24"/>
        </w:rPr>
        <w:t>rchitect</w:t>
      </w:r>
      <w:r w:rsidR="00B65264">
        <w:rPr>
          <w:rFonts w:ascii="Arial" w:hAnsi="Arial" w:cs="Arial"/>
          <w:sz w:val="24"/>
          <w:szCs w:val="24"/>
        </w:rPr>
        <w:t xml:space="preserve"> who respond</w:t>
      </w:r>
      <w:r w:rsidR="00F02BCA">
        <w:rPr>
          <w:rFonts w:ascii="Arial" w:hAnsi="Arial" w:cs="Arial"/>
          <w:sz w:val="24"/>
          <w:szCs w:val="24"/>
        </w:rPr>
        <w:t>ed</w:t>
      </w:r>
      <w:r w:rsidR="00B65264">
        <w:rPr>
          <w:rFonts w:ascii="Arial" w:hAnsi="Arial" w:cs="Arial"/>
          <w:sz w:val="24"/>
          <w:szCs w:val="24"/>
        </w:rPr>
        <w:t xml:space="preserve"> with information on the same day.</w:t>
      </w:r>
    </w:p>
    <w:p w:rsidR="00686B41" w:rsidRDefault="00686B41" w:rsidP="00686B41">
      <w:pPr>
        <w:pStyle w:val="NoSpacing"/>
        <w:spacing w:line="480" w:lineRule="auto"/>
        <w:jc w:val="both"/>
        <w:rPr>
          <w:rFonts w:ascii="Arial" w:hAnsi="Arial" w:cs="Arial"/>
          <w:sz w:val="24"/>
          <w:szCs w:val="24"/>
        </w:rPr>
      </w:pPr>
    </w:p>
    <w:p w:rsidR="00FB7298" w:rsidRDefault="00CF6671"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On 23 January </w:t>
      </w:r>
      <w:r w:rsidR="00981613">
        <w:rPr>
          <w:rFonts w:ascii="Arial" w:hAnsi="Arial" w:cs="Arial"/>
          <w:sz w:val="24"/>
          <w:szCs w:val="24"/>
        </w:rPr>
        <w:t>2017</w:t>
      </w:r>
      <w:r w:rsidR="00790B77">
        <w:rPr>
          <w:rFonts w:ascii="Arial" w:hAnsi="Arial" w:cs="Arial"/>
          <w:sz w:val="24"/>
          <w:szCs w:val="24"/>
        </w:rPr>
        <w:t>,</w:t>
      </w:r>
      <w:r w:rsidR="00981613">
        <w:rPr>
          <w:rFonts w:ascii="Arial" w:hAnsi="Arial" w:cs="Arial"/>
          <w:sz w:val="24"/>
          <w:szCs w:val="24"/>
        </w:rPr>
        <w:t xml:space="preserve"> </w:t>
      </w:r>
      <w:r w:rsidR="005108CE">
        <w:rPr>
          <w:rFonts w:ascii="Arial" w:hAnsi="Arial" w:cs="Arial"/>
          <w:sz w:val="24"/>
          <w:szCs w:val="24"/>
        </w:rPr>
        <w:t>the quantity s</w:t>
      </w:r>
      <w:r>
        <w:rPr>
          <w:rFonts w:ascii="Arial" w:hAnsi="Arial" w:cs="Arial"/>
          <w:sz w:val="24"/>
          <w:szCs w:val="24"/>
        </w:rPr>
        <w:t>urveyor on the project indicate</w:t>
      </w:r>
      <w:r w:rsidR="00F02BCA">
        <w:rPr>
          <w:rFonts w:ascii="Arial" w:hAnsi="Arial" w:cs="Arial"/>
          <w:sz w:val="24"/>
          <w:szCs w:val="24"/>
        </w:rPr>
        <w:t>d</w:t>
      </w:r>
      <w:r w:rsidR="009238B1">
        <w:rPr>
          <w:rFonts w:ascii="Arial" w:hAnsi="Arial" w:cs="Arial"/>
          <w:sz w:val="24"/>
          <w:szCs w:val="24"/>
        </w:rPr>
        <w:t xml:space="preserve"> to the joint v</w:t>
      </w:r>
      <w:r>
        <w:rPr>
          <w:rFonts w:ascii="Arial" w:hAnsi="Arial" w:cs="Arial"/>
          <w:sz w:val="24"/>
          <w:szCs w:val="24"/>
        </w:rPr>
        <w:t xml:space="preserve">enture and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that a performance guarantee was needed ‘before the project goes to site’. On 26 January </w:t>
      </w:r>
      <w:r w:rsidRPr="00981613">
        <w:rPr>
          <w:rFonts w:ascii="Arial" w:hAnsi="Arial" w:cs="Arial"/>
          <w:sz w:val="24"/>
          <w:szCs w:val="24"/>
        </w:rPr>
        <w:t>201</w:t>
      </w:r>
      <w:r w:rsidR="00981613" w:rsidRPr="00981613">
        <w:rPr>
          <w:rFonts w:ascii="Arial" w:hAnsi="Arial" w:cs="Arial"/>
          <w:sz w:val="24"/>
          <w:szCs w:val="24"/>
        </w:rPr>
        <w:t>7</w:t>
      </w:r>
      <w:r>
        <w:rPr>
          <w:rFonts w:ascii="Arial" w:hAnsi="Arial" w:cs="Arial"/>
          <w:sz w:val="24"/>
          <w:szCs w:val="24"/>
        </w:rPr>
        <w:t xml:space="preserve"> </w:t>
      </w:r>
      <w:r w:rsidR="00413BCA">
        <w:rPr>
          <w:rFonts w:ascii="Arial" w:hAnsi="Arial" w:cs="Arial"/>
          <w:sz w:val="24"/>
          <w:szCs w:val="24"/>
        </w:rPr>
        <w:t xml:space="preserve">the </w:t>
      </w:r>
      <w:r w:rsidR="009238B1">
        <w:rPr>
          <w:rFonts w:ascii="Arial" w:hAnsi="Arial" w:cs="Arial"/>
          <w:sz w:val="24"/>
          <w:szCs w:val="24"/>
        </w:rPr>
        <w:t>joint v</w:t>
      </w:r>
      <w:r>
        <w:rPr>
          <w:rFonts w:ascii="Arial" w:hAnsi="Arial" w:cs="Arial"/>
          <w:sz w:val="24"/>
          <w:szCs w:val="24"/>
        </w:rPr>
        <w:t>enture forward</w:t>
      </w:r>
      <w:r w:rsidR="00413BCA">
        <w:rPr>
          <w:rFonts w:ascii="Arial" w:hAnsi="Arial" w:cs="Arial"/>
          <w:sz w:val="24"/>
          <w:szCs w:val="24"/>
        </w:rPr>
        <w:t>ed</w:t>
      </w:r>
      <w:r>
        <w:rPr>
          <w:rFonts w:ascii="Arial" w:hAnsi="Arial" w:cs="Arial"/>
          <w:sz w:val="24"/>
          <w:szCs w:val="24"/>
        </w:rPr>
        <w:t xml:space="preserve"> a draft performance guarantee for </w:t>
      </w:r>
      <w:r w:rsidR="00532692">
        <w:rPr>
          <w:rFonts w:ascii="Arial" w:hAnsi="Arial" w:cs="Arial"/>
          <w:sz w:val="24"/>
          <w:szCs w:val="24"/>
        </w:rPr>
        <w:t xml:space="preserve">scrutiny and input from, amongst others, the </w:t>
      </w:r>
      <w:r w:rsidR="00D630AB">
        <w:rPr>
          <w:rFonts w:ascii="Arial" w:hAnsi="Arial" w:cs="Arial"/>
          <w:sz w:val="24"/>
          <w:szCs w:val="24"/>
        </w:rPr>
        <w:t>a</w:t>
      </w:r>
      <w:r w:rsidR="003B52EC">
        <w:rPr>
          <w:rFonts w:ascii="Arial" w:hAnsi="Arial" w:cs="Arial"/>
          <w:sz w:val="24"/>
          <w:szCs w:val="24"/>
        </w:rPr>
        <w:t>rchitect</w:t>
      </w:r>
      <w:r w:rsidR="00532692">
        <w:rPr>
          <w:rFonts w:ascii="Arial" w:hAnsi="Arial" w:cs="Arial"/>
          <w:sz w:val="24"/>
          <w:szCs w:val="24"/>
        </w:rPr>
        <w:t>. On the same day</w:t>
      </w:r>
      <w:r w:rsidR="00435C69">
        <w:rPr>
          <w:rFonts w:ascii="Arial" w:hAnsi="Arial" w:cs="Arial"/>
          <w:sz w:val="24"/>
          <w:szCs w:val="24"/>
        </w:rPr>
        <w:t>,</w:t>
      </w:r>
      <w:r w:rsidR="00532692">
        <w:rPr>
          <w:rFonts w:ascii="Arial" w:hAnsi="Arial" w:cs="Arial"/>
          <w:sz w:val="24"/>
          <w:szCs w:val="24"/>
        </w:rPr>
        <w:t xml:space="preserve"> the </w:t>
      </w:r>
      <w:r w:rsidR="00D630AB">
        <w:rPr>
          <w:rFonts w:ascii="Arial" w:hAnsi="Arial" w:cs="Arial"/>
          <w:sz w:val="24"/>
          <w:szCs w:val="24"/>
        </w:rPr>
        <w:t>a</w:t>
      </w:r>
      <w:r w:rsidR="003B52EC">
        <w:rPr>
          <w:rFonts w:ascii="Arial" w:hAnsi="Arial" w:cs="Arial"/>
          <w:sz w:val="24"/>
          <w:szCs w:val="24"/>
        </w:rPr>
        <w:t>rchitect</w:t>
      </w:r>
      <w:r w:rsidR="00532692">
        <w:rPr>
          <w:rFonts w:ascii="Arial" w:hAnsi="Arial" w:cs="Arial"/>
          <w:sz w:val="24"/>
          <w:szCs w:val="24"/>
        </w:rPr>
        <w:t xml:space="preserve"> responded with certain comments and recommendations. The </w:t>
      </w:r>
      <w:r w:rsidR="00D630AB">
        <w:rPr>
          <w:rFonts w:ascii="Arial" w:hAnsi="Arial" w:cs="Arial"/>
          <w:sz w:val="24"/>
          <w:szCs w:val="24"/>
        </w:rPr>
        <w:t>a</w:t>
      </w:r>
      <w:r w:rsidR="003B52EC">
        <w:rPr>
          <w:rFonts w:ascii="Arial" w:hAnsi="Arial" w:cs="Arial"/>
          <w:sz w:val="24"/>
          <w:szCs w:val="24"/>
        </w:rPr>
        <w:t>rchitect</w:t>
      </w:r>
      <w:r w:rsidR="00532692">
        <w:rPr>
          <w:rFonts w:ascii="Arial" w:hAnsi="Arial" w:cs="Arial"/>
          <w:sz w:val="24"/>
          <w:szCs w:val="24"/>
        </w:rPr>
        <w:t xml:space="preserve"> then state</w:t>
      </w:r>
      <w:r w:rsidR="00435C69">
        <w:rPr>
          <w:rFonts w:ascii="Arial" w:hAnsi="Arial" w:cs="Arial"/>
          <w:sz w:val="24"/>
          <w:szCs w:val="24"/>
        </w:rPr>
        <w:t>d</w:t>
      </w:r>
      <w:r w:rsidR="00532692">
        <w:rPr>
          <w:rFonts w:ascii="Arial" w:hAnsi="Arial" w:cs="Arial"/>
          <w:sz w:val="24"/>
          <w:szCs w:val="24"/>
        </w:rPr>
        <w:t xml:space="preserve"> that the guarantee should be amended ‘per our recommendation, and </w:t>
      </w:r>
      <w:r w:rsidR="000F3BC9">
        <w:rPr>
          <w:rFonts w:ascii="Arial" w:hAnsi="Arial" w:cs="Arial"/>
          <w:sz w:val="24"/>
          <w:szCs w:val="24"/>
        </w:rPr>
        <w:t>submitted</w:t>
      </w:r>
      <w:r w:rsidR="00532692">
        <w:rPr>
          <w:rFonts w:ascii="Arial" w:hAnsi="Arial" w:cs="Arial"/>
          <w:sz w:val="24"/>
          <w:szCs w:val="24"/>
        </w:rPr>
        <w:t xml:space="preserve"> to us at the earliest opportunity’.</w:t>
      </w:r>
      <w:r w:rsidR="00686B41">
        <w:rPr>
          <w:rFonts w:ascii="Arial" w:hAnsi="Arial" w:cs="Arial"/>
          <w:sz w:val="24"/>
          <w:szCs w:val="24"/>
        </w:rPr>
        <w:t xml:space="preserve"> The</w:t>
      </w:r>
      <w:r w:rsidR="005108CE">
        <w:rPr>
          <w:rFonts w:ascii="Arial" w:hAnsi="Arial" w:cs="Arial"/>
          <w:sz w:val="24"/>
          <w:szCs w:val="24"/>
        </w:rPr>
        <w:t xml:space="preserve"> quantity s</w:t>
      </w:r>
      <w:r w:rsidR="00A8656E">
        <w:rPr>
          <w:rFonts w:ascii="Arial" w:hAnsi="Arial" w:cs="Arial"/>
          <w:sz w:val="24"/>
          <w:szCs w:val="24"/>
        </w:rPr>
        <w:t>urveyor in an email (copie</w:t>
      </w:r>
      <w:r w:rsidR="00686B41">
        <w:rPr>
          <w:rFonts w:ascii="Arial" w:hAnsi="Arial" w:cs="Arial"/>
          <w:sz w:val="24"/>
          <w:szCs w:val="24"/>
        </w:rPr>
        <w:t>d</w:t>
      </w:r>
      <w:r w:rsidR="00A8656E">
        <w:rPr>
          <w:rFonts w:ascii="Arial" w:hAnsi="Arial" w:cs="Arial"/>
          <w:sz w:val="24"/>
          <w:szCs w:val="24"/>
        </w:rPr>
        <w:t xml:space="preserve"> to the </w:t>
      </w:r>
      <w:r w:rsidR="00D630AB">
        <w:rPr>
          <w:rFonts w:ascii="Arial" w:hAnsi="Arial" w:cs="Arial"/>
          <w:sz w:val="24"/>
          <w:szCs w:val="24"/>
        </w:rPr>
        <w:t>a</w:t>
      </w:r>
      <w:r w:rsidR="003B52EC">
        <w:rPr>
          <w:rFonts w:ascii="Arial" w:hAnsi="Arial" w:cs="Arial"/>
          <w:sz w:val="24"/>
          <w:szCs w:val="24"/>
        </w:rPr>
        <w:t>rchitect</w:t>
      </w:r>
      <w:r w:rsidR="00A8656E">
        <w:rPr>
          <w:rFonts w:ascii="Arial" w:hAnsi="Arial" w:cs="Arial"/>
          <w:sz w:val="24"/>
          <w:szCs w:val="24"/>
        </w:rPr>
        <w:t xml:space="preserve">) </w:t>
      </w:r>
      <w:r w:rsidR="00981613">
        <w:rPr>
          <w:rFonts w:ascii="Arial" w:hAnsi="Arial" w:cs="Arial"/>
          <w:sz w:val="24"/>
          <w:szCs w:val="24"/>
        </w:rPr>
        <w:t xml:space="preserve">on 27 January 2017 </w:t>
      </w:r>
      <w:r w:rsidR="00686B41">
        <w:rPr>
          <w:rFonts w:ascii="Arial" w:hAnsi="Arial" w:cs="Arial"/>
          <w:sz w:val="24"/>
          <w:szCs w:val="24"/>
        </w:rPr>
        <w:t>state</w:t>
      </w:r>
      <w:r w:rsidR="00435C69">
        <w:rPr>
          <w:rFonts w:ascii="Arial" w:hAnsi="Arial" w:cs="Arial"/>
          <w:sz w:val="24"/>
          <w:szCs w:val="24"/>
        </w:rPr>
        <w:t>d</w:t>
      </w:r>
      <w:r w:rsidR="00686B41">
        <w:rPr>
          <w:rFonts w:ascii="Arial" w:hAnsi="Arial" w:cs="Arial"/>
          <w:sz w:val="24"/>
          <w:szCs w:val="24"/>
        </w:rPr>
        <w:t xml:space="preserve"> </w:t>
      </w:r>
      <w:r w:rsidR="00981613">
        <w:rPr>
          <w:rFonts w:ascii="Arial" w:hAnsi="Arial" w:cs="Arial"/>
          <w:sz w:val="24"/>
          <w:szCs w:val="24"/>
        </w:rPr>
        <w:t>that the guarantee had to be in place until 90 days after practical completion.</w:t>
      </w:r>
    </w:p>
    <w:p w:rsidR="00F02BCA" w:rsidRPr="00B475F8" w:rsidRDefault="00F02BCA" w:rsidP="00F02BCA">
      <w:pPr>
        <w:pStyle w:val="NoSpacing"/>
        <w:spacing w:line="480" w:lineRule="auto"/>
        <w:jc w:val="both"/>
        <w:rPr>
          <w:rFonts w:ascii="Arial" w:hAnsi="Arial" w:cs="Arial"/>
          <w:sz w:val="24"/>
          <w:szCs w:val="24"/>
        </w:rPr>
      </w:pPr>
    </w:p>
    <w:p w:rsidR="00FB7298" w:rsidRDefault="00981613" w:rsidP="002E66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9 February 2017 the final performance guarantee is forwarded to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and she</w:t>
      </w:r>
      <w:r w:rsidR="00686B41">
        <w:rPr>
          <w:rFonts w:ascii="Arial" w:hAnsi="Arial" w:cs="Arial"/>
          <w:sz w:val="24"/>
          <w:szCs w:val="24"/>
        </w:rPr>
        <w:t xml:space="preserve"> is</w:t>
      </w:r>
      <w:r>
        <w:rPr>
          <w:rFonts w:ascii="Arial" w:hAnsi="Arial" w:cs="Arial"/>
          <w:sz w:val="24"/>
          <w:szCs w:val="24"/>
        </w:rPr>
        <w:t xml:space="preserve"> informed to ‘kindly let us know whe</w:t>
      </w:r>
      <w:r w:rsidR="00686B41">
        <w:rPr>
          <w:rFonts w:ascii="Arial" w:hAnsi="Arial" w:cs="Arial"/>
          <w:sz w:val="24"/>
          <w:szCs w:val="24"/>
        </w:rPr>
        <w:t>n</w:t>
      </w:r>
      <w:r>
        <w:rPr>
          <w:rFonts w:ascii="Arial" w:hAnsi="Arial" w:cs="Arial"/>
          <w:sz w:val="24"/>
          <w:szCs w:val="24"/>
        </w:rPr>
        <w:t xml:space="preserve"> it will be suitable to have the contract signing’. It is clear that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referred the issue of the guarantee to the </w:t>
      </w:r>
      <w:r w:rsidR="00A22BA1">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Thus</w:t>
      </w:r>
      <w:r w:rsidR="00686B41">
        <w:rPr>
          <w:rFonts w:ascii="Arial" w:hAnsi="Arial" w:cs="Arial"/>
          <w:sz w:val="24"/>
          <w:szCs w:val="24"/>
        </w:rPr>
        <w:t>, in a</w:t>
      </w:r>
      <w:r>
        <w:rPr>
          <w:rFonts w:ascii="Arial" w:hAnsi="Arial" w:cs="Arial"/>
          <w:sz w:val="24"/>
          <w:szCs w:val="24"/>
        </w:rPr>
        <w:t xml:space="preserve"> letter dated 10 February 2017 from the </w:t>
      </w:r>
      <w:r w:rsidR="00A22BA1">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xml:space="preserve"> to the </w:t>
      </w:r>
      <w:r w:rsidR="00D630AB">
        <w:rPr>
          <w:rFonts w:ascii="Arial" w:hAnsi="Arial" w:cs="Arial"/>
          <w:sz w:val="24"/>
          <w:szCs w:val="24"/>
        </w:rPr>
        <w:t>a</w:t>
      </w:r>
      <w:r w:rsidR="003B52EC">
        <w:rPr>
          <w:rFonts w:ascii="Arial" w:hAnsi="Arial" w:cs="Arial"/>
          <w:sz w:val="24"/>
          <w:szCs w:val="24"/>
        </w:rPr>
        <w:t>rchitect</w:t>
      </w:r>
      <w:r w:rsidR="00790B77">
        <w:rPr>
          <w:rFonts w:ascii="Arial" w:hAnsi="Arial" w:cs="Arial"/>
          <w:sz w:val="24"/>
          <w:szCs w:val="24"/>
        </w:rPr>
        <w:t>,</w:t>
      </w:r>
      <w:r>
        <w:rPr>
          <w:rFonts w:ascii="Arial" w:hAnsi="Arial" w:cs="Arial"/>
          <w:sz w:val="24"/>
          <w:szCs w:val="24"/>
        </w:rPr>
        <w:t xml:space="preserve"> it is stated that the matter was taken up </w:t>
      </w:r>
      <w:r w:rsidR="002D6369">
        <w:rPr>
          <w:rFonts w:ascii="Arial" w:hAnsi="Arial" w:cs="Arial"/>
          <w:sz w:val="24"/>
          <w:szCs w:val="24"/>
        </w:rPr>
        <w:t xml:space="preserve">with the Ministry of Education to discuss three matters namely, the moratorium, the ‘outstanding performance guarantee’ and a letter from the Ministry of Urban and Rural Development relating to alleged corrupt practises by the </w:t>
      </w:r>
      <w:r w:rsidR="00A22BA1">
        <w:rPr>
          <w:rFonts w:ascii="Arial" w:hAnsi="Arial" w:cs="Arial"/>
          <w:sz w:val="24"/>
          <w:szCs w:val="24"/>
        </w:rPr>
        <w:t>r</w:t>
      </w:r>
      <w:r w:rsidR="003B52EC">
        <w:rPr>
          <w:rFonts w:ascii="Arial" w:hAnsi="Arial" w:cs="Arial"/>
          <w:sz w:val="24"/>
          <w:szCs w:val="24"/>
        </w:rPr>
        <w:t>egional council</w:t>
      </w:r>
      <w:r w:rsidR="002D6369">
        <w:rPr>
          <w:rFonts w:ascii="Arial" w:hAnsi="Arial" w:cs="Arial"/>
          <w:sz w:val="24"/>
          <w:szCs w:val="24"/>
        </w:rPr>
        <w:t xml:space="preserve">. The letter </w:t>
      </w:r>
      <w:r w:rsidR="00874C8F">
        <w:rPr>
          <w:rFonts w:ascii="Arial" w:hAnsi="Arial" w:cs="Arial"/>
          <w:sz w:val="24"/>
          <w:szCs w:val="24"/>
        </w:rPr>
        <w:t>then record</w:t>
      </w:r>
      <w:r w:rsidR="00790B77">
        <w:rPr>
          <w:rFonts w:ascii="Arial" w:hAnsi="Arial" w:cs="Arial"/>
          <w:sz w:val="24"/>
          <w:szCs w:val="24"/>
        </w:rPr>
        <w:t>ed</w:t>
      </w:r>
      <w:r w:rsidR="00874C8F">
        <w:rPr>
          <w:rFonts w:ascii="Arial" w:hAnsi="Arial" w:cs="Arial"/>
          <w:sz w:val="24"/>
          <w:szCs w:val="24"/>
        </w:rPr>
        <w:t xml:space="preserve"> that it was agreed between the representatives of the Ministry of Education and the </w:t>
      </w:r>
      <w:r w:rsidR="00A22BA1">
        <w:rPr>
          <w:rFonts w:ascii="Arial" w:hAnsi="Arial" w:cs="Arial"/>
          <w:sz w:val="24"/>
          <w:szCs w:val="24"/>
        </w:rPr>
        <w:t>r</w:t>
      </w:r>
      <w:r w:rsidR="003B52EC">
        <w:rPr>
          <w:rFonts w:ascii="Arial" w:hAnsi="Arial" w:cs="Arial"/>
          <w:sz w:val="24"/>
          <w:szCs w:val="24"/>
        </w:rPr>
        <w:t>egional council</w:t>
      </w:r>
      <w:r w:rsidR="009238B1">
        <w:rPr>
          <w:rFonts w:ascii="Arial" w:hAnsi="Arial" w:cs="Arial"/>
          <w:sz w:val="24"/>
          <w:szCs w:val="24"/>
        </w:rPr>
        <w:t xml:space="preserve"> that ‘contractor (joint v</w:t>
      </w:r>
      <w:r w:rsidR="00874C8F">
        <w:rPr>
          <w:rFonts w:ascii="Arial" w:hAnsi="Arial" w:cs="Arial"/>
          <w:sz w:val="24"/>
          <w:szCs w:val="24"/>
        </w:rPr>
        <w:t>enture) automatically disqualified themselves due to the non-submission of the performance guarantee by the date as set</w:t>
      </w:r>
      <w:r w:rsidR="00540A61">
        <w:rPr>
          <w:rFonts w:ascii="Arial" w:hAnsi="Arial" w:cs="Arial"/>
          <w:sz w:val="24"/>
          <w:szCs w:val="24"/>
        </w:rPr>
        <w:t>’</w:t>
      </w:r>
      <w:r w:rsidR="00874C8F">
        <w:rPr>
          <w:rFonts w:ascii="Arial" w:hAnsi="Arial" w:cs="Arial"/>
          <w:sz w:val="24"/>
          <w:szCs w:val="24"/>
        </w:rPr>
        <w:t>.</w:t>
      </w:r>
    </w:p>
    <w:p w:rsidR="00FB7298" w:rsidRDefault="00FB7298" w:rsidP="002E6628">
      <w:pPr>
        <w:pStyle w:val="NoSpacing"/>
        <w:spacing w:line="480" w:lineRule="auto"/>
        <w:jc w:val="both"/>
        <w:rPr>
          <w:rFonts w:ascii="Arial" w:hAnsi="Arial" w:cs="Arial"/>
          <w:sz w:val="24"/>
          <w:szCs w:val="24"/>
        </w:rPr>
      </w:pPr>
    </w:p>
    <w:p w:rsidR="00FB7298" w:rsidRDefault="00874C8F"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17 February 2017 the </w:t>
      </w:r>
      <w:r w:rsidR="00790B77">
        <w:rPr>
          <w:rFonts w:ascii="Arial" w:hAnsi="Arial" w:cs="Arial"/>
          <w:sz w:val="24"/>
          <w:szCs w:val="24"/>
        </w:rPr>
        <w:t xml:space="preserve">Regional </w:t>
      </w:r>
      <w:r>
        <w:rPr>
          <w:rFonts w:ascii="Arial" w:hAnsi="Arial" w:cs="Arial"/>
          <w:sz w:val="24"/>
          <w:szCs w:val="24"/>
        </w:rPr>
        <w:t xml:space="preserve">Tender Board </w:t>
      </w:r>
      <w:r w:rsidR="00650752">
        <w:rPr>
          <w:rFonts w:ascii="Arial" w:hAnsi="Arial" w:cs="Arial"/>
          <w:sz w:val="24"/>
          <w:szCs w:val="24"/>
        </w:rPr>
        <w:t xml:space="preserve">held a special meeting to discuss allegations of corrupt practises relating to the award of the tender made on 7 </w:t>
      </w:r>
      <w:r w:rsidR="00650752">
        <w:rPr>
          <w:rFonts w:ascii="Arial" w:hAnsi="Arial" w:cs="Arial"/>
          <w:sz w:val="24"/>
          <w:szCs w:val="24"/>
        </w:rPr>
        <w:lastRenderedPageBreak/>
        <w:t xml:space="preserve">December 2016. The first item discussed was the award of the tender despite the moratorium that was imposed. </w:t>
      </w:r>
      <w:r w:rsidR="00344568">
        <w:rPr>
          <w:rFonts w:ascii="Arial" w:hAnsi="Arial" w:cs="Arial"/>
          <w:sz w:val="24"/>
          <w:szCs w:val="24"/>
        </w:rPr>
        <w:t xml:space="preserve">It appears from the minutes of this meeting that the Tender Board rejected the allegations of </w:t>
      </w:r>
      <w:r w:rsidR="00540A61">
        <w:rPr>
          <w:rFonts w:ascii="Arial" w:hAnsi="Arial" w:cs="Arial"/>
          <w:sz w:val="24"/>
          <w:szCs w:val="24"/>
        </w:rPr>
        <w:t>impropriety</w:t>
      </w:r>
      <w:r w:rsidR="00344568">
        <w:rPr>
          <w:rFonts w:ascii="Arial" w:hAnsi="Arial" w:cs="Arial"/>
          <w:sz w:val="24"/>
          <w:szCs w:val="24"/>
        </w:rPr>
        <w:t xml:space="preserve"> levelled against it. As far as the moratorium is concerned</w:t>
      </w:r>
      <w:r w:rsidR="00435C69">
        <w:rPr>
          <w:rFonts w:ascii="Arial" w:hAnsi="Arial" w:cs="Arial"/>
          <w:sz w:val="24"/>
          <w:szCs w:val="24"/>
        </w:rPr>
        <w:t>,</w:t>
      </w:r>
      <w:r w:rsidR="00344568">
        <w:rPr>
          <w:rFonts w:ascii="Arial" w:hAnsi="Arial" w:cs="Arial"/>
          <w:sz w:val="24"/>
          <w:szCs w:val="24"/>
        </w:rPr>
        <w:t xml:space="preserve"> it </w:t>
      </w:r>
      <w:r w:rsidR="00435C69">
        <w:rPr>
          <w:rFonts w:ascii="Arial" w:hAnsi="Arial" w:cs="Arial"/>
          <w:sz w:val="24"/>
          <w:szCs w:val="24"/>
        </w:rPr>
        <w:t>wa</w:t>
      </w:r>
      <w:r w:rsidR="00344568">
        <w:rPr>
          <w:rFonts w:ascii="Arial" w:hAnsi="Arial" w:cs="Arial"/>
          <w:sz w:val="24"/>
          <w:szCs w:val="24"/>
        </w:rPr>
        <w:t>s not easy to make sense of the minutes but it seem</w:t>
      </w:r>
      <w:r w:rsidR="00435C69">
        <w:rPr>
          <w:rFonts w:ascii="Arial" w:hAnsi="Arial" w:cs="Arial"/>
          <w:sz w:val="24"/>
          <w:szCs w:val="24"/>
        </w:rPr>
        <w:t>ed</w:t>
      </w:r>
      <w:r w:rsidR="00344568">
        <w:rPr>
          <w:rFonts w:ascii="Arial" w:hAnsi="Arial" w:cs="Arial"/>
          <w:sz w:val="24"/>
          <w:szCs w:val="24"/>
        </w:rPr>
        <w:t xml:space="preserve"> that the Tender Board felt that the moratorium was not clearly spelled out. Thus, the minutes record that ‘the moratorium ha</w:t>
      </w:r>
      <w:r w:rsidR="00540A61">
        <w:rPr>
          <w:rFonts w:ascii="Arial" w:hAnsi="Arial" w:cs="Arial"/>
          <w:sz w:val="24"/>
          <w:szCs w:val="24"/>
        </w:rPr>
        <w:t>s</w:t>
      </w:r>
      <w:r w:rsidR="00344568">
        <w:rPr>
          <w:rFonts w:ascii="Arial" w:hAnsi="Arial" w:cs="Arial"/>
          <w:sz w:val="24"/>
          <w:szCs w:val="24"/>
        </w:rPr>
        <w:t xml:space="preserve"> not indicated </w:t>
      </w:r>
      <w:r w:rsidR="00540A61">
        <w:rPr>
          <w:rFonts w:ascii="Arial" w:hAnsi="Arial" w:cs="Arial"/>
          <w:sz w:val="24"/>
          <w:szCs w:val="24"/>
        </w:rPr>
        <w:t>a</w:t>
      </w:r>
      <w:r w:rsidR="00344568">
        <w:rPr>
          <w:rFonts w:ascii="Arial" w:hAnsi="Arial" w:cs="Arial"/>
          <w:sz w:val="24"/>
          <w:szCs w:val="24"/>
        </w:rPr>
        <w:t xml:space="preserve"> clear message by specifying the intended project for halting but conceptualise</w:t>
      </w:r>
      <w:r w:rsidR="00540A61">
        <w:rPr>
          <w:rFonts w:ascii="Arial" w:hAnsi="Arial" w:cs="Arial"/>
          <w:sz w:val="24"/>
          <w:szCs w:val="24"/>
        </w:rPr>
        <w:t>d</w:t>
      </w:r>
      <w:r w:rsidR="00344568">
        <w:rPr>
          <w:rFonts w:ascii="Arial" w:hAnsi="Arial" w:cs="Arial"/>
          <w:sz w:val="24"/>
          <w:szCs w:val="24"/>
        </w:rPr>
        <w:t xml:space="preserve"> the idea on offices and not schools’. That the moratorium ‘should have b</w:t>
      </w:r>
      <w:r w:rsidR="00A50DF3">
        <w:rPr>
          <w:rFonts w:ascii="Arial" w:hAnsi="Arial" w:cs="Arial"/>
          <w:sz w:val="24"/>
          <w:szCs w:val="24"/>
        </w:rPr>
        <w:t>een better handled by the line m</w:t>
      </w:r>
      <w:r w:rsidR="00344568">
        <w:rPr>
          <w:rFonts w:ascii="Arial" w:hAnsi="Arial" w:cs="Arial"/>
          <w:sz w:val="24"/>
          <w:szCs w:val="24"/>
        </w:rPr>
        <w:t xml:space="preserve">inister’. According to the minutes of the meeting the </w:t>
      </w:r>
      <w:r w:rsidR="00790B77">
        <w:rPr>
          <w:rFonts w:ascii="Arial" w:hAnsi="Arial" w:cs="Arial"/>
          <w:sz w:val="24"/>
          <w:szCs w:val="24"/>
        </w:rPr>
        <w:t xml:space="preserve">Regional </w:t>
      </w:r>
      <w:r w:rsidR="00344568">
        <w:rPr>
          <w:rFonts w:ascii="Arial" w:hAnsi="Arial" w:cs="Arial"/>
          <w:sz w:val="24"/>
          <w:szCs w:val="24"/>
        </w:rPr>
        <w:t>Tender Board</w:t>
      </w:r>
      <w:r w:rsidR="00E83FB3">
        <w:rPr>
          <w:rFonts w:ascii="Arial" w:hAnsi="Arial" w:cs="Arial"/>
          <w:sz w:val="24"/>
          <w:szCs w:val="24"/>
        </w:rPr>
        <w:t xml:space="preserve"> exercise</w:t>
      </w:r>
      <w:r w:rsidR="00413BCA">
        <w:rPr>
          <w:rFonts w:ascii="Arial" w:hAnsi="Arial" w:cs="Arial"/>
          <w:sz w:val="24"/>
          <w:szCs w:val="24"/>
        </w:rPr>
        <w:t>d</w:t>
      </w:r>
      <w:r w:rsidR="00E83FB3">
        <w:rPr>
          <w:rFonts w:ascii="Arial" w:hAnsi="Arial" w:cs="Arial"/>
          <w:sz w:val="24"/>
          <w:szCs w:val="24"/>
        </w:rPr>
        <w:t xml:space="preserve"> its mandate to award tenders and </w:t>
      </w:r>
      <w:r w:rsidR="00413BCA">
        <w:rPr>
          <w:rFonts w:ascii="Arial" w:hAnsi="Arial" w:cs="Arial"/>
          <w:sz w:val="24"/>
          <w:szCs w:val="24"/>
        </w:rPr>
        <w:t xml:space="preserve">in </w:t>
      </w:r>
      <w:r w:rsidR="00E83FB3">
        <w:rPr>
          <w:rFonts w:ascii="Arial" w:hAnsi="Arial" w:cs="Arial"/>
          <w:sz w:val="24"/>
          <w:szCs w:val="24"/>
        </w:rPr>
        <w:t>doing so follow</w:t>
      </w:r>
      <w:r w:rsidR="00413BCA">
        <w:rPr>
          <w:rFonts w:ascii="Arial" w:hAnsi="Arial" w:cs="Arial"/>
          <w:sz w:val="24"/>
          <w:szCs w:val="24"/>
        </w:rPr>
        <w:t>ed</w:t>
      </w:r>
      <w:r w:rsidR="00E83FB3">
        <w:rPr>
          <w:rFonts w:ascii="Arial" w:hAnsi="Arial" w:cs="Arial"/>
          <w:sz w:val="24"/>
          <w:szCs w:val="24"/>
        </w:rPr>
        <w:t xml:space="preserve"> the proper procedures.</w:t>
      </w:r>
    </w:p>
    <w:p w:rsidR="00254E7F" w:rsidRPr="00D92687" w:rsidRDefault="00254E7F" w:rsidP="00254E7F">
      <w:pPr>
        <w:pStyle w:val="NoSpacing"/>
        <w:spacing w:line="480" w:lineRule="auto"/>
        <w:jc w:val="both"/>
        <w:rPr>
          <w:rFonts w:ascii="Arial" w:hAnsi="Arial" w:cs="Arial"/>
          <w:sz w:val="24"/>
          <w:szCs w:val="24"/>
        </w:rPr>
      </w:pPr>
    </w:p>
    <w:p w:rsidR="00FB7298" w:rsidRDefault="00E83FB3"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What is clear from the minutes of the Tender Board of 17 February 2017 </w:t>
      </w:r>
      <w:r w:rsidR="00F21C7D">
        <w:rPr>
          <w:rFonts w:ascii="Arial" w:hAnsi="Arial" w:cs="Arial"/>
          <w:sz w:val="24"/>
          <w:szCs w:val="24"/>
        </w:rPr>
        <w:t>is that</w:t>
      </w:r>
      <w:r w:rsidR="00435C69">
        <w:rPr>
          <w:rFonts w:ascii="Arial" w:hAnsi="Arial" w:cs="Arial"/>
          <w:sz w:val="24"/>
          <w:szCs w:val="24"/>
        </w:rPr>
        <w:t>,</w:t>
      </w:r>
      <w:r w:rsidR="00F21C7D">
        <w:rPr>
          <w:rFonts w:ascii="Arial" w:hAnsi="Arial" w:cs="Arial"/>
          <w:sz w:val="24"/>
          <w:szCs w:val="24"/>
        </w:rPr>
        <w:t xml:space="preserve"> the Tender Board was aware of the moratorium but formed the view that it was not applicable to the project</w:t>
      </w:r>
      <w:r w:rsidR="00FB78C3">
        <w:rPr>
          <w:rFonts w:ascii="Arial" w:hAnsi="Arial" w:cs="Arial"/>
          <w:sz w:val="24"/>
          <w:szCs w:val="24"/>
        </w:rPr>
        <w:t xml:space="preserve"> in question</w:t>
      </w:r>
      <w:r w:rsidR="00F21C7D">
        <w:rPr>
          <w:rFonts w:ascii="Arial" w:hAnsi="Arial" w:cs="Arial"/>
          <w:sz w:val="24"/>
          <w:szCs w:val="24"/>
        </w:rPr>
        <w:t>. According to the minutes</w:t>
      </w:r>
      <w:r w:rsidR="00435C69">
        <w:rPr>
          <w:rFonts w:ascii="Arial" w:hAnsi="Arial" w:cs="Arial"/>
          <w:sz w:val="24"/>
          <w:szCs w:val="24"/>
        </w:rPr>
        <w:t>,</w:t>
      </w:r>
      <w:r w:rsidR="00F21C7D">
        <w:rPr>
          <w:rFonts w:ascii="Arial" w:hAnsi="Arial" w:cs="Arial"/>
          <w:sz w:val="24"/>
          <w:szCs w:val="24"/>
        </w:rPr>
        <w:t xml:space="preserve"> the terms of the moratorium w</w:t>
      </w:r>
      <w:r w:rsidR="00435C69">
        <w:rPr>
          <w:rFonts w:ascii="Arial" w:hAnsi="Arial" w:cs="Arial"/>
          <w:sz w:val="24"/>
          <w:szCs w:val="24"/>
        </w:rPr>
        <w:t>ere</w:t>
      </w:r>
      <w:r w:rsidR="00F21C7D">
        <w:rPr>
          <w:rFonts w:ascii="Arial" w:hAnsi="Arial" w:cs="Arial"/>
          <w:sz w:val="24"/>
          <w:szCs w:val="24"/>
        </w:rPr>
        <w:t xml:space="preserve"> ambiguous and unclear and hence the Tender Board could proceed with its mandate</w:t>
      </w:r>
      <w:r w:rsidR="00540A61">
        <w:rPr>
          <w:rFonts w:ascii="Arial" w:hAnsi="Arial" w:cs="Arial"/>
          <w:sz w:val="24"/>
          <w:szCs w:val="24"/>
        </w:rPr>
        <w:t xml:space="preserve"> to evaluate the bids and make an award</w:t>
      </w:r>
      <w:r w:rsidR="00F21C7D">
        <w:rPr>
          <w:rFonts w:ascii="Arial" w:hAnsi="Arial" w:cs="Arial"/>
          <w:sz w:val="24"/>
          <w:szCs w:val="24"/>
        </w:rPr>
        <w:t>.</w:t>
      </w:r>
    </w:p>
    <w:p w:rsidR="00FB7298" w:rsidRDefault="00FB7298" w:rsidP="00650752">
      <w:pPr>
        <w:pStyle w:val="NoSpacing"/>
        <w:spacing w:line="480" w:lineRule="auto"/>
        <w:jc w:val="both"/>
        <w:rPr>
          <w:rFonts w:ascii="Arial" w:hAnsi="Arial" w:cs="Arial"/>
          <w:sz w:val="24"/>
          <w:szCs w:val="24"/>
        </w:rPr>
      </w:pPr>
    </w:p>
    <w:p w:rsidR="00FB7298" w:rsidRDefault="00540A61"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Per letter dated </w:t>
      </w:r>
      <w:r w:rsidR="00F21C7D">
        <w:rPr>
          <w:rFonts w:ascii="Arial" w:hAnsi="Arial" w:cs="Arial"/>
          <w:sz w:val="24"/>
          <w:szCs w:val="24"/>
        </w:rPr>
        <w:t xml:space="preserve">early March 2017 the Ministry of Education, Arts and Culture informed the </w:t>
      </w:r>
      <w:r w:rsidR="00A22BA1">
        <w:rPr>
          <w:rFonts w:ascii="Arial" w:hAnsi="Arial" w:cs="Arial"/>
          <w:sz w:val="24"/>
          <w:szCs w:val="24"/>
        </w:rPr>
        <w:t>r</w:t>
      </w:r>
      <w:r w:rsidR="003B52EC">
        <w:rPr>
          <w:rFonts w:ascii="Arial" w:hAnsi="Arial" w:cs="Arial"/>
          <w:sz w:val="24"/>
          <w:szCs w:val="24"/>
        </w:rPr>
        <w:t>egional council</w:t>
      </w:r>
      <w:r w:rsidR="00F21C7D">
        <w:rPr>
          <w:rFonts w:ascii="Arial" w:hAnsi="Arial" w:cs="Arial"/>
          <w:sz w:val="24"/>
          <w:szCs w:val="24"/>
        </w:rPr>
        <w:t xml:space="preserve"> that after considering the commitmen</w:t>
      </w:r>
      <w:r w:rsidR="00662DFD">
        <w:rPr>
          <w:rFonts w:ascii="Arial" w:hAnsi="Arial" w:cs="Arial"/>
          <w:sz w:val="24"/>
          <w:szCs w:val="24"/>
        </w:rPr>
        <w:t>ts of the m</w:t>
      </w:r>
      <w:r w:rsidR="00F21C7D">
        <w:rPr>
          <w:rFonts w:ascii="Arial" w:hAnsi="Arial" w:cs="Arial"/>
          <w:sz w:val="24"/>
          <w:szCs w:val="24"/>
        </w:rPr>
        <w:t>inistry in respect of capital projects a</w:t>
      </w:r>
      <w:r>
        <w:rPr>
          <w:rFonts w:ascii="Arial" w:hAnsi="Arial" w:cs="Arial"/>
          <w:sz w:val="24"/>
          <w:szCs w:val="24"/>
        </w:rPr>
        <w:t xml:space="preserve">lready ‘under construction’ </w:t>
      </w:r>
      <w:r w:rsidR="00F21C7D">
        <w:rPr>
          <w:rFonts w:ascii="Arial" w:hAnsi="Arial" w:cs="Arial"/>
          <w:sz w:val="24"/>
          <w:szCs w:val="24"/>
        </w:rPr>
        <w:t xml:space="preserve">the project will remain suspended until the 2018/2019 year when it will be revisited as it was </w:t>
      </w:r>
      <w:r w:rsidR="00662DFD">
        <w:rPr>
          <w:rFonts w:ascii="Arial" w:hAnsi="Arial" w:cs="Arial"/>
          <w:sz w:val="24"/>
          <w:szCs w:val="24"/>
        </w:rPr>
        <w:t>not removed from the said m</w:t>
      </w:r>
      <w:r w:rsidR="005043F6">
        <w:rPr>
          <w:rFonts w:ascii="Arial" w:hAnsi="Arial" w:cs="Arial"/>
          <w:sz w:val="24"/>
          <w:szCs w:val="24"/>
        </w:rPr>
        <w:t>inistry’</w:t>
      </w:r>
      <w:r w:rsidR="00435C69">
        <w:rPr>
          <w:rFonts w:ascii="Arial" w:hAnsi="Arial" w:cs="Arial"/>
          <w:sz w:val="24"/>
          <w:szCs w:val="24"/>
        </w:rPr>
        <w:t>s</w:t>
      </w:r>
      <w:r w:rsidR="005043F6">
        <w:rPr>
          <w:rFonts w:ascii="Arial" w:hAnsi="Arial" w:cs="Arial"/>
          <w:sz w:val="24"/>
          <w:szCs w:val="24"/>
        </w:rPr>
        <w:t xml:space="preserve"> budget and it will be ‘reactivated immediately when funds are available’.</w:t>
      </w:r>
    </w:p>
    <w:p w:rsidR="00DF0943" w:rsidRDefault="00DF0943" w:rsidP="00540A61">
      <w:pPr>
        <w:pStyle w:val="NoSpacing"/>
        <w:spacing w:line="480" w:lineRule="auto"/>
        <w:jc w:val="both"/>
        <w:rPr>
          <w:rFonts w:ascii="Arial" w:hAnsi="Arial" w:cs="Arial"/>
          <w:sz w:val="24"/>
          <w:szCs w:val="24"/>
        </w:rPr>
      </w:pPr>
    </w:p>
    <w:p w:rsidR="005043F6" w:rsidRPr="005043F6" w:rsidRDefault="005043F6" w:rsidP="00650752">
      <w:pPr>
        <w:pStyle w:val="NoSpacing"/>
        <w:spacing w:line="480" w:lineRule="auto"/>
        <w:jc w:val="both"/>
        <w:rPr>
          <w:rFonts w:ascii="Arial" w:hAnsi="Arial" w:cs="Arial"/>
          <w:sz w:val="24"/>
          <w:szCs w:val="24"/>
          <w:u w:val="single"/>
        </w:rPr>
      </w:pPr>
      <w:r w:rsidRPr="003C0310">
        <w:rPr>
          <w:rFonts w:ascii="Arial" w:hAnsi="Arial" w:cs="Arial"/>
          <w:sz w:val="24"/>
          <w:szCs w:val="24"/>
        </w:rPr>
        <w:lastRenderedPageBreak/>
        <w:t>E.</w:t>
      </w:r>
      <w:r w:rsidRPr="003C0310">
        <w:rPr>
          <w:rFonts w:ascii="Arial" w:hAnsi="Arial" w:cs="Arial"/>
          <w:sz w:val="24"/>
          <w:szCs w:val="24"/>
        </w:rPr>
        <w:tab/>
      </w:r>
      <w:r w:rsidRPr="005043F6">
        <w:rPr>
          <w:rFonts w:ascii="Arial" w:hAnsi="Arial" w:cs="Arial"/>
          <w:sz w:val="24"/>
          <w:szCs w:val="24"/>
          <w:u w:val="single"/>
        </w:rPr>
        <w:t>The main application</w:t>
      </w:r>
    </w:p>
    <w:p w:rsidR="00FB7298" w:rsidRDefault="005043F6"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Pr="005043F6">
        <w:rPr>
          <w:rFonts w:ascii="Arial" w:hAnsi="Arial" w:cs="Arial"/>
          <w:i/>
          <w:sz w:val="24"/>
          <w:szCs w:val="24"/>
        </w:rPr>
        <w:t>audi alteram</w:t>
      </w:r>
      <w:r>
        <w:rPr>
          <w:rFonts w:ascii="Arial" w:hAnsi="Arial" w:cs="Arial"/>
          <w:sz w:val="24"/>
          <w:szCs w:val="24"/>
        </w:rPr>
        <w:t xml:space="preserve"> point was dismissed by the court </w:t>
      </w:r>
      <w:r w:rsidRPr="005043F6">
        <w:rPr>
          <w:rFonts w:ascii="Arial" w:hAnsi="Arial" w:cs="Arial"/>
          <w:i/>
          <w:sz w:val="24"/>
          <w:szCs w:val="24"/>
        </w:rPr>
        <w:t>a quo</w:t>
      </w:r>
      <w:r>
        <w:rPr>
          <w:rFonts w:ascii="Arial" w:hAnsi="Arial" w:cs="Arial"/>
          <w:sz w:val="24"/>
          <w:szCs w:val="24"/>
        </w:rPr>
        <w:t xml:space="preserve"> on the basis that the alleged corrupt activ</w:t>
      </w:r>
      <w:r w:rsidR="009238B1">
        <w:rPr>
          <w:rFonts w:ascii="Arial" w:hAnsi="Arial" w:cs="Arial"/>
          <w:sz w:val="24"/>
          <w:szCs w:val="24"/>
        </w:rPr>
        <w:t>ities were not levelled at the joint v</w:t>
      </w:r>
      <w:r>
        <w:rPr>
          <w:rFonts w:ascii="Arial" w:hAnsi="Arial" w:cs="Arial"/>
          <w:sz w:val="24"/>
          <w:szCs w:val="24"/>
        </w:rPr>
        <w:t>ent</w:t>
      </w:r>
      <w:r w:rsidR="00540A61">
        <w:rPr>
          <w:rFonts w:ascii="Arial" w:hAnsi="Arial" w:cs="Arial"/>
          <w:sz w:val="24"/>
          <w:szCs w:val="24"/>
        </w:rPr>
        <w:t xml:space="preserve">ure but at the </w:t>
      </w:r>
      <w:r w:rsidR="00A22BA1">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xml:space="preserve">. This aspect does not form </w:t>
      </w:r>
      <w:r w:rsidR="00540A61">
        <w:rPr>
          <w:rFonts w:ascii="Arial" w:hAnsi="Arial" w:cs="Arial"/>
          <w:sz w:val="24"/>
          <w:szCs w:val="24"/>
        </w:rPr>
        <w:t xml:space="preserve">the </w:t>
      </w:r>
      <w:r>
        <w:rPr>
          <w:rFonts w:ascii="Arial" w:hAnsi="Arial" w:cs="Arial"/>
          <w:sz w:val="24"/>
          <w:szCs w:val="24"/>
        </w:rPr>
        <w:t>basis of any of the grounds of appeal and thus</w:t>
      </w:r>
      <w:r w:rsidR="000D48EF">
        <w:rPr>
          <w:rFonts w:ascii="Arial" w:hAnsi="Arial" w:cs="Arial"/>
          <w:sz w:val="24"/>
          <w:szCs w:val="24"/>
        </w:rPr>
        <w:t>,</w:t>
      </w:r>
      <w:r>
        <w:rPr>
          <w:rFonts w:ascii="Arial" w:hAnsi="Arial" w:cs="Arial"/>
          <w:sz w:val="24"/>
          <w:szCs w:val="24"/>
        </w:rPr>
        <w:t xml:space="preserve"> need not be considered by this court.</w:t>
      </w:r>
    </w:p>
    <w:p w:rsidR="00413BCA" w:rsidRDefault="00413BCA" w:rsidP="00650752">
      <w:pPr>
        <w:pStyle w:val="NoSpacing"/>
        <w:spacing w:line="480" w:lineRule="auto"/>
        <w:jc w:val="both"/>
        <w:rPr>
          <w:rFonts w:ascii="Arial" w:hAnsi="Arial" w:cs="Arial"/>
          <w:sz w:val="24"/>
          <w:szCs w:val="24"/>
        </w:rPr>
      </w:pPr>
    </w:p>
    <w:p w:rsidR="00FB7298" w:rsidRDefault="000B770E"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far as the cancellation of the tender was concerned</w:t>
      </w:r>
      <w:r w:rsidR="00435C69">
        <w:rPr>
          <w:rFonts w:ascii="Arial" w:hAnsi="Arial" w:cs="Arial"/>
          <w:sz w:val="24"/>
          <w:szCs w:val="24"/>
        </w:rPr>
        <w:t>,</w:t>
      </w:r>
      <w:r>
        <w:rPr>
          <w:rFonts w:ascii="Arial" w:hAnsi="Arial" w:cs="Arial"/>
          <w:sz w:val="24"/>
          <w:szCs w:val="24"/>
        </w:rPr>
        <w:t xml:space="preserve"> the court </w:t>
      </w:r>
      <w:r w:rsidR="00435C69" w:rsidRPr="00435C69">
        <w:rPr>
          <w:rFonts w:ascii="Arial" w:hAnsi="Arial" w:cs="Arial"/>
          <w:i/>
          <w:sz w:val="24"/>
          <w:szCs w:val="24"/>
        </w:rPr>
        <w:t>a quo</w:t>
      </w:r>
      <w:r w:rsidR="00435C69">
        <w:rPr>
          <w:rFonts w:ascii="Arial" w:hAnsi="Arial" w:cs="Arial"/>
          <w:sz w:val="24"/>
          <w:szCs w:val="24"/>
        </w:rPr>
        <w:t xml:space="preserve"> </w:t>
      </w:r>
      <w:r>
        <w:rPr>
          <w:rFonts w:ascii="Arial" w:hAnsi="Arial" w:cs="Arial"/>
          <w:sz w:val="24"/>
          <w:szCs w:val="24"/>
        </w:rPr>
        <w:t>held that the officials involved had no authority to cancel the tender</w:t>
      </w:r>
      <w:r w:rsidR="00790B77">
        <w:rPr>
          <w:rFonts w:ascii="Arial" w:hAnsi="Arial" w:cs="Arial"/>
          <w:sz w:val="24"/>
          <w:szCs w:val="24"/>
        </w:rPr>
        <w:t xml:space="preserve"> in terms of</w:t>
      </w:r>
      <w:r>
        <w:rPr>
          <w:rFonts w:ascii="Arial" w:hAnsi="Arial" w:cs="Arial"/>
          <w:sz w:val="24"/>
          <w:szCs w:val="24"/>
        </w:rPr>
        <w:t xml:space="preserve"> s 37(6)</w:t>
      </w:r>
      <w:r w:rsidR="00540A61">
        <w:rPr>
          <w:rFonts w:ascii="Arial" w:hAnsi="Arial" w:cs="Arial"/>
          <w:sz w:val="24"/>
          <w:szCs w:val="24"/>
        </w:rPr>
        <w:t xml:space="preserve"> of the </w:t>
      </w:r>
      <w:r w:rsidR="00142620">
        <w:rPr>
          <w:rFonts w:ascii="Arial" w:hAnsi="Arial" w:cs="Arial"/>
          <w:sz w:val="24"/>
          <w:szCs w:val="24"/>
        </w:rPr>
        <w:t>Regional C</w:t>
      </w:r>
      <w:r w:rsidR="003B52EC">
        <w:rPr>
          <w:rFonts w:ascii="Arial" w:hAnsi="Arial" w:cs="Arial"/>
          <w:sz w:val="24"/>
          <w:szCs w:val="24"/>
        </w:rPr>
        <w:t>ouncil</w:t>
      </w:r>
      <w:r w:rsidR="00540A61">
        <w:rPr>
          <w:rFonts w:ascii="Arial" w:hAnsi="Arial" w:cs="Arial"/>
          <w:sz w:val="24"/>
          <w:szCs w:val="24"/>
        </w:rPr>
        <w:t xml:space="preserve">s Act </w:t>
      </w:r>
      <w:r w:rsidR="00790B77">
        <w:rPr>
          <w:rFonts w:ascii="Arial" w:hAnsi="Arial" w:cs="Arial"/>
          <w:sz w:val="24"/>
          <w:szCs w:val="24"/>
        </w:rPr>
        <w:t xml:space="preserve">as </w:t>
      </w:r>
      <w:r w:rsidR="00540A61">
        <w:rPr>
          <w:rFonts w:ascii="Arial" w:hAnsi="Arial" w:cs="Arial"/>
          <w:sz w:val="24"/>
          <w:szCs w:val="24"/>
        </w:rPr>
        <w:t>t</w:t>
      </w:r>
      <w:r>
        <w:rPr>
          <w:rFonts w:ascii="Arial" w:hAnsi="Arial" w:cs="Arial"/>
          <w:sz w:val="24"/>
          <w:szCs w:val="24"/>
        </w:rPr>
        <w:t>his could only be done by the Minist</w:t>
      </w:r>
      <w:r w:rsidR="00540A61">
        <w:rPr>
          <w:rFonts w:ascii="Arial" w:hAnsi="Arial" w:cs="Arial"/>
          <w:sz w:val="24"/>
          <w:szCs w:val="24"/>
        </w:rPr>
        <w:t>er</w:t>
      </w:r>
      <w:r>
        <w:rPr>
          <w:rFonts w:ascii="Arial" w:hAnsi="Arial" w:cs="Arial"/>
          <w:sz w:val="24"/>
          <w:szCs w:val="24"/>
        </w:rPr>
        <w:t xml:space="preserve"> of Urban and Rural Development in consultation with the </w:t>
      </w:r>
      <w:r w:rsidR="00A22BA1">
        <w:rPr>
          <w:rFonts w:ascii="Arial" w:hAnsi="Arial" w:cs="Arial"/>
          <w:sz w:val="24"/>
          <w:szCs w:val="24"/>
        </w:rPr>
        <w:t>r</w:t>
      </w:r>
      <w:r w:rsidR="003B52EC">
        <w:rPr>
          <w:rFonts w:ascii="Arial" w:hAnsi="Arial" w:cs="Arial"/>
          <w:sz w:val="24"/>
          <w:szCs w:val="24"/>
        </w:rPr>
        <w:t>egional council</w:t>
      </w:r>
      <w:r>
        <w:rPr>
          <w:rFonts w:ascii="Arial" w:hAnsi="Arial" w:cs="Arial"/>
          <w:sz w:val="24"/>
          <w:szCs w:val="24"/>
        </w:rPr>
        <w:t>. As far as the estoppel point is concerned</w:t>
      </w:r>
      <w:r w:rsidR="00435C69">
        <w:rPr>
          <w:rFonts w:ascii="Arial" w:hAnsi="Arial" w:cs="Arial"/>
          <w:sz w:val="24"/>
          <w:szCs w:val="24"/>
        </w:rPr>
        <w:t>,</w:t>
      </w:r>
      <w:r>
        <w:rPr>
          <w:rFonts w:ascii="Arial" w:hAnsi="Arial" w:cs="Arial"/>
          <w:sz w:val="24"/>
          <w:szCs w:val="24"/>
        </w:rPr>
        <w:t xml:space="preserve"> the court </w:t>
      </w:r>
      <w:r w:rsidRPr="000B770E">
        <w:rPr>
          <w:rFonts w:ascii="Arial" w:hAnsi="Arial" w:cs="Arial"/>
          <w:i/>
          <w:sz w:val="24"/>
          <w:szCs w:val="24"/>
        </w:rPr>
        <w:t>a quo</w:t>
      </w:r>
      <w:r>
        <w:rPr>
          <w:rFonts w:ascii="Arial" w:hAnsi="Arial" w:cs="Arial"/>
          <w:sz w:val="24"/>
          <w:szCs w:val="24"/>
        </w:rPr>
        <w:t xml:space="preserve"> held that neither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nor the Acting Chief Regional Director of the </w:t>
      </w:r>
      <w:r w:rsidR="00A22BA1">
        <w:rPr>
          <w:rFonts w:ascii="Arial" w:hAnsi="Arial" w:cs="Arial"/>
          <w:sz w:val="24"/>
          <w:szCs w:val="24"/>
        </w:rPr>
        <w:t>r</w:t>
      </w:r>
      <w:r w:rsidR="003B52EC">
        <w:rPr>
          <w:rFonts w:ascii="Arial" w:hAnsi="Arial" w:cs="Arial"/>
          <w:sz w:val="24"/>
          <w:szCs w:val="24"/>
        </w:rPr>
        <w:t>egional council</w:t>
      </w:r>
      <w:r w:rsidR="00435C69">
        <w:rPr>
          <w:rFonts w:ascii="Arial" w:hAnsi="Arial" w:cs="Arial"/>
          <w:sz w:val="24"/>
          <w:szCs w:val="24"/>
        </w:rPr>
        <w:t xml:space="preserve"> had the power to extend</w:t>
      </w:r>
      <w:r>
        <w:rPr>
          <w:rFonts w:ascii="Arial" w:hAnsi="Arial" w:cs="Arial"/>
          <w:sz w:val="24"/>
          <w:szCs w:val="24"/>
        </w:rPr>
        <w:t xml:space="preserve"> the timeline for the delivery of the performance guarantee </w:t>
      </w:r>
      <w:r w:rsidR="00790B77">
        <w:rPr>
          <w:rFonts w:ascii="Arial" w:hAnsi="Arial" w:cs="Arial"/>
          <w:sz w:val="24"/>
          <w:szCs w:val="24"/>
        </w:rPr>
        <w:t xml:space="preserve">and </w:t>
      </w:r>
      <w:r w:rsidR="00540A61">
        <w:rPr>
          <w:rFonts w:ascii="Arial" w:hAnsi="Arial" w:cs="Arial"/>
          <w:sz w:val="24"/>
          <w:szCs w:val="24"/>
        </w:rPr>
        <w:t xml:space="preserve">that </w:t>
      </w:r>
      <w:r>
        <w:rPr>
          <w:rFonts w:ascii="Arial" w:hAnsi="Arial" w:cs="Arial"/>
          <w:sz w:val="24"/>
          <w:szCs w:val="24"/>
        </w:rPr>
        <w:t>as the tender was granted witho</w:t>
      </w:r>
      <w:r w:rsidR="00644C9A">
        <w:rPr>
          <w:rFonts w:ascii="Arial" w:hAnsi="Arial" w:cs="Arial"/>
          <w:sz w:val="24"/>
          <w:szCs w:val="24"/>
        </w:rPr>
        <w:t>ut authorisation in terms of s 17 of the State Finance Act</w:t>
      </w:r>
      <w:r w:rsidR="00FB6C24">
        <w:rPr>
          <w:rStyle w:val="FootnoteReference"/>
          <w:rFonts w:ascii="Arial" w:hAnsi="Arial" w:cs="Arial"/>
          <w:sz w:val="24"/>
          <w:szCs w:val="24"/>
        </w:rPr>
        <w:footnoteReference w:id="14"/>
      </w:r>
      <w:r w:rsidR="00644C9A">
        <w:rPr>
          <w:rFonts w:ascii="Arial" w:hAnsi="Arial" w:cs="Arial"/>
          <w:sz w:val="24"/>
          <w:szCs w:val="24"/>
        </w:rPr>
        <w:t xml:space="preserve"> which was a statutory requirement</w:t>
      </w:r>
      <w:r w:rsidR="00435C69">
        <w:rPr>
          <w:rFonts w:ascii="Arial" w:hAnsi="Arial" w:cs="Arial"/>
          <w:sz w:val="24"/>
          <w:szCs w:val="24"/>
        </w:rPr>
        <w:t>,</w:t>
      </w:r>
      <w:r w:rsidR="00644C9A">
        <w:rPr>
          <w:rFonts w:ascii="Arial" w:hAnsi="Arial" w:cs="Arial"/>
          <w:sz w:val="24"/>
          <w:szCs w:val="24"/>
        </w:rPr>
        <w:t xml:space="preserve"> estoppel could not be raised. This is so because estoppel c</w:t>
      </w:r>
      <w:r w:rsidR="00540A61">
        <w:rPr>
          <w:rFonts w:ascii="Arial" w:hAnsi="Arial" w:cs="Arial"/>
          <w:sz w:val="24"/>
          <w:szCs w:val="24"/>
        </w:rPr>
        <w:t>annot</w:t>
      </w:r>
      <w:r w:rsidR="00644C9A">
        <w:rPr>
          <w:rFonts w:ascii="Arial" w:hAnsi="Arial" w:cs="Arial"/>
          <w:sz w:val="24"/>
          <w:szCs w:val="24"/>
        </w:rPr>
        <w:t xml:space="preserve"> be raised to permit or recognise something that is not permitted in law.</w:t>
      </w:r>
      <w:r w:rsidR="00413BCA">
        <w:rPr>
          <w:rStyle w:val="FootnoteReference"/>
          <w:rFonts w:ascii="Arial" w:hAnsi="Arial" w:cs="Arial"/>
          <w:sz w:val="24"/>
          <w:szCs w:val="24"/>
        </w:rPr>
        <w:footnoteReference w:id="15"/>
      </w:r>
    </w:p>
    <w:p w:rsidR="000B770E" w:rsidRDefault="000B770E" w:rsidP="00650752">
      <w:pPr>
        <w:pStyle w:val="NoSpacing"/>
        <w:spacing w:line="480" w:lineRule="auto"/>
        <w:jc w:val="both"/>
        <w:rPr>
          <w:rFonts w:ascii="Arial" w:hAnsi="Arial" w:cs="Arial"/>
          <w:sz w:val="24"/>
          <w:szCs w:val="24"/>
        </w:rPr>
      </w:pPr>
    </w:p>
    <w:p w:rsidR="00F81814" w:rsidRDefault="00644C9A" w:rsidP="00F8181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540A61">
        <w:rPr>
          <w:rFonts w:ascii="Arial" w:hAnsi="Arial" w:cs="Arial"/>
          <w:sz w:val="24"/>
          <w:szCs w:val="24"/>
        </w:rPr>
        <w:t>n my view</w:t>
      </w:r>
      <w:r w:rsidR="00F02BCA">
        <w:rPr>
          <w:rFonts w:ascii="Arial" w:hAnsi="Arial" w:cs="Arial"/>
          <w:sz w:val="24"/>
          <w:szCs w:val="24"/>
        </w:rPr>
        <w:t>,</w:t>
      </w:r>
      <w:r>
        <w:rPr>
          <w:rFonts w:ascii="Arial" w:hAnsi="Arial" w:cs="Arial"/>
          <w:sz w:val="24"/>
          <w:szCs w:val="24"/>
        </w:rPr>
        <w:t xml:space="preserve"> the cancella</w:t>
      </w:r>
      <w:r w:rsidR="009238B1">
        <w:rPr>
          <w:rFonts w:ascii="Arial" w:hAnsi="Arial" w:cs="Arial"/>
          <w:sz w:val="24"/>
          <w:szCs w:val="24"/>
        </w:rPr>
        <w:t>tion of the appointment of the joint v</w:t>
      </w:r>
      <w:r>
        <w:rPr>
          <w:rFonts w:ascii="Arial" w:hAnsi="Arial" w:cs="Arial"/>
          <w:sz w:val="24"/>
          <w:szCs w:val="24"/>
        </w:rPr>
        <w:t xml:space="preserve">enture as the successful bidder was not dealt with in the correct context. The obligation to deliver a guarantee was a condition precedent to </w:t>
      </w:r>
      <w:r w:rsidR="00540A61">
        <w:rPr>
          <w:rFonts w:ascii="Arial" w:hAnsi="Arial" w:cs="Arial"/>
          <w:sz w:val="24"/>
          <w:szCs w:val="24"/>
        </w:rPr>
        <w:t xml:space="preserve">a </w:t>
      </w:r>
      <w:r>
        <w:rPr>
          <w:rFonts w:ascii="Arial" w:hAnsi="Arial" w:cs="Arial"/>
          <w:sz w:val="24"/>
          <w:szCs w:val="24"/>
        </w:rPr>
        <w:t>contract be</w:t>
      </w:r>
      <w:r w:rsidR="00540A61">
        <w:rPr>
          <w:rFonts w:ascii="Arial" w:hAnsi="Arial" w:cs="Arial"/>
          <w:sz w:val="24"/>
          <w:szCs w:val="24"/>
        </w:rPr>
        <w:t>ing</w:t>
      </w:r>
      <w:r>
        <w:rPr>
          <w:rFonts w:ascii="Arial" w:hAnsi="Arial" w:cs="Arial"/>
          <w:sz w:val="24"/>
          <w:szCs w:val="24"/>
        </w:rPr>
        <w:t xml:space="preserve"> entered into in respect of the project. </w:t>
      </w:r>
      <w:r w:rsidR="00413BCA">
        <w:rPr>
          <w:rFonts w:ascii="Arial" w:hAnsi="Arial" w:cs="Arial"/>
          <w:sz w:val="24"/>
          <w:szCs w:val="24"/>
        </w:rPr>
        <w:t xml:space="preserve">The signing of the contract </w:t>
      </w:r>
      <w:r w:rsidR="00560D0C">
        <w:rPr>
          <w:rFonts w:ascii="Arial" w:hAnsi="Arial" w:cs="Arial"/>
          <w:sz w:val="24"/>
          <w:szCs w:val="24"/>
        </w:rPr>
        <w:t xml:space="preserve">would </w:t>
      </w:r>
      <w:r w:rsidR="00413BCA">
        <w:rPr>
          <w:rFonts w:ascii="Arial" w:hAnsi="Arial" w:cs="Arial"/>
          <w:sz w:val="24"/>
          <w:szCs w:val="24"/>
        </w:rPr>
        <w:t xml:space="preserve">obviously </w:t>
      </w:r>
      <w:r w:rsidR="00471055">
        <w:rPr>
          <w:rFonts w:ascii="Arial" w:hAnsi="Arial" w:cs="Arial"/>
          <w:sz w:val="24"/>
          <w:szCs w:val="24"/>
        </w:rPr>
        <w:t>cement</w:t>
      </w:r>
      <w:r w:rsidR="009238B1">
        <w:rPr>
          <w:rFonts w:ascii="Arial" w:hAnsi="Arial" w:cs="Arial"/>
          <w:sz w:val="24"/>
          <w:szCs w:val="24"/>
        </w:rPr>
        <w:t xml:space="preserve"> the appointment of the joint v</w:t>
      </w:r>
      <w:r w:rsidR="00413BCA">
        <w:rPr>
          <w:rFonts w:ascii="Arial" w:hAnsi="Arial" w:cs="Arial"/>
          <w:sz w:val="24"/>
          <w:szCs w:val="24"/>
        </w:rPr>
        <w:t>enture. Without the contract coming into existence</w:t>
      </w:r>
      <w:r w:rsidR="00C409F5">
        <w:rPr>
          <w:rFonts w:ascii="Arial" w:hAnsi="Arial" w:cs="Arial"/>
          <w:sz w:val="24"/>
          <w:szCs w:val="24"/>
        </w:rPr>
        <w:t>,</w:t>
      </w:r>
      <w:r w:rsidR="00413BCA">
        <w:rPr>
          <w:rFonts w:ascii="Arial" w:hAnsi="Arial" w:cs="Arial"/>
          <w:sz w:val="24"/>
          <w:szCs w:val="24"/>
        </w:rPr>
        <w:t xml:space="preserve"> their appointment would fall by the </w:t>
      </w:r>
      <w:r w:rsidR="00413BCA">
        <w:rPr>
          <w:rFonts w:ascii="Arial" w:hAnsi="Arial" w:cs="Arial"/>
          <w:sz w:val="24"/>
          <w:szCs w:val="24"/>
        </w:rPr>
        <w:lastRenderedPageBreak/>
        <w:t xml:space="preserve">wayside. </w:t>
      </w:r>
      <w:r>
        <w:rPr>
          <w:rFonts w:ascii="Arial" w:hAnsi="Arial" w:cs="Arial"/>
          <w:sz w:val="24"/>
          <w:szCs w:val="24"/>
        </w:rPr>
        <w:t xml:space="preserve">This is made very clear </w:t>
      </w:r>
      <w:r w:rsidR="009238B1">
        <w:rPr>
          <w:rFonts w:ascii="Arial" w:hAnsi="Arial" w:cs="Arial"/>
          <w:sz w:val="24"/>
          <w:szCs w:val="24"/>
        </w:rPr>
        <w:t>in the notification to the joint v</w:t>
      </w:r>
      <w:r w:rsidR="009B5C88">
        <w:rPr>
          <w:rFonts w:ascii="Arial" w:hAnsi="Arial" w:cs="Arial"/>
          <w:sz w:val="24"/>
          <w:szCs w:val="24"/>
        </w:rPr>
        <w:t xml:space="preserve">enture by the </w:t>
      </w:r>
      <w:r w:rsidR="00D630AB">
        <w:rPr>
          <w:rFonts w:ascii="Arial" w:hAnsi="Arial" w:cs="Arial"/>
          <w:sz w:val="24"/>
          <w:szCs w:val="24"/>
        </w:rPr>
        <w:t>a</w:t>
      </w:r>
      <w:r w:rsidR="003B52EC">
        <w:rPr>
          <w:rFonts w:ascii="Arial" w:hAnsi="Arial" w:cs="Arial"/>
          <w:sz w:val="24"/>
          <w:szCs w:val="24"/>
        </w:rPr>
        <w:t>rchitect</w:t>
      </w:r>
      <w:r w:rsidR="009B5C88">
        <w:rPr>
          <w:rFonts w:ascii="Arial" w:hAnsi="Arial" w:cs="Arial"/>
          <w:sz w:val="24"/>
          <w:szCs w:val="24"/>
        </w:rPr>
        <w:t>. The letter o</w:t>
      </w:r>
      <w:r w:rsidR="009238B1">
        <w:rPr>
          <w:rFonts w:ascii="Arial" w:hAnsi="Arial" w:cs="Arial"/>
          <w:sz w:val="24"/>
          <w:szCs w:val="24"/>
        </w:rPr>
        <w:t>f 8 December 2016 informed the joint v</w:t>
      </w:r>
      <w:r w:rsidR="009B5C88">
        <w:rPr>
          <w:rFonts w:ascii="Arial" w:hAnsi="Arial" w:cs="Arial"/>
          <w:sz w:val="24"/>
          <w:szCs w:val="24"/>
        </w:rPr>
        <w:t>enture that its tender was accepted ‘subject to the following conditions’ which included the submission of a guarantee within seven days. This conditionality is again referred to at the end of the letter where it is expressly stated that the contract (following the award of the tender) can only be finalised</w:t>
      </w:r>
      <w:r w:rsidR="00540A61">
        <w:rPr>
          <w:rFonts w:ascii="Arial" w:hAnsi="Arial" w:cs="Arial"/>
          <w:sz w:val="24"/>
          <w:szCs w:val="24"/>
        </w:rPr>
        <w:t xml:space="preserve"> and signed</w:t>
      </w:r>
      <w:r w:rsidR="009B5C88">
        <w:rPr>
          <w:rFonts w:ascii="Arial" w:hAnsi="Arial" w:cs="Arial"/>
          <w:sz w:val="24"/>
          <w:szCs w:val="24"/>
        </w:rPr>
        <w:t xml:space="preserve"> once the conditions had been fulfilled. It</w:t>
      </w:r>
      <w:r w:rsidR="00C409F5">
        <w:rPr>
          <w:rFonts w:ascii="Arial" w:hAnsi="Arial" w:cs="Arial"/>
          <w:sz w:val="24"/>
          <w:szCs w:val="24"/>
        </w:rPr>
        <w:t xml:space="preserve"> is also clear from the letter of</w:t>
      </w:r>
      <w:r w:rsidR="009B5C88">
        <w:rPr>
          <w:rFonts w:ascii="Arial" w:hAnsi="Arial" w:cs="Arial"/>
          <w:sz w:val="24"/>
          <w:szCs w:val="24"/>
        </w:rPr>
        <w:t xml:space="preserve"> the </w:t>
      </w:r>
      <w:r w:rsidR="00A22BA1">
        <w:rPr>
          <w:rFonts w:ascii="Arial" w:hAnsi="Arial" w:cs="Arial"/>
          <w:sz w:val="24"/>
          <w:szCs w:val="24"/>
        </w:rPr>
        <w:t>r</w:t>
      </w:r>
      <w:r w:rsidR="003B52EC">
        <w:rPr>
          <w:rFonts w:ascii="Arial" w:hAnsi="Arial" w:cs="Arial"/>
          <w:sz w:val="24"/>
          <w:szCs w:val="24"/>
        </w:rPr>
        <w:t>egional council</w:t>
      </w:r>
      <w:r w:rsidR="009B5C88">
        <w:rPr>
          <w:rFonts w:ascii="Arial" w:hAnsi="Arial" w:cs="Arial"/>
          <w:sz w:val="24"/>
          <w:szCs w:val="24"/>
        </w:rPr>
        <w:t xml:space="preserve"> attached to </w:t>
      </w:r>
      <w:r w:rsidR="004E2889">
        <w:rPr>
          <w:rFonts w:ascii="Arial" w:hAnsi="Arial" w:cs="Arial"/>
          <w:sz w:val="24"/>
          <w:szCs w:val="24"/>
        </w:rPr>
        <w:t>t</w:t>
      </w:r>
      <w:r w:rsidR="009B5C88">
        <w:rPr>
          <w:rFonts w:ascii="Arial" w:hAnsi="Arial" w:cs="Arial"/>
          <w:sz w:val="24"/>
          <w:szCs w:val="24"/>
        </w:rPr>
        <w:t xml:space="preserve">he </w:t>
      </w:r>
      <w:r w:rsidR="00D630AB">
        <w:rPr>
          <w:rFonts w:ascii="Arial" w:hAnsi="Arial" w:cs="Arial"/>
          <w:sz w:val="24"/>
          <w:szCs w:val="24"/>
        </w:rPr>
        <w:t>a</w:t>
      </w:r>
      <w:r w:rsidR="003B52EC">
        <w:rPr>
          <w:rFonts w:ascii="Arial" w:hAnsi="Arial" w:cs="Arial"/>
          <w:sz w:val="24"/>
          <w:szCs w:val="24"/>
        </w:rPr>
        <w:t>rchitect</w:t>
      </w:r>
      <w:r w:rsidR="004E2889">
        <w:rPr>
          <w:rFonts w:ascii="Arial" w:hAnsi="Arial" w:cs="Arial"/>
          <w:sz w:val="24"/>
          <w:szCs w:val="24"/>
        </w:rPr>
        <w:t>’s letter</w:t>
      </w:r>
      <w:r w:rsidR="009238B1">
        <w:rPr>
          <w:rFonts w:ascii="Arial" w:hAnsi="Arial" w:cs="Arial"/>
          <w:sz w:val="24"/>
          <w:szCs w:val="24"/>
        </w:rPr>
        <w:t xml:space="preserve"> of</w:t>
      </w:r>
      <w:r w:rsidR="00D630AB">
        <w:rPr>
          <w:rFonts w:ascii="Arial" w:hAnsi="Arial" w:cs="Arial"/>
          <w:sz w:val="24"/>
          <w:szCs w:val="24"/>
        </w:rPr>
        <w:t xml:space="preserve"> </w:t>
      </w:r>
      <w:r w:rsidR="009B5C88">
        <w:rPr>
          <w:rFonts w:ascii="Arial" w:hAnsi="Arial" w:cs="Arial"/>
          <w:sz w:val="24"/>
          <w:szCs w:val="24"/>
        </w:rPr>
        <w:t>1</w:t>
      </w:r>
      <w:r w:rsidR="004B503C">
        <w:rPr>
          <w:rFonts w:ascii="Arial" w:hAnsi="Arial" w:cs="Arial"/>
          <w:sz w:val="24"/>
          <w:szCs w:val="24"/>
        </w:rPr>
        <w:t>3</w:t>
      </w:r>
      <w:r w:rsidR="009B5C88">
        <w:rPr>
          <w:rFonts w:ascii="Arial" w:hAnsi="Arial" w:cs="Arial"/>
          <w:sz w:val="24"/>
          <w:szCs w:val="24"/>
        </w:rPr>
        <w:t xml:space="preserve"> February</w:t>
      </w:r>
      <w:r w:rsidR="00540A61">
        <w:rPr>
          <w:rFonts w:ascii="Arial" w:hAnsi="Arial" w:cs="Arial"/>
          <w:sz w:val="24"/>
          <w:szCs w:val="24"/>
        </w:rPr>
        <w:t xml:space="preserve"> 2017</w:t>
      </w:r>
      <w:r w:rsidR="009B5C88">
        <w:rPr>
          <w:rFonts w:ascii="Arial" w:hAnsi="Arial" w:cs="Arial"/>
          <w:sz w:val="24"/>
          <w:szCs w:val="24"/>
        </w:rPr>
        <w:t xml:space="preserve"> </w:t>
      </w:r>
      <w:r w:rsidR="00E558F1">
        <w:rPr>
          <w:rFonts w:ascii="Arial" w:hAnsi="Arial" w:cs="Arial"/>
          <w:sz w:val="24"/>
          <w:szCs w:val="24"/>
        </w:rPr>
        <w:t>that</w:t>
      </w:r>
      <w:r w:rsidR="009B5C88">
        <w:rPr>
          <w:rFonts w:ascii="Arial" w:hAnsi="Arial" w:cs="Arial"/>
          <w:sz w:val="24"/>
          <w:szCs w:val="24"/>
        </w:rPr>
        <w:t xml:space="preserve"> the </w:t>
      </w:r>
      <w:r w:rsidR="00A22BA1">
        <w:rPr>
          <w:rFonts w:ascii="Arial" w:hAnsi="Arial" w:cs="Arial"/>
          <w:sz w:val="24"/>
          <w:szCs w:val="24"/>
        </w:rPr>
        <w:t>r</w:t>
      </w:r>
      <w:r w:rsidR="003B52EC">
        <w:rPr>
          <w:rFonts w:ascii="Arial" w:hAnsi="Arial" w:cs="Arial"/>
          <w:sz w:val="24"/>
          <w:szCs w:val="24"/>
        </w:rPr>
        <w:t>egional council</w:t>
      </w:r>
      <w:r w:rsidR="009B5C88">
        <w:rPr>
          <w:rFonts w:ascii="Arial" w:hAnsi="Arial" w:cs="Arial"/>
          <w:sz w:val="24"/>
          <w:szCs w:val="24"/>
        </w:rPr>
        <w:t xml:space="preserve"> </w:t>
      </w:r>
      <w:r w:rsidR="00E558F1">
        <w:rPr>
          <w:rFonts w:ascii="Arial" w:hAnsi="Arial" w:cs="Arial"/>
          <w:sz w:val="24"/>
          <w:szCs w:val="24"/>
        </w:rPr>
        <w:t>was of the view</w:t>
      </w:r>
      <w:r w:rsidR="009B5C88">
        <w:rPr>
          <w:rFonts w:ascii="Arial" w:hAnsi="Arial" w:cs="Arial"/>
          <w:sz w:val="24"/>
          <w:szCs w:val="24"/>
        </w:rPr>
        <w:t xml:space="preserve"> that the ‘contractor disqualified himself’ </w:t>
      </w:r>
      <w:r w:rsidR="00492EBB">
        <w:rPr>
          <w:rFonts w:ascii="Arial" w:hAnsi="Arial" w:cs="Arial"/>
          <w:sz w:val="24"/>
          <w:szCs w:val="24"/>
        </w:rPr>
        <w:t xml:space="preserve">by </w:t>
      </w:r>
      <w:r w:rsidR="00540A61">
        <w:rPr>
          <w:rFonts w:ascii="Arial" w:hAnsi="Arial" w:cs="Arial"/>
          <w:sz w:val="24"/>
          <w:szCs w:val="24"/>
        </w:rPr>
        <w:t>not submitting the guarantee timeously</w:t>
      </w:r>
      <w:r w:rsidR="009B5C88">
        <w:rPr>
          <w:rFonts w:ascii="Arial" w:hAnsi="Arial" w:cs="Arial"/>
          <w:sz w:val="24"/>
          <w:szCs w:val="24"/>
        </w:rPr>
        <w:t>.</w:t>
      </w:r>
      <w:r w:rsidR="00C92A6B">
        <w:rPr>
          <w:rFonts w:ascii="Arial" w:hAnsi="Arial" w:cs="Arial"/>
          <w:sz w:val="24"/>
          <w:szCs w:val="24"/>
        </w:rPr>
        <w:t xml:space="preserve"> The </w:t>
      </w:r>
      <w:r w:rsidR="00D630AB">
        <w:rPr>
          <w:rFonts w:ascii="Arial" w:hAnsi="Arial" w:cs="Arial"/>
          <w:sz w:val="24"/>
          <w:szCs w:val="24"/>
        </w:rPr>
        <w:t>a</w:t>
      </w:r>
      <w:r w:rsidR="003B52EC">
        <w:rPr>
          <w:rFonts w:ascii="Arial" w:hAnsi="Arial" w:cs="Arial"/>
          <w:sz w:val="24"/>
          <w:szCs w:val="24"/>
        </w:rPr>
        <w:t>rchitect</w:t>
      </w:r>
      <w:r w:rsidR="00C92A6B">
        <w:rPr>
          <w:rFonts w:ascii="Arial" w:hAnsi="Arial" w:cs="Arial"/>
          <w:sz w:val="24"/>
          <w:szCs w:val="24"/>
        </w:rPr>
        <w:t xml:space="preserve"> advise</w:t>
      </w:r>
      <w:r w:rsidR="00C409F5">
        <w:rPr>
          <w:rFonts w:ascii="Arial" w:hAnsi="Arial" w:cs="Arial"/>
          <w:sz w:val="24"/>
          <w:szCs w:val="24"/>
        </w:rPr>
        <w:t>d</w:t>
      </w:r>
      <w:r w:rsidR="009238B1">
        <w:rPr>
          <w:rFonts w:ascii="Arial" w:hAnsi="Arial" w:cs="Arial"/>
          <w:sz w:val="24"/>
          <w:szCs w:val="24"/>
        </w:rPr>
        <w:t xml:space="preserve"> the joint v</w:t>
      </w:r>
      <w:r w:rsidR="00C92A6B">
        <w:rPr>
          <w:rFonts w:ascii="Arial" w:hAnsi="Arial" w:cs="Arial"/>
          <w:sz w:val="24"/>
          <w:szCs w:val="24"/>
        </w:rPr>
        <w:t>enture that as there was non-compliance with the timeline for the presentation of the guarantee ‘your appointment is cancelled’.</w:t>
      </w:r>
    </w:p>
    <w:p w:rsidR="009C2B82" w:rsidRPr="00A4108A" w:rsidRDefault="009C2B82" w:rsidP="009C2B82">
      <w:pPr>
        <w:pStyle w:val="NoSpacing"/>
        <w:spacing w:line="480" w:lineRule="auto"/>
        <w:jc w:val="both"/>
        <w:rPr>
          <w:rFonts w:ascii="Arial" w:hAnsi="Arial" w:cs="Arial"/>
          <w:sz w:val="24"/>
          <w:szCs w:val="24"/>
        </w:rPr>
      </w:pPr>
    </w:p>
    <w:p w:rsidR="00FB7298" w:rsidRDefault="00192982"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F02BCA">
        <w:rPr>
          <w:rFonts w:ascii="Arial" w:hAnsi="Arial" w:cs="Arial"/>
          <w:sz w:val="24"/>
          <w:szCs w:val="24"/>
        </w:rPr>
        <w:t>,</w:t>
      </w:r>
      <w:r>
        <w:rPr>
          <w:rFonts w:ascii="Arial" w:hAnsi="Arial" w:cs="Arial"/>
          <w:sz w:val="24"/>
          <w:szCs w:val="24"/>
        </w:rPr>
        <w:t xml:space="preserve"> the use of the word </w:t>
      </w:r>
      <w:r w:rsidR="00471055">
        <w:rPr>
          <w:rFonts w:ascii="Arial" w:hAnsi="Arial" w:cs="Arial"/>
          <w:sz w:val="24"/>
          <w:szCs w:val="24"/>
        </w:rPr>
        <w:t>‘</w:t>
      </w:r>
      <w:r>
        <w:rPr>
          <w:rFonts w:ascii="Arial" w:hAnsi="Arial" w:cs="Arial"/>
          <w:sz w:val="24"/>
          <w:szCs w:val="24"/>
        </w:rPr>
        <w:t>cancell</w:t>
      </w:r>
      <w:r w:rsidR="00471055">
        <w:rPr>
          <w:rFonts w:ascii="Arial" w:hAnsi="Arial" w:cs="Arial"/>
          <w:sz w:val="24"/>
          <w:szCs w:val="24"/>
        </w:rPr>
        <w:t>ed’</w:t>
      </w:r>
      <w:r>
        <w:rPr>
          <w:rFonts w:ascii="Arial" w:hAnsi="Arial" w:cs="Arial"/>
          <w:sz w:val="24"/>
          <w:szCs w:val="24"/>
        </w:rPr>
        <w:t xml:space="preserve"> by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must not be </w:t>
      </w:r>
      <w:r w:rsidR="00790B77">
        <w:rPr>
          <w:rFonts w:ascii="Arial" w:hAnsi="Arial" w:cs="Arial"/>
          <w:sz w:val="24"/>
          <w:szCs w:val="24"/>
        </w:rPr>
        <w:t>understood</w:t>
      </w:r>
      <w:r>
        <w:rPr>
          <w:rFonts w:ascii="Arial" w:hAnsi="Arial" w:cs="Arial"/>
          <w:sz w:val="24"/>
          <w:szCs w:val="24"/>
        </w:rPr>
        <w:t xml:space="preserve"> out of context and in the sense that a </w:t>
      </w:r>
      <w:r w:rsidR="00C409F5">
        <w:rPr>
          <w:rFonts w:ascii="Arial" w:hAnsi="Arial" w:cs="Arial"/>
          <w:sz w:val="24"/>
          <w:szCs w:val="24"/>
        </w:rPr>
        <w:t>legal practitioner</w:t>
      </w:r>
      <w:r>
        <w:rPr>
          <w:rFonts w:ascii="Arial" w:hAnsi="Arial" w:cs="Arial"/>
          <w:sz w:val="24"/>
          <w:szCs w:val="24"/>
        </w:rPr>
        <w:t xml:space="preserve"> w</w:t>
      </w:r>
      <w:r w:rsidR="00F546CA">
        <w:rPr>
          <w:rFonts w:ascii="Arial" w:hAnsi="Arial" w:cs="Arial"/>
          <w:sz w:val="24"/>
          <w:szCs w:val="24"/>
        </w:rPr>
        <w:t>ould</w:t>
      </w:r>
      <w:r>
        <w:rPr>
          <w:rFonts w:ascii="Arial" w:hAnsi="Arial" w:cs="Arial"/>
          <w:sz w:val="24"/>
          <w:szCs w:val="24"/>
        </w:rPr>
        <w:t xml:space="preserve"> use it, namely to cancel an otherwise binding agreement. As the condition suspended the conclusion of an agreement</w:t>
      </w:r>
      <w:r w:rsidR="00C409F5">
        <w:rPr>
          <w:rFonts w:ascii="Arial" w:hAnsi="Arial" w:cs="Arial"/>
          <w:sz w:val="24"/>
          <w:szCs w:val="24"/>
        </w:rPr>
        <w:t>,</w:t>
      </w:r>
      <w:r>
        <w:rPr>
          <w:rFonts w:ascii="Arial" w:hAnsi="Arial" w:cs="Arial"/>
          <w:sz w:val="24"/>
          <w:szCs w:val="24"/>
        </w:rPr>
        <w:t xml:space="preserve"> it had the effect of a normal </w:t>
      </w:r>
      <w:r w:rsidR="005616D7">
        <w:rPr>
          <w:rFonts w:ascii="Arial" w:hAnsi="Arial" w:cs="Arial"/>
          <w:sz w:val="24"/>
          <w:szCs w:val="24"/>
        </w:rPr>
        <w:t>suspensive condition, ie the rights of the parties remain</w:t>
      </w:r>
      <w:r w:rsidR="00D807CF">
        <w:rPr>
          <w:rFonts w:ascii="Arial" w:hAnsi="Arial" w:cs="Arial"/>
          <w:sz w:val="24"/>
          <w:szCs w:val="24"/>
        </w:rPr>
        <w:t>ed</w:t>
      </w:r>
      <w:r w:rsidR="005616D7">
        <w:rPr>
          <w:rFonts w:ascii="Arial" w:hAnsi="Arial" w:cs="Arial"/>
          <w:sz w:val="24"/>
          <w:szCs w:val="24"/>
        </w:rPr>
        <w:t xml:space="preserve"> in abeyance pending the fulfilment of the condition.</w:t>
      </w:r>
      <w:r w:rsidR="005616D7">
        <w:rPr>
          <w:rStyle w:val="FootnoteReference"/>
          <w:rFonts w:ascii="Arial" w:hAnsi="Arial" w:cs="Arial"/>
          <w:sz w:val="24"/>
          <w:szCs w:val="24"/>
        </w:rPr>
        <w:footnoteReference w:id="16"/>
      </w:r>
      <w:r w:rsidR="005616D7">
        <w:rPr>
          <w:rFonts w:ascii="Arial" w:hAnsi="Arial" w:cs="Arial"/>
          <w:sz w:val="24"/>
          <w:szCs w:val="24"/>
        </w:rPr>
        <w:t xml:space="preserve"> Thus</w:t>
      </w:r>
      <w:r w:rsidR="000D48EF">
        <w:rPr>
          <w:rFonts w:ascii="Arial" w:hAnsi="Arial" w:cs="Arial"/>
          <w:sz w:val="24"/>
          <w:szCs w:val="24"/>
        </w:rPr>
        <w:t>,</w:t>
      </w:r>
      <w:r w:rsidR="005616D7">
        <w:rPr>
          <w:rFonts w:ascii="Arial" w:hAnsi="Arial" w:cs="Arial"/>
          <w:sz w:val="24"/>
          <w:szCs w:val="24"/>
        </w:rPr>
        <w:t xml:space="preserve"> upon non-fulfilment </w:t>
      </w:r>
      <w:r w:rsidR="00D807CF">
        <w:rPr>
          <w:rFonts w:ascii="Arial" w:hAnsi="Arial" w:cs="Arial"/>
          <w:sz w:val="24"/>
          <w:szCs w:val="24"/>
        </w:rPr>
        <w:t xml:space="preserve">of the condition </w:t>
      </w:r>
      <w:r w:rsidR="009238B1">
        <w:rPr>
          <w:rFonts w:ascii="Arial" w:hAnsi="Arial" w:cs="Arial"/>
          <w:sz w:val="24"/>
          <w:szCs w:val="24"/>
        </w:rPr>
        <w:t>the appointment of the joint v</w:t>
      </w:r>
      <w:r w:rsidR="00E440B2">
        <w:rPr>
          <w:rFonts w:ascii="Arial" w:hAnsi="Arial" w:cs="Arial"/>
          <w:sz w:val="24"/>
          <w:szCs w:val="24"/>
        </w:rPr>
        <w:t>enture fell by the wayside. There was no need to cancel anything. Indeed there was nothing to cancel once the condition</w:t>
      </w:r>
      <w:r w:rsidR="00C409F5">
        <w:rPr>
          <w:rFonts w:ascii="Arial" w:hAnsi="Arial" w:cs="Arial"/>
          <w:sz w:val="24"/>
          <w:szCs w:val="24"/>
        </w:rPr>
        <w:t>,</w:t>
      </w:r>
      <w:r w:rsidR="00E440B2">
        <w:rPr>
          <w:rFonts w:ascii="Arial" w:hAnsi="Arial" w:cs="Arial"/>
          <w:sz w:val="24"/>
          <w:szCs w:val="24"/>
        </w:rPr>
        <w:t xml:space="preserve"> was not fulfi</w:t>
      </w:r>
      <w:r w:rsidR="009238B1">
        <w:rPr>
          <w:rFonts w:ascii="Arial" w:hAnsi="Arial" w:cs="Arial"/>
          <w:sz w:val="24"/>
          <w:szCs w:val="24"/>
        </w:rPr>
        <w:t>lled as the appointment of the joint v</w:t>
      </w:r>
      <w:r w:rsidR="00E440B2">
        <w:rPr>
          <w:rFonts w:ascii="Arial" w:hAnsi="Arial" w:cs="Arial"/>
          <w:sz w:val="24"/>
          <w:szCs w:val="24"/>
        </w:rPr>
        <w:t xml:space="preserve">enture automatically lapsed. The authority of the </w:t>
      </w:r>
      <w:r w:rsidR="00D630AB">
        <w:rPr>
          <w:rFonts w:ascii="Arial" w:hAnsi="Arial" w:cs="Arial"/>
          <w:sz w:val="24"/>
          <w:szCs w:val="24"/>
        </w:rPr>
        <w:t>a</w:t>
      </w:r>
      <w:r w:rsidR="003B52EC">
        <w:rPr>
          <w:rFonts w:ascii="Arial" w:hAnsi="Arial" w:cs="Arial"/>
          <w:sz w:val="24"/>
          <w:szCs w:val="24"/>
        </w:rPr>
        <w:t>rchitect</w:t>
      </w:r>
      <w:r w:rsidR="00E440B2">
        <w:rPr>
          <w:rFonts w:ascii="Arial" w:hAnsi="Arial" w:cs="Arial"/>
          <w:sz w:val="24"/>
          <w:szCs w:val="24"/>
        </w:rPr>
        <w:t xml:space="preserve"> </w:t>
      </w:r>
      <w:r w:rsidR="00D630AB">
        <w:rPr>
          <w:rFonts w:ascii="Arial" w:hAnsi="Arial" w:cs="Arial"/>
          <w:sz w:val="24"/>
          <w:szCs w:val="24"/>
        </w:rPr>
        <w:t>or the d</w:t>
      </w:r>
      <w:r w:rsidR="0030030A" w:rsidRPr="0030030A">
        <w:rPr>
          <w:rFonts w:ascii="Arial" w:hAnsi="Arial" w:cs="Arial"/>
          <w:sz w:val="24"/>
          <w:szCs w:val="24"/>
        </w:rPr>
        <w:t>irector</w:t>
      </w:r>
      <w:r w:rsidR="0053046D">
        <w:rPr>
          <w:rFonts w:ascii="Arial" w:hAnsi="Arial" w:cs="Arial"/>
          <w:sz w:val="24"/>
          <w:szCs w:val="24"/>
        </w:rPr>
        <w:t xml:space="preserve"> to cancel is irrelevant as the</w:t>
      </w:r>
      <w:r w:rsidR="009238B1">
        <w:rPr>
          <w:rFonts w:ascii="Arial" w:hAnsi="Arial" w:cs="Arial"/>
          <w:sz w:val="24"/>
          <w:szCs w:val="24"/>
        </w:rPr>
        <w:t>y did not cancel anything. The j</w:t>
      </w:r>
      <w:r w:rsidR="00790B77">
        <w:rPr>
          <w:rFonts w:ascii="Arial" w:hAnsi="Arial" w:cs="Arial"/>
          <w:sz w:val="24"/>
          <w:szCs w:val="24"/>
        </w:rPr>
        <w:t>oint v</w:t>
      </w:r>
      <w:r w:rsidR="0053046D">
        <w:rPr>
          <w:rFonts w:ascii="Arial" w:hAnsi="Arial" w:cs="Arial"/>
          <w:sz w:val="24"/>
          <w:szCs w:val="24"/>
        </w:rPr>
        <w:t xml:space="preserve">enture’s appointment simply came to an end when it failed to </w:t>
      </w:r>
      <w:r w:rsidR="0053046D">
        <w:rPr>
          <w:rFonts w:ascii="Arial" w:hAnsi="Arial" w:cs="Arial"/>
          <w:sz w:val="24"/>
          <w:szCs w:val="24"/>
        </w:rPr>
        <w:lastRenderedPageBreak/>
        <w:t xml:space="preserve">provide </w:t>
      </w:r>
      <w:r w:rsidR="00D807CF">
        <w:rPr>
          <w:rFonts w:ascii="Arial" w:hAnsi="Arial" w:cs="Arial"/>
          <w:sz w:val="24"/>
          <w:szCs w:val="24"/>
        </w:rPr>
        <w:t xml:space="preserve">the </w:t>
      </w:r>
      <w:r w:rsidR="0053046D">
        <w:rPr>
          <w:rFonts w:ascii="Arial" w:hAnsi="Arial" w:cs="Arial"/>
          <w:sz w:val="24"/>
          <w:szCs w:val="24"/>
        </w:rPr>
        <w:t>guarantee timeously. Despite the use of the word ‘cancell</w:t>
      </w:r>
      <w:r w:rsidR="00471055">
        <w:rPr>
          <w:rFonts w:ascii="Arial" w:hAnsi="Arial" w:cs="Arial"/>
          <w:sz w:val="24"/>
          <w:szCs w:val="24"/>
        </w:rPr>
        <w:t>ed</w:t>
      </w:r>
      <w:r w:rsidR="0053046D">
        <w:rPr>
          <w:rFonts w:ascii="Arial" w:hAnsi="Arial" w:cs="Arial"/>
          <w:sz w:val="24"/>
          <w:szCs w:val="24"/>
        </w:rPr>
        <w:t xml:space="preserve">’ by the </w:t>
      </w:r>
      <w:r w:rsidR="00D630AB">
        <w:rPr>
          <w:rFonts w:ascii="Arial" w:hAnsi="Arial" w:cs="Arial"/>
          <w:sz w:val="24"/>
          <w:szCs w:val="24"/>
        </w:rPr>
        <w:t>a</w:t>
      </w:r>
      <w:r w:rsidR="003B52EC">
        <w:rPr>
          <w:rFonts w:ascii="Arial" w:hAnsi="Arial" w:cs="Arial"/>
          <w:sz w:val="24"/>
          <w:szCs w:val="24"/>
        </w:rPr>
        <w:t>rchitect</w:t>
      </w:r>
      <w:r w:rsidR="00C409F5">
        <w:rPr>
          <w:rFonts w:ascii="Arial" w:hAnsi="Arial" w:cs="Arial"/>
          <w:sz w:val="24"/>
          <w:szCs w:val="24"/>
        </w:rPr>
        <w:t>,</w:t>
      </w:r>
      <w:r w:rsidR="0053046D">
        <w:rPr>
          <w:rFonts w:ascii="Arial" w:hAnsi="Arial" w:cs="Arial"/>
          <w:sz w:val="24"/>
          <w:szCs w:val="24"/>
        </w:rPr>
        <w:t xml:space="preserve"> it is clear what she intended to say was that there was non-compliance by the </w:t>
      </w:r>
      <w:r w:rsidR="009238B1">
        <w:rPr>
          <w:rFonts w:ascii="Arial" w:hAnsi="Arial" w:cs="Arial"/>
          <w:sz w:val="24"/>
          <w:szCs w:val="24"/>
        </w:rPr>
        <w:t>joint v</w:t>
      </w:r>
      <w:r w:rsidR="0053046D">
        <w:rPr>
          <w:rFonts w:ascii="Arial" w:hAnsi="Arial" w:cs="Arial"/>
          <w:sz w:val="24"/>
          <w:szCs w:val="24"/>
        </w:rPr>
        <w:t xml:space="preserve">enture to adhere to the terms of the condition relating to the guarantee </w:t>
      </w:r>
      <w:r w:rsidR="0030030A">
        <w:rPr>
          <w:rFonts w:ascii="Arial" w:hAnsi="Arial" w:cs="Arial"/>
          <w:sz w:val="24"/>
          <w:szCs w:val="24"/>
        </w:rPr>
        <w:t xml:space="preserve">timeously </w:t>
      </w:r>
      <w:r w:rsidR="003A7A65">
        <w:rPr>
          <w:rFonts w:ascii="Arial" w:hAnsi="Arial" w:cs="Arial"/>
          <w:sz w:val="24"/>
          <w:szCs w:val="24"/>
        </w:rPr>
        <w:t xml:space="preserve">and </w:t>
      </w:r>
      <w:r w:rsidR="0030030A">
        <w:rPr>
          <w:rFonts w:ascii="Arial" w:hAnsi="Arial" w:cs="Arial"/>
          <w:sz w:val="24"/>
          <w:szCs w:val="24"/>
        </w:rPr>
        <w:t xml:space="preserve">that </w:t>
      </w:r>
      <w:r w:rsidR="003A7A65">
        <w:rPr>
          <w:rFonts w:ascii="Arial" w:hAnsi="Arial" w:cs="Arial"/>
          <w:sz w:val="24"/>
          <w:szCs w:val="24"/>
        </w:rPr>
        <w:t xml:space="preserve">is what </w:t>
      </w:r>
      <w:r w:rsidR="0030030A">
        <w:rPr>
          <w:rFonts w:ascii="Arial" w:hAnsi="Arial" w:cs="Arial"/>
          <w:sz w:val="24"/>
          <w:szCs w:val="24"/>
        </w:rPr>
        <w:t>led to the termination of the appointment.</w:t>
      </w:r>
    </w:p>
    <w:p w:rsidR="000B770E" w:rsidRDefault="000B770E" w:rsidP="00650752">
      <w:pPr>
        <w:pStyle w:val="NoSpacing"/>
        <w:spacing w:line="480" w:lineRule="auto"/>
        <w:jc w:val="both"/>
        <w:rPr>
          <w:rFonts w:ascii="Arial" w:hAnsi="Arial" w:cs="Arial"/>
          <w:sz w:val="24"/>
          <w:szCs w:val="24"/>
        </w:rPr>
      </w:pPr>
    </w:p>
    <w:p w:rsidR="00FB7298" w:rsidRDefault="0030030A"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If the delay in the submission of the guarantee was agreed to by the </w:t>
      </w:r>
      <w:r w:rsidR="003A7A65">
        <w:rPr>
          <w:rFonts w:ascii="Arial" w:hAnsi="Arial" w:cs="Arial"/>
          <w:sz w:val="24"/>
          <w:szCs w:val="24"/>
        </w:rPr>
        <w:t>Min</w:t>
      </w:r>
      <w:r w:rsidR="00662DFD">
        <w:rPr>
          <w:rFonts w:ascii="Arial" w:hAnsi="Arial" w:cs="Arial"/>
          <w:sz w:val="24"/>
          <w:szCs w:val="24"/>
        </w:rPr>
        <w:t>istry of Education or the said m</w:t>
      </w:r>
      <w:r w:rsidR="003A7A65">
        <w:rPr>
          <w:rFonts w:ascii="Arial" w:hAnsi="Arial" w:cs="Arial"/>
          <w:sz w:val="24"/>
          <w:szCs w:val="24"/>
        </w:rPr>
        <w:t>inistry</w:t>
      </w:r>
      <w:r>
        <w:rPr>
          <w:rFonts w:ascii="Arial" w:hAnsi="Arial" w:cs="Arial"/>
          <w:sz w:val="24"/>
          <w:szCs w:val="24"/>
        </w:rPr>
        <w:t xml:space="preserve"> had </w:t>
      </w:r>
      <w:r w:rsidR="003A7A65">
        <w:rPr>
          <w:rFonts w:ascii="Arial" w:hAnsi="Arial" w:cs="Arial"/>
          <w:sz w:val="24"/>
          <w:szCs w:val="24"/>
        </w:rPr>
        <w:t>re</w:t>
      </w:r>
      <w:r w:rsidR="009238B1">
        <w:rPr>
          <w:rFonts w:ascii="Arial" w:hAnsi="Arial" w:cs="Arial"/>
          <w:sz w:val="24"/>
          <w:szCs w:val="24"/>
        </w:rPr>
        <w:t>presented to the joint v</w:t>
      </w:r>
      <w:r>
        <w:rPr>
          <w:rFonts w:ascii="Arial" w:hAnsi="Arial" w:cs="Arial"/>
          <w:sz w:val="24"/>
          <w:szCs w:val="24"/>
        </w:rPr>
        <w:t>enture that its representative had authority to agree to an extension of the time period involve</w:t>
      </w:r>
      <w:r w:rsidR="003A7A65">
        <w:rPr>
          <w:rFonts w:ascii="Arial" w:hAnsi="Arial" w:cs="Arial"/>
          <w:sz w:val="24"/>
          <w:szCs w:val="24"/>
        </w:rPr>
        <w:t>d</w:t>
      </w:r>
      <w:r w:rsidR="00E558F1">
        <w:rPr>
          <w:rFonts w:ascii="Arial" w:hAnsi="Arial" w:cs="Arial"/>
          <w:sz w:val="24"/>
          <w:szCs w:val="24"/>
        </w:rPr>
        <w:t>,</w:t>
      </w:r>
      <w:r>
        <w:rPr>
          <w:rFonts w:ascii="Arial" w:hAnsi="Arial" w:cs="Arial"/>
          <w:sz w:val="24"/>
          <w:szCs w:val="24"/>
        </w:rPr>
        <w:t xml:space="preserve"> it may </w:t>
      </w:r>
      <w:r w:rsidR="003A7A65">
        <w:rPr>
          <w:rFonts w:ascii="Arial" w:hAnsi="Arial" w:cs="Arial"/>
          <w:sz w:val="24"/>
          <w:szCs w:val="24"/>
        </w:rPr>
        <w:t xml:space="preserve">have </w:t>
      </w:r>
      <w:r>
        <w:rPr>
          <w:rFonts w:ascii="Arial" w:hAnsi="Arial" w:cs="Arial"/>
          <w:sz w:val="24"/>
          <w:szCs w:val="24"/>
        </w:rPr>
        <w:t>be</w:t>
      </w:r>
      <w:r w:rsidR="003A7A65">
        <w:rPr>
          <w:rFonts w:ascii="Arial" w:hAnsi="Arial" w:cs="Arial"/>
          <w:sz w:val="24"/>
          <w:szCs w:val="24"/>
        </w:rPr>
        <w:t>en</w:t>
      </w:r>
      <w:r>
        <w:rPr>
          <w:rFonts w:ascii="Arial" w:hAnsi="Arial" w:cs="Arial"/>
          <w:sz w:val="24"/>
          <w:szCs w:val="24"/>
        </w:rPr>
        <w:t xml:space="preserve"> estopped from denying the lack of authority. </w:t>
      </w:r>
      <w:r w:rsidR="00FC30C4">
        <w:rPr>
          <w:rFonts w:ascii="Arial" w:hAnsi="Arial" w:cs="Arial"/>
          <w:sz w:val="24"/>
          <w:szCs w:val="24"/>
        </w:rPr>
        <w:t xml:space="preserve">Where the </w:t>
      </w:r>
      <w:r w:rsidR="00A22BA1">
        <w:rPr>
          <w:rFonts w:ascii="Arial" w:hAnsi="Arial" w:cs="Arial"/>
          <w:sz w:val="24"/>
          <w:szCs w:val="24"/>
        </w:rPr>
        <w:t>r</w:t>
      </w:r>
      <w:r w:rsidR="003B52EC">
        <w:rPr>
          <w:rFonts w:ascii="Arial" w:hAnsi="Arial" w:cs="Arial"/>
          <w:sz w:val="24"/>
          <w:szCs w:val="24"/>
        </w:rPr>
        <w:t>egional council</w:t>
      </w:r>
      <w:r w:rsidR="00FC30C4">
        <w:rPr>
          <w:rFonts w:ascii="Arial" w:hAnsi="Arial" w:cs="Arial"/>
          <w:sz w:val="24"/>
          <w:szCs w:val="24"/>
        </w:rPr>
        <w:t xml:space="preserve"> as agent of the Ministry of Education had agreed to extend the deadline of the filing of the guarantee</w:t>
      </w:r>
      <w:r w:rsidR="00C409F5">
        <w:rPr>
          <w:rFonts w:ascii="Arial" w:hAnsi="Arial" w:cs="Arial"/>
          <w:sz w:val="24"/>
          <w:szCs w:val="24"/>
        </w:rPr>
        <w:t>,</w:t>
      </w:r>
      <w:r w:rsidR="00FC30C4">
        <w:rPr>
          <w:rFonts w:ascii="Arial" w:hAnsi="Arial" w:cs="Arial"/>
          <w:sz w:val="24"/>
          <w:szCs w:val="24"/>
        </w:rPr>
        <w:t xml:space="preserve"> then there may have been some basis to argue </w:t>
      </w:r>
      <w:r w:rsidR="0000507D">
        <w:rPr>
          <w:rFonts w:ascii="Arial" w:hAnsi="Arial" w:cs="Arial"/>
          <w:sz w:val="24"/>
          <w:szCs w:val="24"/>
        </w:rPr>
        <w:t>that it had implied authority to do so. Also</w:t>
      </w:r>
      <w:r w:rsidR="00C409F5">
        <w:rPr>
          <w:rFonts w:ascii="Arial" w:hAnsi="Arial" w:cs="Arial"/>
          <w:sz w:val="24"/>
          <w:szCs w:val="24"/>
        </w:rPr>
        <w:t>,</w:t>
      </w:r>
      <w:r w:rsidR="0000507D">
        <w:rPr>
          <w:rFonts w:ascii="Arial" w:hAnsi="Arial" w:cs="Arial"/>
          <w:sz w:val="24"/>
          <w:szCs w:val="24"/>
        </w:rPr>
        <w:t xml:space="preserve"> </w:t>
      </w:r>
      <w:r w:rsidR="009238B1">
        <w:rPr>
          <w:rFonts w:ascii="Arial" w:hAnsi="Arial" w:cs="Arial"/>
          <w:sz w:val="24"/>
          <w:szCs w:val="24"/>
        </w:rPr>
        <w:t>if they had represented to the joint v</w:t>
      </w:r>
      <w:r w:rsidR="0000507D">
        <w:rPr>
          <w:rFonts w:ascii="Arial" w:hAnsi="Arial" w:cs="Arial"/>
          <w:sz w:val="24"/>
          <w:szCs w:val="24"/>
        </w:rPr>
        <w:t xml:space="preserve">enture that the </w:t>
      </w:r>
      <w:r w:rsidR="00D630AB">
        <w:rPr>
          <w:rFonts w:ascii="Arial" w:hAnsi="Arial" w:cs="Arial"/>
          <w:sz w:val="24"/>
          <w:szCs w:val="24"/>
        </w:rPr>
        <w:t>a</w:t>
      </w:r>
      <w:r w:rsidR="003B52EC">
        <w:rPr>
          <w:rFonts w:ascii="Arial" w:hAnsi="Arial" w:cs="Arial"/>
          <w:sz w:val="24"/>
          <w:szCs w:val="24"/>
        </w:rPr>
        <w:t>rchitect</w:t>
      </w:r>
      <w:r w:rsidR="0000507D">
        <w:rPr>
          <w:rFonts w:ascii="Arial" w:hAnsi="Arial" w:cs="Arial"/>
          <w:sz w:val="24"/>
          <w:szCs w:val="24"/>
        </w:rPr>
        <w:t xml:space="preserve"> had the authority to extend the deadline to </w:t>
      </w:r>
      <w:r w:rsidR="00492EBB">
        <w:rPr>
          <w:rFonts w:ascii="Arial" w:hAnsi="Arial" w:cs="Arial"/>
          <w:sz w:val="24"/>
          <w:szCs w:val="24"/>
        </w:rPr>
        <w:t>submit</w:t>
      </w:r>
      <w:r w:rsidR="0000507D">
        <w:rPr>
          <w:rFonts w:ascii="Arial" w:hAnsi="Arial" w:cs="Arial"/>
          <w:sz w:val="24"/>
          <w:szCs w:val="24"/>
        </w:rPr>
        <w:t xml:space="preserve"> the guarantee</w:t>
      </w:r>
      <w:r w:rsidR="00C409F5">
        <w:rPr>
          <w:rFonts w:ascii="Arial" w:hAnsi="Arial" w:cs="Arial"/>
          <w:sz w:val="24"/>
          <w:szCs w:val="24"/>
        </w:rPr>
        <w:t>,</w:t>
      </w:r>
      <w:r w:rsidR="0000507D">
        <w:rPr>
          <w:rFonts w:ascii="Arial" w:hAnsi="Arial" w:cs="Arial"/>
          <w:sz w:val="24"/>
          <w:szCs w:val="24"/>
        </w:rPr>
        <w:t xml:space="preserve"> the question of estoppel might have </w:t>
      </w:r>
      <w:r w:rsidR="00492EBB">
        <w:rPr>
          <w:rFonts w:ascii="Arial" w:hAnsi="Arial" w:cs="Arial"/>
          <w:sz w:val="24"/>
          <w:szCs w:val="24"/>
        </w:rPr>
        <w:t>a</w:t>
      </w:r>
      <w:r w:rsidR="0000507D">
        <w:rPr>
          <w:rFonts w:ascii="Arial" w:hAnsi="Arial" w:cs="Arial"/>
          <w:sz w:val="24"/>
          <w:szCs w:val="24"/>
        </w:rPr>
        <w:t xml:space="preserve">risen. On the facts of this matter, as will become apparent below, it is not necessary to decide the ambit of the authority of the </w:t>
      </w:r>
      <w:r w:rsidR="00A22BA1">
        <w:rPr>
          <w:rFonts w:ascii="Arial" w:hAnsi="Arial" w:cs="Arial"/>
          <w:sz w:val="24"/>
          <w:szCs w:val="24"/>
        </w:rPr>
        <w:t>r</w:t>
      </w:r>
      <w:r w:rsidR="003B52EC">
        <w:rPr>
          <w:rFonts w:ascii="Arial" w:hAnsi="Arial" w:cs="Arial"/>
          <w:sz w:val="24"/>
          <w:szCs w:val="24"/>
        </w:rPr>
        <w:t>egional council</w:t>
      </w:r>
      <w:r w:rsidR="0000507D">
        <w:rPr>
          <w:rFonts w:ascii="Arial" w:hAnsi="Arial" w:cs="Arial"/>
          <w:sz w:val="24"/>
          <w:szCs w:val="24"/>
        </w:rPr>
        <w:t xml:space="preserve">. </w:t>
      </w:r>
      <w:r>
        <w:rPr>
          <w:rFonts w:ascii="Arial" w:hAnsi="Arial" w:cs="Arial"/>
          <w:sz w:val="24"/>
          <w:szCs w:val="24"/>
        </w:rPr>
        <w:t xml:space="preserve">The court </w:t>
      </w:r>
      <w:r w:rsidRPr="0030030A">
        <w:rPr>
          <w:rFonts w:ascii="Arial" w:hAnsi="Arial" w:cs="Arial"/>
          <w:i/>
          <w:sz w:val="24"/>
          <w:szCs w:val="24"/>
        </w:rPr>
        <w:t>a quo</w:t>
      </w:r>
      <w:r>
        <w:rPr>
          <w:rFonts w:ascii="Arial" w:hAnsi="Arial" w:cs="Arial"/>
          <w:sz w:val="24"/>
          <w:szCs w:val="24"/>
        </w:rPr>
        <w:t xml:space="preserve"> found that neither 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nor the </w:t>
      </w:r>
      <w:r w:rsidRPr="00A22BA1">
        <w:rPr>
          <w:rFonts w:ascii="Arial" w:hAnsi="Arial" w:cs="Arial"/>
          <w:sz w:val="24"/>
          <w:szCs w:val="24"/>
        </w:rPr>
        <w:t xml:space="preserve">Director of the </w:t>
      </w:r>
      <w:r w:rsidR="00A22BA1" w:rsidRPr="00A22BA1">
        <w:rPr>
          <w:rFonts w:ascii="Arial" w:hAnsi="Arial" w:cs="Arial"/>
          <w:sz w:val="24"/>
          <w:szCs w:val="24"/>
        </w:rPr>
        <w:t>Regional C</w:t>
      </w:r>
      <w:r w:rsidR="003B52EC" w:rsidRPr="00A22BA1">
        <w:rPr>
          <w:rFonts w:ascii="Arial" w:hAnsi="Arial" w:cs="Arial"/>
          <w:sz w:val="24"/>
          <w:szCs w:val="24"/>
        </w:rPr>
        <w:t>ouncil</w:t>
      </w:r>
      <w:r w:rsidR="000E5B8C">
        <w:rPr>
          <w:rFonts w:ascii="Arial" w:hAnsi="Arial" w:cs="Arial"/>
          <w:sz w:val="24"/>
          <w:szCs w:val="24"/>
        </w:rPr>
        <w:t xml:space="preserve"> had the authority to agree to the extension. In my view</w:t>
      </w:r>
      <w:r w:rsidR="00C409F5">
        <w:rPr>
          <w:rFonts w:ascii="Arial" w:hAnsi="Arial" w:cs="Arial"/>
          <w:sz w:val="24"/>
          <w:szCs w:val="24"/>
        </w:rPr>
        <w:t>,</w:t>
      </w:r>
      <w:r w:rsidR="000E5B8C">
        <w:rPr>
          <w:rFonts w:ascii="Arial" w:hAnsi="Arial" w:cs="Arial"/>
          <w:sz w:val="24"/>
          <w:szCs w:val="24"/>
        </w:rPr>
        <w:t xml:space="preserve"> this finding was the correct one. It is clear that </w:t>
      </w:r>
      <w:r w:rsidR="00E558F1">
        <w:rPr>
          <w:rFonts w:ascii="Arial" w:hAnsi="Arial" w:cs="Arial"/>
          <w:sz w:val="24"/>
          <w:szCs w:val="24"/>
        </w:rPr>
        <w:t xml:space="preserve">none of </w:t>
      </w:r>
      <w:r w:rsidR="000E5B8C">
        <w:rPr>
          <w:rFonts w:ascii="Arial" w:hAnsi="Arial" w:cs="Arial"/>
          <w:sz w:val="24"/>
          <w:szCs w:val="24"/>
        </w:rPr>
        <w:t>these persons</w:t>
      </w:r>
      <w:r w:rsidR="003A7A65">
        <w:rPr>
          <w:rFonts w:ascii="Arial" w:hAnsi="Arial" w:cs="Arial"/>
          <w:sz w:val="24"/>
          <w:szCs w:val="24"/>
        </w:rPr>
        <w:t xml:space="preserve"> had</w:t>
      </w:r>
      <w:r w:rsidR="000E5B8C">
        <w:rPr>
          <w:rFonts w:ascii="Arial" w:hAnsi="Arial" w:cs="Arial"/>
          <w:sz w:val="24"/>
          <w:szCs w:val="24"/>
        </w:rPr>
        <w:t xml:space="preserve"> express authority to grant extensions. I must point out in passing that</w:t>
      </w:r>
      <w:r w:rsidR="00C409F5">
        <w:rPr>
          <w:rFonts w:ascii="Arial" w:hAnsi="Arial" w:cs="Arial"/>
          <w:sz w:val="24"/>
          <w:szCs w:val="24"/>
        </w:rPr>
        <w:t>,</w:t>
      </w:r>
      <w:r w:rsidR="000E5B8C">
        <w:rPr>
          <w:rFonts w:ascii="Arial" w:hAnsi="Arial" w:cs="Arial"/>
          <w:sz w:val="24"/>
          <w:szCs w:val="24"/>
        </w:rPr>
        <w:t xml:space="preserve"> there is no evidence to suggest that any </w:t>
      </w:r>
      <w:r w:rsidR="003A7A65">
        <w:rPr>
          <w:rFonts w:ascii="Arial" w:hAnsi="Arial" w:cs="Arial"/>
          <w:sz w:val="24"/>
          <w:szCs w:val="24"/>
        </w:rPr>
        <w:t>official</w:t>
      </w:r>
      <w:r w:rsidR="000E5B8C">
        <w:rPr>
          <w:rFonts w:ascii="Arial" w:hAnsi="Arial" w:cs="Arial"/>
          <w:sz w:val="24"/>
          <w:szCs w:val="24"/>
        </w:rPr>
        <w:t xml:space="preserve"> from the regional authority granted any extension. N</w:t>
      </w:r>
      <w:r w:rsidR="002E7DE0">
        <w:rPr>
          <w:rFonts w:ascii="Arial" w:hAnsi="Arial" w:cs="Arial"/>
          <w:sz w:val="24"/>
          <w:szCs w:val="24"/>
        </w:rPr>
        <w:t>o</w:t>
      </w:r>
      <w:r w:rsidR="000E5B8C">
        <w:rPr>
          <w:rFonts w:ascii="Arial" w:hAnsi="Arial" w:cs="Arial"/>
          <w:sz w:val="24"/>
          <w:szCs w:val="24"/>
        </w:rPr>
        <w:t xml:space="preserve">r did they have implied or </w:t>
      </w:r>
      <w:r w:rsidR="003A7A65">
        <w:rPr>
          <w:rFonts w:ascii="Arial" w:hAnsi="Arial" w:cs="Arial"/>
          <w:sz w:val="24"/>
          <w:szCs w:val="24"/>
        </w:rPr>
        <w:t>ostensible</w:t>
      </w:r>
      <w:r w:rsidR="000E5B8C">
        <w:rPr>
          <w:rFonts w:ascii="Arial" w:hAnsi="Arial" w:cs="Arial"/>
          <w:sz w:val="24"/>
          <w:szCs w:val="24"/>
        </w:rPr>
        <w:t xml:space="preserve"> authority.</w:t>
      </w:r>
      <w:r w:rsidR="00AB199D">
        <w:rPr>
          <w:rFonts w:ascii="Arial" w:hAnsi="Arial" w:cs="Arial"/>
          <w:sz w:val="24"/>
          <w:szCs w:val="24"/>
        </w:rPr>
        <w:t xml:space="preserve"> An </w:t>
      </w:r>
      <w:r w:rsidR="00D630AB">
        <w:rPr>
          <w:rFonts w:ascii="Arial" w:hAnsi="Arial" w:cs="Arial"/>
          <w:sz w:val="24"/>
          <w:szCs w:val="24"/>
        </w:rPr>
        <w:t>a</w:t>
      </w:r>
      <w:r w:rsidR="003B52EC">
        <w:rPr>
          <w:rFonts w:ascii="Arial" w:hAnsi="Arial" w:cs="Arial"/>
          <w:sz w:val="24"/>
          <w:szCs w:val="24"/>
        </w:rPr>
        <w:t>rchitect</w:t>
      </w:r>
      <w:r w:rsidR="00AB199D">
        <w:rPr>
          <w:rFonts w:ascii="Arial" w:hAnsi="Arial" w:cs="Arial"/>
          <w:sz w:val="24"/>
          <w:szCs w:val="24"/>
        </w:rPr>
        <w:t xml:space="preserve"> does not have the implied authority to alter the terms of a contract.</w:t>
      </w:r>
      <w:r w:rsidR="00AB199D">
        <w:rPr>
          <w:rStyle w:val="FootnoteReference"/>
          <w:rFonts w:ascii="Arial" w:hAnsi="Arial" w:cs="Arial"/>
          <w:sz w:val="24"/>
          <w:szCs w:val="24"/>
        </w:rPr>
        <w:footnoteReference w:id="17"/>
      </w:r>
      <w:r w:rsidR="005C16BA">
        <w:rPr>
          <w:rFonts w:ascii="Arial" w:hAnsi="Arial" w:cs="Arial"/>
          <w:sz w:val="24"/>
          <w:szCs w:val="24"/>
        </w:rPr>
        <w:t xml:space="preserve"> To a</w:t>
      </w:r>
      <w:r w:rsidR="00492EBB">
        <w:rPr>
          <w:rFonts w:ascii="Arial" w:hAnsi="Arial" w:cs="Arial"/>
          <w:sz w:val="24"/>
          <w:szCs w:val="24"/>
        </w:rPr>
        <w:t>ccept</w:t>
      </w:r>
      <w:r w:rsidR="005C16BA">
        <w:rPr>
          <w:rFonts w:ascii="Arial" w:hAnsi="Arial" w:cs="Arial"/>
          <w:sz w:val="24"/>
          <w:szCs w:val="24"/>
        </w:rPr>
        <w:t xml:space="preserve"> such </w:t>
      </w:r>
      <w:r w:rsidR="00471055" w:rsidRPr="00471055">
        <w:rPr>
          <w:rFonts w:ascii="Arial" w:hAnsi="Arial" w:cs="Arial"/>
          <w:sz w:val="24"/>
          <w:szCs w:val="24"/>
        </w:rPr>
        <w:t>implied</w:t>
      </w:r>
      <w:r w:rsidR="00492EBB">
        <w:rPr>
          <w:rFonts w:ascii="Arial" w:hAnsi="Arial" w:cs="Arial"/>
          <w:sz w:val="24"/>
          <w:szCs w:val="24"/>
        </w:rPr>
        <w:t xml:space="preserve"> </w:t>
      </w:r>
      <w:r w:rsidR="005C16BA">
        <w:rPr>
          <w:rFonts w:ascii="Arial" w:hAnsi="Arial" w:cs="Arial"/>
          <w:sz w:val="24"/>
          <w:szCs w:val="24"/>
        </w:rPr>
        <w:t xml:space="preserve">authority to </w:t>
      </w:r>
      <w:r w:rsidR="00492EBB">
        <w:rPr>
          <w:rFonts w:ascii="Arial" w:hAnsi="Arial" w:cs="Arial"/>
          <w:sz w:val="24"/>
          <w:szCs w:val="24"/>
        </w:rPr>
        <w:t xml:space="preserve">extend time periods attached to </w:t>
      </w:r>
      <w:r w:rsidR="00471055">
        <w:rPr>
          <w:rFonts w:ascii="Arial" w:hAnsi="Arial" w:cs="Arial"/>
          <w:sz w:val="24"/>
          <w:szCs w:val="24"/>
        </w:rPr>
        <w:t xml:space="preserve">the </w:t>
      </w:r>
      <w:r w:rsidR="00492EBB">
        <w:rPr>
          <w:rFonts w:ascii="Arial" w:hAnsi="Arial" w:cs="Arial"/>
          <w:sz w:val="24"/>
          <w:szCs w:val="24"/>
        </w:rPr>
        <w:t xml:space="preserve">conditions </w:t>
      </w:r>
      <w:r w:rsidR="00471055">
        <w:rPr>
          <w:rFonts w:ascii="Arial" w:hAnsi="Arial" w:cs="Arial"/>
          <w:sz w:val="24"/>
          <w:szCs w:val="24"/>
        </w:rPr>
        <w:t>precedent</w:t>
      </w:r>
      <w:r w:rsidR="005C16BA">
        <w:rPr>
          <w:rFonts w:ascii="Arial" w:hAnsi="Arial" w:cs="Arial"/>
          <w:sz w:val="24"/>
          <w:szCs w:val="24"/>
        </w:rPr>
        <w:t xml:space="preserve"> </w:t>
      </w:r>
      <w:r w:rsidR="005C16BA">
        <w:rPr>
          <w:rFonts w:ascii="Arial" w:hAnsi="Arial" w:cs="Arial"/>
          <w:sz w:val="24"/>
          <w:szCs w:val="24"/>
        </w:rPr>
        <w:lastRenderedPageBreak/>
        <w:t xml:space="preserve">would be to allow an </w:t>
      </w:r>
      <w:r w:rsidR="00D630AB">
        <w:rPr>
          <w:rFonts w:ascii="Arial" w:hAnsi="Arial" w:cs="Arial"/>
          <w:sz w:val="24"/>
          <w:szCs w:val="24"/>
        </w:rPr>
        <w:t>a</w:t>
      </w:r>
      <w:r w:rsidR="003B52EC">
        <w:rPr>
          <w:rFonts w:ascii="Arial" w:hAnsi="Arial" w:cs="Arial"/>
          <w:sz w:val="24"/>
          <w:szCs w:val="24"/>
        </w:rPr>
        <w:t>rchitect</w:t>
      </w:r>
      <w:r w:rsidR="005C16BA">
        <w:rPr>
          <w:rFonts w:ascii="Arial" w:hAnsi="Arial" w:cs="Arial"/>
          <w:sz w:val="24"/>
          <w:szCs w:val="24"/>
        </w:rPr>
        <w:t xml:space="preserve"> to resurrect the </w:t>
      </w:r>
      <w:r w:rsidR="003A7A65">
        <w:rPr>
          <w:rFonts w:ascii="Arial" w:hAnsi="Arial" w:cs="Arial"/>
          <w:sz w:val="24"/>
          <w:szCs w:val="24"/>
        </w:rPr>
        <w:t xml:space="preserve">whole </w:t>
      </w:r>
      <w:r w:rsidR="005C16BA">
        <w:rPr>
          <w:rFonts w:ascii="Arial" w:hAnsi="Arial" w:cs="Arial"/>
          <w:sz w:val="24"/>
          <w:szCs w:val="24"/>
        </w:rPr>
        <w:t>contract wh</w:t>
      </w:r>
      <w:r w:rsidR="003A7A65">
        <w:rPr>
          <w:rFonts w:ascii="Arial" w:hAnsi="Arial" w:cs="Arial"/>
          <w:sz w:val="24"/>
          <w:szCs w:val="24"/>
        </w:rPr>
        <w:t>en</w:t>
      </w:r>
      <w:r w:rsidR="005C16BA">
        <w:rPr>
          <w:rFonts w:ascii="Arial" w:hAnsi="Arial" w:cs="Arial"/>
          <w:sz w:val="24"/>
          <w:szCs w:val="24"/>
        </w:rPr>
        <w:t xml:space="preserve"> he or she does not have the power to alter a single claus</w:t>
      </w:r>
      <w:r w:rsidR="005C1F58">
        <w:rPr>
          <w:rFonts w:ascii="Arial" w:hAnsi="Arial" w:cs="Arial"/>
          <w:sz w:val="24"/>
          <w:szCs w:val="24"/>
        </w:rPr>
        <w:t>e. This, in my view</w:t>
      </w:r>
      <w:r w:rsidR="00F02BCA">
        <w:rPr>
          <w:rFonts w:ascii="Arial" w:hAnsi="Arial" w:cs="Arial"/>
          <w:sz w:val="24"/>
          <w:szCs w:val="24"/>
        </w:rPr>
        <w:t>,</w:t>
      </w:r>
      <w:r w:rsidR="005C1F58">
        <w:rPr>
          <w:rFonts w:ascii="Arial" w:hAnsi="Arial" w:cs="Arial"/>
          <w:sz w:val="24"/>
          <w:szCs w:val="24"/>
        </w:rPr>
        <w:t xml:space="preserve"> cannot be the positon in law.</w:t>
      </w:r>
      <w:r w:rsidR="001D1893">
        <w:rPr>
          <w:rFonts w:ascii="Arial" w:hAnsi="Arial" w:cs="Arial"/>
          <w:sz w:val="24"/>
          <w:szCs w:val="24"/>
        </w:rPr>
        <w:t xml:space="preserve"> It was the representative of the </w:t>
      </w:r>
      <w:r w:rsidR="00A22BA1">
        <w:rPr>
          <w:rFonts w:ascii="Arial" w:hAnsi="Arial" w:cs="Arial"/>
          <w:sz w:val="24"/>
          <w:szCs w:val="24"/>
        </w:rPr>
        <w:t>r</w:t>
      </w:r>
      <w:r w:rsidR="003B52EC">
        <w:rPr>
          <w:rFonts w:ascii="Arial" w:hAnsi="Arial" w:cs="Arial"/>
          <w:sz w:val="24"/>
          <w:szCs w:val="24"/>
        </w:rPr>
        <w:t>egional council</w:t>
      </w:r>
      <w:r w:rsidR="001D1893">
        <w:rPr>
          <w:rFonts w:ascii="Arial" w:hAnsi="Arial" w:cs="Arial"/>
          <w:sz w:val="24"/>
          <w:szCs w:val="24"/>
        </w:rPr>
        <w:t xml:space="preserve"> who discussed this issue with an offici</w:t>
      </w:r>
      <w:r w:rsidR="003A7A65">
        <w:rPr>
          <w:rFonts w:ascii="Arial" w:hAnsi="Arial" w:cs="Arial"/>
          <w:sz w:val="24"/>
          <w:szCs w:val="24"/>
        </w:rPr>
        <w:t>al of the Ministry of Education</w:t>
      </w:r>
      <w:r w:rsidR="001D1893">
        <w:rPr>
          <w:rFonts w:ascii="Arial" w:hAnsi="Arial" w:cs="Arial"/>
          <w:sz w:val="24"/>
          <w:szCs w:val="24"/>
        </w:rPr>
        <w:t xml:space="preserve"> (the principal). Subsequent to this discussion</w:t>
      </w:r>
      <w:r w:rsidR="00C409F5">
        <w:rPr>
          <w:rFonts w:ascii="Arial" w:hAnsi="Arial" w:cs="Arial"/>
          <w:sz w:val="24"/>
          <w:szCs w:val="24"/>
        </w:rPr>
        <w:t>,</w:t>
      </w:r>
      <w:r w:rsidR="001D1893">
        <w:rPr>
          <w:rFonts w:ascii="Arial" w:hAnsi="Arial" w:cs="Arial"/>
          <w:sz w:val="24"/>
          <w:szCs w:val="24"/>
        </w:rPr>
        <w:t xml:space="preserve"> the letter from the </w:t>
      </w:r>
      <w:r w:rsidR="00D630AB">
        <w:rPr>
          <w:rFonts w:ascii="Arial" w:hAnsi="Arial" w:cs="Arial"/>
          <w:sz w:val="24"/>
          <w:szCs w:val="24"/>
        </w:rPr>
        <w:t>a</w:t>
      </w:r>
      <w:r w:rsidR="003B52EC">
        <w:rPr>
          <w:rFonts w:ascii="Arial" w:hAnsi="Arial" w:cs="Arial"/>
          <w:sz w:val="24"/>
          <w:szCs w:val="24"/>
        </w:rPr>
        <w:t>rchitect</w:t>
      </w:r>
      <w:r w:rsidR="001D1893">
        <w:rPr>
          <w:rFonts w:ascii="Arial" w:hAnsi="Arial" w:cs="Arial"/>
          <w:sz w:val="24"/>
          <w:szCs w:val="24"/>
        </w:rPr>
        <w:t xml:space="preserve"> followed</w:t>
      </w:r>
      <w:r w:rsidR="009238B1">
        <w:rPr>
          <w:rFonts w:ascii="Arial" w:hAnsi="Arial" w:cs="Arial"/>
          <w:sz w:val="24"/>
          <w:szCs w:val="24"/>
        </w:rPr>
        <w:t xml:space="preserve"> stating </w:t>
      </w:r>
      <w:r w:rsidR="00132528">
        <w:rPr>
          <w:rFonts w:ascii="Arial" w:hAnsi="Arial" w:cs="Arial"/>
          <w:sz w:val="24"/>
          <w:szCs w:val="24"/>
        </w:rPr>
        <w:t xml:space="preserve">that </w:t>
      </w:r>
      <w:r w:rsidR="009238B1">
        <w:rPr>
          <w:rFonts w:ascii="Arial" w:hAnsi="Arial" w:cs="Arial"/>
          <w:sz w:val="24"/>
          <w:szCs w:val="24"/>
        </w:rPr>
        <w:t>the joint v</w:t>
      </w:r>
      <w:r w:rsidR="00B4549F">
        <w:rPr>
          <w:rFonts w:ascii="Arial" w:hAnsi="Arial" w:cs="Arial"/>
          <w:sz w:val="24"/>
          <w:szCs w:val="24"/>
        </w:rPr>
        <w:t>enture had disqualified itself by not fulfilling the condition. The principal thus</w:t>
      </w:r>
      <w:r w:rsidR="000D48EF">
        <w:rPr>
          <w:rFonts w:ascii="Arial" w:hAnsi="Arial" w:cs="Arial"/>
          <w:sz w:val="24"/>
          <w:szCs w:val="24"/>
        </w:rPr>
        <w:t>,</w:t>
      </w:r>
      <w:r w:rsidR="00B4549F">
        <w:rPr>
          <w:rFonts w:ascii="Arial" w:hAnsi="Arial" w:cs="Arial"/>
          <w:sz w:val="24"/>
          <w:szCs w:val="24"/>
        </w:rPr>
        <w:t xml:space="preserve"> certainly did not authorise the extension of this time period for the submission of the guarantee. Neither did the principal’s agent, namely the </w:t>
      </w:r>
      <w:r w:rsidR="00A22BA1">
        <w:rPr>
          <w:rFonts w:ascii="Arial" w:hAnsi="Arial" w:cs="Arial"/>
          <w:sz w:val="24"/>
          <w:szCs w:val="24"/>
        </w:rPr>
        <w:t>r</w:t>
      </w:r>
      <w:r w:rsidR="003B52EC">
        <w:rPr>
          <w:rFonts w:ascii="Arial" w:hAnsi="Arial" w:cs="Arial"/>
          <w:sz w:val="24"/>
          <w:szCs w:val="24"/>
        </w:rPr>
        <w:t>egional council</w:t>
      </w:r>
      <w:r w:rsidR="00B4549F">
        <w:rPr>
          <w:rFonts w:ascii="Arial" w:hAnsi="Arial" w:cs="Arial"/>
          <w:sz w:val="24"/>
          <w:szCs w:val="24"/>
        </w:rPr>
        <w:t xml:space="preserve"> do anything to suggest that the period could be extended.</w:t>
      </w:r>
    </w:p>
    <w:p w:rsidR="003A7A65" w:rsidRDefault="003A7A65" w:rsidP="003A7A65">
      <w:pPr>
        <w:pStyle w:val="NoSpacing"/>
        <w:spacing w:line="480" w:lineRule="auto"/>
        <w:jc w:val="both"/>
        <w:rPr>
          <w:rFonts w:ascii="Arial" w:hAnsi="Arial" w:cs="Arial"/>
          <w:sz w:val="24"/>
          <w:szCs w:val="24"/>
        </w:rPr>
      </w:pPr>
    </w:p>
    <w:p w:rsidR="000B770E" w:rsidRPr="000B770E" w:rsidRDefault="00B4549F"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have already alluded to how estoppel was raised as a cause of action rather than</w:t>
      </w:r>
      <w:r w:rsidR="003A7A65">
        <w:rPr>
          <w:rFonts w:ascii="Arial" w:hAnsi="Arial" w:cs="Arial"/>
          <w:sz w:val="24"/>
          <w:szCs w:val="24"/>
        </w:rPr>
        <w:t xml:space="preserve"> a</w:t>
      </w:r>
      <w:r w:rsidR="00EC24A8">
        <w:rPr>
          <w:rFonts w:ascii="Arial" w:hAnsi="Arial" w:cs="Arial"/>
          <w:sz w:val="24"/>
          <w:szCs w:val="24"/>
        </w:rPr>
        <w:t xml:space="preserve"> shield of defence. This in itself should have been the end of the application in the normal course. However</w:t>
      </w:r>
      <w:r w:rsidR="00C409F5">
        <w:rPr>
          <w:rFonts w:ascii="Arial" w:hAnsi="Arial" w:cs="Arial"/>
          <w:sz w:val="24"/>
          <w:szCs w:val="24"/>
        </w:rPr>
        <w:t>,</w:t>
      </w:r>
      <w:r w:rsidR="00EC24A8">
        <w:rPr>
          <w:rFonts w:ascii="Arial" w:hAnsi="Arial" w:cs="Arial"/>
          <w:sz w:val="24"/>
          <w:szCs w:val="24"/>
        </w:rPr>
        <w:t xml:space="preserve"> actual authority was </w:t>
      </w:r>
      <w:r w:rsidR="003A7A65">
        <w:rPr>
          <w:rFonts w:ascii="Arial" w:hAnsi="Arial" w:cs="Arial"/>
          <w:sz w:val="24"/>
          <w:szCs w:val="24"/>
        </w:rPr>
        <w:t xml:space="preserve">raised in </w:t>
      </w:r>
      <w:r w:rsidR="00EC24A8">
        <w:rPr>
          <w:rFonts w:ascii="Arial" w:hAnsi="Arial" w:cs="Arial"/>
          <w:sz w:val="24"/>
          <w:szCs w:val="24"/>
        </w:rPr>
        <w:t>reply and the respondent</w:t>
      </w:r>
      <w:r w:rsidR="00FB78C3">
        <w:rPr>
          <w:rFonts w:ascii="Arial" w:hAnsi="Arial" w:cs="Arial"/>
          <w:sz w:val="24"/>
          <w:szCs w:val="24"/>
        </w:rPr>
        <w:t>s</w:t>
      </w:r>
      <w:r w:rsidR="00EC24A8">
        <w:rPr>
          <w:rFonts w:ascii="Arial" w:hAnsi="Arial" w:cs="Arial"/>
          <w:sz w:val="24"/>
          <w:szCs w:val="24"/>
        </w:rPr>
        <w:t xml:space="preserve"> did not take issue with this in the court </w:t>
      </w:r>
      <w:r w:rsidR="00EC24A8" w:rsidRPr="00EC24A8">
        <w:rPr>
          <w:rFonts w:ascii="Arial" w:hAnsi="Arial" w:cs="Arial"/>
          <w:i/>
          <w:sz w:val="24"/>
          <w:szCs w:val="24"/>
        </w:rPr>
        <w:t>a quo</w:t>
      </w:r>
      <w:r w:rsidR="00EC24A8">
        <w:rPr>
          <w:rFonts w:ascii="Arial" w:hAnsi="Arial" w:cs="Arial"/>
          <w:sz w:val="24"/>
          <w:szCs w:val="24"/>
        </w:rPr>
        <w:t xml:space="preserve"> or in this court. It seem</w:t>
      </w:r>
      <w:r w:rsidR="00C409F5">
        <w:rPr>
          <w:rFonts w:ascii="Arial" w:hAnsi="Arial" w:cs="Arial"/>
          <w:sz w:val="24"/>
          <w:szCs w:val="24"/>
        </w:rPr>
        <w:t>ed</w:t>
      </w:r>
      <w:r w:rsidR="00EC24A8">
        <w:rPr>
          <w:rFonts w:ascii="Arial" w:hAnsi="Arial" w:cs="Arial"/>
          <w:sz w:val="24"/>
          <w:szCs w:val="24"/>
        </w:rPr>
        <w:t xml:space="preserve"> that the legal representative</w:t>
      </w:r>
      <w:r w:rsidR="003A7A65">
        <w:rPr>
          <w:rFonts w:ascii="Arial" w:hAnsi="Arial" w:cs="Arial"/>
          <w:sz w:val="24"/>
          <w:szCs w:val="24"/>
        </w:rPr>
        <w:t>s</w:t>
      </w:r>
      <w:r w:rsidR="00EC24A8">
        <w:rPr>
          <w:rFonts w:ascii="Arial" w:hAnsi="Arial" w:cs="Arial"/>
          <w:sz w:val="24"/>
          <w:szCs w:val="24"/>
        </w:rPr>
        <w:t xml:space="preserve"> of the parties were of the view that</w:t>
      </w:r>
      <w:r w:rsidR="00C409F5">
        <w:rPr>
          <w:rFonts w:ascii="Arial" w:hAnsi="Arial" w:cs="Arial"/>
          <w:sz w:val="24"/>
          <w:szCs w:val="24"/>
        </w:rPr>
        <w:t>,</w:t>
      </w:r>
      <w:r w:rsidR="00EC24A8">
        <w:rPr>
          <w:rFonts w:ascii="Arial" w:hAnsi="Arial" w:cs="Arial"/>
          <w:sz w:val="24"/>
          <w:szCs w:val="24"/>
        </w:rPr>
        <w:t xml:space="preserve"> all the relevant facts relating to the issue of authority and estoppel were before court</w:t>
      </w:r>
      <w:r w:rsidR="00C409F5">
        <w:rPr>
          <w:rFonts w:ascii="Arial" w:hAnsi="Arial" w:cs="Arial"/>
          <w:sz w:val="24"/>
          <w:szCs w:val="24"/>
        </w:rPr>
        <w:t xml:space="preserve">, </w:t>
      </w:r>
      <w:r w:rsidR="00EC24A8">
        <w:rPr>
          <w:rFonts w:ascii="Arial" w:hAnsi="Arial" w:cs="Arial"/>
          <w:sz w:val="24"/>
          <w:szCs w:val="24"/>
        </w:rPr>
        <w:t>hence</w:t>
      </w:r>
      <w:r w:rsidR="00C409F5">
        <w:rPr>
          <w:rFonts w:ascii="Arial" w:hAnsi="Arial" w:cs="Arial"/>
          <w:sz w:val="24"/>
          <w:szCs w:val="24"/>
        </w:rPr>
        <w:t>,</w:t>
      </w:r>
      <w:r w:rsidR="00EC24A8">
        <w:rPr>
          <w:rFonts w:ascii="Arial" w:hAnsi="Arial" w:cs="Arial"/>
          <w:sz w:val="24"/>
          <w:szCs w:val="24"/>
        </w:rPr>
        <w:t xml:space="preserve"> th</w:t>
      </w:r>
      <w:r w:rsidR="00C409F5">
        <w:rPr>
          <w:rFonts w:ascii="Arial" w:hAnsi="Arial" w:cs="Arial"/>
          <w:sz w:val="24"/>
          <w:szCs w:val="24"/>
        </w:rPr>
        <w:t xml:space="preserve">ey </w:t>
      </w:r>
      <w:r w:rsidR="00EC24A8">
        <w:rPr>
          <w:rFonts w:ascii="Arial" w:hAnsi="Arial" w:cs="Arial"/>
          <w:sz w:val="24"/>
          <w:szCs w:val="24"/>
        </w:rPr>
        <w:t>should be determine</w:t>
      </w:r>
      <w:r w:rsidR="003A7A65">
        <w:rPr>
          <w:rFonts w:ascii="Arial" w:hAnsi="Arial" w:cs="Arial"/>
          <w:sz w:val="24"/>
          <w:szCs w:val="24"/>
        </w:rPr>
        <w:t>d</w:t>
      </w:r>
      <w:r w:rsidR="00EC24A8">
        <w:rPr>
          <w:rFonts w:ascii="Arial" w:hAnsi="Arial" w:cs="Arial"/>
          <w:sz w:val="24"/>
          <w:szCs w:val="24"/>
        </w:rPr>
        <w:t>. These are the circumstances under which I also deal with th</w:t>
      </w:r>
      <w:r w:rsidR="00C409F5">
        <w:rPr>
          <w:rFonts w:ascii="Arial" w:hAnsi="Arial" w:cs="Arial"/>
          <w:sz w:val="24"/>
          <w:szCs w:val="24"/>
        </w:rPr>
        <w:t>ese</w:t>
      </w:r>
      <w:r w:rsidR="00EC24A8">
        <w:rPr>
          <w:rFonts w:ascii="Arial" w:hAnsi="Arial" w:cs="Arial"/>
          <w:sz w:val="24"/>
          <w:szCs w:val="24"/>
        </w:rPr>
        <w:t xml:space="preserve"> aspect</w:t>
      </w:r>
      <w:r w:rsidR="00C409F5">
        <w:rPr>
          <w:rFonts w:ascii="Arial" w:hAnsi="Arial" w:cs="Arial"/>
          <w:sz w:val="24"/>
          <w:szCs w:val="24"/>
        </w:rPr>
        <w:t>s</w:t>
      </w:r>
      <w:r w:rsidR="003A7A65">
        <w:rPr>
          <w:rFonts w:ascii="Arial" w:hAnsi="Arial" w:cs="Arial"/>
          <w:sz w:val="24"/>
          <w:szCs w:val="24"/>
        </w:rPr>
        <w:t>.</w:t>
      </w:r>
    </w:p>
    <w:p w:rsidR="000B770E" w:rsidRDefault="000B770E" w:rsidP="00650752">
      <w:pPr>
        <w:pStyle w:val="NoSpacing"/>
        <w:spacing w:line="480" w:lineRule="auto"/>
        <w:jc w:val="both"/>
        <w:rPr>
          <w:rFonts w:ascii="Arial" w:hAnsi="Arial" w:cs="Arial"/>
          <w:sz w:val="24"/>
          <w:szCs w:val="24"/>
        </w:rPr>
      </w:pPr>
    </w:p>
    <w:p w:rsidR="00FB7298" w:rsidRDefault="00EC24A8"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must</w:t>
      </w:r>
      <w:r w:rsidR="000D48EF">
        <w:rPr>
          <w:rFonts w:ascii="Arial" w:hAnsi="Arial" w:cs="Arial"/>
          <w:sz w:val="24"/>
          <w:szCs w:val="24"/>
        </w:rPr>
        <w:t xml:space="preserve"> point out that the estoppel issue was raised in the context of the main application. In other words</w:t>
      </w:r>
      <w:r w:rsidR="003525D7">
        <w:rPr>
          <w:rFonts w:ascii="Arial" w:hAnsi="Arial" w:cs="Arial"/>
          <w:sz w:val="24"/>
          <w:szCs w:val="24"/>
        </w:rPr>
        <w:t>,</w:t>
      </w:r>
      <w:r w:rsidR="000D48EF">
        <w:rPr>
          <w:rFonts w:ascii="Arial" w:hAnsi="Arial" w:cs="Arial"/>
          <w:sz w:val="24"/>
          <w:szCs w:val="24"/>
        </w:rPr>
        <w:t xml:space="preserve"> the applicants ave</w:t>
      </w:r>
      <w:r w:rsidR="003A7A65">
        <w:rPr>
          <w:rFonts w:ascii="Arial" w:hAnsi="Arial" w:cs="Arial"/>
          <w:sz w:val="24"/>
          <w:szCs w:val="24"/>
        </w:rPr>
        <w:t>rred</w:t>
      </w:r>
      <w:r w:rsidR="000D48EF">
        <w:rPr>
          <w:rFonts w:ascii="Arial" w:hAnsi="Arial" w:cs="Arial"/>
          <w:sz w:val="24"/>
          <w:szCs w:val="24"/>
        </w:rPr>
        <w:t xml:space="preserve"> that the respondents were estopped from denying the authority of the </w:t>
      </w:r>
      <w:r w:rsidR="00D630AB">
        <w:rPr>
          <w:rFonts w:ascii="Arial" w:hAnsi="Arial" w:cs="Arial"/>
          <w:sz w:val="24"/>
          <w:szCs w:val="24"/>
        </w:rPr>
        <w:t>a</w:t>
      </w:r>
      <w:r w:rsidR="003B52EC">
        <w:rPr>
          <w:rFonts w:ascii="Arial" w:hAnsi="Arial" w:cs="Arial"/>
          <w:sz w:val="24"/>
          <w:szCs w:val="24"/>
        </w:rPr>
        <w:t>rchitect</w:t>
      </w:r>
      <w:r w:rsidR="000D48EF">
        <w:rPr>
          <w:rFonts w:ascii="Arial" w:hAnsi="Arial" w:cs="Arial"/>
          <w:sz w:val="24"/>
          <w:szCs w:val="24"/>
        </w:rPr>
        <w:t xml:space="preserve"> to extend the deadline for the submission of the guarantee. No estoppel was raised in respect of the counter application. Thus, there was no allegation </w:t>
      </w:r>
      <w:r w:rsidR="00553922">
        <w:rPr>
          <w:rFonts w:ascii="Arial" w:hAnsi="Arial" w:cs="Arial"/>
          <w:sz w:val="24"/>
          <w:szCs w:val="24"/>
        </w:rPr>
        <w:t xml:space="preserve">that the respondents were estopped from denying that authorisation for the project had been given by the Treasury. The court </w:t>
      </w:r>
      <w:r w:rsidR="00553922" w:rsidRPr="00553922">
        <w:rPr>
          <w:rFonts w:ascii="Arial" w:hAnsi="Arial" w:cs="Arial"/>
          <w:i/>
          <w:sz w:val="24"/>
          <w:szCs w:val="24"/>
        </w:rPr>
        <w:t>a quo</w:t>
      </w:r>
      <w:r w:rsidR="00553922">
        <w:rPr>
          <w:rFonts w:ascii="Arial" w:hAnsi="Arial" w:cs="Arial"/>
          <w:sz w:val="24"/>
          <w:szCs w:val="24"/>
        </w:rPr>
        <w:t xml:space="preserve"> however dealt with the estoppel issue as if an estoppel was raised against the respondents so as to neutralise </w:t>
      </w:r>
      <w:r w:rsidR="00553922">
        <w:rPr>
          <w:rFonts w:ascii="Arial" w:hAnsi="Arial" w:cs="Arial"/>
          <w:sz w:val="24"/>
          <w:szCs w:val="24"/>
        </w:rPr>
        <w:lastRenderedPageBreak/>
        <w:t xml:space="preserve">the point that there was non-compliance with s 17 of the State Finance Act. This was a misdirection </w:t>
      </w:r>
      <w:r w:rsidR="006A5ACC">
        <w:rPr>
          <w:rFonts w:ascii="Arial" w:hAnsi="Arial" w:cs="Arial"/>
          <w:sz w:val="24"/>
          <w:szCs w:val="24"/>
        </w:rPr>
        <w:t xml:space="preserve">as estoppel </w:t>
      </w:r>
      <w:r w:rsidR="00FD37E6">
        <w:rPr>
          <w:rFonts w:ascii="Arial" w:hAnsi="Arial" w:cs="Arial"/>
          <w:sz w:val="24"/>
          <w:szCs w:val="24"/>
        </w:rPr>
        <w:t xml:space="preserve">was not raised in this </w:t>
      </w:r>
      <w:r w:rsidR="003A7A65">
        <w:rPr>
          <w:rFonts w:ascii="Arial" w:hAnsi="Arial" w:cs="Arial"/>
          <w:sz w:val="24"/>
          <w:szCs w:val="24"/>
        </w:rPr>
        <w:t>context</w:t>
      </w:r>
      <w:r w:rsidR="00FD37E6">
        <w:rPr>
          <w:rFonts w:ascii="Arial" w:hAnsi="Arial" w:cs="Arial"/>
          <w:sz w:val="24"/>
          <w:szCs w:val="24"/>
        </w:rPr>
        <w:t>.</w:t>
      </w:r>
    </w:p>
    <w:p w:rsidR="00A9474B" w:rsidRDefault="00A9474B" w:rsidP="00A9474B">
      <w:pPr>
        <w:pStyle w:val="NoSpacing"/>
        <w:spacing w:line="480" w:lineRule="auto"/>
        <w:jc w:val="both"/>
        <w:rPr>
          <w:rFonts w:ascii="Arial" w:hAnsi="Arial" w:cs="Arial"/>
          <w:sz w:val="24"/>
          <w:szCs w:val="24"/>
        </w:rPr>
      </w:pPr>
    </w:p>
    <w:p w:rsidR="00FB7298" w:rsidRDefault="009366B6"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For an estoppel to have succeed</w:t>
      </w:r>
      <w:r w:rsidR="003A7A65">
        <w:rPr>
          <w:rFonts w:ascii="Arial" w:hAnsi="Arial" w:cs="Arial"/>
          <w:sz w:val="24"/>
          <w:szCs w:val="24"/>
        </w:rPr>
        <w:t>ed</w:t>
      </w:r>
      <w:r>
        <w:rPr>
          <w:rFonts w:ascii="Arial" w:hAnsi="Arial" w:cs="Arial"/>
          <w:sz w:val="24"/>
          <w:szCs w:val="24"/>
        </w:rPr>
        <w:t xml:space="preserve"> on the authority point in respect whereof it was raised</w:t>
      </w:r>
      <w:r w:rsidR="003525D7">
        <w:rPr>
          <w:rFonts w:ascii="Arial" w:hAnsi="Arial" w:cs="Arial"/>
          <w:sz w:val="24"/>
          <w:szCs w:val="24"/>
        </w:rPr>
        <w:t>,</w:t>
      </w:r>
      <w:r>
        <w:rPr>
          <w:rFonts w:ascii="Arial" w:hAnsi="Arial" w:cs="Arial"/>
          <w:sz w:val="24"/>
          <w:szCs w:val="24"/>
        </w:rPr>
        <w:t xml:space="preserve"> the app</w:t>
      </w:r>
      <w:r w:rsidR="002438F4">
        <w:rPr>
          <w:rFonts w:ascii="Arial" w:hAnsi="Arial" w:cs="Arial"/>
          <w:sz w:val="24"/>
          <w:szCs w:val="24"/>
        </w:rPr>
        <w:t>ellants</w:t>
      </w:r>
      <w:r>
        <w:rPr>
          <w:rFonts w:ascii="Arial" w:hAnsi="Arial" w:cs="Arial"/>
          <w:sz w:val="24"/>
          <w:szCs w:val="24"/>
        </w:rPr>
        <w:t xml:space="preserve"> had to establish </w:t>
      </w:r>
      <w:r w:rsidR="003A7A65">
        <w:rPr>
          <w:rFonts w:ascii="Arial" w:hAnsi="Arial" w:cs="Arial"/>
          <w:sz w:val="24"/>
          <w:szCs w:val="24"/>
        </w:rPr>
        <w:t xml:space="preserve">that </w:t>
      </w:r>
      <w:r>
        <w:rPr>
          <w:rFonts w:ascii="Arial" w:hAnsi="Arial" w:cs="Arial"/>
          <w:sz w:val="24"/>
          <w:szCs w:val="24"/>
        </w:rPr>
        <w:t>the principal, namely</w:t>
      </w:r>
      <w:r w:rsidR="003A7A65">
        <w:rPr>
          <w:rFonts w:ascii="Arial" w:hAnsi="Arial" w:cs="Arial"/>
          <w:sz w:val="24"/>
          <w:szCs w:val="24"/>
        </w:rPr>
        <w:t>, the Ministry of Education</w:t>
      </w:r>
      <w:r>
        <w:rPr>
          <w:rFonts w:ascii="Arial" w:hAnsi="Arial" w:cs="Arial"/>
          <w:sz w:val="24"/>
          <w:szCs w:val="24"/>
        </w:rPr>
        <w:t xml:space="preserve"> had </w:t>
      </w:r>
      <w:r w:rsidR="002438F4">
        <w:rPr>
          <w:rFonts w:ascii="Arial" w:hAnsi="Arial" w:cs="Arial"/>
          <w:sz w:val="24"/>
          <w:szCs w:val="24"/>
        </w:rPr>
        <w:t>re</w:t>
      </w:r>
      <w:r>
        <w:rPr>
          <w:rFonts w:ascii="Arial" w:hAnsi="Arial" w:cs="Arial"/>
          <w:sz w:val="24"/>
          <w:szCs w:val="24"/>
        </w:rPr>
        <w:t xml:space="preserve">presented to it that </w:t>
      </w:r>
      <w:r w:rsidR="003525D7">
        <w:rPr>
          <w:rFonts w:ascii="Arial" w:hAnsi="Arial" w:cs="Arial"/>
          <w:sz w:val="24"/>
          <w:szCs w:val="24"/>
        </w:rPr>
        <w:t xml:space="preserve">the </w:t>
      </w:r>
      <w:r w:rsidR="00D630AB">
        <w:rPr>
          <w:rFonts w:ascii="Arial" w:hAnsi="Arial" w:cs="Arial"/>
          <w:sz w:val="24"/>
          <w:szCs w:val="24"/>
        </w:rPr>
        <w:t>a</w:t>
      </w:r>
      <w:r w:rsidR="003B52EC">
        <w:rPr>
          <w:rFonts w:ascii="Arial" w:hAnsi="Arial" w:cs="Arial"/>
          <w:sz w:val="24"/>
          <w:szCs w:val="24"/>
        </w:rPr>
        <w:t>rchitect</w:t>
      </w:r>
      <w:r>
        <w:rPr>
          <w:rFonts w:ascii="Arial" w:hAnsi="Arial" w:cs="Arial"/>
          <w:sz w:val="24"/>
          <w:szCs w:val="24"/>
        </w:rPr>
        <w:t xml:space="preserve"> </w:t>
      </w:r>
      <w:r w:rsidR="009318AD">
        <w:rPr>
          <w:rFonts w:ascii="Arial" w:hAnsi="Arial" w:cs="Arial"/>
          <w:sz w:val="24"/>
          <w:szCs w:val="24"/>
        </w:rPr>
        <w:t>had the authority to exten</w:t>
      </w:r>
      <w:r w:rsidR="003A7A65">
        <w:rPr>
          <w:rFonts w:ascii="Arial" w:hAnsi="Arial" w:cs="Arial"/>
          <w:sz w:val="24"/>
          <w:szCs w:val="24"/>
        </w:rPr>
        <w:t>d</w:t>
      </w:r>
      <w:r w:rsidR="009318AD">
        <w:rPr>
          <w:rFonts w:ascii="Arial" w:hAnsi="Arial" w:cs="Arial"/>
          <w:sz w:val="24"/>
          <w:szCs w:val="24"/>
        </w:rPr>
        <w:t xml:space="preserve"> the applicable time limit for the delivery of the guarantee. In other words</w:t>
      </w:r>
      <w:r w:rsidR="003525D7">
        <w:rPr>
          <w:rFonts w:ascii="Arial" w:hAnsi="Arial" w:cs="Arial"/>
          <w:sz w:val="24"/>
          <w:szCs w:val="24"/>
        </w:rPr>
        <w:t>,</w:t>
      </w:r>
      <w:r w:rsidR="009318AD">
        <w:rPr>
          <w:rFonts w:ascii="Arial" w:hAnsi="Arial" w:cs="Arial"/>
          <w:sz w:val="24"/>
          <w:szCs w:val="24"/>
        </w:rPr>
        <w:t xml:space="preserve"> the principal must </w:t>
      </w:r>
      <w:r w:rsidR="003A7A65">
        <w:rPr>
          <w:rFonts w:ascii="Arial" w:hAnsi="Arial" w:cs="Arial"/>
          <w:sz w:val="24"/>
          <w:szCs w:val="24"/>
        </w:rPr>
        <w:t xml:space="preserve">have made this </w:t>
      </w:r>
      <w:r w:rsidR="009318AD">
        <w:rPr>
          <w:rFonts w:ascii="Arial" w:hAnsi="Arial" w:cs="Arial"/>
          <w:sz w:val="24"/>
          <w:szCs w:val="24"/>
        </w:rPr>
        <w:t>representation and not the agent.</w:t>
      </w:r>
      <w:r w:rsidR="009318AD">
        <w:rPr>
          <w:rStyle w:val="FootnoteReference"/>
          <w:rFonts w:ascii="Arial" w:hAnsi="Arial" w:cs="Arial"/>
          <w:sz w:val="24"/>
          <w:szCs w:val="24"/>
        </w:rPr>
        <w:footnoteReference w:id="18"/>
      </w:r>
      <w:r w:rsidR="00EC3FB9">
        <w:rPr>
          <w:rFonts w:ascii="Arial" w:hAnsi="Arial" w:cs="Arial"/>
          <w:sz w:val="24"/>
          <w:szCs w:val="24"/>
        </w:rPr>
        <w:t xml:space="preserve"> In this matter</w:t>
      </w:r>
      <w:r w:rsidR="003525D7">
        <w:rPr>
          <w:rFonts w:ascii="Arial" w:hAnsi="Arial" w:cs="Arial"/>
          <w:sz w:val="24"/>
          <w:szCs w:val="24"/>
        </w:rPr>
        <w:t>,</w:t>
      </w:r>
      <w:r w:rsidR="00EC3FB9">
        <w:rPr>
          <w:rFonts w:ascii="Arial" w:hAnsi="Arial" w:cs="Arial"/>
          <w:sz w:val="24"/>
          <w:szCs w:val="24"/>
        </w:rPr>
        <w:t xml:space="preserve"> the agent may have made such representations by allowing the delay and even participating in the process by </w:t>
      </w:r>
      <w:r w:rsidR="003A7A65" w:rsidRPr="002438F4">
        <w:rPr>
          <w:rFonts w:ascii="Arial" w:hAnsi="Arial" w:cs="Arial"/>
          <w:sz w:val="24"/>
          <w:szCs w:val="24"/>
        </w:rPr>
        <w:t>commenting</w:t>
      </w:r>
      <w:r w:rsidR="003A7A65">
        <w:rPr>
          <w:rFonts w:ascii="Arial" w:hAnsi="Arial" w:cs="Arial"/>
          <w:sz w:val="24"/>
          <w:szCs w:val="24"/>
        </w:rPr>
        <w:t xml:space="preserve"> </w:t>
      </w:r>
      <w:r w:rsidR="00EC3FB9">
        <w:rPr>
          <w:rFonts w:ascii="Arial" w:hAnsi="Arial" w:cs="Arial"/>
          <w:sz w:val="24"/>
          <w:szCs w:val="24"/>
        </w:rPr>
        <w:t xml:space="preserve">on changes to be made to the draft guarantee provided after the stipulated time period had already lapsed. </w:t>
      </w:r>
      <w:r w:rsidR="0018257A">
        <w:rPr>
          <w:rFonts w:ascii="Arial" w:hAnsi="Arial" w:cs="Arial"/>
          <w:sz w:val="24"/>
          <w:szCs w:val="24"/>
        </w:rPr>
        <w:t>There is however, simply no evidence that th</w:t>
      </w:r>
      <w:r w:rsidR="009238B1">
        <w:rPr>
          <w:rFonts w:ascii="Arial" w:hAnsi="Arial" w:cs="Arial"/>
          <w:sz w:val="24"/>
          <w:szCs w:val="24"/>
        </w:rPr>
        <w:t>e principal represented to the joint v</w:t>
      </w:r>
      <w:r w:rsidR="0018257A">
        <w:rPr>
          <w:rFonts w:ascii="Arial" w:hAnsi="Arial" w:cs="Arial"/>
          <w:sz w:val="24"/>
          <w:szCs w:val="24"/>
        </w:rPr>
        <w:t xml:space="preserve">enture that the </w:t>
      </w:r>
      <w:r w:rsidR="00D630AB">
        <w:rPr>
          <w:rFonts w:ascii="Arial" w:hAnsi="Arial" w:cs="Arial"/>
          <w:sz w:val="24"/>
          <w:szCs w:val="24"/>
        </w:rPr>
        <w:t>a</w:t>
      </w:r>
      <w:r w:rsidR="003B52EC">
        <w:rPr>
          <w:rFonts w:ascii="Arial" w:hAnsi="Arial" w:cs="Arial"/>
          <w:sz w:val="24"/>
          <w:szCs w:val="24"/>
        </w:rPr>
        <w:t>rchitect</w:t>
      </w:r>
      <w:r w:rsidR="0018257A">
        <w:rPr>
          <w:rFonts w:ascii="Arial" w:hAnsi="Arial" w:cs="Arial"/>
          <w:sz w:val="24"/>
          <w:szCs w:val="24"/>
        </w:rPr>
        <w:t xml:space="preserve"> had the authority to grant the extension</w:t>
      </w:r>
      <w:r w:rsidR="003525D7">
        <w:rPr>
          <w:rFonts w:ascii="Arial" w:hAnsi="Arial" w:cs="Arial"/>
          <w:sz w:val="24"/>
          <w:szCs w:val="24"/>
        </w:rPr>
        <w:t>,</w:t>
      </w:r>
      <w:r w:rsidR="0018257A">
        <w:rPr>
          <w:rFonts w:ascii="Arial" w:hAnsi="Arial" w:cs="Arial"/>
          <w:sz w:val="24"/>
          <w:szCs w:val="24"/>
        </w:rPr>
        <w:t xml:space="preserve"> she in effect condoned. In fact, the first time anything on record appears from the principal</w:t>
      </w:r>
      <w:r w:rsidR="003525D7">
        <w:rPr>
          <w:rFonts w:ascii="Arial" w:hAnsi="Arial" w:cs="Arial"/>
          <w:sz w:val="24"/>
          <w:szCs w:val="24"/>
        </w:rPr>
        <w:t>,</w:t>
      </w:r>
      <w:r w:rsidR="0018257A">
        <w:rPr>
          <w:rFonts w:ascii="Arial" w:hAnsi="Arial" w:cs="Arial"/>
          <w:sz w:val="24"/>
          <w:szCs w:val="24"/>
        </w:rPr>
        <w:t xml:space="preserve"> the guarantee is rejected as being out of time. It thus follows that the appellants fail</w:t>
      </w:r>
      <w:r w:rsidR="003A7A65">
        <w:rPr>
          <w:rFonts w:ascii="Arial" w:hAnsi="Arial" w:cs="Arial"/>
          <w:sz w:val="24"/>
          <w:szCs w:val="24"/>
        </w:rPr>
        <w:t>ed</w:t>
      </w:r>
      <w:r w:rsidR="0018257A">
        <w:rPr>
          <w:rFonts w:ascii="Arial" w:hAnsi="Arial" w:cs="Arial"/>
          <w:sz w:val="24"/>
          <w:szCs w:val="24"/>
        </w:rPr>
        <w:t xml:space="preserve"> to establish the estoppel they relied upon.</w:t>
      </w:r>
    </w:p>
    <w:p w:rsidR="00385C8A" w:rsidRDefault="00385C8A" w:rsidP="00385C8A">
      <w:pPr>
        <w:pStyle w:val="NoSpacing"/>
        <w:spacing w:line="480" w:lineRule="auto"/>
        <w:jc w:val="both"/>
        <w:rPr>
          <w:rFonts w:ascii="Arial" w:hAnsi="Arial" w:cs="Arial"/>
          <w:sz w:val="24"/>
          <w:szCs w:val="24"/>
        </w:rPr>
      </w:pPr>
    </w:p>
    <w:p w:rsidR="00FB7298" w:rsidRDefault="0018257A"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view of the </w:t>
      </w:r>
      <w:r w:rsidR="002438F4">
        <w:rPr>
          <w:rFonts w:ascii="Arial" w:hAnsi="Arial" w:cs="Arial"/>
          <w:sz w:val="24"/>
          <w:szCs w:val="24"/>
        </w:rPr>
        <w:t>a</w:t>
      </w:r>
      <w:r w:rsidR="003A7A65">
        <w:rPr>
          <w:rFonts w:ascii="Arial" w:hAnsi="Arial" w:cs="Arial"/>
          <w:sz w:val="24"/>
          <w:szCs w:val="24"/>
        </w:rPr>
        <w:t>foregoing</w:t>
      </w:r>
      <w:r w:rsidR="003525D7">
        <w:rPr>
          <w:rFonts w:ascii="Arial" w:hAnsi="Arial" w:cs="Arial"/>
          <w:sz w:val="24"/>
          <w:szCs w:val="24"/>
        </w:rPr>
        <w:t>,</w:t>
      </w:r>
      <w:r w:rsidR="003A7A65">
        <w:rPr>
          <w:rFonts w:ascii="Arial" w:hAnsi="Arial" w:cs="Arial"/>
          <w:sz w:val="24"/>
          <w:szCs w:val="24"/>
        </w:rPr>
        <w:t xml:space="preserve"> the main application wa</w:t>
      </w:r>
      <w:r>
        <w:rPr>
          <w:rFonts w:ascii="Arial" w:hAnsi="Arial" w:cs="Arial"/>
          <w:sz w:val="24"/>
          <w:szCs w:val="24"/>
        </w:rPr>
        <w:t xml:space="preserve">s correctly dismissed with costs by the court </w:t>
      </w:r>
      <w:r w:rsidRPr="0018257A">
        <w:rPr>
          <w:rFonts w:ascii="Arial" w:hAnsi="Arial" w:cs="Arial"/>
          <w:i/>
          <w:sz w:val="24"/>
          <w:szCs w:val="24"/>
        </w:rPr>
        <w:t>a quo</w:t>
      </w:r>
      <w:r w:rsidRPr="0018257A">
        <w:rPr>
          <w:rFonts w:ascii="Arial" w:hAnsi="Arial" w:cs="Arial"/>
          <w:sz w:val="24"/>
          <w:szCs w:val="24"/>
        </w:rPr>
        <w:t>.</w:t>
      </w:r>
    </w:p>
    <w:p w:rsidR="00FB7298" w:rsidRDefault="00FB7298" w:rsidP="00650752">
      <w:pPr>
        <w:pStyle w:val="NoSpacing"/>
        <w:spacing w:line="480" w:lineRule="auto"/>
        <w:jc w:val="both"/>
        <w:rPr>
          <w:rFonts w:ascii="Arial" w:hAnsi="Arial" w:cs="Arial"/>
          <w:sz w:val="24"/>
          <w:szCs w:val="24"/>
        </w:rPr>
      </w:pPr>
    </w:p>
    <w:p w:rsidR="0018257A" w:rsidRPr="0018257A" w:rsidRDefault="0018257A" w:rsidP="00650752">
      <w:pPr>
        <w:pStyle w:val="NoSpacing"/>
        <w:spacing w:line="480" w:lineRule="auto"/>
        <w:jc w:val="both"/>
        <w:rPr>
          <w:rFonts w:ascii="Arial" w:hAnsi="Arial" w:cs="Arial"/>
          <w:sz w:val="24"/>
          <w:szCs w:val="24"/>
          <w:u w:val="single"/>
        </w:rPr>
      </w:pPr>
      <w:r w:rsidRPr="003C0310">
        <w:rPr>
          <w:rFonts w:ascii="Arial" w:hAnsi="Arial" w:cs="Arial"/>
          <w:sz w:val="24"/>
          <w:szCs w:val="24"/>
        </w:rPr>
        <w:t>F.</w:t>
      </w:r>
      <w:r w:rsidRPr="003C0310">
        <w:rPr>
          <w:rFonts w:ascii="Arial" w:hAnsi="Arial" w:cs="Arial"/>
          <w:sz w:val="24"/>
          <w:szCs w:val="24"/>
        </w:rPr>
        <w:tab/>
      </w:r>
      <w:r w:rsidRPr="0018257A">
        <w:rPr>
          <w:rFonts w:ascii="Arial" w:hAnsi="Arial" w:cs="Arial"/>
          <w:sz w:val="24"/>
          <w:szCs w:val="24"/>
          <w:u w:val="single"/>
        </w:rPr>
        <w:t>The counter application</w:t>
      </w:r>
    </w:p>
    <w:p w:rsidR="00FB7298" w:rsidRDefault="00C27FA5"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tender for the project was put on hold until further notice. It is clear that the Tender Board knew about this. </w:t>
      </w:r>
      <w:r w:rsidR="002438F4">
        <w:rPr>
          <w:rFonts w:ascii="Arial" w:hAnsi="Arial" w:cs="Arial"/>
          <w:sz w:val="24"/>
          <w:szCs w:val="24"/>
        </w:rPr>
        <w:t>There is no suggestion in the minutes of t</w:t>
      </w:r>
      <w:r>
        <w:rPr>
          <w:rFonts w:ascii="Arial" w:hAnsi="Arial" w:cs="Arial"/>
          <w:sz w:val="24"/>
          <w:szCs w:val="24"/>
        </w:rPr>
        <w:t xml:space="preserve">he meeting of </w:t>
      </w:r>
      <w:r>
        <w:rPr>
          <w:rFonts w:ascii="Arial" w:hAnsi="Arial" w:cs="Arial"/>
          <w:sz w:val="24"/>
          <w:szCs w:val="24"/>
        </w:rPr>
        <w:lastRenderedPageBreak/>
        <w:t>17 February 2017 that they were not aware of the moratorium. Instead</w:t>
      </w:r>
      <w:r w:rsidR="00FB78C3">
        <w:rPr>
          <w:rFonts w:ascii="Arial" w:hAnsi="Arial" w:cs="Arial"/>
          <w:sz w:val="24"/>
          <w:szCs w:val="24"/>
        </w:rPr>
        <w:t>,</w:t>
      </w:r>
      <w:r>
        <w:rPr>
          <w:rFonts w:ascii="Arial" w:hAnsi="Arial" w:cs="Arial"/>
          <w:sz w:val="24"/>
          <w:szCs w:val="24"/>
        </w:rPr>
        <w:t xml:space="preserve"> they attempt</w:t>
      </w:r>
      <w:r w:rsidR="003525D7">
        <w:rPr>
          <w:rFonts w:ascii="Arial" w:hAnsi="Arial" w:cs="Arial"/>
          <w:sz w:val="24"/>
          <w:szCs w:val="24"/>
        </w:rPr>
        <w:t>ed</w:t>
      </w:r>
      <w:r>
        <w:rPr>
          <w:rFonts w:ascii="Arial" w:hAnsi="Arial" w:cs="Arial"/>
          <w:sz w:val="24"/>
          <w:szCs w:val="24"/>
        </w:rPr>
        <w:t xml:space="preserve"> to hide behind the alleged </w:t>
      </w:r>
      <w:r w:rsidR="001C65CC" w:rsidRPr="006222FE">
        <w:rPr>
          <w:rFonts w:ascii="Arial" w:hAnsi="Arial" w:cs="Arial"/>
          <w:sz w:val="24"/>
          <w:szCs w:val="24"/>
        </w:rPr>
        <w:t xml:space="preserve">lack of </w:t>
      </w:r>
      <w:r w:rsidRPr="006222FE">
        <w:rPr>
          <w:rFonts w:ascii="Arial" w:hAnsi="Arial" w:cs="Arial"/>
          <w:sz w:val="24"/>
          <w:szCs w:val="24"/>
        </w:rPr>
        <w:t>clarity</w:t>
      </w:r>
      <w:r>
        <w:rPr>
          <w:rFonts w:ascii="Arial" w:hAnsi="Arial" w:cs="Arial"/>
          <w:sz w:val="24"/>
          <w:szCs w:val="24"/>
        </w:rPr>
        <w:t xml:space="preserve"> contained in the directive in this regard and the position being badly handled by the Ministry of Education. The directive which w</w:t>
      </w:r>
      <w:r w:rsidR="003525D7">
        <w:rPr>
          <w:rFonts w:ascii="Arial" w:hAnsi="Arial" w:cs="Arial"/>
          <w:sz w:val="24"/>
          <w:szCs w:val="24"/>
        </w:rPr>
        <w:t>as</w:t>
      </w:r>
      <w:r>
        <w:rPr>
          <w:rFonts w:ascii="Arial" w:hAnsi="Arial" w:cs="Arial"/>
          <w:sz w:val="24"/>
          <w:szCs w:val="24"/>
        </w:rPr>
        <w:t xml:space="preserve"> brought to the attention of the </w:t>
      </w:r>
      <w:r w:rsidR="00A22BA1">
        <w:rPr>
          <w:rFonts w:ascii="Arial" w:hAnsi="Arial" w:cs="Arial"/>
          <w:sz w:val="24"/>
          <w:szCs w:val="24"/>
        </w:rPr>
        <w:t>r</w:t>
      </w:r>
      <w:r w:rsidR="003B52EC">
        <w:rPr>
          <w:rFonts w:ascii="Arial" w:hAnsi="Arial" w:cs="Arial"/>
          <w:sz w:val="24"/>
          <w:szCs w:val="24"/>
        </w:rPr>
        <w:t>egional council</w:t>
      </w:r>
      <w:r w:rsidR="002438F4">
        <w:rPr>
          <w:rFonts w:ascii="Arial" w:hAnsi="Arial" w:cs="Arial"/>
          <w:sz w:val="24"/>
          <w:szCs w:val="24"/>
        </w:rPr>
        <w:t xml:space="preserve"> and consequently the </w:t>
      </w:r>
      <w:r w:rsidR="00FB78C3">
        <w:rPr>
          <w:rFonts w:ascii="Arial" w:hAnsi="Arial" w:cs="Arial"/>
          <w:sz w:val="24"/>
          <w:szCs w:val="24"/>
        </w:rPr>
        <w:t xml:space="preserve">Regional </w:t>
      </w:r>
      <w:r>
        <w:rPr>
          <w:rFonts w:ascii="Arial" w:hAnsi="Arial" w:cs="Arial"/>
          <w:sz w:val="24"/>
          <w:szCs w:val="24"/>
        </w:rPr>
        <w:t>Tender Board by the accounting officer of the M</w:t>
      </w:r>
      <w:r w:rsidR="00662DFD">
        <w:rPr>
          <w:rFonts w:ascii="Arial" w:hAnsi="Arial" w:cs="Arial"/>
          <w:sz w:val="24"/>
          <w:szCs w:val="24"/>
        </w:rPr>
        <w:t>inistry of Education (the line m</w:t>
      </w:r>
      <w:r>
        <w:rPr>
          <w:rFonts w:ascii="Arial" w:hAnsi="Arial" w:cs="Arial"/>
          <w:sz w:val="24"/>
          <w:szCs w:val="24"/>
        </w:rPr>
        <w:t xml:space="preserve">inistry) </w:t>
      </w:r>
      <w:r w:rsidR="00846911">
        <w:rPr>
          <w:rFonts w:ascii="Arial" w:hAnsi="Arial" w:cs="Arial"/>
          <w:sz w:val="24"/>
          <w:szCs w:val="24"/>
        </w:rPr>
        <w:t xml:space="preserve">is anything but vague, ambiguous or badly conceptualised. Instead it could hardly be </w:t>
      </w:r>
      <w:r w:rsidR="00497D47">
        <w:rPr>
          <w:rFonts w:ascii="Arial" w:hAnsi="Arial" w:cs="Arial"/>
          <w:sz w:val="24"/>
          <w:szCs w:val="24"/>
        </w:rPr>
        <w:t xml:space="preserve">clearer </w:t>
      </w:r>
      <w:r w:rsidR="00846911">
        <w:rPr>
          <w:rFonts w:ascii="Arial" w:hAnsi="Arial" w:cs="Arial"/>
          <w:sz w:val="24"/>
          <w:szCs w:val="24"/>
        </w:rPr>
        <w:t xml:space="preserve">in </w:t>
      </w:r>
      <w:r w:rsidR="00497D47">
        <w:rPr>
          <w:rFonts w:ascii="Arial" w:hAnsi="Arial" w:cs="Arial"/>
          <w:sz w:val="24"/>
          <w:szCs w:val="24"/>
        </w:rPr>
        <w:t>stating</w:t>
      </w:r>
      <w:r w:rsidR="00846911">
        <w:rPr>
          <w:rFonts w:ascii="Arial" w:hAnsi="Arial" w:cs="Arial"/>
          <w:sz w:val="24"/>
          <w:szCs w:val="24"/>
        </w:rPr>
        <w:t xml:space="preserve"> ‘no tender award should be made’ and </w:t>
      </w:r>
      <w:r w:rsidR="00DB0973">
        <w:rPr>
          <w:rFonts w:ascii="Arial" w:hAnsi="Arial" w:cs="Arial"/>
          <w:sz w:val="24"/>
          <w:szCs w:val="24"/>
        </w:rPr>
        <w:t xml:space="preserve">that </w:t>
      </w:r>
      <w:r w:rsidR="00846911">
        <w:rPr>
          <w:rFonts w:ascii="Arial" w:hAnsi="Arial" w:cs="Arial"/>
          <w:sz w:val="24"/>
          <w:szCs w:val="24"/>
        </w:rPr>
        <w:t>the directive appl</w:t>
      </w:r>
      <w:r w:rsidR="00DB0973">
        <w:rPr>
          <w:rFonts w:ascii="Arial" w:hAnsi="Arial" w:cs="Arial"/>
          <w:sz w:val="24"/>
          <w:szCs w:val="24"/>
        </w:rPr>
        <w:t>ied</w:t>
      </w:r>
      <w:r w:rsidR="00846911">
        <w:rPr>
          <w:rFonts w:ascii="Arial" w:hAnsi="Arial" w:cs="Arial"/>
          <w:sz w:val="24"/>
          <w:szCs w:val="24"/>
        </w:rPr>
        <w:t xml:space="preserve"> to ‘all new capital projects that are funded under the national budget’ the execution whereof was delegated to other government agencies. The accounting officer of the Ministry of Education through the directive terminated the Tender Board’s mandate to evaluate and to award the tender in respect of the projec</w:t>
      </w:r>
      <w:r w:rsidR="002438F4">
        <w:rPr>
          <w:rFonts w:ascii="Arial" w:hAnsi="Arial" w:cs="Arial"/>
          <w:sz w:val="24"/>
          <w:szCs w:val="24"/>
        </w:rPr>
        <w:t>t</w:t>
      </w:r>
      <w:r w:rsidR="00FC45E5">
        <w:rPr>
          <w:rFonts w:ascii="Arial" w:hAnsi="Arial" w:cs="Arial"/>
          <w:sz w:val="24"/>
          <w:szCs w:val="24"/>
        </w:rPr>
        <w:t xml:space="preserve">. For the </w:t>
      </w:r>
      <w:r w:rsidR="00A9474B">
        <w:rPr>
          <w:rFonts w:ascii="Arial" w:hAnsi="Arial" w:cs="Arial"/>
          <w:sz w:val="24"/>
          <w:szCs w:val="24"/>
        </w:rPr>
        <w:t xml:space="preserve">Regional </w:t>
      </w:r>
      <w:r w:rsidR="00FC45E5">
        <w:rPr>
          <w:rFonts w:ascii="Arial" w:hAnsi="Arial" w:cs="Arial"/>
          <w:sz w:val="24"/>
          <w:szCs w:val="24"/>
        </w:rPr>
        <w:t xml:space="preserve">Tender Board to persist with its stance taken at the initial meeting where the tender was awarded and stating that it only carried out its mandate is simply incorrect. The Tender Board clearly did not appreciate the fact that it no longer had the mandate to deal with the project and hence acted </w:t>
      </w:r>
      <w:r w:rsidR="00FC45E5" w:rsidRPr="00FC45E5">
        <w:rPr>
          <w:rFonts w:ascii="Arial" w:hAnsi="Arial" w:cs="Arial"/>
          <w:i/>
          <w:sz w:val="24"/>
          <w:szCs w:val="24"/>
        </w:rPr>
        <w:t>ultra vires</w:t>
      </w:r>
      <w:r w:rsidR="00FC45E5">
        <w:rPr>
          <w:rFonts w:ascii="Arial" w:hAnsi="Arial" w:cs="Arial"/>
          <w:sz w:val="24"/>
          <w:szCs w:val="24"/>
        </w:rPr>
        <w:t xml:space="preserve"> its powers when it continued to deal with the project without a mandate.</w:t>
      </w:r>
    </w:p>
    <w:p w:rsidR="00FB7298" w:rsidRDefault="00FB7298" w:rsidP="00650752">
      <w:pPr>
        <w:pStyle w:val="NoSpacing"/>
        <w:spacing w:line="480" w:lineRule="auto"/>
        <w:jc w:val="both"/>
        <w:rPr>
          <w:rFonts w:ascii="Arial" w:hAnsi="Arial" w:cs="Arial"/>
          <w:sz w:val="24"/>
          <w:szCs w:val="24"/>
        </w:rPr>
      </w:pPr>
    </w:p>
    <w:p w:rsidR="00FB7298" w:rsidRDefault="00DE3D28"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Even if they did for some </w:t>
      </w:r>
      <w:r w:rsidR="00F03D52">
        <w:rPr>
          <w:rFonts w:ascii="Arial" w:hAnsi="Arial" w:cs="Arial"/>
          <w:sz w:val="24"/>
          <w:szCs w:val="24"/>
        </w:rPr>
        <w:t xml:space="preserve">inexplicable </w:t>
      </w:r>
      <w:r w:rsidR="00787FB7">
        <w:rPr>
          <w:rFonts w:ascii="Arial" w:hAnsi="Arial" w:cs="Arial"/>
          <w:sz w:val="24"/>
          <w:szCs w:val="24"/>
        </w:rPr>
        <w:t>reason</w:t>
      </w:r>
      <w:r>
        <w:rPr>
          <w:rFonts w:ascii="Arial" w:hAnsi="Arial" w:cs="Arial"/>
          <w:sz w:val="24"/>
          <w:szCs w:val="24"/>
        </w:rPr>
        <w:t xml:space="preserve"> </w:t>
      </w:r>
      <w:r w:rsidR="00F03D52">
        <w:rPr>
          <w:rFonts w:ascii="Arial" w:hAnsi="Arial" w:cs="Arial"/>
          <w:sz w:val="24"/>
          <w:szCs w:val="24"/>
        </w:rPr>
        <w:t>th</w:t>
      </w:r>
      <w:r w:rsidR="005F20F1">
        <w:rPr>
          <w:rFonts w:ascii="Arial" w:hAnsi="Arial" w:cs="Arial"/>
          <w:sz w:val="24"/>
          <w:szCs w:val="24"/>
        </w:rPr>
        <w:t>ink</w:t>
      </w:r>
      <w:r w:rsidR="00F03D52">
        <w:rPr>
          <w:rFonts w:ascii="Arial" w:hAnsi="Arial" w:cs="Arial"/>
          <w:sz w:val="24"/>
          <w:szCs w:val="24"/>
        </w:rPr>
        <w:t xml:space="preserve"> that </w:t>
      </w:r>
      <w:r w:rsidR="006B585B">
        <w:rPr>
          <w:rFonts w:ascii="Arial" w:hAnsi="Arial" w:cs="Arial"/>
          <w:sz w:val="24"/>
          <w:szCs w:val="24"/>
        </w:rPr>
        <w:t xml:space="preserve">the </w:t>
      </w:r>
      <w:r w:rsidR="00F03D52">
        <w:rPr>
          <w:rFonts w:ascii="Arial" w:hAnsi="Arial" w:cs="Arial"/>
          <w:sz w:val="24"/>
          <w:szCs w:val="24"/>
        </w:rPr>
        <w:t>directive relating to the moratorium on capital projects w</w:t>
      </w:r>
      <w:r w:rsidR="00787FB7">
        <w:rPr>
          <w:rFonts w:ascii="Arial" w:hAnsi="Arial" w:cs="Arial"/>
          <w:sz w:val="24"/>
          <w:szCs w:val="24"/>
        </w:rPr>
        <w:t>as</w:t>
      </w:r>
      <w:r w:rsidR="00F03D52">
        <w:rPr>
          <w:rFonts w:ascii="Arial" w:hAnsi="Arial" w:cs="Arial"/>
          <w:sz w:val="24"/>
          <w:szCs w:val="24"/>
        </w:rPr>
        <w:t xml:space="preserve"> unclear or ambiguous</w:t>
      </w:r>
      <w:r w:rsidR="003525D7">
        <w:rPr>
          <w:rFonts w:ascii="Arial" w:hAnsi="Arial" w:cs="Arial"/>
          <w:sz w:val="24"/>
          <w:szCs w:val="24"/>
        </w:rPr>
        <w:t>,</w:t>
      </w:r>
      <w:r w:rsidR="00F03D52">
        <w:rPr>
          <w:rFonts w:ascii="Arial" w:hAnsi="Arial" w:cs="Arial"/>
          <w:sz w:val="24"/>
          <w:szCs w:val="24"/>
        </w:rPr>
        <w:t xml:space="preserve"> </w:t>
      </w:r>
      <w:r w:rsidR="002F5569">
        <w:rPr>
          <w:rFonts w:ascii="Arial" w:hAnsi="Arial" w:cs="Arial"/>
          <w:sz w:val="24"/>
          <w:szCs w:val="24"/>
        </w:rPr>
        <w:t xml:space="preserve">the Tender Board should have cleared the matter up with the Ministry of Education. Once there was reason for the Tender Board to doubt </w:t>
      </w:r>
      <w:r w:rsidR="00FB78C3">
        <w:rPr>
          <w:rFonts w:ascii="Arial" w:hAnsi="Arial" w:cs="Arial"/>
          <w:sz w:val="24"/>
          <w:szCs w:val="24"/>
        </w:rPr>
        <w:t>its</w:t>
      </w:r>
      <w:r w:rsidR="002F5569">
        <w:rPr>
          <w:rFonts w:ascii="Arial" w:hAnsi="Arial" w:cs="Arial"/>
          <w:sz w:val="24"/>
          <w:szCs w:val="24"/>
        </w:rPr>
        <w:t xml:space="preserve"> mandate to continue with the tender process</w:t>
      </w:r>
      <w:r w:rsidR="003525D7">
        <w:rPr>
          <w:rFonts w:ascii="Arial" w:hAnsi="Arial" w:cs="Arial"/>
          <w:sz w:val="24"/>
          <w:szCs w:val="24"/>
        </w:rPr>
        <w:t>,</w:t>
      </w:r>
      <w:r w:rsidR="002F5569">
        <w:rPr>
          <w:rFonts w:ascii="Arial" w:hAnsi="Arial" w:cs="Arial"/>
          <w:sz w:val="24"/>
          <w:szCs w:val="24"/>
        </w:rPr>
        <w:t xml:space="preserve"> </w:t>
      </w:r>
      <w:r w:rsidR="00FB78C3">
        <w:rPr>
          <w:rFonts w:ascii="Arial" w:hAnsi="Arial" w:cs="Arial"/>
          <w:sz w:val="24"/>
          <w:szCs w:val="24"/>
        </w:rPr>
        <w:t>it was</w:t>
      </w:r>
      <w:r w:rsidR="002F5569">
        <w:rPr>
          <w:rFonts w:ascii="Arial" w:hAnsi="Arial" w:cs="Arial"/>
          <w:sz w:val="24"/>
          <w:szCs w:val="24"/>
        </w:rPr>
        <w:t xml:space="preserve"> under a duty to establish the actual position and to confirm whether </w:t>
      </w:r>
      <w:r w:rsidR="00FB78C3">
        <w:rPr>
          <w:rFonts w:ascii="Arial" w:hAnsi="Arial" w:cs="Arial"/>
          <w:sz w:val="24"/>
          <w:szCs w:val="24"/>
        </w:rPr>
        <w:t>it</w:t>
      </w:r>
      <w:r w:rsidR="002F5569">
        <w:rPr>
          <w:rFonts w:ascii="Arial" w:hAnsi="Arial" w:cs="Arial"/>
          <w:sz w:val="24"/>
          <w:szCs w:val="24"/>
        </w:rPr>
        <w:t xml:space="preserve"> still had a mandate. This </w:t>
      </w:r>
      <w:r w:rsidR="00FB78C3">
        <w:rPr>
          <w:rFonts w:ascii="Arial" w:hAnsi="Arial" w:cs="Arial"/>
          <w:sz w:val="24"/>
          <w:szCs w:val="24"/>
        </w:rPr>
        <w:t>it</w:t>
      </w:r>
      <w:r w:rsidR="002F5569">
        <w:rPr>
          <w:rFonts w:ascii="Arial" w:hAnsi="Arial" w:cs="Arial"/>
          <w:sz w:val="24"/>
          <w:szCs w:val="24"/>
        </w:rPr>
        <w:t xml:space="preserve"> did not do and hence</w:t>
      </w:r>
      <w:r w:rsidR="003525D7">
        <w:rPr>
          <w:rFonts w:ascii="Arial" w:hAnsi="Arial" w:cs="Arial"/>
          <w:sz w:val="24"/>
          <w:szCs w:val="24"/>
        </w:rPr>
        <w:t>,</w:t>
      </w:r>
      <w:r w:rsidR="002F5569">
        <w:rPr>
          <w:rFonts w:ascii="Arial" w:hAnsi="Arial" w:cs="Arial"/>
          <w:sz w:val="24"/>
          <w:szCs w:val="24"/>
        </w:rPr>
        <w:t xml:space="preserve"> </w:t>
      </w:r>
      <w:r w:rsidR="00FB78C3">
        <w:rPr>
          <w:rFonts w:ascii="Arial" w:hAnsi="Arial" w:cs="Arial"/>
          <w:sz w:val="24"/>
          <w:szCs w:val="24"/>
        </w:rPr>
        <w:t>its</w:t>
      </w:r>
      <w:r w:rsidR="002F5569">
        <w:rPr>
          <w:rFonts w:ascii="Arial" w:hAnsi="Arial" w:cs="Arial"/>
          <w:sz w:val="24"/>
          <w:szCs w:val="24"/>
        </w:rPr>
        <w:t xml:space="preserve"> decision to continue with the evaluation of the bids and make the a</w:t>
      </w:r>
      <w:r w:rsidR="009238B1">
        <w:rPr>
          <w:rFonts w:ascii="Arial" w:hAnsi="Arial" w:cs="Arial"/>
          <w:sz w:val="24"/>
          <w:szCs w:val="24"/>
        </w:rPr>
        <w:t>ward of the bid to the joint v</w:t>
      </w:r>
      <w:r w:rsidR="002F5569">
        <w:rPr>
          <w:rFonts w:ascii="Arial" w:hAnsi="Arial" w:cs="Arial"/>
          <w:sz w:val="24"/>
          <w:szCs w:val="24"/>
        </w:rPr>
        <w:t>enture was also unreasonable.</w:t>
      </w:r>
    </w:p>
    <w:p w:rsidR="00FB7298" w:rsidRDefault="002F5569"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follows that the counter application was correctly granted with costs.</w:t>
      </w:r>
    </w:p>
    <w:p w:rsidR="00FB7298" w:rsidRDefault="00FB7298" w:rsidP="00650752">
      <w:pPr>
        <w:pStyle w:val="NoSpacing"/>
        <w:spacing w:line="480" w:lineRule="auto"/>
        <w:jc w:val="both"/>
        <w:rPr>
          <w:rFonts w:ascii="Arial" w:hAnsi="Arial" w:cs="Arial"/>
          <w:sz w:val="24"/>
          <w:szCs w:val="24"/>
        </w:rPr>
      </w:pPr>
    </w:p>
    <w:p w:rsidR="00FB7298" w:rsidRDefault="002D0F61"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DC7106">
        <w:rPr>
          <w:rFonts w:ascii="Arial" w:hAnsi="Arial" w:cs="Arial"/>
          <w:sz w:val="24"/>
          <w:szCs w:val="24"/>
        </w:rPr>
        <w:t xml:space="preserve">granting of the </w:t>
      </w:r>
      <w:r w:rsidR="0056213D">
        <w:rPr>
          <w:rFonts w:ascii="Arial" w:hAnsi="Arial" w:cs="Arial"/>
          <w:sz w:val="24"/>
          <w:szCs w:val="24"/>
        </w:rPr>
        <w:t>counter application was</w:t>
      </w:r>
      <w:r w:rsidR="00A9474B">
        <w:rPr>
          <w:rFonts w:ascii="Arial" w:hAnsi="Arial" w:cs="Arial"/>
          <w:sz w:val="24"/>
          <w:szCs w:val="24"/>
        </w:rPr>
        <w:t>,</w:t>
      </w:r>
      <w:r w:rsidR="0056213D">
        <w:rPr>
          <w:rFonts w:ascii="Arial" w:hAnsi="Arial" w:cs="Arial"/>
          <w:sz w:val="24"/>
          <w:szCs w:val="24"/>
        </w:rPr>
        <w:t xml:space="preserve"> </w:t>
      </w:r>
      <w:r w:rsidR="00DC7106">
        <w:rPr>
          <w:rFonts w:ascii="Arial" w:hAnsi="Arial" w:cs="Arial"/>
          <w:sz w:val="24"/>
          <w:szCs w:val="24"/>
        </w:rPr>
        <w:t>however</w:t>
      </w:r>
      <w:r w:rsidR="00A9474B">
        <w:rPr>
          <w:rFonts w:ascii="Arial" w:hAnsi="Arial" w:cs="Arial"/>
          <w:sz w:val="24"/>
          <w:szCs w:val="24"/>
        </w:rPr>
        <w:t>,</w:t>
      </w:r>
      <w:r w:rsidR="00DC7106">
        <w:rPr>
          <w:rFonts w:ascii="Arial" w:hAnsi="Arial" w:cs="Arial"/>
          <w:sz w:val="24"/>
          <w:szCs w:val="24"/>
        </w:rPr>
        <w:t xml:space="preserve"> based on the fact that there was no authorisation in place from the Treasury to indicate </w:t>
      </w:r>
      <w:r w:rsidR="00A9474B">
        <w:rPr>
          <w:rFonts w:ascii="Arial" w:hAnsi="Arial" w:cs="Arial"/>
          <w:sz w:val="24"/>
          <w:szCs w:val="24"/>
        </w:rPr>
        <w:t xml:space="preserve">that </w:t>
      </w:r>
      <w:r w:rsidR="00DC7106">
        <w:rPr>
          <w:rFonts w:ascii="Arial" w:hAnsi="Arial" w:cs="Arial"/>
          <w:sz w:val="24"/>
          <w:szCs w:val="24"/>
        </w:rPr>
        <w:t>there was funding available for the project</w:t>
      </w:r>
      <w:r w:rsidR="00DB0973">
        <w:rPr>
          <w:rFonts w:ascii="Arial" w:hAnsi="Arial" w:cs="Arial"/>
          <w:sz w:val="24"/>
          <w:szCs w:val="24"/>
        </w:rPr>
        <w:t>.</w:t>
      </w:r>
      <w:r w:rsidR="00DA0401">
        <w:rPr>
          <w:rFonts w:ascii="Arial" w:hAnsi="Arial" w:cs="Arial"/>
          <w:sz w:val="24"/>
          <w:szCs w:val="24"/>
        </w:rPr>
        <w:t xml:space="preserve"> It seems that the legal representatives involved as well as the court </w:t>
      </w:r>
      <w:r w:rsidR="00DA0401" w:rsidRPr="007F1BB8">
        <w:rPr>
          <w:rFonts w:ascii="Arial" w:hAnsi="Arial" w:cs="Arial"/>
          <w:i/>
          <w:sz w:val="24"/>
          <w:szCs w:val="24"/>
        </w:rPr>
        <w:t>a quo</w:t>
      </w:r>
      <w:r w:rsidR="00DA0401">
        <w:rPr>
          <w:rFonts w:ascii="Arial" w:hAnsi="Arial" w:cs="Arial"/>
          <w:sz w:val="24"/>
          <w:szCs w:val="24"/>
        </w:rPr>
        <w:t xml:space="preserve"> assumed that the absence of the approval in terms of s 17 of the State Finance Act </w:t>
      </w:r>
      <w:r w:rsidR="00DB0973">
        <w:rPr>
          <w:rFonts w:ascii="Arial" w:hAnsi="Arial" w:cs="Arial"/>
          <w:sz w:val="24"/>
          <w:szCs w:val="24"/>
        </w:rPr>
        <w:t>invalidated any subsequent a</w:t>
      </w:r>
      <w:r w:rsidR="00DA0401">
        <w:rPr>
          <w:rFonts w:ascii="Arial" w:hAnsi="Arial" w:cs="Arial"/>
          <w:sz w:val="24"/>
          <w:szCs w:val="24"/>
        </w:rPr>
        <w:t>ct</w:t>
      </w:r>
      <w:r w:rsidR="00DC7106">
        <w:rPr>
          <w:rFonts w:ascii="Arial" w:hAnsi="Arial" w:cs="Arial"/>
          <w:sz w:val="24"/>
          <w:szCs w:val="24"/>
        </w:rPr>
        <w:t>. The submissions in this regard on beh</w:t>
      </w:r>
      <w:r w:rsidR="008C0FBD">
        <w:rPr>
          <w:rFonts w:ascii="Arial" w:hAnsi="Arial" w:cs="Arial"/>
          <w:sz w:val="24"/>
          <w:szCs w:val="24"/>
        </w:rPr>
        <w:t xml:space="preserve">alf of the respondents </w:t>
      </w:r>
      <w:r w:rsidR="00EB423A">
        <w:rPr>
          <w:rFonts w:ascii="Arial" w:hAnsi="Arial" w:cs="Arial"/>
          <w:sz w:val="24"/>
          <w:szCs w:val="24"/>
        </w:rPr>
        <w:t>centred</w:t>
      </w:r>
      <w:r w:rsidR="008C0FBD">
        <w:rPr>
          <w:rFonts w:ascii="Arial" w:hAnsi="Arial" w:cs="Arial"/>
          <w:sz w:val="24"/>
          <w:szCs w:val="24"/>
        </w:rPr>
        <w:t xml:space="preserve"> </w:t>
      </w:r>
      <w:r w:rsidR="00DC7106">
        <w:rPr>
          <w:rFonts w:ascii="Arial" w:hAnsi="Arial" w:cs="Arial"/>
          <w:sz w:val="24"/>
          <w:szCs w:val="24"/>
        </w:rPr>
        <w:t xml:space="preserve">around s 17 of the State Finance Act and </w:t>
      </w:r>
      <w:r w:rsidR="00C31F1F">
        <w:rPr>
          <w:rFonts w:ascii="Arial" w:hAnsi="Arial" w:cs="Arial"/>
          <w:sz w:val="24"/>
          <w:szCs w:val="24"/>
        </w:rPr>
        <w:t>certain dicta</w:t>
      </w:r>
      <w:r w:rsidR="00DC7106" w:rsidRPr="00DC7106">
        <w:rPr>
          <w:rFonts w:ascii="Arial" w:hAnsi="Arial" w:cs="Arial"/>
          <w:i/>
          <w:sz w:val="24"/>
          <w:szCs w:val="24"/>
        </w:rPr>
        <w:t xml:space="preserve"> </w:t>
      </w:r>
      <w:r w:rsidR="00C31F1F" w:rsidRPr="00C31F1F">
        <w:rPr>
          <w:rFonts w:ascii="Arial" w:hAnsi="Arial" w:cs="Arial"/>
          <w:i/>
          <w:sz w:val="24"/>
          <w:szCs w:val="24"/>
        </w:rPr>
        <w:t>President of the Republic of Namibia &amp; others v Anhui Foreign Economic Construction Group Corporation Ltd</w:t>
      </w:r>
      <w:r w:rsidR="00FE71A3">
        <w:rPr>
          <w:rFonts w:ascii="Arial" w:hAnsi="Arial" w:cs="Arial"/>
          <w:i/>
          <w:sz w:val="24"/>
          <w:szCs w:val="24"/>
        </w:rPr>
        <w:t xml:space="preserve"> </w:t>
      </w:r>
      <w:r w:rsidR="00DE6E84">
        <w:rPr>
          <w:rFonts w:ascii="Arial" w:hAnsi="Arial" w:cs="Arial"/>
          <w:i/>
          <w:sz w:val="24"/>
          <w:szCs w:val="24"/>
        </w:rPr>
        <w:t xml:space="preserve">&amp; </w:t>
      </w:r>
      <w:r w:rsidR="007C3DB1">
        <w:rPr>
          <w:rFonts w:ascii="Arial" w:hAnsi="Arial" w:cs="Arial"/>
          <w:i/>
          <w:sz w:val="24"/>
          <w:szCs w:val="24"/>
        </w:rPr>
        <w:t>another</w:t>
      </w:r>
      <w:r w:rsidR="00C31F1F">
        <w:rPr>
          <w:rStyle w:val="FootnoteReference"/>
          <w:rFonts w:ascii="Arial" w:hAnsi="Arial" w:cs="Arial"/>
          <w:sz w:val="24"/>
          <w:szCs w:val="24"/>
        </w:rPr>
        <w:footnoteReference w:id="19"/>
      </w:r>
      <w:r w:rsidR="00C31F1F">
        <w:rPr>
          <w:rFonts w:ascii="Arial" w:hAnsi="Arial" w:cs="Arial"/>
          <w:sz w:val="24"/>
          <w:szCs w:val="24"/>
        </w:rPr>
        <w:t xml:space="preserve">. </w:t>
      </w:r>
      <w:r w:rsidR="008D7988">
        <w:rPr>
          <w:rFonts w:ascii="Arial" w:hAnsi="Arial" w:cs="Arial"/>
          <w:sz w:val="24"/>
          <w:szCs w:val="24"/>
        </w:rPr>
        <w:t>The le</w:t>
      </w:r>
      <w:r w:rsidR="00BF0FE6">
        <w:rPr>
          <w:rFonts w:ascii="Arial" w:hAnsi="Arial" w:cs="Arial"/>
          <w:sz w:val="24"/>
          <w:szCs w:val="24"/>
        </w:rPr>
        <w:t>gal practitioner</w:t>
      </w:r>
      <w:r w:rsidR="00BB783D">
        <w:rPr>
          <w:rFonts w:ascii="Arial" w:hAnsi="Arial" w:cs="Arial"/>
          <w:sz w:val="24"/>
          <w:szCs w:val="24"/>
        </w:rPr>
        <w:t xml:space="preserve"> for the </w:t>
      </w:r>
      <w:r w:rsidR="00FE71A3">
        <w:rPr>
          <w:rFonts w:ascii="Arial" w:hAnsi="Arial" w:cs="Arial"/>
          <w:sz w:val="24"/>
          <w:szCs w:val="24"/>
        </w:rPr>
        <w:t>appellant</w:t>
      </w:r>
      <w:r w:rsidR="00C31F1F">
        <w:rPr>
          <w:rFonts w:ascii="Arial" w:hAnsi="Arial" w:cs="Arial"/>
          <w:sz w:val="24"/>
          <w:szCs w:val="24"/>
        </w:rPr>
        <w:t>s</w:t>
      </w:r>
      <w:r w:rsidR="00BB783D">
        <w:rPr>
          <w:rFonts w:ascii="Arial" w:hAnsi="Arial" w:cs="Arial"/>
          <w:sz w:val="24"/>
          <w:szCs w:val="24"/>
        </w:rPr>
        <w:t>’</w:t>
      </w:r>
      <w:r w:rsidR="00C31F1F">
        <w:rPr>
          <w:rFonts w:ascii="Arial" w:hAnsi="Arial" w:cs="Arial"/>
          <w:sz w:val="24"/>
          <w:szCs w:val="24"/>
        </w:rPr>
        <w:t xml:space="preserve"> response was not that </w:t>
      </w:r>
      <w:r w:rsidR="006E515A">
        <w:rPr>
          <w:rFonts w:ascii="Arial" w:hAnsi="Arial" w:cs="Arial"/>
          <w:sz w:val="24"/>
          <w:szCs w:val="24"/>
        </w:rPr>
        <w:t xml:space="preserve">non-compliance with </w:t>
      </w:r>
      <w:r w:rsidR="00C31F1F">
        <w:rPr>
          <w:rFonts w:ascii="Arial" w:hAnsi="Arial" w:cs="Arial"/>
          <w:sz w:val="24"/>
          <w:szCs w:val="24"/>
        </w:rPr>
        <w:t>s 17 of the State Finance Act would not amount to a fatal omission but it was submitted th</w:t>
      </w:r>
      <w:r w:rsidR="005E5C12">
        <w:rPr>
          <w:rFonts w:ascii="Arial" w:hAnsi="Arial" w:cs="Arial"/>
          <w:sz w:val="24"/>
          <w:szCs w:val="24"/>
        </w:rPr>
        <w:t xml:space="preserve">at the matter did not fall within the ambit of the State Finance Act but resorted under the </w:t>
      </w:r>
      <w:r w:rsidR="00142620">
        <w:rPr>
          <w:rFonts w:ascii="Arial" w:hAnsi="Arial" w:cs="Arial"/>
          <w:sz w:val="24"/>
          <w:szCs w:val="24"/>
        </w:rPr>
        <w:t>Regional C</w:t>
      </w:r>
      <w:r w:rsidR="003B52EC">
        <w:rPr>
          <w:rFonts w:ascii="Arial" w:hAnsi="Arial" w:cs="Arial"/>
          <w:sz w:val="24"/>
          <w:szCs w:val="24"/>
        </w:rPr>
        <w:t>ouncil</w:t>
      </w:r>
      <w:r w:rsidR="005E5C12">
        <w:rPr>
          <w:rFonts w:ascii="Arial" w:hAnsi="Arial" w:cs="Arial"/>
          <w:sz w:val="24"/>
          <w:szCs w:val="24"/>
        </w:rPr>
        <w:t>s Act. I have already dealt with this aspect above and it is not necessary to deal with it again.</w:t>
      </w:r>
    </w:p>
    <w:p w:rsidR="00FB7298" w:rsidRDefault="00FB7298" w:rsidP="00650752">
      <w:pPr>
        <w:pStyle w:val="NoSpacing"/>
        <w:spacing w:line="480" w:lineRule="auto"/>
        <w:jc w:val="both"/>
        <w:rPr>
          <w:rFonts w:ascii="Arial" w:hAnsi="Arial" w:cs="Arial"/>
          <w:sz w:val="24"/>
          <w:szCs w:val="24"/>
        </w:rPr>
      </w:pPr>
    </w:p>
    <w:p w:rsidR="00FB7298" w:rsidRDefault="00270E3B" w:rsidP="0065075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Although the issue of the effect of the absence of Treasury approval as contemplated was raised in the </w:t>
      </w:r>
      <w:r w:rsidRPr="00270E3B">
        <w:rPr>
          <w:rFonts w:ascii="Arial" w:hAnsi="Arial" w:cs="Arial"/>
          <w:i/>
          <w:sz w:val="24"/>
          <w:szCs w:val="24"/>
        </w:rPr>
        <w:t>Anhui</w:t>
      </w:r>
      <w:r>
        <w:rPr>
          <w:rFonts w:ascii="Arial" w:hAnsi="Arial" w:cs="Arial"/>
          <w:sz w:val="24"/>
          <w:szCs w:val="24"/>
        </w:rPr>
        <w:t xml:space="preserve"> case</w:t>
      </w:r>
      <w:r w:rsidR="00FE71A3">
        <w:rPr>
          <w:rFonts w:ascii="Arial" w:hAnsi="Arial" w:cs="Arial"/>
          <w:sz w:val="24"/>
          <w:szCs w:val="24"/>
        </w:rPr>
        <w:t>,</w:t>
      </w:r>
      <w:r>
        <w:rPr>
          <w:rFonts w:ascii="Arial" w:hAnsi="Arial" w:cs="Arial"/>
          <w:sz w:val="24"/>
          <w:szCs w:val="24"/>
        </w:rPr>
        <w:t xml:space="preserve"> it is clear from </w:t>
      </w:r>
      <w:r w:rsidR="00DB0973">
        <w:rPr>
          <w:rFonts w:ascii="Arial" w:hAnsi="Arial" w:cs="Arial"/>
          <w:sz w:val="24"/>
          <w:szCs w:val="24"/>
        </w:rPr>
        <w:t>a</w:t>
      </w:r>
      <w:r>
        <w:rPr>
          <w:rFonts w:ascii="Arial" w:hAnsi="Arial" w:cs="Arial"/>
          <w:sz w:val="24"/>
          <w:szCs w:val="24"/>
        </w:rPr>
        <w:t xml:space="preserve"> reading of the judgment in that case that this was not the reason why the contract in that case was set aside. What led to the contract in </w:t>
      </w:r>
      <w:r w:rsidR="00DE6E84">
        <w:rPr>
          <w:rFonts w:ascii="Arial" w:hAnsi="Arial" w:cs="Arial"/>
          <w:sz w:val="24"/>
          <w:szCs w:val="24"/>
        </w:rPr>
        <w:t xml:space="preserve">the </w:t>
      </w:r>
      <w:r w:rsidR="00DE6E84" w:rsidRPr="00DE6E84">
        <w:rPr>
          <w:rFonts w:ascii="Arial" w:hAnsi="Arial" w:cs="Arial"/>
          <w:i/>
          <w:sz w:val="24"/>
          <w:szCs w:val="24"/>
        </w:rPr>
        <w:t>Anhui</w:t>
      </w:r>
      <w:r w:rsidR="00DE6E84">
        <w:rPr>
          <w:rFonts w:ascii="Arial" w:hAnsi="Arial" w:cs="Arial"/>
          <w:sz w:val="24"/>
          <w:szCs w:val="24"/>
        </w:rPr>
        <w:t xml:space="preserve"> case</w:t>
      </w:r>
      <w:r>
        <w:rPr>
          <w:rFonts w:ascii="Arial" w:hAnsi="Arial" w:cs="Arial"/>
          <w:sz w:val="24"/>
          <w:szCs w:val="24"/>
        </w:rPr>
        <w:t xml:space="preserve"> being set aside was the </w:t>
      </w:r>
      <w:r w:rsidR="00DE6E84">
        <w:rPr>
          <w:rFonts w:ascii="Arial" w:hAnsi="Arial" w:cs="Arial"/>
          <w:sz w:val="24"/>
          <w:szCs w:val="24"/>
        </w:rPr>
        <w:t xml:space="preserve">fact </w:t>
      </w:r>
      <w:r w:rsidR="007C3DB1">
        <w:rPr>
          <w:rFonts w:ascii="Arial" w:hAnsi="Arial" w:cs="Arial"/>
          <w:sz w:val="24"/>
          <w:szCs w:val="24"/>
        </w:rPr>
        <w:t xml:space="preserve">that </w:t>
      </w:r>
      <w:r w:rsidR="00DE6E84">
        <w:rPr>
          <w:rFonts w:ascii="Arial" w:hAnsi="Arial" w:cs="Arial"/>
          <w:sz w:val="24"/>
          <w:szCs w:val="24"/>
        </w:rPr>
        <w:t>th</w:t>
      </w:r>
      <w:r w:rsidR="008C0FBD">
        <w:rPr>
          <w:rFonts w:ascii="Arial" w:hAnsi="Arial" w:cs="Arial"/>
          <w:sz w:val="24"/>
          <w:szCs w:val="24"/>
        </w:rPr>
        <w:t>e</w:t>
      </w:r>
      <w:r>
        <w:rPr>
          <w:rFonts w:ascii="Arial" w:hAnsi="Arial" w:cs="Arial"/>
          <w:sz w:val="24"/>
          <w:szCs w:val="24"/>
        </w:rPr>
        <w:t xml:space="preserve"> contractor </w:t>
      </w:r>
      <w:r w:rsidR="008C0FBD">
        <w:rPr>
          <w:rFonts w:ascii="Arial" w:hAnsi="Arial" w:cs="Arial"/>
          <w:sz w:val="24"/>
          <w:szCs w:val="24"/>
        </w:rPr>
        <w:t xml:space="preserve">was appointed </w:t>
      </w:r>
      <w:r>
        <w:rPr>
          <w:rFonts w:ascii="Arial" w:hAnsi="Arial" w:cs="Arial"/>
          <w:sz w:val="24"/>
          <w:szCs w:val="24"/>
        </w:rPr>
        <w:t>in contravention of the Tender Board Act which the contractor knew was</w:t>
      </w:r>
      <w:r w:rsidR="008C0FBD">
        <w:rPr>
          <w:rFonts w:ascii="Arial" w:hAnsi="Arial" w:cs="Arial"/>
          <w:sz w:val="24"/>
          <w:szCs w:val="24"/>
        </w:rPr>
        <w:t xml:space="preserve"> to</w:t>
      </w:r>
      <w:r w:rsidR="00DB0973">
        <w:rPr>
          <w:rFonts w:ascii="Arial" w:hAnsi="Arial" w:cs="Arial"/>
          <w:sz w:val="24"/>
          <w:szCs w:val="24"/>
        </w:rPr>
        <w:t xml:space="preserve"> be</w:t>
      </w:r>
      <w:r w:rsidR="008C0FBD">
        <w:rPr>
          <w:rFonts w:ascii="Arial" w:hAnsi="Arial" w:cs="Arial"/>
          <w:sz w:val="24"/>
          <w:szCs w:val="24"/>
        </w:rPr>
        <w:t xml:space="preserve"> adhered to in that matter</w:t>
      </w:r>
      <w:r w:rsidR="00FC0FB0">
        <w:rPr>
          <w:rFonts w:ascii="Arial" w:hAnsi="Arial" w:cs="Arial"/>
          <w:sz w:val="24"/>
          <w:szCs w:val="24"/>
        </w:rPr>
        <w:t xml:space="preserve">. The point taken in respect of s 17 of the State </w:t>
      </w:r>
      <w:r w:rsidR="00FC0FB0">
        <w:rPr>
          <w:rFonts w:ascii="Arial" w:hAnsi="Arial" w:cs="Arial"/>
          <w:sz w:val="24"/>
          <w:szCs w:val="24"/>
        </w:rPr>
        <w:lastRenderedPageBreak/>
        <w:t xml:space="preserve">Finance Act is mentioned in passing but does not form part of the </w:t>
      </w:r>
      <w:r w:rsidR="00F02BCA">
        <w:rPr>
          <w:rFonts w:ascii="Arial" w:hAnsi="Arial" w:cs="Arial"/>
          <w:i/>
          <w:sz w:val="24"/>
          <w:szCs w:val="24"/>
        </w:rPr>
        <w:t>ratio decide</w:t>
      </w:r>
      <w:r w:rsidR="00FC0FB0" w:rsidRPr="00FC0FB0">
        <w:rPr>
          <w:rFonts w:ascii="Arial" w:hAnsi="Arial" w:cs="Arial"/>
          <w:i/>
          <w:sz w:val="24"/>
          <w:szCs w:val="24"/>
        </w:rPr>
        <w:t>ndi</w:t>
      </w:r>
      <w:r w:rsidR="00FC0FB0">
        <w:rPr>
          <w:rFonts w:ascii="Arial" w:hAnsi="Arial" w:cs="Arial"/>
          <w:sz w:val="24"/>
          <w:szCs w:val="24"/>
        </w:rPr>
        <w:t xml:space="preserve"> of the court.</w:t>
      </w:r>
      <w:r w:rsidR="00FC0FB0">
        <w:rPr>
          <w:rStyle w:val="FootnoteReference"/>
          <w:rFonts w:ascii="Arial" w:hAnsi="Arial" w:cs="Arial"/>
          <w:sz w:val="24"/>
          <w:szCs w:val="24"/>
        </w:rPr>
        <w:footnoteReference w:id="20"/>
      </w:r>
    </w:p>
    <w:p w:rsidR="00FB7298" w:rsidRDefault="00FB7298" w:rsidP="00650752">
      <w:pPr>
        <w:pStyle w:val="NoSpacing"/>
        <w:spacing w:line="480" w:lineRule="auto"/>
        <w:jc w:val="both"/>
        <w:rPr>
          <w:rFonts w:ascii="Arial" w:hAnsi="Arial" w:cs="Arial"/>
          <w:sz w:val="24"/>
          <w:szCs w:val="24"/>
        </w:rPr>
      </w:pPr>
    </w:p>
    <w:p w:rsidR="00FB7298" w:rsidRDefault="00FC0FB0" w:rsidP="008A663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 a functio</w:t>
      </w:r>
      <w:r w:rsidR="008C0FBD">
        <w:rPr>
          <w:rFonts w:ascii="Arial" w:hAnsi="Arial" w:cs="Arial"/>
          <w:sz w:val="24"/>
          <w:szCs w:val="24"/>
        </w:rPr>
        <w:t>nary</w:t>
      </w:r>
      <w:r>
        <w:rPr>
          <w:rFonts w:ascii="Arial" w:hAnsi="Arial" w:cs="Arial"/>
          <w:sz w:val="24"/>
          <w:szCs w:val="24"/>
        </w:rPr>
        <w:t xml:space="preserve"> of the State who has </w:t>
      </w:r>
      <w:r w:rsidR="00140FC5">
        <w:rPr>
          <w:rFonts w:ascii="Arial" w:hAnsi="Arial" w:cs="Arial"/>
          <w:sz w:val="24"/>
          <w:szCs w:val="24"/>
        </w:rPr>
        <w:t xml:space="preserve">implied </w:t>
      </w:r>
      <w:r>
        <w:rPr>
          <w:rFonts w:ascii="Arial" w:hAnsi="Arial" w:cs="Arial"/>
          <w:sz w:val="24"/>
          <w:szCs w:val="24"/>
        </w:rPr>
        <w:t>authority to enter into agreement</w:t>
      </w:r>
      <w:r w:rsidR="00FE71A3">
        <w:rPr>
          <w:rFonts w:ascii="Arial" w:hAnsi="Arial" w:cs="Arial"/>
          <w:sz w:val="24"/>
          <w:szCs w:val="24"/>
        </w:rPr>
        <w:t>s</w:t>
      </w:r>
      <w:r>
        <w:rPr>
          <w:rFonts w:ascii="Arial" w:hAnsi="Arial" w:cs="Arial"/>
          <w:sz w:val="24"/>
          <w:szCs w:val="24"/>
        </w:rPr>
        <w:t xml:space="preserve"> on behalf of the State concludes an agreement</w:t>
      </w:r>
      <w:r w:rsidR="00FE71A3">
        <w:rPr>
          <w:rFonts w:ascii="Arial" w:hAnsi="Arial" w:cs="Arial"/>
          <w:sz w:val="24"/>
          <w:szCs w:val="24"/>
        </w:rPr>
        <w:t>,</w:t>
      </w:r>
      <w:r>
        <w:rPr>
          <w:rFonts w:ascii="Arial" w:hAnsi="Arial" w:cs="Arial"/>
          <w:sz w:val="24"/>
          <w:szCs w:val="24"/>
        </w:rPr>
        <w:t xml:space="preserve"> such agreement remains valid even where the State does not appropriate money for such </w:t>
      </w:r>
      <w:r w:rsidR="00DC5224">
        <w:rPr>
          <w:rFonts w:ascii="Arial" w:hAnsi="Arial" w:cs="Arial"/>
          <w:sz w:val="24"/>
          <w:szCs w:val="24"/>
        </w:rPr>
        <w:t xml:space="preserve">an </w:t>
      </w:r>
      <w:r>
        <w:rPr>
          <w:rFonts w:ascii="Arial" w:hAnsi="Arial" w:cs="Arial"/>
          <w:sz w:val="24"/>
          <w:szCs w:val="24"/>
        </w:rPr>
        <w:t xml:space="preserve">agreement. </w:t>
      </w:r>
      <w:r w:rsidR="00DC5224">
        <w:rPr>
          <w:rFonts w:ascii="Arial" w:hAnsi="Arial" w:cs="Arial"/>
          <w:sz w:val="24"/>
          <w:szCs w:val="24"/>
        </w:rPr>
        <w:t xml:space="preserve">This seems to be the </w:t>
      </w:r>
      <w:r w:rsidR="00140FC5">
        <w:rPr>
          <w:rFonts w:ascii="Arial" w:hAnsi="Arial" w:cs="Arial"/>
          <w:sz w:val="24"/>
          <w:szCs w:val="24"/>
        </w:rPr>
        <w:t xml:space="preserve">common law </w:t>
      </w:r>
      <w:r w:rsidR="00DC5224">
        <w:rPr>
          <w:rFonts w:ascii="Arial" w:hAnsi="Arial" w:cs="Arial"/>
          <w:sz w:val="24"/>
          <w:szCs w:val="24"/>
        </w:rPr>
        <w:t>position both in England</w:t>
      </w:r>
      <w:r w:rsidR="00DC5224">
        <w:rPr>
          <w:rStyle w:val="FootnoteReference"/>
          <w:rFonts w:ascii="Arial" w:hAnsi="Arial" w:cs="Arial"/>
          <w:sz w:val="24"/>
          <w:szCs w:val="24"/>
        </w:rPr>
        <w:footnoteReference w:id="21"/>
      </w:r>
      <w:r w:rsidR="00DC5224">
        <w:rPr>
          <w:rFonts w:ascii="Arial" w:hAnsi="Arial" w:cs="Arial"/>
          <w:sz w:val="24"/>
          <w:szCs w:val="24"/>
        </w:rPr>
        <w:t xml:space="preserve"> and South Africa.</w:t>
      </w:r>
      <w:r w:rsidR="00DC5224">
        <w:rPr>
          <w:rStyle w:val="FootnoteReference"/>
          <w:rFonts w:ascii="Arial" w:hAnsi="Arial" w:cs="Arial"/>
          <w:sz w:val="24"/>
          <w:szCs w:val="24"/>
        </w:rPr>
        <w:footnoteReference w:id="22"/>
      </w:r>
      <w:r w:rsidR="00DC5224">
        <w:rPr>
          <w:rFonts w:ascii="Arial" w:hAnsi="Arial" w:cs="Arial"/>
          <w:sz w:val="24"/>
          <w:szCs w:val="24"/>
        </w:rPr>
        <w:t xml:space="preserve"> If the agreement cannot be executed for this reason</w:t>
      </w:r>
      <w:r w:rsidR="00FE71A3">
        <w:rPr>
          <w:rFonts w:ascii="Arial" w:hAnsi="Arial" w:cs="Arial"/>
          <w:sz w:val="24"/>
          <w:szCs w:val="24"/>
        </w:rPr>
        <w:t>,</w:t>
      </w:r>
      <w:r w:rsidR="00DC5224">
        <w:rPr>
          <w:rFonts w:ascii="Arial" w:hAnsi="Arial" w:cs="Arial"/>
          <w:sz w:val="24"/>
          <w:szCs w:val="24"/>
        </w:rPr>
        <w:t xml:space="preserve"> </w:t>
      </w:r>
      <w:r w:rsidR="00FE71A3">
        <w:rPr>
          <w:rFonts w:ascii="Arial" w:hAnsi="Arial" w:cs="Arial"/>
          <w:sz w:val="24"/>
          <w:szCs w:val="24"/>
        </w:rPr>
        <w:t>the</w:t>
      </w:r>
      <w:r w:rsidR="002124EF">
        <w:rPr>
          <w:rFonts w:ascii="Arial" w:hAnsi="Arial" w:cs="Arial"/>
          <w:sz w:val="24"/>
          <w:szCs w:val="24"/>
        </w:rPr>
        <w:t>n</w:t>
      </w:r>
      <w:r w:rsidR="00DC5224">
        <w:rPr>
          <w:rFonts w:ascii="Arial" w:hAnsi="Arial" w:cs="Arial"/>
          <w:sz w:val="24"/>
          <w:szCs w:val="24"/>
        </w:rPr>
        <w:t xml:space="preserve"> the normal contractual </w:t>
      </w:r>
      <w:r w:rsidR="008C0FBD">
        <w:rPr>
          <w:rFonts w:ascii="Arial" w:hAnsi="Arial" w:cs="Arial"/>
          <w:sz w:val="24"/>
          <w:szCs w:val="24"/>
        </w:rPr>
        <w:t xml:space="preserve">and or delictual </w:t>
      </w:r>
      <w:r w:rsidR="00DC5224">
        <w:rPr>
          <w:rFonts w:ascii="Arial" w:hAnsi="Arial" w:cs="Arial"/>
          <w:sz w:val="24"/>
          <w:szCs w:val="24"/>
        </w:rPr>
        <w:t xml:space="preserve">remedies, if any, </w:t>
      </w:r>
      <w:r w:rsidR="00F00CFA">
        <w:rPr>
          <w:rFonts w:ascii="Arial" w:hAnsi="Arial" w:cs="Arial"/>
          <w:sz w:val="24"/>
          <w:szCs w:val="24"/>
        </w:rPr>
        <w:t>become relevant.</w:t>
      </w:r>
      <w:r w:rsidR="00694C3A">
        <w:rPr>
          <w:rFonts w:ascii="Arial" w:hAnsi="Arial" w:cs="Arial"/>
          <w:sz w:val="24"/>
          <w:szCs w:val="24"/>
        </w:rPr>
        <w:t xml:space="preserve"> I should mention in passing that due to the manner</w:t>
      </w:r>
      <w:r w:rsidR="00DB1846">
        <w:rPr>
          <w:rFonts w:ascii="Arial" w:hAnsi="Arial" w:cs="Arial"/>
          <w:sz w:val="24"/>
          <w:szCs w:val="24"/>
        </w:rPr>
        <w:t xml:space="preserve"> in which money is appropriated in </w:t>
      </w:r>
      <w:r w:rsidR="00140FC5">
        <w:rPr>
          <w:rFonts w:ascii="Arial" w:hAnsi="Arial" w:cs="Arial"/>
          <w:sz w:val="24"/>
          <w:szCs w:val="24"/>
        </w:rPr>
        <w:t>this country, namely a globular amount per ministry</w:t>
      </w:r>
      <w:r w:rsidR="00FE71A3">
        <w:rPr>
          <w:rFonts w:ascii="Arial" w:hAnsi="Arial" w:cs="Arial"/>
          <w:sz w:val="24"/>
          <w:szCs w:val="24"/>
        </w:rPr>
        <w:t>,</w:t>
      </w:r>
      <w:r w:rsidR="00694C3A">
        <w:rPr>
          <w:rFonts w:ascii="Arial" w:hAnsi="Arial" w:cs="Arial"/>
          <w:sz w:val="24"/>
          <w:szCs w:val="24"/>
        </w:rPr>
        <w:t xml:space="preserve"> the issue of there being no appropriation by parliament is very unlikely to arise.</w:t>
      </w:r>
    </w:p>
    <w:p w:rsidR="008A6637" w:rsidRDefault="008A6637" w:rsidP="008A6637">
      <w:pPr>
        <w:pStyle w:val="ListParagraph"/>
        <w:spacing w:after="0" w:line="480" w:lineRule="auto"/>
        <w:rPr>
          <w:rFonts w:ascii="Arial" w:hAnsi="Arial" w:cs="Arial"/>
          <w:sz w:val="24"/>
          <w:szCs w:val="24"/>
        </w:rPr>
      </w:pPr>
    </w:p>
    <w:p w:rsidR="008A6637" w:rsidRPr="003919D6" w:rsidRDefault="008A6637" w:rsidP="008A663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To determine the effect of non-complian</w:t>
      </w:r>
      <w:r w:rsidR="005D0A17">
        <w:rPr>
          <w:rFonts w:ascii="Arial" w:hAnsi="Arial" w:cs="Arial"/>
          <w:sz w:val="24"/>
          <w:szCs w:val="24"/>
        </w:rPr>
        <w:t>ce with s 17 of the Finance Act</w:t>
      </w:r>
      <w:r>
        <w:rPr>
          <w:rFonts w:ascii="Arial" w:hAnsi="Arial" w:cs="Arial"/>
          <w:sz w:val="24"/>
          <w:szCs w:val="24"/>
        </w:rPr>
        <w:t xml:space="preserve"> must be considered in the</w:t>
      </w:r>
      <w:r w:rsidR="00140FC5">
        <w:rPr>
          <w:rFonts w:ascii="Arial" w:hAnsi="Arial" w:cs="Arial"/>
          <w:sz w:val="24"/>
          <w:szCs w:val="24"/>
        </w:rPr>
        <w:t xml:space="preserve"> context of the Act as a whole and in conjunction with legal requirements relating to public procurement. </w:t>
      </w:r>
      <w:r>
        <w:rPr>
          <w:rFonts w:ascii="Arial" w:hAnsi="Arial" w:cs="Arial"/>
          <w:sz w:val="24"/>
          <w:szCs w:val="24"/>
        </w:rPr>
        <w:t xml:space="preserve">This is so because the non-compliance </w:t>
      </w:r>
      <w:r>
        <w:rPr>
          <w:rFonts w:ascii="Arial" w:hAnsi="Arial" w:cs="Arial"/>
          <w:sz w:val="24"/>
          <w:szCs w:val="24"/>
        </w:rPr>
        <w:lastRenderedPageBreak/>
        <w:t>with an Act does not necessarily lead to invalidity.</w:t>
      </w:r>
      <w:r>
        <w:rPr>
          <w:rStyle w:val="FootnoteReference"/>
          <w:rFonts w:ascii="Arial" w:hAnsi="Arial" w:cs="Arial"/>
          <w:sz w:val="24"/>
          <w:szCs w:val="24"/>
        </w:rPr>
        <w:footnoteReference w:id="23"/>
      </w:r>
      <w:r w:rsidRPr="008A6637">
        <w:rPr>
          <w:rFonts w:ascii="Arial" w:hAnsi="Arial" w:cs="Arial"/>
          <w:sz w:val="24"/>
          <w:szCs w:val="24"/>
        </w:rPr>
        <w:t xml:space="preserve"> </w:t>
      </w:r>
      <w:r>
        <w:rPr>
          <w:rFonts w:ascii="Arial" w:hAnsi="Arial" w:cs="Arial"/>
          <w:sz w:val="24"/>
          <w:szCs w:val="24"/>
        </w:rPr>
        <w:t>The question as to the consequences of a failure to obtain prior Treasury authorisation (especially where money was appropriated and budgeted for in the ministry) cannot simply be determined with reference to s 17 of the State Finance Act without an analysis of how the section applies in the context used and in which circumstances (if the expenditure that is about to be incurred has been budgeted for) the Treasury can refuse to authorise it.</w:t>
      </w:r>
    </w:p>
    <w:p w:rsidR="00597403" w:rsidRPr="00597403" w:rsidRDefault="00597403" w:rsidP="00597403">
      <w:pPr>
        <w:pStyle w:val="NoSpacing"/>
        <w:spacing w:line="480" w:lineRule="auto"/>
        <w:jc w:val="both"/>
        <w:rPr>
          <w:rFonts w:ascii="Arial" w:hAnsi="Arial" w:cs="Arial"/>
          <w:sz w:val="24"/>
          <w:szCs w:val="24"/>
        </w:rPr>
      </w:pPr>
    </w:p>
    <w:p w:rsidR="00B21111" w:rsidRDefault="00B21111" w:rsidP="008A663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short, it </w:t>
      </w:r>
      <w:r w:rsidR="008A6637">
        <w:rPr>
          <w:rFonts w:ascii="Arial" w:hAnsi="Arial" w:cs="Arial"/>
          <w:sz w:val="24"/>
          <w:szCs w:val="24"/>
        </w:rPr>
        <w:t>should not have been assumed or a</w:t>
      </w:r>
      <w:r w:rsidR="005D0A17">
        <w:rPr>
          <w:rFonts w:ascii="Arial" w:hAnsi="Arial" w:cs="Arial"/>
          <w:sz w:val="24"/>
          <w:szCs w:val="24"/>
        </w:rPr>
        <w:t>ccepted without a proper analysi</w:t>
      </w:r>
      <w:r w:rsidR="008A6637">
        <w:rPr>
          <w:rFonts w:ascii="Arial" w:hAnsi="Arial" w:cs="Arial"/>
          <w:sz w:val="24"/>
          <w:szCs w:val="24"/>
        </w:rPr>
        <w:t>s of the State Finance Act a</w:t>
      </w:r>
      <w:r w:rsidR="00140FC5">
        <w:rPr>
          <w:rFonts w:ascii="Arial" w:hAnsi="Arial" w:cs="Arial"/>
          <w:sz w:val="24"/>
          <w:szCs w:val="24"/>
        </w:rPr>
        <w:t xml:space="preserve">nd the role of s 17 of this Act read with the legal requirements apposite to public procurement </w:t>
      </w:r>
      <w:r w:rsidR="008A6637">
        <w:rPr>
          <w:rFonts w:ascii="Arial" w:hAnsi="Arial" w:cs="Arial"/>
          <w:sz w:val="24"/>
          <w:szCs w:val="24"/>
        </w:rPr>
        <w:t xml:space="preserve">that the effect of non-compliance with s 17 was to invalidate the granting of the tender. Neither in the court </w:t>
      </w:r>
      <w:r w:rsidR="008A6637" w:rsidRPr="007A0A9E">
        <w:rPr>
          <w:rFonts w:ascii="Arial" w:hAnsi="Arial" w:cs="Arial"/>
          <w:i/>
          <w:sz w:val="24"/>
          <w:szCs w:val="24"/>
        </w:rPr>
        <w:t>a quo</w:t>
      </w:r>
      <w:r w:rsidR="008A6637">
        <w:rPr>
          <w:rFonts w:ascii="Arial" w:hAnsi="Arial" w:cs="Arial"/>
          <w:sz w:val="24"/>
          <w:szCs w:val="24"/>
        </w:rPr>
        <w:t xml:space="preserve"> nor in this court was this issue properly ventilated in argument and </w:t>
      </w:r>
      <w:r w:rsidR="008A1606">
        <w:rPr>
          <w:rFonts w:ascii="Arial" w:hAnsi="Arial" w:cs="Arial"/>
          <w:sz w:val="24"/>
          <w:szCs w:val="24"/>
        </w:rPr>
        <w:t xml:space="preserve">I </w:t>
      </w:r>
      <w:r w:rsidR="008A6637">
        <w:rPr>
          <w:rFonts w:ascii="Arial" w:hAnsi="Arial" w:cs="Arial"/>
          <w:sz w:val="24"/>
          <w:szCs w:val="24"/>
        </w:rPr>
        <w:t>thus refrain from expressing any definitive view in this regard.</w:t>
      </w:r>
    </w:p>
    <w:p w:rsidR="008A6637" w:rsidRDefault="008A6637" w:rsidP="008A6637">
      <w:pPr>
        <w:pStyle w:val="NoSpacing"/>
        <w:spacing w:line="480" w:lineRule="auto"/>
        <w:jc w:val="both"/>
        <w:rPr>
          <w:rFonts w:ascii="Arial" w:hAnsi="Arial" w:cs="Arial"/>
          <w:sz w:val="24"/>
          <w:szCs w:val="24"/>
        </w:rPr>
      </w:pPr>
    </w:p>
    <w:p w:rsidR="00B21111" w:rsidRDefault="00B21111" w:rsidP="00B2111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appeal</w:t>
      </w:r>
      <w:r w:rsidR="00497D47">
        <w:rPr>
          <w:rFonts w:ascii="Arial" w:hAnsi="Arial" w:cs="Arial"/>
          <w:sz w:val="24"/>
          <w:szCs w:val="24"/>
        </w:rPr>
        <w:t>s</w:t>
      </w:r>
      <w:r>
        <w:rPr>
          <w:rFonts w:ascii="Arial" w:hAnsi="Arial" w:cs="Arial"/>
          <w:sz w:val="24"/>
          <w:szCs w:val="24"/>
        </w:rPr>
        <w:t xml:space="preserve"> against both the order granted in respect of main application and </w:t>
      </w:r>
      <w:r w:rsidR="00497D47">
        <w:rPr>
          <w:rFonts w:ascii="Arial" w:hAnsi="Arial" w:cs="Arial"/>
          <w:sz w:val="24"/>
          <w:szCs w:val="24"/>
        </w:rPr>
        <w:t xml:space="preserve">the </w:t>
      </w:r>
      <w:r>
        <w:rPr>
          <w:rFonts w:ascii="Arial" w:hAnsi="Arial" w:cs="Arial"/>
          <w:sz w:val="24"/>
          <w:szCs w:val="24"/>
        </w:rPr>
        <w:t xml:space="preserve">order granted in respect of the counter application by the court </w:t>
      </w:r>
      <w:r w:rsidRPr="00B21111">
        <w:rPr>
          <w:rFonts w:ascii="Arial" w:hAnsi="Arial" w:cs="Arial"/>
          <w:i/>
          <w:sz w:val="24"/>
          <w:szCs w:val="24"/>
        </w:rPr>
        <w:t>a quo</w:t>
      </w:r>
      <w:r>
        <w:rPr>
          <w:rFonts w:ascii="Arial" w:hAnsi="Arial" w:cs="Arial"/>
          <w:sz w:val="24"/>
          <w:szCs w:val="24"/>
        </w:rPr>
        <w:t xml:space="preserve"> are dismissed with cos</w:t>
      </w:r>
      <w:r w:rsidR="005D0A17">
        <w:rPr>
          <w:rFonts w:ascii="Arial" w:hAnsi="Arial" w:cs="Arial"/>
          <w:sz w:val="24"/>
          <w:szCs w:val="24"/>
        </w:rPr>
        <w:t xml:space="preserve">ts such costs to include the </w:t>
      </w:r>
      <w:r>
        <w:rPr>
          <w:rFonts w:ascii="Arial" w:hAnsi="Arial" w:cs="Arial"/>
          <w:sz w:val="24"/>
          <w:szCs w:val="24"/>
        </w:rPr>
        <w:t>costs of one instructing and one instructed legal practitioner.</w:t>
      </w:r>
    </w:p>
    <w:p w:rsidR="0013079E" w:rsidRDefault="0013079E" w:rsidP="0013079E">
      <w:pPr>
        <w:pStyle w:val="NoSpacing"/>
        <w:rPr>
          <w:rFonts w:ascii="Arial" w:hAnsi="Arial" w:cs="Arial"/>
          <w:b/>
          <w:sz w:val="24"/>
          <w:szCs w:val="24"/>
        </w:rPr>
      </w:pPr>
    </w:p>
    <w:p w:rsidR="0013079E" w:rsidRDefault="0013079E" w:rsidP="0013079E">
      <w:pPr>
        <w:pStyle w:val="NoSpacing"/>
        <w:rPr>
          <w:rFonts w:ascii="Arial" w:hAnsi="Arial" w:cs="Arial"/>
          <w:b/>
          <w:sz w:val="24"/>
          <w:szCs w:val="24"/>
        </w:rPr>
      </w:pPr>
    </w:p>
    <w:p w:rsidR="007F7A31" w:rsidRDefault="007F7A31" w:rsidP="0013079E">
      <w:pPr>
        <w:pStyle w:val="NoSpacing"/>
        <w:rPr>
          <w:rFonts w:ascii="Arial" w:hAnsi="Arial" w:cs="Arial"/>
          <w:b/>
          <w:sz w:val="24"/>
          <w:szCs w:val="24"/>
        </w:rPr>
      </w:pPr>
    </w:p>
    <w:p w:rsidR="0023559A" w:rsidRDefault="0023559A" w:rsidP="0013079E">
      <w:pPr>
        <w:pStyle w:val="NoSpacing"/>
        <w:rPr>
          <w:rFonts w:ascii="Arial" w:hAnsi="Arial" w:cs="Arial"/>
          <w:b/>
          <w:sz w:val="24"/>
          <w:szCs w:val="24"/>
        </w:rPr>
      </w:pPr>
    </w:p>
    <w:p w:rsidR="0023559A" w:rsidRPr="00991107" w:rsidRDefault="0023559A" w:rsidP="0013079E">
      <w:pPr>
        <w:pStyle w:val="NoSpacing"/>
        <w:rPr>
          <w:rFonts w:ascii="Arial" w:hAnsi="Arial" w:cs="Arial"/>
          <w:b/>
          <w:sz w:val="24"/>
          <w:szCs w:val="24"/>
        </w:rPr>
      </w:pPr>
    </w:p>
    <w:p w:rsidR="0013079E" w:rsidRPr="00F4471E" w:rsidRDefault="0013079E" w:rsidP="0013079E">
      <w:pPr>
        <w:spacing w:after="0" w:line="276" w:lineRule="auto"/>
        <w:jc w:val="both"/>
        <w:rPr>
          <w:rFonts w:ascii="Arial" w:hAnsi="Arial" w:cs="Arial"/>
          <w:b/>
          <w:sz w:val="24"/>
          <w:szCs w:val="24"/>
        </w:rPr>
      </w:pPr>
      <w:r>
        <w:rPr>
          <w:rFonts w:ascii="Arial" w:hAnsi="Arial" w:cs="Arial"/>
          <w:b/>
          <w:sz w:val="24"/>
          <w:szCs w:val="24"/>
        </w:rPr>
        <w:t>__________________</w:t>
      </w:r>
    </w:p>
    <w:p w:rsidR="0013079E" w:rsidRPr="00F4471E" w:rsidRDefault="0013079E" w:rsidP="0013079E">
      <w:pPr>
        <w:spacing w:after="0" w:line="240" w:lineRule="auto"/>
        <w:jc w:val="both"/>
        <w:rPr>
          <w:rFonts w:ascii="Arial" w:hAnsi="Arial" w:cs="Arial"/>
          <w:b/>
          <w:sz w:val="24"/>
          <w:szCs w:val="24"/>
        </w:rPr>
      </w:pPr>
      <w:r>
        <w:rPr>
          <w:rFonts w:ascii="Arial" w:hAnsi="Arial" w:cs="Arial"/>
          <w:b/>
          <w:sz w:val="24"/>
          <w:szCs w:val="24"/>
        </w:rPr>
        <w:t>FRANK AJA</w:t>
      </w:r>
    </w:p>
    <w:p w:rsidR="0013079E" w:rsidRDefault="0013079E" w:rsidP="0013079E">
      <w:pPr>
        <w:spacing w:after="0" w:line="240" w:lineRule="auto"/>
        <w:jc w:val="both"/>
        <w:rPr>
          <w:rFonts w:ascii="Arial" w:hAnsi="Arial" w:cs="Arial"/>
          <w:b/>
          <w:sz w:val="24"/>
          <w:szCs w:val="24"/>
        </w:rPr>
      </w:pPr>
    </w:p>
    <w:p w:rsidR="0013079E" w:rsidRDefault="0013079E" w:rsidP="0013079E">
      <w:pPr>
        <w:spacing w:after="0" w:line="240" w:lineRule="auto"/>
        <w:jc w:val="both"/>
        <w:rPr>
          <w:rFonts w:ascii="Arial" w:hAnsi="Arial" w:cs="Arial"/>
          <w:b/>
          <w:sz w:val="24"/>
          <w:szCs w:val="24"/>
        </w:rPr>
      </w:pPr>
    </w:p>
    <w:p w:rsidR="00B77D8F" w:rsidRDefault="00B77D8F" w:rsidP="0013079E">
      <w:pPr>
        <w:spacing w:after="0" w:line="240" w:lineRule="auto"/>
        <w:jc w:val="both"/>
        <w:rPr>
          <w:rFonts w:ascii="Arial" w:hAnsi="Arial" w:cs="Arial"/>
          <w:b/>
          <w:sz w:val="24"/>
          <w:szCs w:val="24"/>
        </w:rPr>
      </w:pPr>
    </w:p>
    <w:p w:rsidR="000D0DCC" w:rsidRDefault="000D0DCC" w:rsidP="0013079E">
      <w:pPr>
        <w:spacing w:after="0" w:line="240" w:lineRule="auto"/>
        <w:jc w:val="both"/>
        <w:rPr>
          <w:rFonts w:ascii="Arial" w:hAnsi="Arial" w:cs="Arial"/>
          <w:b/>
          <w:sz w:val="24"/>
          <w:szCs w:val="24"/>
        </w:rPr>
      </w:pPr>
    </w:p>
    <w:p w:rsidR="000D0DCC" w:rsidRDefault="000D0DCC" w:rsidP="0013079E">
      <w:pPr>
        <w:spacing w:after="0" w:line="240" w:lineRule="auto"/>
        <w:jc w:val="both"/>
        <w:rPr>
          <w:rFonts w:ascii="Arial" w:hAnsi="Arial" w:cs="Arial"/>
          <w:b/>
          <w:sz w:val="24"/>
          <w:szCs w:val="24"/>
        </w:rPr>
      </w:pPr>
    </w:p>
    <w:p w:rsidR="000D0DCC" w:rsidRDefault="000D0DCC" w:rsidP="0013079E">
      <w:pPr>
        <w:spacing w:after="0" w:line="240" w:lineRule="auto"/>
        <w:jc w:val="both"/>
        <w:rPr>
          <w:rFonts w:ascii="Arial" w:hAnsi="Arial" w:cs="Arial"/>
          <w:b/>
          <w:sz w:val="24"/>
          <w:szCs w:val="24"/>
        </w:rPr>
      </w:pPr>
    </w:p>
    <w:p w:rsidR="0013079E" w:rsidRDefault="0013079E" w:rsidP="0013079E">
      <w:pPr>
        <w:spacing w:after="0" w:line="240" w:lineRule="auto"/>
        <w:jc w:val="both"/>
        <w:rPr>
          <w:rFonts w:ascii="Arial" w:hAnsi="Arial" w:cs="Arial"/>
          <w:b/>
          <w:sz w:val="24"/>
          <w:szCs w:val="24"/>
        </w:rPr>
      </w:pPr>
      <w:r>
        <w:rPr>
          <w:rFonts w:ascii="Arial" w:hAnsi="Arial" w:cs="Arial"/>
          <w:b/>
          <w:sz w:val="24"/>
          <w:szCs w:val="24"/>
        </w:rPr>
        <w:t>__________________</w:t>
      </w:r>
    </w:p>
    <w:p w:rsidR="0013079E" w:rsidRDefault="0013079E" w:rsidP="0013079E">
      <w:pPr>
        <w:spacing w:after="0" w:line="240" w:lineRule="auto"/>
        <w:jc w:val="both"/>
        <w:rPr>
          <w:rFonts w:ascii="Arial" w:hAnsi="Arial" w:cs="Arial"/>
          <w:b/>
          <w:sz w:val="24"/>
          <w:szCs w:val="24"/>
        </w:rPr>
      </w:pPr>
      <w:r>
        <w:rPr>
          <w:rFonts w:ascii="Arial" w:hAnsi="Arial" w:cs="Arial"/>
          <w:b/>
          <w:sz w:val="24"/>
          <w:szCs w:val="24"/>
        </w:rPr>
        <w:t>SHIVUTE CJ</w:t>
      </w:r>
    </w:p>
    <w:p w:rsidR="0013079E" w:rsidRDefault="0013079E" w:rsidP="0013079E">
      <w:pPr>
        <w:spacing w:after="0" w:line="240" w:lineRule="auto"/>
        <w:jc w:val="both"/>
        <w:rPr>
          <w:rFonts w:ascii="Arial" w:hAnsi="Arial" w:cs="Arial"/>
          <w:b/>
          <w:sz w:val="24"/>
          <w:szCs w:val="24"/>
        </w:rPr>
      </w:pPr>
    </w:p>
    <w:p w:rsidR="0013079E" w:rsidRDefault="0013079E" w:rsidP="0013079E">
      <w:pPr>
        <w:spacing w:after="0" w:line="240" w:lineRule="auto"/>
        <w:jc w:val="both"/>
        <w:rPr>
          <w:rFonts w:ascii="Arial" w:hAnsi="Arial" w:cs="Arial"/>
          <w:b/>
          <w:sz w:val="24"/>
          <w:szCs w:val="24"/>
        </w:rPr>
      </w:pPr>
    </w:p>
    <w:p w:rsidR="0027798D" w:rsidRDefault="0027798D" w:rsidP="0013079E">
      <w:pPr>
        <w:spacing w:after="0" w:line="240" w:lineRule="auto"/>
        <w:jc w:val="both"/>
        <w:rPr>
          <w:rFonts w:ascii="Arial" w:hAnsi="Arial" w:cs="Arial"/>
          <w:b/>
          <w:sz w:val="24"/>
          <w:szCs w:val="24"/>
        </w:rPr>
      </w:pPr>
    </w:p>
    <w:p w:rsidR="000D0DCC" w:rsidRDefault="000D0DCC" w:rsidP="0013079E">
      <w:pPr>
        <w:spacing w:after="0" w:line="240" w:lineRule="auto"/>
        <w:jc w:val="both"/>
        <w:rPr>
          <w:rFonts w:ascii="Arial" w:hAnsi="Arial" w:cs="Arial"/>
          <w:b/>
          <w:sz w:val="24"/>
          <w:szCs w:val="24"/>
        </w:rPr>
      </w:pPr>
    </w:p>
    <w:p w:rsidR="000D0DCC" w:rsidRDefault="000D0DCC" w:rsidP="0013079E">
      <w:pPr>
        <w:spacing w:after="0" w:line="240" w:lineRule="auto"/>
        <w:jc w:val="both"/>
        <w:rPr>
          <w:rFonts w:ascii="Arial" w:hAnsi="Arial" w:cs="Arial"/>
          <w:b/>
          <w:sz w:val="24"/>
          <w:szCs w:val="24"/>
        </w:rPr>
      </w:pPr>
    </w:p>
    <w:p w:rsidR="000D0DCC" w:rsidRDefault="000D0DCC" w:rsidP="0013079E">
      <w:pPr>
        <w:spacing w:after="0" w:line="240" w:lineRule="auto"/>
        <w:jc w:val="both"/>
        <w:rPr>
          <w:rFonts w:ascii="Arial" w:hAnsi="Arial" w:cs="Arial"/>
          <w:b/>
          <w:sz w:val="24"/>
          <w:szCs w:val="24"/>
        </w:rPr>
      </w:pPr>
    </w:p>
    <w:p w:rsidR="0013079E" w:rsidRDefault="0013079E" w:rsidP="0013079E">
      <w:pPr>
        <w:spacing w:after="0" w:line="240" w:lineRule="auto"/>
        <w:jc w:val="both"/>
        <w:rPr>
          <w:rFonts w:ascii="Arial" w:hAnsi="Arial" w:cs="Arial"/>
          <w:b/>
          <w:sz w:val="24"/>
          <w:szCs w:val="24"/>
        </w:rPr>
      </w:pPr>
      <w:r>
        <w:rPr>
          <w:rFonts w:ascii="Arial" w:hAnsi="Arial" w:cs="Arial"/>
          <w:b/>
          <w:sz w:val="24"/>
          <w:szCs w:val="24"/>
        </w:rPr>
        <w:t>__________________</w:t>
      </w:r>
    </w:p>
    <w:p w:rsidR="0013079E" w:rsidRDefault="0013079E" w:rsidP="0013079E">
      <w:pPr>
        <w:spacing w:after="0" w:line="240" w:lineRule="auto"/>
        <w:jc w:val="both"/>
        <w:rPr>
          <w:rFonts w:ascii="Arial" w:hAnsi="Arial" w:cs="Arial"/>
          <w:b/>
          <w:sz w:val="24"/>
          <w:szCs w:val="24"/>
        </w:rPr>
      </w:pPr>
      <w:r>
        <w:rPr>
          <w:rFonts w:ascii="Arial" w:hAnsi="Arial" w:cs="Arial"/>
          <w:b/>
          <w:sz w:val="24"/>
          <w:szCs w:val="24"/>
        </w:rPr>
        <w:t>MAINGA JA</w:t>
      </w:r>
    </w:p>
    <w:p w:rsidR="0068033F" w:rsidRDefault="0068033F" w:rsidP="0013079E">
      <w:pPr>
        <w:pStyle w:val="BodyText"/>
        <w:autoSpaceDE w:val="0"/>
        <w:autoSpaceDN w:val="0"/>
        <w:adjustRightInd w:val="0"/>
        <w:spacing w:line="480" w:lineRule="auto"/>
        <w:jc w:val="both"/>
        <w:rPr>
          <w:rFonts w:ascii="Arial" w:hAnsi="Arial" w:cs="Arial"/>
        </w:rPr>
      </w:pPr>
    </w:p>
    <w:p w:rsidR="000D0DCC" w:rsidRDefault="000D0DCC">
      <w:pPr>
        <w:rPr>
          <w:rFonts w:ascii="Arial" w:eastAsia="Times New Roman" w:hAnsi="Arial" w:cs="Arial"/>
          <w:sz w:val="24"/>
          <w:szCs w:val="24"/>
          <w:lang w:val="en-GB"/>
        </w:rPr>
      </w:pPr>
      <w:r>
        <w:rPr>
          <w:rFonts w:ascii="Arial" w:hAnsi="Arial" w:cs="Arial"/>
        </w:rPr>
        <w:br w:type="page"/>
      </w:r>
    </w:p>
    <w:p w:rsidR="000D0DCC" w:rsidRDefault="000D0DCC" w:rsidP="0013079E">
      <w:pPr>
        <w:pStyle w:val="BodyText"/>
        <w:autoSpaceDE w:val="0"/>
        <w:autoSpaceDN w:val="0"/>
        <w:adjustRightInd w:val="0"/>
        <w:spacing w:line="480" w:lineRule="auto"/>
        <w:jc w:val="both"/>
        <w:rPr>
          <w:rFonts w:ascii="Arial" w:hAnsi="Arial" w:cs="Arial"/>
        </w:rPr>
      </w:pPr>
    </w:p>
    <w:p w:rsidR="0013079E" w:rsidRPr="00F4471E" w:rsidRDefault="0013079E" w:rsidP="0013079E">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13079E" w:rsidRDefault="0013079E" w:rsidP="0013079E">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5197"/>
      </w:tblGrid>
      <w:tr w:rsidR="0068033F" w:rsidTr="0068033F">
        <w:tc>
          <w:tcPr>
            <w:tcW w:w="4555" w:type="dxa"/>
          </w:tcPr>
          <w:p w:rsidR="0068033F" w:rsidRDefault="0068033F" w:rsidP="0068033F">
            <w:pPr>
              <w:pStyle w:val="BodyText"/>
              <w:autoSpaceDE w:val="0"/>
              <w:autoSpaceDN w:val="0"/>
              <w:adjustRightInd w:val="0"/>
              <w:spacing w:line="480" w:lineRule="auto"/>
              <w:ind w:left="-113"/>
              <w:jc w:val="both"/>
              <w:rPr>
                <w:rFonts w:ascii="Arial" w:hAnsi="Arial" w:cs="Arial"/>
              </w:rPr>
            </w:pPr>
            <w:r>
              <w:rPr>
                <w:rFonts w:ascii="Arial" w:hAnsi="Arial" w:cs="Arial"/>
              </w:rPr>
              <w:t>FIRST – THIRD APPELLANTS:</w:t>
            </w:r>
          </w:p>
        </w:tc>
        <w:tc>
          <w:tcPr>
            <w:tcW w:w="4556" w:type="dxa"/>
          </w:tcPr>
          <w:p w:rsidR="0068033F" w:rsidRDefault="0068033F" w:rsidP="0013079E">
            <w:pPr>
              <w:pStyle w:val="BodyText"/>
              <w:autoSpaceDE w:val="0"/>
              <w:autoSpaceDN w:val="0"/>
              <w:adjustRightInd w:val="0"/>
              <w:spacing w:line="480" w:lineRule="auto"/>
              <w:jc w:val="both"/>
              <w:rPr>
                <w:rFonts w:ascii="Arial" w:hAnsi="Arial" w:cs="Arial"/>
              </w:rPr>
            </w:pPr>
            <w:r>
              <w:rPr>
                <w:rFonts w:ascii="Arial" w:hAnsi="Arial" w:cs="Arial"/>
              </w:rPr>
              <w:t>T Chibwana (with him F X Bangamwabo)</w:t>
            </w:r>
          </w:p>
        </w:tc>
      </w:tr>
      <w:tr w:rsidR="0068033F" w:rsidTr="0068033F">
        <w:tc>
          <w:tcPr>
            <w:tcW w:w="4555" w:type="dxa"/>
          </w:tcPr>
          <w:p w:rsidR="0068033F" w:rsidRDefault="0068033F" w:rsidP="0068033F">
            <w:pPr>
              <w:pStyle w:val="BodyText"/>
              <w:autoSpaceDE w:val="0"/>
              <w:autoSpaceDN w:val="0"/>
              <w:adjustRightInd w:val="0"/>
              <w:spacing w:line="480" w:lineRule="auto"/>
              <w:ind w:left="-113"/>
              <w:jc w:val="both"/>
              <w:rPr>
                <w:rFonts w:ascii="Arial" w:hAnsi="Arial" w:cs="Arial"/>
              </w:rPr>
            </w:pPr>
          </w:p>
        </w:tc>
        <w:tc>
          <w:tcPr>
            <w:tcW w:w="4556" w:type="dxa"/>
          </w:tcPr>
          <w:p w:rsidR="0068033F" w:rsidRDefault="0068033F" w:rsidP="0013079E">
            <w:pPr>
              <w:pStyle w:val="BodyText"/>
              <w:autoSpaceDE w:val="0"/>
              <w:autoSpaceDN w:val="0"/>
              <w:adjustRightInd w:val="0"/>
              <w:spacing w:line="480" w:lineRule="auto"/>
              <w:jc w:val="both"/>
              <w:rPr>
                <w:rFonts w:ascii="Arial" w:hAnsi="Arial" w:cs="Arial"/>
              </w:rPr>
            </w:pPr>
            <w:r>
              <w:rPr>
                <w:rFonts w:ascii="Arial" w:hAnsi="Arial" w:cs="Arial"/>
              </w:rPr>
              <w:t>Instructed by FB Law Chambers, Windhoek</w:t>
            </w:r>
          </w:p>
        </w:tc>
      </w:tr>
      <w:tr w:rsidR="0068033F" w:rsidTr="0068033F">
        <w:tc>
          <w:tcPr>
            <w:tcW w:w="4555" w:type="dxa"/>
          </w:tcPr>
          <w:p w:rsidR="0068033F" w:rsidRDefault="0068033F" w:rsidP="0068033F">
            <w:pPr>
              <w:pStyle w:val="BodyText"/>
              <w:autoSpaceDE w:val="0"/>
              <w:autoSpaceDN w:val="0"/>
              <w:adjustRightInd w:val="0"/>
              <w:spacing w:line="480" w:lineRule="auto"/>
              <w:ind w:left="-113"/>
              <w:jc w:val="both"/>
              <w:rPr>
                <w:rFonts w:ascii="Arial" w:hAnsi="Arial" w:cs="Arial"/>
              </w:rPr>
            </w:pPr>
          </w:p>
        </w:tc>
        <w:tc>
          <w:tcPr>
            <w:tcW w:w="4556" w:type="dxa"/>
          </w:tcPr>
          <w:p w:rsidR="0068033F" w:rsidRDefault="0068033F" w:rsidP="0013079E">
            <w:pPr>
              <w:pStyle w:val="BodyText"/>
              <w:autoSpaceDE w:val="0"/>
              <w:autoSpaceDN w:val="0"/>
              <w:adjustRightInd w:val="0"/>
              <w:spacing w:line="480" w:lineRule="auto"/>
              <w:jc w:val="both"/>
              <w:rPr>
                <w:rFonts w:ascii="Arial" w:hAnsi="Arial" w:cs="Arial"/>
              </w:rPr>
            </w:pPr>
          </w:p>
        </w:tc>
      </w:tr>
      <w:tr w:rsidR="0068033F" w:rsidTr="0068033F">
        <w:tc>
          <w:tcPr>
            <w:tcW w:w="4555" w:type="dxa"/>
          </w:tcPr>
          <w:p w:rsidR="0068033F" w:rsidRDefault="0068033F" w:rsidP="0068033F">
            <w:pPr>
              <w:pStyle w:val="BodyText"/>
              <w:autoSpaceDE w:val="0"/>
              <w:autoSpaceDN w:val="0"/>
              <w:adjustRightInd w:val="0"/>
              <w:spacing w:line="480" w:lineRule="auto"/>
              <w:ind w:left="-113"/>
              <w:jc w:val="both"/>
              <w:rPr>
                <w:rFonts w:ascii="Arial" w:hAnsi="Arial" w:cs="Arial"/>
              </w:rPr>
            </w:pPr>
          </w:p>
        </w:tc>
        <w:tc>
          <w:tcPr>
            <w:tcW w:w="4556" w:type="dxa"/>
          </w:tcPr>
          <w:p w:rsidR="0068033F" w:rsidRDefault="0068033F" w:rsidP="0013079E">
            <w:pPr>
              <w:pStyle w:val="BodyText"/>
              <w:autoSpaceDE w:val="0"/>
              <w:autoSpaceDN w:val="0"/>
              <w:adjustRightInd w:val="0"/>
              <w:spacing w:line="480" w:lineRule="auto"/>
              <w:jc w:val="both"/>
              <w:rPr>
                <w:rFonts w:ascii="Arial" w:hAnsi="Arial" w:cs="Arial"/>
              </w:rPr>
            </w:pPr>
          </w:p>
        </w:tc>
      </w:tr>
      <w:tr w:rsidR="0068033F" w:rsidTr="0068033F">
        <w:tc>
          <w:tcPr>
            <w:tcW w:w="4555" w:type="dxa"/>
          </w:tcPr>
          <w:p w:rsidR="0068033F" w:rsidRDefault="0068033F" w:rsidP="0068033F">
            <w:pPr>
              <w:pStyle w:val="BodyText"/>
              <w:autoSpaceDE w:val="0"/>
              <w:autoSpaceDN w:val="0"/>
              <w:adjustRightInd w:val="0"/>
              <w:spacing w:line="480" w:lineRule="auto"/>
              <w:ind w:left="-113"/>
              <w:jc w:val="both"/>
              <w:rPr>
                <w:rFonts w:ascii="Arial" w:hAnsi="Arial" w:cs="Arial"/>
              </w:rPr>
            </w:pPr>
            <w:r>
              <w:rPr>
                <w:rFonts w:ascii="Arial" w:hAnsi="Arial" w:cs="Arial"/>
              </w:rPr>
              <w:t>FIRST – NINTH RESPONDENTS:</w:t>
            </w:r>
          </w:p>
        </w:tc>
        <w:tc>
          <w:tcPr>
            <w:tcW w:w="4556" w:type="dxa"/>
          </w:tcPr>
          <w:p w:rsidR="0068033F" w:rsidRPr="0068033F" w:rsidRDefault="0068033F" w:rsidP="0068033F">
            <w:pPr>
              <w:autoSpaceDE w:val="0"/>
              <w:autoSpaceDN w:val="0"/>
              <w:adjustRightInd w:val="0"/>
              <w:spacing w:line="480" w:lineRule="auto"/>
              <w:ind w:left="3780" w:hanging="3780"/>
              <w:jc w:val="both"/>
              <w:rPr>
                <w:rFonts w:ascii="Arial" w:hAnsi="Arial" w:cs="Arial"/>
                <w:sz w:val="24"/>
                <w:szCs w:val="24"/>
              </w:rPr>
            </w:pPr>
            <w:r>
              <w:rPr>
                <w:rFonts w:ascii="Arial" w:hAnsi="Arial" w:cs="Arial"/>
                <w:sz w:val="24"/>
                <w:szCs w:val="24"/>
              </w:rPr>
              <w:t>N Kandovazu (with him L Ihalwa)</w:t>
            </w:r>
          </w:p>
        </w:tc>
      </w:tr>
      <w:tr w:rsidR="0068033F" w:rsidTr="0068033F">
        <w:tc>
          <w:tcPr>
            <w:tcW w:w="4555" w:type="dxa"/>
          </w:tcPr>
          <w:p w:rsidR="0068033F" w:rsidRDefault="0068033F" w:rsidP="0068033F">
            <w:pPr>
              <w:pStyle w:val="BodyText"/>
              <w:autoSpaceDE w:val="0"/>
              <w:autoSpaceDN w:val="0"/>
              <w:adjustRightInd w:val="0"/>
              <w:spacing w:line="480" w:lineRule="auto"/>
              <w:ind w:left="-113"/>
              <w:jc w:val="both"/>
              <w:rPr>
                <w:rFonts w:ascii="Arial" w:hAnsi="Arial" w:cs="Arial"/>
              </w:rPr>
            </w:pPr>
          </w:p>
        </w:tc>
        <w:tc>
          <w:tcPr>
            <w:tcW w:w="4556" w:type="dxa"/>
          </w:tcPr>
          <w:p w:rsidR="0068033F" w:rsidRDefault="0068033F" w:rsidP="0013079E">
            <w:pPr>
              <w:pStyle w:val="BodyText"/>
              <w:autoSpaceDE w:val="0"/>
              <w:autoSpaceDN w:val="0"/>
              <w:adjustRightInd w:val="0"/>
              <w:spacing w:line="480" w:lineRule="auto"/>
              <w:jc w:val="both"/>
              <w:rPr>
                <w:rFonts w:ascii="Arial" w:hAnsi="Arial" w:cs="Arial"/>
              </w:rPr>
            </w:pPr>
            <w:r>
              <w:rPr>
                <w:rFonts w:ascii="Arial" w:hAnsi="Arial" w:cs="Arial"/>
              </w:rPr>
              <w:t>Of Government Attorney</w:t>
            </w:r>
          </w:p>
        </w:tc>
      </w:tr>
    </w:tbl>
    <w:p w:rsidR="00612EE1" w:rsidRDefault="00612EE1"/>
    <w:sectPr w:rsidR="00612EE1" w:rsidSect="0013079E">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CE" w:rsidRDefault="008C55CE">
      <w:pPr>
        <w:spacing w:after="0" w:line="240" w:lineRule="auto"/>
      </w:pPr>
      <w:r>
        <w:separator/>
      </w:r>
    </w:p>
  </w:endnote>
  <w:endnote w:type="continuationSeparator" w:id="0">
    <w:p w:rsidR="008C55CE" w:rsidRDefault="008C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CE" w:rsidRDefault="008C55CE">
      <w:pPr>
        <w:spacing w:after="0" w:line="240" w:lineRule="auto"/>
      </w:pPr>
      <w:r>
        <w:separator/>
      </w:r>
    </w:p>
  </w:footnote>
  <w:footnote w:type="continuationSeparator" w:id="0">
    <w:p w:rsidR="008C55CE" w:rsidRDefault="008C55CE">
      <w:pPr>
        <w:spacing w:after="0" w:line="240" w:lineRule="auto"/>
      </w:pPr>
      <w:r>
        <w:continuationSeparator/>
      </w:r>
    </w:p>
  </w:footnote>
  <w:footnote w:id="1">
    <w:p w:rsidR="00CC7DBC" w:rsidRPr="0070053C" w:rsidRDefault="00CC7DBC" w:rsidP="009B695B">
      <w:pPr>
        <w:pStyle w:val="FootnoteText"/>
        <w:jc w:val="both"/>
        <w:rPr>
          <w:rFonts w:ascii="Arial" w:hAnsi="Arial" w:cs="Arial"/>
        </w:rPr>
      </w:pPr>
      <w:r w:rsidRPr="0070053C">
        <w:rPr>
          <w:rStyle w:val="FootnoteReference"/>
          <w:rFonts w:ascii="Arial" w:hAnsi="Arial" w:cs="Arial"/>
        </w:rPr>
        <w:footnoteRef/>
      </w:r>
      <w:r w:rsidRPr="0070053C">
        <w:rPr>
          <w:rFonts w:ascii="Arial" w:hAnsi="Arial" w:cs="Arial"/>
        </w:rPr>
        <w:t xml:space="preserve"> </w:t>
      </w:r>
      <w:r w:rsidRPr="0070053C">
        <w:rPr>
          <w:rFonts w:ascii="Arial" w:hAnsi="Arial" w:cs="Arial"/>
          <w:i/>
        </w:rPr>
        <w:t>Rosen v Barclays National Bank Ltd</w:t>
      </w:r>
      <w:r w:rsidRPr="0070053C">
        <w:rPr>
          <w:rFonts w:ascii="Arial" w:hAnsi="Arial" w:cs="Arial"/>
        </w:rPr>
        <w:t xml:space="preserve"> 1984 (3) SA 974 (W) at 983 and </w:t>
      </w:r>
      <w:r w:rsidRPr="0070053C">
        <w:rPr>
          <w:rFonts w:ascii="Arial" w:hAnsi="Arial" w:cs="Arial"/>
          <w:i/>
        </w:rPr>
        <w:t xml:space="preserve">Mann v Sidney </w:t>
      </w:r>
      <w:r w:rsidR="0070053C" w:rsidRPr="0070053C">
        <w:rPr>
          <w:rFonts w:ascii="Arial" w:hAnsi="Arial" w:cs="Arial"/>
          <w:i/>
        </w:rPr>
        <w:t>Hunt Motors (Pty) Ltd</w:t>
      </w:r>
      <w:r w:rsidR="0070053C" w:rsidRPr="0070053C">
        <w:rPr>
          <w:rFonts w:ascii="Arial" w:hAnsi="Arial" w:cs="Arial"/>
        </w:rPr>
        <w:t xml:space="preserve"> 1958 (2) SA 102 (G).</w:t>
      </w:r>
    </w:p>
  </w:footnote>
  <w:footnote w:id="2">
    <w:p w:rsidR="003536C7" w:rsidRPr="003536C7" w:rsidRDefault="003536C7">
      <w:pPr>
        <w:pStyle w:val="FootnoteText"/>
        <w:rPr>
          <w:rFonts w:ascii="Arial" w:hAnsi="Arial" w:cs="Arial"/>
        </w:rPr>
      </w:pPr>
      <w:r w:rsidRPr="003536C7">
        <w:rPr>
          <w:rStyle w:val="FootnoteReference"/>
          <w:rFonts w:ascii="Arial" w:hAnsi="Arial" w:cs="Arial"/>
        </w:rPr>
        <w:footnoteRef/>
      </w:r>
      <w:r w:rsidRPr="003536C7">
        <w:rPr>
          <w:rFonts w:ascii="Arial" w:hAnsi="Arial" w:cs="Arial"/>
        </w:rPr>
        <w:t xml:space="preserve"> Act 31 of 1991.</w:t>
      </w:r>
    </w:p>
  </w:footnote>
  <w:footnote w:id="3">
    <w:p w:rsidR="008C0383" w:rsidRPr="008C0383" w:rsidRDefault="008C0383">
      <w:pPr>
        <w:pStyle w:val="FootnoteText"/>
        <w:rPr>
          <w:rFonts w:ascii="Arial" w:hAnsi="Arial" w:cs="Arial"/>
        </w:rPr>
      </w:pPr>
      <w:r w:rsidRPr="008C0383">
        <w:rPr>
          <w:rStyle w:val="FootnoteReference"/>
          <w:rFonts w:ascii="Arial" w:hAnsi="Arial" w:cs="Arial"/>
        </w:rPr>
        <w:footnoteRef/>
      </w:r>
      <w:r w:rsidRPr="008C0383">
        <w:rPr>
          <w:rFonts w:ascii="Arial" w:hAnsi="Arial" w:cs="Arial"/>
        </w:rPr>
        <w:t xml:space="preserve"> Act 22 of 1992.</w:t>
      </w:r>
    </w:p>
  </w:footnote>
  <w:footnote w:id="4">
    <w:p w:rsidR="00EB4BD8" w:rsidRPr="0037185F" w:rsidRDefault="00EB4BD8" w:rsidP="0037185F">
      <w:pPr>
        <w:pStyle w:val="NoSpacing"/>
        <w:jc w:val="both"/>
        <w:rPr>
          <w:rFonts w:ascii="Arial" w:hAnsi="Arial" w:cs="Arial"/>
          <w:sz w:val="20"/>
          <w:szCs w:val="20"/>
        </w:rPr>
      </w:pPr>
      <w:r w:rsidRPr="0037185F">
        <w:rPr>
          <w:rStyle w:val="FootnoteReference"/>
          <w:rFonts w:ascii="Arial" w:hAnsi="Arial" w:cs="Arial"/>
          <w:sz w:val="20"/>
          <w:szCs w:val="20"/>
        </w:rPr>
        <w:footnoteRef/>
      </w:r>
      <w:r w:rsidR="00A14305" w:rsidRPr="0037185F">
        <w:rPr>
          <w:rFonts w:ascii="Arial" w:hAnsi="Arial" w:cs="Arial"/>
          <w:sz w:val="20"/>
          <w:szCs w:val="20"/>
        </w:rPr>
        <w:t xml:space="preserve"> </w:t>
      </w:r>
      <w:r w:rsidR="00FE275D" w:rsidRPr="0037185F">
        <w:rPr>
          <w:rFonts w:ascii="Arial" w:hAnsi="Arial" w:cs="Arial"/>
          <w:i/>
          <w:sz w:val="20"/>
          <w:szCs w:val="20"/>
        </w:rPr>
        <w:t>Saf</w:t>
      </w:r>
      <w:r w:rsidR="00A14305" w:rsidRPr="0037185F">
        <w:rPr>
          <w:rFonts w:ascii="Arial" w:hAnsi="Arial" w:cs="Arial"/>
          <w:i/>
          <w:sz w:val="20"/>
          <w:szCs w:val="20"/>
        </w:rPr>
        <w:t xml:space="preserve">cor Forwarding (Johannesburg) (Pty) Ltd </w:t>
      </w:r>
      <w:r w:rsidR="002806A1" w:rsidRPr="0037185F">
        <w:rPr>
          <w:rFonts w:ascii="Arial" w:hAnsi="Arial" w:cs="Arial"/>
          <w:i/>
          <w:sz w:val="20"/>
          <w:szCs w:val="20"/>
        </w:rPr>
        <w:t>v National Transport Commission</w:t>
      </w:r>
      <w:r w:rsidR="00FE275D" w:rsidRPr="0037185F">
        <w:rPr>
          <w:rFonts w:ascii="Arial" w:hAnsi="Arial" w:cs="Arial"/>
          <w:sz w:val="20"/>
          <w:szCs w:val="20"/>
        </w:rPr>
        <w:t xml:space="preserve"> 1982 (3) SA 654 (A) 667F-669E; </w:t>
      </w:r>
      <w:r w:rsidR="00FE275D" w:rsidRPr="0037185F">
        <w:rPr>
          <w:rFonts w:ascii="Arial" w:hAnsi="Arial" w:cs="Arial"/>
          <w:i/>
          <w:sz w:val="20"/>
          <w:szCs w:val="20"/>
        </w:rPr>
        <w:t>Seagull's Cry CC v Council of th</w:t>
      </w:r>
      <w:r w:rsidR="000A3CCA">
        <w:rPr>
          <w:rFonts w:ascii="Arial" w:hAnsi="Arial" w:cs="Arial"/>
          <w:i/>
          <w:sz w:val="20"/>
          <w:szCs w:val="20"/>
        </w:rPr>
        <w:t>e Municipality of Swakopmund &amp; o</w:t>
      </w:r>
      <w:r w:rsidR="00FE275D" w:rsidRPr="0037185F">
        <w:rPr>
          <w:rFonts w:ascii="Arial" w:hAnsi="Arial" w:cs="Arial"/>
          <w:i/>
          <w:sz w:val="20"/>
          <w:szCs w:val="20"/>
        </w:rPr>
        <w:t>thers</w:t>
      </w:r>
      <w:r w:rsidR="00FE275D" w:rsidRPr="0037185F">
        <w:rPr>
          <w:rFonts w:ascii="Arial" w:hAnsi="Arial" w:cs="Arial"/>
          <w:sz w:val="20"/>
          <w:szCs w:val="20"/>
        </w:rPr>
        <w:t xml:space="preserve"> 2009 (2) NR 769 (HC) paras 7-13 and </w:t>
      </w:r>
      <w:r w:rsidR="00BE518C" w:rsidRPr="0037185F">
        <w:rPr>
          <w:rFonts w:ascii="Arial" w:hAnsi="Arial" w:cs="Arial"/>
          <w:i/>
          <w:sz w:val="20"/>
          <w:szCs w:val="20"/>
        </w:rPr>
        <w:t>Fire Tech Systems CC v Namibia Airports Company Limited</w:t>
      </w:r>
      <w:r w:rsidR="00BE518C" w:rsidRPr="0037185F">
        <w:rPr>
          <w:rFonts w:ascii="Arial" w:hAnsi="Arial" w:cs="Arial"/>
          <w:sz w:val="20"/>
          <w:szCs w:val="20"/>
        </w:rPr>
        <w:t xml:space="preserve"> (A 330-2014) [2016] NAHCMD 220 (22 July 2016)</w:t>
      </w:r>
      <w:r w:rsidR="0037185F">
        <w:rPr>
          <w:rFonts w:ascii="Arial" w:hAnsi="Arial" w:cs="Arial"/>
          <w:sz w:val="20"/>
          <w:szCs w:val="20"/>
        </w:rPr>
        <w:t xml:space="preserve"> paras 24-36.</w:t>
      </w:r>
    </w:p>
  </w:footnote>
  <w:footnote w:id="5">
    <w:p w:rsidR="0033352C" w:rsidRPr="0037185F" w:rsidRDefault="0033352C" w:rsidP="0037185F">
      <w:pPr>
        <w:pStyle w:val="NoSpacing"/>
        <w:jc w:val="both"/>
        <w:rPr>
          <w:rFonts w:ascii="Arial" w:hAnsi="Arial" w:cs="Arial"/>
          <w:sz w:val="20"/>
          <w:szCs w:val="20"/>
        </w:rPr>
      </w:pPr>
      <w:r w:rsidRPr="0037185F">
        <w:rPr>
          <w:rStyle w:val="FootnoteReference"/>
          <w:rFonts w:ascii="Arial" w:hAnsi="Arial" w:cs="Arial"/>
          <w:sz w:val="20"/>
          <w:szCs w:val="20"/>
        </w:rPr>
        <w:footnoteRef/>
      </w:r>
      <w:r w:rsidRPr="0037185F">
        <w:rPr>
          <w:rFonts w:ascii="Arial" w:hAnsi="Arial" w:cs="Arial"/>
          <w:sz w:val="20"/>
          <w:szCs w:val="20"/>
        </w:rPr>
        <w:t xml:space="preserve"> Act 33 of 2000.</w:t>
      </w:r>
    </w:p>
  </w:footnote>
  <w:footnote w:id="6">
    <w:p w:rsidR="000A6682" w:rsidRPr="00E77DCC" w:rsidRDefault="000A6682">
      <w:pPr>
        <w:pStyle w:val="FootnoteText"/>
        <w:rPr>
          <w:rFonts w:ascii="Arial" w:hAnsi="Arial" w:cs="Arial"/>
        </w:rPr>
      </w:pPr>
      <w:r w:rsidRPr="00E77DCC">
        <w:rPr>
          <w:rStyle w:val="FootnoteReference"/>
          <w:rFonts w:ascii="Arial" w:hAnsi="Arial" w:cs="Arial"/>
        </w:rPr>
        <w:footnoteRef/>
      </w:r>
      <w:r w:rsidRPr="00E77DCC">
        <w:rPr>
          <w:rFonts w:ascii="Arial" w:hAnsi="Arial" w:cs="Arial"/>
        </w:rPr>
        <w:t xml:space="preserve"> 16 of 1996 reg 52(1)</w:t>
      </w:r>
    </w:p>
  </w:footnote>
  <w:footnote w:id="7">
    <w:p w:rsidR="00E77DCC" w:rsidRPr="00E77DCC" w:rsidRDefault="00E77DCC">
      <w:pPr>
        <w:pStyle w:val="FootnoteText"/>
        <w:rPr>
          <w:rFonts w:ascii="Arial" w:hAnsi="Arial" w:cs="Arial"/>
        </w:rPr>
      </w:pPr>
      <w:r w:rsidRPr="00E77DCC">
        <w:rPr>
          <w:rStyle w:val="FootnoteReference"/>
          <w:rFonts w:ascii="Arial" w:hAnsi="Arial" w:cs="Arial"/>
        </w:rPr>
        <w:footnoteRef/>
      </w:r>
      <w:r w:rsidRPr="00E77DCC">
        <w:rPr>
          <w:rFonts w:ascii="Arial" w:hAnsi="Arial" w:cs="Arial"/>
        </w:rPr>
        <w:t xml:space="preserve"> </w:t>
      </w:r>
      <w:r>
        <w:rPr>
          <w:rFonts w:ascii="Arial" w:hAnsi="Arial" w:cs="Arial"/>
        </w:rPr>
        <w:t>Art 125(2).</w:t>
      </w:r>
    </w:p>
  </w:footnote>
  <w:footnote w:id="8">
    <w:p w:rsidR="00E77DCC" w:rsidRPr="00E77DCC" w:rsidRDefault="00E77DCC">
      <w:pPr>
        <w:pStyle w:val="FootnoteText"/>
        <w:rPr>
          <w:rFonts w:ascii="Arial" w:hAnsi="Arial" w:cs="Arial"/>
        </w:rPr>
      </w:pPr>
      <w:r w:rsidRPr="00E77DCC">
        <w:rPr>
          <w:rStyle w:val="FootnoteReference"/>
          <w:rFonts w:ascii="Arial" w:hAnsi="Arial" w:cs="Arial"/>
        </w:rPr>
        <w:footnoteRef/>
      </w:r>
      <w:r w:rsidRPr="00E77DCC">
        <w:rPr>
          <w:rFonts w:ascii="Arial" w:hAnsi="Arial" w:cs="Arial"/>
        </w:rPr>
        <w:t xml:space="preserve"> </w:t>
      </w:r>
      <w:r w:rsidR="00B7440F">
        <w:rPr>
          <w:rFonts w:ascii="Arial" w:hAnsi="Arial" w:cs="Arial"/>
        </w:rPr>
        <w:t xml:space="preserve">Sections 5 and </w:t>
      </w:r>
      <w:r w:rsidRPr="00E77DCC">
        <w:rPr>
          <w:rFonts w:ascii="Arial" w:hAnsi="Arial" w:cs="Arial"/>
        </w:rPr>
        <w:t>6 of the State Finance Act.</w:t>
      </w:r>
    </w:p>
  </w:footnote>
  <w:footnote w:id="9">
    <w:p w:rsidR="00494386" w:rsidRPr="00494386" w:rsidRDefault="00494386">
      <w:pPr>
        <w:pStyle w:val="FootnoteText"/>
        <w:rPr>
          <w:rFonts w:ascii="Arial" w:hAnsi="Arial" w:cs="Arial"/>
        </w:rPr>
      </w:pPr>
      <w:r w:rsidRPr="00494386">
        <w:rPr>
          <w:rStyle w:val="FootnoteReference"/>
          <w:rFonts w:ascii="Arial" w:hAnsi="Arial" w:cs="Arial"/>
        </w:rPr>
        <w:footnoteRef/>
      </w:r>
      <w:r w:rsidRPr="00494386">
        <w:rPr>
          <w:rFonts w:ascii="Arial" w:hAnsi="Arial" w:cs="Arial"/>
        </w:rPr>
        <w:t xml:space="preserve"> Eg s 13 of the State Finance Act.</w:t>
      </w:r>
    </w:p>
  </w:footnote>
  <w:footnote w:id="10">
    <w:p w:rsidR="00B7440F" w:rsidRPr="00DF5777" w:rsidRDefault="00B7440F">
      <w:pPr>
        <w:pStyle w:val="FootnoteText"/>
        <w:rPr>
          <w:rFonts w:ascii="Arial" w:hAnsi="Arial" w:cs="Arial"/>
        </w:rPr>
      </w:pPr>
      <w:r w:rsidRPr="00DF5777">
        <w:rPr>
          <w:rStyle w:val="FootnoteReference"/>
          <w:rFonts w:ascii="Arial" w:hAnsi="Arial" w:cs="Arial"/>
        </w:rPr>
        <w:footnoteRef/>
      </w:r>
      <w:r w:rsidRPr="00DF5777">
        <w:rPr>
          <w:rFonts w:ascii="Arial" w:hAnsi="Arial" w:cs="Arial"/>
        </w:rPr>
        <w:t xml:space="preserve"> Section 3(1)</w:t>
      </w:r>
      <w:r w:rsidRPr="00DF5777">
        <w:rPr>
          <w:rFonts w:ascii="Arial" w:hAnsi="Arial" w:cs="Arial"/>
          <w:i/>
        </w:rPr>
        <w:t>(c)</w:t>
      </w:r>
      <w:r w:rsidRPr="00DF5777">
        <w:rPr>
          <w:rFonts w:ascii="Arial" w:hAnsi="Arial" w:cs="Arial"/>
        </w:rPr>
        <w:t xml:space="preserve"> and </w:t>
      </w:r>
      <w:r w:rsidR="00DF5777">
        <w:rPr>
          <w:rFonts w:ascii="Arial" w:hAnsi="Arial" w:cs="Arial"/>
        </w:rPr>
        <w:t>5(2)</w:t>
      </w:r>
      <w:r w:rsidRPr="00DF5777">
        <w:rPr>
          <w:rFonts w:ascii="Arial" w:hAnsi="Arial" w:cs="Arial"/>
          <w:i/>
        </w:rPr>
        <w:t>(a)</w:t>
      </w:r>
      <w:r w:rsidR="00DF5777" w:rsidRPr="00DF5777">
        <w:rPr>
          <w:rFonts w:ascii="Arial" w:hAnsi="Arial" w:cs="Arial"/>
        </w:rPr>
        <w:t xml:space="preserve"> of Act 33 of 2000.</w:t>
      </w:r>
    </w:p>
  </w:footnote>
  <w:footnote w:id="11">
    <w:p w:rsidR="00E573F0" w:rsidRPr="00E573F0" w:rsidRDefault="00E573F0">
      <w:pPr>
        <w:pStyle w:val="FootnoteText"/>
        <w:rPr>
          <w:rFonts w:ascii="Arial" w:hAnsi="Arial" w:cs="Arial"/>
        </w:rPr>
      </w:pPr>
      <w:r w:rsidRPr="00E573F0">
        <w:rPr>
          <w:rStyle w:val="FootnoteReference"/>
          <w:rFonts w:ascii="Arial" w:hAnsi="Arial" w:cs="Arial"/>
        </w:rPr>
        <w:footnoteRef/>
      </w:r>
      <w:r w:rsidRPr="00E573F0">
        <w:rPr>
          <w:rFonts w:ascii="Arial" w:hAnsi="Arial" w:cs="Arial"/>
        </w:rPr>
        <w:t xml:space="preserve"> Section 37 of Act 33 of 2000.</w:t>
      </w:r>
    </w:p>
  </w:footnote>
  <w:footnote w:id="12">
    <w:p w:rsidR="00B61090" w:rsidRPr="00B61090" w:rsidRDefault="00B61090">
      <w:pPr>
        <w:pStyle w:val="FootnoteText"/>
        <w:rPr>
          <w:rFonts w:ascii="Arial" w:hAnsi="Arial" w:cs="Arial"/>
        </w:rPr>
      </w:pPr>
      <w:r w:rsidRPr="00B61090">
        <w:rPr>
          <w:rStyle w:val="FootnoteReference"/>
          <w:rFonts w:ascii="Arial" w:hAnsi="Arial" w:cs="Arial"/>
        </w:rPr>
        <w:footnoteRef/>
      </w:r>
      <w:r w:rsidRPr="00B61090">
        <w:rPr>
          <w:rFonts w:ascii="Arial" w:hAnsi="Arial" w:cs="Arial"/>
        </w:rPr>
        <w:t xml:space="preserve"> Section 8(1) of the Decentralisation Act.</w:t>
      </w:r>
    </w:p>
  </w:footnote>
  <w:footnote w:id="13">
    <w:p w:rsidR="00F17B41" w:rsidRPr="00F17B41" w:rsidRDefault="00F17B41">
      <w:pPr>
        <w:pStyle w:val="FootnoteText"/>
        <w:rPr>
          <w:rFonts w:ascii="Arial" w:hAnsi="Arial" w:cs="Arial"/>
        </w:rPr>
      </w:pPr>
      <w:r w:rsidRPr="00F17B41">
        <w:rPr>
          <w:rStyle w:val="FootnoteReference"/>
          <w:rFonts w:ascii="Arial" w:hAnsi="Arial" w:cs="Arial"/>
        </w:rPr>
        <w:footnoteRef/>
      </w:r>
      <w:r w:rsidRPr="00F17B41">
        <w:rPr>
          <w:rFonts w:ascii="Arial" w:hAnsi="Arial" w:cs="Arial"/>
        </w:rPr>
        <w:t xml:space="preserve"> Section 3 and s 13 </w:t>
      </w:r>
      <w:r>
        <w:rPr>
          <w:rFonts w:ascii="Arial" w:hAnsi="Arial" w:cs="Arial"/>
        </w:rPr>
        <w:t>o</w:t>
      </w:r>
      <w:r w:rsidRPr="00F17B41">
        <w:rPr>
          <w:rFonts w:ascii="Arial" w:hAnsi="Arial" w:cs="Arial"/>
        </w:rPr>
        <w:t>f Act 31 of 1991.</w:t>
      </w:r>
    </w:p>
  </w:footnote>
  <w:footnote w:id="14">
    <w:p w:rsidR="00FB6C24" w:rsidRPr="00FB6C24" w:rsidRDefault="00FB6C24" w:rsidP="009B695B">
      <w:pPr>
        <w:pStyle w:val="FootnoteText"/>
        <w:jc w:val="both"/>
        <w:rPr>
          <w:rFonts w:ascii="Arial" w:hAnsi="Arial" w:cs="Arial"/>
        </w:rPr>
      </w:pPr>
      <w:r w:rsidRPr="00FB6C24">
        <w:rPr>
          <w:rStyle w:val="FootnoteReference"/>
          <w:rFonts w:ascii="Arial" w:hAnsi="Arial" w:cs="Arial"/>
        </w:rPr>
        <w:footnoteRef/>
      </w:r>
      <w:r w:rsidRPr="00FB6C24">
        <w:rPr>
          <w:rFonts w:ascii="Arial" w:hAnsi="Arial" w:cs="Arial"/>
        </w:rPr>
        <w:t xml:space="preserve"> Act 22 of 1992.</w:t>
      </w:r>
    </w:p>
  </w:footnote>
  <w:footnote w:id="15">
    <w:p w:rsidR="00413BCA" w:rsidRPr="00413BCA" w:rsidRDefault="00413BCA" w:rsidP="00413BCA">
      <w:pPr>
        <w:pStyle w:val="FootnoteText"/>
        <w:jc w:val="both"/>
        <w:rPr>
          <w:rFonts w:ascii="Arial" w:hAnsi="Arial" w:cs="Arial"/>
        </w:rPr>
      </w:pPr>
      <w:r>
        <w:rPr>
          <w:rStyle w:val="FootnoteReference"/>
        </w:rPr>
        <w:footnoteRef/>
      </w:r>
      <w:r>
        <w:t xml:space="preserve"> </w:t>
      </w:r>
      <w:r w:rsidRPr="00D807CF">
        <w:rPr>
          <w:rFonts w:ascii="Arial" w:hAnsi="Arial" w:cs="Arial"/>
          <w:i/>
        </w:rPr>
        <w:t xml:space="preserve">Strydom v Die </w:t>
      </w:r>
      <w:r>
        <w:rPr>
          <w:rFonts w:ascii="Arial" w:hAnsi="Arial" w:cs="Arial"/>
          <w:i/>
        </w:rPr>
        <w:t>Land – en Landboubank van Suid Africa</w:t>
      </w:r>
      <w:r>
        <w:rPr>
          <w:rFonts w:ascii="Arial" w:hAnsi="Arial" w:cs="Arial"/>
        </w:rPr>
        <w:t xml:space="preserve"> 1</w:t>
      </w:r>
      <w:r w:rsidRPr="00D807CF">
        <w:rPr>
          <w:rFonts w:ascii="Arial" w:hAnsi="Arial" w:cs="Arial"/>
        </w:rPr>
        <w:t>972 (1) SA 801 (A) at 815.</w:t>
      </w:r>
    </w:p>
  </w:footnote>
  <w:footnote w:id="16">
    <w:p w:rsidR="005616D7" w:rsidRPr="005616D7" w:rsidRDefault="005616D7">
      <w:pPr>
        <w:pStyle w:val="FootnoteText"/>
        <w:rPr>
          <w:rFonts w:ascii="Arial" w:hAnsi="Arial" w:cs="Arial"/>
        </w:rPr>
      </w:pPr>
      <w:r w:rsidRPr="005616D7">
        <w:rPr>
          <w:rStyle w:val="FootnoteReference"/>
          <w:rFonts w:ascii="Arial" w:hAnsi="Arial" w:cs="Arial"/>
        </w:rPr>
        <w:footnoteRef/>
      </w:r>
      <w:r w:rsidRPr="005616D7">
        <w:rPr>
          <w:rFonts w:ascii="Arial" w:hAnsi="Arial" w:cs="Arial"/>
        </w:rPr>
        <w:t xml:space="preserve"> </w:t>
      </w:r>
      <w:r w:rsidRPr="005616D7">
        <w:rPr>
          <w:rFonts w:ascii="Arial" w:hAnsi="Arial" w:cs="Arial"/>
          <w:i/>
        </w:rPr>
        <w:t>Quirk’s Trustees v Liddles Assignees</w:t>
      </w:r>
      <w:r w:rsidRPr="005616D7">
        <w:rPr>
          <w:rFonts w:ascii="Arial" w:hAnsi="Arial" w:cs="Arial"/>
        </w:rPr>
        <w:t xml:space="preserve"> (1885) 3 SC and </w:t>
      </w:r>
      <w:r w:rsidRPr="00560D0C">
        <w:rPr>
          <w:rFonts w:ascii="Arial" w:hAnsi="Arial" w:cs="Arial"/>
          <w:i/>
        </w:rPr>
        <w:t>Leo v Loots</w:t>
      </w:r>
      <w:r w:rsidRPr="005616D7">
        <w:rPr>
          <w:rFonts w:ascii="Arial" w:hAnsi="Arial" w:cs="Arial"/>
        </w:rPr>
        <w:t xml:space="preserve"> 1909 TS366.</w:t>
      </w:r>
    </w:p>
  </w:footnote>
  <w:footnote w:id="17">
    <w:p w:rsidR="00AB199D" w:rsidRPr="005C16BA" w:rsidRDefault="00AB199D" w:rsidP="009B695B">
      <w:pPr>
        <w:pStyle w:val="FootnoteText"/>
        <w:jc w:val="both"/>
        <w:rPr>
          <w:rFonts w:ascii="Arial" w:hAnsi="Arial" w:cs="Arial"/>
        </w:rPr>
      </w:pPr>
      <w:r w:rsidRPr="005C16BA">
        <w:rPr>
          <w:rStyle w:val="FootnoteReference"/>
          <w:rFonts w:ascii="Arial" w:hAnsi="Arial" w:cs="Arial"/>
        </w:rPr>
        <w:footnoteRef/>
      </w:r>
      <w:r w:rsidRPr="005C16BA">
        <w:rPr>
          <w:rFonts w:ascii="Arial" w:hAnsi="Arial" w:cs="Arial"/>
        </w:rPr>
        <w:t xml:space="preserve"> </w:t>
      </w:r>
      <w:r w:rsidR="006E515A">
        <w:rPr>
          <w:rFonts w:ascii="Arial" w:hAnsi="Arial" w:cs="Arial"/>
          <w:i/>
        </w:rPr>
        <w:t>R</w:t>
      </w:r>
      <w:r w:rsidRPr="005C16BA">
        <w:rPr>
          <w:rFonts w:ascii="Arial" w:hAnsi="Arial" w:cs="Arial"/>
          <w:i/>
        </w:rPr>
        <w:t xml:space="preserve"> H Morris Ltd v Ba</w:t>
      </w:r>
      <w:r w:rsidR="006E515A">
        <w:rPr>
          <w:rFonts w:ascii="Arial" w:hAnsi="Arial" w:cs="Arial"/>
          <w:i/>
        </w:rPr>
        <w:t>rlow</w:t>
      </w:r>
      <w:r w:rsidRPr="005C16BA">
        <w:rPr>
          <w:rFonts w:ascii="Arial" w:hAnsi="Arial" w:cs="Arial"/>
        </w:rPr>
        <w:t xml:space="preserve"> 1953 PH</w:t>
      </w:r>
      <w:r w:rsidR="006E515A">
        <w:rPr>
          <w:rFonts w:ascii="Arial" w:hAnsi="Arial" w:cs="Arial"/>
        </w:rPr>
        <w:t xml:space="preserve"> A</w:t>
      </w:r>
      <w:r w:rsidR="005C16BA" w:rsidRPr="005C16BA">
        <w:rPr>
          <w:rFonts w:ascii="Arial" w:hAnsi="Arial" w:cs="Arial"/>
        </w:rPr>
        <w:t>1 (</w:t>
      </w:r>
      <w:r w:rsidR="00492EBB">
        <w:rPr>
          <w:rFonts w:ascii="Arial" w:hAnsi="Arial" w:cs="Arial"/>
        </w:rPr>
        <w:t>C</w:t>
      </w:r>
      <w:r w:rsidR="005C16BA" w:rsidRPr="005C16BA">
        <w:rPr>
          <w:rFonts w:ascii="Arial" w:hAnsi="Arial" w:cs="Arial"/>
        </w:rPr>
        <w:t xml:space="preserve">) and </w:t>
      </w:r>
      <w:r w:rsidR="005C16BA" w:rsidRPr="005C16BA">
        <w:rPr>
          <w:rFonts w:ascii="Arial" w:hAnsi="Arial" w:cs="Arial"/>
          <w:i/>
        </w:rPr>
        <w:t>O’Connel, Manthe, Gragg and Partners v Charles</w:t>
      </w:r>
      <w:r w:rsidR="005C16BA" w:rsidRPr="005C16BA">
        <w:rPr>
          <w:rFonts w:ascii="Arial" w:hAnsi="Arial" w:cs="Arial"/>
        </w:rPr>
        <w:t xml:space="preserve"> 1970 (1) SA 7 (E) at 8.</w:t>
      </w:r>
      <w:r w:rsidR="00573843">
        <w:rPr>
          <w:rFonts w:ascii="Arial" w:hAnsi="Arial" w:cs="Arial"/>
        </w:rPr>
        <w:t xml:space="preserve"> </w:t>
      </w:r>
    </w:p>
  </w:footnote>
  <w:footnote w:id="18">
    <w:p w:rsidR="009318AD" w:rsidRPr="009318AD" w:rsidRDefault="009318AD" w:rsidP="009B695B">
      <w:pPr>
        <w:pStyle w:val="FootnoteText"/>
        <w:jc w:val="both"/>
        <w:rPr>
          <w:rFonts w:ascii="Arial" w:hAnsi="Arial" w:cs="Arial"/>
        </w:rPr>
      </w:pPr>
      <w:r w:rsidRPr="009318AD">
        <w:rPr>
          <w:rStyle w:val="FootnoteReference"/>
          <w:rFonts w:ascii="Arial" w:hAnsi="Arial" w:cs="Arial"/>
        </w:rPr>
        <w:footnoteRef/>
      </w:r>
      <w:r w:rsidRPr="009318AD">
        <w:rPr>
          <w:rFonts w:ascii="Arial" w:hAnsi="Arial" w:cs="Arial"/>
        </w:rPr>
        <w:t xml:space="preserve"> </w:t>
      </w:r>
      <w:r w:rsidRPr="009318AD">
        <w:rPr>
          <w:rFonts w:ascii="Arial" w:hAnsi="Arial" w:cs="Arial"/>
          <w:i/>
        </w:rPr>
        <w:t>Monzali v Smith</w:t>
      </w:r>
      <w:r w:rsidRPr="009318AD">
        <w:rPr>
          <w:rFonts w:ascii="Arial" w:hAnsi="Arial" w:cs="Arial"/>
        </w:rPr>
        <w:t xml:space="preserve"> 1929 AD 382-385</w:t>
      </w:r>
      <w:r>
        <w:rPr>
          <w:rFonts w:ascii="Arial" w:hAnsi="Arial" w:cs="Arial"/>
        </w:rPr>
        <w:t xml:space="preserve"> quoted in </w:t>
      </w:r>
      <w:r w:rsidRPr="009318AD">
        <w:rPr>
          <w:rFonts w:ascii="Arial" w:hAnsi="Arial" w:cs="Arial"/>
          <w:i/>
        </w:rPr>
        <w:t>Rodgerson v SW</w:t>
      </w:r>
      <w:r w:rsidR="00EC3FB9">
        <w:rPr>
          <w:rFonts w:ascii="Arial" w:hAnsi="Arial" w:cs="Arial"/>
          <w:i/>
        </w:rPr>
        <w:t xml:space="preserve">E Power and Pumps </w:t>
      </w:r>
      <w:r>
        <w:rPr>
          <w:rFonts w:ascii="Arial" w:hAnsi="Arial" w:cs="Arial"/>
        </w:rPr>
        <w:t>1990 NR 230 (SC) at 236A-C.</w:t>
      </w:r>
    </w:p>
  </w:footnote>
  <w:footnote w:id="19">
    <w:p w:rsidR="00C31F1F" w:rsidRPr="00C31F1F" w:rsidRDefault="00C31F1F">
      <w:pPr>
        <w:pStyle w:val="FootnoteText"/>
        <w:rPr>
          <w:rFonts w:ascii="Arial" w:hAnsi="Arial" w:cs="Arial"/>
        </w:rPr>
      </w:pPr>
      <w:r w:rsidRPr="00C31F1F">
        <w:rPr>
          <w:rStyle w:val="FootnoteReference"/>
          <w:rFonts w:ascii="Arial" w:hAnsi="Arial" w:cs="Arial"/>
        </w:rPr>
        <w:footnoteRef/>
      </w:r>
      <w:r w:rsidRPr="00C31F1F">
        <w:rPr>
          <w:rFonts w:ascii="Arial" w:hAnsi="Arial" w:cs="Arial"/>
        </w:rPr>
        <w:t xml:space="preserve"> </w:t>
      </w:r>
      <w:r w:rsidR="00497D47">
        <w:rPr>
          <w:rFonts w:ascii="Arial" w:hAnsi="Arial" w:cs="Arial"/>
        </w:rPr>
        <w:t>2017 (2) NR 340 (SC).</w:t>
      </w:r>
    </w:p>
  </w:footnote>
  <w:footnote w:id="20">
    <w:p w:rsidR="00FC0FB0" w:rsidRPr="00FC0FB0" w:rsidRDefault="00FC0FB0">
      <w:pPr>
        <w:pStyle w:val="FootnoteText"/>
        <w:rPr>
          <w:rFonts w:ascii="Arial" w:hAnsi="Arial" w:cs="Arial"/>
        </w:rPr>
      </w:pPr>
      <w:r w:rsidRPr="00FC0FB0">
        <w:rPr>
          <w:rStyle w:val="FootnoteReference"/>
          <w:rFonts w:ascii="Arial" w:hAnsi="Arial" w:cs="Arial"/>
        </w:rPr>
        <w:footnoteRef/>
      </w:r>
      <w:r w:rsidRPr="00FC0FB0">
        <w:rPr>
          <w:rFonts w:ascii="Arial" w:hAnsi="Arial" w:cs="Arial"/>
        </w:rPr>
        <w:t xml:space="preserve"> Para 41 of </w:t>
      </w:r>
      <w:r w:rsidRPr="00FC0FB0">
        <w:rPr>
          <w:rFonts w:ascii="Arial" w:hAnsi="Arial" w:cs="Arial"/>
          <w:i/>
        </w:rPr>
        <w:t>Anhui</w:t>
      </w:r>
      <w:r w:rsidRPr="00FC0FB0">
        <w:rPr>
          <w:rFonts w:ascii="Arial" w:hAnsi="Arial" w:cs="Arial"/>
        </w:rPr>
        <w:t xml:space="preserve"> case.</w:t>
      </w:r>
    </w:p>
  </w:footnote>
  <w:footnote w:id="21">
    <w:p w:rsidR="00DC5224" w:rsidRPr="00DC5224" w:rsidRDefault="00DC5224" w:rsidP="00472EE7">
      <w:pPr>
        <w:pStyle w:val="FootnoteText"/>
        <w:jc w:val="both"/>
        <w:rPr>
          <w:rFonts w:ascii="Arial" w:hAnsi="Arial" w:cs="Arial"/>
        </w:rPr>
      </w:pPr>
      <w:r w:rsidRPr="00DC5224">
        <w:rPr>
          <w:rStyle w:val="FootnoteReference"/>
          <w:rFonts w:ascii="Arial" w:hAnsi="Arial" w:cs="Arial"/>
        </w:rPr>
        <w:footnoteRef/>
      </w:r>
      <w:r w:rsidRPr="00DC5224">
        <w:rPr>
          <w:rFonts w:ascii="Arial" w:hAnsi="Arial" w:cs="Arial"/>
        </w:rPr>
        <w:t xml:space="preserve"> </w:t>
      </w:r>
      <w:r w:rsidRPr="00DC5224">
        <w:rPr>
          <w:rFonts w:ascii="Arial" w:hAnsi="Arial" w:cs="Arial"/>
          <w:i/>
        </w:rPr>
        <w:t xml:space="preserve">Quintessence Co-Ordinators </w:t>
      </w:r>
      <w:r w:rsidR="00FE71A3">
        <w:rPr>
          <w:rFonts w:ascii="Arial" w:hAnsi="Arial" w:cs="Arial"/>
          <w:i/>
        </w:rPr>
        <w:t xml:space="preserve">(Pty) Ltd v </w:t>
      </w:r>
      <w:r w:rsidRPr="00DC5224">
        <w:rPr>
          <w:rFonts w:ascii="Arial" w:hAnsi="Arial" w:cs="Arial"/>
          <w:i/>
        </w:rPr>
        <w:t>Govt of the Republic of Transkei</w:t>
      </w:r>
      <w:r w:rsidR="008D7988">
        <w:rPr>
          <w:rFonts w:ascii="Arial" w:hAnsi="Arial" w:cs="Arial"/>
        </w:rPr>
        <w:t xml:space="preserve"> 1993 (3) SA 184 (TkGD) </w:t>
      </w:r>
      <w:r w:rsidRPr="00DC5224">
        <w:rPr>
          <w:rFonts w:ascii="Arial" w:hAnsi="Arial" w:cs="Arial"/>
        </w:rPr>
        <w:t>at 192G-I.</w:t>
      </w:r>
    </w:p>
  </w:footnote>
  <w:footnote w:id="22">
    <w:p w:rsidR="004D45AF" w:rsidRPr="00DC5224" w:rsidRDefault="00DC5224" w:rsidP="00472EE7">
      <w:pPr>
        <w:pStyle w:val="FootnoteText"/>
        <w:jc w:val="both"/>
        <w:rPr>
          <w:rFonts w:ascii="Arial" w:hAnsi="Arial" w:cs="Arial"/>
        </w:rPr>
      </w:pPr>
      <w:r w:rsidRPr="00DC5224">
        <w:rPr>
          <w:rStyle w:val="FootnoteReference"/>
          <w:rFonts w:ascii="Arial" w:hAnsi="Arial" w:cs="Arial"/>
        </w:rPr>
        <w:footnoteRef/>
      </w:r>
      <w:r w:rsidRPr="00DC5224">
        <w:rPr>
          <w:rFonts w:ascii="Arial" w:hAnsi="Arial" w:cs="Arial"/>
        </w:rPr>
        <w:t xml:space="preserve"> </w:t>
      </w:r>
      <w:r w:rsidRPr="00DC5224">
        <w:rPr>
          <w:rFonts w:ascii="Arial" w:hAnsi="Arial" w:cs="Arial"/>
          <w:i/>
        </w:rPr>
        <w:t xml:space="preserve">Pro-Rite (Edms) Bpk v Delportshoop Munisipaliteit </w:t>
      </w:r>
      <w:r w:rsidR="00472EE7" w:rsidRPr="00513D3E">
        <w:rPr>
          <w:rFonts w:ascii="Arial" w:hAnsi="Arial" w:cs="Arial"/>
          <w:i/>
        </w:rPr>
        <w:t>&amp;</w:t>
      </w:r>
      <w:r w:rsidRPr="00513D3E">
        <w:rPr>
          <w:rFonts w:ascii="Arial" w:hAnsi="Arial" w:cs="Arial"/>
          <w:i/>
        </w:rPr>
        <w:t xml:space="preserve"> another</w:t>
      </w:r>
      <w:r w:rsidR="009375FF">
        <w:rPr>
          <w:rFonts w:ascii="Arial" w:hAnsi="Arial" w:cs="Arial"/>
        </w:rPr>
        <w:t xml:space="preserve"> [1999] JOL 506</w:t>
      </w:r>
      <w:r w:rsidR="00513D3E">
        <w:rPr>
          <w:rFonts w:ascii="Arial" w:hAnsi="Arial" w:cs="Arial"/>
        </w:rPr>
        <w:t xml:space="preserve">-1 (NC) at </w:t>
      </w:r>
      <w:r w:rsidR="00DB0973">
        <w:rPr>
          <w:rFonts w:ascii="Arial" w:hAnsi="Arial" w:cs="Arial"/>
        </w:rPr>
        <w:t>14</w:t>
      </w:r>
      <w:r w:rsidR="00513D3E">
        <w:rPr>
          <w:rFonts w:ascii="Arial" w:hAnsi="Arial" w:cs="Arial"/>
        </w:rPr>
        <w:t xml:space="preserve"> which is </w:t>
      </w:r>
      <w:r w:rsidR="00DB0973">
        <w:rPr>
          <w:rFonts w:ascii="Arial" w:hAnsi="Arial" w:cs="Arial"/>
        </w:rPr>
        <w:t>translated</w:t>
      </w:r>
      <w:r w:rsidR="00513D3E">
        <w:rPr>
          <w:rFonts w:ascii="Arial" w:hAnsi="Arial" w:cs="Arial"/>
        </w:rPr>
        <w:t xml:space="preserve"> in P Bolton </w:t>
      </w:r>
      <w:r w:rsidR="00513D3E" w:rsidRPr="00513D3E">
        <w:rPr>
          <w:rFonts w:ascii="Arial" w:hAnsi="Arial" w:cs="Arial"/>
          <w:i/>
        </w:rPr>
        <w:t>The law of Government Procurement in South Africa</w:t>
      </w:r>
      <w:r w:rsidR="00513D3E">
        <w:rPr>
          <w:rFonts w:ascii="Arial" w:hAnsi="Arial" w:cs="Arial"/>
          <w:i/>
        </w:rPr>
        <w:t xml:space="preserve"> </w:t>
      </w:r>
      <w:r w:rsidR="00513D3E" w:rsidRPr="00513D3E">
        <w:rPr>
          <w:rFonts w:ascii="Arial" w:hAnsi="Arial" w:cs="Arial"/>
        </w:rPr>
        <w:t>at</w:t>
      </w:r>
      <w:r w:rsidR="00513D3E">
        <w:rPr>
          <w:rFonts w:ascii="Arial" w:hAnsi="Arial" w:cs="Arial"/>
        </w:rPr>
        <w:t xml:space="preserve"> p </w:t>
      </w:r>
      <w:r w:rsidR="008A1606">
        <w:rPr>
          <w:rFonts w:ascii="Arial" w:hAnsi="Arial" w:cs="Arial"/>
        </w:rPr>
        <w:t>97 as follows: ‘I</w:t>
      </w:r>
      <w:r w:rsidR="004D45AF">
        <w:rPr>
          <w:rFonts w:ascii="Arial" w:hAnsi="Arial" w:cs="Arial"/>
        </w:rPr>
        <w:t xml:space="preserve">n the absence of any proof or even reference to a legal basis upon which the district council could refuse to make available the amount in question, and </w:t>
      </w:r>
      <w:r w:rsidR="000442AB">
        <w:rPr>
          <w:rFonts w:ascii="Arial" w:hAnsi="Arial" w:cs="Arial"/>
        </w:rPr>
        <w:t xml:space="preserve">in light of the fact that the municipality had apparently convinced the district council to increase the amount of R807 809.32 to R858 939.34, there could be no talk of impossibility of performance on the part of the municipality. The municipality failed to prove that it was impossible for it to comply with its obligations in terms of the tender contract. All that the documents before the court serve to disclose are conditional threats on the part of the </w:t>
      </w:r>
      <w:r w:rsidR="00522969">
        <w:rPr>
          <w:rFonts w:ascii="Arial" w:hAnsi="Arial" w:cs="Arial"/>
        </w:rPr>
        <w:t xml:space="preserve">district council that it will not pay. It would have been easy for the municipality to obtain an oath from a member of the district council setting out the grounds for the refusal to pay – assuming that there was a refusal </w:t>
      </w:r>
      <w:r w:rsidR="0068033F">
        <w:rPr>
          <w:rFonts w:ascii="Arial" w:hAnsi="Arial" w:cs="Arial"/>
        </w:rPr>
        <w:t>and not simply an unwillingness to pay. If there were indeed a legal basis for the alleged refusal, it would have been very easy to place the necessary documentation before the court.’</w:t>
      </w:r>
    </w:p>
  </w:footnote>
  <w:footnote w:id="23">
    <w:p w:rsidR="008A6637" w:rsidRPr="00E24389" w:rsidRDefault="008A6637" w:rsidP="00E24389">
      <w:pPr>
        <w:pStyle w:val="FootnoteText"/>
        <w:jc w:val="both"/>
        <w:rPr>
          <w:rFonts w:ascii="Arial" w:hAnsi="Arial" w:cs="Arial"/>
        </w:rPr>
      </w:pPr>
      <w:r>
        <w:rPr>
          <w:rStyle w:val="FootnoteReference"/>
        </w:rPr>
        <w:footnoteRef/>
      </w:r>
      <w:r>
        <w:t xml:space="preserve"> </w:t>
      </w:r>
      <w:r w:rsidR="00E24389" w:rsidRPr="009B695B">
        <w:rPr>
          <w:rFonts w:ascii="Arial" w:hAnsi="Arial" w:cs="Arial"/>
          <w:i/>
        </w:rPr>
        <w:t xml:space="preserve">Claud Bosch </w:t>
      </w:r>
      <w:r w:rsidR="00E24389">
        <w:rPr>
          <w:rFonts w:ascii="Arial" w:hAnsi="Arial" w:cs="Arial"/>
          <w:i/>
        </w:rPr>
        <w:t>Architect</w:t>
      </w:r>
      <w:r w:rsidR="00E24389" w:rsidRPr="009B695B">
        <w:rPr>
          <w:rFonts w:ascii="Arial" w:hAnsi="Arial" w:cs="Arial"/>
          <w:i/>
        </w:rPr>
        <w:t>s CC v Auas Business Enterprises Number 123</w:t>
      </w:r>
      <w:r w:rsidR="00E24389">
        <w:rPr>
          <w:rFonts w:ascii="Arial" w:hAnsi="Arial" w:cs="Arial"/>
          <w:i/>
        </w:rPr>
        <w:t xml:space="preserve"> </w:t>
      </w:r>
      <w:r w:rsidR="00E24389" w:rsidRPr="009B695B">
        <w:rPr>
          <w:rFonts w:ascii="Arial" w:hAnsi="Arial" w:cs="Arial"/>
          <w:i/>
        </w:rPr>
        <w:t>(Pty) Ltd</w:t>
      </w:r>
      <w:r w:rsidR="00E24389" w:rsidRPr="009B695B">
        <w:rPr>
          <w:rFonts w:ascii="Arial" w:hAnsi="Arial" w:cs="Arial"/>
        </w:rPr>
        <w:t xml:space="preserve"> </w:t>
      </w:r>
      <w:r w:rsidR="00E24389" w:rsidRPr="00560D0C">
        <w:rPr>
          <w:rFonts w:ascii="Arial" w:hAnsi="Arial" w:cs="Arial"/>
        </w:rPr>
        <w:t>2018 (1) NR 155 (SC)</w:t>
      </w:r>
      <w:r w:rsidR="00E24389">
        <w:rPr>
          <w:rFonts w:ascii="Arial" w:hAnsi="Arial" w:cs="Arial"/>
        </w:rPr>
        <w:t xml:space="preserve">; </w:t>
      </w:r>
      <w:r w:rsidR="00E24389" w:rsidRPr="00472EE7">
        <w:rPr>
          <w:rFonts w:ascii="Arial" w:hAnsi="Arial" w:cs="Arial"/>
          <w:i/>
        </w:rPr>
        <w:t>Oilwell (Pty) Ltd v Protec International Ltd &amp; others</w:t>
      </w:r>
      <w:r w:rsidR="00E24389" w:rsidRPr="00472EE7">
        <w:rPr>
          <w:rFonts w:ascii="Arial" w:hAnsi="Arial" w:cs="Arial"/>
        </w:rPr>
        <w:t xml:space="preserve"> 2011 (4) SA 3</w:t>
      </w:r>
      <w:r w:rsidR="00E24389">
        <w:rPr>
          <w:rFonts w:ascii="Arial" w:hAnsi="Arial" w:cs="Arial"/>
        </w:rPr>
        <w:t xml:space="preserve">94 (SCA) and </w:t>
      </w:r>
      <w:r w:rsidR="00E24389" w:rsidRPr="00472EE7">
        <w:rPr>
          <w:rFonts w:ascii="Arial" w:hAnsi="Arial" w:cs="Arial"/>
          <w:i/>
        </w:rPr>
        <w:t>Barclays National Bank Ltd v Thompson</w:t>
      </w:r>
      <w:r w:rsidR="00E24389">
        <w:rPr>
          <w:rFonts w:ascii="Arial" w:hAnsi="Arial" w:cs="Arial"/>
        </w:rPr>
        <w:t xml:space="preserve"> 1985 (3) SA 778 (A) at 795I-J.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903E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8C5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903E47">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F72E76">
          <w:rPr>
            <w:rFonts w:ascii="Arial" w:hAnsi="Arial" w:cs="Arial"/>
            <w:noProof/>
          </w:rPr>
          <w:t>21</w:t>
        </w:r>
        <w:r w:rsidRPr="00E856AA">
          <w:rPr>
            <w:rFonts w:ascii="Arial" w:hAnsi="Arial" w:cs="Arial"/>
            <w:noProof/>
          </w:rPr>
          <w:fldChar w:fldCharType="end"/>
        </w:r>
      </w:p>
    </w:sdtContent>
  </w:sdt>
  <w:p w:rsidR="004D6713" w:rsidRDefault="008C5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64B7"/>
    <w:multiLevelType w:val="hybridMultilevel"/>
    <w:tmpl w:val="76F6415C"/>
    <w:lvl w:ilvl="0" w:tplc="56C2E3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FB235C5"/>
    <w:multiLevelType w:val="hybridMultilevel"/>
    <w:tmpl w:val="6DF258B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7503B06"/>
    <w:multiLevelType w:val="hybridMultilevel"/>
    <w:tmpl w:val="5A48168E"/>
    <w:lvl w:ilvl="0" w:tplc="F25A0B3C">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9E"/>
    <w:rsid w:val="0000507D"/>
    <w:rsid w:val="0000654A"/>
    <w:rsid w:val="00011158"/>
    <w:rsid w:val="00011D50"/>
    <w:rsid w:val="00024731"/>
    <w:rsid w:val="00041A44"/>
    <w:rsid w:val="000442AB"/>
    <w:rsid w:val="000443BC"/>
    <w:rsid w:val="00047CF0"/>
    <w:rsid w:val="0005268C"/>
    <w:rsid w:val="0006300D"/>
    <w:rsid w:val="00063CC7"/>
    <w:rsid w:val="000658B4"/>
    <w:rsid w:val="000966E2"/>
    <w:rsid w:val="000A13AB"/>
    <w:rsid w:val="000A1AE0"/>
    <w:rsid w:val="000A3CCA"/>
    <w:rsid w:val="000A6682"/>
    <w:rsid w:val="000A76A1"/>
    <w:rsid w:val="000B1318"/>
    <w:rsid w:val="000B292B"/>
    <w:rsid w:val="000B6350"/>
    <w:rsid w:val="000B770E"/>
    <w:rsid w:val="000C2573"/>
    <w:rsid w:val="000D0DCC"/>
    <w:rsid w:val="000D48EF"/>
    <w:rsid w:val="000E5B8C"/>
    <w:rsid w:val="000F3BC9"/>
    <w:rsid w:val="0010105A"/>
    <w:rsid w:val="0010153B"/>
    <w:rsid w:val="00107A3E"/>
    <w:rsid w:val="00117419"/>
    <w:rsid w:val="001251B6"/>
    <w:rsid w:val="00127C9B"/>
    <w:rsid w:val="0013079E"/>
    <w:rsid w:val="00132528"/>
    <w:rsid w:val="0014015B"/>
    <w:rsid w:val="00140FC5"/>
    <w:rsid w:val="00142620"/>
    <w:rsid w:val="001545B0"/>
    <w:rsid w:val="00157152"/>
    <w:rsid w:val="001670C7"/>
    <w:rsid w:val="0017481F"/>
    <w:rsid w:val="0018257A"/>
    <w:rsid w:val="00192982"/>
    <w:rsid w:val="001C65CC"/>
    <w:rsid w:val="001D1893"/>
    <w:rsid w:val="001D31B9"/>
    <w:rsid w:val="001F2006"/>
    <w:rsid w:val="001F6DF6"/>
    <w:rsid w:val="002071C5"/>
    <w:rsid w:val="00211788"/>
    <w:rsid w:val="002124EF"/>
    <w:rsid w:val="00216BA1"/>
    <w:rsid w:val="0021712A"/>
    <w:rsid w:val="0023559A"/>
    <w:rsid w:val="002438F4"/>
    <w:rsid w:val="00254E7F"/>
    <w:rsid w:val="00256C8D"/>
    <w:rsid w:val="00270E3B"/>
    <w:rsid w:val="00274998"/>
    <w:rsid w:val="0027798D"/>
    <w:rsid w:val="002806A1"/>
    <w:rsid w:val="00283406"/>
    <w:rsid w:val="00283F96"/>
    <w:rsid w:val="0029072F"/>
    <w:rsid w:val="002A7509"/>
    <w:rsid w:val="002B1CD6"/>
    <w:rsid w:val="002B537B"/>
    <w:rsid w:val="002C0043"/>
    <w:rsid w:val="002D0F61"/>
    <w:rsid w:val="002D140C"/>
    <w:rsid w:val="002D6369"/>
    <w:rsid w:val="002E6628"/>
    <w:rsid w:val="002E716E"/>
    <w:rsid w:val="002E7DE0"/>
    <w:rsid w:val="002F5569"/>
    <w:rsid w:val="0030030A"/>
    <w:rsid w:val="0033352C"/>
    <w:rsid w:val="00343440"/>
    <w:rsid w:val="00344568"/>
    <w:rsid w:val="003525D7"/>
    <w:rsid w:val="003536C7"/>
    <w:rsid w:val="00356B91"/>
    <w:rsid w:val="0037185F"/>
    <w:rsid w:val="00372FD2"/>
    <w:rsid w:val="00385C8A"/>
    <w:rsid w:val="00387981"/>
    <w:rsid w:val="003919D6"/>
    <w:rsid w:val="00393A4B"/>
    <w:rsid w:val="003A7A65"/>
    <w:rsid w:val="003B52EC"/>
    <w:rsid w:val="003C0310"/>
    <w:rsid w:val="003D05FB"/>
    <w:rsid w:val="00401F3C"/>
    <w:rsid w:val="00413BCA"/>
    <w:rsid w:val="004325F6"/>
    <w:rsid w:val="00435C69"/>
    <w:rsid w:val="00443F6F"/>
    <w:rsid w:val="00444285"/>
    <w:rsid w:val="004661C6"/>
    <w:rsid w:val="00471055"/>
    <w:rsid w:val="00472EE7"/>
    <w:rsid w:val="0047591B"/>
    <w:rsid w:val="004912EE"/>
    <w:rsid w:val="00491C07"/>
    <w:rsid w:val="00492EBB"/>
    <w:rsid w:val="00494386"/>
    <w:rsid w:val="00496CA0"/>
    <w:rsid w:val="00497D47"/>
    <w:rsid w:val="004A4B89"/>
    <w:rsid w:val="004B18BD"/>
    <w:rsid w:val="004B503C"/>
    <w:rsid w:val="004B5B23"/>
    <w:rsid w:val="004C3123"/>
    <w:rsid w:val="004C461C"/>
    <w:rsid w:val="004D45AF"/>
    <w:rsid w:val="004E2889"/>
    <w:rsid w:val="004F08A6"/>
    <w:rsid w:val="004F23A6"/>
    <w:rsid w:val="005043F6"/>
    <w:rsid w:val="00506F32"/>
    <w:rsid w:val="005108CE"/>
    <w:rsid w:val="00513D3E"/>
    <w:rsid w:val="00515E43"/>
    <w:rsid w:val="00522969"/>
    <w:rsid w:val="0053046D"/>
    <w:rsid w:val="00532692"/>
    <w:rsid w:val="00540A61"/>
    <w:rsid w:val="00553922"/>
    <w:rsid w:val="005578F9"/>
    <w:rsid w:val="00560D0C"/>
    <w:rsid w:val="0056146B"/>
    <w:rsid w:val="005616D7"/>
    <w:rsid w:val="0056213D"/>
    <w:rsid w:val="00564133"/>
    <w:rsid w:val="00564B48"/>
    <w:rsid w:val="00571FC4"/>
    <w:rsid w:val="00572154"/>
    <w:rsid w:val="00573843"/>
    <w:rsid w:val="00580A07"/>
    <w:rsid w:val="005973C4"/>
    <w:rsid w:val="00597403"/>
    <w:rsid w:val="005A2E43"/>
    <w:rsid w:val="005C1525"/>
    <w:rsid w:val="005C16BA"/>
    <w:rsid w:val="005C1F58"/>
    <w:rsid w:val="005C27E9"/>
    <w:rsid w:val="005C4E7F"/>
    <w:rsid w:val="005D0A17"/>
    <w:rsid w:val="005E5408"/>
    <w:rsid w:val="005E5C12"/>
    <w:rsid w:val="005F16E9"/>
    <w:rsid w:val="005F20F1"/>
    <w:rsid w:val="005F2341"/>
    <w:rsid w:val="005F7A92"/>
    <w:rsid w:val="00612EE1"/>
    <w:rsid w:val="006222FE"/>
    <w:rsid w:val="00644C9A"/>
    <w:rsid w:val="00650752"/>
    <w:rsid w:val="00655B26"/>
    <w:rsid w:val="00662DFD"/>
    <w:rsid w:val="0066568D"/>
    <w:rsid w:val="0068033F"/>
    <w:rsid w:val="00686B41"/>
    <w:rsid w:val="00694C3A"/>
    <w:rsid w:val="00694CF4"/>
    <w:rsid w:val="006A5985"/>
    <w:rsid w:val="006A5ACC"/>
    <w:rsid w:val="006B585B"/>
    <w:rsid w:val="006B7E67"/>
    <w:rsid w:val="006C64FA"/>
    <w:rsid w:val="006D2874"/>
    <w:rsid w:val="006D74C9"/>
    <w:rsid w:val="006E1639"/>
    <w:rsid w:val="006E515A"/>
    <w:rsid w:val="006F6271"/>
    <w:rsid w:val="0070053C"/>
    <w:rsid w:val="00700AD5"/>
    <w:rsid w:val="00730E8C"/>
    <w:rsid w:val="0073379D"/>
    <w:rsid w:val="007435AF"/>
    <w:rsid w:val="0074468D"/>
    <w:rsid w:val="0075163B"/>
    <w:rsid w:val="00762AFA"/>
    <w:rsid w:val="00762E25"/>
    <w:rsid w:val="00787FB7"/>
    <w:rsid w:val="00790B77"/>
    <w:rsid w:val="007A0650"/>
    <w:rsid w:val="007A0A9E"/>
    <w:rsid w:val="007B41B5"/>
    <w:rsid w:val="007C1C29"/>
    <w:rsid w:val="007C3DB1"/>
    <w:rsid w:val="007F1BB8"/>
    <w:rsid w:val="007F7A31"/>
    <w:rsid w:val="00805D13"/>
    <w:rsid w:val="00824C1D"/>
    <w:rsid w:val="008322A2"/>
    <w:rsid w:val="00840E4D"/>
    <w:rsid w:val="00842C18"/>
    <w:rsid w:val="008447A7"/>
    <w:rsid w:val="00845755"/>
    <w:rsid w:val="00846911"/>
    <w:rsid w:val="00854B7F"/>
    <w:rsid w:val="008568AF"/>
    <w:rsid w:val="00861CC8"/>
    <w:rsid w:val="008738DC"/>
    <w:rsid w:val="00874C8F"/>
    <w:rsid w:val="008A1606"/>
    <w:rsid w:val="008A46EF"/>
    <w:rsid w:val="008A6637"/>
    <w:rsid w:val="008C0383"/>
    <w:rsid w:val="008C0FBD"/>
    <w:rsid w:val="008C55CE"/>
    <w:rsid w:val="008C6A85"/>
    <w:rsid w:val="008D7988"/>
    <w:rsid w:val="008E3483"/>
    <w:rsid w:val="008F44D5"/>
    <w:rsid w:val="00903E47"/>
    <w:rsid w:val="00910975"/>
    <w:rsid w:val="00915B5C"/>
    <w:rsid w:val="009238B1"/>
    <w:rsid w:val="00925409"/>
    <w:rsid w:val="00925817"/>
    <w:rsid w:val="009318AD"/>
    <w:rsid w:val="0093520C"/>
    <w:rsid w:val="009366B6"/>
    <w:rsid w:val="009375FF"/>
    <w:rsid w:val="00953905"/>
    <w:rsid w:val="0096498B"/>
    <w:rsid w:val="00971299"/>
    <w:rsid w:val="009814AE"/>
    <w:rsid w:val="00981613"/>
    <w:rsid w:val="00982825"/>
    <w:rsid w:val="009A5FFD"/>
    <w:rsid w:val="009B5C88"/>
    <w:rsid w:val="009B695B"/>
    <w:rsid w:val="009C2B82"/>
    <w:rsid w:val="009C50E3"/>
    <w:rsid w:val="009D40AB"/>
    <w:rsid w:val="009E752C"/>
    <w:rsid w:val="009E7AE5"/>
    <w:rsid w:val="00A0746C"/>
    <w:rsid w:val="00A14305"/>
    <w:rsid w:val="00A17F28"/>
    <w:rsid w:val="00A22BA1"/>
    <w:rsid w:val="00A408C5"/>
    <w:rsid w:val="00A4108A"/>
    <w:rsid w:val="00A50DF3"/>
    <w:rsid w:val="00A5785E"/>
    <w:rsid w:val="00A72461"/>
    <w:rsid w:val="00A732E1"/>
    <w:rsid w:val="00A80534"/>
    <w:rsid w:val="00A84155"/>
    <w:rsid w:val="00A8656E"/>
    <w:rsid w:val="00A9474B"/>
    <w:rsid w:val="00A97C58"/>
    <w:rsid w:val="00AB022B"/>
    <w:rsid w:val="00AB199D"/>
    <w:rsid w:val="00AC3CE3"/>
    <w:rsid w:val="00AE0ABB"/>
    <w:rsid w:val="00AE75D7"/>
    <w:rsid w:val="00AF675B"/>
    <w:rsid w:val="00B0378B"/>
    <w:rsid w:val="00B10C0A"/>
    <w:rsid w:val="00B21111"/>
    <w:rsid w:val="00B2147E"/>
    <w:rsid w:val="00B22471"/>
    <w:rsid w:val="00B32829"/>
    <w:rsid w:val="00B4549F"/>
    <w:rsid w:val="00B475F8"/>
    <w:rsid w:val="00B61090"/>
    <w:rsid w:val="00B6117A"/>
    <w:rsid w:val="00B65264"/>
    <w:rsid w:val="00B72DD7"/>
    <w:rsid w:val="00B7440F"/>
    <w:rsid w:val="00B76D46"/>
    <w:rsid w:val="00B77D8F"/>
    <w:rsid w:val="00B838AC"/>
    <w:rsid w:val="00B93526"/>
    <w:rsid w:val="00BA253D"/>
    <w:rsid w:val="00BA6E74"/>
    <w:rsid w:val="00BB296B"/>
    <w:rsid w:val="00BB5B99"/>
    <w:rsid w:val="00BB783D"/>
    <w:rsid w:val="00BE518C"/>
    <w:rsid w:val="00BF0FE6"/>
    <w:rsid w:val="00C01E67"/>
    <w:rsid w:val="00C22878"/>
    <w:rsid w:val="00C27FA5"/>
    <w:rsid w:val="00C31F1F"/>
    <w:rsid w:val="00C409F5"/>
    <w:rsid w:val="00C44B9D"/>
    <w:rsid w:val="00C76EF2"/>
    <w:rsid w:val="00C92A6B"/>
    <w:rsid w:val="00CA257C"/>
    <w:rsid w:val="00CB152F"/>
    <w:rsid w:val="00CC1121"/>
    <w:rsid w:val="00CC7DBC"/>
    <w:rsid w:val="00CF6671"/>
    <w:rsid w:val="00D03EAE"/>
    <w:rsid w:val="00D078F0"/>
    <w:rsid w:val="00D1036D"/>
    <w:rsid w:val="00D1727C"/>
    <w:rsid w:val="00D32D1B"/>
    <w:rsid w:val="00D469F6"/>
    <w:rsid w:val="00D5304C"/>
    <w:rsid w:val="00D630AB"/>
    <w:rsid w:val="00D7154E"/>
    <w:rsid w:val="00D807CF"/>
    <w:rsid w:val="00D81D90"/>
    <w:rsid w:val="00D92687"/>
    <w:rsid w:val="00DA0401"/>
    <w:rsid w:val="00DA2B39"/>
    <w:rsid w:val="00DA3147"/>
    <w:rsid w:val="00DA71B3"/>
    <w:rsid w:val="00DB0973"/>
    <w:rsid w:val="00DB1846"/>
    <w:rsid w:val="00DB4554"/>
    <w:rsid w:val="00DB5273"/>
    <w:rsid w:val="00DB5F17"/>
    <w:rsid w:val="00DC1ECC"/>
    <w:rsid w:val="00DC5224"/>
    <w:rsid w:val="00DC7106"/>
    <w:rsid w:val="00DE3D28"/>
    <w:rsid w:val="00DE5A52"/>
    <w:rsid w:val="00DE6E84"/>
    <w:rsid w:val="00DF0943"/>
    <w:rsid w:val="00DF2E64"/>
    <w:rsid w:val="00DF5777"/>
    <w:rsid w:val="00DF7659"/>
    <w:rsid w:val="00E01B51"/>
    <w:rsid w:val="00E217DE"/>
    <w:rsid w:val="00E24389"/>
    <w:rsid w:val="00E353DB"/>
    <w:rsid w:val="00E41ECC"/>
    <w:rsid w:val="00E440B2"/>
    <w:rsid w:val="00E5135C"/>
    <w:rsid w:val="00E52B63"/>
    <w:rsid w:val="00E5433A"/>
    <w:rsid w:val="00E558F1"/>
    <w:rsid w:val="00E573F0"/>
    <w:rsid w:val="00E64A4B"/>
    <w:rsid w:val="00E77DCC"/>
    <w:rsid w:val="00E83FB3"/>
    <w:rsid w:val="00E84ADF"/>
    <w:rsid w:val="00EB423A"/>
    <w:rsid w:val="00EB4BD8"/>
    <w:rsid w:val="00EC24A8"/>
    <w:rsid w:val="00EC2E66"/>
    <w:rsid w:val="00EC3FB9"/>
    <w:rsid w:val="00F00CFA"/>
    <w:rsid w:val="00F02B73"/>
    <w:rsid w:val="00F02BCA"/>
    <w:rsid w:val="00F03D52"/>
    <w:rsid w:val="00F10727"/>
    <w:rsid w:val="00F17B41"/>
    <w:rsid w:val="00F21C7D"/>
    <w:rsid w:val="00F26B70"/>
    <w:rsid w:val="00F546CA"/>
    <w:rsid w:val="00F72E76"/>
    <w:rsid w:val="00F81814"/>
    <w:rsid w:val="00FB6C24"/>
    <w:rsid w:val="00FB7298"/>
    <w:rsid w:val="00FB78C3"/>
    <w:rsid w:val="00FB7BEB"/>
    <w:rsid w:val="00FC0FB0"/>
    <w:rsid w:val="00FC30C4"/>
    <w:rsid w:val="00FC45E5"/>
    <w:rsid w:val="00FC527C"/>
    <w:rsid w:val="00FD19C1"/>
    <w:rsid w:val="00FD37E6"/>
    <w:rsid w:val="00FD5109"/>
    <w:rsid w:val="00FE1DDE"/>
    <w:rsid w:val="00FE275D"/>
    <w:rsid w:val="00FE50E0"/>
    <w:rsid w:val="00FE71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CB17B-3505-489F-9F43-81C3625B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79E"/>
    <w:pPr>
      <w:spacing w:after="0" w:line="240" w:lineRule="auto"/>
    </w:pPr>
  </w:style>
  <w:style w:type="paragraph" w:styleId="BodyText">
    <w:name w:val="Body Text"/>
    <w:basedOn w:val="Normal"/>
    <w:link w:val="BodyTextChar"/>
    <w:rsid w:val="0013079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3079E"/>
    <w:rPr>
      <w:rFonts w:ascii="Times New Roman" w:eastAsia="Times New Roman" w:hAnsi="Times New Roman" w:cs="Times New Roman"/>
      <w:sz w:val="24"/>
      <w:szCs w:val="24"/>
      <w:lang w:val="en-GB"/>
    </w:rPr>
  </w:style>
  <w:style w:type="table" w:styleId="TableGrid">
    <w:name w:val="Table Grid"/>
    <w:basedOn w:val="TableNormal"/>
    <w:uiPriority w:val="39"/>
    <w:rsid w:val="0013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79E"/>
  </w:style>
  <w:style w:type="paragraph" w:styleId="FootnoteText">
    <w:name w:val="footnote text"/>
    <w:basedOn w:val="Normal"/>
    <w:link w:val="FootnoteTextChar"/>
    <w:uiPriority w:val="99"/>
    <w:semiHidden/>
    <w:unhideWhenUsed/>
    <w:rsid w:val="00CC7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DBC"/>
    <w:rPr>
      <w:sz w:val="20"/>
      <w:szCs w:val="20"/>
    </w:rPr>
  </w:style>
  <w:style w:type="character" w:styleId="FootnoteReference">
    <w:name w:val="footnote reference"/>
    <w:basedOn w:val="DefaultParagraphFont"/>
    <w:uiPriority w:val="99"/>
    <w:semiHidden/>
    <w:unhideWhenUsed/>
    <w:rsid w:val="00CC7DBC"/>
    <w:rPr>
      <w:vertAlign w:val="superscript"/>
    </w:rPr>
  </w:style>
  <w:style w:type="paragraph" w:styleId="ListParagraph">
    <w:name w:val="List Paragraph"/>
    <w:basedOn w:val="Normal"/>
    <w:uiPriority w:val="34"/>
    <w:qFormat/>
    <w:rsid w:val="003536C7"/>
    <w:pPr>
      <w:ind w:left="720"/>
      <w:contextualSpacing/>
    </w:pPr>
  </w:style>
  <w:style w:type="paragraph" w:styleId="BalloonText">
    <w:name w:val="Balloon Text"/>
    <w:basedOn w:val="Normal"/>
    <w:link w:val="BalloonTextChar"/>
    <w:uiPriority w:val="99"/>
    <w:semiHidden/>
    <w:unhideWhenUsed/>
    <w:rsid w:val="0006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CC7"/>
    <w:rPr>
      <w:rFonts w:ascii="Segoe UI" w:hAnsi="Segoe UI" w:cs="Segoe UI"/>
      <w:sz w:val="18"/>
      <w:szCs w:val="18"/>
    </w:rPr>
  </w:style>
  <w:style w:type="paragraph" w:styleId="Footer">
    <w:name w:val="footer"/>
    <w:basedOn w:val="Normal"/>
    <w:link w:val="FooterChar"/>
    <w:uiPriority w:val="99"/>
    <w:unhideWhenUsed/>
    <w:rsid w:val="00762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2019-12-08T18:30:00+00:00</Judgment_x0020_Date>
    <Year xmlns="63bdd487-88aa-4c54-b893-ddaa81ed2e7c">2019</Year>
  </documentManagement>
</p:properties>
</file>

<file path=customXml/itemProps1.xml><?xml version="1.0" encoding="utf-8"?>
<ds:datastoreItem xmlns:ds="http://schemas.openxmlformats.org/officeDocument/2006/customXml" ds:itemID="{424A6D1C-9CE0-4FD1-B43B-BFFE486044C4}"/>
</file>

<file path=customXml/itemProps2.xml><?xml version="1.0" encoding="utf-8"?>
<ds:datastoreItem xmlns:ds="http://schemas.openxmlformats.org/officeDocument/2006/customXml" ds:itemID="{15F04AD2-0DB2-44A9-A24B-C42D622F8367}"/>
</file>

<file path=customXml/itemProps3.xml><?xml version="1.0" encoding="utf-8"?>
<ds:datastoreItem xmlns:ds="http://schemas.openxmlformats.org/officeDocument/2006/customXml" ds:itemID="{21AED21F-C524-4172-8A81-7BDE47ADA475}"/>
</file>

<file path=customXml/itemProps4.xml><?xml version="1.0" encoding="utf-8"?>
<ds:datastoreItem xmlns:ds="http://schemas.openxmlformats.org/officeDocument/2006/customXml" ds:itemID="{0CC66CBC-C19E-4E48-9154-6909D9B66C8F}"/>
</file>

<file path=docProps/app.xml><?xml version="1.0" encoding="utf-8"?>
<Properties xmlns="http://schemas.openxmlformats.org/officeDocument/2006/extended-properties" xmlns:vt="http://schemas.openxmlformats.org/officeDocument/2006/docPropsVTypes">
  <Template>Normal</Template>
  <TotalTime>1</TotalTime>
  <Pages>32</Pages>
  <Words>7344</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Babyface Civils CC JV Hennimma Investments CC v Kharas Regional Council</dc:title>
  <dc:subject/>
  <dc:creator>Jaboltine Risuro</dc:creator>
  <cp:keywords/>
  <dc:description/>
  <cp:lastModifiedBy>Nicole Januarie</cp:lastModifiedBy>
  <cp:revision>2</cp:revision>
  <cp:lastPrinted>2019-12-03T10:02:00Z</cp:lastPrinted>
  <dcterms:created xsi:type="dcterms:W3CDTF">2019-12-11T12:52:00Z</dcterms:created>
  <dcterms:modified xsi:type="dcterms:W3CDTF">2019-12-11T12:52:00Z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