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E1FB" w14:textId="22A061B8" w:rsidR="008F3CE8" w:rsidRPr="004379AA" w:rsidRDefault="008F3CE8" w:rsidP="008F3CE8">
      <w:pPr>
        <w:spacing w:line="360" w:lineRule="auto"/>
        <w:rPr>
          <w:rFonts w:ascii="Arial" w:hAnsi="Arial" w:cs="Arial"/>
          <w:b/>
          <w:lang w:val="en-US"/>
        </w:rPr>
      </w:pPr>
      <w:r w:rsidRPr="004379AA">
        <w:rPr>
          <w:rFonts w:ascii="Arial" w:eastAsia="Calibri" w:hAnsi="Arial" w:cs="Arial"/>
          <w:b/>
          <w:noProof/>
          <w:lang w:val="en-ZA" w:eastAsia="en-ZA"/>
        </w:rPr>
        <w:drawing>
          <wp:anchor distT="0" distB="0" distL="114300" distR="114300" simplePos="0" relativeHeight="251658240" behindDoc="0" locked="0" layoutInCell="1" allowOverlap="1" wp14:anchorId="138836E7" wp14:editId="58CAE0B9">
            <wp:simplePos x="0" y="0"/>
            <wp:positionH relativeFrom="margin">
              <wp:align>center</wp:align>
            </wp:positionH>
            <wp:positionV relativeFrom="paragraph">
              <wp:posOffset>-485775</wp:posOffset>
            </wp:positionV>
            <wp:extent cx="1273175" cy="1325245"/>
            <wp:effectExtent l="0" t="0" r="3175" b="8255"/>
            <wp:wrapNone/>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p>
    <w:p w14:paraId="45BA4482" w14:textId="77777777" w:rsidR="008F3CE8" w:rsidRPr="004379AA" w:rsidRDefault="008F3CE8" w:rsidP="008F3CE8">
      <w:pPr>
        <w:spacing w:line="360" w:lineRule="auto"/>
        <w:rPr>
          <w:rFonts w:ascii="Arial" w:hAnsi="Arial" w:cs="Arial"/>
          <w:b/>
          <w:lang w:val="en-US"/>
        </w:rPr>
      </w:pPr>
    </w:p>
    <w:p w14:paraId="15E2FF7A" w14:textId="77777777" w:rsidR="008F3CE8" w:rsidRPr="004379AA" w:rsidRDefault="008F3CE8" w:rsidP="008F3CE8">
      <w:pPr>
        <w:spacing w:line="360" w:lineRule="auto"/>
        <w:rPr>
          <w:rFonts w:ascii="Arial" w:hAnsi="Arial" w:cs="Arial"/>
          <w:b/>
          <w:lang w:val="en-US"/>
        </w:rPr>
      </w:pPr>
    </w:p>
    <w:p w14:paraId="40C691D9" w14:textId="56819DD2" w:rsidR="008F3CE8" w:rsidRPr="004379AA" w:rsidRDefault="001C0B8F" w:rsidP="008F3CE8">
      <w:pPr>
        <w:jc w:val="right"/>
        <w:rPr>
          <w:rFonts w:ascii="Arial" w:hAnsi="Arial" w:cs="Arial"/>
          <w:b/>
          <w:lang w:val="en-US"/>
        </w:rPr>
      </w:pPr>
      <w:r>
        <w:rPr>
          <w:rFonts w:ascii="Arial" w:hAnsi="Arial" w:cs="Arial"/>
          <w:b/>
          <w:lang w:val="en-US"/>
        </w:rPr>
        <w:t xml:space="preserve">  </w:t>
      </w:r>
      <w:r w:rsidR="008F3CE8" w:rsidRPr="004379AA">
        <w:rPr>
          <w:rFonts w:ascii="Arial" w:hAnsi="Arial" w:cs="Arial"/>
          <w:b/>
          <w:lang w:val="en-US"/>
        </w:rPr>
        <w:t>REPORTABLE</w:t>
      </w:r>
    </w:p>
    <w:p w14:paraId="3465B701" w14:textId="77777777" w:rsidR="005B5CAD" w:rsidRPr="004379AA" w:rsidRDefault="005B5CAD" w:rsidP="008F3CE8">
      <w:pPr>
        <w:jc w:val="right"/>
        <w:rPr>
          <w:rFonts w:ascii="Arial" w:hAnsi="Arial" w:cs="Arial"/>
          <w:b/>
          <w:lang w:val="en-US"/>
        </w:rPr>
      </w:pPr>
    </w:p>
    <w:p w14:paraId="1CD61530" w14:textId="2304E6A0" w:rsidR="008F3CE8" w:rsidRPr="004379AA" w:rsidRDefault="00AA0D19" w:rsidP="008F3CE8">
      <w:pPr>
        <w:jc w:val="right"/>
        <w:rPr>
          <w:rFonts w:ascii="Arial" w:hAnsi="Arial" w:cs="Arial"/>
          <w:lang w:val="en-US"/>
        </w:rPr>
      </w:pPr>
      <w:r w:rsidRPr="004379AA">
        <w:rPr>
          <w:rFonts w:ascii="Arial" w:hAnsi="Arial" w:cs="Arial"/>
          <w:lang w:val="en-US"/>
        </w:rPr>
        <w:t>CASE NO: SA 19/2019</w:t>
      </w:r>
    </w:p>
    <w:p w14:paraId="206C57FA" w14:textId="77777777" w:rsidR="008F3CE8" w:rsidRPr="004379AA" w:rsidRDefault="008F3CE8" w:rsidP="008F3CE8">
      <w:pPr>
        <w:spacing w:line="480" w:lineRule="auto"/>
        <w:rPr>
          <w:rFonts w:ascii="Arial" w:hAnsi="Arial" w:cs="Arial"/>
          <w:lang w:val="en-US"/>
        </w:rPr>
      </w:pPr>
    </w:p>
    <w:p w14:paraId="5BF7A6BB" w14:textId="77777777" w:rsidR="008F3CE8" w:rsidRPr="004379AA" w:rsidRDefault="008F3CE8" w:rsidP="008F3CE8">
      <w:pPr>
        <w:spacing w:line="480" w:lineRule="auto"/>
        <w:rPr>
          <w:rFonts w:ascii="Arial" w:hAnsi="Arial" w:cs="Arial"/>
          <w:b/>
          <w:lang w:val="en-US"/>
        </w:rPr>
      </w:pPr>
      <w:r w:rsidRPr="004379AA">
        <w:rPr>
          <w:rFonts w:ascii="Arial" w:hAnsi="Arial" w:cs="Arial"/>
          <w:b/>
          <w:lang w:val="en-US"/>
        </w:rPr>
        <w:t>IN THE SUPREME COURT OF NAMIBIA</w:t>
      </w:r>
    </w:p>
    <w:p w14:paraId="46C43B09" w14:textId="77777777" w:rsidR="008F3CE8" w:rsidRPr="004379AA" w:rsidRDefault="008F3CE8" w:rsidP="008F3CE8">
      <w:pPr>
        <w:tabs>
          <w:tab w:val="left" w:pos="5625"/>
        </w:tabs>
        <w:spacing w:line="480" w:lineRule="auto"/>
        <w:jc w:val="both"/>
        <w:rPr>
          <w:rFonts w:ascii="Arial" w:hAnsi="Arial" w:cs="Arial"/>
          <w:lang w:val="en-US"/>
        </w:rPr>
      </w:pPr>
    </w:p>
    <w:p w14:paraId="674EE7BA" w14:textId="6BE7E24F" w:rsidR="00AA0D19" w:rsidRPr="004379AA" w:rsidRDefault="00A256C8" w:rsidP="00A256C8">
      <w:pPr>
        <w:tabs>
          <w:tab w:val="left" w:pos="5625"/>
        </w:tabs>
        <w:spacing w:line="480" w:lineRule="auto"/>
        <w:jc w:val="both"/>
        <w:rPr>
          <w:rFonts w:ascii="Arial" w:hAnsi="Arial" w:cs="Arial"/>
          <w:lang w:val="en-US"/>
        </w:rPr>
      </w:pPr>
      <w:r w:rsidRPr="004379AA">
        <w:rPr>
          <w:rFonts w:ascii="Arial" w:hAnsi="Arial" w:cs="Arial"/>
          <w:lang w:val="en-US"/>
        </w:rPr>
        <w:t>In the matter between:</w:t>
      </w:r>
    </w:p>
    <w:p w14:paraId="39E1E2D1" w14:textId="77777777" w:rsidR="00A256C8" w:rsidRPr="004379AA" w:rsidRDefault="00A256C8" w:rsidP="00A256C8">
      <w:pPr>
        <w:tabs>
          <w:tab w:val="left" w:pos="5625"/>
        </w:tabs>
        <w:spacing w:line="480" w:lineRule="auto"/>
        <w:jc w:val="both"/>
        <w:rPr>
          <w:rFonts w:ascii="Arial" w:hAnsi="Arial" w:cs="Arial"/>
          <w:lang w:val="en-U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4379AA" w:rsidRPr="004379AA" w14:paraId="1FFB53D2" w14:textId="77777777" w:rsidTr="004379AA">
        <w:tc>
          <w:tcPr>
            <w:tcW w:w="5812" w:type="dxa"/>
          </w:tcPr>
          <w:p w14:paraId="606BEBE1" w14:textId="77777777" w:rsidR="00A256C8" w:rsidRPr="004379AA" w:rsidRDefault="00A256C8" w:rsidP="00A256C8">
            <w:pPr>
              <w:spacing w:line="480" w:lineRule="auto"/>
              <w:jc w:val="both"/>
              <w:rPr>
                <w:rFonts w:ascii="Arial" w:hAnsi="Arial" w:cs="Arial"/>
                <w:b/>
                <w:lang w:val="en-US"/>
              </w:rPr>
            </w:pPr>
            <w:r w:rsidRPr="004379AA">
              <w:rPr>
                <w:rFonts w:ascii="Arial" w:hAnsi="Arial" w:cs="Arial"/>
                <w:b/>
                <w:lang w:val="en-US"/>
              </w:rPr>
              <w:t>MINISTER OF FINANCE</w:t>
            </w:r>
          </w:p>
        </w:tc>
        <w:tc>
          <w:tcPr>
            <w:tcW w:w="3686" w:type="dxa"/>
          </w:tcPr>
          <w:p w14:paraId="2745131F" w14:textId="2586C233"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00A256C8" w:rsidRPr="004379AA">
              <w:rPr>
                <w:rFonts w:ascii="Arial" w:hAnsi="Arial" w:cs="Arial"/>
                <w:b/>
                <w:lang w:val="en-US"/>
              </w:rPr>
              <w:t>First Appellant</w:t>
            </w:r>
          </w:p>
        </w:tc>
      </w:tr>
      <w:tr w:rsidR="004379AA" w:rsidRPr="004379AA" w14:paraId="5199D9E4" w14:textId="77777777" w:rsidTr="004379AA">
        <w:tc>
          <w:tcPr>
            <w:tcW w:w="5812" w:type="dxa"/>
          </w:tcPr>
          <w:p w14:paraId="07CB64AD" w14:textId="77777777" w:rsidR="00A256C8" w:rsidRPr="004379AA" w:rsidRDefault="00A256C8" w:rsidP="00A256C8">
            <w:pPr>
              <w:spacing w:line="480" w:lineRule="auto"/>
              <w:jc w:val="both"/>
              <w:rPr>
                <w:rFonts w:ascii="Arial" w:hAnsi="Arial" w:cs="Arial"/>
                <w:b/>
                <w:lang w:val="en-US"/>
              </w:rPr>
            </w:pPr>
            <w:r w:rsidRPr="004379AA">
              <w:rPr>
                <w:rFonts w:ascii="Arial" w:hAnsi="Arial" w:cs="Arial"/>
                <w:b/>
                <w:lang w:val="en-US"/>
              </w:rPr>
              <w:t>NAMIBIA NATIONAL REINSURANCE CORPORATION LIMITED</w:t>
            </w:r>
          </w:p>
        </w:tc>
        <w:tc>
          <w:tcPr>
            <w:tcW w:w="3686" w:type="dxa"/>
          </w:tcPr>
          <w:p w14:paraId="20E1FBF8" w14:textId="77777777" w:rsidR="00A256C8" w:rsidRPr="004379AA" w:rsidRDefault="00A256C8" w:rsidP="00A256C8">
            <w:pPr>
              <w:spacing w:line="480" w:lineRule="auto"/>
              <w:jc w:val="both"/>
              <w:rPr>
                <w:rFonts w:ascii="Arial" w:hAnsi="Arial" w:cs="Arial"/>
                <w:b/>
                <w:lang w:val="en-US"/>
              </w:rPr>
            </w:pPr>
          </w:p>
          <w:p w14:paraId="188C18A3" w14:textId="2AC05D4B"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A256C8" w:rsidRPr="004379AA">
              <w:rPr>
                <w:rFonts w:ascii="Arial" w:hAnsi="Arial" w:cs="Arial"/>
                <w:b/>
                <w:lang w:val="en-US"/>
              </w:rPr>
              <w:t>Second Appellant</w:t>
            </w:r>
          </w:p>
        </w:tc>
      </w:tr>
      <w:tr w:rsidR="004379AA" w:rsidRPr="004379AA" w14:paraId="15CAE41C" w14:textId="77777777" w:rsidTr="004379AA">
        <w:tc>
          <w:tcPr>
            <w:tcW w:w="5812" w:type="dxa"/>
          </w:tcPr>
          <w:p w14:paraId="1648CDE8" w14:textId="77777777" w:rsidR="00A256C8" w:rsidRPr="004379AA" w:rsidRDefault="00A256C8" w:rsidP="00A256C8">
            <w:pPr>
              <w:spacing w:line="480" w:lineRule="auto"/>
              <w:jc w:val="both"/>
              <w:rPr>
                <w:rFonts w:ascii="Arial" w:hAnsi="Arial" w:cs="Arial"/>
                <w:lang w:val="en-US"/>
              </w:rPr>
            </w:pPr>
          </w:p>
          <w:p w14:paraId="020FFB1A" w14:textId="77777777" w:rsidR="00A256C8" w:rsidRPr="004379AA" w:rsidRDefault="00A256C8" w:rsidP="00A256C8">
            <w:pPr>
              <w:spacing w:line="480" w:lineRule="auto"/>
              <w:jc w:val="both"/>
              <w:rPr>
                <w:rFonts w:ascii="Arial" w:hAnsi="Arial" w:cs="Arial"/>
                <w:lang w:val="en-US"/>
              </w:rPr>
            </w:pPr>
            <w:r w:rsidRPr="004379AA">
              <w:rPr>
                <w:rFonts w:ascii="Arial" w:hAnsi="Arial" w:cs="Arial"/>
                <w:lang w:val="en-US"/>
              </w:rPr>
              <w:t>and</w:t>
            </w:r>
          </w:p>
        </w:tc>
        <w:tc>
          <w:tcPr>
            <w:tcW w:w="3686" w:type="dxa"/>
          </w:tcPr>
          <w:p w14:paraId="3A20C24D" w14:textId="77777777" w:rsidR="00A256C8" w:rsidRPr="004379AA" w:rsidRDefault="00A256C8" w:rsidP="00A256C8">
            <w:pPr>
              <w:spacing w:line="480" w:lineRule="auto"/>
              <w:jc w:val="both"/>
              <w:rPr>
                <w:rFonts w:ascii="Arial" w:hAnsi="Arial" w:cs="Arial"/>
                <w:b/>
                <w:lang w:val="en-US"/>
              </w:rPr>
            </w:pPr>
          </w:p>
        </w:tc>
      </w:tr>
      <w:tr w:rsidR="004379AA" w:rsidRPr="004379AA" w14:paraId="41A364B3" w14:textId="77777777" w:rsidTr="004379AA">
        <w:tc>
          <w:tcPr>
            <w:tcW w:w="5812" w:type="dxa"/>
          </w:tcPr>
          <w:p w14:paraId="239DD260" w14:textId="77777777" w:rsidR="00A256C8" w:rsidRPr="004379AA" w:rsidRDefault="00A256C8" w:rsidP="00A256C8">
            <w:pPr>
              <w:tabs>
                <w:tab w:val="right" w:pos="8222"/>
              </w:tabs>
              <w:spacing w:line="480" w:lineRule="auto"/>
              <w:jc w:val="both"/>
              <w:rPr>
                <w:rFonts w:ascii="Arial" w:hAnsi="Arial" w:cs="Arial"/>
                <w:b/>
                <w:lang w:val="en-US"/>
              </w:rPr>
            </w:pPr>
          </w:p>
          <w:p w14:paraId="789C7C4C" w14:textId="77777777" w:rsidR="00A256C8" w:rsidRPr="004379AA" w:rsidRDefault="00A256C8" w:rsidP="00A256C8">
            <w:pPr>
              <w:tabs>
                <w:tab w:val="right" w:pos="8222"/>
              </w:tabs>
              <w:spacing w:line="480" w:lineRule="auto"/>
              <w:jc w:val="both"/>
              <w:rPr>
                <w:rFonts w:ascii="Arial" w:hAnsi="Arial" w:cs="Arial"/>
                <w:lang w:val="en-US"/>
              </w:rPr>
            </w:pPr>
            <w:r w:rsidRPr="004379AA">
              <w:rPr>
                <w:rFonts w:ascii="Arial" w:hAnsi="Arial" w:cs="Arial"/>
                <w:b/>
                <w:lang w:val="en-US"/>
              </w:rPr>
              <w:t xml:space="preserve">HOLLARD INSURANCE COMPANY OF NAMIBIA LIMITED </w:t>
            </w:r>
          </w:p>
        </w:tc>
        <w:tc>
          <w:tcPr>
            <w:tcW w:w="3686" w:type="dxa"/>
          </w:tcPr>
          <w:p w14:paraId="26595E21" w14:textId="77777777" w:rsidR="00A256C8" w:rsidRPr="004379AA" w:rsidRDefault="00A256C8" w:rsidP="00A256C8">
            <w:pPr>
              <w:spacing w:line="480" w:lineRule="auto"/>
              <w:jc w:val="both"/>
              <w:rPr>
                <w:rFonts w:ascii="Arial" w:hAnsi="Arial" w:cs="Arial"/>
                <w:b/>
                <w:lang w:val="en-US"/>
              </w:rPr>
            </w:pPr>
          </w:p>
          <w:p w14:paraId="4D7CEED4" w14:textId="77777777" w:rsidR="00A256C8" w:rsidRPr="004379AA" w:rsidRDefault="00A256C8" w:rsidP="00A256C8">
            <w:pPr>
              <w:spacing w:line="480" w:lineRule="auto"/>
              <w:jc w:val="both"/>
              <w:rPr>
                <w:rFonts w:ascii="Arial" w:hAnsi="Arial" w:cs="Arial"/>
                <w:b/>
                <w:lang w:val="en-US"/>
              </w:rPr>
            </w:pPr>
          </w:p>
          <w:p w14:paraId="4CE328DC" w14:textId="3DD4EB54" w:rsidR="00A256C8" w:rsidRPr="004379AA" w:rsidRDefault="004379AA" w:rsidP="004379AA">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Pr="004379AA">
              <w:rPr>
                <w:rFonts w:ascii="Arial" w:hAnsi="Arial" w:cs="Arial"/>
                <w:b/>
                <w:lang w:val="en-US"/>
              </w:rPr>
              <w:t xml:space="preserve"> </w:t>
            </w:r>
            <w:r w:rsidR="00A256C8" w:rsidRPr="004379AA">
              <w:rPr>
                <w:rFonts w:ascii="Arial" w:hAnsi="Arial" w:cs="Arial"/>
                <w:b/>
                <w:lang w:val="en-US"/>
              </w:rPr>
              <w:t>First Respondent</w:t>
            </w:r>
          </w:p>
        </w:tc>
      </w:tr>
      <w:tr w:rsidR="004379AA" w:rsidRPr="004379AA" w14:paraId="3DBD1203" w14:textId="77777777" w:rsidTr="004379AA">
        <w:tc>
          <w:tcPr>
            <w:tcW w:w="5812" w:type="dxa"/>
          </w:tcPr>
          <w:p w14:paraId="345B0CA2"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HOLLARD LIFE NAMIBIA LIMITED</w:t>
            </w:r>
          </w:p>
        </w:tc>
        <w:tc>
          <w:tcPr>
            <w:tcW w:w="3686" w:type="dxa"/>
          </w:tcPr>
          <w:p w14:paraId="24006205" w14:textId="7E0967E1"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A256C8" w:rsidRPr="004379AA">
              <w:rPr>
                <w:rFonts w:ascii="Arial" w:hAnsi="Arial" w:cs="Arial"/>
                <w:b/>
                <w:lang w:val="en-US"/>
              </w:rPr>
              <w:t>Second Respondent</w:t>
            </w:r>
          </w:p>
        </w:tc>
      </w:tr>
      <w:tr w:rsidR="004379AA" w:rsidRPr="004379AA" w14:paraId="05D9D2D8" w14:textId="77777777" w:rsidTr="004379AA">
        <w:tc>
          <w:tcPr>
            <w:tcW w:w="5812" w:type="dxa"/>
          </w:tcPr>
          <w:p w14:paraId="1968DFC6"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SANLAM NAMIBIA LIMITED</w:t>
            </w:r>
          </w:p>
        </w:tc>
        <w:tc>
          <w:tcPr>
            <w:tcW w:w="3686" w:type="dxa"/>
          </w:tcPr>
          <w:p w14:paraId="675D6ADF" w14:textId="2C54D653"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00A256C8" w:rsidRPr="004379AA">
              <w:rPr>
                <w:rFonts w:ascii="Arial" w:hAnsi="Arial" w:cs="Arial"/>
                <w:b/>
                <w:lang w:val="en-US"/>
              </w:rPr>
              <w:t>Third Respondent</w:t>
            </w:r>
          </w:p>
        </w:tc>
      </w:tr>
      <w:tr w:rsidR="004379AA" w:rsidRPr="004379AA" w14:paraId="44288E4D" w14:textId="77777777" w:rsidTr="004379AA">
        <w:tc>
          <w:tcPr>
            <w:tcW w:w="5812" w:type="dxa"/>
          </w:tcPr>
          <w:p w14:paraId="107A562E"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SANTAM NAMIBIA LIMITED</w:t>
            </w:r>
          </w:p>
        </w:tc>
        <w:tc>
          <w:tcPr>
            <w:tcW w:w="3686" w:type="dxa"/>
          </w:tcPr>
          <w:p w14:paraId="4048CE8B" w14:textId="4DAEFBB4"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Pr="004379AA">
              <w:rPr>
                <w:rFonts w:ascii="Arial" w:hAnsi="Arial" w:cs="Arial"/>
                <w:b/>
                <w:lang w:val="en-US"/>
              </w:rPr>
              <w:t xml:space="preserve"> </w:t>
            </w:r>
            <w:r w:rsidR="00A256C8" w:rsidRPr="004379AA">
              <w:rPr>
                <w:rFonts w:ascii="Arial" w:hAnsi="Arial" w:cs="Arial"/>
                <w:b/>
                <w:lang w:val="en-US"/>
              </w:rPr>
              <w:t>Fourth Respondent</w:t>
            </w:r>
          </w:p>
        </w:tc>
      </w:tr>
      <w:tr w:rsidR="004379AA" w:rsidRPr="004379AA" w14:paraId="23E2AC40" w14:textId="77777777" w:rsidTr="004379AA">
        <w:tc>
          <w:tcPr>
            <w:tcW w:w="5812" w:type="dxa"/>
          </w:tcPr>
          <w:p w14:paraId="62E7F7B6"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TRUSTCO INSURANCE LIMITED</w:t>
            </w:r>
          </w:p>
        </w:tc>
        <w:tc>
          <w:tcPr>
            <w:tcW w:w="3686" w:type="dxa"/>
          </w:tcPr>
          <w:p w14:paraId="7816F5DA" w14:textId="4CFB0227"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00A256C8" w:rsidRPr="004379AA">
              <w:rPr>
                <w:rFonts w:ascii="Arial" w:hAnsi="Arial" w:cs="Arial"/>
                <w:b/>
                <w:lang w:val="en-US"/>
              </w:rPr>
              <w:t>Fifth Respondent</w:t>
            </w:r>
          </w:p>
        </w:tc>
      </w:tr>
      <w:tr w:rsidR="004379AA" w:rsidRPr="004379AA" w14:paraId="680A1313" w14:textId="77777777" w:rsidTr="004379AA">
        <w:tc>
          <w:tcPr>
            <w:tcW w:w="5812" w:type="dxa"/>
          </w:tcPr>
          <w:p w14:paraId="49F6D70F"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TRUSTCO LIFE LIMITED</w:t>
            </w:r>
          </w:p>
        </w:tc>
        <w:tc>
          <w:tcPr>
            <w:tcW w:w="3686" w:type="dxa"/>
          </w:tcPr>
          <w:p w14:paraId="1DA5430D" w14:textId="548E833C"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6B5E4A">
              <w:rPr>
                <w:rFonts w:ascii="Arial" w:hAnsi="Arial" w:cs="Arial"/>
                <w:b/>
                <w:lang w:val="en-US"/>
              </w:rPr>
              <w:t xml:space="preserve">    </w:t>
            </w:r>
            <w:r w:rsidRPr="004379AA">
              <w:rPr>
                <w:rFonts w:ascii="Arial" w:hAnsi="Arial" w:cs="Arial"/>
                <w:b/>
                <w:lang w:val="en-US"/>
              </w:rPr>
              <w:t xml:space="preserve"> </w:t>
            </w:r>
            <w:r w:rsidR="00A256C8" w:rsidRPr="004379AA">
              <w:rPr>
                <w:rFonts w:ascii="Arial" w:hAnsi="Arial" w:cs="Arial"/>
                <w:b/>
                <w:lang w:val="en-US"/>
              </w:rPr>
              <w:t>Sixth Respondent</w:t>
            </w:r>
          </w:p>
        </w:tc>
      </w:tr>
      <w:tr w:rsidR="004379AA" w:rsidRPr="004379AA" w14:paraId="24DB21E7" w14:textId="77777777" w:rsidTr="004379AA">
        <w:tc>
          <w:tcPr>
            <w:tcW w:w="5812" w:type="dxa"/>
          </w:tcPr>
          <w:p w14:paraId="658AB96F"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 xml:space="preserve">OUTSURANCE INSURANCE COMPANY </w:t>
            </w:r>
          </w:p>
          <w:p w14:paraId="15F8C8FE"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OF NAMIBIA LIMITED</w:t>
            </w:r>
          </w:p>
        </w:tc>
        <w:tc>
          <w:tcPr>
            <w:tcW w:w="3686" w:type="dxa"/>
          </w:tcPr>
          <w:p w14:paraId="044380CF" w14:textId="77777777" w:rsidR="00A256C8" w:rsidRPr="004379AA" w:rsidRDefault="00A256C8" w:rsidP="00A256C8">
            <w:pPr>
              <w:spacing w:line="480" w:lineRule="auto"/>
              <w:jc w:val="both"/>
              <w:rPr>
                <w:rFonts w:ascii="Arial" w:hAnsi="Arial" w:cs="Arial"/>
                <w:b/>
                <w:lang w:val="en-US"/>
              </w:rPr>
            </w:pPr>
          </w:p>
          <w:p w14:paraId="2CB13215" w14:textId="2CD78673" w:rsidR="00A256C8" w:rsidRPr="004379AA" w:rsidRDefault="004379AA" w:rsidP="00A256C8">
            <w:pPr>
              <w:spacing w:line="480" w:lineRule="auto"/>
              <w:jc w:val="both"/>
              <w:rPr>
                <w:rFonts w:ascii="Arial" w:hAnsi="Arial" w:cs="Arial"/>
                <w:b/>
                <w:lang w:val="en-US"/>
              </w:rPr>
            </w:pPr>
            <w:r w:rsidRPr="004379AA">
              <w:rPr>
                <w:rFonts w:ascii="Arial" w:hAnsi="Arial" w:cs="Arial"/>
                <w:b/>
                <w:lang w:val="en-US"/>
              </w:rPr>
              <w:t xml:space="preserve">                </w:t>
            </w:r>
            <w:r w:rsidR="00A256C8" w:rsidRPr="004379AA">
              <w:rPr>
                <w:rFonts w:ascii="Arial" w:hAnsi="Arial" w:cs="Arial"/>
                <w:b/>
                <w:lang w:val="en-US"/>
              </w:rPr>
              <w:t>Seventh Respondent</w:t>
            </w:r>
          </w:p>
        </w:tc>
      </w:tr>
      <w:tr w:rsidR="004379AA" w:rsidRPr="004379AA" w14:paraId="727B7965" w14:textId="77777777" w:rsidTr="004379AA">
        <w:tc>
          <w:tcPr>
            <w:tcW w:w="5812" w:type="dxa"/>
          </w:tcPr>
          <w:p w14:paraId="05B05F55" w14:textId="77777777" w:rsidR="00A256C8" w:rsidRPr="004379AA" w:rsidRDefault="00A256C8" w:rsidP="00A256C8">
            <w:pPr>
              <w:spacing w:line="480" w:lineRule="auto"/>
              <w:jc w:val="both"/>
              <w:rPr>
                <w:rFonts w:ascii="Arial" w:hAnsi="Arial" w:cs="Arial"/>
                <w:b/>
                <w:lang w:val="en-US"/>
              </w:rPr>
            </w:pPr>
            <w:r w:rsidRPr="004379AA">
              <w:rPr>
                <w:rFonts w:ascii="Arial" w:hAnsi="Arial" w:cs="Arial"/>
                <w:b/>
                <w:lang w:val="en-US"/>
              </w:rPr>
              <w:lastRenderedPageBreak/>
              <w:t>OLD MUTUAL LIFE ASSURANCE COMPANY NAMIBIA LIMITED</w:t>
            </w:r>
          </w:p>
        </w:tc>
        <w:tc>
          <w:tcPr>
            <w:tcW w:w="3686" w:type="dxa"/>
          </w:tcPr>
          <w:p w14:paraId="5A45ED22" w14:textId="77777777" w:rsidR="00A256C8" w:rsidRPr="004379AA" w:rsidRDefault="00A256C8" w:rsidP="00A256C8">
            <w:pPr>
              <w:spacing w:line="480" w:lineRule="auto"/>
              <w:jc w:val="both"/>
              <w:rPr>
                <w:rFonts w:ascii="Arial" w:hAnsi="Arial" w:cs="Arial"/>
                <w:b/>
                <w:lang w:val="en-US"/>
              </w:rPr>
            </w:pPr>
          </w:p>
          <w:p w14:paraId="47A72677" w14:textId="7A4D724E"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sidR="00A256C8" w:rsidRPr="004379AA">
              <w:rPr>
                <w:rFonts w:ascii="Arial" w:hAnsi="Arial" w:cs="Arial"/>
                <w:b/>
                <w:lang w:val="en-US"/>
              </w:rPr>
              <w:t>Eighth Respondent</w:t>
            </w:r>
          </w:p>
        </w:tc>
      </w:tr>
      <w:tr w:rsidR="004379AA" w:rsidRPr="004379AA" w14:paraId="588A42E3" w14:textId="77777777" w:rsidTr="004379AA">
        <w:tc>
          <w:tcPr>
            <w:tcW w:w="5812" w:type="dxa"/>
          </w:tcPr>
          <w:p w14:paraId="05ED138D"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JACOBUS CELLIERS LAMPRECHT</w:t>
            </w:r>
          </w:p>
        </w:tc>
        <w:tc>
          <w:tcPr>
            <w:tcW w:w="3686" w:type="dxa"/>
          </w:tcPr>
          <w:p w14:paraId="7313C570" w14:textId="08270E8E"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Ninth Respondent</w:t>
            </w:r>
          </w:p>
        </w:tc>
      </w:tr>
      <w:tr w:rsidR="004379AA" w:rsidRPr="004379AA" w14:paraId="7982EECD" w14:textId="77777777" w:rsidTr="004379AA">
        <w:tc>
          <w:tcPr>
            <w:tcW w:w="5812" w:type="dxa"/>
          </w:tcPr>
          <w:p w14:paraId="4B34D934"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ANDRE VERMEULEN</w:t>
            </w:r>
          </w:p>
        </w:tc>
        <w:tc>
          <w:tcPr>
            <w:tcW w:w="3686" w:type="dxa"/>
          </w:tcPr>
          <w:p w14:paraId="457D7875" w14:textId="5D660692"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Tenth Respondent</w:t>
            </w:r>
          </w:p>
        </w:tc>
      </w:tr>
      <w:tr w:rsidR="004379AA" w:rsidRPr="004379AA" w14:paraId="03F0A019" w14:textId="77777777" w:rsidTr="004379AA">
        <w:tc>
          <w:tcPr>
            <w:tcW w:w="5812" w:type="dxa"/>
          </w:tcPr>
          <w:p w14:paraId="2F10278F"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TERTIUS JOHN RICHARD STEARS</w:t>
            </w:r>
          </w:p>
        </w:tc>
        <w:tc>
          <w:tcPr>
            <w:tcW w:w="3686" w:type="dxa"/>
          </w:tcPr>
          <w:p w14:paraId="19CA60CF" w14:textId="2E16F697"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Eleventh Respondent</w:t>
            </w:r>
          </w:p>
        </w:tc>
      </w:tr>
      <w:tr w:rsidR="004379AA" w:rsidRPr="004379AA" w14:paraId="1A41630E" w14:textId="77777777" w:rsidTr="004379AA">
        <w:tc>
          <w:tcPr>
            <w:tcW w:w="5812" w:type="dxa"/>
          </w:tcPr>
          <w:p w14:paraId="413A89B7"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FRANCO GEOFFREY FERIS</w:t>
            </w:r>
          </w:p>
        </w:tc>
        <w:tc>
          <w:tcPr>
            <w:tcW w:w="3686" w:type="dxa"/>
          </w:tcPr>
          <w:p w14:paraId="7DC218E1" w14:textId="41FED9BE"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Twelfth Respondent</w:t>
            </w:r>
          </w:p>
        </w:tc>
      </w:tr>
      <w:tr w:rsidR="004379AA" w:rsidRPr="004379AA" w14:paraId="3F8C3A53" w14:textId="77777777" w:rsidTr="004379AA">
        <w:tc>
          <w:tcPr>
            <w:tcW w:w="5812" w:type="dxa"/>
          </w:tcPr>
          <w:p w14:paraId="5981D88A"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QUINTON VAN ROOYEN</w:t>
            </w:r>
          </w:p>
        </w:tc>
        <w:tc>
          <w:tcPr>
            <w:tcW w:w="3686" w:type="dxa"/>
          </w:tcPr>
          <w:p w14:paraId="655D18C5" w14:textId="36A3682B"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A256C8" w:rsidRPr="004379AA">
              <w:rPr>
                <w:rFonts w:ascii="Arial" w:hAnsi="Arial" w:cs="Arial"/>
                <w:b/>
                <w:lang w:val="en-US"/>
              </w:rPr>
              <w:t>Thirteenth Respondent</w:t>
            </w:r>
          </w:p>
        </w:tc>
      </w:tr>
      <w:tr w:rsidR="004379AA" w:rsidRPr="004379AA" w14:paraId="31D4EF1F" w14:textId="77777777" w:rsidTr="004379AA">
        <w:tc>
          <w:tcPr>
            <w:tcW w:w="5812" w:type="dxa"/>
          </w:tcPr>
          <w:p w14:paraId="01A64631"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ANNETTE BRANDT</w:t>
            </w:r>
          </w:p>
        </w:tc>
        <w:tc>
          <w:tcPr>
            <w:tcW w:w="3686" w:type="dxa"/>
          </w:tcPr>
          <w:p w14:paraId="62DF7694" w14:textId="35E018DB"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A256C8" w:rsidRPr="004379AA">
              <w:rPr>
                <w:rFonts w:ascii="Arial" w:hAnsi="Arial" w:cs="Arial"/>
                <w:b/>
                <w:lang w:val="en-US"/>
              </w:rPr>
              <w:t>Fourteenth Respondent</w:t>
            </w:r>
          </w:p>
        </w:tc>
      </w:tr>
      <w:tr w:rsidR="004379AA" w:rsidRPr="004379AA" w14:paraId="3068E2A7" w14:textId="77777777" w:rsidTr="004379AA">
        <w:tc>
          <w:tcPr>
            <w:tcW w:w="5812" w:type="dxa"/>
          </w:tcPr>
          <w:p w14:paraId="50E65805"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NANGULA KAULUMA</w:t>
            </w:r>
          </w:p>
        </w:tc>
        <w:tc>
          <w:tcPr>
            <w:tcW w:w="3686" w:type="dxa"/>
          </w:tcPr>
          <w:p w14:paraId="2FCB96E7" w14:textId="7B8FE519" w:rsidR="00A256C8" w:rsidRPr="004379AA" w:rsidRDefault="00511757" w:rsidP="006B5E4A">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Fifteenth Respondent</w:t>
            </w:r>
          </w:p>
        </w:tc>
      </w:tr>
      <w:tr w:rsidR="004379AA" w:rsidRPr="004379AA" w14:paraId="261BB4B0" w14:textId="77777777" w:rsidTr="004379AA">
        <w:tc>
          <w:tcPr>
            <w:tcW w:w="5812" w:type="dxa"/>
          </w:tcPr>
          <w:p w14:paraId="42CBE620" w14:textId="77777777" w:rsidR="00A256C8" w:rsidRPr="004379AA" w:rsidRDefault="00A256C8" w:rsidP="00A256C8">
            <w:pPr>
              <w:tabs>
                <w:tab w:val="right" w:pos="8222"/>
              </w:tabs>
              <w:spacing w:line="480" w:lineRule="auto"/>
              <w:jc w:val="both"/>
              <w:rPr>
                <w:rFonts w:ascii="Arial" w:hAnsi="Arial" w:cs="Arial"/>
                <w:b/>
                <w:lang w:val="en-US"/>
              </w:rPr>
            </w:pPr>
            <w:r w:rsidRPr="004379AA">
              <w:rPr>
                <w:rFonts w:ascii="Arial" w:hAnsi="Arial" w:cs="Arial"/>
                <w:b/>
                <w:lang w:val="en-US"/>
              </w:rPr>
              <w:t>KOSMAS HEINRICH EGUMBO</w:t>
            </w:r>
          </w:p>
        </w:tc>
        <w:tc>
          <w:tcPr>
            <w:tcW w:w="3686" w:type="dxa"/>
          </w:tcPr>
          <w:p w14:paraId="23484214" w14:textId="5A54E9EA" w:rsidR="00A256C8" w:rsidRPr="004379AA" w:rsidRDefault="00511757" w:rsidP="00A256C8">
            <w:pPr>
              <w:spacing w:line="480" w:lineRule="auto"/>
              <w:jc w:val="both"/>
              <w:rPr>
                <w:rFonts w:ascii="Arial" w:hAnsi="Arial" w:cs="Arial"/>
                <w:b/>
                <w:lang w:val="en-US"/>
              </w:rPr>
            </w:pPr>
            <w:r>
              <w:rPr>
                <w:rFonts w:ascii="Arial" w:hAnsi="Arial" w:cs="Arial"/>
                <w:b/>
                <w:lang w:val="en-US"/>
              </w:rPr>
              <w:t xml:space="preserve">        </w:t>
            </w:r>
            <w:r w:rsidR="006B5E4A">
              <w:rPr>
                <w:rFonts w:ascii="Arial" w:hAnsi="Arial" w:cs="Arial"/>
                <w:b/>
                <w:lang w:val="en-US"/>
              </w:rPr>
              <w:t xml:space="preserve">  </w:t>
            </w:r>
            <w:r>
              <w:rPr>
                <w:rFonts w:ascii="Arial" w:hAnsi="Arial" w:cs="Arial"/>
                <w:b/>
                <w:lang w:val="en-US"/>
              </w:rPr>
              <w:t xml:space="preserve">    </w:t>
            </w:r>
            <w:r w:rsidR="00A256C8" w:rsidRPr="004379AA">
              <w:rPr>
                <w:rFonts w:ascii="Arial" w:hAnsi="Arial" w:cs="Arial"/>
                <w:b/>
                <w:lang w:val="en-US"/>
              </w:rPr>
              <w:t>Sixteenth Respondent</w:t>
            </w:r>
          </w:p>
        </w:tc>
      </w:tr>
    </w:tbl>
    <w:p w14:paraId="5ABB59AB" w14:textId="77777777" w:rsidR="00A256C8" w:rsidRPr="004379AA" w:rsidRDefault="00A256C8" w:rsidP="00A256C8">
      <w:pPr>
        <w:tabs>
          <w:tab w:val="left" w:pos="5625"/>
        </w:tabs>
        <w:spacing w:line="480" w:lineRule="auto"/>
        <w:jc w:val="both"/>
        <w:rPr>
          <w:rFonts w:ascii="Arial" w:hAnsi="Arial" w:cs="Arial"/>
          <w:lang w:val="en-US"/>
        </w:rPr>
      </w:pPr>
    </w:p>
    <w:p w14:paraId="005256E0" w14:textId="32643A6A" w:rsidR="00910BE6" w:rsidRPr="004379AA" w:rsidRDefault="00910BE6" w:rsidP="00E122C7">
      <w:pPr>
        <w:tabs>
          <w:tab w:val="left" w:pos="2127"/>
          <w:tab w:val="right" w:pos="8222"/>
        </w:tabs>
        <w:spacing w:line="360" w:lineRule="auto"/>
        <w:jc w:val="both"/>
        <w:rPr>
          <w:rFonts w:ascii="Arial" w:hAnsi="Arial" w:cs="Arial"/>
          <w:b/>
          <w:highlight w:val="yellow"/>
          <w:lang w:val="en-US"/>
        </w:rPr>
      </w:pPr>
      <w:r w:rsidRPr="004379AA">
        <w:rPr>
          <w:rFonts w:ascii="Arial" w:hAnsi="Arial" w:cs="Arial"/>
          <w:b/>
          <w:lang w:val="en-US"/>
        </w:rPr>
        <w:t xml:space="preserve">Coram: </w:t>
      </w:r>
      <w:r w:rsidRPr="004379AA">
        <w:rPr>
          <w:rFonts w:ascii="Arial" w:hAnsi="Arial" w:cs="Arial"/>
          <w:b/>
          <w:lang w:val="en-US"/>
        </w:rPr>
        <w:tab/>
      </w:r>
      <w:r w:rsidRPr="004379AA">
        <w:rPr>
          <w:rFonts w:ascii="Arial" w:hAnsi="Arial" w:cs="Arial"/>
          <w:lang w:val="en-US"/>
        </w:rPr>
        <w:t>DAMASEB DCJ, HOFF JA and MOKGORO AJA</w:t>
      </w:r>
    </w:p>
    <w:p w14:paraId="71DB8E89" w14:textId="752BA08E" w:rsidR="00910BE6" w:rsidRPr="004379AA" w:rsidRDefault="00E122C7" w:rsidP="00E122C7">
      <w:pPr>
        <w:tabs>
          <w:tab w:val="left" w:pos="2127"/>
        </w:tabs>
        <w:spacing w:line="360" w:lineRule="auto"/>
        <w:jc w:val="both"/>
        <w:rPr>
          <w:rFonts w:ascii="Arial" w:hAnsi="Arial" w:cs="Arial"/>
          <w:b/>
          <w:lang w:val="en-US"/>
        </w:rPr>
      </w:pPr>
      <w:r>
        <w:rPr>
          <w:rFonts w:ascii="Arial" w:hAnsi="Arial" w:cs="Arial"/>
          <w:b/>
          <w:lang w:val="en-US"/>
        </w:rPr>
        <w:t>Heard:</w:t>
      </w:r>
      <w:r>
        <w:rPr>
          <w:rFonts w:ascii="Arial" w:hAnsi="Arial" w:cs="Arial"/>
          <w:b/>
          <w:lang w:val="en-US"/>
        </w:rPr>
        <w:tab/>
      </w:r>
      <w:r w:rsidR="00910BE6" w:rsidRPr="004379AA">
        <w:rPr>
          <w:rFonts w:ascii="Arial" w:hAnsi="Arial" w:cs="Arial"/>
          <w:b/>
          <w:lang w:val="en-US"/>
        </w:rPr>
        <w:t>11 October 2019</w:t>
      </w:r>
    </w:p>
    <w:p w14:paraId="0EF822B2" w14:textId="208E7272" w:rsidR="00910BE6" w:rsidRPr="004379AA" w:rsidRDefault="00910BE6" w:rsidP="001C0B8F">
      <w:pPr>
        <w:tabs>
          <w:tab w:val="left" w:pos="2127"/>
        </w:tabs>
        <w:spacing w:line="360" w:lineRule="auto"/>
        <w:jc w:val="both"/>
        <w:rPr>
          <w:rFonts w:ascii="Arial" w:hAnsi="Arial" w:cs="Arial"/>
          <w:b/>
          <w:lang w:val="en-US"/>
        </w:rPr>
      </w:pPr>
      <w:r w:rsidRPr="00262EAC">
        <w:rPr>
          <w:rFonts w:ascii="Arial" w:hAnsi="Arial" w:cs="Arial"/>
          <w:b/>
          <w:lang w:val="en-US"/>
        </w:rPr>
        <w:t>Delivered:</w:t>
      </w:r>
      <w:r w:rsidRPr="00262EAC">
        <w:rPr>
          <w:rFonts w:ascii="Arial" w:hAnsi="Arial" w:cs="Arial"/>
          <w:b/>
          <w:lang w:val="en-US"/>
        </w:rPr>
        <w:tab/>
      </w:r>
      <w:r w:rsidR="00E122C7">
        <w:rPr>
          <w:rFonts w:ascii="Arial" w:hAnsi="Arial" w:cs="Arial"/>
          <w:b/>
          <w:lang w:val="en-US"/>
        </w:rPr>
        <w:t>9</w:t>
      </w:r>
      <w:r w:rsidR="001C0B8F" w:rsidRPr="001C0B8F">
        <w:rPr>
          <w:rFonts w:ascii="Arial" w:hAnsi="Arial" w:cs="Arial"/>
          <w:b/>
          <w:lang w:val="en-US"/>
        </w:rPr>
        <w:t xml:space="preserve"> December 2019</w:t>
      </w:r>
    </w:p>
    <w:p w14:paraId="10B9A34B" w14:textId="77777777" w:rsidR="00CF41DC" w:rsidRPr="004379AA" w:rsidRDefault="00CF41DC" w:rsidP="00910BE6">
      <w:pPr>
        <w:spacing w:line="360" w:lineRule="auto"/>
        <w:rPr>
          <w:rFonts w:ascii="Arial" w:eastAsia="Times New Roman" w:hAnsi="Arial" w:cs="Arial"/>
          <w:lang w:eastAsia="en-GB"/>
        </w:rPr>
      </w:pPr>
    </w:p>
    <w:p w14:paraId="7DDF24D5" w14:textId="60338557"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b/>
          <w:lang w:eastAsia="en-GB"/>
        </w:rPr>
        <w:t>Summary</w:t>
      </w:r>
      <w:r w:rsidR="004379AA" w:rsidRPr="004379AA">
        <w:rPr>
          <w:rFonts w:ascii="Arial" w:eastAsia="Times New Roman" w:hAnsi="Arial" w:cs="Arial"/>
          <w:b/>
          <w:lang w:eastAsia="en-GB"/>
        </w:rPr>
        <w:t xml:space="preserve">: </w:t>
      </w:r>
      <w:r w:rsidRPr="004379AA">
        <w:rPr>
          <w:rFonts w:ascii="Arial" w:eastAsia="Times New Roman" w:hAnsi="Arial" w:cs="Arial"/>
          <w:lang w:eastAsia="en-GB"/>
        </w:rPr>
        <w:t>Certain insurance companies elected to defy compliance with the compulsory cession of insurance business to NamibRe as required by regulations and notices published by the minister in terms of Part V of Act 22 of 1998 (the Act). The non-compliance followed in the wake of the respondent companies’ constitutional challenge of the Act and review challenge of the regulations made under it.</w:t>
      </w:r>
    </w:p>
    <w:p w14:paraId="13B34227" w14:textId="77777777" w:rsidR="00CF41DC" w:rsidRPr="004379AA" w:rsidRDefault="00CF41DC" w:rsidP="001C0B8F">
      <w:pPr>
        <w:spacing w:line="360" w:lineRule="auto"/>
        <w:jc w:val="both"/>
        <w:rPr>
          <w:rFonts w:ascii="Arial" w:eastAsia="Times New Roman" w:hAnsi="Arial" w:cs="Arial"/>
          <w:lang w:eastAsia="en-GB"/>
        </w:rPr>
      </w:pPr>
    </w:p>
    <w:p w14:paraId="5EFD9C1F" w14:textId="3A16AC1D"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lang w:eastAsia="en-GB"/>
        </w:rPr>
        <w:t xml:space="preserve">The </w:t>
      </w:r>
      <w:r w:rsidR="005B5CAD" w:rsidRPr="004379AA">
        <w:rPr>
          <w:rFonts w:ascii="Arial" w:eastAsia="Times New Roman" w:hAnsi="Arial" w:cs="Arial"/>
          <w:lang w:eastAsia="en-GB"/>
        </w:rPr>
        <w:t>appellants</w:t>
      </w:r>
      <w:r w:rsidRPr="004379AA">
        <w:rPr>
          <w:rFonts w:ascii="Arial" w:eastAsia="Times New Roman" w:hAnsi="Arial" w:cs="Arial"/>
          <w:lang w:eastAsia="en-GB"/>
        </w:rPr>
        <w:t xml:space="preserve"> approached the High Court on an urgent basis to obtain an ‘interim’ declarator, pending finalisation of the pending constitutional challenge and review, that the Act is of ‘full force and effect’ and to be allowed to approach the High Court on the same papers, duly amplified, for an order of committal of the respondent companies’ chief executive officers, in the event of continued disobedience of the law.</w:t>
      </w:r>
    </w:p>
    <w:p w14:paraId="425B35D1" w14:textId="77777777" w:rsidR="00CF41DC" w:rsidRPr="004379AA" w:rsidRDefault="00CF41DC" w:rsidP="00D432D4">
      <w:pPr>
        <w:spacing w:line="360" w:lineRule="auto"/>
        <w:jc w:val="both"/>
        <w:rPr>
          <w:rFonts w:ascii="Arial" w:eastAsia="Times New Roman" w:hAnsi="Arial" w:cs="Arial"/>
          <w:lang w:eastAsia="en-GB"/>
        </w:rPr>
      </w:pPr>
    </w:p>
    <w:p w14:paraId="402C63A0" w14:textId="42ADC89C"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lang w:eastAsia="en-GB"/>
        </w:rPr>
        <w:t>The respondent companies invoked the court challenges as collateral challenge to the enforcement application.</w:t>
      </w:r>
    </w:p>
    <w:p w14:paraId="01F6BCA8" w14:textId="77777777" w:rsidR="00CF41DC" w:rsidRPr="004379AA" w:rsidRDefault="00CF41DC" w:rsidP="00D432D4">
      <w:pPr>
        <w:spacing w:line="360" w:lineRule="auto"/>
        <w:jc w:val="both"/>
        <w:rPr>
          <w:rFonts w:ascii="Arial" w:eastAsia="Times New Roman" w:hAnsi="Arial" w:cs="Arial"/>
          <w:lang w:eastAsia="en-GB"/>
        </w:rPr>
      </w:pPr>
    </w:p>
    <w:p w14:paraId="71B0301A" w14:textId="7E23B1D6"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lang w:eastAsia="en-GB"/>
        </w:rPr>
        <w:lastRenderedPageBreak/>
        <w:t>The High Court chose not to determine the collateral challenge and instead ordered a stay of the operation of the Act and regulations, until finalisation of pending court proceedings.</w:t>
      </w:r>
    </w:p>
    <w:p w14:paraId="0F3242B2" w14:textId="77777777" w:rsidR="00CF41DC" w:rsidRPr="004379AA" w:rsidRDefault="00CF41DC" w:rsidP="00D432D4">
      <w:pPr>
        <w:spacing w:line="360" w:lineRule="auto"/>
        <w:jc w:val="both"/>
        <w:rPr>
          <w:rFonts w:ascii="Arial" w:eastAsia="Times New Roman" w:hAnsi="Arial" w:cs="Arial"/>
          <w:lang w:eastAsia="en-GB"/>
        </w:rPr>
      </w:pPr>
    </w:p>
    <w:p w14:paraId="16356AC7" w14:textId="194BFB40"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lang w:eastAsia="en-GB"/>
        </w:rPr>
        <w:t xml:space="preserve">On appeal, </w:t>
      </w:r>
      <w:r w:rsidRPr="004379AA">
        <w:rPr>
          <w:rFonts w:ascii="Arial" w:eastAsia="Times New Roman" w:hAnsi="Arial" w:cs="Arial"/>
          <w:i/>
          <w:lang w:eastAsia="en-GB"/>
        </w:rPr>
        <w:t>held</w:t>
      </w:r>
      <w:r w:rsidRPr="004379AA">
        <w:rPr>
          <w:rFonts w:ascii="Arial" w:eastAsia="Times New Roman" w:hAnsi="Arial" w:cs="Arial"/>
          <w:lang w:eastAsia="en-GB"/>
        </w:rPr>
        <w:t xml:space="preserve"> that the High Court had no jurisdiction to stay implementation of an Act of parliament and that, in any event, such an order was not pleaded or asked for by parties;</w:t>
      </w:r>
    </w:p>
    <w:p w14:paraId="3C4FE5F3" w14:textId="77777777" w:rsidR="00CF41DC" w:rsidRPr="004379AA" w:rsidRDefault="00CF41DC" w:rsidP="00D432D4">
      <w:pPr>
        <w:spacing w:line="360" w:lineRule="auto"/>
        <w:jc w:val="both"/>
        <w:rPr>
          <w:rFonts w:ascii="Arial" w:eastAsia="Times New Roman" w:hAnsi="Arial" w:cs="Arial"/>
          <w:lang w:eastAsia="en-GB"/>
        </w:rPr>
      </w:pPr>
    </w:p>
    <w:p w14:paraId="3CA03BA4" w14:textId="77777777"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i/>
          <w:lang w:eastAsia="en-GB"/>
        </w:rPr>
        <w:t>Held</w:t>
      </w:r>
      <w:r w:rsidRPr="004379AA">
        <w:rPr>
          <w:rFonts w:ascii="Arial" w:eastAsia="Times New Roman" w:hAnsi="Arial" w:cs="Arial"/>
          <w:lang w:eastAsia="en-GB"/>
        </w:rPr>
        <w:t xml:space="preserve"> further that remedy of declarator exists to clarify legal uncertainty and for the court to clarify parties’ respective rights and duties and to state the correct legal position; that in the present case there is no uncertainty as the Act and the regulations made under are of full force and effect; that the real issue was to exact compliance with law but that same was provided for in written law and common law; </w:t>
      </w:r>
    </w:p>
    <w:p w14:paraId="6F1E739A" w14:textId="77777777" w:rsidR="00CF41DC" w:rsidRPr="004379AA" w:rsidRDefault="00CF41DC" w:rsidP="00D432D4">
      <w:pPr>
        <w:spacing w:line="360" w:lineRule="auto"/>
        <w:jc w:val="both"/>
        <w:rPr>
          <w:rFonts w:ascii="Arial" w:eastAsia="Times New Roman" w:hAnsi="Arial" w:cs="Arial"/>
          <w:lang w:eastAsia="en-GB"/>
        </w:rPr>
      </w:pPr>
    </w:p>
    <w:p w14:paraId="3F30BADE" w14:textId="0BFE56DD"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i/>
          <w:lang w:eastAsia="en-GB"/>
        </w:rPr>
        <w:t>Held</w:t>
      </w:r>
      <w:r w:rsidRPr="004379AA">
        <w:rPr>
          <w:rFonts w:ascii="Arial" w:eastAsia="Times New Roman" w:hAnsi="Arial" w:cs="Arial"/>
          <w:lang w:eastAsia="en-GB"/>
        </w:rPr>
        <w:t xml:space="preserve"> further that remedy of declarator also not appropriate in view of collateral challenge which was not yet ripe for determination;</w:t>
      </w:r>
    </w:p>
    <w:p w14:paraId="4B7DAB51" w14:textId="77777777" w:rsidR="00CF41DC" w:rsidRPr="004379AA" w:rsidRDefault="00CF41DC" w:rsidP="00D432D4">
      <w:pPr>
        <w:spacing w:line="360" w:lineRule="auto"/>
        <w:jc w:val="both"/>
        <w:rPr>
          <w:rFonts w:ascii="Arial" w:eastAsia="Times New Roman" w:hAnsi="Arial" w:cs="Arial"/>
          <w:lang w:eastAsia="en-GB"/>
        </w:rPr>
      </w:pPr>
    </w:p>
    <w:p w14:paraId="2F222602" w14:textId="0458D982"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i/>
          <w:lang w:eastAsia="en-GB"/>
        </w:rPr>
        <w:t>Held</w:t>
      </w:r>
      <w:r w:rsidRPr="004379AA">
        <w:rPr>
          <w:rFonts w:ascii="Arial" w:eastAsia="Times New Roman" w:hAnsi="Arial" w:cs="Arial"/>
          <w:lang w:eastAsia="en-GB"/>
        </w:rPr>
        <w:t xml:space="preserve"> that order of committal of employees in any event not competent in law as the defiance is conduct attributable to directors and not servants of company.</w:t>
      </w:r>
    </w:p>
    <w:p w14:paraId="4C18DD90" w14:textId="77777777" w:rsidR="00CF41DC" w:rsidRPr="004379AA" w:rsidRDefault="00CF41DC" w:rsidP="00D432D4">
      <w:pPr>
        <w:spacing w:line="360" w:lineRule="auto"/>
        <w:jc w:val="both"/>
        <w:rPr>
          <w:rFonts w:ascii="Arial" w:eastAsia="Times New Roman" w:hAnsi="Arial" w:cs="Arial"/>
          <w:lang w:eastAsia="en-GB"/>
        </w:rPr>
      </w:pPr>
    </w:p>
    <w:p w14:paraId="70F8B80C" w14:textId="384747B2" w:rsidR="00CF41DC" w:rsidRPr="004379AA" w:rsidRDefault="00CF41DC" w:rsidP="00D432D4">
      <w:pPr>
        <w:spacing w:line="360" w:lineRule="auto"/>
        <w:jc w:val="both"/>
        <w:rPr>
          <w:rFonts w:ascii="Arial" w:eastAsia="Times New Roman" w:hAnsi="Arial" w:cs="Arial"/>
          <w:lang w:eastAsia="en-GB"/>
        </w:rPr>
      </w:pPr>
      <w:r w:rsidRPr="004379AA">
        <w:rPr>
          <w:rFonts w:ascii="Arial" w:eastAsia="Times New Roman" w:hAnsi="Arial" w:cs="Arial"/>
          <w:lang w:eastAsia="en-GB"/>
        </w:rPr>
        <w:t>Accordingly, order of stay set aside but appeal dismissed, with costs.</w:t>
      </w:r>
    </w:p>
    <w:p w14:paraId="222DDEBE" w14:textId="77777777" w:rsidR="00AA0D19" w:rsidRPr="004379AA" w:rsidRDefault="00AA0D19" w:rsidP="00296895">
      <w:pPr>
        <w:jc w:val="both"/>
        <w:rPr>
          <w:rFonts w:ascii="Arial" w:hAnsi="Arial" w:cs="Arial"/>
          <w:lang w:val="en-US"/>
        </w:rPr>
      </w:pPr>
    </w:p>
    <w:p w14:paraId="54C6D6C5" w14:textId="6E86E170" w:rsidR="00AA0D19" w:rsidRPr="004379AA" w:rsidRDefault="00AA0D19" w:rsidP="00296895">
      <w:pPr>
        <w:spacing w:line="480" w:lineRule="auto"/>
        <w:jc w:val="both"/>
        <w:rPr>
          <w:rFonts w:ascii="Arial" w:hAnsi="Arial" w:cs="Arial"/>
          <w:b/>
          <w:lang w:val="en-US"/>
        </w:rPr>
      </w:pPr>
      <w:r w:rsidRPr="004379AA">
        <w:rPr>
          <w:rFonts w:ascii="Arial" w:hAnsi="Arial" w:cs="Arial"/>
          <w:b/>
          <w:lang w:val="en-US"/>
        </w:rPr>
        <w:t>___________________________________________________________________</w:t>
      </w:r>
      <w:r w:rsidR="00B17641">
        <w:rPr>
          <w:rFonts w:ascii="Arial" w:hAnsi="Arial" w:cs="Arial"/>
          <w:b/>
          <w:lang w:val="en-US"/>
        </w:rPr>
        <w:t>__</w:t>
      </w:r>
    </w:p>
    <w:p w14:paraId="6B2A2E4D" w14:textId="2E6E936E" w:rsidR="00AA0D19" w:rsidRPr="00E122C7" w:rsidRDefault="00AA0D19" w:rsidP="00296895">
      <w:pPr>
        <w:jc w:val="center"/>
        <w:rPr>
          <w:rFonts w:ascii="Arial" w:hAnsi="Arial" w:cs="Arial"/>
          <w:b/>
          <w:lang w:val="en-US"/>
        </w:rPr>
      </w:pPr>
      <w:r w:rsidRPr="004379AA">
        <w:rPr>
          <w:rFonts w:ascii="Arial" w:hAnsi="Arial" w:cs="Arial"/>
          <w:b/>
          <w:lang w:val="en-US"/>
        </w:rPr>
        <w:t>APPEAL JUDGMENT</w:t>
      </w:r>
      <w:r w:rsidR="00787085">
        <w:rPr>
          <w:rFonts w:ascii="Arial" w:hAnsi="Arial" w:cs="Arial"/>
          <w:b/>
          <w:lang w:val="en-US"/>
        </w:rPr>
        <w:t xml:space="preserve"> </w:t>
      </w:r>
    </w:p>
    <w:p w14:paraId="2720483F" w14:textId="1C8061A5" w:rsidR="00296895" w:rsidRPr="00296895" w:rsidRDefault="00296895" w:rsidP="00296895">
      <w:pPr>
        <w:spacing w:line="480" w:lineRule="auto"/>
        <w:jc w:val="center"/>
        <w:rPr>
          <w:rFonts w:ascii="Arial" w:hAnsi="Arial" w:cs="Arial"/>
          <w:b/>
          <w:lang w:val="en-US"/>
        </w:rPr>
      </w:pPr>
      <w:r w:rsidRPr="00296895">
        <w:rPr>
          <w:rFonts w:ascii="Arial" w:hAnsi="Arial" w:cs="Arial"/>
          <w:b/>
          <w:lang w:val="en-US"/>
        </w:rPr>
        <w:t>_____________________________________________________________________</w:t>
      </w:r>
    </w:p>
    <w:p w14:paraId="4C3F2354" w14:textId="77777777" w:rsidR="00AA0D19" w:rsidRPr="00E122C7" w:rsidRDefault="00AA0D19" w:rsidP="00AA0D19">
      <w:pPr>
        <w:jc w:val="both"/>
        <w:rPr>
          <w:rFonts w:ascii="Arial" w:hAnsi="Arial" w:cs="Arial"/>
          <w:sz w:val="16"/>
          <w:szCs w:val="16"/>
          <w:lang w:val="en-US"/>
        </w:rPr>
      </w:pPr>
    </w:p>
    <w:p w14:paraId="2D3B21F6" w14:textId="13190B78" w:rsidR="00AA0D19" w:rsidRDefault="004B59D6" w:rsidP="00AA0D19">
      <w:pPr>
        <w:spacing w:line="480" w:lineRule="auto"/>
        <w:jc w:val="both"/>
        <w:rPr>
          <w:rFonts w:ascii="Arial" w:hAnsi="Arial" w:cs="Arial"/>
          <w:lang w:val="en-US"/>
        </w:rPr>
      </w:pPr>
      <w:r w:rsidRPr="004379AA">
        <w:rPr>
          <w:rFonts w:ascii="Arial" w:hAnsi="Arial" w:cs="Arial"/>
          <w:lang w:val="en-US"/>
        </w:rPr>
        <w:t>DAMASEB DCJ</w:t>
      </w:r>
      <w:r w:rsidR="00316501">
        <w:rPr>
          <w:rFonts w:ascii="Arial" w:hAnsi="Arial" w:cs="Arial"/>
          <w:lang w:val="en-US"/>
        </w:rPr>
        <w:t xml:space="preserve"> (HOFF JA and MOKGORO</w:t>
      </w:r>
      <w:r w:rsidR="00AE0554">
        <w:rPr>
          <w:rFonts w:ascii="Arial" w:hAnsi="Arial" w:cs="Arial"/>
          <w:lang w:val="en-US"/>
        </w:rPr>
        <w:t xml:space="preserve"> AJA</w:t>
      </w:r>
      <w:r w:rsidR="00316501">
        <w:rPr>
          <w:rFonts w:ascii="Arial" w:hAnsi="Arial" w:cs="Arial"/>
          <w:lang w:val="en-US"/>
        </w:rPr>
        <w:t xml:space="preserve"> concurring): </w:t>
      </w:r>
    </w:p>
    <w:p w14:paraId="483CD940" w14:textId="77777777" w:rsidR="00E122C7" w:rsidRPr="004379AA" w:rsidRDefault="00E122C7" w:rsidP="00E122C7">
      <w:pPr>
        <w:jc w:val="both"/>
        <w:rPr>
          <w:rFonts w:ascii="Arial" w:hAnsi="Arial" w:cs="Arial"/>
          <w:lang w:val="en-US"/>
        </w:rPr>
      </w:pPr>
    </w:p>
    <w:p w14:paraId="11887B5D" w14:textId="41CBE861" w:rsidR="00AA0D19" w:rsidRPr="004379AA" w:rsidRDefault="00477CE9" w:rsidP="00E122C7">
      <w:pPr>
        <w:tabs>
          <w:tab w:val="left" w:pos="851"/>
        </w:tabs>
        <w:spacing w:line="480" w:lineRule="auto"/>
        <w:jc w:val="both"/>
        <w:outlineLvl w:val="0"/>
        <w:rPr>
          <w:rFonts w:ascii="Arial" w:eastAsia="Times New Roman" w:hAnsi="Arial" w:cs="Arial"/>
          <w:bCs/>
          <w:kern w:val="36"/>
          <w:u w:val="single"/>
          <w:lang w:eastAsia="en-GB"/>
        </w:rPr>
      </w:pPr>
      <w:r w:rsidRPr="004379AA">
        <w:rPr>
          <w:rFonts w:ascii="Arial" w:eastAsia="Times New Roman" w:hAnsi="Arial" w:cs="Arial"/>
          <w:bCs/>
          <w:kern w:val="36"/>
          <w:u w:val="single"/>
          <w:lang w:eastAsia="en-GB"/>
        </w:rPr>
        <w:t>Introduction</w:t>
      </w:r>
    </w:p>
    <w:p w14:paraId="5D10D979" w14:textId="77777777" w:rsidR="00407F8E" w:rsidRPr="006B5E4A" w:rsidRDefault="006E6D43" w:rsidP="00ED63AC">
      <w:pPr>
        <w:numPr>
          <w:ilvl w:val="0"/>
          <w:numId w:val="7"/>
        </w:numPr>
        <w:tabs>
          <w:tab w:val="left" w:pos="851"/>
        </w:tabs>
        <w:spacing w:after="160"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This is an appeal, with leave of this court, against </w:t>
      </w:r>
      <w:r w:rsidR="00B57472" w:rsidRPr="004379AA">
        <w:rPr>
          <w:rFonts w:ascii="Arial" w:eastAsia="Times New Roman" w:hAnsi="Arial" w:cs="Arial"/>
          <w:bCs/>
          <w:kern w:val="36"/>
          <w:lang w:eastAsia="en-GB"/>
        </w:rPr>
        <w:t>a</w:t>
      </w:r>
      <w:r w:rsidRPr="004379AA">
        <w:rPr>
          <w:rFonts w:ascii="Arial" w:eastAsia="Times New Roman" w:hAnsi="Arial" w:cs="Arial"/>
          <w:bCs/>
          <w:kern w:val="36"/>
          <w:lang w:eastAsia="en-GB"/>
        </w:rPr>
        <w:t xml:space="preserve"> judgment and order of the High Court in which that court made an order in relation to an urgent application by the appellants, in the following terms:</w:t>
      </w:r>
    </w:p>
    <w:p w14:paraId="4524CB33" w14:textId="2D61A170" w:rsidR="00407F8E" w:rsidRDefault="00407F8E" w:rsidP="00AF5746">
      <w:pPr>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lastRenderedPageBreak/>
        <w:t>‘1.</w:t>
      </w:r>
      <w:r w:rsidRPr="004379AA">
        <w:rPr>
          <w:rFonts w:ascii="Arial" w:eastAsia="Times New Roman" w:hAnsi="Arial" w:cs="Arial"/>
          <w:bCs/>
          <w:kern w:val="36"/>
          <w:sz w:val="22"/>
          <w:szCs w:val="22"/>
          <w:lang w:eastAsia="en-GB"/>
        </w:rPr>
        <w:tab/>
        <w:t>The application and implementation of the impugned provisions of the Namibia National Reinsurance Act No. 22 of 1989 (the ‘Act’) and Government Notices 333,334,335,336,337 and 338, promulgated on 29 December 2017 in terms of the Act…published in Government Gazette No. 6496 be and are hereby stayed, pending the determination of the following cases presently pending before [the High Court], namely, HC-MD-ACT-CIV-OTH-2017/04493 and HC-MD-CIV-MOT-REV-2018/00127.</w:t>
      </w:r>
    </w:p>
    <w:p w14:paraId="2D86AB06" w14:textId="77777777" w:rsidR="00BA3477" w:rsidRPr="004379AA" w:rsidRDefault="00BA3477" w:rsidP="00AE0554">
      <w:pPr>
        <w:spacing w:line="360" w:lineRule="auto"/>
        <w:ind w:left="1418" w:hanging="567"/>
        <w:jc w:val="both"/>
        <w:outlineLvl w:val="0"/>
        <w:rPr>
          <w:rFonts w:ascii="Arial" w:eastAsia="Times New Roman" w:hAnsi="Arial" w:cs="Arial"/>
          <w:bCs/>
          <w:kern w:val="36"/>
          <w:sz w:val="22"/>
          <w:szCs w:val="22"/>
          <w:lang w:eastAsia="en-GB"/>
        </w:rPr>
      </w:pPr>
    </w:p>
    <w:p w14:paraId="2F943700" w14:textId="77777777" w:rsidR="00407F8E" w:rsidRDefault="00407F8E" w:rsidP="00AE0554">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w:t>
      </w:r>
      <w:r w:rsidRPr="004379AA">
        <w:rPr>
          <w:rFonts w:ascii="Arial" w:eastAsia="Times New Roman" w:hAnsi="Arial" w:cs="Arial"/>
          <w:bCs/>
          <w:kern w:val="36"/>
          <w:sz w:val="22"/>
          <w:szCs w:val="22"/>
          <w:lang w:eastAsia="en-GB"/>
        </w:rPr>
        <w:tab/>
        <w:t>The Applicants are ordered to pay the costs of the application consequent upon the employment of one instructing and two instructed counsel’.</w:t>
      </w:r>
    </w:p>
    <w:p w14:paraId="0D655CD5" w14:textId="77777777" w:rsidR="00D11562" w:rsidRDefault="00D11562" w:rsidP="00AE0554">
      <w:pPr>
        <w:spacing w:line="480" w:lineRule="auto"/>
        <w:ind w:left="1418" w:hanging="567"/>
        <w:jc w:val="both"/>
        <w:outlineLvl w:val="0"/>
        <w:rPr>
          <w:rFonts w:ascii="Arial" w:eastAsia="Times New Roman" w:hAnsi="Arial" w:cs="Arial"/>
          <w:bCs/>
          <w:kern w:val="36"/>
          <w:sz w:val="22"/>
          <w:szCs w:val="22"/>
          <w:lang w:eastAsia="en-GB"/>
        </w:rPr>
      </w:pPr>
    </w:p>
    <w:p w14:paraId="239C65B4" w14:textId="2383E7F9" w:rsidR="00407F8E" w:rsidRPr="004379AA" w:rsidRDefault="006E6D43"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w:t>
      </w:r>
      <w:r w:rsidR="00477CE9" w:rsidRPr="004379AA">
        <w:rPr>
          <w:rFonts w:ascii="Arial" w:eastAsia="Times New Roman" w:hAnsi="Arial" w:cs="Arial"/>
          <w:bCs/>
          <w:kern w:val="36"/>
          <w:lang w:eastAsia="en-GB"/>
        </w:rPr>
        <w:t xml:space="preserve"> </w:t>
      </w:r>
      <w:r w:rsidR="0036415B" w:rsidRPr="004379AA">
        <w:rPr>
          <w:rFonts w:ascii="Arial" w:eastAsia="Times New Roman" w:hAnsi="Arial" w:cs="Arial"/>
          <w:bCs/>
          <w:kern w:val="36"/>
          <w:lang w:eastAsia="en-GB"/>
        </w:rPr>
        <w:t xml:space="preserve">case that served before the High Court and is now on </w:t>
      </w:r>
      <w:r w:rsidR="00477CE9" w:rsidRPr="004379AA">
        <w:rPr>
          <w:rFonts w:ascii="Arial" w:eastAsia="Times New Roman" w:hAnsi="Arial" w:cs="Arial"/>
          <w:bCs/>
          <w:kern w:val="36"/>
          <w:lang w:eastAsia="en-GB"/>
        </w:rPr>
        <w:t xml:space="preserve">appeal is concerned with the enforcement of </w:t>
      </w:r>
      <w:r w:rsidR="007F327C" w:rsidRPr="004379AA">
        <w:rPr>
          <w:rFonts w:ascii="Arial" w:eastAsia="Times New Roman" w:hAnsi="Arial" w:cs="Arial"/>
          <w:bCs/>
          <w:kern w:val="36"/>
          <w:lang w:eastAsia="en-GB"/>
        </w:rPr>
        <w:t>Part V</w:t>
      </w:r>
      <w:r w:rsidR="00453738" w:rsidRPr="004379AA">
        <w:rPr>
          <w:rStyle w:val="FootnoteReference"/>
          <w:rFonts w:ascii="Arial" w:eastAsia="Times New Roman" w:hAnsi="Arial" w:cs="Arial"/>
          <w:bCs/>
          <w:kern w:val="36"/>
          <w:lang w:eastAsia="en-GB"/>
        </w:rPr>
        <w:footnoteReference w:id="1"/>
      </w:r>
      <w:r w:rsidR="007F327C" w:rsidRPr="004379AA">
        <w:rPr>
          <w:rFonts w:ascii="Arial" w:eastAsia="Times New Roman" w:hAnsi="Arial" w:cs="Arial"/>
          <w:bCs/>
          <w:kern w:val="36"/>
          <w:lang w:eastAsia="en-GB"/>
        </w:rPr>
        <w:t xml:space="preserve"> of the </w:t>
      </w:r>
      <w:r w:rsidR="00477CE9" w:rsidRPr="004379AA">
        <w:rPr>
          <w:rFonts w:ascii="Arial" w:eastAsia="Times New Roman" w:hAnsi="Arial" w:cs="Arial"/>
          <w:bCs/>
          <w:kern w:val="36"/>
          <w:lang w:eastAsia="en-GB"/>
        </w:rPr>
        <w:t xml:space="preserve">Namibia National Reinsurance Corporation Act </w:t>
      </w:r>
      <w:r w:rsidR="007F327C" w:rsidRPr="004379AA">
        <w:rPr>
          <w:rFonts w:ascii="Arial" w:eastAsia="Times New Roman" w:hAnsi="Arial" w:cs="Arial"/>
          <w:bCs/>
          <w:kern w:val="36"/>
          <w:lang w:eastAsia="en-GB"/>
        </w:rPr>
        <w:t xml:space="preserve">22 of </w:t>
      </w:r>
      <w:r w:rsidR="00477CE9" w:rsidRPr="004379AA">
        <w:rPr>
          <w:rFonts w:ascii="Arial" w:eastAsia="Times New Roman" w:hAnsi="Arial" w:cs="Arial"/>
          <w:bCs/>
          <w:kern w:val="36"/>
          <w:lang w:eastAsia="en-GB"/>
        </w:rPr>
        <w:t>1998</w:t>
      </w:r>
      <w:r w:rsidR="007F327C" w:rsidRPr="004379AA">
        <w:rPr>
          <w:rFonts w:ascii="Arial" w:eastAsia="Times New Roman" w:hAnsi="Arial" w:cs="Arial"/>
          <w:bCs/>
          <w:kern w:val="36"/>
          <w:lang w:eastAsia="en-GB"/>
        </w:rPr>
        <w:t xml:space="preserve"> (</w:t>
      </w:r>
      <w:r w:rsidR="00056721" w:rsidRPr="004379AA">
        <w:rPr>
          <w:rFonts w:ascii="Arial" w:eastAsia="Times New Roman" w:hAnsi="Arial" w:cs="Arial"/>
          <w:bCs/>
          <w:kern w:val="36"/>
          <w:lang w:eastAsia="en-GB"/>
        </w:rPr>
        <w:t>NNRCA</w:t>
      </w:r>
      <w:r w:rsidR="007F327C" w:rsidRPr="004379AA">
        <w:rPr>
          <w:rFonts w:ascii="Arial" w:eastAsia="Times New Roman" w:hAnsi="Arial" w:cs="Arial"/>
          <w:bCs/>
          <w:kern w:val="36"/>
          <w:lang w:eastAsia="en-GB"/>
        </w:rPr>
        <w:t xml:space="preserve">). An important purpose of the </w:t>
      </w:r>
      <w:r w:rsidR="00FA2EE1" w:rsidRPr="004379AA">
        <w:rPr>
          <w:rFonts w:ascii="Arial" w:eastAsia="Times New Roman" w:hAnsi="Arial" w:cs="Arial"/>
          <w:bCs/>
          <w:kern w:val="36"/>
          <w:lang w:eastAsia="en-GB"/>
        </w:rPr>
        <w:t>NNRCA</w:t>
      </w:r>
      <w:r w:rsidR="007F327C" w:rsidRPr="004379AA">
        <w:rPr>
          <w:rFonts w:ascii="Arial" w:eastAsia="Times New Roman" w:hAnsi="Arial" w:cs="Arial"/>
          <w:bCs/>
          <w:kern w:val="36"/>
          <w:lang w:eastAsia="en-GB"/>
        </w:rPr>
        <w:t xml:space="preserve"> as stated in </w:t>
      </w:r>
      <w:r w:rsidR="00FA2EE1" w:rsidRPr="004379AA">
        <w:rPr>
          <w:rFonts w:ascii="Arial" w:eastAsia="Times New Roman" w:hAnsi="Arial" w:cs="Arial"/>
          <w:bCs/>
          <w:kern w:val="36"/>
          <w:lang w:eastAsia="en-GB"/>
        </w:rPr>
        <w:t>its</w:t>
      </w:r>
      <w:r w:rsidR="007F327C" w:rsidRPr="004379AA">
        <w:rPr>
          <w:rFonts w:ascii="Arial" w:eastAsia="Times New Roman" w:hAnsi="Arial" w:cs="Arial"/>
          <w:bCs/>
          <w:kern w:val="36"/>
          <w:lang w:eastAsia="en-GB"/>
        </w:rPr>
        <w:t xml:space="preserve"> preamble, </w:t>
      </w:r>
      <w:r w:rsidR="00FA2EE1" w:rsidRPr="004379AA">
        <w:rPr>
          <w:rFonts w:ascii="Arial" w:eastAsia="Times New Roman" w:hAnsi="Arial" w:cs="Arial"/>
          <w:bCs/>
          <w:kern w:val="36"/>
          <w:lang w:eastAsia="en-GB"/>
        </w:rPr>
        <w:t xml:space="preserve">is </w:t>
      </w:r>
      <w:r w:rsidR="007F327C" w:rsidRPr="004379AA">
        <w:rPr>
          <w:rFonts w:ascii="Arial" w:eastAsia="Times New Roman" w:hAnsi="Arial" w:cs="Arial"/>
          <w:bCs/>
          <w:kern w:val="36"/>
          <w:lang w:eastAsia="en-GB"/>
        </w:rPr>
        <w:t>‘to provide for a legal cession of policies and reinsurance contracts issued by registered insurers and registered reinsurers’</w:t>
      </w:r>
      <w:r w:rsidR="00B57472" w:rsidRPr="004379AA">
        <w:rPr>
          <w:rFonts w:ascii="Arial" w:eastAsia="Times New Roman" w:hAnsi="Arial" w:cs="Arial"/>
          <w:bCs/>
          <w:kern w:val="36"/>
          <w:lang w:eastAsia="en-GB"/>
        </w:rPr>
        <w:t>, to the second appellant (NamibRe</w:t>
      </w:r>
      <w:r w:rsidR="00B57472" w:rsidRPr="004379AA">
        <w:rPr>
          <w:rStyle w:val="FootnoteReference"/>
          <w:rFonts w:ascii="Arial" w:eastAsia="Times New Roman" w:hAnsi="Arial" w:cs="Arial"/>
          <w:bCs/>
          <w:kern w:val="36"/>
          <w:lang w:eastAsia="en-GB"/>
        </w:rPr>
        <w:footnoteReference w:id="2"/>
      </w:r>
      <w:r w:rsidR="00B57472" w:rsidRPr="004379AA">
        <w:rPr>
          <w:rFonts w:ascii="Arial" w:eastAsia="Times New Roman" w:hAnsi="Arial" w:cs="Arial"/>
          <w:bCs/>
          <w:kern w:val="36"/>
          <w:lang w:eastAsia="en-GB"/>
        </w:rPr>
        <w:t>)</w:t>
      </w:r>
      <w:r w:rsidR="007F327C" w:rsidRPr="004379AA">
        <w:rPr>
          <w:rFonts w:ascii="Arial" w:eastAsia="Times New Roman" w:hAnsi="Arial" w:cs="Arial"/>
          <w:bCs/>
          <w:kern w:val="36"/>
          <w:lang w:eastAsia="en-GB"/>
        </w:rPr>
        <w:t>. That objective is achi</w:t>
      </w:r>
      <w:r w:rsidR="007C365D" w:rsidRPr="004379AA">
        <w:rPr>
          <w:rFonts w:ascii="Arial" w:eastAsia="Times New Roman" w:hAnsi="Arial" w:cs="Arial"/>
          <w:bCs/>
          <w:kern w:val="36"/>
          <w:lang w:eastAsia="en-GB"/>
        </w:rPr>
        <w:t>eved through P</w:t>
      </w:r>
      <w:r w:rsidR="006C75D6" w:rsidRPr="004379AA">
        <w:rPr>
          <w:rFonts w:ascii="Arial" w:eastAsia="Times New Roman" w:hAnsi="Arial" w:cs="Arial"/>
          <w:bCs/>
          <w:kern w:val="36"/>
          <w:lang w:eastAsia="en-GB"/>
        </w:rPr>
        <w:t>art V of the</w:t>
      </w:r>
      <w:r w:rsidR="007F327C" w:rsidRPr="004379AA">
        <w:rPr>
          <w:rFonts w:ascii="Arial" w:eastAsia="Times New Roman" w:hAnsi="Arial" w:cs="Arial"/>
          <w:bCs/>
          <w:kern w:val="36"/>
          <w:lang w:eastAsia="en-GB"/>
        </w:rPr>
        <w:t xml:space="preserve"> </w:t>
      </w:r>
      <w:r w:rsidR="004B59D6" w:rsidRPr="004379AA">
        <w:rPr>
          <w:rFonts w:ascii="Arial" w:eastAsia="Times New Roman" w:hAnsi="Arial" w:cs="Arial"/>
          <w:bCs/>
          <w:kern w:val="36"/>
          <w:lang w:eastAsia="en-GB"/>
        </w:rPr>
        <w:t>NNRCA</w:t>
      </w:r>
      <w:r w:rsidR="007F327C" w:rsidRPr="004379AA">
        <w:rPr>
          <w:rFonts w:ascii="Arial" w:eastAsia="Times New Roman" w:hAnsi="Arial" w:cs="Arial"/>
          <w:bCs/>
          <w:kern w:val="36"/>
          <w:lang w:eastAsia="en-GB"/>
        </w:rPr>
        <w:t xml:space="preserve">. </w:t>
      </w:r>
    </w:p>
    <w:p w14:paraId="326E16E2" w14:textId="77777777" w:rsidR="00407F8E" w:rsidRPr="004379AA" w:rsidRDefault="00407F8E" w:rsidP="00BA3477">
      <w:pPr>
        <w:tabs>
          <w:tab w:val="left" w:pos="851"/>
        </w:tabs>
        <w:spacing w:line="480" w:lineRule="auto"/>
        <w:contextualSpacing/>
        <w:jc w:val="both"/>
        <w:rPr>
          <w:rFonts w:ascii="Arial" w:hAnsi="Arial" w:cs="Arial"/>
        </w:rPr>
      </w:pPr>
    </w:p>
    <w:p w14:paraId="4F70708D" w14:textId="77E9ECE9" w:rsidR="00407F8E" w:rsidRPr="004379AA" w:rsidRDefault="0092406B"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heartbeat of Part V are the provisions contained in ss 39, 40</w:t>
      </w:r>
      <w:r w:rsidR="0036415B"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41</w:t>
      </w:r>
      <w:r w:rsidR="0036415B" w:rsidRPr="004379AA">
        <w:rPr>
          <w:rFonts w:ascii="Arial" w:eastAsia="Times New Roman" w:hAnsi="Arial" w:cs="Arial"/>
          <w:bCs/>
          <w:kern w:val="36"/>
          <w:lang w:eastAsia="en-GB"/>
        </w:rPr>
        <w:t xml:space="preserve"> and 43</w:t>
      </w:r>
      <w:r w:rsidRPr="004379AA">
        <w:rPr>
          <w:rFonts w:ascii="Arial" w:eastAsia="Times New Roman" w:hAnsi="Arial" w:cs="Arial"/>
          <w:bCs/>
          <w:kern w:val="36"/>
          <w:lang w:eastAsia="en-GB"/>
        </w:rPr>
        <w:t xml:space="preserve"> of the NNRCA. Section 39 (1) empowers the </w:t>
      </w:r>
      <w:r w:rsidR="0036415B" w:rsidRPr="004379AA">
        <w:rPr>
          <w:rFonts w:ascii="Arial" w:eastAsia="Times New Roman" w:hAnsi="Arial" w:cs="Arial"/>
          <w:bCs/>
          <w:kern w:val="36"/>
          <w:lang w:eastAsia="en-GB"/>
        </w:rPr>
        <w:t xml:space="preserve">first appellant (the </w:t>
      </w:r>
      <w:r w:rsidRPr="004379AA">
        <w:rPr>
          <w:rFonts w:ascii="Arial" w:eastAsia="Times New Roman" w:hAnsi="Arial" w:cs="Arial"/>
          <w:bCs/>
          <w:kern w:val="36"/>
          <w:lang w:eastAsia="en-GB"/>
        </w:rPr>
        <w:t>Minister</w:t>
      </w:r>
      <w:r w:rsidR="0036415B"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to issue a notice requiring every registered insurer and reinsurer to cede ‘in reinsurance to [NamibRe] a percentage of the value of each policy issued or renewed in Namibia </w:t>
      </w:r>
      <w:r w:rsidR="004379AA">
        <w:rPr>
          <w:rFonts w:ascii="Arial" w:eastAsia="Times New Roman" w:hAnsi="Arial" w:cs="Arial"/>
          <w:bCs/>
          <w:kern w:val="36"/>
          <w:lang w:eastAsia="en-GB"/>
        </w:rPr>
        <w:t xml:space="preserve">. . . </w:t>
      </w:r>
      <w:r w:rsidRPr="004379AA">
        <w:rPr>
          <w:rFonts w:ascii="Arial" w:eastAsia="Times New Roman" w:hAnsi="Arial" w:cs="Arial"/>
          <w:bCs/>
          <w:kern w:val="36"/>
          <w:lang w:eastAsia="en-GB"/>
        </w:rPr>
        <w:t>’</w:t>
      </w:r>
      <w:r w:rsidR="0073769C" w:rsidRPr="004379AA">
        <w:rPr>
          <w:rFonts w:ascii="Arial" w:eastAsia="Times New Roman" w:hAnsi="Arial" w:cs="Arial"/>
          <w:bCs/>
          <w:kern w:val="36"/>
          <w:lang w:eastAsia="en-GB"/>
        </w:rPr>
        <w:t xml:space="preserve"> by such insurer or reinsurer.</w:t>
      </w:r>
      <w:r w:rsidRPr="004379AA">
        <w:rPr>
          <w:rFonts w:ascii="Arial" w:eastAsia="Times New Roman" w:hAnsi="Arial" w:cs="Arial"/>
          <w:bCs/>
          <w:kern w:val="36"/>
          <w:lang w:eastAsia="en-GB"/>
        </w:rPr>
        <w:t xml:space="preserve"> Subsec (2) </w:t>
      </w:r>
      <w:r w:rsidR="004B59D6" w:rsidRPr="004379AA">
        <w:rPr>
          <w:rFonts w:ascii="Arial" w:eastAsia="Times New Roman" w:hAnsi="Arial" w:cs="Arial"/>
          <w:bCs/>
          <w:kern w:val="36"/>
          <w:lang w:eastAsia="en-GB"/>
        </w:rPr>
        <w:t xml:space="preserve">thereof </w:t>
      </w:r>
      <w:r w:rsidR="004E0B90" w:rsidRPr="004379AA">
        <w:rPr>
          <w:rFonts w:ascii="Arial" w:eastAsia="Times New Roman" w:hAnsi="Arial" w:cs="Arial"/>
          <w:bCs/>
          <w:kern w:val="36"/>
          <w:lang w:eastAsia="en-GB"/>
        </w:rPr>
        <w:t>authorises the Minister to ‘specify the class or classes of insurance business and the percentage of the value of each policy in respect of each class of insurance business to be ceded</w:t>
      </w:r>
      <w:r w:rsidR="004379AA">
        <w:rPr>
          <w:rFonts w:ascii="Arial" w:eastAsia="Times New Roman" w:hAnsi="Arial" w:cs="Arial"/>
          <w:bCs/>
          <w:kern w:val="36"/>
          <w:lang w:eastAsia="en-GB"/>
        </w:rPr>
        <w:t xml:space="preserve">. . . </w:t>
      </w:r>
      <w:r w:rsidR="004E0B90" w:rsidRPr="004379AA">
        <w:rPr>
          <w:rFonts w:ascii="Arial" w:eastAsia="Times New Roman" w:hAnsi="Arial" w:cs="Arial"/>
          <w:bCs/>
          <w:kern w:val="36"/>
          <w:lang w:eastAsia="en-GB"/>
        </w:rPr>
        <w:t>and shall specify the date on which the requirements of that noti</w:t>
      </w:r>
      <w:r w:rsidR="0073769C" w:rsidRPr="004379AA">
        <w:rPr>
          <w:rFonts w:ascii="Arial" w:eastAsia="Times New Roman" w:hAnsi="Arial" w:cs="Arial"/>
          <w:bCs/>
          <w:kern w:val="36"/>
          <w:lang w:eastAsia="en-GB"/>
        </w:rPr>
        <w:t>ce shall take effect.’ Under sub</w:t>
      </w:r>
      <w:r w:rsidR="004E0B90" w:rsidRPr="004379AA">
        <w:rPr>
          <w:rFonts w:ascii="Arial" w:eastAsia="Times New Roman" w:hAnsi="Arial" w:cs="Arial"/>
          <w:bCs/>
          <w:kern w:val="36"/>
          <w:lang w:eastAsia="en-GB"/>
        </w:rPr>
        <w:t xml:space="preserve">sec (3), ‘every registered insurer </w:t>
      </w:r>
      <w:r w:rsidR="004E0B90" w:rsidRPr="004379AA">
        <w:rPr>
          <w:rFonts w:ascii="Arial" w:eastAsia="Times New Roman" w:hAnsi="Arial" w:cs="Arial"/>
          <w:bCs/>
          <w:kern w:val="36"/>
          <w:lang w:eastAsia="en-GB"/>
        </w:rPr>
        <w:lastRenderedPageBreak/>
        <w:t>and registered reinsurer shall in prescribed manner pay to [NamibRe] an equal percentage of the p</w:t>
      </w:r>
      <w:r w:rsidR="004379AA">
        <w:rPr>
          <w:rFonts w:ascii="Arial" w:eastAsia="Times New Roman" w:hAnsi="Arial" w:cs="Arial"/>
          <w:bCs/>
          <w:kern w:val="36"/>
          <w:lang w:eastAsia="en-GB"/>
        </w:rPr>
        <w:t xml:space="preserve">remium due on each policy ceded. . . </w:t>
      </w:r>
      <w:r w:rsidR="004E0B90" w:rsidRPr="004379AA">
        <w:rPr>
          <w:rFonts w:ascii="Arial" w:eastAsia="Times New Roman" w:hAnsi="Arial" w:cs="Arial"/>
          <w:bCs/>
          <w:kern w:val="36"/>
          <w:lang w:eastAsia="en-GB"/>
        </w:rPr>
        <w:t>to NamibRe</w:t>
      </w:r>
      <w:r w:rsidR="004379AA">
        <w:rPr>
          <w:rFonts w:ascii="Arial" w:eastAsia="Times New Roman" w:hAnsi="Arial" w:cs="Arial"/>
          <w:bCs/>
          <w:kern w:val="36"/>
          <w:lang w:eastAsia="en-GB"/>
        </w:rPr>
        <w:t xml:space="preserve">. . . </w:t>
      </w:r>
      <w:r w:rsidR="004E0B90" w:rsidRPr="004379AA">
        <w:rPr>
          <w:rFonts w:ascii="Arial" w:eastAsia="Times New Roman" w:hAnsi="Arial" w:cs="Arial"/>
          <w:bCs/>
          <w:kern w:val="36"/>
          <w:lang w:eastAsia="en-GB"/>
        </w:rPr>
        <w:t xml:space="preserve">’ </w:t>
      </w:r>
    </w:p>
    <w:p w14:paraId="724E25BE" w14:textId="77777777" w:rsidR="00407F8E" w:rsidRPr="004379AA" w:rsidRDefault="00407F8E" w:rsidP="00BA3477">
      <w:pPr>
        <w:pStyle w:val="ListParagraph"/>
        <w:spacing w:line="480" w:lineRule="auto"/>
        <w:rPr>
          <w:rFonts w:ascii="Arial" w:eastAsia="Times New Roman" w:hAnsi="Arial" w:cs="Arial"/>
          <w:bCs/>
          <w:kern w:val="36"/>
          <w:lang w:eastAsia="en-GB"/>
        </w:rPr>
      </w:pPr>
    </w:p>
    <w:p w14:paraId="056317A9" w14:textId="77777777" w:rsidR="00407F8E" w:rsidRPr="004379AA" w:rsidRDefault="004E0B90"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In terms of subsec (4)</w:t>
      </w:r>
      <w:r w:rsidR="0006548B"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the Minister is empowered to issue a notice requiring every registered insurer and reinsurer to ‘cede in reinsurance to [NamibRe] a percentage of the value of each reinsurance contract placed by </w:t>
      </w:r>
      <w:r w:rsidR="0073769C" w:rsidRPr="004379AA">
        <w:rPr>
          <w:rFonts w:ascii="Arial" w:eastAsia="Times New Roman" w:hAnsi="Arial" w:cs="Arial"/>
          <w:bCs/>
          <w:kern w:val="36"/>
          <w:lang w:eastAsia="en-GB"/>
        </w:rPr>
        <w:t xml:space="preserve">a </w:t>
      </w:r>
      <w:r w:rsidRPr="004379AA">
        <w:rPr>
          <w:rFonts w:ascii="Arial" w:eastAsia="Times New Roman" w:hAnsi="Arial" w:cs="Arial"/>
          <w:bCs/>
          <w:kern w:val="36"/>
          <w:lang w:eastAsia="en-GB"/>
        </w:rPr>
        <w:t>registered insurer or registered reinsurer with any other insurer or reinsurer, whether within Namibia or outside Namibia…’</w:t>
      </w:r>
      <w:r w:rsidR="0073769C" w:rsidRPr="004379AA">
        <w:rPr>
          <w:rFonts w:ascii="Arial" w:eastAsia="Times New Roman" w:hAnsi="Arial" w:cs="Arial"/>
          <w:bCs/>
          <w:kern w:val="36"/>
          <w:lang w:eastAsia="en-GB"/>
        </w:rPr>
        <w:t>; and</w:t>
      </w:r>
      <w:r w:rsidRPr="004379AA">
        <w:rPr>
          <w:rFonts w:ascii="Arial" w:eastAsia="Times New Roman" w:hAnsi="Arial" w:cs="Arial"/>
          <w:bCs/>
          <w:kern w:val="36"/>
          <w:lang w:eastAsia="en-GB"/>
        </w:rPr>
        <w:t xml:space="preserve"> subsec</w:t>
      </w:r>
      <w:r w:rsidR="00B90681" w:rsidRPr="004379AA">
        <w:rPr>
          <w:rFonts w:ascii="Arial" w:eastAsia="Times New Roman" w:hAnsi="Arial" w:cs="Arial"/>
          <w:bCs/>
          <w:kern w:val="36"/>
          <w:lang w:eastAsia="en-GB"/>
        </w:rPr>
        <w:t>s</w:t>
      </w:r>
      <w:r w:rsidRPr="004379AA">
        <w:rPr>
          <w:rFonts w:ascii="Arial" w:eastAsia="Times New Roman" w:hAnsi="Arial" w:cs="Arial"/>
          <w:bCs/>
          <w:kern w:val="36"/>
          <w:lang w:eastAsia="en-GB"/>
        </w:rPr>
        <w:t xml:space="preserve"> (5) </w:t>
      </w:r>
      <w:r w:rsidR="00B90681" w:rsidRPr="004379AA">
        <w:rPr>
          <w:rFonts w:ascii="Arial" w:eastAsia="Times New Roman" w:hAnsi="Arial" w:cs="Arial"/>
          <w:bCs/>
          <w:kern w:val="36"/>
          <w:lang w:eastAsia="en-GB"/>
        </w:rPr>
        <w:t xml:space="preserve">and (6) may </w:t>
      </w:r>
      <w:r w:rsidR="0073769C" w:rsidRPr="004379AA">
        <w:rPr>
          <w:rFonts w:ascii="Arial" w:eastAsia="Times New Roman" w:hAnsi="Arial" w:cs="Arial"/>
          <w:bCs/>
          <w:kern w:val="36"/>
          <w:lang w:eastAsia="en-GB"/>
        </w:rPr>
        <w:t>be used by the Minister</w:t>
      </w:r>
      <w:r w:rsidR="00B90681" w:rsidRPr="004379AA">
        <w:rPr>
          <w:rFonts w:ascii="Arial" w:eastAsia="Times New Roman" w:hAnsi="Arial" w:cs="Arial"/>
          <w:bCs/>
          <w:kern w:val="36"/>
          <w:lang w:eastAsia="en-GB"/>
        </w:rPr>
        <w:t xml:space="preserve">, respectively, to determine </w:t>
      </w:r>
      <w:r w:rsidR="0073769C" w:rsidRPr="004379AA">
        <w:rPr>
          <w:rFonts w:ascii="Arial" w:eastAsia="Times New Roman" w:hAnsi="Arial" w:cs="Arial"/>
          <w:bCs/>
          <w:kern w:val="36"/>
          <w:lang w:eastAsia="en-GB"/>
        </w:rPr>
        <w:t>and</w:t>
      </w:r>
      <w:r w:rsidR="00B90681" w:rsidRPr="004379AA">
        <w:rPr>
          <w:rFonts w:ascii="Arial" w:eastAsia="Times New Roman" w:hAnsi="Arial" w:cs="Arial"/>
          <w:bCs/>
          <w:kern w:val="36"/>
          <w:lang w:eastAsia="en-GB"/>
        </w:rPr>
        <w:t xml:space="preserve"> specify the</w:t>
      </w:r>
      <w:r w:rsidRPr="004379AA">
        <w:rPr>
          <w:rFonts w:ascii="Arial" w:eastAsia="Times New Roman" w:hAnsi="Arial" w:cs="Arial"/>
          <w:bCs/>
          <w:kern w:val="36"/>
          <w:lang w:eastAsia="en-GB"/>
        </w:rPr>
        <w:t xml:space="preserve"> </w:t>
      </w:r>
      <w:r w:rsidR="00B90681" w:rsidRPr="004379AA">
        <w:rPr>
          <w:rFonts w:ascii="Arial" w:eastAsia="Times New Roman" w:hAnsi="Arial" w:cs="Arial"/>
          <w:bCs/>
          <w:kern w:val="36"/>
          <w:lang w:eastAsia="en-GB"/>
        </w:rPr>
        <w:t xml:space="preserve">percentage value </w:t>
      </w:r>
      <w:r w:rsidR="0073769C" w:rsidRPr="004379AA">
        <w:rPr>
          <w:rFonts w:ascii="Arial" w:eastAsia="Times New Roman" w:hAnsi="Arial" w:cs="Arial"/>
          <w:bCs/>
          <w:kern w:val="36"/>
          <w:lang w:eastAsia="en-GB"/>
        </w:rPr>
        <w:t xml:space="preserve">of </w:t>
      </w:r>
      <w:r w:rsidR="00B90681" w:rsidRPr="004379AA">
        <w:rPr>
          <w:rFonts w:ascii="Arial" w:eastAsia="Times New Roman" w:hAnsi="Arial" w:cs="Arial"/>
          <w:bCs/>
          <w:kern w:val="36"/>
          <w:lang w:eastAsia="en-GB"/>
        </w:rPr>
        <w:t xml:space="preserve">each reinsurance contract to be ceded and the terms and conditions of payment to NamibRe. </w:t>
      </w:r>
    </w:p>
    <w:p w14:paraId="27518934" w14:textId="77777777" w:rsidR="00407F8E" w:rsidRPr="004379AA" w:rsidRDefault="00407F8E" w:rsidP="00BA3477">
      <w:pPr>
        <w:pStyle w:val="ListParagraph"/>
        <w:spacing w:line="480" w:lineRule="auto"/>
        <w:rPr>
          <w:rFonts w:ascii="Arial" w:eastAsia="Times New Roman" w:hAnsi="Arial" w:cs="Arial"/>
          <w:bCs/>
          <w:kern w:val="36"/>
          <w:lang w:eastAsia="en-GB"/>
        </w:rPr>
      </w:pPr>
    </w:p>
    <w:p w14:paraId="3B0AAD84" w14:textId="77777777" w:rsidR="00407F8E" w:rsidRPr="004379AA" w:rsidRDefault="00B90681"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Section 40 grants to NamibRe </w:t>
      </w:r>
      <w:r w:rsidR="0006548B" w:rsidRPr="004379AA">
        <w:rPr>
          <w:rFonts w:ascii="Arial" w:eastAsia="Times New Roman" w:hAnsi="Arial" w:cs="Arial"/>
          <w:bCs/>
          <w:kern w:val="36"/>
          <w:lang w:eastAsia="en-GB"/>
        </w:rPr>
        <w:t xml:space="preserve">a ‘pre-emptive right’ in respect of reinsurance business ‘remaining after a registered insurer or registered reinsurer has ceded a percentage of the value of a policy or reinsurance contract to NamibRe’. </w:t>
      </w:r>
    </w:p>
    <w:p w14:paraId="1A8B7783" w14:textId="77777777" w:rsidR="00407F8E" w:rsidRPr="004379AA" w:rsidRDefault="00407F8E" w:rsidP="00AE0554">
      <w:pPr>
        <w:pStyle w:val="ListParagraph"/>
        <w:spacing w:line="480" w:lineRule="auto"/>
        <w:rPr>
          <w:rFonts w:ascii="Arial" w:eastAsia="Times New Roman" w:hAnsi="Arial" w:cs="Arial"/>
          <w:bCs/>
          <w:kern w:val="36"/>
          <w:lang w:eastAsia="en-GB"/>
        </w:rPr>
      </w:pPr>
    </w:p>
    <w:p w14:paraId="0251BC50" w14:textId="00D7D1B6" w:rsidR="00407F8E" w:rsidRPr="004379AA" w:rsidRDefault="0006548B"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Section 41 empowers NamibRe to</w:t>
      </w:r>
      <w:r w:rsidR="00183787">
        <w:rPr>
          <w:rFonts w:ascii="Arial" w:eastAsia="Times New Roman" w:hAnsi="Arial" w:cs="Arial"/>
          <w:bCs/>
          <w:kern w:val="36"/>
          <w:lang w:eastAsia="en-GB"/>
        </w:rPr>
        <w:t>,</w:t>
      </w:r>
      <w:r w:rsidRPr="004379AA">
        <w:rPr>
          <w:rFonts w:ascii="Arial" w:eastAsia="Times New Roman" w:hAnsi="Arial" w:cs="Arial"/>
          <w:bCs/>
          <w:kern w:val="36"/>
          <w:lang w:eastAsia="en-GB"/>
        </w:rPr>
        <w:t xml:space="preserve"> ‘by</w:t>
      </w:r>
      <w:r w:rsidR="0073769C" w:rsidRPr="004379AA">
        <w:rPr>
          <w:rFonts w:ascii="Arial" w:eastAsia="Times New Roman" w:hAnsi="Arial" w:cs="Arial"/>
          <w:bCs/>
          <w:kern w:val="36"/>
          <w:lang w:eastAsia="en-GB"/>
        </w:rPr>
        <w:t xml:space="preserve"> written notice</w:t>
      </w:r>
      <w:r w:rsidR="00183787">
        <w:rPr>
          <w:rFonts w:ascii="Arial" w:eastAsia="Times New Roman" w:hAnsi="Arial" w:cs="Arial"/>
          <w:bCs/>
          <w:kern w:val="36"/>
          <w:lang w:eastAsia="en-GB"/>
        </w:rPr>
        <w:t>’</w:t>
      </w:r>
      <w:r w:rsidR="0073769C" w:rsidRPr="004379AA">
        <w:rPr>
          <w:rFonts w:ascii="Arial" w:eastAsia="Times New Roman" w:hAnsi="Arial" w:cs="Arial"/>
          <w:bCs/>
          <w:kern w:val="36"/>
          <w:lang w:eastAsia="en-GB"/>
        </w:rPr>
        <w:t xml:space="preserve"> require</w:t>
      </w:r>
      <w:r w:rsidRPr="004379AA">
        <w:rPr>
          <w:rFonts w:ascii="Arial" w:eastAsia="Times New Roman" w:hAnsi="Arial" w:cs="Arial"/>
          <w:bCs/>
          <w:kern w:val="36"/>
          <w:lang w:eastAsia="en-GB"/>
        </w:rPr>
        <w:t xml:space="preserve"> a registered insurer or reinsurer ‘to furnish or submit in writing, within a period specified in that notice, such information or returns as [NamibRe] may specify in that notice re</w:t>
      </w:r>
      <w:r w:rsidR="009C2FBD" w:rsidRPr="004379AA">
        <w:rPr>
          <w:rFonts w:ascii="Arial" w:eastAsia="Times New Roman" w:hAnsi="Arial" w:cs="Arial"/>
          <w:bCs/>
          <w:kern w:val="36"/>
          <w:lang w:eastAsia="en-GB"/>
        </w:rPr>
        <w:t>lating</w:t>
      </w:r>
      <w:r w:rsidRPr="004379AA">
        <w:rPr>
          <w:rFonts w:ascii="Arial" w:eastAsia="Times New Roman" w:hAnsi="Arial" w:cs="Arial"/>
          <w:bCs/>
          <w:kern w:val="36"/>
          <w:lang w:eastAsia="en-GB"/>
        </w:rPr>
        <w:t xml:space="preserve"> to any insurance business ceded or offered to [NamibRe]</w:t>
      </w:r>
      <w:r w:rsidR="004379AA">
        <w:rPr>
          <w:rFonts w:ascii="Arial" w:eastAsia="Times New Roman" w:hAnsi="Arial" w:cs="Arial"/>
          <w:bCs/>
          <w:kern w:val="36"/>
          <w:lang w:eastAsia="en-GB"/>
        </w:rPr>
        <w:t>. . .</w:t>
      </w:r>
      <w:r w:rsidRPr="004379AA">
        <w:rPr>
          <w:rFonts w:ascii="Arial" w:eastAsia="Times New Roman" w:hAnsi="Arial" w:cs="Arial"/>
          <w:bCs/>
          <w:kern w:val="36"/>
          <w:lang w:eastAsia="en-GB"/>
        </w:rPr>
        <w:t xml:space="preserve">’  </w:t>
      </w:r>
    </w:p>
    <w:p w14:paraId="0985BF15" w14:textId="77777777" w:rsidR="00407F8E" w:rsidRPr="004379AA" w:rsidRDefault="00407F8E" w:rsidP="00AE0554">
      <w:pPr>
        <w:pStyle w:val="ListParagraph"/>
        <w:spacing w:line="480" w:lineRule="auto"/>
        <w:rPr>
          <w:rFonts w:ascii="Arial" w:eastAsia="Times New Roman" w:hAnsi="Arial" w:cs="Arial"/>
          <w:bCs/>
          <w:kern w:val="36"/>
          <w:lang w:eastAsia="en-GB"/>
        </w:rPr>
      </w:pPr>
    </w:p>
    <w:p w14:paraId="3599C627" w14:textId="77777777" w:rsidR="00407F8E" w:rsidRPr="00BA3477" w:rsidRDefault="0073769C"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Section 43 provides for</w:t>
      </w:r>
      <w:r w:rsidR="00FE1B4E" w:rsidRPr="004379AA">
        <w:rPr>
          <w:rFonts w:ascii="Arial" w:eastAsia="Times New Roman" w:hAnsi="Arial" w:cs="Arial"/>
          <w:bCs/>
          <w:kern w:val="36"/>
          <w:lang w:eastAsia="en-GB"/>
        </w:rPr>
        <w:t xml:space="preserve"> ‘just compensation’ payable by NamibRe for insurance business ceded to it. It provides:</w:t>
      </w:r>
    </w:p>
    <w:p w14:paraId="3718DC9D" w14:textId="77777777" w:rsidR="00BA3477" w:rsidRPr="004379AA" w:rsidRDefault="00BA3477" w:rsidP="00BA3477">
      <w:pPr>
        <w:tabs>
          <w:tab w:val="left" w:pos="851"/>
        </w:tabs>
        <w:spacing w:line="360" w:lineRule="auto"/>
        <w:contextualSpacing/>
        <w:jc w:val="both"/>
        <w:rPr>
          <w:rFonts w:ascii="Arial" w:hAnsi="Arial" w:cs="Arial"/>
        </w:rPr>
      </w:pPr>
    </w:p>
    <w:p w14:paraId="7D56692F" w14:textId="3A156050" w:rsidR="00407F8E" w:rsidRDefault="00407F8E" w:rsidP="00AF5746">
      <w:pPr>
        <w:pStyle w:val="ListParagraph"/>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‘(1)</w:t>
      </w:r>
      <w:r w:rsidRPr="004379AA">
        <w:rPr>
          <w:rFonts w:ascii="Arial" w:eastAsia="Times New Roman" w:hAnsi="Arial" w:cs="Arial"/>
          <w:bCs/>
          <w:kern w:val="36"/>
          <w:sz w:val="22"/>
          <w:szCs w:val="22"/>
          <w:lang w:eastAsia="en-GB"/>
        </w:rPr>
        <w:tab/>
        <w:t xml:space="preserve">[NamibRe] shall, in respect of each class of insurance ceded or offered to it by a …insurer or …reinsurer …in the prescribed manner pay to …the insurer or…reinsurer concerned just compensation in the form of a reinsurance </w:t>
      </w:r>
      <w:r w:rsidRPr="004379AA">
        <w:rPr>
          <w:rFonts w:ascii="Arial" w:eastAsia="Times New Roman" w:hAnsi="Arial" w:cs="Arial"/>
          <w:bCs/>
          <w:kern w:val="36"/>
          <w:sz w:val="22"/>
          <w:szCs w:val="22"/>
          <w:lang w:eastAsia="en-GB"/>
        </w:rPr>
        <w:lastRenderedPageBreak/>
        <w:t>commission at such rate as may be determined and specified by the Minister in a notice issued in terms of subsection (2);</w:t>
      </w:r>
    </w:p>
    <w:p w14:paraId="58F97F00" w14:textId="77777777" w:rsidR="00262EAC" w:rsidRPr="004379AA" w:rsidRDefault="00262EAC" w:rsidP="00BA3477">
      <w:pPr>
        <w:pStyle w:val="ListParagraph"/>
        <w:spacing w:line="360" w:lineRule="auto"/>
        <w:ind w:left="1418" w:hanging="567"/>
        <w:jc w:val="both"/>
        <w:outlineLvl w:val="0"/>
        <w:rPr>
          <w:rFonts w:ascii="Arial" w:eastAsia="Times New Roman" w:hAnsi="Arial" w:cs="Arial"/>
          <w:bCs/>
          <w:kern w:val="36"/>
          <w:sz w:val="22"/>
          <w:szCs w:val="22"/>
          <w:lang w:eastAsia="en-GB"/>
        </w:rPr>
      </w:pPr>
    </w:p>
    <w:p w14:paraId="770E2FD3" w14:textId="5599ED60" w:rsidR="00407F8E" w:rsidRPr="004379AA" w:rsidRDefault="00407F8E" w:rsidP="00AF5746">
      <w:pPr>
        <w:pStyle w:val="ListParagraph"/>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w:t>
      </w:r>
      <w:r w:rsidRPr="004379AA">
        <w:rPr>
          <w:rFonts w:ascii="Arial" w:eastAsia="Times New Roman" w:hAnsi="Arial" w:cs="Arial"/>
          <w:bCs/>
          <w:kern w:val="36"/>
          <w:sz w:val="22"/>
          <w:szCs w:val="22"/>
          <w:lang w:eastAsia="en-GB"/>
        </w:rPr>
        <w:tab/>
        <w:t xml:space="preserve">The Minister shall from time to time, on the recommendation of the Board and by notice in the Gazette, published at least 60 days before the requirements of that notice take effect, determine and specify the </w:t>
      </w:r>
      <w:r w:rsidR="00234608">
        <w:rPr>
          <w:rFonts w:ascii="Arial" w:eastAsia="Times New Roman" w:hAnsi="Arial" w:cs="Arial"/>
          <w:bCs/>
          <w:kern w:val="36"/>
          <w:sz w:val="22"/>
          <w:szCs w:val="22"/>
          <w:lang w:eastAsia="en-GB"/>
        </w:rPr>
        <w:t>r</w:t>
      </w:r>
      <w:r w:rsidRPr="004379AA">
        <w:rPr>
          <w:rFonts w:ascii="Arial" w:eastAsia="Times New Roman" w:hAnsi="Arial" w:cs="Arial"/>
          <w:bCs/>
          <w:kern w:val="36"/>
          <w:sz w:val="22"/>
          <w:szCs w:val="22"/>
          <w:lang w:eastAsia="en-GB"/>
        </w:rPr>
        <w:t>ate of the reinsurance commission payable to the registered insurers and registered reinsurers in terms of subsection (1), and shall also specify the date on which such rate shall become applicable for the purposes of that subsection.</w:t>
      </w:r>
    </w:p>
    <w:p w14:paraId="67A18E20" w14:textId="77777777" w:rsidR="00407F8E" w:rsidRPr="004379AA" w:rsidRDefault="00407F8E" w:rsidP="00BA3477">
      <w:pPr>
        <w:pStyle w:val="ListParagraph"/>
        <w:spacing w:line="360" w:lineRule="auto"/>
        <w:ind w:left="1418" w:hanging="567"/>
        <w:jc w:val="both"/>
        <w:outlineLvl w:val="0"/>
        <w:rPr>
          <w:rFonts w:ascii="Arial" w:eastAsia="Times New Roman" w:hAnsi="Arial" w:cs="Arial"/>
          <w:bCs/>
          <w:kern w:val="36"/>
          <w:sz w:val="22"/>
          <w:szCs w:val="22"/>
          <w:lang w:eastAsia="en-GB"/>
        </w:rPr>
      </w:pPr>
    </w:p>
    <w:p w14:paraId="764DA650" w14:textId="6FFA126B" w:rsidR="00407F8E" w:rsidRDefault="00407F8E" w:rsidP="00AF5746">
      <w:pPr>
        <w:pStyle w:val="ListParagraph"/>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(3)</w:t>
      </w:r>
      <w:r w:rsidRPr="004379AA">
        <w:rPr>
          <w:rFonts w:ascii="Arial" w:eastAsia="Times New Roman" w:hAnsi="Arial" w:cs="Arial"/>
          <w:bCs/>
          <w:kern w:val="36"/>
          <w:sz w:val="22"/>
          <w:szCs w:val="22"/>
          <w:lang w:eastAsia="en-GB"/>
        </w:rPr>
        <w:tab/>
        <w:t>No profit commission on profits, if any, accruing to [NamibRe] from any insurance business ceded to [it] in terms of the provisions of this part, shall be payable to registered insurers and registered reinsurers.’</w:t>
      </w:r>
    </w:p>
    <w:p w14:paraId="0D28AA2C" w14:textId="77777777" w:rsidR="00407F8E" w:rsidRPr="004379AA" w:rsidRDefault="00407F8E" w:rsidP="00BA3477">
      <w:pPr>
        <w:pStyle w:val="ListParagraph"/>
        <w:spacing w:line="480" w:lineRule="auto"/>
        <w:rPr>
          <w:rFonts w:ascii="Arial" w:eastAsia="Times New Roman" w:hAnsi="Arial" w:cs="Arial"/>
          <w:bCs/>
          <w:kern w:val="36"/>
          <w:lang w:eastAsia="en-GB"/>
        </w:rPr>
      </w:pPr>
    </w:p>
    <w:p w14:paraId="75719081" w14:textId="77777777" w:rsidR="00AF5746" w:rsidRPr="00BA3477" w:rsidRDefault="00B57472"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Minister is authorised by s 47(1) of the NNRCA to, amongst others, make regulations on the following after consultation with the Board</w:t>
      </w:r>
      <w:r w:rsidR="00524A46" w:rsidRPr="004379AA">
        <w:rPr>
          <w:rStyle w:val="FootnoteReference"/>
          <w:rFonts w:ascii="Arial" w:eastAsia="Times New Roman" w:hAnsi="Arial" w:cs="Arial"/>
          <w:bCs/>
          <w:kern w:val="36"/>
          <w:lang w:eastAsia="en-GB"/>
        </w:rPr>
        <w:footnoteReference w:id="3"/>
      </w:r>
      <w:r w:rsidRPr="004379AA">
        <w:rPr>
          <w:rFonts w:ascii="Arial" w:eastAsia="Times New Roman" w:hAnsi="Arial" w:cs="Arial"/>
          <w:bCs/>
          <w:kern w:val="36"/>
          <w:lang w:eastAsia="en-GB"/>
        </w:rPr>
        <w:t xml:space="preserve"> of NamibRe:</w:t>
      </w:r>
    </w:p>
    <w:p w14:paraId="710042AA" w14:textId="77777777" w:rsidR="00BA3477" w:rsidRPr="004379AA" w:rsidRDefault="00BA3477" w:rsidP="00BA3477">
      <w:pPr>
        <w:tabs>
          <w:tab w:val="left" w:pos="851"/>
        </w:tabs>
        <w:spacing w:line="360" w:lineRule="auto"/>
        <w:contextualSpacing/>
        <w:jc w:val="both"/>
        <w:rPr>
          <w:rFonts w:ascii="Arial" w:hAnsi="Arial" w:cs="Arial"/>
        </w:rPr>
      </w:pPr>
    </w:p>
    <w:p w14:paraId="08AA8403" w14:textId="2B92819C" w:rsidR="00AF5746" w:rsidRPr="004379AA" w:rsidRDefault="00AF5746" w:rsidP="00AF5746">
      <w:pPr>
        <w:pStyle w:val="ListParagraph"/>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‘(a)</w:t>
      </w:r>
      <w:r w:rsidRPr="004379AA">
        <w:rPr>
          <w:rFonts w:ascii="Arial" w:eastAsia="Times New Roman" w:hAnsi="Arial" w:cs="Arial"/>
          <w:bCs/>
          <w:kern w:val="36"/>
          <w:sz w:val="22"/>
          <w:szCs w:val="22"/>
          <w:lang w:eastAsia="en-GB"/>
        </w:rPr>
        <w:tab/>
        <w:t>the payment by registered insurers and registered reinsurers to [NamibRe] of premiums in terms o</w:t>
      </w:r>
      <w:r w:rsidR="00234608">
        <w:rPr>
          <w:rFonts w:ascii="Arial" w:eastAsia="Times New Roman" w:hAnsi="Arial" w:cs="Arial"/>
          <w:bCs/>
          <w:kern w:val="36"/>
          <w:sz w:val="22"/>
          <w:szCs w:val="22"/>
          <w:lang w:eastAsia="en-GB"/>
        </w:rPr>
        <w:t>f sections 39(3) and (6) and 40(</w:t>
      </w:r>
      <w:r w:rsidRPr="004379AA">
        <w:rPr>
          <w:rFonts w:ascii="Arial" w:eastAsia="Times New Roman" w:hAnsi="Arial" w:cs="Arial"/>
          <w:bCs/>
          <w:kern w:val="36"/>
          <w:sz w:val="22"/>
          <w:szCs w:val="22"/>
          <w:lang w:eastAsia="en-GB"/>
        </w:rPr>
        <w:t>2), including offences in respect of any failure to pay such premiums;</w:t>
      </w:r>
    </w:p>
    <w:p w14:paraId="2BE976C8" w14:textId="77777777" w:rsidR="007757CD" w:rsidRPr="004379AA" w:rsidRDefault="007757CD" w:rsidP="00BA3477">
      <w:pPr>
        <w:pStyle w:val="ListParagraph"/>
        <w:spacing w:line="360" w:lineRule="auto"/>
        <w:ind w:left="1418" w:hanging="567"/>
        <w:jc w:val="both"/>
        <w:outlineLvl w:val="0"/>
        <w:rPr>
          <w:rFonts w:ascii="Arial" w:eastAsia="Times New Roman" w:hAnsi="Arial" w:cs="Arial"/>
          <w:bCs/>
          <w:kern w:val="36"/>
          <w:sz w:val="22"/>
          <w:szCs w:val="22"/>
          <w:lang w:eastAsia="en-GB"/>
        </w:rPr>
      </w:pPr>
    </w:p>
    <w:p w14:paraId="10970B49" w14:textId="6685B1F3" w:rsidR="00AF5746" w:rsidRPr="004379AA" w:rsidRDefault="00AF5746" w:rsidP="00AF5746">
      <w:pPr>
        <w:pStyle w:val="ListParagraph"/>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(b)</w:t>
      </w:r>
      <w:r w:rsidRPr="004379AA">
        <w:rPr>
          <w:rFonts w:ascii="Arial" w:eastAsia="Times New Roman" w:hAnsi="Arial" w:cs="Arial"/>
          <w:bCs/>
          <w:kern w:val="36"/>
          <w:sz w:val="22"/>
          <w:szCs w:val="22"/>
          <w:lang w:eastAsia="en-GB"/>
        </w:rPr>
        <w:tab/>
        <w:t>the payment by [NamibRe] to …insurers and reinsurers of reinsurance commission in respect of …insurance business ceded or offered to [NamibRe]…</w:t>
      </w:r>
    </w:p>
    <w:p w14:paraId="367EABB3" w14:textId="77777777" w:rsidR="007757CD" w:rsidRPr="004379AA" w:rsidRDefault="007757CD" w:rsidP="00AF5746">
      <w:pPr>
        <w:pStyle w:val="ListParagraph"/>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p>
    <w:p w14:paraId="0D9898BC" w14:textId="13683BE0" w:rsidR="00AF5746" w:rsidRPr="004379AA" w:rsidRDefault="00AF5746" w:rsidP="00AF5746">
      <w:pPr>
        <w:pStyle w:val="ListParagraph"/>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(c)</w:t>
      </w:r>
      <w:r w:rsidRPr="004379AA">
        <w:rPr>
          <w:rFonts w:ascii="Arial" w:eastAsia="Times New Roman" w:hAnsi="Arial" w:cs="Arial"/>
          <w:bCs/>
          <w:kern w:val="36"/>
          <w:sz w:val="22"/>
          <w:szCs w:val="22"/>
          <w:lang w:eastAsia="en-GB"/>
        </w:rPr>
        <w:tab/>
        <w:t>the regulation and control of methods of ceding and offering insurance business to [NamibRe]</w:t>
      </w:r>
    </w:p>
    <w:p w14:paraId="348DD216" w14:textId="77777777" w:rsidR="007757CD" w:rsidRPr="004379AA" w:rsidRDefault="007757CD" w:rsidP="00BA3477">
      <w:pPr>
        <w:pStyle w:val="ListParagraph"/>
        <w:spacing w:line="360" w:lineRule="auto"/>
        <w:ind w:left="1418" w:hanging="567"/>
        <w:jc w:val="both"/>
        <w:outlineLvl w:val="0"/>
        <w:rPr>
          <w:rFonts w:ascii="Arial" w:eastAsia="Times New Roman" w:hAnsi="Arial" w:cs="Arial"/>
          <w:bCs/>
          <w:kern w:val="36"/>
          <w:sz w:val="22"/>
          <w:szCs w:val="22"/>
          <w:lang w:eastAsia="en-GB"/>
        </w:rPr>
      </w:pPr>
    </w:p>
    <w:p w14:paraId="32281407" w14:textId="10E0A832" w:rsidR="00AF5746" w:rsidRDefault="00AF5746" w:rsidP="00AF5746">
      <w:pPr>
        <w:pStyle w:val="ListParagraph"/>
        <w:spacing w:before="100" w:beforeAutospacing="1" w:after="100" w:afterAutospacing="1"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(d)</w:t>
      </w:r>
      <w:r w:rsidRPr="004379AA">
        <w:rPr>
          <w:rFonts w:ascii="Arial" w:eastAsia="Times New Roman" w:hAnsi="Arial" w:cs="Arial"/>
          <w:bCs/>
          <w:kern w:val="36"/>
          <w:sz w:val="22"/>
          <w:szCs w:val="22"/>
          <w:lang w:eastAsia="en-GB"/>
        </w:rPr>
        <w:tab/>
        <w:t>the returns and information to be supplied by registered insurers and registered reinsurers to [NamibRe]…’</w:t>
      </w:r>
    </w:p>
    <w:p w14:paraId="5FFE08AD" w14:textId="77777777" w:rsidR="00BA3477" w:rsidRDefault="00BA3477" w:rsidP="00BA3477">
      <w:pPr>
        <w:pStyle w:val="ListParagraph"/>
        <w:spacing w:line="480" w:lineRule="auto"/>
        <w:ind w:left="1418" w:hanging="567"/>
        <w:jc w:val="both"/>
        <w:outlineLvl w:val="0"/>
        <w:rPr>
          <w:rFonts w:ascii="Arial" w:eastAsia="Times New Roman" w:hAnsi="Arial" w:cs="Arial"/>
          <w:bCs/>
          <w:kern w:val="36"/>
          <w:sz w:val="22"/>
          <w:szCs w:val="22"/>
          <w:lang w:eastAsia="en-GB"/>
        </w:rPr>
      </w:pPr>
    </w:p>
    <w:p w14:paraId="3D488D22" w14:textId="56B6CAF0" w:rsidR="00AF5746" w:rsidRPr="004379AA" w:rsidRDefault="00AF5746" w:rsidP="00AE0554">
      <w:pPr>
        <w:tabs>
          <w:tab w:val="left" w:pos="851"/>
        </w:tabs>
        <w:spacing w:line="480" w:lineRule="auto"/>
        <w:contextualSpacing/>
        <w:jc w:val="both"/>
        <w:rPr>
          <w:rFonts w:ascii="Arial" w:hAnsi="Arial" w:cs="Arial"/>
          <w:u w:val="single"/>
        </w:rPr>
      </w:pPr>
      <w:r w:rsidRPr="004379AA">
        <w:rPr>
          <w:rFonts w:ascii="Arial" w:hAnsi="Arial" w:cs="Arial"/>
          <w:u w:val="single"/>
        </w:rPr>
        <w:t>Factual matrix</w:t>
      </w:r>
    </w:p>
    <w:p w14:paraId="0EB2DED9" w14:textId="7654EC52" w:rsidR="007757CD" w:rsidRPr="004379AA" w:rsidRDefault="009A548A"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lastRenderedPageBreak/>
        <w:t xml:space="preserve">The </w:t>
      </w:r>
      <w:r w:rsidR="00CD76CD" w:rsidRPr="004379AA">
        <w:rPr>
          <w:rFonts w:ascii="Arial" w:eastAsia="Times New Roman" w:hAnsi="Arial" w:cs="Arial"/>
          <w:bCs/>
          <w:kern w:val="36"/>
          <w:lang w:eastAsia="en-GB"/>
        </w:rPr>
        <w:t>NNRCA was passed into law in 19</w:t>
      </w:r>
      <w:r w:rsidRPr="004379AA">
        <w:rPr>
          <w:rFonts w:ascii="Arial" w:eastAsia="Times New Roman" w:hAnsi="Arial" w:cs="Arial"/>
          <w:bCs/>
          <w:kern w:val="36"/>
          <w:lang w:eastAsia="en-GB"/>
        </w:rPr>
        <w:t>9</w:t>
      </w:r>
      <w:r w:rsidR="00CD76CD" w:rsidRPr="004379AA">
        <w:rPr>
          <w:rFonts w:ascii="Arial" w:eastAsia="Times New Roman" w:hAnsi="Arial" w:cs="Arial"/>
          <w:bCs/>
          <w:kern w:val="36"/>
          <w:lang w:eastAsia="en-GB"/>
        </w:rPr>
        <w:t>8</w:t>
      </w:r>
      <w:r w:rsidRPr="004379AA">
        <w:rPr>
          <w:rFonts w:ascii="Arial" w:eastAsia="Times New Roman" w:hAnsi="Arial" w:cs="Arial"/>
          <w:bCs/>
          <w:kern w:val="36"/>
          <w:lang w:eastAsia="en-GB"/>
        </w:rPr>
        <w:t xml:space="preserve">. </w:t>
      </w:r>
      <w:r w:rsidR="0073769C" w:rsidRPr="004379AA">
        <w:rPr>
          <w:rFonts w:ascii="Arial" w:eastAsia="Times New Roman" w:hAnsi="Arial" w:cs="Arial"/>
          <w:bCs/>
          <w:kern w:val="36"/>
          <w:lang w:eastAsia="en-GB"/>
        </w:rPr>
        <w:t xml:space="preserve">The material provisions of Part V </w:t>
      </w:r>
      <w:r w:rsidRPr="004379AA">
        <w:rPr>
          <w:rFonts w:ascii="Arial" w:eastAsia="Times New Roman" w:hAnsi="Arial" w:cs="Arial"/>
          <w:bCs/>
          <w:kern w:val="36"/>
          <w:lang w:eastAsia="en-GB"/>
        </w:rPr>
        <w:t>w</w:t>
      </w:r>
      <w:r w:rsidR="0073769C" w:rsidRPr="004379AA">
        <w:rPr>
          <w:rFonts w:ascii="Arial" w:eastAsia="Times New Roman" w:hAnsi="Arial" w:cs="Arial"/>
          <w:bCs/>
          <w:kern w:val="36"/>
          <w:lang w:eastAsia="en-GB"/>
        </w:rPr>
        <w:t>ere</w:t>
      </w:r>
      <w:r w:rsidRPr="004379AA">
        <w:rPr>
          <w:rFonts w:ascii="Arial" w:eastAsia="Times New Roman" w:hAnsi="Arial" w:cs="Arial"/>
          <w:bCs/>
          <w:kern w:val="36"/>
          <w:lang w:eastAsia="en-GB"/>
        </w:rPr>
        <w:t xml:space="preserve"> then challenged </w:t>
      </w:r>
      <w:r w:rsidR="00CD76CD" w:rsidRPr="004379AA">
        <w:rPr>
          <w:rFonts w:ascii="Arial" w:eastAsia="Times New Roman" w:hAnsi="Arial" w:cs="Arial"/>
          <w:bCs/>
          <w:kern w:val="36"/>
          <w:lang w:eastAsia="en-GB"/>
        </w:rPr>
        <w:t xml:space="preserve">in 1999 </w:t>
      </w:r>
      <w:r w:rsidRPr="004379AA">
        <w:rPr>
          <w:rFonts w:ascii="Arial" w:eastAsia="Times New Roman" w:hAnsi="Arial" w:cs="Arial"/>
          <w:bCs/>
          <w:kern w:val="36"/>
          <w:lang w:eastAsia="en-GB"/>
        </w:rPr>
        <w:t xml:space="preserve">by some members of the insurance industry as </w:t>
      </w:r>
      <w:r w:rsidR="0073769C" w:rsidRPr="004379AA">
        <w:rPr>
          <w:rFonts w:ascii="Arial" w:eastAsia="Times New Roman" w:hAnsi="Arial" w:cs="Arial"/>
          <w:bCs/>
          <w:kern w:val="36"/>
          <w:lang w:eastAsia="en-GB"/>
        </w:rPr>
        <w:t>being</w:t>
      </w:r>
      <w:r w:rsidRPr="004379AA">
        <w:rPr>
          <w:rFonts w:ascii="Arial" w:eastAsia="Times New Roman" w:hAnsi="Arial" w:cs="Arial"/>
          <w:bCs/>
          <w:kern w:val="36"/>
          <w:lang w:eastAsia="en-GB"/>
        </w:rPr>
        <w:t xml:space="preserve"> unconstitutional. Th</w:t>
      </w:r>
      <w:r w:rsidR="00604082" w:rsidRPr="004379AA">
        <w:rPr>
          <w:rFonts w:ascii="Arial" w:eastAsia="Times New Roman" w:hAnsi="Arial" w:cs="Arial"/>
          <w:bCs/>
          <w:kern w:val="36"/>
          <w:lang w:eastAsia="en-GB"/>
        </w:rPr>
        <w:t>at</w:t>
      </w:r>
      <w:r w:rsidRPr="004379AA">
        <w:rPr>
          <w:rFonts w:ascii="Arial" w:eastAsia="Times New Roman" w:hAnsi="Arial" w:cs="Arial"/>
          <w:bCs/>
          <w:kern w:val="36"/>
          <w:lang w:eastAsia="en-GB"/>
        </w:rPr>
        <w:t xml:space="preserve"> challenge failed when a full bench of the High Court held that the NNRCA passed constitutional muster</w:t>
      </w:r>
      <w:r w:rsidR="00234608">
        <w:rPr>
          <w:rFonts w:ascii="Arial" w:eastAsia="Times New Roman" w:hAnsi="Arial" w:cs="Arial"/>
          <w:bCs/>
          <w:kern w:val="36"/>
          <w:lang w:eastAsia="en-GB"/>
        </w:rPr>
        <w:t>.</w:t>
      </w:r>
      <w:r w:rsidR="002A735B" w:rsidRPr="004379AA">
        <w:rPr>
          <w:rStyle w:val="FootnoteReference"/>
          <w:rFonts w:ascii="Arial" w:eastAsia="Times New Roman" w:hAnsi="Arial" w:cs="Arial"/>
          <w:bCs/>
          <w:kern w:val="36"/>
          <w:lang w:eastAsia="en-GB"/>
        </w:rPr>
        <w:footnoteReference w:id="4"/>
      </w:r>
      <w:r w:rsidRPr="004379AA">
        <w:rPr>
          <w:rFonts w:ascii="Arial" w:eastAsia="Times New Roman" w:hAnsi="Arial" w:cs="Arial"/>
          <w:bCs/>
          <w:kern w:val="36"/>
          <w:lang w:eastAsia="en-GB"/>
        </w:rPr>
        <w:t xml:space="preserve"> That set the stage for the implementation of Part V of the NNRCA. </w:t>
      </w:r>
      <w:r w:rsidR="009B7199" w:rsidRPr="004379AA">
        <w:rPr>
          <w:rFonts w:ascii="Arial" w:eastAsia="Times New Roman" w:hAnsi="Arial" w:cs="Arial"/>
          <w:bCs/>
          <w:kern w:val="36"/>
          <w:lang w:eastAsia="en-GB"/>
        </w:rPr>
        <w:t xml:space="preserve">In </w:t>
      </w:r>
      <w:r w:rsidR="00CD76CD" w:rsidRPr="004379AA">
        <w:rPr>
          <w:rFonts w:ascii="Arial" w:eastAsia="Times New Roman" w:hAnsi="Arial" w:cs="Arial"/>
          <w:bCs/>
          <w:kern w:val="36"/>
          <w:lang w:eastAsia="en-GB"/>
        </w:rPr>
        <w:t xml:space="preserve">November and </w:t>
      </w:r>
      <w:r w:rsidR="009B7199" w:rsidRPr="004379AA">
        <w:rPr>
          <w:rFonts w:ascii="Arial" w:eastAsia="Times New Roman" w:hAnsi="Arial" w:cs="Arial"/>
          <w:bCs/>
          <w:kern w:val="36"/>
          <w:lang w:eastAsia="en-GB"/>
        </w:rPr>
        <w:t>December 2016</w:t>
      </w:r>
      <w:r w:rsidR="00CD76CD" w:rsidRPr="004379AA">
        <w:rPr>
          <w:rFonts w:ascii="Arial" w:eastAsia="Times New Roman" w:hAnsi="Arial" w:cs="Arial"/>
          <w:bCs/>
          <w:kern w:val="36"/>
          <w:lang w:eastAsia="en-GB"/>
        </w:rPr>
        <w:t>,</w:t>
      </w:r>
      <w:r w:rsidR="009B7199" w:rsidRPr="004379AA">
        <w:rPr>
          <w:rFonts w:ascii="Arial" w:eastAsia="Times New Roman" w:hAnsi="Arial" w:cs="Arial"/>
          <w:bCs/>
          <w:kern w:val="36"/>
          <w:lang w:eastAsia="en-GB"/>
        </w:rPr>
        <w:t xml:space="preserve"> </w:t>
      </w:r>
      <w:r w:rsidR="00524A46" w:rsidRPr="004379AA">
        <w:rPr>
          <w:rFonts w:ascii="Arial" w:eastAsia="Times New Roman" w:hAnsi="Arial" w:cs="Arial"/>
          <w:bCs/>
          <w:kern w:val="36"/>
          <w:lang w:eastAsia="en-GB"/>
        </w:rPr>
        <w:t>the Minister</w:t>
      </w:r>
      <w:r w:rsidR="009B7199" w:rsidRPr="004379AA">
        <w:rPr>
          <w:rFonts w:ascii="Arial" w:eastAsia="Times New Roman" w:hAnsi="Arial" w:cs="Arial"/>
          <w:bCs/>
          <w:kern w:val="36"/>
          <w:lang w:eastAsia="en-GB"/>
        </w:rPr>
        <w:t xml:space="preserve"> </w:t>
      </w:r>
      <w:r w:rsidR="00CD76CD" w:rsidRPr="004379AA">
        <w:rPr>
          <w:rFonts w:ascii="Arial" w:eastAsia="Times New Roman" w:hAnsi="Arial" w:cs="Arial"/>
          <w:bCs/>
          <w:kern w:val="36"/>
          <w:lang w:eastAsia="en-GB"/>
        </w:rPr>
        <w:t xml:space="preserve">gazetted </w:t>
      </w:r>
      <w:r w:rsidR="002A735B" w:rsidRPr="004379AA">
        <w:rPr>
          <w:rFonts w:ascii="Arial" w:eastAsia="Times New Roman" w:hAnsi="Arial" w:cs="Arial"/>
          <w:bCs/>
          <w:kern w:val="36"/>
          <w:lang w:eastAsia="en-GB"/>
        </w:rPr>
        <w:t>Government N</w:t>
      </w:r>
      <w:r w:rsidR="00CD76CD" w:rsidRPr="004379AA">
        <w:rPr>
          <w:rFonts w:ascii="Arial" w:eastAsia="Times New Roman" w:hAnsi="Arial" w:cs="Arial"/>
          <w:bCs/>
          <w:kern w:val="36"/>
          <w:lang w:eastAsia="en-GB"/>
        </w:rPr>
        <w:t xml:space="preserve">otices 266,267 and 291 (the 2016 notices) providing for a regime of compulsory cession </w:t>
      </w:r>
      <w:r w:rsidR="00604082" w:rsidRPr="004379AA">
        <w:rPr>
          <w:rFonts w:ascii="Arial" w:eastAsia="Times New Roman" w:hAnsi="Arial" w:cs="Arial"/>
          <w:bCs/>
          <w:kern w:val="36"/>
          <w:lang w:eastAsia="en-GB"/>
        </w:rPr>
        <w:t xml:space="preserve">to NamibRe </w:t>
      </w:r>
      <w:r w:rsidR="00CD76CD" w:rsidRPr="004379AA">
        <w:rPr>
          <w:rFonts w:ascii="Arial" w:eastAsia="Times New Roman" w:hAnsi="Arial" w:cs="Arial"/>
          <w:bCs/>
          <w:kern w:val="36"/>
          <w:lang w:eastAsia="en-GB"/>
        </w:rPr>
        <w:t xml:space="preserve">of insurance contracts and insurance business </w:t>
      </w:r>
      <w:r w:rsidR="00524A46" w:rsidRPr="004379AA">
        <w:rPr>
          <w:rFonts w:ascii="Arial" w:eastAsia="Times New Roman" w:hAnsi="Arial" w:cs="Arial"/>
          <w:bCs/>
          <w:kern w:val="36"/>
          <w:lang w:eastAsia="en-GB"/>
        </w:rPr>
        <w:t>by registered insurers and reinsurers</w:t>
      </w:r>
      <w:r w:rsidR="002A735B" w:rsidRPr="004379AA">
        <w:rPr>
          <w:rFonts w:ascii="Arial" w:eastAsia="Times New Roman" w:hAnsi="Arial" w:cs="Arial"/>
          <w:bCs/>
          <w:kern w:val="36"/>
          <w:lang w:eastAsia="en-GB"/>
        </w:rPr>
        <w:t xml:space="preserve"> in conformity with Part V of the NNRCA</w:t>
      </w:r>
      <w:r w:rsidR="00CD76CD" w:rsidRPr="004379AA">
        <w:rPr>
          <w:rFonts w:ascii="Arial" w:eastAsia="Times New Roman" w:hAnsi="Arial" w:cs="Arial"/>
          <w:bCs/>
          <w:kern w:val="36"/>
          <w:lang w:eastAsia="en-GB"/>
        </w:rPr>
        <w:t xml:space="preserve">. </w:t>
      </w:r>
    </w:p>
    <w:p w14:paraId="6D6B3481" w14:textId="77777777" w:rsidR="007757CD" w:rsidRPr="004379AA" w:rsidRDefault="007757CD" w:rsidP="00AE0554">
      <w:pPr>
        <w:tabs>
          <w:tab w:val="left" w:pos="851"/>
        </w:tabs>
        <w:spacing w:line="480" w:lineRule="auto"/>
        <w:contextualSpacing/>
        <w:jc w:val="both"/>
        <w:rPr>
          <w:rFonts w:ascii="Arial" w:hAnsi="Arial" w:cs="Arial"/>
        </w:rPr>
      </w:pPr>
    </w:p>
    <w:p w14:paraId="717892EB" w14:textId="77777777" w:rsidR="007757CD" w:rsidRPr="004379AA" w:rsidRDefault="00CD76CD"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2016 notices were challenged by the insurance industry, including the present corporate respondents</w:t>
      </w:r>
      <w:r w:rsidR="00604082" w:rsidRPr="004379AA">
        <w:rPr>
          <w:rFonts w:ascii="Arial" w:eastAsia="Times New Roman" w:hAnsi="Arial" w:cs="Arial"/>
          <w:bCs/>
          <w:kern w:val="36"/>
          <w:lang w:eastAsia="en-GB"/>
        </w:rPr>
        <w:t>, citing the Minister and the second appellant (NamibRe)</w:t>
      </w:r>
      <w:r w:rsidRPr="004379AA">
        <w:rPr>
          <w:rFonts w:ascii="Arial" w:eastAsia="Times New Roman" w:hAnsi="Arial" w:cs="Arial"/>
          <w:bCs/>
          <w:kern w:val="36"/>
          <w:lang w:eastAsia="en-GB"/>
        </w:rPr>
        <w:t>.</w:t>
      </w:r>
      <w:r w:rsidR="002A735B" w:rsidRPr="004379AA">
        <w:rPr>
          <w:rFonts w:ascii="Arial" w:eastAsia="Times New Roman" w:hAnsi="Arial" w:cs="Arial"/>
          <w:bCs/>
          <w:kern w:val="36"/>
          <w:lang w:eastAsia="en-GB"/>
        </w:rPr>
        <w:t xml:space="preserve"> The challenge</w:t>
      </w:r>
      <w:r w:rsidR="00465E2A" w:rsidRPr="004379AA">
        <w:rPr>
          <w:rFonts w:ascii="Arial" w:eastAsia="Times New Roman" w:hAnsi="Arial" w:cs="Arial"/>
          <w:bCs/>
          <w:kern w:val="36"/>
          <w:lang w:eastAsia="en-GB"/>
        </w:rPr>
        <w:t xml:space="preserve"> alleged</w:t>
      </w:r>
      <w:r w:rsidR="002A735B" w:rsidRPr="004379AA">
        <w:rPr>
          <w:rFonts w:ascii="Arial" w:eastAsia="Times New Roman" w:hAnsi="Arial" w:cs="Arial"/>
          <w:bCs/>
          <w:kern w:val="36"/>
          <w:lang w:eastAsia="en-GB"/>
        </w:rPr>
        <w:t xml:space="preserve">, in part, </w:t>
      </w:r>
      <w:r w:rsidR="00465E2A" w:rsidRPr="004379AA">
        <w:rPr>
          <w:rFonts w:ascii="Arial" w:eastAsia="Times New Roman" w:hAnsi="Arial" w:cs="Arial"/>
          <w:bCs/>
          <w:kern w:val="36"/>
          <w:lang w:eastAsia="en-GB"/>
        </w:rPr>
        <w:t xml:space="preserve">that the </w:t>
      </w:r>
      <w:r w:rsidR="002A735B" w:rsidRPr="004379AA">
        <w:rPr>
          <w:rFonts w:ascii="Arial" w:eastAsia="Times New Roman" w:hAnsi="Arial" w:cs="Arial"/>
          <w:bCs/>
          <w:kern w:val="36"/>
          <w:lang w:eastAsia="en-GB"/>
        </w:rPr>
        <w:t xml:space="preserve">insurance </w:t>
      </w:r>
      <w:r w:rsidR="00465E2A" w:rsidRPr="004379AA">
        <w:rPr>
          <w:rFonts w:ascii="Arial" w:eastAsia="Times New Roman" w:hAnsi="Arial" w:cs="Arial"/>
          <w:bCs/>
          <w:kern w:val="36"/>
          <w:lang w:eastAsia="en-GB"/>
        </w:rPr>
        <w:t xml:space="preserve">industry was not afforded </w:t>
      </w:r>
      <w:r w:rsidR="00604082" w:rsidRPr="004379AA">
        <w:rPr>
          <w:rFonts w:ascii="Arial" w:eastAsia="Times New Roman" w:hAnsi="Arial" w:cs="Arial"/>
          <w:bCs/>
          <w:kern w:val="36"/>
          <w:lang w:eastAsia="en-GB"/>
        </w:rPr>
        <w:t>the</w:t>
      </w:r>
      <w:r w:rsidR="00465E2A" w:rsidRPr="004379AA">
        <w:rPr>
          <w:rFonts w:ascii="Arial" w:eastAsia="Times New Roman" w:hAnsi="Arial" w:cs="Arial"/>
          <w:bCs/>
          <w:kern w:val="36"/>
          <w:lang w:eastAsia="en-GB"/>
        </w:rPr>
        <w:t xml:space="preserve"> opportunity to make representations before the </w:t>
      </w:r>
      <w:r w:rsidR="002A735B" w:rsidRPr="004379AA">
        <w:rPr>
          <w:rFonts w:ascii="Arial" w:eastAsia="Times New Roman" w:hAnsi="Arial" w:cs="Arial"/>
          <w:bCs/>
          <w:kern w:val="36"/>
          <w:lang w:eastAsia="en-GB"/>
        </w:rPr>
        <w:t xml:space="preserve">2016 </w:t>
      </w:r>
      <w:r w:rsidR="00465E2A" w:rsidRPr="004379AA">
        <w:rPr>
          <w:rFonts w:ascii="Arial" w:eastAsia="Times New Roman" w:hAnsi="Arial" w:cs="Arial"/>
          <w:bCs/>
          <w:kern w:val="36"/>
          <w:lang w:eastAsia="en-GB"/>
        </w:rPr>
        <w:t xml:space="preserve">notices were issued. In the face of the challenge, the Minister </w:t>
      </w:r>
      <w:r w:rsidR="00524A46" w:rsidRPr="004379AA">
        <w:rPr>
          <w:rFonts w:ascii="Arial" w:eastAsia="Times New Roman" w:hAnsi="Arial" w:cs="Arial"/>
          <w:bCs/>
          <w:kern w:val="36"/>
          <w:lang w:eastAsia="en-GB"/>
        </w:rPr>
        <w:t xml:space="preserve">on 14 February 2017 </w:t>
      </w:r>
      <w:r w:rsidR="00465E2A" w:rsidRPr="004379AA">
        <w:rPr>
          <w:rFonts w:ascii="Arial" w:eastAsia="Times New Roman" w:hAnsi="Arial" w:cs="Arial"/>
          <w:bCs/>
          <w:kern w:val="36"/>
          <w:lang w:eastAsia="en-GB"/>
        </w:rPr>
        <w:t xml:space="preserve">withdrew the </w:t>
      </w:r>
      <w:r w:rsidR="00524A46" w:rsidRPr="004379AA">
        <w:rPr>
          <w:rFonts w:ascii="Arial" w:eastAsia="Times New Roman" w:hAnsi="Arial" w:cs="Arial"/>
          <w:bCs/>
          <w:kern w:val="36"/>
          <w:lang w:eastAsia="en-GB"/>
        </w:rPr>
        <w:t xml:space="preserve">2016 notices </w:t>
      </w:r>
      <w:r w:rsidR="00465E2A" w:rsidRPr="004379AA">
        <w:rPr>
          <w:rFonts w:ascii="Arial" w:eastAsia="Times New Roman" w:hAnsi="Arial" w:cs="Arial"/>
          <w:bCs/>
          <w:kern w:val="36"/>
          <w:lang w:eastAsia="en-GB"/>
        </w:rPr>
        <w:t>to allow for representa</w:t>
      </w:r>
      <w:r w:rsidR="008A3B5D" w:rsidRPr="004379AA">
        <w:rPr>
          <w:rFonts w:ascii="Arial" w:eastAsia="Times New Roman" w:hAnsi="Arial" w:cs="Arial"/>
          <w:bCs/>
          <w:kern w:val="36"/>
          <w:lang w:eastAsia="en-GB"/>
        </w:rPr>
        <w:t>t</w:t>
      </w:r>
      <w:r w:rsidR="00465E2A" w:rsidRPr="004379AA">
        <w:rPr>
          <w:rFonts w:ascii="Arial" w:eastAsia="Times New Roman" w:hAnsi="Arial" w:cs="Arial"/>
          <w:bCs/>
          <w:kern w:val="36"/>
          <w:lang w:eastAsia="en-GB"/>
        </w:rPr>
        <w:t>ions</w:t>
      </w:r>
      <w:r w:rsidR="00524A46" w:rsidRPr="004379AA">
        <w:rPr>
          <w:rFonts w:ascii="Arial" w:eastAsia="Times New Roman" w:hAnsi="Arial" w:cs="Arial"/>
          <w:bCs/>
          <w:kern w:val="36"/>
          <w:lang w:eastAsia="en-GB"/>
        </w:rPr>
        <w:t xml:space="preserve"> before he could issue a new set of notices</w:t>
      </w:r>
      <w:r w:rsidR="00465E2A" w:rsidRPr="004379AA">
        <w:rPr>
          <w:rFonts w:ascii="Arial" w:eastAsia="Times New Roman" w:hAnsi="Arial" w:cs="Arial"/>
          <w:bCs/>
          <w:kern w:val="36"/>
          <w:lang w:eastAsia="en-GB"/>
        </w:rPr>
        <w:t>.</w:t>
      </w:r>
    </w:p>
    <w:p w14:paraId="2D3F37EE" w14:textId="77777777" w:rsidR="007757CD" w:rsidRPr="004379AA" w:rsidRDefault="007757CD" w:rsidP="00AE0554">
      <w:pPr>
        <w:pStyle w:val="ListParagraph"/>
        <w:spacing w:line="480" w:lineRule="auto"/>
        <w:rPr>
          <w:rFonts w:ascii="Arial" w:eastAsia="Times New Roman" w:hAnsi="Arial" w:cs="Arial"/>
          <w:bCs/>
          <w:kern w:val="36"/>
          <w:lang w:eastAsia="en-GB"/>
        </w:rPr>
      </w:pPr>
    </w:p>
    <w:p w14:paraId="0FD63121" w14:textId="77777777" w:rsidR="007757CD" w:rsidRPr="004379AA" w:rsidRDefault="00604082"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C</w:t>
      </w:r>
      <w:r w:rsidR="00646976" w:rsidRPr="004379AA">
        <w:rPr>
          <w:rFonts w:ascii="Arial" w:eastAsia="Times New Roman" w:hAnsi="Arial" w:cs="Arial"/>
          <w:bCs/>
          <w:kern w:val="36"/>
          <w:lang w:eastAsia="en-GB"/>
        </w:rPr>
        <w:t>onsidering the review application moot in the light of</w:t>
      </w:r>
      <w:r w:rsidR="00E70619" w:rsidRPr="004379AA">
        <w:rPr>
          <w:rFonts w:ascii="Arial" w:eastAsia="Times New Roman" w:hAnsi="Arial" w:cs="Arial"/>
          <w:bCs/>
          <w:kern w:val="36"/>
          <w:lang w:eastAsia="en-GB"/>
        </w:rPr>
        <w:t xml:space="preserve"> the</w:t>
      </w:r>
      <w:r w:rsidR="005542BB" w:rsidRPr="004379AA">
        <w:rPr>
          <w:rFonts w:ascii="Arial" w:eastAsia="Times New Roman" w:hAnsi="Arial" w:cs="Arial"/>
          <w:bCs/>
          <w:kern w:val="36"/>
          <w:lang w:eastAsia="en-GB"/>
        </w:rPr>
        <w:t xml:space="preserve"> Minister’s</w:t>
      </w:r>
      <w:r w:rsidR="00E70619" w:rsidRPr="004379AA">
        <w:rPr>
          <w:rFonts w:ascii="Arial" w:eastAsia="Times New Roman" w:hAnsi="Arial" w:cs="Arial"/>
          <w:bCs/>
          <w:kern w:val="36"/>
          <w:lang w:eastAsia="en-GB"/>
        </w:rPr>
        <w:t xml:space="preserve"> withdrawal of the </w:t>
      </w:r>
      <w:r w:rsidR="00524A46" w:rsidRPr="004379AA">
        <w:rPr>
          <w:rFonts w:ascii="Arial" w:eastAsia="Times New Roman" w:hAnsi="Arial" w:cs="Arial"/>
          <w:bCs/>
          <w:kern w:val="36"/>
          <w:lang w:eastAsia="en-GB"/>
        </w:rPr>
        <w:t xml:space="preserve">2016 </w:t>
      </w:r>
      <w:r w:rsidR="00E70619" w:rsidRPr="004379AA">
        <w:rPr>
          <w:rFonts w:ascii="Arial" w:eastAsia="Times New Roman" w:hAnsi="Arial" w:cs="Arial"/>
          <w:bCs/>
          <w:kern w:val="36"/>
          <w:lang w:eastAsia="en-GB"/>
        </w:rPr>
        <w:t>notices,</w:t>
      </w:r>
      <w:r w:rsidR="008A3B5D" w:rsidRPr="004379AA">
        <w:rPr>
          <w:rFonts w:ascii="Arial" w:eastAsia="Times New Roman" w:hAnsi="Arial" w:cs="Arial"/>
          <w:bCs/>
          <w:kern w:val="36"/>
          <w:lang w:eastAsia="en-GB"/>
        </w:rPr>
        <w:t xml:space="preserve"> </w:t>
      </w:r>
      <w:r w:rsidRPr="004379AA">
        <w:rPr>
          <w:rFonts w:ascii="Arial" w:eastAsia="Times New Roman" w:hAnsi="Arial" w:cs="Arial"/>
          <w:bCs/>
          <w:kern w:val="36"/>
          <w:lang w:eastAsia="en-GB"/>
        </w:rPr>
        <w:t xml:space="preserve">the Minister and NamibRe </w:t>
      </w:r>
      <w:r w:rsidR="008A3B5D" w:rsidRPr="004379AA">
        <w:rPr>
          <w:rFonts w:ascii="Arial" w:eastAsia="Times New Roman" w:hAnsi="Arial" w:cs="Arial"/>
          <w:bCs/>
          <w:kern w:val="36"/>
          <w:lang w:eastAsia="en-GB"/>
        </w:rPr>
        <w:t>tendered wasted costs to the respondents</w:t>
      </w:r>
      <w:r w:rsidRPr="004379AA">
        <w:rPr>
          <w:rFonts w:ascii="Arial" w:eastAsia="Times New Roman" w:hAnsi="Arial" w:cs="Arial"/>
          <w:bCs/>
          <w:kern w:val="36"/>
          <w:lang w:eastAsia="en-GB"/>
        </w:rPr>
        <w:t xml:space="preserve"> in connection with their then pending review application</w:t>
      </w:r>
      <w:r w:rsidR="00646976" w:rsidRPr="004379AA">
        <w:rPr>
          <w:rFonts w:ascii="Arial" w:eastAsia="Times New Roman" w:hAnsi="Arial" w:cs="Arial"/>
          <w:bCs/>
          <w:kern w:val="36"/>
          <w:lang w:eastAsia="en-GB"/>
        </w:rPr>
        <w:t>.</w:t>
      </w:r>
      <w:r w:rsidR="008A3B5D" w:rsidRPr="004379AA">
        <w:rPr>
          <w:rFonts w:ascii="Arial" w:eastAsia="Times New Roman" w:hAnsi="Arial" w:cs="Arial"/>
          <w:bCs/>
          <w:kern w:val="36"/>
          <w:lang w:eastAsia="en-GB"/>
        </w:rPr>
        <w:t xml:space="preserve"> </w:t>
      </w:r>
      <w:r w:rsidR="00524A46" w:rsidRPr="004379AA">
        <w:rPr>
          <w:rFonts w:ascii="Arial" w:eastAsia="Times New Roman" w:hAnsi="Arial" w:cs="Arial"/>
          <w:bCs/>
          <w:kern w:val="36"/>
          <w:lang w:eastAsia="en-GB"/>
        </w:rPr>
        <w:t xml:space="preserve">There is some dispute </w:t>
      </w:r>
      <w:r w:rsidR="005542BB" w:rsidRPr="004379AA">
        <w:rPr>
          <w:rFonts w:ascii="Arial" w:eastAsia="Times New Roman" w:hAnsi="Arial" w:cs="Arial"/>
          <w:bCs/>
          <w:kern w:val="36"/>
          <w:lang w:eastAsia="en-GB"/>
        </w:rPr>
        <w:t xml:space="preserve">on the papers </w:t>
      </w:r>
      <w:r w:rsidR="00524A46" w:rsidRPr="004379AA">
        <w:rPr>
          <w:rFonts w:ascii="Arial" w:eastAsia="Times New Roman" w:hAnsi="Arial" w:cs="Arial"/>
          <w:bCs/>
          <w:kern w:val="36"/>
          <w:lang w:eastAsia="en-GB"/>
        </w:rPr>
        <w:t>whether or not the challenge to the 2016 notices is still pending</w:t>
      </w:r>
      <w:r w:rsidRPr="004379AA">
        <w:rPr>
          <w:rFonts w:ascii="Arial" w:eastAsia="Times New Roman" w:hAnsi="Arial" w:cs="Arial"/>
          <w:bCs/>
          <w:kern w:val="36"/>
          <w:lang w:eastAsia="en-GB"/>
        </w:rPr>
        <w:t>,</w:t>
      </w:r>
      <w:r w:rsidR="00524A46" w:rsidRPr="004379AA">
        <w:rPr>
          <w:rFonts w:ascii="Arial" w:eastAsia="Times New Roman" w:hAnsi="Arial" w:cs="Arial"/>
          <w:bCs/>
          <w:kern w:val="36"/>
          <w:lang w:eastAsia="en-GB"/>
        </w:rPr>
        <w:t xml:space="preserve"> but nothing turns on it for purposes of the present appeal. </w:t>
      </w:r>
    </w:p>
    <w:p w14:paraId="2F36D2B7" w14:textId="77777777" w:rsidR="007757CD" w:rsidRPr="004379AA" w:rsidRDefault="007757CD" w:rsidP="00AE0554">
      <w:pPr>
        <w:pStyle w:val="ListParagraph"/>
        <w:spacing w:line="480" w:lineRule="auto"/>
        <w:rPr>
          <w:rFonts w:ascii="Arial" w:eastAsia="Times New Roman" w:hAnsi="Arial" w:cs="Arial"/>
          <w:bCs/>
          <w:kern w:val="36"/>
          <w:lang w:eastAsia="en-GB"/>
        </w:rPr>
      </w:pPr>
    </w:p>
    <w:p w14:paraId="796C3AFF" w14:textId="77777777" w:rsidR="007757CD" w:rsidRPr="004379AA" w:rsidRDefault="008A3B5D"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lastRenderedPageBreak/>
        <w:t xml:space="preserve">Then followed a protracted series of correspondence between the appellants and the respondents, the latter accusing the former of not affording them sufficient opportunity and </w:t>
      </w:r>
      <w:r w:rsidR="00E14A7B" w:rsidRPr="004379AA">
        <w:rPr>
          <w:rFonts w:ascii="Arial" w:eastAsia="Times New Roman" w:hAnsi="Arial" w:cs="Arial"/>
          <w:bCs/>
          <w:kern w:val="36"/>
          <w:lang w:eastAsia="en-GB"/>
        </w:rPr>
        <w:t>information</w:t>
      </w:r>
      <w:r w:rsidRPr="004379AA">
        <w:rPr>
          <w:rFonts w:ascii="Arial" w:eastAsia="Times New Roman" w:hAnsi="Arial" w:cs="Arial"/>
          <w:bCs/>
          <w:kern w:val="36"/>
          <w:lang w:eastAsia="en-GB"/>
        </w:rPr>
        <w:t xml:space="preserve"> to make meaningful representations</w:t>
      </w:r>
      <w:r w:rsidR="00E14A7B"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and the former accusing the latter of dither and obstructive behaviour aimed at frustrating the implementation of a law meant to achieve important national objectives.</w:t>
      </w:r>
      <w:r w:rsidR="00646976" w:rsidRPr="004379AA">
        <w:rPr>
          <w:rFonts w:ascii="Arial" w:eastAsia="Times New Roman" w:hAnsi="Arial" w:cs="Arial"/>
          <w:bCs/>
          <w:kern w:val="36"/>
          <w:lang w:eastAsia="en-GB"/>
        </w:rPr>
        <w:t xml:space="preserve"> During the course of the correspondence, the respondents alleged that both the proposed notices and the NNRCA are unconstitutional and threatened to mount court challenges </w:t>
      </w:r>
      <w:r w:rsidR="00AD14A0" w:rsidRPr="004379AA">
        <w:rPr>
          <w:rFonts w:ascii="Arial" w:eastAsia="Times New Roman" w:hAnsi="Arial" w:cs="Arial"/>
          <w:bCs/>
          <w:kern w:val="36"/>
          <w:lang w:eastAsia="en-GB"/>
        </w:rPr>
        <w:t>to</w:t>
      </w:r>
      <w:r w:rsidR="00646976" w:rsidRPr="004379AA">
        <w:rPr>
          <w:rFonts w:ascii="Arial" w:eastAsia="Times New Roman" w:hAnsi="Arial" w:cs="Arial"/>
          <w:bCs/>
          <w:kern w:val="36"/>
          <w:lang w:eastAsia="en-GB"/>
        </w:rPr>
        <w:t xml:space="preserve"> them.</w:t>
      </w:r>
    </w:p>
    <w:p w14:paraId="17D3E63C" w14:textId="77777777" w:rsidR="007757CD" w:rsidRPr="004379AA" w:rsidRDefault="007757CD" w:rsidP="00AE0554">
      <w:pPr>
        <w:pStyle w:val="ListParagraph"/>
        <w:spacing w:line="480" w:lineRule="auto"/>
        <w:rPr>
          <w:rFonts w:ascii="Arial" w:eastAsia="Times New Roman" w:hAnsi="Arial" w:cs="Arial"/>
          <w:bCs/>
          <w:kern w:val="36"/>
          <w:lang w:eastAsia="en-GB"/>
        </w:rPr>
      </w:pPr>
    </w:p>
    <w:p w14:paraId="5350B480" w14:textId="2E04D8E1" w:rsidR="007757CD" w:rsidRPr="004379AA" w:rsidRDefault="006C7789"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In the event, in November 2017 several insurance companies, including the first to eighth respondents, challenged the constitutionality of the NNRCA on the </w:t>
      </w:r>
      <w:r w:rsidR="00AD14A0" w:rsidRPr="004379AA">
        <w:rPr>
          <w:rFonts w:ascii="Arial" w:eastAsia="Times New Roman" w:hAnsi="Arial" w:cs="Arial"/>
          <w:bCs/>
          <w:kern w:val="36"/>
          <w:lang w:eastAsia="en-GB"/>
        </w:rPr>
        <w:t xml:space="preserve">grounds that the material provisions of Part V </w:t>
      </w:r>
      <w:r w:rsidR="005542BB" w:rsidRPr="004379AA">
        <w:rPr>
          <w:rFonts w:ascii="Arial" w:eastAsia="Times New Roman" w:hAnsi="Arial" w:cs="Arial"/>
          <w:bCs/>
          <w:kern w:val="36"/>
          <w:lang w:eastAsia="en-GB"/>
        </w:rPr>
        <w:t>are</w:t>
      </w:r>
      <w:r w:rsidR="00AD14A0" w:rsidRPr="004379AA">
        <w:rPr>
          <w:rFonts w:ascii="Arial" w:eastAsia="Times New Roman" w:hAnsi="Arial" w:cs="Arial"/>
          <w:bCs/>
          <w:kern w:val="36"/>
          <w:lang w:eastAsia="en-GB"/>
        </w:rPr>
        <w:t>:</w:t>
      </w:r>
      <w:r w:rsidR="005542BB" w:rsidRPr="004379AA">
        <w:rPr>
          <w:rFonts w:ascii="Arial" w:eastAsia="Times New Roman" w:hAnsi="Arial" w:cs="Arial"/>
          <w:bCs/>
          <w:kern w:val="36"/>
          <w:lang w:eastAsia="en-GB"/>
        </w:rPr>
        <w:t xml:space="preserve"> </w:t>
      </w:r>
      <w:r w:rsidR="00BA0492" w:rsidRPr="004379AA">
        <w:rPr>
          <w:rFonts w:ascii="Arial" w:eastAsia="Times New Roman" w:hAnsi="Arial" w:cs="Arial"/>
          <w:bCs/>
          <w:kern w:val="36"/>
          <w:lang w:eastAsia="en-GB"/>
        </w:rPr>
        <w:t>‘irrational; conduce to arbitrariness; violate the resp</w:t>
      </w:r>
      <w:r w:rsidR="008D2948" w:rsidRPr="004379AA">
        <w:rPr>
          <w:rFonts w:ascii="Arial" w:eastAsia="Times New Roman" w:hAnsi="Arial" w:cs="Arial"/>
          <w:bCs/>
          <w:kern w:val="36"/>
          <w:lang w:eastAsia="en-GB"/>
        </w:rPr>
        <w:t>o</w:t>
      </w:r>
      <w:r w:rsidR="00BA0492" w:rsidRPr="004379AA">
        <w:rPr>
          <w:rFonts w:ascii="Arial" w:eastAsia="Times New Roman" w:hAnsi="Arial" w:cs="Arial"/>
          <w:bCs/>
          <w:kern w:val="36"/>
          <w:lang w:eastAsia="en-GB"/>
        </w:rPr>
        <w:t>ndents’ constitutional rights</w:t>
      </w:r>
      <w:r w:rsidR="00AD14A0" w:rsidRPr="004379AA">
        <w:rPr>
          <w:rFonts w:ascii="Arial" w:eastAsia="Times New Roman" w:hAnsi="Arial" w:cs="Arial"/>
          <w:bCs/>
          <w:kern w:val="36"/>
          <w:lang w:eastAsia="en-GB"/>
        </w:rPr>
        <w:t>;</w:t>
      </w:r>
      <w:r w:rsidR="00BA0492" w:rsidRPr="004379AA">
        <w:rPr>
          <w:rFonts w:ascii="Arial" w:eastAsia="Times New Roman" w:hAnsi="Arial" w:cs="Arial"/>
          <w:bCs/>
          <w:kern w:val="36"/>
          <w:lang w:eastAsia="en-GB"/>
        </w:rPr>
        <w:t xml:space="preserve"> foreign-investment unfriendly</w:t>
      </w:r>
      <w:r w:rsidR="00AD14A0" w:rsidRPr="004379AA">
        <w:rPr>
          <w:rFonts w:ascii="Arial" w:eastAsia="Times New Roman" w:hAnsi="Arial" w:cs="Arial"/>
          <w:bCs/>
          <w:kern w:val="36"/>
          <w:lang w:eastAsia="en-GB"/>
        </w:rPr>
        <w:t>;</w:t>
      </w:r>
      <w:r w:rsidR="00BA0492" w:rsidRPr="004379AA">
        <w:rPr>
          <w:rFonts w:ascii="Arial" w:eastAsia="Times New Roman" w:hAnsi="Arial" w:cs="Arial"/>
          <w:bCs/>
          <w:kern w:val="36"/>
          <w:lang w:eastAsia="en-GB"/>
        </w:rPr>
        <w:t xml:space="preserve"> authoritarian</w:t>
      </w:r>
      <w:r w:rsidR="00AD14A0" w:rsidRPr="004379AA">
        <w:rPr>
          <w:rFonts w:ascii="Arial" w:eastAsia="Times New Roman" w:hAnsi="Arial" w:cs="Arial"/>
          <w:bCs/>
          <w:kern w:val="36"/>
          <w:lang w:eastAsia="en-GB"/>
        </w:rPr>
        <w:t>;</w:t>
      </w:r>
      <w:r w:rsidR="00BA0492" w:rsidRPr="004379AA">
        <w:rPr>
          <w:rFonts w:ascii="Arial" w:eastAsia="Times New Roman" w:hAnsi="Arial" w:cs="Arial"/>
          <w:bCs/>
          <w:kern w:val="36"/>
          <w:lang w:eastAsia="en-GB"/>
        </w:rPr>
        <w:t xml:space="preserve"> oppressive</w:t>
      </w:r>
      <w:r w:rsidR="00AD14A0" w:rsidRPr="004379AA">
        <w:rPr>
          <w:rFonts w:ascii="Arial" w:eastAsia="Times New Roman" w:hAnsi="Arial" w:cs="Arial"/>
          <w:bCs/>
          <w:kern w:val="36"/>
          <w:lang w:eastAsia="en-GB"/>
        </w:rPr>
        <w:t>;</w:t>
      </w:r>
      <w:r w:rsidR="00BA0492" w:rsidRPr="004379AA">
        <w:rPr>
          <w:rFonts w:ascii="Arial" w:eastAsia="Times New Roman" w:hAnsi="Arial" w:cs="Arial"/>
          <w:bCs/>
          <w:kern w:val="36"/>
          <w:lang w:eastAsia="en-GB"/>
        </w:rPr>
        <w:t xml:space="preserve"> retrogressive</w:t>
      </w:r>
      <w:r w:rsidR="00AD14A0" w:rsidRPr="004379AA">
        <w:rPr>
          <w:rFonts w:ascii="Arial" w:eastAsia="Times New Roman" w:hAnsi="Arial" w:cs="Arial"/>
          <w:bCs/>
          <w:kern w:val="36"/>
          <w:lang w:eastAsia="en-GB"/>
        </w:rPr>
        <w:t>,</w:t>
      </w:r>
      <w:r w:rsidR="008D2948" w:rsidRPr="004379AA">
        <w:rPr>
          <w:rFonts w:ascii="Arial" w:eastAsia="Times New Roman" w:hAnsi="Arial" w:cs="Arial"/>
          <w:bCs/>
          <w:kern w:val="36"/>
          <w:lang w:eastAsia="en-GB"/>
        </w:rPr>
        <w:t xml:space="preserve"> and prejudices Namibian insurance consumers and the Namibian economy.’ It is said that the NNRCA ‘coerces the respondents by way of compulsory cessions (sections 39 and 40) to associate, agree and do business with NamibRe against their will or choice.</w:t>
      </w:r>
      <w:r w:rsidR="005542BB" w:rsidRPr="004379AA">
        <w:rPr>
          <w:rFonts w:ascii="Arial" w:eastAsia="Times New Roman" w:hAnsi="Arial" w:cs="Arial"/>
          <w:bCs/>
          <w:kern w:val="36"/>
          <w:lang w:eastAsia="en-GB"/>
        </w:rPr>
        <w:t>’</w:t>
      </w:r>
      <w:r w:rsidR="008D2948" w:rsidRPr="004379AA">
        <w:rPr>
          <w:rFonts w:ascii="Arial" w:eastAsia="Times New Roman" w:hAnsi="Arial" w:cs="Arial"/>
          <w:bCs/>
          <w:kern w:val="36"/>
          <w:lang w:eastAsia="en-GB"/>
        </w:rPr>
        <w:t xml:space="preserve"> </w:t>
      </w:r>
      <w:r w:rsidR="00AD14A0" w:rsidRPr="004379AA">
        <w:rPr>
          <w:rFonts w:ascii="Arial" w:eastAsia="Times New Roman" w:hAnsi="Arial" w:cs="Arial"/>
          <w:bCs/>
          <w:kern w:val="36"/>
          <w:lang w:eastAsia="en-GB"/>
        </w:rPr>
        <w:t>The allegation further goes that</w:t>
      </w:r>
      <w:r w:rsidR="005542BB" w:rsidRPr="004379AA">
        <w:rPr>
          <w:rFonts w:ascii="Arial" w:eastAsia="Times New Roman" w:hAnsi="Arial" w:cs="Arial"/>
          <w:bCs/>
          <w:kern w:val="36"/>
          <w:lang w:eastAsia="en-GB"/>
        </w:rPr>
        <w:t xml:space="preserve"> the</w:t>
      </w:r>
      <w:r w:rsidR="008D2948" w:rsidRPr="004379AA">
        <w:rPr>
          <w:rFonts w:ascii="Arial" w:eastAsia="Times New Roman" w:hAnsi="Arial" w:cs="Arial"/>
          <w:bCs/>
          <w:kern w:val="36"/>
          <w:lang w:eastAsia="en-GB"/>
        </w:rPr>
        <w:t xml:space="preserve"> regulatory scheme enacted by the Minister ‘constitutes a barrier to Article 21 rights, constitutes a limitation or restriction as envisaged in Article 21(2) and 22 of the Constitution</w:t>
      </w:r>
      <w:r w:rsidR="00DA4D4A" w:rsidRPr="004379AA">
        <w:rPr>
          <w:rFonts w:ascii="Arial" w:eastAsia="Times New Roman" w:hAnsi="Arial" w:cs="Arial"/>
          <w:bCs/>
          <w:kern w:val="36"/>
          <w:lang w:eastAsia="en-GB"/>
        </w:rPr>
        <w:t>’</w:t>
      </w:r>
      <w:r w:rsidR="008D2948" w:rsidRPr="004379AA">
        <w:rPr>
          <w:rFonts w:ascii="Arial" w:eastAsia="Times New Roman" w:hAnsi="Arial" w:cs="Arial"/>
          <w:bCs/>
          <w:kern w:val="36"/>
          <w:lang w:eastAsia="en-GB"/>
        </w:rPr>
        <w:t>. T</w:t>
      </w:r>
      <w:r w:rsidR="00DA4D4A" w:rsidRPr="004379AA">
        <w:rPr>
          <w:rFonts w:ascii="Arial" w:eastAsia="Times New Roman" w:hAnsi="Arial" w:cs="Arial"/>
          <w:bCs/>
          <w:kern w:val="36"/>
          <w:lang w:eastAsia="en-GB"/>
        </w:rPr>
        <w:t>hat the</w:t>
      </w:r>
      <w:r w:rsidR="008D2948" w:rsidRPr="004379AA">
        <w:rPr>
          <w:rFonts w:ascii="Arial" w:eastAsia="Times New Roman" w:hAnsi="Arial" w:cs="Arial"/>
          <w:bCs/>
          <w:kern w:val="36"/>
          <w:lang w:eastAsia="en-GB"/>
        </w:rPr>
        <w:t xml:space="preserve"> impugned provisions breach the respondents’ </w:t>
      </w:r>
      <w:r w:rsidR="00416A49" w:rsidRPr="004379AA">
        <w:rPr>
          <w:rFonts w:ascii="Arial" w:eastAsia="Times New Roman" w:hAnsi="Arial" w:cs="Arial"/>
          <w:bCs/>
          <w:kern w:val="36"/>
          <w:lang w:eastAsia="en-GB"/>
        </w:rPr>
        <w:t xml:space="preserve">and the insured’s </w:t>
      </w:r>
      <w:r w:rsidR="00234608">
        <w:rPr>
          <w:rFonts w:ascii="Arial" w:eastAsia="Times New Roman" w:hAnsi="Arial" w:cs="Arial"/>
          <w:bCs/>
          <w:kern w:val="36"/>
          <w:lang w:eastAsia="en-GB"/>
        </w:rPr>
        <w:t>Article</w:t>
      </w:r>
      <w:r w:rsidR="008D2948" w:rsidRPr="004379AA">
        <w:rPr>
          <w:rFonts w:ascii="Arial" w:eastAsia="Times New Roman" w:hAnsi="Arial" w:cs="Arial"/>
          <w:bCs/>
          <w:kern w:val="36"/>
          <w:lang w:eastAsia="en-GB"/>
        </w:rPr>
        <w:t xml:space="preserve"> 16 property rights and do not pass muster because they ‘</w:t>
      </w:r>
      <w:r w:rsidR="00DA4D4A" w:rsidRPr="004379AA">
        <w:rPr>
          <w:rFonts w:ascii="Arial" w:eastAsia="Times New Roman" w:hAnsi="Arial" w:cs="Arial"/>
          <w:bCs/>
          <w:kern w:val="36"/>
          <w:lang w:eastAsia="en-GB"/>
        </w:rPr>
        <w:t>expropriate</w:t>
      </w:r>
      <w:r w:rsidR="008D2948" w:rsidRPr="004379AA">
        <w:rPr>
          <w:rFonts w:ascii="Arial" w:eastAsia="Times New Roman" w:hAnsi="Arial" w:cs="Arial"/>
          <w:bCs/>
          <w:kern w:val="36"/>
          <w:lang w:eastAsia="en-GB"/>
        </w:rPr>
        <w:t xml:space="preserve">’ property </w:t>
      </w:r>
      <w:r w:rsidR="00416A49" w:rsidRPr="004379AA">
        <w:rPr>
          <w:rFonts w:ascii="Arial" w:eastAsia="Times New Roman" w:hAnsi="Arial" w:cs="Arial"/>
          <w:bCs/>
          <w:kern w:val="36"/>
          <w:lang w:eastAsia="en-GB"/>
        </w:rPr>
        <w:t xml:space="preserve">by ‘means which surpasses permissible forms of regulation’. </w:t>
      </w:r>
    </w:p>
    <w:p w14:paraId="0245163F" w14:textId="77777777" w:rsidR="007757CD" w:rsidRPr="004379AA" w:rsidRDefault="007757CD" w:rsidP="00AE0554">
      <w:pPr>
        <w:pStyle w:val="ListParagraph"/>
        <w:spacing w:line="480" w:lineRule="auto"/>
        <w:rPr>
          <w:rFonts w:ascii="Arial" w:eastAsia="Times New Roman" w:hAnsi="Arial" w:cs="Arial"/>
          <w:bCs/>
          <w:kern w:val="36"/>
          <w:lang w:eastAsia="en-GB"/>
        </w:rPr>
      </w:pPr>
    </w:p>
    <w:p w14:paraId="1909E42C" w14:textId="18C24A6A" w:rsidR="007757CD" w:rsidRPr="004379AA" w:rsidRDefault="00DA4D4A" w:rsidP="00AE0554">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It is further alleged that t</w:t>
      </w:r>
      <w:r w:rsidR="00416A49" w:rsidRPr="004379AA">
        <w:rPr>
          <w:rFonts w:ascii="Arial" w:eastAsia="Times New Roman" w:hAnsi="Arial" w:cs="Arial"/>
          <w:bCs/>
          <w:kern w:val="36"/>
          <w:lang w:eastAsia="en-GB"/>
        </w:rPr>
        <w:t xml:space="preserve">he ‘so-called just compensation’ provided for under the NNRCA ‘is determined in the unguided discretion of the Minister. That kind of discretion is not constitutionally permissible.’ </w:t>
      </w:r>
      <w:r w:rsidRPr="004379AA">
        <w:rPr>
          <w:rFonts w:ascii="Arial" w:eastAsia="Times New Roman" w:hAnsi="Arial" w:cs="Arial"/>
          <w:bCs/>
          <w:kern w:val="36"/>
          <w:lang w:eastAsia="en-GB"/>
        </w:rPr>
        <w:t>The challengers of the NNRCA further assert that</w:t>
      </w:r>
      <w:r w:rsidR="00416A49" w:rsidRPr="004379AA">
        <w:rPr>
          <w:rFonts w:ascii="Arial" w:eastAsia="Times New Roman" w:hAnsi="Arial" w:cs="Arial"/>
          <w:bCs/>
          <w:kern w:val="36"/>
          <w:lang w:eastAsia="en-GB"/>
        </w:rPr>
        <w:t xml:space="preserve"> the </w:t>
      </w:r>
      <w:r w:rsidR="00416A49" w:rsidRPr="004379AA">
        <w:rPr>
          <w:rFonts w:ascii="Arial" w:eastAsia="Times New Roman" w:hAnsi="Arial" w:cs="Arial"/>
          <w:bCs/>
          <w:kern w:val="36"/>
          <w:lang w:eastAsia="en-GB"/>
        </w:rPr>
        <w:lastRenderedPageBreak/>
        <w:t>NNRCA ‘sets out no principle or procedure in which an independent court or tribunal can determine what ‘just compensation’ means.</w:t>
      </w:r>
      <w:r w:rsidR="00AD14A0" w:rsidRPr="004379AA">
        <w:rPr>
          <w:rFonts w:ascii="Arial" w:eastAsia="Times New Roman" w:hAnsi="Arial" w:cs="Arial"/>
          <w:bCs/>
          <w:kern w:val="36"/>
          <w:lang w:eastAsia="en-GB"/>
        </w:rPr>
        <w:t xml:space="preserve"> R</w:t>
      </w:r>
      <w:r w:rsidR="002D648D" w:rsidRPr="004379AA">
        <w:rPr>
          <w:rFonts w:ascii="Arial" w:eastAsia="Times New Roman" w:hAnsi="Arial" w:cs="Arial"/>
          <w:bCs/>
          <w:kern w:val="36"/>
          <w:lang w:eastAsia="en-GB"/>
        </w:rPr>
        <w:t xml:space="preserve">eliance </w:t>
      </w:r>
      <w:r w:rsidR="00AD14A0" w:rsidRPr="004379AA">
        <w:rPr>
          <w:rFonts w:ascii="Arial" w:eastAsia="Times New Roman" w:hAnsi="Arial" w:cs="Arial"/>
          <w:bCs/>
          <w:kern w:val="36"/>
          <w:lang w:eastAsia="en-GB"/>
        </w:rPr>
        <w:t xml:space="preserve">is also </w:t>
      </w:r>
      <w:r w:rsidR="002D648D" w:rsidRPr="004379AA">
        <w:rPr>
          <w:rFonts w:ascii="Arial" w:eastAsia="Times New Roman" w:hAnsi="Arial" w:cs="Arial"/>
          <w:bCs/>
          <w:kern w:val="36"/>
          <w:lang w:eastAsia="en-GB"/>
        </w:rPr>
        <w:t xml:space="preserve">placed on </w:t>
      </w:r>
      <w:r w:rsidR="00E83212">
        <w:rPr>
          <w:rFonts w:ascii="Arial" w:eastAsia="Times New Roman" w:hAnsi="Arial" w:cs="Arial"/>
          <w:bCs/>
          <w:kern w:val="36"/>
          <w:lang w:eastAsia="en-GB"/>
        </w:rPr>
        <w:t>Article</w:t>
      </w:r>
      <w:r w:rsidR="002D648D" w:rsidRPr="004379AA">
        <w:rPr>
          <w:rFonts w:ascii="Arial" w:eastAsia="Times New Roman" w:hAnsi="Arial" w:cs="Arial"/>
          <w:bCs/>
          <w:kern w:val="36"/>
          <w:lang w:eastAsia="en-GB"/>
        </w:rPr>
        <w:t xml:space="preserve"> 10 of the Constitution</w:t>
      </w:r>
      <w:r w:rsidR="00E6727E" w:rsidRPr="004379AA">
        <w:rPr>
          <w:rFonts w:ascii="Arial" w:eastAsia="Times New Roman" w:hAnsi="Arial" w:cs="Arial"/>
          <w:bCs/>
          <w:kern w:val="36"/>
          <w:lang w:eastAsia="en-GB"/>
        </w:rPr>
        <w:t xml:space="preserve"> alleging that the NNRCA Chapter V regime is </w:t>
      </w:r>
      <w:r w:rsidR="00AD14A0"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discriminatory</w:t>
      </w:r>
      <w:r w:rsidR="00AD14A0"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 xml:space="preserve">. It is then stated that the limitation of the respondents’ </w:t>
      </w:r>
      <w:r w:rsidR="00D03AE4">
        <w:rPr>
          <w:rFonts w:ascii="Arial" w:eastAsia="Times New Roman" w:hAnsi="Arial" w:cs="Arial"/>
          <w:bCs/>
          <w:kern w:val="36"/>
          <w:lang w:eastAsia="en-GB"/>
        </w:rPr>
        <w:t xml:space="preserve">Article </w:t>
      </w:r>
      <w:r w:rsidR="00E6727E" w:rsidRPr="004379AA">
        <w:rPr>
          <w:rFonts w:ascii="Arial" w:eastAsia="Times New Roman" w:hAnsi="Arial" w:cs="Arial"/>
          <w:bCs/>
          <w:kern w:val="36"/>
          <w:lang w:eastAsia="en-GB"/>
        </w:rPr>
        <w:t>21</w:t>
      </w:r>
      <w:r w:rsidR="00AD14A0" w:rsidRPr="004379AA">
        <w:rPr>
          <w:rFonts w:ascii="Arial" w:eastAsia="Times New Roman" w:hAnsi="Arial" w:cs="Arial"/>
          <w:bCs/>
          <w:kern w:val="36"/>
          <w:lang w:eastAsia="en-GB"/>
        </w:rPr>
        <w:t>(1)</w:t>
      </w:r>
      <w:r w:rsidR="00F86155" w:rsidRPr="004379AA">
        <w:rPr>
          <w:rFonts w:ascii="Arial" w:eastAsia="Times New Roman" w:hAnsi="Arial" w:cs="Arial"/>
          <w:bCs/>
          <w:kern w:val="36"/>
          <w:lang w:eastAsia="en-GB"/>
        </w:rPr>
        <w:t xml:space="preserve"> </w:t>
      </w:r>
      <w:r w:rsidR="00AD14A0" w:rsidRPr="00055F02">
        <w:rPr>
          <w:rFonts w:ascii="Arial" w:eastAsia="Times New Roman" w:hAnsi="Arial" w:cs="Arial"/>
          <w:bCs/>
          <w:kern w:val="36"/>
          <w:lang w:eastAsia="en-GB"/>
        </w:rPr>
        <w:t>(j)</w:t>
      </w:r>
      <w:r w:rsidR="00AD14A0" w:rsidRPr="004379AA">
        <w:rPr>
          <w:rFonts w:ascii="Arial" w:eastAsia="Times New Roman" w:hAnsi="Arial" w:cs="Arial"/>
          <w:bCs/>
          <w:kern w:val="36"/>
          <w:lang w:eastAsia="en-GB"/>
        </w:rPr>
        <w:t xml:space="preserve"> right</w:t>
      </w:r>
      <w:r w:rsidR="00E6727E" w:rsidRPr="004379AA">
        <w:rPr>
          <w:rFonts w:ascii="Arial" w:eastAsia="Times New Roman" w:hAnsi="Arial" w:cs="Arial"/>
          <w:bCs/>
          <w:kern w:val="36"/>
          <w:lang w:eastAsia="en-GB"/>
        </w:rPr>
        <w:t xml:space="preserve"> to trade is invalid because there is no </w:t>
      </w:r>
      <w:r w:rsidR="00F86155"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ascertainable extent of the limitation</w:t>
      </w:r>
      <w:r w:rsidR="00F86155"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 xml:space="preserve"> and that it </w:t>
      </w:r>
      <w:r w:rsidR="00F86155"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negates the essential content of the right</w:t>
      </w:r>
      <w:r w:rsidR="00F86155" w:rsidRPr="004379AA">
        <w:rPr>
          <w:rFonts w:ascii="Arial" w:eastAsia="Times New Roman" w:hAnsi="Arial" w:cs="Arial"/>
          <w:bCs/>
          <w:kern w:val="36"/>
          <w:lang w:eastAsia="en-GB"/>
        </w:rPr>
        <w:t>’</w:t>
      </w:r>
      <w:r w:rsidR="00E6727E" w:rsidRPr="004379AA">
        <w:rPr>
          <w:rFonts w:ascii="Arial" w:eastAsia="Times New Roman" w:hAnsi="Arial" w:cs="Arial"/>
          <w:bCs/>
          <w:kern w:val="36"/>
          <w:lang w:eastAsia="en-GB"/>
        </w:rPr>
        <w:t xml:space="preserve"> of the respondents to trade as insurers. </w:t>
      </w:r>
    </w:p>
    <w:p w14:paraId="628B4A52"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10750070" w14:textId="77777777" w:rsidR="007757CD" w:rsidRPr="001751A1" w:rsidRDefault="00DA4D4A"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Even after the constitutional challenge, s</w:t>
      </w:r>
      <w:r w:rsidR="003D1171" w:rsidRPr="004379AA">
        <w:rPr>
          <w:rFonts w:ascii="Arial" w:eastAsia="Times New Roman" w:hAnsi="Arial" w:cs="Arial"/>
          <w:bCs/>
          <w:kern w:val="36"/>
          <w:lang w:eastAsia="en-GB"/>
        </w:rPr>
        <w:t xml:space="preserve">everal insurance companies and other interested parties made representations to the Minister </w:t>
      </w:r>
      <w:r w:rsidRPr="004379AA">
        <w:rPr>
          <w:rFonts w:ascii="Arial" w:eastAsia="Times New Roman" w:hAnsi="Arial" w:cs="Arial"/>
          <w:bCs/>
          <w:kern w:val="36"/>
          <w:lang w:eastAsia="en-GB"/>
        </w:rPr>
        <w:t xml:space="preserve">on the proposed notices; </w:t>
      </w:r>
      <w:r w:rsidR="003D1171" w:rsidRPr="004379AA">
        <w:rPr>
          <w:rFonts w:ascii="Arial" w:eastAsia="Times New Roman" w:hAnsi="Arial" w:cs="Arial"/>
          <w:bCs/>
          <w:kern w:val="36"/>
          <w:lang w:eastAsia="en-GB"/>
        </w:rPr>
        <w:t xml:space="preserve">and </w:t>
      </w:r>
      <w:r w:rsidR="00CB26B0" w:rsidRPr="004379AA">
        <w:rPr>
          <w:rFonts w:ascii="Arial" w:eastAsia="Times New Roman" w:hAnsi="Arial" w:cs="Arial"/>
          <w:bCs/>
          <w:kern w:val="36"/>
          <w:lang w:eastAsia="en-GB"/>
        </w:rPr>
        <w:t>ultimately,</w:t>
      </w:r>
      <w:r w:rsidRPr="004379AA">
        <w:rPr>
          <w:rFonts w:ascii="Arial" w:eastAsia="Times New Roman" w:hAnsi="Arial" w:cs="Arial"/>
          <w:bCs/>
          <w:kern w:val="36"/>
          <w:lang w:eastAsia="en-GB"/>
        </w:rPr>
        <w:t xml:space="preserve"> </w:t>
      </w:r>
      <w:r w:rsidR="003D1171" w:rsidRPr="004379AA">
        <w:rPr>
          <w:rFonts w:ascii="Arial" w:eastAsia="Times New Roman" w:hAnsi="Arial" w:cs="Arial"/>
          <w:bCs/>
          <w:kern w:val="36"/>
          <w:lang w:eastAsia="en-GB"/>
        </w:rPr>
        <w:t>participated in a consultative meeting called by the Minister on 20 October 2017. The purpose of the consultative meeting was</w:t>
      </w:r>
      <w:r w:rsidR="0032165C" w:rsidRPr="004379AA">
        <w:rPr>
          <w:rFonts w:ascii="Arial" w:eastAsia="Times New Roman" w:hAnsi="Arial" w:cs="Arial"/>
          <w:bCs/>
          <w:kern w:val="36"/>
          <w:lang w:eastAsia="en-GB"/>
        </w:rPr>
        <w:t>, according to the Minister,</w:t>
      </w:r>
      <w:r w:rsidR="003D1171" w:rsidRPr="004379AA">
        <w:rPr>
          <w:rFonts w:ascii="Arial" w:eastAsia="Times New Roman" w:hAnsi="Arial" w:cs="Arial"/>
          <w:bCs/>
          <w:kern w:val="36"/>
          <w:lang w:eastAsia="en-GB"/>
        </w:rPr>
        <w:t xml:space="preserve"> </w:t>
      </w:r>
      <w:r w:rsidR="0032165C" w:rsidRPr="004379AA">
        <w:rPr>
          <w:rFonts w:ascii="Arial" w:eastAsia="Times New Roman" w:hAnsi="Arial" w:cs="Arial"/>
          <w:bCs/>
          <w:kern w:val="36"/>
          <w:lang w:eastAsia="en-GB"/>
        </w:rPr>
        <w:t>‘</w:t>
      </w:r>
      <w:r w:rsidR="003D1171" w:rsidRPr="004379AA">
        <w:rPr>
          <w:rFonts w:ascii="Arial" w:eastAsia="Times New Roman" w:hAnsi="Arial" w:cs="Arial"/>
          <w:bCs/>
          <w:kern w:val="36"/>
          <w:lang w:eastAsia="en-GB"/>
        </w:rPr>
        <w:t xml:space="preserve">to </w:t>
      </w:r>
      <w:r w:rsidR="0032165C" w:rsidRPr="004379AA">
        <w:rPr>
          <w:rFonts w:ascii="Arial" w:eastAsia="Times New Roman" w:hAnsi="Arial" w:cs="Arial"/>
          <w:bCs/>
          <w:kern w:val="36"/>
          <w:lang w:eastAsia="en-GB"/>
        </w:rPr>
        <w:t>a</w:t>
      </w:r>
      <w:r w:rsidR="003D1171" w:rsidRPr="004379AA">
        <w:rPr>
          <w:rFonts w:ascii="Arial" w:eastAsia="Times New Roman" w:hAnsi="Arial" w:cs="Arial"/>
          <w:bCs/>
          <w:kern w:val="36"/>
          <w:lang w:eastAsia="en-GB"/>
        </w:rPr>
        <w:t xml:space="preserve">fford </w:t>
      </w:r>
      <w:r w:rsidR="0032165C" w:rsidRPr="004379AA">
        <w:rPr>
          <w:rFonts w:ascii="Arial" w:eastAsia="Times New Roman" w:hAnsi="Arial" w:cs="Arial"/>
          <w:bCs/>
          <w:kern w:val="36"/>
          <w:lang w:eastAsia="en-GB"/>
        </w:rPr>
        <w:t xml:space="preserve">those who had made representations on the proposed measures to make oral representations on any specific issues arising from the written representations received.’ The respondents sent a representative to </w:t>
      </w:r>
      <w:r w:rsidR="00F86155" w:rsidRPr="004379AA">
        <w:rPr>
          <w:rFonts w:ascii="Arial" w:eastAsia="Times New Roman" w:hAnsi="Arial" w:cs="Arial"/>
          <w:bCs/>
          <w:kern w:val="36"/>
          <w:lang w:eastAsia="en-GB"/>
        </w:rPr>
        <w:t xml:space="preserve">the consultative meeting </w:t>
      </w:r>
      <w:r w:rsidR="0032165C" w:rsidRPr="004379AA">
        <w:rPr>
          <w:rFonts w:ascii="Arial" w:eastAsia="Times New Roman" w:hAnsi="Arial" w:cs="Arial"/>
          <w:bCs/>
          <w:kern w:val="36"/>
          <w:lang w:eastAsia="en-GB"/>
        </w:rPr>
        <w:t>but, as the Minister alleges, ‘unfortunately… not to contribute to the process in a single respect… [but] for the singular purpose of recording their position that they would not make representations’.</w:t>
      </w:r>
    </w:p>
    <w:p w14:paraId="24EDA635" w14:textId="77777777" w:rsidR="001751A1" w:rsidRPr="004379AA" w:rsidRDefault="001751A1" w:rsidP="001751A1">
      <w:pPr>
        <w:tabs>
          <w:tab w:val="left" w:pos="851"/>
        </w:tabs>
        <w:spacing w:line="480" w:lineRule="auto"/>
        <w:contextualSpacing/>
        <w:jc w:val="both"/>
        <w:rPr>
          <w:rFonts w:ascii="Arial" w:hAnsi="Arial" w:cs="Arial"/>
        </w:rPr>
      </w:pPr>
    </w:p>
    <w:p w14:paraId="71AFFCD8" w14:textId="77777777" w:rsidR="007757CD" w:rsidRPr="004379AA" w:rsidRDefault="0032165C"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According to the Minister, the deliberations of 20 October 2017 had an ‘important effect on his decision</w:t>
      </w:r>
      <w:r w:rsidR="00DA4D4A"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In multiple respects, they informed it, and led to what might have been a decision in different terms had there not been an open, inclusive consultative process with vigorous participation</w:t>
      </w:r>
      <w:r w:rsidR="00DA4D4A" w:rsidRPr="004379AA">
        <w:rPr>
          <w:rFonts w:ascii="Arial" w:eastAsia="Times New Roman" w:hAnsi="Arial" w:cs="Arial"/>
          <w:bCs/>
          <w:kern w:val="36"/>
          <w:lang w:eastAsia="en-GB"/>
        </w:rPr>
        <w:t>’</w:t>
      </w:r>
      <w:r w:rsidRPr="004379AA">
        <w:rPr>
          <w:rFonts w:ascii="Arial" w:eastAsia="Times New Roman" w:hAnsi="Arial" w:cs="Arial"/>
          <w:bCs/>
          <w:kern w:val="36"/>
          <w:lang w:eastAsia="en-GB"/>
        </w:rPr>
        <w:t>.</w:t>
      </w:r>
    </w:p>
    <w:p w14:paraId="6B6133B5" w14:textId="77777777" w:rsidR="007757CD" w:rsidRPr="004379AA" w:rsidRDefault="007757CD" w:rsidP="00BA3477">
      <w:pPr>
        <w:pStyle w:val="ListParagraph"/>
        <w:spacing w:line="480" w:lineRule="auto"/>
        <w:rPr>
          <w:rFonts w:ascii="Arial" w:eastAsia="Times New Roman" w:hAnsi="Arial" w:cs="Arial"/>
          <w:bCs/>
          <w:kern w:val="36"/>
          <w:lang w:eastAsia="en-GB"/>
        </w:rPr>
      </w:pPr>
    </w:p>
    <w:p w14:paraId="1C8E75E8" w14:textId="3AC23B9A" w:rsidR="007757CD" w:rsidRPr="004379AA" w:rsidRDefault="0032165C"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Informed by the deliberations of the consultative meeting, the Minister alleges</w:t>
      </w:r>
      <w:r w:rsidR="006C7789" w:rsidRPr="004379AA">
        <w:rPr>
          <w:rFonts w:ascii="Arial" w:eastAsia="Times New Roman" w:hAnsi="Arial" w:cs="Arial"/>
          <w:bCs/>
          <w:kern w:val="36"/>
          <w:lang w:eastAsia="en-GB"/>
        </w:rPr>
        <w:t xml:space="preserve">, </w:t>
      </w:r>
      <w:r w:rsidRPr="004379AA">
        <w:rPr>
          <w:rFonts w:ascii="Arial" w:eastAsia="Times New Roman" w:hAnsi="Arial" w:cs="Arial"/>
          <w:bCs/>
          <w:kern w:val="36"/>
          <w:lang w:eastAsia="en-GB"/>
        </w:rPr>
        <w:t xml:space="preserve">he revised the 2016 notices </w:t>
      </w:r>
      <w:r w:rsidR="006C7789" w:rsidRPr="004379AA">
        <w:rPr>
          <w:rFonts w:ascii="Arial" w:eastAsia="Times New Roman" w:hAnsi="Arial" w:cs="Arial"/>
          <w:bCs/>
          <w:kern w:val="36"/>
          <w:lang w:eastAsia="en-GB"/>
        </w:rPr>
        <w:t xml:space="preserve">and gazetted the new ones on 29 December 2017 under GN 332 (the December 2016 </w:t>
      </w:r>
      <w:r w:rsidR="00F86155" w:rsidRPr="004379AA">
        <w:rPr>
          <w:rFonts w:ascii="Arial" w:eastAsia="Times New Roman" w:hAnsi="Arial" w:cs="Arial"/>
          <w:bCs/>
          <w:kern w:val="36"/>
          <w:lang w:eastAsia="en-GB"/>
        </w:rPr>
        <w:t xml:space="preserve">regulations and </w:t>
      </w:r>
      <w:r w:rsidR="006C7789" w:rsidRPr="004379AA">
        <w:rPr>
          <w:rFonts w:ascii="Arial" w:eastAsia="Times New Roman" w:hAnsi="Arial" w:cs="Arial"/>
          <w:bCs/>
          <w:kern w:val="36"/>
          <w:lang w:eastAsia="en-GB"/>
        </w:rPr>
        <w:t>notices).</w:t>
      </w:r>
      <w:r w:rsidR="00C90C6C" w:rsidRPr="004379AA">
        <w:rPr>
          <w:rFonts w:ascii="Arial" w:eastAsia="Times New Roman" w:hAnsi="Arial" w:cs="Arial"/>
          <w:bCs/>
          <w:kern w:val="36"/>
          <w:lang w:eastAsia="en-GB"/>
        </w:rPr>
        <w:t xml:space="preserve"> </w:t>
      </w:r>
      <w:r w:rsidR="00DA4D4A" w:rsidRPr="004379AA">
        <w:rPr>
          <w:rFonts w:ascii="Arial" w:eastAsia="Times New Roman" w:hAnsi="Arial" w:cs="Arial"/>
          <w:bCs/>
          <w:kern w:val="36"/>
          <w:lang w:eastAsia="en-GB"/>
        </w:rPr>
        <w:t xml:space="preserve">These notices formally gave effect to </w:t>
      </w:r>
      <w:r w:rsidR="00DA4D4A" w:rsidRPr="004379AA">
        <w:rPr>
          <w:rFonts w:ascii="Arial" w:eastAsia="Times New Roman" w:hAnsi="Arial" w:cs="Arial"/>
          <w:bCs/>
          <w:kern w:val="36"/>
          <w:lang w:eastAsia="en-GB"/>
        </w:rPr>
        <w:lastRenderedPageBreak/>
        <w:t xml:space="preserve">ss 39 and 40 </w:t>
      </w:r>
      <w:r w:rsidR="00F86155" w:rsidRPr="004379AA">
        <w:rPr>
          <w:rFonts w:ascii="Arial" w:eastAsia="Times New Roman" w:hAnsi="Arial" w:cs="Arial"/>
          <w:bCs/>
          <w:kern w:val="36"/>
          <w:lang w:eastAsia="en-GB"/>
        </w:rPr>
        <w:t xml:space="preserve">and 43 </w:t>
      </w:r>
      <w:r w:rsidR="00DA4D4A" w:rsidRPr="004379AA">
        <w:rPr>
          <w:rFonts w:ascii="Arial" w:eastAsia="Times New Roman" w:hAnsi="Arial" w:cs="Arial"/>
          <w:bCs/>
          <w:kern w:val="36"/>
          <w:lang w:eastAsia="en-GB"/>
        </w:rPr>
        <w:t xml:space="preserve">of the NNRCA. </w:t>
      </w:r>
      <w:r w:rsidR="00C90C6C" w:rsidRPr="004379AA">
        <w:rPr>
          <w:rFonts w:ascii="Arial" w:eastAsia="Times New Roman" w:hAnsi="Arial" w:cs="Arial"/>
          <w:bCs/>
          <w:kern w:val="36"/>
          <w:lang w:eastAsia="en-GB"/>
        </w:rPr>
        <w:t xml:space="preserve">The December 2017 </w:t>
      </w:r>
      <w:r w:rsidR="00F86155" w:rsidRPr="004379AA">
        <w:rPr>
          <w:rFonts w:ascii="Arial" w:eastAsia="Times New Roman" w:hAnsi="Arial" w:cs="Arial"/>
          <w:bCs/>
          <w:kern w:val="36"/>
          <w:lang w:eastAsia="en-GB"/>
        </w:rPr>
        <w:t>regulations and notices</w:t>
      </w:r>
      <w:r w:rsidR="00C90C6C" w:rsidRPr="004379AA">
        <w:rPr>
          <w:rFonts w:ascii="Arial" w:eastAsia="Times New Roman" w:hAnsi="Arial" w:cs="Arial"/>
          <w:bCs/>
          <w:kern w:val="36"/>
          <w:lang w:eastAsia="en-GB"/>
        </w:rPr>
        <w:t xml:space="preserve"> also created offences</w:t>
      </w:r>
      <w:r w:rsidR="007121F5" w:rsidRPr="004379AA">
        <w:rPr>
          <w:rFonts w:ascii="Arial" w:eastAsia="Times New Roman" w:hAnsi="Arial" w:cs="Arial"/>
          <w:bCs/>
          <w:kern w:val="36"/>
          <w:lang w:eastAsia="en-GB"/>
        </w:rPr>
        <w:t xml:space="preserve"> as </w:t>
      </w:r>
      <w:r w:rsidR="007121F5" w:rsidRPr="008946B6">
        <w:rPr>
          <w:rFonts w:ascii="Arial" w:eastAsia="Times New Roman" w:hAnsi="Arial" w:cs="Arial"/>
          <w:bCs/>
          <w:color w:val="000000" w:themeColor="text1"/>
          <w:kern w:val="36"/>
          <w:lang w:eastAsia="en-GB"/>
        </w:rPr>
        <w:t xml:space="preserve">set out in </w:t>
      </w:r>
      <w:r w:rsidR="00C60A92" w:rsidRPr="008946B6">
        <w:rPr>
          <w:rFonts w:ascii="Arial" w:eastAsia="Times New Roman" w:hAnsi="Arial" w:cs="Arial"/>
          <w:bCs/>
          <w:color w:val="000000" w:themeColor="text1"/>
          <w:kern w:val="36"/>
          <w:lang w:eastAsia="en-GB"/>
        </w:rPr>
        <w:t>para 66</w:t>
      </w:r>
      <w:r w:rsidR="007121F5" w:rsidRPr="008946B6">
        <w:rPr>
          <w:rFonts w:ascii="Arial" w:eastAsia="Times New Roman" w:hAnsi="Arial" w:cs="Arial"/>
          <w:bCs/>
          <w:color w:val="000000" w:themeColor="text1"/>
          <w:kern w:val="36"/>
          <w:lang w:eastAsia="en-GB"/>
        </w:rPr>
        <w:t xml:space="preserve"> below</w:t>
      </w:r>
      <w:r w:rsidR="007121F5" w:rsidRPr="004379AA">
        <w:rPr>
          <w:rFonts w:ascii="Arial" w:eastAsia="Times New Roman" w:hAnsi="Arial" w:cs="Arial"/>
          <w:bCs/>
          <w:kern w:val="36"/>
          <w:lang w:eastAsia="en-GB"/>
        </w:rPr>
        <w:t>.</w:t>
      </w:r>
    </w:p>
    <w:p w14:paraId="6E634D12" w14:textId="77777777" w:rsidR="007757CD" w:rsidRPr="004379AA" w:rsidRDefault="007757CD" w:rsidP="00BA3477">
      <w:pPr>
        <w:pStyle w:val="ListParagraph"/>
        <w:spacing w:line="480" w:lineRule="auto"/>
        <w:rPr>
          <w:rFonts w:ascii="Arial" w:eastAsia="Times New Roman" w:hAnsi="Arial" w:cs="Arial"/>
          <w:bCs/>
          <w:kern w:val="36"/>
          <w:lang w:eastAsia="en-GB"/>
        </w:rPr>
      </w:pPr>
    </w:p>
    <w:p w14:paraId="60A247A6" w14:textId="22AFE02B" w:rsidR="007757CD" w:rsidRPr="004379AA" w:rsidRDefault="006C7789"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On 24 April 2018, the respondents launched proceedings in the High Court to review and set aside the December 2017 </w:t>
      </w:r>
      <w:r w:rsidR="00F86155" w:rsidRPr="004379AA">
        <w:rPr>
          <w:rFonts w:ascii="Arial" w:eastAsia="Times New Roman" w:hAnsi="Arial" w:cs="Arial"/>
          <w:bCs/>
          <w:kern w:val="36"/>
          <w:lang w:eastAsia="en-GB"/>
        </w:rPr>
        <w:t xml:space="preserve">regulations and </w:t>
      </w:r>
      <w:r w:rsidRPr="004379AA">
        <w:rPr>
          <w:rFonts w:ascii="Arial" w:eastAsia="Times New Roman" w:hAnsi="Arial" w:cs="Arial"/>
          <w:bCs/>
          <w:kern w:val="36"/>
          <w:lang w:eastAsia="en-GB"/>
        </w:rPr>
        <w:t>notices.</w:t>
      </w:r>
      <w:r w:rsidR="006C43CB" w:rsidRPr="004379AA">
        <w:rPr>
          <w:rFonts w:ascii="Arial" w:eastAsia="Times New Roman" w:hAnsi="Arial" w:cs="Arial"/>
          <w:bCs/>
          <w:kern w:val="36"/>
          <w:lang w:eastAsia="en-GB"/>
        </w:rPr>
        <w:t xml:space="preserve"> The</w:t>
      </w:r>
      <w:r w:rsidR="00F86155" w:rsidRPr="004379AA">
        <w:rPr>
          <w:rFonts w:ascii="Arial" w:eastAsia="Times New Roman" w:hAnsi="Arial" w:cs="Arial"/>
          <w:bCs/>
          <w:kern w:val="36"/>
          <w:lang w:eastAsia="en-GB"/>
        </w:rPr>
        <w:t>y</w:t>
      </w:r>
      <w:r w:rsidR="006C43CB" w:rsidRPr="004379AA">
        <w:rPr>
          <w:rFonts w:ascii="Arial" w:eastAsia="Times New Roman" w:hAnsi="Arial" w:cs="Arial"/>
          <w:bCs/>
          <w:kern w:val="36"/>
          <w:lang w:eastAsia="en-GB"/>
        </w:rPr>
        <w:t xml:space="preserve"> </w:t>
      </w:r>
      <w:r w:rsidR="00AE01FC" w:rsidRPr="004379AA">
        <w:rPr>
          <w:rFonts w:ascii="Arial" w:eastAsia="Times New Roman" w:hAnsi="Arial" w:cs="Arial"/>
          <w:bCs/>
          <w:kern w:val="36"/>
          <w:lang w:eastAsia="en-GB"/>
        </w:rPr>
        <w:t xml:space="preserve">were challenged on </w:t>
      </w:r>
      <w:r w:rsidR="007250CF" w:rsidRPr="004379AA">
        <w:rPr>
          <w:rFonts w:ascii="Arial" w:eastAsia="Times New Roman" w:hAnsi="Arial" w:cs="Arial"/>
          <w:bCs/>
          <w:kern w:val="36"/>
          <w:lang w:eastAsia="en-GB"/>
        </w:rPr>
        <w:t xml:space="preserve">both procedural and ‘substantive’ </w:t>
      </w:r>
      <w:r w:rsidR="00DA4D4A" w:rsidRPr="004379AA">
        <w:rPr>
          <w:rFonts w:ascii="Arial" w:eastAsia="Times New Roman" w:hAnsi="Arial" w:cs="Arial"/>
          <w:bCs/>
          <w:kern w:val="36"/>
          <w:lang w:eastAsia="en-GB"/>
        </w:rPr>
        <w:t xml:space="preserve">review </w:t>
      </w:r>
      <w:r w:rsidR="007250CF" w:rsidRPr="004379AA">
        <w:rPr>
          <w:rFonts w:ascii="Arial" w:eastAsia="Times New Roman" w:hAnsi="Arial" w:cs="Arial"/>
          <w:bCs/>
          <w:kern w:val="36"/>
          <w:lang w:eastAsia="en-GB"/>
        </w:rPr>
        <w:t xml:space="preserve">grounds. As to the former, the respondents maintain that </w:t>
      </w:r>
      <w:r w:rsidR="00AE01FC" w:rsidRPr="004379AA">
        <w:rPr>
          <w:rFonts w:ascii="Arial" w:eastAsia="Times New Roman" w:hAnsi="Arial" w:cs="Arial"/>
          <w:bCs/>
          <w:kern w:val="36"/>
          <w:lang w:eastAsia="en-GB"/>
        </w:rPr>
        <w:t xml:space="preserve">prior to the enactment </w:t>
      </w:r>
      <w:r w:rsidR="007250CF" w:rsidRPr="004379AA">
        <w:rPr>
          <w:rFonts w:ascii="Arial" w:eastAsia="Times New Roman" w:hAnsi="Arial" w:cs="Arial"/>
          <w:bCs/>
          <w:kern w:val="36"/>
          <w:lang w:eastAsia="en-GB"/>
        </w:rPr>
        <w:t>of the regulations</w:t>
      </w:r>
      <w:r w:rsidR="00F86155" w:rsidRPr="004379AA">
        <w:rPr>
          <w:rFonts w:ascii="Arial" w:eastAsia="Times New Roman" w:hAnsi="Arial" w:cs="Arial"/>
          <w:bCs/>
          <w:kern w:val="36"/>
          <w:lang w:eastAsia="en-GB"/>
        </w:rPr>
        <w:t xml:space="preserve"> and notices</w:t>
      </w:r>
      <w:r w:rsidR="007250CF" w:rsidRPr="004379AA">
        <w:rPr>
          <w:rFonts w:ascii="Arial" w:eastAsia="Times New Roman" w:hAnsi="Arial" w:cs="Arial"/>
          <w:bCs/>
          <w:kern w:val="36"/>
          <w:lang w:eastAsia="en-GB"/>
        </w:rPr>
        <w:t xml:space="preserve">, </w:t>
      </w:r>
      <w:r w:rsidR="00AE01FC" w:rsidRPr="004379AA">
        <w:rPr>
          <w:rFonts w:ascii="Arial" w:eastAsia="Times New Roman" w:hAnsi="Arial" w:cs="Arial"/>
          <w:bCs/>
          <w:kern w:val="36"/>
          <w:lang w:eastAsia="en-GB"/>
        </w:rPr>
        <w:t>the</w:t>
      </w:r>
      <w:r w:rsidR="00DA4D4A" w:rsidRPr="004379AA">
        <w:rPr>
          <w:rFonts w:ascii="Arial" w:eastAsia="Times New Roman" w:hAnsi="Arial" w:cs="Arial"/>
          <w:bCs/>
          <w:kern w:val="36"/>
          <w:lang w:eastAsia="en-GB"/>
        </w:rPr>
        <w:t>y</w:t>
      </w:r>
      <w:r w:rsidR="00AE01FC" w:rsidRPr="004379AA">
        <w:rPr>
          <w:rFonts w:ascii="Arial" w:eastAsia="Times New Roman" w:hAnsi="Arial" w:cs="Arial"/>
          <w:bCs/>
          <w:kern w:val="36"/>
          <w:lang w:eastAsia="en-GB"/>
        </w:rPr>
        <w:t xml:space="preserve"> were not afforded an opportunity to ‘participate meaningfully in a constitutionally compliant process prior to (or even after) the publication of the draft February 2017 notices’; the Minister failed to inform the respondents of any reservation he may have harboured against the ‘detailed facts and submissions provided to him’ </w:t>
      </w:r>
      <w:r w:rsidR="00DA4D4A" w:rsidRPr="004379AA">
        <w:rPr>
          <w:rFonts w:ascii="Arial" w:eastAsia="Times New Roman" w:hAnsi="Arial" w:cs="Arial"/>
          <w:bCs/>
          <w:kern w:val="36"/>
          <w:lang w:eastAsia="en-GB"/>
        </w:rPr>
        <w:t>(</w:t>
      </w:r>
      <w:r w:rsidR="00B814CF" w:rsidRPr="004379AA">
        <w:rPr>
          <w:rFonts w:ascii="Arial" w:eastAsia="Times New Roman" w:hAnsi="Arial" w:cs="Arial"/>
          <w:bCs/>
          <w:kern w:val="36"/>
          <w:lang w:eastAsia="en-GB"/>
        </w:rPr>
        <w:t>with the assistance of experts</w:t>
      </w:r>
      <w:r w:rsidR="00DA4D4A" w:rsidRPr="004379AA">
        <w:rPr>
          <w:rFonts w:ascii="Arial" w:eastAsia="Times New Roman" w:hAnsi="Arial" w:cs="Arial"/>
          <w:bCs/>
          <w:kern w:val="36"/>
          <w:lang w:eastAsia="en-GB"/>
        </w:rPr>
        <w:t>)</w:t>
      </w:r>
      <w:r w:rsidR="00B814CF" w:rsidRPr="004379AA">
        <w:rPr>
          <w:rFonts w:ascii="Arial" w:eastAsia="Times New Roman" w:hAnsi="Arial" w:cs="Arial"/>
          <w:bCs/>
          <w:kern w:val="36"/>
          <w:lang w:eastAsia="en-GB"/>
        </w:rPr>
        <w:t xml:space="preserve"> </w:t>
      </w:r>
      <w:r w:rsidR="00AE01FC" w:rsidRPr="004379AA">
        <w:rPr>
          <w:rFonts w:ascii="Arial" w:eastAsia="Times New Roman" w:hAnsi="Arial" w:cs="Arial"/>
          <w:bCs/>
          <w:kern w:val="36"/>
          <w:lang w:eastAsia="en-GB"/>
        </w:rPr>
        <w:t xml:space="preserve">as regards the notices and that they were not afforded the opportunity to be heard on any ‘negative considerations’ the Minister entertained on those submissions; the respondents were not </w:t>
      </w:r>
      <w:r w:rsidR="00DA4D4A" w:rsidRPr="004379AA">
        <w:rPr>
          <w:rFonts w:ascii="Arial" w:eastAsia="Times New Roman" w:hAnsi="Arial" w:cs="Arial"/>
          <w:bCs/>
          <w:kern w:val="36"/>
          <w:lang w:eastAsia="en-GB"/>
        </w:rPr>
        <w:t>provided</w:t>
      </w:r>
      <w:r w:rsidR="00AE01FC" w:rsidRPr="004379AA">
        <w:rPr>
          <w:rFonts w:ascii="Arial" w:eastAsia="Times New Roman" w:hAnsi="Arial" w:cs="Arial"/>
          <w:bCs/>
          <w:kern w:val="36"/>
          <w:lang w:eastAsia="en-GB"/>
        </w:rPr>
        <w:t xml:space="preserve"> by the Minister with ‘copies of the documentary information’ adverse to them and considered by the Minister</w:t>
      </w:r>
      <w:r w:rsidR="00B814CF" w:rsidRPr="004379AA">
        <w:rPr>
          <w:rFonts w:ascii="Arial" w:eastAsia="Times New Roman" w:hAnsi="Arial" w:cs="Arial"/>
          <w:bCs/>
          <w:kern w:val="36"/>
          <w:lang w:eastAsia="en-GB"/>
        </w:rPr>
        <w:t xml:space="preserve"> in arriving at the regulations; the Minister was ‘publicly hostile to the respondents for no valid reason’; the purported consultation process was a ‘</w:t>
      </w:r>
      <w:r w:rsidR="00B814CF" w:rsidRPr="004379AA">
        <w:rPr>
          <w:rFonts w:ascii="Arial" w:eastAsia="Times New Roman" w:hAnsi="Arial" w:cs="Arial"/>
          <w:bCs/>
          <w:i/>
          <w:kern w:val="36"/>
          <w:lang w:eastAsia="en-GB"/>
        </w:rPr>
        <w:t>fait accompli</w:t>
      </w:r>
      <w:r w:rsidR="00D03AE4">
        <w:rPr>
          <w:rFonts w:ascii="Arial" w:eastAsia="Times New Roman" w:hAnsi="Arial" w:cs="Arial"/>
          <w:bCs/>
          <w:i/>
          <w:kern w:val="36"/>
          <w:lang w:eastAsia="en-GB"/>
        </w:rPr>
        <w:t>’</w:t>
      </w:r>
      <w:r w:rsidR="00B814CF" w:rsidRPr="004379AA">
        <w:rPr>
          <w:rFonts w:ascii="Arial" w:eastAsia="Times New Roman" w:hAnsi="Arial" w:cs="Arial"/>
          <w:bCs/>
          <w:kern w:val="36"/>
          <w:lang w:eastAsia="en-GB"/>
        </w:rPr>
        <w:t xml:space="preserve"> intended to reprise and sanitise the defective November 2016 Notices’; that the Minister was acting under the dic</w:t>
      </w:r>
      <w:r w:rsidR="00DA4D4A" w:rsidRPr="004379AA">
        <w:rPr>
          <w:rFonts w:ascii="Arial" w:eastAsia="Times New Roman" w:hAnsi="Arial" w:cs="Arial"/>
          <w:bCs/>
          <w:kern w:val="36"/>
          <w:lang w:eastAsia="en-GB"/>
        </w:rPr>
        <w:t>tates of C</w:t>
      </w:r>
      <w:r w:rsidR="00B814CF" w:rsidRPr="004379AA">
        <w:rPr>
          <w:rFonts w:ascii="Arial" w:eastAsia="Times New Roman" w:hAnsi="Arial" w:cs="Arial"/>
          <w:bCs/>
          <w:kern w:val="36"/>
          <w:lang w:eastAsia="en-GB"/>
        </w:rPr>
        <w:t>abinet and that he was not exercising an independent judgment</w:t>
      </w:r>
      <w:r w:rsidR="00DA4D4A" w:rsidRPr="004379AA">
        <w:rPr>
          <w:rFonts w:ascii="Arial" w:eastAsia="Times New Roman" w:hAnsi="Arial" w:cs="Arial"/>
          <w:bCs/>
          <w:kern w:val="36"/>
          <w:lang w:eastAsia="en-GB"/>
        </w:rPr>
        <w:t xml:space="preserve"> in issuing the notices</w:t>
      </w:r>
      <w:r w:rsidR="007250CF" w:rsidRPr="004379AA">
        <w:rPr>
          <w:rFonts w:ascii="Arial" w:eastAsia="Times New Roman" w:hAnsi="Arial" w:cs="Arial"/>
          <w:bCs/>
          <w:kern w:val="36"/>
          <w:lang w:eastAsia="en-GB"/>
        </w:rPr>
        <w:t xml:space="preserve">. </w:t>
      </w:r>
    </w:p>
    <w:p w14:paraId="3C370013" w14:textId="77777777" w:rsidR="007757CD" w:rsidRPr="004379AA" w:rsidRDefault="007757CD" w:rsidP="001751A1">
      <w:pPr>
        <w:tabs>
          <w:tab w:val="left" w:pos="851"/>
        </w:tabs>
        <w:spacing w:line="480" w:lineRule="auto"/>
        <w:contextualSpacing/>
        <w:jc w:val="both"/>
        <w:rPr>
          <w:rFonts w:ascii="Arial" w:hAnsi="Arial" w:cs="Arial"/>
        </w:rPr>
      </w:pPr>
    </w:p>
    <w:p w14:paraId="0AC31C68" w14:textId="77777777" w:rsidR="007757CD" w:rsidRPr="004379AA" w:rsidRDefault="007250CF"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As regards the ‘substantive review grounds’ the respondents allege that</w:t>
      </w:r>
      <w:r w:rsidR="00B814CF" w:rsidRPr="004379AA">
        <w:rPr>
          <w:rFonts w:ascii="Arial" w:eastAsia="Times New Roman" w:hAnsi="Arial" w:cs="Arial"/>
          <w:bCs/>
          <w:kern w:val="36"/>
          <w:lang w:eastAsia="en-GB"/>
        </w:rPr>
        <w:t xml:space="preserve"> the notices are irrational, unreasonable, unfair, vague and an infringement of the respondents’ fundamental rights.</w:t>
      </w:r>
      <w:r w:rsidRPr="004379AA">
        <w:rPr>
          <w:rFonts w:ascii="Arial" w:eastAsia="Times New Roman" w:hAnsi="Arial" w:cs="Arial"/>
          <w:bCs/>
          <w:kern w:val="36"/>
          <w:lang w:eastAsia="en-GB"/>
        </w:rPr>
        <w:t xml:space="preserve"> </w:t>
      </w:r>
      <w:r w:rsidR="008C1CE2" w:rsidRPr="004379AA">
        <w:rPr>
          <w:rFonts w:ascii="Arial" w:eastAsia="Times New Roman" w:hAnsi="Arial" w:cs="Arial"/>
          <w:bCs/>
          <w:kern w:val="36"/>
          <w:lang w:eastAsia="en-GB"/>
        </w:rPr>
        <w:t>The respo</w:t>
      </w:r>
      <w:r w:rsidR="00466FA6" w:rsidRPr="004379AA">
        <w:rPr>
          <w:rFonts w:ascii="Arial" w:eastAsia="Times New Roman" w:hAnsi="Arial" w:cs="Arial"/>
          <w:bCs/>
          <w:kern w:val="36"/>
          <w:lang w:eastAsia="en-GB"/>
        </w:rPr>
        <w:t>n</w:t>
      </w:r>
      <w:r w:rsidR="008C1CE2" w:rsidRPr="004379AA">
        <w:rPr>
          <w:rFonts w:ascii="Arial" w:eastAsia="Times New Roman" w:hAnsi="Arial" w:cs="Arial"/>
          <w:bCs/>
          <w:kern w:val="36"/>
          <w:lang w:eastAsia="en-GB"/>
        </w:rPr>
        <w:t xml:space="preserve">dents set out very detailed </w:t>
      </w:r>
      <w:r w:rsidR="00466FA6" w:rsidRPr="004379AA">
        <w:rPr>
          <w:rFonts w:ascii="Arial" w:eastAsia="Times New Roman" w:hAnsi="Arial" w:cs="Arial"/>
          <w:bCs/>
          <w:kern w:val="36"/>
          <w:lang w:eastAsia="en-GB"/>
        </w:rPr>
        <w:t xml:space="preserve">reasons in support of each of the substantive review grounds which are not necessary for present purposes to elaborate on. What is significant for the </w:t>
      </w:r>
      <w:r w:rsidR="00F86155" w:rsidRPr="004379AA">
        <w:rPr>
          <w:rFonts w:ascii="Arial" w:eastAsia="Times New Roman" w:hAnsi="Arial" w:cs="Arial"/>
          <w:bCs/>
          <w:kern w:val="36"/>
          <w:lang w:eastAsia="en-GB"/>
        </w:rPr>
        <w:t xml:space="preserve">purposes of the </w:t>
      </w:r>
      <w:r w:rsidR="00466FA6" w:rsidRPr="004379AA">
        <w:rPr>
          <w:rFonts w:ascii="Arial" w:eastAsia="Times New Roman" w:hAnsi="Arial" w:cs="Arial"/>
          <w:bCs/>
          <w:kern w:val="36"/>
          <w:lang w:eastAsia="en-GB"/>
        </w:rPr>
        <w:t xml:space="preserve">present dispute is </w:t>
      </w:r>
      <w:r w:rsidR="00466FA6" w:rsidRPr="004379AA">
        <w:rPr>
          <w:rFonts w:ascii="Arial" w:eastAsia="Times New Roman" w:hAnsi="Arial" w:cs="Arial"/>
          <w:bCs/>
          <w:kern w:val="36"/>
          <w:lang w:eastAsia="en-GB"/>
        </w:rPr>
        <w:lastRenderedPageBreak/>
        <w:t xml:space="preserve">that </w:t>
      </w:r>
      <w:r w:rsidRPr="004379AA">
        <w:rPr>
          <w:rFonts w:ascii="Arial" w:eastAsia="Times New Roman" w:hAnsi="Arial" w:cs="Arial"/>
          <w:bCs/>
          <w:kern w:val="36"/>
          <w:lang w:eastAsia="en-GB"/>
        </w:rPr>
        <w:t>it is alleged</w:t>
      </w:r>
      <w:r w:rsidR="00466FA6" w:rsidRPr="004379AA">
        <w:rPr>
          <w:rFonts w:ascii="Arial" w:eastAsia="Times New Roman" w:hAnsi="Arial" w:cs="Arial"/>
          <w:bCs/>
          <w:kern w:val="36"/>
          <w:lang w:eastAsia="en-GB"/>
        </w:rPr>
        <w:t xml:space="preserve"> that</w:t>
      </w:r>
      <w:r w:rsidR="00F86155" w:rsidRPr="004379AA">
        <w:rPr>
          <w:rFonts w:ascii="Arial" w:eastAsia="Times New Roman" w:hAnsi="Arial" w:cs="Arial"/>
          <w:bCs/>
          <w:kern w:val="36"/>
          <w:lang w:eastAsia="en-GB"/>
        </w:rPr>
        <w:t>,</w:t>
      </w:r>
      <w:r w:rsidR="00466FA6" w:rsidRPr="004379AA">
        <w:rPr>
          <w:rFonts w:ascii="Arial" w:eastAsia="Times New Roman" w:hAnsi="Arial" w:cs="Arial"/>
          <w:bCs/>
          <w:kern w:val="36"/>
          <w:lang w:eastAsia="en-GB"/>
        </w:rPr>
        <w:t xml:space="preserve"> although aware of the grounds, the Minister did not engage with them.</w:t>
      </w:r>
    </w:p>
    <w:p w14:paraId="08D404E1"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796DCA3A" w14:textId="77777777" w:rsidR="007757CD" w:rsidRPr="004379AA" w:rsidRDefault="006C43CB"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Minister filed reasons for his decision in the </w:t>
      </w:r>
      <w:r w:rsidR="00F86155" w:rsidRPr="004379AA">
        <w:rPr>
          <w:rFonts w:ascii="Arial" w:eastAsia="Times New Roman" w:hAnsi="Arial" w:cs="Arial"/>
          <w:bCs/>
          <w:kern w:val="36"/>
          <w:lang w:eastAsia="en-GB"/>
        </w:rPr>
        <w:t>wake</w:t>
      </w:r>
      <w:r w:rsidRPr="004379AA">
        <w:rPr>
          <w:rFonts w:ascii="Arial" w:eastAsia="Times New Roman" w:hAnsi="Arial" w:cs="Arial"/>
          <w:bCs/>
          <w:kern w:val="36"/>
          <w:lang w:eastAsia="en-GB"/>
        </w:rPr>
        <w:t xml:space="preserve"> of the review application, sta</w:t>
      </w:r>
      <w:r w:rsidR="00715D6C" w:rsidRPr="004379AA">
        <w:rPr>
          <w:rFonts w:ascii="Arial" w:eastAsia="Times New Roman" w:hAnsi="Arial" w:cs="Arial"/>
          <w:bCs/>
          <w:kern w:val="36"/>
          <w:lang w:eastAsia="en-GB"/>
        </w:rPr>
        <w:t>t</w:t>
      </w:r>
      <w:r w:rsidRPr="004379AA">
        <w:rPr>
          <w:rFonts w:ascii="Arial" w:eastAsia="Times New Roman" w:hAnsi="Arial" w:cs="Arial"/>
          <w:bCs/>
          <w:kern w:val="36"/>
          <w:lang w:eastAsia="en-GB"/>
        </w:rPr>
        <w:t>ing</w:t>
      </w:r>
      <w:r w:rsidR="00F86155"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w:t>
      </w:r>
      <w:r w:rsidRPr="004379AA">
        <w:rPr>
          <w:rFonts w:ascii="Arial" w:eastAsia="Times New Roman" w:hAnsi="Arial" w:cs="Arial"/>
          <w:bCs/>
          <w:i/>
          <w:kern w:val="36"/>
          <w:lang w:eastAsia="en-GB"/>
        </w:rPr>
        <w:t>inter alia</w:t>
      </w:r>
      <w:r w:rsidRPr="004379AA">
        <w:rPr>
          <w:rFonts w:ascii="Arial" w:eastAsia="Times New Roman" w:hAnsi="Arial" w:cs="Arial"/>
          <w:bCs/>
          <w:kern w:val="36"/>
          <w:lang w:eastAsia="en-GB"/>
        </w:rPr>
        <w:t xml:space="preserve">, that </w:t>
      </w:r>
      <w:r w:rsidR="00715D6C" w:rsidRPr="004379AA">
        <w:rPr>
          <w:rFonts w:ascii="Arial" w:eastAsia="Times New Roman" w:hAnsi="Arial" w:cs="Arial"/>
          <w:bCs/>
          <w:kern w:val="36"/>
          <w:lang w:eastAsia="en-GB"/>
        </w:rPr>
        <w:t>the absence of the regulations ‘</w:t>
      </w:r>
      <w:r w:rsidR="00C90C6C" w:rsidRPr="004379AA">
        <w:rPr>
          <w:rFonts w:ascii="Arial" w:eastAsia="Times New Roman" w:hAnsi="Arial" w:cs="Arial"/>
          <w:bCs/>
          <w:kern w:val="36"/>
          <w:lang w:eastAsia="en-GB"/>
        </w:rPr>
        <w:t>has limited</w:t>
      </w:r>
      <w:r w:rsidR="006C7789" w:rsidRPr="004379AA">
        <w:rPr>
          <w:rFonts w:ascii="Arial" w:eastAsia="Times New Roman" w:hAnsi="Arial" w:cs="Arial"/>
          <w:bCs/>
          <w:kern w:val="36"/>
          <w:lang w:eastAsia="en-GB"/>
        </w:rPr>
        <w:t xml:space="preserve"> </w:t>
      </w:r>
      <w:r w:rsidR="00715D6C" w:rsidRPr="004379AA">
        <w:rPr>
          <w:rFonts w:ascii="Arial" w:eastAsia="Times New Roman" w:hAnsi="Arial" w:cs="Arial"/>
          <w:bCs/>
          <w:kern w:val="36"/>
          <w:lang w:eastAsia="en-GB"/>
        </w:rPr>
        <w:t>NamibRe’s ability to grow its balance sheet and to grow its reinsurance capacity for the benefit of the entire industry, and the Namibian economy.’ That ‘similar measures have been implemented in various other African jurisdictions as a means to develop local reinsurance capacity for the benefit of the domestic insurance industry. That he is ‘enjoined under the [NNRCA] to implement measures that advance the interests of the entire industry and the Namibian people. The commercial interests of the private insurers must be weighed up against the imperative to achieve the objects of the [NNRCA] in the broader public interest.’</w:t>
      </w:r>
      <w:r w:rsidR="005F22E1" w:rsidRPr="004379AA">
        <w:rPr>
          <w:rFonts w:ascii="Arial" w:eastAsia="Times New Roman" w:hAnsi="Arial" w:cs="Arial"/>
          <w:bCs/>
          <w:kern w:val="36"/>
          <w:lang w:eastAsia="en-GB"/>
        </w:rPr>
        <w:t xml:space="preserve"> </w:t>
      </w:r>
    </w:p>
    <w:p w14:paraId="46BC48EE"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3B40E790" w14:textId="77777777" w:rsidR="007757CD" w:rsidRPr="004379AA" w:rsidRDefault="00035BA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December 2017 </w:t>
      </w:r>
      <w:r w:rsidR="00F86155" w:rsidRPr="004379AA">
        <w:rPr>
          <w:rFonts w:ascii="Arial" w:eastAsia="Times New Roman" w:hAnsi="Arial" w:cs="Arial"/>
          <w:bCs/>
          <w:kern w:val="36"/>
          <w:lang w:eastAsia="en-GB"/>
        </w:rPr>
        <w:t xml:space="preserve">regulations and </w:t>
      </w:r>
      <w:r w:rsidRPr="004379AA">
        <w:rPr>
          <w:rFonts w:ascii="Arial" w:eastAsia="Times New Roman" w:hAnsi="Arial" w:cs="Arial"/>
          <w:bCs/>
          <w:kern w:val="36"/>
          <w:lang w:eastAsia="en-GB"/>
        </w:rPr>
        <w:t>notices</w:t>
      </w:r>
      <w:r w:rsidR="005F22E1" w:rsidRPr="004379AA">
        <w:rPr>
          <w:rFonts w:ascii="Arial" w:eastAsia="Times New Roman" w:hAnsi="Arial" w:cs="Arial"/>
          <w:bCs/>
          <w:kern w:val="36"/>
          <w:lang w:eastAsia="en-GB"/>
        </w:rPr>
        <w:t xml:space="preserve"> to</w:t>
      </w:r>
      <w:r w:rsidRPr="004379AA">
        <w:rPr>
          <w:rFonts w:ascii="Arial" w:eastAsia="Times New Roman" w:hAnsi="Arial" w:cs="Arial"/>
          <w:bCs/>
          <w:kern w:val="36"/>
          <w:lang w:eastAsia="en-GB"/>
        </w:rPr>
        <w:t>ok effect</w:t>
      </w:r>
      <w:r w:rsidR="005F22E1" w:rsidRPr="004379AA">
        <w:rPr>
          <w:rFonts w:ascii="Arial" w:eastAsia="Times New Roman" w:hAnsi="Arial" w:cs="Arial"/>
          <w:bCs/>
          <w:kern w:val="36"/>
          <w:lang w:eastAsia="en-GB"/>
        </w:rPr>
        <w:t xml:space="preserve"> on 27 June 2018.</w:t>
      </w:r>
      <w:r w:rsidRPr="004379AA">
        <w:rPr>
          <w:rFonts w:ascii="Arial" w:eastAsia="Times New Roman" w:hAnsi="Arial" w:cs="Arial"/>
          <w:bCs/>
          <w:kern w:val="36"/>
          <w:lang w:eastAsia="en-GB"/>
        </w:rPr>
        <w:t xml:space="preserve"> </w:t>
      </w:r>
      <w:r w:rsidR="00F86155" w:rsidRPr="004379AA">
        <w:rPr>
          <w:rFonts w:ascii="Arial" w:eastAsia="Times New Roman" w:hAnsi="Arial" w:cs="Arial"/>
          <w:bCs/>
          <w:kern w:val="36"/>
          <w:lang w:eastAsia="en-GB"/>
        </w:rPr>
        <w:t>On 28</w:t>
      </w:r>
      <w:r w:rsidRPr="004379AA">
        <w:rPr>
          <w:rFonts w:ascii="Arial" w:eastAsia="Times New Roman" w:hAnsi="Arial" w:cs="Arial"/>
          <w:bCs/>
          <w:kern w:val="36"/>
          <w:lang w:eastAsia="en-GB"/>
        </w:rPr>
        <w:t xml:space="preserve"> June </w:t>
      </w:r>
      <w:r w:rsidR="00F86155" w:rsidRPr="004379AA">
        <w:rPr>
          <w:rFonts w:ascii="Arial" w:eastAsia="Times New Roman" w:hAnsi="Arial" w:cs="Arial"/>
          <w:bCs/>
          <w:kern w:val="36"/>
          <w:lang w:eastAsia="en-GB"/>
        </w:rPr>
        <w:t>2018, the date after</w:t>
      </w:r>
      <w:r w:rsidRPr="004379AA">
        <w:rPr>
          <w:rFonts w:ascii="Arial" w:eastAsia="Times New Roman" w:hAnsi="Arial" w:cs="Arial"/>
          <w:bCs/>
          <w:kern w:val="36"/>
          <w:lang w:eastAsia="en-GB"/>
        </w:rPr>
        <w:t xml:space="preserve"> the notices took effect, the respondents and other insurance companies, wrote a letter to the Government Attorney, acting for the Minister and NamibRe, </w:t>
      </w:r>
      <w:r w:rsidR="000C3CEE" w:rsidRPr="004379AA">
        <w:rPr>
          <w:rFonts w:ascii="Arial" w:eastAsia="Times New Roman" w:hAnsi="Arial" w:cs="Arial"/>
          <w:bCs/>
          <w:kern w:val="36"/>
          <w:lang w:eastAsia="en-GB"/>
        </w:rPr>
        <w:t xml:space="preserve">recording </w:t>
      </w:r>
      <w:r w:rsidRPr="004379AA">
        <w:rPr>
          <w:rFonts w:ascii="Arial" w:eastAsia="Times New Roman" w:hAnsi="Arial" w:cs="Arial"/>
          <w:bCs/>
          <w:kern w:val="36"/>
          <w:lang w:eastAsia="en-GB"/>
        </w:rPr>
        <w:t xml:space="preserve">that they had ‘no other option, but to, not comply with the impugned notices’. </w:t>
      </w:r>
    </w:p>
    <w:p w14:paraId="59E23BF0"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21070B58" w14:textId="77777777" w:rsidR="007757CD" w:rsidRPr="004379AA" w:rsidRDefault="000C3CEE"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Four of</w:t>
      </w:r>
      <w:r w:rsidR="00035BA8" w:rsidRPr="004379AA">
        <w:rPr>
          <w:rFonts w:ascii="Arial" w:eastAsia="Times New Roman" w:hAnsi="Arial" w:cs="Arial"/>
          <w:bCs/>
          <w:kern w:val="36"/>
          <w:lang w:eastAsia="en-GB"/>
        </w:rPr>
        <w:t xml:space="preserve"> the insurance companies (Momentum Short Term Insurance Limited, King Price Insurance Company Insurance Ltd, Bonben Assurance Namibia Ltd</w:t>
      </w:r>
      <w:r w:rsidR="00035BA8" w:rsidRPr="004379AA">
        <w:rPr>
          <w:rStyle w:val="FootnoteReference"/>
          <w:rFonts w:ascii="Arial" w:eastAsia="Times New Roman" w:hAnsi="Arial" w:cs="Arial"/>
          <w:bCs/>
          <w:kern w:val="36"/>
          <w:lang w:eastAsia="en-GB"/>
        </w:rPr>
        <w:footnoteReference w:id="5"/>
      </w:r>
      <w:r w:rsidR="00035BA8" w:rsidRPr="004379AA">
        <w:rPr>
          <w:rFonts w:ascii="Arial" w:eastAsia="Times New Roman" w:hAnsi="Arial" w:cs="Arial"/>
          <w:bCs/>
          <w:kern w:val="36"/>
          <w:lang w:eastAsia="en-GB"/>
        </w:rPr>
        <w:t>, and Nedbank Life Assurance Ltd) that challenged the December 2017</w:t>
      </w:r>
      <w:r w:rsidRPr="004379AA">
        <w:rPr>
          <w:rFonts w:ascii="Arial" w:eastAsia="Times New Roman" w:hAnsi="Arial" w:cs="Arial"/>
          <w:bCs/>
          <w:kern w:val="36"/>
          <w:lang w:eastAsia="en-GB"/>
        </w:rPr>
        <w:t xml:space="preserve"> regulations and </w:t>
      </w:r>
      <w:r w:rsidR="00035BA8" w:rsidRPr="004379AA">
        <w:rPr>
          <w:rFonts w:ascii="Arial" w:eastAsia="Times New Roman" w:hAnsi="Arial" w:cs="Arial"/>
          <w:bCs/>
          <w:kern w:val="36"/>
          <w:lang w:eastAsia="en-GB"/>
        </w:rPr>
        <w:t xml:space="preserve">notices, however elected to comply. They did so, ‘against their will, without prejudice to any of their rights, under protest and on condition that, if they are successful in impugning </w:t>
      </w:r>
      <w:r w:rsidR="00035BA8" w:rsidRPr="004379AA">
        <w:rPr>
          <w:rFonts w:ascii="Arial" w:eastAsia="Times New Roman" w:hAnsi="Arial" w:cs="Arial"/>
          <w:bCs/>
          <w:kern w:val="36"/>
          <w:lang w:eastAsia="en-GB"/>
        </w:rPr>
        <w:lastRenderedPageBreak/>
        <w:t xml:space="preserve">the notices, the regulations or the targeted provisions of the [NNRCA], they shall institute a claim for loss of profit against NamibRe and/ or the Government of Namibia’. </w:t>
      </w:r>
    </w:p>
    <w:p w14:paraId="21CCC1DD"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7902A2DA" w14:textId="384BF846" w:rsidR="007757CD" w:rsidRPr="004379AA" w:rsidRDefault="00035BA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w:t>
      </w:r>
      <w:r w:rsidR="000C3CEE" w:rsidRPr="004379AA">
        <w:rPr>
          <w:rFonts w:ascii="Arial" w:eastAsia="Times New Roman" w:hAnsi="Arial" w:cs="Arial"/>
          <w:bCs/>
          <w:kern w:val="36"/>
          <w:lang w:eastAsia="en-GB"/>
        </w:rPr>
        <w:t xml:space="preserve">present corporate </w:t>
      </w:r>
      <w:r w:rsidRPr="004379AA">
        <w:rPr>
          <w:rFonts w:ascii="Arial" w:eastAsia="Times New Roman" w:hAnsi="Arial" w:cs="Arial"/>
          <w:bCs/>
          <w:kern w:val="36"/>
          <w:lang w:eastAsia="en-GB"/>
        </w:rPr>
        <w:t>respondents that chose to not comply with the law however tendered ‘to file the unconstitutional, but compulsory bordereaux</w:t>
      </w:r>
      <w:r w:rsidRPr="004379AA">
        <w:rPr>
          <w:rStyle w:val="FootnoteReference"/>
          <w:rFonts w:ascii="Arial" w:eastAsia="Times New Roman" w:hAnsi="Arial" w:cs="Arial"/>
          <w:bCs/>
          <w:kern w:val="36"/>
          <w:lang w:eastAsia="en-GB"/>
        </w:rPr>
        <w:footnoteReference w:id="6"/>
      </w:r>
      <w:r w:rsidR="00D03AE4">
        <w:rPr>
          <w:rFonts w:ascii="Arial" w:eastAsia="Times New Roman" w:hAnsi="Arial" w:cs="Arial"/>
          <w:bCs/>
          <w:kern w:val="36"/>
          <w:lang w:eastAsia="en-GB"/>
        </w:rPr>
        <w:t>. . .</w:t>
      </w:r>
      <w:r w:rsidRPr="004379AA">
        <w:rPr>
          <w:rFonts w:ascii="Arial" w:eastAsia="Times New Roman" w:hAnsi="Arial" w:cs="Arial"/>
          <w:bCs/>
          <w:kern w:val="36"/>
          <w:lang w:eastAsia="en-GB"/>
        </w:rPr>
        <w:t>without prejudice to their rights</w:t>
      </w:r>
      <w:r w:rsidR="00D03AE4">
        <w:rPr>
          <w:rFonts w:ascii="Arial" w:eastAsia="Times New Roman" w:hAnsi="Arial" w:cs="Arial"/>
          <w:bCs/>
          <w:kern w:val="36"/>
          <w:lang w:eastAsia="en-GB"/>
        </w:rPr>
        <w:t>. . .</w:t>
      </w:r>
      <w:r w:rsidRPr="004379AA">
        <w:rPr>
          <w:rFonts w:ascii="Arial" w:eastAsia="Times New Roman" w:hAnsi="Arial" w:cs="Arial"/>
          <w:bCs/>
          <w:kern w:val="36"/>
          <w:lang w:eastAsia="en-GB"/>
        </w:rPr>
        <w:t>for record purposes, but no money will be paid over.’ The</w:t>
      </w:r>
      <w:r w:rsidR="000C3CEE" w:rsidRPr="004379AA">
        <w:rPr>
          <w:rFonts w:ascii="Arial" w:eastAsia="Times New Roman" w:hAnsi="Arial" w:cs="Arial"/>
          <w:bCs/>
          <w:kern w:val="36"/>
          <w:lang w:eastAsia="en-GB"/>
        </w:rPr>
        <w:t>se</w:t>
      </w:r>
      <w:r w:rsidRPr="004379AA">
        <w:rPr>
          <w:rFonts w:ascii="Arial" w:eastAsia="Times New Roman" w:hAnsi="Arial" w:cs="Arial"/>
          <w:bCs/>
          <w:kern w:val="36"/>
          <w:lang w:eastAsia="en-GB"/>
        </w:rPr>
        <w:t xml:space="preserve"> defiant respondents placed on record that NamibRe </w:t>
      </w:r>
      <w:r w:rsidR="00183787">
        <w:rPr>
          <w:rFonts w:ascii="Arial" w:eastAsia="Times New Roman" w:hAnsi="Arial" w:cs="Arial"/>
          <w:bCs/>
          <w:kern w:val="36"/>
          <w:lang w:eastAsia="en-GB"/>
        </w:rPr>
        <w:t xml:space="preserve">will </w:t>
      </w:r>
      <w:r w:rsidRPr="004379AA">
        <w:rPr>
          <w:rFonts w:ascii="Arial" w:eastAsia="Times New Roman" w:hAnsi="Arial" w:cs="Arial"/>
          <w:bCs/>
          <w:kern w:val="36"/>
          <w:lang w:eastAsia="en-GB"/>
        </w:rPr>
        <w:t xml:space="preserve">not ‘take out any reinsurance’ in respect of them as ‘no money will be paid over’ by them to NamibRe. </w:t>
      </w:r>
    </w:p>
    <w:p w14:paraId="161C3C15"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5B280F63" w14:textId="77777777" w:rsidR="007757CD" w:rsidRPr="004379AA" w:rsidRDefault="00035BA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Since then, the respondents have resisted every effort by the Minister and NamibRe to </w:t>
      </w:r>
      <w:r w:rsidR="000C3CEE" w:rsidRPr="004379AA">
        <w:rPr>
          <w:rFonts w:ascii="Arial" w:eastAsia="Times New Roman" w:hAnsi="Arial" w:cs="Arial"/>
          <w:bCs/>
          <w:kern w:val="36"/>
          <w:lang w:eastAsia="en-GB"/>
        </w:rPr>
        <w:t xml:space="preserve">make them </w:t>
      </w:r>
      <w:r w:rsidRPr="004379AA">
        <w:rPr>
          <w:rFonts w:ascii="Arial" w:eastAsia="Times New Roman" w:hAnsi="Arial" w:cs="Arial"/>
          <w:bCs/>
          <w:kern w:val="36"/>
          <w:lang w:eastAsia="en-GB"/>
        </w:rPr>
        <w:t xml:space="preserve">comply with the December 2017 </w:t>
      </w:r>
      <w:r w:rsidR="000C3CEE" w:rsidRPr="004379AA">
        <w:rPr>
          <w:rFonts w:ascii="Arial" w:eastAsia="Times New Roman" w:hAnsi="Arial" w:cs="Arial"/>
          <w:bCs/>
          <w:kern w:val="36"/>
          <w:lang w:eastAsia="en-GB"/>
        </w:rPr>
        <w:t xml:space="preserve">regulations and </w:t>
      </w:r>
      <w:r w:rsidR="007757CD" w:rsidRPr="004379AA">
        <w:rPr>
          <w:rFonts w:ascii="Arial" w:eastAsia="Times New Roman" w:hAnsi="Arial" w:cs="Arial"/>
          <w:bCs/>
          <w:kern w:val="36"/>
          <w:lang w:eastAsia="en-GB"/>
        </w:rPr>
        <w:t>notices.</w:t>
      </w:r>
    </w:p>
    <w:p w14:paraId="6A7DFF2E"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3C0468E0" w14:textId="77777777" w:rsidR="007757CD" w:rsidRPr="00BA3477" w:rsidRDefault="00035BA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Frustrated by the respondents’ defiance of the law, the Minister and NamibRe approached the High Court on urgent basis seeking, </w:t>
      </w:r>
      <w:r w:rsidRPr="004379AA">
        <w:rPr>
          <w:rFonts w:ascii="Arial" w:eastAsia="Times New Roman" w:hAnsi="Arial" w:cs="Arial"/>
          <w:bCs/>
          <w:i/>
          <w:kern w:val="36"/>
          <w:lang w:eastAsia="en-GB"/>
        </w:rPr>
        <w:t>inter alia</w:t>
      </w:r>
      <w:r w:rsidRPr="004379AA">
        <w:rPr>
          <w:rFonts w:ascii="Arial" w:eastAsia="Times New Roman" w:hAnsi="Arial" w:cs="Arial"/>
          <w:bCs/>
          <w:kern w:val="36"/>
          <w:lang w:eastAsia="en-GB"/>
        </w:rPr>
        <w:t>, the following relief</w:t>
      </w:r>
      <w:r w:rsidR="000C3CEE" w:rsidRPr="004379AA">
        <w:rPr>
          <w:rFonts w:ascii="Arial" w:eastAsia="Times New Roman" w:hAnsi="Arial" w:cs="Arial"/>
          <w:bCs/>
          <w:kern w:val="36"/>
          <w:lang w:eastAsia="en-GB"/>
        </w:rPr>
        <w:t xml:space="preserve"> (the enforcement application)</w:t>
      </w:r>
      <w:r w:rsidRPr="004379AA">
        <w:rPr>
          <w:rFonts w:ascii="Arial" w:eastAsia="Times New Roman" w:hAnsi="Arial" w:cs="Arial"/>
          <w:bCs/>
          <w:kern w:val="36"/>
          <w:lang w:eastAsia="en-GB"/>
        </w:rPr>
        <w:t>:</w:t>
      </w:r>
    </w:p>
    <w:p w14:paraId="4638594B" w14:textId="77777777" w:rsidR="00BA3477" w:rsidRPr="004379AA" w:rsidRDefault="00BA3477" w:rsidP="001751A1">
      <w:pPr>
        <w:tabs>
          <w:tab w:val="left" w:pos="851"/>
        </w:tabs>
        <w:spacing w:line="360" w:lineRule="auto"/>
        <w:contextualSpacing/>
        <w:jc w:val="both"/>
        <w:rPr>
          <w:rFonts w:ascii="Arial" w:hAnsi="Arial" w:cs="Arial"/>
        </w:rPr>
      </w:pPr>
    </w:p>
    <w:p w14:paraId="649D8EB9" w14:textId="24FB59A3" w:rsidR="007757CD" w:rsidRDefault="007757CD" w:rsidP="00ED6549">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w:t>
      </w:r>
      <w:r w:rsidRPr="004379AA">
        <w:rPr>
          <w:rFonts w:ascii="Arial" w:eastAsia="Times New Roman" w:hAnsi="Arial" w:cs="Arial"/>
          <w:bCs/>
          <w:kern w:val="36"/>
          <w:sz w:val="22"/>
          <w:szCs w:val="22"/>
          <w:lang w:eastAsia="en-GB"/>
        </w:rPr>
        <w:tab/>
        <w:t>Declaring that pending the final determination of the proceedings brought by first to eighth respondents…under case numbers HC-MD-CIV-ACT-OTH-2017/04493 and HC-MD-CIV-MOT-REV-2018/00127 (‘’the pending proceedings’’), the following are of full force and effect-</w:t>
      </w:r>
    </w:p>
    <w:p w14:paraId="55EE4527" w14:textId="77777777" w:rsidR="00BA3477" w:rsidRPr="004379AA" w:rsidRDefault="00BA3477" w:rsidP="00ED6549">
      <w:pPr>
        <w:spacing w:line="360" w:lineRule="auto"/>
        <w:ind w:left="1418" w:hanging="567"/>
        <w:jc w:val="both"/>
        <w:outlineLvl w:val="0"/>
        <w:rPr>
          <w:rFonts w:ascii="Arial" w:eastAsia="Times New Roman" w:hAnsi="Arial" w:cs="Arial"/>
          <w:bCs/>
          <w:kern w:val="36"/>
          <w:sz w:val="22"/>
          <w:szCs w:val="22"/>
          <w:lang w:eastAsia="en-GB"/>
        </w:rPr>
      </w:pPr>
    </w:p>
    <w:p w14:paraId="0B792F0B" w14:textId="5E2FC1DA" w:rsidR="007757CD" w:rsidRDefault="007757CD" w:rsidP="00ED6549">
      <w:pPr>
        <w:spacing w:line="360" w:lineRule="auto"/>
        <w:ind w:left="1985"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2.1.</w:t>
      </w:r>
      <w:r w:rsidRPr="004379AA">
        <w:rPr>
          <w:rFonts w:ascii="Arial" w:eastAsia="Times New Roman" w:hAnsi="Arial" w:cs="Arial"/>
          <w:bCs/>
          <w:kern w:val="36"/>
          <w:sz w:val="22"/>
          <w:szCs w:val="22"/>
          <w:lang w:eastAsia="en-GB"/>
        </w:rPr>
        <w:tab/>
        <w:t>the Namibia National Insurance Corporation Act, 22 of 1998 (‘’the Act’’);</w:t>
      </w:r>
    </w:p>
    <w:p w14:paraId="28812F4E" w14:textId="77777777" w:rsidR="00BA3477" w:rsidRPr="004379AA" w:rsidRDefault="00BA3477" w:rsidP="00ED6549">
      <w:pPr>
        <w:spacing w:line="360" w:lineRule="auto"/>
        <w:ind w:left="1985" w:hanging="567"/>
        <w:jc w:val="both"/>
        <w:outlineLvl w:val="0"/>
        <w:rPr>
          <w:rFonts w:ascii="Arial" w:eastAsia="Times New Roman" w:hAnsi="Arial" w:cs="Arial"/>
          <w:bCs/>
          <w:kern w:val="36"/>
          <w:sz w:val="22"/>
          <w:szCs w:val="22"/>
          <w:lang w:eastAsia="en-GB"/>
        </w:rPr>
      </w:pPr>
    </w:p>
    <w:p w14:paraId="430E78AF" w14:textId="7267ACE2" w:rsidR="007757CD" w:rsidRDefault="007757CD" w:rsidP="00ED6549">
      <w:pPr>
        <w:spacing w:line="360" w:lineRule="auto"/>
        <w:ind w:left="1985"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2.2.</w:t>
      </w:r>
      <w:r w:rsidRPr="004379AA">
        <w:rPr>
          <w:rFonts w:ascii="Arial" w:eastAsia="Times New Roman" w:hAnsi="Arial" w:cs="Arial"/>
          <w:bCs/>
          <w:kern w:val="36"/>
          <w:sz w:val="22"/>
          <w:szCs w:val="22"/>
          <w:lang w:eastAsia="en-GB"/>
        </w:rPr>
        <w:tab/>
        <w:t>Government Notices 333,334,335,336,337 and 338 promulgated on 29 December 2017 in terms of the Act, and published in Government Gazette No. 6496 (‘the Notices’’);</w:t>
      </w:r>
    </w:p>
    <w:p w14:paraId="3F092E0F" w14:textId="77777777" w:rsidR="00BA3477" w:rsidRPr="004379AA" w:rsidRDefault="00BA3477" w:rsidP="00ED6549">
      <w:pPr>
        <w:spacing w:line="360" w:lineRule="auto"/>
        <w:ind w:left="1985" w:hanging="567"/>
        <w:jc w:val="both"/>
        <w:outlineLvl w:val="0"/>
        <w:rPr>
          <w:rFonts w:ascii="Arial" w:eastAsia="Times New Roman" w:hAnsi="Arial" w:cs="Arial"/>
          <w:bCs/>
          <w:kern w:val="36"/>
          <w:sz w:val="22"/>
          <w:szCs w:val="22"/>
          <w:lang w:eastAsia="en-GB"/>
        </w:rPr>
      </w:pPr>
    </w:p>
    <w:p w14:paraId="1D38BA8D" w14:textId="2180B391" w:rsidR="007757CD" w:rsidRDefault="007757CD" w:rsidP="00ED6549">
      <w:pPr>
        <w:spacing w:line="360" w:lineRule="auto"/>
        <w:ind w:left="1985"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lastRenderedPageBreak/>
        <w:t>2.3.</w:t>
      </w:r>
      <w:r w:rsidRPr="004379AA">
        <w:rPr>
          <w:rFonts w:ascii="Arial" w:eastAsia="Times New Roman" w:hAnsi="Arial" w:cs="Arial"/>
          <w:bCs/>
          <w:kern w:val="36"/>
          <w:sz w:val="22"/>
          <w:szCs w:val="22"/>
          <w:lang w:eastAsia="en-GB"/>
        </w:rPr>
        <w:tab/>
        <w:t>The regulations promulgated on 29 December 2017 in terms of the Act, and published in Government Notice No. 332 in Government Gazette No.6496 (‘’the Regulations’’);</w:t>
      </w:r>
    </w:p>
    <w:p w14:paraId="576EAC4B" w14:textId="77777777" w:rsidR="00BA3477" w:rsidRPr="004379AA" w:rsidRDefault="00BA3477" w:rsidP="00ED6549">
      <w:pPr>
        <w:spacing w:line="360" w:lineRule="auto"/>
        <w:ind w:left="1985" w:hanging="567"/>
        <w:jc w:val="both"/>
        <w:outlineLvl w:val="0"/>
        <w:rPr>
          <w:rFonts w:ascii="Arial" w:eastAsia="Times New Roman" w:hAnsi="Arial" w:cs="Arial"/>
          <w:bCs/>
          <w:kern w:val="36"/>
          <w:sz w:val="22"/>
          <w:szCs w:val="22"/>
          <w:lang w:eastAsia="en-GB"/>
        </w:rPr>
      </w:pPr>
    </w:p>
    <w:p w14:paraId="2459790F" w14:textId="19108828" w:rsidR="007757CD" w:rsidRDefault="007757CD" w:rsidP="00ED6549">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3.</w:t>
      </w:r>
      <w:r w:rsidRPr="004379AA">
        <w:rPr>
          <w:rFonts w:ascii="Arial" w:eastAsia="Times New Roman" w:hAnsi="Arial" w:cs="Arial"/>
          <w:bCs/>
          <w:kern w:val="36"/>
          <w:sz w:val="22"/>
          <w:szCs w:val="22"/>
          <w:lang w:eastAsia="en-GB"/>
        </w:rPr>
        <w:tab/>
        <w:t>Ordering that pending the outcome of the pending proceedings, the respondents are obliged to comply with the provisions of the Act, the Notices and the regulations with immediate effect;</w:t>
      </w:r>
    </w:p>
    <w:p w14:paraId="4EE17170" w14:textId="77777777" w:rsidR="00BA3477" w:rsidRPr="004379AA" w:rsidRDefault="00BA3477" w:rsidP="00ED6549">
      <w:pPr>
        <w:spacing w:line="360" w:lineRule="auto"/>
        <w:ind w:left="1418" w:hanging="567"/>
        <w:jc w:val="both"/>
        <w:outlineLvl w:val="0"/>
        <w:rPr>
          <w:rFonts w:ascii="Arial" w:eastAsia="Times New Roman" w:hAnsi="Arial" w:cs="Arial"/>
          <w:bCs/>
          <w:kern w:val="36"/>
          <w:sz w:val="22"/>
          <w:szCs w:val="22"/>
          <w:lang w:eastAsia="en-GB"/>
        </w:rPr>
      </w:pPr>
    </w:p>
    <w:p w14:paraId="1785F304" w14:textId="11253639" w:rsidR="007757CD" w:rsidRDefault="007757CD" w:rsidP="00ED6549">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4.</w:t>
      </w:r>
      <w:r w:rsidRPr="004379AA">
        <w:rPr>
          <w:rFonts w:ascii="Arial" w:eastAsia="Times New Roman" w:hAnsi="Arial" w:cs="Arial"/>
          <w:bCs/>
          <w:kern w:val="36"/>
          <w:sz w:val="22"/>
          <w:szCs w:val="22"/>
          <w:lang w:eastAsia="en-GB"/>
        </w:rPr>
        <w:tab/>
        <w:t>Authorising herewith the applicants, failing compliance with prayer 3 above by any respondent, to apply to this Court forthwith on the same papers, duly amplified if required, for an order of committal for contempt in respect of any such breach of this Court’s order, of such respondents or respondents’ chief executive officer, being the ninth to sixteenth respondents’’.</w:t>
      </w:r>
    </w:p>
    <w:p w14:paraId="7DF0CA82" w14:textId="77777777" w:rsidR="00BA3477" w:rsidRPr="004379AA" w:rsidRDefault="00BA3477" w:rsidP="00BA3477">
      <w:pPr>
        <w:spacing w:line="480" w:lineRule="auto"/>
        <w:ind w:left="1418" w:hanging="567"/>
        <w:jc w:val="both"/>
        <w:outlineLvl w:val="0"/>
        <w:rPr>
          <w:rFonts w:ascii="Arial" w:eastAsia="Times New Roman" w:hAnsi="Arial" w:cs="Arial"/>
          <w:bCs/>
          <w:kern w:val="36"/>
          <w:sz w:val="22"/>
          <w:szCs w:val="22"/>
          <w:lang w:eastAsia="en-GB"/>
        </w:rPr>
      </w:pPr>
    </w:p>
    <w:p w14:paraId="08C8ADA2" w14:textId="77777777" w:rsidR="007757CD" w:rsidRPr="004379AA" w:rsidRDefault="007757CD" w:rsidP="001751A1">
      <w:pPr>
        <w:spacing w:line="480" w:lineRule="auto"/>
        <w:jc w:val="both"/>
        <w:outlineLvl w:val="0"/>
        <w:rPr>
          <w:rFonts w:ascii="Arial" w:eastAsia="Times New Roman" w:hAnsi="Arial" w:cs="Arial"/>
          <w:bCs/>
          <w:kern w:val="36"/>
          <w:lang w:eastAsia="en-GB"/>
        </w:rPr>
      </w:pPr>
      <w:r w:rsidRPr="004379AA">
        <w:rPr>
          <w:rFonts w:ascii="Arial" w:eastAsia="Times New Roman" w:hAnsi="Arial" w:cs="Arial"/>
          <w:bCs/>
          <w:kern w:val="36"/>
          <w:lang w:eastAsia="en-GB"/>
        </w:rPr>
        <w:t>The respondents opposed the enforcement application.</w:t>
      </w:r>
    </w:p>
    <w:p w14:paraId="565F5EAB"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671FB6D2" w14:textId="77777777" w:rsidR="007757CD" w:rsidRPr="004379AA" w:rsidRDefault="000C3CEE"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It is the High Court’s order relative to the enforcement application that is the subject of the present appeal.</w:t>
      </w:r>
    </w:p>
    <w:p w14:paraId="3DDA02C7" w14:textId="77777777" w:rsidR="007757CD" w:rsidRPr="004379AA" w:rsidRDefault="007757CD" w:rsidP="001751A1">
      <w:pPr>
        <w:tabs>
          <w:tab w:val="left" w:pos="851"/>
        </w:tabs>
        <w:spacing w:line="480" w:lineRule="auto"/>
        <w:contextualSpacing/>
        <w:jc w:val="both"/>
        <w:rPr>
          <w:rFonts w:ascii="Arial" w:hAnsi="Arial" w:cs="Arial"/>
        </w:rPr>
      </w:pPr>
    </w:p>
    <w:p w14:paraId="6AAD4BE9" w14:textId="19271069" w:rsidR="007757CD" w:rsidRPr="004379AA" w:rsidRDefault="00035BA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In support of the relief sough</w:t>
      </w:r>
      <w:r w:rsidR="00D03AE4">
        <w:rPr>
          <w:rFonts w:ascii="Arial" w:eastAsia="Times New Roman" w:hAnsi="Arial" w:cs="Arial"/>
          <w:bCs/>
          <w:kern w:val="36"/>
          <w:lang w:eastAsia="en-GB"/>
        </w:rPr>
        <w:t>t</w:t>
      </w:r>
      <w:r w:rsidRPr="004379AA">
        <w:rPr>
          <w:rFonts w:ascii="Arial" w:eastAsia="Times New Roman" w:hAnsi="Arial" w:cs="Arial"/>
          <w:bCs/>
          <w:kern w:val="36"/>
          <w:lang w:eastAsia="en-GB"/>
        </w:rPr>
        <w:t xml:space="preserve"> in the </w:t>
      </w:r>
      <w:r w:rsidR="000C3CEE" w:rsidRPr="004379AA">
        <w:rPr>
          <w:rFonts w:ascii="Arial" w:eastAsia="Times New Roman" w:hAnsi="Arial" w:cs="Arial"/>
          <w:bCs/>
          <w:kern w:val="36"/>
          <w:lang w:eastAsia="en-GB"/>
        </w:rPr>
        <w:t>enforcement application</w:t>
      </w:r>
      <w:r w:rsidRPr="004379AA">
        <w:rPr>
          <w:rFonts w:ascii="Arial" w:eastAsia="Times New Roman" w:hAnsi="Arial" w:cs="Arial"/>
          <w:bCs/>
          <w:kern w:val="36"/>
          <w:lang w:eastAsia="en-GB"/>
        </w:rPr>
        <w:t>, the</w:t>
      </w:r>
      <w:r w:rsidR="000C3CEE" w:rsidRPr="004379AA">
        <w:rPr>
          <w:rFonts w:ascii="Arial" w:eastAsia="Times New Roman" w:hAnsi="Arial" w:cs="Arial"/>
          <w:bCs/>
          <w:kern w:val="36"/>
          <w:lang w:eastAsia="en-GB"/>
        </w:rPr>
        <w:t xml:space="preserve"> Minister</w:t>
      </w:r>
      <w:r w:rsidR="00715D6C" w:rsidRPr="004379AA">
        <w:rPr>
          <w:rFonts w:ascii="Arial" w:eastAsia="Times New Roman" w:hAnsi="Arial" w:cs="Arial"/>
          <w:bCs/>
          <w:kern w:val="36"/>
          <w:lang w:eastAsia="en-GB"/>
        </w:rPr>
        <w:t xml:space="preserve"> </w:t>
      </w:r>
      <w:r w:rsidRPr="004379AA">
        <w:rPr>
          <w:rFonts w:ascii="Arial" w:eastAsia="Times New Roman" w:hAnsi="Arial" w:cs="Arial"/>
          <w:bCs/>
          <w:kern w:val="36"/>
          <w:lang w:eastAsia="en-GB"/>
        </w:rPr>
        <w:t xml:space="preserve">avers in his founding affidavit that </w:t>
      </w:r>
      <w:r w:rsidR="00715D6C" w:rsidRPr="004379AA">
        <w:rPr>
          <w:rFonts w:ascii="Arial" w:eastAsia="Times New Roman" w:hAnsi="Arial" w:cs="Arial"/>
          <w:bCs/>
          <w:kern w:val="36"/>
          <w:lang w:eastAsia="en-GB"/>
        </w:rPr>
        <w:t xml:space="preserve">the December 2017 </w:t>
      </w:r>
      <w:r w:rsidR="000C3CEE" w:rsidRPr="004379AA">
        <w:rPr>
          <w:rFonts w:ascii="Arial" w:eastAsia="Times New Roman" w:hAnsi="Arial" w:cs="Arial"/>
          <w:bCs/>
          <w:kern w:val="36"/>
          <w:lang w:eastAsia="en-GB"/>
        </w:rPr>
        <w:t xml:space="preserve">regulations and </w:t>
      </w:r>
      <w:r w:rsidR="00715D6C" w:rsidRPr="004379AA">
        <w:rPr>
          <w:rFonts w:ascii="Arial" w:eastAsia="Times New Roman" w:hAnsi="Arial" w:cs="Arial"/>
          <w:bCs/>
          <w:kern w:val="36"/>
          <w:lang w:eastAsia="en-GB"/>
        </w:rPr>
        <w:t>notices paved the way for NamibRe ‘to hire additional staff and engaged the services of technical experts at significant costs.’ In addition, the Min</w:t>
      </w:r>
      <w:r w:rsidR="00DE7747" w:rsidRPr="004379AA">
        <w:rPr>
          <w:rFonts w:ascii="Arial" w:eastAsia="Times New Roman" w:hAnsi="Arial" w:cs="Arial"/>
          <w:bCs/>
          <w:kern w:val="36"/>
          <w:lang w:eastAsia="en-GB"/>
        </w:rPr>
        <w:t>ister adds, his</w:t>
      </w:r>
      <w:r w:rsidR="00715D6C" w:rsidRPr="004379AA">
        <w:rPr>
          <w:rFonts w:ascii="Arial" w:eastAsia="Times New Roman" w:hAnsi="Arial" w:cs="Arial"/>
          <w:bCs/>
          <w:kern w:val="36"/>
          <w:lang w:eastAsia="en-GB"/>
        </w:rPr>
        <w:t xml:space="preserve"> ‘own Ministry…</w:t>
      </w:r>
      <w:r w:rsidR="00D11562">
        <w:rPr>
          <w:rFonts w:ascii="Arial" w:eastAsia="Times New Roman" w:hAnsi="Arial" w:cs="Arial"/>
          <w:bCs/>
          <w:kern w:val="36"/>
          <w:lang w:eastAsia="en-GB"/>
        </w:rPr>
        <w:t xml:space="preserve"> </w:t>
      </w:r>
      <w:r w:rsidR="00715D6C" w:rsidRPr="004379AA">
        <w:rPr>
          <w:rFonts w:ascii="Arial" w:eastAsia="Times New Roman" w:hAnsi="Arial" w:cs="Arial"/>
          <w:bCs/>
          <w:kern w:val="36"/>
          <w:lang w:eastAsia="en-GB"/>
        </w:rPr>
        <w:t xml:space="preserve">proceeded on the basis that the implementation </w:t>
      </w:r>
      <w:r w:rsidR="00DE7747" w:rsidRPr="004379AA">
        <w:rPr>
          <w:rFonts w:ascii="Arial" w:eastAsia="Times New Roman" w:hAnsi="Arial" w:cs="Arial"/>
          <w:bCs/>
          <w:kern w:val="36"/>
          <w:lang w:eastAsia="en-GB"/>
        </w:rPr>
        <w:t>would take place as from 27 June 2018. Its future planning, including important budgeting issues, and departmental forward-planning, has been done on that basis’.</w:t>
      </w:r>
      <w:r w:rsidR="005F22E1" w:rsidRPr="004379AA">
        <w:rPr>
          <w:rFonts w:ascii="Arial" w:eastAsia="Times New Roman" w:hAnsi="Arial" w:cs="Arial"/>
          <w:bCs/>
          <w:kern w:val="36"/>
          <w:lang w:eastAsia="en-GB"/>
        </w:rPr>
        <w:t xml:space="preserve"> </w:t>
      </w:r>
    </w:p>
    <w:p w14:paraId="3C6D61C9" w14:textId="77777777" w:rsidR="007757CD" w:rsidRPr="004379AA" w:rsidRDefault="007757CD" w:rsidP="001751A1">
      <w:pPr>
        <w:pStyle w:val="ListParagraph"/>
        <w:spacing w:line="480" w:lineRule="auto"/>
        <w:rPr>
          <w:rFonts w:ascii="Arial" w:eastAsia="Times New Roman" w:hAnsi="Arial" w:cs="Arial"/>
          <w:bCs/>
          <w:kern w:val="36"/>
          <w:lang w:eastAsia="en-GB"/>
        </w:rPr>
      </w:pPr>
    </w:p>
    <w:p w14:paraId="74324F8E" w14:textId="77777777" w:rsidR="00647612" w:rsidRPr="004379AA" w:rsidRDefault="00B271BB"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Minister asserts </w:t>
      </w:r>
      <w:r w:rsidR="009E4B9F" w:rsidRPr="004379AA">
        <w:rPr>
          <w:rFonts w:ascii="Arial" w:eastAsia="Times New Roman" w:hAnsi="Arial" w:cs="Arial"/>
          <w:bCs/>
          <w:kern w:val="36"/>
          <w:lang w:eastAsia="en-GB"/>
        </w:rPr>
        <w:t>further</w:t>
      </w:r>
      <w:r w:rsidRPr="004379AA">
        <w:rPr>
          <w:rFonts w:ascii="Arial" w:eastAsia="Times New Roman" w:hAnsi="Arial" w:cs="Arial"/>
          <w:bCs/>
          <w:kern w:val="36"/>
          <w:lang w:eastAsia="en-GB"/>
        </w:rPr>
        <w:t xml:space="preserve"> that the respondent</w:t>
      </w:r>
      <w:r w:rsidR="00747C8D" w:rsidRPr="004379AA">
        <w:rPr>
          <w:rFonts w:ascii="Arial" w:eastAsia="Times New Roman" w:hAnsi="Arial" w:cs="Arial"/>
          <w:bCs/>
          <w:kern w:val="36"/>
          <w:lang w:eastAsia="en-GB"/>
        </w:rPr>
        <w:t>s’</w:t>
      </w:r>
      <w:r w:rsidRPr="004379AA">
        <w:rPr>
          <w:rFonts w:ascii="Arial" w:eastAsia="Times New Roman" w:hAnsi="Arial" w:cs="Arial"/>
          <w:bCs/>
          <w:kern w:val="36"/>
          <w:lang w:eastAsia="en-GB"/>
        </w:rPr>
        <w:t xml:space="preserve"> defiance of the December 2017 </w:t>
      </w:r>
      <w:r w:rsidR="000C3CEE" w:rsidRPr="004379AA">
        <w:rPr>
          <w:rFonts w:ascii="Arial" w:eastAsia="Times New Roman" w:hAnsi="Arial" w:cs="Arial"/>
          <w:bCs/>
          <w:kern w:val="36"/>
          <w:lang w:eastAsia="en-GB"/>
        </w:rPr>
        <w:t xml:space="preserve">regulations and </w:t>
      </w:r>
      <w:r w:rsidRPr="004379AA">
        <w:rPr>
          <w:rFonts w:ascii="Arial" w:eastAsia="Times New Roman" w:hAnsi="Arial" w:cs="Arial"/>
          <w:bCs/>
          <w:kern w:val="36"/>
          <w:lang w:eastAsia="en-GB"/>
        </w:rPr>
        <w:t xml:space="preserve">notices has the effect that the ‘financial planning of both Government and </w:t>
      </w:r>
      <w:r w:rsidRPr="004379AA">
        <w:rPr>
          <w:rFonts w:ascii="Arial" w:eastAsia="Times New Roman" w:hAnsi="Arial" w:cs="Arial"/>
          <w:bCs/>
          <w:kern w:val="36"/>
          <w:lang w:eastAsia="en-GB"/>
        </w:rPr>
        <w:lastRenderedPageBreak/>
        <w:t xml:space="preserve">NamibRe is severely disrupted by this defiance’. He maintains that the relief sought is necessary to ‘affirm the principle of the rule of law and to uphold Article 1(1) of the Namibian Constitution, and to ensure that the measures…are implemented by all those subject to them to achieve the objects of the [NNRCA]’. </w:t>
      </w:r>
    </w:p>
    <w:p w14:paraId="5C697B3C"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09F496EB" w14:textId="52908739" w:rsidR="00647612" w:rsidRPr="004379AA" w:rsidRDefault="00B271BB"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According to the Minister</w:t>
      </w:r>
      <w:r w:rsidR="009E4B9F"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the defiance also has deleterious macro-economic consequences in that ‘capital flows from Namibia in respect of reinsurance is set to continue, irrecoverably, at some N$ 1</w:t>
      </w:r>
      <w:r w:rsidR="007E5DC8">
        <w:rPr>
          <w:rFonts w:ascii="Arial" w:eastAsia="Times New Roman" w:hAnsi="Arial" w:cs="Arial"/>
          <w:bCs/>
          <w:kern w:val="36"/>
          <w:lang w:eastAsia="en-GB"/>
        </w:rPr>
        <w:t>billion</w:t>
      </w:r>
      <w:r w:rsidRPr="004379AA">
        <w:rPr>
          <w:rFonts w:ascii="Arial" w:eastAsia="Times New Roman" w:hAnsi="Arial" w:cs="Arial"/>
          <w:bCs/>
          <w:kern w:val="36"/>
          <w:lang w:eastAsia="en-GB"/>
        </w:rPr>
        <w:t xml:space="preserve"> a year for an indefinite period.’</w:t>
      </w:r>
      <w:r w:rsidR="001F2EB0" w:rsidRPr="004379AA">
        <w:rPr>
          <w:rFonts w:ascii="Arial" w:eastAsia="Times New Roman" w:hAnsi="Arial" w:cs="Arial"/>
          <w:bCs/>
          <w:kern w:val="36"/>
          <w:lang w:eastAsia="en-GB"/>
        </w:rPr>
        <w:t xml:space="preserve"> </w:t>
      </w:r>
      <w:r w:rsidR="005A1406" w:rsidRPr="004379AA">
        <w:rPr>
          <w:rFonts w:ascii="Arial" w:eastAsia="Times New Roman" w:hAnsi="Arial" w:cs="Arial"/>
          <w:bCs/>
          <w:kern w:val="36"/>
          <w:lang w:eastAsia="en-GB"/>
        </w:rPr>
        <w:t xml:space="preserve">The Minister also states that defiance of the notices will ‘likely result in ratings agencies downgrading NamibRe credit rating’ and result in </w:t>
      </w:r>
      <w:r w:rsidR="00FF50C2" w:rsidRPr="004379AA">
        <w:rPr>
          <w:rFonts w:ascii="Arial" w:eastAsia="Times New Roman" w:hAnsi="Arial" w:cs="Arial"/>
          <w:bCs/>
          <w:kern w:val="36"/>
          <w:lang w:eastAsia="en-GB"/>
        </w:rPr>
        <w:t>it</w:t>
      </w:r>
      <w:r w:rsidR="005A1406" w:rsidRPr="004379AA">
        <w:rPr>
          <w:rFonts w:ascii="Arial" w:eastAsia="Times New Roman" w:hAnsi="Arial" w:cs="Arial"/>
          <w:bCs/>
          <w:kern w:val="36"/>
          <w:lang w:eastAsia="en-GB"/>
        </w:rPr>
        <w:t xml:space="preserve"> losing ‘business and increas</w:t>
      </w:r>
      <w:r w:rsidR="00183787">
        <w:rPr>
          <w:rFonts w:ascii="Arial" w:eastAsia="Times New Roman" w:hAnsi="Arial" w:cs="Arial"/>
          <w:bCs/>
          <w:kern w:val="36"/>
          <w:lang w:eastAsia="en-GB"/>
        </w:rPr>
        <w:t>ing</w:t>
      </w:r>
      <w:r w:rsidR="005A1406" w:rsidRPr="004379AA">
        <w:rPr>
          <w:rFonts w:ascii="Arial" w:eastAsia="Times New Roman" w:hAnsi="Arial" w:cs="Arial"/>
          <w:bCs/>
          <w:kern w:val="36"/>
          <w:lang w:eastAsia="en-GB"/>
        </w:rPr>
        <w:t xml:space="preserve"> [its] borrowing costs’ to the detriment of the Namibian economy generally.</w:t>
      </w:r>
    </w:p>
    <w:p w14:paraId="68E1FE6E"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302A2F1A" w14:textId="77777777" w:rsidR="00647612" w:rsidRPr="004379AA" w:rsidRDefault="001F2EB0"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Besides, the Minister says, if the defiance by the respondents is countenanced, there is ‘every reason to apprehend that those who are currently complying will cease to do so’ and that a precedent will be set for others who are subject to regulatory schemes and Government tax laws</w:t>
      </w:r>
      <w:r w:rsidR="009E4B9F"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to do likewise.</w:t>
      </w:r>
    </w:p>
    <w:p w14:paraId="73562C51"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56D36DB7" w14:textId="77777777" w:rsidR="00647612" w:rsidRPr="004379AA" w:rsidRDefault="005A1406"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As regards the anticipatory </w:t>
      </w:r>
      <w:r w:rsidR="00520AF2" w:rsidRPr="004379AA">
        <w:rPr>
          <w:rFonts w:ascii="Arial" w:eastAsia="Times New Roman" w:hAnsi="Arial" w:cs="Arial"/>
          <w:bCs/>
          <w:kern w:val="36"/>
          <w:lang w:eastAsia="en-GB"/>
        </w:rPr>
        <w:t xml:space="preserve">committal for contempt </w:t>
      </w:r>
      <w:r w:rsidRPr="004379AA">
        <w:rPr>
          <w:rFonts w:ascii="Arial" w:eastAsia="Times New Roman" w:hAnsi="Arial" w:cs="Arial"/>
          <w:bCs/>
          <w:kern w:val="36"/>
          <w:lang w:eastAsia="en-GB"/>
        </w:rPr>
        <w:t>relief sought against the CEOs of the corporate respondents, the Minister states that since certain of the corporate respondents are foreign-controlled, in the absence of an order that the appellants can approach the court on an ‘urgent’ basis to commit the CEO’s for contempt, there is a ‘real risk’ that the corporate respo</w:t>
      </w:r>
      <w:r w:rsidR="00C90C6C" w:rsidRPr="004379AA">
        <w:rPr>
          <w:rFonts w:ascii="Arial" w:eastAsia="Times New Roman" w:hAnsi="Arial" w:cs="Arial"/>
          <w:bCs/>
          <w:kern w:val="36"/>
          <w:lang w:eastAsia="en-GB"/>
        </w:rPr>
        <w:t>n</w:t>
      </w:r>
      <w:r w:rsidRPr="004379AA">
        <w:rPr>
          <w:rFonts w:ascii="Arial" w:eastAsia="Times New Roman" w:hAnsi="Arial" w:cs="Arial"/>
          <w:bCs/>
          <w:kern w:val="36"/>
          <w:lang w:eastAsia="en-GB"/>
        </w:rPr>
        <w:t xml:space="preserve">dents will continue to defy </w:t>
      </w:r>
      <w:r w:rsidR="00C90C6C" w:rsidRPr="004379AA">
        <w:rPr>
          <w:rFonts w:ascii="Arial" w:eastAsia="Times New Roman" w:hAnsi="Arial" w:cs="Arial"/>
          <w:bCs/>
          <w:kern w:val="36"/>
          <w:lang w:eastAsia="en-GB"/>
        </w:rPr>
        <w:t>the law.</w:t>
      </w:r>
    </w:p>
    <w:p w14:paraId="0C6B0DFA"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5E3E2A76" w14:textId="0B803568" w:rsidR="00647612" w:rsidRPr="004379AA" w:rsidRDefault="00520AF2"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Chief Executive</w:t>
      </w:r>
      <w:r w:rsidR="00262EAC">
        <w:rPr>
          <w:rFonts w:ascii="Arial" w:eastAsia="Times New Roman" w:hAnsi="Arial" w:cs="Arial"/>
          <w:bCs/>
          <w:kern w:val="36"/>
          <w:lang w:eastAsia="en-GB"/>
        </w:rPr>
        <w:t xml:space="preserve"> Officer</w:t>
      </w:r>
      <w:r w:rsidRPr="004379AA">
        <w:rPr>
          <w:rFonts w:ascii="Arial" w:eastAsia="Times New Roman" w:hAnsi="Arial" w:cs="Arial"/>
          <w:bCs/>
          <w:kern w:val="36"/>
          <w:lang w:eastAsia="en-GB"/>
        </w:rPr>
        <w:t xml:space="preserve"> of NamibRe makes common cause with the Minister on behalf of NamibRe</w:t>
      </w:r>
      <w:r w:rsidR="006F4FEF" w:rsidRPr="004379AA">
        <w:rPr>
          <w:rFonts w:ascii="Arial" w:eastAsia="Times New Roman" w:hAnsi="Arial" w:cs="Arial"/>
          <w:bCs/>
          <w:kern w:val="36"/>
          <w:lang w:eastAsia="en-GB"/>
        </w:rPr>
        <w:t xml:space="preserve"> and supports the relief sought in the enforcement application</w:t>
      </w:r>
      <w:r w:rsidRPr="004379AA">
        <w:rPr>
          <w:rFonts w:ascii="Arial" w:eastAsia="Times New Roman" w:hAnsi="Arial" w:cs="Arial"/>
          <w:bCs/>
          <w:kern w:val="36"/>
          <w:lang w:eastAsia="en-GB"/>
        </w:rPr>
        <w:t xml:space="preserve">. </w:t>
      </w:r>
      <w:r w:rsidR="006F4FEF" w:rsidRPr="004379AA">
        <w:rPr>
          <w:rFonts w:ascii="Arial" w:eastAsia="Times New Roman" w:hAnsi="Arial" w:cs="Arial"/>
          <w:bCs/>
          <w:kern w:val="36"/>
          <w:lang w:eastAsia="en-GB"/>
        </w:rPr>
        <w:t xml:space="preserve">Mrs </w:t>
      </w:r>
      <w:r w:rsidR="006F4FEF" w:rsidRPr="004379AA">
        <w:rPr>
          <w:rFonts w:ascii="Arial" w:eastAsia="Times New Roman" w:hAnsi="Arial" w:cs="Arial"/>
          <w:bCs/>
          <w:kern w:val="36"/>
          <w:lang w:eastAsia="en-GB"/>
        </w:rPr>
        <w:lastRenderedPageBreak/>
        <w:t>Petronella Martin states that since the enactment of the December 2017 regulations and notices NamibRe has made significant investments in staff recruitment and training, restructuring of the organisation and sourcing consultancy expertise to carry out its mandate. She confirms that if the respondents are not ordered to comply with the law NamibRe will suffer ‘financial harm’ over the next five years averaging over a billion Na</w:t>
      </w:r>
      <w:r w:rsidR="00262EAC">
        <w:rPr>
          <w:rFonts w:ascii="Arial" w:eastAsia="Times New Roman" w:hAnsi="Arial" w:cs="Arial"/>
          <w:bCs/>
          <w:kern w:val="36"/>
          <w:lang w:eastAsia="en-GB"/>
        </w:rPr>
        <w:t>mibia dollars and peaking at N$</w:t>
      </w:r>
      <w:r w:rsidR="006F4FEF" w:rsidRPr="004379AA">
        <w:rPr>
          <w:rFonts w:ascii="Arial" w:eastAsia="Times New Roman" w:hAnsi="Arial" w:cs="Arial"/>
          <w:bCs/>
          <w:kern w:val="36"/>
          <w:lang w:eastAsia="en-GB"/>
        </w:rPr>
        <w:t xml:space="preserve">1,157,114.997 in 2023. The result will be loss of revenue from compulsory cessions for NamibRe. </w:t>
      </w:r>
    </w:p>
    <w:p w14:paraId="37996F6B"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3FF63888" w14:textId="77777777" w:rsidR="00647612" w:rsidRPr="004379AA" w:rsidRDefault="006F4FEF"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NamibRe relies on this revenue to sustain its operations.</w:t>
      </w:r>
      <w:r w:rsidR="00C3269D" w:rsidRPr="004379AA">
        <w:rPr>
          <w:rFonts w:ascii="Arial" w:eastAsia="Times New Roman" w:hAnsi="Arial" w:cs="Arial"/>
          <w:bCs/>
          <w:kern w:val="36"/>
          <w:lang w:eastAsia="en-GB"/>
        </w:rPr>
        <w:t xml:space="preserve"> The legal cessions achieve the following objectives: to increase the retention capacity of the country and to preserve scarce foreign exchange; to protect national insurance companies from external competition. The deponent asserts that NamibRe was created to reduce capital from the insurance industry leaving Namibia so that Government and other local companies can have access to funds to reinvest in the local economy and to develop public infrastructure. Retention of funds locally also ensures that the Government has access to affordable funds to borrow.</w:t>
      </w:r>
    </w:p>
    <w:p w14:paraId="2B5B57A8"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70DCE3DD" w14:textId="77777777" w:rsidR="00647612" w:rsidRPr="004379AA" w:rsidRDefault="00C3269D"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Additionally, the defiance by the respondents has the result that Government loses funds in the form of taxes (PAYE and VAT) and dividend as a shareho</w:t>
      </w:r>
      <w:r w:rsidR="00EB3E0D" w:rsidRPr="004379AA">
        <w:rPr>
          <w:rFonts w:ascii="Arial" w:eastAsia="Times New Roman" w:hAnsi="Arial" w:cs="Arial"/>
          <w:bCs/>
          <w:kern w:val="36"/>
          <w:lang w:eastAsia="en-GB"/>
        </w:rPr>
        <w:t>lder of Nami</w:t>
      </w:r>
      <w:r w:rsidRPr="004379AA">
        <w:rPr>
          <w:rFonts w:ascii="Arial" w:eastAsia="Times New Roman" w:hAnsi="Arial" w:cs="Arial"/>
          <w:bCs/>
          <w:kern w:val="36"/>
          <w:lang w:eastAsia="en-GB"/>
        </w:rPr>
        <w:t>bRe.</w:t>
      </w:r>
    </w:p>
    <w:p w14:paraId="2A305E1A" w14:textId="77777777" w:rsidR="00647612" w:rsidRPr="004379AA" w:rsidRDefault="00647612" w:rsidP="001751A1">
      <w:pPr>
        <w:tabs>
          <w:tab w:val="left" w:pos="851"/>
        </w:tabs>
        <w:spacing w:line="480" w:lineRule="auto"/>
        <w:contextualSpacing/>
        <w:jc w:val="both"/>
        <w:rPr>
          <w:rFonts w:ascii="Arial" w:hAnsi="Arial" w:cs="Arial"/>
        </w:rPr>
      </w:pPr>
    </w:p>
    <w:p w14:paraId="0804174A" w14:textId="77777777" w:rsidR="00647612" w:rsidRPr="004379AA" w:rsidRDefault="00647612" w:rsidP="001751A1">
      <w:pPr>
        <w:spacing w:after="160" w:line="480" w:lineRule="auto"/>
        <w:jc w:val="both"/>
        <w:outlineLvl w:val="0"/>
        <w:rPr>
          <w:rFonts w:ascii="Arial" w:eastAsia="Times New Roman" w:hAnsi="Arial" w:cs="Arial"/>
          <w:bCs/>
          <w:kern w:val="36"/>
          <w:u w:val="single"/>
          <w:lang w:eastAsia="en-GB"/>
        </w:rPr>
      </w:pPr>
      <w:r w:rsidRPr="004379AA">
        <w:rPr>
          <w:rFonts w:ascii="Arial" w:eastAsia="Times New Roman" w:hAnsi="Arial" w:cs="Arial"/>
          <w:bCs/>
          <w:kern w:val="36"/>
          <w:u w:val="single"/>
          <w:lang w:eastAsia="en-GB"/>
        </w:rPr>
        <w:t>The opposition to the enforcement proceedings</w:t>
      </w:r>
    </w:p>
    <w:p w14:paraId="0393C445" w14:textId="651E80A8" w:rsidR="00EB3E0D" w:rsidRPr="004379AA" w:rsidRDefault="00994E6D"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First to eighth respondent companies are</w:t>
      </w:r>
      <w:r w:rsidR="007F327C" w:rsidRPr="004379AA">
        <w:rPr>
          <w:rFonts w:ascii="Arial" w:eastAsia="Times New Roman" w:hAnsi="Arial" w:cs="Arial"/>
          <w:bCs/>
          <w:kern w:val="36"/>
          <w:lang w:eastAsia="en-GB"/>
        </w:rPr>
        <w:t xml:space="preserve"> in the insurance business. </w:t>
      </w:r>
      <w:r w:rsidR="007C365D" w:rsidRPr="004379AA">
        <w:rPr>
          <w:rFonts w:ascii="Arial" w:eastAsia="Times New Roman" w:hAnsi="Arial" w:cs="Arial"/>
          <w:bCs/>
          <w:kern w:val="36"/>
          <w:lang w:eastAsia="en-GB"/>
        </w:rPr>
        <w:t>Ninth to sixteenth respondents are the respective chief executive officers of the corporate respondents.</w:t>
      </w:r>
      <w:r w:rsidR="00EB3E0D" w:rsidRPr="004379AA">
        <w:rPr>
          <w:rFonts w:ascii="Arial" w:eastAsia="Times New Roman" w:hAnsi="Arial" w:cs="Arial"/>
          <w:bCs/>
          <w:kern w:val="36"/>
          <w:lang w:eastAsia="en-GB"/>
        </w:rPr>
        <w:t xml:space="preserve"> </w:t>
      </w:r>
      <w:r w:rsidR="00E636CE" w:rsidRPr="004379AA">
        <w:rPr>
          <w:rFonts w:ascii="Arial" w:eastAsia="Times New Roman" w:hAnsi="Arial" w:cs="Arial"/>
          <w:bCs/>
          <w:kern w:val="36"/>
          <w:lang w:eastAsia="en-GB"/>
        </w:rPr>
        <w:t xml:space="preserve">It is common cause that the CEOs are not applicants in the constitutional </w:t>
      </w:r>
      <w:r w:rsidR="00E636CE" w:rsidRPr="004379AA">
        <w:rPr>
          <w:rFonts w:ascii="Arial" w:eastAsia="Times New Roman" w:hAnsi="Arial" w:cs="Arial"/>
          <w:bCs/>
          <w:kern w:val="36"/>
          <w:lang w:eastAsia="en-GB"/>
        </w:rPr>
        <w:lastRenderedPageBreak/>
        <w:t xml:space="preserve">challenge and the review application. </w:t>
      </w:r>
      <w:r w:rsidR="00EB3E0D" w:rsidRPr="004379AA">
        <w:rPr>
          <w:rFonts w:ascii="Arial" w:eastAsia="Times New Roman" w:hAnsi="Arial" w:cs="Arial"/>
          <w:bCs/>
          <w:kern w:val="36"/>
          <w:lang w:eastAsia="en-GB"/>
        </w:rPr>
        <w:t>The</w:t>
      </w:r>
      <w:r w:rsidR="00E636CE" w:rsidRPr="004379AA">
        <w:rPr>
          <w:rFonts w:ascii="Arial" w:eastAsia="Times New Roman" w:hAnsi="Arial" w:cs="Arial"/>
          <w:bCs/>
          <w:kern w:val="36"/>
          <w:lang w:eastAsia="en-GB"/>
        </w:rPr>
        <w:t xml:space="preserve"> latter</w:t>
      </w:r>
      <w:r w:rsidR="00EB3E0D" w:rsidRPr="004379AA">
        <w:rPr>
          <w:rFonts w:ascii="Arial" w:eastAsia="Times New Roman" w:hAnsi="Arial" w:cs="Arial"/>
          <w:bCs/>
          <w:kern w:val="36"/>
          <w:lang w:eastAsia="en-GB"/>
        </w:rPr>
        <w:t xml:space="preserve"> are therefore cited as employees of the corporate respondents. As the Minister makes clear, they are cited so that in the event that the relief is granted and the defiance persists, they can be committed to prison for the conduct of their employers. </w:t>
      </w:r>
    </w:p>
    <w:p w14:paraId="1E5CD362" w14:textId="77777777" w:rsidR="00647612" w:rsidRPr="004379AA" w:rsidRDefault="00647612" w:rsidP="001751A1">
      <w:pPr>
        <w:tabs>
          <w:tab w:val="left" w:pos="851"/>
        </w:tabs>
        <w:spacing w:line="480" w:lineRule="auto"/>
        <w:contextualSpacing/>
        <w:jc w:val="both"/>
        <w:rPr>
          <w:rFonts w:ascii="Arial" w:hAnsi="Arial" w:cs="Arial"/>
        </w:rPr>
      </w:pPr>
    </w:p>
    <w:p w14:paraId="37D71D54" w14:textId="77777777" w:rsidR="00647612" w:rsidRPr="001C0B8F" w:rsidRDefault="00AB10EA"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w:t>
      </w:r>
      <w:r w:rsidR="00E636CE" w:rsidRPr="004379AA">
        <w:rPr>
          <w:rFonts w:ascii="Arial" w:eastAsia="Times New Roman" w:hAnsi="Arial" w:cs="Arial"/>
          <w:bCs/>
          <w:kern w:val="36"/>
          <w:lang w:eastAsia="en-GB"/>
        </w:rPr>
        <w:t>respondents have</w:t>
      </w:r>
      <w:r w:rsidRPr="004379AA">
        <w:rPr>
          <w:rFonts w:ascii="Arial" w:eastAsia="Times New Roman" w:hAnsi="Arial" w:cs="Arial"/>
          <w:bCs/>
          <w:kern w:val="36"/>
          <w:lang w:eastAsia="en-GB"/>
        </w:rPr>
        <w:t xml:space="preserve"> mounted a joint defence to the enforcement application and the ninth respondent deposed to the main opposing affidavit on behalf of all the respondents.</w:t>
      </w:r>
    </w:p>
    <w:p w14:paraId="745915BE" w14:textId="77777777" w:rsidR="001C0B8F" w:rsidRPr="004379AA" w:rsidRDefault="001C0B8F" w:rsidP="001C0B8F">
      <w:pPr>
        <w:tabs>
          <w:tab w:val="left" w:pos="851"/>
        </w:tabs>
        <w:spacing w:line="480" w:lineRule="auto"/>
        <w:contextualSpacing/>
        <w:jc w:val="both"/>
        <w:rPr>
          <w:rFonts w:ascii="Arial" w:hAnsi="Arial" w:cs="Arial"/>
        </w:rPr>
      </w:pPr>
    </w:p>
    <w:p w14:paraId="29D125EC" w14:textId="75E7DE72" w:rsidR="00647612" w:rsidRPr="004379AA" w:rsidRDefault="00AB10EA"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respondents maintain that the NNRCA forces the</w:t>
      </w:r>
      <w:r w:rsidR="00E636CE" w:rsidRPr="004379AA">
        <w:rPr>
          <w:rFonts w:ascii="Arial" w:eastAsia="Times New Roman" w:hAnsi="Arial" w:cs="Arial"/>
          <w:bCs/>
          <w:kern w:val="36"/>
          <w:lang w:eastAsia="en-GB"/>
        </w:rPr>
        <w:t xml:space="preserve"> corporate respondents</w:t>
      </w:r>
      <w:r w:rsidRPr="004379AA">
        <w:rPr>
          <w:rFonts w:ascii="Arial" w:eastAsia="Times New Roman" w:hAnsi="Arial" w:cs="Arial"/>
          <w:bCs/>
          <w:kern w:val="36"/>
          <w:lang w:eastAsia="en-GB"/>
        </w:rPr>
        <w:t xml:space="preserve"> ‘against their will and better business acumen, to do business with NamibRe.’ They describe the Chapter V regime as ‘oppression’ which they have the ‘con</w:t>
      </w:r>
      <w:r w:rsidR="0097163D">
        <w:rPr>
          <w:rFonts w:ascii="Arial" w:eastAsia="Times New Roman" w:hAnsi="Arial" w:cs="Arial"/>
          <w:bCs/>
          <w:kern w:val="36"/>
          <w:lang w:eastAsia="en-GB"/>
        </w:rPr>
        <w:t xml:space="preserve">stitutionally entrenched right </w:t>
      </w:r>
      <w:r w:rsidRPr="004379AA">
        <w:rPr>
          <w:rFonts w:ascii="Arial" w:eastAsia="Times New Roman" w:hAnsi="Arial" w:cs="Arial"/>
          <w:bCs/>
          <w:kern w:val="36"/>
          <w:lang w:eastAsia="en-GB"/>
        </w:rPr>
        <w:t xml:space="preserve">to resist’. The respondents set out in great detail the effect the December 2017 </w:t>
      </w:r>
      <w:r w:rsidR="00885979" w:rsidRPr="004379AA">
        <w:rPr>
          <w:rFonts w:ascii="Arial" w:eastAsia="Times New Roman" w:hAnsi="Arial" w:cs="Arial"/>
          <w:bCs/>
          <w:kern w:val="36"/>
          <w:lang w:eastAsia="en-GB"/>
        </w:rPr>
        <w:t xml:space="preserve">regulations and </w:t>
      </w:r>
      <w:r w:rsidRPr="004379AA">
        <w:rPr>
          <w:rFonts w:ascii="Arial" w:eastAsia="Times New Roman" w:hAnsi="Arial" w:cs="Arial"/>
          <w:bCs/>
          <w:kern w:val="36"/>
          <w:lang w:eastAsia="en-GB"/>
        </w:rPr>
        <w:t>notices ha</w:t>
      </w:r>
      <w:r w:rsidR="00885979" w:rsidRPr="004379AA">
        <w:rPr>
          <w:rFonts w:ascii="Arial" w:eastAsia="Times New Roman" w:hAnsi="Arial" w:cs="Arial"/>
          <w:bCs/>
          <w:kern w:val="36"/>
          <w:lang w:eastAsia="en-GB"/>
        </w:rPr>
        <w:t>ve</w:t>
      </w:r>
      <w:r w:rsidRPr="004379AA">
        <w:rPr>
          <w:rFonts w:ascii="Arial" w:eastAsia="Times New Roman" w:hAnsi="Arial" w:cs="Arial"/>
          <w:bCs/>
          <w:kern w:val="36"/>
          <w:lang w:eastAsia="en-GB"/>
        </w:rPr>
        <w:t xml:space="preserve"> </w:t>
      </w:r>
      <w:r w:rsidR="007243AE" w:rsidRPr="004379AA">
        <w:rPr>
          <w:rFonts w:ascii="Arial" w:eastAsia="Times New Roman" w:hAnsi="Arial" w:cs="Arial"/>
          <w:bCs/>
          <w:kern w:val="36"/>
          <w:lang w:eastAsia="en-GB"/>
        </w:rPr>
        <w:t>on their insurance business. I will highlight only some. For example, they say, the regulatory scheme forces them to insure their entire ‘insurance book’ when according to sound insurance practice the percentage of the insurance book ‘which is reinsured will depend by and large on the financial resources and the risk appetite of the insurer’. It may well be that in some cases a registered insurer ‘will be able to retain the risk on its own balance sheet through its reserves’ without having to take out reinsurance. A registered insurer will only selectively reinsure against risk undertaken and place reinsurance with a ‘reinsurer directly or do so through an insurance broker’.</w:t>
      </w:r>
    </w:p>
    <w:p w14:paraId="7CA85D73"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1CABA7A9" w14:textId="3A322357" w:rsidR="00647612" w:rsidRPr="004379AA" w:rsidRDefault="00A51DE1"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state that s 43(3) of the NNRCA prohibits any payment of profit commission to the insurer although they are ‘compelled against their will, in respect of all classes of insurance, to reinsure with NamibRe. NamibRe is thereby geared to make </w:t>
      </w:r>
      <w:r w:rsidRPr="004379AA">
        <w:rPr>
          <w:rFonts w:ascii="Arial" w:eastAsia="Times New Roman" w:hAnsi="Arial" w:cs="Arial"/>
          <w:bCs/>
          <w:kern w:val="36"/>
          <w:lang w:eastAsia="en-GB"/>
        </w:rPr>
        <w:lastRenderedPageBreak/>
        <w:t>huge profits at the expense of the insurers.’ It is alleged that this ‘const</w:t>
      </w:r>
      <w:r w:rsidR="00AD78EA">
        <w:rPr>
          <w:rFonts w:ascii="Arial" w:eastAsia="Times New Roman" w:hAnsi="Arial" w:cs="Arial"/>
          <w:bCs/>
          <w:kern w:val="36"/>
          <w:lang w:eastAsia="en-GB"/>
        </w:rPr>
        <w:t>itutes clear expropriation or “</w:t>
      </w:r>
      <w:r w:rsidRPr="004379AA">
        <w:rPr>
          <w:rFonts w:ascii="Arial" w:eastAsia="Times New Roman" w:hAnsi="Arial" w:cs="Arial"/>
          <w:bCs/>
          <w:kern w:val="36"/>
          <w:lang w:eastAsia="en-GB"/>
        </w:rPr>
        <w:t>takin</w:t>
      </w:r>
      <w:r w:rsidR="00D15971" w:rsidRPr="004379AA">
        <w:rPr>
          <w:rFonts w:ascii="Arial" w:eastAsia="Times New Roman" w:hAnsi="Arial" w:cs="Arial"/>
          <w:bCs/>
          <w:kern w:val="36"/>
          <w:lang w:eastAsia="en-GB"/>
        </w:rPr>
        <w:t>g</w:t>
      </w:r>
      <w:r w:rsidR="00AD78EA">
        <w:rPr>
          <w:rFonts w:ascii="Arial" w:eastAsia="Times New Roman" w:hAnsi="Arial" w:cs="Arial"/>
          <w:bCs/>
          <w:kern w:val="36"/>
          <w:lang w:eastAsia="en-GB"/>
        </w:rPr>
        <w:t>”</w:t>
      </w:r>
      <w:r w:rsidRPr="004379AA">
        <w:rPr>
          <w:rFonts w:ascii="Arial" w:eastAsia="Times New Roman" w:hAnsi="Arial" w:cs="Arial"/>
          <w:bCs/>
          <w:kern w:val="36"/>
          <w:lang w:eastAsia="en-GB"/>
        </w:rPr>
        <w:t xml:space="preserve"> without compensation’. </w:t>
      </w:r>
      <w:r w:rsidR="00D15971" w:rsidRPr="004379AA">
        <w:rPr>
          <w:rFonts w:ascii="Arial" w:eastAsia="Times New Roman" w:hAnsi="Arial" w:cs="Arial"/>
          <w:bCs/>
          <w:kern w:val="36"/>
          <w:lang w:eastAsia="en-GB"/>
        </w:rPr>
        <w:t>The respondents also allege that the ‘compulsory requirement of individual cession of each and every policy would eat into the [insurer’s] net profits. This would amount to …expropriation without just compensation</w:t>
      </w:r>
      <w:r w:rsidR="00256FBB" w:rsidRPr="004379AA">
        <w:rPr>
          <w:rFonts w:ascii="Arial" w:eastAsia="Times New Roman" w:hAnsi="Arial" w:cs="Arial"/>
          <w:bCs/>
          <w:kern w:val="36"/>
          <w:lang w:eastAsia="en-GB"/>
        </w:rPr>
        <w:t>.’</w:t>
      </w:r>
    </w:p>
    <w:p w14:paraId="72B72C66"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28FF0CFF" w14:textId="77777777" w:rsidR="00647612" w:rsidRPr="004379AA" w:rsidRDefault="00072104"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maintain that the effect of the NNRCA and the </w:t>
      </w:r>
      <w:r w:rsidR="00885979" w:rsidRPr="004379AA">
        <w:rPr>
          <w:rFonts w:ascii="Arial" w:eastAsia="Times New Roman" w:hAnsi="Arial" w:cs="Arial"/>
          <w:bCs/>
          <w:kern w:val="36"/>
          <w:lang w:eastAsia="en-GB"/>
        </w:rPr>
        <w:t xml:space="preserve">December 2017 regulations and </w:t>
      </w:r>
      <w:r w:rsidRPr="004379AA">
        <w:rPr>
          <w:rFonts w:ascii="Arial" w:eastAsia="Times New Roman" w:hAnsi="Arial" w:cs="Arial"/>
          <w:bCs/>
          <w:kern w:val="36"/>
          <w:lang w:eastAsia="en-GB"/>
        </w:rPr>
        <w:t>notices is that ‘NamibR</w:t>
      </w:r>
      <w:r w:rsidR="00885979" w:rsidRPr="004379AA">
        <w:rPr>
          <w:rFonts w:ascii="Arial" w:eastAsia="Times New Roman" w:hAnsi="Arial" w:cs="Arial"/>
          <w:bCs/>
          <w:kern w:val="36"/>
          <w:lang w:eastAsia="en-GB"/>
        </w:rPr>
        <w:t>e raises revenue for Government</w:t>
      </w:r>
      <w:r w:rsidRPr="004379AA">
        <w:rPr>
          <w:rFonts w:ascii="Arial" w:eastAsia="Times New Roman" w:hAnsi="Arial" w:cs="Arial"/>
          <w:bCs/>
          <w:kern w:val="36"/>
          <w:lang w:eastAsia="en-GB"/>
        </w:rPr>
        <w:t xml:space="preserve"> … through the unbridled discretion provided by the Act to the Minister. This method of fundraising is not permitted by the Constitution and is in breach of Article 63(2)(b) of the Constitution. The [NNRCA] makes no provision for parliamentary oversight in the raising of revenue by the Min</w:t>
      </w:r>
      <w:r w:rsidR="00B26899" w:rsidRPr="004379AA">
        <w:rPr>
          <w:rFonts w:ascii="Arial" w:eastAsia="Times New Roman" w:hAnsi="Arial" w:cs="Arial"/>
          <w:bCs/>
          <w:kern w:val="36"/>
          <w:lang w:eastAsia="en-GB"/>
        </w:rPr>
        <w:t>is</w:t>
      </w:r>
      <w:r w:rsidRPr="004379AA">
        <w:rPr>
          <w:rFonts w:ascii="Arial" w:eastAsia="Times New Roman" w:hAnsi="Arial" w:cs="Arial"/>
          <w:bCs/>
          <w:kern w:val="36"/>
          <w:lang w:eastAsia="en-GB"/>
        </w:rPr>
        <w:t>ter.’</w:t>
      </w:r>
    </w:p>
    <w:p w14:paraId="016D52E4"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00796711" w14:textId="77777777" w:rsidR="00647612" w:rsidRPr="001C0B8F" w:rsidRDefault="00D15971"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According to the respondents, reinsurance ‘is not obligatory in the free market’</w:t>
      </w:r>
      <w:r w:rsidR="009E4B9F" w:rsidRPr="004379AA">
        <w:rPr>
          <w:rFonts w:ascii="Arial" w:eastAsia="Times New Roman" w:hAnsi="Arial" w:cs="Arial"/>
          <w:bCs/>
          <w:kern w:val="36"/>
          <w:lang w:eastAsia="en-GB"/>
        </w:rPr>
        <w:t xml:space="preserve">; </w:t>
      </w:r>
      <w:r w:rsidR="00885979" w:rsidRPr="004379AA">
        <w:rPr>
          <w:rFonts w:ascii="Arial" w:eastAsia="Times New Roman" w:hAnsi="Arial" w:cs="Arial"/>
          <w:bCs/>
          <w:kern w:val="36"/>
          <w:lang w:eastAsia="en-GB"/>
        </w:rPr>
        <w:t>y</w:t>
      </w:r>
      <w:r w:rsidR="009E4B9F" w:rsidRPr="004379AA">
        <w:rPr>
          <w:rFonts w:ascii="Arial" w:eastAsia="Times New Roman" w:hAnsi="Arial" w:cs="Arial"/>
          <w:bCs/>
          <w:kern w:val="36"/>
          <w:lang w:eastAsia="en-GB"/>
        </w:rPr>
        <w:t>et the NNRCA makes it to be</w:t>
      </w:r>
      <w:r w:rsidRPr="004379AA">
        <w:rPr>
          <w:rFonts w:ascii="Arial" w:eastAsia="Times New Roman" w:hAnsi="Arial" w:cs="Arial"/>
          <w:bCs/>
          <w:kern w:val="36"/>
          <w:lang w:eastAsia="en-GB"/>
        </w:rPr>
        <w:t>. If an insurer is ‘able to absorb the risk and honour their respective commitments to their policy holders without (re-)insuring such risks, an insurer’s proprietary interests are served by not reinsuring it’.</w:t>
      </w:r>
    </w:p>
    <w:p w14:paraId="66D1BFF5" w14:textId="77777777" w:rsidR="001C0B8F" w:rsidRPr="004379AA" w:rsidRDefault="001C0B8F" w:rsidP="001C0B8F">
      <w:pPr>
        <w:tabs>
          <w:tab w:val="left" w:pos="851"/>
        </w:tabs>
        <w:spacing w:line="480" w:lineRule="auto"/>
        <w:contextualSpacing/>
        <w:jc w:val="both"/>
        <w:rPr>
          <w:rFonts w:ascii="Arial" w:hAnsi="Arial" w:cs="Arial"/>
        </w:rPr>
      </w:pPr>
    </w:p>
    <w:p w14:paraId="5305D666" w14:textId="77777777" w:rsidR="00647612" w:rsidRPr="004379AA" w:rsidRDefault="00D15971"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According to the respondents, the</w:t>
      </w:r>
      <w:r w:rsidR="00A51DE1" w:rsidRPr="004379AA">
        <w:rPr>
          <w:rFonts w:ascii="Arial" w:eastAsia="Times New Roman" w:hAnsi="Arial" w:cs="Arial"/>
          <w:bCs/>
          <w:kern w:val="36"/>
          <w:lang w:eastAsia="en-GB"/>
        </w:rPr>
        <w:t xml:space="preserve"> </w:t>
      </w:r>
      <w:r w:rsidR="00885979" w:rsidRPr="004379AA">
        <w:rPr>
          <w:rFonts w:ascii="Arial" w:eastAsia="Times New Roman" w:hAnsi="Arial" w:cs="Arial"/>
          <w:bCs/>
          <w:kern w:val="36"/>
          <w:lang w:eastAsia="en-GB"/>
        </w:rPr>
        <w:t xml:space="preserve">Part V </w:t>
      </w:r>
      <w:r w:rsidR="00A51DE1" w:rsidRPr="004379AA">
        <w:rPr>
          <w:rFonts w:ascii="Arial" w:eastAsia="Times New Roman" w:hAnsi="Arial" w:cs="Arial"/>
          <w:bCs/>
          <w:kern w:val="36"/>
          <w:lang w:eastAsia="en-GB"/>
        </w:rPr>
        <w:t xml:space="preserve">regulatory scheme also forces the insurer to have only one insurer in respect of </w:t>
      </w:r>
      <w:r w:rsidR="009E4B9F" w:rsidRPr="004379AA">
        <w:rPr>
          <w:rFonts w:ascii="Arial" w:eastAsia="Times New Roman" w:hAnsi="Arial" w:cs="Arial"/>
          <w:bCs/>
          <w:kern w:val="36"/>
          <w:lang w:eastAsia="en-GB"/>
        </w:rPr>
        <w:t>‘</w:t>
      </w:r>
      <w:r w:rsidR="00A51DE1" w:rsidRPr="004379AA">
        <w:rPr>
          <w:rFonts w:ascii="Arial" w:eastAsia="Times New Roman" w:hAnsi="Arial" w:cs="Arial"/>
          <w:bCs/>
          <w:kern w:val="36"/>
          <w:lang w:eastAsia="en-GB"/>
        </w:rPr>
        <w:t>treaty reinsurance</w:t>
      </w:r>
      <w:r w:rsidR="009E4B9F" w:rsidRPr="004379AA">
        <w:rPr>
          <w:rFonts w:ascii="Arial" w:eastAsia="Times New Roman" w:hAnsi="Arial" w:cs="Arial"/>
          <w:bCs/>
          <w:kern w:val="36"/>
          <w:lang w:eastAsia="en-GB"/>
        </w:rPr>
        <w:t>’</w:t>
      </w:r>
      <w:r w:rsidR="00A51DE1" w:rsidRPr="004379AA">
        <w:rPr>
          <w:rFonts w:ascii="Arial" w:eastAsia="Times New Roman" w:hAnsi="Arial" w:cs="Arial"/>
          <w:bCs/>
          <w:kern w:val="36"/>
          <w:lang w:eastAsia="en-GB"/>
        </w:rPr>
        <w:t xml:space="preserve"> when </w:t>
      </w:r>
      <w:r w:rsidR="00885979" w:rsidRPr="004379AA">
        <w:rPr>
          <w:rFonts w:ascii="Arial" w:eastAsia="Times New Roman" w:hAnsi="Arial" w:cs="Arial"/>
          <w:bCs/>
          <w:kern w:val="36"/>
          <w:lang w:eastAsia="en-GB"/>
        </w:rPr>
        <w:t>the industry ‘</w:t>
      </w:r>
      <w:r w:rsidR="00A51DE1" w:rsidRPr="004379AA">
        <w:rPr>
          <w:rFonts w:ascii="Arial" w:eastAsia="Times New Roman" w:hAnsi="Arial" w:cs="Arial"/>
          <w:bCs/>
          <w:kern w:val="36"/>
          <w:lang w:eastAsia="en-GB"/>
        </w:rPr>
        <w:t>practice is rather to spread the risk amongst three or four reinsurers’. It is alleged that ‘NamibRe has seldom acted as lead treaty insurer. Typically, lead reinsurers are large international reinsurance companies, w</w:t>
      </w:r>
      <w:r w:rsidRPr="004379AA">
        <w:rPr>
          <w:rFonts w:ascii="Arial" w:eastAsia="Times New Roman" w:hAnsi="Arial" w:cs="Arial"/>
          <w:bCs/>
          <w:kern w:val="36"/>
          <w:lang w:eastAsia="en-GB"/>
        </w:rPr>
        <w:t>ith which even NamibRe reinsures, such as MunichRe and SwissRe.’</w:t>
      </w:r>
    </w:p>
    <w:p w14:paraId="4C6227B4"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5F4DAE44" w14:textId="77777777" w:rsidR="00647612" w:rsidRPr="00F36B42" w:rsidRDefault="000511FD"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lastRenderedPageBreak/>
        <w:t>The</w:t>
      </w:r>
      <w:r w:rsidR="00F26AD7" w:rsidRPr="004379AA">
        <w:rPr>
          <w:rFonts w:ascii="Arial" w:eastAsia="Times New Roman" w:hAnsi="Arial" w:cs="Arial"/>
          <w:bCs/>
          <w:kern w:val="36"/>
          <w:lang w:eastAsia="en-GB"/>
        </w:rPr>
        <w:t xml:space="preserve"> respondents</w:t>
      </w:r>
      <w:r w:rsidR="008D1942" w:rsidRPr="004379AA">
        <w:rPr>
          <w:rFonts w:ascii="Arial" w:eastAsia="Times New Roman" w:hAnsi="Arial" w:cs="Arial"/>
          <w:bCs/>
          <w:kern w:val="36"/>
          <w:lang w:eastAsia="en-GB"/>
        </w:rPr>
        <w:t xml:space="preserve"> maintain that</w:t>
      </w:r>
      <w:r w:rsidR="00F26AD7" w:rsidRPr="004379AA">
        <w:rPr>
          <w:rFonts w:ascii="Arial" w:eastAsia="Times New Roman" w:hAnsi="Arial" w:cs="Arial"/>
          <w:bCs/>
          <w:kern w:val="36"/>
          <w:lang w:eastAsia="en-GB"/>
        </w:rPr>
        <w:t xml:space="preserve"> </w:t>
      </w:r>
      <w:r w:rsidR="00B26899" w:rsidRPr="004379AA">
        <w:rPr>
          <w:rFonts w:ascii="Arial" w:eastAsia="Times New Roman" w:hAnsi="Arial" w:cs="Arial"/>
          <w:bCs/>
          <w:kern w:val="36"/>
          <w:lang w:eastAsia="en-GB"/>
        </w:rPr>
        <w:t xml:space="preserve">the December 2017 </w:t>
      </w:r>
      <w:r w:rsidR="00885979" w:rsidRPr="004379AA">
        <w:rPr>
          <w:rFonts w:ascii="Arial" w:eastAsia="Times New Roman" w:hAnsi="Arial" w:cs="Arial"/>
          <w:bCs/>
          <w:kern w:val="36"/>
          <w:lang w:eastAsia="en-GB"/>
        </w:rPr>
        <w:t xml:space="preserve">regulations and </w:t>
      </w:r>
      <w:r w:rsidR="00B26899" w:rsidRPr="004379AA">
        <w:rPr>
          <w:rFonts w:ascii="Arial" w:eastAsia="Times New Roman" w:hAnsi="Arial" w:cs="Arial"/>
          <w:bCs/>
          <w:kern w:val="36"/>
          <w:lang w:eastAsia="en-GB"/>
        </w:rPr>
        <w:t>notices were issued while there was a pending direct challenge to the NNRCA. That compelled them to bring a review challenge to those notices.</w:t>
      </w:r>
    </w:p>
    <w:p w14:paraId="573A4081" w14:textId="77777777" w:rsidR="00F36B42" w:rsidRPr="004379AA" w:rsidRDefault="00F36B42" w:rsidP="001751A1">
      <w:pPr>
        <w:tabs>
          <w:tab w:val="left" w:pos="851"/>
        </w:tabs>
        <w:spacing w:line="480" w:lineRule="auto"/>
        <w:contextualSpacing/>
        <w:jc w:val="both"/>
        <w:rPr>
          <w:rFonts w:ascii="Arial" w:hAnsi="Arial" w:cs="Arial"/>
        </w:rPr>
      </w:pPr>
    </w:p>
    <w:p w14:paraId="0EA10536" w14:textId="77777777" w:rsidR="00647612" w:rsidRPr="004379AA" w:rsidRDefault="00B26899"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answer to the </w:t>
      </w:r>
      <w:r w:rsidR="00885979" w:rsidRPr="004379AA">
        <w:rPr>
          <w:rFonts w:ascii="Arial" w:eastAsia="Times New Roman" w:hAnsi="Arial" w:cs="Arial"/>
          <w:bCs/>
          <w:kern w:val="36"/>
          <w:lang w:eastAsia="en-GB"/>
        </w:rPr>
        <w:t>Minister’s</w:t>
      </w:r>
      <w:r w:rsidRPr="004379AA">
        <w:rPr>
          <w:rFonts w:ascii="Arial" w:eastAsia="Times New Roman" w:hAnsi="Arial" w:cs="Arial"/>
          <w:bCs/>
          <w:kern w:val="36"/>
          <w:lang w:eastAsia="en-GB"/>
        </w:rPr>
        <w:t xml:space="preserve"> contention that their defiance is unjustified considering that four insurers have elected to comply with the law is that the compl</w:t>
      </w:r>
      <w:r w:rsidR="009E4B9F" w:rsidRPr="004379AA">
        <w:rPr>
          <w:rFonts w:ascii="Arial" w:eastAsia="Times New Roman" w:hAnsi="Arial" w:cs="Arial"/>
          <w:bCs/>
          <w:kern w:val="36"/>
          <w:lang w:eastAsia="en-GB"/>
        </w:rPr>
        <w:t>ying</w:t>
      </w:r>
      <w:r w:rsidRPr="004379AA">
        <w:rPr>
          <w:rFonts w:ascii="Arial" w:eastAsia="Times New Roman" w:hAnsi="Arial" w:cs="Arial"/>
          <w:bCs/>
          <w:kern w:val="36"/>
          <w:lang w:eastAsia="en-GB"/>
        </w:rPr>
        <w:t xml:space="preserve"> companies are ‘smaller insurance companies’ which ‘do not have the required balance sheet to absorb losses without taking out high percentages of reinsurance’. However, their compensation in the form of profit sharing commission, are much higher when received f</w:t>
      </w:r>
      <w:r w:rsidR="00FD1C3A" w:rsidRPr="004379AA">
        <w:rPr>
          <w:rFonts w:ascii="Arial" w:eastAsia="Times New Roman" w:hAnsi="Arial" w:cs="Arial"/>
          <w:bCs/>
          <w:kern w:val="36"/>
          <w:lang w:eastAsia="en-GB"/>
        </w:rPr>
        <w:t>rom other reinsurance companies.</w:t>
      </w:r>
      <w:r w:rsidRPr="004379AA">
        <w:rPr>
          <w:rFonts w:ascii="Arial" w:eastAsia="Times New Roman" w:hAnsi="Arial" w:cs="Arial"/>
          <w:bCs/>
          <w:kern w:val="36"/>
          <w:lang w:eastAsia="en-GB"/>
        </w:rPr>
        <w:t>’</w:t>
      </w:r>
    </w:p>
    <w:p w14:paraId="1F068018" w14:textId="77777777" w:rsidR="00647612" w:rsidRPr="004379AA" w:rsidRDefault="00647612" w:rsidP="001751A1">
      <w:pPr>
        <w:pStyle w:val="ListParagraph"/>
        <w:spacing w:line="480" w:lineRule="auto"/>
        <w:rPr>
          <w:rFonts w:ascii="Arial" w:eastAsia="Times New Roman" w:hAnsi="Arial" w:cs="Arial"/>
          <w:bCs/>
          <w:kern w:val="36"/>
          <w:lang w:eastAsia="en-GB"/>
        </w:rPr>
      </w:pPr>
    </w:p>
    <w:p w14:paraId="64C628B2" w14:textId="485DAEAB" w:rsidR="00647612" w:rsidRPr="004379AA" w:rsidRDefault="00FD1C3A"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state that it was inappropriate for the appellants to seek urgent relief in the circumstances and that constitutional issues should not be determined on an urgent basis. They assert further that the Minister wants the entire Act declared valid in the interim while they only impugn certain provisions of the Act. It is alleged that never before has the Government approached any court to declare an Act valid because it wants to uphold the rule of law. </w:t>
      </w:r>
      <w:r w:rsidR="009E4B9F" w:rsidRPr="004379AA">
        <w:rPr>
          <w:rFonts w:ascii="Arial" w:eastAsia="Times New Roman" w:hAnsi="Arial" w:cs="Arial"/>
          <w:bCs/>
          <w:kern w:val="36"/>
          <w:lang w:eastAsia="en-GB"/>
        </w:rPr>
        <w:t>It is alleged</w:t>
      </w:r>
      <w:r w:rsidRPr="004379AA">
        <w:rPr>
          <w:rFonts w:ascii="Arial" w:eastAsia="Times New Roman" w:hAnsi="Arial" w:cs="Arial"/>
          <w:bCs/>
          <w:kern w:val="36"/>
          <w:lang w:eastAsia="en-GB"/>
        </w:rPr>
        <w:t xml:space="preserve"> in that respect:</w:t>
      </w:r>
    </w:p>
    <w:p w14:paraId="0BCD13FB" w14:textId="77777777" w:rsidR="00AD78EA" w:rsidRDefault="00AD78EA" w:rsidP="001C0B8F">
      <w:pPr>
        <w:spacing w:line="360" w:lineRule="auto"/>
        <w:ind w:left="851"/>
        <w:jc w:val="both"/>
        <w:outlineLvl w:val="0"/>
        <w:rPr>
          <w:rFonts w:ascii="Arial" w:eastAsia="Times New Roman" w:hAnsi="Arial" w:cs="Arial"/>
          <w:bCs/>
          <w:kern w:val="36"/>
          <w:sz w:val="22"/>
          <w:szCs w:val="22"/>
          <w:lang w:eastAsia="en-GB"/>
        </w:rPr>
      </w:pPr>
    </w:p>
    <w:p w14:paraId="65CC9C05" w14:textId="7CDEC97D" w:rsidR="00647612" w:rsidRPr="004379AA" w:rsidRDefault="00647612" w:rsidP="00647612">
      <w:pPr>
        <w:spacing w:before="100" w:beforeAutospacing="1" w:after="100" w:afterAutospacing="1"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‘That is exactly why there are criminal sanction provisions in every Act which Parliament creates. If someone transgresses a provision of an Act which creates a criminal offence, and any person feels that he or she may lay criminal charges without facing a common law claim for malicious proceedings, he or she may exactly do so. Such complainant does not approach the High court to declare the relevant Act valid, and then institute civil contempt proceedings. The constitutional principle of separation of powers prohibits such an approach.’</w:t>
      </w:r>
    </w:p>
    <w:p w14:paraId="14932E2A" w14:textId="77777777" w:rsidR="00647612" w:rsidRPr="004379AA" w:rsidRDefault="00647612" w:rsidP="001751A1">
      <w:pPr>
        <w:pStyle w:val="ListParagraph"/>
        <w:spacing w:line="480" w:lineRule="auto"/>
        <w:ind w:left="851"/>
        <w:rPr>
          <w:rFonts w:ascii="Arial" w:eastAsia="Times New Roman" w:hAnsi="Arial" w:cs="Arial"/>
          <w:bCs/>
          <w:kern w:val="36"/>
          <w:lang w:eastAsia="en-GB"/>
        </w:rPr>
      </w:pPr>
    </w:p>
    <w:p w14:paraId="277478DE" w14:textId="77777777" w:rsidR="003833F6" w:rsidRPr="004379AA" w:rsidRDefault="00B10280"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lastRenderedPageBreak/>
        <w:t>The respondents state further that ‘Namibian Law does not know the concept of an ‘interim declaration’ which is of ‘full force and effect’ and that under Namibi</w:t>
      </w:r>
      <w:r w:rsidR="007E508B" w:rsidRPr="004379AA">
        <w:rPr>
          <w:rFonts w:ascii="Arial" w:eastAsia="Times New Roman" w:hAnsi="Arial" w:cs="Arial"/>
          <w:bCs/>
          <w:kern w:val="36"/>
          <w:lang w:eastAsia="en-GB"/>
        </w:rPr>
        <w:t>a</w:t>
      </w:r>
      <w:r w:rsidRPr="004379AA">
        <w:rPr>
          <w:rFonts w:ascii="Arial" w:eastAsia="Times New Roman" w:hAnsi="Arial" w:cs="Arial"/>
          <w:bCs/>
          <w:kern w:val="36"/>
          <w:lang w:eastAsia="en-GB"/>
        </w:rPr>
        <w:t>n law ‘not even a final declaration, let alone an interim declaration, can be used as a foundation for an order of ‘</w:t>
      </w:r>
      <w:r w:rsidR="007E508B" w:rsidRPr="004379AA">
        <w:rPr>
          <w:rFonts w:ascii="Arial" w:eastAsia="Times New Roman" w:hAnsi="Arial" w:cs="Arial"/>
          <w:bCs/>
          <w:kern w:val="36"/>
          <w:lang w:eastAsia="en-GB"/>
        </w:rPr>
        <w:t>committal for contempt’.</w:t>
      </w:r>
      <w:r w:rsidR="00666DF5" w:rsidRPr="004379AA">
        <w:rPr>
          <w:rFonts w:ascii="Arial" w:eastAsia="Times New Roman" w:hAnsi="Arial" w:cs="Arial"/>
          <w:bCs/>
          <w:kern w:val="36"/>
          <w:lang w:eastAsia="en-GB"/>
        </w:rPr>
        <w:t xml:space="preserve"> </w:t>
      </w:r>
    </w:p>
    <w:p w14:paraId="4FEEE725" w14:textId="77777777" w:rsidR="003833F6" w:rsidRPr="004379AA" w:rsidRDefault="003833F6" w:rsidP="001751A1">
      <w:pPr>
        <w:tabs>
          <w:tab w:val="left" w:pos="851"/>
        </w:tabs>
        <w:spacing w:line="480" w:lineRule="auto"/>
        <w:contextualSpacing/>
        <w:jc w:val="both"/>
        <w:rPr>
          <w:rFonts w:ascii="Arial" w:hAnsi="Arial" w:cs="Arial"/>
        </w:rPr>
      </w:pPr>
    </w:p>
    <w:p w14:paraId="64630964" w14:textId="77777777" w:rsidR="003833F6" w:rsidRPr="004379AA" w:rsidRDefault="007E508B" w:rsidP="00ED63AC">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Since a declaration is a discretionary remedy, the respondents urge the court not to come to the appellants’ assistance because:</w:t>
      </w:r>
    </w:p>
    <w:p w14:paraId="11E87B0E" w14:textId="77777777" w:rsidR="003833F6" w:rsidRPr="004379AA" w:rsidRDefault="003833F6" w:rsidP="00ED6549">
      <w:pPr>
        <w:pStyle w:val="ListParagraph"/>
        <w:spacing w:line="360" w:lineRule="auto"/>
        <w:rPr>
          <w:rFonts w:ascii="Arial" w:hAnsi="Arial" w:cs="Arial"/>
        </w:rPr>
      </w:pPr>
    </w:p>
    <w:p w14:paraId="49096B56"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the appellants are seeking ‘final relief under the guise of interim relief which may be so final that the CEOs will be incarcerated’;</w:t>
      </w:r>
    </w:p>
    <w:p w14:paraId="46B86C80" w14:textId="77777777" w:rsidR="003833F6" w:rsidRPr="004379AA" w:rsidRDefault="003833F6" w:rsidP="00ED6549">
      <w:pPr>
        <w:pStyle w:val="ListParagraph"/>
        <w:spacing w:line="360" w:lineRule="auto"/>
        <w:ind w:left="1418"/>
        <w:jc w:val="both"/>
        <w:outlineLvl w:val="0"/>
        <w:rPr>
          <w:rFonts w:ascii="Arial" w:eastAsia="Times New Roman" w:hAnsi="Arial" w:cs="Arial"/>
          <w:bCs/>
          <w:kern w:val="36"/>
          <w:sz w:val="22"/>
          <w:szCs w:val="22"/>
          <w:lang w:eastAsia="en-GB"/>
        </w:rPr>
      </w:pPr>
    </w:p>
    <w:p w14:paraId="0967B004"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the appellants have alternative remedies under the criminal law;</w:t>
      </w:r>
    </w:p>
    <w:p w14:paraId="7A6144AB" w14:textId="77777777" w:rsidR="003833F6" w:rsidRPr="004379AA" w:rsidRDefault="003833F6" w:rsidP="00ED6549">
      <w:pPr>
        <w:pStyle w:val="ListParagraph"/>
        <w:spacing w:line="360" w:lineRule="auto"/>
        <w:rPr>
          <w:rFonts w:ascii="Arial" w:eastAsia="Times New Roman" w:hAnsi="Arial" w:cs="Arial"/>
          <w:bCs/>
          <w:kern w:val="36"/>
          <w:sz w:val="22"/>
          <w:szCs w:val="22"/>
          <w:lang w:eastAsia="en-GB"/>
        </w:rPr>
      </w:pPr>
    </w:p>
    <w:p w14:paraId="69D840E6" w14:textId="20A27093"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 xml:space="preserve">the </w:t>
      </w:r>
      <w:r w:rsidR="00AD78EA">
        <w:rPr>
          <w:rFonts w:ascii="Arial" w:eastAsia="Times New Roman" w:hAnsi="Arial" w:cs="Arial"/>
          <w:bCs/>
          <w:kern w:val="36"/>
          <w:sz w:val="22"/>
          <w:szCs w:val="22"/>
          <w:lang w:eastAsia="en-GB"/>
        </w:rPr>
        <w:t>S</w:t>
      </w:r>
      <w:r w:rsidRPr="004379AA">
        <w:rPr>
          <w:rFonts w:ascii="Arial" w:eastAsia="Times New Roman" w:hAnsi="Arial" w:cs="Arial"/>
          <w:bCs/>
          <w:kern w:val="36"/>
          <w:sz w:val="22"/>
          <w:szCs w:val="22"/>
          <w:lang w:eastAsia="en-GB"/>
        </w:rPr>
        <w:t>tate will have to prove guilt beyond a reasonable doubt in such criminal proceedings after a fair trial as envisaged in art 12 of the Constitution;</w:t>
      </w:r>
    </w:p>
    <w:p w14:paraId="1210F229" w14:textId="77777777" w:rsidR="003833F6" w:rsidRPr="004379AA" w:rsidRDefault="003833F6" w:rsidP="00ED6549">
      <w:pPr>
        <w:pStyle w:val="ListParagraph"/>
        <w:spacing w:line="360" w:lineRule="auto"/>
        <w:rPr>
          <w:rFonts w:ascii="Arial" w:eastAsia="Times New Roman" w:hAnsi="Arial" w:cs="Arial"/>
          <w:bCs/>
          <w:kern w:val="36"/>
          <w:sz w:val="22"/>
          <w:szCs w:val="22"/>
          <w:lang w:eastAsia="en-GB"/>
        </w:rPr>
      </w:pPr>
    </w:p>
    <w:p w14:paraId="283EA148"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in such criminal proceedings, the accused will be presumed innocent until proven guilty;</w:t>
      </w:r>
    </w:p>
    <w:p w14:paraId="2B80E59F" w14:textId="77777777" w:rsidR="003833F6" w:rsidRPr="004379AA" w:rsidRDefault="003833F6" w:rsidP="00ED6549">
      <w:pPr>
        <w:pStyle w:val="ListParagraph"/>
        <w:spacing w:line="360" w:lineRule="auto"/>
        <w:ind w:left="1418"/>
        <w:jc w:val="both"/>
        <w:outlineLvl w:val="0"/>
        <w:rPr>
          <w:rFonts w:ascii="Arial" w:eastAsia="Times New Roman" w:hAnsi="Arial" w:cs="Arial"/>
          <w:bCs/>
          <w:kern w:val="36"/>
          <w:sz w:val="22"/>
          <w:szCs w:val="22"/>
          <w:lang w:eastAsia="en-GB"/>
        </w:rPr>
      </w:pPr>
    </w:p>
    <w:p w14:paraId="05BE05F3"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that coming to court in the way they have, the appellants are circumventing art 12 of the Constitution and avoiding to prove the respondents’ guilt beyond reasonable doubt;</w:t>
      </w:r>
    </w:p>
    <w:p w14:paraId="24D414D9" w14:textId="77777777" w:rsidR="003833F6" w:rsidRPr="004379AA" w:rsidRDefault="003833F6" w:rsidP="00ED6549">
      <w:pPr>
        <w:spacing w:line="360" w:lineRule="auto"/>
        <w:jc w:val="both"/>
        <w:outlineLvl w:val="0"/>
        <w:rPr>
          <w:rFonts w:ascii="Arial" w:eastAsia="Times New Roman" w:hAnsi="Arial" w:cs="Arial"/>
          <w:bCs/>
          <w:kern w:val="36"/>
          <w:sz w:val="22"/>
          <w:szCs w:val="22"/>
          <w:lang w:eastAsia="en-GB"/>
        </w:rPr>
      </w:pPr>
    </w:p>
    <w:p w14:paraId="65F6F6FE"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by relying, in these civil proceedings, on the presumption of constitutionality of the NNRCA, the appellants are casting the onus on the respondents to displace the presumption, and if they fail, to be incarcerated;</w:t>
      </w:r>
    </w:p>
    <w:p w14:paraId="5D44627D" w14:textId="77777777" w:rsidR="003833F6" w:rsidRPr="004379AA" w:rsidRDefault="003833F6" w:rsidP="00ED6549">
      <w:pPr>
        <w:pStyle w:val="ListParagraph"/>
        <w:spacing w:line="360" w:lineRule="auto"/>
        <w:ind w:left="1418"/>
        <w:jc w:val="both"/>
        <w:outlineLvl w:val="0"/>
        <w:rPr>
          <w:rFonts w:ascii="Arial" w:eastAsia="Times New Roman" w:hAnsi="Arial" w:cs="Arial"/>
          <w:bCs/>
          <w:kern w:val="36"/>
          <w:sz w:val="22"/>
          <w:szCs w:val="22"/>
          <w:lang w:eastAsia="en-GB"/>
        </w:rPr>
      </w:pPr>
    </w:p>
    <w:p w14:paraId="4E6E658F"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u w:val="single"/>
          <w:lang w:eastAsia="en-GB"/>
        </w:rPr>
      </w:pPr>
      <w:r w:rsidRPr="004379AA">
        <w:rPr>
          <w:rFonts w:ascii="Arial" w:eastAsia="Times New Roman" w:hAnsi="Arial" w:cs="Arial"/>
          <w:bCs/>
          <w:kern w:val="36"/>
          <w:sz w:val="22"/>
          <w:szCs w:val="22"/>
          <w:lang w:eastAsia="en-GB"/>
        </w:rPr>
        <w:t>thus considered, the appellants would achieve the result of having the respondents imprisoned by proving their case on balance of probabilities whilst if they prosecute they would have to do so beyond a reasonable doubt;</w:t>
      </w:r>
      <w:r w:rsidRPr="004379AA">
        <w:rPr>
          <w:rFonts w:ascii="Arial" w:eastAsia="Times New Roman" w:hAnsi="Arial" w:cs="Arial"/>
          <w:bCs/>
          <w:kern w:val="36"/>
          <w:sz w:val="22"/>
          <w:szCs w:val="22"/>
          <w:u w:val="single"/>
          <w:lang w:eastAsia="en-GB"/>
        </w:rPr>
        <w:t xml:space="preserve"> </w:t>
      </w:r>
    </w:p>
    <w:p w14:paraId="6F4421E8" w14:textId="77777777" w:rsidR="003833F6" w:rsidRPr="004379AA" w:rsidRDefault="003833F6" w:rsidP="00ED6549">
      <w:pPr>
        <w:pStyle w:val="ListParagraph"/>
        <w:spacing w:line="360" w:lineRule="auto"/>
        <w:ind w:left="1418"/>
        <w:jc w:val="both"/>
        <w:outlineLvl w:val="0"/>
        <w:rPr>
          <w:rFonts w:ascii="Arial" w:eastAsia="Times New Roman" w:hAnsi="Arial" w:cs="Arial"/>
          <w:bCs/>
          <w:kern w:val="36"/>
          <w:sz w:val="22"/>
          <w:szCs w:val="22"/>
          <w:u w:val="single"/>
          <w:lang w:eastAsia="en-GB"/>
        </w:rPr>
      </w:pPr>
    </w:p>
    <w:p w14:paraId="7C3AFF61"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 xml:space="preserve">in criminal proceedings, the respondents will have the constitutional right to mount a collateral attack against the relevant provisions of the NNRCA and to seek stay </w:t>
      </w:r>
      <w:r w:rsidRPr="004379AA">
        <w:rPr>
          <w:rFonts w:ascii="Arial" w:eastAsia="Times New Roman" w:hAnsi="Arial" w:cs="Arial"/>
          <w:bCs/>
          <w:kern w:val="36"/>
          <w:sz w:val="22"/>
          <w:szCs w:val="22"/>
          <w:lang w:eastAsia="en-GB"/>
        </w:rPr>
        <w:lastRenderedPageBreak/>
        <w:t>of the criminal proceedings pending the finalisation of the constitutional challenge to the NNRCA;</w:t>
      </w:r>
    </w:p>
    <w:p w14:paraId="59D84FED" w14:textId="77777777" w:rsidR="003833F6" w:rsidRPr="004379AA" w:rsidRDefault="003833F6" w:rsidP="00ED6549">
      <w:pPr>
        <w:pStyle w:val="ListParagraph"/>
        <w:spacing w:line="360" w:lineRule="auto"/>
        <w:ind w:left="1418"/>
        <w:jc w:val="both"/>
        <w:outlineLvl w:val="0"/>
        <w:rPr>
          <w:rFonts w:ascii="Arial" w:eastAsia="Times New Roman" w:hAnsi="Arial" w:cs="Arial"/>
          <w:bCs/>
          <w:kern w:val="36"/>
          <w:sz w:val="22"/>
          <w:szCs w:val="22"/>
          <w:lang w:eastAsia="en-GB"/>
        </w:rPr>
      </w:pPr>
    </w:p>
    <w:p w14:paraId="7E6423AC" w14:textId="0DA07518"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u w:val="single"/>
          <w:lang w:eastAsia="en-GB"/>
        </w:rPr>
      </w:pPr>
      <w:r w:rsidRPr="004379AA">
        <w:rPr>
          <w:rFonts w:ascii="Arial" w:eastAsia="Times New Roman" w:hAnsi="Arial" w:cs="Arial"/>
          <w:bCs/>
          <w:kern w:val="36"/>
          <w:sz w:val="22"/>
          <w:szCs w:val="22"/>
          <w:lang w:eastAsia="en-GB"/>
        </w:rPr>
        <w:t>the respondents invoke their challenge to the NNRCA and the review relief against the December 2017 regulations notices in the pending High Court proceedings, as their collateral attack to the appellants’ enforcement proceedings. Since a collateral attack is not competent against a court order, the court should exercise its discretion not to grant the declaration sought, together with the anticipatory relief for committal. More so because the respondents lodged the pending constitutional action before the Notices were published’;</w:t>
      </w:r>
    </w:p>
    <w:p w14:paraId="5BCFE9C9" w14:textId="77777777" w:rsidR="003833F6" w:rsidRPr="004379AA" w:rsidRDefault="003833F6" w:rsidP="00ED6549">
      <w:pPr>
        <w:pStyle w:val="ListParagraph"/>
        <w:spacing w:line="360" w:lineRule="auto"/>
        <w:ind w:left="1418"/>
        <w:rPr>
          <w:rFonts w:ascii="Arial" w:eastAsia="Times New Roman" w:hAnsi="Arial" w:cs="Arial"/>
          <w:bCs/>
          <w:kern w:val="36"/>
          <w:sz w:val="22"/>
          <w:szCs w:val="22"/>
          <w:u w:val="single"/>
          <w:lang w:eastAsia="en-GB"/>
        </w:rPr>
      </w:pPr>
    </w:p>
    <w:p w14:paraId="62B96C00" w14:textId="77777777" w:rsidR="003833F6" w:rsidRPr="004379AA" w:rsidRDefault="003833F6" w:rsidP="00ED6549">
      <w:pPr>
        <w:pStyle w:val="ListParagraph"/>
        <w:numPr>
          <w:ilvl w:val="0"/>
          <w:numId w:val="5"/>
        </w:numPr>
        <w:spacing w:line="360" w:lineRule="auto"/>
        <w:ind w:left="1418" w:hanging="567"/>
        <w:jc w:val="both"/>
        <w:outlineLvl w:val="0"/>
        <w:rPr>
          <w:rFonts w:ascii="Arial" w:eastAsia="Times New Roman" w:hAnsi="Arial" w:cs="Arial"/>
          <w:bCs/>
          <w:kern w:val="36"/>
          <w:sz w:val="22"/>
          <w:szCs w:val="22"/>
          <w:u w:val="single"/>
          <w:lang w:eastAsia="en-GB"/>
        </w:rPr>
      </w:pPr>
      <w:r w:rsidRPr="004379AA">
        <w:rPr>
          <w:rFonts w:ascii="Arial" w:eastAsia="Times New Roman" w:hAnsi="Arial" w:cs="Arial"/>
          <w:bCs/>
          <w:kern w:val="36"/>
          <w:sz w:val="22"/>
          <w:szCs w:val="22"/>
          <w:lang w:eastAsia="en-GB"/>
        </w:rPr>
        <w:t>the appellants have failed to respond to the ‘triable issues’ that the respondents have raised in the pending constitutional challenge and the review and that the presumption of constitutionality relied on by the appellants does not avail the appellants. As they say: ‘the applicants do not … discuss or remotely seek to discredit the merits of the respondents’ constitutional action, or the merits of the respondents’ main review’.</w:t>
      </w:r>
    </w:p>
    <w:p w14:paraId="38077A38" w14:textId="77777777" w:rsidR="003833F6" w:rsidRPr="004379AA" w:rsidRDefault="003833F6" w:rsidP="001751A1">
      <w:pPr>
        <w:tabs>
          <w:tab w:val="left" w:pos="851"/>
        </w:tabs>
        <w:spacing w:line="480" w:lineRule="auto"/>
        <w:contextualSpacing/>
        <w:jc w:val="both"/>
        <w:rPr>
          <w:rFonts w:ascii="Arial" w:hAnsi="Arial" w:cs="Arial"/>
        </w:rPr>
      </w:pPr>
    </w:p>
    <w:p w14:paraId="785A0F17" w14:textId="5FB8D5F6" w:rsidR="003833F6" w:rsidRPr="004379AA" w:rsidRDefault="00B67C06"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It is against the backdrop of (a) the pending constitutional challenge to the NNRCA, (b) the pending review challenge against the December 2017 </w:t>
      </w:r>
      <w:r w:rsidR="00496CD3" w:rsidRPr="004379AA">
        <w:rPr>
          <w:rFonts w:ascii="Arial" w:eastAsia="Times New Roman" w:hAnsi="Arial" w:cs="Arial"/>
          <w:bCs/>
          <w:kern w:val="36"/>
          <w:lang w:eastAsia="en-GB"/>
        </w:rPr>
        <w:t xml:space="preserve">regulations and </w:t>
      </w:r>
      <w:r w:rsidRPr="004379AA">
        <w:rPr>
          <w:rFonts w:ascii="Arial" w:eastAsia="Times New Roman" w:hAnsi="Arial" w:cs="Arial"/>
          <w:bCs/>
          <w:kern w:val="36"/>
          <w:lang w:eastAsia="en-GB"/>
        </w:rPr>
        <w:t>notices, (c) the competing allegations made by the protagonists in the enforcement application, and (</w:t>
      </w:r>
      <w:r w:rsidR="007E5DC8">
        <w:rPr>
          <w:rFonts w:ascii="Arial" w:eastAsia="Times New Roman" w:hAnsi="Arial" w:cs="Arial"/>
          <w:bCs/>
          <w:kern w:val="36"/>
          <w:lang w:eastAsia="en-GB"/>
        </w:rPr>
        <w:t>d</w:t>
      </w:r>
      <w:r w:rsidRPr="004379AA">
        <w:rPr>
          <w:rFonts w:ascii="Arial" w:eastAsia="Times New Roman" w:hAnsi="Arial" w:cs="Arial"/>
          <w:bCs/>
          <w:kern w:val="36"/>
          <w:lang w:eastAsia="en-GB"/>
        </w:rPr>
        <w:t>) the collateral challenge invoked by the respondents relying on the pending challenges, that the High Court considered the urgent enforcement application.</w:t>
      </w:r>
    </w:p>
    <w:p w14:paraId="70477190" w14:textId="77777777" w:rsidR="003833F6" w:rsidRPr="004379AA" w:rsidRDefault="003833F6" w:rsidP="001751A1">
      <w:pPr>
        <w:tabs>
          <w:tab w:val="left" w:pos="851"/>
        </w:tabs>
        <w:spacing w:line="480" w:lineRule="auto"/>
        <w:contextualSpacing/>
        <w:jc w:val="both"/>
        <w:rPr>
          <w:rFonts w:ascii="Arial" w:hAnsi="Arial" w:cs="Arial"/>
        </w:rPr>
      </w:pPr>
    </w:p>
    <w:p w14:paraId="126205A0" w14:textId="77777777" w:rsidR="003833F6" w:rsidRPr="004379AA" w:rsidRDefault="00B67C06" w:rsidP="001751A1">
      <w:pPr>
        <w:tabs>
          <w:tab w:val="left" w:pos="851"/>
        </w:tabs>
        <w:spacing w:after="160" w:line="480" w:lineRule="auto"/>
        <w:contextualSpacing/>
        <w:jc w:val="both"/>
        <w:rPr>
          <w:rFonts w:ascii="Arial" w:hAnsi="Arial" w:cs="Arial"/>
        </w:rPr>
      </w:pPr>
      <w:r w:rsidRPr="004379AA">
        <w:rPr>
          <w:rFonts w:ascii="Arial" w:eastAsia="Times New Roman" w:hAnsi="Arial" w:cs="Arial"/>
          <w:bCs/>
          <w:kern w:val="36"/>
          <w:u w:val="single"/>
          <w:lang w:eastAsia="en-GB"/>
        </w:rPr>
        <w:t>The High Court’s approach</w:t>
      </w:r>
    </w:p>
    <w:p w14:paraId="054D02BA" w14:textId="34E2D203" w:rsidR="003833F6" w:rsidRPr="001751A1" w:rsidRDefault="003D136D"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High Court took the view that although the collateral challenge was properly raised, it was an inappropriate case to decide the collateral challenge because of the enormity and complexity of the issues raised in the pending constitutional challenge and the review.</w:t>
      </w:r>
      <w:r w:rsidR="00784FA0" w:rsidRPr="004379AA">
        <w:rPr>
          <w:rFonts w:ascii="Arial" w:eastAsia="Times New Roman" w:hAnsi="Arial" w:cs="Arial"/>
          <w:bCs/>
          <w:kern w:val="36"/>
          <w:lang w:eastAsia="en-GB"/>
        </w:rPr>
        <w:t xml:space="preserve"> The learned judge considered that it would ‘be fitting that all the important matters of law, and fact, where applicable, and which accordingly may require the adduction of oral evidence in th</w:t>
      </w:r>
      <w:r w:rsidR="00D7175E">
        <w:rPr>
          <w:rFonts w:ascii="Arial" w:eastAsia="Times New Roman" w:hAnsi="Arial" w:cs="Arial"/>
          <w:bCs/>
          <w:kern w:val="36"/>
          <w:lang w:eastAsia="en-GB"/>
        </w:rPr>
        <w:t>e action proceedings, would be b</w:t>
      </w:r>
      <w:r w:rsidR="00784FA0" w:rsidRPr="004379AA">
        <w:rPr>
          <w:rFonts w:ascii="Arial" w:eastAsia="Times New Roman" w:hAnsi="Arial" w:cs="Arial"/>
          <w:bCs/>
          <w:kern w:val="36"/>
          <w:lang w:eastAsia="en-GB"/>
        </w:rPr>
        <w:t xml:space="preserve">est dealt with in the </w:t>
      </w:r>
      <w:r w:rsidR="00784FA0" w:rsidRPr="004379AA">
        <w:rPr>
          <w:rFonts w:ascii="Arial" w:eastAsia="Times New Roman" w:hAnsi="Arial" w:cs="Arial"/>
          <w:bCs/>
          <w:kern w:val="36"/>
          <w:lang w:eastAsia="en-GB"/>
        </w:rPr>
        <w:lastRenderedPageBreak/>
        <w:t>pending proceedings’.</w:t>
      </w:r>
      <w:r w:rsidR="00A50301" w:rsidRPr="004379AA">
        <w:rPr>
          <w:rFonts w:ascii="Arial" w:eastAsia="Times New Roman" w:hAnsi="Arial" w:cs="Arial"/>
          <w:bCs/>
          <w:kern w:val="36"/>
          <w:lang w:eastAsia="en-GB"/>
        </w:rPr>
        <w:t xml:space="preserve"> The High Court considered that it would be unfair to the respondents if the collateral challenge were deferred to the pending proceedings when they had taken ‘pre-emptive’ measures through the pending proceedings. </w:t>
      </w:r>
    </w:p>
    <w:p w14:paraId="180DD1BC" w14:textId="77777777" w:rsidR="001751A1" w:rsidRPr="004379AA" w:rsidRDefault="001751A1" w:rsidP="001751A1">
      <w:pPr>
        <w:tabs>
          <w:tab w:val="left" w:pos="851"/>
        </w:tabs>
        <w:spacing w:line="480" w:lineRule="auto"/>
        <w:contextualSpacing/>
        <w:jc w:val="both"/>
        <w:rPr>
          <w:rFonts w:ascii="Arial" w:hAnsi="Arial" w:cs="Arial"/>
        </w:rPr>
      </w:pPr>
    </w:p>
    <w:p w14:paraId="7C099DAA" w14:textId="77777777" w:rsidR="003833F6" w:rsidRPr="004379AA" w:rsidRDefault="008347ED"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judge </w:t>
      </w:r>
      <w:r w:rsidRPr="004379AA">
        <w:rPr>
          <w:rFonts w:ascii="Arial" w:eastAsia="Times New Roman" w:hAnsi="Arial" w:cs="Arial"/>
          <w:bCs/>
          <w:i/>
          <w:kern w:val="36"/>
          <w:lang w:eastAsia="en-GB"/>
        </w:rPr>
        <w:t>a quo</w:t>
      </w:r>
      <w:r w:rsidRPr="004379AA">
        <w:rPr>
          <w:rFonts w:ascii="Arial" w:eastAsia="Times New Roman" w:hAnsi="Arial" w:cs="Arial"/>
          <w:bCs/>
          <w:kern w:val="36"/>
          <w:lang w:eastAsia="en-GB"/>
        </w:rPr>
        <w:t xml:space="preserve"> also resisted the </w:t>
      </w:r>
      <w:r w:rsidR="005825C6" w:rsidRPr="004379AA">
        <w:rPr>
          <w:rFonts w:ascii="Arial" w:eastAsia="Times New Roman" w:hAnsi="Arial" w:cs="Arial"/>
          <w:bCs/>
          <w:kern w:val="36"/>
          <w:lang w:eastAsia="en-GB"/>
        </w:rPr>
        <w:t>invitation</w:t>
      </w:r>
      <w:r w:rsidRPr="004379AA">
        <w:rPr>
          <w:rFonts w:ascii="Arial" w:eastAsia="Times New Roman" w:hAnsi="Arial" w:cs="Arial"/>
          <w:bCs/>
          <w:kern w:val="36"/>
          <w:lang w:eastAsia="en-GB"/>
        </w:rPr>
        <w:t xml:space="preserve"> to determine the collateral challenge because a different result might well be reached by another judge when the pending proceedings are ultimately heard.</w:t>
      </w:r>
      <w:r w:rsidR="009F3BC2" w:rsidRPr="004379AA">
        <w:rPr>
          <w:rFonts w:ascii="Arial" w:eastAsia="Times New Roman" w:hAnsi="Arial" w:cs="Arial"/>
          <w:bCs/>
          <w:kern w:val="36"/>
          <w:lang w:eastAsia="en-GB"/>
        </w:rPr>
        <w:t xml:space="preserve"> </w:t>
      </w:r>
      <w:r w:rsidR="000B16C8" w:rsidRPr="004379AA">
        <w:rPr>
          <w:rFonts w:ascii="Arial" w:eastAsia="Times New Roman" w:hAnsi="Arial" w:cs="Arial"/>
          <w:bCs/>
          <w:kern w:val="36"/>
          <w:lang w:eastAsia="en-GB"/>
        </w:rPr>
        <w:t xml:space="preserve">The learned judge </w:t>
      </w:r>
      <w:r w:rsidR="000B16C8" w:rsidRPr="004379AA">
        <w:rPr>
          <w:rFonts w:ascii="Arial" w:eastAsia="Times New Roman" w:hAnsi="Arial" w:cs="Arial"/>
          <w:bCs/>
          <w:i/>
          <w:kern w:val="36"/>
          <w:lang w:eastAsia="en-GB"/>
        </w:rPr>
        <w:t>a quo</w:t>
      </w:r>
      <w:r w:rsidR="000B16C8" w:rsidRPr="004379AA">
        <w:rPr>
          <w:rFonts w:ascii="Arial" w:eastAsia="Times New Roman" w:hAnsi="Arial" w:cs="Arial"/>
          <w:bCs/>
          <w:kern w:val="36"/>
          <w:lang w:eastAsia="en-GB"/>
        </w:rPr>
        <w:t xml:space="preserve"> reasoned:</w:t>
      </w:r>
    </w:p>
    <w:p w14:paraId="45A07B33" w14:textId="77777777" w:rsidR="003833F6" w:rsidRPr="004379AA" w:rsidRDefault="003833F6" w:rsidP="001751A1">
      <w:pPr>
        <w:pStyle w:val="ListParagraph"/>
        <w:spacing w:line="360" w:lineRule="auto"/>
        <w:rPr>
          <w:rFonts w:ascii="Arial" w:hAnsi="Arial" w:cs="Arial"/>
        </w:rPr>
      </w:pPr>
    </w:p>
    <w:p w14:paraId="38A31ADC" w14:textId="77777777" w:rsidR="003833F6" w:rsidRDefault="003833F6" w:rsidP="00ED6549">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‘In the circumstances, it seems proper and fair to say even though it may appear at first blush that these are not the right proceedings in which to raise a collateral challenge, the peculiar circumstances of this case, particularly the type of proceedings which have given rise to the collateral challenge, namely an urgent application, together with the fact that other proceedings are pending before this court, points inexorably in the way of staying the effect of the Minister’s actions, pending the full and comprehensive treatment of all issues raised in the proceedings, in a setting where time and the needed resources can be availed to make a full and proper determination of the issues.’</w:t>
      </w:r>
    </w:p>
    <w:p w14:paraId="12F2116D" w14:textId="77777777" w:rsidR="001C0B8F" w:rsidRPr="004379AA" w:rsidRDefault="001C0B8F" w:rsidP="001C0B8F">
      <w:pPr>
        <w:spacing w:line="480" w:lineRule="auto"/>
        <w:ind w:left="851"/>
        <w:jc w:val="both"/>
        <w:outlineLvl w:val="0"/>
        <w:rPr>
          <w:rFonts w:ascii="Arial" w:eastAsia="Times New Roman" w:hAnsi="Arial" w:cs="Arial"/>
          <w:bCs/>
          <w:kern w:val="36"/>
          <w:sz w:val="22"/>
          <w:szCs w:val="22"/>
          <w:lang w:eastAsia="en-GB"/>
        </w:rPr>
      </w:pPr>
    </w:p>
    <w:p w14:paraId="64AB50E9" w14:textId="77777777" w:rsidR="003833F6" w:rsidRPr="004379AA" w:rsidRDefault="00F24413"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w:t>
      </w:r>
      <w:r w:rsidR="008434A9" w:rsidRPr="004379AA">
        <w:rPr>
          <w:rFonts w:ascii="Arial" w:eastAsia="Times New Roman" w:hAnsi="Arial" w:cs="Arial"/>
          <w:bCs/>
          <w:kern w:val="36"/>
          <w:lang w:eastAsia="en-GB"/>
        </w:rPr>
        <w:t>court below</w:t>
      </w:r>
      <w:r w:rsidRPr="004379AA">
        <w:rPr>
          <w:rFonts w:ascii="Arial" w:eastAsia="Times New Roman" w:hAnsi="Arial" w:cs="Arial"/>
          <w:bCs/>
          <w:kern w:val="36"/>
          <w:lang w:eastAsia="en-GB"/>
        </w:rPr>
        <w:t xml:space="preserve"> </w:t>
      </w:r>
      <w:r w:rsidR="008434A9" w:rsidRPr="004379AA">
        <w:rPr>
          <w:rFonts w:ascii="Arial" w:eastAsia="Times New Roman" w:hAnsi="Arial" w:cs="Arial"/>
          <w:bCs/>
          <w:kern w:val="36"/>
          <w:lang w:eastAsia="en-GB"/>
        </w:rPr>
        <w:t>was satisfied</w:t>
      </w:r>
      <w:r w:rsidRPr="004379AA">
        <w:rPr>
          <w:rFonts w:ascii="Arial" w:eastAsia="Times New Roman" w:hAnsi="Arial" w:cs="Arial"/>
          <w:bCs/>
          <w:kern w:val="36"/>
          <w:lang w:eastAsia="en-GB"/>
        </w:rPr>
        <w:t xml:space="preserve"> that the respondents </w:t>
      </w:r>
      <w:r w:rsidR="008434A9" w:rsidRPr="004379AA">
        <w:rPr>
          <w:rFonts w:ascii="Arial" w:eastAsia="Times New Roman" w:hAnsi="Arial" w:cs="Arial"/>
          <w:bCs/>
          <w:kern w:val="36"/>
          <w:lang w:eastAsia="en-GB"/>
        </w:rPr>
        <w:t>to</w:t>
      </w:r>
      <w:r w:rsidRPr="004379AA">
        <w:rPr>
          <w:rFonts w:ascii="Arial" w:eastAsia="Times New Roman" w:hAnsi="Arial" w:cs="Arial"/>
          <w:bCs/>
          <w:kern w:val="36"/>
          <w:lang w:eastAsia="en-GB"/>
        </w:rPr>
        <w:t xml:space="preserve"> the enforcement application had made out a </w:t>
      </w:r>
      <w:r w:rsidRPr="004379AA">
        <w:rPr>
          <w:rFonts w:ascii="Arial" w:eastAsia="Times New Roman" w:hAnsi="Arial" w:cs="Arial"/>
          <w:bCs/>
          <w:i/>
          <w:kern w:val="36"/>
          <w:lang w:eastAsia="en-GB"/>
        </w:rPr>
        <w:t>prima facie</w:t>
      </w:r>
      <w:r w:rsidRPr="004379AA">
        <w:rPr>
          <w:rFonts w:ascii="Arial" w:eastAsia="Times New Roman" w:hAnsi="Arial" w:cs="Arial"/>
          <w:bCs/>
          <w:kern w:val="36"/>
          <w:lang w:eastAsia="en-GB"/>
        </w:rPr>
        <w:t xml:space="preserve"> case in respect of the constitutional challenge and the review. </w:t>
      </w:r>
      <w:r w:rsidR="008434A9" w:rsidRPr="004379AA">
        <w:rPr>
          <w:rFonts w:ascii="Arial" w:eastAsia="Times New Roman" w:hAnsi="Arial" w:cs="Arial"/>
          <w:bCs/>
          <w:kern w:val="36"/>
          <w:lang w:eastAsia="en-GB"/>
        </w:rPr>
        <w:t>The judge</w:t>
      </w:r>
      <w:r w:rsidRPr="004379AA">
        <w:rPr>
          <w:rFonts w:ascii="Arial" w:eastAsia="Times New Roman" w:hAnsi="Arial" w:cs="Arial"/>
          <w:bCs/>
          <w:kern w:val="36"/>
          <w:lang w:eastAsia="en-GB"/>
        </w:rPr>
        <w:t xml:space="preserve"> reasoned that the Minister and NamibRe had also not ‘fully replied’ to some of the contentions and allegations of the respondents having a bearing on the constitutionality of the law. The </w:t>
      </w:r>
      <w:r w:rsidR="008434A9" w:rsidRPr="004379AA">
        <w:rPr>
          <w:rFonts w:ascii="Arial" w:eastAsia="Times New Roman" w:hAnsi="Arial" w:cs="Arial"/>
          <w:bCs/>
          <w:kern w:val="36"/>
          <w:lang w:eastAsia="en-GB"/>
        </w:rPr>
        <w:t>court</w:t>
      </w:r>
      <w:r w:rsidRPr="004379AA">
        <w:rPr>
          <w:rFonts w:ascii="Arial" w:eastAsia="Times New Roman" w:hAnsi="Arial" w:cs="Arial"/>
          <w:bCs/>
          <w:kern w:val="36"/>
          <w:lang w:eastAsia="en-GB"/>
        </w:rPr>
        <w:t xml:space="preserve"> made special mention of the fact that</w:t>
      </w:r>
      <w:r w:rsidR="008434A9"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for example</w:t>
      </w:r>
      <w:r w:rsidR="008434A9"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the Trustco respondents were also affected by the regulations and the notices when they ‘do not transmit any money outside the country at all’.</w:t>
      </w:r>
    </w:p>
    <w:p w14:paraId="48068080" w14:textId="77777777" w:rsidR="003833F6" w:rsidRPr="004379AA" w:rsidRDefault="003833F6" w:rsidP="001751A1">
      <w:pPr>
        <w:tabs>
          <w:tab w:val="left" w:pos="851"/>
        </w:tabs>
        <w:spacing w:line="480" w:lineRule="auto"/>
        <w:contextualSpacing/>
        <w:jc w:val="both"/>
        <w:rPr>
          <w:rFonts w:ascii="Arial" w:hAnsi="Arial" w:cs="Arial"/>
        </w:rPr>
      </w:pPr>
    </w:p>
    <w:p w14:paraId="6FE79D41" w14:textId="77777777" w:rsidR="003833F6" w:rsidRPr="004379AA" w:rsidRDefault="00F24413"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It was for those reasons that the </w:t>
      </w:r>
      <w:r w:rsidR="008434A9" w:rsidRPr="004379AA">
        <w:rPr>
          <w:rFonts w:ascii="Arial" w:eastAsia="Times New Roman" w:hAnsi="Arial" w:cs="Arial"/>
          <w:bCs/>
          <w:kern w:val="36"/>
          <w:lang w:eastAsia="en-GB"/>
        </w:rPr>
        <w:t>High Court</w:t>
      </w:r>
      <w:r w:rsidRPr="004379AA">
        <w:rPr>
          <w:rFonts w:ascii="Arial" w:eastAsia="Times New Roman" w:hAnsi="Arial" w:cs="Arial"/>
          <w:bCs/>
          <w:kern w:val="36"/>
          <w:lang w:eastAsia="en-GB"/>
        </w:rPr>
        <w:t xml:space="preserve"> made the order that </w:t>
      </w:r>
      <w:r w:rsidR="008434A9" w:rsidRPr="004379AA">
        <w:rPr>
          <w:rFonts w:ascii="Arial" w:eastAsia="Times New Roman" w:hAnsi="Arial" w:cs="Arial"/>
          <w:bCs/>
          <w:kern w:val="36"/>
          <w:lang w:eastAsia="en-GB"/>
        </w:rPr>
        <w:t>it did</w:t>
      </w:r>
      <w:r w:rsidRPr="004379AA">
        <w:rPr>
          <w:rFonts w:ascii="Arial" w:eastAsia="Times New Roman" w:hAnsi="Arial" w:cs="Arial"/>
          <w:bCs/>
          <w:kern w:val="36"/>
          <w:lang w:eastAsia="en-GB"/>
        </w:rPr>
        <w:t xml:space="preserve">, staying the operation of the NNRCA and the December 2017 regulations and notices. </w:t>
      </w:r>
    </w:p>
    <w:p w14:paraId="4E9C8FFD" w14:textId="77777777" w:rsidR="003833F6" w:rsidRPr="004379AA" w:rsidRDefault="003833F6" w:rsidP="00ED6549">
      <w:pPr>
        <w:pStyle w:val="ListParagraph"/>
        <w:spacing w:line="480" w:lineRule="auto"/>
        <w:rPr>
          <w:rFonts w:ascii="Arial" w:eastAsia="Times New Roman" w:hAnsi="Arial" w:cs="Arial"/>
          <w:bCs/>
          <w:kern w:val="36"/>
          <w:u w:val="single"/>
          <w:lang w:eastAsia="en-GB"/>
        </w:rPr>
      </w:pPr>
    </w:p>
    <w:p w14:paraId="455D6C6E" w14:textId="77777777" w:rsidR="003833F6" w:rsidRPr="004379AA" w:rsidRDefault="00B67C06" w:rsidP="001751A1">
      <w:pPr>
        <w:tabs>
          <w:tab w:val="left" w:pos="851"/>
        </w:tabs>
        <w:spacing w:after="160" w:line="480" w:lineRule="auto"/>
        <w:contextualSpacing/>
        <w:jc w:val="both"/>
        <w:rPr>
          <w:rFonts w:ascii="Arial" w:hAnsi="Arial" w:cs="Arial"/>
        </w:rPr>
      </w:pPr>
      <w:r w:rsidRPr="004379AA">
        <w:rPr>
          <w:rFonts w:ascii="Arial" w:eastAsia="Times New Roman" w:hAnsi="Arial" w:cs="Arial"/>
          <w:bCs/>
          <w:kern w:val="36"/>
          <w:u w:val="single"/>
          <w:lang w:eastAsia="en-GB"/>
        </w:rPr>
        <w:lastRenderedPageBreak/>
        <w:t>The appeal</w:t>
      </w:r>
    </w:p>
    <w:p w14:paraId="7DF67023" w14:textId="47C957B1" w:rsidR="003833F6" w:rsidRPr="004379AA" w:rsidRDefault="00B67C06"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Firstly, the appeal lies against the High Court’s </w:t>
      </w:r>
      <w:r w:rsidR="004C5A7E" w:rsidRPr="004379AA">
        <w:rPr>
          <w:rFonts w:ascii="Arial" w:eastAsia="Times New Roman" w:hAnsi="Arial" w:cs="Arial"/>
          <w:bCs/>
          <w:kern w:val="36"/>
          <w:lang w:eastAsia="en-GB"/>
        </w:rPr>
        <w:t>‘</w:t>
      </w:r>
      <w:r w:rsidRPr="004379AA">
        <w:rPr>
          <w:rFonts w:ascii="Arial" w:eastAsia="Times New Roman" w:hAnsi="Arial" w:cs="Arial"/>
          <w:bCs/>
          <w:kern w:val="36"/>
          <w:lang w:eastAsia="en-GB"/>
        </w:rPr>
        <w:t>stay</w:t>
      </w:r>
      <w:r w:rsidR="004C5A7E" w:rsidRPr="004379AA">
        <w:rPr>
          <w:rFonts w:ascii="Arial" w:eastAsia="Times New Roman" w:hAnsi="Arial" w:cs="Arial"/>
          <w:bCs/>
          <w:kern w:val="36"/>
          <w:lang w:eastAsia="en-GB"/>
        </w:rPr>
        <w:t>’</w:t>
      </w:r>
      <w:r w:rsidRPr="004379AA">
        <w:rPr>
          <w:rFonts w:ascii="Arial" w:eastAsia="Times New Roman" w:hAnsi="Arial" w:cs="Arial"/>
          <w:bCs/>
          <w:kern w:val="36"/>
          <w:lang w:eastAsia="en-GB"/>
        </w:rPr>
        <w:t xml:space="preserve"> of the NNRCA</w:t>
      </w:r>
      <w:r w:rsidR="00112D15" w:rsidRPr="004379AA">
        <w:rPr>
          <w:rFonts w:ascii="Arial" w:eastAsia="Times New Roman" w:hAnsi="Arial" w:cs="Arial"/>
          <w:bCs/>
          <w:kern w:val="36"/>
          <w:lang w:eastAsia="en-GB"/>
        </w:rPr>
        <w:t xml:space="preserve"> and the December 2017 regulations and </w:t>
      </w:r>
      <w:r w:rsidR="00662D27" w:rsidRPr="004379AA">
        <w:rPr>
          <w:rFonts w:ascii="Arial" w:eastAsia="Times New Roman" w:hAnsi="Arial" w:cs="Arial"/>
          <w:bCs/>
          <w:kern w:val="36"/>
          <w:lang w:eastAsia="en-GB"/>
        </w:rPr>
        <w:t>notices</w:t>
      </w:r>
      <w:r w:rsidRPr="004379AA">
        <w:rPr>
          <w:rFonts w:ascii="Arial" w:eastAsia="Times New Roman" w:hAnsi="Arial" w:cs="Arial"/>
          <w:bCs/>
          <w:kern w:val="36"/>
          <w:lang w:eastAsia="en-GB"/>
        </w:rPr>
        <w:t xml:space="preserve">. Secondly, the </w:t>
      </w:r>
      <w:r w:rsidR="00D7175E" w:rsidRPr="004379AA">
        <w:rPr>
          <w:rFonts w:ascii="Arial" w:eastAsia="Times New Roman" w:hAnsi="Arial" w:cs="Arial"/>
          <w:bCs/>
          <w:kern w:val="36"/>
          <w:lang w:eastAsia="en-GB"/>
        </w:rPr>
        <w:t>appellants</w:t>
      </w:r>
      <w:r w:rsidRPr="004379AA">
        <w:rPr>
          <w:rFonts w:ascii="Arial" w:eastAsia="Times New Roman" w:hAnsi="Arial" w:cs="Arial"/>
          <w:bCs/>
          <w:kern w:val="36"/>
          <w:lang w:eastAsia="en-GB"/>
        </w:rPr>
        <w:t xml:space="preserve"> submit that they had made out the case for the granting of the interim declaration and an order allowing them to approach the court to have the CEOs committed for contempt in the event that the defiance is persisted with.</w:t>
      </w:r>
      <w:r w:rsidR="004C5A7E" w:rsidRPr="004379AA">
        <w:rPr>
          <w:rFonts w:ascii="Arial" w:eastAsia="Times New Roman" w:hAnsi="Arial" w:cs="Arial"/>
          <w:bCs/>
          <w:kern w:val="36"/>
          <w:lang w:eastAsia="en-GB"/>
        </w:rPr>
        <w:t xml:space="preserve"> </w:t>
      </w:r>
      <w:r w:rsidR="008434A9" w:rsidRPr="004379AA">
        <w:rPr>
          <w:rFonts w:ascii="Arial" w:eastAsia="Times New Roman" w:hAnsi="Arial" w:cs="Arial"/>
          <w:bCs/>
          <w:kern w:val="36"/>
          <w:lang w:eastAsia="en-GB"/>
        </w:rPr>
        <w:t>Since the</w:t>
      </w:r>
      <w:r w:rsidR="004C5A7E" w:rsidRPr="004379AA">
        <w:rPr>
          <w:rFonts w:ascii="Arial" w:eastAsia="Times New Roman" w:hAnsi="Arial" w:cs="Arial"/>
          <w:bCs/>
          <w:kern w:val="36"/>
          <w:lang w:eastAsia="en-GB"/>
        </w:rPr>
        <w:t xml:space="preserve"> High Court did not deal with that relief in view of its order of stay</w:t>
      </w:r>
      <w:r w:rsidR="008434A9" w:rsidRPr="004379AA">
        <w:rPr>
          <w:rFonts w:ascii="Arial" w:eastAsia="Times New Roman" w:hAnsi="Arial" w:cs="Arial"/>
          <w:bCs/>
          <w:kern w:val="36"/>
          <w:lang w:eastAsia="en-GB"/>
        </w:rPr>
        <w:t>, the</w:t>
      </w:r>
      <w:r w:rsidR="004C5A7E" w:rsidRPr="004379AA">
        <w:rPr>
          <w:rFonts w:ascii="Arial" w:eastAsia="Times New Roman" w:hAnsi="Arial" w:cs="Arial"/>
          <w:bCs/>
          <w:kern w:val="36"/>
          <w:lang w:eastAsia="en-GB"/>
        </w:rPr>
        <w:t xml:space="preserve"> appellants urge this court to grant that relief.</w:t>
      </w:r>
    </w:p>
    <w:p w14:paraId="0DF31688" w14:textId="77777777" w:rsidR="003833F6" w:rsidRPr="004379AA" w:rsidRDefault="003833F6" w:rsidP="001751A1">
      <w:pPr>
        <w:tabs>
          <w:tab w:val="left" w:pos="851"/>
        </w:tabs>
        <w:spacing w:line="480" w:lineRule="auto"/>
        <w:contextualSpacing/>
        <w:jc w:val="both"/>
        <w:rPr>
          <w:rFonts w:ascii="Arial" w:hAnsi="Arial" w:cs="Arial"/>
        </w:rPr>
      </w:pPr>
    </w:p>
    <w:p w14:paraId="78CAD77E" w14:textId="77777777" w:rsidR="003833F6" w:rsidRPr="004379AA" w:rsidRDefault="00FE7EF3" w:rsidP="001751A1">
      <w:pPr>
        <w:tabs>
          <w:tab w:val="left" w:pos="851"/>
        </w:tabs>
        <w:spacing w:after="160" w:line="480" w:lineRule="auto"/>
        <w:contextualSpacing/>
        <w:jc w:val="both"/>
        <w:rPr>
          <w:rFonts w:ascii="Arial" w:hAnsi="Arial" w:cs="Arial"/>
        </w:rPr>
      </w:pPr>
      <w:r w:rsidRPr="004379AA">
        <w:rPr>
          <w:rFonts w:ascii="Arial" w:eastAsia="Times New Roman" w:hAnsi="Arial" w:cs="Arial"/>
          <w:bCs/>
          <w:kern w:val="36"/>
          <w:u w:val="single"/>
          <w:lang w:eastAsia="en-GB"/>
        </w:rPr>
        <w:t>The order of stay</w:t>
      </w:r>
      <w:r w:rsidR="00B67C06" w:rsidRPr="004379AA">
        <w:rPr>
          <w:rFonts w:ascii="Arial" w:eastAsia="Times New Roman" w:hAnsi="Arial" w:cs="Arial"/>
          <w:bCs/>
          <w:kern w:val="36"/>
          <w:u w:val="single"/>
          <w:lang w:eastAsia="en-GB"/>
        </w:rPr>
        <w:t xml:space="preserve"> </w:t>
      </w:r>
    </w:p>
    <w:p w14:paraId="33EE07A8" w14:textId="72A1D69D" w:rsidR="003833F6" w:rsidRPr="004379AA" w:rsidRDefault="002D15AE"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present appeal is a sequel to the recusal application and </w:t>
      </w:r>
      <w:r w:rsidR="004C5A7E" w:rsidRPr="004379AA">
        <w:rPr>
          <w:rFonts w:ascii="Arial" w:eastAsia="Times New Roman" w:hAnsi="Arial" w:cs="Arial"/>
          <w:bCs/>
          <w:kern w:val="36"/>
          <w:lang w:eastAsia="en-GB"/>
        </w:rPr>
        <w:t xml:space="preserve">an </w:t>
      </w:r>
      <w:r w:rsidRPr="004379AA">
        <w:rPr>
          <w:rFonts w:ascii="Arial" w:eastAsia="Times New Roman" w:hAnsi="Arial" w:cs="Arial"/>
          <w:bCs/>
          <w:kern w:val="36"/>
          <w:lang w:eastAsia="en-GB"/>
        </w:rPr>
        <w:t xml:space="preserve">application for leave to appeal that served before this court earlier this year: </w:t>
      </w:r>
      <w:r w:rsidR="00E712F9">
        <w:rPr>
          <w:rFonts w:ascii="Arial" w:eastAsia="Times New Roman" w:hAnsi="Arial" w:cs="Arial"/>
          <w:bCs/>
          <w:i/>
          <w:kern w:val="36"/>
          <w:lang w:eastAsia="en-GB"/>
        </w:rPr>
        <w:t>Minister of Finance and a</w:t>
      </w:r>
      <w:r w:rsidRPr="004379AA">
        <w:rPr>
          <w:rFonts w:ascii="Arial" w:eastAsia="Times New Roman" w:hAnsi="Arial" w:cs="Arial"/>
          <w:bCs/>
          <w:i/>
          <w:kern w:val="36"/>
          <w:lang w:eastAsia="en-GB"/>
        </w:rPr>
        <w:t xml:space="preserve">nother v Hollard Insurance Co. and </w:t>
      </w:r>
      <w:r w:rsidR="00715CDA">
        <w:rPr>
          <w:rFonts w:ascii="Arial" w:eastAsia="Times New Roman" w:hAnsi="Arial" w:cs="Arial"/>
          <w:bCs/>
          <w:i/>
          <w:kern w:val="36"/>
          <w:lang w:eastAsia="en-GB"/>
        </w:rPr>
        <w:t>o</w:t>
      </w:r>
      <w:r w:rsidRPr="004379AA">
        <w:rPr>
          <w:rFonts w:ascii="Arial" w:eastAsia="Times New Roman" w:hAnsi="Arial" w:cs="Arial"/>
          <w:bCs/>
          <w:i/>
          <w:kern w:val="36"/>
          <w:lang w:eastAsia="en-GB"/>
        </w:rPr>
        <w:t>thers</w:t>
      </w:r>
      <w:r w:rsidRPr="004379AA">
        <w:rPr>
          <w:rStyle w:val="FootnoteReference"/>
          <w:rFonts w:ascii="Arial" w:eastAsia="Times New Roman" w:hAnsi="Arial" w:cs="Arial"/>
          <w:bCs/>
          <w:i/>
          <w:kern w:val="36"/>
          <w:lang w:eastAsia="en-GB"/>
        </w:rPr>
        <w:footnoteReference w:id="7"/>
      </w:r>
      <w:r w:rsidRPr="004379AA">
        <w:rPr>
          <w:rFonts w:ascii="Arial" w:eastAsia="Times New Roman" w:hAnsi="Arial" w:cs="Arial"/>
          <w:bCs/>
          <w:kern w:val="36"/>
          <w:lang w:eastAsia="en-GB"/>
        </w:rPr>
        <w:t xml:space="preserve"> (</w:t>
      </w:r>
      <w:r w:rsidRPr="004379AA">
        <w:rPr>
          <w:rFonts w:ascii="Arial" w:eastAsia="Times New Roman" w:hAnsi="Arial" w:cs="Arial"/>
          <w:bCs/>
          <w:i/>
          <w:kern w:val="36"/>
          <w:lang w:eastAsia="en-GB"/>
        </w:rPr>
        <w:t>Hollard1</w:t>
      </w:r>
      <w:r w:rsidRPr="004379AA">
        <w:rPr>
          <w:rFonts w:ascii="Arial" w:eastAsia="Times New Roman" w:hAnsi="Arial" w:cs="Arial"/>
          <w:bCs/>
          <w:kern w:val="36"/>
          <w:lang w:eastAsia="en-GB"/>
        </w:rPr>
        <w:t xml:space="preserve">). In </w:t>
      </w:r>
      <w:r w:rsidRPr="004379AA">
        <w:rPr>
          <w:rFonts w:ascii="Arial" w:eastAsia="Times New Roman" w:hAnsi="Arial" w:cs="Arial"/>
          <w:bCs/>
          <w:i/>
          <w:kern w:val="36"/>
          <w:lang w:eastAsia="en-GB"/>
        </w:rPr>
        <w:t>Hollard1</w:t>
      </w:r>
      <w:r w:rsidRPr="004379AA">
        <w:rPr>
          <w:rFonts w:ascii="Arial" w:eastAsia="Times New Roman" w:hAnsi="Arial" w:cs="Arial"/>
          <w:bCs/>
          <w:kern w:val="36"/>
          <w:lang w:eastAsia="en-GB"/>
        </w:rPr>
        <w:t xml:space="preserve">, </w:t>
      </w:r>
      <w:r w:rsidR="00112D15" w:rsidRPr="004379AA">
        <w:rPr>
          <w:rFonts w:ascii="Arial" w:eastAsia="Times New Roman" w:hAnsi="Arial" w:cs="Arial"/>
          <w:bCs/>
          <w:kern w:val="36"/>
          <w:lang w:eastAsia="en-GB"/>
        </w:rPr>
        <w:t xml:space="preserve">we </w:t>
      </w:r>
      <w:r w:rsidR="00FE7EF3" w:rsidRPr="004379AA">
        <w:rPr>
          <w:rFonts w:ascii="Arial" w:eastAsia="Times New Roman" w:hAnsi="Arial" w:cs="Arial"/>
          <w:bCs/>
          <w:kern w:val="36"/>
          <w:lang w:eastAsia="en-GB"/>
        </w:rPr>
        <w:t>granted leave to appeal</w:t>
      </w:r>
      <w:r w:rsidR="004C5A7E" w:rsidRPr="004379AA">
        <w:rPr>
          <w:rFonts w:ascii="Arial" w:eastAsia="Times New Roman" w:hAnsi="Arial" w:cs="Arial"/>
          <w:bCs/>
          <w:kern w:val="36"/>
          <w:lang w:eastAsia="en-GB"/>
        </w:rPr>
        <w:t xml:space="preserve"> the High Court’s order</w:t>
      </w:r>
      <w:r w:rsidR="00FE7EF3" w:rsidRPr="004379AA">
        <w:rPr>
          <w:rFonts w:ascii="Arial" w:eastAsia="Times New Roman" w:hAnsi="Arial" w:cs="Arial"/>
          <w:bCs/>
          <w:kern w:val="36"/>
          <w:lang w:eastAsia="en-GB"/>
        </w:rPr>
        <w:t xml:space="preserve">, having concluded that the appellants had a reasonable prospect of success on appeal. We set out at paras </w:t>
      </w:r>
      <w:r w:rsidR="008434A9" w:rsidRPr="004379AA">
        <w:rPr>
          <w:rFonts w:ascii="Arial" w:eastAsia="Times New Roman" w:hAnsi="Arial" w:cs="Arial"/>
          <w:bCs/>
          <w:kern w:val="36"/>
          <w:lang w:eastAsia="en-GB"/>
        </w:rPr>
        <w:t>[109</w:t>
      </w:r>
      <w:r w:rsidRPr="004379AA">
        <w:rPr>
          <w:rFonts w:ascii="Arial" w:eastAsia="Times New Roman" w:hAnsi="Arial" w:cs="Arial"/>
          <w:bCs/>
          <w:kern w:val="36"/>
          <w:lang w:eastAsia="en-GB"/>
        </w:rPr>
        <w:t>]</w:t>
      </w:r>
      <w:r w:rsidR="008434A9" w:rsidRPr="004379AA">
        <w:rPr>
          <w:rFonts w:ascii="Arial" w:eastAsia="Times New Roman" w:hAnsi="Arial" w:cs="Arial"/>
          <w:bCs/>
          <w:kern w:val="36"/>
          <w:lang w:eastAsia="en-GB"/>
        </w:rPr>
        <w:t xml:space="preserve"> </w:t>
      </w:r>
      <w:r w:rsidR="00CB26B0" w:rsidRPr="004379AA">
        <w:rPr>
          <w:rFonts w:ascii="Arial" w:eastAsia="Times New Roman" w:hAnsi="Arial" w:cs="Arial"/>
          <w:bCs/>
          <w:kern w:val="36"/>
          <w:lang w:eastAsia="en-GB"/>
        </w:rPr>
        <w:t>- [</w:t>
      </w:r>
      <w:r w:rsidRPr="004379AA">
        <w:rPr>
          <w:rFonts w:ascii="Arial" w:eastAsia="Times New Roman" w:hAnsi="Arial" w:cs="Arial"/>
          <w:bCs/>
          <w:kern w:val="36"/>
          <w:lang w:eastAsia="en-GB"/>
        </w:rPr>
        <w:t>118]</w:t>
      </w:r>
      <w:r w:rsidR="00FE7EF3" w:rsidRPr="004379AA">
        <w:rPr>
          <w:rFonts w:ascii="Arial" w:eastAsia="Times New Roman" w:hAnsi="Arial" w:cs="Arial"/>
          <w:bCs/>
          <w:kern w:val="36"/>
          <w:lang w:eastAsia="en-GB"/>
        </w:rPr>
        <w:t xml:space="preserve"> the reasons for </w:t>
      </w:r>
      <w:r w:rsidR="004C5A7E" w:rsidRPr="004379AA">
        <w:rPr>
          <w:rFonts w:ascii="Arial" w:eastAsia="Times New Roman" w:hAnsi="Arial" w:cs="Arial"/>
          <w:bCs/>
          <w:kern w:val="36"/>
          <w:lang w:eastAsia="en-GB"/>
        </w:rPr>
        <w:t>coming to that conclusion.</w:t>
      </w:r>
      <w:r w:rsidR="00FE7EF3" w:rsidRPr="004379AA">
        <w:rPr>
          <w:rFonts w:ascii="Arial" w:eastAsia="Times New Roman" w:hAnsi="Arial" w:cs="Arial"/>
          <w:bCs/>
          <w:kern w:val="36"/>
          <w:lang w:eastAsia="en-GB"/>
        </w:rPr>
        <w:t xml:space="preserve"> </w:t>
      </w:r>
    </w:p>
    <w:p w14:paraId="545047F2" w14:textId="77777777" w:rsidR="003833F6" w:rsidRPr="004379AA" w:rsidRDefault="003833F6" w:rsidP="001751A1">
      <w:pPr>
        <w:tabs>
          <w:tab w:val="left" w:pos="851"/>
        </w:tabs>
        <w:spacing w:line="480" w:lineRule="auto"/>
        <w:contextualSpacing/>
        <w:jc w:val="both"/>
        <w:rPr>
          <w:rFonts w:ascii="Arial" w:hAnsi="Arial" w:cs="Arial"/>
        </w:rPr>
      </w:pPr>
    </w:p>
    <w:p w14:paraId="69B670DD" w14:textId="530E35E6" w:rsidR="003833F6" w:rsidRPr="006C3594" w:rsidRDefault="00FE7EF3"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We are satisfied that on appeal the respondents have not made any significant contribution to the debate to persuade us to c</w:t>
      </w:r>
      <w:r w:rsidR="002D15AE" w:rsidRPr="004379AA">
        <w:rPr>
          <w:rFonts w:ascii="Arial" w:eastAsia="Times New Roman" w:hAnsi="Arial" w:cs="Arial"/>
          <w:bCs/>
          <w:kern w:val="36"/>
          <w:lang w:eastAsia="en-GB"/>
        </w:rPr>
        <w:t xml:space="preserve">ome to a contrary </w:t>
      </w:r>
      <w:r w:rsidR="004C5A7E" w:rsidRPr="004379AA">
        <w:rPr>
          <w:rFonts w:ascii="Arial" w:eastAsia="Times New Roman" w:hAnsi="Arial" w:cs="Arial"/>
          <w:bCs/>
          <w:kern w:val="36"/>
          <w:lang w:eastAsia="en-GB"/>
        </w:rPr>
        <w:t>result.</w:t>
      </w:r>
      <w:r w:rsidR="002D15AE" w:rsidRPr="004379AA">
        <w:rPr>
          <w:rFonts w:ascii="Arial" w:eastAsia="Times New Roman" w:hAnsi="Arial" w:cs="Arial"/>
          <w:bCs/>
          <w:kern w:val="36"/>
          <w:lang w:eastAsia="en-GB"/>
        </w:rPr>
        <w:t xml:space="preserve"> A</w:t>
      </w:r>
      <w:r w:rsidRPr="004379AA">
        <w:rPr>
          <w:rFonts w:ascii="Arial" w:eastAsia="Times New Roman" w:hAnsi="Arial" w:cs="Arial"/>
          <w:bCs/>
          <w:kern w:val="36"/>
          <w:lang w:eastAsia="en-GB"/>
        </w:rPr>
        <w:t>ccordingly</w:t>
      </w:r>
      <w:r w:rsidR="002D15AE" w:rsidRPr="004379AA">
        <w:rPr>
          <w:rFonts w:ascii="Arial" w:eastAsia="Times New Roman" w:hAnsi="Arial" w:cs="Arial"/>
          <w:bCs/>
          <w:kern w:val="36"/>
          <w:lang w:eastAsia="en-GB"/>
        </w:rPr>
        <w:t>, we</w:t>
      </w:r>
      <w:r w:rsidRPr="004379AA">
        <w:rPr>
          <w:rFonts w:ascii="Arial" w:eastAsia="Times New Roman" w:hAnsi="Arial" w:cs="Arial"/>
          <w:bCs/>
          <w:kern w:val="36"/>
          <w:lang w:eastAsia="en-GB"/>
        </w:rPr>
        <w:t xml:space="preserve"> confirm the </w:t>
      </w:r>
      <w:r w:rsidRPr="004379AA">
        <w:rPr>
          <w:rFonts w:ascii="Arial" w:eastAsia="Times New Roman" w:hAnsi="Arial" w:cs="Arial"/>
          <w:bCs/>
          <w:i/>
          <w:kern w:val="36"/>
          <w:lang w:eastAsia="en-GB"/>
        </w:rPr>
        <w:t>prima facie</w:t>
      </w:r>
      <w:r w:rsidRPr="004379AA">
        <w:rPr>
          <w:rFonts w:ascii="Arial" w:eastAsia="Times New Roman" w:hAnsi="Arial" w:cs="Arial"/>
          <w:bCs/>
          <w:kern w:val="36"/>
          <w:lang w:eastAsia="en-GB"/>
        </w:rPr>
        <w:t xml:space="preserve"> views on prospects we expressed in relation to the order </w:t>
      </w:r>
      <w:r w:rsidRPr="006C3594">
        <w:rPr>
          <w:rFonts w:ascii="Arial" w:eastAsia="Times New Roman" w:hAnsi="Arial" w:cs="Arial"/>
          <w:bCs/>
          <w:kern w:val="36"/>
          <w:lang w:eastAsia="en-GB"/>
        </w:rPr>
        <w:t>of stay and will allow the appeal on that score. What remains to consider is whether the Minister and NamibRe made out the case for the interim declarator and the order for the anticipatory commit</w:t>
      </w:r>
      <w:r w:rsidR="00636DD7" w:rsidRPr="006C3594">
        <w:rPr>
          <w:rFonts w:ascii="Arial" w:eastAsia="Times New Roman" w:hAnsi="Arial" w:cs="Arial"/>
          <w:bCs/>
          <w:kern w:val="36"/>
          <w:lang w:eastAsia="en-GB"/>
        </w:rPr>
        <w:t>t</w:t>
      </w:r>
      <w:r w:rsidRPr="006C3594">
        <w:rPr>
          <w:rFonts w:ascii="Arial" w:eastAsia="Times New Roman" w:hAnsi="Arial" w:cs="Arial"/>
          <w:bCs/>
          <w:kern w:val="36"/>
          <w:lang w:eastAsia="en-GB"/>
        </w:rPr>
        <w:t>al for contempt.</w:t>
      </w:r>
    </w:p>
    <w:p w14:paraId="0FE43565" w14:textId="77777777" w:rsidR="003833F6" w:rsidRPr="004379AA" w:rsidRDefault="003833F6" w:rsidP="001751A1">
      <w:pPr>
        <w:pStyle w:val="ListParagraph"/>
        <w:spacing w:line="480" w:lineRule="auto"/>
        <w:rPr>
          <w:rFonts w:ascii="Arial" w:eastAsia="Times New Roman" w:hAnsi="Arial" w:cs="Arial"/>
          <w:bCs/>
          <w:kern w:val="36"/>
          <w:u w:val="single"/>
          <w:lang w:eastAsia="en-GB"/>
        </w:rPr>
      </w:pPr>
    </w:p>
    <w:p w14:paraId="568ADEB0" w14:textId="77777777" w:rsidR="003833F6" w:rsidRPr="00AE0554" w:rsidRDefault="00FE7EF3" w:rsidP="001751A1">
      <w:pPr>
        <w:tabs>
          <w:tab w:val="left" w:pos="851"/>
        </w:tabs>
        <w:spacing w:after="160" w:line="480" w:lineRule="auto"/>
        <w:contextualSpacing/>
        <w:jc w:val="both"/>
        <w:rPr>
          <w:rFonts w:ascii="Arial" w:eastAsia="Times New Roman" w:hAnsi="Arial" w:cs="Arial"/>
          <w:bCs/>
          <w:kern w:val="36"/>
          <w:u w:val="single"/>
          <w:lang w:eastAsia="en-GB"/>
        </w:rPr>
      </w:pPr>
      <w:r w:rsidRPr="00AE0554">
        <w:rPr>
          <w:rFonts w:ascii="Arial" w:eastAsia="Times New Roman" w:hAnsi="Arial" w:cs="Arial"/>
          <w:bCs/>
          <w:kern w:val="36"/>
          <w:u w:val="single"/>
          <w:lang w:eastAsia="en-GB"/>
        </w:rPr>
        <w:t>S</w:t>
      </w:r>
      <w:r w:rsidR="00662D27" w:rsidRPr="00AE0554">
        <w:rPr>
          <w:rFonts w:ascii="Arial" w:eastAsia="Times New Roman" w:hAnsi="Arial" w:cs="Arial"/>
          <w:bCs/>
          <w:kern w:val="36"/>
          <w:u w:val="single"/>
          <w:lang w:eastAsia="en-GB"/>
        </w:rPr>
        <w:t>ummary of s</w:t>
      </w:r>
      <w:r w:rsidRPr="00AE0554">
        <w:rPr>
          <w:rFonts w:ascii="Arial" w:eastAsia="Times New Roman" w:hAnsi="Arial" w:cs="Arial"/>
          <w:bCs/>
          <w:kern w:val="36"/>
          <w:u w:val="single"/>
          <w:lang w:eastAsia="en-GB"/>
        </w:rPr>
        <w:t>ubmissions on appeal</w:t>
      </w:r>
    </w:p>
    <w:p w14:paraId="2CB3154A" w14:textId="77777777" w:rsidR="003833F6" w:rsidRPr="004379AA" w:rsidRDefault="00FE7EF3" w:rsidP="001751A1">
      <w:pPr>
        <w:tabs>
          <w:tab w:val="left" w:pos="851"/>
        </w:tabs>
        <w:spacing w:after="160" w:line="480" w:lineRule="auto"/>
        <w:contextualSpacing/>
        <w:jc w:val="both"/>
        <w:rPr>
          <w:rFonts w:ascii="Arial" w:hAnsi="Arial" w:cs="Arial"/>
        </w:rPr>
      </w:pPr>
      <w:r w:rsidRPr="00AE0554">
        <w:rPr>
          <w:rFonts w:ascii="Arial" w:eastAsia="Times New Roman" w:hAnsi="Arial" w:cs="Arial"/>
          <w:bCs/>
          <w:i/>
          <w:kern w:val="36"/>
          <w:lang w:eastAsia="en-GB"/>
        </w:rPr>
        <w:lastRenderedPageBreak/>
        <w:t>The appellants</w:t>
      </w:r>
    </w:p>
    <w:p w14:paraId="1A5D777D" w14:textId="77777777" w:rsidR="00370B4B" w:rsidRPr="004379AA" w:rsidRDefault="00C93988"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w:t>
      </w:r>
      <w:r w:rsidR="00112D15" w:rsidRPr="004379AA">
        <w:rPr>
          <w:rFonts w:ascii="Arial" w:eastAsia="Times New Roman" w:hAnsi="Arial" w:cs="Arial"/>
          <w:bCs/>
          <w:kern w:val="36"/>
          <w:lang w:eastAsia="en-GB"/>
        </w:rPr>
        <w:t xml:space="preserve">appellants’ </w:t>
      </w:r>
      <w:r w:rsidRPr="004379AA">
        <w:rPr>
          <w:rFonts w:ascii="Arial" w:eastAsia="Times New Roman" w:hAnsi="Arial" w:cs="Arial"/>
          <w:bCs/>
          <w:kern w:val="36"/>
          <w:lang w:eastAsia="en-GB"/>
        </w:rPr>
        <w:t>dep</w:t>
      </w:r>
      <w:r w:rsidR="00112D15" w:rsidRPr="004379AA">
        <w:rPr>
          <w:rFonts w:ascii="Arial" w:eastAsia="Times New Roman" w:hAnsi="Arial" w:cs="Arial"/>
          <w:bCs/>
          <w:kern w:val="36"/>
          <w:lang w:eastAsia="en-GB"/>
        </w:rPr>
        <w:t>arture premise</w:t>
      </w:r>
      <w:r w:rsidRPr="004379AA">
        <w:rPr>
          <w:rFonts w:ascii="Arial" w:eastAsia="Times New Roman" w:hAnsi="Arial" w:cs="Arial"/>
          <w:bCs/>
          <w:kern w:val="36"/>
          <w:lang w:eastAsia="en-GB"/>
        </w:rPr>
        <w:t xml:space="preserve"> is that the</w:t>
      </w:r>
      <w:r w:rsidR="00112D15" w:rsidRPr="004379AA">
        <w:rPr>
          <w:rFonts w:ascii="Arial" w:eastAsia="Times New Roman" w:hAnsi="Arial" w:cs="Arial"/>
          <w:bCs/>
          <w:kern w:val="36"/>
          <w:lang w:eastAsia="en-GB"/>
        </w:rPr>
        <w:t xml:space="preserve"> NNRCA is a duly enacted law</w:t>
      </w:r>
      <w:r w:rsidRPr="004379AA">
        <w:rPr>
          <w:rFonts w:ascii="Arial" w:eastAsia="Times New Roman" w:hAnsi="Arial" w:cs="Arial"/>
          <w:bCs/>
          <w:kern w:val="36"/>
          <w:lang w:eastAsia="en-GB"/>
        </w:rPr>
        <w:t xml:space="preserve"> which must be observed by all; more so because a challenge to it in 1999 had failed and the </w:t>
      </w:r>
      <w:r w:rsidR="005501A6" w:rsidRPr="004379AA">
        <w:rPr>
          <w:rFonts w:ascii="Arial" w:eastAsia="Times New Roman" w:hAnsi="Arial" w:cs="Arial"/>
          <w:bCs/>
          <w:kern w:val="36"/>
          <w:lang w:eastAsia="en-GB"/>
        </w:rPr>
        <w:t>law</w:t>
      </w:r>
      <w:r w:rsidRPr="004379AA">
        <w:rPr>
          <w:rFonts w:ascii="Arial" w:eastAsia="Times New Roman" w:hAnsi="Arial" w:cs="Arial"/>
          <w:bCs/>
          <w:kern w:val="36"/>
          <w:lang w:eastAsia="en-GB"/>
        </w:rPr>
        <w:t xml:space="preserve"> was validated by a competent court. The December 2017 regulations and notices are the product of consultation and input from those who took up the Minister’s offer to make representations. The Minister considered the inputs and in fact adjusted the original 2016 notices based on </w:t>
      </w:r>
      <w:r w:rsidR="00010EA4" w:rsidRPr="004379AA">
        <w:rPr>
          <w:rFonts w:ascii="Arial" w:eastAsia="Times New Roman" w:hAnsi="Arial" w:cs="Arial"/>
          <w:bCs/>
          <w:kern w:val="36"/>
          <w:lang w:eastAsia="en-GB"/>
        </w:rPr>
        <w:t xml:space="preserve">the </w:t>
      </w:r>
      <w:r w:rsidRPr="004379AA">
        <w:rPr>
          <w:rFonts w:ascii="Arial" w:eastAsia="Times New Roman" w:hAnsi="Arial" w:cs="Arial"/>
          <w:bCs/>
          <w:kern w:val="36"/>
          <w:lang w:eastAsia="en-GB"/>
        </w:rPr>
        <w:t xml:space="preserve">suggestions received. The respondents chose not to participate in the consultative process initiated by the Minister and can now not claim that they were not afforded the opportunity to make representations. </w:t>
      </w:r>
    </w:p>
    <w:p w14:paraId="2131BCC7" w14:textId="77777777" w:rsidR="00370B4B" w:rsidRPr="004379AA" w:rsidRDefault="00370B4B" w:rsidP="001751A1">
      <w:pPr>
        <w:tabs>
          <w:tab w:val="left" w:pos="851"/>
        </w:tabs>
        <w:spacing w:line="480" w:lineRule="auto"/>
        <w:contextualSpacing/>
        <w:jc w:val="both"/>
        <w:rPr>
          <w:rFonts w:ascii="Arial" w:hAnsi="Arial" w:cs="Arial"/>
        </w:rPr>
      </w:pPr>
    </w:p>
    <w:p w14:paraId="2406CA9C" w14:textId="52210143" w:rsidR="00370B4B" w:rsidRPr="00E712F9" w:rsidRDefault="00112D15"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appellants maintain that the</w:t>
      </w:r>
      <w:r w:rsidR="00C93988" w:rsidRPr="004379AA">
        <w:rPr>
          <w:rFonts w:ascii="Arial" w:eastAsia="Times New Roman" w:hAnsi="Arial" w:cs="Arial"/>
          <w:bCs/>
          <w:kern w:val="36"/>
          <w:lang w:eastAsia="en-GB"/>
        </w:rPr>
        <w:t xml:space="preserve"> respondents’ allegations that the law is vague is countered by the fact that four companies have chosen to comply</w:t>
      </w:r>
      <w:r w:rsidR="005501A6" w:rsidRPr="004379AA">
        <w:rPr>
          <w:rFonts w:ascii="Arial" w:eastAsia="Times New Roman" w:hAnsi="Arial" w:cs="Arial"/>
          <w:bCs/>
          <w:kern w:val="36"/>
          <w:lang w:eastAsia="en-GB"/>
        </w:rPr>
        <w:t>.</w:t>
      </w:r>
      <w:r w:rsidR="00C93988" w:rsidRPr="004379AA">
        <w:rPr>
          <w:rFonts w:ascii="Arial" w:eastAsia="Times New Roman" w:hAnsi="Arial" w:cs="Arial"/>
          <w:bCs/>
          <w:kern w:val="36"/>
          <w:lang w:eastAsia="en-GB"/>
        </w:rPr>
        <w:t xml:space="preserve"> If the respondents’ defiance of the law is countenanced, it will set a constitutionally indefensible precedent as others may follow the same example and disobey the laws of the land relying on their belief that the law is unconstitutional. It was also argued that the relief sought is important to protect two very important national objectives of the NNRCA: to create a viable insurance industry for the benefit of all Namibians and the economy</w:t>
      </w:r>
      <w:r w:rsidR="00010EA4" w:rsidRPr="004379AA">
        <w:rPr>
          <w:rFonts w:ascii="Arial" w:eastAsia="Times New Roman" w:hAnsi="Arial" w:cs="Arial"/>
          <w:bCs/>
          <w:kern w:val="36"/>
          <w:lang w:eastAsia="en-GB"/>
        </w:rPr>
        <w:t>,</w:t>
      </w:r>
      <w:r w:rsidR="00C93988" w:rsidRPr="004379AA">
        <w:rPr>
          <w:rFonts w:ascii="Arial" w:eastAsia="Times New Roman" w:hAnsi="Arial" w:cs="Arial"/>
          <w:bCs/>
          <w:kern w:val="36"/>
          <w:lang w:eastAsia="en-GB"/>
        </w:rPr>
        <w:t xml:space="preserve"> </w:t>
      </w:r>
      <w:r w:rsidR="00010EA4" w:rsidRPr="004379AA">
        <w:rPr>
          <w:rFonts w:ascii="Arial" w:eastAsia="Times New Roman" w:hAnsi="Arial" w:cs="Arial"/>
          <w:bCs/>
          <w:kern w:val="36"/>
          <w:lang w:eastAsia="en-GB"/>
        </w:rPr>
        <w:t xml:space="preserve">and to stem capital flight from the country which </w:t>
      </w:r>
      <w:r w:rsidR="00F36B42">
        <w:rPr>
          <w:rFonts w:ascii="Arial" w:eastAsia="Times New Roman" w:hAnsi="Arial" w:cs="Arial"/>
          <w:bCs/>
          <w:kern w:val="36"/>
          <w:lang w:eastAsia="en-GB"/>
        </w:rPr>
        <w:t>amounts to over N$</w:t>
      </w:r>
      <w:r w:rsidR="00260F24" w:rsidRPr="004379AA">
        <w:rPr>
          <w:rFonts w:ascii="Arial" w:eastAsia="Times New Roman" w:hAnsi="Arial" w:cs="Arial"/>
          <w:bCs/>
          <w:kern w:val="36"/>
          <w:lang w:eastAsia="en-GB"/>
        </w:rPr>
        <w:t>1</w:t>
      </w:r>
      <w:r w:rsidR="00010EA4" w:rsidRPr="004379AA">
        <w:rPr>
          <w:rFonts w:ascii="Arial" w:eastAsia="Times New Roman" w:hAnsi="Arial" w:cs="Arial"/>
          <w:bCs/>
          <w:kern w:val="36"/>
          <w:lang w:eastAsia="en-GB"/>
        </w:rPr>
        <w:t xml:space="preserve"> billi</w:t>
      </w:r>
      <w:r w:rsidR="00260F24" w:rsidRPr="004379AA">
        <w:rPr>
          <w:rFonts w:ascii="Arial" w:eastAsia="Times New Roman" w:hAnsi="Arial" w:cs="Arial"/>
          <w:bCs/>
          <w:kern w:val="36"/>
          <w:lang w:eastAsia="en-GB"/>
        </w:rPr>
        <w:t>on</w:t>
      </w:r>
      <w:r w:rsidR="00010EA4" w:rsidRPr="004379AA">
        <w:rPr>
          <w:rFonts w:ascii="Arial" w:eastAsia="Times New Roman" w:hAnsi="Arial" w:cs="Arial"/>
          <w:bCs/>
          <w:kern w:val="36"/>
          <w:lang w:eastAsia="en-GB"/>
        </w:rPr>
        <w:t xml:space="preserve"> </w:t>
      </w:r>
      <w:r w:rsidR="00260F24" w:rsidRPr="004379AA">
        <w:rPr>
          <w:rFonts w:ascii="Arial" w:eastAsia="Times New Roman" w:hAnsi="Arial" w:cs="Arial"/>
          <w:bCs/>
          <w:kern w:val="36"/>
          <w:lang w:eastAsia="en-GB"/>
        </w:rPr>
        <w:t xml:space="preserve">every year </w:t>
      </w:r>
      <w:r w:rsidR="00010EA4" w:rsidRPr="004379AA">
        <w:rPr>
          <w:rFonts w:ascii="Arial" w:eastAsia="Times New Roman" w:hAnsi="Arial" w:cs="Arial"/>
          <w:bCs/>
          <w:kern w:val="36"/>
          <w:lang w:eastAsia="en-GB"/>
        </w:rPr>
        <w:t xml:space="preserve">for as long as the </w:t>
      </w:r>
      <w:r w:rsidR="00260F24" w:rsidRPr="004379AA">
        <w:rPr>
          <w:rFonts w:ascii="Arial" w:eastAsia="Times New Roman" w:hAnsi="Arial" w:cs="Arial"/>
          <w:bCs/>
          <w:kern w:val="36"/>
          <w:lang w:eastAsia="en-GB"/>
        </w:rPr>
        <w:t xml:space="preserve">respondents’ </w:t>
      </w:r>
      <w:r w:rsidR="00010EA4" w:rsidRPr="004379AA">
        <w:rPr>
          <w:rFonts w:ascii="Arial" w:eastAsia="Times New Roman" w:hAnsi="Arial" w:cs="Arial"/>
          <w:bCs/>
          <w:kern w:val="36"/>
          <w:lang w:eastAsia="en-GB"/>
        </w:rPr>
        <w:t>defiance continues.</w:t>
      </w:r>
    </w:p>
    <w:p w14:paraId="6D0B9B33" w14:textId="77777777" w:rsidR="00E712F9" w:rsidRPr="00195C23" w:rsidRDefault="00E712F9" w:rsidP="001751A1">
      <w:pPr>
        <w:tabs>
          <w:tab w:val="left" w:pos="851"/>
        </w:tabs>
        <w:spacing w:line="480" w:lineRule="auto"/>
        <w:contextualSpacing/>
        <w:jc w:val="both"/>
        <w:rPr>
          <w:rFonts w:ascii="Arial" w:hAnsi="Arial" w:cs="Arial"/>
        </w:rPr>
      </w:pPr>
    </w:p>
    <w:p w14:paraId="54A44CDA" w14:textId="77777777" w:rsidR="00370B4B" w:rsidRPr="004379AA" w:rsidRDefault="00FE7EF3" w:rsidP="001751A1">
      <w:pPr>
        <w:tabs>
          <w:tab w:val="left" w:pos="851"/>
        </w:tabs>
        <w:spacing w:after="160" w:line="480" w:lineRule="auto"/>
        <w:contextualSpacing/>
        <w:jc w:val="both"/>
        <w:rPr>
          <w:rFonts w:ascii="Arial" w:hAnsi="Arial" w:cs="Arial"/>
        </w:rPr>
      </w:pPr>
      <w:r w:rsidRPr="004379AA">
        <w:rPr>
          <w:rFonts w:ascii="Arial" w:eastAsia="Times New Roman" w:hAnsi="Arial" w:cs="Arial"/>
          <w:bCs/>
          <w:i/>
          <w:kern w:val="36"/>
          <w:lang w:eastAsia="en-GB"/>
        </w:rPr>
        <w:t>The respondents</w:t>
      </w:r>
    </w:p>
    <w:p w14:paraId="6C06DB38" w14:textId="77777777" w:rsidR="00370B4B" w:rsidRPr="004379AA" w:rsidRDefault="00010EA4"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maintain that the appellants failed to make out the case for the relief that they seek. It is argued that the relief sought is all the more misplaced because the respondents had made out a </w:t>
      </w:r>
      <w:r w:rsidRPr="004379AA">
        <w:rPr>
          <w:rFonts w:ascii="Arial" w:eastAsia="Times New Roman" w:hAnsi="Arial" w:cs="Arial"/>
          <w:bCs/>
          <w:i/>
          <w:kern w:val="36"/>
          <w:lang w:eastAsia="en-GB"/>
        </w:rPr>
        <w:t>prima facie</w:t>
      </w:r>
      <w:r w:rsidRPr="004379AA">
        <w:rPr>
          <w:rFonts w:ascii="Arial" w:eastAsia="Times New Roman" w:hAnsi="Arial" w:cs="Arial"/>
          <w:bCs/>
          <w:kern w:val="36"/>
          <w:lang w:eastAsia="en-GB"/>
        </w:rPr>
        <w:t xml:space="preserve"> case of </w:t>
      </w:r>
      <w:r w:rsidR="00112D15" w:rsidRPr="004379AA">
        <w:rPr>
          <w:rFonts w:ascii="Arial" w:eastAsia="Times New Roman" w:hAnsi="Arial" w:cs="Arial"/>
          <w:bCs/>
          <w:kern w:val="36"/>
          <w:lang w:eastAsia="en-GB"/>
        </w:rPr>
        <w:t xml:space="preserve">constitutional </w:t>
      </w:r>
      <w:r w:rsidRPr="004379AA">
        <w:rPr>
          <w:rFonts w:ascii="Arial" w:eastAsia="Times New Roman" w:hAnsi="Arial" w:cs="Arial"/>
          <w:bCs/>
          <w:kern w:val="36"/>
          <w:lang w:eastAsia="en-GB"/>
        </w:rPr>
        <w:t>in</w:t>
      </w:r>
      <w:r w:rsidR="00112D15" w:rsidRPr="004379AA">
        <w:rPr>
          <w:rFonts w:ascii="Arial" w:eastAsia="Times New Roman" w:hAnsi="Arial" w:cs="Arial"/>
          <w:bCs/>
          <w:kern w:val="36"/>
          <w:lang w:eastAsia="en-GB"/>
        </w:rPr>
        <w:t>consistency of the impugned provisions</w:t>
      </w:r>
      <w:r w:rsidR="00260F24" w:rsidRPr="004379AA">
        <w:rPr>
          <w:rFonts w:ascii="Arial" w:eastAsia="Times New Roman" w:hAnsi="Arial" w:cs="Arial"/>
          <w:bCs/>
          <w:kern w:val="36"/>
          <w:lang w:eastAsia="en-GB"/>
        </w:rPr>
        <w:t>.</w:t>
      </w:r>
      <w:r w:rsidR="00112D15" w:rsidRPr="004379AA">
        <w:rPr>
          <w:rFonts w:ascii="Arial" w:eastAsia="Times New Roman" w:hAnsi="Arial" w:cs="Arial"/>
          <w:bCs/>
          <w:kern w:val="36"/>
          <w:lang w:eastAsia="en-GB"/>
        </w:rPr>
        <w:t xml:space="preserve"> </w:t>
      </w:r>
      <w:r w:rsidRPr="004379AA">
        <w:rPr>
          <w:rFonts w:ascii="Arial" w:eastAsia="Times New Roman" w:hAnsi="Arial" w:cs="Arial"/>
          <w:bCs/>
          <w:kern w:val="36"/>
          <w:lang w:eastAsia="en-GB"/>
        </w:rPr>
        <w:t xml:space="preserve">In that regard, they maintain that the appellants elected not to </w:t>
      </w:r>
      <w:r w:rsidRPr="004379AA">
        <w:rPr>
          <w:rFonts w:ascii="Arial" w:eastAsia="Times New Roman" w:hAnsi="Arial" w:cs="Arial"/>
          <w:bCs/>
          <w:kern w:val="36"/>
          <w:lang w:eastAsia="en-GB"/>
        </w:rPr>
        <w:lastRenderedPageBreak/>
        <w:t xml:space="preserve">engage with the grounds advanced by the respondents in the pending constitutional challenge and the review. </w:t>
      </w:r>
    </w:p>
    <w:p w14:paraId="6562AD15" w14:textId="77777777" w:rsidR="00370B4B" w:rsidRPr="004379AA" w:rsidRDefault="00370B4B" w:rsidP="001751A1">
      <w:pPr>
        <w:tabs>
          <w:tab w:val="left" w:pos="851"/>
        </w:tabs>
        <w:spacing w:line="480" w:lineRule="auto"/>
        <w:contextualSpacing/>
        <w:jc w:val="both"/>
        <w:rPr>
          <w:rFonts w:ascii="Arial" w:hAnsi="Arial" w:cs="Arial"/>
        </w:rPr>
      </w:pPr>
    </w:p>
    <w:p w14:paraId="1C7B6786" w14:textId="77777777" w:rsidR="00370B4B" w:rsidRPr="004379AA" w:rsidRDefault="00010EA4"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According to the respondents, at the time that the appellants approached the court on an urgent basis to enforce the </w:t>
      </w:r>
      <w:r w:rsidR="00112D15" w:rsidRPr="004379AA">
        <w:rPr>
          <w:rFonts w:ascii="Arial" w:eastAsia="Times New Roman" w:hAnsi="Arial" w:cs="Arial"/>
          <w:bCs/>
          <w:kern w:val="36"/>
          <w:lang w:eastAsia="en-GB"/>
        </w:rPr>
        <w:t xml:space="preserve">December 2017 </w:t>
      </w:r>
      <w:r w:rsidRPr="004379AA">
        <w:rPr>
          <w:rFonts w:ascii="Arial" w:eastAsia="Times New Roman" w:hAnsi="Arial" w:cs="Arial"/>
          <w:bCs/>
          <w:kern w:val="36"/>
          <w:lang w:eastAsia="en-GB"/>
        </w:rPr>
        <w:t xml:space="preserve">regulations and notices, the constitutional challenge and the review were </w:t>
      </w:r>
      <w:r w:rsidR="00112D15" w:rsidRPr="004379AA">
        <w:rPr>
          <w:rFonts w:ascii="Arial" w:eastAsia="Times New Roman" w:hAnsi="Arial" w:cs="Arial"/>
          <w:bCs/>
          <w:kern w:val="36"/>
          <w:lang w:eastAsia="en-GB"/>
        </w:rPr>
        <w:t xml:space="preserve">already </w:t>
      </w:r>
      <w:r w:rsidRPr="004379AA">
        <w:rPr>
          <w:rFonts w:ascii="Arial" w:eastAsia="Times New Roman" w:hAnsi="Arial" w:cs="Arial"/>
          <w:bCs/>
          <w:kern w:val="36"/>
          <w:lang w:eastAsia="en-GB"/>
        </w:rPr>
        <w:t>pending and that made the relief the</w:t>
      </w:r>
      <w:r w:rsidR="00112D15" w:rsidRPr="004379AA">
        <w:rPr>
          <w:rFonts w:ascii="Arial" w:eastAsia="Times New Roman" w:hAnsi="Arial" w:cs="Arial"/>
          <w:bCs/>
          <w:kern w:val="36"/>
          <w:lang w:eastAsia="en-GB"/>
        </w:rPr>
        <w:t xml:space="preserve"> appellants</w:t>
      </w:r>
      <w:r w:rsidRPr="004379AA">
        <w:rPr>
          <w:rFonts w:ascii="Arial" w:eastAsia="Times New Roman" w:hAnsi="Arial" w:cs="Arial"/>
          <w:bCs/>
          <w:kern w:val="36"/>
          <w:lang w:eastAsia="en-GB"/>
        </w:rPr>
        <w:t xml:space="preserve"> s</w:t>
      </w:r>
      <w:r w:rsidR="00112D15" w:rsidRPr="004379AA">
        <w:rPr>
          <w:rFonts w:ascii="Arial" w:eastAsia="Times New Roman" w:hAnsi="Arial" w:cs="Arial"/>
          <w:bCs/>
          <w:kern w:val="36"/>
          <w:lang w:eastAsia="en-GB"/>
        </w:rPr>
        <w:t>eek</w:t>
      </w:r>
      <w:r w:rsidRPr="004379AA">
        <w:rPr>
          <w:rFonts w:ascii="Arial" w:eastAsia="Times New Roman" w:hAnsi="Arial" w:cs="Arial"/>
          <w:bCs/>
          <w:kern w:val="36"/>
          <w:lang w:eastAsia="en-GB"/>
        </w:rPr>
        <w:t xml:space="preserve"> inappropriate. The respondents assert </w:t>
      </w:r>
      <w:r w:rsidR="00112D15" w:rsidRPr="004379AA">
        <w:rPr>
          <w:rFonts w:ascii="Arial" w:eastAsia="Times New Roman" w:hAnsi="Arial" w:cs="Arial"/>
          <w:bCs/>
          <w:kern w:val="36"/>
          <w:lang w:eastAsia="en-GB"/>
        </w:rPr>
        <w:t xml:space="preserve">further </w:t>
      </w:r>
      <w:r w:rsidRPr="004379AA">
        <w:rPr>
          <w:rFonts w:ascii="Arial" w:eastAsia="Times New Roman" w:hAnsi="Arial" w:cs="Arial"/>
          <w:bCs/>
          <w:kern w:val="36"/>
          <w:lang w:eastAsia="en-GB"/>
        </w:rPr>
        <w:t xml:space="preserve">that </w:t>
      </w:r>
      <w:r w:rsidR="00277824" w:rsidRPr="004379AA">
        <w:rPr>
          <w:rFonts w:ascii="Arial" w:eastAsia="Times New Roman" w:hAnsi="Arial" w:cs="Arial"/>
          <w:bCs/>
          <w:kern w:val="36"/>
          <w:lang w:eastAsia="en-GB"/>
        </w:rPr>
        <w:t xml:space="preserve">the reliance on the 1999 judgement of the High Court is not a good one because that court incorrectly applied the test for the constitutional invalidity of the </w:t>
      </w:r>
      <w:r w:rsidR="00112D15" w:rsidRPr="004379AA">
        <w:rPr>
          <w:rFonts w:ascii="Arial" w:eastAsia="Times New Roman" w:hAnsi="Arial" w:cs="Arial"/>
          <w:bCs/>
          <w:kern w:val="36"/>
          <w:lang w:eastAsia="en-GB"/>
        </w:rPr>
        <w:t>NNRCA</w:t>
      </w:r>
      <w:r w:rsidR="00277824" w:rsidRPr="004379AA">
        <w:rPr>
          <w:rFonts w:ascii="Arial" w:eastAsia="Times New Roman" w:hAnsi="Arial" w:cs="Arial"/>
          <w:bCs/>
          <w:kern w:val="36"/>
          <w:lang w:eastAsia="en-GB"/>
        </w:rPr>
        <w:t xml:space="preserve">. The respondents argued that since they had invoked the constitutional challenge and the review as a collateral challenge to the enforcement application, the court must determine the merits of the challenge and find that the NNRCA and the December 2017 regulations and notices are bad in law and therefore unenforceable. </w:t>
      </w:r>
    </w:p>
    <w:p w14:paraId="28E465CD" w14:textId="77777777" w:rsidR="00370B4B" w:rsidRPr="004379AA" w:rsidRDefault="00370B4B" w:rsidP="001751A1">
      <w:pPr>
        <w:pStyle w:val="ListParagraph"/>
        <w:spacing w:line="480" w:lineRule="auto"/>
        <w:rPr>
          <w:rFonts w:ascii="Arial" w:eastAsia="Times New Roman" w:hAnsi="Arial" w:cs="Arial"/>
          <w:bCs/>
          <w:kern w:val="36"/>
          <w:lang w:eastAsia="en-GB"/>
        </w:rPr>
      </w:pPr>
    </w:p>
    <w:p w14:paraId="497A975A" w14:textId="77777777" w:rsidR="00370B4B" w:rsidRPr="00152C90" w:rsidRDefault="00277824"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respondents also </w:t>
      </w:r>
      <w:r w:rsidR="004160DB" w:rsidRPr="004379AA">
        <w:rPr>
          <w:rFonts w:ascii="Arial" w:eastAsia="Times New Roman" w:hAnsi="Arial" w:cs="Arial"/>
          <w:bCs/>
          <w:kern w:val="36"/>
          <w:lang w:eastAsia="en-GB"/>
        </w:rPr>
        <w:t>submitted</w:t>
      </w:r>
      <w:r w:rsidR="008E6CB4" w:rsidRPr="004379AA">
        <w:rPr>
          <w:rFonts w:ascii="Arial" w:eastAsia="Times New Roman" w:hAnsi="Arial" w:cs="Arial"/>
          <w:bCs/>
          <w:kern w:val="36"/>
          <w:lang w:eastAsia="en-GB"/>
        </w:rPr>
        <w:t xml:space="preserve"> that s 42</w:t>
      </w:r>
      <w:r w:rsidRPr="004379AA">
        <w:rPr>
          <w:rFonts w:ascii="Arial" w:eastAsia="Times New Roman" w:hAnsi="Arial" w:cs="Arial"/>
          <w:bCs/>
          <w:kern w:val="36"/>
          <w:lang w:eastAsia="en-GB"/>
        </w:rPr>
        <w:t xml:space="preserve"> of the NNRCA affords the appellants an enforcement avenue and that the relief they seek </w:t>
      </w:r>
      <w:r w:rsidR="00244CB2" w:rsidRPr="004379AA">
        <w:rPr>
          <w:rFonts w:ascii="Arial" w:eastAsia="Times New Roman" w:hAnsi="Arial" w:cs="Arial"/>
          <w:bCs/>
          <w:kern w:val="36"/>
          <w:lang w:eastAsia="en-GB"/>
        </w:rPr>
        <w:t>is not appropriate</w:t>
      </w:r>
      <w:r w:rsidRPr="004379AA">
        <w:rPr>
          <w:rFonts w:ascii="Arial" w:eastAsia="Times New Roman" w:hAnsi="Arial" w:cs="Arial"/>
          <w:bCs/>
          <w:kern w:val="36"/>
          <w:lang w:eastAsia="en-GB"/>
        </w:rPr>
        <w:t xml:space="preserve"> in the circumstances. On behalf of the Trustco respondents it </w:t>
      </w:r>
      <w:r w:rsidR="004160DB" w:rsidRPr="004379AA">
        <w:rPr>
          <w:rFonts w:ascii="Arial" w:eastAsia="Times New Roman" w:hAnsi="Arial" w:cs="Arial"/>
          <w:bCs/>
          <w:kern w:val="36"/>
          <w:lang w:eastAsia="en-GB"/>
        </w:rPr>
        <w:t>w</w:t>
      </w:r>
      <w:r w:rsidRPr="004379AA">
        <w:rPr>
          <w:rFonts w:ascii="Arial" w:eastAsia="Times New Roman" w:hAnsi="Arial" w:cs="Arial"/>
          <w:bCs/>
          <w:kern w:val="36"/>
          <w:lang w:eastAsia="en-GB"/>
        </w:rPr>
        <w:t xml:space="preserve">as argued that the mischief sought to be redressed through the </w:t>
      </w:r>
      <w:r w:rsidR="004160DB" w:rsidRPr="004379AA">
        <w:rPr>
          <w:rFonts w:ascii="Arial" w:eastAsia="Times New Roman" w:hAnsi="Arial" w:cs="Arial"/>
          <w:bCs/>
          <w:kern w:val="36"/>
          <w:lang w:eastAsia="en-GB"/>
        </w:rPr>
        <w:t xml:space="preserve">December 2017 </w:t>
      </w:r>
      <w:r w:rsidRPr="004379AA">
        <w:rPr>
          <w:rFonts w:ascii="Arial" w:eastAsia="Times New Roman" w:hAnsi="Arial" w:cs="Arial"/>
          <w:bCs/>
          <w:kern w:val="36"/>
          <w:lang w:eastAsia="en-GB"/>
        </w:rPr>
        <w:t>regulations and the notices does not apply to those respondents because they do not place any insurance business outside Namibia.</w:t>
      </w:r>
    </w:p>
    <w:p w14:paraId="55D6A830" w14:textId="77777777" w:rsidR="00152C90" w:rsidRPr="004379AA" w:rsidRDefault="00152C90" w:rsidP="001751A1">
      <w:pPr>
        <w:tabs>
          <w:tab w:val="left" w:pos="851"/>
        </w:tabs>
        <w:spacing w:line="480" w:lineRule="auto"/>
        <w:contextualSpacing/>
        <w:jc w:val="both"/>
        <w:rPr>
          <w:rFonts w:ascii="Arial" w:hAnsi="Arial" w:cs="Arial"/>
        </w:rPr>
      </w:pPr>
    </w:p>
    <w:p w14:paraId="269B0B3B" w14:textId="77777777" w:rsidR="00370B4B" w:rsidRPr="004379AA" w:rsidRDefault="00FE7EF3" w:rsidP="001751A1">
      <w:pPr>
        <w:tabs>
          <w:tab w:val="left" w:pos="851"/>
        </w:tabs>
        <w:spacing w:after="160" w:line="480" w:lineRule="auto"/>
        <w:contextualSpacing/>
        <w:jc w:val="both"/>
        <w:rPr>
          <w:rFonts w:ascii="Arial" w:hAnsi="Arial" w:cs="Arial"/>
        </w:rPr>
      </w:pPr>
      <w:r w:rsidRPr="004379AA">
        <w:rPr>
          <w:rFonts w:ascii="Arial" w:eastAsia="Times New Roman" w:hAnsi="Arial" w:cs="Arial"/>
          <w:bCs/>
          <w:kern w:val="36"/>
          <w:u w:val="single"/>
          <w:lang w:eastAsia="en-GB"/>
        </w:rPr>
        <w:t>Discussion</w:t>
      </w:r>
    </w:p>
    <w:p w14:paraId="6EE1C517" w14:textId="77777777" w:rsidR="00365647" w:rsidRPr="004379AA" w:rsidRDefault="00EB6292"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The first issue we have to resol</w:t>
      </w:r>
      <w:r w:rsidR="00244CB2" w:rsidRPr="004379AA">
        <w:rPr>
          <w:rFonts w:ascii="Arial" w:eastAsia="Times New Roman" w:hAnsi="Arial" w:cs="Arial"/>
          <w:bCs/>
          <w:kern w:val="36"/>
          <w:lang w:eastAsia="en-GB"/>
        </w:rPr>
        <w:t>ve on this appeal is whether a</w:t>
      </w:r>
      <w:r w:rsidRPr="004379AA">
        <w:rPr>
          <w:rFonts w:ascii="Arial" w:eastAsia="Times New Roman" w:hAnsi="Arial" w:cs="Arial"/>
          <w:bCs/>
          <w:kern w:val="36"/>
          <w:lang w:eastAsia="en-GB"/>
        </w:rPr>
        <w:t xml:space="preserve"> declaration is an appropriate remedy on the facts before us. In that respect, we have to consider the respondents’ claim that the facts they have presented make that remedy inappropriate. </w:t>
      </w:r>
      <w:r w:rsidR="004C5A7E" w:rsidRPr="004379AA">
        <w:rPr>
          <w:rFonts w:ascii="Arial" w:eastAsia="Times New Roman" w:hAnsi="Arial" w:cs="Arial"/>
          <w:bCs/>
          <w:kern w:val="36"/>
          <w:lang w:eastAsia="en-GB"/>
        </w:rPr>
        <w:lastRenderedPageBreak/>
        <w:t>But it</w:t>
      </w:r>
      <w:r w:rsidRPr="004379AA">
        <w:rPr>
          <w:rFonts w:ascii="Arial" w:eastAsia="Times New Roman" w:hAnsi="Arial" w:cs="Arial"/>
          <w:bCs/>
          <w:kern w:val="36"/>
          <w:lang w:eastAsia="en-GB"/>
        </w:rPr>
        <w:t xml:space="preserve"> is necessary that I first discuss the nature of the remedy in our </w:t>
      </w:r>
      <w:r w:rsidR="00D56862" w:rsidRPr="004379AA">
        <w:rPr>
          <w:rFonts w:ascii="Arial" w:eastAsia="Times New Roman" w:hAnsi="Arial" w:cs="Arial"/>
          <w:bCs/>
          <w:kern w:val="36"/>
          <w:lang w:eastAsia="en-GB"/>
        </w:rPr>
        <w:t xml:space="preserve">and South African </w:t>
      </w:r>
      <w:r w:rsidRPr="004379AA">
        <w:rPr>
          <w:rFonts w:ascii="Arial" w:eastAsia="Times New Roman" w:hAnsi="Arial" w:cs="Arial"/>
          <w:bCs/>
          <w:kern w:val="36"/>
          <w:lang w:eastAsia="en-GB"/>
        </w:rPr>
        <w:t>law which is on all fours with the approach of the English courts. According to De Smith</w:t>
      </w:r>
      <w:r w:rsidR="00BB1A7D" w:rsidRPr="004379AA">
        <w:rPr>
          <w:rStyle w:val="FootnoteReference"/>
          <w:rFonts w:ascii="Arial" w:eastAsia="Times New Roman" w:hAnsi="Arial" w:cs="Arial"/>
          <w:bCs/>
          <w:kern w:val="36"/>
          <w:lang w:eastAsia="en-GB"/>
        </w:rPr>
        <w:footnoteReference w:id="8"/>
      </w:r>
      <w:r w:rsidRPr="004379AA">
        <w:rPr>
          <w:rFonts w:ascii="Arial" w:eastAsia="Times New Roman" w:hAnsi="Arial" w:cs="Arial"/>
          <w:bCs/>
          <w:kern w:val="36"/>
          <w:lang w:eastAsia="en-GB"/>
        </w:rPr>
        <w:t>:</w:t>
      </w:r>
    </w:p>
    <w:p w14:paraId="191E3DBD" w14:textId="77777777" w:rsidR="00365647" w:rsidRPr="004379AA" w:rsidRDefault="00365647" w:rsidP="001751A1">
      <w:pPr>
        <w:tabs>
          <w:tab w:val="left" w:pos="851"/>
        </w:tabs>
        <w:spacing w:line="360" w:lineRule="auto"/>
        <w:contextualSpacing/>
        <w:jc w:val="both"/>
        <w:rPr>
          <w:rFonts w:ascii="Arial" w:eastAsia="Times New Roman" w:hAnsi="Arial" w:cs="Arial"/>
          <w:bCs/>
          <w:kern w:val="36"/>
          <w:lang w:eastAsia="en-GB"/>
        </w:rPr>
      </w:pPr>
    </w:p>
    <w:p w14:paraId="455A7A26" w14:textId="77777777" w:rsidR="00365647" w:rsidRDefault="00365647" w:rsidP="001751A1">
      <w:pPr>
        <w:spacing w:line="360" w:lineRule="auto"/>
        <w:ind w:left="851"/>
        <w:jc w:val="both"/>
        <w:outlineLvl w:val="0"/>
        <w:rPr>
          <w:rFonts w:ascii="Arial" w:eastAsia="Times New Roman" w:hAnsi="Arial" w:cs="Arial"/>
          <w:bCs/>
          <w:kern w:val="36"/>
          <w:lang w:eastAsia="en-GB"/>
        </w:rPr>
      </w:pPr>
      <w:r w:rsidRPr="004379AA">
        <w:rPr>
          <w:rFonts w:ascii="Arial" w:eastAsia="Times New Roman" w:hAnsi="Arial" w:cs="Arial"/>
          <w:bCs/>
          <w:kern w:val="36"/>
          <w:sz w:val="22"/>
          <w:szCs w:val="22"/>
          <w:lang w:eastAsia="en-GB"/>
        </w:rPr>
        <w:t>‘A declaration is a formal statement by the court pronouncing upon the existence or non-existence of a legal state of affairs. It declares what the legal position is and what are the rights of the parties. A declaration is to be contrasted with an executory…coercive judgment which can be enforced by the courts. In the case of an executory judgment, the courts determine the respective rights of the parties and then order the defendant to act in a certain way, for example to pay damages or to refrain from interfering with the claimant’s rights. If the order is disregarded, it can be enforced by official action, usually by levying execution against the defendant’s property or by imprisoning him for contempt of court. A declaration, on the other hand, pronounces upon the existence of a legal relationship but does not contain any order which can be enforced against the defendant.</w:t>
      </w:r>
      <w:r w:rsidRPr="004379AA">
        <w:rPr>
          <w:rFonts w:ascii="Arial" w:eastAsia="Times New Roman" w:hAnsi="Arial" w:cs="Arial"/>
          <w:bCs/>
          <w:kern w:val="36"/>
          <w:lang w:eastAsia="en-GB"/>
        </w:rPr>
        <w:t>’ (Footnotes omitted).</w:t>
      </w:r>
    </w:p>
    <w:p w14:paraId="7D26F656" w14:textId="77777777" w:rsidR="001C0B8F" w:rsidRPr="004379AA" w:rsidRDefault="001C0B8F" w:rsidP="001C0B8F">
      <w:pPr>
        <w:spacing w:line="480" w:lineRule="auto"/>
        <w:jc w:val="both"/>
        <w:outlineLvl w:val="0"/>
        <w:rPr>
          <w:rFonts w:ascii="Arial" w:eastAsia="Times New Roman" w:hAnsi="Arial" w:cs="Arial"/>
          <w:bCs/>
          <w:kern w:val="36"/>
          <w:lang w:eastAsia="en-GB"/>
        </w:rPr>
      </w:pPr>
    </w:p>
    <w:p w14:paraId="58776DE5" w14:textId="270BA0AE" w:rsidR="00365647" w:rsidRPr="004379AA" w:rsidRDefault="00D56862"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The remedy was also considered by the </w:t>
      </w:r>
      <w:r w:rsidR="004160DB" w:rsidRPr="004379AA">
        <w:rPr>
          <w:rFonts w:ascii="Arial" w:eastAsia="Times New Roman" w:hAnsi="Arial" w:cs="Arial"/>
          <w:bCs/>
          <w:kern w:val="36"/>
          <w:lang w:eastAsia="en-GB"/>
        </w:rPr>
        <w:t xml:space="preserve">South African </w:t>
      </w:r>
      <w:r w:rsidRPr="004379AA">
        <w:rPr>
          <w:rFonts w:ascii="Arial" w:eastAsia="Times New Roman" w:hAnsi="Arial" w:cs="Arial"/>
          <w:bCs/>
          <w:kern w:val="36"/>
          <w:lang w:eastAsia="en-GB"/>
        </w:rPr>
        <w:t xml:space="preserve">Constitutional Court in </w:t>
      </w:r>
      <w:r w:rsidRPr="004379AA">
        <w:rPr>
          <w:rFonts w:ascii="Arial" w:eastAsia="Times New Roman" w:hAnsi="Arial" w:cs="Arial"/>
          <w:bCs/>
          <w:i/>
          <w:kern w:val="36"/>
          <w:lang w:eastAsia="en-GB"/>
        </w:rPr>
        <w:t xml:space="preserve">Rail Commuters </w:t>
      </w:r>
      <w:r w:rsidR="002D15AE" w:rsidRPr="004379AA">
        <w:rPr>
          <w:rFonts w:ascii="Arial" w:eastAsia="Times New Roman" w:hAnsi="Arial" w:cs="Arial"/>
          <w:bCs/>
          <w:i/>
          <w:kern w:val="36"/>
          <w:lang w:eastAsia="en-GB"/>
        </w:rPr>
        <w:t xml:space="preserve">Action Group v Transnet Ltd </w:t>
      </w:r>
      <w:r w:rsidR="00715CDA">
        <w:rPr>
          <w:rFonts w:ascii="Arial" w:eastAsia="Times New Roman" w:hAnsi="Arial" w:cs="Arial"/>
          <w:bCs/>
          <w:i/>
          <w:kern w:val="36"/>
          <w:lang w:eastAsia="en-GB"/>
        </w:rPr>
        <w:t>t/a Metrorail and o</w:t>
      </w:r>
      <w:r w:rsidR="00F92B2D" w:rsidRPr="004379AA">
        <w:rPr>
          <w:rFonts w:ascii="Arial" w:eastAsia="Times New Roman" w:hAnsi="Arial" w:cs="Arial"/>
          <w:bCs/>
          <w:i/>
          <w:kern w:val="36"/>
          <w:lang w:eastAsia="en-GB"/>
        </w:rPr>
        <w:t>thers</w:t>
      </w:r>
      <w:r w:rsidR="00D7175E">
        <w:rPr>
          <w:rFonts w:ascii="Arial" w:eastAsia="Times New Roman" w:hAnsi="Arial" w:cs="Arial"/>
          <w:bCs/>
          <w:i/>
          <w:kern w:val="36"/>
          <w:lang w:eastAsia="en-GB"/>
        </w:rPr>
        <w:t>.</w:t>
      </w:r>
      <w:r w:rsidRPr="004379AA">
        <w:rPr>
          <w:rStyle w:val="FootnoteReference"/>
          <w:rFonts w:ascii="Arial" w:eastAsia="Times New Roman" w:hAnsi="Arial" w:cs="Arial"/>
          <w:bCs/>
          <w:kern w:val="36"/>
          <w:lang w:eastAsia="en-GB"/>
        </w:rPr>
        <w:footnoteReference w:id="9"/>
      </w:r>
      <w:r w:rsidR="00F92B2D" w:rsidRPr="004379AA">
        <w:rPr>
          <w:rFonts w:ascii="Arial" w:eastAsia="Times New Roman" w:hAnsi="Arial" w:cs="Arial"/>
          <w:bCs/>
          <w:i/>
          <w:kern w:val="36"/>
          <w:lang w:eastAsia="en-GB"/>
        </w:rPr>
        <w:t xml:space="preserve"> </w:t>
      </w:r>
      <w:r w:rsidR="00F92B2D" w:rsidRPr="004379AA">
        <w:rPr>
          <w:rFonts w:ascii="Arial" w:eastAsia="Times New Roman" w:hAnsi="Arial" w:cs="Arial"/>
          <w:bCs/>
          <w:kern w:val="36"/>
          <w:lang w:eastAsia="en-GB"/>
        </w:rPr>
        <w:t xml:space="preserve">The court in that case distinguished a declaratory order envisaged under the </w:t>
      </w:r>
      <w:r w:rsidR="004C5A7E" w:rsidRPr="004379AA">
        <w:rPr>
          <w:rFonts w:ascii="Arial" w:eastAsia="Times New Roman" w:hAnsi="Arial" w:cs="Arial"/>
          <w:bCs/>
          <w:kern w:val="36"/>
          <w:lang w:eastAsia="en-GB"/>
        </w:rPr>
        <w:t>South African C</w:t>
      </w:r>
      <w:r w:rsidR="00F92B2D" w:rsidRPr="004379AA">
        <w:rPr>
          <w:rFonts w:ascii="Arial" w:eastAsia="Times New Roman" w:hAnsi="Arial" w:cs="Arial"/>
          <w:bCs/>
          <w:kern w:val="36"/>
          <w:lang w:eastAsia="en-GB"/>
        </w:rPr>
        <w:t xml:space="preserve">onstitution from one under the common law. A declarator under the Constitution can, because of its special nature aimed at </w:t>
      </w:r>
      <w:r w:rsidR="00BD0328" w:rsidRPr="004379AA">
        <w:rPr>
          <w:rFonts w:ascii="Arial" w:eastAsia="Times New Roman" w:hAnsi="Arial" w:cs="Arial"/>
          <w:bCs/>
          <w:kern w:val="36"/>
          <w:lang w:eastAsia="en-GB"/>
        </w:rPr>
        <w:t>declaration of constitutional inconsistency</w:t>
      </w:r>
      <w:r w:rsidR="00BD0328" w:rsidRPr="004379AA">
        <w:rPr>
          <w:rStyle w:val="FootnoteReference"/>
          <w:rFonts w:ascii="Arial" w:eastAsia="Times New Roman" w:hAnsi="Arial" w:cs="Arial"/>
          <w:bCs/>
          <w:kern w:val="36"/>
          <w:lang w:eastAsia="en-GB"/>
        </w:rPr>
        <w:footnoteReference w:id="10"/>
      </w:r>
      <w:r w:rsidR="004C5A7E" w:rsidRPr="004379AA">
        <w:rPr>
          <w:rFonts w:ascii="Arial" w:eastAsia="Times New Roman" w:hAnsi="Arial" w:cs="Arial"/>
          <w:bCs/>
          <w:kern w:val="36"/>
          <w:lang w:eastAsia="en-GB"/>
        </w:rPr>
        <w:t>,</w:t>
      </w:r>
      <w:r w:rsidR="00BD0328" w:rsidRPr="004379AA">
        <w:rPr>
          <w:rFonts w:ascii="Arial" w:eastAsia="Times New Roman" w:hAnsi="Arial" w:cs="Arial"/>
          <w:bCs/>
          <w:kern w:val="36"/>
          <w:lang w:eastAsia="en-GB"/>
        </w:rPr>
        <w:t xml:space="preserve"> and the </w:t>
      </w:r>
      <w:r w:rsidR="00F92B2D" w:rsidRPr="004379AA">
        <w:rPr>
          <w:rFonts w:ascii="Arial" w:eastAsia="Times New Roman" w:hAnsi="Arial" w:cs="Arial"/>
          <w:bCs/>
          <w:kern w:val="36"/>
          <w:lang w:eastAsia="en-GB"/>
        </w:rPr>
        <w:t>enforcement of constitutionally protected rights</w:t>
      </w:r>
      <w:r w:rsidR="00BD0328" w:rsidRPr="004379AA">
        <w:rPr>
          <w:rStyle w:val="FootnoteReference"/>
          <w:rFonts w:ascii="Arial" w:eastAsia="Times New Roman" w:hAnsi="Arial" w:cs="Arial"/>
          <w:bCs/>
          <w:kern w:val="36"/>
          <w:lang w:eastAsia="en-GB"/>
        </w:rPr>
        <w:footnoteReference w:id="11"/>
      </w:r>
      <w:r w:rsidR="00BD0328" w:rsidRPr="004379AA">
        <w:rPr>
          <w:rFonts w:ascii="Arial" w:eastAsia="Times New Roman" w:hAnsi="Arial" w:cs="Arial"/>
          <w:bCs/>
          <w:kern w:val="36"/>
          <w:lang w:eastAsia="en-GB"/>
        </w:rPr>
        <w:t>,</w:t>
      </w:r>
      <w:r w:rsidR="00F92B2D" w:rsidRPr="004379AA">
        <w:rPr>
          <w:rFonts w:ascii="Arial" w:eastAsia="Times New Roman" w:hAnsi="Arial" w:cs="Arial"/>
          <w:bCs/>
          <w:kern w:val="36"/>
          <w:lang w:eastAsia="en-GB"/>
        </w:rPr>
        <w:t xml:space="preserve"> be </w:t>
      </w:r>
      <w:r w:rsidR="00BD0328" w:rsidRPr="004379AA">
        <w:rPr>
          <w:rFonts w:ascii="Arial" w:eastAsia="Times New Roman" w:hAnsi="Arial" w:cs="Arial"/>
          <w:bCs/>
          <w:kern w:val="36"/>
          <w:lang w:eastAsia="en-GB"/>
        </w:rPr>
        <w:t>accompanied by mandatory or prohibitory relief</w:t>
      </w:r>
      <w:r w:rsidR="00D7175E">
        <w:rPr>
          <w:rFonts w:ascii="Arial" w:eastAsia="Times New Roman" w:hAnsi="Arial" w:cs="Arial"/>
          <w:bCs/>
          <w:kern w:val="36"/>
          <w:lang w:eastAsia="en-GB"/>
        </w:rPr>
        <w:t>.</w:t>
      </w:r>
      <w:r w:rsidR="005A12B5" w:rsidRPr="004379AA">
        <w:rPr>
          <w:rStyle w:val="FootnoteReference"/>
          <w:rFonts w:ascii="Arial" w:eastAsia="Times New Roman" w:hAnsi="Arial" w:cs="Arial"/>
          <w:bCs/>
          <w:kern w:val="36"/>
          <w:lang w:eastAsia="en-GB"/>
        </w:rPr>
        <w:footnoteReference w:id="12"/>
      </w:r>
      <w:r w:rsidR="00BD0328" w:rsidRPr="004379AA">
        <w:rPr>
          <w:rFonts w:ascii="Arial" w:eastAsia="Times New Roman" w:hAnsi="Arial" w:cs="Arial"/>
          <w:bCs/>
          <w:kern w:val="36"/>
          <w:lang w:eastAsia="en-GB"/>
        </w:rPr>
        <w:t xml:space="preserve"> What is clear though is th</w:t>
      </w:r>
      <w:r w:rsidR="004C5A7E" w:rsidRPr="004379AA">
        <w:rPr>
          <w:rFonts w:ascii="Arial" w:eastAsia="Times New Roman" w:hAnsi="Arial" w:cs="Arial"/>
          <w:bCs/>
          <w:kern w:val="36"/>
          <w:lang w:eastAsia="en-GB"/>
        </w:rPr>
        <w:t>e</w:t>
      </w:r>
      <w:r w:rsidR="00BD0328" w:rsidRPr="004379AA">
        <w:rPr>
          <w:rFonts w:ascii="Arial" w:eastAsia="Times New Roman" w:hAnsi="Arial" w:cs="Arial"/>
          <w:bCs/>
          <w:kern w:val="36"/>
          <w:lang w:eastAsia="en-GB"/>
        </w:rPr>
        <w:t xml:space="preserve"> ordinarily non-coercive nature of a declarator. As O’Regan J put it at para </w:t>
      </w:r>
      <w:r w:rsidR="004C5A7E" w:rsidRPr="004379AA">
        <w:rPr>
          <w:rFonts w:ascii="Arial" w:eastAsia="Times New Roman" w:hAnsi="Arial" w:cs="Arial"/>
          <w:bCs/>
          <w:kern w:val="36"/>
          <w:lang w:eastAsia="en-GB"/>
        </w:rPr>
        <w:t>[</w:t>
      </w:r>
      <w:r w:rsidR="00BD0328" w:rsidRPr="004379AA">
        <w:rPr>
          <w:rFonts w:ascii="Arial" w:eastAsia="Times New Roman" w:hAnsi="Arial" w:cs="Arial"/>
          <w:bCs/>
          <w:kern w:val="36"/>
          <w:lang w:eastAsia="en-GB"/>
        </w:rPr>
        <w:t>108</w:t>
      </w:r>
      <w:r w:rsidR="004C5A7E" w:rsidRPr="004379AA">
        <w:rPr>
          <w:rFonts w:ascii="Arial" w:eastAsia="Times New Roman" w:hAnsi="Arial" w:cs="Arial"/>
          <w:bCs/>
          <w:kern w:val="36"/>
          <w:lang w:eastAsia="en-GB"/>
        </w:rPr>
        <w:t>]</w:t>
      </w:r>
      <w:r w:rsidR="00BD0328" w:rsidRPr="004379AA">
        <w:rPr>
          <w:rFonts w:ascii="Arial" w:eastAsia="Times New Roman" w:hAnsi="Arial" w:cs="Arial"/>
          <w:bCs/>
          <w:kern w:val="36"/>
          <w:lang w:eastAsia="en-GB"/>
        </w:rPr>
        <w:t>:</w:t>
      </w:r>
    </w:p>
    <w:p w14:paraId="6F435EEA" w14:textId="77777777" w:rsidR="00365647" w:rsidRPr="004379AA" w:rsidRDefault="00365647" w:rsidP="001751A1">
      <w:pPr>
        <w:tabs>
          <w:tab w:val="left" w:pos="851"/>
        </w:tabs>
        <w:spacing w:line="360" w:lineRule="auto"/>
        <w:contextualSpacing/>
        <w:jc w:val="both"/>
        <w:rPr>
          <w:rFonts w:ascii="Arial" w:eastAsia="Times New Roman" w:hAnsi="Arial" w:cs="Arial"/>
          <w:bCs/>
          <w:kern w:val="36"/>
          <w:lang w:eastAsia="en-GB"/>
        </w:rPr>
      </w:pPr>
    </w:p>
    <w:p w14:paraId="4B42A1E9" w14:textId="59DF6E51" w:rsidR="00365647" w:rsidRPr="004379AA" w:rsidRDefault="00365647" w:rsidP="001751A1">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lastRenderedPageBreak/>
        <w:t xml:space="preserve">‘It should also be borne in mind that declaratory relief is of particular value in a constitutional democracy </w:t>
      </w:r>
      <w:r w:rsidRPr="004379AA">
        <w:rPr>
          <w:rFonts w:ascii="Arial" w:eastAsia="Times New Roman" w:hAnsi="Arial" w:cs="Arial"/>
          <w:bCs/>
          <w:kern w:val="36"/>
          <w:sz w:val="22"/>
          <w:szCs w:val="22"/>
          <w:u w:val="single"/>
          <w:lang w:eastAsia="en-GB"/>
        </w:rPr>
        <w:t>which enables courts to declare the law</w:t>
      </w:r>
      <w:r w:rsidRPr="004379AA">
        <w:rPr>
          <w:rFonts w:ascii="Arial" w:eastAsia="Times New Roman" w:hAnsi="Arial" w:cs="Arial"/>
          <w:bCs/>
          <w:kern w:val="36"/>
          <w:sz w:val="22"/>
          <w:szCs w:val="22"/>
          <w:lang w:eastAsia="en-GB"/>
        </w:rPr>
        <w:t xml:space="preserve">, on the one hand, but leave it to the other arms of government, the executive and the legislature, the decision as to how best the law, </w:t>
      </w:r>
      <w:r w:rsidRPr="004379AA">
        <w:rPr>
          <w:rFonts w:ascii="Arial" w:eastAsia="Times New Roman" w:hAnsi="Arial" w:cs="Arial"/>
          <w:bCs/>
          <w:kern w:val="36"/>
          <w:sz w:val="22"/>
          <w:szCs w:val="22"/>
          <w:u w:val="single"/>
          <w:lang w:eastAsia="en-GB"/>
        </w:rPr>
        <w:t>once stated</w:t>
      </w:r>
      <w:r w:rsidRPr="004379AA">
        <w:rPr>
          <w:rFonts w:ascii="Arial" w:eastAsia="Times New Roman" w:hAnsi="Arial" w:cs="Arial"/>
          <w:bCs/>
          <w:kern w:val="36"/>
          <w:sz w:val="22"/>
          <w:szCs w:val="22"/>
          <w:lang w:eastAsia="en-GB"/>
        </w:rPr>
        <w:t>, should be observed.’ (Underlined for emphasis).’</w:t>
      </w:r>
    </w:p>
    <w:p w14:paraId="5411D5C4" w14:textId="77777777" w:rsidR="00365647" w:rsidRPr="004379AA" w:rsidRDefault="00365647" w:rsidP="001751A1">
      <w:pPr>
        <w:tabs>
          <w:tab w:val="left" w:pos="851"/>
        </w:tabs>
        <w:spacing w:line="480" w:lineRule="auto"/>
        <w:contextualSpacing/>
        <w:jc w:val="both"/>
        <w:rPr>
          <w:rFonts w:ascii="Arial" w:hAnsi="Arial" w:cs="Arial"/>
        </w:rPr>
      </w:pPr>
    </w:p>
    <w:p w14:paraId="1ACAE43F" w14:textId="77777777" w:rsidR="00365647" w:rsidRPr="004379AA" w:rsidRDefault="005A12B5"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In other words, the default </w:t>
      </w:r>
      <w:r w:rsidR="004C5A7E" w:rsidRPr="004379AA">
        <w:rPr>
          <w:rFonts w:ascii="Arial" w:eastAsia="Times New Roman" w:hAnsi="Arial" w:cs="Arial"/>
          <w:bCs/>
          <w:kern w:val="36"/>
          <w:lang w:eastAsia="en-GB"/>
        </w:rPr>
        <w:t xml:space="preserve">function of </w:t>
      </w:r>
      <w:r w:rsidRPr="004379AA">
        <w:rPr>
          <w:rFonts w:ascii="Arial" w:eastAsia="Times New Roman" w:hAnsi="Arial" w:cs="Arial"/>
          <w:bCs/>
          <w:kern w:val="36"/>
          <w:lang w:eastAsia="en-GB"/>
        </w:rPr>
        <w:t>a declarator is for the court to state the law, to declare what constitutes the law so as to remove uncertainty, to tell the parties what their respect</w:t>
      </w:r>
      <w:r w:rsidR="00EC0448" w:rsidRPr="004379AA">
        <w:rPr>
          <w:rFonts w:ascii="Arial" w:eastAsia="Times New Roman" w:hAnsi="Arial" w:cs="Arial"/>
          <w:bCs/>
          <w:kern w:val="36"/>
          <w:lang w:eastAsia="en-GB"/>
        </w:rPr>
        <w:t>ive rights and obligations are.</w:t>
      </w:r>
    </w:p>
    <w:p w14:paraId="2E57D458" w14:textId="77777777" w:rsidR="00365647" w:rsidRPr="004379AA" w:rsidRDefault="00365647" w:rsidP="001751A1">
      <w:pPr>
        <w:tabs>
          <w:tab w:val="left" w:pos="851"/>
        </w:tabs>
        <w:spacing w:line="480" w:lineRule="auto"/>
        <w:contextualSpacing/>
        <w:jc w:val="both"/>
        <w:rPr>
          <w:rFonts w:ascii="Arial" w:hAnsi="Arial" w:cs="Arial"/>
        </w:rPr>
      </w:pPr>
    </w:p>
    <w:p w14:paraId="2287BB5D" w14:textId="2D9103B3" w:rsidR="00365647" w:rsidRPr="004379AA" w:rsidRDefault="00486CFF"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 xml:space="preserve">In the enforcement application, </w:t>
      </w:r>
      <w:r w:rsidRPr="004379AA">
        <w:rPr>
          <w:rFonts w:ascii="Arial" w:eastAsia="Times New Roman" w:hAnsi="Arial" w:cs="Arial"/>
          <w:lang w:eastAsia="en-GB"/>
        </w:rPr>
        <w:t>a</w:t>
      </w:r>
      <w:r w:rsidR="000B2C64" w:rsidRPr="004379AA">
        <w:rPr>
          <w:rFonts w:ascii="Arial" w:eastAsia="Times New Roman" w:hAnsi="Arial" w:cs="Arial"/>
          <w:lang w:eastAsia="en-GB"/>
        </w:rPr>
        <w:t xml:space="preserve">lthough couched as </w:t>
      </w:r>
      <w:r w:rsidRPr="004379AA">
        <w:rPr>
          <w:rFonts w:ascii="Arial" w:eastAsia="Times New Roman" w:hAnsi="Arial" w:cs="Arial"/>
          <w:lang w:eastAsia="en-GB"/>
        </w:rPr>
        <w:t>‘</w:t>
      </w:r>
      <w:r w:rsidR="000B2C64" w:rsidRPr="004379AA">
        <w:rPr>
          <w:rFonts w:ascii="Arial" w:eastAsia="Times New Roman" w:hAnsi="Arial" w:cs="Arial"/>
          <w:lang w:eastAsia="en-GB"/>
        </w:rPr>
        <w:t>interim</w:t>
      </w:r>
      <w:r w:rsidRPr="004379AA">
        <w:rPr>
          <w:rFonts w:ascii="Arial" w:eastAsia="Times New Roman" w:hAnsi="Arial" w:cs="Arial"/>
          <w:lang w:eastAsia="en-GB"/>
        </w:rPr>
        <w:t>’ pending the finalisation of the pending proceedings</w:t>
      </w:r>
      <w:r w:rsidR="000B2C64" w:rsidRPr="004379AA">
        <w:rPr>
          <w:rFonts w:ascii="Arial" w:eastAsia="Times New Roman" w:hAnsi="Arial" w:cs="Arial"/>
          <w:lang w:eastAsia="en-GB"/>
        </w:rPr>
        <w:t xml:space="preserve">, the declarator sought </w:t>
      </w:r>
      <w:r w:rsidRPr="004379AA">
        <w:rPr>
          <w:rFonts w:ascii="Arial" w:eastAsia="Times New Roman" w:hAnsi="Arial" w:cs="Arial"/>
          <w:lang w:eastAsia="en-GB"/>
        </w:rPr>
        <w:t xml:space="preserve">by the Minister and NamibRe </w:t>
      </w:r>
      <w:r w:rsidR="000B2C64" w:rsidRPr="004379AA">
        <w:rPr>
          <w:rFonts w:ascii="Arial" w:eastAsia="Times New Roman" w:hAnsi="Arial" w:cs="Arial"/>
          <w:lang w:eastAsia="en-GB"/>
        </w:rPr>
        <w:t>is</w:t>
      </w:r>
      <w:r w:rsidR="009D0B13" w:rsidRPr="004379AA">
        <w:rPr>
          <w:rFonts w:ascii="Arial" w:eastAsia="Times New Roman" w:hAnsi="Arial" w:cs="Arial"/>
          <w:lang w:eastAsia="en-GB"/>
        </w:rPr>
        <w:t>,</w:t>
      </w:r>
      <w:r w:rsidR="000B2C64" w:rsidRPr="004379AA">
        <w:rPr>
          <w:rFonts w:ascii="Arial" w:eastAsia="Times New Roman" w:hAnsi="Arial" w:cs="Arial"/>
          <w:lang w:eastAsia="en-GB"/>
        </w:rPr>
        <w:t xml:space="preserve"> in reality</w:t>
      </w:r>
      <w:r w:rsidRPr="004379AA">
        <w:rPr>
          <w:rFonts w:ascii="Arial" w:eastAsia="Times New Roman" w:hAnsi="Arial" w:cs="Arial"/>
          <w:lang w:eastAsia="en-GB"/>
        </w:rPr>
        <w:t>,</w:t>
      </w:r>
      <w:r w:rsidR="000B2C64" w:rsidRPr="004379AA">
        <w:rPr>
          <w:rFonts w:ascii="Arial" w:eastAsia="Times New Roman" w:hAnsi="Arial" w:cs="Arial"/>
          <w:lang w:eastAsia="en-GB"/>
        </w:rPr>
        <w:t xml:space="preserve"> </w:t>
      </w:r>
      <w:r w:rsidR="00485C18" w:rsidRPr="004379AA">
        <w:rPr>
          <w:rFonts w:ascii="Arial" w:eastAsia="Times New Roman" w:hAnsi="Arial" w:cs="Arial"/>
          <w:lang w:eastAsia="en-GB"/>
        </w:rPr>
        <w:t xml:space="preserve">both </w:t>
      </w:r>
      <w:r w:rsidR="000B2C64" w:rsidRPr="004379AA">
        <w:rPr>
          <w:rFonts w:ascii="Arial" w:eastAsia="Times New Roman" w:hAnsi="Arial" w:cs="Arial"/>
          <w:lang w:eastAsia="en-GB"/>
        </w:rPr>
        <w:t xml:space="preserve">final </w:t>
      </w:r>
      <w:r w:rsidR="00485C18" w:rsidRPr="004379AA">
        <w:rPr>
          <w:rFonts w:ascii="Arial" w:eastAsia="Times New Roman" w:hAnsi="Arial" w:cs="Arial"/>
          <w:lang w:eastAsia="en-GB"/>
        </w:rPr>
        <w:t xml:space="preserve">and coercive </w:t>
      </w:r>
      <w:r w:rsidR="000B2C64" w:rsidRPr="004379AA">
        <w:rPr>
          <w:rFonts w:ascii="Arial" w:eastAsia="Times New Roman" w:hAnsi="Arial" w:cs="Arial"/>
          <w:lang w:eastAsia="en-GB"/>
        </w:rPr>
        <w:t>because it is a precursor to the inevitable incarceration of the chief executive officers cited. The threatened incarceration is not depended on the finalisation of the c</w:t>
      </w:r>
      <w:r w:rsidR="008230DB">
        <w:rPr>
          <w:rFonts w:ascii="Arial" w:eastAsia="Times New Roman" w:hAnsi="Arial" w:cs="Arial"/>
          <w:lang w:eastAsia="en-GB"/>
        </w:rPr>
        <w:t>ase although the declaration is.</w:t>
      </w:r>
      <w:r w:rsidR="000B2C64" w:rsidRPr="004379AA">
        <w:rPr>
          <w:rFonts w:ascii="Arial" w:eastAsia="Times New Roman" w:hAnsi="Arial" w:cs="Arial"/>
          <w:lang w:eastAsia="en-GB"/>
        </w:rPr>
        <w:t xml:space="preserve"> Such is the backdrop against which </w:t>
      </w:r>
      <w:r w:rsidR="00485C18" w:rsidRPr="004379AA">
        <w:rPr>
          <w:rFonts w:ascii="Arial" w:eastAsia="Times New Roman" w:hAnsi="Arial" w:cs="Arial"/>
          <w:lang w:eastAsia="en-GB"/>
        </w:rPr>
        <w:t>on this appeal we</w:t>
      </w:r>
      <w:r w:rsidR="000B2C64" w:rsidRPr="004379AA">
        <w:rPr>
          <w:rFonts w:ascii="Arial" w:eastAsia="Times New Roman" w:hAnsi="Arial" w:cs="Arial"/>
          <w:lang w:eastAsia="en-GB"/>
        </w:rPr>
        <w:t xml:space="preserve"> must consider the discretionary remedy of a declaration.</w:t>
      </w:r>
      <w:r w:rsidR="00485C18" w:rsidRPr="004379AA">
        <w:rPr>
          <w:rFonts w:ascii="Arial" w:eastAsia="Times New Roman" w:hAnsi="Arial" w:cs="Arial"/>
          <w:lang w:eastAsia="en-GB"/>
        </w:rPr>
        <w:t xml:space="preserve"> </w:t>
      </w:r>
      <w:r w:rsidR="00485C18" w:rsidRPr="004379AA">
        <w:rPr>
          <w:rFonts w:ascii="Arial" w:eastAsia="Times New Roman" w:hAnsi="Arial" w:cs="Arial"/>
          <w:bCs/>
          <w:kern w:val="36"/>
          <w:lang w:eastAsia="en-GB"/>
        </w:rPr>
        <w:t>In so doing, the question to be answered is this: In the case before us, what is the legal uncertainty to be resolved?</w:t>
      </w:r>
    </w:p>
    <w:p w14:paraId="432E911E" w14:textId="77777777" w:rsidR="00365647" w:rsidRPr="004379AA" w:rsidRDefault="00365647" w:rsidP="001751A1">
      <w:pPr>
        <w:pStyle w:val="ListParagraph"/>
        <w:spacing w:line="480" w:lineRule="auto"/>
        <w:rPr>
          <w:rFonts w:ascii="Arial" w:eastAsia="Times New Roman" w:hAnsi="Arial" w:cs="Arial"/>
          <w:bCs/>
          <w:kern w:val="36"/>
          <w:lang w:eastAsia="en-GB"/>
        </w:rPr>
      </w:pPr>
    </w:p>
    <w:p w14:paraId="02342331" w14:textId="77777777" w:rsidR="00365647" w:rsidRPr="004379AA" w:rsidRDefault="009D0B13"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bCs/>
          <w:kern w:val="36"/>
          <w:lang w:eastAsia="en-GB"/>
        </w:rPr>
        <w:t>I will demonstrate below</w:t>
      </w:r>
      <w:r w:rsidR="000A4F0C" w:rsidRPr="004379AA">
        <w:rPr>
          <w:rFonts w:ascii="Arial" w:eastAsia="Times New Roman" w:hAnsi="Arial" w:cs="Arial"/>
          <w:bCs/>
          <w:kern w:val="36"/>
          <w:lang w:eastAsia="en-GB"/>
        </w:rPr>
        <w:t xml:space="preserve"> that</w:t>
      </w:r>
      <w:r w:rsidRPr="004379AA">
        <w:rPr>
          <w:rFonts w:ascii="Arial" w:eastAsia="Times New Roman" w:hAnsi="Arial" w:cs="Arial"/>
          <w:bCs/>
          <w:kern w:val="36"/>
          <w:lang w:eastAsia="en-GB"/>
        </w:rPr>
        <w:t xml:space="preserve"> the NNRCA and the December 2017 regulations and notices are of full force and effect and the Minister must enforce it through the mechanisms avai</w:t>
      </w:r>
      <w:r w:rsidR="000A4F0C" w:rsidRPr="004379AA">
        <w:rPr>
          <w:rFonts w:ascii="Arial" w:eastAsia="Times New Roman" w:hAnsi="Arial" w:cs="Arial"/>
          <w:bCs/>
          <w:kern w:val="36"/>
          <w:lang w:eastAsia="en-GB"/>
        </w:rPr>
        <w:t>lable in the written law and</w:t>
      </w:r>
      <w:r w:rsidRPr="004379AA">
        <w:rPr>
          <w:rFonts w:ascii="Arial" w:eastAsia="Times New Roman" w:hAnsi="Arial" w:cs="Arial"/>
          <w:bCs/>
          <w:kern w:val="36"/>
          <w:lang w:eastAsia="en-GB"/>
        </w:rPr>
        <w:t xml:space="preserve"> common law. </w:t>
      </w:r>
      <w:r w:rsidRPr="004379AA">
        <w:rPr>
          <w:rFonts w:ascii="Arial" w:eastAsia="Times New Roman" w:hAnsi="Arial" w:cs="Arial"/>
          <w:lang w:eastAsia="en-GB"/>
        </w:rPr>
        <w:t>Where a statute provides for remedies for a breach, that should ordinarily be the first port of call. The remedy of a dec</w:t>
      </w:r>
      <w:r w:rsidR="000A4F0C" w:rsidRPr="004379AA">
        <w:rPr>
          <w:rFonts w:ascii="Arial" w:eastAsia="Times New Roman" w:hAnsi="Arial" w:cs="Arial"/>
          <w:lang w:eastAsia="en-GB"/>
        </w:rPr>
        <w:t>larator that the Minister seeks</w:t>
      </w:r>
      <w:r w:rsidRPr="004379AA">
        <w:rPr>
          <w:rFonts w:ascii="Arial" w:eastAsia="Times New Roman" w:hAnsi="Arial" w:cs="Arial"/>
          <w:lang w:eastAsia="en-GB"/>
        </w:rPr>
        <w:t xml:space="preserve"> is </w:t>
      </w:r>
      <w:r w:rsidR="000A4F0C" w:rsidRPr="004379AA">
        <w:rPr>
          <w:rFonts w:ascii="Arial" w:eastAsia="Times New Roman" w:hAnsi="Arial" w:cs="Arial"/>
          <w:lang w:eastAsia="en-GB"/>
        </w:rPr>
        <w:t xml:space="preserve">a </w:t>
      </w:r>
      <w:r w:rsidRPr="004379AA">
        <w:rPr>
          <w:rFonts w:ascii="Arial" w:eastAsia="Times New Roman" w:hAnsi="Arial" w:cs="Arial"/>
          <w:lang w:eastAsia="en-GB"/>
        </w:rPr>
        <w:t>discretionary</w:t>
      </w:r>
      <w:r w:rsidR="000A4F0C" w:rsidRPr="004379AA">
        <w:rPr>
          <w:rFonts w:ascii="Arial" w:eastAsia="Times New Roman" w:hAnsi="Arial" w:cs="Arial"/>
          <w:lang w:eastAsia="en-GB"/>
        </w:rPr>
        <w:t xml:space="preserve"> one</w:t>
      </w:r>
      <w:r w:rsidRPr="004379AA">
        <w:rPr>
          <w:rFonts w:ascii="Arial" w:eastAsia="Times New Roman" w:hAnsi="Arial" w:cs="Arial"/>
          <w:lang w:eastAsia="en-GB"/>
        </w:rPr>
        <w:t xml:space="preserve">. It is important therefore that we </w:t>
      </w:r>
      <w:r w:rsidR="000A4F0C" w:rsidRPr="004379AA">
        <w:rPr>
          <w:rFonts w:ascii="Arial" w:eastAsia="Times New Roman" w:hAnsi="Arial" w:cs="Arial"/>
          <w:lang w:eastAsia="en-GB"/>
        </w:rPr>
        <w:t>be</w:t>
      </w:r>
      <w:r w:rsidRPr="004379AA">
        <w:rPr>
          <w:rFonts w:ascii="Arial" w:eastAsia="Times New Roman" w:hAnsi="Arial" w:cs="Arial"/>
          <w:lang w:eastAsia="en-GB"/>
        </w:rPr>
        <w:t xml:space="preserve"> satisfied that the appellants have no alternative or adequate remedy which will serve the same purpose. </w:t>
      </w:r>
    </w:p>
    <w:p w14:paraId="40D08F14" w14:textId="77777777" w:rsidR="00365647" w:rsidRPr="004379AA" w:rsidRDefault="00365647" w:rsidP="001751A1">
      <w:pPr>
        <w:pStyle w:val="ListParagraph"/>
        <w:spacing w:line="480" w:lineRule="auto"/>
        <w:rPr>
          <w:rFonts w:ascii="Arial" w:eastAsia="Times New Roman" w:hAnsi="Arial" w:cs="Arial"/>
          <w:u w:val="single"/>
          <w:lang w:eastAsia="en-GB"/>
        </w:rPr>
      </w:pPr>
    </w:p>
    <w:p w14:paraId="7B38A683" w14:textId="77777777" w:rsidR="00365647" w:rsidRPr="004379AA" w:rsidRDefault="009D0B13" w:rsidP="001751A1">
      <w:pPr>
        <w:tabs>
          <w:tab w:val="left" w:pos="851"/>
        </w:tabs>
        <w:spacing w:line="480" w:lineRule="auto"/>
        <w:contextualSpacing/>
        <w:jc w:val="both"/>
        <w:rPr>
          <w:rFonts w:ascii="Arial" w:eastAsia="Times New Roman" w:hAnsi="Arial" w:cs="Arial"/>
          <w:u w:val="single"/>
          <w:lang w:eastAsia="en-GB"/>
        </w:rPr>
      </w:pPr>
      <w:r w:rsidRPr="004379AA">
        <w:rPr>
          <w:rFonts w:ascii="Arial" w:eastAsia="Times New Roman" w:hAnsi="Arial" w:cs="Arial"/>
          <w:u w:val="single"/>
          <w:lang w:eastAsia="en-GB"/>
        </w:rPr>
        <w:t>The NNRCA enforcement machinery</w:t>
      </w:r>
    </w:p>
    <w:p w14:paraId="358BE19C" w14:textId="77777777" w:rsidR="00365647" w:rsidRPr="004379AA" w:rsidRDefault="00295416" w:rsidP="001751A1">
      <w:pPr>
        <w:numPr>
          <w:ilvl w:val="0"/>
          <w:numId w:val="7"/>
        </w:numPr>
        <w:tabs>
          <w:tab w:val="left" w:pos="851"/>
        </w:tabs>
        <w:spacing w:line="480" w:lineRule="auto"/>
        <w:ind w:left="0" w:hanging="11"/>
        <w:contextualSpacing/>
        <w:jc w:val="both"/>
        <w:rPr>
          <w:rFonts w:ascii="Arial" w:hAnsi="Arial" w:cs="Arial"/>
        </w:rPr>
      </w:pPr>
      <w:r w:rsidRPr="004379AA">
        <w:rPr>
          <w:rFonts w:ascii="Arial" w:eastAsia="Times New Roman" w:hAnsi="Arial" w:cs="Arial"/>
          <w:lang w:eastAsia="en-GB"/>
        </w:rPr>
        <w:lastRenderedPageBreak/>
        <w:t xml:space="preserve">Section 42 of the NNRCA contains a cocktail of remedies available to enforce the law and to exact compliance. It provides: </w:t>
      </w:r>
    </w:p>
    <w:p w14:paraId="053B20C2" w14:textId="77777777" w:rsidR="00365647" w:rsidRPr="004379AA" w:rsidRDefault="00365647" w:rsidP="001751A1">
      <w:pPr>
        <w:tabs>
          <w:tab w:val="left" w:pos="851"/>
        </w:tabs>
        <w:spacing w:line="360" w:lineRule="auto"/>
        <w:contextualSpacing/>
        <w:jc w:val="both"/>
        <w:rPr>
          <w:rFonts w:ascii="Arial" w:eastAsia="Times New Roman" w:hAnsi="Arial" w:cs="Arial"/>
          <w:lang w:eastAsia="en-GB"/>
        </w:rPr>
      </w:pPr>
    </w:p>
    <w:p w14:paraId="3C35C7E2" w14:textId="5CBEE65A" w:rsidR="00365647" w:rsidRPr="004379AA" w:rsidRDefault="00856227" w:rsidP="007D5A39">
      <w:pPr>
        <w:spacing w:line="360" w:lineRule="auto"/>
        <w:ind w:left="1701" w:hanging="850"/>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’42 (1)</w:t>
      </w:r>
      <w:r w:rsidRPr="004379AA">
        <w:rPr>
          <w:rFonts w:ascii="Arial" w:eastAsia="Times New Roman" w:hAnsi="Arial" w:cs="Arial"/>
          <w:bCs/>
          <w:kern w:val="36"/>
          <w:sz w:val="22"/>
          <w:szCs w:val="22"/>
          <w:lang w:eastAsia="en-GB"/>
        </w:rPr>
        <w:tab/>
      </w:r>
      <w:r w:rsidR="00365647" w:rsidRPr="004379AA">
        <w:rPr>
          <w:rFonts w:ascii="Arial" w:eastAsia="Times New Roman" w:hAnsi="Arial" w:cs="Arial"/>
          <w:bCs/>
          <w:kern w:val="36"/>
          <w:sz w:val="22"/>
          <w:szCs w:val="22"/>
          <w:lang w:eastAsia="en-GB"/>
        </w:rPr>
        <w:t>A registered insurer or registered reinsurer which-</w:t>
      </w:r>
    </w:p>
    <w:p w14:paraId="5A474DF3" w14:textId="1295B8FB" w:rsidR="00365647" w:rsidRPr="004379AA" w:rsidRDefault="00365647" w:rsidP="007D5A39">
      <w:pPr>
        <w:pStyle w:val="ListParagraph"/>
        <w:numPr>
          <w:ilvl w:val="0"/>
          <w:numId w:val="1"/>
        </w:numPr>
        <w:spacing w:line="360" w:lineRule="auto"/>
        <w:ind w:left="1985" w:hanging="567"/>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Contravenes or fails to comply with a provision of section 39(1) or (40) (b);</w:t>
      </w:r>
      <w:r w:rsidR="00856227" w:rsidRPr="004379AA">
        <w:rPr>
          <w:rFonts w:ascii="Arial" w:eastAsia="Times New Roman" w:hAnsi="Arial" w:cs="Arial"/>
          <w:bCs/>
          <w:kern w:val="36"/>
          <w:sz w:val="22"/>
          <w:szCs w:val="22"/>
          <w:lang w:eastAsia="en-GB"/>
        </w:rPr>
        <w:t xml:space="preserve"> o</w:t>
      </w:r>
      <w:r w:rsidRPr="004379AA">
        <w:rPr>
          <w:rFonts w:ascii="Arial" w:eastAsia="Times New Roman" w:hAnsi="Arial" w:cs="Arial"/>
          <w:bCs/>
          <w:kern w:val="36"/>
          <w:sz w:val="22"/>
          <w:szCs w:val="22"/>
          <w:lang w:eastAsia="en-GB"/>
        </w:rPr>
        <w:t>r</w:t>
      </w:r>
    </w:p>
    <w:p w14:paraId="6F629641" w14:textId="77777777" w:rsidR="00856227" w:rsidRPr="004379AA" w:rsidRDefault="00856227" w:rsidP="007D5A39">
      <w:pPr>
        <w:pStyle w:val="ListParagraph"/>
        <w:spacing w:line="360" w:lineRule="auto"/>
        <w:ind w:left="1985" w:hanging="567"/>
        <w:outlineLvl w:val="0"/>
        <w:rPr>
          <w:rFonts w:ascii="Arial" w:eastAsia="Times New Roman" w:hAnsi="Arial" w:cs="Arial"/>
          <w:bCs/>
          <w:kern w:val="36"/>
          <w:sz w:val="22"/>
          <w:szCs w:val="22"/>
          <w:lang w:eastAsia="en-GB"/>
        </w:rPr>
      </w:pPr>
    </w:p>
    <w:p w14:paraId="7C86504B" w14:textId="77777777" w:rsidR="00365647" w:rsidRPr="004379AA" w:rsidRDefault="00365647" w:rsidP="007D5A39">
      <w:pPr>
        <w:pStyle w:val="ListParagraph"/>
        <w:numPr>
          <w:ilvl w:val="0"/>
          <w:numId w:val="1"/>
        </w:numPr>
        <w:spacing w:line="360" w:lineRule="auto"/>
        <w:ind w:left="1985" w:hanging="567"/>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fails to furnish or submit to the Corporation any information or returns required in terms of section 41; or</w:t>
      </w:r>
    </w:p>
    <w:p w14:paraId="26CF5232" w14:textId="77777777" w:rsidR="00856227" w:rsidRPr="004379AA" w:rsidRDefault="00856227" w:rsidP="007D5A39">
      <w:pPr>
        <w:pStyle w:val="ListParagraph"/>
        <w:spacing w:line="360" w:lineRule="auto"/>
        <w:ind w:left="1985" w:hanging="567"/>
        <w:outlineLvl w:val="0"/>
        <w:rPr>
          <w:rFonts w:ascii="Arial" w:eastAsia="Times New Roman" w:hAnsi="Arial" w:cs="Arial"/>
          <w:bCs/>
          <w:kern w:val="36"/>
          <w:sz w:val="22"/>
          <w:szCs w:val="22"/>
          <w:lang w:eastAsia="en-GB"/>
        </w:rPr>
      </w:pPr>
    </w:p>
    <w:p w14:paraId="47C35876" w14:textId="77777777" w:rsidR="00365647" w:rsidRPr="004379AA" w:rsidRDefault="00365647" w:rsidP="007D5A39">
      <w:pPr>
        <w:pStyle w:val="ListParagraph"/>
        <w:numPr>
          <w:ilvl w:val="0"/>
          <w:numId w:val="1"/>
        </w:numPr>
        <w:spacing w:line="360" w:lineRule="auto"/>
        <w:ind w:left="1985"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furnishes or submits information or returns required for the purposes of section 41, knowing such information or returns to be false in any material respect,</w:t>
      </w:r>
    </w:p>
    <w:p w14:paraId="6EB39BFD" w14:textId="77777777" w:rsidR="00856227" w:rsidRPr="004379AA" w:rsidRDefault="00856227" w:rsidP="007D5A39">
      <w:pPr>
        <w:spacing w:line="360" w:lineRule="auto"/>
        <w:jc w:val="both"/>
        <w:outlineLvl w:val="0"/>
        <w:rPr>
          <w:rFonts w:ascii="Arial" w:eastAsia="Times New Roman" w:hAnsi="Arial" w:cs="Arial"/>
          <w:bCs/>
          <w:kern w:val="36"/>
          <w:sz w:val="22"/>
          <w:szCs w:val="22"/>
          <w:lang w:eastAsia="en-GB"/>
        </w:rPr>
      </w:pPr>
    </w:p>
    <w:p w14:paraId="2C259397" w14:textId="77777777" w:rsidR="00365647" w:rsidRDefault="00365647" w:rsidP="007D5A39">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shall, notwithstanding the penalty contemplated in subsection (2), be guilty of an offence and on conviction be liable to a fine not exceeding N$150 000 or to imprisonment for a period not exceeding 10 years or to both such fine and such imprisonment.</w:t>
      </w:r>
    </w:p>
    <w:p w14:paraId="3BDF0D6B" w14:textId="77777777" w:rsidR="00152C90" w:rsidRPr="004379AA" w:rsidRDefault="00152C90" w:rsidP="007D5A39">
      <w:pPr>
        <w:spacing w:line="360" w:lineRule="auto"/>
        <w:ind w:left="851"/>
        <w:jc w:val="both"/>
        <w:outlineLvl w:val="0"/>
        <w:rPr>
          <w:rFonts w:ascii="Arial" w:eastAsia="Times New Roman" w:hAnsi="Arial" w:cs="Arial"/>
          <w:bCs/>
          <w:kern w:val="36"/>
          <w:sz w:val="22"/>
          <w:szCs w:val="22"/>
          <w:lang w:eastAsia="en-GB"/>
        </w:rPr>
      </w:pPr>
    </w:p>
    <w:p w14:paraId="389BD0D6" w14:textId="6653BDD9" w:rsidR="00365647" w:rsidRPr="004379AA" w:rsidRDefault="00856227" w:rsidP="007D5A39">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(2)</w:t>
      </w:r>
      <w:r w:rsidRPr="004379AA">
        <w:rPr>
          <w:rFonts w:ascii="Arial" w:eastAsia="Times New Roman" w:hAnsi="Arial" w:cs="Arial"/>
          <w:bCs/>
          <w:kern w:val="36"/>
          <w:sz w:val="22"/>
          <w:szCs w:val="22"/>
          <w:lang w:eastAsia="en-GB"/>
        </w:rPr>
        <w:tab/>
      </w:r>
      <w:r w:rsidR="00365647" w:rsidRPr="004379AA">
        <w:rPr>
          <w:rFonts w:ascii="Arial" w:eastAsia="Times New Roman" w:hAnsi="Arial" w:cs="Arial"/>
          <w:bCs/>
          <w:kern w:val="36"/>
          <w:sz w:val="22"/>
          <w:szCs w:val="22"/>
          <w:lang w:eastAsia="en-GB"/>
        </w:rPr>
        <w:t>A registered insurer or registered reinsurer which fails to comply with a provision of section 39(1), (3), (4) or (6), 40(1)(b) or (2) or 41, as the case may be, shall be liable to a fine of N$ 1000 for each day during which such failure continues.</w:t>
      </w:r>
    </w:p>
    <w:p w14:paraId="4F571378" w14:textId="77777777" w:rsidR="00856227" w:rsidRPr="004379AA" w:rsidRDefault="00856227" w:rsidP="007D5A39">
      <w:pPr>
        <w:spacing w:line="360" w:lineRule="auto"/>
        <w:jc w:val="both"/>
        <w:outlineLvl w:val="0"/>
        <w:rPr>
          <w:rFonts w:ascii="Arial" w:eastAsia="Times New Roman" w:hAnsi="Arial" w:cs="Arial"/>
          <w:bCs/>
          <w:kern w:val="36"/>
          <w:sz w:val="22"/>
          <w:szCs w:val="22"/>
          <w:lang w:eastAsia="en-GB"/>
        </w:rPr>
      </w:pPr>
    </w:p>
    <w:p w14:paraId="4CA7786F" w14:textId="68BDAB07" w:rsidR="00365647" w:rsidRPr="004379AA" w:rsidRDefault="00856227" w:rsidP="007D5A39">
      <w:pPr>
        <w:spacing w:line="360" w:lineRule="auto"/>
        <w:ind w:left="1418"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(3)</w:t>
      </w:r>
      <w:r w:rsidRPr="004379AA">
        <w:rPr>
          <w:rFonts w:ascii="Arial" w:eastAsia="Times New Roman" w:hAnsi="Arial" w:cs="Arial"/>
          <w:bCs/>
          <w:kern w:val="36"/>
          <w:sz w:val="22"/>
          <w:szCs w:val="22"/>
          <w:lang w:eastAsia="en-GB"/>
        </w:rPr>
        <w:tab/>
      </w:r>
      <w:r w:rsidR="00365647" w:rsidRPr="004379AA">
        <w:rPr>
          <w:rFonts w:ascii="Arial" w:eastAsia="Times New Roman" w:hAnsi="Arial" w:cs="Arial"/>
          <w:bCs/>
          <w:kern w:val="36"/>
          <w:sz w:val="22"/>
          <w:szCs w:val="22"/>
          <w:lang w:eastAsia="en-GB"/>
        </w:rPr>
        <w:t>Any amount of penalty payable in terms of subsection (2) shall constitute a debt due to the Corporation by the registered insurer or registered reinsurer concerned and may be recovered by the Corporation by means of proceedings instituted in any competent court.’</w:t>
      </w:r>
    </w:p>
    <w:p w14:paraId="50AA9C2A" w14:textId="77777777" w:rsidR="00365647" w:rsidRPr="004379AA" w:rsidRDefault="00365647" w:rsidP="007D5A39">
      <w:pPr>
        <w:tabs>
          <w:tab w:val="left" w:pos="851"/>
        </w:tabs>
        <w:spacing w:line="480" w:lineRule="auto"/>
        <w:contextualSpacing/>
        <w:jc w:val="both"/>
        <w:rPr>
          <w:rFonts w:ascii="Arial" w:hAnsi="Arial" w:cs="Arial"/>
        </w:rPr>
      </w:pPr>
    </w:p>
    <w:p w14:paraId="3F3B2110" w14:textId="77777777" w:rsidR="00856227" w:rsidRPr="00906277" w:rsidRDefault="00295416" w:rsidP="00ED63AC">
      <w:pPr>
        <w:numPr>
          <w:ilvl w:val="0"/>
          <w:numId w:val="7"/>
        </w:numPr>
        <w:tabs>
          <w:tab w:val="left" w:pos="851"/>
        </w:tabs>
        <w:spacing w:line="360" w:lineRule="auto"/>
        <w:ind w:left="0" w:hanging="11"/>
        <w:contextualSpacing/>
        <w:jc w:val="both"/>
        <w:rPr>
          <w:rFonts w:ascii="Arial" w:hAnsi="Arial" w:cs="Arial"/>
        </w:rPr>
      </w:pPr>
      <w:r w:rsidRPr="004379AA">
        <w:rPr>
          <w:rFonts w:ascii="Arial" w:eastAsia="Times New Roman" w:hAnsi="Arial" w:cs="Arial"/>
          <w:lang w:eastAsia="en-GB"/>
        </w:rPr>
        <w:t>The Decem</w:t>
      </w:r>
      <w:r w:rsidR="00F810A4" w:rsidRPr="004379AA">
        <w:rPr>
          <w:rFonts w:ascii="Arial" w:eastAsia="Times New Roman" w:hAnsi="Arial" w:cs="Arial"/>
          <w:lang w:eastAsia="en-GB"/>
        </w:rPr>
        <w:t>ber 2017 regulations</w:t>
      </w:r>
      <w:r w:rsidRPr="004379AA">
        <w:rPr>
          <w:rFonts w:ascii="Arial" w:eastAsia="Times New Roman" w:hAnsi="Arial" w:cs="Arial"/>
          <w:lang w:eastAsia="en-GB"/>
        </w:rPr>
        <w:t xml:space="preserve"> provide</w:t>
      </w:r>
      <w:r w:rsidR="00F810A4" w:rsidRPr="004379AA">
        <w:rPr>
          <w:rFonts w:ascii="Arial" w:eastAsia="Times New Roman" w:hAnsi="Arial" w:cs="Arial"/>
          <w:lang w:eastAsia="en-GB"/>
        </w:rPr>
        <w:t xml:space="preserve"> in part</w:t>
      </w:r>
      <w:r w:rsidR="008E6CB4" w:rsidRPr="004379AA">
        <w:rPr>
          <w:rFonts w:ascii="Arial" w:eastAsia="Times New Roman" w:hAnsi="Arial" w:cs="Arial"/>
          <w:lang w:eastAsia="en-GB"/>
        </w:rPr>
        <w:t xml:space="preserve"> that</w:t>
      </w:r>
      <w:r w:rsidRPr="004379AA">
        <w:rPr>
          <w:rFonts w:ascii="Arial" w:eastAsia="Times New Roman" w:hAnsi="Arial" w:cs="Arial"/>
          <w:lang w:eastAsia="en-GB"/>
        </w:rPr>
        <w:t>:</w:t>
      </w:r>
    </w:p>
    <w:p w14:paraId="0DE7D7E3" w14:textId="77777777" w:rsidR="00906277" w:rsidRDefault="00906277" w:rsidP="007D5A39">
      <w:pPr>
        <w:spacing w:line="480" w:lineRule="auto"/>
        <w:ind w:left="851"/>
        <w:contextualSpacing/>
        <w:jc w:val="both"/>
        <w:rPr>
          <w:rFonts w:ascii="Arial" w:hAnsi="Arial" w:cs="Arial"/>
        </w:rPr>
      </w:pPr>
    </w:p>
    <w:p w14:paraId="4F0EB287" w14:textId="7B881AD0" w:rsidR="00906277" w:rsidRDefault="00ED63AC" w:rsidP="00ED63AC">
      <w:pPr>
        <w:tabs>
          <w:tab w:val="left" w:pos="1418"/>
          <w:tab w:val="left" w:pos="1985"/>
        </w:tabs>
        <w:spacing w:line="360" w:lineRule="auto"/>
        <w:ind w:left="851"/>
        <w:jc w:val="both"/>
        <w:outlineLvl w:val="0"/>
        <w:rPr>
          <w:rFonts w:ascii="Arial" w:eastAsia="Times New Roman" w:hAnsi="Arial" w:cs="Arial"/>
          <w:bCs/>
          <w:kern w:val="36"/>
          <w:sz w:val="22"/>
          <w:szCs w:val="22"/>
          <w:lang w:eastAsia="en-GB"/>
        </w:rPr>
      </w:pPr>
      <w:r>
        <w:rPr>
          <w:rFonts w:ascii="Arial" w:eastAsia="Times New Roman" w:hAnsi="Arial" w:cs="Arial"/>
          <w:bCs/>
          <w:kern w:val="36"/>
          <w:sz w:val="22"/>
          <w:szCs w:val="22"/>
          <w:lang w:eastAsia="en-GB"/>
        </w:rPr>
        <w:t>‘11.</w:t>
      </w:r>
      <w:r>
        <w:rPr>
          <w:rFonts w:ascii="Arial" w:eastAsia="Times New Roman" w:hAnsi="Arial" w:cs="Arial"/>
          <w:bCs/>
          <w:kern w:val="36"/>
          <w:sz w:val="22"/>
          <w:szCs w:val="22"/>
          <w:lang w:eastAsia="en-GB"/>
        </w:rPr>
        <w:tab/>
        <w:t>(1)</w:t>
      </w:r>
      <w:r>
        <w:rPr>
          <w:rFonts w:ascii="Arial" w:eastAsia="Times New Roman" w:hAnsi="Arial" w:cs="Arial"/>
          <w:bCs/>
          <w:kern w:val="36"/>
          <w:sz w:val="22"/>
          <w:szCs w:val="22"/>
          <w:lang w:eastAsia="en-GB"/>
        </w:rPr>
        <w:tab/>
      </w:r>
      <w:r w:rsidR="00906277" w:rsidRPr="004379AA">
        <w:rPr>
          <w:rFonts w:ascii="Arial" w:eastAsia="Times New Roman" w:hAnsi="Arial" w:cs="Arial"/>
          <w:bCs/>
          <w:kern w:val="36"/>
          <w:sz w:val="22"/>
          <w:szCs w:val="22"/>
          <w:lang w:eastAsia="en-GB"/>
        </w:rPr>
        <w:t>A registered insurer or registered commits and offence if [it]-</w:t>
      </w:r>
    </w:p>
    <w:p w14:paraId="2EF5E80F" w14:textId="77777777" w:rsidR="004C5BC0" w:rsidRPr="004379AA" w:rsidRDefault="004C5BC0" w:rsidP="00ED63AC">
      <w:pPr>
        <w:spacing w:line="360" w:lineRule="auto"/>
        <w:ind w:left="1418" w:hanging="567"/>
        <w:jc w:val="both"/>
        <w:outlineLvl w:val="0"/>
        <w:rPr>
          <w:rFonts w:ascii="Arial" w:eastAsia="Times New Roman" w:hAnsi="Arial" w:cs="Arial"/>
          <w:bCs/>
          <w:kern w:val="36"/>
          <w:sz w:val="22"/>
          <w:szCs w:val="22"/>
          <w:lang w:eastAsia="en-GB"/>
        </w:rPr>
      </w:pPr>
    </w:p>
    <w:p w14:paraId="01E3C9FA" w14:textId="5986936F" w:rsidR="00906277" w:rsidRDefault="00ED63AC" w:rsidP="00ED63AC">
      <w:pPr>
        <w:pStyle w:val="ListParagraph"/>
        <w:numPr>
          <w:ilvl w:val="0"/>
          <w:numId w:val="4"/>
        </w:numPr>
        <w:spacing w:line="360" w:lineRule="auto"/>
        <w:ind w:left="2552" w:hanging="567"/>
        <w:jc w:val="both"/>
        <w:outlineLvl w:val="0"/>
        <w:rPr>
          <w:rFonts w:ascii="Arial" w:eastAsia="Times New Roman" w:hAnsi="Arial" w:cs="Arial"/>
          <w:bCs/>
          <w:kern w:val="36"/>
          <w:sz w:val="22"/>
          <w:szCs w:val="22"/>
          <w:lang w:eastAsia="en-GB"/>
        </w:rPr>
      </w:pPr>
      <w:r>
        <w:rPr>
          <w:rFonts w:ascii="Arial" w:eastAsia="Times New Roman" w:hAnsi="Arial" w:cs="Arial"/>
          <w:bCs/>
          <w:kern w:val="36"/>
          <w:sz w:val="22"/>
          <w:szCs w:val="22"/>
          <w:lang w:eastAsia="en-GB"/>
        </w:rPr>
        <w:t xml:space="preserve"> </w:t>
      </w:r>
      <w:r w:rsidR="00906277" w:rsidRPr="004379AA">
        <w:rPr>
          <w:rFonts w:ascii="Arial" w:eastAsia="Times New Roman" w:hAnsi="Arial" w:cs="Arial"/>
          <w:bCs/>
          <w:kern w:val="36"/>
          <w:sz w:val="22"/>
          <w:szCs w:val="22"/>
          <w:lang w:eastAsia="en-GB"/>
        </w:rPr>
        <w:t>fails to comply with the provisions of regulation 4, 5 or 6; or</w:t>
      </w:r>
    </w:p>
    <w:p w14:paraId="1AD2DF1F" w14:textId="77777777" w:rsidR="00ED63AC" w:rsidRDefault="00ED63AC" w:rsidP="00ED63AC">
      <w:pPr>
        <w:pStyle w:val="ListParagraph"/>
        <w:spacing w:line="360" w:lineRule="auto"/>
        <w:ind w:left="2552" w:hanging="567"/>
        <w:jc w:val="both"/>
        <w:outlineLvl w:val="0"/>
        <w:rPr>
          <w:rFonts w:ascii="Arial" w:eastAsia="Times New Roman" w:hAnsi="Arial" w:cs="Arial"/>
          <w:bCs/>
          <w:kern w:val="36"/>
          <w:sz w:val="22"/>
          <w:szCs w:val="22"/>
          <w:lang w:eastAsia="en-GB"/>
        </w:rPr>
      </w:pPr>
    </w:p>
    <w:p w14:paraId="1AC822A3" w14:textId="77777777" w:rsidR="00906277" w:rsidRDefault="00906277" w:rsidP="00ED63AC">
      <w:pPr>
        <w:pStyle w:val="ListParagraph"/>
        <w:numPr>
          <w:ilvl w:val="0"/>
          <w:numId w:val="4"/>
        </w:numPr>
        <w:spacing w:line="360" w:lineRule="auto"/>
        <w:ind w:left="2552" w:hanging="567"/>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w:t>
      </w:r>
    </w:p>
    <w:p w14:paraId="44ABAB92" w14:textId="77777777" w:rsidR="004C5BC0" w:rsidRPr="004C5BC0" w:rsidRDefault="004C5BC0" w:rsidP="00ED63AC">
      <w:pPr>
        <w:pStyle w:val="ListParagraph"/>
        <w:spacing w:line="360" w:lineRule="auto"/>
        <w:rPr>
          <w:rFonts w:ascii="Arial" w:eastAsia="Times New Roman" w:hAnsi="Arial" w:cs="Arial"/>
          <w:bCs/>
          <w:kern w:val="36"/>
          <w:sz w:val="22"/>
          <w:szCs w:val="22"/>
          <w:lang w:eastAsia="en-GB"/>
        </w:rPr>
      </w:pPr>
    </w:p>
    <w:p w14:paraId="0AE57E25" w14:textId="645DD836" w:rsidR="00906277" w:rsidRPr="004379AA" w:rsidRDefault="00ED63AC" w:rsidP="00ED63AC">
      <w:pPr>
        <w:pStyle w:val="ListParagraph"/>
        <w:spacing w:line="360" w:lineRule="auto"/>
        <w:ind w:left="1985" w:hanging="567"/>
        <w:jc w:val="both"/>
        <w:outlineLvl w:val="0"/>
        <w:rPr>
          <w:rFonts w:ascii="Arial" w:eastAsia="Times New Roman" w:hAnsi="Arial" w:cs="Arial"/>
          <w:bCs/>
          <w:kern w:val="36"/>
          <w:sz w:val="22"/>
          <w:szCs w:val="22"/>
          <w:lang w:eastAsia="en-GB"/>
        </w:rPr>
      </w:pPr>
      <w:r>
        <w:rPr>
          <w:rFonts w:ascii="Arial" w:eastAsia="Times New Roman" w:hAnsi="Arial" w:cs="Arial"/>
          <w:bCs/>
          <w:kern w:val="36"/>
          <w:sz w:val="22"/>
          <w:szCs w:val="22"/>
          <w:lang w:eastAsia="en-GB"/>
        </w:rPr>
        <w:lastRenderedPageBreak/>
        <w:t>(2)</w:t>
      </w:r>
      <w:r>
        <w:rPr>
          <w:rFonts w:ascii="Arial" w:eastAsia="Times New Roman" w:hAnsi="Arial" w:cs="Arial"/>
          <w:bCs/>
          <w:kern w:val="36"/>
          <w:sz w:val="22"/>
          <w:szCs w:val="22"/>
          <w:lang w:eastAsia="en-GB"/>
        </w:rPr>
        <w:tab/>
      </w:r>
      <w:r w:rsidR="00906277" w:rsidRPr="004379AA">
        <w:rPr>
          <w:rFonts w:ascii="Arial" w:eastAsia="Times New Roman" w:hAnsi="Arial" w:cs="Arial"/>
          <w:bCs/>
          <w:kern w:val="36"/>
          <w:sz w:val="22"/>
          <w:szCs w:val="22"/>
          <w:lang w:eastAsia="en-GB"/>
        </w:rPr>
        <w:t>A person convicted of an offence in terms of subregulation (1), is liable to a fine not exceeding N$ 15000 or to imprisonment for a period not exceeding two years or to both such fine and such imprisonment.’</w:t>
      </w:r>
    </w:p>
    <w:p w14:paraId="68FC2EE0" w14:textId="77777777" w:rsidR="00906277" w:rsidRPr="00906277" w:rsidRDefault="00906277" w:rsidP="007E067F">
      <w:pPr>
        <w:spacing w:line="480" w:lineRule="auto"/>
        <w:ind w:left="851"/>
        <w:contextualSpacing/>
        <w:jc w:val="both"/>
        <w:rPr>
          <w:rFonts w:ascii="Arial" w:hAnsi="Arial" w:cs="Arial"/>
        </w:rPr>
      </w:pPr>
    </w:p>
    <w:p w14:paraId="39CEC2A8" w14:textId="77777777" w:rsidR="00906277" w:rsidRPr="00906277" w:rsidRDefault="00B07718" w:rsidP="007E067F">
      <w:pPr>
        <w:numPr>
          <w:ilvl w:val="0"/>
          <w:numId w:val="7"/>
        </w:numPr>
        <w:tabs>
          <w:tab w:val="left" w:pos="851"/>
          <w:tab w:val="left" w:pos="1418"/>
        </w:tabs>
        <w:spacing w:line="480" w:lineRule="auto"/>
        <w:ind w:left="0" w:hanging="11"/>
        <w:contextualSpacing/>
        <w:jc w:val="both"/>
        <w:rPr>
          <w:rFonts w:ascii="Arial" w:hAnsi="Arial" w:cs="Arial"/>
        </w:rPr>
      </w:pPr>
      <w:r w:rsidRPr="00906277">
        <w:rPr>
          <w:rFonts w:ascii="Arial" w:hAnsi="Arial" w:cs="Arial"/>
          <w:lang w:val="en-US"/>
        </w:rPr>
        <w:t xml:space="preserve">Regulation 4 governs returns and information to be supplied by the registered insurer or reinsurer. Regulation 5 concerns notification by the registered insurer or reinsurer </w:t>
      </w:r>
      <w:r w:rsidR="00920EFD" w:rsidRPr="00906277">
        <w:rPr>
          <w:rFonts w:ascii="Arial" w:hAnsi="Arial" w:cs="Arial"/>
          <w:lang w:val="en-US"/>
        </w:rPr>
        <w:t>to NamibRe</w:t>
      </w:r>
      <w:r w:rsidR="00952DE4" w:rsidRPr="00906277">
        <w:rPr>
          <w:rFonts w:ascii="Arial" w:hAnsi="Arial" w:cs="Arial"/>
          <w:lang w:val="en-US"/>
        </w:rPr>
        <w:t xml:space="preserve"> on Annexure 2</w:t>
      </w:r>
      <w:r w:rsidR="009A3D32" w:rsidRPr="00906277">
        <w:rPr>
          <w:rFonts w:ascii="Arial" w:hAnsi="Arial" w:cs="Arial"/>
          <w:lang w:val="en-US"/>
        </w:rPr>
        <w:t xml:space="preserve"> to the regulations</w:t>
      </w:r>
      <w:r w:rsidR="00920EFD" w:rsidRPr="00906277">
        <w:rPr>
          <w:rFonts w:ascii="Arial" w:hAnsi="Arial" w:cs="Arial"/>
          <w:lang w:val="en-US"/>
        </w:rPr>
        <w:t xml:space="preserve"> of the risk accepted. Regulation 6 concerns notification by a registered insurer or reinsurer </w:t>
      </w:r>
      <w:r w:rsidR="00FC241C" w:rsidRPr="00906277">
        <w:rPr>
          <w:rFonts w:ascii="Arial" w:hAnsi="Arial" w:cs="Arial"/>
          <w:lang w:val="en-US"/>
        </w:rPr>
        <w:t>to NamibRe</w:t>
      </w:r>
      <w:r w:rsidR="00952DE4" w:rsidRPr="00906277">
        <w:rPr>
          <w:rFonts w:ascii="Arial" w:hAnsi="Arial" w:cs="Arial"/>
          <w:lang w:val="en-US"/>
        </w:rPr>
        <w:t xml:space="preserve"> on Annexures 3 and 4 </w:t>
      </w:r>
      <w:r w:rsidR="009A3D32" w:rsidRPr="00906277">
        <w:rPr>
          <w:rFonts w:ascii="Arial" w:hAnsi="Arial" w:cs="Arial"/>
          <w:lang w:val="en-US"/>
        </w:rPr>
        <w:t>to the regulations</w:t>
      </w:r>
      <w:r w:rsidR="00FC241C" w:rsidRPr="00906277">
        <w:rPr>
          <w:rFonts w:ascii="Arial" w:hAnsi="Arial" w:cs="Arial"/>
          <w:lang w:val="en-US"/>
        </w:rPr>
        <w:t xml:space="preserve"> of</w:t>
      </w:r>
      <w:r w:rsidRPr="00906277">
        <w:rPr>
          <w:rFonts w:ascii="Arial" w:hAnsi="Arial" w:cs="Arial"/>
          <w:lang w:val="en-US"/>
        </w:rPr>
        <w:t xml:space="preserve"> </w:t>
      </w:r>
      <w:r w:rsidR="00920EFD" w:rsidRPr="00906277">
        <w:rPr>
          <w:rFonts w:ascii="Arial" w:hAnsi="Arial" w:cs="Arial"/>
          <w:lang w:val="en-US"/>
        </w:rPr>
        <w:t>a claim or loss event.</w:t>
      </w:r>
      <w:r w:rsidRPr="00906277">
        <w:rPr>
          <w:rFonts w:ascii="Arial" w:hAnsi="Arial" w:cs="Arial"/>
          <w:lang w:val="en-US"/>
        </w:rPr>
        <w:t xml:space="preserve"> </w:t>
      </w:r>
    </w:p>
    <w:p w14:paraId="63673D33" w14:textId="77777777" w:rsidR="00906277" w:rsidRDefault="00906277" w:rsidP="007D5A39">
      <w:pPr>
        <w:spacing w:line="480" w:lineRule="auto"/>
        <w:ind w:left="851"/>
        <w:contextualSpacing/>
        <w:jc w:val="both"/>
        <w:rPr>
          <w:rFonts w:ascii="Arial" w:hAnsi="Arial" w:cs="Arial"/>
        </w:rPr>
      </w:pPr>
    </w:p>
    <w:p w14:paraId="3A6FE728" w14:textId="77777777" w:rsidR="00906277" w:rsidRDefault="008E6CB4" w:rsidP="007E067F">
      <w:pPr>
        <w:numPr>
          <w:ilvl w:val="0"/>
          <w:numId w:val="7"/>
        </w:numPr>
        <w:tabs>
          <w:tab w:val="left" w:pos="851"/>
        </w:tabs>
        <w:spacing w:line="480" w:lineRule="auto"/>
        <w:ind w:left="0" w:hanging="11"/>
        <w:contextualSpacing/>
        <w:jc w:val="both"/>
        <w:rPr>
          <w:rFonts w:ascii="Arial" w:hAnsi="Arial" w:cs="Arial"/>
        </w:rPr>
      </w:pPr>
      <w:r w:rsidRPr="00906277">
        <w:rPr>
          <w:rFonts w:ascii="Arial" w:hAnsi="Arial" w:cs="Arial"/>
          <w:lang w:val="en-US"/>
        </w:rPr>
        <w:t>T</w:t>
      </w:r>
      <w:r w:rsidR="00F810A4" w:rsidRPr="00906277">
        <w:rPr>
          <w:rFonts w:ascii="Arial" w:hAnsi="Arial" w:cs="Arial"/>
          <w:lang w:val="en-US"/>
        </w:rPr>
        <w:t xml:space="preserve">he combined effect of these provisions is that not only does NamibRe have a civil claim for moneys due and payable, but </w:t>
      </w:r>
      <w:r w:rsidR="00464B8E" w:rsidRPr="00906277">
        <w:rPr>
          <w:rFonts w:ascii="Arial" w:hAnsi="Arial" w:cs="Arial"/>
          <w:lang w:val="en-US"/>
        </w:rPr>
        <w:t>those who disobey the notices are criminally liable</w:t>
      </w:r>
      <w:r w:rsidRPr="00906277">
        <w:rPr>
          <w:rFonts w:ascii="Arial" w:hAnsi="Arial" w:cs="Arial"/>
          <w:lang w:val="en-US"/>
        </w:rPr>
        <w:t xml:space="preserve"> and subject to fines and or imprisonment</w:t>
      </w:r>
      <w:r w:rsidR="00464B8E" w:rsidRPr="00906277">
        <w:rPr>
          <w:rFonts w:ascii="Arial" w:hAnsi="Arial" w:cs="Arial"/>
          <w:lang w:val="en-US"/>
        </w:rPr>
        <w:t xml:space="preserve">. </w:t>
      </w:r>
    </w:p>
    <w:p w14:paraId="13B8D8B7" w14:textId="77777777" w:rsidR="00906277" w:rsidRDefault="00906277" w:rsidP="007D5A39">
      <w:pPr>
        <w:pStyle w:val="ListParagraph"/>
        <w:spacing w:line="480" w:lineRule="auto"/>
        <w:ind w:left="0" w:hanging="11"/>
        <w:rPr>
          <w:rFonts w:ascii="Arial" w:hAnsi="Arial" w:cs="Arial"/>
          <w:lang w:val="en-US"/>
        </w:rPr>
      </w:pPr>
    </w:p>
    <w:p w14:paraId="4E191F51" w14:textId="77777777" w:rsidR="00906277" w:rsidRDefault="00F810A4" w:rsidP="007E067F">
      <w:pPr>
        <w:numPr>
          <w:ilvl w:val="0"/>
          <w:numId w:val="7"/>
        </w:numPr>
        <w:tabs>
          <w:tab w:val="left" w:pos="851"/>
        </w:tabs>
        <w:spacing w:line="480" w:lineRule="auto"/>
        <w:ind w:left="0" w:hanging="11"/>
        <w:contextualSpacing/>
        <w:jc w:val="both"/>
        <w:rPr>
          <w:rFonts w:ascii="Arial" w:hAnsi="Arial" w:cs="Arial"/>
        </w:rPr>
      </w:pPr>
      <w:r w:rsidRPr="00906277">
        <w:rPr>
          <w:rFonts w:ascii="Arial" w:hAnsi="Arial" w:cs="Arial"/>
          <w:lang w:val="en-US"/>
        </w:rPr>
        <w:t>In terms of</w:t>
      </w:r>
      <w:r w:rsidR="00464B8E" w:rsidRPr="00906277">
        <w:rPr>
          <w:rFonts w:ascii="Arial" w:hAnsi="Arial" w:cs="Arial"/>
          <w:lang w:val="en-US"/>
        </w:rPr>
        <w:t xml:space="preserve"> s 332(1) of the Criminal Procedure Act 51 of 1977 (CPA), a corporate body can be held criminally liable for the acts of its directors and servants. And in terms of s 332(5), in circumstances where a corporate body is criminally liable: </w:t>
      </w:r>
    </w:p>
    <w:p w14:paraId="27DF3C2B" w14:textId="77777777" w:rsidR="00906277" w:rsidRDefault="00906277" w:rsidP="007D5A39">
      <w:pPr>
        <w:pStyle w:val="ListParagraph"/>
        <w:spacing w:line="360" w:lineRule="auto"/>
        <w:rPr>
          <w:rFonts w:ascii="Arial" w:hAnsi="Arial" w:cs="Arial"/>
          <w:lang w:val="en-US"/>
        </w:rPr>
      </w:pPr>
    </w:p>
    <w:p w14:paraId="2E96333A" w14:textId="77777777" w:rsidR="00906277" w:rsidRPr="004379AA" w:rsidRDefault="00906277" w:rsidP="007D5A39">
      <w:pPr>
        <w:spacing w:line="360" w:lineRule="auto"/>
        <w:ind w:left="851"/>
        <w:jc w:val="both"/>
        <w:rPr>
          <w:rFonts w:ascii="Arial" w:hAnsi="Arial" w:cs="Arial"/>
          <w:lang w:val="en-US"/>
        </w:rPr>
      </w:pPr>
      <w:r w:rsidRPr="004379AA">
        <w:rPr>
          <w:rFonts w:ascii="Arial" w:hAnsi="Arial" w:cs="Arial"/>
          <w:sz w:val="22"/>
          <w:szCs w:val="22"/>
          <w:lang w:val="en-US"/>
        </w:rPr>
        <w:t>‘When an offence has been committed, whether by the performance of any act or by the failure to perform any act, for which any corporate body is or was liable to prosecution, any person who was, at the time of the commission of the offence, a director or servant of the corporate body shall be deemed to be guilty of the said offence, unless it is proved that he did not take part in the commission of the offence and that he could not have prevented it, and shall be liable to prosecution therefor, either jointly with the corporate body or apart therefrom, and shall on conviction be personally liable to punishment therefor.</w:t>
      </w:r>
      <w:r w:rsidRPr="004379AA">
        <w:rPr>
          <w:rFonts w:ascii="Arial" w:hAnsi="Arial" w:cs="Arial"/>
          <w:lang w:val="en-US"/>
        </w:rPr>
        <w:t>’</w:t>
      </w:r>
    </w:p>
    <w:p w14:paraId="0A31855C" w14:textId="77777777" w:rsidR="00906277" w:rsidRDefault="00906277" w:rsidP="007D5A39">
      <w:pPr>
        <w:pStyle w:val="ListParagraph"/>
        <w:spacing w:line="480" w:lineRule="auto"/>
        <w:rPr>
          <w:rFonts w:ascii="Arial" w:hAnsi="Arial" w:cs="Arial"/>
          <w:lang w:val="en-US"/>
        </w:rPr>
      </w:pPr>
    </w:p>
    <w:p w14:paraId="08CF2112" w14:textId="4D02A70B" w:rsidR="000E1147" w:rsidRPr="000E1147" w:rsidRDefault="00E639D5" w:rsidP="007E067F">
      <w:pPr>
        <w:numPr>
          <w:ilvl w:val="0"/>
          <w:numId w:val="7"/>
        </w:numPr>
        <w:tabs>
          <w:tab w:val="left" w:pos="851"/>
        </w:tabs>
        <w:spacing w:line="480" w:lineRule="auto"/>
        <w:ind w:left="0" w:hanging="11"/>
        <w:contextualSpacing/>
        <w:jc w:val="both"/>
        <w:rPr>
          <w:rFonts w:ascii="Arial" w:hAnsi="Arial" w:cs="Arial"/>
        </w:rPr>
      </w:pPr>
      <w:r w:rsidRPr="00906277">
        <w:rPr>
          <w:rFonts w:ascii="Arial" w:hAnsi="Arial" w:cs="Arial"/>
          <w:lang w:val="en-US"/>
        </w:rPr>
        <w:t xml:space="preserve">In so far as </w:t>
      </w:r>
      <w:r w:rsidR="00464B8E" w:rsidRPr="00906277">
        <w:rPr>
          <w:rFonts w:ascii="Arial" w:hAnsi="Arial" w:cs="Arial"/>
          <w:lang w:val="en-US"/>
        </w:rPr>
        <w:t>that section also imposed criminal liability on a ‘servan</w:t>
      </w:r>
      <w:r w:rsidR="00F810A4" w:rsidRPr="00906277">
        <w:rPr>
          <w:rFonts w:ascii="Arial" w:hAnsi="Arial" w:cs="Arial"/>
          <w:lang w:val="en-US"/>
        </w:rPr>
        <w:t>t’ of the corporate body, this c</w:t>
      </w:r>
      <w:r w:rsidR="00464B8E" w:rsidRPr="00906277">
        <w:rPr>
          <w:rFonts w:ascii="Arial" w:hAnsi="Arial" w:cs="Arial"/>
          <w:lang w:val="en-US"/>
        </w:rPr>
        <w:t xml:space="preserve">ourt held in </w:t>
      </w:r>
      <w:r w:rsidR="00464B8E" w:rsidRPr="00906277">
        <w:rPr>
          <w:rFonts w:ascii="Arial" w:hAnsi="Arial" w:cs="Arial"/>
          <w:i/>
          <w:lang w:val="en-US"/>
        </w:rPr>
        <w:t>Attorney-General of Nam</w:t>
      </w:r>
      <w:r w:rsidR="000E1147">
        <w:rPr>
          <w:rFonts w:ascii="Arial" w:hAnsi="Arial" w:cs="Arial"/>
          <w:i/>
          <w:lang w:val="en-US"/>
        </w:rPr>
        <w:t xml:space="preserve">ibia v Minister of Justice and </w:t>
      </w:r>
      <w:r w:rsidR="000E1147">
        <w:rPr>
          <w:rFonts w:ascii="Arial" w:hAnsi="Arial" w:cs="Arial"/>
          <w:i/>
          <w:lang w:val="en-US"/>
        </w:rPr>
        <w:lastRenderedPageBreak/>
        <w:t>o</w:t>
      </w:r>
      <w:r w:rsidR="00464B8E" w:rsidRPr="00906277">
        <w:rPr>
          <w:rFonts w:ascii="Arial" w:hAnsi="Arial" w:cs="Arial"/>
          <w:i/>
          <w:lang w:val="en-US"/>
        </w:rPr>
        <w:t>thers</w:t>
      </w:r>
      <w:r w:rsidR="00464B8E" w:rsidRPr="004379AA">
        <w:rPr>
          <w:rStyle w:val="FootnoteReference"/>
          <w:rFonts w:ascii="Arial" w:hAnsi="Arial" w:cs="Arial"/>
          <w:lang w:val="en-US"/>
        </w:rPr>
        <w:footnoteReference w:id="13"/>
      </w:r>
      <w:r w:rsidR="00464B8E" w:rsidRPr="00906277">
        <w:rPr>
          <w:rFonts w:ascii="Arial" w:hAnsi="Arial" w:cs="Arial"/>
          <w:lang w:val="en-US"/>
        </w:rPr>
        <w:t xml:space="preserve">  that such liability is unconstitutional. In other words, although directors may be charged for the criminal wrongdoing of a corporate body, employees (such as the CEO’s of the corporate respondents </w:t>
      </w:r>
      <w:r w:rsidR="00464B8E" w:rsidRPr="00906277">
        <w:rPr>
          <w:rFonts w:ascii="Arial" w:hAnsi="Arial" w:cs="Arial"/>
          <w:i/>
          <w:lang w:val="en-US"/>
        </w:rPr>
        <w:t>qua</w:t>
      </w:r>
      <w:r w:rsidR="00464B8E" w:rsidRPr="00906277">
        <w:rPr>
          <w:rFonts w:ascii="Arial" w:hAnsi="Arial" w:cs="Arial"/>
          <w:lang w:val="en-US"/>
        </w:rPr>
        <w:t xml:space="preserve"> ‘servants’) may not</w:t>
      </w:r>
      <w:r w:rsidR="00F810A4" w:rsidRPr="00906277">
        <w:rPr>
          <w:rFonts w:ascii="Arial" w:hAnsi="Arial" w:cs="Arial"/>
          <w:lang w:val="en-US"/>
        </w:rPr>
        <w:t xml:space="preserve"> be</w:t>
      </w:r>
      <w:r w:rsidR="00464B8E" w:rsidRPr="00906277">
        <w:rPr>
          <w:rFonts w:ascii="Arial" w:hAnsi="Arial" w:cs="Arial"/>
          <w:lang w:val="en-US"/>
        </w:rPr>
        <w:t>.</w:t>
      </w:r>
    </w:p>
    <w:p w14:paraId="2E657B03" w14:textId="77777777" w:rsidR="000E1147" w:rsidRDefault="000E1147" w:rsidP="007D5A39">
      <w:pPr>
        <w:spacing w:line="480" w:lineRule="auto"/>
        <w:ind w:hanging="11"/>
        <w:contextualSpacing/>
        <w:jc w:val="both"/>
        <w:rPr>
          <w:rFonts w:ascii="Arial" w:hAnsi="Arial" w:cs="Arial"/>
        </w:rPr>
      </w:pPr>
    </w:p>
    <w:p w14:paraId="05D1E30D" w14:textId="77777777" w:rsidR="000E1147" w:rsidRDefault="00464B8E"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hAnsi="Arial" w:cs="Arial"/>
          <w:lang w:val="en-US"/>
        </w:rPr>
        <w:t>The offence can be either statutory or in terms of the common law and can comprise an omission or failure by a director or employee to do something which had to be done, as long as the unlawful conduct took place during the exercise of powers or execution of the duties of the director or employee or with the intention of advancing the interests of the corporate body.</w:t>
      </w:r>
      <w:r w:rsidRPr="004379AA">
        <w:rPr>
          <w:rStyle w:val="FootnoteReference"/>
          <w:rFonts w:ascii="Arial" w:hAnsi="Arial" w:cs="Arial"/>
          <w:lang w:val="en-US"/>
        </w:rPr>
        <w:footnoteReference w:id="14"/>
      </w:r>
    </w:p>
    <w:p w14:paraId="01024CF8" w14:textId="77777777" w:rsidR="000E1147" w:rsidRDefault="000E1147" w:rsidP="007D5A39">
      <w:pPr>
        <w:pStyle w:val="ListParagraph"/>
        <w:spacing w:line="480" w:lineRule="auto"/>
        <w:rPr>
          <w:rFonts w:ascii="Arial" w:eastAsia="Times New Roman" w:hAnsi="Arial" w:cs="Arial"/>
          <w:lang w:eastAsia="en-GB"/>
        </w:rPr>
      </w:pPr>
    </w:p>
    <w:p w14:paraId="6945CCF4" w14:textId="77777777" w:rsidR="000E1147" w:rsidRPr="00725665" w:rsidRDefault="00BC554E"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t xml:space="preserve">Why no recourse </w:t>
      </w:r>
      <w:r w:rsidR="00E639D5" w:rsidRPr="000E1147">
        <w:rPr>
          <w:rFonts w:ascii="Arial" w:eastAsia="Times New Roman" w:hAnsi="Arial" w:cs="Arial"/>
          <w:lang w:eastAsia="en-GB"/>
        </w:rPr>
        <w:t>was</w:t>
      </w:r>
      <w:r w:rsidRPr="000E1147">
        <w:rPr>
          <w:rFonts w:ascii="Arial" w:eastAsia="Times New Roman" w:hAnsi="Arial" w:cs="Arial"/>
          <w:lang w:eastAsia="en-GB"/>
        </w:rPr>
        <w:t xml:space="preserve"> had </w:t>
      </w:r>
      <w:r w:rsidR="00E639D5" w:rsidRPr="000E1147">
        <w:rPr>
          <w:rFonts w:ascii="Arial" w:eastAsia="Times New Roman" w:hAnsi="Arial" w:cs="Arial"/>
          <w:lang w:eastAsia="en-GB"/>
        </w:rPr>
        <w:t xml:space="preserve">by the Minister and NamibRe </w:t>
      </w:r>
      <w:r w:rsidR="00876D92" w:rsidRPr="000E1147">
        <w:rPr>
          <w:rFonts w:ascii="Arial" w:eastAsia="Times New Roman" w:hAnsi="Arial" w:cs="Arial"/>
          <w:lang w:eastAsia="en-GB"/>
        </w:rPr>
        <w:t>to</w:t>
      </w:r>
      <w:r w:rsidR="00E639D5" w:rsidRPr="000E1147">
        <w:rPr>
          <w:rFonts w:ascii="Arial" w:eastAsia="Times New Roman" w:hAnsi="Arial" w:cs="Arial"/>
          <w:lang w:eastAsia="en-GB"/>
        </w:rPr>
        <w:t xml:space="preserve"> s 42</w:t>
      </w:r>
      <w:r w:rsidR="00876D92" w:rsidRPr="000E1147">
        <w:rPr>
          <w:rFonts w:ascii="Arial" w:eastAsia="Times New Roman" w:hAnsi="Arial" w:cs="Arial"/>
          <w:lang w:eastAsia="en-GB"/>
        </w:rPr>
        <w:t xml:space="preserve"> and </w:t>
      </w:r>
      <w:r w:rsidR="00464B8E" w:rsidRPr="000E1147">
        <w:rPr>
          <w:rFonts w:ascii="Arial" w:eastAsia="Times New Roman" w:hAnsi="Arial" w:cs="Arial"/>
          <w:lang w:eastAsia="en-GB"/>
        </w:rPr>
        <w:t xml:space="preserve">regulation 14 </w:t>
      </w:r>
      <w:r w:rsidR="00876D92" w:rsidRPr="000E1147">
        <w:rPr>
          <w:rFonts w:ascii="Arial" w:eastAsia="Times New Roman" w:hAnsi="Arial" w:cs="Arial"/>
          <w:lang w:eastAsia="en-GB"/>
        </w:rPr>
        <w:t xml:space="preserve">to exact compliance with the law </w:t>
      </w:r>
      <w:r w:rsidRPr="000E1147">
        <w:rPr>
          <w:rFonts w:ascii="Arial" w:eastAsia="Times New Roman" w:hAnsi="Arial" w:cs="Arial"/>
          <w:lang w:eastAsia="en-GB"/>
        </w:rPr>
        <w:t>remains unexplained</w:t>
      </w:r>
      <w:r w:rsidR="00E639D5" w:rsidRPr="000E1147">
        <w:rPr>
          <w:rFonts w:ascii="Arial" w:eastAsia="Times New Roman" w:hAnsi="Arial" w:cs="Arial"/>
          <w:lang w:eastAsia="en-GB"/>
        </w:rPr>
        <w:t>.</w:t>
      </w:r>
      <w:r w:rsidRPr="000E1147">
        <w:rPr>
          <w:rFonts w:ascii="Arial" w:eastAsia="Times New Roman" w:hAnsi="Arial" w:cs="Arial"/>
          <w:lang w:eastAsia="en-GB"/>
        </w:rPr>
        <w:t xml:space="preserve"> </w:t>
      </w:r>
      <w:r w:rsidR="00876D92" w:rsidRPr="000E1147">
        <w:rPr>
          <w:rFonts w:ascii="Arial" w:eastAsia="Times New Roman" w:hAnsi="Arial" w:cs="Arial"/>
          <w:lang w:eastAsia="en-GB"/>
        </w:rPr>
        <w:t>Therefore, w</w:t>
      </w:r>
      <w:r w:rsidR="00B1594C" w:rsidRPr="000E1147">
        <w:rPr>
          <w:rFonts w:ascii="Arial" w:eastAsia="Times New Roman" w:hAnsi="Arial" w:cs="Arial"/>
          <w:lang w:eastAsia="en-GB"/>
        </w:rPr>
        <w:t>hat we are faced wit</w:t>
      </w:r>
      <w:r w:rsidR="00876D92" w:rsidRPr="000E1147">
        <w:rPr>
          <w:rFonts w:ascii="Arial" w:eastAsia="Times New Roman" w:hAnsi="Arial" w:cs="Arial"/>
          <w:lang w:eastAsia="en-GB"/>
        </w:rPr>
        <w:t>h is not a situation where the M</w:t>
      </w:r>
      <w:r w:rsidR="00B1594C" w:rsidRPr="000E1147">
        <w:rPr>
          <w:rFonts w:ascii="Arial" w:eastAsia="Times New Roman" w:hAnsi="Arial" w:cs="Arial"/>
          <w:lang w:eastAsia="en-GB"/>
        </w:rPr>
        <w:t xml:space="preserve">inister </w:t>
      </w:r>
      <w:r w:rsidR="00876D92" w:rsidRPr="000E1147">
        <w:rPr>
          <w:rFonts w:ascii="Arial" w:eastAsia="Times New Roman" w:hAnsi="Arial" w:cs="Arial"/>
          <w:lang w:eastAsia="en-GB"/>
        </w:rPr>
        <w:t>and NamibRe are without an alternative remedy; rather</w:t>
      </w:r>
      <w:r w:rsidR="00B1594C" w:rsidRPr="000E1147">
        <w:rPr>
          <w:rFonts w:ascii="Arial" w:eastAsia="Times New Roman" w:hAnsi="Arial" w:cs="Arial"/>
          <w:lang w:eastAsia="en-GB"/>
        </w:rPr>
        <w:t xml:space="preserve"> that </w:t>
      </w:r>
      <w:r w:rsidR="00876D92" w:rsidRPr="000E1147">
        <w:rPr>
          <w:rFonts w:ascii="Arial" w:eastAsia="Times New Roman" w:hAnsi="Arial" w:cs="Arial"/>
          <w:lang w:eastAsia="en-GB"/>
        </w:rPr>
        <w:t>they prefer</w:t>
      </w:r>
      <w:r w:rsidR="00B1594C" w:rsidRPr="000E1147">
        <w:rPr>
          <w:rFonts w:ascii="Arial" w:eastAsia="Times New Roman" w:hAnsi="Arial" w:cs="Arial"/>
          <w:lang w:eastAsia="en-GB"/>
        </w:rPr>
        <w:t xml:space="preserve"> remed</w:t>
      </w:r>
      <w:r w:rsidR="00876D92" w:rsidRPr="000E1147">
        <w:rPr>
          <w:rFonts w:ascii="Arial" w:eastAsia="Times New Roman" w:hAnsi="Arial" w:cs="Arial"/>
          <w:lang w:eastAsia="en-GB"/>
        </w:rPr>
        <w:t>ies</w:t>
      </w:r>
      <w:r w:rsidR="00B1594C" w:rsidRPr="000E1147">
        <w:rPr>
          <w:rFonts w:ascii="Arial" w:eastAsia="Times New Roman" w:hAnsi="Arial" w:cs="Arial"/>
          <w:lang w:eastAsia="en-GB"/>
        </w:rPr>
        <w:t xml:space="preserve"> other than th</w:t>
      </w:r>
      <w:r w:rsidR="00876D92" w:rsidRPr="000E1147">
        <w:rPr>
          <w:rFonts w:ascii="Arial" w:eastAsia="Times New Roman" w:hAnsi="Arial" w:cs="Arial"/>
          <w:lang w:eastAsia="en-GB"/>
        </w:rPr>
        <w:t>ose</w:t>
      </w:r>
      <w:r w:rsidR="00B1594C" w:rsidRPr="000E1147">
        <w:rPr>
          <w:rFonts w:ascii="Arial" w:eastAsia="Times New Roman" w:hAnsi="Arial" w:cs="Arial"/>
          <w:lang w:eastAsia="en-GB"/>
        </w:rPr>
        <w:t xml:space="preserve"> that the legislature has provided </w:t>
      </w:r>
      <w:r w:rsidR="00876D92" w:rsidRPr="000E1147">
        <w:rPr>
          <w:rFonts w:ascii="Arial" w:eastAsia="Times New Roman" w:hAnsi="Arial" w:cs="Arial"/>
          <w:lang w:eastAsia="en-GB"/>
        </w:rPr>
        <w:t>them; and</w:t>
      </w:r>
      <w:r w:rsidR="00B1594C" w:rsidRPr="000E1147">
        <w:rPr>
          <w:rFonts w:ascii="Arial" w:eastAsia="Times New Roman" w:hAnsi="Arial" w:cs="Arial"/>
          <w:lang w:eastAsia="en-GB"/>
        </w:rPr>
        <w:t xml:space="preserve"> without placing on record why the statutory remedies are </w:t>
      </w:r>
      <w:r w:rsidR="00876D92" w:rsidRPr="000E1147">
        <w:rPr>
          <w:rFonts w:ascii="Arial" w:eastAsia="Times New Roman" w:hAnsi="Arial" w:cs="Arial"/>
          <w:lang w:eastAsia="en-GB"/>
        </w:rPr>
        <w:t>considered inappropriate.</w:t>
      </w:r>
      <w:r w:rsidR="00B1594C" w:rsidRPr="000E1147">
        <w:rPr>
          <w:rFonts w:ascii="Arial" w:eastAsia="Times New Roman" w:hAnsi="Arial" w:cs="Arial"/>
          <w:lang w:eastAsia="en-GB"/>
        </w:rPr>
        <w:t xml:space="preserve"> </w:t>
      </w:r>
    </w:p>
    <w:p w14:paraId="1CE8E41E" w14:textId="77777777" w:rsidR="00725665" w:rsidRDefault="00725665" w:rsidP="007D5A39">
      <w:pPr>
        <w:spacing w:line="480" w:lineRule="auto"/>
        <w:contextualSpacing/>
        <w:jc w:val="both"/>
        <w:rPr>
          <w:rFonts w:ascii="Arial" w:hAnsi="Arial" w:cs="Arial"/>
        </w:rPr>
      </w:pPr>
    </w:p>
    <w:p w14:paraId="0C3D810F" w14:textId="77777777" w:rsidR="000E1147" w:rsidRDefault="00464B8E" w:rsidP="007D5A39">
      <w:pPr>
        <w:spacing w:after="160" w:line="480" w:lineRule="auto"/>
        <w:contextualSpacing/>
        <w:jc w:val="both"/>
        <w:rPr>
          <w:rFonts w:ascii="Arial" w:hAnsi="Arial" w:cs="Arial"/>
          <w:i/>
        </w:rPr>
      </w:pPr>
      <w:r w:rsidRPr="000E1147">
        <w:rPr>
          <w:rFonts w:ascii="Arial" w:hAnsi="Arial" w:cs="Arial"/>
          <w:i/>
        </w:rPr>
        <w:t>Private law claim for damages: breach of a duty imposed by law</w:t>
      </w:r>
    </w:p>
    <w:p w14:paraId="73DEA031" w14:textId="21C11CB1" w:rsidR="000E1147" w:rsidRPr="000E1147" w:rsidRDefault="00464B8E"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t xml:space="preserve">It is not suggested that the penal regime under the NNRCA is in substitution for any civil claim that the Government </w:t>
      </w:r>
      <w:r w:rsidR="00F810A4" w:rsidRPr="000E1147">
        <w:rPr>
          <w:rFonts w:ascii="Arial" w:eastAsia="Times New Roman" w:hAnsi="Arial" w:cs="Arial"/>
          <w:lang w:eastAsia="en-GB"/>
        </w:rPr>
        <w:t xml:space="preserve">(or indeed NamibRe) </w:t>
      </w:r>
      <w:r w:rsidRPr="000E1147">
        <w:rPr>
          <w:rFonts w:ascii="Arial" w:eastAsia="Times New Roman" w:hAnsi="Arial" w:cs="Arial"/>
          <w:lang w:eastAsia="en-GB"/>
        </w:rPr>
        <w:t>may institute against defaulting insurers and re-insurers for financial losses suffered</w:t>
      </w:r>
      <w:r w:rsidR="00F810A4" w:rsidRPr="000E1147">
        <w:rPr>
          <w:rFonts w:ascii="Arial" w:eastAsia="Times New Roman" w:hAnsi="Arial" w:cs="Arial"/>
          <w:lang w:eastAsia="en-GB"/>
        </w:rPr>
        <w:t>.</w:t>
      </w:r>
      <w:r w:rsidRPr="000E1147">
        <w:rPr>
          <w:rFonts w:ascii="Arial" w:eastAsia="Times New Roman" w:hAnsi="Arial" w:cs="Arial"/>
          <w:lang w:eastAsia="en-GB"/>
        </w:rPr>
        <w:t xml:space="preserve"> The causes of action the section gives to NamibRe would not have been possible without it being specifically recognised under statute. Those claims therefore are separate and distinct from those that the </w:t>
      </w:r>
      <w:r w:rsidRPr="000E1147">
        <w:rPr>
          <w:rFonts w:ascii="Arial" w:eastAsia="Times New Roman" w:hAnsi="Arial" w:cs="Arial"/>
          <w:lang w:eastAsia="en-GB"/>
        </w:rPr>
        <w:lastRenderedPageBreak/>
        <w:t>Government representing the State and the public has for losses suffered f</w:t>
      </w:r>
      <w:r w:rsidR="00856227" w:rsidRPr="000E1147">
        <w:rPr>
          <w:rFonts w:ascii="Arial" w:eastAsia="Times New Roman" w:hAnsi="Arial" w:cs="Arial"/>
          <w:lang w:eastAsia="en-GB"/>
        </w:rPr>
        <w:t>rom no-c</w:t>
      </w:r>
      <w:r w:rsidR="000E1147">
        <w:rPr>
          <w:rFonts w:ascii="Arial" w:eastAsia="Times New Roman" w:hAnsi="Arial" w:cs="Arial"/>
          <w:lang w:eastAsia="en-GB"/>
        </w:rPr>
        <w:t>ompliance with the law.</w:t>
      </w:r>
    </w:p>
    <w:p w14:paraId="23662C60" w14:textId="77777777" w:rsidR="000E1147" w:rsidRDefault="000E1147" w:rsidP="007D5A39">
      <w:pPr>
        <w:spacing w:line="480" w:lineRule="auto"/>
        <w:ind w:hanging="11"/>
        <w:contextualSpacing/>
        <w:jc w:val="both"/>
        <w:rPr>
          <w:rFonts w:ascii="Arial" w:hAnsi="Arial" w:cs="Arial"/>
        </w:rPr>
      </w:pPr>
    </w:p>
    <w:p w14:paraId="184F3DD3" w14:textId="77777777" w:rsidR="000E1147" w:rsidRDefault="00464B8E"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t xml:space="preserve">At common law, a person for whose benefit a statutory provision operates may have a claim for damages against </w:t>
      </w:r>
      <w:r w:rsidR="008230DB" w:rsidRPr="000E1147">
        <w:rPr>
          <w:rFonts w:ascii="Arial" w:eastAsia="Times New Roman" w:hAnsi="Arial" w:cs="Arial"/>
          <w:lang w:eastAsia="en-GB"/>
        </w:rPr>
        <w:t>one</w:t>
      </w:r>
      <w:r w:rsidRPr="000E1147">
        <w:rPr>
          <w:rFonts w:ascii="Arial" w:eastAsia="Times New Roman" w:hAnsi="Arial" w:cs="Arial"/>
          <w:lang w:eastAsia="en-GB"/>
        </w:rPr>
        <w:t xml:space="preserve"> who breaches the statutory duty. The elements to be proved in such a case are:</w:t>
      </w:r>
    </w:p>
    <w:p w14:paraId="279772A9" w14:textId="77777777" w:rsidR="000E1147" w:rsidRDefault="000E1147" w:rsidP="004C5BC0">
      <w:pPr>
        <w:pStyle w:val="ListParagraph"/>
        <w:spacing w:line="360" w:lineRule="auto"/>
        <w:ind w:left="0" w:hanging="11"/>
        <w:rPr>
          <w:rFonts w:ascii="Arial" w:eastAsia="Times New Roman" w:hAnsi="Arial" w:cs="Arial"/>
          <w:lang w:eastAsia="en-GB"/>
        </w:rPr>
      </w:pPr>
    </w:p>
    <w:p w14:paraId="39561BA4" w14:textId="77777777" w:rsidR="000E1147" w:rsidRPr="004379AA" w:rsidRDefault="000E1147" w:rsidP="007D5A39">
      <w:pPr>
        <w:spacing w:line="360" w:lineRule="auto"/>
        <w:ind w:left="1418" w:hanging="567"/>
        <w:jc w:val="both"/>
        <w:rPr>
          <w:rFonts w:ascii="Arial" w:eastAsia="Times New Roman" w:hAnsi="Arial" w:cs="Arial"/>
          <w:sz w:val="22"/>
          <w:szCs w:val="22"/>
          <w:lang w:eastAsia="en-GB"/>
        </w:rPr>
      </w:pPr>
      <w:r w:rsidRPr="004379AA">
        <w:rPr>
          <w:rFonts w:ascii="Arial" w:eastAsia="Times New Roman" w:hAnsi="Arial" w:cs="Arial"/>
          <w:sz w:val="22"/>
          <w:szCs w:val="22"/>
          <w:lang w:eastAsia="en-GB"/>
        </w:rPr>
        <w:t>‘(a)</w:t>
      </w:r>
      <w:r w:rsidRPr="004379AA">
        <w:rPr>
          <w:rFonts w:ascii="Arial" w:eastAsia="Times New Roman" w:hAnsi="Arial" w:cs="Arial"/>
          <w:sz w:val="22"/>
          <w:szCs w:val="22"/>
          <w:lang w:eastAsia="en-GB"/>
        </w:rPr>
        <w:tab/>
        <w:t>that the relevant statutory measure provided the plaintiff with a private law remedy;</w:t>
      </w:r>
    </w:p>
    <w:p w14:paraId="376F2E8E" w14:textId="77777777" w:rsidR="000E1147" w:rsidRPr="004379AA" w:rsidRDefault="000E1147" w:rsidP="007D5A39">
      <w:pPr>
        <w:spacing w:line="360" w:lineRule="auto"/>
        <w:jc w:val="both"/>
        <w:rPr>
          <w:rFonts w:ascii="Arial" w:eastAsia="Times New Roman" w:hAnsi="Arial" w:cs="Arial"/>
          <w:sz w:val="22"/>
          <w:szCs w:val="22"/>
          <w:lang w:eastAsia="en-GB"/>
        </w:rPr>
      </w:pPr>
    </w:p>
    <w:p w14:paraId="3F59DE78" w14:textId="77777777" w:rsidR="000E1147" w:rsidRPr="004379AA" w:rsidRDefault="000E1147" w:rsidP="007D5A39">
      <w:pPr>
        <w:spacing w:line="360" w:lineRule="auto"/>
        <w:ind w:left="1418" w:hanging="567"/>
        <w:jc w:val="both"/>
        <w:rPr>
          <w:rFonts w:ascii="Arial" w:eastAsia="Times New Roman" w:hAnsi="Arial" w:cs="Arial"/>
          <w:sz w:val="22"/>
          <w:szCs w:val="22"/>
          <w:lang w:eastAsia="en-GB"/>
        </w:rPr>
      </w:pPr>
      <w:r w:rsidRPr="004379AA">
        <w:rPr>
          <w:rFonts w:ascii="Arial" w:eastAsia="Times New Roman" w:hAnsi="Arial" w:cs="Arial"/>
          <w:sz w:val="22"/>
          <w:szCs w:val="22"/>
          <w:lang w:eastAsia="en-GB"/>
        </w:rPr>
        <w:t>(b)</w:t>
      </w:r>
      <w:r w:rsidRPr="004379AA">
        <w:rPr>
          <w:rFonts w:ascii="Arial" w:eastAsia="Times New Roman" w:hAnsi="Arial" w:cs="Arial"/>
          <w:sz w:val="22"/>
          <w:szCs w:val="22"/>
          <w:lang w:eastAsia="en-GB"/>
        </w:rPr>
        <w:tab/>
        <w:t>that the plaintiff is a person for whose benefit and protection the statutory duty was imposed;</w:t>
      </w:r>
    </w:p>
    <w:p w14:paraId="75B8761C" w14:textId="77777777" w:rsidR="000E1147" w:rsidRPr="004379AA" w:rsidRDefault="000E1147" w:rsidP="007D5A39">
      <w:pPr>
        <w:pStyle w:val="ListParagraph"/>
        <w:spacing w:line="360" w:lineRule="auto"/>
        <w:ind w:left="1418" w:hanging="567"/>
        <w:jc w:val="both"/>
        <w:rPr>
          <w:rFonts w:ascii="Arial" w:eastAsia="Times New Roman" w:hAnsi="Arial" w:cs="Arial"/>
          <w:sz w:val="22"/>
          <w:szCs w:val="22"/>
          <w:lang w:eastAsia="en-GB"/>
        </w:rPr>
      </w:pPr>
    </w:p>
    <w:p w14:paraId="40980C2E" w14:textId="77777777" w:rsidR="000E1147" w:rsidRPr="004379AA" w:rsidRDefault="000E1147" w:rsidP="007D5A39">
      <w:pPr>
        <w:pStyle w:val="ListParagraph"/>
        <w:numPr>
          <w:ilvl w:val="0"/>
          <w:numId w:val="4"/>
        </w:numPr>
        <w:spacing w:line="360" w:lineRule="auto"/>
        <w:ind w:left="1418" w:hanging="567"/>
        <w:jc w:val="both"/>
        <w:rPr>
          <w:rFonts w:ascii="Arial" w:eastAsia="Times New Roman" w:hAnsi="Arial" w:cs="Arial"/>
          <w:sz w:val="22"/>
          <w:szCs w:val="22"/>
          <w:lang w:eastAsia="en-GB"/>
        </w:rPr>
      </w:pPr>
      <w:r w:rsidRPr="004379AA">
        <w:rPr>
          <w:rFonts w:ascii="Arial" w:eastAsia="Times New Roman" w:hAnsi="Arial" w:cs="Arial"/>
          <w:sz w:val="22"/>
          <w:szCs w:val="22"/>
          <w:lang w:eastAsia="en-GB"/>
        </w:rPr>
        <w:t>that the nature of the harm and the manner in which it occurred are such as are contemplated by the enactment;</w:t>
      </w:r>
    </w:p>
    <w:p w14:paraId="24180BDE" w14:textId="77777777" w:rsidR="000E1147" w:rsidRPr="004379AA" w:rsidRDefault="000E1147" w:rsidP="007D5A39">
      <w:pPr>
        <w:spacing w:line="360" w:lineRule="auto"/>
        <w:ind w:left="1418"/>
        <w:jc w:val="both"/>
        <w:rPr>
          <w:rFonts w:ascii="Arial" w:eastAsia="Times New Roman" w:hAnsi="Arial" w:cs="Arial"/>
          <w:sz w:val="22"/>
          <w:szCs w:val="22"/>
          <w:lang w:eastAsia="en-GB"/>
        </w:rPr>
      </w:pPr>
      <w:r w:rsidRPr="004379AA">
        <w:rPr>
          <w:rFonts w:ascii="Arial" w:eastAsia="Times New Roman" w:hAnsi="Arial" w:cs="Arial"/>
          <w:sz w:val="22"/>
          <w:szCs w:val="22"/>
          <w:lang w:eastAsia="en-GB"/>
        </w:rPr>
        <w:t xml:space="preserve">that the defendant in fact transgressed the statutory provisions; and </w:t>
      </w:r>
    </w:p>
    <w:p w14:paraId="498BFE3E" w14:textId="77777777" w:rsidR="000E1147" w:rsidRPr="004379AA" w:rsidRDefault="000E1147" w:rsidP="007D5A39">
      <w:pPr>
        <w:spacing w:line="360" w:lineRule="auto"/>
        <w:ind w:left="1418"/>
        <w:jc w:val="both"/>
        <w:rPr>
          <w:rFonts w:ascii="Arial" w:eastAsia="Times New Roman" w:hAnsi="Arial" w:cs="Arial"/>
          <w:sz w:val="22"/>
          <w:szCs w:val="22"/>
          <w:lang w:eastAsia="en-GB"/>
        </w:rPr>
      </w:pPr>
    </w:p>
    <w:p w14:paraId="1AA56C03" w14:textId="77777777" w:rsidR="000E1147" w:rsidRPr="004379AA" w:rsidRDefault="000E1147" w:rsidP="007D5A39">
      <w:pPr>
        <w:spacing w:line="360" w:lineRule="auto"/>
        <w:ind w:left="1418" w:hanging="567"/>
        <w:jc w:val="both"/>
        <w:rPr>
          <w:rFonts w:ascii="Arial" w:eastAsia="Times New Roman" w:hAnsi="Arial" w:cs="Arial"/>
          <w:lang w:eastAsia="en-GB"/>
        </w:rPr>
      </w:pPr>
      <w:r w:rsidRPr="004379AA">
        <w:rPr>
          <w:rFonts w:ascii="Arial" w:eastAsia="Times New Roman" w:hAnsi="Arial" w:cs="Arial"/>
          <w:sz w:val="22"/>
          <w:szCs w:val="22"/>
          <w:lang w:eastAsia="en-GB"/>
        </w:rPr>
        <w:t>(d)</w:t>
      </w:r>
      <w:r w:rsidRPr="004379AA">
        <w:rPr>
          <w:rFonts w:ascii="Arial" w:eastAsia="Times New Roman" w:hAnsi="Arial" w:cs="Arial"/>
          <w:sz w:val="22"/>
          <w:szCs w:val="22"/>
          <w:lang w:eastAsia="en-GB"/>
        </w:rPr>
        <w:tab/>
        <w:t>that there was a causal nexus between the transgression of the statutory provision and the harm’.</w:t>
      </w:r>
      <w:r w:rsidRPr="004379AA">
        <w:rPr>
          <w:rStyle w:val="FootnoteReference"/>
          <w:rFonts w:ascii="Arial" w:eastAsia="Times New Roman" w:hAnsi="Arial" w:cs="Arial"/>
          <w:sz w:val="22"/>
          <w:szCs w:val="22"/>
          <w:lang w:eastAsia="en-GB"/>
        </w:rPr>
        <w:footnoteReference w:id="15"/>
      </w:r>
    </w:p>
    <w:p w14:paraId="781696C8" w14:textId="77777777" w:rsidR="000E1147" w:rsidRDefault="000E1147" w:rsidP="007D5A39">
      <w:pPr>
        <w:pStyle w:val="ListParagraph"/>
        <w:spacing w:line="480" w:lineRule="auto"/>
        <w:rPr>
          <w:rFonts w:ascii="Arial" w:eastAsia="Times New Roman" w:hAnsi="Arial" w:cs="Arial"/>
          <w:lang w:eastAsia="en-GB"/>
        </w:rPr>
      </w:pPr>
    </w:p>
    <w:p w14:paraId="570F97D4" w14:textId="77777777" w:rsidR="000E1147" w:rsidRPr="007D5A39" w:rsidRDefault="00464B8E"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t xml:space="preserve">The evidence of both the Minister and NamibRe’s chief executive officer demonstrates the potentially quantifiable loss occasioned by the </w:t>
      </w:r>
      <w:r w:rsidR="00E639D5" w:rsidRPr="000E1147">
        <w:rPr>
          <w:rFonts w:ascii="Arial" w:eastAsia="Times New Roman" w:hAnsi="Arial" w:cs="Arial"/>
          <w:lang w:eastAsia="en-GB"/>
        </w:rPr>
        <w:t>respondents’ defiance of</w:t>
      </w:r>
      <w:r w:rsidRPr="000E1147">
        <w:rPr>
          <w:rFonts w:ascii="Arial" w:eastAsia="Times New Roman" w:hAnsi="Arial" w:cs="Arial"/>
          <w:lang w:eastAsia="en-GB"/>
        </w:rPr>
        <w:t xml:space="preserve"> the law. Proof of those losses will, no doubt, be facilitated by the bordeaux that the defiant respondents have committed themselves to file, albeit that the amounts due thereunder will not be paid over.</w:t>
      </w:r>
    </w:p>
    <w:p w14:paraId="3EB5443E" w14:textId="77777777" w:rsidR="007D5A39" w:rsidRPr="000E1147" w:rsidRDefault="007D5A39" w:rsidP="007D5A39">
      <w:pPr>
        <w:spacing w:line="480" w:lineRule="auto"/>
        <w:contextualSpacing/>
        <w:jc w:val="both"/>
        <w:rPr>
          <w:rFonts w:ascii="Arial" w:hAnsi="Arial" w:cs="Arial"/>
        </w:rPr>
      </w:pPr>
    </w:p>
    <w:p w14:paraId="58DC4490" w14:textId="77777777" w:rsidR="000E1147" w:rsidRDefault="0011477F" w:rsidP="007D5A39">
      <w:pPr>
        <w:spacing w:after="160" w:line="480" w:lineRule="auto"/>
        <w:ind w:left="-11"/>
        <w:contextualSpacing/>
        <w:jc w:val="both"/>
        <w:rPr>
          <w:rFonts w:ascii="Arial" w:hAnsi="Arial" w:cs="Arial"/>
        </w:rPr>
      </w:pPr>
      <w:r w:rsidRPr="000E1147">
        <w:rPr>
          <w:rFonts w:ascii="Arial" w:hAnsi="Arial" w:cs="Arial"/>
          <w:i/>
        </w:rPr>
        <w:t xml:space="preserve">The collateral challenge is alive </w:t>
      </w:r>
    </w:p>
    <w:p w14:paraId="5CD3DE23" w14:textId="1CA81A09" w:rsidR="000E1147" w:rsidRPr="007F6A49" w:rsidRDefault="006248E0"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lastRenderedPageBreak/>
        <w:t>The Minister approached court on an urgent basis to seek the present relief</w:t>
      </w:r>
      <w:r w:rsidR="00DE7747" w:rsidRPr="000E1147">
        <w:rPr>
          <w:rFonts w:ascii="Arial" w:eastAsia="Times New Roman" w:hAnsi="Arial" w:cs="Arial"/>
          <w:lang w:eastAsia="en-GB"/>
        </w:rPr>
        <w:t>,</w:t>
      </w:r>
      <w:r w:rsidRPr="000E1147">
        <w:rPr>
          <w:rFonts w:ascii="Arial" w:eastAsia="Times New Roman" w:hAnsi="Arial" w:cs="Arial"/>
          <w:lang w:eastAsia="en-GB"/>
        </w:rPr>
        <w:t xml:space="preserve"> whilst there is pending before t</w:t>
      </w:r>
      <w:r w:rsidR="00B054D2" w:rsidRPr="000E1147">
        <w:rPr>
          <w:rFonts w:ascii="Arial" w:eastAsia="Times New Roman" w:hAnsi="Arial" w:cs="Arial"/>
          <w:lang w:eastAsia="en-GB"/>
        </w:rPr>
        <w:t>he High Court a fully-blown contest about the constitutionality of the legislat</w:t>
      </w:r>
      <w:r w:rsidR="00963BEC" w:rsidRPr="000E1147">
        <w:rPr>
          <w:rFonts w:ascii="Arial" w:eastAsia="Times New Roman" w:hAnsi="Arial" w:cs="Arial"/>
          <w:lang w:eastAsia="en-GB"/>
        </w:rPr>
        <w:t>ive scheme</w:t>
      </w:r>
      <w:r w:rsidR="00464B8E" w:rsidRPr="000E1147">
        <w:rPr>
          <w:rFonts w:ascii="Arial" w:eastAsia="Times New Roman" w:hAnsi="Arial" w:cs="Arial"/>
          <w:lang w:eastAsia="en-GB"/>
        </w:rPr>
        <w:t>.</w:t>
      </w:r>
      <w:r w:rsidR="00963BEC" w:rsidRPr="000E1147">
        <w:rPr>
          <w:rFonts w:ascii="Arial" w:eastAsia="Times New Roman" w:hAnsi="Arial" w:cs="Arial"/>
          <w:lang w:eastAsia="en-GB"/>
        </w:rPr>
        <w:t xml:space="preserve"> </w:t>
      </w:r>
      <w:r w:rsidR="00ED278C" w:rsidRPr="000E1147">
        <w:rPr>
          <w:rFonts w:ascii="Arial" w:eastAsia="Times New Roman" w:hAnsi="Arial" w:cs="Arial"/>
          <w:lang w:eastAsia="en-GB"/>
        </w:rPr>
        <w:t xml:space="preserve">Apart from saying that the collateral challenge is a rehash of the unsuccessful 1999 challenge to the NNRCA, the Minister does not suggest in the present proceedings that since the first challenge failed, it is no longer open to the respondents to challenge the NNRCA. Had he done so, that issue </w:t>
      </w:r>
      <w:r w:rsidR="00491270" w:rsidRPr="000E1147">
        <w:rPr>
          <w:rFonts w:ascii="Arial" w:eastAsia="Times New Roman" w:hAnsi="Arial" w:cs="Arial"/>
          <w:lang w:eastAsia="en-GB"/>
        </w:rPr>
        <w:t>would have be</w:t>
      </w:r>
      <w:r w:rsidR="00314D64">
        <w:rPr>
          <w:rFonts w:ascii="Arial" w:eastAsia="Times New Roman" w:hAnsi="Arial" w:cs="Arial"/>
          <w:lang w:eastAsia="en-GB"/>
        </w:rPr>
        <w:t>en</w:t>
      </w:r>
      <w:r w:rsidR="00491270" w:rsidRPr="000E1147">
        <w:rPr>
          <w:rFonts w:ascii="Arial" w:eastAsia="Times New Roman" w:hAnsi="Arial" w:cs="Arial"/>
          <w:lang w:eastAsia="en-GB"/>
        </w:rPr>
        <w:t xml:space="preserve"> considered. On the contrary, during oral argument Mr Gauntlett</w:t>
      </w:r>
      <w:r w:rsidR="00464B8E" w:rsidRPr="000E1147">
        <w:rPr>
          <w:rFonts w:ascii="Arial" w:eastAsia="Times New Roman" w:hAnsi="Arial" w:cs="Arial"/>
          <w:lang w:eastAsia="en-GB"/>
        </w:rPr>
        <w:t xml:space="preserve"> SC QC for the appellants</w:t>
      </w:r>
      <w:r w:rsidR="00491270" w:rsidRPr="000E1147">
        <w:rPr>
          <w:rFonts w:ascii="Arial" w:eastAsia="Times New Roman" w:hAnsi="Arial" w:cs="Arial"/>
          <w:lang w:eastAsia="en-GB"/>
        </w:rPr>
        <w:t xml:space="preserve"> accepted that a collateral challenge to primary legislation was competent. </w:t>
      </w:r>
    </w:p>
    <w:p w14:paraId="3178ED0A" w14:textId="77777777" w:rsidR="007F6A49" w:rsidRPr="000E1147" w:rsidRDefault="007F6A49" w:rsidP="007F6A49">
      <w:pPr>
        <w:tabs>
          <w:tab w:val="left" w:pos="851"/>
        </w:tabs>
        <w:spacing w:line="480" w:lineRule="auto"/>
        <w:contextualSpacing/>
        <w:jc w:val="both"/>
        <w:rPr>
          <w:rFonts w:ascii="Arial" w:hAnsi="Arial" w:cs="Arial"/>
        </w:rPr>
      </w:pPr>
    </w:p>
    <w:p w14:paraId="177C3F02" w14:textId="77777777" w:rsidR="000E1147" w:rsidRDefault="00491270"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lang w:eastAsia="en-GB"/>
        </w:rPr>
        <w:t xml:space="preserve">Besides, since the Minister has not engaged with the grounds on which unconstitutionality is pegged by the respondents, we are unable to form </w:t>
      </w:r>
      <w:r w:rsidR="00850774" w:rsidRPr="000E1147">
        <w:rPr>
          <w:rFonts w:ascii="Arial" w:eastAsia="Times New Roman" w:hAnsi="Arial" w:cs="Arial"/>
          <w:lang w:eastAsia="en-GB"/>
        </w:rPr>
        <w:t>a</w:t>
      </w:r>
      <w:r w:rsidRPr="000E1147">
        <w:rPr>
          <w:rFonts w:ascii="Arial" w:eastAsia="Times New Roman" w:hAnsi="Arial" w:cs="Arial"/>
          <w:lang w:eastAsia="en-GB"/>
        </w:rPr>
        <w:t xml:space="preserve"> view that the collateral challenge is unmeritorious</w:t>
      </w:r>
      <w:r w:rsidR="00BA0492" w:rsidRPr="000E1147">
        <w:rPr>
          <w:rFonts w:ascii="Arial" w:eastAsia="Times New Roman" w:hAnsi="Arial" w:cs="Arial"/>
          <w:lang w:eastAsia="en-GB"/>
        </w:rPr>
        <w:t>.</w:t>
      </w:r>
    </w:p>
    <w:p w14:paraId="0C170E73" w14:textId="77777777" w:rsidR="000E1147" w:rsidRDefault="000E1147" w:rsidP="00FC3C3F">
      <w:pPr>
        <w:pStyle w:val="ListParagraph"/>
        <w:spacing w:line="480" w:lineRule="auto"/>
        <w:ind w:left="0" w:hanging="11"/>
        <w:rPr>
          <w:rFonts w:ascii="Arial" w:eastAsia="Times New Roman" w:hAnsi="Arial" w:cs="Arial"/>
          <w:bCs/>
          <w:kern w:val="36"/>
          <w:lang w:eastAsia="en-GB"/>
        </w:rPr>
      </w:pPr>
    </w:p>
    <w:p w14:paraId="4B0CB656" w14:textId="77777777" w:rsidR="000E1147" w:rsidRDefault="00066F92"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bCs/>
          <w:kern w:val="36"/>
          <w:lang w:eastAsia="en-GB"/>
        </w:rPr>
        <w:t xml:space="preserve">The concept of a collateral challenge is best understood by first appreciating the common law’s (both Roman-Dutch and English) approach to the consequences produced by a completed administrative act. In a </w:t>
      </w:r>
      <w:r w:rsidRPr="000E1147">
        <w:rPr>
          <w:rFonts w:ascii="Arial" w:eastAsia="Times New Roman" w:hAnsi="Arial" w:cs="Arial"/>
          <w:bCs/>
          <w:i/>
          <w:kern w:val="36"/>
          <w:lang w:eastAsia="en-GB"/>
        </w:rPr>
        <w:t>dictum</w:t>
      </w:r>
      <w:r w:rsidRPr="000E1147">
        <w:rPr>
          <w:rFonts w:ascii="Arial" w:eastAsia="Times New Roman" w:hAnsi="Arial" w:cs="Arial"/>
          <w:bCs/>
          <w:kern w:val="36"/>
          <w:lang w:eastAsia="en-GB"/>
        </w:rPr>
        <w:t xml:space="preserve"> approved by this court</w:t>
      </w:r>
      <w:r w:rsidRPr="004379AA">
        <w:rPr>
          <w:rStyle w:val="FootnoteReference"/>
          <w:rFonts w:ascii="Arial" w:eastAsia="Times New Roman" w:hAnsi="Arial" w:cs="Arial"/>
          <w:bCs/>
          <w:kern w:val="36"/>
          <w:lang w:eastAsia="en-GB"/>
        </w:rPr>
        <w:footnoteReference w:id="16"/>
      </w:r>
      <w:r w:rsidRPr="000E1147">
        <w:rPr>
          <w:rFonts w:ascii="Arial" w:eastAsia="Times New Roman" w:hAnsi="Arial" w:cs="Arial"/>
          <w:bCs/>
          <w:kern w:val="36"/>
          <w:lang w:eastAsia="en-GB"/>
        </w:rPr>
        <w:t xml:space="preserve">, that approach was stated as follows by Howie JP and Nugent JA in </w:t>
      </w:r>
      <w:r w:rsidRPr="000E1147">
        <w:rPr>
          <w:rFonts w:ascii="Arial" w:eastAsia="Times New Roman" w:hAnsi="Arial" w:cs="Arial"/>
          <w:bCs/>
          <w:i/>
          <w:kern w:val="36"/>
          <w:lang w:eastAsia="en-GB"/>
        </w:rPr>
        <w:t>Oudekraal Estates (Pty) L</w:t>
      </w:r>
      <w:r w:rsidR="00A14CFE" w:rsidRPr="000E1147">
        <w:rPr>
          <w:rFonts w:ascii="Arial" w:eastAsia="Times New Roman" w:hAnsi="Arial" w:cs="Arial"/>
          <w:bCs/>
          <w:i/>
          <w:kern w:val="36"/>
          <w:lang w:eastAsia="en-GB"/>
        </w:rPr>
        <w:t>td v The City of Cape Town and o</w:t>
      </w:r>
      <w:r w:rsidRPr="000E1147">
        <w:rPr>
          <w:rFonts w:ascii="Arial" w:eastAsia="Times New Roman" w:hAnsi="Arial" w:cs="Arial"/>
          <w:bCs/>
          <w:i/>
          <w:kern w:val="36"/>
          <w:lang w:eastAsia="en-GB"/>
        </w:rPr>
        <w:t>thers</w:t>
      </w:r>
      <w:r w:rsidRPr="004379AA">
        <w:rPr>
          <w:rStyle w:val="FootnoteReference"/>
          <w:rFonts w:ascii="Arial" w:eastAsia="Times New Roman" w:hAnsi="Arial" w:cs="Arial"/>
          <w:bCs/>
          <w:kern w:val="36"/>
          <w:lang w:eastAsia="en-GB"/>
        </w:rPr>
        <w:footnoteReference w:id="17"/>
      </w:r>
      <w:r w:rsidRPr="000E1147">
        <w:rPr>
          <w:rFonts w:ascii="Arial" w:eastAsia="Times New Roman" w:hAnsi="Arial" w:cs="Arial"/>
          <w:bCs/>
          <w:kern w:val="36"/>
          <w:lang w:eastAsia="en-GB"/>
        </w:rPr>
        <w:t>:</w:t>
      </w:r>
    </w:p>
    <w:p w14:paraId="5EED4502" w14:textId="77777777" w:rsidR="000E1147" w:rsidRDefault="000E1147" w:rsidP="007D5A39">
      <w:pPr>
        <w:pStyle w:val="ListParagraph"/>
        <w:spacing w:line="360" w:lineRule="auto"/>
        <w:rPr>
          <w:rFonts w:ascii="Arial" w:eastAsia="Times New Roman" w:hAnsi="Arial" w:cs="Arial"/>
          <w:bCs/>
          <w:kern w:val="36"/>
          <w:lang w:eastAsia="en-GB"/>
        </w:rPr>
      </w:pPr>
    </w:p>
    <w:p w14:paraId="3E6DD083" w14:textId="77777777" w:rsidR="000E1147" w:rsidRPr="004379AA" w:rsidRDefault="000E1147" w:rsidP="007D5A39">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‘[I]t is clear …that the Administrator’s permission was unlawful and invalid at the outset.</w:t>
      </w:r>
    </w:p>
    <w:p w14:paraId="15E4FED8" w14:textId="77777777" w:rsidR="000E1147" w:rsidRPr="004379AA" w:rsidRDefault="000E1147" w:rsidP="007D5A39">
      <w:pPr>
        <w:spacing w:line="360" w:lineRule="auto"/>
        <w:ind w:left="851"/>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w:t>
      </w:r>
    </w:p>
    <w:p w14:paraId="0D11625D" w14:textId="77777777" w:rsidR="000E1147" w:rsidRPr="004379AA" w:rsidRDefault="000E1147" w:rsidP="007D5A39">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 xml:space="preserve">But the question that arises is what consequences follow from the conclusion that the administrator acted unlawfully. Is the permission that was granted simply to be disregarded as if it had never existed? In other words, was the Cape Metropolitan Council entitled to disregard the Administrator’s approval and all the consequences </w:t>
      </w:r>
      <w:r w:rsidRPr="004379AA">
        <w:rPr>
          <w:rFonts w:ascii="Arial" w:eastAsia="Times New Roman" w:hAnsi="Arial" w:cs="Arial"/>
          <w:bCs/>
          <w:kern w:val="36"/>
          <w:sz w:val="22"/>
          <w:szCs w:val="22"/>
          <w:lang w:eastAsia="en-GB"/>
        </w:rPr>
        <w:lastRenderedPageBreak/>
        <w:t>merely because it believed that they were invalid provided that its believe was correct? In our view, it was not. 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p>
    <w:p w14:paraId="4F7D3445" w14:textId="77777777" w:rsidR="000E1147" w:rsidRDefault="000E1147" w:rsidP="00FC3C3F">
      <w:pPr>
        <w:pStyle w:val="ListParagraph"/>
        <w:spacing w:line="480" w:lineRule="auto"/>
        <w:rPr>
          <w:rFonts w:ascii="Arial" w:eastAsia="Times New Roman" w:hAnsi="Arial" w:cs="Arial"/>
          <w:bCs/>
          <w:kern w:val="36"/>
          <w:lang w:eastAsia="en-GB"/>
        </w:rPr>
      </w:pPr>
    </w:p>
    <w:p w14:paraId="54C6046B" w14:textId="120AB309" w:rsidR="000E1147" w:rsidRPr="00725665" w:rsidRDefault="00066F92"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bCs/>
          <w:kern w:val="36"/>
          <w:lang w:eastAsia="en-GB"/>
        </w:rPr>
        <w:t xml:space="preserve">This court recognised in </w:t>
      </w:r>
      <w:r w:rsidRPr="000E1147">
        <w:rPr>
          <w:rFonts w:ascii="Arial" w:eastAsia="Times New Roman" w:hAnsi="Arial" w:cs="Arial"/>
          <w:bCs/>
          <w:i/>
          <w:kern w:val="36"/>
          <w:lang w:eastAsia="en-GB"/>
        </w:rPr>
        <w:t>Rally for Democracy and Black Range Mining</w:t>
      </w:r>
      <w:r w:rsidRPr="000E1147">
        <w:rPr>
          <w:rFonts w:ascii="Arial" w:eastAsia="Times New Roman" w:hAnsi="Arial" w:cs="Arial"/>
          <w:bCs/>
          <w:kern w:val="36"/>
          <w:lang w:eastAsia="en-GB"/>
        </w:rPr>
        <w:t xml:space="preserve"> that the rule of law will be undermined if that were not so. Yet, it offends the values that underpin our Constitution if the subject were to be made to suffer the consequences of unlawful administrative action without demur. The answer in our constitutional state is the collateral challenge. </w:t>
      </w:r>
      <w:r w:rsidR="00850774" w:rsidRPr="000E1147">
        <w:rPr>
          <w:rFonts w:ascii="Arial" w:eastAsia="Times New Roman" w:hAnsi="Arial" w:cs="Arial"/>
          <w:bCs/>
          <w:kern w:val="36"/>
          <w:lang w:eastAsia="en-GB"/>
        </w:rPr>
        <w:t xml:space="preserve"> </w:t>
      </w:r>
      <w:r w:rsidRPr="000E1147">
        <w:rPr>
          <w:rFonts w:ascii="Arial" w:eastAsia="Times New Roman" w:hAnsi="Arial" w:cs="Arial"/>
          <w:bCs/>
          <w:kern w:val="36"/>
          <w:lang w:eastAsia="en-GB"/>
        </w:rPr>
        <w:t xml:space="preserve">Thus, if officialdom, relying on an impugned administrative act, coerces the subject to comply therewith, it opens itself to being resisted with a collateral challenge. </w:t>
      </w:r>
      <w:r w:rsidRPr="000E1147">
        <w:rPr>
          <w:rFonts w:ascii="Arial" w:eastAsia="Times New Roman" w:hAnsi="Arial" w:cs="Arial"/>
          <w:bCs/>
          <w:i/>
          <w:kern w:val="36"/>
          <w:lang w:eastAsia="en-GB"/>
        </w:rPr>
        <w:t>Forsyth</w:t>
      </w:r>
      <w:r w:rsidRPr="000E1147">
        <w:rPr>
          <w:rFonts w:ascii="Arial" w:eastAsia="Times New Roman" w:hAnsi="Arial" w:cs="Arial"/>
          <w:bCs/>
          <w:kern w:val="36"/>
          <w:lang w:eastAsia="en-GB"/>
        </w:rPr>
        <w:t xml:space="preserve"> explains it thus:</w:t>
      </w:r>
    </w:p>
    <w:p w14:paraId="44435B12" w14:textId="77777777" w:rsidR="00725665" w:rsidRPr="000E1147" w:rsidRDefault="00725665" w:rsidP="007D5A39">
      <w:pPr>
        <w:spacing w:line="360" w:lineRule="auto"/>
        <w:contextualSpacing/>
        <w:jc w:val="both"/>
        <w:rPr>
          <w:rFonts w:ascii="Arial" w:hAnsi="Arial" w:cs="Arial"/>
        </w:rPr>
      </w:pPr>
    </w:p>
    <w:p w14:paraId="5971AF7A" w14:textId="77777777" w:rsidR="000E1147" w:rsidRPr="004379AA" w:rsidRDefault="000E1147" w:rsidP="007D5A39">
      <w:pPr>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‘Only where an individual is required by an administrative authority to do or not to do a particular thing, may that individual, if he doubts the lawfulness of the administrative act in question, choose to treat it as void and await developments. Enforcement proceedings will have to be brought by the administrative authority involved; and the individual will be able to raise the voidness of the underlying administrative act as a defence.</w:t>
      </w:r>
      <w:r w:rsidRPr="004379AA">
        <w:rPr>
          <w:rStyle w:val="FootnoteReference"/>
          <w:rFonts w:ascii="Arial" w:eastAsia="Times New Roman" w:hAnsi="Arial" w:cs="Arial"/>
          <w:bCs/>
          <w:kern w:val="36"/>
          <w:sz w:val="22"/>
          <w:szCs w:val="22"/>
          <w:lang w:eastAsia="en-GB"/>
        </w:rPr>
        <w:footnoteReference w:id="18"/>
      </w:r>
    </w:p>
    <w:p w14:paraId="7ADBB312" w14:textId="77777777" w:rsidR="000E1147" w:rsidRDefault="000E1147" w:rsidP="007D5A39">
      <w:pPr>
        <w:spacing w:line="480" w:lineRule="auto"/>
        <w:contextualSpacing/>
        <w:jc w:val="both"/>
        <w:rPr>
          <w:rFonts w:ascii="Arial" w:hAnsi="Arial" w:cs="Arial"/>
        </w:rPr>
      </w:pPr>
    </w:p>
    <w:p w14:paraId="6C7B504E" w14:textId="77777777" w:rsidR="000E1147" w:rsidRPr="002C304E" w:rsidRDefault="00E639D5" w:rsidP="007E067F">
      <w:pPr>
        <w:numPr>
          <w:ilvl w:val="0"/>
          <w:numId w:val="7"/>
        </w:numPr>
        <w:tabs>
          <w:tab w:val="left" w:pos="851"/>
        </w:tabs>
        <w:spacing w:line="480" w:lineRule="auto"/>
        <w:ind w:left="0" w:hanging="11"/>
        <w:contextualSpacing/>
        <w:jc w:val="both"/>
        <w:rPr>
          <w:rFonts w:ascii="Arial" w:hAnsi="Arial" w:cs="Arial"/>
        </w:rPr>
      </w:pPr>
      <w:r w:rsidRPr="000E1147">
        <w:rPr>
          <w:rFonts w:ascii="Arial" w:eastAsia="Times New Roman" w:hAnsi="Arial" w:cs="Arial"/>
          <w:bCs/>
          <w:kern w:val="36"/>
          <w:lang w:eastAsia="en-GB"/>
        </w:rPr>
        <w:t>As already mentioned, c</w:t>
      </w:r>
      <w:r w:rsidR="00066F92" w:rsidRPr="000E1147">
        <w:rPr>
          <w:rFonts w:ascii="Arial" w:eastAsia="Times New Roman" w:hAnsi="Arial" w:cs="Arial"/>
          <w:bCs/>
          <w:kern w:val="36"/>
          <w:lang w:eastAsia="en-GB"/>
        </w:rPr>
        <w:t xml:space="preserve">ounsel for the Minister accepted during oral argument that the shield of a collateral challenge is not confined to the realm of administrative decision-making and may, in an appropriate case, be invoked in defence against primary legislation. </w:t>
      </w:r>
    </w:p>
    <w:p w14:paraId="4603C0D4" w14:textId="77777777" w:rsidR="002C304E" w:rsidRDefault="00876D92" w:rsidP="007D5A39">
      <w:pPr>
        <w:spacing w:after="160" w:line="480" w:lineRule="auto"/>
        <w:ind w:left="-11"/>
        <w:contextualSpacing/>
        <w:jc w:val="both"/>
        <w:rPr>
          <w:rFonts w:ascii="Arial" w:hAnsi="Arial" w:cs="Arial"/>
        </w:rPr>
      </w:pPr>
      <w:r w:rsidRPr="000E1147">
        <w:rPr>
          <w:rFonts w:ascii="Arial" w:eastAsia="Times New Roman" w:hAnsi="Arial" w:cs="Arial"/>
          <w:bCs/>
          <w:kern w:val="36"/>
          <w:u w:val="single"/>
          <w:lang w:eastAsia="en-GB"/>
        </w:rPr>
        <w:lastRenderedPageBreak/>
        <w:t>Disposal</w:t>
      </w:r>
    </w:p>
    <w:p w14:paraId="7580167A" w14:textId="77777777" w:rsidR="002C304E" w:rsidRPr="002C304E" w:rsidRDefault="00876D92"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lang w:eastAsia="en-GB"/>
        </w:rPr>
        <w:t xml:space="preserve">The s 42 penal provisions and regulation 14 establish defined criminal sanctions resulting from a violation of the </w:t>
      </w:r>
      <w:r w:rsidR="00E639D5" w:rsidRPr="002C304E">
        <w:rPr>
          <w:rFonts w:ascii="Arial" w:eastAsia="Times New Roman" w:hAnsi="Arial" w:cs="Arial"/>
          <w:lang w:eastAsia="en-GB"/>
        </w:rPr>
        <w:t>NNRCA</w:t>
      </w:r>
      <w:r w:rsidRPr="002C304E">
        <w:rPr>
          <w:rFonts w:ascii="Arial" w:eastAsia="Times New Roman" w:hAnsi="Arial" w:cs="Arial"/>
          <w:lang w:eastAsia="en-GB"/>
        </w:rPr>
        <w:t xml:space="preserve">. What </w:t>
      </w:r>
      <w:r w:rsidR="00850774" w:rsidRPr="002C304E">
        <w:rPr>
          <w:rFonts w:ascii="Arial" w:eastAsia="Times New Roman" w:hAnsi="Arial" w:cs="Arial"/>
          <w:lang w:eastAsia="en-GB"/>
        </w:rPr>
        <w:t xml:space="preserve">is sought through the enforcement application is </w:t>
      </w:r>
      <w:r w:rsidRPr="002C304E">
        <w:rPr>
          <w:rFonts w:ascii="Arial" w:eastAsia="Times New Roman" w:hAnsi="Arial" w:cs="Arial"/>
          <w:lang w:eastAsia="en-GB"/>
        </w:rPr>
        <w:t xml:space="preserve">curious in a very important respect. </w:t>
      </w:r>
      <w:r w:rsidR="00E639D5" w:rsidRPr="002C304E">
        <w:rPr>
          <w:rFonts w:ascii="Arial" w:eastAsia="Times New Roman" w:hAnsi="Arial" w:cs="Arial"/>
          <w:lang w:eastAsia="en-GB"/>
        </w:rPr>
        <w:t xml:space="preserve">The Minister and </w:t>
      </w:r>
      <w:r w:rsidR="000511FD" w:rsidRPr="002C304E">
        <w:rPr>
          <w:rFonts w:ascii="Arial" w:eastAsia="Times New Roman" w:hAnsi="Arial" w:cs="Arial"/>
          <w:lang w:eastAsia="en-GB"/>
        </w:rPr>
        <w:t>NamibRe</w:t>
      </w:r>
      <w:r w:rsidR="00E639D5" w:rsidRPr="002C304E">
        <w:rPr>
          <w:rFonts w:ascii="Arial" w:eastAsia="Times New Roman" w:hAnsi="Arial" w:cs="Arial"/>
          <w:lang w:eastAsia="en-GB"/>
        </w:rPr>
        <w:t xml:space="preserve"> seek</w:t>
      </w:r>
      <w:r w:rsidRPr="002C304E">
        <w:rPr>
          <w:rFonts w:ascii="Arial" w:eastAsia="Times New Roman" w:hAnsi="Arial" w:cs="Arial"/>
          <w:lang w:eastAsia="en-GB"/>
        </w:rPr>
        <w:t xml:space="preserve"> to carve out an alternative criminal </w:t>
      </w:r>
      <w:r w:rsidR="00850774" w:rsidRPr="002C304E">
        <w:rPr>
          <w:rFonts w:ascii="Arial" w:eastAsia="Times New Roman" w:hAnsi="Arial" w:cs="Arial"/>
          <w:lang w:eastAsia="en-GB"/>
        </w:rPr>
        <w:t xml:space="preserve">enforcement </w:t>
      </w:r>
      <w:r w:rsidRPr="002C304E">
        <w:rPr>
          <w:rFonts w:ascii="Arial" w:eastAsia="Times New Roman" w:hAnsi="Arial" w:cs="Arial"/>
          <w:lang w:eastAsia="en-GB"/>
        </w:rPr>
        <w:t xml:space="preserve">remedy which will expose the company executives to criminal liability which the legislature has chosen not to grant under s 42: imprisonment </w:t>
      </w:r>
      <w:r w:rsidR="00680030" w:rsidRPr="002C304E">
        <w:rPr>
          <w:rFonts w:ascii="Arial" w:eastAsia="Times New Roman" w:hAnsi="Arial" w:cs="Arial"/>
          <w:lang w:eastAsia="en-GB"/>
        </w:rPr>
        <w:t xml:space="preserve">of servants of companies </w:t>
      </w:r>
      <w:r w:rsidRPr="002C304E">
        <w:rPr>
          <w:rFonts w:ascii="Arial" w:eastAsia="Times New Roman" w:hAnsi="Arial" w:cs="Arial"/>
          <w:lang w:eastAsia="en-GB"/>
        </w:rPr>
        <w:t xml:space="preserve">for contempt for </w:t>
      </w:r>
      <w:r w:rsidR="00850774" w:rsidRPr="002C304E">
        <w:rPr>
          <w:rFonts w:ascii="Arial" w:eastAsia="Times New Roman" w:hAnsi="Arial" w:cs="Arial"/>
          <w:lang w:eastAsia="en-GB"/>
        </w:rPr>
        <w:t xml:space="preserve">an </w:t>
      </w:r>
      <w:r w:rsidRPr="002C304E">
        <w:rPr>
          <w:rFonts w:ascii="Arial" w:eastAsia="Times New Roman" w:hAnsi="Arial" w:cs="Arial"/>
          <w:lang w:eastAsia="en-GB"/>
        </w:rPr>
        <w:t>indefinite period of time</w:t>
      </w:r>
      <w:r w:rsidR="00680030" w:rsidRPr="002C304E">
        <w:rPr>
          <w:rFonts w:ascii="Arial" w:eastAsia="Times New Roman" w:hAnsi="Arial" w:cs="Arial"/>
          <w:lang w:eastAsia="en-GB"/>
        </w:rPr>
        <w:t xml:space="preserve">. </w:t>
      </w:r>
    </w:p>
    <w:p w14:paraId="52B03A73" w14:textId="77777777" w:rsidR="002C304E" w:rsidRDefault="002C304E" w:rsidP="007D5A39">
      <w:pPr>
        <w:spacing w:line="480" w:lineRule="auto"/>
        <w:ind w:hanging="11"/>
        <w:contextualSpacing/>
        <w:jc w:val="both"/>
        <w:rPr>
          <w:rFonts w:ascii="Arial" w:hAnsi="Arial" w:cs="Arial"/>
        </w:rPr>
      </w:pPr>
    </w:p>
    <w:p w14:paraId="1CFA946C" w14:textId="77777777" w:rsidR="002C304E" w:rsidRDefault="00464B8E"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There is a persuasive line of authority from England representing both old</w:t>
      </w:r>
      <w:r w:rsidRPr="004379AA">
        <w:rPr>
          <w:rStyle w:val="FootnoteReference"/>
          <w:rFonts w:ascii="Arial" w:eastAsia="Times New Roman" w:hAnsi="Arial" w:cs="Arial"/>
          <w:bCs/>
          <w:kern w:val="36"/>
          <w:lang w:eastAsia="en-GB"/>
        </w:rPr>
        <w:footnoteReference w:id="19"/>
      </w:r>
      <w:r w:rsidRPr="002C304E">
        <w:rPr>
          <w:rFonts w:ascii="Arial" w:eastAsia="Times New Roman" w:hAnsi="Arial" w:cs="Arial"/>
          <w:bCs/>
          <w:kern w:val="36"/>
          <w:lang w:eastAsia="en-GB"/>
        </w:rPr>
        <w:t xml:space="preserve"> and new cases that where the legislature grants a right and remedy </w:t>
      </w:r>
      <w:r w:rsidRPr="002C304E">
        <w:rPr>
          <w:rFonts w:ascii="Arial" w:eastAsia="Times New Roman" w:hAnsi="Arial" w:cs="Arial"/>
          <w:bCs/>
          <w:i/>
          <w:kern w:val="36"/>
          <w:lang w:eastAsia="en-GB"/>
        </w:rPr>
        <w:t>uno fatu</w:t>
      </w:r>
      <w:r w:rsidRPr="002C304E">
        <w:rPr>
          <w:rFonts w:ascii="Arial" w:eastAsia="Times New Roman" w:hAnsi="Arial" w:cs="Arial"/>
          <w:bCs/>
          <w:kern w:val="36"/>
          <w:lang w:eastAsia="en-GB"/>
        </w:rPr>
        <w:t xml:space="preserve">, those remedies must take precedence. </w:t>
      </w:r>
    </w:p>
    <w:p w14:paraId="6D9E3E79" w14:textId="77777777" w:rsidR="002C304E" w:rsidRDefault="002C304E" w:rsidP="007D5A39">
      <w:pPr>
        <w:pStyle w:val="ListParagraph"/>
        <w:spacing w:line="480" w:lineRule="auto"/>
        <w:ind w:left="0" w:hanging="11"/>
        <w:rPr>
          <w:rFonts w:ascii="Arial" w:hAnsi="Arial" w:cs="Arial"/>
          <w:i/>
        </w:rPr>
      </w:pPr>
    </w:p>
    <w:p w14:paraId="0450B94C" w14:textId="77777777" w:rsidR="002C304E" w:rsidRPr="002C304E" w:rsidRDefault="00A14CFE"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hAnsi="Arial" w:cs="Arial"/>
          <w:i/>
        </w:rPr>
        <w:t>Barraclough v Brown and o</w:t>
      </w:r>
      <w:r w:rsidR="00464B8E" w:rsidRPr="002C304E">
        <w:rPr>
          <w:rFonts w:ascii="Arial" w:hAnsi="Arial" w:cs="Arial"/>
          <w:i/>
        </w:rPr>
        <w:t>thers</w:t>
      </w:r>
      <w:r w:rsidR="00464B8E" w:rsidRPr="004379AA">
        <w:rPr>
          <w:rStyle w:val="FootnoteReference"/>
          <w:rFonts w:ascii="Arial" w:hAnsi="Arial" w:cs="Arial"/>
          <w:i/>
        </w:rPr>
        <w:footnoteReference w:id="20"/>
      </w:r>
      <w:r w:rsidR="00464B8E" w:rsidRPr="002C304E">
        <w:rPr>
          <w:rFonts w:ascii="Arial" w:hAnsi="Arial" w:cs="Arial"/>
        </w:rPr>
        <w:t xml:space="preserve"> </w:t>
      </w:r>
      <w:r w:rsidR="00464B8E" w:rsidRPr="002C304E">
        <w:rPr>
          <w:rFonts w:ascii="Arial" w:hAnsi="Arial" w:cs="Arial"/>
          <w:lang w:val="en-US"/>
        </w:rPr>
        <w:t>is authority for the proposition that where a statute gives a right and remedy to be pursued in a forum other than the High Court, that will exclude a declaration being sought. The question on appeal was whether the High Court had jurisdiction to entertain the claim except by way of an appeal from a court of summary jurisdiction.  It was argued on behalf of the appellant that even if not entitled to recover the expenses by action in the High Court, he was at all events entitled to come to that court for a declaration that on the true interpretation of the statute he had the right to recover the debt.</w:t>
      </w:r>
      <w:r w:rsidR="00680030" w:rsidRPr="002C304E">
        <w:rPr>
          <w:rFonts w:ascii="Arial" w:hAnsi="Arial" w:cs="Arial"/>
          <w:lang w:val="en-US"/>
        </w:rPr>
        <w:t xml:space="preserve"> </w:t>
      </w:r>
      <w:r w:rsidR="00464B8E" w:rsidRPr="002C304E">
        <w:rPr>
          <w:rFonts w:ascii="Arial" w:hAnsi="Arial" w:cs="Arial"/>
          <w:lang w:val="en-US"/>
        </w:rPr>
        <w:t xml:space="preserve">The High Court held that the appellants had no other remedy than that given to it by statute, i.e. to seek redress from a court of summary jurisdiction embedded in s 47 of the Act. That conclusion was confirmed on appeal. Lord Watson held (at 622) that the right and remedy conferred by s 47 could not be dissociated from </w:t>
      </w:r>
      <w:r w:rsidR="00464B8E" w:rsidRPr="002C304E">
        <w:rPr>
          <w:rFonts w:ascii="Arial" w:hAnsi="Arial" w:cs="Arial"/>
          <w:lang w:val="en-US"/>
        </w:rPr>
        <w:lastRenderedPageBreak/>
        <w:t xml:space="preserve">one another and that the summary court had exclusive jurisdiction to determine both quantum and liability of the debt. The court added that the High Court had no power to make declarations of rights in the circumstances. </w:t>
      </w:r>
    </w:p>
    <w:p w14:paraId="079E4BC6" w14:textId="77777777" w:rsidR="002C304E" w:rsidRDefault="002C304E" w:rsidP="007D5A39">
      <w:pPr>
        <w:spacing w:line="480" w:lineRule="auto"/>
        <w:ind w:hanging="11"/>
        <w:contextualSpacing/>
        <w:jc w:val="both"/>
        <w:rPr>
          <w:rFonts w:ascii="Arial" w:hAnsi="Arial" w:cs="Arial"/>
        </w:rPr>
      </w:pPr>
    </w:p>
    <w:p w14:paraId="411D1538" w14:textId="77777777" w:rsidR="002C304E" w:rsidRDefault="00680030"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Like with most legal rules, in an appropriate case the rule that statutory remedies must take precedence instead of seeking a declaration can be departed from</w:t>
      </w:r>
      <w:r w:rsidRPr="004379AA">
        <w:rPr>
          <w:rStyle w:val="FootnoteReference"/>
          <w:rFonts w:ascii="Arial" w:eastAsia="Times New Roman" w:hAnsi="Arial" w:cs="Arial"/>
          <w:bCs/>
          <w:kern w:val="36"/>
          <w:lang w:eastAsia="en-GB"/>
        </w:rPr>
        <w:footnoteReference w:id="21"/>
      </w:r>
      <w:r w:rsidRPr="002C304E">
        <w:rPr>
          <w:rFonts w:ascii="Arial" w:eastAsia="Times New Roman" w:hAnsi="Arial" w:cs="Arial"/>
          <w:bCs/>
          <w:kern w:val="36"/>
          <w:lang w:eastAsia="en-GB"/>
        </w:rPr>
        <w:t xml:space="preserve"> but the party seeking the declaration as opposed to the statutory remedy must show why</w:t>
      </w:r>
      <w:r w:rsidR="00782CEA" w:rsidRPr="002C304E">
        <w:rPr>
          <w:rFonts w:ascii="Arial" w:eastAsia="Times New Roman" w:hAnsi="Arial" w:cs="Arial"/>
          <w:bCs/>
          <w:kern w:val="36"/>
          <w:lang w:eastAsia="en-GB"/>
        </w:rPr>
        <w:t xml:space="preserve"> the declaration should prevail. For </w:t>
      </w:r>
      <w:r w:rsidR="000511FD" w:rsidRPr="002C304E">
        <w:rPr>
          <w:rFonts w:ascii="Arial" w:eastAsia="Times New Roman" w:hAnsi="Arial" w:cs="Arial"/>
          <w:bCs/>
          <w:kern w:val="36"/>
          <w:lang w:eastAsia="en-GB"/>
        </w:rPr>
        <w:t>example,</w:t>
      </w:r>
      <w:r w:rsidR="00782CEA" w:rsidRPr="002C304E">
        <w:rPr>
          <w:rFonts w:ascii="Arial" w:eastAsia="Times New Roman" w:hAnsi="Arial" w:cs="Arial"/>
          <w:bCs/>
          <w:kern w:val="36"/>
          <w:lang w:eastAsia="en-GB"/>
        </w:rPr>
        <w:t xml:space="preserve"> if the statutory remedy </w:t>
      </w:r>
      <w:r w:rsidRPr="002C304E">
        <w:rPr>
          <w:rFonts w:ascii="Arial" w:eastAsia="Times New Roman" w:hAnsi="Arial" w:cs="Arial"/>
          <w:bCs/>
          <w:kern w:val="36"/>
          <w:lang w:eastAsia="en-GB"/>
        </w:rPr>
        <w:t>is ineffective.</w:t>
      </w:r>
      <w:r w:rsidRPr="002C304E">
        <w:rPr>
          <w:rFonts w:ascii="Arial" w:hAnsi="Arial" w:cs="Arial"/>
        </w:rPr>
        <w:t xml:space="preserve"> </w:t>
      </w:r>
      <w:r w:rsidR="00464B8E" w:rsidRPr="002C304E">
        <w:rPr>
          <w:rFonts w:ascii="Arial" w:hAnsi="Arial" w:cs="Arial"/>
          <w:sz w:val="22"/>
          <w:szCs w:val="22"/>
        </w:rPr>
        <w:t xml:space="preserve"> </w:t>
      </w:r>
    </w:p>
    <w:p w14:paraId="59A3FEC8" w14:textId="77777777" w:rsidR="002C304E" w:rsidRDefault="002C304E" w:rsidP="007D5A39">
      <w:pPr>
        <w:pStyle w:val="ListParagraph"/>
        <w:spacing w:line="480" w:lineRule="auto"/>
        <w:rPr>
          <w:rFonts w:ascii="Arial" w:hAnsi="Arial" w:cs="Arial"/>
        </w:rPr>
      </w:pPr>
    </w:p>
    <w:p w14:paraId="3DDDF9B8" w14:textId="77777777" w:rsidR="002C304E" w:rsidRDefault="002C304E"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hAnsi="Arial" w:cs="Arial"/>
        </w:rPr>
        <w:t>I</w:t>
      </w:r>
      <w:r w:rsidR="00680030" w:rsidRPr="002C304E">
        <w:rPr>
          <w:rFonts w:ascii="Arial" w:hAnsi="Arial" w:cs="Arial"/>
        </w:rPr>
        <w:t xml:space="preserve">n my view, the true test is whether granting a declarator in the face of (a) readily available remedies, and (b) the collateral challenge, would constitute an injustice to the parties against whom it is sought, intertwined as it is with an anticipatory order of committal. More so when the Minister put up no contention on affidavit to enable the court to make an assessment whether the respondents’ assertion of the unconstitutionality of the NNRCA and the regulations made under it is, on the face of it, meritless. </w:t>
      </w:r>
    </w:p>
    <w:p w14:paraId="34690355" w14:textId="77777777" w:rsidR="002C304E" w:rsidRDefault="002C304E" w:rsidP="007D5A39">
      <w:pPr>
        <w:pStyle w:val="ListParagraph"/>
        <w:spacing w:line="480" w:lineRule="auto"/>
        <w:ind w:left="0" w:hanging="11"/>
        <w:rPr>
          <w:rFonts w:ascii="Arial" w:eastAsia="Times New Roman" w:hAnsi="Arial" w:cs="Arial"/>
          <w:bCs/>
          <w:kern w:val="36"/>
          <w:lang w:eastAsia="en-GB"/>
        </w:rPr>
      </w:pPr>
    </w:p>
    <w:p w14:paraId="24BED2CC" w14:textId="77777777" w:rsidR="002C304E" w:rsidRPr="002C304E" w:rsidRDefault="00850774"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 xml:space="preserve">The Minister </w:t>
      </w:r>
      <w:r w:rsidR="00782CEA" w:rsidRPr="002C304E">
        <w:rPr>
          <w:rFonts w:ascii="Arial" w:eastAsia="Times New Roman" w:hAnsi="Arial" w:cs="Arial"/>
          <w:bCs/>
          <w:kern w:val="36"/>
          <w:lang w:eastAsia="en-GB"/>
        </w:rPr>
        <w:t>and NamibRe ask</w:t>
      </w:r>
      <w:r w:rsidRPr="002C304E">
        <w:rPr>
          <w:rFonts w:ascii="Arial" w:eastAsia="Times New Roman" w:hAnsi="Arial" w:cs="Arial"/>
          <w:bCs/>
          <w:kern w:val="36"/>
          <w:lang w:eastAsia="en-GB"/>
        </w:rPr>
        <w:t xml:space="preserve"> of the court to </w:t>
      </w:r>
      <w:r w:rsidR="00782CEA" w:rsidRPr="002C304E">
        <w:rPr>
          <w:rFonts w:ascii="Arial" w:eastAsia="Times New Roman" w:hAnsi="Arial" w:cs="Arial"/>
          <w:bCs/>
          <w:kern w:val="36"/>
          <w:lang w:eastAsia="en-GB"/>
        </w:rPr>
        <w:t>declare that the NNRCA is</w:t>
      </w:r>
      <w:r w:rsidRPr="002C304E">
        <w:rPr>
          <w:rFonts w:ascii="Arial" w:eastAsia="Times New Roman" w:hAnsi="Arial" w:cs="Arial"/>
          <w:bCs/>
          <w:kern w:val="36"/>
          <w:lang w:eastAsia="en-GB"/>
        </w:rPr>
        <w:t xml:space="preserve"> of </w:t>
      </w:r>
      <w:r w:rsidR="00B24B8C" w:rsidRPr="002C304E">
        <w:rPr>
          <w:rFonts w:ascii="Arial" w:eastAsia="Times New Roman" w:hAnsi="Arial" w:cs="Arial"/>
          <w:bCs/>
          <w:kern w:val="36"/>
          <w:lang w:eastAsia="en-GB"/>
        </w:rPr>
        <w:t>‘</w:t>
      </w:r>
      <w:r w:rsidRPr="002C304E">
        <w:rPr>
          <w:rFonts w:ascii="Arial" w:eastAsia="Times New Roman" w:hAnsi="Arial" w:cs="Arial"/>
          <w:bCs/>
          <w:kern w:val="36"/>
          <w:lang w:eastAsia="en-GB"/>
        </w:rPr>
        <w:t>full force and effect</w:t>
      </w:r>
      <w:r w:rsidR="00B24B8C" w:rsidRPr="002C304E">
        <w:rPr>
          <w:rFonts w:ascii="Arial" w:eastAsia="Times New Roman" w:hAnsi="Arial" w:cs="Arial"/>
          <w:bCs/>
          <w:kern w:val="36"/>
          <w:lang w:eastAsia="en-GB"/>
        </w:rPr>
        <w:t>’</w:t>
      </w:r>
      <w:r w:rsidRPr="002C304E">
        <w:rPr>
          <w:rFonts w:ascii="Arial" w:eastAsia="Times New Roman" w:hAnsi="Arial" w:cs="Arial"/>
          <w:bCs/>
          <w:kern w:val="36"/>
          <w:lang w:eastAsia="en-GB"/>
        </w:rPr>
        <w:t xml:space="preserve">. But why should that be necessary? What is the legal uncertainty that the declaration is intended to cure? </w:t>
      </w:r>
      <w:r w:rsidR="009D0B13" w:rsidRPr="002C304E">
        <w:rPr>
          <w:rFonts w:ascii="Arial" w:eastAsia="Times New Roman" w:hAnsi="Arial" w:cs="Arial"/>
          <w:bCs/>
          <w:kern w:val="36"/>
          <w:lang w:eastAsia="en-GB"/>
        </w:rPr>
        <w:t xml:space="preserve">In the case before us, it seems </w:t>
      </w:r>
      <w:r w:rsidRPr="002C304E">
        <w:rPr>
          <w:rFonts w:ascii="Arial" w:eastAsia="Times New Roman" w:hAnsi="Arial" w:cs="Arial"/>
          <w:bCs/>
          <w:kern w:val="36"/>
          <w:lang w:eastAsia="en-GB"/>
        </w:rPr>
        <w:t xml:space="preserve">there is no uncertainty </w:t>
      </w:r>
      <w:r w:rsidR="009D0B13" w:rsidRPr="002C304E">
        <w:rPr>
          <w:rFonts w:ascii="Arial" w:eastAsia="Times New Roman" w:hAnsi="Arial" w:cs="Arial"/>
          <w:bCs/>
          <w:kern w:val="36"/>
          <w:lang w:eastAsia="en-GB"/>
        </w:rPr>
        <w:t>because it is common cause that the NNRCA and the notices are binding on the respondents. The</w:t>
      </w:r>
      <w:r w:rsidR="00782CEA" w:rsidRPr="002C304E">
        <w:rPr>
          <w:rFonts w:ascii="Arial" w:eastAsia="Times New Roman" w:hAnsi="Arial" w:cs="Arial"/>
          <w:bCs/>
          <w:kern w:val="36"/>
          <w:lang w:eastAsia="en-GB"/>
        </w:rPr>
        <w:t xml:space="preserve"> defiant respondents</w:t>
      </w:r>
      <w:r w:rsidR="009D0B13" w:rsidRPr="002C304E">
        <w:rPr>
          <w:rFonts w:ascii="Arial" w:eastAsia="Times New Roman" w:hAnsi="Arial" w:cs="Arial"/>
          <w:bCs/>
          <w:kern w:val="36"/>
          <w:lang w:eastAsia="en-GB"/>
        </w:rPr>
        <w:t xml:space="preserve"> know and accept as much. In fact, they have opted </w:t>
      </w:r>
      <w:r w:rsidR="009D0B13" w:rsidRPr="002C304E">
        <w:rPr>
          <w:rFonts w:ascii="Arial" w:eastAsia="Times New Roman" w:hAnsi="Arial" w:cs="Arial"/>
          <w:bCs/>
          <w:kern w:val="36"/>
          <w:lang w:eastAsia="en-GB"/>
        </w:rPr>
        <w:lastRenderedPageBreak/>
        <w:t xml:space="preserve">to obey part of the law by undertaking to submit the bordeaux. </w:t>
      </w:r>
      <w:r w:rsidR="00782CEA" w:rsidRPr="002C304E">
        <w:rPr>
          <w:rFonts w:ascii="Arial" w:eastAsia="Times New Roman" w:hAnsi="Arial" w:cs="Arial"/>
          <w:bCs/>
          <w:kern w:val="36"/>
          <w:lang w:eastAsia="en-GB"/>
        </w:rPr>
        <w:t>Besides, four of t</w:t>
      </w:r>
      <w:r w:rsidR="009D0B13" w:rsidRPr="002C304E">
        <w:rPr>
          <w:rFonts w:ascii="Arial" w:eastAsia="Times New Roman" w:hAnsi="Arial" w:cs="Arial"/>
          <w:bCs/>
          <w:kern w:val="36"/>
          <w:lang w:eastAsia="en-GB"/>
        </w:rPr>
        <w:t>he respondents’ complying counterparts are in fact obe</w:t>
      </w:r>
      <w:r w:rsidR="003A7BF6" w:rsidRPr="002C304E">
        <w:rPr>
          <w:rFonts w:ascii="Arial" w:eastAsia="Times New Roman" w:hAnsi="Arial" w:cs="Arial"/>
          <w:bCs/>
          <w:kern w:val="36"/>
          <w:lang w:eastAsia="en-GB"/>
        </w:rPr>
        <w:t>ying the law, albeit in protest.</w:t>
      </w:r>
    </w:p>
    <w:p w14:paraId="0011CE5F" w14:textId="77777777" w:rsidR="002C304E" w:rsidRDefault="002C304E" w:rsidP="007D5A39">
      <w:pPr>
        <w:spacing w:line="480" w:lineRule="auto"/>
        <w:contextualSpacing/>
        <w:jc w:val="both"/>
        <w:rPr>
          <w:rFonts w:ascii="Arial" w:hAnsi="Arial" w:cs="Arial"/>
        </w:rPr>
      </w:pPr>
    </w:p>
    <w:p w14:paraId="7D5551DD" w14:textId="38149FF3" w:rsidR="002C304E" w:rsidRPr="007D5A39" w:rsidRDefault="009D0B13"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I am fortified in th</w:t>
      </w:r>
      <w:r w:rsidR="00850774" w:rsidRPr="002C304E">
        <w:rPr>
          <w:rFonts w:ascii="Arial" w:eastAsia="Times New Roman" w:hAnsi="Arial" w:cs="Arial"/>
          <w:bCs/>
          <w:kern w:val="36"/>
          <w:lang w:eastAsia="en-GB"/>
        </w:rPr>
        <w:t>at</w:t>
      </w:r>
      <w:r w:rsidRPr="002C304E">
        <w:rPr>
          <w:rFonts w:ascii="Arial" w:eastAsia="Times New Roman" w:hAnsi="Arial" w:cs="Arial"/>
          <w:bCs/>
          <w:kern w:val="36"/>
          <w:lang w:eastAsia="en-GB"/>
        </w:rPr>
        <w:t xml:space="preserve"> view by the appellants’ </w:t>
      </w:r>
      <w:r w:rsidR="00B24B8C" w:rsidRPr="002C304E">
        <w:rPr>
          <w:rFonts w:ascii="Arial" w:eastAsia="Times New Roman" w:hAnsi="Arial" w:cs="Arial"/>
          <w:bCs/>
          <w:kern w:val="36"/>
          <w:lang w:eastAsia="en-GB"/>
        </w:rPr>
        <w:t xml:space="preserve">correct </w:t>
      </w:r>
      <w:r w:rsidRPr="002C304E">
        <w:rPr>
          <w:rFonts w:ascii="Arial" w:eastAsia="Times New Roman" w:hAnsi="Arial" w:cs="Arial"/>
          <w:bCs/>
          <w:kern w:val="36"/>
          <w:lang w:eastAsia="en-GB"/>
        </w:rPr>
        <w:t xml:space="preserve">foundational premise that a duly enacted law must be complied with, until it is set aside in terms of the Constitution. Once a law is enacted, has been assented to and comes into force, it unquestionably represents the law of the land on the subject it covers. I do not get the impression that the respondents suggest otherwise. In my view, the fact that the NNRCA is being challenged is, rather than casting doubt on its formal legal validity, proof of it having </w:t>
      </w:r>
      <w:bookmarkStart w:id="0" w:name="_GoBack"/>
      <w:bookmarkEnd w:id="0"/>
      <w:r w:rsidRPr="002C304E">
        <w:rPr>
          <w:rFonts w:ascii="Arial" w:eastAsia="Times New Roman" w:hAnsi="Arial" w:cs="Arial"/>
          <w:bCs/>
          <w:kern w:val="36"/>
          <w:lang w:eastAsia="en-GB"/>
        </w:rPr>
        <w:t xml:space="preserve">assumed the full force of law. An order seeking </w:t>
      </w:r>
      <w:r w:rsidR="00183787">
        <w:rPr>
          <w:rFonts w:ascii="Arial" w:eastAsia="Times New Roman" w:hAnsi="Arial" w:cs="Arial"/>
          <w:bCs/>
          <w:kern w:val="36"/>
          <w:lang w:eastAsia="en-GB"/>
        </w:rPr>
        <w:t xml:space="preserve">a </w:t>
      </w:r>
      <w:r w:rsidRPr="002C304E">
        <w:rPr>
          <w:rFonts w:ascii="Arial" w:eastAsia="Times New Roman" w:hAnsi="Arial" w:cs="Arial"/>
          <w:bCs/>
          <w:kern w:val="36"/>
          <w:lang w:eastAsia="en-GB"/>
        </w:rPr>
        <w:t xml:space="preserve">declaration of unconstitutionality such as the respondents have done in the constitutional challenge of the NNRCA, relates only to legally valid laws, duly passed by the legislature and assented to by the president. The declaratory order the minister seeks is therefore superfluous. There is no legal uncertainty to be resolved through a declaration. </w:t>
      </w:r>
      <w:r w:rsidR="002D3FC6" w:rsidRPr="002C304E">
        <w:rPr>
          <w:rFonts w:ascii="Arial" w:eastAsia="Times New Roman" w:hAnsi="Arial" w:cs="Arial"/>
          <w:bCs/>
          <w:kern w:val="36"/>
          <w:lang w:eastAsia="en-GB"/>
        </w:rPr>
        <w:t>That makes the declaration sought an inappropriate remedy in the present case.</w:t>
      </w:r>
    </w:p>
    <w:p w14:paraId="43237BF6" w14:textId="77777777" w:rsidR="007D5A39" w:rsidRDefault="007D5A39" w:rsidP="007D5A39">
      <w:pPr>
        <w:spacing w:line="480" w:lineRule="auto"/>
        <w:contextualSpacing/>
        <w:jc w:val="both"/>
        <w:rPr>
          <w:rFonts w:ascii="Arial" w:hAnsi="Arial" w:cs="Arial"/>
        </w:rPr>
      </w:pPr>
    </w:p>
    <w:p w14:paraId="07FE92B1" w14:textId="77777777" w:rsidR="002C304E" w:rsidRDefault="00B24B8C"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But there are other considerations which make the granting of the relief sought inappropriate. I turn to those next.</w:t>
      </w:r>
    </w:p>
    <w:p w14:paraId="7037CA39" w14:textId="77777777" w:rsidR="002C304E" w:rsidRDefault="002C304E" w:rsidP="007D5A39">
      <w:pPr>
        <w:pStyle w:val="ListParagraph"/>
        <w:spacing w:line="480" w:lineRule="auto"/>
        <w:rPr>
          <w:rFonts w:ascii="Arial" w:hAnsi="Arial" w:cs="Arial"/>
          <w:i/>
        </w:rPr>
      </w:pPr>
    </w:p>
    <w:p w14:paraId="10463135" w14:textId="77777777" w:rsidR="002C304E" w:rsidRDefault="00B24B8C" w:rsidP="007D5A39">
      <w:pPr>
        <w:spacing w:after="160" w:line="480" w:lineRule="auto"/>
        <w:contextualSpacing/>
        <w:jc w:val="both"/>
        <w:rPr>
          <w:rFonts w:ascii="Arial" w:hAnsi="Arial" w:cs="Arial"/>
        </w:rPr>
      </w:pPr>
      <w:r w:rsidRPr="002C304E">
        <w:rPr>
          <w:rFonts w:ascii="Arial" w:hAnsi="Arial" w:cs="Arial"/>
          <w:i/>
        </w:rPr>
        <w:t>Collateral challenge is an obstacle</w:t>
      </w:r>
    </w:p>
    <w:p w14:paraId="555A8278" w14:textId="77777777" w:rsidR="002C304E" w:rsidRDefault="0011477F"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hAnsi="Arial" w:cs="Arial"/>
        </w:rPr>
        <w:t>The collateral challenge was not decided by the High Court and remains pending; as are the constitutional challenge and the review. As a matter of principle, we cannot accede to respondents’ counsel’s plea that this court instantly decides the collateral challenge as that issue is not yet ripe for decision</w:t>
      </w:r>
      <w:r w:rsidR="00680030" w:rsidRPr="002C304E">
        <w:rPr>
          <w:rFonts w:ascii="Arial" w:hAnsi="Arial" w:cs="Arial"/>
        </w:rPr>
        <w:t xml:space="preserve"> as recognised by the High Court</w:t>
      </w:r>
      <w:r w:rsidRPr="002C304E">
        <w:rPr>
          <w:rFonts w:ascii="Arial" w:hAnsi="Arial" w:cs="Arial"/>
        </w:rPr>
        <w:t xml:space="preserve">. The fact that we cannot now determine the collateral challenge is all the more reason why the </w:t>
      </w:r>
      <w:r w:rsidRPr="002C304E">
        <w:rPr>
          <w:rFonts w:ascii="Arial" w:hAnsi="Arial" w:cs="Arial"/>
        </w:rPr>
        <w:lastRenderedPageBreak/>
        <w:t>declarator is not an appropriate remedy because to grant it we have to be satisfied that the collateral challenge has no merit, in other words pre-judging an issue yet to be decided by the High Court.</w:t>
      </w:r>
    </w:p>
    <w:p w14:paraId="45B34311" w14:textId="77777777" w:rsidR="00E712F9" w:rsidRDefault="00E712F9" w:rsidP="007D5A39">
      <w:pPr>
        <w:spacing w:line="480" w:lineRule="auto"/>
        <w:contextualSpacing/>
        <w:jc w:val="both"/>
        <w:rPr>
          <w:rFonts w:ascii="Arial" w:hAnsi="Arial" w:cs="Arial"/>
        </w:rPr>
      </w:pPr>
    </w:p>
    <w:p w14:paraId="0FE50ADD" w14:textId="77777777" w:rsidR="006F4A61" w:rsidRPr="00152C90" w:rsidRDefault="002D3FC6" w:rsidP="007E067F">
      <w:pPr>
        <w:numPr>
          <w:ilvl w:val="0"/>
          <w:numId w:val="7"/>
        </w:numPr>
        <w:tabs>
          <w:tab w:val="left" w:pos="851"/>
        </w:tabs>
        <w:spacing w:line="480" w:lineRule="auto"/>
        <w:ind w:left="0" w:hanging="11"/>
        <w:contextualSpacing/>
        <w:jc w:val="both"/>
        <w:rPr>
          <w:rFonts w:ascii="Arial" w:hAnsi="Arial" w:cs="Arial"/>
        </w:rPr>
      </w:pPr>
      <w:r w:rsidRPr="002C304E">
        <w:rPr>
          <w:rFonts w:ascii="Arial" w:eastAsia="Times New Roman" w:hAnsi="Arial" w:cs="Arial"/>
          <w:bCs/>
          <w:kern w:val="36"/>
          <w:lang w:eastAsia="en-GB"/>
        </w:rPr>
        <w:t>Since the</w:t>
      </w:r>
      <w:r w:rsidR="0011477F" w:rsidRPr="002C304E">
        <w:rPr>
          <w:rFonts w:ascii="Arial" w:eastAsia="Times New Roman" w:hAnsi="Arial" w:cs="Arial"/>
          <w:bCs/>
          <w:kern w:val="36"/>
          <w:lang w:eastAsia="en-GB"/>
        </w:rPr>
        <w:t xml:space="preserve"> High Court did not decide the collateral challenge</w:t>
      </w:r>
      <w:r w:rsidRPr="002C304E">
        <w:rPr>
          <w:rFonts w:ascii="Arial" w:eastAsia="Times New Roman" w:hAnsi="Arial" w:cs="Arial"/>
          <w:bCs/>
          <w:kern w:val="36"/>
          <w:lang w:eastAsia="en-GB"/>
        </w:rPr>
        <w:t>, this court is</w:t>
      </w:r>
      <w:r w:rsidR="0011477F" w:rsidRPr="002C304E">
        <w:rPr>
          <w:rFonts w:ascii="Arial" w:eastAsia="Times New Roman" w:hAnsi="Arial" w:cs="Arial"/>
          <w:bCs/>
          <w:kern w:val="36"/>
          <w:lang w:eastAsia="en-GB"/>
        </w:rPr>
        <w:t xml:space="preserve"> bereft of the benefit of the views of the first instance court. The collateral challenge raises important constitutional issues which we are now called upon, effectively, to decide at first and final instance. It is a situation about which this court stated as follows in </w:t>
      </w:r>
      <w:r w:rsidR="0011477F" w:rsidRPr="002C304E">
        <w:rPr>
          <w:rFonts w:ascii="Arial" w:eastAsia="Times New Roman" w:hAnsi="Arial" w:cs="Arial"/>
          <w:bCs/>
          <w:i/>
          <w:kern w:val="36"/>
          <w:lang w:eastAsia="en-GB"/>
        </w:rPr>
        <w:t>Rally for Democracy and Progress a</w:t>
      </w:r>
      <w:r w:rsidR="002C304E">
        <w:rPr>
          <w:rFonts w:ascii="Arial" w:eastAsia="Times New Roman" w:hAnsi="Arial" w:cs="Arial"/>
          <w:bCs/>
          <w:i/>
          <w:kern w:val="36"/>
          <w:lang w:eastAsia="en-GB"/>
        </w:rPr>
        <w:t>nd o</w:t>
      </w:r>
      <w:r w:rsidR="0011477F" w:rsidRPr="002C304E">
        <w:rPr>
          <w:rFonts w:ascii="Arial" w:eastAsia="Times New Roman" w:hAnsi="Arial" w:cs="Arial"/>
          <w:bCs/>
          <w:i/>
          <w:kern w:val="36"/>
          <w:lang w:eastAsia="en-GB"/>
        </w:rPr>
        <w:t>thers v Elect</w:t>
      </w:r>
      <w:r w:rsidR="00A14CFE" w:rsidRPr="002C304E">
        <w:rPr>
          <w:rFonts w:ascii="Arial" w:eastAsia="Times New Roman" w:hAnsi="Arial" w:cs="Arial"/>
          <w:bCs/>
          <w:i/>
          <w:kern w:val="36"/>
          <w:lang w:eastAsia="en-GB"/>
        </w:rPr>
        <w:t>oral Commission of Namibia and o</w:t>
      </w:r>
      <w:r w:rsidR="0011477F" w:rsidRPr="002C304E">
        <w:rPr>
          <w:rFonts w:ascii="Arial" w:eastAsia="Times New Roman" w:hAnsi="Arial" w:cs="Arial"/>
          <w:bCs/>
          <w:i/>
          <w:kern w:val="36"/>
          <w:lang w:eastAsia="en-GB"/>
        </w:rPr>
        <w:t>thers</w:t>
      </w:r>
      <w:r w:rsidR="0011477F" w:rsidRPr="004379AA">
        <w:rPr>
          <w:rStyle w:val="FootnoteReference"/>
          <w:rFonts w:ascii="Arial" w:eastAsia="Times New Roman" w:hAnsi="Arial" w:cs="Arial"/>
          <w:bCs/>
          <w:kern w:val="36"/>
          <w:lang w:eastAsia="en-GB"/>
        </w:rPr>
        <w:footnoteReference w:id="22"/>
      </w:r>
      <w:r w:rsidR="0011477F" w:rsidRPr="002C304E">
        <w:rPr>
          <w:rFonts w:ascii="Arial" w:eastAsia="Times New Roman" w:hAnsi="Arial" w:cs="Arial"/>
          <w:bCs/>
          <w:kern w:val="36"/>
          <w:lang w:eastAsia="en-GB"/>
        </w:rPr>
        <w:t>:</w:t>
      </w:r>
    </w:p>
    <w:p w14:paraId="35F448D6" w14:textId="77777777" w:rsidR="00152C90" w:rsidRPr="006F4A61" w:rsidRDefault="00152C90" w:rsidP="007D5A39">
      <w:pPr>
        <w:spacing w:line="360" w:lineRule="auto"/>
        <w:contextualSpacing/>
        <w:jc w:val="both"/>
        <w:rPr>
          <w:rFonts w:ascii="Arial" w:hAnsi="Arial" w:cs="Arial"/>
        </w:rPr>
      </w:pPr>
    </w:p>
    <w:p w14:paraId="1C970386" w14:textId="77777777" w:rsidR="006F4A61" w:rsidRDefault="006F4A61" w:rsidP="007D5A39">
      <w:pPr>
        <w:pStyle w:val="ListParagraph"/>
        <w:spacing w:line="360" w:lineRule="auto"/>
        <w:ind w:left="851"/>
        <w:jc w:val="both"/>
        <w:outlineLvl w:val="0"/>
        <w:rPr>
          <w:rFonts w:ascii="Arial" w:eastAsia="Times New Roman" w:hAnsi="Arial" w:cs="Arial"/>
          <w:bCs/>
          <w:kern w:val="36"/>
          <w:sz w:val="22"/>
          <w:szCs w:val="22"/>
          <w:lang w:eastAsia="en-GB"/>
        </w:rPr>
      </w:pPr>
      <w:r w:rsidRPr="004379AA">
        <w:rPr>
          <w:rFonts w:ascii="Arial" w:eastAsia="Times New Roman" w:hAnsi="Arial" w:cs="Arial"/>
          <w:bCs/>
          <w:kern w:val="36"/>
          <w:sz w:val="22"/>
          <w:szCs w:val="22"/>
          <w:lang w:eastAsia="en-GB"/>
        </w:rPr>
        <w:t xml:space="preserve">This court, constitutionally positioned at the apex of the judiciary, is primarily a court of appeal. Being a court of ultimate resort, it will be slow to entertain litigation as if a court of first instance. Constitutionally, the High Court is differently positioned. In all important matters, it is a court of first instance. Albeit in another context, some of the resulting differences have been highlighted in </w:t>
      </w:r>
      <w:r w:rsidRPr="004379AA">
        <w:rPr>
          <w:rFonts w:ascii="Arial" w:eastAsia="Times New Roman" w:hAnsi="Arial" w:cs="Arial"/>
          <w:bCs/>
          <w:i/>
          <w:kern w:val="36"/>
          <w:sz w:val="22"/>
          <w:szCs w:val="22"/>
          <w:lang w:eastAsia="en-GB"/>
        </w:rPr>
        <w:t>Schroeder and another v Solomon and 48 others</w:t>
      </w:r>
      <w:r w:rsidRPr="004379AA">
        <w:rPr>
          <w:rFonts w:ascii="Arial" w:eastAsia="Times New Roman" w:hAnsi="Arial" w:cs="Arial"/>
          <w:bCs/>
          <w:kern w:val="36"/>
          <w:sz w:val="22"/>
          <w:szCs w:val="22"/>
          <w:lang w:eastAsia="en-GB"/>
        </w:rPr>
        <w:t xml:space="preserve"> (2009 (1) NR (SC) at 12F-13A:</w:t>
      </w:r>
    </w:p>
    <w:p w14:paraId="686EEA9E" w14:textId="77777777" w:rsidR="006F4A61" w:rsidRPr="004379AA" w:rsidRDefault="006F4A61" w:rsidP="007D5A39">
      <w:pPr>
        <w:pStyle w:val="ListParagraph"/>
        <w:spacing w:line="360" w:lineRule="auto"/>
        <w:ind w:left="851"/>
        <w:jc w:val="both"/>
        <w:outlineLvl w:val="0"/>
        <w:rPr>
          <w:rFonts w:ascii="Arial" w:eastAsia="Times New Roman" w:hAnsi="Arial" w:cs="Arial"/>
          <w:bCs/>
          <w:kern w:val="36"/>
          <w:sz w:val="22"/>
          <w:szCs w:val="22"/>
          <w:lang w:eastAsia="en-GB"/>
        </w:rPr>
      </w:pPr>
    </w:p>
    <w:p w14:paraId="022B9F6C" w14:textId="77777777" w:rsidR="006F4A61" w:rsidRPr="004379AA" w:rsidRDefault="006F4A61" w:rsidP="007D5A39">
      <w:pPr>
        <w:pStyle w:val="ListParagraph"/>
        <w:spacing w:line="360" w:lineRule="auto"/>
        <w:ind w:left="851"/>
        <w:jc w:val="both"/>
        <w:outlineLvl w:val="0"/>
        <w:rPr>
          <w:rFonts w:ascii="Arial" w:eastAsia="Times New Roman" w:hAnsi="Arial" w:cs="Arial"/>
          <w:bCs/>
          <w:kern w:val="36"/>
          <w:sz w:val="22"/>
          <w:szCs w:val="22"/>
          <w:lang w:eastAsia="en-GB"/>
        </w:rPr>
      </w:pPr>
      <w:r>
        <w:rPr>
          <w:rFonts w:ascii="Arial" w:eastAsia="Times New Roman" w:hAnsi="Arial" w:cs="Arial"/>
          <w:bCs/>
          <w:kern w:val="36"/>
          <w:sz w:val="22"/>
          <w:szCs w:val="22"/>
          <w:lang w:eastAsia="en-GB"/>
        </w:rPr>
        <w:t>“</w:t>
      </w:r>
      <w:r w:rsidRPr="004379AA">
        <w:rPr>
          <w:rFonts w:ascii="Arial" w:eastAsia="Times New Roman" w:hAnsi="Arial" w:cs="Arial"/>
          <w:bCs/>
          <w:kern w:val="36"/>
          <w:sz w:val="22"/>
          <w:szCs w:val="22"/>
          <w:lang w:eastAsia="en-GB"/>
        </w:rPr>
        <w:t xml:space="preserve">The Constitution conferred original jurisdiction on the High Court to hear and adjudicate upon all civil disputes and criminal proceedings; it rules and structures are designed to entertain such matters as a court of first instance; …Moreover, proceedings in the High Court </w:t>
      </w:r>
      <w:r w:rsidRPr="004379AA">
        <w:rPr>
          <w:rFonts w:ascii="Arial" w:eastAsia="Times New Roman" w:hAnsi="Arial" w:cs="Arial"/>
          <w:bCs/>
          <w:kern w:val="36"/>
          <w:sz w:val="22"/>
          <w:szCs w:val="22"/>
          <w:u w:val="single"/>
          <w:lang w:eastAsia="en-GB"/>
        </w:rPr>
        <w:t>accord the parties ample opportunity to ventilate the disputes between them; allows for those disputes to be referred to oral evidence in appropriate cases</w:t>
      </w:r>
      <w:r w:rsidRPr="004379AA">
        <w:rPr>
          <w:rFonts w:ascii="Arial" w:eastAsia="Times New Roman" w:hAnsi="Arial" w:cs="Arial"/>
          <w:bCs/>
          <w:kern w:val="36"/>
          <w:sz w:val="22"/>
          <w:szCs w:val="22"/>
          <w:lang w:eastAsia="en-GB"/>
        </w:rPr>
        <w:t xml:space="preserve"> </w:t>
      </w:r>
      <w:r w:rsidRPr="004379AA">
        <w:rPr>
          <w:rFonts w:ascii="Arial" w:eastAsia="Times New Roman" w:hAnsi="Arial" w:cs="Arial"/>
          <w:bCs/>
          <w:kern w:val="36"/>
          <w:sz w:val="22"/>
          <w:szCs w:val="22"/>
          <w:u w:val="single"/>
          <w:lang w:eastAsia="en-GB"/>
        </w:rPr>
        <w:t>and for the court to make credibility findings where necessary</w:t>
      </w:r>
      <w:r w:rsidRPr="004379AA">
        <w:rPr>
          <w:rFonts w:ascii="Arial" w:eastAsia="Times New Roman" w:hAnsi="Arial" w:cs="Arial"/>
          <w:bCs/>
          <w:kern w:val="36"/>
          <w:sz w:val="22"/>
          <w:szCs w:val="22"/>
          <w:lang w:eastAsia="en-GB"/>
        </w:rPr>
        <w:t>; serve to distil the most pertinent issues to be debated in legal argument and to be pronounced upon. The intellectual and judicial contribution of the judges of that court in the adjudication of …maters have also been of great value to this court in the hearing of appeals following thereon.’’</w:t>
      </w:r>
      <w:r>
        <w:rPr>
          <w:rFonts w:ascii="Arial" w:eastAsia="Times New Roman" w:hAnsi="Arial" w:cs="Arial"/>
          <w:bCs/>
          <w:kern w:val="36"/>
          <w:sz w:val="22"/>
          <w:szCs w:val="22"/>
          <w:lang w:eastAsia="en-GB"/>
        </w:rPr>
        <w:t xml:space="preserve">(my underlining) </w:t>
      </w:r>
    </w:p>
    <w:p w14:paraId="480FAE1A" w14:textId="77777777" w:rsidR="006F4A61" w:rsidRDefault="006F4A61" w:rsidP="007D5A39">
      <w:pPr>
        <w:pStyle w:val="ListParagraph"/>
        <w:spacing w:line="480" w:lineRule="auto"/>
        <w:rPr>
          <w:rFonts w:ascii="Arial" w:hAnsi="Arial" w:cs="Arial"/>
        </w:rPr>
      </w:pPr>
    </w:p>
    <w:p w14:paraId="411C3A38" w14:textId="77777777" w:rsidR="006F4A61" w:rsidRDefault="00D84528" w:rsidP="007D5A39">
      <w:pPr>
        <w:spacing w:after="160" w:line="480" w:lineRule="auto"/>
        <w:contextualSpacing/>
        <w:jc w:val="both"/>
        <w:rPr>
          <w:rFonts w:ascii="Arial" w:hAnsi="Arial" w:cs="Arial"/>
        </w:rPr>
      </w:pPr>
      <w:r w:rsidRPr="006F4A61">
        <w:rPr>
          <w:rFonts w:ascii="Arial" w:eastAsia="Times New Roman" w:hAnsi="Arial" w:cs="Arial"/>
          <w:bCs/>
          <w:i/>
          <w:kern w:val="36"/>
          <w:lang w:eastAsia="en-GB"/>
        </w:rPr>
        <w:t xml:space="preserve">Committing ‘servants’ of companies bad in law </w:t>
      </w:r>
    </w:p>
    <w:p w14:paraId="42F6148D" w14:textId="77777777" w:rsidR="006F4A61" w:rsidRPr="006F4A61" w:rsidRDefault="0011477F" w:rsidP="007E067F">
      <w:pPr>
        <w:numPr>
          <w:ilvl w:val="0"/>
          <w:numId w:val="7"/>
        </w:numPr>
        <w:tabs>
          <w:tab w:val="left" w:pos="851"/>
        </w:tabs>
        <w:spacing w:line="480" w:lineRule="auto"/>
        <w:ind w:left="0" w:hanging="11"/>
        <w:contextualSpacing/>
        <w:jc w:val="both"/>
        <w:rPr>
          <w:rFonts w:ascii="Arial" w:hAnsi="Arial" w:cs="Arial"/>
        </w:rPr>
      </w:pPr>
      <w:r w:rsidRPr="006F4A61">
        <w:rPr>
          <w:rFonts w:ascii="Arial" w:eastAsia="Times New Roman" w:hAnsi="Arial" w:cs="Arial"/>
          <w:bCs/>
          <w:kern w:val="36"/>
          <w:lang w:eastAsia="en-GB"/>
        </w:rPr>
        <w:lastRenderedPageBreak/>
        <w:t xml:space="preserve">The real concern of the </w:t>
      </w:r>
      <w:r w:rsidR="00D27BA7" w:rsidRPr="006F4A61">
        <w:rPr>
          <w:rFonts w:ascii="Arial" w:eastAsia="Times New Roman" w:hAnsi="Arial" w:cs="Arial"/>
          <w:bCs/>
          <w:kern w:val="36"/>
          <w:lang w:eastAsia="en-GB"/>
        </w:rPr>
        <w:t>appellants</w:t>
      </w:r>
      <w:r w:rsidRPr="006F4A61">
        <w:rPr>
          <w:rFonts w:ascii="Arial" w:eastAsia="Times New Roman" w:hAnsi="Arial" w:cs="Arial"/>
          <w:bCs/>
          <w:kern w:val="36"/>
          <w:lang w:eastAsia="en-GB"/>
        </w:rPr>
        <w:t xml:space="preserve"> is the enforcement of the law in the face of defiance by persons who have taken the view that it is unconstitutional. </w:t>
      </w:r>
      <w:r w:rsidRPr="006F4A61">
        <w:rPr>
          <w:rFonts w:ascii="Arial" w:hAnsi="Arial" w:cs="Arial"/>
          <w:lang w:val="en-US"/>
        </w:rPr>
        <w:t xml:space="preserve">The remedy </w:t>
      </w:r>
      <w:r w:rsidR="002D3FC6" w:rsidRPr="006F4A61">
        <w:rPr>
          <w:rFonts w:ascii="Arial" w:hAnsi="Arial" w:cs="Arial"/>
          <w:lang w:val="en-US"/>
        </w:rPr>
        <w:t>sought</w:t>
      </w:r>
      <w:r w:rsidRPr="006F4A61">
        <w:rPr>
          <w:rFonts w:ascii="Arial" w:hAnsi="Arial" w:cs="Arial"/>
          <w:lang w:val="en-US"/>
        </w:rPr>
        <w:t xml:space="preserve"> of committing the chief executive officers to prison for contempt could just as well be achieved by holding the directors criminally liable </w:t>
      </w:r>
      <w:r w:rsidR="002D3FC6" w:rsidRPr="006F4A61">
        <w:rPr>
          <w:rFonts w:ascii="Arial" w:hAnsi="Arial" w:cs="Arial"/>
          <w:lang w:val="en-US"/>
        </w:rPr>
        <w:t xml:space="preserve">in terms of s 332(5) of the CPA </w:t>
      </w:r>
      <w:r w:rsidRPr="006F4A61">
        <w:rPr>
          <w:rFonts w:ascii="Arial" w:hAnsi="Arial" w:cs="Arial"/>
          <w:lang w:val="en-US"/>
        </w:rPr>
        <w:t>for the breach of the NNRC</w:t>
      </w:r>
      <w:r w:rsidR="002D3FC6" w:rsidRPr="006F4A61">
        <w:rPr>
          <w:rFonts w:ascii="Arial" w:hAnsi="Arial" w:cs="Arial"/>
          <w:lang w:val="en-US"/>
        </w:rPr>
        <w:t>A</w:t>
      </w:r>
      <w:r w:rsidRPr="006F4A61">
        <w:rPr>
          <w:rFonts w:ascii="Arial" w:hAnsi="Arial" w:cs="Arial"/>
          <w:lang w:val="en-US"/>
        </w:rPr>
        <w:t xml:space="preserve">. Although, surprisingly, </w:t>
      </w:r>
      <w:r w:rsidR="002D3FC6" w:rsidRPr="006F4A61">
        <w:rPr>
          <w:rFonts w:ascii="Arial" w:hAnsi="Arial" w:cs="Arial"/>
          <w:lang w:val="en-US"/>
        </w:rPr>
        <w:t>the issue</w:t>
      </w:r>
      <w:r w:rsidRPr="006F4A61">
        <w:rPr>
          <w:rFonts w:ascii="Arial" w:hAnsi="Arial" w:cs="Arial"/>
          <w:lang w:val="en-US"/>
        </w:rPr>
        <w:t xml:space="preserve"> was not raised during oral argument on behalf </w:t>
      </w:r>
      <w:r w:rsidR="002D3FC6" w:rsidRPr="006F4A61">
        <w:rPr>
          <w:rFonts w:ascii="Arial" w:hAnsi="Arial" w:cs="Arial"/>
          <w:lang w:val="en-US"/>
        </w:rPr>
        <w:t xml:space="preserve">of the CEOs, what concerns </w:t>
      </w:r>
      <w:r w:rsidR="000511FD" w:rsidRPr="006F4A61">
        <w:rPr>
          <w:rFonts w:ascii="Arial" w:hAnsi="Arial" w:cs="Arial"/>
          <w:lang w:val="en-US"/>
        </w:rPr>
        <w:t>me,</w:t>
      </w:r>
      <w:r w:rsidRPr="006F4A61">
        <w:rPr>
          <w:rFonts w:ascii="Arial" w:hAnsi="Arial" w:cs="Arial"/>
          <w:lang w:val="en-US"/>
        </w:rPr>
        <w:t xml:space="preserve"> </w:t>
      </w:r>
      <w:r w:rsidR="00B24B8C" w:rsidRPr="006F4A61">
        <w:rPr>
          <w:rFonts w:ascii="Arial" w:hAnsi="Arial" w:cs="Arial"/>
          <w:lang w:val="en-US"/>
        </w:rPr>
        <w:t>as a matter of law</w:t>
      </w:r>
      <w:r w:rsidR="002D3FC6" w:rsidRPr="006F4A61">
        <w:rPr>
          <w:rFonts w:ascii="Arial" w:hAnsi="Arial" w:cs="Arial"/>
          <w:lang w:val="en-US"/>
        </w:rPr>
        <w:t>,</w:t>
      </w:r>
      <w:r w:rsidR="00B24B8C" w:rsidRPr="006F4A61">
        <w:rPr>
          <w:rFonts w:ascii="Arial" w:hAnsi="Arial" w:cs="Arial"/>
          <w:lang w:val="en-US"/>
        </w:rPr>
        <w:t xml:space="preserve"> is </w:t>
      </w:r>
      <w:r w:rsidRPr="006F4A61">
        <w:rPr>
          <w:rFonts w:ascii="Arial" w:hAnsi="Arial" w:cs="Arial"/>
          <w:lang w:val="en-US"/>
        </w:rPr>
        <w:t xml:space="preserve">that </w:t>
      </w:r>
      <w:r w:rsidR="002D3FC6" w:rsidRPr="006F4A61">
        <w:rPr>
          <w:rFonts w:ascii="Arial" w:hAnsi="Arial" w:cs="Arial"/>
          <w:lang w:val="en-US"/>
        </w:rPr>
        <w:t>servants of the defiant companies</w:t>
      </w:r>
      <w:r w:rsidRPr="006F4A61">
        <w:rPr>
          <w:rFonts w:ascii="Arial" w:hAnsi="Arial" w:cs="Arial"/>
          <w:lang w:val="en-US"/>
        </w:rPr>
        <w:t xml:space="preserve"> are, through the contempt citation, going to be held crimi</w:t>
      </w:r>
      <w:r w:rsidR="002D3FC6" w:rsidRPr="006F4A61">
        <w:rPr>
          <w:rFonts w:ascii="Arial" w:hAnsi="Arial" w:cs="Arial"/>
          <w:lang w:val="en-US"/>
        </w:rPr>
        <w:t>nally liable for their</w:t>
      </w:r>
      <w:r w:rsidRPr="006F4A61">
        <w:rPr>
          <w:rFonts w:ascii="Arial" w:hAnsi="Arial" w:cs="Arial"/>
          <w:lang w:val="en-US"/>
        </w:rPr>
        <w:t xml:space="preserve"> employers’ alleged criminal conduct when that cannot be done by charging them in terms of s 332(5) of the CPA. </w:t>
      </w:r>
    </w:p>
    <w:p w14:paraId="2ADA3A8F" w14:textId="77777777" w:rsidR="006F4A61" w:rsidRDefault="006F4A61" w:rsidP="003376A4">
      <w:pPr>
        <w:spacing w:line="480" w:lineRule="auto"/>
        <w:ind w:left="851"/>
        <w:contextualSpacing/>
        <w:jc w:val="both"/>
        <w:rPr>
          <w:rFonts w:ascii="Arial" w:hAnsi="Arial" w:cs="Arial"/>
        </w:rPr>
      </w:pPr>
    </w:p>
    <w:p w14:paraId="2F17D2E7" w14:textId="77777777" w:rsidR="006F4A61" w:rsidRDefault="002D3FC6" w:rsidP="007E067F">
      <w:pPr>
        <w:numPr>
          <w:ilvl w:val="0"/>
          <w:numId w:val="7"/>
        </w:numPr>
        <w:tabs>
          <w:tab w:val="left" w:pos="851"/>
        </w:tabs>
        <w:spacing w:line="480" w:lineRule="auto"/>
        <w:ind w:left="0" w:hanging="11"/>
        <w:contextualSpacing/>
        <w:jc w:val="both"/>
        <w:rPr>
          <w:rFonts w:ascii="Arial" w:hAnsi="Arial" w:cs="Arial"/>
        </w:rPr>
      </w:pPr>
      <w:r w:rsidRPr="006F4A61">
        <w:rPr>
          <w:rFonts w:ascii="Arial" w:hAnsi="Arial" w:cs="Arial"/>
          <w:lang w:val="en-US"/>
        </w:rPr>
        <w:t>The singling out of the CEOs for</w:t>
      </w:r>
      <w:r w:rsidR="0011477F" w:rsidRPr="006F4A61">
        <w:rPr>
          <w:rFonts w:ascii="Arial" w:hAnsi="Arial" w:cs="Arial"/>
          <w:lang w:val="en-US"/>
        </w:rPr>
        <w:t xml:space="preserve"> punitive action is also curious given that, as servants of the corporate respondents, they are answerable and accountable to the directors, who it must be assumed, are the driving force behind the litigation and whether or not the law is to be obeyed.</w:t>
      </w:r>
      <w:r w:rsidR="0011477F" w:rsidRPr="004379AA">
        <w:rPr>
          <w:rStyle w:val="FootnoteReference"/>
          <w:rFonts w:ascii="Arial" w:hAnsi="Arial" w:cs="Arial"/>
          <w:lang w:val="en-US"/>
        </w:rPr>
        <w:footnoteReference w:id="23"/>
      </w:r>
      <w:r w:rsidR="0011477F" w:rsidRPr="006F4A61">
        <w:rPr>
          <w:rFonts w:ascii="Arial" w:hAnsi="Arial" w:cs="Arial"/>
          <w:lang w:val="en-US"/>
        </w:rPr>
        <w:t xml:space="preserve"> The articles of association of a company ordinarily stipulate that the business of the company must be managed by the directors and empower the directors to exercise all the powers of the company other than those required by the Companies Act or the articles of association to be exercised by the company in general meeting. So, even </w:t>
      </w:r>
      <w:r w:rsidRPr="006F4A61">
        <w:rPr>
          <w:rFonts w:ascii="Arial" w:hAnsi="Arial" w:cs="Arial"/>
          <w:lang w:val="en-US"/>
        </w:rPr>
        <w:t>if it were ordered that the CEO</w:t>
      </w:r>
      <w:r w:rsidR="0011477F" w:rsidRPr="006F4A61">
        <w:rPr>
          <w:rFonts w:ascii="Arial" w:hAnsi="Arial" w:cs="Arial"/>
          <w:lang w:val="en-US"/>
        </w:rPr>
        <w:t>s be imprisoned if the corporate respondents do not comply, it could well be that it does not lie within their competence to comply with the court order</w:t>
      </w:r>
      <w:r w:rsidR="00B24B8C" w:rsidRPr="006F4A61">
        <w:rPr>
          <w:rFonts w:ascii="Arial" w:hAnsi="Arial" w:cs="Arial"/>
          <w:lang w:val="en-US"/>
        </w:rPr>
        <w:t>, rendering the court’s order impossible of execution</w:t>
      </w:r>
      <w:r w:rsidR="0011477F" w:rsidRPr="006F4A61">
        <w:rPr>
          <w:rFonts w:ascii="Arial" w:hAnsi="Arial" w:cs="Arial"/>
          <w:lang w:val="en-US"/>
        </w:rPr>
        <w:t xml:space="preserve">. </w:t>
      </w:r>
    </w:p>
    <w:p w14:paraId="45121E2D" w14:textId="77777777" w:rsidR="006F4A61" w:rsidRDefault="006F4A61" w:rsidP="007D5A39">
      <w:pPr>
        <w:pStyle w:val="ListParagraph"/>
        <w:spacing w:line="480" w:lineRule="auto"/>
        <w:ind w:left="0" w:hanging="11"/>
        <w:rPr>
          <w:rFonts w:ascii="Arial" w:hAnsi="Arial" w:cs="Arial"/>
          <w:lang w:val="en-US"/>
        </w:rPr>
      </w:pPr>
    </w:p>
    <w:p w14:paraId="2334CB52" w14:textId="77777777" w:rsidR="006F4A61" w:rsidRDefault="0011477F" w:rsidP="007E067F">
      <w:pPr>
        <w:numPr>
          <w:ilvl w:val="0"/>
          <w:numId w:val="7"/>
        </w:numPr>
        <w:tabs>
          <w:tab w:val="left" w:pos="851"/>
        </w:tabs>
        <w:spacing w:line="480" w:lineRule="auto"/>
        <w:ind w:left="0" w:hanging="11"/>
        <w:contextualSpacing/>
        <w:jc w:val="both"/>
        <w:rPr>
          <w:rFonts w:ascii="Arial" w:hAnsi="Arial" w:cs="Arial"/>
        </w:rPr>
      </w:pPr>
      <w:r w:rsidRPr="006F4A61">
        <w:rPr>
          <w:rFonts w:ascii="Arial" w:hAnsi="Arial" w:cs="Arial"/>
          <w:lang w:val="en-US"/>
        </w:rPr>
        <w:lastRenderedPageBreak/>
        <w:t xml:space="preserve">By suggesting that since the </w:t>
      </w:r>
      <w:r w:rsidR="00FF7A73" w:rsidRPr="006F4A61">
        <w:rPr>
          <w:rFonts w:ascii="Arial" w:hAnsi="Arial" w:cs="Arial"/>
          <w:lang w:val="en-US"/>
        </w:rPr>
        <w:t xml:space="preserve">corporate </w:t>
      </w:r>
      <w:r w:rsidRPr="006F4A61">
        <w:rPr>
          <w:rFonts w:ascii="Arial" w:hAnsi="Arial" w:cs="Arial"/>
          <w:lang w:val="en-US"/>
        </w:rPr>
        <w:t>respondents are foreign-controlled and that therefore the chief executives must bear the br</w:t>
      </w:r>
      <w:r w:rsidR="009A3D32" w:rsidRPr="006F4A61">
        <w:rPr>
          <w:rFonts w:ascii="Arial" w:hAnsi="Arial" w:cs="Arial"/>
          <w:lang w:val="en-US"/>
        </w:rPr>
        <w:t>unt</w:t>
      </w:r>
      <w:r w:rsidRPr="006F4A61">
        <w:rPr>
          <w:rFonts w:ascii="Arial" w:hAnsi="Arial" w:cs="Arial"/>
          <w:lang w:val="en-US"/>
        </w:rPr>
        <w:t>, the appellants are imputing to the companies’ servants</w:t>
      </w:r>
      <w:r w:rsidR="00CD57EE" w:rsidRPr="006F4A61">
        <w:rPr>
          <w:rFonts w:ascii="Arial" w:hAnsi="Arial" w:cs="Arial"/>
          <w:lang w:val="en-US"/>
        </w:rPr>
        <w:t>,</w:t>
      </w:r>
      <w:r w:rsidRPr="006F4A61">
        <w:rPr>
          <w:rFonts w:ascii="Arial" w:hAnsi="Arial" w:cs="Arial"/>
          <w:lang w:val="en-US"/>
        </w:rPr>
        <w:t xml:space="preserve"> powers and responsibilities which not even an individual director enjoys</w:t>
      </w:r>
      <w:r w:rsidR="00B24B8C" w:rsidRPr="006F4A61">
        <w:rPr>
          <w:rFonts w:ascii="Arial" w:hAnsi="Arial" w:cs="Arial"/>
          <w:lang w:val="en-US"/>
        </w:rPr>
        <w:t>. U</w:t>
      </w:r>
      <w:r w:rsidRPr="006F4A61">
        <w:rPr>
          <w:rFonts w:ascii="Arial" w:hAnsi="Arial" w:cs="Arial"/>
          <w:lang w:val="en-US"/>
        </w:rPr>
        <w:t>nless a particular power is specifically delegated to an individual director, the powers of a company are exercised by the directors collectively.</w:t>
      </w:r>
      <w:r w:rsidRPr="004379AA">
        <w:rPr>
          <w:rStyle w:val="FootnoteReference"/>
          <w:rFonts w:ascii="Arial" w:hAnsi="Arial" w:cs="Arial"/>
          <w:lang w:val="en-US"/>
        </w:rPr>
        <w:footnoteReference w:id="24"/>
      </w:r>
      <w:r w:rsidR="001867E1" w:rsidRPr="006F4A61">
        <w:rPr>
          <w:rFonts w:ascii="Arial" w:hAnsi="Arial" w:cs="Arial"/>
          <w:lang w:val="en-US"/>
        </w:rPr>
        <w:t xml:space="preserve"> The suggestion that an employee of the company has the responsibility to ensure tha</w:t>
      </w:r>
      <w:r w:rsidR="00F000A4" w:rsidRPr="006F4A61">
        <w:rPr>
          <w:rFonts w:ascii="Arial" w:hAnsi="Arial" w:cs="Arial"/>
          <w:lang w:val="en-US"/>
        </w:rPr>
        <w:t>t the employer complies with a</w:t>
      </w:r>
      <w:r w:rsidR="001867E1" w:rsidRPr="006F4A61">
        <w:rPr>
          <w:rFonts w:ascii="Arial" w:hAnsi="Arial" w:cs="Arial"/>
          <w:lang w:val="en-US"/>
        </w:rPr>
        <w:t xml:space="preserve"> court </w:t>
      </w:r>
      <w:r w:rsidR="002D3FC6" w:rsidRPr="006F4A61">
        <w:rPr>
          <w:rFonts w:ascii="Arial" w:hAnsi="Arial" w:cs="Arial"/>
          <w:lang w:val="en-US"/>
        </w:rPr>
        <w:t xml:space="preserve">order </w:t>
      </w:r>
      <w:r w:rsidR="001867E1" w:rsidRPr="006F4A61">
        <w:rPr>
          <w:rFonts w:ascii="Arial" w:hAnsi="Arial" w:cs="Arial"/>
          <w:lang w:val="en-US"/>
        </w:rPr>
        <w:t>which the directors are resisting</w:t>
      </w:r>
      <w:r w:rsidR="002D3FC6" w:rsidRPr="006F4A61">
        <w:rPr>
          <w:rFonts w:ascii="Arial" w:hAnsi="Arial" w:cs="Arial"/>
          <w:lang w:val="en-US"/>
        </w:rPr>
        <w:t>,</w:t>
      </w:r>
      <w:r w:rsidR="001867E1" w:rsidRPr="006F4A61">
        <w:rPr>
          <w:rFonts w:ascii="Arial" w:hAnsi="Arial" w:cs="Arial"/>
          <w:lang w:val="en-US"/>
        </w:rPr>
        <w:t xml:space="preserve"> is not supported by legal principle.</w:t>
      </w:r>
      <w:r w:rsidR="00753051" w:rsidRPr="006F4A61">
        <w:rPr>
          <w:rFonts w:ascii="Arial" w:hAnsi="Arial" w:cs="Arial"/>
          <w:lang w:val="en-US"/>
        </w:rPr>
        <w:t xml:space="preserve"> That directors are the ones in control of the business of the </w:t>
      </w:r>
      <w:r w:rsidR="00F000A4" w:rsidRPr="006F4A61">
        <w:rPr>
          <w:rFonts w:ascii="Arial" w:hAnsi="Arial" w:cs="Arial"/>
          <w:lang w:val="en-US"/>
        </w:rPr>
        <w:t xml:space="preserve">company is clear from the </w:t>
      </w:r>
      <w:r w:rsidR="00F000A4" w:rsidRPr="006F4A61">
        <w:rPr>
          <w:rFonts w:ascii="Arial" w:hAnsi="Arial" w:cs="Arial"/>
          <w:i/>
          <w:lang w:val="en-US"/>
        </w:rPr>
        <w:t>ratio</w:t>
      </w:r>
      <w:r w:rsidR="00753051" w:rsidRPr="006F4A61">
        <w:rPr>
          <w:rFonts w:ascii="Arial" w:hAnsi="Arial" w:cs="Arial"/>
          <w:lang w:val="en-US"/>
        </w:rPr>
        <w:t xml:space="preserve"> of this court in </w:t>
      </w:r>
      <w:r w:rsidR="00753051" w:rsidRPr="006F4A61">
        <w:rPr>
          <w:rFonts w:ascii="Arial" w:hAnsi="Arial" w:cs="Arial"/>
          <w:i/>
          <w:lang w:val="en-US"/>
        </w:rPr>
        <w:t>Attorney-General of Namibia v Minister of Justice</w:t>
      </w:r>
      <w:r w:rsidR="00753051" w:rsidRPr="004379AA">
        <w:rPr>
          <w:rStyle w:val="FootnoteReference"/>
          <w:rFonts w:ascii="Arial" w:hAnsi="Arial" w:cs="Arial"/>
          <w:lang w:val="en-US"/>
        </w:rPr>
        <w:footnoteReference w:id="25"/>
      </w:r>
      <w:r w:rsidR="003D4C21" w:rsidRPr="006F4A61">
        <w:rPr>
          <w:rFonts w:ascii="Arial" w:hAnsi="Arial" w:cs="Arial"/>
          <w:lang w:val="en-US"/>
        </w:rPr>
        <w:t xml:space="preserve">; hence the imputation of </w:t>
      </w:r>
      <w:r w:rsidR="00F000A4" w:rsidRPr="006F4A61">
        <w:rPr>
          <w:rFonts w:ascii="Arial" w:hAnsi="Arial" w:cs="Arial"/>
          <w:lang w:val="en-US"/>
        </w:rPr>
        <w:t>a</w:t>
      </w:r>
      <w:r w:rsidR="003D4C21" w:rsidRPr="006F4A61">
        <w:rPr>
          <w:rFonts w:ascii="Arial" w:hAnsi="Arial" w:cs="Arial"/>
          <w:lang w:val="en-US"/>
        </w:rPr>
        <w:t xml:space="preserve"> compan</w:t>
      </w:r>
      <w:r w:rsidR="00F000A4" w:rsidRPr="006F4A61">
        <w:rPr>
          <w:rFonts w:ascii="Arial" w:hAnsi="Arial" w:cs="Arial"/>
          <w:lang w:val="en-US"/>
        </w:rPr>
        <w:t>y’s</w:t>
      </w:r>
      <w:r w:rsidR="003D4C21" w:rsidRPr="006F4A61">
        <w:rPr>
          <w:rFonts w:ascii="Arial" w:hAnsi="Arial" w:cs="Arial"/>
          <w:lang w:val="en-US"/>
        </w:rPr>
        <w:t xml:space="preserve"> criminal liability on them.</w:t>
      </w:r>
    </w:p>
    <w:p w14:paraId="417A8FC8" w14:textId="77777777" w:rsidR="006F4A61" w:rsidRDefault="006F4A61" w:rsidP="003376A4">
      <w:pPr>
        <w:pStyle w:val="ListParagraph"/>
        <w:spacing w:line="480" w:lineRule="auto"/>
        <w:rPr>
          <w:rFonts w:ascii="Arial" w:hAnsi="Arial" w:cs="Arial"/>
          <w:lang w:val="en-US"/>
        </w:rPr>
      </w:pPr>
    </w:p>
    <w:p w14:paraId="7B03067C" w14:textId="77777777" w:rsidR="00EF6C26" w:rsidRDefault="00CD57EE" w:rsidP="007E067F">
      <w:pPr>
        <w:numPr>
          <w:ilvl w:val="0"/>
          <w:numId w:val="7"/>
        </w:numPr>
        <w:tabs>
          <w:tab w:val="left" w:pos="851"/>
        </w:tabs>
        <w:spacing w:line="480" w:lineRule="auto"/>
        <w:ind w:left="0" w:hanging="11"/>
        <w:contextualSpacing/>
        <w:jc w:val="both"/>
        <w:rPr>
          <w:rFonts w:ascii="Arial" w:hAnsi="Arial" w:cs="Arial"/>
        </w:rPr>
      </w:pPr>
      <w:r w:rsidRPr="006F4A61">
        <w:rPr>
          <w:rFonts w:ascii="Arial" w:hAnsi="Arial" w:cs="Arial"/>
          <w:lang w:val="en-US"/>
        </w:rPr>
        <w:t>I am satisfied that the</w:t>
      </w:r>
      <w:r w:rsidR="00FF7A73" w:rsidRPr="006F4A61">
        <w:rPr>
          <w:rFonts w:ascii="Arial" w:eastAsia="Times New Roman" w:hAnsi="Arial" w:cs="Arial"/>
          <w:bCs/>
          <w:kern w:val="36"/>
          <w:lang w:eastAsia="en-GB"/>
        </w:rPr>
        <w:t xml:space="preserve"> remedy of a declaration is not suited for the purpose the </w:t>
      </w:r>
      <w:r w:rsidR="00F000A4" w:rsidRPr="006F4A61">
        <w:rPr>
          <w:rFonts w:ascii="Arial" w:eastAsia="Times New Roman" w:hAnsi="Arial" w:cs="Arial"/>
          <w:bCs/>
          <w:kern w:val="36"/>
          <w:lang w:eastAsia="en-GB"/>
        </w:rPr>
        <w:t>Minister and NamibRe approached</w:t>
      </w:r>
      <w:r w:rsidR="00FF7A73" w:rsidRPr="006F4A61">
        <w:rPr>
          <w:rFonts w:ascii="Arial" w:eastAsia="Times New Roman" w:hAnsi="Arial" w:cs="Arial"/>
          <w:bCs/>
          <w:kern w:val="36"/>
          <w:lang w:eastAsia="en-GB"/>
        </w:rPr>
        <w:t xml:space="preserve"> court and that is the order the H</w:t>
      </w:r>
      <w:r w:rsidR="00662D27" w:rsidRPr="006F4A61">
        <w:rPr>
          <w:rFonts w:ascii="Arial" w:eastAsia="Times New Roman" w:hAnsi="Arial" w:cs="Arial"/>
          <w:bCs/>
          <w:kern w:val="36"/>
          <w:lang w:eastAsia="en-GB"/>
        </w:rPr>
        <w:t>igh court should have made</w:t>
      </w:r>
      <w:r w:rsidR="00FF7A73" w:rsidRPr="006F4A61">
        <w:rPr>
          <w:rFonts w:ascii="Arial" w:eastAsia="Times New Roman" w:hAnsi="Arial" w:cs="Arial"/>
          <w:bCs/>
          <w:kern w:val="36"/>
          <w:lang w:eastAsia="en-GB"/>
        </w:rPr>
        <w:t xml:space="preserve"> had </w:t>
      </w:r>
      <w:r w:rsidR="00662D27" w:rsidRPr="006F4A61">
        <w:rPr>
          <w:rFonts w:ascii="Arial" w:eastAsia="Times New Roman" w:hAnsi="Arial" w:cs="Arial"/>
          <w:bCs/>
          <w:kern w:val="36"/>
          <w:lang w:eastAsia="en-GB"/>
        </w:rPr>
        <w:t xml:space="preserve">it </w:t>
      </w:r>
      <w:r w:rsidR="00FF7A73" w:rsidRPr="006F4A61">
        <w:rPr>
          <w:rFonts w:ascii="Arial" w:eastAsia="Times New Roman" w:hAnsi="Arial" w:cs="Arial"/>
          <w:bCs/>
          <w:kern w:val="36"/>
          <w:lang w:eastAsia="en-GB"/>
        </w:rPr>
        <w:t>proceeded to consider that relief. The committal order is dependent on the success of the declaration and since the latter fails</w:t>
      </w:r>
      <w:r w:rsidR="00662D27" w:rsidRPr="006F4A61">
        <w:rPr>
          <w:rFonts w:ascii="Arial" w:eastAsia="Times New Roman" w:hAnsi="Arial" w:cs="Arial"/>
          <w:bCs/>
          <w:kern w:val="36"/>
          <w:lang w:eastAsia="en-GB"/>
        </w:rPr>
        <w:t>,</w:t>
      </w:r>
      <w:r w:rsidR="00FF7A73" w:rsidRPr="006F4A61">
        <w:rPr>
          <w:rFonts w:ascii="Arial" w:eastAsia="Times New Roman" w:hAnsi="Arial" w:cs="Arial"/>
          <w:bCs/>
          <w:kern w:val="36"/>
          <w:lang w:eastAsia="en-GB"/>
        </w:rPr>
        <w:t xml:space="preserve"> it too must fail.</w:t>
      </w:r>
    </w:p>
    <w:p w14:paraId="6F560D2F" w14:textId="77777777" w:rsidR="00EF6C26" w:rsidRDefault="00EF6C26" w:rsidP="003376A4">
      <w:pPr>
        <w:pStyle w:val="ListParagraph"/>
        <w:spacing w:line="480" w:lineRule="auto"/>
        <w:ind w:left="0" w:hanging="11"/>
        <w:rPr>
          <w:rFonts w:ascii="Arial" w:eastAsia="Times New Roman" w:hAnsi="Arial" w:cs="Arial"/>
          <w:u w:val="single"/>
          <w:lang w:eastAsia="en-GB"/>
        </w:rPr>
      </w:pPr>
    </w:p>
    <w:p w14:paraId="7A2BAD37" w14:textId="77777777" w:rsidR="00EF6C26" w:rsidRDefault="0011477F" w:rsidP="007D5A39">
      <w:pPr>
        <w:spacing w:after="160" w:line="480" w:lineRule="auto"/>
        <w:ind w:hanging="11"/>
        <w:contextualSpacing/>
        <w:jc w:val="both"/>
        <w:rPr>
          <w:rFonts w:ascii="Arial" w:hAnsi="Arial" w:cs="Arial"/>
        </w:rPr>
      </w:pPr>
      <w:r w:rsidRPr="00EF6C26">
        <w:rPr>
          <w:rFonts w:ascii="Arial" w:eastAsia="Times New Roman" w:hAnsi="Arial" w:cs="Arial"/>
          <w:u w:val="single"/>
          <w:lang w:eastAsia="en-GB"/>
        </w:rPr>
        <w:t>Caution</w:t>
      </w:r>
    </w:p>
    <w:p w14:paraId="44567002" w14:textId="0953935E" w:rsidR="00EF6C26" w:rsidRPr="00EF6C26" w:rsidRDefault="00B24B8C" w:rsidP="007D5A39">
      <w:pPr>
        <w:numPr>
          <w:ilvl w:val="0"/>
          <w:numId w:val="7"/>
        </w:numPr>
        <w:spacing w:line="480" w:lineRule="auto"/>
        <w:ind w:left="0" w:hanging="11"/>
        <w:contextualSpacing/>
        <w:jc w:val="both"/>
        <w:rPr>
          <w:rFonts w:ascii="Arial" w:hAnsi="Arial" w:cs="Arial"/>
        </w:rPr>
      </w:pPr>
      <w:r w:rsidRPr="00EF6C26">
        <w:rPr>
          <w:rFonts w:ascii="Arial" w:eastAsia="Times New Roman" w:hAnsi="Arial" w:cs="Arial"/>
          <w:bCs/>
          <w:kern w:val="36"/>
          <w:lang w:eastAsia="en-GB"/>
        </w:rPr>
        <w:t xml:space="preserve">The </w:t>
      </w:r>
      <w:r w:rsidR="001867E1" w:rsidRPr="00EF6C26">
        <w:rPr>
          <w:rFonts w:ascii="Arial" w:eastAsia="Times New Roman" w:hAnsi="Arial" w:cs="Arial"/>
          <w:bCs/>
          <w:kern w:val="36"/>
          <w:lang w:eastAsia="en-GB"/>
        </w:rPr>
        <w:t>opinion</w:t>
      </w:r>
      <w:r w:rsidRPr="00EF6C26">
        <w:rPr>
          <w:rFonts w:ascii="Arial" w:eastAsia="Times New Roman" w:hAnsi="Arial" w:cs="Arial"/>
          <w:bCs/>
          <w:kern w:val="36"/>
          <w:lang w:eastAsia="en-GB"/>
        </w:rPr>
        <w:t xml:space="preserve"> that the respondents </w:t>
      </w:r>
      <w:r w:rsidR="001867E1" w:rsidRPr="00EF6C26">
        <w:rPr>
          <w:rFonts w:ascii="Arial" w:eastAsia="Times New Roman" w:hAnsi="Arial" w:cs="Arial"/>
          <w:bCs/>
          <w:kern w:val="36"/>
          <w:lang w:eastAsia="en-GB"/>
        </w:rPr>
        <w:t>have</w:t>
      </w:r>
      <w:r w:rsidRPr="00EF6C26">
        <w:rPr>
          <w:rFonts w:ascii="Arial" w:eastAsia="Times New Roman" w:hAnsi="Arial" w:cs="Arial"/>
          <w:bCs/>
          <w:kern w:val="36"/>
          <w:lang w:eastAsia="en-GB"/>
        </w:rPr>
        <w:t xml:space="preserve"> about the unconstitutionality of the </w:t>
      </w:r>
      <w:r w:rsidR="001867E1" w:rsidRPr="00EF6C26">
        <w:rPr>
          <w:rFonts w:ascii="Arial" w:eastAsia="Times New Roman" w:hAnsi="Arial" w:cs="Arial"/>
          <w:bCs/>
          <w:kern w:val="36"/>
          <w:lang w:eastAsia="en-GB"/>
        </w:rPr>
        <w:t>NNRCA</w:t>
      </w:r>
      <w:r w:rsidRPr="00EF6C26">
        <w:rPr>
          <w:rFonts w:ascii="Arial" w:eastAsia="Times New Roman" w:hAnsi="Arial" w:cs="Arial"/>
          <w:bCs/>
          <w:kern w:val="36"/>
          <w:lang w:eastAsia="en-GB"/>
        </w:rPr>
        <w:t xml:space="preserve"> does not make them immune to the enforcement mechanisms it provides, unless a court makes such a finding through due process of law. </w:t>
      </w:r>
      <w:r w:rsidR="0011477F" w:rsidRPr="00EF6C26">
        <w:rPr>
          <w:rFonts w:ascii="Arial" w:eastAsia="Times New Roman" w:hAnsi="Arial" w:cs="Arial"/>
          <w:lang w:eastAsia="en-GB"/>
        </w:rPr>
        <w:t>T</w:t>
      </w:r>
      <w:r w:rsidR="00667DC8" w:rsidRPr="00EF6C26">
        <w:rPr>
          <w:rFonts w:ascii="Arial" w:eastAsia="Times New Roman" w:hAnsi="Arial" w:cs="Arial"/>
          <w:lang w:eastAsia="en-GB"/>
        </w:rPr>
        <w:t xml:space="preserve">he respondents labour under the </w:t>
      </w:r>
      <w:r w:rsidR="00314D64">
        <w:rPr>
          <w:rFonts w:ascii="Arial" w:eastAsia="Times New Roman" w:hAnsi="Arial" w:cs="Arial"/>
          <w:lang w:eastAsia="en-GB"/>
        </w:rPr>
        <w:t>belief</w:t>
      </w:r>
      <w:r w:rsidR="0011477F" w:rsidRPr="00EF6C26">
        <w:rPr>
          <w:rFonts w:ascii="Arial" w:eastAsia="Times New Roman" w:hAnsi="Arial" w:cs="Arial"/>
          <w:lang w:eastAsia="en-GB"/>
        </w:rPr>
        <w:t xml:space="preserve"> that the view they take of the unconstitutionality of the NNRCA entitles them not to obey it. That issue is not properly before us and we need not express any view on it</w:t>
      </w:r>
      <w:r w:rsidR="007D3D25" w:rsidRPr="00EF6C26">
        <w:rPr>
          <w:rFonts w:ascii="Arial" w:eastAsia="Times New Roman" w:hAnsi="Arial" w:cs="Arial"/>
          <w:lang w:eastAsia="en-GB"/>
        </w:rPr>
        <w:t xml:space="preserve"> now</w:t>
      </w:r>
      <w:r w:rsidR="0011477F" w:rsidRPr="00EF6C26">
        <w:rPr>
          <w:rFonts w:ascii="Arial" w:eastAsia="Times New Roman" w:hAnsi="Arial" w:cs="Arial"/>
          <w:lang w:eastAsia="en-GB"/>
        </w:rPr>
        <w:t xml:space="preserve">. </w:t>
      </w:r>
      <w:r w:rsidR="0011477F" w:rsidRPr="00EF6C26">
        <w:rPr>
          <w:rFonts w:ascii="Arial" w:eastAsia="Times New Roman" w:hAnsi="Arial" w:cs="Arial"/>
          <w:lang w:eastAsia="en-GB"/>
        </w:rPr>
        <w:lastRenderedPageBreak/>
        <w:t xml:space="preserve">It is a proposition that must be tested before a court where the enforcement mechanisms are prayed in aid. </w:t>
      </w:r>
    </w:p>
    <w:p w14:paraId="6CDBB62C" w14:textId="77777777" w:rsidR="00EF6C26" w:rsidRDefault="00EF6C26" w:rsidP="007D5A39">
      <w:pPr>
        <w:spacing w:line="480" w:lineRule="auto"/>
        <w:ind w:left="851"/>
        <w:contextualSpacing/>
        <w:jc w:val="both"/>
        <w:rPr>
          <w:rFonts w:ascii="Arial" w:hAnsi="Arial" w:cs="Arial"/>
        </w:rPr>
      </w:pPr>
    </w:p>
    <w:p w14:paraId="5D8758B1" w14:textId="77777777" w:rsidR="00EF6C26" w:rsidRDefault="007D3D25" w:rsidP="007E067F">
      <w:pPr>
        <w:numPr>
          <w:ilvl w:val="0"/>
          <w:numId w:val="7"/>
        </w:numPr>
        <w:tabs>
          <w:tab w:val="left" w:pos="851"/>
        </w:tabs>
        <w:spacing w:line="480" w:lineRule="auto"/>
        <w:ind w:left="0" w:hanging="11"/>
        <w:contextualSpacing/>
        <w:jc w:val="both"/>
        <w:rPr>
          <w:rFonts w:ascii="Arial" w:hAnsi="Arial" w:cs="Arial"/>
        </w:rPr>
      </w:pPr>
      <w:r w:rsidRPr="00EF6C26">
        <w:rPr>
          <w:rFonts w:ascii="Arial" w:eastAsia="Times New Roman" w:hAnsi="Arial" w:cs="Arial"/>
          <w:lang w:eastAsia="en-GB"/>
        </w:rPr>
        <w:t>Only a</w:t>
      </w:r>
      <w:r w:rsidR="0011477F" w:rsidRPr="00EF6C26">
        <w:rPr>
          <w:rFonts w:ascii="Arial" w:eastAsia="Times New Roman" w:hAnsi="Arial" w:cs="Arial"/>
          <w:lang w:eastAsia="en-GB"/>
        </w:rPr>
        <w:t xml:space="preserve"> court properly seized with the matter will </w:t>
      </w:r>
      <w:r w:rsidRPr="00EF6C26">
        <w:rPr>
          <w:rFonts w:ascii="Arial" w:eastAsia="Times New Roman" w:hAnsi="Arial" w:cs="Arial"/>
          <w:lang w:eastAsia="en-GB"/>
        </w:rPr>
        <w:t>be able to</w:t>
      </w:r>
      <w:r w:rsidR="0011477F" w:rsidRPr="00EF6C26">
        <w:rPr>
          <w:rFonts w:ascii="Arial" w:eastAsia="Times New Roman" w:hAnsi="Arial" w:cs="Arial"/>
          <w:lang w:eastAsia="en-GB"/>
        </w:rPr>
        <w:t xml:space="preserve"> consider whether such a defence should prevail, if regard is had to the fact that the law being disobeyed was previously challenged and validated by a competent court and has been the law of the land for over 20 years unless and until it is one day reversed by a competent court. </w:t>
      </w:r>
    </w:p>
    <w:p w14:paraId="56E72BB4" w14:textId="77777777" w:rsidR="00EF6C26" w:rsidRDefault="00EF6C26" w:rsidP="007D5A39">
      <w:pPr>
        <w:pStyle w:val="ListParagraph"/>
        <w:spacing w:line="480" w:lineRule="auto"/>
        <w:rPr>
          <w:rFonts w:ascii="Arial" w:eastAsia="Times New Roman" w:hAnsi="Arial" w:cs="Arial"/>
          <w:lang w:eastAsia="en-GB"/>
        </w:rPr>
      </w:pPr>
    </w:p>
    <w:p w14:paraId="296FF28F" w14:textId="77777777" w:rsidR="00EF6C26" w:rsidRPr="00E712F9" w:rsidRDefault="0011477F" w:rsidP="007E067F">
      <w:pPr>
        <w:numPr>
          <w:ilvl w:val="0"/>
          <w:numId w:val="7"/>
        </w:numPr>
        <w:tabs>
          <w:tab w:val="left" w:pos="851"/>
        </w:tabs>
        <w:spacing w:line="480" w:lineRule="auto"/>
        <w:ind w:left="0" w:hanging="11"/>
        <w:contextualSpacing/>
        <w:jc w:val="both"/>
        <w:rPr>
          <w:rFonts w:ascii="Arial" w:hAnsi="Arial" w:cs="Arial"/>
        </w:rPr>
      </w:pPr>
      <w:r w:rsidRPr="00EF6C26">
        <w:rPr>
          <w:rFonts w:ascii="Arial" w:eastAsia="Times New Roman" w:hAnsi="Arial" w:cs="Arial"/>
          <w:lang w:eastAsia="en-GB"/>
        </w:rPr>
        <w:t>That court will also consider the implications for the rule of law, as suggested by the Minister in these proceedings, for persons to ignore legally binding laws that have not been set aside by a competent court: In other words, can one choose which laws to comply with and which ones not to? Only a court properly seized with the enforcement of the law can decide whether the respondents’ defiance is legitimate legal strategy, or brinkmanship.</w:t>
      </w:r>
      <w:r w:rsidR="00FF7A73" w:rsidRPr="00EF6C26">
        <w:rPr>
          <w:rFonts w:ascii="Arial" w:eastAsia="Times New Roman" w:hAnsi="Arial" w:cs="Arial"/>
          <w:lang w:eastAsia="en-GB"/>
        </w:rPr>
        <w:t xml:space="preserve"> </w:t>
      </w:r>
      <w:r w:rsidR="007D3D25" w:rsidRPr="00EF6C26">
        <w:rPr>
          <w:rFonts w:ascii="Arial" w:eastAsia="Times New Roman" w:hAnsi="Arial" w:cs="Arial"/>
          <w:lang w:eastAsia="en-GB"/>
        </w:rPr>
        <w:t xml:space="preserve">Also, </w:t>
      </w:r>
      <w:r w:rsidR="007D3D25" w:rsidRPr="00EF6C26">
        <w:rPr>
          <w:rFonts w:ascii="Arial" w:eastAsia="Times New Roman" w:hAnsi="Arial" w:cs="Arial"/>
          <w:bCs/>
          <w:kern w:val="36"/>
          <w:lang w:eastAsia="en-GB"/>
        </w:rPr>
        <w:t>w</w:t>
      </w:r>
      <w:r w:rsidR="00FF7A73" w:rsidRPr="00EF6C26">
        <w:rPr>
          <w:rFonts w:ascii="Arial" w:eastAsia="Times New Roman" w:hAnsi="Arial" w:cs="Arial"/>
          <w:bCs/>
          <w:kern w:val="36"/>
          <w:lang w:eastAsia="en-GB"/>
        </w:rPr>
        <w:t>hether the respondents can successfully resist those enforcement mechanisms through a collateral challenge</w:t>
      </w:r>
      <w:r w:rsidR="007D3D25" w:rsidRPr="00EF6C26">
        <w:rPr>
          <w:rFonts w:ascii="Arial" w:eastAsia="Times New Roman" w:hAnsi="Arial" w:cs="Arial"/>
          <w:bCs/>
          <w:kern w:val="36"/>
          <w:lang w:eastAsia="en-GB"/>
        </w:rPr>
        <w:t xml:space="preserve"> (or stay of proceedings)</w:t>
      </w:r>
      <w:r w:rsidR="00FF7A73" w:rsidRPr="00EF6C26">
        <w:rPr>
          <w:rFonts w:ascii="Arial" w:eastAsia="Times New Roman" w:hAnsi="Arial" w:cs="Arial"/>
          <w:bCs/>
          <w:kern w:val="36"/>
          <w:lang w:eastAsia="en-GB"/>
        </w:rPr>
        <w:t xml:space="preserve"> is a matter for the courts before w</w:t>
      </w:r>
      <w:r w:rsidR="00D84528" w:rsidRPr="00EF6C26">
        <w:rPr>
          <w:rFonts w:ascii="Arial" w:eastAsia="Times New Roman" w:hAnsi="Arial" w:cs="Arial"/>
          <w:bCs/>
          <w:kern w:val="36"/>
          <w:lang w:eastAsia="en-GB"/>
        </w:rPr>
        <w:t>hich enforcement must be sought</w:t>
      </w:r>
      <w:r w:rsidR="00345B47" w:rsidRPr="00EF6C26">
        <w:rPr>
          <w:rFonts w:ascii="Arial" w:eastAsia="Times New Roman" w:hAnsi="Arial" w:cs="Arial"/>
          <w:bCs/>
          <w:kern w:val="36"/>
          <w:lang w:eastAsia="en-GB"/>
        </w:rPr>
        <w:t xml:space="preserve">. In that regard, the court will consider the public interest to be served by a stay if asked for, considering that the sole source of revenue for </w:t>
      </w:r>
      <w:r w:rsidR="008A02DE" w:rsidRPr="00EF6C26">
        <w:rPr>
          <w:rFonts w:ascii="Arial" w:eastAsia="Times New Roman" w:hAnsi="Arial" w:cs="Arial"/>
          <w:bCs/>
          <w:kern w:val="36"/>
          <w:lang w:eastAsia="en-GB"/>
        </w:rPr>
        <w:t>NamibRe is the revenue from the ceded insurance b</w:t>
      </w:r>
      <w:r w:rsidR="009A3D32" w:rsidRPr="00EF6C26">
        <w:rPr>
          <w:rFonts w:ascii="Arial" w:eastAsia="Times New Roman" w:hAnsi="Arial" w:cs="Arial"/>
          <w:bCs/>
          <w:kern w:val="36"/>
          <w:lang w:eastAsia="en-GB"/>
        </w:rPr>
        <w:t>u</w:t>
      </w:r>
      <w:r w:rsidR="008A02DE" w:rsidRPr="00EF6C26">
        <w:rPr>
          <w:rFonts w:ascii="Arial" w:eastAsia="Times New Roman" w:hAnsi="Arial" w:cs="Arial"/>
          <w:bCs/>
          <w:kern w:val="36"/>
          <w:lang w:eastAsia="en-GB"/>
        </w:rPr>
        <w:t>siness.</w:t>
      </w:r>
    </w:p>
    <w:p w14:paraId="0920AABC" w14:textId="77777777" w:rsidR="00E712F9" w:rsidRPr="00183787" w:rsidRDefault="00E712F9" w:rsidP="007D5A39">
      <w:pPr>
        <w:spacing w:line="480" w:lineRule="auto"/>
        <w:contextualSpacing/>
        <w:jc w:val="both"/>
        <w:rPr>
          <w:rFonts w:ascii="Arial" w:hAnsi="Arial" w:cs="Arial"/>
        </w:rPr>
      </w:pPr>
    </w:p>
    <w:p w14:paraId="75BCFBF6" w14:textId="6BD30A08" w:rsidR="007E5DC8" w:rsidRDefault="007E5DC8" w:rsidP="007E067F">
      <w:pPr>
        <w:numPr>
          <w:ilvl w:val="0"/>
          <w:numId w:val="7"/>
        </w:numPr>
        <w:tabs>
          <w:tab w:val="left" w:pos="851"/>
        </w:tabs>
        <w:spacing w:line="480" w:lineRule="auto"/>
        <w:ind w:left="0" w:hanging="11"/>
        <w:contextualSpacing/>
        <w:jc w:val="both"/>
        <w:rPr>
          <w:rFonts w:ascii="Arial" w:hAnsi="Arial" w:cs="Arial"/>
        </w:rPr>
      </w:pPr>
      <w:r>
        <w:rPr>
          <w:rFonts w:ascii="Arial" w:eastAsia="Times New Roman" w:hAnsi="Arial" w:cs="Arial"/>
          <w:bCs/>
          <w:kern w:val="36"/>
          <w:lang w:eastAsia="en-GB"/>
        </w:rPr>
        <w:t xml:space="preserve">The High Court had granted the appellants’ application to strike certain allegations made by the respondents from the founding affidavit deposed to by the eighth respondent. The respondents lodged a cross-appeal against the High Court’s striking order. The respondents did not file heads of argument in respect of the counter-appeal within the time period prescribed by the rules and did so on the eve of the hearing. The appellants urged the court to either strike or dismiss the cross-appeal on account of the </w:t>
      </w:r>
      <w:r>
        <w:rPr>
          <w:rFonts w:ascii="Arial" w:eastAsia="Times New Roman" w:hAnsi="Arial" w:cs="Arial"/>
          <w:bCs/>
          <w:kern w:val="36"/>
          <w:lang w:eastAsia="en-GB"/>
        </w:rPr>
        <w:lastRenderedPageBreak/>
        <w:t>respondents’</w:t>
      </w:r>
      <w:r w:rsidR="003C65D8">
        <w:rPr>
          <w:rFonts w:ascii="Arial" w:eastAsia="Times New Roman" w:hAnsi="Arial" w:cs="Arial"/>
          <w:bCs/>
          <w:kern w:val="36"/>
          <w:lang w:eastAsia="en-GB"/>
        </w:rPr>
        <w:t xml:space="preserve"> </w:t>
      </w:r>
      <w:r>
        <w:rPr>
          <w:rFonts w:ascii="Arial" w:eastAsia="Times New Roman" w:hAnsi="Arial" w:cs="Arial"/>
          <w:bCs/>
          <w:kern w:val="36"/>
          <w:lang w:eastAsia="en-GB"/>
        </w:rPr>
        <w:t>non-compliance with the rules of court. That objection was properly taken and the cross-appeal stands to be struck off the roll, with costs.</w:t>
      </w:r>
    </w:p>
    <w:p w14:paraId="0E054227" w14:textId="77777777" w:rsidR="00195C23" w:rsidRDefault="00195C23" w:rsidP="007D5A39">
      <w:pPr>
        <w:pStyle w:val="ListParagraph"/>
        <w:spacing w:line="480" w:lineRule="auto"/>
        <w:ind w:left="0"/>
        <w:rPr>
          <w:rFonts w:ascii="Arial" w:eastAsia="Times New Roman" w:hAnsi="Arial" w:cs="Arial"/>
          <w:bCs/>
          <w:kern w:val="36"/>
          <w:u w:val="single"/>
          <w:lang w:eastAsia="en-GB"/>
        </w:rPr>
      </w:pPr>
    </w:p>
    <w:p w14:paraId="1E114055" w14:textId="77777777" w:rsidR="00EF6C26" w:rsidRDefault="0011477F" w:rsidP="007D5A39">
      <w:pPr>
        <w:spacing w:after="160" w:line="480" w:lineRule="auto"/>
        <w:contextualSpacing/>
        <w:jc w:val="both"/>
        <w:rPr>
          <w:rFonts w:ascii="Arial" w:hAnsi="Arial" w:cs="Arial"/>
        </w:rPr>
      </w:pPr>
      <w:r w:rsidRPr="00EF6C26">
        <w:rPr>
          <w:rFonts w:ascii="Arial" w:eastAsia="Times New Roman" w:hAnsi="Arial" w:cs="Arial"/>
          <w:bCs/>
          <w:kern w:val="36"/>
          <w:u w:val="single"/>
          <w:lang w:eastAsia="en-GB"/>
        </w:rPr>
        <w:t>Costs</w:t>
      </w:r>
    </w:p>
    <w:p w14:paraId="62F379A6" w14:textId="255E4A7F" w:rsidR="00EF6C26" w:rsidRDefault="0011477F" w:rsidP="007E067F">
      <w:pPr>
        <w:numPr>
          <w:ilvl w:val="0"/>
          <w:numId w:val="7"/>
        </w:numPr>
        <w:tabs>
          <w:tab w:val="left" w:pos="851"/>
        </w:tabs>
        <w:spacing w:line="480" w:lineRule="auto"/>
        <w:ind w:left="0" w:hanging="11"/>
        <w:contextualSpacing/>
        <w:jc w:val="both"/>
        <w:rPr>
          <w:rFonts w:ascii="Arial" w:hAnsi="Arial" w:cs="Arial"/>
        </w:rPr>
      </w:pPr>
      <w:r w:rsidRPr="00EF6C26">
        <w:rPr>
          <w:rFonts w:ascii="Arial" w:eastAsia="Times New Roman" w:hAnsi="Arial" w:cs="Arial"/>
          <w:bCs/>
          <w:kern w:val="36"/>
          <w:lang w:eastAsia="en-GB"/>
        </w:rPr>
        <w:t xml:space="preserve">I can think of no good reason why costs should not follow the result, both </w:t>
      </w:r>
      <w:r w:rsidRPr="00EF6C26">
        <w:rPr>
          <w:rFonts w:ascii="Arial" w:eastAsia="Times New Roman" w:hAnsi="Arial" w:cs="Arial"/>
          <w:bCs/>
          <w:i/>
          <w:kern w:val="36"/>
          <w:lang w:eastAsia="en-GB"/>
        </w:rPr>
        <w:t>a quo</w:t>
      </w:r>
      <w:r w:rsidRPr="00EF6C26">
        <w:rPr>
          <w:rFonts w:ascii="Arial" w:eastAsia="Times New Roman" w:hAnsi="Arial" w:cs="Arial"/>
          <w:bCs/>
          <w:kern w:val="36"/>
          <w:lang w:eastAsia="en-GB"/>
        </w:rPr>
        <w:t xml:space="preserve"> and on appeal.</w:t>
      </w:r>
      <w:r w:rsidR="007E5DC8">
        <w:rPr>
          <w:rFonts w:ascii="Arial" w:eastAsia="Times New Roman" w:hAnsi="Arial" w:cs="Arial"/>
          <w:bCs/>
          <w:kern w:val="36"/>
          <w:lang w:eastAsia="en-GB"/>
        </w:rPr>
        <w:t xml:space="preserve"> Costs should also follow the result in respect of the cross-appeal being struck off the roll.</w:t>
      </w:r>
    </w:p>
    <w:p w14:paraId="6B8B3B82" w14:textId="77777777" w:rsidR="00EF6C26" w:rsidRDefault="00EF6C26" w:rsidP="003376A4">
      <w:pPr>
        <w:spacing w:line="480" w:lineRule="auto"/>
        <w:contextualSpacing/>
        <w:jc w:val="both"/>
        <w:rPr>
          <w:rFonts w:ascii="Arial" w:eastAsia="Times New Roman" w:hAnsi="Arial" w:cs="Arial"/>
          <w:bCs/>
          <w:kern w:val="36"/>
          <w:u w:val="single"/>
          <w:lang w:eastAsia="en-GB"/>
        </w:rPr>
      </w:pPr>
    </w:p>
    <w:p w14:paraId="13EB591B" w14:textId="77777777" w:rsidR="00EF6C26" w:rsidRDefault="0011477F" w:rsidP="007D5A39">
      <w:pPr>
        <w:spacing w:after="160" w:line="480" w:lineRule="auto"/>
        <w:contextualSpacing/>
        <w:jc w:val="both"/>
        <w:rPr>
          <w:rFonts w:ascii="Arial" w:hAnsi="Arial" w:cs="Arial"/>
        </w:rPr>
      </w:pPr>
      <w:r w:rsidRPr="00EF6C26">
        <w:rPr>
          <w:rFonts w:ascii="Arial" w:eastAsia="Times New Roman" w:hAnsi="Arial" w:cs="Arial"/>
          <w:bCs/>
          <w:kern w:val="36"/>
          <w:u w:val="single"/>
          <w:lang w:eastAsia="en-GB"/>
        </w:rPr>
        <w:t>Order</w:t>
      </w:r>
    </w:p>
    <w:p w14:paraId="34B45C9F" w14:textId="46C621FF" w:rsidR="0011477F" w:rsidRPr="00EF6C26" w:rsidRDefault="0011477F" w:rsidP="007E067F">
      <w:pPr>
        <w:numPr>
          <w:ilvl w:val="0"/>
          <w:numId w:val="7"/>
        </w:numPr>
        <w:tabs>
          <w:tab w:val="left" w:pos="851"/>
        </w:tabs>
        <w:spacing w:line="480" w:lineRule="auto"/>
        <w:ind w:left="0" w:hanging="11"/>
        <w:contextualSpacing/>
        <w:jc w:val="both"/>
        <w:rPr>
          <w:rFonts w:ascii="Arial" w:hAnsi="Arial" w:cs="Arial"/>
        </w:rPr>
      </w:pPr>
      <w:r w:rsidRPr="00EF6C26">
        <w:rPr>
          <w:rFonts w:ascii="Arial" w:eastAsia="Times New Roman" w:hAnsi="Arial" w:cs="Arial"/>
          <w:bCs/>
          <w:kern w:val="36"/>
          <w:lang w:eastAsia="en-GB"/>
        </w:rPr>
        <w:t xml:space="preserve">I would accordingly make the following order: </w:t>
      </w:r>
    </w:p>
    <w:p w14:paraId="069E9D56" w14:textId="77777777" w:rsidR="006B5E4A" w:rsidRPr="004379AA" w:rsidRDefault="006B5E4A" w:rsidP="007D5A39">
      <w:pPr>
        <w:tabs>
          <w:tab w:val="left" w:pos="851"/>
        </w:tabs>
        <w:spacing w:line="480" w:lineRule="auto"/>
        <w:contextualSpacing/>
        <w:jc w:val="both"/>
        <w:rPr>
          <w:rFonts w:ascii="Arial" w:hAnsi="Arial" w:cs="Arial"/>
        </w:rPr>
      </w:pPr>
    </w:p>
    <w:p w14:paraId="065207FF" w14:textId="1148F15E" w:rsidR="0011477F" w:rsidRPr="004379AA" w:rsidRDefault="0011477F" w:rsidP="00ED63AC">
      <w:pPr>
        <w:pStyle w:val="ListParagraph"/>
        <w:numPr>
          <w:ilvl w:val="0"/>
          <w:numId w:val="6"/>
        </w:numPr>
        <w:spacing w:line="480" w:lineRule="auto"/>
        <w:ind w:left="1418" w:hanging="567"/>
        <w:jc w:val="both"/>
        <w:outlineLvl w:val="0"/>
        <w:rPr>
          <w:rFonts w:ascii="Arial" w:eastAsia="Times New Roman" w:hAnsi="Arial" w:cs="Arial"/>
          <w:bCs/>
          <w:kern w:val="36"/>
          <w:lang w:eastAsia="en-GB"/>
        </w:rPr>
      </w:pPr>
      <w:r w:rsidRPr="004379AA">
        <w:rPr>
          <w:rFonts w:ascii="Arial" w:eastAsia="Times New Roman" w:hAnsi="Arial" w:cs="Arial"/>
          <w:bCs/>
          <w:kern w:val="36"/>
          <w:lang w:eastAsia="en-GB"/>
        </w:rPr>
        <w:t xml:space="preserve">The appeal succeeds in part only. </w:t>
      </w:r>
      <w:r w:rsidR="00662D27" w:rsidRPr="004379AA">
        <w:rPr>
          <w:rFonts w:ascii="Arial" w:eastAsia="Times New Roman" w:hAnsi="Arial" w:cs="Arial"/>
          <w:bCs/>
          <w:kern w:val="36"/>
          <w:lang w:eastAsia="en-GB"/>
        </w:rPr>
        <w:t>T</w:t>
      </w:r>
      <w:r w:rsidRPr="004379AA">
        <w:rPr>
          <w:rFonts w:ascii="Arial" w:eastAsia="Times New Roman" w:hAnsi="Arial" w:cs="Arial"/>
          <w:bCs/>
          <w:kern w:val="36"/>
          <w:lang w:eastAsia="en-GB"/>
        </w:rPr>
        <w:t xml:space="preserve">he </w:t>
      </w:r>
      <w:r w:rsidR="00662D27" w:rsidRPr="004379AA">
        <w:rPr>
          <w:rFonts w:ascii="Arial" w:eastAsia="Times New Roman" w:hAnsi="Arial" w:cs="Arial"/>
          <w:bCs/>
          <w:kern w:val="36"/>
          <w:lang w:eastAsia="en-GB"/>
        </w:rPr>
        <w:t xml:space="preserve">order of the </w:t>
      </w:r>
      <w:r w:rsidRPr="004379AA">
        <w:rPr>
          <w:rFonts w:ascii="Arial" w:eastAsia="Times New Roman" w:hAnsi="Arial" w:cs="Arial"/>
          <w:bCs/>
          <w:kern w:val="36"/>
          <w:lang w:eastAsia="en-GB"/>
        </w:rPr>
        <w:t>High Court is hereby set aside and substituted for the following:</w:t>
      </w:r>
    </w:p>
    <w:p w14:paraId="1474E26F" w14:textId="77777777" w:rsidR="00810B05" w:rsidRPr="004379AA" w:rsidRDefault="00810B05" w:rsidP="00ED63AC">
      <w:pPr>
        <w:pStyle w:val="ListParagraph"/>
        <w:spacing w:line="360" w:lineRule="auto"/>
        <w:ind w:left="1418" w:hanging="567"/>
        <w:jc w:val="both"/>
        <w:outlineLvl w:val="0"/>
        <w:rPr>
          <w:rFonts w:ascii="Arial" w:eastAsia="Times New Roman" w:hAnsi="Arial" w:cs="Arial"/>
          <w:bCs/>
          <w:kern w:val="36"/>
          <w:lang w:eastAsia="en-GB"/>
        </w:rPr>
      </w:pPr>
    </w:p>
    <w:p w14:paraId="14097903" w14:textId="41B29571" w:rsidR="0011477F" w:rsidRPr="00D01CFF" w:rsidRDefault="00667DC8" w:rsidP="007E067F">
      <w:pPr>
        <w:spacing w:line="360" w:lineRule="auto"/>
        <w:ind w:left="1985" w:hanging="567"/>
        <w:jc w:val="both"/>
        <w:outlineLvl w:val="0"/>
        <w:rPr>
          <w:rFonts w:ascii="Arial" w:eastAsia="Times New Roman" w:hAnsi="Arial" w:cs="Arial"/>
          <w:bCs/>
          <w:kern w:val="36"/>
          <w:sz w:val="22"/>
          <w:szCs w:val="22"/>
          <w:lang w:eastAsia="en-GB"/>
        </w:rPr>
      </w:pPr>
      <w:r>
        <w:rPr>
          <w:rFonts w:ascii="Arial" w:eastAsia="Times New Roman" w:hAnsi="Arial" w:cs="Arial"/>
          <w:bCs/>
          <w:kern w:val="36"/>
          <w:sz w:val="22"/>
          <w:szCs w:val="22"/>
          <w:lang w:eastAsia="en-GB"/>
        </w:rPr>
        <w:t>“</w:t>
      </w:r>
      <w:r w:rsidR="0011477F" w:rsidRPr="004379AA">
        <w:rPr>
          <w:rFonts w:ascii="Arial" w:eastAsia="Times New Roman" w:hAnsi="Arial" w:cs="Arial"/>
          <w:bCs/>
          <w:kern w:val="36"/>
          <w:sz w:val="22"/>
          <w:szCs w:val="22"/>
          <w:lang w:eastAsia="en-GB"/>
        </w:rPr>
        <w:t>1</w:t>
      </w:r>
      <w:r w:rsidR="007E067F">
        <w:rPr>
          <w:rFonts w:ascii="Arial" w:eastAsia="Times New Roman" w:hAnsi="Arial" w:cs="Arial"/>
          <w:bCs/>
          <w:kern w:val="36"/>
          <w:sz w:val="22"/>
          <w:szCs w:val="22"/>
          <w:lang w:eastAsia="en-GB"/>
        </w:rPr>
        <w:t>.</w:t>
      </w:r>
      <w:r w:rsidR="007E067F">
        <w:rPr>
          <w:rFonts w:ascii="Arial" w:eastAsia="Times New Roman" w:hAnsi="Arial" w:cs="Arial"/>
          <w:bCs/>
          <w:kern w:val="36"/>
          <w:sz w:val="22"/>
          <w:szCs w:val="22"/>
          <w:lang w:eastAsia="en-GB"/>
        </w:rPr>
        <w:tab/>
      </w:r>
      <w:r w:rsidR="0011477F" w:rsidRPr="00D01CFF">
        <w:rPr>
          <w:rFonts w:ascii="Arial" w:eastAsia="Times New Roman" w:hAnsi="Arial" w:cs="Arial"/>
          <w:bCs/>
          <w:kern w:val="36"/>
          <w:sz w:val="22"/>
          <w:szCs w:val="22"/>
          <w:lang w:eastAsia="en-GB"/>
        </w:rPr>
        <w:t>The application is dismissed.</w:t>
      </w:r>
    </w:p>
    <w:p w14:paraId="4DA129AB" w14:textId="77777777" w:rsidR="00810B05" w:rsidRPr="00D01CFF" w:rsidRDefault="00810B05" w:rsidP="00ED63AC">
      <w:pPr>
        <w:spacing w:line="360" w:lineRule="auto"/>
        <w:ind w:left="1418" w:hanging="567"/>
        <w:jc w:val="both"/>
        <w:outlineLvl w:val="0"/>
        <w:rPr>
          <w:rFonts w:ascii="Arial" w:eastAsia="Times New Roman" w:hAnsi="Arial" w:cs="Arial"/>
          <w:bCs/>
          <w:kern w:val="36"/>
          <w:sz w:val="22"/>
          <w:szCs w:val="22"/>
          <w:lang w:eastAsia="en-GB"/>
        </w:rPr>
      </w:pPr>
    </w:p>
    <w:p w14:paraId="4A74247B" w14:textId="77777777" w:rsidR="0011477F" w:rsidRPr="00D01CFF" w:rsidRDefault="0011477F" w:rsidP="007E067F">
      <w:pPr>
        <w:pStyle w:val="ListParagraph"/>
        <w:numPr>
          <w:ilvl w:val="0"/>
          <w:numId w:val="6"/>
        </w:numPr>
        <w:spacing w:line="360" w:lineRule="auto"/>
        <w:ind w:left="1985" w:hanging="567"/>
        <w:jc w:val="both"/>
        <w:outlineLvl w:val="0"/>
        <w:rPr>
          <w:rFonts w:ascii="Arial" w:eastAsia="Times New Roman" w:hAnsi="Arial" w:cs="Arial"/>
          <w:bCs/>
          <w:kern w:val="36"/>
          <w:sz w:val="22"/>
          <w:szCs w:val="22"/>
          <w:lang w:eastAsia="en-GB"/>
        </w:rPr>
      </w:pPr>
      <w:r w:rsidRPr="00D01CFF">
        <w:rPr>
          <w:rFonts w:ascii="Arial" w:eastAsia="Times New Roman" w:hAnsi="Arial" w:cs="Arial"/>
          <w:bCs/>
          <w:kern w:val="36"/>
          <w:sz w:val="22"/>
          <w:szCs w:val="22"/>
          <w:lang w:eastAsia="en-GB"/>
        </w:rPr>
        <w:t>The first and second applicants shall bear the first to sixteenth respondents’ costs, jointly and severally, the one paying the other to be absolved; such costs to include the costs of instructing counsel and such number of instructed counsel employed by each respondent.’’</w:t>
      </w:r>
    </w:p>
    <w:p w14:paraId="70C195EA" w14:textId="77777777" w:rsidR="00810B05" w:rsidRPr="004379AA" w:rsidRDefault="00810B05" w:rsidP="00ED63AC">
      <w:pPr>
        <w:pStyle w:val="ListParagraph"/>
        <w:spacing w:line="480" w:lineRule="auto"/>
        <w:ind w:left="1418" w:hanging="567"/>
        <w:jc w:val="both"/>
        <w:outlineLvl w:val="0"/>
        <w:rPr>
          <w:rFonts w:ascii="Arial" w:eastAsia="Times New Roman" w:hAnsi="Arial" w:cs="Arial"/>
          <w:bCs/>
          <w:kern w:val="36"/>
          <w:sz w:val="22"/>
          <w:szCs w:val="22"/>
          <w:lang w:eastAsia="en-GB"/>
        </w:rPr>
      </w:pPr>
    </w:p>
    <w:p w14:paraId="64A86BF5" w14:textId="1C60663D" w:rsidR="0011477F" w:rsidRPr="00183787" w:rsidRDefault="007E5DC8" w:rsidP="00ED63AC">
      <w:pPr>
        <w:spacing w:line="480" w:lineRule="auto"/>
        <w:ind w:left="1418" w:hanging="567"/>
        <w:jc w:val="both"/>
        <w:outlineLvl w:val="0"/>
        <w:rPr>
          <w:rFonts w:ascii="Arial" w:eastAsia="Times New Roman" w:hAnsi="Arial" w:cs="Arial"/>
          <w:bCs/>
          <w:kern w:val="36"/>
          <w:lang w:eastAsia="en-GB"/>
        </w:rPr>
      </w:pPr>
      <w:r>
        <w:rPr>
          <w:rFonts w:ascii="Arial" w:eastAsia="Times New Roman" w:hAnsi="Arial" w:cs="Arial"/>
          <w:bCs/>
          <w:kern w:val="36"/>
          <w:lang w:eastAsia="en-GB"/>
        </w:rPr>
        <w:t>2.</w:t>
      </w:r>
      <w:r w:rsidR="009D6D2C">
        <w:rPr>
          <w:rFonts w:ascii="Arial" w:eastAsia="Times New Roman" w:hAnsi="Arial" w:cs="Arial"/>
          <w:bCs/>
          <w:kern w:val="36"/>
          <w:lang w:eastAsia="en-GB"/>
        </w:rPr>
        <w:tab/>
      </w:r>
      <w:r w:rsidR="0011477F" w:rsidRPr="00183787">
        <w:rPr>
          <w:rFonts w:ascii="Arial" w:eastAsia="Times New Roman" w:hAnsi="Arial" w:cs="Arial"/>
          <w:bCs/>
          <w:kern w:val="36"/>
          <w:lang w:eastAsia="en-GB"/>
        </w:rPr>
        <w:t>The first and second appellants shall bear the first to sixteenth respondents’ costs of the appeal, jointly and severally, the one paying the other to be absolved; such costs to include, in respect of each respondent, the costs of instructing counsel and the costs of such number of instructed counsel employed by each respondent.</w:t>
      </w:r>
    </w:p>
    <w:p w14:paraId="3BE19355" w14:textId="77777777" w:rsidR="007E5DC8" w:rsidRPr="00183787" w:rsidRDefault="007E5DC8" w:rsidP="007E067F">
      <w:pPr>
        <w:spacing w:line="480" w:lineRule="auto"/>
        <w:ind w:left="1418" w:hanging="567"/>
        <w:jc w:val="both"/>
        <w:outlineLvl w:val="0"/>
        <w:rPr>
          <w:rFonts w:ascii="Arial" w:eastAsia="Times New Roman" w:hAnsi="Arial" w:cs="Arial"/>
          <w:bCs/>
          <w:kern w:val="36"/>
          <w:lang w:eastAsia="en-GB"/>
        </w:rPr>
      </w:pPr>
    </w:p>
    <w:p w14:paraId="2D5CBD02" w14:textId="373BDB0B" w:rsidR="007E5DC8" w:rsidRPr="00183787" w:rsidRDefault="007E5DC8" w:rsidP="00ED63AC">
      <w:pPr>
        <w:pStyle w:val="ListParagraph"/>
        <w:numPr>
          <w:ilvl w:val="0"/>
          <w:numId w:val="6"/>
        </w:numPr>
        <w:spacing w:line="480" w:lineRule="auto"/>
        <w:ind w:left="1418" w:hanging="567"/>
        <w:jc w:val="both"/>
        <w:outlineLvl w:val="0"/>
        <w:rPr>
          <w:rFonts w:ascii="Arial" w:eastAsia="Times New Roman" w:hAnsi="Arial" w:cs="Arial"/>
          <w:bCs/>
          <w:kern w:val="36"/>
          <w:lang w:eastAsia="en-GB"/>
        </w:rPr>
      </w:pPr>
      <w:r>
        <w:rPr>
          <w:rFonts w:ascii="Arial" w:eastAsia="Times New Roman" w:hAnsi="Arial" w:cs="Arial"/>
          <w:bCs/>
          <w:kern w:val="36"/>
          <w:lang w:eastAsia="en-GB"/>
        </w:rPr>
        <w:lastRenderedPageBreak/>
        <w:t xml:space="preserve">The cross-appeal is struck from the roll with costs </w:t>
      </w:r>
      <w:r w:rsidR="00CE3AC8">
        <w:rPr>
          <w:rFonts w:ascii="Arial" w:eastAsia="Times New Roman" w:hAnsi="Arial" w:cs="Arial"/>
          <w:bCs/>
          <w:kern w:val="36"/>
          <w:lang w:eastAsia="en-GB"/>
        </w:rPr>
        <w:t>against the first to sixteenth respondents, jointly and severally the one paying the other to be absolved,  consequent upon the employment of one instructing and as many instructed counsel engaged by the appellants.</w:t>
      </w:r>
    </w:p>
    <w:p w14:paraId="2ED709DE" w14:textId="77777777" w:rsidR="00742AEE" w:rsidRDefault="00742AEE" w:rsidP="00742AEE">
      <w:pPr>
        <w:jc w:val="both"/>
        <w:rPr>
          <w:rFonts w:ascii="Arial" w:hAnsi="Arial" w:cs="Arial"/>
          <w:lang w:val="en-ZA"/>
        </w:rPr>
      </w:pPr>
    </w:p>
    <w:p w14:paraId="0BD537CE" w14:textId="77777777" w:rsidR="00715CDA" w:rsidRDefault="00715CDA" w:rsidP="00742AEE">
      <w:pPr>
        <w:jc w:val="both"/>
        <w:rPr>
          <w:rFonts w:ascii="Arial" w:hAnsi="Arial" w:cs="Arial"/>
          <w:lang w:val="en-ZA"/>
        </w:rPr>
      </w:pPr>
    </w:p>
    <w:p w14:paraId="0DCA81ED" w14:textId="77777777" w:rsidR="00715CDA" w:rsidRPr="004379AA" w:rsidRDefault="00715CDA" w:rsidP="00742AEE">
      <w:pPr>
        <w:jc w:val="both"/>
        <w:rPr>
          <w:rFonts w:ascii="Arial" w:hAnsi="Arial" w:cs="Arial"/>
          <w:lang w:val="en-ZA"/>
        </w:rPr>
      </w:pPr>
    </w:p>
    <w:p w14:paraId="0C5F7ECD" w14:textId="77777777" w:rsidR="00742AEE" w:rsidRDefault="00742AEE" w:rsidP="00742AEE">
      <w:pPr>
        <w:jc w:val="both"/>
        <w:rPr>
          <w:rFonts w:ascii="Arial" w:hAnsi="Arial" w:cs="Arial"/>
          <w:lang w:val="en-ZA"/>
        </w:rPr>
      </w:pPr>
    </w:p>
    <w:p w14:paraId="041FEE69" w14:textId="77777777" w:rsidR="00715CDA" w:rsidRDefault="00715CDA" w:rsidP="00742AEE">
      <w:pPr>
        <w:jc w:val="both"/>
        <w:rPr>
          <w:rFonts w:ascii="Arial" w:hAnsi="Arial" w:cs="Arial"/>
          <w:lang w:val="en-ZA"/>
        </w:rPr>
      </w:pPr>
    </w:p>
    <w:p w14:paraId="5809D24A" w14:textId="77777777" w:rsidR="00715CDA" w:rsidRPr="004379AA" w:rsidRDefault="00715CDA" w:rsidP="00742AEE">
      <w:pPr>
        <w:jc w:val="both"/>
        <w:rPr>
          <w:rFonts w:ascii="Arial" w:hAnsi="Arial" w:cs="Arial"/>
          <w:lang w:val="en-ZA"/>
        </w:rPr>
      </w:pPr>
    </w:p>
    <w:p w14:paraId="469040C9" w14:textId="77777777" w:rsidR="00742AEE" w:rsidRPr="004379AA" w:rsidRDefault="00742AEE" w:rsidP="00742AEE">
      <w:pPr>
        <w:rPr>
          <w:rFonts w:ascii="Arial" w:hAnsi="Arial" w:cs="Arial"/>
          <w:b/>
          <w:u w:val="single"/>
          <w:lang w:val="en-ZA"/>
        </w:rPr>
      </w:pPr>
      <w:r w:rsidRPr="004379AA">
        <w:rPr>
          <w:rFonts w:ascii="Arial" w:hAnsi="Arial" w:cs="Arial"/>
          <w:b/>
          <w:u w:val="single"/>
          <w:lang w:val="en-ZA"/>
        </w:rPr>
        <w:tab/>
      </w:r>
      <w:r w:rsidRPr="004379AA">
        <w:rPr>
          <w:rFonts w:ascii="Arial" w:hAnsi="Arial" w:cs="Arial"/>
          <w:b/>
          <w:u w:val="single"/>
          <w:lang w:val="en-ZA"/>
        </w:rPr>
        <w:tab/>
      </w:r>
      <w:r w:rsidRPr="004379AA">
        <w:rPr>
          <w:rFonts w:ascii="Arial" w:hAnsi="Arial" w:cs="Arial"/>
          <w:b/>
          <w:u w:val="single"/>
          <w:lang w:val="en-ZA"/>
        </w:rPr>
        <w:tab/>
      </w:r>
    </w:p>
    <w:p w14:paraId="27122F58" w14:textId="77777777" w:rsidR="00742AEE" w:rsidRPr="004379AA" w:rsidRDefault="00742AEE" w:rsidP="00742AEE">
      <w:pPr>
        <w:rPr>
          <w:rFonts w:ascii="Arial" w:hAnsi="Arial" w:cs="Arial"/>
          <w:b/>
          <w:lang w:val="en-ZA"/>
        </w:rPr>
      </w:pPr>
      <w:r w:rsidRPr="004379AA">
        <w:rPr>
          <w:rFonts w:ascii="Arial" w:hAnsi="Arial" w:cs="Arial"/>
          <w:b/>
          <w:lang w:val="en-ZA"/>
        </w:rPr>
        <w:t>DAMASEB DCJ</w:t>
      </w:r>
    </w:p>
    <w:p w14:paraId="7FAF1204" w14:textId="77777777" w:rsidR="00742AEE" w:rsidRPr="004379AA" w:rsidRDefault="00742AEE" w:rsidP="00742AEE">
      <w:pPr>
        <w:rPr>
          <w:rFonts w:ascii="Arial" w:hAnsi="Arial" w:cs="Arial"/>
          <w:lang w:val="en-ZA"/>
        </w:rPr>
      </w:pPr>
    </w:p>
    <w:p w14:paraId="7A53157E" w14:textId="77777777" w:rsidR="00742AEE" w:rsidRPr="004379AA" w:rsidRDefault="00742AEE" w:rsidP="00742AEE">
      <w:pPr>
        <w:rPr>
          <w:rFonts w:ascii="Arial" w:hAnsi="Arial" w:cs="Arial"/>
          <w:lang w:val="en-ZA"/>
        </w:rPr>
      </w:pPr>
    </w:p>
    <w:p w14:paraId="606C6E4B" w14:textId="77777777" w:rsidR="00742AEE" w:rsidRPr="004379AA" w:rsidRDefault="00742AEE" w:rsidP="00742AEE">
      <w:pPr>
        <w:rPr>
          <w:rFonts w:ascii="Arial" w:hAnsi="Arial" w:cs="Arial"/>
          <w:lang w:val="en-ZA"/>
        </w:rPr>
      </w:pPr>
    </w:p>
    <w:p w14:paraId="3AD02643" w14:textId="77777777" w:rsidR="00742AEE" w:rsidRPr="004379AA" w:rsidRDefault="00742AEE" w:rsidP="00742AEE">
      <w:pPr>
        <w:rPr>
          <w:rFonts w:ascii="Arial" w:hAnsi="Arial" w:cs="Arial"/>
          <w:lang w:val="en-ZA"/>
        </w:rPr>
      </w:pPr>
    </w:p>
    <w:p w14:paraId="5E58AB36" w14:textId="77777777" w:rsidR="00742AEE" w:rsidRPr="004379AA" w:rsidRDefault="00742AEE" w:rsidP="00742AEE">
      <w:pPr>
        <w:rPr>
          <w:rFonts w:ascii="Arial" w:hAnsi="Arial" w:cs="Arial"/>
          <w:lang w:val="en-ZA"/>
        </w:rPr>
      </w:pPr>
    </w:p>
    <w:p w14:paraId="702008FD" w14:textId="77777777" w:rsidR="00D27BA7" w:rsidRPr="004379AA" w:rsidRDefault="00D27BA7" w:rsidP="00742AEE">
      <w:pPr>
        <w:rPr>
          <w:rFonts w:ascii="Arial" w:hAnsi="Arial" w:cs="Arial"/>
          <w:lang w:val="en-ZA"/>
        </w:rPr>
      </w:pPr>
    </w:p>
    <w:p w14:paraId="0AAD0C6A" w14:textId="77777777" w:rsidR="00742AEE" w:rsidRPr="004379AA" w:rsidRDefault="00742AEE" w:rsidP="00742AEE">
      <w:pPr>
        <w:rPr>
          <w:rFonts w:ascii="Arial" w:hAnsi="Arial" w:cs="Arial"/>
          <w:b/>
          <w:u w:val="single"/>
          <w:lang w:val="en-ZA"/>
        </w:rPr>
      </w:pPr>
      <w:r w:rsidRPr="004379AA">
        <w:rPr>
          <w:rFonts w:ascii="Arial" w:hAnsi="Arial" w:cs="Arial"/>
          <w:b/>
          <w:u w:val="single"/>
          <w:lang w:val="en-ZA"/>
        </w:rPr>
        <w:tab/>
      </w:r>
      <w:r w:rsidRPr="004379AA">
        <w:rPr>
          <w:rFonts w:ascii="Arial" w:hAnsi="Arial" w:cs="Arial"/>
          <w:b/>
          <w:u w:val="single"/>
          <w:lang w:val="en-ZA"/>
        </w:rPr>
        <w:tab/>
      </w:r>
      <w:r w:rsidRPr="004379AA">
        <w:rPr>
          <w:rFonts w:ascii="Arial" w:hAnsi="Arial" w:cs="Arial"/>
          <w:b/>
          <w:u w:val="single"/>
          <w:lang w:val="en-ZA"/>
        </w:rPr>
        <w:tab/>
      </w:r>
    </w:p>
    <w:p w14:paraId="2BC1F129" w14:textId="77777777" w:rsidR="00742AEE" w:rsidRPr="004379AA" w:rsidRDefault="00742AEE" w:rsidP="00742AEE">
      <w:pPr>
        <w:rPr>
          <w:rFonts w:ascii="Arial" w:hAnsi="Arial" w:cs="Arial"/>
          <w:b/>
          <w:lang w:val="en-ZA"/>
        </w:rPr>
      </w:pPr>
      <w:r w:rsidRPr="004379AA">
        <w:rPr>
          <w:rFonts w:ascii="Arial" w:hAnsi="Arial" w:cs="Arial"/>
          <w:b/>
          <w:lang w:val="en-ZA"/>
        </w:rPr>
        <w:t>HOFF JA</w:t>
      </w:r>
    </w:p>
    <w:p w14:paraId="4A4D83A4" w14:textId="77777777" w:rsidR="00742AEE" w:rsidRPr="004379AA" w:rsidRDefault="00742AEE" w:rsidP="00742AEE">
      <w:pPr>
        <w:rPr>
          <w:rFonts w:ascii="Arial" w:hAnsi="Arial" w:cs="Arial"/>
          <w:lang w:val="en-ZA"/>
        </w:rPr>
      </w:pPr>
    </w:p>
    <w:p w14:paraId="1AC00AF0" w14:textId="77777777" w:rsidR="00742AEE" w:rsidRPr="004379AA" w:rsidRDefault="00742AEE" w:rsidP="00742AEE">
      <w:pPr>
        <w:rPr>
          <w:rFonts w:ascii="Arial" w:hAnsi="Arial" w:cs="Arial"/>
          <w:lang w:val="en-ZA"/>
        </w:rPr>
      </w:pPr>
    </w:p>
    <w:p w14:paraId="5470634A" w14:textId="77777777" w:rsidR="00742AEE" w:rsidRPr="004379AA" w:rsidRDefault="00742AEE" w:rsidP="00742AEE">
      <w:pPr>
        <w:rPr>
          <w:rFonts w:ascii="Arial" w:hAnsi="Arial" w:cs="Arial"/>
          <w:lang w:val="en-ZA"/>
        </w:rPr>
      </w:pPr>
    </w:p>
    <w:p w14:paraId="307D49C0" w14:textId="77777777" w:rsidR="00D27BA7" w:rsidRPr="004379AA" w:rsidRDefault="00D27BA7" w:rsidP="00742AEE">
      <w:pPr>
        <w:rPr>
          <w:rFonts w:ascii="Arial" w:hAnsi="Arial" w:cs="Arial"/>
          <w:lang w:val="en-ZA"/>
        </w:rPr>
      </w:pPr>
    </w:p>
    <w:p w14:paraId="518324AA" w14:textId="77777777" w:rsidR="00D27BA7" w:rsidRDefault="00D27BA7" w:rsidP="00742AEE">
      <w:pPr>
        <w:rPr>
          <w:rFonts w:ascii="Arial" w:hAnsi="Arial" w:cs="Arial"/>
          <w:lang w:val="en-ZA"/>
        </w:rPr>
      </w:pPr>
    </w:p>
    <w:p w14:paraId="2B62192A" w14:textId="77777777" w:rsidR="007F6A49" w:rsidRPr="004379AA" w:rsidRDefault="007F6A49" w:rsidP="00742AEE">
      <w:pPr>
        <w:rPr>
          <w:rFonts w:ascii="Arial" w:hAnsi="Arial" w:cs="Arial"/>
          <w:lang w:val="en-ZA"/>
        </w:rPr>
      </w:pPr>
    </w:p>
    <w:p w14:paraId="26812B55" w14:textId="77777777" w:rsidR="00742AEE" w:rsidRPr="004379AA" w:rsidRDefault="00742AEE" w:rsidP="00742AEE">
      <w:pPr>
        <w:rPr>
          <w:rFonts w:ascii="Arial" w:hAnsi="Arial" w:cs="Arial"/>
          <w:b/>
          <w:u w:val="single"/>
          <w:lang w:val="en-ZA"/>
        </w:rPr>
      </w:pPr>
      <w:r w:rsidRPr="004379AA">
        <w:rPr>
          <w:rFonts w:ascii="Arial" w:hAnsi="Arial" w:cs="Arial"/>
          <w:b/>
          <w:u w:val="single"/>
          <w:lang w:val="en-ZA"/>
        </w:rPr>
        <w:tab/>
      </w:r>
      <w:r w:rsidRPr="004379AA">
        <w:rPr>
          <w:rFonts w:ascii="Arial" w:hAnsi="Arial" w:cs="Arial"/>
          <w:b/>
          <w:u w:val="single"/>
          <w:lang w:val="en-ZA"/>
        </w:rPr>
        <w:tab/>
      </w:r>
      <w:r w:rsidRPr="004379AA">
        <w:rPr>
          <w:rFonts w:ascii="Arial" w:hAnsi="Arial" w:cs="Arial"/>
          <w:b/>
          <w:u w:val="single"/>
          <w:lang w:val="en-ZA"/>
        </w:rPr>
        <w:tab/>
      </w:r>
    </w:p>
    <w:p w14:paraId="4468283B" w14:textId="10150383" w:rsidR="00742AEE" w:rsidRDefault="00742AEE" w:rsidP="00742AEE">
      <w:pPr>
        <w:tabs>
          <w:tab w:val="left" w:pos="1485"/>
        </w:tabs>
        <w:spacing w:line="480" w:lineRule="auto"/>
        <w:rPr>
          <w:rFonts w:ascii="Arial" w:hAnsi="Arial" w:cs="Arial"/>
          <w:b/>
          <w:lang w:val="en-ZA"/>
        </w:rPr>
      </w:pPr>
      <w:r w:rsidRPr="004379AA">
        <w:rPr>
          <w:rFonts w:ascii="Arial" w:hAnsi="Arial" w:cs="Arial"/>
          <w:b/>
          <w:lang w:val="en-ZA"/>
        </w:rPr>
        <w:t>MOKGORO AJA</w:t>
      </w:r>
      <w:r w:rsidRPr="004379AA">
        <w:rPr>
          <w:rFonts w:ascii="Arial" w:hAnsi="Arial" w:cs="Arial"/>
          <w:b/>
          <w:lang w:val="en-ZA"/>
        </w:rPr>
        <w:tab/>
      </w:r>
    </w:p>
    <w:p w14:paraId="072A5E2C" w14:textId="7F6B60AC" w:rsidR="007F6A49" w:rsidRDefault="007F6A49">
      <w:pPr>
        <w:rPr>
          <w:rFonts w:ascii="Arial" w:hAnsi="Arial" w:cs="Arial"/>
          <w:b/>
          <w:lang w:val="en-ZA"/>
        </w:rPr>
      </w:pPr>
      <w:r>
        <w:rPr>
          <w:rFonts w:ascii="Arial" w:hAnsi="Arial" w:cs="Arial"/>
          <w:b/>
          <w:lang w:val="en-ZA"/>
        </w:rPr>
        <w:br w:type="page"/>
      </w:r>
    </w:p>
    <w:p w14:paraId="2B2DA3C6" w14:textId="77777777" w:rsidR="00742AEE" w:rsidRPr="004379AA" w:rsidRDefault="00742AEE" w:rsidP="003376A4">
      <w:pPr>
        <w:spacing w:line="360" w:lineRule="auto"/>
        <w:jc w:val="both"/>
        <w:rPr>
          <w:rFonts w:ascii="Arial" w:hAnsi="Arial" w:cs="Arial"/>
          <w:lang w:val="en-ZA"/>
        </w:rPr>
      </w:pPr>
      <w:r w:rsidRPr="004379AA">
        <w:rPr>
          <w:rFonts w:ascii="Arial" w:hAnsi="Arial" w:cs="Arial"/>
          <w:lang w:val="en-ZA"/>
        </w:rPr>
        <w:lastRenderedPageBreak/>
        <w:t>APPEARANCES</w:t>
      </w:r>
    </w:p>
    <w:p w14:paraId="10F0A35F" w14:textId="77777777" w:rsidR="00742AEE" w:rsidRPr="004379AA" w:rsidRDefault="00742AEE" w:rsidP="003376A4">
      <w:pPr>
        <w:spacing w:line="360" w:lineRule="auto"/>
        <w:jc w:val="both"/>
        <w:rPr>
          <w:rFonts w:ascii="Arial" w:hAnsi="Arial" w:cs="Arial"/>
          <w:lang w:val="en-ZA"/>
        </w:rPr>
      </w:pPr>
    </w:p>
    <w:p w14:paraId="7AB82F14" w14:textId="4CC15C41" w:rsidR="00742AEE" w:rsidRPr="004379AA" w:rsidRDefault="00742AEE" w:rsidP="003376A4">
      <w:pPr>
        <w:spacing w:line="360" w:lineRule="auto"/>
        <w:ind w:left="3544" w:hanging="3544"/>
        <w:jc w:val="both"/>
        <w:rPr>
          <w:rFonts w:ascii="Arial" w:hAnsi="Arial" w:cs="Arial"/>
          <w:lang w:val="en-US"/>
        </w:rPr>
      </w:pPr>
      <w:r w:rsidRPr="004379AA">
        <w:rPr>
          <w:rFonts w:ascii="Arial" w:hAnsi="Arial" w:cs="Arial"/>
          <w:lang w:val="en-US"/>
        </w:rPr>
        <w:t>1</w:t>
      </w:r>
      <w:r w:rsidRPr="004379AA">
        <w:rPr>
          <w:rFonts w:ascii="Arial" w:hAnsi="Arial" w:cs="Arial"/>
          <w:vertAlign w:val="superscript"/>
          <w:lang w:val="en-US"/>
        </w:rPr>
        <w:t>ST</w:t>
      </w:r>
      <w:r w:rsidR="00810B05" w:rsidRPr="004379AA">
        <w:rPr>
          <w:rFonts w:ascii="Arial" w:hAnsi="Arial" w:cs="Arial"/>
          <w:lang w:val="en-US"/>
        </w:rPr>
        <w:t xml:space="preserve"> APPELLANT:</w:t>
      </w:r>
      <w:r w:rsidR="00810B05" w:rsidRPr="004379AA">
        <w:rPr>
          <w:rFonts w:ascii="Arial" w:hAnsi="Arial" w:cs="Arial"/>
          <w:lang w:val="en-US"/>
        </w:rPr>
        <w:tab/>
      </w:r>
      <w:r w:rsidRPr="004379AA">
        <w:rPr>
          <w:rFonts w:ascii="Arial" w:hAnsi="Arial" w:cs="Arial"/>
          <w:lang w:val="en-US"/>
        </w:rPr>
        <w:t>J J Gauntlett</w:t>
      </w:r>
      <w:r w:rsidR="00F56EB4" w:rsidRPr="004379AA">
        <w:rPr>
          <w:rFonts w:ascii="Arial" w:hAnsi="Arial" w:cs="Arial"/>
          <w:lang w:val="en-US"/>
        </w:rPr>
        <w:t>,</w:t>
      </w:r>
      <w:r w:rsidRPr="004379AA">
        <w:rPr>
          <w:rFonts w:ascii="Arial" w:hAnsi="Arial" w:cs="Arial"/>
          <w:lang w:val="en-US"/>
        </w:rPr>
        <w:t xml:space="preserve"> SC QC (with him U Hengari</w:t>
      </w:r>
      <w:r w:rsidR="00810B05" w:rsidRPr="004379AA">
        <w:rPr>
          <w:rFonts w:ascii="Arial" w:hAnsi="Arial" w:cs="Arial"/>
          <w:lang w:val="en-US"/>
        </w:rPr>
        <w:t xml:space="preserve"> and L C Kelly</w:t>
      </w:r>
      <w:r w:rsidRPr="004379AA">
        <w:rPr>
          <w:rFonts w:ascii="Arial" w:hAnsi="Arial" w:cs="Arial"/>
          <w:lang w:val="en-US"/>
        </w:rPr>
        <w:t>)</w:t>
      </w:r>
    </w:p>
    <w:p w14:paraId="06F2FB9E" w14:textId="77777777" w:rsidR="00742AEE" w:rsidRPr="004379AA" w:rsidRDefault="00742AEE" w:rsidP="003376A4">
      <w:pPr>
        <w:spacing w:line="360" w:lineRule="auto"/>
        <w:ind w:left="2824" w:firstLine="720"/>
        <w:jc w:val="both"/>
        <w:rPr>
          <w:rFonts w:ascii="Arial" w:hAnsi="Arial" w:cs="Arial"/>
          <w:lang w:val="en-US"/>
        </w:rPr>
      </w:pPr>
      <w:r w:rsidRPr="004379AA">
        <w:rPr>
          <w:rFonts w:ascii="Arial" w:hAnsi="Arial" w:cs="Arial"/>
          <w:lang w:val="en-US"/>
        </w:rPr>
        <w:t>Instructed by Government Attorney</w:t>
      </w:r>
    </w:p>
    <w:p w14:paraId="32AB9EDC" w14:textId="77777777" w:rsidR="00742AEE" w:rsidRPr="004379AA" w:rsidRDefault="00742AEE" w:rsidP="003376A4">
      <w:pPr>
        <w:spacing w:line="360" w:lineRule="auto"/>
        <w:jc w:val="both"/>
        <w:rPr>
          <w:rFonts w:ascii="Arial" w:hAnsi="Arial" w:cs="Arial"/>
          <w:lang w:val="en-US"/>
        </w:rPr>
      </w:pPr>
    </w:p>
    <w:p w14:paraId="7CFA3C2E" w14:textId="573B5DEC" w:rsidR="00742AEE" w:rsidRPr="004379AA" w:rsidRDefault="00742AEE" w:rsidP="003376A4">
      <w:pPr>
        <w:spacing w:line="360" w:lineRule="auto"/>
        <w:jc w:val="both"/>
        <w:rPr>
          <w:rFonts w:ascii="Arial" w:hAnsi="Arial" w:cs="Arial"/>
          <w:lang w:val="en-US"/>
        </w:rPr>
      </w:pPr>
      <w:r w:rsidRPr="004379AA">
        <w:rPr>
          <w:rFonts w:ascii="Arial" w:hAnsi="Arial" w:cs="Arial"/>
          <w:lang w:val="en-US"/>
        </w:rPr>
        <w:t>2</w:t>
      </w:r>
      <w:r w:rsidRPr="004379AA">
        <w:rPr>
          <w:rFonts w:ascii="Arial" w:hAnsi="Arial" w:cs="Arial"/>
          <w:vertAlign w:val="superscript"/>
          <w:lang w:val="en-US"/>
        </w:rPr>
        <w:t>ND</w:t>
      </w:r>
      <w:r w:rsidR="00810B05" w:rsidRPr="004379AA">
        <w:rPr>
          <w:rFonts w:ascii="Arial" w:hAnsi="Arial" w:cs="Arial"/>
          <w:lang w:val="en-US"/>
        </w:rPr>
        <w:t xml:space="preserve"> APPELLANT</w:t>
      </w:r>
      <w:r w:rsidRPr="004379AA">
        <w:rPr>
          <w:rFonts w:ascii="Arial" w:hAnsi="Arial" w:cs="Arial"/>
          <w:lang w:val="en-US"/>
        </w:rPr>
        <w:t>:</w:t>
      </w:r>
      <w:r w:rsidRPr="004379AA">
        <w:rPr>
          <w:rFonts w:ascii="Arial" w:hAnsi="Arial" w:cs="Arial"/>
          <w:lang w:val="en-US"/>
        </w:rPr>
        <w:tab/>
      </w:r>
      <w:r w:rsidRPr="004379AA">
        <w:rPr>
          <w:rFonts w:ascii="Arial" w:hAnsi="Arial" w:cs="Arial"/>
          <w:lang w:val="en-US"/>
        </w:rPr>
        <w:tab/>
      </w:r>
      <w:r w:rsidRPr="004379AA">
        <w:rPr>
          <w:rFonts w:ascii="Arial" w:hAnsi="Arial" w:cs="Arial"/>
          <w:lang w:val="en-US"/>
        </w:rPr>
        <w:tab/>
        <w:t>S Namandje (with him E Nekwaya)</w:t>
      </w:r>
    </w:p>
    <w:p w14:paraId="26E39DE2" w14:textId="77777777" w:rsidR="00742AEE" w:rsidRPr="004379AA" w:rsidRDefault="00742AEE" w:rsidP="003376A4">
      <w:pPr>
        <w:spacing w:line="360" w:lineRule="auto"/>
        <w:ind w:left="2880" w:firstLine="720"/>
        <w:jc w:val="both"/>
        <w:rPr>
          <w:rFonts w:ascii="Arial" w:hAnsi="Arial" w:cs="Arial"/>
          <w:lang w:val="en-US"/>
        </w:rPr>
      </w:pPr>
      <w:r w:rsidRPr="004379AA">
        <w:rPr>
          <w:rFonts w:ascii="Arial" w:hAnsi="Arial" w:cs="Arial"/>
          <w:lang w:val="en-US"/>
        </w:rPr>
        <w:t>of Sisa Namandje &amp; Co</w:t>
      </w:r>
    </w:p>
    <w:p w14:paraId="052CB39B" w14:textId="77777777" w:rsidR="00742AEE" w:rsidRPr="004379AA" w:rsidRDefault="00742AEE" w:rsidP="003376A4">
      <w:pPr>
        <w:spacing w:line="360" w:lineRule="auto"/>
        <w:jc w:val="both"/>
        <w:rPr>
          <w:rFonts w:ascii="Arial" w:hAnsi="Arial" w:cs="Arial"/>
          <w:lang w:val="en-US"/>
        </w:rPr>
      </w:pPr>
    </w:p>
    <w:p w14:paraId="1EF3063F" w14:textId="0181D1CE" w:rsidR="00742AEE" w:rsidRPr="004379AA" w:rsidRDefault="00742AEE" w:rsidP="003376A4">
      <w:pPr>
        <w:spacing w:line="360" w:lineRule="auto"/>
        <w:ind w:right="4"/>
        <w:jc w:val="both"/>
        <w:rPr>
          <w:rFonts w:ascii="Arial" w:hAnsi="Arial" w:cs="Arial"/>
          <w:lang w:val="en-US"/>
        </w:rPr>
      </w:pPr>
      <w:r w:rsidRPr="004379AA">
        <w:rPr>
          <w:rFonts w:ascii="Arial" w:hAnsi="Arial" w:cs="Arial"/>
          <w:lang w:val="en-US"/>
        </w:rPr>
        <w:t>1</w:t>
      </w:r>
      <w:r w:rsidRPr="004379AA">
        <w:rPr>
          <w:rFonts w:ascii="Arial" w:hAnsi="Arial" w:cs="Arial"/>
          <w:vertAlign w:val="superscript"/>
          <w:lang w:val="en-US"/>
        </w:rPr>
        <w:t>ST</w:t>
      </w:r>
      <w:r w:rsidRPr="004379AA">
        <w:rPr>
          <w:rFonts w:ascii="Arial" w:hAnsi="Arial" w:cs="Arial"/>
          <w:lang w:val="en-US"/>
        </w:rPr>
        <w:t>, 2</w:t>
      </w:r>
      <w:r w:rsidRPr="004379AA">
        <w:rPr>
          <w:rFonts w:ascii="Arial" w:hAnsi="Arial" w:cs="Arial"/>
          <w:vertAlign w:val="superscript"/>
          <w:lang w:val="en-US"/>
        </w:rPr>
        <w:t>ND</w:t>
      </w:r>
      <w:r w:rsidRPr="004379AA">
        <w:rPr>
          <w:rFonts w:ascii="Arial" w:hAnsi="Arial" w:cs="Arial"/>
          <w:lang w:val="en-US"/>
        </w:rPr>
        <w:t>, 3</w:t>
      </w:r>
      <w:r w:rsidRPr="004379AA">
        <w:rPr>
          <w:rFonts w:ascii="Arial" w:hAnsi="Arial" w:cs="Arial"/>
          <w:vertAlign w:val="superscript"/>
          <w:lang w:val="en-US"/>
        </w:rPr>
        <w:t>RD</w:t>
      </w:r>
      <w:r w:rsidRPr="004379AA">
        <w:rPr>
          <w:rFonts w:ascii="Arial" w:hAnsi="Arial" w:cs="Arial"/>
          <w:lang w:val="en-US"/>
        </w:rPr>
        <w:t>, 4</w:t>
      </w:r>
      <w:r w:rsidRPr="004379AA">
        <w:rPr>
          <w:rFonts w:ascii="Arial" w:hAnsi="Arial" w:cs="Arial"/>
          <w:vertAlign w:val="superscript"/>
          <w:lang w:val="en-US"/>
        </w:rPr>
        <w:t>TH</w:t>
      </w:r>
      <w:r w:rsidRPr="004379AA">
        <w:rPr>
          <w:rFonts w:ascii="Arial" w:hAnsi="Arial" w:cs="Arial"/>
          <w:lang w:val="en-US"/>
        </w:rPr>
        <w:t>, 7</w:t>
      </w:r>
      <w:r w:rsidRPr="004379AA">
        <w:rPr>
          <w:rFonts w:ascii="Arial" w:hAnsi="Arial" w:cs="Arial"/>
          <w:vertAlign w:val="superscript"/>
          <w:lang w:val="en-US"/>
        </w:rPr>
        <w:t>TH</w:t>
      </w:r>
      <w:r w:rsidRPr="004379AA">
        <w:rPr>
          <w:rFonts w:ascii="Arial" w:hAnsi="Arial" w:cs="Arial"/>
          <w:lang w:val="en-US"/>
        </w:rPr>
        <w:t>,</w:t>
      </w:r>
      <w:r w:rsidRPr="004379AA">
        <w:rPr>
          <w:rFonts w:ascii="Arial" w:hAnsi="Arial" w:cs="Arial"/>
          <w:lang w:val="en-US"/>
        </w:rPr>
        <w:tab/>
      </w:r>
      <w:r w:rsidRPr="004379AA">
        <w:rPr>
          <w:rFonts w:ascii="Arial" w:hAnsi="Arial" w:cs="Arial"/>
          <w:lang w:val="en-US"/>
        </w:rPr>
        <w:tab/>
        <w:t>R Heathcote</w:t>
      </w:r>
      <w:r w:rsidR="00810B05" w:rsidRPr="004379AA">
        <w:rPr>
          <w:rFonts w:ascii="Arial" w:hAnsi="Arial" w:cs="Arial"/>
          <w:lang w:val="en-US"/>
        </w:rPr>
        <w:t xml:space="preserve"> (with him </w:t>
      </w:r>
      <w:r w:rsidR="00E80EE5" w:rsidRPr="004379AA">
        <w:rPr>
          <w:rFonts w:ascii="Arial" w:hAnsi="Arial" w:cs="Arial"/>
          <w:lang w:val="en-US"/>
        </w:rPr>
        <w:t xml:space="preserve">F </w:t>
      </w:r>
      <w:r w:rsidR="00810B05" w:rsidRPr="004379AA">
        <w:rPr>
          <w:rFonts w:ascii="Arial" w:hAnsi="Arial" w:cs="Arial"/>
          <w:lang w:val="en-US"/>
        </w:rPr>
        <w:t>Pelser)</w:t>
      </w:r>
      <w:r w:rsidRPr="004379AA">
        <w:rPr>
          <w:rFonts w:ascii="Arial" w:hAnsi="Arial" w:cs="Arial"/>
          <w:lang w:val="en-US"/>
        </w:rPr>
        <w:t xml:space="preserve"> </w:t>
      </w:r>
    </w:p>
    <w:p w14:paraId="6C43568E" w14:textId="5720A73C" w:rsidR="00742AEE" w:rsidRPr="004379AA" w:rsidRDefault="00742AEE" w:rsidP="003376A4">
      <w:pPr>
        <w:spacing w:line="360" w:lineRule="auto"/>
        <w:ind w:right="6"/>
        <w:jc w:val="both"/>
        <w:rPr>
          <w:rFonts w:ascii="Arial" w:hAnsi="Arial" w:cs="Arial"/>
          <w:lang w:val="en-US"/>
        </w:rPr>
      </w:pPr>
      <w:r w:rsidRPr="004379AA">
        <w:rPr>
          <w:rFonts w:ascii="Arial" w:hAnsi="Arial" w:cs="Arial"/>
          <w:lang w:val="en-US"/>
        </w:rPr>
        <w:t>9</w:t>
      </w:r>
      <w:r w:rsidRPr="004379AA">
        <w:rPr>
          <w:rFonts w:ascii="Arial" w:hAnsi="Arial" w:cs="Arial"/>
          <w:vertAlign w:val="superscript"/>
          <w:lang w:val="en-US"/>
        </w:rPr>
        <w:t>TH</w:t>
      </w:r>
      <w:r w:rsidRPr="004379AA">
        <w:rPr>
          <w:rFonts w:ascii="Arial" w:hAnsi="Arial" w:cs="Arial"/>
          <w:lang w:val="en-US"/>
        </w:rPr>
        <w:t>, 10</w:t>
      </w:r>
      <w:r w:rsidRPr="004379AA">
        <w:rPr>
          <w:rFonts w:ascii="Arial" w:hAnsi="Arial" w:cs="Arial"/>
          <w:vertAlign w:val="superscript"/>
          <w:lang w:val="en-US"/>
        </w:rPr>
        <w:t>TH</w:t>
      </w:r>
      <w:r w:rsidRPr="004379AA">
        <w:rPr>
          <w:rFonts w:ascii="Arial" w:hAnsi="Arial" w:cs="Arial"/>
          <w:lang w:val="en-US"/>
        </w:rPr>
        <w:t xml:space="preserve"> 11</w:t>
      </w:r>
      <w:r w:rsidRPr="004379AA">
        <w:rPr>
          <w:rFonts w:ascii="Arial" w:hAnsi="Arial" w:cs="Arial"/>
          <w:vertAlign w:val="superscript"/>
          <w:lang w:val="en-US"/>
        </w:rPr>
        <w:t>TH</w:t>
      </w:r>
      <w:r w:rsidRPr="004379AA">
        <w:rPr>
          <w:rFonts w:ascii="Arial" w:hAnsi="Arial" w:cs="Arial"/>
          <w:lang w:val="en-US"/>
        </w:rPr>
        <w:t>, 12</w:t>
      </w:r>
      <w:r w:rsidRPr="004379AA">
        <w:rPr>
          <w:rFonts w:ascii="Arial" w:hAnsi="Arial" w:cs="Arial"/>
          <w:vertAlign w:val="superscript"/>
          <w:lang w:val="en-US"/>
        </w:rPr>
        <w:t>TH</w:t>
      </w:r>
      <w:r w:rsidR="00810B05" w:rsidRPr="004379AA">
        <w:rPr>
          <w:rFonts w:ascii="Arial" w:hAnsi="Arial" w:cs="Arial"/>
          <w:lang w:val="en-US"/>
        </w:rPr>
        <w:t xml:space="preserve"> &amp;</w:t>
      </w:r>
      <w:r w:rsidRPr="004379AA">
        <w:rPr>
          <w:rFonts w:ascii="Arial" w:hAnsi="Arial" w:cs="Arial"/>
          <w:lang w:val="en-US"/>
        </w:rPr>
        <w:tab/>
      </w:r>
      <w:r w:rsidRPr="004379AA">
        <w:rPr>
          <w:rFonts w:ascii="Arial" w:hAnsi="Arial" w:cs="Arial"/>
          <w:lang w:val="en-US"/>
        </w:rPr>
        <w:tab/>
        <w:t>Instructed by Francois Erasmus &amp; Partners</w:t>
      </w:r>
    </w:p>
    <w:p w14:paraId="6E5C8436" w14:textId="2585324E" w:rsidR="00742AEE" w:rsidRPr="004379AA" w:rsidRDefault="00742AEE" w:rsidP="003376A4">
      <w:pPr>
        <w:spacing w:line="360" w:lineRule="auto"/>
        <w:ind w:right="4"/>
        <w:jc w:val="both"/>
        <w:rPr>
          <w:rFonts w:ascii="Arial" w:hAnsi="Arial" w:cs="Arial"/>
          <w:lang w:val="en-US"/>
        </w:rPr>
      </w:pPr>
      <w:r w:rsidRPr="004379AA">
        <w:rPr>
          <w:rFonts w:ascii="Arial" w:hAnsi="Arial" w:cs="Arial"/>
          <w:lang w:val="en-US"/>
        </w:rPr>
        <w:t>15</w:t>
      </w:r>
      <w:r w:rsidRPr="004379AA">
        <w:rPr>
          <w:rFonts w:ascii="Arial" w:hAnsi="Arial" w:cs="Arial"/>
          <w:vertAlign w:val="superscript"/>
          <w:lang w:val="en-US"/>
        </w:rPr>
        <w:t>TH</w:t>
      </w:r>
      <w:r w:rsidRPr="004379AA">
        <w:rPr>
          <w:rFonts w:ascii="Arial" w:hAnsi="Arial" w:cs="Arial"/>
          <w:lang w:val="en-US"/>
        </w:rPr>
        <w:t xml:space="preserve"> RESPONDENTS:</w:t>
      </w:r>
      <w:r w:rsidRPr="004379AA">
        <w:rPr>
          <w:rFonts w:ascii="Arial" w:hAnsi="Arial" w:cs="Arial"/>
          <w:lang w:val="en-US"/>
        </w:rPr>
        <w:tab/>
      </w:r>
      <w:r w:rsidRPr="004379AA">
        <w:rPr>
          <w:rFonts w:ascii="Arial" w:hAnsi="Arial" w:cs="Arial"/>
          <w:lang w:val="en-US"/>
        </w:rPr>
        <w:tab/>
        <w:t>Instructed by Van der Merwe-Greef</w:t>
      </w:r>
      <w:r w:rsidR="0053016E">
        <w:rPr>
          <w:rFonts w:ascii="Arial" w:hAnsi="Arial" w:cs="Arial"/>
          <w:lang w:val="en-US"/>
        </w:rPr>
        <w:t>f</w:t>
      </w:r>
      <w:r w:rsidRPr="004379AA">
        <w:rPr>
          <w:rFonts w:ascii="Arial" w:hAnsi="Arial" w:cs="Arial"/>
          <w:lang w:val="en-US"/>
        </w:rPr>
        <w:t xml:space="preserve"> Andima Inc</w:t>
      </w:r>
    </w:p>
    <w:p w14:paraId="6E490AEB" w14:textId="77777777" w:rsidR="00742AEE" w:rsidRPr="004379AA" w:rsidRDefault="00742AEE" w:rsidP="003376A4">
      <w:pPr>
        <w:tabs>
          <w:tab w:val="left" w:pos="3686"/>
        </w:tabs>
        <w:spacing w:line="360" w:lineRule="auto"/>
        <w:ind w:right="6"/>
        <w:jc w:val="both"/>
        <w:rPr>
          <w:rFonts w:ascii="Arial" w:hAnsi="Arial" w:cs="Arial"/>
          <w:lang w:val="en-US"/>
        </w:rPr>
      </w:pPr>
    </w:p>
    <w:p w14:paraId="0334CA97" w14:textId="30FCFEA8" w:rsidR="00742AEE" w:rsidRPr="004379AA" w:rsidRDefault="00742AEE" w:rsidP="003376A4">
      <w:pPr>
        <w:spacing w:line="360" w:lineRule="auto"/>
        <w:ind w:right="6"/>
        <w:jc w:val="both"/>
        <w:rPr>
          <w:rFonts w:ascii="Arial" w:hAnsi="Arial" w:cs="Arial"/>
          <w:lang w:val="en-US"/>
        </w:rPr>
      </w:pPr>
      <w:r w:rsidRPr="004379AA">
        <w:rPr>
          <w:rFonts w:ascii="Arial" w:hAnsi="Arial" w:cs="Arial"/>
          <w:lang w:val="en-US"/>
        </w:rPr>
        <w:t>5</w:t>
      </w:r>
      <w:r w:rsidRPr="004379AA">
        <w:rPr>
          <w:rFonts w:ascii="Arial" w:hAnsi="Arial" w:cs="Arial"/>
          <w:vertAlign w:val="superscript"/>
          <w:lang w:val="en-US"/>
        </w:rPr>
        <w:t>TH</w:t>
      </w:r>
      <w:r w:rsidRPr="004379AA">
        <w:rPr>
          <w:rFonts w:ascii="Arial" w:hAnsi="Arial" w:cs="Arial"/>
          <w:lang w:val="en-US"/>
        </w:rPr>
        <w:t>, 6</w:t>
      </w:r>
      <w:r w:rsidRPr="004379AA">
        <w:rPr>
          <w:rFonts w:ascii="Arial" w:hAnsi="Arial" w:cs="Arial"/>
          <w:vertAlign w:val="superscript"/>
          <w:lang w:val="en-US"/>
        </w:rPr>
        <w:t>TH</w:t>
      </w:r>
      <w:r w:rsidRPr="004379AA">
        <w:rPr>
          <w:rFonts w:ascii="Arial" w:hAnsi="Arial" w:cs="Arial"/>
          <w:lang w:val="en-US"/>
        </w:rPr>
        <w:t>, 13</w:t>
      </w:r>
      <w:r w:rsidRPr="004379AA">
        <w:rPr>
          <w:rFonts w:ascii="Arial" w:hAnsi="Arial" w:cs="Arial"/>
          <w:vertAlign w:val="superscript"/>
          <w:lang w:val="en-US"/>
        </w:rPr>
        <w:t>TH</w:t>
      </w:r>
      <w:r w:rsidRPr="004379AA">
        <w:rPr>
          <w:rFonts w:ascii="Arial" w:hAnsi="Arial" w:cs="Arial"/>
          <w:lang w:val="en-US"/>
        </w:rPr>
        <w:t xml:space="preserve"> </w:t>
      </w:r>
      <w:r w:rsidRPr="004379AA">
        <w:rPr>
          <w:rFonts w:ascii="Arial" w:hAnsi="Arial" w:cs="Arial"/>
          <w:lang w:val="en-US"/>
        </w:rPr>
        <w:tab/>
      </w:r>
      <w:r w:rsidRPr="004379AA">
        <w:rPr>
          <w:rFonts w:ascii="Arial" w:hAnsi="Arial" w:cs="Arial"/>
          <w:lang w:val="en-US"/>
        </w:rPr>
        <w:tab/>
      </w:r>
      <w:r w:rsidRPr="004379AA">
        <w:rPr>
          <w:rFonts w:ascii="Arial" w:hAnsi="Arial" w:cs="Arial"/>
          <w:lang w:val="en-US"/>
        </w:rPr>
        <w:tab/>
        <w:t>M Chaskalson</w:t>
      </w:r>
      <w:r w:rsidR="00F56EB4" w:rsidRPr="004379AA">
        <w:rPr>
          <w:rFonts w:ascii="Arial" w:hAnsi="Arial" w:cs="Arial"/>
          <w:lang w:val="en-US"/>
        </w:rPr>
        <w:t>,</w:t>
      </w:r>
      <w:r w:rsidRPr="004379AA">
        <w:rPr>
          <w:rFonts w:ascii="Arial" w:hAnsi="Arial" w:cs="Arial"/>
          <w:lang w:val="en-US"/>
        </w:rPr>
        <w:t xml:space="preserve"> SC (with him R Maasdorp)</w:t>
      </w:r>
    </w:p>
    <w:p w14:paraId="1B4CC804" w14:textId="702BD881" w:rsidR="00742AEE" w:rsidRPr="004379AA" w:rsidRDefault="00810B05" w:rsidP="003376A4">
      <w:pPr>
        <w:spacing w:line="360" w:lineRule="auto"/>
        <w:ind w:right="4"/>
        <w:jc w:val="both"/>
        <w:rPr>
          <w:rFonts w:ascii="Arial" w:hAnsi="Arial" w:cs="Arial"/>
          <w:lang w:val="en-US"/>
        </w:rPr>
      </w:pPr>
      <w:r w:rsidRPr="004379AA">
        <w:rPr>
          <w:rFonts w:ascii="Arial" w:hAnsi="Arial" w:cs="Arial"/>
          <w:lang w:val="en-US"/>
        </w:rPr>
        <w:t xml:space="preserve">&amp; </w:t>
      </w:r>
      <w:r w:rsidR="00742AEE" w:rsidRPr="004379AA">
        <w:rPr>
          <w:rFonts w:ascii="Arial" w:hAnsi="Arial" w:cs="Arial"/>
          <w:lang w:val="en-US"/>
        </w:rPr>
        <w:t>14</w:t>
      </w:r>
      <w:r w:rsidR="00742AEE" w:rsidRPr="004379AA">
        <w:rPr>
          <w:rFonts w:ascii="Arial" w:hAnsi="Arial" w:cs="Arial"/>
          <w:vertAlign w:val="superscript"/>
          <w:lang w:val="en-US"/>
        </w:rPr>
        <w:t>TH</w:t>
      </w:r>
      <w:r w:rsidR="00742AEE" w:rsidRPr="004379AA">
        <w:rPr>
          <w:rFonts w:ascii="Arial" w:hAnsi="Arial" w:cs="Arial"/>
          <w:lang w:val="en-US"/>
        </w:rPr>
        <w:t xml:space="preserve"> RESPONDENTS:</w:t>
      </w:r>
      <w:r w:rsidR="00742AEE" w:rsidRPr="004379AA">
        <w:rPr>
          <w:rFonts w:ascii="Arial" w:hAnsi="Arial" w:cs="Arial"/>
          <w:lang w:val="en-US"/>
        </w:rPr>
        <w:tab/>
      </w:r>
      <w:r w:rsidR="00742AEE" w:rsidRPr="004379AA">
        <w:rPr>
          <w:rFonts w:ascii="Arial" w:hAnsi="Arial" w:cs="Arial"/>
          <w:lang w:val="en-US"/>
        </w:rPr>
        <w:tab/>
        <w:t xml:space="preserve">Instructed by Van der Merwe-Greeff Andima Inc </w:t>
      </w:r>
    </w:p>
    <w:p w14:paraId="6BA20E08" w14:textId="77777777" w:rsidR="00742AEE" w:rsidRPr="004379AA" w:rsidRDefault="00742AEE" w:rsidP="003376A4">
      <w:pPr>
        <w:spacing w:line="360" w:lineRule="auto"/>
        <w:ind w:left="3544" w:right="6" w:hanging="3544"/>
        <w:jc w:val="both"/>
        <w:rPr>
          <w:rFonts w:ascii="Arial" w:hAnsi="Arial" w:cs="Arial"/>
          <w:lang w:val="en-US"/>
        </w:rPr>
      </w:pPr>
    </w:p>
    <w:p w14:paraId="43012BD0" w14:textId="77777777" w:rsidR="00742AEE" w:rsidRPr="004379AA" w:rsidRDefault="00742AEE" w:rsidP="003376A4">
      <w:pPr>
        <w:tabs>
          <w:tab w:val="left" w:pos="3544"/>
        </w:tabs>
        <w:spacing w:line="360" w:lineRule="auto"/>
        <w:ind w:right="6"/>
        <w:jc w:val="both"/>
        <w:rPr>
          <w:rFonts w:ascii="Arial" w:hAnsi="Arial" w:cs="Arial"/>
          <w:lang w:val="en-US"/>
        </w:rPr>
      </w:pPr>
      <w:r w:rsidRPr="004379AA">
        <w:rPr>
          <w:rFonts w:ascii="Arial" w:hAnsi="Arial" w:cs="Arial"/>
          <w:lang w:val="en-US"/>
        </w:rPr>
        <w:t>8</w:t>
      </w:r>
      <w:r w:rsidRPr="004379AA">
        <w:rPr>
          <w:rFonts w:ascii="Arial" w:hAnsi="Arial" w:cs="Arial"/>
          <w:vertAlign w:val="superscript"/>
          <w:lang w:val="en-US"/>
        </w:rPr>
        <w:t>TH</w:t>
      </w:r>
      <w:r w:rsidRPr="004379AA">
        <w:rPr>
          <w:rFonts w:ascii="Arial" w:hAnsi="Arial" w:cs="Arial"/>
          <w:lang w:val="en-US"/>
        </w:rPr>
        <w:t xml:space="preserve"> &amp;</w:t>
      </w:r>
      <w:r w:rsidRPr="004379AA">
        <w:rPr>
          <w:rFonts w:ascii="Arial" w:hAnsi="Arial" w:cs="Arial"/>
          <w:vertAlign w:val="superscript"/>
          <w:lang w:val="en-US"/>
        </w:rPr>
        <w:t xml:space="preserve"> </w:t>
      </w:r>
      <w:r w:rsidRPr="004379AA">
        <w:rPr>
          <w:rFonts w:ascii="Arial" w:hAnsi="Arial" w:cs="Arial"/>
          <w:lang w:val="en-US"/>
        </w:rPr>
        <w:t>16</w:t>
      </w:r>
      <w:r w:rsidRPr="004379AA">
        <w:rPr>
          <w:rFonts w:ascii="Arial" w:hAnsi="Arial" w:cs="Arial"/>
          <w:vertAlign w:val="superscript"/>
          <w:lang w:val="en-US"/>
        </w:rPr>
        <w:t>TH</w:t>
      </w:r>
      <w:r w:rsidRPr="004379AA">
        <w:rPr>
          <w:rFonts w:ascii="Arial" w:hAnsi="Arial" w:cs="Arial"/>
          <w:lang w:val="en-US"/>
        </w:rPr>
        <w:t xml:space="preserve"> RESPONDENTS:</w:t>
      </w:r>
      <w:r w:rsidRPr="004379AA">
        <w:rPr>
          <w:rFonts w:ascii="Arial" w:hAnsi="Arial" w:cs="Arial"/>
          <w:lang w:val="en-US"/>
        </w:rPr>
        <w:tab/>
        <w:t>R Tӧtemeyer (with him D Obbes)</w:t>
      </w:r>
    </w:p>
    <w:p w14:paraId="1EFA9B6A" w14:textId="77777777" w:rsidR="00742AEE" w:rsidRPr="004379AA" w:rsidRDefault="00742AEE" w:rsidP="003376A4">
      <w:pPr>
        <w:spacing w:line="360" w:lineRule="auto"/>
        <w:ind w:left="2880" w:right="6" w:firstLine="664"/>
        <w:jc w:val="both"/>
        <w:rPr>
          <w:rFonts w:ascii="Arial" w:hAnsi="Arial" w:cs="Arial"/>
          <w:lang w:val="en-US"/>
        </w:rPr>
      </w:pPr>
      <w:r w:rsidRPr="004379AA">
        <w:rPr>
          <w:rFonts w:ascii="Arial" w:hAnsi="Arial" w:cs="Arial"/>
          <w:lang w:val="en-US"/>
        </w:rPr>
        <w:t>Instructed by Engling Stritter and Partners</w:t>
      </w:r>
    </w:p>
    <w:p w14:paraId="0F28E49D" w14:textId="77777777" w:rsidR="00742AEE" w:rsidRPr="004379AA" w:rsidRDefault="00742AEE" w:rsidP="003376A4">
      <w:pPr>
        <w:spacing w:line="360" w:lineRule="auto"/>
        <w:jc w:val="both"/>
        <w:rPr>
          <w:rFonts w:ascii="Arial" w:hAnsi="Arial" w:cs="Arial"/>
          <w:lang w:val="en-US"/>
        </w:rPr>
      </w:pPr>
    </w:p>
    <w:p w14:paraId="48784E4D" w14:textId="77777777" w:rsidR="0011477F" w:rsidRPr="004379AA" w:rsidRDefault="0011477F" w:rsidP="003376A4">
      <w:pPr>
        <w:spacing w:line="360" w:lineRule="auto"/>
        <w:jc w:val="both"/>
        <w:rPr>
          <w:rFonts w:ascii="Arial" w:hAnsi="Arial" w:cs="Arial"/>
          <w:lang w:val="en-US"/>
        </w:rPr>
      </w:pPr>
    </w:p>
    <w:p w14:paraId="5AC79A88" w14:textId="77777777" w:rsidR="0011477F" w:rsidRPr="004379AA" w:rsidRDefault="0011477F" w:rsidP="003376A4">
      <w:pPr>
        <w:spacing w:line="360" w:lineRule="auto"/>
        <w:jc w:val="both"/>
        <w:outlineLvl w:val="0"/>
        <w:rPr>
          <w:rFonts w:ascii="Arial" w:hAnsi="Arial" w:cs="Arial"/>
        </w:rPr>
      </w:pPr>
    </w:p>
    <w:p w14:paraId="08115541" w14:textId="77777777" w:rsidR="0011477F" w:rsidRPr="004379AA" w:rsidRDefault="0011477F" w:rsidP="003376A4">
      <w:pPr>
        <w:spacing w:line="360" w:lineRule="auto"/>
        <w:jc w:val="both"/>
        <w:outlineLvl w:val="0"/>
        <w:rPr>
          <w:rFonts w:ascii="Arial" w:hAnsi="Arial" w:cs="Arial"/>
        </w:rPr>
      </w:pPr>
    </w:p>
    <w:p w14:paraId="0B159225" w14:textId="77777777" w:rsidR="00615771" w:rsidRPr="004379AA" w:rsidRDefault="00615771" w:rsidP="003376A4">
      <w:pPr>
        <w:spacing w:line="360" w:lineRule="auto"/>
        <w:ind w:left="720"/>
        <w:jc w:val="both"/>
        <w:outlineLvl w:val="0"/>
        <w:rPr>
          <w:rFonts w:ascii="Arial" w:eastAsia="Times New Roman" w:hAnsi="Arial" w:cs="Arial"/>
          <w:bCs/>
          <w:kern w:val="36"/>
          <w:lang w:eastAsia="en-GB"/>
        </w:rPr>
      </w:pPr>
    </w:p>
    <w:p w14:paraId="29AC0743" w14:textId="77777777" w:rsidR="006046B6" w:rsidRPr="004379AA" w:rsidRDefault="006046B6" w:rsidP="003376A4">
      <w:pPr>
        <w:spacing w:line="360" w:lineRule="auto"/>
        <w:jc w:val="both"/>
        <w:outlineLvl w:val="0"/>
        <w:rPr>
          <w:rFonts w:ascii="Arial" w:eastAsia="Times New Roman" w:hAnsi="Arial" w:cs="Arial"/>
          <w:bCs/>
          <w:kern w:val="36"/>
          <w:lang w:eastAsia="en-GB"/>
        </w:rPr>
      </w:pPr>
    </w:p>
    <w:sectPr w:rsidR="006046B6" w:rsidRPr="004379AA" w:rsidSect="001C0B8F">
      <w:headerReference w:type="default" r:id="rId9"/>
      <w:pgSz w:w="11900" w:h="16840"/>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4DA0" w14:textId="77777777" w:rsidR="00045936" w:rsidRDefault="00045936" w:rsidP="001671A2">
      <w:r>
        <w:separator/>
      </w:r>
    </w:p>
  </w:endnote>
  <w:endnote w:type="continuationSeparator" w:id="0">
    <w:p w14:paraId="61DEABDB" w14:textId="77777777" w:rsidR="00045936" w:rsidRDefault="00045936" w:rsidP="001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C8D86" w14:textId="77777777" w:rsidR="00045936" w:rsidRDefault="00045936" w:rsidP="001671A2">
      <w:r>
        <w:separator/>
      </w:r>
    </w:p>
  </w:footnote>
  <w:footnote w:type="continuationSeparator" w:id="0">
    <w:p w14:paraId="4ED7FC93" w14:textId="77777777" w:rsidR="00045936" w:rsidRDefault="00045936" w:rsidP="001671A2">
      <w:r>
        <w:continuationSeparator/>
      </w:r>
    </w:p>
  </w:footnote>
  <w:footnote w:id="1">
    <w:p w14:paraId="09801A12" w14:textId="3AD96666"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Titled ‘Provisions Governing Compulsory Reinsurance to Corporation’. The ‘corporation’ is the second appellant.</w:t>
      </w:r>
    </w:p>
  </w:footnote>
  <w:footnote w:id="2">
    <w:p w14:paraId="6896FDDE" w14:textId="73E5765D"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Established by s 2 of the NNRCA.</w:t>
      </w:r>
    </w:p>
  </w:footnote>
  <w:footnote w:id="3">
    <w:p w14:paraId="65CB6880" w14:textId="4272AA23"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Created by s 4 of the NNRCA.</w:t>
      </w:r>
    </w:p>
  </w:footnote>
  <w:footnote w:id="4">
    <w:p w14:paraId="719D2702" w14:textId="217AF2CC" w:rsidR="00742AEE" w:rsidRPr="005541C6" w:rsidRDefault="00742AEE" w:rsidP="00E55307">
      <w:pPr>
        <w:pStyle w:val="FootnoteText"/>
        <w:jc w:val="both"/>
        <w:rPr>
          <w:rFonts w:ascii="Arial" w:hAnsi="Arial" w:cs="Arial"/>
          <w:sz w:val="20"/>
          <w:szCs w:val="20"/>
          <w:lang w:val="en-ZA"/>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i/>
          <w:sz w:val="20"/>
          <w:szCs w:val="20"/>
          <w:lang w:val="en-ZA"/>
        </w:rPr>
        <w:t xml:space="preserve">Namibia Insurance Association v Government of Namibia and </w:t>
      </w:r>
      <w:r w:rsidR="006B5E4A">
        <w:rPr>
          <w:rFonts w:ascii="Arial" w:hAnsi="Arial" w:cs="Arial"/>
          <w:i/>
          <w:sz w:val="20"/>
          <w:szCs w:val="20"/>
          <w:lang w:val="en-ZA"/>
        </w:rPr>
        <w:t>o</w:t>
      </w:r>
      <w:r w:rsidRPr="005541C6">
        <w:rPr>
          <w:rFonts w:ascii="Arial" w:hAnsi="Arial" w:cs="Arial"/>
          <w:i/>
          <w:sz w:val="20"/>
          <w:szCs w:val="20"/>
          <w:lang w:val="en-ZA"/>
        </w:rPr>
        <w:t>thers</w:t>
      </w:r>
      <w:r w:rsidRPr="005541C6">
        <w:rPr>
          <w:rFonts w:ascii="Arial" w:hAnsi="Arial" w:cs="Arial"/>
          <w:sz w:val="20"/>
          <w:szCs w:val="20"/>
          <w:lang w:val="en-ZA"/>
        </w:rPr>
        <w:t xml:space="preserve"> 2001 NR 1: Teek JP and Silungwe J.</w:t>
      </w:r>
    </w:p>
  </w:footnote>
  <w:footnote w:id="5">
    <w:p w14:paraId="2FCFC6FA"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T/a Bonlife.</w:t>
      </w:r>
    </w:p>
  </w:footnote>
  <w:footnote w:id="6">
    <w:p w14:paraId="51113179"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Being a detailed statement accounting for compulsory cessions.</w:t>
      </w:r>
    </w:p>
  </w:footnote>
  <w:footnote w:id="7">
    <w:p w14:paraId="5DC9304D" w14:textId="572B18C9"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(P8/2018) [2019] NASC 13(28 May 2019): Damaseb DCJ, Hoff JA and Nkabinde AJA.</w:t>
      </w:r>
    </w:p>
  </w:footnote>
  <w:footnote w:id="8">
    <w:p w14:paraId="00BF1D4B" w14:textId="535099C5"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Woolf, H, Jowell, J and Le Seur, A. 2007. </w:t>
      </w:r>
      <w:r w:rsidRPr="00E55307">
        <w:rPr>
          <w:rFonts w:ascii="Arial" w:hAnsi="Arial" w:cs="Arial"/>
          <w:i/>
          <w:sz w:val="20"/>
          <w:szCs w:val="20"/>
        </w:rPr>
        <w:t>De Smiths Judicial Review</w:t>
      </w:r>
      <w:r w:rsidRPr="00E55307">
        <w:rPr>
          <w:rFonts w:ascii="Arial" w:hAnsi="Arial" w:cs="Arial"/>
          <w:sz w:val="20"/>
          <w:szCs w:val="20"/>
        </w:rPr>
        <w:t>, 6</w:t>
      </w:r>
      <w:r w:rsidRPr="00E55307">
        <w:rPr>
          <w:rFonts w:ascii="Arial" w:hAnsi="Arial" w:cs="Arial"/>
          <w:sz w:val="20"/>
          <w:szCs w:val="20"/>
          <w:vertAlign w:val="superscript"/>
        </w:rPr>
        <w:t>th</w:t>
      </w:r>
      <w:r w:rsidRPr="00E55307">
        <w:rPr>
          <w:rFonts w:ascii="Arial" w:hAnsi="Arial" w:cs="Arial"/>
          <w:sz w:val="20"/>
          <w:szCs w:val="20"/>
        </w:rPr>
        <w:t xml:space="preserve"> ed. London: Sweet and Maxwell, p 899, para 18-038. See also: Hoexter, C. 2007. </w:t>
      </w:r>
      <w:r w:rsidRPr="008946B6">
        <w:rPr>
          <w:rFonts w:ascii="Arial" w:hAnsi="Arial" w:cs="Arial"/>
          <w:i/>
          <w:sz w:val="20"/>
          <w:szCs w:val="20"/>
        </w:rPr>
        <w:t>Administrative Law in South Africa</w:t>
      </w:r>
      <w:r w:rsidRPr="00E55307">
        <w:rPr>
          <w:rFonts w:ascii="Arial" w:hAnsi="Arial" w:cs="Arial"/>
          <w:sz w:val="20"/>
          <w:szCs w:val="20"/>
        </w:rPr>
        <w:t>. Juta &amp;</w:t>
      </w:r>
      <w:r w:rsidR="00ED6549">
        <w:rPr>
          <w:rFonts w:ascii="Arial" w:hAnsi="Arial" w:cs="Arial"/>
          <w:sz w:val="20"/>
          <w:szCs w:val="20"/>
        </w:rPr>
        <w:t xml:space="preserve"> </w:t>
      </w:r>
      <w:r w:rsidRPr="00E55307">
        <w:rPr>
          <w:rFonts w:ascii="Arial" w:hAnsi="Arial" w:cs="Arial"/>
          <w:sz w:val="20"/>
          <w:szCs w:val="20"/>
        </w:rPr>
        <w:t>Co. p</w:t>
      </w:r>
      <w:r w:rsidR="008946B6">
        <w:rPr>
          <w:rFonts w:ascii="Arial" w:hAnsi="Arial" w:cs="Arial"/>
          <w:sz w:val="20"/>
          <w:szCs w:val="20"/>
        </w:rPr>
        <w:t>.</w:t>
      </w:r>
      <w:r w:rsidRPr="00E55307">
        <w:rPr>
          <w:rFonts w:ascii="Arial" w:hAnsi="Arial" w:cs="Arial"/>
          <w:sz w:val="20"/>
          <w:szCs w:val="20"/>
        </w:rPr>
        <w:t xml:space="preserve"> 394 where the author states: ‘The declaration of rights is essentially a non-invasive and thus rather toothless remedy: it clarifies the legal position rather than requiring action to be taken.’</w:t>
      </w:r>
    </w:p>
  </w:footnote>
  <w:footnote w:id="9">
    <w:p w14:paraId="218655D0" w14:textId="326BFB51"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2005 (2) SA 359 (CC) para 108.</w:t>
      </w:r>
    </w:p>
  </w:footnote>
  <w:footnote w:id="10">
    <w:p w14:paraId="527917CA" w14:textId="12172308"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In terms of s 172(a) of the South African Constitution.</w:t>
      </w:r>
    </w:p>
  </w:footnote>
  <w:footnote w:id="11">
    <w:p w14:paraId="684A27DF" w14:textId="5925FECF"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In terms of s 38 of the South African Constitution.</w:t>
      </w:r>
    </w:p>
  </w:footnote>
  <w:footnote w:id="12">
    <w:p w14:paraId="0A2AE58B" w14:textId="2D83D1C0"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i/>
          <w:sz w:val="20"/>
          <w:szCs w:val="20"/>
          <w:lang w:val="en-US"/>
        </w:rPr>
        <w:t>Railway Commuters Action Group</w:t>
      </w:r>
      <w:r w:rsidR="00C60A92" w:rsidRPr="00E55307">
        <w:rPr>
          <w:rFonts w:ascii="Arial" w:hAnsi="Arial" w:cs="Arial"/>
          <w:sz w:val="20"/>
          <w:szCs w:val="20"/>
          <w:lang w:val="en-US"/>
        </w:rPr>
        <w:t xml:space="preserve"> (n 9</w:t>
      </w:r>
      <w:r w:rsidRPr="00E55307">
        <w:rPr>
          <w:rFonts w:ascii="Arial" w:hAnsi="Arial" w:cs="Arial"/>
          <w:sz w:val="20"/>
          <w:szCs w:val="20"/>
          <w:lang w:val="en-US"/>
        </w:rPr>
        <w:t>) paras [106]- [107]</w:t>
      </w:r>
      <w:r w:rsidR="00875442" w:rsidRPr="00E55307">
        <w:rPr>
          <w:rFonts w:ascii="Arial" w:hAnsi="Arial" w:cs="Arial"/>
          <w:sz w:val="20"/>
          <w:szCs w:val="20"/>
          <w:lang w:val="en-US"/>
        </w:rPr>
        <w:t>.</w:t>
      </w:r>
    </w:p>
  </w:footnote>
  <w:footnote w:id="13">
    <w:p w14:paraId="12DF64F7" w14:textId="7020DF9B" w:rsidR="00742AEE" w:rsidRPr="008946B6" w:rsidRDefault="00742AEE" w:rsidP="00E55307">
      <w:pPr>
        <w:pStyle w:val="FootnoteText"/>
        <w:jc w:val="both"/>
        <w:rPr>
          <w:rFonts w:ascii="Arial" w:hAnsi="Arial" w:cs="Arial"/>
          <w:color w:val="000000" w:themeColor="text1"/>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8946B6">
        <w:rPr>
          <w:rFonts w:ascii="Arial" w:hAnsi="Arial" w:cs="Arial"/>
          <w:color w:val="000000" w:themeColor="text1"/>
          <w:sz w:val="20"/>
          <w:szCs w:val="20"/>
          <w:lang w:val="en-US"/>
        </w:rPr>
        <w:t>2013</w:t>
      </w:r>
      <w:r w:rsidR="00875442" w:rsidRPr="008946B6">
        <w:rPr>
          <w:rFonts w:ascii="Arial" w:hAnsi="Arial" w:cs="Arial"/>
          <w:color w:val="000000" w:themeColor="text1"/>
          <w:sz w:val="20"/>
          <w:szCs w:val="20"/>
          <w:lang w:val="en-US"/>
        </w:rPr>
        <w:t xml:space="preserve"> </w:t>
      </w:r>
      <w:r w:rsidRPr="008946B6">
        <w:rPr>
          <w:rFonts w:ascii="Arial" w:hAnsi="Arial" w:cs="Arial"/>
          <w:color w:val="000000" w:themeColor="text1"/>
          <w:sz w:val="20"/>
          <w:szCs w:val="20"/>
          <w:lang w:val="en-US"/>
        </w:rPr>
        <w:t xml:space="preserve">(3) NR 806 (SC) at </w:t>
      </w:r>
      <w:r w:rsidR="008946B6" w:rsidRPr="008946B6">
        <w:rPr>
          <w:rFonts w:ascii="Arial" w:hAnsi="Arial" w:cs="Arial"/>
          <w:color w:val="000000" w:themeColor="text1"/>
          <w:sz w:val="20"/>
          <w:szCs w:val="20"/>
          <w:lang w:val="en-US"/>
        </w:rPr>
        <w:t xml:space="preserve">849-850, </w:t>
      </w:r>
      <w:r w:rsidRPr="008946B6">
        <w:rPr>
          <w:rFonts w:ascii="Arial" w:hAnsi="Arial" w:cs="Arial"/>
          <w:color w:val="000000" w:themeColor="text1"/>
          <w:sz w:val="20"/>
          <w:szCs w:val="20"/>
          <w:lang w:val="en-US"/>
        </w:rPr>
        <w:t>paras 74-75.</w:t>
      </w:r>
    </w:p>
  </w:footnote>
  <w:footnote w:id="14">
    <w:p w14:paraId="1F310AFC" w14:textId="32E5B0E9"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 xml:space="preserve">Kruger, A. 2013. </w:t>
      </w:r>
      <w:r w:rsidRPr="00E55307">
        <w:rPr>
          <w:rFonts w:ascii="Arial" w:hAnsi="Arial" w:cs="Arial"/>
          <w:i/>
          <w:sz w:val="20"/>
          <w:szCs w:val="20"/>
          <w:lang w:val="en-US"/>
        </w:rPr>
        <w:t>Hiemstra’s Criminal Procedure</w:t>
      </w:r>
      <w:r w:rsidR="00207720" w:rsidRPr="00E55307">
        <w:rPr>
          <w:rFonts w:ascii="Arial" w:hAnsi="Arial" w:cs="Arial"/>
          <w:sz w:val="20"/>
          <w:szCs w:val="20"/>
          <w:lang w:val="en-US"/>
        </w:rPr>
        <w:t>.</w:t>
      </w:r>
      <w:r w:rsidR="00875442" w:rsidRPr="00E55307">
        <w:rPr>
          <w:rFonts w:ascii="Arial" w:hAnsi="Arial" w:cs="Arial"/>
          <w:sz w:val="20"/>
          <w:szCs w:val="20"/>
          <w:lang w:val="en-US"/>
        </w:rPr>
        <w:t xml:space="preserve"> </w:t>
      </w:r>
      <w:r w:rsidR="00207720" w:rsidRPr="00E55307">
        <w:rPr>
          <w:rFonts w:ascii="Arial" w:hAnsi="Arial" w:cs="Arial"/>
          <w:sz w:val="20"/>
          <w:szCs w:val="20"/>
          <w:lang w:val="en-US"/>
        </w:rPr>
        <w:t>LexisNexis. 33-7 [</w:t>
      </w:r>
      <w:r w:rsidRPr="00E55307">
        <w:rPr>
          <w:rFonts w:ascii="Arial" w:hAnsi="Arial" w:cs="Arial"/>
          <w:sz w:val="20"/>
          <w:szCs w:val="20"/>
          <w:lang w:val="en-US"/>
        </w:rPr>
        <w:t>Issue 2].</w:t>
      </w:r>
    </w:p>
  </w:footnote>
  <w:footnote w:id="15">
    <w:p w14:paraId="572D809C" w14:textId="77777777" w:rsidR="000E1147" w:rsidRPr="00E55307" w:rsidRDefault="000E1147" w:rsidP="000E114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 xml:space="preserve">Neethling, J, Pottgieter JM, Visser, PJ, Knobel, JC. 2006. </w:t>
      </w:r>
      <w:r w:rsidRPr="00E55307">
        <w:rPr>
          <w:rFonts w:ascii="Arial" w:hAnsi="Arial" w:cs="Arial"/>
          <w:i/>
          <w:sz w:val="20"/>
          <w:szCs w:val="20"/>
          <w:lang w:val="en-US"/>
        </w:rPr>
        <w:t>Law of Delict</w:t>
      </w:r>
      <w:r w:rsidRPr="00E55307">
        <w:rPr>
          <w:rFonts w:ascii="Arial" w:hAnsi="Arial" w:cs="Arial"/>
          <w:sz w:val="20"/>
          <w:szCs w:val="20"/>
          <w:lang w:val="en-US"/>
        </w:rPr>
        <w:t xml:space="preserve"> (5</w:t>
      </w:r>
      <w:r w:rsidRPr="00E55307">
        <w:rPr>
          <w:rFonts w:ascii="Arial" w:hAnsi="Arial" w:cs="Arial"/>
          <w:sz w:val="20"/>
          <w:szCs w:val="20"/>
          <w:vertAlign w:val="superscript"/>
          <w:lang w:val="en-US"/>
        </w:rPr>
        <w:t>th</w:t>
      </w:r>
      <w:r w:rsidRPr="00E55307">
        <w:rPr>
          <w:rFonts w:ascii="Arial" w:hAnsi="Arial" w:cs="Arial"/>
          <w:sz w:val="20"/>
          <w:szCs w:val="20"/>
          <w:lang w:val="en-US"/>
        </w:rPr>
        <w:t xml:space="preserve"> ed) Durban: LexisNexis Butterworths, pp. 69-70.</w:t>
      </w:r>
    </w:p>
  </w:footnote>
  <w:footnote w:id="16">
    <w:p w14:paraId="45D8CADB" w14:textId="3CAC0E4F"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i/>
          <w:sz w:val="20"/>
          <w:szCs w:val="20"/>
          <w:lang w:val="en-US"/>
        </w:rPr>
        <w:t xml:space="preserve">Rally </w:t>
      </w:r>
      <w:r w:rsidR="000E1147">
        <w:rPr>
          <w:rFonts w:ascii="Arial" w:hAnsi="Arial" w:cs="Arial"/>
          <w:i/>
          <w:sz w:val="20"/>
          <w:szCs w:val="20"/>
          <w:lang w:val="en-US"/>
        </w:rPr>
        <w:t>for Democracy and Progress and o</w:t>
      </w:r>
      <w:r w:rsidRPr="00E55307">
        <w:rPr>
          <w:rFonts w:ascii="Arial" w:hAnsi="Arial" w:cs="Arial"/>
          <w:i/>
          <w:sz w:val="20"/>
          <w:szCs w:val="20"/>
          <w:lang w:val="en-US"/>
        </w:rPr>
        <w:t>thers v Elect</w:t>
      </w:r>
      <w:r w:rsidR="00A14CFE" w:rsidRPr="00E55307">
        <w:rPr>
          <w:rFonts w:ascii="Arial" w:hAnsi="Arial" w:cs="Arial"/>
          <w:i/>
          <w:sz w:val="20"/>
          <w:szCs w:val="20"/>
          <w:lang w:val="en-US"/>
        </w:rPr>
        <w:t>oral Commission of Namibia and o</w:t>
      </w:r>
      <w:r w:rsidRPr="00E55307">
        <w:rPr>
          <w:rFonts w:ascii="Arial" w:hAnsi="Arial" w:cs="Arial"/>
          <w:i/>
          <w:sz w:val="20"/>
          <w:szCs w:val="20"/>
          <w:lang w:val="en-US"/>
        </w:rPr>
        <w:t>thers</w:t>
      </w:r>
      <w:r w:rsidRPr="00E55307">
        <w:rPr>
          <w:rFonts w:ascii="Arial" w:hAnsi="Arial" w:cs="Arial"/>
          <w:sz w:val="20"/>
          <w:szCs w:val="20"/>
          <w:lang w:val="en-US"/>
        </w:rPr>
        <w:t xml:space="preserve"> 2010 (2) NR 487 (SC) </w:t>
      </w:r>
      <w:r w:rsidR="008946B6">
        <w:rPr>
          <w:rFonts w:ascii="Arial" w:hAnsi="Arial" w:cs="Arial"/>
          <w:sz w:val="20"/>
          <w:szCs w:val="20"/>
          <w:lang w:val="en-US"/>
        </w:rPr>
        <w:t xml:space="preserve">at </w:t>
      </w:r>
      <w:r w:rsidRPr="00E55307">
        <w:rPr>
          <w:rFonts w:ascii="Arial" w:hAnsi="Arial" w:cs="Arial"/>
          <w:sz w:val="20"/>
          <w:szCs w:val="20"/>
          <w:lang w:val="en-US"/>
        </w:rPr>
        <w:t xml:space="preserve">528 at para </w:t>
      </w:r>
      <w:r w:rsidR="007F6815" w:rsidRPr="00E55307">
        <w:rPr>
          <w:rFonts w:ascii="Arial" w:hAnsi="Arial" w:cs="Arial"/>
          <w:sz w:val="20"/>
          <w:szCs w:val="20"/>
          <w:lang w:val="en-US"/>
        </w:rPr>
        <w:t>[</w:t>
      </w:r>
      <w:r w:rsidRPr="00E55307">
        <w:rPr>
          <w:rFonts w:ascii="Arial" w:hAnsi="Arial" w:cs="Arial"/>
          <w:sz w:val="20"/>
          <w:szCs w:val="20"/>
          <w:lang w:val="en-US"/>
        </w:rPr>
        <w:t>68</w:t>
      </w:r>
      <w:r w:rsidR="007F6815" w:rsidRPr="00E55307">
        <w:rPr>
          <w:rFonts w:ascii="Arial" w:hAnsi="Arial" w:cs="Arial"/>
          <w:sz w:val="20"/>
          <w:szCs w:val="20"/>
          <w:lang w:val="en-US"/>
        </w:rPr>
        <w:t>]</w:t>
      </w:r>
      <w:r w:rsidRPr="00E55307">
        <w:rPr>
          <w:rFonts w:ascii="Arial" w:hAnsi="Arial" w:cs="Arial"/>
          <w:sz w:val="20"/>
          <w:szCs w:val="20"/>
          <w:lang w:val="en-US"/>
        </w:rPr>
        <w:t xml:space="preserve">; </w:t>
      </w:r>
      <w:r w:rsidRPr="00E55307">
        <w:rPr>
          <w:rFonts w:ascii="Arial" w:hAnsi="Arial" w:cs="Arial"/>
          <w:i/>
          <w:sz w:val="20"/>
          <w:szCs w:val="20"/>
          <w:lang w:val="en-US"/>
        </w:rPr>
        <w:t>Black Range Mining (Pty) Ltd v Min</w:t>
      </w:r>
      <w:r w:rsidR="00A14CFE" w:rsidRPr="00E55307">
        <w:rPr>
          <w:rFonts w:ascii="Arial" w:hAnsi="Arial" w:cs="Arial"/>
          <w:i/>
          <w:sz w:val="20"/>
          <w:szCs w:val="20"/>
          <w:lang w:val="en-US"/>
        </w:rPr>
        <w:t>ister of Mines and Energy and o</w:t>
      </w:r>
      <w:r w:rsidRPr="00E55307">
        <w:rPr>
          <w:rFonts w:ascii="Arial" w:hAnsi="Arial" w:cs="Arial"/>
          <w:i/>
          <w:sz w:val="20"/>
          <w:szCs w:val="20"/>
          <w:lang w:val="en-US"/>
        </w:rPr>
        <w:t>thers NNO</w:t>
      </w:r>
      <w:r w:rsidRPr="00E55307">
        <w:rPr>
          <w:rFonts w:ascii="Arial" w:hAnsi="Arial" w:cs="Arial"/>
          <w:sz w:val="20"/>
          <w:szCs w:val="20"/>
          <w:lang w:val="en-US"/>
        </w:rPr>
        <w:t xml:space="preserve"> 2014 (2) NR 320 (SC) at 329, para [18].</w:t>
      </w:r>
    </w:p>
  </w:footnote>
  <w:footnote w:id="17">
    <w:p w14:paraId="28EB15CB" w14:textId="00BDD4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 xml:space="preserve">2004 (6) SA </w:t>
      </w:r>
      <w:r w:rsidRPr="008946B6">
        <w:rPr>
          <w:rFonts w:ascii="Arial" w:hAnsi="Arial" w:cs="Arial"/>
          <w:color w:val="000000" w:themeColor="text1"/>
          <w:sz w:val="20"/>
          <w:szCs w:val="20"/>
          <w:lang w:val="en-US"/>
        </w:rPr>
        <w:t>222 at</w:t>
      </w:r>
      <w:r w:rsidR="008946B6" w:rsidRPr="008946B6">
        <w:rPr>
          <w:rFonts w:ascii="Arial" w:hAnsi="Arial" w:cs="Arial"/>
          <w:color w:val="000000" w:themeColor="text1"/>
          <w:sz w:val="20"/>
          <w:szCs w:val="20"/>
          <w:lang w:val="en-US"/>
        </w:rPr>
        <w:t xml:space="preserve"> 24, </w:t>
      </w:r>
      <w:r w:rsidRPr="00E55307">
        <w:rPr>
          <w:rFonts w:ascii="Arial" w:hAnsi="Arial" w:cs="Arial"/>
          <w:sz w:val="20"/>
          <w:szCs w:val="20"/>
          <w:lang w:val="en-US"/>
        </w:rPr>
        <w:t>para [26].</w:t>
      </w:r>
    </w:p>
  </w:footnote>
  <w:footnote w:id="18">
    <w:p w14:paraId="7965B18F" w14:textId="77777777" w:rsidR="000E1147" w:rsidRPr="00E55307" w:rsidRDefault="000E1147" w:rsidP="000E114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Wade</w:t>
      </w:r>
      <w:r>
        <w:rPr>
          <w:rFonts w:ascii="Arial" w:hAnsi="Arial" w:cs="Arial"/>
          <w:sz w:val="20"/>
          <w:szCs w:val="20"/>
        </w:rPr>
        <w:t>, W.</w:t>
      </w:r>
      <w:r w:rsidRPr="00E55307">
        <w:rPr>
          <w:rFonts w:ascii="Arial" w:hAnsi="Arial" w:cs="Arial"/>
          <w:sz w:val="20"/>
          <w:szCs w:val="20"/>
        </w:rPr>
        <w:t xml:space="preserve"> and Forsyth, C.</w:t>
      </w:r>
      <w:r>
        <w:rPr>
          <w:rFonts w:ascii="Arial" w:hAnsi="Arial" w:cs="Arial"/>
          <w:sz w:val="20"/>
          <w:szCs w:val="20"/>
        </w:rPr>
        <w:t xml:space="preserve"> 2004.</w:t>
      </w:r>
      <w:r w:rsidRPr="00E55307">
        <w:rPr>
          <w:rFonts w:ascii="Arial" w:hAnsi="Arial" w:cs="Arial"/>
          <w:sz w:val="20"/>
          <w:szCs w:val="20"/>
        </w:rPr>
        <w:t xml:space="preserve"> </w:t>
      </w:r>
      <w:r w:rsidRPr="00E55307">
        <w:rPr>
          <w:rFonts w:ascii="Arial" w:hAnsi="Arial" w:cs="Arial"/>
          <w:i/>
          <w:sz w:val="20"/>
          <w:szCs w:val="20"/>
        </w:rPr>
        <w:t>Administrative Law</w:t>
      </w:r>
      <w:r w:rsidRPr="00E55307">
        <w:rPr>
          <w:rFonts w:ascii="Arial" w:hAnsi="Arial" w:cs="Arial"/>
          <w:sz w:val="20"/>
          <w:szCs w:val="20"/>
        </w:rPr>
        <w:t xml:space="preserve"> (7</w:t>
      </w:r>
      <w:r w:rsidRPr="00E55307">
        <w:rPr>
          <w:rFonts w:ascii="Arial" w:hAnsi="Arial" w:cs="Arial"/>
          <w:sz w:val="20"/>
          <w:szCs w:val="20"/>
          <w:vertAlign w:val="superscript"/>
        </w:rPr>
        <w:t>th</w:t>
      </w:r>
      <w:r w:rsidRPr="00E55307">
        <w:rPr>
          <w:rFonts w:ascii="Arial" w:hAnsi="Arial" w:cs="Arial"/>
          <w:sz w:val="20"/>
          <w:szCs w:val="20"/>
        </w:rPr>
        <w:t xml:space="preserve"> ed).</w:t>
      </w:r>
      <w:r>
        <w:rPr>
          <w:rFonts w:ascii="Arial" w:hAnsi="Arial" w:cs="Arial"/>
          <w:sz w:val="20"/>
          <w:szCs w:val="20"/>
        </w:rPr>
        <w:t xml:space="preserve"> Oxford: </w:t>
      </w:r>
      <w:r w:rsidRPr="00E55307">
        <w:rPr>
          <w:rFonts w:ascii="Arial" w:hAnsi="Arial" w:cs="Arial"/>
          <w:sz w:val="20"/>
          <w:szCs w:val="20"/>
        </w:rPr>
        <w:t>Clarendon Press Oxford, p 109.</w:t>
      </w:r>
    </w:p>
  </w:footnote>
  <w:footnote w:id="19">
    <w:p w14:paraId="7C949449"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i/>
          <w:sz w:val="20"/>
          <w:szCs w:val="20"/>
          <w:lang w:val="en-US"/>
        </w:rPr>
        <w:t>Cook v Ipswich Local Board of Health</w:t>
      </w:r>
      <w:r w:rsidRPr="00E55307">
        <w:rPr>
          <w:rFonts w:ascii="Arial" w:hAnsi="Arial" w:cs="Arial"/>
          <w:sz w:val="20"/>
          <w:szCs w:val="20"/>
          <w:lang w:val="en-US"/>
        </w:rPr>
        <w:t xml:space="preserve"> (1871) L.R. 6 Q.B. 451; </w:t>
      </w:r>
      <w:r w:rsidRPr="00E55307">
        <w:rPr>
          <w:rFonts w:ascii="Arial" w:hAnsi="Arial" w:cs="Arial"/>
          <w:i/>
          <w:sz w:val="20"/>
          <w:szCs w:val="20"/>
          <w:lang w:val="en-US"/>
        </w:rPr>
        <w:t>Wake v The Mayor, Alderman, and burgesses of the borough of Sheffield</w:t>
      </w:r>
      <w:r w:rsidRPr="00E55307">
        <w:rPr>
          <w:rFonts w:ascii="Arial" w:hAnsi="Arial" w:cs="Arial"/>
          <w:sz w:val="20"/>
          <w:szCs w:val="20"/>
          <w:lang w:val="en-US"/>
        </w:rPr>
        <w:t xml:space="preserve"> (1883) 12 Q.B.D. 142; </w:t>
      </w:r>
      <w:r w:rsidRPr="00E55307">
        <w:rPr>
          <w:rFonts w:ascii="Arial" w:hAnsi="Arial" w:cs="Arial"/>
          <w:i/>
          <w:sz w:val="20"/>
          <w:szCs w:val="20"/>
          <w:lang w:val="en-US"/>
        </w:rPr>
        <w:t>Vestry of St James and St John, Clerckenwell v Feary</w:t>
      </w:r>
      <w:r w:rsidRPr="00E55307">
        <w:rPr>
          <w:rFonts w:ascii="Arial" w:hAnsi="Arial" w:cs="Arial"/>
          <w:sz w:val="20"/>
          <w:szCs w:val="20"/>
          <w:lang w:val="en-US"/>
        </w:rPr>
        <w:t xml:space="preserve"> (1890) 24 Q.B.D. 703.</w:t>
      </w:r>
    </w:p>
  </w:footnote>
  <w:footnote w:id="20">
    <w:p w14:paraId="6B09A223"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1897] A.C. 615.</w:t>
      </w:r>
    </w:p>
  </w:footnote>
  <w:footnote w:id="21">
    <w:p w14:paraId="6F953BB4"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 xml:space="preserve">As was the case in </w:t>
      </w:r>
      <w:r w:rsidRPr="00E55307">
        <w:rPr>
          <w:rFonts w:ascii="Arial" w:hAnsi="Arial" w:cs="Arial"/>
          <w:i/>
          <w:sz w:val="20"/>
          <w:szCs w:val="20"/>
          <w:lang w:val="en-US"/>
        </w:rPr>
        <w:t>Re Al-Fin Corporation’s Patent</w:t>
      </w:r>
      <w:r w:rsidRPr="00E55307">
        <w:rPr>
          <w:rFonts w:ascii="Arial" w:hAnsi="Arial" w:cs="Arial"/>
          <w:sz w:val="20"/>
          <w:szCs w:val="20"/>
          <w:lang w:val="en-US"/>
        </w:rPr>
        <w:t xml:space="preserve"> [1970] Ch.160. In this case, the court granted a declaration as opposed to the statutorily granted remedy as the issue involved a difficult question of law. In </w:t>
      </w:r>
      <w:r w:rsidRPr="00E55307">
        <w:rPr>
          <w:rFonts w:ascii="Arial" w:hAnsi="Arial" w:cs="Arial"/>
          <w:i/>
          <w:sz w:val="20"/>
          <w:szCs w:val="20"/>
          <w:lang w:val="en-US"/>
        </w:rPr>
        <w:t>Pyx Granite Co. Ltd v Ministry of Housing and Local Government [1960] A.C 260 at 285 to 287</w:t>
      </w:r>
      <w:r w:rsidRPr="00E55307">
        <w:rPr>
          <w:rFonts w:ascii="Arial" w:hAnsi="Arial" w:cs="Arial"/>
          <w:sz w:val="20"/>
          <w:szCs w:val="20"/>
          <w:lang w:val="en-US"/>
        </w:rPr>
        <w:t xml:space="preserve">, it was held that unless the statute makes clear that the statutory remedy is the only remedy given, a declaration will be competent. </w:t>
      </w:r>
    </w:p>
    <w:p w14:paraId="4B204F9B" w14:textId="77777777" w:rsidR="00742AEE" w:rsidRPr="00E55307" w:rsidRDefault="00742AEE" w:rsidP="00E55307">
      <w:pPr>
        <w:pStyle w:val="FootnoteText"/>
        <w:jc w:val="both"/>
        <w:rPr>
          <w:rFonts w:ascii="Arial" w:hAnsi="Arial" w:cs="Arial"/>
          <w:sz w:val="20"/>
          <w:szCs w:val="20"/>
          <w:lang w:val="en-US"/>
        </w:rPr>
      </w:pPr>
    </w:p>
    <w:p w14:paraId="319ABC0F" w14:textId="77777777" w:rsidR="00742AEE" w:rsidRPr="00E55307" w:rsidRDefault="00742AEE" w:rsidP="00E55307">
      <w:pPr>
        <w:pStyle w:val="FootnoteText"/>
        <w:jc w:val="both"/>
        <w:rPr>
          <w:rFonts w:ascii="Arial" w:hAnsi="Arial" w:cs="Arial"/>
          <w:sz w:val="20"/>
          <w:szCs w:val="20"/>
          <w:lang w:val="en-US"/>
        </w:rPr>
      </w:pPr>
    </w:p>
  </w:footnote>
  <w:footnote w:id="22">
    <w:p w14:paraId="27AA97D9"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2010 (2) NR 487 (SC).</w:t>
      </w:r>
    </w:p>
  </w:footnote>
  <w:footnote w:id="23">
    <w:p w14:paraId="23239A6E" w14:textId="7777777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See Schedule 1, Tables A (public companies) and B (private companies) for the powers ordinarily given to directors under articles of association.</w:t>
      </w:r>
    </w:p>
  </w:footnote>
  <w:footnote w:id="24">
    <w:p w14:paraId="27E82E2D" w14:textId="525D5EC7"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i/>
          <w:sz w:val="20"/>
          <w:szCs w:val="20"/>
          <w:lang w:val="en-US"/>
        </w:rPr>
        <w:t xml:space="preserve">Robinson v Randfontein Estates Gold Mining </w:t>
      </w:r>
      <w:r w:rsidRPr="005541C6">
        <w:rPr>
          <w:rFonts w:ascii="Arial" w:hAnsi="Arial" w:cs="Arial"/>
          <w:i/>
          <w:sz w:val="20"/>
          <w:szCs w:val="20"/>
          <w:lang w:val="en-US"/>
        </w:rPr>
        <w:t>Co Ltd</w:t>
      </w:r>
      <w:r w:rsidRPr="005541C6">
        <w:rPr>
          <w:rFonts w:ascii="Arial" w:hAnsi="Arial" w:cs="Arial"/>
          <w:sz w:val="20"/>
          <w:szCs w:val="20"/>
          <w:lang w:val="en-US"/>
        </w:rPr>
        <w:t xml:space="preserve"> 1921 </w:t>
      </w:r>
      <w:r w:rsidR="005541C6" w:rsidRPr="005541C6">
        <w:rPr>
          <w:rFonts w:ascii="Arial" w:hAnsi="Arial" w:cs="Arial"/>
          <w:sz w:val="20"/>
          <w:szCs w:val="20"/>
          <w:lang w:val="en-US"/>
        </w:rPr>
        <w:t xml:space="preserve">AD </w:t>
      </w:r>
      <w:r w:rsidRPr="005541C6">
        <w:rPr>
          <w:rFonts w:ascii="Arial" w:hAnsi="Arial" w:cs="Arial"/>
          <w:sz w:val="20"/>
          <w:szCs w:val="20"/>
          <w:lang w:val="en-US"/>
        </w:rPr>
        <w:t>at 168 at 217</w:t>
      </w:r>
      <w:r w:rsidRPr="00E55307">
        <w:rPr>
          <w:rFonts w:ascii="Arial" w:hAnsi="Arial" w:cs="Arial"/>
          <w:sz w:val="20"/>
          <w:szCs w:val="20"/>
          <w:lang w:val="en-US"/>
        </w:rPr>
        <w:t xml:space="preserve">; </w:t>
      </w:r>
      <w:r w:rsidRPr="00E55307">
        <w:rPr>
          <w:rFonts w:ascii="Arial" w:hAnsi="Arial" w:cs="Arial"/>
          <w:i/>
          <w:sz w:val="20"/>
          <w:szCs w:val="20"/>
          <w:lang w:val="en-US"/>
        </w:rPr>
        <w:t>Wolpert v Uitzigt Properties (Pty) Ltd</w:t>
      </w:r>
      <w:r w:rsidRPr="00E55307">
        <w:rPr>
          <w:rFonts w:ascii="Arial" w:hAnsi="Arial" w:cs="Arial"/>
          <w:sz w:val="20"/>
          <w:szCs w:val="20"/>
          <w:lang w:val="en-US"/>
        </w:rPr>
        <w:t xml:space="preserve"> 1961 (2) SA 257 (W)</w:t>
      </w:r>
      <w:r w:rsidR="00667DC8">
        <w:rPr>
          <w:rFonts w:ascii="Arial" w:hAnsi="Arial" w:cs="Arial"/>
          <w:sz w:val="20"/>
          <w:szCs w:val="20"/>
          <w:lang w:val="en-US"/>
        </w:rPr>
        <w:t xml:space="preserve"> at</w:t>
      </w:r>
      <w:r w:rsidRPr="00E55307">
        <w:rPr>
          <w:rFonts w:ascii="Arial" w:hAnsi="Arial" w:cs="Arial"/>
          <w:sz w:val="20"/>
          <w:szCs w:val="20"/>
          <w:lang w:val="en-US"/>
        </w:rPr>
        <w:t xml:space="preserve"> 267-8; </w:t>
      </w:r>
      <w:r w:rsidRPr="00E55307">
        <w:rPr>
          <w:rFonts w:ascii="Arial" w:hAnsi="Arial" w:cs="Arial"/>
          <w:i/>
          <w:sz w:val="20"/>
          <w:szCs w:val="20"/>
          <w:lang w:val="en-US"/>
        </w:rPr>
        <w:t>Rosebank Television and Appliance Co (Pty) Ltd v Orbit Sales Corp</w:t>
      </w:r>
      <w:r w:rsidRPr="00E55307">
        <w:rPr>
          <w:rFonts w:ascii="Arial" w:hAnsi="Arial" w:cs="Arial"/>
          <w:sz w:val="20"/>
          <w:szCs w:val="20"/>
          <w:lang w:val="en-US"/>
        </w:rPr>
        <w:t xml:space="preserve"> (Pty) Ltd 1969 (1) SA 300 (T)</w:t>
      </w:r>
      <w:r w:rsidR="00667DC8">
        <w:rPr>
          <w:rFonts w:ascii="Arial" w:hAnsi="Arial" w:cs="Arial"/>
          <w:sz w:val="20"/>
          <w:szCs w:val="20"/>
          <w:lang w:val="en-US"/>
        </w:rPr>
        <w:t xml:space="preserve"> at</w:t>
      </w:r>
      <w:r w:rsidRPr="00E55307">
        <w:rPr>
          <w:rFonts w:ascii="Arial" w:hAnsi="Arial" w:cs="Arial"/>
          <w:sz w:val="20"/>
          <w:szCs w:val="20"/>
          <w:lang w:val="en-US"/>
        </w:rPr>
        <w:t xml:space="preserve"> 303.</w:t>
      </w:r>
    </w:p>
  </w:footnote>
  <w:footnote w:id="25">
    <w:p w14:paraId="4BC6BCEF" w14:textId="218F3CBE" w:rsidR="00742AEE" w:rsidRPr="00E55307" w:rsidRDefault="00742AEE" w:rsidP="00E55307">
      <w:pPr>
        <w:pStyle w:val="FootnoteText"/>
        <w:jc w:val="both"/>
        <w:rPr>
          <w:rFonts w:ascii="Arial" w:hAnsi="Arial" w:cs="Arial"/>
          <w:sz w:val="20"/>
          <w:szCs w:val="20"/>
          <w:lang w:val="en-US"/>
        </w:rPr>
      </w:pPr>
      <w:r w:rsidRPr="00E55307">
        <w:rPr>
          <w:rStyle w:val="FootnoteReference"/>
          <w:rFonts w:ascii="Arial" w:hAnsi="Arial" w:cs="Arial"/>
          <w:sz w:val="20"/>
          <w:szCs w:val="20"/>
        </w:rPr>
        <w:footnoteRef/>
      </w:r>
      <w:r w:rsidRPr="00E55307">
        <w:rPr>
          <w:rFonts w:ascii="Arial" w:hAnsi="Arial" w:cs="Arial"/>
          <w:sz w:val="20"/>
          <w:szCs w:val="20"/>
        </w:rPr>
        <w:t xml:space="preserve"> </w:t>
      </w:r>
      <w:r w:rsidRPr="00E55307">
        <w:rPr>
          <w:rFonts w:ascii="Arial" w:hAnsi="Arial" w:cs="Arial"/>
          <w:sz w:val="20"/>
          <w:szCs w:val="20"/>
          <w:lang w:val="en-US"/>
        </w:rPr>
        <w:t>2013</w:t>
      </w:r>
      <w:r w:rsidR="00667DC8">
        <w:rPr>
          <w:rFonts w:ascii="Arial" w:hAnsi="Arial" w:cs="Arial"/>
          <w:sz w:val="20"/>
          <w:szCs w:val="20"/>
          <w:lang w:val="en-US"/>
        </w:rPr>
        <w:t xml:space="preserve"> </w:t>
      </w:r>
      <w:r w:rsidRPr="00E55307">
        <w:rPr>
          <w:rFonts w:ascii="Arial" w:hAnsi="Arial" w:cs="Arial"/>
          <w:sz w:val="20"/>
          <w:szCs w:val="20"/>
          <w:lang w:val="en-US"/>
        </w:rPr>
        <w:t xml:space="preserve">(3) NR 806 </w:t>
      </w:r>
      <w:r w:rsidR="00E20CB1">
        <w:rPr>
          <w:rFonts w:ascii="Arial" w:hAnsi="Arial" w:cs="Arial"/>
          <w:sz w:val="20"/>
          <w:szCs w:val="20"/>
          <w:lang w:val="en-US"/>
        </w:rPr>
        <w:t xml:space="preserve">at 846, </w:t>
      </w:r>
      <w:r w:rsidRPr="00E55307">
        <w:rPr>
          <w:rFonts w:ascii="Arial" w:hAnsi="Arial" w:cs="Arial"/>
          <w:sz w:val="20"/>
          <w:szCs w:val="20"/>
          <w:lang w:val="en-US"/>
        </w:rPr>
        <w:t>paras [70] –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74936"/>
      <w:docPartObj>
        <w:docPartGallery w:val="Page Numbers (Top of Page)"/>
        <w:docPartUnique/>
      </w:docPartObj>
    </w:sdtPr>
    <w:sdtEndPr>
      <w:rPr>
        <w:rFonts w:ascii="Arial" w:hAnsi="Arial" w:cs="Arial"/>
        <w:noProof/>
      </w:rPr>
    </w:sdtEndPr>
    <w:sdtContent>
      <w:p w14:paraId="465F368E" w14:textId="5C02F609" w:rsidR="00207720" w:rsidRPr="00207720" w:rsidRDefault="00207720">
        <w:pPr>
          <w:pStyle w:val="Header"/>
          <w:jc w:val="right"/>
          <w:rPr>
            <w:rFonts w:ascii="Arial" w:hAnsi="Arial" w:cs="Arial"/>
          </w:rPr>
        </w:pPr>
        <w:r w:rsidRPr="00207720">
          <w:rPr>
            <w:rFonts w:ascii="Arial" w:hAnsi="Arial" w:cs="Arial"/>
          </w:rPr>
          <w:fldChar w:fldCharType="begin"/>
        </w:r>
        <w:r w:rsidRPr="00207720">
          <w:rPr>
            <w:rFonts w:ascii="Arial" w:hAnsi="Arial" w:cs="Arial"/>
          </w:rPr>
          <w:instrText xml:space="preserve"> PAGE   \* MERGEFORMAT </w:instrText>
        </w:r>
        <w:r w:rsidRPr="00207720">
          <w:rPr>
            <w:rFonts w:ascii="Arial" w:hAnsi="Arial" w:cs="Arial"/>
          </w:rPr>
          <w:fldChar w:fldCharType="separate"/>
        </w:r>
        <w:r w:rsidR="00830EDE">
          <w:rPr>
            <w:rFonts w:ascii="Arial" w:hAnsi="Arial" w:cs="Arial"/>
            <w:noProof/>
          </w:rPr>
          <w:t>39</w:t>
        </w:r>
        <w:r w:rsidRPr="00207720">
          <w:rPr>
            <w:rFonts w:ascii="Arial" w:hAnsi="Arial" w:cs="Arial"/>
            <w:noProof/>
          </w:rPr>
          <w:fldChar w:fldCharType="end"/>
        </w:r>
      </w:p>
    </w:sdtContent>
  </w:sdt>
  <w:p w14:paraId="250199F9" w14:textId="77777777" w:rsidR="00207720" w:rsidRDefault="00207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11BF"/>
    <w:multiLevelType w:val="hybridMultilevel"/>
    <w:tmpl w:val="0F56CB6C"/>
    <w:lvl w:ilvl="0" w:tplc="81DC5ED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15:restartNumberingAfterBreak="0">
    <w:nsid w:val="230C4E2B"/>
    <w:multiLevelType w:val="hybridMultilevel"/>
    <w:tmpl w:val="0B921F80"/>
    <w:lvl w:ilvl="0" w:tplc="E384E044">
      <w:start w:val="1"/>
      <w:numFmt w:val="decimal"/>
      <w:lvlText w:val="[%1]"/>
      <w:lvlJc w:val="left"/>
      <w:pPr>
        <w:ind w:left="360"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15:restartNumberingAfterBreak="0">
    <w:nsid w:val="2DE14DD1"/>
    <w:multiLevelType w:val="hybridMultilevel"/>
    <w:tmpl w:val="A4421A5E"/>
    <w:lvl w:ilvl="0" w:tplc="A27CD81E">
      <w:start w:val="1"/>
      <w:numFmt w:val="decimal"/>
      <w:lvlText w:val="%1."/>
      <w:lvlJc w:val="left"/>
      <w:pPr>
        <w:ind w:left="6881" w:hanging="360"/>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3" w15:restartNumberingAfterBreak="0">
    <w:nsid w:val="39745C9C"/>
    <w:multiLevelType w:val="hybridMultilevel"/>
    <w:tmpl w:val="E456743E"/>
    <w:lvl w:ilvl="0" w:tplc="267E1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2625315"/>
    <w:multiLevelType w:val="hybridMultilevel"/>
    <w:tmpl w:val="9120DDA6"/>
    <w:lvl w:ilvl="0" w:tplc="446C62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C4992"/>
    <w:multiLevelType w:val="hybridMultilevel"/>
    <w:tmpl w:val="BDCA8F36"/>
    <w:lvl w:ilvl="0" w:tplc="27204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B28AF"/>
    <w:multiLevelType w:val="hybridMultilevel"/>
    <w:tmpl w:val="3F284DA8"/>
    <w:lvl w:ilvl="0" w:tplc="D96EEF8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4E"/>
    <w:rsid w:val="00010EA4"/>
    <w:rsid w:val="00025CD4"/>
    <w:rsid w:val="0003172D"/>
    <w:rsid w:val="00035BA8"/>
    <w:rsid w:val="00035C52"/>
    <w:rsid w:val="00045936"/>
    <w:rsid w:val="00046CA0"/>
    <w:rsid w:val="00050083"/>
    <w:rsid w:val="000511FD"/>
    <w:rsid w:val="00052DE6"/>
    <w:rsid w:val="00055F02"/>
    <w:rsid w:val="00056721"/>
    <w:rsid w:val="0006548B"/>
    <w:rsid w:val="00066F92"/>
    <w:rsid w:val="00072104"/>
    <w:rsid w:val="00074FFF"/>
    <w:rsid w:val="000765D1"/>
    <w:rsid w:val="00083D0B"/>
    <w:rsid w:val="00086F90"/>
    <w:rsid w:val="000A4304"/>
    <w:rsid w:val="000A4F0C"/>
    <w:rsid w:val="000B16C8"/>
    <w:rsid w:val="000B2C64"/>
    <w:rsid w:val="000B422F"/>
    <w:rsid w:val="000C3CEE"/>
    <w:rsid w:val="000D438B"/>
    <w:rsid w:val="000D59A9"/>
    <w:rsid w:val="000E1147"/>
    <w:rsid w:val="000E3637"/>
    <w:rsid w:val="000E57E7"/>
    <w:rsid w:val="000F3D91"/>
    <w:rsid w:val="001040B7"/>
    <w:rsid w:val="00104B7F"/>
    <w:rsid w:val="00105D8E"/>
    <w:rsid w:val="00107952"/>
    <w:rsid w:val="00112829"/>
    <w:rsid w:val="00112C1C"/>
    <w:rsid w:val="00112D15"/>
    <w:rsid w:val="0011477F"/>
    <w:rsid w:val="00114F5C"/>
    <w:rsid w:val="00124A3B"/>
    <w:rsid w:val="00127F32"/>
    <w:rsid w:val="00134FED"/>
    <w:rsid w:val="00140FF5"/>
    <w:rsid w:val="00145CA1"/>
    <w:rsid w:val="001501E6"/>
    <w:rsid w:val="00151E35"/>
    <w:rsid w:val="00152C90"/>
    <w:rsid w:val="0015323D"/>
    <w:rsid w:val="00166AF7"/>
    <w:rsid w:val="001671A2"/>
    <w:rsid w:val="00174170"/>
    <w:rsid w:val="001747B3"/>
    <w:rsid w:val="001751A1"/>
    <w:rsid w:val="001762DF"/>
    <w:rsid w:val="001767CE"/>
    <w:rsid w:val="001768D4"/>
    <w:rsid w:val="00183787"/>
    <w:rsid w:val="001867E1"/>
    <w:rsid w:val="001906D0"/>
    <w:rsid w:val="00193EB3"/>
    <w:rsid w:val="00194A7D"/>
    <w:rsid w:val="00195C23"/>
    <w:rsid w:val="001A165F"/>
    <w:rsid w:val="001A6B08"/>
    <w:rsid w:val="001B4A66"/>
    <w:rsid w:val="001B52E9"/>
    <w:rsid w:val="001C0B8F"/>
    <w:rsid w:val="001C3182"/>
    <w:rsid w:val="001D2860"/>
    <w:rsid w:val="001D4ADD"/>
    <w:rsid w:val="001D5133"/>
    <w:rsid w:val="001E06B9"/>
    <w:rsid w:val="001F2EB0"/>
    <w:rsid w:val="00205149"/>
    <w:rsid w:val="00207720"/>
    <w:rsid w:val="00234608"/>
    <w:rsid w:val="00240431"/>
    <w:rsid w:val="0024184B"/>
    <w:rsid w:val="00241D82"/>
    <w:rsid w:val="00244CB2"/>
    <w:rsid w:val="00245727"/>
    <w:rsid w:val="00256FBB"/>
    <w:rsid w:val="00260F24"/>
    <w:rsid w:val="00260F5B"/>
    <w:rsid w:val="00262EAC"/>
    <w:rsid w:val="0027007B"/>
    <w:rsid w:val="002769A7"/>
    <w:rsid w:val="00277824"/>
    <w:rsid w:val="00277F46"/>
    <w:rsid w:val="00280544"/>
    <w:rsid w:val="00282D8E"/>
    <w:rsid w:val="00284504"/>
    <w:rsid w:val="00292884"/>
    <w:rsid w:val="002932AE"/>
    <w:rsid w:val="00295416"/>
    <w:rsid w:val="00296895"/>
    <w:rsid w:val="002A29F0"/>
    <w:rsid w:val="002A429F"/>
    <w:rsid w:val="002A5D34"/>
    <w:rsid w:val="002A735B"/>
    <w:rsid w:val="002B1F18"/>
    <w:rsid w:val="002B3973"/>
    <w:rsid w:val="002B4EDA"/>
    <w:rsid w:val="002C304E"/>
    <w:rsid w:val="002C7510"/>
    <w:rsid w:val="002D15AE"/>
    <w:rsid w:val="002D3FC6"/>
    <w:rsid w:val="002D648D"/>
    <w:rsid w:val="002E089C"/>
    <w:rsid w:val="002E520E"/>
    <w:rsid w:val="002F37E9"/>
    <w:rsid w:val="00306FB0"/>
    <w:rsid w:val="00311D90"/>
    <w:rsid w:val="00312D99"/>
    <w:rsid w:val="003144AA"/>
    <w:rsid w:val="00314D64"/>
    <w:rsid w:val="00316501"/>
    <w:rsid w:val="00317B80"/>
    <w:rsid w:val="0032165C"/>
    <w:rsid w:val="00323657"/>
    <w:rsid w:val="00323FEA"/>
    <w:rsid w:val="00335817"/>
    <w:rsid w:val="00336258"/>
    <w:rsid w:val="003376A4"/>
    <w:rsid w:val="00345B47"/>
    <w:rsid w:val="00355C9D"/>
    <w:rsid w:val="0036415B"/>
    <w:rsid w:val="00364774"/>
    <w:rsid w:val="00365647"/>
    <w:rsid w:val="00365877"/>
    <w:rsid w:val="00370B4B"/>
    <w:rsid w:val="00373F3E"/>
    <w:rsid w:val="003755BD"/>
    <w:rsid w:val="003755CE"/>
    <w:rsid w:val="003833F6"/>
    <w:rsid w:val="003941E0"/>
    <w:rsid w:val="003A68CD"/>
    <w:rsid w:val="003A7BF6"/>
    <w:rsid w:val="003B3BF0"/>
    <w:rsid w:val="003C1FD4"/>
    <w:rsid w:val="003C65D8"/>
    <w:rsid w:val="003D1171"/>
    <w:rsid w:val="003D136D"/>
    <w:rsid w:val="003D2C54"/>
    <w:rsid w:val="003D4C21"/>
    <w:rsid w:val="003D5428"/>
    <w:rsid w:val="003F191B"/>
    <w:rsid w:val="004003AD"/>
    <w:rsid w:val="00407F8E"/>
    <w:rsid w:val="004160DB"/>
    <w:rsid w:val="00416A49"/>
    <w:rsid w:val="0041778D"/>
    <w:rsid w:val="0042339D"/>
    <w:rsid w:val="0042385C"/>
    <w:rsid w:val="004322AD"/>
    <w:rsid w:val="004379AA"/>
    <w:rsid w:val="00440D25"/>
    <w:rsid w:val="004467AD"/>
    <w:rsid w:val="00451231"/>
    <w:rsid w:val="00452EBB"/>
    <w:rsid w:val="00453738"/>
    <w:rsid w:val="00463763"/>
    <w:rsid w:val="00464B8E"/>
    <w:rsid w:val="00465E2A"/>
    <w:rsid w:val="00466FA6"/>
    <w:rsid w:val="00477CE9"/>
    <w:rsid w:val="00485702"/>
    <w:rsid w:val="00485C18"/>
    <w:rsid w:val="00485FCC"/>
    <w:rsid w:val="00486CFF"/>
    <w:rsid w:val="00490D20"/>
    <w:rsid w:val="00491270"/>
    <w:rsid w:val="00491BA9"/>
    <w:rsid w:val="00493664"/>
    <w:rsid w:val="00496CD3"/>
    <w:rsid w:val="004B59D6"/>
    <w:rsid w:val="004C5A7E"/>
    <w:rsid w:val="004C5BC0"/>
    <w:rsid w:val="004D6AD1"/>
    <w:rsid w:val="004D7514"/>
    <w:rsid w:val="004E0B90"/>
    <w:rsid w:val="004E6420"/>
    <w:rsid w:val="004E64B9"/>
    <w:rsid w:val="004F00D9"/>
    <w:rsid w:val="004F0E3E"/>
    <w:rsid w:val="00505CEA"/>
    <w:rsid w:val="00511757"/>
    <w:rsid w:val="00511C68"/>
    <w:rsid w:val="00516CCE"/>
    <w:rsid w:val="00520AF2"/>
    <w:rsid w:val="00524A46"/>
    <w:rsid w:val="0053016E"/>
    <w:rsid w:val="00531553"/>
    <w:rsid w:val="00532EEF"/>
    <w:rsid w:val="005465B5"/>
    <w:rsid w:val="0054740C"/>
    <w:rsid w:val="005501A6"/>
    <w:rsid w:val="00553E9D"/>
    <w:rsid w:val="005541C6"/>
    <w:rsid w:val="005542BB"/>
    <w:rsid w:val="00555858"/>
    <w:rsid w:val="00556075"/>
    <w:rsid w:val="00560894"/>
    <w:rsid w:val="00562D17"/>
    <w:rsid w:val="0056523B"/>
    <w:rsid w:val="005656F1"/>
    <w:rsid w:val="005825C6"/>
    <w:rsid w:val="00590F71"/>
    <w:rsid w:val="00592510"/>
    <w:rsid w:val="00593A7A"/>
    <w:rsid w:val="00597059"/>
    <w:rsid w:val="005A12B5"/>
    <w:rsid w:val="005A1406"/>
    <w:rsid w:val="005A4D7D"/>
    <w:rsid w:val="005B29AD"/>
    <w:rsid w:val="005B5CAD"/>
    <w:rsid w:val="005C63DB"/>
    <w:rsid w:val="005D1424"/>
    <w:rsid w:val="005D580E"/>
    <w:rsid w:val="005D6800"/>
    <w:rsid w:val="005E2507"/>
    <w:rsid w:val="005E2688"/>
    <w:rsid w:val="005E7750"/>
    <w:rsid w:val="005E7E89"/>
    <w:rsid w:val="005F22E1"/>
    <w:rsid w:val="005F58CD"/>
    <w:rsid w:val="005F64CC"/>
    <w:rsid w:val="00604082"/>
    <w:rsid w:val="006046B6"/>
    <w:rsid w:val="00615771"/>
    <w:rsid w:val="00623553"/>
    <w:rsid w:val="006248E0"/>
    <w:rsid w:val="0063315C"/>
    <w:rsid w:val="00636DD7"/>
    <w:rsid w:val="00646976"/>
    <w:rsid w:val="00647612"/>
    <w:rsid w:val="006543D5"/>
    <w:rsid w:val="006555A7"/>
    <w:rsid w:val="00655A0A"/>
    <w:rsid w:val="00662D27"/>
    <w:rsid w:val="006637B3"/>
    <w:rsid w:val="00666DF5"/>
    <w:rsid w:val="00667DC8"/>
    <w:rsid w:val="0067017B"/>
    <w:rsid w:val="00680030"/>
    <w:rsid w:val="0068648C"/>
    <w:rsid w:val="0069361D"/>
    <w:rsid w:val="006B5E4A"/>
    <w:rsid w:val="006C351D"/>
    <w:rsid w:val="006C3594"/>
    <w:rsid w:val="006C43CB"/>
    <w:rsid w:val="006C75D6"/>
    <w:rsid w:val="006C7789"/>
    <w:rsid w:val="006D25BF"/>
    <w:rsid w:val="006D3125"/>
    <w:rsid w:val="006E3FE4"/>
    <w:rsid w:val="006E6D43"/>
    <w:rsid w:val="006F4A61"/>
    <w:rsid w:val="006F4FEF"/>
    <w:rsid w:val="006F5226"/>
    <w:rsid w:val="00700C91"/>
    <w:rsid w:val="007121F5"/>
    <w:rsid w:val="00715CDA"/>
    <w:rsid w:val="00715CED"/>
    <w:rsid w:val="00715D6C"/>
    <w:rsid w:val="00721A91"/>
    <w:rsid w:val="007228B8"/>
    <w:rsid w:val="007243AE"/>
    <w:rsid w:val="007250CF"/>
    <w:rsid w:val="00725665"/>
    <w:rsid w:val="00734C44"/>
    <w:rsid w:val="0073769C"/>
    <w:rsid w:val="00740917"/>
    <w:rsid w:val="00742AEE"/>
    <w:rsid w:val="007456D0"/>
    <w:rsid w:val="0074632E"/>
    <w:rsid w:val="00747C8D"/>
    <w:rsid w:val="00753051"/>
    <w:rsid w:val="00753B48"/>
    <w:rsid w:val="00757FF2"/>
    <w:rsid w:val="007635EE"/>
    <w:rsid w:val="007637F6"/>
    <w:rsid w:val="007757CD"/>
    <w:rsid w:val="00776063"/>
    <w:rsid w:val="0078034E"/>
    <w:rsid w:val="00782CEA"/>
    <w:rsid w:val="00783263"/>
    <w:rsid w:val="00783E29"/>
    <w:rsid w:val="00784FA0"/>
    <w:rsid w:val="00787085"/>
    <w:rsid w:val="007922B3"/>
    <w:rsid w:val="0079720B"/>
    <w:rsid w:val="007A0837"/>
    <w:rsid w:val="007B7334"/>
    <w:rsid w:val="007C365D"/>
    <w:rsid w:val="007C6B25"/>
    <w:rsid w:val="007D0ADC"/>
    <w:rsid w:val="007D220A"/>
    <w:rsid w:val="007D2FB4"/>
    <w:rsid w:val="007D3AF2"/>
    <w:rsid w:val="007D3D25"/>
    <w:rsid w:val="007D4D1F"/>
    <w:rsid w:val="007D54F3"/>
    <w:rsid w:val="007D5A39"/>
    <w:rsid w:val="007E067F"/>
    <w:rsid w:val="007E508B"/>
    <w:rsid w:val="007E5DC8"/>
    <w:rsid w:val="007F13FF"/>
    <w:rsid w:val="007F327C"/>
    <w:rsid w:val="007F3E6D"/>
    <w:rsid w:val="007F6815"/>
    <w:rsid w:val="007F6A49"/>
    <w:rsid w:val="00803885"/>
    <w:rsid w:val="00810B05"/>
    <w:rsid w:val="008230DB"/>
    <w:rsid w:val="00830EDE"/>
    <w:rsid w:val="008328E8"/>
    <w:rsid w:val="008347ED"/>
    <w:rsid w:val="008365D1"/>
    <w:rsid w:val="00842D4C"/>
    <w:rsid w:val="008434A9"/>
    <w:rsid w:val="0084517F"/>
    <w:rsid w:val="00847DCC"/>
    <w:rsid w:val="00850774"/>
    <w:rsid w:val="0085264A"/>
    <w:rsid w:val="00856227"/>
    <w:rsid w:val="00862D4A"/>
    <w:rsid w:val="00875442"/>
    <w:rsid w:val="00876D92"/>
    <w:rsid w:val="0087791A"/>
    <w:rsid w:val="00885979"/>
    <w:rsid w:val="008927AF"/>
    <w:rsid w:val="008942F3"/>
    <w:rsid w:val="008946B6"/>
    <w:rsid w:val="008A02DE"/>
    <w:rsid w:val="008A3B5D"/>
    <w:rsid w:val="008A43D8"/>
    <w:rsid w:val="008B381B"/>
    <w:rsid w:val="008B6508"/>
    <w:rsid w:val="008B7534"/>
    <w:rsid w:val="008C1CE2"/>
    <w:rsid w:val="008C7DF5"/>
    <w:rsid w:val="008D1416"/>
    <w:rsid w:val="008D1942"/>
    <w:rsid w:val="008D2948"/>
    <w:rsid w:val="008E529D"/>
    <w:rsid w:val="008E6CB4"/>
    <w:rsid w:val="008F3CE8"/>
    <w:rsid w:val="00906277"/>
    <w:rsid w:val="00910BE6"/>
    <w:rsid w:val="0092039F"/>
    <w:rsid w:val="00920EFD"/>
    <w:rsid w:val="00923686"/>
    <w:rsid w:val="0092406B"/>
    <w:rsid w:val="009250CA"/>
    <w:rsid w:val="00934314"/>
    <w:rsid w:val="00941254"/>
    <w:rsid w:val="0094245E"/>
    <w:rsid w:val="00943322"/>
    <w:rsid w:val="00943B63"/>
    <w:rsid w:val="00952DE4"/>
    <w:rsid w:val="00953747"/>
    <w:rsid w:val="009572E7"/>
    <w:rsid w:val="00961C4A"/>
    <w:rsid w:val="00963BEC"/>
    <w:rsid w:val="00971000"/>
    <w:rsid w:val="0097163D"/>
    <w:rsid w:val="00976185"/>
    <w:rsid w:val="00980DAE"/>
    <w:rsid w:val="0098393B"/>
    <w:rsid w:val="0098561C"/>
    <w:rsid w:val="009874D1"/>
    <w:rsid w:val="00994E6D"/>
    <w:rsid w:val="009A0570"/>
    <w:rsid w:val="009A3D32"/>
    <w:rsid w:val="009A548A"/>
    <w:rsid w:val="009B6A19"/>
    <w:rsid w:val="009B7199"/>
    <w:rsid w:val="009C2FBD"/>
    <w:rsid w:val="009C6102"/>
    <w:rsid w:val="009C7D06"/>
    <w:rsid w:val="009D0B13"/>
    <w:rsid w:val="009D3FDF"/>
    <w:rsid w:val="009D6D2C"/>
    <w:rsid w:val="009D7882"/>
    <w:rsid w:val="009E4B9F"/>
    <w:rsid w:val="009F397F"/>
    <w:rsid w:val="009F3BC2"/>
    <w:rsid w:val="009F6F30"/>
    <w:rsid w:val="00A14CFE"/>
    <w:rsid w:val="00A14EEA"/>
    <w:rsid w:val="00A256C8"/>
    <w:rsid w:val="00A43ECA"/>
    <w:rsid w:val="00A4791D"/>
    <w:rsid w:val="00A50301"/>
    <w:rsid w:val="00A512F4"/>
    <w:rsid w:val="00A51DE1"/>
    <w:rsid w:val="00A52C72"/>
    <w:rsid w:val="00A71E0F"/>
    <w:rsid w:val="00A740F3"/>
    <w:rsid w:val="00A83E94"/>
    <w:rsid w:val="00AA0D19"/>
    <w:rsid w:val="00AA3B9B"/>
    <w:rsid w:val="00AB10EA"/>
    <w:rsid w:val="00AB4426"/>
    <w:rsid w:val="00AB67C7"/>
    <w:rsid w:val="00AB7541"/>
    <w:rsid w:val="00AC3439"/>
    <w:rsid w:val="00AC5B3B"/>
    <w:rsid w:val="00AC6F66"/>
    <w:rsid w:val="00AD14A0"/>
    <w:rsid w:val="00AD215C"/>
    <w:rsid w:val="00AD78EA"/>
    <w:rsid w:val="00AE01FC"/>
    <w:rsid w:val="00AE0554"/>
    <w:rsid w:val="00AE52AC"/>
    <w:rsid w:val="00AE7737"/>
    <w:rsid w:val="00AF1E50"/>
    <w:rsid w:val="00AF5746"/>
    <w:rsid w:val="00B02C60"/>
    <w:rsid w:val="00B054D2"/>
    <w:rsid w:val="00B071F3"/>
    <w:rsid w:val="00B07718"/>
    <w:rsid w:val="00B07BF4"/>
    <w:rsid w:val="00B10280"/>
    <w:rsid w:val="00B13168"/>
    <w:rsid w:val="00B1359C"/>
    <w:rsid w:val="00B1594C"/>
    <w:rsid w:val="00B17641"/>
    <w:rsid w:val="00B23D00"/>
    <w:rsid w:val="00B24B8C"/>
    <w:rsid w:val="00B26899"/>
    <w:rsid w:val="00B271BB"/>
    <w:rsid w:val="00B274B3"/>
    <w:rsid w:val="00B4097C"/>
    <w:rsid w:val="00B525B4"/>
    <w:rsid w:val="00B52B65"/>
    <w:rsid w:val="00B57472"/>
    <w:rsid w:val="00B623BC"/>
    <w:rsid w:val="00B626E6"/>
    <w:rsid w:val="00B67C06"/>
    <w:rsid w:val="00B80CD9"/>
    <w:rsid w:val="00B814CF"/>
    <w:rsid w:val="00B90681"/>
    <w:rsid w:val="00BA0492"/>
    <w:rsid w:val="00BA3477"/>
    <w:rsid w:val="00BA4200"/>
    <w:rsid w:val="00BB1A7D"/>
    <w:rsid w:val="00BB393A"/>
    <w:rsid w:val="00BB4E09"/>
    <w:rsid w:val="00BC07C6"/>
    <w:rsid w:val="00BC554E"/>
    <w:rsid w:val="00BD0328"/>
    <w:rsid w:val="00BF056E"/>
    <w:rsid w:val="00BF5D32"/>
    <w:rsid w:val="00BF71D0"/>
    <w:rsid w:val="00C10DC2"/>
    <w:rsid w:val="00C25118"/>
    <w:rsid w:val="00C3269D"/>
    <w:rsid w:val="00C356F3"/>
    <w:rsid w:val="00C413A5"/>
    <w:rsid w:val="00C4738D"/>
    <w:rsid w:val="00C50564"/>
    <w:rsid w:val="00C55F03"/>
    <w:rsid w:val="00C60625"/>
    <w:rsid w:val="00C60A92"/>
    <w:rsid w:val="00C65C69"/>
    <w:rsid w:val="00C66561"/>
    <w:rsid w:val="00C670F0"/>
    <w:rsid w:val="00C80A60"/>
    <w:rsid w:val="00C82C72"/>
    <w:rsid w:val="00C850E3"/>
    <w:rsid w:val="00C90C6C"/>
    <w:rsid w:val="00C920E9"/>
    <w:rsid w:val="00C93988"/>
    <w:rsid w:val="00C942B3"/>
    <w:rsid w:val="00C96003"/>
    <w:rsid w:val="00CA1AC9"/>
    <w:rsid w:val="00CA3D58"/>
    <w:rsid w:val="00CB01C0"/>
    <w:rsid w:val="00CB26B0"/>
    <w:rsid w:val="00CB40E7"/>
    <w:rsid w:val="00CB54A5"/>
    <w:rsid w:val="00CB5FEC"/>
    <w:rsid w:val="00CC2E63"/>
    <w:rsid w:val="00CC4B3D"/>
    <w:rsid w:val="00CC6570"/>
    <w:rsid w:val="00CC76B4"/>
    <w:rsid w:val="00CD083D"/>
    <w:rsid w:val="00CD57EE"/>
    <w:rsid w:val="00CD76CD"/>
    <w:rsid w:val="00CE3AC8"/>
    <w:rsid w:val="00CE44B7"/>
    <w:rsid w:val="00CF41DC"/>
    <w:rsid w:val="00D0170B"/>
    <w:rsid w:val="00D01CFF"/>
    <w:rsid w:val="00D03AE4"/>
    <w:rsid w:val="00D11562"/>
    <w:rsid w:val="00D15971"/>
    <w:rsid w:val="00D16EE7"/>
    <w:rsid w:val="00D2034E"/>
    <w:rsid w:val="00D26117"/>
    <w:rsid w:val="00D275B6"/>
    <w:rsid w:val="00D27BA7"/>
    <w:rsid w:val="00D432D4"/>
    <w:rsid w:val="00D50642"/>
    <w:rsid w:val="00D5211E"/>
    <w:rsid w:val="00D56862"/>
    <w:rsid w:val="00D7175E"/>
    <w:rsid w:val="00D7213A"/>
    <w:rsid w:val="00D77C1F"/>
    <w:rsid w:val="00D83D18"/>
    <w:rsid w:val="00D84528"/>
    <w:rsid w:val="00D87605"/>
    <w:rsid w:val="00D93822"/>
    <w:rsid w:val="00D96CC0"/>
    <w:rsid w:val="00DA1562"/>
    <w:rsid w:val="00DA4D4A"/>
    <w:rsid w:val="00DB248D"/>
    <w:rsid w:val="00DD66B1"/>
    <w:rsid w:val="00DE23B0"/>
    <w:rsid w:val="00DE75B6"/>
    <w:rsid w:val="00DE7747"/>
    <w:rsid w:val="00DF43C8"/>
    <w:rsid w:val="00E0053F"/>
    <w:rsid w:val="00E122C7"/>
    <w:rsid w:val="00E14A7B"/>
    <w:rsid w:val="00E2017E"/>
    <w:rsid w:val="00E20CB1"/>
    <w:rsid w:val="00E250C9"/>
    <w:rsid w:val="00E42D68"/>
    <w:rsid w:val="00E4783F"/>
    <w:rsid w:val="00E52C76"/>
    <w:rsid w:val="00E55307"/>
    <w:rsid w:val="00E60023"/>
    <w:rsid w:val="00E636CE"/>
    <w:rsid w:val="00E639D5"/>
    <w:rsid w:val="00E6727E"/>
    <w:rsid w:val="00E67F0A"/>
    <w:rsid w:val="00E70619"/>
    <w:rsid w:val="00E712F9"/>
    <w:rsid w:val="00E74853"/>
    <w:rsid w:val="00E80EE5"/>
    <w:rsid w:val="00E83212"/>
    <w:rsid w:val="00E932BB"/>
    <w:rsid w:val="00E95323"/>
    <w:rsid w:val="00EA1B33"/>
    <w:rsid w:val="00EB3E0D"/>
    <w:rsid w:val="00EB6292"/>
    <w:rsid w:val="00EB7CD0"/>
    <w:rsid w:val="00EC0448"/>
    <w:rsid w:val="00EC0795"/>
    <w:rsid w:val="00ED278C"/>
    <w:rsid w:val="00ED4F70"/>
    <w:rsid w:val="00ED63AC"/>
    <w:rsid w:val="00ED6549"/>
    <w:rsid w:val="00EE240F"/>
    <w:rsid w:val="00EE5BD3"/>
    <w:rsid w:val="00EF4EB4"/>
    <w:rsid w:val="00EF6C26"/>
    <w:rsid w:val="00F000A4"/>
    <w:rsid w:val="00F0086F"/>
    <w:rsid w:val="00F01740"/>
    <w:rsid w:val="00F0220F"/>
    <w:rsid w:val="00F066F5"/>
    <w:rsid w:val="00F069E3"/>
    <w:rsid w:val="00F10A4C"/>
    <w:rsid w:val="00F12EC6"/>
    <w:rsid w:val="00F155D7"/>
    <w:rsid w:val="00F23BCC"/>
    <w:rsid w:val="00F24413"/>
    <w:rsid w:val="00F26AD7"/>
    <w:rsid w:val="00F276AD"/>
    <w:rsid w:val="00F30C21"/>
    <w:rsid w:val="00F31EEA"/>
    <w:rsid w:val="00F36B42"/>
    <w:rsid w:val="00F41A8A"/>
    <w:rsid w:val="00F4464B"/>
    <w:rsid w:val="00F457D3"/>
    <w:rsid w:val="00F562B6"/>
    <w:rsid w:val="00F567F7"/>
    <w:rsid w:val="00F56EB4"/>
    <w:rsid w:val="00F60C0F"/>
    <w:rsid w:val="00F613D4"/>
    <w:rsid w:val="00F65D57"/>
    <w:rsid w:val="00F72789"/>
    <w:rsid w:val="00F7436B"/>
    <w:rsid w:val="00F810A4"/>
    <w:rsid w:val="00F86155"/>
    <w:rsid w:val="00F91E92"/>
    <w:rsid w:val="00F92B2D"/>
    <w:rsid w:val="00F9582E"/>
    <w:rsid w:val="00FA2213"/>
    <w:rsid w:val="00FA2EE1"/>
    <w:rsid w:val="00FA4CB9"/>
    <w:rsid w:val="00FC241C"/>
    <w:rsid w:val="00FC3C3F"/>
    <w:rsid w:val="00FC3E05"/>
    <w:rsid w:val="00FD1C3A"/>
    <w:rsid w:val="00FD2A12"/>
    <w:rsid w:val="00FD5F4A"/>
    <w:rsid w:val="00FE1B4E"/>
    <w:rsid w:val="00FE7EF3"/>
    <w:rsid w:val="00FF50C2"/>
    <w:rsid w:val="00FF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A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554E"/>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54E"/>
    <w:rPr>
      <w:rFonts w:ascii="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1671A2"/>
  </w:style>
  <w:style w:type="character" w:customStyle="1" w:styleId="FootnoteTextChar">
    <w:name w:val="Footnote Text Char"/>
    <w:basedOn w:val="DefaultParagraphFont"/>
    <w:link w:val="FootnoteText"/>
    <w:uiPriority w:val="99"/>
    <w:rsid w:val="001671A2"/>
  </w:style>
  <w:style w:type="character" w:styleId="FootnoteReference">
    <w:name w:val="footnote reference"/>
    <w:basedOn w:val="DefaultParagraphFont"/>
    <w:uiPriority w:val="99"/>
    <w:unhideWhenUsed/>
    <w:rsid w:val="001671A2"/>
    <w:rPr>
      <w:vertAlign w:val="superscript"/>
    </w:rPr>
  </w:style>
  <w:style w:type="paragraph" w:styleId="Header">
    <w:name w:val="header"/>
    <w:basedOn w:val="Normal"/>
    <w:link w:val="HeaderChar"/>
    <w:uiPriority w:val="99"/>
    <w:unhideWhenUsed/>
    <w:rsid w:val="00BF5D32"/>
    <w:pPr>
      <w:tabs>
        <w:tab w:val="center" w:pos="4680"/>
        <w:tab w:val="right" w:pos="9360"/>
      </w:tabs>
    </w:pPr>
  </w:style>
  <w:style w:type="character" w:customStyle="1" w:styleId="HeaderChar">
    <w:name w:val="Header Char"/>
    <w:basedOn w:val="DefaultParagraphFont"/>
    <w:link w:val="Header"/>
    <w:uiPriority w:val="99"/>
    <w:rsid w:val="00BF5D32"/>
  </w:style>
  <w:style w:type="paragraph" w:styleId="Footer">
    <w:name w:val="footer"/>
    <w:basedOn w:val="Normal"/>
    <w:link w:val="FooterChar"/>
    <w:uiPriority w:val="99"/>
    <w:unhideWhenUsed/>
    <w:rsid w:val="00BF5D32"/>
    <w:pPr>
      <w:tabs>
        <w:tab w:val="center" w:pos="4680"/>
        <w:tab w:val="right" w:pos="9360"/>
      </w:tabs>
    </w:pPr>
  </w:style>
  <w:style w:type="character" w:customStyle="1" w:styleId="FooterChar">
    <w:name w:val="Footer Char"/>
    <w:basedOn w:val="DefaultParagraphFont"/>
    <w:link w:val="Footer"/>
    <w:uiPriority w:val="99"/>
    <w:rsid w:val="00BF5D32"/>
  </w:style>
  <w:style w:type="paragraph" w:styleId="ListParagraph">
    <w:name w:val="List Paragraph"/>
    <w:basedOn w:val="Normal"/>
    <w:uiPriority w:val="34"/>
    <w:qFormat/>
    <w:rsid w:val="007D54F3"/>
    <w:pPr>
      <w:ind w:left="720"/>
      <w:contextualSpacing/>
    </w:pPr>
  </w:style>
  <w:style w:type="table" w:styleId="TableGrid">
    <w:name w:val="Table Grid"/>
    <w:basedOn w:val="TableNormal"/>
    <w:uiPriority w:val="39"/>
    <w:rsid w:val="008F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4CFE"/>
    <w:rPr>
      <w:sz w:val="16"/>
      <w:szCs w:val="16"/>
    </w:rPr>
  </w:style>
  <w:style w:type="paragraph" w:styleId="CommentText">
    <w:name w:val="annotation text"/>
    <w:basedOn w:val="Normal"/>
    <w:link w:val="CommentTextChar"/>
    <w:uiPriority w:val="99"/>
    <w:semiHidden/>
    <w:unhideWhenUsed/>
    <w:rsid w:val="00A14CFE"/>
    <w:rPr>
      <w:sz w:val="20"/>
      <w:szCs w:val="20"/>
    </w:rPr>
  </w:style>
  <w:style w:type="character" w:customStyle="1" w:styleId="CommentTextChar">
    <w:name w:val="Comment Text Char"/>
    <w:basedOn w:val="DefaultParagraphFont"/>
    <w:link w:val="CommentText"/>
    <w:uiPriority w:val="99"/>
    <w:semiHidden/>
    <w:rsid w:val="00A14CFE"/>
    <w:rPr>
      <w:sz w:val="20"/>
      <w:szCs w:val="20"/>
    </w:rPr>
  </w:style>
  <w:style w:type="paragraph" w:styleId="CommentSubject">
    <w:name w:val="annotation subject"/>
    <w:basedOn w:val="CommentText"/>
    <w:next w:val="CommentText"/>
    <w:link w:val="CommentSubjectChar"/>
    <w:uiPriority w:val="99"/>
    <w:semiHidden/>
    <w:unhideWhenUsed/>
    <w:rsid w:val="00A14CFE"/>
    <w:rPr>
      <w:b/>
      <w:bCs/>
    </w:rPr>
  </w:style>
  <w:style w:type="character" w:customStyle="1" w:styleId="CommentSubjectChar">
    <w:name w:val="Comment Subject Char"/>
    <w:basedOn w:val="CommentTextChar"/>
    <w:link w:val="CommentSubject"/>
    <w:uiPriority w:val="99"/>
    <w:semiHidden/>
    <w:rsid w:val="00A14CFE"/>
    <w:rPr>
      <w:b/>
      <w:bCs/>
      <w:sz w:val="20"/>
      <w:szCs w:val="20"/>
    </w:rPr>
  </w:style>
  <w:style w:type="paragraph" w:styleId="BalloonText">
    <w:name w:val="Balloon Text"/>
    <w:basedOn w:val="Normal"/>
    <w:link w:val="BalloonTextChar"/>
    <w:uiPriority w:val="99"/>
    <w:semiHidden/>
    <w:unhideWhenUsed/>
    <w:rsid w:val="00A14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9634">
      <w:bodyDiv w:val="1"/>
      <w:marLeft w:val="0"/>
      <w:marRight w:val="0"/>
      <w:marTop w:val="0"/>
      <w:marBottom w:val="0"/>
      <w:divBdr>
        <w:top w:val="none" w:sz="0" w:space="0" w:color="auto"/>
        <w:left w:val="none" w:sz="0" w:space="0" w:color="auto"/>
        <w:bottom w:val="none" w:sz="0" w:space="0" w:color="auto"/>
        <w:right w:val="none" w:sz="0" w:space="0" w:color="auto"/>
      </w:divBdr>
      <w:divsChild>
        <w:div w:id="1091395080">
          <w:marLeft w:val="0"/>
          <w:marRight w:val="0"/>
          <w:marTop w:val="0"/>
          <w:marBottom w:val="0"/>
          <w:divBdr>
            <w:top w:val="none" w:sz="0" w:space="0" w:color="auto"/>
            <w:left w:val="none" w:sz="0" w:space="0" w:color="auto"/>
            <w:bottom w:val="none" w:sz="0" w:space="0" w:color="auto"/>
            <w:right w:val="none" w:sz="0" w:space="0" w:color="auto"/>
          </w:divBdr>
        </w:div>
        <w:div w:id="2056275610">
          <w:marLeft w:val="0"/>
          <w:marRight w:val="0"/>
          <w:marTop w:val="0"/>
          <w:marBottom w:val="0"/>
          <w:divBdr>
            <w:top w:val="none" w:sz="0" w:space="0" w:color="auto"/>
            <w:left w:val="none" w:sz="0" w:space="0" w:color="auto"/>
            <w:bottom w:val="none" w:sz="0" w:space="0" w:color="auto"/>
            <w:right w:val="none" w:sz="0" w:space="0" w:color="auto"/>
          </w:divBdr>
        </w:div>
        <w:div w:id="785470624">
          <w:marLeft w:val="0"/>
          <w:marRight w:val="0"/>
          <w:marTop w:val="0"/>
          <w:marBottom w:val="0"/>
          <w:divBdr>
            <w:top w:val="none" w:sz="0" w:space="0" w:color="auto"/>
            <w:left w:val="none" w:sz="0" w:space="0" w:color="auto"/>
            <w:bottom w:val="none" w:sz="0" w:space="0" w:color="auto"/>
            <w:right w:val="none" w:sz="0" w:space="0" w:color="auto"/>
          </w:divBdr>
        </w:div>
        <w:div w:id="833226654">
          <w:marLeft w:val="0"/>
          <w:marRight w:val="0"/>
          <w:marTop w:val="0"/>
          <w:marBottom w:val="0"/>
          <w:divBdr>
            <w:top w:val="none" w:sz="0" w:space="0" w:color="auto"/>
            <w:left w:val="none" w:sz="0" w:space="0" w:color="auto"/>
            <w:bottom w:val="none" w:sz="0" w:space="0" w:color="auto"/>
            <w:right w:val="none" w:sz="0" w:space="0" w:color="auto"/>
          </w:divBdr>
        </w:div>
        <w:div w:id="1172988171">
          <w:marLeft w:val="0"/>
          <w:marRight w:val="0"/>
          <w:marTop w:val="0"/>
          <w:marBottom w:val="0"/>
          <w:divBdr>
            <w:top w:val="none" w:sz="0" w:space="0" w:color="auto"/>
            <w:left w:val="none" w:sz="0" w:space="0" w:color="auto"/>
            <w:bottom w:val="none" w:sz="0" w:space="0" w:color="auto"/>
            <w:right w:val="none" w:sz="0" w:space="0" w:color="auto"/>
          </w:divBdr>
        </w:div>
      </w:divsChild>
    </w:div>
    <w:div w:id="2107268752">
      <w:bodyDiv w:val="1"/>
      <w:marLeft w:val="0"/>
      <w:marRight w:val="0"/>
      <w:marTop w:val="0"/>
      <w:marBottom w:val="0"/>
      <w:divBdr>
        <w:top w:val="none" w:sz="0" w:space="0" w:color="auto"/>
        <w:left w:val="none" w:sz="0" w:space="0" w:color="auto"/>
        <w:bottom w:val="none" w:sz="0" w:space="0" w:color="auto"/>
        <w:right w:val="none" w:sz="0" w:space="0" w:color="auto"/>
      </w:divBdr>
      <w:divsChild>
        <w:div w:id="551699730">
          <w:marLeft w:val="0"/>
          <w:marRight w:val="0"/>
          <w:marTop w:val="0"/>
          <w:marBottom w:val="0"/>
          <w:divBdr>
            <w:top w:val="none" w:sz="0" w:space="0" w:color="auto"/>
            <w:left w:val="none" w:sz="0" w:space="0" w:color="auto"/>
            <w:bottom w:val="none" w:sz="0" w:space="0" w:color="auto"/>
            <w:right w:val="none" w:sz="0" w:space="0" w:color="auto"/>
          </w:divBdr>
        </w:div>
        <w:div w:id="1827083702">
          <w:marLeft w:val="0"/>
          <w:marRight w:val="0"/>
          <w:marTop w:val="0"/>
          <w:marBottom w:val="0"/>
          <w:divBdr>
            <w:top w:val="none" w:sz="0" w:space="0" w:color="auto"/>
            <w:left w:val="none" w:sz="0" w:space="0" w:color="auto"/>
            <w:bottom w:val="none" w:sz="0" w:space="0" w:color="auto"/>
            <w:right w:val="none" w:sz="0" w:space="0" w:color="auto"/>
          </w:divBdr>
        </w:div>
        <w:div w:id="15736999">
          <w:marLeft w:val="0"/>
          <w:marRight w:val="0"/>
          <w:marTop w:val="0"/>
          <w:marBottom w:val="0"/>
          <w:divBdr>
            <w:top w:val="none" w:sz="0" w:space="0" w:color="auto"/>
            <w:left w:val="none" w:sz="0" w:space="0" w:color="auto"/>
            <w:bottom w:val="none" w:sz="0" w:space="0" w:color="auto"/>
            <w:right w:val="none" w:sz="0" w:space="0" w:color="auto"/>
          </w:divBdr>
        </w:div>
        <w:div w:id="1200901972">
          <w:marLeft w:val="0"/>
          <w:marRight w:val="0"/>
          <w:marTop w:val="0"/>
          <w:marBottom w:val="0"/>
          <w:divBdr>
            <w:top w:val="none" w:sz="0" w:space="0" w:color="auto"/>
            <w:left w:val="none" w:sz="0" w:space="0" w:color="auto"/>
            <w:bottom w:val="none" w:sz="0" w:space="0" w:color="auto"/>
            <w:right w:val="none" w:sz="0" w:space="0" w:color="auto"/>
          </w:divBdr>
        </w:div>
        <w:div w:id="1839887579">
          <w:marLeft w:val="0"/>
          <w:marRight w:val="0"/>
          <w:marTop w:val="0"/>
          <w:marBottom w:val="0"/>
          <w:divBdr>
            <w:top w:val="none" w:sz="0" w:space="0" w:color="auto"/>
            <w:left w:val="none" w:sz="0" w:space="0" w:color="auto"/>
            <w:bottom w:val="none" w:sz="0" w:space="0" w:color="auto"/>
            <w:right w:val="none" w:sz="0" w:space="0" w:color="auto"/>
          </w:divBdr>
        </w:div>
        <w:div w:id="406268094">
          <w:marLeft w:val="0"/>
          <w:marRight w:val="0"/>
          <w:marTop w:val="0"/>
          <w:marBottom w:val="0"/>
          <w:divBdr>
            <w:top w:val="none" w:sz="0" w:space="0" w:color="auto"/>
            <w:left w:val="none" w:sz="0" w:space="0" w:color="auto"/>
            <w:bottom w:val="none" w:sz="0" w:space="0" w:color="auto"/>
            <w:right w:val="none" w:sz="0" w:space="0" w:color="auto"/>
          </w:divBdr>
        </w:div>
        <w:div w:id="653416057">
          <w:marLeft w:val="0"/>
          <w:marRight w:val="0"/>
          <w:marTop w:val="0"/>
          <w:marBottom w:val="0"/>
          <w:divBdr>
            <w:top w:val="none" w:sz="0" w:space="0" w:color="auto"/>
            <w:left w:val="none" w:sz="0" w:space="0" w:color="auto"/>
            <w:bottom w:val="none" w:sz="0" w:space="0" w:color="auto"/>
            <w:right w:val="none" w:sz="0" w:space="0" w:color="auto"/>
          </w:divBdr>
        </w:div>
        <w:div w:id="350880781">
          <w:marLeft w:val="0"/>
          <w:marRight w:val="0"/>
          <w:marTop w:val="0"/>
          <w:marBottom w:val="0"/>
          <w:divBdr>
            <w:top w:val="none" w:sz="0" w:space="0" w:color="auto"/>
            <w:left w:val="none" w:sz="0" w:space="0" w:color="auto"/>
            <w:bottom w:val="none" w:sz="0" w:space="0" w:color="auto"/>
            <w:right w:val="none" w:sz="0" w:space="0" w:color="auto"/>
          </w:divBdr>
        </w:div>
        <w:div w:id="1557812224">
          <w:marLeft w:val="0"/>
          <w:marRight w:val="0"/>
          <w:marTop w:val="0"/>
          <w:marBottom w:val="0"/>
          <w:divBdr>
            <w:top w:val="none" w:sz="0" w:space="0" w:color="auto"/>
            <w:left w:val="none" w:sz="0" w:space="0" w:color="auto"/>
            <w:bottom w:val="none" w:sz="0" w:space="0" w:color="auto"/>
            <w:right w:val="none" w:sz="0" w:space="0" w:color="auto"/>
          </w:divBdr>
        </w:div>
        <w:div w:id="570433879">
          <w:marLeft w:val="0"/>
          <w:marRight w:val="0"/>
          <w:marTop w:val="0"/>
          <w:marBottom w:val="0"/>
          <w:divBdr>
            <w:top w:val="none" w:sz="0" w:space="0" w:color="auto"/>
            <w:left w:val="none" w:sz="0" w:space="0" w:color="auto"/>
            <w:bottom w:val="none" w:sz="0" w:space="0" w:color="auto"/>
            <w:right w:val="none" w:sz="0" w:space="0" w:color="auto"/>
          </w:divBdr>
        </w:div>
        <w:div w:id="641081405">
          <w:marLeft w:val="0"/>
          <w:marRight w:val="0"/>
          <w:marTop w:val="0"/>
          <w:marBottom w:val="0"/>
          <w:divBdr>
            <w:top w:val="none" w:sz="0" w:space="0" w:color="auto"/>
            <w:left w:val="none" w:sz="0" w:space="0" w:color="auto"/>
            <w:bottom w:val="none" w:sz="0" w:space="0" w:color="auto"/>
            <w:right w:val="none" w:sz="0" w:space="0" w:color="auto"/>
          </w:divBdr>
        </w:div>
        <w:div w:id="1633947317">
          <w:marLeft w:val="0"/>
          <w:marRight w:val="0"/>
          <w:marTop w:val="0"/>
          <w:marBottom w:val="0"/>
          <w:divBdr>
            <w:top w:val="none" w:sz="0" w:space="0" w:color="auto"/>
            <w:left w:val="none" w:sz="0" w:space="0" w:color="auto"/>
            <w:bottom w:val="none" w:sz="0" w:space="0" w:color="auto"/>
            <w:right w:val="none" w:sz="0" w:space="0" w:color="auto"/>
          </w:divBdr>
        </w:div>
        <w:div w:id="1360934990">
          <w:marLeft w:val="0"/>
          <w:marRight w:val="0"/>
          <w:marTop w:val="0"/>
          <w:marBottom w:val="0"/>
          <w:divBdr>
            <w:top w:val="none" w:sz="0" w:space="0" w:color="auto"/>
            <w:left w:val="none" w:sz="0" w:space="0" w:color="auto"/>
            <w:bottom w:val="none" w:sz="0" w:space="0" w:color="auto"/>
            <w:right w:val="none" w:sz="0" w:space="0" w:color="auto"/>
          </w:divBdr>
        </w:div>
        <w:div w:id="714499203">
          <w:marLeft w:val="0"/>
          <w:marRight w:val="0"/>
          <w:marTop w:val="0"/>
          <w:marBottom w:val="0"/>
          <w:divBdr>
            <w:top w:val="none" w:sz="0" w:space="0" w:color="auto"/>
            <w:left w:val="none" w:sz="0" w:space="0" w:color="auto"/>
            <w:bottom w:val="none" w:sz="0" w:space="0" w:color="auto"/>
            <w:right w:val="none" w:sz="0" w:space="0" w:color="auto"/>
          </w:divBdr>
        </w:div>
        <w:div w:id="694234510">
          <w:marLeft w:val="0"/>
          <w:marRight w:val="0"/>
          <w:marTop w:val="0"/>
          <w:marBottom w:val="0"/>
          <w:divBdr>
            <w:top w:val="none" w:sz="0" w:space="0" w:color="auto"/>
            <w:left w:val="none" w:sz="0" w:space="0" w:color="auto"/>
            <w:bottom w:val="none" w:sz="0" w:space="0" w:color="auto"/>
            <w:right w:val="none" w:sz="0" w:space="0" w:color="auto"/>
          </w:divBdr>
        </w:div>
        <w:div w:id="761101160">
          <w:marLeft w:val="0"/>
          <w:marRight w:val="0"/>
          <w:marTop w:val="0"/>
          <w:marBottom w:val="0"/>
          <w:divBdr>
            <w:top w:val="none" w:sz="0" w:space="0" w:color="auto"/>
            <w:left w:val="none" w:sz="0" w:space="0" w:color="auto"/>
            <w:bottom w:val="none" w:sz="0" w:space="0" w:color="auto"/>
            <w:right w:val="none" w:sz="0" w:space="0" w:color="auto"/>
          </w:divBdr>
        </w:div>
        <w:div w:id="1906527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2019-12-08T18:30:00+00:00</Judgment_x0020_Date>
    <Year xmlns="63bdd487-88aa-4c54-b893-ddaa81ed2e7c">2019</Year>
  </documentManagement>
</p:properties>
</file>

<file path=customXml/itemProps1.xml><?xml version="1.0" encoding="utf-8"?>
<ds:datastoreItem xmlns:ds="http://schemas.openxmlformats.org/officeDocument/2006/customXml" ds:itemID="{B2769E4D-5425-46D4-AAE4-74F9FC1F641F}"/>
</file>

<file path=customXml/itemProps2.xml><?xml version="1.0" encoding="utf-8"?>
<ds:datastoreItem xmlns:ds="http://schemas.openxmlformats.org/officeDocument/2006/customXml" ds:itemID="{E06603DB-EA7A-4F34-B52A-24A65CCA5CBD}"/>
</file>

<file path=customXml/itemProps3.xml><?xml version="1.0" encoding="utf-8"?>
<ds:datastoreItem xmlns:ds="http://schemas.openxmlformats.org/officeDocument/2006/customXml" ds:itemID="{F4961AC0-9951-47A4-BC38-0A50F7A52D42}"/>
</file>

<file path=customXml/itemProps4.xml><?xml version="1.0" encoding="utf-8"?>
<ds:datastoreItem xmlns:ds="http://schemas.openxmlformats.org/officeDocument/2006/customXml" ds:itemID="{92012563-BAC6-498F-9DBE-31FA8E35BA14}"/>
</file>

<file path=docProps/app.xml><?xml version="1.0" encoding="utf-8"?>
<Properties xmlns="http://schemas.openxmlformats.org/officeDocument/2006/extended-properties" xmlns:vt="http://schemas.openxmlformats.org/officeDocument/2006/docPropsVTypes">
  <Template>Normal</Template>
  <TotalTime>1</TotalTime>
  <Pages>42</Pages>
  <Words>9980</Words>
  <Characters>56890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Hollard Insurance Company of Namibia Limited</dc:title>
  <dc:subject/>
  <dc:creator>Microsoft Office User</dc:creator>
  <cp:keywords/>
  <dc:description/>
  <cp:lastModifiedBy>Nicole Januarie</cp:lastModifiedBy>
  <cp:revision>2</cp:revision>
  <cp:lastPrinted>2019-12-06T11:21:00Z</cp:lastPrinted>
  <dcterms:created xsi:type="dcterms:W3CDTF">2019-12-12T09:31:00Z</dcterms:created>
  <dcterms:modified xsi:type="dcterms:W3CDTF">2019-12-12T09:31:00Z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