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B441" w14:textId="77777777" w:rsidR="008C3367" w:rsidRPr="001C25CA" w:rsidRDefault="00D76EC6" w:rsidP="008C3367">
      <w:pPr>
        <w:keepNext/>
        <w:spacing w:line="360" w:lineRule="auto"/>
        <w:jc w:val="center"/>
        <w:outlineLvl w:val="0"/>
        <w:rPr>
          <w:rFonts w:ascii="Arial" w:hAnsi="Arial" w:cs="Arial"/>
          <w:b/>
          <w:bCs/>
          <w:sz w:val="24"/>
          <w:szCs w:val="24"/>
        </w:rPr>
      </w:pPr>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58F1B0FA" wp14:editId="4B1F4CA6">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14:paraId="37BBED97" w14:textId="77777777" w:rsidR="008C3367" w:rsidRPr="001C25CA" w:rsidRDefault="00BA17FA"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1C25CA">
        <w:rPr>
          <w:rFonts w:ascii="Arial" w:hAnsi="Arial" w:cs="Arial"/>
          <w:b/>
          <w:sz w:val="24"/>
          <w:szCs w:val="24"/>
        </w:rPr>
        <w:t>REPORTABLE</w:t>
      </w:r>
    </w:p>
    <w:p w14:paraId="3F969ABD" w14:textId="77777777"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DF0D25">
        <w:rPr>
          <w:rFonts w:ascii="Arial" w:hAnsi="Arial" w:cs="Arial"/>
          <w:sz w:val="24"/>
          <w:szCs w:val="24"/>
        </w:rPr>
        <w:t>11</w:t>
      </w:r>
      <w:r w:rsidRPr="001C25CA">
        <w:rPr>
          <w:rFonts w:ascii="Arial" w:hAnsi="Arial" w:cs="Arial"/>
          <w:sz w:val="24"/>
          <w:szCs w:val="24"/>
        </w:rPr>
        <w:t>/201</w:t>
      </w:r>
      <w:r w:rsidR="00D76EC6">
        <w:rPr>
          <w:rFonts w:ascii="Arial" w:hAnsi="Arial" w:cs="Arial"/>
          <w:sz w:val="24"/>
          <w:szCs w:val="24"/>
        </w:rPr>
        <w:t>7</w:t>
      </w:r>
    </w:p>
    <w:p w14:paraId="0FBB192F" w14:textId="77777777" w:rsidR="008C3367" w:rsidRPr="001C25CA" w:rsidRDefault="008C3367" w:rsidP="008C3367">
      <w:pPr>
        <w:spacing w:line="240" w:lineRule="auto"/>
        <w:ind w:left="-142"/>
        <w:jc w:val="both"/>
        <w:rPr>
          <w:rFonts w:ascii="Arial" w:hAnsi="Arial" w:cs="Arial"/>
          <w:b/>
          <w:sz w:val="24"/>
          <w:szCs w:val="24"/>
        </w:rPr>
      </w:pPr>
    </w:p>
    <w:p w14:paraId="17C1CF5B" w14:textId="77777777"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14:paraId="013CA124" w14:textId="77777777" w:rsidR="008C3367" w:rsidRPr="001C25CA" w:rsidRDefault="008C3367" w:rsidP="00B40CD3">
      <w:pPr>
        <w:spacing w:line="240" w:lineRule="auto"/>
        <w:jc w:val="both"/>
        <w:rPr>
          <w:rFonts w:ascii="Arial" w:hAnsi="Arial" w:cs="Arial"/>
          <w:sz w:val="24"/>
          <w:szCs w:val="24"/>
        </w:rPr>
      </w:pPr>
    </w:p>
    <w:p w14:paraId="0DFE95B5" w14:textId="77777777"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14:paraId="7AC1F9FF" w14:textId="77777777" w:rsidR="00DF0D25" w:rsidRPr="001C25CA" w:rsidRDefault="00DF0D25"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14:paraId="70970676" w14:textId="77777777" w:rsidTr="00B40CD3">
        <w:tc>
          <w:tcPr>
            <w:tcW w:w="6204" w:type="dxa"/>
            <w:shd w:val="clear" w:color="auto" w:fill="auto"/>
          </w:tcPr>
          <w:p w14:paraId="7EA0AEA5" w14:textId="77777777" w:rsidR="002212AD" w:rsidRPr="001C25CA" w:rsidRDefault="00DF0D25" w:rsidP="00B40CD3">
            <w:pPr>
              <w:spacing w:line="240" w:lineRule="auto"/>
              <w:jc w:val="both"/>
              <w:rPr>
                <w:rFonts w:ascii="Arial" w:hAnsi="Arial" w:cs="Arial"/>
                <w:b/>
                <w:sz w:val="24"/>
                <w:szCs w:val="24"/>
              </w:rPr>
            </w:pPr>
            <w:r>
              <w:rPr>
                <w:rFonts w:ascii="Arial" w:hAnsi="Arial" w:cs="Arial"/>
                <w:b/>
                <w:sz w:val="24"/>
                <w:szCs w:val="24"/>
              </w:rPr>
              <w:t>RADIAL TRUSS INDUSTRIES (PTY) LTD</w:t>
            </w:r>
          </w:p>
        </w:tc>
        <w:tc>
          <w:tcPr>
            <w:tcW w:w="3011" w:type="dxa"/>
            <w:shd w:val="clear" w:color="auto" w:fill="auto"/>
          </w:tcPr>
          <w:p w14:paraId="7558F409" w14:textId="77777777" w:rsidR="008C3367" w:rsidRPr="001C25CA" w:rsidRDefault="008C3367" w:rsidP="00B40CD3">
            <w:pPr>
              <w:spacing w:line="240" w:lineRule="auto"/>
              <w:jc w:val="right"/>
              <w:rPr>
                <w:rFonts w:ascii="Arial" w:hAnsi="Arial" w:cs="Arial"/>
                <w:b/>
                <w:sz w:val="24"/>
                <w:szCs w:val="24"/>
              </w:rPr>
            </w:pPr>
            <w:r w:rsidRPr="001C25CA">
              <w:rPr>
                <w:rFonts w:ascii="Arial" w:hAnsi="Arial" w:cs="Arial"/>
                <w:b/>
                <w:sz w:val="24"/>
                <w:szCs w:val="24"/>
              </w:rPr>
              <w:t>Appellant</w:t>
            </w:r>
          </w:p>
        </w:tc>
      </w:tr>
      <w:tr w:rsidR="008C3367" w:rsidRPr="001C25CA" w14:paraId="0FF09923" w14:textId="77777777" w:rsidTr="00B40CD3">
        <w:tc>
          <w:tcPr>
            <w:tcW w:w="6204" w:type="dxa"/>
            <w:shd w:val="clear" w:color="auto" w:fill="auto"/>
          </w:tcPr>
          <w:p w14:paraId="6CDFCD2F" w14:textId="77777777"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14:paraId="60CF68B4" w14:textId="77777777" w:rsidR="008C3367" w:rsidRPr="001C25CA" w:rsidRDefault="008C3367" w:rsidP="00B40CD3">
            <w:pPr>
              <w:spacing w:line="240" w:lineRule="auto"/>
              <w:jc w:val="right"/>
              <w:rPr>
                <w:rFonts w:ascii="Arial" w:hAnsi="Arial" w:cs="Arial"/>
                <w:b/>
                <w:sz w:val="24"/>
                <w:szCs w:val="24"/>
              </w:rPr>
            </w:pPr>
          </w:p>
        </w:tc>
      </w:tr>
      <w:tr w:rsidR="008C3367" w:rsidRPr="001C25CA" w14:paraId="786E9612" w14:textId="77777777" w:rsidTr="00B40CD3">
        <w:tc>
          <w:tcPr>
            <w:tcW w:w="6204" w:type="dxa"/>
            <w:shd w:val="clear" w:color="auto" w:fill="auto"/>
          </w:tcPr>
          <w:p w14:paraId="1C2F7BBB" w14:textId="77777777"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14:paraId="64AA6842" w14:textId="77777777" w:rsidR="008C3367" w:rsidRPr="001C25CA" w:rsidRDefault="008C3367" w:rsidP="00B40CD3">
            <w:pPr>
              <w:spacing w:line="240" w:lineRule="auto"/>
              <w:jc w:val="both"/>
              <w:rPr>
                <w:rFonts w:ascii="Arial" w:hAnsi="Arial" w:cs="Arial"/>
                <w:b/>
                <w:sz w:val="24"/>
                <w:szCs w:val="24"/>
              </w:rPr>
            </w:pPr>
          </w:p>
        </w:tc>
      </w:tr>
      <w:tr w:rsidR="008C3367" w:rsidRPr="001C25CA" w14:paraId="6BD6FC8D" w14:textId="77777777" w:rsidTr="00B40CD3">
        <w:tc>
          <w:tcPr>
            <w:tcW w:w="6204" w:type="dxa"/>
            <w:shd w:val="clear" w:color="auto" w:fill="auto"/>
          </w:tcPr>
          <w:p w14:paraId="45803889" w14:textId="77777777"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14:paraId="6305AD52" w14:textId="77777777" w:rsidR="008C3367" w:rsidRPr="001C25CA" w:rsidRDefault="008C3367" w:rsidP="00B40CD3">
            <w:pPr>
              <w:spacing w:line="240" w:lineRule="auto"/>
              <w:jc w:val="both"/>
              <w:rPr>
                <w:rFonts w:ascii="Arial" w:hAnsi="Arial" w:cs="Arial"/>
                <w:b/>
                <w:sz w:val="24"/>
                <w:szCs w:val="24"/>
              </w:rPr>
            </w:pPr>
          </w:p>
        </w:tc>
      </w:tr>
      <w:tr w:rsidR="008C3367" w:rsidRPr="001C25CA" w14:paraId="2827826A" w14:textId="77777777" w:rsidTr="00B40CD3">
        <w:tc>
          <w:tcPr>
            <w:tcW w:w="6204" w:type="dxa"/>
            <w:shd w:val="clear" w:color="auto" w:fill="auto"/>
          </w:tcPr>
          <w:p w14:paraId="31A39E4A" w14:textId="77777777" w:rsidR="008C3367" w:rsidRPr="001C25CA" w:rsidRDefault="00DF0D25" w:rsidP="00B40CD3">
            <w:pPr>
              <w:spacing w:line="240" w:lineRule="auto"/>
              <w:jc w:val="both"/>
              <w:rPr>
                <w:rFonts w:ascii="Arial" w:hAnsi="Arial" w:cs="Arial"/>
                <w:b/>
                <w:sz w:val="24"/>
                <w:szCs w:val="24"/>
              </w:rPr>
            </w:pPr>
            <w:r>
              <w:rPr>
                <w:rFonts w:ascii="Arial" w:hAnsi="Arial" w:cs="Arial"/>
                <w:b/>
                <w:sz w:val="24"/>
                <w:szCs w:val="24"/>
              </w:rPr>
              <w:t>AQUATAN (PTY) LTD</w:t>
            </w:r>
          </w:p>
        </w:tc>
        <w:tc>
          <w:tcPr>
            <w:tcW w:w="3011" w:type="dxa"/>
            <w:shd w:val="clear" w:color="auto" w:fill="auto"/>
          </w:tcPr>
          <w:p w14:paraId="6CFC5A77" w14:textId="77777777" w:rsidR="00584213" w:rsidRPr="001C25CA" w:rsidRDefault="00584213" w:rsidP="00B40CD3">
            <w:pPr>
              <w:spacing w:line="240" w:lineRule="auto"/>
              <w:jc w:val="right"/>
              <w:rPr>
                <w:rFonts w:ascii="Arial" w:hAnsi="Arial" w:cs="Arial"/>
                <w:b/>
                <w:sz w:val="24"/>
                <w:szCs w:val="24"/>
              </w:rPr>
            </w:pPr>
            <w:r w:rsidRPr="001C25CA">
              <w:rPr>
                <w:rFonts w:ascii="Arial" w:hAnsi="Arial" w:cs="Arial"/>
                <w:b/>
                <w:sz w:val="24"/>
                <w:szCs w:val="24"/>
              </w:rPr>
              <w:t>Respondent</w:t>
            </w:r>
          </w:p>
        </w:tc>
      </w:tr>
    </w:tbl>
    <w:p w14:paraId="0EC2E7AA" w14:textId="77777777" w:rsidR="00DF0D25" w:rsidRDefault="00DF0D25" w:rsidP="00B40CD3">
      <w:pPr>
        <w:spacing w:line="240" w:lineRule="auto"/>
        <w:ind w:left="-142" w:firstLine="142"/>
        <w:jc w:val="both"/>
        <w:rPr>
          <w:rFonts w:ascii="Arial" w:hAnsi="Arial" w:cs="Arial"/>
          <w:b/>
          <w:sz w:val="24"/>
          <w:szCs w:val="24"/>
        </w:rPr>
      </w:pPr>
    </w:p>
    <w:p w14:paraId="663E1F5A" w14:textId="77777777" w:rsidR="00DF0D25" w:rsidRDefault="00DF0D25" w:rsidP="00B40CD3">
      <w:pPr>
        <w:spacing w:line="240" w:lineRule="auto"/>
        <w:ind w:left="-142" w:firstLine="142"/>
        <w:jc w:val="both"/>
        <w:rPr>
          <w:rFonts w:ascii="Arial" w:hAnsi="Arial" w:cs="Arial"/>
          <w:b/>
          <w:sz w:val="24"/>
          <w:szCs w:val="24"/>
        </w:rPr>
      </w:pPr>
    </w:p>
    <w:p w14:paraId="78459B2E" w14:textId="77777777"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DF0D25">
        <w:rPr>
          <w:rFonts w:ascii="Arial" w:hAnsi="Arial" w:cs="Arial"/>
          <w:sz w:val="24"/>
          <w:szCs w:val="24"/>
        </w:rPr>
        <w:t>SHIVUTE CJ</w:t>
      </w:r>
      <w:r w:rsidRPr="001C25CA">
        <w:rPr>
          <w:rFonts w:ascii="Arial" w:hAnsi="Arial" w:cs="Arial"/>
          <w:sz w:val="24"/>
          <w:szCs w:val="24"/>
        </w:rPr>
        <w:t>, SMUTS JA</w:t>
      </w:r>
      <w:r w:rsidR="009C70E6" w:rsidRPr="001C25CA">
        <w:rPr>
          <w:rFonts w:ascii="Arial" w:hAnsi="Arial" w:cs="Arial"/>
          <w:sz w:val="24"/>
          <w:szCs w:val="24"/>
        </w:rPr>
        <w:t xml:space="preserve"> and </w:t>
      </w:r>
      <w:r w:rsidR="00DF0D25">
        <w:rPr>
          <w:rFonts w:ascii="Arial" w:hAnsi="Arial" w:cs="Arial"/>
          <w:sz w:val="24"/>
          <w:szCs w:val="24"/>
        </w:rPr>
        <w:t>NKABINDE</w:t>
      </w:r>
      <w:r w:rsidR="009C70E6" w:rsidRPr="001C25CA">
        <w:rPr>
          <w:rFonts w:ascii="Arial" w:hAnsi="Arial" w:cs="Arial"/>
          <w:sz w:val="24"/>
          <w:szCs w:val="24"/>
        </w:rPr>
        <w:t xml:space="preserve"> </w:t>
      </w:r>
      <w:r w:rsidR="00DF0D25">
        <w:rPr>
          <w:rFonts w:ascii="Arial" w:hAnsi="Arial" w:cs="Arial"/>
          <w:sz w:val="24"/>
          <w:szCs w:val="24"/>
        </w:rPr>
        <w:t>A</w:t>
      </w:r>
      <w:r w:rsidR="009C70E6" w:rsidRPr="001C25CA">
        <w:rPr>
          <w:rFonts w:ascii="Arial" w:hAnsi="Arial" w:cs="Arial"/>
          <w:sz w:val="24"/>
          <w:szCs w:val="24"/>
        </w:rPr>
        <w:t>JA</w:t>
      </w:r>
    </w:p>
    <w:p w14:paraId="215F2B99" w14:textId="77777777"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DF0D25">
        <w:rPr>
          <w:rFonts w:ascii="Arial" w:hAnsi="Arial" w:cs="Arial"/>
          <w:b/>
          <w:sz w:val="24"/>
          <w:szCs w:val="24"/>
        </w:rPr>
        <w:t>1</w:t>
      </w:r>
      <w:r w:rsidR="00513468">
        <w:rPr>
          <w:rFonts w:ascii="Arial" w:hAnsi="Arial" w:cs="Arial"/>
          <w:b/>
          <w:sz w:val="24"/>
          <w:szCs w:val="24"/>
        </w:rPr>
        <w:t xml:space="preserve">9 </w:t>
      </w:r>
      <w:r w:rsidR="00F70927">
        <w:rPr>
          <w:rFonts w:ascii="Arial" w:hAnsi="Arial" w:cs="Arial"/>
          <w:b/>
          <w:sz w:val="24"/>
          <w:szCs w:val="24"/>
        </w:rPr>
        <w:t>March</w:t>
      </w:r>
      <w:r w:rsidR="00DF0D25">
        <w:rPr>
          <w:rFonts w:ascii="Arial" w:hAnsi="Arial" w:cs="Arial"/>
          <w:b/>
          <w:sz w:val="24"/>
          <w:szCs w:val="24"/>
        </w:rPr>
        <w:t xml:space="preserve"> 2019</w:t>
      </w:r>
    </w:p>
    <w:p w14:paraId="5B185809" w14:textId="6A18B491"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CE5DBD">
        <w:rPr>
          <w:rFonts w:ascii="Arial" w:hAnsi="Arial" w:cs="Arial"/>
          <w:b/>
          <w:sz w:val="24"/>
          <w:szCs w:val="24"/>
        </w:rPr>
        <w:t>10 April</w:t>
      </w:r>
      <w:r w:rsidR="00F70927">
        <w:rPr>
          <w:rFonts w:ascii="Arial" w:hAnsi="Arial" w:cs="Arial"/>
          <w:b/>
          <w:sz w:val="24"/>
          <w:szCs w:val="24"/>
        </w:rPr>
        <w:t xml:space="preserve"> </w:t>
      </w:r>
      <w:r w:rsidR="00DF0D25">
        <w:rPr>
          <w:rFonts w:ascii="Arial" w:hAnsi="Arial" w:cs="Arial"/>
          <w:b/>
          <w:sz w:val="24"/>
          <w:szCs w:val="24"/>
        </w:rPr>
        <w:t>2019</w:t>
      </w:r>
    </w:p>
    <w:p w14:paraId="4FF627BC" w14:textId="77777777" w:rsidR="009D0845" w:rsidRDefault="009D0845" w:rsidP="00501FF6">
      <w:pPr>
        <w:spacing w:after="0" w:line="360" w:lineRule="auto"/>
        <w:jc w:val="both"/>
        <w:rPr>
          <w:rFonts w:ascii="Arial" w:hAnsi="Arial" w:cs="Arial"/>
          <w:b/>
          <w:sz w:val="24"/>
          <w:szCs w:val="24"/>
          <w:lang w:val="en-GB"/>
        </w:rPr>
      </w:pPr>
    </w:p>
    <w:p w14:paraId="315F48AA" w14:textId="77777777" w:rsidR="00941B17" w:rsidRDefault="00941B17" w:rsidP="00501FF6">
      <w:pPr>
        <w:spacing w:after="0" w:line="360" w:lineRule="auto"/>
        <w:jc w:val="both"/>
        <w:rPr>
          <w:rFonts w:ascii="Arial" w:hAnsi="Arial" w:cs="Arial"/>
          <w:b/>
          <w:sz w:val="24"/>
          <w:szCs w:val="24"/>
          <w:lang w:val="en-GB"/>
        </w:rPr>
      </w:pPr>
    </w:p>
    <w:p w14:paraId="2F7374C8" w14:textId="29261B01" w:rsidR="00941B17" w:rsidRDefault="008C3367" w:rsidP="00941B17">
      <w:pPr>
        <w:spacing w:after="0" w:line="480" w:lineRule="auto"/>
        <w:jc w:val="both"/>
        <w:rPr>
          <w:rFonts w:ascii="Arial" w:hAnsi="Arial" w:cs="Arial"/>
          <w:sz w:val="24"/>
          <w:szCs w:val="24"/>
        </w:rPr>
      </w:pPr>
      <w:r w:rsidRPr="00C92CA9">
        <w:rPr>
          <w:rFonts w:ascii="Arial" w:hAnsi="Arial" w:cs="Arial"/>
          <w:b/>
          <w:sz w:val="24"/>
          <w:szCs w:val="24"/>
          <w:lang w:val="en-GB"/>
        </w:rPr>
        <w:t>Summary:</w:t>
      </w:r>
      <w:r w:rsidR="00721889" w:rsidRPr="00C92CA9">
        <w:rPr>
          <w:rFonts w:ascii="Arial" w:hAnsi="Arial" w:cs="Arial"/>
          <w:b/>
          <w:sz w:val="24"/>
          <w:szCs w:val="24"/>
          <w:lang w:val="en-GB"/>
        </w:rPr>
        <w:tab/>
      </w:r>
      <w:r w:rsidR="00941B17" w:rsidRPr="00A8782A">
        <w:rPr>
          <w:rFonts w:ascii="Arial" w:hAnsi="Arial" w:cs="Arial"/>
          <w:sz w:val="24"/>
          <w:szCs w:val="24"/>
        </w:rPr>
        <w:t xml:space="preserve">This appeal arises from a summary judgment granted by the court </w:t>
      </w:r>
      <w:r w:rsidR="00941B17" w:rsidRPr="00A8782A">
        <w:rPr>
          <w:rFonts w:ascii="Arial" w:hAnsi="Arial" w:cs="Arial"/>
          <w:i/>
          <w:sz w:val="24"/>
          <w:szCs w:val="24"/>
        </w:rPr>
        <w:t>a quo</w:t>
      </w:r>
      <w:r w:rsidR="00FD46DA">
        <w:rPr>
          <w:rFonts w:ascii="Arial" w:hAnsi="Arial" w:cs="Arial"/>
          <w:i/>
          <w:sz w:val="24"/>
          <w:szCs w:val="24"/>
        </w:rPr>
        <w:t>.</w:t>
      </w:r>
      <w:r w:rsidR="00941B17" w:rsidRPr="00A8782A">
        <w:rPr>
          <w:rFonts w:ascii="Arial" w:hAnsi="Arial" w:cs="Arial"/>
          <w:sz w:val="24"/>
          <w:szCs w:val="24"/>
        </w:rPr>
        <w:t xml:space="preserve"> </w:t>
      </w:r>
      <w:r w:rsidR="00FD46DA">
        <w:rPr>
          <w:rFonts w:ascii="Arial" w:hAnsi="Arial" w:cs="Arial"/>
          <w:sz w:val="24"/>
          <w:szCs w:val="24"/>
        </w:rPr>
        <w:t>T</w:t>
      </w:r>
      <w:r w:rsidR="00941B17" w:rsidRPr="00A8782A">
        <w:rPr>
          <w:rFonts w:ascii="Arial" w:hAnsi="Arial" w:cs="Arial"/>
          <w:sz w:val="24"/>
          <w:szCs w:val="24"/>
        </w:rPr>
        <w:t>he issue</w:t>
      </w:r>
      <w:r w:rsidR="000A7B29">
        <w:rPr>
          <w:rFonts w:ascii="Arial" w:hAnsi="Arial" w:cs="Arial"/>
          <w:sz w:val="24"/>
          <w:szCs w:val="24"/>
        </w:rPr>
        <w:t xml:space="preserve"> on appeal</w:t>
      </w:r>
      <w:r w:rsidR="00941B17" w:rsidRPr="00A8782A">
        <w:rPr>
          <w:rFonts w:ascii="Arial" w:hAnsi="Arial" w:cs="Arial"/>
          <w:sz w:val="24"/>
          <w:szCs w:val="24"/>
        </w:rPr>
        <w:t xml:space="preserve"> is whether the appellant as defendant </w:t>
      </w:r>
      <w:r w:rsidR="00941B17" w:rsidRPr="00A8782A">
        <w:rPr>
          <w:rFonts w:ascii="Arial" w:hAnsi="Arial" w:cs="Arial"/>
          <w:i/>
          <w:sz w:val="24"/>
          <w:szCs w:val="24"/>
        </w:rPr>
        <w:t>a quo</w:t>
      </w:r>
      <w:r w:rsidR="00941B17" w:rsidRPr="00A8782A">
        <w:rPr>
          <w:rFonts w:ascii="Arial" w:hAnsi="Arial" w:cs="Arial"/>
          <w:sz w:val="24"/>
          <w:szCs w:val="24"/>
        </w:rPr>
        <w:t xml:space="preserve"> met the requisites of rule 60(5) of the rules of the High Court to resist an application for summary </w:t>
      </w:r>
      <w:r w:rsidR="00625F56" w:rsidRPr="00625F56">
        <w:rPr>
          <w:rFonts w:ascii="Arial" w:hAnsi="Arial" w:cs="Arial"/>
          <w:sz w:val="24"/>
          <w:szCs w:val="24"/>
        </w:rPr>
        <w:t>judgment</w:t>
      </w:r>
      <w:r w:rsidR="00941B17" w:rsidRPr="00A8782A">
        <w:rPr>
          <w:rFonts w:ascii="Arial" w:hAnsi="Arial" w:cs="Arial"/>
          <w:sz w:val="24"/>
          <w:szCs w:val="24"/>
        </w:rPr>
        <w:t xml:space="preserve"> in that it satisfied the High Court that it had a </w:t>
      </w:r>
      <w:r w:rsidR="00941B17" w:rsidRPr="007B1C19">
        <w:rPr>
          <w:rFonts w:ascii="Arial" w:hAnsi="Arial" w:cs="Arial"/>
          <w:i/>
          <w:sz w:val="24"/>
          <w:szCs w:val="24"/>
        </w:rPr>
        <w:t>bona fide</w:t>
      </w:r>
      <w:r w:rsidR="00941B17" w:rsidRPr="00AD2683">
        <w:rPr>
          <w:rFonts w:ascii="Arial" w:hAnsi="Arial" w:cs="Arial"/>
          <w:sz w:val="24"/>
          <w:szCs w:val="24"/>
        </w:rPr>
        <w:t xml:space="preserve"> </w:t>
      </w:r>
      <w:r w:rsidR="00941B17" w:rsidRPr="00A8782A">
        <w:rPr>
          <w:rFonts w:ascii="Arial" w:hAnsi="Arial" w:cs="Arial"/>
          <w:sz w:val="24"/>
          <w:szCs w:val="24"/>
        </w:rPr>
        <w:t>defence to the respondent’s action by disclosing fully the nature and grounds of the defence and the material facts relied upon.</w:t>
      </w:r>
    </w:p>
    <w:p w14:paraId="7B53DA05" w14:textId="77777777" w:rsidR="00941B17" w:rsidRPr="00A8782A" w:rsidRDefault="00941B17" w:rsidP="00941B17">
      <w:pPr>
        <w:spacing w:after="0" w:line="480" w:lineRule="auto"/>
        <w:jc w:val="both"/>
        <w:rPr>
          <w:rFonts w:ascii="Arial" w:hAnsi="Arial" w:cs="Arial"/>
          <w:sz w:val="24"/>
          <w:szCs w:val="24"/>
        </w:rPr>
      </w:pPr>
    </w:p>
    <w:p w14:paraId="5ADFE8F3" w14:textId="35E6BD12" w:rsidR="00941B17" w:rsidRDefault="00941B17" w:rsidP="00941B17">
      <w:pPr>
        <w:spacing w:after="0" w:line="480" w:lineRule="auto"/>
        <w:jc w:val="both"/>
        <w:rPr>
          <w:rFonts w:ascii="Arial" w:hAnsi="Arial" w:cs="Arial"/>
          <w:sz w:val="24"/>
          <w:szCs w:val="24"/>
        </w:rPr>
      </w:pPr>
      <w:r w:rsidRPr="00A8782A">
        <w:rPr>
          <w:rFonts w:ascii="Arial" w:hAnsi="Arial" w:cs="Arial"/>
          <w:sz w:val="24"/>
          <w:szCs w:val="24"/>
        </w:rPr>
        <w:t xml:space="preserve">The court </w:t>
      </w:r>
      <w:r w:rsidRPr="00A8782A">
        <w:rPr>
          <w:rFonts w:ascii="Arial" w:hAnsi="Arial" w:cs="Arial"/>
          <w:i/>
          <w:sz w:val="24"/>
          <w:szCs w:val="24"/>
        </w:rPr>
        <w:t>a quo</w:t>
      </w:r>
      <w:r w:rsidRPr="00A8782A">
        <w:rPr>
          <w:rFonts w:ascii="Arial" w:hAnsi="Arial" w:cs="Arial"/>
          <w:sz w:val="24"/>
          <w:szCs w:val="24"/>
        </w:rPr>
        <w:t xml:space="preserve"> found that the appellant did not meet the standard of disclosure required to resist the summary judgment application. </w:t>
      </w:r>
      <w:r w:rsidR="00AD2683">
        <w:rPr>
          <w:rFonts w:ascii="Arial" w:hAnsi="Arial" w:cs="Arial"/>
          <w:sz w:val="24"/>
          <w:szCs w:val="24"/>
        </w:rPr>
        <w:t xml:space="preserve">It </w:t>
      </w:r>
      <w:r w:rsidRPr="00A8782A">
        <w:rPr>
          <w:rFonts w:ascii="Arial" w:hAnsi="Arial" w:cs="Arial"/>
          <w:sz w:val="24"/>
          <w:szCs w:val="24"/>
        </w:rPr>
        <w:t xml:space="preserve">refused to allow </w:t>
      </w:r>
      <w:r w:rsidR="00AD2683">
        <w:rPr>
          <w:rFonts w:ascii="Arial" w:hAnsi="Arial" w:cs="Arial"/>
          <w:sz w:val="24"/>
          <w:szCs w:val="24"/>
        </w:rPr>
        <w:t xml:space="preserve">the </w:t>
      </w:r>
      <w:r w:rsidRPr="00A8782A">
        <w:rPr>
          <w:rFonts w:ascii="Arial" w:hAnsi="Arial" w:cs="Arial"/>
          <w:sz w:val="24"/>
          <w:szCs w:val="24"/>
        </w:rPr>
        <w:t xml:space="preserve">appellant to adduce factual evidence from the </w:t>
      </w:r>
      <w:r w:rsidR="003A7794">
        <w:rPr>
          <w:rFonts w:ascii="Arial" w:hAnsi="Arial" w:cs="Arial"/>
          <w:sz w:val="24"/>
          <w:szCs w:val="24"/>
        </w:rPr>
        <w:t>B</w:t>
      </w:r>
      <w:r w:rsidRPr="00A8782A">
        <w:rPr>
          <w:rFonts w:ascii="Arial" w:hAnsi="Arial" w:cs="Arial"/>
          <w:sz w:val="24"/>
          <w:szCs w:val="24"/>
        </w:rPr>
        <w:t xml:space="preserve">ar and </w:t>
      </w:r>
      <w:r>
        <w:rPr>
          <w:rFonts w:ascii="Arial" w:hAnsi="Arial" w:cs="Arial"/>
          <w:sz w:val="24"/>
          <w:szCs w:val="24"/>
        </w:rPr>
        <w:t>that</w:t>
      </w:r>
      <w:r w:rsidR="00AD2683">
        <w:rPr>
          <w:rFonts w:ascii="Arial" w:hAnsi="Arial" w:cs="Arial"/>
          <w:sz w:val="24"/>
          <w:szCs w:val="24"/>
        </w:rPr>
        <w:t xml:space="preserve"> the</w:t>
      </w:r>
      <w:r>
        <w:rPr>
          <w:rFonts w:ascii="Arial" w:hAnsi="Arial" w:cs="Arial"/>
          <w:sz w:val="24"/>
          <w:szCs w:val="24"/>
        </w:rPr>
        <w:t xml:space="preserve"> appellant</w:t>
      </w:r>
      <w:r w:rsidRPr="00A8782A">
        <w:rPr>
          <w:rFonts w:ascii="Arial" w:hAnsi="Arial" w:cs="Arial"/>
          <w:sz w:val="24"/>
          <w:szCs w:val="24"/>
        </w:rPr>
        <w:t xml:space="preserve"> was confined to its opposing affidavit.</w:t>
      </w:r>
    </w:p>
    <w:p w14:paraId="5AF8AB49" w14:textId="77777777" w:rsidR="00941B17" w:rsidRPr="00A8782A" w:rsidRDefault="00941B17" w:rsidP="00941B17">
      <w:pPr>
        <w:spacing w:after="0" w:line="480" w:lineRule="auto"/>
        <w:jc w:val="both"/>
        <w:rPr>
          <w:rFonts w:ascii="Arial" w:hAnsi="Arial" w:cs="Arial"/>
          <w:sz w:val="24"/>
          <w:szCs w:val="24"/>
        </w:rPr>
      </w:pPr>
    </w:p>
    <w:p w14:paraId="10CFF6C6" w14:textId="77777777" w:rsidR="00941B17" w:rsidRPr="00A8782A" w:rsidRDefault="00FD46DA" w:rsidP="00941B17">
      <w:pPr>
        <w:spacing w:after="0" w:line="480" w:lineRule="auto"/>
        <w:jc w:val="both"/>
        <w:rPr>
          <w:rFonts w:ascii="Arial" w:hAnsi="Arial" w:cs="Arial"/>
          <w:sz w:val="24"/>
          <w:szCs w:val="24"/>
        </w:rPr>
      </w:pPr>
      <w:r>
        <w:rPr>
          <w:rFonts w:ascii="Arial" w:hAnsi="Arial" w:cs="Arial"/>
          <w:sz w:val="24"/>
          <w:szCs w:val="24"/>
        </w:rPr>
        <w:t>Applying</w:t>
      </w:r>
      <w:r w:rsidR="00941B17" w:rsidRPr="00A8782A">
        <w:rPr>
          <w:rFonts w:ascii="Arial" w:hAnsi="Arial" w:cs="Arial"/>
          <w:sz w:val="24"/>
          <w:szCs w:val="24"/>
        </w:rPr>
        <w:t xml:space="preserve"> </w:t>
      </w:r>
      <w:r w:rsidR="00941B17" w:rsidRPr="00A8782A">
        <w:rPr>
          <w:rFonts w:ascii="Arial" w:hAnsi="Arial" w:cs="Arial"/>
          <w:i/>
          <w:sz w:val="24"/>
          <w:szCs w:val="24"/>
        </w:rPr>
        <w:t>Maharaj</w:t>
      </w:r>
      <w:r w:rsidR="00941B17" w:rsidRPr="00A8782A">
        <w:rPr>
          <w:rFonts w:ascii="Arial" w:hAnsi="Arial" w:cs="Arial"/>
          <w:sz w:val="24"/>
          <w:szCs w:val="24"/>
        </w:rPr>
        <w:t xml:space="preserve"> v </w:t>
      </w:r>
      <w:r w:rsidR="00941B17" w:rsidRPr="00A8782A">
        <w:rPr>
          <w:rFonts w:ascii="Arial" w:hAnsi="Arial" w:cs="Arial"/>
          <w:i/>
          <w:sz w:val="24"/>
          <w:szCs w:val="24"/>
        </w:rPr>
        <w:t>Barclays National Bank Ltd</w:t>
      </w:r>
      <w:r>
        <w:rPr>
          <w:rFonts w:ascii="Arial" w:hAnsi="Arial" w:cs="Arial"/>
          <w:i/>
          <w:sz w:val="24"/>
          <w:szCs w:val="24"/>
        </w:rPr>
        <w:t>,</w:t>
      </w:r>
      <w:r w:rsidR="00941B17" w:rsidRPr="00A8782A">
        <w:rPr>
          <w:rFonts w:ascii="Arial" w:hAnsi="Arial" w:cs="Arial"/>
          <w:i/>
          <w:sz w:val="24"/>
          <w:szCs w:val="24"/>
        </w:rPr>
        <w:t xml:space="preserve"> </w:t>
      </w:r>
      <w:r>
        <w:rPr>
          <w:rFonts w:ascii="Arial" w:hAnsi="Arial" w:cs="Arial"/>
          <w:sz w:val="24"/>
          <w:szCs w:val="24"/>
        </w:rPr>
        <w:t>the court held</w:t>
      </w:r>
      <w:r w:rsidR="00941B17" w:rsidRPr="00A8782A">
        <w:rPr>
          <w:rFonts w:ascii="Arial" w:hAnsi="Arial" w:cs="Arial"/>
          <w:sz w:val="24"/>
          <w:szCs w:val="24"/>
        </w:rPr>
        <w:t xml:space="preserve"> that, in a summary judgment application, the court is not called upon to decide factual disputes or express any view on the dispute. It is called upon instead </w:t>
      </w:r>
      <w:r w:rsidRPr="00A8782A">
        <w:rPr>
          <w:rFonts w:ascii="Arial" w:hAnsi="Arial" w:cs="Arial"/>
          <w:sz w:val="24"/>
          <w:szCs w:val="24"/>
        </w:rPr>
        <w:t xml:space="preserve">to </w:t>
      </w:r>
      <w:r w:rsidR="00941B17" w:rsidRPr="00A8782A">
        <w:rPr>
          <w:rFonts w:ascii="Arial" w:hAnsi="Arial" w:cs="Arial"/>
          <w:sz w:val="24"/>
          <w:szCs w:val="24"/>
        </w:rPr>
        <w:t xml:space="preserve">determine firstly whether a defendant has ‘fully’ disclosed the nature and grounds of the defence and the material facts upon which that defence is founded. In the second instance the court is to determine whether on the facts set out by the defendant that it appears to have – as to either the whole or part of the claim – a defence which is </w:t>
      </w:r>
      <w:r w:rsidR="00941B17" w:rsidRPr="00A8782A">
        <w:rPr>
          <w:rFonts w:ascii="Arial" w:hAnsi="Arial" w:cs="Arial"/>
          <w:i/>
          <w:sz w:val="24"/>
          <w:szCs w:val="24"/>
        </w:rPr>
        <w:t>bona fide</w:t>
      </w:r>
      <w:r w:rsidR="00941B17" w:rsidRPr="00A8782A">
        <w:rPr>
          <w:rFonts w:ascii="Arial" w:hAnsi="Arial" w:cs="Arial"/>
          <w:sz w:val="24"/>
          <w:szCs w:val="24"/>
        </w:rPr>
        <w:t xml:space="preserve"> and good in law. If satisfied upon these two criteria, the court must refuse summary judgment. This position is confirmed in </w:t>
      </w:r>
      <w:r w:rsidR="00941B17" w:rsidRPr="00A8782A">
        <w:rPr>
          <w:rFonts w:ascii="Arial" w:hAnsi="Arial" w:cs="Arial"/>
          <w:i/>
          <w:sz w:val="24"/>
          <w:szCs w:val="24"/>
        </w:rPr>
        <w:t>Kukuri v Social Security Commission</w:t>
      </w:r>
      <w:r w:rsidR="00941B17" w:rsidRPr="00A8782A">
        <w:rPr>
          <w:rFonts w:ascii="Arial" w:hAnsi="Arial" w:cs="Arial"/>
          <w:sz w:val="24"/>
          <w:szCs w:val="24"/>
        </w:rPr>
        <w:t>.</w:t>
      </w:r>
    </w:p>
    <w:p w14:paraId="153AC8F3" w14:textId="77777777" w:rsidR="00941B17" w:rsidRPr="00A8782A" w:rsidRDefault="00941B17" w:rsidP="00941B17">
      <w:pPr>
        <w:spacing w:after="0" w:line="480" w:lineRule="auto"/>
        <w:jc w:val="both"/>
        <w:rPr>
          <w:rFonts w:ascii="Arial" w:hAnsi="Arial" w:cs="Arial"/>
          <w:sz w:val="24"/>
          <w:szCs w:val="24"/>
        </w:rPr>
      </w:pPr>
    </w:p>
    <w:p w14:paraId="0B3BBC8A" w14:textId="77777777" w:rsidR="00941B17" w:rsidRDefault="00941B17" w:rsidP="00941B17">
      <w:pPr>
        <w:spacing w:after="0" w:line="480" w:lineRule="auto"/>
        <w:jc w:val="both"/>
        <w:rPr>
          <w:rFonts w:ascii="Arial" w:hAnsi="Arial" w:cs="Arial"/>
          <w:sz w:val="24"/>
          <w:szCs w:val="24"/>
        </w:rPr>
      </w:pPr>
      <w:r>
        <w:rPr>
          <w:rFonts w:ascii="Arial" w:hAnsi="Arial" w:cs="Arial"/>
          <w:i/>
          <w:sz w:val="24"/>
          <w:szCs w:val="24"/>
        </w:rPr>
        <w:t>It is h</w:t>
      </w:r>
      <w:r w:rsidRPr="00A8782A">
        <w:rPr>
          <w:rFonts w:ascii="Arial" w:hAnsi="Arial" w:cs="Arial"/>
          <w:i/>
          <w:sz w:val="24"/>
          <w:szCs w:val="24"/>
        </w:rPr>
        <w:t>eld that</w:t>
      </w:r>
      <w:r w:rsidRPr="00A8782A">
        <w:rPr>
          <w:rFonts w:ascii="Arial" w:hAnsi="Arial" w:cs="Arial"/>
          <w:sz w:val="24"/>
          <w:szCs w:val="24"/>
        </w:rPr>
        <w:t>, the court below rightly ruled that the appellant was confined to its opposing affidavit.</w:t>
      </w:r>
    </w:p>
    <w:p w14:paraId="0DBCBEB2" w14:textId="77777777" w:rsidR="00941B17" w:rsidRPr="00A8782A" w:rsidRDefault="00941B17" w:rsidP="00941B17">
      <w:pPr>
        <w:spacing w:after="0" w:line="480" w:lineRule="auto"/>
        <w:jc w:val="both"/>
        <w:rPr>
          <w:rFonts w:ascii="Arial" w:hAnsi="Arial" w:cs="Arial"/>
          <w:sz w:val="24"/>
          <w:szCs w:val="24"/>
        </w:rPr>
      </w:pPr>
    </w:p>
    <w:p w14:paraId="1CEC6DDC" w14:textId="77777777" w:rsidR="00941B17" w:rsidRDefault="00941B17" w:rsidP="00941B17">
      <w:pPr>
        <w:spacing w:after="0" w:line="480" w:lineRule="auto"/>
        <w:jc w:val="both"/>
        <w:rPr>
          <w:rFonts w:ascii="Arial" w:hAnsi="Arial" w:cs="Arial"/>
          <w:sz w:val="24"/>
          <w:szCs w:val="24"/>
        </w:rPr>
      </w:pPr>
      <w:r>
        <w:rPr>
          <w:rFonts w:ascii="Arial" w:hAnsi="Arial" w:cs="Arial"/>
          <w:i/>
          <w:sz w:val="24"/>
          <w:szCs w:val="24"/>
        </w:rPr>
        <w:t>It is further h</w:t>
      </w:r>
      <w:r w:rsidRPr="00A8782A">
        <w:rPr>
          <w:rFonts w:ascii="Arial" w:hAnsi="Arial" w:cs="Arial"/>
          <w:i/>
          <w:sz w:val="24"/>
          <w:szCs w:val="24"/>
        </w:rPr>
        <w:t>eld that</w:t>
      </w:r>
      <w:r w:rsidRPr="00A8782A">
        <w:rPr>
          <w:rFonts w:ascii="Arial" w:hAnsi="Arial" w:cs="Arial"/>
          <w:sz w:val="24"/>
          <w:szCs w:val="24"/>
        </w:rPr>
        <w:t>, the court below correctly found that the defence set out in the appellant’s opposing affidavit fell short of the requisites of rule 60(5) dispute.</w:t>
      </w:r>
    </w:p>
    <w:p w14:paraId="353F576E" w14:textId="77777777" w:rsidR="00941B17" w:rsidRPr="00A8782A" w:rsidRDefault="00941B17" w:rsidP="00941B17">
      <w:pPr>
        <w:spacing w:after="0" w:line="480" w:lineRule="auto"/>
        <w:jc w:val="both"/>
        <w:rPr>
          <w:rFonts w:ascii="Arial" w:hAnsi="Arial" w:cs="Arial"/>
          <w:sz w:val="24"/>
          <w:szCs w:val="24"/>
        </w:rPr>
      </w:pPr>
    </w:p>
    <w:p w14:paraId="5A09EDE0" w14:textId="684817AD" w:rsidR="00941B17" w:rsidRPr="00A8782A" w:rsidRDefault="00941B17" w:rsidP="00B80BA1">
      <w:pPr>
        <w:tabs>
          <w:tab w:val="center" w:pos="4393"/>
        </w:tabs>
        <w:spacing w:after="0" w:line="480" w:lineRule="auto"/>
        <w:jc w:val="both"/>
        <w:rPr>
          <w:rFonts w:ascii="Arial" w:hAnsi="Arial" w:cs="Arial"/>
          <w:sz w:val="24"/>
          <w:szCs w:val="24"/>
        </w:rPr>
      </w:pPr>
      <w:r w:rsidRPr="00A8782A">
        <w:rPr>
          <w:rFonts w:ascii="Arial" w:hAnsi="Arial" w:cs="Arial"/>
          <w:sz w:val="24"/>
          <w:szCs w:val="24"/>
        </w:rPr>
        <w:t>The appeal is dismissed with costs.</w:t>
      </w:r>
      <w:r w:rsidR="00B80BA1">
        <w:rPr>
          <w:rFonts w:ascii="Arial" w:hAnsi="Arial" w:cs="Arial"/>
          <w:sz w:val="24"/>
          <w:szCs w:val="24"/>
        </w:rPr>
        <w:tab/>
      </w:r>
    </w:p>
    <w:p w14:paraId="49F79F30" w14:textId="77777777" w:rsidR="00DF0D25" w:rsidRPr="00C92CA9" w:rsidRDefault="00DF0D25" w:rsidP="00DF0D25">
      <w:pPr>
        <w:spacing w:after="0" w:line="360" w:lineRule="auto"/>
        <w:jc w:val="both"/>
        <w:rPr>
          <w:rFonts w:ascii="Arial" w:hAnsi="Arial" w:cs="Arial"/>
          <w:sz w:val="24"/>
          <w:szCs w:val="24"/>
        </w:rPr>
      </w:pPr>
    </w:p>
    <w:p w14:paraId="3BA2D518" w14:textId="77777777" w:rsidR="00C92CA9" w:rsidRPr="00C92CA9" w:rsidRDefault="00C92CA9" w:rsidP="00C92CA9">
      <w:pPr>
        <w:spacing w:after="0" w:line="360" w:lineRule="auto"/>
        <w:jc w:val="both"/>
        <w:rPr>
          <w:rFonts w:ascii="Arial" w:hAnsi="Arial" w:cs="Arial"/>
          <w:sz w:val="24"/>
          <w:szCs w:val="24"/>
        </w:rPr>
      </w:pPr>
    </w:p>
    <w:p w14:paraId="70D5DFB2" w14:textId="77777777" w:rsidR="00EF6EF1" w:rsidRPr="001C25CA" w:rsidRDefault="00EF6EF1" w:rsidP="00C92CA9">
      <w:pPr>
        <w:spacing w:after="0" w:line="360" w:lineRule="auto"/>
        <w:jc w:val="both"/>
        <w:rPr>
          <w:rFonts w:ascii="Arial" w:hAnsi="Arial" w:cs="Arial"/>
          <w:sz w:val="24"/>
          <w:szCs w:val="24"/>
        </w:rPr>
      </w:pPr>
    </w:p>
    <w:p w14:paraId="57F391AB" w14:textId="77777777"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14:paraId="36283D71" w14:textId="34ECEBD9"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14:paraId="40C9D63E" w14:textId="77777777"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14:paraId="1A2CD939" w14:textId="77777777" w:rsidR="00B40CD3" w:rsidRPr="001C25CA" w:rsidRDefault="00B40CD3" w:rsidP="00A26B21">
      <w:pPr>
        <w:pStyle w:val="NoSpacing"/>
        <w:rPr>
          <w:rFonts w:ascii="Arial" w:hAnsi="Arial" w:cs="Arial"/>
          <w:sz w:val="24"/>
          <w:szCs w:val="24"/>
        </w:rPr>
      </w:pPr>
    </w:p>
    <w:p w14:paraId="45962B3C" w14:textId="77777777" w:rsidR="008C3367" w:rsidRPr="001C25CA" w:rsidRDefault="008C3367" w:rsidP="00395B99">
      <w:pPr>
        <w:spacing w:line="480" w:lineRule="auto"/>
        <w:jc w:val="both"/>
        <w:rPr>
          <w:rFonts w:ascii="Arial" w:hAnsi="Arial" w:cs="Arial"/>
          <w:sz w:val="24"/>
          <w:szCs w:val="24"/>
        </w:rPr>
      </w:pPr>
      <w:r w:rsidRPr="001C25CA">
        <w:rPr>
          <w:rFonts w:ascii="Arial" w:hAnsi="Arial" w:cs="Arial"/>
          <w:sz w:val="24"/>
          <w:szCs w:val="24"/>
        </w:rPr>
        <w:t>SMUTS JA (</w:t>
      </w:r>
      <w:r w:rsidR="00DF0D25">
        <w:rPr>
          <w:rFonts w:ascii="Arial" w:hAnsi="Arial" w:cs="Arial"/>
          <w:sz w:val="24"/>
          <w:szCs w:val="24"/>
        </w:rPr>
        <w:t>SHIVUTE CJ</w:t>
      </w:r>
      <w:r w:rsidR="00451609" w:rsidRPr="001C25CA">
        <w:rPr>
          <w:rFonts w:ascii="Arial" w:hAnsi="Arial" w:cs="Arial"/>
          <w:sz w:val="24"/>
          <w:szCs w:val="24"/>
        </w:rPr>
        <w:t xml:space="preserve"> and</w:t>
      </w:r>
      <w:r w:rsidRPr="001C25CA">
        <w:rPr>
          <w:rFonts w:ascii="Arial" w:hAnsi="Arial" w:cs="Arial"/>
          <w:sz w:val="24"/>
          <w:szCs w:val="24"/>
        </w:rPr>
        <w:t xml:space="preserve"> </w:t>
      </w:r>
      <w:r w:rsidR="00DF0D25">
        <w:rPr>
          <w:rFonts w:ascii="Arial" w:hAnsi="Arial" w:cs="Arial"/>
          <w:sz w:val="24"/>
          <w:szCs w:val="24"/>
        </w:rPr>
        <w:t>NKABINDE</w:t>
      </w:r>
      <w:r w:rsidR="008B2795" w:rsidRPr="001C25CA">
        <w:rPr>
          <w:rFonts w:ascii="Arial" w:hAnsi="Arial" w:cs="Arial"/>
          <w:sz w:val="24"/>
          <w:szCs w:val="24"/>
        </w:rPr>
        <w:t xml:space="preserve"> </w:t>
      </w:r>
      <w:r w:rsidR="00DF0D25">
        <w:rPr>
          <w:rFonts w:ascii="Arial" w:hAnsi="Arial" w:cs="Arial"/>
          <w:sz w:val="24"/>
          <w:szCs w:val="24"/>
        </w:rPr>
        <w:t>A</w:t>
      </w:r>
      <w:r w:rsidR="008B2795" w:rsidRPr="001C25CA">
        <w:rPr>
          <w:rFonts w:ascii="Arial" w:hAnsi="Arial" w:cs="Arial"/>
          <w:sz w:val="24"/>
          <w:szCs w:val="24"/>
        </w:rPr>
        <w:t>JA</w:t>
      </w:r>
      <w:r w:rsidRPr="001C25CA">
        <w:rPr>
          <w:rFonts w:ascii="Arial" w:hAnsi="Arial" w:cs="Arial"/>
          <w:sz w:val="24"/>
          <w:szCs w:val="24"/>
        </w:rPr>
        <w:t xml:space="preserve"> concurring):</w:t>
      </w:r>
    </w:p>
    <w:p w14:paraId="2D057A3C" w14:textId="77777777" w:rsidR="00286F17" w:rsidRDefault="00513468"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DF0D25">
        <w:rPr>
          <w:rFonts w:ascii="Arial" w:hAnsi="Arial" w:cs="Arial"/>
          <w:sz w:val="24"/>
          <w:szCs w:val="24"/>
        </w:rPr>
        <w:t xml:space="preserve">e </w:t>
      </w:r>
      <w:r w:rsidR="003A56E1">
        <w:rPr>
          <w:rFonts w:ascii="Arial" w:hAnsi="Arial" w:cs="Arial"/>
          <w:sz w:val="24"/>
          <w:szCs w:val="24"/>
        </w:rPr>
        <w:t>issue to be determined in this appeal concerns whether the appellant as defendant met the requisite</w:t>
      </w:r>
      <w:r w:rsidR="00090954">
        <w:rPr>
          <w:rFonts w:ascii="Arial" w:hAnsi="Arial" w:cs="Arial"/>
          <w:sz w:val="24"/>
          <w:szCs w:val="24"/>
        </w:rPr>
        <w:t xml:space="preserve">s of rule 60(5) of the rules of the High Court </w:t>
      </w:r>
      <w:r w:rsidR="00BD4E60">
        <w:rPr>
          <w:rFonts w:ascii="Arial" w:hAnsi="Arial" w:cs="Arial"/>
          <w:sz w:val="24"/>
          <w:szCs w:val="24"/>
        </w:rPr>
        <w:t>to resist summary judgment</w:t>
      </w:r>
      <w:r w:rsidR="00090954">
        <w:rPr>
          <w:rFonts w:ascii="Arial" w:hAnsi="Arial" w:cs="Arial"/>
          <w:sz w:val="24"/>
          <w:szCs w:val="24"/>
        </w:rPr>
        <w:t xml:space="preserve"> </w:t>
      </w:r>
      <w:r w:rsidR="00186627">
        <w:rPr>
          <w:rFonts w:ascii="Arial" w:hAnsi="Arial" w:cs="Arial"/>
          <w:sz w:val="24"/>
          <w:szCs w:val="24"/>
        </w:rPr>
        <w:t xml:space="preserve">by </w:t>
      </w:r>
      <w:r w:rsidR="00090954">
        <w:rPr>
          <w:rFonts w:ascii="Arial" w:hAnsi="Arial" w:cs="Arial"/>
          <w:sz w:val="24"/>
          <w:szCs w:val="24"/>
        </w:rPr>
        <w:t>satisfy</w:t>
      </w:r>
      <w:r w:rsidR="00BD4E60">
        <w:rPr>
          <w:rFonts w:ascii="Arial" w:hAnsi="Arial" w:cs="Arial"/>
          <w:sz w:val="24"/>
          <w:szCs w:val="24"/>
        </w:rPr>
        <w:t>ing</w:t>
      </w:r>
      <w:r w:rsidR="00BA17FA">
        <w:rPr>
          <w:rFonts w:ascii="Arial" w:hAnsi="Arial" w:cs="Arial"/>
          <w:sz w:val="24"/>
          <w:szCs w:val="24"/>
        </w:rPr>
        <w:t xml:space="preserve"> to</w:t>
      </w:r>
      <w:r w:rsidR="00090954">
        <w:rPr>
          <w:rFonts w:ascii="Arial" w:hAnsi="Arial" w:cs="Arial"/>
          <w:sz w:val="24"/>
          <w:szCs w:val="24"/>
        </w:rPr>
        <w:t xml:space="preserve"> the High Court that it had a bona fide defence to the respondent’s</w:t>
      </w:r>
      <w:r w:rsidR="00BD4E60">
        <w:rPr>
          <w:rFonts w:ascii="Arial" w:hAnsi="Arial" w:cs="Arial"/>
          <w:sz w:val="24"/>
          <w:szCs w:val="24"/>
        </w:rPr>
        <w:t xml:space="preserve"> (plaintiff’s)</w:t>
      </w:r>
      <w:r w:rsidR="00090954">
        <w:rPr>
          <w:rFonts w:ascii="Arial" w:hAnsi="Arial" w:cs="Arial"/>
          <w:sz w:val="24"/>
          <w:szCs w:val="24"/>
        </w:rPr>
        <w:t xml:space="preserve"> action by disclosing fully the nature and grounds of the defence and the material facts</w:t>
      </w:r>
      <w:r w:rsidR="00186627">
        <w:rPr>
          <w:rFonts w:ascii="Arial" w:hAnsi="Arial" w:cs="Arial"/>
          <w:sz w:val="24"/>
          <w:szCs w:val="24"/>
        </w:rPr>
        <w:t xml:space="preserve"> relied on. F</w:t>
      </w:r>
      <w:r w:rsidR="00BD4E60">
        <w:rPr>
          <w:rFonts w:ascii="Arial" w:hAnsi="Arial" w:cs="Arial"/>
          <w:sz w:val="24"/>
          <w:szCs w:val="24"/>
        </w:rPr>
        <w:t>or the sake of clarity</w:t>
      </w:r>
      <w:r w:rsidR="00186627">
        <w:rPr>
          <w:rFonts w:ascii="Arial" w:hAnsi="Arial" w:cs="Arial"/>
          <w:sz w:val="24"/>
          <w:szCs w:val="24"/>
        </w:rPr>
        <w:t>,</w:t>
      </w:r>
      <w:r w:rsidR="00BD4E60">
        <w:rPr>
          <w:rFonts w:ascii="Arial" w:hAnsi="Arial" w:cs="Arial"/>
          <w:sz w:val="24"/>
          <w:szCs w:val="24"/>
        </w:rPr>
        <w:t xml:space="preserve"> the parties are referred to as plaintiff and defendant.</w:t>
      </w:r>
    </w:p>
    <w:p w14:paraId="462F16AE" w14:textId="77777777" w:rsidR="00090954" w:rsidRDefault="00090954" w:rsidP="00090954">
      <w:pPr>
        <w:pStyle w:val="NoSpacing"/>
        <w:spacing w:line="480" w:lineRule="auto"/>
        <w:jc w:val="both"/>
        <w:rPr>
          <w:rFonts w:ascii="Arial" w:hAnsi="Arial" w:cs="Arial"/>
          <w:sz w:val="24"/>
          <w:szCs w:val="24"/>
        </w:rPr>
      </w:pPr>
    </w:p>
    <w:p w14:paraId="1785E49C" w14:textId="77777777" w:rsidR="00090954" w:rsidRDefault="00090954"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Masuku, J of the High Court found that the </w:t>
      </w:r>
      <w:r w:rsidR="00BD4E60">
        <w:rPr>
          <w:rFonts w:ascii="Arial" w:hAnsi="Arial" w:cs="Arial"/>
          <w:sz w:val="24"/>
          <w:szCs w:val="24"/>
        </w:rPr>
        <w:t>defend</w:t>
      </w:r>
      <w:r>
        <w:rPr>
          <w:rFonts w:ascii="Arial" w:hAnsi="Arial" w:cs="Arial"/>
          <w:sz w:val="24"/>
          <w:szCs w:val="24"/>
        </w:rPr>
        <w:t>ant’s</w:t>
      </w:r>
      <w:r w:rsidR="00BD4E60">
        <w:rPr>
          <w:rFonts w:ascii="Arial" w:hAnsi="Arial" w:cs="Arial"/>
          <w:sz w:val="24"/>
          <w:szCs w:val="24"/>
        </w:rPr>
        <w:t xml:space="preserve"> opposing</w:t>
      </w:r>
      <w:r>
        <w:rPr>
          <w:rFonts w:ascii="Arial" w:hAnsi="Arial" w:cs="Arial"/>
          <w:sz w:val="24"/>
          <w:szCs w:val="24"/>
        </w:rPr>
        <w:t xml:space="preserve"> affidavit fell short </w:t>
      </w:r>
      <w:r w:rsidR="00186627">
        <w:rPr>
          <w:rFonts w:ascii="Arial" w:hAnsi="Arial" w:cs="Arial"/>
          <w:sz w:val="24"/>
          <w:szCs w:val="24"/>
        </w:rPr>
        <w:t>of</w:t>
      </w:r>
      <w:r w:rsidR="00BA17FA">
        <w:rPr>
          <w:rFonts w:ascii="Arial" w:hAnsi="Arial" w:cs="Arial"/>
          <w:sz w:val="24"/>
          <w:szCs w:val="24"/>
        </w:rPr>
        <w:t xml:space="preserve"> meeting</w:t>
      </w:r>
      <w:r>
        <w:rPr>
          <w:rFonts w:ascii="Arial" w:hAnsi="Arial" w:cs="Arial"/>
          <w:sz w:val="24"/>
          <w:szCs w:val="24"/>
        </w:rPr>
        <w:t xml:space="preserve"> the </w:t>
      </w:r>
      <w:r w:rsidR="00BA17FA">
        <w:rPr>
          <w:rFonts w:ascii="Arial" w:hAnsi="Arial" w:cs="Arial"/>
          <w:sz w:val="24"/>
          <w:szCs w:val="24"/>
        </w:rPr>
        <w:t>requirements</w:t>
      </w:r>
      <w:r w:rsidR="00251264">
        <w:rPr>
          <w:rFonts w:ascii="Arial" w:hAnsi="Arial" w:cs="Arial"/>
          <w:sz w:val="24"/>
          <w:szCs w:val="24"/>
        </w:rPr>
        <w:t xml:space="preserve"> of that sub-</w:t>
      </w:r>
      <w:r>
        <w:rPr>
          <w:rFonts w:ascii="Arial" w:hAnsi="Arial" w:cs="Arial"/>
          <w:sz w:val="24"/>
          <w:szCs w:val="24"/>
        </w:rPr>
        <w:t>rule and granted summary judgment in the sum of N$</w:t>
      </w:r>
      <w:r w:rsidR="00BD4E60">
        <w:rPr>
          <w:rFonts w:ascii="Arial" w:hAnsi="Arial" w:cs="Arial"/>
          <w:sz w:val="24"/>
          <w:szCs w:val="24"/>
        </w:rPr>
        <w:t xml:space="preserve">440,228.30, </w:t>
      </w:r>
      <w:r>
        <w:rPr>
          <w:rFonts w:ascii="Arial" w:hAnsi="Arial" w:cs="Arial"/>
          <w:sz w:val="24"/>
          <w:szCs w:val="24"/>
        </w:rPr>
        <w:t xml:space="preserve">plus interest and costs against the </w:t>
      </w:r>
      <w:r w:rsidR="00BD4E60">
        <w:rPr>
          <w:rFonts w:ascii="Arial" w:hAnsi="Arial" w:cs="Arial"/>
          <w:sz w:val="24"/>
          <w:szCs w:val="24"/>
        </w:rPr>
        <w:t>defendant</w:t>
      </w:r>
      <w:r>
        <w:rPr>
          <w:rFonts w:ascii="Arial" w:hAnsi="Arial" w:cs="Arial"/>
          <w:sz w:val="24"/>
          <w:szCs w:val="24"/>
        </w:rPr>
        <w:t xml:space="preserve">. The </w:t>
      </w:r>
      <w:r w:rsidR="00BD4E60">
        <w:rPr>
          <w:rFonts w:ascii="Arial" w:hAnsi="Arial" w:cs="Arial"/>
          <w:sz w:val="24"/>
          <w:szCs w:val="24"/>
        </w:rPr>
        <w:t>defendant</w:t>
      </w:r>
      <w:r>
        <w:rPr>
          <w:rFonts w:ascii="Arial" w:hAnsi="Arial" w:cs="Arial"/>
          <w:sz w:val="24"/>
          <w:szCs w:val="24"/>
        </w:rPr>
        <w:t xml:space="preserve"> appeals against that judgment.</w:t>
      </w:r>
    </w:p>
    <w:p w14:paraId="069FEE85" w14:textId="77777777" w:rsidR="00090954" w:rsidRDefault="00090954" w:rsidP="00090954">
      <w:pPr>
        <w:pStyle w:val="ListParagraph"/>
        <w:rPr>
          <w:rFonts w:ascii="Arial" w:hAnsi="Arial" w:cs="Arial"/>
          <w:sz w:val="24"/>
          <w:szCs w:val="24"/>
        </w:rPr>
      </w:pPr>
    </w:p>
    <w:p w14:paraId="408E207C" w14:textId="77777777" w:rsidR="00090954" w:rsidRPr="00090954" w:rsidRDefault="00090954" w:rsidP="00090954">
      <w:pPr>
        <w:pStyle w:val="NoSpacing"/>
        <w:spacing w:line="480" w:lineRule="auto"/>
        <w:jc w:val="both"/>
        <w:rPr>
          <w:rFonts w:ascii="Arial" w:hAnsi="Arial" w:cs="Arial"/>
          <w:sz w:val="24"/>
          <w:szCs w:val="24"/>
          <w:u w:val="single"/>
        </w:rPr>
      </w:pPr>
      <w:r>
        <w:rPr>
          <w:rFonts w:ascii="Arial" w:hAnsi="Arial" w:cs="Arial"/>
          <w:sz w:val="24"/>
          <w:szCs w:val="24"/>
          <w:u w:val="single"/>
        </w:rPr>
        <w:t xml:space="preserve">The </w:t>
      </w:r>
      <w:r w:rsidR="00BD4E60">
        <w:rPr>
          <w:rFonts w:ascii="Arial" w:hAnsi="Arial" w:cs="Arial"/>
          <w:sz w:val="24"/>
          <w:szCs w:val="24"/>
          <w:u w:val="single"/>
        </w:rPr>
        <w:t>plaintiff</w:t>
      </w:r>
      <w:r>
        <w:rPr>
          <w:rFonts w:ascii="Arial" w:hAnsi="Arial" w:cs="Arial"/>
          <w:sz w:val="24"/>
          <w:szCs w:val="24"/>
          <w:u w:val="single"/>
        </w:rPr>
        <w:t>’s claim</w:t>
      </w:r>
    </w:p>
    <w:p w14:paraId="2781096B" w14:textId="05177CF3" w:rsidR="00173EBC" w:rsidRPr="00173EBC" w:rsidRDefault="00090954" w:rsidP="00173EB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particulars of claim plead that the parties entered into an agreement </w:t>
      </w:r>
      <w:r w:rsidR="00CC30AF" w:rsidRPr="007B1C19">
        <w:rPr>
          <w:rFonts w:ascii="Arial" w:hAnsi="Arial" w:cs="Arial"/>
          <w:sz w:val="24"/>
          <w:szCs w:val="24"/>
        </w:rPr>
        <w:t xml:space="preserve">in terms of which </w:t>
      </w:r>
      <w:r>
        <w:rPr>
          <w:rFonts w:ascii="Arial" w:hAnsi="Arial" w:cs="Arial"/>
          <w:sz w:val="24"/>
          <w:szCs w:val="24"/>
        </w:rPr>
        <w:t xml:space="preserve">the </w:t>
      </w:r>
      <w:r w:rsidR="00186627">
        <w:rPr>
          <w:rFonts w:ascii="Arial" w:hAnsi="Arial" w:cs="Arial"/>
          <w:sz w:val="24"/>
          <w:szCs w:val="24"/>
        </w:rPr>
        <w:t>defendant</w:t>
      </w:r>
      <w:r>
        <w:rPr>
          <w:rFonts w:ascii="Arial" w:hAnsi="Arial" w:cs="Arial"/>
          <w:sz w:val="24"/>
          <w:szCs w:val="24"/>
        </w:rPr>
        <w:t xml:space="preserve"> accept</w:t>
      </w:r>
      <w:r w:rsidR="007B1C19">
        <w:rPr>
          <w:rFonts w:ascii="Arial" w:hAnsi="Arial" w:cs="Arial"/>
          <w:sz w:val="24"/>
          <w:szCs w:val="24"/>
        </w:rPr>
        <w:t>ed</w:t>
      </w:r>
      <w:r>
        <w:rPr>
          <w:rFonts w:ascii="Arial" w:hAnsi="Arial" w:cs="Arial"/>
          <w:sz w:val="24"/>
          <w:szCs w:val="24"/>
        </w:rPr>
        <w:t xml:space="preserve"> </w:t>
      </w:r>
      <w:r w:rsidR="00173EBC">
        <w:rPr>
          <w:rFonts w:ascii="Arial" w:hAnsi="Arial" w:cs="Arial"/>
          <w:sz w:val="24"/>
          <w:szCs w:val="24"/>
        </w:rPr>
        <w:t xml:space="preserve">the </w:t>
      </w:r>
      <w:r w:rsidR="00BD4E60">
        <w:rPr>
          <w:rFonts w:ascii="Arial" w:hAnsi="Arial" w:cs="Arial"/>
          <w:sz w:val="24"/>
          <w:szCs w:val="24"/>
        </w:rPr>
        <w:t>plaintiff</w:t>
      </w:r>
      <w:r w:rsidR="00173EBC">
        <w:rPr>
          <w:rFonts w:ascii="Arial" w:hAnsi="Arial" w:cs="Arial"/>
          <w:sz w:val="24"/>
          <w:szCs w:val="24"/>
        </w:rPr>
        <w:t xml:space="preserve">’s quotation to supply and install a specialised (and specified) </w:t>
      </w:r>
      <w:r w:rsidR="00BA17FA">
        <w:rPr>
          <w:rFonts w:ascii="Arial" w:hAnsi="Arial" w:cs="Arial"/>
          <w:sz w:val="24"/>
          <w:szCs w:val="24"/>
        </w:rPr>
        <w:t>geo</w:t>
      </w:r>
      <w:r w:rsidR="00186627">
        <w:rPr>
          <w:rFonts w:ascii="Arial" w:hAnsi="Arial" w:cs="Arial"/>
          <w:sz w:val="24"/>
          <w:szCs w:val="24"/>
        </w:rPr>
        <w:t>-</w:t>
      </w:r>
      <w:r w:rsidR="00173EBC">
        <w:rPr>
          <w:rFonts w:ascii="Arial" w:hAnsi="Arial" w:cs="Arial"/>
          <w:sz w:val="24"/>
          <w:szCs w:val="24"/>
        </w:rPr>
        <w:t xml:space="preserve">membrane lining </w:t>
      </w:r>
      <w:r w:rsidR="00BA17FA">
        <w:rPr>
          <w:rFonts w:ascii="Arial" w:hAnsi="Arial" w:cs="Arial"/>
          <w:sz w:val="24"/>
          <w:szCs w:val="24"/>
        </w:rPr>
        <w:t>for</w:t>
      </w:r>
      <w:r w:rsidR="00173EBC">
        <w:rPr>
          <w:rFonts w:ascii="Arial" w:hAnsi="Arial" w:cs="Arial"/>
          <w:sz w:val="24"/>
          <w:szCs w:val="24"/>
        </w:rPr>
        <w:t xml:space="preserve"> 7 dams</w:t>
      </w:r>
      <w:r w:rsidR="00273405">
        <w:rPr>
          <w:rFonts w:ascii="Arial" w:hAnsi="Arial" w:cs="Arial"/>
          <w:sz w:val="24"/>
          <w:szCs w:val="24"/>
        </w:rPr>
        <w:t xml:space="preserve"> at a fish farming project in the Omaheke region. Aspects of the quotation were subsequently varied and accepted by the </w:t>
      </w:r>
      <w:r w:rsidR="00BD4E60">
        <w:rPr>
          <w:rFonts w:ascii="Arial" w:hAnsi="Arial" w:cs="Arial"/>
          <w:sz w:val="24"/>
          <w:szCs w:val="24"/>
        </w:rPr>
        <w:t>defendant</w:t>
      </w:r>
      <w:r w:rsidR="00273405">
        <w:rPr>
          <w:rFonts w:ascii="Arial" w:hAnsi="Arial" w:cs="Arial"/>
          <w:sz w:val="24"/>
          <w:szCs w:val="24"/>
        </w:rPr>
        <w:t xml:space="preserve">. The </w:t>
      </w:r>
      <w:r w:rsidR="00BD4E60">
        <w:rPr>
          <w:rFonts w:ascii="Arial" w:hAnsi="Arial" w:cs="Arial"/>
          <w:sz w:val="24"/>
          <w:szCs w:val="24"/>
        </w:rPr>
        <w:t>plaintiff</w:t>
      </w:r>
      <w:r w:rsidR="00273405">
        <w:rPr>
          <w:rFonts w:ascii="Arial" w:hAnsi="Arial" w:cs="Arial"/>
          <w:sz w:val="24"/>
          <w:szCs w:val="24"/>
        </w:rPr>
        <w:t xml:space="preserve"> proceeded with the supply and installation of the membrane lining of the dams and allege</w:t>
      </w:r>
      <w:r w:rsidR="00186627">
        <w:rPr>
          <w:rFonts w:ascii="Arial" w:hAnsi="Arial" w:cs="Arial"/>
          <w:sz w:val="24"/>
          <w:szCs w:val="24"/>
        </w:rPr>
        <w:t>d</w:t>
      </w:r>
      <w:r w:rsidR="00273405">
        <w:rPr>
          <w:rFonts w:ascii="Arial" w:hAnsi="Arial" w:cs="Arial"/>
          <w:sz w:val="24"/>
          <w:szCs w:val="24"/>
        </w:rPr>
        <w:t xml:space="preserve"> that it complied with all the terms and conditions of the agreement</w:t>
      </w:r>
      <w:r w:rsidR="00186627">
        <w:rPr>
          <w:rFonts w:ascii="Arial" w:hAnsi="Arial" w:cs="Arial"/>
          <w:sz w:val="24"/>
          <w:szCs w:val="24"/>
        </w:rPr>
        <w:t>,</w:t>
      </w:r>
      <w:r w:rsidR="00273405">
        <w:rPr>
          <w:rFonts w:ascii="Arial" w:hAnsi="Arial" w:cs="Arial"/>
          <w:sz w:val="24"/>
          <w:szCs w:val="24"/>
        </w:rPr>
        <w:t xml:space="preserve"> claim</w:t>
      </w:r>
      <w:r w:rsidR="00186627">
        <w:rPr>
          <w:rFonts w:ascii="Arial" w:hAnsi="Arial" w:cs="Arial"/>
          <w:sz w:val="24"/>
          <w:szCs w:val="24"/>
        </w:rPr>
        <w:t>ing</w:t>
      </w:r>
      <w:r w:rsidR="00273405">
        <w:rPr>
          <w:rFonts w:ascii="Arial" w:hAnsi="Arial" w:cs="Arial"/>
          <w:sz w:val="24"/>
          <w:szCs w:val="24"/>
        </w:rPr>
        <w:t xml:space="preserve"> payment of an amount of N$440</w:t>
      </w:r>
      <w:r w:rsidR="00BD4E60">
        <w:rPr>
          <w:rFonts w:ascii="Arial" w:hAnsi="Arial" w:cs="Arial"/>
          <w:sz w:val="24"/>
          <w:szCs w:val="24"/>
        </w:rPr>
        <w:t>,288.</w:t>
      </w:r>
      <w:r w:rsidR="00273405">
        <w:rPr>
          <w:rFonts w:ascii="Arial" w:hAnsi="Arial" w:cs="Arial"/>
          <w:sz w:val="24"/>
          <w:szCs w:val="24"/>
        </w:rPr>
        <w:t>30 representing the outstanding balance due to it, together with interest and costs.</w:t>
      </w:r>
    </w:p>
    <w:p w14:paraId="67A9FF3B" w14:textId="77777777" w:rsidR="00501FF6" w:rsidRDefault="00501FF6" w:rsidP="00090954">
      <w:pPr>
        <w:pStyle w:val="ListParagraph"/>
        <w:rPr>
          <w:rFonts w:ascii="Arial" w:hAnsi="Arial" w:cs="Arial"/>
          <w:sz w:val="24"/>
          <w:szCs w:val="24"/>
        </w:rPr>
      </w:pPr>
    </w:p>
    <w:p w14:paraId="7FB16115" w14:textId="77777777" w:rsidR="00090954" w:rsidRDefault="00273405"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the defendant entered an appearance to defend, the </w:t>
      </w:r>
      <w:r w:rsidR="00BD4E60">
        <w:rPr>
          <w:rFonts w:ascii="Arial" w:hAnsi="Arial" w:cs="Arial"/>
          <w:sz w:val="24"/>
          <w:szCs w:val="24"/>
        </w:rPr>
        <w:t>plaintiff</w:t>
      </w:r>
      <w:r>
        <w:rPr>
          <w:rFonts w:ascii="Arial" w:hAnsi="Arial" w:cs="Arial"/>
          <w:sz w:val="24"/>
          <w:szCs w:val="24"/>
        </w:rPr>
        <w:t xml:space="preserve"> applied for summary judgment under rule 60.</w:t>
      </w:r>
    </w:p>
    <w:p w14:paraId="52E65CFC" w14:textId="77777777" w:rsidR="00273405" w:rsidRDefault="00273405" w:rsidP="00273405">
      <w:pPr>
        <w:pStyle w:val="ListParagraph"/>
        <w:rPr>
          <w:rFonts w:ascii="Arial" w:hAnsi="Arial" w:cs="Arial"/>
          <w:sz w:val="24"/>
          <w:szCs w:val="24"/>
        </w:rPr>
      </w:pPr>
    </w:p>
    <w:p w14:paraId="6A8A2136" w14:textId="77777777" w:rsidR="00273405" w:rsidRPr="00273405" w:rsidRDefault="00273405" w:rsidP="00273405">
      <w:pPr>
        <w:pStyle w:val="NoSpacing"/>
        <w:spacing w:line="480" w:lineRule="auto"/>
        <w:jc w:val="both"/>
        <w:rPr>
          <w:rFonts w:ascii="Arial" w:hAnsi="Arial" w:cs="Arial"/>
          <w:sz w:val="24"/>
          <w:szCs w:val="24"/>
          <w:u w:val="single"/>
        </w:rPr>
      </w:pPr>
      <w:r>
        <w:rPr>
          <w:rFonts w:ascii="Arial" w:hAnsi="Arial" w:cs="Arial"/>
          <w:sz w:val="24"/>
          <w:szCs w:val="24"/>
          <w:u w:val="single"/>
        </w:rPr>
        <w:t xml:space="preserve">The </w:t>
      </w:r>
      <w:r w:rsidR="00BD4E60">
        <w:rPr>
          <w:rFonts w:ascii="Arial" w:hAnsi="Arial" w:cs="Arial"/>
          <w:sz w:val="24"/>
          <w:szCs w:val="24"/>
          <w:u w:val="single"/>
        </w:rPr>
        <w:t>defendant</w:t>
      </w:r>
      <w:r>
        <w:rPr>
          <w:rFonts w:ascii="Arial" w:hAnsi="Arial" w:cs="Arial"/>
          <w:sz w:val="24"/>
          <w:szCs w:val="24"/>
          <w:u w:val="single"/>
        </w:rPr>
        <w:t>’s opposing affidavit</w:t>
      </w:r>
    </w:p>
    <w:p w14:paraId="50290383" w14:textId="3228EB37" w:rsidR="0085364C" w:rsidRDefault="00273405"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BD4E60">
        <w:rPr>
          <w:rFonts w:ascii="Arial" w:hAnsi="Arial" w:cs="Arial"/>
          <w:sz w:val="24"/>
          <w:szCs w:val="24"/>
        </w:rPr>
        <w:t>defend</w:t>
      </w:r>
      <w:r>
        <w:rPr>
          <w:rFonts w:ascii="Arial" w:hAnsi="Arial" w:cs="Arial"/>
          <w:sz w:val="24"/>
          <w:szCs w:val="24"/>
        </w:rPr>
        <w:t>ant’s opposing affidavit was deposed to by one of its shareholders and directors.</w:t>
      </w:r>
      <w:r w:rsidR="00BA17FA">
        <w:rPr>
          <w:rFonts w:ascii="Arial" w:hAnsi="Arial" w:cs="Arial"/>
          <w:sz w:val="24"/>
          <w:szCs w:val="24"/>
        </w:rPr>
        <w:t xml:space="preserve"> It is an engineering concern. The deponent</w:t>
      </w:r>
      <w:r w:rsidR="00D74C8C">
        <w:rPr>
          <w:rFonts w:ascii="Arial" w:hAnsi="Arial" w:cs="Arial"/>
          <w:sz w:val="24"/>
          <w:szCs w:val="24"/>
        </w:rPr>
        <w:t xml:space="preserve"> confirms that the parties entered into an agreement for the supply and installation of the </w:t>
      </w:r>
      <w:r w:rsidR="00BA17FA">
        <w:rPr>
          <w:rFonts w:ascii="Arial" w:hAnsi="Arial" w:cs="Arial"/>
          <w:sz w:val="24"/>
          <w:szCs w:val="24"/>
        </w:rPr>
        <w:t>geo</w:t>
      </w:r>
      <w:r w:rsidR="00186627">
        <w:rPr>
          <w:rFonts w:ascii="Arial" w:hAnsi="Arial" w:cs="Arial"/>
          <w:sz w:val="24"/>
          <w:szCs w:val="24"/>
        </w:rPr>
        <w:t>-</w:t>
      </w:r>
      <w:r w:rsidR="00D74C8C">
        <w:rPr>
          <w:rFonts w:ascii="Arial" w:hAnsi="Arial" w:cs="Arial"/>
          <w:sz w:val="24"/>
          <w:szCs w:val="24"/>
        </w:rPr>
        <w:t>membrane lining and does not dispute any of the terms of the agreement set out in the particulars of claim. The deponent however asserts that there were certain further terms including a 5% retention (in the sum of N$41</w:t>
      </w:r>
      <w:r w:rsidR="00BD4E60">
        <w:rPr>
          <w:rFonts w:ascii="Arial" w:hAnsi="Arial" w:cs="Arial"/>
          <w:sz w:val="24"/>
          <w:szCs w:val="24"/>
        </w:rPr>
        <w:t>,</w:t>
      </w:r>
      <w:r w:rsidR="00D74C8C">
        <w:rPr>
          <w:rFonts w:ascii="Arial" w:hAnsi="Arial" w:cs="Arial"/>
          <w:sz w:val="24"/>
          <w:szCs w:val="24"/>
        </w:rPr>
        <w:t>480</w:t>
      </w:r>
      <w:r w:rsidR="00BD4E60">
        <w:rPr>
          <w:rFonts w:ascii="Arial" w:hAnsi="Arial" w:cs="Arial"/>
          <w:sz w:val="24"/>
          <w:szCs w:val="24"/>
        </w:rPr>
        <w:t>.</w:t>
      </w:r>
      <w:r w:rsidR="00D74C8C">
        <w:rPr>
          <w:rFonts w:ascii="Arial" w:hAnsi="Arial" w:cs="Arial"/>
          <w:sz w:val="24"/>
          <w:szCs w:val="24"/>
        </w:rPr>
        <w:t>41</w:t>
      </w:r>
      <w:r w:rsidR="00BA17FA">
        <w:rPr>
          <w:rFonts w:ascii="Arial" w:hAnsi="Arial" w:cs="Arial"/>
          <w:sz w:val="24"/>
          <w:szCs w:val="24"/>
        </w:rPr>
        <w:t>)</w:t>
      </w:r>
      <w:r w:rsidR="00BD4E60">
        <w:rPr>
          <w:rFonts w:ascii="Arial" w:hAnsi="Arial" w:cs="Arial"/>
          <w:sz w:val="24"/>
          <w:szCs w:val="24"/>
        </w:rPr>
        <w:t xml:space="preserve"> to be held</w:t>
      </w:r>
      <w:r w:rsidR="00D74C8C">
        <w:rPr>
          <w:rFonts w:ascii="Arial" w:hAnsi="Arial" w:cs="Arial"/>
          <w:sz w:val="24"/>
          <w:szCs w:val="24"/>
        </w:rPr>
        <w:t xml:space="preserve"> for 12 months after the completion of the works </w:t>
      </w:r>
      <w:r w:rsidR="00BA17FA">
        <w:rPr>
          <w:rFonts w:ascii="Arial" w:hAnsi="Arial" w:cs="Arial"/>
          <w:sz w:val="24"/>
          <w:szCs w:val="24"/>
        </w:rPr>
        <w:t>which would</w:t>
      </w:r>
      <w:r w:rsidR="00D74C8C">
        <w:rPr>
          <w:rFonts w:ascii="Arial" w:hAnsi="Arial" w:cs="Arial"/>
          <w:sz w:val="24"/>
          <w:szCs w:val="24"/>
        </w:rPr>
        <w:t xml:space="preserve"> then </w:t>
      </w:r>
      <w:r w:rsidR="00BA17FA">
        <w:rPr>
          <w:rFonts w:ascii="Arial" w:hAnsi="Arial" w:cs="Arial"/>
          <w:sz w:val="24"/>
          <w:szCs w:val="24"/>
        </w:rPr>
        <w:t xml:space="preserve">be </w:t>
      </w:r>
      <w:r w:rsidR="00D74C8C">
        <w:rPr>
          <w:rFonts w:ascii="Arial" w:hAnsi="Arial" w:cs="Arial"/>
          <w:sz w:val="24"/>
          <w:szCs w:val="24"/>
        </w:rPr>
        <w:t xml:space="preserve">payable provided there were no defects. The </w:t>
      </w:r>
      <w:r w:rsidR="00A678D8">
        <w:rPr>
          <w:rFonts w:ascii="Arial" w:hAnsi="Arial" w:cs="Arial"/>
          <w:sz w:val="24"/>
          <w:szCs w:val="24"/>
        </w:rPr>
        <w:t>deponent</w:t>
      </w:r>
      <w:r w:rsidR="007B1C19">
        <w:rPr>
          <w:rFonts w:ascii="Arial" w:hAnsi="Arial" w:cs="Arial"/>
          <w:sz w:val="24"/>
          <w:szCs w:val="24"/>
        </w:rPr>
        <w:t xml:space="preserve"> </w:t>
      </w:r>
      <w:r w:rsidR="00D74C8C">
        <w:rPr>
          <w:rFonts w:ascii="Arial" w:hAnsi="Arial" w:cs="Arial"/>
          <w:sz w:val="24"/>
          <w:szCs w:val="24"/>
        </w:rPr>
        <w:t>also asserted</w:t>
      </w:r>
      <w:r w:rsidR="00BD4E60">
        <w:rPr>
          <w:rFonts w:ascii="Arial" w:hAnsi="Arial" w:cs="Arial"/>
          <w:sz w:val="24"/>
          <w:szCs w:val="24"/>
        </w:rPr>
        <w:t xml:space="preserve"> the existence of</w:t>
      </w:r>
      <w:r w:rsidR="00D74C8C">
        <w:rPr>
          <w:rFonts w:ascii="Arial" w:hAnsi="Arial" w:cs="Arial"/>
          <w:sz w:val="24"/>
          <w:szCs w:val="24"/>
        </w:rPr>
        <w:t xml:space="preserve"> a term</w:t>
      </w:r>
      <w:r w:rsidR="00186627">
        <w:rPr>
          <w:rFonts w:ascii="Arial" w:hAnsi="Arial" w:cs="Arial"/>
          <w:sz w:val="24"/>
          <w:szCs w:val="24"/>
        </w:rPr>
        <w:t xml:space="preserve"> to the effect</w:t>
      </w:r>
      <w:r w:rsidR="00D74C8C">
        <w:rPr>
          <w:rFonts w:ascii="Arial" w:hAnsi="Arial" w:cs="Arial"/>
          <w:sz w:val="24"/>
          <w:szCs w:val="24"/>
        </w:rPr>
        <w:t xml:space="preserve"> that the </w:t>
      </w:r>
      <w:r w:rsidR="00BD4E60">
        <w:rPr>
          <w:rFonts w:ascii="Arial" w:hAnsi="Arial" w:cs="Arial"/>
          <w:sz w:val="24"/>
          <w:szCs w:val="24"/>
        </w:rPr>
        <w:t>plaintiff</w:t>
      </w:r>
      <w:r w:rsidR="00D74C8C">
        <w:rPr>
          <w:rFonts w:ascii="Arial" w:hAnsi="Arial" w:cs="Arial"/>
          <w:sz w:val="24"/>
          <w:szCs w:val="24"/>
        </w:rPr>
        <w:t xml:space="preserve"> would </w:t>
      </w:r>
      <w:r w:rsidR="00BD4E60">
        <w:rPr>
          <w:rFonts w:ascii="Arial" w:hAnsi="Arial" w:cs="Arial"/>
          <w:sz w:val="24"/>
          <w:szCs w:val="24"/>
        </w:rPr>
        <w:t xml:space="preserve">only </w:t>
      </w:r>
      <w:r w:rsidR="00D74C8C">
        <w:rPr>
          <w:rFonts w:ascii="Arial" w:hAnsi="Arial" w:cs="Arial"/>
          <w:sz w:val="24"/>
          <w:szCs w:val="24"/>
        </w:rPr>
        <w:t xml:space="preserve">receive payment once ‘the client consultant engineer had signed a certificate of acceptance of completed work for the work done’. </w:t>
      </w:r>
    </w:p>
    <w:p w14:paraId="50788BD6" w14:textId="77777777" w:rsidR="0085364C" w:rsidRDefault="0085364C" w:rsidP="0085364C">
      <w:pPr>
        <w:pStyle w:val="NoSpacing"/>
        <w:spacing w:line="480" w:lineRule="auto"/>
        <w:jc w:val="both"/>
        <w:rPr>
          <w:rFonts w:ascii="Arial" w:hAnsi="Arial" w:cs="Arial"/>
          <w:sz w:val="24"/>
          <w:szCs w:val="24"/>
        </w:rPr>
      </w:pPr>
    </w:p>
    <w:p w14:paraId="3B996304" w14:textId="77777777" w:rsidR="00090954" w:rsidRDefault="00D74C8C"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BD4E60">
        <w:rPr>
          <w:rFonts w:ascii="Arial" w:hAnsi="Arial" w:cs="Arial"/>
          <w:sz w:val="24"/>
          <w:szCs w:val="24"/>
        </w:rPr>
        <w:t>defend</w:t>
      </w:r>
      <w:r>
        <w:rPr>
          <w:rFonts w:ascii="Arial" w:hAnsi="Arial" w:cs="Arial"/>
          <w:sz w:val="24"/>
          <w:szCs w:val="24"/>
        </w:rPr>
        <w:t>ant states that the works were completed during December 2015. Then follows the statement setting out its defence:</w:t>
      </w:r>
    </w:p>
    <w:p w14:paraId="067854DE" w14:textId="77777777" w:rsidR="00D74C8C" w:rsidRDefault="00D74C8C" w:rsidP="00D74C8C">
      <w:pPr>
        <w:pStyle w:val="NoSpacing"/>
        <w:spacing w:line="480" w:lineRule="auto"/>
        <w:ind w:left="720"/>
        <w:jc w:val="both"/>
        <w:rPr>
          <w:rFonts w:ascii="Arial" w:hAnsi="Arial" w:cs="Arial"/>
          <w:sz w:val="24"/>
          <w:szCs w:val="24"/>
        </w:rPr>
      </w:pPr>
    </w:p>
    <w:p w14:paraId="515C75E8" w14:textId="77777777" w:rsidR="00D74C8C" w:rsidRPr="0085364C" w:rsidRDefault="00D74C8C" w:rsidP="0085364C">
      <w:pPr>
        <w:pStyle w:val="NoSpacing"/>
        <w:spacing w:line="360" w:lineRule="auto"/>
        <w:ind w:left="720"/>
        <w:jc w:val="both"/>
        <w:rPr>
          <w:rFonts w:ascii="Arial" w:hAnsi="Arial" w:cs="Arial"/>
        </w:rPr>
      </w:pPr>
      <w:r w:rsidRPr="0085364C">
        <w:rPr>
          <w:rFonts w:ascii="Arial" w:hAnsi="Arial" w:cs="Arial"/>
        </w:rPr>
        <w:t>‘The work done by the plaintiff was defective and not signed off by the client engineer.’</w:t>
      </w:r>
    </w:p>
    <w:p w14:paraId="63241407" w14:textId="77777777" w:rsidR="00090954" w:rsidRDefault="00090954" w:rsidP="00090954">
      <w:pPr>
        <w:pStyle w:val="ListParagraph"/>
        <w:rPr>
          <w:rFonts w:ascii="Arial" w:hAnsi="Arial" w:cs="Arial"/>
          <w:sz w:val="24"/>
          <w:szCs w:val="24"/>
        </w:rPr>
      </w:pPr>
    </w:p>
    <w:p w14:paraId="7A214D12" w14:textId="77777777" w:rsidR="00090954" w:rsidRDefault="00D74C8C"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There is a further statement that the </w:t>
      </w:r>
      <w:r w:rsidR="00BD4E60">
        <w:rPr>
          <w:rFonts w:ascii="Arial" w:hAnsi="Arial" w:cs="Arial"/>
          <w:sz w:val="24"/>
          <w:szCs w:val="24"/>
        </w:rPr>
        <w:t>defend</w:t>
      </w:r>
      <w:r>
        <w:rPr>
          <w:rFonts w:ascii="Arial" w:hAnsi="Arial" w:cs="Arial"/>
          <w:sz w:val="24"/>
          <w:szCs w:val="24"/>
        </w:rPr>
        <w:t>ant was entitled to withhold payment as the work done ‘was defective’ and the ‘client consulti</w:t>
      </w:r>
      <w:r w:rsidR="0085364C">
        <w:rPr>
          <w:rFonts w:ascii="Arial" w:hAnsi="Arial" w:cs="Arial"/>
          <w:sz w:val="24"/>
          <w:szCs w:val="24"/>
        </w:rPr>
        <w:t>ng</w:t>
      </w:r>
      <w:r>
        <w:rPr>
          <w:rFonts w:ascii="Arial" w:hAnsi="Arial" w:cs="Arial"/>
          <w:sz w:val="24"/>
          <w:szCs w:val="24"/>
        </w:rPr>
        <w:t xml:space="preserve"> engineer did not sign a certificate of acceptance of completed work.’</w:t>
      </w:r>
    </w:p>
    <w:p w14:paraId="6A96A765" w14:textId="77777777" w:rsidR="00090954" w:rsidRDefault="00090954" w:rsidP="00090954">
      <w:pPr>
        <w:pStyle w:val="ListParagraph"/>
        <w:rPr>
          <w:rFonts w:ascii="Arial" w:hAnsi="Arial" w:cs="Arial"/>
          <w:sz w:val="24"/>
          <w:szCs w:val="24"/>
        </w:rPr>
      </w:pPr>
    </w:p>
    <w:p w14:paraId="531DDB75" w14:textId="77777777" w:rsidR="004F200A" w:rsidRDefault="004F200A" w:rsidP="00090954">
      <w:pPr>
        <w:pStyle w:val="ListParagraph"/>
        <w:rPr>
          <w:rFonts w:ascii="Arial" w:hAnsi="Arial" w:cs="Arial"/>
          <w:sz w:val="24"/>
          <w:szCs w:val="24"/>
        </w:rPr>
      </w:pPr>
    </w:p>
    <w:p w14:paraId="45E14471" w14:textId="77777777" w:rsidR="00090954" w:rsidRDefault="00D74C8C"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On the basis of these assertions, the affidavit </w:t>
      </w:r>
      <w:r w:rsidR="0085364C">
        <w:rPr>
          <w:rFonts w:ascii="Arial" w:hAnsi="Arial" w:cs="Arial"/>
          <w:sz w:val="24"/>
          <w:szCs w:val="24"/>
        </w:rPr>
        <w:t>states</w:t>
      </w:r>
      <w:r>
        <w:rPr>
          <w:rFonts w:ascii="Arial" w:hAnsi="Arial" w:cs="Arial"/>
          <w:sz w:val="24"/>
          <w:szCs w:val="24"/>
        </w:rPr>
        <w:t xml:space="preserve"> that the </w:t>
      </w:r>
      <w:r w:rsidR="00BD4E60">
        <w:rPr>
          <w:rFonts w:ascii="Arial" w:hAnsi="Arial" w:cs="Arial"/>
          <w:sz w:val="24"/>
          <w:szCs w:val="24"/>
        </w:rPr>
        <w:t>defend</w:t>
      </w:r>
      <w:r>
        <w:rPr>
          <w:rFonts w:ascii="Arial" w:hAnsi="Arial" w:cs="Arial"/>
          <w:sz w:val="24"/>
          <w:szCs w:val="24"/>
        </w:rPr>
        <w:t xml:space="preserve">ant is not liable to </w:t>
      </w:r>
      <w:r w:rsidR="00490A27">
        <w:rPr>
          <w:rFonts w:ascii="Arial" w:hAnsi="Arial" w:cs="Arial"/>
          <w:sz w:val="24"/>
          <w:szCs w:val="24"/>
        </w:rPr>
        <w:t xml:space="preserve">the </w:t>
      </w:r>
      <w:r w:rsidR="00BD4E60">
        <w:rPr>
          <w:rFonts w:ascii="Arial" w:hAnsi="Arial" w:cs="Arial"/>
          <w:sz w:val="24"/>
          <w:szCs w:val="24"/>
        </w:rPr>
        <w:t>plaintiff</w:t>
      </w:r>
      <w:r w:rsidR="00490A27">
        <w:rPr>
          <w:rFonts w:ascii="Arial" w:hAnsi="Arial" w:cs="Arial"/>
          <w:sz w:val="24"/>
          <w:szCs w:val="24"/>
        </w:rPr>
        <w:t xml:space="preserve"> ‘for the amount claimed or at all.’</w:t>
      </w:r>
    </w:p>
    <w:p w14:paraId="6E0B7B9D" w14:textId="77777777" w:rsidR="00090954" w:rsidRDefault="00090954" w:rsidP="00090954">
      <w:pPr>
        <w:pStyle w:val="ListParagraph"/>
        <w:rPr>
          <w:rFonts w:ascii="Arial" w:hAnsi="Arial" w:cs="Arial"/>
          <w:sz w:val="24"/>
          <w:szCs w:val="24"/>
        </w:rPr>
      </w:pPr>
    </w:p>
    <w:p w14:paraId="49922AB3" w14:textId="77777777" w:rsidR="00090954" w:rsidRDefault="00490A27"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further point is raised that the amount claimed included a retention sum of N$ 41</w:t>
      </w:r>
      <w:r w:rsidR="00BD4E60">
        <w:rPr>
          <w:rFonts w:ascii="Arial" w:hAnsi="Arial" w:cs="Arial"/>
          <w:sz w:val="24"/>
          <w:szCs w:val="24"/>
        </w:rPr>
        <w:t>,480.</w:t>
      </w:r>
      <w:r>
        <w:rPr>
          <w:rFonts w:ascii="Arial" w:hAnsi="Arial" w:cs="Arial"/>
          <w:sz w:val="24"/>
          <w:szCs w:val="24"/>
        </w:rPr>
        <w:t>41 which would not be due as the 12 months period had not expired. The affidavit was deposed to on 16 November 2016.</w:t>
      </w:r>
    </w:p>
    <w:p w14:paraId="077CE7D4" w14:textId="77777777" w:rsidR="00490A27" w:rsidRDefault="00490A27" w:rsidP="00490A27">
      <w:pPr>
        <w:pStyle w:val="ListParagraph"/>
        <w:rPr>
          <w:rFonts w:ascii="Arial" w:hAnsi="Arial" w:cs="Arial"/>
          <w:sz w:val="24"/>
          <w:szCs w:val="24"/>
        </w:rPr>
      </w:pPr>
    </w:p>
    <w:p w14:paraId="5DD6587A" w14:textId="77777777" w:rsidR="00490A27" w:rsidRPr="00490A27" w:rsidRDefault="00490A27" w:rsidP="00490A27">
      <w:pPr>
        <w:pStyle w:val="NoSpacing"/>
        <w:spacing w:line="480" w:lineRule="auto"/>
        <w:jc w:val="both"/>
        <w:rPr>
          <w:rFonts w:ascii="Arial" w:hAnsi="Arial" w:cs="Arial"/>
          <w:sz w:val="24"/>
          <w:szCs w:val="24"/>
          <w:u w:val="single"/>
        </w:rPr>
      </w:pPr>
      <w:r>
        <w:rPr>
          <w:rFonts w:ascii="Arial" w:hAnsi="Arial" w:cs="Arial"/>
          <w:sz w:val="24"/>
          <w:szCs w:val="24"/>
          <w:u w:val="single"/>
        </w:rPr>
        <w:t>Approach of the High Court</w:t>
      </w:r>
    </w:p>
    <w:p w14:paraId="030D1D76" w14:textId="77777777" w:rsidR="00490A27" w:rsidRDefault="00490A27"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application for summary judgment was heard on 7 February 2017 and the court’s reasoned judgment granting summary judgment was</w:t>
      </w:r>
      <w:r w:rsidR="00186627">
        <w:rPr>
          <w:rFonts w:ascii="Arial" w:hAnsi="Arial" w:cs="Arial"/>
          <w:sz w:val="24"/>
          <w:szCs w:val="24"/>
        </w:rPr>
        <w:t xml:space="preserve"> promptly</w:t>
      </w:r>
      <w:r>
        <w:rPr>
          <w:rFonts w:ascii="Arial" w:hAnsi="Arial" w:cs="Arial"/>
          <w:sz w:val="24"/>
          <w:szCs w:val="24"/>
        </w:rPr>
        <w:t xml:space="preserve"> delivered on 1 March 2017.</w:t>
      </w:r>
    </w:p>
    <w:p w14:paraId="292FE2E1" w14:textId="77777777" w:rsidR="00490A27" w:rsidRDefault="00490A27" w:rsidP="00490A27">
      <w:pPr>
        <w:pStyle w:val="ListParagraph"/>
        <w:rPr>
          <w:rFonts w:ascii="Arial" w:hAnsi="Arial" w:cs="Arial"/>
          <w:sz w:val="24"/>
          <w:szCs w:val="24"/>
        </w:rPr>
      </w:pPr>
    </w:p>
    <w:p w14:paraId="2D1F8F42" w14:textId="5A247E30" w:rsidR="00490A27" w:rsidRDefault="00490A27"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referred to </w:t>
      </w:r>
      <w:r w:rsidR="00BD4E60">
        <w:rPr>
          <w:rFonts w:ascii="Arial" w:hAnsi="Arial" w:cs="Arial"/>
          <w:sz w:val="24"/>
          <w:szCs w:val="24"/>
        </w:rPr>
        <w:t>well established</w:t>
      </w:r>
      <w:r>
        <w:rPr>
          <w:rFonts w:ascii="Arial" w:hAnsi="Arial" w:cs="Arial"/>
          <w:sz w:val="24"/>
          <w:szCs w:val="24"/>
        </w:rPr>
        <w:t xml:space="preserve"> authority on the standard of disclosure required by defendants </w:t>
      </w:r>
      <w:r w:rsidR="007B1C19" w:rsidRPr="007B1C19">
        <w:rPr>
          <w:rFonts w:ascii="Arial" w:hAnsi="Arial" w:cs="Arial"/>
          <w:sz w:val="24"/>
          <w:szCs w:val="24"/>
        </w:rPr>
        <w:t xml:space="preserve">resisted </w:t>
      </w:r>
      <w:r>
        <w:rPr>
          <w:rFonts w:ascii="Arial" w:hAnsi="Arial" w:cs="Arial"/>
          <w:sz w:val="24"/>
          <w:szCs w:val="24"/>
        </w:rPr>
        <w:t xml:space="preserve">summary judgment and </w:t>
      </w:r>
      <w:r w:rsidR="0085364C">
        <w:rPr>
          <w:rFonts w:ascii="Arial" w:hAnsi="Arial" w:cs="Arial"/>
          <w:sz w:val="24"/>
          <w:szCs w:val="24"/>
        </w:rPr>
        <w:t>found</w:t>
      </w:r>
      <w:r>
        <w:rPr>
          <w:rFonts w:ascii="Arial" w:hAnsi="Arial" w:cs="Arial"/>
          <w:sz w:val="24"/>
          <w:szCs w:val="24"/>
        </w:rPr>
        <w:t xml:space="preserve"> that the terse statement contending for a defective performance fell far short of satisfying </w:t>
      </w:r>
      <w:r w:rsidR="00BD4E60">
        <w:rPr>
          <w:rFonts w:ascii="Arial" w:hAnsi="Arial" w:cs="Arial"/>
          <w:sz w:val="24"/>
          <w:szCs w:val="24"/>
        </w:rPr>
        <w:t>the existence of</w:t>
      </w:r>
      <w:r>
        <w:rPr>
          <w:rFonts w:ascii="Arial" w:hAnsi="Arial" w:cs="Arial"/>
          <w:sz w:val="24"/>
          <w:szCs w:val="24"/>
        </w:rPr>
        <w:t xml:space="preserve"> a </w:t>
      </w:r>
      <w:r w:rsidRPr="00490A27">
        <w:rPr>
          <w:rFonts w:ascii="Arial" w:hAnsi="Arial" w:cs="Arial"/>
          <w:i/>
          <w:sz w:val="24"/>
          <w:szCs w:val="24"/>
        </w:rPr>
        <w:t>bona fide</w:t>
      </w:r>
      <w:r>
        <w:rPr>
          <w:rFonts w:ascii="Arial" w:hAnsi="Arial" w:cs="Arial"/>
          <w:sz w:val="24"/>
          <w:szCs w:val="24"/>
        </w:rPr>
        <w:t xml:space="preserve"> defence</w:t>
      </w:r>
      <w:r w:rsidR="00BD4E60">
        <w:rPr>
          <w:rFonts w:ascii="Arial" w:hAnsi="Arial" w:cs="Arial"/>
          <w:sz w:val="24"/>
          <w:szCs w:val="24"/>
        </w:rPr>
        <w:t xml:space="preserve"> by</w:t>
      </w:r>
      <w:r>
        <w:rPr>
          <w:rFonts w:ascii="Arial" w:hAnsi="Arial" w:cs="Arial"/>
          <w:sz w:val="24"/>
          <w:szCs w:val="24"/>
        </w:rPr>
        <w:t xml:space="preserve"> disclosing fully its nature and grounds and the material facts relied on. The </w:t>
      </w:r>
      <w:r w:rsidR="00025F4A">
        <w:rPr>
          <w:rFonts w:ascii="Arial" w:hAnsi="Arial" w:cs="Arial"/>
          <w:sz w:val="24"/>
          <w:szCs w:val="24"/>
        </w:rPr>
        <w:t>c</w:t>
      </w:r>
      <w:r>
        <w:rPr>
          <w:rFonts w:ascii="Arial" w:hAnsi="Arial" w:cs="Arial"/>
          <w:sz w:val="24"/>
          <w:szCs w:val="24"/>
        </w:rPr>
        <w:t xml:space="preserve">ourt referred to the fact </w:t>
      </w:r>
      <w:r w:rsidR="0085364C">
        <w:rPr>
          <w:rFonts w:ascii="Arial" w:hAnsi="Arial" w:cs="Arial"/>
          <w:sz w:val="24"/>
          <w:szCs w:val="24"/>
        </w:rPr>
        <w:t>that it was not stated in what re</w:t>
      </w:r>
      <w:r>
        <w:rPr>
          <w:rFonts w:ascii="Arial" w:hAnsi="Arial" w:cs="Arial"/>
          <w:sz w:val="24"/>
          <w:szCs w:val="24"/>
        </w:rPr>
        <w:t xml:space="preserve">spect(s) the performance was </w:t>
      </w:r>
      <w:r w:rsidR="00BD4E60">
        <w:rPr>
          <w:rFonts w:ascii="Arial" w:hAnsi="Arial" w:cs="Arial"/>
          <w:sz w:val="24"/>
          <w:szCs w:val="24"/>
        </w:rPr>
        <w:t xml:space="preserve">said to be </w:t>
      </w:r>
      <w:r>
        <w:rPr>
          <w:rFonts w:ascii="Arial" w:hAnsi="Arial" w:cs="Arial"/>
          <w:sz w:val="24"/>
          <w:szCs w:val="24"/>
        </w:rPr>
        <w:t xml:space="preserve">defective and </w:t>
      </w:r>
      <w:r w:rsidR="00BD4E60">
        <w:rPr>
          <w:rFonts w:ascii="Arial" w:hAnsi="Arial" w:cs="Arial"/>
          <w:sz w:val="24"/>
          <w:szCs w:val="24"/>
        </w:rPr>
        <w:t xml:space="preserve">to </w:t>
      </w:r>
      <w:r>
        <w:rPr>
          <w:rFonts w:ascii="Arial" w:hAnsi="Arial" w:cs="Arial"/>
          <w:sz w:val="24"/>
          <w:szCs w:val="24"/>
        </w:rPr>
        <w:t xml:space="preserve">the failure to include any facts </w:t>
      </w:r>
      <w:r w:rsidR="00025F4A">
        <w:rPr>
          <w:rFonts w:ascii="Arial" w:hAnsi="Arial" w:cs="Arial"/>
          <w:sz w:val="24"/>
          <w:szCs w:val="24"/>
        </w:rPr>
        <w:t>in</w:t>
      </w:r>
      <w:r w:rsidR="00186627">
        <w:rPr>
          <w:rFonts w:ascii="Arial" w:hAnsi="Arial" w:cs="Arial"/>
          <w:sz w:val="24"/>
          <w:szCs w:val="24"/>
        </w:rPr>
        <w:t xml:space="preserve"> support of</w:t>
      </w:r>
      <w:r w:rsidR="000A687A">
        <w:rPr>
          <w:rFonts w:ascii="Arial" w:hAnsi="Arial" w:cs="Arial"/>
          <w:sz w:val="24"/>
          <w:szCs w:val="24"/>
        </w:rPr>
        <w:t xml:space="preserve"> that contention. The court deprecated the attempt by the </w:t>
      </w:r>
      <w:r w:rsidR="00BD4E60">
        <w:rPr>
          <w:rFonts w:ascii="Arial" w:hAnsi="Arial" w:cs="Arial"/>
          <w:sz w:val="24"/>
          <w:szCs w:val="24"/>
        </w:rPr>
        <w:t>defendant</w:t>
      </w:r>
      <w:r w:rsidR="000A687A">
        <w:rPr>
          <w:rFonts w:ascii="Arial" w:hAnsi="Arial" w:cs="Arial"/>
          <w:sz w:val="24"/>
          <w:szCs w:val="24"/>
        </w:rPr>
        <w:t>’s legal representative to introduce</w:t>
      </w:r>
      <w:r w:rsidR="007E01C2">
        <w:rPr>
          <w:rFonts w:ascii="Arial" w:hAnsi="Arial" w:cs="Arial"/>
          <w:sz w:val="24"/>
          <w:szCs w:val="24"/>
        </w:rPr>
        <w:t xml:space="preserve"> factual matter in argument </w:t>
      </w:r>
      <w:r w:rsidR="0085364C">
        <w:rPr>
          <w:rFonts w:ascii="Arial" w:hAnsi="Arial" w:cs="Arial"/>
          <w:sz w:val="24"/>
          <w:szCs w:val="24"/>
        </w:rPr>
        <w:t xml:space="preserve">which was </w:t>
      </w:r>
      <w:r w:rsidR="007E01C2">
        <w:rPr>
          <w:rFonts w:ascii="Arial" w:hAnsi="Arial" w:cs="Arial"/>
          <w:sz w:val="24"/>
          <w:szCs w:val="24"/>
        </w:rPr>
        <w:t>not contained in the opposing affidavit and stressed that a defendant is con</w:t>
      </w:r>
      <w:r w:rsidR="0085364C">
        <w:rPr>
          <w:rFonts w:ascii="Arial" w:hAnsi="Arial" w:cs="Arial"/>
          <w:sz w:val="24"/>
          <w:szCs w:val="24"/>
        </w:rPr>
        <w:t>fined to its opposing affidavit.</w:t>
      </w:r>
      <w:r w:rsidR="004F200A">
        <w:rPr>
          <w:rStyle w:val="FootnoteReference"/>
          <w:rFonts w:ascii="Arial" w:hAnsi="Arial" w:cs="Arial"/>
          <w:sz w:val="24"/>
          <w:szCs w:val="24"/>
        </w:rPr>
        <w:footnoteReference w:id="1"/>
      </w:r>
      <w:r w:rsidR="007B1C19">
        <w:rPr>
          <w:rStyle w:val="CommentReference"/>
        </w:rPr>
        <w:t xml:space="preserve"> </w:t>
      </w:r>
      <w:r w:rsidR="0085364C">
        <w:rPr>
          <w:rFonts w:ascii="Arial" w:hAnsi="Arial" w:cs="Arial"/>
          <w:sz w:val="24"/>
          <w:szCs w:val="24"/>
        </w:rPr>
        <w:t xml:space="preserve"> The court declined to </w:t>
      </w:r>
      <w:r w:rsidR="007E01C2">
        <w:rPr>
          <w:rFonts w:ascii="Arial" w:hAnsi="Arial" w:cs="Arial"/>
          <w:sz w:val="24"/>
          <w:szCs w:val="24"/>
        </w:rPr>
        <w:t>permit counsel to adduce evidence</w:t>
      </w:r>
      <w:r w:rsidR="00186627">
        <w:rPr>
          <w:rFonts w:ascii="Arial" w:hAnsi="Arial" w:cs="Arial"/>
          <w:sz w:val="24"/>
          <w:szCs w:val="24"/>
        </w:rPr>
        <w:t xml:space="preserve"> </w:t>
      </w:r>
      <w:r w:rsidR="00186627">
        <w:rPr>
          <w:rFonts w:ascii="Arial" w:hAnsi="Arial" w:cs="Arial"/>
          <w:sz w:val="24"/>
          <w:szCs w:val="24"/>
        </w:rPr>
        <w:lastRenderedPageBreak/>
        <w:t>of defects</w:t>
      </w:r>
      <w:r w:rsidR="007E01C2">
        <w:rPr>
          <w:rFonts w:ascii="Arial" w:hAnsi="Arial" w:cs="Arial"/>
          <w:sz w:val="24"/>
          <w:szCs w:val="24"/>
        </w:rPr>
        <w:t xml:space="preserve"> from the </w:t>
      </w:r>
      <w:r w:rsidR="003A7794">
        <w:rPr>
          <w:rFonts w:ascii="Arial" w:hAnsi="Arial" w:cs="Arial"/>
          <w:sz w:val="24"/>
          <w:szCs w:val="24"/>
        </w:rPr>
        <w:t>B</w:t>
      </w:r>
      <w:r w:rsidR="007E01C2">
        <w:rPr>
          <w:rFonts w:ascii="Arial" w:hAnsi="Arial" w:cs="Arial"/>
          <w:sz w:val="24"/>
          <w:szCs w:val="24"/>
        </w:rPr>
        <w:t>ar. As to the partial defence relating to retention, the court found that insufficient facts were put before it to support that defence.</w:t>
      </w:r>
    </w:p>
    <w:p w14:paraId="2EC7A654" w14:textId="77777777" w:rsidR="007E01C2" w:rsidRDefault="007E01C2" w:rsidP="007E01C2">
      <w:pPr>
        <w:pStyle w:val="ListParagraph"/>
        <w:rPr>
          <w:rFonts w:ascii="Arial" w:hAnsi="Arial" w:cs="Arial"/>
          <w:sz w:val="24"/>
          <w:szCs w:val="24"/>
        </w:rPr>
      </w:pPr>
    </w:p>
    <w:p w14:paraId="3095C548" w14:textId="77777777" w:rsidR="00490A27" w:rsidRDefault="007E01C2" w:rsidP="007E01C2">
      <w:pPr>
        <w:pStyle w:val="NoSpacing"/>
        <w:spacing w:line="480" w:lineRule="auto"/>
        <w:jc w:val="both"/>
        <w:rPr>
          <w:rFonts w:ascii="Arial" w:hAnsi="Arial" w:cs="Arial"/>
          <w:sz w:val="24"/>
          <w:szCs w:val="24"/>
        </w:rPr>
      </w:pPr>
      <w:r>
        <w:rPr>
          <w:rFonts w:ascii="Arial" w:hAnsi="Arial" w:cs="Arial"/>
          <w:sz w:val="24"/>
          <w:szCs w:val="24"/>
          <w:u w:val="single"/>
        </w:rPr>
        <w:t>Counsel’s submissions</w:t>
      </w:r>
    </w:p>
    <w:p w14:paraId="7CBE1B4B" w14:textId="77777777" w:rsidR="00490A27" w:rsidRDefault="007E01C2"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Ms R Mondo, who appeared for the </w:t>
      </w:r>
      <w:r w:rsidR="00BD4E60">
        <w:rPr>
          <w:rFonts w:ascii="Arial" w:hAnsi="Arial" w:cs="Arial"/>
          <w:sz w:val="24"/>
          <w:szCs w:val="24"/>
        </w:rPr>
        <w:t>defend</w:t>
      </w:r>
      <w:r>
        <w:rPr>
          <w:rFonts w:ascii="Arial" w:hAnsi="Arial" w:cs="Arial"/>
          <w:sz w:val="24"/>
          <w:szCs w:val="24"/>
        </w:rPr>
        <w:t xml:space="preserve">ant, argued that the High Court erred in finding that the </w:t>
      </w:r>
      <w:r w:rsidR="00BD4E60">
        <w:rPr>
          <w:rFonts w:ascii="Arial" w:hAnsi="Arial" w:cs="Arial"/>
          <w:sz w:val="24"/>
          <w:szCs w:val="24"/>
        </w:rPr>
        <w:t>defend</w:t>
      </w:r>
      <w:r>
        <w:rPr>
          <w:rFonts w:ascii="Arial" w:hAnsi="Arial" w:cs="Arial"/>
          <w:sz w:val="24"/>
          <w:szCs w:val="24"/>
        </w:rPr>
        <w:t xml:space="preserve">ant’s opposing affidavit did not sufficiently disclose its defence as required by rule 60(5). Ms Mondo submitted that the </w:t>
      </w:r>
      <w:r w:rsidR="00BD4E60">
        <w:rPr>
          <w:rFonts w:ascii="Arial" w:hAnsi="Arial" w:cs="Arial"/>
          <w:sz w:val="24"/>
          <w:szCs w:val="24"/>
        </w:rPr>
        <w:t>defend</w:t>
      </w:r>
      <w:r>
        <w:rPr>
          <w:rFonts w:ascii="Arial" w:hAnsi="Arial" w:cs="Arial"/>
          <w:sz w:val="24"/>
          <w:szCs w:val="24"/>
        </w:rPr>
        <w:t xml:space="preserve">ant’s defence is based on the </w:t>
      </w:r>
      <w:r w:rsidRPr="007E01C2">
        <w:rPr>
          <w:rFonts w:ascii="Arial" w:hAnsi="Arial" w:cs="Arial"/>
          <w:i/>
          <w:sz w:val="24"/>
          <w:szCs w:val="24"/>
        </w:rPr>
        <w:t>exceptio non ad</w:t>
      </w:r>
      <w:r w:rsidR="00186627">
        <w:rPr>
          <w:rFonts w:ascii="Arial" w:hAnsi="Arial" w:cs="Arial"/>
          <w:i/>
          <w:sz w:val="24"/>
          <w:szCs w:val="24"/>
        </w:rPr>
        <w:t>e</w:t>
      </w:r>
      <w:r w:rsidRPr="007E01C2">
        <w:rPr>
          <w:rFonts w:ascii="Arial" w:hAnsi="Arial" w:cs="Arial"/>
          <w:i/>
          <w:sz w:val="24"/>
          <w:szCs w:val="24"/>
        </w:rPr>
        <w:t>mpleti contractus</w:t>
      </w:r>
      <w:r>
        <w:rPr>
          <w:rFonts w:ascii="Arial" w:hAnsi="Arial" w:cs="Arial"/>
          <w:sz w:val="24"/>
          <w:szCs w:val="24"/>
        </w:rPr>
        <w:t xml:space="preserve"> which permitted the </w:t>
      </w:r>
      <w:r w:rsidR="00BD4E60">
        <w:rPr>
          <w:rFonts w:ascii="Arial" w:hAnsi="Arial" w:cs="Arial"/>
          <w:sz w:val="24"/>
          <w:szCs w:val="24"/>
        </w:rPr>
        <w:t>defend</w:t>
      </w:r>
      <w:r>
        <w:rPr>
          <w:rFonts w:ascii="Arial" w:hAnsi="Arial" w:cs="Arial"/>
          <w:sz w:val="24"/>
          <w:szCs w:val="24"/>
        </w:rPr>
        <w:t xml:space="preserve">ant to withhold its performance until the </w:t>
      </w:r>
      <w:r w:rsidR="00186627">
        <w:rPr>
          <w:rFonts w:ascii="Arial" w:hAnsi="Arial" w:cs="Arial"/>
          <w:sz w:val="24"/>
          <w:szCs w:val="24"/>
        </w:rPr>
        <w:t>plaintiff</w:t>
      </w:r>
      <w:r>
        <w:rPr>
          <w:rFonts w:ascii="Arial" w:hAnsi="Arial" w:cs="Arial"/>
          <w:sz w:val="24"/>
          <w:szCs w:val="24"/>
        </w:rPr>
        <w:t xml:space="preserve"> had duly performed or tendered proper performance of its obligations.</w:t>
      </w:r>
    </w:p>
    <w:p w14:paraId="2429F8AB" w14:textId="77777777" w:rsidR="00490A27" w:rsidRDefault="00490A27" w:rsidP="00490A27">
      <w:pPr>
        <w:pStyle w:val="ListParagraph"/>
        <w:rPr>
          <w:rFonts w:ascii="Arial" w:hAnsi="Arial" w:cs="Arial"/>
          <w:sz w:val="24"/>
          <w:szCs w:val="24"/>
        </w:rPr>
      </w:pPr>
    </w:p>
    <w:p w14:paraId="79358BAA" w14:textId="77777777" w:rsidR="00490A27" w:rsidRDefault="007E01C2"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Ms Mondo contend</w:t>
      </w:r>
      <w:r w:rsidR="0085364C">
        <w:rPr>
          <w:rFonts w:ascii="Arial" w:hAnsi="Arial" w:cs="Arial"/>
          <w:sz w:val="24"/>
          <w:szCs w:val="24"/>
        </w:rPr>
        <w:t>ed</w:t>
      </w:r>
      <w:r>
        <w:rPr>
          <w:rFonts w:ascii="Arial" w:hAnsi="Arial" w:cs="Arial"/>
          <w:sz w:val="24"/>
          <w:szCs w:val="24"/>
        </w:rPr>
        <w:t xml:space="preserve"> that the nature of the </w:t>
      </w:r>
      <w:r w:rsidR="00BD4E60">
        <w:rPr>
          <w:rFonts w:ascii="Arial" w:hAnsi="Arial" w:cs="Arial"/>
          <w:sz w:val="24"/>
          <w:szCs w:val="24"/>
        </w:rPr>
        <w:t>defend</w:t>
      </w:r>
      <w:r>
        <w:rPr>
          <w:rFonts w:ascii="Arial" w:hAnsi="Arial" w:cs="Arial"/>
          <w:sz w:val="24"/>
          <w:szCs w:val="24"/>
        </w:rPr>
        <w:t>ant’s defence is ‘factual and not one based on law’ and that the ‘material fact’ of the breach is that the lining was defective. Ms Mondo further argued ‘whether the defects were material or immaterial def</w:t>
      </w:r>
      <w:r w:rsidR="00BD4E60">
        <w:rPr>
          <w:rFonts w:ascii="Arial" w:hAnsi="Arial" w:cs="Arial"/>
          <w:sz w:val="24"/>
          <w:szCs w:val="24"/>
        </w:rPr>
        <w:t>ects, the law is that the right</w:t>
      </w:r>
      <w:r>
        <w:rPr>
          <w:rFonts w:ascii="Arial" w:hAnsi="Arial" w:cs="Arial"/>
          <w:sz w:val="24"/>
          <w:szCs w:val="24"/>
        </w:rPr>
        <w:t xml:space="preserve"> to reject a defective or incomplete performance does not depend on the seriousness of the defect or the extent of the shortfall’.   </w:t>
      </w:r>
    </w:p>
    <w:p w14:paraId="163BE6E8" w14:textId="77777777" w:rsidR="00490A27" w:rsidRDefault="00490A27" w:rsidP="00490A27">
      <w:pPr>
        <w:pStyle w:val="ListParagraph"/>
        <w:rPr>
          <w:rFonts w:ascii="Arial" w:hAnsi="Arial" w:cs="Arial"/>
          <w:sz w:val="24"/>
          <w:szCs w:val="24"/>
        </w:rPr>
      </w:pPr>
    </w:p>
    <w:p w14:paraId="1316065C" w14:textId="77777777" w:rsidR="0085364C" w:rsidRDefault="007E01C2"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Ms Mondo further contended that the </w:t>
      </w:r>
      <w:r w:rsidR="00BD4E60">
        <w:rPr>
          <w:rFonts w:ascii="Arial" w:hAnsi="Arial" w:cs="Arial"/>
          <w:sz w:val="24"/>
          <w:szCs w:val="24"/>
        </w:rPr>
        <w:t>defend</w:t>
      </w:r>
      <w:r>
        <w:rPr>
          <w:rFonts w:ascii="Arial" w:hAnsi="Arial" w:cs="Arial"/>
          <w:sz w:val="24"/>
          <w:szCs w:val="24"/>
        </w:rPr>
        <w:t xml:space="preserve">ant was not entitled to payment until a certificate of completion of the work had been signed by the ‘client consulting engineer’. As for the retention defence, </w:t>
      </w:r>
      <w:r w:rsidR="00BB2C10">
        <w:rPr>
          <w:rFonts w:ascii="Arial" w:hAnsi="Arial" w:cs="Arial"/>
          <w:sz w:val="24"/>
          <w:szCs w:val="24"/>
        </w:rPr>
        <w:t xml:space="preserve">Ms Mondo argued that the 12 month period </w:t>
      </w:r>
      <w:r w:rsidR="00BD4E60">
        <w:rPr>
          <w:rFonts w:ascii="Arial" w:hAnsi="Arial" w:cs="Arial"/>
          <w:sz w:val="24"/>
          <w:szCs w:val="24"/>
        </w:rPr>
        <w:lastRenderedPageBreak/>
        <w:t xml:space="preserve">would </w:t>
      </w:r>
      <w:r w:rsidR="00BB2C10">
        <w:rPr>
          <w:rFonts w:ascii="Arial" w:hAnsi="Arial" w:cs="Arial"/>
          <w:sz w:val="24"/>
          <w:szCs w:val="24"/>
        </w:rPr>
        <w:t>only start to run once the certificate of acceptance of completed work is signed by th</w:t>
      </w:r>
      <w:r w:rsidR="0085364C">
        <w:rPr>
          <w:rFonts w:ascii="Arial" w:hAnsi="Arial" w:cs="Arial"/>
          <w:sz w:val="24"/>
          <w:szCs w:val="24"/>
        </w:rPr>
        <w:t>e ‘client consultant engineer’.</w:t>
      </w:r>
    </w:p>
    <w:p w14:paraId="4EFEB41D" w14:textId="77777777" w:rsidR="0085364C" w:rsidRDefault="0085364C" w:rsidP="0085364C">
      <w:pPr>
        <w:pStyle w:val="ListParagraph"/>
        <w:rPr>
          <w:rFonts w:ascii="Arial" w:hAnsi="Arial" w:cs="Arial"/>
          <w:sz w:val="24"/>
          <w:szCs w:val="24"/>
        </w:rPr>
      </w:pPr>
    </w:p>
    <w:p w14:paraId="1C509B52" w14:textId="77777777" w:rsidR="0085364C" w:rsidRPr="00F8652B" w:rsidRDefault="00BB2C10"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for the court’s </w:t>
      </w:r>
      <w:r w:rsidR="0085364C">
        <w:rPr>
          <w:rFonts w:ascii="Arial" w:hAnsi="Arial" w:cs="Arial"/>
          <w:sz w:val="24"/>
          <w:szCs w:val="24"/>
        </w:rPr>
        <w:t>refusal to accept</w:t>
      </w:r>
      <w:r>
        <w:rPr>
          <w:rFonts w:ascii="Arial" w:hAnsi="Arial" w:cs="Arial"/>
          <w:sz w:val="24"/>
          <w:szCs w:val="24"/>
        </w:rPr>
        <w:t xml:space="preserve"> evidence </w:t>
      </w:r>
      <w:r w:rsidR="0085364C">
        <w:rPr>
          <w:rFonts w:ascii="Arial" w:hAnsi="Arial" w:cs="Arial"/>
          <w:sz w:val="24"/>
          <w:szCs w:val="24"/>
        </w:rPr>
        <w:t xml:space="preserve">tendered </w:t>
      </w:r>
      <w:r>
        <w:rPr>
          <w:rFonts w:ascii="Arial" w:hAnsi="Arial" w:cs="Arial"/>
          <w:sz w:val="24"/>
          <w:szCs w:val="24"/>
        </w:rPr>
        <w:t xml:space="preserve">from the </w:t>
      </w:r>
      <w:r w:rsidR="003A7794">
        <w:rPr>
          <w:rFonts w:ascii="Arial" w:hAnsi="Arial" w:cs="Arial"/>
          <w:sz w:val="24"/>
          <w:szCs w:val="24"/>
        </w:rPr>
        <w:t>B</w:t>
      </w:r>
      <w:r>
        <w:rPr>
          <w:rFonts w:ascii="Arial" w:hAnsi="Arial" w:cs="Arial"/>
          <w:sz w:val="24"/>
          <w:szCs w:val="24"/>
        </w:rPr>
        <w:t xml:space="preserve">ar, Ms Mondo </w:t>
      </w:r>
      <w:r w:rsidR="00251264">
        <w:rPr>
          <w:rFonts w:ascii="Arial" w:hAnsi="Arial" w:cs="Arial"/>
          <w:sz w:val="24"/>
          <w:szCs w:val="24"/>
        </w:rPr>
        <w:t>stated in her written argument</w:t>
      </w:r>
      <w:r>
        <w:rPr>
          <w:rFonts w:ascii="Arial" w:hAnsi="Arial" w:cs="Arial"/>
          <w:sz w:val="24"/>
          <w:szCs w:val="24"/>
        </w:rPr>
        <w:t xml:space="preserve"> that she was entitled to ‘put the record straight when (an) issue was raised’ and that the further 'information’ provided concerning defects (from the </w:t>
      </w:r>
      <w:r w:rsidR="003A7794">
        <w:rPr>
          <w:rFonts w:ascii="Arial" w:hAnsi="Arial" w:cs="Arial"/>
          <w:sz w:val="24"/>
          <w:szCs w:val="24"/>
        </w:rPr>
        <w:t>B</w:t>
      </w:r>
      <w:r>
        <w:rPr>
          <w:rFonts w:ascii="Arial" w:hAnsi="Arial" w:cs="Arial"/>
          <w:sz w:val="24"/>
          <w:szCs w:val="24"/>
        </w:rPr>
        <w:t xml:space="preserve">ar) should have been taken into account by the court, </w:t>
      </w:r>
      <w:r w:rsidR="0085364C">
        <w:rPr>
          <w:rFonts w:ascii="Arial" w:hAnsi="Arial" w:cs="Arial"/>
          <w:sz w:val="24"/>
          <w:szCs w:val="24"/>
        </w:rPr>
        <w:t xml:space="preserve">seeking to </w:t>
      </w:r>
      <w:r>
        <w:rPr>
          <w:rFonts w:ascii="Arial" w:hAnsi="Arial" w:cs="Arial"/>
          <w:sz w:val="24"/>
          <w:szCs w:val="24"/>
        </w:rPr>
        <w:t xml:space="preserve">rely </w:t>
      </w:r>
      <w:r w:rsidRPr="00F8652B">
        <w:rPr>
          <w:rFonts w:ascii="Arial" w:hAnsi="Arial" w:cs="Arial"/>
          <w:sz w:val="24"/>
          <w:szCs w:val="24"/>
        </w:rPr>
        <w:t xml:space="preserve">on </w:t>
      </w:r>
      <w:r w:rsidRPr="00F8652B">
        <w:rPr>
          <w:rFonts w:ascii="Arial" w:hAnsi="Arial" w:cs="Arial"/>
          <w:i/>
          <w:sz w:val="24"/>
          <w:szCs w:val="24"/>
        </w:rPr>
        <w:t>Soller N</w:t>
      </w:r>
      <w:r w:rsidR="003A7794">
        <w:rPr>
          <w:rFonts w:ascii="Arial" w:hAnsi="Arial" w:cs="Arial"/>
          <w:i/>
          <w:sz w:val="24"/>
          <w:szCs w:val="24"/>
        </w:rPr>
        <w:t>O</w:t>
      </w:r>
      <w:r w:rsidRPr="00F8652B">
        <w:rPr>
          <w:rFonts w:ascii="Arial" w:hAnsi="Arial" w:cs="Arial"/>
          <w:i/>
          <w:sz w:val="24"/>
          <w:szCs w:val="24"/>
        </w:rPr>
        <w:t xml:space="preserve"> v G and another</w:t>
      </w:r>
      <w:r w:rsidRPr="00F8652B">
        <w:rPr>
          <w:rFonts w:ascii="Arial" w:hAnsi="Arial" w:cs="Arial"/>
          <w:sz w:val="24"/>
          <w:szCs w:val="24"/>
        </w:rPr>
        <w:t>.</w:t>
      </w:r>
      <w:r w:rsidRPr="00F8652B">
        <w:rPr>
          <w:rStyle w:val="FootnoteReference"/>
          <w:rFonts w:ascii="Arial" w:hAnsi="Arial" w:cs="Arial"/>
          <w:sz w:val="24"/>
          <w:szCs w:val="24"/>
        </w:rPr>
        <w:footnoteReference w:id="2"/>
      </w:r>
      <w:r w:rsidRPr="00F8652B">
        <w:rPr>
          <w:rFonts w:ascii="Arial" w:hAnsi="Arial" w:cs="Arial"/>
          <w:sz w:val="24"/>
          <w:szCs w:val="24"/>
        </w:rPr>
        <w:t xml:space="preserve"> </w:t>
      </w:r>
      <w:r w:rsidR="00251264">
        <w:rPr>
          <w:rFonts w:ascii="Arial" w:hAnsi="Arial" w:cs="Arial"/>
          <w:sz w:val="24"/>
          <w:szCs w:val="24"/>
        </w:rPr>
        <w:t xml:space="preserve">After members of the court raised </w:t>
      </w:r>
      <w:r w:rsidR="00D00E93">
        <w:rPr>
          <w:rFonts w:ascii="Arial" w:hAnsi="Arial" w:cs="Arial"/>
          <w:sz w:val="24"/>
          <w:szCs w:val="24"/>
        </w:rPr>
        <w:t>this</w:t>
      </w:r>
      <w:r w:rsidR="00251264">
        <w:rPr>
          <w:rFonts w:ascii="Arial" w:hAnsi="Arial" w:cs="Arial"/>
          <w:sz w:val="24"/>
          <w:szCs w:val="24"/>
        </w:rPr>
        <w:t xml:space="preserve"> issue with her, Ms Mondo correctly conceded that it was not open to her to rely on factual matter not properly placed before the court in the defendant</w:t>
      </w:r>
      <w:r w:rsidR="00D00E93">
        <w:rPr>
          <w:rFonts w:ascii="Arial" w:hAnsi="Arial" w:cs="Arial"/>
          <w:sz w:val="24"/>
          <w:szCs w:val="24"/>
        </w:rPr>
        <w:t>’</w:t>
      </w:r>
      <w:r w:rsidR="00251264">
        <w:rPr>
          <w:rFonts w:ascii="Arial" w:hAnsi="Arial" w:cs="Arial"/>
          <w:sz w:val="24"/>
          <w:szCs w:val="24"/>
        </w:rPr>
        <w:t>s opposing affidavit.</w:t>
      </w:r>
    </w:p>
    <w:p w14:paraId="5B636A03" w14:textId="77777777" w:rsidR="0085364C" w:rsidRDefault="0085364C" w:rsidP="0085364C">
      <w:pPr>
        <w:pStyle w:val="ListParagraph"/>
        <w:rPr>
          <w:rFonts w:ascii="Arial" w:hAnsi="Arial" w:cs="Arial"/>
          <w:sz w:val="24"/>
          <w:szCs w:val="24"/>
        </w:rPr>
      </w:pPr>
    </w:p>
    <w:p w14:paraId="0FE6CB09" w14:textId="77777777" w:rsidR="00251264" w:rsidRDefault="00BB2C10" w:rsidP="00DF0D25">
      <w:pPr>
        <w:pStyle w:val="NoSpacing"/>
        <w:numPr>
          <w:ilvl w:val="0"/>
          <w:numId w:val="4"/>
        </w:numPr>
        <w:spacing w:line="480" w:lineRule="auto"/>
        <w:ind w:left="0" w:firstLine="0"/>
        <w:jc w:val="both"/>
        <w:rPr>
          <w:rFonts w:ascii="Arial" w:hAnsi="Arial" w:cs="Arial"/>
          <w:sz w:val="24"/>
          <w:szCs w:val="24"/>
        </w:rPr>
      </w:pPr>
      <w:r w:rsidRPr="00F87818">
        <w:rPr>
          <w:rFonts w:ascii="Arial" w:hAnsi="Arial" w:cs="Arial"/>
          <w:sz w:val="24"/>
          <w:szCs w:val="24"/>
        </w:rPr>
        <w:t xml:space="preserve">Ms Mondo further argued that the </w:t>
      </w:r>
      <w:r w:rsidR="000753D3" w:rsidRPr="00F87818">
        <w:rPr>
          <w:rFonts w:ascii="Arial" w:hAnsi="Arial" w:cs="Arial"/>
          <w:sz w:val="24"/>
          <w:szCs w:val="24"/>
        </w:rPr>
        <w:t xml:space="preserve">court </w:t>
      </w:r>
      <w:r w:rsidRPr="00F87818">
        <w:rPr>
          <w:rFonts w:ascii="Arial" w:hAnsi="Arial" w:cs="Arial"/>
          <w:sz w:val="24"/>
          <w:szCs w:val="24"/>
        </w:rPr>
        <w:t>had failed to exercise its discretion properly in dec</w:t>
      </w:r>
      <w:r w:rsidR="000753D3" w:rsidRPr="00F87818">
        <w:rPr>
          <w:rFonts w:ascii="Arial" w:hAnsi="Arial" w:cs="Arial"/>
          <w:sz w:val="24"/>
          <w:szCs w:val="24"/>
        </w:rPr>
        <w:t xml:space="preserve">iding </w:t>
      </w:r>
      <w:r w:rsidR="00186627" w:rsidRPr="00F87818">
        <w:rPr>
          <w:rFonts w:ascii="Arial" w:hAnsi="Arial" w:cs="Arial"/>
          <w:sz w:val="24"/>
          <w:szCs w:val="24"/>
        </w:rPr>
        <w:t xml:space="preserve">whether </w:t>
      </w:r>
      <w:r w:rsidR="000753D3" w:rsidRPr="00F87818">
        <w:rPr>
          <w:rFonts w:ascii="Arial" w:hAnsi="Arial" w:cs="Arial"/>
          <w:sz w:val="24"/>
          <w:szCs w:val="24"/>
        </w:rPr>
        <w:t>to grant summary judgment</w:t>
      </w:r>
      <w:r w:rsidR="00186627" w:rsidRPr="00F87818">
        <w:rPr>
          <w:rFonts w:ascii="Arial" w:hAnsi="Arial" w:cs="Arial"/>
          <w:sz w:val="24"/>
          <w:szCs w:val="24"/>
        </w:rPr>
        <w:t xml:space="preserve"> or not</w:t>
      </w:r>
      <w:r w:rsidR="000753D3" w:rsidRPr="00F87818">
        <w:rPr>
          <w:rFonts w:ascii="Arial" w:hAnsi="Arial" w:cs="Arial"/>
          <w:sz w:val="24"/>
          <w:szCs w:val="24"/>
        </w:rPr>
        <w:t>, contending</w:t>
      </w:r>
      <w:r w:rsidRPr="00F87818">
        <w:rPr>
          <w:rFonts w:ascii="Arial" w:hAnsi="Arial" w:cs="Arial"/>
          <w:sz w:val="24"/>
          <w:szCs w:val="24"/>
        </w:rPr>
        <w:t xml:space="preserve"> that even if the court determined that the opposing affidavit did not meet the requisites </w:t>
      </w:r>
      <w:r w:rsidR="00D141B9" w:rsidRPr="00F87818">
        <w:rPr>
          <w:rFonts w:ascii="Arial" w:hAnsi="Arial" w:cs="Arial"/>
          <w:sz w:val="24"/>
          <w:szCs w:val="24"/>
        </w:rPr>
        <w:t>of r</w:t>
      </w:r>
      <w:r w:rsidR="00941B17" w:rsidRPr="00F87818">
        <w:rPr>
          <w:rFonts w:ascii="Arial" w:hAnsi="Arial" w:cs="Arial"/>
          <w:sz w:val="24"/>
          <w:szCs w:val="24"/>
        </w:rPr>
        <w:t>ule</w:t>
      </w:r>
      <w:r w:rsidR="00D141B9" w:rsidRPr="00F87818">
        <w:rPr>
          <w:rFonts w:ascii="Arial" w:hAnsi="Arial" w:cs="Arial"/>
          <w:sz w:val="24"/>
          <w:szCs w:val="24"/>
        </w:rPr>
        <w:t xml:space="preserve"> 60(5), it was still incumbent upon it to exercise its discretion whether or not to grant summary judgment and </w:t>
      </w:r>
      <w:r w:rsidR="00BD4E60" w:rsidRPr="00F87818">
        <w:rPr>
          <w:rFonts w:ascii="Arial" w:hAnsi="Arial" w:cs="Arial"/>
          <w:sz w:val="24"/>
          <w:szCs w:val="24"/>
        </w:rPr>
        <w:t xml:space="preserve">that it </w:t>
      </w:r>
      <w:r w:rsidR="00D141B9" w:rsidRPr="00F87818">
        <w:rPr>
          <w:rFonts w:ascii="Arial" w:hAnsi="Arial" w:cs="Arial"/>
          <w:sz w:val="24"/>
          <w:szCs w:val="24"/>
        </w:rPr>
        <w:t>failed to exercise that discretion.</w:t>
      </w:r>
      <w:r w:rsidR="00025F4A">
        <w:rPr>
          <w:rFonts w:ascii="Arial" w:hAnsi="Arial" w:cs="Arial"/>
          <w:sz w:val="24"/>
          <w:szCs w:val="24"/>
        </w:rPr>
        <w:t xml:space="preserve"> </w:t>
      </w:r>
    </w:p>
    <w:p w14:paraId="2407D8DC" w14:textId="77777777" w:rsidR="00251264" w:rsidRDefault="00251264" w:rsidP="00251264">
      <w:pPr>
        <w:pStyle w:val="ListParagraph"/>
        <w:rPr>
          <w:rFonts w:ascii="Arial" w:hAnsi="Arial" w:cs="Arial"/>
          <w:sz w:val="24"/>
          <w:szCs w:val="24"/>
        </w:rPr>
      </w:pPr>
    </w:p>
    <w:p w14:paraId="5C17396D" w14:textId="41FBADEB" w:rsidR="00490A27" w:rsidRDefault="00025F4A"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Ms Y Campbell, who appeared for the plaintiff, pointed out in her submissions that not one fact was alleged in support of the conclusion of defective performance</w:t>
      </w:r>
      <w:r w:rsidR="00251264">
        <w:rPr>
          <w:rFonts w:ascii="Arial" w:hAnsi="Arial" w:cs="Arial"/>
          <w:sz w:val="24"/>
          <w:szCs w:val="24"/>
        </w:rPr>
        <w:t xml:space="preserve"> in the defendant’s brief opposing affidavit</w:t>
      </w:r>
      <w:r>
        <w:rPr>
          <w:rFonts w:ascii="Arial" w:hAnsi="Arial" w:cs="Arial"/>
          <w:sz w:val="24"/>
          <w:szCs w:val="24"/>
        </w:rPr>
        <w:t xml:space="preserve"> and argued that the defendant had failed to meet the requisites of the rule.</w:t>
      </w:r>
      <w:r w:rsidR="00251264">
        <w:rPr>
          <w:rFonts w:ascii="Arial" w:hAnsi="Arial" w:cs="Arial"/>
          <w:sz w:val="24"/>
          <w:szCs w:val="24"/>
        </w:rPr>
        <w:t xml:space="preserve"> </w:t>
      </w:r>
      <w:r w:rsidR="00F87818" w:rsidRPr="004F200A">
        <w:rPr>
          <w:rFonts w:ascii="Arial" w:hAnsi="Arial" w:cs="Arial"/>
          <w:sz w:val="24"/>
          <w:szCs w:val="24"/>
        </w:rPr>
        <w:t>She</w:t>
      </w:r>
      <w:r w:rsidR="00F87818">
        <w:rPr>
          <w:rFonts w:ascii="Arial" w:hAnsi="Arial" w:cs="Arial"/>
          <w:sz w:val="24"/>
          <w:szCs w:val="24"/>
        </w:rPr>
        <w:t xml:space="preserve"> </w:t>
      </w:r>
      <w:r w:rsidR="00251264">
        <w:rPr>
          <w:rFonts w:ascii="Arial" w:hAnsi="Arial" w:cs="Arial"/>
          <w:sz w:val="24"/>
          <w:szCs w:val="24"/>
        </w:rPr>
        <w:t xml:space="preserve">further argued that the defendant had failed to place any factual matter before the court upon which a court could exercise a discretion in its favour, citing </w:t>
      </w:r>
      <w:r w:rsidR="00251264">
        <w:rPr>
          <w:rFonts w:ascii="Arial" w:hAnsi="Arial" w:cs="Arial"/>
          <w:i/>
          <w:sz w:val="24"/>
          <w:szCs w:val="24"/>
        </w:rPr>
        <w:t>Moder v Teets t/a Neyer’s Garage Nachfolger</w:t>
      </w:r>
      <w:r w:rsidR="00251264">
        <w:rPr>
          <w:rStyle w:val="FootnoteReference"/>
          <w:rFonts w:ascii="Arial" w:hAnsi="Arial" w:cs="Arial"/>
          <w:i/>
          <w:sz w:val="24"/>
          <w:szCs w:val="24"/>
        </w:rPr>
        <w:footnoteReference w:id="3"/>
      </w:r>
      <w:r w:rsidR="00251264">
        <w:rPr>
          <w:rFonts w:ascii="Arial" w:hAnsi="Arial" w:cs="Arial"/>
          <w:i/>
          <w:sz w:val="24"/>
          <w:szCs w:val="24"/>
        </w:rPr>
        <w:t xml:space="preserve"> </w:t>
      </w:r>
      <w:r w:rsidR="00251264">
        <w:rPr>
          <w:rFonts w:ascii="Arial" w:hAnsi="Arial" w:cs="Arial"/>
          <w:sz w:val="24"/>
          <w:szCs w:val="24"/>
        </w:rPr>
        <w:t xml:space="preserve">and </w:t>
      </w:r>
      <w:r w:rsidR="00251264">
        <w:rPr>
          <w:rFonts w:ascii="Arial" w:hAnsi="Arial" w:cs="Arial"/>
          <w:i/>
          <w:sz w:val="24"/>
          <w:szCs w:val="24"/>
        </w:rPr>
        <w:t>Joob Joob Investments (Pty) Ltd v Stocks Mavundla Zek Joint Venture</w:t>
      </w:r>
      <w:r w:rsidR="00251264">
        <w:rPr>
          <w:rFonts w:ascii="Arial" w:hAnsi="Arial" w:cs="Arial"/>
          <w:sz w:val="24"/>
          <w:szCs w:val="24"/>
        </w:rPr>
        <w:t>.</w:t>
      </w:r>
      <w:r w:rsidR="00251264">
        <w:rPr>
          <w:rStyle w:val="FootnoteReference"/>
          <w:rFonts w:ascii="Arial" w:hAnsi="Arial" w:cs="Arial"/>
          <w:sz w:val="24"/>
          <w:szCs w:val="24"/>
        </w:rPr>
        <w:footnoteReference w:id="4"/>
      </w:r>
    </w:p>
    <w:p w14:paraId="0202EBB5" w14:textId="77777777" w:rsidR="00490A27" w:rsidRDefault="00490A27" w:rsidP="000753D3">
      <w:pPr>
        <w:rPr>
          <w:rFonts w:ascii="Arial" w:hAnsi="Arial" w:cs="Arial"/>
          <w:sz w:val="24"/>
          <w:szCs w:val="24"/>
        </w:rPr>
      </w:pPr>
    </w:p>
    <w:p w14:paraId="451941D1" w14:textId="77777777" w:rsidR="000753D3" w:rsidRPr="000753D3" w:rsidRDefault="000753D3" w:rsidP="000753D3">
      <w:pPr>
        <w:rPr>
          <w:rFonts w:ascii="Arial" w:hAnsi="Arial" w:cs="Arial"/>
          <w:sz w:val="24"/>
          <w:szCs w:val="24"/>
          <w:u w:val="single"/>
        </w:rPr>
      </w:pPr>
      <w:r>
        <w:rPr>
          <w:rFonts w:ascii="Arial" w:hAnsi="Arial" w:cs="Arial"/>
          <w:sz w:val="24"/>
          <w:szCs w:val="24"/>
          <w:u w:val="single"/>
        </w:rPr>
        <w:t>Applicable legal principles</w:t>
      </w:r>
    </w:p>
    <w:p w14:paraId="74FEB835" w14:textId="77777777" w:rsidR="000753D3" w:rsidRPr="000753D3" w:rsidRDefault="000753D3" w:rsidP="000753D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wording of rule 60(5) closely resembles</w:t>
      </w:r>
      <w:r w:rsidR="00186627">
        <w:rPr>
          <w:rFonts w:ascii="Arial" w:hAnsi="Arial" w:cs="Arial"/>
          <w:sz w:val="24"/>
          <w:szCs w:val="24"/>
        </w:rPr>
        <w:t xml:space="preserve"> that of</w:t>
      </w:r>
      <w:r>
        <w:rPr>
          <w:rFonts w:ascii="Arial" w:hAnsi="Arial" w:cs="Arial"/>
          <w:sz w:val="24"/>
          <w:szCs w:val="24"/>
        </w:rPr>
        <w:t xml:space="preserve"> the erstwhile rule 32(3). The differences are merely of drafting style. The essential content</w:t>
      </w:r>
      <w:r w:rsidR="00BD4E60">
        <w:rPr>
          <w:rFonts w:ascii="Arial" w:hAnsi="Arial" w:cs="Arial"/>
          <w:sz w:val="24"/>
          <w:szCs w:val="24"/>
        </w:rPr>
        <w:t xml:space="preserve"> and requirements</w:t>
      </w:r>
      <w:r>
        <w:rPr>
          <w:rFonts w:ascii="Arial" w:hAnsi="Arial" w:cs="Arial"/>
          <w:sz w:val="24"/>
          <w:szCs w:val="24"/>
        </w:rPr>
        <w:t xml:space="preserve"> of the sub-rule </w:t>
      </w:r>
      <w:r w:rsidR="00BD4E60">
        <w:rPr>
          <w:rFonts w:ascii="Arial" w:hAnsi="Arial" w:cs="Arial"/>
          <w:sz w:val="24"/>
          <w:szCs w:val="24"/>
        </w:rPr>
        <w:t>are</w:t>
      </w:r>
      <w:r>
        <w:rPr>
          <w:rFonts w:ascii="Arial" w:hAnsi="Arial" w:cs="Arial"/>
          <w:sz w:val="24"/>
          <w:szCs w:val="24"/>
        </w:rPr>
        <w:t xml:space="preserve"> identical to the former sub rule. Rule 60(5) provides:</w:t>
      </w:r>
    </w:p>
    <w:p w14:paraId="6AEDAC75" w14:textId="77777777" w:rsidR="00090954" w:rsidRDefault="00090954" w:rsidP="00090954">
      <w:pPr>
        <w:pStyle w:val="ListParagraph"/>
        <w:rPr>
          <w:rFonts w:ascii="Arial" w:hAnsi="Arial" w:cs="Arial"/>
          <w:sz w:val="24"/>
          <w:szCs w:val="24"/>
        </w:rPr>
      </w:pPr>
    </w:p>
    <w:p w14:paraId="3AFDF13A" w14:textId="77777777" w:rsidR="00615059" w:rsidRDefault="00615059" w:rsidP="00615059">
      <w:pPr>
        <w:pStyle w:val="NoSpacing"/>
        <w:spacing w:line="360" w:lineRule="auto"/>
        <w:ind w:left="720"/>
        <w:jc w:val="both"/>
        <w:rPr>
          <w:rFonts w:ascii="Arial" w:hAnsi="Arial" w:cs="Arial"/>
        </w:rPr>
      </w:pPr>
      <w:r w:rsidRPr="00615059">
        <w:rPr>
          <w:rFonts w:ascii="Arial" w:hAnsi="Arial" w:cs="Arial"/>
        </w:rPr>
        <w:t>‘(5)</w:t>
      </w:r>
      <w:r w:rsidRPr="00615059">
        <w:rPr>
          <w:rFonts w:ascii="Arial" w:hAnsi="Arial" w:cs="Arial"/>
        </w:rPr>
        <w:tab/>
        <w:t>On the hearing of an application for sum</w:t>
      </w:r>
      <w:r>
        <w:rPr>
          <w:rFonts w:ascii="Arial" w:hAnsi="Arial" w:cs="Arial"/>
        </w:rPr>
        <w:t>mary judgment the defendant may</w:t>
      </w:r>
      <w:r w:rsidRPr="00615059">
        <w:rPr>
          <w:rFonts w:ascii="Arial" w:hAnsi="Arial" w:cs="Arial"/>
        </w:rPr>
        <w:t xml:space="preserve">– </w:t>
      </w:r>
    </w:p>
    <w:p w14:paraId="3B1C0720" w14:textId="77777777" w:rsidR="00615059" w:rsidRPr="00615059" w:rsidRDefault="00615059" w:rsidP="00615059">
      <w:pPr>
        <w:pStyle w:val="NoSpacing"/>
        <w:spacing w:line="360" w:lineRule="auto"/>
        <w:ind w:left="720"/>
        <w:jc w:val="both"/>
        <w:rPr>
          <w:rFonts w:ascii="Arial" w:hAnsi="Arial" w:cs="Arial"/>
        </w:rPr>
      </w:pPr>
    </w:p>
    <w:p w14:paraId="3D4A3449" w14:textId="77777777" w:rsidR="00615059" w:rsidRDefault="00615059" w:rsidP="00941B17">
      <w:pPr>
        <w:pStyle w:val="NoSpacing"/>
        <w:numPr>
          <w:ilvl w:val="0"/>
          <w:numId w:val="23"/>
        </w:numPr>
        <w:spacing w:line="360" w:lineRule="auto"/>
        <w:jc w:val="both"/>
        <w:rPr>
          <w:rFonts w:ascii="Arial" w:hAnsi="Arial" w:cs="Arial"/>
        </w:rPr>
      </w:pPr>
      <w:r w:rsidRPr="00615059">
        <w:rPr>
          <w:rFonts w:ascii="Arial" w:hAnsi="Arial" w:cs="Arial"/>
        </w:rPr>
        <w:t xml:space="preserve">where applicable give security to the plaintiff to the satisfaction of the registrar for any judgment including interest and costs; or </w:t>
      </w:r>
    </w:p>
    <w:p w14:paraId="62C4B04E" w14:textId="77777777" w:rsidR="00941B17" w:rsidRPr="00615059" w:rsidRDefault="00941B17" w:rsidP="00941B17">
      <w:pPr>
        <w:pStyle w:val="NoSpacing"/>
        <w:spacing w:line="360" w:lineRule="auto"/>
        <w:ind w:left="1980"/>
        <w:jc w:val="both"/>
        <w:rPr>
          <w:rFonts w:ascii="Arial" w:hAnsi="Arial" w:cs="Arial"/>
        </w:rPr>
      </w:pPr>
    </w:p>
    <w:p w14:paraId="2EAC8DBC" w14:textId="77777777" w:rsidR="00615059" w:rsidRDefault="00615059" w:rsidP="00615059">
      <w:pPr>
        <w:pStyle w:val="NoSpacing"/>
        <w:tabs>
          <w:tab w:val="left" w:pos="1985"/>
        </w:tabs>
        <w:spacing w:line="360" w:lineRule="auto"/>
        <w:ind w:left="720" w:firstLine="720"/>
        <w:jc w:val="both"/>
        <w:rPr>
          <w:rFonts w:ascii="Arial" w:hAnsi="Arial" w:cs="Arial"/>
        </w:rPr>
      </w:pPr>
      <w:r w:rsidRPr="00615059">
        <w:rPr>
          <w:rFonts w:ascii="Arial" w:hAnsi="Arial" w:cs="Arial"/>
        </w:rPr>
        <w:t>(b)</w:t>
      </w:r>
      <w:r w:rsidRPr="00615059">
        <w:rPr>
          <w:rFonts w:ascii="Arial" w:hAnsi="Arial" w:cs="Arial"/>
        </w:rPr>
        <w:tab/>
        <w:t xml:space="preserve">satisfy the court by – </w:t>
      </w:r>
    </w:p>
    <w:p w14:paraId="2CC62044" w14:textId="77777777" w:rsidR="00941B17" w:rsidRPr="00615059" w:rsidRDefault="00941B17" w:rsidP="00615059">
      <w:pPr>
        <w:pStyle w:val="NoSpacing"/>
        <w:tabs>
          <w:tab w:val="left" w:pos="1985"/>
        </w:tabs>
        <w:spacing w:line="360" w:lineRule="auto"/>
        <w:ind w:left="720" w:firstLine="720"/>
        <w:jc w:val="both"/>
        <w:rPr>
          <w:rFonts w:ascii="Arial" w:hAnsi="Arial" w:cs="Arial"/>
        </w:rPr>
      </w:pPr>
    </w:p>
    <w:p w14:paraId="47D0A8AB" w14:textId="77777777" w:rsidR="00501FF6" w:rsidRDefault="00615059" w:rsidP="00615059">
      <w:pPr>
        <w:pStyle w:val="NoSpacing"/>
        <w:spacing w:line="360" w:lineRule="auto"/>
        <w:ind w:left="2552" w:hanging="567"/>
        <w:jc w:val="both"/>
        <w:rPr>
          <w:rFonts w:ascii="Arial" w:hAnsi="Arial" w:cs="Arial"/>
        </w:rPr>
      </w:pPr>
      <w:r w:rsidRPr="00615059">
        <w:rPr>
          <w:rFonts w:ascii="Arial" w:hAnsi="Arial" w:cs="Arial"/>
        </w:rPr>
        <w:t>(i)</w:t>
      </w:r>
      <w:r w:rsidRPr="00615059">
        <w:rPr>
          <w:rFonts w:ascii="Arial" w:hAnsi="Arial" w:cs="Arial"/>
        </w:rPr>
        <w:tab/>
        <w:t>affidavit, which must be delivered before 12h00 on the court day but one before the day on which the application is to be heard; or</w:t>
      </w:r>
    </w:p>
    <w:p w14:paraId="2AE38B67" w14:textId="77777777" w:rsidR="00501FF6" w:rsidRDefault="00501FF6" w:rsidP="00615059">
      <w:pPr>
        <w:pStyle w:val="NoSpacing"/>
        <w:spacing w:line="360" w:lineRule="auto"/>
        <w:ind w:left="2552" w:hanging="567"/>
        <w:jc w:val="both"/>
        <w:rPr>
          <w:rFonts w:ascii="Arial" w:hAnsi="Arial" w:cs="Arial"/>
        </w:rPr>
      </w:pPr>
    </w:p>
    <w:p w14:paraId="7667BBBE" w14:textId="77777777" w:rsidR="00090954" w:rsidRPr="00615059" w:rsidRDefault="00615059" w:rsidP="00615059">
      <w:pPr>
        <w:pStyle w:val="NoSpacing"/>
        <w:tabs>
          <w:tab w:val="left" w:pos="2552"/>
        </w:tabs>
        <w:spacing w:line="360" w:lineRule="auto"/>
        <w:ind w:left="2552" w:hanging="567"/>
        <w:jc w:val="both"/>
        <w:rPr>
          <w:rFonts w:ascii="Arial" w:hAnsi="Arial" w:cs="Arial"/>
        </w:rPr>
      </w:pPr>
      <w:r w:rsidRPr="00615059">
        <w:rPr>
          <w:rFonts w:ascii="Arial" w:hAnsi="Arial" w:cs="Arial"/>
        </w:rPr>
        <w:t>(ii)</w:t>
      </w:r>
      <w:r w:rsidRPr="00615059">
        <w:rPr>
          <w:rFonts w:ascii="Arial" w:hAnsi="Arial" w:cs="Arial"/>
        </w:rPr>
        <w:tab/>
        <w:t>oral evidence, given with the leave of the court, of himself or herself or of any other person who can swear positively to the fact, that he or she has a bona fide defence to the action and the affidavit or evidence must disclose fully the nature and grounds of the defence and the material facts relied on.’</w:t>
      </w:r>
    </w:p>
    <w:p w14:paraId="049A5340" w14:textId="77777777" w:rsidR="00090954" w:rsidRDefault="00090954" w:rsidP="00090954">
      <w:pPr>
        <w:pStyle w:val="ListParagraph"/>
        <w:rPr>
          <w:rFonts w:ascii="Arial" w:hAnsi="Arial" w:cs="Arial"/>
          <w:sz w:val="24"/>
          <w:szCs w:val="24"/>
        </w:rPr>
      </w:pPr>
    </w:p>
    <w:p w14:paraId="2F786F08" w14:textId="77777777" w:rsidR="00090954" w:rsidRDefault="008D5032"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If a defendant fails to so satisfy the court (or provide security), rule 60(7), like the erstwhile rule 32(5)</w:t>
      </w:r>
      <w:r w:rsidR="00BD4E60">
        <w:rPr>
          <w:rFonts w:ascii="Arial" w:hAnsi="Arial" w:cs="Arial"/>
          <w:sz w:val="24"/>
          <w:szCs w:val="24"/>
        </w:rPr>
        <w:t>,</w:t>
      </w:r>
      <w:r>
        <w:rPr>
          <w:rFonts w:ascii="Arial" w:hAnsi="Arial" w:cs="Arial"/>
          <w:sz w:val="24"/>
          <w:szCs w:val="24"/>
        </w:rPr>
        <w:t xml:space="preserve"> states that the cour</w:t>
      </w:r>
      <w:r w:rsidR="00AB1DAB">
        <w:rPr>
          <w:rFonts w:ascii="Arial" w:hAnsi="Arial" w:cs="Arial"/>
          <w:sz w:val="24"/>
          <w:szCs w:val="24"/>
        </w:rPr>
        <w:t>t ‘may enter summary judgment for the plaintiff’.</w:t>
      </w:r>
    </w:p>
    <w:p w14:paraId="3A4842E6" w14:textId="77777777" w:rsidR="00090954" w:rsidRDefault="00090954" w:rsidP="00090954">
      <w:pPr>
        <w:pStyle w:val="ListParagraph"/>
        <w:rPr>
          <w:rFonts w:ascii="Arial" w:hAnsi="Arial" w:cs="Arial"/>
          <w:sz w:val="24"/>
          <w:szCs w:val="24"/>
        </w:rPr>
      </w:pPr>
    </w:p>
    <w:p w14:paraId="013B45DA" w14:textId="49B864BE" w:rsidR="00090954" w:rsidRDefault="00AB1DAB"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discussing the identical requirement under the former rule 32(3), this court </w:t>
      </w:r>
      <w:r w:rsidRPr="005E700E">
        <w:rPr>
          <w:rFonts w:ascii="Arial" w:hAnsi="Arial" w:cs="Arial"/>
          <w:sz w:val="24"/>
          <w:szCs w:val="24"/>
        </w:rPr>
        <w:t>recently</w:t>
      </w:r>
      <w:r w:rsidR="00F87818" w:rsidRPr="005E700E">
        <w:rPr>
          <w:rFonts w:ascii="Arial" w:hAnsi="Arial" w:cs="Arial"/>
          <w:sz w:val="24"/>
          <w:szCs w:val="24"/>
        </w:rPr>
        <w:t xml:space="preserve"> in </w:t>
      </w:r>
      <w:r w:rsidR="00F87818" w:rsidRPr="005E700E">
        <w:rPr>
          <w:rFonts w:ascii="Arial" w:hAnsi="Arial" w:cs="Arial"/>
          <w:i/>
          <w:sz w:val="24"/>
          <w:szCs w:val="24"/>
        </w:rPr>
        <w:t>Kukuri</w:t>
      </w:r>
      <w:r w:rsidR="005E700E" w:rsidRPr="005E700E">
        <w:rPr>
          <w:rFonts w:ascii="Arial" w:hAnsi="Arial" w:cs="Arial"/>
          <w:i/>
          <w:sz w:val="24"/>
          <w:szCs w:val="24"/>
        </w:rPr>
        <w:t xml:space="preserve"> </w:t>
      </w:r>
      <w:r w:rsidRPr="005E700E">
        <w:rPr>
          <w:rStyle w:val="FootnoteReference"/>
          <w:rFonts w:ascii="Arial" w:hAnsi="Arial" w:cs="Arial"/>
          <w:sz w:val="24"/>
          <w:szCs w:val="24"/>
        </w:rPr>
        <w:footnoteReference w:id="5"/>
      </w:r>
      <w:r w:rsidRPr="005E700E">
        <w:rPr>
          <w:rFonts w:ascii="Arial" w:hAnsi="Arial" w:cs="Arial"/>
          <w:sz w:val="24"/>
          <w:szCs w:val="24"/>
        </w:rPr>
        <w:t xml:space="preserve"> </w:t>
      </w:r>
      <w:r>
        <w:rPr>
          <w:rFonts w:ascii="Arial" w:hAnsi="Arial" w:cs="Arial"/>
          <w:sz w:val="24"/>
          <w:szCs w:val="24"/>
        </w:rPr>
        <w:t xml:space="preserve">approved of the leading South African judgment on the issue </w:t>
      </w:r>
      <w:r>
        <w:rPr>
          <w:rFonts w:ascii="Arial" w:hAnsi="Arial" w:cs="Arial"/>
          <w:sz w:val="24"/>
          <w:szCs w:val="24"/>
        </w:rPr>
        <w:lastRenderedPageBreak/>
        <w:t>(</w:t>
      </w:r>
      <w:r>
        <w:rPr>
          <w:rFonts w:ascii="Arial" w:hAnsi="Arial" w:cs="Arial"/>
          <w:i/>
          <w:sz w:val="24"/>
          <w:szCs w:val="24"/>
        </w:rPr>
        <w:t>Maharaj v Barclays National Bank Ltd)</w:t>
      </w:r>
      <w:r>
        <w:rPr>
          <w:rStyle w:val="FootnoteReference"/>
          <w:rFonts w:ascii="Arial" w:hAnsi="Arial" w:cs="Arial"/>
          <w:i/>
          <w:sz w:val="24"/>
          <w:szCs w:val="24"/>
        </w:rPr>
        <w:footnoteReference w:id="6"/>
      </w:r>
      <w:r>
        <w:rPr>
          <w:rFonts w:ascii="Arial" w:hAnsi="Arial" w:cs="Arial"/>
          <w:sz w:val="24"/>
          <w:szCs w:val="24"/>
        </w:rPr>
        <w:t xml:space="preserve"> to the effect that the remedy of summary judgment is based upon the supposition that the plaintiff’s claim is unimpeachable and that the defendant’s defence is bad in law or bogus. In this context, a defendant has the opportunity to successfully </w:t>
      </w:r>
      <w:r w:rsidR="00A05D1A">
        <w:rPr>
          <w:rFonts w:ascii="Arial" w:hAnsi="Arial" w:cs="Arial"/>
          <w:sz w:val="24"/>
          <w:szCs w:val="24"/>
        </w:rPr>
        <w:t xml:space="preserve">oppose such an application by satisfying the court in an affidavit that it has a </w:t>
      </w:r>
      <w:r w:rsidR="00A05D1A" w:rsidRPr="00A05D1A">
        <w:rPr>
          <w:rFonts w:ascii="Arial" w:hAnsi="Arial" w:cs="Arial"/>
          <w:i/>
          <w:sz w:val="24"/>
          <w:szCs w:val="24"/>
        </w:rPr>
        <w:t>bona fide</w:t>
      </w:r>
      <w:r w:rsidR="00A05D1A">
        <w:rPr>
          <w:rFonts w:ascii="Arial" w:hAnsi="Arial" w:cs="Arial"/>
          <w:sz w:val="24"/>
          <w:szCs w:val="24"/>
        </w:rPr>
        <w:t xml:space="preserve"> defence to the claim. The court in </w:t>
      </w:r>
      <w:r w:rsidR="00A05D1A">
        <w:rPr>
          <w:rFonts w:ascii="Arial" w:hAnsi="Arial" w:cs="Arial"/>
          <w:i/>
          <w:sz w:val="24"/>
          <w:szCs w:val="24"/>
        </w:rPr>
        <w:t>Maharaj</w:t>
      </w:r>
      <w:r w:rsidR="00A05D1A">
        <w:rPr>
          <w:rFonts w:ascii="Arial" w:hAnsi="Arial" w:cs="Arial"/>
          <w:sz w:val="24"/>
          <w:szCs w:val="24"/>
        </w:rPr>
        <w:t xml:space="preserve"> made it clear that the court is not called upon to decide factual disputes or express any view on the dispute. It is </w:t>
      </w:r>
      <w:r w:rsidR="003E4037">
        <w:rPr>
          <w:rFonts w:ascii="Arial" w:hAnsi="Arial" w:cs="Arial"/>
          <w:sz w:val="24"/>
          <w:szCs w:val="24"/>
        </w:rPr>
        <w:t>instead</w:t>
      </w:r>
      <w:r w:rsidR="00A05D1A">
        <w:rPr>
          <w:rFonts w:ascii="Arial" w:hAnsi="Arial" w:cs="Arial"/>
          <w:sz w:val="24"/>
          <w:szCs w:val="24"/>
        </w:rPr>
        <w:t xml:space="preserve"> to determine </w:t>
      </w:r>
      <w:r w:rsidR="003E4037">
        <w:rPr>
          <w:rFonts w:ascii="Arial" w:hAnsi="Arial" w:cs="Arial"/>
          <w:sz w:val="24"/>
          <w:szCs w:val="24"/>
        </w:rPr>
        <w:t xml:space="preserve">firstly </w:t>
      </w:r>
      <w:r w:rsidR="00A05D1A">
        <w:rPr>
          <w:rFonts w:ascii="Arial" w:hAnsi="Arial" w:cs="Arial"/>
          <w:sz w:val="24"/>
          <w:szCs w:val="24"/>
        </w:rPr>
        <w:t xml:space="preserve">whether a defendant has ‘fully’ disclosed the nature and grounds of the defence and the material facts upon which that defence is founded. In the second instance the court is to determine whether on the facts set out by the defendant that it appears to have – as to either the whole or part of the claim – a defence which is </w:t>
      </w:r>
      <w:r w:rsidR="00A05D1A" w:rsidRPr="00A05D1A">
        <w:rPr>
          <w:rFonts w:ascii="Arial" w:hAnsi="Arial" w:cs="Arial"/>
          <w:i/>
          <w:sz w:val="24"/>
          <w:szCs w:val="24"/>
        </w:rPr>
        <w:t>bona fide</w:t>
      </w:r>
      <w:r w:rsidR="00A05D1A">
        <w:rPr>
          <w:rFonts w:ascii="Arial" w:hAnsi="Arial" w:cs="Arial"/>
          <w:sz w:val="24"/>
          <w:szCs w:val="24"/>
        </w:rPr>
        <w:t xml:space="preserve"> and good in law. If satisfied upon these two criteria, the court must refuse summary judgment.</w:t>
      </w:r>
    </w:p>
    <w:p w14:paraId="59F37CEF" w14:textId="77777777" w:rsidR="00462703" w:rsidRDefault="00462703" w:rsidP="00462703">
      <w:pPr>
        <w:pStyle w:val="NoSpacing"/>
        <w:spacing w:line="480" w:lineRule="auto"/>
        <w:jc w:val="both"/>
        <w:rPr>
          <w:rFonts w:ascii="Arial" w:hAnsi="Arial" w:cs="Arial"/>
          <w:sz w:val="24"/>
          <w:szCs w:val="24"/>
        </w:rPr>
      </w:pPr>
    </w:p>
    <w:p w14:paraId="6D0CB444" w14:textId="44C6CF4D" w:rsidR="00462703" w:rsidRDefault="00462703"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to the requirement of ‘fully’ disclosing the defence</w:t>
      </w:r>
      <w:r w:rsidR="00186627">
        <w:rPr>
          <w:rFonts w:ascii="Arial" w:hAnsi="Arial" w:cs="Arial"/>
          <w:sz w:val="24"/>
          <w:szCs w:val="24"/>
        </w:rPr>
        <w:t>,</w:t>
      </w:r>
      <w:r>
        <w:rPr>
          <w:rFonts w:ascii="Arial" w:hAnsi="Arial" w:cs="Arial"/>
          <w:sz w:val="24"/>
          <w:szCs w:val="24"/>
        </w:rPr>
        <w:t xml:space="preserve"> the court in </w:t>
      </w:r>
      <w:r w:rsidRPr="00462703">
        <w:rPr>
          <w:rFonts w:ascii="Arial" w:hAnsi="Arial" w:cs="Arial"/>
          <w:i/>
          <w:sz w:val="24"/>
          <w:szCs w:val="24"/>
        </w:rPr>
        <w:t>Maharaj</w:t>
      </w:r>
      <w:r>
        <w:rPr>
          <w:rFonts w:ascii="Arial" w:hAnsi="Arial" w:cs="Arial"/>
          <w:sz w:val="24"/>
          <w:szCs w:val="24"/>
        </w:rPr>
        <w:t xml:space="preserve"> reiterated that whilst a defendant ‘need not deal exhaustively with the facts and evidence relied upon to substantiate them’, at the very least it is incumbent upon a defendant to disclose its defence and the material facts upon which it is based ‘with sufficient particularity and completeness to enable the court to decide whether the affidavit discloses a </w:t>
      </w:r>
      <w:r w:rsidRPr="00462703">
        <w:rPr>
          <w:rFonts w:ascii="Arial" w:hAnsi="Arial" w:cs="Arial"/>
          <w:i/>
          <w:sz w:val="24"/>
          <w:szCs w:val="24"/>
        </w:rPr>
        <w:t>bona fide</w:t>
      </w:r>
      <w:r>
        <w:rPr>
          <w:rFonts w:ascii="Arial" w:hAnsi="Arial" w:cs="Arial"/>
          <w:sz w:val="24"/>
          <w:szCs w:val="24"/>
        </w:rPr>
        <w:t xml:space="preserve"> defence.</w:t>
      </w:r>
      <w:r>
        <w:rPr>
          <w:rStyle w:val="FootnoteReference"/>
          <w:rFonts w:ascii="Arial" w:hAnsi="Arial" w:cs="Arial"/>
          <w:sz w:val="24"/>
          <w:szCs w:val="24"/>
        </w:rPr>
        <w:footnoteReference w:id="7"/>
      </w:r>
      <w:r w:rsidR="002B5BAF">
        <w:rPr>
          <w:rFonts w:ascii="Arial" w:hAnsi="Arial" w:cs="Arial"/>
          <w:sz w:val="24"/>
          <w:szCs w:val="24"/>
        </w:rPr>
        <w:t xml:space="preserve"> This is not an onerous threshold for a defendant to meet. A plaintiff has no right to reply. Nor is the procedure intended to deprive a defendant with a triable issue or a sustainable defence of its day in court as was correctly stressed by Navsa JA in </w:t>
      </w:r>
      <w:r w:rsidR="002B5BAF">
        <w:rPr>
          <w:rFonts w:ascii="Arial" w:hAnsi="Arial" w:cs="Arial"/>
          <w:i/>
          <w:sz w:val="24"/>
          <w:szCs w:val="24"/>
        </w:rPr>
        <w:t xml:space="preserve">Joob </w:t>
      </w:r>
      <w:r w:rsidR="002B5BAF" w:rsidRPr="005E700E">
        <w:rPr>
          <w:rFonts w:ascii="Arial" w:hAnsi="Arial" w:cs="Arial"/>
          <w:i/>
          <w:sz w:val="24"/>
          <w:szCs w:val="24"/>
        </w:rPr>
        <w:t>Joob.</w:t>
      </w:r>
      <w:r w:rsidR="002B5BAF" w:rsidRPr="005E700E">
        <w:rPr>
          <w:rStyle w:val="FootnoteReference"/>
          <w:rFonts w:ascii="Arial" w:hAnsi="Arial" w:cs="Arial"/>
          <w:i/>
          <w:sz w:val="24"/>
          <w:szCs w:val="24"/>
        </w:rPr>
        <w:footnoteReference w:id="8"/>
      </w:r>
      <w:r w:rsidR="002B5BAF" w:rsidRPr="005E700E">
        <w:rPr>
          <w:rFonts w:ascii="Arial" w:hAnsi="Arial" w:cs="Arial"/>
          <w:i/>
          <w:sz w:val="24"/>
          <w:szCs w:val="24"/>
        </w:rPr>
        <w:t xml:space="preserve"> </w:t>
      </w:r>
      <w:r w:rsidR="002B5BAF" w:rsidRPr="005E700E">
        <w:rPr>
          <w:rFonts w:ascii="Arial" w:hAnsi="Arial" w:cs="Arial"/>
          <w:sz w:val="24"/>
          <w:szCs w:val="24"/>
        </w:rPr>
        <w:t xml:space="preserve">I agree with Navsa JA that the characterisation of </w:t>
      </w:r>
      <w:r w:rsidR="00D00E93" w:rsidRPr="005E700E">
        <w:rPr>
          <w:rFonts w:ascii="Arial" w:hAnsi="Arial" w:cs="Arial"/>
          <w:sz w:val="24"/>
          <w:szCs w:val="24"/>
        </w:rPr>
        <w:t>‘</w:t>
      </w:r>
      <w:r w:rsidR="002B5BAF" w:rsidRPr="005E700E">
        <w:rPr>
          <w:rFonts w:ascii="Arial" w:hAnsi="Arial" w:cs="Arial"/>
          <w:sz w:val="24"/>
          <w:szCs w:val="24"/>
        </w:rPr>
        <w:t>extraordinary</w:t>
      </w:r>
      <w:r w:rsidR="00D00E93" w:rsidRPr="005E700E">
        <w:rPr>
          <w:rFonts w:ascii="Arial" w:hAnsi="Arial" w:cs="Arial"/>
          <w:sz w:val="24"/>
          <w:szCs w:val="24"/>
        </w:rPr>
        <w:t>’</w:t>
      </w:r>
      <w:r w:rsidR="002B5BAF" w:rsidRPr="005E700E">
        <w:rPr>
          <w:rFonts w:ascii="Arial" w:hAnsi="Arial" w:cs="Arial"/>
          <w:sz w:val="24"/>
          <w:szCs w:val="24"/>
        </w:rPr>
        <w:t xml:space="preserve"> or </w:t>
      </w:r>
      <w:r w:rsidR="00D00E93" w:rsidRPr="005E700E">
        <w:rPr>
          <w:rFonts w:ascii="Arial" w:hAnsi="Arial" w:cs="Arial"/>
          <w:sz w:val="24"/>
          <w:szCs w:val="24"/>
        </w:rPr>
        <w:t>‘</w:t>
      </w:r>
      <w:r w:rsidR="002B5BAF" w:rsidRPr="005E700E">
        <w:rPr>
          <w:rFonts w:ascii="Arial" w:hAnsi="Arial" w:cs="Arial"/>
          <w:sz w:val="24"/>
          <w:szCs w:val="24"/>
        </w:rPr>
        <w:t>drastic</w:t>
      </w:r>
      <w:r w:rsidR="00D00E93" w:rsidRPr="005E700E">
        <w:rPr>
          <w:rFonts w:ascii="Arial" w:hAnsi="Arial" w:cs="Arial"/>
          <w:sz w:val="24"/>
          <w:szCs w:val="24"/>
        </w:rPr>
        <w:t>’</w:t>
      </w:r>
      <w:r w:rsidR="002B5BAF" w:rsidRPr="005E700E">
        <w:rPr>
          <w:rFonts w:ascii="Arial" w:hAnsi="Arial" w:cs="Arial"/>
          <w:sz w:val="24"/>
          <w:szCs w:val="24"/>
        </w:rPr>
        <w:t xml:space="preserve"> concerning summary judgment </w:t>
      </w:r>
      <w:r w:rsidR="00D00E93" w:rsidRPr="005E700E">
        <w:rPr>
          <w:rFonts w:ascii="Arial" w:hAnsi="Arial" w:cs="Arial"/>
          <w:sz w:val="24"/>
          <w:szCs w:val="24"/>
        </w:rPr>
        <w:lastRenderedPageBreak/>
        <w:t xml:space="preserve">would </w:t>
      </w:r>
      <w:r w:rsidR="002B5BAF" w:rsidRPr="005E700E">
        <w:rPr>
          <w:rFonts w:ascii="Arial" w:hAnsi="Arial" w:cs="Arial"/>
          <w:sz w:val="24"/>
          <w:szCs w:val="24"/>
        </w:rPr>
        <w:t>no longer</w:t>
      </w:r>
      <w:r w:rsidR="002B5BAF">
        <w:rPr>
          <w:rFonts w:ascii="Arial" w:hAnsi="Arial" w:cs="Arial"/>
          <w:sz w:val="24"/>
          <w:szCs w:val="24"/>
        </w:rPr>
        <w:t xml:space="preserve"> apply after the successful application of this remedy for some 100 years in our courts and </w:t>
      </w:r>
      <w:r w:rsidR="00D00E93">
        <w:rPr>
          <w:rFonts w:ascii="Arial" w:hAnsi="Arial" w:cs="Arial"/>
          <w:sz w:val="24"/>
          <w:szCs w:val="24"/>
        </w:rPr>
        <w:t xml:space="preserve">that it </w:t>
      </w:r>
      <w:r w:rsidR="002B5BAF">
        <w:rPr>
          <w:rFonts w:ascii="Arial" w:hAnsi="Arial" w:cs="Arial"/>
          <w:sz w:val="24"/>
          <w:szCs w:val="24"/>
        </w:rPr>
        <w:t>cannot be stated as weighted against a defendant, given the threshold a defendant is to meet. The remedy is only granted against defendants when it is clear that no defence is raised in response to a claim</w:t>
      </w:r>
      <w:r w:rsidR="00D00E93">
        <w:rPr>
          <w:rFonts w:ascii="Arial" w:hAnsi="Arial" w:cs="Arial"/>
          <w:sz w:val="24"/>
          <w:szCs w:val="24"/>
        </w:rPr>
        <w:t>, t</w:t>
      </w:r>
      <w:r w:rsidR="002B5BAF">
        <w:rPr>
          <w:rFonts w:ascii="Arial" w:hAnsi="Arial" w:cs="Arial"/>
          <w:sz w:val="24"/>
          <w:szCs w:val="24"/>
        </w:rPr>
        <w:t>hus preventing sham defences from defeating a creditor’s right</w:t>
      </w:r>
      <w:r w:rsidR="00D00E93">
        <w:rPr>
          <w:rFonts w:ascii="Arial" w:hAnsi="Arial" w:cs="Arial"/>
          <w:sz w:val="24"/>
          <w:szCs w:val="24"/>
        </w:rPr>
        <w:t>s</w:t>
      </w:r>
      <w:r w:rsidR="002B5BAF">
        <w:rPr>
          <w:rFonts w:ascii="Arial" w:hAnsi="Arial" w:cs="Arial"/>
          <w:sz w:val="24"/>
          <w:szCs w:val="24"/>
        </w:rPr>
        <w:t xml:space="preserve"> by delay.</w:t>
      </w:r>
      <w:r w:rsidR="002B5BAF">
        <w:rPr>
          <w:rStyle w:val="FootnoteReference"/>
          <w:rFonts w:ascii="Arial" w:hAnsi="Arial" w:cs="Arial"/>
          <w:sz w:val="24"/>
          <w:szCs w:val="24"/>
        </w:rPr>
        <w:footnoteReference w:id="9"/>
      </w:r>
    </w:p>
    <w:p w14:paraId="1B6C7909" w14:textId="77777777" w:rsidR="00462703" w:rsidRDefault="00462703" w:rsidP="00462703">
      <w:pPr>
        <w:pStyle w:val="ListParagraph"/>
        <w:rPr>
          <w:rFonts w:ascii="Arial" w:hAnsi="Arial" w:cs="Arial"/>
          <w:sz w:val="24"/>
          <w:szCs w:val="24"/>
        </w:rPr>
      </w:pPr>
    </w:p>
    <w:p w14:paraId="2B6C0A24" w14:textId="77777777" w:rsidR="00462703" w:rsidRDefault="003E4037"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462703">
        <w:rPr>
          <w:rFonts w:ascii="Arial" w:hAnsi="Arial" w:cs="Arial"/>
          <w:sz w:val="24"/>
          <w:szCs w:val="24"/>
        </w:rPr>
        <w:t xml:space="preserve">he </w:t>
      </w:r>
      <w:r>
        <w:rPr>
          <w:rFonts w:ascii="Arial" w:hAnsi="Arial" w:cs="Arial"/>
          <w:sz w:val="24"/>
          <w:szCs w:val="24"/>
        </w:rPr>
        <w:t>introduction</w:t>
      </w:r>
      <w:r w:rsidR="00462703">
        <w:rPr>
          <w:rFonts w:ascii="Arial" w:hAnsi="Arial" w:cs="Arial"/>
          <w:sz w:val="24"/>
          <w:szCs w:val="24"/>
        </w:rPr>
        <w:t xml:space="preserve"> of judicia</w:t>
      </w:r>
      <w:r w:rsidR="002C2E55">
        <w:rPr>
          <w:rFonts w:ascii="Arial" w:hAnsi="Arial" w:cs="Arial"/>
          <w:sz w:val="24"/>
          <w:szCs w:val="24"/>
        </w:rPr>
        <w:t xml:space="preserve">l case management </w:t>
      </w:r>
      <w:r>
        <w:rPr>
          <w:rFonts w:ascii="Arial" w:hAnsi="Arial" w:cs="Arial"/>
          <w:sz w:val="24"/>
          <w:szCs w:val="24"/>
        </w:rPr>
        <w:t xml:space="preserve">reinforces the </w:t>
      </w:r>
      <w:r w:rsidR="00186627">
        <w:rPr>
          <w:rFonts w:ascii="Arial" w:hAnsi="Arial" w:cs="Arial"/>
          <w:sz w:val="24"/>
          <w:szCs w:val="24"/>
        </w:rPr>
        <w:t>need to disclose the defence and the material facts with sufficient particularity and completeness</w:t>
      </w:r>
      <w:r>
        <w:rPr>
          <w:rFonts w:ascii="Arial" w:hAnsi="Arial" w:cs="Arial"/>
          <w:sz w:val="24"/>
          <w:szCs w:val="24"/>
        </w:rPr>
        <w:t xml:space="preserve"> as it </w:t>
      </w:r>
      <w:r w:rsidR="002C2E55">
        <w:rPr>
          <w:rFonts w:ascii="Arial" w:hAnsi="Arial" w:cs="Arial"/>
          <w:sz w:val="24"/>
          <w:szCs w:val="24"/>
        </w:rPr>
        <w:t>presupposes that parties</w:t>
      </w:r>
      <w:r w:rsidR="00186627">
        <w:rPr>
          <w:rFonts w:ascii="Arial" w:hAnsi="Arial" w:cs="Arial"/>
          <w:sz w:val="24"/>
          <w:szCs w:val="24"/>
        </w:rPr>
        <w:t xml:space="preserve"> at an early stage </w:t>
      </w:r>
      <w:r w:rsidR="002C2E55">
        <w:rPr>
          <w:rFonts w:ascii="Arial" w:hAnsi="Arial" w:cs="Arial"/>
          <w:sz w:val="24"/>
          <w:szCs w:val="24"/>
        </w:rPr>
        <w:t xml:space="preserve">properly disclose their claims and defences to apprise their opponents and the court as to what is in issue in cases and </w:t>
      </w:r>
      <w:r w:rsidR="00186627">
        <w:rPr>
          <w:rFonts w:ascii="Arial" w:hAnsi="Arial" w:cs="Arial"/>
          <w:sz w:val="24"/>
          <w:szCs w:val="24"/>
        </w:rPr>
        <w:t>must do</w:t>
      </w:r>
      <w:r w:rsidR="002C2E55">
        <w:rPr>
          <w:rFonts w:ascii="Arial" w:hAnsi="Arial" w:cs="Arial"/>
          <w:sz w:val="24"/>
          <w:szCs w:val="24"/>
        </w:rPr>
        <w:t xml:space="preserve"> so with specificity and not vaguely or evasively.</w:t>
      </w:r>
    </w:p>
    <w:p w14:paraId="6ACDBF92" w14:textId="77777777" w:rsidR="002C2E55" w:rsidRDefault="002C2E55" w:rsidP="002C2E55">
      <w:pPr>
        <w:rPr>
          <w:rFonts w:ascii="Arial" w:hAnsi="Arial" w:cs="Arial"/>
          <w:sz w:val="24"/>
          <w:szCs w:val="24"/>
        </w:rPr>
      </w:pPr>
    </w:p>
    <w:p w14:paraId="723B4297" w14:textId="77777777" w:rsidR="002C2E55" w:rsidRPr="002C2E55" w:rsidRDefault="002C2E55" w:rsidP="002C2E55">
      <w:pPr>
        <w:rPr>
          <w:rFonts w:ascii="Arial" w:hAnsi="Arial" w:cs="Arial"/>
          <w:sz w:val="24"/>
          <w:szCs w:val="24"/>
          <w:u w:val="single"/>
        </w:rPr>
      </w:pPr>
      <w:r>
        <w:rPr>
          <w:rFonts w:ascii="Arial" w:hAnsi="Arial" w:cs="Arial"/>
          <w:sz w:val="24"/>
          <w:szCs w:val="24"/>
          <w:u w:val="single"/>
        </w:rPr>
        <w:t>Application of principles</w:t>
      </w:r>
    </w:p>
    <w:p w14:paraId="6676931D" w14:textId="77777777" w:rsidR="002C2E55" w:rsidRDefault="002C2E55"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3E4037">
        <w:rPr>
          <w:rFonts w:ascii="Arial" w:hAnsi="Arial" w:cs="Arial"/>
          <w:sz w:val="24"/>
          <w:szCs w:val="24"/>
        </w:rPr>
        <w:t>plaintiff</w:t>
      </w:r>
      <w:r>
        <w:rPr>
          <w:rFonts w:ascii="Arial" w:hAnsi="Arial" w:cs="Arial"/>
          <w:sz w:val="24"/>
          <w:szCs w:val="24"/>
        </w:rPr>
        <w:t xml:space="preserve">’s particulars of claim reasonably fully sets out its cause of action. In support of its averments as </w:t>
      </w:r>
      <w:r w:rsidR="003E4037">
        <w:rPr>
          <w:rFonts w:ascii="Arial" w:hAnsi="Arial" w:cs="Arial"/>
          <w:sz w:val="24"/>
          <w:szCs w:val="24"/>
        </w:rPr>
        <w:t xml:space="preserve">to </w:t>
      </w:r>
      <w:r>
        <w:rPr>
          <w:rFonts w:ascii="Arial" w:hAnsi="Arial" w:cs="Arial"/>
          <w:sz w:val="24"/>
          <w:szCs w:val="24"/>
        </w:rPr>
        <w:t xml:space="preserve">the contractual regime between the parties, </w:t>
      </w:r>
      <w:r w:rsidR="003E4037">
        <w:rPr>
          <w:rFonts w:ascii="Arial" w:hAnsi="Arial" w:cs="Arial"/>
          <w:sz w:val="24"/>
          <w:szCs w:val="24"/>
        </w:rPr>
        <w:t>quotations</w:t>
      </w:r>
      <w:r>
        <w:rPr>
          <w:rFonts w:ascii="Arial" w:hAnsi="Arial" w:cs="Arial"/>
          <w:sz w:val="24"/>
          <w:szCs w:val="24"/>
        </w:rPr>
        <w:t xml:space="preserve"> and correspondence </w:t>
      </w:r>
      <w:r w:rsidR="003E4037">
        <w:rPr>
          <w:rFonts w:ascii="Arial" w:hAnsi="Arial" w:cs="Arial"/>
          <w:sz w:val="24"/>
          <w:szCs w:val="24"/>
        </w:rPr>
        <w:t>are</w:t>
      </w:r>
      <w:r>
        <w:rPr>
          <w:rFonts w:ascii="Arial" w:hAnsi="Arial" w:cs="Arial"/>
          <w:sz w:val="24"/>
          <w:szCs w:val="24"/>
        </w:rPr>
        <w:t xml:space="preserve"> attached. These averments span </w:t>
      </w:r>
      <w:r w:rsidR="008B0649">
        <w:rPr>
          <w:rFonts w:ascii="Arial" w:hAnsi="Arial" w:cs="Arial"/>
          <w:sz w:val="24"/>
          <w:szCs w:val="24"/>
        </w:rPr>
        <w:t>some nine paragraphs and include nine attachments.</w:t>
      </w:r>
    </w:p>
    <w:p w14:paraId="6DF6ADE7" w14:textId="77777777" w:rsidR="00462703" w:rsidRDefault="00462703" w:rsidP="00462703">
      <w:pPr>
        <w:pStyle w:val="ListParagraph"/>
        <w:rPr>
          <w:rFonts w:ascii="Arial" w:hAnsi="Arial" w:cs="Arial"/>
          <w:sz w:val="24"/>
          <w:szCs w:val="24"/>
        </w:rPr>
      </w:pPr>
    </w:p>
    <w:p w14:paraId="2B7A661D" w14:textId="53B1A1D1" w:rsidR="00462703" w:rsidRDefault="008B0649"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alleging that the </w:t>
      </w:r>
      <w:r w:rsidR="003E4037">
        <w:rPr>
          <w:rFonts w:ascii="Arial" w:hAnsi="Arial" w:cs="Arial"/>
          <w:sz w:val="24"/>
          <w:szCs w:val="24"/>
        </w:rPr>
        <w:t>plaintiff</w:t>
      </w:r>
      <w:r>
        <w:rPr>
          <w:rFonts w:ascii="Arial" w:hAnsi="Arial" w:cs="Arial"/>
          <w:sz w:val="24"/>
          <w:szCs w:val="24"/>
        </w:rPr>
        <w:t xml:space="preserve"> duly performed its obligations, the </w:t>
      </w:r>
      <w:r w:rsidR="003E4037">
        <w:rPr>
          <w:rFonts w:ascii="Arial" w:hAnsi="Arial" w:cs="Arial"/>
          <w:sz w:val="24"/>
          <w:szCs w:val="24"/>
        </w:rPr>
        <w:t>plaintiff</w:t>
      </w:r>
      <w:r>
        <w:rPr>
          <w:rFonts w:ascii="Arial" w:hAnsi="Arial" w:cs="Arial"/>
          <w:sz w:val="24"/>
          <w:szCs w:val="24"/>
        </w:rPr>
        <w:t xml:space="preserve"> attached a certificate of acceptance of completed work</w:t>
      </w:r>
      <w:r w:rsidR="00186627">
        <w:rPr>
          <w:rFonts w:ascii="Arial" w:hAnsi="Arial" w:cs="Arial"/>
          <w:sz w:val="24"/>
          <w:szCs w:val="24"/>
        </w:rPr>
        <w:t>. That certificate</w:t>
      </w:r>
      <w:r>
        <w:rPr>
          <w:rFonts w:ascii="Arial" w:hAnsi="Arial" w:cs="Arial"/>
          <w:sz w:val="24"/>
          <w:szCs w:val="24"/>
        </w:rPr>
        <w:t xml:space="preserve"> included a statement to the effect that the work was completed according to specification and of no damage to the lining and that the measurements of the work were correct. There is provision on the certificate for the </w:t>
      </w:r>
      <w:r w:rsidR="003E4037">
        <w:rPr>
          <w:rFonts w:ascii="Arial" w:hAnsi="Arial" w:cs="Arial"/>
          <w:sz w:val="24"/>
          <w:szCs w:val="24"/>
        </w:rPr>
        <w:t>defend</w:t>
      </w:r>
      <w:r>
        <w:rPr>
          <w:rFonts w:ascii="Arial" w:hAnsi="Arial" w:cs="Arial"/>
          <w:sz w:val="24"/>
          <w:szCs w:val="24"/>
        </w:rPr>
        <w:t xml:space="preserve">ant to list exceptions. But no exceptions or qualifications </w:t>
      </w:r>
      <w:r w:rsidR="003E4037">
        <w:rPr>
          <w:rFonts w:ascii="Arial" w:hAnsi="Arial" w:cs="Arial"/>
          <w:sz w:val="24"/>
          <w:szCs w:val="24"/>
        </w:rPr>
        <w:t>were</w:t>
      </w:r>
      <w:r>
        <w:rPr>
          <w:rFonts w:ascii="Arial" w:hAnsi="Arial" w:cs="Arial"/>
          <w:sz w:val="24"/>
          <w:szCs w:val="24"/>
        </w:rPr>
        <w:t xml:space="preserve"> made to the </w:t>
      </w:r>
      <w:r w:rsidR="003E4037">
        <w:rPr>
          <w:rFonts w:ascii="Arial" w:hAnsi="Arial" w:cs="Arial"/>
          <w:sz w:val="24"/>
          <w:szCs w:val="24"/>
        </w:rPr>
        <w:t>defend</w:t>
      </w:r>
      <w:r>
        <w:rPr>
          <w:rFonts w:ascii="Arial" w:hAnsi="Arial" w:cs="Arial"/>
          <w:sz w:val="24"/>
          <w:szCs w:val="24"/>
        </w:rPr>
        <w:t xml:space="preserve">ant’s representative’s signature </w:t>
      </w:r>
      <w:r>
        <w:rPr>
          <w:rFonts w:ascii="Arial" w:hAnsi="Arial" w:cs="Arial"/>
          <w:sz w:val="24"/>
          <w:szCs w:val="24"/>
        </w:rPr>
        <w:lastRenderedPageBreak/>
        <w:t xml:space="preserve">on the form who only inserted ‘site </w:t>
      </w:r>
      <w:r w:rsidR="008C605B">
        <w:rPr>
          <w:rFonts w:ascii="Arial" w:hAnsi="Arial" w:cs="Arial"/>
          <w:sz w:val="24"/>
          <w:szCs w:val="24"/>
        </w:rPr>
        <w:t>is clean’ next to the signature, although not signing at the place for client representative on the form.</w:t>
      </w:r>
      <w:r w:rsidR="002159F1">
        <w:rPr>
          <w:rFonts w:ascii="Arial" w:hAnsi="Arial" w:cs="Arial"/>
          <w:sz w:val="24"/>
          <w:szCs w:val="24"/>
        </w:rPr>
        <w:t xml:space="preserve"> </w:t>
      </w:r>
    </w:p>
    <w:p w14:paraId="11AC2F4B" w14:textId="77777777" w:rsidR="00462703" w:rsidRDefault="00462703" w:rsidP="00462703">
      <w:pPr>
        <w:pStyle w:val="ListParagraph"/>
        <w:rPr>
          <w:rFonts w:ascii="Arial" w:hAnsi="Arial" w:cs="Arial"/>
          <w:sz w:val="24"/>
          <w:szCs w:val="24"/>
        </w:rPr>
      </w:pPr>
    </w:p>
    <w:p w14:paraId="159F1209" w14:textId="77777777" w:rsidR="00462703" w:rsidRDefault="008B0649"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186627">
        <w:rPr>
          <w:rFonts w:ascii="Arial" w:hAnsi="Arial" w:cs="Arial"/>
          <w:sz w:val="24"/>
          <w:szCs w:val="24"/>
        </w:rPr>
        <w:t>particulars</w:t>
      </w:r>
      <w:r>
        <w:rPr>
          <w:rFonts w:ascii="Arial" w:hAnsi="Arial" w:cs="Arial"/>
          <w:sz w:val="24"/>
          <w:szCs w:val="24"/>
        </w:rPr>
        <w:t xml:space="preserve"> also allege that the </w:t>
      </w:r>
      <w:r w:rsidR="003E4037">
        <w:rPr>
          <w:rFonts w:ascii="Arial" w:hAnsi="Arial" w:cs="Arial"/>
          <w:sz w:val="24"/>
          <w:szCs w:val="24"/>
        </w:rPr>
        <w:t>defend</w:t>
      </w:r>
      <w:r>
        <w:rPr>
          <w:rFonts w:ascii="Arial" w:hAnsi="Arial" w:cs="Arial"/>
          <w:sz w:val="24"/>
          <w:szCs w:val="24"/>
        </w:rPr>
        <w:t xml:space="preserve">ant’s non-payment was attributed to cash flow constraints and an email </w:t>
      </w:r>
      <w:r w:rsidR="00186627">
        <w:rPr>
          <w:rFonts w:ascii="Arial" w:hAnsi="Arial" w:cs="Arial"/>
          <w:sz w:val="24"/>
          <w:szCs w:val="24"/>
        </w:rPr>
        <w:t xml:space="preserve">from the person who contracted on behalf of the defendant </w:t>
      </w:r>
      <w:r>
        <w:rPr>
          <w:rFonts w:ascii="Arial" w:hAnsi="Arial" w:cs="Arial"/>
          <w:sz w:val="24"/>
          <w:szCs w:val="24"/>
        </w:rPr>
        <w:t>to that effect was attached to the particulars of claim.</w:t>
      </w:r>
    </w:p>
    <w:p w14:paraId="1283A92E" w14:textId="77777777" w:rsidR="00462703" w:rsidRDefault="00462703" w:rsidP="00462703">
      <w:pPr>
        <w:pStyle w:val="ListParagraph"/>
        <w:rPr>
          <w:rFonts w:ascii="Arial" w:hAnsi="Arial" w:cs="Arial"/>
          <w:sz w:val="24"/>
          <w:szCs w:val="24"/>
        </w:rPr>
      </w:pPr>
    </w:p>
    <w:p w14:paraId="5FFE0F3E" w14:textId="58C624A0" w:rsidR="00462703" w:rsidRDefault="008B0649"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w:t>
      </w:r>
      <w:r w:rsidR="003E4037">
        <w:rPr>
          <w:rFonts w:ascii="Arial" w:hAnsi="Arial" w:cs="Arial"/>
          <w:sz w:val="24"/>
          <w:szCs w:val="24"/>
        </w:rPr>
        <w:t>defend</w:t>
      </w:r>
      <w:r>
        <w:rPr>
          <w:rFonts w:ascii="Arial" w:hAnsi="Arial" w:cs="Arial"/>
          <w:sz w:val="24"/>
          <w:szCs w:val="24"/>
        </w:rPr>
        <w:t>ant’s answering affidavit, none of the contractual terms pleaded in the particulars of claim is denied. Instead</w:t>
      </w:r>
      <w:r w:rsidR="003E4037">
        <w:rPr>
          <w:rFonts w:ascii="Arial" w:hAnsi="Arial" w:cs="Arial"/>
          <w:sz w:val="24"/>
          <w:szCs w:val="24"/>
        </w:rPr>
        <w:t xml:space="preserve">, the defendant contended for </w:t>
      </w:r>
      <w:r>
        <w:rPr>
          <w:rFonts w:ascii="Arial" w:hAnsi="Arial" w:cs="Arial"/>
          <w:sz w:val="24"/>
          <w:szCs w:val="24"/>
        </w:rPr>
        <w:t>two further terms as being express alternatively implied or tacit terms. These were the retention term</w:t>
      </w:r>
      <w:r w:rsidR="007E6108">
        <w:rPr>
          <w:rFonts w:ascii="Arial" w:hAnsi="Arial" w:cs="Arial"/>
          <w:sz w:val="24"/>
          <w:szCs w:val="24"/>
        </w:rPr>
        <w:t xml:space="preserve"> referred to and that the </w:t>
      </w:r>
      <w:r w:rsidR="00025F4A">
        <w:rPr>
          <w:rFonts w:ascii="Arial" w:hAnsi="Arial" w:cs="Arial"/>
          <w:sz w:val="24"/>
          <w:szCs w:val="24"/>
        </w:rPr>
        <w:t>plaintiff</w:t>
      </w:r>
      <w:r w:rsidR="007E6108">
        <w:rPr>
          <w:rFonts w:ascii="Arial" w:hAnsi="Arial" w:cs="Arial"/>
          <w:sz w:val="24"/>
          <w:szCs w:val="24"/>
        </w:rPr>
        <w:t xml:space="preserve"> would </w:t>
      </w:r>
      <w:r w:rsidR="003E4037">
        <w:rPr>
          <w:rFonts w:ascii="Arial" w:hAnsi="Arial" w:cs="Arial"/>
          <w:sz w:val="24"/>
          <w:szCs w:val="24"/>
        </w:rPr>
        <w:t xml:space="preserve">only </w:t>
      </w:r>
      <w:r w:rsidR="007E6108">
        <w:rPr>
          <w:rFonts w:ascii="Arial" w:hAnsi="Arial" w:cs="Arial"/>
          <w:sz w:val="24"/>
          <w:szCs w:val="24"/>
        </w:rPr>
        <w:t>receive payment once ‘the client consultant engineer’ had signed a certificate of completed work. No documentation or correspondence is attached in support of these terms. The affidavit proceeds to assert that the performance was defective and not payable because ‘the client consultant engineer’ had not signed the completion certificate.</w:t>
      </w:r>
    </w:p>
    <w:p w14:paraId="309BACF1" w14:textId="77777777" w:rsidR="00462703" w:rsidRDefault="00462703" w:rsidP="00462703">
      <w:pPr>
        <w:pStyle w:val="ListParagraph"/>
        <w:rPr>
          <w:rFonts w:ascii="Arial" w:hAnsi="Arial" w:cs="Arial"/>
          <w:sz w:val="24"/>
          <w:szCs w:val="24"/>
        </w:rPr>
      </w:pPr>
    </w:p>
    <w:p w14:paraId="5F467736" w14:textId="77777777" w:rsidR="00462703" w:rsidRDefault="007E6108"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3E4037">
        <w:rPr>
          <w:rFonts w:ascii="Arial" w:hAnsi="Arial" w:cs="Arial"/>
          <w:sz w:val="24"/>
          <w:szCs w:val="24"/>
        </w:rPr>
        <w:t>defend</w:t>
      </w:r>
      <w:r>
        <w:rPr>
          <w:rFonts w:ascii="Arial" w:hAnsi="Arial" w:cs="Arial"/>
          <w:sz w:val="24"/>
          <w:szCs w:val="24"/>
        </w:rPr>
        <w:t xml:space="preserve">ant does not state in what respect(s) the work was defective. Nor is any correspondence attached concerning that issue or </w:t>
      </w:r>
      <w:r w:rsidR="003E4037">
        <w:rPr>
          <w:rFonts w:ascii="Arial" w:hAnsi="Arial" w:cs="Arial"/>
          <w:sz w:val="24"/>
          <w:szCs w:val="24"/>
        </w:rPr>
        <w:t xml:space="preserve">the </w:t>
      </w:r>
      <w:r>
        <w:rPr>
          <w:rFonts w:ascii="Arial" w:hAnsi="Arial" w:cs="Arial"/>
          <w:sz w:val="24"/>
          <w:szCs w:val="24"/>
        </w:rPr>
        <w:t>certificate of the ‘client consultant engineer</w:t>
      </w:r>
      <w:r w:rsidR="003E4037">
        <w:rPr>
          <w:rFonts w:ascii="Arial" w:hAnsi="Arial" w:cs="Arial"/>
          <w:sz w:val="24"/>
          <w:szCs w:val="24"/>
        </w:rPr>
        <w:t>’ contended for</w:t>
      </w:r>
      <w:r>
        <w:rPr>
          <w:rFonts w:ascii="Arial" w:hAnsi="Arial" w:cs="Arial"/>
          <w:sz w:val="24"/>
          <w:szCs w:val="24"/>
        </w:rPr>
        <w:t xml:space="preserve">. </w:t>
      </w:r>
      <w:r w:rsidR="003E4037">
        <w:rPr>
          <w:rFonts w:ascii="Arial" w:hAnsi="Arial" w:cs="Arial"/>
          <w:sz w:val="24"/>
          <w:szCs w:val="24"/>
        </w:rPr>
        <w:t>Nor is that position explained with reference to the term ‘client’ or identifying such a person or firm of engineers.</w:t>
      </w:r>
    </w:p>
    <w:p w14:paraId="2D582E68" w14:textId="77777777" w:rsidR="00462703" w:rsidRDefault="00462703" w:rsidP="00462703">
      <w:pPr>
        <w:pStyle w:val="ListParagraph"/>
        <w:rPr>
          <w:rFonts w:ascii="Arial" w:hAnsi="Arial" w:cs="Arial"/>
          <w:sz w:val="24"/>
          <w:szCs w:val="24"/>
        </w:rPr>
      </w:pPr>
    </w:p>
    <w:p w14:paraId="2AF912D1" w14:textId="1A30110B" w:rsidR="003E4037" w:rsidRDefault="007E6108"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3E4037">
        <w:rPr>
          <w:rFonts w:ascii="Arial" w:hAnsi="Arial" w:cs="Arial"/>
          <w:sz w:val="24"/>
          <w:szCs w:val="24"/>
        </w:rPr>
        <w:t>defend</w:t>
      </w:r>
      <w:r w:rsidR="005E700E">
        <w:rPr>
          <w:rFonts w:ascii="Arial" w:hAnsi="Arial" w:cs="Arial"/>
          <w:sz w:val="24"/>
          <w:szCs w:val="24"/>
        </w:rPr>
        <w:t xml:space="preserve">ant </w:t>
      </w:r>
      <w:r>
        <w:rPr>
          <w:rFonts w:ascii="Arial" w:hAnsi="Arial" w:cs="Arial"/>
          <w:sz w:val="24"/>
          <w:szCs w:val="24"/>
        </w:rPr>
        <w:t xml:space="preserve">does not deal with the certificate of completion </w:t>
      </w:r>
      <w:r w:rsidR="003E4037">
        <w:rPr>
          <w:rFonts w:ascii="Arial" w:hAnsi="Arial" w:cs="Arial"/>
          <w:sz w:val="24"/>
          <w:szCs w:val="24"/>
        </w:rPr>
        <w:t xml:space="preserve">referred to and attached to the plaintiff’s particulars of claim </w:t>
      </w:r>
      <w:r>
        <w:rPr>
          <w:rFonts w:ascii="Arial" w:hAnsi="Arial" w:cs="Arial"/>
          <w:sz w:val="24"/>
          <w:szCs w:val="24"/>
        </w:rPr>
        <w:t>which included a signature of its representative accepting the work as set out above. This crucial allegation is not denied</w:t>
      </w:r>
      <w:r w:rsidR="003E4037">
        <w:rPr>
          <w:rFonts w:ascii="Arial" w:hAnsi="Arial" w:cs="Arial"/>
          <w:sz w:val="24"/>
          <w:szCs w:val="24"/>
        </w:rPr>
        <w:t>. N</w:t>
      </w:r>
      <w:r>
        <w:rPr>
          <w:rFonts w:ascii="Arial" w:hAnsi="Arial" w:cs="Arial"/>
          <w:sz w:val="24"/>
          <w:szCs w:val="24"/>
        </w:rPr>
        <w:t>or</w:t>
      </w:r>
      <w:r w:rsidR="003E4037">
        <w:rPr>
          <w:rFonts w:ascii="Arial" w:hAnsi="Arial" w:cs="Arial"/>
          <w:sz w:val="24"/>
          <w:szCs w:val="24"/>
        </w:rPr>
        <w:t xml:space="preserve"> is it </w:t>
      </w:r>
      <w:r>
        <w:rPr>
          <w:rFonts w:ascii="Arial" w:hAnsi="Arial" w:cs="Arial"/>
          <w:sz w:val="24"/>
          <w:szCs w:val="24"/>
        </w:rPr>
        <w:t>explaine</w:t>
      </w:r>
      <w:r w:rsidR="00B61CA0">
        <w:rPr>
          <w:rFonts w:ascii="Arial" w:hAnsi="Arial" w:cs="Arial"/>
          <w:sz w:val="24"/>
          <w:szCs w:val="24"/>
        </w:rPr>
        <w:t xml:space="preserve">d at all. </w:t>
      </w:r>
      <w:r w:rsidR="008C605B">
        <w:rPr>
          <w:rFonts w:ascii="Arial" w:hAnsi="Arial" w:cs="Arial"/>
          <w:sz w:val="24"/>
          <w:szCs w:val="24"/>
        </w:rPr>
        <w:t xml:space="preserve">It is not sufficient for Ms Mondo to rely upon the fact that the defendant’s representative did not sign at the designated place and </w:t>
      </w:r>
      <w:r w:rsidR="008C605B">
        <w:rPr>
          <w:rFonts w:ascii="Arial" w:hAnsi="Arial" w:cs="Arial"/>
          <w:sz w:val="24"/>
          <w:szCs w:val="24"/>
        </w:rPr>
        <w:lastRenderedPageBreak/>
        <w:t xml:space="preserve">instead next to the </w:t>
      </w:r>
      <w:r w:rsidR="00D00E93">
        <w:rPr>
          <w:rFonts w:ascii="Arial" w:hAnsi="Arial" w:cs="Arial"/>
          <w:sz w:val="24"/>
          <w:szCs w:val="24"/>
        </w:rPr>
        <w:t>comment</w:t>
      </w:r>
      <w:r w:rsidR="008C605B">
        <w:rPr>
          <w:rFonts w:ascii="Arial" w:hAnsi="Arial" w:cs="Arial"/>
          <w:sz w:val="24"/>
          <w:szCs w:val="24"/>
        </w:rPr>
        <w:t xml:space="preserve"> made under exceptions, in the absence of any explanation provided for this in the opposing affidavit. </w:t>
      </w:r>
      <w:r w:rsidR="00B61CA0">
        <w:rPr>
          <w:rFonts w:ascii="Arial" w:hAnsi="Arial" w:cs="Arial"/>
          <w:sz w:val="24"/>
          <w:szCs w:val="24"/>
        </w:rPr>
        <w:t xml:space="preserve">Nor is the allegation concerning cash flow problems being the reason for non-payment </w:t>
      </w:r>
      <w:r w:rsidR="008C605B">
        <w:rPr>
          <w:rFonts w:ascii="Arial" w:hAnsi="Arial" w:cs="Arial"/>
          <w:sz w:val="24"/>
          <w:szCs w:val="24"/>
        </w:rPr>
        <w:t xml:space="preserve">addressed or dealt with </w:t>
      </w:r>
      <w:r w:rsidR="00B61CA0">
        <w:rPr>
          <w:rFonts w:ascii="Arial" w:hAnsi="Arial" w:cs="Arial"/>
          <w:sz w:val="24"/>
          <w:szCs w:val="24"/>
        </w:rPr>
        <w:t>even though it is</w:t>
      </w:r>
      <w:r>
        <w:rPr>
          <w:rFonts w:ascii="Arial" w:hAnsi="Arial" w:cs="Arial"/>
          <w:sz w:val="24"/>
          <w:szCs w:val="24"/>
        </w:rPr>
        <w:t xml:space="preserve"> supported by an email addressed by a person purporting to be</w:t>
      </w:r>
      <w:r w:rsidR="003E4037">
        <w:rPr>
          <w:rFonts w:ascii="Arial" w:hAnsi="Arial" w:cs="Arial"/>
          <w:sz w:val="24"/>
          <w:szCs w:val="24"/>
        </w:rPr>
        <w:t xml:space="preserve"> an engineer </w:t>
      </w:r>
      <w:r w:rsidR="00B61CA0">
        <w:rPr>
          <w:rFonts w:ascii="Arial" w:hAnsi="Arial" w:cs="Arial"/>
          <w:sz w:val="24"/>
          <w:szCs w:val="24"/>
        </w:rPr>
        <w:t xml:space="preserve">and </w:t>
      </w:r>
      <w:r w:rsidR="003E4037">
        <w:rPr>
          <w:rFonts w:ascii="Arial" w:hAnsi="Arial" w:cs="Arial"/>
          <w:sz w:val="24"/>
          <w:szCs w:val="24"/>
        </w:rPr>
        <w:t xml:space="preserve">who contracted on behalf of the </w:t>
      </w:r>
      <w:r w:rsidR="00BE1790">
        <w:rPr>
          <w:rFonts w:ascii="Arial" w:hAnsi="Arial" w:cs="Arial"/>
          <w:sz w:val="24"/>
          <w:szCs w:val="24"/>
        </w:rPr>
        <w:t>defend</w:t>
      </w:r>
      <w:r w:rsidR="003E4037">
        <w:rPr>
          <w:rFonts w:ascii="Arial" w:hAnsi="Arial" w:cs="Arial"/>
          <w:sz w:val="24"/>
          <w:szCs w:val="24"/>
        </w:rPr>
        <w:t>ant</w:t>
      </w:r>
      <w:r w:rsidR="00B61CA0">
        <w:rPr>
          <w:rFonts w:ascii="Arial" w:hAnsi="Arial" w:cs="Arial"/>
          <w:sz w:val="24"/>
          <w:szCs w:val="24"/>
        </w:rPr>
        <w:t>. Significantly n</w:t>
      </w:r>
      <w:r w:rsidR="003E4037">
        <w:rPr>
          <w:rFonts w:ascii="Arial" w:hAnsi="Arial" w:cs="Arial"/>
          <w:sz w:val="24"/>
          <w:szCs w:val="24"/>
        </w:rPr>
        <w:t>o mention is made of any defects</w:t>
      </w:r>
      <w:r w:rsidR="00B61CA0">
        <w:rPr>
          <w:rFonts w:ascii="Arial" w:hAnsi="Arial" w:cs="Arial"/>
          <w:sz w:val="24"/>
          <w:szCs w:val="24"/>
        </w:rPr>
        <w:t xml:space="preserve"> in this email</w:t>
      </w:r>
      <w:r w:rsidR="003E4037">
        <w:rPr>
          <w:rFonts w:ascii="Arial" w:hAnsi="Arial" w:cs="Arial"/>
          <w:sz w:val="24"/>
          <w:szCs w:val="24"/>
        </w:rPr>
        <w:t>. Nor is this email denied or explained</w:t>
      </w:r>
      <w:r w:rsidR="008C605B">
        <w:rPr>
          <w:rFonts w:ascii="Arial" w:hAnsi="Arial" w:cs="Arial"/>
          <w:sz w:val="24"/>
          <w:szCs w:val="24"/>
        </w:rPr>
        <w:t xml:space="preserve"> in any manner</w:t>
      </w:r>
      <w:r w:rsidR="003E4037">
        <w:rPr>
          <w:rFonts w:ascii="Arial" w:hAnsi="Arial" w:cs="Arial"/>
          <w:sz w:val="24"/>
          <w:szCs w:val="24"/>
        </w:rPr>
        <w:t xml:space="preserve"> at all.</w:t>
      </w:r>
    </w:p>
    <w:p w14:paraId="305396E5" w14:textId="77777777" w:rsidR="003E4037" w:rsidRDefault="003E4037" w:rsidP="003E4037">
      <w:pPr>
        <w:pStyle w:val="ListParagraph"/>
        <w:rPr>
          <w:rFonts w:ascii="Arial" w:hAnsi="Arial" w:cs="Arial"/>
          <w:sz w:val="24"/>
          <w:szCs w:val="24"/>
        </w:rPr>
      </w:pPr>
    </w:p>
    <w:p w14:paraId="11D0A729" w14:textId="410A8978" w:rsidR="00462703" w:rsidRDefault="007E6108"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 </w:t>
      </w:r>
      <w:r w:rsidR="003E4037">
        <w:rPr>
          <w:rFonts w:ascii="Arial" w:hAnsi="Arial" w:cs="Arial"/>
          <w:sz w:val="24"/>
          <w:szCs w:val="24"/>
        </w:rPr>
        <w:t>Presumably</w:t>
      </w:r>
      <w:r>
        <w:rPr>
          <w:rFonts w:ascii="Arial" w:hAnsi="Arial" w:cs="Arial"/>
          <w:sz w:val="24"/>
          <w:szCs w:val="24"/>
        </w:rPr>
        <w:t xml:space="preserve"> realising that the sketchy </w:t>
      </w:r>
      <w:r w:rsidR="00A979EB">
        <w:rPr>
          <w:rFonts w:ascii="Arial" w:hAnsi="Arial" w:cs="Arial"/>
          <w:sz w:val="24"/>
          <w:szCs w:val="24"/>
        </w:rPr>
        <w:t xml:space="preserve">nature of the </w:t>
      </w:r>
      <w:r w:rsidR="005301BD">
        <w:rPr>
          <w:rFonts w:ascii="Arial" w:hAnsi="Arial" w:cs="Arial"/>
          <w:sz w:val="24"/>
          <w:szCs w:val="24"/>
        </w:rPr>
        <w:t xml:space="preserve">defence, so lacking in particularly, </w:t>
      </w:r>
      <w:r w:rsidR="008C605B">
        <w:rPr>
          <w:rFonts w:ascii="Arial" w:hAnsi="Arial" w:cs="Arial"/>
          <w:sz w:val="24"/>
          <w:szCs w:val="24"/>
        </w:rPr>
        <w:t xml:space="preserve">and thus </w:t>
      </w:r>
      <w:r w:rsidR="00A979EB">
        <w:rPr>
          <w:rFonts w:ascii="Arial" w:hAnsi="Arial" w:cs="Arial"/>
          <w:sz w:val="24"/>
          <w:szCs w:val="24"/>
        </w:rPr>
        <w:t>failing</w:t>
      </w:r>
      <w:r w:rsidR="00B61CA0">
        <w:rPr>
          <w:rFonts w:ascii="Arial" w:hAnsi="Arial" w:cs="Arial"/>
          <w:sz w:val="24"/>
          <w:szCs w:val="24"/>
        </w:rPr>
        <w:t xml:space="preserve"> to meet</w:t>
      </w:r>
      <w:r w:rsidR="005301BD">
        <w:rPr>
          <w:rFonts w:ascii="Arial" w:hAnsi="Arial" w:cs="Arial"/>
          <w:sz w:val="24"/>
          <w:szCs w:val="24"/>
        </w:rPr>
        <w:t xml:space="preserve"> the requirement</w:t>
      </w:r>
      <w:r w:rsidR="003E4037">
        <w:rPr>
          <w:rFonts w:ascii="Arial" w:hAnsi="Arial" w:cs="Arial"/>
          <w:sz w:val="24"/>
          <w:szCs w:val="24"/>
        </w:rPr>
        <w:t>s</w:t>
      </w:r>
      <w:r w:rsidR="005301BD">
        <w:rPr>
          <w:rFonts w:ascii="Arial" w:hAnsi="Arial" w:cs="Arial"/>
          <w:sz w:val="24"/>
          <w:szCs w:val="24"/>
        </w:rPr>
        <w:t xml:space="preserve"> of </w:t>
      </w:r>
      <w:r w:rsidR="003E4037">
        <w:rPr>
          <w:rFonts w:ascii="Arial" w:hAnsi="Arial" w:cs="Arial"/>
          <w:sz w:val="24"/>
          <w:szCs w:val="24"/>
        </w:rPr>
        <w:t>rule 60(5),</w:t>
      </w:r>
      <w:r w:rsidR="005301BD">
        <w:rPr>
          <w:rFonts w:ascii="Arial" w:hAnsi="Arial" w:cs="Arial"/>
          <w:sz w:val="24"/>
          <w:szCs w:val="24"/>
        </w:rPr>
        <w:t xml:space="preserve"> Ms Mondo </w:t>
      </w:r>
      <w:r w:rsidR="00B61CA0">
        <w:rPr>
          <w:rFonts w:ascii="Arial" w:hAnsi="Arial" w:cs="Arial"/>
          <w:sz w:val="24"/>
          <w:szCs w:val="24"/>
        </w:rPr>
        <w:t xml:space="preserve">in the course of her oral argument </w:t>
      </w:r>
      <w:r w:rsidR="005301BD">
        <w:rPr>
          <w:rFonts w:ascii="Arial" w:hAnsi="Arial" w:cs="Arial"/>
          <w:sz w:val="24"/>
          <w:szCs w:val="24"/>
        </w:rPr>
        <w:t xml:space="preserve">at the High Court referred in argument to factual aspects of alleged defects </w:t>
      </w:r>
      <w:r w:rsidR="003E4037">
        <w:rPr>
          <w:rFonts w:ascii="Arial" w:hAnsi="Arial" w:cs="Arial"/>
          <w:sz w:val="24"/>
          <w:szCs w:val="24"/>
        </w:rPr>
        <w:t>which were not contained in the opposing affidavit</w:t>
      </w:r>
      <w:r w:rsidR="005301BD">
        <w:rPr>
          <w:rFonts w:ascii="Arial" w:hAnsi="Arial" w:cs="Arial"/>
          <w:sz w:val="24"/>
          <w:szCs w:val="24"/>
        </w:rPr>
        <w:t>.</w:t>
      </w:r>
      <w:r w:rsidR="006D5684">
        <w:rPr>
          <w:rStyle w:val="FootnoteReference"/>
          <w:rFonts w:ascii="Arial" w:hAnsi="Arial" w:cs="Arial"/>
          <w:sz w:val="24"/>
          <w:szCs w:val="24"/>
        </w:rPr>
        <w:footnoteReference w:id="10"/>
      </w:r>
      <w:r w:rsidR="005301BD">
        <w:rPr>
          <w:rFonts w:ascii="Arial" w:hAnsi="Arial" w:cs="Arial"/>
          <w:sz w:val="24"/>
          <w:szCs w:val="24"/>
        </w:rPr>
        <w:t xml:space="preserve"> </w:t>
      </w:r>
      <w:r w:rsidR="00D00E93">
        <w:rPr>
          <w:rFonts w:ascii="Arial" w:hAnsi="Arial" w:cs="Arial"/>
          <w:sz w:val="24"/>
          <w:szCs w:val="24"/>
        </w:rPr>
        <w:t>The court</w:t>
      </w:r>
      <w:r w:rsidR="005301BD">
        <w:rPr>
          <w:rFonts w:ascii="Arial" w:hAnsi="Arial" w:cs="Arial"/>
          <w:sz w:val="24"/>
          <w:szCs w:val="24"/>
        </w:rPr>
        <w:t xml:space="preserve"> below rightly ruled that the </w:t>
      </w:r>
      <w:r w:rsidR="003E4037">
        <w:rPr>
          <w:rFonts w:ascii="Arial" w:hAnsi="Arial" w:cs="Arial"/>
          <w:sz w:val="24"/>
          <w:szCs w:val="24"/>
        </w:rPr>
        <w:t>defenda</w:t>
      </w:r>
      <w:r w:rsidR="005301BD">
        <w:rPr>
          <w:rFonts w:ascii="Arial" w:hAnsi="Arial" w:cs="Arial"/>
          <w:sz w:val="24"/>
          <w:szCs w:val="24"/>
        </w:rPr>
        <w:t xml:space="preserve">nt was confined to its opposing affidavit. </w:t>
      </w:r>
      <w:r w:rsidR="002159F1" w:rsidRPr="005E700E">
        <w:rPr>
          <w:rFonts w:ascii="Arial" w:hAnsi="Arial" w:cs="Arial"/>
          <w:sz w:val="24"/>
          <w:szCs w:val="24"/>
        </w:rPr>
        <w:t xml:space="preserve">In actual fact, the defendant’s legal representative correctly conceded </w:t>
      </w:r>
      <w:r w:rsidR="002159F1" w:rsidRPr="005E700E">
        <w:rPr>
          <w:rFonts w:ascii="Arial" w:hAnsi="Arial" w:cs="Arial"/>
          <w:i/>
          <w:sz w:val="24"/>
          <w:szCs w:val="24"/>
        </w:rPr>
        <w:t>a quo</w:t>
      </w:r>
      <w:r w:rsidR="002159F1" w:rsidRPr="005E700E">
        <w:rPr>
          <w:rFonts w:ascii="Arial" w:hAnsi="Arial" w:cs="Arial"/>
          <w:sz w:val="24"/>
          <w:szCs w:val="24"/>
        </w:rPr>
        <w:t xml:space="preserve"> that they did not attach any evidence to that effect.</w:t>
      </w:r>
      <w:r w:rsidR="002159F1">
        <w:rPr>
          <w:rFonts w:ascii="Arial" w:hAnsi="Arial" w:cs="Arial"/>
          <w:sz w:val="24"/>
          <w:szCs w:val="24"/>
        </w:rPr>
        <w:t xml:space="preserve"> </w:t>
      </w:r>
      <w:r w:rsidR="00D00E93">
        <w:rPr>
          <w:rFonts w:ascii="Arial" w:hAnsi="Arial" w:cs="Arial"/>
          <w:sz w:val="24"/>
          <w:szCs w:val="24"/>
        </w:rPr>
        <w:t>In her written argument</w:t>
      </w:r>
      <w:r w:rsidR="005301BD">
        <w:rPr>
          <w:rFonts w:ascii="Arial" w:hAnsi="Arial" w:cs="Arial"/>
          <w:sz w:val="24"/>
          <w:szCs w:val="24"/>
        </w:rPr>
        <w:t xml:space="preserve">, Ms Mondo </w:t>
      </w:r>
      <w:r w:rsidR="008C605B">
        <w:rPr>
          <w:rFonts w:ascii="Arial" w:hAnsi="Arial" w:cs="Arial"/>
          <w:sz w:val="24"/>
          <w:szCs w:val="24"/>
        </w:rPr>
        <w:t>submitted</w:t>
      </w:r>
      <w:r w:rsidR="005301BD">
        <w:rPr>
          <w:rFonts w:ascii="Arial" w:hAnsi="Arial" w:cs="Arial"/>
          <w:sz w:val="24"/>
          <w:szCs w:val="24"/>
        </w:rPr>
        <w:t xml:space="preserve"> that the court erred</w:t>
      </w:r>
      <w:r w:rsidR="003E4037">
        <w:rPr>
          <w:rFonts w:ascii="Arial" w:hAnsi="Arial" w:cs="Arial"/>
          <w:sz w:val="24"/>
          <w:szCs w:val="24"/>
        </w:rPr>
        <w:t xml:space="preserve"> in so ruling</w:t>
      </w:r>
      <w:r w:rsidR="005301BD">
        <w:rPr>
          <w:rFonts w:ascii="Arial" w:hAnsi="Arial" w:cs="Arial"/>
          <w:sz w:val="24"/>
          <w:szCs w:val="24"/>
        </w:rPr>
        <w:t xml:space="preserve"> by referring to </w:t>
      </w:r>
      <w:r w:rsidR="005301BD" w:rsidRPr="005301BD">
        <w:rPr>
          <w:rFonts w:ascii="Arial" w:hAnsi="Arial" w:cs="Arial"/>
          <w:i/>
          <w:sz w:val="24"/>
          <w:szCs w:val="24"/>
        </w:rPr>
        <w:t>Soller</w:t>
      </w:r>
      <w:r w:rsidR="005301BD">
        <w:rPr>
          <w:rFonts w:ascii="Arial" w:hAnsi="Arial" w:cs="Arial"/>
          <w:sz w:val="24"/>
          <w:szCs w:val="24"/>
        </w:rPr>
        <w:t xml:space="preserve"> as authority for adducing evidence through submissions from the </w:t>
      </w:r>
      <w:r w:rsidR="003A7794">
        <w:rPr>
          <w:rFonts w:ascii="Arial" w:hAnsi="Arial" w:cs="Arial"/>
          <w:sz w:val="24"/>
          <w:szCs w:val="24"/>
        </w:rPr>
        <w:t>B</w:t>
      </w:r>
      <w:r w:rsidR="005301BD">
        <w:rPr>
          <w:rFonts w:ascii="Arial" w:hAnsi="Arial" w:cs="Arial"/>
          <w:sz w:val="24"/>
          <w:szCs w:val="24"/>
        </w:rPr>
        <w:t xml:space="preserve">ar in order to clarify or supplement information. That case concerned an </w:t>
      </w:r>
      <w:r w:rsidR="003E4037">
        <w:rPr>
          <w:rFonts w:ascii="Arial" w:hAnsi="Arial" w:cs="Arial"/>
          <w:sz w:val="24"/>
          <w:szCs w:val="24"/>
        </w:rPr>
        <w:t>o</w:t>
      </w:r>
      <w:r w:rsidR="005301BD">
        <w:rPr>
          <w:rFonts w:ascii="Arial" w:hAnsi="Arial" w:cs="Arial"/>
          <w:sz w:val="24"/>
          <w:szCs w:val="24"/>
        </w:rPr>
        <w:t xml:space="preserve">pposed custody dispute </w:t>
      </w:r>
      <w:r w:rsidR="003E4037">
        <w:rPr>
          <w:rFonts w:ascii="Arial" w:hAnsi="Arial" w:cs="Arial"/>
          <w:sz w:val="24"/>
          <w:szCs w:val="24"/>
        </w:rPr>
        <w:t xml:space="preserve">in respect </w:t>
      </w:r>
      <w:r w:rsidR="005301BD">
        <w:rPr>
          <w:rFonts w:ascii="Arial" w:hAnsi="Arial" w:cs="Arial"/>
          <w:sz w:val="24"/>
          <w:szCs w:val="24"/>
        </w:rPr>
        <w:t xml:space="preserve">of a 15 year old boy who himself sought a variation of a custody order </w:t>
      </w:r>
      <w:r w:rsidR="003E4037">
        <w:rPr>
          <w:rFonts w:ascii="Arial" w:hAnsi="Arial" w:cs="Arial"/>
          <w:sz w:val="24"/>
          <w:szCs w:val="24"/>
        </w:rPr>
        <w:t>and in which</w:t>
      </w:r>
      <w:r w:rsidR="005301BD">
        <w:rPr>
          <w:rFonts w:ascii="Arial" w:hAnsi="Arial" w:cs="Arial"/>
          <w:sz w:val="24"/>
          <w:szCs w:val="24"/>
        </w:rPr>
        <w:t xml:space="preserve"> s 28</w:t>
      </w:r>
      <w:r w:rsidR="00AA32F2">
        <w:rPr>
          <w:rFonts w:ascii="Arial" w:hAnsi="Arial" w:cs="Arial"/>
          <w:sz w:val="24"/>
          <w:szCs w:val="24"/>
        </w:rPr>
        <w:t>(1)</w:t>
      </w:r>
      <w:r w:rsidR="00AA32F2" w:rsidRPr="00D00E93">
        <w:rPr>
          <w:rFonts w:ascii="Arial" w:hAnsi="Arial" w:cs="Arial"/>
          <w:i/>
          <w:sz w:val="24"/>
          <w:szCs w:val="24"/>
        </w:rPr>
        <w:t>(h)</w:t>
      </w:r>
      <w:r w:rsidR="00AA32F2">
        <w:rPr>
          <w:rFonts w:ascii="Arial" w:hAnsi="Arial" w:cs="Arial"/>
          <w:sz w:val="24"/>
          <w:szCs w:val="24"/>
        </w:rPr>
        <w:t xml:space="preserve"> of the South African Constitution was invoked which afford</w:t>
      </w:r>
      <w:r w:rsidR="003E4037">
        <w:rPr>
          <w:rFonts w:ascii="Arial" w:hAnsi="Arial" w:cs="Arial"/>
          <w:sz w:val="24"/>
          <w:szCs w:val="24"/>
        </w:rPr>
        <w:t>s</w:t>
      </w:r>
      <w:r w:rsidR="00AA32F2">
        <w:rPr>
          <w:rFonts w:ascii="Arial" w:hAnsi="Arial" w:cs="Arial"/>
          <w:sz w:val="24"/>
          <w:szCs w:val="24"/>
        </w:rPr>
        <w:t xml:space="preserve"> every child the right to a legal practitioner in proceedings affecting him or her. The unusual proceedings also involved </w:t>
      </w:r>
      <w:r w:rsidR="00BE1790">
        <w:rPr>
          <w:rFonts w:ascii="Arial" w:hAnsi="Arial" w:cs="Arial"/>
          <w:sz w:val="24"/>
          <w:szCs w:val="24"/>
        </w:rPr>
        <w:t>the F</w:t>
      </w:r>
      <w:r w:rsidR="00AA32F2">
        <w:rPr>
          <w:rFonts w:ascii="Arial" w:hAnsi="Arial" w:cs="Arial"/>
          <w:sz w:val="24"/>
          <w:szCs w:val="24"/>
        </w:rPr>
        <w:t>amily Advocate</w:t>
      </w:r>
      <w:r w:rsidR="00BE1790">
        <w:rPr>
          <w:rFonts w:ascii="Arial" w:hAnsi="Arial" w:cs="Arial"/>
          <w:sz w:val="24"/>
          <w:szCs w:val="24"/>
        </w:rPr>
        <w:t>,</w:t>
      </w:r>
      <w:r w:rsidR="00AA32F2">
        <w:rPr>
          <w:rFonts w:ascii="Arial" w:hAnsi="Arial" w:cs="Arial"/>
          <w:sz w:val="24"/>
          <w:szCs w:val="24"/>
        </w:rPr>
        <w:t xml:space="preserve"> acting under the </w:t>
      </w:r>
      <w:r w:rsidR="00BE1790">
        <w:rPr>
          <w:rFonts w:ascii="Arial" w:hAnsi="Arial" w:cs="Arial"/>
          <w:sz w:val="24"/>
          <w:szCs w:val="24"/>
        </w:rPr>
        <w:t>M</w:t>
      </w:r>
      <w:r w:rsidR="00AA32F2">
        <w:rPr>
          <w:rFonts w:ascii="Arial" w:hAnsi="Arial" w:cs="Arial"/>
          <w:sz w:val="24"/>
          <w:szCs w:val="24"/>
        </w:rPr>
        <w:t xml:space="preserve">ediation in Certain Divorce Matters Act, 24 of 1987 to assist the court in </w:t>
      </w:r>
      <w:r w:rsidR="00A979EB">
        <w:rPr>
          <w:rFonts w:ascii="Arial" w:hAnsi="Arial" w:cs="Arial"/>
          <w:sz w:val="24"/>
          <w:szCs w:val="24"/>
        </w:rPr>
        <w:t xml:space="preserve">dealing with </w:t>
      </w:r>
      <w:r w:rsidR="00AA32F2">
        <w:rPr>
          <w:rFonts w:ascii="Arial" w:hAnsi="Arial" w:cs="Arial"/>
          <w:sz w:val="24"/>
          <w:szCs w:val="24"/>
        </w:rPr>
        <w:t>facts and considerations before it. The passage relied upon in this context was the following:</w:t>
      </w:r>
    </w:p>
    <w:p w14:paraId="0CA98CD1" w14:textId="77777777" w:rsidR="00AA32F2" w:rsidRDefault="00AA32F2" w:rsidP="00AA32F2">
      <w:pPr>
        <w:pStyle w:val="NoSpacing"/>
        <w:spacing w:line="480" w:lineRule="auto"/>
        <w:jc w:val="both"/>
        <w:rPr>
          <w:rFonts w:ascii="Arial" w:hAnsi="Arial" w:cs="Arial"/>
          <w:sz w:val="24"/>
          <w:szCs w:val="24"/>
        </w:rPr>
      </w:pPr>
    </w:p>
    <w:p w14:paraId="5F8BD4E3" w14:textId="77777777" w:rsidR="00AA32F2" w:rsidRPr="00DD6800" w:rsidRDefault="00AA32F2" w:rsidP="00DD6800">
      <w:pPr>
        <w:pStyle w:val="NoSpacing"/>
        <w:spacing w:line="360" w:lineRule="auto"/>
        <w:ind w:left="709" w:firstLine="11"/>
        <w:jc w:val="both"/>
        <w:rPr>
          <w:rFonts w:ascii="Arial" w:hAnsi="Arial" w:cs="Arial"/>
        </w:rPr>
      </w:pPr>
      <w:r w:rsidRPr="00DD6800">
        <w:rPr>
          <w:rFonts w:ascii="Arial" w:hAnsi="Arial" w:cs="Arial"/>
        </w:rPr>
        <w:t>‘</w:t>
      </w:r>
      <w:r w:rsidR="00DD6800" w:rsidRPr="00DD6800">
        <w:rPr>
          <w:rFonts w:ascii="Arial" w:hAnsi="Arial" w:cs="Arial"/>
        </w:rPr>
        <w:t>[32]</w:t>
      </w:r>
      <w:r w:rsidR="00DD6800" w:rsidRPr="00DD6800">
        <w:rPr>
          <w:rFonts w:ascii="Arial" w:hAnsi="Arial" w:cs="Arial"/>
        </w:rPr>
        <w:tab/>
        <w:t>In the second week of December 2002 received the affidavits of Mr Soller, K and Mrs G. There were numerous annexures. Subsequently I have received a further affidavit from Mrs G and an affidavit from Mr G. I had the opportunity to receive an address from Advocate Brenda Makganyoha, a Family Advocate, and had certain private discussions with her in Chambers concerning the appointment of the s 28 legal practitioner. I heard argument (supplemented by evidence) from the Bar from both Mr and Mrs G (who represented themselves). (It should be noted that Mr G has been declared a vexatious litigant.).’</w:t>
      </w:r>
    </w:p>
    <w:p w14:paraId="1272F3B1" w14:textId="77777777" w:rsidR="00AA32F2" w:rsidRDefault="00AA32F2" w:rsidP="00AA32F2">
      <w:pPr>
        <w:pStyle w:val="NoSpacing"/>
        <w:spacing w:line="480" w:lineRule="auto"/>
        <w:jc w:val="both"/>
        <w:rPr>
          <w:rFonts w:ascii="Arial" w:hAnsi="Arial" w:cs="Arial"/>
          <w:sz w:val="24"/>
          <w:szCs w:val="24"/>
        </w:rPr>
      </w:pPr>
    </w:p>
    <w:p w14:paraId="5EFB7E01" w14:textId="77777777" w:rsidR="00AA32F2" w:rsidRDefault="00B61CA0"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A979EB">
        <w:rPr>
          <w:rFonts w:ascii="Arial" w:hAnsi="Arial" w:cs="Arial"/>
          <w:sz w:val="24"/>
          <w:szCs w:val="24"/>
        </w:rPr>
        <w:t>pa</w:t>
      </w:r>
      <w:r>
        <w:rPr>
          <w:rFonts w:ascii="Arial" w:hAnsi="Arial" w:cs="Arial"/>
          <w:sz w:val="24"/>
          <w:szCs w:val="24"/>
        </w:rPr>
        <w:t>ssage from that judgment</w:t>
      </w:r>
      <w:r w:rsidR="00AA32F2">
        <w:rPr>
          <w:rFonts w:ascii="Arial" w:hAnsi="Arial" w:cs="Arial"/>
          <w:sz w:val="24"/>
          <w:szCs w:val="24"/>
        </w:rPr>
        <w:t xml:space="preserve"> explains the procedure followed and the fact that the presiding judge in th</w:t>
      </w:r>
      <w:r>
        <w:rPr>
          <w:rFonts w:ascii="Arial" w:hAnsi="Arial" w:cs="Arial"/>
          <w:sz w:val="24"/>
          <w:szCs w:val="24"/>
        </w:rPr>
        <w:t xml:space="preserve">at </w:t>
      </w:r>
      <w:r w:rsidR="00AA32F2">
        <w:rPr>
          <w:rFonts w:ascii="Arial" w:hAnsi="Arial" w:cs="Arial"/>
          <w:sz w:val="24"/>
          <w:szCs w:val="24"/>
        </w:rPr>
        <w:t xml:space="preserve">context heard argument from the protagonists themselves – and not their lawyers – which was supplemented by evidence from the </w:t>
      </w:r>
      <w:r w:rsidR="003A7794">
        <w:rPr>
          <w:rFonts w:ascii="Arial" w:hAnsi="Arial" w:cs="Arial"/>
          <w:sz w:val="24"/>
          <w:szCs w:val="24"/>
        </w:rPr>
        <w:t>B</w:t>
      </w:r>
      <w:r w:rsidR="00AA32F2">
        <w:rPr>
          <w:rFonts w:ascii="Arial" w:hAnsi="Arial" w:cs="Arial"/>
          <w:sz w:val="24"/>
          <w:szCs w:val="24"/>
        </w:rPr>
        <w:t>ar</w:t>
      </w:r>
      <w:r w:rsidR="008C605B">
        <w:rPr>
          <w:rFonts w:ascii="Arial" w:hAnsi="Arial" w:cs="Arial"/>
          <w:sz w:val="24"/>
          <w:szCs w:val="24"/>
        </w:rPr>
        <w:t xml:space="preserve"> in amplifying their respective positions </w:t>
      </w:r>
      <w:r w:rsidR="00AA32F2">
        <w:rPr>
          <w:rFonts w:ascii="Arial" w:hAnsi="Arial" w:cs="Arial"/>
          <w:sz w:val="24"/>
          <w:szCs w:val="24"/>
        </w:rPr>
        <w:t>in addition to the numerous affidavits, addresses and private discussions</w:t>
      </w:r>
      <w:r>
        <w:rPr>
          <w:rFonts w:ascii="Arial" w:hAnsi="Arial" w:cs="Arial"/>
          <w:sz w:val="24"/>
          <w:szCs w:val="24"/>
        </w:rPr>
        <w:t xml:space="preserve"> which the presiding judge </w:t>
      </w:r>
      <w:r w:rsidR="00AA32F2">
        <w:rPr>
          <w:rFonts w:ascii="Arial" w:hAnsi="Arial" w:cs="Arial"/>
          <w:sz w:val="24"/>
          <w:szCs w:val="24"/>
        </w:rPr>
        <w:t>took</w:t>
      </w:r>
      <w:r>
        <w:rPr>
          <w:rFonts w:ascii="Arial" w:hAnsi="Arial" w:cs="Arial"/>
          <w:sz w:val="24"/>
          <w:szCs w:val="24"/>
        </w:rPr>
        <w:t xml:space="preserve"> into account </w:t>
      </w:r>
      <w:r w:rsidR="00AA32F2">
        <w:rPr>
          <w:rFonts w:ascii="Arial" w:hAnsi="Arial" w:cs="Arial"/>
          <w:sz w:val="24"/>
          <w:szCs w:val="24"/>
        </w:rPr>
        <w:t xml:space="preserve">in the context of that </w:t>
      </w:r>
      <w:r>
        <w:rPr>
          <w:rFonts w:ascii="Arial" w:hAnsi="Arial" w:cs="Arial"/>
          <w:sz w:val="24"/>
          <w:szCs w:val="24"/>
        </w:rPr>
        <w:t xml:space="preserve">unusual </w:t>
      </w:r>
      <w:r w:rsidR="00AA32F2">
        <w:rPr>
          <w:rFonts w:ascii="Arial" w:hAnsi="Arial" w:cs="Arial"/>
          <w:sz w:val="24"/>
          <w:szCs w:val="24"/>
        </w:rPr>
        <w:t xml:space="preserve">type of </w:t>
      </w:r>
      <w:r w:rsidR="00BE1790">
        <w:rPr>
          <w:rFonts w:ascii="Arial" w:hAnsi="Arial" w:cs="Arial"/>
          <w:sz w:val="24"/>
          <w:szCs w:val="24"/>
        </w:rPr>
        <w:t>proceeding.</w:t>
      </w:r>
      <w:r w:rsidR="00BE1790" w:rsidRPr="00BE1790">
        <w:rPr>
          <w:rFonts w:ascii="Arial" w:hAnsi="Arial" w:cs="Arial"/>
          <w:sz w:val="24"/>
          <w:szCs w:val="24"/>
        </w:rPr>
        <w:t xml:space="preserve"> </w:t>
      </w:r>
      <w:r w:rsidR="00BE1790">
        <w:rPr>
          <w:rFonts w:ascii="Arial" w:hAnsi="Arial" w:cs="Arial"/>
          <w:sz w:val="24"/>
          <w:szCs w:val="24"/>
        </w:rPr>
        <w:t>This statement in the judgment is to be read with</w:t>
      </w:r>
      <w:r>
        <w:rPr>
          <w:rFonts w:ascii="Arial" w:hAnsi="Arial" w:cs="Arial"/>
          <w:sz w:val="24"/>
          <w:szCs w:val="24"/>
        </w:rPr>
        <w:t>in</w:t>
      </w:r>
      <w:r w:rsidR="00BE1790">
        <w:rPr>
          <w:rFonts w:ascii="Arial" w:hAnsi="Arial" w:cs="Arial"/>
          <w:sz w:val="24"/>
          <w:szCs w:val="24"/>
        </w:rPr>
        <w:t xml:space="preserve"> the confined context of that case and is not authority</w:t>
      </w:r>
      <w:r>
        <w:rPr>
          <w:rFonts w:ascii="Arial" w:hAnsi="Arial" w:cs="Arial"/>
          <w:sz w:val="24"/>
          <w:szCs w:val="24"/>
        </w:rPr>
        <w:t xml:space="preserve"> (nor intended to be)</w:t>
      </w:r>
      <w:r w:rsidR="00BE1790">
        <w:rPr>
          <w:rFonts w:ascii="Arial" w:hAnsi="Arial" w:cs="Arial"/>
          <w:sz w:val="24"/>
          <w:szCs w:val="24"/>
        </w:rPr>
        <w:t xml:space="preserve"> in any sense at all that counsel can amplify hopelessly inadequate affidavits </w:t>
      </w:r>
      <w:r>
        <w:rPr>
          <w:rFonts w:ascii="Arial" w:hAnsi="Arial" w:cs="Arial"/>
          <w:sz w:val="24"/>
          <w:szCs w:val="24"/>
        </w:rPr>
        <w:t xml:space="preserve">in </w:t>
      </w:r>
      <w:r w:rsidR="00BE1790">
        <w:rPr>
          <w:rFonts w:ascii="Arial" w:hAnsi="Arial" w:cs="Arial"/>
          <w:sz w:val="24"/>
          <w:szCs w:val="24"/>
        </w:rPr>
        <w:t xml:space="preserve">application proceedings with evidence from the </w:t>
      </w:r>
      <w:r w:rsidR="003A7794">
        <w:rPr>
          <w:rFonts w:ascii="Arial" w:hAnsi="Arial" w:cs="Arial"/>
          <w:sz w:val="24"/>
          <w:szCs w:val="24"/>
        </w:rPr>
        <w:t>B</w:t>
      </w:r>
      <w:r w:rsidR="00BE1790">
        <w:rPr>
          <w:rFonts w:ascii="Arial" w:hAnsi="Arial" w:cs="Arial"/>
          <w:sz w:val="24"/>
          <w:szCs w:val="24"/>
        </w:rPr>
        <w:t>ar</w:t>
      </w:r>
      <w:r w:rsidR="008C605B">
        <w:rPr>
          <w:rFonts w:ascii="Arial" w:hAnsi="Arial" w:cs="Arial"/>
          <w:sz w:val="24"/>
          <w:szCs w:val="24"/>
        </w:rPr>
        <w:t>, particularly in the present context, an opposing affidavit in summary judgment proceedings</w:t>
      </w:r>
      <w:r w:rsidR="00BE1790">
        <w:rPr>
          <w:rFonts w:ascii="Arial" w:hAnsi="Arial" w:cs="Arial"/>
          <w:sz w:val="24"/>
          <w:szCs w:val="24"/>
        </w:rPr>
        <w:t xml:space="preserve">. </w:t>
      </w:r>
    </w:p>
    <w:p w14:paraId="711DC8BF" w14:textId="77777777" w:rsidR="00AA32F2" w:rsidRDefault="00AA32F2" w:rsidP="00AA32F2">
      <w:pPr>
        <w:pStyle w:val="NoSpacing"/>
        <w:spacing w:line="480" w:lineRule="auto"/>
        <w:jc w:val="both"/>
        <w:rPr>
          <w:rFonts w:ascii="Arial" w:hAnsi="Arial" w:cs="Arial"/>
          <w:sz w:val="24"/>
          <w:szCs w:val="24"/>
        </w:rPr>
      </w:pPr>
    </w:p>
    <w:p w14:paraId="1EAB462B" w14:textId="77777777" w:rsidR="00AA32F2" w:rsidRDefault="005E21FC"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Ms Mondo for the </w:t>
      </w:r>
      <w:r w:rsidR="00BE1790">
        <w:rPr>
          <w:rFonts w:ascii="Arial" w:hAnsi="Arial" w:cs="Arial"/>
          <w:sz w:val="24"/>
          <w:szCs w:val="24"/>
        </w:rPr>
        <w:t>defend</w:t>
      </w:r>
      <w:r>
        <w:rPr>
          <w:rFonts w:ascii="Arial" w:hAnsi="Arial" w:cs="Arial"/>
          <w:sz w:val="24"/>
          <w:szCs w:val="24"/>
        </w:rPr>
        <w:t xml:space="preserve">ant accepts that its defence is ‘factual’. But no facts in support of it are raised. A mere </w:t>
      </w:r>
      <w:r w:rsidR="00BE1790">
        <w:rPr>
          <w:rFonts w:ascii="Arial" w:hAnsi="Arial" w:cs="Arial"/>
          <w:sz w:val="24"/>
          <w:szCs w:val="24"/>
        </w:rPr>
        <w:t>description of the</w:t>
      </w:r>
      <w:r>
        <w:rPr>
          <w:rFonts w:ascii="Arial" w:hAnsi="Arial" w:cs="Arial"/>
          <w:sz w:val="24"/>
          <w:szCs w:val="24"/>
        </w:rPr>
        <w:t xml:space="preserve"> performance being defective is a far cry from fully disclosing the nature and </w:t>
      </w:r>
      <w:r w:rsidRPr="00BE1790">
        <w:rPr>
          <w:rFonts w:ascii="Arial" w:hAnsi="Arial" w:cs="Arial"/>
          <w:sz w:val="24"/>
          <w:szCs w:val="24"/>
          <w:u w:val="single"/>
        </w:rPr>
        <w:t>grounds</w:t>
      </w:r>
      <w:r>
        <w:rPr>
          <w:rFonts w:ascii="Arial" w:hAnsi="Arial" w:cs="Arial"/>
          <w:sz w:val="24"/>
          <w:szCs w:val="24"/>
        </w:rPr>
        <w:t xml:space="preserve"> of the defence </w:t>
      </w:r>
      <w:r>
        <w:rPr>
          <w:rFonts w:ascii="Arial" w:hAnsi="Arial" w:cs="Arial"/>
          <w:sz w:val="24"/>
          <w:szCs w:val="24"/>
          <w:u w:val="single"/>
        </w:rPr>
        <w:t>and</w:t>
      </w:r>
      <w:r>
        <w:rPr>
          <w:rFonts w:ascii="Arial" w:hAnsi="Arial" w:cs="Arial"/>
          <w:sz w:val="24"/>
          <w:szCs w:val="24"/>
        </w:rPr>
        <w:t xml:space="preserve"> the material facts upon which the assertion of being defective are based. The nature of the defence is merely hinted at without </w:t>
      </w:r>
      <w:r w:rsidR="00BE1790">
        <w:rPr>
          <w:rFonts w:ascii="Arial" w:hAnsi="Arial" w:cs="Arial"/>
          <w:sz w:val="24"/>
          <w:szCs w:val="24"/>
        </w:rPr>
        <w:t xml:space="preserve">any grounds for that assertion </w:t>
      </w:r>
      <w:r>
        <w:rPr>
          <w:rFonts w:ascii="Arial" w:hAnsi="Arial" w:cs="Arial"/>
          <w:sz w:val="24"/>
          <w:szCs w:val="24"/>
        </w:rPr>
        <w:t>being disclosed</w:t>
      </w:r>
      <w:r w:rsidR="00B61CA0">
        <w:rPr>
          <w:rFonts w:ascii="Arial" w:hAnsi="Arial" w:cs="Arial"/>
          <w:sz w:val="24"/>
          <w:szCs w:val="24"/>
        </w:rPr>
        <w:t xml:space="preserve">, </w:t>
      </w:r>
      <w:r w:rsidR="00B61CA0">
        <w:rPr>
          <w:rFonts w:ascii="Arial" w:hAnsi="Arial" w:cs="Arial"/>
          <w:sz w:val="24"/>
          <w:szCs w:val="24"/>
        </w:rPr>
        <w:lastRenderedPageBreak/>
        <w:t>let alone fully disclosed,</w:t>
      </w:r>
      <w:r>
        <w:rPr>
          <w:rFonts w:ascii="Arial" w:hAnsi="Arial" w:cs="Arial"/>
          <w:sz w:val="24"/>
          <w:szCs w:val="24"/>
        </w:rPr>
        <w:t xml:space="preserve"> and no facts at all are referred to in support of that contention.</w:t>
      </w:r>
      <w:r w:rsidR="00BE1790">
        <w:rPr>
          <w:rFonts w:ascii="Arial" w:hAnsi="Arial" w:cs="Arial"/>
          <w:sz w:val="24"/>
          <w:szCs w:val="24"/>
        </w:rPr>
        <w:t xml:space="preserve"> As was aptly stated in </w:t>
      </w:r>
      <w:r w:rsidR="00BE1790">
        <w:rPr>
          <w:rFonts w:ascii="Arial" w:hAnsi="Arial" w:cs="Arial"/>
          <w:i/>
          <w:sz w:val="24"/>
          <w:szCs w:val="24"/>
        </w:rPr>
        <w:t>Kukuri</w:t>
      </w:r>
      <w:r w:rsidR="00BE1790">
        <w:rPr>
          <w:rFonts w:ascii="Arial" w:hAnsi="Arial" w:cs="Arial"/>
          <w:sz w:val="24"/>
          <w:szCs w:val="24"/>
        </w:rPr>
        <w:t>:</w:t>
      </w:r>
      <w:r w:rsidR="00B61CA0">
        <w:rPr>
          <w:rStyle w:val="FootnoteReference"/>
          <w:rFonts w:ascii="Arial" w:hAnsi="Arial" w:cs="Arial"/>
          <w:sz w:val="24"/>
          <w:szCs w:val="24"/>
        </w:rPr>
        <w:footnoteReference w:id="11"/>
      </w:r>
    </w:p>
    <w:p w14:paraId="2BAF9FFC" w14:textId="77777777" w:rsidR="00BE1790" w:rsidRDefault="00BE1790" w:rsidP="00CE5DBD">
      <w:pPr>
        <w:pStyle w:val="ListParagraph"/>
        <w:spacing w:after="0" w:line="360" w:lineRule="auto"/>
        <w:rPr>
          <w:rFonts w:ascii="Arial" w:hAnsi="Arial" w:cs="Arial"/>
          <w:sz w:val="24"/>
          <w:szCs w:val="24"/>
        </w:rPr>
      </w:pPr>
    </w:p>
    <w:p w14:paraId="0B996183" w14:textId="77777777" w:rsidR="00BE1790" w:rsidRPr="00DD6800" w:rsidRDefault="00DD6800" w:rsidP="00710428">
      <w:pPr>
        <w:pStyle w:val="NoSpacing"/>
        <w:spacing w:line="360" w:lineRule="auto"/>
        <w:ind w:left="720"/>
        <w:jc w:val="both"/>
        <w:rPr>
          <w:rFonts w:ascii="Arial" w:hAnsi="Arial" w:cs="Arial"/>
        </w:rPr>
      </w:pPr>
      <w:r w:rsidRPr="00DD6800">
        <w:rPr>
          <w:rFonts w:ascii="Arial" w:hAnsi="Arial" w:cs="Arial"/>
        </w:rPr>
        <w:t>‘</w:t>
      </w:r>
      <w:r w:rsidRPr="00DD6800">
        <w:rPr>
          <w:rFonts w:ascii="Arial" w:eastAsia="Times New Roman" w:hAnsi="Arial" w:cs="Arial"/>
          <w:lang w:val="en-US"/>
        </w:rPr>
        <w:t>Where the statements of fact are equivocal or ambiguous or contradictory or fail to canvas</w:t>
      </w:r>
      <w:r w:rsidR="00A979EB">
        <w:rPr>
          <w:rFonts w:ascii="Arial" w:eastAsia="Times New Roman" w:hAnsi="Arial" w:cs="Arial"/>
          <w:lang w:val="en-US"/>
        </w:rPr>
        <w:t>s</w:t>
      </w:r>
      <w:r w:rsidRPr="00DD6800">
        <w:rPr>
          <w:rFonts w:ascii="Arial" w:eastAsia="Times New Roman" w:hAnsi="Arial" w:cs="Arial"/>
          <w:lang w:val="en-US"/>
        </w:rPr>
        <w:t xml:space="preserve"> matters essential to the defence raised, then the affidavit does not comply with the Rule.’</w:t>
      </w:r>
    </w:p>
    <w:p w14:paraId="163EA5B3" w14:textId="77777777" w:rsidR="005E21FC" w:rsidRDefault="005E21FC" w:rsidP="00CE5DBD">
      <w:pPr>
        <w:pStyle w:val="ListParagraph"/>
        <w:spacing w:after="0" w:line="360" w:lineRule="auto"/>
        <w:rPr>
          <w:rFonts w:ascii="Arial" w:hAnsi="Arial" w:cs="Arial"/>
          <w:sz w:val="24"/>
          <w:szCs w:val="24"/>
        </w:rPr>
      </w:pPr>
    </w:p>
    <w:p w14:paraId="7C6785F6" w14:textId="77777777" w:rsidR="005E21FC" w:rsidRDefault="00A979EB"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defence relating to retention moneys is also not supported by any facts and singularly lacks particularity, especially in the context of the particulars of claim and attached correspondence. </w:t>
      </w:r>
      <w:r w:rsidR="005E21FC">
        <w:rPr>
          <w:rFonts w:ascii="Arial" w:hAnsi="Arial" w:cs="Arial"/>
          <w:sz w:val="24"/>
          <w:szCs w:val="24"/>
        </w:rPr>
        <w:t xml:space="preserve">The </w:t>
      </w:r>
      <w:r w:rsidR="00BE1790">
        <w:rPr>
          <w:rFonts w:ascii="Arial" w:hAnsi="Arial" w:cs="Arial"/>
          <w:sz w:val="24"/>
          <w:szCs w:val="24"/>
        </w:rPr>
        <w:t>defend</w:t>
      </w:r>
      <w:r w:rsidR="005E21FC">
        <w:rPr>
          <w:rFonts w:ascii="Arial" w:hAnsi="Arial" w:cs="Arial"/>
          <w:sz w:val="24"/>
          <w:szCs w:val="24"/>
        </w:rPr>
        <w:t xml:space="preserve">ant comprehensively fails to meet the first criterion of the sub-rule. It also fails to satisfy that its sketchy defence is </w:t>
      </w:r>
      <w:r w:rsidR="005E21FC" w:rsidRPr="005E21FC">
        <w:rPr>
          <w:rFonts w:ascii="Arial" w:hAnsi="Arial" w:cs="Arial"/>
          <w:i/>
          <w:sz w:val="24"/>
          <w:szCs w:val="24"/>
        </w:rPr>
        <w:t>bona fide</w:t>
      </w:r>
      <w:r w:rsidR="005E21FC">
        <w:rPr>
          <w:rFonts w:ascii="Arial" w:hAnsi="Arial" w:cs="Arial"/>
          <w:sz w:val="24"/>
          <w:szCs w:val="24"/>
        </w:rPr>
        <w:t xml:space="preserve"> </w:t>
      </w:r>
      <w:r w:rsidR="00BE1790">
        <w:rPr>
          <w:rFonts w:ascii="Arial" w:hAnsi="Arial" w:cs="Arial"/>
          <w:sz w:val="24"/>
          <w:szCs w:val="24"/>
        </w:rPr>
        <w:t>and good in law,</w:t>
      </w:r>
      <w:r w:rsidR="005E21FC">
        <w:rPr>
          <w:rFonts w:ascii="Arial" w:hAnsi="Arial" w:cs="Arial"/>
          <w:sz w:val="24"/>
          <w:szCs w:val="24"/>
        </w:rPr>
        <w:t xml:space="preserve"> given the failure to deny or explain the certificate of completion signed by its own </w:t>
      </w:r>
      <w:r w:rsidR="00BE1790">
        <w:rPr>
          <w:rFonts w:ascii="Arial" w:hAnsi="Arial" w:cs="Arial"/>
          <w:sz w:val="24"/>
          <w:szCs w:val="24"/>
        </w:rPr>
        <w:t xml:space="preserve">representative </w:t>
      </w:r>
      <w:r w:rsidR="005E21FC">
        <w:rPr>
          <w:rFonts w:ascii="Arial" w:hAnsi="Arial" w:cs="Arial"/>
          <w:sz w:val="24"/>
          <w:szCs w:val="24"/>
        </w:rPr>
        <w:t>and th</w:t>
      </w:r>
      <w:r w:rsidR="00BE1790">
        <w:rPr>
          <w:rFonts w:ascii="Arial" w:hAnsi="Arial" w:cs="Arial"/>
          <w:sz w:val="24"/>
          <w:szCs w:val="24"/>
        </w:rPr>
        <w:t>e</w:t>
      </w:r>
      <w:r w:rsidR="005E21FC">
        <w:rPr>
          <w:rFonts w:ascii="Arial" w:hAnsi="Arial" w:cs="Arial"/>
          <w:sz w:val="24"/>
          <w:szCs w:val="24"/>
        </w:rPr>
        <w:t xml:space="preserve"> averment that its reason for failing to make payment wa</w:t>
      </w:r>
      <w:r w:rsidR="00BE1790">
        <w:rPr>
          <w:rFonts w:ascii="Arial" w:hAnsi="Arial" w:cs="Arial"/>
          <w:sz w:val="24"/>
          <w:szCs w:val="24"/>
        </w:rPr>
        <w:t>s because of cash flow problems, supported by an email written by the person who acted f</w:t>
      </w:r>
      <w:r w:rsidR="00B61CA0">
        <w:rPr>
          <w:rFonts w:ascii="Arial" w:hAnsi="Arial" w:cs="Arial"/>
          <w:sz w:val="24"/>
          <w:szCs w:val="24"/>
        </w:rPr>
        <w:t xml:space="preserve">or the defendant in contracting with </w:t>
      </w:r>
      <w:r w:rsidR="00BE1790">
        <w:rPr>
          <w:rFonts w:ascii="Arial" w:hAnsi="Arial" w:cs="Arial"/>
          <w:sz w:val="24"/>
          <w:szCs w:val="24"/>
        </w:rPr>
        <w:t>the plaintiff.</w:t>
      </w:r>
    </w:p>
    <w:p w14:paraId="2A8B2894" w14:textId="77777777" w:rsidR="005E21FC" w:rsidRDefault="005E21FC" w:rsidP="005E21FC">
      <w:pPr>
        <w:pStyle w:val="ListParagraph"/>
        <w:rPr>
          <w:rFonts w:ascii="Arial" w:hAnsi="Arial" w:cs="Arial"/>
          <w:sz w:val="24"/>
          <w:szCs w:val="24"/>
        </w:rPr>
      </w:pPr>
    </w:p>
    <w:p w14:paraId="37A07322" w14:textId="77777777" w:rsidR="009500EF" w:rsidRPr="00BE1790" w:rsidRDefault="005E21FC" w:rsidP="00E95D40">
      <w:pPr>
        <w:pStyle w:val="NoSpacing"/>
        <w:numPr>
          <w:ilvl w:val="0"/>
          <w:numId w:val="4"/>
        </w:numPr>
        <w:spacing w:line="480" w:lineRule="auto"/>
        <w:ind w:left="0" w:firstLine="0"/>
        <w:jc w:val="both"/>
        <w:rPr>
          <w:rFonts w:ascii="Arial" w:hAnsi="Arial" w:cs="Arial"/>
          <w:sz w:val="24"/>
          <w:szCs w:val="24"/>
        </w:rPr>
      </w:pPr>
      <w:r w:rsidRPr="00BE1790">
        <w:rPr>
          <w:rFonts w:ascii="Arial" w:hAnsi="Arial" w:cs="Arial"/>
          <w:sz w:val="24"/>
          <w:szCs w:val="24"/>
        </w:rPr>
        <w:t xml:space="preserve">The High Court correctly held that the defence set out in the appellant’s opposing affidavit fell far short </w:t>
      </w:r>
      <w:r w:rsidR="00E5164B" w:rsidRPr="00BE1790">
        <w:rPr>
          <w:rFonts w:ascii="Arial" w:hAnsi="Arial" w:cs="Arial"/>
          <w:sz w:val="24"/>
          <w:szCs w:val="24"/>
        </w:rPr>
        <w:t xml:space="preserve">of the requisites of rule 60(5) dispute. </w:t>
      </w:r>
    </w:p>
    <w:p w14:paraId="216DB020" w14:textId="77777777" w:rsidR="009500EF" w:rsidRDefault="009500EF" w:rsidP="00E5164B">
      <w:pPr>
        <w:rPr>
          <w:rFonts w:ascii="Arial" w:hAnsi="Arial" w:cs="Arial"/>
          <w:sz w:val="24"/>
          <w:szCs w:val="24"/>
        </w:rPr>
      </w:pPr>
    </w:p>
    <w:p w14:paraId="080A8E20" w14:textId="77777777" w:rsidR="00E5164B" w:rsidRPr="00E5164B" w:rsidRDefault="00E5164B" w:rsidP="00E5164B">
      <w:pPr>
        <w:rPr>
          <w:rFonts w:ascii="Arial" w:hAnsi="Arial" w:cs="Arial"/>
          <w:sz w:val="24"/>
          <w:szCs w:val="24"/>
          <w:u w:val="single"/>
        </w:rPr>
      </w:pPr>
      <w:r>
        <w:rPr>
          <w:rFonts w:ascii="Arial" w:hAnsi="Arial" w:cs="Arial"/>
          <w:sz w:val="24"/>
          <w:szCs w:val="24"/>
          <w:u w:val="single"/>
        </w:rPr>
        <w:t>Discretion of the High Court</w:t>
      </w:r>
    </w:p>
    <w:p w14:paraId="17FB1494" w14:textId="77777777" w:rsidR="008C605B" w:rsidRDefault="00E5164B"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Ms Mondo correctly contends that the High Court has a discretion whether or not to grant summary judgment</w:t>
      </w:r>
      <w:r w:rsidR="00D00E93">
        <w:rPr>
          <w:rFonts w:ascii="Arial" w:hAnsi="Arial" w:cs="Arial"/>
          <w:sz w:val="24"/>
          <w:szCs w:val="24"/>
        </w:rPr>
        <w:t>,</w:t>
      </w:r>
      <w:r w:rsidR="008C605B">
        <w:rPr>
          <w:rFonts w:ascii="Arial" w:hAnsi="Arial" w:cs="Arial"/>
          <w:sz w:val="24"/>
          <w:szCs w:val="24"/>
        </w:rPr>
        <w:t xml:space="preserve"> even where a defendant fails to meet the requisites of rule 60(5). This is by virtue of the wording of rule 60(7)</w:t>
      </w:r>
      <w:r>
        <w:rPr>
          <w:rFonts w:ascii="Arial" w:hAnsi="Arial" w:cs="Arial"/>
          <w:sz w:val="24"/>
          <w:szCs w:val="24"/>
        </w:rPr>
        <w:t xml:space="preserve">. She further argues that the court </w:t>
      </w:r>
      <w:r w:rsidR="009C3086">
        <w:rPr>
          <w:rFonts w:ascii="Arial" w:hAnsi="Arial" w:cs="Arial"/>
          <w:sz w:val="24"/>
          <w:szCs w:val="24"/>
        </w:rPr>
        <w:t xml:space="preserve">below </w:t>
      </w:r>
      <w:r>
        <w:rPr>
          <w:rFonts w:ascii="Arial" w:hAnsi="Arial" w:cs="Arial"/>
          <w:sz w:val="24"/>
          <w:szCs w:val="24"/>
        </w:rPr>
        <w:t xml:space="preserve">in this instance failed to exercise its discretion and that this failure constitutes an irregularity. </w:t>
      </w:r>
    </w:p>
    <w:p w14:paraId="16513906" w14:textId="77777777" w:rsidR="008C605B" w:rsidRDefault="008C605B" w:rsidP="008C605B">
      <w:pPr>
        <w:pStyle w:val="NoSpacing"/>
        <w:spacing w:line="480" w:lineRule="auto"/>
        <w:jc w:val="both"/>
        <w:rPr>
          <w:rFonts w:ascii="Arial" w:hAnsi="Arial" w:cs="Arial"/>
          <w:sz w:val="24"/>
          <w:szCs w:val="24"/>
        </w:rPr>
      </w:pPr>
    </w:p>
    <w:p w14:paraId="45056B0E" w14:textId="77777777" w:rsidR="00D54AB7" w:rsidRDefault="00E5164B"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Ms Mondo</w:t>
      </w:r>
      <w:r w:rsidR="00B61CA0">
        <w:rPr>
          <w:rFonts w:ascii="Arial" w:hAnsi="Arial" w:cs="Arial"/>
          <w:sz w:val="24"/>
          <w:szCs w:val="24"/>
        </w:rPr>
        <w:t>’s</w:t>
      </w:r>
      <w:r>
        <w:rPr>
          <w:rFonts w:ascii="Arial" w:hAnsi="Arial" w:cs="Arial"/>
          <w:sz w:val="24"/>
          <w:szCs w:val="24"/>
        </w:rPr>
        <w:t xml:space="preserve"> </w:t>
      </w:r>
      <w:r w:rsidR="009C3086">
        <w:rPr>
          <w:rFonts w:ascii="Arial" w:hAnsi="Arial" w:cs="Arial"/>
          <w:sz w:val="24"/>
          <w:szCs w:val="24"/>
        </w:rPr>
        <w:t>reference</w:t>
      </w:r>
      <w:r>
        <w:rPr>
          <w:rFonts w:ascii="Arial" w:hAnsi="Arial" w:cs="Arial"/>
          <w:sz w:val="24"/>
          <w:szCs w:val="24"/>
        </w:rPr>
        <w:t xml:space="preserve"> to </w:t>
      </w:r>
      <w:r>
        <w:rPr>
          <w:rFonts w:ascii="Arial" w:hAnsi="Arial" w:cs="Arial"/>
          <w:i/>
          <w:sz w:val="24"/>
          <w:szCs w:val="24"/>
        </w:rPr>
        <w:t>Tesven CC and another v South African Bank of Athens</w:t>
      </w:r>
      <w:r>
        <w:rPr>
          <w:rStyle w:val="FootnoteReference"/>
          <w:rFonts w:ascii="Arial" w:hAnsi="Arial" w:cs="Arial"/>
          <w:i/>
          <w:sz w:val="24"/>
          <w:szCs w:val="24"/>
        </w:rPr>
        <w:footnoteReference w:id="12"/>
      </w:r>
      <w:r>
        <w:rPr>
          <w:rFonts w:ascii="Arial" w:hAnsi="Arial" w:cs="Arial"/>
          <w:sz w:val="24"/>
          <w:szCs w:val="24"/>
        </w:rPr>
        <w:t xml:space="preserve"> does not </w:t>
      </w:r>
      <w:r w:rsidR="00B61CA0">
        <w:rPr>
          <w:rFonts w:ascii="Arial" w:hAnsi="Arial" w:cs="Arial"/>
          <w:sz w:val="24"/>
          <w:szCs w:val="24"/>
        </w:rPr>
        <w:t xml:space="preserve">however </w:t>
      </w:r>
      <w:r>
        <w:rPr>
          <w:rFonts w:ascii="Arial" w:hAnsi="Arial" w:cs="Arial"/>
          <w:sz w:val="24"/>
          <w:szCs w:val="24"/>
        </w:rPr>
        <w:t>find application. In that matter the court found that sufficient was said to set out the nature and grounds of a defence but that there was a lack of particular</w:t>
      </w:r>
      <w:r w:rsidR="00C0504D">
        <w:rPr>
          <w:rFonts w:ascii="Arial" w:hAnsi="Arial" w:cs="Arial"/>
          <w:sz w:val="24"/>
          <w:szCs w:val="24"/>
        </w:rPr>
        <w:t>ity</w:t>
      </w:r>
      <w:r>
        <w:rPr>
          <w:rFonts w:ascii="Arial" w:hAnsi="Arial" w:cs="Arial"/>
          <w:sz w:val="24"/>
          <w:szCs w:val="24"/>
        </w:rPr>
        <w:t xml:space="preserve"> regarding all material facts relied upon to assess the defendant’s </w:t>
      </w:r>
      <w:r w:rsidRPr="00E5164B">
        <w:rPr>
          <w:rFonts w:ascii="Arial" w:hAnsi="Arial" w:cs="Arial"/>
          <w:i/>
          <w:sz w:val="24"/>
          <w:szCs w:val="24"/>
        </w:rPr>
        <w:t>bona fides</w:t>
      </w:r>
      <w:r>
        <w:rPr>
          <w:rFonts w:ascii="Arial" w:hAnsi="Arial" w:cs="Arial"/>
          <w:sz w:val="24"/>
          <w:szCs w:val="24"/>
        </w:rPr>
        <w:t xml:space="preserve">. </w:t>
      </w:r>
      <w:r w:rsidR="009500EF">
        <w:rPr>
          <w:rFonts w:ascii="Arial" w:hAnsi="Arial" w:cs="Arial"/>
          <w:sz w:val="24"/>
          <w:szCs w:val="24"/>
        </w:rPr>
        <w:t>Th</w:t>
      </w:r>
      <w:r w:rsidR="009C3086">
        <w:rPr>
          <w:rFonts w:ascii="Arial" w:hAnsi="Arial" w:cs="Arial"/>
          <w:sz w:val="24"/>
          <w:szCs w:val="24"/>
        </w:rPr>
        <w:t>at court</w:t>
      </w:r>
      <w:r w:rsidR="009500EF">
        <w:rPr>
          <w:rFonts w:ascii="Arial" w:hAnsi="Arial" w:cs="Arial"/>
          <w:sz w:val="24"/>
          <w:szCs w:val="24"/>
        </w:rPr>
        <w:t xml:space="preserve"> held that there was however sufficient evidentiary material to believe that the plaintiff’s case may not be unanswer</w:t>
      </w:r>
      <w:r w:rsidR="009C3086">
        <w:rPr>
          <w:rFonts w:ascii="Arial" w:hAnsi="Arial" w:cs="Arial"/>
          <w:sz w:val="24"/>
          <w:szCs w:val="24"/>
        </w:rPr>
        <w:t>able</w:t>
      </w:r>
      <w:r w:rsidR="009500EF">
        <w:rPr>
          <w:rFonts w:ascii="Arial" w:hAnsi="Arial" w:cs="Arial"/>
          <w:sz w:val="24"/>
          <w:szCs w:val="24"/>
        </w:rPr>
        <w:t xml:space="preserve"> and that the case fell into an exceptional category where the court below should have exercised its discretion to refuse summary judgment. </w:t>
      </w:r>
    </w:p>
    <w:p w14:paraId="7BE8C3AF" w14:textId="77777777" w:rsidR="00D54AB7" w:rsidRDefault="00D54AB7" w:rsidP="00D54AB7">
      <w:pPr>
        <w:pStyle w:val="NoSpacing"/>
        <w:spacing w:line="480" w:lineRule="auto"/>
        <w:jc w:val="both"/>
        <w:rPr>
          <w:rFonts w:ascii="Arial" w:hAnsi="Arial" w:cs="Arial"/>
          <w:sz w:val="24"/>
          <w:szCs w:val="24"/>
        </w:rPr>
      </w:pPr>
    </w:p>
    <w:p w14:paraId="2BA81B58" w14:textId="77777777" w:rsidR="00462703" w:rsidRPr="00D960A8" w:rsidRDefault="009500EF"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Ms Mondo’s reliance on this decision is misplaced. Firstly the appellant did not sufficiently set out the nature and grounds of its defence. Only the nature of the defence was vaguely alluded to without any grounds </w:t>
      </w:r>
      <w:r w:rsidR="00C0504D">
        <w:rPr>
          <w:rFonts w:ascii="Arial" w:hAnsi="Arial" w:cs="Arial"/>
          <w:sz w:val="24"/>
          <w:szCs w:val="24"/>
        </w:rPr>
        <w:t xml:space="preserve">raised </w:t>
      </w:r>
      <w:r>
        <w:rPr>
          <w:rFonts w:ascii="Arial" w:hAnsi="Arial" w:cs="Arial"/>
          <w:sz w:val="24"/>
          <w:szCs w:val="24"/>
        </w:rPr>
        <w:t xml:space="preserve">to support it. Furthermore, </w:t>
      </w:r>
      <w:r w:rsidR="00C0504D">
        <w:rPr>
          <w:rFonts w:ascii="Arial" w:hAnsi="Arial" w:cs="Arial"/>
          <w:sz w:val="24"/>
          <w:szCs w:val="24"/>
        </w:rPr>
        <w:t>there was no</w:t>
      </w:r>
      <w:r>
        <w:rPr>
          <w:rFonts w:ascii="Arial" w:hAnsi="Arial" w:cs="Arial"/>
          <w:sz w:val="24"/>
          <w:szCs w:val="24"/>
        </w:rPr>
        <w:t xml:space="preserve"> basis </w:t>
      </w:r>
      <w:r w:rsidR="009C3086">
        <w:rPr>
          <w:rFonts w:ascii="Arial" w:hAnsi="Arial" w:cs="Arial"/>
          <w:sz w:val="24"/>
          <w:szCs w:val="24"/>
        </w:rPr>
        <w:t xml:space="preserve">in the form of evidentiary material </w:t>
      </w:r>
      <w:r w:rsidR="00D54AB7">
        <w:rPr>
          <w:rFonts w:ascii="Arial" w:hAnsi="Arial" w:cs="Arial"/>
          <w:sz w:val="24"/>
          <w:szCs w:val="24"/>
        </w:rPr>
        <w:t xml:space="preserve">placed </w:t>
      </w:r>
      <w:r w:rsidR="00C0504D">
        <w:rPr>
          <w:rFonts w:ascii="Arial" w:hAnsi="Arial" w:cs="Arial"/>
          <w:sz w:val="24"/>
          <w:szCs w:val="24"/>
        </w:rPr>
        <w:t>before</w:t>
      </w:r>
      <w:r>
        <w:rPr>
          <w:rFonts w:ascii="Arial" w:hAnsi="Arial" w:cs="Arial"/>
          <w:sz w:val="24"/>
          <w:szCs w:val="24"/>
        </w:rPr>
        <w:t xml:space="preserve"> court to believe that the </w:t>
      </w:r>
      <w:r w:rsidR="00C0504D">
        <w:rPr>
          <w:rFonts w:ascii="Arial" w:hAnsi="Arial" w:cs="Arial"/>
          <w:sz w:val="24"/>
          <w:szCs w:val="24"/>
        </w:rPr>
        <w:t>plaintiff’</w:t>
      </w:r>
      <w:r>
        <w:rPr>
          <w:rFonts w:ascii="Arial" w:hAnsi="Arial" w:cs="Arial"/>
          <w:sz w:val="24"/>
          <w:szCs w:val="24"/>
        </w:rPr>
        <w:t>s case was not unanswerable.</w:t>
      </w:r>
      <w:r w:rsidR="00C0504D">
        <w:rPr>
          <w:rFonts w:ascii="Arial" w:hAnsi="Arial" w:cs="Arial"/>
          <w:sz w:val="24"/>
          <w:szCs w:val="24"/>
        </w:rPr>
        <w:t xml:space="preserve"> On the contrary, the contentions about defective performance and a completion certificate are raised without addressing allegations in the particulars supported by contemporaneous corresponde</w:t>
      </w:r>
      <w:r w:rsidR="00FE21AF">
        <w:rPr>
          <w:rFonts w:ascii="Arial" w:hAnsi="Arial" w:cs="Arial"/>
          <w:sz w:val="24"/>
          <w:szCs w:val="24"/>
        </w:rPr>
        <w:t xml:space="preserve">nce which contradict </w:t>
      </w:r>
      <w:r w:rsidR="00D960A8">
        <w:rPr>
          <w:rFonts w:ascii="Arial" w:hAnsi="Arial" w:cs="Arial"/>
          <w:sz w:val="24"/>
          <w:szCs w:val="24"/>
        </w:rPr>
        <w:t xml:space="preserve">them. </w:t>
      </w:r>
    </w:p>
    <w:p w14:paraId="6B2DC1BA" w14:textId="77777777" w:rsidR="008C605B" w:rsidRDefault="008C605B" w:rsidP="008C605B">
      <w:pPr>
        <w:pStyle w:val="ListParagraph"/>
        <w:rPr>
          <w:rFonts w:ascii="Arial" w:hAnsi="Arial" w:cs="Arial"/>
          <w:sz w:val="24"/>
          <w:szCs w:val="24"/>
        </w:rPr>
      </w:pPr>
    </w:p>
    <w:p w14:paraId="556DF6B4" w14:textId="77777777" w:rsidR="008C605B" w:rsidRDefault="008C605B"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Ms Campbell argued that the defendant had not placed any evidential matter before the court upon which a discretion could be exercised in its </w:t>
      </w:r>
      <w:r w:rsidR="00D960A8">
        <w:rPr>
          <w:rFonts w:ascii="Arial" w:hAnsi="Arial" w:cs="Arial"/>
          <w:sz w:val="24"/>
          <w:szCs w:val="24"/>
        </w:rPr>
        <w:t>favour</w:t>
      </w:r>
      <w:r>
        <w:rPr>
          <w:rFonts w:ascii="Arial" w:hAnsi="Arial" w:cs="Arial"/>
          <w:sz w:val="24"/>
          <w:szCs w:val="24"/>
        </w:rPr>
        <w:t xml:space="preserve">. </w:t>
      </w:r>
      <w:r w:rsidR="00D960A8">
        <w:rPr>
          <w:rFonts w:ascii="Arial" w:hAnsi="Arial" w:cs="Arial"/>
          <w:sz w:val="24"/>
          <w:szCs w:val="24"/>
        </w:rPr>
        <w:t xml:space="preserve">As was stated by Hannah J for the full bench in </w:t>
      </w:r>
      <w:r w:rsidR="00D960A8" w:rsidRPr="00D960A8">
        <w:rPr>
          <w:rFonts w:ascii="Arial" w:hAnsi="Arial" w:cs="Arial"/>
          <w:i/>
          <w:sz w:val="24"/>
          <w:szCs w:val="24"/>
        </w:rPr>
        <w:t>Moder</w:t>
      </w:r>
      <w:r w:rsidR="00D960A8" w:rsidRPr="00D960A8">
        <w:rPr>
          <w:rFonts w:ascii="Arial" w:hAnsi="Arial" w:cs="Arial"/>
          <w:sz w:val="24"/>
          <w:szCs w:val="24"/>
        </w:rPr>
        <w:t>,</w:t>
      </w:r>
      <w:r w:rsidR="00D960A8">
        <w:rPr>
          <w:rStyle w:val="FootnoteReference"/>
          <w:rFonts w:ascii="Arial" w:hAnsi="Arial" w:cs="Arial"/>
          <w:sz w:val="24"/>
          <w:szCs w:val="24"/>
        </w:rPr>
        <w:footnoteReference w:id="13"/>
      </w:r>
      <w:r w:rsidR="00D960A8">
        <w:rPr>
          <w:rFonts w:ascii="Arial" w:hAnsi="Arial" w:cs="Arial"/>
          <w:i/>
          <w:sz w:val="24"/>
          <w:szCs w:val="24"/>
        </w:rPr>
        <w:t xml:space="preserve"> </w:t>
      </w:r>
      <w:r w:rsidR="00D960A8" w:rsidRPr="00D960A8">
        <w:rPr>
          <w:rFonts w:ascii="Arial" w:hAnsi="Arial" w:cs="Arial"/>
          <w:sz w:val="24"/>
          <w:szCs w:val="24"/>
        </w:rPr>
        <w:t>in</w:t>
      </w:r>
      <w:r w:rsidR="00D960A8">
        <w:rPr>
          <w:rFonts w:ascii="Arial" w:hAnsi="Arial" w:cs="Arial"/>
          <w:sz w:val="24"/>
          <w:szCs w:val="24"/>
        </w:rPr>
        <w:t xml:space="preserve"> approving an unreported judgment, a court cannot exercise a discretion in favour of a defendant on a hunch that there could be a defence </w:t>
      </w:r>
      <w:r w:rsidR="00D00E93">
        <w:rPr>
          <w:rFonts w:ascii="Arial" w:hAnsi="Arial" w:cs="Arial"/>
          <w:sz w:val="24"/>
          <w:szCs w:val="24"/>
        </w:rPr>
        <w:t>lurking</w:t>
      </w:r>
      <w:r w:rsidR="00D960A8">
        <w:rPr>
          <w:rFonts w:ascii="Arial" w:hAnsi="Arial" w:cs="Arial"/>
          <w:sz w:val="24"/>
          <w:szCs w:val="24"/>
        </w:rPr>
        <w:t xml:space="preserve"> somewhere in papers. There would need to be </w:t>
      </w:r>
      <w:r w:rsidR="00D960A8">
        <w:rPr>
          <w:rFonts w:ascii="Arial" w:hAnsi="Arial" w:cs="Arial"/>
          <w:sz w:val="24"/>
          <w:szCs w:val="24"/>
        </w:rPr>
        <w:lastRenderedPageBreak/>
        <w:t>factual material placed before court sufficiently placing in doubt that the plaintiff’s case is unanswerable.</w:t>
      </w:r>
    </w:p>
    <w:p w14:paraId="769E3439" w14:textId="77777777" w:rsidR="00D54AB7" w:rsidRDefault="00D54AB7" w:rsidP="00D54AB7">
      <w:pPr>
        <w:pStyle w:val="ListParagraph"/>
        <w:rPr>
          <w:rFonts w:ascii="Arial" w:hAnsi="Arial" w:cs="Arial"/>
          <w:sz w:val="24"/>
          <w:szCs w:val="24"/>
        </w:rPr>
      </w:pPr>
    </w:p>
    <w:p w14:paraId="2E4670EF" w14:textId="77777777" w:rsidR="00D54AB7" w:rsidRDefault="00D54AB7" w:rsidP="00DF0D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Ms Mondo was unable to refer to any factual material or consideration upon which the court should have exercised its discretion to refuse summary judgment. Plainly the exercise of the court’s discretion to grant the remedy cannot be faulted.</w:t>
      </w:r>
    </w:p>
    <w:p w14:paraId="5F674EF9" w14:textId="77777777" w:rsidR="00462703" w:rsidRDefault="00462703" w:rsidP="00462703">
      <w:pPr>
        <w:pStyle w:val="ListParagraph"/>
        <w:rPr>
          <w:rFonts w:ascii="Arial" w:hAnsi="Arial" w:cs="Arial"/>
          <w:sz w:val="24"/>
          <w:szCs w:val="24"/>
        </w:rPr>
      </w:pPr>
    </w:p>
    <w:p w14:paraId="194D919B" w14:textId="473F9141" w:rsidR="009500EF" w:rsidRPr="009500EF" w:rsidRDefault="009500EF" w:rsidP="005E700E">
      <w:pPr>
        <w:tabs>
          <w:tab w:val="left" w:pos="3390"/>
        </w:tabs>
        <w:rPr>
          <w:rFonts w:ascii="Arial" w:hAnsi="Arial" w:cs="Arial"/>
          <w:sz w:val="24"/>
          <w:szCs w:val="24"/>
          <w:u w:val="single"/>
        </w:rPr>
      </w:pPr>
      <w:r>
        <w:rPr>
          <w:rFonts w:ascii="Arial" w:hAnsi="Arial" w:cs="Arial"/>
          <w:sz w:val="24"/>
          <w:szCs w:val="24"/>
          <w:u w:val="single"/>
        </w:rPr>
        <w:t>Conclusion</w:t>
      </w:r>
    </w:p>
    <w:p w14:paraId="4FD7B768" w14:textId="0F950817" w:rsidR="00462703" w:rsidRDefault="00814CE6" w:rsidP="00F93A02">
      <w:pPr>
        <w:pStyle w:val="NoSpacing"/>
        <w:numPr>
          <w:ilvl w:val="0"/>
          <w:numId w:val="4"/>
        </w:numPr>
        <w:spacing w:line="480" w:lineRule="auto"/>
        <w:ind w:left="0" w:firstLine="0"/>
        <w:jc w:val="both"/>
        <w:rPr>
          <w:rFonts w:ascii="Arial" w:hAnsi="Arial" w:cs="Arial"/>
          <w:sz w:val="24"/>
          <w:szCs w:val="24"/>
        </w:rPr>
      </w:pPr>
      <w:r w:rsidRPr="005E700E">
        <w:rPr>
          <w:rFonts w:ascii="Arial" w:hAnsi="Arial" w:cs="Arial"/>
          <w:sz w:val="24"/>
          <w:szCs w:val="24"/>
        </w:rPr>
        <w:t xml:space="preserve">Consequently, I would dismiss the appeal </w:t>
      </w:r>
      <w:r w:rsidR="008D3226">
        <w:rPr>
          <w:rFonts w:ascii="Arial" w:hAnsi="Arial" w:cs="Arial"/>
          <w:sz w:val="24"/>
          <w:szCs w:val="24"/>
        </w:rPr>
        <w:t>with costs,</w:t>
      </w:r>
      <w:r w:rsidR="00D54AB7">
        <w:rPr>
          <w:rFonts w:ascii="Arial" w:hAnsi="Arial" w:cs="Arial"/>
          <w:sz w:val="24"/>
          <w:szCs w:val="24"/>
        </w:rPr>
        <w:t xml:space="preserve"> includ</w:t>
      </w:r>
      <w:r w:rsidR="00D960A8">
        <w:rPr>
          <w:rFonts w:ascii="Arial" w:hAnsi="Arial" w:cs="Arial"/>
          <w:sz w:val="24"/>
          <w:szCs w:val="24"/>
        </w:rPr>
        <w:t>ing</w:t>
      </w:r>
      <w:r w:rsidR="00D54AB7">
        <w:rPr>
          <w:rFonts w:ascii="Arial" w:hAnsi="Arial" w:cs="Arial"/>
          <w:sz w:val="24"/>
          <w:szCs w:val="24"/>
        </w:rPr>
        <w:t xml:space="preserve"> the costs of one instructing and one instructed counsel.</w:t>
      </w:r>
    </w:p>
    <w:p w14:paraId="6CB4566F" w14:textId="77777777" w:rsidR="005E700E" w:rsidRPr="005E700E" w:rsidRDefault="005E700E" w:rsidP="005E700E">
      <w:pPr>
        <w:pStyle w:val="NoSpacing"/>
        <w:jc w:val="both"/>
        <w:rPr>
          <w:rFonts w:ascii="Arial" w:hAnsi="Arial" w:cs="Arial"/>
          <w:sz w:val="24"/>
          <w:szCs w:val="24"/>
          <w:highlight w:val="yellow"/>
        </w:rPr>
      </w:pPr>
    </w:p>
    <w:p w14:paraId="41DAF6FC" w14:textId="77777777" w:rsidR="00501FF6" w:rsidRDefault="00501FF6" w:rsidP="005E700E">
      <w:pPr>
        <w:pStyle w:val="NoSpacing"/>
        <w:jc w:val="both"/>
        <w:rPr>
          <w:rFonts w:ascii="Arial" w:hAnsi="Arial" w:cs="Arial"/>
          <w:sz w:val="24"/>
          <w:szCs w:val="24"/>
        </w:rPr>
      </w:pPr>
    </w:p>
    <w:p w14:paraId="29F0DAB0" w14:textId="77777777" w:rsidR="005E700E" w:rsidRDefault="005E700E" w:rsidP="005E700E">
      <w:pPr>
        <w:pStyle w:val="NoSpacing"/>
        <w:jc w:val="both"/>
        <w:rPr>
          <w:rFonts w:ascii="Arial" w:hAnsi="Arial" w:cs="Arial"/>
          <w:sz w:val="24"/>
          <w:szCs w:val="24"/>
        </w:rPr>
      </w:pPr>
    </w:p>
    <w:p w14:paraId="16208484" w14:textId="77777777" w:rsidR="00710428" w:rsidRDefault="00710428" w:rsidP="005E700E">
      <w:pPr>
        <w:pStyle w:val="NoSpacing"/>
        <w:jc w:val="both"/>
        <w:rPr>
          <w:rFonts w:ascii="Arial" w:hAnsi="Arial" w:cs="Arial"/>
          <w:sz w:val="24"/>
          <w:szCs w:val="24"/>
        </w:rPr>
      </w:pPr>
    </w:p>
    <w:p w14:paraId="18024FE8" w14:textId="77777777" w:rsidR="005E700E" w:rsidRPr="005E700E" w:rsidRDefault="005E700E" w:rsidP="005E700E">
      <w:pPr>
        <w:pStyle w:val="NoSpacing"/>
        <w:jc w:val="both"/>
        <w:rPr>
          <w:rFonts w:ascii="Arial" w:hAnsi="Arial" w:cs="Arial"/>
          <w:sz w:val="24"/>
          <w:szCs w:val="24"/>
        </w:rPr>
      </w:pPr>
    </w:p>
    <w:p w14:paraId="0841EAC1" w14:textId="77777777" w:rsidR="002E426A" w:rsidRPr="005E700E" w:rsidRDefault="002E426A" w:rsidP="005E700E">
      <w:pPr>
        <w:pStyle w:val="NoSpacing"/>
        <w:spacing w:line="276" w:lineRule="auto"/>
        <w:rPr>
          <w:rFonts w:ascii="Arial" w:hAnsi="Arial" w:cs="Arial"/>
          <w:b/>
          <w:sz w:val="24"/>
          <w:szCs w:val="24"/>
        </w:rPr>
      </w:pPr>
      <w:r w:rsidRPr="005E700E">
        <w:rPr>
          <w:rFonts w:ascii="Arial" w:hAnsi="Arial" w:cs="Arial"/>
          <w:b/>
          <w:sz w:val="24"/>
          <w:szCs w:val="24"/>
        </w:rPr>
        <w:t>___________________</w:t>
      </w:r>
    </w:p>
    <w:p w14:paraId="63D7B358" w14:textId="77777777" w:rsidR="002E426A" w:rsidRPr="005E700E" w:rsidRDefault="002E426A" w:rsidP="005E700E">
      <w:pPr>
        <w:pStyle w:val="NoSpacing"/>
        <w:spacing w:line="276" w:lineRule="auto"/>
        <w:rPr>
          <w:rFonts w:ascii="Arial" w:hAnsi="Arial" w:cs="Arial"/>
          <w:b/>
          <w:sz w:val="24"/>
          <w:szCs w:val="24"/>
        </w:rPr>
      </w:pPr>
      <w:r w:rsidRPr="005E700E">
        <w:rPr>
          <w:rFonts w:ascii="Arial" w:hAnsi="Arial" w:cs="Arial"/>
          <w:b/>
          <w:sz w:val="24"/>
          <w:szCs w:val="24"/>
        </w:rPr>
        <w:t>SMUTS JA</w:t>
      </w:r>
    </w:p>
    <w:p w14:paraId="650830E0" w14:textId="77777777" w:rsidR="002E426A" w:rsidRPr="005E700E" w:rsidRDefault="002E426A" w:rsidP="005E700E">
      <w:pPr>
        <w:pStyle w:val="NoSpacing"/>
        <w:rPr>
          <w:rFonts w:ascii="Arial" w:hAnsi="Arial" w:cs="Arial"/>
          <w:b/>
          <w:sz w:val="24"/>
          <w:szCs w:val="24"/>
        </w:rPr>
      </w:pPr>
    </w:p>
    <w:p w14:paraId="0647EF86" w14:textId="77777777" w:rsidR="002E426A" w:rsidRDefault="002E426A" w:rsidP="005E700E">
      <w:pPr>
        <w:pStyle w:val="NoSpacing"/>
        <w:rPr>
          <w:rFonts w:ascii="Arial" w:hAnsi="Arial" w:cs="Arial"/>
          <w:b/>
          <w:sz w:val="24"/>
          <w:szCs w:val="24"/>
        </w:rPr>
      </w:pPr>
    </w:p>
    <w:p w14:paraId="077437CC" w14:textId="14D47127" w:rsidR="005E700E" w:rsidRDefault="005E700E" w:rsidP="005E700E">
      <w:pPr>
        <w:pStyle w:val="NoSpacing"/>
        <w:rPr>
          <w:rFonts w:ascii="Arial" w:hAnsi="Arial" w:cs="Arial"/>
          <w:b/>
          <w:sz w:val="24"/>
          <w:szCs w:val="24"/>
        </w:rPr>
      </w:pPr>
    </w:p>
    <w:p w14:paraId="0A73827F" w14:textId="77777777" w:rsidR="0007590E" w:rsidRDefault="0007590E" w:rsidP="005E700E">
      <w:pPr>
        <w:pStyle w:val="NoSpacing"/>
        <w:rPr>
          <w:rFonts w:ascii="Arial" w:hAnsi="Arial" w:cs="Arial"/>
          <w:b/>
          <w:sz w:val="24"/>
          <w:szCs w:val="24"/>
        </w:rPr>
      </w:pPr>
    </w:p>
    <w:p w14:paraId="0C61EB47" w14:textId="77777777" w:rsidR="0007590E" w:rsidRPr="005E700E" w:rsidRDefault="0007590E" w:rsidP="005E700E">
      <w:pPr>
        <w:pStyle w:val="NoSpacing"/>
        <w:rPr>
          <w:rFonts w:ascii="Arial" w:hAnsi="Arial" w:cs="Arial"/>
          <w:b/>
          <w:sz w:val="24"/>
          <w:szCs w:val="24"/>
        </w:rPr>
      </w:pPr>
    </w:p>
    <w:p w14:paraId="2D7E8A7A" w14:textId="77777777" w:rsidR="002E426A" w:rsidRPr="005E700E" w:rsidRDefault="002E426A" w:rsidP="005E700E">
      <w:pPr>
        <w:pStyle w:val="NoSpacing"/>
        <w:spacing w:line="276" w:lineRule="auto"/>
        <w:rPr>
          <w:rFonts w:ascii="Arial" w:hAnsi="Arial" w:cs="Arial"/>
          <w:b/>
          <w:sz w:val="24"/>
          <w:szCs w:val="24"/>
        </w:rPr>
      </w:pPr>
      <w:r w:rsidRPr="005E700E">
        <w:rPr>
          <w:rFonts w:ascii="Arial" w:hAnsi="Arial" w:cs="Arial"/>
          <w:b/>
          <w:sz w:val="24"/>
          <w:szCs w:val="24"/>
        </w:rPr>
        <w:t>___________________</w:t>
      </w:r>
    </w:p>
    <w:p w14:paraId="6A933014" w14:textId="77777777" w:rsidR="002E426A" w:rsidRPr="005E700E" w:rsidRDefault="00DF0D25" w:rsidP="005E700E">
      <w:pPr>
        <w:pStyle w:val="NoSpacing"/>
        <w:spacing w:line="276" w:lineRule="auto"/>
        <w:rPr>
          <w:rFonts w:ascii="Arial" w:hAnsi="Arial" w:cs="Arial"/>
          <w:b/>
          <w:sz w:val="24"/>
          <w:szCs w:val="24"/>
        </w:rPr>
      </w:pPr>
      <w:r w:rsidRPr="005E700E">
        <w:rPr>
          <w:rFonts w:ascii="Arial" w:hAnsi="Arial" w:cs="Arial"/>
          <w:b/>
          <w:sz w:val="24"/>
          <w:szCs w:val="24"/>
        </w:rPr>
        <w:t>SHIVUTE CJ</w:t>
      </w:r>
    </w:p>
    <w:p w14:paraId="2BA84D3A" w14:textId="77777777" w:rsidR="002E426A" w:rsidRDefault="002E426A" w:rsidP="005E700E">
      <w:pPr>
        <w:pStyle w:val="NoSpacing"/>
        <w:rPr>
          <w:rFonts w:ascii="Arial" w:hAnsi="Arial" w:cs="Arial"/>
          <w:b/>
          <w:sz w:val="24"/>
          <w:szCs w:val="24"/>
        </w:rPr>
      </w:pPr>
    </w:p>
    <w:p w14:paraId="23DD0F82" w14:textId="77777777" w:rsidR="00710428" w:rsidRPr="005E700E" w:rsidRDefault="00710428" w:rsidP="005E700E">
      <w:pPr>
        <w:pStyle w:val="NoSpacing"/>
        <w:rPr>
          <w:rFonts w:ascii="Arial" w:hAnsi="Arial" w:cs="Arial"/>
          <w:b/>
          <w:sz w:val="24"/>
          <w:szCs w:val="24"/>
        </w:rPr>
      </w:pPr>
    </w:p>
    <w:p w14:paraId="1E34A210" w14:textId="0BF05BE2" w:rsidR="00305FE9" w:rsidRDefault="00305FE9" w:rsidP="005E700E">
      <w:pPr>
        <w:pStyle w:val="NoSpacing"/>
        <w:rPr>
          <w:noProof/>
          <w:lang w:eastAsia="en-ZA"/>
        </w:rPr>
      </w:pPr>
    </w:p>
    <w:p w14:paraId="1F01AED1" w14:textId="77777777" w:rsidR="0079451A" w:rsidRPr="005E700E" w:rsidRDefault="0079451A" w:rsidP="005E700E">
      <w:pPr>
        <w:pStyle w:val="NoSpacing"/>
        <w:rPr>
          <w:rFonts w:ascii="Arial" w:hAnsi="Arial" w:cs="Arial"/>
          <w:b/>
          <w:sz w:val="24"/>
          <w:szCs w:val="24"/>
        </w:rPr>
      </w:pPr>
      <w:bookmarkStart w:id="0" w:name="_GoBack"/>
      <w:bookmarkEnd w:id="0"/>
    </w:p>
    <w:p w14:paraId="7729D6DA" w14:textId="77777777" w:rsidR="002E426A" w:rsidRPr="005E700E" w:rsidRDefault="002E426A" w:rsidP="005E700E">
      <w:pPr>
        <w:pStyle w:val="NoSpacing"/>
        <w:spacing w:line="276" w:lineRule="auto"/>
        <w:rPr>
          <w:rFonts w:ascii="Arial" w:hAnsi="Arial" w:cs="Arial"/>
          <w:b/>
          <w:sz w:val="24"/>
          <w:szCs w:val="24"/>
        </w:rPr>
      </w:pPr>
      <w:r w:rsidRPr="005E700E">
        <w:rPr>
          <w:rFonts w:ascii="Arial" w:hAnsi="Arial" w:cs="Arial"/>
          <w:b/>
          <w:sz w:val="24"/>
          <w:szCs w:val="24"/>
        </w:rPr>
        <w:t>___________________</w:t>
      </w:r>
    </w:p>
    <w:p w14:paraId="1B246461" w14:textId="77777777" w:rsidR="002E426A" w:rsidRPr="005E700E" w:rsidRDefault="00DF0D25" w:rsidP="005E700E">
      <w:pPr>
        <w:pStyle w:val="NoSpacing"/>
        <w:spacing w:line="276" w:lineRule="auto"/>
        <w:jc w:val="both"/>
        <w:rPr>
          <w:rFonts w:ascii="Arial" w:hAnsi="Arial" w:cs="Arial"/>
          <w:sz w:val="24"/>
          <w:szCs w:val="24"/>
        </w:rPr>
      </w:pPr>
      <w:r w:rsidRPr="005E700E">
        <w:rPr>
          <w:rFonts w:ascii="Arial" w:hAnsi="Arial" w:cs="Arial"/>
          <w:b/>
          <w:sz w:val="24"/>
          <w:szCs w:val="24"/>
        </w:rPr>
        <w:t>NKABINDE</w:t>
      </w:r>
      <w:r w:rsidR="002E426A" w:rsidRPr="005E700E">
        <w:rPr>
          <w:rFonts w:ascii="Arial" w:hAnsi="Arial" w:cs="Arial"/>
          <w:b/>
          <w:sz w:val="24"/>
          <w:szCs w:val="24"/>
        </w:rPr>
        <w:t xml:space="preserve"> </w:t>
      </w:r>
      <w:r w:rsidRPr="005E700E">
        <w:rPr>
          <w:rFonts w:ascii="Arial" w:hAnsi="Arial" w:cs="Arial"/>
          <w:b/>
          <w:sz w:val="24"/>
          <w:szCs w:val="24"/>
        </w:rPr>
        <w:t>A</w:t>
      </w:r>
      <w:r w:rsidR="002E426A" w:rsidRPr="005E700E">
        <w:rPr>
          <w:rFonts w:ascii="Arial" w:hAnsi="Arial" w:cs="Arial"/>
          <w:b/>
          <w:sz w:val="24"/>
          <w:szCs w:val="24"/>
        </w:rPr>
        <w:t>JA</w:t>
      </w:r>
      <w:r w:rsidR="002E426A" w:rsidRPr="005E700E">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14:paraId="5704F91E" w14:textId="77777777" w:rsidTr="005C0BAB">
        <w:tc>
          <w:tcPr>
            <w:tcW w:w="4386" w:type="dxa"/>
            <w:shd w:val="clear" w:color="auto" w:fill="auto"/>
          </w:tcPr>
          <w:p w14:paraId="5E2BA864" w14:textId="77777777"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14:paraId="4BE7E549" w14:textId="77777777" w:rsidR="00721889" w:rsidRPr="001C25CA" w:rsidRDefault="00721889" w:rsidP="00503269">
            <w:pPr>
              <w:ind w:right="-146"/>
              <w:rPr>
                <w:rFonts w:ascii="Arial" w:hAnsi="Arial" w:cs="Arial"/>
                <w:sz w:val="24"/>
                <w:szCs w:val="24"/>
              </w:rPr>
            </w:pPr>
          </w:p>
          <w:p w14:paraId="1A53FD02" w14:textId="77777777"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14:paraId="231E0740" w14:textId="77777777" w:rsidR="00721889" w:rsidRPr="001C25CA" w:rsidRDefault="00721889" w:rsidP="00503269">
            <w:pPr>
              <w:rPr>
                <w:rFonts w:ascii="Arial" w:hAnsi="Arial" w:cs="Arial"/>
                <w:sz w:val="24"/>
                <w:szCs w:val="24"/>
              </w:rPr>
            </w:pPr>
          </w:p>
          <w:p w14:paraId="5208EDB4" w14:textId="77777777" w:rsidR="00721889" w:rsidRPr="001C25CA" w:rsidRDefault="00721889" w:rsidP="00503269">
            <w:pPr>
              <w:rPr>
                <w:rFonts w:ascii="Arial" w:hAnsi="Arial" w:cs="Arial"/>
                <w:sz w:val="24"/>
                <w:szCs w:val="24"/>
              </w:rPr>
            </w:pPr>
          </w:p>
          <w:p w14:paraId="3B93E8DC" w14:textId="77777777" w:rsidR="00721889" w:rsidRPr="001C25CA" w:rsidRDefault="00D54AB7" w:rsidP="00503269">
            <w:pPr>
              <w:rPr>
                <w:rFonts w:ascii="Arial" w:hAnsi="Arial" w:cs="Arial"/>
                <w:sz w:val="24"/>
                <w:szCs w:val="24"/>
              </w:rPr>
            </w:pPr>
            <w:r>
              <w:rPr>
                <w:rFonts w:ascii="Arial" w:hAnsi="Arial" w:cs="Arial"/>
                <w:sz w:val="24"/>
                <w:szCs w:val="24"/>
              </w:rPr>
              <w:t xml:space="preserve">R </w:t>
            </w:r>
            <w:r w:rsidR="00D141B9">
              <w:rPr>
                <w:rFonts w:ascii="Arial" w:hAnsi="Arial" w:cs="Arial"/>
                <w:sz w:val="24"/>
                <w:szCs w:val="24"/>
              </w:rPr>
              <w:t xml:space="preserve">Mondo </w:t>
            </w:r>
          </w:p>
          <w:p w14:paraId="34590AED" w14:textId="0503EF84" w:rsidR="00860DA9" w:rsidRPr="001C25CA" w:rsidRDefault="00FC2341" w:rsidP="00FC2341">
            <w:pPr>
              <w:rPr>
                <w:rFonts w:ascii="Arial" w:hAnsi="Arial" w:cs="Arial"/>
                <w:sz w:val="24"/>
                <w:szCs w:val="24"/>
              </w:rPr>
            </w:pPr>
            <w:r>
              <w:rPr>
                <w:rFonts w:ascii="Arial" w:hAnsi="Arial" w:cs="Arial"/>
                <w:sz w:val="24"/>
                <w:szCs w:val="24"/>
              </w:rPr>
              <w:t xml:space="preserve">Of </w:t>
            </w:r>
            <w:r w:rsidR="00D54AB7">
              <w:rPr>
                <w:rFonts w:ascii="Arial" w:hAnsi="Arial" w:cs="Arial"/>
                <w:sz w:val="24"/>
                <w:szCs w:val="24"/>
              </w:rPr>
              <w:t>Nixon Marcus Public Law Office</w:t>
            </w:r>
          </w:p>
        </w:tc>
      </w:tr>
      <w:tr w:rsidR="00721889" w:rsidRPr="001C25CA" w14:paraId="393118C6" w14:textId="77777777" w:rsidTr="005C0BAB">
        <w:tc>
          <w:tcPr>
            <w:tcW w:w="4386" w:type="dxa"/>
            <w:shd w:val="clear" w:color="auto" w:fill="auto"/>
          </w:tcPr>
          <w:p w14:paraId="74D5D7A0" w14:textId="77777777" w:rsidR="00721889" w:rsidRPr="001C25CA" w:rsidRDefault="00721889" w:rsidP="00503269">
            <w:pPr>
              <w:rPr>
                <w:rFonts w:ascii="Arial" w:hAnsi="Arial" w:cs="Arial"/>
                <w:sz w:val="24"/>
                <w:szCs w:val="24"/>
              </w:rPr>
            </w:pPr>
          </w:p>
          <w:p w14:paraId="4ABE0C43" w14:textId="77777777" w:rsidR="00721889" w:rsidRPr="001C25CA" w:rsidRDefault="00D54AB7" w:rsidP="00D54AB7">
            <w:pPr>
              <w:ind w:left="-108"/>
              <w:rPr>
                <w:rFonts w:ascii="Arial" w:hAnsi="Arial" w:cs="Arial"/>
                <w:sz w:val="24"/>
                <w:szCs w:val="24"/>
              </w:rPr>
            </w:pPr>
            <w:r>
              <w:rPr>
                <w:rFonts w:ascii="Arial" w:hAnsi="Arial" w:cs="Arial"/>
                <w:sz w:val="24"/>
                <w:szCs w:val="24"/>
              </w:rPr>
              <w:t>RESPONDENT</w:t>
            </w:r>
            <w:r w:rsidR="00721889" w:rsidRPr="001C25CA">
              <w:rPr>
                <w:rFonts w:ascii="Arial" w:hAnsi="Arial" w:cs="Arial"/>
                <w:sz w:val="24"/>
                <w:szCs w:val="24"/>
              </w:rPr>
              <w:t>:</w:t>
            </w:r>
          </w:p>
        </w:tc>
        <w:tc>
          <w:tcPr>
            <w:tcW w:w="4261" w:type="dxa"/>
            <w:shd w:val="clear" w:color="auto" w:fill="auto"/>
          </w:tcPr>
          <w:p w14:paraId="77E938FC" w14:textId="77777777" w:rsidR="00721889" w:rsidRPr="001C25CA" w:rsidRDefault="00721889" w:rsidP="00503269">
            <w:pPr>
              <w:rPr>
                <w:rFonts w:ascii="Arial" w:hAnsi="Arial" w:cs="Arial"/>
                <w:sz w:val="24"/>
                <w:szCs w:val="24"/>
              </w:rPr>
            </w:pPr>
          </w:p>
          <w:p w14:paraId="493C02CC" w14:textId="77777777" w:rsidR="008A6323" w:rsidRDefault="00D54AB7" w:rsidP="00864712">
            <w:pPr>
              <w:rPr>
                <w:rFonts w:ascii="Arial" w:hAnsi="Arial" w:cs="Arial"/>
                <w:sz w:val="24"/>
                <w:szCs w:val="24"/>
              </w:rPr>
            </w:pPr>
            <w:r>
              <w:rPr>
                <w:rFonts w:ascii="Arial" w:hAnsi="Arial" w:cs="Arial"/>
                <w:sz w:val="24"/>
                <w:szCs w:val="24"/>
              </w:rPr>
              <w:t>Y Campbell</w:t>
            </w:r>
          </w:p>
          <w:p w14:paraId="1E4431A4" w14:textId="77777777" w:rsidR="00721889" w:rsidRPr="001C25CA" w:rsidRDefault="008A6323" w:rsidP="00D54AB7">
            <w:pPr>
              <w:rPr>
                <w:rFonts w:ascii="Arial" w:hAnsi="Arial" w:cs="Arial"/>
                <w:sz w:val="24"/>
                <w:szCs w:val="24"/>
              </w:rPr>
            </w:pPr>
            <w:r>
              <w:rPr>
                <w:rFonts w:ascii="Arial" w:hAnsi="Arial" w:cs="Arial"/>
                <w:sz w:val="24"/>
                <w:szCs w:val="24"/>
              </w:rPr>
              <w:t xml:space="preserve">Instructed by </w:t>
            </w:r>
            <w:r w:rsidR="00D54AB7">
              <w:rPr>
                <w:rFonts w:ascii="Arial" w:hAnsi="Arial" w:cs="Arial"/>
                <w:sz w:val="24"/>
                <w:szCs w:val="24"/>
              </w:rPr>
              <w:t>Koep &amp; Partners</w:t>
            </w:r>
            <w:r w:rsidR="00721889" w:rsidRPr="001C25CA">
              <w:rPr>
                <w:rFonts w:ascii="Arial" w:hAnsi="Arial" w:cs="Arial"/>
                <w:sz w:val="24"/>
                <w:szCs w:val="24"/>
              </w:rPr>
              <w:t xml:space="preserve"> </w:t>
            </w:r>
          </w:p>
        </w:tc>
      </w:tr>
    </w:tbl>
    <w:p w14:paraId="2B90469D" w14:textId="77777777" w:rsidR="00721889" w:rsidRPr="001C25CA" w:rsidRDefault="00721889" w:rsidP="00721889">
      <w:pPr>
        <w:pStyle w:val="NoSpacing"/>
        <w:jc w:val="both"/>
        <w:rPr>
          <w:rFonts w:ascii="Arial" w:hAnsi="Arial" w:cs="Arial"/>
          <w:sz w:val="24"/>
          <w:szCs w:val="24"/>
        </w:rPr>
      </w:pPr>
    </w:p>
    <w:sectPr w:rsidR="00721889" w:rsidRPr="001C25CA"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92FEC" w14:textId="77777777" w:rsidR="002C1A46" w:rsidRDefault="002C1A46" w:rsidP="00B5013F">
      <w:pPr>
        <w:spacing w:after="0" w:line="240" w:lineRule="auto"/>
      </w:pPr>
      <w:r>
        <w:separator/>
      </w:r>
    </w:p>
  </w:endnote>
  <w:endnote w:type="continuationSeparator" w:id="0">
    <w:p w14:paraId="4C6DFF87" w14:textId="77777777" w:rsidR="002C1A46" w:rsidRDefault="002C1A46"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6B907" w14:textId="77777777" w:rsidR="002C1A46" w:rsidRDefault="002C1A46" w:rsidP="00B5013F">
      <w:pPr>
        <w:spacing w:after="0" w:line="240" w:lineRule="auto"/>
      </w:pPr>
      <w:r>
        <w:separator/>
      </w:r>
    </w:p>
  </w:footnote>
  <w:footnote w:type="continuationSeparator" w:id="0">
    <w:p w14:paraId="30D37AA3" w14:textId="77777777" w:rsidR="002C1A46" w:rsidRDefault="002C1A46" w:rsidP="00B5013F">
      <w:pPr>
        <w:spacing w:after="0" w:line="240" w:lineRule="auto"/>
      </w:pPr>
      <w:r>
        <w:continuationSeparator/>
      </w:r>
    </w:p>
  </w:footnote>
  <w:footnote w:id="1">
    <w:p w14:paraId="2B7C6616" w14:textId="77777777" w:rsidR="004F200A" w:rsidRPr="00710428" w:rsidRDefault="004F200A"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This is evident from the transcription of the proceedings a quo where the following discussion appear:</w:t>
      </w:r>
    </w:p>
    <w:p w14:paraId="5E651FD3" w14:textId="77777777" w:rsidR="004F200A" w:rsidRPr="00710428" w:rsidRDefault="004F200A" w:rsidP="00710428">
      <w:pPr>
        <w:pStyle w:val="FootnoteText"/>
        <w:jc w:val="both"/>
        <w:rPr>
          <w:rFonts w:ascii="Arial" w:hAnsi="Arial" w:cs="Arial"/>
        </w:rPr>
      </w:pPr>
      <w:r w:rsidRPr="00710428">
        <w:rPr>
          <w:rFonts w:ascii="Arial" w:hAnsi="Arial" w:cs="Arial"/>
        </w:rPr>
        <w:t>“COURT:  You know one of the issues will be that there must be no defects . . . [if] I am of the view . . . that the works is defective I should at least say in what respects and also another point . . . Mr Jacobs . . . submitted . . . that the plaintiff was never even alerted to what the Defence[s] were and was never even given an opportunity to go and remedy those defects.  The issue of the defects alleged without any particular . . . appears for the first time in the Answering Affidavit.</w:t>
      </w:r>
    </w:p>
    <w:p w14:paraId="6882DD95" w14:textId="77777777" w:rsidR="004F200A" w:rsidRPr="00710428" w:rsidRDefault="004F200A" w:rsidP="00710428">
      <w:pPr>
        <w:pStyle w:val="FootnoteText"/>
        <w:jc w:val="both"/>
        <w:rPr>
          <w:rFonts w:ascii="Arial" w:hAnsi="Arial" w:cs="Arial"/>
        </w:rPr>
      </w:pPr>
      <w:r w:rsidRPr="00710428">
        <w:rPr>
          <w:rFonts w:ascii="Arial" w:hAnsi="Arial" w:cs="Arial"/>
        </w:rPr>
        <w:t>MS MONDO:</w:t>
      </w:r>
      <w:r w:rsidRPr="00710428">
        <w:rPr>
          <w:rFonts w:ascii="Arial" w:hAnsi="Arial" w:cs="Arial"/>
        </w:rPr>
        <w:tab/>
        <w:t>My Lord I would actually submit that that is in fact not true.</w:t>
      </w:r>
    </w:p>
    <w:p w14:paraId="7F7B8799" w14:textId="49EA536B" w:rsidR="004F200A" w:rsidRPr="00710428" w:rsidRDefault="004F200A" w:rsidP="00710428">
      <w:pPr>
        <w:pStyle w:val="FootnoteText"/>
        <w:jc w:val="both"/>
        <w:rPr>
          <w:rFonts w:ascii="Arial" w:hAnsi="Arial" w:cs="Arial"/>
        </w:rPr>
      </w:pPr>
      <w:r w:rsidRPr="00710428">
        <w:rPr>
          <w:rFonts w:ascii="Arial" w:hAnsi="Arial" w:cs="Arial"/>
        </w:rPr>
        <w:t>COURT:</w:t>
      </w:r>
      <w:r w:rsidR="00710428">
        <w:rPr>
          <w:rFonts w:ascii="Arial" w:hAnsi="Arial" w:cs="Arial"/>
        </w:rPr>
        <w:tab/>
      </w:r>
      <w:r w:rsidRPr="00710428">
        <w:rPr>
          <w:rFonts w:ascii="Arial" w:hAnsi="Arial" w:cs="Arial"/>
        </w:rPr>
        <w:t>Yes.</w:t>
      </w:r>
    </w:p>
    <w:p w14:paraId="4509D267" w14:textId="67A905CA" w:rsidR="004F200A" w:rsidRPr="00710428" w:rsidRDefault="004F200A" w:rsidP="00710428">
      <w:pPr>
        <w:pStyle w:val="FootnoteText"/>
        <w:jc w:val="both"/>
        <w:rPr>
          <w:rFonts w:ascii="Arial" w:hAnsi="Arial" w:cs="Arial"/>
        </w:rPr>
      </w:pPr>
      <w:r w:rsidRPr="00710428">
        <w:rPr>
          <w:rFonts w:ascii="Arial" w:hAnsi="Arial" w:cs="Arial"/>
        </w:rPr>
        <w:t>MS MONDO:</w:t>
      </w:r>
      <w:r w:rsidRPr="00710428">
        <w:rPr>
          <w:rFonts w:ascii="Arial" w:hAnsi="Arial" w:cs="Arial"/>
        </w:rPr>
        <w:tab/>
        <w:t xml:space="preserve">Because it is a Summary Judgment Application . . . My Lord </w:t>
      </w:r>
      <w:r w:rsidRPr="00710428">
        <w:rPr>
          <w:rFonts w:ascii="Arial" w:hAnsi="Arial" w:cs="Arial"/>
          <w:i/>
        </w:rPr>
        <w:t>we did not attach any evidence</w:t>
      </w:r>
      <w:r w:rsidRPr="00710428">
        <w:rPr>
          <w:rFonts w:ascii="Arial" w:hAnsi="Arial" w:cs="Arial"/>
        </w:rPr>
        <w:t xml:space="preserve"> </w:t>
      </w:r>
      <w:r w:rsidRPr="00710428">
        <w:rPr>
          <w:rFonts w:ascii="Arial" w:hAnsi="Arial" w:cs="Arial"/>
          <w:i/>
        </w:rPr>
        <w:t>to that effect</w:t>
      </w:r>
      <w:r w:rsidRPr="00710428">
        <w:rPr>
          <w:rFonts w:ascii="Arial" w:hAnsi="Arial" w:cs="Arial"/>
        </w:rPr>
        <w:t xml:space="preserve"> but . . .  </w:t>
      </w:r>
      <w:r w:rsidRPr="00710428">
        <w:rPr>
          <w:rFonts w:ascii="Arial" w:hAnsi="Arial" w:cs="Arial"/>
          <w:i/>
        </w:rPr>
        <w:t>I can competently say and I have documentation in my file . . . that the Plaintiff was indeed informed of the defects and what happen[ed] is that the Plaintiff sent an additional quotation . . . to what is actually being claimed.</w:t>
      </w:r>
      <w:r w:rsidRPr="00710428">
        <w:rPr>
          <w:rFonts w:ascii="Arial" w:hAnsi="Arial" w:cs="Arial"/>
        </w:rPr>
        <w:t xml:space="preserve">  Radial Trust requested Plaintiff to come and rectify the works and because . . . the Plaintiff charged and additional ninety thousand</w:t>
      </w:r>
      <w:r w:rsidR="00710428">
        <w:rPr>
          <w:rFonts w:ascii="Arial" w:hAnsi="Arial" w:cs="Arial"/>
        </w:rPr>
        <w:t xml:space="preserve"> </w:t>
      </w:r>
      <w:r w:rsidRPr="00710428">
        <w:rPr>
          <w:rFonts w:ascii="Arial" w:hAnsi="Arial" w:cs="Arial"/>
        </w:rPr>
        <w:t>. . . Radial Trust was not happy about that My Lord.”</w:t>
      </w:r>
    </w:p>
  </w:footnote>
  <w:footnote w:id="2">
    <w:p w14:paraId="7D11469F" w14:textId="77777777" w:rsidR="00BB2C10" w:rsidRPr="00710428" w:rsidRDefault="00BB2C10"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2003 (5) SA 430 (</w:t>
      </w:r>
      <w:r w:rsidR="000753D3" w:rsidRPr="00710428">
        <w:rPr>
          <w:rFonts w:ascii="Arial" w:hAnsi="Arial" w:cs="Arial"/>
        </w:rPr>
        <w:t>W</w:t>
      </w:r>
      <w:r w:rsidRPr="00710428">
        <w:rPr>
          <w:rFonts w:ascii="Arial" w:hAnsi="Arial" w:cs="Arial"/>
        </w:rPr>
        <w:t>) at para 32.</w:t>
      </w:r>
    </w:p>
  </w:footnote>
  <w:footnote w:id="3">
    <w:p w14:paraId="1ACF348E" w14:textId="77777777" w:rsidR="00251264" w:rsidRPr="00710428" w:rsidRDefault="00251264"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1997 NR 122 (HC) at 125E-F.</w:t>
      </w:r>
    </w:p>
  </w:footnote>
  <w:footnote w:id="4">
    <w:p w14:paraId="1A1FE98E" w14:textId="17CEF88A" w:rsidR="00251264" w:rsidRPr="00710428" w:rsidRDefault="00251264"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2009 (5) </w:t>
      </w:r>
      <w:r w:rsidR="00710428" w:rsidRPr="00710428">
        <w:rPr>
          <w:rFonts w:ascii="Arial" w:hAnsi="Arial" w:cs="Arial"/>
        </w:rPr>
        <w:t xml:space="preserve">SA </w:t>
      </w:r>
      <w:r w:rsidRPr="00710428">
        <w:rPr>
          <w:rFonts w:ascii="Arial" w:hAnsi="Arial" w:cs="Arial"/>
        </w:rPr>
        <w:t>1 (SCA) at para 30-33</w:t>
      </w:r>
      <w:r w:rsidR="00710428" w:rsidRPr="00710428">
        <w:rPr>
          <w:rFonts w:ascii="Arial" w:hAnsi="Arial" w:cs="Arial"/>
        </w:rPr>
        <w:t xml:space="preserve"> [2009] ZASCA 23 (27 March 2009 (SCA)</w:t>
      </w:r>
      <w:r w:rsidRPr="00710428">
        <w:rPr>
          <w:rFonts w:ascii="Arial" w:hAnsi="Arial" w:cs="Arial"/>
        </w:rPr>
        <w:t>.</w:t>
      </w:r>
    </w:p>
  </w:footnote>
  <w:footnote w:id="5">
    <w:p w14:paraId="554FA861" w14:textId="56642103" w:rsidR="00AB1DAB" w:rsidRPr="00710428" w:rsidRDefault="00AB1DAB"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w:t>
      </w:r>
      <w:r w:rsidRPr="00710428">
        <w:rPr>
          <w:rFonts w:ascii="Arial" w:hAnsi="Arial" w:cs="Arial"/>
          <w:i/>
        </w:rPr>
        <w:t xml:space="preserve">Kukuri </w:t>
      </w:r>
      <w:r w:rsidR="00A05D1A" w:rsidRPr="00710428">
        <w:rPr>
          <w:rFonts w:ascii="Arial" w:hAnsi="Arial" w:cs="Arial"/>
          <w:i/>
        </w:rPr>
        <w:t>v Social Security Commission</w:t>
      </w:r>
      <w:r w:rsidR="00A05D1A" w:rsidRPr="00710428">
        <w:rPr>
          <w:rFonts w:ascii="Arial" w:hAnsi="Arial" w:cs="Arial"/>
        </w:rPr>
        <w:t xml:space="preserve"> SA 17/2015</w:t>
      </w:r>
      <w:r w:rsidR="00710428" w:rsidRPr="00710428">
        <w:rPr>
          <w:rFonts w:ascii="Arial" w:hAnsi="Arial" w:cs="Arial"/>
        </w:rPr>
        <w:t xml:space="preserve"> [2016] NASC 29 November 2016</w:t>
      </w:r>
      <w:r w:rsidR="00186627" w:rsidRPr="00710428">
        <w:rPr>
          <w:rFonts w:ascii="Arial" w:hAnsi="Arial" w:cs="Arial"/>
        </w:rPr>
        <w:t xml:space="preserve"> unreported</w:t>
      </w:r>
      <w:r w:rsidR="007B5835" w:rsidRPr="00710428">
        <w:rPr>
          <w:rFonts w:ascii="Arial" w:hAnsi="Arial" w:cs="Arial"/>
        </w:rPr>
        <w:t xml:space="preserve"> at para </w:t>
      </w:r>
      <w:r w:rsidR="00A05D1A" w:rsidRPr="00710428">
        <w:rPr>
          <w:rFonts w:ascii="Arial" w:hAnsi="Arial" w:cs="Arial"/>
        </w:rPr>
        <w:t>10.</w:t>
      </w:r>
    </w:p>
  </w:footnote>
  <w:footnote w:id="6">
    <w:p w14:paraId="6BFB6920" w14:textId="77777777" w:rsidR="00AB1DAB" w:rsidRPr="00710428" w:rsidRDefault="00AB1DAB"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w:t>
      </w:r>
      <w:r w:rsidR="00A05D1A" w:rsidRPr="00710428">
        <w:rPr>
          <w:rFonts w:ascii="Arial" w:hAnsi="Arial" w:cs="Arial"/>
        </w:rPr>
        <w:t xml:space="preserve">1976 (1) SA 418 (A) at 423F-G at para 10 of </w:t>
      </w:r>
      <w:r w:rsidR="00A05D1A" w:rsidRPr="00710428">
        <w:rPr>
          <w:rFonts w:ascii="Arial" w:hAnsi="Arial" w:cs="Arial"/>
          <w:i/>
        </w:rPr>
        <w:t>Kukuri</w:t>
      </w:r>
      <w:r w:rsidR="00A05D1A" w:rsidRPr="00710428">
        <w:rPr>
          <w:rFonts w:ascii="Arial" w:hAnsi="Arial" w:cs="Arial"/>
        </w:rPr>
        <w:t>.</w:t>
      </w:r>
    </w:p>
  </w:footnote>
  <w:footnote w:id="7">
    <w:p w14:paraId="26FCF34D" w14:textId="77777777" w:rsidR="00462703" w:rsidRPr="00710428" w:rsidRDefault="00462703"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At p 426D.</w:t>
      </w:r>
    </w:p>
  </w:footnote>
  <w:footnote w:id="8">
    <w:p w14:paraId="510EA26B" w14:textId="6C0004D7" w:rsidR="002B5BAF" w:rsidRPr="00710428" w:rsidRDefault="002B5BAF"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w:t>
      </w:r>
      <w:r w:rsidR="00942841" w:rsidRPr="00710428">
        <w:rPr>
          <w:rFonts w:ascii="Arial" w:hAnsi="Arial" w:cs="Arial"/>
          <w:i/>
        </w:rPr>
        <w:t xml:space="preserve">Joob Joob </w:t>
      </w:r>
      <w:r w:rsidR="00710428" w:rsidRPr="00710428">
        <w:rPr>
          <w:rFonts w:ascii="Arial" w:hAnsi="Arial" w:cs="Arial"/>
        </w:rPr>
        <w:t>at para 32</w:t>
      </w:r>
      <w:r w:rsidR="005E700E" w:rsidRPr="00710428">
        <w:rPr>
          <w:rFonts w:ascii="Arial" w:hAnsi="Arial" w:cs="Arial"/>
        </w:rPr>
        <w:t>.</w:t>
      </w:r>
    </w:p>
  </w:footnote>
  <w:footnote w:id="9">
    <w:p w14:paraId="3979CDB8" w14:textId="6E27EB67" w:rsidR="002B5BAF" w:rsidRPr="00710428" w:rsidRDefault="002B5BAF" w:rsidP="00710428">
      <w:pPr>
        <w:pStyle w:val="FootnoteText"/>
        <w:tabs>
          <w:tab w:val="left" w:pos="2145"/>
        </w:tabs>
        <w:jc w:val="both"/>
        <w:rPr>
          <w:rFonts w:ascii="Arial" w:hAnsi="Arial" w:cs="Arial"/>
        </w:rPr>
      </w:pPr>
      <w:r w:rsidRPr="00710428">
        <w:rPr>
          <w:rStyle w:val="FootnoteReference"/>
          <w:rFonts w:ascii="Arial" w:hAnsi="Arial" w:cs="Arial"/>
        </w:rPr>
        <w:footnoteRef/>
      </w:r>
      <w:r w:rsidRPr="00710428">
        <w:rPr>
          <w:rFonts w:ascii="Arial" w:hAnsi="Arial" w:cs="Arial"/>
        </w:rPr>
        <w:t xml:space="preserve"> </w:t>
      </w:r>
      <w:r w:rsidR="00942841" w:rsidRPr="00710428">
        <w:rPr>
          <w:rFonts w:ascii="Arial" w:hAnsi="Arial" w:cs="Arial"/>
        </w:rPr>
        <w:t xml:space="preserve">Id </w:t>
      </w:r>
      <w:r w:rsidRPr="00710428">
        <w:rPr>
          <w:rFonts w:ascii="Arial" w:hAnsi="Arial" w:cs="Arial"/>
        </w:rPr>
        <w:t>at para 32.</w:t>
      </w:r>
      <w:r w:rsidR="005E700E" w:rsidRPr="00710428">
        <w:rPr>
          <w:rFonts w:ascii="Arial" w:hAnsi="Arial" w:cs="Arial"/>
        </w:rPr>
        <w:tab/>
      </w:r>
    </w:p>
  </w:footnote>
  <w:footnote w:id="10">
    <w:p w14:paraId="138AE721" w14:textId="416A4E4F" w:rsidR="006D5684" w:rsidRPr="00710428" w:rsidRDefault="006D5684"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See in this regard fn 1.</w:t>
      </w:r>
    </w:p>
  </w:footnote>
  <w:footnote w:id="11">
    <w:p w14:paraId="10D5E66F" w14:textId="77777777" w:rsidR="00B61CA0" w:rsidRPr="00710428" w:rsidRDefault="00B61CA0"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At para </w:t>
      </w:r>
      <w:r w:rsidR="00D00E93" w:rsidRPr="00710428">
        <w:rPr>
          <w:rFonts w:ascii="Arial" w:hAnsi="Arial" w:cs="Arial"/>
        </w:rPr>
        <w:t>13.</w:t>
      </w:r>
    </w:p>
  </w:footnote>
  <w:footnote w:id="12">
    <w:p w14:paraId="78F5FAF3" w14:textId="77777777" w:rsidR="00E5164B" w:rsidRPr="00710428" w:rsidRDefault="00E5164B"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2000</w:t>
      </w:r>
      <w:r w:rsidR="00DD6800" w:rsidRPr="00710428">
        <w:rPr>
          <w:rFonts w:ascii="Arial" w:hAnsi="Arial" w:cs="Arial"/>
        </w:rPr>
        <w:t xml:space="preserve"> </w:t>
      </w:r>
      <w:r w:rsidRPr="00710428">
        <w:rPr>
          <w:rFonts w:ascii="Arial" w:hAnsi="Arial" w:cs="Arial"/>
        </w:rPr>
        <w:t>(1) SA 268 (SCA).</w:t>
      </w:r>
    </w:p>
  </w:footnote>
  <w:footnote w:id="13">
    <w:p w14:paraId="0FA93930" w14:textId="77777777" w:rsidR="00D960A8" w:rsidRPr="00710428" w:rsidRDefault="00D960A8" w:rsidP="00710428">
      <w:pPr>
        <w:pStyle w:val="FootnoteText"/>
        <w:jc w:val="both"/>
        <w:rPr>
          <w:rFonts w:ascii="Arial" w:hAnsi="Arial" w:cs="Arial"/>
        </w:rPr>
      </w:pPr>
      <w:r w:rsidRPr="00710428">
        <w:rPr>
          <w:rStyle w:val="FootnoteReference"/>
          <w:rFonts w:ascii="Arial" w:hAnsi="Arial" w:cs="Arial"/>
        </w:rPr>
        <w:footnoteRef/>
      </w:r>
      <w:r w:rsidRPr="00710428">
        <w:rPr>
          <w:rFonts w:ascii="Arial" w:hAnsi="Arial" w:cs="Arial"/>
        </w:rPr>
        <w:t xml:space="preserve"> At 125E-F. See also </w:t>
      </w:r>
      <w:r w:rsidRPr="00710428">
        <w:rPr>
          <w:rFonts w:ascii="Arial" w:hAnsi="Arial" w:cs="Arial"/>
          <w:i/>
        </w:rPr>
        <w:t>Di Savino v Nedbank</w:t>
      </w:r>
      <w:r w:rsidRPr="00710428">
        <w:rPr>
          <w:rFonts w:ascii="Arial" w:hAnsi="Arial" w:cs="Arial"/>
        </w:rPr>
        <w:t xml:space="preserve"> 2012 (2) NR 507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14:paraId="6A677B50" w14:textId="77777777" w:rsidR="00A932C8" w:rsidRPr="00ED46B6" w:rsidRDefault="00A932C8">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79451A">
          <w:rPr>
            <w:rFonts w:ascii="Arial" w:hAnsi="Arial" w:cs="Arial"/>
            <w:noProof/>
            <w:sz w:val="24"/>
            <w:szCs w:val="24"/>
          </w:rPr>
          <w:t>17</w:t>
        </w:r>
        <w:r w:rsidRPr="00ED46B6">
          <w:rPr>
            <w:rFonts w:ascii="Arial" w:hAnsi="Arial" w:cs="Arial"/>
            <w:noProof/>
            <w:sz w:val="24"/>
            <w:szCs w:val="24"/>
          </w:rPr>
          <w:fldChar w:fldCharType="end"/>
        </w:r>
      </w:p>
    </w:sdtContent>
  </w:sdt>
  <w:p w14:paraId="1EF293C4" w14:textId="77777777" w:rsidR="00A932C8" w:rsidRDefault="00A93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2"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445B134E"/>
    <w:multiLevelType w:val="hybridMultilevel"/>
    <w:tmpl w:val="F2043A2C"/>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5076FB6"/>
    <w:multiLevelType w:val="hybridMultilevel"/>
    <w:tmpl w:val="85884ABA"/>
    <w:lvl w:ilvl="0" w:tplc="61C43BAC">
      <w:start w:val="1"/>
      <w:numFmt w:val="lowerLetter"/>
      <w:lvlText w:val="(%1)"/>
      <w:lvlJc w:val="left"/>
      <w:pPr>
        <w:ind w:left="1980" w:hanging="54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7"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5"/>
  </w:num>
  <w:num w:numId="3">
    <w:abstractNumId w:val="22"/>
  </w:num>
  <w:num w:numId="4">
    <w:abstractNumId w:val="10"/>
  </w:num>
  <w:num w:numId="5">
    <w:abstractNumId w:val="16"/>
  </w:num>
  <w:num w:numId="6">
    <w:abstractNumId w:val="0"/>
  </w:num>
  <w:num w:numId="7">
    <w:abstractNumId w:val="19"/>
  </w:num>
  <w:num w:numId="8">
    <w:abstractNumId w:val="4"/>
  </w:num>
  <w:num w:numId="9">
    <w:abstractNumId w:val="20"/>
  </w:num>
  <w:num w:numId="10">
    <w:abstractNumId w:val="9"/>
  </w:num>
  <w:num w:numId="11">
    <w:abstractNumId w:val="3"/>
  </w:num>
  <w:num w:numId="12">
    <w:abstractNumId w:val="1"/>
  </w:num>
  <w:num w:numId="13">
    <w:abstractNumId w:val="6"/>
  </w:num>
  <w:num w:numId="14">
    <w:abstractNumId w:val="12"/>
  </w:num>
  <w:num w:numId="15">
    <w:abstractNumId w:val="8"/>
  </w:num>
  <w:num w:numId="16">
    <w:abstractNumId w:val="7"/>
  </w:num>
  <w:num w:numId="17">
    <w:abstractNumId w:val="17"/>
  </w:num>
  <w:num w:numId="18">
    <w:abstractNumId w:val="21"/>
  </w:num>
  <w:num w:numId="19">
    <w:abstractNumId w:val="13"/>
  </w:num>
  <w:num w:numId="20">
    <w:abstractNumId w:val="18"/>
  </w:num>
  <w:num w:numId="21">
    <w:abstractNumId w:val="14"/>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11EB9"/>
    <w:rsid w:val="00012D59"/>
    <w:rsid w:val="00020736"/>
    <w:rsid w:val="00021ECC"/>
    <w:rsid w:val="00022452"/>
    <w:rsid w:val="00022644"/>
    <w:rsid w:val="000231F7"/>
    <w:rsid w:val="00025F4A"/>
    <w:rsid w:val="00026DD5"/>
    <w:rsid w:val="0002744F"/>
    <w:rsid w:val="000276F0"/>
    <w:rsid w:val="00031EBA"/>
    <w:rsid w:val="00033256"/>
    <w:rsid w:val="000400C4"/>
    <w:rsid w:val="00042A20"/>
    <w:rsid w:val="00052B8A"/>
    <w:rsid w:val="00055805"/>
    <w:rsid w:val="00057B7B"/>
    <w:rsid w:val="000610A3"/>
    <w:rsid w:val="000626CC"/>
    <w:rsid w:val="000643B5"/>
    <w:rsid w:val="0006511B"/>
    <w:rsid w:val="00065459"/>
    <w:rsid w:val="00066723"/>
    <w:rsid w:val="00073046"/>
    <w:rsid w:val="000753D3"/>
    <w:rsid w:val="0007590E"/>
    <w:rsid w:val="00076790"/>
    <w:rsid w:val="00076931"/>
    <w:rsid w:val="00076F53"/>
    <w:rsid w:val="00077B52"/>
    <w:rsid w:val="0008009C"/>
    <w:rsid w:val="000840CA"/>
    <w:rsid w:val="00084121"/>
    <w:rsid w:val="00090954"/>
    <w:rsid w:val="00090B47"/>
    <w:rsid w:val="00092565"/>
    <w:rsid w:val="00092D5D"/>
    <w:rsid w:val="00094C79"/>
    <w:rsid w:val="000A2F02"/>
    <w:rsid w:val="000A3C68"/>
    <w:rsid w:val="000A3CA0"/>
    <w:rsid w:val="000A3F6B"/>
    <w:rsid w:val="000A4DEC"/>
    <w:rsid w:val="000A687A"/>
    <w:rsid w:val="000A7B29"/>
    <w:rsid w:val="000B06C9"/>
    <w:rsid w:val="000B0A11"/>
    <w:rsid w:val="000C2A58"/>
    <w:rsid w:val="000C2D19"/>
    <w:rsid w:val="000D1ADC"/>
    <w:rsid w:val="000D2762"/>
    <w:rsid w:val="000E008B"/>
    <w:rsid w:val="000E0BFC"/>
    <w:rsid w:val="000E3DF0"/>
    <w:rsid w:val="000E6B27"/>
    <w:rsid w:val="000E776B"/>
    <w:rsid w:val="000F1A59"/>
    <w:rsid w:val="000F4BBD"/>
    <w:rsid w:val="000F61A4"/>
    <w:rsid w:val="000F7D77"/>
    <w:rsid w:val="00101FDB"/>
    <w:rsid w:val="0010254D"/>
    <w:rsid w:val="00107552"/>
    <w:rsid w:val="00111339"/>
    <w:rsid w:val="00112DA2"/>
    <w:rsid w:val="00114682"/>
    <w:rsid w:val="00121972"/>
    <w:rsid w:val="001227DB"/>
    <w:rsid w:val="0012439B"/>
    <w:rsid w:val="00126E64"/>
    <w:rsid w:val="00132216"/>
    <w:rsid w:val="001327CE"/>
    <w:rsid w:val="001334F6"/>
    <w:rsid w:val="0013608D"/>
    <w:rsid w:val="00140678"/>
    <w:rsid w:val="00140A9D"/>
    <w:rsid w:val="00141FF6"/>
    <w:rsid w:val="001423E7"/>
    <w:rsid w:val="0014303A"/>
    <w:rsid w:val="00151FFA"/>
    <w:rsid w:val="00152404"/>
    <w:rsid w:val="00153758"/>
    <w:rsid w:val="001578CD"/>
    <w:rsid w:val="001672BB"/>
    <w:rsid w:val="0017081A"/>
    <w:rsid w:val="00173EBC"/>
    <w:rsid w:val="00180CE0"/>
    <w:rsid w:val="001838C9"/>
    <w:rsid w:val="00185996"/>
    <w:rsid w:val="00186627"/>
    <w:rsid w:val="00190F70"/>
    <w:rsid w:val="00193825"/>
    <w:rsid w:val="00194D51"/>
    <w:rsid w:val="001957EE"/>
    <w:rsid w:val="00195AE1"/>
    <w:rsid w:val="001A0E25"/>
    <w:rsid w:val="001A2B18"/>
    <w:rsid w:val="001A4A99"/>
    <w:rsid w:val="001A666A"/>
    <w:rsid w:val="001A6B0E"/>
    <w:rsid w:val="001A7909"/>
    <w:rsid w:val="001B19A9"/>
    <w:rsid w:val="001C1802"/>
    <w:rsid w:val="001C25CA"/>
    <w:rsid w:val="001C353F"/>
    <w:rsid w:val="001C558D"/>
    <w:rsid w:val="001C7DF6"/>
    <w:rsid w:val="001D08D7"/>
    <w:rsid w:val="001D4856"/>
    <w:rsid w:val="001D4EB4"/>
    <w:rsid w:val="001D58BA"/>
    <w:rsid w:val="001D608A"/>
    <w:rsid w:val="001E299E"/>
    <w:rsid w:val="001E3888"/>
    <w:rsid w:val="001E44D9"/>
    <w:rsid w:val="001E4C77"/>
    <w:rsid w:val="001F2AF7"/>
    <w:rsid w:val="001F4CB8"/>
    <w:rsid w:val="001F7942"/>
    <w:rsid w:val="0020312C"/>
    <w:rsid w:val="00207960"/>
    <w:rsid w:val="00207D05"/>
    <w:rsid w:val="002159F1"/>
    <w:rsid w:val="00215D8F"/>
    <w:rsid w:val="002212AD"/>
    <w:rsid w:val="00224757"/>
    <w:rsid w:val="002317A5"/>
    <w:rsid w:val="002337F7"/>
    <w:rsid w:val="00235E57"/>
    <w:rsid w:val="0023748C"/>
    <w:rsid w:val="002377F2"/>
    <w:rsid w:val="002441F9"/>
    <w:rsid w:val="002447B6"/>
    <w:rsid w:val="002457A4"/>
    <w:rsid w:val="002470F5"/>
    <w:rsid w:val="00251264"/>
    <w:rsid w:val="00251412"/>
    <w:rsid w:val="00254471"/>
    <w:rsid w:val="00262874"/>
    <w:rsid w:val="00263481"/>
    <w:rsid w:val="002658ED"/>
    <w:rsid w:val="002662E3"/>
    <w:rsid w:val="00266E2B"/>
    <w:rsid w:val="00273405"/>
    <w:rsid w:val="00273EE9"/>
    <w:rsid w:val="00274F4E"/>
    <w:rsid w:val="00275549"/>
    <w:rsid w:val="002855CF"/>
    <w:rsid w:val="00286029"/>
    <w:rsid w:val="00286F17"/>
    <w:rsid w:val="002A09A5"/>
    <w:rsid w:val="002A2B5C"/>
    <w:rsid w:val="002A4C01"/>
    <w:rsid w:val="002B0CAC"/>
    <w:rsid w:val="002B1CE3"/>
    <w:rsid w:val="002B5BAF"/>
    <w:rsid w:val="002C0FC3"/>
    <w:rsid w:val="002C1A46"/>
    <w:rsid w:val="002C2E55"/>
    <w:rsid w:val="002C568C"/>
    <w:rsid w:val="002D1B71"/>
    <w:rsid w:val="002D1E38"/>
    <w:rsid w:val="002D1F1E"/>
    <w:rsid w:val="002E426A"/>
    <w:rsid w:val="002E4E6A"/>
    <w:rsid w:val="002E708E"/>
    <w:rsid w:val="003039EF"/>
    <w:rsid w:val="0030503D"/>
    <w:rsid w:val="00305FE9"/>
    <w:rsid w:val="00306CA5"/>
    <w:rsid w:val="0030702B"/>
    <w:rsid w:val="0030737F"/>
    <w:rsid w:val="0030775E"/>
    <w:rsid w:val="00310940"/>
    <w:rsid w:val="00317522"/>
    <w:rsid w:val="003212CE"/>
    <w:rsid w:val="0032148F"/>
    <w:rsid w:val="00321ED1"/>
    <w:rsid w:val="0032319A"/>
    <w:rsid w:val="00323902"/>
    <w:rsid w:val="00324725"/>
    <w:rsid w:val="0032579A"/>
    <w:rsid w:val="00333E58"/>
    <w:rsid w:val="0033772A"/>
    <w:rsid w:val="00337BE9"/>
    <w:rsid w:val="00346C25"/>
    <w:rsid w:val="00352985"/>
    <w:rsid w:val="003551AC"/>
    <w:rsid w:val="00357C85"/>
    <w:rsid w:val="00362560"/>
    <w:rsid w:val="00363974"/>
    <w:rsid w:val="00364B6B"/>
    <w:rsid w:val="00370025"/>
    <w:rsid w:val="003745AA"/>
    <w:rsid w:val="003801E5"/>
    <w:rsid w:val="00381349"/>
    <w:rsid w:val="003863FC"/>
    <w:rsid w:val="00395B99"/>
    <w:rsid w:val="003A1DAC"/>
    <w:rsid w:val="003A2101"/>
    <w:rsid w:val="003A31DE"/>
    <w:rsid w:val="003A56E1"/>
    <w:rsid w:val="003A7794"/>
    <w:rsid w:val="003A78BA"/>
    <w:rsid w:val="003B0665"/>
    <w:rsid w:val="003B72EC"/>
    <w:rsid w:val="003B7CB7"/>
    <w:rsid w:val="003C231E"/>
    <w:rsid w:val="003C4C67"/>
    <w:rsid w:val="003D4A07"/>
    <w:rsid w:val="003D6A9C"/>
    <w:rsid w:val="003D7216"/>
    <w:rsid w:val="003E1056"/>
    <w:rsid w:val="003E289D"/>
    <w:rsid w:val="003E34C8"/>
    <w:rsid w:val="003E4037"/>
    <w:rsid w:val="003E77F5"/>
    <w:rsid w:val="003E7F28"/>
    <w:rsid w:val="003F3800"/>
    <w:rsid w:val="003F5965"/>
    <w:rsid w:val="003F5B12"/>
    <w:rsid w:val="004023CC"/>
    <w:rsid w:val="00406D6A"/>
    <w:rsid w:val="004107D3"/>
    <w:rsid w:val="00413FB2"/>
    <w:rsid w:val="00414C3B"/>
    <w:rsid w:val="004154C8"/>
    <w:rsid w:val="0041592B"/>
    <w:rsid w:val="00417BF1"/>
    <w:rsid w:val="004211CC"/>
    <w:rsid w:val="004215C2"/>
    <w:rsid w:val="00427400"/>
    <w:rsid w:val="00431601"/>
    <w:rsid w:val="00432E79"/>
    <w:rsid w:val="00436AEB"/>
    <w:rsid w:val="00450915"/>
    <w:rsid w:val="00451609"/>
    <w:rsid w:val="00456D8B"/>
    <w:rsid w:val="00457F24"/>
    <w:rsid w:val="00461B37"/>
    <w:rsid w:val="00462703"/>
    <w:rsid w:val="004738B5"/>
    <w:rsid w:val="00475114"/>
    <w:rsid w:val="004774C0"/>
    <w:rsid w:val="00485805"/>
    <w:rsid w:val="00485BB6"/>
    <w:rsid w:val="00490A27"/>
    <w:rsid w:val="00492B12"/>
    <w:rsid w:val="00494F8E"/>
    <w:rsid w:val="00497D6A"/>
    <w:rsid w:val="00497DB0"/>
    <w:rsid w:val="004A5FD0"/>
    <w:rsid w:val="004A60BA"/>
    <w:rsid w:val="004A64D1"/>
    <w:rsid w:val="004B2A80"/>
    <w:rsid w:val="004B4AEE"/>
    <w:rsid w:val="004B4DB5"/>
    <w:rsid w:val="004B584B"/>
    <w:rsid w:val="004B6477"/>
    <w:rsid w:val="004C0E0B"/>
    <w:rsid w:val="004C1480"/>
    <w:rsid w:val="004C4D6B"/>
    <w:rsid w:val="004D1969"/>
    <w:rsid w:val="004D4449"/>
    <w:rsid w:val="004E0F45"/>
    <w:rsid w:val="004E198A"/>
    <w:rsid w:val="004E2834"/>
    <w:rsid w:val="004E2A24"/>
    <w:rsid w:val="004E2FE9"/>
    <w:rsid w:val="004F0B37"/>
    <w:rsid w:val="004F0C0D"/>
    <w:rsid w:val="004F15DB"/>
    <w:rsid w:val="004F200A"/>
    <w:rsid w:val="004F2F0E"/>
    <w:rsid w:val="004F41EF"/>
    <w:rsid w:val="00501FF6"/>
    <w:rsid w:val="00503269"/>
    <w:rsid w:val="00510B8B"/>
    <w:rsid w:val="00511905"/>
    <w:rsid w:val="00512CAD"/>
    <w:rsid w:val="00513468"/>
    <w:rsid w:val="005157B4"/>
    <w:rsid w:val="005168D5"/>
    <w:rsid w:val="00516EBB"/>
    <w:rsid w:val="005171C3"/>
    <w:rsid w:val="00517EF4"/>
    <w:rsid w:val="00525868"/>
    <w:rsid w:val="005301BD"/>
    <w:rsid w:val="0053087E"/>
    <w:rsid w:val="00532C17"/>
    <w:rsid w:val="00536377"/>
    <w:rsid w:val="0055044E"/>
    <w:rsid w:val="00551CFA"/>
    <w:rsid w:val="00552F70"/>
    <w:rsid w:val="00563855"/>
    <w:rsid w:val="005653A5"/>
    <w:rsid w:val="005717E1"/>
    <w:rsid w:val="00571EB3"/>
    <w:rsid w:val="00573289"/>
    <w:rsid w:val="00573E12"/>
    <w:rsid w:val="00576598"/>
    <w:rsid w:val="005821BB"/>
    <w:rsid w:val="00582D9F"/>
    <w:rsid w:val="00584213"/>
    <w:rsid w:val="00584D15"/>
    <w:rsid w:val="00587010"/>
    <w:rsid w:val="0059472F"/>
    <w:rsid w:val="00594EA3"/>
    <w:rsid w:val="005A0E6E"/>
    <w:rsid w:val="005A531E"/>
    <w:rsid w:val="005A73A9"/>
    <w:rsid w:val="005B483F"/>
    <w:rsid w:val="005C0BAB"/>
    <w:rsid w:val="005C38CD"/>
    <w:rsid w:val="005C5B26"/>
    <w:rsid w:val="005D1CBE"/>
    <w:rsid w:val="005D3137"/>
    <w:rsid w:val="005D54CF"/>
    <w:rsid w:val="005D6CA4"/>
    <w:rsid w:val="005D6E01"/>
    <w:rsid w:val="005E21FC"/>
    <w:rsid w:val="005E22D2"/>
    <w:rsid w:val="005E3190"/>
    <w:rsid w:val="005E4D0E"/>
    <w:rsid w:val="005E700E"/>
    <w:rsid w:val="005F1555"/>
    <w:rsid w:val="005F2A59"/>
    <w:rsid w:val="005F5C10"/>
    <w:rsid w:val="005F68D7"/>
    <w:rsid w:val="00601287"/>
    <w:rsid w:val="00607F6F"/>
    <w:rsid w:val="006105DE"/>
    <w:rsid w:val="00615059"/>
    <w:rsid w:val="00625F56"/>
    <w:rsid w:val="00630A52"/>
    <w:rsid w:val="00634C4D"/>
    <w:rsid w:val="00642FBC"/>
    <w:rsid w:val="00643C33"/>
    <w:rsid w:val="00644C54"/>
    <w:rsid w:val="006515A9"/>
    <w:rsid w:val="00653E17"/>
    <w:rsid w:val="00662CAC"/>
    <w:rsid w:val="00662DCC"/>
    <w:rsid w:val="00662F25"/>
    <w:rsid w:val="00670783"/>
    <w:rsid w:val="00673B76"/>
    <w:rsid w:val="00675D54"/>
    <w:rsid w:val="00676179"/>
    <w:rsid w:val="00682C7E"/>
    <w:rsid w:val="00684CD4"/>
    <w:rsid w:val="00692548"/>
    <w:rsid w:val="0069532C"/>
    <w:rsid w:val="006A06DE"/>
    <w:rsid w:val="006A29CE"/>
    <w:rsid w:val="006A368C"/>
    <w:rsid w:val="006A7919"/>
    <w:rsid w:val="006A7A99"/>
    <w:rsid w:val="006B30C3"/>
    <w:rsid w:val="006B79FA"/>
    <w:rsid w:val="006C2912"/>
    <w:rsid w:val="006C367B"/>
    <w:rsid w:val="006C50CB"/>
    <w:rsid w:val="006C7E78"/>
    <w:rsid w:val="006D094B"/>
    <w:rsid w:val="006D5684"/>
    <w:rsid w:val="006D7412"/>
    <w:rsid w:val="006E698F"/>
    <w:rsid w:val="006F1A08"/>
    <w:rsid w:val="006F4B7D"/>
    <w:rsid w:val="00703AD3"/>
    <w:rsid w:val="00710062"/>
    <w:rsid w:val="00710428"/>
    <w:rsid w:val="007104EF"/>
    <w:rsid w:val="00711D32"/>
    <w:rsid w:val="00712D3F"/>
    <w:rsid w:val="007217AA"/>
    <w:rsid w:val="00721889"/>
    <w:rsid w:val="00722186"/>
    <w:rsid w:val="007233CE"/>
    <w:rsid w:val="00725ABD"/>
    <w:rsid w:val="00726AAE"/>
    <w:rsid w:val="00730DB7"/>
    <w:rsid w:val="0073324C"/>
    <w:rsid w:val="007402BF"/>
    <w:rsid w:val="00742D5B"/>
    <w:rsid w:val="00744D03"/>
    <w:rsid w:val="00745BF5"/>
    <w:rsid w:val="007531D6"/>
    <w:rsid w:val="007545D2"/>
    <w:rsid w:val="00765464"/>
    <w:rsid w:val="00766963"/>
    <w:rsid w:val="00770A11"/>
    <w:rsid w:val="00770A4B"/>
    <w:rsid w:val="00771623"/>
    <w:rsid w:val="0077206A"/>
    <w:rsid w:val="007807B5"/>
    <w:rsid w:val="007841FA"/>
    <w:rsid w:val="0078589B"/>
    <w:rsid w:val="00786153"/>
    <w:rsid w:val="00786211"/>
    <w:rsid w:val="00787313"/>
    <w:rsid w:val="0079451A"/>
    <w:rsid w:val="007973FE"/>
    <w:rsid w:val="007A0174"/>
    <w:rsid w:val="007A1203"/>
    <w:rsid w:val="007A45D9"/>
    <w:rsid w:val="007A7FFB"/>
    <w:rsid w:val="007B02CA"/>
    <w:rsid w:val="007B1C19"/>
    <w:rsid w:val="007B28AB"/>
    <w:rsid w:val="007B2FDE"/>
    <w:rsid w:val="007B5835"/>
    <w:rsid w:val="007B65BB"/>
    <w:rsid w:val="007C732D"/>
    <w:rsid w:val="007D5428"/>
    <w:rsid w:val="007E01C2"/>
    <w:rsid w:val="007E349A"/>
    <w:rsid w:val="007E4BD8"/>
    <w:rsid w:val="007E5D66"/>
    <w:rsid w:val="007E6108"/>
    <w:rsid w:val="007F632F"/>
    <w:rsid w:val="007F6CEC"/>
    <w:rsid w:val="007F7AA0"/>
    <w:rsid w:val="0081132C"/>
    <w:rsid w:val="00811FDA"/>
    <w:rsid w:val="00814CE6"/>
    <w:rsid w:val="008150CF"/>
    <w:rsid w:val="00817BE0"/>
    <w:rsid w:val="0082655F"/>
    <w:rsid w:val="00826CA7"/>
    <w:rsid w:val="008301A4"/>
    <w:rsid w:val="00832B89"/>
    <w:rsid w:val="00844974"/>
    <w:rsid w:val="00852FF1"/>
    <w:rsid w:val="0085364C"/>
    <w:rsid w:val="00854DD1"/>
    <w:rsid w:val="00856376"/>
    <w:rsid w:val="0086095A"/>
    <w:rsid w:val="00860CDF"/>
    <w:rsid w:val="00860DA9"/>
    <w:rsid w:val="00864712"/>
    <w:rsid w:val="0086653F"/>
    <w:rsid w:val="008730E4"/>
    <w:rsid w:val="00874C97"/>
    <w:rsid w:val="0088149D"/>
    <w:rsid w:val="00891724"/>
    <w:rsid w:val="00894EF0"/>
    <w:rsid w:val="008A1028"/>
    <w:rsid w:val="008A1B3F"/>
    <w:rsid w:val="008A3ADD"/>
    <w:rsid w:val="008A55C8"/>
    <w:rsid w:val="008A5BE0"/>
    <w:rsid w:val="008A606F"/>
    <w:rsid w:val="008A6323"/>
    <w:rsid w:val="008B0649"/>
    <w:rsid w:val="008B2795"/>
    <w:rsid w:val="008B65FB"/>
    <w:rsid w:val="008C024E"/>
    <w:rsid w:val="008C1A41"/>
    <w:rsid w:val="008C3367"/>
    <w:rsid w:val="008C3CCB"/>
    <w:rsid w:val="008C605B"/>
    <w:rsid w:val="008D3226"/>
    <w:rsid w:val="008D5032"/>
    <w:rsid w:val="008D686C"/>
    <w:rsid w:val="008E24BC"/>
    <w:rsid w:val="008E6FF0"/>
    <w:rsid w:val="008E7A2B"/>
    <w:rsid w:val="008F0180"/>
    <w:rsid w:val="008F3E78"/>
    <w:rsid w:val="008F45CA"/>
    <w:rsid w:val="008F74E2"/>
    <w:rsid w:val="009019E9"/>
    <w:rsid w:val="009021BA"/>
    <w:rsid w:val="00906CCA"/>
    <w:rsid w:val="00914143"/>
    <w:rsid w:val="00915E6F"/>
    <w:rsid w:val="0092134E"/>
    <w:rsid w:val="00922881"/>
    <w:rsid w:val="00923375"/>
    <w:rsid w:val="00924775"/>
    <w:rsid w:val="00934B73"/>
    <w:rsid w:val="00941A5F"/>
    <w:rsid w:val="00941B17"/>
    <w:rsid w:val="00942841"/>
    <w:rsid w:val="009435D3"/>
    <w:rsid w:val="00945FA9"/>
    <w:rsid w:val="009500EF"/>
    <w:rsid w:val="009509F3"/>
    <w:rsid w:val="009510CB"/>
    <w:rsid w:val="00951A76"/>
    <w:rsid w:val="00953906"/>
    <w:rsid w:val="009602DC"/>
    <w:rsid w:val="00960DA5"/>
    <w:rsid w:val="00963EDF"/>
    <w:rsid w:val="009667A6"/>
    <w:rsid w:val="00971638"/>
    <w:rsid w:val="00975830"/>
    <w:rsid w:val="009845A3"/>
    <w:rsid w:val="00985510"/>
    <w:rsid w:val="00985768"/>
    <w:rsid w:val="00986AA9"/>
    <w:rsid w:val="00990236"/>
    <w:rsid w:val="0099048E"/>
    <w:rsid w:val="00991227"/>
    <w:rsid w:val="00991729"/>
    <w:rsid w:val="00992B07"/>
    <w:rsid w:val="00997979"/>
    <w:rsid w:val="009A41F4"/>
    <w:rsid w:val="009A5DA5"/>
    <w:rsid w:val="009A655A"/>
    <w:rsid w:val="009B3D7F"/>
    <w:rsid w:val="009B6CF2"/>
    <w:rsid w:val="009B712C"/>
    <w:rsid w:val="009C0964"/>
    <w:rsid w:val="009C3086"/>
    <w:rsid w:val="009C51C5"/>
    <w:rsid w:val="009C70E6"/>
    <w:rsid w:val="009D0357"/>
    <w:rsid w:val="009D0845"/>
    <w:rsid w:val="009E035A"/>
    <w:rsid w:val="009E7CF0"/>
    <w:rsid w:val="009F02EB"/>
    <w:rsid w:val="009F7D37"/>
    <w:rsid w:val="00A001B5"/>
    <w:rsid w:val="00A05D1A"/>
    <w:rsid w:val="00A066DB"/>
    <w:rsid w:val="00A07047"/>
    <w:rsid w:val="00A106B4"/>
    <w:rsid w:val="00A14789"/>
    <w:rsid w:val="00A20498"/>
    <w:rsid w:val="00A25AFC"/>
    <w:rsid w:val="00A26B21"/>
    <w:rsid w:val="00A44318"/>
    <w:rsid w:val="00A45FF9"/>
    <w:rsid w:val="00A501D5"/>
    <w:rsid w:val="00A528F9"/>
    <w:rsid w:val="00A54F78"/>
    <w:rsid w:val="00A5797F"/>
    <w:rsid w:val="00A63522"/>
    <w:rsid w:val="00A64F96"/>
    <w:rsid w:val="00A650DA"/>
    <w:rsid w:val="00A6519D"/>
    <w:rsid w:val="00A66719"/>
    <w:rsid w:val="00A678D8"/>
    <w:rsid w:val="00A8275B"/>
    <w:rsid w:val="00A8322C"/>
    <w:rsid w:val="00A92144"/>
    <w:rsid w:val="00A932C8"/>
    <w:rsid w:val="00A94967"/>
    <w:rsid w:val="00A979EB"/>
    <w:rsid w:val="00AA32F2"/>
    <w:rsid w:val="00AA341C"/>
    <w:rsid w:val="00AA4F7E"/>
    <w:rsid w:val="00AA7AAB"/>
    <w:rsid w:val="00AA7B0A"/>
    <w:rsid w:val="00AB06FA"/>
    <w:rsid w:val="00AB1DAB"/>
    <w:rsid w:val="00AB3F69"/>
    <w:rsid w:val="00AB4D39"/>
    <w:rsid w:val="00AB58A9"/>
    <w:rsid w:val="00AC0134"/>
    <w:rsid w:val="00AD2683"/>
    <w:rsid w:val="00AD6D9C"/>
    <w:rsid w:val="00AD7F23"/>
    <w:rsid w:val="00AE369C"/>
    <w:rsid w:val="00AE3877"/>
    <w:rsid w:val="00AE4FE7"/>
    <w:rsid w:val="00AE5A44"/>
    <w:rsid w:val="00AE6161"/>
    <w:rsid w:val="00AE78DB"/>
    <w:rsid w:val="00AF2889"/>
    <w:rsid w:val="00AF4377"/>
    <w:rsid w:val="00AF7B6D"/>
    <w:rsid w:val="00B02B85"/>
    <w:rsid w:val="00B02CAE"/>
    <w:rsid w:val="00B032CF"/>
    <w:rsid w:val="00B03FD2"/>
    <w:rsid w:val="00B040F4"/>
    <w:rsid w:val="00B06A88"/>
    <w:rsid w:val="00B06B54"/>
    <w:rsid w:val="00B06BAE"/>
    <w:rsid w:val="00B13B3A"/>
    <w:rsid w:val="00B231CE"/>
    <w:rsid w:val="00B23B40"/>
    <w:rsid w:val="00B25242"/>
    <w:rsid w:val="00B26C68"/>
    <w:rsid w:val="00B30010"/>
    <w:rsid w:val="00B30288"/>
    <w:rsid w:val="00B32436"/>
    <w:rsid w:val="00B40CD3"/>
    <w:rsid w:val="00B41390"/>
    <w:rsid w:val="00B44617"/>
    <w:rsid w:val="00B45E78"/>
    <w:rsid w:val="00B45FBC"/>
    <w:rsid w:val="00B5013F"/>
    <w:rsid w:val="00B501DF"/>
    <w:rsid w:val="00B51071"/>
    <w:rsid w:val="00B539E3"/>
    <w:rsid w:val="00B53ED8"/>
    <w:rsid w:val="00B551E3"/>
    <w:rsid w:val="00B55A60"/>
    <w:rsid w:val="00B56B94"/>
    <w:rsid w:val="00B56F30"/>
    <w:rsid w:val="00B577DA"/>
    <w:rsid w:val="00B57830"/>
    <w:rsid w:val="00B57A5E"/>
    <w:rsid w:val="00B61CA0"/>
    <w:rsid w:val="00B62F28"/>
    <w:rsid w:val="00B65AAF"/>
    <w:rsid w:val="00B665DC"/>
    <w:rsid w:val="00B756B8"/>
    <w:rsid w:val="00B76AE2"/>
    <w:rsid w:val="00B80BA1"/>
    <w:rsid w:val="00B85752"/>
    <w:rsid w:val="00B863A6"/>
    <w:rsid w:val="00B94BF9"/>
    <w:rsid w:val="00B95F70"/>
    <w:rsid w:val="00BA09F8"/>
    <w:rsid w:val="00BA17FA"/>
    <w:rsid w:val="00BA4655"/>
    <w:rsid w:val="00BA5821"/>
    <w:rsid w:val="00BA6518"/>
    <w:rsid w:val="00BB108F"/>
    <w:rsid w:val="00BB2C10"/>
    <w:rsid w:val="00BC05AF"/>
    <w:rsid w:val="00BC1430"/>
    <w:rsid w:val="00BC5BFA"/>
    <w:rsid w:val="00BD0CB3"/>
    <w:rsid w:val="00BD1121"/>
    <w:rsid w:val="00BD1685"/>
    <w:rsid w:val="00BD4E60"/>
    <w:rsid w:val="00BD516C"/>
    <w:rsid w:val="00BE0BE7"/>
    <w:rsid w:val="00BE0F33"/>
    <w:rsid w:val="00BE1790"/>
    <w:rsid w:val="00BE3075"/>
    <w:rsid w:val="00BE3CC2"/>
    <w:rsid w:val="00BF0146"/>
    <w:rsid w:val="00BF17E1"/>
    <w:rsid w:val="00BF3B10"/>
    <w:rsid w:val="00BF42DD"/>
    <w:rsid w:val="00C01777"/>
    <w:rsid w:val="00C03DC2"/>
    <w:rsid w:val="00C0504D"/>
    <w:rsid w:val="00C07C56"/>
    <w:rsid w:val="00C141AD"/>
    <w:rsid w:val="00C15776"/>
    <w:rsid w:val="00C17592"/>
    <w:rsid w:val="00C21C41"/>
    <w:rsid w:val="00C25ACC"/>
    <w:rsid w:val="00C27B12"/>
    <w:rsid w:val="00C31EDE"/>
    <w:rsid w:val="00C3277B"/>
    <w:rsid w:val="00C40889"/>
    <w:rsid w:val="00C47248"/>
    <w:rsid w:val="00C479DB"/>
    <w:rsid w:val="00C50740"/>
    <w:rsid w:val="00C522BA"/>
    <w:rsid w:val="00C53D6F"/>
    <w:rsid w:val="00C543B6"/>
    <w:rsid w:val="00C54BFE"/>
    <w:rsid w:val="00C55F13"/>
    <w:rsid w:val="00C5715F"/>
    <w:rsid w:val="00C57BF0"/>
    <w:rsid w:val="00C65A0E"/>
    <w:rsid w:val="00C720A8"/>
    <w:rsid w:val="00C726FE"/>
    <w:rsid w:val="00C76FB3"/>
    <w:rsid w:val="00C7748D"/>
    <w:rsid w:val="00C8032B"/>
    <w:rsid w:val="00C82509"/>
    <w:rsid w:val="00C85199"/>
    <w:rsid w:val="00C87343"/>
    <w:rsid w:val="00C92CA9"/>
    <w:rsid w:val="00CA1800"/>
    <w:rsid w:val="00CA3D0A"/>
    <w:rsid w:val="00CB32A7"/>
    <w:rsid w:val="00CB754A"/>
    <w:rsid w:val="00CC108A"/>
    <w:rsid w:val="00CC30AF"/>
    <w:rsid w:val="00CC7A02"/>
    <w:rsid w:val="00CD1D09"/>
    <w:rsid w:val="00CD56E2"/>
    <w:rsid w:val="00CE3A02"/>
    <w:rsid w:val="00CE5DBD"/>
    <w:rsid w:val="00CE6404"/>
    <w:rsid w:val="00CF4DC4"/>
    <w:rsid w:val="00D00E93"/>
    <w:rsid w:val="00D019CC"/>
    <w:rsid w:val="00D01CF5"/>
    <w:rsid w:val="00D03039"/>
    <w:rsid w:val="00D05BB6"/>
    <w:rsid w:val="00D06C67"/>
    <w:rsid w:val="00D07A51"/>
    <w:rsid w:val="00D11E3A"/>
    <w:rsid w:val="00D12363"/>
    <w:rsid w:val="00D141B9"/>
    <w:rsid w:val="00D16EC4"/>
    <w:rsid w:val="00D20E1D"/>
    <w:rsid w:val="00D301B6"/>
    <w:rsid w:val="00D3451B"/>
    <w:rsid w:val="00D36DE1"/>
    <w:rsid w:val="00D479D5"/>
    <w:rsid w:val="00D54AB7"/>
    <w:rsid w:val="00D644FB"/>
    <w:rsid w:val="00D65D0E"/>
    <w:rsid w:val="00D74C8C"/>
    <w:rsid w:val="00D76EC6"/>
    <w:rsid w:val="00D8490D"/>
    <w:rsid w:val="00D84BAC"/>
    <w:rsid w:val="00D85432"/>
    <w:rsid w:val="00D864C0"/>
    <w:rsid w:val="00D86876"/>
    <w:rsid w:val="00D87798"/>
    <w:rsid w:val="00D916AA"/>
    <w:rsid w:val="00D94F14"/>
    <w:rsid w:val="00D95C1E"/>
    <w:rsid w:val="00D960A8"/>
    <w:rsid w:val="00DA7694"/>
    <w:rsid w:val="00DB39B3"/>
    <w:rsid w:val="00DB6B70"/>
    <w:rsid w:val="00DB77E5"/>
    <w:rsid w:val="00DC0068"/>
    <w:rsid w:val="00DC016F"/>
    <w:rsid w:val="00DC594F"/>
    <w:rsid w:val="00DD018F"/>
    <w:rsid w:val="00DD042F"/>
    <w:rsid w:val="00DD145F"/>
    <w:rsid w:val="00DD165B"/>
    <w:rsid w:val="00DD3B6E"/>
    <w:rsid w:val="00DD6800"/>
    <w:rsid w:val="00DD7541"/>
    <w:rsid w:val="00DD756E"/>
    <w:rsid w:val="00DE039D"/>
    <w:rsid w:val="00DE1A54"/>
    <w:rsid w:val="00DE4719"/>
    <w:rsid w:val="00DF0D25"/>
    <w:rsid w:val="00DF1F9C"/>
    <w:rsid w:val="00DF2594"/>
    <w:rsid w:val="00E02EDF"/>
    <w:rsid w:val="00E04A07"/>
    <w:rsid w:val="00E059A9"/>
    <w:rsid w:val="00E0755A"/>
    <w:rsid w:val="00E10EEA"/>
    <w:rsid w:val="00E16776"/>
    <w:rsid w:val="00E1692E"/>
    <w:rsid w:val="00E1729A"/>
    <w:rsid w:val="00E17E65"/>
    <w:rsid w:val="00E2050D"/>
    <w:rsid w:val="00E3218C"/>
    <w:rsid w:val="00E32E90"/>
    <w:rsid w:val="00E34535"/>
    <w:rsid w:val="00E350CD"/>
    <w:rsid w:val="00E42454"/>
    <w:rsid w:val="00E454C2"/>
    <w:rsid w:val="00E46EBC"/>
    <w:rsid w:val="00E50E95"/>
    <w:rsid w:val="00E5164B"/>
    <w:rsid w:val="00E52942"/>
    <w:rsid w:val="00E54957"/>
    <w:rsid w:val="00E62503"/>
    <w:rsid w:val="00E62AEF"/>
    <w:rsid w:val="00E63D3D"/>
    <w:rsid w:val="00E65443"/>
    <w:rsid w:val="00E71546"/>
    <w:rsid w:val="00E7527A"/>
    <w:rsid w:val="00E75B15"/>
    <w:rsid w:val="00E76268"/>
    <w:rsid w:val="00E76B62"/>
    <w:rsid w:val="00E76EE1"/>
    <w:rsid w:val="00E770D7"/>
    <w:rsid w:val="00E81F72"/>
    <w:rsid w:val="00E84B55"/>
    <w:rsid w:val="00E870EB"/>
    <w:rsid w:val="00E90AFE"/>
    <w:rsid w:val="00EA0987"/>
    <w:rsid w:val="00EA4EDF"/>
    <w:rsid w:val="00EA5644"/>
    <w:rsid w:val="00EA6B24"/>
    <w:rsid w:val="00EB403B"/>
    <w:rsid w:val="00EB4261"/>
    <w:rsid w:val="00EB4AB3"/>
    <w:rsid w:val="00EB6C94"/>
    <w:rsid w:val="00EC48CC"/>
    <w:rsid w:val="00EC5C7D"/>
    <w:rsid w:val="00EC7850"/>
    <w:rsid w:val="00ED04F8"/>
    <w:rsid w:val="00ED46B6"/>
    <w:rsid w:val="00EE41B1"/>
    <w:rsid w:val="00EE7401"/>
    <w:rsid w:val="00EF4407"/>
    <w:rsid w:val="00EF5EE7"/>
    <w:rsid w:val="00EF68AC"/>
    <w:rsid w:val="00EF6EF1"/>
    <w:rsid w:val="00F00E47"/>
    <w:rsid w:val="00F01D36"/>
    <w:rsid w:val="00F03ABF"/>
    <w:rsid w:val="00F0455F"/>
    <w:rsid w:val="00F221DC"/>
    <w:rsid w:val="00F255FF"/>
    <w:rsid w:val="00F25A0A"/>
    <w:rsid w:val="00F2608D"/>
    <w:rsid w:val="00F35ACA"/>
    <w:rsid w:val="00F36521"/>
    <w:rsid w:val="00F36C83"/>
    <w:rsid w:val="00F41D83"/>
    <w:rsid w:val="00F468F2"/>
    <w:rsid w:val="00F50379"/>
    <w:rsid w:val="00F507DB"/>
    <w:rsid w:val="00F5582B"/>
    <w:rsid w:val="00F560A6"/>
    <w:rsid w:val="00F653DE"/>
    <w:rsid w:val="00F7039E"/>
    <w:rsid w:val="00F70927"/>
    <w:rsid w:val="00F7134F"/>
    <w:rsid w:val="00F71373"/>
    <w:rsid w:val="00F713EC"/>
    <w:rsid w:val="00F732B8"/>
    <w:rsid w:val="00F741A7"/>
    <w:rsid w:val="00F8652B"/>
    <w:rsid w:val="00F8718B"/>
    <w:rsid w:val="00F87818"/>
    <w:rsid w:val="00F92A4A"/>
    <w:rsid w:val="00F9698D"/>
    <w:rsid w:val="00F96BC1"/>
    <w:rsid w:val="00FA0DDF"/>
    <w:rsid w:val="00FA147E"/>
    <w:rsid w:val="00FA2A00"/>
    <w:rsid w:val="00FA4B55"/>
    <w:rsid w:val="00FB1B6F"/>
    <w:rsid w:val="00FB1DB0"/>
    <w:rsid w:val="00FB31DF"/>
    <w:rsid w:val="00FB5BE0"/>
    <w:rsid w:val="00FC02A9"/>
    <w:rsid w:val="00FC060D"/>
    <w:rsid w:val="00FC2341"/>
    <w:rsid w:val="00FC4AEE"/>
    <w:rsid w:val="00FC672E"/>
    <w:rsid w:val="00FC6CE4"/>
    <w:rsid w:val="00FC7A6B"/>
    <w:rsid w:val="00FD1E6B"/>
    <w:rsid w:val="00FD247C"/>
    <w:rsid w:val="00FD2C12"/>
    <w:rsid w:val="00FD2E1C"/>
    <w:rsid w:val="00FD46DA"/>
    <w:rsid w:val="00FE21AF"/>
    <w:rsid w:val="00FE5E27"/>
    <w:rsid w:val="00FE5E3B"/>
    <w:rsid w:val="00FE7278"/>
    <w:rsid w:val="00FF37E6"/>
    <w:rsid w:val="00FF3ADC"/>
    <w:rsid w:val="00FF41DA"/>
    <w:rsid w:val="00FF4533"/>
    <w:rsid w:val="00FF7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22F8"/>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5A673-6421-40C5-A218-399C13F7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Sevelia Nghitumbwa</cp:lastModifiedBy>
  <cp:revision>11</cp:revision>
  <cp:lastPrinted>2019-04-09T07:49:00Z</cp:lastPrinted>
  <dcterms:created xsi:type="dcterms:W3CDTF">2019-04-03T09:27:00Z</dcterms:created>
  <dcterms:modified xsi:type="dcterms:W3CDTF">2019-04-10T12:57:00Z</dcterms:modified>
</cp:coreProperties>
</file>