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411C91" w:rsidP="00FF4712">
      <w:pPr>
        <w:spacing w:after="0" w:line="480" w:lineRule="auto"/>
        <w:jc w:val="right"/>
        <w:rPr>
          <w:rFonts w:ascii="Arial" w:hAnsi="Arial" w:cs="Arial"/>
          <w:b/>
          <w:sz w:val="24"/>
          <w:szCs w:val="24"/>
        </w:rPr>
      </w:pPr>
      <w:r>
        <w:rPr>
          <w:rFonts w:ascii="Arial" w:hAnsi="Arial" w:cs="Arial"/>
          <w:b/>
          <w:sz w:val="24"/>
          <w:szCs w:val="24"/>
        </w:rPr>
        <w:t xml:space="preserve">NOT </w:t>
      </w:r>
      <w:r w:rsidR="00FF4712"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362C44">
        <w:rPr>
          <w:rFonts w:ascii="Arial" w:hAnsi="Arial" w:cs="Arial"/>
          <w:sz w:val="24"/>
          <w:szCs w:val="24"/>
        </w:rPr>
        <w:t>1</w:t>
      </w:r>
      <w:r w:rsidR="00E23950">
        <w:rPr>
          <w:rFonts w:ascii="Arial" w:hAnsi="Arial" w:cs="Arial"/>
          <w:sz w:val="24"/>
          <w:szCs w:val="24"/>
        </w:rPr>
        <w:t>3</w:t>
      </w:r>
      <w:r>
        <w:rPr>
          <w:rFonts w:ascii="Arial" w:hAnsi="Arial" w:cs="Arial"/>
          <w:sz w:val="24"/>
          <w:szCs w:val="24"/>
        </w:rPr>
        <w:t>/20</w:t>
      </w:r>
      <w:r w:rsidR="00E23950">
        <w:rPr>
          <w:rFonts w:ascii="Arial" w:hAnsi="Arial" w:cs="Arial"/>
          <w:sz w:val="24"/>
          <w:szCs w:val="24"/>
        </w:rPr>
        <w:t>1</w:t>
      </w:r>
      <w:r w:rsidR="00362C44">
        <w:rPr>
          <w:rFonts w:ascii="Arial" w:hAnsi="Arial" w:cs="Arial"/>
          <w:sz w:val="24"/>
          <w:szCs w:val="24"/>
        </w:rPr>
        <w:t>8</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071598">
        <w:tc>
          <w:tcPr>
            <w:tcW w:w="5821" w:type="dxa"/>
            <w:shd w:val="clear" w:color="auto" w:fill="auto"/>
          </w:tcPr>
          <w:p w:rsidR="009D3D25" w:rsidRPr="00500CF6" w:rsidRDefault="00411C91" w:rsidP="00E23950">
            <w:pPr>
              <w:spacing w:line="480" w:lineRule="auto"/>
              <w:ind w:left="-108"/>
              <w:jc w:val="both"/>
              <w:rPr>
                <w:rFonts w:ascii="Arial" w:hAnsi="Arial" w:cs="Arial"/>
                <w:b/>
                <w:sz w:val="24"/>
                <w:szCs w:val="24"/>
              </w:rPr>
            </w:pPr>
            <w:r>
              <w:rPr>
                <w:rFonts w:ascii="Arial" w:hAnsi="Arial" w:cs="Arial"/>
                <w:b/>
                <w:sz w:val="24"/>
                <w:szCs w:val="24"/>
              </w:rPr>
              <w:t>JOHANNES JACOBUS VAN ZYL</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rsidTr="00071598">
        <w:tc>
          <w:tcPr>
            <w:tcW w:w="5821" w:type="dxa"/>
            <w:shd w:val="clear" w:color="auto" w:fill="auto"/>
          </w:tcPr>
          <w:p w:rsidR="009D3D25" w:rsidRDefault="00497E6D"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CA736C" w:rsidRPr="00500CF6" w:rsidTr="00071598">
        <w:tc>
          <w:tcPr>
            <w:tcW w:w="5821" w:type="dxa"/>
            <w:shd w:val="clear" w:color="auto" w:fill="auto"/>
          </w:tcPr>
          <w:p w:rsidR="00CA736C" w:rsidRDefault="00411C91" w:rsidP="00AE7816">
            <w:pPr>
              <w:spacing w:line="480" w:lineRule="auto"/>
              <w:ind w:left="-108"/>
              <w:jc w:val="both"/>
              <w:rPr>
                <w:rFonts w:ascii="Arial" w:hAnsi="Arial" w:cs="Arial"/>
                <w:b/>
                <w:sz w:val="24"/>
                <w:szCs w:val="24"/>
              </w:rPr>
            </w:pPr>
            <w:r>
              <w:rPr>
                <w:rFonts w:ascii="Arial" w:hAnsi="Arial" w:cs="Arial"/>
                <w:b/>
                <w:sz w:val="24"/>
                <w:szCs w:val="24"/>
              </w:rPr>
              <w:t>BARGAIN BUILDING SUPPLIES CLOSE CORPORATION</w:t>
            </w:r>
          </w:p>
          <w:p w:rsidR="00CA736C" w:rsidRDefault="00411C91" w:rsidP="00071598">
            <w:pPr>
              <w:spacing w:line="360" w:lineRule="auto"/>
              <w:ind w:left="-108"/>
              <w:rPr>
                <w:rFonts w:ascii="Arial" w:hAnsi="Arial" w:cs="Arial"/>
                <w:b/>
                <w:sz w:val="24"/>
                <w:szCs w:val="24"/>
              </w:rPr>
            </w:pPr>
            <w:r>
              <w:rPr>
                <w:rFonts w:ascii="Arial" w:hAnsi="Arial" w:cs="Arial"/>
                <w:b/>
                <w:sz w:val="24"/>
                <w:szCs w:val="24"/>
              </w:rPr>
              <w:t>GRAEME WELLS</w:t>
            </w:r>
          </w:p>
          <w:p w:rsidR="00CA736C" w:rsidRPr="009D3D25" w:rsidRDefault="00CA736C" w:rsidP="00CA736C">
            <w:pPr>
              <w:spacing w:after="0" w:line="480" w:lineRule="auto"/>
              <w:ind w:left="-108"/>
              <w:jc w:val="both"/>
              <w:rPr>
                <w:rFonts w:ascii="Arial" w:hAnsi="Arial" w:cs="Arial"/>
                <w:b/>
                <w:sz w:val="24"/>
                <w:szCs w:val="24"/>
              </w:rPr>
            </w:pPr>
          </w:p>
        </w:tc>
        <w:tc>
          <w:tcPr>
            <w:tcW w:w="2967" w:type="dxa"/>
            <w:shd w:val="clear" w:color="auto" w:fill="auto"/>
          </w:tcPr>
          <w:p w:rsidR="00CA736C" w:rsidRDefault="00CA736C" w:rsidP="00071598">
            <w:pPr>
              <w:spacing w:line="360" w:lineRule="auto"/>
              <w:jc w:val="right"/>
              <w:rPr>
                <w:rFonts w:ascii="Arial" w:hAnsi="Arial" w:cs="Arial"/>
                <w:b/>
                <w:sz w:val="24"/>
                <w:szCs w:val="24"/>
              </w:rPr>
            </w:pPr>
          </w:p>
          <w:p w:rsidR="00CA736C" w:rsidRDefault="00CA736C" w:rsidP="00071598">
            <w:pPr>
              <w:spacing w:line="360" w:lineRule="auto"/>
              <w:jc w:val="right"/>
              <w:rPr>
                <w:rFonts w:ascii="Arial" w:hAnsi="Arial" w:cs="Arial"/>
                <w:b/>
                <w:sz w:val="24"/>
                <w:szCs w:val="24"/>
              </w:rPr>
            </w:pPr>
            <w:r>
              <w:rPr>
                <w:rFonts w:ascii="Arial" w:hAnsi="Arial" w:cs="Arial"/>
                <w:b/>
                <w:sz w:val="24"/>
                <w:szCs w:val="24"/>
              </w:rPr>
              <w:t>First Respondent</w:t>
            </w:r>
          </w:p>
          <w:p w:rsidR="00CA736C" w:rsidRDefault="00CA736C" w:rsidP="00071598">
            <w:pPr>
              <w:spacing w:after="0" w:line="480" w:lineRule="auto"/>
              <w:jc w:val="right"/>
              <w:rPr>
                <w:rFonts w:ascii="Arial" w:hAnsi="Arial" w:cs="Arial"/>
                <w:b/>
                <w:sz w:val="24"/>
                <w:szCs w:val="24"/>
              </w:rPr>
            </w:pPr>
            <w:r>
              <w:rPr>
                <w:rFonts w:ascii="Arial" w:hAnsi="Arial" w:cs="Arial"/>
                <w:b/>
                <w:sz w:val="24"/>
                <w:szCs w:val="24"/>
              </w:rPr>
              <w:t>Second Respondent</w:t>
            </w:r>
          </w:p>
          <w:p w:rsidR="00CA736C" w:rsidRPr="00500CF6" w:rsidRDefault="00CA736C" w:rsidP="00071598">
            <w:pPr>
              <w:spacing w:after="0" w:line="480" w:lineRule="auto"/>
              <w:jc w:val="both"/>
              <w:rPr>
                <w:rFonts w:ascii="Arial" w:hAnsi="Arial" w:cs="Arial"/>
                <w:b/>
                <w:sz w:val="24"/>
                <w:szCs w:val="24"/>
              </w:rPr>
            </w:pP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MAINGA JA</w:t>
      </w:r>
      <w:r w:rsidR="00411C91">
        <w:rPr>
          <w:rFonts w:ascii="Arial" w:hAnsi="Arial" w:cs="Arial"/>
          <w:sz w:val="24"/>
          <w:szCs w:val="24"/>
        </w:rPr>
        <w:t>,</w:t>
      </w:r>
      <w:r w:rsidR="00B74507">
        <w:rPr>
          <w:rFonts w:ascii="Arial" w:hAnsi="Arial" w:cs="Arial"/>
          <w:sz w:val="24"/>
          <w:szCs w:val="24"/>
        </w:rPr>
        <w:t xml:space="preserve"> </w:t>
      </w:r>
      <w:r w:rsidR="00411C91">
        <w:rPr>
          <w:rFonts w:ascii="Arial" w:hAnsi="Arial" w:cs="Arial"/>
          <w:sz w:val="24"/>
          <w:szCs w:val="24"/>
        </w:rPr>
        <w:t xml:space="preserve">HOFF JA </w:t>
      </w:r>
      <w:r w:rsidR="00BE3226">
        <w:rPr>
          <w:rFonts w:ascii="Arial" w:hAnsi="Arial" w:cs="Arial"/>
          <w:sz w:val="24"/>
          <w:szCs w:val="24"/>
        </w:rPr>
        <w:t>and</w:t>
      </w:r>
      <w:r w:rsidR="00E23950">
        <w:rPr>
          <w:rFonts w:ascii="Arial" w:hAnsi="Arial" w:cs="Arial"/>
          <w:sz w:val="24"/>
          <w:szCs w:val="24"/>
        </w:rPr>
        <w:t xml:space="preserve"> </w:t>
      </w:r>
      <w:r w:rsidR="00411C91">
        <w:rPr>
          <w:rFonts w:ascii="Arial" w:hAnsi="Arial" w:cs="Arial"/>
          <w:sz w:val="24"/>
          <w:szCs w:val="24"/>
        </w:rPr>
        <w:t>FRANK</w:t>
      </w:r>
      <w:r w:rsidR="00E23950">
        <w:rPr>
          <w:rFonts w:ascii="Arial" w:hAnsi="Arial" w:cs="Arial"/>
          <w:sz w:val="24"/>
          <w:szCs w:val="24"/>
        </w:rPr>
        <w:t xml:space="preserve"> </w:t>
      </w:r>
      <w:r w:rsidR="00411C91">
        <w:rPr>
          <w:rFonts w:ascii="Arial" w:hAnsi="Arial" w:cs="Arial"/>
          <w:sz w:val="24"/>
          <w:szCs w:val="24"/>
        </w:rPr>
        <w:t>A</w:t>
      </w:r>
      <w:r w:rsidR="00E23950">
        <w:rPr>
          <w:rFonts w:ascii="Arial" w:hAnsi="Arial" w:cs="Arial"/>
          <w:sz w:val="24"/>
          <w:szCs w:val="24"/>
        </w:rPr>
        <w:t>JA</w:t>
      </w:r>
      <w:r w:rsidR="00BE3226">
        <w:rPr>
          <w:rFonts w:ascii="Arial" w:hAnsi="Arial" w:cs="Arial"/>
          <w:sz w:val="24"/>
          <w:szCs w:val="24"/>
        </w:rPr>
        <w:t xml:space="preserve"> </w:t>
      </w:r>
      <w:r>
        <w:rPr>
          <w:rFonts w:ascii="Arial" w:hAnsi="Arial" w:cs="Arial"/>
          <w:sz w:val="24"/>
          <w:szCs w:val="24"/>
        </w:rPr>
        <w:t xml:space="preserve">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7C66F3">
        <w:rPr>
          <w:rFonts w:ascii="Arial" w:hAnsi="Arial" w:cs="Arial"/>
          <w:b/>
          <w:sz w:val="24"/>
          <w:szCs w:val="24"/>
        </w:rPr>
        <w:t>2</w:t>
      </w:r>
      <w:r w:rsidR="00411C91">
        <w:rPr>
          <w:rFonts w:ascii="Arial" w:hAnsi="Arial" w:cs="Arial"/>
          <w:b/>
          <w:sz w:val="24"/>
          <w:szCs w:val="24"/>
        </w:rPr>
        <w:t>2</w:t>
      </w:r>
      <w:r w:rsidR="007C66F3">
        <w:rPr>
          <w:rFonts w:ascii="Arial" w:hAnsi="Arial" w:cs="Arial"/>
          <w:b/>
          <w:sz w:val="24"/>
          <w:szCs w:val="24"/>
        </w:rPr>
        <w:t xml:space="preserve"> </w:t>
      </w:r>
      <w:r w:rsidR="00411C91">
        <w:rPr>
          <w:rFonts w:ascii="Arial" w:hAnsi="Arial" w:cs="Arial"/>
          <w:b/>
          <w:sz w:val="24"/>
          <w:szCs w:val="24"/>
        </w:rPr>
        <w:t>October</w:t>
      </w:r>
      <w:r w:rsidRPr="00594B41">
        <w:rPr>
          <w:rFonts w:ascii="Arial" w:hAnsi="Arial" w:cs="Arial"/>
          <w:b/>
          <w:sz w:val="24"/>
          <w:szCs w:val="24"/>
        </w:rPr>
        <w:t xml:space="preserve"> 201</w:t>
      </w:r>
      <w:r w:rsidR="007C66F3">
        <w:rPr>
          <w:rFonts w:ascii="Arial" w:hAnsi="Arial" w:cs="Arial"/>
          <w:b/>
          <w:sz w:val="24"/>
          <w:szCs w:val="24"/>
        </w:rPr>
        <w:t>9</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026306">
        <w:rPr>
          <w:rFonts w:ascii="Arial" w:hAnsi="Arial" w:cs="Arial"/>
          <w:b/>
          <w:sz w:val="24"/>
          <w:szCs w:val="24"/>
        </w:rPr>
        <w:t xml:space="preserve">19 </w:t>
      </w:r>
      <w:r w:rsidR="00411C91">
        <w:rPr>
          <w:rFonts w:ascii="Arial" w:hAnsi="Arial" w:cs="Arial"/>
          <w:b/>
          <w:sz w:val="24"/>
          <w:szCs w:val="24"/>
        </w:rPr>
        <w:t>Novem</w:t>
      </w:r>
      <w:r w:rsidR="001670B9">
        <w:rPr>
          <w:rFonts w:ascii="Arial" w:hAnsi="Arial" w:cs="Arial"/>
          <w:b/>
          <w:sz w:val="24"/>
          <w:szCs w:val="24"/>
        </w:rPr>
        <w:t xml:space="preserve">ber </w:t>
      </w:r>
      <w:r w:rsidR="00F95355">
        <w:rPr>
          <w:rFonts w:ascii="Arial" w:hAnsi="Arial" w:cs="Arial"/>
          <w:b/>
          <w:sz w:val="24"/>
          <w:szCs w:val="24"/>
        </w:rPr>
        <w:t>2</w:t>
      </w:r>
      <w:r w:rsidR="004F55D7">
        <w:rPr>
          <w:rFonts w:ascii="Arial" w:hAnsi="Arial" w:cs="Arial"/>
          <w:b/>
          <w:sz w:val="24"/>
          <w:szCs w:val="24"/>
        </w:rPr>
        <w:t>01</w:t>
      </w:r>
      <w:r w:rsidR="007C66F3">
        <w:rPr>
          <w:rFonts w:ascii="Arial" w:hAnsi="Arial" w:cs="Arial"/>
          <w:b/>
          <w:sz w:val="24"/>
          <w:szCs w:val="24"/>
        </w:rPr>
        <w:t>9</w:t>
      </w:r>
    </w:p>
    <w:p w:rsidR="00E41F9F" w:rsidRDefault="00E41F9F" w:rsidP="006018B8">
      <w:pPr>
        <w:spacing w:after="0" w:line="360" w:lineRule="auto"/>
        <w:jc w:val="both"/>
        <w:rPr>
          <w:rFonts w:ascii="Arial" w:hAnsi="Arial" w:cs="Arial"/>
          <w:b/>
          <w:sz w:val="24"/>
          <w:szCs w:val="24"/>
        </w:rPr>
      </w:pPr>
    </w:p>
    <w:p w:rsidR="00BB6BD3" w:rsidRDefault="00545BB4" w:rsidP="00BB6BD3">
      <w:pPr>
        <w:spacing w:after="0" w:line="360" w:lineRule="auto"/>
        <w:jc w:val="both"/>
        <w:rPr>
          <w:rFonts w:ascii="Arial" w:hAnsi="Arial" w:cs="Arial"/>
          <w:sz w:val="24"/>
          <w:szCs w:val="24"/>
        </w:rPr>
      </w:pPr>
      <w:r w:rsidRPr="008F3109">
        <w:rPr>
          <w:rFonts w:ascii="Arial" w:hAnsi="Arial" w:cs="Arial"/>
          <w:b/>
          <w:sz w:val="24"/>
          <w:szCs w:val="24"/>
        </w:rPr>
        <w:t xml:space="preserve">Summary: </w:t>
      </w:r>
      <w:r w:rsidR="00BB6BD3">
        <w:rPr>
          <w:rFonts w:ascii="Arial" w:hAnsi="Arial" w:cs="Arial"/>
          <w:sz w:val="24"/>
          <w:szCs w:val="24"/>
        </w:rPr>
        <w:t xml:space="preserve">During October 2015 at Gobabis, the first respondent represented by the second respondent and appellant entered into a partly oral, partly written agreement. The terms of the agreement were that, appellant undertook to manufacture and erect a shed for the respondents </w:t>
      </w:r>
      <w:r w:rsidR="00023DE1" w:rsidRPr="00427859">
        <w:rPr>
          <w:rFonts w:ascii="Arial" w:hAnsi="Arial" w:cs="Arial"/>
          <w:color w:val="000000" w:themeColor="text1"/>
          <w:sz w:val="24"/>
          <w:szCs w:val="24"/>
        </w:rPr>
        <w:t>at</w:t>
      </w:r>
      <w:r w:rsidR="00023DE1">
        <w:rPr>
          <w:rFonts w:ascii="Arial" w:hAnsi="Arial" w:cs="Arial"/>
          <w:color w:val="FF0000"/>
          <w:sz w:val="24"/>
          <w:szCs w:val="24"/>
        </w:rPr>
        <w:t xml:space="preserve"> </w:t>
      </w:r>
      <w:r w:rsidR="00BB6BD3">
        <w:rPr>
          <w:rFonts w:ascii="Arial" w:hAnsi="Arial" w:cs="Arial"/>
          <w:sz w:val="24"/>
          <w:szCs w:val="24"/>
        </w:rPr>
        <w:t xml:space="preserve">the respondents’ instance and request at the first respondent’s business premises, including laying the foundation for the shed and the overall completion of the metal construction. The respondents undertook to pay the appellant the amount of N$60 000 for his labour and they </w:t>
      </w:r>
      <w:r w:rsidR="00BB6BD3">
        <w:rPr>
          <w:rFonts w:ascii="Arial" w:hAnsi="Arial" w:cs="Arial"/>
          <w:sz w:val="24"/>
          <w:szCs w:val="24"/>
        </w:rPr>
        <w:lastRenderedPageBreak/>
        <w:t>further undertook to supply him with the necessary materials needed to complete the manufacture and erection of the shed.</w:t>
      </w:r>
    </w:p>
    <w:p w:rsidR="00BB6BD3" w:rsidRDefault="00BB6BD3" w:rsidP="00BB6BD3">
      <w:pPr>
        <w:spacing w:after="0" w:line="360" w:lineRule="auto"/>
        <w:jc w:val="both"/>
        <w:rPr>
          <w:rFonts w:ascii="Arial" w:hAnsi="Arial" w:cs="Arial"/>
          <w:sz w:val="24"/>
          <w:szCs w:val="24"/>
        </w:rPr>
      </w:pPr>
    </w:p>
    <w:p w:rsidR="00BB6BD3" w:rsidRDefault="00BB6BD3" w:rsidP="00BB6BD3">
      <w:pPr>
        <w:spacing w:after="0" w:line="360" w:lineRule="auto"/>
        <w:jc w:val="both"/>
        <w:rPr>
          <w:rFonts w:ascii="Arial" w:hAnsi="Arial" w:cs="Arial"/>
          <w:sz w:val="24"/>
          <w:szCs w:val="24"/>
        </w:rPr>
      </w:pPr>
      <w:r>
        <w:rPr>
          <w:rFonts w:ascii="Arial" w:hAnsi="Arial" w:cs="Arial"/>
          <w:sz w:val="24"/>
          <w:szCs w:val="24"/>
        </w:rPr>
        <w:t>During November and December 2015 and January 2016, respondents delivered the ‘necessary’ materials to the value of N$204 469,23 to the appellant. To their claim</w:t>
      </w:r>
      <w:r w:rsidR="00722CDE">
        <w:rPr>
          <w:rFonts w:ascii="Arial" w:hAnsi="Arial" w:cs="Arial"/>
          <w:sz w:val="24"/>
          <w:szCs w:val="24"/>
        </w:rPr>
        <w:t>,</w:t>
      </w:r>
      <w:r>
        <w:rPr>
          <w:rFonts w:ascii="Arial" w:hAnsi="Arial" w:cs="Arial"/>
          <w:sz w:val="24"/>
          <w:szCs w:val="24"/>
        </w:rPr>
        <w:t xml:space="preserve"> respondents attached an undated letter received from the appellant’s son acknowledging that the appellant received the ‘necessary’ materials to complete the project as per their agreement.  The agreement was never fulfilled, despite the respondents’ legal practitioners sending a letter of demand to the appellant on 8 November 2016.  As a result, the respondents cancelled the agreement, issued summons and sought payment of N$204 469,23 with interest thereon calculated at a rate of 20% per annum a </w:t>
      </w:r>
      <w:r w:rsidRPr="00A36840">
        <w:rPr>
          <w:rFonts w:ascii="Arial" w:hAnsi="Arial" w:cs="Arial"/>
          <w:i/>
          <w:sz w:val="24"/>
          <w:szCs w:val="24"/>
        </w:rPr>
        <w:t>tempore morae</w:t>
      </w:r>
      <w:r>
        <w:rPr>
          <w:rFonts w:ascii="Arial" w:hAnsi="Arial" w:cs="Arial"/>
          <w:sz w:val="24"/>
          <w:szCs w:val="24"/>
        </w:rPr>
        <w:t xml:space="preserve"> to the date of final payment and costs of suit.  </w:t>
      </w:r>
    </w:p>
    <w:p w:rsidR="00BB6BD3" w:rsidRDefault="00BB6BD3" w:rsidP="00BB6BD3">
      <w:pPr>
        <w:spacing w:after="0" w:line="360" w:lineRule="auto"/>
        <w:jc w:val="both"/>
        <w:rPr>
          <w:rFonts w:ascii="Arial" w:hAnsi="Arial" w:cs="Arial"/>
          <w:sz w:val="24"/>
          <w:szCs w:val="24"/>
        </w:rPr>
      </w:pPr>
    </w:p>
    <w:p w:rsidR="00BB6BD3" w:rsidRDefault="00BB6BD3" w:rsidP="00BB6BD3">
      <w:pPr>
        <w:spacing w:after="0" w:line="360" w:lineRule="auto"/>
        <w:jc w:val="both"/>
        <w:rPr>
          <w:rFonts w:ascii="Arial" w:hAnsi="Arial" w:cs="Arial"/>
          <w:sz w:val="24"/>
          <w:szCs w:val="24"/>
        </w:rPr>
      </w:pPr>
      <w:r>
        <w:rPr>
          <w:rFonts w:ascii="Arial" w:hAnsi="Arial" w:cs="Arial"/>
          <w:sz w:val="24"/>
          <w:szCs w:val="24"/>
        </w:rPr>
        <w:t>The appellant filed a counter-claim alleging that the respondents breached the agreement by failing to supply the necessary materials to him and to provide municipal approved building plans which resulted in him being unable to fulfil his obligations as per their agreement and therefore suffering damages in the amount of N$75 000. He also denied receiving the letter of demand and pleaded that the agreement was mutually cancelled by the parties and denied that he was indebted to the respondents.</w:t>
      </w:r>
    </w:p>
    <w:p w:rsidR="00BB6BD3" w:rsidRDefault="00BB6BD3" w:rsidP="00BB6BD3">
      <w:pPr>
        <w:spacing w:after="0" w:line="360" w:lineRule="auto"/>
        <w:jc w:val="both"/>
        <w:rPr>
          <w:rFonts w:ascii="Arial" w:hAnsi="Arial" w:cs="Arial"/>
          <w:sz w:val="24"/>
          <w:szCs w:val="24"/>
        </w:rPr>
      </w:pPr>
    </w:p>
    <w:p w:rsidR="00BB6BD3" w:rsidRDefault="00BB6BD3" w:rsidP="00BB6BD3">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 xml:space="preserve">The court </w:t>
      </w:r>
      <w:r w:rsidRPr="00026306">
        <w:rPr>
          <w:rFonts w:ascii="Arial" w:hAnsi="Arial" w:cs="Arial"/>
          <w:i/>
          <w:sz w:val="24"/>
          <w:szCs w:val="24"/>
        </w:rPr>
        <w:t>a quo</w:t>
      </w:r>
      <w:r>
        <w:rPr>
          <w:rFonts w:ascii="Arial" w:hAnsi="Arial" w:cs="Arial"/>
          <w:sz w:val="24"/>
          <w:szCs w:val="24"/>
        </w:rPr>
        <w:t xml:space="preserve"> found that the parties’ dispute centered around who was liable to get the approval from the Municipality of Gobabis.  On the evidence tendered, the court a quo found that the appellant undertook to obtain municipal approval, but failed to do so.</w:t>
      </w:r>
      <w:r w:rsidRPr="005020DD">
        <w:rPr>
          <w:rFonts w:ascii="Arial" w:hAnsi="Arial" w:cs="Arial"/>
          <w:sz w:val="24"/>
          <w:szCs w:val="24"/>
        </w:rPr>
        <w:t xml:space="preserve"> </w:t>
      </w:r>
      <w:r>
        <w:rPr>
          <w:rFonts w:ascii="Arial" w:hAnsi="Arial" w:cs="Arial"/>
          <w:sz w:val="24"/>
          <w:szCs w:val="24"/>
        </w:rPr>
        <w:t>The court a quo therefore accepted respondents’ case that the appellant did not complete his part of the agreement between the parties and respondents were not liable to pay anything to the appellant. Furthermore to this, the appellant was placed in mora and the contract was duly cancelled by the respondents. As a result, the court a quo ordered appellant to pay the value of the material</w:t>
      </w:r>
      <w:r w:rsidR="000065D9">
        <w:rPr>
          <w:rFonts w:ascii="Arial" w:hAnsi="Arial" w:cs="Arial"/>
          <w:sz w:val="24"/>
          <w:szCs w:val="24"/>
        </w:rPr>
        <w:t>s</w:t>
      </w:r>
      <w:r>
        <w:rPr>
          <w:rFonts w:ascii="Arial" w:hAnsi="Arial" w:cs="Arial"/>
          <w:sz w:val="24"/>
          <w:szCs w:val="24"/>
        </w:rPr>
        <w:t xml:space="preserve"> delivered to him in the sum of N$203 339,73 with interest thereon and costs of suit.</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Pr="00427859" w:rsidRDefault="00BB6BD3" w:rsidP="00BB6BD3">
      <w:pPr>
        <w:pStyle w:val="ListParagraph"/>
        <w:tabs>
          <w:tab w:val="left" w:pos="851"/>
        </w:tabs>
        <w:spacing w:after="0" w:line="360" w:lineRule="auto"/>
        <w:ind w:left="0"/>
        <w:jc w:val="both"/>
        <w:rPr>
          <w:rFonts w:ascii="Arial" w:hAnsi="Arial" w:cs="Arial"/>
          <w:color w:val="000000" w:themeColor="text1"/>
          <w:sz w:val="24"/>
          <w:szCs w:val="24"/>
        </w:rPr>
      </w:pPr>
      <w:r>
        <w:rPr>
          <w:rFonts w:ascii="Arial" w:hAnsi="Arial" w:cs="Arial"/>
          <w:sz w:val="24"/>
          <w:szCs w:val="24"/>
        </w:rPr>
        <w:lastRenderedPageBreak/>
        <w:t xml:space="preserve">At the hearing of the appeal, the appellant’s </w:t>
      </w:r>
      <w:r w:rsidR="006B7759">
        <w:rPr>
          <w:rFonts w:ascii="Arial" w:hAnsi="Arial" w:cs="Arial"/>
          <w:sz w:val="24"/>
          <w:szCs w:val="24"/>
        </w:rPr>
        <w:t>counsel</w:t>
      </w:r>
      <w:r>
        <w:rPr>
          <w:rFonts w:ascii="Arial" w:hAnsi="Arial" w:cs="Arial"/>
          <w:sz w:val="24"/>
          <w:szCs w:val="24"/>
        </w:rPr>
        <w:t xml:space="preserve"> abandoned the heads of argument filed by </w:t>
      </w:r>
      <w:r w:rsidR="006B7759">
        <w:rPr>
          <w:rFonts w:ascii="Arial" w:hAnsi="Arial" w:cs="Arial"/>
          <w:sz w:val="24"/>
          <w:szCs w:val="24"/>
        </w:rPr>
        <w:t>the</w:t>
      </w:r>
      <w:r>
        <w:rPr>
          <w:rFonts w:ascii="Arial" w:hAnsi="Arial" w:cs="Arial"/>
          <w:sz w:val="24"/>
          <w:szCs w:val="24"/>
        </w:rPr>
        <w:t xml:space="preserve"> instructing legal representative and conceded that the appellant’s counter-claim </w:t>
      </w:r>
      <w:r w:rsidR="00023DE1" w:rsidRPr="00427859">
        <w:rPr>
          <w:rFonts w:ascii="Arial" w:hAnsi="Arial" w:cs="Arial"/>
          <w:color w:val="000000" w:themeColor="text1"/>
          <w:sz w:val="24"/>
          <w:szCs w:val="24"/>
        </w:rPr>
        <w:t>could not succeed</w:t>
      </w:r>
      <w:r w:rsidR="003D1B1D">
        <w:rPr>
          <w:rFonts w:ascii="Arial" w:hAnsi="Arial" w:cs="Arial"/>
          <w:color w:val="000000" w:themeColor="text1"/>
          <w:sz w:val="24"/>
          <w:szCs w:val="24"/>
        </w:rPr>
        <w:t>,</w:t>
      </w:r>
      <w:r w:rsidR="00023DE1" w:rsidRPr="00427859">
        <w:rPr>
          <w:rFonts w:ascii="Arial" w:hAnsi="Arial" w:cs="Arial"/>
          <w:color w:val="000000" w:themeColor="text1"/>
          <w:sz w:val="24"/>
          <w:szCs w:val="24"/>
        </w:rPr>
        <w:t xml:space="preserve"> </w:t>
      </w:r>
      <w:r>
        <w:rPr>
          <w:rFonts w:ascii="Arial" w:hAnsi="Arial" w:cs="Arial"/>
          <w:sz w:val="24"/>
          <w:szCs w:val="24"/>
        </w:rPr>
        <w:t xml:space="preserve">but counsel contended that the court a quo should have ordered absolution from the </w:t>
      </w:r>
      <w:r w:rsidRPr="00427859">
        <w:rPr>
          <w:rFonts w:ascii="Arial" w:hAnsi="Arial" w:cs="Arial"/>
          <w:color w:val="000000" w:themeColor="text1"/>
          <w:sz w:val="24"/>
          <w:szCs w:val="24"/>
        </w:rPr>
        <w:t>instance</w:t>
      </w:r>
      <w:r w:rsidR="00023DE1" w:rsidRPr="00427859">
        <w:rPr>
          <w:rFonts w:ascii="Arial" w:hAnsi="Arial" w:cs="Arial"/>
          <w:color w:val="000000" w:themeColor="text1"/>
          <w:sz w:val="24"/>
          <w:szCs w:val="24"/>
        </w:rPr>
        <w:t xml:space="preserve"> in respect of both the claim in convention and the counter-claim</w:t>
      </w:r>
      <w:r w:rsidRPr="00427859">
        <w:rPr>
          <w:rFonts w:ascii="Arial" w:hAnsi="Arial" w:cs="Arial"/>
          <w:color w:val="000000" w:themeColor="text1"/>
          <w:sz w:val="24"/>
          <w:szCs w:val="24"/>
        </w:rPr>
        <w:t>.</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Pr="00427859" w:rsidRDefault="00BB6BD3" w:rsidP="00BB6BD3">
      <w:pPr>
        <w:pStyle w:val="ListParagraph"/>
        <w:tabs>
          <w:tab w:val="left" w:pos="851"/>
        </w:tabs>
        <w:spacing w:after="0" w:line="360" w:lineRule="auto"/>
        <w:ind w:left="0"/>
        <w:jc w:val="both"/>
        <w:rPr>
          <w:rFonts w:ascii="Arial" w:hAnsi="Arial" w:cs="Arial"/>
          <w:color w:val="000000" w:themeColor="text1"/>
          <w:sz w:val="24"/>
          <w:szCs w:val="24"/>
        </w:rPr>
      </w:pPr>
      <w:r>
        <w:rPr>
          <w:rFonts w:ascii="Arial" w:hAnsi="Arial" w:cs="Arial"/>
          <w:i/>
          <w:sz w:val="24"/>
          <w:szCs w:val="24"/>
        </w:rPr>
        <w:t xml:space="preserve">Held, </w:t>
      </w:r>
      <w:r>
        <w:rPr>
          <w:rFonts w:ascii="Arial" w:hAnsi="Arial" w:cs="Arial"/>
          <w:sz w:val="24"/>
          <w:szCs w:val="24"/>
        </w:rPr>
        <w:t>further that the appellant is entitled to damages</w:t>
      </w:r>
      <w:r w:rsidR="00023DE1">
        <w:rPr>
          <w:rFonts w:ascii="Arial" w:hAnsi="Arial" w:cs="Arial"/>
          <w:color w:val="FF0000"/>
          <w:sz w:val="24"/>
          <w:szCs w:val="24"/>
        </w:rPr>
        <w:t xml:space="preserve"> </w:t>
      </w:r>
      <w:r w:rsidR="00023DE1" w:rsidRPr="00427859">
        <w:rPr>
          <w:rFonts w:ascii="Arial" w:hAnsi="Arial" w:cs="Arial"/>
          <w:color w:val="000000" w:themeColor="text1"/>
          <w:sz w:val="24"/>
          <w:szCs w:val="24"/>
        </w:rPr>
        <w:t>suffered in respect of manufacturing the she</w:t>
      </w:r>
      <w:r w:rsidRPr="00427859">
        <w:rPr>
          <w:rFonts w:ascii="Arial" w:hAnsi="Arial" w:cs="Arial"/>
          <w:color w:val="000000" w:themeColor="text1"/>
          <w:sz w:val="24"/>
          <w:szCs w:val="24"/>
        </w:rPr>
        <w:t>d, provided that he proves</w:t>
      </w:r>
      <w:r w:rsidR="00023DE1" w:rsidRPr="00427859">
        <w:rPr>
          <w:rFonts w:ascii="Arial" w:hAnsi="Arial" w:cs="Arial"/>
          <w:color w:val="000000" w:themeColor="text1"/>
          <w:sz w:val="24"/>
          <w:szCs w:val="24"/>
        </w:rPr>
        <w:t xml:space="preserve"> the quantum of such damages.</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Default="00BB6BD3" w:rsidP="00BB6BD3">
      <w:pPr>
        <w:pStyle w:val="ListParagraph"/>
        <w:tabs>
          <w:tab w:val="left" w:pos="851"/>
        </w:tabs>
        <w:spacing w:after="0" w:line="360" w:lineRule="auto"/>
        <w:ind w:left="0"/>
        <w:jc w:val="both"/>
        <w:rPr>
          <w:rFonts w:ascii="Arial" w:hAnsi="Arial" w:cs="Arial"/>
          <w:sz w:val="24"/>
          <w:szCs w:val="24"/>
        </w:rPr>
      </w:pPr>
      <w:r w:rsidRPr="00253ED5">
        <w:rPr>
          <w:rFonts w:ascii="Arial" w:hAnsi="Arial" w:cs="Arial"/>
          <w:i/>
          <w:sz w:val="24"/>
          <w:szCs w:val="24"/>
        </w:rPr>
        <w:t>Held</w:t>
      </w:r>
      <w:r>
        <w:rPr>
          <w:rFonts w:ascii="Arial" w:hAnsi="Arial" w:cs="Arial"/>
          <w:sz w:val="24"/>
          <w:szCs w:val="24"/>
        </w:rPr>
        <w:t>, further that the appellant failed to prove his counter-claim with regards to the damages.</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Pr="00CC59B9" w:rsidRDefault="00BB6BD3" w:rsidP="00BB6BD3">
      <w:pPr>
        <w:pStyle w:val="ListParagraph"/>
        <w:tabs>
          <w:tab w:val="left" w:pos="851"/>
        </w:tabs>
        <w:spacing w:after="0" w:line="360" w:lineRule="auto"/>
        <w:ind w:left="0"/>
        <w:jc w:val="both"/>
        <w:rPr>
          <w:rFonts w:ascii="Arial" w:hAnsi="Arial" w:cs="Arial"/>
          <w:color w:val="FF0000"/>
          <w:sz w:val="24"/>
          <w:szCs w:val="24"/>
          <w:u w:val="single"/>
        </w:rPr>
      </w:pPr>
      <w:r w:rsidRPr="00253ED5">
        <w:rPr>
          <w:rFonts w:ascii="Arial" w:hAnsi="Arial" w:cs="Arial"/>
          <w:i/>
          <w:sz w:val="24"/>
          <w:szCs w:val="24"/>
        </w:rPr>
        <w:t>Held,</w:t>
      </w:r>
      <w:r>
        <w:rPr>
          <w:rFonts w:ascii="Arial" w:hAnsi="Arial" w:cs="Arial"/>
          <w:sz w:val="24"/>
          <w:szCs w:val="24"/>
        </w:rPr>
        <w:t xml:space="preserve"> further that the respondents are entitled to the return of materials they delivered to the appellant or the manufactured sh</w:t>
      </w:r>
      <w:r w:rsidR="00023DE1">
        <w:rPr>
          <w:rFonts w:ascii="Arial" w:hAnsi="Arial" w:cs="Arial"/>
          <w:sz w:val="24"/>
          <w:szCs w:val="24"/>
        </w:rPr>
        <w:t>e</w:t>
      </w:r>
      <w:r>
        <w:rPr>
          <w:rFonts w:ascii="Arial" w:hAnsi="Arial" w:cs="Arial"/>
          <w:sz w:val="24"/>
          <w:szCs w:val="24"/>
        </w:rPr>
        <w:t xml:space="preserve">d or </w:t>
      </w:r>
      <w:r w:rsidR="00023DE1" w:rsidRPr="00427859">
        <w:rPr>
          <w:rFonts w:ascii="Arial" w:hAnsi="Arial" w:cs="Arial"/>
          <w:color w:val="000000" w:themeColor="text1"/>
          <w:sz w:val="24"/>
          <w:szCs w:val="24"/>
        </w:rPr>
        <w:t>the</w:t>
      </w:r>
      <w:r w:rsidR="00023DE1">
        <w:rPr>
          <w:rFonts w:ascii="Arial" w:hAnsi="Arial" w:cs="Arial"/>
          <w:color w:val="FF0000"/>
          <w:sz w:val="24"/>
          <w:szCs w:val="24"/>
        </w:rPr>
        <w:t xml:space="preserve"> </w:t>
      </w:r>
      <w:r>
        <w:rPr>
          <w:rFonts w:ascii="Arial" w:hAnsi="Arial" w:cs="Arial"/>
          <w:sz w:val="24"/>
          <w:szCs w:val="24"/>
        </w:rPr>
        <w:t>monetary value of the materials.</w:t>
      </w:r>
      <w:r w:rsidR="00023DE1">
        <w:rPr>
          <w:rFonts w:ascii="Arial" w:hAnsi="Arial" w:cs="Arial"/>
          <w:sz w:val="24"/>
          <w:szCs w:val="24"/>
        </w:rPr>
        <w:t xml:space="preserve"> </w:t>
      </w:r>
      <w:r w:rsidR="00023DE1" w:rsidRPr="00427859">
        <w:rPr>
          <w:rFonts w:ascii="Arial" w:hAnsi="Arial" w:cs="Arial"/>
          <w:color w:val="000000" w:themeColor="text1"/>
          <w:sz w:val="24"/>
          <w:szCs w:val="24"/>
        </w:rPr>
        <w:t>This was subject to any damages established by appellant</w:t>
      </w:r>
      <w:r w:rsidR="003D1B1D">
        <w:rPr>
          <w:rFonts w:ascii="Arial" w:hAnsi="Arial" w:cs="Arial"/>
          <w:color w:val="000000" w:themeColor="text1"/>
          <w:sz w:val="24"/>
          <w:szCs w:val="24"/>
        </w:rPr>
        <w:t>,</w:t>
      </w:r>
      <w:r w:rsidR="00023DE1" w:rsidRPr="00427859">
        <w:rPr>
          <w:rFonts w:ascii="Arial" w:hAnsi="Arial" w:cs="Arial"/>
          <w:color w:val="000000" w:themeColor="text1"/>
          <w:sz w:val="24"/>
          <w:szCs w:val="24"/>
        </w:rPr>
        <w:t xml:space="preserve"> but as appellant did not prove the quantum of his damages</w:t>
      </w:r>
      <w:r w:rsidR="003D1B1D">
        <w:rPr>
          <w:rFonts w:ascii="Arial" w:hAnsi="Arial" w:cs="Arial"/>
          <w:color w:val="000000" w:themeColor="text1"/>
          <w:sz w:val="24"/>
          <w:szCs w:val="24"/>
        </w:rPr>
        <w:t>,</w:t>
      </w:r>
      <w:r w:rsidR="00023DE1" w:rsidRPr="00427859">
        <w:rPr>
          <w:rFonts w:ascii="Arial" w:hAnsi="Arial" w:cs="Arial"/>
          <w:color w:val="000000" w:themeColor="text1"/>
          <w:sz w:val="24"/>
          <w:szCs w:val="24"/>
        </w:rPr>
        <w:t xml:space="preserve"> full restitution had to be made.</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Default="00BB6BD3" w:rsidP="00BB6BD3">
      <w:pPr>
        <w:pStyle w:val="ListParagraph"/>
        <w:tabs>
          <w:tab w:val="left" w:pos="851"/>
        </w:tabs>
        <w:spacing w:after="0" w:line="360" w:lineRule="auto"/>
        <w:ind w:left="0"/>
        <w:jc w:val="both"/>
        <w:rPr>
          <w:rFonts w:ascii="Arial" w:hAnsi="Arial" w:cs="Arial"/>
          <w:sz w:val="24"/>
          <w:szCs w:val="24"/>
        </w:rPr>
      </w:pPr>
      <w:r w:rsidRPr="00253ED5">
        <w:rPr>
          <w:rFonts w:ascii="Arial" w:hAnsi="Arial" w:cs="Arial"/>
          <w:i/>
          <w:sz w:val="24"/>
          <w:szCs w:val="24"/>
        </w:rPr>
        <w:t>Held</w:t>
      </w:r>
      <w:r>
        <w:rPr>
          <w:rFonts w:ascii="Arial" w:hAnsi="Arial" w:cs="Arial"/>
          <w:sz w:val="24"/>
          <w:szCs w:val="24"/>
        </w:rPr>
        <w:t xml:space="preserve"> further that absolution from the instance regarding the appellant’s counter-claim is granted.</w:t>
      </w:r>
    </w:p>
    <w:p w:rsidR="00BB6BD3" w:rsidRDefault="00BB6BD3" w:rsidP="00BB6BD3">
      <w:pPr>
        <w:pStyle w:val="ListParagraph"/>
        <w:tabs>
          <w:tab w:val="left" w:pos="851"/>
        </w:tabs>
        <w:spacing w:after="0" w:line="360" w:lineRule="auto"/>
        <w:ind w:left="0"/>
        <w:jc w:val="both"/>
        <w:rPr>
          <w:rFonts w:ascii="Arial" w:hAnsi="Arial" w:cs="Arial"/>
          <w:sz w:val="24"/>
          <w:szCs w:val="24"/>
        </w:rPr>
      </w:pPr>
    </w:p>
    <w:p w:rsidR="00BB6BD3" w:rsidRDefault="00BB6BD3" w:rsidP="00BB6BD3">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The appeal is dismissed with costs.</w:t>
      </w:r>
      <w:r>
        <w:rPr>
          <w:rFonts w:ascii="Arial" w:hAnsi="Arial" w:cs="Arial"/>
          <w:i/>
          <w:sz w:val="24"/>
          <w:szCs w:val="24"/>
        </w:rPr>
        <w:t xml:space="preserve"> </w:t>
      </w:r>
    </w:p>
    <w:p w:rsidR="00CA2CBB" w:rsidRDefault="00CA2CBB" w:rsidP="00546AB8">
      <w:pPr>
        <w:spacing w:after="0" w:line="360" w:lineRule="auto"/>
        <w:jc w:val="both"/>
        <w:rPr>
          <w:rFonts w:ascii="Arial" w:hAnsi="Arial" w:cs="Arial"/>
          <w:sz w:val="24"/>
          <w:szCs w:val="24"/>
        </w:rPr>
      </w:pP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411C91">
        <w:rPr>
          <w:rFonts w:ascii="Arial" w:hAnsi="Arial" w:cs="Arial"/>
          <w:sz w:val="24"/>
          <w:szCs w:val="24"/>
        </w:rPr>
        <w:t>HOFF JA</w:t>
      </w:r>
      <w:r w:rsidR="007C66F3">
        <w:rPr>
          <w:rFonts w:ascii="Arial" w:hAnsi="Arial" w:cs="Arial"/>
          <w:sz w:val="24"/>
          <w:szCs w:val="24"/>
        </w:rPr>
        <w:t xml:space="preserve"> and </w:t>
      </w:r>
      <w:r w:rsidR="00411C91">
        <w:rPr>
          <w:rFonts w:ascii="Arial" w:hAnsi="Arial" w:cs="Arial"/>
          <w:sz w:val="24"/>
          <w:szCs w:val="24"/>
        </w:rPr>
        <w:t>FRANK</w:t>
      </w:r>
      <w:r w:rsidR="007C66F3">
        <w:rPr>
          <w:rFonts w:ascii="Arial" w:hAnsi="Arial" w:cs="Arial"/>
          <w:sz w:val="24"/>
          <w:szCs w:val="24"/>
        </w:rPr>
        <w:t xml:space="preserve"> </w:t>
      </w:r>
      <w:r w:rsidR="00411C91">
        <w:rPr>
          <w:rFonts w:ascii="Arial" w:hAnsi="Arial" w:cs="Arial"/>
          <w:sz w:val="24"/>
          <w:szCs w:val="24"/>
        </w:rPr>
        <w:t>A</w:t>
      </w:r>
      <w:r w:rsidR="007C66F3">
        <w:rPr>
          <w:rFonts w:ascii="Arial" w:hAnsi="Arial" w:cs="Arial"/>
          <w:sz w:val="24"/>
          <w:szCs w:val="24"/>
        </w:rPr>
        <w:t xml:space="preserve">JA </w:t>
      </w:r>
      <w:r w:rsidR="00BE1CF9">
        <w:rPr>
          <w:rFonts w:ascii="Arial" w:hAnsi="Arial" w:cs="Arial"/>
          <w:sz w:val="24"/>
          <w:szCs w:val="24"/>
        </w:rPr>
        <w:t>concurring</w:t>
      </w:r>
      <w:r w:rsidRPr="00861369">
        <w:rPr>
          <w:rFonts w:ascii="Arial" w:hAnsi="Arial" w:cs="Arial"/>
          <w:sz w:val="24"/>
          <w:szCs w:val="24"/>
        </w:rPr>
        <w:t>)</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rsidR="00411C91" w:rsidRDefault="00FF4712"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9D3D25">
        <w:rPr>
          <w:rFonts w:ascii="Arial" w:hAnsi="Arial" w:cs="Arial"/>
          <w:sz w:val="24"/>
          <w:szCs w:val="24"/>
        </w:rPr>
        <w:t>is appeal is</w:t>
      </w:r>
      <w:r w:rsidR="000075ED">
        <w:rPr>
          <w:rFonts w:ascii="Arial" w:hAnsi="Arial" w:cs="Arial"/>
          <w:sz w:val="24"/>
          <w:szCs w:val="24"/>
        </w:rPr>
        <w:t xml:space="preserve"> </w:t>
      </w:r>
      <w:r w:rsidR="009D3D25">
        <w:rPr>
          <w:rFonts w:ascii="Arial" w:hAnsi="Arial" w:cs="Arial"/>
          <w:sz w:val="24"/>
          <w:szCs w:val="24"/>
        </w:rPr>
        <w:t>against</w:t>
      </w:r>
      <w:r w:rsidR="000075ED">
        <w:rPr>
          <w:rFonts w:ascii="Arial" w:hAnsi="Arial" w:cs="Arial"/>
          <w:sz w:val="24"/>
          <w:szCs w:val="24"/>
        </w:rPr>
        <w:t xml:space="preserve"> </w:t>
      </w:r>
      <w:r w:rsidR="00411C91">
        <w:rPr>
          <w:rFonts w:ascii="Arial" w:hAnsi="Arial" w:cs="Arial"/>
          <w:sz w:val="24"/>
          <w:szCs w:val="24"/>
        </w:rPr>
        <w:t>a judgment (Oosthuizen J) holding that appellant did not prove his counter-claim in damages of N$75</w:t>
      </w:r>
      <w:r w:rsidR="0001542D">
        <w:rPr>
          <w:rFonts w:ascii="Arial" w:hAnsi="Arial" w:cs="Arial"/>
          <w:sz w:val="24"/>
          <w:szCs w:val="24"/>
        </w:rPr>
        <w:t xml:space="preserve"> </w:t>
      </w:r>
      <w:r w:rsidR="00411C91">
        <w:rPr>
          <w:rFonts w:ascii="Arial" w:hAnsi="Arial" w:cs="Arial"/>
          <w:sz w:val="24"/>
          <w:szCs w:val="24"/>
        </w:rPr>
        <w:t>000 against the respondent</w:t>
      </w:r>
      <w:r w:rsidR="000065D9">
        <w:rPr>
          <w:rFonts w:ascii="Arial" w:hAnsi="Arial" w:cs="Arial"/>
          <w:sz w:val="24"/>
          <w:szCs w:val="24"/>
        </w:rPr>
        <w:t>s</w:t>
      </w:r>
      <w:r w:rsidR="00411C91">
        <w:rPr>
          <w:rFonts w:ascii="Arial" w:hAnsi="Arial" w:cs="Arial"/>
          <w:sz w:val="24"/>
          <w:szCs w:val="24"/>
        </w:rPr>
        <w:t xml:space="preserve"> and an order </w:t>
      </w:r>
      <w:r w:rsidR="00023DE1" w:rsidRPr="00427859">
        <w:rPr>
          <w:rFonts w:ascii="Arial" w:hAnsi="Arial" w:cs="Arial"/>
          <w:color w:val="000000" w:themeColor="text1"/>
          <w:sz w:val="24"/>
          <w:szCs w:val="24"/>
        </w:rPr>
        <w:t xml:space="preserve">in respect of the claim in convention </w:t>
      </w:r>
      <w:r w:rsidR="00411C91">
        <w:rPr>
          <w:rFonts w:ascii="Arial" w:hAnsi="Arial" w:cs="Arial"/>
          <w:sz w:val="24"/>
          <w:szCs w:val="24"/>
        </w:rPr>
        <w:t>that appellant pays the value of the material</w:t>
      </w:r>
      <w:r w:rsidR="00601F7A">
        <w:rPr>
          <w:rFonts w:ascii="Arial" w:hAnsi="Arial" w:cs="Arial"/>
          <w:sz w:val="24"/>
          <w:szCs w:val="24"/>
        </w:rPr>
        <w:t>s</w:t>
      </w:r>
      <w:r w:rsidR="00411C91">
        <w:rPr>
          <w:rFonts w:ascii="Arial" w:hAnsi="Arial" w:cs="Arial"/>
          <w:sz w:val="24"/>
          <w:szCs w:val="24"/>
        </w:rPr>
        <w:t xml:space="preserve"> delivered to him by the respondent</w:t>
      </w:r>
      <w:r w:rsidR="000065D9">
        <w:rPr>
          <w:rFonts w:ascii="Arial" w:hAnsi="Arial" w:cs="Arial"/>
          <w:sz w:val="24"/>
          <w:szCs w:val="24"/>
        </w:rPr>
        <w:t>s</w:t>
      </w:r>
      <w:r w:rsidR="00411C91">
        <w:rPr>
          <w:rFonts w:ascii="Arial" w:hAnsi="Arial" w:cs="Arial"/>
          <w:sz w:val="24"/>
          <w:szCs w:val="24"/>
        </w:rPr>
        <w:t xml:space="preserve"> in the sum of N$203</w:t>
      </w:r>
      <w:r w:rsidR="0001542D">
        <w:rPr>
          <w:rFonts w:ascii="Arial" w:hAnsi="Arial" w:cs="Arial"/>
          <w:sz w:val="24"/>
          <w:szCs w:val="24"/>
        </w:rPr>
        <w:t> </w:t>
      </w:r>
      <w:r w:rsidR="00411C91">
        <w:rPr>
          <w:rFonts w:ascii="Arial" w:hAnsi="Arial" w:cs="Arial"/>
          <w:sz w:val="24"/>
          <w:szCs w:val="24"/>
        </w:rPr>
        <w:t>339</w:t>
      </w:r>
      <w:r w:rsidR="0001542D">
        <w:rPr>
          <w:rFonts w:ascii="Arial" w:hAnsi="Arial" w:cs="Arial"/>
          <w:sz w:val="24"/>
          <w:szCs w:val="24"/>
        </w:rPr>
        <w:t xml:space="preserve">, </w:t>
      </w:r>
      <w:r w:rsidR="00411C91">
        <w:rPr>
          <w:rFonts w:ascii="Arial" w:hAnsi="Arial" w:cs="Arial"/>
          <w:sz w:val="24"/>
          <w:szCs w:val="24"/>
        </w:rPr>
        <w:t>73.</w:t>
      </w:r>
    </w:p>
    <w:p w:rsidR="00411C91" w:rsidRPr="00601F7A" w:rsidRDefault="00601F7A" w:rsidP="00411C91">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lastRenderedPageBreak/>
        <w:t>Pleadings</w:t>
      </w:r>
    </w:p>
    <w:p w:rsidR="0001542D" w:rsidRDefault="00411C91"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During October 2015 at Gobabis, the first respondent represented by the second respondent and appellant entered into a partly oral, partly written agreement. The terms of the agreement were that, appellant undertook to manufacture and erect a shed for the respondents </w:t>
      </w:r>
      <w:r w:rsidR="0001542D">
        <w:rPr>
          <w:rFonts w:ascii="Arial" w:hAnsi="Arial" w:cs="Arial"/>
          <w:sz w:val="24"/>
          <w:szCs w:val="24"/>
        </w:rPr>
        <w:t>on</w:t>
      </w:r>
      <w:r>
        <w:rPr>
          <w:rFonts w:ascii="Arial" w:hAnsi="Arial" w:cs="Arial"/>
          <w:sz w:val="24"/>
          <w:szCs w:val="24"/>
        </w:rPr>
        <w:t xml:space="preserve"> the respondents</w:t>
      </w:r>
      <w:r w:rsidR="000B1D49">
        <w:rPr>
          <w:rFonts w:ascii="Arial" w:hAnsi="Arial" w:cs="Arial"/>
          <w:sz w:val="24"/>
          <w:szCs w:val="24"/>
        </w:rPr>
        <w:t>’</w:t>
      </w:r>
      <w:r>
        <w:rPr>
          <w:rFonts w:ascii="Arial" w:hAnsi="Arial" w:cs="Arial"/>
          <w:sz w:val="24"/>
          <w:szCs w:val="24"/>
        </w:rPr>
        <w:t xml:space="preserve"> instance and request at the first respondent’s business premises, including laying the foundation for the shed and the overall completion of the metal construction. The </w:t>
      </w:r>
      <w:r w:rsidR="0001542D">
        <w:rPr>
          <w:rFonts w:ascii="Arial" w:hAnsi="Arial" w:cs="Arial"/>
          <w:sz w:val="24"/>
          <w:szCs w:val="24"/>
        </w:rPr>
        <w:t>respondents undertook to pay the appellant the amount of N$60 000 for the labour of the services and they further undertook to supply the appellant with</w:t>
      </w:r>
      <w:r w:rsidR="000B1D49">
        <w:rPr>
          <w:rFonts w:ascii="Arial" w:hAnsi="Arial" w:cs="Arial"/>
          <w:sz w:val="24"/>
          <w:szCs w:val="24"/>
        </w:rPr>
        <w:t>,</w:t>
      </w:r>
      <w:r w:rsidR="0001542D">
        <w:rPr>
          <w:rFonts w:ascii="Arial" w:hAnsi="Arial" w:cs="Arial"/>
          <w:sz w:val="24"/>
          <w:szCs w:val="24"/>
        </w:rPr>
        <w:t xml:space="preserve"> </w:t>
      </w:r>
      <w:r w:rsidR="00601F7A" w:rsidRPr="00601F7A">
        <w:rPr>
          <w:rFonts w:ascii="Arial" w:hAnsi="Arial" w:cs="Arial"/>
          <w:i/>
          <w:sz w:val="24"/>
          <w:szCs w:val="24"/>
        </w:rPr>
        <w:t>inter alia</w:t>
      </w:r>
      <w:r w:rsidR="000B1D49">
        <w:rPr>
          <w:rFonts w:ascii="Arial" w:hAnsi="Arial" w:cs="Arial"/>
          <w:i/>
          <w:sz w:val="24"/>
          <w:szCs w:val="24"/>
        </w:rPr>
        <w:t>,</w:t>
      </w:r>
      <w:r w:rsidR="00601F7A">
        <w:rPr>
          <w:rFonts w:ascii="Arial" w:hAnsi="Arial" w:cs="Arial"/>
          <w:sz w:val="24"/>
          <w:szCs w:val="24"/>
        </w:rPr>
        <w:t xml:space="preserve"> </w:t>
      </w:r>
      <w:r w:rsidR="0001542D">
        <w:rPr>
          <w:rFonts w:ascii="Arial" w:hAnsi="Arial" w:cs="Arial"/>
          <w:sz w:val="24"/>
          <w:szCs w:val="24"/>
        </w:rPr>
        <w:t xml:space="preserve">materials </w:t>
      </w:r>
      <w:r w:rsidR="00601F7A">
        <w:rPr>
          <w:rFonts w:ascii="Arial" w:hAnsi="Arial" w:cs="Arial"/>
          <w:sz w:val="24"/>
          <w:szCs w:val="24"/>
        </w:rPr>
        <w:t xml:space="preserve">below </w:t>
      </w:r>
      <w:r w:rsidR="0001542D">
        <w:rPr>
          <w:rFonts w:ascii="Arial" w:hAnsi="Arial" w:cs="Arial"/>
          <w:sz w:val="24"/>
          <w:szCs w:val="24"/>
        </w:rPr>
        <w:t>to complete the manufacture and erection of the shed.</w:t>
      </w:r>
    </w:p>
    <w:p w:rsidR="0001542D" w:rsidRPr="0001542D" w:rsidRDefault="0001542D" w:rsidP="002E4652">
      <w:pPr>
        <w:pStyle w:val="ListParagraph"/>
        <w:spacing w:after="0" w:line="480" w:lineRule="auto"/>
        <w:jc w:val="both"/>
        <w:rPr>
          <w:rFonts w:ascii="Arial" w:hAnsi="Arial" w:cs="Arial"/>
          <w:sz w:val="24"/>
          <w:szCs w:val="24"/>
        </w:rPr>
      </w:pP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IPE STD Beams 200x100x23, at a weight of 36 kilograms each;</w:t>
      </w: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Mild steel plate;</w:t>
      </w: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Angle iron;</w:t>
      </w: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Flat bar;</w:t>
      </w: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IBR zinc;</w:t>
      </w:r>
    </w:p>
    <w:p w:rsidR="0001542D" w:rsidRDefault="0001542D"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Bolts;</w:t>
      </w:r>
    </w:p>
    <w:p w:rsidR="0001542D" w:rsidRDefault="00601F7A" w:rsidP="0001542D">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L</w:t>
      </w:r>
      <w:r w:rsidR="0001542D">
        <w:rPr>
          <w:rFonts w:ascii="Arial" w:hAnsi="Arial" w:cs="Arial"/>
          <w:sz w:val="24"/>
          <w:szCs w:val="24"/>
        </w:rPr>
        <w:t>-channels 150x100x20x2.5;</w:t>
      </w:r>
    </w:p>
    <w:p w:rsidR="0001542D" w:rsidRDefault="0001542D" w:rsidP="0001542D">
      <w:pPr>
        <w:pStyle w:val="ListParagraph"/>
        <w:tabs>
          <w:tab w:val="left" w:pos="851"/>
        </w:tabs>
        <w:spacing w:after="0" w:line="480" w:lineRule="auto"/>
        <w:ind w:left="0"/>
        <w:jc w:val="both"/>
        <w:rPr>
          <w:rFonts w:ascii="Arial" w:hAnsi="Arial" w:cs="Arial"/>
          <w:sz w:val="24"/>
          <w:szCs w:val="24"/>
        </w:rPr>
      </w:pPr>
    </w:p>
    <w:p w:rsidR="0001542D" w:rsidRDefault="00EB46E3"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During November and December 2015 and January 2016, respondents delivered the materials below in the total amount of N$204 469,23 to the appellant</w:t>
      </w:r>
      <w:r w:rsidR="00601F7A">
        <w:rPr>
          <w:rFonts w:ascii="Arial" w:hAnsi="Arial" w:cs="Arial"/>
          <w:sz w:val="24"/>
          <w:szCs w:val="24"/>
        </w:rPr>
        <w:t>, which amount</w:t>
      </w:r>
      <w:r w:rsidR="000B1D49">
        <w:rPr>
          <w:rFonts w:ascii="Arial" w:hAnsi="Arial" w:cs="Arial"/>
          <w:sz w:val="24"/>
          <w:szCs w:val="24"/>
        </w:rPr>
        <w:t>,</w:t>
      </w:r>
      <w:r w:rsidR="00601F7A">
        <w:rPr>
          <w:rFonts w:ascii="Arial" w:hAnsi="Arial" w:cs="Arial"/>
          <w:sz w:val="24"/>
          <w:szCs w:val="24"/>
        </w:rPr>
        <w:t xml:space="preserve"> the court </w:t>
      </w:r>
      <w:r w:rsidR="00601F7A" w:rsidRPr="000065D9">
        <w:rPr>
          <w:rFonts w:ascii="Arial" w:hAnsi="Arial" w:cs="Arial"/>
          <w:i/>
          <w:sz w:val="24"/>
          <w:szCs w:val="24"/>
        </w:rPr>
        <w:t>a quo</w:t>
      </w:r>
      <w:r w:rsidR="00601F7A">
        <w:rPr>
          <w:rFonts w:ascii="Arial" w:hAnsi="Arial" w:cs="Arial"/>
          <w:sz w:val="24"/>
          <w:szCs w:val="24"/>
        </w:rPr>
        <w:t xml:space="preserve"> altered to N$203 339,73</w:t>
      </w:r>
      <w:r>
        <w:rPr>
          <w:rFonts w:ascii="Arial" w:hAnsi="Arial" w:cs="Arial"/>
          <w:sz w:val="24"/>
          <w:szCs w:val="24"/>
        </w:rPr>
        <w:t>.</w:t>
      </w:r>
    </w:p>
    <w:p w:rsidR="002F6AFA" w:rsidRDefault="002F6AFA" w:rsidP="002F6AFA">
      <w:pPr>
        <w:pStyle w:val="ListParagraph"/>
        <w:tabs>
          <w:tab w:val="left" w:pos="851"/>
        </w:tabs>
        <w:spacing w:after="0" w:line="480" w:lineRule="auto"/>
        <w:ind w:left="0"/>
        <w:jc w:val="both"/>
        <w:rPr>
          <w:rFonts w:ascii="Arial" w:hAnsi="Arial" w:cs="Arial"/>
          <w:sz w:val="24"/>
          <w:szCs w:val="24"/>
        </w:rPr>
      </w:pPr>
    </w:p>
    <w:p w:rsidR="00B222E0" w:rsidRDefault="00F71265" w:rsidP="00F71265">
      <w:pPr>
        <w:pStyle w:val="ListParagraph"/>
        <w:tabs>
          <w:tab w:val="left" w:pos="851"/>
        </w:tabs>
        <w:spacing w:after="0" w:line="480" w:lineRule="auto"/>
        <w:ind w:left="851" w:hanging="851"/>
        <w:jc w:val="both"/>
        <w:rPr>
          <w:rFonts w:ascii="Arial" w:hAnsi="Arial" w:cs="Arial"/>
          <w:sz w:val="24"/>
          <w:szCs w:val="24"/>
        </w:rPr>
      </w:pPr>
      <w:r>
        <w:rPr>
          <w:rFonts w:ascii="Arial" w:hAnsi="Arial" w:cs="Arial"/>
          <w:sz w:val="24"/>
          <w:szCs w:val="24"/>
        </w:rPr>
        <w:tab/>
      </w:r>
      <w:r w:rsidR="002F6AFA">
        <w:rPr>
          <w:rFonts w:ascii="Arial" w:hAnsi="Arial" w:cs="Arial"/>
          <w:sz w:val="24"/>
          <w:szCs w:val="24"/>
        </w:rPr>
        <w:t>240 x MS bolts &amp; Nuts M16</w:t>
      </w:r>
      <w:r>
        <w:rPr>
          <w:rFonts w:ascii="Arial" w:hAnsi="Arial" w:cs="Arial"/>
          <w:sz w:val="24"/>
          <w:szCs w:val="24"/>
        </w:rPr>
        <w:t xml:space="preserve"> </w:t>
      </w:r>
      <w:r w:rsidR="002F6AFA">
        <w:rPr>
          <w:rFonts w:ascii="Arial" w:hAnsi="Arial" w:cs="Arial"/>
          <w:sz w:val="24"/>
          <w:szCs w:val="24"/>
        </w:rPr>
        <w:t>x</w:t>
      </w:r>
      <w:r>
        <w:rPr>
          <w:rFonts w:ascii="Arial" w:hAnsi="Arial" w:cs="Arial"/>
          <w:sz w:val="24"/>
          <w:szCs w:val="24"/>
        </w:rPr>
        <w:t xml:space="preserve"> </w:t>
      </w:r>
      <w:r w:rsidR="002F6AFA">
        <w:rPr>
          <w:rFonts w:ascii="Arial" w:hAnsi="Arial" w:cs="Arial"/>
          <w:sz w:val="24"/>
          <w:szCs w:val="24"/>
        </w:rPr>
        <w:t xml:space="preserve">65 valued at N$2548,80 (including VAT), and </w:t>
      </w:r>
    </w:p>
    <w:p w:rsidR="00B222E0" w:rsidRDefault="00B222E0" w:rsidP="00F71265">
      <w:pPr>
        <w:pStyle w:val="ListParagraph"/>
        <w:tabs>
          <w:tab w:val="left" w:pos="851"/>
        </w:tabs>
        <w:spacing w:after="0" w:line="480" w:lineRule="auto"/>
        <w:ind w:left="851" w:hanging="851"/>
        <w:jc w:val="both"/>
        <w:rPr>
          <w:rFonts w:ascii="Arial" w:hAnsi="Arial" w:cs="Arial"/>
          <w:sz w:val="24"/>
          <w:szCs w:val="24"/>
        </w:rPr>
      </w:pPr>
    </w:p>
    <w:p w:rsidR="002F6AFA" w:rsidRDefault="00B222E0" w:rsidP="00F71265">
      <w:pPr>
        <w:pStyle w:val="ListParagraph"/>
        <w:tabs>
          <w:tab w:val="left" w:pos="851"/>
        </w:tabs>
        <w:spacing w:after="0" w:line="480" w:lineRule="auto"/>
        <w:ind w:left="851" w:hanging="851"/>
        <w:jc w:val="both"/>
        <w:rPr>
          <w:rFonts w:ascii="Arial" w:hAnsi="Arial" w:cs="Arial"/>
          <w:sz w:val="24"/>
          <w:szCs w:val="24"/>
        </w:rPr>
      </w:pPr>
      <w:r>
        <w:rPr>
          <w:rFonts w:ascii="Arial" w:hAnsi="Arial" w:cs="Arial"/>
          <w:sz w:val="24"/>
          <w:szCs w:val="24"/>
        </w:rPr>
        <w:lastRenderedPageBreak/>
        <w:tab/>
      </w:r>
      <w:r w:rsidR="002F6AFA">
        <w:rPr>
          <w:rFonts w:ascii="Arial" w:hAnsi="Arial" w:cs="Arial"/>
          <w:sz w:val="24"/>
          <w:szCs w:val="24"/>
        </w:rPr>
        <w:t>140</w:t>
      </w:r>
      <w:r w:rsidR="00733B4A">
        <w:rPr>
          <w:rFonts w:ascii="Arial" w:hAnsi="Arial" w:cs="Arial"/>
          <w:sz w:val="24"/>
          <w:szCs w:val="24"/>
        </w:rPr>
        <w:t xml:space="preserve"> </w:t>
      </w:r>
      <w:r w:rsidR="002F6AFA">
        <w:rPr>
          <w:rFonts w:ascii="Arial" w:hAnsi="Arial" w:cs="Arial"/>
          <w:sz w:val="24"/>
          <w:szCs w:val="24"/>
        </w:rPr>
        <w:t>x</w:t>
      </w:r>
      <w:r w:rsidR="00733B4A">
        <w:rPr>
          <w:rFonts w:ascii="Arial" w:hAnsi="Arial" w:cs="Arial"/>
          <w:sz w:val="24"/>
          <w:szCs w:val="24"/>
        </w:rPr>
        <w:t xml:space="preserve"> MS bolts &amp; Nuts M12</w:t>
      </w:r>
      <w:r w:rsidR="00F71265">
        <w:rPr>
          <w:rFonts w:ascii="Arial" w:hAnsi="Arial" w:cs="Arial"/>
          <w:sz w:val="24"/>
          <w:szCs w:val="24"/>
        </w:rPr>
        <w:t xml:space="preserve"> </w:t>
      </w:r>
      <w:r w:rsidR="00733B4A">
        <w:rPr>
          <w:rFonts w:ascii="Arial" w:hAnsi="Arial" w:cs="Arial"/>
          <w:sz w:val="24"/>
          <w:szCs w:val="24"/>
        </w:rPr>
        <w:t>x</w:t>
      </w:r>
      <w:r w:rsidR="00F71265">
        <w:rPr>
          <w:rFonts w:ascii="Arial" w:hAnsi="Arial" w:cs="Arial"/>
          <w:sz w:val="24"/>
          <w:szCs w:val="24"/>
        </w:rPr>
        <w:t xml:space="preserve"> </w:t>
      </w:r>
      <w:r w:rsidR="00733B4A">
        <w:rPr>
          <w:rFonts w:ascii="Arial" w:hAnsi="Arial" w:cs="Arial"/>
          <w:sz w:val="24"/>
          <w:szCs w:val="24"/>
        </w:rPr>
        <w:t xml:space="preserve">30 valued at N$470,40 </w:t>
      </w:r>
      <w:r w:rsidR="000C3A95">
        <w:rPr>
          <w:rFonts w:ascii="Arial" w:hAnsi="Arial" w:cs="Arial"/>
          <w:sz w:val="24"/>
          <w:szCs w:val="24"/>
        </w:rPr>
        <w:t>(including VAT).</w:t>
      </w:r>
    </w:p>
    <w:p w:rsidR="000C3A95" w:rsidRDefault="000C3A95" w:rsidP="002F6AFA">
      <w:pPr>
        <w:pStyle w:val="ListParagraph"/>
        <w:tabs>
          <w:tab w:val="left" w:pos="851"/>
        </w:tabs>
        <w:spacing w:after="0" w:line="480" w:lineRule="auto"/>
        <w:ind w:left="0"/>
        <w:jc w:val="both"/>
        <w:rPr>
          <w:rFonts w:ascii="Arial" w:hAnsi="Arial" w:cs="Arial"/>
          <w:sz w:val="24"/>
          <w:szCs w:val="24"/>
        </w:rPr>
      </w:pPr>
    </w:p>
    <w:p w:rsidR="000C3A95" w:rsidRDefault="00F71265" w:rsidP="0068387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r>
      <w:r w:rsidR="000C3A95">
        <w:rPr>
          <w:rFonts w:ascii="Arial" w:hAnsi="Arial" w:cs="Arial"/>
          <w:sz w:val="24"/>
          <w:szCs w:val="24"/>
        </w:rPr>
        <w:t>106 x IBR 0.47mm x 7.5m valued at N$59 254 (including VAT).</w:t>
      </w:r>
    </w:p>
    <w:p w:rsidR="000C3A95" w:rsidRDefault="000C3A95" w:rsidP="002F6AFA">
      <w:pPr>
        <w:pStyle w:val="ListParagraph"/>
        <w:tabs>
          <w:tab w:val="left" w:pos="851"/>
        </w:tabs>
        <w:spacing w:after="0" w:line="480" w:lineRule="auto"/>
        <w:ind w:left="0"/>
        <w:jc w:val="both"/>
        <w:rPr>
          <w:rFonts w:ascii="Arial" w:hAnsi="Arial" w:cs="Arial"/>
          <w:sz w:val="24"/>
          <w:szCs w:val="24"/>
        </w:rPr>
      </w:pPr>
    </w:p>
    <w:p w:rsidR="000C3A95" w:rsidRDefault="00F71265" w:rsidP="002F6AF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r>
      <w:r w:rsidR="000C3A95">
        <w:rPr>
          <w:rFonts w:ascii="Arial" w:hAnsi="Arial" w:cs="Arial"/>
          <w:sz w:val="24"/>
          <w:szCs w:val="24"/>
        </w:rPr>
        <w:t>40 x L-chan 150 x 90 x 20 x 2.0 mm valued at N$21</w:t>
      </w:r>
      <w:r w:rsidR="0068387A">
        <w:rPr>
          <w:rFonts w:ascii="Arial" w:hAnsi="Arial" w:cs="Arial"/>
          <w:sz w:val="24"/>
          <w:szCs w:val="24"/>
        </w:rPr>
        <w:t> </w:t>
      </w:r>
      <w:r w:rsidR="000C3A95">
        <w:rPr>
          <w:rFonts w:ascii="Arial" w:hAnsi="Arial" w:cs="Arial"/>
          <w:sz w:val="24"/>
          <w:szCs w:val="24"/>
        </w:rPr>
        <w:t>674</w:t>
      </w:r>
      <w:r w:rsidR="0068387A">
        <w:rPr>
          <w:rFonts w:ascii="Arial" w:hAnsi="Arial" w:cs="Arial"/>
          <w:sz w:val="24"/>
          <w:szCs w:val="24"/>
        </w:rPr>
        <w:t>,</w:t>
      </w:r>
      <w:r w:rsidR="000C3A95">
        <w:rPr>
          <w:rFonts w:ascii="Arial" w:hAnsi="Arial" w:cs="Arial"/>
          <w:sz w:val="24"/>
          <w:szCs w:val="24"/>
        </w:rPr>
        <w:t>40 (including VAT).</w:t>
      </w:r>
    </w:p>
    <w:p w:rsidR="000C3A95" w:rsidRDefault="000C3A95" w:rsidP="002F6AFA">
      <w:pPr>
        <w:pStyle w:val="ListParagraph"/>
        <w:tabs>
          <w:tab w:val="left" w:pos="851"/>
        </w:tabs>
        <w:spacing w:after="0" w:line="480" w:lineRule="auto"/>
        <w:ind w:left="0"/>
        <w:jc w:val="both"/>
        <w:rPr>
          <w:rFonts w:ascii="Arial" w:hAnsi="Arial" w:cs="Arial"/>
          <w:sz w:val="24"/>
          <w:szCs w:val="24"/>
        </w:rPr>
      </w:pPr>
    </w:p>
    <w:p w:rsidR="000C3A95" w:rsidRDefault="00F71265" w:rsidP="00F71265">
      <w:pPr>
        <w:pStyle w:val="ListParagraph"/>
        <w:tabs>
          <w:tab w:val="left" w:pos="851"/>
        </w:tabs>
        <w:spacing w:after="0" w:line="480" w:lineRule="auto"/>
        <w:ind w:left="851" w:hanging="851"/>
        <w:jc w:val="both"/>
        <w:rPr>
          <w:rFonts w:ascii="Arial" w:hAnsi="Arial" w:cs="Arial"/>
          <w:sz w:val="24"/>
          <w:szCs w:val="24"/>
        </w:rPr>
      </w:pPr>
      <w:r>
        <w:rPr>
          <w:rFonts w:ascii="Arial" w:hAnsi="Arial" w:cs="Arial"/>
          <w:sz w:val="24"/>
          <w:szCs w:val="24"/>
        </w:rPr>
        <w:tab/>
      </w:r>
      <w:r w:rsidR="000C3A95">
        <w:rPr>
          <w:rFonts w:ascii="Arial" w:hAnsi="Arial" w:cs="Arial"/>
          <w:sz w:val="24"/>
          <w:szCs w:val="24"/>
        </w:rPr>
        <w:t>1 x mild steel plate valued at N$2</w:t>
      </w:r>
      <w:r>
        <w:rPr>
          <w:rFonts w:ascii="Arial" w:hAnsi="Arial" w:cs="Arial"/>
          <w:sz w:val="24"/>
          <w:szCs w:val="24"/>
        </w:rPr>
        <w:t xml:space="preserve"> </w:t>
      </w:r>
      <w:r w:rsidR="000C3A95">
        <w:rPr>
          <w:rFonts w:ascii="Arial" w:hAnsi="Arial" w:cs="Arial"/>
          <w:sz w:val="24"/>
          <w:szCs w:val="24"/>
        </w:rPr>
        <w:t>981,71 (including VAT), 1 x angle iron 70 x 70 x 6 x 6 m valued at N$492</w:t>
      </w:r>
      <w:r w:rsidR="0068387A">
        <w:rPr>
          <w:rFonts w:ascii="Arial" w:hAnsi="Arial" w:cs="Arial"/>
          <w:sz w:val="24"/>
          <w:szCs w:val="24"/>
        </w:rPr>
        <w:t>,</w:t>
      </w:r>
      <w:r w:rsidR="000C3A95">
        <w:rPr>
          <w:rFonts w:ascii="Arial" w:hAnsi="Arial" w:cs="Arial"/>
          <w:sz w:val="24"/>
          <w:szCs w:val="24"/>
        </w:rPr>
        <w:t>62 and 1 x flat ba</w:t>
      </w:r>
      <w:r w:rsidR="0068387A">
        <w:rPr>
          <w:rFonts w:ascii="Arial" w:hAnsi="Arial" w:cs="Arial"/>
          <w:sz w:val="24"/>
          <w:szCs w:val="24"/>
        </w:rPr>
        <w:t>r</w:t>
      </w:r>
      <w:r w:rsidR="000C3A95">
        <w:rPr>
          <w:rFonts w:ascii="Arial" w:hAnsi="Arial" w:cs="Arial"/>
          <w:sz w:val="24"/>
          <w:szCs w:val="24"/>
        </w:rPr>
        <w:t xml:space="preserve"> 150 x 8 x 6 m valued at N$969</w:t>
      </w:r>
      <w:r w:rsidR="0068387A">
        <w:rPr>
          <w:rFonts w:ascii="Arial" w:hAnsi="Arial" w:cs="Arial"/>
          <w:sz w:val="24"/>
          <w:szCs w:val="24"/>
        </w:rPr>
        <w:t>,</w:t>
      </w:r>
      <w:r w:rsidR="000C3A95">
        <w:rPr>
          <w:rFonts w:ascii="Arial" w:hAnsi="Arial" w:cs="Arial"/>
          <w:sz w:val="24"/>
          <w:szCs w:val="24"/>
        </w:rPr>
        <w:t>60</w:t>
      </w:r>
      <w:r w:rsidR="0068387A">
        <w:rPr>
          <w:rFonts w:ascii="Arial" w:hAnsi="Arial" w:cs="Arial"/>
          <w:sz w:val="24"/>
          <w:szCs w:val="24"/>
        </w:rPr>
        <w:t xml:space="preserve"> </w:t>
      </w:r>
      <w:r w:rsidR="008B3A17">
        <w:rPr>
          <w:rFonts w:ascii="Arial" w:hAnsi="Arial" w:cs="Arial"/>
          <w:sz w:val="24"/>
          <w:szCs w:val="24"/>
        </w:rPr>
        <w:t>(including VAT).</w:t>
      </w:r>
    </w:p>
    <w:p w:rsidR="008B3A17" w:rsidRDefault="008B3A17" w:rsidP="0068387A">
      <w:pPr>
        <w:pStyle w:val="ListParagraph"/>
        <w:tabs>
          <w:tab w:val="left" w:pos="851"/>
        </w:tabs>
        <w:spacing w:after="0" w:line="480" w:lineRule="auto"/>
        <w:ind w:hanging="720"/>
        <w:jc w:val="both"/>
        <w:rPr>
          <w:rFonts w:ascii="Arial" w:hAnsi="Arial" w:cs="Arial"/>
          <w:sz w:val="24"/>
          <w:szCs w:val="24"/>
        </w:rPr>
      </w:pPr>
    </w:p>
    <w:p w:rsidR="008B3A17" w:rsidRDefault="00F71265" w:rsidP="0068387A">
      <w:pPr>
        <w:pStyle w:val="ListParagraph"/>
        <w:tabs>
          <w:tab w:val="left" w:pos="851"/>
        </w:tabs>
        <w:spacing w:after="0" w:line="480" w:lineRule="auto"/>
        <w:ind w:hanging="720"/>
        <w:jc w:val="both"/>
        <w:rPr>
          <w:rFonts w:ascii="Arial" w:hAnsi="Arial" w:cs="Arial"/>
          <w:sz w:val="24"/>
          <w:szCs w:val="24"/>
        </w:rPr>
      </w:pPr>
      <w:r>
        <w:rPr>
          <w:rFonts w:ascii="Arial" w:hAnsi="Arial" w:cs="Arial"/>
          <w:sz w:val="24"/>
          <w:szCs w:val="24"/>
        </w:rPr>
        <w:tab/>
      </w:r>
      <w:r w:rsidR="008B3A17">
        <w:rPr>
          <w:rFonts w:ascii="Arial" w:hAnsi="Arial" w:cs="Arial"/>
          <w:sz w:val="24"/>
          <w:szCs w:val="24"/>
        </w:rPr>
        <w:t>20 x IFE section STD S355 200 x 100 x 6 m valued at N$38 221,40 (including VAT).</w:t>
      </w:r>
    </w:p>
    <w:p w:rsidR="008B3A17" w:rsidRDefault="008B3A17" w:rsidP="0068387A">
      <w:pPr>
        <w:pStyle w:val="ListParagraph"/>
        <w:tabs>
          <w:tab w:val="left" w:pos="851"/>
        </w:tabs>
        <w:spacing w:after="0" w:line="480" w:lineRule="auto"/>
        <w:ind w:hanging="720"/>
        <w:jc w:val="both"/>
        <w:rPr>
          <w:rFonts w:ascii="Arial" w:hAnsi="Arial" w:cs="Arial"/>
          <w:sz w:val="24"/>
          <w:szCs w:val="24"/>
        </w:rPr>
      </w:pPr>
    </w:p>
    <w:p w:rsidR="008B3A17" w:rsidRDefault="00F71265" w:rsidP="0068387A">
      <w:pPr>
        <w:pStyle w:val="ListParagraph"/>
        <w:tabs>
          <w:tab w:val="left" w:pos="851"/>
        </w:tabs>
        <w:spacing w:after="0" w:line="480" w:lineRule="auto"/>
        <w:ind w:hanging="720"/>
        <w:jc w:val="both"/>
        <w:rPr>
          <w:rFonts w:ascii="Arial" w:hAnsi="Arial" w:cs="Arial"/>
          <w:sz w:val="24"/>
          <w:szCs w:val="24"/>
        </w:rPr>
      </w:pPr>
      <w:r>
        <w:rPr>
          <w:rFonts w:ascii="Arial" w:hAnsi="Arial" w:cs="Arial"/>
          <w:sz w:val="24"/>
          <w:szCs w:val="24"/>
        </w:rPr>
        <w:tab/>
      </w:r>
      <w:r w:rsidR="008B3A17">
        <w:rPr>
          <w:rFonts w:ascii="Arial" w:hAnsi="Arial" w:cs="Arial"/>
          <w:sz w:val="24"/>
          <w:szCs w:val="24"/>
        </w:rPr>
        <w:t>10 x bar flat 30 x 4.5 mm x 6 m valued at N$1</w:t>
      </w:r>
      <w:r>
        <w:rPr>
          <w:rFonts w:ascii="Arial" w:hAnsi="Arial" w:cs="Arial"/>
          <w:sz w:val="24"/>
          <w:szCs w:val="24"/>
        </w:rPr>
        <w:t xml:space="preserve"> </w:t>
      </w:r>
      <w:r w:rsidR="008B3A17">
        <w:rPr>
          <w:rFonts w:ascii="Arial" w:hAnsi="Arial" w:cs="Arial"/>
          <w:sz w:val="24"/>
          <w:szCs w:val="24"/>
        </w:rPr>
        <w:t>129,50 (including VAT).</w:t>
      </w:r>
    </w:p>
    <w:p w:rsidR="008B3A17" w:rsidRDefault="008B3A17" w:rsidP="0068387A">
      <w:pPr>
        <w:pStyle w:val="ListParagraph"/>
        <w:tabs>
          <w:tab w:val="left" w:pos="851"/>
        </w:tabs>
        <w:spacing w:after="0" w:line="480" w:lineRule="auto"/>
        <w:ind w:hanging="720"/>
        <w:jc w:val="both"/>
        <w:rPr>
          <w:rFonts w:ascii="Arial" w:hAnsi="Arial" w:cs="Arial"/>
          <w:sz w:val="24"/>
          <w:szCs w:val="24"/>
        </w:rPr>
      </w:pPr>
    </w:p>
    <w:p w:rsidR="008B3A17" w:rsidRDefault="00F71265" w:rsidP="0068387A">
      <w:pPr>
        <w:pStyle w:val="ListParagraph"/>
        <w:tabs>
          <w:tab w:val="left" w:pos="851"/>
        </w:tabs>
        <w:spacing w:after="0" w:line="480" w:lineRule="auto"/>
        <w:ind w:hanging="720"/>
        <w:jc w:val="both"/>
        <w:rPr>
          <w:rFonts w:ascii="Arial" w:hAnsi="Arial" w:cs="Arial"/>
          <w:sz w:val="24"/>
          <w:szCs w:val="24"/>
        </w:rPr>
      </w:pPr>
      <w:r>
        <w:rPr>
          <w:rFonts w:ascii="Arial" w:hAnsi="Arial" w:cs="Arial"/>
          <w:sz w:val="24"/>
          <w:szCs w:val="24"/>
        </w:rPr>
        <w:tab/>
      </w:r>
      <w:r w:rsidR="008B3A17">
        <w:rPr>
          <w:rFonts w:ascii="Arial" w:hAnsi="Arial" w:cs="Arial"/>
          <w:sz w:val="24"/>
          <w:szCs w:val="24"/>
        </w:rPr>
        <w:t>20 x IPE STD 200 x 100 x 22</w:t>
      </w:r>
      <w:r w:rsidR="00271508">
        <w:rPr>
          <w:rFonts w:ascii="Arial" w:hAnsi="Arial" w:cs="Arial"/>
          <w:sz w:val="24"/>
          <w:szCs w:val="24"/>
        </w:rPr>
        <w:t>.36 kg valued at N$76 726,80 (including VAT).</w:t>
      </w:r>
    </w:p>
    <w:p w:rsidR="0068387A" w:rsidRDefault="0068387A" w:rsidP="0068387A">
      <w:pPr>
        <w:pStyle w:val="ListParagraph"/>
        <w:tabs>
          <w:tab w:val="left" w:pos="851"/>
        </w:tabs>
        <w:spacing w:after="0" w:line="480" w:lineRule="auto"/>
        <w:ind w:hanging="720"/>
        <w:jc w:val="both"/>
        <w:rPr>
          <w:rFonts w:ascii="Arial" w:hAnsi="Arial" w:cs="Arial"/>
          <w:sz w:val="24"/>
          <w:szCs w:val="24"/>
        </w:rPr>
      </w:pPr>
    </w:p>
    <w:p w:rsidR="00EB46E3" w:rsidRDefault="00271508"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respondents attached copies of the invoices below as proof of the materials delivered to the appellant.</w:t>
      </w:r>
    </w:p>
    <w:p w:rsidR="00271508" w:rsidRDefault="00271508" w:rsidP="00271508">
      <w:pPr>
        <w:pStyle w:val="ListParagraph"/>
        <w:tabs>
          <w:tab w:val="left" w:pos="851"/>
        </w:tabs>
        <w:spacing w:after="0" w:line="480" w:lineRule="auto"/>
        <w:ind w:left="0"/>
        <w:jc w:val="both"/>
        <w:rPr>
          <w:rFonts w:ascii="Arial" w:hAnsi="Arial" w:cs="Arial"/>
          <w:sz w:val="24"/>
          <w:szCs w:val="24"/>
        </w:rPr>
      </w:pP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098464 marked BBS 2</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098941 marked BBS 3</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101554 marked BBS 4</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101553 marked BBS 5</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103085 marked BBS 6</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lastRenderedPageBreak/>
        <w:tab/>
        <w:t>Invoice No 391821 marked BBS 7</w:t>
      </w:r>
    </w:p>
    <w:p w:rsidR="00271508" w:rsidRDefault="00271508" w:rsidP="00271508">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Invoice No 099616 marked BBS 8</w:t>
      </w:r>
    </w:p>
    <w:p w:rsidR="00271508" w:rsidRDefault="00271508" w:rsidP="00271508">
      <w:pPr>
        <w:pStyle w:val="ListParagraph"/>
        <w:tabs>
          <w:tab w:val="left" w:pos="851"/>
        </w:tabs>
        <w:spacing w:after="0" w:line="480" w:lineRule="auto"/>
        <w:ind w:left="0"/>
        <w:jc w:val="both"/>
        <w:rPr>
          <w:rFonts w:ascii="Arial" w:hAnsi="Arial" w:cs="Arial"/>
          <w:sz w:val="24"/>
          <w:szCs w:val="24"/>
        </w:rPr>
      </w:pPr>
    </w:p>
    <w:p w:rsidR="00271508" w:rsidRDefault="00271508"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respondents also</w:t>
      </w:r>
      <w:r w:rsidR="009E5836">
        <w:rPr>
          <w:rFonts w:ascii="Arial" w:hAnsi="Arial" w:cs="Arial"/>
          <w:sz w:val="24"/>
          <w:szCs w:val="24"/>
        </w:rPr>
        <w:t xml:space="preserve"> attached </w:t>
      </w:r>
      <w:r w:rsidR="00F71265">
        <w:rPr>
          <w:rFonts w:ascii="Arial" w:hAnsi="Arial" w:cs="Arial"/>
          <w:sz w:val="24"/>
          <w:szCs w:val="24"/>
        </w:rPr>
        <w:t xml:space="preserve">an </w:t>
      </w:r>
      <w:r w:rsidR="009E5836">
        <w:rPr>
          <w:rFonts w:ascii="Arial" w:hAnsi="Arial" w:cs="Arial"/>
          <w:sz w:val="24"/>
          <w:szCs w:val="24"/>
        </w:rPr>
        <w:t>undated letter from the appellant’s son</w:t>
      </w:r>
      <w:r w:rsidR="00F71265">
        <w:rPr>
          <w:rFonts w:ascii="Arial" w:hAnsi="Arial" w:cs="Arial"/>
          <w:sz w:val="24"/>
          <w:szCs w:val="24"/>
        </w:rPr>
        <w:t>,</w:t>
      </w:r>
      <w:r w:rsidR="009E5836">
        <w:rPr>
          <w:rFonts w:ascii="Arial" w:hAnsi="Arial" w:cs="Arial"/>
          <w:sz w:val="24"/>
          <w:szCs w:val="24"/>
        </w:rPr>
        <w:t xml:space="preserve"> among other things</w:t>
      </w:r>
      <w:r w:rsidR="00F71265">
        <w:rPr>
          <w:rFonts w:ascii="Arial" w:hAnsi="Arial" w:cs="Arial"/>
          <w:sz w:val="24"/>
          <w:szCs w:val="24"/>
        </w:rPr>
        <w:t>,</w:t>
      </w:r>
      <w:r w:rsidR="009E5836">
        <w:rPr>
          <w:rFonts w:ascii="Arial" w:hAnsi="Arial" w:cs="Arial"/>
          <w:sz w:val="24"/>
          <w:szCs w:val="24"/>
        </w:rPr>
        <w:t xml:space="preserve"> acknowledging that appellant received the materials as per para 2 above.</w:t>
      </w:r>
    </w:p>
    <w:p w:rsidR="00601F7A" w:rsidRDefault="00601F7A" w:rsidP="00601F7A">
      <w:pPr>
        <w:pStyle w:val="ListParagraph"/>
        <w:tabs>
          <w:tab w:val="left" w:pos="851"/>
        </w:tabs>
        <w:spacing w:after="0" w:line="480" w:lineRule="auto"/>
        <w:ind w:left="0"/>
        <w:jc w:val="both"/>
        <w:rPr>
          <w:rFonts w:ascii="Arial" w:hAnsi="Arial" w:cs="Arial"/>
          <w:sz w:val="24"/>
          <w:szCs w:val="24"/>
        </w:rPr>
      </w:pPr>
    </w:p>
    <w:p w:rsidR="00601F7A" w:rsidRDefault="00601F7A" w:rsidP="00601F7A">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On or about 8 November 2016</w:t>
      </w:r>
      <w:r w:rsidR="00F71265">
        <w:rPr>
          <w:rFonts w:ascii="Arial" w:hAnsi="Arial" w:cs="Arial"/>
          <w:sz w:val="24"/>
          <w:szCs w:val="24"/>
        </w:rPr>
        <w:t>,</w:t>
      </w:r>
      <w:r>
        <w:rPr>
          <w:rFonts w:ascii="Arial" w:hAnsi="Arial" w:cs="Arial"/>
          <w:sz w:val="24"/>
          <w:szCs w:val="24"/>
        </w:rPr>
        <w:t xml:space="preserve"> the respondents</w:t>
      </w:r>
      <w:r w:rsidR="00F71265">
        <w:rPr>
          <w:rFonts w:ascii="Arial" w:hAnsi="Arial" w:cs="Arial"/>
          <w:sz w:val="24"/>
          <w:szCs w:val="24"/>
        </w:rPr>
        <w:t>’</w:t>
      </w:r>
      <w:r>
        <w:rPr>
          <w:rFonts w:ascii="Arial" w:hAnsi="Arial" w:cs="Arial"/>
          <w:sz w:val="24"/>
          <w:szCs w:val="24"/>
        </w:rPr>
        <w:t xml:space="preserve"> legal practitioners addressed a letter to the appellant demanding that he complies with the agreement, failing which</w:t>
      </w:r>
      <w:r w:rsidR="00F71265">
        <w:rPr>
          <w:rFonts w:ascii="Arial" w:hAnsi="Arial" w:cs="Arial"/>
          <w:sz w:val="24"/>
          <w:szCs w:val="24"/>
        </w:rPr>
        <w:t>,</w:t>
      </w:r>
      <w:r>
        <w:rPr>
          <w:rFonts w:ascii="Arial" w:hAnsi="Arial" w:cs="Arial"/>
          <w:sz w:val="24"/>
          <w:szCs w:val="24"/>
        </w:rPr>
        <w:t xml:space="preserve"> the agreement between the parties would be cancelled. Notwithstanding the demand, appellant failed to comply with the agreement and failed to reimburse the respondents the amount constituting the value of the materials. The respondents cancelled the agreement</w:t>
      </w:r>
      <w:r w:rsidR="00080CBA">
        <w:rPr>
          <w:rFonts w:ascii="Arial" w:hAnsi="Arial" w:cs="Arial"/>
          <w:sz w:val="24"/>
          <w:szCs w:val="24"/>
        </w:rPr>
        <w:t>, issued summons</w:t>
      </w:r>
      <w:r>
        <w:rPr>
          <w:rFonts w:ascii="Arial" w:hAnsi="Arial" w:cs="Arial"/>
          <w:sz w:val="24"/>
          <w:szCs w:val="24"/>
        </w:rPr>
        <w:t xml:space="preserve"> and sought payment of the amount of N$204 469,23 interest thereon at the rate of 20% per annum a </w:t>
      </w:r>
      <w:r w:rsidRPr="00E72056">
        <w:rPr>
          <w:rFonts w:ascii="Arial" w:hAnsi="Arial" w:cs="Arial"/>
          <w:i/>
          <w:sz w:val="24"/>
          <w:szCs w:val="24"/>
        </w:rPr>
        <w:t>tempore morae</w:t>
      </w:r>
      <w:r>
        <w:rPr>
          <w:rFonts w:ascii="Arial" w:hAnsi="Arial" w:cs="Arial"/>
          <w:sz w:val="24"/>
          <w:szCs w:val="24"/>
        </w:rPr>
        <w:t xml:space="preserve"> to the date of final payment and costs of suit. </w:t>
      </w:r>
    </w:p>
    <w:p w:rsidR="009E5836" w:rsidRDefault="009E5836" w:rsidP="009E5836">
      <w:pPr>
        <w:pStyle w:val="ListParagraph"/>
        <w:tabs>
          <w:tab w:val="left" w:pos="851"/>
        </w:tabs>
        <w:spacing w:after="0" w:line="480" w:lineRule="auto"/>
        <w:ind w:left="0"/>
        <w:jc w:val="both"/>
        <w:rPr>
          <w:rFonts w:ascii="Arial" w:hAnsi="Arial" w:cs="Arial"/>
          <w:sz w:val="24"/>
          <w:szCs w:val="24"/>
        </w:rPr>
      </w:pPr>
    </w:p>
    <w:p w:rsidR="002451CE" w:rsidRDefault="009E5836"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Respondents</w:t>
      </w:r>
      <w:r w:rsidR="00F71265">
        <w:rPr>
          <w:rFonts w:ascii="Arial" w:hAnsi="Arial" w:cs="Arial"/>
          <w:sz w:val="24"/>
          <w:szCs w:val="24"/>
        </w:rPr>
        <w:t>’</w:t>
      </w:r>
      <w:r>
        <w:rPr>
          <w:rFonts w:ascii="Arial" w:hAnsi="Arial" w:cs="Arial"/>
          <w:sz w:val="24"/>
          <w:szCs w:val="24"/>
        </w:rPr>
        <w:t xml:space="preserve"> alleg</w:t>
      </w:r>
      <w:r w:rsidR="00601F7A">
        <w:rPr>
          <w:rFonts w:ascii="Arial" w:hAnsi="Arial" w:cs="Arial"/>
          <w:sz w:val="24"/>
          <w:szCs w:val="24"/>
        </w:rPr>
        <w:t>ations are</w:t>
      </w:r>
      <w:r>
        <w:rPr>
          <w:rFonts w:ascii="Arial" w:hAnsi="Arial" w:cs="Arial"/>
          <w:sz w:val="24"/>
          <w:szCs w:val="24"/>
        </w:rPr>
        <w:t xml:space="preserve"> that appellant failed or neglected to comply with the agreement, when he failed; </w:t>
      </w:r>
    </w:p>
    <w:p w:rsidR="002451CE" w:rsidRPr="002451CE" w:rsidRDefault="002451CE" w:rsidP="00084D18">
      <w:pPr>
        <w:pStyle w:val="ListParagraph"/>
        <w:spacing w:after="0" w:line="480" w:lineRule="auto"/>
        <w:jc w:val="both"/>
        <w:rPr>
          <w:rFonts w:ascii="Arial" w:hAnsi="Arial" w:cs="Arial"/>
          <w:sz w:val="24"/>
          <w:szCs w:val="24"/>
        </w:rPr>
      </w:pPr>
    </w:p>
    <w:p w:rsidR="002451CE" w:rsidRDefault="009E5836" w:rsidP="002451C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(1)</w:t>
      </w:r>
      <w:r w:rsidR="00B222E0">
        <w:rPr>
          <w:rFonts w:ascii="Arial" w:hAnsi="Arial" w:cs="Arial"/>
          <w:sz w:val="24"/>
          <w:szCs w:val="24"/>
        </w:rPr>
        <w:t xml:space="preserve"> </w:t>
      </w:r>
      <w:r>
        <w:rPr>
          <w:rFonts w:ascii="Arial" w:hAnsi="Arial" w:cs="Arial"/>
          <w:sz w:val="24"/>
          <w:szCs w:val="24"/>
        </w:rPr>
        <w:t xml:space="preserve">to manufacture and erect the shed on the premises of the respondents; </w:t>
      </w:r>
    </w:p>
    <w:p w:rsidR="002451CE" w:rsidRDefault="009E5836" w:rsidP="002451C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(2) to fit the shed with the IBR roof sheets; </w:t>
      </w:r>
    </w:p>
    <w:p w:rsidR="002451CE" w:rsidRDefault="009E5836" w:rsidP="002451C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(3) to obtain the necessary municipal planning permission to erect the shed; </w:t>
      </w:r>
    </w:p>
    <w:p w:rsidR="009E5836" w:rsidRDefault="009E5836" w:rsidP="002451C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(4) to reimburse the respondents the value of the materials delivered to the appellant for the manufacturing and erecting the shed.</w:t>
      </w:r>
    </w:p>
    <w:p w:rsidR="009E5836" w:rsidRPr="009E5836" w:rsidRDefault="009E5836" w:rsidP="002E4652">
      <w:pPr>
        <w:pStyle w:val="ListParagraph"/>
        <w:spacing w:after="0" w:line="480" w:lineRule="auto"/>
        <w:jc w:val="both"/>
        <w:rPr>
          <w:rFonts w:ascii="Arial" w:hAnsi="Arial" w:cs="Arial"/>
          <w:sz w:val="24"/>
          <w:szCs w:val="24"/>
        </w:rPr>
      </w:pPr>
    </w:p>
    <w:p w:rsidR="00E72056" w:rsidRDefault="00E72056"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The appellant counter-claimed</w:t>
      </w:r>
      <w:r w:rsidR="00407295">
        <w:rPr>
          <w:rFonts w:ascii="Arial" w:hAnsi="Arial" w:cs="Arial"/>
          <w:sz w:val="24"/>
          <w:szCs w:val="24"/>
        </w:rPr>
        <w:t>. In his plea to the respondents’ particulars of claim</w:t>
      </w:r>
      <w:r w:rsidR="002451CE">
        <w:rPr>
          <w:rFonts w:ascii="Arial" w:hAnsi="Arial" w:cs="Arial"/>
          <w:sz w:val="24"/>
          <w:szCs w:val="24"/>
        </w:rPr>
        <w:t>,</w:t>
      </w:r>
      <w:r w:rsidR="00407295">
        <w:rPr>
          <w:rFonts w:ascii="Arial" w:hAnsi="Arial" w:cs="Arial"/>
          <w:sz w:val="24"/>
          <w:szCs w:val="24"/>
        </w:rPr>
        <w:t xml:space="preserve"> he admitted the agreement but </w:t>
      </w:r>
      <w:r w:rsidR="00407295" w:rsidRPr="00427859">
        <w:rPr>
          <w:rFonts w:ascii="Arial" w:hAnsi="Arial" w:cs="Arial"/>
          <w:color w:val="000000" w:themeColor="text1"/>
          <w:sz w:val="24"/>
          <w:szCs w:val="24"/>
        </w:rPr>
        <w:t>denied</w:t>
      </w:r>
      <w:r w:rsidR="00023DE1" w:rsidRPr="00427859">
        <w:rPr>
          <w:rFonts w:ascii="Arial" w:hAnsi="Arial" w:cs="Arial"/>
          <w:color w:val="000000" w:themeColor="text1"/>
          <w:sz w:val="24"/>
          <w:szCs w:val="24"/>
        </w:rPr>
        <w:t xml:space="preserve"> that the respondents were entitled to cancel it </w:t>
      </w:r>
      <w:r w:rsidR="00407295">
        <w:rPr>
          <w:rFonts w:ascii="Arial" w:hAnsi="Arial" w:cs="Arial"/>
          <w:sz w:val="24"/>
          <w:szCs w:val="24"/>
        </w:rPr>
        <w:t>and alleged that the respondent breached the agreement by failing to supply all the materials necessary to manufacture the shed and failed to provide municipal approv</w:t>
      </w:r>
      <w:r w:rsidR="00080CBA">
        <w:rPr>
          <w:rFonts w:ascii="Arial" w:hAnsi="Arial" w:cs="Arial"/>
          <w:sz w:val="24"/>
          <w:szCs w:val="24"/>
        </w:rPr>
        <w:t>ed</w:t>
      </w:r>
      <w:r w:rsidR="00407295">
        <w:rPr>
          <w:rFonts w:ascii="Arial" w:hAnsi="Arial" w:cs="Arial"/>
          <w:sz w:val="24"/>
          <w:szCs w:val="24"/>
        </w:rPr>
        <w:t xml:space="preserve"> building plans. Appellant further denied receiving the invoices marked BBS4-7</w:t>
      </w:r>
      <w:r w:rsidR="00080CBA">
        <w:rPr>
          <w:rFonts w:ascii="Arial" w:hAnsi="Arial" w:cs="Arial"/>
          <w:sz w:val="24"/>
          <w:szCs w:val="24"/>
        </w:rPr>
        <w:t xml:space="preserve"> in para </w:t>
      </w:r>
      <w:r w:rsidR="000065D9">
        <w:rPr>
          <w:rFonts w:ascii="Arial" w:hAnsi="Arial" w:cs="Arial"/>
          <w:sz w:val="24"/>
          <w:szCs w:val="24"/>
        </w:rPr>
        <w:t>[</w:t>
      </w:r>
      <w:r w:rsidR="00080CBA">
        <w:rPr>
          <w:rFonts w:ascii="Arial" w:hAnsi="Arial" w:cs="Arial"/>
          <w:sz w:val="24"/>
          <w:szCs w:val="24"/>
        </w:rPr>
        <w:t>4</w:t>
      </w:r>
      <w:r w:rsidR="000065D9">
        <w:rPr>
          <w:rFonts w:ascii="Arial" w:hAnsi="Arial" w:cs="Arial"/>
          <w:sz w:val="24"/>
          <w:szCs w:val="24"/>
        </w:rPr>
        <w:t>]</w:t>
      </w:r>
      <w:r w:rsidR="00080CBA">
        <w:rPr>
          <w:rFonts w:ascii="Arial" w:hAnsi="Arial" w:cs="Arial"/>
          <w:sz w:val="24"/>
          <w:szCs w:val="24"/>
        </w:rPr>
        <w:t xml:space="preserve"> above</w:t>
      </w:r>
      <w:r w:rsidR="00407295">
        <w:rPr>
          <w:rFonts w:ascii="Arial" w:hAnsi="Arial" w:cs="Arial"/>
          <w:sz w:val="24"/>
          <w:szCs w:val="24"/>
        </w:rPr>
        <w:t>. Appellant pleaded that he manufactured the shed</w:t>
      </w:r>
      <w:r w:rsidR="00084D18">
        <w:rPr>
          <w:rFonts w:ascii="Arial" w:hAnsi="Arial" w:cs="Arial"/>
          <w:sz w:val="24"/>
          <w:szCs w:val="24"/>
        </w:rPr>
        <w:t>,</w:t>
      </w:r>
      <w:r w:rsidR="00407295">
        <w:rPr>
          <w:rFonts w:ascii="Arial" w:hAnsi="Arial" w:cs="Arial"/>
          <w:sz w:val="24"/>
          <w:szCs w:val="24"/>
        </w:rPr>
        <w:t xml:space="preserve"> but was prevented from erecting the same due to the respondents’ failure to provide municipal approved building plans. Appellant denied receiving the written demand from respondents</w:t>
      </w:r>
      <w:r w:rsidR="002451CE">
        <w:rPr>
          <w:rFonts w:ascii="Arial" w:hAnsi="Arial" w:cs="Arial"/>
          <w:sz w:val="24"/>
          <w:szCs w:val="24"/>
        </w:rPr>
        <w:t>’</w:t>
      </w:r>
      <w:r w:rsidR="00407295">
        <w:rPr>
          <w:rFonts w:ascii="Arial" w:hAnsi="Arial" w:cs="Arial"/>
          <w:sz w:val="24"/>
          <w:szCs w:val="24"/>
        </w:rPr>
        <w:t xml:space="preserve"> legal practitioners. He denied that respondents cancelled the agreement</w:t>
      </w:r>
      <w:r w:rsidR="002451CE">
        <w:rPr>
          <w:rFonts w:ascii="Arial" w:hAnsi="Arial" w:cs="Arial"/>
          <w:sz w:val="24"/>
          <w:szCs w:val="24"/>
        </w:rPr>
        <w:t>,</w:t>
      </w:r>
      <w:r w:rsidR="00407295">
        <w:rPr>
          <w:rFonts w:ascii="Arial" w:hAnsi="Arial" w:cs="Arial"/>
          <w:sz w:val="24"/>
          <w:szCs w:val="24"/>
        </w:rPr>
        <w:t xml:space="preserve"> but pleaded that the agreement was mutually cancelled by the parties and finally</w:t>
      </w:r>
      <w:r w:rsidR="002451CE">
        <w:rPr>
          <w:rFonts w:ascii="Arial" w:hAnsi="Arial" w:cs="Arial"/>
          <w:sz w:val="24"/>
          <w:szCs w:val="24"/>
        </w:rPr>
        <w:t>,</w:t>
      </w:r>
      <w:r w:rsidR="00407295">
        <w:rPr>
          <w:rFonts w:ascii="Arial" w:hAnsi="Arial" w:cs="Arial"/>
          <w:sz w:val="24"/>
          <w:szCs w:val="24"/>
        </w:rPr>
        <w:t xml:space="preserve"> denied being indebted to the respondents in the amount in their particulars of claim.</w:t>
      </w:r>
    </w:p>
    <w:p w:rsidR="00407295" w:rsidRPr="00407295" w:rsidRDefault="00407295" w:rsidP="002E4652">
      <w:pPr>
        <w:pStyle w:val="ListParagraph"/>
        <w:spacing w:after="0" w:line="480" w:lineRule="auto"/>
        <w:jc w:val="both"/>
        <w:rPr>
          <w:rFonts w:ascii="Arial" w:hAnsi="Arial" w:cs="Arial"/>
          <w:sz w:val="24"/>
          <w:szCs w:val="24"/>
        </w:rPr>
      </w:pPr>
    </w:p>
    <w:p w:rsidR="00365C2C" w:rsidRDefault="00407295" w:rsidP="002451C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his counter-claim</w:t>
      </w:r>
      <w:r w:rsidR="002451CE">
        <w:rPr>
          <w:rFonts w:ascii="Arial" w:hAnsi="Arial" w:cs="Arial"/>
          <w:sz w:val="24"/>
          <w:szCs w:val="24"/>
        </w:rPr>
        <w:t>,</w:t>
      </w:r>
      <w:r>
        <w:rPr>
          <w:rFonts w:ascii="Arial" w:hAnsi="Arial" w:cs="Arial"/>
          <w:sz w:val="24"/>
          <w:szCs w:val="24"/>
        </w:rPr>
        <w:t xml:space="preserve"> appellant repeated his allegation in his plea in that the respondent failed to supply all the necessary materials to the appellant and failed to provide building plans approved by the Municipality and as a result he failed to put up the completed manufactured shed at the premises of the </w:t>
      </w:r>
      <w:r w:rsidR="00080CBA">
        <w:rPr>
          <w:rFonts w:ascii="Arial" w:hAnsi="Arial" w:cs="Arial"/>
          <w:sz w:val="24"/>
          <w:szCs w:val="24"/>
        </w:rPr>
        <w:t>respondents</w:t>
      </w:r>
      <w:r>
        <w:rPr>
          <w:rFonts w:ascii="Arial" w:hAnsi="Arial" w:cs="Arial"/>
          <w:sz w:val="24"/>
          <w:szCs w:val="24"/>
        </w:rPr>
        <w:t>. Appellant therefore suffered damages in the amount of N$75</w:t>
      </w:r>
      <w:r w:rsidR="002451CE">
        <w:rPr>
          <w:rFonts w:ascii="Arial" w:hAnsi="Arial" w:cs="Arial"/>
          <w:sz w:val="24"/>
          <w:szCs w:val="24"/>
        </w:rPr>
        <w:t xml:space="preserve"> </w:t>
      </w:r>
      <w:r>
        <w:rPr>
          <w:rFonts w:ascii="Arial" w:hAnsi="Arial" w:cs="Arial"/>
          <w:sz w:val="24"/>
          <w:szCs w:val="24"/>
        </w:rPr>
        <w:t>000 for the first phase of the manufacturing of the shed, which damages included</w:t>
      </w:r>
      <w:r w:rsidR="002451CE">
        <w:rPr>
          <w:rFonts w:ascii="Arial" w:hAnsi="Arial" w:cs="Arial"/>
          <w:sz w:val="24"/>
          <w:szCs w:val="24"/>
        </w:rPr>
        <w:t>;</w:t>
      </w:r>
    </w:p>
    <w:p w:rsidR="00365C2C" w:rsidRPr="00365C2C" w:rsidRDefault="00365C2C" w:rsidP="00365C2C">
      <w:pPr>
        <w:pStyle w:val="ListParagraph"/>
        <w:rPr>
          <w:rFonts w:ascii="Arial" w:hAnsi="Arial" w:cs="Arial"/>
          <w:sz w:val="24"/>
          <w:szCs w:val="24"/>
        </w:rPr>
      </w:pPr>
    </w:p>
    <w:p w:rsidR="00365C2C" w:rsidRDefault="00365C2C" w:rsidP="00365C2C">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(a) the making of the shed; </w:t>
      </w:r>
    </w:p>
    <w:p w:rsidR="00365C2C" w:rsidRDefault="00365C2C" w:rsidP="00365C2C">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(b) the construction of putting up the shed on Erf 85; </w:t>
      </w:r>
    </w:p>
    <w:p w:rsidR="00365C2C" w:rsidRDefault="00365C2C" w:rsidP="00365C2C">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(c) the foundation of the shed;</w:t>
      </w:r>
    </w:p>
    <w:p w:rsidR="00365C2C" w:rsidRDefault="00365C2C" w:rsidP="00365C2C">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(d) the overall completion of the metal construction, and the drawing of plans of the shed as well as the drawing from the engineer. </w:t>
      </w:r>
    </w:p>
    <w:p w:rsidR="00407295" w:rsidRPr="00365C2C" w:rsidRDefault="000948AC" w:rsidP="002451CE">
      <w:pPr>
        <w:pStyle w:val="ListParagraph"/>
        <w:numPr>
          <w:ilvl w:val="0"/>
          <w:numId w:val="1"/>
        </w:numPr>
        <w:tabs>
          <w:tab w:val="left" w:pos="851"/>
        </w:tabs>
        <w:spacing w:after="0" w:line="480" w:lineRule="auto"/>
        <w:ind w:left="0" w:hanging="11"/>
        <w:jc w:val="both"/>
        <w:rPr>
          <w:rFonts w:ascii="Arial" w:hAnsi="Arial" w:cs="Arial"/>
          <w:sz w:val="24"/>
          <w:szCs w:val="24"/>
        </w:rPr>
      </w:pPr>
      <w:r w:rsidRPr="00365C2C">
        <w:rPr>
          <w:rFonts w:ascii="Arial" w:hAnsi="Arial" w:cs="Arial"/>
          <w:sz w:val="24"/>
          <w:szCs w:val="24"/>
        </w:rPr>
        <w:lastRenderedPageBreak/>
        <w:t>Respondents were therefore legally liable to compensate the appellant in the said sum and prayed for judgment in the sum of N$75</w:t>
      </w:r>
      <w:r w:rsidR="002451CE" w:rsidRPr="00365C2C">
        <w:rPr>
          <w:rFonts w:ascii="Arial" w:hAnsi="Arial" w:cs="Arial"/>
          <w:sz w:val="24"/>
          <w:szCs w:val="24"/>
        </w:rPr>
        <w:t> </w:t>
      </w:r>
      <w:r w:rsidRPr="00365C2C">
        <w:rPr>
          <w:rFonts w:ascii="Arial" w:hAnsi="Arial" w:cs="Arial"/>
          <w:sz w:val="24"/>
          <w:szCs w:val="24"/>
        </w:rPr>
        <w:t>000</w:t>
      </w:r>
      <w:r w:rsidR="002451CE" w:rsidRPr="00365C2C">
        <w:rPr>
          <w:rFonts w:ascii="Arial" w:hAnsi="Arial" w:cs="Arial"/>
          <w:sz w:val="24"/>
          <w:szCs w:val="24"/>
        </w:rPr>
        <w:t>,</w:t>
      </w:r>
      <w:r w:rsidRPr="00365C2C">
        <w:rPr>
          <w:rFonts w:ascii="Arial" w:hAnsi="Arial" w:cs="Arial"/>
          <w:sz w:val="24"/>
          <w:szCs w:val="24"/>
        </w:rPr>
        <w:t xml:space="preserve"> plus interest thereon </w:t>
      </w:r>
      <w:r w:rsidRPr="00365C2C">
        <w:rPr>
          <w:rFonts w:ascii="Arial" w:hAnsi="Arial" w:cs="Arial"/>
          <w:i/>
          <w:sz w:val="24"/>
          <w:szCs w:val="24"/>
        </w:rPr>
        <w:t>a</w:t>
      </w:r>
      <w:r w:rsidRPr="00365C2C">
        <w:rPr>
          <w:rFonts w:ascii="Arial" w:hAnsi="Arial" w:cs="Arial"/>
          <w:sz w:val="24"/>
          <w:szCs w:val="24"/>
        </w:rPr>
        <w:t xml:space="preserve"> </w:t>
      </w:r>
      <w:r w:rsidRPr="00365C2C">
        <w:rPr>
          <w:rFonts w:ascii="Arial" w:hAnsi="Arial" w:cs="Arial"/>
          <w:i/>
          <w:sz w:val="24"/>
          <w:szCs w:val="24"/>
        </w:rPr>
        <w:t xml:space="preserve">tempore morae </w:t>
      </w:r>
      <w:r w:rsidRPr="00365C2C">
        <w:rPr>
          <w:rFonts w:ascii="Arial" w:hAnsi="Arial" w:cs="Arial"/>
          <w:sz w:val="24"/>
          <w:szCs w:val="24"/>
        </w:rPr>
        <w:t>at the rate of 20% per annum from date of judgment to date of payment and costs of suit.</w:t>
      </w:r>
    </w:p>
    <w:p w:rsidR="000948AC" w:rsidRPr="000948AC" w:rsidRDefault="000948AC" w:rsidP="002E4652">
      <w:pPr>
        <w:pStyle w:val="ListParagraph"/>
        <w:spacing w:after="0" w:line="480" w:lineRule="auto"/>
        <w:jc w:val="both"/>
        <w:rPr>
          <w:rFonts w:ascii="Arial" w:hAnsi="Arial" w:cs="Arial"/>
          <w:sz w:val="24"/>
          <w:szCs w:val="24"/>
        </w:rPr>
      </w:pPr>
    </w:p>
    <w:p w:rsidR="000948AC" w:rsidRDefault="000948AC"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replication</w:t>
      </w:r>
      <w:r w:rsidR="002451CE">
        <w:rPr>
          <w:rFonts w:ascii="Arial" w:hAnsi="Arial" w:cs="Arial"/>
          <w:sz w:val="24"/>
          <w:szCs w:val="24"/>
        </w:rPr>
        <w:t>,</w:t>
      </w:r>
      <w:r>
        <w:rPr>
          <w:rFonts w:ascii="Arial" w:hAnsi="Arial" w:cs="Arial"/>
          <w:sz w:val="24"/>
          <w:szCs w:val="24"/>
        </w:rPr>
        <w:t xml:space="preserve"> the respondents pleaded that in respect of invoices BBS 5 and 7 to the respondents’ particulars of claim, the flat bar and </w:t>
      </w:r>
      <w:r w:rsidR="00084D18">
        <w:rPr>
          <w:rFonts w:ascii="Arial" w:hAnsi="Arial" w:cs="Arial"/>
          <w:sz w:val="24"/>
          <w:szCs w:val="24"/>
        </w:rPr>
        <w:t>m</w:t>
      </w:r>
      <w:r>
        <w:rPr>
          <w:rFonts w:ascii="Arial" w:hAnsi="Arial" w:cs="Arial"/>
          <w:sz w:val="24"/>
          <w:szCs w:val="24"/>
        </w:rPr>
        <w:t>ild steel were delivered to the appellant and signed for by the appellant’s staff members</w:t>
      </w:r>
      <w:r w:rsidR="002451CE">
        <w:rPr>
          <w:rFonts w:ascii="Arial" w:hAnsi="Arial" w:cs="Arial"/>
          <w:sz w:val="24"/>
          <w:szCs w:val="24"/>
        </w:rPr>
        <w:t>,</w:t>
      </w:r>
      <w:r>
        <w:rPr>
          <w:rFonts w:ascii="Arial" w:hAnsi="Arial" w:cs="Arial"/>
          <w:sz w:val="24"/>
          <w:szCs w:val="24"/>
        </w:rPr>
        <w:t xml:space="preserve"> which the appellant acknowledged having received in the undated letter of appellant’s son annexure “A” to appellant’s counterclaim and annexure </w:t>
      </w:r>
      <w:r w:rsidR="000065D9">
        <w:rPr>
          <w:rFonts w:ascii="Arial" w:hAnsi="Arial" w:cs="Arial"/>
          <w:sz w:val="24"/>
          <w:szCs w:val="24"/>
        </w:rPr>
        <w:t>“</w:t>
      </w:r>
      <w:r>
        <w:rPr>
          <w:rFonts w:ascii="Arial" w:hAnsi="Arial" w:cs="Arial"/>
          <w:sz w:val="24"/>
          <w:szCs w:val="24"/>
        </w:rPr>
        <w:t>BBS I</w:t>
      </w:r>
      <w:r w:rsidR="000065D9">
        <w:rPr>
          <w:rFonts w:ascii="Arial" w:hAnsi="Arial" w:cs="Arial"/>
          <w:sz w:val="24"/>
          <w:szCs w:val="24"/>
        </w:rPr>
        <w:t>”</w:t>
      </w:r>
      <w:r>
        <w:rPr>
          <w:rFonts w:ascii="Arial" w:hAnsi="Arial" w:cs="Arial"/>
          <w:sz w:val="24"/>
          <w:szCs w:val="24"/>
        </w:rPr>
        <w:t xml:space="preserve"> to respondents’ particulars of claim. The respondents further pleaded that the appellant confirmed the completion of the shed</w:t>
      </w:r>
      <w:r w:rsidR="00080CBA">
        <w:rPr>
          <w:rFonts w:ascii="Arial" w:hAnsi="Arial" w:cs="Arial"/>
          <w:sz w:val="24"/>
          <w:szCs w:val="24"/>
        </w:rPr>
        <w:t xml:space="preserve"> </w:t>
      </w:r>
      <w:r>
        <w:rPr>
          <w:rFonts w:ascii="Arial" w:hAnsi="Arial" w:cs="Arial"/>
          <w:sz w:val="24"/>
          <w:szCs w:val="24"/>
        </w:rPr>
        <w:t>in the email of 12 July 2016, which means the appellant received all the necessary material</w:t>
      </w:r>
      <w:r w:rsidR="00080CBA">
        <w:rPr>
          <w:rFonts w:ascii="Arial" w:hAnsi="Arial" w:cs="Arial"/>
          <w:sz w:val="24"/>
          <w:szCs w:val="24"/>
        </w:rPr>
        <w:t>s</w:t>
      </w:r>
      <w:r>
        <w:rPr>
          <w:rFonts w:ascii="Arial" w:hAnsi="Arial" w:cs="Arial"/>
          <w:sz w:val="24"/>
          <w:szCs w:val="24"/>
        </w:rPr>
        <w:t xml:space="preserve"> to complete the shed. On the municipal approval</w:t>
      </w:r>
      <w:r w:rsidR="002451CE">
        <w:rPr>
          <w:rFonts w:ascii="Arial" w:hAnsi="Arial" w:cs="Arial"/>
          <w:sz w:val="24"/>
          <w:szCs w:val="24"/>
        </w:rPr>
        <w:t>,</w:t>
      </w:r>
      <w:r>
        <w:rPr>
          <w:rFonts w:ascii="Arial" w:hAnsi="Arial" w:cs="Arial"/>
          <w:sz w:val="24"/>
          <w:szCs w:val="24"/>
        </w:rPr>
        <w:t xml:space="preserve"> respondents pleaded that appellant on numerous occasions indicated to the second respondent and his manager, Mr Johan Cronje,</w:t>
      </w:r>
      <w:r w:rsidR="00201E13">
        <w:rPr>
          <w:rFonts w:ascii="Arial" w:hAnsi="Arial" w:cs="Arial"/>
          <w:sz w:val="24"/>
          <w:szCs w:val="24"/>
        </w:rPr>
        <w:t xml:space="preserve"> </w:t>
      </w:r>
      <w:r>
        <w:rPr>
          <w:rFonts w:ascii="Arial" w:hAnsi="Arial" w:cs="Arial"/>
          <w:sz w:val="24"/>
          <w:szCs w:val="24"/>
        </w:rPr>
        <w:t>that the appellant was in the process of getting the municipal plans approved.</w:t>
      </w:r>
    </w:p>
    <w:p w:rsidR="000948AC" w:rsidRPr="000948AC" w:rsidRDefault="000948AC" w:rsidP="002E4652">
      <w:pPr>
        <w:pStyle w:val="ListParagraph"/>
        <w:spacing w:after="0" w:line="480" w:lineRule="auto"/>
        <w:jc w:val="both"/>
        <w:rPr>
          <w:rFonts w:ascii="Arial" w:hAnsi="Arial" w:cs="Arial"/>
          <w:sz w:val="24"/>
          <w:szCs w:val="24"/>
        </w:rPr>
      </w:pPr>
    </w:p>
    <w:p w:rsidR="000948AC" w:rsidRDefault="000948AC"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Except for repeating respondents</w:t>
      </w:r>
      <w:r w:rsidR="002451CE">
        <w:rPr>
          <w:rFonts w:ascii="Arial" w:hAnsi="Arial" w:cs="Arial"/>
          <w:sz w:val="24"/>
          <w:szCs w:val="24"/>
        </w:rPr>
        <w:t>’</w:t>
      </w:r>
      <w:r>
        <w:rPr>
          <w:rFonts w:ascii="Arial" w:hAnsi="Arial" w:cs="Arial"/>
          <w:sz w:val="24"/>
          <w:szCs w:val="24"/>
        </w:rPr>
        <w:t xml:space="preserve"> allegation on the municipal approval and the email of 12 July 2016 from the appellant to the effect that the shed had been </w:t>
      </w:r>
      <w:r w:rsidR="002E4652">
        <w:rPr>
          <w:rFonts w:ascii="Arial" w:hAnsi="Arial" w:cs="Arial"/>
          <w:sz w:val="24"/>
          <w:szCs w:val="24"/>
        </w:rPr>
        <w:t>manufactured and that appellant was awaiting the respondents’ further instructions, respondents denied every allegation contained in the appellant’s counter-claim and prayed for the dism</w:t>
      </w:r>
      <w:r w:rsidR="002451CE">
        <w:rPr>
          <w:rFonts w:ascii="Arial" w:hAnsi="Arial" w:cs="Arial"/>
          <w:sz w:val="24"/>
          <w:szCs w:val="24"/>
        </w:rPr>
        <w:t>iss</w:t>
      </w:r>
      <w:r w:rsidR="002E4652">
        <w:rPr>
          <w:rFonts w:ascii="Arial" w:hAnsi="Arial" w:cs="Arial"/>
          <w:sz w:val="24"/>
          <w:szCs w:val="24"/>
        </w:rPr>
        <w:t>al of that claim with costs.</w:t>
      </w:r>
    </w:p>
    <w:p w:rsidR="00CC59B9" w:rsidRDefault="00CC59B9" w:rsidP="002E4652">
      <w:pPr>
        <w:pStyle w:val="ListParagraph"/>
        <w:spacing w:after="0" w:line="480" w:lineRule="auto"/>
        <w:jc w:val="both"/>
        <w:rPr>
          <w:rFonts w:ascii="Arial" w:hAnsi="Arial" w:cs="Arial"/>
          <w:sz w:val="24"/>
          <w:szCs w:val="24"/>
        </w:rPr>
      </w:pPr>
    </w:p>
    <w:p w:rsidR="002132AA" w:rsidRDefault="002132AA" w:rsidP="002E4652">
      <w:pPr>
        <w:pStyle w:val="ListParagraph"/>
        <w:spacing w:after="0" w:line="480" w:lineRule="auto"/>
        <w:jc w:val="both"/>
        <w:rPr>
          <w:rFonts w:ascii="Arial" w:hAnsi="Arial" w:cs="Arial"/>
          <w:sz w:val="24"/>
          <w:szCs w:val="24"/>
        </w:rPr>
      </w:pPr>
    </w:p>
    <w:p w:rsidR="002132AA" w:rsidRDefault="002132AA" w:rsidP="002E4652">
      <w:pPr>
        <w:pStyle w:val="ListParagraph"/>
        <w:spacing w:after="0" w:line="480" w:lineRule="auto"/>
        <w:jc w:val="both"/>
        <w:rPr>
          <w:rFonts w:ascii="Arial" w:hAnsi="Arial" w:cs="Arial"/>
          <w:sz w:val="24"/>
          <w:szCs w:val="24"/>
        </w:rPr>
      </w:pPr>
    </w:p>
    <w:p w:rsidR="002E4652" w:rsidRPr="000D4497" w:rsidRDefault="002E4652" w:rsidP="002E4652">
      <w:pPr>
        <w:spacing w:after="0" w:line="480" w:lineRule="auto"/>
        <w:jc w:val="both"/>
        <w:rPr>
          <w:rFonts w:ascii="Arial" w:hAnsi="Arial" w:cs="Arial"/>
          <w:sz w:val="24"/>
          <w:szCs w:val="24"/>
          <w:u w:val="single"/>
        </w:rPr>
      </w:pPr>
      <w:r w:rsidRPr="000D4497">
        <w:rPr>
          <w:rFonts w:ascii="Arial" w:hAnsi="Arial" w:cs="Arial"/>
          <w:sz w:val="24"/>
          <w:szCs w:val="24"/>
          <w:u w:val="single"/>
        </w:rPr>
        <w:lastRenderedPageBreak/>
        <w:t xml:space="preserve">High Court </w:t>
      </w:r>
      <w:r w:rsidR="000D4497">
        <w:rPr>
          <w:rFonts w:ascii="Arial" w:hAnsi="Arial" w:cs="Arial"/>
          <w:sz w:val="24"/>
          <w:szCs w:val="24"/>
          <w:u w:val="single"/>
        </w:rPr>
        <w:t>p</w:t>
      </w:r>
      <w:r w:rsidRPr="000D4497">
        <w:rPr>
          <w:rFonts w:ascii="Arial" w:hAnsi="Arial" w:cs="Arial"/>
          <w:sz w:val="24"/>
          <w:szCs w:val="24"/>
          <w:u w:val="single"/>
        </w:rPr>
        <w:t>roceedings</w:t>
      </w:r>
    </w:p>
    <w:p w:rsidR="002E4652" w:rsidRDefault="002E4652"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court </w:t>
      </w:r>
      <w:r w:rsidRPr="000065D9">
        <w:rPr>
          <w:rFonts w:ascii="Arial" w:hAnsi="Arial" w:cs="Arial"/>
          <w:i/>
          <w:sz w:val="24"/>
          <w:szCs w:val="24"/>
        </w:rPr>
        <w:t>a quo</w:t>
      </w:r>
      <w:r>
        <w:rPr>
          <w:rFonts w:ascii="Arial" w:hAnsi="Arial" w:cs="Arial"/>
          <w:sz w:val="24"/>
          <w:szCs w:val="24"/>
        </w:rPr>
        <w:t xml:space="preserve"> found that the parties</w:t>
      </w:r>
      <w:r w:rsidR="00080CBA">
        <w:rPr>
          <w:rFonts w:ascii="Arial" w:hAnsi="Arial" w:cs="Arial"/>
          <w:sz w:val="24"/>
          <w:szCs w:val="24"/>
        </w:rPr>
        <w:t>’</w:t>
      </w:r>
      <w:r>
        <w:rPr>
          <w:rFonts w:ascii="Arial" w:hAnsi="Arial" w:cs="Arial"/>
          <w:sz w:val="24"/>
          <w:szCs w:val="24"/>
        </w:rPr>
        <w:t xml:space="preserve"> dispute centred around who was liable </w:t>
      </w:r>
      <w:r w:rsidR="00080CBA">
        <w:rPr>
          <w:rFonts w:ascii="Arial" w:hAnsi="Arial" w:cs="Arial"/>
          <w:sz w:val="24"/>
          <w:szCs w:val="24"/>
        </w:rPr>
        <w:t>t</w:t>
      </w:r>
      <w:r>
        <w:rPr>
          <w:rFonts w:ascii="Arial" w:hAnsi="Arial" w:cs="Arial"/>
          <w:sz w:val="24"/>
          <w:szCs w:val="24"/>
        </w:rPr>
        <w:t xml:space="preserve">o get the approval </w:t>
      </w:r>
      <w:r w:rsidR="002451CE">
        <w:rPr>
          <w:rFonts w:ascii="Arial" w:hAnsi="Arial" w:cs="Arial"/>
          <w:sz w:val="24"/>
          <w:szCs w:val="24"/>
        </w:rPr>
        <w:t>from</w:t>
      </w:r>
      <w:r>
        <w:rPr>
          <w:rFonts w:ascii="Arial" w:hAnsi="Arial" w:cs="Arial"/>
          <w:sz w:val="24"/>
          <w:szCs w:val="24"/>
        </w:rPr>
        <w:t xml:space="preserve"> the Municipality of Gobabis. It observed that the parties blamed each other for the obligation to obtain the municipal approval, but found that on the evidence presented</w:t>
      </w:r>
      <w:r w:rsidR="002451CE">
        <w:rPr>
          <w:rFonts w:ascii="Arial" w:hAnsi="Arial" w:cs="Arial"/>
          <w:sz w:val="24"/>
          <w:szCs w:val="24"/>
        </w:rPr>
        <w:t>,</w:t>
      </w:r>
      <w:r>
        <w:rPr>
          <w:rFonts w:ascii="Arial" w:hAnsi="Arial" w:cs="Arial"/>
          <w:sz w:val="24"/>
          <w:szCs w:val="24"/>
        </w:rPr>
        <w:t xml:space="preserve"> the appellant undertook to obtain municipal permission for the erection of the shed, but failed to do so. The court </w:t>
      </w:r>
      <w:r w:rsidRPr="000065D9">
        <w:rPr>
          <w:rFonts w:ascii="Arial" w:hAnsi="Arial" w:cs="Arial"/>
          <w:i/>
          <w:sz w:val="24"/>
          <w:szCs w:val="24"/>
        </w:rPr>
        <w:t>a quo</w:t>
      </w:r>
      <w:r>
        <w:rPr>
          <w:rFonts w:ascii="Arial" w:hAnsi="Arial" w:cs="Arial"/>
          <w:sz w:val="24"/>
          <w:szCs w:val="24"/>
        </w:rPr>
        <w:t xml:space="preserve"> reduced the respondents’ original claim to N$203 339,73. </w:t>
      </w:r>
      <w:r w:rsidR="00250623">
        <w:rPr>
          <w:rFonts w:ascii="Arial" w:hAnsi="Arial" w:cs="Arial"/>
          <w:sz w:val="24"/>
          <w:szCs w:val="24"/>
        </w:rPr>
        <w:t xml:space="preserve">It found that the </w:t>
      </w:r>
      <w:r w:rsidR="00080CBA">
        <w:rPr>
          <w:rFonts w:ascii="Arial" w:hAnsi="Arial" w:cs="Arial"/>
          <w:sz w:val="24"/>
          <w:szCs w:val="24"/>
        </w:rPr>
        <w:t>appellant</w:t>
      </w:r>
      <w:r w:rsidR="00250623">
        <w:rPr>
          <w:rFonts w:ascii="Arial" w:hAnsi="Arial" w:cs="Arial"/>
          <w:sz w:val="24"/>
          <w:szCs w:val="24"/>
        </w:rPr>
        <w:t xml:space="preserve"> failed to prove the amount he claimed for damages in that</w:t>
      </w:r>
      <w:r w:rsidR="00080CBA">
        <w:rPr>
          <w:rFonts w:ascii="Arial" w:hAnsi="Arial" w:cs="Arial"/>
          <w:sz w:val="24"/>
          <w:szCs w:val="24"/>
        </w:rPr>
        <w:t>,</w:t>
      </w:r>
      <w:r w:rsidR="00250623">
        <w:rPr>
          <w:rFonts w:ascii="Arial" w:hAnsi="Arial" w:cs="Arial"/>
          <w:sz w:val="24"/>
          <w:szCs w:val="24"/>
        </w:rPr>
        <w:t xml:space="preserve"> there </w:t>
      </w:r>
      <w:r w:rsidR="002451CE">
        <w:rPr>
          <w:rFonts w:ascii="Arial" w:hAnsi="Arial" w:cs="Arial"/>
          <w:sz w:val="24"/>
          <w:szCs w:val="24"/>
        </w:rPr>
        <w:t>wa</w:t>
      </w:r>
      <w:r w:rsidR="00250623">
        <w:rPr>
          <w:rFonts w:ascii="Arial" w:hAnsi="Arial" w:cs="Arial"/>
          <w:sz w:val="24"/>
          <w:szCs w:val="24"/>
        </w:rPr>
        <w:t xml:space="preserve">s no expert valuation of the work done in the manufacturing of the shed and no proof of the amount paid to the architect nor an invoice for the base plates. The court </w:t>
      </w:r>
      <w:r w:rsidR="00250623" w:rsidRPr="000065D9">
        <w:rPr>
          <w:rFonts w:ascii="Arial" w:hAnsi="Arial" w:cs="Arial"/>
          <w:i/>
          <w:sz w:val="24"/>
          <w:szCs w:val="24"/>
        </w:rPr>
        <w:t>a quo</w:t>
      </w:r>
      <w:r w:rsidR="00250623">
        <w:rPr>
          <w:rFonts w:ascii="Arial" w:hAnsi="Arial" w:cs="Arial"/>
          <w:sz w:val="24"/>
          <w:szCs w:val="24"/>
        </w:rPr>
        <w:t xml:space="preserve"> further remarked that appellant was in possession of the structure he manufactured, which he did not tender in the pleadings</w:t>
      </w:r>
      <w:r w:rsidR="002451CE">
        <w:rPr>
          <w:rFonts w:ascii="Arial" w:hAnsi="Arial" w:cs="Arial"/>
          <w:sz w:val="24"/>
          <w:szCs w:val="24"/>
        </w:rPr>
        <w:t>,</w:t>
      </w:r>
      <w:r w:rsidR="00250623">
        <w:rPr>
          <w:rFonts w:ascii="Arial" w:hAnsi="Arial" w:cs="Arial"/>
          <w:sz w:val="24"/>
          <w:szCs w:val="24"/>
        </w:rPr>
        <w:t xml:space="preserve"> and that he should have in his possession any remaining material supplied to him by the respondents and the base plates he allegedly bought. The court </w:t>
      </w:r>
      <w:r w:rsidR="00250623" w:rsidRPr="000065D9">
        <w:rPr>
          <w:rFonts w:ascii="Arial" w:hAnsi="Arial" w:cs="Arial"/>
          <w:i/>
          <w:sz w:val="24"/>
          <w:szCs w:val="24"/>
        </w:rPr>
        <w:t>a quo</w:t>
      </w:r>
      <w:r w:rsidR="00250623">
        <w:rPr>
          <w:rFonts w:ascii="Arial" w:hAnsi="Arial" w:cs="Arial"/>
          <w:sz w:val="24"/>
          <w:szCs w:val="24"/>
        </w:rPr>
        <w:t xml:space="preserve"> under the circumstances accepted that the manufactured but un-erected shed has monetary value far exceeding the damages claimed by the appellant.</w:t>
      </w:r>
    </w:p>
    <w:p w:rsidR="00250623" w:rsidRDefault="00250623" w:rsidP="00250623">
      <w:pPr>
        <w:pStyle w:val="ListParagraph"/>
        <w:tabs>
          <w:tab w:val="left" w:pos="851"/>
        </w:tabs>
        <w:spacing w:after="0" w:line="480" w:lineRule="auto"/>
        <w:ind w:left="0"/>
        <w:jc w:val="both"/>
        <w:rPr>
          <w:rFonts w:ascii="Arial" w:hAnsi="Arial" w:cs="Arial"/>
          <w:sz w:val="24"/>
          <w:szCs w:val="24"/>
        </w:rPr>
      </w:pPr>
    </w:p>
    <w:p w:rsidR="006162CA" w:rsidRDefault="00250623"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court </w:t>
      </w:r>
      <w:r w:rsidRPr="000065D9">
        <w:rPr>
          <w:rFonts w:ascii="Arial" w:hAnsi="Arial" w:cs="Arial"/>
          <w:i/>
          <w:sz w:val="24"/>
          <w:szCs w:val="24"/>
        </w:rPr>
        <w:t>a quo</w:t>
      </w:r>
      <w:r>
        <w:rPr>
          <w:rFonts w:ascii="Arial" w:hAnsi="Arial" w:cs="Arial"/>
          <w:sz w:val="24"/>
          <w:szCs w:val="24"/>
        </w:rPr>
        <w:t xml:space="preserve"> accepted respondents’ case that the appellant did not complete his part of the agreement between the parties and respondents were not liable to pay anything to the appellant</w:t>
      </w:r>
      <w:r w:rsidR="006162CA">
        <w:rPr>
          <w:rFonts w:ascii="Arial" w:hAnsi="Arial" w:cs="Arial"/>
          <w:sz w:val="24"/>
          <w:szCs w:val="24"/>
        </w:rPr>
        <w:t>. Furthermore to this</w:t>
      </w:r>
      <w:r w:rsidR="00080CBA">
        <w:rPr>
          <w:rFonts w:ascii="Arial" w:hAnsi="Arial" w:cs="Arial"/>
          <w:sz w:val="24"/>
          <w:szCs w:val="24"/>
        </w:rPr>
        <w:t>,</w:t>
      </w:r>
      <w:r w:rsidR="006162CA">
        <w:rPr>
          <w:rFonts w:ascii="Arial" w:hAnsi="Arial" w:cs="Arial"/>
          <w:sz w:val="24"/>
          <w:szCs w:val="24"/>
        </w:rPr>
        <w:t xml:space="preserve"> the appellant was placed </w:t>
      </w:r>
      <w:r w:rsidR="006162CA" w:rsidRPr="000065D9">
        <w:rPr>
          <w:rFonts w:ascii="Arial" w:hAnsi="Arial" w:cs="Arial"/>
          <w:i/>
          <w:sz w:val="24"/>
          <w:szCs w:val="24"/>
        </w:rPr>
        <w:t>in mora</w:t>
      </w:r>
      <w:r w:rsidR="006162CA">
        <w:rPr>
          <w:rFonts w:ascii="Arial" w:hAnsi="Arial" w:cs="Arial"/>
          <w:sz w:val="24"/>
          <w:szCs w:val="24"/>
        </w:rPr>
        <w:t xml:space="preserve"> and the contract was duly cancelled by the respondents. As a result</w:t>
      </w:r>
      <w:r w:rsidR="002451CE">
        <w:rPr>
          <w:rFonts w:ascii="Arial" w:hAnsi="Arial" w:cs="Arial"/>
          <w:sz w:val="24"/>
          <w:szCs w:val="24"/>
        </w:rPr>
        <w:t>,</w:t>
      </w:r>
      <w:r w:rsidR="006162CA">
        <w:rPr>
          <w:rFonts w:ascii="Arial" w:hAnsi="Arial" w:cs="Arial"/>
          <w:sz w:val="24"/>
          <w:szCs w:val="24"/>
        </w:rPr>
        <w:t xml:space="preserve"> the court ordered appellant to pay the value of the material</w:t>
      </w:r>
      <w:r w:rsidR="000065D9">
        <w:rPr>
          <w:rFonts w:ascii="Arial" w:hAnsi="Arial" w:cs="Arial"/>
          <w:sz w:val="24"/>
          <w:szCs w:val="24"/>
        </w:rPr>
        <w:t>s</w:t>
      </w:r>
      <w:r w:rsidR="006162CA">
        <w:rPr>
          <w:rFonts w:ascii="Arial" w:hAnsi="Arial" w:cs="Arial"/>
          <w:sz w:val="24"/>
          <w:szCs w:val="24"/>
        </w:rPr>
        <w:t xml:space="preserve"> delivered to him in the sum of N$203 339,73, interest thereon and costs of the suit.</w:t>
      </w:r>
    </w:p>
    <w:p w:rsidR="00CC59B9" w:rsidRDefault="00CC59B9" w:rsidP="006162CA">
      <w:pPr>
        <w:spacing w:after="0" w:line="480" w:lineRule="auto"/>
        <w:jc w:val="both"/>
        <w:rPr>
          <w:rFonts w:ascii="Arial" w:hAnsi="Arial" w:cs="Arial"/>
          <w:sz w:val="24"/>
          <w:szCs w:val="24"/>
        </w:rPr>
      </w:pPr>
    </w:p>
    <w:p w:rsidR="002132AA" w:rsidRDefault="002132AA" w:rsidP="006162CA">
      <w:pPr>
        <w:spacing w:after="0" w:line="480" w:lineRule="auto"/>
        <w:jc w:val="both"/>
        <w:rPr>
          <w:rFonts w:ascii="Arial" w:hAnsi="Arial" w:cs="Arial"/>
          <w:sz w:val="24"/>
          <w:szCs w:val="24"/>
        </w:rPr>
      </w:pPr>
    </w:p>
    <w:p w:rsidR="006162CA" w:rsidRPr="000D4497" w:rsidRDefault="006162CA" w:rsidP="006162CA">
      <w:pPr>
        <w:spacing w:after="0" w:line="480" w:lineRule="auto"/>
        <w:jc w:val="both"/>
        <w:rPr>
          <w:rFonts w:ascii="Arial" w:hAnsi="Arial" w:cs="Arial"/>
          <w:sz w:val="24"/>
          <w:szCs w:val="24"/>
          <w:u w:val="single"/>
        </w:rPr>
      </w:pPr>
      <w:r w:rsidRPr="000D4497">
        <w:rPr>
          <w:rFonts w:ascii="Arial" w:hAnsi="Arial" w:cs="Arial"/>
          <w:sz w:val="24"/>
          <w:szCs w:val="24"/>
          <w:u w:val="single"/>
        </w:rPr>
        <w:lastRenderedPageBreak/>
        <w:t>Submissions in this court</w:t>
      </w:r>
    </w:p>
    <w:p w:rsidR="00250623" w:rsidRDefault="006162CA"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Mr Mouton who represented and argued the appellant’s </w:t>
      </w:r>
      <w:r w:rsidR="00532B7C">
        <w:rPr>
          <w:rFonts w:ascii="Arial" w:hAnsi="Arial" w:cs="Arial"/>
          <w:sz w:val="24"/>
          <w:szCs w:val="24"/>
        </w:rPr>
        <w:t>appeal abandoned the heads of argument filed by the instructing legal representative</w:t>
      </w:r>
      <w:r w:rsidR="00080CBA">
        <w:rPr>
          <w:rFonts w:ascii="Arial" w:hAnsi="Arial" w:cs="Arial"/>
          <w:sz w:val="24"/>
          <w:szCs w:val="24"/>
        </w:rPr>
        <w:t>,</w:t>
      </w:r>
      <w:r w:rsidR="00532B7C">
        <w:rPr>
          <w:rFonts w:ascii="Arial" w:hAnsi="Arial" w:cs="Arial"/>
          <w:sz w:val="24"/>
          <w:szCs w:val="24"/>
        </w:rPr>
        <w:t xml:space="preserve"> conceded that the appellant’s counter-claim </w:t>
      </w:r>
      <w:r w:rsidR="00023DE1" w:rsidRPr="00427859">
        <w:rPr>
          <w:rFonts w:ascii="Arial" w:hAnsi="Arial" w:cs="Arial"/>
          <w:color w:val="000000" w:themeColor="text1"/>
          <w:sz w:val="24"/>
          <w:szCs w:val="24"/>
        </w:rPr>
        <w:t>could not succeed</w:t>
      </w:r>
      <w:r w:rsidR="00C5761E">
        <w:rPr>
          <w:rFonts w:ascii="Arial" w:hAnsi="Arial" w:cs="Arial"/>
          <w:color w:val="000000" w:themeColor="text1"/>
          <w:sz w:val="24"/>
          <w:szCs w:val="24"/>
        </w:rPr>
        <w:t>,</w:t>
      </w:r>
      <w:r w:rsidR="00023DE1" w:rsidRPr="00427859">
        <w:rPr>
          <w:rFonts w:ascii="Arial" w:hAnsi="Arial" w:cs="Arial"/>
          <w:color w:val="000000" w:themeColor="text1"/>
          <w:sz w:val="24"/>
          <w:szCs w:val="24"/>
        </w:rPr>
        <w:t xml:space="preserve"> but submitted that an order of absolution from the instance should have been granted and not an order which, in effect, dismissed the counter-claim. Mr Mouton further </w:t>
      </w:r>
      <w:r w:rsidR="00A4280E">
        <w:rPr>
          <w:rFonts w:ascii="Arial" w:hAnsi="Arial" w:cs="Arial"/>
          <w:sz w:val="24"/>
          <w:szCs w:val="24"/>
        </w:rPr>
        <w:t>argued that the respondents’ particulars of claim do not allege damages</w:t>
      </w:r>
      <w:r w:rsidR="002451CE">
        <w:rPr>
          <w:rFonts w:ascii="Arial" w:hAnsi="Arial" w:cs="Arial"/>
          <w:sz w:val="24"/>
          <w:szCs w:val="24"/>
        </w:rPr>
        <w:t>,</w:t>
      </w:r>
      <w:r w:rsidR="00A4280E">
        <w:rPr>
          <w:rFonts w:ascii="Arial" w:hAnsi="Arial" w:cs="Arial"/>
          <w:sz w:val="24"/>
          <w:szCs w:val="24"/>
        </w:rPr>
        <w:t xml:space="preserve"> but that </w:t>
      </w:r>
      <w:r w:rsidR="00023DE1" w:rsidRPr="00427859">
        <w:rPr>
          <w:rFonts w:ascii="Arial" w:hAnsi="Arial" w:cs="Arial"/>
          <w:color w:val="000000" w:themeColor="text1"/>
          <w:sz w:val="24"/>
          <w:szCs w:val="24"/>
        </w:rPr>
        <w:t xml:space="preserve">is what </w:t>
      </w:r>
      <w:r w:rsidR="00A4280E">
        <w:rPr>
          <w:rFonts w:ascii="Arial" w:hAnsi="Arial" w:cs="Arial"/>
          <w:sz w:val="24"/>
          <w:szCs w:val="24"/>
        </w:rPr>
        <w:t>they</w:t>
      </w:r>
      <w:r w:rsidR="00023DE1">
        <w:rPr>
          <w:rFonts w:ascii="Arial" w:hAnsi="Arial" w:cs="Arial"/>
          <w:sz w:val="24"/>
          <w:szCs w:val="24"/>
        </w:rPr>
        <w:t xml:space="preserve"> claim as they</w:t>
      </w:r>
      <w:r w:rsidR="00A4280E">
        <w:rPr>
          <w:rFonts w:ascii="Arial" w:hAnsi="Arial" w:cs="Arial"/>
          <w:sz w:val="24"/>
          <w:szCs w:val="24"/>
        </w:rPr>
        <w:t xml:space="preserve"> claimed the purchase price of the materials delivered to the appellant. </w:t>
      </w:r>
      <w:r w:rsidR="00023DE1" w:rsidRPr="00427859">
        <w:rPr>
          <w:rFonts w:ascii="Arial" w:hAnsi="Arial" w:cs="Arial"/>
          <w:color w:val="000000" w:themeColor="text1"/>
          <w:sz w:val="24"/>
          <w:szCs w:val="24"/>
        </w:rPr>
        <w:t xml:space="preserve">The submission then proceeded on the basis that it was not proven that the purchase price of the materials equated to damages suffered by the respondents. </w:t>
      </w:r>
      <w:r w:rsidR="00A4280E">
        <w:rPr>
          <w:rFonts w:ascii="Arial" w:hAnsi="Arial" w:cs="Arial"/>
          <w:sz w:val="24"/>
          <w:szCs w:val="24"/>
        </w:rPr>
        <w:t xml:space="preserve">Mr Mouton further argued that the probabilities favour the appellant as to who should have obtained municipal approval and that the </w:t>
      </w:r>
      <w:r w:rsidR="00A4280E" w:rsidRPr="000065D9">
        <w:rPr>
          <w:rFonts w:ascii="Arial" w:hAnsi="Arial" w:cs="Arial"/>
          <w:i/>
          <w:sz w:val="24"/>
          <w:szCs w:val="24"/>
        </w:rPr>
        <w:t>court a quo</w:t>
      </w:r>
      <w:r w:rsidR="00A4280E">
        <w:rPr>
          <w:rFonts w:ascii="Arial" w:hAnsi="Arial" w:cs="Arial"/>
          <w:sz w:val="24"/>
          <w:szCs w:val="24"/>
        </w:rPr>
        <w:t xml:space="preserve"> should have returned the verdict of absolution from the instance.</w:t>
      </w:r>
    </w:p>
    <w:p w:rsidR="00A4280E" w:rsidRDefault="00A4280E" w:rsidP="00A4280E">
      <w:pPr>
        <w:pStyle w:val="ListParagraph"/>
        <w:tabs>
          <w:tab w:val="left" w:pos="851"/>
        </w:tabs>
        <w:spacing w:after="0" w:line="480" w:lineRule="auto"/>
        <w:ind w:left="0"/>
        <w:jc w:val="both"/>
        <w:rPr>
          <w:rFonts w:ascii="Arial" w:hAnsi="Arial" w:cs="Arial"/>
          <w:sz w:val="24"/>
          <w:szCs w:val="24"/>
        </w:rPr>
      </w:pPr>
    </w:p>
    <w:p w:rsidR="00A4280E" w:rsidRDefault="00A4280E"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Mr</w:t>
      </w:r>
      <w:r w:rsidR="00080CBA">
        <w:rPr>
          <w:rFonts w:ascii="Arial" w:hAnsi="Arial" w:cs="Arial"/>
          <w:sz w:val="24"/>
          <w:szCs w:val="24"/>
        </w:rPr>
        <w:t xml:space="preserve"> M</w:t>
      </w:r>
      <w:r>
        <w:rPr>
          <w:rFonts w:ascii="Arial" w:hAnsi="Arial" w:cs="Arial"/>
          <w:sz w:val="24"/>
          <w:szCs w:val="24"/>
        </w:rPr>
        <w:t>u</w:t>
      </w:r>
      <w:r w:rsidR="00080CBA">
        <w:rPr>
          <w:rFonts w:ascii="Arial" w:hAnsi="Arial" w:cs="Arial"/>
          <w:sz w:val="24"/>
          <w:szCs w:val="24"/>
        </w:rPr>
        <w:t>hongo</w:t>
      </w:r>
      <w:r>
        <w:rPr>
          <w:rFonts w:ascii="Arial" w:hAnsi="Arial" w:cs="Arial"/>
          <w:sz w:val="24"/>
          <w:szCs w:val="24"/>
        </w:rPr>
        <w:t xml:space="preserve"> for the respondents contended that on the limited issue of the obligation to obtain the municipal permission for the erection of the shed, the issue falls to be decided in favour of the respondents.</w:t>
      </w:r>
    </w:p>
    <w:p w:rsidR="00A4280E" w:rsidRPr="00A4280E" w:rsidRDefault="00A4280E" w:rsidP="00A4280E">
      <w:pPr>
        <w:pStyle w:val="ListParagraph"/>
        <w:spacing w:after="0" w:line="480" w:lineRule="auto"/>
        <w:jc w:val="both"/>
        <w:rPr>
          <w:rFonts w:ascii="Arial" w:hAnsi="Arial" w:cs="Arial"/>
          <w:sz w:val="24"/>
          <w:szCs w:val="24"/>
        </w:rPr>
      </w:pPr>
    </w:p>
    <w:p w:rsidR="00A4280E" w:rsidRDefault="00A4280E"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During November 2016</w:t>
      </w:r>
      <w:r w:rsidR="002451CE">
        <w:rPr>
          <w:rFonts w:ascii="Arial" w:hAnsi="Arial" w:cs="Arial"/>
          <w:sz w:val="24"/>
          <w:szCs w:val="24"/>
        </w:rPr>
        <w:t>,</w:t>
      </w:r>
      <w:r>
        <w:rPr>
          <w:rFonts w:ascii="Arial" w:hAnsi="Arial" w:cs="Arial"/>
          <w:sz w:val="24"/>
          <w:szCs w:val="24"/>
        </w:rPr>
        <w:t xml:space="preserve"> the respondents through their legal representatives of record had demanded in writing that the appellant manufactures and erect</w:t>
      </w:r>
      <w:r w:rsidR="0050360E">
        <w:rPr>
          <w:rFonts w:ascii="Arial" w:hAnsi="Arial" w:cs="Arial"/>
          <w:sz w:val="24"/>
          <w:szCs w:val="24"/>
        </w:rPr>
        <w:t>s</w:t>
      </w:r>
      <w:r>
        <w:rPr>
          <w:rFonts w:ascii="Arial" w:hAnsi="Arial" w:cs="Arial"/>
          <w:sz w:val="24"/>
          <w:szCs w:val="24"/>
        </w:rPr>
        <w:t xml:space="preserve"> the shed</w:t>
      </w:r>
      <w:r w:rsidR="002451CE">
        <w:rPr>
          <w:rFonts w:ascii="Arial" w:hAnsi="Arial" w:cs="Arial"/>
          <w:sz w:val="24"/>
          <w:szCs w:val="24"/>
        </w:rPr>
        <w:t>,</w:t>
      </w:r>
      <w:r>
        <w:rPr>
          <w:rFonts w:ascii="Arial" w:hAnsi="Arial" w:cs="Arial"/>
          <w:sz w:val="24"/>
          <w:szCs w:val="24"/>
        </w:rPr>
        <w:t xml:space="preserve"> failing which</w:t>
      </w:r>
      <w:r w:rsidR="002451CE">
        <w:rPr>
          <w:rFonts w:ascii="Arial" w:hAnsi="Arial" w:cs="Arial"/>
          <w:sz w:val="24"/>
          <w:szCs w:val="24"/>
        </w:rPr>
        <w:t>,</w:t>
      </w:r>
      <w:r>
        <w:rPr>
          <w:rFonts w:ascii="Arial" w:hAnsi="Arial" w:cs="Arial"/>
          <w:sz w:val="24"/>
          <w:szCs w:val="24"/>
        </w:rPr>
        <w:t xml:space="preserve"> the agreement between the parties would be cancelled</w:t>
      </w:r>
      <w:r w:rsidR="002451CE">
        <w:rPr>
          <w:rFonts w:ascii="Arial" w:hAnsi="Arial" w:cs="Arial"/>
          <w:sz w:val="24"/>
          <w:szCs w:val="24"/>
        </w:rPr>
        <w:t>.</w:t>
      </w:r>
      <w:r>
        <w:rPr>
          <w:rFonts w:ascii="Arial" w:hAnsi="Arial" w:cs="Arial"/>
          <w:sz w:val="24"/>
          <w:szCs w:val="24"/>
        </w:rPr>
        <w:t xml:space="preserve"> Notwithstanding the demand</w:t>
      </w:r>
      <w:r w:rsidR="002451CE">
        <w:rPr>
          <w:rFonts w:ascii="Arial" w:hAnsi="Arial" w:cs="Arial"/>
          <w:sz w:val="24"/>
          <w:szCs w:val="24"/>
        </w:rPr>
        <w:t>,</w:t>
      </w:r>
      <w:r>
        <w:rPr>
          <w:rFonts w:ascii="Arial" w:hAnsi="Arial" w:cs="Arial"/>
          <w:sz w:val="24"/>
          <w:szCs w:val="24"/>
        </w:rPr>
        <w:t xml:space="preserve"> the appellant allegedly failed to perform as per the agreement, in the alternative</w:t>
      </w:r>
      <w:r w:rsidR="002451CE">
        <w:rPr>
          <w:rFonts w:ascii="Arial" w:hAnsi="Arial" w:cs="Arial"/>
          <w:sz w:val="24"/>
          <w:szCs w:val="24"/>
        </w:rPr>
        <w:t>,</w:t>
      </w:r>
      <w:r>
        <w:rPr>
          <w:rFonts w:ascii="Arial" w:hAnsi="Arial" w:cs="Arial"/>
          <w:sz w:val="24"/>
          <w:szCs w:val="24"/>
        </w:rPr>
        <w:t xml:space="preserve"> he failed to reimburse the respondents the value of the materials delivered to him</w:t>
      </w:r>
      <w:r w:rsidR="002451CE">
        <w:rPr>
          <w:rFonts w:ascii="Arial" w:hAnsi="Arial" w:cs="Arial"/>
          <w:sz w:val="24"/>
          <w:szCs w:val="24"/>
        </w:rPr>
        <w:t>,</w:t>
      </w:r>
      <w:r>
        <w:rPr>
          <w:rFonts w:ascii="Arial" w:hAnsi="Arial" w:cs="Arial"/>
          <w:sz w:val="24"/>
          <w:szCs w:val="24"/>
        </w:rPr>
        <w:t xml:space="preserve"> resulting in the respondents</w:t>
      </w:r>
      <w:r w:rsidR="00FC2B00">
        <w:rPr>
          <w:rFonts w:ascii="Arial" w:hAnsi="Arial" w:cs="Arial"/>
          <w:sz w:val="24"/>
          <w:szCs w:val="24"/>
        </w:rPr>
        <w:t xml:space="preserve"> cancelling the </w:t>
      </w:r>
      <w:r w:rsidR="00FC2B00">
        <w:rPr>
          <w:rFonts w:ascii="Arial" w:hAnsi="Arial" w:cs="Arial"/>
          <w:sz w:val="24"/>
          <w:szCs w:val="24"/>
        </w:rPr>
        <w:lastRenderedPageBreak/>
        <w:t>agreement. Appellant denies having received the written demand and pleaded that the agreement was mutually cancelled by the parties.</w:t>
      </w:r>
    </w:p>
    <w:p w:rsidR="00FC2B00" w:rsidRPr="00FC2B00" w:rsidRDefault="00FC2B00" w:rsidP="00FC2B00">
      <w:pPr>
        <w:pStyle w:val="ListParagraph"/>
        <w:spacing w:after="0" w:line="480" w:lineRule="auto"/>
        <w:jc w:val="both"/>
        <w:rPr>
          <w:rFonts w:ascii="Arial" w:hAnsi="Arial" w:cs="Arial"/>
          <w:sz w:val="24"/>
          <w:szCs w:val="24"/>
        </w:rPr>
      </w:pPr>
    </w:p>
    <w:p w:rsidR="00061E21" w:rsidRDefault="00FC2B00" w:rsidP="00061E21">
      <w:pPr>
        <w:pStyle w:val="ListParagraph"/>
        <w:numPr>
          <w:ilvl w:val="0"/>
          <w:numId w:val="1"/>
        </w:numPr>
        <w:tabs>
          <w:tab w:val="left" w:pos="851"/>
        </w:tabs>
        <w:spacing w:after="0" w:line="480" w:lineRule="auto"/>
        <w:ind w:left="0" w:hanging="11"/>
        <w:jc w:val="both"/>
        <w:rPr>
          <w:rFonts w:ascii="Arial" w:hAnsi="Arial" w:cs="Arial"/>
          <w:sz w:val="24"/>
          <w:szCs w:val="24"/>
        </w:rPr>
      </w:pPr>
      <w:r w:rsidRPr="007277A7">
        <w:rPr>
          <w:rFonts w:ascii="Arial" w:hAnsi="Arial" w:cs="Arial"/>
          <w:sz w:val="24"/>
          <w:szCs w:val="24"/>
        </w:rPr>
        <w:t>The appellant failed to comply with the agreement for the reason that the municipal permission had not been obtained. The parties blame each other for that obligation to obtain the municipal approval. But on a careful analysis of the evidence on that point, the versions of the parties are mutually destructive. It is unlikely that the appellant would have applied for the municipal approval to erect a sh</w:t>
      </w:r>
      <w:r w:rsidR="0050360E">
        <w:rPr>
          <w:rFonts w:ascii="Arial" w:hAnsi="Arial" w:cs="Arial"/>
          <w:sz w:val="24"/>
          <w:szCs w:val="24"/>
        </w:rPr>
        <w:t>e</w:t>
      </w:r>
      <w:r w:rsidRPr="007277A7">
        <w:rPr>
          <w:rFonts w:ascii="Arial" w:hAnsi="Arial" w:cs="Arial"/>
          <w:sz w:val="24"/>
          <w:szCs w:val="24"/>
        </w:rPr>
        <w:t xml:space="preserve">d on the first respondent’s premises </w:t>
      </w:r>
      <w:r w:rsidR="00061E21" w:rsidRPr="007277A7">
        <w:rPr>
          <w:rFonts w:ascii="Arial" w:hAnsi="Arial" w:cs="Arial"/>
          <w:sz w:val="24"/>
          <w:szCs w:val="24"/>
        </w:rPr>
        <w:t xml:space="preserve">without the slightest participation of the second respondent. At </w:t>
      </w:r>
      <w:r w:rsidR="004E3A1B" w:rsidRPr="00427859">
        <w:rPr>
          <w:rFonts w:ascii="Arial" w:hAnsi="Arial" w:cs="Arial"/>
          <w:color w:val="000000" w:themeColor="text1"/>
          <w:sz w:val="24"/>
          <w:szCs w:val="24"/>
        </w:rPr>
        <w:t>least</w:t>
      </w:r>
      <w:r w:rsidR="002451CE" w:rsidRPr="00427859">
        <w:rPr>
          <w:rFonts w:ascii="Arial" w:hAnsi="Arial" w:cs="Arial"/>
          <w:color w:val="000000" w:themeColor="text1"/>
          <w:sz w:val="24"/>
          <w:szCs w:val="24"/>
        </w:rPr>
        <w:t>,</w:t>
      </w:r>
      <w:r w:rsidR="00061E21" w:rsidRPr="007277A7">
        <w:rPr>
          <w:rFonts w:ascii="Arial" w:hAnsi="Arial" w:cs="Arial"/>
          <w:sz w:val="24"/>
          <w:szCs w:val="24"/>
        </w:rPr>
        <w:t xml:space="preserve"> the application for the approval would have required the second respondent’s signature and his denial on that point is misplaced. </w:t>
      </w:r>
      <w:r w:rsidR="00080CBA" w:rsidRPr="007277A7">
        <w:rPr>
          <w:rFonts w:ascii="Arial" w:hAnsi="Arial" w:cs="Arial"/>
          <w:sz w:val="24"/>
          <w:szCs w:val="24"/>
        </w:rPr>
        <w:t xml:space="preserve">There was evidence that appellant previously did work for the respondents and he apparently obtained municipal approval without the respondents’ involvement. That could be so, it is not clear from the evidence, how long </w:t>
      </w:r>
      <w:r w:rsidR="002451CE">
        <w:rPr>
          <w:rFonts w:ascii="Arial" w:hAnsi="Arial" w:cs="Arial"/>
          <w:sz w:val="24"/>
          <w:szCs w:val="24"/>
        </w:rPr>
        <w:t xml:space="preserve">that </w:t>
      </w:r>
      <w:r w:rsidR="00080CBA" w:rsidRPr="007277A7">
        <w:rPr>
          <w:rFonts w:ascii="Arial" w:hAnsi="Arial" w:cs="Arial"/>
          <w:sz w:val="24"/>
          <w:szCs w:val="24"/>
        </w:rPr>
        <w:t xml:space="preserve">was before the agreement which is the subject matter of this appeal. Circumstances could have changed since then. </w:t>
      </w:r>
      <w:r w:rsidR="00061E21" w:rsidRPr="007277A7">
        <w:rPr>
          <w:rFonts w:ascii="Arial" w:hAnsi="Arial" w:cs="Arial"/>
          <w:sz w:val="24"/>
          <w:szCs w:val="24"/>
        </w:rPr>
        <w:t>In my opinion</w:t>
      </w:r>
      <w:r w:rsidR="002451CE">
        <w:rPr>
          <w:rFonts w:ascii="Arial" w:hAnsi="Arial" w:cs="Arial"/>
          <w:sz w:val="24"/>
          <w:szCs w:val="24"/>
        </w:rPr>
        <w:t>,</w:t>
      </w:r>
      <w:r w:rsidR="00061E21" w:rsidRPr="007277A7">
        <w:rPr>
          <w:rFonts w:ascii="Arial" w:hAnsi="Arial" w:cs="Arial"/>
          <w:sz w:val="24"/>
          <w:szCs w:val="24"/>
        </w:rPr>
        <w:t xml:space="preserve"> as Mr</w:t>
      </w:r>
      <w:r w:rsidR="00427859">
        <w:rPr>
          <w:rFonts w:ascii="Arial" w:hAnsi="Arial" w:cs="Arial"/>
          <w:sz w:val="24"/>
          <w:szCs w:val="24"/>
        </w:rPr>
        <w:t xml:space="preserve"> </w:t>
      </w:r>
      <w:r w:rsidR="00061E21" w:rsidRPr="007277A7">
        <w:rPr>
          <w:rFonts w:ascii="Arial" w:hAnsi="Arial" w:cs="Arial"/>
          <w:sz w:val="24"/>
          <w:szCs w:val="24"/>
        </w:rPr>
        <w:t xml:space="preserve">Mouton correctly argued, the probabilities favour the appellant on that point. </w:t>
      </w:r>
    </w:p>
    <w:p w:rsidR="007277A7" w:rsidRPr="007277A7" w:rsidRDefault="007277A7" w:rsidP="0050360E">
      <w:pPr>
        <w:pStyle w:val="ListParagraph"/>
        <w:spacing w:after="0" w:line="480" w:lineRule="auto"/>
        <w:jc w:val="both"/>
        <w:rPr>
          <w:rFonts w:ascii="Arial" w:hAnsi="Arial" w:cs="Arial"/>
          <w:sz w:val="24"/>
          <w:szCs w:val="24"/>
        </w:rPr>
      </w:pPr>
    </w:p>
    <w:p w:rsidR="004E3A1B" w:rsidRPr="00427859" w:rsidRDefault="007277A7" w:rsidP="007277A7">
      <w:pPr>
        <w:pStyle w:val="ListParagraph"/>
        <w:numPr>
          <w:ilvl w:val="0"/>
          <w:numId w:val="1"/>
        </w:numPr>
        <w:tabs>
          <w:tab w:val="left" w:pos="851"/>
        </w:tabs>
        <w:spacing w:after="0" w:line="480" w:lineRule="auto"/>
        <w:ind w:left="0" w:hanging="11"/>
        <w:jc w:val="both"/>
        <w:rPr>
          <w:rFonts w:ascii="Arial" w:hAnsi="Arial" w:cs="Arial"/>
          <w:color w:val="000000" w:themeColor="text1"/>
          <w:sz w:val="24"/>
          <w:szCs w:val="24"/>
        </w:rPr>
      </w:pPr>
      <w:r w:rsidRPr="007277A7">
        <w:rPr>
          <w:rFonts w:ascii="Arial" w:hAnsi="Arial" w:cs="Arial"/>
          <w:sz w:val="24"/>
          <w:szCs w:val="24"/>
        </w:rPr>
        <w:t xml:space="preserve">Mr Mouton then argued that the court </w:t>
      </w:r>
      <w:r w:rsidRPr="000065D9">
        <w:rPr>
          <w:rFonts w:ascii="Arial" w:hAnsi="Arial" w:cs="Arial"/>
          <w:i/>
          <w:sz w:val="24"/>
          <w:szCs w:val="24"/>
        </w:rPr>
        <w:t>a quo</w:t>
      </w:r>
      <w:r w:rsidRPr="007277A7">
        <w:rPr>
          <w:rFonts w:ascii="Arial" w:hAnsi="Arial" w:cs="Arial"/>
          <w:sz w:val="24"/>
          <w:szCs w:val="24"/>
        </w:rPr>
        <w:t xml:space="preserve"> should have returned a verdict of absolution from the instance.</w:t>
      </w:r>
      <w:r w:rsidR="004E3A1B">
        <w:rPr>
          <w:rFonts w:ascii="Arial" w:hAnsi="Arial" w:cs="Arial"/>
          <w:sz w:val="24"/>
          <w:szCs w:val="24"/>
        </w:rPr>
        <w:t xml:space="preserve"> </w:t>
      </w:r>
      <w:r w:rsidR="004E3A1B" w:rsidRPr="00427859">
        <w:rPr>
          <w:rFonts w:ascii="Arial" w:hAnsi="Arial" w:cs="Arial"/>
          <w:color w:val="000000" w:themeColor="text1"/>
          <w:sz w:val="24"/>
          <w:szCs w:val="24"/>
        </w:rPr>
        <w:t>Mr Mouton is correct in his submission that the particulars of claim of the respondents does not claim damages. This is because they do not claim damages</w:t>
      </w:r>
      <w:r w:rsidR="0050360E">
        <w:rPr>
          <w:rFonts w:ascii="Arial" w:hAnsi="Arial" w:cs="Arial"/>
          <w:color w:val="000000" w:themeColor="text1"/>
          <w:sz w:val="24"/>
          <w:szCs w:val="24"/>
        </w:rPr>
        <w:t>,</w:t>
      </w:r>
      <w:r w:rsidR="004E3A1B" w:rsidRPr="00427859">
        <w:rPr>
          <w:rFonts w:ascii="Arial" w:hAnsi="Arial" w:cs="Arial"/>
          <w:color w:val="000000" w:themeColor="text1"/>
          <w:sz w:val="24"/>
          <w:szCs w:val="24"/>
        </w:rPr>
        <w:t xml:space="preserve"> but restitution following from their alleged cancellation of the agreement. Respondents did not at the time they instituted action had to tender anything as by then they had not received anything from the appellant.</w:t>
      </w:r>
    </w:p>
    <w:p w:rsidR="004E3A1B" w:rsidRPr="004E3A1B" w:rsidRDefault="004E3A1B" w:rsidP="0050360E">
      <w:pPr>
        <w:pStyle w:val="ListParagraph"/>
        <w:spacing w:after="0" w:line="480" w:lineRule="auto"/>
        <w:jc w:val="both"/>
        <w:rPr>
          <w:rFonts w:ascii="Arial" w:hAnsi="Arial" w:cs="Arial"/>
          <w:sz w:val="24"/>
          <w:szCs w:val="24"/>
        </w:rPr>
      </w:pPr>
    </w:p>
    <w:p w:rsidR="004A3171" w:rsidRDefault="007277A7" w:rsidP="007277A7">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 </w:t>
      </w:r>
      <w:r w:rsidR="00061E21" w:rsidRPr="007277A7">
        <w:rPr>
          <w:rFonts w:ascii="Arial" w:hAnsi="Arial" w:cs="Arial"/>
          <w:sz w:val="24"/>
          <w:szCs w:val="24"/>
        </w:rPr>
        <w:t>In this case</w:t>
      </w:r>
      <w:r w:rsidR="00935240">
        <w:rPr>
          <w:rFonts w:ascii="Arial" w:hAnsi="Arial" w:cs="Arial"/>
          <w:sz w:val="24"/>
          <w:szCs w:val="24"/>
        </w:rPr>
        <w:t>,</w:t>
      </w:r>
      <w:r w:rsidR="00061E21" w:rsidRPr="007277A7">
        <w:rPr>
          <w:rFonts w:ascii="Arial" w:hAnsi="Arial" w:cs="Arial"/>
          <w:sz w:val="24"/>
          <w:szCs w:val="24"/>
        </w:rPr>
        <w:t xml:space="preserve"> where the agreement was cancelled in the circumstances as alleged by the respondents or as alleged by the appellant, the parties should have been restored to the positions they were in at the time of the agreement. Even in the circumstances where the respondents would have been the guilty party,</w:t>
      </w:r>
      <w:r w:rsidR="004A3171" w:rsidRPr="007277A7">
        <w:rPr>
          <w:rFonts w:ascii="Arial" w:hAnsi="Arial" w:cs="Arial"/>
          <w:sz w:val="24"/>
          <w:szCs w:val="24"/>
        </w:rPr>
        <w:t xml:space="preserve"> they </w:t>
      </w:r>
      <w:r w:rsidR="00935240">
        <w:rPr>
          <w:rFonts w:ascii="Arial" w:hAnsi="Arial" w:cs="Arial"/>
          <w:sz w:val="24"/>
          <w:szCs w:val="24"/>
        </w:rPr>
        <w:t xml:space="preserve">still </w:t>
      </w:r>
      <w:r w:rsidR="004A3171" w:rsidRPr="007277A7">
        <w:rPr>
          <w:rFonts w:ascii="Arial" w:hAnsi="Arial" w:cs="Arial"/>
          <w:sz w:val="24"/>
          <w:szCs w:val="24"/>
        </w:rPr>
        <w:t xml:space="preserve">would have been </w:t>
      </w:r>
      <w:r w:rsidR="00935240">
        <w:rPr>
          <w:rFonts w:ascii="Arial" w:hAnsi="Arial" w:cs="Arial"/>
          <w:sz w:val="24"/>
          <w:szCs w:val="24"/>
        </w:rPr>
        <w:t>e</w:t>
      </w:r>
      <w:r w:rsidR="004A3171" w:rsidRPr="007277A7">
        <w:rPr>
          <w:rFonts w:ascii="Arial" w:hAnsi="Arial" w:cs="Arial"/>
          <w:sz w:val="24"/>
          <w:szCs w:val="24"/>
        </w:rPr>
        <w:t>ntitled to restitution</w:t>
      </w:r>
      <w:r w:rsidR="004E3A1B">
        <w:rPr>
          <w:rFonts w:ascii="Arial" w:hAnsi="Arial" w:cs="Arial"/>
          <w:color w:val="FF0000"/>
          <w:sz w:val="24"/>
          <w:szCs w:val="24"/>
        </w:rPr>
        <w:t xml:space="preserve"> </w:t>
      </w:r>
      <w:r w:rsidR="004E3A1B" w:rsidRPr="00427859">
        <w:rPr>
          <w:rFonts w:ascii="Arial" w:hAnsi="Arial" w:cs="Arial"/>
          <w:color w:val="000000" w:themeColor="text1"/>
          <w:sz w:val="24"/>
          <w:szCs w:val="24"/>
        </w:rPr>
        <w:t>to the extent that any damages they have caused did not exceed the value of what had to be restituted</w:t>
      </w:r>
      <w:r w:rsidR="004A3171" w:rsidRPr="007277A7">
        <w:rPr>
          <w:rFonts w:ascii="Arial" w:hAnsi="Arial" w:cs="Arial"/>
          <w:sz w:val="24"/>
          <w:szCs w:val="24"/>
        </w:rPr>
        <w:t xml:space="preserve">; to have ordered </w:t>
      </w:r>
      <w:r w:rsidR="00935240">
        <w:rPr>
          <w:rFonts w:ascii="Arial" w:hAnsi="Arial" w:cs="Arial"/>
          <w:sz w:val="24"/>
          <w:szCs w:val="24"/>
        </w:rPr>
        <w:t>a</w:t>
      </w:r>
      <w:r w:rsidR="004A3171" w:rsidRPr="007277A7">
        <w:rPr>
          <w:rFonts w:ascii="Arial" w:hAnsi="Arial" w:cs="Arial"/>
          <w:sz w:val="24"/>
          <w:szCs w:val="24"/>
        </w:rPr>
        <w:t>bsolution from the instance as Mr Mouton suggested would have been to enrich the appellant unjustly at the expense of the respondents.</w:t>
      </w:r>
    </w:p>
    <w:p w:rsidR="004E3A1B" w:rsidRPr="004E3A1B" w:rsidRDefault="004E3A1B" w:rsidP="00CC59B9">
      <w:pPr>
        <w:pStyle w:val="ListParagraph"/>
        <w:spacing w:after="0" w:line="480" w:lineRule="auto"/>
        <w:jc w:val="both"/>
        <w:rPr>
          <w:rFonts w:ascii="Arial" w:hAnsi="Arial" w:cs="Arial"/>
          <w:sz w:val="24"/>
          <w:szCs w:val="24"/>
        </w:rPr>
      </w:pPr>
    </w:p>
    <w:p w:rsidR="004E3A1B" w:rsidRPr="00427859" w:rsidRDefault="004E3A1B" w:rsidP="007277A7">
      <w:pPr>
        <w:pStyle w:val="ListParagraph"/>
        <w:numPr>
          <w:ilvl w:val="0"/>
          <w:numId w:val="1"/>
        </w:numPr>
        <w:tabs>
          <w:tab w:val="left" w:pos="851"/>
        </w:tabs>
        <w:spacing w:after="0" w:line="480" w:lineRule="auto"/>
        <w:ind w:left="0" w:hanging="11"/>
        <w:jc w:val="both"/>
        <w:rPr>
          <w:rFonts w:ascii="Arial" w:hAnsi="Arial" w:cs="Arial"/>
          <w:color w:val="000000" w:themeColor="text1"/>
          <w:sz w:val="24"/>
          <w:szCs w:val="24"/>
        </w:rPr>
      </w:pPr>
      <w:r w:rsidRPr="00427859">
        <w:rPr>
          <w:rFonts w:ascii="Arial" w:hAnsi="Arial" w:cs="Arial"/>
          <w:color w:val="000000" w:themeColor="text1"/>
          <w:sz w:val="24"/>
          <w:szCs w:val="24"/>
        </w:rPr>
        <w:t>The extent of the enrichment is evident from the facts. The respondents delivered to the appellants materials in excess of N$200</w:t>
      </w:r>
      <w:r w:rsidR="0050360E">
        <w:rPr>
          <w:rFonts w:ascii="Arial" w:hAnsi="Arial" w:cs="Arial"/>
          <w:color w:val="000000" w:themeColor="text1"/>
          <w:sz w:val="24"/>
          <w:szCs w:val="24"/>
        </w:rPr>
        <w:t> </w:t>
      </w:r>
      <w:r w:rsidRPr="00427859">
        <w:rPr>
          <w:rFonts w:ascii="Arial" w:hAnsi="Arial" w:cs="Arial"/>
          <w:color w:val="000000" w:themeColor="text1"/>
          <w:sz w:val="24"/>
          <w:szCs w:val="24"/>
        </w:rPr>
        <w:t>000</w:t>
      </w:r>
      <w:r w:rsidR="0050360E">
        <w:rPr>
          <w:rFonts w:ascii="Arial" w:hAnsi="Arial" w:cs="Arial"/>
          <w:color w:val="000000" w:themeColor="text1"/>
          <w:sz w:val="24"/>
          <w:szCs w:val="24"/>
        </w:rPr>
        <w:t>,</w:t>
      </w:r>
      <w:r w:rsidRPr="00427859">
        <w:rPr>
          <w:rFonts w:ascii="Arial" w:hAnsi="Arial" w:cs="Arial"/>
          <w:color w:val="000000" w:themeColor="text1"/>
          <w:sz w:val="24"/>
          <w:szCs w:val="24"/>
        </w:rPr>
        <w:t xml:space="preserve"> whereas the extent of appellant</w:t>
      </w:r>
      <w:r w:rsidR="0050360E">
        <w:rPr>
          <w:rFonts w:ascii="Arial" w:hAnsi="Arial" w:cs="Arial"/>
          <w:color w:val="000000" w:themeColor="text1"/>
          <w:sz w:val="24"/>
          <w:szCs w:val="24"/>
        </w:rPr>
        <w:t>’</w:t>
      </w:r>
      <w:r w:rsidRPr="00427859">
        <w:rPr>
          <w:rFonts w:ascii="Arial" w:hAnsi="Arial" w:cs="Arial"/>
          <w:color w:val="000000" w:themeColor="text1"/>
          <w:sz w:val="24"/>
          <w:szCs w:val="24"/>
        </w:rPr>
        <w:t>s damages on his own pleadings only amount to N$75 000. Mr Mouton submitted that the production of invoices itself does not prove the values claimed in respect of the materials delivered. Seen in isolation</w:t>
      </w:r>
      <w:r w:rsidR="0050360E">
        <w:rPr>
          <w:rFonts w:ascii="Arial" w:hAnsi="Arial" w:cs="Arial"/>
          <w:color w:val="000000" w:themeColor="text1"/>
          <w:sz w:val="24"/>
          <w:szCs w:val="24"/>
        </w:rPr>
        <w:t>,</w:t>
      </w:r>
      <w:r w:rsidRPr="00427859">
        <w:rPr>
          <w:rFonts w:ascii="Arial" w:hAnsi="Arial" w:cs="Arial"/>
          <w:color w:val="000000" w:themeColor="text1"/>
          <w:sz w:val="24"/>
          <w:szCs w:val="24"/>
        </w:rPr>
        <w:t xml:space="preserve"> this submission is undoubtedly correct. The problem that faces the appellant however is that he admitted that the materials delivered were to the values as stated in the invoices. Once the values had been established</w:t>
      </w:r>
      <w:r w:rsidR="0050360E">
        <w:rPr>
          <w:rFonts w:ascii="Arial" w:hAnsi="Arial" w:cs="Arial"/>
          <w:color w:val="000000" w:themeColor="text1"/>
          <w:sz w:val="24"/>
          <w:szCs w:val="24"/>
        </w:rPr>
        <w:t>,</w:t>
      </w:r>
      <w:r w:rsidRPr="00427859">
        <w:rPr>
          <w:rFonts w:ascii="Arial" w:hAnsi="Arial" w:cs="Arial"/>
          <w:color w:val="000000" w:themeColor="text1"/>
          <w:sz w:val="24"/>
          <w:szCs w:val="24"/>
        </w:rPr>
        <w:t xml:space="preserve"> the appellant had to make restitution of anything in excess of what he could </w:t>
      </w:r>
      <w:r w:rsidR="00C34DB1">
        <w:rPr>
          <w:rFonts w:ascii="Arial" w:hAnsi="Arial" w:cs="Arial"/>
          <w:color w:val="000000" w:themeColor="text1"/>
          <w:sz w:val="24"/>
          <w:szCs w:val="24"/>
        </w:rPr>
        <w:t xml:space="preserve">have </w:t>
      </w:r>
      <w:r w:rsidRPr="00427859">
        <w:rPr>
          <w:rFonts w:ascii="Arial" w:hAnsi="Arial" w:cs="Arial"/>
          <w:color w:val="000000" w:themeColor="text1"/>
          <w:sz w:val="24"/>
          <w:szCs w:val="24"/>
        </w:rPr>
        <w:t>established as his damages.</w:t>
      </w:r>
    </w:p>
    <w:p w:rsidR="004A3171" w:rsidRPr="004A3171" w:rsidRDefault="004A3171" w:rsidP="004A3171">
      <w:pPr>
        <w:pStyle w:val="ListParagraph"/>
        <w:spacing w:after="0" w:line="480" w:lineRule="auto"/>
        <w:jc w:val="both"/>
        <w:rPr>
          <w:rFonts w:ascii="Arial" w:hAnsi="Arial" w:cs="Arial"/>
          <w:sz w:val="24"/>
          <w:szCs w:val="24"/>
        </w:rPr>
      </w:pPr>
    </w:p>
    <w:p w:rsidR="00FC2B00" w:rsidRPr="00427859" w:rsidRDefault="004A3171" w:rsidP="00F2214E">
      <w:pPr>
        <w:pStyle w:val="ListParagraph"/>
        <w:numPr>
          <w:ilvl w:val="0"/>
          <w:numId w:val="1"/>
        </w:numPr>
        <w:tabs>
          <w:tab w:val="left" w:pos="851"/>
        </w:tabs>
        <w:spacing w:after="0" w:line="480" w:lineRule="auto"/>
        <w:ind w:left="0" w:hanging="11"/>
        <w:jc w:val="both"/>
        <w:rPr>
          <w:rFonts w:ascii="Arial" w:hAnsi="Arial" w:cs="Arial"/>
          <w:color w:val="000000" w:themeColor="text1"/>
          <w:sz w:val="24"/>
          <w:szCs w:val="24"/>
        </w:rPr>
      </w:pPr>
      <w:r>
        <w:rPr>
          <w:rFonts w:ascii="Arial" w:hAnsi="Arial" w:cs="Arial"/>
          <w:sz w:val="24"/>
          <w:szCs w:val="24"/>
        </w:rPr>
        <w:t>In the circumstances of this case, it is common cause that the respondent delivered materials to the appellant to manufacture a shed, which should have been erected at the respondents’ premises. It is also common cause tha</w:t>
      </w:r>
      <w:r w:rsidR="004E3A1B">
        <w:rPr>
          <w:rFonts w:ascii="Arial" w:hAnsi="Arial" w:cs="Arial"/>
          <w:sz w:val="24"/>
          <w:szCs w:val="24"/>
        </w:rPr>
        <w:t>t appellant manufactured the she</w:t>
      </w:r>
      <w:r>
        <w:rPr>
          <w:rFonts w:ascii="Arial" w:hAnsi="Arial" w:cs="Arial"/>
          <w:sz w:val="24"/>
          <w:szCs w:val="24"/>
        </w:rPr>
        <w:t>d</w:t>
      </w:r>
      <w:r w:rsidR="00935240">
        <w:rPr>
          <w:rFonts w:ascii="Arial" w:hAnsi="Arial" w:cs="Arial"/>
          <w:sz w:val="24"/>
          <w:szCs w:val="24"/>
        </w:rPr>
        <w:t>,</w:t>
      </w:r>
      <w:r>
        <w:rPr>
          <w:rFonts w:ascii="Arial" w:hAnsi="Arial" w:cs="Arial"/>
          <w:sz w:val="24"/>
          <w:szCs w:val="24"/>
        </w:rPr>
        <w:t xml:space="preserve"> but it was not erected due to the non-obtaining of the municipal approval</w:t>
      </w:r>
      <w:r w:rsidRPr="00427859">
        <w:rPr>
          <w:rFonts w:ascii="Arial" w:hAnsi="Arial" w:cs="Arial"/>
          <w:color w:val="000000" w:themeColor="text1"/>
          <w:sz w:val="24"/>
          <w:szCs w:val="24"/>
        </w:rPr>
        <w:t xml:space="preserve">. </w:t>
      </w:r>
      <w:r w:rsidR="00802B46" w:rsidRPr="00427859">
        <w:rPr>
          <w:rFonts w:ascii="Arial" w:hAnsi="Arial" w:cs="Arial"/>
          <w:color w:val="000000" w:themeColor="text1"/>
          <w:sz w:val="24"/>
          <w:szCs w:val="24"/>
        </w:rPr>
        <w:t>As the failure to obtain municipal approval is the fault of the</w:t>
      </w:r>
      <w:r w:rsidR="00802B46" w:rsidRPr="00427859">
        <w:rPr>
          <w:rFonts w:ascii="Arial" w:hAnsi="Arial" w:cs="Arial"/>
          <w:color w:val="000000" w:themeColor="text1"/>
          <w:sz w:val="24"/>
          <w:szCs w:val="24"/>
          <w:u w:val="single"/>
        </w:rPr>
        <w:t xml:space="preserve"> </w:t>
      </w:r>
      <w:r w:rsidR="00802B46" w:rsidRPr="00427859">
        <w:rPr>
          <w:rFonts w:ascii="Arial" w:hAnsi="Arial" w:cs="Arial"/>
          <w:color w:val="000000" w:themeColor="text1"/>
          <w:sz w:val="24"/>
          <w:szCs w:val="24"/>
        </w:rPr>
        <w:t>respondents</w:t>
      </w:r>
      <w:r w:rsidR="0050360E">
        <w:rPr>
          <w:rFonts w:ascii="Arial" w:hAnsi="Arial" w:cs="Arial"/>
          <w:color w:val="000000" w:themeColor="text1"/>
          <w:sz w:val="24"/>
          <w:szCs w:val="24"/>
        </w:rPr>
        <w:t>,</w:t>
      </w:r>
      <w:r w:rsidR="00802B46" w:rsidRPr="00427859">
        <w:rPr>
          <w:rFonts w:ascii="Arial" w:hAnsi="Arial" w:cs="Arial"/>
          <w:color w:val="000000" w:themeColor="text1"/>
          <w:sz w:val="24"/>
          <w:szCs w:val="24"/>
        </w:rPr>
        <w:t xml:space="preserve"> the</w:t>
      </w:r>
      <w:r w:rsidR="008630D1">
        <w:rPr>
          <w:rFonts w:ascii="Arial" w:hAnsi="Arial" w:cs="Arial"/>
          <w:color w:val="000000" w:themeColor="text1"/>
          <w:sz w:val="24"/>
          <w:szCs w:val="24"/>
        </w:rPr>
        <w:t xml:space="preserve"> </w:t>
      </w:r>
      <w:r>
        <w:rPr>
          <w:rFonts w:ascii="Arial" w:hAnsi="Arial" w:cs="Arial"/>
          <w:sz w:val="24"/>
          <w:szCs w:val="24"/>
        </w:rPr>
        <w:t xml:space="preserve">appellant is entitled to </w:t>
      </w:r>
      <w:r w:rsidR="00802B46" w:rsidRPr="00427859">
        <w:rPr>
          <w:rFonts w:ascii="Arial" w:hAnsi="Arial" w:cs="Arial"/>
          <w:color w:val="000000" w:themeColor="text1"/>
          <w:sz w:val="24"/>
          <w:szCs w:val="24"/>
        </w:rPr>
        <w:t xml:space="preserve">the </w:t>
      </w:r>
      <w:r>
        <w:rPr>
          <w:rFonts w:ascii="Arial" w:hAnsi="Arial" w:cs="Arial"/>
          <w:sz w:val="24"/>
          <w:szCs w:val="24"/>
        </w:rPr>
        <w:t>damages</w:t>
      </w:r>
      <w:r w:rsidR="00802B46">
        <w:rPr>
          <w:rFonts w:ascii="Arial" w:hAnsi="Arial" w:cs="Arial"/>
          <w:color w:val="FF0000"/>
          <w:sz w:val="24"/>
          <w:szCs w:val="24"/>
        </w:rPr>
        <w:t xml:space="preserve"> </w:t>
      </w:r>
      <w:r w:rsidR="00802B46" w:rsidRPr="00427859">
        <w:rPr>
          <w:rFonts w:ascii="Arial" w:hAnsi="Arial" w:cs="Arial"/>
          <w:color w:val="000000" w:themeColor="text1"/>
          <w:sz w:val="24"/>
          <w:szCs w:val="24"/>
        </w:rPr>
        <w:t xml:space="preserve">he suffered in respect of </w:t>
      </w:r>
      <w:r w:rsidR="00802B46">
        <w:rPr>
          <w:rFonts w:ascii="Arial" w:hAnsi="Arial" w:cs="Arial"/>
          <w:sz w:val="24"/>
          <w:szCs w:val="24"/>
        </w:rPr>
        <w:lastRenderedPageBreak/>
        <w:t>manufacturing the shed</w:t>
      </w:r>
      <w:r w:rsidR="00802B46">
        <w:rPr>
          <w:rFonts w:ascii="Arial" w:hAnsi="Arial" w:cs="Arial"/>
          <w:color w:val="FF0000"/>
          <w:sz w:val="24"/>
          <w:szCs w:val="24"/>
        </w:rPr>
        <w:t xml:space="preserve"> </w:t>
      </w:r>
      <w:r w:rsidR="00802B46" w:rsidRPr="00427859">
        <w:rPr>
          <w:rFonts w:ascii="Arial" w:hAnsi="Arial" w:cs="Arial"/>
          <w:color w:val="000000" w:themeColor="text1"/>
          <w:sz w:val="24"/>
          <w:szCs w:val="24"/>
        </w:rPr>
        <w:t xml:space="preserve">provided </w:t>
      </w:r>
      <w:r w:rsidR="00802B46">
        <w:rPr>
          <w:rFonts w:ascii="Arial" w:hAnsi="Arial" w:cs="Arial"/>
          <w:sz w:val="24"/>
          <w:szCs w:val="24"/>
        </w:rPr>
        <w:t xml:space="preserve">he proved the quantum of his </w:t>
      </w:r>
      <w:r>
        <w:rPr>
          <w:rFonts w:ascii="Arial" w:hAnsi="Arial" w:cs="Arial"/>
          <w:sz w:val="24"/>
          <w:szCs w:val="24"/>
        </w:rPr>
        <w:t xml:space="preserve">damages. </w:t>
      </w:r>
      <w:r w:rsidR="00802B46" w:rsidRPr="00427859">
        <w:rPr>
          <w:rFonts w:ascii="Arial" w:hAnsi="Arial" w:cs="Arial"/>
          <w:color w:val="000000" w:themeColor="text1"/>
          <w:sz w:val="24"/>
          <w:szCs w:val="24"/>
        </w:rPr>
        <w:t>As correctly conceded by Mr Mouton the appellant failed to prove the quantum of his damages</w:t>
      </w:r>
      <w:r w:rsidRPr="00427859">
        <w:rPr>
          <w:rFonts w:ascii="Arial" w:hAnsi="Arial" w:cs="Arial"/>
          <w:color w:val="000000" w:themeColor="text1"/>
          <w:sz w:val="24"/>
          <w:szCs w:val="24"/>
        </w:rPr>
        <w:t xml:space="preserve">. </w:t>
      </w:r>
      <w:r>
        <w:rPr>
          <w:rFonts w:ascii="Arial" w:hAnsi="Arial" w:cs="Arial"/>
          <w:sz w:val="24"/>
          <w:szCs w:val="24"/>
        </w:rPr>
        <w:t xml:space="preserve">The respondents are </w:t>
      </w:r>
      <w:r w:rsidR="00802B46">
        <w:rPr>
          <w:rFonts w:ascii="Arial" w:hAnsi="Arial" w:cs="Arial"/>
          <w:sz w:val="24"/>
          <w:szCs w:val="24"/>
        </w:rPr>
        <w:t xml:space="preserve">thus </w:t>
      </w:r>
      <w:r>
        <w:rPr>
          <w:rFonts w:ascii="Arial" w:hAnsi="Arial" w:cs="Arial"/>
          <w:sz w:val="24"/>
          <w:szCs w:val="24"/>
        </w:rPr>
        <w:t>entitled to the return of the materials they delivered to the appel</w:t>
      </w:r>
      <w:r w:rsidR="00802B46">
        <w:rPr>
          <w:rFonts w:ascii="Arial" w:hAnsi="Arial" w:cs="Arial"/>
          <w:sz w:val="24"/>
          <w:szCs w:val="24"/>
        </w:rPr>
        <w:t>lant, or the manufactured she</w:t>
      </w:r>
      <w:r>
        <w:rPr>
          <w:rFonts w:ascii="Arial" w:hAnsi="Arial" w:cs="Arial"/>
          <w:sz w:val="24"/>
          <w:szCs w:val="24"/>
        </w:rPr>
        <w:t xml:space="preserve">d, or </w:t>
      </w:r>
      <w:r w:rsidR="00802B46">
        <w:rPr>
          <w:rFonts w:ascii="Arial" w:hAnsi="Arial" w:cs="Arial"/>
          <w:sz w:val="24"/>
          <w:szCs w:val="24"/>
        </w:rPr>
        <w:t xml:space="preserve">the </w:t>
      </w:r>
      <w:r>
        <w:rPr>
          <w:rFonts w:ascii="Arial" w:hAnsi="Arial" w:cs="Arial"/>
          <w:sz w:val="24"/>
          <w:szCs w:val="24"/>
        </w:rPr>
        <w:t>monetary value of the material</w:t>
      </w:r>
      <w:r w:rsidR="00EE0758">
        <w:rPr>
          <w:rFonts w:ascii="Arial" w:hAnsi="Arial" w:cs="Arial"/>
          <w:sz w:val="24"/>
          <w:szCs w:val="24"/>
        </w:rPr>
        <w:t>s</w:t>
      </w:r>
      <w:r w:rsidR="00802B46">
        <w:rPr>
          <w:rFonts w:ascii="Arial" w:hAnsi="Arial" w:cs="Arial"/>
          <w:sz w:val="24"/>
          <w:szCs w:val="24"/>
        </w:rPr>
        <w:t xml:space="preserve"> </w:t>
      </w:r>
      <w:r w:rsidR="00802B46" w:rsidRPr="00427859">
        <w:rPr>
          <w:rFonts w:ascii="Arial" w:hAnsi="Arial" w:cs="Arial"/>
          <w:color w:val="000000" w:themeColor="text1"/>
          <w:sz w:val="24"/>
          <w:szCs w:val="24"/>
        </w:rPr>
        <w:t>without making any provision for the damages allegedly suffered by the appellant</w:t>
      </w:r>
      <w:r w:rsidRPr="00427859">
        <w:rPr>
          <w:rFonts w:ascii="Arial" w:hAnsi="Arial" w:cs="Arial"/>
          <w:color w:val="000000" w:themeColor="text1"/>
          <w:sz w:val="24"/>
          <w:szCs w:val="24"/>
        </w:rPr>
        <w:t>.</w:t>
      </w:r>
      <w:r w:rsidR="00802B46" w:rsidRPr="00427859">
        <w:rPr>
          <w:rFonts w:ascii="Arial" w:hAnsi="Arial" w:cs="Arial"/>
          <w:color w:val="000000" w:themeColor="text1"/>
          <w:sz w:val="24"/>
          <w:szCs w:val="24"/>
        </w:rPr>
        <w:t xml:space="preserve"> The appellant did not tender back either the materials or </w:t>
      </w:r>
      <w:r w:rsidR="00950FAA">
        <w:rPr>
          <w:rFonts w:ascii="Arial" w:hAnsi="Arial" w:cs="Arial"/>
          <w:color w:val="000000" w:themeColor="text1"/>
          <w:sz w:val="24"/>
          <w:szCs w:val="24"/>
        </w:rPr>
        <w:t xml:space="preserve">the </w:t>
      </w:r>
      <w:r w:rsidR="00802B46" w:rsidRPr="00427859">
        <w:rPr>
          <w:rFonts w:ascii="Arial" w:hAnsi="Arial" w:cs="Arial"/>
          <w:color w:val="000000" w:themeColor="text1"/>
          <w:sz w:val="24"/>
          <w:szCs w:val="24"/>
        </w:rPr>
        <w:t>delivery of the shed</w:t>
      </w:r>
      <w:r w:rsidR="0050360E">
        <w:rPr>
          <w:rFonts w:ascii="Arial" w:hAnsi="Arial" w:cs="Arial"/>
          <w:color w:val="000000" w:themeColor="text1"/>
          <w:sz w:val="24"/>
          <w:szCs w:val="24"/>
        </w:rPr>
        <w:t>,</w:t>
      </w:r>
      <w:r w:rsidR="00802B46" w:rsidRPr="00427859">
        <w:rPr>
          <w:rFonts w:ascii="Arial" w:hAnsi="Arial" w:cs="Arial"/>
          <w:color w:val="000000" w:themeColor="text1"/>
          <w:sz w:val="24"/>
          <w:szCs w:val="24"/>
        </w:rPr>
        <w:t xml:space="preserve"> resulting in the respondents being entitled to seek the monetary value of the materials delivered to the appellant.</w:t>
      </w:r>
    </w:p>
    <w:p w:rsidR="004A3171" w:rsidRPr="004A3171" w:rsidRDefault="004A3171" w:rsidP="004A3171">
      <w:pPr>
        <w:pStyle w:val="ListParagraph"/>
        <w:spacing w:after="0" w:line="480" w:lineRule="auto"/>
        <w:jc w:val="both"/>
        <w:rPr>
          <w:rFonts w:ascii="Arial" w:hAnsi="Arial" w:cs="Arial"/>
          <w:sz w:val="24"/>
          <w:szCs w:val="24"/>
        </w:rPr>
      </w:pPr>
    </w:p>
    <w:p w:rsidR="004A3171" w:rsidRDefault="004A3171"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Feinstein v Niggli and </w:t>
      </w:r>
      <w:r w:rsidR="00290981">
        <w:rPr>
          <w:rFonts w:ascii="Arial" w:hAnsi="Arial" w:cs="Arial"/>
          <w:i/>
          <w:sz w:val="24"/>
          <w:szCs w:val="24"/>
        </w:rPr>
        <w:t>a</w:t>
      </w:r>
      <w:r>
        <w:rPr>
          <w:rFonts w:ascii="Arial" w:hAnsi="Arial" w:cs="Arial"/>
          <w:i/>
          <w:sz w:val="24"/>
          <w:szCs w:val="24"/>
        </w:rPr>
        <w:t>nother</w:t>
      </w:r>
      <w:r w:rsidRPr="00935240">
        <w:rPr>
          <w:rStyle w:val="FootnoteReference"/>
          <w:rFonts w:ascii="Arial" w:hAnsi="Arial" w:cs="Arial"/>
          <w:sz w:val="24"/>
          <w:szCs w:val="24"/>
        </w:rPr>
        <w:footnoteReference w:id="1"/>
      </w:r>
      <w:r w:rsidR="00290981">
        <w:rPr>
          <w:rFonts w:ascii="Arial" w:hAnsi="Arial" w:cs="Arial"/>
          <w:i/>
          <w:sz w:val="24"/>
          <w:szCs w:val="24"/>
        </w:rPr>
        <w:t>,</w:t>
      </w:r>
      <w:r>
        <w:rPr>
          <w:rFonts w:ascii="Arial" w:hAnsi="Arial" w:cs="Arial"/>
          <w:i/>
          <w:sz w:val="24"/>
          <w:szCs w:val="24"/>
        </w:rPr>
        <w:t xml:space="preserve"> </w:t>
      </w:r>
      <w:r>
        <w:rPr>
          <w:rFonts w:ascii="Arial" w:hAnsi="Arial" w:cs="Arial"/>
          <w:sz w:val="24"/>
          <w:szCs w:val="24"/>
        </w:rPr>
        <w:t>Trollip JA discussed the general principles relating to restitution where a contract is set aside on the ground of frau</w:t>
      </w:r>
      <w:r w:rsidR="00601F67">
        <w:rPr>
          <w:rFonts w:ascii="Arial" w:hAnsi="Arial" w:cs="Arial"/>
          <w:sz w:val="24"/>
          <w:szCs w:val="24"/>
        </w:rPr>
        <w:t>dulent misrepresentation. The principles would, however, be the same where the contract is set aside or rescinded on another basis.</w:t>
      </w:r>
      <w:r w:rsidR="00601F67">
        <w:rPr>
          <w:rStyle w:val="FootnoteReference"/>
          <w:rFonts w:ascii="Arial" w:hAnsi="Arial" w:cs="Arial"/>
          <w:sz w:val="24"/>
          <w:szCs w:val="24"/>
        </w:rPr>
        <w:footnoteReference w:id="2"/>
      </w:r>
      <w:r w:rsidR="00601F67">
        <w:rPr>
          <w:rFonts w:ascii="Arial" w:hAnsi="Arial" w:cs="Arial"/>
          <w:sz w:val="24"/>
          <w:szCs w:val="24"/>
        </w:rPr>
        <w:t xml:space="preserve"> </w:t>
      </w:r>
    </w:p>
    <w:p w:rsidR="00601F67" w:rsidRPr="00601F67" w:rsidRDefault="00601F67" w:rsidP="00601F67">
      <w:pPr>
        <w:pStyle w:val="ListParagraph"/>
        <w:spacing w:after="0" w:line="480" w:lineRule="auto"/>
        <w:jc w:val="both"/>
        <w:rPr>
          <w:rFonts w:ascii="Arial" w:hAnsi="Arial" w:cs="Arial"/>
          <w:sz w:val="24"/>
          <w:szCs w:val="24"/>
        </w:rPr>
      </w:pPr>
    </w:p>
    <w:p w:rsidR="00601F67" w:rsidRDefault="00601F67"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At 700</w:t>
      </w:r>
      <w:r w:rsidR="00935240">
        <w:rPr>
          <w:rFonts w:ascii="Arial" w:hAnsi="Arial" w:cs="Arial"/>
          <w:sz w:val="24"/>
          <w:szCs w:val="24"/>
        </w:rPr>
        <w:t>F</w:t>
      </w:r>
      <w:r>
        <w:rPr>
          <w:rFonts w:ascii="Arial" w:hAnsi="Arial" w:cs="Arial"/>
          <w:sz w:val="24"/>
          <w:szCs w:val="24"/>
        </w:rPr>
        <w:t>-701A Trollip JA had this to say:-</w:t>
      </w:r>
    </w:p>
    <w:p w:rsidR="00601F67" w:rsidRPr="00601F67" w:rsidRDefault="00601F67" w:rsidP="00E75D80">
      <w:pPr>
        <w:pStyle w:val="ListParagraph"/>
        <w:spacing w:line="480" w:lineRule="auto"/>
        <w:jc w:val="both"/>
        <w:rPr>
          <w:rFonts w:ascii="Arial" w:hAnsi="Arial" w:cs="Arial"/>
          <w:sz w:val="24"/>
          <w:szCs w:val="24"/>
        </w:rPr>
      </w:pPr>
    </w:p>
    <w:p w:rsidR="00601F67" w:rsidRPr="00B701E1" w:rsidRDefault="00601F67" w:rsidP="00B701E1">
      <w:pPr>
        <w:pStyle w:val="ListParagraph"/>
        <w:tabs>
          <w:tab w:val="left" w:pos="851"/>
        </w:tabs>
        <w:spacing w:after="0" w:line="360" w:lineRule="auto"/>
        <w:ind w:left="851"/>
        <w:jc w:val="both"/>
        <w:rPr>
          <w:rFonts w:ascii="Arial" w:hAnsi="Arial" w:cs="Arial"/>
        </w:rPr>
      </w:pPr>
      <w:r>
        <w:rPr>
          <w:rFonts w:ascii="Arial" w:hAnsi="Arial" w:cs="Arial"/>
        </w:rPr>
        <w:t xml:space="preserve">‘The object of the rule </w:t>
      </w:r>
      <w:r w:rsidR="00EE0758">
        <w:rPr>
          <w:rFonts w:ascii="Arial" w:hAnsi="Arial" w:cs="Arial"/>
        </w:rPr>
        <w:t>[</w:t>
      </w:r>
      <w:r w:rsidR="00EE0758" w:rsidRPr="00EE0758">
        <w:rPr>
          <w:rFonts w:ascii="Arial" w:hAnsi="Arial" w:cs="Arial"/>
          <w:i/>
        </w:rPr>
        <w:t>restitutio in integrum</w:t>
      </w:r>
      <w:r w:rsidR="00EE0758">
        <w:rPr>
          <w:rFonts w:ascii="Arial" w:hAnsi="Arial" w:cs="Arial"/>
        </w:rPr>
        <w:t xml:space="preserve">] </w:t>
      </w:r>
      <w:r>
        <w:rPr>
          <w:rFonts w:ascii="Arial" w:hAnsi="Arial" w:cs="Arial"/>
        </w:rPr>
        <w:t>is that the parties ought to be restored to the respective positions they were in at the time they contracted. It is founded on equitable considerations. Hence, generally a court will</w:t>
      </w:r>
      <w:r w:rsidR="00BA065B">
        <w:rPr>
          <w:rFonts w:ascii="Arial" w:hAnsi="Arial" w:cs="Arial"/>
        </w:rPr>
        <w:t xml:space="preserve"> not set aside a contract and grant consequential relief for fraudulent misrepresentation unless the representee is able and willing to restore completely everything that he </w:t>
      </w:r>
      <w:r w:rsidR="00B701E1">
        <w:rPr>
          <w:rFonts w:ascii="Arial" w:hAnsi="Arial" w:cs="Arial"/>
        </w:rPr>
        <w:t xml:space="preserve">has received under the contract. The reason is that otherwise, although the representor has been fraudulent, the </w:t>
      </w:r>
      <w:r w:rsidR="00935240">
        <w:rPr>
          <w:rFonts w:ascii="Arial" w:hAnsi="Arial" w:cs="Arial"/>
        </w:rPr>
        <w:t>re</w:t>
      </w:r>
      <w:r w:rsidR="00B701E1">
        <w:rPr>
          <w:rFonts w:ascii="Arial" w:hAnsi="Arial" w:cs="Arial"/>
        </w:rPr>
        <w:t xml:space="preserve">presentee would nevertheless be unjustly enriched by recovering what he had parted with </w:t>
      </w:r>
      <w:r w:rsidR="00B701E1" w:rsidRPr="00935240">
        <w:rPr>
          <w:rFonts w:ascii="Arial" w:hAnsi="Arial" w:cs="Arial"/>
          <w:i/>
        </w:rPr>
        <w:t>and</w:t>
      </w:r>
      <w:r w:rsidR="00B701E1">
        <w:rPr>
          <w:rFonts w:ascii="Arial" w:hAnsi="Arial" w:cs="Arial"/>
        </w:rPr>
        <w:t xml:space="preserve"> keeping or not restoring what he had in turn received, and the representor would correspondingly be unjustly impoverished to the latter extent (</w:t>
      </w:r>
      <w:r w:rsidR="00B701E1" w:rsidRPr="00B701E1">
        <w:rPr>
          <w:rFonts w:ascii="Arial" w:hAnsi="Arial" w:cs="Arial"/>
          <w:i/>
        </w:rPr>
        <w:t>see Actionable Misrepresentation</w:t>
      </w:r>
      <w:r w:rsidR="00B701E1">
        <w:rPr>
          <w:rFonts w:ascii="Arial" w:hAnsi="Arial" w:cs="Arial"/>
        </w:rPr>
        <w:t xml:space="preserve"> (</w:t>
      </w:r>
      <w:r w:rsidR="00B701E1" w:rsidRPr="00B701E1">
        <w:rPr>
          <w:rFonts w:ascii="Arial" w:hAnsi="Arial" w:cs="Arial"/>
          <w:i/>
        </w:rPr>
        <w:t>supra</w:t>
      </w:r>
      <w:r w:rsidR="00B701E1">
        <w:rPr>
          <w:rFonts w:ascii="Arial" w:hAnsi="Arial" w:cs="Arial"/>
        </w:rPr>
        <w:t xml:space="preserve"> </w:t>
      </w:r>
      <w:r w:rsidR="00935240">
        <w:rPr>
          <w:rFonts w:ascii="Arial" w:hAnsi="Arial" w:cs="Arial"/>
        </w:rPr>
        <w:t xml:space="preserve">at para </w:t>
      </w:r>
      <w:r w:rsidR="00B701E1">
        <w:rPr>
          <w:rFonts w:ascii="Arial" w:hAnsi="Arial" w:cs="Arial"/>
        </w:rPr>
        <w:t xml:space="preserve">294 and note </w:t>
      </w:r>
      <w:r w:rsidR="00B701E1">
        <w:rPr>
          <w:rFonts w:ascii="Arial" w:hAnsi="Arial" w:cs="Arial"/>
        </w:rPr>
        <w:lastRenderedPageBreak/>
        <w:t xml:space="preserve">5 thereto); </w:t>
      </w:r>
      <w:r w:rsidR="00B701E1">
        <w:rPr>
          <w:rFonts w:ascii="Arial" w:hAnsi="Arial" w:cs="Arial"/>
          <w:i/>
        </w:rPr>
        <w:t>Marks Ltd v Laugh</w:t>
      </w:r>
      <w:r w:rsidR="00C636F8">
        <w:rPr>
          <w:rFonts w:ascii="Arial" w:hAnsi="Arial" w:cs="Arial"/>
          <w:i/>
        </w:rPr>
        <w:t xml:space="preserve">ton </w:t>
      </w:r>
      <w:r w:rsidR="00C636F8">
        <w:rPr>
          <w:rFonts w:ascii="Arial" w:hAnsi="Arial" w:cs="Arial"/>
        </w:rPr>
        <w:t>1920 AD 12 at 21</w:t>
      </w:r>
      <w:r w:rsidR="00B701E1">
        <w:rPr>
          <w:rFonts w:ascii="Arial" w:hAnsi="Arial" w:cs="Arial"/>
          <w:i/>
        </w:rPr>
        <w:t>;</w:t>
      </w:r>
      <w:r w:rsidR="00C636F8">
        <w:rPr>
          <w:rFonts w:ascii="Arial" w:hAnsi="Arial" w:cs="Arial"/>
          <w:i/>
        </w:rPr>
        <w:t xml:space="preserve"> </w:t>
      </w:r>
      <w:r w:rsidR="00C636F8" w:rsidRPr="00C636F8">
        <w:rPr>
          <w:rFonts w:ascii="Arial" w:hAnsi="Arial" w:cs="Arial"/>
          <w:i/>
        </w:rPr>
        <w:t>Harper v Webster</w:t>
      </w:r>
      <w:r w:rsidR="00C636F8">
        <w:rPr>
          <w:rFonts w:ascii="Arial" w:hAnsi="Arial" w:cs="Arial"/>
        </w:rPr>
        <w:t xml:space="preserve"> 1956 (2) SA 495 (FC</w:t>
      </w:r>
      <w:r w:rsidR="00812FC0">
        <w:rPr>
          <w:rFonts w:ascii="Arial" w:hAnsi="Arial" w:cs="Arial"/>
        </w:rPr>
        <w:t>)</w:t>
      </w:r>
      <w:r w:rsidR="00C636F8">
        <w:rPr>
          <w:rFonts w:ascii="Arial" w:hAnsi="Arial" w:cs="Arial"/>
        </w:rPr>
        <w:t xml:space="preserve"> at 502 B-D;</w:t>
      </w:r>
      <w:r w:rsidR="00B701E1">
        <w:rPr>
          <w:rFonts w:ascii="Arial" w:hAnsi="Arial" w:cs="Arial"/>
          <w:i/>
        </w:rPr>
        <w:t xml:space="preserve"> Van Heerden en Andere v Sentrale Kunsmis Korporasie (Edms) Bpk </w:t>
      </w:r>
      <w:r w:rsidR="00B701E1">
        <w:rPr>
          <w:rFonts w:ascii="Arial" w:hAnsi="Arial" w:cs="Arial"/>
        </w:rPr>
        <w:t xml:space="preserve">1973 (1) SA 17 (A) at 31G-32A). But since the rule is founded on equity it has been departed from in a number of varying circumstances where considerations of equity and justice have necessitated such departure (see </w:t>
      </w:r>
      <w:r w:rsidR="00B701E1">
        <w:rPr>
          <w:rFonts w:ascii="Arial" w:hAnsi="Arial" w:cs="Arial"/>
          <w:i/>
        </w:rPr>
        <w:t xml:space="preserve">Harper’s </w:t>
      </w:r>
      <w:r w:rsidR="00B701E1">
        <w:rPr>
          <w:rFonts w:ascii="Arial" w:hAnsi="Arial" w:cs="Arial"/>
        </w:rPr>
        <w:t>case where the cases are collected and especially at 5</w:t>
      </w:r>
      <w:r w:rsidR="00C636F8">
        <w:rPr>
          <w:rFonts w:ascii="Arial" w:hAnsi="Arial" w:cs="Arial"/>
        </w:rPr>
        <w:t>0</w:t>
      </w:r>
      <w:r w:rsidR="00B701E1">
        <w:rPr>
          <w:rFonts w:ascii="Arial" w:hAnsi="Arial" w:cs="Arial"/>
        </w:rPr>
        <w:t>0B, 502E</w:t>
      </w:r>
      <w:r w:rsidR="00C636F8">
        <w:rPr>
          <w:rFonts w:ascii="Arial" w:hAnsi="Arial" w:cs="Arial"/>
        </w:rPr>
        <w:t>)</w:t>
      </w:r>
      <w:r w:rsidR="00812FC0">
        <w:rPr>
          <w:rFonts w:ascii="Arial" w:hAnsi="Arial" w:cs="Arial"/>
        </w:rPr>
        <w:t>’.</w:t>
      </w:r>
    </w:p>
    <w:p w:rsidR="00601F67" w:rsidRPr="00601F67" w:rsidRDefault="00601F67" w:rsidP="00B701E1">
      <w:pPr>
        <w:pStyle w:val="ListParagraph"/>
        <w:spacing w:after="0" w:line="480" w:lineRule="auto"/>
        <w:jc w:val="both"/>
        <w:rPr>
          <w:rFonts w:ascii="Arial" w:hAnsi="Arial" w:cs="Arial"/>
          <w:sz w:val="24"/>
          <w:szCs w:val="24"/>
        </w:rPr>
      </w:pPr>
    </w:p>
    <w:p w:rsidR="00601F67" w:rsidRDefault="00B701E1"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Termination of the primary obligations of the contract (the obligations of both parties to perform) does not terminate all secondary obligations, such as the obligation to pay damages for breach or (unless a contrary intention appears) the obligation to abide by an arbitration clause in the contract.</w:t>
      </w:r>
      <w:r>
        <w:rPr>
          <w:rStyle w:val="FootnoteReference"/>
          <w:rFonts w:ascii="Arial" w:hAnsi="Arial" w:cs="Arial"/>
          <w:sz w:val="24"/>
          <w:szCs w:val="24"/>
        </w:rPr>
        <w:footnoteReference w:id="3"/>
      </w:r>
    </w:p>
    <w:p w:rsidR="00E031E2" w:rsidRDefault="00E031E2" w:rsidP="00E031E2">
      <w:pPr>
        <w:pStyle w:val="ListParagraph"/>
        <w:tabs>
          <w:tab w:val="left" w:pos="851"/>
        </w:tabs>
        <w:spacing w:after="0" w:line="480" w:lineRule="auto"/>
        <w:ind w:left="0"/>
        <w:jc w:val="both"/>
        <w:rPr>
          <w:rFonts w:ascii="Arial" w:hAnsi="Arial" w:cs="Arial"/>
          <w:sz w:val="24"/>
          <w:szCs w:val="24"/>
        </w:rPr>
      </w:pPr>
    </w:p>
    <w:p w:rsidR="00E031E2" w:rsidRDefault="00E031E2" w:rsidP="00F2214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Applying these principles</w:t>
      </w:r>
      <w:r w:rsidR="00802B46">
        <w:rPr>
          <w:rFonts w:ascii="Arial" w:hAnsi="Arial" w:cs="Arial"/>
          <w:sz w:val="24"/>
          <w:szCs w:val="24"/>
        </w:rPr>
        <w:t xml:space="preserve"> </w:t>
      </w:r>
      <w:r w:rsidR="00802B46" w:rsidRPr="00427859">
        <w:rPr>
          <w:rFonts w:ascii="Arial" w:hAnsi="Arial" w:cs="Arial"/>
          <w:color w:val="000000" w:themeColor="text1"/>
          <w:sz w:val="24"/>
          <w:szCs w:val="24"/>
        </w:rPr>
        <w:t xml:space="preserve">which </w:t>
      </w:r>
      <w:r>
        <w:rPr>
          <w:rFonts w:ascii="Arial" w:hAnsi="Arial" w:cs="Arial"/>
          <w:sz w:val="24"/>
          <w:szCs w:val="24"/>
        </w:rPr>
        <w:t xml:space="preserve">I associate myself with to the facts of this case, as already said, the appellant is entitled to (restitution of work and labour) damages once proved. The court </w:t>
      </w:r>
      <w:r w:rsidRPr="00290981">
        <w:rPr>
          <w:rFonts w:ascii="Arial" w:hAnsi="Arial" w:cs="Arial"/>
          <w:i/>
          <w:sz w:val="24"/>
          <w:szCs w:val="24"/>
        </w:rPr>
        <w:t>a quo</w:t>
      </w:r>
      <w:r>
        <w:rPr>
          <w:rFonts w:ascii="Arial" w:hAnsi="Arial" w:cs="Arial"/>
          <w:sz w:val="24"/>
          <w:szCs w:val="24"/>
        </w:rPr>
        <w:t xml:space="preserve"> was correct to hold and for reasons it gave, that appellant’s damages were not proved. Respondents are entitled to restitution of the materials they delivered to the appellant or the value thereof and the court </w:t>
      </w:r>
      <w:r w:rsidRPr="00290981">
        <w:rPr>
          <w:rFonts w:ascii="Arial" w:hAnsi="Arial" w:cs="Arial"/>
          <w:i/>
          <w:sz w:val="24"/>
          <w:szCs w:val="24"/>
        </w:rPr>
        <w:t>a quo</w:t>
      </w:r>
      <w:r>
        <w:rPr>
          <w:rFonts w:ascii="Arial" w:hAnsi="Arial" w:cs="Arial"/>
          <w:sz w:val="24"/>
          <w:szCs w:val="24"/>
        </w:rPr>
        <w:t xml:space="preserve"> was correct to make the order it made in that regard. Given what I say in regard</w:t>
      </w:r>
      <w:r w:rsidR="00C636F8">
        <w:rPr>
          <w:rFonts w:ascii="Arial" w:hAnsi="Arial" w:cs="Arial"/>
          <w:sz w:val="24"/>
          <w:szCs w:val="24"/>
        </w:rPr>
        <w:t>s</w:t>
      </w:r>
      <w:r>
        <w:rPr>
          <w:rFonts w:ascii="Arial" w:hAnsi="Arial" w:cs="Arial"/>
          <w:sz w:val="24"/>
          <w:szCs w:val="24"/>
        </w:rPr>
        <w:t xml:space="preserve"> to the appellant’s counter-claim, an order of absolution from the instance would be appropriate under the circumstances.</w:t>
      </w:r>
    </w:p>
    <w:p w:rsidR="00E031E2" w:rsidRPr="00E031E2" w:rsidRDefault="00E031E2" w:rsidP="00E031E2">
      <w:pPr>
        <w:pStyle w:val="ListParagraph"/>
        <w:spacing w:after="0" w:line="480" w:lineRule="auto"/>
        <w:jc w:val="both"/>
        <w:rPr>
          <w:rFonts w:ascii="Arial" w:hAnsi="Arial" w:cs="Arial"/>
          <w:sz w:val="24"/>
          <w:szCs w:val="24"/>
        </w:rPr>
      </w:pPr>
    </w:p>
    <w:p w:rsidR="00E031E2" w:rsidRPr="00427859" w:rsidRDefault="00E031E2" w:rsidP="00F2214E">
      <w:pPr>
        <w:pStyle w:val="ListParagraph"/>
        <w:numPr>
          <w:ilvl w:val="0"/>
          <w:numId w:val="1"/>
        </w:numPr>
        <w:tabs>
          <w:tab w:val="left" w:pos="851"/>
        </w:tabs>
        <w:spacing w:after="0" w:line="480" w:lineRule="auto"/>
        <w:ind w:left="0" w:hanging="11"/>
        <w:jc w:val="both"/>
        <w:rPr>
          <w:rFonts w:ascii="Arial" w:hAnsi="Arial" w:cs="Arial"/>
          <w:color w:val="000000" w:themeColor="text1"/>
          <w:sz w:val="24"/>
          <w:szCs w:val="24"/>
        </w:rPr>
      </w:pPr>
      <w:r>
        <w:rPr>
          <w:rFonts w:ascii="Arial" w:hAnsi="Arial" w:cs="Arial"/>
          <w:sz w:val="24"/>
          <w:szCs w:val="24"/>
        </w:rPr>
        <w:t>In the result I make the following order.</w:t>
      </w:r>
      <w:r w:rsidR="00802B46">
        <w:rPr>
          <w:rFonts w:ascii="Arial" w:hAnsi="Arial" w:cs="Arial"/>
          <w:sz w:val="24"/>
          <w:szCs w:val="24"/>
        </w:rPr>
        <w:t xml:space="preserve"> </w:t>
      </w:r>
      <w:r w:rsidR="00802B46" w:rsidRPr="00427859">
        <w:rPr>
          <w:rFonts w:ascii="Arial" w:hAnsi="Arial" w:cs="Arial"/>
          <w:color w:val="000000" w:themeColor="text1"/>
          <w:sz w:val="24"/>
          <w:szCs w:val="24"/>
        </w:rPr>
        <w:t>For sake of clarity</w:t>
      </w:r>
      <w:r w:rsidR="00B82C72">
        <w:rPr>
          <w:rFonts w:ascii="Arial" w:hAnsi="Arial" w:cs="Arial"/>
          <w:color w:val="000000" w:themeColor="text1"/>
          <w:sz w:val="24"/>
          <w:szCs w:val="24"/>
        </w:rPr>
        <w:t>,</w:t>
      </w:r>
      <w:r w:rsidR="00802B46" w:rsidRPr="00427859">
        <w:rPr>
          <w:rFonts w:ascii="Arial" w:hAnsi="Arial" w:cs="Arial"/>
          <w:color w:val="000000" w:themeColor="text1"/>
          <w:sz w:val="24"/>
          <w:szCs w:val="24"/>
        </w:rPr>
        <w:t xml:space="preserve"> I alter the court </w:t>
      </w:r>
      <w:r w:rsidR="00802B46" w:rsidRPr="00290981">
        <w:rPr>
          <w:rFonts w:ascii="Arial" w:hAnsi="Arial" w:cs="Arial"/>
          <w:i/>
          <w:color w:val="000000" w:themeColor="text1"/>
          <w:sz w:val="24"/>
          <w:szCs w:val="24"/>
        </w:rPr>
        <w:t>a quo’s</w:t>
      </w:r>
      <w:r w:rsidR="00802B46" w:rsidRPr="00427859">
        <w:rPr>
          <w:rFonts w:ascii="Arial" w:hAnsi="Arial" w:cs="Arial"/>
          <w:color w:val="000000" w:themeColor="text1"/>
          <w:sz w:val="24"/>
          <w:szCs w:val="24"/>
        </w:rPr>
        <w:t xml:space="preserve"> order as indicated below.</w:t>
      </w:r>
    </w:p>
    <w:p w:rsidR="00E031E2" w:rsidRPr="00E031E2" w:rsidRDefault="00E031E2" w:rsidP="00802B46">
      <w:pPr>
        <w:pStyle w:val="ListParagraph"/>
        <w:spacing w:line="480" w:lineRule="auto"/>
        <w:jc w:val="both"/>
        <w:rPr>
          <w:rFonts w:ascii="Arial" w:hAnsi="Arial" w:cs="Arial"/>
          <w:sz w:val="24"/>
          <w:szCs w:val="24"/>
        </w:rPr>
      </w:pPr>
    </w:p>
    <w:p w:rsidR="00E031E2" w:rsidRDefault="00E031E2" w:rsidP="00E031E2">
      <w:pPr>
        <w:pStyle w:val="ListParagraph"/>
        <w:numPr>
          <w:ilvl w:val="0"/>
          <w:numId w:val="16"/>
        </w:numPr>
        <w:tabs>
          <w:tab w:val="left" w:pos="851"/>
        </w:tabs>
        <w:spacing w:after="0" w:line="480" w:lineRule="auto"/>
        <w:jc w:val="both"/>
        <w:rPr>
          <w:rFonts w:ascii="Arial" w:hAnsi="Arial" w:cs="Arial"/>
          <w:sz w:val="24"/>
          <w:szCs w:val="24"/>
        </w:rPr>
      </w:pPr>
      <w:r>
        <w:rPr>
          <w:rFonts w:ascii="Arial" w:hAnsi="Arial" w:cs="Arial"/>
          <w:sz w:val="24"/>
          <w:szCs w:val="24"/>
        </w:rPr>
        <w:lastRenderedPageBreak/>
        <w:t>The appeal is dismissed with costs, which costs include the costs of one instructing and one instructed counsel.</w:t>
      </w:r>
    </w:p>
    <w:p w:rsidR="00802B46" w:rsidRDefault="00802B46" w:rsidP="002132AA">
      <w:pPr>
        <w:pStyle w:val="ListParagraph"/>
        <w:tabs>
          <w:tab w:val="left" w:pos="851"/>
        </w:tabs>
        <w:spacing w:after="0" w:line="360" w:lineRule="auto"/>
        <w:ind w:left="1215"/>
        <w:jc w:val="both"/>
        <w:rPr>
          <w:rFonts w:ascii="Arial" w:hAnsi="Arial" w:cs="Arial"/>
          <w:sz w:val="24"/>
          <w:szCs w:val="24"/>
        </w:rPr>
      </w:pPr>
    </w:p>
    <w:p w:rsidR="00802B46" w:rsidRPr="00427859" w:rsidRDefault="00802B46" w:rsidP="00E031E2">
      <w:pPr>
        <w:pStyle w:val="ListParagraph"/>
        <w:numPr>
          <w:ilvl w:val="0"/>
          <w:numId w:val="16"/>
        </w:numPr>
        <w:tabs>
          <w:tab w:val="left" w:pos="851"/>
        </w:tabs>
        <w:spacing w:after="0" w:line="480" w:lineRule="auto"/>
        <w:jc w:val="both"/>
        <w:rPr>
          <w:rFonts w:ascii="Arial" w:hAnsi="Arial" w:cs="Arial"/>
          <w:color w:val="000000" w:themeColor="text1"/>
          <w:sz w:val="24"/>
          <w:szCs w:val="24"/>
        </w:rPr>
      </w:pPr>
      <w:r w:rsidRPr="00427859">
        <w:rPr>
          <w:rFonts w:ascii="Arial" w:hAnsi="Arial" w:cs="Arial"/>
          <w:color w:val="000000" w:themeColor="text1"/>
          <w:sz w:val="24"/>
          <w:szCs w:val="24"/>
        </w:rPr>
        <w:t xml:space="preserve">The court </w:t>
      </w:r>
      <w:r w:rsidRPr="00290981">
        <w:rPr>
          <w:rFonts w:ascii="Arial" w:hAnsi="Arial" w:cs="Arial"/>
          <w:i/>
          <w:color w:val="000000" w:themeColor="text1"/>
          <w:sz w:val="24"/>
          <w:szCs w:val="24"/>
        </w:rPr>
        <w:t>a quo’s</w:t>
      </w:r>
      <w:r w:rsidRPr="00427859">
        <w:rPr>
          <w:rFonts w:ascii="Arial" w:hAnsi="Arial" w:cs="Arial"/>
          <w:color w:val="000000" w:themeColor="text1"/>
          <w:sz w:val="24"/>
          <w:szCs w:val="24"/>
        </w:rPr>
        <w:t xml:space="preserve"> order is altered to read as follows:</w:t>
      </w:r>
    </w:p>
    <w:p w:rsidR="00802B46" w:rsidRPr="00427859" w:rsidRDefault="00802B46" w:rsidP="002132AA">
      <w:pPr>
        <w:pStyle w:val="ListParagraph"/>
        <w:spacing w:after="0" w:line="360" w:lineRule="auto"/>
        <w:jc w:val="both"/>
        <w:rPr>
          <w:rFonts w:ascii="Arial" w:hAnsi="Arial" w:cs="Arial"/>
          <w:color w:val="000000" w:themeColor="text1"/>
          <w:sz w:val="24"/>
          <w:szCs w:val="24"/>
        </w:rPr>
      </w:pPr>
    </w:p>
    <w:p w:rsidR="00802B46" w:rsidRPr="00427859" w:rsidRDefault="00CC59B9" w:rsidP="00CC59B9">
      <w:pPr>
        <w:pStyle w:val="ListParagraph"/>
        <w:numPr>
          <w:ilvl w:val="1"/>
          <w:numId w:val="16"/>
        </w:numPr>
        <w:tabs>
          <w:tab w:val="left" w:pos="851"/>
        </w:tabs>
        <w:spacing w:after="0" w:line="480" w:lineRule="auto"/>
        <w:jc w:val="both"/>
        <w:rPr>
          <w:rFonts w:ascii="Arial" w:hAnsi="Arial" w:cs="Arial"/>
          <w:color w:val="000000" w:themeColor="text1"/>
          <w:sz w:val="24"/>
          <w:szCs w:val="24"/>
        </w:rPr>
      </w:pPr>
      <w:r w:rsidRPr="00427859">
        <w:rPr>
          <w:rFonts w:ascii="Arial" w:hAnsi="Arial" w:cs="Arial"/>
          <w:color w:val="000000" w:themeColor="text1"/>
          <w:sz w:val="24"/>
          <w:szCs w:val="24"/>
        </w:rPr>
        <w:t>Defendant shall pay the value of the material</w:t>
      </w:r>
      <w:r w:rsidR="00290981">
        <w:rPr>
          <w:rFonts w:ascii="Arial" w:hAnsi="Arial" w:cs="Arial"/>
          <w:color w:val="000000" w:themeColor="text1"/>
          <w:sz w:val="24"/>
          <w:szCs w:val="24"/>
        </w:rPr>
        <w:t>s</w:t>
      </w:r>
      <w:r w:rsidRPr="00427859">
        <w:rPr>
          <w:rFonts w:ascii="Arial" w:hAnsi="Arial" w:cs="Arial"/>
          <w:color w:val="000000" w:themeColor="text1"/>
          <w:sz w:val="24"/>
          <w:szCs w:val="24"/>
        </w:rPr>
        <w:t xml:space="preserve"> delivered to </w:t>
      </w:r>
      <w:r w:rsidR="00290981">
        <w:rPr>
          <w:rFonts w:ascii="Arial" w:hAnsi="Arial" w:cs="Arial"/>
          <w:color w:val="000000" w:themeColor="text1"/>
          <w:sz w:val="24"/>
          <w:szCs w:val="24"/>
        </w:rPr>
        <w:t>him</w:t>
      </w:r>
      <w:r w:rsidRPr="00427859">
        <w:rPr>
          <w:rFonts w:ascii="Arial" w:hAnsi="Arial" w:cs="Arial"/>
          <w:color w:val="000000" w:themeColor="text1"/>
          <w:sz w:val="24"/>
          <w:szCs w:val="24"/>
        </w:rPr>
        <w:t xml:space="preserve"> in the sum of N$203</w:t>
      </w:r>
      <w:r w:rsidR="00290981">
        <w:rPr>
          <w:rFonts w:ascii="Arial" w:hAnsi="Arial" w:cs="Arial"/>
          <w:color w:val="000000" w:themeColor="text1"/>
          <w:sz w:val="24"/>
          <w:szCs w:val="24"/>
        </w:rPr>
        <w:t> </w:t>
      </w:r>
      <w:r w:rsidRPr="00427859">
        <w:rPr>
          <w:rFonts w:ascii="Arial" w:hAnsi="Arial" w:cs="Arial"/>
          <w:color w:val="000000" w:themeColor="text1"/>
          <w:sz w:val="24"/>
          <w:szCs w:val="24"/>
        </w:rPr>
        <w:t>339</w:t>
      </w:r>
      <w:r w:rsidR="00290981">
        <w:rPr>
          <w:rFonts w:ascii="Arial" w:hAnsi="Arial" w:cs="Arial"/>
          <w:color w:val="000000" w:themeColor="text1"/>
          <w:sz w:val="24"/>
          <w:szCs w:val="24"/>
        </w:rPr>
        <w:t>,</w:t>
      </w:r>
      <w:r w:rsidRPr="00427859">
        <w:rPr>
          <w:rFonts w:ascii="Arial" w:hAnsi="Arial" w:cs="Arial"/>
          <w:color w:val="000000" w:themeColor="text1"/>
          <w:sz w:val="24"/>
          <w:szCs w:val="24"/>
        </w:rPr>
        <w:t>73.</w:t>
      </w:r>
    </w:p>
    <w:p w:rsidR="00CC59B9" w:rsidRPr="00427859" w:rsidRDefault="00CC59B9" w:rsidP="002132AA">
      <w:pPr>
        <w:pStyle w:val="ListParagraph"/>
        <w:tabs>
          <w:tab w:val="left" w:pos="851"/>
        </w:tabs>
        <w:spacing w:after="0" w:line="360" w:lineRule="auto"/>
        <w:ind w:left="2160"/>
        <w:jc w:val="both"/>
        <w:rPr>
          <w:rFonts w:ascii="Arial" w:hAnsi="Arial" w:cs="Arial"/>
          <w:color w:val="000000" w:themeColor="text1"/>
          <w:sz w:val="24"/>
          <w:szCs w:val="24"/>
        </w:rPr>
      </w:pPr>
    </w:p>
    <w:p w:rsidR="00CC59B9" w:rsidRPr="00427859" w:rsidRDefault="00CC59B9" w:rsidP="00CC59B9">
      <w:pPr>
        <w:pStyle w:val="ListParagraph"/>
        <w:numPr>
          <w:ilvl w:val="1"/>
          <w:numId w:val="16"/>
        </w:numPr>
        <w:tabs>
          <w:tab w:val="left" w:pos="851"/>
        </w:tabs>
        <w:spacing w:after="0" w:line="480" w:lineRule="auto"/>
        <w:jc w:val="both"/>
        <w:rPr>
          <w:rFonts w:ascii="Arial" w:hAnsi="Arial" w:cs="Arial"/>
          <w:color w:val="000000" w:themeColor="text1"/>
          <w:sz w:val="24"/>
          <w:szCs w:val="24"/>
        </w:rPr>
      </w:pPr>
      <w:r w:rsidRPr="00427859">
        <w:rPr>
          <w:rFonts w:ascii="Arial" w:hAnsi="Arial" w:cs="Arial"/>
          <w:color w:val="000000" w:themeColor="text1"/>
          <w:sz w:val="24"/>
          <w:szCs w:val="24"/>
        </w:rPr>
        <w:t xml:space="preserve">Defendant shall pay interest on the above amount from 24 January 2017 at 20% per annum </w:t>
      </w:r>
      <w:r w:rsidRPr="00290981">
        <w:rPr>
          <w:rFonts w:ascii="Arial" w:hAnsi="Arial" w:cs="Arial"/>
          <w:i/>
          <w:color w:val="000000" w:themeColor="text1"/>
          <w:sz w:val="24"/>
          <w:szCs w:val="24"/>
        </w:rPr>
        <w:t>a</w:t>
      </w:r>
      <w:r w:rsidRPr="00427859">
        <w:rPr>
          <w:rFonts w:ascii="Arial" w:hAnsi="Arial" w:cs="Arial"/>
          <w:color w:val="000000" w:themeColor="text1"/>
          <w:sz w:val="24"/>
          <w:szCs w:val="24"/>
        </w:rPr>
        <w:t xml:space="preserve"> </w:t>
      </w:r>
      <w:r w:rsidRPr="00290981">
        <w:rPr>
          <w:rFonts w:ascii="Arial" w:hAnsi="Arial" w:cs="Arial"/>
          <w:i/>
          <w:color w:val="000000" w:themeColor="text1"/>
          <w:sz w:val="24"/>
          <w:szCs w:val="24"/>
        </w:rPr>
        <w:t>tempore morae</w:t>
      </w:r>
      <w:r w:rsidRPr="00427859">
        <w:rPr>
          <w:rFonts w:ascii="Arial" w:hAnsi="Arial" w:cs="Arial"/>
          <w:color w:val="000000" w:themeColor="text1"/>
          <w:sz w:val="24"/>
          <w:szCs w:val="24"/>
        </w:rPr>
        <w:t xml:space="preserve"> to date of final payment.</w:t>
      </w:r>
    </w:p>
    <w:p w:rsidR="00CC59B9" w:rsidRPr="00427859" w:rsidRDefault="00CC59B9" w:rsidP="002132AA">
      <w:pPr>
        <w:pStyle w:val="ListParagraph"/>
        <w:spacing w:after="0" w:line="360" w:lineRule="auto"/>
        <w:jc w:val="both"/>
        <w:rPr>
          <w:rFonts w:ascii="Arial" w:hAnsi="Arial" w:cs="Arial"/>
          <w:color w:val="000000" w:themeColor="text1"/>
          <w:sz w:val="24"/>
          <w:szCs w:val="24"/>
        </w:rPr>
      </w:pPr>
    </w:p>
    <w:p w:rsidR="00CC59B9" w:rsidRPr="00427859" w:rsidRDefault="00CC59B9" w:rsidP="00CC59B9">
      <w:pPr>
        <w:pStyle w:val="ListParagraph"/>
        <w:numPr>
          <w:ilvl w:val="1"/>
          <w:numId w:val="16"/>
        </w:numPr>
        <w:tabs>
          <w:tab w:val="left" w:pos="851"/>
        </w:tabs>
        <w:spacing w:after="0" w:line="480" w:lineRule="auto"/>
        <w:jc w:val="both"/>
        <w:rPr>
          <w:rFonts w:ascii="Arial" w:hAnsi="Arial" w:cs="Arial"/>
          <w:color w:val="000000" w:themeColor="text1"/>
          <w:sz w:val="24"/>
          <w:szCs w:val="24"/>
        </w:rPr>
      </w:pPr>
      <w:r w:rsidRPr="00427859">
        <w:rPr>
          <w:rFonts w:ascii="Arial" w:hAnsi="Arial" w:cs="Arial"/>
          <w:color w:val="000000" w:themeColor="text1"/>
          <w:sz w:val="24"/>
          <w:szCs w:val="24"/>
        </w:rPr>
        <w:t>In respect of the counter-claim an order of absolution from the instance is granted.</w:t>
      </w:r>
    </w:p>
    <w:p w:rsidR="00CC59B9" w:rsidRPr="00427859" w:rsidRDefault="00CC59B9" w:rsidP="002132AA">
      <w:pPr>
        <w:pStyle w:val="ListParagraph"/>
        <w:spacing w:after="0" w:line="360" w:lineRule="auto"/>
        <w:jc w:val="both"/>
        <w:rPr>
          <w:rFonts w:ascii="Arial" w:hAnsi="Arial" w:cs="Arial"/>
          <w:color w:val="000000" w:themeColor="text1"/>
          <w:sz w:val="24"/>
          <w:szCs w:val="24"/>
        </w:rPr>
      </w:pPr>
    </w:p>
    <w:p w:rsidR="00CC59B9" w:rsidRPr="00427859" w:rsidRDefault="00CC59B9" w:rsidP="00CC59B9">
      <w:pPr>
        <w:pStyle w:val="ListParagraph"/>
        <w:numPr>
          <w:ilvl w:val="1"/>
          <w:numId w:val="16"/>
        </w:numPr>
        <w:tabs>
          <w:tab w:val="left" w:pos="851"/>
        </w:tabs>
        <w:spacing w:after="0" w:line="480" w:lineRule="auto"/>
        <w:jc w:val="both"/>
        <w:rPr>
          <w:rFonts w:ascii="Arial" w:hAnsi="Arial" w:cs="Arial"/>
          <w:color w:val="000000" w:themeColor="text1"/>
          <w:sz w:val="24"/>
          <w:szCs w:val="24"/>
        </w:rPr>
      </w:pPr>
      <w:r w:rsidRPr="00427859">
        <w:rPr>
          <w:rFonts w:ascii="Arial" w:hAnsi="Arial" w:cs="Arial"/>
          <w:color w:val="000000" w:themeColor="text1"/>
          <w:sz w:val="24"/>
          <w:szCs w:val="24"/>
        </w:rPr>
        <w:t>Defendant shall pay the costs of suit of the plaintiffs, including the cost</w:t>
      </w:r>
      <w:r w:rsidR="00055C92">
        <w:rPr>
          <w:rFonts w:ascii="Arial" w:hAnsi="Arial" w:cs="Arial"/>
          <w:color w:val="000000" w:themeColor="text1"/>
          <w:sz w:val="24"/>
          <w:szCs w:val="24"/>
        </w:rPr>
        <w:t>s</w:t>
      </w:r>
      <w:r w:rsidRPr="00427859">
        <w:rPr>
          <w:rFonts w:ascii="Arial" w:hAnsi="Arial" w:cs="Arial"/>
          <w:color w:val="000000" w:themeColor="text1"/>
          <w:sz w:val="24"/>
          <w:szCs w:val="24"/>
        </w:rPr>
        <w:t xml:space="preserve"> of one instructing and one instructed counsel.</w:t>
      </w:r>
    </w:p>
    <w:p w:rsidR="00CC59B9" w:rsidRDefault="00CC59B9" w:rsidP="007D275A">
      <w:pPr>
        <w:spacing w:after="0" w:line="240" w:lineRule="auto"/>
        <w:jc w:val="both"/>
        <w:rPr>
          <w:rFonts w:ascii="Arial" w:hAnsi="Arial" w:cs="Arial"/>
          <w:sz w:val="24"/>
          <w:szCs w:val="24"/>
        </w:rPr>
      </w:pPr>
    </w:p>
    <w:p w:rsidR="00EE0758" w:rsidRDefault="00EE0758" w:rsidP="007D275A">
      <w:pPr>
        <w:spacing w:after="0" w:line="240" w:lineRule="auto"/>
        <w:jc w:val="both"/>
        <w:rPr>
          <w:rFonts w:ascii="Arial" w:hAnsi="Arial" w:cs="Arial"/>
          <w:sz w:val="24"/>
          <w:szCs w:val="24"/>
        </w:rPr>
      </w:pPr>
    </w:p>
    <w:p w:rsidR="008E516D" w:rsidRDefault="008E516D" w:rsidP="00D36262">
      <w:pPr>
        <w:spacing w:after="0" w:line="240" w:lineRule="auto"/>
        <w:jc w:val="both"/>
        <w:rPr>
          <w:rFonts w:ascii="Arial" w:hAnsi="Arial" w:cs="Arial"/>
          <w:sz w:val="24"/>
          <w:szCs w:val="24"/>
        </w:rPr>
      </w:pPr>
    </w:p>
    <w:p w:rsidR="00B82C72" w:rsidRDefault="00B82C72" w:rsidP="00D36262">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EE0758" w:rsidRDefault="00EE0758" w:rsidP="00D36262">
      <w:pPr>
        <w:spacing w:after="0" w:line="240" w:lineRule="auto"/>
        <w:jc w:val="both"/>
        <w:rPr>
          <w:rFonts w:ascii="Arial" w:hAnsi="Arial" w:cs="Arial"/>
          <w:sz w:val="24"/>
          <w:szCs w:val="24"/>
        </w:rPr>
      </w:pPr>
    </w:p>
    <w:p w:rsidR="00EE0758" w:rsidRDefault="00EE0758" w:rsidP="00D36262">
      <w:pPr>
        <w:spacing w:after="0" w:line="240" w:lineRule="auto"/>
        <w:jc w:val="both"/>
        <w:rPr>
          <w:rFonts w:ascii="Arial" w:hAnsi="Arial" w:cs="Arial"/>
          <w:sz w:val="24"/>
          <w:szCs w:val="24"/>
        </w:rPr>
      </w:pPr>
    </w:p>
    <w:p w:rsidR="00CC59B9" w:rsidRDefault="00CC59B9" w:rsidP="00D36262">
      <w:pPr>
        <w:spacing w:after="0" w:line="240" w:lineRule="auto"/>
        <w:jc w:val="both"/>
        <w:rPr>
          <w:rFonts w:ascii="Arial" w:hAnsi="Arial" w:cs="Arial"/>
          <w:sz w:val="24"/>
          <w:szCs w:val="24"/>
        </w:rPr>
      </w:pPr>
    </w:p>
    <w:p w:rsidR="00EE0758" w:rsidRDefault="00EE0758"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EB46E3" w:rsidP="00D36262">
      <w:pPr>
        <w:spacing w:after="0" w:line="240" w:lineRule="auto"/>
        <w:jc w:val="both"/>
        <w:rPr>
          <w:rFonts w:ascii="Arial" w:hAnsi="Arial" w:cs="Arial"/>
          <w:b/>
          <w:sz w:val="24"/>
          <w:szCs w:val="24"/>
        </w:rPr>
      </w:pPr>
      <w:r>
        <w:rPr>
          <w:rFonts w:ascii="Arial" w:hAnsi="Arial" w:cs="Arial"/>
          <w:b/>
          <w:sz w:val="24"/>
          <w:szCs w:val="24"/>
        </w:rPr>
        <w:t xml:space="preserve">HOFF </w:t>
      </w:r>
      <w:r w:rsidR="00976492">
        <w:rPr>
          <w:rFonts w:ascii="Arial" w:hAnsi="Arial" w:cs="Arial"/>
          <w:b/>
          <w:sz w:val="24"/>
          <w:szCs w:val="24"/>
        </w:rPr>
        <w:t>J</w:t>
      </w:r>
      <w:r>
        <w:rPr>
          <w:rFonts w:ascii="Arial" w:hAnsi="Arial" w:cs="Arial"/>
          <w:b/>
          <w:sz w:val="24"/>
          <w:szCs w:val="24"/>
        </w:rPr>
        <w:t>A</w:t>
      </w: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sz w:val="24"/>
          <w:szCs w:val="24"/>
        </w:rPr>
      </w:pPr>
    </w:p>
    <w:p w:rsidR="00A43E98" w:rsidRDefault="00A43E98" w:rsidP="00A43E98">
      <w:pPr>
        <w:spacing w:after="0" w:line="240" w:lineRule="auto"/>
        <w:jc w:val="both"/>
        <w:rPr>
          <w:rFonts w:ascii="Arial" w:hAnsi="Arial" w:cs="Arial"/>
          <w:sz w:val="24"/>
          <w:szCs w:val="24"/>
        </w:rPr>
      </w:pPr>
    </w:p>
    <w:p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rsidR="00A43E98" w:rsidRDefault="00EB46E3" w:rsidP="00A43E98">
      <w:pPr>
        <w:spacing w:after="0" w:line="240" w:lineRule="auto"/>
        <w:jc w:val="both"/>
        <w:rPr>
          <w:rFonts w:ascii="Arial" w:hAnsi="Arial" w:cs="Arial"/>
          <w:b/>
          <w:sz w:val="24"/>
          <w:szCs w:val="24"/>
        </w:rPr>
      </w:pPr>
      <w:r>
        <w:rPr>
          <w:rFonts w:ascii="Arial" w:hAnsi="Arial" w:cs="Arial"/>
          <w:b/>
          <w:sz w:val="24"/>
          <w:szCs w:val="24"/>
        </w:rPr>
        <w:t>FRANK</w:t>
      </w:r>
      <w:r w:rsidR="00976492">
        <w:rPr>
          <w:rFonts w:ascii="Arial" w:hAnsi="Arial" w:cs="Arial"/>
          <w:b/>
          <w:sz w:val="24"/>
          <w:szCs w:val="24"/>
        </w:rPr>
        <w:t xml:space="preserve"> </w:t>
      </w:r>
      <w:r>
        <w:rPr>
          <w:rFonts w:ascii="Arial" w:hAnsi="Arial" w:cs="Arial"/>
          <w:b/>
          <w:sz w:val="24"/>
          <w:szCs w:val="24"/>
        </w:rPr>
        <w:t>A</w:t>
      </w:r>
      <w:r w:rsidR="00976492">
        <w:rPr>
          <w:rFonts w:ascii="Arial" w:hAnsi="Arial" w:cs="Arial"/>
          <w:b/>
          <w:sz w:val="24"/>
          <w:szCs w:val="24"/>
        </w:rPr>
        <w:t>JA</w:t>
      </w: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290981">
            <w:pPr>
              <w:spacing w:after="0" w:line="480" w:lineRule="auto"/>
              <w:ind w:right="-146"/>
              <w:rPr>
                <w:rFonts w:ascii="Arial" w:hAnsi="Arial" w:cs="Arial"/>
                <w:sz w:val="24"/>
                <w:szCs w:val="24"/>
              </w:rPr>
            </w:pPr>
            <w:r w:rsidRPr="00500CF6">
              <w:rPr>
                <w:rFonts w:ascii="Arial" w:hAnsi="Arial" w:cs="Arial"/>
                <w:sz w:val="24"/>
                <w:szCs w:val="24"/>
              </w:rPr>
              <w:t>A</w:t>
            </w:r>
            <w:r w:rsidR="00290981">
              <w:rPr>
                <w:rFonts w:ascii="Arial" w:hAnsi="Arial" w:cs="Arial"/>
                <w:sz w:val="24"/>
                <w:szCs w:val="24"/>
              </w:rPr>
              <w:t>PPELLANT</w:t>
            </w:r>
            <w:r w:rsidRPr="00500CF6">
              <w:rPr>
                <w:rFonts w:ascii="Arial" w:hAnsi="Arial" w:cs="Arial"/>
                <w:sz w:val="24"/>
                <w:szCs w:val="24"/>
              </w:rPr>
              <w: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E031E2" w:rsidP="00EB46E3">
            <w:pPr>
              <w:spacing w:after="0" w:line="480" w:lineRule="auto"/>
              <w:rPr>
                <w:rFonts w:ascii="Arial" w:hAnsi="Arial" w:cs="Arial"/>
                <w:sz w:val="24"/>
                <w:szCs w:val="24"/>
              </w:rPr>
            </w:pPr>
            <w:r>
              <w:rPr>
                <w:rFonts w:ascii="Arial" w:hAnsi="Arial" w:cs="Arial"/>
                <w:sz w:val="24"/>
                <w:szCs w:val="24"/>
              </w:rPr>
              <w:t>C J</w:t>
            </w:r>
            <w:r w:rsidR="00485F5B">
              <w:rPr>
                <w:rFonts w:ascii="Arial" w:hAnsi="Arial" w:cs="Arial"/>
                <w:sz w:val="24"/>
                <w:szCs w:val="24"/>
              </w:rPr>
              <w:t xml:space="preserve"> </w:t>
            </w:r>
            <w:r w:rsidR="00EB46E3">
              <w:rPr>
                <w:rFonts w:ascii="Arial" w:hAnsi="Arial" w:cs="Arial"/>
                <w:sz w:val="24"/>
                <w:szCs w:val="24"/>
              </w:rPr>
              <w:t>Mouton</w:t>
            </w:r>
            <w:r w:rsidR="007179FA">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EB46E3" w:rsidP="00485F5B">
            <w:pPr>
              <w:spacing w:after="0" w:line="480" w:lineRule="auto"/>
              <w:ind w:right="-818"/>
              <w:rPr>
                <w:rFonts w:ascii="Arial" w:hAnsi="Arial" w:cs="Arial"/>
                <w:sz w:val="24"/>
                <w:szCs w:val="24"/>
              </w:rPr>
            </w:pPr>
            <w:r>
              <w:rPr>
                <w:rFonts w:ascii="Arial" w:hAnsi="Arial" w:cs="Arial"/>
                <w:sz w:val="24"/>
                <w:szCs w:val="24"/>
              </w:rPr>
              <w:t>Instructed by Grobler &amp; Co.</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290981" w:rsidP="00290981">
            <w:pPr>
              <w:spacing w:after="0" w:line="480" w:lineRule="auto"/>
              <w:rPr>
                <w:rFonts w:ascii="Arial" w:hAnsi="Arial" w:cs="Arial"/>
                <w:sz w:val="24"/>
                <w:szCs w:val="24"/>
              </w:rPr>
            </w:pPr>
            <w:r>
              <w:rPr>
                <w:rFonts w:ascii="Arial" w:hAnsi="Arial" w:cs="Arial"/>
                <w:sz w:val="24"/>
                <w:szCs w:val="24"/>
              </w:rPr>
              <w:t>FIRST AND SECOND RESPONDENTS</w:t>
            </w:r>
            <w:r w:rsidR="00573B8D" w:rsidRPr="00500CF6">
              <w:rPr>
                <w:rFonts w:ascii="Arial" w:hAnsi="Arial" w:cs="Arial"/>
                <w:sz w:val="24"/>
                <w:szCs w:val="24"/>
              </w:rPr>
              <w:t>:</w:t>
            </w:r>
          </w:p>
        </w:tc>
        <w:tc>
          <w:tcPr>
            <w:tcW w:w="4371" w:type="dxa"/>
            <w:shd w:val="clear" w:color="auto" w:fill="auto"/>
          </w:tcPr>
          <w:p w:rsidR="004169A7" w:rsidRPr="00500CF6" w:rsidRDefault="004169A7" w:rsidP="00500CF6">
            <w:pPr>
              <w:spacing w:after="0" w:line="480" w:lineRule="auto"/>
              <w:rPr>
                <w:rFonts w:ascii="Arial" w:hAnsi="Arial" w:cs="Arial"/>
                <w:sz w:val="24"/>
                <w:szCs w:val="24"/>
              </w:rPr>
            </w:pPr>
          </w:p>
          <w:p w:rsidR="000F360F" w:rsidRPr="00500CF6" w:rsidRDefault="00EB46E3" w:rsidP="00EB46E3">
            <w:pPr>
              <w:spacing w:after="0" w:line="480" w:lineRule="auto"/>
              <w:rPr>
                <w:rFonts w:ascii="Arial" w:hAnsi="Arial" w:cs="Arial"/>
                <w:sz w:val="24"/>
                <w:szCs w:val="24"/>
              </w:rPr>
            </w:pPr>
            <w:r>
              <w:rPr>
                <w:rFonts w:ascii="Arial" w:hAnsi="Arial" w:cs="Arial"/>
                <w:sz w:val="24"/>
                <w:szCs w:val="24"/>
              </w:rPr>
              <w:t>T Muhongo</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EB46E3" w:rsidRDefault="008E0490" w:rsidP="00EB46E3">
            <w:pPr>
              <w:spacing w:after="0" w:line="480" w:lineRule="auto"/>
              <w:rPr>
                <w:rFonts w:ascii="Arial" w:hAnsi="Arial" w:cs="Arial"/>
                <w:sz w:val="24"/>
                <w:szCs w:val="24"/>
              </w:rPr>
            </w:pPr>
            <w:r>
              <w:rPr>
                <w:rFonts w:ascii="Arial" w:hAnsi="Arial" w:cs="Arial"/>
                <w:sz w:val="24"/>
                <w:szCs w:val="24"/>
              </w:rPr>
              <w:t xml:space="preserve">Instructed by </w:t>
            </w:r>
            <w:r w:rsidR="00EB46E3">
              <w:rPr>
                <w:rFonts w:ascii="Arial" w:hAnsi="Arial" w:cs="Arial"/>
                <w:sz w:val="24"/>
                <w:szCs w:val="24"/>
              </w:rPr>
              <w:t xml:space="preserve">Ens|Africa </w:t>
            </w:r>
          </w:p>
          <w:p w:rsidR="00573B8D" w:rsidRPr="00500CF6" w:rsidRDefault="00B222E0" w:rsidP="00B222E0">
            <w:pPr>
              <w:spacing w:after="0" w:line="480" w:lineRule="auto"/>
              <w:rPr>
                <w:rFonts w:ascii="Arial" w:hAnsi="Arial" w:cs="Arial"/>
                <w:sz w:val="24"/>
                <w:szCs w:val="24"/>
              </w:rPr>
            </w:pPr>
            <w:r>
              <w:rPr>
                <w:rFonts w:ascii="Arial" w:hAnsi="Arial" w:cs="Arial"/>
                <w:sz w:val="24"/>
                <w:szCs w:val="24"/>
              </w:rPr>
              <w:t>(i</w:t>
            </w:r>
            <w:r w:rsidR="00485F5B">
              <w:rPr>
                <w:rFonts w:ascii="Arial" w:hAnsi="Arial" w:cs="Arial"/>
                <w:sz w:val="24"/>
                <w:szCs w:val="24"/>
              </w:rPr>
              <w:t>nc</w:t>
            </w:r>
            <w:r>
              <w:rPr>
                <w:rFonts w:ascii="Arial" w:hAnsi="Arial" w:cs="Arial"/>
                <w:sz w:val="24"/>
                <w:szCs w:val="24"/>
              </w:rPr>
              <w:t>orporated</w:t>
            </w:r>
            <w:r w:rsidR="00EB46E3">
              <w:rPr>
                <w:rFonts w:ascii="Arial" w:hAnsi="Arial" w:cs="Arial"/>
                <w:sz w:val="24"/>
                <w:szCs w:val="24"/>
              </w:rPr>
              <w:t xml:space="preserve"> as LorentzAngula</w:t>
            </w:r>
            <w:r>
              <w:rPr>
                <w:rFonts w:ascii="Arial" w:hAnsi="Arial" w:cs="Arial"/>
                <w:sz w:val="24"/>
                <w:szCs w:val="24"/>
              </w:rPr>
              <w:t xml:space="preserve"> Inc.</w:t>
            </w:r>
            <w:r w:rsidR="009F0F89">
              <w:rPr>
                <w:rFonts w:ascii="Arial" w:hAnsi="Arial" w:cs="Arial"/>
                <w:sz w:val="24"/>
                <w:szCs w:val="24"/>
              </w:rPr>
              <w:t>)</w:t>
            </w:r>
            <w:r w:rsidR="00B56278">
              <w:rPr>
                <w:rFonts w:ascii="Arial" w:hAnsi="Arial" w:cs="Arial"/>
                <w:sz w:val="24"/>
                <w:szCs w:val="24"/>
              </w:rPr>
              <w:t>, Windhoek</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4E" w:rsidRDefault="006B004E" w:rsidP="00F74879">
      <w:pPr>
        <w:spacing w:after="0" w:line="240" w:lineRule="auto"/>
      </w:pPr>
      <w:r>
        <w:separator/>
      </w:r>
    </w:p>
  </w:endnote>
  <w:endnote w:type="continuationSeparator" w:id="0">
    <w:p w:rsidR="006B004E" w:rsidRDefault="006B004E"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4E" w:rsidRDefault="006B004E" w:rsidP="00F74879">
      <w:pPr>
        <w:spacing w:after="0" w:line="240" w:lineRule="auto"/>
      </w:pPr>
      <w:r>
        <w:separator/>
      </w:r>
    </w:p>
  </w:footnote>
  <w:footnote w:type="continuationSeparator" w:id="0">
    <w:p w:rsidR="006B004E" w:rsidRDefault="006B004E" w:rsidP="00F74879">
      <w:pPr>
        <w:spacing w:after="0" w:line="240" w:lineRule="auto"/>
      </w:pPr>
      <w:r>
        <w:continuationSeparator/>
      </w:r>
    </w:p>
  </w:footnote>
  <w:footnote w:id="1">
    <w:p w:rsidR="004A3171" w:rsidRPr="004A3171" w:rsidRDefault="004A3171" w:rsidP="004A3171">
      <w:pPr>
        <w:pStyle w:val="FootnoteText"/>
        <w:jc w:val="both"/>
        <w:rPr>
          <w:rFonts w:ascii="Arial" w:hAnsi="Arial" w:cs="Arial"/>
          <w:lang w:val="en-ZA"/>
        </w:rPr>
      </w:pPr>
      <w:r>
        <w:rPr>
          <w:rStyle w:val="FootnoteReference"/>
        </w:rPr>
        <w:footnoteRef/>
      </w:r>
      <w:r>
        <w:t xml:space="preserve"> </w:t>
      </w:r>
      <w:r>
        <w:rPr>
          <w:rFonts w:ascii="Arial" w:hAnsi="Arial" w:cs="Arial"/>
          <w:lang w:val="en-ZA"/>
        </w:rPr>
        <w:t>1981 (2) SA 684 (A)</w:t>
      </w:r>
      <w:r w:rsidR="00C636F8">
        <w:rPr>
          <w:rFonts w:ascii="Arial" w:hAnsi="Arial" w:cs="Arial"/>
          <w:lang w:val="en-ZA"/>
        </w:rPr>
        <w:t>.</w:t>
      </w:r>
    </w:p>
  </w:footnote>
  <w:footnote w:id="2">
    <w:p w:rsidR="00601F67" w:rsidRPr="00601F67" w:rsidRDefault="00601F67" w:rsidP="00601F67">
      <w:pPr>
        <w:pStyle w:val="FootnoteText"/>
        <w:jc w:val="both"/>
        <w:rPr>
          <w:rFonts w:ascii="Arial" w:hAnsi="Arial" w:cs="Arial"/>
          <w:lang w:val="en-ZA"/>
        </w:rPr>
      </w:pPr>
      <w:r>
        <w:rPr>
          <w:rStyle w:val="FootnoteReference"/>
        </w:rPr>
        <w:footnoteRef/>
      </w:r>
      <w:r>
        <w:t xml:space="preserve"> </w:t>
      </w:r>
      <w:r w:rsidRPr="00601F67">
        <w:rPr>
          <w:rFonts w:ascii="Arial" w:hAnsi="Arial" w:cs="Arial"/>
          <w:i/>
          <w:lang w:val="en-ZA"/>
        </w:rPr>
        <w:t>Cash Converters Southern Africa v Rosebud WP Franchise</w:t>
      </w:r>
      <w:r>
        <w:rPr>
          <w:rFonts w:ascii="Arial" w:hAnsi="Arial" w:cs="Arial"/>
          <w:lang w:val="en-ZA"/>
        </w:rPr>
        <w:t xml:space="preserve"> 2002 (5) SA 494 (SCA) at 508F</w:t>
      </w:r>
      <w:r w:rsidR="00C636F8">
        <w:rPr>
          <w:rFonts w:ascii="Arial" w:hAnsi="Arial" w:cs="Arial"/>
          <w:lang w:val="en-ZA"/>
        </w:rPr>
        <w:t>.</w:t>
      </w:r>
    </w:p>
  </w:footnote>
  <w:footnote w:id="3">
    <w:p w:rsidR="00B701E1" w:rsidRPr="00E031E2" w:rsidRDefault="00B701E1" w:rsidP="00B701E1">
      <w:pPr>
        <w:pStyle w:val="FootnoteText"/>
        <w:jc w:val="both"/>
        <w:rPr>
          <w:rFonts w:ascii="Arial" w:hAnsi="Arial" w:cs="Arial"/>
          <w:lang w:val="en-ZA"/>
        </w:rPr>
      </w:pPr>
      <w:r>
        <w:rPr>
          <w:rStyle w:val="FootnoteReference"/>
        </w:rPr>
        <w:footnoteRef/>
      </w:r>
      <w:r>
        <w:t xml:space="preserve"> </w:t>
      </w:r>
      <w:r w:rsidR="00E031E2">
        <w:rPr>
          <w:rFonts w:ascii="Arial" w:hAnsi="Arial" w:cs="Arial"/>
          <w:i/>
          <w:lang w:val="en-ZA"/>
        </w:rPr>
        <w:t>Christie</w:t>
      </w:r>
      <w:r w:rsidR="00B222E0">
        <w:rPr>
          <w:rFonts w:ascii="Arial" w:hAnsi="Arial" w:cs="Arial"/>
          <w:i/>
          <w:lang w:val="en-ZA"/>
        </w:rPr>
        <w:t>,</w:t>
      </w:r>
      <w:r w:rsidR="00E031E2">
        <w:rPr>
          <w:rFonts w:ascii="Arial" w:hAnsi="Arial" w:cs="Arial"/>
          <w:i/>
          <w:lang w:val="en-ZA"/>
        </w:rPr>
        <w:t xml:space="preserve"> RH: The Law of Contract in South Africa, </w:t>
      </w:r>
      <w:r w:rsidR="00E031E2">
        <w:rPr>
          <w:rFonts w:ascii="Arial" w:hAnsi="Arial" w:cs="Arial"/>
          <w:lang w:val="en-ZA"/>
        </w:rPr>
        <w:t>3</w:t>
      </w:r>
      <w:r w:rsidR="00E031E2" w:rsidRPr="00E031E2">
        <w:rPr>
          <w:rFonts w:ascii="Arial" w:hAnsi="Arial" w:cs="Arial"/>
          <w:vertAlign w:val="superscript"/>
          <w:lang w:val="en-ZA"/>
        </w:rPr>
        <w:t>rd</w:t>
      </w:r>
      <w:r w:rsidR="00E031E2">
        <w:rPr>
          <w:rFonts w:ascii="Arial" w:hAnsi="Arial" w:cs="Arial"/>
          <w:lang w:val="en-ZA"/>
        </w:rPr>
        <w:t xml:space="preserve"> ed,</w:t>
      </w:r>
      <w:r w:rsidR="00C636F8">
        <w:rPr>
          <w:rFonts w:ascii="Arial" w:hAnsi="Arial" w:cs="Arial"/>
          <w:lang w:val="en-ZA"/>
        </w:rPr>
        <w:t xml:space="preserve"> Durban Butterworths</w:t>
      </w:r>
      <w:r w:rsidR="00B222E0">
        <w:rPr>
          <w:rFonts w:ascii="Arial" w:hAnsi="Arial" w:cs="Arial"/>
          <w:lang w:val="en-ZA"/>
        </w:rPr>
        <w:t>,</w:t>
      </w:r>
      <w:r w:rsidR="00E031E2">
        <w:rPr>
          <w:rFonts w:ascii="Arial" w:hAnsi="Arial" w:cs="Arial"/>
          <w:lang w:val="en-ZA"/>
        </w:rPr>
        <w:t xml:space="preserve"> 19</w:t>
      </w:r>
      <w:r w:rsidR="00C636F8">
        <w:rPr>
          <w:rFonts w:ascii="Arial" w:hAnsi="Arial" w:cs="Arial"/>
          <w:lang w:val="en-ZA"/>
        </w:rPr>
        <w:t>9</w:t>
      </w:r>
      <w:r w:rsidR="00E031E2">
        <w:rPr>
          <w:rFonts w:ascii="Arial" w:hAnsi="Arial" w:cs="Arial"/>
          <w:lang w:val="en-ZA"/>
        </w:rPr>
        <w:t>6 at p 597</w:t>
      </w:r>
      <w:r w:rsidR="00C636F8">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E2" w:rsidRPr="007D275A" w:rsidRDefault="006670E2">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977636">
      <w:rPr>
        <w:rFonts w:ascii="Arial" w:hAnsi="Arial" w:cs="Arial"/>
        <w:noProof/>
        <w:sz w:val="24"/>
        <w:szCs w:val="24"/>
      </w:rPr>
      <w:t>15</w:t>
    </w:r>
    <w:r w:rsidRPr="007D275A">
      <w:rPr>
        <w:rFonts w:ascii="Arial" w:hAnsi="Arial" w:cs="Arial"/>
        <w:noProof/>
        <w:sz w:val="24"/>
        <w:szCs w:val="24"/>
      </w:rPr>
      <w:fldChar w:fldCharType="end"/>
    </w:r>
  </w:p>
  <w:p w:rsidR="006670E2" w:rsidRDefault="0066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9AA"/>
    <w:multiLevelType w:val="hybridMultilevel"/>
    <w:tmpl w:val="87460986"/>
    <w:lvl w:ilvl="0" w:tplc="EE1095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0A3A14"/>
    <w:multiLevelType w:val="hybridMultilevel"/>
    <w:tmpl w:val="6F84BF0E"/>
    <w:lvl w:ilvl="0" w:tplc="EEC454A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FFF5E4C"/>
    <w:multiLevelType w:val="hybridMultilevel"/>
    <w:tmpl w:val="33964B3E"/>
    <w:lvl w:ilvl="0" w:tplc="6CAA3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30C4E2B"/>
    <w:multiLevelType w:val="hybridMultilevel"/>
    <w:tmpl w:val="4AB699DE"/>
    <w:lvl w:ilvl="0" w:tplc="8870BC8E">
      <w:start w:val="1"/>
      <w:numFmt w:val="decimal"/>
      <w:lvlText w:val="[%1]"/>
      <w:lvlJc w:val="left"/>
      <w:pPr>
        <w:ind w:left="753" w:hanging="360"/>
      </w:pPr>
      <w:rPr>
        <w:rFonts w:hint="default"/>
        <w:sz w:val="24"/>
        <w:szCs w:val="24"/>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 w15:restartNumberingAfterBreak="0">
    <w:nsid w:val="273027EC"/>
    <w:multiLevelType w:val="hybridMultilevel"/>
    <w:tmpl w:val="1BB8A1C4"/>
    <w:lvl w:ilvl="0" w:tplc="0B4A54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9137520"/>
    <w:multiLevelType w:val="hybridMultilevel"/>
    <w:tmpl w:val="5872756C"/>
    <w:lvl w:ilvl="0" w:tplc="6CAA32B8">
      <w:start w:val="1"/>
      <w:numFmt w:val="lowerRoman"/>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6" w15:restartNumberingAfterBreak="0">
    <w:nsid w:val="2D525314"/>
    <w:multiLevelType w:val="hybridMultilevel"/>
    <w:tmpl w:val="35B6F268"/>
    <w:lvl w:ilvl="0" w:tplc="256644A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FDE2057"/>
    <w:multiLevelType w:val="hybridMultilevel"/>
    <w:tmpl w:val="F822F7BE"/>
    <w:lvl w:ilvl="0" w:tplc="CCF0AAB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3155C34"/>
    <w:multiLevelType w:val="multilevel"/>
    <w:tmpl w:val="A1DE6ECE"/>
    <w:lvl w:ilvl="0">
      <w:start w:val="1"/>
      <w:numFmt w:val="decimal"/>
      <w:lvlText w:val="%1."/>
      <w:lvlJc w:val="left"/>
      <w:pPr>
        <w:ind w:left="1215" w:hanging="360"/>
      </w:pPr>
      <w:rPr>
        <w:rFonts w:hint="default"/>
      </w:rPr>
    </w:lvl>
    <w:lvl w:ilvl="1">
      <w:start w:val="1"/>
      <w:numFmt w:val="decimal"/>
      <w:isLgl/>
      <w:lvlText w:val="%1.%2"/>
      <w:lvlJc w:val="left"/>
      <w:pPr>
        <w:ind w:left="2160" w:hanging="945"/>
      </w:pPr>
      <w:rPr>
        <w:rFonts w:hint="default"/>
      </w:rPr>
    </w:lvl>
    <w:lvl w:ilvl="2">
      <w:start w:val="1"/>
      <w:numFmt w:val="decimal"/>
      <w:isLgl/>
      <w:lvlText w:val="%1.%2.%3"/>
      <w:lvlJc w:val="left"/>
      <w:pPr>
        <w:ind w:left="2520" w:hanging="945"/>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535" w:hanging="1800"/>
      </w:pPr>
      <w:rPr>
        <w:rFonts w:hint="default"/>
      </w:rPr>
    </w:lvl>
  </w:abstractNum>
  <w:abstractNum w:abstractNumId="9" w15:restartNumberingAfterBreak="0">
    <w:nsid w:val="3D4118B9"/>
    <w:multiLevelType w:val="hybridMultilevel"/>
    <w:tmpl w:val="DFFA0A04"/>
    <w:lvl w:ilvl="0" w:tplc="3A924900">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15:restartNumberingAfterBreak="0">
    <w:nsid w:val="42A44D66"/>
    <w:multiLevelType w:val="multilevel"/>
    <w:tmpl w:val="1B20DB5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62D979DA"/>
    <w:multiLevelType w:val="hybridMultilevel"/>
    <w:tmpl w:val="12F82404"/>
    <w:lvl w:ilvl="0" w:tplc="D61683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3B02977"/>
    <w:multiLevelType w:val="hybridMultilevel"/>
    <w:tmpl w:val="09EC2864"/>
    <w:lvl w:ilvl="0" w:tplc="A9E41976">
      <w:start w:val="1"/>
      <w:numFmt w:val="decimal"/>
      <w:lvlText w:val="%1."/>
      <w:lvlJc w:val="left"/>
      <w:pPr>
        <w:ind w:left="1436" w:hanging="585"/>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6565311D"/>
    <w:multiLevelType w:val="hybridMultilevel"/>
    <w:tmpl w:val="4C42DFBA"/>
    <w:lvl w:ilvl="0" w:tplc="160667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CC81297"/>
    <w:multiLevelType w:val="hybridMultilevel"/>
    <w:tmpl w:val="7280F0FA"/>
    <w:lvl w:ilvl="0" w:tplc="C63685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6"/>
  </w:num>
  <w:num w:numId="5">
    <w:abstractNumId w:val="7"/>
  </w:num>
  <w:num w:numId="6">
    <w:abstractNumId w:val="1"/>
  </w:num>
  <w:num w:numId="7">
    <w:abstractNumId w:val="11"/>
  </w:num>
  <w:num w:numId="8">
    <w:abstractNumId w:val="10"/>
  </w:num>
  <w:num w:numId="9">
    <w:abstractNumId w:val="14"/>
  </w:num>
  <w:num w:numId="10">
    <w:abstractNumId w:val="5"/>
  </w:num>
  <w:num w:numId="11">
    <w:abstractNumId w:val="9"/>
  </w:num>
  <w:num w:numId="12">
    <w:abstractNumId w:val="12"/>
  </w:num>
  <w:num w:numId="13">
    <w:abstractNumId w:val="4"/>
  </w:num>
  <w:num w:numId="14">
    <w:abstractNumId w:val="13"/>
  </w:num>
  <w:num w:numId="15">
    <w:abstractNumId w:val="0"/>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4663"/>
    <w:rsid w:val="000056DD"/>
    <w:rsid w:val="000065D9"/>
    <w:rsid w:val="000075ED"/>
    <w:rsid w:val="000109F7"/>
    <w:rsid w:val="00011295"/>
    <w:rsid w:val="000114D6"/>
    <w:rsid w:val="00011BE4"/>
    <w:rsid w:val="00012D8E"/>
    <w:rsid w:val="00012F9A"/>
    <w:rsid w:val="00014936"/>
    <w:rsid w:val="00014C1B"/>
    <w:rsid w:val="0001542D"/>
    <w:rsid w:val="0001606C"/>
    <w:rsid w:val="00017960"/>
    <w:rsid w:val="000203EA"/>
    <w:rsid w:val="00022738"/>
    <w:rsid w:val="00023DE1"/>
    <w:rsid w:val="00024A3B"/>
    <w:rsid w:val="000261BE"/>
    <w:rsid w:val="00026306"/>
    <w:rsid w:val="00026D2D"/>
    <w:rsid w:val="00026E7F"/>
    <w:rsid w:val="00027493"/>
    <w:rsid w:val="00027B75"/>
    <w:rsid w:val="00033303"/>
    <w:rsid w:val="000335A8"/>
    <w:rsid w:val="0003398A"/>
    <w:rsid w:val="000349E2"/>
    <w:rsid w:val="000412C2"/>
    <w:rsid w:val="00041473"/>
    <w:rsid w:val="00041F04"/>
    <w:rsid w:val="00042093"/>
    <w:rsid w:val="00042266"/>
    <w:rsid w:val="000435E6"/>
    <w:rsid w:val="00043FC8"/>
    <w:rsid w:val="000443C2"/>
    <w:rsid w:val="00044866"/>
    <w:rsid w:val="00047DE1"/>
    <w:rsid w:val="000517EE"/>
    <w:rsid w:val="00051AAC"/>
    <w:rsid w:val="000539F9"/>
    <w:rsid w:val="00053E84"/>
    <w:rsid w:val="00053F8E"/>
    <w:rsid w:val="00054C04"/>
    <w:rsid w:val="00055898"/>
    <w:rsid w:val="00055C92"/>
    <w:rsid w:val="00056669"/>
    <w:rsid w:val="0006191B"/>
    <w:rsid w:val="00061E21"/>
    <w:rsid w:val="00065103"/>
    <w:rsid w:val="00071598"/>
    <w:rsid w:val="00071968"/>
    <w:rsid w:val="00072608"/>
    <w:rsid w:val="000732C9"/>
    <w:rsid w:val="00077622"/>
    <w:rsid w:val="00077C37"/>
    <w:rsid w:val="00080620"/>
    <w:rsid w:val="00080CBA"/>
    <w:rsid w:val="00081435"/>
    <w:rsid w:val="0008226F"/>
    <w:rsid w:val="0008337A"/>
    <w:rsid w:val="000844B6"/>
    <w:rsid w:val="00084988"/>
    <w:rsid w:val="00084D18"/>
    <w:rsid w:val="0008505C"/>
    <w:rsid w:val="00090FCB"/>
    <w:rsid w:val="000948AC"/>
    <w:rsid w:val="000950EE"/>
    <w:rsid w:val="0009530A"/>
    <w:rsid w:val="000A099B"/>
    <w:rsid w:val="000A352D"/>
    <w:rsid w:val="000A468E"/>
    <w:rsid w:val="000A67C8"/>
    <w:rsid w:val="000B1D49"/>
    <w:rsid w:val="000B37BB"/>
    <w:rsid w:val="000B54B4"/>
    <w:rsid w:val="000B54FD"/>
    <w:rsid w:val="000B648D"/>
    <w:rsid w:val="000C06DF"/>
    <w:rsid w:val="000C0C30"/>
    <w:rsid w:val="000C10BA"/>
    <w:rsid w:val="000C17C9"/>
    <w:rsid w:val="000C2B11"/>
    <w:rsid w:val="000C319E"/>
    <w:rsid w:val="000C3A95"/>
    <w:rsid w:val="000C3BB8"/>
    <w:rsid w:val="000C42F7"/>
    <w:rsid w:val="000C466D"/>
    <w:rsid w:val="000C47DD"/>
    <w:rsid w:val="000C4ED6"/>
    <w:rsid w:val="000C5935"/>
    <w:rsid w:val="000C5B5C"/>
    <w:rsid w:val="000C5DD2"/>
    <w:rsid w:val="000C705B"/>
    <w:rsid w:val="000D004C"/>
    <w:rsid w:val="000D3777"/>
    <w:rsid w:val="000D3D5D"/>
    <w:rsid w:val="000D4497"/>
    <w:rsid w:val="000D4DB9"/>
    <w:rsid w:val="000D7D44"/>
    <w:rsid w:val="000E06A7"/>
    <w:rsid w:val="000E32E8"/>
    <w:rsid w:val="000E35BF"/>
    <w:rsid w:val="000E4ACE"/>
    <w:rsid w:val="000E5B8B"/>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8C"/>
    <w:rsid w:val="001110C4"/>
    <w:rsid w:val="00115AD8"/>
    <w:rsid w:val="00115BED"/>
    <w:rsid w:val="00115F0A"/>
    <w:rsid w:val="00117290"/>
    <w:rsid w:val="0012066B"/>
    <w:rsid w:val="00120E9E"/>
    <w:rsid w:val="001219F0"/>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304"/>
    <w:rsid w:val="00146D3C"/>
    <w:rsid w:val="001500F7"/>
    <w:rsid w:val="001520D7"/>
    <w:rsid w:val="0015481C"/>
    <w:rsid w:val="00155556"/>
    <w:rsid w:val="00156079"/>
    <w:rsid w:val="00160B72"/>
    <w:rsid w:val="001611CA"/>
    <w:rsid w:val="00161904"/>
    <w:rsid w:val="00161D63"/>
    <w:rsid w:val="0016358C"/>
    <w:rsid w:val="001644ED"/>
    <w:rsid w:val="001670B9"/>
    <w:rsid w:val="00170026"/>
    <w:rsid w:val="00170D20"/>
    <w:rsid w:val="00171FCD"/>
    <w:rsid w:val="00172435"/>
    <w:rsid w:val="00172D2D"/>
    <w:rsid w:val="0017353E"/>
    <w:rsid w:val="00175C15"/>
    <w:rsid w:val="00177CAF"/>
    <w:rsid w:val="00183D79"/>
    <w:rsid w:val="00190E9E"/>
    <w:rsid w:val="0019122B"/>
    <w:rsid w:val="00191A8B"/>
    <w:rsid w:val="00193430"/>
    <w:rsid w:val="00193E77"/>
    <w:rsid w:val="001961F4"/>
    <w:rsid w:val="001973B0"/>
    <w:rsid w:val="001A035F"/>
    <w:rsid w:val="001A0D97"/>
    <w:rsid w:val="001A0FBB"/>
    <w:rsid w:val="001A4CEA"/>
    <w:rsid w:val="001A4F7E"/>
    <w:rsid w:val="001A6DE8"/>
    <w:rsid w:val="001A7049"/>
    <w:rsid w:val="001A77BC"/>
    <w:rsid w:val="001B037C"/>
    <w:rsid w:val="001B2552"/>
    <w:rsid w:val="001B52DF"/>
    <w:rsid w:val="001B5B52"/>
    <w:rsid w:val="001B6E21"/>
    <w:rsid w:val="001B7AA6"/>
    <w:rsid w:val="001C5C0D"/>
    <w:rsid w:val="001C5FBE"/>
    <w:rsid w:val="001C748D"/>
    <w:rsid w:val="001D0702"/>
    <w:rsid w:val="001D0E27"/>
    <w:rsid w:val="001D1CB4"/>
    <w:rsid w:val="001D35DD"/>
    <w:rsid w:val="001D4E03"/>
    <w:rsid w:val="001E0ABD"/>
    <w:rsid w:val="001E0EAC"/>
    <w:rsid w:val="001E1A29"/>
    <w:rsid w:val="001E1CE1"/>
    <w:rsid w:val="001E1E59"/>
    <w:rsid w:val="001E2A5C"/>
    <w:rsid w:val="001E3FC8"/>
    <w:rsid w:val="001E79CD"/>
    <w:rsid w:val="001F05B2"/>
    <w:rsid w:val="001F1965"/>
    <w:rsid w:val="001F4247"/>
    <w:rsid w:val="002001E4"/>
    <w:rsid w:val="00201D64"/>
    <w:rsid w:val="00201E13"/>
    <w:rsid w:val="0020510D"/>
    <w:rsid w:val="002052EE"/>
    <w:rsid w:val="00205A2F"/>
    <w:rsid w:val="00206A27"/>
    <w:rsid w:val="002079F7"/>
    <w:rsid w:val="00212D44"/>
    <w:rsid w:val="002132AA"/>
    <w:rsid w:val="0021378C"/>
    <w:rsid w:val="00214F6D"/>
    <w:rsid w:val="0021625B"/>
    <w:rsid w:val="002163B4"/>
    <w:rsid w:val="00216572"/>
    <w:rsid w:val="00226D3A"/>
    <w:rsid w:val="00227AF5"/>
    <w:rsid w:val="00227E14"/>
    <w:rsid w:val="00230A5D"/>
    <w:rsid w:val="00231D2C"/>
    <w:rsid w:val="002324C8"/>
    <w:rsid w:val="00232CEF"/>
    <w:rsid w:val="00233593"/>
    <w:rsid w:val="00234B6A"/>
    <w:rsid w:val="002371CD"/>
    <w:rsid w:val="00237CE1"/>
    <w:rsid w:val="0024195A"/>
    <w:rsid w:val="002437B8"/>
    <w:rsid w:val="00243E18"/>
    <w:rsid w:val="00244FA6"/>
    <w:rsid w:val="002451CE"/>
    <w:rsid w:val="00245477"/>
    <w:rsid w:val="00246A1C"/>
    <w:rsid w:val="00250623"/>
    <w:rsid w:val="00250A30"/>
    <w:rsid w:val="0025125F"/>
    <w:rsid w:val="00253192"/>
    <w:rsid w:val="0025330F"/>
    <w:rsid w:val="002551B4"/>
    <w:rsid w:val="00255D6D"/>
    <w:rsid w:val="0025730F"/>
    <w:rsid w:val="0026089A"/>
    <w:rsid w:val="0026172A"/>
    <w:rsid w:val="00261E4D"/>
    <w:rsid w:val="0026325F"/>
    <w:rsid w:val="0026498E"/>
    <w:rsid w:val="00265AC1"/>
    <w:rsid w:val="00265AF1"/>
    <w:rsid w:val="00265BB4"/>
    <w:rsid w:val="00266306"/>
    <w:rsid w:val="00270C55"/>
    <w:rsid w:val="00271508"/>
    <w:rsid w:val="00275E18"/>
    <w:rsid w:val="00276169"/>
    <w:rsid w:val="0027621D"/>
    <w:rsid w:val="00276980"/>
    <w:rsid w:val="00276C05"/>
    <w:rsid w:val="00280AD9"/>
    <w:rsid w:val="0028553D"/>
    <w:rsid w:val="002907EA"/>
    <w:rsid w:val="00290981"/>
    <w:rsid w:val="00290C6E"/>
    <w:rsid w:val="0029393D"/>
    <w:rsid w:val="00294DB2"/>
    <w:rsid w:val="00295143"/>
    <w:rsid w:val="002A0C41"/>
    <w:rsid w:val="002A101A"/>
    <w:rsid w:val="002A14A3"/>
    <w:rsid w:val="002A1564"/>
    <w:rsid w:val="002A679D"/>
    <w:rsid w:val="002B0C6A"/>
    <w:rsid w:val="002B104F"/>
    <w:rsid w:val="002B178C"/>
    <w:rsid w:val="002B6884"/>
    <w:rsid w:val="002B6EDF"/>
    <w:rsid w:val="002B74FE"/>
    <w:rsid w:val="002C04BD"/>
    <w:rsid w:val="002C215D"/>
    <w:rsid w:val="002C3677"/>
    <w:rsid w:val="002C48A7"/>
    <w:rsid w:val="002C50CA"/>
    <w:rsid w:val="002C5EE0"/>
    <w:rsid w:val="002C60F9"/>
    <w:rsid w:val="002C7FC6"/>
    <w:rsid w:val="002D2B44"/>
    <w:rsid w:val="002D2F38"/>
    <w:rsid w:val="002D43A9"/>
    <w:rsid w:val="002D4FB4"/>
    <w:rsid w:val="002D588A"/>
    <w:rsid w:val="002E0196"/>
    <w:rsid w:val="002E39AB"/>
    <w:rsid w:val="002E4652"/>
    <w:rsid w:val="002E7DA7"/>
    <w:rsid w:val="002F3C81"/>
    <w:rsid w:val="002F6AFA"/>
    <w:rsid w:val="002F7D3A"/>
    <w:rsid w:val="003002B3"/>
    <w:rsid w:val="00301DEC"/>
    <w:rsid w:val="00303749"/>
    <w:rsid w:val="00303BAB"/>
    <w:rsid w:val="00304077"/>
    <w:rsid w:val="00304298"/>
    <w:rsid w:val="003075C0"/>
    <w:rsid w:val="00312D39"/>
    <w:rsid w:val="00313C44"/>
    <w:rsid w:val="00313EFC"/>
    <w:rsid w:val="0031400E"/>
    <w:rsid w:val="00315690"/>
    <w:rsid w:val="00317D01"/>
    <w:rsid w:val="003219FB"/>
    <w:rsid w:val="00322D83"/>
    <w:rsid w:val="003243BC"/>
    <w:rsid w:val="003247E0"/>
    <w:rsid w:val="00324C23"/>
    <w:rsid w:val="003273E7"/>
    <w:rsid w:val="003301DB"/>
    <w:rsid w:val="00330DF1"/>
    <w:rsid w:val="003315AC"/>
    <w:rsid w:val="00331FED"/>
    <w:rsid w:val="00332557"/>
    <w:rsid w:val="003336E3"/>
    <w:rsid w:val="003367F5"/>
    <w:rsid w:val="00336CF9"/>
    <w:rsid w:val="003415AB"/>
    <w:rsid w:val="0034163C"/>
    <w:rsid w:val="003424F0"/>
    <w:rsid w:val="00343FD9"/>
    <w:rsid w:val="00344B20"/>
    <w:rsid w:val="00345847"/>
    <w:rsid w:val="003527E0"/>
    <w:rsid w:val="0035463F"/>
    <w:rsid w:val="003555C6"/>
    <w:rsid w:val="0035728F"/>
    <w:rsid w:val="0035740A"/>
    <w:rsid w:val="00360E00"/>
    <w:rsid w:val="003611DE"/>
    <w:rsid w:val="00362C44"/>
    <w:rsid w:val="00365C2C"/>
    <w:rsid w:val="00366980"/>
    <w:rsid w:val="0036701F"/>
    <w:rsid w:val="00371870"/>
    <w:rsid w:val="0037759E"/>
    <w:rsid w:val="0038405D"/>
    <w:rsid w:val="00387680"/>
    <w:rsid w:val="00387C9E"/>
    <w:rsid w:val="00390931"/>
    <w:rsid w:val="00391820"/>
    <w:rsid w:val="00391890"/>
    <w:rsid w:val="00391AFE"/>
    <w:rsid w:val="00392A95"/>
    <w:rsid w:val="00396275"/>
    <w:rsid w:val="003964B8"/>
    <w:rsid w:val="00396DFF"/>
    <w:rsid w:val="0039733A"/>
    <w:rsid w:val="003A04A7"/>
    <w:rsid w:val="003A0BBD"/>
    <w:rsid w:val="003A1468"/>
    <w:rsid w:val="003A292A"/>
    <w:rsid w:val="003A2D54"/>
    <w:rsid w:val="003A2EE9"/>
    <w:rsid w:val="003A7174"/>
    <w:rsid w:val="003B061F"/>
    <w:rsid w:val="003B306C"/>
    <w:rsid w:val="003B3395"/>
    <w:rsid w:val="003B45FF"/>
    <w:rsid w:val="003B53B4"/>
    <w:rsid w:val="003B5A28"/>
    <w:rsid w:val="003B6172"/>
    <w:rsid w:val="003C12B3"/>
    <w:rsid w:val="003C2010"/>
    <w:rsid w:val="003C29EB"/>
    <w:rsid w:val="003C2D83"/>
    <w:rsid w:val="003C2DCF"/>
    <w:rsid w:val="003C3419"/>
    <w:rsid w:val="003C3692"/>
    <w:rsid w:val="003C5129"/>
    <w:rsid w:val="003C74D8"/>
    <w:rsid w:val="003D0750"/>
    <w:rsid w:val="003D1B1D"/>
    <w:rsid w:val="003D3B3D"/>
    <w:rsid w:val="003D485B"/>
    <w:rsid w:val="003D508C"/>
    <w:rsid w:val="003D590B"/>
    <w:rsid w:val="003D713A"/>
    <w:rsid w:val="003D7C0A"/>
    <w:rsid w:val="003E0101"/>
    <w:rsid w:val="003E232A"/>
    <w:rsid w:val="003E2D8E"/>
    <w:rsid w:val="003E43E0"/>
    <w:rsid w:val="003E52E0"/>
    <w:rsid w:val="003F65B1"/>
    <w:rsid w:val="003F6E03"/>
    <w:rsid w:val="003F7EC2"/>
    <w:rsid w:val="00402032"/>
    <w:rsid w:val="00402C17"/>
    <w:rsid w:val="00402D08"/>
    <w:rsid w:val="004032A5"/>
    <w:rsid w:val="00407295"/>
    <w:rsid w:val="00410830"/>
    <w:rsid w:val="00411C91"/>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859"/>
    <w:rsid w:val="00427BC7"/>
    <w:rsid w:val="00430CF7"/>
    <w:rsid w:val="00430E24"/>
    <w:rsid w:val="00431028"/>
    <w:rsid w:val="004351FE"/>
    <w:rsid w:val="004412F6"/>
    <w:rsid w:val="0044355C"/>
    <w:rsid w:val="00443C1E"/>
    <w:rsid w:val="00450A85"/>
    <w:rsid w:val="00452EC5"/>
    <w:rsid w:val="00452F07"/>
    <w:rsid w:val="0045561C"/>
    <w:rsid w:val="00455681"/>
    <w:rsid w:val="0045604A"/>
    <w:rsid w:val="0045728B"/>
    <w:rsid w:val="004576AA"/>
    <w:rsid w:val="00457FE9"/>
    <w:rsid w:val="00461936"/>
    <w:rsid w:val="004627B4"/>
    <w:rsid w:val="00462D45"/>
    <w:rsid w:val="00462E4B"/>
    <w:rsid w:val="00462EC8"/>
    <w:rsid w:val="00463530"/>
    <w:rsid w:val="00463A77"/>
    <w:rsid w:val="00465752"/>
    <w:rsid w:val="00465EAB"/>
    <w:rsid w:val="00466144"/>
    <w:rsid w:val="00466472"/>
    <w:rsid w:val="00466B87"/>
    <w:rsid w:val="00470784"/>
    <w:rsid w:val="0047305B"/>
    <w:rsid w:val="00473332"/>
    <w:rsid w:val="00477E30"/>
    <w:rsid w:val="00480323"/>
    <w:rsid w:val="00480802"/>
    <w:rsid w:val="0048209A"/>
    <w:rsid w:val="00485F5B"/>
    <w:rsid w:val="00486796"/>
    <w:rsid w:val="00486E00"/>
    <w:rsid w:val="00493F6B"/>
    <w:rsid w:val="0049474F"/>
    <w:rsid w:val="0049484B"/>
    <w:rsid w:val="0049624D"/>
    <w:rsid w:val="00496BFB"/>
    <w:rsid w:val="00497861"/>
    <w:rsid w:val="00497E6D"/>
    <w:rsid w:val="004A3171"/>
    <w:rsid w:val="004A3483"/>
    <w:rsid w:val="004A3F2E"/>
    <w:rsid w:val="004A4CE8"/>
    <w:rsid w:val="004A686F"/>
    <w:rsid w:val="004B04AA"/>
    <w:rsid w:val="004B0695"/>
    <w:rsid w:val="004B0C25"/>
    <w:rsid w:val="004B0EA3"/>
    <w:rsid w:val="004B1C5D"/>
    <w:rsid w:val="004B438D"/>
    <w:rsid w:val="004B480D"/>
    <w:rsid w:val="004B4EF9"/>
    <w:rsid w:val="004B5645"/>
    <w:rsid w:val="004C0BB9"/>
    <w:rsid w:val="004C4A7C"/>
    <w:rsid w:val="004C7704"/>
    <w:rsid w:val="004C7C08"/>
    <w:rsid w:val="004C7CBC"/>
    <w:rsid w:val="004C7D12"/>
    <w:rsid w:val="004D0315"/>
    <w:rsid w:val="004D0E88"/>
    <w:rsid w:val="004D43B1"/>
    <w:rsid w:val="004D4BA4"/>
    <w:rsid w:val="004D4E61"/>
    <w:rsid w:val="004D56B1"/>
    <w:rsid w:val="004E1D79"/>
    <w:rsid w:val="004E31CC"/>
    <w:rsid w:val="004E3A1B"/>
    <w:rsid w:val="004E49F9"/>
    <w:rsid w:val="004E62C2"/>
    <w:rsid w:val="004E76BF"/>
    <w:rsid w:val="004E7D39"/>
    <w:rsid w:val="004F26C6"/>
    <w:rsid w:val="004F4287"/>
    <w:rsid w:val="004F55D7"/>
    <w:rsid w:val="004F602A"/>
    <w:rsid w:val="004F6376"/>
    <w:rsid w:val="004F66F0"/>
    <w:rsid w:val="00500CF6"/>
    <w:rsid w:val="00501DBC"/>
    <w:rsid w:val="0050360E"/>
    <w:rsid w:val="00504ADF"/>
    <w:rsid w:val="00505DB7"/>
    <w:rsid w:val="0050634E"/>
    <w:rsid w:val="00506886"/>
    <w:rsid w:val="00512AD7"/>
    <w:rsid w:val="005142F8"/>
    <w:rsid w:val="00514A73"/>
    <w:rsid w:val="00514B86"/>
    <w:rsid w:val="00516007"/>
    <w:rsid w:val="00517CBE"/>
    <w:rsid w:val="0052054C"/>
    <w:rsid w:val="00521C27"/>
    <w:rsid w:val="00522321"/>
    <w:rsid w:val="005225C0"/>
    <w:rsid w:val="0052383A"/>
    <w:rsid w:val="005259DF"/>
    <w:rsid w:val="00526B25"/>
    <w:rsid w:val="00530D38"/>
    <w:rsid w:val="00530E3B"/>
    <w:rsid w:val="00531CFE"/>
    <w:rsid w:val="00532870"/>
    <w:rsid w:val="00532B7C"/>
    <w:rsid w:val="005336E0"/>
    <w:rsid w:val="00533E33"/>
    <w:rsid w:val="0053480E"/>
    <w:rsid w:val="0053485E"/>
    <w:rsid w:val="00536B47"/>
    <w:rsid w:val="00537D66"/>
    <w:rsid w:val="00537E2A"/>
    <w:rsid w:val="0054200A"/>
    <w:rsid w:val="005425B1"/>
    <w:rsid w:val="00542939"/>
    <w:rsid w:val="00544651"/>
    <w:rsid w:val="005450C4"/>
    <w:rsid w:val="005452E0"/>
    <w:rsid w:val="00545BB4"/>
    <w:rsid w:val="005460B2"/>
    <w:rsid w:val="00546AB8"/>
    <w:rsid w:val="005470DD"/>
    <w:rsid w:val="00550338"/>
    <w:rsid w:val="005505BF"/>
    <w:rsid w:val="00553368"/>
    <w:rsid w:val="00554852"/>
    <w:rsid w:val="00556530"/>
    <w:rsid w:val="005567D2"/>
    <w:rsid w:val="005571BC"/>
    <w:rsid w:val="0056197A"/>
    <w:rsid w:val="00562B8B"/>
    <w:rsid w:val="00562DAF"/>
    <w:rsid w:val="00564AA1"/>
    <w:rsid w:val="00566D0F"/>
    <w:rsid w:val="00570109"/>
    <w:rsid w:val="005716EF"/>
    <w:rsid w:val="00571E47"/>
    <w:rsid w:val="0057394D"/>
    <w:rsid w:val="00573B8D"/>
    <w:rsid w:val="00574177"/>
    <w:rsid w:val="00574C21"/>
    <w:rsid w:val="0057584D"/>
    <w:rsid w:val="00576BE4"/>
    <w:rsid w:val="00577D9D"/>
    <w:rsid w:val="005809E8"/>
    <w:rsid w:val="00582258"/>
    <w:rsid w:val="00582912"/>
    <w:rsid w:val="00584196"/>
    <w:rsid w:val="00584D9D"/>
    <w:rsid w:val="00585345"/>
    <w:rsid w:val="0058633C"/>
    <w:rsid w:val="00590769"/>
    <w:rsid w:val="00591209"/>
    <w:rsid w:val="005928EF"/>
    <w:rsid w:val="00594B41"/>
    <w:rsid w:val="00594FB9"/>
    <w:rsid w:val="00595166"/>
    <w:rsid w:val="005A05FB"/>
    <w:rsid w:val="005A1219"/>
    <w:rsid w:val="005A2BCE"/>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2ECD"/>
    <w:rsid w:val="005E30D5"/>
    <w:rsid w:val="005E3BDD"/>
    <w:rsid w:val="005E44E0"/>
    <w:rsid w:val="005E5164"/>
    <w:rsid w:val="005E5558"/>
    <w:rsid w:val="005F09C5"/>
    <w:rsid w:val="005F3D25"/>
    <w:rsid w:val="005F5A2F"/>
    <w:rsid w:val="005F6E98"/>
    <w:rsid w:val="005F7B9F"/>
    <w:rsid w:val="006001C9"/>
    <w:rsid w:val="00601565"/>
    <w:rsid w:val="006018B8"/>
    <w:rsid w:val="00601F67"/>
    <w:rsid w:val="00601F7A"/>
    <w:rsid w:val="00602EE5"/>
    <w:rsid w:val="0060360B"/>
    <w:rsid w:val="00603763"/>
    <w:rsid w:val="00604BAC"/>
    <w:rsid w:val="006054AE"/>
    <w:rsid w:val="00605DFA"/>
    <w:rsid w:val="00607B89"/>
    <w:rsid w:val="00613061"/>
    <w:rsid w:val="006137B3"/>
    <w:rsid w:val="006162CA"/>
    <w:rsid w:val="00616436"/>
    <w:rsid w:val="0061692F"/>
    <w:rsid w:val="006170FA"/>
    <w:rsid w:val="00617288"/>
    <w:rsid w:val="00622C19"/>
    <w:rsid w:val="00623666"/>
    <w:rsid w:val="0062630C"/>
    <w:rsid w:val="00627995"/>
    <w:rsid w:val="00632E2B"/>
    <w:rsid w:val="00633C95"/>
    <w:rsid w:val="00634C12"/>
    <w:rsid w:val="00636BF3"/>
    <w:rsid w:val="00637397"/>
    <w:rsid w:val="00641BB2"/>
    <w:rsid w:val="00643D66"/>
    <w:rsid w:val="00643D96"/>
    <w:rsid w:val="00644649"/>
    <w:rsid w:val="00644E35"/>
    <w:rsid w:val="006506DE"/>
    <w:rsid w:val="0065090F"/>
    <w:rsid w:val="00650A66"/>
    <w:rsid w:val="00650C8F"/>
    <w:rsid w:val="00653993"/>
    <w:rsid w:val="0065412C"/>
    <w:rsid w:val="00661D4C"/>
    <w:rsid w:val="00662DFC"/>
    <w:rsid w:val="006637AC"/>
    <w:rsid w:val="006670E2"/>
    <w:rsid w:val="006675D1"/>
    <w:rsid w:val="00675A32"/>
    <w:rsid w:val="00676B06"/>
    <w:rsid w:val="00677512"/>
    <w:rsid w:val="006810FD"/>
    <w:rsid w:val="006819D2"/>
    <w:rsid w:val="00681FF7"/>
    <w:rsid w:val="006826B1"/>
    <w:rsid w:val="00682DBC"/>
    <w:rsid w:val="0068387A"/>
    <w:rsid w:val="00684649"/>
    <w:rsid w:val="00686283"/>
    <w:rsid w:val="0069012C"/>
    <w:rsid w:val="006912BC"/>
    <w:rsid w:val="00693C7D"/>
    <w:rsid w:val="006956D3"/>
    <w:rsid w:val="006965DA"/>
    <w:rsid w:val="006B004E"/>
    <w:rsid w:val="006B19FE"/>
    <w:rsid w:val="006B2FFC"/>
    <w:rsid w:val="006B38CA"/>
    <w:rsid w:val="006B4B45"/>
    <w:rsid w:val="006B7759"/>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4D8F"/>
    <w:rsid w:val="006D68CB"/>
    <w:rsid w:val="006D7C50"/>
    <w:rsid w:val="006E3720"/>
    <w:rsid w:val="006E48D4"/>
    <w:rsid w:val="006F0CCC"/>
    <w:rsid w:val="006F3128"/>
    <w:rsid w:val="006F3278"/>
    <w:rsid w:val="006F36EA"/>
    <w:rsid w:val="006F3AEF"/>
    <w:rsid w:val="006F5B77"/>
    <w:rsid w:val="006F5BBA"/>
    <w:rsid w:val="006F7CA3"/>
    <w:rsid w:val="007008DD"/>
    <w:rsid w:val="00701900"/>
    <w:rsid w:val="0070458C"/>
    <w:rsid w:val="0070591C"/>
    <w:rsid w:val="0070642C"/>
    <w:rsid w:val="007145CA"/>
    <w:rsid w:val="00714A3E"/>
    <w:rsid w:val="00715713"/>
    <w:rsid w:val="007179FA"/>
    <w:rsid w:val="00720E88"/>
    <w:rsid w:val="00722C07"/>
    <w:rsid w:val="00722CDE"/>
    <w:rsid w:val="007244A1"/>
    <w:rsid w:val="00724718"/>
    <w:rsid w:val="00725429"/>
    <w:rsid w:val="007277A7"/>
    <w:rsid w:val="00730884"/>
    <w:rsid w:val="00731790"/>
    <w:rsid w:val="00733AEA"/>
    <w:rsid w:val="00733B4A"/>
    <w:rsid w:val="00735392"/>
    <w:rsid w:val="00737051"/>
    <w:rsid w:val="0074070F"/>
    <w:rsid w:val="0074091C"/>
    <w:rsid w:val="00740DDB"/>
    <w:rsid w:val="0074214F"/>
    <w:rsid w:val="007428E7"/>
    <w:rsid w:val="00742D7B"/>
    <w:rsid w:val="00745E19"/>
    <w:rsid w:val="00746321"/>
    <w:rsid w:val="00747033"/>
    <w:rsid w:val="00747452"/>
    <w:rsid w:val="00747BCB"/>
    <w:rsid w:val="00750C8D"/>
    <w:rsid w:val="00750CE9"/>
    <w:rsid w:val="007521C4"/>
    <w:rsid w:val="007544E9"/>
    <w:rsid w:val="00755F41"/>
    <w:rsid w:val="00757AEC"/>
    <w:rsid w:val="00761274"/>
    <w:rsid w:val="00761A96"/>
    <w:rsid w:val="007638D2"/>
    <w:rsid w:val="007651AE"/>
    <w:rsid w:val="00770E57"/>
    <w:rsid w:val="00770F19"/>
    <w:rsid w:val="007718F3"/>
    <w:rsid w:val="00777C96"/>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A7B26"/>
    <w:rsid w:val="007B109A"/>
    <w:rsid w:val="007B190C"/>
    <w:rsid w:val="007B6873"/>
    <w:rsid w:val="007B70D9"/>
    <w:rsid w:val="007B7756"/>
    <w:rsid w:val="007B7858"/>
    <w:rsid w:val="007C09B3"/>
    <w:rsid w:val="007C0FAD"/>
    <w:rsid w:val="007C29F3"/>
    <w:rsid w:val="007C32B2"/>
    <w:rsid w:val="007C3BF5"/>
    <w:rsid w:val="007C49A0"/>
    <w:rsid w:val="007C5693"/>
    <w:rsid w:val="007C66F3"/>
    <w:rsid w:val="007D275A"/>
    <w:rsid w:val="007D378A"/>
    <w:rsid w:val="007D38BD"/>
    <w:rsid w:val="007D6AFF"/>
    <w:rsid w:val="007D6B2E"/>
    <w:rsid w:val="007E0A0A"/>
    <w:rsid w:val="007E0FA9"/>
    <w:rsid w:val="007E1992"/>
    <w:rsid w:val="007E28A4"/>
    <w:rsid w:val="007E29CF"/>
    <w:rsid w:val="007E30AF"/>
    <w:rsid w:val="007E3D7E"/>
    <w:rsid w:val="007E5147"/>
    <w:rsid w:val="007E5F7E"/>
    <w:rsid w:val="007F2E3A"/>
    <w:rsid w:val="007F3974"/>
    <w:rsid w:val="007F4953"/>
    <w:rsid w:val="007F571B"/>
    <w:rsid w:val="007F6CDC"/>
    <w:rsid w:val="007F7B5D"/>
    <w:rsid w:val="007F7C79"/>
    <w:rsid w:val="007F7DFE"/>
    <w:rsid w:val="00802327"/>
    <w:rsid w:val="00802710"/>
    <w:rsid w:val="00802B46"/>
    <w:rsid w:val="00803568"/>
    <w:rsid w:val="00804B4B"/>
    <w:rsid w:val="0080702E"/>
    <w:rsid w:val="0080731A"/>
    <w:rsid w:val="00807D73"/>
    <w:rsid w:val="00810B85"/>
    <w:rsid w:val="0081282D"/>
    <w:rsid w:val="00812FC0"/>
    <w:rsid w:val="00813FFF"/>
    <w:rsid w:val="00814BD5"/>
    <w:rsid w:val="008150BE"/>
    <w:rsid w:val="00815DBD"/>
    <w:rsid w:val="00816C72"/>
    <w:rsid w:val="00816C7C"/>
    <w:rsid w:val="008210AA"/>
    <w:rsid w:val="00822C36"/>
    <w:rsid w:val="00824366"/>
    <w:rsid w:val="00824B38"/>
    <w:rsid w:val="00824D3B"/>
    <w:rsid w:val="00830495"/>
    <w:rsid w:val="008307F0"/>
    <w:rsid w:val="0083204F"/>
    <w:rsid w:val="00834BA0"/>
    <w:rsid w:val="00834E69"/>
    <w:rsid w:val="008361D2"/>
    <w:rsid w:val="008405F6"/>
    <w:rsid w:val="00843158"/>
    <w:rsid w:val="0084392E"/>
    <w:rsid w:val="00844150"/>
    <w:rsid w:val="00845AAB"/>
    <w:rsid w:val="008465D8"/>
    <w:rsid w:val="00846B49"/>
    <w:rsid w:val="00850843"/>
    <w:rsid w:val="00850DB4"/>
    <w:rsid w:val="0085123B"/>
    <w:rsid w:val="00851B9F"/>
    <w:rsid w:val="0085420D"/>
    <w:rsid w:val="008544F7"/>
    <w:rsid w:val="00861369"/>
    <w:rsid w:val="00861D64"/>
    <w:rsid w:val="00862316"/>
    <w:rsid w:val="008630D1"/>
    <w:rsid w:val="008634A7"/>
    <w:rsid w:val="00864139"/>
    <w:rsid w:val="0087223D"/>
    <w:rsid w:val="00872D0D"/>
    <w:rsid w:val="00873BA9"/>
    <w:rsid w:val="0087504D"/>
    <w:rsid w:val="00875597"/>
    <w:rsid w:val="00875AF7"/>
    <w:rsid w:val="008762ED"/>
    <w:rsid w:val="0087739C"/>
    <w:rsid w:val="00882821"/>
    <w:rsid w:val="00882840"/>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7F39"/>
    <w:rsid w:val="008B022F"/>
    <w:rsid w:val="008B0909"/>
    <w:rsid w:val="008B1CE5"/>
    <w:rsid w:val="008B1DDD"/>
    <w:rsid w:val="008B3362"/>
    <w:rsid w:val="008B3A17"/>
    <w:rsid w:val="008B5A1A"/>
    <w:rsid w:val="008B5A99"/>
    <w:rsid w:val="008B6014"/>
    <w:rsid w:val="008C2293"/>
    <w:rsid w:val="008C40B2"/>
    <w:rsid w:val="008C45D3"/>
    <w:rsid w:val="008C4B78"/>
    <w:rsid w:val="008C654D"/>
    <w:rsid w:val="008C713B"/>
    <w:rsid w:val="008C78B7"/>
    <w:rsid w:val="008D1A46"/>
    <w:rsid w:val="008D1BE3"/>
    <w:rsid w:val="008D2E35"/>
    <w:rsid w:val="008D3130"/>
    <w:rsid w:val="008D3745"/>
    <w:rsid w:val="008D6CE9"/>
    <w:rsid w:val="008D7822"/>
    <w:rsid w:val="008D7AE9"/>
    <w:rsid w:val="008E0490"/>
    <w:rsid w:val="008E144E"/>
    <w:rsid w:val="008E2863"/>
    <w:rsid w:val="008E3877"/>
    <w:rsid w:val="008E45CA"/>
    <w:rsid w:val="008E516D"/>
    <w:rsid w:val="008E5DFD"/>
    <w:rsid w:val="008F0AB1"/>
    <w:rsid w:val="008F204B"/>
    <w:rsid w:val="008F248C"/>
    <w:rsid w:val="008F3109"/>
    <w:rsid w:val="008F42AE"/>
    <w:rsid w:val="008F4D8D"/>
    <w:rsid w:val="008F5BB6"/>
    <w:rsid w:val="008F6477"/>
    <w:rsid w:val="008F6F82"/>
    <w:rsid w:val="008F6F91"/>
    <w:rsid w:val="008F6FDC"/>
    <w:rsid w:val="008F7837"/>
    <w:rsid w:val="0090070E"/>
    <w:rsid w:val="0090365D"/>
    <w:rsid w:val="0090427B"/>
    <w:rsid w:val="009101B3"/>
    <w:rsid w:val="00913323"/>
    <w:rsid w:val="00913840"/>
    <w:rsid w:val="009148D3"/>
    <w:rsid w:val="0091585A"/>
    <w:rsid w:val="009173BB"/>
    <w:rsid w:val="0092008A"/>
    <w:rsid w:val="00922162"/>
    <w:rsid w:val="009227A5"/>
    <w:rsid w:val="00922C96"/>
    <w:rsid w:val="00923C9A"/>
    <w:rsid w:val="00924364"/>
    <w:rsid w:val="009245BD"/>
    <w:rsid w:val="00924E8F"/>
    <w:rsid w:val="0092684A"/>
    <w:rsid w:val="00926E7A"/>
    <w:rsid w:val="00932A5C"/>
    <w:rsid w:val="009349F1"/>
    <w:rsid w:val="00934EA6"/>
    <w:rsid w:val="00935240"/>
    <w:rsid w:val="00935347"/>
    <w:rsid w:val="00935A3D"/>
    <w:rsid w:val="00935DA8"/>
    <w:rsid w:val="009369BE"/>
    <w:rsid w:val="00936D44"/>
    <w:rsid w:val="0093746B"/>
    <w:rsid w:val="00940115"/>
    <w:rsid w:val="0094126C"/>
    <w:rsid w:val="009419C5"/>
    <w:rsid w:val="00942C4A"/>
    <w:rsid w:val="00943CCD"/>
    <w:rsid w:val="00943DAF"/>
    <w:rsid w:val="009444FB"/>
    <w:rsid w:val="009454C9"/>
    <w:rsid w:val="009457EA"/>
    <w:rsid w:val="00950FAA"/>
    <w:rsid w:val="00951B68"/>
    <w:rsid w:val="0095245A"/>
    <w:rsid w:val="0095268E"/>
    <w:rsid w:val="00953968"/>
    <w:rsid w:val="00957E6F"/>
    <w:rsid w:val="0096003C"/>
    <w:rsid w:val="00960A91"/>
    <w:rsid w:val="00961848"/>
    <w:rsid w:val="00961F24"/>
    <w:rsid w:val="009669A1"/>
    <w:rsid w:val="009672D4"/>
    <w:rsid w:val="00970B6B"/>
    <w:rsid w:val="009714F4"/>
    <w:rsid w:val="00971F56"/>
    <w:rsid w:val="00973284"/>
    <w:rsid w:val="00974078"/>
    <w:rsid w:val="00974EE1"/>
    <w:rsid w:val="00975E1C"/>
    <w:rsid w:val="0097632C"/>
    <w:rsid w:val="00976492"/>
    <w:rsid w:val="009767DB"/>
    <w:rsid w:val="009774B0"/>
    <w:rsid w:val="00977636"/>
    <w:rsid w:val="009801D5"/>
    <w:rsid w:val="00980D02"/>
    <w:rsid w:val="0098213F"/>
    <w:rsid w:val="0098336A"/>
    <w:rsid w:val="0098617D"/>
    <w:rsid w:val="00986991"/>
    <w:rsid w:val="009912A2"/>
    <w:rsid w:val="009915E4"/>
    <w:rsid w:val="00991EBF"/>
    <w:rsid w:val="00994787"/>
    <w:rsid w:val="00994D07"/>
    <w:rsid w:val="00995EEF"/>
    <w:rsid w:val="00995FBD"/>
    <w:rsid w:val="009976D3"/>
    <w:rsid w:val="009A2E1E"/>
    <w:rsid w:val="009A347E"/>
    <w:rsid w:val="009A4953"/>
    <w:rsid w:val="009A4E3D"/>
    <w:rsid w:val="009A665B"/>
    <w:rsid w:val="009A7019"/>
    <w:rsid w:val="009A7E63"/>
    <w:rsid w:val="009B141C"/>
    <w:rsid w:val="009B30C3"/>
    <w:rsid w:val="009B56E0"/>
    <w:rsid w:val="009B5A23"/>
    <w:rsid w:val="009B67AB"/>
    <w:rsid w:val="009B7884"/>
    <w:rsid w:val="009C08F6"/>
    <w:rsid w:val="009C386D"/>
    <w:rsid w:val="009C3A10"/>
    <w:rsid w:val="009C4504"/>
    <w:rsid w:val="009C4F04"/>
    <w:rsid w:val="009D0D24"/>
    <w:rsid w:val="009D13F4"/>
    <w:rsid w:val="009D3434"/>
    <w:rsid w:val="009D399F"/>
    <w:rsid w:val="009D3C06"/>
    <w:rsid w:val="009D3D25"/>
    <w:rsid w:val="009D4253"/>
    <w:rsid w:val="009D452B"/>
    <w:rsid w:val="009D606F"/>
    <w:rsid w:val="009D67D7"/>
    <w:rsid w:val="009D6F8D"/>
    <w:rsid w:val="009E051E"/>
    <w:rsid w:val="009E2B08"/>
    <w:rsid w:val="009E5836"/>
    <w:rsid w:val="009E70DD"/>
    <w:rsid w:val="009F0F89"/>
    <w:rsid w:val="009F27E7"/>
    <w:rsid w:val="009F2E2D"/>
    <w:rsid w:val="009F5BCD"/>
    <w:rsid w:val="00A0048C"/>
    <w:rsid w:val="00A01EDB"/>
    <w:rsid w:val="00A024C6"/>
    <w:rsid w:val="00A030FF"/>
    <w:rsid w:val="00A0340C"/>
    <w:rsid w:val="00A0358C"/>
    <w:rsid w:val="00A047B4"/>
    <w:rsid w:val="00A04A4C"/>
    <w:rsid w:val="00A05465"/>
    <w:rsid w:val="00A05FF0"/>
    <w:rsid w:val="00A076C8"/>
    <w:rsid w:val="00A076F5"/>
    <w:rsid w:val="00A10949"/>
    <w:rsid w:val="00A109B8"/>
    <w:rsid w:val="00A10BA2"/>
    <w:rsid w:val="00A16EE1"/>
    <w:rsid w:val="00A17702"/>
    <w:rsid w:val="00A2079D"/>
    <w:rsid w:val="00A25230"/>
    <w:rsid w:val="00A25AF8"/>
    <w:rsid w:val="00A25E45"/>
    <w:rsid w:val="00A30478"/>
    <w:rsid w:val="00A32629"/>
    <w:rsid w:val="00A329AC"/>
    <w:rsid w:val="00A33FA1"/>
    <w:rsid w:val="00A34073"/>
    <w:rsid w:val="00A35600"/>
    <w:rsid w:val="00A365C8"/>
    <w:rsid w:val="00A36904"/>
    <w:rsid w:val="00A37432"/>
    <w:rsid w:val="00A400B2"/>
    <w:rsid w:val="00A400B5"/>
    <w:rsid w:val="00A41231"/>
    <w:rsid w:val="00A42646"/>
    <w:rsid w:val="00A42702"/>
    <w:rsid w:val="00A4280E"/>
    <w:rsid w:val="00A43BCB"/>
    <w:rsid w:val="00A43C74"/>
    <w:rsid w:val="00A43E98"/>
    <w:rsid w:val="00A449CB"/>
    <w:rsid w:val="00A44A9C"/>
    <w:rsid w:val="00A453DA"/>
    <w:rsid w:val="00A45502"/>
    <w:rsid w:val="00A455D2"/>
    <w:rsid w:val="00A45705"/>
    <w:rsid w:val="00A460B4"/>
    <w:rsid w:val="00A46231"/>
    <w:rsid w:val="00A5021B"/>
    <w:rsid w:val="00A53CCB"/>
    <w:rsid w:val="00A54747"/>
    <w:rsid w:val="00A54EAF"/>
    <w:rsid w:val="00A556BF"/>
    <w:rsid w:val="00A5583D"/>
    <w:rsid w:val="00A566DD"/>
    <w:rsid w:val="00A56B96"/>
    <w:rsid w:val="00A56DA6"/>
    <w:rsid w:val="00A57C26"/>
    <w:rsid w:val="00A62583"/>
    <w:rsid w:val="00A63075"/>
    <w:rsid w:val="00A6310D"/>
    <w:rsid w:val="00A64F99"/>
    <w:rsid w:val="00A704ED"/>
    <w:rsid w:val="00A716D1"/>
    <w:rsid w:val="00A719C3"/>
    <w:rsid w:val="00A7280E"/>
    <w:rsid w:val="00A74887"/>
    <w:rsid w:val="00A74DCA"/>
    <w:rsid w:val="00A77937"/>
    <w:rsid w:val="00A779B1"/>
    <w:rsid w:val="00A77BED"/>
    <w:rsid w:val="00A806BB"/>
    <w:rsid w:val="00A831EA"/>
    <w:rsid w:val="00A83C06"/>
    <w:rsid w:val="00A849BA"/>
    <w:rsid w:val="00A8571D"/>
    <w:rsid w:val="00A86358"/>
    <w:rsid w:val="00A869E6"/>
    <w:rsid w:val="00A86A61"/>
    <w:rsid w:val="00A92859"/>
    <w:rsid w:val="00A92F2D"/>
    <w:rsid w:val="00A9567F"/>
    <w:rsid w:val="00A95AA3"/>
    <w:rsid w:val="00A95BFD"/>
    <w:rsid w:val="00A96F63"/>
    <w:rsid w:val="00AA0078"/>
    <w:rsid w:val="00AA019F"/>
    <w:rsid w:val="00AA43B4"/>
    <w:rsid w:val="00AA4C22"/>
    <w:rsid w:val="00AA5F7D"/>
    <w:rsid w:val="00AA7F1B"/>
    <w:rsid w:val="00AB0D7E"/>
    <w:rsid w:val="00AB117F"/>
    <w:rsid w:val="00AB13BF"/>
    <w:rsid w:val="00AB14CF"/>
    <w:rsid w:val="00AB5115"/>
    <w:rsid w:val="00AB7A32"/>
    <w:rsid w:val="00AC03FB"/>
    <w:rsid w:val="00AC05A7"/>
    <w:rsid w:val="00AC08C2"/>
    <w:rsid w:val="00AC128A"/>
    <w:rsid w:val="00AC1C3C"/>
    <w:rsid w:val="00AC2B93"/>
    <w:rsid w:val="00AC509D"/>
    <w:rsid w:val="00AC6836"/>
    <w:rsid w:val="00AC6A9B"/>
    <w:rsid w:val="00AD014B"/>
    <w:rsid w:val="00AD03D5"/>
    <w:rsid w:val="00AD0B54"/>
    <w:rsid w:val="00AD0F64"/>
    <w:rsid w:val="00AD3B65"/>
    <w:rsid w:val="00AD3FBD"/>
    <w:rsid w:val="00AD5720"/>
    <w:rsid w:val="00AD5917"/>
    <w:rsid w:val="00AE1922"/>
    <w:rsid w:val="00AE19CF"/>
    <w:rsid w:val="00AE20C0"/>
    <w:rsid w:val="00AE27F3"/>
    <w:rsid w:val="00AE47D9"/>
    <w:rsid w:val="00AE5030"/>
    <w:rsid w:val="00AE533C"/>
    <w:rsid w:val="00AE561C"/>
    <w:rsid w:val="00AE72C4"/>
    <w:rsid w:val="00AE7816"/>
    <w:rsid w:val="00AF2318"/>
    <w:rsid w:val="00AF2414"/>
    <w:rsid w:val="00AF3776"/>
    <w:rsid w:val="00AF4296"/>
    <w:rsid w:val="00AF43A6"/>
    <w:rsid w:val="00AF553C"/>
    <w:rsid w:val="00AF65BA"/>
    <w:rsid w:val="00B000EF"/>
    <w:rsid w:val="00B00F96"/>
    <w:rsid w:val="00B0106B"/>
    <w:rsid w:val="00B032BA"/>
    <w:rsid w:val="00B05DBA"/>
    <w:rsid w:val="00B10AAC"/>
    <w:rsid w:val="00B11039"/>
    <w:rsid w:val="00B1135A"/>
    <w:rsid w:val="00B12AC7"/>
    <w:rsid w:val="00B12AFF"/>
    <w:rsid w:val="00B14237"/>
    <w:rsid w:val="00B147D9"/>
    <w:rsid w:val="00B162BF"/>
    <w:rsid w:val="00B17ED8"/>
    <w:rsid w:val="00B20383"/>
    <w:rsid w:val="00B21194"/>
    <w:rsid w:val="00B21290"/>
    <w:rsid w:val="00B222E0"/>
    <w:rsid w:val="00B2271E"/>
    <w:rsid w:val="00B241EA"/>
    <w:rsid w:val="00B2470A"/>
    <w:rsid w:val="00B24854"/>
    <w:rsid w:val="00B266CC"/>
    <w:rsid w:val="00B27395"/>
    <w:rsid w:val="00B303CA"/>
    <w:rsid w:val="00B308C2"/>
    <w:rsid w:val="00B33182"/>
    <w:rsid w:val="00B33370"/>
    <w:rsid w:val="00B33CC6"/>
    <w:rsid w:val="00B342B6"/>
    <w:rsid w:val="00B352D0"/>
    <w:rsid w:val="00B35862"/>
    <w:rsid w:val="00B35B0B"/>
    <w:rsid w:val="00B35EFB"/>
    <w:rsid w:val="00B3640B"/>
    <w:rsid w:val="00B40D37"/>
    <w:rsid w:val="00B40FDF"/>
    <w:rsid w:val="00B41D64"/>
    <w:rsid w:val="00B4276E"/>
    <w:rsid w:val="00B42F4F"/>
    <w:rsid w:val="00B43C5D"/>
    <w:rsid w:val="00B453CB"/>
    <w:rsid w:val="00B466C2"/>
    <w:rsid w:val="00B508CB"/>
    <w:rsid w:val="00B51A51"/>
    <w:rsid w:val="00B538A6"/>
    <w:rsid w:val="00B56128"/>
    <w:rsid w:val="00B56278"/>
    <w:rsid w:val="00B56727"/>
    <w:rsid w:val="00B57EE2"/>
    <w:rsid w:val="00B60B72"/>
    <w:rsid w:val="00B6177F"/>
    <w:rsid w:val="00B617AB"/>
    <w:rsid w:val="00B61DAE"/>
    <w:rsid w:val="00B62138"/>
    <w:rsid w:val="00B62ACC"/>
    <w:rsid w:val="00B62BF2"/>
    <w:rsid w:val="00B62C82"/>
    <w:rsid w:val="00B634B1"/>
    <w:rsid w:val="00B63973"/>
    <w:rsid w:val="00B63A87"/>
    <w:rsid w:val="00B6641F"/>
    <w:rsid w:val="00B6794C"/>
    <w:rsid w:val="00B7017A"/>
    <w:rsid w:val="00B701E1"/>
    <w:rsid w:val="00B728E7"/>
    <w:rsid w:val="00B7409A"/>
    <w:rsid w:val="00B74507"/>
    <w:rsid w:val="00B761C3"/>
    <w:rsid w:val="00B765FF"/>
    <w:rsid w:val="00B77F9B"/>
    <w:rsid w:val="00B80A8D"/>
    <w:rsid w:val="00B82C72"/>
    <w:rsid w:val="00B8322C"/>
    <w:rsid w:val="00B90F4D"/>
    <w:rsid w:val="00B944E5"/>
    <w:rsid w:val="00B95143"/>
    <w:rsid w:val="00B970D4"/>
    <w:rsid w:val="00B97980"/>
    <w:rsid w:val="00BA04C2"/>
    <w:rsid w:val="00BA065B"/>
    <w:rsid w:val="00BA1B27"/>
    <w:rsid w:val="00BA2238"/>
    <w:rsid w:val="00BA2B56"/>
    <w:rsid w:val="00BA2E16"/>
    <w:rsid w:val="00BA412B"/>
    <w:rsid w:val="00BA52DD"/>
    <w:rsid w:val="00BA6E85"/>
    <w:rsid w:val="00BA739E"/>
    <w:rsid w:val="00BA750B"/>
    <w:rsid w:val="00BB0033"/>
    <w:rsid w:val="00BB0F32"/>
    <w:rsid w:val="00BB24BC"/>
    <w:rsid w:val="00BB37A7"/>
    <w:rsid w:val="00BB458D"/>
    <w:rsid w:val="00BB4CCF"/>
    <w:rsid w:val="00BB6BD3"/>
    <w:rsid w:val="00BC08DE"/>
    <w:rsid w:val="00BC1000"/>
    <w:rsid w:val="00BC15F7"/>
    <w:rsid w:val="00BC1B9A"/>
    <w:rsid w:val="00BC2269"/>
    <w:rsid w:val="00BC22B5"/>
    <w:rsid w:val="00BC3311"/>
    <w:rsid w:val="00BC3A58"/>
    <w:rsid w:val="00BC41C5"/>
    <w:rsid w:val="00BC46FC"/>
    <w:rsid w:val="00BC7031"/>
    <w:rsid w:val="00BD0DF3"/>
    <w:rsid w:val="00BD1862"/>
    <w:rsid w:val="00BD2D2F"/>
    <w:rsid w:val="00BD2E30"/>
    <w:rsid w:val="00BD5547"/>
    <w:rsid w:val="00BE01C1"/>
    <w:rsid w:val="00BE022D"/>
    <w:rsid w:val="00BE1CF9"/>
    <w:rsid w:val="00BE1E76"/>
    <w:rsid w:val="00BE3226"/>
    <w:rsid w:val="00BE35EA"/>
    <w:rsid w:val="00BE43A7"/>
    <w:rsid w:val="00BE444F"/>
    <w:rsid w:val="00BE7916"/>
    <w:rsid w:val="00BE7EC7"/>
    <w:rsid w:val="00BF14BC"/>
    <w:rsid w:val="00BF39AE"/>
    <w:rsid w:val="00BF49E3"/>
    <w:rsid w:val="00C00FD7"/>
    <w:rsid w:val="00C02E1E"/>
    <w:rsid w:val="00C03981"/>
    <w:rsid w:val="00C03AC8"/>
    <w:rsid w:val="00C03D6F"/>
    <w:rsid w:val="00C0529C"/>
    <w:rsid w:val="00C06A6C"/>
    <w:rsid w:val="00C0759C"/>
    <w:rsid w:val="00C11AA3"/>
    <w:rsid w:val="00C12FE2"/>
    <w:rsid w:val="00C133A3"/>
    <w:rsid w:val="00C13593"/>
    <w:rsid w:val="00C13FBD"/>
    <w:rsid w:val="00C14F65"/>
    <w:rsid w:val="00C15948"/>
    <w:rsid w:val="00C16405"/>
    <w:rsid w:val="00C17CCF"/>
    <w:rsid w:val="00C20D1B"/>
    <w:rsid w:val="00C219D4"/>
    <w:rsid w:val="00C21ACB"/>
    <w:rsid w:val="00C24409"/>
    <w:rsid w:val="00C258B3"/>
    <w:rsid w:val="00C25BC8"/>
    <w:rsid w:val="00C2672E"/>
    <w:rsid w:val="00C306A2"/>
    <w:rsid w:val="00C32F99"/>
    <w:rsid w:val="00C34DB1"/>
    <w:rsid w:val="00C352FA"/>
    <w:rsid w:val="00C36598"/>
    <w:rsid w:val="00C36886"/>
    <w:rsid w:val="00C36ACD"/>
    <w:rsid w:val="00C41F19"/>
    <w:rsid w:val="00C4263C"/>
    <w:rsid w:val="00C42CEC"/>
    <w:rsid w:val="00C42D09"/>
    <w:rsid w:val="00C466C5"/>
    <w:rsid w:val="00C4694F"/>
    <w:rsid w:val="00C47601"/>
    <w:rsid w:val="00C50848"/>
    <w:rsid w:val="00C51ADA"/>
    <w:rsid w:val="00C51B16"/>
    <w:rsid w:val="00C52A75"/>
    <w:rsid w:val="00C54A55"/>
    <w:rsid w:val="00C55060"/>
    <w:rsid w:val="00C55736"/>
    <w:rsid w:val="00C55A37"/>
    <w:rsid w:val="00C56FE0"/>
    <w:rsid w:val="00C5761E"/>
    <w:rsid w:val="00C57677"/>
    <w:rsid w:val="00C57F0A"/>
    <w:rsid w:val="00C6140A"/>
    <w:rsid w:val="00C6238D"/>
    <w:rsid w:val="00C636F8"/>
    <w:rsid w:val="00C63EEB"/>
    <w:rsid w:val="00C648E9"/>
    <w:rsid w:val="00C64A3B"/>
    <w:rsid w:val="00C65EB0"/>
    <w:rsid w:val="00C67116"/>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118"/>
    <w:rsid w:val="00C95E03"/>
    <w:rsid w:val="00C95FD8"/>
    <w:rsid w:val="00CA2CBB"/>
    <w:rsid w:val="00CA736C"/>
    <w:rsid w:val="00CB0991"/>
    <w:rsid w:val="00CB1104"/>
    <w:rsid w:val="00CB2AF3"/>
    <w:rsid w:val="00CB44C8"/>
    <w:rsid w:val="00CB4970"/>
    <w:rsid w:val="00CB5359"/>
    <w:rsid w:val="00CC3827"/>
    <w:rsid w:val="00CC59B9"/>
    <w:rsid w:val="00CD16B0"/>
    <w:rsid w:val="00CD5C4C"/>
    <w:rsid w:val="00CD6E80"/>
    <w:rsid w:val="00CE1489"/>
    <w:rsid w:val="00CE1A05"/>
    <w:rsid w:val="00CE264E"/>
    <w:rsid w:val="00CE3CDB"/>
    <w:rsid w:val="00CE4B9C"/>
    <w:rsid w:val="00CE68C5"/>
    <w:rsid w:val="00CE6F5E"/>
    <w:rsid w:val="00CF1076"/>
    <w:rsid w:val="00CF3230"/>
    <w:rsid w:val="00CF67F2"/>
    <w:rsid w:val="00CF70D4"/>
    <w:rsid w:val="00CF7206"/>
    <w:rsid w:val="00D003D1"/>
    <w:rsid w:val="00D00931"/>
    <w:rsid w:val="00D02FB8"/>
    <w:rsid w:val="00D033C2"/>
    <w:rsid w:val="00D03CC8"/>
    <w:rsid w:val="00D04B5A"/>
    <w:rsid w:val="00D04BA7"/>
    <w:rsid w:val="00D10C3B"/>
    <w:rsid w:val="00D1223E"/>
    <w:rsid w:val="00D16478"/>
    <w:rsid w:val="00D171F2"/>
    <w:rsid w:val="00D17327"/>
    <w:rsid w:val="00D20AAB"/>
    <w:rsid w:val="00D21CC3"/>
    <w:rsid w:val="00D223C2"/>
    <w:rsid w:val="00D225E4"/>
    <w:rsid w:val="00D24729"/>
    <w:rsid w:val="00D24BD5"/>
    <w:rsid w:val="00D25C6D"/>
    <w:rsid w:val="00D25DEB"/>
    <w:rsid w:val="00D27139"/>
    <w:rsid w:val="00D276B9"/>
    <w:rsid w:val="00D31A3B"/>
    <w:rsid w:val="00D3271C"/>
    <w:rsid w:val="00D36262"/>
    <w:rsid w:val="00D36336"/>
    <w:rsid w:val="00D36E7E"/>
    <w:rsid w:val="00D3793F"/>
    <w:rsid w:val="00D40D1C"/>
    <w:rsid w:val="00D410EA"/>
    <w:rsid w:val="00D412B7"/>
    <w:rsid w:val="00D41B4D"/>
    <w:rsid w:val="00D41E7F"/>
    <w:rsid w:val="00D421EC"/>
    <w:rsid w:val="00D42FA2"/>
    <w:rsid w:val="00D4343C"/>
    <w:rsid w:val="00D461BD"/>
    <w:rsid w:val="00D50871"/>
    <w:rsid w:val="00D517EC"/>
    <w:rsid w:val="00D51C6C"/>
    <w:rsid w:val="00D52294"/>
    <w:rsid w:val="00D53799"/>
    <w:rsid w:val="00D539A6"/>
    <w:rsid w:val="00D558AE"/>
    <w:rsid w:val="00D56516"/>
    <w:rsid w:val="00D60170"/>
    <w:rsid w:val="00D613B7"/>
    <w:rsid w:val="00D623DD"/>
    <w:rsid w:val="00D65240"/>
    <w:rsid w:val="00D7159A"/>
    <w:rsid w:val="00D75C24"/>
    <w:rsid w:val="00D75F0D"/>
    <w:rsid w:val="00D81679"/>
    <w:rsid w:val="00D83167"/>
    <w:rsid w:val="00D90361"/>
    <w:rsid w:val="00D92977"/>
    <w:rsid w:val="00D93536"/>
    <w:rsid w:val="00D93EEE"/>
    <w:rsid w:val="00DA0198"/>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36A"/>
    <w:rsid w:val="00DC6849"/>
    <w:rsid w:val="00DC7D27"/>
    <w:rsid w:val="00DD06F8"/>
    <w:rsid w:val="00DD072A"/>
    <w:rsid w:val="00DD1168"/>
    <w:rsid w:val="00DD4390"/>
    <w:rsid w:val="00DD4BDF"/>
    <w:rsid w:val="00DD5C00"/>
    <w:rsid w:val="00DD6AF7"/>
    <w:rsid w:val="00DD6D9F"/>
    <w:rsid w:val="00DD6DC4"/>
    <w:rsid w:val="00DE0470"/>
    <w:rsid w:val="00DE43B5"/>
    <w:rsid w:val="00DE4625"/>
    <w:rsid w:val="00DE5E01"/>
    <w:rsid w:val="00DE6D95"/>
    <w:rsid w:val="00DE7494"/>
    <w:rsid w:val="00DF0FFD"/>
    <w:rsid w:val="00DF4358"/>
    <w:rsid w:val="00DF4388"/>
    <w:rsid w:val="00DF44D9"/>
    <w:rsid w:val="00DF4FC1"/>
    <w:rsid w:val="00DF6C53"/>
    <w:rsid w:val="00E01B17"/>
    <w:rsid w:val="00E02D64"/>
    <w:rsid w:val="00E031E2"/>
    <w:rsid w:val="00E03866"/>
    <w:rsid w:val="00E05862"/>
    <w:rsid w:val="00E05CE1"/>
    <w:rsid w:val="00E07372"/>
    <w:rsid w:val="00E10179"/>
    <w:rsid w:val="00E11614"/>
    <w:rsid w:val="00E11A6D"/>
    <w:rsid w:val="00E11E1D"/>
    <w:rsid w:val="00E12AD3"/>
    <w:rsid w:val="00E1418E"/>
    <w:rsid w:val="00E1419D"/>
    <w:rsid w:val="00E16714"/>
    <w:rsid w:val="00E20462"/>
    <w:rsid w:val="00E22344"/>
    <w:rsid w:val="00E23542"/>
    <w:rsid w:val="00E23950"/>
    <w:rsid w:val="00E239EA"/>
    <w:rsid w:val="00E23AEF"/>
    <w:rsid w:val="00E2585E"/>
    <w:rsid w:val="00E261A4"/>
    <w:rsid w:val="00E27495"/>
    <w:rsid w:val="00E302E4"/>
    <w:rsid w:val="00E3400B"/>
    <w:rsid w:val="00E34058"/>
    <w:rsid w:val="00E347E0"/>
    <w:rsid w:val="00E3554F"/>
    <w:rsid w:val="00E36250"/>
    <w:rsid w:val="00E3694A"/>
    <w:rsid w:val="00E37206"/>
    <w:rsid w:val="00E37696"/>
    <w:rsid w:val="00E41F9F"/>
    <w:rsid w:val="00E43C3B"/>
    <w:rsid w:val="00E444AF"/>
    <w:rsid w:val="00E44787"/>
    <w:rsid w:val="00E44938"/>
    <w:rsid w:val="00E44E74"/>
    <w:rsid w:val="00E44F60"/>
    <w:rsid w:val="00E4516A"/>
    <w:rsid w:val="00E45407"/>
    <w:rsid w:val="00E4546A"/>
    <w:rsid w:val="00E46E35"/>
    <w:rsid w:val="00E476ED"/>
    <w:rsid w:val="00E47F92"/>
    <w:rsid w:val="00E5436F"/>
    <w:rsid w:val="00E549CF"/>
    <w:rsid w:val="00E55405"/>
    <w:rsid w:val="00E55E04"/>
    <w:rsid w:val="00E560C7"/>
    <w:rsid w:val="00E57C03"/>
    <w:rsid w:val="00E606AD"/>
    <w:rsid w:val="00E60A05"/>
    <w:rsid w:val="00E60CC3"/>
    <w:rsid w:val="00E63AE6"/>
    <w:rsid w:val="00E63F8D"/>
    <w:rsid w:val="00E67342"/>
    <w:rsid w:val="00E70FD6"/>
    <w:rsid w:val="00E71215"/>
    <w:rsid w:val="00E71781"/>
    <w:rsid w:val="00E71DFE"/>
    <w:rsid w:val="00E72056"/>
    <w:rsid w:val="00E74282"/>
    <w:rsid w:val="00E74CA5"/>
    <w:rsid w:val="00E75D80"/>
    <w:rsid w:val="00E76555"/>
    <w:rsid w:val="00E809EA"/>
    <w:rsid w:val="00E80BAA"/>
    <w:rsid w:val="00E80D1C"/>
    <w:rsid w:val="00E82BD1"/>
    <w:rsid w:val="00E83848"/>
    <w:rsid w:val="00E83925"/>
    <w:rsid w:val="00E839AA"/>
    <w:rsid w:val="00E86DFE"/>
    <w:rsid w:val="00E87CF9"/>
    <w:rsid w:val="00E92822"/>
    <w:rsid w:val="00E952F3"/>
    <w:rsid w:val="00E97FE7"/>
    <w:rsid w:val="00EA0FEB"/>
    <w:rsid w:val="00EA1C5F"/>
    <w:rsid w:val="00EA28E0"/>
    <w:rsid w:val="00EA2F77"/>
    <w:rsid w:val="00EA30E1"/>
    <w:rsid w:val="00EA359D"/>
    <w:rsid w:val="00EA524A"/>
    <w:rsid w:val="00EA688E"/>
    <w:rsid w:val="00EB0259"/>
    <w:rsid w:val="00EB0C5C"/>
    <w:rsid w:val="00EB15BF"/>
    <w:rsid w:val="00EB3F51"/>
    <w:rsid w:val="00EB46E3"/>
    <w:rsid w:val="00EB4E29"/>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0758"/>
    <w:rsid w:val="00EE139D"/>
    <w:rsid w:val="00EE1F18"/>
    <w:rsid w:val="00EE2279"/>
    <w:rsid w:val="00EE2F9F"/>
    <w:rsid w:val="00EE42E0"/>
    <w:rsid w:val="00EE57FF"/>
    <w:rsid w:val="00EE6158"/>
    <w:rsid w:val="00EE6CE4"/>
    <w:rsid w:val="00EF0635"/>
    <w:rsid w:val="00EF124D"/>
    <w:rsid w:val="00EF129D"/>
    <w:rsid w:val="00EF1EC2"/>
    <w:rsid w:val="00EF22F0"/>
    <w:rsid w:val="00EF2CE0"/>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0822"/>
    <w:rsid w:val="00F2214E"/>
    <w:rsid w:val="00F22C55"/>
    <w:rsid w:val="00F23C14"/>
    <w:rsid w:val="00F27B4F"/>
    <w:rsid w:val="00F32AFF"/>
    <w:rsid w:val="00F33815"/>
    <w:rsid w:val="00F33AB7"/>
    <w:rsid w:val="00F34269"/>
    <w:rsid w:val="00F342B7"/>
    <w:rsid w:val="00F3598B"/>
    <w:rsid w:val="00F35A34"/>
    <w:rsid w:val="00F3634C"/>
    <w:rsid w:val="00F36668"/>
    <w:rsid w:val="00F36869"/>
    <w:rsid w:val="00F36E77"/>
    <w:rsid w:val="00F37FD0"/>
    <w:rsid w:val="00F41D01"/>
    <w:rsid w:val="00F4295E"/>
    <w:rsid w:val="00F44D71"/>
    <w:rsid w:val="00F45BF2"/>
    <w:rsid w:val="00F5063E"/>
    <w:rsid w:val="00F511A3"/>
    <w:rsid w:val="00F51539"/>
    <w:rsid w:val="00F53920"/>
    <w:rsid w:val="00F62DC2"/>
    <w:rsid w:val="00F62E2B"/>
    <w:rsid w:val="00F635BC"/>
    <w:rsid w:val="00F64095"/>
    <w:rsid w:val="00F64B93"/>
    <w:rsid w:val="00F6591B"/>
    <w:rsid w:val="00F659B3"/>
    <w:rsid w:val="00F66030"/>
    <w:rsid w:val="00F7055B"/>
    <w:rsid w:val="00F705AB"/>
    <w:rsid w:val="00F711E6"/>
    <w:rsid w:val="00F71265"/>
    <w:rsid w:val="00F71565"/>
    <w:rsid w:val="00F724FC"/>
    <w:rsid w:val="00F7287F"/>
    <w:rsid w:val="00F72BEE"/>
    <w:rsid w:val="00F73212"/>
    <w:rsid w:val="00F740A5"/>
    <w:rsid w:val="00F74879"/>
    <w:rsid w:val="00F7516F"/>
    <w:rsid w:val="00F75986"/>
    <w:rsid w:val="00F77238"/>
    <w:rsid w:val="00F7755C"/>
    <w:rsid w:val="00F8123E"/>
    <w:rsid w:val="00F83BF4"/>
    <w:rsid w:val="00F84152"/>
    <w:rsid w:val="00F848BD"/>
    <w:rsid w:val="00F84E80"/>
    <w:rsid w:val="00F85278"/>
    <w:rsid w:val="00F864F5"/>
    <w:rsid w:val="00F86ABC"/>
    <w:rsid w:val="00F94148"/>
    <w:rsid w:val="00F948D0"/>
    <w:rsid w:val="00F94951"/>
    <w:rsid w:val="00F95355"/>
    <w:rsid w:val="00F95D70"/>
    <w:rsid w:val="00FA1A3C"/>
    <w:rsid w:val="00FA1F52"/>
    <w:rsid w:val="00FA23AB"/>
    <w:rsid w:val="00FA252C"/>
    <w:rsid w:val="00FA4557"/>
    <w:rsid w:val="00FA772C"/>
    <w:rsid w:val="00FB1B28"/>
    <w:rsid w:val="00FB4174"/>
    <w:rsid w:val="00FB6661"/>
    <w:rsid w:val="00FB68D5"/>
    <w:rsid w:val="00FB78DB"/>
    <w:rsid w:val="00FC01AB"/>
    <w:rsid w:val="00FC2B00"/>
    <w:rsid w:val="00FC3796"/>
    <w:rsid w:val="00FC6063"/>
    <w:rsid w:val="00FC756C"/>
    <w:rsid w:val="00FD171B"/>
    <w:rsid w:val="00FD2B7F"/>
    <w:rsid w:val="00FD3740"/>
    <w:rsid w:val="00FD5FF1"/>
    <w:rsid w:val="00FD6E99"/>
    <w:rsid w:val="00FE063E"/>
    <w:rsid w:val="00FE1D67"/>
    <w:rsid w:val="00FE2481"/>
    <w:rsid w:val="00FE25F5"/>
    <w:rsid w:val="00FE266C"/>
    <w:rsid w:val="00FE31B0"/>
    <w:rsid w:val="00FE35FE"/>
    <w:rsid w:val="00FE4061"/>
    <w:rsid w:val="00FE4F59"/>
    <w:rsid w:val="00FE554A"/>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66A4B6-2EF7-4D1A-BE85-62BE584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2019-11-18T18:30:00+00:00</Judgment_x0020_Date>
    <Year xmlns="63bdd487-88aa-4c54-b893-ddaa81ed2e7c">2019</Year>
  </documentManagement>
</p:properties>
</file>

<file path=customXml/itemProps1.xml><?xml version="1.0" encoding="utf-8"?>
<ds:datastoreItem xmlns:ds="http://schemas.openxmlformats.org/officeDocument/2006/customXml" ds:itemID="{E784176A-FC6F-4D59-BB6E-C850B7740D98}"/>
</file>

<file path=customXml/itemProps2.xml><?xml version="1.0" encoding="utf-8"?>
<ds:datastoreItem xmlns:ds="http://schemas.openxmlformats.org/officeDocument/2006/customXml" ds:itemID="{11D66BE7-8095-4A73-87C9-2BA69320996C}"/>
</file>

<file path=customXml/itemProps3.xml><?xml version="1.0" encoding="utf-8"?>
<ds:datastoreItem xmlns:ds="http://schemas.openxmlformats.org/officeDocument/2006/customXml" ds:itemID="{3EAF7ECA-9579-4015-A207-8A148A136DDA}"/>
</file>

<file path=customXml/itemProps4.xml><?xml version="1.0" encoding="utf-8"?>
<ds:datastoreItem xmlns:ds="http://schemas.openxmlformats.org/officeDocument/2006/customXml" ds:itemID="{A118E4F3-109F-4378-8DD0-2D8F87ED5196}"/>
</file>

<file path=docProps/app.xml><?xml version="1.0" encoding="utf-8"?>
<Properties xmlns="http://schemas.openxmlformats.org/officeDocument/2006/extended-properties" xmlns:vt="http://schemas.openxmlformats.org/officeDocument/2006/docPropsVTypes">
  <Template>Normal</Template>
  <TotalTime>0</TotalTime>
  <Pages>1</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Zyl v Bargain Building Supplies CC</dc:title>
  <dc:subject/>
  <dc:creator>ybasson</dc:creator>
  <cp:keywords/>
  <dc:description/>
  <cp:lastModifiedBy>Nicole Januarie</cp:lastModifiedBy>
  <cp:revision>3</cp:revision>
  <cp:lastPrinted>2019-11-19T08:04:00Z</cp:lastPrinted>
  <dcterms:created xsi:type="dcterms:W3CDTF">2019-11-19T10:36:00Z</dcterms:created>
  <dcterms:modified xsi:type="dcterms:W3CDTF">2019-11-19T10:36:00Z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