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CE6ABC">
        <w:rPr>
          <w:rFonts w:ascii="Arial" w:hAnsi="Arial" w:cs="Arial"/>
          <w:sz w:val="24"/>
          <w:szCs w:val="24"/>
        </w:rPr>
        <w:t>48</w:t>
      </w:r>
      <w:r w:rsidRPr="001C25CA">
        <w:rPr>
          <w:rFonts w:ascii="Arial" w:hAnsi="Arial" w:cs="Arial"/>
          <w:sz w:val="24"/>
          <w:szCs w:val="24"/>
        </w:rPr>
        <w:t>/2</w:t>
      </w:r>
      <w:r w:rsidR="00CD0281">
        <w:rPr>
          <w:rFonts w:ascii="Arial" w:hAnsi="Arial" w:cs="Arial"/>
          <w:sz w:val="24"/>
          <w:szCs w:val="24"/>
        </w:rPr>
        <w:t>0</w:t>
      </w:r>
      <w:r w:rsidR="00CE6ABC">
        <w:rPr>
          <w:rFonts w:ascii="Arial" w:hAnsi="Arial" w:cs="Arial"/>
          <w:sz w:val="24"/>
          <w:szCs w:val="24"/>
        </w:rPr>
        <w:t>18</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396B62" w:rsidRPr="001C25CA"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61C35" w:rsidTr="00B40CD3">
        <w:tc>
          <w:tcPr>
            <w:tcW w:w="6204" w:type="dxa"/>
            <w:shd w:val="clear" w:color="auto" w:fill="auto"/>
          </w:tcPr>
          <w:p w:rsidR="002212AD" w:rsidRPr="00161C35" w:rsidRDefault="007F76A6" w:rsidP="00161C35">
            <w:pPr>
              <w:pStyle w:val="NoSpacing"/>
              <w:spacing w:line="360" w:lineRule="auto"/>
              <w:rPr>
                <w:rFonts w:ascii="Arial" w:hAnsi="Arial" w:cs="Arial"/>
                <w:b/>
              </w:rPr>
            </w:pPr>
            <w:r>
              <w:rPr>
                <w:rFonts w:ascii="Arial" w:hAnsi="Arial" w:cs="Arial"/>
                <w:b/>
              </w:rPr>
              <w:t>OTNIEL KOUJO</w:t>
            </w:r>
          </w:p>
        </w:tc>
        <w:tc>
          <w:tcPr>
            <w:tcW w:w="3011" w:type="dxa"/>
            <w:shd w:val="clear" w:color="auto" w:fill="auto"/>
          </w:tcPr>
          <w:p w:rsidR="008C3367" w:rsidRPr="00161C35" w:rsidRDefault="008C3367" w:rsidP="00161C35">
            <w:pPr>
              <w:pStyle w:val="NoSpacing"/>
              <w:spacing w:line="360" w:lineRule="auto"/>
              <w:jc w:val="right"/>
              <w:rPr>
                <w:rFonts w:ascii="Arial" w:hAnsi="Arial" w:cs="Arial"/>
                <w:b/>
              </w:rPr>
            </w:pPr>
            <w:r w:rsidRPr="00161C35">
              <w:rPr>
                <w:rFonts w:ascii="Arial" w:hAnsi="Arial" w:cs="Arial"/>
                <w:b/>
              </w:rPr>
              <w:t>Appellant</w:t>
            </w:r>
          </w:p>
        </w:tc>
      </w:tr>
      <w:tr w:rsidR="008C3367" w:rsidRPr="00161C35" w:rsidTr="00B40CD3">
        <w:tc>
          <w:tcPr>
            <w:tcW w:w="6204" w:type="dxa"/>
            <w:shd w:val="clear" w:color="auto" w:fill="auto"/>
          </w:tcPr>
          <w:p w:rsidR="008C3367" w:rsidRPr="00161C35" w:rsidRDefault="000D1F3C" w:rsidP="00161C35">
            <w:pPr>
              <w:pStyle w:val="NoSpacing"/>
              <w:spacing w:line="360" w:lineRule="auto"/>
              <w:rPr>
                <w:rFonts w:ascii="Arial" w:hAnsi="Arial" w:cs="Arial"/>
                <w:b/>
              </w:rPr>
            </w:pPr>
            <w:r w:rsidRPr="00161C35">
              <w:rPr>
                <w:rFonts w:ascii="Arial" w:hAnsi="Arial" w:cs="Arial"/>
                <w:b/>
              </w:rPr>
              <w:t xml:space="preserve"> </w:t>
            </w:r>
          </w:p>
        </w:tc>
        <w:tc>
          <w:tcPr>
            <w:tcW w:w="3011" w:type="dxa"/>
            <w:shd w:val="clear" w:color="auto" w:fill="auto"/>
          </w:tcPr>
          <w:p w:rsidR="008C3367" w:rsidRPr="00161C35" w:rsidRDefault="008C3367" w:rsidP="00161C35">
            <w:pPr>
              <w:pStyle w:val="NoSpacing"/>
              <w:spacing w:line="360" w:lineRule="auto"/>
              <w:rPr>
                <w:rFonts w:ascii="Arial" w:hAnsi="Arial" w:cs="Arial"/>
                <w:b/>
              </w:rPr>
            </w:pPr>
          </w:p>
        </w:tc>
      </w:tr>
      <w:tr w:rsidR="008C3367" w:rsidRPr="00161C35" w:rsidTr="00B40CD3">
        <w:tc>
          <w:tcPr>
            <w:tcW w:w="6204" w:type="dxa"/>
            <w:shd w:val="clear" w:color="auto" w:fill="auto"/>
          </w:tcPr>
          <w:p w:rsidR="008C3367" w:rsidRPr="004A20F1" w:rsidRDefault="007C732D" w:rsidP="00161C35">
            <w:pPr>
              <w:pStyle w:val="NoSpacing"/>
              <w:spacing w:line="360" w:lineRule="auto"/>
              <w:rPr>
                <w:rFonts w:ascii="Arial" w:hAnsi="Arial" w:cs="Arial"/>
              </w:rPr>
            </w:pPr>
            <w:r w:rsidRPr="004A20F1">
              <w:rPr>
                <w:rFonts w:ascii="Arial" w:hAnsi="Arial" w:cs="Arial"/>
              </w:rPr>
              <w:t>a</w:t>
            </w:r>
            <w:r w:rsidR="008C3367" w:rsidRPr="004A20F1">
              <w:rPr>
                <w:rFonts w:ascii="Arial" w:hAnsi="Arial" w:cs="Arial"/>
              </w:rPr>
              <w:t>nd</w:t>
            </w:r>
          </w:p>
        </w:tc>
        <w:tc>
          <w:tcPr>
            <w:tcW w:w="3011" w:type="dxa"/>
            <w:shd w:val="clear" w:color="auto" w:fill="auto"/>
          </w:tcPr>
          <w:p w:rsidR="008C3367" w:rsidRPr="00161C35" w:rsidRDefault="008C3367" w:rsidP="00161C35">
            <w:pPr>
              <w:pStyle w:val="NoSpacing"/>
              <w:spacing w:line="360" w:lineRule="auto"/>
              <w:rPr>
                <w:rFonts w:ascii="Arial" w:hAnsi="Arial" w:cs="Arial"/>
                <w:b/>
              </w:rPr>
            </w:pPr>
          </w:p>
        </w:tc>
      </w:tr>
      <w:tr w:rsidR="008C3367" w:rsidRPr="00161C35" w:rsidTr="00B40CD3">
        <w:tc>
          <w:tcPr>
            <w:tcW w:w="6204" w:type="dxa"/>
            <w:shd w:val="clear" w:color="auto" w:fill="auto"/>
          </w:tcPr>
          <w:p w:rsidR="008C3367" w:rsidRPr="00161C35" w:rsidRDefault="008C3367" w:rsidP="00161C35">
            <w:pPr>
              <w:pStyle w:val="NoSpacing"/>
              <w:spacing w:line="360" w:lineRule="auto"/>
              <w:rPr>
                <w:rFonts w:ascii="Arial" w:hAnsi="Arial" w:cs="Arial"/>
                <w:b/>
              </w:rPr>
            </w:pPr>
          </w:p>
        </w:tc>
        <w:tc>
          <w:tcPr>
            <w:tcW w:w="3011" w:type="dxa"/>
            <w:shd w:val="clear" w:color="auto" w:fill="auto"/>
          </w:tcPr>
          <w:p w:rsidR="008C3367" w:rsidRPr="00161C35" w:rsidRDefault="008C3367" w:rsidP="00161C35">
            <w:pPr>
              <w:pStyle w:val="NoSpacing"/>
              <w:spacing w:line="360" w:lineRule="auto"/>
              <w:rPr>
                <w:rFonts w:ascii="Arial" w:hAnsi="Arial" w:cs="Arial"/>
                <w:b/>
              </w:rPr>
            </w:pPr>
          </w:p>
        </w:tc>
      </w:tr>
      <w:tr w:rsidR="008C3367" w:rsidRPr="00161C35" w:rsidTr="00B40CD3">
        <w:tc>
          <w:tcPr>
            <w:tcW w:w="6204" w:type="dxa"/>
            <w:shd w:val="clear" w:color="auto" w:fill="auto"/>
          </w:tcPr>
          <w:p w:rsidR="008C3367" w:rsidRPr="00161C35" w:rsidRDefault="00CD0281" w:rsidP="007F76A6">
            <w:pPr>
              <w:pStyle w:val="NoSpacing"/>
              <w:spacing w:line="360" w:lineRule="auto"/>
              <w:rPr>
                <w:rFonts w:ascii="Arial" w:hAnsi="Arial" w:cs="Arial"/>
                <w:b/>
              </w:rPr>
            </w:pPr>
            <w:r w:rsidRPr="00161C35">
              <w:rPr>
                <w:rFonts w:ascii="Arial" w:hAnsi="Arial" w:cs="Arial"/>
                <w:b/>
              </w:rPr>
              <w:t>MINIST</w:t>
            </w:r>
            <w:r w:rsidR="007F76A6">
              <w:rPr>
                <w:rFonts w:ascii="Arial" w:hAnsi="Arial" w:cs="Arial"/>
                <w:b/>
              </w:rPr>
              <w:t>ER</w:t>
            </w:r>
            <w:r w:rsidRPr="00161C35">
              <w:rPr>
                <w:rFonts w:ascii="Arial" w:hAnsi="Arial" w:cs="Arial"/>
                <w:b/>
              </w:rPr>
              <w:t xml:space="preserve"> OF </w:t>
            </w:r>
            <w:r w:rsidR="007F76A6">
              <w:rPr>
                <w:rFonts w:ascii="Arial" w:hAnsi="Arial" w:cs="Arial"/>
                <w:b/>
              </w:rPr>
              <w:t>MINES AND ENERGY</w:t>
            </w:r>
          </w:p>
        </w:tc>
        <w:tc>
          <w:tcPr>
            <w:tcW w:w="3011" w:type="dxa"/>
            <w:shd w:val="clear" w:color="auto" w:fill="auto"/>
          </w:tcPr>
          <w:p w:rsidR="00584213" w:rsidRPr="00161C35" w:rsidRDefault="00235497" w:rsidP="00235497">
            <w:pPr>
              <w:pStyle w:val="NoSpacing"/>
              <w:spacing w:line="360" w:lineRule="auto"/>
              <w:jc w:val="right"/>
              <w:rPr>
                <w:rFonts w:ascii="Arial" w:hAnsi="Arial" w:cs="Arial"/>
                <w:b/>
              </w:rPr>
            </w:pPr>
            <w:r>
              <w:rPr>
                <w:rFonts w:ascii="Arial" w:hAnsi="Arial" w:cs="Arial"/>
                <w:b/>
              </w:rPr>
              <w:t xml:space="preserve">First </w:t>
            </w:r>
            <w:r w:rsidR="00584213" w:rsidRPr="00161C35">
              <w:rPr>
                <w:rFonts w:ascii="Arial" w:hAnsi="Arial" w:cs="Arial"/>
                <w:b/>
              </w:rPr>
              <w:t>Respondent</w:t>
            </w:r>
          </w:p>
        </w:tc>
      </w:tr>
      <w:tr w:rsidR="00CD0281" w:rsidRPr="00161C35" w:rsidTr="00B40CD3">
        <w:tc>
          <w:tcPr>
            <w:tcW w:w="6204" w:type="dxa"/>
            <w:shd w:val="clear" w:color="auto" w:fill="auto"/>
          </w:tcPr>
          <w:p w:rsidR="00CD0281" w:rsidRPr="00161C35" w:rsidRDefault="00013AB7" w:rsidP="00161C35">
            <w:pPr>
              <w:pStyle w:val="NoSpacing"/>
              <w:spacing w:line="360" w:lineRule="auto"/>
              <w:rPr>
                <w:rFonts w:ascii="Arial" w:hAnsi="Arial" w:cs="Arial"/>
                <w:b/>
              </w:rPr>
            </w:pPr>
            <w:r>
              <w:rPr>
                <w:rFonts w:ascii="Arial" w:hAnsi="Arial" w:cs="Arial"/>
                <w:b/>
              </w:rPr>
              <w:t>MINING COMMISSIONER</w:t>
            </w:r>
          </w:p>
        </w:tc>
        <w:tc>
          <w:tcPr>
            <w:tcW w:w="3011" w:type="dxa"/>
            <w:shd w:val="clear" w:color="auto" w:fill="auto"/>
          </w:tcPr>
          <w:p w:rsidR="00CD0281" w:rsidRPr="00161C35" w:rsidRDefault="00235497" w:rsidP="00161C35">
            <w:pPr>
              <w:pStyle w:val="NoSpacing"/>
              <w:spacing w:line="360" w:lineRule="auto"/>
              <w:jc w:val="right"/>
              <w:rPr>
                <w:rFonts w:ascii="Arial" w:hAnsi="Arial" w:cs="Arial"/>
                <w:b/>
              </w:rPr>
            </w:pPr>
            <w:r>
              <w:rPr>
                <w:rFonts w:ascii="Arial" w:hAnsi="Arial" w:cs="Arial"/>
                <w:b/>
              </w:rPr>
              <w:t>Second</w:t>
            </w:r>
            <w:r w:rsidR="00CD0281" w:rsidRPr="00161C35">
              <w:rPr>
                <w:rFonts w:ascii="Arial" w:hAnsi="Arial" w:cs="Arial"/>
                <w:b/>
                <w:vertAlign w:val="superscript"/>
              </w:rPr>
              <w:t xml:space="preserve"> </w:t>
            </w:r>
            <w:r w:rsidR="00CD0281" w:rsidRPr="00161C35">
              <w:rPr>
                <w:rFonts w:ascii="Arial" w:hAnsi="Arial" w:cs="Arial"/>
                <w:b/>
              </w:rPr>
              <w:t>Respondent</w:t>
            </w:r>
          </w:p>
        </w:tc>
      </w:tr>
      <w:tr w:rsidR="00CD0281" w:rsidRPr="00161C35" w:rsidTr="00B40CD3">
        <w:tc>
          <w:tcPr>
            <w:tcW w:w="6204" w:type="dxa"/>
            <w:shd w:val="clear" w:color="auto" w:fill="auto"/>
          </w:tcPr>
          <w:p w:rsidR="00CD0281" w:rsidRDefault="00013AB7" w:rsidP="00161C35">
            <w:pPr>
              <w:pStyle w:val="NoSpacing"/>
              <w:spacing w:line="360" w:lineRule="auto"/>
              <w:rPr>
                <w:rFonts w:ascii="Arial" w:hAnsi="Arial" w:cs="Arial"/>
                <w:b/>
              </w:rPr>
            </w:pPr>
            <w:r>
              <w:rPr>
                <w:rFonts w:ascii="Arial" w:hAnsi="Arial" w:cs="Arial"/>
                <w:b/>
              </w:rPr>
              <w:t>LUXURY INVESTMENTS ONE HUNDRED AND</w:t>
            </w:r>
          </w:p>
          <w:p w:rsidR="00013AB7" w:rsidRPr="00161C35" w:rsidRDefault="00013AB7" w:rsidP="00161C35">
            <w:pPr>
              <w:pStyle w:val="NoSpacing"/>
              <w:spacing w:line="360" w:lineRule="auto"/>
              <w:rPr>
                <w:rFonts w:ascii="Arial" w:hAnsi="Arial" w:cs="Arial"/>
                <w:b/>
              </w:rPr>
            </w:pPr>
            <w:r>
              <w:rPr>
                <w:rFonts w:ascii="Arial" w:hAnsi="Arial" w:cs="Arial"/>
                <w:b/>
              </w:rPr>
              <w:t>NINETY TWO (PTY) LTD</w:t>
            </w:r>
          </w:p>
          <w:p w:rsidR="00FB53EE" w:rsidRPr="00161C35" w:rsidRDefault="00013AB7" w:rsidP="00013AB7">
            <w:pPr>
              <w:pStyle w:val="NoSpacing"/>
              <w:spacing w:line="360" w:lineRule="auto"/>
              <w:rPr>
                <w:rFonts w:ascii="Arial" w:hAnsi="Arial" w:cs="Arial"/>
                <w:b/>
              </w:rPr>
            </w:pPr>
            <w:r>
              <w:rPr>
                <w:rFonts w:ascii="Arial" w:hAnsi="Arial" w:cs="Arial"/>
                <w:b/>
              </w:rPr>
              <w:t>KAOKOLAND MINING EXPLORATION CC</w:t>
            </w:r>
          </w:p>
        </w:tc>
        <w:tc>
          <w:tcPr>
            <w:tcW w:w="3011" w:type="dxa"/>
            <w:shd w:val="clear" w:color="auto" w:fill="auto"/>
          </w:tcPr>
          <w:p w:rsidR="00013AB7" w:rsidRDefault="00013AB7" w:rsidP="00161C35">
            <w:pPr>
              <w:pStyle w:val="NoSpacing"/>
              <w:spacing w:line="360" w:lineRule="auto"/>
              <w:jc w:val="right"/>
              <w:rPr>
                <w:rFonts w:ascii="Arial" w:hAnsi="Arial" w:cs="Arial"/>
                <w:b/>
              </w:rPr>
            </w:pPr>
          </w:p>
          <w:p w:rsidR="00CD0281" w:rsidRDefault="00235497" w:rsidP="00161C35">
            <w:pPr>
              <w:pStyle w:val="NoSpacing"/>
              <w:spacing w:line="360" w:lineRule="auto"/>
              <w:jc w:val="right"/>
              <w:rPr>
                <w:rFonts w:ascii="Arial" w:hAnsi="Arial" w:cs="Arial"/>
                <w:b/>
              </w:rPr>
            </w:pPr>
            <w:r>
              <w:rPr>
                <w:rFonts w:ascii="Arial" w:hAnsi="Arial" w:cs="Arial"/>
                <w:b/>
              </w:rPr>
              <w:t>Third</w:t>
            </w:r>
            <w:r w:rsidR="00CD0281" w:rsidRPr="00161C35">
              <w:rPr>
                <w:rFonts w:ascii="Arial" w:hAnsi="Arial" w:cs="Arial"/>
                <w:b/>
              </w:rPr>
              <w:t xml:space="preserve"> Respondent</w:t>
            </w:r>
          </w:p>
          <w:p w:rsidR="007F76A6" w:rsidRPr="00161C35" w:rsidRDefault="007F76A6" w:rsidP="00161C35">
            <w:pPr>
              <w:pStyle w:val="NoSpacing"/>
              <w:spacing w:line="360" w:lineRule="auto"/>
              <w:jc w:val="right"/>
              <w:rPr>
                <w:rFonts w:ascii="Arial" w:hAnsi="Arial" w:cs="Arial"/>
                <w:b/>
              </w:rPr>
            </w:pPr>
            <w:r>
              <w:rPr>
                <w:rFonts w:ascii="Arial" w:hAnsi="Arial" w:cs="Arial"/>
                <w:b/>
              </w:rPr>
              <w:t>Fourth Respondent</w:t>
            </w:r>
          </w:p>
        </w:tc>
      </w:tr>
    </w:tbl>
    <w:p w:rsidR="00AA0F94" w:rsidRDefault="00AA0F94" w:rsidP="00B40CD3">
      <w:pPr>
        <w:spacing w:line="240" w:lineRule="auto"/>
        <w:ind w:left="-142" w:firstLine="142"/>
        <w:jc w:val="both"/>
        <w:rPr>
          <w:rFonts w:ascii="Arial" w:hAnsi="Arial" w:cs="Arial"/>
          <w:b/>
          <w:sz w:val="24"/>
          <w:szCs w:val="24"/>
        </w:rPr>
      </w:pPr>
    </w:p>
    <w:p w:rsidR="00AA0F94" w:rsidRDefault="00AA0F94" w:rsidP="00B40CD3">
      <w:pPr>
        <w:spacing w:line="240" w:lineRule="auto"/>
        <w:ind w:left="-142" w:firstLine="142"/>
        <w:jc w:val="both"/>
        <w:rPr>
          <w:rFonts w:ascii="Arial" w:hAnsi="Arial" w:cs="Arial"/>
          <w:b/>
          <w:sz w:val="24"/>
          <w:szCs w:val="24"/>
        </w:rPr>
      </w:pPr>
    </w:p>
    <w:p w:rsidR="008C3367" w:rsidRPr="001C25CA" w:rsidRDefault="008C3367" w:rsidP="00161C35">
      <w:pPr>
        <w:spacing w:line="240" w:lineRule="auto"/>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7F76A6">
        <w:rPr>
          <w:rFonts w:ascii="Arial" w:hAnsi="Arial" w:cs="Arial"/>
          <w:sz w:val="24"/>
          <w:szCs w:val="24"/>
        </w:rPr>
        <w:t>DAMASEB</w:t>
      </w:r>
      <w:r w:rsidR="002212AD" w:rsidRPr="001C25CA">
        <w:rPr>
          <w:rFonts w:ascii="Arial" w:hAnsi="Arial" w:cs="Arial"/>
          <w:sz w:val="24"/>
          <w:szCs w:val="24"/>
        </w:rPr>
        <w:t xml:space="preserve"> </w:t>
      </w:r>
      <w:r w:rsidR="007F76A6">
        <w:rPr>
          <w:rFonts w:ascii="Arial" w:hAnsi="Arial" w:cs="Arial"/>
          <w:sz w:val="24"/>
          <w:szCs w:val="24"/>
        </w:rPr>
        <w:t>DCJ</w:t>
      </w:r>
      <w:r w:rsidRPr="001C25CA">
        <w:rPr>
          <w:rFonts w:ascii="Arial" w:hAnsi="Arial" w:cs="Arial"/>
          <w:sz w:val="24"/>
          <w:szCs w:val="24"/>
        </w:rPr>
        <w:t>, SMUTS JA</w:t>
      </w:r>
      <w:r w:rsidR="009C70E6" w:rsidRPr="001C25CA">
        <w:rPr>
          <w:rFonts w:ascii="Arial" w:hAnsi="Arial" w:cs="Arial"/>
          <w:sz w:val="24"/>
          <w:szCs w:val="24"/>
        </w:rPr>
        <w:t xml:space="preserve"> and </w:t>
      </w:r>
      <w:r w:rsidR="007F76A6">
        <w:rPr>
          <w:rFonts w:ascii="Arial" w:hAnsi="Arial" w:cs="Arial"/>
          <w:sz w:val="24"/>
          <w:szCs w:val="24"/>
        </w:rPr>
        <w:t>FRANK</w:t>
      </w:r>
      <w:r w:rsidR="009C70E6" w:rsidRPr="001C25CA">
        <w:rPr>
          <w:rFonts w:ascii="Arial" w:hAnsi="Arial" w:cs="Arial"/>
          <w:sz w:val="24"/>
          <w:szCs w:val="24"/>
        </w:rPr>
        <w:t xml:space="preserve"> </w:t>
      </w:r>
      <w:r w:rsidR="007F76A6">
        <w:rPr>
          <w:rFonts w:ascii="Arial" w:hAnsi="Arial" w:cs="Arial"/>
          <w:sz w:val="24"/>
          <w:szCs w:val="24"/>
        </w:rPr>
        <w:t>A</w:t>
      </w:r>
      <w:r w:rsidR="009C70E6" w:rsidRPr="001C25CA">
        <w:rPr>
          <w:rFonts w:ascii="Arial" w:hAnsi="Arial" w:cs="Arial"/>
          <w:sz w:val="24"/>
          <w:szCs w:val="24"/>
        </w:rPr>
        <w:t>JA</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7F76A6">
        <w:rPr>
          <w:rFonts w:ascii="Arial" w:hAnsi="Arial" w:cs="Arial"/>
          <w:b/>
          <w:sz w:val="24"/>
          <w:szCs w:val="24"/>
        </w:rPr>
        <w:t>8</w:t>
      </w:r>
      <w:r w:rsidR="00396B62">
        <w:rPr>
          <w:rFonts w:ascii="Arial" w:hAnsi="Arial" w:cs="Arial"/>
          <w:b/>
          <w:sz w:val="24"/>
          <w:szCs w:val="24"/>
        </w:rPr>
        <w:t xml:space="preserve"> Ju</w:t>
      </w:r>
      <w:r w:rsidR="007F76A6">
        <w:rPr>
          <w:rFonts w:ascii="Arial" w:hAnsi="Arial" w:cs="Arial"/>
          <w:b/>
          <w:sz w:val="24"/>
          <w:szCs w:val="24"/>
        </w:rPr>
        <w:t>ly</w:t>
      </w:r>
      <w:r w:rsidR="003C276A">
        <w:rPr>
          <w:rFonts w:ascii="Arial" w:hAnsi="Arial" w:cs="Arial"/>
          <w:b/>
          <w:sz w:val="24"/>
          <w:szCs w:val="24"/>
        </w:rPr>
        <w:t xml:space="preserve"> 20</w:t>
      </w:r>
      <w:r w:rsidR="00CD0281">
        <w:rPr>
          <w:rFonts w:ascii="Arial" w:hAnsi="Arial" w:cs="Arial"/>
          <w:b/>
          <w:sz w:val="24"/>
          <w:szCs w:val="24"/>
        </w:rPr>
        <w:t>20</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2E0648">
        <w:rPr>
          <w:rFonts w:ascii="Arial" w:hAnsi="Arial" w:cs="Arial"/>
          <w:b/>
          <w:sz w:val="24"/>
          <w:szCs w:val="24"/>
        </w:rPr>
        <w:t>30</w:t>
      </w:r>
      <w:r w:rsidR="00F437EB">
        <w:rPr>
          <w:rFonts w:ascii="Arial" w:hAnsi="Arial" w:cs="Arial"/>
          <w:b/>
          <w:sz w:val="24"/>
          <w:szCs w:val="24"/>
        </w:rPr>
        <w:t xml:space="preserve"> July</w:t>
      </w:r>
      <w:r w:rsidR="00CD0281">
        <w:rPr>
          <w:rFonts w:ascii="Arial" w:hAnsi="Arial" w:cs="Arial"/>
          <w:b/>
          <w:sz w:val="24"/>
          <w:szCs w:val="24"/>
        </w:rPr>
        <w:t xml:space="preserve"> 2020</w:t>
      </w:r>
    </w:p>
    <w:p w:rsidR="00A26B21" w:rsidRPr="001C25CA" w:rsidRDefault="00A26B21" w:rsidP="00584213">
      <w:pPr>
        <w:spacing w:line="240" w:lineRule="auto"/>
        <w:ind w:left="-142"/>
        <w:jc w:val="both"/>
        <w:rPr>
          <w:rFonts w:ascii="Arial" w:hAnsi="Arial" w:cs="Arial"/>
          <w:b/>
          <w:sz w:val="24"/>
          <w:szCs w:val="24"/>
          <w:lang w:val="en-GB"/>
        </w:rPr>
      </w:pPr>
    </w:p>
    <w:p w:rsidR="00181928" w:rsidRDefault="008C3367" w:rsidP="00181928">
      <w:pPr>
        <w:tabs>
          <w:tab w:val="left" w:pos="994"/>
        </w:tabs>
        <w:spacing w:after="0" w:line="360" w:lineRule="auto"/>
        <w:jc w:val="both"/>
        <w:rPr>
          <w:rFonts w:ascii="Arial" w:hAnsi="Arial" w:cs="Arial"/>
          <w:sz w:val="24"/>
          <w:szCs w:val="24"/>
        </w:rPr>
      </w:pPr>
      <w:r w:rsidRPr="00EF6EF1">
        <w:rPr>
          <w:rFonts w:ascii="Arial" w:hAnsi="Arial" w:cs="Arial"/>
          <w:b/>
          <w:sz w:val="24"/>
          <w:szCs w:val="24"/>
          <w:lang w:val="en-GB"/>
        </w:rPr>
        <w:t>Summary:</w:t>
      </w:r>
      <w:r w:rsidR="00721889" w:rsidRPr="00EF6EF1">
        <w:rPr>
          <w:rFonts w:ascii="Arial" w:hAnsi="Arial" w:cs="Arial"/>
          <w:b/>
          <w:sz w:val="24"/>
          <w:szCs w:val="24"/>
          <w:lang w:val="en-GB"/>
        </w:rPr>
        <w:tab/>
      </w:r>
      <w:r w:rsidR="00181928">
        <w:rPr>
          <w:rFonts w:ascii="Arial" w:hAnsi="Arial" w:cs="Arial"/>
          <w:sz w:val="24"/>
          <w:szCs w:val="24"/>
        </w:rPr>
        <w:t xml:space="preserve">The appellant launched a review application in the court </w:t>
      </w:r>
      <w:r w:rsidR="00181928">
        <w:rPr>
          <w:rFonts w:ascii="Arial" w:hAnsi="Arial" w:cs="Arial"/>
          <w:i/>
          <w:sz w:val="24"/>
          <w:szCs w:val="24"/>
        </w:rPr>
        <w:t>a quo</w:t>
      </w:r>
      <w:r w:rsidR="00181928">
        <w:rPr>
          <w:rFonts w:ascii="Arial" w:hAnsi="Arial" w:cs="Arial"/>
          <w:sz w:val="24"/>
          <w:szCs w:val="24"/>
        </w:rPr>
        <w:t xml:space="preserve"> seeking to review the Minister of Mines and Energy</w:t>
      </w:r>
      <w:r w:rsidR="000D4BDB">
        <w:rPr>
          <w:rFonts w:ascii="Arial" w:hAnsi="Arial" w:cs="Arial"/>
          <w:sz w:val="24"/>
          <w:szCs w:val="24"/>
        </w:rPr>
        <w:t>’s</w:t>
      </w:r>
      <w:r w:rsidR="00181928">
        <w:rPr>
          <w:rFonts w:ascii="Arial" w:hAnsi="Arial" w:cs="Arial"/>
          <w:sz w:val="24"/>
          <w:szCs w:val="24"/>
        </w:rPr>
        <w:t xml:space="preserve"> (the Minister) decision under section 44 of the Minerals (Prospecting and Mining) Act 33 of 1992 (the Act) cancelling mining claims (number 70056 and 70057) registered in his name on 7 February 2017. The Minister had issued an </w:t>
      </w:r>
      <w:r w:rsidR="002E0648">
        <w:rPr>
          <w:rFonts w:ascii="Arial" w:hAnsi="Arial" w:cs="Arial"/>
          <w:sz w:val="24"/>
          <w:szCs w:val="24"/>
        </w:rPr>
        <w:t>exclusive prospecting licence (</w:t>
      </w:r>
      <w:r w:rsidR="00181928">
        <w:rPr>
          <w:rFonts w:ascii="Arial" w:hAnsi="Arial" w:cs="Arial"/>
          <w:sz w:val="24"/>
          <w:szCs w:val="24"/>
        </w:rPr>
        <w:t>EPL</w:t>
      </w:r>
      <w:r w:rsidR="002E0648">
        <w:rPr>
          <w:rFonts w:ascii="Arial" w:hAnsi="Arial" w:cs="Arial"/>
          <w:sz w:val="24"/>
          <w:szCs w:val="24"/>
        </w:rPr>
        <w:t>)</w:t>
      </w:r>
      <w:r w:rsidR="00181928">
        <w:rPr>
          <w:rFonts w:ascii="Arial" w:hAnsi="Arial" w:cs="Arial"/>
          <w:sz w:val="24"/>
          <w:szCs w:val="24"/>
        </w:rPr>
        <w:t xml:space="preserve"> 6334 to the appellant on 26 September 2016. Prior to this, the Minister, on 10 February 2016 alerted the third respondent that its mining claims (number 66988 and 66993) had </w:t>
      </w:r>
      <w:r w:rsidR="00181928">
        <w:rPr>
          <w:rFonts w:ascii="Arial" w:hAnsi="Arial" w:cs="Arial"/>
          <w:sz w:val="24"/>
          <w:szCs w:val="24"/>
        </w:rPr>
        <w:lastRenderedPageBreak/>
        <w:t xml:space="preserve">expired - the third respondent’s mining activities in respect of those claims were at the time being conducted by the fourth respondent. This was soon followed by the Minister issuing an </w:t>
      </w:r>
      <w:r w:rsidR="002E0648">
        <w:rPr>
          <w:rFonts w:ascii="Arial" w:hAnsi="Arial" w:cs="Arial"/>
          <w:sz w:val="24"/>
          <w:szCs w:val="24"/>
        </w:rPr>
        <w:t>EPL</w:t>
      </w:r>
      <w:r w:rsidR="00181928">
        <w:rPr>
          <w:rFonts w:ascii="Arial" w:hAnsi="Arial" w:cs="Arial"/>
          <w:sz w:val="24"/>
          <w:szCs w:val="24"/>
        </w:rPr>
        <w:t xml:space="preserve"> 6738 to the third respondent, which on 24 February 2016 applied for the registration of the mining claims it had held before. The third respondent addressed the Mining Commissioner that the ‘erroneous’ plotting of coordinates by the Ministry on its system had caused an overlap between the appellant’s registered claims and one of the claim areas applied for (and previously held) by the third respondent. Appellant was informed to desist from mining activities pending advice from the Attorney-General. On 31 August 2017, the Minister gave the appellant a notice of his intention to cancel the appellant’s mining claims under s 44 of the Act – he afforded the appellant the opportunity to make representations on the issue. On 18 October 2017, the Minister approved the third respondent’s mining claim number (69776 to 69781) – and notified the appellant of the cancellation of his claims.</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sz w:val="24"/>
          <w:szCs w:val="24"/>
        </w:rPr>
        <w:t xml:space="preserve">The appellant’s case was that the Minister did not have the power </w:t>
      </w:r>
      <w:r w:rsidR="00021EC5">
        <w:rPr>
          <w:rFonts w:ascii="Arial" w:hAnsi="Arial" w:cs="Arial"/>
          <w:sz w:val="24"/>
          <w:szCs w:val="24"/>
        </w:rPr>
        <w:t xml:space="preserve">under s 44 of the Act </w:t>
      </w:r>
      <w:r>
        <w:rPr>
          <w:rFonts w:ascii="Arial" w:hAnsi="Arial" w:cs="Arial"/>
          <w:sz w:val="24"/>
          <w:szCs w:val="24"/>
        </w:rPr>
        <w:t xml:space="preserve">to cancel his mining claims. He alleged that the power to cancel vests in the Mining Commissioner. The respondents filed a </w:t>
      </w:r>
      <w:r w:rsidR="003A011B">
        <w:rPr>
          <w:rFonts w:ascii="Arial" w:hAnsi="Arial" w:cs="Arial"/>
          <w:sz w:val="24"/>
          <w:szCs w:val="24"/>
        </w:rPr>
        <w:t>counter application</w:t>
      </w:r>
      <w:r>
        <w:rPr>
          <w:rFonts w:ascii="Arial" w:hAnsi="Arial" w:cs="Arial"/>
          <w:sz w:val="24"/>
          <w:szCs w:val="24"/>
        </w:rPr>
        <w:t xml:space="preserve"> premised upon s 125 of the Act (in that, the granting of the claims to the appellant was in conflict with s 125). This </w:t>
      </w:r>
      <w:r w:rsidR="003A011B">
        <w:rPr>
          <w:rFonts w:ascii="Arial" w:hAnsi="Arial" w:cs="Arial"/>
          <w:sz w:val="24"/>
          <w:szCs w:val="24"/>
        </w:rPr>
        <w:t>counter application</w:t>
      </w:r>
      <w:r w:rsidR="00B024F3">
        <w:rPr>
          <w:rFonts w:ascii="Arial" w:hAnsi="Arial" w:cs="Arial"/>
          <w:sz w:val="24"/>
          <w:szCs w:val="24"/>
        </w:rPr>
        <w:t xml:space="preserve"> </w:t>
      </w:r>
      <w:r>
        <w:rPr>
          <w:rFonts w:ascii="Arial" w:hAnsi="Arial" w:cs="Arial"/>
          <w:sz w:val="24"/>
          <w:szCs w:val="24"/>
        </w:rPr>
        <w:t xml:space="preserve">was conditional upon the appellant succeeding with his review application. Appellant argued that the term ‘shall’ </w:t>
      </w:r>
      <w:r w:rsidR="00B024F3">
        <w:rPr>
          <w:rFonts w:ascii="Arial" w:hAnsi="Arial" w:cs="Arial"/>
          <w:sz w:val="24"/>
          <w:szCs w:val="24"/>
        </w:rPr>
        <w:t xml:space="preserve">in s 125 </w:t>
      </w:r>
      <w:r>
        <w:rPr>
          <w:rFonts w:ascii="Arial" w:hAnsi="Arial" w:cs="Arial"/>
          <w:sz w:val="24"/>
          <w:szCs w:val="24"/>
        </w:rPr>
        <w:t>should not have a peremptory meaning, he also contended that s 125, properly interpreted, does not prohibit the overlapping of claims, particularly where they relate to different minerals. He further contended that the respondents are precluded from relying upon a ground not cited by the Minister as a basis for the cancellation of the appellant’s claims.</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sz w:val="24"/>
          <w:szCs w:val="24"/>
        </w:rPr>
        <w:t>Th</w:t>
      </w:r>
      <w:r w:rsidR="00021EC5">
        <w:rPr>
          <w:rFonts w:ascii="Arial" w:hAnsi="Arial" w:cs="Arial"/>
          <w:sz w:val="24"/>
          <w:szCs w:val="24"/>
        </w:rPr>
        <w:t>e</w:t>
      </w:r>
      <w:r>
        <w:rPr>
          <w:rFonts w:ascii="Arial" w:hAnsi="Arial" w:cs="Arial"/>
          <w:sz w:val="24"/>
          <w:szCs w:val="24"/>
        </w:rPr>
        <w:t xml:space="preserve"> court </w:t>
      </w:r>
      <w:r>
        <w:rPr>
          <w:rFonts w:ascii="Arial" w:hAnsi="Arial" w:cs="Arial"/>
          <w:i/>
          <w:sz w:val="24"/>
          <w:szCs w:val="24"/>
        </w:rPr>
        <w:t>a quo</w:t>
      </w:r>
      <w:r w:rsidR="00B024F3">
        <w:rPr>
          <w:rFonts w:ascii="Arial" w:hAnsi="Arial" w:cs="Arial"/>
          <w:sz w:val="24"/>
          <w:szCs w:val="24"/>
        </w:rPr>
        <w:t xml:space="preserve"> found </w:t>
      </w:r>
      <w:r w:rsidR="00021EC5">
        <w:rPr>
          <w:rFonts w:ascii="Arial" w:hAnsi="Arial" w:cs="Arial"/>
          <w:sz w:val="24"/>
          <w:szCs w:val="24"/>
        </w:rPr>
        <w:t xml:space="preserve">and </w:t>
      </w:r>
      <w:r w:rsidR="00B024F3">
        <w:rPr>
          <w:rFonts w:ascii="Arial" w:hAnsi="Arial" w:cs="Arial"/>
          <w:sz w:val="24"/>
          <w:szCs w:val="24"/>
        </w:rPr>
        <w:t xml:space="preserve">set aside the cancellation on the grounds </w:t>
      </w:r>
      <w:r>
        <w:rPr>
          <w:rFonts w:ascii="Arial" w:hAnsi="Arial" w:cs="Arial"/>
          <w:sz w:val="24"/>
          <w:szCs w:val="24"/>
        </w:rPr>
        <w:t>that the power to cancel in s 44 is vested in the Mining Commissioner. This issue was not appealed against by the respondents.</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sz w:val="24"/>
          <w:szCs w:val="24"/>
        </w:rPr>
        <w:t xml:space="preserve">To be determined by this court is whether the court </w:t>
      </w:r>
      <w:r>
        <w:rPr>
          <w:rFonts w:ascii="Arial" w:hAnsi="Arial" w:cs="Arial"/>
          <w:i/>
          <w:sz w:val="24"/>
          <w:szCs w:val="24"/>
        </w:rPr>
        <w:t>a quo</w:t>
      </w:r>
      <w:r>
        <w:rPr>
          <w:rFonts w:ascii="Arial" w:hAnsi="Arial" w:cs="Arial"/>
          <w:sz w:val="24"/>
          <w:szCs w:val="24"/>
        </w:rPr>
        <w:t xml:space="preserve"> erred </w:t>
      </w:r>
      <w:r w:rsidR="00B024F3">
        <w:rPr>
          <w:rFonts w:ascii="Arial" w:hAnsi="Arial" w:cs="Arial"/>
          <w:sz w:val="24"/>
          <w:szCs w:val="24"/>
        </w:rPr>
        <w:t xml:space="preserve">in granting the </w:t>
      </w:r>
      <w:r w:rsidR="003A011B">
        <w:rPr>
          <w:rFonts w:ascii="Arial" w:hAnsi="Arial" w:cs="Arial"/>
          <w:sz w:val="24"/>
          <w:szCs w:val="24"/>
        </w:rPr>
        <w:t>counter application</w:t>
      </w:r>
      <w:r w:rsidR="00B024F3">
        <w:rPr>
          <w:rFonts w:ascii="Arial" w:hAnsi="Arial" w:cs="Arial"/>
          <w:sz w:val="24"/>
          <w:szCs w:val="24"/>
        </w:rPr>
        <w:t xml:space="preserve"> relying on s 125 and in </w:t>
      </w:r>
      <w:r>
        <w:rPr>
          <w:rFonts w:ascii="Arial" w:hAnsi="Arial" w:cs="Arial"/>
          <w:sz w:val="24"/>
          <w:szCs w:val="24"/>
        </w:rPr>
        <w:t>an explanatory affidavit filed by the Mining Commissioner irregularly.</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sidRPr="00021EC5">
        <w:rPr>
          <w:rFonts w:ascii="Arial" w:hAnsi="Arial" w:cs="Arial"/>
          <w:sz w:val="24"/>
          <w:szCs w:val="24"/>
        </w:rPr>
        <w:t>Explanatory affidavit</w:t>
      </w:r>
      <w:r w:rsidR="00021EC5">
        <w:rPr>
          <w:rFonts w:ascii="Arial" w:hAnsi="Arial" w:cs="Arial"/>
          <w:sz w:val="24"/>
          <w:szCs w:val="24"/>
        </w:rPr>
        <w:t xml:space="preserve"> - </w:t>
      </w:r>
      <w:r>
        <w:rPr>
          <w:rFonts w:ascii="Arial" w:hAnsi="Arial" w:cs="Arial"/>
          <w:sz w:val="24"/>
          <w:szCs w:val="24"/>
        </w:rPr>
        <w:t xml:space="preserve">After respondents filed a counter application, the matter proceeded to case management - the court </w:t>
      </w:r>
      <w:r>
        <w:rPr>
          <w:rFonts w:ascii="Arial" w:hAnsi="Arial" w:cs="Arial"/>
          <w:i/>
          <w:sz w:val="24"/>
          <w:szCs w:val="24"/>
        </w:rPr>
        <w:t>a quo</w:t>
      </w:r>
      <w:r>
        <w:rPr>
          <w:rFonts w:ascii="Arial" w:hAnsi="Arial" w:cs="Arial"/>
          <w:sz w:val="24"/>
          <w:szCs w:val="24"/>
        </w:rPr>
        <w:t xml:space="preserve"> made an order directing a number of prehearing steps to be conducted by specific dates. The Minister and Mining Commissioner were directed to file the record of decision making by 2 March 2018 and deliver their answering affidavits by 6 April 2018 – they did not file an answering affidavit within the prescribed time – rather, they filed an affidavit explaining the decision making process and how errors were made in the capturing of coordinates in the system (the explanatory affidavit). This affidavit was filed </w:t>
      </w:r>
      <w:r w:rsidR="00B024F3">
        <w:rPr>
          <w:rFonts w:ascii="Arial" w:hAnsi="Arial" w:cs="Arial"/>
          <w:sz w:val="24"/>
          <w:szCs w:val="24"/>
        </w:rPr>
        <w:t>two and a half weeks</w:t>
      </w:r>
      <w:r>
        <w:rPr>
          <w:rFonts w:ascii="Arial" w:hAnsi="Arial" w:cs="Arial"/>
          <w:sz w:val="24"/>
          <w:szCs w:val="24"/>
        </w:rPr>
        <w:t xml:space="preserve"> before the hearing</w:t>
      </w:r>
      <w:r w:rsidR="00B024F3">
        <w:rPr>
          <w:rFonts w:ascii="Arial" w:hAnsi="Arial" w:cs="Arial"/>
          <w:sz w:val="24"/>
          <w:szCs w:val="24"/>
        </w:rPr>
        <w:t xml:space="preserve"> and after all affidavits were </w:t>
      </w:r>
      <w:r w:rsidR="00021EC5">
        <w:rPr>
          <w:rFonts w:ascii="Arial" w:hAnsi="Arial" w:cs="Arial"/>
          <w:sz w:val="24"/>
          <w:szCs w:val="24"/>
        </w:rPr>
        <w:t>ex</w:t>
      </w:r>
      <w:r w:rsidR="00B024F3">
        <w:rPr>
          <w:rFonts w:ascii="Arial" w:hAnsi="Arial" w:cs="Arial"/>
          <w:sz w:val="24"/>
          <w:szCs w:val="24"/>
        </w:rPr>
        <w:t>changed</w:t>
      </w:r>
      <w:r>
        <w:rPr>
          <w:rFonts w:ascii="Arial" w:hAnsi="Arial" w:cs="Arial"/>
          <w:sz w:val="24"/>
          <w:szCs w:val="24"/>
        </w:rPr>
        <w:t xml:space="preserve">. Exercising its discretion, the court </w:t>
      </w:r>
      <w:r>
        <w:rPr>
          <w:rFonts w:ascii="Arial" w:hAnsi="Arial" w:cs="Arial"/>
          <w:i/>
          <w:sz w:val="24"/>
          <w:szCs w:val="24"/>
        </w:rPr>
        <w:t>a quo</w:t>
      </w:r>
      <w:r>
        <w:rPr>
          <w:rFonts w:ascii="Arial" w:hAnsi="Arial" w:cs="Arial"/>
          <w:sz w:val="24"/>
          <w:szCs w:val="24"/>
        </w:rPr>
        <w:t xml:space="preserve"> received the explanatory affidavit of the Mining Commissioner and declined appellant’s application to have the explanatory affidavit struck from the record </w:t>
      </w:r>
      <w:r w:rsidR="00B024F3">
        <w:rPr>
          <w:rFonts w:ascii="Arial" w:hAnsi="Arial" w:cs="Arial"/>
          <w:sz w:val="24"/>
          <w:szCs w:val="24"/>
        </w:rPr>
        <w:t>on grounds of being</w:t>
      </w:r>
      <w:r>
        <w:rPr>
          <w:rFonts w:ascii="Arial" w:hAnsi="Arial" w:cs="Arial"/>
          <w:sz w:val="24"/>
          <w:szCs w:val="24"/>
        </w:rPr>
        <w:t xml:space="preserve"> in conflict with the court order and the provisions of rule 54 of the High Court Rules.</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by exercising its discretion, the court </w:t>
      </w:r>
      <w:r>
        <w:rPr>
          <w:rFonts w:ascii="Arial" w:hAnsi="Arial" w:cs="Arial"/>
          <w:i/>
          <w:sz w:val="24"/>
          <w:szCs w:val="24"/>
        </w:rPr>
        <w:t>a quo</w:t>
      </w:r>
      <w:r>
        <w:rPr>
          <w:rFonts w:ascii="Arial" w:hAnsi="Arial" w:cs="Arial"/>
          <w:sz w:val="24"/>
          <w:szCs w:val="24"/>
        </w:rPr>
        <w:t xml:space="preserve"> correctly found that the explanatory affidavit was of importance in clarifying the issues before it.</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the court retains a discretion to exercise its inherent powers to regulate proceedings before it, especially with reference to receiving evidence provided that it does not give rise to unfair and unjust results.</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the power of a court on appeal to interfere with the exercise of a discretion in an instance where a court exercises its discretion to exercise its powers to regulate its own procedures is strictly circumscribed.</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this is an exercise of a discretion in a ‘strict or narrow sense’ where a court of appeal will only interfere if the court below ‘exercised its discretion capriciously or upon a wrong principle or has not brought its unbiased judgment to bear on the question, or has not acted for substantial reasons or materially misdirected itself.’</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public interest is served by the receipt of the affidavit so that the real issues can be determined with reference to the full factual position. Had the appellant sought leave to deal with the </w:t>
      </w:r>
      <w:r w:rsidR="00021EC5">
        <w:rPr>
          <w:rFonts w:ascii="Arial" w:hAnsi="Arial" w:cs="Arial"/>
          <w:sz w:val="24"/>
          <w:szCs w:val="24"/>
        </w:rPr>
        <w:t xml:space="preserve">explanatory </w:t>
      </w:r>
      <w:r>
        <w:rPr>
          <w:rFonts w:ascii="Arial" w:hAnsi="Arial" w:cs="Arial"/>
          <w:sz w:val="24"/>
          <w:szCs w:val="24"/>
        </w:rPr>
        <w:t xml:space="preserve">affidavit after its receipt by the </w:t>
      </w:r>
      <w:r>
        <w:rPr>
          <w:rFonts w:ascii="Arial" w:hAnsi="Arial" w:cs="Arial"/>
          <w:sz w:val="24"/>
          <w:szCs w:val="24"/>
        </w:rPr>
        <w:lastRenderedPageBreak/>
        <w:t>court below, and that had been refused, the position would be entirely different. But the failure of any attempt to seek to address the affidavit particularly after its receipt renders the claim of prejudice on appeal as contrived and lacking in any real substance.</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sidRPr="00782D6B">
        <w:rPr>
          <w:rFonts w:ascii="Arial" w:hAnsi="Arial" w:cs="Arial"/>
          <w:sz w:val="24"/>
          <w:szCs w:val="24"/>
        </w:rPr>
        <w:t>Section 125: Interpretation</w:t>
      </w:r>
      <w:r w:rsidR="00782D6B">
        <w:rPr>
          <w:rFonts w:ascii="Arial" w:hAnsi="Arial" w:cs="Arial"/>
          <w:sz w:val="24"/>
          <w:szCs w:val="24"/>
        </w:rPr>
        <w:t xml:space="preserve"> - </w:t>
      </w:r>
      <w:r>
        <w:rPr>
          <w:rFonts w:ascii="Arial" w:hAnsi="Arial" w:cs="Arial"/>
          <w:sz w:val="24"/>
          <w:szCs w:val="24"/>
        </w:rPr>
        <w:t xml:space="preserve">The issue </w:t>
      </w:r>
      <w:r w:rsidR="00B024F3">
        <w:rPr>
          <w:rFonts w:ascii="Arial" w:hAnsi="Arial" w:cs="Arial"/>
          <w:sz w:val="24"/>
          <w:szCs w:val="24"/>
        </w:rPr>
        <w:t>concerning</w:t>
      </w:r>
      <w:r>
        <w:rPr>
          <w:rFonts w:ascii="Arial" w:hAnsi="Arial" w:cs="Arial"/>
          <w:sz w:val="24"/>
          <w:szCs w:val="24"/>
        </w:rPr>
        <w:t xml:space="preserve"> s 125 is whether it precluded the granting of the appellant’s claims given the fact that the third respondent applied for mining claims before the appellant had done so. Section 125 requires the consideration of applications in their sequence.</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the ordinary meaning of the terms employed by the legislature</w:t>
      </w:r>
      <w:r w:rsidR="00B024F3">
        <w:rPr>
          <w:rFonts w:ascii="Arial" w:hAnsi="Arial" w:cs="Arial"/>
          <w:sz w:val="24"/>
          <w:szCs w:val="24"/>
        </w:rPr>
        <w:t xml:space="preserve"> in</w:t>
      </w:r>
      <w:r>
        <w:rPr>
          <w:rFonts w:ascii="Arial" w:hAnsi="Arial" w:cs="Arial"/>
          <w:sz w:val="24"/>
          <w:szCs w:val="24"/>
        </w:rPr>
        <w:t xml:space="preserve"> the statutory scheme of s 125 </w:t>
      </w:r>
      <w:r w:rsidR="00B024F3">
        <w:rPr>
          <w:rFonts w:ascii="Arial" w:hAnsi="Arial" w:cs="Arial"/>
          <w:sz w:val="24"/>
          <w:szCs w:val="24"/>
        </w:rPr>
        <w:t xml:space="preserve">meant that ‘shall’ is to </w:t>
      </w:r>
      <w:r>
        <w:rPr>
          <w:rFonts w:ascii="Arial" w:hAnsi="Arial" w:cs="Arial"/>
          <w:sz w:val="24"/>
          <w:szCs w:val="24"/>
        </w:rPr>
        <w:t>have a mandatory meaning.</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the intention of s 125 is to place a clear statutory obligation upon the respective repositories of the powers to consider applications in the sequence they are made and received. The use of the term ‘all’ with reference to those applications in s 125 reinforces this approach.</w:t>
      </w:r>
    </w:p>
    <w:p w:rsidR="00B024F3" w:rsidRDefault="00B024F3" w:rsidP="00B024F3">
      <w:pPr>
        <w:tabs>
          <w:tab w:val="left" w:pos="994"/>
        </w:tabs>
        <w:spacing w:after="0" w:line="360" w:lineRule="auto"/>
        <w:jc w:val="both"/>
        <w:rPr>
          <w:rFonts w:ascii="Arial" w:hAnsi="Arial" w:cs="Arial"/>
          <w:i/>
          <w:sz w:val="24"/>
          <w:szCs w:val="24"/>
        </w:rPr>
      </w:pPr>
    </w:p>
    <w:p w:rsidR="00B024F3" w:rsidRDefault="00B024F3" w:rsidP="00B024F3">
      <w:pPr>
        <w:tabs>
          <w:tab w:val="left" w:pos="994"/>
        </w:tabs>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not only does the use of the term ‘shall’ ordinarily signify an intention to make the obligation embodied in s 125 mandatory, but the context and purpose of the provision reinforces this.</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the purpose of this provision within the context of the Act is to provide for transparency and certainty in the manner in which and the wide and far reaching powers vested in the Minister and Mining Commissioner are to be exercised in allocating rights to Namibia’s natural resources.</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the use of the term ‘shall’ in s 125 takes its ordinary peremptory meaning, given the statutory context and legislative intention for the provision. It further follows that conduct in conflict with it (by</w:t>
      </w:r>
      <w:r w:rsidR="00B024F3">
        <w:rPr>
          <w:rFonts w:ascii="Arial" w:hAnsi="Arial" w:cs="Arial"/>
          <w:sz w:val="24"/>
          <w:szCs w:val="24"/>
        </w:rPr>
        <w:t xml:space="preserve"> not following the </w:t>
      </w:r>
      <w:r>
        <w:rPr>
          <w:rFonts w:ascii="Arial" w:hAnsi="Arial" w:cs="Arial"/>
          <w:sz w:val="24"/>
          <w:szCs w:val="24"/>
        </w:rPr>
        <w:t>sequence in considering applications) will result in invalidity. The conclusion reached by the High Court in this regard is beyond reproach.</w:t>
      </w:r>
    </w:p>
    <w:p w:rsidR="00181928" w:rsidRDefault="00181928" w:rsidP="00181928">
      <w:pPr>
        <w:tabs>
          <w:tab w:val="left" w:pos="994"/>
        </w:tabs>
        <w:spacing w:after="0" w:line="360" w:lineRule="auto"/>
        <w:jc w:val="both"/>
        <w:rPr>
          <w:rFonts w:ascii="Arial" w:hAnsi="Arial" w:cs="Arial"/>
          <w:sz w:val="24"/>
          <w:szCs w:val="24"/>
        </w:rPr>
      </w:pPr>
    </w:p>
    <w:p w:rsidR="00181928" w:rsidRDefault="00181928" w:rsidP="00181928">
      <w:pPr>
        <w:tabs>
          <w:tab w:val="left" w:pos="994"/>
        </w:tabs>
        <w:spacing w:after="0" w:line="360" w:lineRule="auto"/>
        <w:jc w:val="both"/>
        <w:rPr>
          <w:rFonts w:ascii="Arial" w:hAnsi="Arial" w:cs="Arial"/>
          <w:sz w:val="24"/>
          <w:szCs w:val="24"/>
        </w:rPr>
      </w:pPr>
      <w:r>
        <w:rPr>
          <w:rFonts w:ascii="Arial" w:hAnsi="Arial" w:cs="Arial"/>
          <w:sz w:val="24"/>
          <w:szCs w:val="24"/>
        </w:rPr>
        <w:t>Appeal is dismissed with costs.</w:t>
      </w:r>
    </w:p>
    <w:p w:rsidR="00EF6EF1" w:rsidRPr="001C25CA" w:rsidRDefault="00BA2888" w:rsidP="00181928">
      <w:pPr>
        <w:spacing w:after="0" w:line="360" w:lineRule="auto"/>
        <w:jc w:val="both"/>
        <w:rPr>
          <w:rFonts w:ascii="Arial" w:hAnsi="Arial" w:cs="Arial"/>
          <w:sz w:val="24"/>
          <w:szCs w:val="24"/>
        </w:rPr>
      </w:pPr>
      <w:r>
        <w:rPr>
          <w:rFonts w:ascii="Arial" w:hAnsi="Arial" w:cs="Arial"/>
          <w:sz w:val="24"/>
          <w:szCs w:val="24"/>
        </w:rPr>
        <w:lastRenderedPageBreak/>
        <w:t xml:space="preserve"> </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7F76A6">
        <w:rPr>
          <w:rFonts w:ascii="Arial" w:hAnsi="Arial" w:cs="Arial"/>
          <w:sz w:val="24"/>
          <w:szCs w:val="24"/>
        </w:rPr>
        <w:t>DAMASEB DCJ</w:t>
      </w:r>
      <w:r w:rsidR="00CD0281" w:rsidRPr="001C25CA">
        <w:rPr>
          <w:rFonts w:ascii="Arial" w:hAnsi="Arial" w:cs="Arial"/>
          <w:sz w:val="24"/>
          <w:szCs w:val="24"/>
        </w:rPr>
        <w:t xml:space="preserve"> and </w:t>
      </w:r>
      <w:r w:rsidR="007F76A6">
        <w:rPr>
          <w:rFonts w:ascii="Arial" w:hAnsi="Arial" w:cs="Arial"/>
          <w:sz w:val="24"/>
          <w:szCs w:val="24"/>
        </w:rPr>
        <w:t>FRANK</w:t>
      </w:r>
      <w:r w:rsidR="00CD0281">
        <w:rPr>
          <w:rFonts w:ascii="Arial" w:hAnsi="Arial" w:cs="Arial"/>
          <w:sz w:val="24"/>
          <w:szCs w:val="24"/>
        </w:rPr>
        <w:t xml:space="preserve"> </w:t>
      </w:r>
      <w:r w:rsidR="007F76A6">
        <w:rPr>
          <w:rFonts w:ascii="Arial" w:hAnsi="Arial" w:cs="Arial"/>
          <w:sz w:val="24"/>
          <w:szCs w:val="24"/>
        </w:rPr>
        <w:t>A</w:t>
      </w:r>
      <w:r w:rsidR="00CD0281" w:rsidRPr="001C25CA">
        <w:rPr>
          <w:rFonts w:ascii="Arial" w:hAnsi="Arial" w:cs="Arial"/>
          <w:sz w:val="24"/>
          <w:szCs w:val="24"/>
        </w:rPr>
        <w:t>JA concurring</w:t>
      </w:r>
      <w:r w:rsidR="008C3367" w:rsidRPr="001C25CA">
        <w:rPr>
          <w:rFonts w:ascii="Arial" w:hAnsi="Arial" w:cs="Arial"/>
          <w:sz w:val="24"/>
          <w:szCs w:val="24"/>
        </w:rPr>
        <w:t>):</w:t>
      </w:r>
    </w:p>
    <w:p w:rsidR="008948B8" w:rsidRDefault="007F76A6"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appeal concerns a dispute about mining claims and primarily centres on the interpretation to be given to s 125 of the Minerals (Prospecting and Mining) Act 33 of 1992 (the Act).</w:t>
      </w:r>
    </w:p>
    <w:p w:rsidR="007F76A6" w:rsidRDefault="007F76A6" w:rsidP="007F76A6">
      <w:pPr>
        <w:pStyle w:val="NoSpacing"/>
        <w:spacing w:line="480" w:lineRule="auto"/>
        <w:jc w:val="both"/>
        <w:rPr>
          <w:rFonts w:ascii="Arial" w:hAnsi="Arial" w:cs="Arial"/>
          <w:sz w:val="24"/>
          <w:szCs w:val="24"/>
        </w:rPr>
      </w:pPr>
    </w:p>
    <w:p w:rsidR="007F76A6" w:rsidRPr="007F76A6" w:rsidRDefault="007F76A6" w:rsidP="007F76A6">
      <w:pPr>
        <w:pStyle w:val="NoSpacing"/>
        <w:spacing w:line="480" w:lineRule="auto"/>
        <w:jc w:val="both"/>
        <w:rPr>
          <w:rFonts w:ascii="Arial" w:hAnsi="Arial" w:cs="Arial"/>
          <w:sz w:val="24"/>
          <w:szCs w:val="24"/>
          <w:u w:val="single"/>
        </w:rPr>
      </w:pPr>
      <w:r>
        <w:rPr>
          <w:rFonts w:ascii="Arial" w:hAnsi="Arial" w:cs="Arial"/>
          <w:sz w:val="24"/>
          <w:szCs w:val="24"/>
          <w:u w:val="single"/>
        </w:rPr>
        <w:t>Factual background</w:t>
      </w:r>
    </w:p>
    <w:p w:rsidR="007F76A6" w:rsidRDefault="007F76A6"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dispute arose in the following way. On 10 February 2016, the Minister of Mines and Energy (the Minister) alerted the third respondent that its mining claims (numbers 66988 and 66993) had expired. </w:t>
      </w:r>
      <w:r w:rsidR="004921A4">
        <w:rPr>
          <w:rFonts w:ascii="Arial" w:hAnsi="Arial" w:cs="Arial"/>
          <w:sz w:val="24"/>
          <w:szCs w:val="24"/>
        </w:rPr>
        <w:t>(</w:t>
      </w:r>
      <w:r w:rsidR="00C21162">
        <w:rPr>
          <w:rFonts w:ascii="Arial" w:hAnsi="Arial" w:cs="Arial"/>
          <w:sz w:val="24"/>
          <w:szCs w:val="24"/>
        </w:rPr>
        <w:t>The third respondent’s mining activities in respect of those claims were at the time being conducted by the fourth respondent</w:t>
      </w:r>
      <w:r w:rsidR="004921A4">
        <w:rPr>
          <w:rFonts w:ascii="Arial" w:hAnsi="Arial" w:cs="Arial"/>
          <w:sz w:val="24"/>
          <w:szCs w:val="24"/>
        </w:rPr>
        <w:t>)</w:t>
      </w:r>
      <w:r w:rsidR="00C21162">
        <w:rPr>
          <w:rFonts w:ascii="Arial" w:hAnsi="Arial" w:cs="Arial"/>
          <w:sz w:val="24"/>
          <w:szCs w:val="24"/>
        </w:rPr>
        <w:t xml:space="preserve">. </w:t>
      </w:r>
      <w:r>
        <w:rPr>
          <w:rFonts w:ascii="Arial" w:hAnsi="Arial" w:cs="Arial"/>
          <w:sz w:val="24"/>
          <w:szCs w:val="24"/>
        </w:rPr>
        <w:t>This was soon followed by the Ministry</w:t>
      </w:r>
      <w:r w:rsidR="00782D6B">
        <w:rPr>
          <w:rFonts w:ascii="Arial" w:hAnsi="Arial" w:cs="Arial"/>
          <w:sz w:val="24"/>
          <w:szCs w:val="24"/>
        </w:rPr>
        <w:t xml:space="preserve"> of Mines and Energy (</w:t>
      </w:r>
      <w:r w:rsidR="00EC7641">
        <w:rPr>
          <w:rFonts w:ascii="Arial" w:hAnsi="Arial" w:cs="Arial"/>
          <w:sz w:val="24"/>
          <w:szCs w:val="24"/>
        </w:rPr>
        <w:t xml:space="preserve">the </w:t>
      </w:r>
      <w:r w:rsidR="00782D6B">
        <w:rPr>
          <w:rFonts w:ascii="Arial" w:hAnsi="Arial" w:cs="Arial"/>
          <w:sz w:val="24"/>
          <w:szCs w:val="24"/>
        </w:rPr>
        <w:t>Mini</w:t>
      </w:r>
      <w:r w:rsidR="00EC7641">
        <w:rPr>
          <w:rFonts w:ascii="Arial" w:hAnsi="Arial" w:cs="Arial"/>
          <w:sz w:val="24"/>
          <w:szCs w:val="24"/>
        </w:rPr>
        <w:t>stry</w:t>
      </w:r>
      <w:r w:rsidR="00782D6B">
        <w:rPr>
          <w:rFonts w:ascii="Arial" w:hAnsi="Arial" w:cs="Arial"/>
          <w:sz w:val="24"/>
          <w:szCs w:val="24"/>
        </w:rPr>
        <w:t>)</w:t>
      </w:r>
      <w:r>
        <w:rPr>
          <w:rFonts w:ascii="Arial" w:hAnsi="Arial" w:cs="Arial"/>
          <w:sz w:val="24"/>
          <w:szCs w:val="24"/>
        </w:rPr>
        <w:t xml:space="preserve"> issuing </w:t>
      </w:r>
      <w:r w:rsidR="0013380E">
        <w:rPr>
          <w:rFonts w:ascii="Arial" w:hAnsi="Arial" w:cs="Arial"/>
          <w:sz w:val="24"/>
          <w:szCs w:val="24"/>
        </w:rPr>
        <w:t xml:space="preserve">an </w:t>
      </w:r>
      <w:r>
        <w:rPr>
          <w:rFonts w:ascii="Arial" w:hAnsi="Arial" w:cs="Arial"/>
          <w:sz w:val="24"/>
          <w:szCs w:val="24"/>
        </w:rPr>
        <w:t xml:space="preserve">exclusive prospecting licence (EPL) 6738 to the third respondent </w:t>
      </w:r>
      <w:r w:rsidR="004921A4">
        <w:rPr>
          <w:rFonts w:ascii="Arial" w:hAnsi="Arial" w:cs="Arial"/>
          <w:sz w:val="24"/>
          <w:szCs w:val="24"/>
        </w:rPr>
        <w:t>which</w:t>
      </w:r>
      <w:r>
        <w:rPr>
          <w:rFonts w:ascii="Arial" w:hAnsi="Arial" w:cs="Arial"/>
          <w:sz w:val="24"/>
          <w:szCs w:val="24"/>
        </w:rPr>
        <w:t xml:space="preserve"> </w:t>
      </w:r>
      <w:r w:rsidR="00C21162">
        <w:rPr>
          <w:rFonts w:ascii="Arial" w:hAnsi="Arial" w:cs="Arial"/>
          <w:sz w:val="24"/>
          <w:szCs w:val="24"/>
        </w:rPr>
        <w:t xml:space="preserve">on 24 February 2016 </w:t>
      </w:r>
      <w:r>
        <w:rPr>
          <w:rFonts w:ascii="Arial" w:hAnsi="Arial" w:cs="Arial"/>
          <w:sz w:val="24"/>
          <w:szCs w:val="24"/>
        </w:rPr>
        <w:t>applied for the registration</w:t>
      </w:r>
      <w:r w:rsidR="004921A4">
        <w:rPr>
          <w:rFonts w:ascii="Arial" w:hAnsi="Arial" w:cs="Arial"/>
          <w:sz w:val="24"/>
          <w:szCs w:val="24"/>
        </w:rPr>
        <w:t xml:space="preserve"> of the</w:t>
      </w:r>
      <w:r>
        <w:rPr>
          <w:rFonts w:ascii="Arial" w:hAnsi="Arial" w:cs="Arial"/>
          <w:sz w:val="24"/>
          <w:szCs w:val="24"/>
        </w:rPr>
        <w:t xml:space="preserve"> mining claims it had held before.</w:t>
      </w:r>
    </w:p>
    <w:p w:rsidR="007F76A6" w:rsidRDefault="007F76A6" w:rsidP="007F76A6">
      <w:pPr>
        <w:pStyle w:val="ListParagraph"/>
        <w:rPr>
          <w:rFonts w:ascii="Arial" w:hAnsi="Arial" w:cs="Arial"/>
          <w:sz w:val="24"/>
          <w:szCs w:val="24"/>
        </w:rPr>
      </w:pPr>
    </w:p>
    <w:p w:rsidR="007F76A6" w:rsidRDefault="007F76A6"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During March 2016, the appellant</w:t>
      </w:r>
      <w:r w:rsidR="00C21162">
        <w:rPr>
          <w:rFonts w:ascii="Arial" w:hAnsi="Arial" w:cs="Arial"/>
          <w:sz w:val="24"/>
          <w:szCs w:val="24"/>
        </w:rPr>
        <w:t xml:space="preserve"> was</w:t>
      </w:r>
      <w:r>
        <w:rPr>
          <w:rFonts w:ascii="Arial" w:hAnsi="Arial" w:cs="Arial"/>
          <w:sz w:val="24"/>
          <w:szCs w:val="24"/>
        </w:rPr>
        <w:t xml:space="preserve"> in the same area </w:t>
      </w:r>
      <w:r w:rsidR="00C21162">
        <w:rPr>
          <w:rFonts w:ascii="Arial" w:hAnsi="Arial" w:cs="Arial"/>
          <w:sz w:val="24"/>
          <w:szCs w:val="24"/>
        </w:rPr>
        <w:t>(</w:t>
      </w:r>
      <w:r>
        <w:rPr>
          <w:rFonts w:ascii="Arial" w:hAnsi="Arial" w:cs="Arial"/>
          <w:sz w:val="24"/>
          <w:szCs w:val="24"/>
        </w:rPr>
        <w:t xml:space="preserve">in the vicinity of </w:t>
      </w:r>
      <w:r w:rsidR="00626913">
        <w:rPr>
          <w:rFonts w:ascii="Arial" w:hAnsi="Arial" w:cs="Arial"/>
          <w:sz w:val="24"/>
          <w:szCs w:val="24"/>
        </w:rPr>
        <w:t>the</w:t>
      </w:r>
      <w:r>
        <w:rPr>
          <w:rFonts w:ascii="Arial" w:hAnsi="Arial" w:cs="Arial"/>
          <w:sz w:val="24"/>
          <w:szCs w:val="24"/>
        </w:rPr>
        <w:t xml:space="preserve"> village </w:t>
      </w:r>
      <w:r w:rsidR="0087241B">
        <w:rPr>
          <w:rFonts w:ascii="Arial" w:hAnsi="Arial" w:cs="Arial"/>
          <w:sz w:val="24"/>
          <w:szCs w:val="24"/>
        </w:rPr>
        <w:t>Otuani in a remote part of the Kunene Region</w:t>
      </w:r>
      <w:r w:rsidR="00C21162">
        <w:rPr>
          <w:rFonts w:ascii="Arial" w:hAnsi="Arial" w:cs="Arial"/>
          <w:sz w:val="24"/>
          <w:szCs w:val="24"/>
        </w:rPr>
        <w:t>)</w:t>
      </w:r>
      <w:r w:rsidR="0087241B">
        <w:rPr>
          <w:rFonts w:ascii="Arial" w:hAnsi="Arial" w:cs="Arial"/>
          <w:sz w:val="24"/>
          <w:szCs w:val="24"/>
        </w:rPr>
        <w:t xml:space="preserve"> in search of mining opportunities. He identified an area and supplied the coordinates to the Ministry and was informed that the area was subject to an EPL but that </w:t>
      </w:r>
      <w:r w:rsidR="0013380E">
        <w:rPr>
          <w:rFonts w:ascii="Arial" w:hAnsi="Arial" w:cs="Arial"/>
          <w:sz w:val="24"/>
          <w:szCs w:val="24"/>
        </w:rPr>
        <w:t xml:space="preserve">the </w:t>
      </w:r>
      <w:r w:rsidR="0087241B">
        <w:rPr>
          <w:rFonts w:ascii="Arial" w:hAnsi="Arial" w:cs="Arial"/>
          <w:sz w:val="24"/>
          <w:szCs w:val="24"/>
        </w:rPr>
        <w:t xml:space="preserve">mining claims of the fourth respondent </w:t>
      </w:r>
      <w:r w:rsidR="00C21162">
        <w:rPr>
          <w:rFonts w:ascii="Arial" w:hAnsi="Arial" w:cs="Arial"/>
          <w:sz w:val="24"/>
          <w:szCs w:val="24"/>
        </w:rPr>
        <w:t>over the</w:t>
      </w:r>
      <w:r w:rsidR="0087241B">
        <w:rPr>
          <w:rFonts w:ascii="Arial" w:hAnsi="Arial" w:cs="Arial"/>
          <w:sz w:val="24"/>
          <w:szCs w:val="24"/>
        </w:rPr>
        <w:t xml:space="preserve"> area had expired and that there were no current mining claims over the area. On 26 September 2016, the Ministry issued an EPL 6334 </w:t>
      </w:r>
      <w:r w:rsidR="00C21162">
        <w:rPr>
          <w:rFonts w:ascii="Arial" w:hAnsi="Arial" w:cs="Arial"/>
          <w:sz w:val="24"/>
          <w:szCs w:val="24"/>
        </w:rPr>
        <w:t>to the appellant who</w:t>
      </w:r>
      <w:r w:rsidR="0087241B">
        <w:rPr>
          <w:rFonts w:ascii="Arial" w:hAnsi="Arial" w:cs="Arial"/>
          <w:sz w:val="24"/>
          <w:szCs w:val="24"/>
        </w:rPr>
        <w:t xml:space="preserve"> on 25 October 2016 applied for registration of mining claims </w:t>
      </w:r>
      <w:r w:rsidR="0087241B">
        <w:rPr>
          <w:rFonts w:ascii="Arial" w:hAnsi="Arial" w:cs="Arial"/>
          <w:sz w:val="24"/>
          <w:szCs w:val="24"/>
        </w:rPr>
        <w:lastRenderedPageBreak/>
        <w:t xml:space="preserve">70056 and 70057 </w:t>
      </w:r>
      <w:r w:rsidR="00626913">
        <w:rPr>
          <w:rFonts w:ascii="Arial" w:hAnsi="Arial" w:cs="Arial"/>
          <w:sz w:val="24"/>
          <w:szCs w:val="24"/>
        </w:rPr>
        <w:t xml:space="preserve">in that area </w:t>
      </w:r>
      <w:r w:rsidR="0087241B">
        <w:rPr>
          <w:rFonts w:ascii="Arial" w:hAnsi="Arial" w:cs="Arial"/>
          <w:sz w:val="24"/>
          <w:szCs w:val="24"/>
        </w:rPr>
        <w:t>which were granted and registered by the Ministry on 7 February 2017.</w:t>
      </w:r>
    </w:p>
    <w:p w:rsidR="007F76A6" w:rsidRDefault="007F76A6" w:rsidP="007F76A6">
      <w:pPr>
        <w:pStyle w:val="ListParagraph"/>
        <w:rPr>
          <w:rFonts w:ascii="Arial" w:hAnsi="Arial" w:cs="Arial"/>
          <w:sz w:val="24"/>
          <w:szCs w:val="24"/>
        </w:rPr>
      </w:pPr>
    </w:p>
    <w:p w:rsidR="007F76A6" w:rsidRDefault="0087241B"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20 April </w:t>
      </w:r>
      <w:r w:rsidR="00C21162">
        <w:rPr>
          <w:rFonts w:ascii="Arial" w:hAnsi="Arial" w:cs="Arial"/>
          <w:sz w:val="24"/>
          <w:szCs w:val="24"/>
        </w:rPr>
        <w:t>2017</w:t>
      </w:r>
      <w:r w:rsidR="00181928">
        <w:rPr>
          <w:rFonts w:ascii="Arial" w:hAnsi="Arial" w:cs="Arial"/>
          <w:sz w:val="24"/>
          <w:szCs w:val="24"/>
        </w:rPr>
        <w:t>,</w:t>
      </w:r>
      <w:r w:rsidR="00C21162">
        <w:rPr>
          <w:rFonts w:ascii="Arial" w:hAnsi="Arial" w:cs="Arial"/>
          <w:sz w:val="24"/>
          <w:szCs w:val="24"/>
        </w:rPr>
        <w:t xml:space="preserve"> </w:t>
      </w:r>
      <w:r>
        <w:rPr>
          <w:rFonts w:ascii="Arial" w:hAnsi="Arial" w:cs="Arial"/>
          <w:sz w:val="24"/>
          <w:szCs w:val="24"/>
        </w:rPr>
        <w:t xml:space="preserve">the appellant informed the fourth respondent in writing of the registration of these mining claims and noted </w:t>
      </w:r>
      <w:r w:rsidR="00CE2F39">
        <w:rPr>
          <w:rFonts w:ascii="Arial" w:hAnsi="Arial" w:cs="Arial"/>
          <w:sz w:val="24"/>
          <w:szCs w:val="24"/>
        </w:rPr>
        <w:t xml:space="preserve">that the fourth respondent was </w:t>
      </w:r>
      <w:r w:rsidR="00400FC6">
        <w:rPr>
          <w:rFonts w:ascii="Arial" w:hAnsi="Arial" w:cs="Arial"/>
          <w:sz w:val="24"/>
          <w:szCs w:val="24"/>
        </w:rPr>
        <w:t>‘undergoing (its) current mining operations’ at these claims and called upon it to desist with those mining activities and to remove its machinery from the claim area within 14 days.</w:t>
      </w:r>
    </w:p>
    <w:p w:rsidR="007F76A6" w:rsidRDefault="007F76A6" w:rsidP="007F76A6">
      <w:pPr>
        <w:pStyle w:val="ListParagraph"/>
        <w:rPr>
          <w:rFonts w:ascii="Arial" w:hAnsi="Arial" w:cs="Arial"/>
          <w:sz w:val="24"/>
          <w:szCs w:val="24"/>
        </w:rPr>
      </w:pPr>
    </w:p>
    <w:p w:rsidR="007F76A6" w:rsidRDefault="00400FC6"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6 June </w:t>
      </w:r>
      <w:r w:rsidR="00C21162">
        <w:rPr>
          <w:rFonts w:ascii="Arial" w:hAnsi="Arial" w:cs="Arial"/>
          <w:sz w:val="24"/>
          <w:szCs w:val="24"/>
        </w:rPr>
        <w:t>2017</w:t>
      </w:r>
      <w:r w:rsidR="0013380E">
        <w:rPr>
          <w:rFonts w:ascii="Arial" w:hAnsi="Arial" w:cs="Arial"/>
          <w:sz w:val="24"/>
          <w:szCs w:val="24"/>
        </w:rPr>
        <w:t>,</w:t>
      </w:r>
      <w:r w:rsidR="00C21162">
        <w:rPr>
          <w:rFonts w:ascii="Arial" w:hAnsi="Arial" w:cs="Arial"/>
          <w:sz w:val="24"/>
          <w:szCs w:val="24"/>
        </w:rPr>
        <w:t xml:space="preserve"> </w:t>
      </w:r>
      <w:r>
        <w:rPr>
          <w:rFonts w:ascii="Arial" w:hAnsi="Arial" w:cs="Arial"/>
          <w:sz w:val="24"/>
          <w:szCs w:val="24"/>
        </w:rPr>
        <w:t xml:space="preserve">the third respondent </w:t>
      </w:r>
      <w:r w:rsidR="00C21162">
        <w:rPr>
          <w:rFonts w:ascii="Arial" w:hAnsi="Arial" w:cs="Arial"/>
          <w:sz w:val="24"/>
          <w:szCs w:val="24"/>
        </w:rPr>
        <w:t xml:space="preserve">(as erstwhile holder of mining claims over the area) </w:t>
      </w:r>
      <w:r>
        <w:rPr>
          <w:rFonts w:ascii="Arial" w:hAnsi="Arial" w:cs="Arial"/>
          <w:sz w:val="24"/>
          <w:szCs w:val="24"/>
        </w:rPr>
        <w:t>addressed the Mining Commissioner on the issue, referring to its pending application for registration of mining claims</w:t>
      </w:r>
      <w:r w:rsidR="0013380E">
        <w:rPr>
          <w:rFonts w:ascii="Arial" w:hAnsi="Arial" w:cs="Arial"/>
          <w:sz w:val="24"/>
          <w:szCs w:val="24"/>
        </w:rPr>
        <w:t xml:space="preserve"> over the same area as before</w:t>
      </w:r>
      <w:r>
        <w:rPr>
          <w:rFonts w:ascii="Arial" w:hAnsi="Arial" w:cs="Arial"/>
          <w:sz w:val="24"/>
          <w:szCs w:val="24"/>
        </w:rPr>
        <w:t xml:space="preserve">. It pointed out that ‘erroneous’ plotting of </w:t>
      </w:r>
      <w:r w:rsidR="00181928">
        <w:rPr>
          <w:rFonts w:ascii="Arial" w:hAnsi="Arial" w:cs="Arial"/>
          <w:sz w:val="24"/>
          <w:szCs w:val="24"/>
        </w:rPr>
        <w:t xml:space="preserve">coordinates </w:t>
      </w:r>
      <w:r>
        <w:rPr>
          <w:rFonts w:ascii="Arial" w:hAnsi="Arial" w:cs="Arial"/>
          <w:sz w:val="24"/>
          <w:szCs w:val="24"/>
        </w:rPr>
        <w:t xml:space="preserve"> by the Ministry on its system had caused an overlap between the appellant’s registered claims and one of the claim areas applied for</w:t>
      </w:r>
      <w:r w:rsidR="00913D27">
        <w:rPr>
          <w:rFonts w:ascii="Arial" w:hAnsi="Arial" w:cs="Arial"/>
          <w:sz w:val="24"/>
          <w:szCs w:val="24"/>
        </w:rPr>
        <w:t xml:space="preserve"> (and previously held)</w:t>
      </w:r>
      <w:r>
        <w:rPr>
          <w:rFonts w:ascii="Arial" w:hAnsi="Arial" w:cs="Arial"/>
          <w:sz w:val="24"/>
          <w:szCs w:val="24"/>
        </w:rPr>
        <w:t xml:space="preserve"> by the third respondent. The third respondent also pointed out that the appellant had only installed beacons on 17 or 18 May 2017 and sought the Minister’s intervention to resolve the issue amicably.</w:t>
      </w:r>
    </w:p>
    <w:p w:rsidR="007F76A6" w:rsidRDefault="007F76A6" w:rsidP="007F76A6">
      <w:pPr>
        <w:pStyle w:val="ListParagraph"/>
        <w:rPr>
          <w:rFonts w:ascii="Arial" w:hAnsi="Arial" w:cs="Arial"/>
          <w:sz w:val="24"/>
          <w:szCs w:val="24"/>
        </w:rPr>
      </w:pPr>
    </w:p>
    <w:p w:rsidR="007F76A6" w:rsidRDefault="00400FC6"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Mining Commissioner on 9 August 2017 informed the appellant to desist from mining activities pending advice from the Attorney-General. This was </w:t>
      </w:r>
      <w:r w:rsidR="004921A4">
        <w:rPr>
          <w:rFonts w:ascii="Arial" w:hAnsi="Arial" w:cs="Arial"/>
          <w:sz w:val="24"/>
          <w:szCs w:val="24"/>
        </w:rPr>
        <w:t xml:space="preserve">subsequently </w:t>
      </w:r>
      <w:r>
        <w:rPr>
          <w:rFonts w:ascii="Arial" w:hAnsi="Arial" w:cs="Arial"/>
          <w:sz w:val="24"/>
          <w:szCs w:val="24"/>
        </w:rPr>
        <w:t xml:space="preserve">followed </w:t>
      </w:r>
      <w:r w:rsidR="00C21162">
        <w:rPr>
          <w:rFonts w:ascii="Arial" w:hAnsi="Arial" w:cs="Arial"/>
          <w:sz w:val="24"/>
          <w:szCs w:val="24"/>
        </w:rPr>
        <w:t xml:space="preserve">by the Minister giving </w:t>
      </w:r>
      <w:r>
        <w:rPr>
          <w:rFonts w:ascii="Arial" w:hAnsi="Arial" w:cs="Arial"/>
          <w:sz w:val="24"/>
          <w:szCs w:val="24"/>
        </w:rPr>
        <w:t xml:space="preserve">notice </w:t>
      </w:r>
      <w:r w:rsidR="00C21162">
        <w:rPr>
          <w:rFonts w:ascii="Arial" w:hAnsi="Arial" w:cs="Arial"/>
          <w:sz w:val="24"/>
          <w:szCs w:val="24"/>
        </w:rPr>
        <w:t xml:space="preserve">to the appellant </w:t>
      </w:r>
      <w:r>
        <w:rPr>
          <w:rFonts w:ascii="Arial" w:hAnsi="Arial" w:cs="Arial"/>
          <w:sz w:val="24"/>
          <w:szCs w:val="24"/>
        </w:rPr>
        <w:t xml:space="preserve">on 31 August 2017 </w:t>
      </w:r>
      <w:r w:rsidR="009A394A">
        <w:rPr>
          <w:rFonts w:ascii="Arial" w:hAnsi="Arial" w:cs="Arial"/>
          <w:sz w:val="24"/>
          <w:szCs w:val="24"/>
        </w:rPr>
        <w:t>of his intention to cancel the appellant’s mining claims</w:t>
      </w:r>
      <w:r w:rsidR="00626913">
        <w:rPr>
          <w:rFonts w:ascii="Arial" w:hAnsi="Arial" w:cs="Arial"/>
          <w:sz w:val="24"/>
          <w:szCs w:val="24"/>
        </w:rPr>
        <w:t xml:space="preserve"> under s 44 of the Act</w:t>
      </w:r>
      <w:r w:rsidR="009A394A">
        <w:rPr>
          <w:rFonts w:ascii="Arial" w:hAnsi="Arial" w:cs="Arial"/>
          <w:sz w:val="24"/>
          <w:szCs w:val="24"/>
        </w:rPr>
        <w:t xml:space="preserve"> and afford</w:t>
      </w:r>
      <w:r w:rsidR="00C21162">
        <w:rPr>
          <w:rFonts w:ascii="Arial" w:hAnsi="Arial" w:cs="Arial"/>
          <w:sz w:val="24"/>
          <w:szCs w:val="24"/>
        </w:rPr>
        <w:t>ing</w:t>
      </w:r>
      <w:r w:rsidR="009A394A">
        <w:rPr>
          <w:rFonts w:ascii="Arial" w:hAnsi="Arial" w:cs="Arial"/>
          <w:sz w:val="24"/>
          <w:szCs w:val="24"/>
        </w:rPr>
        <w:t xml:space="preserve"> the appellant the opportunity to make representations on the issue. The appellant’s response came from his legal practitioner on 18 September 2017 </w:t>
      </w:r>
      <w:r w:rsidR="0013380E">
        <w:rPr>
          <w:rFonts w:ascii="Arial" w:hAnsi="Arial" w:cs="Arial"/>
          <w:sz w:val="24"/>
          <w:szCs w:val="24"/>
        </w:rPr>
        <w:t>denying</w:t>
      </w:r>
      <w:r w:rsidR="009A394A">
        <w:rPr>
          <w:rFonts w:ascii="Arial" w:hAnsi="Arial" w:cs="Arial"/>
          <w:sz w:val="24"/>
          <w:szCs w:val="24"/>
        </w:rPr>
        <w:t xml:space="preserve"> that there were any grounds to cancel the claims.</w:t>
      </w:r>
    </w:p>
    <w:p w:rsidR="009A394A" w:rsidRDefault="009A394A" w:rsidP="009A394A">
      <w:pPr>
        <w:pStyle w:val="ListParagraph"/>
        <w:rPr>
          <w:rFonts w:ascii="Arial" w:hAnsi="Arial" w:cs="Arial"/>
          <w:sz w:val="24"/>
          <w:szCs w:val="24"/>
        </w:rPr>
      </w:pPr>
    </w:p>
    <w:p w:rsidR="0088335A" w:rsidRDefault="0088335A" w:rsidP="009A394A">
      <w:pPr>
        <w:pStyle w:val="ListParagraph"/>
        <w:rPr>
          <w:rFonts w:ascii="Arial" w:hAnsi="Arial" w:cs="Arial"/>
          <w:sz w:val="24"/>
          <w:szCs w:val="24"/>
        </w:rPr>
      </w:pPr>
    </w:p>
    <w:p w:rsidR="009A394A" w:rsidRDefault="009A394A"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18 October 2017</w:t>
      </w:r>
      <w:r w:rsidR="0013380E">
        <w:rPr>
          <w:rFonts w:ascii="Arial" w:hAnsi="Arial" w:cs="Arial"/>
          <w:sz w:val="24"/>
          <w:szCs w:val="24"/>
        </w:rPr>
        <w:t>,</w:t>
      </w:r>
      <w:r>
        <w:rPr>
          <w:rFonts w:ascii="Arial" w:hAnsi="Arial" w:cs="Arial"/>
          <w:sz w:val="24"/>
          <w:szCs w:val="24"/>
        </w:rPr>
        <w:t xml:space="preserve"> the Ministry approved the registration of the third respondent</w:t>
      </w:r>
      <w:r w:rsidR="000D4BDB">
        <w:rPr>
          <w:rFonts w:ascii="Arial" w:hAnsi="Arial" w:cs="Arial"/>
          <w:sz w:val="24"/>
          <w:szCs w:val="24"/>
        </w:rPr>
        <w:t>’</w:t>
      </w:r>
      <w:r>
        <w:rPr>
          <w:rFonts w:ascii="Arial" w:hAnsi="Arial" w:cs="Arial"/>
          <w:sz w:val="24"/>
          <w:szCs w:val="24"/>
        </w:rPr>
        <w:t xml:space="preserve">s mining claim numbers 69776 to 69781. The appellant’s legal practitioner thereafter on 8 November 2017 demanded that the fourth respondent remove its mining equipment from the appellant’s mining area. On the following day the Minister notified the appellant of the cancellation of </w:t>
      </w:r>
      <w:r w:rsidR="00C21162">
        <w:rPr>
          <w:rFonts w:ascii="Arial" w:hAnsi="Arial" w:cs="Arial"/>
          <w:sz w:val="24"/>
          <w:szCs w:val="24"/>
        </w:rPr>
        <w:t>his</w:t>
      </w:r>
      <w:r>
        <w:rPr>
          <w:rFonts w:ascii="Arial" w:hAnsi="Arial" w:cs="Arial"/>
          <w:sz w:val="24"/>
          <w:szCs w:val="24"/>
        </w:rPr>
        <w:t xml:space="preserve"> claims.</w:t>
      </w:r>
    </w:p>
    <w:p w:rsidR="009A394A" w:rsidRDefault="009A394A" w:rsidP="009A394A">
      <w:pPr>
        <w:pStyle w:val="ListParagraph"/>
        <w:rPr>
          <w:rFonts w:ascii="Arial" w:hAnsi="Arial" w:cs="Arial"/>
          <w:sz w:val="24"/>
          <w:szCs w:val="24"/>
        </w:rPr>
      </w:pPr>
    </w:p>
    <w:p w:rsidR="009A394A" w:rsidRDefault="009A394A"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w:t>
      </w:r>
      <w:r w:rsidR="00782D6B">
        <w:rPr>
          <w:rFonts w:ascii="Arial" w:hAnsi="Arial" w:cs="Arial"/>
          <w:sz w:val="24"/>
          <w:szCs w:val="24"/>
        </w:rPr>
        <w:t>,</w:t>
      </w:r>
      <w:r>
        <w:rPr>
          <w:rFonts w:ascii="Arial" w:hAnsi="Arial" w:cs="Arial"/>
          <w:sz w:val="24"/>
          <w:szCs w:val="24"/>
        </w:rPr>
        <w:t xml:space="preserve"> on 17 November 2017 launched a revie</w:t>
      </w:r>
      <w:r w:rsidR="00782D6B">
        <w:rPr>
          <w:rFonts w:ascii="Arial" w:hAnsi="Arial" w:cs="Arial"/>
          <w:sz w:val="24"/>
          <w:szCs w:val="24"/>
        </w:rPr>
        <w:t>w application in the High Court</w:t>
      </w:r>
      <w:r>
        <w:rPr>
          <w:rFonts w:ascii="Arial" w:hAnsi="Arial" w:cs="Arial"/>
          <w:sz w:val="24"/>
          <w:szCs w:val="24"/>
        </w:rPr>
        <w:t xml:space="preserve"> seeking to review the Minister’s decision to cancel his claims and </w:t>
      </w:r>
      <w:r w:rsidR="0013380E">
        <w:rPr>
          <w:rFonts w:ascii="Arial" w:hAnsi="Arial" w:cs="Arial"/>
          <w:sz w:val="24"/>
          <w:szCs w:val="24"/>
        </w:rPr>
        <w:t xml:space="preserve">applying </w:t>
      </w:r>
      <w:r w:rsidR="001758E1">
        <w:rPr>
          <w:rFonts w:ascii="Arial" w:hAnsi="Arial" w:cs="Arial"/>
          <w:sz w:val="24"/>
          <w:szCs w:val="24"/>
        </w:rPr>
        <w:t xml:space="preserve">for </w:t>
      </w:r>
      <w:r>
        <w:rPr>
          <w:rFonts w:ascii="Arial" w:hAnsi="Arial" w:cs="Arial"/>
          <w:sz w:val="24"/>
          <w:szCs w:val="24"/>
        </w:rPr>
        <w:t>interim relief pending the determination of the review in the main application. The principal ground in support of the review was that the Minister did not have the power to cancel the appellant’s mining claims under s 44 of the Act</w:t>
      </w:r>
      <w:r w:rsidR="00913D27">
        <w:rPr>
          <w:rFonts w:ascii="Arial" w:hAnsi="Arial" w:cs="Arial"/>
          <w:sz w:val="24"/>
          <w:szCs w:val="24"/>
        </w:rPr>
        <w:t xml:space="preserve">. That section </w:t>
      </w:r>
      <w:r>
        <w:rPr>
          <w:rFonts w:ascii="Arial" w:hAnsi="Arial" w:cs="Arial"/>
          <w:sz w:val="24"/>
          <w:szCs w:val="24"/>
        </w:rPr>
        <w:t xml:space="preserve">vests the power to do so in the Mining </w:t>
      </w:r>
      <w:r w:rsidR="000C5C13">
        <w:rPr>
          <w:rFonts w:ascii="Arial" w:hAnsi="Arial" w:cs="Arial"/>
          <w:sz w:val="24"/>
          <w:szCs w:val="24"/>
        </w:rPr>
        <w:t>Commissioner.</w:t>
      </w:r>
      <w:r w:rsidR="00C21162">
        <w:rPr>
          <w:rFonts w:ascii="Arial" w:hAnsi="Arial" w:cs="Arial"/>
          <w:sz w:val="24"/>
          <w:szCs w:val="24"/>
        </w:rPr>
        <w:t xml:space="preserve"> Other review grounds were also raised but are not relevant for present purposes.</w:t>
      </w:r>
    </w:p>
    <w:p w:rsidR="009A394A" w:rsidRDefault="009A394A" w:rsidP="009A394A">
      <w:pPr>
        <w:pStyle w:val="ListParagraph"/>
        <w:rPr>
          <w:rFonts w:ascii="Arial" w:hAnsi="Arial" w:cs="Arial"/>
          <w:sz w:val="24"/>
          <w:szCs w:val="24"/>
        </w:rPr>
      </w:pPr>
    </w:p>
    <w:p w:rsidR="009A394A" w:rsidRDefault="000C5C13"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Minister and Mining Commissioner were both cited</w:t>
      </w:r>
      <w:r w:rsidR="00626913">
        <w:rPr>
          <w:rFonts w:ascii="Arial" w:hAnsi="Arial" w:cs="Arial"/>
          <w:sz w:val="24"/>
          <w:szCs w:val="24"/>
        </w:rPr>
        <w:t xml:space="preserve"> as respondents. A</w:t>
      </w:r>
      <w:r w:rsidR="00C21162">
        <w:rPr>
          <w:rFonts w:ascii="Arial" w:hAnsi="Arial" w:cs="Arial"/>
          <w:sz w:val="24"/>
          <w:szCs w:val="24"/>
        </w:rPr>
        <w:t>lthough filing a notice to oppose</w:t>
      </w:r>
      <w:r w:rsidR="00626913">
        <w:rPr>
          <w:rFonts w:ascii="Arial" w:hAnsi="Arial" w:cs="Arial"/>
          <w:sz w:val="24"/>
          <w:szCs w:val="24"/>
        </w:rPr>
        <w:t xml:space="preserve">, they </w:t>
      </w:r>
      <w:r>
        <w:rPr>
          <w:rFonts w:ascii="Arial" w:hAnsi="Arial" w:cs="Arial"/>
          <w:sz w:val="24"/>
          <w:szCs w:val="24"/>
        </w:rPr>
        <w:t xml:space="preserve">did not </w:t>
      </w:r>
      <w:r w:rsidR="00913D27">
        <w:rPr>
          <w:rFonts w:ascii="Arial" w:hAnsi="Arial" w:cs="Arial"/>
          <w:sz w:val="24"/>
          <w:szCs w:val="24"/>
        </w:rPr>
        <w:t xml:space="preserve">further </w:t>
      </w:r>
      <w:r>
        <w:rPr>
          <w:rFonts w:ascii="Arial" w:hAnsi="Arial" w:cs="Arial"/>
          <w:sz w:val="24"/>
          <w:szCs w:val="24"/>
        </w:rPr>
        <w:t>oppose the application. The third respondent was cited and the fourth respondent</w:t>
      </w:r>
      <w:r w:rsidR="00C21162">
        <w:rPr>
          <w:rFonts w:ascii="Arial" w:hAnsi="Arial" w:cs="Arial"/>
          <w:sz w:val="24"/>
          <w:szCs w:val="24"/>
        </w:rPr>
        <w:t xml:space="preserve"> was</w:t>
      </w:r>
      <w:r>
        <w:rPr>
          <w:rFonts w:ascii="Arial" w:hAnsi="Arial" w:cs="Arial"/>
          <w:sz w:val="24"/>
          <w:szCs w:val="24"/>
        </w:rPr>
        <w:t xml:space="preserve"> later joined to the application. The proceedings were protracted</w:t>
      </w:r>
      <w:r w:rsidR="00C21162">
        <w:rPr>
          <w:rFonts w:ascii="Arial" w:hAnsi="Arial" w:cs="Arial"/>
          <w:sz w:val="24"/>
          <w:szCs w:val="24"/>
        </w:rPr>
        <w:t>,</w:t>
      </w:r>
      <w:r>
        <w:rPr>
          <w:rFonts w:ascii="Arial" w:hAnsi="Arial" w:cs="Arial"/>
          <w:sz w:val="24"/>
          <w:szCs w:val="24"/>
        </w:rPr>
        <w:t xml:space="preserve"> given the application for interim relief</w:t>
      </w:r>
      <w:r w:rsidR="004921A4">
        <w:rPr>
          <w:rFonts w:ascii="Arial" w:hAnsi="Arial" w:cs="Arial"/>
          <w:sz w:val="24"/>
          <w:szCs w:val="24"/>
        </w:rPr>
        <w:t xml:space="preserve"> which was granted</w:t>
      </w:r>
      <w:r>
        <w:rPr>
          <w:rFonts w:ascii="Arial" w:hAnsi="Arial" w:cs="Arial"/>
          <w:sz w:val="24"/>
          <w:szCs w:val="24"/>
        </w:rPr>
        <w:t xml:space="preserve"> and a conditional </w:t>
      </w:r>
      <w:r w:rsidR="003A011B">
        <w:rPr>
          <w:rFonts w:ascii="Arial" w:hAnsi="Arial" w:cs="Arial"/>
          <w:sz w:val="24"/>
          <w:szCs w:val="24"/>
        </w:rPr>
        <w:t xml:space="preserve">counter application </w:t>
      </w:r>
      <w:r>
        <w:rPr>
          <w:rFonts w:ascii="Arial" w:hAnsi="Arial" w:cs="Arial"/>
          <w:sz w:val="24"/>
          <w:szCs w:val="24"/>
        </w:rPr>
        <w:t xml:space="preserve">brought by the third and fourth respondents – </w:t>
      </w:r>
      <w:r w:rsidR="00626913">
        <w:rPr>
          <w:rFonts w:ascii="Arial" w:hAnsi="Arial" w:cs="Arial"/>
          <w:sz w:val="24"/>
          <w:szCs w:val="24"/>
        </w:rPr>
        <w:t>jointly</w:t>
      </w:r>
      <w:r>
        <w:rPr>
          <w:rFonts w:ascii="Arial" w:hAnsi="Arial" w:cs="Arial"/>
          <w:sz w:val="24"/>
          <w:szCs w:val="24"/>
        </w:rPr>
        <w:t xml:space="preserve"> referred to </w:t>
      </w:r>
      <w:r w:rsidR="00913D27">
        <w:rPr>
          <w:rFonts w:ascii="Arial" w:hAnsi="Arial" w:cs="Arial"/>
          <w:sz w:val="24"/>
          <w:szCs w:val="24"/>
        </w:rPr>
        <w:t xml:space="preserve">in this context </w:t>
      </w:r>
      <w:r>
        <w:rPr>
          <w:rFonts w:ascii="Arial" w:hAnsi="Arial" w:cs="Arial"/>
          <w:sz w:val="24"/>
          <w:szCs w:val="24"/>
        </w:rPr>
        <w:t>as the respondents.</w:t>
      </w:r>
    </w:p>
    <w:p w:rsidR="009A394A" w:rsidRDefault="009A394A" w:rsidP="009A394A">
      <w:pPr>
        <w:pStyle w:val="ListParagraph"/>
        <w:rPr>
          <w:rFonts w:ascii="Arial" w:hAnsi="Arial" w:cs="Arial"/>
          <w:sz w:val="24"/>
          <w:szCs w:val="24"/>
        </w:rPr>
      </w:pPr>
    </w:p>
    <w:p w:rsidR="009A394A" w:rsidRDefault="000C5C13"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respondents’ counterclaim was conditional upon the appellant succeeding </w:t>
      </w:r>
      <w:r w:rsidR="0013380E">
        <w:rPr>
          <w:rFonts w:ascii="Arial" w:hAnsi="Arial" w:cs="Arial"/>
          <w:sz w:val="24"/>
          <w:szCs w:val="24"/>
        </w:rPr>
        <w:t>with his</w:t>
      </w:r>
      <w:r>
        <w:rPr>
          <w:rFonts w:ascii="Arial" w:hAnsi="Arial" w:cs="Arial"/>
          <w:sz w:val="24"/>
          <w:szCs w:val="24"/>
        </w:rPr>
        <w:t xml:space="preserve"> review</w:t>
      </w:r>
      <w:r w:rsidR="0013380E">
        <w:rPr>
          <w:rFonts w:ascii="Arial" w:hAnsi="Arial" w:cs="Arial"/>
          <w:sz w:val="24"/>
          <w:szCs w:val="24"/>
        </w:rPr>
        <w:t xml:space="preserve"> of</w:t>
      </w:r>
      <w:r>
        <w:rPr>
          <w:rFonts w:ascii="Arial" w:hAnsi="Arial" w:cs="Arial"/>
          <w:sz w:val="24"/>
          <w:szCs w:val="24"/>
        </w:rPr>
        <w:t xml:space="preserve"> the cancellation of </w:t>
      </w:r>
      <w:r w:rsidR="00913D27">
        <w:rPr>
          <w:rFonts w:ascii="Arial" w:hAnsi="Arial" w:cs="Arial"/>
          <w:sz w:val="24"/>
          <w:szCs w:val="24"/>
        </w:rPr>
        <w:t>his</w:t>
      </w:r>
      <w:r>
        <w:rPr>
          <w:rFonts w:ascii="Arial" w:hAnsi="Arial" w:cs="Arial"/>
          <w:sz w:val="24"/>
          <w:szCs w:val="24"/>
        </w:rPr>
        <w:t xml:space="preserve"> mining claims</w:t>
      </w:r>
      <w:r w:rsidR="004921A4">
        <w:rPr>
          <w:rFonts w:ascii="Arial" w:hAnsi="Arial" w:cs="Arial"/>
          <w:sz w:val="24"/>
          <w:szCs w:val="24"/>
        </w:rPr>
        <w:t xml:space="preserve"> (by the Minister)</w:t>
      </w:r>
      <w:r w:rsidR="0013380E">
        <w:rPr>
          <w:rFonts w:ascii="Arial" w:hAnsi="Arial" w:cs="Arial"/>
          <w:sz w:val="24"/>
          <w:szCs w:val="24"/>
        </w:rPr>
        <w:t xml:space="preserve"> and, in that event, </w:t>
      </w:r>
      <w:r>
        <w:rPr>
          <w:rFonts w:ascii="Arial" w:hAnsi="Arial" w:cs="Arial"/>
          <w:sz w:val="24"/>
          <w:szCs w:val="24"/>
        </w:rPr>
        <w:t>sought to set those</w:t>
      </w:r>
      <w:r w:rsidR="004921A4">
        <w:rPr>
          <w:rFonts w:ascii="Arial" w:hAnsi="Arial" w:cs="Arial"/>
          <w:sz w:val="24"/>
          <w:szCs w:val="24"/>
        </w:rPr>
        <w:t xml:space="preserve"> (the appellant’s)</w:t>
      </w:r>
      <w:r>
        <w:rPr>
          <w:rFonts w:ascii="Arial" w:hAnsi="Arial" w:cs="Arial"/>
          <w:sz w:val="24"/>
          <w:szCs w:val="24"/>
        </w:rPr>
        <w:t xml:space="preserve"> claims aside (70056 and 70057)</w:t>
      </w:r>
      <w:r w:rsidR="00913D27">
        <w:rPr>
          <w:rFonts w:ascii="Arial" w:hAnsi="Arial" w:cs="Arial"/>
          <w:sz w:val="24"/>
          <w:szCs w:val="24"/>
        </w:rPr>
        <w:t xml:space="preserve"> because the third respondent’s application for mining claims predated the </w:t>
      </w:r>
      <w:r w:rsidR="00913D27">
        <w:rPr>
          <w:rFonts w:ascii="Arial" w:hAnsi="Arial" w:cs="Arial"/>
          <w:sz w:val="24"/>
          <w:szCs w:val="24"/>
        </w:rPr>
        <w:lastRenderedPageBreak/>
        <w:t>appellant’s</w:t>
      </w:r>
      <w:r>
        <w:rPr>
          <w:rFonts w:ascii="Arial" w:hAnsi="Arial" w:cs="Arial"/>
          <w:sz w:val="24"/>
          <w:szCs w:val="24"/>
        </w:rPr>
        <w:t xml:space="preserve">. The purpose was thus to restore the position prior to the </w:t>
      </w:r>
      <w:r w:rsidR="00C21162">
        <w:rPr>
          <w:rFonts w:ascii="Arial" w:hAnsi="Arial" w:cs="Arial"/>
          <w:sz w:val="24"/>
          <w:szCs w:val="24"/>
        </w:rPr>
        <w:t>granting</w:t>
      </w:r>
      <w:r>
        <w:rPr>
          <w:rFonts w:ascii="Arial" w:hAnsi="Arial" w:cs="Arial"/>
          <w:sz w:val="24"/>
          <w:szCs w:val="24"/>
        </w:rPr>
        <w:t xml:space="preserve"> of the claims to the appellant.</w:t>
      </w:r>
    </w:p>
    <w:p w:rsidR="009A394A" w:rsidRDefault="009A394A" w:rsidP="009A394A">
      <w:pPr>
        <w:pStyle w:val="ListParagraph"/>
        <w:rPr>
          <w:rFonts w:ascii="Arial" w:hAnsi="Arial" w:cs="Arial"/>
          <w:sz w:val="24"/>
          <w:szCs w:val="24"/>
        </w:rPr>
      </w:pPr>
    </w:p>
    <w:p w:rsidR="009A394A" w:rsidRDefault="000C5C13"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3A011B">
        <w:rPr>
          <w:rFonts w:ascii="Arial" w:hAnsi="Arial" w:cs="Arial"/>
          <w:sz w:val="24"/>
          <w:szCs w:val="24"/>
        </w:rPr>
        <w:t xml:space="preserve">counter application </w:t>
      </w:r>
      <w:r>
        <w:rPr>
          <w:rFonts w:ascii="Arial" w:hAnsi="Arial" w:cs="Arial"/>
          <w:sz w:val="24"/>
          <w:szCs w:val="24"/>
        </w:rPr>
        <w:t xml:space="preserve">was </w:t>
      </w:r>
      <w:r w:rsidR="0013380E">
        <w:rPr>
          <w:rFonts w:ascii="Arial" w:hAnsi="Arial" w:cs="Arial"/>
          <w:sz w:val="24"/>
          <w:szCs w:val="24"/>
        </w:rPr>
        <w:t>premised</w:t>
      </w:r>
      <w:r>
        <w:rPr>
          <w:rFonts w:ascii="Arial" w:hAnsi="Arial" w:cs="Arial"/>
          <w:sz w:val="24"/>
          <w:szCs w:val="24"/>
        </w:rPr>
        <w:t xml:space="preserve"> </w:t>
      </w:r>
      <w:r w:rsidR="00A44FA1">
        <w:rPr>
          <w:rFonts w:ascii="Arial" w:hAnsi="Arial" w:cs="Arial"/>
          <w:sz w:val="24"/>
          <w:szCs w:val="24"/>
        </w:rPr>
        <w:t>upon s 125 of the Act which requires that applications are to be considered by the Ministry in the order they were received by the Ministry.</w:t>
      </w:r>
    </w:p>
    <w:p w:rsidR="00A44FA1" w:rsidRDefault="00A44FA1" w:rsidP="00A44FA1">
      <w:pPr>
        <w:pStyle w:val="ListParagraph"/>
        <w:rPr>
          <w:rFonts w:ascii="Arial" w:hAnsi="Arial" w:cs="Arial"/>
          <w:sz w:val="24"/>
          <w:szCs w:val="24"/>
        </w:rPr>
      </w:pPr>
    </w:p>
    <w:p w:rsidR="00A44FA1" w:rsidRDefault="00A44FA1"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support of the conditional </w:t>
      </w:r>
      <w:r w:rsidR="00F7288F">
        <w:rPr>
          <w:rFonts w:ascii="Arial" w:hAnsi="Arial" w:cs="Arial"/>
          <w:sz w:val="24"/>
          <w:szCs w:val="24"/>
        </w:rPr>
        <w:t>counter application</w:t>
      </w:r>
      <w:r>
        <w:rPr>
          <w:rFonts w:ascii="Arial" w:hAnsi="Arial" w:cs="Arial"/>
          <w:sz w:val="24"/>
          <w:szCs w:val="24"/>
        </w:rPr>
        <w:t xml:space="preserve">, a detailed affidavit was filed by a land surveyor, </w:t>
      </w:r>
      <w:r w:rsidR="0013380E">
        <w:rPr>
          <w:rFonts w:ascii="Arial" w:hAnsi="Arial" w:cs="Arial"/>
          <w:sz w:val="24"/>
          <w:szCs w:val="24"/>
        </w:rPr>
        <w:t>Mr Pieterse</w:t>
      </w:r>
      <w:r w:rsidR="009B6235">
        <w:rPr>
          <w:rFonts w:ascii="Arial" w:hAnsi="Arial" w:cs="Arial"/>
          <w:sz w:val="24"/>
          <w:szCs w:val="24"/>
        </w:rPr>
        <w:t xml:space="preserve"> (the expert)</w:t>
      </w:r>
      <w:r w:rsidR="0013380E">
        <w:rPr>
          <w:rFonts w:ascii="Arial" w:hAnsi="Arial" w:cs="Arial"/>
          <w:sz w:val="24"/>
          <w:szCs w:val="24"/>
        </w:rPr>
        <w:t xml:space="preserve">, </w:t>
      </w:r>
      <w:r>
        <w:rPr>
          <w:rFonts w:ascii="Arial" w:hAnsi="Arial" w:cs="Arial"/>
          <w:sz w:val="24"/>
          <w:szCs w:val="24"/>
        </w:rPr>
        <w:t xml:space="preserve">who unequivocally stated with reference to the </w:t>
      </w:r>
      <w:r w:rsidR="00181928">
        <w:rPr>
          <w:rFonts w:ascii="Arial" w:hAnsi="Arial" w:cs="Arial"/>
          <w:sz w:val="24"/>
          <w:szCs w:val="24"/>
        </w:rPr>
        <w:t xml:space="preserve">coordinates </w:t>
      </w:r>
      <w:r>
        <w:rPr>
          <w:rFonts w:ascii="Arial" w:hAnsi="Arial" w:cs="Arial"/>
          <w:sz w:val="24"/>
          <w:szCs w:val="24"/>
        </w:rPr>
        <w:t xml:space="preserve"> duly plotted</w:t>
      </w:r>
      <w:r w:rsidR="00913D27">
        <w:rPr>
          <w:rFonts w:ascii="Arial" w:hAnsi="Arial" w:cs="Arial"/>
          <w:sz w:val="24"/>
          <w:szCs w:val="24"/>
        </w:rPr>
        <w:t>,</w:t>
      </w:r>
      <w:r>
        <w:rPr>
          <w:rFonts w:ascii="Arial" w:hAnsi="Arial" w:cs="Arial"/>
          <w:sz w:val="24"/>
          <w:szCs w:val="24"/>
        </w:rPr>
        <w:t xml:space="preserve"> that the appellant’s claims overlapped the third respondent’s pending (and prior) claim. It was also stated by the respondents, wi</w:t>
      </w:r>
      <w:r w:rsidR="00CB4C75">
        <w:rPr>
          <w:rFonts w:ascii="Arial" w:hAnsi="Arial" w:cs="Arial"/>
          <w:sz w:val="24"/>
          <w:szCs w:val="24"/>
        </w:rPr>
        <w:t>th</w:t>
      </w:r>
      <w:r>
        <w:rPr>
          <w:rFonts w:ascii="Arial" w:hAnsi="Arial" w:cs="Arial"/>
          <w:sz w:val="24"/>
          <w:szCs w:val="24"/>
        </w:rPr>
        <w:t xml:space="preserve"> reference to photographic evidence, that the appellant’s claim was within an active mining operation </w:t>
      </w:r>
      <w:r w:rsidR="00C21162">
        <w:rPr>
          <w:rFonts w:ascii="Arial" w:hAnsi="Arial" w:cs="Arial"/>
          <w:sz w:val="24"/>
          <w:szCs w:val="24"/>
        </w:rPr>
        <w:t xml:space="preserve">(of the fourth respondent) </w:t>
      </w:r>
      <w:r>
        <w:rPr>
          <w:rFonts w:ascii="Arial" w:hAnsi="Arial" w:cs="Arial"/>
          <w:sz w:val="24"/>
          <w:szCs w:val="24"/>
        </w:rPr>
        <w:t>which had been carried on for some ten years. It was contended by the respondents that the appellant would have been aware of the existing mining on the claim</w:t>
      </w:r>
      <w:r w:rsidR="00626913">
        <w:rPr>
          <w:rFonts w:ascii="Arial" w:hAnsi="Arial" w:cs="Arial"/>
          <w:sz w:val="24"/>
          <w:szCs w:val="24"/>
        </w:rPr>
        <w:t xml:space="preserve"> area</w:t>
      </w:r>
      <w:r w:rsidR="009B6235">
        <w:rPr>
          <w:rFonts w:ascii="Arial" w:hAnsi="Arial" w:cs="Arial"/>
          <w:sz w:val="24"/>
          <w:szCs w:val="24"/>
        </w:rPr>
        <w:t>,</w:t>
      </w:r>
      <w:r>
        <w:rPr>
          <w:rFonts w:ascii="Arial" w:hAnsi="Arial" w:cs="Arial"/>
          <w:sz w:val="24"/>
          <w:szCs w:val="24"/>
        </w:rPr>
        <w:t xml:space="preserve"> yet </w:t>
      </w:r>
      <w:r w:rsidR="0013380E">
        <w:rPr>
          <w:rFonts w:ascii="Arial" w:hAnsi="Arial" w:cs="Arial"/>
          <w:sz w:val="24"/>
          <w:szCs w:val="24"/>
        </w:rPr>
        <w:t xml:space="preserve">he </w:t>
      </w:r>
      <w:r>
        <w:rPr>
          <w:rFonts w:ascii="Arial" w:hAnsi="Arial" w:cs="Arial"/>
          <w:sz w:val="24"/>
          <w:szCs w:val="24"/>
        </w:rPr>
        <w:t xml:space="preserve">stated in his application </w:t>
      </w:r>
      <w:r w:rsidR="004921A4">
        <w:rPr>
          <w:rFonts w:ascii="Arial" w:hAnsi="Arial" w:cs="Arial"/>
          <w:sz w:val="24"/>
          <w:szCs w:val="24"/>
        </w:rPr>
        <w:t xml:space="preserve">for the mining claim </w:t>
      </w:r>
      <w:r>
        <w:rPr>
          <w:rFonts w:ascii="Arial" w:hAnsi="Arial" w:cs="Arial"/>
          <w:sz w:val="24"/>
          <w:szCs w:val="24"/>
        </w:rPr>
        <w:t>that the area was ‘virgin’ territory.</w:t>
      </w:r>
    </w:p>
    <w:p w:rsidR="00120F58" w:rsidRPr="00120F58" w:rsidRDefault="00120F58" w:rsidP="00120F58">
      <w:pPr>
        <w:pStyle w:val="NoSpacing"/>
        <w:spacing w:line="480" w:lineRule="auto"/>
        <w:jc w:val="both"/>
        <w:rPr>
          <w:rFonts w:ascii="Arial" w:hAnsi="Arial" w:cs="Arial"/>
          <w:sz w:val="24"/>
          <w:szCs w:val="24"/>
        </w:rPr>
      </w:pPr>
    </w:p>
    <w:p w:rsidR="00913D27" w:rsidRPr="00120F58" w:rsidRDefault="00120F58" w:rsidP="00120F58">
      <w:pPr>
        <w:pStyle w:val="NoSpacing"/>
        <w:numPr>
          <w:ilvl w:val="0"/>
          <w:numId w:val="4"/>
        </w:numPr>
        <w:spacing w:line="480" w:lineRule="auto"/>
        <w:ind w:left="0" w:firstLine="0"/>
        <w:jc w:val="both"/>
        <w:rPr>
          <w:rFonts w:ascii="Arial" w:hAnsi="Arial" w:cs="Arial"/>
          <w:sz w:val="24"/>
          <w:szCs w:val="24"/>
        </w:rPr>
      </w:pPr>
      <w:r w:rsidRPr="00120F58">
        <w:rPr>
          <w:rFonts w:ascii="Arial" w:hAnsi="Arial" w:cs="Arial"/>
          <w:sz w:val="24"/>
          <w:szCs w:val="24"/>
        </w:rPr>
        <w:t xml:space="preserve">In response to the counterclaim, the appellant denied an overlap but provided no evidence in support of that denial and did not </w:t>
      </w:r>
      <w:r w:rsidR="004921A4">
        <w:rPr>
          <w:rFonts w:ascii="Arial" w:hAnsi="Arial" w:cs="Arial"/>
          <w:sz w:val="24"/>
          <w:szCs w:val="24"/>
        </w:rPr>
        <w:t xml:space="preserve">properly </w:t>
      </w:r>
      <w:r w:rsidRPr="00120F58">
        <w:rPr>
          <w:rFonts w:ascii="Arial" w:hAnsi="Arial" w:cs="Arial"/>
          <w:sz w:val="24"/>
          <w:szCs w:val="24"/>
        </w:rPr>
        <w:t xml:space="preserve">deal with Mr Pieterse’s affidavit save </w:t>
      </w:r>
      <w:r w:rsidR="004921A4">
        <w:rPr>
          <w:rFonts w:ascii="Arial" w:hAnsi="Arial" w:cs="Arial"/>
          <w:sz w:val="24"/>
          <w:szCs w:val="24"/>
        </w:rPr>
        <w:t>for a bare denial</w:t>
      </w:r>
      <w:r w:rsidRPr="00120F58">
        <w:rPr>
          <w:rFonts w:ascii="Arial" w:hAnsi="Arial" w:cs="Arial"/>
          <w:sz w:val="24"/>
          <w:szCs w:val="24"/>
        </w:rPr>
        <w:t xml:space="preserve"> and</w:t>
      </w:r>
      <w:r w:rsidR="001758E1">
        <w:rPr>
          <w:rFonts w:ascii="Arial" w:hAnsi="Arial" w:cs="Arial"/>
          <w:sz w:val="24"/>
          <w:szCs w:val="24"/>
        </w:rPr>
        <w:t xml:space="preserve"> to</w:t>
      </w:r>
      <w:r w:rsidRPr="00120F58">
        <w:rPr>
          <w:rFonts w:ascii="Arial" w:hAnsi="Arial" w:cs="Arial"/>
          <w:sz w:val="24"/>
          <w:szCs w:val="24"/>
        </w:rPr>
        <w:t xml:space="preserve"> label it with unsupported pejorative terms. </w:t>
      </w:r>
    </w:p>
    <w:p w:rsidR="00913D27" w:rsidRDefault="00913D27" w:rsidP="00120F58">
      <w:pPr>
        <w:pStyle w:val="ListParagraph"/>
        <w:spacing w:line="480" w:lineRule="auto"/>
        <w:jc w:val="both"/>
        <w:rPr>
          <w:rFonts w:ascii="Arial" w:hAnsi="Arial" w:cs="Arial"/>
          <w:sz w:val="24"/>
          <w:szCs w:val="24"/>
        </w:rPr>
      </w:pPr>
    </w:p>
    <w:p w:rsidR="00913D27" w:rsidRDefault="00913D27" w:rsidP="00120F5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the </w:t>
      </w:r>
      <w:r w:rsidR="003A011B">
        <w:rPr>
          <w:rFonts w:ascii="Arial" w:hAnsi="Arial" w:cs="Arial"/>
          <w:sz w:val="24"/>
          <w:szCs w:val="24"/>
        </w:rPr>
        <w:t>counter application</w:t>
      </w:r>
      <w:r w:rsidR="000B14C8">
        <w:rPr>
          <w:rFonts w:ascii="Arial" w:hAnsi="Arial" w:cs="Arial"/>
          <w:sz w:val="24"/>
          <w:szCs w:val="24"/>
        </w:rPr>
        <w:t xml:space="preserve"> </w:t>
      </w:r>
      <w:r>
        <w:rPr>
          <w:rFonts w:ascii="Arial" w:hAnsi="Arial" w:cs="Arial"/>
          <w:sz w:val="24"/>
          <w:szCs w:val="24"/>
        </w:rPr>
        <w:t xml:space="preserve">was filed, the matter proceeded to case management and the High Court made an order postponing the matter to </w:t>
      </w:r>
      <w:r w:rsidR="004921A4">
        <w:rPr>
          <w:rFonts w:ascii="Arial" w:hAnsi="Arial" w:cs="Arial"/>
          <w:sz w:val="24"/>
          <w:szCs w:val="24"/>
        </w:rPr>
        <w:t>a</w:t>
      </w:r>
      <w:r>
        <w:rPr>
          <w:rFonts w:ascii="Arial" w:hAnsi="Arial" w:cs="Arial"/>
          <w:sz w:val="24"/>
          <w:szCs w:val="24"/>
        </w:rPr>
        <w:t xml:space="preserve"> date of hearing being 18 May 2018 and directed that a number of prehearing steps be conducted on specific dates. The Minister and Commissioner were directed to </w:t>
      </w:r>
      <w:r>
        <w:rPr>
          <w:rFonts w:ascii="Arial" w:hAnsi="Arial" w:cs="Arial"/>
          <w:sz w:val="24"/>
          <w:szCs w:val="24"/>
        </w:rPr>
        <w:lastRenderedPageBreak/>
        <w:t>provide the record of decision making by 2 March 2018. The appellant and third respondent were afforded a week to supplement their respective founding affidavit</w:t>
      </w:r>
      <w:r w:rsidR="004921A4">
        <w:rPr>
          <w:rFonts w:ascii="Arial" w:hAnsi="Arial" w:cs="Arial"/>
          <w:sz w:val="24"/>
          <w:szCs w:val="24"/>
        </w:rPr>
        <w:t xml:space="preserve">s in support of the main application and the </w:t>
      </w:r>
      <w:r w:rsidR="003A011B">
        <w:rPr>
          <w:rFonts w:ascii="Arial" w:hAnsi="Arial" w:cs="Arial"/>
          <w:sz w:val="24"/>
          <w:szCs w:val="24"/>
        </w:rPr>
        <w:t xml:space="preserve">counter application </w:t>
      </w:r>
      <w:r w:rsidR="004921A4">
        <w:rPr>
          <w:rFonts w:ascii="Arial" w:hAnsi="Arial" w:cs="Arial"/>
          <w:sz w:val="24"/>
          <w:szCs w:val="24"/>
        </w:rPr>
        <w:t>for review</w:t>
      </w:r>
      <w:r>
        <w:rPr>
          <w:rFonts w:ascii="Arial" w:hAnsi="Arial" w:cs="Arial"/>
          <w:sz w:val="24"/>
          <w:szCs w:val="24"/>
        </w:rPr>
        <w:t>. The</w:t>
      </w:r>
      <w:r w:rsidR="004921A4">
        <w:rPr>
          <w:rFonts w:ascii="Arial" w:hAnsi="Arial" w:cs="Arial"/>
          <w:sz w:val="24"/>
          <w:szCs w:val="24"/>
        </w:rPr>
        <w:t xml:space="preserve"> cited</w:t>
      </w:r>
      <w:r>
        <w:rPr>
          <w:rFonts w:ascii="Arial" w:hAnsi="Arial" w:cs="Arial"/>
          <w:sz w:val="24"/>
          <w:szCs w:val="24"/>
        </w:rPr>
        <w:t xml:space="preserve"> respondents were directed to deliver answering affidavits by 6 April</w:t>
      </w:r>
      <w:r w:rsidR="009B6235">
        <w:rPr>
          <w:rFonts w:ascii="Arial" w:hAnsi="Arial" w:cs="Arial"/>
          <w:sz w:val="24"/>
          <w:szCs w:val="24"/>
        </w:rPr>
        <w:t xml:space="preserve"> 2018</w:t>
      </w:r>
      <w:r>
        <w:rPr>
          <w:rFonts w:ascii="Arial" w:hAnsi="Arial" w:cs="Arial"/>
          <w:sz w:val="24"/>
          <w:szCs w:val="24"/>
        </w:rPr>
        <w:t xml:space="preserve"> and the appellant was required to reply to the answering affidavits and to answer to the </w:t>
      </w:r>
      <w:r w:rsidR="003A011B">
        <w:rPr>
          <w:rFonts w:ascii="Arial" w:hAnsi="Arial" w:cs="Arial"/>
          <w:sz w:val="24"/>
          <w:szCs w:val="24"/>
        </w:rPr>
        <w:t>counter application</w:t>
      </w:r>
      <w:r w:rsidR="00181928">
        <w:rPr>
          <w:rFonts w:ascii="Arial" w:hAnsi="Arial" w:cs="Arial"/>
          <w:sz w:val="24"/>
          <w:szCs w:val="24"/>
        </w:rPr>
        <w:t xml:space="preserve"> </w:t>
      </w:r>
      <w:r>
        <w:rPr>
          <w:rFonts w:ascii="Arial" w:hAnsi="Arial" w:cs="Arial"/>
          <w:sz w:val="24"/>
          <w:szCs w:val="24"/>
        </w:rPr>
        <w:t xml:space="preserve">by 13 April </w:t>
      </w:r>
      <w:r w:rsidR="004921A4">
        <w:rPr>
          <w:rFonts w:ascii="Arial" w:hAnsi="Arial" w:cs="Arial"/>
          <w:sz w:val="24"/>
          <w:szCs w:val="24"/>
        </w:rPr>
        <w:t>2018.</w:t>
      </w:r>
      <w:r>
        <w:rPr>
          <w:rFonts w:ascii="Arial" w:hAnsi="Arial" w:cs="Arial"/>
          <w:sz w:val="24"/>
          <w:szCs w:val="24"/>
        </w:rPr>
        <w:t xml:space="preserve"> </w:t>
      </w:r>
      <w:r w:rsidR="004921A4">
        <w:rPr>
          <w:rFonts w:ascii="Arial" w:hAnsi="Arial" w:cs="Arial"/>
          <w:sz w:val="24"/>
          <w:szCs w:val="24"/>
        </w:rPr>
        <w:t>The respondents were directed to re</w:t>
      </w:r>
      <w:r>
        <w:rPr>
          <w:rFonts w:ascii="Arial" w:hAnsi="Arial" w:cs="Arial"/>
          <w:sz w:val="24"/>
          <w:szCs w:val="24"/>
        </w:rPr>
        <w:t xml:space="preserve">ply to the answering affidavit to the </w:t>
      </w:r>
      <w:r w:rsidR="003A011B">
        <w:rPr>
          <w:rFonts w:ascii="Arial" w:hAnsi="Arial" w:cs="Arial"/>
          <w:sz w:val="24"/>
          <w:szCs w:val="24"/>
        </w:rPr>
        <w:t>counter application</w:t>
      </w:r>
      <w:r w:rsidR="00181928">
        <w:rPr>
          <w:rFonts w:ascii="Arial" w:hAnsi="Arial" w:cs="Arial"/>
          <w:sz w:val="24"/>
          <w:szCs w:val="24"/>
        </w:rPr>
        <w:t xml:space="preserve"> </w:t>
      </w:r>
      <w:r>
        <w:rPr>
          <w:rFonts w:ascii="Arial" w:hAnsi="Arial" w:cs="Arial"/>
          <w:sz w:val="24"/>
          <w:szCs w:val="24"/>
        </w:rPr>
        <w:t xml:space="preserve">a week later on 20 April 2018. The appellant’s heads were due on 27 April </w:t>
      </w:r>
      <w:r w:rsidR="009B6235">
        <w:rPr>
          <w:rFonts w:ascii="Arial" w:hAnsi="Arial" w:cs="Arial"/>
          <w:sz w:val="24"/>
          <w:szCs w:val="24"/>
        </w:rPr>
        <w:t xml:space="preserve">2018 </w:t>
      </w:r>
      <w:r>
        <w:rPr>
          <w:rFonts w:ascii="Arial" w:hAnsi="Arial" w:cs="Arial"/>
          <w:sz w:val="24"/>
          <w:szCs w:val="24"/>
        </w:rPr>
        <w:t>and the respondents</w:t>
      </w:r>
      <w:r w:rsidR="000D4BDB">
        <w:rPr>
          <w:rFonts w:ascii="Arial" w:hAnsi="Arial" w:cs="Arial"/>
          <w:sz w:val="24"/>
          <w:szCs w:val="24"/>
        </w:rPr>
        <w:t>’</w:t>
      </w:r>
      <w:r>
        <w:rPr>
          <w:rFonts w:ascii="Arial" w:hAnsi="Arial" w:cs="Arial"/>
          <w:sz w:val="24"/>
          <w:szCs w:val="24"/>
        </w:rPr>
        <w:t xml:space="preserve"> on 8 May 2018.</w:t>
      </w:r>
    </w:p>
    <w:p w:rsidR="00A44FA1" w:rsidRDefault="00A44FA1" w:rsidP="00A44FA1">
      <w:pPr>
        <w:pStyle w:val="ListParagraph"/>
        <w:rPr>
          <w:rFonts w:ascii="Arial" w:hAnsi="Arial" w:cs="Arial"/>
          <w:sz w:val="24"/>
          <w:szCs w:val="24"/>
        </w:rPr>
      </w:pPr>
    </w:p>
    <w:p w:rsidR="00A44FA1" w:rsidRDefault="0013380E"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120F58">
        <w:rPr>
          <w:rFonts w:ascii="Arial" w:hAnsi="Arial" w:cs="Arial"/>
          <w:sz w:val="24"/>
          <w:szCs w:val="24"/>
        </w:rPr>
        <w:t xml:space="preserve">he Minister and Mining Commissioner did not file answering affidavits in the required time frame. Nor did they file a notice of </w:t>
      </w:r>
      <w:r w:rsidR="004921A4">
        <w:rPr>
          <w:rFonts w:ascii="Arial" w:hAnsi="Arial" w:cs="Arial"/>
          <w:sz w:val="24"/>
          <w:szCs w:val="24"/>
        </w:rPr>
        <w:t>o</w:t>
      </w:r>
      <w:r w:rsidR="00120F58">
        <w:rPr>
          <w:rFonts w:ascii="Arial" w:hAnsi="Arial" w:cs="Arial"/>
          <w:sz w:val="24"/>
          <w:szCs w:val="24"/>
        </w:rPr>
        <w:t xml:space="preserve">pposition to the </w:t>
      </w:r>
      <w:r w:rsidR="003A011B">
        <w:rPr>
          <w:rFonts w:ascii="Arial" w:hAnsi="Arial" w:cs="Arial"/>
          <w:sz w:val="24"/>
          <w:szCs w:val="24"/>
        </w:rPr>
        <w:t>counter application</w:t>
      </w:r>
      <w:r>
        <w:rPr>
          <w:rFonts w:ascii="Arial" w:hAnsi="Arial" w:cs="Arial"/>
          <w:sz w:val="24"/>
          <w:szCs w:val="24"/>
        </w:rPr>
        <w:t>. B</w:t>
      </w:r>
      <w:r w:rsidR="00120F58">
        <w:rPr>
          <w:rFonts w:ascii="Arial" w:hAnsi="Arial" w:cs="Arial"/>
          <w:sz w:val="24"/>
          <w:szCs w:val="24"/>
        </w:rPr>
        <w:t xml:space="preserve">ut </w:t>
      </w:r>
      <w:r>
        <w:rPr>
          <w:rFonts w:ascii="Arial" w:hAnsi="Arial" w:cs="Arial"/>
          <w:sz w:val="24"/>
          <w:szCs w:val="24"/>
        </w:rPr>
        <w:t xml:space="preserve">shortly before the date of hearing, </w:t>
      </w:r>
      <w:r w:rsidR="00A44FA1">
        <w:rPr>
          <w:rFonts w:ascii="Arial" w:hAnsi="Arial" w:cs="Arial"/>
          <w:sz w:val="24"/>
          <w:szCs w:val="24"/>
        </w:rPr>
        <w:t>the Mining Commissioner</w:t>
      </w:r>
      <w:r w:rsidR="00626913">
        <w:rPr>
          <w:rFonts w:ascii="Arial" w:hAnsi="Arial" w:cs="Arial"/>
          <w:sz w:val="24"/>
          <w:szCs w:val="24"/>
        </w:rPr>
        <w:t>,</w:t>
      </w:r>
      <w:r w:rsidR="00C21162">
        <w:rPr>
          <w:rFonts w:ascii="Arial" w:hAnsi="Arial" w:cs="Arial"/>
          <w:sz w:val="24"/>
          <w:szCs w:val="24"/>
        </w:rPr>
        <w:t xml:space="preserve"> Mr Shivolo</w:t>
      </w:r>
      <w:r w:rsidR="00626913">
        <w:rPr>
          <w:rFonts w:ascii="Arial" w:hAnsi="Arial" w:cs="Arial"/>
          <w:sz w:val="24"/>
          <w:szCs w:val="24"/>
        </w:rPr>
        <w:t>,</w:t>
      </w:r>
      <w:r w:rsidR="00A44FA1">
        <w:rPr>
          <w:rFonts w:ascii="Arial" w:hAnsi="Arial" w:cs="Arial"/>
          <w:sz w:val="24"/>
          <w:szCs w:val="24"/>
        </w:rPr>
        <w:t xml:space="preserve"> </w:t>
      </w:r>
      <w:r w:rsidR="007E5807">
        <w:rPr>
          <w:rFonts w:ascii="Arial" w:hAnsi="Arial" w:cs="Arial"/>
          <w:sz w:val="24"/>
          <w:szCs w:val="24"/>
        </w:rPr>
        <w:t xml:space="preserve">on 30 April 2018 filed an affidavit to explain the </w:t>
      </w:r>
      <w:r w:rsidR="00626913">
        <w:rPr>
          <w:rFonts w:ascii="Arial" w:hAnsi="Arial" w:cs="Arial"/>
          <w:sz w:val="24"/>
          <w:szCs w:val="24"/>
        </w:rPr>
        <w:t>decision making process</w:t>
      </w:r>
      <w:r w:rsidR="004921A4">
        <w:rPr>
          <w:rFonts w:ascii="Arial" w:hAnsi="Arial" w:cs="Arial"/>
          <w:sz w:val="24"/>
          <w:szCs w:val="24"/>
        </w:rPr>
        <w:t xml:space="preserve"> relating to the disputed claims</w:t>
      </w:r>
      <w:r w:rsidR="007E5807">
        <w:rPr>
          <w:rFonts w:ascii="Arial" w:hAnsi="Arial" w:cs="Arial"/>
          <w:sz w:val="24"/>
          <w:szCs w:val="24"/>
        </w:rPr>
        <w:t xml:space="preserve">. In this belatedly filed affidavit, Mr Shivolo confirmed that the Minister and he did not oppose either </w:t>
      </w:r>
      <w:r w:rsidR="00626913">
        <w:rPr>
          <w:rFonts w:ascii="Arial" w:hAnsi="Arial" w:cs="Arial"/>
          <w:sz w:val="24"/>
          <w:szCs w:val="24"/>
        </w:rPr>
        <w:t xml:space="preserve">the </w:t>
      </w:r>
      <w:r w:rsidR="007E5807">
        <w:rPr>
          <w:rFonts w:ascii="Arial" w:hAnsi="Arial" w:cs="Arial"/>
          <w:sz w:val="24"/>
          <w:szCs w:val="24"/>
        </w:rPr>
        <w:t xml:space="preserve">application </w:t>
      </w:r>
      <w:r w:rsidR="00626913">
        <w:rPr>
          <w:rFonts w:ascii="Arial" w:hAnsi="Arial" w:cs="Arial"/>
          <w:sz w:val="24"/>
          <w:szCs w:val="24"/>
        </w:rPr>
        <w:t xml:space="preserve">or conditional </w:t>
      </w:r>
      <w:r w:rsidR="003A011B">
        <w:rPr>
          <w:rFonts w:ascii="Arial" w:hAnsi="Arial" w:cs="Arial"/>
          <w:sz w:val="24"/>
          <w:szCs w:val="24"/>
        </w:rPr>
        <w:t>counter application</w:t>
      </w:r>
      <w:r w:rsidR="00181928">
        <w:rPr>
          <w:rFonts w:ascii="Arial" w:hAnsi="Arial" w:cs="Arial"/>
          <w:sz w:val="24"/>
          <w:szCs w:val="24"/>
        </w:rPr>
        <w:t xml:space="preserve"> </w:t>
      </w:r>
      <w:r w:rsidR="007E5807">
        <w:rPr>
          <w:rFonts w:ascii="Arial" w:hAnsi="Arial" w:cs="Arial"/>
          <w:sz w:val="24"/>
          <w:szCs w:val="24"/>
        </w:rPr>
        <w:t xml:space="preserve">but </w:t>
      </w:r>
      <w:r w:rsidR="00C21162">
        <w:rPr>
          <w:rFonts w:ascii="Arial" w:hAnsi="Arial" w:cs="Arial"/>
          <w:sz w:val="24"/>
          <w:szCs w:val="24"/>
        </w:rPr>
        <w:t xml:space="preserve">rather </w:t>
      </w:r>
      <w:r w:rsidR="007E5807">
        <w:rPr>
          <w:rFonts w:ascii="Arial" w:hAnsi="Arial" w:cs="Arial"/>
          <w:sz w:val="24"/>
          <w:szCs w:val="24"/>
        </w:rPr>
        <w:t xml:space="preserve">sought to explain what had occurred </w:t>
      </w:r>
      <w:r w:rsidR="00C21162">
        <w:rPr>
          <w:rFonts w:ascii="Arial" w:hAnsi="Arial" w:cs="Arial"/>
          <w:sz w:val="24"/>
          <w:szCs w:val="24"/>
        </w:rPr>
        <w:t>within</w:t>
      </w:r>
      <w:r w:rsidR="007E5807">
        <w:rPr>
          <w:rFonts w:ascii="Arial" w:hAnsi="Arial" w:cs="Arial"/>
          <w:sz w:val="24"/>
          <w:szCs w:val="24"/>
        </w:rPr>
        <w:t xml:space="preserve"> the Ministry</w:t>
      </w:r>
      <w:r w:rsidR="00C21162">
        <w:rPr>
          <w:rFonts w:ascii="Arial" w:hAnsi="Arial" w:cs="Arial"/>
          <w:sz w:val="24"/>
          <w:szCs w:val="24"/>
        </w:rPr>
        <w:t xml:space="preserve"> concerning the competing claims</w:t>
      </w:r>
      <w:r w:rsidR="007E5807">
        <w:rPr>
          <w:rFonts w:ascii="Arial" w:hAnsi="Arial" w:cs="Arial"/>
          <w:sz w:val="24"/>
          <w:szCs w:val="24"/>
        </w:rPr>
        <w:t xml:space="preserve">. He explained that the Ministry had migrated to a new operating system. In the process, errors occurred in entering </w:t>
      </w:r>
      <w:r w:rsidR="00181928">
        <w:rPr>
          <w:rFonts w:ascii="Arial" w:hAnsi="Arial" w:cs="Arial"/>
          <w:sz w:val="24"/>
          <w:szCs w:val="24"/>
        </w:rPr>
        <w:t xml:space="preserve">coordinates </w:t>
      </w:r>
      <w:r w:rsidR="007E5807">
        <w:rPr>
          <w:rFonts w:ascii="Arial" w:hAnsi="Arial" w:cs="Arial"/>
          <w:sz w:val="24"/>
          <w:szCs w:val="24"/>
        </w:rPr>
        <w:t>o</w:t>
      </w:r>
      <w:r w:rsidR="00626913">
        <w:rPr>
          <w:rFonts w:ascii="Arial" w:hAnsi="Arial" w:cs="Arial"/>
          <w:sz w:val="24"/>
          <w:szCs w:val="24"/>
        </w:rPr>
        <w:t>f</w:t>
      </w:r>
      <w:r w:rsidR="007E5807">
        <w:rPr>
          <w:rFonts w:ascii="Arial" w:hAnsi="Arial" w:cs="Arial"/>
          <w:sz w:val="24"/>
          <w:szCs w:val="24"/>
        </w:rPr>
        <w:t xml:space="preserve"> the third re</w:t>
      </w:r>
      <w:r w:rsidR="007E5807" w:rsidRPr="007E5807">
        <w:rPr>
          <w:rFonts w:ascii="Arial" w:hAnsi="Arial" w:cs="Arial"/>
          <w:sz w:val="24"/>
          <w:szCs w:val="24"/>
        </w:rPr>
        <w:t>spondent’s mining claims.</w:t>
      </w:r>
    </w:p>
    <w:p w:rsidR="007E5807" w:rsidRDefault="007E5807" w:rsidP="007E5807">
      <w:pPr>
        <w:pStyle w:val="ListParagraph"/>
        <w:rPr>
          <w:rFonts w:ascii="Arial" w:hAnsi="Arial" w:cs="Arial"/>
          <w:sz w:val="24"/>
          <w:szCs w:val="24"/>
        </w:rPr>
      </w:pPr>
    </w:p>
    <w:p w:rsidR="007E5807" w:rsidRDefault="007E5807"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When the appellant applied for claims 70056 and 70057,</w:t>
      </w:r>
      <w:r w:rsidR="004921A4">
        <w:rPr>
          <w:rFonts w:ascii="Arial" w:hAnsi="Arial" w:cs="Arial"/>
          <w:sz w:val="24"/>
          <w:szCs w:val="24"/>
        </w:rPr>
        <w:t xml:space="preserve"> Mr Shivolo stated that </w:t>
      </w:r>
      <w:r>
        <w:rPr>
          <w:rFonts w:ascii="Arial" w:hAnsi="Arial" w:cs="Arial"/>
          <w:sz w:val="24"/>
          <w:szCs w:val="24"/>
        </w:rPr>
        <w:t xml:space="preserve">the system </w:t>
      </w:r>
      <w:r w:rsidR="00B27C54">
        <w:rPr>
          <w:rFonts w:ascii="Arial" w:hAnsi="Arial" w:cs="Arial"/>
          <w:sz w:val="24"/>
          <w:szCs w:val="24"/>
        </w:rPr>
        <w:t xml:space="preserve">incorrectly indicated that the area was vacant because the </w:t>
      </w:r>
      <w:r w:rsidR="00181928">
        <w:rPr>
          <w:rFonts w:ascii="Arial" w:hAnsi="Arial" w:cs="Arial"/>
          <w:sz w:val="24"/>
          <w:szCs w:val="24"/>
        </w:rPr>
        <w:t>coordinates</w:t>
      </w:r>
      <w:r w:rsidR="00B27C54">
        <w:rPr>
          <w:rFonts w:ascii="Arial" w:hAnsi="Arial" w:cs="Arial"/>
          <w:sz w:val="24"/>
          <w:szCs w:val="24"/>
        </w:rPr>
        <w:t xml:space="preserve"> of the third respondent’s claims were </w:t>
      </w:r>
      <w:r w:rsidR="00C21162">
        <w:rPr>
          <w:rFonts w:ascii="Arial" w:hAnsi="Arial" w:cs="Arial"/>
          <w:sz w:val="24"/>
          <w:szCs w:val="24"/>
        </w:rPr>
        <w:t>plotted</w:t>
      </w:r>
      <w:r w:rsidR="00B27C54">
        <w:rPr>
          <w:rFonts w:ascii="Arial" w:hAnsi="Arial" w:cs="Arial"/>
          <w:sz w:val="24"/>
          <w:szCs w:val="24"/>
        </w:rPr>
        <w:t xml:space="preserve"> to the </w:t>
      </w:r>
      <w:r w:rsidR="00C21162">
        <w:rPr>
          <w:rFonts w:ascii="Arial" w:hAnsi="Arial" w:cs="Arial"/>
          <w:sz w:val="24"/>
          <w:szCs w:val="24"/>
        </w:rPr>
        <w:t>we</w:t>
      </w:r>
      <w:r w:rsidR="00B27C54">
        <w:rPr>
          <w:rFonts w:ascii="Arial" w:hAnsi="Arial" w:cs="Arial"/>
          <w:sz w:val="24"/>
          <w:szCs w:val="24"/>
        </w:rPr>
        <w:t>st of the</w:t>
      </w:r>
      <w:r w:rsidR="00C21162">
        <w:rPr>
          <w:rFonts w:ascii="Arial" w:hAnsi="Arial" w:cs="Arial"/>
          <w:sz w:val="24"/>
          <w:szCs w:val="24"/>
        </w:rPr>
        <w:t>ir actual position</w:t>
      </w:r>
      <w:r w:rsidR="00B27C54">
        <w:rPr>
          <w:rFonts w:ascii="Arial" w:hAnsi="Arial" w:cs="Arial"/>
          <w:sz w:val="24"/>
          <w:szCs w:val="24"/>
        </w:rPr>
        <w:t>. M</w:t>
      </w:r>
      <w:r w:rsidR="00C21162">
        <w:rPr>
          <w:rFonts w:ascii="Arial" w:hAnsi="Arial" w:cs="Arial"/>
          <w:sz w:val="24"/>
          <w:szCs w:val="24"/>
        </w:rPr>
        <w:t>r</w:t>
      </w:r>
      <w:r w:rsidR="00B27C54">
        <w:rPr>
          <w:rFonts w:ascii="Arial" w:hAnsi="Arial" w:cs="Arial"/>
          <w:sz w:val="24"/>
          <w:szCs w:val="24"/>
        </w:rPr>
        <w:t xml:space="preserve"> Shivolo stated that the appellant, when applying for </w:t>
      </w:r>
      <w:r w:rsidR="004921A4">
        <w:rPr>
          <w:rFonts w:ascii="Arial" w:hAnsi="Arial" w:cs="Arial"/>
          <w:sz w:val="24"/>
          <w:szCs w:val="24"/>
        </w:rPr>
        <w:t>his</w:t>
      </w:r>
      <w:r w:rsidR="00B27C54">
        <w:rPr>
          <w:rFonts w:ascii="Arial" w:hAnsi="Arial" w:cs="Arial"/>
          <w:sz w:val="24"/>
          <w:szCs w:val="24"/>
        </w:rPr>
        <w:t xml:space="preserve"> claims ‘knew that the area was already taken up because on the ground there was equipment and indications that the area was already occupied’. After the claims were registered </w:t>
      </w:r>
      <w:r w:rsidR="00B27C54">
        <w:rPr>
          <w:rFonts w:ascii="Arial" w:hAnsi="Arial" w:cs="Arial"/>
          <w:sz w:val="24"/>
          <w:szCs w:val="24"/>
        </w:rPr>
        <w:lastRenderedPageBreak/>
        <w:t>in favour of the appellant and the third respondent objected</w:t>
      </w:r>
      <w:r w:rsidR="0013380E">
        <w:rPr>
          <w:rFonts w:ascii="Arial" w:hAnsi="Arial" w:cs="Arial"/>
          <w:sz w:val="24"/>
          <w:szCs w:val="24"/>
        </w:rPr>
        <w:t xml:space="preserve"> to them</w:t>
      </w:r>
      <w:r w:rsidR="00B27C54">
        <w:rPr>
          <w:rFonts w:ascii="Arial" w:hAnsi="Arial" w:cs="Arial"/>
          <w:sz w:val="24"/>
          <w:szCs w:val="24"/>
        </w:rPr>
        <w:t>, Mr Shivolo stated that the Ministry ‘became aware of the overla</w:t>
      </w:r>
      <w:r w:rsidR="009B6235">
        <w:rPr>
          <w:rFonts w:ascii="Arial" w:hAnsi="Arial" w:cs="Arial"/>
          <w:sz w:val="24"/>
          <w:szCs w:val="24"/>
        </w:rPr>
        <w:t xml:space="preserve">p in mining claims between the </w:t>
      </w:r>
      <w:r w:rsidR="00B27C54">
        <w:rPr>
          <w:rFonts w:ascii="Arial" w:hAnsi="Arial" w:cs="Arial"/>
          <w:sz w:val="24"/>
          <w:szCs w:val="24"/>
        </w:rPr>
        <w:t>appellant and the third respondent’. The Minister</w:t>
      </w:r>
      <w:r w:rsidR="00626913">
        <w:rPr>
          <w:rFonts w:ascii="Arial" w:hAnsi="Arial" w:cs="Arial"/>
          <w:sz w:val="24"/>
          <w:szCs w:val="24"/>
        </w:rPr>
        <w:t>,</w:t>
      </w:r>
      <w:r w:rsidR="00B27C54">
        <w:rPr>
          <w:rFonts w:ascii="Arial" w:hAnsi="Arial" w:cs="Arial"/>
          <w:sz w:val="24"/>
          <w:szCs w:val="24"/>
        </w:rPr>
        <w:t xml:space="preserve"> acting upon the advice of the Attorney-General</w:t>
      </w:r>
      <w:r w:rsidR="00626913">
        <w:rPr>
          <w:rFonts w:ascii="Arial" w:hAnsi="Arial" w:cs="Arial"/>
          <w:sz w:val="24"/>
          <w:szCs w:val="24"/>
        </w:rPr>
        <w:t>,</w:t>
      </w:r>
      <w:r w:rsidR="00B27C54">
        <w:rPr>
          <w:rFonts w:ascii="Arial" w:hAnsi="Arial" w:cs="Arial"/>
          <w:sz w:val="24"/>
          <w:szCs w:val="24"/>
        </w:rPr>
        <w:t xml:space="preserve"> proceeded to</w:t>
      </w:r>
      <w:r w:rsidR="00C21162">
        <w:rPr>
          <w:rFonts w:ascii="Arial" w:hAnsi="Arial" w:cs="Arial"/>
          <w:sz w:val="24"/>
          <w:szCs w:val="24"/>
        </w:rPr>
        <w:t xml:space="preserve"> give notice to the appellan</w:t>
      </w:r>
      <w:r w:rsidR="00AA5D68">
        <w:rPr>
          <w:rFonts w:ascii="Arial" w:hAnsi="Arial" w:cs="Arial"/>
          <w:sz w:val="24"/>
          <w:szCs w:val="24"/>
        </w:rPr>
        <w:t>t</w:t>
      </w:r>
      <w:r w:rsidR="00120F58">
        <w:rPr>
          <w:rFonts w:ascii="Arial" w:hAnsi="Arial" w:cs="Arial"/>
          <w:sz w:val="24"/>
          <w:szCs w:val="24"/>
        </w:rPr>
        <w:t xml:space="preserve"> of an intention</w:t>
      </w:r>
      <w:r w:rsidR="00AA5D68">
        <w:rPr>
          <w:rFonts w:ascii="Arial" w:hAnsi="Arial" w:cs="Arial"/>
          <w:sz w:val="24"/>
          <w:szCs w:val="24"/>
        </w:rPr>
        <w:t xml:space="preserve"> to</w:t>
      </w:r>
      <w:r w:rsidR="00B27C54">
        <w:rPr>
          <w:rFonts w:ascii="Arial" w:hAnsi="Arial" w:cs="Arial"/>
          <w:sz w:val="24"/>
          <w:szCs w:val="24"/>
        </w:rPr>
        <w:t xml:space="preserve"> cancel the appellant’s claims as a consequence</w:t>
      </w:r>
      <w:r w:rsidR="00AA5D68">
        <w:rPr>
          <w:rFonts w:ascii="Arial" w:hAnsi="Arial" w:cs="Arial"/>
          <w:sz w:val="24"/>
          <w:szCs w:val="24"/>
        </w:rPr>
        <w:t xml:space="preserve"> and thereafter purported to do so.</w:t>
      </w:r>
    </w:p>
    <w:p w:rsidR="00B27C54" w:rsidRDefault="00B27C54" w:rsidP="00B27C54">
      <w:pPr>
        <w:pStyle w:val="ListParagraph"/>
        <w:rPr>
          <w:rFonts w:ascii="Arial" w:hAnsi="Arial" w:cs="Arial"/>
          <w:sz w:val="24"/>
          <w:szCs w:val="24"/>
        </w:rPr>
      </w:pPr>
    </w:p>
    <w:p w:rsidR="00B27C54" w:rsidRDefault="00B27C54"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Despite the period of two and a half weeks between the filing of this affidavit and the date of hearing, the appellant did not seek leave to apply to adduce a further affidavit to deal with </w:t>
      </w:r>
      <w:r w:rsidR="00AA5D68">
        <w:rPr>
          <w:rFonts w:ascii="Arial" w:hAnsi="Arial" w:cs="Arial"/>
          <w:sz w:val="24"/>
          <w:szCs w:val="24"/>
        </w:rPr>
        <w:t>Mr Shivol</w:t>
      </w:r>
      <w:r w:rsidR="00626913">
        <w:rPr>
          <w:rFonts w:ascii="Arial" w:hAnsi="Arial" w:cs="Arial"/>
          <w:sz w:val="24"/>
          <w:szCs w:val="24"/>
        </w:rPr>
        <w:t>o</w:t>
      </w:r>
      <w:r w:rsidR="00AA5D68">
        <w:rPr>
          <w:rFonts w:ascii="Arial" w:hAnsi="Arial" w:cs="Arial"/>
          <w:sz w:val="24"/>
          <w:szCs w:val="24"/>
        </w:rPr>
        <w:t>’s</w:t>
      </w:r>
      <w:r>
        <w:rPr>
          <w:rFonts w:ascii="Arial" w:hAnsi="Arial" w:cs="Arial"/>
          <w:sz w:val="24"/>
          <w:szCs w:val="24"/>
        </w:rPr>
        <w:t xml:space="preserve"> affidavit. Nor did </w:t>
      </w:r>
      <w:r w:rsidR="006406F0">
        <w:rPr>
          <w:rFonts w:ascii="Arial" w:hAnsi="Arial" w:cs="Arial"/>
          <w:sz w:val="24"/>
          <w:szCs w:val="24"/>
        </w:rPr>
        <w:t>the appellant</w:t>
      </w:r>
      <w:r>
        <w:rPr>
          <w:rFonts w:ascii="Arial" w:hAnsi="Arial" w:cs="Arial"/>
          <w:sz w:val="24"/>
          <w:szCs w:val="24"/>
        </w:rPr>
        <w:t xml:space="preserve"> seek a postponement of the hearing for that purpose. Instead</w:t>
      </w:r>
      <w:r w:rsidR="00181928">
        <w:rPr>
          <w:rFonts w:ascii="Arial" w:hAnsi="Arial" w:cs="Arial"/>
          <w:sz w:val="24"/>
          <w:szCs w:val="24"/>
        </w:rPr>
        <w:t>,</w:t>
      </w:r>
      <w:r>
        <w:rPr>
          <w:rFonts w:ascii="Arial" w:hAnsi="Arial" w:cs="Arial"/>
          <w:sz w:val="24"/>
          <w:szCs w:val="24"/>
        </w:rPr>
        <w:t xml:space="preserve"> he applied for the affidavit to be struck from the record as it had not been filed in accordance with the </w:t>
      </w:r>
      <w:r w:rsidR="006406F0">
        <w:rPr>
          <w:rFonts w:ascii="Arial" w:hAnsi="Arial" w:cs="Arial"/>
          <w:sz w:val="24"/>
          <w:szCs w:val="24"/>
        </w:rPr>
        <w:t>court</w:t>
      </w:r>
      <w:r>
        <w:rPr>
          <w:rFonts w:ascii="Arial" w:hAnsi="Arial" w:cs="Arial"/>
          <w:sz w:val="24"/>
          <w:szCs w:val="24"/>
        </w:rPr>
        <w:t xml:space="preserve"> order in case management setting out the dates for the filing of affidavit</w:t>
      </w:r>
      <w:r w:rsidR="004E6C81">
        <w:rPr>
          <w:rFonts w:ascii="Arial" w:hAnsi="Arial" w:cs="Arial"/>
          <w:sz w:val="24"/>
          <w:szCs w:val="24"/>
        </w:rPr>
        <w:t>s</w:t>
      </w:r>
      <w:r w:rsidR="00626913">
        <w:rPr>
          <w:rFonts w:ascii="Arial" w:hAnsi="Arial" w:cs="Arial"/>
          <w:sz w:val="24"/>
          <w:szCs w:val="24"/>
        </w:rPr>
        <w:t xml:space="preserve"> by the applicant and respondents (opposing the application)</w:t>
      </w:r>
      <w:r w:rsidR="004E6C81">
        <w:rPr>
          <w:rFonts w:ascii="Arial" w:hAnsi="Arial" w:cs="Arial"/>
          <w:sz w:val="24"/>
          <w:szCs w:val="24"/>
        </w:rPr>
        <w:t>.</w:t>
      </w:r>
    </w:p>
    <w:p w:rsidR="004E6C81" w:rsidRDefault="004E6C81" w:rsidP="004E6C81">
      <w:pPr>
        <w:pStyle w:val="ListParagraph"/>
        <w:rPr>
          <w:rFonts w:ascii="Arial" w:hAnsi="Arial" w:cs="Arial"/>
          <w:sz w:val="24"/>
          <w:szCs w:val="24"/>
        </w:rPr>
      </w:pPr>
    </w:p>
    <w:p w:rsidR="004E6C81" w:rsidRPr="004E6C81" w:rsidRDefault="004E6C81" w:rsidP="004E6C81">
      <w:pPr>
        <w:rPr>
          <w:rFonts w:ascii="Arial" w:hAnsi="Arial" w:cs="Arial"/>
          <w:sz w:val="24"/>
          <w:szCs w:val="24"/>
          <w:u w:val="single"/>
        </w:rPr>
      </w:pPr>
      <w:r>
        <w:rPr>
          <w:rFonts w:ascii="Arial" w:hAnsi="Arial" w:cs="Arial"/>
          <w:sz w:val="24"/>
          <w:szCs w:val="24"/>
          <w:u w:val="single"/>
        </w:rPr>
        <w:t>The approach of the High Court</w:t>
      </w:r>
    </w:p>
    <w:p w:rsidR="004921A4" w:rsidRDefault="004E6C81"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found that the cancel</w:t>
      </w:r>
      <w:r w:rsidR="00120F58">
        <w:rPr>
          <w:rFonts w:ascii="Arial" w:hAnsi="Arial" w:cs="Arial"/>
          <w:sz w:val="24"/>
          <w:szCs w:val="24"/>
        </w:rPr>
        <w:t>l</w:t>
      </w:r>
      <w:r>
        <w:rPr>
          <w:rFonts w:ascii="Arial" w:hAnsi="Arial" w:cs="Arial"/>
          <w:sz w:val="24"/>
          <w:szCs w:val="24"/>
        </w:rPr>
        <w:t>ation of the</w:t>
      </w:r>
      <w:r w:rsidR="00626913">
        <w:rPr>
          <w:rFonts w:ascii="Arial" w:hAnsi="Arial" w:cs="Arial"/>
          <w:sz w:val="24"/>
          <w:szCs w:val="24"/>
        </w:rPr>
        <w:t xml:space="preserve"> appellant’s</w:t>
      </w:r>
      <w:r>
        <w:rPr>
          <w:rFonts w:ascii="Arial" w:hAnsi="Arial" w:cs="Arial"/>
          <w:sz w:val="24"/>
          <w:szCs w:val="24"/>
        </w:rPr>
        <w:t xml:space="preserve"> claims by the Minister was outside his powers and unlawful. The court correctly found that</w:t>
      </w:r>
      <w:r w:rsidR="004921A4">
        <w:rPr>
          <w:rFonts w:ascii="Arial" w:hAnsi="Arial" w:cs="Arial"/>
          <w:sz w:val="24"/>
          <w:szCs w:val="24"/>
        </w:rPr>
        <w:t xml:space="preserve"> the power to cancel in</w:t>
      </w:r>
      <w:r>
        <w:rPr>
          <w:rFonts w:ascii="Arial" w:hAnsi="Arial" w:cs="Arial"/>
          <w:sz w:val="24"/>
          <w:szCs w:val="24"/>
        </w:rPr>
        <w:t xml:space="preserve"> s 44 </w:t>
      </w:r>
      <w:r w:rsidR="004921A4">
        <w:rPr>
          <w:rFonts w:ascii="Arial" w:hAnsi="Arial" w:cs="Arial"/>
          <w:sz w:val="24"/>
          <w:szCs w:val="24"/>
        </w:rPr>
        <w:t>is vested</w:t>
      </w:r>
      <w:r>
        <w:rPr>
          <w:rFonts w:ascii="Arial" w:hAnsi="Arial" w:cs="Arial"/>
          <w:sz w:val="24"/>
          <w:szCs w:val="24"/>
        </w:rPr>
        <w:t xml:space="preserve"> in the Mining Commissioner and set aside the Minister’s decision to do so. The respondents understandably did not cross appeal that finding and ruling. </w:t>
      </w:r>
    </w:p>
    <w:p w:rsidR="004921A4" w:rsidRDefault="004921A4" w:rsidP="004921A4">
      <w:pPr>
        <w:pStyle w:val="NoSpacing"/>
        <w:spacing w:line="480" w:lineRule="auto"/>
        <w:jc w:val="both"/>
        <w:rPr>
          <w:rFonts w:ascii="Arial" w:hAnsi="Arial" w:cs="Arial"/>
          <w:sz w:val="24"/>
          <w:szCs w:val="24"/>
        </w:rPr>
      </w:pPr>
    </w:p>
    <w:p w:rsidR="004E6C81" w:rsidRDefault="004E6C81"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exercise of its discretion, the court received the affidavit of Mr Shivolo and decline</w:t>
      </w:r>
      <w:r w:rsidR="006406F0">
        <w:rPr>
          <w:rFonts w:ascii="Arial" w:hAnsi="Arial" w:cs="Arial"/>
          <w:sz w:val="24"/>
          <w:szCs w:val="24"/>
        </w:rPr>
        <w:t>d</w:t>
      </w:r>
      <w:r>
        <w:rPr>
          <w:rFonts w:ascii="Arial" w:hAnsi="Arial" w:cs="Arial"/>
          <w:sz w:val="24"/>
          <w:szCs w:val="24"/>
        </w:rPr>
        <w:t xml:space="preserve"> the</w:t>
      </w:r>
      <w:r w:rsidR="006406F0">
        <w:rPr>
          <w:rFonts w:ascii="Arial" w:hAnsi="Arial" w:cs="Arial"/>
          <w:sz w:val="24"/>
          <w:szCs w:val="24"/>
        </w:rPr>
        <w:t xml:space="preserve"> appellant’s</w:t>
      </w:r>
      <w:r>
        <w:rPr>
          <w:rFonts w:ascii="Arial" w:hAnsi="Arial" w:cs="Arial"/>
          <w:sz w:val="24"/>
          <w:szCs w:val="24"/>
        </w:rPr>
        <w:t xml:space="preserve"> invitation to strike it from the record.</w:t>
      </w:r>
    </w:p>
    <w:p w:rsidR="004E6C81" w:rsidRDefault="004E6C81" w:rsidP="004E6C81">
      <w:pPr>
        <w:pStyle w:val="ListParagraph"/>
        <w:rPr>
          <w:rFonts w:ascii="Arial" w:hAnsi="Arial" w:cs="Arial"/>
          <w:sz w:val="24"/>
          <w:szCs w:val="24"/>
        </w:rPr>
      </w:pPr>
    </w:p>
    <w:p w:rsidR="0088335A" w:rsidRDefault="0088335A" w:rsidP="004E6C81">
      <w:pPr>
        <w:pStyle w:val="ListParagraph"/>
        <w:rPr>
          <w:rFonts w:ascii="Arial" w:hAnsi="Arial" w:cs="Arial"/>
          <w:sz w:val="24"/>
          <w:szCs w:val="24"/>
        </w:rPr>
      </w:pPr>
    </w:p>
    <w:p w:rsidR="004E6C81" w:rsidRDefault="004E6C81"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Turning to the conditional </w:t>
      </w:r>
      <w:r w:rsidR="00F7288F">
        <w:rPr>
          <w:rFonts w:ascii="Arial" w:hAnsi="Arial" w:cs="Arial"/>
          <w:sz w:val="24"/>
          <w:szCs w:val="24"/>
        </w:rPr>
        <w:t>counter application</w:t>
      </w:r>
      <w:r>
        <w:rPr>
          <w:rFonts w:ascii="Arial" w:hAnsi="Arial" w:cs="Arial"/>
          <w:sz w:val="24"/>
          <w:szCs w:val="24"/>
        </w:rPr>
        <w:t>, the court found that the respondents had established that the claims overlapped, taking into account the evidence of the expert witness</w:t>
      </w:r>
      <w:r w:rsidR="0013380E">
        <w:rPr>
          <w:rFonts w:ascii="Arial" w:hAnsi="Arial" w:cs="Arial"/>
          <w:sz w:val="24"/>
          <w:szCs w:val="24"/>
        </w:rPr>
        <w:t>, Mr Pieterse,</w:t>
      </w:r>
      <w:r>
        <w:rPr>
          <w:rFonts w:ascii="Arial" w:hAnsi="Arial" w:cs="Arial"/>
          <w:sz w:val="24"/>
          <w:szCs w:val="24"/>
        </w:rPr>
        <w:t xml:space="preserve"> and</w:t>
      </w:r>
      <w:r w:rsidR="004921A4">
        <w:rPr>
          <w:rFonts w:ascii="Arial" w:hAnsi="Arial" w:cs="Arial"/>
          <w:sz w:val="24"/>
          <w:szCs w:val="24"/>
        </w:rPr>
        <w:t xml:space="preserve"> the</w:t>
      </w:r>
      <w:r>
        <w:rPr>
          <w:rFonts w:ascii="Arial" w:hAnsi="Arial" w:cs="Arial"/>
          <w:sz w:val="24"/>
          <w:szCs w:val="24"/>
        </w:rPr>
        <w:t xml:space="preserve"> Mining Commissioner. The court held that s 125 found application and that the application </w:t>
      </w:r>
      <w:r w:rsidR="00C017E7">
        <w:rPr>
          <w:rFonts w:ascii="Arial" w:hAnsi="Arial" w:cs="Arial"/>
          <w:sz w:val="24"/>
          <w:szCs w:val="24"/>
        </w:rPr>
        <w:t xml:space="preserve">to the Ministry </w:t>
      </w:r>
      <w:r>
        <w:rPr>
          <w:rFonts w:ascii="Arial" w:hAnsi="Arial" w:cs="Arial"/>
          <w:sz w:val="24"/>
          <w:szCs w:val="24"/>
        </w:rPr>
        <w:t>received first – namely the third respondent’s – should have been considered first and set aside the granting and registration of appellant’s claim</w:t>
      </w:r>
      <w:r w:rsidR="00C017E7">
        <w:rPr>
          <w:rFonts w:ascii="Arial" w:hAnsi="Arial" w:cs="Arial"/>
          <w:sz w:val="24"/>
          <w:szCs w:val="24"/>
        </w:rPr>
        <w:t xml:space="preserve">s </w:t>
      </w:r>
      <w:r w:rsidR="00626913">
        <w:rPr>
          <w:rFonts w:ascii="Arial" w:hAnsi="Arial" w:cs="Arial"/>
          <w:sz w:val="24"/>
          <w:szCs w:val="24"/>
        </w:rPr>
        <w:t xml:space="preserve">over the same area </w:t>
      </w:r>
      <w:r w:rsidR="00C017E7">
        <w:rPr>
          <w:rFonts w:ascii="Arial" w:hAnsi="Arial" w:cs="Arial"/>
          <w:sz w:val="24"/>
          <w:szCs w:val="24"/>
        </w:rPr>
        <w:t>and referred the matter back to the Ministry for further action.</w:t>
      </w:r>
    </w:p>
    <w:p w:rsidR="00B337A2" w:rsidRDefault="00B337A2" w:rsidP="00B337A2">
      <w:pPr>
        <w:pStyle w:val="ListParagraph"/>
        <w:rPr>
          <w:rFonts w:ascii="Arial" w:hAnsi="Arial" w:cs="Arial"/>
          <w:sz w:val="24"/>
          <w:szCs w:val="24"/>
        </w:rPr>
      </w:pPr>
    </w:p>
    <w:p w:rsidR="00B337A2" w:rsidRDefault="00B337A2"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appeals against that decision. Whilst the respondents oppose the appeal, they d</w:t>
      </w:r>
      <w:r w:rsidR="004921A4">
        <w:rPr>
          <w:rFonts w:ascii="Arial" w:hAnsi="Arial" w:cs="Arial"/>
          <w:sz w:val="24"/>
          <w:szCs w:val="24"/>
        </w:rPr>
        <w:t>o</w:t>
      </w:r>
      <w:r>
        <w:rPr>
          <w:rFonts w:ascii="Arial" w:hAnsi="Arial" w:cs="Arial"/>
          <w:sz w:val="24"/>
          <w:szCs w:val="24"/>
        </w:rPr>
        <w:t xml:space="preserve"> not take issue with the setting aside of the Minister’s cancella</w:t>
      </w:r>
      <w:r w:rsidR="00120F58">
        <w:rPr>
          <w:rFonts w:ascii="Arial" w:hAnsi="Arial" w:cs="Arial"/>
          <w:sz w:val="24"/>
          <w:szCs w:val="24"/>
        </w:rPr>
        <w:t>tion of the appellant’s claims.</w:t>
      </w:r>
    </w:p>
    <w:p w:rsidR="00B337A2" w:rsidRDefault="00B337A2" w:rsidP="00B337A2">
      <w:pPr>
        <w:rPr>
          <w:rFonts w:ascii="Arial" w:hAnsi="Arial" w:cs="Arial"/>
          <w:sz w:val="24"/>
          <w:szCs w:val="24"/>
        </w:rPr>
      </w:pPr>
    </w:p>
    <w:p w:rsidR="00B337A2" w:rsidRPr="00B337A2" w:rsidRDefault="00B337A2" w:rsidP="00B337A2">
      <w:pPr>
        <w:rPr>
          <w:rFonts w:ascii="Arial" w:hAnsi="Arial" w:cs="Arial"/>
          <w:sz w:val="24"/>
          <w:szCs w:val="24"/>
          <w:u w:val="single"/>
        </w:rPr>
      </w:pPr>
      <w:r>
        <w:rPr>
          <w:rFonts w:ascii="Arial" w:hAnsi="Arial" w:cs="Arial"/>
          <w:sz w:val="24"/>
          <w:szCs w:val="24"/>
          <w:u w:val="single"/>
        </w:rPr>
        <w:t>The parties’ submissions</w:t>
      </w:r>
    </w:p>
    <w:p w:rsidR="00980095" w:rsidRPr="00980095" w:rsidRDefault="00B337A2" w:rsidP="0098009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the appellant contended that the court below erred in refusing to strike Mr Shivolo’s </w:t>
      </w:r>
      <w:r w:rsidR="00980095">
        <w:rPr>
          <w:rFonts w:ascii="Arial" w:hAnsi="Arial" w:cs="Arial"/>
          <w:sz w:val="24"/>
          <w:szCs w:val="24"/>
        </w:rPr>
        <w:t xml:space="preserve">affidavit and by taking its contents into account. Counsel argued that this was </w:t>
      </w:r>
      <w:r w:rsidR="004921A4">
        <w:rPr>
          <w:rFonts w:ascii="Arial" w:hAnsi="Arial" w:cs="Arial"/>
          <w:sz w:val="24"/>
          <w:szCs w:val="24"/>
        </w:rPr>
        <w:t>in</w:t>
      </w:r>
      <w:r w:rsidR="00980095">
        <w:rPr>
          <w:rFonts w:ascii="Arial" w:hAnsi="Arial" w:cs="Arial"/>
          <w:sz w:val="24"/>
          <w:szCs w:val="24"/>
        </w:rPr>
        <w:t xml:space="preserve"> breach of the appellant’s constitutional rights to a fair trial.</w:t>
      </w:r>
      <w:r w:rsidR="00980095">
        <w:rPr>
          <w:rStyle w:val="FootnoteReference"/>
          <w:rFonts w:ascii="Arial" w:hAnsi="Arial" w:cs="Arial"/>
          <w:sz w:val="24"/>
          <w:szCs w:val="24"/>
        </w:rPr>
        <w:footnoteReference w:id="1"/>
      </w:r>
      <w:r w:rsidR="00980095">
        <w:rPr>
          <w:rFonts w:ascii="Arial" w:hAnsi="Arial" w:cs="Arial"/>
          <w:sz w:val="24"/>
          <w:szCs w:val="24"/>
        </w:rPr>
        <w:t xml:space="preserve"> It was further contended that the </w:t>
      </w:r>
      <w:r w:rsidR="00120F58">
        <w:rPr>
          <w:rFonts w:ascii="Arial" w:hAnsi="Arial" w:cs="Arial"/>
          <w:sz w:val="24"/>
          <w:szCs w:val="24"/>
        </w:rPr>
        <w:t xml:space="preserve">Mining </w:t>
      </w:r>
      <w:r w:rsidR="00980095">
        <w:rPr>
          <w:rFonts w:ascii="Arial" w:hAnsi="Arial" w:cs="Arial"/>
          <w:sz w:val="24"/>
          <w:szCs w:val="24"/>
        </w:rPr>
        <w:t>Commissioner was a party to the proceedings and had not sought condonation ‘for the late filing’ of this affidavit</w:t>
      </w:r>
      <w:r w:rsidR="00C017E7">
        <w:rPr>
          <w:rFonts w:ascii="Arial" w:hAnsi="Arial" w:cs="Arial"/>
          <w:sz w:val="24"/>
          <w:szCs w:val="24"/>
        </w:rPr>
        <w:t xml:space="preserve"> as is required by </w:t>
      </w:r>
      <w:r w:rsidR="002E0648">
        <w:rPr>
          <w:rFonts w:ascii="Arial" w:hAnsi="Arial" w:cs="Arial"/>
          <w:sz w:val="24"/>
          <w:szCs w:val="24"/>
        </w:rPr>
        <w:t xml:space="preserve">        </w:t>
      </w:r>
      <w:r w:rsidR="00C017E7">
        <w:rPr>
          <w:rFonts w:ascii="Arial" w:hAnsi="Arial" w:cs="Arial"/>
          <w:sz w:val="24"/>
          <w:szCs w:val="24"/>
        </w:rPr>
        <w:t>rule 5</w:t>
      </w:r>
      <w:r w:rsidR="009B6235">
        <w:rPr>
          <w:rFonts w:ascii="Arial" w:hAnsi="Arial" w:cs="Arial"/>
          <w:sz w:val="24"/>
          <w:szCs w:val="24"/>
        </w:rPr>
        <w:t>4</w:t>
      </w:r>
      <w:r w:rsidR="00C017E7">
        <w:rPr>
          <w:rFonts w:ascii="Arial" w:hAnsi="Arial" w:cs="Arial"/>
          <w:sz w:val="24"/>
          <w:szCs w:val="24"/>
        </w:rPr>
        <w:t>(</w:t>
      </w:r>
      <w:r w:rsidR="009B6235">
        <w:rPr>
          <w:rFonts w:ascii="Arial" w:hAnsi="Arial" w:cs="Arial"/>
          <w:sz w:val="24"/>
          <w:szCs w:val="24"/>
        </w:rPr>
        <w:t>3</w:t>
      </w:r>
      <w:r w:rsidR="00C017E7">
        <w:rPr>
          <w:rFonts w:ascii="Arial" w:hAnsi="Arial" w:cs="Arial"/>
          <w:sz w:val="24"/>
          <w:szCs w:val="24"/>
        </w:rPr>
        <w:t xml:space="preserve">) of the High Court </w:t>
      </w:r>
      <w:r w:rsidR="000D4BDB">
        <w:rPr>
          <w:rFonts w:ascii="Arial" w:hAnsi="Arial" w:cs="Arial"/>
          <w:sz w:val="24"/>
          <w:szCs w:val="24"/>
        </w:rPr>
        <w:t>R</w:t>
      </w:r>
      <w:r w:rsidR="00C017E7">
        <w:rPr>
          <w:rFonts w:ascii="Arial" w:hAnsi="Arial" w:cs="Arial"/>
          <w:sz w:val="24"/>
          <w:szCs w:val="24"/>
        </w:rPr>
        <w:t>ules</w:t>
      </w:r>
      <w:r w:rsidR="00120F58">
        <w:rPr>
          <w:rFonts w:ascii="Arial" w:hAnsi="Arial" w:cs="Arial"/>
          <w:sz w:val="24"/>
          <w:szCs w:val="24"/>
        </w:rPr>
        <w:t xml:space="preserve"> and that the Minister and Mining Commissioner were barred</w:t>
      </w:r>
      <w:r w:rsidR="0013380E">
        <w:rPr>
          <w:rFonts w:ascii="Arial" w:hAnsi="Arial" w:cs="Arial"/>
          <w:sz w:val="24"/>
          <w:szCs w:val="24"/>
        </w:rPr>
        <w:t xml:space="preserve"> as a consequence</w:t>
      </w:r>
      <w:r w:rsidR="00980095">
        <w:rPr>
          <w:rFonts w:ascii="Arial" w:hAnsi="Arial" w:cs="Arial"/>
          <w:sz w:val="24"/>
          <w:szCs w:val="24"/>
        </w:rPr>
        <w:t xml:space="preserve">. </w:t>
      </w:r>
      <w:r w:rsidR="00120F58">
        <w:rPr>
          <w:rFonts w:ascii="Arial" w:hAnsi="Arial" w:cs="Arial"/>
          <w:sz w:val="24"/>
          <w:szCs w:val="24"/>
        </w:rPr>
        <w:t>Counsel pointed out</w:t>
      </w:r>
      <w:r w:rsidR="004921A4">
        <w:rPr>
          <w:rFonts w:ascii="Arial" w:hAnsi="Arial" w:cs="Arial"/>
          <w:sz w:val="24"/>
          <w:szCs w:val="24"/>
        </w:rPr>
        <w:t xml:space="preserve"> in oral argument</w:t>
      </w:r>
      <w:r w:rsidR="00120F58">
        <w:rPr>
          <w:rFonts w:ascii="Arial" w:hAnsi="Arial" w:cs="Arial"/>
          <w:sz w:val="24"/>
          <w:szCs w:val="24"/>
        </w:rPr>
        <w:t xml:space="preserve"> that the Mining Commissioner was represented in court at the case management hearing </w:t>
      </w:r>
      <w:r w:rsidR="0013380E">
        <w:rPr>
          <w:rFonts w:ascii="Arial" w:hAnsi="Arial" w:cs="Arial"/>
          <w:sz w:val="24"/>
          <w:szCs w:val="24"/>
        </w:rPr>
        <w:t>when</w:t>
      </w:r>
      <w:r w:rsidR="00120F58">
        <w:rPr>
          <w:rFonts w:ascii="Arial" w:hAnsi="Arial" w:cs="Arial"/>
          <w:sz w:val="24"/>
          <w:szCs w:val="24"/>
        </w:rPr>
        <w:t xml:space="preserve"> the dates for the filing of affidavits</w:t>
      </w:r>
      <w:r w:rsidR="0013380E">
        <w:rPr>
          <w:rFonts w:ascii="Arial" w:hAnsi="Arial" w:cs="Arial"/>
          <w:sz w:val="24"/>
          <w:szCs w:val="24"/>
        </w:rPr>
        <w:t xml:space="preserve"> were provided</w:t>
      </w:r>
      <w:r w:rsidR="00120F58">
        <w:rPr>
          <w:rFonts w:ascii="Arial" w:hAnsi="Arial" w:cs="Arial"/>
          <w:sz w:val="24"/>
          <w:szCs w:val="24"/>
        </w:rPr>
        <w:t>.</w:t>
      </w:r>
      <w:r w:rsidR="0013380E">
        <w:rPr>
          <w:rFonts w:ascii="Arial" w:hAnsi="Arial" w:cs="Arial"/>
          <w:sz w:val="24"/>
          <w:szCs w:val="24"/>
        </w:rPr>
        <w:t xml:space="preserve"> </w:t>
      </w:r>
      <w:r w:rsidR="00980095">
        <w:rPr>
          <w:rFonts w:ascii="Arial" w:hAnsi="Arial" w:cs="Arial"/>
          <w:sz w:val="24"/>
          <w:szCs w:val="24"/>
        </w:rPr>
        <w:t xml:space="preserve">Counsel submitted that the appellant was prejudiced </w:t>
      </w:r>
      <w:r w:rsidR="0013380E">
        <w:rPr>
          <w:rFonts w:ascii="Arial" w:hAnsi="Arial" w:cs="Arial"/>
          <w:sz w:val="24"/>
          <w:szCs w:val="24"/>
        </w:rPr>
        <w:t xml:space="preserve">by the filing of Mr Shivolo’s affidavit </w:t>
      </w:r>
      <w:r w:rsidR="00980095">
        <w:rPr>
          <w:rFonts w:ascii="Arial" w:hAnsi="Arial" w:cs="Arial"/>
          <w:sz w:val="24"/>
          <w:szCs w:val="24"/>
        </w:rPr>
        <w:t>as he had already filed his replying affidavit.</w:t>
      </w:r>
    </w:p>
    <w:p w:rsidR="00B337A2" w:rsidRDefault="00B337A2" w:rsidP="00B337A2">
      <w:pPr>
        <w:pStyle w:val="ListParagraph"/>
        <w:rPr>
          <w:rFonts w:ascii="Arial" w:hAnsi="Arial" w:cs="Arial"/>
          <w:sz w:val="24"/>
          <w:szCs w:val="24"/>
        </w:rPr>
      </w:pPr>
    </w:p>
    <w:p w:rsidR="0088335A" w:rsidRDefault="0088335A" w:rsidP="00B337A2">
      <w:pPr>
        <w:pStyle w:val="ListParagraph"/>
        <w:rPr>
          <w:rFonts w:ascii="Arial" w:hAnsi="Arial" w:cs="Arial"/>
          <w:sz w:val="24"/>
          <w:szCs w:val="24"/>
        </w:rPr>
      </w:pPr>
    </w:p>
    <w:p w:rsidR="00B337A2" w:rsidRDefault="00980095"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also took issue with the court’s finding that the </w:t>
      </w:r>
      <w:r w:rsidR="00181928">
        <w:rPr>
          <w:rFonts w:ascii="Arial" w:hAnsi="Arial" w:cs="Arial"/>
          <w:sz w:val="24"/>
          <w:szCs w:val="24"/>
        </w:rPr>
        <w:t xml:space="preserve">coordinates </w:t>
      </w:r>
      <w:r>
        <w:rPr>
          <w:rFonts w:ascii="Arial" w:hAnsi="Arial" w:cs="Arial"/>
          <w:sz w:val="24"/>
          <w:szCs w:val="24"/>
        </w:rPr>
        <w:t>of the third respondent’s claims matched that of its later claims applied for and</w:t>
      </w:r>
      <w:r w:rsidR="0013380E">
        <w:rPr>
          <w:rFonts w:ascii="Arial" w:hAnsi="Arial" w:cs="Arial"/>
          <w:sz w:val="24"/>
          <w:szCs w:val="24"/>
        </w:rPr>
        <w:t xml:space="preserve"> objected</w:t>
      </w:r>
      <w:r>
        <w:rPr>
          <w:rFonts w:ascii="Arial" w:hAnsi="Arial" w:cs="Arial"/>
          <w:sz w:val="24"/>
          <w:szCs w:val="24"/>
        </w:rPr>
        <w:t xml:space="preserve"> to the finding of an overlap of </w:t>
      </w:r>
      <w:r w:rsidR="004921A4">
        <w:rPr>
          <w:rFonts w:ascii="Arial" w:hAnsi="Arial" w:cs="Arial"/>
          <w:sz w:val="24"/>
          <w:szCs w:val="24"/>
        </w:rPr>
        <w:t>those claim areas</w:t>
      </w:r>
      <w:r>
        <w:rPr>
          <w:rFonts w:ascii="Arial" w:hAnsi="Arial" w:cs="Arial"/>
          <w:sz w:val="24"/>
          <w:szCs w:val="24"/>
        </w:rPr>
        <w:t xml:space="preserve"> with the appellant’s claims 70056 and 70057. It was argued that the court was not entitled to rely on Mr Shivolo’s statement to this effect and </w:t>
      </w:r>
      <w:r w:rsidR="00C017E7">
        <w:rPr>
          <w:rFonts w:ascii="Arial" w:hAnsi="Arial" w:cs="Arial"/>
          <w:sz w:val="24"/>
          <w:szCs w:val="24"/>
        </w:rPr>
        <w:t xml:space="preserve">that </w:t>
      </w:r>
      <w:r>
        <w:rPr>
          <w:rFonts w:ascii="Arial" w:hAnsi="Arial" w:cs="Arial"/>
          <w:sz w:val="24"/>
          <w:szCs w:val="24"/>
        </w:rPr>
        <w:t>the respondents</w:t>
      </w:r>
      <w:r w:rsidR="000D4BDB">
        <w:rPr>
          <w:rFonts w:ascii="Arial" w:hAnsi="Arial" w:cs="Arial"/>
          <w:sz w:val="24"/>
          <w:szCs w:val="24"/>
        </w:rPr>
        <w:t>’</w:t>
      </w:r>
      <w:r>
        <w:rPr>
          <w:rFonts w:ascii="Arial" w:hAnsi="Arial" w:cs="Arial"/>
          <w:sz w:val="24"/>
          <w:szCs w:val="24"/>
        </w:rPr>
        <w:t xml:space="preserve"> expert’s evidence </w:t>
      </w:r>
      <w:r w:rsidR="004921A4">
        <w:rPr>
          <w:rFonts w:ascii="Arial" w:hAnsi="Arial" w:cs="Arial"/>
          <w:sz w:val="24"/>
          <w:szCs w:val="24"/>
        </w:rPr>
        <w:t xml:space="preserve">(of Mr Pieterse) </w:t>
      </w:r>
      <w:r>
        <w:rPr>
          <w:rFonts w:ascii="Arial" w:hAnsi="Arial" w:cs="Arial"/>
          <w:sz w:val="24"/>
          <w:szCs w:val="24"/>
        </w:rPr>
        <w:t>did not establish this.</w:t>
      </w:r>
    </w:p>
    <w:p w:rsidR="00B337A2" w:rsidRDefault="00B337A2" w:rsidP="00B337A2">
      <w:pPr>
        <w:pStyle w:val="ListParagraph"/>
        <w:rPr>
          <w:rFonts w:ascii="Arial" w:hAnsi="Arial" w:cs="Arial"/>
          <w:sz w:val="24"/>
          <w:szCs w:val="24"/>
        </w:rPr>
      </w:pPr>
    </w:p>
    <w:p w:rsidR="00B337A2" w:rsidRDefault="00980095"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Finally, counsel for the appellant took issue with the court’s finding that a contravention of s 125 would lead to the invalidity of mining claims granted out of sequence.</w:t>
      </w:r>
    </w:p>
    <w:p w:rsidR="00B337A2" w:rsidRDefault="00B337A2" w:rsidP="00B337A2">
      <w:pPr>
        <w:pStyle w:val="ListParagraph"/>
        <w:rPr>
          <w:rFonts w:ascii="Arial" w:hAnsi="Arial" w:cs="Arial"/>
          <w:sz w:val="24"/>
          <w:szCs w:val="24"/>
        </w:rPr>
      </w:pPr>
    </w:p>
    <w:p w:rsidR="00B337A2" w:rsidRDefault="00A1240B"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was contended that the legislature did not intend invalidity would follow upon non-compliance with s 125, especially where application</w:t>
      </w:r>
      <w:r w:rsidR="00C017E7">
        <w:rPr>
          <w:rFonts w:ascii="Arial" w:hAnsi="Arial" w:cs="Arial"/>
          <w:sz w:val="24"/>
          <w:szCs w:val="24"/>
        </w:rPr>
        <w:t>s</w:t>
      </w:r>
      <w:r>
        <w:rPr>
          <w:rFonts w:ascii="Arial" w:hAnsi="Arial" w:cs="Arial"/>
          <w:sz w:val="24"/>
          <w:szCs w:val="24"/>
        </w:rPr>
        <w:t xml:space="preserve"> were not </w:t>
      </w:r>
      <w:r w:rsidR="00120F58">
        <w:rPr>
          <w:rFonts w:ascii="Arial" w:hAnsi="Arial" w:cs="Arial"/>
          <w:sz w:val="24"/>
          <w:szCs w:val="24"/>
        </w:rPr>
        <w:t xml:space="preserve">in respect of the same minerals, relying upon </w:t>
      </w:r>
      <w:r w:rsidR="00120F58">
        <w:rPr>
          <w:rFonts w:ascii="Arial" w:hAnsi="Arial" w:cs="Arial"/>
          <w:i/>
          <w:sz w:val="24"/>
          <w:szCs w:val="24"/>
        </w:rPr>
        <w:t>Torbitt</w:t>
      </w:r>
      <w:r w:rsidR="000D4BDB">
        <w:rPr>
          <w:rFonts w:ascii="Arial" w:hAnsi="Arial" w:cs="Arial"/>
          <w:i/>
          <w:sz w:val="24"/>
          <w:szCs w:val="24"/>
        </w:rPr>
        <w:t xml:space="preserve"> and others</w:t>
      </w:r>
      <w:r w:rsidR="00120F58">
        <w:rPr>
          <w:rFonts w:ascii="Arial" w:hAnsi="Arial" w:cs="Arial"/>
          <w:i/>
          <w:sz w:val="24"/>
          <w:szCs w:val="24"/>
        </w:rPr>
        <w:t xml:space="preserve"> v International University of Management.</w:t>
      </w:r>
      <w:r w:rsidR="00120F58" w:rsidRPr="009B6235">
        <w:rPr>
          <w:rStyle w:val="FootnoteReference"/>
          <w:rFonts w:ascii="Arial" w:hAnsi="Arial" w:cs="Arial"/>
          <w:sz w:val="24"/>
          <w:szCs w:val="24"/>
        </w:rPr>
        <w:footnoteReference w:id="2"/>
      </w:r>
    </w:p>
    <w:p w:rsidR="00B337A2" w:rsidRDefault="00B337A2" w:rsidP="00B337A2">
      <w:pPr>
        <w:pStyle w:val="ListParagraph"/>
        <w:rPr>
          <w:rFonts w:ascii="Arial" w:hAnsi="Arial" w:cs="Arial"/>
          <w:sz w:val="24"/>
          <w:szCs w:val="24"/>
        </w:rPr>
      </w:pPr>
    </w:p>
    <w:p w:rsidR="00B337A2" w:rsidRDefault="00A1240B"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the respondents argued that the material facts properly approached demonstrated that the claims were considered contrary to the </w:t>
      </w:r>
      <w:r w:rsidR="00C017E7">
        <w:rPr>
          <w:rFonts w:ascii="Arial" w:hAnsi="Arial" w:cs="Arial"/>
          <w:sz w:val="24"/>
          <w:szCs w:val="24"/>
        </w:rPr>
        <w:t>priority</w:t>
      </w:r>
      <w:r>
        <w:rPr>
          <w:rFonts w:ascii="Arial" w:hAnsi="Arial" w:cs="Arial"/>
          <w:sz w:val="24"/>
          <w:szCs w:val="24"/>
        </w:rPr>
        <w:t xml:space="preserve"> established by s 125 and that the appellant’s claims were correctly set aside</w:t>
      </w:r>
      <w:r w:rsidR="004921A4">
        <w:rPr>
          <w:rFonts w:ascii="Arial" w:hAnsi="Arial" w:cs="Arial"/>
          <w:sz w:val="24"/>
          <w:szCs w:val="24"/>
        </w:rPr>
        <w:t xml:space="preserve"> as a consequence</w:t>
      </w:r>
      <w:r>
        <w:rPr>
          <w:rFonts w:ascii="Arial" w:hAnsi="Arial" w:cs="Arial"/>
          <w:sz w:val="24"/>
          <w:szCs w:val="24"/>
        </w:rPr>
        <w:t>. It was also contended that</w:t>
      </w:r>
      <w:r w:rsidR="009B6235">
        <w:rPr>
          <w:rFonts w:ascii="Arial" w:hAnsi="Arial" w:cs="Arial"/>
          <w:sz w:val="24"/>
          <w:szCs w:val="24"/>
        </w:rPr>
        <w:t>,</w:t>
      </w:r>
      <w:r>
        <w:rPr>
          <w:rFonts w:ascii="Arial" w:hAnsi="Arial" w:cs="Arial"/>
          <w:sz w:val="24"/>
          <w:szCs w:val="24"/>
        </w:rPr>
        <w:t xml:space="preserve"> the appellant had dishonestly s</w:t>
      </w:r>
      <w:r w:rsidR="00CF11C4">
        <w:rPr>
          <w:rFonts w:ascii="Arial" w:hAnsi="Arial" w:cs="Arial"/>
          <w:sz w:val="24"/>
          <w:szCs w:val="24"/>
        </w:rPr>
        <w:t xml:space="preserve">ought to exploit errors in the </w:t>
      </w:r>
      <w:r w:rsidR="009B6235">
        <w:rPr>
          <w:rFonts w:ascii="Arial" w:hAnsi="Arial" w:cs="Arial"/>
          <w:sz w:val="24"/>
          <w:szCs w:val="24"/>
        </w:rPr>
        <w:t>M</w:t>
      </w:r>
      <w:r w:rsidR="00181928">
        <w:rPr>
          <w:rFonts w:ascii="Arial" w:hAnsi="Arial" w:cs="Arial"/>
          <w:sz w:val="24"/>
          <w:szCs w:val="24"/>
        </w:rPr>
        <w:t>inist</w:t>
      </w:r>
      <w:r>
        <w:rPr>
          <w:rFonts w:ascii="Arial" w:hAnsi="Arial" w:cs="Arial"/>
          <w:sz w:val="24"/>
          <w:szCs w:val="24"/>
        </w:rPr>
        <w:t>r</w:t>
      </w:r>
      <w:r w:rsidR="00CF11C4">
        <w:rPr>
          <w:rFonts w:ascii="Arial" w:hAnsi="Arial" w:cs="Arial"/>
          <w:sz w:val="24"/>
          <w:szCs w:val="24"/>
        </w:rPr>
        <w:t>y</w:t>
      </w:r>
      <w:r>
        <w:rPr>
          <w:rFonts w:ascii="Arial" w:hAnsi="Arial" w:cs="Arial"/>
          <w:sz w:val="24"/>
          <w:szCs w:val="24"/>
        </w:rPr>
        <w:t>’s system.</w:t>
      </w:r>
    </w:p>
    <w:p w:rsidR="00B337A2" w:rsidRDefault="00B337A2" w:rsidP="00B337A2">
      <w:pPr>
        <w:pStyle w:val="ListParagraph"/>
        <w:rPr>
          <w:rFonts w:ascii="Arial" w:hAnsi="Arial" w:cs="Arial"/>
          <w:sz w:val="24"/>
          <w:szCs w:val="24"/>
        </w:rPr>
      </w:pPr>
    </w:p>
    <w:p w:rsidR="00B337A2" w:rsidRDefault="00A1240B"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Respondents’ counsel further argued that the system of priority established by s 125 meant that conduct in conflict with the peremptory </w:t>
      </w:r>
      <w:r w:rsidR="00C017E7">
        <w:rPr>
          <w:rFonts w:ascii="Arial" w:hAnsi="Arial" w:cs="Arial"/>
          <w:sz w:val="24"/>
          <w:szCs w:val="24"/>
        </w:rPr>
        <w:t>wording of that</w:t>
      </w:r>
      <w:r>
        <w:rPr>
          <w:rFonts w:ascii="Arial" w:hAnsi="Arial" w:cs="Arial"/>
          <w:sz w:val="24"/>
          <w:szCs w:val="24"/>
        </w:rPr>
        <w:t xml:space="preserve"> </w:t>
      </w:r>
      <w:r w:rsidR="00626913">
        <w:rPr>
          <w:rFonts w:ascii="Arial" w:hAnsi="Arial" w:cs="Arial"/>
          <w:sz w:val="24"/>
          <w:szCs w:val="24"/>
        </w:rPr>
        <w:t xml:space="preserve">provision </w:t>
      </w:r>
      <w:r>
        <w:rPr>
          <w:rFonts w:ascii="Arial" w:hAnsi="Arial" w:cs="Arial"/>
          <w:sz w:val="24"/>
          <w:szCs w:val="24"/>
        </w:rPr>
        <w:t xml:space="preserve">rendered it a nullity. It was submitted that the facts established an overlap beyond reasonable dispute and that the appellant had failed to raise a valid defence to the </w:t>
      </w:r>
      <w:r w:rsidR="00F7288F">
        <w:rPr>
          <w:rFonts w:ascii="Arial" w:hAnsi="Arial" w:cs="Arial"/>
          <w:sz w:val="24"/>
          <w:szCs w:val="24"/>
        </w:rPr>
        <w:t>counter application</w:t>
      </w:r>
      <w:r>
        <w:rPr>
          <w:rFonts w:ascii="Arial" w:hAnsi="Arial" w:cs="Arial"/>
          <w:sz w:val="24"/>
          <w:szCs w:val="24"/>
        </w:rPr>
        <w:t>.</w:t>
      </w:r>
    </w:p>
    <w:p w:rsidR="00CF11C4" w:rsidRDefault="00CF11C4" w:rsidP="00CF11C4">
      <w:pPr>
        <w:pStyle w:val="ListParagraph"/>
        <w:rPr>
          <w:rFonts w:ascii="Arial" w:hAnsi="Arial" w:cs="Arial"/>
          <w:sz w:val="24"/>
          <w:szCs w:val="24"/>
        </w:rPr>
      </w:pPr>
    </w:p>
    <w:p w:rsidR="00CF11C4" w:rsidRDefault="00CF11C4"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the respondents also argued that Mr Shivolo’s affidavit was not an answering affidavit filed in opposition </w:t>
      </w:r>
      <w:r w:rsidR="0013380E">
        <w:rPr>
          <w:rFonts w:ascii="Arial" w:hAnsi="Arial" w:cs="Arial"/>
          <w:sz w:val="24"/>
          <w:szCs w:val="24"/>
        </w:rPr>
        <w:t>to the application</w:t>
      </w:r>
      <w:r w:rsidR="00181928">
        <w:rPr>
          <w:rFonts w:ascii="Arial" w:hAnsi="Arial" w:cs="Arial"/>
          <w:sz w:val="24"/>
          <w:szCs w:val="24"/>
        </w:rPr>
        <w:t>,</w:t>
      </w:r>
      <w:r w:rsidR="0013380E">
        <w:rPr>
          <w:rFonts w:ascii="Arial" w:hAnsi="Arial" w:cs="Arial"/>
          <w:sz w:val="24"/>
          <w:szCs w:val="24"/>
        </w:rPr>
        <w:t xml:space="preserve"> </w:t>
      </w:r>
      <w:r>
        <w:rPr>
          <w:rFonts w:ascii="Arial" w:hAnsi="Arial" w:cs="Arial"/>
          <w:sz w:val="24"/>
          <w:szCs w:val="24"/>
        </w:rPr>
        <w:t>but</w:t>
      </w:r>
      <w:r w:rsidR="004921A4">
        <w:rPr>
          <w:rFonts w:ascii="Arial" w:hAnsi="Arial" w:cs="Arial"/>
          <w:sz w:val="24"/>
          <w:szCs w:val="24"/>
        </w:rPr>
        <w:t xml:space="preserve"> was provided</w:t>
      </w:r>
      <w:r>
        <w:rPr>
          <w:rFonts w:ascii="Arial" w:hAnsi="Arial" w:cs="Arial"/>
          <w:sz w:val="24"/>
          <w:szCs w:val="24"/>
        </w:rPr>
        <w:t xml:space="preserve"> to explain the decision making out of a duty</w:t>
      </w:r>
      <w:r w:rsidR="004921A4">
        <w:rPr>
          <w:rFonts w:ascii="Arial" w:hAnsi="Arial" w:cs="Arial"/>
          <w:sz w:val="24"/>
          <w:szCs w:val="24"/>
        </w:rPr>
        <w:t xml:space="preserve"> on the part of the decision maker</w:t>
      </w:r>
      <w:r>
        <w:rPr>
          <w:rFonts w:ascii="Arial" w:hAnsi="Arial" w:cs="Arial"/>
          <w:sz w:val="24"/>
          <w:szCs w:val="24"/>
        </w:rPr>
        <w:t xml:space="preserve"> to do so. It was an irregular proceeding </w:t>
      </w:r>
      <w:r w:rsidR="0013380E">
        <w:rPr>
          <w:rFonts w:ascii="Arial" w:hAnsi="Arial" w:cs="Arial"/>
          <w:sz w:val="24"/>
          <w:szCs w:val="24"/>
        </w:rPr>
        <w:t>because of its lateness but would not result in parties being barred</w:t>
      </w:r>
      <w:r>
        <w:rPr>
          <w:rFonts w:ascii="Arial" w:hAnsi="Arial" w:cs="Arial"/>
          <w:sz w:val="24"/>
          <w:szCs w:val="24"/>
        </w:rPr>
        <w:t>. If the appellant had sought to set aside</w:t>
      </w:r>
      <w:r w:rsidR="0013380E">
        <w:rPr>
          <w:rFonts w:ascii="Arial" w:hAnsi="Arial" w:cs="Arial"/>
          <w:sz w:val="24"/>
          <w:szCs w:val="24"/>
        </w:rPr>
        <w:t xml:space="preserve"> the filing of the affidavit</w:t>
      </w:r>
      <w:r>
        <w:rPr>
          <w:rFonts w:ascii="Arial" w:hAnsi="Arial" w:cs="Arial"/>
          <w:sz w:val="24"/>
          <w:szCs w:val="24"/>
        </w:rPr>
        <w:t xml:space="preserve"> </w:t>
      </w:r>
      <w:r w:rsidR="004921A4">
        <w:rPr>
          <w:rFonts w:ascii="Arial" w:hAnsi="Arial" w:cs="Arial"/>
          <w:sz w:val="24"/>
          <w:szCs w:val="24"/>
        </w:rPr>
        <w:t xml:space="preserve">as an irregular proceeding </w:t>
      </w:r>
      <w:r>
        <w:rPr>
          <w:rFonts w:ascii="Arial" w:hAnsi="Arial" w:cs="Arial"/>
          <w:sz w:val="24"/>
          <w:szCs w:val="24"/>
        </w:rPr>
        <w:t>under rule 61, he would need to establish prejudice which had not been done.</w:t>
      </w:r>
    </w:p>
    <w:p w:rsidR="00B337A2" w:rsidRDefault="00B337A2" w:rsidP="00A1240B">
      <w:pPr>
        <w:rPr>
          <w:rFonts w:ascii="Arial" w:hAnsi="Arial" w:cs="Arial"/>
          <w:sz w:val="24"/>
          <w:szCs w:val="24"/>
        </w:rPr>
      </w:pPr>
    </w:p>
    <w:p w:rsidR="00A1240B" w:rsidRPr="00A1240B" w:rsidRDefault="00A1240B" w:rsidP="00A1240B">
      <w:pPr>
        <w:rPr>
          <w:rFonts w:ascii="Arial" w:hAnsi="Arial" w:cs="Arial"/>
          <w:sz w:val="24"/>
          <w:szCs w:val="24"/>
          <w:u w:val="single"/>
        </w:rPr>
      </w:pPr>
      <w:r>
        <w:rPr>
          <w:rFonts w:ascii="Arial" w:hAnsi="Arial" w:cs="Arial"/>
          <w:sz w:val="24"/>
          <w:szCs w:val="24"/>
          <w:u w:val="single"/>
        </w:rPr>
        <w:t>The High Court’s decision to receive the Mining Commissioner’s affidavit</w:t>
      </w:r>
    </w:p>
    <w:p w:rsidR="00B337A2" w:rsidRDefault="00A1240B" w:rsidP="007E580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Although notices </w:t>
      </w:r>
      <w:r w:rsidR="00C017E7">
        <w:rPr>
          <w:rFonts w:ascii="Arial" w:hAnsi="Arial" w:cs="Arial"/>
          <w:sz w:val="24"/>
          <w:szCs w:val="24"/>
        </w:rPr>
        <w:t xml:space="preserve">to oppose </w:t>
      </w:r>
      <w:r>
        <w:rPr>
          <w:rFonts w:ascii="Arial" w:hAnsi="Arial" w:cs="Arial"/>
          <w:sz w:val="24"/>
          <w:szCs w:val="24"/>
        </w:rPr>
        <w:t>were</w:t>
      </w:r>
      <w:r w:rsidR="00C017E7">
        <w:rPr>
          <w:rFonts w:ascii="Arial" w:hAnsi="Arial" w:cs="Arial"/>
          <w:sz w:val="24"/>
          <w:szCs w:val="24"/>
        </w:rPr>
        <w:t xml:space="preserve"> initially</w:t>
      </w:r>
      <w:r>
        <w:rPr>
          <w:rFonts w:ascii="Arial" w:hAnsi="Arial" w:cs="Arial"/>
          <w:sz w:val="24"/>
          <w:szCs w:val="24"/>
        </w:rPr>
        <w:t xml:space="preserve"> filed on behalf of the Minister and Mining Commissioner after service of the appellant’s application, they did not file answering affidavits and interim relief was granted by the High Court on 14 December 2017 while the main review application thereafter proceeded. The Minister and Mining Commissioner were required to file the review record pursuant to </w:t>
      </w:r>
      <w:r w:rsidR="00CF11C4">
        <w:rPr>
          <w:rFonts w:ascii="Arial" w:hAnsi="Arial" w:cs="Arial"/>
          <w:sz w:val="24"/>
          <w:szCs w:val="24"/>
        </w:rPr>
        <w:t>the</w:t>
      </w:r>
      <w:r>
        <w:rPr>
          <w:rFonts w:ascii="Arial" w:hAnsi="Arial" w:cs="Arial"/>
          <w:sz w:val="24"/>
          <w:szCs w:val="24"/>
        </w:rPr>
        <w:t xml:space="preserve"> joint case management report which was made </w:t>
      </w:r>
      <w:r w:rsidR="00CF11C4">
        <w:rPr>
          <w:rFonts w:ascii="Arial" w:hAnsi="Arial" w:cs="Arial"/>
          <w:sz w:val="24"/>
          <w:szCs w:val="24"/>
        </w:rPr>
        <w:t>an order of court</w:t>
      </w:r>
      <w:r w:rsidR="004921A4">
        <w:rPr>
          <w:rFonts w:ascii="Arial" w:hAnsi="Arial" w:cs="Arial"/>
          <w:sz w:val="24"/>
          <w:szCs w:val="24"/>
        </w:rPr>
        <w:t xml:space="preserve">. </w:t>
      </w:r>
      <w:r w:rsidR="0051747D">
        <w:rPr>
          <w:rFonts w:ascii="Arial" w:hAnsi="Arial" w:cs="Arial"/>
          <w:sz w:val="24"/>
          <w:szCs w:val="24"/>
        </w:rPr>
        <w:t xml:space="preserve">The respondents were required by this order to file </w:t>
      </w:r>
      <w:r w:rsidR="0051747D" w:rsidRPr="00CF11C4">
        <w:rPr>
          <w:rFonts w:ascii="Arial" w:hAnsi="Arial" w:cs="Arial"/>
          <w:sz w:val="24"/>
          <w:szCs w:val="24"/>
          <w:u w:val="single"/>
        </w:rPr>
        <w:t>answering</w:t>
      </w:r>
      <w:r w:rsidR="0051747D">
        <w:rPr>
          <w:rFonts w:ascii="Arial" w:hAnsi="Arial" w:cs="Arial"/>
          <w:sz w:val="24"/>
          <w:szCs w:val="24"/>
        </w:rPr>
        <w:t xml:space="preserve"> affidavits by 6 April 2018 and the appellant was required to provide his replying affidavit by 13 April 2018, with the matter set down for hearing</w:t>
      </w:r>
      <w:r w:rsidR="00C017E7">
        <w:rPr>
          <w:rFonts w:ascii="Arial" w:hAnsi="Arial" w:cs="Arial"/>
          <w:sz w:val="24"/>
          <w:szCs w:val="24"/>
        </w:rPr>
        <w:t xml:space="preserve"> on 18 May 2018</w:t>
      </w:r>
      <w:r w:rsidR="0051747D">
        <w:rPr>
          <w:rFonts w:ascii="Arial" w:hAnsi="Arial" w:cs="Arial"/>
          <w:sz w:val="24"/>
          <w:szCs w:val="24"/>
        </w:rPr>
        <w:t>.</w:t>
      </w:r>
    </w:p>
    <w:p w:rsidR="007E5807" w:rsidRDefault="007E5807" w:rsidP="007E5807">
      <w:pPr>
        <w:pStyle w:val="ListParagraph"/>
        <w:rPr>
          <w:rFonts w:ascii="Arial" w:hAnsi="Arial" w:cs="Arial"/>
          <w:sz w:val="24"/>
          <w:szCs w:val="24"/>
        </w:rPr>
      </w:pPr>
    </w:p>
    <w:p w:rsidR="007E5807" w:rsidRDefault="0051747D"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Minister and Mining Commissioner did not present any </w:t>
      </w:r>
      <w:r w:rsidR="00CF11C4">
        <w:rPr>
          <w:rFonts w:ascii="Arial" w:hAnsi="Arial" w:cs="Arial"/>
          <w:sz w:val="24"/>
          <w:szCs w:val="24"/>
        </w:rPr>
        <w:t>answering</w:t>
      </w:r>
      <w:r>
        <w:rPr>
          <w:rFonts w:ascii="Arial" w:hAnsi="Arial" w:cs="Arial"/>
          <w:sz w:val="24"/>
          <w:szCs w:val="24"/>
        </w:rPr>
        <w:t xml:space="preserve"> affidavits within the required time frame or at all as they no longer opposed the application </w:t>
      </w:r>
      <w:r w:rsidR="00CF11C4">
        <w:rPr>
          <w:rFonts w:ascii="Arial" w:hAnsi="Arial" w:cs="Arial"/>
          <w:sz w:val="24"/>
          <w:szCs w:val="24"/>
        </w:rPr>
        <w:t xml:space="preserve">and </w:t>
      </w:r>
      <w:r w:rsidR="00010CA6">
        <w:rPr>
          <w:rFonts w:ascii="Arial" w:hAnsi="Arial" w:cs="Arial"/>
          <w:sz w:val="24"/>
          <w:szCs w:val="24"/>
        </w:rPr>
        <w:t xml:space="preserve">had </w:t>
      </w:r>
      <w:r w:rsidR="00CF11C4">
        <w:rPr>
          <w:rFonts w:ascii="Arial" w:hAnsi="Arial" w:cs="Arial"/>
          <w:sz w:val="24"/>
          <w:szCs w:val="24"/>
        </w:rPr>
        <w:t>not file</w:t>
      </w:r>
      <w:r w:rsidR="00010CA6">
        <w:rPr>
          <w:rFonts w:ascii="Arial" w:hAnsi="Arial" w:cs="Arial"/>
          <w:sz w:val="24"/>
          <w:szCs w:val="24"/>
        </w:rPr>
        <w:t>d</w:t>
      </w:r>
      <w:r w:rsidR="00CF11C4">
        <w:rPr>
          <w:rFonts w:ascii="Arial" w:hAnsi="Arial" w:cs="Arial"/>
          <w:sz w:val="24"/>
          <w:szCs w:val="24"/>
        </w:rPr>
        <w:t xml:space="preserve"> a notice to oppose the</w:t>
      </w:r>
      <w:r>
        <w:rPr>
          <w:rFonts w:ascii="Arial" w:hAnsi="Arial" w:cs="Arial"/>
          <w:sz w:val="24"/>
          <w:szCs w:val="24"/>
        </w:rPr>
        <w:t xml:space="preserve"> </w:t>
      </w:r>
      <w:r w:rsidR="00F7288F">
        <w:rPr>
          <w:rFonts w:ascii="Arial" w:hAnsi="Arial" w:cs="Arial"/>
          <w:sz w:val="24"/>
          <w:szCs w:val="24"/>
        </w:rPr>
        <w:t>counter application</w:t>
      </w:r>
      <w:r>
        <w:rPr>
          <w:rFonts w:ascii="Arial" w:hAnsi="Arial" w:cs="Arial"/>
          <w:sz w:val="24"/>
          <w:szCs w:val="24"/>
        </w:rPr>
        <w:t>.</w:t>
      </w:r>
    </w:p>
    <w:p w:rsidR="007F76A6" w:rsidRDefault="007F76A6" w:rsidP="007F76A6">
      <w:pPr>
        <w:pStyle w:val="ListParagraph"/>
        <w:rPr>
          <w:rFonts w:ascii="Arial" w:hAnsi="Arial" w:cs="Arial"/>
          <w:sz w:val="24"/>
          <w:szCs w:val="24"/>
        </w:rPr>
      </w:pPr>
    </w:p>
    <w:p w:rsidR="007F76A6" w:rsidRDefault="0051747D"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Mining Commissioner instead filed what was correctly termed an explanatory affidavit which </w:t>
      </w:r>
      <w:r w:rsidR="00C017E7">
        <w:rPr>
          <w:rFonts w:ascii="Arial" w:hAnsi="Arial" w:cs="Arial"/>
          <w:sz w:val="24"/>
          <w:szCs w:val="24"/>
        </w:rPr>
        <w:t xml:space="preserve">sought to </w:t>
      </w:r>
      <w:r>
        <w:rPr>
          <w:rFonts w:ascii="Arial" w:hAnsi="Arial" w:cs="Arial"/>
          <w:sz w:val="24"/>
          <w:szCs w:val="24"/>
        </w:rPr>
        <w:t xml:space="preserve">explain the decision making </w:t>
      </w:r>
      <w:r w:rsidR="00CF11C4">
        <w:rPr>
          <w:rFonts w:ascii="Arial" w:hAnsi="Arial" w:cs="Arial"/>
          <w:sz w:val="24"/>
          <w:szCs w:val="24"/>
        </w:rPr>
        <w:t xml:space="preserve">process </w:t>
      </w:r>
      <w:r>
        <w:rPr>
          <w:rFonts w:ascii="Arial" w:hAnsi="Arial" w:cs="Arial"/>
          <w:sz w:val="24"/>
          <w:szCs w:val="24"/>
        </w:rPr>
        <w:t xml:space="preserve">and </w:t>
      </w:r>
      <w:r w:rsidR="0013380E">
        <w:rPr>
          <w:rFonts w:ascii="Arial" w:hAnsi="Arial" w:cs="Arial"/>
          <w:sz w:val="24"/>
          <w:szCs w:val="24"/>
        </w:rPr>
        <w:t xml:space="preserve">how </w:t>
      </w:r>
      <w:r>
        <w:rPr>
          <w:rFonts w:ascii="Arial" w:hAnsi="Arial" w:cs="Arial"/>
          <w:sz w:val="24"/>
          <w:szCs w:val="24"/>
        </w:rPr>
        <w:t xml:space="preserve">errors had occurred in the capturing of </w:t>
      </w:r>
      <w:r w:rsidR="00181928">
        <w:rPr>
          <w:rFonts w:ascii="Arial" w:hAnsi="Arial" w:cs="Arial"/>
          <w:sz w:val="24"/>
          <w:szCs w:val="24"/>
        </w:rPr>
        <w:t xml:space="preserve">coordinates </w:t>
      </w:r>
      <w:r>
        <w:rPr>
          <w:rFonts w:ascii="Arial" w:hAnsi="Arial" w:cs="Arial"/>
          <w:sz w:val="24"/>
          <w:szCs w:val="24"/>
        </w:rPr>
        <w:t xml:space="preserve">in </w:t>
      </w:r>
      <w:r w:rsidR="00010CA6">
        <w:rPr>
          <w:rFonts w:ascii="Arial" w:hAnsi="Arial" w:cs="Arial"/>
          <w:sz w:val="24"/>
          <w:szCs w:val="24"/>
        </w:rPr>
        <w:t>the</w:t>
      </w:r>
      <w:r>
        <w:rPr>
          <w:rFonts w:ascii="Arial" w:hAnsi="Arial" w:cs="Arial"/>
          <w:sz w:val="24"/>
          <w:szCs w:val="24"/>
        </w:rPr>
        <w:t xml:space="preserve"> new</w:t>
      </w:r>
      <w:r w:rsidR="0013380E">
        <w:rPr>
          <w:rFonts w:ascii="Arial" w:hAnsi="Arial" w:cs="Arial"/>
          <w:sz w:val="24"/>
          <w:szCs w:val="24"/>
        </w:rPr>
        <w:t xml:space="preserve"> system utilised by the Ministry</w:t>
      </w:r>
      <w:r>
        <w:rPr>
          <w:rFonts w:ascii="Arial" w:hAnsi="Arial" w:cs="Arial"/>
          <w:sz w:val="24"/>
          <w:szCs w:val="24"/>
        </w:rPr>
        <w:t xml:space="preserve"> to plot and depict </w:t>
      </w:r>
      <w:r w:rsidR="00C017E7">
        <w:rPr>
          <w:rFonts w:ascii="Arial" w:hAnsi="Arial" w:cs="Arial"/>
          <w:sz w:val="24"/>
          <w:szCs w:val="24"/>
        </w:rPr>
        <w:t xml:space="preserve">the areas in respect of </w:t>
      </w:r>
      <w:r>
        <w:rPr>
          <w:rFonts w:ascii="Arial" w:hAnsi="Arial" w:cs="Arial"/>
          <w:sz w:val="24"/>
          <w:szCs w:val="24"/>
        </w:rPr>
        <w:t xml:space="preserve">mining claims and </w:t>
      </w:r>
      <w:r w:rsidR="00C017E7">
        <w:rPr>
          <w:rFonts w:ascii="Arial" w:hAnsi="Arial" w:cs="Arial"/>
          <w:sz w:val="24"/>
          <w:szCs w:val="24"/>
        </w:rPr>
        <w:t>other licences</w:t>
      </w:r>
      <w:r>
        <w:rPr>
          <w:rFonts w:ascii="Arial" w:hAnsi="Arial" w:cs="Arial"/>
          <w:sz w:val="24"/>
          <w:szCs w:val="24"/>
        </w:rPr>
        <w:t>.</w:t>
      </w:r>
      <w:r w:rsidR="00CF11C4">
        <w:rPr>
          <w:rFonts w:ascii="Arial" w:hAnsi="Arial" w:cs="Arial"/>
          <w:sz w:val="24"/>
          <w:szCs w:val="24"/>
        </w:rPr>
        <w:t xml:space="preserve"> But he did so at a</w:t>
      </w:r>
      <w:r w:rsidR="00010CA6">
        <w:rPr>
          <w:rFonts w:ascii="Arial" w:hAnsi="Arial" w:cs="Arial"/>
          <w:sz w:val="24"/>
          <w:szCs w:val="24"/>
        </w:rPr>
        <w:t xml:space="preserve"> very </w:t>
      </w:r>
      <w:r w:rsidR="00CF11C4">
        <w:rPr>
          <w:rFonts w:ascii="Arial" w:hAnsi="Arial" w:cs="Arial"/>
          <w:sz w:val="24"/>
          <w:szCs w:val="24"/>
        </w:rPr>
        <w:t xml:space="preserve">late stage and after all the affidavits between the protagonists had been exchanged. There was no accompanying application </w:t>
      </w:r>
      <w:r w:rsidR="000E3B05">
        <w:rPr>
          <w:rFonts w:ascii="Arial" w:hAnsi="Arial" w:cs="Arial"/>
          <w:sz w:val="24"/>
          <w:szCs w:val="24"/>
        </w:rPr>
        <w:t xml:space="preserve">seeking </w:t>
      </w:r>
      <w:r w:rsidR="00CF11C4">
        <w:rPr>
          <w:rFonts w:ascii="Arial" w:hAnsi="Arial" w:cs="Arial"/>
          <w:sz w:val="24"/>
          <w:szCs w:val="24"/>
        </w:rPr>
        <w:t>to receive the affidavit out of sequence</w:t>
      </w:r>
      <w:r w:rsidR="00010CA6">
        <w:rPr>
          <w:rFonts w:ascii="Arial" w:hAnsi="Arial" w:cs="Arial"/>
          <w:sz w:val="24"/>
          <w:szCs w:val="24"/>
        </w:rPr>
        <w:t>. The proper time to file it was</w:t>
      </w:r>
      <w:r w:rsidR="00CF11C4">
        <w:rPr>
          <w:rFonts w:ascii="Arial" w:hAnsi="Arial" w:cs="Arial"/>
          <w:sz w:val="24"/>
          <w:szCs w:val="24"/>
        </w:rPr>
        <w:t xml:space="preserve"> at the stage of f</w:t>
      </w:r>
      <w:r w:rsidR="0013380E">
        <w:rPr>
          <w:rFonts w:ascii="Arial" w:hAnsi="Arial" w:cs="Arial"/>
          <w:sz w:val="24"/>
          <w:szCs w:val="24"/>
        </w:rPr>
        <w:t>i</w:t>
      </w:r>
      <w:r w:rsidR="00CF11C4">
        <w:rPr>
          <w:rFonts w:ascii="Arial" w:hAnsi="Arial" w:cs="Arial"/>
          <w:sz w:val="24"/>
          <w:szCs w:val="24"/>
        </w:rPr>
        <w:t>ling the record to afford the parties the opportunity to supplement their papers with re</w:t>
      </w:r>
      <w:r w:rsidR="00010CA6">
        <w:rPr>
          <w:rFonts w:ascii="Arial" w:hAnsi="Arial" w:cs="Arial"/>
          <w:sz w:val="24"/>
          <w:szCs w:val="24"/>
        </w:rPr>
        <w:t>gard to what is contained in it (as it after all explained the record of the decision making).</w:t>
      </w:r>
    </w:p>
    <w:p w:rsidR="0051747D" w:rsidRDefault="0051747D" w:rsidP="0051747D">
      <w:pPr>
        <w:pStyle w:val="ListParagraph"/>
        <w:rPr>
          <w:rFonts w:ascii="Arial" w:hAnsi="Arial" w:cs="Arial"/>
          <w:sz w:val="24"/>
          <w:szCs w:val="24"/>
        </w:rPr>
      </w:pPr>
    </w:p>
    <w:p w:rsidR="0051747D" w:rsidRDefault="0051747D"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w:t>
      </w:r>
      <w:r w:rsidR="00CF11C4">
        <w:rPr>
          <w:rFonts w:ascii="Arial" w:hAnsi="Arial" w:cs="Arial"/>
          <w:sz w:val="24"/>
          <w:szCs w:val="24"/>
        </w:rPr>
        <w:t>’s response to it was to apply</w:t>
      </w:r>
      <w:r>
        <w:rPr>
          <w:rFonts w:ascii="Arial" w:hAnsi="Arial" w:cs="Arial"/>
          <w:sz w:val="24"/>
          <w:szCs w:val="24"/>
        </w:rPr>
        <w:t xml:space="preserve"> to strike the affidavit from the record. Despite a more than adequate period (between 30 April and 18 May 2018), the appellant did not </w:t>
      </w:r>
      <w:r w:rsidR="0013380E">
        <w:rPr>
          <w:rFonts w:ascii="Arial" w:hAnsi="Arial" w:cs="Arial"/>
          <w:sz w:val="24"/>
          <w:szCs w:val="24"/>
        </w:rPr>
        <w:t xml:space="preserve">seek to </w:t>
      </w:r>
      <w:r>
        <w:rPr>
          <w:rFonts w:ascii="Arial" w:hAnsi="Arial" w:cs="Arial"/>
          <w:sz w:val="24"/>
          <w:szCs w:val="24"/>
        </w:rPr>
        <w:t xml:space="preserve">apply to adduce a further affidavit to deal with it. There is no explanation as to why this was not </w:t>
      </w:r>
      <w:r w:rsidR="00C017E7">
        <w:rPr>
          <w:rFonts w:ascii="Arial" w:hAnsi="Arial" w:cs="Arial"/>
          <w:sz w:val="24"/>
          <w:szCs w:val="24"/>
        </w:rPr>
        <w:t xml:space="preserve">or could not be </w:t>
      </w:r>
      <w:r>
        <w:rPr>
          <w:rFonts w:ascii="Arial" w:hAnsi="Arial" w:cs="Arial"/>
          <w:sz w:val="24"/>
          <w:szCs w:val="24"/>
        </w:rPr>
        <w:t>attempted. Nor did the appellant seek a postponement of the hearing to do so</w:t>
      </w:r>
      <w:r w:rsidR="00CF11C4">
        <w:rPr>
          <w:rFonts w:ascii="Arial" w:hAnsi="Arial" w:cs="Arial"/>
          <w:sz w:val="24"/>
          <w:szCs w:val="24"/>
        </w:rPr>
        <w:t xml:space="preserve">, </w:t>
      </w:r>
      <w:r w:rsidR="00010CA6">
        <w:rPr>
          <w:rFonts w:ascii="Arial" w:hAnsi="Arial" w:cs="Arial"/>
          <w:sz w:val="24"/>
          <w:szCs w:val="24"/>
        </w:rPr>
        <w:t xml:space="preserve">particularly </w:t>
      </w:r>
      <w:r w:rsidR="00CF11C4">
        <w:rPr>
          <w:rFonts w:ascii="Arial" w:hAnsi="Arial" w:cs="Arial"/>
          <w:sz w:val="24"/>
          <w:szCs w:val="24"/>
        </w:rPr>
        <w:t>after it was received</w:t>
      </w:r>
      <w:r w:rsidR="00010CA6">
        <w:rPr>
          <w:rFonts w:ascii="Arial" w:hAnsi="Arial" w:cs="Arial"/>
          <w:sz w:val="24"/>
          <w:szCs w:val="24"/>
        </w:rPr>
        <w:t>. The appellant would have been entitled to</w:t>
      </w:r>
      <w:r w:rsidR="00181928">
        <w:rPr>
          <w:rFonts w:ascii="Arial" w:hAnsi="Arial" w:cs="Arial"/>
          <w:sz w:val="24"/>
          <w:szCs w:val="24"/>
        </w:rPr>
        <w:t xml:space="preserve"> do</w:t>
      </w:r>
      <w:r w:rsidR="00010CA6">
        <w:rPr>
          <w:rFonts w:ascii="Arial" w:hAnsi="Arial" w:cs="Arial"/>
          <w:sz w:val="24"/>
          <w:szCs w:val="24"/>
        </w:rPr>
        <w:t xml:space="preserve"> so </w:t>
      </w:r>
      <w:r w:rsidR="00CF11C4">
        <w:rPr>
          <w:rFonts w:ascii="Arial" w:hAnsi="Arial" w:cs="Arial"/>
          <w:sz w:val="24"/>
          <w:szCs w:val="24"/>
        </w:rPr>
        <w:t xml:space="preserve">at the Mining Commissioner’s costs (which the High Court would in fairness have </w:t>
      </w:r>
      <w:r w:rsidR="00010CA6">
        <w:rPr>
          <w:rFonts w:ascii="Arial" w:hAnsi="Arial" w:cs="Arial"/>
          <w:sz w:val="24"/>
          <w:szCs w:val="24"/>
        </w:rPr>
        <w:t>granted</w:t>
      </w:r>
      <w:r w:rsidR="0013380E">
        <w:rPr>
          <w:rFonts w:ascii="Arial" w:hAnsi="Arial" w:cs="Arial"/>
          <w:sz w:val="24"/>
          <w:szCs w:val="24"/>
        </w:rPr>
        <w:t xml:space="preserve"> in the absence of an adequate explanation for its late filing</w:t>
      </w:r>
      <w:r w:rsidR="00CF11C4">
        <w:rPr>
          <w:rFonts w:ascii="Arial" w:hAnsi="Arial" w:cs="Arial"/>
          <w:sz w:val="24"/>
          <w:szCs w:val="24"/>
        </w:rPr>
        <w:t>), had such an application been made</w:t>
      </w:r>
      <w:r>
        <w:rPr>
          <w:rFonts w:ascii="Arial" w:hAnsi="Arial" w:cs="Arial"/>
          <w:sz w:val="24"/>
          <w:szCs w:val="24"/>
        </w:rPr>
        <w:t xml:space="preserve">. In </w:t>
      </w:r>
      <w:r w:rsidR="00010CA6">
        <w:rPr>
          <w:rFonts w:ascii="Arial" w:hAnsi="Arial" w:cs="Arial"/>
          <w:sz w:val="24"/>
          <w:szCs w:val="24"/>
        </w:rPr>
        <w:t>absence of doing so</w:t>
      </w:r>
      <w:r>
        <w:rPr>
          <w:rFonts w:ascii="Arial" w:hAnsi="Arial" w:cs="Arial"/>
          <w:sz w:val="24"/>
          <w:szCs w:val="24"/>
        </w:rPr>
        <w:t xml:space="preserve">, the protestation of prejudice on </w:t>
      </w:r>
      <w:r w:rsidR="00B024F3">
        <w:rPr>
          <w:rFonts w:ascii="Arial" w:hAnsi="Arial" w:cs="Arial"/>
          <w:sz w:val="24"/>
          <w:szCs w:val="24"/>
        </w:rPr>
        <w:t>the</w:t>
      </w:r>
      <w:r>
        <w:rPr>
          <w:rFonts w:ascii="Arial" w:hAnsi="Arial" w:cs="Arial"/>
          <w:sz w:val="24"/>
          <w:szCs w:val="24"/>
        </w:rPr>
        <w:t xml:space="preserve"> part </w:t>
      </w:r>
      <w:r w:rsidR="00B024F3">
        <w:rPr>
          <w:rFonts w:ascii="Arial" w:hAnsi="Arial" w:cs="Arial"/>
          <w:sz w:val="24"/>
          <w:szCs w:val="24"/>
        </w:rPr>
        <w:t xml:space="preserve">of the appellant </w:t>
      </w:r>
      <w:r>
        <w:rPr>
          <w:rFonts w:ascii="Arial" w:hAnsi="Arial" w:cs="Arial"/>
          <w:sz w:val="24"/>
          <w:szCs w:val="24"/>
        </w:rPr>
        <w:t xml:space="preserve">has a distinctly hollow ring. As </w:t>
      </w:r>
      <w:r w:rsidR="00C017E7">
        <w:rPr>
          <w:rFonts w:ascii="Arial" w:hAnsi="Arial" w:cs="Arial"/>
          <w:sz w:val="24"/>
          <w:szCs w:val="24"/>
        </w:rPr>
        <w:t>are</w:t>
      </w:r>
      <w:r>
        <w:rPr>
          <w:rFonts w:ascii="Arial" w:hAnsi="Arial" w:cs="Arial"/>
          <w:sz w:val="24"/>
          <w:szCs w:val="24"/>
        </w:rPr>
        <w:t xml:space="preserve"> the complaints of breaching the</w:t>
      </w:r>
      <w:r w:rsidR="00010CA6">
        <w:rPr>
          <w:rFonts w:ascii="Arial" w:hAnsi="Arial" w:cs="Arial"/>
          <w:sz w:val="24"/>
          <w:szCs w:val="24"/>
        </w:rPr>
        <w:t xml:space="preserve"> appellant’s fair trial rights when there was this and a prior opportunity before the </w:t>
      </w:r>
      <w:r w:rsidR="00010CA6">
        <w:rPr>
          <w:rFonts w:ascii="Arial" w:hAnsi="Arial" w:cs="Arial"/>
          <w:sz w:val="24"/>
          <w:szCs w:val="24"/>
        </w:rPr>
        <w:lastRenderedPageBreak/>
        <w:t>hearing to address the unfairness</w:t>
      </w:r>
      <w:r w:rsidR="0013380E">
        <w:rPr>
          <w:rFonts w:ascii="Arial" w:hAnsi="Arial" w:cs="Arial"/>
          <w:sz w:val="24"/>
          <w:szCs w:val="24"/>
        </w:rPr>
        <w:t xml:space="preserve"> of a belatedly filed affidavit by seeking to address its contents at the cost of the government respondents.</w:t>
      </w:r>
    </w:p>
    <w:p w:rsidR="0051747D" w:rsidRDefault="0051747D" w:rsidP="0051747D">
      <w:pPr>
        <w:pStyle w:val="ListParagraph"/>
        <w:rPr>
          <w:rFonts w:ascii="Arial" w:hAnsi="Arial" w:cs="Arial"/>
          <w:sz w:val="24"/>
          <w:szCs w:val="24"/>
        </w:rPr>
      </w:pPr>
    </w:p>
    <w:p w:rsidR="0051747D" w:rsidRDefault="0051747D"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correctly considered that the affidavit was of importance in clarifying</w:t>
      </w:r>
      <w:r w:rsidR="0013380E">
        <w:rPr>
          <w:rFonts w:ascii="Arial" w:hAnsi="Arial" w:cs="Arial"/>
          <w:sz w:val="24"/>
          <w:szCs w:val="24"/>
        </w:rPr>
        <w:t xml:space="preserve"> the</w:t>
      </w:r>
      <w:r>
        <w:rPr>
          <w:rFonts w:ascii="Arial" w:hAnsi="Arial" w:cs="Arial"/>
          <w:sz w:val="24"/>
          <w:szCs w:val="24"/>
        </w:rPr>
        <w:t xml:space="preserve"> issues before it, especially the explanation concerning the system errors </w:t>
      </w:r>
      <w:r w:rsidR="000E3B05">
        <w:rPr>
          <w:rFonts w:ascii="Arial" w:hAnsi="Arial" w:cs="Arial"/>
          <w:sz w:val="24"/>
          <w:szCs w:val="24"/>
        </w:rPr>
        <w:t xml:space="preserve">which </w:t>
      </w:r>
      <w:r>
        <w:rPr>
          <w:rFonts w:ascii="Arial" w:hAnsi="Arial" w:cs="Arial"/>
          <w:sz w:val="24"/>
          <w:szCs w:val="24"/>
        </w:rPr>
        <w:t>result</w:t>
      </w:r>
      <w:r w:rsidR="000E3B05">
        <w:rPr>
          <w:rFonts w:ascii="Arial" w:hAnsi="Arial" w:cs="Arial"/>
          <w:sz w:val="24"/>
          <w:szCs w:val="24"/>
        </w:rPr>
        <w:t>ed</w:t>
      </w:r>
      <w:r>
        <w:rPr>
          <w:rFonts w:ascii="Arial" w:hAnsi="Arial" w:cs="Arial"/>
          <w:sz w:val="24"/>
          <w:szCs w:val="24"/>
        </w:rPr>
        <w:t xml:space="preserve"> in the decision making</w:t>
      </w:r>
      <w:r w:rsidR="00C017E7">
        <w:rPr>
          <w:rFonts w:ascii="Arial" w:hAnsi="Arial" w:cs="Arial"/>
          <w:sz w:val="24"/>
          <w:szCs w:val="24"/>
        </w:rPr>
        <w:t xml:space="preserve"> and the challenges to it</w:t>
      </w:r>
      <w:r>
        <w:rPr>
          <w:rFonts w:ascii="Arial" w:hAnsi="Arial" w:cs="Arial"/>
          <w:sz w:val="24"/>
          <w:szCs w:val="24"/>
        </w:rPr>
        <w:t>. The presiding judge proceeded to exercise her discretion not to strike the affidavit and to receive it</w:t>
      </w:r>
      <w:r w:rsidR="00962918">
        <w:rPr>
          <w:rFonts w:ascii="Arial" w:hAnsi="Arial" w:cs="Arial"/>
          <w:sz w:val="24"/>
          <w:szCs w:val="24"/>
        </w:rPr>
        <w:t>.</w:t>
      </w:r>
    </w:p>
    <w:p w:rsidR="0051747D" w:rsidRDefault="0051747D" w:rsidP="0051747D">
      <w:pPr>
        <w:pStyle w:val="ListParagraph"/>
        <w:rPr>
          <w:rFonts w:ascii="Arial" w:hAnsi="Arial" w:cs="Arial"/>
          <w:sz w:val="24"/>
          <w:szCs w:val="24"/>
        </w:rPr>
      </w:pPr>
    </w:p>
    <w:p w:rsidR="0051747D" w:rsidRDefault="00962918"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primary challenge to its receipt is that it is in conflict with the court order and </w:t>
      </w:r>
      <w:r w:rsidR="00010CA6">
        <w:rPr>
          <w:rFonts w:ascii="Arial" w:hAnsi="Arial" w:cs="Arial"/>
          <w:sz w:val="24"/>
          <w:szCs w:val="24"/>
        </w:rPr>
        <w:t xml:space="preserve">that </w:t>
      </w:r>
      <w:r>
        <w:rPr>
          <w:rFonts w:ascii="Arial" w:hAnsi="Arial" w:cs="Arial"/>
          <w:sz w:val="24"/>
          <w:szCs w:val="24"/>
        </w:rPr>
        <w:t xml:space="preserve">rule 54 of the High Court </w:t>
      </w:r>
      <w:r w:rsidR="000D4BDB">
        <w:rPr>
          <w:rFonts w:ascii="Arial" w:hAnsi="Arial" w:cs="Arial"/>
          <w:sz w:val="24"/>
          <w:szCs w:val="24"/>
        </w:rPr>
        <w:t>R</w:t>
      </w:r>
      <w:r>
        <w:rPr>
          <w:rFonts w:ascii="Arial" w:hAnsi="Arial" w:cs="Arial"/>
          <w:sz w:val="24"/>
          <w:szCs w:val="24"/>
        </w:rPr>
        <w:t xml:space="preserve">ules requires compliance with </w:t>
      </w:r>
      <w:r w:rsidR="00181928">
        <w:rPr>
          <w:rFonts w:ascii="Arial" w:hAnsi="Arial" w:cs="Arial"/>
          <w:sz w:val="24"/>
          <w:szCs w:val="24"/>
        </w:rPr>
        <w:t>the</w:t>
      </w:r>
      <w:r>
        <w:rPr>
          <w:rFonts w:ascii="Arial" w:hAnsi="Arial" w:cs="Arial"/>
          <w:sz w:val="24"/>
          <w:szCs w:val="24"/>
        </w:rPr>
        <w:t xml:space="preserve"> rule, practice direction or court order and in particular rule 54 (3) which </w:t>
      </w:r>
      <w:r w:rsidR="00010CA6">
        <w:rPr>
          <w:rFonts w:ascii="Arial" w:hAnsi="Arial" w:cs="Arial"/>
          <w:sz w:val="24"/>
          <w:szCs w:val="24"/>
        </w:rPr>
        <w:t>visits</w:t>
      </w:r>
      <w:r>
        <w:rPr>
          <w:rFonts w:ascii="Arial" w:hAnsi="Arial" w:cs="Arial"/>
          <w:sz w:val="24"/>
          <w:szCs w:val="24"/>
        </w:rPr>
        <w:t xml:space="preserve"> the failure to deliver a pleading in accordance with a case plan order </w:t>
      </w:r>
      <w:r w:rsidR="00656CD1">
        <w:rPr>
          <w:rFonts w:ascii="Arial" w:hAnsi="Arial" w:cs="Arial"/>
          <w:sz w:val="24"/>
          <w:szCs w:val="24"/>
        </w:rPr>
        <w:t>by</w:t>
      </w:r>
      <w:r w:rsidR="00010CA6">
        <w:rPr>
          <w:rFonts w:ascii="Arial" w:hAnsi="Arial" w:cs="Arial"/>
          <w:sz w:val="24"/>
          <w:szCs w:val="24"/>
        </w:rPr>
        <w:t xml:space="preserve"> barring the offending party</w:t>
      </w:r>
      <w:r>
        <w:rPr>
          <w:rFonts w:ascii="Arial" w:hAnsi="Arial" w:cs="Arial"/>
          <w:sz w:val="24"/>
          <w:szCs w:val="24"/>
        </w:rPr>
        <w:t>.</w:t>
      </w:r>
    </w:p>
    <w:p w:rsidR="0051747D" w:rsidRDefault="0051747D" w:rsidP="0051747D">
      <w:pPr>
        <w:pStyle w:val="ListParagraph"/>
        <w:rPr>
          <w:rFonts w:ascii="Arial" w:hAnsi="Arial" w:cs="Arial"/>
          <w:sz w:val="24"/>
          <w:szCs w:val="24"/>
        </w:rPr>
      </w:pPr>
    </w:p>
    <w:p w:rsidR="0051747D" w:rsidRDefault="00962918" w:rsidP="0089243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deliver</w:t>
      </w:r>
      <w:r w:rsidR="00CF11C4">
        <w:rPr>
          <w:rFonts w:ascii="Arial" w:hAnsi="Arial" w:cs="Arial"/>
          <w:sz w:val="24"/>
          <w:szCs w:val="24"/>
        </w:rPr>
        <w:t xml:space="preserve">y of this affidavit was however, in my view, </w:t>
      </w:r>
      <w:r>
        <w:rPr>
          <w:rFonts w:ascii="Arial" w:hAnsi="Arial" w:cs="Arial"/>
          <w:sz w:val="24"/>
          <w:szCs w:val="24"/>
        </w:rPr>
        <w:t xml:space="preserve">not </w:t>
      </w:r>
      <w:r w:rsidR="00010CA6">
        <w:rPr>
          <w:rFonts w:ascii="Arial" w:hAnsi="Arial" w:cs="Arial"/>
          <w:sz w:val="24"/>
          <w:szCs w:val="24"/>
        </w:rPr>
        <w:t xml:space="preserve">strictly speaking </w:t>
      </w:r>
      <w:r w:rsidR="00656CD1">
        <w:rPr>
          <w:rFonts w:ascii="Arial" w:hAnsi="Arial" w:cs="Arial"/>
          <w:sz w:val="24"/>
          <w:szCs w:val="24"/>
        </w:rPr>
        <w:t xml:space="preserve">in </w:t>
      </w:r>
      <w:r>
        <w:rPr>
          <w:rFonts w:ascii="Arial" w:hAnsi="Arial" w:cs="Arial"/>
          <w:sz w:val="24"/>
          <w:szCs w:val="24"/>
        </w:rPr>
        <w:t xml:space="preserve">conflict with the court order </w:t>
      </w:r>
      <w:r w:rsidR="0089243C">
        <w:rPr>
          <w:rFonts w:ascii="Arial" w:hAnsi="Arial" w:cs="Arial"/>
          <w:sz w:val="24"/>
          <w:szCs w:val="24"/>
        </w:rPr>
        <w:t xml:space="preserve">concerning answering affidavits </w:t>
      </w:r>
      <w:r>
        <w:rPr>
          <w:rFonts w:ascii="Arial" w:hAnsi="Arial" w:cs="Arial"/>
          <w:sz w:val="24"/>
          <w:szCs w:val="24"/>
        </w:rPr>
        <w:t xml:space="preserve">as it was not an answering affidavit </w:t>
      </w:r>
      <w:r w:rsidR="0089243C">
        <w:rPr>
          <w:rFonts w:ascii="Arial" w:hAnsi="Arial" w:cs="Arial"/>
          <w:sz w:val="24"/>
          <w:szCs w:val="24"/>
        </w:rPr>
        <w:t xml:space="preserve">and the debarring would not in my view arise as the appropriate </w:t>
      </w:r>
      <w:r w:rsidR="00010CA6">
        <w:rPr>
          <w:rFonts w:ascii="Arial" w:hAnsi="Arial" w:cs="Arial"/>
          <w:sz w:val="24"/>
          <w:szCs w:val="24"/>
        </w:rPr>
        <w:t xml:space="preserve">sanction </w:t>
      </w:r>
      <w:r w:rsidR="00656CD1">
        <w:rPr>
          <w:rFonts w:ascii="Arial" w:hAnsi="Arial" w:cs="Arial"/>
          <w:sz w:val="24"/>
          <w:szCs w:val="24"/>
        </w:rPr>
        <w:t>as</w:t>
      </w:r>
      <w:r w:rsidR="00010CA6">
        <w:rPr>
          <w:rFonts w:ascii="Arial" w:hAnsi="Arial" w:cs="Arial"/>
          <w:sz w:val="24"/>
          <w:szCs w:val="24"/>
        </w:rPr>
        <w:t xml:space="preserve"> the Minister and </w:t>
      </w:r>
      <w:r w:rsidR="000E3B05">
        <w:rPr>
          <w:rFonts w:ascii="Arial" w:hAnsi="Arial" w:cs="Arial"/>
          <w:sz w:val="24"/>
          <w:szCs w:val="24"/>
        </w:rPr>
        <w:t xml:space="preserve">Mining </w:t>
      </w:r>
      <w:r w:rsidR="00010CA6">
        <w:rPr>
          <w:rFonts w:ascii="Arial" w:hAnsi="Arial" w:cs="Arial"/>
          <w:sz w:val="24"/>
          <w:szCs w:val="24"/>
        </w:rPr>
        <w:t>Commissioner, even though</w:t>
      </w:r>
      <w:r w:rsidR="0089243C">
        <w:rPr>
          <w:rFonts w:ascii="Arial" w:hAnsi="Arial" w:cs="Arial"/>
          <w:sz w:val="24"/>
          <w:szCs w:val="24"/>
        </w:rPr>
        <w:t xml:space="preserve"> cited respondents</w:t>
      </w:r>
      <w:r w:rsidR="00010CA6">
        <w:rPr>
          <w:rFonts w:ascii="Arial" w:hAnsi="Arial" w:cs="Arial"/>
          <w:sz w:val="24"/>
          <w:szCs w:val="24"/>
        </w:rPr>
        <w:t>, were</w:t>
      </w:r>
      <w:r w:rsidR="0089243C">
        <w:rPr>
          <w:rFonts w:ascii="Arial" w:hAnsi="Arial" w:cs="Arial"/>
          <w:sz w:val="24"/>
          <w:szCs w:val="24"/>
        </w:rPr>
        <w:t xml:space="preserve"> no longer oppos</w:t>
      </w:r>
      <w:r w:rsidR="00010CA6">
        <w:rPr>
          <w:rFonts w:ascii="Arial" w:hAnsi="Arial" w:cs="Arial"/>
          <w:sz w:val="24"/>
          <w:szCs w:val="24"/>
        </w:rPr>
        <w:t>ing</w:t>
      </w:r>
      <w:r w:rsidR="0089243C">
        <w:rPr>
          <w:rFonts w:ascii="Arial" w:hAnsi="Arial" w:cs="Arial"/>
          <w:sz w:val="24"/>
          <w:szCs w:val="24"/>
        </w:rPr>
        <w:t xml:space="preserve"> the proceedings</w:t>
      </w:r>
      <w:r>
        <w:rPr>
          <w:rFonts w:ascii="Arial" w:hAnsi="Arial" w:cs="Arial"/>
          <w:sz w:val="24"/>
          <w:szCs w:val="24"/>
        </w:rPr>
        <w:t xml:space="preserve">. It was </w:t>
      </w:r>
      <w:r w:rsidR="00010CA6">
        <w:rPr>
          <w:rFonts w:ascii="Arial" w:hAnsi="Arial" w:cs="Arial"/>
          <w:sz w:val="24"/>
          <w:szCs w:val="24"/>
        </w:rPr>
        <w:t xml:space="preserve">correctly termed an explanatory </w:t>
      </w:r>
      <w:r>
        <w:rPr>
          <w:rFonts w:ascii="Arial" w:hAnsi="Arial" w:cs="Arial"/>
          <w:sz w:val="24"/>
          <w:szCs w:val="24"/>
        </w:rPr>
        <w:t xml:space="preserve">affidavit </w:t>
      </w:r>
      <w:r w:rsidR="00010CA6">
        <w:rPr>
          <w:rFonts w:ascii="Arial" w:hAnsi="Arial" w:cs="Arial"/>
          <w:sz w:val="24"/>
          <w:szCs w:val="24"/>
        </w:rPr>
        <w:t xml:space="preserve">by </w:t>
      </w:r>
      <w:r w:rsidR="00656CD1">
        <w:rPr>
          <w:rFonts w:ascii="Arial" w:hAnsi="Arial" w:cs="Arial"/>
          <w:sz w:val="24"/>
          <w:szCs w:val="24"/>
        </w:rPr>
        <w:t xml:space="preserve">a </w:t>
      </w:r>
      <w:r w:rsidR="00010CA6">
        <w:rPr>
          <w:rFonts w:ascii="Arial" w:hAnsi="Arial" w:cs="Arial"/>
          <w:sz w:val="24"/>
          <w:szCs w:val="24"/>
        </w:rPr>
        <w:t xml:space="preserve">decision maker in </w:t>
      </w:r>
      <w:r w:rsidR="00656CD1">
        <w:rPr>
          <w:rFonts w:ascii="Arial" w:hAnsi="Arial" w:cs="Arial"/>
          <w:sz w:val="24"/>
          <w:szCs w:val="24"/>
        </w:rPr>
        <w:t>his</w:t>
      </w:r>
      <w:r w:rsidR="00010CA6">
        <w:rPr>
          <w:rFonts w:ascii="Arial" w:hAnsi="Arial" w:cs="Arial"/>
          <w:sz w:val="24"/>
          <w:szCs w:val="24"/>
        </w:rPr>
        <w:t xml:space="preserve"> duty to account for </w:t>
      </w:r>
      <w:r w:rsidR="00656CD1">
        <w:rPr>
          <w:rFonts w:ascii="Arial" w:hAnsi="Arial" w:cs="Arial"/>
          <w:sz w:val="24"/>
          <w:szCs w:val="24"/>
        </w:rPr>
        <w:t>his</w:t>
      </w:r>
      <w:r w:rsidR="00010CA6">
        <w:rPr>
          <w:rFonts w:ascii="Arial" w:hAnsi="Arial" w:cs="Arial"/>
          <w:sz w:val="24"/>
          <w:szCs w:val="24"/>
        </w:rPr>
        <w:t xml:space="preserve"> conduct and thereby </w:t>
      </w:r>
      <w:r>
        <w:rPr>
          <w:rFonts w:ascii="Arial" w:hAnsi="Arial" w:cs="Arial"/>
          <w:sz w:val="24"/>
          <w:szCs w:val="24"/>
        </w:rPr>
        <w:t xml:space="preserve">to assist the court in the administration of justice. </w:t>
      </w:r>
      <w:r w:rsidR="00F009A4">
        <w:rPr>
          <w:rFonts w:ascii="Arial" w:hAnsi="Arial" w:cs="Arial"/>
          <w:sz w:val="24"/>
          <w:szCs w:val="24"/>
        </w:rPr>
        <w:t>Althoug</w:t>
      </w:r>
      <w:r w:rsidR="00181928">
        <w:rPr>
          <w:rFonts w:ascii="Arial" w:hAnsi="Arial" w:cs="Arial"/>
          <w:sz w:val="24"/>
          <w:szCs w:val="24"/>
        </w:rPr>
        <w:t xml:space="preserve">h not provided for in the order, </w:t>
      </w:r>
      <w:r w:rsidR="00F009A4">
        <w:rPr>
          <w:rFonts w:ascii="Arial" w:hAnsi="Arial" w:cs="Arial"/>
          <w:sz w:val="24"/>
          <w:szCs w:val="24"/>
        </w:rPr>
        <w:t xml:space="preserve">it should have been filed with the record so that the protagonists would have </w:t>
      </w:r>
      <w:r w:rsidR="00656CD1">
        <w:rPr>
          <w:rFonts w:ascii="Arial" w:hAnsi="Arial" w:cs="Arial"/>
          <w:sz w:val="24"/>
          <w:szCs w:val="24"/>
        </w:rPr>
        <w:t xml:space="preserve">had </w:t>
      </w:r>
      <w:r w:rsidR="00F009A4">
        <w:rPr>
          <w:rFonts w:ascii="Arial" w:hAnsi="Arial" w:cs="Arial"/>
          <w:sz w:val="24"/>
          <w:szCs w:val="24"/>
        </w:rPr>
        <w:t xml:space="preserve">an adequate opportunity to deal with it. The absence of an adequate and acceptable explanation </w:t>
      </w:r>
      <w:r w:rsidR="000E3B05">
        <w:rPr>
          <w:rFonts w:ascii="Arial" w:hAnsi="Arial" w:cs="Arial"/>
          <w:sz w:val="24"/>
          <w:szCs w:val="24"/>
        </w:rPr>
        <w:t>for filing</w:t>
      </w:r>
      <w:r w:rsidR="00F009A4">
        <w:rPr>
          <w:rFonts w:ascii="Arial" w:hAnsi="Arial" w:cs="Arial"/>
          <w:sz w:val="24"/>
          <w:szCs w:val="24"/>
        </w:rPr>
        <w:t xml:space="preserve"> it </w:t>
      </w:r>
      <w:r w:rsidR="000E3B05">
        <w:rPr>
          <w:rFonts w:ascii="Arial" w:hAnsi="Arial" w:cs="Arial"/>
          <w:sz w:val="24"/>
          <w:szCs w:val="24"/>
        </w:rPr>
        <w:t xml:space="preserve">so </w:t>
      </w:r>
      <w:r w:rsidR="00656CD1">
        <w:rPr>
          <w:rFonts w:ascii="Arial" w:hAnsi="Arial" w:cs="Arial"/>
          <w:sz w:val="24"/>
          <w:szCs w:val="24"/>
        </w:rPr>
        <w:t xml:space="preserve">late and an application to receive it, meant that the filing of the affidavit was an irregular step or proceeding, liable to be set aside under </w:t>
      </w:r>
      <w:r w:rsidR="002E0648">
        <w:rPr>
          <w:rFonts w:ascii="Arial" w:hAnsi="Arial" w:cs="Arial"/>
          <w:sz w:val="24"/>
          <w:szCs w:val="24"/>
        </w:rPr>
        <w:t xml:space="preserve">     </w:t>
      </w:r>
      <w:r w:rsidR="00656CD1">
        <w:rPr>
          <w:rFonts w:ascii="Arial" w:hAnsi="Arial" w:cs="Arial"/>
          <w:sz w:val="24"/>
          <w:szCs w:val="24"/>
        </w:rPr>
        <w:t xml:space="preserve">rule 61 of the High Court </w:t>
      </w:r>
      <w:r w:rsidR="000D4BDB">
        <w:rPr>
          <w:rFonts w:ascii="Arial" w:hAnsi="Arial" w:cs="Arial"/>
          <w:sz w:val="24"/>
          <w:szCs w:val="24"/>
        </w:rPr>
        <w:t>R</w:t>
      </w:r>
      <w:r w:rsidR="00656CD1">
        <w:rPr>
          <w:rFonts w:ascii="Arial" w:hAnsi="Arial" w:cs="Arial"/>
          <w:sz w:val="24"/>
          <w:szCs w:val="24"/>
        </w:rPr>
        <w:t>ules</w:t>
      </w:r>
      <w:r w:rsidR="008E4A71">
        <w:rPr>
          <w:rFonts w:ascii="Arial" w:hAnsi="Arial" w:cs="Arial"/>
          <w:sz w:val="24"/>
          <w:szCs w:val="24"/>
        </w:rPr>
        <w:t>, as was contended on behalf of the respondents</w:t>
      </w:r>
      <w:r w:rsidR="00656CD1">
        <w:rPr>
          <w:rFonts w:ascii="Arial" w:hAnsi="Arial" w:cs="Arial"/>
          <w:sz w:val="24"/>
          <w:szCs w:val="24"/>
        </w:rPr>
        <w:t xml:space="preserve">. </w:t>
      </w:r>
      <w:r w:rsidR="00656CD1">
        <w:rPr>
          <w:rFonts w:ascii="Arial" w:hAnsi="Arial" w:cs="Arial"/>
          <w:sz w:val="24"/>
          <w:szCs w:val="24"/>
        </w:rPr>
        <w:lastRenderedPageBreak/>
        <w:t xml:space="preserve">The appellant did not apply to set it aside as an irregular step or proceeding but instead sought to strike it. </w:t>
      </w:r>
      <w:r>
        <w:rPr>
          <w:rFonts w:ascii="Arial" w:hAnsi="Arial" w:cs="Arial"/>
          <w:sz w:val="24"/>
          <w:szCs w:val="24"/>
        </w:rPr>
        <w:t xml:space="preserve">The court </w:t>
      </w:r>
      <w:r w:rsidR="00656CD1">
        <w:rPr>
          <w:rFonts w:ascii="Arial" w:hAnsi="Arial" w:cs="Arial"/>
          <w:sz w:val="24"/>
          <w:szCs w:val="24"/>
        </w:rPr>
        <w:t xml:space="preserve">however </w:t>
      </w:r>
      <w:r>
        <w:rPr>
          <w:rFonts w:ascii="Arial" w:hAnsi="Arial" w:cs="Arial"/>
          <w:sz w:val="24"/>
          <w:szCs w:val="24"/>
        </w:rPr>
        <w:t>plainly had a discretion to receive it.</w:t>
      </w:r>
      <w:r w:rsidR="0089243C">
        <w:rPr>
          <w:rFonts w:ascii="Arial" w:hAnsi="Arial" w:cs="Arial"/>
          <w:sz w:val="24"/>
          <w:szCs w:val="24"/>
        </w:rPr>
        <w:t xml:space="preserve"> </w:t>
      </w:r>
      <w:r w:rsidR="00656CD1">
        <w:rPr>
          <w:rFonts w:ascii="Arial" w:hAnsi="Arial" w:cs="Arial"/>
          <w:sz w:val="24"/>
          <w:szCs w:val="24"/>
        </w:rPr>
        <w:t xml:space="preserve">In determining whether to set </w:t>
      </w:r>
      <w:r w:rsidR="000D4BDB">
        <w:rPr>
          <w:rFonts w:ascii="Arial" w:hAnsi="Arial" w:cs="Arial"/>
          <w:sz w:val="24"/>
          <w:szCs w:val="24"/>
        </w:rPr>
        <w:t>aside this irregular proceeding</w:t>
      </w:r>
      <w:r w:rsidR="00656CD1">
        <w:rPr>
          <w:rFonts w:ascii="Arial" w:hAnsi="Arial" w:cs="Arial"/>
          <w:sz w:val="24"/>
          <w:szCs w:val="24"/>
        </w:rPr>
        <w:t>, the court has a discretion whether or not to overlook the irregularity. In exercising its discretion to do so or not would take into account the question of prejudice.</w:t>
      </w:r>
      <w:r w:rsidR="00656CD1">
        <w:rPr>
          <w:rStyle w:val="FootnoteReference"/>
          <w:rFonts w:ascii="Arial" w:hAnsi="Arial" w:cs="Arial"/>
          <w:sz w:val="24"/>
          <w:szCs w:val="24"/>
        </w:rPr>
        <w:footnoteReference w:id="3"/>
      </w:r>
      <w:r w:rsidR="00656CD1">
        <w:rPr>
          <w:rFonts w:ascii="Arial" w:hAnsi="Arial" w:cs="Arial"/>
          <w:sz w:val="24"/>
          <w:szCs w:val="24"/>
        </w:rPr>
        <w:t xml:space="preserve"> In the absence of real prejudice, a court would be unlikely to exercise its discretion to set</w:t>
      </w:r>
      <w:r w:rsidR="000B14C8">
        <w:rPr>
          <w:rFonts w:ascii="Arial" w:hAnsi="Arial" w:cs="Arial"/>
          <w:sz w:val="24"/>
          <w:szCs w:val="24"/>
        </w:rPr>
        <w:t xml:space="preserve"> </w:t>
      </w:r>
      <w:r w:rsidR="002E0648">
        <w:rPr>
          <w:rFonts w:ascii="Arial" w:hAnsi="Arial" w:cs="Arial"/>
          <w:sz w:val="24"/>
          <w:szCs w:val="24"/>
        </w:rPr>
        <w:t xml:space="preserve">it </w:t>
      </w:r>
      <w:r w:rsidR="00656CD1">
        <w:rPr>
          <w:rFonts w:ascii="Arial" w:hAnsi="Arial" w:cs="Arial"/>
          <w:sz w:val="24"/>
          <w:szCs w:val="24"/>
        </w:rPr>
        <w:t xml:space="preserve">aside </w:t>
      </w:r>
      <w:r w:rsidR="002E0648">
        <w:rPr>
          <w:rFonts w:ascii="Arial" w:hAnsi="Arial" w:cs="Arial"/>
          <w:sz w:val="24"/>
          <w:szCs w:val="24"/>
        </w:rPr>
        <w:t xml:space="preserve">as </w:t>
      </w:r>
      <w:r w:rsidR="00656CD1">
        <w:rPr>
          <w:rFonts w:ascii="Arial" w:hAnsi="Arial" w:cs="Arial"/>
          <w:sz w:val="24"/>
          <w:szCs w:val="24"/>
        </w:rPr>
        <w:t>an irregular proceeding which would then stand.</w:t>
      </w:r>
    </w:p>
    <w:p w:rsidR="006A660B" w:rsidRDefault="006A660B" w:rsidP="006A660B">
      <w:pPr>
        <w:pStyle w:val="NoSpacing"/>
        <w:spacing w:line="480" w:lineRule="auto"/>
        <w:jc w:val="both"/>
        <w:rPr>
          <w:rFonts w:ascii="Arial" w:hAnsi="Arial" w:cs="Arial"/>
          <w:sz w:val="24"/>
          <w:szCs w:val="24"/>
        </w:rPr>
      </w:pPr>
    </w:p>
    <w:p w:rsidR="006A660B" w:rsidRPr="0089243C" w:rsidRDefault="006A660B" w:rsidP="0089243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008E4A71">
        <w:rPr>
          <w:rFonts w:ascii="Arial" w:hAnsi="Arial" w:cs="Arial"/>
          <w:sz w:val="24"/>
          <w:szCs w:val="24"/>
        </w:rPr>
        <w:t xml:space="preserve">furthermore and </w:t>
      </w:r>
      <w:r>
        <w:rPr>
          <w:rFonts w:ascii="Arial" w:hAnsi="Arial" w:cs="Arial"/>
          <w:sz w:val="24"/>
          <w:szCs w:val="24"/>
        </w:rPr>
        <w:t xml:space="preserve">in any event retains a discretion exercising its inherent powers to regulate proceedings before it, especially with reference to receiving evidence provided that it does not give rise to unfair and unjust </w:t>
      </w:r>
      <w:r w:rsidRPr="00FE4CB0">
        <w:rPr>
          <w:rFonts w:ascii="Arial" w:hAnsi="Arial" w:cs="Arial"/>
          <w:sz w:val="24"/>
          <w:szCs w:val="24"/>
        </w:rPr>
        <w:t>results</w:t>
      </w:r>
      <w:r>
        <w:rPr>
          <w:rFonts w:ascii="Arial" w:hAnsi="Arial" w:cs="Arial"/>
          <w:sz w:val="24"/>
          <w:szCs w:val="24"/>
        </w:rPr>
        <w:t>. In appropriate cases, a court can draw upon its inherent powers to receive evidence in the interest of fairness and justice.</w:t>
      </w:r>
      <w:r>
        <w:rPr>
          <w:rStyle w:val="FootnoteReference"/>
          <w:rFonts w:ascii="Arial" w:hAnsi="Arial" w:cs="Arial"/>
          <w:sz w:val="24"/>
          <w:szCs w:val="24"/>
        </w:rPr>
        <w:footnoteReference w:id="4"/>
      </w:r>
      <w:r>
        <w:rPr>
          <w:rFonts w:ascii="Arial" w:hAnsi="Arial" w:cs="Arial"/>
          <w:sz w:val="24"/>
          <w:szCs w:val="24"/>
        </w:rPr>
        <w:t xml:space="preserve"> This would eminently be such a case with fairness requiring that parties are afforded time to deal with it should they so wish and with an appropriate cost order in their favour.</w:t>
      </w:r>
    </w:p>
    <w:p w:rsidR="0051747D" w:rsidRDefault="0051747D" w:rsidP="0051747D">
      <w:pPr>
        <w:pStyle w:val="ListParagraph"/>
        <w:rPr>
          <w:rFonts w:ascii="Arial" w:hAnsi="Arial" w:cs="Arial"/>
          <w:sz w:val="24"/>
          <w:szCs w:val="24"/>
        </w:rPr>
      </w:pPr>
    </w:p>
    <w:p w:rsidR="00962918" w:rsidRPr="008E4A71" w:rsidRDefault="00C017E7" w:rsidP="008E4A7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w:t>
      </w:r>
      <w:r w:rsidR="00962918">
        <w:rPr>
          <w:rFonts w:ascii="Arial" w:hAnsi="Arial" w:cs="Arial"/>
          <w:sz w:val="24"/>
          <w:szCs w:val="24"/>
        </w:rPr>
        <w:t xml:space="preserve">ower of </w:t>
      </w:r>
      <w:r>
        <w:rPr>
          <w:rFonts w:ascii="Arial" w:hAnsi="Arial" w:cs="Arial"/>
          <w:sz w:val="24"/>
          <w:szCs w:val="24"/>
        </w:rPr>
        <w:t>a</w:t>
      </w:r>
      <w:r w:rsidR="00962918">
        <w:rPr>
          <w:rFonts w:ascii="Arial" w:hAnsi="Arial" w:cs="Arial"/>
          <w:sz w:val="24"/>
          <w:szCs w:val="24"/>
        </w:rPr>
        <w:t xml:space="preserve"> court on appeal to interfere with the exercise of a discretion in an instance where a court exercises its </w:t>
      </w:r>
      <w:r w:rsidR="000E3B05">
        <w:rPr>
          <w:rFonts w:ascii="Arial" w:hAnsi="Arial" w:cs="Arial"/>
          <w:sz w:val="24"/>
          <w:szCs w:val="24"/>
        </w:rPr>
        <w:t xml:space="preserve">discretion to exercise its </w:t>
      </w:r>
      <w:r w:rsidR="00962918">
        <w:rPr>
          <w:rFonts w:ascii="Arial" w:hAnsi="Arial" w:cs="Arial"/>
          <w:sz w:val="24"/>
          <w:szCs w:val="24"/>
        </w:rPr>
        <w:t>powers to regulate its own procedures is strictly circumscribed.</w:t>
      </w:r>
      <w:r w:rsidR="00962918">
        <w:rPr>
          <w:rStyle w:val="FootnoteReference"/>
          <w:rFonts w:ascii="Arial" w:hAnsi="Arial" w:cs="Arial"/>
          <w:sz w:val="24"/>
          <w:szCs w:val="24"/>
        </w:rPr>
        <w:footnoteReference w:id="5"/>
      </w:r>
      <w:r w:rsidR="008E4A71">
        <w:rPr>
          <w:rFonts w:ascii="Arial" w:hAnsi="Arial" w:cs="Arial"/>
          <w:sz w:val="24"/>
          <w:szCs w:val="24"/>
        </w:rPr>
        <w:t xml:space="preserve"> </w:t>
      </w:r>
      <w:r w:rsidR="008E4A71" w:rsidRPr="008E4A71">
        <w:rPr>
          <w:rFonts w:ascii="Arial" w:hAnsi="Arial" w:cs="Arial"/>
          <w:sz w:val="24"/>
          <w:szCs w:val="24"/>
        </w:rPr>
        <w:t>It</w:t>
      </w:r>
      <w:r w:rsidR="00962918" w:rsidRPr="008E4A71">
        <w:rPr>
          <w:rFonts w:ascii="Arial" w:hAnsi="Arial" w:cs="Arial"/>
          <w:sz w:val="24"/>
          <w:szCs w:val="24"/>
        </w:rPr>
        <w:t xml:space="preserve"> is an exercise of a discretion in a ‘strict or narrow sense’ where a court of appeal will only interfere if the court below ‘exercised its discretion capriciously or upon a wrong principle or has not </w:t>
      </w:r>
      <w:r w:rsidR="00962918" w:rsidRPr="008E4A71">
        <w:rPr>
          <w:rFonts w:ascii="Arial" w:hAnsi="Arial" w:cs="Arial"/>
          <w:sz w:val="24"/>
          <w:szCs w:val="24"/>
        </w:rPr>
        <w:lastRenderedPageBreak/>
        <w:t xml:space="preserve">brought its unbiased judgment to bear on the question, or has not </w:t>
      </w:r>
      <w:r w:rsidR="00626913" w:rsidRPr="008E4A71">
        <w:rPr>
          <w:rFonts w:ascii="Arial" w:hAnsi="Arial" w:cs="Arial"/>
          <w:sz w:val="24"/>
          <w:szCs w:val="24"/>
        </w:rPr>
        <w:t>acted</w:t>
      </w:r>
      <w:r w:rsidR="00962918" w:rsidRPr="008E4A71">
        <w:rPr>
          <w:rFonts w:ascii="Arial" w:hAnsi="Arial" w:cs="Arial"/>
          <w:sz w:val="24"/>
          <w:szCs w:val="24"/>
        </w:rPr>
        <w:t xml:space="preserve"> for substantial reasons or materially misdirected itself.’</w:t>
      </w:r>
      <w:r w:rsidR="00962918">
        <w:rPr>
          <w:rStyle w:val="FootnoteReference"/>
          <w:rFonts w:ascii="Arial" w:hAnsi="Arial" w:cs="Arial"/>
          <w:sz w:val="24"/>
          <w:szCs w:val="24"/>
        </w:rPr>
        <w:footnoteReference w:id="6"/>
      </w:r>
    </w:p>
    <w:p w:rsidR="00962918" w:rsidRDefault="00962918" w:rsidP="00962918">
      <w:pPr>
        <w:pStyle w:val="ListParagraph"/>
        <w:rPr>
          <w:rFonts w:ascii="Arial" w:hAnsi="Arial" w:cs="Arial"/>
          <w:sz w:val="24"/>
          <w:szCs w:val="24"/>
        </w:rPr>
      </w:pPr>
    </w:p>
    <w:p w:rsidR="00C017E7" w:rsidRPr="006A660B" w:rsidRDefault="00962918" w:rsidP="006A660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Appellant’s counsel </w:t>
      </w:r>
      <w:r w:rsidR="00DA4FA9">
        <w:rPr>
          <w:rFonts w:ascii="Arial" w:hAnsi="Arial" w:cs="Arial"/>
          <w:sz w:val="24"/>
          <w:szCs w:val="24"/>
        </w:rPr>
        <w:t xml:space="preserve">did not </w:t>
      </w:r>
      <w:r w:rsidR="000E3B05">
        <w:rPr>
          <w:rFonts w:ascii="Arial" w:hAnsi="Arial" w:cs="Arial"/>
          <w:sz w:val="24"/>
          <w:szCs w:val="24"/>
        </w:rPr>
        <w:t>challenge</w:t>
      </w:r>
      <w:r>
        <w:rPr>
          <w:rFonts w:ascii="Arial" w:hAnsi="Arial" w:cs="Arial"/>
          <w:sz w:val="24"/>
          <w:szCs w:val="24"/>
        </w:rPr>
        <w:t xml:space="preserve"> the exercise of the court’s discretion </w:t>
      </w:r>
      <w:r w:rsidR="00C017E7">
        <w:rPr>
          <w:rFonts w:ascii="Arial" w:hAnsi="Arial" w:cs="Arial"/>
          <w:sz w:val="24"/>
          <w:szCs w:val="24"/>
        </w:rPr>
        <w:t xml:space="preserve">on any of these bases but persisted with his contention </w:t>
      </w:r>
      <w:r>
        <w:rPr>
          <w:rFonts w:ascii="Arial" w:hAnsi="Arial" w:cs="Arial"/>
          <w:sz w:val="24"/>
          <w:szCs w:val="24"/>
        </w:rPr>
        <w:t>that rule 54(3) meant that the Minister and Mining Commissioner were barred</w:t>
      </w:r>
      <w:r w:rsidR="00730A27" w:rsidRPr="00730A27">
        <w:rPr>
          <w:rFonts w:ascii="Arial" w:hAnsi="Arial" w:cs="Arial"/>
          <w:sz w:val="24"/>
          <w:szCs w:val="24"/>
        </w:rPr>
        <w:t xml:space="preserve"> and were required to</w:t>
      </w:r>
      <w:r w:rsidR="00730A27">
        <w:rPr>
          <w:rFonts w:ascii="Arial" w:hAnsi="Arial" w:cs="Arial"/>
          <w:sz w:val="24"/>
          <w:szCs w:val="24"/>
        </w:rPr>
        <w:t xml:space="preserve"> apply for and receive condonation before the affidavit would be received</w:t>
      </w:r>
      <w:r>
        <w:rPr>
          <w:rFonts w:ascii="Arial" w:hAnsi="Arial" w:cs="Arial"/>
          <w:sz w:val="24"/>
          <w:szCs w:val="24"/>
        </w:rPr>
        <w:t xml:space="preserve">. </w:t>
      </w:r>
      <w:r w:rsidR="008E4A71">
        <w:rPr>
          <w:rFonts w:ascii="Arial" w:hAnsi="Arial" w:cs="Arial"/>
          <w:sz w:val="24"/>
          <w:szCs w:val="24"/>
        </w:rPr>
        <w:t>A</w:t>
      </w:r>
      <w:r w:rsidR="00C017E7">
        <w:rPr>
          <w:rFonts w:ascii="Arial" w:hAnsi="Arial" w:cs="Arial"/>
          <w:sz w:val="24"/>
          <w:szCs w:val="24"/>
        </w:rPr>
        <w:t>s I have pointed out</w:t>
      </w:r>
      <w:r w:rsidR="00730A27">
        <w:rPr>
          <w:rFonts w:ascii="Arial" w:hAnsi="Arial" w:cs="Arial"/>
          <w:sz w:val="24"/>
          <w:szCs w:val="24"/>
        </w:rPr>
        <w:t xml:space="preserve"> this affidavit was not </w:t>
      </w:r>
      <w:r w:rsidR="0089243C">
        <w:rPr>
          <w:rFonts w:ascii="Arial" w:hAnsi="Arial" w:cs="Arial"/>
          <w:sz w:val="24"/>
          <w:szCs w:val="24"/>
        </w:rPr>
        <w:t>an answering affidavit</w:t>
      </w:r>
      <w:r w:rsidR="00DA4FA9">
        <w:rPr>
          <w:rFonts w:ascii="Arial" w:hAnsi="Arial" w:cs="Arial"/>
          <w:sz w:val="24"/>
          <w:szCs w:val="24"/>
        </w:rPr>
        <w:t xml:space="preserve"> in the strict sense</w:t>
      </w:r>
      <w:r w:rsidR="0089243C">
        <w:rPr>
          <w:rFonts w:ascii="Arial" w:hAnsi="Arial" w:cs="Arial"/>
          <w:sz w:val="24"/>
          <w:szCs w:val="24"/>
        </w:rPr>
        <w:t xml:space="preserve"> contemplated by the court order </w:t>
      </w:r>
      <w:r w:rsidR="00DA4FA9">
        <w:rPr>
          <w:rFonts w:ascii="Arial" w:hAnsi="Arial" w:cs="Arial"/>
          <w:sz w:val="24"/>
          <w:szCs w:val="24"/>
        </w:rPr>
        <w:t xml:space="preserve">and thus </w:t>
      </w:r>
      <w:r w:rsidR="00730A27">
        <w:rPr>
          <w:rFonts w:ascii="Arial" w:hAnsi="Arial" w:cs="Arial"/>
          <w:sz w:val="24"/>
          <w:szCs w:val="24"/>
        </w:rPr>
        <w:t>by s 5</w:t>
      </w:r>
      <w:r w:rsidR="00181928">
        <w:rPr>
          <w:rFonts w:ascii="Arial" w:hAnsi="Arial" w:cs="Arial"/>
          <w:sz w:val="24"/>
          <w:szCs w:val="24"/>
        </w:rPr>
        <w:t>4</w:t>
      </w:r>
      <w:r w:rsidR="00730A27">
        <w:rPr>
          <w:rFonts w:ascii="Arial" w:hAnsi="Arial" w:cs="Arial"/>
          <w:sz w:val="24"/>
          <w:szCs w:val="24"/>
        </w:rPr>
        <w:t>(</w:t>
      </w:r>
      <w:r w:rsidR="00181928">
        <w:rPr>
          <w:rFonts w:ascii="Arial" w:hAnsi="Arial" w:cs="Arial"/>
          <w:sz w:val="24"/>
          <w:szCs w:val="24"/>
        </w:rPr>
        <w:t>3</w:t>
      </w:r>
      <w:r w:rsidR="00730A27">
        <w:rPr>
          <w:rFonts w:ascii="Arial" w:hAnsi="Arial" w:cs="Arial"/>
          <w:sz w:val="24"/>
          <w:szCs w:val="24"/>
        </w:rPr>
        <w:t xml:space="preserve">) which </w:t>
      </w:r>
      <w:r w:rsidR="00DA4FA9">
        <w:rPr>
          <w:rFonts w:ascii="Arial" w:hAnsi="Arial" w:cs="Arial"/>
          <w:sz w:val="24"/>
          <w:szCs w:val="24"/>
        </w:rPr>
        <w:t>would</w:t>
      </w:r>
      <w:r w:rsidR="00730A27">
        <w:rPr>
          <w:rFonts w:ascii="Arial" w:hAnsi="Arial" w:cs="Arial"/>
          <w:sz w:val="24"/>
          <w:szCs w:val="24"/>
        </w:rPr>
        <w:t xml:space="preserve"> </w:t>
      </w:r>
      <w:r w:rsidR="0089243C">
        <w:rPr>
          <w:rFonts w:ascii="Arial" w:hAnsi="Arial" w:cs="Arial"/>
          <w:sz w:val="24"/>
          <w:szCs w:val="24"/>
        </w:rPr>
        <w:t>result in barring</w:t>
      </w:r>
      <w:r w:rsidR="00DA4FA9">
        <w:rPr>
          <w:rFonts w:ascii="Arial" w:hAnsi="Arial" w:cs="Arial"/>
          <w:sz w:val="24"/>
          <w:szCs w:val="24"/>
        </w:rPr>
        <w:t xml:space="preserve"> </w:t>
      </w:r>
      <w:r w:rsidR="008E4A71">
        <w:rPr>
          <w:rFonts w:ascii="Arial" w:hAnsi="Arial" w:cs="Arial"/>
          <w:sz w:val="24"/>
          <w:szCs w:val="24"/>
        </w:rPr>
        <w:t>if filed late. B</w:t>
      </w:r>
      <w:r w:rsidR="0089243C">
        <w:rPr>
          <w:rFonts w:ascii="Arial" w:hAnsi="Arial" w:cs="Arial"/>
          <w:sz w:val="24"/>
          <w:szCs w:val="24"/>
        </w:rPr>
        <w:t>ut</w:t>
      </w:r>
      <w:r w:rsidR="0088335A">
        <w:rPr>
          <w:rFonts w:ascii="Arial" w:hAnsi="Arial" w:cs="Arial"/>
          <w:sz w:val="24"/>
          <w:szCs w:val="24"/>
        </w:rPr>
        <w:t>,</w:t>
      </w:r>
      <w:r w:rsidR="0089243C">
        <w:rPr>
          <w:rFonts w:ascii="Arial" w:hAnsi="Arial" w:cs="Arial"/>
          <w:sz w:val="24"/>
          <w:szCs w:val="24"/>
        </w:rPr>
        <w:t xml:space="preserve"> </w:t>
      </w:r>
      <w:r w:rsidR="00DA4FA9">
        <w:rPr>
          <w:rFonts w:ascii="Arial" w:hAnsi="Arial" w:cs="Arial"/>
          <w:sz w:val="24"/>
          <w:szCs w:val="24"/>
        </w:rPr>
        <w:t>th</w:t>
      </w:r>
      <w:r w:rsidR="0088335A">
        <w:rPr>
          <w:rFonts w:ascii="Arial" w:hAnsi="Arial" w:cs="Arial"/>
          <w:sz w:val="24"/>
          <w:szCs w:val="24"/>
        </w:rPr>
        <w:t>e</w:t>
      </w:r>
      <w:r w:rsidR="0089243C">
        <w:rPr>
          <w:rFonts w:ascii="Arial" w:hAnsi="Arial" w:cs="Arial"/>
          <w:sz w:val="24"/>
          <w:szCs w:val="24"/>
        </w:rPr>
        <w:t xml:space="preserve"> other forms of sanction </w:t>
      </w:r>
      <w:r w:rsidR="00DA4FA9">
        <w:rPr>
          <w:rFonts w:ascii="Arial" w:hAnsi="Arial" w:cs="Arial"/>
          <w:sz w:val="24"/>
          <w:szCs w:val="24"/>
        </w:rPr>
        <w:t xml:space="preserve">were </w:t>
      </w:r>
      <w:r w:rsidR="006A660B">
        <w:rPr>
          <w:rFonts w:ascii="Arial" w:hAnsi="Arial" w:cs="Arial"/>
          <w:sz w:val="24"/>
          <w:szCs w:val="24"/>
        </w:rPr>
        <w:t xml:space="preserve">indeed </w:t>
      </w:r>
      <w:r w:rsidR="00DA4FA9">
        <w:rPr>
          <w:rFonts w:ascii="Arial" w:hAnsi="Arial" w:cs="Arial"/>
          <w:sz w:val="24"/>
          <w:szCs w:val="24"/>
        </w:rPr>
        <w:t xml:space="preserve">warranted </w:t>
      </w:r>
      <w:r w:rsidR="008E4A71">
        <w:rPr>
          <w:rFonts w:ascii="Arial" w:hAnsi="Arial" w:cs="Arial"/>
          <w:sz w:val="24"/>
          <w:szCs w:val="24"/>
        </w:rPr>
        <w:t xml:space="preserve">because of its lateness, </w:t>
      </w:r>
      <w:r w:rsidR="0089243C">
        <w:rPr>
          <w:rFonts w:ascii="Arial" w:hAnsi="Arial" w:cs="Arial"/>
          <w:sz w:val="24"/>
          <w:szCs w:val="24"/>
        </w:rPr>
        <w:t xml:space="preserve">such as </w:t>
      </w:r>
      <w:r w:rsidR="006A660B">
        <w:rPr>
          <w:rFonts w:ascii="Arial" w:hAnsi="Arial" w:cs="Arial"/>
          <w:sz w:val="24"/>
          <w:szCs w:val="24"/>
        </w:rPr>
        <w:t xml:space="preserve">severe censure coupled with </w:t>
      </w:r>
      <w:r w:rsidR="0089243C">
        <w:rPr>
          <w:rFonts w:ascii="Arial" w:hAnsi="Arial" w:cs="Arial"/>
          <w:sz w:val="24"/>
          <w:szCs w:val="24"/>
        </w:rPr>
        <w:t xml:space="preserve">an appropriate costs order to afford parties the opportunity to deal with it if they </w:t>
      </w:r>
      <w:r w:rsidR="001758E1">
        <w:rPr>
          <w:rFonts w:ascii="Arial" w:hAnsi="Arial" w:cs="Arial"/>
          <w:sz w:val="24"/>
          <w:szCs w:val="24"/>
        </w:rPr>
        <w:t>sought</w:t>
      </w:r>
      <w:r w:rsidR="0089243C">
        <w:rPr>
          <w:rFonts w:ascii="Arial" w:hAnsi="Arial" w:cs="Arial"/>
          <w:sz w:val="24"/>
          <w:szCs w:val="24"/>
        </w:rPr>
        <w:t xml:space="preserve"> to do so</w:t>
      </w:r>
      <w:r w:rsidR="00730A27">
        <w:rPr>
          <w:rFonts w:ascii="Arial" w:hAnsi="Arial" w:cs="Arial"/>
          <w:sz w:val="24"/>
          <w:szCs w:val="24"/>
        </w:rPr>
        <w:t>.</w:t>
      </w:r>
    </w:p>
    <w:p w:rsidR="00962918" w:rsidRDefault="00962918" w:rsidP="00962918">
      <w:pPr>
        <w:pStyle w:val="ListParagraph"/>
        <w:rPr>
          <w:rFonts w:ascii="Arial" w:hAnsi="Arial" w:cs="Arial"/>
          <w:sz w:val="24"/>
          <w:szCs w:val="24"/>
        </w:rPr>
      </w:pPr>
    </w:p>
    <w:p w:rsidR="00962918" w:rsidRDefault="00EA3097"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Having carefully considered the reasoning and approach of the court below, no basis has been established to interfere with the exercise of the court’s discretion. On the contrary, it would seem that the public interest is served by the receipt of the affidavit </w:t>
      </w:r>
      <w:r w:rsidR="008E4A71">
        <w:rPr>
          <w:rFonts w:ascii="Arial" w:hAnsi="Arial" w:cs="Arial"/>
          <w:sz w:val="24"/>
          <w:szCs w:val="24"/>
        </w:rPr>
        <w:t>to facilitate</w:t>
      </w:r>
      <w:r>
        <w:rPr>
          <w:rFonts w:ascii="Arial" w:hAnsi="Arial" w:cs="Arial"/>
          <w:sz w:val="24"/>
          <w:szCs w:val="24"/>
        </w:rPr>
        <w:t xml:space="preserve"> the </w:t>
      </w:r>
      <w:r w:rsidR="00626913">
        <w:rPr>
          <w:rFonts w:ascii="Arial" w:hAnsi="Arial" w:cs="Arial"/>
          <w:sz w:val="24"/>
          <w:szCs w:val="24"/>
        </w:rPr>
        <w:t xml:space="preserve">real </w:t>
      </w:r>
      <w:r>
        <w:rPr>
          <w:rFonts w:ascii="Arial" w:hAnsi="Arial" w:cs="Arial"/>
          <w:sz w:val="24"/>
          <w:szCs w:val="24"/>
        </w:rPr>
        <w:t>issues be</w:t>
      </w:r>
      <w:r w:rsidR="008E4A71">
        <w:rPr>
          <w:rFonts w:ascii="Arial" w:hAnsi="Arial" w:cs="Arial"/>
          <w:sz w:val="24"/>
          <w:szCs w:val="24"/>
        </w:rPr>
        <w:t>ing</w:t>
      </w:r>
      <w:r>
        <w:rPr>
          <w:rFonts w:ascii="Arial" w:hAnsi="Arial" w:cs="Arial"/>
          <w:sz w:val="24"/>
          <w:szCs w:val="24"/>
        </w:rPr>
        <w:t xml:space="preserve"> determined with reference to the full factual position. </w:t>
      </w:r>
      <w:r w:rsidR="00DA4FA9">
        <w:rPr>
          <w:rFonts w:ascii="Arial" w:hAnsi="Arial" w:cs="Arial"/>
          <w:sz w:val="24"/>
          <w:szCs w:val="24"/>
        </w:rPr>
        <w:t>Had the appellant sought leave to deal with the affidavit after its receipt by the court below, and that had been refused, the position would be entirely different. But</w:t>
      </w:r>
      <w:r w:rsidR="0088335A">
        <w:rPr>
          <w:rFonts w:ascii="Arial" w:hAnsi="Arial" w:cs="Arial"/>
          <w:sz w:val="24"/>
          <w:szCs w:val="24"/>
        </w:rPr>
        <w:t>,</w:t>
      </w:r>
      <w:r w:rsidR="00DA4FA9">
        <w:rPr>
          <w:rFonts w:ascii="Arial" w:hAnsi="Arial" w:cs="Arial"/>
          <w:sz w:val="24"/>
          <w:szCs w:val="24"/>
        </w:rPr>
        <w:t xml:space="preserve"> the failure</w:t>
      </w:r>
      <w:r w:rsidR="006A660B">
        <w:rPr>
          <w:rFonts w:ascii="Arial" w:hAnsi="Arial" w:cs="Arial"/>
          <w:sz w:val="24"/>
          <w:szCs w:val="24"/>
        </w:rPr>
        <w:t xml:space="preserve"> </w:t>
      </w:r>
      <w:r w:rsidR="007D725F">
        <w:rPr>
          <w:rFonts w:ascii="Arial" w:hAnsi="Arial" w:cs="Arial"/>
          <w:sz w:val="24"/>
          <w:szCs w:val="24"/>
        </w:rPr>
        <w:t>o</w:t>
      </w:r>
      <w:r w:rsidR="006A660B">
        <w:rPr>
          <w:rFonts w:ascii="Arial" w:hAnsi="Arial" w:cs="Arial"/>
          <w:sz w:val="24"/>
          <w:szCs w:val="24"/>
        </w:rPr>
        <w:t xml:space="preserve">f any attempt </w:t>
      </w:r>
      <w:r w:rsidR="00DA4FA9">
        <w:rPr>
          <w:rFonts w:ascii="Arial" w:hAnsi="Arial" w:cs="Arial"/>
          <w:sz w:val="24"/>
          <w:szCs w:val="24"/>
        </w:rPr>
        <w:t xml:space="preserve">to seek to address the affidavit particularly after its receipt renders the claim of prejudice </w:t>
      </w:r>
      <w:r w:rsidR="00B443B2">
        <w:rPr>
          <w:rFonts w:ascii="Arial" w:hAnsi="Arial" w:cs="Arial"/>
          <w:sz w:val="24"/>
          <w:szCs w:val="24"/>
        </w:rPr>
        <w:t>on appeal as contrived and lacking in any real substance</w:t>
      </w:r>
      <w:r>
        <w:rPr>
          <w:rFonts w:ascii="Arial" w:hAnsi="Arial" w:cs="Arial"/>
          <w:sz w:val="24"/>
          <w:szCs w:val="24"/>
        </w:rPr>
        <w:t>.</w:t>
      </w:r>
    </w:p>
    <w:p w:rsidR="00CB3D41" w:rsidRDefault="00CB3D41" w:rsidP="00CB3D41">
      <w:pPr>
        <w:pStyle w:val="ListParagraph"/>
        <w:rPr>
          <w:rFonts w:ascii="Arial" w:hAnsi="Arial" w:cs="Arial"/>
          <w:sz w:val="24"/>
          <w:szCs w:val="24"/>
        </w:rPr>
      </w:pPr>
    </w:p>
    <w:p w:rsidR="00CB3D41" w:rsidRDefault="008F5849"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w:t>
      </w:r>
      <w:r w:rsidR="008E4A71">
        <w:rPr>
          <w:rFonts w:ascii="Arial" w:hAnsi="Arial" w:cs="Arial"/>
          <w:sz w:val="24"/>
          <w:szCs w:val="24"/>
        </w:rPr>
        <w:t>receipt of this late affidavit</w:t>
      </w:r>
      <w:r>
        <w:rPr>
          <w:rFonts w:ascii="Arial" w:hAnsi="Arial" w:cs="Arial"/>
          <w:sz w:val="24"/>
          <w:szCs w:val="24"/>
        </w:rPr>
        <w:t xml:space="preserve"> should not by any means be understood as undermining the effect of rule 5</w:t>
      </w:r>
      <w:r w:rsidR="00181928">
        <w:rPr>
          <w:rFonts w:ascii="Arial" w:hAnsi="Arial" w:cs="Arial"/>
          <w:sz w:val="24"/>
          <w:szCs w:val="24"/>
        </w:rPr>
        <w:t>4</w:t>
      </w:r>
      <w:r>
        <w:rPr>
          <w:rFonts w:ascii="Arial" w:hAnsi="Arial" w:cs="Arial"/>
          <w:sz w:val="24"/>
          <w:szCs w:val="24"/>
        </w:rPr>
        <w:t>(</w:t>
      </w:r>
      <w:r w:rsidR="00181928">
        <w:rPr>
          <w:rFonts w:ascii="Arial" w:hAnsi="Arial" w:cs="Arial"/>
          <w:sz w:val="24"/>
          <w:szCs w:val="24"/>
        </w:rPr>
        <w:t>3</w:t>
      </w:r>
      <w:r>
        <w:rPr>
          <w:rFonts w:ascii="Arial" w:hAnsi="Arial" w:cs="Arial"/>
          <w:sz w:val="24"/>
          <w:szCs w:val="24"/>
        </w:rPr>
        <w:t>)</w:t>
      </w:r>
      <w:r w:rsidR="00EC7641">
        <w:rPr>
          <w:rFonts w:ascii="Arial" w:hAnsi="Arial" w:cs="Arial"/>
          <w:sz w:val="24"/>
          <w:szCs w:val="24"/>
        </w:rPr>
        <w:t xml:space="preserve"> and</w:t>
      </w:r>
      <w:r>
        <w:rPr>
          <w:rFonts w:ascii="Arial" w:hAnsi="Arial" w:cs="Arial"/>
          <w:sz w:val="24"/>
          <w:szCs w:val="24"/>
        </w:rPr>
        <w:t xml:space="preserve"> </w:t>
      </w:r>
      <w:r w:rsidR="006A660B">
        <w:rPr>
          <w:rFonts w:ascii="Arial" w:hAnsi="Arial" w:cs="Arial"/>
          <w:sz w:val="24"/>
          <w:szCs w:val="24"/>
        </w:rPr>
        <w:t>its</w:t>
      </w:r>
      <w:r>
        <w:rPr>
          <w:rFonts w:ascii="Arial" w:hAnsi="Arial" w:cs="Arial"/>
          <w:sz w:val="24"/>
          <w:szCs w:val="24"/>
        </w:rPr>
        <w:t xml:space="preserve"> importance to the due administration of justice</w:t>
      </w:r>
      <w:r w:rsidR="00EC7641">
        <w:rPr>
          <w:rFonts w:ascii="Arial" w:hAnsi="Arial" w:cs="Arial"/>
          <w:sz w:val="24"/>
          <w:szCs w:val="24"/>
        </w:rPr>
        <w:t>,</w:t>
      </w:r>
      <w:r>
        <w:rPr>
          <w:rFonts w:ascii="Arial" w:hAnsi="Arial" w:cs="Arial"/>
          <w:sz w:val="24"/>
          <w:szCs w:val="24"/>
        </w:rPr>
        <w:t xml:space="preserve"> court managed proceedings</w:t>
      </w:r>
      <w:r w:rsidR="00EC7641">
        <w:rPr>
          <w:rFonts w:ascii="Arial" w:hAnsi="Arial" w:cs="Arial"/>
          <w:sz w:val="24"/>
          <w:szCs w:val="24"/>
        </w:rPr>
        <w:t xml:space="preserve"> and</w:t>
      </w:r>
      <w:r w:rsidR="006A660B">
        <w:rPr>
          <w:rFonts w:ascii="Arial" w:hAnsi="Arial" w:cs="Arial"/>
          <w:sz w:val="24"/>
          <w:szCs w:val="24"/>
        </w:rPr>
        <w:t xml:space="preserve"> the imperative that</w:t>
      </w:r>
      <w:r>
        <w:rPr>
          <w:rFonts w:ascii="Arial" w:hAnsi="Arial" w:cs="Arial"/>
          <w:sz w:val="24"/>
          <w:szCs w:val="24"/>
        </w:rPr>
        <w:t xml:space="preserve"> parties strictl</w:t>
      </w:r>
      <w:r w:rsidR="00351E20">
        <w:rPr>
          <w:rFonts w:ascii="Arial" w:hAnsi="Arial" w:cs="Arial"/>
          <w:sz w:val="24"/>
          <w:szCs w:val="24"/>
        </w:rPr>
        <w:t>y adher</w:t>
      </w:r>
      <w:r w:rsidR="006A660B">
        <w:rPr>
          <w:rFonts w:ascii="Arial" w:hAnsi="Arial" w:cs="Arial"/>
          <w:sz w:val="24"/>
          <w:szCs w:val="24"/>
        </w:rPr>
        <w:t>e</w:t>
      </w:r>
      <w:r w:rsidR="00351E20">
        <w:rPr>
          <w:rFonts w:ascii="Arial" w:hAnsi="Arial" w:cs="Arial"/>
          <w:sz w:val="24"/>
          <w:szCs w:val="24"/>
        </w:rPr>
        <w:t xml:space="preserve"> to rule 5</w:t>
      </w:r>
      <w:r w:rsidR="00181928">
        <w:rPr>
          <w:rFonts w:ascii="Arial" w:hAnsi="Arial" w:cs="Arial"/>
          <w:sz w:val="24"/>
          <w:szCs w:val="24"/>
        </w:rPr>
        <w:t>4</w:t>
      </w:r>
      <w:r w:rsidR="00EC7641">
        <w:rPr>
          <w:rFonts w:ascii="Arial" w:hAnsi="Arial" w:cs="Arial"/>
          <w:sz w:val="24"/>
          <w:szCs w:val="24"/>
        </w:rPr>
        <w:t xml:space="preserve"> and</w:t>
      </w:r>
      <w:r w:rsidR="0088335A">
        <w:rPr>
          <w:rFonts w:ascii="Arial" w:hAnsi="Arial" w:cs="Arial"/>
          <w:sz w:val="24"/>
          <w:szCs w:val="24"/>
        </w:rPr>
        <w:t xml:space="preserve"> </w:t>
      </w:r>
      <w:r w:rsidR="00351E20">
        <w:rPr>
          <w:rFonts w:ascii="Arial" w:hAnsi="Arial" w:cs="Arial"/>
          <w:sz w:val="24"/>
          <w:szCs w:val="24"/>
        </w:rPr>
        <w:t xml:space="preserve">the time </w:t>
      </w:r>
      <w:r w:rsidR="006A660B">
        <w:rPr>
          <w:rFonts w:ascii="Arial" w:hAnsi="Arial" w:cs="Arial"/>
          <w:sz w:val="24"/>
          <w:szCs w:val="24"/>
        </w:rPr>
        <w:t xml:space="preserve">limits </w:t>
      </w:r>
      <w:r w:rsidR="00351E20">
        <w:rPr>
          <w:rFonts w:ascii="Arial" w:hAnsi="Arial" w:cs="Arial"/>
          <w:sz w:val="24"/>
          <w:szCs w:val="24"/>
        </w:rPr>
        <w:t>provided in court orders</w:t>
      </w:r>
      <w:r w:rsidR="00EC7641">
        <w:rPr>
          <w:rFonts w:ascii="Arial" w:hAnsi="Arial" w:cs="Arial"/>
          <w:sz w:val="24"/>
          <w:szCs w:val="24"/>
        </w:rPr>
        <w:t>,</w:t>
      </w:r>
      <w:r w:rsidR="00351E20">
        <w:rPr>
          <w:rFonts w:ascii="Arial" w:hAnsi="Arial" w:cs="Arial"/>
          <w:sz w:val="24"/>
          <w:szCs w:val="24"/>
        </w:rPr>
        <w:t xml:space="preserve"> the rules and practice directives. The affidavit in question is exceptional – where a decision maker in furtherance of a duty</w:t>
      </w:r>
      <w:r w:rsidR="006A660B">
        <w:rPr>
          <w:rFonts w:ascii="Arial" w:hAnsi="Arial" w:cs="Arial"/>
          <w:sz w:val="24"/>
          <w:szCs w:val="24"/>
        </w:rPr>
        <w:t xml:space="preserve"> to account</w:t>
      </w:r>
      <w:r w:rsidR="00351E20">
        <w:rPr>
          <w:rFonts w:ascii="Arial" w:hAnsi="Arial" w:cs="Arial"/>
          <w:sz w:val="24"/>
          <w:szCs w:val="24"/>
        </w:rPr>
        <w:t xml:space="preserve"> explains </w:t>
      </w:r>
      <w:r w:rsidR="007D725F">
        <w:rPr>
          <w:rFonts w:ascii="Arial" w:hAnsi="Arial" w:cs="Arial"/>
          <w:sz w:val="24"/>
          <w:szCs w:val="24"/>
        </w:rPr>
        <w:t xml:space="preserve">the </w:t>
      </w:r>
      <w:r w:rsidR="00351E20">
        <w:rPr>
          <w:rFonts w:ascii="Arial" w:hAnsi="Arial" w:cs="Arial"/>
          <w:sz w:val="24"/>
          <w:szCs w:val="24"/>
        </w:rPr>
        <w:t xml:space="preserve">decision making process </w:t>
      </w:r>
      <w:r w:rsidR="006A660B">
        <w:rPr>
          <w:rFonts w:ascii="Arial" w:hAnsi="Arial" w:cs="Arial"/>
          <w:sz w:val="24"/>
          <w:szCs w:val="24"/>
        </w:rPr>
        <w:t>impugned</w:t>
      </w:r>
      <w:r w:rsidR="00351E20">
        <w:rPr>
          <w:rFonts w:ascii="Arial" w:hAnsi="Arial" w:cs="Arial"/>
          <w:sz w:val="24"/>
          <w:szCs w:val="24"/>
        </w:rPr>
        <w:t xml:space="preserve"> in review proceedings. </w:t>
      </w:r>
      <w:r w:rsidR="00BF036C">
        <w:rPr>
          <w:rFonts w:ascii="Arial" w:hAnsi="Arial" w:cs="Arial"/>
          <w:sz w:val="24"/>
          <w:szCs w:val="24"/>
        </w:rPr>
        <w:t>But</w:t>
      </w:r>
      <w:r w:rsidR="0088335A">
        <w:rPr>
          <w:rFonts w:ascii="Arial" w:hAnsi="Arial" w:cs="Arial"/>
          <w:sz w:val="24"/>
          <w:szCs w:val="24"/>
        </w:rPr>
        <w:t>,</w:t>
      </w:r>
      <w:r w:rsidR="00351E20">
        <w:rPr>
          <w:rFonts w:ascii="Arial" w:hAnsi="Arial" w:cs="Arial"/>
          <w:sz w:val="24"/>
          <w:szCs w:val="24"/>
        </w:rPr>
        <w:t xml:space="preserve"> the duty to file such an affidavit would have arisen when filing the record and its lateness, entirely unexplained, was deserving of </w:t>
      </w:r>
      <w:r w:rsidR="00BF036C">
        <w:rPr>
          <w:rFonts w:ascii="Arial" w:hAnsi="Arial" w:cs="Arial"/>
          <w:sz w:val="24"/>
          <w:szCs w:val="24"/>
        </w:rPr>
        <w:t xml:space="preserve">severe </w:t>
      </w:r>
      <w:r w:rsidR="00351E20">
        <w:rPr>
          <w:rFonts w:ascii="Arial" w:hAnsi="Arial" w:cs="Arial"/>
          <w:sz w:val="24"/>
          <w:szCs w:val="24"/>
        </w:rPr>
        <w:t xml:space="preserve">censure and if it </w:t>
      </w:r>
      <w:r w:rsidR="00BF036C">
        <w:rPr>
          <w:rFonts w:ascii="Arial" w:hAnsi="Arial" w:cs="Arial"/>
          <w:sz w:val="24"/>
          <w:szCs w:val="24"/>
        </w:rPr>
        <w:t xml:space="preserve">had </w:t>
      </w:r>
      <w:r w:rsidR="00351E20">
        <w:rPr>
          <w:rFonts w:ascii="Arial" w:hAnsi="Arial" w:cs="Arial"/>
          <w:sz w:val="24"/>
          <w:szCs w:val="24"/>
        </w:rPr>
        <w:t xml:space="preserve">caused any postponement, an appropriate cost order </w:t>
      </w:r>
      <w:r w:rsidR="007D725F">
        <w:rPr>
          <w:rFonts w:ascii="Arial" w:hAnsi="Arial" w:cs="Arial"/>
          <w:sz w:val="24"/>
          <w:szCs w:val="24"/>
        </w:rPr>
        <w:t xml:space="preserve">– even punitive - </w:t>
      </w:r>
      <w:r w:rsidR="00BF036C">
        <w:rPr>
          <w:rFonts w:ascii="Arial" w:hAnsi="Arial" w:cs="Arial"/>
          <w:sz w:val="24"/>
          <w:szCs w:val="24"/>
        </w:rPr>
        <w:t xml:space="preserve">would be warranted, </w:t>
      </w:r>
      <w:r w:rsidR="00351E20">
        <w:rPr>
          <w:rFonts w:ascii="Arial" w:hAnsi="Arial" w:cs="Arial"/>
          <w:sz w:val="24"/>
          <w:szCs w:val="24"/>
        </w:rPr>
        <w:t xml:space="preserve">given the disruptive effect of such conduct on the efficient functioning of court </w:t>
      </w:r>
      <w:r w:rsidR="00BF036C">
        <w:rPr>
          <w:rFonts w:ascii="Arial" w:hAnsi="Arial" w:cs="Arial"/>
          <w:sz w:val="24"/>
          <w:szCs w:val="24"/>
        </w:rPr>
        <w:t xml:space="preserve">controlled case </w:t>
      </w:r>
      <w:r w:rsidR="00351E20">
        <w:rPr>
          <w:rFonts w:ascii="Arial" w:hAnsi="Arial" w:cs="Arial"/>
          <w:sz w:val="24"/>
          <w:szCs w:val="24"/>
        </w:rPr>
        <w:t>management.</w:t>
      </w:r>
    </w:p>
    <w:p w:rsidR="00B443B2" w:rsidRDefault="00B443B2" w:rsidP="00B443B2">
      <w:pPr>
        <w:rPr>
          <w:rFonts w:ascii="Arial" w:hAnsi="Arial" w:cs="Arial"/>
          <w:sz w:val="24"/>
          <w:szCs w:val="24"/>
        </w:rPr>
      </w:pPr>
    </w:p>
    <w:p w:rsidR="00B443B2" w:rsidRPr="00B443B2" w:rsidRDefault="00B443B2" w:rsidP="00B443B2">
      <w:pPr>
        <w:rPr>
          <w:rFonts w:ascii="Arial" w:hAnsi="Arial" w:cs="Arial"/>
          <w:sz w:val="24"/>
          <w:szCs w:val="24"/>
          <w:u w:val="single"/>
        </w:rPr>
      </w:pPr>
      <w:r>
        <w:rPr>
          <w:rFonts w:ascii="Arial" w:hAnsi="Arial" w:cs="Arial"/>
          <w:sz w:val="24"/>
          <w:szCs w:val="24"/>
          <w:u w:val="single"/>
        </w:rPr>
        <w:t>Overlap</w:t>
      </w:r>
    </w:p>
    <w:p w:rsidR="00B443B2" w:rsidRDefault="00B443B2"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answer to the condition</w:t>
      </w:r>
      <w:r w:rsidR="00181928">
        <w:rPr>
          <w:rFonts w:ascii="Arial" w:hAnsi="Arial" w:cs="Arial"/>
          <w:sz w:val="24"/>
          <w:szCs w:val="24"/>
        </w:rPr>
        <w:t xml:space="preserve">al </w:t>
      </w:r>
      <w:r w:rsidR="003A011B">
        <w:rPr>
          <w:rFonts w:ascii="Arial" w:hAnsi="Arial" w:cs="Arial"/>
          <w:sz w:val="24"/>
          <w:szCs w:val="24"/>
        </w:rPr>
        <w:t>counter application</w:t>
      </w:r>
      <w:r>
        <w:rPr>
          <w:rFonts w:ascii="Arial" w:hAnsi="Arial" w:cs="Arial"/>
          <w:sz w:val="24"/>
          <w:szCs w:val="24"/>
        </w:rPr>
        <w:t>, the appellant denies any overlap between his mining claims and those of the third respondent. But the denials of the evidence of the expert, a duly qualified and practi</w:t>
      </w:r>
      <w:r w:rsidR="007D725F">
        <w:rPr>
          <w:rFonts w:ascii="Arial" w:hAnsi="Arial" w:cs="Arial"/>
          <w:sz w:val="24"/>
          <w:szCs w:val="24"/>
        </w:rPr>
        <w:t>s</w:t>
      </w:r>
      <w:r>
        <w:rPr>
          <w:rFonts w:ascii="Arial" w:hAnsi="Arial" w:cs="Arial"/>
          <w:sz w:val="24"/>
          <w:szCs w:val="24"/>
        </w:rPr>
        <w:t>ing land surveyor who actually surveyed the area in question at an earlier juncture</w:t>
      </w:r>
      <w:r w:rsidR="00BF036C">
        <w:rPr>
          <w:rFonts w:ascii="Arial" w:hAnsi="Arial" w:cs="Arial"/>
          <w:sz w:val="24"/>
          <w:szCs w:val="24"/>
        </w:rPr>
        <w:t>,</w:t>
      </w:r>
      <w:r>
        <w:rPr>
          <w:rFonts w:ascii="Arial" w:hAnsi="Arial" w:cs="Arial"/>
          <w:sz w:val="24"/>
          <w:szCs w:val="24"/>
        </w:rPr>
        <w:t xml:space="preserve"> amount to mere bare denials which the appellant sought to strengthen by derogatory reference to that evidence. A bare denial remains precisely that</w:t>
      </w:r>
      <w:r w:rsidR="007D725F">
        <w:rPr>
          <w:rFonts w:ascii="Arial" w:hAnsi="Arial" w:cs="Arial"/>
          <w:sz w:val="24"/>
          <w:szCs w:val="24"/>
        </w:rPr>
        <w:t xml:space="preserve">, even when accompanied by </w:t>
      </w:r>
      <w:r>
        <w:rPr>
          <w:rFonts w:ascii="Arial" w:hAnsi="Arial" w:cs="Arial"/>
          <w:sz w:val="24"/>
          <w:szCs w:val="24"/>
        </w:rPr>
        <w:t xml:space="preserve">vehemence or </w:t>
      </w:r>
      <w:r w:rsidR="007D725F">
        <w:rPr>
          <w:rFonts w:ascii="Arial" w:hAnsi="Arial" w:cs="Arial"/>
          <w:sz w:val="24"/>
          <w:szCs w:val="24"/>
        </w:rPr>
        <w:t>derogatory terms</w:t>
      </w:r>
      <w:r>
        <w:rPr>
          <w:rFonts w:ascii="Arial" w:hAnsi="Arial" w:cs="Arial"/>
          <w:sz w:val="24"/>
          <w:szCs w:val="24"/>
        </w:rPr>
        <w:t xml:space="preserve"> </w:t>
      </w:r>
      <w:r w:rsidR="00BF036C">
        <w:rPr>
          <w:rFonts w:ascii="Arial" w:hAnsi="Arial" w:cs="Arial"/>
          <w:sz w:val="24"/>
          <w:szCs w:val="24"/>
        </w:rPr>
        <w:t xml:space="preserve">when referring to </w:t>
      </w:r>
      <w:r>
        <w:rPr>
          <w:rFonts w:ascii="Arial" w:hAnsi="Arial" w:cs="Arial"/>
          <w:sz w:val="24"/>
          <w:szCs w:val="24"/>
        </w:rPr>
        <w:t>the evidence in question.</w:t>
      </w:r>
    </w:p>
    <w:p w:rsidR="00B443B2" w:rsidRDefault="00B443B2" w:rsidP="00B443B2">
      <w:pPr>
        <w:pStyle w:val="NoSpacing"/>
        <w:spacing w:line="480" w:lineRule="auto"/>
        <w:jc w:val="both"/>
        <w:rPr>
          <w:rFonts w:ascii="Arial" w:hAnsi="Arial" w:cs="Arial"/>
          <w:sz w:val="24"/>
          <w:szCs w:val="24"/>
        </w:rPr>
      </w:pPr>
    </w:p>
    <w:p w:rsidR="00B443B2" w:rsidRDefault="00B443B2"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expert’s evidence is supported by the statement by the Mining Commissioner to</w:t>
      </w:r>
      <w:r w:rsidR="00BF036C">
        <w:rPr>
          <w:rFonts w:ascii="Arial" w:hAnsi="Arial" w:cs="Arial"/>
          <w:sz w:val="24"/>
          <w:szCs w:val="24"/>
        </w:rPr>
        <w:t xml:space="preserve"> the</w:t>
      </w:r>
      <w:r>
        <w:rPr>
          <w:rFonts w:ascii="Arial" w:hAnsi="Arial" w:cs="Arial"/>
          <w:sz w:val="24"/>
          <w:szCs w:val="24"/>
        </w:rPr>
        <w:t xml:space="preserve"> </w:t>
      </w:r>
      <w:r w:rsidR="009659C2">
        <w:rPr>
          <w:rFonts w:ascii="Arial" w:hAnsi="Arial" w:cs="Arial"/>
          <w:sz w:val="24"/>
          <w:szCs w:val="24"/>
        </w:rPr>
        <w:t xml:space="preserve">same effect. It is also supported by graphical depiction of the area and photographic evidence. And there was no satisfactory explanation given as to why the appellant sought the removal of the fourth respondent’s mining equipment from the area </w:t>
      </w:r>
      <w:r w:rsidR="007D725F">
        <w:rPr>
          <w:rFonts w:ascii="Arial" w:hAnsi="Arial" w:cs="Arial"/>
          <w:sz w:val="24"/>
          <w:szCs w:val="24"/>
        </w:rPr>
        <w:t>in the absence of an</w:t>
      </w:r>
      <w:r w:rsidR="009659C2">
        <w:rPr>
          <w:rFonts w:ascii="Arial" w:hAnsi="Arial" w:cs="Arial"/>
          <w:sz w:val="24"/>
          <w:szCs w:val="24"/>
        </w:rPr>
        <w:t xml:space="preserve"> overlap.</w:t>
      </w:r>
    </w:p>
    <w:p w:rsidR="009659C2" w:rsidRDefault="009659C2" w:rsidP="009659C2">
      <w:pPr>
        <w:pStyle w:val="ListParagraph"/>
        <w:rPr>
          <w:rFonts w:ascii="Arial" w:hAnsi="Arial" w:cs="Arial"/>
          <w:sz w:val="24"/>
          <w:szCs w:val="24"/>
        </w:rPr>
      </w:pPr>
    </w:p>
    <w:p w:rsidR="00351E20" w:rsidRPr="009659C2" w:rsidRDefault="009659C2" w:rsidP="00323ACD">
      <w:pPr>
        <w:pStyle w:val="NoSpacing"/>
        <w:numPr>
          <w:ilvl w:val="0"/>
          <w:numId w:val="4"/>
        </w:numPr>
        <w:spacing w:line="480" w:lineRule="auto"/>
        <w:ind w:left="0" w:firstLine="0"/>
        <w:jc w:val="both"/>
        <w:rPr>
          <w:rFonts w:ascii="Arial" w:hAnsi="Arial" w:cs="Arial"/>
          <w:sz w:val="24"/>
          <w:szCs w:val="24"/>
          <w:u w:val="single"/>
        </w:rPr>
      </w:pPr>
      <w:r w:rsidRPr="009659C2">
        <w:rPr>
          <w:rFonts w:ascii="Arial" w:hAnsi="Arial" w:cs="Arial"/>
          <w:sz w:val="24"/>
          <w:szCs w:val="24"/>
        </w:rPr>
        <w:t xml:space="preserve">The denial of </w:t>
      </w:r>
      <w:r w:rsidR="007D725F">
        <w:rPr>
          <w:rFonts w:ascii="Arial" w:hAnsi="Arial" w:cs="Arial"/>
          <w:sz w:val="24"/>
          <w:szCs w:val="24"/>
        </w:rPr>
        <w:t xml:space="preserve">an </w:t>
      </w:r>
      <w:r w:rsidRPr="009659C2">
        <w:rPr>
          <w:rFonts w:ascii="Arial" w:hAnsi="Arial" w:cs="Arial"/>
          <w:sz w:val="24"/>
          <w:szCs w:val="24"/>
        </w:rPr>
        <w:t>overlap is one which may be categorised as one of contention without factual substratum. The court below was correct in its finding on the papers of an overlap</w:t>
      </w:r>
    </w:p>
    <w:p w:rsidR="0088335A" w:rsidRDefault="0088335A" w:rsidP="00470864">
      <w:pPr>
        <w:rPr>
          <w:rFonts w:ascii="Arial" w:hAnsi="Arial" w:cs="Arial"/>
          <w:sz w:val="24"/>
          <w:szCs w:val="24"/>
          <w:u w:val="single"/>
        </w:rPr>
      </w:pPr>
    </w:p>
    <w:p w:rsidR="00470864" w:rsidRPr="00470864" w:rsidRDefault="00470864" w:rsidP="00470864">
      <w:pPr>
        <w:rPr>
          <w:rFonts w:ascii="Arial" w:hAnsi="Arial" w:cs="Arial"/>
          <w:sz w:val="24"/>
          <w:szCs w:val="24"/>
          <w:u w:val="single"/>
        </w:rPr>
      </w:pPr>
      <w:r>
        <w:rPr>
          <w:rFonts w:ascii="Arial" w:hAnsi="Arial" w:cs="Arial"/>
          <w:sz w:val="24"/>
          <w:szCs w:val="24"/>
          <w:u w:val="single"/>
        </w:rPr>
        <w:t>Section 125 of the Act</w:t>
      </w:r>
    </w:p>
    <w:p w:rsidR="00470864" w:rsidRPr="00470864" w:rsidRDefault="00470864"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Section 125 of the Act, under the </w:t>
      </w:r>
      <w:r w:rsidRPr="00470864">
        <w:rPr>
          <w:rFonts w:ascii="Arial" w:hAnsi="Arial" w:cs="Arial"/>
          <w:sz w:val="24"/>
          <w:szCs w:val="24"/>
        </w:rPr>
        <w:t>heading ‘Order in which applications made in terms of this Act are to be considered’, provides:</w:t>
      </w:r>
    </w:p>
    <w:p w:rsidR="00470864" w:rsidRPr="00470864" w:rsidRDefault="00470864" w:rsidP="00470864">
      <w:pPr>
        <w:pStyle w:val="NoSpacing"/>
        <w:spacing w:line="360" w:lineRule="auto"/>
        <w:ind w:left="720"/>
        <w:jc w:val="both"/>
        <w:rPr>
          <w:rFonts w:ascii="Arial" w:hAnsi="Arial" w:cs="Arial"/>
        </w:rPr>
      </w:pPr>
    </w:p>
    <w:p w:rsidR="00470864" w:rsidRDefault="00CB3D41" w:rsidP="00CB3D41">
      <w:pPr>
        <w:pStyle w:val="NoSpacing"/>
        <w:spacing w:line="360" w:lineRule="auto"/>
        <w:ind w:left="709" w:firstLine="11"/>
        <w:jc w:val="both"/>
        <w:rPr>
          <w:rFonts w:ascii="Arial" w:hAnsi="Arial" w:cs="Arial"/>
        </w:rPr>
      </w:pPr>
      <w:r>
        <w:rPr>
          <w:rFonts w:ascii="Arial" w:hAnsi="Arial" w:cs="Arial"/>
        </w:rPr>
        <w:t>‘</w:t>
      </w:r>
      <w:r w:rsidR="00470864" w:rsidRPr="00470864">
        <w:rPr>
          <w:rFonts w:ascii="Arial" w:hAnsi="Arial" w:cs="Arial"/>
        </w:rPr>
        <w:t>All applications made in terms of any provision of this Act and received in the office of the Commissioner, shall be considered by the Minister or the Commissioner, as the case may be, in the same order as such applications have been so made and received: Provided that all applications so received on the same date shall be deemed to have been received simultaneously.</w:t>
      </w:r>
      <w:r>
        <w:rPr>
          <w:rFonts w:ascii="Arial" w:hAnsi="Arial" w:cs="Arial"/>
        </w:rPr>
        <w:t>’</w:t>
      </w:r>
    </w:p>
    <w:p w:rsidR="00470864" w:rsidRPr="00470864" w:rsidRDefault="00470864" w:rsidP="00B443B2">
      <w:pPr>
        <w:pStyle w:val="NoSpacing"/>
        <w:spacing w:line="480" w:lineRule="auto"/>
        <w:ind w:left="1440" w:hanging="720"/>
        <w:jc w:val="both"/>
        <w:rPr>
          <w:rFonts w:ascii="Arial" w:hAnsi="Arial" w:cs="Arial"/>
        </w:rPr>
      </w:pPr>
    </w:p>
    <w:p w:rsidR="00470864" w:rsidRPr="00470864" w:rsidRDefault="00470864"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the appellant </w:t>
      </w:r>
      <w:r w:rsidR="007D725F">
        <w:rPr>
          <w:rFonts w:ascii="Arial" w:hAnsi="Arial" w:cs="Arial"/>
          <w:sz w:val="24"/>
          <w:szCs w:val="24"/>
        </w:rPr>
        <w:t xml:space="preserve">argued that the term ‘shall’ should not have a peremptory meaning and also </w:t>
      </w:r>
      <w:r>
        <w:rPr>
          <w:rFonts w:ascii="Arial" w:hAnsi="Arial" w:cs="Arial"/>
          <w:sz w:val="24"/>
          <w:szCs w:val="24"/>
        </w:rPr>
        <w:t>contended that s 125</w:t>
      </w:r>
      <w:r w:rsidR="00626913">
        <w:rPr>
          <w:rFonts w:ascii="Arial" w:hAnsi="Arial" w:cs="Arial"/>
          <w:sz w:val="24"/>
          <w:szCs w:val="24"/>
        </w:rPr>
        <w:t>,</w:t>
      </w:r>
      <w:r>
        <w:rPr>
          <w:rFonts w:ascii="Arial" w:hAnsi="Arial" w:cs="Arial"/>
          <w:sz w:val="24"/>
          <w:szCs w:val="24"/>
        </w:rPr>
        <w:t xml:space="preserve"> properly interpreted</w:t>
      </w:r>
      <w:r w:rsidR="00626913">
        <w:rPr>
          <w:rFonts w:ascii="Arial" w:hAnsi="Arial" w:cs="Arial"/>
          <w:sz w:val="24"/>
          <w:szCs w:val="24"/>
        </w:rPr>
        <w:t>,</w:t>
      </w:r>
      <w:r>
        <w:rPr>
          <w:rFonts w:ascii="Arial" w:hAnsi="Arial" w:cs="Arial"/>
          <w:sz w:val="24"/>
          <w:szCs w:val="24"/>
        </w:rPr>
        <w:t xml:space="preserve"> does not prohibit </w:t>
      </w:r>
      <w:r w:rsidR="007D725F">
        <w:rPr>
          <w:rFonts w:ascii="Arial" w:hAnsi="Arial" w:cs="Arial"/>
          <w:sz w:val="24"/>
          <w:szCs w:val="24"/>
        </w:rPr>
        <w:t xml:space="preserve">the </w:t>
      </w:r>
      <w:r>
        <w:rPr>
          <w:rFonts w:ascii="Arial" w:hAnsi="Arial" w:cs="Arial"/>
          <w:sz w:val="24"/>
          <w:szCs w:val="24"/>
        </w:rPr>
        <w:t>overlapping of claims, particularly where they relate to different minerals. Counsel pointed out that the appellant’s claims are in respect of ‘semi-precious stones’, whereas the minerals covered by the third respondent’s claims are ‘base and rare metals’.</w:t>
      </w:r>
    </w:p>
    <w:p w:rsidR="00470864" w:rsidRDefault="00470864" w:rsidP="00470864">
      <w:pPr>
        <w:pStyle w:val="ListParagraph"/>
        <w:rPr>
          <w:rFonts w:ascii="Arial" w:hAnsi="Arial" w:cs="Arial"/>
          <w:sz w:val="24"/>
          <w:szCs w:val="24"/>
        </w:rPr>
      </w:pPr>
    </w:p>
    <w:p w:rsidR="00470864" w:rsidRDefault="00CB3D41"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their written argument, </w:t>
      </w:r>
      <w:r w:rsidR="00B443B2">
        <w:rPr>
          <w:rFonts w:ascii="Arial" w:hAnsi="Arial" w:cs="Arial"/>
          <w:sz w:val="24"/>
          <w:szCs w:val="24"/>
        </w:rPr>
        <w:t xml:space="preserve">appellant’s </w:t>
      </w:r>
      <w:r>
        <w:rPr>
          <w:rFonts w:ascii="Arial" w:hAnsi="Arial" w:cs="Arial"/>
          <w:sz w:val="24"/>
          <w:szCs w:val="24"/>
        </w:rPr>
        <w:t>c</w:t>
      </w:r>
      <w:r w:rsidR="00470864">
        <w:rPr>
          <w:rFonts w:ascii="Arial" w:hAnsi="Arial" w:cs="Arial"/>
          <w:sz w:val="24"/>
          <w:szCs w:val="24"/>
        </w:rPr>
        <w:t xml:space="preserve">ounsel also </w:t>
      </w:r>
      <w:r>
        <w:rPr>
          <w:rFonts w:ascii="Arial" w:hAnsi="Arial" w:cs="Arial"/>
          <w:sz w:val="24"/>
          <w:szCs w:val="24"/>
        </w:rPr>
        <w:t>contended</w:t>
      </w:r>
      <w:r w:rsidR="00470864">
        <w:rPr>
          <w:rFonts w:ascii="Arial" w:hAnsi="Arial" w:cs="Arial"/>
          <w:sz w:val="24"/>
          <w:szCs w:val="24"/>
        </w:rPr>
        <w:t xml:space="preserve"> that the respondents are precluded from relying upon a ground not cited by the Minister as a basis for the cancellation of the appellant’s claim</w:t>
      </w:r>
      <w:r w:rsidR="00730A27">
        <w:rPr>
          <w:rFonts w:ascii="Arial" w:hAnsi="Arial" w:cs="Arial"/>
          <w:sz w:val="24"/>
          <w:szCs w:val="24"/>
        </w:rPr>
        <w:t>s</w:t>
      </w:r>
      <w:r w:rsidR="00470864">
        <w:rPr>
          <w:rFonts w:ascii="Arial" w:hAnsi="Arial" w:cs="Arial"/>
          <w:sz w:val="24"/>
          <w:szCs w:val="24"/>
        </w:rPr>
        <w:t xml:space="preserve">. This contention confuses the decision making process and is </w:t>
      </w:r>
      <w:r w:rsidR="00730A27">
        <w:rPr>
          <w:rFonts w:ascii="Arial" w:hAnsi="Arial" w:cs="Arial"/>
          <w:sz w:val="24"/>
          <w:szCs w:val="24"/>
        </w:rPr>
        <w:t>devoid</w:t>
      </w:r>
      <w:r w:rsidR="000D4BDB">
        <w:rPr>
          <w:rFonts w:ascii="Arial" w:hAnsi="Arial" w:cs="Arial"/>
          <w:sz w:val="24"/>
          <w:szCs w:val="24"/>
        </w:rPr>
        <w:t xml:space="preserve"> of merit. The respondent</w:t>
      </w:r>
      <w:r w:rsidR="00470864">
        <w:rPr>
          <w:rFonts w:ascii="Arial" w:hAnsi="Arial" w:cs="Arial"/>
          <w:sz w:val="24"/>
          <w:szCs w:val="24"/>
        </w:rPr>
        <w:t>s</w:t>
      </w:r>
      <w:r w:rsidR="000D4BDB">
        <w:rPr>
          <w:rFonts w:ascii="Arial" w:hAnsi="Arial" w:cs="Arial"/>
          <w:sz w:val="24"/>
          <w:szCs w:val="24"/>
        </w:rPr>
        <w:t>’</w:t>
      </w:r>
      <w:r w:rsidR="00470864">
        <w:rPr>
          <w:rFonts w:ascii="Arial" w:hAnsi="Arial" w:cs="Arial"/>
          <w:sz w:val="24"/>
          <w:szCs w:val="24"/>
        </w:rPr>
        <w:t xml:space="preserve"> </w:t>
      </w:r>
      <w:r w:rsidR="00B443B2">
        <w:rPr>
          <w:rFonts w:ascii="Arial" w:hAnsi="Arial" w:cs="Arial"/>
          <w:sz w:val="24"/>
          <w:szCs w:val="24"/>
        </w:rPr>
        <w:t xml:space="preserve">conditional </w:t>
      </w:r>
      <w:r w:rsidR="003A011B">
        <w:rPr>
          <w:rFonts w:ascii="Arial" w:hAnsi="Arial" w:cs="Arial"/>
          <w:sz w:val="24"/>
          <w:szCs w:val="24"/>
        </w:rPr>
        <w:t xml:space="preserve">counter application </w:t>
      </w:r>
      <w:r w:rsidR="00B443B2">
        <w:rPr>
          <w:rFonts w:ascii="Arial" w:hAnsi="Arial" w:cs="Arial"/>
          <w:sz w:val="24"/>
          <w:szCs w:val="24"/>
        </w:rPr>
        <w:t xml:space="preserve">for </w:t>
      </w:r>
      <w:r w:rsidR="00470864">
        <w:rPr>
          <w:rFonts w:ascii="Arial" w:hAnsi="Arial" w:cs="Arial"/>
          <w:sz w:val="24"/>
          <w:szCs w:val="24"/>
        </w:rPr>
        <w:t xml:space="preserve">review is </w:t>
      </w:r>
      <w:r w:rsidR="007D725F">
        <w:rPr>
          <w:rFonts w:ascii="Arial" w:hAnsi="Arial" w:cs="Arial"/>
          <w:sz w:val="24"/>
          <w:szCs w:val="24"/>
        </w:rPr>
        <w:t>in</w:t>
      </w:r>
      <w:r w:rsidR="00470864">
        <w:rPr>
          <w:rFonts w:ascii="Arial" w:hAnsi="Arial" w:cs="Arial"/>
          <w:sz w:val="24"/>
          <w:szCs w:val="24"/>
        </w:rPr>
        <w:t xml:space="preserve"> respect </w:t>
      </w:r>
      <w:r w:rsidR="007D725F">
        <w:rPr>
          <w:rFonts w:ascii="Arial" w:hAnsi="Arial" w:cs="Arial"/>
          <w:sz w:val="24"/>
          <w:szCs w:val="24"/>
        </w:rPr>
        <w:t>of</w:t>
      </w:r>
      <w:r w:rsidR="00470864">
        <w:rPr>
          <w:rFonts w:ascii="Arial" w:hAnsi="Arial" w:cs="Arial"/>
          <w:sz w:val="24"/>
          <w:szCs w:val="24"/>
        </w:rPr>
        <w:t xml:space="preserve"> the </w:t>
      </w:r>
      <w:r w:rsidR="00470864" w:rsidRPr="00626913">
        <w:rPr>
          <w:rFonts w:ascii="Arial" w:hAnsi="Arial" w:cs="Arial"/>
          <w:sz w:val="24"/>
          <w:szCs w:val="24"/>
          <w:u w:val="single"/>
        </w:rPr>
        <w:t>granting</w:t>
      </w:r>
      <w:r w:rsidR="00470864">
        <w:rPr>
          <w:rFonts w:ascii="Arial" w:hAnsi="Arial" w:cs="Arial"/>
          <w:sz w:val="24"/>
          <w:szCs w:val="24"/>
        </w:rPr>
        <w:t xml:space="preserve"> of the appellant’s claim</w:t>
      </w:r>
      <w:r>
        <w:rPr>
          <w:rFonts w:ascii="Arial" w:hAnsi="Arial" w:cs="Arial"/>
          <w:sz w:val="24"/>
          <w:szCs w:val="24"/>
        </w:rPr>
        <w:t>s</w:t>
      </w:r>
      <w:r w:rsidR="00470864">
        <w:rPr>
          <w:rFonts w:ascii="Arial" w:hAnsi="Arial" w:cs="Arial"/>
          <w:sz w:val="24"/>
          <w:szCs w:val="24"/>
        </w:rPr>
        <w:t xml:space="preserve"> and not their cancellation</w:t>
      </w:r>
      <w:r w:rsidR="00730A27">
        <w:rPr>
          <w:rFonts w:ascii="Arial" w:hAnsi="Arial" w:cs="Arial"/>
          <w:sz w:val="24"/>
          <w:szCs w:val="24"/>
        </w:rPr>
        <w:t xml:space="preserve"> by the Minister</w:t>
      </w:r>
      <w:r w:rsidR="00626913">
        <w:rPr>
          <w:rFonts w:ascii="Arial" w:hAnsi="Arial" w:cs="Arial"/>
          <w:sz w:val="24"/>
          <w:szCs w:val="24"/>
        </w:rPr>
        <w:t xml:space="preserve"> purportedly under s 44 of the Act</w:t>
      </w:r>
      <w:r w:rsidR="00470864">
        <w:rPr>
          <w:rFonts w:ascii="Arial" w:hAnsi="Arial" w:cs="Arial"/>
          <w:sz w:val="24"/>
          <w:szCs w:val="24"/>
        </w:rPr>
        <w:t xml:space="preserve">. The </w:t>
      </w:r>
      <w:r w:rsidR="00470864">
        <w:rPr>
          <w:rFonts w:ascii="Arial" w:hAnsi="Arial" w:cs="Arial"/>
          <w:sz w:val="24"/>
          <w:szCs w:val="24"/>
        </w:rPr>
        <w:lastRenderedPageBreak/>
        <w:t xml:space="preserve">Minister’s act of cancellation was rightly </w:t>
      </w:r>
      <w:r w:rsidR="00FC4E87">
        <w:rPr>
          <w:rFonts w:ascii="Arial" w:hAnsi="Arial" w:cs="Arial"/>
          <w:sz w:val="24"/>
          <w:szCs w:val="24"/>
        </w:rPr>
        <w:t>set aside by the court below. The respondents</w:t>
      </w:r>
      <w:r w:rsidR="00B443B2">
        <w:rPr>
          <w:rFonts w:ascii="Arial" w:hAnsi="Arial" w:cs="Arial"/>
          <w:sz w:val="24"/>
          <w:szCs w:val="24"/>
        </w:rPr>
        <w:t>’</w:t>
      </w:r>
      <w:r w:rsidR="00FC4E87">
        <w:rPr>
          <w:rFonts w:ascii="Arial" w:hAnsi="Arial" w:cs="Arial"/>
          <w:sz w:val="24"/>
          <w:szCs w:val="24"/>
        </w:rPr>
        <w:t xml:space="preserve"> challenge</w:t>
      </w:r>
      <w:r w:rsidR="00B443B2">
        <w:rPr>
          <w:rFonts w:ascii="Arial" w:hAnsi="Arial" w:cs="Arial"/>
          <w:sz w:val="24"/>
          <w:szCs w:val="24"/>
        </w:rPr>
        <w:t xml:space="preserve"> to</w:t>
      </w:r>
      <w:r w:rsidR="00FC4E87">
        <w:rPr>
          <w:rFonts w:ascii="Arial" w:hAnsi="Arial" w:cs="Arial"/>
          <w:sz w:val="24"/>
          <w:szCs w:val="24"/>
        </w:rPr>
        <w:t xml:space="preserve"> the grant</w:t>
      </w:r>
      <w:r w:rsidR="00730A27">
        <w:rPr>
          <w:rFonts w:ascii="Arial" w:hAnsi="Arial" w:cs="Arial"/>
          <w:sz w:val="24"/>
          <w:szCs w:val="24"/>
        </w:rPr>
        <w:t>ing</w:t>
      </w:r>
      <w:r w:rsidR="00FC4E87">
        <w:rPr>
          <w:rFonts w:ascii="Arial" w:hAnsi="Arial" w:cs="Arial"/>
          <w:sz w:val="24"/>
          <w:szCs w:val="24"/>
        </w:rPr>
        <w:t xml:space="preserve"> of the claims to the appellant</w:t>
      </w:r>
      <w:r w:rsidR="00BF036C">
        <w:rPr>
          <w:rFonts w:ascii="Arial" w:hAnsi="Arial" w:cs="Arial"/>
          <w:sz w:val="24"/>
          <w:szCs w:val="24"/>
        </w:rPr>
        <w:t xml:space="preserve"> was</w:t>
      </w:r>
      <w:r w:rsidR="00FC4E87">
        <w:rPr>
          <w:rFonts w:ascii="Arial" w:hAnsi="Arial" w:cs="Arial"/>
          <w:sz w:val="24"/>
          <w:szCs w:val="24"/>
        </w:rPr>
        <w:t xml:space="preserve"> </w:t>
      </w:r>
      <w:r w:rsidR="00626913">
        <w:rPr>
          <w:rFonts w:ascii="Arial" w:hAnsi="Arial" w:cs="Arial"/>
          <w:sz w:val="24"/>
          <w:szCs w:val="24"/>
        </w:rPr>
        <w:t>o</w:t>
      </w:r>
      <w:r w:rsidR="00FC4E87">
        <w:rPr>
          <w:rFonts w:ascii="Arial" w:hAnsi="Arial" w:cs="Arial"/>
          <w:sz w:val="24"/>
          <w:szCs w:val="24"/>
        </w:rPr>
        <w:t xml:space="preserve">n the ground that </w:t>
      </w:r>
      <w:r w:rsidR="00730A27">
        <w:rPr>
          <w:rFonts w:ascii="Arial" w:hAnsi="Arial" w:cs="Arial"/>
          <w:sz w:val="24"/>
          <w:szCs w:val="24"/>
        </w:rPr>
        <w:t>this</w:t>
      </w:r>
      <w:r w:rsidR="00FC4E87">
        <w:rPr>
          <w:rFonts w:ascii="Arial" w:hAnsi="Arial" w:cs="Arial"/>
          <w:sz w:val="24"/>
          <w:szCs w:val="24"/>
        </w:rPr>
        <w:t xml:space="preserve"> was in conflict with s 125</w:t>
      </w:r>
      <w:r w:rsidR="00BF036C">
        <w:rPr>
          <w:rFonts w:ascii="Arial" w:hAnsi="Arial" w:cs="Arial"/>
          <w:sz w:val="24"/>
          <w:szCs w:val="24"/>
        </w:rPr>
        <w:t xml:space="preserve">. This </w:t>
      </w:r>
      <w:r w:rsidR="00B443B2">
        <w:rPr>
          <w:rFonts w:ascii="Arial" w:hAnsi="Arial" w:cs="Arial"/>
          <w:sz w:val="24"/>
          <w:szCs w:val="24"/>
        </w:rPr>
        <w:t>is a separate issue</w:t>
      </w:r>
      <w:r w:rsidR="007D725F">
        <w:rPr>
          <w:rFonts w:ascii="Arial" w:hAnsi="Arial" w:cs="Arial"/>
          <w:sz w:val="24"/>
          <w:szCs w:val="24"/>
        </w:rPr>
        <w:t xml:space="preserve"> to their purported cancellation</w:t>
      </w:r>
      <w:r w:rsidR="00B443B2">
        <w:rPr>
          <w:rFonts w:ascii="Arial" w:hAnsi="Arial" w:cs="Arial"/>
          <w:sz w:val="24"/>
          <w:szCs w:val="24"/>
        </w:rPr>
        <w:t xml:space="preserve"> – on the basis that</w:t>
      </w:r>
      <w:r w:rsidR="00FC4E87">
        <w:rPr>
          <w:rFonts w:ascii="Arial" w:hAnsi="Arial" w:cs="Arial"/>
          <w:sz w:val="24"/>
          <w:szCs w:val="24"/>
        </w:rPr>
        <w:t xml:space="preserve"> the third respondent’s application for claims over the same are</w:t>
      </w:r>
      <w:r w:rsidR="00730A27">
        <w:rPr>
          <w:rFonts w:ascii="Arial" w:hAnsi="Arial" w:cs="Arial"/>
          <w:sz w:val="24"/>
          <w:szCs w:val="24"/>
        </w:rPr>
        <w:t>a</w:t>
      </w:r>
      <w:r w:rsidR="00FC4E87">
        <w:rPr>
          <w:rFonts w:ascii="Arial" w:hAnsi="Arial" w:cs="Arial"/>
          <w:sz w:val="24"/>
          <w:szCs w:val="24"/>
        </w:rPr>
        <w:t xml:space="preserve"> predated the appellant’s. The authorities with reference to reasons given by decision makers relied upon by the appel</w:t>
      </w:r>
      <w:r w:rsidR="00B443B2">
        <w:rPr>
          <w:rFonts w:ascii="Arial" w:hAnsi="Arial" w:cs="Arial"/>
          <w:sz w:val="24"/>
          <w:szCs w:val="24"/>
        </w:rPr>
        <w:t>lant simply find no application and are not necessary to consider for the purpose of this judgment.</w:t>
      </w:r>
    </w:p>
    <w:p w:rsidR="00470864" w:rsidRDefault="00470864" w:rsidP="00470864">
      <w:pPr>
        <w:pStyle w:val="ListParagraph"/>
        <w:rPr>
          <w:rFonts w:ascii="Arial" w:hAnsi="Arial" w:cs="Arial"/>
          <w:sz w:val="24"/>
          <w:szCs w:val="24"/>
        </w:rPr>
      </w:pPr>
    </w:p>
    <w:p w:rsidR="00470864" w:rsidRDefault="00FC4E87"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question is rather whether s 125 precluded the granting of the appellant’s claims, given the fact that the third respondent applied for mining claims before the appellant had done so</w:t>
      </w:r>
      <w:r w:rsidR="00730A27">
        <w:rPr>
          <w:rFonts w:ascii="Arial" w:hAnsi="Arial" w:cs="Arial"/>
          <w:sz w:val="24"/>
          <w:szCs w:val="24"/>
        </w:rPr>
        <w:t xml:space="preserve"> </w:t>
      </w:r>
      <w:r w:rsidR="009659C2">
        <w:rPr>
          <w:rFonts w:ascii="Arial" w:hAnsi="Arial" w:cs="Arial"/>
          <w:sz w:val="24"/>
          <w:szCs w:val="24"/>
        </w:rPr>
        <w:t xml:space="preserve">- </w:t>
      </w:r>
      <w:r w:rsidR="00626913">
        <w:rPr>
          <w:rFonts w:ascii="Arial" w:hAnsi="Arial" w:cs="Arial"/>
          <w:sz w:val="24"/>
          <w:szCs w:val="24"/>
        </w:rPr>
        <w:t xml:space="preserve">on the basis </w:t>
      </w:r>
      <w:r w:rsidR="00730A27">
        <w:rPr>
          <w:rFonts w:ascii="Arial" w:hAnsi="Arial" w:cs="Arial"/>
          <w:sz w:val="24"/>
          <w:szCs w:val="24"/>
        </w:rPr>
        <w:t>that s 125 require</w:t>
      </w:r>
      <w:r w:rsidR="009659C2">
        <w:rPr>
          <w:rFonts w:ascii="Arial" w:hAnsi="Arial" w:cs="Arial"/>
          <w:sz w:val="24"/>
          <w:szCs w:val="24"/>
        </w:rPr>
        <w:t>s</w:t>
      </w:r>
      <w:r w:rsidR="00730A27">
        <w:rPr>
          <w:rFonts w:ascii="Arial" w:hAnsi="Arial" w:cs="Arial"/>
          <w:sz w:val="24"/>
          <w:szCs w:val="24"/>
        </w:rPr>
        <w:t xml:space="preserve"> the consideration of applications in </w:t>
      </w:r>
      <w:r w:rsidR="009659C2">
        <w:rPr>
          <w:rFonts w:ascii="Arial" w:hAnsi="Arial" w:cs="Arial"/>
          <w:sz w:val="24"/>
          <w:szCs w:val="24"/>
        </w:rPr>
        <w:t xml:space="preserve">their </w:t>
      </w:r>
      <w:r w:rsidR="00730A27">
        <w:rPr>
          <w:rFonts w:ascii="Arial" w:hAnsi="Arial" w:cs="Arial"/>
          <w:sz w:val="24"/>
          <w:szCs w:val="24"/>
        </w:rPr>
        <w:t>sequence</w:t>
      </w:r>
      <w:r>
        <w:rPr>
          <w:rFonts w:ascii="Arial" w:hAnsi="Arial" w:cs="Arial"/>
          <w:sz w:val="24"/>
          <w:szCs w:val="24"/>
        </w:rPr>
        <w:t xml:space="preserve">. The reasons given by the Minister in his </w:t>
      </w:r>
      <w:r w:rsidR="00683671">
        <w:rPr>
          <w:rFonts w:ascii="Arial" w:hAnsi="Arial" w:cs="Arial"/>
          <w:sz w:val="24"/>
          <w:szCs w:val="24"/>
        </w:rPr>
        <w:t xml:space="preserve">flawed exercise </w:t>
      </w:r>
      <w:r w:rsidR="00730A27">
        <w:rPr>
          <w:rFonts w:ascii="Arial" w:hAnsi="Arial" w:cs="Arial"/>
          <w:sz w:val="24"/>
          <w:szCs w:val="24"/>
        </w:rPr>
        <w:t xml:space="preserve">of </w:t>
      </w:r>
      <w:r w:rsidR="00683671">
        <w:rPr>
          <w:rFonts w:ascii="Arial" w:hAnsi="Arial" w:cs="Arial"/>
          <w:sz w:val="24"/>
          <w:szCs w:val="24"/>
        </w:rPr>
        <w:t xml:space="preserve">cancellation </w:t>
      </w:r>
      <w:r w:rsidR="009659C2">
        <w:rPr>
          <w:rFonts w:ascii="Arial" w:hAnsi="Arial" w:cs="Arial"/>
          <w:sz w:val="24"/>
          <w:szCs w:val="24"/>
        </w:rPr>
        <w:t xml:space="preserve">powers </w:t>
      </w:r>
      <w:r w:rsidR="00683671">
        <w:rPr>
          <w:rFonts w:ascii="Arial" w:hAnsi="Arial" w:cs="Arial"/>
          <w:sz w:val="24"/>
          <w:szCs w:val="24"/>
        </w:rPr>
        <w:t>are irrelevant to this question.</w:t>
      </w:r>
    </w:p>
    <w:p w:rsidR="00730A27" w:rsidRDefault="00730A27" w:rsidP="00730A27">
      <w:pPr>
        <w:pStyle w:val="ListParagraph"/>
        <w:rPr>
          <w:rFonts w:ascii="Arial" w:hAnsi="Arial" w:cs="Arial"/>
          <w:sz w:val="24"/>
          <w:szCs w:val="24"/>
        </w:rPr>
      </w:pPr>
    </w:p>
    <w:p w:rsidR="00730A27" w:rsidRDefault="0037609A"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a thorough survey of the approach to the construction of text in England and South Africa, </w:t>
      </w:r>
      <w:r w:rsidR="00626913">
        <w:rPr>
          <w:rFonts w:ascii="Arial" w:hAnsi="Arial" w:cs="Arial"/>
          <w:sz w:val="24"/>
          <w:szCs w:val="24"/>
        </w:rPr>
        <w:t>t</w:t>
      </w:r>
      <w:r>
        <w:rPr>
          <w:rFonts w:ascii="Arial" w:hAnsi="Arial" w:cs="Arial"/>
          <w:sz w:val="24"/>
          <w:szCs w:val="24"/>
        </w:rPr>
        <w:t xml:space="preserve">his court in </w:t>
      </w:r>
      <w:r>
        <w:rPr>
          <w:rFonts w:ascii="Arial" w:hAnsi="Arial" w:cs="Arial"/>
          <w:i/>
          <w:sz w:val="24"/>
          <w:szCs w:val="24"/>
        </w:rPr>
        <w:t>Total Namibia (Pty) Ltd v OBM Engineering and Petroleum Distributors CC</w:t>
      </w:r>
      <w:r w:rsidRPr="0088335A">
        <w:rPr>
          <w:rStyle w:val="FootnoteReference"/>
          <w:rFonts w:ascii="Arial" w:hAnsi="Arial" w:cs="Arial"/>
          <w:sz w:val="24"/>
          <w:szCs w:val="24"/>
        </w:rPr>
        <w:footnoteReference w:id="7"/>
      </w:r>
      <w:r>
        <w:rPr>
          <w:rFonts w:ascii="Arial" w:hAnsi="Arial" w:cs="Arial"/>
          <w:i/>
          <w:sz w:val="24"/>
          <w:szCs w:val="24"/>
        </w:rPr>
        <w:t xml:space="preserve"> </w:t>
      </w:r>
      <w:r>
        <w:rPr>
          <w:rFonts w:ascii="Arial" w:hAnsi="Arial" w:cs="Arial"/>
          <w:sz w:val="24"/>
          <w:szCs w:val="24"/>
        </w:rPr>
        <w:t>concluded that the approach to interpretation of text would entail assessing the meaning of the words used within their statutory context, as well as against the broader purpose of the Act.</w:t>
      </w:r>
      <w:r>
        <w:rPr>
          <w:rStyle w:val="FootnoteReference"/>
          <w:rFonts w:ascii="Arial" w:hAnsi="Arial" w:cs="Arial"/>
          <w:sz w:val="24"/>
          <w:szCs w:val="24"/>
        </w:rPr>
        <w:footnoteReference w:id="8"/>
      </w:r>
    </w:p>
    <w:p w:rsidR="0037609A" w:rsidRDefault="0037609A" w:rsidP="0037609A">
      <w:pPr>
        <w:pStyle w:val="ListParagraph"/>
        <w:rPr>
          <w:rFonts w:ascii="Arial" w:hAnsi="Arial" w:cs="Arial"/>
          <w:sz w:val="24"/>
          <w:szCs w:val="24"/>
        </w:rPr>
      </w:pPr>
    </w:p>
    <w:p w:rsidR="00CB3D41" w:rsidRDefault="0037609A"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statutory context is </w:t>
      </w:r>
      <w:r w:rsidR="009659C2">
        <w:rPr>
          <w:rFonts w:ascii="Arial" w:hAnsi="Arial" w:cs="Arial"/>
          <w:sz w:val="24"/>
          <w:szCs w:val="24"/>
        </w:rPr>
        <w:t xml:space="preserve">both </w:t>
      </w:r>
      <w:r>
        <w:rPr>
          <w:rFonts w:ascii="Arial" w:hAnsi="Arial" w:cs="Arial"/>
          <w:sz w:val="24"/>
          <w:szCs w:val="24"/>
        </w:rPr>
        <w:t xml:space="preserve">Art 100 of the Constitution and the Act and its purpose. </w:t>
      </w:r>
      <w:r w:rsidR="00111C5B">
        <w:rPr>
          <w:rFonts w:ascii="Arial" w:hAnsi="Arial" w:cs="Arial"/>
          <w:sz w:val="24"/>
          <w:szCs w:val="24"/>
        </w:rPr>
        <w:t>As is provided for in Art 100 of the Constitution</w:t>
      </w:r>
      <w:r w:rsidR="0017115B">
        <w:rPr>
          <w:rFonts w:ascii="Arial" w:hAnsi="Arial" w:cs="Arial"/>
          <w:sz w:val="24"/>
          <w:szCs w:val="24"/>
        </w:rPr>
        <w:t>,</w:t>
      </w:r>
      <w:r w:rsidR="00111C5B">
        <w:rPr>
          <w:rFonts w:ascii="Arial" w:hAnsi="Arial" w:cs="Arial"/>
          <w:sz w:val="24"/>
          <w:szCs w:val="24"/>
        </w:rPr>
        <w:t xml:space="preserve"> natural resources above and below the surface of the land (and at sea) belong to the State</w:t>
      </w:r>
      <w:r w:rsidR="0017115B">
        <w:rPr>
          <w:rFonts w:ascii="Arial" w:hAnsi="Arial" w:cs="Arial"/>
          <w:sz w:val="24"/>
          <w:szCs w:val="24"/>
        </w:rPr>
        <w:t>,</w:t>
      </w:r>
      <w:r w:rsidR="00111C5B">
        <w:rPr>
          <w:rFonts w:ascii="Arial" w:hAnsi="Arial" w:cs="Arial"/>
          <w:sz w:val="24"/>
          <w:szCs w:val="24"/>
        </w:rPr>
        <w:t xml:space="preserve"> if they are not </w:t>
      </w:r>
      <w:r w:rsidR="00111C5B">
        <w:rPr>
          <w:rFonts w:ascii="Arial" w:hAnsi="Arial" w:cs="Arial"/>
          <w:sz w:val="24"/>
          <w:szCs w:val="24"/>
        </w:rPr>
        <w:lastRenderedPageBreak/>
        <w:t>otherwise lawfully owned.</w:t>
      </w:r>
      <w:r w:rsidR="00626913">
        <w:rPr>
          <w:rFonts w:ascii="Arial" w:hAnsi="Arial" w:cs="Arial"/>
          <w:sz w:val="24"/>
          <w:szCs w:val="24"/>
        </w:rPr>
        <w:t xml:space="preserve"> The Act is premised on t</w:t>
      </w:r>
      <w:r w:rsidR="00111C5B">
        <w:rPr>
          <w:rFonts w:ascii="Arial" w:hAnsi="Arial" w:cs="Arial"/>
          <w:sz w:val="24"/>
          <w:szCs w:val="24"/>
        </w:rPr>
        <w:t>his principle</w:t>
      </w:r>
      <w:r w:rsidR="00CB3D41">
        <w:rPr>
          <w:rFonts w:ascii="Arial" w:hAnsi="Arial" w:cs="Arial"/>
          <w:sz w:val="24"/>
          <w:szCs w:val="24"/>
        </w:rPr>
        <w:t xml:space="preserve"> which is</w:t>
      </w:r>
      <w:r w:rsidR="00111C5B">
        <w:rPr>
          <w:rFonts w:ascii="Arial" w:hAnsi="Arial" w:cs="Arial"/>
          <w:sz w:val="24"/>
          <w:szCs w:val="24"/>
        </w:rPr>
        <w:t xml:space="preserve"> reaffirmed and repeated in s 2 of the Act. Any rights in relation to prospecting for</w:t>
      </w:r>
      <w:r w:rsidR="00CB3D41">
        <w:rPr>
          <w:rFonts w:ascii="Arial" w:hAnsi="Arial" w:cs="Arial"/>
          <w:sz w:val="24"/>
          <w:szCs w:val="24"/>
        </w:rPr>
        <w:t xml:space="preserve"> minerals </w:t>
      </w:r>
      <w:r w:rsidR="009659C2">
        <w:rPr>
          <w:rFonts w:ascii="Arial" w:hAnsi="Arial" w:cs="Arial"/>
          <w:sz w:val="24"/>
          <w:szCs w:val="24"/>
        </w:rPr>
        <w:t xml:space="preserve">and </w:t>
      </w:r>
      <w:r w:rsidR="00CB3D41">
        <w:rPr>
          <w:rFonts w:ascii="Arial" w:hAnsi="Arial" w:cs="Arial"/>
          <w:sz w:val="24"/>
          <w:szCs w:val="24"/>
        </w:rPr>
        <w:t>their</w:t>
      </w:r>
      <w:r w:rsidR="00111C5B">
        <w:rPr>
          <w:rFonts w:ascii="Arial" w:hAnsi="Arial" w:cs="Arial"/>
          <w:sz w:val="24"/>
          <w:szCs w:val="24"/>
        </w:rPr>
        <w:t xml:space="preserve"> mining </w:t>
      </w:r>
      <w:r w:rsidR="00CB3D41">
        <w:rPr>
          <w:rFonts w:ascii="Arial" w:hAnsi="Arial" w:cs="Arial"/>
          <w:sz w:val="24"/>
          <w:szCs w:val="24"/>
        </w:rPr>
        <w:t>vest in the State, as does</w:t>
      </w:r>
      <w:r w:rsidR="00BF036C">
        <w:rPr>
          <w:rFonts w:ascii="Arial" w:hAnsi="Arial" w:cs="Arial"/>
          <w:sz w:val="24"/>
          <w:szCs w:val="24"/>
        </w:rPr>
        <w:t xml:space="preserve"> the</w:t>
      </w:r>
      <w:r w:rsidR="00CB3D41">
        <w:rPr>
          <w:rFonts w:ascii="Arial" w:hAnsi="Arial" w:cs="Arial"/>
          <w:sz w:val="24"/>
          <w:szCs w:val="24"/>
        </w:rPr>
        <w:t xml:space="preserve"> control over the</w:t>
      </w:r>
      <w:r w:rsidR="00111C5B">
        <w:rPr>
          <w:rFonts w:ascii="Arial" w:hAnsi="Arial" w:cs="Arial"/>
          <w:sz w:val="24"/>
          <w:szCs w:val="24"/>
        </w:rPr>
        <w:t xml:space="preserve"> sale and disposal of minerals. </w:t>
      </w:r>
    </w:p>
    <w:p w:rsidR="00CB3D41" w:rsidRDefault="00CB3D41" w:rsidP="00CB3D41">
      <w:pPr>
        <w:pStyle w:val="ListParagraph"/>
        <w:rPr>
          <w:rFonts w:ascii="Arial" w:hAnsi="Arial" w:cs="Arial"/>
          <w:sz w:val="24"/>
          <w:szCs w:val="24"/>
        </w:rPr>
      </w:pPr>
    </w:p>
    <w:p w:rsidR="00470864" w:rsidRPr="009659C2" w:rsidRDefault="00111C5B" w:rsidP="009659C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Act </w:t>
      </w:r>
      <w:r w:rsidR="00626913">
        <w:rPr>
          <w:rFonts w:ascii="Arial" w:hAnsi="Arial" w:cs="Arial"/>
          <w:sz w:val="24"/>
          <w:szCs w:val="24"/>
        </w:rPr>
        <w:t>proceeds to</w:t>
      </w:r>
      <w:r>
        <w:rPr>
          <w:rFonts w:ascii="Arial" w:hAnsi="Arial" w:cs="Arial"/>
          <w:sz w:val="24"/>
          <w:szCs w:val="24"/>
        </w:rPr>
        <w:t xml:space="preserve"> provide for an elaborate system of licencing</w:t>
      </w:r>
      <w:r w:rsidR="0017115B">
        <w:rPr>
          <w:rFonts w:ascii="Arial" w:hAnsi="Arial" w:cs="Arial"/>
          <w:sz w:val="24"/>
          <w:szCs w:val="24"/>
        </w:rPr>
        <w:t xml:space="preserve"> and approvals </w:t>
      </w:r>
      <w:r>
        <w:rPr>
          <w:rFonts w:ascii="Arial" w:hAnsi="Arial" w:cs="Arial"/>
          <w:sz w:val="24"/>
          <w:szCs w:val="24"/>
        </w:rPr>
        <w:t xml:space="preserve">for persons </w:t>
      </w:r>
      <w:r w:rsidR="007D725F">
        <w:rPr>
          <w:rFonts w:ascii="Arial" w:hAnsi="Arial" w:cs="Arial"/>
          <w:sz w:val="24"/>
          <w:szCs w:val="24"/>
        </w:rPr>
        <w:t xml:space="preserve">or entities </w:t>
      </w:r>
      <w:r>
        <w:rPr>
          <w:rFonts w:ascii="Arial" w:hAnsi="Arial" w:cs="Arial"/>
          <w:sz w:val="24"/>
          <w:szCs w:val="24"/>
        </w:rPr>
        <w:t xml:space="preserve">to carry on those activities and to </w:t>
      </w:r>
      <w:r w:rsidR="009659C2">
        <w:rPr>
          <w:rFonts w:ascii="Arial" w:hAnsi="Arial" w:cs="Arial"/>
          <w:sz w:val="24"/>
          <w:szCs w:val="24"/>
        </w:rPr>
        <w:t xml:space="preserve">expressly </w:t>
      </w:r>
      <w:r>
        <w:rPr>
          <w:rFonts w:ascii="Arial" w:hAnsi="Arial" w:cs="Arial"/>
          <w:sz w:val="24"/>
          <w:szCs w:val="24"/>
        </w:rPr>
        <w:t>prohibit those activities from taking place save with a licence or approval granted by the Minister or Mining Commissioner in terms of the Act. The Act is made up of several parts</w:t>
      </w:r>
      <w:r w:rsidR="0017115B">
        <w:rPr>
          <w:rFonts w:ascii="Arial" w:hAnsi="Arial" w:cs="Arial"/>
          <w:sz w:val="24"/>
          <w:szCs w:val="24"/>
        </w:rPr>
        <w:t xml:space="preserve">. </w:t>
      </w:r>
      <w:r w:rsidR="008E4A71">
        <w:rPr>
          <w:rFonts w:ascii="Arial" w:hAnsi="Arial" w:cs="Arial"/>
          <w:sz w:val="24"/>
          <w:szCs w:val="24"/>
        </w:rPr>
        <w:t>Several</w:t>
      </w:r>
      <w:r w:rsidR="0017115B">
        <w:rPr>
          <w:rFonts w:ascii="Arial" w:hAnsi="Arial" w:cs="Arial"/>
          <w:sz w:val="24"/>
          <w:szCs w:val="24"/>
        </w:rPr>
        <w:t xml:space="preserve"> of these</w:t>
      </w:r>
      <w:r w:rsidR="00FE4CB0">
        <w:rPr>
          <w:rFonts w:ascii="Arial" w:hAnsi="Arial" w:cs="Arial"/>
          <w:sz w:val="24"/>
          <w:szCs w:val="24"/>
        </w:rPr>
        <w:t xml:space="preserve"> </w:t>
      </w:r>
      <w:r w:rsidR="009659C2">
        <w:rPr>
          <w:rFonts w:ascii="Arial" w:hAnsi="Arial" w:cs="Arial"/>
          <w:sz w:val="24"/>
          <w:szCs w:val="24"/>
        </w:rPr>
        <w:t xml:space="preserve">separately </w:t>
      </w:r>
      <w:r>
        <w:rPr>
          <w:rFonts w:ascii="Arial" w:hAnsi="Arial" w:cs="Arial"/>
          <w:sz w:val="24"/>
          <w:szCs w:val="24"/>
        </w:rPr>
        <w:t xml:space="preserve">deal with specific types of licences or mining claims. Section 125 is to be found in Part XVII entitled ‘General Provisions’ </w:t>
      </w:r>
      <w:r w:rsidR="00BF036C">
        <w:rPr>
          <w:rFonts w:ascii="Arial" w:hAnsi="Arial" w:cs="Arial"/>
          <w:sz w:val="24"/>
          <w:szCs w:val="24"/>
        </w:rPr>
        <w:t xml:space="preserve">applying </w:t>
      </w:r>
      <w:r>
        <w:rPr>
          <w:rFonts w:ascii="Arial" w:hAnsi="Arial" w:cs="Arial"/>
          <w:sz w:val="24"/>
          <w:szCs w:val="24"/>
        </w:rPr>
        <w:t>to</w:t>
      </w:r>
      <w:r w:rsidR="0017115B">
        <w:rPr>
          <w:rFonts w:ascii="Arial" w:hAnsi="Arial" w:cs="Arial"/>
          <w:sz w:val="24"/>
          <w:szCs w:val="24"/>
        </w:rPr>
        <w:t xml:space="preserve"> all the</w:t>
      </w:r>
      <w:r>
        <w:rPr>
          <w:rFonts w:ascii="Arial" w:hAnsi="Arial" w:cs="Arial"/>
          <w:sz w:val="24"/>
          <w:szCs w:val="24"/>
        </w:rPr>
        <w:t xml:space="preserve"> differen</w:t>
      </w:r>
      <w:r w:rsidR="00FE4CB0">
        <w:rPr>
          <w:rFonts w:ascii="Arial" w:hAnsi="Arial" w:cs="Arial"/>
          <w:sz w:val="24"/>
          <w:szCs w:val="24"/>
        </w:rPr>
        <w:t>t</w:t>
      </w:r>
      <w:r>
        <w:rPr>
          <w:rFonts w:ascii="Arial" w:hAnsi="Arial" w:cs="Arial"/>
          <w:sz w:val="24"/>
          <w:szCs w:val="24"/>
        </w:rPr>
        <w:t xml:space="preserve"> types of licences and claims.</w:t>
      </w:r>
    </w:p>
    <w:p w:rsidR="009659C2" w:rsidRDefault="009659C2" w:rsidP="009659C2">
      <w:pPr>
        <w:pStyle w:val="ListParagraph"/>
        <w:rPr>
          <w:rFonts w:ascii="Arial" w:hAnsi="Arial" w:cs="Arial"/>
          <w:sz w:val="24"/>
          <w:szCs w:val="24"/>
        </w:rPr>
      </w:pPr>
    </w:p>
    <w:p w:rsidR="00BF036C" w:rsidRDefault="004165C2" w:rsidP="00357541">
      <w:pPr>
        <w:pStyle w:val="NoSpacing"/>
        <w:numPr>
          <w:ilvl w:val="0"/>
          <w:numId w:val="4"/>
        </w:numPr>
        <w:spacing w:line="480" w:lineRule="auto"/>
        <w:ind w:left="0" w:firstLine="0"/>
        <w:jc w:val="both"/>
        <w:rPr>
          <w:rFonts w:ascii="Arial" w:hAnsi="Arial" w:cs="Arial"/>
          <w:sz w:val="24"/>
          <w:szCs w:val="24"/>
        </w:rPr>
      </w:pPr>
      <w:r w:rsidRPr="00BF036C">
        <w:rPr>
          <w:rFonts w:ascii="Arial" w:hAnsi="Arial" w:cs="Arial"/>
          <w:sz w:val="24"/>
          <w:szCs w:val="24"/>
        </w:rPr>
        <w:t xml:space="preserve">It is within this context that the </w:t>
      </w:r>
      <w:r w:rsidR="008E4A71">
        <w:rPr>
          <w:rFonts w:ascii="Arial" w:hAnsi="Arial" w:cs="Arial"/>
          <w:sz w:val="24"/>
          <w:szCs w:val="24"/>
        </w:rPr>
        <w:t>meaning</w:t>
      </w:r>
      <w:r w:rsidRPr="00BF036C">
        <w:rPr>
          <w:rFonts w:ascii="Arial" w:hAnsi="Arial" w:cs="Arial"/>
          <w:sz w:val="24"/>
          <w:szCs w:val="24"/>
        </w:rPr>
        <w:t xml:space="preserve"> of s 125 </w:t>
      </w:r>
      <w:r w:rsidR="008E4A71">
        <w:rPr>
          <w:rFonts w:ascii="Arial" w:hAnsi="Arial" w:cs="Arial"/>
          <w:sz w:val="24"/>
          <w:szCs w:val="24"/>
        </w:rPr>
        <w:t>is</w:t>
      </w:r>
      <w:r w:rsidRPr="00BF036C">
        <w:rPr>
          <w:rFonts w:ascii="Arial" w:hAnsi="Arial" w:cs="Arial"/>
          <w:sz w:val="24"/>
          <w:szCs w:val="24"/>
        </w:rPr>
        <w:t xml:space="preserve"> to be considered. The ordinary meaning of the terms employed by the legislature is clear. </w:t>
      </w:r>
      <w:r w:rsidR="008E4A71">
        <w:rPr>
          <w:rFonts w:ascii="Arial" w:hAnsi="Arial" w:cs="Arial"/>
          <w:sz w:val="24"/>
          <w:szCs w:val="24"/>
        </w:rPr>
        <w:t xml:space="preserve">Not only does the use of the term ‘shall’ ordinarily signify an intention to make the obligation embodied in s 125 mandatory, but the context and purpose of the provision reinforces this. Plainly the use of the term ‘all’ together with ‘shall’ were intended by the legislature to make it mandatory for the repository of the power to consider the applications in their sequence. </w:t>
      </w:r>
      <w:r w:rsidRPr="00BF036C">
        <w:rPr>
          <w:rFonts w:ascii="Arial" w:hAnsi="Arial" w:cs="Arial"/>
          <w:sz w:val="24"/>
          <w:szCs w:val="24"/>
        </w:rPr>
        <w:t xml:space="preserve">The statutory scheme certainly supports such an interpretation. The intention of s 125 is to </w:t>
      </w:r>
      <w:r w:rsidR="00BF036C">
        <w:rPr>
          <w:rFonts w:ascii="Arial" w:hAnsi="Arial" w:cs="Arial"/>
          <w:sz w:val="24"/>
          <w:szCs w:val="24"/>
        </w:rPr>
        <w:t>p</w:t>
      </w:r>
      <w:r w:rsidR="00683671" w:rsidRPr="00BF036C">
        <w:rPr>
          <w:rFonts w:ascii="Arial" w:hAnsi="Arial" w:cs="Arial"/>
          <w:sz w:val="24"/>
          <w:szCs w:val="24"/>
        </w:rPr>
        <w:t>lace a clear statutory obligation upon the</w:t>
      </w:r>
      <w:r w:rsidR="0017115B" w:rsidRPr="00BF036C">
        <w:rPr>
          <w:rFonts w:ascii="Arial" w:hAnsi="Arial" w:cs="Arial"/>
          <w:sz w:val="24"/>
          <w:szCs w:val="24"/>
        </w:rPr>
        <w:t xml:space="preserve"> respective</w:t>
      </w:r>
      <w:r w:rsidR="00683671" w:rsidRPr="00BF036C">
        <w:rPr>
          <w:rFonts w:ascii="Arial" w:hAnsi="Arial" w:cs="Arial"/>
          <w:sz w:val="24"/>
          <w:szCs w:val="24"/>
        </w:rPr>
        <w:t xml:space="preserve"> repositories of </w:t>
      </w:r>
      <w:r w:rsidR="0017115B" w:rsidRPr="00BF036C">
        <w:rPr>
          <w:rFonts w:ascii="Arial" w:hAnsi="Arial" w:cs="Arial"/>
          <w:sz w:val="24"/>
          <w:szCs w:val="24"/>
        </w:rPr>
        <w:t xml:space="preserve">the </w:t>
      </w:r>
      <w:r w:rsidR="00683671" w:rsidRPr="00BF036C">
        <w:rPr>
          <w:rFonts w:ascii="Arial" w:hAnsi="Arial" w:cs="Arial"/>
          <w:sz w:val="24"/>
          <w:szCs w:val="24"/>
        </w:rPr>
        <w:t xml:space="preserve">powers to consider </w:t>
      </w:r>
      <w:r w:rsidR="00730A27" w:rsidRPr="00BF036C">
        <w:rPr>
          <w:rFonts w:ascii="Arial" w:hAnsi="Arial" w:cs="Arial"/>
          <w:sz w:val="24"/>
          <w:szCs w:val="24"/>
        </w:rPr>
        <w:t>applications</w:t>
      </w:r>
      <w:r w:rsidR="00683671" w:rsidRPr="00BF036C">
        <w:rPr>
          <w:rFonts w:ascii="Arial" w:hAnsi="Arial" w:cs="Arial"/>
          <w:sz w:val="24"/>
          <w:szCs w:val="24"/>
        </w:rPr>
        <w:t xml:space="preserve"> in the sequence they are made and received.</w:t>
      </w:r>
      <w:r w:rsidR="009659C2" w:rsidRPr="00BF036C">
        <w:rPr>
          <w:rFonts w:ascii="Arial" w:hAnsi="Arial" w:cs="Arial"/>
          <w:sz w:val="24"/>
          <w:szCs w:val="24"/>
        </w:rPr>
        <w:t xml:space="preserve"> The use of the term ‘all’ with reference to </w:t>
      </w:r>
      <w:r w:rsidR="007D725F">
        <w:rPr>
          <w:rFonts w:ascii="Arial" w:hAnsi="Arial" w:cs="Arial"/>
          <w:sz w:val="24"/>
          <w:szCs w:val="24"/>
        </w:rPr>
        <w:t xml:space="preserve">those </w:t>
      </w:r>
      <w:r w:rsidR="009659C2" w:rsidRPr="00BF036C">
        <w:rPr>
          <w:rFonts w:ascii="Arial" w:hAnsi="Arial" w:cs="Arial"/>
          <w:sz w:val="24"/>
          <w:szCs w:val="24"/>
        </w:rPr>
        <w:t xml:space="preserve">applications </w:t>
      </w:r>
      <w:r w:rsidR="007D725F">
        <w:rPr>
          <w:rFonts w:ascii="Arial" w:hAnsi="Arial" w:cs="Arial"/>
          <w:sz w:val="24"/>
          <w:szCs w:val="24"/>
        </w:rPr>
        <w:t xml:space="preserve">in s 125 </w:t>
      </w:r>
      <w:r w:rsidR="009659C2" w:rsidRPr="00BF036C">
        <w:rPr>
          <w:rFonts w:ascii="Arial" w:hAnsi="Arial" w:cs="Arial"/>
          <w:sz w:val="24"/>
          <w:szCs w:val="24"/>
        </w:rPr>
        <w:t xml:space="preserve">reinforces this approach. </w:t>
      </w:r>
    </w:p>
    <w:p w:rsidR="00BF036C" w:rsidRDefault="00BF036C" w:rsidP="00BF036C">
      <w:pPr>
        <w:pStyle w:val="ListParagraph"/>
        <w:rPr>
          <w:rFonts w:ascii="Arial" w:hAnsi="Arial" w:cs="Arial"/>
          <w:sz w:val="24"/>
          <w:szCs w:val="24"/>
        </w:rPr>
      </w:pPr>
    </w:p>
    <w:p w:rsidR="00470864" w:rsidRPr="00BF036C" w:rsidRDefault="009659C2" w:rsidP="00357541">
      <w:pPr>
        <w:pStyle w:val="NoSpacing"/>
        <w:numPr>
          <w:ilvl w:val="0"/>
          <w:numId w:val="4"/>
        </w:numPr>
        <w:spacing w:line="480" w:lineRule="auto"/>
        <w:ind w:left="0" w:firstLine="0"/>
        <w:jc w:val="both"/>
        <w:rPr>
          <w:rFonts w:ascii="Arial" w:hAnsi="Arial" w:cs="Arial"/>
          <w:sz w:val="24"/>
          <w:szCs w:val="24"/>
        </w:rPr>
      </w:pPr>
      <w:r w:rsidRPr="00BF036C">
        <w:rPr>
          <w:rFonts w:ascii="Arial" w:hAnsi="Arial" w:cs="Arial"/>
          <w:sz w:val="24"/>
          <w:szCs w:val="24"/>
        </w:rPr>
        <w:lastRenderedPageBreak/>
        <w:t>Section 125 furthermore does not restrict its application with reference to</w:t>
      </w:r>
      <w:r w:rsidR="00BF036C">
        <w:rPr>
          <w:rFonts w:ascii="Arial" w:hAnsi="Arial" w:cs="Arial"/>
          <w:sz w:val="24"/>
          <w:szCs w:val="24"/>
        </w:rPr>
        <w:t xml:space="preserve"> the</w:t>
      </w:r>
      <w:r w:rsidRPr="00BF036C">
        <w:rPr>
          <w:rFonts w:ascii="Arial" w:hAnsi="Arial" w:cs="Arial"/>
          <w:sz w:val="24"/>
          <w:szCs w:val="24"/>
        </w:rPr>
        <w:t xml:space="preserve"> type of applications or with reference to the type of minerals. On the contrary, the use of the term ‘all’</w:t>
      </w:r>
      <w:r w:rsidR="008E4A71">
        <w:rPr>
          <w:rFonts w:ascii="Arial" w:hAnsi="Arial" w:cs="Arial"/>
          <w:sz w:val="24"/>
          <w:szCs w:val="24"/>
        </w:rPr>
        <w:t xml:space="preserve"> with reference to applications</w:t>
      </w:r>
      <w:r w:rsidRPr="00BF036C">
        <w:rPr>
          <w:rFonts w:ascii="Arial" w:hAnsi="Arial" w:cs="Arial"/>
          <w:sz w:val="24"/>
          <w:szCs w:val="24"/>
        </w:rPr>
        <w:t xml:space="preserve"> and ‘any’ </w:t>
      </w:r>
      <w:r w:rsidR="008E4A71">
        <w:rPr>
          <w:rFonts w:ascii="Arial" w:hAnsi="Arial" w:cs="Arial"/>
          <w:sz w:val="24"/>
          <w:szCs w:val="24"/>
        </w:rPr>
        <w:t xml:space="preserve">(regarding their nature) </w:t>
      </w:r>
      <w:r w:rsidR="00A84F3A">
        <w:rPr>
          <w:rFonts w:ascii="Arial" w:hAnsi="Arial" w:cs="Arial"/>
          <w:sz w:val="24"/>
          <w:szCs w:val="24"/>
        </w:rPr>
        <w:t>has</w:t>
      </w:r>
      <w:r w:rsidRPr="00BF036C">
        <w:rPr>
          <w:rFonts w:ascii="Arial" w:hAnsi="Arial" w:cs="Arial"/>
          <w:sz w:val="24"/>
          <w:szCs w:val="24"/>
        </w:rPr>
        <w:t xml:space="preserve"> the opposite effect. This disposes of counsel for </w:t>
      </w:r>
      <w:r w:rsidR="004165C2" w:rsidRPr="00BF036C">
        <w:rPr>
          <w:rFonts w:ascii="Arial" w:hAnsi="Arial" w:cs="Arial"/>
          <w:sz w:val="24"/>
          <w:szCs w:val="24"/>
        </w:rPr>
        <w:t>t</w:t>
      </w:r>
      <w:r w:rsidRPr="00BF036C">
        <w:rPr>
          <w:rFonts w:ascii="Arial" w:hAnsi="Arial" w:cs="Arial"/>
          <w:sz w:val="24"/>
          <w:szCs w:val="24"/>
        </w:rPr>
        <w:t xml:space="preserve">he appellant’s argument that the provision is confined to </w:t>
      </w:r>
      <w:r w:rsidR="004165C2" w:rsidRPr="00BF036C">
        <w:rPr>
          <w:rFonts w:ascii="Arial" w:hAnsi="Arial" w:cs="Arial"/>
          <w:sz w:val="24"/>
          <w:szCs w:val="24"/>
        </w:rPr>
        <w:t>applications</w:t>
      </w:r>
      <w:r w:rsidRPr="00BF036C">
        <w:rPr>
          <w:rFonts w:ascii="Arial" w:hAnsi="Arial" w:cs="Arial"/>
          <w:sz w:val="24"/>
          <w:szCs w:val="24"/>
        </w:rPr>
        <w:t xml:space="preserve"> for the same type of </w:t>
      </w:r>
      <w:r w:rsidR="004165C2" w:rsidRPr="00BF036C">
        <w:rPr>
          <w:rFonts w:ascii="Arial" w:hAnsi="Arial" w:cs="Arial"/>
          <w:sz w:val="24"/>
          <w:szCs w:val="24"/>
        </w:rPr>
        <w:t>mineral</w:t>
      </w:r>
      <w:r w:rsidRPr="00BF036C">
        <w:rPr>
          <w:rFonts w:ascii="Arial" w:hAnsi="Arial" w:cs="Arial"/>
          <w:sz w:val="24"/>
          <w:szCs w:val="24"/>
        </w:rPr>
        <w:t xml:space="preserve"> as </w:t>
      </w:r>
      <w:r w:rsidR="004165C2" w:rsidRPr="00BF036C">
        <w:rPr>
          <w:rFonts w:ascii="Arial" w:hAnsi="Arial" w:cs="Arial"/>
          <w:sz w:val="24"/>
          <w:szCs w:val="24"/>
        </w:rPr>
        <w:t xml:space="preserve">mining operations for </w:t>
      </w:r>
      <w:r w:rsidR="00BF036C">
        <w:rPr>
          <w:rFonts w:ascii="Arial" w:hAnsi="Arial" w:cs="Arial"/>
          <w:sz w:val="24"/>
          <w:szCs w:val="24"/>
        </w:rPr>
        <w:t>the repository</w:t>
      </w:r>
      <w:r w:rsidR="00BF036C" w:rsidRPr="00BF036C">
        <w:rPr>
          <w:rFonts w:ascii="Arial" w:hAnsi="Arial" w:cs="Arial"/>
          <w:sz w:val="24"/>
          <w:szCs w:val="24"/>
        </w:rPr>
        <w:t xml:space="preserve"> of the power to consider in the </w:t>
      </w:r>
      <w:r w:rsidR="00BF036C">
        <w:rPr>
          <w:rFonts w:ascii="Arial" w:hAnsi="Arial" w:cs="Arial"/>
          <w:sz w:val="24"/>
          <w:szCs w:val="24"/>
        </w:rPr>
        <w:t>stat</w:t>
      </w:r>
      <w:r w:rsidR="007D725F">
        <w:rPr>
          <w:rFonts w:ascii="Arial" w:hAnsi="Arial" w:cs="Arial"/>
          <w:sz w:val="24"/>
          <w:szCs w:val="24"/>
        </w:rPr>
        <w:t>uto</w:t>
      </w:r>
      <w:r w:rsidR="00BF036C">
        <w:rPr>
          <w:rFonts w:ascii="Arial" w:hAnsi="Arial" w:cs="Arial"/>
          <w:sz w:val="24"/>
          <w:szCs w:val="24"/>
        </w:rPr>
        <w:t xml:space="preserve">ry </w:t>
      </w:r>
      <w:r w:rsidR="00BF036C" w:rsidRPr="00BF036C">
        <w:rPr>
          <w:rFonts w:ascii="Arial" w:hAnsi="Arial" w:cs="Arial"/>
          <w:sz w:val="24"/>
          <w:szCs w:val="24"/>
        </w:rPr>
        <w:t xml:space="preserve">sequence, even </w:t>
      </w:r>
      <w:r w:rsidR="008E4A71">
        <w:rPr>
          <w:rFonts w:ascii="Arial" w:hAnsi="Arial" w:cs="Arial"/>
          <w:sz w:val="24"/>
          <w:szCs w:val="24"/>
        </w:rPr>
        <w:t>if the mining of</w:t>
      </w:r>
      <w:r w:rsidR="00BF036C" w:rsidRPr="00BF036C">
        <w:rPr>
          <w:rFonts w:ascii="Arial" w:hAnsi="Arial" w:cs="Arial"/>
          <w:sz w:val="24"/>
          <w:szCs w:val="24"/>
        </w:rPr>
        <w:t xml:space="preserve"> </w:t>
      </w:r>
      <w:r w:rsidR="004165C2" w:rsidRPr="00BF036C">
        <w:rPr>
          <w:rFonts w:ascii="Arial" w:hAnsi="Arial" w:cs="Arial"/>
          <w:sz w:val="24"/>
          <w:szCs w:val="24"/>
        </w:rPr>
        <w:t xml:space="preserve">different types of minerals may not </w:t>
      </w:r>
      <w:r w:rsidR="00BF036C">
        <w:rPr>
          <w:rFonts w:ascii="Arial" w:hAnsi="Arial" w:cs="Arial"/>
          <w:sz w:val="24"/>
          <w:szCs w:val="24"/>
        </w:rPr>
        <w:t xml:space="preserve">necessarily </w:t>
      </w:r>
      <w:r w:rsidR="004165C2" w:rsidRPr="00BF036C">
        <w:rPr>
          <w:rFonts w:ascii="Arial" w:hAnsi="Arial" w:cs="Arial"/>
          <w:sz w:val="24"/>
          <w:szCs w:val="24"/>
        </w:rPr>
        <w:t xml:space="preserve">be incompatible. If </w:t>
      </w:r>
      <w:r w:rsidR="008E4A71">
        <w:rPr>
          <w:rFonts w:ascii="Arial" w:hAnsi="Arial" w:cs="Arial"/>
          <w:sz w:val="24"/>
          <w:szCs w:val="24"/>
        </w:rPr>
        <w:t>that were the case</w:t>
      </w:r>
      <w:r w:rsidR="00BF036C">
        <w:rPr>
          <w:rFonts w:ascii="Arial" w:hAnsi="Arial" w:cs="Arial"/>
          <w:sz w:val="24"/>
          <w:szCs w:val="24"/>
        </w:rPr>
        <w:t>,</w:t>
      </w:r>
      <w:r w:rsidR="004165C2" w:rsidRPr="00BF036C">
        <w:rPr>
          <w:rFonts w:ascii="Arial" w:hAnsi="Arial" w:cs="Arial"/>
          <w:sz w:val="24"/>
          <w:szCs w:val="24"/>
        </w:rPr>
        <w:t xml:space="preserve"> that would</w:t>
      </w:r>
      <w:r w:rsidR="00BF036C">
        <w:rPr>
          <w:rFonts w:ascii="Arial" w:hAnsi="Arial" w:cs="Arial"/>
          <w:sz w:val="24"/>
          <w:szCs w:val="24"/>
        </w:rPr>
        <w:t xml:space="preserve"> be an aspect for </w:t>
      </w:r>
      <w:r w:rsidR="004165C2" w:rsidRPr="00BF036C">
        <w:rPr>
          <w:rFonts w:ascii="Arial" w:hAnsi="Arial" w:cs="Arial"/>
          <w:sz w:val="24"/>
          <w:szCs w:val="24"/>
        </w:rPr>
        <w:t xml:space="preserve">a </w:t>
      </w:r>
      <w:r w:rsidR="00C22798">
        <w:rPr>
          <w:rFonts w:ascii="Arial" w:hAnsi="Arial" w:cs="Arial"/>
          <w:sz w:val="24"/>
          <w:szCs w:val="24"/>
        </w:rPr>
        <w:t>repository of the power to consider in the statutory sequence, even though this consideration may not arise o</w:t>
      </w:r>
      <w:r w:rsidR="004165C2" w:rsidRPr="00BF036C">
        <w:rPr>
          <w:rFonts w:ascii="Arial" w:hAnsi="Arial" w:cs="Arial"/>
          <w:sz w:val="24"/>
          <w:szCs w:val="24"/>
        </w:rPr>
        <w:t>n the facts of this case where the appellant</w:t>
      </w:r>
      <w:r w:rsidR="00BF036C">
        <w:rPr>
          <w:rFonts w:ascii="Arial" w:hAnsi="Arial" w:cs="Arial"/>
          <w:sz w:val="24"/>
          <w:szCs w:val="24"/>
        </w:rPr>
        <w:t xml:space="preserve"> almost immediately</w:t>
      </w:r>
      <w:r w:rsidR="004165C2" w:rsidRPr="00BF036C">
        <w:rPr>
          <w:rFonts w:ascii="Arial" w:hAnsi="Arial" w:cs="Arial"/>
          <w:sz w:val="24"/>
          <w:szCs w:val="24"/>
        </w:rPr>
        <w:t xml:space="preserve"> sought the removal of the </w:t>
      </w:r>
      <w:r w:rsidR="00BF036C">
        <w:rPr>
          <w:rFonts w:ascii="Arial" w:hAnsi="Arial" w:cs="Arial"/>
          <w:sz w:val="24"/>
          <w:szCs w:val="24"/>
        </w:rPr>
        <w:t>fourth</w:t>
      </w:r>
      <w:r w:rsidR="004165C2" w:rsidRPr="00BF036C">
        <w:rPr>
          <w:rFonts w:ascii="Arial" w:hAnsi="Arial" w:cs="Arial"/>
          <w:sz w:val="24"/>
          <w:szCs w:val="24"/>
        </w:rPr>
        <w:t xml:space="preserve"> respondent </w:t>
      </w:r>
      <w:r w:rsidR="001C1FD2">
        <w:rPr>
          <w:rFonts w:ascii="Arial" w:hAnsi="Arial" w:cs="Arial"/>
          <w:sz w:val="24"/>
          <w:szCs w:val="24"/>
        </w:rPr>
        <w:t>after</w:t>
      </w:r>
      <w:r w:rsidR="008E4A71">
        <w:rPr>
          <w:rFonts w:ascii="Arial" w:hAnsi="Arial" w:cs="Arial"/>
          <w:sz w:val="24"/>
          <w:szCs w:val="24"/>
        </w:rPr>
        <w:t xml:space="preserve"> being granted the claims, indicating that the mining for different minerals may not be compatible.</w:t>
      </w:r>
    </w:p>
    <w:p w:rsidR="00470864" w:rsidRDefault="00470864" w:rsidP="00470864">
      <w:pPr>
        <w:pStyle w:val="ListParagraph"/>
        <w:rPr>
          <w:rFonts w:ascii="Arial" w:hAnsi="Arial" w:cs="Arial"/>
          <w:sz w:val="24"/>
          <w:szCs w:val="24"/>
        </w:rPr>
      </w:pPr>
    </w:p>
    <w:p w:rsidR="00470864" w:rsidRDefault="0017115B"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purpose of this provision within the context of the Act is to provide for transparency and certainty in the manner in which </w:t>
      </w:r>
      <w:r w:rsidR="001C1FD2">
        <w:rPr>
          <w:rFonts w:ascii="Arial" w:hAnsi="Arial" w:cs="Arial"/>
          <w:sz w:val="24"/>
          <w:szCs w:val="24"/>
        </w:rPr>
        <w:t>the</w:t>
      </w:r>
      <w:r>
        <w:rPr>
          <w:rFonts w:ascii="Arial" w:hAnsi="Arial" w:cs="Arial"/>
          <w:sz w:val="24"/>
          <w:szCs w:val="24"/>
        </w:rPr>
        <w:t xml:space="preserve"> wide </w:t>
      </w:r>
      <w:r w:rsidR="000F4E2E">
        <w:rPr>
          <w:rFonts w:ascii="Arial" w:hAnsi="Arial" w:cs="Arial"/>
          <w:sz w:val="24"/>
          <w:szCs w:val="24"/>
        </w:rPr>
        <w:t>and</w:t>
      </w:r>
      <w:r>
        <w:rPr>
          <w:rFonts w:ascii="Arial" w:hAnsi="Arial" w:cs="Arial"/>
          <w:sz w:val="24"/>
          <w:szCs w:val="24"/>
        </w:rPr>
        <w:t xml:space="preserve"> far rea</w:t>
      </w:r>
      <w:r w:rsidR="001C1FD2">
        <w:rPr>
          <w:rFonts w:ascii="Arial" w:hAnsi="Arial" w:cs="Arial"/>
          <w:sz w:val="24"/>
          <w:szCs w:val="24"/>
        </w:rPr>
        <w:t>ch</w:t>
      </w:r>
      <w:r>
        <w:rPr>
          <w:rFonts w:ascii="Arial" w:hAnsi="Arial" w:cs="Arial"/>
          <w:sz w:val="24"/>
          <w:szCs w:val="24"/>
        </w:rPr>
        <w:t xml:space="preserve">ing powers vested in the Minister and </w:t>
      </w:r>
      <w:r w:rsidR="007D725F">
        <w:rPr>
          <w:rFonts w:ascii="Arial" w:hAnsi="Arial" w:cs="Arial"/>
          <w:sz w:val="24"/>
          <w:szCs w:val="24"/>
        </w:rPr>
        <w:t xml:space="preserve">Mining </w:t>
      </w:r>
      <w:r>
        <w:rPr>
          <w:rFonts w:ascii="Arial" w:hAnsi="Arial" w:cs="Arial"/>
          <w:sz w:val="24"/>
          <w:szCs w:val="24"/>
        </w:rPr>
        <w:t xml:space="preserve">Commissioner are to be exercised in allocating rights to Namibia’s natural resources. </w:t>
      </w:r>
      <w:r w:rsidR="00683671">
        <w:rPr>
          <w:rFonts w:ascii="Arial" w:hAnsi="Arial" w:cs="Arial"/>
          <w:sz w:val="24"/>
          <w:szCs w:val="24"/>
        </w:rPr>
        <w:t xml:space="preserve">As was contended by respondents’ counsel, this court accepted that the system of priority </w:t>
      </w:r>
      <w:r w:rsidR="004165C2">
        <w:rPr>
          <w:rFonts w:ascii="Arial" w:hAnsi="Arial" w:cs="Arial"/>
          <w:sz w:val="24"/>
          <w:szCs w:val="24"/>
        </w:rPr>
        <w:t xml:space="preserve">in respect </w:t>
      </w:r>
      <w:r w:rsidR="00683671">
        <w:rPr>
          <w:rFonts w:ascii="Arial" w:hAnsi="Arial" w:cs="Arial"/>
          <w:sz w:val="24"/>
          <w:szCs w:val="24"/>
        </w:rPr>
        <w:t>of applications set by s 125 is of importance to the mining industry.</w:t>
      </w:r>
      <w:r w:rsidR="0037609A">
        <w:rPr>
          <w:rStyle w:val="FootnoteReference"/>
          <w:rFonts w:ascii="Arial" w:hAnsi="Arial" w:cs="Arial"/>
          <w:sz w:val="24"/>
          <w:szCs w:val="24"/>
        </w:rPr>
        <w:footnoteReference w:id="9"/>
      </w:r>
      <w:r w:rsidR="00683671">
        <w:rPr>
          <w:rFonts w:ascii="Arial" w:hAnsi="Arial" w:cs="Arial"/>
          <w:sz w:val="24"/>
          <w:szCs w:val="24"/>
        </w:rPr>
        <w:t xml:space="preserve"> It is after all conducive to</w:t>
      </w:r>
      <w:r>
        <w:rPr>
          <w:rFonts w:ascii="Arial" w:hAnsi="Arial" w:cs="Arial"/>
          <w:sz w:val="24"/>
          <w:szCs w:val="24"/>
        </w:rPr>
        <w:t xml:space="preserve"> accountability and public interest</w:t>
      </w:r>
      <w:r w:rsidR="00683671">
        <w:rPr>
          <w:rFonts w:ascii="Arial" w:hAnsi="Arial" w:cs="Arial"/>
          <w:sz w:val="24"/>
          <w:szCs w:val="24"/>
        </w:rPr>
        <w:t xml:space="preserve"> in the context of the Act and the constitutional dispensation with regard to minerals</w:t>
      </w:r>
      <w:r>
        <w:rPr>
          <w:rFonts w:ascii="Arial" w:hAnsi="Arial" w:cs="Arial"/>
          <w:sz w:val="24"/>
          <w:szCs w:val="24"/>
        </w:rPr>
        <w:t xml:space="preserve"> (and other natural resources such as those in the sea) that </w:t>
      </w:r>
      <w:r w:rsidR="000F4E2E">
        <w:rPr>
          <w:rFonts w:ascii="Arial" w:hAnsi="Arial" w:cs="Arial"/>
          <w:sz w:val="24"/>
          <w:szCs w:val="24"/>
        </w:rPr>
        <w:t>the statutor</w:t>
      </w:r>
      <w:r w:rsidR="001C1FD2">
        <w:rPr>
          <w:rFonts w:ascii="Arial" w:hAnsi="Arial" w:cs="Arial"/>
          <w:sz w:val="24"/>
          <w:szCs w:val="24"/>
        </w:rPr>
        <w:t>il</w:t>
      </w:r>
      <w:r w:rsidR="000F4E2E">
        <w:rPr>
          <w:rFonts w:ascii="Arial" w:hAnsi="Arial" w:cs="Arial"/>
          <w:sz w:val="24"/>
          <w:szCs w:val="24"/>
        </w:rPr>
        <w:t xml:space="preserve">y set </w:t>
      </w:r>
      <w:r>
        <w:rPr>
          <w:rFonts w:ascii="Arial" w:hAnsi="Arial" w:cs="Arial"/>
          <w:sz w:val="24"/>
          <w:szCs w:val="24"/>
        </w:rPr>
        <w:t>procedures</w:t>
      </w:r>
      <w:r w:rsidR="000F4E2E">
        <w:rPr>
          <w:rFonts w:ascii="Arial" w:hAnsi="Arial" w:cs="Arial"/>
          <w:sz w:val="24"/>
          <w:szCs w:val="24"/>
        </w:rPr>
        <w:t xml:space="preserve"> for applications for their allocation</w:t>
      </w:r>
      <w:r>
        <w:rPr>
          <w:rFonts w:ascii="Arial" w:hAnsi="Arial" w:cs="Arial"/>
          <w:sz w:val="24"/>
          <w:szCs w:val="24"/>
        </w:rPr>
        <w:t xml:space="preserve"> are </w:t>
      </w:r>
      <w:r w:rsidR="000F4E2E">
        <w:rPr>
          <w:rFonts w:ascii="Arial" w:hAnsi="Arial" w:cs="Arial"/>
          <w:sz w:val="24"/>
          <w:szCs w:val="24"/>
        </w:rPr>
        <w:t xml:space="preserve">strictly </w:t>
      </w:r>
      <w:r>
        <w:rPr>
          <w:rFonts w:ascii="Arial" w:hAnsi="Arial" w:cs="Arial"/>
          <w:sz w:val="24"/>
          <w:szCs w:val="24"/>
        </w:rPr>
        <w:t>adhered to.</w:t>
      </w:r>
      <w:r>
        <w:rPr>
          <w:rStyle w:val="FootnoteReference"/>
          <w:rFonts w:ascii="Arial" w:hAnsi="Arial" w:cs="Arial"/>
          <w:sz w:val="24"/>
          <w:szCs w:val="24"/>
        </w:rPr>
        <w:footnoteReference w:id="10"/>
      </w:r>
    </w:p>
    <w:p w:rsidR="000F4E2E" w:rsidRDefault="000F4E2E" w:rsidP="000F4E2E">
      <w:pPr>
        <w:pStyle w:val="ListParagraph"/>
        <w:rPr>
          <w:rFonts w:ascii="Arial" w:hAnsi="Arial" w:cs="Arial"/>
          <w:sz w:val="24"/>
          <w:szCs w:val="24"/>
        </w:rPr>
      </w:pPr>
    </w:p>
    <w:p w:rsidR="000F4E2E" w:rsidRDefault="000F4E2E"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directory meaning </w:t>
      </w:r>
      <w:r w:rsidR="001C1FD2">
        <w:rPr>
          <w:rFonts w:ascii="Arial" w:hAnsi="Arial" w:cs="Arial"/>
          <w:sz w:val="24"/>
          <w:szCs w:val="24"/>
        </w:rPr>
        <w:t xml:space="preserve">contended for by the appellant </w:t>
      </w:r>
      <w:r>
        <w:rPr>
          <w:rFonts w:ascii="Arial" w:hAnsi="Arial" w:cs="Arial"/>
          <w:sz w:val="24"/>
          <w:szCs w:val="24"/>
        </w:rPr>
        <w:t>would render this important provision toothless and nugatory and undermine its statutory purpose.</w:t>
      </w:r>
    </w:p>
    <w:p w:rsidR="000F4E2E" w:rsidRDefault="000F4E2E" w:rsidP="000F4E2E">
      <w:pPr>
        <w:pStyle w:val="ListParagraph"/>
        <w:rPr>
          <w:rFonts w:ascii="Arial" w:hAnsi="Arial" w:cs="Arial"/>
          <w:sz w:val="24"/>
          <w:szCs w:val="24"/>
        </w:rPr>
      </w:pPr>
    </w:p>
    <w:p w:rsidR="000F4E2E" w:rsidRDefault="000F4E2E"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Reliance by counsel for the appellant upon the approach of this court in </w:t>
      </w:r>
      <w:r>
        <w:rPr>
          <w:rFonts w:ascii="Arial" w:hAnsi="Arial" w:cs="Arial"/>
          <w:i/>
          <w:sz w:val="24"/>
          <w:szCs w:val="24"/>
        </w:rPr>
        <w:t xml:space="preserve">Torbitt </w:t>
      </w:r>
      <w:r>
        <w:rPr>
          <w:rFonts w:ascii="Arial" w:hAnsi="Arial" w:cs="Arial"/>
          <w:sz w:val="24"/>
          <w:szCs w:val="24"/>
        </w:rPr>
        <w:t>is misplaced. That matter concerned a statutory injunction contained in the Labour Act</w:t>
      </w:r>
      <w:r>
        <w:rPr>
          <w:rStyle w:val="FootnoteReference"/>
          <w:rFonts w:ascii="Arial" w:hAnsi="Arial" w:cs="Arial"/>
          <w:sz w:val="24"/>
          <w:szCs w:val="24"/>
        </w:rPr>
        <w:footnoteReference w:id="11"/>
      </w:r>
      <w:r>
        <w:rPr>
          <w:rFonts w:ascii="Arial" w:hAnsi="Arial" w:cs="Arial"/>
          <w:sz w:val="24"/>
          <w:szCs w:val="24"/>
        </w:rPr>
        <w:t xml:space="preserve"> which </w:t>
      </w:r>
      <w:r w:rsidR="001C1FD2">
        <w:rPr>
          <w:rFonts w:ascii="Arial" w:hAnsi="Arial" w:cs="Arial"/>
          <w:sz w:val="24"/>
          <w:szCs w:val="24"/>
        </w:rPr>
        <w:t>requires</w:t>
      </w:r>
      <w:r>
        <w:rPr>
          <w:rStyle w:val="FootnoteReference"/>
          <w:rFonts w:ascii="Arial" w:hAnsi="Arial" w:cs="Arial"/>
          <w:sz w:val="24"/>
          <w:szCs w:val="24"/>
        </w:rPr>
        <w:footnoteReference w:id="12"/>
      </w:r>
      <w:r>
        <w:rPr>
          <w:rFonts w:ascii="Arial" w:hAnsi="Arial" w:cs="Arial"/>
          <w:sz w:val="24"/>
          <w:szCs w:val="24"/>
        </w:rPr>
        <w:t xml:space="preserve"> that an arbitrator ‘must issue an award’ within 30 days of the conclusion of arbitration proceedings under that Act. The High Court </w:t>
      </w:r>
      <w:r w:rsidR="001C1FD2">
        <w:rPr>
          <w:rFonts w:ascii="Arial" w:hAnsi="Arial" w:cs="Arial"/>
          <w:sz w:val="24"/>
          <w:szCs w:val="24"/>
        </w:rPr>
        <w:t xml:space="preserve">in that matter </w:t>
      </w:r>
      <w:r>
        <w:rPr>
          <w:rFonts w:ascii="Arial" w:hAnsi="Arial" w:cs="Arial"/>
          <w:sz w:val="24"/>
          <w:szCs w:val="24"/>
        </w:rPr>
        <w:t xml:space="preserve">held that </w:t>
      </w:r>
      <w:r w:rsidR="001C1FD2">
        <w:rPr>
          <w:rFonts w:ascii="Arial" w:hAnsi="Arial" w:cs="Arial"/>
          <w:sz w:val="24"/>
          <w:szCs w:val="24"/>
        </w:rPr>
        <w:t>t</w:t>
      </w:r>
      <w:r>
        <w:rPr>
          <w:rFonts w:ascii="Arial" w:hAnsi="Arial" w:cs="Arial"/>
          <w:sz w:val="24"/>
          <w:szCs w:val="24"/>
        </w:rPr>
        <w:t>he wording was peremptory and</w:t>
      </w:r>
      <w:r w:rsidR="001C1FD2">
        <w:rPr>
          <w:rFonts w:ascii="Arial" w:hAnsi="Arial" w:cs="Arial"/>
          <w:sz w:val="24"/>
          <w:szCs w:val="24"/>
        </w:rPr>
        <w:t xml:space="preserve"> that </w:t>
      </w:r>
      <w:r>
        <w:rPr>
          <w:rFonts w:ascii="Arial" w:hAnsi="Arial" w:cs="Arial"/>
          <w:sz w:val="24"/>
          <w:szCs w:val="24"/>
        </w:rPr>
        <w:t>an award given more than 30 days after the conclusion of proceedings resulted in a nullity.</w:t>
      </w:r>
      <w:r w:rsidR="00A12E19">
        <w:rPr>
          <w:rFonts w:ascii="Arial" w:hAnsi="Arial" w:cs="Arial"/>
          <w:sz w:val="24"/>
          <w:szCs w:val="24"/>
        </w:rPr>
        <w:t xml:space="preserve"> This court made it clear that the use of the term ‘must’ meant that it was peremptory as far as the arbitrator was concerned.</w:t>
      </w:r>
      <w:r w:rsidR="00A12E19">
        <w:rPr>
          <w:rStyle w:val="FootnoteReference"/>
          <w:rFonts w:ascii="Arial" w:hAnsi="Arial" w:cs="Arial"/>
          <w:sz w:val="24"/>
          <w:szCs w:val="24"/>
        </w:rPr>
        <w:footnoteReference w:id="13"/>
      </w:r>
      <w:r w:rsidR="00A12E19">
        <w:rPr>
          <w:rFonts w:ascii="Arial" w:hAnsi="Arial" w:cs="Arial"/>
          <w:sz w:val="24"/>
          <w:szCs w:val="24"/>
        </w:rPr>
        <w:t xml:space="preserve"> It compelled an arbitrator to make an award within that period. That was after all what the legislature obviously intended. But it did not intend invalidity of an award given a day or two later, having regard for the purpose and context of the provision. It meant that the term </w:t>
      </w:r>
      <w:r w:rsidR="001C1FD2">
        <w:rPr>
          <w:rFonts w:ascii="Arial" w:hAnsi="Arial" w:cs="Arial"/>
          <w:sz w:val="24"/>
          <w:szCs w:val="24"/>
        </w:rPr>
        <w:t xml:space="preserve">‘must’ </w:t>
      </w:r>
      <w:r w:rsidR="00A12E19">
        <w:rPr>
          <w:rFonts w:ascii="Arial" w:hAnsi="Arial" w:cs="Arial"/>
          <w:sz w:val="24"/>
          <w:szCs w:val="24"/>
        </w:rPr>
        <w:t xml:space="preserve">retained its ordinary mandatory meaning but </w:t>
      </w:r>
      <w:r w:rsidR="001C1FD2">
        <w:rPr>
          <w:rFonts w:ascii="Arial" w:hAnsi="Arial" w:cs="Arial"/>
          <w:sz w:val="24"/>
          <w:szCs w:val="24"/>
        </w:rPr>
        <w:t xml:space="preserve">the consequence of </w:t>
      </w:r>
      <w:r w:rsidR="00A12E19">
        <w:rPr>
          <w:rFonts w:ascii="Arial" w:hAnsi="Arial" w:cs="Arial"/>
          <w:sz w:val="24"/>
          <w:szCs w:val="24"/>
        </w:rPr>
        <w:t xml:space="preserve">non-compliance with it by </w:t>
      </w:r>
      <w:r w:rsidR="007D725F">
        <w:rPr>
          <w:rFonts w:ascii="Arial" w:hAnsi="Arial" w:cs="Arial"/>
          <w:sz w:val="24"/>
          <w:szCs w:val="24"/>
        </w:rPr>
        <w:t>an</w:t>
      </w:r>
      <w:r w:rsidR="00A12E19">
        <w:rPr>
          <w:rFonts w:ascii="Arial" w:hAnsi="Arial" w:cs="Arial"/>
          <w:sz w:val="24"/>
          <w:szCs w:val="24"/>
        </w:rPr>
        <w:t xml:space="preserve"> arbitrator was not visited with invalidity</w:t>
      </w:r>
      <w:r w:rsidR="008E4A71">
        <w:rPr>
          <w:rFonts w:ascii="Arial" w:hAnsi="Arial" w:cs="Arial"/>
          <w:sz w:val="24"/>
          <w:szCs w:val="24"/>
        </w:rPr>
        <w:t xml:space="preserve"> of an award delivered late</w:t>
      </w:r>
      <w:r w:rsidR="00A12E19">
        <w:rPr>
          <w:rFonts w:ascii="Arial" w:hAnsi="Arial" w:cs="Arial"/>
          <w:sz w:val="24"/>
          <w:szCs w:val="24"/>
        </w:rPr>
        <w:t>. The mandatory meaning</w:t>
      </w:r>
      <w:r w:rsidR="001C1FD2">
        <w:rPr>
          <w:rFonts w:ascii="Arial" w:hAnsi="Arial" w:cs="Arial"/>
          <w:sz w:val="24"/>
          <w:szCs w:val="24"/>
        </w:rPr>
        <w:t xml:space="preserve"> would </w:t>
      </w:r>
      <w:r w:rsidR="00A12E19">
        <w:rPr>
          <w:rFonts w:ascii="Arial" w:hAnsi="Arial" w:cs="Arial"/>
          <w:sz w:val="24"/>
          <w:szCs w:val="24"/>
        </w:rPr>
        <w:t xml:space="preserve">mean that an arbitrator could be compelled by a party to make an award if he or she had not done so within 30 days. </w:t>
      </w:r>
      <w:r w:rsidR="00A12E19" w:rsidRPr="00747300">
        <w:rPr>
          <w:rFonts w:ascii="Arial" w:hAnsi="Arial" w:cs="Arial"/>
          <w:sz w:val="24"/>
          <w:szCs w:val="24"/>
          <w:u w:val="single"/>
        </w:rPr>
        <w:t>That</w:t>
      </w:r>
      <w:r w:rsidR="00A12E19">
        <w:rPr>
          <w:rFonts w:ascii="Arial" w:hAnsi="Arial" w:cs="Arial"/>
          <w:sz w:val="24"/>
          <w:szCs w:val="24"/>
        </w:rPr>
        <w:t xml:space="preserve"> would be the consequence of non-compliance</w:t>
      </w:r>
      <w:r w:rsidR="007D725F">
        <w:rPr>
          <w:rFonts w:ascii="Arial" w:hAnsi="Arial" w:cs="Arial"/>
          <w:sz w:val="24"/>
          <w:szCs w:val="24"/>
        </w:rPr>
        <w:t xml:space="preserve"> with that provision</w:t>
      </w:r>
      <w:r w:rsidR="00A12E19">
        <w:rPr>
          <w:rFonts w:ascii="Arial" w:hAnsi="Arial" w:cs="Arial"/>
          <w:sz w:val="24"/>
          <w:szCs w:val="24"/>
        </w:rPr>
        <w:t xml:space="preserve"> in the form of a remedy. But this </w:t>
      </w:r>
      <w:r w:rsidR="00747300">
        <w:rPr>
          <w:rFonts w:ascii="Arial" w:hAnsi="Arial" w:cs="Arial"/>
          <w:sz w:val="24"/>
          <w:szCs w:val="24"/>
        </w:rPr>
        <w:t xml:space="preserve">consequence </w:t>
      </w:r>
      <w:r w:rsidR="00A12E19">
        <w:rPr>
          <w:rFonts w:ascii="Arial" w:hAnsi="Arial" w:cs="Arial"/>
          <w:sz w:val="24"/>
          <w:szCs w:val="24"/>
        </w:rPr>
        <w:t>did not result in the meaning</w:t>
      </w:r>
      <w:r w:rsidR="002D4773">
        <w:rPr>
          <w:rFonts w:ascii="Arial" w:hAnsi="Arial" w:cs="Arial"/>
          <w:sz w:val="24"/>
          <w:szCs w:val="24"/>
        </w:rPr>
        <w:t xml:space="preserve"> given</w:t>
      </w:r>
      <w:r w:rsidR="00A12E19">
        <w:rPr>
          <w:rFonts w:ascii="Arial" w:hAnsi="Arial" w:cs="Arial"/>
          <w:sz w:val="24"/>
          <w:szCs w:val="24"/>
        </w:rPr>
        <w:t xml:space="preserve"> to ‘must’ </w:t>
      </w:r>
      <w:r w:rsidR="002D4773">
        <w:rPr>
          <w:rFonts w:ascii="Arial" w:hAnsi="Arial" w:cs="Arial"/>
          <w:sz w:val="24"/>
          <w:szCs w:val="24"/>
        </w:rPr>
        <w:t>was</w:t>
      </w:r>
      <w:r w:rsidR="00A12E19">
        <w:rPr>
          <w:rFonts w:ascii="Arial" w:hAnsi="Arial" w:cs="Arial"/>
          <w:sz w:val="24"/>
          <w:szCs w:val="24"/>
        </w:rPr>
        <w:t xml:space="preserve"> directory. </w:t>
      </w:r>
      <w:r w:rsidR="00747300">
        <w:rPr>
          <w:rFonts w:ascii="Arial" w:hAnsi="Arial" w:cs="Arial"/>
          <w:sz w:val="24"/>
          <w:szCs w:val="24"/>
        </w:rPr>
        <w:t>This court found that it</w:t>
      </w:r>
      <w:r w:rsidR="00A12E19">
        <w:rPr>
          <w:rFonts w:ascii="Arial" w:hAnsi="Arial" w:cs="Arial"/>
          <w:sz w:val="24"/>
          <w:szCs w:val="24"/>
        </w:rPr>
        <w:t xml:space="preserve"> was mandatory upon an arbitrator but</w:t>
      </w:r>
      <w:r w:rsidR="002D4773">
        <w:rPr>
          <w:rFonts w:ascii="Arial" w:hAnsi="Arial" w:cs="Arial"/>
          <w:sz w:val="24"/>
          <w:szCs w:val="24"/>
        </w:rPr>
        <w:t xml:space="preserve"> that</w:t>
      </w:r>
      <w:r w:rsidR="00A12E19">
        <w:rPr>
          <w:rFonts w:ascii="Arial" w:hAnsi="Arial" w:cs="Arial"/>
          <w:sz w:val="24"/>
          <w:szCs w:val="24"/>
        </w:rPr>
        <w:t xml:space="preserve"> its breach did not result in invalidity, because </w:t>
      </w:r>
      <w:r w:rsidR="002D4773">
        <w:rPr>
          <w:rFonts w:ascii="Arial" w:hAnsi="Arial" w:cs="Arial"/>
          <w:sz w:val="24"/>
          <w:szCs w:val="24"/>
        </w:rPr>
        <w:t>this</w:t>
      </w:r>
      <w:r w:rsidR="00A12E19">
        <w:rPr>
          <w:rFonts w:ascii="Arial" w:hAnsi="Arial" w:cs="Arial"/>
          <w:sz w:val="24"/>
          <w:szCs w:val="24"/>
        </w:rPr>
        <w:t xml:space="preserve"> would result in an absurdity and unjust consequences. In short</w:t>
      </w:r>
      <w:r w:rsidR="00913B0F">
        <w:rPr>
          <w:rFonts w:ascii="Arial" w:hAnsi="Arial" w:cs="Arial"/>
          <w:sz w:val="24"/>
          <w:szCs w:val="24"/>
        </w:rPr>
        <w:t>,</w:t>
      </w:r>
      <w:r w:rsidR="00A12E19">
        <w:rPr>
          <w:rFonts w:ascii="Arial" w:hAnsi="Arial" w:cs="Arial"/>
          <w:sz w:val="24"/>
          <w:szCs w:val="24"/>
        </w:rPr>
        <w:t xml:space="preserve"> the statutory purpose and </w:t>
      </w:r>
      <w:r w:rsidR="00A12E19">
        <w:rPr>
          <w:rFonts w:ascii="Arial" w:hAnsi="Arial" w:cs="Arial"/>
          <w:sz w:val="24"/>
          <w:szCs w:val="24"/>
        </w:rPr>
        <w:lastRenderedPageBreak/>
        <w:t>context is to be considered in determining the consequences of non-compliance with a mandatory statutory duty.</w:t>
      </w:r>
      <w:r w:rsidR="00A12E19">
        <w:rPr>
          <w:rStyle w:val="FootnoteReference"/>
          <w:rFonts w:ascii="Arial" w:hAnsi="Arial" w:cs="Arial"/>
          <w:sz w:val="24"/>
          <w:szCs w:val="24"/>
        </w:rPr>
        <w:footnoteReference w:id="14"/>
      </w:r>
    </w:p>
    <w:p w:rsidR="00470864" w:rsidRPr="002D4773" w:rsidRDefault="00470864" w:rsidP="002D4773">
      <w:pPr>
        <w:rPr>
          <w:rFonts w:ascii="Arial" w:hAnsi="Arial" w:cs="Arial"/>
          <w:sz w:val="24"/>
          <w:szCs w:val="24"/>
        </w:rPr>
      </w:pPr>
    </w:p>
    <w:p w:rsidR="00470864" w:rsidRDefault="00E71CBA" w:rsidP="002D477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If applications were not considered in their sequence</w:t>
      </w:r>
      <w:r w:rsidR="002D4773">
        <w:rPr>
          <w:rFonts w:ascii="Arial" w:hAnsi="Arial" w:cs="Arial"/>
          <w:sz w:val="24"/>
          <w:szCs w:val="24"/>
        </w:rPr>
        <w:t xml:space="preserve"> and the meaning of ‘shall’ </w:t>
      </w:r>
      <w:r w:rsidR="0088335A">
        <w:rPr>
          <w:rFonts w:ascii="Arial" w:hAnsi="Arial" w:cs="Arial"/>
          <w:sz w:val="24"/>
          <w:szCs w:val="24"/>
        </w:rPr>
        <w:t>is</w:t>
      </w:r>
      <w:r w:rsidR="002D4773">
        <w:rPr>
          <w:rFonts w:ascii="Arial" w:hAnsi="Arial" w:cs="Arial"/>
          <w:sz w:val="24"/>
          <w:szCs w:val="24"/>
        </w:rPr>
        <w:t xml:space="preserve"> to be directory</w:t>
      </w:r>
      <w:r>
        <w:rPr>
          <w:rFonts w:ascii="Arial" w:hAnsi="Arial" w:cs="Arial"/>
          <w:sz w:val="24"/>
          <w:szCs w:val="24"/>
        </w:rPr>
        <w:t xml:space="preserve">, there would then be no recourse and it would be a toothless provision. This could certainly not have been the intention of the legislature in the context of </w:t>
      </w:r>
      <w:r w:rsidR="00747300">
        <w:rPr>
          <w:rFonts w:ascii="Arial" w:hAnsi="Arial" w:cs="Arial"/>
          <w:sz w:val="24"/>
          <w:szCs w:val="24"/>
        </w:rPr>
        <w:t xml:space="preserve">the </w:t>
      </w:r>
      <w:r>
        <w:rPr>
          <w:rFonts w:ascii="Arial" w:hAnsi="Arial" w:cs="Arial"/>
          <w:sz w:val="24"/>
          <w:szCs w:val="24"/>
        </w:rPr>
        <w:t xml:space="preserve">compelling public interest for the Minister and </w:t>
      </w:r>
      <w:r w:rsidR="00913B0F">
        <w:rPr>
          <w:rFonts w:ascii="Arial" w:hAnsi="Arial" w:cs="Arial"/>
          <w:sz w:val="24"/>
          <w:szCs w:val="24"/>
        </w:rPr>
        <w:t xml:space="preserve">Mining </w:t>
      </w:r>
      <w:r>
        <w:rPr>
          <w:rFonts w:ascii="Arial" w:hAnsi="Arial" w:cs="Arial"/>
          <w:sz w:val="24"/>
          <w:szCs w:val="24"/>
        </w:rPr>
        <w:t xml:space="preserve">Commissioner to act with transparency on behalf of the </w:t>
      </w:r>
      <w:r w:rsidR="008F5849">
        <w:rPr>
          <w:rFonts w:ascii="Arial" w:hAnsi="Arial" w:cs="Arial"/>
          <w:sz w:val="24"/>
          <w:szCs w:val="24"/>
        </w:rPr>
        <w:t>S</w:t>
      </w:r>
      <w:r>
        <w:rPr>
          <w:rFonts w:ascii="Arial" w:hAnsi="Arial" w:cs="Arial"/>
          <w:sz w:val="24"/>
          <w:szCs w:val="24"/>
        </w:rPr>
        <w:t xml:space="preserve">tate in </w:t>
      </w:r>
      <w:r w:rsidR="000B14C8">
        <w:rPr>
          <w:rFonts w:ascii="Arial" w:hAnsi="Arial" w:cs="Arial"/>
          <w:sz w:val="24"/>
          <w:szCs w:val="24"/>
        </w:rPr>
        <w:t>according</w:t>
      </w:r>
      <w:r>
        <w:rPr>
          <w:rFonts w:ascii="Arial" w:hAnsi="Arial" w:cs="Arial"/>
          <w:sz w:val="24"/>
          <w:szCs w:val="24"/>
        </w:rPr>
        <w:t xml:space="preserve"> </w:t>
      </w:r>
      <w:r w:rsidR="008F5849">
        <w:rPr>
          <w:rFonts w:ascii="Arial" w:hAnsi="Arial" w:cs="Arial"/>
          <w:sz w:val="24"/>
          <w:szCs w:val="24"/>
        </w:rPr>
        <w:t xml:space="preserve">the valuable </w:t>
      </w:r>
      <w:r>
        <w:rPr>
          <w:rFonts w:ascii="Arial" w:hAnsi="Arial" w:cs="Arial"/>
          <w:sz w:val="24"/>
          <w:szCs w:val="24"/>
        </w:rPr>
        <w:t>rights to minerals.</w:t>
      </w:r>
    </w:p>
    <w:p w:rsidR="002D4773" w:rsidRDefault="002D4773" w:rsidP="002D4773">
      <w:pPr>
        <w:pStyle w:val="ListParagraph"/>
        <w:spacing w:line="480" w:lineRule="auto"/>
        <w:jc w:val="both"/>
        <w:rPr>
          <w:rFonts w:ascii="Arial" w:hAnsi="Arial" w:cs="Arial"/>
          <w:sz w:val="24"/>
          <w:szCs w:val="24"/>
        </w:rPr>
      </w:pPr>
    </w:p>
    <w:p w:rsidR="002D4773" w:rsidRPr="002D4773" w:rsidRDefault="002D4773" w:rsidP="002D4773">
      <w:pPr>
        <w:pStyle w:val="ListParagraph"/>
        <w:numPr>
          <w:ilvl w:val="0"/>
          <w:numId w:val="4"/>
        </w:numPr>
        <w:spacing w:line="480" w:lineRule="auto"/>
        <w:ind w:left="0" w:firstLine="0"/>
        <w:jc w:val="both"/>
        <w:rPr>
          <w:rFonts w:ascii="Arial" w:hAnsi="Arial" w:cs="Arial"/>
          <w:sz w:val="24"/>
          <w:szCs w:val="24"/>
        </w:rPr>
      </w:pPr>
      <w:r w:rsidRPr="002D4773">
        <w:rPr>
          <w:rFonts w:ascii="Arial" w:hAnsi="Arial" w:cs="Arial"/>
          <w:sz w:val="24"/>
          <w:szCs w:val="24"/>
        </w:rPr>
        <w:t xml:space="preserve">It would also not avail an aggrieved applicant for a mining licence (or the public interest) to seek a </w:t>
      </w:r>
      <w:r w:rsidRPr="0088335A">
        <w:rPr>
          <w:rFonts w:ascii="Arial" w:hAnsi="Arial" w:cs="Arial"/>
          <w:i/>
          <w:sz w:val="24"/>
          <w:szCs w:val="24"/>
        </w:rPr>
        <w:t>mandamus</w:t>
      </w:r>
      <w:r w:rsidRPr="002D4773">
        <w:rPr>
          <w:rFonts w:ascii="Arial" w:hAnsi="Arial" w:cs="Arial"/>
          <w:sz w:val="24"/>
          <w:szCs w:val="24"/>
        </w:rPr>
        <w:t xml:space="preserve"> against the repository of the power if an application had been granted out of sequence.</w:t>
      </w:r>
    </w:p>
    <w:p w:rsidR="008C6C19" w:rsidRDefault="008C6C19" w:rsidP="002D4773">
      <w:pPr>
        <w:pStyle w:val="ListParagraph"/>
        <w:spacing w:line="480" w:lineRule="auto"/>
        <w:jc w:val="both"/>
        <w:rPr>
          <w:rFonts w:ascii="Arial" w:hAnsi="Arial" w:cs="Arial"/>
          <w:sz w:val="24"/>
          <w:szCs w:val="24"/>
        </w:rPr>
      </w:pPr>
    </w:p>
    <w:p w:rsidR="008C6C19" w:rsidRDefault="008C6C19" w:rsidP="002D477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the use of the term ‘shall’ in s 125 takes its ordinary peremptory meaning, given the statutory context and legislative intention </w:t>
      </w:r>
      <w:r w:rsidR="002D4773">
        <w:rPr>
          <w:rFonts w:ascii="Arial" w:hAnsi="Arial" w:cs="Arial"/>
          <w:sz w:val="24"/>
          <w:szCs w:val="24"/>
        </w:rPr>
        <w:t>behind</w:t>
      </w:r>
      <w:r>
        <w:rPr>
          <w:rFonts w:ascii="Arial" w:hAnsi="Arial" w:cs="Arial"/>
          <w:sz w:val="24"/>
          <w:szCs w:val="24"/>
        </w:rPr>
        <w:t xml:space="preserve"> the provision. It further follows that conduct in conflict with it (by not following the consequence in considering applications) will result in invalidity. The conclusion reached by the High Court in this regard is beyond reproach.</w:t>
      </w:r>
    </w:p>
    <w:p w:rsidR="00C40FE2" w:rsidRDefault="00C40FE2" w:rsidP="00C40FE2">
      <w:pPr>
        <w:rPr>
          <w:rFonts w:ascii="Arial" w:hAnsi="Arial" w:cs="Arial"/>
          <w:sz w:val="24"/>
          <w:szCs w:val="24"/>
        </w:rPr>
      </w:pPr>
    </w:p>
    <w:p w:rsidR="00C40FE2" w:rsidRPr="00C40FE2" w:rsidRDefault="00C40FE2" w:rsidP="00C40FE2">
      <w:pPr>
        <w:rPr>
          <w:rFonts w:ascii="Arial" w:hAnsi="Arial" w:cs="Arial"/>
          <w:sz w:val="24"/>
          <w:szCs w:val="24"/>
          <w:u w:val="single"/>
        </w:rPr>
      </w:pPr>
      <w:r>
        <w:rPr>
          <w:rFonts w:ascii="Arial" w:hAnsi="Arial" w:cs="Arial"/>
          <w:sz w:val="24"/>
          <w:szCs w:val="24"/>
          <w:u w:val="single"/>
        </w:rPr>
        <w:t xml:space="preserve">Conclusion </w:t>
      </w:r>
    </w:p>
    <w:p w:rsidR="00C40FE2" w:rsidRDefault="00C40FE2"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the appeal is without merit and is to be dismissed. The respondents sought the costs of two instructed counsel in the appeal. The ambit of this appeal in my view justifies such an order.</w:t>
      </w:r>
    </w:p>
    <w:p w:rsidR="00470864" w:rsidRDefault="00470864" w:rsidP="00C40FE2">
      <w:pPr>
        <w:rPr>
          <w:rFonts w:ascii="Arial" w:hAnsi="Arial" w:cs="Arial"/>
          <w:sz w:val="24"/>
          <w:szCs w:val="24"/>
        </w:rPr>
      </w:pPr>
    </w:p>
    <w:p w:rsidR="00C40FE2" w:rsidRPr="00C40FE2" w:rsidRDefault="00C40FE2" w:rsidP="00C40FE2">
      <w:pPr>
        <w:rPr>
          <w:rFonts w:ascii="Arial" w:hAnsi="Arial" w:cs="Arial"/>
          <w:sz w:val="24"/>
          <w:szCs w:val="24"/>
          <w:u w:val="single"/>
        </w:rPr>
      </w:pPr>
      <w:r w:rsidRPr="00C40FE2">
        <w:rPr>
          <w:rFonts w:ascii="Arial" w:hAnsi="Arial" w:cs="Arial"/>
          <w:sz w:val="24"/>
          <w:szCs w:val="24"/>
          <w:u w:val="single"/>
        </w:rPr>
        <w:t>Order</w:t>
      </w:r>
    </w:p>
    <w:p w:rsidR="00470864" w:rsidRDefault="00C40FE2" w:rsidP="007F76A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384065" w:rsidRDefault="00384065" w:rsidP="00C40FE2">
      <w:pPr>
        <w:pStyle w:val="NoSpacing"/>
        <w:spacing w:line="480" w:lineRule="auto"/>
        <w:jc w:val="both"/>
        <w:rPr>
          <w:rFonts w:ascii="Arial" w:hAnsi="Arial" w:cs="Arial"/>
          <w:sz w:val="24"/>
          <w:szCs w:val="24"/>
        </w:rPr>
      </w:pPr>
    </w:p>
    <w:p w:rsidR="00C40FE2" w:rsidRDefault="00C40FE2" w:rsidP="00C40FE2">
      <w:pPr>
        <w:pStyle w:val="NoSpacing"/>
        <w:spacing w:line="480" w:lineRule="auto"/>
        <w:ind w:left="720"/>
        <w:jc w:val="both"/>
        <w:rPr>
          <w:rFonts w:ascii="Arial" w:hAnsi="Arial" w:cs="Arial"/>
          <w:sz w:val="24"/>
          <w:szCs w:val="24"/>
        </w:rPr>
      </w:pPr>
      <w:r>
        <w:rPr>
          <w:rFonts w:ascii="Arial" w:hAnsi="Arial" w:cs="Arial"/>
          <w:sz w:val="24"/>
          <w:szCs w:val="24"/>
        </w:rPr>
        <w:t>The appeal is dismissed with costs, to include the costs of one instructing and two instructed legal practitioners.</w:t>
      </w:r>
    </w:p>
    <w:p w:rsidR="00957589" w:rsidRDefault="00957589" w:rsidP="00BD55B9">
      <w:pPr>
        <w:pStyle w:val="ListParagraph"/>
        <w:spacing w:after="0"/>
        <w:rPr>
          <w:rFonts w:ascii="Arial" w:hAnsi="Arial" w:cs="Arial"/>
          <w:sz w:val="24"/>
          <w:szCs w:val="24"/>
        </w:rPr>
      </w:pPr>
    </w:p>
    <w:p w:rsidR="00030C69" w:rsidRDefault="00030C69" w:rsidP="008948B8">
      <w:pPr>
        <w:pStyle w:val="ListParagraph"/>
        <w:rPr>
          <w:rFonts w:ascii="Arial" w:hAnsi="Arial" w:cs="Arial"/>
          <w:sz w:val="24"/>
          <w:szCs w:val="24"/>
        </w:rPr>
      </w:pPr>
    </w:p>
    <w:p w:rsidR="002D4773" w:rsidRDefault="002D4773" w:rsidP="008948B8">
      <w:pPr>
        <w:pStyle w:val="ListParagraph"/>
        <w:rPr>
          <w:rFonts w:ascii="Arial" w:hAnsi="Arial" w:cs="Arial"/>
          <w:sz w:val="24"/>
          <w:szCs w:val="24"/>
        </w:rPr>
      </w:pPr>
    </w:p>
    <w:p w:rsidR="00030C69" w:rsidRDefault="00030C69" w:rsidP="00BD55B9">
      <w:pPr>
        <w:pStyle w:val="ListParagraph"/>
        <w:spacing w:after="0"/>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p>
    <w:p w:rsidR="001C2720"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SMUTS JA</w:t>
      </w:r>
    </w:p>
    <w:p w:rsidR="00207296" w:rsidRPr="0044790E" w:rsidRDefault="00207296" w:rsidP="0044790E">
      <w:pPr>
        <w:pStyle w:val="NoSpacing"/>
        <w:spacing w:line="360" w:lineRule="auto"/>
        <w:jc w:val="both"/>
        <w:rPr>
          <w:rFonts w:ascii="Arial" w:hAnsi="Arial" w:cs="Arial"/>
          <w:b/>
          <w:sz w:val="24"/>
          <w:szCs w:val="24"/>
        </w:rPr>
      </w:pPr>
    </w:p>
    <w:p w:rsidR="00305FE9" w:rsidRPr="0044790E" w:rsidRDefault="00305FE9" w:rsidP="0044790E">
      <w:pPr>
        <w:pStyle w:val="NoSpacing"/>
        <w:spacing w:line="360" w:lineRule="auto"/>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2E426A" w:rsidRPr="0044790E" w:rsidRDefault="00CE6ABC" w:rsidP="0044790E">
      <w:pPr>
        <w:pStyle w:val="NoSpacing"/>
        <w:spacing w:line="360" w:lineRule="auto"/>
        <w:rPr>
          <w:rFonts w:ascii="Arial" w:hAnsi="Arial" w:cs="Arial"/>
          <w:b/>
          <w:sz w:val="24"/>
          <w:szCs w:val="24"/>
        </w:rPr>
      </w:pPr>
      <w:r>
        <w:rPr>
          <w:rFonts w:ascii="Arial" w:hAnsi="Arial" w:cs="Arial"/>
          <w:b/>
          <w:sz w:val="24"/>
          <w:szCs w:val="24"/>
        </w:rPr>
        <w:t>DAMASEB DCJ</w:t>
      </w:r>
    </w:p>
    <w:p w:rsidR="002E426A" w:rsidRPr="0044790E" w:rsidRDefault="002E426A" w:rsidP="0044790E">
      <w:pPr>
        <w:pStyle w:val="NoSpacing"/>
        <w:spacing w:line="360" w:lineRule="auto"/>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r w:rsidRPr="0044790E">
        <w:rPr>
          <w:rFonts w:ascii="Arial" w:hAnsi="Arial" w:cs="Arial"/>
          <w:b/>
          <w:sz w:val="24"/>
          <w:szCs w:val="24"/>
        </w:rPr>
        <w:t>______________________</w:t>
      </w:r>
    </w:p>
    <w:p w:rsidR="002E426A" w:rsidRPr="001C25CA" w:rsidRDefault="00CE6ABC" w:rsidP="0044790E">
      <w:pPr>
        <w:pStyle w:val="NoSpacing"/>
        <w:spacing w:line="360" w:lineRule="auto"/>
        <w:jc w:val="both"/>
        <w:rPr>
          <w:rFonts w:ascii="Arial" w:hAnsi="Arial" w:cs="Arial"/>
          <w:sz w:val="24"/>
          <w:szCs w:val="24"/>
        </w:rPr>
      </w:pPr>
      <w:r>
        <w:rPr>
          <w:rFonts w:ascii="Arial" w:hAnsi="Arial" w:cs="Arial"/>
          <w:b/>
          <w:sz w:val="24"/>
          <w:szCs w:val="24"/>
        </w:rPr>
        <w:t>FRANK</w:t>
      </w:r>
      <w:r w:rsidR="0044790E" w:rsidRPr="0044790E">
        <w:rPr>
          <w:rFonts w:ascii="Arial" w:hAnsi="Arial" w:cs="Arial"/>
          <w:b/>
          <w:sz w:val="24"/>
          <w:szCs w:val="24"/>
        </w:rPr>
        <w:t xml:space="preserve"> </w:t>
      </w:r>
      <w:r>
        <w:rPr>
          <w:rFonts w:ascii="Arial" w:hAnsi="Arial" w:cs="Arial"/>
          <w:b/>
          <w:sz w:val="24"/>
          <w:szCs w:val="24"/>
        </w:rPr>
        <w:t>A</w:t>
      </w:r>
      <w:r w:rsidR="0044790E" w:rsidRPr="0044790E">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6E226C">
            <w:pPr>
              <w:ind w:left="-108" w:right="-146"/>
              <w:jc w:val="both"/>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6E226C">
            <w:pPr>
              <w:ind w:right="-146"/>
              <w:jc w:val="both"/>
              <w:rPr>
                <w:rFonts w:ascii="Arial" w:hAnsi="Arial" w:cs="Arial"/>
                <w:sz w:val="24"/>
                <w:szCs w:val="24"/>
              </w:rPr>
            </w:pPr>
          </w:p>
          <w:p w:rsidR="00721889" w:rsidRPr="001C25CA" w:rsidRDefault="00721889" w:rsidP="006E226C">
            <w:pPr>
              <w:ind w:left="-108" w:right="-146"/>
              <w:jc w:val="both"/>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6E226C">
            <w:pPr>
              <w:jc w:val="both"/>
              <w:rPr>
                <w:rFonts w:ascii="Arial" w:hAnsi="Arial" w:cs="Arial"/>
                <w:sz w:val="24"/>
                <w:szCs w:val="24"/>
              </w:rPr>
            </w:pPr>
          </w:p>
          <w:p w:rsidR="00721889" w:rsidRPr="001C25CA" w:rsidRDefault="00721889" w:rsidP="006E226C">
            <w:pPr>
              <w:jc w:val="both"/>
              <w:rPr>
                <w:rFonts w:ascii="Arial" w:hAnsi="Arial" w:cs="Arial"/>
                <w:sz w:val="24"/>
                <w:szCs w:val="24"/>
              </w:rPr>
            </w:pPr>
          </w:p>
          <w:p w:rsidR="00721889" w:rsidRPr="00013AB7" w:rsidRDefault="006E226C" w:rsidP="006E226C">
            <w:pPr>
              <w:jc w:val="both"/>
              <w:rPr>
                <w:rFonts w:ascii="Arial" w:hAnsi="Arial" w:cs="Arial"/>
                <w:sz w:val="24"/>
                <w:szCs w:val="24"/>
              </w:rPr>
            </w:pPr>
            <w:r>
              <w:rPr>
                <w:rFonts w:ascii="Arial" w:hAnsi="Arial" w:cs="Arial"/>
                <w:sz w:val="24"/>
                <w:szCs w:val="24"/>
              </w:rPr>
              <w:t>S Namandje</w:t>
            </w:r>
            <w:r w:rsidR="00013AB7" w:rsidRPr="00013AB7">
              <w:rPr>
                <w:rFonts w:ascii="Arial" w:hAnsi="Arial" w:cs="Arial"/>
                <w:sz w:val="24"/>
                <w:szCs w:val="24"/>
              </w:rPr>
              <w:t xml:space="preserve"> </w:t>
            </w:r>
            <w:r>
              <w:rPr>
                <w:rFonts w:ascii="Arial" w:hAnsi="Arial" w:cs="Arial"/>
                <w:sz w:val="24"/>
                <w:szCs w:val="24"/>
              </w:rPr>
              <w:t>(</w:t>
            </w:r>
            <w:r w:rsidR="00013AB7" w:rsidRPr="00013AB7">
              <w:rPr>
                <w:rFonts w:ascii="Arial" w:hAnsi="Arial" w:cs="Arial"/>
                <w:sz w:val="24"/>
                <w:szCs w:val="24"/>
              </w:rPr>
              <w:t>with</w:t>
            </w:r>
            <w:r>
              <w:rPr>
                <w:rFonts w:ascii="Arial" w:hAnsi="Arial" w:cs="Arial"/>
                <w:sz w:val="24"/>
                <w:szCs w:val="24"/>
              </w:rPr>
              <w:t xml:space="preserve"> him</w:t>
            </w:r>
            <w:r w:rsidR="00013AB7" w:rsidRPr="00013AB7">
              <w:rPr>
                <w:rFonts w:ascii="Arial" w:hAnsi="Arial" w:cs="Arial"/>
                <w:sz w:val="24"/>
                <w:szCs w:val="24"/>
              </w:rPr>
              <w:t xml:space="preserve"> M Ntinda</w:t>
            </w:r>
            <w:r>
              <w:rPr>
                <w:rFonts w:ascii="Arial" w:hAnsi="Arial" w:cs="Arial"/>
                <w:sz w:val="24"/>
                <w:szCs w:val="24"/>
              </w:rPr>
              <w:t>)</w:t>
            </w:r>
          </w:p>
          <w:p w:rsidR="00644878" w:rsidRPr="001C25CA" w:rsidRDefault="000D4BDB" w:rsidP="006E226C">
            <w:pPr>
              <w:jc w:val="both"/>
              <w:rPr>
                <w:rFonts w:ascii="Arial" w:hAnsi="Arial" w:cs="Arial"/>
                <w:sz w:val="24"/>
                <w:szCs w:val="24"/>
              </w:rPr>
            </w:pPr>
            <w:r>
              <w:rPr>
                <w:rFonts w:ascii="Arial" w:hAnsi="Arial" w:cs="Arial"/>
                <w:sz w:val="24"/>
                <w:szCs w:val="24"/>
              </w:rPr>
              <w:t>Of</w:t>
            </w:r>
            <w:r w:rsidR="00860DA9" w:rsidRPr="001C25CA">
              <w:rPr>
                <w:rFonts w:ascii="Arial" w:hAnsi="Arial" w:cs="Arial"/>
                <w:sz w:val="24"/>
                <w:szCs w:val="24"/>
              </w:rPr>
              <w:t xml:space="preserve"> </w:t>
            </w:r>
            <w:r w:rsidR="00013AB7" w:rsidRPr="00013AB7">
              <w:rPr>
                <w:rFonts w:ascii="Arial" w:hAnsi="Arial" w:cs="Arial"/>
                <w:sz w:val="24"/>
                <w:szCs w:val="24"/>
              </w:rPr>
              <w:t>Sisa Namandje &amp; Co Inc</w:t>
            </w:r>
            <w:r w:rsidR="0090388B" w:rsidRPr="00013AB7">
              <w:rPr>
                <w:rFonts w:ascii="Arial" w:hAnsi="Arial" w:cs="Arial"/>
                <w:sz w:val="24"/>
                <w:szCs w:val="24"/>
              </w:rPr>
              <w:t>, Windhoek</w:t>
            </w:r>
          </w:p>
        </w:tc>
      </w:tr>
      <w:tr w:rsidR="00721889" w:rsidRPr="001C25CA" w:rsidTr="005C0BAB">
        <w:tc>
          <w:tcPr>
            <w:tcW w:w="4386" w:type="dxa"/>
            <w:shd w:val="clear" w:color="auto" w:fill="auto"/>
          </w:tcPr>
          <w:p w:rsidR="00721889" w:rsidRPr="001C25CA" w:rsidRDefault="00721889" w:rsidP="006E226C">
            <w:pPr>
              <w:jc w:val="both"/>
              <w:rPr>
                <w:rFonts w:ascii="Arial" w:hAnsi="Arial" w:cs="Arial"/>
                <w:sz w:val="24"/>
                <w:szCs w:val="24"/>
              </w:rPr>
            </w:pPr>
          </w:p>
          <w:p w:rsidR="00721889" w:rsidRPr="001C25CA" w:rsidRDefault="00721889" w:rsidP="006E226C">
            <w:pPr>
              <w:ind w:left="-108"/>
              <w:jc w:val="both"/>
              <w:rPr>
                <w:rFonts w:ascii="Arial" w:hAnsi="Arial" w:cs="Arial"/>
                <w:sz w:val="24"/>
                <w:szCs w:val="24"/>
              </w:rPr>
            </w:pPr>
            <w:r w:rsidRPr="001C25CA">
              <w:rPr>
                <w:rFonts w:ascii="Arial" w:hAnsi="Arial" w:cs="Arial"/>
                <w:sz w:val="24"/>
                <w:szCs w:val="24"/>
              </w:rPr>
              <w:t>RESPONDENT</w:t>
            </w:r>
            <w:r w:rsidR="0044790E">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6E226C">
            <w:pPr>
              <w:jc w:val="both"/>
              <w:rPr>
                <w:rFonts w:ascii="Arial" w:hAnsi="Arial" w:cs="Arial"/>
                <w:sz w:val="24"/>
                <w:szCs w:val="24"/>
              </w:rPr>
            </w:pPr>
          </w:p>
          <w:p w:rsidR="008A6323" w:rsidRPr="00013AB7" w:rsidRDefault="00013AB7" w:rsidP="006E226C">
            <w:pPr>
              <w:jc w:val="both"/>
              <w:rPr>
                <w:rFonts w:ascii="Arial" w:hAnsi="Arial" w:cs="Arial"/>
                <w:sz w:val="24"/>
                <w:szCs w:val="24"/>
              </w:rPr>
            </w:pPr>
            <w:r>
              <w:rPr>
                <w:rFonts w:ascii="Arial" w:hAnsi="Arial" w:cs="Arial"/>
                <w:sz w:val="24"/>
                <w:szCs w:val="24"/>
              </w:rPr>
              <w:t>R Heathcote</w:t>
            </w:r>
            <w:r w:rsidR="006E226C">
              <w:rPr>
                <w:rFonts w:ascii="Arial" w:hAnsi="Arial" w:cs="Arial"/>
                <w:sz w:val="24"/>
                <w:szCs w:val="24"/>
              </w:rPr>
              <w:t xml:space="preserve"> (</w:t>
            </w:r>
            <w:r>
              <w:rPr>
                <w:rFonts w:ascii="Arial" w:hAnsi="Arial" w:cs="Arial"/>
                <w:sz w:val="24"/>
                <w:szCs w:val="24"/>
              </w:rPr>
              <w:t>with</w:t>
            </w:r>
            <w:r w:rsidR="006E226C">
              <w:rPr>
                <w:rFonts w:ascii="Arial" w:hAnsi="Arial" w:cs="Arial"/>
                <w:sz w:val="24"/>
                <w:szCs w:val="24"/>
              </w:rPr>
              <w:t xml:space="preserve"> him R Maasdorp)</w:t>
            </w:r>
          </w:p>
          <w:p w:rsidR="00721889" w:rsidRPr="001C25CA" w:rsidRDefault="008A6323" w:rsidP="006E226C">
            <w:pPr>
              <w:jc w:val="both"/>
              <w:rPr>
                <w:rFonts w:ascii="Arial" w:hAnsi="Arial" w:cs="Arial"/>
                <w:sz w:val="24"/>
                <w:szCs w:val="24"/>
              </w:rPr>
            </w:pPr>
            <w:r>
              <w:rPr>
                <w:rFonts w:ascii="Arial" w:hAnsi="Arial" w:cs="Arial"/>
                <w:sz w:val="24"/>
                <w:szCs w:val="24"/>
              </w:rPr>
              <w:t xml:space="preserve">Instructed by </w:t>
            </w:r>
            <w:r w:rsidR="00013AB7" w:rsidRPr="00013AB7">
              <w:rPr>
                <w:rFonts w:ascii="Arial" w:hAnsi="Arial" w:cs="Arial"/>
                <w:sz w:val="24"/>
                <w:szCs w:val="24"/>
              </w:rPr>
              <w:t>Koep &amp; Partners</w:t>
            </w:r>
            <w:r w:rsidR="0090388B" w:rsidRPr="00013AB7">
              <w:rPr>
                <w:rFonts w:ascii="Arial" w:hAnsi="Arial" w:cs="Arial"/>
                <w:sz w:val="24"/>
                <w:szCs w:val="24"/>
              </w:rPr>
              <w:t>, Windhoek</w:t>
            </w:r>
          </w:p>
        </w:tc>
      </w:tr>
    </w:tbl>
    <w:p w:rsidR="00721889" w:rsidRPr="001C25CA" w:rsidRDefault="00721889" w:rsidP="006E226C">
      <w:pPr>
        <w:pStyle w:val="NoSpacing"/>
        <w:jc w:val="both"/>
        <w:rPr>
          <w:rFonts w:ascii="Arial" w:hAnsi="Arial" w:cs="Arial"/>
          <w:sz w:val="24"/>
          <w:szCs w:val="24"/>
        </w:rPr>
      </w:pPr>
    </w:p>
    <w:sectPr w:rsidR="00721889" w:rsidRPr="001C25CA" w:rsidSect="006B428A">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1F" w:rsidRDefault="004B711F" w:rsidP="00B5013F">
      <w:pPr>
        <w:spacing w:after="0" w:line="240" w:lineRule="auto"/>
      </w:pPr>
      <w:r>
        <w:separator/>
      </w:r>
    </w:p>
  </w:endnote>
  <w:endnote w:type="continuationSeparator" w:id="0">
    <w:p w:rsidR="004B711F" w:rsidRDefault="004B711F"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1F" w:rsidRDefault="004B711F" w:rsidP="00B5013F">
      <w:pPr>
        <w:spacing w:after="0" w:line="240" w:lineRule="auto"/>
      </w:pPr>
      <w:r>
        <w:separator/>
      </w:r>
    </w:p>
  </w:footnote>
  <w:footnote w:type="continuationSeparator" w:id="0">
    <w:p w:rsidR="004B711F" w:rsidRDefault="004B711F" w:rsidP="00B5013F">
      <w:pPr>
        <w:spacing w:after="0" w:line="240" w:lineRule="auto"/>
      </w:pPr>
      <w:r>
        <w:continuationSeparator/>
      </w:r>
    </w:p>
  </w:footnote>
  <w:footnote w:id="1">
    <w:p w:rsidR="00980095" w:rsidRPr="002D21C7" w:rsidRDefault="00980095"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00120F58" w:rsidRPr="002D21C7">
        <w:rPr>
          <w:rFonts w:ascii="Arial" w:hAnsi="Arial" w:cs="Arial"/>
        </w:rPr>
        <w:t>Protected u</w:t>
      </w:r>
      <w:r w:rsidR="002E0648">
        <w:rPr>
          <w:rFonts w:ascii="Arial" w:hAnsi="Arial" w:cs="Arial"/>
        </w:rPr>
        <w:t xml:space="preserve">nder Art 12 of the Namibian Constitution. </w:t>
      </w:r>
    </w:p>
  </w:footnote>
  <w:footnote w:id="2">
    <w:p w:rsidR="00120F58" w:rsidRPr="002D21C7" w:rsidRDefault="00120F58"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009B6235">
        <w:rPr>
          <w:rFonts w:ascii="Arial" w:hAnsi="Arial" w:cs="Arial"/>
          <w:i/>
        </w:rPr>
        <w:t>Torbitt</w:t>
      </w:r>
      <w:r w:rsidR="002E0648">
        <w:rPr>
          <w:rFonts w:ascii="Arial" w:hAnsi="Arial" w:cs="Arial"/>
          <w:i/>
        </w:rPr>
        <w:t xml:space="preserve"> and others</w:t>
      </w:r>
      <w:r w:rsidR="009B6235">
        <w:rPr>
          <w:rFonts w:ascii="Arial" w:hAnsi="Arial" w:cs="Arial"/>
          <w:i/>
        </w:rPr>
        <w:t xml:space="preserve"> v International University of Management </w:t>
      </w:r>
      <w:r w:rsidRPr="002D21C7">
        <w:rPr>
          <w:rFonts w:ascii="Arial" w:hAnsi="Arial" w:cs="Arial"/>
        </w:rPr>
        <w:t>2017 (2)</w:t>
      </w:r>
      <w:r w:rsidR="009B6235">
        <w:rPr>
          <w:rFonts w:ascii="Arial" w:hAnsi="Arial" w:cs="Arial"/>
        </w:rPr>
        <w:t xml:space="preserve"> NR 323 (SC) paras 36 and 37.</w:t>
      </w:r>
    </w:p>
  </w:footnote>
  <w:footnote w:id="3">
    <w:p w:rsidR="00656CD1" w:rsidRPr="002D21C7" w:rsidRDefault="00656CD1"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Pr="002D21C7">
        <w:rPr>
          <w:rFonts w:ascii="Arial" w:hAnsi="Arial" w:cs="Arial"/>
          <w:i/>
        </w:rPr>
        <w:t xml:space="preserve">Aussenkehr Farms (Pty) </w:t>
      </w:r>
      <w:r w:rsidR="00181928">
        <w:rPr>
          <w:rFonts w:ascii="Arial" w:hAnsi="Arial" w:cs="Arial"/>
          <w:i/>
        </w:rPr>
        <w:t>L</w:t>
      </w:r>
      <w:r w:rsidRPr="002D21C7">
        <w:rPr>
          <w:rFonts w:ascii="Arial" w:hAnsi="Arial" w:cs="Arial"/>
          <w:i/>
        </w:rPr>
        <w:t xml:space="preserve">td v Namibia Development Corporation Ltd </w:t>
      </w:r>
      <w:r w:rsidRPr="002D21C7">
        <w:rPr>
          <w:rFonts w:ascii="Arial" w:hAnsi="Arial" w:cs="Arial"/>
        </w:rPr>
        <w:t>2012 (2) NR 6</w:t>
      </w:r>
      <w:r w:rsidR="00A36BDE">
        <w:rPr>
          <w:rFonts w:ascii="Arial" w:hAnsi="Arial" w:cs="Arial"/>
        </w:rPr>
        <w:t>71</w:t>
      </w:r>
      <w:r w:rsidRPr="002D21C7">
        <w:rPr>
          <w:rFonts w:ascii="Arial" w:hAnsi="Arial" w:cs="Arial"/>
        </w:rPr>
        <w:t xml:space="preserve"> (SC) paras 110-111.</w:t>
      </w:r>
    </w:p>
  </w:footnote>
  <w:footnote w:id="4">
    <w:p w:rsidR="006A660B" w:rsidRPr="002D21C7" w:rsidRDefault="006A660B"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Pr="002D21C7">
        <w:rPr>
          <w:rFonts w:ascii="Arial" w:hAnsi="Arial" w:cs="Arial"/>
          <w:i/>
        </w:rPr>
        <w:t>Rally for Democracy</w:t>
      </w:r>
      <w:r w:rsidR="00A36BDE">
        <w:rPr>
          <w:rFonts w:ascii="Arial" w:hAnsi="Arial" w:cs="Arial"/>
          <w:i/>
        </w:rPr>
        <w:t xml:space="preserve"> and Progress &amp; others</w:t>
      </w:r>
      <w:r w:rsidRPr="002D21C7">
        <w:rPr>
          <w:rFonts w:ascii="Arial" w:hAnsi="Arial" w:cs="Arial"/>
          <w:i/>
        </w:rPr>
        <w:t xml:space="preserve"> v Electoral Commission </w:t>
      </w:r>
      <w:r w:rsidR="002E0648">
        <w:rPr>
          <w:rFonts w:ascii="Arial" w:hAnsi="Arial" w:cs="Arial"/>
          <w:i/>
        </w:rPr>
        <w:t xml:space="preserve">of </w:t>
      </w:r>
      <w:r w:rsidRPr="002D21C7">
        <w:rPr>
          <w:rFonts w:ascii="Arial" w:hAnsi="Arial" w:cs="Arial"/>
          <w:i/>
        </w:rPr>
        <w:t>Namibia</w:t>
      </w:r>
      <w:r w:rsidR="00A36BDE">
        <w:rPr>
          <w:rFonts w:ascii="Arial" w:hAnsi="Arial" w:cs="Arial"/>
          <w:i/>
        </w:rPr>
        <w:t xml:space="preserve"> &amp; others </w:t>
      </w:r>
      <w:r w:rsidRPr="002D21C7">
        <w:rPr>
          <w:rFonts w:ascii="Arial" w:hAnsi="Arial" w:cs="Arial"/>
        </w:rPr>
        <w:t>2010 (2) NR 487 (SC) para 41</w:t>
      </w:r>
      <w:r w:rsidR="00A36BDE">
        <w:rPr>
          <w:rFonts w:ascii="Arial" w:hAnsi="Arial" w:cs="Arial"/>
        </w:rPr>
        <w:t xml:space="preserve"> (</w:t>
      </w:r>
      <w:r w:rsidR="00A36BDE" w:rsidRPr="00A36BDE">
        <w:rPr>
          <w:rFonts w:ascii="Arial" w:hAnsi="Arial" w:cs="Arial"/>
          <w:i/>
        </w:rPr>
        <w:t>RDP1</w:t>
      </w:r>
      <w:r w:rsidR="00A36BDE">
        <w:rPr>
          <w:rFonts w:ascii="Arial" w:hAnsi="Arial" w:cs="Arial"/>
        </w:rPr>
        <w:t>).</w:t>
      </w:r>
    </w:p>
  </w:footnote>
  <w:footnote w:id="5">
    <w:p w:rsidR="00962918" w:rsidRPr="002D21C7" w:rsidRDefault="00962918"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00A36BDE" w:rsidRPr="002D21C7">
        <w:rPr>
          <w:rFonts w:ascii="Arial" w:hAnsi="Arial" w:cs="Arial"/>
          <w:i/>
        </w:rPr>
        <w:t>Rally for Democracy</w:t>
      </w:r>
      <w:r w:rsidR="00A36BDE">
        <w:rPr>
          <w:rFonts w:ascii="Arial" w:hAnsi="Arial" w:cs="Arial"/>
          <w:i/>
        </w:rPr>
        <w:t xml:space="preserve"> and Progress &amp; others</w:t>
      </w:r>
      <w:r w:rsidR="00A36BDE" w:rsidRPr="002D21C7">
        <w:rPr>
          <w:rFonts w:ascii="Arial" w:hAnsi="Arial" w:cs="Arial"/>
          <w:i/>
        </w:rPr>
        <w:t xml:space="preserve"> v Electoral Commission for Namibia</w:t>
      </w:r>
      <w:r w:rsidR="00A36BDE">
        <w:rPr>
          <w:rFonts w:ascii="Arial" w:hAnsi="Arial" w:cs="Arial"/>
          <w:i/>
        </w:rPr>
        <w:t xml:space="preserve"> &amp; others </w:t>
      </w:r>
      <w:r w:rsidR="00A36BDE">
        <w:rPr>
          <w:rFonts w:ascii="Arial" w:hAnsi="Arial" w:cs="Arial"/>
        </w:rPr>
        <w:t>2013 (3) NR 664 (SC) para 106 (</w:t>
      </w:r>
      <w:r w:rsidR="00A36BDE" w:rsidRPr="00A36BDE">
        <w:rPr>
          <w:rFonts w:ascii="Arial" w:hAnsi="Arial" w:cs="Arial"/>
          <w:i/>
        </w:rPr>
        <w:t>RDP2</w:t>
      </w:r>
      <w:r w:rsidR="00A36BDE">
        <w:rPr>
          <w:rFonts w:ascii="Arial" w:hAnsi="Arial" w:cs="Arial"/>
        </w:rPr>
        <w:t>).</w:t>
      </w:r>
    </w:p>
  </w:footnote>
  <w:footnote w:id="6">
    <w:p w:rsidR="00962918" w:rsidRPr="002D21C7" w:rsidRDefault="00962918"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Pr="002D21C7">
        <w:rPr>
          <w:rFonts w:ascii="Arial" w:hAnsi="Arial" w:cs="Arial"/>
          <w:i/>
        </w:rPr>
        <w:t>RDP</w:t>
      </w:r>
      <w:r w:rsidR="00A36BDE">
        <w:rPr>
          <w:rFonts w:ascii="Arial" w:hAnsi="Arial" w:cs="Arial"/>
          <w:i/>
        </w:rPr>
        <w:t>2</w:t>
      </w:r>
      <w:r w:rsidRPr="002D21C7">
        <w:rPr>
          <w:rFonts w:ascii="Arial" w:hAnsi="Arial" w:cs="Arial"/>
        </w:rPr>
        <w:t xml:space="preserve"> para 106 and the authorities collected in footnote 104.</w:t>
      </w:r>
    </w:p>
  </w:footnote>
  <w:footnote w:id="7">
    <w:p w:rsidR="0037609A" w:rsidRPr="002D21C7" w:rsidRDefault="0037609A"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0088335A">
        <w:rPr>
          <w:rFonts w:ascii="Arial" w:hAnsi="Arial" w:cs="Arial"/>
          <w:i/>
        </w:rPr>
        <w:t xml:space="preserve">Total Namibia (Pty) Ltd v OBM Engineering and Petroleum Distributors CC </w:t>
      </w:r>
      <w:r w:rsidRPr="002D21C7">
        <w:rPr>
          <w:rFonts w:ascii="Arial" w:hAnsi="Arial" w:cs="Arial"/>
        </w:rPr>
        <w:t>2015 (3) NR 733 (SC) paras 18-19.</w:t>
      </w:r>
    </w:p>
  </w:footnote>
  <w:footnote w:id="8">
    <w:p w:rsidR="0037609A" w:rsidRPr="002D21C7" w:rsidRDefault="0037609A"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Pr="002D21C7">
        <w:rPr>
          <w:rFonts w:ascii="Arial" w:hAnsi="Arial" w:cs="Arial"/>
          <w:i/>
        </w:rPr>
        <w:t>Namibia</w:t>
      </w:r>
      <w:r w:rsidR="002E0648">
        <w:rPr>
          <w:rFonts w:ascii="Arial" w:hAnsi="Arial" w:cs="Arial"/>
          <w:i/>
        </w:rPr>
        <w:t>n</w:t>
      </w:r>
      <w:r w:rsidRPr="002D21C7">
        <w:rPr>
          <w:rFonts w:ascii="Arial" w:hAnsi="Arial" w:cs="Arial"/>
          <w:i/>
        </w:rPr>
        <w:t xml:space="preserve"> Association of Medical Aid Funds</w:t>
      </w:r>
      <w:r w:rsidR="002E0648">
        <w:rPr>
          <w:rFonts w:ascii="Arial" w:hAnsi="Arial" w:cs="Arial"/>
          <w:i/>
        </w:rPr>
        <w:t xml:space="preserve"> &amp; others</w:t>
      </w:r>
      <w:r w:rsidRPr="002D21C7">
        <w:rPr>
          <w:rFonts w:ascii="Arial" w:hAnsi="Arial" w:cs="Arial"/>
          <w:i/>
        </w:rPr>
        <w:t xml:space="preserve"> v </w:t>
      </w:r>
      <w:r w:rsidR="002E0648">
        <w:rPr>
          <w:rFonts w:ascii="Arial" w:hAnsi="Arial" w:cs="Arial"/>
          <w:i/>
        </w:rPr>
        <w:t xml:space="preserve">Namibia </w:t>
      </w:r>
      <w:r w:rsidRPr="002D21C7">
        <w:rPr>
          <w:rFonts w:ascii="Arial" w:hAnsi="Arial" w:cs="Arial"/>
          <w:i/>
        </w:rPr>
        <w:t>Competition Commission</w:t>
      </w:r>
      <w:r w:rsidR="002E0648">
        <w:rPr>
          <w:rFonts w:ascii="Arial" w:hAnsi="Arial" w:cs="Arial"/>
          <w:i/>
        </w:rPr>
        <w:t xml:space="preserve"> &amp; others</w:t>
      </w:r>
      <w:r w:rsidRPr="002D21C7">
        <w:rPr>
          <w:rFonts w:ascii="Arial" w:hAnsi="Arial" w:cs="Arial"/>
        </w:rPr>
        <w:t xml:space="preserve"> 2017 (3) NR 853 (SC) para 41.</w:t>
      </w:r>
    </w:p>
  </w:footnote>
  <w:footnote w:id="9">
    <w:p w:rsidR="0037609A" w:rsidRPr="002D21C7" w:rsidRDefault="0037609A"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Pr="002D21C7">
        <w:rPr>
          <w:rFonts w:ascii="Arial" w:hAnsi="Arial" w:cs="Arial"/>
          <w:i/>
        </w:rPr>
        <w:t xml:space="preserve">Black Range Mining (Pty) Ltd v Minister of Mines and Energy </w:t>
      </w:r>
      <w:r w:rsidR="0088335A">
        <w:rPr>
          <w:rFonts w:ascii="Arial" w:hAnsi="Arial" w:cs="Arial"/>
          <w:i/>
        </w:rPr>
        <w:t>&amp;</w:t>
      </w:r>
      <w:r w:rsidRPr="002D21C7">
        <w:rPr>
          <w:rFonts w:ascii="Arial" w:hAnsi="Arial" w:cs="Arial"/>
          <w:i/>
        </w:rPr>
        <w:t xml:space="preserve"> others NNO</w:t>
      </w:r>
      <w:r w:rsidRPr="002D21C7">
        <w:rPr>
          <w:rFonts w:ascii="Arial" w:hAnsi="Arial" w:cs="Arial"/>
        </w:rPr>
        <w:t xml:space="preserve"> 2014 (2) NR 320 (SC) para 45.</w:t>
      </w:r>
    </w:p>
  </w:footnote>
  <w:footnote w:id="10">
    <w:p w:rsidR="0017115B" w:rsidRPr="002D21C7" w:rsidRDefault="0017115B"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w:t>
      </w:r>
      <w:r w:rsidRPr="002D21C7">
        <w:rPr>
          <w:rFonts w:ascii="Arial" w:hAnsi="Arial" w:cs="Arial"/>
          <w:i/>
        </w:rPr>
        <w:t>President of the Republic of Namibia &amp; others v Anhui Foreign Exchange Construction Group Corporation Ltd &amp; another</w:t>
      </w:r>
      <w:r w:rsidRPr="002D21C7">
        <w:rPr>
          <w:rFonts w:ascii="Arial" w:hAnsi="Arial" w:cs="Arial"/>
        </w:rPr>
        <w:t xml:space="preserve"> 2017 (</w:t>
      </w:r>
      <w:r w:rsidR="0088335A">
        <w:rPr>
          <w:rFonts w:ascii="Arial" w:hAnsi="Arial" w:cs="Arial"/>
        </w:rPr>
        <w:t>2</w:t>
      </w:r>
      <w:r w:rsidRPr="002D21C7">
        <w:rPr>
          <w:rFonts w:ascii="Arial" w:hAnsi="Arial" w:cs="Arial"/>
        </w:rPr>
        <w:t>) NR 340 (SC) para 69.</w:t>
      </w:r>
      <w:r w:rsidR="001C1FD2" w:rsidRPr="002D21C7">
        <w:rPr>
          <w:rFonts w:ascii="Arial" w:hAnsi="Arial" w:cs="Arial"/>
        </w:rPr>
        <w:t xml:space="preserve"> See generally the sentiments expressed with regard to the need for transparency and accountability raised in the context of procurement which apply with equal if not greater force in the allocation of rights to natural resources. </w:t>
      </w:r>
      <w:r w:rsidR="001C1FD2" w:rsidRPr="002D21C7">
        <w:rPr>
          <w:rFonts w:ascii="Arial" w:hAnsi="Arial" w:cs="Arial"/>
          <w:i/>
        </w:rPr>
        <w:t xml:space="preserve">Pamo Trading Enterprises CC </w:t>
      </w:r>
      <w:r w:rsidR="0088335A">
        <w:rPr>
          <w:rFonts w:ascii="Arial" w:hAnsi="Arial" w:cs="Arial"/>
          <w:i/>
        </w:rPr>
        <w:t xml:space="preserve">&amp; another </w:t>
      </w:r>
      <w:r w:rsidR="001C1FD2" w:rsidRPr="002D21C7">
        <w:rPr>
          <w:rFonts w:ascii="Arial" w:hAnsi="Arial" w:cs="Arial"/>
          <w:i/>
        </w:rPr>
        <w:t xml:space="preserve">v Chairperson of the Tender Board &amp; others </w:t>
      </w:r>
      <w:r w:rsidR="001C1FD2" w:rsidRPr="002D21C7">
        <w:rPr>
          <w:rFonts w:ascii="Arial" w:hAnsi="Arial" w:cs="Arial"/>
        </w:rPr>
        <w:t xml:space="preserve">2019 (3) NR 834 (SC) paras 29-32. See also </w:t>
      </w:r>
      <w:r w:rsidR="001C1FD2" w:rsidRPr="002D21C7">
        <w:rPr>
          <w:rFonts w:ascii="Arial" w:hAnsi="Arial" w:cs="Arial"/>
          <w:i/>
        </w:rPr>
        <w:t xml:space="preserve">Allpay Consolidated Investment Holdings (Pty) Ltd &amp; others v Chief Executive Officer, </w:t>
      </w:r>
      <w:r w:rsidR="0088335A">
        <w:rPr>
          <w:rFonts w:ascii="Arial" w:hAnsi="Arial" w:cs="Arial"/>
          <w:i/>
        </w:rPr>
        <w:t>South Africa</w:t>
      </w:r>
      <w:r w:rsidR="002E0648">
        <w:rPr>
          <w:rFonts w:ascii="Arial" w:hAnsi="Arial" w:cs="Arial"/>
          <w:i/>
        </w:rPr>
        <w:t>n</w:t>
      </w:r>
      <w:r w:rsidR="0088335A">
        <w:rPr>
          <w:rFonts w:ascii="Arial" w:hAnsi="Arial" w:cs="Arial"/>
          <w:i/>
        </w:rPr>
        <w:t xml:space="preserve"> </w:t>
      </w:r>
      <w:r w:rsidR="001C1FD2" w:rsidRPr="002D21C7">
        <w:rPr>
          <w:rFonts w:ascii="Arial" w:hAnsi="Arial" w:cs="Arial"/>
          <w:i/>
        </w:rPr>
        <w:t xml:space="preserve">Social Security Agency &amp; others </w:t>
      </w:r>
      <w:r w:rsidR="001C1FD2" w:rsidRPr="002D21C7">
        <w:rPr>
          <w:rFonts w:ascii="Arial" w:hAnsi="Arial" w:cs="Arial"/>
        </w:rPr>
        <w:t>2014 (4) SA 179 (CC) para 71.</w:t>
      </w:r>
    </w:p>
  </w:footnote>
  <w:footnote w:id="11">
    <w:p w:rsidR="000F4E2E" w:rsidRPr="002D21C7" w:rsidRDefault="000F4E2E"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11 of 2007.</w:t>
      </w:r>
    </w:p>
  </w:footnote>
  <w:footnote w:id="12">
    <w:p w:rsidR="000F4E2E" w:rsidRPr="002D21C7" w:rsidRDefault="000F4E2E"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In s 86(18).</w:t>
      </w:r>
    </w:p>
  </w:footnote>
  <w:footnote w:id="13">
    <w:p w:rsidR="00A12E19" w:rsidRPr="002D21C7" w:rsidRDefault="00A12E19" w:rsidP="002D21C7">
      <w:pPr>
        <w:pStyle w:val="FootnoteText"/>
        <w:jc w:val="both"/>
        <w:rPr>
          <w:rFonts w:ascii="Arial" w:hAnsi="Arial" w:cs="Arial"/>
          <w:i/>
        </w:rPr>
      </w:pPr>
      <w:r w:rsidRPr="002D21C7">
        <w:rPr>
          <w:rStyle w:val="FootnoteReference"/>
          <w:rFonts w:ascii="Arial" w:hAnsi="Arial" w:cs="Arial"/>
        </w:rPr>
        <w:footnoteRef/>
      </w:r>
      <w:r w:rsidRPr="002D21C7">
        <w:rPr>
          <w:rFonts w:ascii="Arial" w:hAnsi="Arial" w:cs="Arial"/>
        </w:rPr>
        <w:t xml:space="preserve"> </w:t>
      </w:r>
      <w:r w:rsidRPr="002D21C7">
        <w:rPr>
          <w:rFonts w:ascii="Arial" w:hAnsi="Arial" w:cs="Arial"/>
          <w:i/>
        </w:rPr>
        <w:t xml:space="preserve">Id </w:t>
      </w:r>
      <w:r w:rsidRPr="002D21C7">
        <w:rPr>
          <w:rFonts w:ascii="Arial" w:hAnsi="Arial" w:cs="Arial"/>
        </w:rPr>
        <w:t>para 40</w:t>
      </w:r>
      <w:r w:rsidRPr="002D21C7">
        <w:rPr>
          <w:rFonts w:ascii="Arial" w:hAnsi="Arial" w:cs="Arial"/>
          <w:i/>
        </w:rPr>
        <w:t>.</w:t>
      </w:r>
    </w:p>
  </w:footnote>
  <w:footnote w:id="14">
    <w:p w:rsidR="00A12E19" w:rsidRPr="002D21C7" w:rsidRDefault="00A12E19" w:rsidP="002D21C7">
      <w:pPr>
        <w:pStyle w:val="FootnoteText"/>
        <w:jc w:val="both"/>
        <w:rPr>
          <w:rFonts w:ascii="Arial" w:hAnsi="Arial" w:cs="Arial"/>
        </w:rPr>
      </w:pPr>
      <w:r w:rsidRPr="002D21C7">
        <w:rPr>
          <w:rStyle w:val="FootnoteReference"/>
          <w:rFonts w:ascii="Arial" w:hAnsi="Arial" w:cs="Arial"/>
        </w:rPr>
        <w:footnoteRef/>
      </w:r>
      <w:r w:rsidRPr="002D21C7">
        <w:rPr>
          <w:rFonts w:ascii="Arial" w:hAnsi="Arial" w:cs="Arial"/>
        </w:rPr>
        <w:t xml:space="preserve"> See generally </w:t>
      </w:r>
      <w:r w:rsidRPr="002D21C7">
        <w:rPr>
          <w:rFonts w:ascii="Arial" w:hAnsi="Arial" w:cs="Arial"/>
          <w:i/>
        </w:rPr>
        <w:t xml:space="preserve">Claud Bosch Architects CC v Auas Business Enterprises Number 123 (Pty) Ltd </w:t>
      </w:r>
      <w:r w:rsidRPr="002D21C7">
        <w:rPr>
          <w:rFonts w:ascii="Arial" w:hAnsi="Arial" w:cs="Arial"/>
        </w:rPr>
        <w:t xml:space="preserve">2018 (1) </w:t>
      </w:r>
      <w:r w:rsidR="002E0648">
        <w:rPr>
          <w:rFonts w:ascii="Arial" w:hAnsi="Arial" w:cs="Arial"/>
        </w:rPr>
        <w:t>NR</w:t>
      </w:r>
      <w:r w:rsidRPr="002D21C7">
        <w:rPr>
          <w:rFonts w:ascii="Arial" w:hAnsi="Arial" w:cs="Arial"/>
        </w:rPr>
        <w:t xml:space="preserve"> 155 (SC) at para 36 </w:t>
      </w:r>
      <w:r w:rsidRPr="006E226C">
        <w:rPr>
          <w:rFonts w:ascii="Arial" w:hAnsi="Arial" w:cs="Arial"/>
          <w:i/>
        </w:rPr>
        <w:t>et seg</w:t>
      </w:r>
      <w:r w:rsidRPr="002D21C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6B428A" w:rsidRPr="00111C5B" w:rsidRDefault="006B428A">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C96360">
          <w:rPr>
            <w:rFonts w:ascii="Arial" w:hAnsi="Arial" w:cs="Arial"/>
            <w:noProof/>
            <w:sz w:val="24"/>
            <w:szCs w:val="24"/>
          </w:rPr>
          <w:t>26</w:t>
        </w:r>
        <w:r w:rsidRPr="00111C5B">
          <w:rPr>
            <w:rFonts w:ascii="Arial" w:hAnsi="Arial" w:cs="Arial"/>
            <w:noProof/>
            <w:sz w:val="24"/>
            <w:szCs w:val="24"/>
          </w:rPr>
          <w:fldChar w:fldCharType="end"/>
        </w:r>
      </w:p>
    </w:sdtContent>
  </w:sdt>
  <w:p w:rsidR="00F94D1E" w:rsidRDefault="00F9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6"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45B134E"/>
    <w:multiLevelType w:val="hybridMultilevel"/>
    <w:tmpl w:val="E1E23FD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4"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2"/>
  </w:num>
  <w:num w:numId="3">
    <w:abstractNumId w:val="29"/>
  </w:num>
  <w:num w:numId="4">
    <w:abstractNumId w:val="17"/>
  </w:num>
  <w:num w:numId="5">
    <w:abstractNumId w:val="23"/>
  </w:num>
  <w:num w:numId="6">
    <w:abstractNumId w:val="1"/>
  </w:num>
  <w:num w:numId="7">
    <w:abstractNumId w:val="26"/>
  </w:num>
  <w:num w:numId="8">
    <w:abstractNumId w:val="9"/>
  </w:num>
  <w:num w:numId="9">
    <w:abstractNumId w:val="27"/>
  </w:num>
  <w:num w:numId="10">
    <w:abstractNumId w:val="15"/>
  </w:num>
  <w:num w:numId="11">
    <w:abstractNumId w:val="8"/>
  </w:num>
  <w:num w:numId="12">
    <w:abstractNumId w:val="5"/>
  </w:num>
  <w:num w:numId="13">
    <w:abstractNumId w:val="12"/>
  </w:num>
  <w:num w:numId="14">
    <w:abstractNumId w:val="18"/>
  </w:num>
  <w:num w:numId="15">
    <w:abstractNumId w:val="14"/>
  </w:num>
  <w:num w:numId="16">
    <w:abstractNumId w:val="13"/>
  </w:num>
  <w:num w:numId="17">
    <w:abstractNumId w:val="24"/>
  </w:num>
  <w:num w:numId="18">
    <w:abstractNumId w:val="28"/>
  </w:num>
  <w:num w:numId="19">
    <w:abstractNumId w:val="19"/>
  </w:num>
  <w:num w:numId="20">
    <w:abstractNumId w:val="25"/>
  </w:num>
  <w:num w:numId="21">
    <w:abstractNumId w:val="21"/>
  </w:num>
  <w:num w:numId="22">
    <w:abstractNumId w:val="6"/>
  </w:num>
  <w:num w:numId="23">
    <w:abstractNumId w:val="11"/>
  </w:num>
  <w:num w:numId="24">
    <w:abstractNumId w:val="3"/>
  </w:num>
  <w:num w:numId="25">
    <w:abstractNumId w:val="4"/>
  </w:num>
  <w:num w:numId="26">
    <w:abstractNumId w:val="20"/>
  </w:num>
  <w:num w:numId="27">
    <w:abstractNumId w:val="0"/>
  </w:num>
  <w:num w:numId="28">
    <w:abstractNumId w:val="2"/>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4C4D"/>
    <w:rsid w:val="0000525D"/>
    <w:rsid w:val="00010CA6"/>
    <w:rsid w:val="00011EB9"/>
    <w:rsid w:val="00012D59"/>
    <w:rsid w:val="00012FAA"/>
    <w:rsid w:val="00013AB7"/>
    <w:rsid w:val="00016703"/>
    <w:rsid w:val="000177B8"/>
    <w:rsid w:val="00020736"/>
    <w:rsid w:val="00021EC5"/>
    <w:rsid w:val="00021ECC"/>
    <w:rsid w:val="00022452"/>
    <w:rsid w:val="00022644"/>
    <w:rsid w:val="000231F7"/>
    <w:rsid w:val="00026DD5"/>
    <w:rsid w:val="0002744F"/>
    <w:rsid w:val="000276F0"/>
    <w:rsid w:val="00030C69"/>
    <w:rsid w:val="00031EBA"/>
    <w:rsid w:val="00033256"/>
    <w:rsid w:val="000400C4"/>
    <w:rsid w:val="00040AC4"/>
    <w:rsid w:val="00042A20"/>
    <w:rsid w:val="000433D8"/>
    <w:rsid w:val="00043713"/>
    <w:rsid w:val="00045931"/>
    <w:rsid w:val="000478EF"/>
    <w:rsid w:val="00052B8A"/>
    <w:rsid w:val="00055805"/>
    <w:rsid w:val="00057B7B"/>
    <w:rsid w:val="000610A3"/>
    <w:rsid w:val="000626CC"/>
    <w:rsid w:val="000643B5"/>
    <w:rsid w:val="00065459"/>
    <w:rsid w:val="00066723"/>
    <w:rsid w:val="0007080A"/>
    <w:rsid w:val="00071EB4"/>
    <w:rsid w:val="00073046"/>
    <w:rsid w:val="00074D92"/>
    <w:rsid w:val="00075ABD"/>
    <w:rsid w:val="00076790"/>
    <w:rsid w:val="00076931"/>
    <w:rsid w:val="00076F53"/>
    <w:rsid w:val="00077B52"/>
    <w:rsid w:val="0008009C"/>
    <w:rsid w:val="000840CA"/>
    <w:rsid w:val="00084121"/>
    <w:rsid w:val="00090B47"/>
    <w:rsid w:val="000918CB"/>
    <w:rsid w:val="00092565"/>
    <w:rsid w:val="00092A31"/>
    <w:rsid w:val="00092D5D"/>
    <w:rsid w:val="00094C79"/>
    <w:rsid w:val="00096D67"/>
    <w:rsid w:val="000A2F02"/>
    <w:rsid w:val="000A3C68"/>
    <w:rsid w:val="000A3CA0"/>
    <w:rsid w:val="000A3F6B"/>
    <w:rsid w:val="000A4DEC"/>
    <w:rsid w:val="000B06C9"/>
    <w:rsid w:val="000B0A11"/>
    <w:rsid w:val="000B14C8"/>
    <w:rsid w:val="000B587E"/>
    <w:rsid w:val="000B5B95"/>
    <w:rsid w:val="000B6715"/>
    <w:rsid w:val="000B75AB"/>
    <w:rsid w:val="000C1390"/>
    <w:rsid w:val="000C2A58"/>
    <w:rsid w:val="000C2D19"/>
    <w:rsid w:val="000C4126"/>
    <w:rsid w:val="000C5C13"/>
    <w:rsid w:val="000D1ADC"/>
    <w:rsid w:val="000D1F3C"/>
    <w:rsid w:val="000D2762"/>
    <w:rsid w:val="000D3FA5"/>
    <w:rsid w:val="000D4BDB"/>
    <w:rsid w:val="000E008B"/>
    <w:rsid w:val="000E0BFC"/>
    <w:rsid w:val="000E3B05"/>
    <w:rsid w:val="000E3DF0"/>
    <w:rsid w:val="000E4E76"/>
    <w:rsid w:val="000E5305"/>
    <w:rsid w:val="000E6B27"/>
    <w:rsid w:val="000E6CCD"/>
    <w:rsid w:val="000F1A59"/>
    <w:rsid w:val="000F27F1"/>
    <w:rsid w:val="000F3DA6"/>
    <w:rsid w:val="000F4BBD"/>
    <w:rsid w:val="000F4E2E"/>
    <w:rsid w:val="000F61A4"/>
    <w:rsid w:val="000F7D77"/>
    <w:rsid w:val="00101FDB"/>
    <w:rsid w:val="0010254D"/>
    <w:rsid w:val="00104BAD"/>
    <w:rsid w:val="00105AAF"/>
    <w:rsid w:val="00107552"/>
    <w:rsid w:val="00111339"/>
    <w:rsid w:val="00111C5B"/>
    <w:rsid w:val="00112DA2"/>
    <w:rsid w:val="00114682"/>
    <w:rsid w:val="00114929"/>
    <w:rsid w:val="00115687"/>
    <w:rsid w:val="00115A1F"/>
    <w:rsid w:val="00117CE3"/>
    <w:rsid w:val="00120911"/>
    <w:rsid w:val="00120F58"/>
    <w:rsid w:val="00121972"/>
    <w:rsid w:val="001222DE"/>
    <w:rsid w:val="001227DB"/>
    <w:rsid w:val="0012439B"/>
    <w:rsid w:val="00125DEC"/>
    <w:rsid w:val="00126E64"/>
    <w:rsid w:val="00126F0A"/>
    <w:rsid w:val="00130103"/>
    <w:rsid w:val="00132216"/>
    <w:rsid w:val="001327CE"/>
    <w:rsid w:val="0013380E"/>
    <w:rsid w:val="00135038"/>
    <w:rsid w:val="0013608D"/>
    <w:rsid w:val="00140678"/>
    <w:rsid w:val="00140A9D"/>
    <w:rsid w:val="001423E7"/>
    <w:rsid w:val="0014303A"/>
    <w:rsid w:val="00151FFA"/>
    <w:rsid w:val="00153F19"/>
    <w:rsid w:val="001578CD"/>
    <w:rsid w:val="001617C5"/>
    <w:rsid w:val="00161C35"/>
    <w:rsid w:val="001634AF"/>
    <w:rsid w:val="00167F33"/>
    <w:rsid w:val="0017081A"/>
    <w:rsid w:val="0017115B"/>
    <w:rsid w:val="00173532"/>
    <w:rsid w:val="001758E1"/>
    <w:rsid w:val="00180CE0"/>
    <w:rsid w:val="00181928"/>
    <w:rsid w:val="001838C9"/>
    <w:rsid w:val="00185996"/>
    <w:rsid w:val="00185A2E"/>
    <w:rsid w:val="00190F70"/>
    <w:rsid w:val="00192135"/>
    <w:rsid w:val="00192C22"/>
    <w:rsid w:val="00193825"/>
    <w:rsid w:val="00194D51"/>
    <w:rsid w:val="001957EE"/>
    <w:rsid w:val="001A0E25"/>
    <w:rsid w:val="001A2B18"/>
    <w:rsid w:val="001A4A99"/>
    <w:rsid w:val="001A582C"/>
    <w:rsid w:val="001A666A"/>
    <w:rsid w:val="001A6B0E"/>
    <w:rsid w:val="001A77B8"/>
    <w:rsid w:val="001A7909"/>
    <w:rsid w:val="001B4200"/>
    <w:rsid w:val="001B4618"/>
    <w:rsid w:val="001B61E6"/>
    <w:rsid w:val="001C1FD2"/>
    <w:rsid w:val="001C25C8"/>
    <w:rsid w:val="001C25CA"/>
    <w:rsid w:val="001C2720"/>
    <w:rsid w:val="001C558D"/>
    <w:rsid w:val="001C7DF6"/>
    <w:rsid w:val="001D0810"/>
    <w:rsid w:val="001D08D7"/>
    <w:rsid w:val="001D3506"/>
    <w:rsid w:val="001D4856"/>
    <w:rsid w:val="001D4EB4"/>
    <w:rsid w:val="001D58BA"/>
    <w:rsid w:val="001D608A"/>
    <w:rsid w:val="001E299E"/>
    <w:rsid w:val="001E3888"/>
    <w:rsid w:val="001E44D9"/>
    <w:rsid w:val="001E4C77"/>
    <w:rsid w:val="001F004F"/>
    <w:rsid w:val="001F4CB8"/>
    <w:rsid w:val="001F7942"/>
    <w:rsid w:val="0020220F"/>
    <w:rsid w:val="0020312C"/>
    <w:rsid w:val="0020572A"/>
    <w:rsid w:val="00207296"/>
    <w:rsid w:val="00207960"/>
    <w:rsid w:val="00207D05"/>
    <w:rsid w:val="00215D8F"/>
    <w:rsid w:val="002212AD"/>
    <w:rsid w:val="002245DA"/>
    <w:rsid w:val="00224757"/>
    <w:rsid w:val="002317A5"/>
    <w:rsid w:val="002337F7"/>
    <w:rsid w:val="00235497"/>
    <w:rsid w:val="00235E57"/>
    <w:rsid w:val="0023748C"/>
    <w:rsid w:val="002441F9"/>
    <w:rsid w:val="002447B6"/>
    <w:rsid w:val="002457A4"/>
    <w:rsid w:val="00251412"/>
    <w:rsid w:val="00262874"/>
    <w:rsid w:val="00262EF8"/>
    <w:rsid w:val="0026340F"/>
    <w:rsid w:val="00263481"/>
    <w:rsid w:val="002658ED"/>
    <w:rsid w:val="002662E3"/>
    <w:rsid w:val="00266E2B"/>
    <w:rsid w:val="002704CF"/>
    <w:rsid w:val="00273EE9"/>
    <w:rsid w:val="00274F4E"/>
    <w:rsid w:val="002755A3"/>
    <w:rsid w:val="002834E8"/>
    <w:rsid w:val="002855CF"/>
    <w:rsid w:val="00286029"/>
    <w:rsid w:val="00286F17"/>
    <w:rsid w:val="00291956"/>
    <w:rsid w:val="002933AF"/>
    <w:rsid w:val="00294302"/>
    <w:rsid w:val="002A2B5C"/>
    <w:rsid w:val="002A4C01"/>
    <w:rsid w:val="002B0CAC"/>
    <w:rsid w:val="002B1CE3"/>
    <w:rsid w:val="002B2DA3"/>
    <w:rsid w:val="002C0FC3"/>
    <w:rsid w:val="002C0FF2"/>
    <w:rsid w:val="002C3E6D"/>
    <w:rsid w:val="002C568C"/>
    <w:rsid w:val="002C758D"/>
    <w:rsid w:val="002D1B71"/>
    <w:rsid w:val="002D1D8D"/>
    <w:rsid w:val="002D1E38"/>
    <w:rsid w:val="002D1F1E"/>
    <w:rsid w:val="002D21C7"/>
    <w:rsid w:val="002D4773"/>
    <w:rsid w:val="002D5D6D"/>
    <w:rsid w:val="002D60C7"/>
    <w:rsid w:val="002E0648"/>
    <w:rsid w:val="002E426A"/>
    <w:rsid w:val="002E4E6A"/>
    <w:rsid w:val="002E708E"/>
    <w:rsid w:val="002F12B3"/>
    <w:rsid w:val="002F1E29"/>
    <w:rsid w:val="002F27EF"/>
    <w:rsid w:val="002F7D7C"/>
    <w:rsid w:val="00300CD3"/>
    <w:rsid w:val="003039EF"/>
    <w:rsid w:val="003042AF"/>
    <w:rsid w:val="00305FE9"/>
    <w:rsid w:val="00306CA5"/>
    <w:rsid w:val="0030702B"/>
    <w:rsid w:val="0030737F"/>
    <w:rsid w:val="0030775E"/>
    <w:rsid w:val="00310940"/>
    <w:rsid w:val="00317522"/>
    <w:rsid w:val="003212CE"/>
    <w:rsid w:val="0032148F"/>
    <w:rsid w:val="00321ED1"/>
    <w:rsid w:val="00324725"/>
    <w:rsid w:val="0032579A"/>
    <w:rsid w:val="00333E58"/>
    <w:rsid w:val="0033772A"/>
    <w:rsid w:val="00337BE9"/>
    <w:rsid w:val="00346C25"/>
    <w:rsid w:val="00351E20"/>
    <w:rsid w:val="00352985"/>
    <w:rsid w:val="003551AC"/>
    <w:rsid w:val="00357C85"/>
    <w:rsid w:val="003619CC"/>
    <w:rsid w:val="00361E96"/>
    <w:rsid w:val="00362560"/>
    <w:rsid w:val="00363974"/>
    <w:rsid w:val="00370025"/>
    <w:rsid w:val="003745AA"/>
    <w:rsid w:val="0037609A"/>
    <w:rsid w:val="003801E5"/>
    <w:rsid w:val="00381349"/>
    <w:rsid w:val="00384065"/>
    <w:rsid w:val="003863FC"/>
    <w:rsid w:val="003879E0"/>
    <w:rsid w:val="00387E33"/>
    <w:rsid w:val="00395B99"/>
    <w:rsid w:val="00396B62"/>
    <w:rsid w:val="003A011B"/>
    <w:rsid w:val="003A1DAC"/>
    <w:rsid w:val="003A2101"/>
    <w:rsid w:val="003A31DE"/>
    <w:rsid w:val="003A4CE3"/>
    <w:rsid w:val="003A78BA"/>
    <w:rsid w:val="003B0665"/>
    <w:rsid w:val="003B1AAE"/>
    <w:rsid w:val="003B5B36"/>
    <w:rsid w:val="003B72EC"/>
    <w:rsid w:val="003B782C"/>
    <w:rsid w:val="003B7CB7"/>
    <w:rsid w:val="003C231E"/>
    <w:rsid w:val="003C276A"/>
    <w:rsid w:val="003C4C67"/>
    <w:rsid w:val="003D0CE6"/>
    <w:rsid w:val="003D4A07"/>
    <w:rsid w:val="003D6A9C"/>
    <w:rsid w:val="003D7216"/>
    <w:rsid w:val="003E1056"/>
    <w:rsid w:val="003E289D"/>
    <w:rsid w:val="003E2DB6"/>
    <w:rsid w:val="003E322E"/>
    <w:rsid w:val="003E34C8"/>
    <w:rsid w:val="003E46F3"/>
    <w:rsid w:val="003E77F5"/>
    <w:rsid w:val="003E7F28"/>
    <w:rsid w:val="003F1463"/>
    <w:rsid w:val="003F3800"/>
    <w:rsid w:val="003F5965"/>
    <w:rsid w:val="003F5E62"/>
    <w:rsid w:val="00400FC6"/>
    <w:rsid w:val="004023CC"/>
    <w:rsid w:val="00406D6A"/>
    <w:rsid w:val="00407728"/>
    <w:rsid w:val="004107D3"/>
    <w:rsid w:val="00413FB2"/>
    <w:rsid w:val="00414C3B"/>
    <w:rsid w:val="004154C8"/>
    <w:rsid w:val="0041592B"/>
    <w:rsid w:val="004165C2"/>
    <w:rsid w:val="00416D26"/>
    <w:rsid w:val="00416EF2"/>
    <w:rsid w:val="00417945"/>
    <w:rsid w:val="00417BF1"/>
    <w:rsid w:val="004211CC"/>
    <w:rsid w:val="004215C2"/>
    <w:rsid w:val="00422686"/>
    <w:rsid w:val="00427400"/>
    <w:rsid w:val="00431601"/>
    <w:rsid w:val="00432E79"/>
    <w:rsid w:val="00436AEB"/>
    <w:rsid w:val="00437C60"/>
    <w:rsid w:val="00441AE1"/>
    <w:rsid w:val="004425FC"/>
    <w:rsid w:val="0044790E"/>
    <w:rsid w:val="00450915"/>
    <w:rsid w:val="00451609"/>
    <w:rsid w:val="00456D8B"/>
    <w:rsid w:val="00457F24"/>
    <w:rsid w:val="00461B37"/>
    <w:rsid w:val="00464AAA"/>
    <w:rsid w:val="00470864"/>
    <w:rsid w:val="004732FD"/>
    <w:rsid w:val="004738B5"/>
    <w:rsid w:val="00475114"/>
    <w:rsid w:val="00475F4A"/>
    <w:rsid w:val="004774C0"/>
    <w:rsid w:val="00485805"/>
    <w:rsid w:val="00485BB6"/>
    <w:rsid w:val="004921A4"/>
    <w:rsid w:val="00492B12"/>
    <w:rsid w:val="00493B5A"/>
    <w:rsid w:val="00494F8E"/>
    <w:rsid w:val="00497D6A"/>
    <w:rsid w:val="00497DB0"/>
    <w:rsid w:val="004A20F1"/>
    <w:rsid w:val="004A2184"/>
    <w:rsid w:val="004A3384"/>
    <w:rsid w:val="004A4108"/>
    <w:rsid w:val="004A4875"/>
    <w:rsid w:val="004A4E9A"/>
    <w:rsid w:val="004A5FD0"/>
    <w:rsid w:val="004A60BA"/>
    <w:rsid w:val="004A64D1"/>
    <w:rsid w:val="004A69D6"/>
    <w:rsid w:val="004B07A4"/>
    <w:rsid w:val="004B1588"/>
    <w:rsid w:val="004B2A80"/>
    <w:rsid w:val="004B31D9"/>
    <w:rsid w:val="004B4AEE"/>
    <w:rsid w:val="004B584B"/>
    <w:rsid w:val="004B6477"/>
    <w:rsid w:val="004B711F"/>
    <w:rsid w:val="004C0E0B"/>
    <w:rsid w:val="004C0E72"/>
    <w:rsid w:val="004C4D6B"/>
    <w:rsid w:val="004D1969"/>
    <w:rsid w:val="004D77F2"/>
    <w:rsid w:val="004E0F45"/>
    <w:rsid w:val="004E198A"/>
    <w:rsid w:val="004E21E1"/>
    <w:rsid w:val="004E2834"/>
    <w:rsid w:val="004E2A24"/>
    <w:rsid w:val="004E503B"/>
    <w:rsid w:val="004E6C81"/>
    <w:rsid w:val="004E7000"/>
    <w:rsid w:val="004F0B37"/>
    <w:rsid w:val="004F0C0D"/>
    <w:rsid w:val="004F15DB"/>
    <w:rsid w:val="004F2F0E"/>
    <w:rsid w:val="004F41EF"/>
    <w:rsid w:val="004F5128"/>
    <w:rsid w:val="004F5883"/>
    <w:rsid w:val="004F7C7C"/>
    <w:rsid w:val="00503269"/>
    <w:rsid w:val="00510B8B"/>
    <w:rsid w:val="00511905"/>
    <w:rsid w:val="00512CAD"/>
    <w:rsid w:val="00513468"/>
    <w:rsid w:val="005157B4"/>
    <w:rsid w:val="005168D5"/>
    <w:rsid w:val="00516EBB"/>
    <w:rsid w:val="005171C3"/>
    <w:rsid w:val="0051747D"/>
    <w:rsid w:val="00517EF4"/>
    <w:rsid w:val="00524ED7"/>
    <w:rsid w:val="00525451"/>
    <w:rsid w:val="00525868"/>
    <w:rsid w:val="005301B6"/>
    <w:rsid w:val="0053087E"/>
    <w:rsid w:val="005318B8"/>
    <w:rsid w:val="00532C17"/>
    <w:rsid w:val="0053623E"/>
    <w:rsid w:val="00536A02"/>
    <w:rsid w:val="0053799E"/>
    <w:rsid w:val="0055044E"/>
    <w:rsid w:val="00550DE2"/>
    <w:rsid w:val="00551CFA"/>
    <w:rsid w:val="0055212E"/>
    <w:rsid w:val="00552F70"/>
    <w:rsid w:val="00553981"/>
    <w:rsid w:val="00554FF4"/>
    <w:rsid w:val="00556075"/>
    <w:rsid w:val="00556D82"/>
    <w:rsid w:val="005617D0"/>
    <w:rsid w:val="00563855"/>
    <w:rsid w:val="005653A5"/>
    <w:rsid w:val="005717E1"/>
    <w:rsid w:val="00571EB3"/>
    <w:rsid w:val="00573289"/>
    <w:rsid w:val="00573E12"/>
    <w:rsid w:val="00576598"/>
    <w:rsid w:val="00581EA3"/>
    <w:rsid w:val="005821BB"/>
    <w:rsid w:val="00582D9F"/>
    <w:rsid w:val="00584213"/>
    <w:rsid w:val="00584D15"/>
    <w:rsid w:val="00587010"/>
    <w:rsid w:val="00592466"/>
    <w:rsid w:val="0059472F"/>
    <w:rsid w:val="00594EA3"/>
    <w:rsid w:val="005A0E6E"/>
    <w:rsid w:val="005A2269"/>
    <w:rsid w:val="005A531E"/>
    <w:rsid w:val="005A73A9"/>
    <w:rsid w:val="005B365F"/>
    <w:rsid w:val="005B4417"/>
    <w:rsid w:val="005B483F"/>
    <w:rsid w:val="005B496A"/>
    <w:rsid w:val="005C0BAB"/>
    <w:rsid w:val="005C38CD"/>
    <w:rsid w:val="005C40C0"/>
    <w:rsid w:val="005C577D"/>
    <w:rsid w:val="005C5B26"/>
    <w:rsid w:val="005C6696"/>
    <w:rsid w:val="005D1CBE"/>
    <w:rsid w:val="005D3137"/>
    <w:rsid w:val="005D54CF"/>
    <w:rsid w:val="005D6CA4"/>
    <w:rsid w:val="005D6E01"/>
    <w:rsid w:val="005E22D2"/>
    <w:rsid w:val="005E3190"/>
    <w:rsid w:val="005E4D0E"/>
    <w:rsid w:val="005F2A59"/>
    <w:rsid w:val="005F68D7"/>
    <w:rsid w:val="00603C78"/>
    <w:rsid w:val="00607F6F"/>
    <w:rsid w:val="006105DE"/>
    <w:rsid w:val="0061491A"/>
    <w:rsid w:val="006160AD"/>
    <w:rsid w:val="006166D8"/>
    <w:rsid w:val="00624D99"/>
    <w:rsid w:val="00626913"/>
    <w:rsid w:val="00626A9F"/>
    <w:rsid w:val="00630329"/>
    <w:rsid w:val="00631EE0"/>
    <w:rsid w:val="00633338"/>
    <w:rsid w:val="00634C4D"/>
    <w:rsid w:val="00637546"/>
    <w:rsid w:val="006406F0"/>
    <w:rsid w:val="00642FBC"/>
    <w:rsid w:val="00643C33"/>
    <w:rsid w:val="006445D0"/>
    <w:rsid w:val="00644878"/>
    <w:rsid w:val="00644C54"/>
    <w:rsid w:val="006515A9"/>
    <w:rsid w:val="00653E17"/>
    <w:rsid w:val="006556C0"/>
    <w:rsid w:val="00656CD1"/>
    <w:rsid w:val="00662CAC"/>
    <w:rsid w:val="00662DCC"/>
    <w:rsid w:val="00662F25"/>
    <w:rsid w:val="00670783"/>
    <w:rsid w:val="00673B76"/>
    <w:rsid w:val="00673E44"/>
    <w:rsid w:val="0067405A"/>
    <w:rsid w:val="00675D54"/>
    <w:rsid w:val="00676179"/>
    <w:rsid w:val="00676260"/>
    <w:rsid w:val="00682C7E"/>
    <w:rsid w:val="00683671"/>
    <w:rsid w:val="0068387E"/>
    <w:rsid w:val="00684CD4"/>
    <w:rsid w:val="00692548"/>
    <w:rsid w:val="0069532C"/>
    <w:rsid w:val="006A06DE"/>
    <w:rsid w:val="006A29CE"/>
    <w:rsid w:val="006A368C"/>
    <w:rsid w:val="006A660B"/>
    <w:rsid w:val="006A7919"/>
    <w:rsid w:val="006B30C3"/>
    <w:rsid w:val="006B428A"/>
    <w:rsid w:val="006B79FA"/>
    <w:rsid w:val="006C367B"/>
    <w:rsid w:val="006C50CB"/>
    <w:rsid w:val="006C7E78"/>
    <w:rsid w:val="006D094B"/>
    <w:rsid w:val="006D7412"/>
    <w:rsid w:val="006E226C"/>
    <w:rsid w:val="006E2ABB"/>
    <w:rsid w:val="006E5B7E"/>
    <w:rsid w:val="006E698F"/>
    <w:rsid w:val="006F1A08"/>
    <w:rsid w:val="006F4B7D"/>
    <w:rsid w:val="00700E33"/>
    <w:rsid w:val="0070158E"/>
    <w:rsid w:val="00701F58"/>
    <w:rsid w:val="00703AD3"/>
    <w:rsid w:val="00710062"/>
    <w:rsid w:val="007104EF"/>
    <w:rsid w:val="00711D32"/>
    <w:rsid w:val="00712D3F"/>
    <w:rsid w:val="007138EE"/>
    <w:rsid w:val="0071730B"/>
    <w:rsid w:val="0071760F"/>
    <w:rsid w:val="007217AA"/>
    <w:rsid w:val="00721889"/>
    <w:rsid w:val="007233CE"/>
    <w:rsid w:val="00724D30"/>
    <w:rsid w:val="00725ABD"/>
    <w:rsid w:val="00726AAE"/>
    <w:rsid w:val="00730A27"/>
    <w:rsid w:val="00730DB7"/>
    <w:rsid w:val="0073324C"/>
    <w:rsid w:val="0073382A"/>
    <w:rsid w:val="007402BF"/>
    <w:rsid w:val="00742AE8"/>
    <w:rsid w:val="00742D5B"/>
    <w:rsid w:val="00744D03"/>
    <w:rsid w:val="00745BF5"/>
    <w:rsid w:val="00747138"/>
    <w:rsid w:val="00747300"/>
    <w:rsid w:val="00751F49"/>
    <w:rsid w:val="007531D6"/>
    <w:rsid w:val="007545D2"/>
    <w:rsid w:val="00765464"/>
    <w:rsid w:val="0076561C"/>
    <w:rsid w:val="00766963"/>
    <w:rsid w:val="00770A11"/>
    <w:rsid w:val="00770A4B"/>
    <w:rsid w:val="00771623"/>
    <w:rsid w:val="0077206A"/>
    <w:rsid w:val="00773E32"/>
    <w:rsid w:val="007740F6"/>
    <w:rsid w:val="007767BD"/>
    <w:rsid w:val="007807B5"/>
    <w:rsid w:val="00782D6B"/>
    <w:rsid w:val="007841FA"/>
    <w:rsid w:val="0078589B"/>
    <w:rsid w:val="00786153"/>
    <w:rsid w:val="00786211"/>
    <w:rsid w:val="007867BC"/>
    <w:rsid w:val="00786DEA"/>
    <w:rsid w:val="00787313"/>
    <w:rsid w:val="00797315"/>
    <w:rsid w:val="007973FE"/>
    <w:rsid w:val="007A0174"/>
    <w:rsid w:val="007A1203"/>
    <w:rsid w:val="007B02CA"/>
    <w:rsid w:val="007B28AB"/>
    <w:rsid w:val="007B42C4"/>
    <w:rsid w:val="007B65BB"/>
    <w:rsid w:val="007B6930"/>
    <w:rsid w:val="007B728B"/>
    <w:rsid w:val="007C094C"/>
    <w:rsid w:val="007C19D8"/>
    <w:rsid w:val="007C3931"/>
    <w:rsid w:val="007C66D9"/>
    <w:rsid w:val="007C732D"/>
    <w:rsid w:val="007D0D4C"/>
    <w:rsid w:val="007D43B8"/>
    <w:rsid w:val="007D5428"/>
    <w:rsid w:val="007D6B6E"/>
    <w:rsid w:val="007D725F"/>
    <w:rsid w:val="007D784C"/>
    <w:rsid w:val="007E349A"/>
    <w:rsid w:val="007E4BD8"/>
    <w:rsid w:val="007E5807"/>
    <w:rsid w:val="007E5D66"/>
    <w:rsid w:val="007E667C"/>
    <w:rsid w:val="007E7563"/>
    <w:rsid w:val="007F18E3"/>
    <w:rsid w:val="007F3458"/>
    <w:rsid w:val="007F632F"/>
    <w:rsid w:val="007F6CEC"/>
    <w:rsid w:val="007F7003"/>
    <w:rsid w:val="007F76A6"/>
    <w:rsid w:val="007F7AA0"/>
    <w:rsid w:val="00804852"/>
    <w:rsid w:val="008077D6"/>
    <w:rsid w:val="008111C7"/>
    <w:rsid w:val="00811FDA"/>
    <w:rsid w:val="008150CF"/>
    <w:rsid w:val="00817BE0"/>
    <w:rsid w:val="008217EC"/>
    <w:rsid w:val="008251AD"/>
    <w:rsid w:val="0082655F"/>
    <w:rsid w:val="00826CA7"/>
    <w:rsid w:val="008278FB"/>
    <w:rsid w:val="008301A4"/>
    <w:rsid w:val="00832B89"/>
    <w:rsid w:val="00837450"/>
    <w:rsid w:val="0084133D"/>
    <w:rsid w:val="00844974"/>
    <w:rsid w:val="00852FF1"/>
    <w:rsid w:val="00853E8A"/>
    <w:rsid w:val="008545FD"/>
    <w:rsid w:val="00854DD1"/>
    <w:rsid w:val="00856376"/>
    <w:rsid w:val="0086095A"/>
    <w:rsid w:val="00860CDF"/>
    <w:rsid w:val="00860DA9"/>
    <w:rsid w:val="008641FA"/>
    <w:rsid w:val="00864712"/>
    <w:rsid w:val="0086653F"/>
    <w:rsid w:val="00866B3A"/>
    <w:rsid w:val="0087241B"/>
    <w:rsid w:val="00872FFE"/>
    <w:rsid w:val="008730E4"/>
    <w:rsid w:val="00874C97"/>
    <w:rsid w:val="0088149D"/>
    <w:rsid w:val="0088335A"/>
    <w:rsid w:val="00887D83"/>
    <w:rsid w:val="0089243C"/>
    <w:rsid w:val="008948B8"/>
    <w:rsid w:val="00894EF0"/>
    <w:rsid w:val="008A1028"/>
    <w:rsid w:val="008A1B3F"/>
    <w:rsid w:val="008A3ADD"/>
    <w:rsid w:val="008A470A"/>
    <w:rsid w:val="008A55C8"/>
    <w:rsid w:val="008A5BE0"/>
    <w:rsid w:val="008A6323"/>
    <w:rsid w:val="008A76A0"/>
    <w:rsid w:val="008B14FB"/>
    <w:rsid w:val="008B2795"/>
    <w:rsid w:val="008B65FB"/>
    <w:rsid w:val="008C024E"/>
    <w:rsid w:val="008C1A41"/>
    <w:rsid w:val="008C3367"/>
    <w:rsid w:val="008C3CCB"/>
    <w:rsid w:val="008C6C19"/>
    <w:rsid w:val="008D2384"/>
    <w:rsid w:val="008D4E59"/>
    <w:rsid w:val="008E3D60"/>
    <w:rsid w:val="008E4A71"/>
    <w:rsid w:val="008E6FF0"/>
    <w:rsid w:val="008E7A2B"/>
    <w:rsid w:val="008F0180"/>
    <w:rsid w:val="008F31CB"/>
    <w:rsid w:val="008F3E78"/>
    <w:rsid w:val="008F45CA"/>
    <w:rsid w:val="008F5849"/>
    <w:rsid w:val="008F7D06"/>
    <w:rsid w:val="009019E9"/>
    <w:rsid w:val="009021BA"/>
    <w:rsid w:val="0090388B"/>
    <w:rsid w:val="00906CCA"/>
    <w:rsid w:val="00912521"/>
    <w:rsid w:val="00913B0F"/>
    <w:rsid w:val="00913D27"/>
    <w:rsid w:val="00914143"/>
    <w:rsid w:val="00915E6F"/>
    <w:rsid w:val="00917F9A"/>
    <w:rsid w:val="0092134E"/>
    <w:rsid w:val="00922881"/>
    <w:rsid w:val="00923375"/>
    <w:rsid w:val="00924775"/>
    <w:rsid w:val="00934B73"/>
    <w:rsid w:val="009408BB"/>
    <w:rsid w:val="009435D3"/>
    <w:rsid w:val="00945739"/>
    <w:rsid w:val="0094580C"/>
    <w:rsid w:val="00945FA9"/>
    <w:rsid w:val="009509F3"/>
    <w:rsid w:val="009510CB"/>
    <w:rsid w:val="00951A76"/>
    <w:rsid w:val="00953906"/>
    <w:rsid w:val="00957589"/>
    <w:rsid w:val="00960030"/>
    <w:rsid w:val="009602DC"/>
    <w:rsid w:val="00960DA5"/>
    <w:rsid w:val="00962918"/>
    <w:rsid w:val="009637EC"/>
    <w:rsid w:val="00963EDF"/>
    <w:rsid w:val="009659C2"/>
    <w:rsid w:val="009667A6"/>
    <w:rsid w:val="009678DB"/>
    <w:rsid w:val="00971638"/>
    <w:rsid w:val="00975830"/>
    <w:rsid w:val="00975FA0"/>
    <w:rsid w:val="00980095"/>
    <w:rsid w:val="009845A3"/>
    <w:rsid w:val="00985510"/>
    <w:rsid w:val="00985768"/>
    <w:rsid w:val="00986AA9"/>
    <w:rsid w:val="0098715F"/>
    <w:rsid w:val="00990236"/>
    <w:rsid w:val="0099048E"/>
    <w:rsid w:val="00991227"/>
    <w:rsid w:val="009914CB"/>
    <w:rsid w:val="00991729"/>
    <w:rsid w:val="00992B07"/>
    <w:rsid w:val="00997979"/>
    <w:rsid w:val="009A394A"/>
    <w:rsid w:val="009A41F4"/>
    <w:rsid w:val="009A5DA5"/>
    <w:rsid w:val="009A655A"/>
    <w:rsid w:val="009B1CB6"/>
    <w:rsid w:val="009B3D7F"/>
    <w:rsid w:val="009B6235"/>
    <w:rsid w:val="009B6CF2"/>
    <w:rsid w:val="009B712C"/>
    <w:rsid w:val="009C07C9"/>
    <w:rsid w:val="009C0964"/>
    <w:rsid w:val="009C51C5"/>
    <w:rsid w:val="009C6F69"/>
    <w:rsid w:val="009C70E6"/>
    <w:rsid w:val="009D0357"/>
    <w:rsid w:val="009E035A"/>
    <w:rsid w:val="009E7CF0"/>
    <w:rsid w:val="009F02EB"/>
    <w:rsid w:val="009F1C11"/>
    <w:rsid w:val="009F7D37"/>
    <w:rsid w:val="00A001B5"/>
    <w:rsid w:val="00A040EA"/>
    <w:rsid w:val="00A057D6"/>
    <w:rsid w:val="00A066DB"/>
    <w:rsid w:val="00A06886"/>
    <w:rsid w:val="00A07047"/>
    <w:rsid w:val="00A07A5C"/>
    <w:rsid w:val="00A106B4"/>
    <w:rsid w:val="00A1240B"/>
    <w:rsid w:val="00A12E19"/>
    <w:rsid w:val="00A14789"/>
    <w:rsid w:val="00A17C0E"/>
    <w:rsid w:val="00A20498"/>
    <w:rsid w:val="00A22B94"/>
    <w:rsid w:val="00A2465D"/>
    <w:rsid w:val="00A25AFC"/>
    <w:rsid w:val="00A26B21"/>
    <w:rsid w:val="00A356B9"/>
    <w:rsid w:val="00A36BDE"/>
    <w:rsid w:val="00A36DC1"/>
    <w:rsid w:val="00A44318"/>
    <w:rsid w:val="00A44FA1"/>
    <w:rsid w:val="00A4522B"/>
    <w:rsid w:val="00A45FF9"/>
    <w:rsid w:val="00A47669"/>
    <w:rsid w:val="00A501D5"/>
    <w:rsid w:val="00A528F9"/>
    <w:rsid w:val="00A52E70"/>
    <w:rsid w:val="00A54F78"/>
    <w:rsid w:val="00A567BA"/>
    <w:rsid w:val="00A5797F"/>
    <w:rsid w:val="00A63522"/>
    <w:rsid w:val="00A64F96"/>
    <w:rsid w:val="00A6519D"/>
    <w:rsid w:val="00A66719"/>
    <w:rsid w:val="00A67B61"/>
    <w:rsid w:val="00A8275B"/>
    <w:rsid w:val="00A8322C"/>
    <w:rsid w:val="00A8499D"/>
    <w:rsid w:val="00A84F3A"/>
    <w:rsid w:val="00A86CC0"/>
    <w:rsid w:val="00A92144"/>
    <w:rsid w:val="00A932C8"/>
    <w:rsid w:val="00A94967"/>
    <w:rsid w:val="00A979D0"/>
    <w:rsid w:val="00AA0F94"/>
    <w:rsid w:val="00AA341C"/>
    <w:rsid w:val="00AA4F7E"/>
    <w:rsid w:val="00AA5D68"/>
    <w:rsid w:val="00AA7AAB"/>
    <w:rsid w:val="00AA7B0A"/>
    <w:rsid w:val="00AB05EF"/>
    <w:rsid w:val="00AB06FA"/>
    <w:rsid w:val="00AB1CEF"/>
    <w:rsid w:val="00AB3F69"/>
    <w:rsid w:val="00AB4D39"/>
    <w:rsid w:val="00AB58A9"/>
    <w:rsid w:val="00AC0134"/>
    <w:rsid w:val="00AC11CF"/>
    <w:rsid w:val="00AC1872"/>
    <w:rsid w:val="00AD6D9C"/>
    <w:rsid w:val="00AD7F23"/>
    <w:rsid w:val="00AE0C13"/>
    <w:rsid w:val="00AE369C"/>
    <w:rsid w:val="00AE3877"/>
    <w:rsid w:val="00AE4FE7"/>
    <w:rsid w:val="00AE6161"/>
    <w:rsid w:val="00AE78DB"/>
    <w:rsid w:val="00AF0A60"/>
    <w:rsid w:val="00AF1B4D"/>
    <w:rsid w:val="00AF2889"/>
    <w:rsid w:val="00AF3229"/>
    <w:rsid w:val="00AF7042"/>
    <w:rsid w:val="00AF7B6D"/>
    <w:rsid w:val="00B024F3"/>
    <w:rsid w:val="00B02B85"/>
    <w:rsid w:val="00B02CAE"/>
    <w:rsid w:val="00B032CF"/>
    <w:rsid w:val="00B040F4"/>
    <w:rsid w:val="00B06B54"/>
    <w:rsid w:val="00B06BAE"/>
    <w:rsid w:val="00B07140"/>
    <w:rsid w:val="00B075A2"/>
    <w:rsid w:val="00B13A45"/>
    <w:rsid w:val="00B13B3A"/>
    <w:rsid w:val="00B1473F"/>
    <w:rsid w:val="00B231CE"/>
    <w:rsid w:val="00B23B40"/>
    <w:rsid w:val="00B23DF3"/>
    <w:rsid w:val="00B25242"/>
    <w:rsid w:val="00B26C68"/>
    <w:rsid w:val="00B27122"/>
    <w:rsid w:val="00B27C54"/>
    <w:rsid w:val="00B30010"/>
    <w:rsid w:val="00B30288"/>
    <w:rsid w:val="00B321E9"/>
    <w:rsid w:val="00B32436"/>
    <w:rsid w:val="00B337A2"/>
    <w:rsid w:val="00B4005A"/>
    <w:rsid w:val="00B40CD3"/>
    <w:rsid w:val="00B41390"/>
    <w:rsid w:val="00B443B2"/>
    <w:rsid w:val="00B44617"/>
    <w:rsid w:val="00B45E78"/>
    <w:rsid w:val="00B45FBC"/>
    <w:rsid w:val="00B5013F"/>
    <w:rsid w:val="00B501DF"/>
    <w:rsid w:val="00B51071"/>
    <w:rsid w:val="00B539E3"/>
    <w:rsid w:val="00B53ED8"/>
    <w:rsid w:val="00B551E3"/>
    <w:rsid w:val="00B558A2"/>
    <w:rsid w:val="00B55A60"/>
    <w:rsid w:val="00B56B94"/>
    <w:rsid w:val="00B56F30"/>
    <w:rsid w:val="00B57A5E"/>
    <w:rsid w:val="00B62F28"/>
    <w:rsid w:val="00B63FA5"/>
    <w:rsid w:val="00B65AAF"/>
    <w:rsid w:val="00B65D05"/>
    <w:rsid w:val="00B665DC"/>
    <w:rsid w:val="00B673DD"/>
    <w:rsid w:val="00B6750B"/>
    <w:rsid w:val="00B756B8"/>
    <w:rsid w:val="00B76AE2"/>
    <w:rsid w:val="00B83B9F"/>
    <w:rsid w:val="00B85752"/>
    <w:rsid w:val="00B863A6"/>
    <w:rsid w:val="00B94BF9"/>
    <w:rsid w:val="00B94C64"/>
    <w:rsid w:val="00B95E84"/>
    <w:rsid w:val="00B95F70"/>
    <w:rsid w:val="00BA07C6"/>
    <w:rsid w:val="00BA084B"/>
    <w:rsid w:val="00BA09F8"/>
    <w:rsid w:val="00BA2181"/>
    <w:rsid w:val="00BA2888"/>
    <w:rsid w:val="00BA42CC"/>
    <w:rsid w:val="00BA5821"/>
    <w:rsid w:val="00BA6518"/>
    <w:rsid w:val="00BB108F"/>
    <w:rsid w:val="00BC05AF"/>
    <w:rsid w:val="00BC27C7"/>
    <w:rsid w:val="00BC2B32"/>
    <w:rsid w:val="00BC5201"/>
    <w:rsid w:val="00BC5BFA"/>
    <w:rsid w:val="00BD0CB3"/>
    <w:rsid w:val="00BD0D29"/>
    <w:rsid w:val="00BD1121"/>
    <w:rsid w:val="00BD1685"/>
    <w:rsid w:val="00BD516C"/>
    <w:rsid w:val="00BD55B9"/>
    <w:rsid w:val="00BE0BE7"/>
    <w:rsid w:val="00BE3075"/>
    <w:rsid w:val="00BE3CC2"/>
    <w:rsid w:val="00BF0146"/>
    <w:rsid w:val="00BF036C"/>
    <w:rsid w:val="00BF17E1"/>
    <w:rsid w:val="00BF2CB2"/>
    <w:rsid w:val="00BF3B10"/>
    <w:rsid w:val="00BF42DD"/>
    <w:rsid w:val="00BF4406"/>
    <w:rsid w:val="00BF5DE1"/>
    <w:rsid w:val="00C01777"/>
    <w:rsid w:val="00C017E7"/>
    <w:rsid w:val="00C031FD"/>
    <w:rsid w:val="00C03DC2"/>
    <w:rsid w:val="00C14DE5"/>
    <w:rsid w:val="00C15776"/>
    <w:rsid w:val="00C17055"/>
    <w:rsid w:val="00C17592"/>
    <w:rsid w:val="00C17EAE"/>
    <w:rsid w:val="00C21162"/>
    <w:rsid w:val="00C21C41"/>
    <w:rsid w:val="00C22798"/>
    <w:rsid w:val="00C24B1F"/>
    <w:rsid w:val="00C25ACC"/>
    <w:rsid w:val="00C27B12"/>
    <w:rsid w:val="00C31EDE"/>
    <w:rsid w:val="00C3277B"/>
    <w:rsid w:val="00C40889"/>
    <w:rsid w:val="00C40904"/>
    <w:rsid w:val="00C40FE2"/>
    <w:rsid w:val="00C452F5"/>
    <w:rsid w:val="00C47094"/>
    <w:rsid w:val="00C50740"/>
    <w:rsid w:val="00C522BA"/>
    <w:rsid w:val="00C53D6F"/>
    <w:rsid w:val="00C543B6"/>
    <w:rsid w:val="00C54BFE"/>
    <w:rsid w:val="00C55F13"/>
    <w:rsid w:val="00C5715F"/>
    <w:rsid w:val="00C57BF0"/>
    <w:rsid w:val="00C65A0E"/>
    <w:rsid w:val="00C6761E"/>
    <w:rsid w:val="00C71369"/>
    <w:rsid w:val="00C720A8"/>
    <w:rsid w:val="00C726FE"/>
    <w:rsid w:val="00C747D0"/>
    <w:rsid w:val="00C76FB3"/>
    <w:rsid w:val="00C7748D"/>
    <w:rsid w:val="00C8032B"/>
    <w:rsid w:val="00C82509"/>
    <w:rsid w:val="00C85199"/>
    <w:rsid w:val="00C8542E"/>
    <w:rsid w:val="00C87343"/>
    <w:rsid w:val="00C91DFD"/>
    <w:rsid w:val="00C96360"/>
    <w:rsid w:val="00C971C0"/>
    <w:rsid w:val="00CA0D2D"/>
    <w:rsid w:val="00CA1800"/>
    <w:rsid w:val="00CA3D0A"/>
    <w:rsid w:val="00CA7917"/>
    <w:rsid w:val="00CB32A7"/>
    <w:rsid w:val="00CB3D41"/>
    <w:rsid w:val="00CB4C75"/>
    <w:rsid w:val="00CB754A"/>
    <w:rsid w:val="00CC108A"/>
    <w:rsid w:val="00CC7A02"/>
    <w:rsid w:val="00CD0281"/>
    <w:rsid w:val="00CD0B62"/>
    <w:rsid w:val="00CD1D09"/>
    <w:rsid w:val="00CD765F"/>
    <w:rsid w:val="00CE2AC5"/>
    <w:rsid w:val="00CE2F39"/>
    <w:rsid w:val="00CE3A02"/>
    <w:rsid w:val="00CE6404"/>
    <w:rsid w:val="00CE6ABC"/>
    <w:rsid w:val="00CF11C4"/>
    <w:rsid w:val="00CF6154"/>
    <w:rsid w:val="00CF649F"/>
    <w:rsid w:val="00D019CC"/>
    <w:rsid w:val="00D01CF5"/>
    <w:rsid w:val="00D03039"/>
    <w:rsid w:val="00D05662"/>
    <w:rsid w:val="00D05BB6"/>
    <w:rsid w:val="00D05E6A"/>
    <w:rsid w:val="00D07A51"/>
    <w:rsid w:val="00D11E3A"/>
    <w:rsid w:val="00D15527"/>
    <w:rsid w:val="00D16EC4"/>
    <w:rsid w:val="00D20E1D"/>
    <w:rsid w:val="00D27B21"/>
    <w:rsid w:val="00D27E99"/>
    <w:rsid w:val="00D301B6"/>
    <w:rsid w:val="00D33DC9"/>
    <w:rsid w:val="00D3451B"/>
    <w:rsid w:val="00D36DE1"/>
    <w:rsid w:val="00D479D5"/>
    <w:rsid w:val="00D61686"/>
    <w:rsid w:val="00D644FB"/>
    <w:rsid w:val="00D649C8"/>
    <w:rsid w:val="00D65D0E"/>
    <w:rsid w:val="00D7278C"/>
    <w:rsid w:val="00D72D29"/>
    <w:rsid w:val="00D76EC6"/>
    <w:rsid w:val="00D8490D"/>
    <w:rsid w:val="00D84BAC"/>
    <w:rsid w:val="00D85432"/>
    <w:rsid w:val="00D864C0"/>
    <w:rsid w:val="00D86844"/>
    <w:rsid w:val="00D86876"/>
    <w:rsid w:val="00D87798"/>
    <w:rsid w:val="00D916AA"/>
    <w:rsid w:val="00D931C1"/>
    <w:rsid w:val="00D94F14"/>
    <w:rsid w:val="00D95C1E"/>
    <w:rsid w:val="00DA0EF1"/>
    <w:rsid w:val="00DA3E01"/>
    <w:rsid w:val="00DA42B7"/>
    <w:rsid w:val="00DA4FA9"/>
    <w:rsid w:val="00DA7694"/>
    <w:rsid w:val="00DB1956"/>
    <w:rsid w:val="00DB1FA6"/>
    <w:rsid w:val="00DB39B3"/>
    <w:rsid w:val="00DB6B70"/>
    <w:rsid w:val="00DB77E5"/>
    <w:rsid w:val="00DC0068"/>
    <w:rsid w:val="00DC016F"/>
    <w:rsid w:val="00DC594F"/>
    <w:rsid w:val="00DC5D28"/>
    <w:rsid w:val="00DC681C"/>
    <w:rsid w:val="00DD165B"/>
    <w:rsid w:val="00DD3B6E"/>
    <w:rsid w:val="00DD7541"/>
    <w:rsid w:val="00DD756E"/>
    <w:rsid w:val="00DE039D"/>
    <w:rsid w:val="00DE1A54"/>
    <w:rsid w:val="00DE4719"/>
    <w:rsid w:val="00DE7BC4"/>
    <w:rsid w:val="00DF1F9C"/>
    <w:rsid w:val="00DF2594"/>
    <w:rsid w:val="00E02EDF"/>
    <w:rsid w:val="00E059A9"/>
    <w:rsid w:val="00E0755A"/>
    <w:rsid w:val="00E10EEA"/>
    <w:rsid w:val="00E141BF"/>
    <w:rsid w:val="00E16776"/>
    <w:rsid w:val="00E1692E"/>
    <w:rsid w:val="00E1729A"/>
    <w:rsid w:val="00E174AB"/>
    <w:rsid w:val="00E17E65"/>
    <w:rsid w:val="00E2050D"/>
    <w:rsid w:val="00E3218C"/>
    <w:rsid w:val="00E33452"/>
    <w:rsid w:val="00E34535"/>
    <w:rsid w:val="00E350CD"/>
    <w:rsid w:val="00E36848"/>
    <w:rsid w:val="00E42454"/>
    <w:rsid w:val="00E4534A"/>
    <w:rsid w:val="00E45487"/>
    <w:rsid w:val="00E454C2"/>
    <w:rsid w:val="00E46EBC"/>
    <w:rsid w:val="00E50E95"/>
    <w:rsid w:val="00E52942"/>
    <w:rsid w:val="00E54957"/>
    <w:rsid w:val="00E62AEF"/>
    <w:rsid w:val="00E63D3D"/>
    <w:rsid w:val="00E65443"/>
    <w:rsid w:val="00E66801"/>
    <w:rsid w:val="00E71546"/>
    <w:rsid w:val="00E71CBA"/>
    <w:rsid w:val="00E72932"/>
    <w:rsid w:val="00E7527A"/>
    <w:rsid w:val="00E75B15"/>
    <w:rsid w:val="00E76268"/>
    <w:rsid w:val="00E76B62"/>
    <w:rsid w:val="00E76EE1"/>
    <w:rsid w:val="00E770D7"/>
    <w:rsid w:val="00E81F72"/>
    <w:rsid w:val="00E84B55"/>
    <w:rsid w:val="00E85EBC"/>
    <w:rsid w:val="00E870EB"/>
    <w:rsid w:val="00E90AFE"/>
    <w:rsid w:val="00E933E3"/>
    <w:rsid w:val="00E950C2"/>
    <w:rsid w:val="00EA0987"/>
    <w:rsid w:val="00EA3097"/>
    <w:rsid w:val="00EA5644"/>
    <w:rsid w:val="00EA6B24"/>
    <w:rsid w:val="00EB0CBE"/>
    <w:rsid w:val="00EB403B"/>
    <w:rsid w:val="00EB4AB3"/>
    <w:rsid w:val="00EB6C94"/>
    <w:rsid w:val="00EC0E8C"/>
    <w:rsid w:val="00EC48CC"/>
    <w:rsid w:val="00EC52A5"/>
    <w:rsid w:val="00EC5C7D"/>
    <w:rsid w:val="00EC7641"/>
    <w:rsid w:val="00EC7850"/>
    <w:rsid w:val="00ED04F8"/>
    <w:rsid w:val="00ED252F"/>
    <w:rsid w:val="00ED46B6"/>
    <w:rsid w:val="00EE021A"/>
    <w:rsid w:val="00EE644B"/>
    <w:rsid w:val="00EE7401"/>
    <w:rsid w:val="00EF4407"/>
    <w:rsid w:val="00EF4C4C"/>
    <w:rsid w:val="00EF4E74"/>
    <w:rsid w:val="00EF68AC"/>
    <w:rsid w:val="00EF6EF1"/>
    <w:rsid w:val="00F009A4"/>
    <w:rsid w:val="00F00E47"/>
    <w:rsid w:val="00F01D36"/>
    <w:rsid w:val="00F02AE5"/>
    <w:rsid w:val="00F03ABF"/>
    <w:rsid w:val="00F12B14"/>
    <w:rsid w:val="00F1564F"/>
    <w:rsid w:val="00F221DC"/>
    <w:rsid w:val="00F255FF"/>
    <w:rsid w:val="00F25A0A"/>
    <w:rsid w:val="00F2608D"/>
    <w:rsid w:val="00F35ACA"/>
    <w:rsid w:val="00F362EB"/>
    <w:rsid w:val="00F36521"/>
    <w:rsid w:val="00F36C83"/>
    <w:rsid w:val="00F41D83"/>
    <w:rsid w:val="00F437EB"/>
    <w:rsid w:val="00F45878"/>
    <w:rsid w:val="00F468F2"/>
    <w:rsid w:val="00F47291"/>
    <w:rsid w:val="00F50379"/>
    <w:rsid w:val="00F507DB"/>
    <w:rsid w:val="00F54752"/>
    <w:rsid w:val="00F5582B"/>
    <w:rsid w:val="00F55C3C"/>
    <w:rsid w:val="00F560A6"/>
    <w:rsid w:val="00F653DE"/>
    <w:rsid w:val="00F66AAB"/>
    <w:rsid w:val="00F7039E"/>
    <w:rsid w:val="00F7134F"/>
    <w:rsid w:val="00F71373"/>
    <w:rsid w:val="00F713EC"/>
    <w:rsid w:val="00F71C20"/>
    <w:rsid w:val="00F7288F"/>
    <w:rsid w:val="00F732B8"/>
    <w:rsid w:val="00F73889"/>
    <w:rsid w:val="00F741A7"/>
    <w:rsid w:val="00F7494F"/>
    <w:rsid w:val="00F92A4A"/>
    <w:rsid w:val="00F93B9C"/>
    <w:rsid w:val="00F94D1E"/>
    <w:rsid w:val="00F9698D"/>
    <w:rsid w:val="00F96BC1"/>
    <w:rsid w:val="00F96E59"/>
    <w:rsid w:val="00FA0DDF"/>
    <w:rsid w:val="00FA147E"/>
    <w:rsid w:val="00FA2A00"/>
    <w:rsid w:val="00FA4B55"/>
    <w:rsid w:val="00FA61FB"/>
    <w:rsid w:val="00FB1479"/>
    <w:rsid w:val="00FB1B6F"/>
    <w:rsid w:val="00FB1DB0"/>
    <w:rsid w:val="00FB31DF"/>
    <w:rsid w:val="00FB4A17"/>
    <w:rsid w:val="00FB53EE"/>
    <w:rsid w:val="00FB5BE0"/>
    <w:rsid w:val="00FC02A9"/>
    <w:rsid w:val="00FC060D"/>
    <w:rsid w:val="00FC1EA5"/>
    <w:rsid w:val="00FC4AEE"/>
    <w:rsid w:val="00FC4E87"/>
    <w:rsid w:val="00FC5809"/>
    <w:rsid w:val="00FC672E"/>
    <w:rsid w:val="00FC6CE4"/>
    <w:rsid w:val="00FC7A6B"/>
    <w:rsid w:val="00FD1E6B"/>
    <w:rsid w:val="00FD247C"/>
    <w:rsid w:val="00FD2C12"/>
    <w:rsid w:val="00FD2E1C"/>
    <w:rsid w:val="00FD5B72"/>
    <w:rsid w:val="00FD6FB2"/>
    <w:rsid w:val="00FE4CB0"/>
    <w:rsid w:val="00FE5677"/>
    <w:rsid w:val="00FE5E27"/>
    <w:rsid w:val="00FE5E3B"/>
    <w:rsid w:val="00FE7278"/>
    <w:rsid w:val="00FF198B"/>
    <w:rsid w:val="00FF37E6"/>
    <w:rsid w:val="00FF3ADC"/>
    <w:rsid w:val="00FF41DA"/>
    <w:rsid w:val="00FF4533"/>
    <w:rsid w:val="00FF61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502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2020-07-29T18:30:00+00:00</Judgment_x0020_Date>
    <Year xmlns="63bdd487-88aa-4c54-b893-ddaa81ed2e7c">2020</Year>
  </documentManagement>
</p:properties>
</file>

<file path=customXml/itemProps1.xml><?xml version="1.0" encoding="utf-8"?>
<ds:datastoreItem xmlns:ds="http://schemas.openxmlformats.org/officeDocument/2006/customXml" ds:itemID="{9582DB97-8B9C-4ABE-A3A4-244FA89A509D}"/>
</file>

<file path=customXml/itemProps2.xml><?xml version="1.0" encoding="utf-8"?>
<ds:datastoreItem xmlns:ds="http://schemas.openxmlformats.org/officeDocument/2006/customXml" ds:itemID="{ABDCBFA4-B618-427A-B226-AA27B181EC90}"/>
</file>

<file path=customXml/itemProps3.xml><?xml version="1.0" encoding="utf-8"?>
<ds:datastoreItem xmlns:ds="http://schemas.openxmlformats.org/officeDocument/2006/customXml" ds:itemID="{CEEBF2BB-6E99-48F4-9ACB-6F24DAF46C79}"/>
</file>

<file path=customXml/itemProps4.xml><?xml version="1.0" encoding="utf-8"?>
<ds:datastoreItem xmlns:ds="http://schemas.openxmlformats.org/officeDocument/2006/customXml" ds:itemID="{C4E9E83D-F20A-4CE8-9024-8BCF0D3489C9}"/>
</file>

<file path=docProps/app.xml><?xml version="1.0" encoding="utf-8"?>
<Properties xmlns="http://schemas.openxmlformats.org/officeDocument/2006/extended-properties" xmlns:vt="http://schemas.openxmlformats.org/officeDocument/2006/docPropsVTypes">
  <Template>Normal</Template>
  <TotalTime>0</TotalTime>
  <Pages>26</Pages>
  <Words>6013</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Koujo v Minister of Mines and Energy</dc:title>
  <dc:creator>David</dc:creator>
  <cp:lastModifiedBy>Nicole Januarie</cp:lastModifiedBy>
  <cp:revision>2</cp:revision>
  <cp:lastPrinted>2020-07-29T09:15:00Z</cp:lastPrinted>
  <dcterms:created xsi:type="dcterms:W3CDTF">2020-08-03T06:59:00Z</dcterms:created>
  <dcterms:modified xsi:type="dcterms:W3CDTF">2020-08-03T06:59:00Z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