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3C0B" w14:textId="77777777" w:rsidR="00011295" w:rsidRPr="00011295" w:rsidRDefault="00011295" w:rsidP="00B97383">
      <w:pPr>
        <w:spacing w:after="0" w:line="480" w:lineRule="auto"/>
        <w:ind w:left="2160"/>
        <w:jc w:val="both"/>
        <w:rPr>
          <w:rFonts w:ascii="Arial" w:eastAsiaTheme="minorHAnsi" w:hAnsi="Arial" w:cs="Arial"/>
          <w:b/>
          <w:color w:val="000000" w:themeColor="text1"/>
          <w:sz w:val="24"/>
          <w:szCs w:val="24"/>
          <w:lang w:val="en-ZA"/>
        </w:rPr>
      </w:pPr>
      <w:bookmarkStart w:id="0" w:name="_GoBack"/>
      <w:bookmarkEnd w:id="0"/>
      <w:r w:rsidRPr="00011295">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1663343"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14:paraId="48C94CD5" w14:textId="77777777"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14:paraId="34ED0F64"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05744786" w14:textId="73E10FD4"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CASE NO: S</w:t>
      </w:r>
      <w:r w:rsidR="00454FFD">
        <w:rPr>
          <w:rFonts w:ascii="Arial" w:hAnsi="Arial" w:cs="Arial"/>
          <w:sz w:val="24"/>
          <w:szCs w:val="24"/>
        </w:rPr>
        <w:t>A</w:t>
      </w:r>
      <w:r w:rsidRPr="006263C1">
        <w:rPr>
          <w:rFonts w:ascii="Arial" w:hAnsi="Arial" w:cs="Arial"/>
          <w:sz w:val="24"/>
          <w:szCs w:val="24"/>
        </w:rPr>
        <w:t xml:space="preserve"> </w:t>
      </w:r>
      <w:r w:rsidR="006D411B">
        <w:rPr>
          <w:rFonts w:ascii="Arial" w:hAnsi="Arial" w:cs="Arial"/>
          <w:sz w:val="24"/>
          <w:szCs w:val="24"/>
        </w:rPr>
        <w:t>2</w:t>
      </w:r>
      <w:r w:rsidR="00AF3341">
        <w:rPr>
          <w:rFonts w:ascii="Arial" w:hAnsi="Arial" w:cs="Arial"/>
          <w:sz w:val="24"/>
          <w:szCs w:val="24"/>
        </w:rPr>
        <w:t>9</w:t>
      </w:r>
      <w:r>
        <w:rPr>
          <w:rFonts w:ascii="Arial" w:hAnsi="Arial" w:cs="Arial"/>
          <w:sz w:val="24"/>
          <w:szCs w:val="24"/>
        </w:rPr>
        <w:t>/20</w:t>
      </w:r>
      <w:r w:rsidR="00BE3226">
        <w:rPr>
          <w:rFonts w:ascii="Arial" w:hAnsi="Arial" w:cs="Arial"/>
          <w:sz w:val="24"/>
          <w:szCs w:val="24"/>
        </w:rPr>
        <w:t>1</w:t>
      </w:r>
      <w:r w:rsidR="00AF3341">
        <w:rPr>
          <w:rFonts w:ascii="Arial" w:hAnsi="Arial" w:cs="Arial"/>
          <w:sz w:val="24"/>
          <w:szCs w:val="24"/>
        </w:rPr>
        <w:t>8</w:t>
      </w:r>
    </w:p>
    <w:p w14:paraId="58E88B23"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C2EA50A" w14:textId="77777777" w:rsidR="005D68F4" w:rsidRDefault="005D68F4" w:rsidP="00FF4712">
      <w:pPr>
        <w:spacing w:after="0" w:line="480" w:lineRule="auto"/>
        <w:jc w:val="both"/>
        <w:rPr>
          <w:rFonts w:ascii="Arial" w:hAnsi="Arial" w:cs="Arial"/>
          <w:sz w:val="24"/>
          <w:szCs w:val="24"/>
        </w:rPr>
      </w:pPr>
    </w:p>
    <w:p w14:paraId="547E5CFA"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0EC1D5D7" w14:textId="77777777"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14:paraId="1421FFA8" w14:textId="77777777" w:rsidTr="00B74507">
        <w:tc>
          <w:tcPr>
            <w:tcW w:w="5821" w:type="dxa"/>
            <w:shd w:val="clear" w:color="auto" w:fill="auto"/>
          </w:tcPr>
          <w:p w14:paraId="3D35459D" w14:textId="3FB94914" w:rsidR="009D3D25" w:rsidRPr="00500CF6" w:rsidRDefault="006D411B" w:rsidP="00AF3341">
            <w:pPr>
              <w:spacing w:line="480" w:lineRule="auto"/>
              <w:ind w:left="-108"/>
              <w:jc w:val="both"/>
              <w:rPr>
                <w:rFonts w:ascii="Arial" w:hAnsi="Arial" w:cs="Arial"/>
                <w:b/>
                <w:sz w:val="24"/>
                <w:szCs w:val="24"/>
              </w:rPr>
            </w:pPr>
            <w:r>
              <w:rPr>
                <w:rFonts w:ascii="Arial" w:hAnsi="Arial" w:cs="Arial"/>
                <w:b/>
                <w:sz w:val="24"/>
                <w:szCs w:val="24"/>
              </w:rPr>
              <w:t>RIHUPISA JUSTUS KANDANDO</w:t>
            </w:r>
          </w:p>
        </w:tc>
        <w:tc>
          <w:tcPr>
            <w:tcW w:w="2967" w:type="dxa"/>
            <w:shd w:val="clear" w:color="auto" w:fill="auto"/>
          </w:tcPr>
          <w:p w14:paraId="3ACE3708" w14:textId="03BD7FA1" w:rsidR="009D3D25" w:rsidRPr="00500CF6" w:rsidRDefault="009D3D25" w:rsidP="00454FFD">
            <w:pPr>
              <w:spacing w:line="480" w:lineRule="auto"/>
              <w:jc w:val="right"/>
              <w:rPr>
                <w:rFonts w:ascii="Arial" w:hAnsi="Arial" w:cs="Arial"/>
                <w:b/>
                <w:sz w:val="24"/>
                <w:szCs w:val="24"/>
              </w:rPr>
            </w:pPr>
            <w:r>
              <w:rPr>
                <w:rFonts w:ascii="Arial" w:hAnsi="Arial" w:cs="Arial"/>
                <w:b/>
                <w:sz w:val="24"/>
                <w:szCs w:val="24"/>
              </w:rPr>
              <w:t>App</w:t>
            </w:r>
            <w:r w:rsidR="00454FFD">
              <w:rPr>
                <w:rFonts w:ascii="Arial" w:hAnsi="Arial" w:cs="Arial"/>
                <w:b/>
                <w:sz w:val="24"/>
                <w:szCs w:val="24"/>
              </w:rPr>
              <w:t>ell</w:t>
            </w:r>
            <w:r w:rsidR="00B64FA3">
              <w:rPr>
                <w:rFonts w:ascii="Arial" w:hAnsi="Arial" w:cs="Arial"/>
                <w:b/>
                <w:sz w:val="24"/>
                <w:szCs w:val="24"/>
              </w:rPr>
              <w:t>ant</w:t>
            </w:r>
          </w:p>
        </w:tc>
      </w:tr>
      <w:tr w:rsidR="009D3D25" w:rsidRPr="00500CF6" w14:paraId="720D5D95" w14:textId="77777777" w:rsidTr="00B74507">
        <w:tc>
          <w:tcPr>
            <w:tcW w:w="5821" w:type="dxa"/>
            <w:shd w:val="clear" w:color="auto" w:fill="auto"/>
          </w:tcPr>
          <w:p w14:paraId="7694CF35" w14:textId="5BC46145" w:rsidR="009D3D25" w:rsidRDefault="009E281E" w:rsidP="00B63A87">
            <w:pPr>
              <w:spacing w:line="480" w:lineRule="auto"/>
              <w:ind w:left="-108"/>
              <w:jc w:val="both"/>
              <w:rPr>
                <w:rFonts w:ascii="Arial" w:hAnsi="Arial" w:cs="Arial"/>
                <w:b/>
                <w:sz w:val="24"/>
                <w:szCs w:val="24"/>
              </w:rPr>
            </w:pPr>
            <w:r>
              <w:rPr>
                <w:rFonts w:ascii="Arial" w:hAnsi="Arial" w:cs="Arial"/>
                <w:sz w:val="24"/>
                <w:szCs w:val="24"/>
              </w:rPr>
              <w:t>a</w:t>
            </w:r>
            <w:r w:rsidR="009D3D25" w:rsidRPr="00500CF6">
              <w:rPr>
                <w:rFonts w:ascii="Arial" w:hAnsi="Arial" w:cs="Arial"/>
                <w:sz w:val="24"/>
                <w:szCs w:val="24"/>
              </w:rPr>
              <w:t>nd</w:t>
            </w:r>
          </w:p>
        </w:tc>
        <w:tc>
          <w:tcPr>
            <w:tcW w:w="2967" w:type="dxa"/>
            <w:shd w:val="clear" w:color="auto" w:fill="auto"/>
          </w:tcPr>
          <w:p w14:paraId="45DE0908" w14:textId="5140F7C8" w:rsidR="009D3D25" w:rsidRPr="00500CF6" w:rsidRDefault="009D3D25" w:rsidP="00500CF6">
            <w:pPr>
              <w:spacing w:line="480" w:lineRule="auto"/>
              <w:jc w:val="right"/>
              <w:rPr>
                <w:rFonts w:ascii="Arial" w:hAnsi="Arial" w:cs="Arial"/>
                <w:b/>
                <w:sz w:val="24"/>
                <w:szCs w:val="24"/>
              </w:rPr>
            </w:pPr>
          </w:p>
        </w:tc>
      </w:tr>
      <w:tr w:rsidR="009D3D25" w:rsidRPr="00500CF6" w14:paraId="431FC482" w14:textId="77777777" w:rsidTr="00B74507">
        <w:tc>
          <w:tcPr>
            <w:tcW w:w="5821" w:type="dxa"/>
            <w:shd w:val="clear" w:color="auto" w:fill="auto"/>
          </w:tcPr>
          <w:p w14:paraId="77598A06" w14:textId="59EA7C6E" w:rsidR="009D3D25" w:rsidRPr="009D3D25" w:rsidRDefault="006D411B" w:rsidP="00AF3341">
            <w:pPr>
              <w:spacing w:line="480" w:lineRule="auto"/>
              <w:ind w:left="-108"/>
              <w:jc w:val="both"/>
              <w:rPr>
                <w:rFonts w:ascii="Arial" w:hAnsi="Arial" w:cs="Arial"/>
                <w:b/>
                <w:sz w:val="24"/>
                <w:szCs w:val="24"/>
              </w:rPr>
            </w:pPr>
            <w:r>
              <w:rPr>
                <w:rFonts w:ascii="Arial" w:hAnsi="Arial" w:cs="Arial"/>
                <w:b/>
                <w:sz w:val="24"/>
                <w:szCs w:val="24"/>
              </w:rPr>
              <w:t>MEDICAL AND DENTAL COUNCIL OF NAMIBIA</w:t>
            </w:r>
          </w:p>
        </w:tc>
        <w:tc>
          <w:tcPr>
            <w:tcW w:w="2967" w:type="dxa"/>
            <w:shd w:val="clear" w:color="auto" w:fill="auto"/>
          </w:tcPr>
          <w:p w14:paraId="4110F8A6" w14:textId="0B3B1A16" w:rsidR="009D3D25" w:rsidRPr="00500CF6" w:rsidRDefault="006D411B" w:rsidP="00500CF6">
            <w:pPr>
              <w:spacing w:line="480" w:lineRule="auto"/>
              <w:jc w:val="right"/>
              <w:rPr>
                <w:rFonts w:ascii="Arial" w:hAnsi="Arial" w:cs="Arial"/>
                <w:b/>
                <w:sz w:val="24"/>
                <w:szCs w:val="24"/>
              </w:rPr>
            </w:pPr>
            <w:r>
              <w:rPr>
                <w:rFonts w:ascii="Arial" w:hAnsi="Arial" w:cs="Arial"/>
                <w:b/>
                <w:sz w:val="24"/>
                <w:szCs w:val="24"/>
              </w:rPr>
              <w:t xml:space="preserve"> First </w:t>
            </w:r>
            <w:r w:rsidR="009D3D25" w:rsidRPr="00500CF6">
              <w:rPr>
                <w:rFonts w:ascii="Arial" w:hAnsi="Arial" w:cs="Arial"/>
                <w:b/>
                <w:sz w:val="24"/>
                <w:szCs w:val="24"/>
              </w:rPr>
              <w:t>Respondent</w:t>
            </w:r>
          </w:p>
        </w:tc>
      </w:tr>
      <w:tr w:rsidR="006D411B" w:rsidRPr="00500CF6" w14:paraId="50DE5EC1" w14:textId="77777777" w:rsidTr="00B74507">
        <w:tc>
          <w:tcPr>
            <w:tcW w:w="5821" w:type="dxa"/>
            <w:shd w:val="clear" w:color="auto" w:fill="auto"/>
          </w:tcPr>
          <w:p w14:paraId="3F869A68" w14:textId="7DE5FFA8" w:rsidR="006D411B" w:rsidRDefault="006D411B" w:rsidP="00AF3341">
            <w:pPr>
              <w:spacing w:line="480" w:lineRule="auto"/>
              <w:ind w:left="-108"/>
              <w:jc w:val="both"/>
              <w:rPr>
                <w:rFonts w:ascii="Arial" w:hAnsi="Arial" w:cs="Arial"/>
                <w:b/>
                <w:sz w:val="24"/>
                <w:szCs w:val="24"/>
              </w:rPr>
            </w:pPr>
            <w:r>
              <w:rPr>
                <w:rFonts w:ascii="Arial" w:hAnsi="Arial" w:cs="Arial"/>
                <w:b/>
                <w:sz w:val="24"/>
                <w:szCs w:val="24"/>
              </w:rPr>
              <w:t>MINISTER OF HEALTH AND SOCIAL SERVICES</w:t>
            </w:r>
          </w:p>
        </w:tc>
        <w:tc>
          <w:tcPr>
            <w:tcW w:w="2967" w:type="dxa"/>
            <w:shd w:val="clear" w:color="auto" w:fill="auto"/>
          </w:tcPr>
          <w:p w14:paraId="29DE5136" w14:textId="7B8DBF4C" w:rsidR="006D411B" w:rsidRDefault="006D411B" w:rsidP="00500CF6">
            <w:pPr>
              <w:spacing w:line="480" w:lineRule="auto"/>
              <w:jc w:val="right"/>
              <w:rPr>
                <w:rFonts w:ascii="Arial" w:hAnsi="Arial" w:cs="Arial"/>
                <w:b/>
                <w:sz w:val="24"/>
                <w:szCs w:val="24"/>
              </w:rPr>
            </w:pPr>
            <w:r>
              <w:rPr>
                <w:rFonts w:ascii="Arial" w:hAnsi="Arial" w:cs="Arial"/>
                <w:b/>
                <w:sz w:val="24"/>
                <w:szCs w:val="24"/>
              </w:rPr>
              <w:t>Second Respondent</w:t>
            </w:r>
          </w:p>
        </w:tc>
      </w:tr>
      <w:tr w:rsidR="00FD5FF1" w:rsidRPr="00500CF6" w14:paraId="357EA66E" w14:textId="77777777" w:rsidTr="00B74507">
        <w:tc>
          <w:tcPr>
            <w:tcW w:w="5821" w:type="dxa"/>
            <w:shd w:val="clear" w:color="auto" w:fill="auto"/>
          </w:tcPr>
          <w:p w14:paraId="21523690" w14:textId="77777777" w:rsidR="00FD5FF1" w:rsidRDefault="00FD5FF1" w:rsidP="00FD5FF1">
            <w:pPr>
              <w:spacing w:after="0" w:line="480" w:lineRule="auto"/>
              <w:ind w:left="-108"/>
              <w:jc w:val="both"/>
              <w:rPr>
                <w:rFonts w:ascii="Arial" w:hAnsi="Arial" w:cs="Arial"/>
                <w:b/>
                <w:sz w:val="24"/>
                <w:szCs w:val="24"/>
              </w:rPr>
            </w:pPr>
          </w:p>
        </w:tc>
        <w:tc>
          <w:tcPr>
            <w:tcW w:w="2967" w:type="dxa"/>
            <w:shd w:val="clear" w:color="auto" w:fill="auto"/>
          </w:tcPr>
          <w:p w14:paraId="6A03F944" w14:textId="77777777" w:rsidR="00FD5FF1" w:rsidRPr="00500CF6" w:rsidRDefault="00FD5FF1" w:rsidP="00FD5FF1">
            <w:pPr>
              <w:spacing w:after="0" w:line="480" w:lineRule="auto"/>
              <w:jc w:val="both"/>
              <w:rPr>
                <w:rFonts w:ascii="Arial" w:hAnsi="Arial" w:cs="Arial"/>
                <w:b/>
                <w:sz w:val="24"/>
                <w:szCs w:val="24"/>
              </w:rPr>
            </w:pPr>
          </w:p>
        </w:tc>
      </w:tr>
    </w:tbl>
    <w:p w14:paraId="21971C4A" w14:textId="135B059D"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6D411B">
        <w:rPr>
          <w:rFonts w:ascii="Arial" w:hAnsi="Arial" w:cs="Arial"/>
          <w:sz w:val="24"/>
          <w:szCs w:val="24"/>
        </w:rPr>
        <w:t>DAMASEB DCJ, MAINGA JA</w:t>
      </w:r>
      <w:r w:rsidR="001A06C5">
        <w:rPr>
          <w:rFonts w:ascii="Arial" w:hAnsi="Arial" w:cs="Arial"/>
          <w:sz w:val="24"/>
          <w:szCs w:val="24"/>
        </w:rPr>
        <w:t xml:space="preserve"> and </w:t>
      </w:r>
      <w:r w:rsidR="006D411B">
        <w:rPr>
          <w:rFonts w:ascii="Arial" w:hAnsi="Arial" w:cs="Arial"/>
          <w:sz w:val="24"/>
          <w:szCs w:val="24"/>
        </w:rPr>
        <w:t>FRANK AJA</w:t>
      </w:r>
      <w:r>
        <w:rPr>
          <w:rFonts w:ascii="Arial" w:hAnsi="Arial" w:cs="Arial"/>
          <w:sz w:val="24"/>
          <w:szCs w:val="24"/>
        </w:rPr>
        <w:t xml:space="preserve"> </w:t>
      </w:r>
    </w:p>
    <w:p w14:paraId="3D2501C0" w14:textId="5465938B"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6D411B">
        <w:rPr>
          <w:rFonts w:ascii="Arial" w:hAnsi="Arial" w:cs="Arial"/>
          <w:b/>
          <w:sz w:val="24"/>
          <w:szCs w:val="24"/>
        </w:rPr>
        <w:t>31</w:t>
      </w:r>
      <w:r w:rsidR="00E70008">
        <w:rPr>
          <w:rFonts w:ascii="Arial" w:hAnsi="Arial" w:cs="Arial"/>
          <w:b/>
          <w:sz w:val="24"/>
          <w:szCs w:val="24"/>
        </w:rPr>
        <w:t xml:space="preserve"> March</w:t>
      </w:r>
      <w:r w:rsidRPr="00594B41">
        <w:rPr>
          <w:rFonts w:ascii="Arial" w:hAnsi="Arial" w:cs="Arial"/>
          <w:b/>
          <w:sz w:val="24"/>
          <w:szCs w:val="24"/>
        </w:rPr>
        <w:t xml:space="preserve"> 20</w:t>
      </w:r>
      <w:r w:rsidR="00AF3341">
        <w:rPr>
          <w:rFonts w:ascii="Arial" w:hAnsi="Arial" w:cs="Arial"/>
          <w:b/>
          <w:sz w:val="24"/>
          <w:szCs w:val="24"/>
        </w:rPr>
        <w:t>20</w:t>
      </w:r>
    </w:p>
    <w:p w14:paraId="4FC0E56F" w14:textId="179BCBB3"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6F4C66">
        <w:rPr>
          <w:rFonts w:ascii="Arial" w:hAnsi="Arial" w:cs="Arial"/>
          <w:b/>
          <w:sz w:val="24"/>
          <w:szCs w:val="24"/>
        </w:rPr>
        <w:t>07 May 2020</w:t>
      </w:r>
    </w:p>
    <w:p w14:paraId="1600C5A1" w14:textId="77777777" w:rsidR="00E644CC" w:rsidRDefault="00E644CC" w:rsidP="00E644CC">
      <w:pPr>
        <w:spacing w:after="0" w:line="360" w:lineRule="auto"/>
        <w:jc w:val="both"/>
        <w:rPr>
          <w:rFonts w:ascii="Arial" w:hAnsi="Arial" w:cs="Arial"/>
          <w:b/>
          <w:sz w:val="24"/>
          <w:szCs w:val="24"/>
        </w:rPr>
      </w:pPr>
    </w:p>
    <w:p w14:paraId="31C9EF1D" w14:textId="18536A49" w:rsidR="001E46EC" w:rsidRDefault="00545BB4" w:rsidP="00B0224D">
      <w:pPr>
        <w:spacing w:after="0" w:line="360" w:lineRule="auto"/>
        <w:jc w:val="both"/>
        <w:rPr>
          <w:rFonts w:ascii="Arial" w:hAnsi="Arial" w:cs="Arial"/>
          <w:sz w:val="24"/>
          <w:szCs w:val="24"/>
        </w:rPr>
      </w:pPr>
      <w:r>
        <w:rPr>
          <w:rFonts w:ascii="Arial" w:hAnsi="Arial" w:cs="Arial"/>
          <w:b/>
          <w:sz w:val="24"/>
          <w:szCs w:val="24"/>
        </w:rPr>
        <w:t xml:space="preserve">Summary: </w:t>
      </w:r>
      <w:r w:rsidR="001E46EC">
        <w:rPr>
          <w:rFonts w:ascii="Arial" w:hAnsi="Arial" w:cs="Arial"/>
          <w:sz w:val="24"/>
          <w:szCs w:val="24"/>
        </w:rPr>
        <w:t xml:space="preserve"> </w:t>
      </w:r>
      <w:r w:rsidR="001B292D">
        <w:rPr>
          <w:rFonts w:ascii="Arial" w:hAnsi="Arial" w:cs="Arial"/>
          <w:sz w:val="24"/>
          <w:szCs w:val="24"/>
        </w:rPr>
        <w:t>This appeal involves the interpretation of regulation 10(c) of the regulations</w:t>
      </w:r>
      <w:r w:rsidR="00BB49CF">
        <w:rPr>
          <w:rFonts w:ascii="Arial" w:hAnsi="Arial" w:cs="Arial"/>
          <w:sz w:val="24"/>
          <w:szCs w:val="24"/>
        </w:rPr>
        <w:t>,</w:t>
      </w:r>
      <w:r w:rsidR="001B292D">
        <w:rPr>
          <w:rFonts w:ascii="Arial" w:hAnsi="Arial" w:cs="Arial"/>
          <w:sz w:val="24"/>
          <w:szCs w:val="24"/>
        </w:rPr>
        <w:t xml:space="preserve"> </w:t>
      </w:r>
      <w:r w:rsidR="001B292D" w:rsidRPr="001B292D">
        <w:rPr>
          <w:rFonts w:ascii="Arial" w:hAnsi="Arial" w:cs="Arial"/>
          <w:i/>
          <w:sz w:val="24"/>
          <w:szCs w:val="24"/>
        </w:rPr>
        <w:t>inter alia</w:t>
      </w:r>
      <w:r w:rsidR="00BB49CF">
        <w:rPr>
          <w:rFonts w:ascii="Arial" w:hAnsi="Arial" w:cs="Arial"/>
          <w:i/>
          <w:sz w:val="24"/>
          <w:szCs w:val="24"/>
        </w:rPr>
        <w:t>,</w:t>
      </w:r>
      <w:r w:rsidR="001B292D">
        <w:rPr>
          <w:rFonts w:ascii="Arial" w:hAnsi="Arial" w:cs="Arial"/>
          <w:sz w:val="24"/>
          <w:szCs w:val="24"/>
        </w:rPr>
        <w:t xml:space="preserve"> relating to clinical biochemists made in terms of s 59 of the Medical and Dental Act 10 of 2004. Appellant holds the view that the use of the word ‘may’ in reg 10(c) allows him to examine and conduct tests on a patient who approaches him directly while the respondents maintain that appellant can only examine and conduct tests on a patient referred to him by a medical practitioner, as requested by that medical practitioner in the referral.</w:t>
      </w:r>
    </w:p>
    <w:p w14:paraId="2596AC65" w14:textId="77777777" w:rsidR="001B292D" w:rsidRDefault="001B292D" w:rsidP="00B0224D">
      <w:pPr>
        <w:spacing w:after="0" w:line="360" w:lineRule="auto"/>
        <w:jc w:val="both"/>
        <w:rPr>
          <w:rFonts w:ascii="Arial" w:hAnsi="Arial" w:cs="Arial"/>
          <w:sz w:val="24"/>
          <w:szCs w:val="24"/>
        </w:rPr>
      </w:pPr>
    </w:p>
    <w:p w14:paraId="2E0B8174" w14:textId="741B0F5E" w:rsidR="001B292D" w:rsidRDefault="001B292D" w:rsidP="00B0224D">
      <w:pPr>
        <w:spacing w:after="0" w:line="360" w:lineRule="auto"/>
        <w:jc w:val="both"/>
        <w:rPr>
          <w:rFonts w:ascii="Arial" w:hAnsi="Arial" w:cs="Arial"/>
          <w:sz w:val="24"/>
          <w:szCs w:val="24"/>
        </w:rPr>
      </w:pPr>
      <w:r>
        <w:rPr>
          <w:rFonts w:ascii="Arial" w:hAnsi="Arial" w:cs="Arial"/>
          <w:sz w:val="24"/>
          <w:szCs w:val="24"/>
        </w:rPr>
        <w:lastRenderedPageBreak/>
        <w:t>During October 2009</w:t>
      </w:r>
      <w:r w:rsidR="00BB49CF">
        <w:rPr>
          <w:rFonts w:ascii="Arial" w:hAnsi="Arial" w:cs="Arial"/>
          <w:sz w:val="24"/>
          <w:szCs w:val="24"/>
        </w:rPr>
        <w:t>,</w:t>
      </w:r>
      <w:r>
        <w:rPr>
          <w:rFonts w:ascii="Arial" w:hAnsi="Arial" w:cs="Arial"/>
          <w:sz w:val="24"/>
          <w:szCs w:val="24"/>
        </w:rPr>
        <w:t xml:space="preserve"> the secretariat of the first respondent (</w:t>
      </w:r>
      <w:r w:rsidR="00C43EC2">
        <w:rPr>
          <w:rFonts w:ascii="Arial" w:hAnsi="Arial" w:cs="Arial"/>
          <w:sz w:val="24"/>
          <w:szCs w:val="24"/>
        </w:rPr>
        <w:t>r</w:t>
      </w:r>
      <w:r>
        <w:rPr>
          <w:rFonts w:ascii="Arial" w:hAnsi="Arial" w:cs="Arial"/>
          <w:sz w:val="24"/>
          <w:szCs w:val="24"/>
        </w:rPr>
        <w:t xml:space="preserve">egistrar and the </w:t>
      </w:r>
      <w:r w:rsidR="00C43EC2">
        <w:rPr>
          <w:rFonts w:ascii="Arial" w:hAnsi="Arial" w:cs="Arial"/>
          <w:sz w:val="24"/>
          <w:szCs w:val="24"/>
        </w:rPr>
        <w:t>a</w:t>
      </w:r>
      <w:r>
        <w:rPr>
          <w:rFonts w:ascii="Arial" w:hAnsi="Arial" w:cs="Arial"/>
          <w:sz w:val="24"/>
          <w:szCs w:val="24"/>
        </w:rPr>
        <w:t xml:space="preserve">ssistant) and a legal consultant from the </w:t>
      </w:r>
      <w:r w:rsidR="00BB49CF">
        <w:rPr>
          <w:rFonts w:ascii="Arial" w:hAnsi="Arial" w:cs="Arial"/>
          <w:sz w:val="24"/>
          <w:szCs w:val="24"/>
        </w:rPr>
        <w:t>Ministr</w:t>
      </w:r>
      <w:r w:rsidR="00190FA0">
        <w:rPr>
          <w:rFonts w:ascii="Arial" w:hAnsi="Arial" w:cs="Arial"/>
          <w:sz w:val="24"/>
          <w:szCs w:val="24"/>
        </w:rPr>
        <w:t>y</w:t>
      </w:r>
      <w:r w:rsidR="00BB49CF">
        <w:rPr>
          <w:rFonts w:ascii="Arial" w:hAnsi="Arial" w:cs="Arial"/>
          <w:sz w:val="24"/>
          <w:szCs w:val="24"/>
        </w:rPr>
        <w:t xml:space="preserve"> of Health and Social Services (MOHSS)</w:t>
      </w:r>
      <w:r>
        <w:rPr>
          <w:rFonts w:ascii="Arial" w:hAnsi="Arial" w:cs="Arial"/>
          <w:sz w:val="24"/>
          <w:szCs w:val="24"/>
        </w:rPr>
        <w:t xml:space="preserve"> had a consultative meeting with the appellant. At that meeting</w:t>
      </w:r>
      <w:r w:rsidR="00BB49CF">
        <w:rPr>
          <w:rFonts w:ascii="Arial" w:hAnsi="Arial" w:cs="Arial"/>
          <w:sz w:val="24"/>
          <w:szCs w:val="24"/>
        </w:rPr>
        <w:t>,</w:t>
      </w:r>
      <w:r>
        <w:rPr>
          <w:rFonts w:ascii="Arial" w:hAnsi="Arial" w:cs="Arial"/>
          <w:sz w:val="24"/>
          <w:szCs w:val="24"/>
        </w:rPr>
        <w:t xml:space="preserve"> they sought written view</w:t>
      </w:r>
      <w:r w:rsidR="00BB49CF">
        <w:rPr>
          <w:rFonts w:ascii="Arial" w:hAnsi="Arial" w:cs="Arial"/>
          <w:sz w:val="24"/>
          <w:szCs w:val="24"/>
        </w:rPr>
        <w:t>s</w:t>
      </w:r>
      <w:r>
        <w:rPr>
          <w:rFonts w:ascii="Arial" w:hAnsi="Arial" w:cs="Arial"/>
          <w:sz w:val="24"/>
          <w:szCs w:val="24"/>
        </w:rPr>
        <w:t xml:space="preserve"> from the appellant what the scope of practice for clinical biochemists should entail. He could not provide his written view immediately as he had to travel. During his absence the first respondent came up with drafts. When</w:t>
      </w:r>
      <w:r w:rsidR="00C11639">
        <w:rPr>
          <w:rFonts w:ascii="Arial" w:hAnsi="Arial" w:cs="Arial"/>
          <w:sz w:val="24"/>
          <w:szCs w:val="24"/>
        </w:rPr>
        <w:t xml:space="preserve"> appellant returned during March 2010 the drafts were made available to him and he was invited to another meeting where he made his views known.</w:t>
      </w:r>
    </w:p>
    <w:p w14:paraId="7A5CCA64" w14:textId="77777777" w:rsidR="00C11639" w:rsidRDefault="00C11639" w:rsidP="00B0224D">
      <w:pPr>
        <w:spacing w:after="0" w:line="360" w:lineRule="auto"/>
        <w:jc w:val="both"/>
        <w:rPr>
          <w:rFonts w:ascii="Arial" w:hAnsi="Arial" w:cs="Arial"/>
          <w:sz w:val="24"/>
          <w:szCs w:val="24"/>
        </w:rPr>
      </w:pPr>
    </w:p>
    <w:p w14:paraId="64FB584D" w14:textId="280E030C" w:rsidR="00C11639" w:rsidRDefault="00C11639" w:rsidP="00B0224D">
      <w:pPr>
        <w:spacing w:after="0" w:line="360" w:lineRule="auto"/>
        <w:jc w:val="both"/>
        <w:rPr>
          <w:rFonts w:ascii="Arial" w:hAnsi="Arial" w:cs="Arial"/>
          <w:sz w:val="24"/>
          <w:szCs w:val="24"/>
        </w:rPr>
      </w:pPr>
      <w:r>
        <w:rPr>
          <w:rFonts w:ascii="Arial" w:hAnsi="Arial" w:cs="Arial"/>
          <w:sz w:val="24"/>
          <w:szCs w:val="24"/>
        </w:rPr>
        <w:t>Subsequent to that meeting</w:t>
      </w:r>
      <w:r w:rsidR="00BB49CF">
        <w:rPr>
          <w:rFonts w:ascii="Arial" w:hAnsi="Arial" w:cs="Arial"/>
          <w:sz w:val="24"/>
          <w:szCs w:val="24"/>
        </w:rPr>
        <w:t>,</w:t>
      </w:r>
      <w:r>
        <w:rPr>
          <w:rFonts w:ascii="Arial" w:hAnsi="Arial" w:cs="Arial"/>
          <w:sz w:val="24"/>
          <w:szCs w:val="24"/>
        </w:rPr>
        <w:t xml:space="preserve"> he received by email the revised regulations which were to be recommended to the Minister for his approval and signature and later to be gazette</w:t>
      </w:r>
      <w:r w:rsidR="00BB49CF">
        <w:rPr>
          <w:rFonts w:ascii="Arial" w:hAnsi="Arial" w:cs="Arial"/>
          <w:sz w:val="24"/>
          <w:szCs w:val="24"/>
        </w:rPr>
        <w:t>d</w:t>
      </w:r>
      <w:r>
        <w:rPr>
          <w:rFonts w:ascii="Arial" w:hAnsi="Arial" w:cs="Arial"/>
          <w:sz w:val="24"/>
          <w:szCs w:val="24"/>
        </w:rPr>
        <w:t xml:space="preserve"> into law. The revised regulations met appellant’s approval.</w:t>
      </w:r>
    </w:p>
    <w:p w14:paraId="4740346E" w14:textId="77777777" w:rsidR="00C11639" w:rsidRDefault="00C11639" w:rsidP="00B0224D">
      <w:pPr>
        <w:spacing w:after="0" w:line="360" w:lineRule="auto"/>
        <w:jc w:val="both"/>
        <w:rPr>
          <w:rFonts w:ascii="Arial" w:hAnsi="Arial" w:cs="Arial"/>
          <w:sz w:val="24"/>
          <w:szCs w:val="24"/>
        </w:rPr>
      </w:pPr>
    </w:p>
    <w:p w14:paraId="05283130" w14:textId="73337C61" w:rsidR="00C11639" w:rsidRDefault="00C11639" w:rsidP="00B0224D">
      <w:pPr>
        <w:spacing w:after="0" w:line="360" w:lineRule="auto"/>
        <w:jc w:val="both"/>
        <w:rPr>
          <w:rFonts w:ascii="Arial" w:hAnsi="Arial" w:cs="Arial"/>
          <w:sz w:val="24"/>
          <w:szCs w:val="24"/>
        </w:rPr>
      </w:pPr>
      <w:r>
        <w:rPr>
          <w:rFonts w:ascii="Arial" w:hAnsi="Arial" w:cs="Arial"/>
          <w:sz w:val="24"/>
          <w:szCs w:val="24"/>
        </w:rPr>
        <w:t>Once the regulations</w:t>
      </w:r>
      <w:r w:rsidR="00AA03C7">
        <w:rPr>
          <w:rFonts w:ascii="Arial" w:hAnsi="Arial" w:cs="Arial"/>
          <w:sz w:val="24"/>
          <w:szCs w:val="24"/>
        </w:rPr>
        <w:t xml:space="preserve"> were published on 16 June 2010, reg 10(c) was no longer couched in its original form, which appellant had sanctioned. Regulation 10(c) in its original form read:</w:t>
      </w:r>
    </w:p>
    <w:p w14:paraId="2DE048A2" w14:textId="77777777" w:rsidR="00BB49CF" w:rsidRDefault="00BB49CF" w:rsidP="00B0224D">
      <w:pPr>
        <w:spacing w:after="0" w:line="360" w:lineRule="auto"/>
        <w:jc w:val="both"/>
        <w:rPr>
          <w:rFonts w:ascii="Arial" w:hAnsi="Arial" w:cs="Arial"/>
          <w:sz w:val="24"/>
          <w:szCs w:val="24"/>
        </w:rPr>
      </w:pPr>
    </w:p>
    <w:p w14:paraId="082AF57B" w14:textId="17DEBCFD" w:rsidR="00AA03C7" w:rsidRPr="00BB49CF" w:rsidRDefault="00AA03C7" w:rsidP="00B0224D">
      <w:pPr>
        <w:spacing w:after="0" w:line="360" w:lineRule="auto"/>
        <w:ind w:left="720"/>
        <w:jc w:val="both"/>
        <w:rPr>
          <w:rFonts w:ascii="Arial" w:hAnsi="Arial" w:cs="Arial"/>
        </w:rPr>
      </w:pPr>
      <w:r w:rsidRPr="00BB49CF">
        <w:rPr>
          <w:rFonts w:ascii="Arial" w:hAnsi="Arial" w:cs="Arial"/>
        </w:rPr>
        <w:t>‘A specialist clinical biochemist may treat without a referral any person who approaches him or her directly for a consultation</w:t>
      </w:r>
      <w:r w:rsidR="00BB49CF">
        <w:rPr>
          <w:rFonts w:ascii="Arial" w:hAnsi="Arial" w:cs="Arial"/>
        </w:rPr>
        <w:t>.</w:t>
      </w:r>
      <w:r w:rsidRPr="00BB49CF">
        <w:rPr>
          <w:rFonts w:ascii="Arial" w:hAnsi="Arial" w:cs="Arial"/>
        </w:rPr>
        <w:t>’</w:t>
      </w:r>
    </w:p>
    <w:p w14:paraId="223C4104" w14:textId="77777777" w:rsidR="00AA03C7" w:rsidRDefault="00AA03C7" w:rsidP="00B0224D">
      <w:pPr>
        <w:spacing w:after="0" w:line="360" w:lineRule="auto"/>
        <w:jc w:val="both"/>
        <w:rPr>
          <w:rFonts w:ascii="Arial" w:hAnsi="Arial" w:cs="Arial"/>
          <w:sz w:val="24"/>
          <w:szCs w:val="24"/>
        </w:rPr>
      </w:pPr>
    </w:p>
    <w:p w14:paraId="4451445E" w14:textId="5704EABC" w:rsidR="00AA03C7" w:rsidRDefault="00AA03C7" w:rsidP="00B0224D">
      <w:pPr>
        <w:spacing w:after="0" w:line="360" w:lineRule="auto"/>
        <w:jc w:val="both"/>
        <w:rPr>
          <w:rFonts w:ascii="Arial" w:hAnsi="Arial" w:cs="Arial"/>
          <w:sz w:val="24"/>
          <w:szCs w:val="24"/>
        </w:rPr>
      </w:pPr>
      <w:r>
        <w:rPr>
          <w:rFonts w:ascii="Arial" w:hAnsi="Arial" w:cs="Arial"/>
          <w:sz w:val="24"/>
          <w:szCs w:val="24"/>
        </w:rPr>
        <w:t>The promulgated reg 10(c)</w:t>
      </w:r>
      <w:r w:rsidR="00BB49CF">
        <w:rPr>
          <w:rFonts w:ascii="Arial" w:hAnsi="Arial" w:cs="Arial"/>
          <w:sz w:val="24"/>
          <w:szCs w:val="24"/>
        </w:rPr>
        <w:t>,</w:t>
      </w:r>
      <w:r>
        <w:rPr>
          <w:rFonts w:ascii="Arial" w:hAnsi="Arial" w:cs="Arial"/>
          <w:sz w:val="24"/>
          <w:szCs w:val="24"/>
        </w:rPr>
        <w:t xml:space="preserve"> the subject matter of this appeal reads:-</w:t>
      </w:r>
    </w:p>
    <w:p w14:paraId="702AEEF1" w14:textId="77777777" w:rsidR="00B0224D" w:rsidRDefault="00B0224D" w:rsidP="00B0224D">
      <w:pPr>
        <w:spacing w:after="0" w:line="360" w:lineRule="auto"/>
        <w:jc w:val="both"/>
        <w:rPr>
          <w:rFonts w:ascii="Arial" w:hAnsi="Arial" w:cs="Arial"/>
          <w:sz w:val="24"/>
          <w:szCs w:val="24"/>
        </w:rPr>
      </w:pPr>
    </w:p>
    <w:p w14:paraId="15F3FD97" w14:textId="39AE1B4C" w:rsidR="00AA03C7" w:rsidRDefault="00BB49CF" w:rsidP="00B0224D">
      <w:pPr>
        <w:spacing w:after="0" w:line="360" w:lineRule="auto"/>
        <w:ind w:left="720"/>
        <w:jc w:val="both"/>
        <w:rPr>
          <w:rFonts w:ascii="Arial" w:hAnsi="Arial" w:cs="Arial"/>
          <w:sz w:val="24"/>
          <w:szCs w:val="24"/>
        </w:rPr>
      </w:pPr>
      <w:r>
        <w:rPr>
          <w:rFonts w:ascii="Arial" w:hAnsi="Arial" w:cs="Arial"/>
        </w:rPr>
        <w:t>‘</w:t>
      </w:r>
      <w:r w:rsidR="00AA03C7" w:rsidRPr="00BB49CF">
        <w:rPr>
          <w:rFonts w:ascii="Arial" w:hAnsi="Arial" w:cs="Arial"/>
        </w:rPr>
        <w:t>A specialist clinical biochemist may examine and conduct tests on a patient referred to him or her by medical practitioner, as requested by that medical practitioner in the referral</w:t>
      </w:r>
      <w:r w:rsidR="00152147">
        <w:rPr>
          <w:rFonts w:ascii="Arial" w:hAnsi="Arial" w:cs="Arial"/>
        </w:rPr>
        <w:t>.</w:t>
      </w:r>
      <w:r>
        <w:rPr>
          <w:rFonts w:ascii="Arial" w:hAnsi="Arial" w:cs="Arial"/>
        </w:rPr>
        <w:t>’</w:t>
      </w:r>
    </w:p>
    <w:p w14:paraId="187C0EB1" w14:textId="77777777" w:rsidR="00AA03C7" w:rsidRDefault="00AA03C7" w:rsidP="00B0224D">
      <w:pPr>
        <w:spacing w:after="0" w:line="360" w:lineRule="auto"/>
        <w:jc w:val="both"/>
        <w:rPr>
          <w:rFonts w:ascii="Arial" w:hAnsi="Arial" w:cs="Arial"/>
          <w:sz w:val="24"/>
          <w:szCs w:val="24"/>
        </w:rPr>
      </w:pPr>
    </w:p>
    <w:p w14:paraId="6A4C5611" w14:textId="459F50D5" w:rsidR="00AA03C7" w:rsidRDefault="00AA03C7" w:rsidP="00B0224D">
      <w:pPr>
        <w:spacing w:after="0" w:line="360" w:lineRule="auto"/>
        <w:jc w:val="both"/>
        <w:rPr>
          <w:rFonts w:ascii="Arial" w:hAnsi="Arial" w:cs="Arial"/>
          <w:sz w:val="24"/>
          <w:szCs w:val="24"/>
        </w:rPr>
      </w:pPr>
      <w:r>
        <w:rPr>
          <w:rFonts w:ascii="Arial" w:hAnsi="Arial" w:cs="Arial"/>
          <w:sz w:val="24"/>
          <w:szCs w:val="24"/>
        </w:rPr>
        <w:t>After some serious consideration</w:t>
      </w:r>
      <w:r w:rsidR="00BB49CF">
        <w:rPr>
          <w:rFonts w:ascii="Arial" w:hAnsi="Arial" w:cs="Arial"/>
          <w:sz w:val="24"/>
          <w:szCs w:val="24"/>
        </w:rPr>
        <w:t>,</w:t>
      </w:r>
      <w:r>
        <w:rPr>
          <w:rFonts w:ascii="Arial" w:hAnsi="Arial" w:cs="Arial"/>
          <w:sz w:val="24"/>
          <w:szCs w:val="24"/>
        </w:rPr>
        <w:t xml:space="preserve"> he resolved that there was no difference between the enacted reg 10(</w:t>
      </w:r>
      <w:r w:rsidRPr="00152147">
        <w:rPr>
          <w:rFonts w:ascii="Arial" w:hAnsi="Arial" w:cs="Arial"/>
          <w:i/>
          <w:sz w:val="24"/>
          <w:szCs w:val="24"/>
        </w:rPr>
        <w:t>c</w:t>
      </w:r>
      <w:r>
        <w:rPr>
          <w:rFonts w:ascii="Arial" w:hAnsi="Arial" w:cs="Arial"/>
          <w:sz w:val="24"/>
          <w:szCs w:val="24"/>
        </w:rPr>
        <w:t>) and the draft reg 10(</w:t>
      </w:r>
      <w:r w:rsidRPr="00152147">
        <w:rPr>
          <w:rFonts w:ascii="Arial" w:hAnsi="Arial" w:cs="Arial"/>
          <w:i/>
          <w:sz w:val="24"/>
          <w:szCs w:val="24"/>
        </w:rPr>
        <w:t>c</w:t>
      </w:r>
      <w:r>
        <w:rPr>
          <w:rFonts w:ascii="Arial" w:hAnsi="Arial" w:cs="Arial"/>
          <w:sz w:val="24"/>
          <w:szCs w:val="24"/>
        </w:rPr>
        <w:t>) as the word ‘may’ was discretionary and not mandatory. In other words</w:t>
      </w:r>
      <w:r w:rsidR="00BB49CF">
        <w:rPr>
          <w:rFonts w:ascii="Arial" w:hAnsi="Arial" w:cs="Arial"/>
          <w:sz w:val="24"/>
          <w:szCs w:val="24"/>
        </w:rPr>
        <w:t>,</w:t>
      </w:r>
      <w:r>
        <w:rPr>
          <w:rFonts w:ascii="Arial" w:hAnsi="Arial" w:cs="Arial"/>
          <w:sz w:val="24"/>
          <w:szCs w:val="24"/>
        </w:rPr>
        <w:t xml:space="preserve"> he could still practice</w:t>
      </w:r>
      <w:r w:rsidR="00723A38">
        <w:rPr>
          <w:rFonts w:ascii="Arial" w:hAnsi="Arial" w:cs="Arial"/>
          <w:sz w:val="24"/>
          <w:szCs w:val="24"/>
        </w:rPr>
        <w:t xml:space="preserve"> his profession as provided by the original or draft reg 10(</w:t>
      </w:r>
      <w:r w:rsidR="00723A38" w:rsidRPr="00152147">
        <w:rPr>
          <w:rFonts w:ascii="Arial" w:hAnsi="Arial" w:cs="Arial"/>
          <w:i/>
          <w:sz w:val="24"/>
          <w:szCs w:val="24"/>
        </w:rPr>
        <w:t>c</w:t>
      </w:r>
      <w:r w:rsidR="00723A38">
        <w:rPr>
          <w:rFonts w:ascii="Arial" w:hAnsi="Arial" w:cs="Arial"/>
          <w:sz w:val="24"/>
          <w:szCs w:val="24"/>
        </w:rPr>
        <w:t>). Notwithstanding that resolve</w:t>
      </w:r>
      <w:r w:rsidR="00BB49CF">
        <w:rPr>
          <w:rFonts w:ascii="Arial" w:hAnsi="Arial" w:cs="Arial"/>
          <w:sz w:val="24"/>
          <w:szCs w:val="24"/>
        </w:rPr>
        <w:t>,</w:t>
      </w:r>
      <w:r w:rsidR="00723A38">
        <w:rPr>
          <w:rFonts w:ascii="Arial" w:hAnsi="Arial" w:cs="Arial"/>
          <w:sz w:val="24"/>
          <w:szCs w:val="24"/>
        </w:rPr>
        <w:t xml:space="preserve"> he continued to engage the first respondent on the interpretation of reg 10(</w:t>
      </w:r>
      <w:r w:rsidR="00723A38" w:rsidRPr="00152147">
        <w:rPr>
          <w:rFonts w:ascii="Arial" w:hAnsi="Arial" w:cs="Arial"/>
          <w:i/>
          <w:sz w:val="24"/>
          <w:szCs w:val="24"/>
        </w:rPr>
        <w:t>c</w:t>
      </w:r>
      <w:r w:rsidR="00723A38">
        <w:rPr>
          <w:rFonts w:ascii="Arial" w:hAnsi="Arial" w:cs="Arial"/>
          <w:sz w:val="24"/>
          <w:szCs w:val="24"/>
        </w:rPr>
        <w:t>)</w:t>
      </w:r>
      <w:r w:rsidR="00BB49CF">
        <w:rPr>
          <w:rFonts w:ascii="Arial" w:hAnsi="Arial" w:cs="Arial"/>
          <w:sz w:val="24"/>
          <w:szCs w:val="24"/>
        </w:rPr>
        <w:t>,</w:t>
      </w:r>
      <w:r w:rsidR="00723A38">
        <w:rPr>
          <w:rFonts w:ascii="Arial" w:hAnsi="Arial" w:cs="Arial"/>
          <w:sz w:val="24"/>
          <w:szCs w:val="24"/>
        </w:rPr>
        <w:t xml:space="preserve"> but first respondent remained fixed on the wording of reg 10(</w:t>
      </w:r>
      <w:r w:rsidR="00723A38" w:rsidRPr="00152147">
        <w:rPr>
          <w:rFonts w:ascii="Arial" w:hAnsi="Arial" w:cs="Arial"/>
          <w:i/>
          <w:sz w:val="24"/>
          <w:szCs w:val="24"/>
        </w:rPr>
        <w:t>c</w:t>
      </w:r>
      <w:r w:rsidR="00723A38">
        <w:rPr>
          <w:rFonts w:ascii="Arial" w:hAnsi="Arial" w:cs="Arial"/>
          <w:sz w:val="24"/>
          <w:szCs w:val="24"/>
        </w:rPr>
        <w:t>).</w:t>
      </w:r>
    </w:p>
    <w:p w14:paraId="6325114E" w14:textId="77777777" w:rsidR="00723A38" w:rsidRDefault="00723A38" w:rsidP="00B0224D">
      <w:pPr>
        <w:spacing w:after="0" w:line="360" w:lineRule="auto"/>
        <w:jc w:val="both"/>
        <w:rPr>
          <w:rFonts w:ascii="Arial" w:hAnsi="Arial" w:cs="Arial"/>
          <w:sz w:val="24"/>
          <w:szCs w:val="24"/>
        </w:rPr>
      </w:pPr>
    </w:p>
    <w:p w14:paraId="7DF595F0" w14:textId="31265F85" w:rsidR="00723A38" w:rsidRDefault="00723A38" w:rsidP="00B0224D">
      <w:pPr>
        <w:spacing w:after="0" w:line="360" w:lineRule="auto"/>
        <w:jc w:val="both"/>
        <w:rPr>
          <w:rFonts w:ascii="Arial" w:hAnsi="Arial" w:cs="Arial"/>
          <w:sz w:val="24"/>
          <w:szCs w:val="24"/>
        </w:rPr>
      </w:pPr>
      <w:r>
        <w:rPr>
          <w:rFonts w:ascii="Arial" w:hAnsi="Arial" w:cs="Arial"/>
          <w:sz w:val="24"/>
          <w:szCs w:val="24"/>
        </w:rPr>
        <w:lastRenderedPageBreak/>
        <w:t xml:space="preserve">On 5 July </w:t>
      </w:r>
      <w:r w:rsidR="00BB49CF">
        <w:rPr>
          <w:rFonts w:ascii="Arial" w:hAnsi="Arial" w:cs="Arial"/>
          <w:sz w:val="24"/>
          <w:szCs w:val="24"/>
        </w:rPr>
        <w:t>2010,</w:t>
      </w:r>
      <w:r w:rsidR="00544A90">
        <w:rPr>
          <w:rFonts w:ascii="Arial" w:hAnsi="Arial" w:cs="Arial"/>
          <w:sz w:val="24"/>
          <w:szCs w:val="24"/>
        </w:rPr>
        <w:t xml:space="preserve"> </w:t>
      </w:r>
      <w:r>
        <w:rPr>
          <w:rFonts w:ascii="Arial" w:hAnsi="Arial" w:cs="Arial"/>
          <w:sz w:val="24"/>
          <w:szCs w:val="24"/>
        </w:rPr>
        <w:t>appellant wrote to the Minister seeking an amendment to reg 10(</w:t>
      </w:r>
      <w:r w:rsidRPr="00152147">
        <w:rPr>
          <w:rFonts w:ascii="Arial" w:hAnsi="Arial" w:cs="Arial"/>
          <w:i/>
          <w:sz w:val="24"/>
          <w:szCs w:val="24"/>
        </w:rPr>
        <w:t>c</w:t>
      </w:r>
      <w:r>
        <w:rPr>
          <w:rFonts w:ascii="Arial" w:hAnsi="Arial" w:cs="Arial"/>
          <w:sz w:val="24"/>
          <w:szCs w:val="24"/>
        </w:rPr>
        <w:t>)</w:t>
      </w:r>
      <w:r w:rsidR="00BB49CF">
        <w:rPr>
          <w:rFonts w:ascii="Arial" w:hAnsi="Arial" w:cs="Arial"/>
          <w:sz w:val="24"/>
          <w:szCs w:val="24"/>
        </w:rPr>
        <w:t>. I</w:t>
      </w:r>
      <w:r>
        <w:rPr>
          <w:rFonts w:ascii="Arial" w:hAnsi="Arial" w:cs="Arial"/>
          <w:sz w:val="24"/>
          <w:szCs w:val="24"/>
        </w:rPr>
        <w:t>n th</w:t>
      </w:r>
      <w:r w:rsidR="00BB49CF">
        <w:rPr>
          <w:rFonts w:ascii="Arial" w:hAnsi="Arial" w:cs="Arial"/>
          <w:sz w:val="24"/>
          <w:szCs w:val="24"/>
        </w:rPr>
        <w:t>at</w:t>
      </w:r>
      <w:r>
        <w:rPr>
          <w:rFonts w:ascii="Arial" w:hAnsi="Arial" w:cs="Arial"/>
          <w:sz w:val="24"/>
          <w:szCs w:val="24"/>
        </w:rPr>
        <w:t xml:space="preserve"> letter he made comparisons with other professions, where specialists are allowed to consult patients directly. The Minister declined the invitation and among other things stated that appellant’s comparisons with other unrelated professions was farfetched and that before he signed the recommendation</w:t>
      </w:r>
      <w:r w:rsidR="00BB49CF">
        <w:rPr>
          <w:rFonts w:ascii="Arial" w:hAnsi="Arial" w:cs="Arial"/>
          <w:sz w:val="24"/>
          <w:szCs w:val="24"/>
        </w:rPr>
        <w:t>s</w:t>
      </w:r>
      <w:r>
        <w:rPr>
          <w:rFonts w:ascii="Arial" w:hAnsi="Arial" w:cs="Arial"/>
          <w:sz w:val="24"/>
          <w:szCs w:val="24"/>
        </w:rPr>
        <w:t xml:space="preserve"> from the first respondent he had submitted the draft regulations to the Ministry’s highest policy making body (PMDRC) for a thorough scrutiny and that the first respondent had prerogative powers to alter the recommendations. On 29 September 2010</w:t>
      </w:r>
      <w:r w:rsidR="00BB49CF">
        <w:rPr>
          <w:rFonts w:ascii="Arial" w:hAnsi="Arial" w:cs="Arial"/>
          <w:sz w:val="24"/>
          <w:szCs w:val="24"/>
        </w:rPr>
        <w:t>,</w:t>
      </w:r>
      <w:r>
        <w:rPr>
          <w:rFonts w:ascii="Arial" w:hAnsi="Arial" w:cs="Arial"/>
          <w:sz w:val="24"/>
          <w:szCs w:val="24"/>
        </w:rPr>
        <w:t xml:space="preserve"> appellant wrote to the Ombudsman’s office to complain about the first respondent. After its own investigation, the Ombudsman’s office informed the appellant that the first respondent made out a good case and closed their file. In the letter to the Ombudsman’s office</w:t>
      </w:r>
      <w:r w:rsidR="00BB49CF">
        <w:rPr>
          <w:rFonts w:ascii="Arial" w:hAnsi="Arial" w:cs="Arial"/>
          <w:sz w:val="24"/>
          <w:szCs w:val="24"/>
        </w:rPr>
        <w:t>,</w:t>
      </w:r>
      <w:r>
        <w:rPr>
          <w:rFonts w:ascii="Arial" w:hAnsi="Arial" w:cs="Arial"/>
          <w:sz w:val="24"/>
          <w:szCs w:val="24"/>
        </w:rPr>
        <w:t xml:space="preserve"> the first respondent made it clear that it did not enter into an agreement with the first respondent to recommend everything he proposed on the scope of practice of clinical biochemists as appellant never dealt with the first respondent</w:t>
      </w:r>
      <w:r w:rsidR="00BB49CF">
        <w:rPr>
          <w:rFonts w:ascii="Arial" w:hAnsi="Arial" w:cs="Arial"/>
          <w:sz w:val="24"/>
          <w:szCs w:val="24"/>
        </w:rPr>
        <w:t>,</w:t>
      </w:r>
      <w:r>
        <w:rPr>
          <w:rFonts w:ascii="Arial" w:hAnsi="Arial" w:cs="Arial"/>
          <w:sz w:val="24"/>
          <w:szCs w:val="24"/>
        </w:rPr>
        <w:t xml:space="preserve"> but with its secretariat.</w:t>
      </w:r>
    </w:p>
    <w:p w14:paraId="4B7670B8" w14:textId="77777777" w:rsidR="00CF5680" w:rsidRDefault="00CF5680" w:rsidP="00B0224D">
      <w:pPr>
        <w:spacing w:after="0" w:line="360" w:lineRule="auto"/>
        <w:jc w:val="both"/>
        <w:rPr>
          <w:rFonts w:ascii="Arial" w:hAnsi="Arial" w:cs="Arial"/>
          <w:sz w:val="24"/>
          <w:szCs w:val="24"/>
        </w:rPr>
      </w:pPr>
    </w:p>
    <w:p w14:paraId="12DFD78A" w14:textId="7ADCE96E" w:rsidR="0072167D" w:rsidRDefault="0072167D" w:rsidP="00B0224D">
      <w:pPr>
        <w:spacing w:after="0" w:line="360" w:lineRule="auto"/>
        <w:jc w:val="both"/>
        <w:rPr>
          <w:rFonts w:ascii="Arial" w:hAnsi="Arial" w:cs="Arial"/>
          <w:sz w:val="24"/>
          <w:szCs w:val="24"/>
        </w:rPr>
      </w:pPr>
      <w:r>
        <w:rPr>
          <w:rFonts w:ascii="Arial" w:hAnsi="Arial" w:cs="Arial"/>
          <w:sz w:val="24"/>
          <w:szCs w:val="24"/>
        </w:rPr>
        <w:t>About 3 October 2017</w:t>
      </w:r>
      <w:r w:rsidR="00BB49CF">
        <w:rPr>
          <w:rFonts w:ascii="Arial" w:hAnsi="Arial" w:cs="Arial"/>
          <w:sz w:val="24"/>
          <w:szCs w:val="24"/>
        </w:rPr>
        <w:t>,</w:t>
      </w:r>
      <w:r>
        <w:rPr>
          <w:rFonts w:ascii="Arial" w:hAnsi="Arial" w:cs="Arial"/>
          <w:sz w:val="24"/>
          <w:szCs w:val="24"/>
        </w:rPr>
        <w:t xml:space="preserve"> appellant approached the High Court in terms of rule 76 of that court to review and seek an order declaring the interpretation of the first respondent on the scope of practice of specialist clinical biochemist</w:t>
      </w:r>
      <w:r w:rsidR="00BB49CF">
        <w:rPr>
          <w:rFonts w:ascii="Arial" w:hAnsi="Arial" w:cs="Arial"/>
          <w:sz w:val="24"/>
          <w:szCs w:val="24"/>
        </w:rPr>
        <w:t>s</w:t>
      </w:r>
      <w:r>
        <w:rPr>
          <w:rFonts w:ascii="Arial" w:hAnsi="Arial" w:cs="Arial"/>
          <w:sz w:val="24"/>
          <w:szCs w:val="24"/>
        </w:rPr>
        <w:t xml:space="preserve"> as unlawful, irrational and invalid, alternatively declaring the process followed by the first respondent leading up to the enactment of reg 10(</w:t>
      </w:r>
      <w:r w:rsidRPr="00152147">
        <w:rPr>
          <w:rFonts w:ascii="Arial" w:hAnsi="Arial" w:cs="Arial"/>
          <w:i/>
          <w:sz w:val="24"/>
          <w:szCs w:val="24"/>
        </w:rPr>
        <w:t>c</w:t>
      </w:r>
      <w:r>
        <w:rPr>
          <w:rFonts w:ascii="Arial" w:hAnsi="Arial" w:cs="Arial"/>
          <w:sz w:val="24"/>
          <w:szCs w:val="24"/>
        </w:rPr>
        <w:t>), which altered the original reg 10(</w:t>
      </w:r>
      <w:r w:rsidRPr="00152147">
        <w:rPr>
          <w:rFonts w:ascii="Arial" w:hAnsi="Arial" w:cs="Arial"/>
          <w:i/>
          <w:sz w:val="24"/>
          <w:szCs w:val="24"/>
        </w:rPr>
        <w:t>c</w:t>
      </w:r>
      <w:r>
        <w:rPr>
          <w:rFonts w:ascii="Arial" w:hAnsi="Arial" w:cs="Arial"/>
          <w:sz w:val="24"/>
          <w:szCs w:val="24"/>
        </w:rPr>
        <w:t>)</w:t>
      </w:r>
      <w:r w:rsidR="00BB49CF">
        <w:rPr>
          <w:rFonts w:ascii="Arial" w:hAnsi="Arial" w:cs="Arial"/>
          <w:sz w:val="24"/>
          <w:szCs w:val="24"/>
        </w:rPr>
        <w:t>,</w:t>
      </w:r>
      <w:r>
        <w:rPr>
          <w:rFonts w:ascii="Arial" w:hAnsi="Arial" w:cs="Arial"/>
          <w:sz w:val="24"/>
          <w:szCs w:val="24"/>
        </w:rPr>
        <w:t xml:space="preserve"> unlawful.</w:t>
      </w:r>
    </w:p>
    <w:p w14:paraId="763C7ABB" w14:textId="77777777" w:rsidR="0072167D" w:rsidRDefault="0072167D" w:rsidP="00B0224D">
      <w:pPr>
        <w:spacing w:after="0" w:line="360" w:lineRule="auto"/>
        <w:jc w:val="both"/>
        <w:rPr>
          <w:rFonts w:ascii="Arial" w:hAnsi="Arial" w:cs="Arial"/>
          <w:sz w:val="24"/>
          <w:szCs w:val="24"/>
        </w:rPr>
      </w:pPr>
    </w:p>
    <w:p w14:paraId="0DE75105" w14:textId="0E53109A" w:rsidR="0072167D" w:rsidRDefault="0072167D" w:rsidP="00B0224D">
      <w:pPr>
        <w:spacing w:after="0" w:line="360" w:lineRule="auto"/>
        <w:jc w:val="both"/>
        <w:rPr>
          <w:rFonts w:ascii="Arial" w:hAnsi="Arial" w:cs="Arial"/>
          <w:sz w:val="24"/>
          <w:szCs w:val="24"/>
        </w:rPr>
      </w:pPr>
      <w:r>
        <w:rPr>
          <w:rFonts w:ascii="Arial" w:hAnsi="Arial" w:cs="Arial"/>
          <w:sz w:val="24"/>
          <w:szCs w:val="24"/>
        </w:rPr>
        <w:t>The respondents raised two preliminary points, namely unreasonable delay in instituting the review proceedings and the incompetent relief sought pertaining to the interpretation of the regulations.</w:t>
      </w:r>
    </w:p>
    <w:p w14:paraId="7E1BDF51" w14:textId="77777777" w:rsidR="0072167D" w:rsidRDefault="0072167D" w:rsidP="00B0224D">
      <w:pPr>
        <w:spacing w:after="0" w:line="360" w:lineRule="auto"/>
        <w:jc w:val="both"/>
        <w:rPr>
          <w:rFonts w:ascii="Arial" w:hAnsi="Arial" w:cs="Arial"/>
          <w:sz w:val="24"/>
          <w:szCs w:val="24"/>
        </w:rPr>
      </w:pPr>
    </w:p>
    <w:p w14:paraId="23B0A642" w14:textId="07F41E78" w:rsidR="0072167D" w:rsidRDefault="0072167D" w:rsidP="00B0224D">
      <w:pPr>
        <w:spacing w:after="0" w:line="360" w:lineRule="auto"/>
        <w:jc w:val="both"/>
        <w:rPr>
          <w:rFonts w:ascii="Arial" w:hAnsi="Arial" w:cs="Arial"/>
          <w:sz w:val="24"/>
          <w:szCs w:val="24"/>
        </w:rPr>
      </w:pPr>
      <w:r>
        <w:rPr>
          <w:rFonts w:ascii="Arial" w:hAnsi="Arial" w:cs="Arial"/>
          <w:sz w:val="24"/>
          <w:szCs w:val="24"/>
        </w:rPr>
        <w:t>On 3 May 2018</w:t>
      </w:r>
      <w:r w:rsidR="00BB49CF">
        <w:rPr>
          <w:rFonts w:ascii="Arial" w:hAnsi="Arial" w:cs="Arial"/>
          <w:sz w:val="24"/>
          <w:szCs w:val="24"/>
        </w:rPr>
        <w:t>,</w:t>
      </w:r>
      <w:r>
        <w:rPr>
          <w:rFonts w:ascii="Arial" w:hAnsi="Arial" w:cs="Arial"/>
          <w:sz w:val="24"/>
          <w:szCs w:val="24"/>
        </w:rPr>
        <w:t xml:space="preserve"> the High Court dismissed the application with costs on the first preliminary issue of unreasonable delay without dealing with the merits.</w:t>
      </w:r>
    </w:p>
    <w:p w14:paraId="3E2AF46F" w14:textId="77777777" w:rsidR="0072167D" w:rsidRDefault="0072167D" w:rsidP="00B0224D">
      <w:pPr>
        <w:spacing w:after="0" w:line="360" w:lineRule="auto"/>
        <w:jc w:val="both"/>
        <w:rPr>
          <w:rFonts w:ascii="Arial" w:hAnsi="Arial" w:cs="Arial"/>
          <w:sz w:val="24"/>
          <w:szCs w:val="24"/>
        </w:rPr>
      </w:pPr>
    </w:p>
    <w:p w14:paraId="64E11604" w14:textId="4DD78FD2" w:rsidR="0072167D" w:rsidRDefault="0072167D" w:rsidP="00B0224D">
      <w:pPr>
        <w:spacing w:after="0" w:line="360" w:lineRule="auto"/>
        <w:jc w:val="both"/>
        <w:rPr>
          <w:rFonts w:ascii="Arial" w:hAnsi="Arial" w:cs="Arial"/>
          <w:sz w:val="24"/>
          <w:szCs w:val="24"/>
        </w:rPr>
      </w:pPr>
      <w:r>
        <w:rPr>
          <w:rFonts w:ascii="Arial" w:hAnsi="Arial" w:cs="Arial"/>
          <w:sz w:val="24"/>
          <w:szCs w:val="24"/>
        </w:rPr>
        <w:t>In the present case, appellant filed his notice of appeal out of time when it was filed on 6 June 2018</w:t>
      </w:r>
      <w:r w:rsidR="00BB49CF">
        <w:rPr>
          <w:rFonts w:ascii="Arial" w:hAnsi="Arial" w:cs="Arial"/>
          <w:sz w:val="24"/>
          <w:szCs w:val="24"/>
        </w:rPr>
        <w:t>. R</w:t>
      </w:r>
      <w:r>
        <w:rPr>
          <w:rFonts w:ascii="Arial" w:hAnsi="Arial" w:cs="Arial"/>
          <w:sz w:val="24"/>
          <w:szCs w:val="24"/>
        </w:rPr>
        <w:t xml:space="preserve">ule 7(1) requires the notice of appeal to be filed within 21 days or such longer period as may be allowed on good cause shown after the judgment or </w:t>
      </w:r>
      <w:r>
        <w:rPr>
          <w:rFonts w:ascii="Arial" w:hAnsi="Arial" w:cs="Arial"/>
          <w:sz w:val="24"/>
          <w:szCs w:val="24"/>
        </w:rPr>
        <w:lastRenderedPageBreak/>
        <w:t xml:space="preserve">order appealed against has been pronounced. No condonation application for the non-compliance was filed. The record was filed just on time on 2 August 2018. But appellant failed to enter into good and sufficient security for the first respondent’s costs of appeal before the record was lodged with the registrar as per rule 14(2) and failed to comply with rule 14 </w:t>
      </w:r>
      <w:r w:rsidR="00190FA0">
        <w:rPr>
          <w:rFonts w:ascii="Arial" w:hAnsi="Arial" w:cs="Arial"/>
          <w:sz w:val="24"/>
          <w:szCs w:val="24"/>
        </w:rPr>
        <w:t>(</w:t>
      </w:r>
      <w:r>
        <w:rPr>
          <w:rFonts w:ascii="Arial" w:hAnsi="Arial" w:cs="Arial"/>
          <w:sz w:val="24"/>
          <w:szCs w:val="24"/>
        </w:rPr>
        <w:t>3</w:t>
      </w:r>
      <w:r w:rsidR="00190FA0">
        <w:rPr>
          <w:rFonts w:ascii="Arial" w:hAnsi="Arial" w:cs="Arial"/>
          <w:sz w:val="24"/>
          <w:szCs w:val="24"/>
        </w:rPr>
        <w:t>)</w:t>
      </w:r>
      <w:r>
        <w:rPr>
          <w:rFonts w:ascii="Arial" w:hAnsi="Arial" w:cs="Arial"/>
          <w:sz w:val="24"/>
          <w:szCs w:val="24"/>
        </w:rPr>
        <w:t>(</w:t>
      </w:r>
      <w:r w:rsidRPr="00BB49CF">
        <w:rPr>
          <w:rFonts w:ascii="Arial" w:hAnsi="Arial" w:cs="Arial"/>
          <w:i/>
          <w:sz w:val="24"/>
          <w:szCs w:val="24"/>
        </w:rPr>
        <w:t>a</w:t>
      </w:r>
      <w:r>
        <w:rPr>
          <w:rFonts w:ascii="Arial" w:hAnsi="Arial" w:cs="Arial"/>
          <w:sz w:val="24"/>
          <w:szCs w:val="24"/>
        </w:rPr>
        <w:t>) and (</w:t>
      </w:r>
      <w:r w:rsidRPr="00BB49CF">
        <w:rPr>
          <w:rFonts w:ascii="Arial" w:hAnsi="Arial" w:cs="Arial"/>
          <w:i/>
          <w:sz w:val="24"/>
          <w:szCs w:val="24"/>
        </w:rPr>
        <w:t>b</w:t>
      </w:r>
      <w:r>
        <w:rPr>
          <w:rFonts w:ascii="Arial" w:hAnsi="Arial" w:cs="Arial"/>
          <w:sz w:val="24"/>
          <w:szCs w:val="24"/>
        </w:rPr>
        <w:t>). On 14 August 2018</w:t>
      </w:r>
      <w:r w:rsidR="00BB49CF">
        <w:rPr>
          <w:rFonts w:ascii="Arial" w:hAnsi="Arial" w:cs="Arial"/>
          <w:sz w:val="24"/>
          <w:szCs w:val="24"/>
        </w:rPr>
        <w:t>,</w:t>
      </w:r>
      <w:r>
        <w:rPr>
          <w:rFonts w:ascii="Arial" w:hAnsi="Arial" w:cs="Arial"/>
          <w:sz w:val="24"/>
          <w:szCs w:val="24"/>
        </w:rPr>
        <w:t xml:space="preserve"> the registrar wrote to appellant informing him that his appeal was deemed to have been withdrawn. Appellant deposited good and sufficient security after a year on 19 August 2019. No </w:t>
      </w:r>
      <w:r w:rsidR="00C43EC2">
        <w:rPr>
          <w:rFonts w:ascii="Arial" w:hAnsi="Arial" w:cs="Arial"/>
          <w:sz w:val="24"/>
          <w:szCs w:val="24"/>
        </w:rPr>
        <w:t>condonation application was filed, the application was filed 6 months later on 20 February 2020. No reasonable explanation for non-compliance was offered. Worse still</w:t>
      </w:r>
      <w:r w:rsidR="00BB49CF">
        <w:rPr>
          <w:rFonts w:ascii="Arial" w:hAnsi="Arial" w:cs="Arial"/>
          <w:sz w:val="24"/>
          <w:szCs w:val="24"/>
        </w:rPr>
        <w:t>,</w:t>
      </w:r>
      <w:r w:rsidR="00C43EC2">
        <w:rPr>
          <w:rFonts w:ascii="Arial" w:hAnsi="Arial" w:cs="Arial"/>
          <w:sz w:val="24"/>
          <w:szCs w:val="24"/>
        </w:rPr>
        <w:t xml:space="preserve"> appellant omitted to seek reinstatement of the appeal.</w:t>
      </w:r>
    </w:p>
    <w:p w14:paraId="5A44DCE5" w14:textId="77777777" w:rsidR="00C43EC2" w:rsidRDefault="00C43EC2" w:rsidP="00B0224D">
      <w:pPr>
        <w:spacing w:after="0" w:line="360" w:lineRule="auto"/>
        <w:jc w:val="both"/>
        <w:rPr>
          <w:rFonts w:ascii="Arial" w:hAnsi="Arial" w:cs="Arial"/>
          <w:sz w:val="24"/>
          <w:szCs w:val="24"/>
        </w:rPr>
      </w:pPr>
    </w:p>
    <w:p w14:paraId="55A2247E" w14:textId="2453A91C" w:rsidR="00C43EC2" w:rsidRDefault="00C43EC2" w:rsidP="00B0224D">
      <w:pPr>
        <w:spacing w:after="0" w:line="360" w:lineRule="auto"/>
        <w:jc w:val="both"/>
        <w:rPr>
          <w:rFonts w:ascii="Arial" w:hAnsi="Arial" w:cs="Arial"/>
          <w:sz w:val="24"/>
          <w:szCs w:val="24"/>
        </w:rPr>
      </w:pPr>
      <w:r>
        <w:rPr>
          <w:rFonts w:ascii="Arial" w:hAnsi="Arial" w:cs="Arial"/>
          <w:sz w:val="24"/>
          <w:szCs w:val="24"/>
        </w:rPr>
        <w:t>The court reiterated the principles governing condonation applications and held that there was no reasonable explanation for non-compliance with rule 14. In fact</w:t>
      </w:r>
      <w:r w:rsidR="00BB49CF">
        <w:rPr>
          <w:rFonts w:ascii="Arial" w:hAnsi="Arial" w:cs="Arial"/>
          <w:sz w:val="24"/>
          <w:szCs w:val="24"/>
        </w:rPr>
        <w:t>,</w:t>
      </w:r>
      <w:r>
        <w:rPr>
          <w:rFonts w:ascii="Arial" w:hAnsi="Arial" w:cs="Arial"/>
          <w:sz w:val="24"/>
          <w:szCs w:val="24"/>
        </w:rPr>
        <w:t xml:space="preserve"> there was no appeal before court and condonation was not warranted.</w:t>
      </w:r>
    </w:p>
    <w:p w14:paraId="78B7070C" w14:textId="77777777" w:rsidR="00C43EC2" w:rsidRDefault="00C43EC2" w:rsidP="00B0224D">
      <w:pPr>
        <w:spacing w:after="0" w:line="360" w:lineRule="auto"/>
        <w:jc w:val="both"/>
        <w:rPr>
          <w:rFonts w:ascii="Arial" w:hAnsi="Arial" w:cs="Arial"/>
          <w:sz w:val="24"/>
          <w:szCs w:val="24"/>
        </w:rPr>
      </w:pPr>
    </w:p>
    <w:p w14:paraId="435C390B" w14:textId="388B4F98" w:rsidR="00C43EC2" w:rsidRDefault="00C43EC2" w:rsidP="00B0224D">
      <w:pPr>
        <w:spacing w:after="0" w:line="360" w:lineRule="auto"/>
        <w:jc w:val="both"/>
        <w:rPr>
          <w:rFonts w:ascii="Arial" w:hAnsi="Arial" w:cs="Arial"/>
          <w:sz w:val="24"/>
          <w:szCs w:val="24"/>
        </w:rPr>
      </w:pPr>
      <w:r>
        <w:rPr>
          <w:rFonts w:ascii="Arial" w:hAnsi="Arial" w:cs="Arial"/>
          <w:sz w:val="24"/>
          <w:szCs w:val="24"/>
        </w:rPr>
        <w:t>Regarding the prospect of success, the court held that there were no prospects of success. The wording of reg 10(</w:t>
      </w:r>
      <w:r w:rsidRPr="00152147">
        <w:rPr>
          <w:rFonts w:ascii="Arial" w:hAnsi="Arial" w:cs="Arial"/>
          <w:i/>
          <w:sz w:val="24"/>
          <w:szCs w:val="24"/>
        </w:rPr>
        <w:t>c</w:t>
      </w:r>
      <w:r>
        <w:rPr>
          <w:rFonts w:ascii="Arial" w:hAnsi="Arial" w:cs="Arial"/>
          <w:sz w:val="24"/>
          <w:szCs w:val="24"/>
        </w:rPr>
        <w:t>) was clear and unambiguous, and it had to be given its literal or grammatical meaning, which is, appellant or any specialist clinical biochemist can only examine and conduct test</w:t>
      </w:r>
      <w:r w:rsidR="00BB49CF">
        <w:rPr>
          <w:rFonts w:ascii="Arial" w:hAnsi="Arial" w:cs="Arial"/>
          <w:sz w:val="24"/>
          <w:szCs w:val="24"/>
        </w:rPr>
        <w:t>s</w:t>
      </w:r>
      <w:r>
        <w:rPr>
          <w:rFonts w:ascii="Arial" w:hAnsi="Arial" w:cs="Arial"/>
          <w:sz w:val="24"/>
          <w:szCs w:val="24"/>
        </w:rPr>
        <w:t xml:space="preserve"> on a patient referred by a medical practitioner, as requested by that medical practitioner in the referral.</w:t>
      </w:r>
    </w:p>
    <w:p w14:paraId="64AD0C41" w14:textId="77777777" w:rsidR="00C43EC2" w:rsidRDefault="00C43EC2" w:rsidP="00B0224D">
      <w:pPr>
        <w:spacing w:after="0" w:line="360" w:lineRule="auto"/>
        <w:jc w:val="both"/>
        <w:rPr>
          <w:rFonts w:ascii="Arial" w:hAnsi="Arial" w:cs="Arial"/>
          <w:sz w:val="24"/>
          <w:szCs w:val="24"/>
        </w:rPr>
      </w:pPr>
    </w:p>
    <w:p w14:paraId="0F96EDE2" w14:textId="53794B71" w:rsidR="00C43EC2" w:rsidRDefault="00C43EC2" w:rsidP="00B0224D">
      <w:pPr>
        <w:spacing w:after="0" w:line="360" w:lineRule="auto"/>
        <w:jc w:val="both"/>
        <w:rPr>
          <w:rFonts w:ascii="Arial" w:hAnsi="Arial" w:cs="Arial"/>
          <w:sz w:val="24"/>
          <w:szCs w:val="24"/>
        </w:rPr>
      </w:pPr>
      <w:r>
        <w:rPr>
          <w:rFonts w:ascii="Arial" w:hAnsi="Arial" w:cs="Arial"/>
          <w:sz w:val="24"/>
          <w:szCs w:val="24"/>
        </w:rPr>
        <w:t>On the alternative argument</w:t>
      </w:r>
      <w:r w:rsidR="00BB49CF">
        <w:rPr>
          <w:rFonts w:ascii="Arial" w:hAnsi="Arial" w:cs="Arial"/>
          <w:sz w:val="24"/>
          <w:szCs w:val="24"/>
        </w:rPr>
        <w:t>,</w:t>
      </w:r>
      <w:r>
        <w:rPr>
          <w:rFonts w:ascii="Arial" w:hAnsi="Arial" w:cs="Arial"/>
          <w:sz w:val="24"/>
          <w:szCs w:val="24"/>
        </w:rPr>
        <w:t xml:space="preserve"> the court held that the process followed by the first respondent leading up to the enactment of reg 10(</w:t>
      </w:r>
      <w:r w:rsidRPr="00152147">
        <w:rPr>
          <w:rFonts w:ascii="Arial" w:hAnsi="Arial" w:cs="Arial"/>
          <w:i/>
          <w:sz w:val="24"/>
          <w:szCs w:val="24"/>
        </w:rPr>
        <w:t>c</w:t>
      </w:r>
      <w:r>
        <w:rPr>
          <w:rFonts w:ascii="Arial" w:hAnsi="Arial" w:cs="Arial"/>
          <w:sz w:val="24"/>
          <w:szCs w:val="24"/>
        </w:rPr>
        <w:t>) could not be faulted.</w:t>
      </w:r>
    </w:p>
    <w:p w14:paraId="7FC00606" w14:textId="77777777" w:rsidR="00C43EC2" w:rsidRDefault="00C43EC2" w:rsidP="00B0224D">
      <w:pPr>
        <w:spacing w:after="0" w:line="360" w:lineRule="auto"/>
        <w:jc w:val="both"/>
        <w:rPr>
          <w:rFonts w:ascii="Arial" w:hAnsi="Arial" w:cs="Arial"/>
          <w:sz w:val="24"/>
          <w:szCs w:val="24"/>
        </w:rPr>
      </w:pPr>
    </w:p>
    <w:p w14:paraId="0DAC6C43" w14:textId="2AC2067B" w:rsidR="00C43EC2" w:rsidRPr="001E46EC" w:rsidRDefault="00C43EC2" w:rsidP="00B0224D">
      <w:pPr>
        <w:spacing w:after="0" w:line="360" w:lineRule="auto"/>
        <w:jc w:val="both"/>
        <w:rPr>
          <w:rFonts w:ascii="Arial" w:hAnsi="Arial" w:cs="Arial"/>
          <w:sz w:val="24"/>
          <w:szCs w:val="24"/>
        </w:rPr>
      </w:pPr>
      <w:r>
        <w:rPr>
          <w:rFonts w:ascii="Arial" w:hAnsi="Arial" w:cs="Arial"/>
          <w:sz w:val="24"/>
          <w:szCs w:val="24"/>
        </w:rPr>
        <w:t>The court struck the appeal from the roll with costs.</w:t>
      </w:r>
    </w:p>
    <w:p w14:paraId="362EC67D"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3B818A38" w14:textId="5FF70F28" w:rsidR="00FF4712" w:rsidRPr="00A9489D" w:rsidRDefault="00454FFD" w:rsidP="00FF4712">
      <w:pPr>
        <w:spacing w:after="0" w:line="240" w:lineRule="auto"/>
        <w:jc w:val="center"/>
        <w:rPr>
          <w:rFonts w:ascii="Arial" w:hAnsi="Arial" w:cs="Arial"/>
          <w:b/>
          <w:sz w:val="24"/>
          <w:szCs w:val="24"/>
        </w:rPr>
      </w:pPr>
      <w:r>
        <w:rPr>
          <w:rFonts w:ascii="Arial" w:hAnsi="Arial" w:cs="Arial"/>
          <w:b/>
          <w:sz w:val="24"/>
          <w:szCs w:val="24"/>
        </w:rPr>
        <w:t>APPEAL</w:t>
      </w:r>
      <w:r w:rsidR="00FF4712" w:rsidRPr="00A9489D">
        <w:rPr>
          <w:rFonts w:ascii="Arial" w:hAnsi="Arial" w:cs="Arial"/>
          <w:b/>
          <w:sz w:val="24"/>
          <w:szCs w:val="24"/>
        </w:rPr>
        <w:t xml:space="preserve"> JUDGMENT</w:t>
      </w:r>
    </w:p>
    <w:p w14:paraId="73A053E4"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68BF51F4" w14:textId="542CCEFE" w:rsidR="00FF4712" w:rsidRDefault="00FF4712" w:rsidP="00B22A87">
      <w:pPr>
        <w:spacing w:line="480" w:lineRule="auto"/>
        <w:jc w:val="both"/>
        <w:rPr>
          <w:rFonts w:ascii="Arial" w:hAnsi="Arial" w:cs="Arial"/>
          <w:sz w:val="24"/>
          <w:szCs w:val="24"/>
        </w:rPr>
      </w:pPr>
      <w:r w:rsidRPr="00861369">
        <w:rPr>
          <w:rFonts w:ascii="Arial" w:hAnsi="Arial" w:cs="Arial"/>
          <w:sz w:val="24"/>
          <w:szCs w:val="24"/>
        </w:rPr>
        <w:t>MAINGA JA (</w:t>
      </w:r>
      <w:r w:rsidR="006D411B">
        <w:rPr>
          <w:rFonts w:ascii="Arial" w:hAnsi="Arial" w:cs="Arial"/>
          <w:sz w:val="24"/>
          <w:szCs w:val="24"/>
        </w:rPr>
        <w:t>DAMASEB</w:t>
      </w:r>
      <w:r w:rsidR="001A06C5">
        <w:rPr>
          <w:rFonts w:ascii="Arial" w:hAnsi="Arial" w:cs="Arial"/>
          <w:sz w:val="24"/>
          <w:szCs w:val="24"/>
        </w:rPr>
        <w:t xml:space="preserve"> </w:t>
      </w:r>
      <w:r w:rsidR="006D411B">
        <w:rPr>
          <w:rFonts w:ascii="Arial" w:hAnsi="Arial" w:cs="Arial"/>
          <w:sz w:val="24"/>
          <w:szCs w:val="24"/>
        </w:rPr>
        <w:t>DC</w:t>
      </w:r>
      <w:r w:rsidR="001A06C5">
        <w:rPr>
          <w:rFonts w:ascii="Arial" w:hAnsi="Arial" w:cs="Arial"/>
          <w:sz w:val="24"/>
          <w:szCs w:val="24"/>
        </w:rPr>
        <w:t xml:space="preserve">J and </w:t>
      </w:r>
      <w:r w:rsidR="006D411B">
        <w:rPr>
          <w:rFonts w:ascii="Arial" w:hAnsi="Arial" w:cs="Arial"/>
          <w:sz w:val="24"/>
          <w:szCs w:val="24"/>
        </w:rPr>
        <w:t>FRANK</w:t>
      </w:r>
      <w:r w:rsidR="00AF3341">
        <w:rPr>
          <w:rFonts w:ascii="Arial" w:hAnsi="Arial" w:cs="Arial"/>
          <w:sz w:val="24"/>
          <w:szCs w:val="24"/>
        </w:rPr>
        <w:t xml:space="preserve"> </w:t>
      </w:r>
      <w:r w:rsidR="006D411B">
        <w:rPr>
          <w:rFonts w:ascii="Arial" w:hAnsi="Arial" w:cs="Arial"/>
          <w:sz w:val="24"/>
          <w:szCs w:val="24"/>
        </w:rPr>
        <w:t>A</w:t>
      </w:r>
      <w:r w:rsidR="00B74507">
        <w:rPr>
          <w:rFonts w:ascii="Arial" w:hAnsi="Arial" w:cs="Arial"/>
          <w:sz w:val="24"/>
          <w:szCs w:val="24"/>
        </w:rPr>
        <w:t>J</w:t>
      </w:r>
      <w:r w:rsidR="001A06C5">
        <w:rPr>
          <w:rFonts w:ascii="Arial" w:hAnsi="Arial" w:cs="Arial"/>
          <w:sz w:val="24"/>
          <w:szCs w:val="24"/>
        </w:rPr>
        <w:t>A</w:t>
      </w:r>
      <w:r w:rsidR="00BE1CF9">
        <w:rPr>
          <w:rFonts w:ascii="Arial" w:hAnsi="Arial" w:cs="Arial"/>
          <w:sz w:val="24"/>
          <w:szCs w:val="24"/>
        </w:rPr>
        <w:t xml:space="preserve"> concurring</w:t>
      </w:r>
      <w:r w:rsidRPr="00861369">
        <w:rPr>
          <w:rFonts w:ascii="Arial" w:hAnsi="Arial" w:cs="Arial"/>
          <w:sz w:val="24"/>
          <w:szCs w:val="24"/>
        </w:rPr>
        <w:t>)</w:t>
      </w:r>
      <w:r w:rsidR="00971F56">
        <w:rPr>
          <w:rFonts w:ascii="Arial" w:hAnsi="Arial" w:cs="Arial"/>
          <w:sz w:val="24"/>
          <w:szCs w:val="24"/>
        </w:rPr>
        <w:t>:</w:t>
      </w:r>
    </w:p>
    <w:p w14:paraId="4363BFD3" w14:textId="64C2EC80"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t>Introduction</w:t>
      </w:r>
    </w:p>
    <w:p w14:paraId="295B0F58" w14:textId="6499ADA0" w:rsidR="006D411B" w:rsidRDefault="006D411B"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Appellant holds the view that regulation 10(</w:t>
      </w:r>
      <w:r w:rsidRPr="00152147">
        <w:rPr>
          <w:rFonts w:ascii="Arial" w:hAnsi="Arial" w:cs="Arial"/>
          <w:i/>
          <w:sz w:val="24"/>
          <w:szCs w:val="24"/>
        </w:rPr>
        <w:t>c</w:t>
      </w:r>
      <w:r>
        <w:rPr>
          <w:rFonts w:ascii="Arial" w:hAnsi="Arial" w:cs="Arial"/>
          <w:sz w:val="24"/>
          <w:szCs w:val="24"/>
        </w:rPr>
        <w:t>)</w:t>
      </w:r>
      <w:r w:rsidR="00710101">
        <w:rPr>
          <w:rStyle w:val="FootnoteReference"/>
          <w:rFonts w:ascii="Arial" w:hAnsi="Arial" w:cs="Arial"/>
          <w:sz w:val="24"/>
          <w:szCs w:val="24"/>
        </w:rPr>
        <w:footnoteReference w:id="1"/>
      </w:r>
      <w:r w:rsidR="00710101">
        <w:rPr>
          <w:rFonts w:ascii="Arial" w:hAnsi="Arial" w:cs="Arial"/>
          <w:sz w:val="24"/>
          <w:szCs w:val="24"/>
        </w:rPr>
        <w:t xml:space="preserve"> (</w:t>
      </w:r>
      <w:r w:rsidRPr="00BB49CF">
        <w:rPr>
          <w:rFonts w:ascii="Arial" w:hAnsi="Arial" w:cs="Arial"/>
          <w:i/>
          <w:sz w:val="24"/>
          <w:szCs w:val="24"/>
        </w:rPr>
        <w:t>infra</w:t>
      </w:r>
      <w:r w:rsidR="00710101">
        <w:rPr>
          <w:rFonts w:ascii="Arial" w:hAnsi="Arial" w:cs="Arial"/>
          <w:sz w:val="24"/>
          <w:szCs w:val="24"/>
        </w:rPr>
        <w:t>)</w:t>
      </w:r>
      <w:r>
        <w:rPr>
          <w:rFonts w:ascii="Arial" w:hAnsi="Arial" w:cs="Arial"/>
          <w:sz w:val="24"/>
          <w:szCs w:val="24"/>
        </w:rPr>
        <w:t xml:space="preserve"> of the </w:t>
      </w:r>
      <w:r w:rsidR="00BB49CF">
        <w:rPr>
          <w:rFonts w:ascii="Arial" w:hAnsi="Arial" w:cs="Arial"/>
          <w:sz w:val="24"/>
          <w:szCs w:val="24"/>
        </w:rPr>
        <w:t>r</w:t>
      </w:r>
      <w:r>
        <w:rPr>
          <w:rFonts w:ascii="Arial" w:hAnsi="Arial" w:cs="Arial"/>
          <w:sz w:val="24"/>
          <w:szCs w:val="24"/>
        </w:rPr>
        <w:t>egulations</w:t>
      </w:r>
      <w:r w:rsidR="00BB49CF">
        <w:rPr>
          <w:rFonts w:ascii="Arial" w:hAnsi="Arial" w:cs="Arial"/>
          <w:sz w:val="24"/>
          <w:szCs w:val="24"/>
        </w:rPr>
        <w:t>,</w:t>
      </w:r>
      <w:r>
        <w:rPr>
          <w:rFonts w:ascii="Arial" w:hAnsi="Arial" w:cs="Arial"/>
          <w:sz w:val="24"/>
          <w:szCs w:val="24"/>
        </w:rPr>
        <w:t xml:space="preserve"> </w:t>
      </w:r>
      <w:r w:rsidR="00710101" w:rsidRPr="00710101">
        <w:rPr>
          <w:rFonts w:ascii="Arial" w:hAnsi="Arial" w:cs="Arial"/>
          <w:i/>
          <w:sz w:val="24"/>
          <w:szCs w:val="24"/>
        </w:rPr>
        <w:t>inter alia</w:t>
      </w:r>
      <w:r w:rsidR="00BB49CF">
        <w:rPr>
          <w:rFonts w:ascii="Arial" w:hAnsi="Arial" w:cs="Arial"/>
          <w:i/>
          <w:sz w:val="24"/>
          <w:szCs w:val="24"/>
        </w:rPr>
        <w:t>,</w:t>
      </w:r>
      <w:r w:rsidR="00710101" w:rsidRPr="00710101">
        <w:rPr>
          <w:rFonts w:ascii="Arial" w:hAnsi="Arial" w:cs="Arial"/>
          <w:i/>
          <w:sz w:val="24"/>
          <w:szCs w:val="24"/>
        </w:rPr>
        <w:t xml:space="preserve"> </w:t>
      </w:r>
      <w:r>
        <w:rPr>
          <w:rFonts w:ascii="Arial" w:hAnsi="Arial" w:cs="Arial"/>
          <w:sz w:val="24"/>
          <w:szCs w:val="24"/>
        </w:rPr>
        <w:t xml:space="preserve">relating to </w:t>
      </w:r>
      <w:r w:rsidR="00152147">
        <w:rPr>
          <w:rFonts w:ascii="Arial" w:hAnsi="Arial" w:cs="Arial"/>
          <w:sz w:val="24"/>
          <w:szCs w:val="24"/>
        </w:rPr>
        <w:t>c</w:t>
      </w:r>
      <w:r>
        <w:rPr>
          <w:rFonts w:ascii="Arial" w:hAnsi="Arial" w:cs="Arial"/>
          <w:sz w:val="24"/>
          <w:szCs w:val="24"/>
        </w:rPr>
        <w:t xml:space="preserve">linical </w:t>
      </w:r>
      <w:r w:rsidR="00152147">
        <w:rPr>
          <w:rFonts w:ascii="Arial" w:hAnsi="Arial" w:cs="Arial"/>
          <w:sz w:val="24"/>
          <w:szCs w:val="24"/>
        </w:rPr>
        <w:t>b</w:t>
      </w:r>
      <w:r>
        <w:rPr>
          <w:rFonts w:ascii="Arial" w:hAnsi="Arial" w:cs="Arial"/>
          <w:sz w:val="24"/>
          <w:szCs w:val="24"/>
        </w:rPr>
        <w:t xml:space="preserve">iochemists made in terms of s 59 of the Medical and </w:t>
      </w:r>
      <w:r w:rsidR="00C4208C">
        <w:rPr>
          <w:rFonts w:ascii="Arial" w:hAnsi="Arial" w:cs="Arial"/>
          <w:sz w:val="24"/>
          <w:szCs w:val="24"/>
        </w:rPr>
        <w:t>Den</w:t>
      </w:r>
      <w:r>
        <w:rPr>
          <w:rFonts w:ascii="Arial" w:hAnsi="Arial" w:cs="Arial"/>
          <w:sz w:val="24"/>
          <w:szCs w:val="24"/>
        </w:rPr>
        <w:t>tal Act 10 of 2004 allows him</w:t>
      </w:r>
      <w:r w:rsidR="00BB49CF">
        <w:rPr>
          <w:rFonts w:ascii="Arial" w:hAnsi="Arial" w:cs="Arial"/>
          <w:sz w:val="24"/>
          <w:szCs w:val="24"/>
        </w:rPr>
        <w:t>,</w:t>
      </w:r>
      <w:r>
        <w:rPr>
          <w:rFonts w:ascii="Arial" w:hAnsi="Arial" w:cs="Arial"/>
          <w:sz w:val="24"/>
          <w:szCs w:val="24"/>
        </w:rPr>
        <w:t xml:space="preserve"> or the use of the word ‘may’ in the regulation</w:t>
      </w:r>
      <w:r w:rsidR="00BB49CF">
        <w:rPr>
          <w:rFonts w:ascii="Arial" w:hAnsi="Arial" w:cs="Arial"/>
          <w:sz w:val="24"/>
          <w:szCs w:val="24"/>
        </w:rPr>
        <w:t>,</w:t>
      </w:r>
      <w:r>
        <w:rPr>
          <w:rFonts w:ascii="Arial" w:hAnsi="Arial" w:cs="Arial"/>
          <w:sz w:val="24"/>
          <w:szCs w:val="24"/>
        </w:rPr>
        <w:t xml:space="preserve"> allows him to examine and conduct tests on a patient who approaches him directly while the respondents are of the view that, appellant can only see a patient referred to him by a medical practitioner.</w:t>
      </w:r>
    </w:p>
    <w:p w14:paraId="573F9D23" w14:textId="77777777" w:rsidR="006D411B" w:rsidRDefault="006D411B" w:rsidP="006D411B">
      <w:pPr>
        <w:pStyle w:val="ListParagraph"/>
        <w:tabs>
          <w:tab w:val="left" w:pos="851"/>
        </w:tabs>
        <w:spacing w:after="0" w:line="480" w:lineRule="auto"/>
        <w:ind w:left="0"/>
        <w:jc w:val="both"/>
        <w:rPr>
          <w:rFonts w:ascii="Arial" w:hAnsi="Arial" w:cs="Arial"/>
          <w:sz w:val="24"/>
          <w:szCs w:val="24"/>
        </w:rPr>
      </w:pPr>
    </w:p>
    <w:p w14:paraId="2CF860EC" w14:textId="7C2E6C49" w:rsidR="005D7905" w:rsidRDefault="000A6F9E" w:rsidP="00694DEF">
      <w:pPr>
        <w:pStyle w:val="ListParagraph"/>
        <w:numPr>
          <w:ilvl w:val="0"/>
          <w:numId w:val="1"/>
        </w:numPr>
        <w:tabs>
          <w:tab w:val="left" w:pos="851"/>
        </w:tabs>
        <w:spacing w:after="0" w:line="480" w:lineRule="auto"/>
        <w:ind w:left="0" w:hanging="11"/>
        <w:jc w:val="both"/>
        <w:rPr>
          <w:rFonts w:ascii="Arial" w:hAnsi="Arial" w:cs="Arial"/>
          <w:sz w:val="24"/>
          <w:szCs w:val="24"/>
        </w:rPr>
      </w:pPr>
      <w:r w:rsidRPr="00710101">
        <w:rPr>
          <w:rFonts w:ascii="Arial" w:hAnsi="Arial" w:cs="Arial"/>
          <w:sz w:val="24"/>
          <w:szCs w:val="24"/>
        </w:rPr>
        <w:t>Whether these divergent views are correct rests on the interpretation of reg 10(c) and it</w:t>
      </w:r>
      <w:r w:rsidR="00BB49CF">
        <w:rPr>
          <w:rFonts w:ascii="Arial" w:hAnsi="Arial" w:cs="Arial"/>
          <w:sz w:val="24"/>
          <w:szCs w:val="24"/>
        </w:rPr>
        <w:t xml:space="preserve"> i</w:t>
      </w:r>
      <w:r w:rsidRPr="00710101">
        <w:rPr>
          <w:rFonts w:ascii="Arial" w:hAnsi="Arial" w:cs="Arial"/>
          <w:sz w:val="24"/>
          <w:szCs w:val="24"/>
        </w:rPr>
        <w:t>s the appeal before us</w:t>
      </w:r>
      <w:r w:rsidR="00710101">
        <w:rPr>
          <w:rFonts w:ascii="Arial" w:hAnsi="Arial" w:cs="Arial"/>
          <w:sz w:val="24"/>
          <w:szCs w:val="24"/>
        </w:rPr>
        <w:t>.</w:t>
      </w:r>
    </w:p>
    <w:p w14:paraId="5818A029" w14:textId="77777777" w:rsidR="00710101" w:rsidRPr="00710101" w:rsidRDefault="00710101" w:rsidP="00710101">
      <w:pPr>
        <w:pStyle w:val="ListParagraph"/>
        <w:spacing w:after="0" w:line="480" w:lineRule="auto"/>
        <w:jc w:val="both"/>
        <w:rPr>
          <w:rFonts w:ascii="Arial" w:hAnsi="Arial" w:cs="Arial"/>
          <w:sz w:val="24"/>
          <w:szCs w:val="24"/>
        </w:rPr>
      </w:pPr>
    </w:p>
    <w:p w14:paraId="3349D13A" w14:textId="76A6AC70" w:rsidR="006D411B" w:rsidRDefault="005D7905"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background history of appellant’s case is in this form:</w:t>
      </w:r>
    </w:p>
    <w:p w14:paraId="68E0F592" w14:textId="77777777" w:rsidR="00694DEF" w:rsidRPr="00694DEF" w:rsidRDefault="00694DEF" w:rsidP="00694DEF">
      <w:pPr>
        <w:pStyle w:val="ListParagraph"/>
        <w:rPr>
          <w:rFonts w:ascii="Arial" w:hAnsi="Arial" w:cs="Arial"/>
          <w:sz w:val="24"/>
          <w:szCs w:val="24"/>
        </w:rPr>
      </w:pPr>
    </w:p>
    <w:p w14:paraId="317192D1" w14:textId="37148F81" w:rsidR="005D7905" w:rsidRDefault="005D7905" w:rsidP="00694DEF">
      <w:pPr>
        <w:pStyle w:val="ListParagraph"/>
        <w:spacing w:after="0" w:line="480" w:lineRule="auto"/>
        <w:ind w:left="0"/>
        <w:jc w:val="both"/>
        <w:rPr>
          <w:rFonts w:ascii="Arial" w:hAnsi="Arial" w:cs="Arial"/>
          <w:sz w:val="24"/>
          <w:szCs w:val="24"/>
        </w:rPr>
      </w:pPr>
      <w:r>
        <w:rPr>
          <w:rFonts w:ascii="Arial" w:hAnsi="Arial" w:cs="Arial"/>
          <w:sz w:val="24"/>
          <w:szCs w:val="24"/>
        </w:rPr>
        <w:t>On 18 October 2009</w:t>
      </w:r>
      <w:r w:rsidR="00DE63BF">
        <w:rPr>
          <w:rFonts w:ascii="Arial" w:hAnsi="Arial" w:cs="Arial"/>
          <w:sz w:val="24"/>
          <w:szCs w:val="24"/>
        </w:rPr>
        <w:t>,</w:t>
      </w:r>
      <w:r>
        <w:rPr>
          <w:rFonts w:ascii="Arial" w:hAnsi="Arial" w:cs="Arial"/>
          <w:sz w:val="24"/>
          <w:szCs w:val="24"/>
        </w:rPr>
        <w:t xml:space="preserve"> he had a consultative meeting with the Registrar</w:t>
      </w:r>
      <w:r w:rsidR="00710101">
        <w:rPr>
          <w:rFonts w:ascii="Arial" w:hAnsi="Arial" w:cs="Arial"/>
          <w:sz w:val="24"/>
          <w:szCs w:val="24"/>
        </w:rPr>
        <w:t>,</w:t>
      </w:r>
      <w:r>
        <w:rPr>
          <w:rFonts w:ascii="Arial" w:hAnsi="Arial" w:cs="Arial"/>
          <w:sz w:val="24"/>
          <w:szCs w:val="24"/>
        </w:rPr>
        <w:t xml:space="preserve"> Assistant Registrar and a legal consultant from the Ministry of Health and Social Services </w:t>
      </w:r>
      <w:r w:rsidR="00DE63BF">
        <w:rPr>
          <w:rFonts w:ascii="Arial" w:hAnsi="Arial" w:cs="Arial"/>
          <w:sz w:val="24"/>
          <w:szCs w:val="24"/>
        </w:rPr>
        <w:t>(MOHSS)</w:t>
      </w:r>
      <w:r w:rsidR="00694DEF">
        <w:rPr>
          <w:rFonts w:ascii="Arial" w:hAnsi="Arial" w:cs="Arial"/>
          <w:sz w:val="24"/>
          <w:szCs w:val="24"/>
        </w:rPr>
        <w:t>. At that meeting</w:t>
      </w:r>
      <w:r w:rsidR="00DE63BF">
        <w:rPr>
          <w:rFonts w:ascii="Arial" w:hAnsi="Arial" w:cs="Arial"/>
          <w:sz w:val="24"/>
          <w:szCs w:val="24"/>
        </w:rPr>
        <w:t>,</w:t>
      </w:r>
      <w:r w:rsidR="00694DEF">
        <w:rPr>
          <w:rFonts w:ascii="Arial" w:hAnsi="Arial" w:cs="Arial"/>
          <w:sz w:val="24"/>
          <w:szCs w:val="24"/>
        </w:rPr>
        <w:t xml:space="preserve"> appellant was requested to make his view</w:t>
      </w:r>
      <w:r w:rsidR="00DE63BF">
        <w:rPr>
          <w:rFonts w:ascii="Arial" w:hAnsi="Arial" w:cs="Arial"/>
          <w:sz w:val="24"/>
          <w:szCs w:val="24"/>
        </w:rPr>
        <w:t>s</w:t>
      </w:r>
      <w:r w:rsidR="00694DEF">
        <w:rPr>
          <w:rFonts w:ascii="Arial" w:hAnsi="Arial" w:cs="Arial"/>
          <w:sz w:val="24"/>
          <w:szCs w:val="24"/>
        </w:rPr>
        <w:t xml:space="preserve"> known in writing on what the scope of practice for clinical biochemists entailed.</w:t>
      </w:r>
    </w:p>
    <w:p w14:paraId="4604A1B4" w14:textId="77777777" w:rsidR="00694DEF" w:rsidRPr="005D7905" w:rsidRDefault="00694DEF" w:rsidP="00694DEF">
      <w:pPr>
        <w:pStyle w:val="ListParagraph"/>
        <w:spacing w:after="0" w:line="480" w:lineRule="auto"/>
        <w:jc w:val="both"/>
        <w:rPr>
          <w:rFonts w:ascii="Arial" w:hAnsi="Arial" w:cs="Arial"/>
          <w:sz w:val="24"/>
          <w:szCs w:val="24"/>
        </w:rPr>
      </w:pPr>
    </w:p>
    <w:p w14:paraId="02111C21" w14:textId="2AD20E86" w:rsidR="005D7905" w:rsidRDefault="00694DEF"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He was consulted</w:t>
      </w:r>
      <w:r w:rsidR="00DE63BF">
        <w:rPr>
          <w:rFonts w:ascii="Arial" w:hAnsi="Arial" w:cs="Arial"/>
          <w:sz w:val="24"/>
          <w:szCs w:val="24"/>
        </w:rPr>
        <w:t>,</w:t>
      </w:r>
      <w:r>
        <w:rPr>
          <w:rFonts w:ascii="Arial" w:hAnsi="Arial" w:cs="Arial"/>
          <w:sz w:val="24"/>
          <w:szCs w:val="24"/>
        </w:rPr>
        <w:t xml:space="preserve"> as at the time he was the only registered clinical biochemist and there were no regulations in place. He could not attend to the request as he had to leave for Canada on 15 November 2009 and only returned </w:t>
      </w:r>
      <w:r w:rsidR="00F65284">
        <w:rPr>
          <w:rFonts w:ascii="Arial" w:hAnsi="Arial" w:cs="Arial"/>
          <w:sz w:val="24"/>
          <w:szCs w:val="24"/>
        </w:rPr>
        <w:t>on 15 March 2010.</w:t>
      </w:r>
    </w:p>
    <w:p w14:paraId="1DE1CBBA" w14:textId="77777777" w:rsidR="00F65284" w:rsidRDefault="00F65284" w:rsidP="00F65284">
      <w:pPr>
        <w:pStyle w:val="ListParagraph"/>
        <w:tabs>
          <w:tab w:val="left" w:pos="851"/>
        </w:tabs>
        <w:spacing w:after="0" w:line="480" w:lineRule="auto"/>
        <w:ind w:left="0"/>
        <w:jc w:val="both"/>
        <w:rPr>
          <w:rFonts w:ascii="Arial" w:hAnsi="Arial" w:cs="Arial"/>
          <w:sz w:val="24"/>
          <w:szCs w:val="24"/>
        </w:rPr>
      </w:pPr>
    </w:p>
    <w:p w14:paraId="5C2002C0" w14:textId="64A74DDF" w:rsidR="00F65284" w:rsidRDefault="00F65284"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 xml:space="preserve">While he was away, the first respondent came up with drafts, one of 1 February 2010 and another of 2 March 2010. When he arrived the drafts were made available to him and was invited to a meeting for a discussion of </w:t>
      </w:r>
      <w:r w:rsidR="002A3AF6">
        <w:rPr>
          <w:rFonts w:ascii="Arial" w:hAnsi="Arial" w:cs="Arial"/>
          <w:sz w:val="24"/>
          <w:szCs w:val="24"/>
        </w:rPr>
        <w:t>the said drafts between the appellan</w:t>
      </w:r>
      <w:r>
        <w:rPr>
          <w:rFonts w:ascii="Arial" w:hAnsi="Arial" w:cs="Arial"/>
          <w:sz w:val="24"/>
          <w:szCs w:val="24"/>
        </w:rPr>
        <w:t>t, Assistant Registrar (Mr C Weyulu) and Messrs L K Mafwila and J Burger of the first respondent. At that meeting</w:t>
      </w:r>
      <w:r w:rsidR="00DE63BF">
        <w:rPr>
          <w:rFonts w:ascii="Arial" w:hAnsi="Arial" w:cs="Arial"/>
          <w:sz w:val="24"/>
          <w:szCs w:val="24"/>
        </w:rPr>
        <w:t>,</w:t>
      </w:r>
      <w:r>
        <w:rPr>
          <w:rFonts w:ascii="Arial" w:hAnsi="Arial" w:cs="Arial"/>
          <w:sz w:val="24"/>
          <w:szCs w:val="24"/>
        </w:rPr>
        <w:t xml:space="preserve"> appellant made his suggestions on </w:t>
      </w:r>
      <w:r w:rsidR="00710101">
        <w:rPr>
          <w:rFonts w:ascii="Arial" w:hAnsi="Arial" w:cs="Arial"/>
          <w:sz w:val="24"/>
          <w:szCs w:val="24"/>
        </w:rPr>
        <w:t>c</w:t>
      </w:r>
      <w:r>
        <w:rPr>
          <w:rFonts w:ascii="Arial" w:hAnsi="Arial" w:cs="Arial"/>
          <w:sz w:val="24"/>
          <w:szCs w:val="24"/>
        </w:rPr>
        <w:t xml:space="preserve">linical </w:t>
      </w:r>
      <w:r w:rsidR="00710101">
        <w:rPr>
          <w:rFonts w:ascii="Arial" w:hAnsi="Arial" w:cs="Arial"/>
          <w:sz w:val="24"/>
          <w:szCs w:val="24"/>
        </w:rPr>
        <w:t>b</w:t>
      </w:r>
      <w:r>
        <w:rPr>
          <w:rFonts w:ascii="Arial" w:hAnsi="Arial" w:cs="Arial"/>
          <w:sz w:val="24"/>
          <w:szCs w:val="24"/>
        </w:rPr>
        <w:t>iochemist’s scope of practice known.</w:t>
      </w:r>
    </w:p>
    <w:p w14:paraId="3EF84B65" w14:textId="77777777" w:rsidR="00F65284" w:rsidRPr="00F65284" w:rsidRDefault="00F65284" w:rsidP="00F65284">
      <w:pPr>
        <w:pStyle w:val="ListParagraph"/>
        <w:spacing w:after="0" w:line="480" w:lineRule="auto"/>
        <w:jc w:val="both"/>
        <w:rPr>
          <w:rFonts w:ascii="Arial" w:hAnsi="Arial" w:cs="Arial"/>
          <w:sz w:val="24"/>
          <w:szCs w:val="24"/>
        </w:rPr>
      </w:pPr>
    </w:p>
    <w:p w14:paraId="2C640785" w14:textId="5CC05D4C" w:rsidR="00F65284" w:rsidRDefault="00F65284"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Subsequent to that meeting, on 6 April 2010</w:t>
      </w:r>
      <w:r w:rsidR="00DE63BF">
        <w:rPr>
          <w:rFonts w:ascii="Arial" w:hAnsi="Arial" w:cs="Arial"/>
          <w:sz w:val="24"/>
          <w:szCs w:val="24"/>
        </w:rPr>
        <w:t>,</w:t>
      </w:r>
      <w:r>
        <w:rPr>
          <w:rFonts w:ascii="Arial" w:hAnsi="Arial" w:cs="Arial"/>
          <w:sz w:val="24"/>
          <w:szCs w:val="24"/>
        </w:rPr>
        <w:t xml:space="preserve"> he received by e-mail the revised regulations which he sanctioned. The regulations which he agreed with, were supposed to be recommended by the first respondent to the second respondent </w:t>
      </w:r>
      <w:r w:rsidR="00DE63BF">
        <w:rPr>
          <w:rFonts w:ascii="Arial" w:hAnsi="Arial" w:cs="Arial"/>
          <w:sz w:val="24"/>
          <w:szCs w:val="24"/>
        </w:rPr>
        <w:t xml:space="preserve">herein referred to as the Minister </w:t>
      </w:r>
      <w:r>
        <w:rPr>
          <w:rFonts w:ascii="Arial" w:hAnsi="Arial" w:cs="Arial"/>
          <w:sz w:val="24"/>
          <w:szCs w:val="24"/>
        </w:rPr>
        <w:t>for his/her approval and signature and later to be gazette</w:t>
      </w:r>
      <w:r w:rsidR="00710101">
        <w:rPr>
          <w:rFonts w:ascii="Arial" w:hAnsi="Arial" w:cs="Arial"/>
          <w:sz w:val="24"/>
          <w:szCs w:val="24"/>
        </w:rPr>
        <w:t>d</w:t>
      </w:r>
      <w:r>
        <w:rPr>
          <w:rFonts w:ascii="Arial" w:hAnsi="Arial" w:cs="Arial"/>
          <w:sz w:val="24"/>
          <w:szCs w:val="24"/>
        </w:rPr>
        <w:t xml:space="preserve"> into law.</w:t>
      </w:r>
    </w:p>
    <w:p w14:paraId="7DCAD196" w14:textId="77777777" w:rsidR="00F65284" w:rsidRPr="00F65284" w:rsidRDefault="00F65284" w:rsidP="00F65284">
      <w:pPr>
        <w:pStyle w:val="ListParagraph"/>
        <w:spacing w:after="0" w:line="480" w:lineRule="auto"/>
        <w:jc w:val="both"/>
        <w:rPr>
          <w:rFonts w:ascii="Arial" w:hAnsi="Arial" w:cs="Arial"/>
          <w:sz w:val="24"/>
          <w:szCs w:val="24"/>
        </w:rPr>
      </w:pPr>
    </w:p>
    <w:p w14:paraId="09B80A09" w14:textId="476C89C3" w:rsidR="00F65284" w:rsidRDefault="00F65284"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When it came to his attention that the Minister has appended his signature to the regulations and that they were at the Ministry of Justice for publication, he approached Mr Burger of the first respondent to make available the regulations</w:t>
      </w:r>
      <w:r w:rsidR="00710101">
        <w:rPr>
          <w:rFonts w:ascii="Arial" w:hAnsi="Arial" w:cs="Arial"/>
          <w:sz w:val="24"/>
          <w:szCs w:val="24"/>
        </w:rPr>
        <w:t>,</w:t>
      </w:r>
      <w:r>
        <w:rPr>
          <w:rFonts w:ascii="Arial" w:hAnsi="Arial" w:cs="Arial"/>
          <w:sz w:val="24"/>
          <w:szCs w:val="24"/>
        </w:rPr>
        <w:t xml:space="preserve"> </w:t>
      </w:r>
      <w:r w:rsidR="00710101">
        <w:rPr>
          <w:rFonts w:ascii="Arial" w:hAnsi="Arial" w:cs="Arial"/>
          <w:sz w:val="24"/>
          <w:szCs w:val="24"/>
        </w:rPr>
        <w:t>t</w:t>
      </w:r>
      <w:r>
        <w:rPr>
          <w:rFonts w:ascii="Arial" w:hAnsi="Arial" w:cs="Arial"/>
          <w:sz w:val="24"/>
          <w:szCs w:val="24"/>
        </w:rPr>
        <w:t xml:space="preserve">he first respondent </w:t>
      </w:r>
      <w:r w:rsidR="00710101">
        <w:rPr>
          <w:rFonts w:ascii="Arial" w:hAnsi="Arial" w:cs="Arial"/>
          <w:sz w:val="24"/>
          <w:szCs w:val="24"/>
        </w:rPr>
        <w:t xml:space="preserve">had </w:t>
      </w:r>
      <w:r>
        <w:rPr>
          <w:rFonts w:ascii="Arial" w:hAnsi="Arial" w:cs="Arial"/>
          <w:sz w:val="24"/>
          <w:szCs w:val="24"/>
        </w:rPr>
        <w:t xml:space="preserve">recommended to the Minister, alternatively to confirm </w:t>
      </w:r>
      <w:r w:rsidR="00710101">
        <w:rPr>
          <w:rFonts w:ascii="Arial" w:hAnsi="Arial" w:cs="Arial"/>
          <w:sz w:val="24"/>
          <w:szCs w:val="24"/>
        </w:rPr>
        <w:t xml:space="preserve">the </w:t>
      </w:r>
      <w:r>
        <w:rPr>
          <w:rFonts w:ascii="Arial" w:hAnsi="Arial" w:cs="Arial"/>
          <w:sz w:val="24"/>
          <w:szCs w:val="24"/>
        </w:rPr>
        <w:t>regulations were the ones agreed upon by the parties, but Mr Burger refused to enlighten him.</w:t>
      </w:r>
    </w:p>
    <w:p w14:paraId="3E7D1CD9" w14:textId="77777777" w:rsidR="00F65284" w:rsidRPr="00F65284" w:rsidRDefault="00F65284" w:rsidP="00F65284">
      <w:pPr>
        <w:pStyle w:val="ListParagraph"/>
        <w:spacing w:after="0" w:line="480" w:lineRule="auto"/>
        <w:jc w:val="both"/>
        <w:rPr>
          <w:rFonts w:ascii="Arial" w:hAnsi="Arial" w:cs="Arial"/>
          <w:sz w:val="24"/>
          <w:szCs w:val="24"/>
        </w:rPr>
      </w:pPr>
    </w:p>
    <w:p w14:paraId="12E7B079" w14:textId="54983224" w:rsidR="00F65284" w:rsidRDefault="007C389D"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At some point</w:t>
      </w:r>
      <w:r w:rsidR="00DE63BF">
        <w:rPr>
          <w:rFonts w:ascii="Arial" w:hAnsi="Arial" w:cs="Arial"/>
          <w:sz w:val="24"/>
          <w:szCs w:val="24"/>
        </w:rPr>
        <w:t>,</w:t>
      </w:r>
      <w:r>
        <w:rPr>
          <w:rFonts w:ascii="Arial" w:hAnsi="Arial" w:cs="Arial"/>
          <w:sz w:val="24"/>
          <w:szCs w:val="24"/>
        </w:rPr>
        <w:t xml:space="preserve"> he made a further enquiry at the first </w:t>
      </w:r>
      <w:r w:rsidR="00DE63BF">
        <w:rPr>
          <w:rFonts w:ascii="Arial" w:hAnsi="Arial" w:cs="Arial"/>
          <w:sz w:val="24"/>
          <w:szCs w:val="24"/>
        </w:rPr>
        <w:t xml:space="preserve">respondent </w:t>
      </w:r>
      <w:r>
        <w:rPr>
          <w:rFonts w:ascii="Arial" w:hAnsi="Arial" w:cs="Arial"/>
          <w:sz w:val="24"/>
          <w:szCs w:val="24"/>
        </w:rPr>
        <w:t xml:space="preserve">and </w:t>
      </w:r>
      <w:r w:rsidR="00DE63BF">
        <w:rPr>
          <w:rFonts w:ascii="Arial" w:hAnsi="Arial" w:cs="Arial"/>
          <w:sz w:val="24"/>
          <w:szCs w:val="24"/>
        </w:rPr>
        <w:t>the MOHSS</w:t>
      </w:r>
      <w:r>
        <w:rPr>
          <w:rFonts w:ascii="Arial" w:hAnsi="Arial" w:cs="Arial"/>
          <w:sz w:val="24"/>
          <w:szCs w:val="24"/>
        </w:rPr>
        <w:t xml:space="preserve"> as to the status of the regulations. He was informed that the draft regulations were submitted to the Policy Management and Development Review Committee (PMDRC) of the </w:t>
      </w:r>
      <w:r w:rsidR="00DE63BF">
        <w:rPr>
          <w:rFonts w:ascii="Arial" w:hAnsi="Arial" w:cs="Arial"/>
          <w:sz w:val="24"/>
          <w:szCs w:val="24"/>
        </w:rPr>
        <w:t>MOHSS</w:t>
      </w:r>
      <w:r>
        <w:rPr>
          <w:rFonts w:ascii="Arial" w:hAnsi="Arial" w:cs="Arial"/>
          <w:sz w:val="24"/>
          <w:szCs w:val="24"/>
        </w:rPr>
        <w:t xml:space="preserve"> for scrutiny before further submission to the Minister.</w:t>
      </w:r>
    </w:p>
    <w:p w14:paraId="143EF150" w14:textId="29EDE6E4" w:rsidR="007C389D" w:rsidRDefault="007C389D"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Once the regulations were published it turned out that reg 10(</w:t>
      </w:r>
      <w:r w:rsidRPr="00F70D63">
        <w:rPr>
          <w:rFonts w:ascii="Arial" w:hAnsi="Arial" w:cs="Arial"/>
          <w:i/>
          <w:sz w:val="24"/>
          <w:szCs w:val="24"/>
        </w:rPr>
        <w:t>c</w:t>
      </w:r>
      <w:r>
        <w:rPr>
          <w:rFonts w:ascii="Arial" w:hAnsi="Arial" w:cs="Arial"/>
          <w:sz w:val="24"/>
          <w:szCs w:val="24"/>
        </w:rPr>
        <w:t>) was not c</w:t>
      </w:r>
      <w:r w:rsidR="00710101">
        <w:rPr>
          <w:rFonts w:ascii="Arial" w:hAnsi="Arial" w:cs="Arial"/>
          <w:sz w:val="24"/>
          <w:szCs w:val="24"/>
        </w:rPr>
        <w:t>o</w:t>
      </w:r>
      <w:r>
        <w:rPr>
          <w:rFonts w:ascii="Arial" w:hAnsi="Arial" w:cs="Arial"/>
          <w:sz w:val="24"/>
          <w:szCs w:val="24"/>
        </w:rPr>
        <w:t>ached in the wording agreed upon with the appellant. The wording agreed upon was in this form:</w:t>
      </w:r>
    </w:p>
    <w:p w14:paraId="612C0050" w14:textId="77777777" w:rsidR="007C389D" w:rsidRDefault="007C389D" w:rsidP="007C389D">
      <w:pPr>
        <w:pStyle w:val="ListParagraph"/>
        <w:spacing w:after="0" w:line="480" w:lineRule="auto"/>
        <w:jc w:val="both"/>
        <w:rPr>
          <w:rFonts w:ascii="Arial" w:hAnsi="Arial" w:cs="Arial"/>
          <w:sz w:val="24"/>
          <w:szCs w:val="24"/>
        </w:rPr>
      </w:pPr>
    </w:p>
    <w:p w14:paraId="66CA4582" w14:textId="5DE038BC" w:rsidR="007C389D" w:rsidRPr="007C389D" w:rsidRDefault="007C389D" w:rsidP="007C389D">
      <w:pPr>
        <w:pStyle w:val="ListParagraph"/>
        <w:spacing w:after="0" w:line="360" w:lineRule="auto"/>
        <w:jc w:val="both"/>
        <w:rPr>
          <w:rFonts w:ascii="Arial" w:hAnsi="Arial" w:cs="Arial"/>
        </w:rPr>
      </w:pPr>
      <w:r>
        <w:rPr>
          <w:rFonts w:ascii="Arial" w:hAnsi="Arial" w:cs="Arial"/>
        </w:rPr>
        <w:t>‘A specialist clinical biochemist may treat without a referral, any person who approaches him or her directly for a consultation.’</w:t>
      </w:r>
    </w:p>
    <w:p w14:paraId="23358AD5" w14:textId="77777777" w:rsidR="007C389D" w:rsidRPr="007C389D" w:rsidRDefault="007C389D" w:rsidP="007C389D">
      <w:pPr>
        <w:pStyle w:val="ListParagraph"/>
        <w:spacing w:after="0" w:line="480" w:lineRule="auto"/>
        <w:jc w:val="both"/>
        <w:rPr>
          <w:rFonts w:ascii="Arial" w:hAnsi="Arial" w:cs="Arial"/>
          <w:sz w:val="24"/>
          <w:szCs w:val="24"/>
        </w:rPr>
      </w:pPr>
    </w:p>
    <w:p w14:paraId="4D83229C" w14:textId="2D518CE0" w:rsidR="007C389D" w:rsidRDefault="007C389D"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Regulation 10(</w:t>
      </w:r>
      <w:r w:rsidRPr="00F70D63">
        <w:rPr>
          <w:rFonts w:ascii="Arial" w:hAnsi="Arial" w:cs="Arial"/>
          <w:i/>
          <w:sz w:val="24"/>
          <w:szCs w:val="24"/>
        </w:rPr>
        <w:t>c</w:t>
      </w:r>
      <w:r>
        <w:rPr>
          <w:rFonts w:ascii="Arial" w:hAnsi="Arial" w:cs="Arial"/>
          <w:sz w:val="24"/>
          <w:szCs w:val="24"/>
        </w:rPr>
        <w:t>) reads as follows:</w:t>
      </w:r>
    </w:p>
    <w:p w14:paraId="2C962E31" w14:textId="77777777" w:rsidR="007C389D" w:rsidRDefault="007C389D" w:rsidP="007C389D">
      <w:pPr>
        <w:pStyle w:val="ListParagraph"/>
        <w:tabs>
          <w:tab w:val="left" w:pos="851"/>
        </w:tabs>
        <w:spacing w:after="0" w:line="480" w:lineRule="auto"/>
        <w:ind w:left="0"/>
        <w:jc w:val="both"/>
        <w:rPr>
          <w:rFonts w:ascii="Arial" w:hAnsi="Arial" w:cs="Arial"/>
          <w:sz w:val="24"/>
          <w:szCs w:val="24"/>
        </w:rPr>
      </w:pPr>
    </w:p>
    <w:p w14:paraId="1876C5DA" w14:textId="0187B61D" w:rsidR="007C389D" w:rsidRDefault="007C389D" w:rsidP="007C389D">
      <w:pPr>
        <w:pStyle w:val="ListParagraph"/>
        <w:tabs>
          <w:tab w:val="left" w:pos="851"/>
        </w:tabs>
        <w:spacing w:after="0" w:line="360" w:lineRule="auto"/>
        <w:ind w:left="851"/>
        <w:jc w:val="both"/>
        <w:rPr>
          <w:rFonts w:ascii="Arial" w:hAnsi="Arial" w:cs="Arial"/>
        </w:rPr>
      </w:pPr>
      <w:r>
        <w:rPr>
          <w:rFonts w:ascii="Arial" w:hAnsi="Arial" w:cs="Arial"/>
        </w:rPr>
        <w:t>‘A specialist clinical biochemist may examine and conduct tests on a patient referred to him or her by medical practitioner, as requested by that medical practitioner in the referral.’</w:t>
      </w:r>
    </w:p>
    <w:p w14:paraId="729997CE" w14:textId="77777777" w:rsidR="007C389D" w:rsidRPr="007C389D" w:rsidRDefault="007C389D" w:rsidP="007C389D">
      <w:pPr>
        <w:pStyle w:val="ListParagraph"/>
        <w:tabs>
          <w:tab w:val="left" w:pos="851"/>
        </w:tabs>
        <w:spacing w:after="0" w:line="480" w:lineRule="auto"/>
        <w:ind w:left="851"/>
        <w:jc w:val="both"/>
        <w:rPr>
          <w:rFonts w:ascii="Arial" w:hAnsi="Arial" w:cs="Arial"/>
          <w:sz w:val="24"/>
          <w:szCs w:val="24"/>
        </w:rPr>
      </w:pPr>
    </w:p>
    <w:p w14:paraId="285A5A93" w14:textId="6792C498" w:rsidR="007C389D" w:rsidRDefault="007C389D"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After some serious considerations</w:t>
      </w:r>
      <w:r w:rsidR="00DE63BF">
        <w:rPr>
          <w:rFonts w:ascii="Arial" w:hAnsi="Arial" w:cs="Arial"/>
          <w:sz w:val="24"/>
          <w:szCs w:val="24"/>
        </w:rPr>
        <w:t>,</w:t>
      </w:r>
      <w:r>
        <w:rPr>
          <w:rFonts w:ascii="Arial" w:hAnsi="Arial" w:cs="Arial"/>
          <w:sz w:val="24"/>
          <w:szCs w:val="24"/>
        </w:rPr>
        <w:t xml:space="preserve"> appellant convinced himself that there was no difference between the agreed upon draft reg 10(</w:t>
      </w:r>
      <w:r w:rsidRPr="00F70D63">
        <w:rPr>
          <w:rFonts w:ascii="Arial" w:hAnsi="Arial" w:cs="Arial"/>
          <w:i/>
          <w:sz w:val="24"/>
          <w:szCs w:val="24"/>
        </w:rPr>
        <w:t>c</w:t>
      </w:r>
      <w:r w:rsidRPr="00F70D63">
        <w:rPr>
          <w:rFonts w:ascii="Arial" w:hAnsi="Arial" w:cs="Arial"/>
          <w:sz w:val="24"/>
          <w:szCs w:val="24"/>
        </w:rPr>
        <w:t>)</w:t>
      </w:r>
      <w:r>
        <w:rPr>
          <w:rFonts w:ascii="Arial" w:hAnsi="Arial" w:cs="Arial"/>
          <w:sz w:val="24"/>
          <w:szCs w:val="24"/>
        </w:rPr>
        <w:t xml:space="preserve"> and the enacted one of 16 June 2010, because the wording was discretionary and not mandatory or </w:t>
      </w:r>
      <w:r w:rsidR="0029073C">
        <w:rPr>
          <w:rFonts w:ascii="Arial" w:hAnsi="Arial" w:cs="Arial"/>
          <w:sz w:val="24"/>
          <w:szCs w:val="24"/>
        </w:rPr>
        <w:t xml:space="preserve">prohibitory by the use of the word </w:t>
      </w:r>
      <w:r w:rsidR="00DE63BF">
        <w:rPr>
          <w:rFonts w:ascii="Arial" w:hAnsi="Arial" w:cs="Arial"/>
          <w:sz w:val="24"/>
          <w:szCs w:val="24"/>
        </w:rPr>
        <w:t>‘</w:t>
      </w:r>
      <w:r w:rsidR="0029073C">
        <w:rPr>
          <w:rFonts w:ascii="Arial" w:hAnsi="Arial" w:cs="Arial"/>
          <w:sz w:val="24"/>
          <w:szCs w:val="24"/>
        </w:rPr>
        <w:t>may</w:t>
      </w:r>
      <w:r w:rsidR="00DE63BF">
        <w:rPr>
          <w:rFonts w:ascii="Arial" w:hAnsi="Arial" w:cs="Arial"/>
          <w:sz w:val="24"/>
          <w:szCs w:val="24"/>
        </w:rPr>
        <w:t>’</w:t>
      </w:r>
      <w:r w:rsidR="0029073C">
        <w:rPr>
          <w:rFonts w:ascii="Arial" w:hAnsi="Arial" w:cs="Arial"/>
          <w:sz w:val="24"/>
          <w:szCs w:val="24"/>
        </w:rPr>
        <w:t xml:space="preserve"> contrary to what the first respondent in the letter addressed to the appellant </w:t>
      </w:r>
      <w:r w:rsidR="00710101">
        <w:rPr>
          <w:rFonts w:ascii="Arial" w:hAnsi="Arial" w:cs="Arial"/>
          <w:sz w:val="24"/>
          <w:szCs w:val="24"/>
        </w:rPr>
        <w:t>contended for was the interpretation of reg 10(</w:t>
      </w:r>
      <w:r w:rsidR="00710101" w:rsidRPr="00F70D63">
        <w:rPr>
          <w:rFonts w:ascii="Arial" w:hAnsi="Arial" w:cs="Arial"/>
          <w:i/>
          <w:sz w:val="24"/>
          <w:szCs w:val="24"/>
        </w:rPr>
        <w:t>c</w:t>
      </w:r>
      <w:r w:rsidR="00710101">
        <w:rPr>
          <w:rFonts w:ascii="Arial" w:hAnsi="Arial" w:cs="Arial"/>
          <w:sz w:val="24"/>
          <w:szCs w:val="24"/>
        </w:rPr>
        <w:t>)</w:t>
      </w:r>
      <w:r w:rsidR="0029073C">
        <w:rPr>
          <w:rFonts w:ascii="Arial" w:hAnsi="Arial" w:cs="Arial"/>
          <w:sz w:val="24"/>
          <w:szCs w:val="24"/>
        </w:rPr>
        <w:t>.</w:t>
      </w:r>
    </w:p>
    <w:p w14:paraId="064B91F2" w14:textId="77777777" w:rsidR="0029073C" w:rsidRDefault="0029073C" w:rsidP="0029073C">
      <w:pPr>
        <w:pStyle w:val="ListParagraph"/>
        <w:tabs>
          <w:tab w:val="left" w:pos="851"/>
        </w:tabs>
        <w:spacing w:after="0" w:line="480" w:lineRule="auto"/>
        <w:ind w:left="0"/>
        <w:jc w:val="both"/>
        <w:rPr>
          <w:rFonts w:ascii="Arial" w:hAnsi="Arial" w:cs="Arial"/>
          <w:sz w:val="24"/>
          <w:szCs w:val="24"/>
        </w:rPr>
      </w:pPr>
    </w:p>
    <w:p w14:paraId="007792E9" w14:textId="5F9CD3A1" w:rsidR="0029073C" w:rsidRDefault="0029073C"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Despite that resolution</w:t>
      </w:r>
      <w:r w:rsidR="00DE63BF">
        <w:rPr>
          <w:rFonts w:ascii="Arial" w:hAnsi="Arial" w:cs="Arial"/>
          <w:sz w:val="24"/>
          <w:szCs w:val="24"/>
        </w:rPr>
        <w:t>,</w:t>
      </w:r>
      <w:r>
        <w:rPr>
          <w:rFonts w:ascii="Arial" w:hAnsi="Arial" w:cs="Arial"/>
          <w:sz w:val="24"/>
          <w:szCs w:val="24"/>
        </w:rPr>
        <w:t xml:space="preserve"> appellant continued to engage the first and second respondents on the interpretation of reg 10(</w:t>
      </w:r>
      <w:r w:rsidRPr="00F70D63">
        <w:rPr>
          <w:rFonts w:ascii="Arial" w:hAnsi="Arial" w:cs="Arial"/>
          <w:i/>
          <w:sz w:val="24"/>
          <w:szCs w:val="24"/>
        </w:rPr>
        <w:t>c</w:t>
      </w:r>
      <w:r>
        <w:rPr>
          <w:rFonts w:ascii="Arial" w:hAnsi="Arial" w:cs="Arial"/>
          <w:sz w:val="24"/>
          <w:szCs w:val="24"/>
        </w:rPr>
        <w:t>). He made an argument that reg 2(a)</w:t>
      </w:r>
      <w:r>
        <w:rPr>
          <w:rStyle w:val="FootnoteReference"/>
          <w:rFonts w:ascii="Arial" w:hAnsi="Arial" w:cs="Arial"/>
          <w:sz w:val="24"/>
          <w:szCs w:val="24"/>
        </w:rPr>
        <w:footnoteReference w:id="2"/>
      </w:r>
      <w:r w:rsidR="00821D15">
        <w:rPr>
          <w:rFonts w:ascii="Arial" w:hAnsi="Arial" w:cs="Arial"/>
          <w:sz w:val="24"/>
          <w:szCs w:val="24"/>
        </w:rPr>
        <w:t xml:space="preserve"> </w:t>
      </w:r>
      <w:r w:rsidR="00821D15">
        <w:rPr>
          <w:rFonts w:ascii="Arial" w:hAnsi="Arial" w:cs="Arial"/>
          <w:sz w:val="24"/>
          <w:szCs w:val="24"/>
        </w:rPr>
        <w:lastRenderedPageBreak/>
        <w:t xml:space="preserve">of the </w:t>
      </w:r>
      <w:r w:rsidR="00043197">
        <w:rPr>
          <w:rFonts w:ascii="Arial" w:hAnsi="Arial" w:cs="Arial"/>
          <w:sz w:val="24"/>
          <w:szCs w:val="24"/>
        </w:rPr>
        <w:t>r</w:t>
      </w:r>
      <w:r w:rsidR="00821D15">
        <w:rPr>
          <w:rFonts w:ascii="Arial" w:hAnsi="Arial" w:cs="Arial"/>
          <w:sz w:val="24"/>
          <w:szCs w:val="24"/>
        </w:rPr>
        <w:t xml:space="preserve">egulations relating to </w:t>
      </w:r>
      <w:r w:rsidR="00043197">
        <w:rPr>
          <w:rFonts w:ascii="Arial" w:hAnsi="Arial" w:cs="Arial"/>
          <w:sz w:val="24"/>
          <w:szCs w:val="24"/>
        </w:rPr>
        <w:t xml:space="preserve">the </w:t>
      </w:r>
      <w:r w:rsidR="00821D15">
        <w:rPr>
          <w:rFonts w:ascii="Arial" w:hAnsi="Arial" w:cs="Arial"/>
          <w:sz w:val="24"/>
          <w:szCs w:val="24"/>
        </w:rPr>
        <w:t xml:space="preserve">scope of practice of </w:t>
      </w:r>
      <w:r w:rsidR="00043197">
        <w:rPr>
          <w:rFonts w:ascii="Arial" w:hAnsi="Arial" w:cs="Arial"/>
          <w:sz w:val="24"/>
          <w:szCs w:val="24"/>
        </w:rPr>
        <w:t>c</w:t>
      </w:r>
      <w:r w:rsidR="00821D15">
        <w:rPr>
          <w:rFonts w:ascii="Arial" w:hAnsi="Arial" w:cs="Arial"/>
          <w:sz w:val="24"/>
          <w:szCs w:val="24"/>
        </w:rPr>
        <w:t xml:space="preserve">linical </w:t>
      </w:r>
      <w:r w:rsidR="00043197">
        <w:rPr>
          <w:rFonts w:ascii="Arial" w:hAnsi="Arial" w:cs="Arial"/>
          <w:sz w:val="24"/>
          <w:szCs w:val="24"/>
        </w:rPr>
        <w:t>b</w:t>
      </w:r>
      <w:r w:rsidR="00821D15">
        <w:rPr>
          <w:rFonts w:ascii="Arial" w:hAnsi="Arial" w:cs="Arial"/>
          <w:sz w:val="24"/>
          <w:szCs w:val="24"/>
        </w:rPr>
        <w:t>iochemist</w:t>
      </w:r>
      <w:r w:rsidR="00DE63BF">
        <w:rPr>
          <w:rFonts w:ascii="Arial" w:hAnsi="Arial" w:cs="Arial"/>
          <w:sz w:val="24"/>
          <w:szCs w:val="24"/>
        </w:rPr>
        <w:t>s</w:t>
      </w:r>
      <w:r w:rsidR="00821D15">
        <w:rPr>
          <w:rFonts w:ascii="Arial" w:hAnsi="Arial" w:cs="Arial"/>
          <w:sz w:val="24"/>
          <w:szCs w:val="24"/>
        </w:rPr>
        <w:t xml:space="preserve"> under s 59 of the Medical and Dental Act, among other things provides that, ‘consultation with the patient or other registered persons relating to the development and application of those biochemical principles, procedures and techniques</w:t>
      </w:r>
      <w:r w:rsidR="005A1D9E">
        <w:rPr>
          <w:rFonts w:ascii="Arial" w:hAnsi="Arial" w:cs="Arial"/>
          <w:sz w:val="24"/>
          <w:szCs w:val="24"/>
        </w:rPr>
        <w:t xml:space="preserve">. . . </w:t>
      </w:r>
      <w:r w:rsidR="006021F2">
        <w:rPr>
          <w:rFonts w:ascii="Arial" w:hAnsi="Arial" w:cs="Arial"/>
          <w:sz w:val="24"/>
          <w:szCs w:val="24"/>
        </w:rPr>
        <w:t>.’</w:t>
      </w:r>
      <w:r w:rsidR="00F70D63">
        <w:rPr>
          <w:rFonts w:ascii="Arial" w:hAnsi="Arial" w:cs="Arial"/>
          <w:sz w:val="24"/>
          <w:szCs w:val="24"/>
        </w:rPr>
        <w:t>.</w:t>
      </w:r>
      <w:r w:rsidR="006021F2">
        <w:rPr>
          <w:rFonts w:ascii="Arial" w:hAnsi="Arial" w:cs="Arial"/>
          <w:sz w:val="24"/>
          <w:szCs w:val="24"/>
        </w:rPr>
        <w:t xml:space="preserve"> He further argues that first respondent ignores the provision</w:t>
      </w:r>
      <w:r w:rsidR="005A1D9E">
        <w:rPr>
          <w:rFonts w:ascii="Arial" w:hAnsi="Arial" w:cs="Arial"/>
          <w:sz w:val="24"/>
          <w:szCs w:val="24"/>
        </w:rPr>
        <w:t>s</w:t>
      </w:r>
      <w:r w:rsidR="006021F2">
        <w:rPr>
          <w:rFonts w:ascii="Arial" w:hAnsi="Arial" w:cs="Arial"/>
          <w:sz w:val="24"/>
          <w:szCs w:val="24"/>
        </w:rPr>
        <w:t xml:space="preserve"> of </w:t>
      </w:r>
      <w:r w:rsidR="005A1D9E">
        <w:rPr>
          <w:rFonts w:ascii="Arial" w:hAnsi="Arial" w:cs="Arial"/>
          <w:sz w:val="24"/>
          <w:szCs w:val="24"/>
        </w:rPr>
        <w:t xml:space="preserve">reg </w:t>
      </w:r>
      <w:r w:rsidR="006021F2">
        <w:rPr>
          <w:rFonts w:ascii="Arial" w:hAnsi="Arial" w:cs="Arial"/>
          <w:sz w:val="24"/>
          <w:szCs w:val="24"/>
        </w:rPr>
        <w:t>2(a) and conveniently relies on reg 10(</w:t>
      </w:r>
      <w:r w:rsidR="006021F2" w:rsidRPr="009E65E8">
        <w:rPr>
          <w:rFonts w:ascii="Arial" w:hAnsi="Arial" w:cs="Arial"/>
          <w:i/>
          <w:sz w:val="24"/>
          <w:szCs w:val="24"/>
        </w:rPr>
        <w:t>c</w:t>
      </w:r>
      <w:r w:rsidR="006021F2">
        <w:rPr>
          <w:rFonts w:ascii="Arial" w:hAnsi="Arial" w:cs="Arial"/>
          <w:sz w:val="24"/>
          <w:szCs w:val="24"/>
        </w:rPr>
        <w:t>) and hold that he is only permitted to see patients referred to him by medical practitioners. Appellant further makes a comparison or relies on conditions that are applicable to all specialists under the Medical and Dental Act, namely a specialist medical practitioner</w:t>
      </w:r>
      <w:r w:rsidR="005A4FF5">
        <w:rPr>
          <w:rStyle w:val="FootnoteReference"/>
          <w:rFonts w:ascii="Arial" w:hAnsi="Arial" w:cs="Arial"/>
          <w:sz w:val="24"/>
          <w:szCs w:val="24"/>
        </w:rPr>
        <w:footnoteReference w:id="3"/>
      </w:r>
      <w:r w:rsidR="00121EAF">
        <w:rPr>
          <w:rFonts w:ascii="Arial" w:hAnsi="Arial" w:cs="Arial"/>
          <w:sz w:val="24"/>
          <w:szCs w:val="24"/>
        </w:rPr>
        <w:t xml:space="preserve">, </w:t>
      </w:r>
      <w:r w:rsidR="006021F2">
        <w:rPr>
          <w:rFonts w:ascii="Arial" w:hAnsi="Arial" w:cs="Arial"/>
          <w:sz w:val="24"/>
          <w:szCs w:val="24"/>
        </w:rPr>
        <w:t>a specialist psychologist</w:t>
      </w:r>
      <w:r w:rsidR="00043197">
        <w:rPr>
          <w:rStyle w:val="FootnoteReference"/>
          <w:rFonts w:ascii="Arial" w:hAnsi="Arial" w:cs="Arial"/>
          <w:sz w:val="24"/>
          <w:szCs w:val="24"/>
        </w:rPr>
        <w:footnoteReference w:id="4"/>
      </w:r>
      <w:r w:rsidR="006021F2">
        <w:rPr>
          <w:rFonts w:ascii="Arial" w:hAnsi="Arial" w:cs="Arial"/>
          <w:sz w:val="24"/>
          <w:szCs w:val="24"/>
        </w:rPr>
        <w:t>, a specialist pharmacist</w:t>
      </w:r>
      <w:r w:rsidR="00043197">
        <w:rPr>
          <w:rStyle w:val="FootnoteReference"/>
          <w:rFonts w:ascii="Arial" w:hAnsi="Arial" w:cs="Arial"/>
          <w:sz w:val="24"/>
          <w:szCs w:val="24"/>
        </w:rPr>
        <w:footnoteReference w:id="5"/>
      </w:r>
      <w:r w:rsidR="006021F2">
        <w:rPr>
          <w:rFonts w:ascii="Arial" w:hAnsi="Arial" w:cs="Arial"/>
          <w:sz w:val="24"/>
          <w:szCs w:val="24"/>
        </w:rPr>
        <w:t>, a specialist nurse or midwife or accoucheur</w:t>
      </w:r>
      <w:r w:rsidR="00F44A7E">
        <w:rPr>
          <w:rStyle w:val="FootnoteReference"/>
          <w:rFonts w:ascii="Arial" w:hAnsi="Arial" w:cs="Arial"/>
          <w:sz w:val="24"/>
          <w:szCs w:val="24"/>
        </w:rPr>
        <w:footnoteReference w:id="6"/>
      </w:r>
      <w:r w:rsidR="006021F2">
        <w:rPr>
          <w:rFonts w:ascii="Arial" w:hAnsi="Arial" w:cs="Arial"/>
          <w:sz w:val="24"/>
          <w:szCs w:val="24"/>
        </w:rPr>
        <w:t xml:space="preserve"> and a specialist dentist</w:t>
      </w:r>
      <w:r w:rsidR="006021F2">
        <w:rPr>
          <w:rStyle w:val="FootnoteReference"/>
          <w:rFonts w:ascii="Arial" w:hAnsi="Arial" w:cs="Arial"/>
          <w:sz w:val="24"/>
          <w:szCs w:val="24"/>
        </w:rPr>
        <w:footnoteReference w:id="7"/>
      </w:r>
      <w:r w:rsidR="00D92A4E">
        <w:rPr>
          <w:rFonts w:ascii="Arial" w:hAnsi="Arial" w:cs="Arial"/>
          <w:sz w:val="24"/>
          <w:szCs w:val="24"/>
        </w:rPr>
        <w:t xml:space="preserve"> to state that there is a commonality of conditions with his profession and yet the above mentioned specialists may directly see patients approaching them.</w:t>
      </w:r>
    </w:p>
    <w:p w14:paraId="55A52C60" w14:textId="7501160C" w:rsidR="00D92A4E" w:rsidRDefault="00D92A4E"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On 5 July 2010</w:t>
      </w:r>
      <w:r w:rsidR="005A1D9E">
        <w:rPr>
          <w:rFonts w:ascii="Arial" w:hAnsi="Arial" w:cs="Arial"/>
          <w:sz w:val="24"/>
          <w:szCs w:val="24"/>
        </w:rPr>
        <w:t>,</w:t>
      </w:r>
      <w:r>
        <w:rPr>
          <w:rFonts w:ascii="Arial" w:hAnsi="Arial" w:cs="Arial"/>
          <w:sz w:val="24"/>
          <w:szCs w:val="24"/>
        </w:rPr>
        <w:t xml:space="preserve"> appellant addressed a letter to the second respondent seeking an amendment to the regulations in question, particularly 10(</w:t>
      </w:r>
      <w:r w:rsidRPr="005966FD">
        <w:rPr>
          <w:rFonts w:ascii="Arial" w:hAnsi="Arial" w:cs="Arial"/>
          <w:i/>
          <w:sz w:val="24"/>
          <w:szCs w:val="24"/>
        </w:rPr>
        <w:t>c</w:t>
      </w:r>
      <w:r>
        <w:rPr>
          <w:rFonts w:ascii="Arial" w:hAnsi="Arial" w:cs="Arial"/>
          <w:sz w:val="24"/>
          <w:szCs w:val="24"/>
        </w:rPr>
        <w:t>) as it was the only bone of contention. On 2 August 2010 the Minister responded and the relevant portions of his letter reads:</w:t>
      </w:r>
    </w:p>
    <w:p w14:paraId="2FA1CCDE" w14:textId="77777777" w:rsidR="00161B22" w:rsidRDefault="00161B22" w:rsidP="00161B22">
      <w:pPr>
        <w:pStyle w:val="ListParagraph"/>
        <w:tabs>
          <w:tab w:val="left" w:pos="851"/>
        </w:tabs>
        <w:spacing w:after="0" w:line="480" w:lineRule="auto"/>
        <w:ind w:left="0"/>
        <w:jc w:val="both"/>
        <w:rPr>
          <w:rFonts w:ascii="Arial" w:hAnsi="Arial" w:cs="Arial"/>
          <w:sz w:val="24"/>
          <w:szCs w:val="24"/>
        </w:rPr>
      </w:pPr>
    </w:p>
    <w:p w14:paraId="26E8F2A1" w14:textId="380B4BA5" w:rsidR="00D92A4E" w:rsidRDefault="00D92A4E" w:rsidP="00D92A4E">
      <w:pPr>
        <w:pStyle w:val="ListParagraph"/>
        <w:spacing w:line="360" w:lineRule="auto"/>
        <w:jc w:val="both"/>
        <w:rPr>
          <w:rFonts w:ascii="Arial" w:hAnsi="Arial" w:cs="Arial"/>
        </w:rPr>
      </w:pPr>
      <w:r>
        <w:rPr>
          <w:rFonts w:ascii="Arial" w:hAnsi="Arial" w:cs="Arial"/>
        </w:rPr>
        <w:t>‘Despite the above provision of the Act, I was informed by the Council that as part of its administrative procedure and in appreciation of the principles of participatory democracy, the Council normally consults with persons from the profession for which regulations are to be recommended and it was in pursuance of the same procedure and principles that you were consulted.</w:t>
      </w:r>
    </w:p>
    <w:p w14:paraId="7F95FCAC" w14:textId="77777777" w:rsidR="00D92A4E" w:rsidRDefault="00D92A4E" w:rsidP="00D92A4E">
      <w:pPr>
        <w:pStyle w:val="ListParagraph"/>
        <w:spacing w:line="360" w:lineRule="auto"/>
        <w:jc w:val="both"/>
        <w:rPr>
          <w:rFonts w:ascii="Arial" w:hAnsi="Arial" w:cs="Arial"/>
        </w:rPr>
      </w:pPr>
    </w:p>
    <w:p w14:paraId="2461C7D8" w14:textId="66504FDE" w:rsidR="00D92A4E" w:rsidRDefault="00D92A4E" w:rsidP="00D92A4E">
      <w:pPr>
        <w:pStyle w:val="ListParagraph"/>
        <w:spacing w:line="360" w:lineRule="auto"/>
        <w:jc w:val="both"/>
        <w:rPr>
          <w:rFonts w:ascii="Arial" w:hAnsi="Arial" w:cs="Arial"/>
        </w:rPr>
      </w:pPr>
      <w:r>
        <w:rPr>
          <w:rFonts w:ascii="Arial" w:hAnsi="Arial" w:cs="Arial"/>
        </w:rPr>
        <w:t>Seeing that the responsibility to make recommendation to the Minister solely rests with the Council, it is common course that despite having consulted you, in the final analysis the Council has vested prerogative to decide what to include and not to include in the recommendation.</w:t>
      </w:r>
    </w:p>
    <w:p w14:paraId="563C6735" w14:textId="77777777" w:rsidR="00D92A4E" w:rsidRDefault="00D92A4E" w:rsidP="00D92A4E">
      <w:pPr>
        <w:pStyle w:val="ListParagraph"/>
        <w:spacing w:line="360" w:lineRule="auto"/>
        <w:jc w:val="both"/>
        <w:rPr>
          <w:rFonts w:ascii="Arial" w:hAnsi="Arial" w:cs="Arial"/>
        </w:rPr>
      </w:pPr>
    </w:p>
    <w:p w14:paraId="6D3D353E" w14:textId="3F8A460B" w:rsidR="00161B22" w:rsidRDefault="00161B22" w:rsidP="00D92A4E">
      <w:pPr>
        <w:pStyle w:val="ListParagraph"/>
        <w:spacing w:line="360" w:lineRule="auto"/>
        <w:jc w:val="both"/>
        <w:rPr>
          <w:rFonts w:ascii="Arial" w:hAnsi="Arial" w:cs="Arial"/>
        </w:rPr>
      </w:pPr>
      <w:r>
        <w:rPr>
          <w:rFonts w:ascii="Arial" w:hAnsi="Arial" w:cs="Arial"/>
        </w:rPr>
        <w:t>. . . .</w:t>
      </w:r>
    </w:p>
    <w:p w14:paraId="60307F23" w14:textId="77777777" w:rsidR="00161B22" w:rsidRDefault="00161B22" w:rsidP="00D92A4E">
      <w:pPr>
        <w:pStyle w:val="ListParagraph"/>
        <w:spacing w:line="360" w:lineRule="auto"/>
        <w:jc w:val="both"/>
        <w:rPr>
          <w:rFonts w:ascii="Arial" w:hAnsi="Arial" w:cs="Arial"/>
        </w:rPr>
      </w:pPr>
    </w:p>
    <w:p w14:paraId="3214DBE7" w14:textId="674DD3F8" w:rsidR="00D92A4E" w:rsidRDefault="00D92A4E" w:rsidP="00D92A4E">
      <w:pPr>
        <w:pStyle w:val="ListParagraph"/>
        <w:spacing w:line="360" w:lineRule="auto"/>
        <w:jc w:val="both"/>
        <w:rPr>
          <w:rFonts w:ascii="Arial" w:hAnsi="Arial" w:cs="Arial"/>
        </w:rPr>
      </w:pPr>
      <w:r>
        <w:rPr>
          <w:rFonts w:ascii="Arial" w:hAnsi="Arial" w:cs="Arial"/>
        </w:rPr>
        <w:t>Please be informed that the regulations recommended to me by the Council were thoroughly scrutinized and endorsed by my Ministry’s highest policy making body, the Policy Management, Development and Review Committee (PMDRC) before I signed them into law.</w:t>
      </w:r>
    </w:p>
    <w:p w14:paraId="404662EC" w14:textId="77777777" w:rsidR="00D92A4E" w:rsidRDefault="00D92A4E" w:rsidP="00D92A4E">
      <w:pPr>
        <w:pStyle w:val="ListParagraph"/>
        <w:spacing w:line="360" w:lineRule="auto"/>
        <w:jc w:val="both"/>
        <w:rPr>
          <w:rFonts w:ascii="Arial" w:hAnsi="Arial" w:cs="Arial"/>
        </w:rPr>
      </w:pPr>
    </w:p>
    <w:p w14:paraId="2FC9C1F0" w14:textId="293451C9" w:rsidR="00D92A4E" w:rsidRDefault="00D92A4E" w:rsidP="00D92A4E">
      <w:pPr>
        <w:pStyle w:val="ListParagraph"/>
        <w:spacing w:line="360" w:lineRule="auto"/>
        <w:jc w:val="both"/>
        <w:rPr>
          <w:rFonts w:ascii="Arial" w:hAnsi="Arial" w:cs="Arial"/>
        </w:rPr>
      </w:pPr>
      <w:r>
        <w:rPr>
          <w:rFonts w:ascii="Arial" w:hAnsi="Arial" w:cs="Arial"/>
        </w:rPr>
        <w:t xml:space="preserve">I was informed that the Health Professions Councils of Namibia and for the purpose of this response, particularly the Medical and Dental Council, have no </w:t>
      </w:r>
      <w:r w:rsidRPr="00161B22">
        <w:rPr>
          <w:rFonts w:ascii="Arial" w:hAnsi="Arial" w:cs="Arial"/>
          <w:b/>
        </w:rPr>
        <w:t>standard practice</w:t>
      </w:r>
      <w:r>
        <w:rPr>
          <w:rFonts w:ascii="Arial" w:hAnsi="Arial" w:cs="Arial"/>
        </w:rPr>
        <w:t xml:space="preserve"> applicable to all specialists across professions. Standard practice are </w:t>
      </w:r>
      <w:r w:rsidR="00121EAF">
        <w:rPr>
          <w:rFonts w:ascii="Arial" w:hAnsi="Arial" w:cs="Arial"/>
        </w:rPr>
        <w:t xml:space="preserve">(sic) </w:t>
      </w:r>
      <w:r>
        <w:rPr>
          <w:rFonts w:ascii="Arial" w:hAnsi="Arial" w:cs="Arial"/>
        </w:rPr>
        <w:t>normally driven by scope of practice and thereby profession specific. In this respect, comparing your profession to other unrelated professions would be farfetched.</w:t>
      </w:r>
    </w:p>
    <w:p w14:paraId="69F2C060" w14:textId="77777777" w:rsidR="007713FC" w:rsidRDefault="007713FC" w:rsidP="00D92A4E">
      <w:pPr>
        <w:pStyle w:val="ListParagraph"/>
        <w:spacing w:line="360" w:lineRule="auto"/>
        <w:jc w:val="both"/>
        <w:rPr>
          <w:rFonts w:ascii="Arial" w:hAnsi="Arial" w:cs="Arial"/>
        </w:rPr>
      </w:pPr>
    </w:p>
    <w:p w14:paraId="20CB0DF3" w14:textId="12206AE8" w:rsidR="007713FC" w:rsidRDefault="007713FC" w:rsidP="00D92A4E">
      <w:pPr>
        <w:pStyle w:val="ListParagraph"/>
        <w:spacing w:line="360" w:lineRule="auto"/>
        <w:jc w:val="both"/>
        <w:rPr>
          <w:rFonts w:ascii="Arial" w:hAnsi="Arial" w:cs="Arial"/>
        </w:rPr>
      </w:pPr>
      <w:r>
        <w:rPr>
          <w:rFonts w:ascii="Arial" w:hAnsi="Arial" w:cs="Arial"/>
        </w:rPr>
        <w:t>The regulation in question is applicable to the profession of Clinical Biochemist. That being the case, I find it perplexing for you to claim that it was aimed at a particular individual. I could also not comprehend the basis of your conclusion that the same regulation is impliedly limiting your fundamental rights and freedoms as enshrined in the Namibian Constitution.</w:t>
      </w:r>
    </w:p>
    <w:p w14:paraId="209BBFF9" w14:textId="77777777" w:rsidR="007713FC" w:rsidRDefault="007713FC" w:rsidP="00D92A4E">
      <w:pPr>
        <w:pStyle w:val="ListParagraph"/>
        <w:spacing w:line="360" w:lineRule="auto"/>
        <w:jc w:val="both"/>
        <w:rPr>
          <w:rFonts w:ascii="Arial" w:hAnsi="Arial" w:cs="Arial"/>
        </w:rPr>
      </w:pPr>
    </w:p>
    <w:p w14:paraId="00B209A5" w14:textId="3B039104" w:rsidR="007713FC" w:rsidRDefault="007713FC" w:rsidP="00D92A4E">
      <w:pPr>
        <w:pStyle w:val="ListParagraph"/>
        <w:spacing w:line="360" w:lineRule="auto"/>
        <w:jc w:val="both"/>
        <w:rPr>
          <w:rFonts w:ascii="Arial" w:hAnsi="Arial" w:cs="Arial"/>
        </w:rPr>
      </w:pPr>
      <w:r>
        <w:rPr>
          <w:rFonts w:ascii="Arial" w:hAnsi="Arial" w:cs="Arial"/>
        </w:rPr>
        <w:t>I do not only perceive your attack on the regulations as unfounded but also extremely unfair especially in view of the fact that you have been relentlessly putting my Ministry and Council under pressure to come up with the same, but having done so, sadly we received no joy from yourself.</w:t>
      </w:r>
    </w:p>
    <w:p w14:paraId="4928BDBB" w14:textId="77777777" w:rsidR="007713FC" w:rsidRDefault="007713FC" w:rsidP="00D92A4E">
      <w:pPr>
        <w:pStyle w:val="ListParagraph"/>
        <w:spacing w:line="360" w:lineRule="auto"/>
        <w:jc w:val="both"/>
        <w:rPr>
          <w:rFonts w:ascii="Arial" w:hAnsi="Arial" w:cs="Arial"/>
        </w:rPr>
      </w:pPr>
    </w:p>
    <w:p w14:paraId="12DF22D8" w14:textId="77777777" w:rsidR="007713FC" w:rsidRDefault="007713FC" w:rsidP="00D92A4E">
      <w:pPr>
        <w:pStyle w:val="ListParagraph"/>
        <w:spacing w:line="360" w:lineRule="auto"/>
        <w:jc w:val="both"/>
        <w:rPr>
          <w:rFonts w:ascii="Arial" w:hAnsi="Arial" w:cs="Arial"/>
        </w:rPr>
      </w:pPr>
      <w:r>
        <w:rPr>
          <w:rFonts w:ascii="Arial" w:hAnsi="Arial" w:cs="Arial"/>
        </w:rPr>
        <w:t>Seeing that these regulations were recently published, I urge you to allow time for their implementation and only then one may reasonably justify their negative impact if any. It also makes no economic sense to have them immediately amended and reprinted.</w:t>
      </w:r>
    </w:p>
    <w:p w14:paraId="6CD7AB36" w14:textId="77777777" w:rsidR="007713FC" w:rsidRDefault="007713FC" w:rsidP="00D92A4E">
      <w:pPr>
        <w:pStyle w:val="ListParagraph"/>
        <w:spacing w:line="360" w:lineRule="auto"/>
        <w:jc w:val="both"/>
        <w:rPr>
          <w:rFonts w:ascii="Arial" w:hAnsi="Arial" w:cs="Arial"/>
        </w:rPr>
      </w:pPr>
    </w:p>
    <w:p w14:paraId="15486A86" w14:textId="17B71BF6" w:rsidR="007713FC" w:rsidRDefault="007713FC" w:rsidP="00D92A4E">
      <w:pPr>
        <w:pStyle w:val="ListParagraph"/>
        <w:spacing w:line="360" w:lineRule="auto"/>
        <w:jc w:val="both"/>
        <w:rPr>
          <w:rFonts w:ascii="Arial" w:hAnsi="Arial" w:cs="Arial"/>
        </w:rPr>
      </w:pPr>
      <w:r>
        <w:rPr>
          <w:rFonts w:ascii="Arial" w:hAnsi="Arial" w:cs="Arial"/>
        </w:rPr>
        <w:t>Yours sincerely,</w:t>
      </w:r>
    </w:p>
    <w:p w14:paraId="162B570C" w14:textId="77777777" w:rsidR="007713FC" w:rsidRDefault="007713FC" w:rsidP="00D92A4E">
      <w:pPr>
        <w:pStyle w:val="ListParagraph"/>
        <w:spacing w:line="360" w:lineRule="auto"/>
        <w:jc w:val="both"/>
        <w:rPr>
          <w:rFonts w:ascii="Arial" w:hAnsi="Arial" w:cs="Arial"/>
        </w:rPr>
      </w:pPr>
    </w:p>
    <w:p w14:paraId="66B87379" w14:textId="3192A4D3" w:rsidR="007713FC" w:rsidRPr="00161B22" w:rsidRDefault="007713FC" w:rsidP="00D92A4E">
      <w:pPr>
        <w:pStyle w:val="ListParagraph"/>
        <w:spacing w:line="360" w:lineRule="auto"/>
        <w:jc w:val="both"/>
        <w:rPr>
          <w:rFonts w:ascii="Arial" w:hAnsi="Arial" w:cs="Arial"/>
          <w:b/>
        </w:rPr>
      </w:pPr>
      <w:r w:rsidRPr="00161B22">
        <w:rPr>
          <w:rFonts w:ascii="Arial" w:hAnsi="Arial" w:cs="Arial"/>
          <w:b/>
        </w:rPr>
        <w:t>Dr Richard Nchabi Kamwi, MP</w:t>
      </w:r>
    </w:p>
    <w:p w14:paraId="4D32D142" w14:textId="71E7C975" w:rsidR="007713FC" w:rsidRPr="00161B22" w:rsidRDefault="007713FC" w:rsidP="00D92A4E">
      <w:pPr>
        <w:pStyle w:val="ListParagraph"/>
        <w:spacing w:line="360" w:lineRule="auto"/>
        <w:jc w:val="both"/>
        <w:rPr>
          <w:rFonts w:ascii="Arial" w:hAnsi="Arial" w:cs="Arial"/>
          <w:b/>
        </w:rPr>
      </w:pPr>
      <w:r w:rsidRPr="00161B22">
        <w:rPr>
          <w:rFonts w:ascii="Arial" w:hAnsi="Arial" w:cs="Arial"/>
          <w:b/>
        </w:rPr>
        <w:t>Minister’</w:t>
      </w:r>
    </w:p>
    <w:p w14:paraId="64288CCE" w14:textId="77777777" w:rsidR="007713FC" w:rsidRPr="007713FC" w:rsidRDefault="007713FC" w:rsidP="007713FC">
      <w:pPr>
        <w:pStyle w:val="ListParagraph"/>
        <w:spacing w:after="0" w:line="480" w:lineRule="auto"/>
        <w:jc w:val="both"/>
        <w:rPr>
          <w:rFonts w:ascii="Arial" w:hAnsi="Arial" w:cs="Arial"/>
          <w:sz w:val="24"/>
          <w:szCs w:val="24"/>
        </w:rPr>
      </w:pPr>
    </w:p>
    <w:p w14:paraId="3FA89FD2" w14:textId="419B2314" w:rsidR="00D92A4E" w:rsidRDefault="007713FC"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On 29 September 2010</w:t>
      </w:r>
      <w:r w:rsidR="00161B22">
        <w:rPr>
          <w:rFonts w:ascii="Arial" w:hAnsi="Arial" w:cs="Arial"/>
          <w:sz w:val="24"/>
          <w:szCs w:val="24"/>
        </w:rPr>
        <w:t>,</w:t>
      </w:r>
      <w:r>
        <w:rPr>
          <w:rFonts w:ascii="Arial" w:hAnsi="Arial" w:cs="Arial"/>
          <w:sz w:val="24"/>
          <w:szCs w:val="24"/>
        </w:rPr>
        <w:t xml:space="preserve"> appellant approached the </w:t>
      </w:r>
      <w:r w:rsidR="005966FD">
        <w:rPr>
          <w:rFonts w:ascii="Arial" w:hAnsi="Arial" w:cs="Arial"/>
          <w:sz w:val="24"/>
          <w:szCs w:val="24"/>
        </w:rPr>
        <w:t>O</w:t>
      </w:r>
      <w:r>
        <w:rPr>
          <w:rFonts w:ascii="Arial" w:hAnsi="Arial" w:cs="Arial"/>
          <w:sz w:val="24"/>
          <w:szCs w:val="24"/>
        </w:rPr>
        <w:t xml:space="preserve">ffice of the Ombudsman and laid a complaint against the first respondent. The Ombudsman’s office did its own investigation by addressing a letter to the first respondent regarding the appellant’s complaint. The </w:t>
      </w:r>
      <w:r w:rsidR="005966FD">
        <w:rPr>
          <w:rFonts w:ascii="Arial" w:hAnsi="Arial" w:cs="Arial"/>
          <w:sz w:val="24"/>
          <w:szCs w:val="24"/>
        </w:rPr>
        <w:t>r</w:t>
      </w:r>
      <w:r>
        <w:rPr>
          <w:rFonts w:ascii="Arial" w:hAnsi="Arial" w:cs="Arial"/>
          <w:sz w:val="24"/>
          <w:szCs w:val="24"/>
        </w:rPr>
        <w:t>egistrar of the first respondent replied on 27 October 2010</w:t>
      </w:r>
      <w:r w:rsidR="00F44A7E">
        <w:rPr>
          <w:rFonts w:ascii="Arial" w:hAnsi="Arial" w:cs="Arial"/>
          <w:sz w:val="24"/>
          <w:szCs w:val="24"/>
        </w:rPr>
        <w:t>. C</w:t>
      </w:r>
      <w:r>
        <w:rPr>
          <w:rFonts w:ascii="Arial" w:hAnsi="Arial" w:cs="Arial"/>
          <w:sz w:val="24"/>
          <w:szCs w:val="24"/>
        </w:rPr>
        <w:t>rucial in the</w:t>
      </w:r>
      <w:r w:rsidR="00F44A7E">
        <w:rPr>
          <w:rFonts w:ascii="Arial" w:hAnsi="Arial" w:cs="Arial"/>
          <w:sz w:val="24"/>
          <w:szCs w:val="24"/>
        </w:rPr>
        <w:t xml:space="preserve"> first respondent’s</w:t>
      </w:r>
      <w:r>
        <w:rPr>
          <w:rFonts w:ascii="Arial" w:hAnsi="Arial" w:cs="Arial"/>
          <w:sz w:val="24"/>
          <w:szCs w:val="24"/>
        </w:rPr>
        <w:t xml:space="preserve"> reply is the following:</w:t>
      </w:r>
    </w:p>
    <w:p w14:paraId="583D44E1" w14:textId="77777777" w:rsidR="007713FC" w:rsidRDefault="007713FC" w:rsidP="007713FC">
      <w:pPr>
        <w:pStyle w:val="ListParagraph"/>
        <w:tabs>
          <w:tab w:val="left" w:pos="851"/>
        </w:tabs>
        <w:spacing w:after="0" w:line="480" w:lineRule="auto"/>
        <w:ind w:left="0"/>
        <w:jc w:val="both"/>
        <w:rPr>
          <w:rFonts w:ascii="Arial" w:hAnsi="Arial" w:cs="Arial"/>
          <w:sz w:val="24"/>
          <w:szCs w:val="24"/>
        </w:rPr>
      </w:pPr>
    </w:p>
    <w:p w14:paraId="41884F52" w14:textId="60F64316" w:rsidR="007713FC" w:rsidRDefault="007713FC" w:rsidP="007713FC">
      <w:pPr>
        <w:pStyle w:val="ListParagraph"/>
        <w:tabs>
          <w:tab w:val="left" w:pos="851"/>
        </w:tabs>
        <w:spacing w:after="0" w:line="360" w:lineRule="auto"/>
        <w:jc w:val="both"/>
        <w:rPr>
          <w:rFonts w:ascii="Arial" w:hAnsi="Arial" w:cs="Arial"/>
        </w:rPr>
      </w:pPr>
      <w:r>
        <w:rPr>
          <w:rFonts w:ascii="Arial" w:hAnsi="Arial" w:cs="Arial"/>
        </w:rPr>
        <w:t>‘As it was indicated to you during our deliberation on the matter, allow us to reiterate the position the Council and in the process deal with some issues raised by Dr Kandando as reflected in your letter to the Council dated 13 October 2010.</w:t>
      </w:r>
    </w:p>
    <w:p w14:paraId="6278879E" w14:textId="77777777" w:rsidR="007713FC" w:rsidRDefault="007713FC" w:rsidP="007713FC">
      <w:pPr>
        <w:pStyle w:val="ListParagraph"/>
        <w:tabs>
          <w:tab w:val="left" w:pos="851"/>
        </w:tabs>
        <w:spacing w:after="0" w:line="360" w:lineRule="auto"/>
        <w:jc w:val="both"/>
        <w:rPr>
          <w:rFonts w:ascii="Arial" w:hAnsi="Arial" w:cs="Arial"/>
        </w:rPr>
      </w:pPr>
    </w:p>
    <w:p w14:paraId="44F7B66E" w14:textId="30C41052" w:rsidR="007713FC" w:rsidRDefault="007713FC" w:rsidP="00647E3D">
      <w:pPr>
        <w:pStyle w:val="ListParagraph"/>
        <w:numPr>
          <w:ilvl w:val="0"/>
          <w:numId w:val="2"/>
        </w:numPr>
        <w:tabs>
          <w:tab w:val="left" w:pos="851"/>
        </w:tabs>
        <w:spacing w:after="0" w:line="360" w:lineRule="auto"/>
        <w:jc w:val="both"/>
        <w:rPr>
          <w:rFonts w:ascii="Arial" w:hAnsi="Arial" w:cs="Arial"/>
        </w:rPr>
      </w:pPr>
      <w:r>
        <w:rPr>
          <w:rFonts w:ascii="Arial" w:hAnsi="Arial" w:cs="Arial"/>
        </w:rPr>
        <w:t xml:space="preserve">It is not true that your client was part of </w:t>
      </w:r>
      <w:r w:rsidR="00DC25F8">
        <w:rPr>
          <w:rFonts w:ascii="Arial" w:hAnsi="Arial" w:cs="Arial"/>
        </w:rPr>
        <w:t>the Council members who compiled a final draft of the regulations concerned as claimed by Dr Kandando simply because he was dealing exclusively with officials from the secretariat and never met with Council members.</w:t>
      </w:r>
    </w:p>
    <w:p w14:paraId="1C42264D" w14:textId="25E35410" w:rsidR="00DC25F8" w:rsidRDefault="00DC25F8" w:rsidP="00647E3D">
      <w:pPr>
        <w:pStyle w:val="ListParagraph"/>
        <w:numPr>
          <w:ilvl w:val="0"/>
          <w:numId w:val="2"/>
        </w:numPr>
        <w:tabs>
          <w:tab w:val="left" w:pos="851"/>
        </w:tabs>
        <w:spacing w:after="0" w:line="360" w:lineRule="auto"/>
        <w:jc w:val="both"/>
        <w:rPr>
          <w:rFonts w:ascii="Arial" w:hAnsi="Arial" w:cs="Arial"/>
        </w:rPr>
      </w:pPr>
      <w:r>
        <w:rPr>
          <w:rFonts w:ascii="Arial" w:hAnsi="Arial" w:cs="Arial"/>
        </w:rPr>
        <w:t>It is also not true that there was an agreement of some sort with Dr Kandando in this respect as he was merely consulted for his input and not to enter into an agreement with him.</w:t>
      </w:r>
    </w:p>
    <w:p w14:paraId="6CB2E40A" w14:textId="5D8A73A4" w:rsidR="00DC25F8" w:rsidRDefault="00DC25F8" w:rsidP="00647E3D">
      <w:pPr>
        <w:pStyle w:val="ListParagraph"/>
        <w:numPr>
          <w:ilvl w:val="0"/>
          <w:numId w:val="2"/>
        </w:numPr>
        <w:tabs>
          <w:tab w:val="left" w:pos="851"/>
        </w:tabs>
        <w:spacing w:after="0" w:line="360" w:lineRule="auto"/>
        <w:jc w:val="both"/>
        <w:rPr>
          <w:rFonts w:ascii="Arial" w:hAnsi="Arial" w:cs="Arial"/>
        </w:rPr>
      </w:pPr>
      <w:r w:rsidRPr="00DC25F8">
        <w:rPr>
          <w:rFonts w:ascii="Arial" w:hAnsi="Arial" w:cs="Arial"/>
        </w:rPr>
        <w:t>The Council is under no obligation</w:t>
      </w:r>
      <w:r>
        <w:rPr>
          <w:rFonts w:ascii="Arial" w:hAnsi="Arial" w:cs="Arial"/>
        </w:rPr>
        <w:t xml:space="preserve"> to ensure that Dr Kandando agrees to contents of its final recommendations to the Minister.</w:t>
      </w:r>
    </w:p>
    <w:p w14:paraId="10B7281C" w14:textId="67ADA9AA" w:rsidR="00DC25F8" w:rsidRDefault="00DC25F8" w:rsidP="00647E3D">
      <w:pPr>
        <w:pStyle w:val="ListParagraph"/>
        <w:numPr>
          <w:ilvl w:val="0"/>
          <w:numId w:val="2"/>
        </w:numPr>
        <w:tabs>
          <w:tab w:val="left" w:pos="851"/>
        </w:tabs>
        <w:spacing w:after="0" w:line="360" w:lineRule="auto"/>
        <w:jc w:val="both"/>
        <w:rPr>
          <w:rFonts w:ascii="Arial" w:hAnsi="Arial" w:cs="Arial"/>
        </w:rPr>
      </w:pPr>
      <w:r>
        <w:rPr>
          <w:rFonts w:ascii="Arial" w:hAnsi="Arial" w:cs="Arial"/>
        </w:rPr>
        <w:t>It is not correct that Dr Kandando was not informed about the rationale as to what necessitated the inclusion of the regulation concerned. As we mentioned above, both the office of the Registrar and the Minister himself offered substantial explanations to him in this respect.</w:t>
      </w:r>
    </w:p>
    <w:p w14:paraId="0A4DD9EA" w14:textId="2557C724" w:rsidR="00DC25F8" w:rsidRDefault="00DC25F8" w:rsidP="00647E3D">
      <w:pPr>
        <w:pStyle w:val="ListParagraph"/>
        <w:numPr>
          <w:ilvl w:val="0"/>
          <w:numId w:val="2"/>
        </w:numPr>
        <w:tabs>
          <w:tab w:val="left" w:pos="851"/>
        </w:tabs>
        <w:spacing w:after="0" w:line="360" w:lineRule="auto"/>
        <w:jc w:val="both"/>
        <w:rPr>
          <w:rFonts w:ascii="Arial" w:hAnsi="Arial" w:cs="Arial"/>
        </w:rPr>
      </w:pPr>
      <w:r>
        <w:rPr>
          <w:rFonts w:ascii="Arial" w:hAnsi="Arial" w:cs="Arial"/>
        </w:rPr>
        <w:t xml:space="preserve">Dr Kandando’s problem is neither that he was not consulted as he now claims, nor because he was not informed about the rationale as to what necessitated the inclusion of the regulation as he wants your office to believe, his actual problem is that </w:t>
      </w:r>
      <w:r>
        <w:rPr>
          <w:rFonts w:ascii="Arial" w:hAnsi="Arial" w:cs="Arial"/>
          <w:b/>
        </w:rPr>
        <w:t xml:space="preserve">he wants to examine and or conduct tests on patients not referred to him by a medical practitioner </w:t>
      </w:r>
      <w:r>
        <w:rPr>
          <w:rFonts w:ascii="Arial" w:hAnsi="Arial" w:cs="Arial"/>
        </w:rPr>
        <w:t>and this is where the Council differs with him for the following reasons:</w:t>
      </w:r>
    </w:p>
    <w:p w14:paraId="337F76F6" w14:textId="77777777" w:rsidR="00DC25F8" w:rsidRPr="00DC25F8" w:rsidRDefault="00DC25F8" w:rsidP="00DC25F8">
      <w:pPr>
        <w:pStyle w:val="ListParagraph"/>
        <w:rPr>
          <w:rFonts w:ascii="Arial" w:hAnsi="Arial" w:cs="Arial"/>
        </w:rPr>
      </w:pPr>
    </w:p>
    <w:p w14:paraId="48A60D44" w14:textId="247B1493" w:rsidR="00DC25F8" w:rsidRDefault="00DC25F8" w:rsidP="00647E3D">
      <w:pPr>
        <w:pStyle w:val="ListParagraph"/>
        <w:numPr>
          <w:ilvl w:val="0"/>
          <w:numId w:val="3"/>
        </w:numPr>
        <w:tabs>
          <w:tab w:val="left" w:pos="851"/>
        </w:tabs>
        <w:spacing w:after="0" w:line="360" w:lineRule="auto"/>
        <w:jc w:val="both"/>
        <w:rPr>
          <w:rFonts w:ascii="Arial" w:hAnsi="Arial" w:cs="Arial"/>
        </w:rPr>
      </w:pPr>
      <w:r>
        <w:rPr>
          <w:rFonts w:ascii="Arial" w:hAnsi="Arial" w:cs="Arial"/>
        </w:rPr>
        <w:t xml:space="preserve">Clinical Biochemistry is a diagnostic and analytical field responsible for producing and interpreting results and biochemical analyses performed on blood and other body fluids </w:t>
      </w:r>
      <w:r>
        <w:rPr>
          <w:rFonts w:ascii="Arial" w:hAnsi="Arial" w:cs="Arial"/>
          <w:b/>
        </w:rPr>
        <w:t xml:space="preserve">to help a </w:t>
      </w:r>
      <w:r>
        <w:rPr>
          <w:rFonts w:ascii="Arial" w:hAnsi="Arial" w:cs="Arial"/>
        </w:rPr>
        <w:t>medical doctor in diagnosis and management of a disease.</w:t>
      </w:r>
    </w:p>
    <w:p w14:paraId="50CEB177" w14:textId="20D105EC" w:rsidR="00DC25F8" w:rsidRDefault="00DC25F8" w:rsidP="00647E3D">
      <w:pPr>
        <w:pStyle w:val="ListParagraph"/>
        <w:numPr>
          <w:ilvl w:val="0"/>
          <w:numId w:val="3"/>
        </w:numPr>
        <w:tabs>
          <w:tab w:val="left" w:pos="851"/>
        </w:tabs>
        <w:spacing w:after="0" w:line="360" w:lineRule="auto"/>
        <w:jc w:val="both"/>
        <w:rPr>
          <w:rFonts w:ascii="Arial" w:hAnsi="Arial" w:cs="Arial"/>
        </w:rPr>
      </w:pPr>
      <w:r>
        <w:rPr>
          <w:rFonts w:ascii="Arial" w:hAnsi="Arial" w:cs="Arial"/>
        </w:rPr>
        <w:t xml:space="preserve">The work of a Clinical Biochemist is purely to analyze and interpret data relating to patient/client samples to </w:t>
      </w:r>
      <w:r w:rsidRPr="00DC25F8">
        <w:rPr>
          <w:rFonts w:ascii="Arial" w:hAnsi="Arial" w:cs="Arial"/>
          <w:b/>
        </w:rPr>
        <w:t>assist</w:t>
      </w:r>
      <w:r>
        <w:rPr>
          <w:rFonts w:ascii="Arial" w:hAnsi="Arial" w:cs="Arial"/>
        </w:rPr>
        <w:t xml:space="preserve"> with the investigation, diagnosis and treatment of diseases.</w:t>
      </w:r>
    </w:p>
    <w:p w14:paraId="72D2AA41" w14:textId="366CC16A" w:rsidR="00DC25F8" w:rsidRDefault="00DC25F8" w:rsidP="00647E3D">
      <w:pPr>
        <w:pStyle w:val="ListParagraph"/>
        <w:numPr>
          <w:ilvl w:val="0"/>
          <w:numId w:val="3"/>
        </w:numPr>
        <w:tabs>
          <w:tab w:val="left" w:pos="851"/>
        </w:tabs>
        <w:spacing w:after="0" w:line="360" w:lineRule="auto"/>
        <w:jc w:val="both"/>
        <w:rPr>
          <w:rFonts w:ascii="Arial" w:hAnsi="Arial" w:cs="Arial"/>
        </w:rPr>
      </w:pPr>
      <w:r>
        <w:rPr>
          <w:rFonts w:ascii="Arial" w:hAnsi="Arial" w:cs="Arial"/>
        </w:rPr>
        <w:t xml:space="preserve">Clinical Biochemist’s findings </w:t>
      </w:r>
      <w:r>
        <w:rPr>
          <w:rFonts w:ascii="Arial" w:hAnsi="Arial" w:cs="Arial"/>
          <w:b/>
        </w:rPr>
        <w:t xml:space="preserve">must </w:t>
      </w:r>
      <w:r>
        <w:rPr>
          <w:rFonts w:ascii="Arial" w:hAnsi="Arial" w:cs="Arial"/>
        </w:rPr>
        <w:t xml:space="preserve">be reported to the requesting medical doctor who is </w:t>
      </w:r>
      <w:r>
        <w:rPr>
          <w:rFonts w:ascii="Arial" w:hAnsi="Arial" w:cs="Arial"/>
          <w:b/>
        </w:rPr>
        <w:t xml:space="preserve">trained </w:t>
      </w:r>
      <w:r>
        <w:rPr>
          <w:rFonts w:ascii="Arial" w:hAnsi="Arial" w:cs="Arial"/>
        </w:rPr>
        <w:t xml:space="preserve">and </w:t>
      </w:r>
      <w:r w:rsidRPr="00F8563F">
        <w:rPr>
          <w:rFonts w:ascii="Arial" w:hAnsi="Arial" w:cs="Arial"/>
          <w:b/>
        </w:rPr>
        <w:t>duly registered</w:t>
      </w:r>
      <w:r>
        <w:rPr>
          <w:rFonts w:ascii="Arial" w:hAnsi="Arial" w:cs="Arial"/>
        </w:rPr>
        <w:t xml:space="preserve"> to initiate treatment plan should there be a need.</w:t>
      </w:r>
    </w:p>
    <w:p w14:paraId="7E52A525" w14:textId="48367FA0" w:rsidR="00F8563F" w:rsidRDefault="00F8563F" w:rsidP="00647E3D">
      <w:pPr>
        <w:pStyle w:val="ListParagraph"/>
        <w:numPr>
          <w:ilvl w:val="0"/>
          <w:numId w:val="3"/>
        </w:numPr>
        <w:tabs>
          <w:tab w:val="left" w:pos="851"/>
        </w:tabs>
        <w:spacing w:after="0" w:line="360" w:lineRule="auto"/>
        <w:jc w:val="both"/>
        <w:rPr>
          <w:rFonts w:ascii="Arial" w:hAnsi="Arial" w:cs="Arial"/>
        </w:rPr>
      </w:pPr>
      <w:r>
        <w:rPr>
          <w:rFonts w:ascii="Arial" w:hAnsi="Arial" w:cs="Arial"/>
        </w:rPr>
        <w:t xml:space="preserve">A Clinical Biochemist is generally </w:t>
      </w:r>
      <w:r>
        <w:rPr>
          <w:rFonts w:ascii="Arial" w:hAnsi="Arial" w:cs="Arial"/>
          <w:b/>
        </w:rPr>
        <w:t xml:space="preserve">not trained and expected by Council </w:t>
      </w:r>
      <w:r>
        <w:rPr>
          <w:rFonts w:ascii="Arial" w:hAnsi="Arial" w:cs="Arial"/>
        </w:rPr>
        <w:t>to diagnose and initiate treatment plan for a patient in an event of abnormal result.</w:t>
      </w:r>
    </w:p>
    <w:p w14:paraId="5F43D45B" w14:textId="687A2CBE" w:rsidR="00F8563F" w:rsidRDefault="00F8563F" w:rsidP="00647E3D">
      <w:pPr>
        <w:pStyle w:val="ListParagraph"/>
        <w:numPr>
          <w:ilvl w:val="0"/>
          <w:numId w:val="3"/>
        </w:numPr>
        <w:tabs>
          <w:tab w:val="left" w:pos="851"/>
        </w:tabs>
        <w:spacing w:after="0" w:line="360" w:lineRule="auto"/>
        <w:jc w:val="both"/>
        <w:rPr>
          <w:rFonts w:ascii="Arial" w:hAnsi="Arial" w:cs="Arial"/>
        </w:rPr>
      </w:pPr>
      <w:r>
        <w:rPr>
          <w:rFonts w:ascii="Arial" w:hAnsi="Arial" w:cs="Arial"/>
        </w:rPr>
        <w:t xml:space="preserve">The Council’s mandate is to </w:t>
      </w:r>
      <w:r>
        <w:rPr>
          <w:rFonts w:ascii="Arial" w:hAnsi="Arial" w:cs="Arial"/>
          <w:b/>
        </w:rPr>
        <w:t xml:space="preserve">protect the public </w:t>
      </w:r>
      <w:r>
        <w:rPr>
          <w:rFonts w:ascii="Arial" w:hAnsi="Arial" w:cs="Arial"/>
        </w:rPr>
        <w:t xml:space="preserve">and it is for this very reason that Council </w:t>
      </w:r>
      <w:r>
        <w:rPr>
          <w:rFonts w:ascii="Arial" w:hAnsi="Arial" w:cs="Arial"/>
          <w:b/>
        </w:rPr>
        <w:t xml:space="preserve">cannot </w:t>
      </w:r>
      <w:r>
        <w:rPr>
          <w:rFonts w:ascii="Arial" w:hAnsi="Arial" w:cs="Arial"/>
        </w:rPr>
        <w:t>allow a Clinical Biochemist to do what he/she is not trained to do.</w:t>
      </w:r>
    </w:p>
    <w:p w14:paraId="2DC1377B" w14:textId="0DFBAB2F" w:rsidR="00F8563F" w:rsidRDefault="00F8563F" w:rsidP="00647E3D">
      <w:pPr>
        <w:pStyle w:val="ListParagraph"/>
        <w:numPr>
          <w:ilvl w:val="0"/>
          <w:numId w:val="3"/>
        </w:numPr>
        <w:tabs>
          <w:tab w:val="left" w:pos="851"/>
        </w:tabs>
        <w:spacing w:after="0" w:line="360" w:lineRule="auto"/>
        <w:jc w:val="both"/>
        <w:rPr>
          <w:rFonts w:ascii="Arial" w:hAnsi="Arial" w:cs="Arial"/>
        </w:rPr>
      </w:pPr>
      <w:r>
        <w:rPr>
          <w:rFonts w:ascii="Arial" w:hAnsi="Arial" w:cs="Arial"/>
        </w:rPr>
        <w:t>The Regulation concerned was made to regulate the profession of Clinical Biochemistry and not aimed at disadvantaging Dr Kandando as a person.’</w:t>
      </w:r>
    </w:p>
    <w:p w14:paraId="3C5A3BE5" w14:textId="77777777" w:rsidR="00F8563F" w:rsidRPr="00F8563F" w:rsidRDefault="00F8563F" w:rsidP="00F8563F">
      <w:pPr>
        <w:pStyle w:val="ListParagraph"/>
        <w:spacing w:after="0" w:line="480" w:lineRule="auto"/>
        <w:jc w:val="both"/>
        <w:rPr>
          <w:rFonts w:ascii="Arial" w:hAnsi="Arial" w:cs="Arial"/>
          <w:sz w:val="24"/>
          <w:szCs w:val="24"/>
        </w:rPr>
      </w:pPr>
    </w:p>
    <w:p w14:paraId="4B0E611A" w14:textId="43F4A3A6" w:rsidR="007713FC" w:rsidRDefault="00F8563F"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On 10 January 2011</w:t>
      </w:r>
      <w:r w:rsidR="00161B22">
        <w:rPr>
          <w:rFonts w:ascii="Arial" w:hAnsi="Arial" w:cs="Arial"/>
          <w:sz w:val="24"/>
          <w:szCs w:val="24"/>
        </w:rPr>
        <w:t>,</w:t>
      </w:r>
      <w:r>
        <w:rPr>
          <w:rFonts w:ascii="Arial" w:hAnsi="Arial" w:cs="Arial"/>
          <w:sz w:val="24"/>
          <w:szCs w:val="24"/>
        </w:rPr>
        <w:t xml:space="preserve"> the </w:t>
      </w:r>
      <w:r w:rsidR="005966FD">
        <w:rPr>
          <w:rFonts w:ascii="Arial" w:hAnsi="Arial" w:cs="Arial"/>
          <w:sz w:val="24"/>
          <w:szCs w:val="24"/>
        </w:rPr>
        <w:t>O</w:t>
      </w:r>
      <w:r>
        <w:rPr>
          <w:rFonts w:ascii="Arial" w:hAnsi="Arial" w:cs="Arial"/>
          <w:sz w:val="24"/>
          <w:szCs w:val="24"/>
        </w:rPr>
        <w:t>ffice of the Ombudsman wrote to appellant to say the first appellant made a good case and it closed its file on the issue.</w:t>
      </w:r>
    </w:p>
    <w:p w14:paraId="38E5AE0E" w14:textId="6E851E07" w:rsidR="00F8563F" w:rsidRDefault="00F8563F"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Despite the position of the respondents on reg 10</w:t>
      </w:r>
      <w:r w:rsidR="00F44A7E">
        <w:rPr>
          <w:rFonts w:ascii="Arial" w:hAnsi="Arial" w:cs="Arial"/>
          <w:sz w:val="24"/>
          <w:szCs w:val="24"/>
        </w:rPr>
        <w:t>(</w:t>
      </w:r>
      <w:r w:rsidR="00F44A7E" w:rsidRPr="005966FD">
        <w:rPr>
          <w:rFonts w:ascii="Arial" w:hAnsi="Arial" w:cs="Arial"/>
          <w:i/>
          <w:sz w:val="24"/>
          <w:szCs w:val="24"/>
        </w:rPr>
        <w:t>c</w:t>
      </w:r>
      <w:r w:rsidR="00F44A7E">
        <w:rPr>
          <w:rFonts w:ascii="Arial" w:hAnsi="Arial" w:cs="Arial"/>
          <w:sz w:val="24"/>
          <w:szCs w:val="24"/>
        </w:rPr>
        <w:t>)</w:t>
      </w:r>
      <w:r>
        <w:rPr>
          <w:rFonts w:ascii="Arial" w:hAnsi="Arial" w:cs="Arial"/>
          <w:sz w:val="24"/>
          <w:szCs w:val="24"/>
        </w:rPr>
        <w:t xml:space="preserve"> which they made so clear on 2 August 2011</w:t>
      </w:r>
      <w:r w:rsidR="00161B22">
        <w:rPr>
          <w:rFonts w:ascii="Arial" w:hAnsi="Arial" w:cs="Arial"/>
          <w:sz w:val="24"/>
          <w:szCs w:val="24"/>
        </w:rPr>
        <w:t>,</w:t>
      </w:r>
      <w:r>
        <w:rPr>
          <w:rFonts w:ascii="Arial" w:hAnsi="Arial" w:cs="Arial"/>
          <w:sz w:val="24"/>
          <w:szCs w:val="24"/>
        </w:rPr>
        <w:t xml:space="preserve"> appellant addressed a letter to the first </w:t>
      </w:r>
      <w:r w:rsidR="00F44A7E">
        <w:rPr>
          <w:rFonts w:ascii="Arial" w:hAnsi="Arial" w:cs="Arial"/>
          <w:sz w:val="24"/>
          <w:szCs w:val="24"/>
        </w:rPr>
        <w:t>respondent</w:t>
      </w:r>
      <w:r>
        <w:rPr>
          <w:rFonts w:ascii="Arial" w:hAnsi="Arial" w:cs="Arial"/>
          <w:sz w:val="24"/>
          <w:szCs w:val="24"/>
        </w:rPr>
        <w:t xml:space="preserve"> reiterating his understanding and interpretation of reg 10(</w:t>
      </w:r>
      <w:r w:rsidRPr="005966FD">
        <w:rPr>
          <w:rFonts w:ascii="Arial" w:hAnsi="Arial" w:cs="Arial"/>
          <w:i/>
          <w:sz w:val="24"/>
          <w:szCs w:val="24"/>
        </w:rPr>
        <w:t>c</w:t>
      </w:r>
      <w:r>
        <w:rPr>
          <w:rFonts w:ascii="Arial" w:hAnsi="Arial" w:cs="Arial"/>
          <w:sz w:val="24"/>
          <w:szCs w:val="24"/>
        </w:rPr>
        <w:t>). This time he stated th</w:t>
      </w:r>
      <w:r w:rsidR="00FD055A">
        <w:rPr>
          <w:rFonts w:ascii="Arial" w:hAnsi="Arial" w:cs="Arial"/>
          <w:sz w:val="24"/>
          <w:szCs w:val="24"/>
        </w:rPr>
        <w:t>at in terms of s 17(2)(</w:t>
      </w:r>
      <w:r w:rsidR="00FD055A" w:rsidRPr="00161B22">
        <w:rPr>
          <w:rFonts w:ascii="Arial" w:hAnsi="Arial" w:cs="Arial"/>
          <w:i/>
          <w:sz w:val="24"/>
          <w:szCs w:val="24"/>
        </w:rPr>
        <w:t>b</w:t>
      </w:r>
      <w:r w:rsidR="00FD055A">
        <w:rPr>
          <w:rFonts w:ascii="Arial" w:hAnsi="Arial" w:cs="Arial"/>
          <w:sz w:val="24"/>
          <w:szCs w:val="24"/>
        </w:rPr>
        <w:t>) and (</w:t>
      </w:r>
      <w:r w:rsidR="00FD055A" w:rsidRPr="00161B22">
        <w:rPr>
          <w:rFonts w:ascii="Arial" w:hAnsi="Arial" w:cs="Arial"/>
          <w:i/>
          <w:sz w:val="24"/>
          <w:szCs w:val="24"/>
        </w:rPr>
        <w:t>c</w:t>
      </w:r>
      <w:r w:rsidR="00FD055A">
        <w:rPr>
          <w:rFonts w:ascii="Arial" w:hAnsi="Arial" w:cs="Arial"/>
          <w:sz w:val="24"/>
          <w:szCs w:val="24"/>
        </w:rPr>
        <w:t>)</w:t>
      </w:r>
      <w:r w:rsidR="00245ECC">
        <w:rPr>
          <w:rStyle w:val="FootnoteReference"/>
          <w:rFonts w:ascii="Arial" w:hAnsi="Arial" w:cs="Arial"/>
          <w:sz w:val="24"/>
          <w:szCs w:val="24"/>
        </w:rPr>
        <w:footnoteReference w:id="8"/>
      </w:r>
      <w:r w:rsidR="00FD055A">
        <w:rPr>
          <w:rFonts w:ascii="Arial" w:hAnsi="Arial" w:cs="Arial"/>
          <w:sz w:val="24"/>
          <w:szCs w:val="24"/>
        </w:rPr>
        <w:t xml:space="preserve"> of the Medical and Dental Act</w:t>
      </w:r>
      <w:r w:rsidR="00F44A7E">
        <w:rPr>
          <w:rFonts w:ascii="Arial" w:hAnsi="Arial" w:cs="Arial"/>
          <w:sz w:val="24"/>
          <w:szCs w:val="24"/>
        </w:rPr>
        <w:t>,</w:t>
      </w:r>
      <w:r w:rsidR="00FD055A">
        <w:rPr>
          <w:rFonts w:ascii="Arial" w:hAnsi="Arial" w:cs="Arial"/>
          <w:sz w:val="24"/>
          <w:szCs w:val="24"/>
        </w:rPr>
        <w:t xml:space="preserve"> he was entitled and qualified to perform those central functions and that he derives that authority and mandate with patients directly or through referral by virtue of reg 2 above.</w:t>
      </w:r>
    </w:p>
    <w:p w14:paraId="7B083D8E" w14:textId="77777777" w:rsidR="00161B22" w:rsidRDefault="00161B22" w:rsidP="00161B22">
      <w:pPr>
        <w:pStyle w:val="ListParagraph"/>
        <w:tabs>
          <w:tab w:val="left" w:pos="851"/>
        </w:tabs>
        <w:spacing w:after="0" w:line="480" w:lineRule="auto"/>
        <w:ind w:left="0"/>
        <w:jc w:val="both"/>
        <w:rPr>
          <w:rFonts w:ascii="Arial" w:hAnsi="Arial" w:cs="Arial"/>
          <w:sz w:val="24"/>
          <w:szCs w:val="24"/>
        </w:rPr>
      </w:pPr>
    </w:p>
    <w:p w14:paraId="3C1C697A" w14:textId="5732505A" w:rsidR="00FD055A" w:rsidRPr="00161B22" w:rsidRDefault="00FD055A" w:rsidP="00975D9A">
      <w:pPr>
        <w:pStyle w:val="ListParagraph"/>
        <w:numPr>
          <w:ilvl w:val="0"/>
          <w:numId w:val="1"/>
        </w:numPr>
        <w:tabs>
          <w:tab w:val="left" w:pos="851"/>
        </w:tabs>
        <w:spacing w:after="0" w:line="480" w:lineRule="auto"/>
        <w:ind w:left="0" w:hanging="11"/>
        <w:jc w:val="both"/>
        <w:rPr>
          <w:rFonts w:ascii="Arial" w:hAnsi="Arial" w:cs="Arial"/>
          <w:sz w:val="24"/>
          <w:szCs w:val="24"/>
        </w:rPr>
      </w:pPr>
      <w:r w:rsidRPr="00161B22">
        <w:rPr>
          <w:rFonts w:ascii="Arial" w:hAnsi="Arial" w:cs="Arial"/>
          <w:sz w:val="24"/>
          <w:szCs w:val="24"/>
        </w:rPr>
        <w:t>On 20 September 2011</w:t>
      </w:r>
      <w:r w:rsidR="00161B22" w:rsidRPr="00161B22">
        <w:rPr>
          <w:rFonts w:ascii="Arial" w:hAnsi="Arial" w:cs="Arial"/>
          <w:sz w:val="24"/>
          <w:szCs w:val="24"/>
        </w:rPr>
        <w:t>,</w:t>
      </w:r>
      <w:r w:rsidRPr="00161B22">
        <w:rPr>
          <w:rFonts w:ascii="Arial" w:hAnsi="Arial" w:cs="Arial"/>
          <w:sz w:val="24"/>
          <w:szCs w:val="24"/>
        </w:rPr>
        <w:t xml:space="preserve"> the first respondent in its reply refuted his interpretation of s 17(2)(</w:t>
      </w:r>
      <w:r w:rsidRPr="00161B22">
        <w:rPr>
          <w:rFonts w:ascii="Arial" w:hAnsi="Arial" w:cs="Arial"/>
          <w:i/>
          <w:sz w:val="24"/>
          <w:szCs w:val="24"/>
        </w:rPr>
        <w:t>b</w:t>
      </w:r>
      <w:r w:rsidRPr="00161B22">
        <w:rPr>
          <w:rFonts w:ascii="Arial" w:hAnsi="Arial" w:cs="Arial"/>
          <w:sz w:val="24"/>
          <w:szCs w:val="24"/>
        </w:rPr>
        <w:t>)</w:t>
      </w:r>
      <w:r w:rsidR="00121EAF">
        <w:rPr>
          <w:rFonts w:ascii="Arial" w:hAnsi="Arial" w:cs="Arial"/>
          <w:sz w:val="24"/>
          <w:szCs w:val="24"/>
        </w:rPr>
        <w:t xml:space="preserve">, </w:t>
      </w:r>
      <w:r w:rsidRPr="00161B22">
        <w:rPr>
          <w:rFonts w:ascii="Arial" w:hAnsi="Arial" w:cs="Arial"/>
          <w:sz w:val="24"/>
          <w:szCs w:val="24"/>
        </w:rPr>
        <w:t>(c) as permitting a clinical biochemist to consult with patients without being referred by a medical practitioner</w:t>
      </w:r>
      <w:r w:rsidR="00975D9A" w:rsidRPr="00161B22">
        <w:rPr>
          <w:rFonts w:ascii="Arial" w:hAnsi="Arial" w:cs="Arial"/>
          <w:sz w:val="24"/>
          <w:szCs w:val="24"/>
        </w:rPr>
        <w:t>.</w:t>
      </w:r>
    </w:p>
    <w:p w14:paraId="7107BEDD" w14:textId="77777777" w:rsidR="00AC0288" w:rsidRDefault="00AC0288" w:rsidP="00AC0288">
      <w:pPr>
        <w:pStyle w:val="ListParagraph"/>
        <w:tabs>
          <w:tab w:val="left" w:pos="851"/>
        </w:tabs>
        <w:spacing w:after="0" w:line="480" w:lineRule="auto"/>
        <w:ind w:left="0"/>
        <w:jc w:val="both"/>
        <w:rPr>
          <w:rFonts w:ascii="Arial" w:hAnsi="Arial" w:cs="Arial"/>
          <w:sz w:val="24"/>
          <w:szCs w:val="24"/>
        </w:rPr>
      </w:pPr>
    </w:p>
    <w:p w14:paraId="15AE7D67" w14:textId="59AF65F1" w:rsidR="00F44A7E" w:rsidRDefault="00975D9A" w:rsidP="00AC0288">
      <w:pPr>
        <w:pStyle w:val="ListParagraph"/>
        <w:numPr>
          <w:ilvl w:val="0"/>
          <w:numId w:val="1"/>
        </w:numPr>
        <w:tabs>
          <w:tab w:val="left" w:pos="851"/>
        </w:tabs>
        <w:spacing w:after="0" w:line="480" w:lineRule="auto"/>
        <w:ind w:left="0" w:firstLine="0"/>
        <w:jc w:val="both"/>
        <w:rPr>
          <w:rFonts w:ascii="Arial" w:hAnsi="Arial" w:cs="Arial"/>
          <w:sz w:val="24"/>
          <w:szCs w:val="24"/>
        </w:rPr>
      </w:pPr>
      <w:r w:rsidRPr="00AC0288">
        <w:rPr>
          <w:rFonts w:ascii="Arial" w:hAnsi="Arial" w:cs="Arial"/>
          <w:sz w:val="24"/>
          <w:szCs w:val="24"/>
        </w:rPr>
        <w:t>From the record</w:t>
      </w:r>
      <w:r w:rsidR="005966FD">
        <w:rPr>
          <w:rFonts w:ascii="Arial" w:hAnsi="Arial" w:cs="Arial"/>
          <w:sz w:val="24"/>
          <w:szCs w:val="24"/>
        </w:rPr>
        <w:t>,</w:t>
      </w:r>
      <w:r w:rsidRPr="00AC0288">
        <w:rPr>
          <w:rFonts w:ascii="Arial" w:hAnsi="Arial" w:cs="Arial"/>
          <w:sz w:val="24"/>
          <w:szCs w:val="24"/>
        </w:rPr>
        <w:t xml:space="preserve"> the communication of</w:t>
      </w:r>
      <w:r w:rsidR="00AC0288">
        <w:rPr>
          <w:rFonts w:ascii="Arial" w:hAnsi="Arial" w:cs="Arial"/>
          <w:sz w:val="24"/>
          <w:szCs w:val="24"/>
        </w:rPr>
        <w:t xml:space="preserve"> 20 September 2011 was the last </w:t>
      </w:r>
      <w:r w:rsidRPr="00AC0288">
        <w:rPr>
          <w:rFonts w:ascii="Arial" w:hAnsi="Arial" w:cs="Arial"/>
          <w:sz w:val="24"/>
          <w:szCs w:val="24"/>
        </w:rPr>
        <w:t xml:space="preserve">such to the appellant and for a period of over </w:t>
      </w:r>
      <w:r w:rsidR="00161B22">
        <w:rPr>
          <w:rFonts w:ascii="Arial" w:hAnsi="Arial" w:cs="Arial"/>
          <w:sz w:val="24"/>
          <w:szCs w:val="24"/>
        </w:rPr>
        <w:t>six</w:t>
      </w:r>
      <w:r w:rsidRPr="00AC0288">
        <w:rPr>
          <w:rFonts w:ascii="Arial" w:hAnsi="Arial" w:cs="Arial"/>
          <w:sz w:val="24"/>
          <w:szCs w:val="24"/>
        </w:rPr>
        <w:t xml:space="preserve"> years appellant remained quiet on the issue.</w:t>
      </w:r>
    </w:p>
    <w:p w14:paraId="4671D86C" w14:textId="45BADAF9" w:rsidR="00245ECC" w:rsidRDefault="00975D9A" w:rsidP="00AC0288">
      <w:pPr>
        <w:pStyle w:val="ListParagraph"/>
        <w:numPr>
          <w:ilvl w:val="0"/>
          <w:numId w:val="1"/>
        </w:numPr>
        <w:tabs>
          <w:tab w:val="left" w:pos="851"/>
        </w:tabs>
        <w:spacing w:after="0" w:line="480" w:lineRule="auto"/>
        <w:ind w:left="0" w:firstLine="0"/>
        <w:jc w:val="both"/>
        <w:rPr>
          <w:rFonts w:ascii="Arial" w:hAnsi="Arial" w:cs="Arial"/>
          <w:sz w:val="24"/>
          <w:szCs w:val="24"/>
        </w:rPr>
      </w:pPr>
      <w:r w:rsidRPr="00AC0288">
        <w:rPr>
          <w:rFonts w:ascii="Arial" w:hAnsi="Arial" w:cs="Arial"/>
          <w:sz w:val="24"/>
          <w:szCs w:val="24"/>
        </w:rPr>
        <w:t>About 3 October 2017</w:t>
      </w:r>
      <w:r w:rsidR="00CA7B48">
        <w:rPr>
          <w:rFonts w:ascii="Arial" w:hAnsi="Arial" w:cs="Arial"/>
          <w:sz w:val="24"/>
          <w:szCs w:val="24"/>
        </w:rPr>
        <w:t>,</w:t>
      </w:r>
      <w:r w:rsidRPr="00AC0288">
        <w:rPr>
          <w:rFonts w:ascii="Arial" w:hAnsi="Arial" w:cs="Arial"/>
          <w:sz w:val="24"/>
          <w:szCs w:val="24"/>
        </w:rPr>
        <w:t xml:space="preserve"> he launched an application in the High Court, amended in January 2018, in terms of Rule 76</w:t>
      </w:r>
      <w:r>
        <w:rPr>
          <w:rStyle w:val="FootnoteReference"/>
          <w:rFonts w:ascii="Arial" w:hAnsi="Arial" w:cs="Arial"/>
          <w:sz w:val="24"/>
          <w:szCs w:val="24"/>
        </w:rPr>
        <w:footnoteReference w:id="9"/>
      </w:r>
      <w:r w:rsidR="00245ECC" w:rsidRPr="00AC0288">
        <w:rPr>
          <w:rFonts w:ascii="Arial" w:hAnsi="Arial" w:cs="Arial"/>
          <w:sz w:val="24"/>
          <w:szCs w:val="24"/>
        </w:rPr>
        <w:t xml:space="preserve"> of the Rules of that Court, claiming an order-</w:t>
      </w:r>
    </w:p>
    <w:p w14:paraId="0A312948" w14:textId="77777777" w:rsidR="00D86407" w:rsidRPr="00AC0288" w:rsidRDefault="00D86407" w:rsidP="00D86407">
      <w:pPr>
        <w:pStyle w:val="ListParagraph"/>
        <w:tabs>
          <w:tab w:val="left" w:pos="851"/>
        </w:tabs>
        <w:spacing w:after="0" w:line="480" w:lineRule="auto"/>
        <w:ind w:left="0"/>
        <w:jc w:val="both"/>
        <w:rPr>
          <w:rFonts w:ascii="Arial" w:hAnsi="Arial" w:cs="Arial"/>
          <w:sz w:val="24"/>
          <w:szCs w:val="24"/>
        </w:rPr>
      </w:pPr>
    </w:p>
    <w:p w14:paraId="79174F5E" w14:textId="44802947" w:rsidR="00245ECC" w:rsidRPr="00245ECC" w:rsidRDefault="00572CE0" w:rsidP="00572CE0">
      <w:pPr>
        <w:pStyle w:val="FootnoteText"/>
        <w:spacing w:line="480" w:lineRule="auto"/>
        <w:ind w:left="1080" w:hanging="360"/>
        <w:jc w:val="both"/>
        <w:rPr>
          <w:rFonts w:ascii="Arial" w:hAnsi="Arial" w:cs="Arial"/>
          <w:sz w:val="24"/>
          <w:szCs w:val="24"/>
        </w:rPr>
      </w:pPr>
      <w:r>
        <w:rPr>
          <w:rFonts w:ascii="Arial" w:hAnsi="Arial" w:cs="Arial"/>
          <w:sz w:val="24"/>
          <w:szCs w:val="24"/>
        </w:rPr>
        <w:t>‘</w:t>
      </w:r>
      <w:r w:rsidR="00D86407">
        <w:rPr>
          <w:rFonts w:ascii="Arial" w:hAnsi="Arial" w:cs="Arial"/>
          <w:sz w:val="24"/>
          <w:szCs w:val="24"/>
        </w:rPr>
        <w:t>1.</w:t>
      </w:r>
      <w:r w:rsidR="00D86407">
        <w:rPr>
          <w:rFonts w:ascii="Arial" w:hAnsi="Arial" w:cs="Arial"/>
          <w:sz w:val="24"/>
          <w:szCs w:val="24"/>
        </w:rPr>
        <w:tab/>
      </w:r>
      <w:r w:rsidR="005966FD">
        <w:rPr>
          <w:rFonts w:ascii="Arial" w:hAnsi="Arial" w:cs="Arial"/>
          <w:sz w:val="24"/>
          <w:szCs w:val="24"/>
        </w:rPr>
        <w:t>D</w:t>
      </w:r>
      <w:r w:rsidR="00245ECC" w:rsidRPr="00245ECC">
        <w:rPr>
          <w:rFonts w:ascii="Arial" w:hAnsi="Arial" w:cs="Arial"/>
          <w:sz w:val="24"/>
          <w:szCs w:val="24"/>
        </w:rPr>
        <w:t>eclaring the interpretation of the Medical and Dental Council of Namibia on the scope of practice of Specialist Clinical Biochemist as unlawful, irrational and invalid</w:t>
      </w:r>
      <w:r w:rsidR="00CA7B48">
        <w:rPr>
          <w:rFonts w:ascii="Arial" w:hAnsi="Arial" w:cs="Arial"/>
          <w:sz w:val="24"/>
          <w:szCs w:val="24"/>
        </w:rPr>
        <w:t>;</w:t>
      </w:r>
    </w:p>
    <w:p w14:paraId="0E4CC336" w14:textId="77777777" w:rsidR="00245ECC" w:rsidRPr="00245ECC" w:rsidRDefault="00245ECC" w:rsidP="00245ECC">
      <w:pPr>
        <w:pStyle w:val="FootnoteText"/>
        <w:spacing w:line="480" w:lineRule="auto"/>
        <w:jc w:val="both"/>
        <w:rPr>
          <w:rFonts w:ascii="Arial" w:hAnsi="Arial" w:cs="Arial"/>
          <w:sz w:val="24"/>
          <w:szCs w:val="24"/>
        </w:rPr>
      </w:pPr>
    </w:p>
    <w:p w14:paraId="31E99E0C" w14:textId="03BC5227" w:rsidR="00245ECC" w:rsidRPr="00245ECC" w:rsidRDefault="00D86407" w:rsidP="00D86407">
      <w:pPr>
        <w:pStyle w:val="FootnoteText"/>
        <w:spacing w:line="480" w:lineRule="auto"/>
        <w:ind w:left="1080" w:hanging="360"/>
        <w:jc w:val="both"/>
        <w:rPr>
          <w:rFonts w:ascii="Arial" w:hAnsi="Arial" w:cs="Arial"/>
          <w:sz w:val="24"/>
          <w:szCs w:val="24"/>
        </w:rPr>
      </w:pPr>
      <w:r>
        <w:rPr>
          <w:rFonts w:ascii="Arial" w:hAnsi="Arial" w:cs="Arial"/>
          <w:i/>
          <w:sz w:val="24"/>
          <w:szCs w:val="24"/>
        </w:rPr>
        <w:t>2.</w:t>
      </w:r>
      <w:r>
        <w:rPr>
          <w:rFonts w:ascii="Arial" w:hAnsi="Arial" w:cs="Arial"/>
          <w:i/>
          <w:sz w:val="24"/>
          <w:szCs w:val="24"/>
        </w:rPr>
        <w:tab/>
      </w:r>
      <w:r w:rsidR="00CA7B48" w:rsidRPr="00CA7B48">
        <w:rPr>
          <w:rFonts w:ascii="Arial" w:hAnsi="Arial" w:cs="Arial"/>
          <w:i/>
          <w:sz w:val="24"/>
          <w:szCs w:val="24"/>
        </w:rPr>
        <w:t>A</w:t>
      </w:r>
      <w:r w:rsidR="00245ECC" w:rsidRPr="00CA7B48">
        <w:rPr>
          <w:rFonts w:ascii="Arial" w:hAnsi="Arial" w:cs="Arial"/>
          <w:i/>
          <w:sz w:val="24"/>
          <w:szCs w:val="24"/>
        </w:rPr>
        <w:t>lternatively</w:t>
      </w:r>
      <w:r w:rsidR="00245ECC" w:rsidRPr="00245ECC">
        <w:rPr>
          <w:rFonts w:ascii="Arial" w:hAnsi="Arial" w:cs="Arial"/>
          <w:sz w:val="24"/>
          <w:szCs w:val="24"/>
        </w:rPr>
        <w:t xml:space="preserve"> declaring that the process followed by the Medical and Dental Council of Namibia </w:t>
      </w:r>
      <w:r w:rsidR="00CA7B48">
        <w:rPr>
          <w:rFonts w:ascii="Arial" w:hAnsi="Arial" w:cs="Arial"/>
          <w:sz w:val="24"/>
          <w:szCs w:val="24"/>
        </w:rPr>
        <w:t>that resulted in the regulation which is interpreted is unl</w:t>
      </w:r>
      <w:r w:rsidR="00245ECC" w:rsidRPr="00245ECC">
        <w:rPr>
          <w:rFonts w:ascii="Arial" w:hAnsi="Arial" w:cs="Arial"/>
          <w:sz w:val="24"/>
          <w:szCs w:val="24"/>
        </w:rPr>
        <w:t>awful</w:t>
      </w:r>
      <w:r w:rsidR="00CA7B48">
        <w:rPr>
          <w:rFonts w:ascii="Arial" w:hAnsi="Arial" w:cs="Arial"/>
          <w:sz w:val="24"/>
          <w:szCs w:val="24"/>
        </w:rPr>
        <w:t>;</w:t>
      </w:r>
    </w:p>
    <w:p w14:paraId="6A610B5F" w14:textId="77777777" w:rsidR="00245ECC" w:rsidRPr="00245ECC" w:rsidRDefault="00245ECC" w:rsidP="00245ECC">
      <w:pPr>
        <w:pStyle w:val="FootnoteText"/>
        <w:spacing w:line="480" w:lineRule="auto"/>
        <w:jc w:val="both"/>
        <w:rPr>
          <w:rFonts w:ascii="Arial" w:hAnsi="Arial" w:cs="Arial"/>
          <w:sz w:val="24"/>
          <w:szCs w:val="24"/>
        </w:rPr>
      </w:pPr>
    </w:p>
    <w:p w14:paraId="27FE33A0" w14:textId="351F8DBA" w:rsidR="00245ECC" w:rsidRPr="00245ECC" w:rsidRDefault="00CA7B48" w:rsidP="00647E3D">
      <w:pPr>
        <w:pStyle w:val="FootnoteText"/>
        <w:numPr>
          <w:ilvl w:val="0"/>
          <w:numId w:val="7"/>
        </w:numPr>
        <w:spacing w:line="480" w:lineRule="auto"/>
        <w:jc w:val="both"/>
        <w:rPr>
          <w:rFonts w:ascii="Arial" w:hAnsi="Arial" w:cs="Arial"/>
          <w:sz w:val="24"/>
          <w:szCs w:val="24"/>
        </w:rPr>
      </w:pPr>
      <w:r w:rsidRPr="00CA7B48">
        <w:rPr>
          <w:rFonts w:ascii="Arial" w:hAnsi="Arial" w:cs="Arial"/>
          <w:i/>
          <w:sz w:val="24"/>
          <w:szCs w:val="24"/>
        </w:rPr>
        <w:t>A</w:t>
      </w:r>
      <w:r w:rsidR="00245ECC" w:rsidRPr="00CA7B48">
        <w:rPr>
          <w:rFonts w:ascii="Arial" w:hAnsi="Arial" w:cs="Arial"/>
          <w:i/>
          <w:sz w:val="24"/>
          <w:szCs w:val="24"/>
        </w:rPr>
        <w:t>lternatively</w:t>
      </w:r>
      <w:r w:rsidR="00245ECC" w:rsidRPr="00245ECC">
        <w:rPr>
          <w:rFonts w:ascii="Arial" w:hAnsi="Arial" w:cs="Arial"/>
          <w:sz w:val="24"/>
          <w:szCs w:val="24"/>
        </w:rPr>
        <w:t>, declaring that the process followed and which changed the original version of regulation 10</w:t>
      </w:r>
      <w:r w:rsidR="00C4208C">
        <w:rPr>
          <w:rFonts w:ascii="Arial" w:hAnsi="Arial" w:cs="Arial"/>
          <w:sz w:val="24"/>
          <w:szCs w:val="24"/>
        </w:rPr>
        <w:t>(c)</w:t>
      </w:r>
      <w:r w:rsidR="00245ECC" w:rsidRPr="00245ECC">
        <w:rPr>
          <w:rFonts w:ascii="Arial" w:hAnsi="Arial" w:cs="Arial"/>
          <w:sz w:val="24"/>
          <w:szCs w:val="24"/>
        </w:rPr>
        <w:t xml:space="preserve"> to a new one after the consultation between applicant and first respondent was concluded and ready for recommendation to the Minister is unlawful</w:t>
      </w:r>
      <w:r>
        <w:rPr>
          <w:rFonts w:ascii="Arial" w:hAnsi="Arial" w:cs="Arial"/>
          <w:sz w:val="24"/>
          <w:szCs w:val="24"/>
        </w:rPr>
        <w:t>;</w:t>
      </w:r>
    </w:p>
    <w:p w14:paraId="5E0F3B1E" w14:textId="77777777" w:rsidR="00245ECC" w:rsidRPr="00245ECC" w:rsidRDefault="00245ECC" w:rsidP="00245ECC">
      <w:pPr>
        <w:pStyle w:val="FootnoteText"/>
        <w:spacing w:line="480" w:lineRule="auto"/>
        <w:jc w:val="both"/>
        <w:rPr>
          <w:rFonts w:ascii="Arial" w:hAnsi="Arial" w:cs="Arial"/>
          <w:sz w:val="24"/>
          <w:szCs w:val="24"/>
        </w:rPr>
      </w:pPr>
    </w:p>
    <w:p w14:paraId="095BDE5F" w14:textId="196A37CD" w:rsidR="00245ECC" w:rsidRDefault="00CA7B48" w:rsidP="00647E3D">
      <w:pPr>
        <w:pStyle w:val="FootnoteText"/>
        <w:numPr>
          <w:ilvl w:val="0"/>
          <w:numId w:val="7"/>
        </w:numPr>
        <w:spacing w:line="480" w:lineRule="auto"/>
        <w:jc w:val="both"/>
        <w:rPr>
          <w:rFonts w:ascii="Arial" w:hAnsi="Arial" w:cs="Arial"/>
          <w:sz w:val="24"/>
          <w:szCs w:val="24"/>
        </w:rPr>
      </w:pPr>
      <w:r>
        <w:rPr>
          <w:rFonts w:ascii="Arial" w:hAnsi="Arial" w:cs="Arial"/>
          <w:sz w:val="24"/>
          <w:szCs w:val="24"/>
        </w:rPr>
        <w:t>O</w:t>
      </w:r>
      <w:r w:rsidR="00245ECC" w:rsidRPr="00245ECC">
        <w:rPr>
          <w:rFonts w:ascii="Arial" w:hAnsi="Arial" w:cs="Arial"/>
          <w:sz w:val="24"/>
          <w:szCs w:val="24"/>
        </w:rPr>
        <w:t>rdering the respondents who oppose this application, jointly and severally to be liable to pay applicant’s costs including the costs of two counse</w:t>
      </w:r>
      <w:r w:rsidR="00121EAF">
        <w:rPr>
          <w:rFonts w:ascii="Arial" w:hAnsi="Arial" w:cs="Arial"/>
          <w:sz w:val="24"/>
          <w:szCs w:val="24"/>
        </w:rPr>
        <w:t>l</w:t>
      </w:r>
      <w:r w:rsidR="00245ECC" w:rsidRPr="00245ECC">
        <w:rPr>
          <w:rFonts w:ascii="Arial" w:hAnsi="Arial" w:cs="Arial"/>
          <w:sz w:val="24"/>
          <w:szCs w:val="24"/>
        </w:rPr>
        <w:t>; and</w:t>
      </w:r>
    </w:p>
    <w:p w14:paraId="7355C808" w14:textId="77777777" w:rsidR="00D86407" w:rsidRDefault="00D86407" w:rsidP="00D86407">
      <w:pPr>
        <w:pStyle w:val="ListParagraph"/>
        <w:rPr>
          <w:rFonts w:ascii="Arial" w:hAnsi="Arial" w:cs="Arial"/>
          <w:sz w:val="24"/>
          <w:szCs w:val="24"/>
        </w:rPr>
      </w:pPr>
    </w:p>
    <w:p w14:paraId="3F6ED440" w14:textId="1401DA1B" w:rsidR="00245ECC" w:rsidRPr="00D86407" w:rsidRDefault="00CA7B48" w:rsidP="00647E3D">
      <w:pPr>
        <w:pStyle w:val="FootnoteText"/>
        <w:numPr>
          <w:ilvl w:val="0"/>
          <w:numId w:val="7"/>
        </w:numPr>
        <w:spacing w:line="480" w:lineRule="auto"/>
        <w:jc w:val="both"/>
        <w:rPr>
          <w:rFonts w:ascii="Arial" w:hAnsi="Arial" w:cs="Arial"/>
          <w:sz w:val="24"/>
          <w:szCs w:val="24"/>
        </w:rPr>
      </w:pPr>
      <w:r w:rsidRPr="00D86407">
        <w:rPr>
          <w:rFonts w:ascii="Arial" w:hAnsi="Arial" w:cs="Arial"/>
          <w:sz w:val="24"/>
          <w:szCs w:val="24"/>
        </w:rPr>
        <w:t>O</w:t>
      </w:r>
      <w:r w:rsidR="00245ECC" w:rsidRPr="00D86407">
        <w:rPr>
          <w:rFonts w:ascii="Arial" w:hAnsi="Arial" w:cs="Arial"/>
          <w:sz w:val="24"/>
          <w:szCs w:val="24"/>
        </w:rPr>
        <w:t>rdering such further and/or alternative relief as this Honourable</w:t>
      </w:r>
      <w:r w:rsidR="00F44A7E" w:rsidRPr="00D86407">
        <w:rPr>
          <w:rFonts w:ascii="Arial" w:hAnsi="Arial" w:cs="Arial"/>
          <w:sz w:val="24"/>
          <w:szCs w:val="24"/>
        </w:rPr>
        <w:t xml:space="preserve"> Court</w:t>
      </w:r>
      <w:r w:rsidR="00245ECC" w:rsidRPr="00D86407">
        <w:rPr>
          <w:rFonts w:ascii="Arial" w:hAnsi="Arial" w:cs="Arial"/>
          <w:sz w:val="24"/>
          <w:szCs w:val="24"/>
        </w:rPr>
        <w:t xml:space="preserve"> may deem meet.</w:t>
      </w:r>
      <w:r w:rsidRPr="00D86407">
        <w:rPr>
          <w:rFonts w:ascii="Arial" w:hAnsi="Arial" w:cs="Arial"/>
          <w:sz w:val="24"/>
          <w:szCs w:val="24"/>
        </w:rPr>
        <w:t>’</w:t>
      </w:r>
    </w:p>
    <w:p w14:paraId="346A20D5" w14:textId="49CA449A" w:rsidR="00975D9A" w:rsidRDefault="00373893"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Mr Chrispin Kabun</w:t>
      </w:r>
      <w:r w:rsidR="00F44A7E">
        <w:rPr>
          <w:rFonts w:ascii="Arial" w:hAnsi="Arial" w:cs="Arial"/>
          <w:sz w:val="24"/>
          <w:szCs w:val="24"/>
        </w:rPr>
        <w:t>a</w:t>
      </w:r>
      <w:r>
        <w:rPr>
          <w:rFonts w:ascii="Arial" w:hAnsi="Arial" w:cs="Arial"/>
          <w:sz w:val="24"/>
          <w:szCs w:val="24"/>
        </w:rPr>
        <w:t xml:space="preserve"> Mafwila</w:t>
      </w:r>
      <w:r w:rsidR="00CA7B48">
        <w:rPr>
          <w:rFonts w:ascii="Arial" w:hAnsi="Arial" w:cs="Arial"/>
          <w:sz w:val="24"/>
          <w:szCs w:val="24"/>
        </w:rPr>
        <w:t>,</w:t>
      </w:r>
      <w:r>
        <w:rPr>
          <w:rFonts w:ascii="Arial" w:hAnsi="Arial" w:cs="Arial"/>
          <w:sz w:val="24"/>
          <w:szCs w:val="24"/>
        </w:rPr>
        <w:t xml:space="preserve"> the Assistant Registrar</w:t>
      </w:r>
      <w:r w:rsidR="008A107F">
        <w:rPr>
          <w:rFonts w:ascii="Arial" w:hAnsi="Arial" w:cs="Arial"/>
          <w:sz w:val="24"/>
          <w:szCs w:val="24"/>
        </w:rPr>
        <w:t xml:space="preserve"> at the first respondent</w:t>
      </w:r>
      <w:r w:rsidR="00CA7B48">
        <w:rPr>
          <w:rFonts w:ascii="Arial" w:hAnsi="Arial" w:cs="Arial"/>
          <w:sz w:val="24"/>
          <w:szCs w:val="24"/>
        </w:rPr>
        <w:t>,</w:t>
      </w:r>
      <w:r w:rsidR="008A107F">
        <w:rPr>
          <w:rFonts w:ascii="Arial" w:hAnsi="Arial" w:cs="Arial"/>
          <w:sz w:val="24"/>
          <w:szCs w:val="24"/>
        </w:rPr>
        <w:t xml:space="preserve"> and the Acting Registrar at the time disposed to an affidavit. He narrates in brief how the </w:t>
      </w:r>
      <w:r w:rsidR="00CA7B48">
        <w:rPr>
          <w:rFonts w:ascii="Arial" w:hAnsi="Arial" w:cs="Arial"/>
          <w:sz w:val="24"/>
          <w:szCs w:val="24"/>
        </w:rPr>
        <w:t>r</w:t>
      </w:r>
      <w:r w:rsidR="008A107F">
        <w:rPr>
          <w:rFonts w:ascii="Arial" w:hAnsi="Arial" w:cs="Arial"/>
          <w:sz w:val="24"/>
          <w:szCs w:val="24"/>
        </w:rPr>
        <w:t xml:space="preserve">egulations relating to </w:t>
      </w:r>
      <w:r w:rsidR="00D86407">
        <w:rPr>
          <w:rFonts w:ascii="Arial" w:hAnsi="Arial" w:cs="Arial"/>
          <w:sz w:val="24"/>
          <w:szCs w:val="24"/>
        </w:rPr>
        <w:t>c</w:t>
      </w:r>
      <w:r w:rsidR="008A107F">
        <w:rPr>
          <w:rFonts w:ascii="Arial" w:hAnsi="Arial" w:cs="Arial"/>
          <w:sz w:val="24"/>
          <w:szCs w:val="24"/>
        </w:rPr>
        <w:t xml:space="preserve">linical </w:t>
      </w:r>
      <w:r w:rsidR="00D86407">
        <w:rPr>
          <w:rFonts w:ascii="Arial" w:hAnsi="Arial" w:cs="Arial"/>
          <w:sz w:val="24"/>
          <w:szCs w:val="24"/>
        </w:rPr>
        <w:t>b</w:t>
      </w:r>
      <w:r w:rsidR="008A107F">
        <w:rPr>
          <w:rFonts w:ascii="Arial" w:hAnsi="Arial" w:cs="Arial"/>
          <w:sz w:val="24"/>
          <w:szCs w:val="24"/>
        </w:rPr>
        <w:t>iochemists came into being. He then raises two preliminary issues, namely, unreasonable delay in instituting the review proceedings and the incompetent relief sought pertaining to the interpretation of the regulations.</w:t>
      </w:r>
    </w:p>
    <w:p w14:paraId="0AA2CD3C" w14:textId="77777777" w:rsidR="008A107F" w:rsidRDefault="008A107F" w:rsidP="008A107F">
      <w:pPr>
        <w:pStyle w:val="ListParagraph"/>
        <w:tabs>
          <w:tab w:val="left" w:pos="851"/>
        </w:tabs>
        <w:spacing w:after="0" w:line="480" w:lineRule="auto"/>
        <w:ind w:left="0"/>
        <w:jc w:val="both"/>
        <w:rPr>
          <w:rFonts w:ascii="Arial" w:hAnsi="Arial" w:cs="Arial"/>
          <w:sz w:val="24"/>
          <w:szCs w:val="24"/>
        </w:rPr>
      </w:pPr>
    </w:p>
    <w:p w14:paraId="0A1424E2" w14:textId="196E3037" w:rsidR="008A107F" w:rsidRDefault="008A107F"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On the unreasonable delay</w:t>
      </w:r>
      <w:r w:rsidR="00CA7B48">
        <w:rPr>
          <w:rFonts w:ascii="Arial" w:hAnsi="Arial" w:cs="Arial"/>
          <w:sz w:val="24"/>
          <w:szCs w:val="24"/>
        </w:rPr>
        <w:t>,</w:t>
      </w:r>
      <w:r>
        <w:rPr>
          <w:rFonts w:ascii="Arial" w:hAnsi="Arial" w:cs="Arial"/>
          <w:sz w:val="24"/>
          <w:szCs w:val="24"/>
        </w:rPr>
        <w:t xml:space="preserve"> he states that appellant seeks to review a process some seven </w:t>
      </w:r>
      <w:r w:rsidR="00F44A7E">
        <w:rPr>
          <w:rFonts w:ascii="Arial" w:hAnsi="Arial" w:cs="Arial"/>
          <w:sz w:val="24"/>
          <w:szCs w:val="24"/>
        </w:rPr>
        <w:t>o</w:t>
      </w:r>
      <w:r>
        <w:rPr>
          <w:rFonts w:ascii="Arial" w:hAnsi="Arial" w:cs="Arial"/>
          <w:sz w:val="24"/>
          <w:szCs w:val="24"/>
        </w:rPr>
        <w:t>dd years later since the regulations were published in June 2010 and offers no reasonable explanations for the delay. He argues that the relief sought is brought way out of time and that the first responde</w:t>
      </w:r>
      <w:r w:rsidR="00CA7B48">
        <w:rPr>
          <w:rFonts w:ascii="Arial" w:hAnsi="Arial" w:cs="Arial"/>
          <w:sz w:val="24"/>
          <w:szCs w:val="24"/>
        </w:rPr>
        <w:t>nt</w:t>
      </w:r>
      <w:r>
        <w:rPr>
          <w:rFonts w:ascii="Arial" w:hAnsi="Arial" w:cs="Arial"/>
          <w:sz w:val="24"/>
          <w:szCs w:val="24"/>
        </w:rPr>
        <w:t xml:space="preserve"> is bound to suffer prejudice.</w:t>
      </w:r>
    </w:p>
    <w:p w14:paraId="759944D9" w14:textId="77777777" w:rsidR="008A107F" w:rsidRPr="008A107F" w:rsidRDefault="008A107F" w:rsidP="008A107F">
      <w:pPr>
        <w:pStyle w:val="ListParagraph"/>
        <w:spacing w:after="0" w:line="480" w:lineRule="auto"/>
        <w:jc w:val="both"/>
        <w:rPr>
          <w:rFonts w:ascii="Arial" w:hAnsi="Arial" w:cs="Arial"/>
          <w:sz w:val="24"/>
          <w:szCs w:val="24"/>
        </w:rPr>
      </w:pPr>
    </w:p>
    <w:p w14:paraId="2640738F" w14:textId="6757BE52" w:rsidR="008A107F" w:rsidRDefault="008A107F"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On the second preliminary issue he states that the first two prayers </w:t>
      </w:r>
      <w:r w:rsidR="00F44A7E">
        <w:rPr>
          <w:rFonts w:ascii="Arial" w:hAnsi="Arial" w:cs="Arial"/>
          <w:sz w:val="24"/>
          <w:szCs w:val="24"/>
        </w:rPr>
        <w:t xml:space="preserve">of </w:t>
      </w:r>
      <w:r>
        <w:rPr>
          <w:rFonts w:ascii="Arial" w:hAnsi="Arial" w:cs="Arial"/>
          <w:sz w:val="24"/>
          <w:szCs w:val="24"/>
        </w:rPr>
        <w:t xml:space="preserve">the relief sought </w:t>
      </w:r>
      <w:r w:rsidR="006F18E3">
        <w:rPr>
          <w:rFonts w:ascii="Arial" w:hAnsi="Arial" w:cs="Arial"/>
          <w:sz w:val="24"/>
          <w:szCs w:val="24"/>
        </w:rPr>
        <w:t>are</w:t>
      </w:r>
      <w:r>
        <w:rPr>
          <w:rFonts w:ascii="Arial" w:hAnsi="Arial" w:cs="Arial"/>
          <w:sz w:val="24"/>
          <w:szCs w:val="24"/>
        </w:rPr>
        <w:t xml:space="preserve"> for a </w:t>
      </w:r>
      <w:r w:rsidR="00BF41FF">
        <w:rPr>
          <w:rFonts w:ascii="Arial" w:hAnsi="Arial" w:cs="Arial"/>
          <w:sz w:val="24"/>
          <w:szCs w:val="24"/>
        </w:rPr>
        <w:t>declarator</w:t>
      </w:r>
      <w:r>
        <w:rPr>
          <w:rFonts w:ascii="Arial" w:hAnsi="Arial" w:cs="Arial"/>
          <w:sz w:val="24"/>
          <w:szCs w:val="24"/>
        </w:rPr>
        <w:t xml:space="preserve"> and tha</w:t>
      </w:r>
      <w:r w:rsidR="00BF41FF">
        <w:rPr>
          <w:rFonts w:ascii="Arial" w:hAnsi="Arial" w:cs="Arial"/>
          <w:sz w:val="24"/>
          <w:szCs w:val="24"/>
        </w:rPr>
        <w:t xml:space="preserve">t the first respondent did not provide any interpretation, the first respondent recommended draft regulations, to the </w:t>
      </w:r>
      <w:r w:rsidR="00CA7B48">
        <w:rPr>
          <w:rFonts w:ascii="Arial" w:hAnsi="Arial" w:cs="Arial"/>
          <w:sz w:val="24"/>
          <w:szCs w:val="24"/>
        </w:rPr>
        <w:t>second respondent</w:t>
      </w:r>
      <w:r w:rsidR="00BF41FF">
        <w:rPr>
          <w:rFonts w:ascii="Arial" w:hAnsi="Arial" w:cs="Arial"/>
          <w:sz w:val="24"/>
          <w:szCs w:val="24"/>
        </w:rPr>
        <w:t>, who in turn gazette</w:t>
      </w:r>
      <w:r w:rsidR="00F44A7E">
        <w:rPr>
          <w:rFonts w:ascii="Arial" w:hAnsi="Arial" w:cs="Arial"/>
          <w:sz w:val="24"/>
          <w:szCs w:val="24"/>
        </w:rPr>
        <w:t>d</w:t>
      </w:r>
      <w:r w:rsidR="00BF41FF">
        <w:rPr>
          <w:rFonts w:ascii="Arial" w:hAnsi="Arial" w:cs="Arial"/>
          <w:sz w:val="24"/>
          <w:szCs w:val="24"/>
        </w:rPr>
        <w:t xml:space="preserve"> the said regulations.</w:t>
      </w:r>
    </w:p>
    <w:p w14:paraId="3DD5E9FB" w14:textId="77777777" w:rsidR="00BF41FF" w:rsidRPr="00BF41FF" w:rsidRDefault="00BF41FF" w:rsidP="008D1C62">
      <w:pPr>
        <w:pStyle w:val="ListParagraph"/>
        <w:spacing w:after="0" w:line="480" w:lineRule="auto"/>
        <w:jc w:val="both"/>
        <w:rPr>
          <w:rFonts w:ascii="Arial" w:hAnsi="Arial" w:cs="Arial"/>
          <w:sz w:val="24"/>
          <w:szCs w:val="24"/>
        </w:rPr>
      </w:pPr>
    </w:p>
    <w:p w14:paraId="3DDD760D" w14:textId="16A0DAA6" w:rsidR="00BF41FF" w:rsidRDefault="008D1C62"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As for the rest of the appellant’s case, first respondent denies the allegation</w:t>
      </w:r>
      <w:r w:rsidR="00F44A7E">
        <w:rPr>
          <w:rFonts w:ascii="Arial" w:hAnsi="Arial" w:cs="Arial"/>
          <w:sz w:val="24"/>
          <w:szCs w:val="24"/>
        </w:rPr>
        <w:t>s and states</w:t>
      </w:r>
      <w:r>
        <w:rPr>
          <w:rFonts w:ascii="Arial" w:hAnsi="Arial" w:cs="Arial"/>
          <w:sz w:val="24"/>
          <w:szCs w:val="24"/>
        </w:rPr>
        <w:t xml:space="preserve"> that no constitutional rights had been infringed in the process of promulgating the regulations and submits that appellant made no case and the application should be dismissed with costs.</w:t>
      </w:r>
    </w:p>
    <w:p w14:paraId="56B6E392" w14:textId="77777777" w:rsidR="008D1C62" w:rsidRPr="008D1C62" w:rsidRDefault="008D1C62" w:rsidP="008D1C62">
      <w:pPr>
        <w:pStyle w:val="ListParagraph"/>
        <w:spacing w:after="0" w:line="480" w:lineRule="auto"/>
        <w:jc w:val="both"/>
        <w:rPr>
          <w:rFonts w:ascii="Arial" w:hAnsi="Arial" w:cs="Arial"/>
          <w:sz w:val="24"/>
          <w:szCs w:val="24"/>
        </w:rPr>
      </w:pPr>
    </w:p>
    <w:p w14:paraId="11DD4297" w14:textId="0D8AD4AB" w:rsidR="008D1C62" w:rsidRDefault="008D1C62"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On 3 May 2018</w:t>
      </w:r>
      <w:r w:rsidR="00CA7B48">
        <w:rPr>
          <w:rFonts w:ascii="Arial" w:hAnsi="Arial" w:cs="Arial"/>
          <w:sz w:val="24"/>
          <w:szCs w:val="24"/>
        </w:rPr>
        <w:t>,</w:t>
      </w:r>
      <w:r>
        <w:rPr>
          <w:rFonts w:ascii="Arial" w:hAnsi="Arial" w:cs="Arial"/>
          <w:sz w:val="24"/>
          <w:szCs w:val="24"/>
        </w:rPr>
        <w:t xml:space="preserve"> the High Court per Geier J</w:t>
      </w:r>
      <w:r w:rsidR="00CA7B48">
        <w:rPr>
          <w:rFonts w:ascii="Arial" w:hAnsi="Arial" w:cs="Arial"/>
          <w:sz w:val="24"/>
          <w:szCs w:val="24"/>
        </w:rPr>
        <w:t>,</w:t>
      </w:r>
      <w:r>
        <w:rPr>
          <w:rFonts w:ascii="Arial" w:hAnsi="Arial" w:cs="Arial"/>
          <w:sz w:val="24"/>
          <w:szCs w:val="24"/>
        </w:rPr>
        <w:t xml:space="preserve"> dismissed the application with costs on the first preliminary issue of unreasonable delay raised by the first respondent, the court holding that taking all the main steps appellant took before the launch of the application it emerges inescapably that the appellant failed to explain his inactivity for various lengthy periods in any satisfactory manner whatsoever. On the declaratory order</w:t>
      </w:r>
      <w:r w:rsidR="00CA7B48">
        <w:rPr>
          <w:rFonts w:ascii="Arial" w:hAnsi="Arial" w:cs="Arial"/>
          <w:sz w:val="24"/>
          <w:szCs w:val="24"/>
        </w:rPr>
        <w:t>,</w:t>
      </w:r>
      <w:r>
        <w:rPr>
          <w:rFonts w:ascii="Arial" w:hAnsi="Arial" w:cs="Arial"/>
          <w:sz w:val="24"/>
          <w:szCs w:val="24"/>
        </w:rPr>
        <w:t xml:space="preserve"> the court </w:t>
      </w:r>
      <w:r w:rsidR="00B42616">
        <w:rPr>
          <w:rFonts w:ascii="Arial" w:hAnsi="Arial" w:cs="Arial"/>
          <w:sz w:val="24"/>
          <w:szCs w:val="24"/>
        </w:rPr>
        <w:t>held the view that it was dependent on the survival of the review and that for the reason of the delay and the prejudice which would ensue to the respondents, the manner in which appellant had pleaded his case, it is not a proper case for the court to exercise its discretion in favour of the appellant.</w:t>
      </w:r>
    </w:p>
    <w:p w14:paraId="467BC3E8" w14:textId="77777777" w:rsidR="00B42616" w:rsidRPr="00B42616" w:rsidRDefault="00B42616" w:rsidP="00B42616">
      <w:pPr>
        <w:pStyle w:val="ListParagraph"/>
        <w:spacing w:after="0" w:line="480" w:lineRule="auto"/>
        <w:jc w:val="both"/>
        <w:rPr>
          <w:rFonts w:ascii="Arial" w:hAnsi="Arial" w:cs="Arial"/>
          <w:sz w:val="24"/>
          <w:szCs w:val="24"/>
        </w:rPr>
      </w:pPr>
    </w:p>
    <w:p w14:paraId="41DB170E" w14:textId="33F0C542" w:rsidR="00B42616" w:rsidRDefault="00B42616"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Appellant appeals against this order.</w:t>
      </w:r>
    </w:p>
    <w:p w14:paraId="7565DCF0" w14:textId="77777777" w:rsidR="00B42616" w:rsidRPr="00B42616" w:rsidRDefault="00B42616" w:rsidP="00B42616">
      <w:pPr>
        <w:pStyle w:val="ListParagraph"/>
        <w:spacing w:after="0" w:line="480" w:lineRule="auto"/>
        <w:jc w:val="both"/>
        <w:rPr>
          <w:rFonts w:ascii="Arial" w:hAnsi="Arial" w:cs="Arial"/>
          <w:sz w:val="24"/>
          <w:szCs w:val="24"/>
        </w:rPr>
      </w:pPr>
    </w:p>
    <w:p w14:paraId="425BEE9F" w14:textId="0D109A9E" w:rsidR="00B42616" w:rsidRDefault="00B42616"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Appellant failed to file his notice of appeal on time as required by rule 7(1) when it was filed on 6 June 2018. That rule requires notice of app</w:t>
      </w:r>
      <w:r w:rsidR="00C01D12">
        <w:rPr>
          <w:rFonts w:ascii="Arial" w:hAnsi="Arial" w:cs="Arial"/>
          <w:sz w:val="24"/>
          <w:szCs w:val="24"/>
        </w:rPr>
        <w:t>eal to be filed with the registrar and the registrar of the court appealed from and a copy of the notice served on the respondent or his or her legal practitioner within 21 days or such longer period as may be allowed on good cause shown after the judgment or order appealed against . . . has been pronounced</w:t>
      </w:r>
      <w:r w:rsidR="00F44A7E">
        <w:rPr>
          <w:rFonts w:ascii="Arial" w:hAnsi="Arial" w:cs="Arial"/>
          <w:sz w:val="24"/>
          <w:szCs w:val="24"/>
        </w:rPr>
        <w:t>.</w:t>
      </w:r>
      <w:r w:rsidR="00C01D12">
        <w:rPr>
          <w:rFonts w:ascii="Arial" w:hAnsi="Arial" w:cs="Arial"/>
          <w:sz w:val="24"/>
          <w:szCs w:val="24"/>
        </w:rPr>
        <w:t xml:space="preserve"> </w:t>
      </w:r>
      <w:r w:rsidR="00F44A7E">
        <w:rPr>
          <w:rFonts w:ascii="Arial" w:hAnsi="Arial" w:cs="Arial"/>
          <w:sz w:val="24"/>
          <w:szCs w:val="24"/>
        </w:rPr>
        <w:t>N</w:t>
      </w:r>
      <w:r w:rsidR="00C01D12">
        <w:rPr>
          <w:rFonts w:ascii="Arial" w:hAnsi="Arial" w:cs="Arial"/>
          <w:sz w:val="24"/>
          <w:szCs w:val="24"/>
        </w:rPr>
        <w:t xml:space="preserve">o longer period more than 21 days was allowed, nor was there any request or application to that effect. No application </w:t>
      </w:r>
      <w:r w:rsidR="00CA7B48">
        <w:rPr>
          <w:rFonts w:ascii="Arial" w:hAnsi="Arial" w:cs="Arial"/>
          <w:sz w:val="24"/>
          <w:szCs w:val="24"/>
        </w:rPr>
        <w:t>for</w:t>
      </w:r>
      <w:r w:rsidR="00C01D12">
        <w:rPr>
          <w:rFonts w:ascii="Arial" w:hAnsi="Arial" w:cs="Arial"/>
          <w:sz w:val="24"/>
          <w:szCs w:val="24"/>
        </w:rPr>
        <w:t xml:space="preserve"> condonation was filed with the non-compliance. In my opinion</w:t>
      </w:r>
      <w:r w:rsidR="00CA7B48">
        <w:rPr>
          <w:rFonts w:ascii="Arial" w:hAnsi="Arial" w:cs="Arial"/>
          <w:sz w:val="24"/>
          <w:szCs w:val="24"/>
        </w:rPr>
        <w:t>,</w:t>
      </w:r>
      <w:r w:rsidR="00C01D12">
        <w:rPr>
          <w:rFonts w:ascii="Arial" w:hAnsi="Arial" w:cs="Arial"/>
          <w:sz w:val="24"/>
          <w:szCs w:val="24"/>
        </w:rPr>
        <w:t xml:space="preserve"> the app</w:t>
      </w:r>
      <w:r w:rsidR="006F18E3">
        <w:rPr>
          <w:rFonts w:ascii="Arial" w:hAnsi="Arial" w:cs="Arial"/>
          <w:sz w:val="24"/>
          <w:szCs w:val="24"/>
        </w:rPr>
        <w:t>eal</w:t>
      </w:r>
      <w:r w:rsidR="00C01D12">
        <w:rPr>
          <w:rFonts w:ascii="Arial" w:hAnsi="Arial" w:cs="Arial"/>
          <w:sz w:val="24"/>
          <w:szCs w:val="24"/>
        </w:rPr>
        <w:t xml:space="preserve"> should not have been received when it was out of time without a condonation application.</w:t>
      </w:r>
    </w:p>
    <w:p w14:paraId="0D7DD19B" w14:textId="77777777" w:rsidR="00C01D12" w:rsidRPr="00C01D12" w:rsidRDefault="00C01D12" w:rsidP="00C01D12">
      <w:pPr>
        <w:pStyle w:val="ListParagraph"/>
        <w:spacing w:after="0" w:line="480" w:lineRule="auto"/>
        <w:jc w:val="both"/>
        <w:rPr>
          <w:rFonts w:ascii="Arial" w:hAnsi="Arial" w:cs="Arial"/>
          <w:sz w:val="24"/>
          <w:szCs w:val="24"/>
        </w:rPr>
      </w:pPr>
    </w:p>
    <w:p w14:paraId="17A3DD24" w14:textId="200FC41C" w:rsidR="00C01D12" w:rsidRDefault="00C01D12"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record was filed just on time, when it was filed on 2 August 2018, but appellant failed to enter into good and sufficient security for the first respondent’s costs of the appeal before the record</w:t>
      </w:r>
      <w:r w:rsidR="005E5F87">
        <w:rPr>
          <w:rFonts w:ascii="Arial" w:hAnsi="Arial" w:cs="Arial"/>
          <w:sz w:val="24"/>
          <w:szCs w:val="24"/>
        </w:rPr>
        <w:t xml:space="preserve"> was lodged with the registrar as is required by rule 14(2), failed to inform the registrar in writing whether he ha</w:t>
      </w:r>
      <w:r w:rsidR="00753C06">
        <w:rPr>
          <w:rFonts w:ascii="Arial" w:hAnsi="Arial" w:cs="Arial"/>
          <w:sz w:val="24"/>
          <w:szCs w:val="24"/>
        </w:rPr>
        <w:t>d</w:t>
      </w:r>
      <w:r w:rsidR="005E5F87">
        <w:rPr>
          <w:rFonts w:ascii="Arial" w:hAnsi="Arial" w:cs="Arial"/>
          <w:sz w:val="24"/>
          <w:szCs w:val="24"/>
        </w:rPr>
        <w:t xml:space="preserve"> entered into security in terms of the r</w:t>
      </w:r>
      <w:r w:rsidR="00753C06">
        <w:rPr>
          <w:rFonts w:ascii="Arial" w:hAnsi="Arial" w:cs="Arial"/>
          <w:sz w:val="24"/>
          <w:szCs w:val="24"/>
        </w:rPr>
        <w:t>ule as per rule 14(3)(</w:t>
      </w:r>
      <w:r w:rsidR="00753C06" w:rsidRPr="00CA7B48">
        <w:rPr>
          <w:rFonts w:ascii="Arial" w:hAnsi="Arial" w:cs="Arial"/>
          <w:i/>
          <w:sz w:val="24"/>
          <w:szCs w:val="24"/>
        </w:rPr>
        <w:t>a</w:t>
      </w:r>
      <w:r w:rsidR="00753C06">
        <w:rPr>
          <w:rFonts w:ascii="Arial" w:hAnsi="Arial" w:cs="Arial"/>
          <w:sz w:val="24"/>
          <w:szCs w:val="24"/>
        </w:rPr>
        <w:t>), or had</w:t>
      </w:r>
      <w:r w:rsidR="005E5F87">
        <w:rPr>
          <w:rFonts w:ascii="Arial" w:hAnsi="Arial" w:cs="Arial"/>
          <w:sz w:val="24"/>
          <w:szCs w:val="24"/>
        </w:rPr>
        <w:t xml:space="preserve"> been released from the security obligation, either by virtue of a waiver by the respondent or released by the court appealed from as per rule 14(3)(</w:t>
      </w:r>
      <w:r w:rsidR="005E5F87" w:rsidRPr="00CA7B48">
        <w:rPr>
          <w:rFonts w:ascii="Arial" w:hAnsi="Arial" w:cs="Arial"/>
          <w:i/>
          <w:sz w:val="24"/>
          <w:szCs w:val="24"/>
        </w:rPr>
        <w:t>b</w:t>
      </w:r>
      <w:r w:rsidR="005E5F87">
        <w:rPr>
          <w:rFonts w:ascii="Arial" w:hAnsi="Arial" w:cs="Arial"/>
          <w:sz w:val="24"/>
          <w:szCs w:val="24"/>
        </w:rPr>
        <w:t>).</w:t>
      </w:r>
    </w:p>
    <w:p w14:paraId="0F422E25" w14:textId="77777777" w:rsidR="005E5F87" w:rsidRPr="005E5F87" w:rsidRDefault="005E5F87" w:rsidP="005E5F87">
      <w:pPr>
        <w:pStyle w:val="ListParagraph"/>
        <w:spacing w:after="0" w:line="480" w:lineRule="auto"/>
        <w:jc w:val="both"/>
        <w:rPr>
          <w:rFonts w:ascii="Arial" w:hAnsi="Arial" w:cs="Arial"/>
          <w:sz w:val="24"/>
          <w:szCs w:val="24"/>
        </w:rPr>
      </w:pPr>
    </w:p>
    <w:p w14:paraId="0862854B" w14:textId="342D5503" w:rsidR="005E5F87" w:rsidRDefault="005E5F87"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What the appellant did though was that on 21 June 2018 he wrote </w:t>
      </w:r>
      <w:r w:rsidR="00753C06">
        <w:rPr>
          <w:rFonts w:ascii="Arial" w:hAnsi="Arial" w:cs="Arial"/>
          <w:sz w:val="24"/>
          <w:szCs w:val="24"/>
        </w:rPr>
        <w:t xml:space="preserve">to </w:t>
      </w:r>
      <w:r>
        <w:rPr>
          <w:rFonts w:ascii="Arial" w:hAnsi="Arial" w:cs="Arial"/>
          <w:sz w:val="24"/>
          <w:szCs w:val="24"/>
        </w:rPr>
        <w:t>the legal representatives of first respondent seeking a waiver of costs which request was declined on 25 June 2018. He also</w:t>
      </w:r>
      <w:r w:rsidR="00753C06">
        <w:rPr>
          <w:rFonts w:ascii="Arial" w:hAnsi="Arial" w:cs="Arial"/>
          <w:sz w:val="24"/>
          <w:szCs w:val="24"/>
        </w:rPr>
        <w:t>,</w:t>
      </w:r>
      <w:r>
        <w:rPr>
          <w:rFonts w:ascii="Arial" w:hAnsi="Arial" w:cs="Arial"/>
          <w:sz w:val="24"/>
          <w:szCs w:val="24"/>
        </w:rPr>
        <w:t xml:space="preserve"> on 2 August 2018 together with the notice of appeal filed an application by notice with the </w:t>
      </w:r>
      <w:r w:rsidR="00CA7B48">
        <w:rPr>
          <w:rFonts w:ascii="Arial" w:hAnsi="Arial" w:cs="Arial"/>
          <w:sz w:val="24"/>
          <w:szCs w:val="24"/>
        </w:rPr>
        <w:t>r</w:t>
      </w:r>
      <w:r>
        <w:rPr>
          <w:rFonts w:ascii="Arial" w:hAnsi="Arial" w:cs="Arial"/>
          <w:sz w:val="24"/>
          <w:szCs w:val="24"/>
        </w:rPr>
        <w:t>egistrar of this court stating that he had made an application to the court below to be released from the obligation of furnishing security and that the unopposed matter was set down for determination on 10 August 2018.</w:t>
      </w:r>
    </w:p>
    <w:p w14:paraId="7650CFEF" w14:textId="77777777" w:rsidR="005E5F87" w:rsidRPr="005E5F87" w:rsidRDefault="005E5F87" w:rsidP="005E5F87">
      <w:pPr>
        <w:pStyle w:val="ListParagraph"/>
        <w:spacing w:after="0" w:line="480" w:lineRule="auto"/>
        <w:jc w:val="both"/>
        <w:rPr>
          <w:rFonts w:ascii="Arial" w:hAnsi="Arial" w:cs="Arial"/>
          <w:sz w:val="24"/>
          <w:szCs w:val="24"/>
        </w:rPr>
      </w:pPr>
    </w:p>
    <w:p w14:paraId="6FF64A76" w14:textId="62E968D2" w:rsidR="005E5F87" w:rsidRDefault="0048244C"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None of the above efforts came close to complying with rule 14. In a letter dated 14 August 2018, the </w:t>
      </w:r>
      <w:r w:rsidR="00CA7B48">
        <w:rPr>
          <w:rFonts w:ascii="Arial" w:hAnsi="Arial" w:cs="Arial"/>
          <w:sz w:val="24"/>
          <w:szCs w:val="24"/>
        </w:rPr>
        <w:t>r</w:t>
      </w:r>
      <w:r>
        <w:rPr>
          <w:rFonts w:ascii="Arial" w:hAnsi="Arial" w:cs="Arial"/>
          <w:sz w:val="24"/>
          <w:szCs w:val="24"/>
        </w:rPr>
        <w:t>egistrar of this court informed him that due to non-compliance with rule 14 his appeal was deemed to have been withdrawn. On 3 September 2018</w:t>
      </w:r>
      <w:r w:rsidR="00CA7B48">
        <w:rPr>
          <w:rFonts w:ascii="Arial" w:hAnsi="Arial" w:cs="Arial"/>
          <w:sz w:val="24"/>
          <w:szCs w:val="24"/>
        </w:rPr>
        <w:t>,</w:t>
      </w:r>
      <w:r>
        <w:rPr>
          <w:rFonts w:ascii="Arial" w:hAnsi="Arial" w:cs="Arial"/>
          <w:sz w:val="24"/>
          <w:szCs w:val="24"/>
        </w:rPr>
        <w:t xml:space="preserve"> he filed a condonation application admitting that he has done everything possible, including the efforts above, but had no luck and could not comply with rule 14. He mentioned without giving reasons that his appeal was in the public interest and had good prospects of success on appeal. That application was worth nothing as appellant was still non-compliant with the rule.</w:t>
      </w:r>
    </w:p>
    <w:p w14:paraId="6D62D891" w14:textId="77777777" w:rsidR="0048244C" w:rsidRPr="0048244C" w:rsidRDefault="0048244C" w:rsidP="0048244C">
      <w:pPr>
        <w:pStyle w:val="ListParagraph"/>
        <w:spacing w:after="0" w:line="480" w:lineRule="auto"/>
        <w:jc w:val="both"/>
        <w:rPr>
          <w:rFonts w:ascii="Arial" w:hAnsi="Arial" w:cs="Arial"/>
          <w:sz w:val="24"/>
          <w:szCs w:val="24"/>
        </w:rPr>
      </w:pPr>
    </w:p>
    <w:p w14:paraId="49F3E8AC" w14:textId="25C3433A" w:rsidR="0048244C" w:rsidRDefault="0048244C"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On 19 August 2019</w:t>
      </w:r>
      <w:r w:rsidR="00CA7B48">
        <w:rPr>
          <w:rFonts w:ascii="Arial" w:hAnsi="Arial" w:cs="Arial"/>
          <w:sz w:val="24"/>
          <w:szCs w:val="24"/>
        </w:rPr>
        <w:t>,</w:t>
      </w:r>
      <w:r>
        <w:rPr>
          <w:rFonts w:ascii="Arial" w:hAnsi="Arial" w:cs="Arial"/>
          <w:sz w:val="24"/>
          <w:szCs w:val="24"/>
        </w:rPr>
        <w:t xml:space="preserve"> appellant deposited N$50 000 for security and filed yet another condonation application </w:t>
      </w:r>
      <w:r w:rsidR="00CA7B48">
        <w:rPr>
          <w:rFonts w:ascii="Arial" w:hAnsi="Arial" w:cs="Arial"/>
          <w:sz w:val="24"/>
          <w:szCs w:val="24"/>
        </w:rPr>
        <w:t xml:space="preserve">six months later on 20 February 2020 </w:t>
      </w:r>
      <w:r>
        <w:rPr>
          <w:rFonts w:ascii="Arial" w:hAnsi="Arial" w:cs="Arial"/>
          <w:sz w:val="24"/>
          <w:szCs w:val="24"/>
        </w:rPr>
        <w:t>for non-compliance with rule 14 and still insisted without giving reasons that his appeal had good prospects of success on appeal. He omitted to seek reinstatement of the appeal as it was deemed to have been withdrawn.</w:t>
      </w:r>
    </w:p>
    <w:p w14:paraId="19B18AE2" w14:textId="3D251F0D" w:rsidR="0048244C" w:rsidRPr="00753C06" w:rsidRDefault="0048244C" w:rsidP="00753C06">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In the </w:t>
      </w:r>
      <w:r w:rsidR="00CA7B48">
        <w:rPr>
          <w:rFonts w:ascii="Arial" w:hAnsi="Arial" w:cs="Arial"/>
          <w:sz w:val="24"/>
          <w:szCs w:val="24"/>
        </w:rPr>
        <w:t>35</w:t>
      </w:r>
      <w:r>
        <w:rPr>
          <w:rFonts w:ascii="Arial" w:hAnsi="Arial" w:cs="Arial"/>
          <w:sz w:val="24"/>
          <w:szCs w:val="24"/>
        </w:rPr>
        <w:t xml:space="preserve"> page heads of argument appellant does not, except for saying the condonation application should be </w:t>
      </w:r>
      <w:r w:rsidR="00BA2FB6">
        <w:rPr>
          <w:rFonts w:ascii="Arial" w:hAnsi="Arial" w:cs="Arial"/>
          <w:sz w:val="24"/>
          <w:szCs w:val="24"/>
        </w:rPr>
        <w:t xml:space="preserve">condoned, address his non-compliance with rule 14. The heads of argument are directed at attacking the judgment of the court below or amplifying the </w:t>
      </w:r>
      <w:r w:rsidR="00CA7B48">
        <w:rPr>
          <w:rFonts w:ascii="Arial" w:hAnsi="Arial" w:cs="Arial"/>
          <w:sz w:val="24"/>
          <w:szCs w:val="24"/>
        </w:rPr>
        <w:t>13</w:t>
      </w:r>
      <w:r w:rsidR="00BA2FB6">
        <w:rPr>
          <w:rFonts w:ascii="Arial" w:hAnsi="Arial" w:cs="Arial"/>
          <w:sz w:val="24"/>
          <w:szCs w:val="24"/>
        </w:rPr>
        <w:t xml:space="preserve"> or </w:t>
      </w:r>
      <w:r w:rsidR="00CA7B48">
        <w:rPr>
          <w:rFonts w:ascii="Arial" w:hAnsi="Arial" w:cs="Arial"/>
          <w:sz w:val="24"/>
          <w:szCs w:val="24"/>
        </w:rPr>
        <w:t>16</w:t>
      </w:r>
      <w:r w:rsidR="00BA2FB6">
        <w:rPr>
          <w:rFonts w:ascii="Arial" w:hAnsi="Arial" w:cs="Arial"/>
          <w:sz w:val="24"/>
          <w:szCs w:val="24"/>
        </w:rPr>
        <w:t xml:space="preserve"> grounds of appeal he raised against the judgment of the court below. Appellant’s argument in para</w:t>
      </w:r>
      <w:r w:rsidR="00753C06">
        <w:rPr>
          <w:rFonts w:ascii="Arial" w:hAnsi="Arial" w:cs="Arial"/>
          <w:sz w:val="24"/>
          <w:szCs w:val="24"/>
        </w:rPr>
        <w:t>graphs</w:t>
      </w:r>
      <w:r w:rsidR="00BA2FB6">
        <w:rPr>
          <w:rFonts w:ascii="Arial" w:hAnsi="Arial" w:cs="Arial"/>
          <w:sz w:val="24"/>
          <w:szCs w:val="24"/>
        </w:rPr>
        <w:t xml:space="preserve"> 22 and 23 of his heads is that the court below abdicated its constitutional duty as is required by Article 80(2) of the Constitution of the Republic. He further contends that failure on the part of the court below to comply</w:t>
      </w:r>
      <w:r w:rsidR="00EA7093">
        <w:rPr>
          <w:rFonts w:ascii="Arial" w:hAnsi="Arial" w:cs="Arial"/>
          <w:sz w:val="24"/>
          <w:szCs w:val="24"/>
        </w:rPr>
        <w:t xml:space="preserve"> </w:t>
      </w:r>
      <w:r w:rsidR="00753C06" w:rsidRPr="00753C06">
        <w:rPr>
          <w:rFonts w:ascii="Arial" w:hAnsi="Arial" w:cs="Arial"/>
          <w:sz w:val="24"/>
          <w:szCs w:val="24"/>
        </w:rPr>
        <w:t>w</w:t>
      </w:r>
      <w:r w:rsidR="00BA2FB6" w:rsidRPr="00753C06">
        <w:rPr>
          <w:rFonts w:ascii="Arial" w:hAnsi="Arial" w:cs="Arial"/>
          <w:sz w:val="24"/>
          <w:szCs w:val="24"/>
        </w:rPr>
        <w:t>ith its constitutional obligation is not only a violation of the constitution</w:t>
      </w:r>
      <w:r w:rsidR="00CA7B48">
        <w:rPr>
          <w:rFonts w:ascii="Arial" w:hAnsi="Arial" w:cs="Arial"/>
          <w:sz w:val="24"/>
          <w:szCs w:val="24"/>
        </w:rPr>
        <w:t>,</w:t>
      </w:r>
      <w:r w:rsidR="00BA2FB6" w:rsidRPr="00753C06">
        <w:rPr>
          <w:rFonts w:ascii="Arial" w:hAnsi="Arial" w:cs="Arial"/>
          <w:sz w:val="24"/>
          <w:szCs w:val="24"/>
        </w:rPr>
        <w:t xml:space="preserve"> but also infringement on the appellant’s fundamental right of fair hearing as is provided by Article 12(1) of the Constitution. This attack is based on the fact that in the joint case management report</w:t>
      </w:r>
      <w:r w:rsidR="00CA7B48">
        <w:rPr>
          <w:rFonts w:ascii="Arial" w:hAnsi="Arial" w:cs="Arial"/>
          <w:sz w:val="24"/>
          <w:szCs w:val="24"/>
        </w:rPr>
        <w:t>,</w:t>
      </w:r>
      <w:r w:rsidR="00BA2FB6" w:rsidRPr="00753C06">
        <w:rPr>
          <w:rFonts w:ascii="Arial" w:hAnsi="Arial" w:cs="Arial"/>
          <w:sz w:val="24"/>
          <w:szCs w:val="24"/>
        </w:rPr>
        <w:t xml:space="preserve"> paragraph 6 thereof</w:t>
      </w:r>
      <w:r w:rsidR="00753C06">
        <w:rPr>
          <w:rFonts w:ascii="Arial" w:hAnsi="Arial" w:cs="Arial"/>
          <w:sz w:val="24"/>
          <w:szCs w:val="24"/>
        </w:rPr>
        <w:t>,</w:t>
      </w:r>
      <w:r w:rsidR="00BA2FB6" w:rsidRPr="00753C06">
        <w:rPr>
          <w:rFonts w:ascii="Arial" w:hAnsi="Arial" w:cs="Arial"/>
          <w:sz w:val="24"/>
          <w:szCs w:val="24"/>
        </w:rPr>
        <w:t xml:space="preserve"> it was agreed that the interpretation of reg 10(c) was a precedent condition before the ventilation of the review application and that since that arrangement was not altered by way of an order, it was assumed that the court would abide by that understanding. And further that when the court below considered the review application first, it was</w:t>
      </w:r>
      <w:r w:rsidR="00FC6915">
        <w:rPr>
          <w:rFonts w:ascii="Arial" w:hAnsi="Arial" w:cs="Arial"/>
          <w:sz w:val="24"/>
          <w:szCs w:val="24"/>
        </w:rPr>
        <w:t xml:space="preserve"> a</w:t>
      </w:r>
      <w:r w:rsidR="00BA2FB6" w:rsidRPr="00753C06">
        <w:rPr>
          <w:rFonts w:ascii="Arial" w:hAnsi="Arial" w:cs="Arial"/>
          <w:sz w:val="24"/>
          <w:szCs w:val="24"/>
        </w:rPr>
        <w:t xml:space="preserve"> misdirection and non-compliance with the pre</w:t>
      </w:r>
      <w:r w:rsidR="00CA7B48">
        <w:rPr>
          <w:rFonts w:ascii="Arial" w:hAnsi="Arial" w:cs="Arial"/>
          <w:sz w:val="24"/>
          <w:szCs w:val="24"/>
        </w:rPr>
        <w:t>-</w:t>
      </w:r>
      <w:r w:rsidR="00BA2FB6" w:rsidRPr="00753C06">
        <w:rPr>
          <w:rFonts w:ascii="Arial" w:hAnsi="Arial" w:cs="Arial"/>
          <w:sz w:val="24"/>
          <w:szCs w:val="24"/>
        </w:rPr>
        <w:t>agreed arrangement.</w:t>
      </w:r>
    </w:p>
    <w:p w14:paraId="3AA348AE" w14:textId="77777777" w:rsidR="00BA2FB6" w:rsidRDefault="00BA2FB6" w:rsidP="00BA2FB6">
      <w:pPr>
        <w:pStyle w:val="ListParagraph"/>
        <w:tabs>
          <w:tab w:val="left" w:pos="851"/>
        </w:tabs>
        <w:spacing w:after="0" w:line="480" w:lineRule="auto"/>
        <w:ind w:left="0"/>
        <w:jc w:val="both"/>
        <w:rPr>
          <w:rFonts w:ascii="Arial" w:hAnsi="Arial" w:cs="Arial"/>
          <w:sz w:val="24"/>
          <w:szCs w:val="24"/>
        </w:rPr>
      </w:pPr>
    </w:p>
    <w:p w14:paraId="570D7A49" w14:textId="0D0FF2B6" w:rsidR="00BA2FB6" w:rsidRDefault="00922DEE"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He further contends that the purpose of his application was primarily for the court to determine whether the interpretation o</w:t>
      </w:r>
      <w:r w:rsidR="00753C06">
        <w:rPr>
          <w:rFonts w:ascii="Arial" w:hAnsi="Arial" w:cs="Arial"/>
          <w:sz w:val="24"/>
          <w:szCs w:val="24"/>
        </w:rPr>
        <w:t>f</w:t>
      </w:r>
      <w:r>
        <w:rPr>
          <w:rFonts w:ascii="Arial" w:hAnsi="Arial" w:cs="Arial"/>
          <w:sz w:val="24"/>
          <w:szCs w:val="24"/>
        </w:rPr>
        <w:t xml:space="preserve"> reg 10(c) by the first respondent was correct, and if not, to declare the same unlawful, irrational and invalid</w:t>
      </w:r>
      <w:r w:rsidR="001C6657">
        <w:rPr>
          <w:rFonts w:ascii="Arial" w:hAnsi="Arial" w:cs="Arial"/>
          <w:sz w:val="24"/>
          <w:szCs w:val="24"/>
        </w:rPr>
        <w:t xml:space="preserve"> - </w:t>
      </w:r>
      <w:r>
        <w:rPr>
          <w:rFonts w:ascii="Arial" w:hAnsi="Arial" w:cs="Arial"/>
          <w:sz w:val="24"/>
          <w:szCs w:val="24"/>
        </w:rPr>
        <w:t xml:space="preserve">to have </w:t>
      </w:r>
      <w:r w:rsidR="001C6657">
        <w:rPr>
          <w:rFonts w:ascii="Arial" w:hAnsi="Arial" w:cs="Arial"/>
          <w:sz w:val="24"/>
          <w:szCs w:val="24"/>
        </w:rPr>
        <w:t xml:space="preserve">no </w:t>
      </w:r>
      <w:r>
        <w:rPr>
          <w:rFonts w:ascii="Arial" w:hAnsi="Arial" w:cs="Arial"/>
          <w:sz w:val="24"/>
          <w:szCs w:val="24"/>
        </w:rPr>
        <w:t>legal force and effect. Alternatively</w:t>
      </w:r>
      <w:r w:rsidR="001C6657">
        <w:rPr>
          <w:rFonts w:ascii="Arial" w:hAnsi="Arial" w:cs="Arial"/>
          <w:sz w:val="24"/>
          <w:szCs w:val="24"/>
        </w:rPr>
        <w:t>,</w:t>
      </w:r>
      <w:r>
        <w:rPr>
          <w:rFonts w:ascii="Arial" w:hAnsi="Arial" w:cs="Arial"/>
          <w:sz w:val="24"/>
          <w:szCs w:val="24"/>
        </w:rPr>
        <w:t xml:space="preserve"> so went the argument, if the first respondent’s interpretation was found to be correct, the court should review the process that led to the gazetting of the regulation and if found irregular and flawed, it should be set aside.</w:t>
      </w:r>
    </w:p>
    <w:p w14:paraId="15035F9F" w14:textId="77777777" w:rsidR="00EB7370" w:rsidRPr="00EB7370" w:rsidRDefault="00EB7370" w:rsidP="00EB7370">
      <w:pPr>
        <w:pStyle w:val="ListParagraph"/>
        <w:spacing w:after="0" w:line="480" w:lineRule="auto"/>
        <w:jc w:val="both"/>
        <w:rPr>
          <w:rFonts w:ascii="Arial" w:hAnsi="Arial" w:cs="Arial"/>
          <w:sz w:val="24"/>
          <w:szCs w:val="24"/>
        </w:rPr>
      </w:pPr>
    </w:p>
    <w:p w14:paraId="0F89ADEE" w14:textId="4FCC1BDB" w:rsidR="00EB7370" w:rsidRDefault="00EB7370"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respondent argued that appellant failed to comply with rule 14 of this court and therefore there was no appeal before</w:t>
      </w:r>
      <w:r w:rsidR="00753C06">
        <w:rPr>
          <w:rFonts w:ascii="Arial" w:hAnsi="Arial" w:cs="Arial"/>
          <w:sz w:val="24"/>
          <w:szCs w:val="24"/>
        </w:rPr>
        <w:t xml:space="preserve"> court</w:t>
      </w:r>
      <w:r>
        <w:rPr>
          <w:rFonts w:ascii="Arial" w:hAnsi="Arial" w:cs="Arial"/>
          <w:sz w:val="24"/>
          <w:szCs w:val="24"/>
        </w:rPr>
        <w:t xml:space="preserve"> and that the appeal should be struck from the roll. He refers to numerous similar cases of this court. Counsel for the first respondent points out that the factors, except for the PMDRC appellant alludes to as having contributed to the dispute are new issues raised on appeal, they were not raised in the court below. On the attack of the court below’s</w:t>
      </w:r>
      <w:r w:rsidR="001C6657">
        <w:rPr>
          <w:rFonts w:ascii="Arial" w:hAnsi="Arial" w:cs="Arial"/>
          <w:sz w:val="24"/>
          <w:szCs w:val="24"/>
        </w:rPr>
        <w:t xml:space="preserve"> judgment, </w:t>
      </w:r>
      <w:r>
        <w:rPr>
          <w:rFonts w:ascii="Arial" w:hAnsi="Arial" w:cs="Arial"/>
          <w:sz w:val="24"/>
          <w:szCs w:val="24"/>
        </w:rPr>
        <w:t>having considered the review and not the main purpose of the application, respondent argued</w:t>
      </w:r>
      <w:r w:rsidR="00753C06">
        <w:rPr>
          <w:rFonts w:ascii="Arial" w:hAnsi="Arial" w:cs="Arial"/>
          <w:sz w:val="24"/>
          <w:szCs w:val="24"/>
        </w:rPr>
        <w:t xml:space="preserve"> that</w:t>
      </w:r>
      <w:r>
        <w:rPr>
          <w:rFonts w:ascii="Arial" w:hAnsi="Arial" w:cs="Arial"/>
          <w:sz w:val="24"/>
          <w:szCs w:val="24"/>
        </w:rPr>
        <w:t xml:space="preserve"> the application was brought in terms of rule 76 of the court below which provides for review applications and that court was justified </w:t>
      </w:r>
      <w:r w:rsidR="00753C06">
        <w:rPr>
          <w:rFonts w:ascii="Arial" w:hAnsi="Arial" w:cs="Arial"/>
          <w:sz w:val="24"/>
          <w:szCs w:val="24"/>
        </w:rPr>
        <w:t xml:space="preserve">to decide on </w:t>
      </w:r>
      <w:r>
        <w:rPr>
          <w:rFonts w:ascii="Arial" w:hAnsi="Arial" w:cs="Arial"/>
          <w:sz w:val="24"/>
          <w:szCs w:val="24"/>
        </w:rPr>
        <w:t xml:space="preserve">the point </w:t>
      </w:r>
      <w:r w:rsidRPr="00EA7093">
        <w:rPr>
          <w:rFonts w:ascii="Arial" w:hAnsi="Arial" w:cs="Arial"/>
          <w:i/>
          <w:sz w:val="24"/>
          <w:szCs w:val="24"/>
        </w:rPr>
        <w:t>in</w:t>
      </w:r>
      <w:r w:rsidRPr="00EB7370">
        <w:rPr>
          <w:rFonts w:ascii="Arial" w:hAnsi="Arial" w:cs="Arial"/>
          <w:i/>
          <w:sz w:val="24"/>
          <w:szCs w:val="24"/>
        </w:rPr>
        <w:t xml:space="preserve"> limine</w:t>
      </w:r>
      <w:r>
        <w:rPr>
          <w:rFonts w:ascii="Arial" w:hAnsi="Arial" w:cs="Arial"/>
          <w:sz w:val="24"/>
          <w:szCs w:val="24"/>
        </w:rPr>
        <w:t xml:space="preserve"> raised by the respondents. On the issues of the prerogative powers of the Minister, referral of the draft regulations to the PMDRC, recommendations by the first respondent and legitimate expectations of the appellant, first respondent</w:t>
      </w:r>
      <w:r w:rsidR="001A2FA4">
        <w:rPr>
          <w:rFonts w:ascii="Arial" w:hAnsi="Arial" w:cs="Arial"/>
          <w:sz w:val="24"/>
          <w:szCs w:val="24"/>
        </w:rPr>
        <w:t xml:space="preserve"> argued </w:t>
      </w:r>
      <w:r w:rsidR="001C6657">
        <w:rPr>
          <w:rFonts w:ascii="Arial" w:hAnsi="Arial" w:cs="Arial"/>
          <w:sz w:val="24"/>
          <w:szCs w:val="24"/>
        </w:rPr>
        <w:t>that t</w:t>
      </w:r>
      <w:r w:rsidR="001A2FA4">
        <w:rPr>
          <w:rFonts w:ascii="Arial" w:hAnsi="Arial" w:cs="Arial"/>
          <w:sz w:val="24"/>
          <w:szCs w:val="24"/>
        </w:rPr>
        <w:t xml:space="preserve">he final decision in the promulgation of the regulations </w:t>
      </w:r>
      <w:r w:rsidR="001C6657">
        <w:rPr>
          <w:rFonts w:ascii="Arial" w:hAnsi="Arial" w:cs="Arial"/>
          <w:sz w:val="24"/>
          <w:szCs w:val="24"/>
        </w:rPr>
        <w:t>ended</w:t>
      </w:r>
      <w:r w:rsidR="001A2FA4">
        <w:rPr>
          <w:rFonts w:ascii="Arial" w:hAnsi="Arial" w:cs="Arial"/>
          <w:sz w:val="24"/>
          <w:szCs w:val="24"/>
        </w:rPr>
        <w:t xml:space="preserve"> with the Minister. He could not have rubberstamped the recommendations of the first respondent, or the PMDRC usurping his powers, the referral to the PMDRC is an internal arrangement falling well within regular practice, a tool to assist in effective implementation of legislation by the Minister. Appellant was consulted and the final product of the draft regulations was that of the Minister and not the first respondent and therefore the subjective expectation</w:t>
      </w:r>
      <w:r w:rsidR="00BA66EF">
        <w:rPr>
          <w:rFonts w:ascii="Arial" w:hAnsi="Arial" w:cs="Arial"/>
          <w:sz w:val="24"/>
          <w:szCs w:val="24"/>
        </w:rPr>
        <w:t>s</w:t>
      </w:r>
      <w:r w:rsidR="00BA66EF">
        <w:rPr>
          <w:rStyle w:val="FootnoteReference"/>
          <w:rFonts w:ascii="Arial" w:hAnsi="Arial" w:cs="Arial"/>
          <w:sz w:val="24"/>
          <w:szCs w:val="24"/>
        </w:rPr>
        <w:footnoteReference w:id="10"/>
      </w:r>
      <w:r w:rsidR="001A2FA4">
        <w:rPr>
          <w:rFonts w:ascii="Arial" w:hAnsi="Arial" w:cs="Arial"/>
          <w:sz w:val="24"/>
          <w:szCs w:val="24"/>
        </w:rPr>
        <w:t xml:space="preserve"> of the appellant do not give rise to legitimate expectations.</w:t>
      </w:r>
    </w:p>
    <w:p w14:paraId="3A1D800C" w14:textId="77777777" w:rsidR="00B0224D" w:rsidRDefault="00B0224D" w:rsidP="00B0224D">
      <w:pPr>
        <w:pStyle w:val="ListParagraph"/>
        <w:tabs>
          <w:tab w:val="left" w:pos="851"/>
        </w:tabs>
        <w:spacing w:after="0" w:line="480" w:lineRule="auto"/>
        <w:ind w:left="0"/>
        <w:jc w:val="both"/>
        <w:rPr>
          <w:rFonts w:ascii="Arial" w:hAnsi="Arial" w:cs="Arial"/>
          <w:sz w:val="24"/>
          <w:szCs w:val="24"/>
        </w:rPr>
      </w:pPr>
    </w:p>
    <w:p w14:paraId="394A9BE0" w14:textId="05D0765A" w:rsidR="001A2FA4" w:rsidRDefault="001A2FA4"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On the interpretation of reg 10(</w:t>
      </w:r>
      <w:r w:rsidRPr="00EA7093">
        <w:rPr>
          <w:rFonts w:ascii="Arial" w:hAnsi="Arial" w:cs="Arial"/>
          <w:sz w:val="24"/>
          <w:szCs w:val="24"/>
        </w:rPr>
        <w:t>c)</w:t>
      </w:r>
      <w:r>
        <w:rPr>
          <w:rFonts w:ascii="Arial" w:hAnsi="Arial" w:cs="Arial"/>
          <w:sz w:val="24"/>
          <w:szCs w:val="24"/>
        </w:rPr>
        <w:t xml:space="preserve"> in determining the intention of the legislature,</w:t>
      </w:r>
      <w:r w:rsidR="00753C06">
        <w:rPr>
          <w:rFonts w:ascii="Arial" w:hAnsi="Arial" w:cs="Arial"/>
          <w:sz w:val="24"/>
          <w:szCs w:val="24"/>
        </w:rPr>
        <w:t xml:space="preserve"> first respondent argued that </w:t>
      </w:r>
      <w:r>
        <w:rPr>
          <w:rFonts w:ascii="Arial" w:hAnsi="Arial" w:cs="Arial"/>
          <w:sz w:val="24"/>
          <w:szCs w:val="24"/>
        </w:rPr>
        <w:t xml:space="preserve">the first rule of interpretation of </w:t>
      </w:r>
      <w:r w:rsidR="00BA66EF">
        <w:rPr>
          <w:rFonts w:ascii="Arial" w:hAnsi="Arial" w:cs="Arial"/>
          <w:sz w:val="24"/>
          <w:szCs w:val="24"/>
        </w:rPr>
        <w:t>statutes is the literal rule, ie the language of the text</w:t>
      </w:r>
      <w:r w:rsidR="00753C06">
        <w:rPr>
          <w:rFonts w:ascii="Arial" w:hAnsi="Arial" w:cs="Arial"/>
          <w:sz w:val="24"/>
          <w:szCs w:val="24"/>
        </w:rPr>
        <w:t xml:space="preserve"> and that i</w:t>
      </w:r>
      <w:r w:rsidR="00BA66EF">
        <w:rPr>
          <w:rFonts w:ascii="Arial" w:hAnsi="Arial" w:cs="Arial"/>
          <w:sz w:val="24"/>
          <w:szCs w:val="24"/>
        </w:rPr>
        <w:t>n applying that rule to the wording of reg 10(</w:t>
      </w:r>
      <w:r w:rsidR="00BA66EF" w:rsidRPr="00EA7093">
        <w:rPr>
          <w:rFonts w:ascii="Arial" w:hAnsi="Arial" w:cs="Arial"/>
          <w:i/>
          <w:sz w:val="24"/>
          <w:szCs w:val="24"/>
        </w:rPr>
        <w:t>c</w:t>
      </w:r>
      <w:r w:rsidR="00BA66EF">
        <w:rPr>
          <w:rFonts w:ascii="Arial" w:hAnsi="Arial" w:cs="Arial"/>
          <w:sz w:val="24"/>
          <w:szCs w:val="24"/>
        </w:rPr>
        <w:t>) there is no ambiguity in the regulation and the wording of the regulation means what it says and requires no other constructions. Counsel went on to say the distinction between the draft 10(</w:t>
      </w:r>
      <w:r w:rsidR="00BA66EF" w:rsidRPr="00EA7093">
        <w:rPr>
          <w:rFonts w:ascii="Arial" w:hAnsi="Arial" w:cs="Arial"/>
          <w:i/>
          <w:sz w:val="24"/>
          <w:szCs w:val="24"/>
        </w:rPr>
        <w:t>c</w:t>
      </w:r>
      <w:r w:rsidR="00BA66EF">
        <w:rPr>
          <w:rFonts w:ascii="Arial" w:hAnsi="Arial" w:cs="Arial"/>
          <w:sz w:val="24"/>
          <w:szCs w:val="24"/>
        </w:rPr>
        <w:t>) and the promulgated one is so clear and appellant could not resolve that the</w:t>
      </w:r>
      <w:r w:rsidR="00753C06">
        <w:rPr>
          <w:rFonts w:ascii="Arial" w:hAnsi="Arial" w:cs="Arial"/>
          <w:sz w:val="24"/>
          <w:szCs w:val="24"/>
        </w:rPr>
        <w:t>y</w:t>
      </w:r>
      <w:r w:rsidR="00BA66EF">
        <w:rPr>
          <w:rFonts w:ascii="Arial" w:hAnsi="Arial" w:cs="Arial"/>
          <w:sz w:val="24"/>
          <w:szCs w:val="24"/>
        </w:rPr>
        <w:t xml:space="preserve"> bear the same meaning. On reg 2(a)</w:t>
      </w:r>
      <w:r w:rsidR="001C6657">
        <w:rPr>
          <w:rFonts w:ascii="Arial" w:hAnsi="Arial" w:cs="Arial"/>
          <w:sz w:val="24"/>
          <w:szCs w:val="24"/>
        </w:rPr>
        <w:t>,</w:t>
      </w:r>
      <w:r w:rsidR="00BA66EF">
        <w:rPr>
          <w:rFonts w:ascii="Arial" w:hAnsi="Arial" w:cs="Arial"/>
          <w:sz w:val="24"/>
          <w:szCs w:val="24"/>
        </w:rPr>
        <w:t xml:space="preserve"> counsel argued that it provides for or relates to the scope of practice of a clinical biochemist while reg 10(</w:t>
      </w:r>
      <w:r w:rsidR="00BA66EF" w:rsidRPr="00CF5680">
        <w:rPr>
          <w:rFonts w:ascii="Arial" w:hAnsi="Arial" w:cs="Arial"/>
          <w:i/>
          <w:sz w:val="24"/>
          <w:szCs w:val="24"/>
        </w:rPr>
        <w:t>c</w:t>
      </w:r>
      <w:r w:rsidR="00BA66EF">
        <w:rPr>
          <w:rFonts w:ascii="Arial" w:hAnsi="Arial" w:cs="Arial"/>
          <w:sz w:val="24"/>
          <w:szCs w:val="24"/>
        </w:rPr>
        <w:t>) relates to conditions applicable to the practicing of a specialty.</w:t>
      </w:r>
    </w:p>
    <w:p w14:paraId="4C10E29B" w14:textId="77777777" w:rsidR="00BA66EF" w:rsidRPr="00BA66EF" w:rsidRDefault="00BA66EF" w:rsidP="00BA66EF">
      <w:pPr>
        <w:pStyle w:val="ListParagraph"/>
        <w:spacing w:after="0" w:line="480" w:lineRule="auto"/>
        <w:jc w:val="both"/>
        <w:rPr>
          <w:rFonts w:ascii="Arial" w:hAnsi="Arial" w:cs="Arial"/>
          <w:sz w:val="24"/>
          <w:szCs w:val="24"/>
        </w:rPr>
      </w:pPr>
    </w:p>
    <w:p w14:paraId="7134BDA1" w14:textId="103D3429" w:rsidR="00BA66EF" w:rsidRDefault="00BA66EF"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principles governing condonation applications have been stated and restated and they require no repetition here. In short, the application for condonation must be lodged without delay and must provide a full, detailed and accurate explanation for it. The factors relevant to determine whether an application for condonation be granted, include – the extent of the non-compliance with the rule in question, the reasonableness of the explanation offered for the non-compliance, the </w:t>
      </w:r>
      <w:r w:rsidRPr="001C6657">
        <w:rPr>
          <w:rFonts w:ascii="Arial" w:hAnsi="Arial" w:cs="Arial"/>
          <w:sz w:val="24"/>
          <w:szCs w:val="24"/>
        </w:rPr>
        <w:t>bona fides</w:t>
      </w:r>
      <w:r>
        <w:rPr>
          <w:rFonts w:ascii="Arial" w:hAnsi="Arial" w:cs="Arial"/>
          <w:sz w:val="24"/>
          <w:szCs w:val="24"/>
        </w:rPr>
        <w:t xml:space="preserve"> of the application, the prospects of success on the merits of the case, the importance of the case, the respondent’s (and where applicable, the public’s) interest in the finality of the judgment, the prejudice suffered by the other litigants as a result of the non-compliance, the convenience of the court and the avoidance of unnecessary delay in the administration of justice.</w:t>
      </w:r>
    </w:p>
    <w:p w14:paraId="45F13D08" w14:textId="77777777" w:rsidR="009B52F5" w:rsidRPr="009B52F5" w:rsidRDefault="009B52F5" w:rsidP="009B52F5">
      <w:pPr>
        <w:pStyle w:val="ListParagraph"/>
        <w:spacing w:after="0" w:line="480" w:lineRule="auto"/>
        <w:jc w:val="both"/>
        <w:rPr>
          <w:rFonts w:ascii="Arial" w:hAnsi="Arial" w:cs="Arial"/>
          <w:sz w:val="24"/>
          <w:szCs w:val="24"/>
        </w:rPr>
      </w:pPr>
    </w:p>
    <w:p w14:paraId="48CEF09B" w14:textId="616E77AD" w:rsidR="009B52F5" w:rsidRDefault="009B52F5"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These factors</w:t>
      </w:r>
      <w:r w:rsidR="00DD18DE">
        <w:rPr>
          <w:rFonts w:ascii="Arial" w:hAnsi="Arial" w:cs="Arial"/>
          <w:sz w:val="24"/>
          <w:szCs w:val="24"/>
        </w:rPr>
        <w:t xml:space="preserve"> are not individually determinative, but must be weighed, one against the other. Nor will all the factors necessarily be considered in each case. There are times, where this court will not consider the prospects of success in determining the application</w:t>
      </w:r>
      <w:r w:rsidR="001C6657">
        <w:rPr>
          <w:rFonts w:ascii="Arial" w:hAnsi="Arial" w:cs="Arial"/>
          <w:sz w:val="24"/>
          <w:szCs w:val="24"/>
        </w:rPr>
        <w:t>,</w:t>
      </w:r>
      <w:r w:rsidR="00DD18DE">
        <w:rPr>
          <w:rFonts w:ascii="Arial" w:hAnsi="Arial" w:cs="Arial"/>
          <w:sz w:val="24"/>
          <w:szCs w:val="24"/>
        </w:rPr>
        <w:t xml:space="preserve"> because the non-compliance with the rules has been glaring, flagrant and inexplicable</w:t>
      </w:r>
      <w:r w:rsidR="001C6657">
        <w:rPr>
          <w:rFonts w:ascii="Arial" w:hAnsi="Arial" w:cs="Arial"/>
          <w:sz w:val="24"/>
          <w:szCs w:val="24"/>
        </w:rPr>
        <w:t>.</w:t>
      </w:r>
      <w:r w:rsidR="00DD18DE">
        <w:rPr>
          <w:rStyle w:val="FootnoteReference"/>
          <w:rFonts w:ascii="Arial" w:hAnsi="Arial" w:cs="Arial"/>
          <w:sz w:val="24"/>
          <w:szCs w:val="24"/>
        </w:rPr>
        <w:footnoteReference w:id="11"/>
      </w:r>
    </w:p>
    <w:p w14:paraId="033411C1" w14:textId="77777777" w:rsidR="003D50AA" w:rsidRPr="003D50AA" w:rsidRDefault="003D50AA" w:rsidP="003D50AA">
      <w:pPr>
        <w:pStyle w:val="ListParagraph"/>
        <w:spacing w:after="0" w:line="480" w:lineRule="auto"/>
        <w:jc w:val="both"/>
        <w:rPr>
          <w:rFonts w:ascii="Arial" w:hAnsi="Arial" w:cs="Arial"/>
          <w:sz w:val="24"/>
          <w:szCs w:val="24"/>
        </w:rPr>
      </w:pPr>
    </w:p>
    <w:p w14:paraId="53B288B9" w14:textId="068D58D7" w:rsidR="003D50AA" w:rsidRDefault="003D50AA"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this case there is no explanation offered for the non-compliance with rule 14(2) and (3), so is rule 7(1). Judgment of the court below was delivered on 3 May 2018 and the notice of appeal should have been filed within 21 days from the date of judgment</w:t>
      </w:r>
      <w:r w:rsidR="001C6657">
        <w:rPr>
          <w:rFonts w:ascii="Arial" w:hAnsi="Arial" w:cs="Arial"/>
          <w:sz w:val="24"/>
          <w:szCs w:val="24"/>
        </w:rPr>
        <w:t>,</w:t>
      </w:r>
      <w:r>
        <w:rPr>
          <w:rFonts w:ascii="Arial" w:hAnsi="Arial" w:cs="Arial"/>
          <w:sz w:val="24"/>
          <w:szCs w:val="24"/>
        </w:rPr>
        <w:t xml:space="preserve"> but the notice of appeal was only filed on 6 June 2018. Compliance with rule 14 should have been at the time the record was filed with the registrar of this court, which is 2 August 2018</w:t>
      </w:r>
      <w:r w:rsidR="001C6657">
        <w:rPr>
          <w:rFonts w:ascii="Arial" w:hAnsi="Arial" w:cs="Arial"/>
          <w:sz w:val="24"/>
          <w:szCs w:val="24"/>
        </w:rPr>
        <w:t>,</w:t>
      </w:r>
      <w:r>
        <w:rPr>
          <w:rFonts w:ascii="Arial" w:hAnsi="Arial" w:cs="Arial"/>
          <w:sz w:val="24"/>
          <w:szCs w:val="24"/>
        </w:rPr>
        <w:t xml:space="preserve"> but a deposit for security was only </w:t>
      </w:r>
      <w:r w:rsidR="001C6657">
        <w:rPr>
          <w:rFonts w:ascii="Arial" w:hAnsi="Arial" w:cs="Arial"/>
          <w:sz w:val="24"/>
          <w:szCs w:val="24"/>
        </w:rPr>
        <w:t xml:space="preserve">made </w:t>
      </w:r>
      <w:r>
        <w:rPr>
          <w:rFonts w:ascii="Arial" w:hAnsi="Arial" w:cs="Arial"/>
          <w:sz w:val="24"/>
          <w:szCs w:val="24"/>
        </w:rPr>
        <w:t>on 15 August 2019 which is over 12 months from 2 August 2018. This matter should have been struck from the roll in the third term of this court in 2018 or at the latest in the first term of 2019. But it survived three terms before security was deposited in August 2019.</w:t>
      </w:r>
    </w:p>
    <w:p w14:paraId="27145615" w14:textId="77777777" w:rsidR="006F18E3" w:rsidRDefault="006F18E3" w:rsidP="006F18E3">
      <w:pPr>
        <w:pStyle w:val="ListParagraph"/>
        <w:tabs>
          <w:tab w:val="left" w:pos="851"/>
        </w:tabs>
        <w:spacing w:after="0" w:line="480" w:lineRule="auto"/>
        <w:ind w:left="0"/>
        <w:jc w:val="both"/>
        <w:rPr>
          <w:rFonts w:ascii="Arial" w:hAnsi="Arial" w:cs="Arial"/>
          <w:sz w:val="24"/>
          <w:szCs w:val="24"/>
        </w:rPr>
      </w:pPr>
    </w:p>
    <w:p w14:paraId="1E23D393" w14:textId="78A6C44A" w:rsidR="003D50AA" w:rsidRDefault="003D50AA"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No condonation application was filed at the time; the application was filed 6 months later, on 20 February 2020. The explanation for the non-compliance is that appellant had sought a waiver for security from the first respondent whose members’ term of office had expired </w:t>
      </w:r>
      <w:r w:rsidR="006C4B38">
        <w:rPr>
          <w:rFonts w:ascii="Arial" w:hAnsi="Arial" w:cs="Arial"/>
          <w:sz w:val="24"/>
          <w:szCs w:val="24"/>
        </w:rPr>
        <w:t xml:space="preserve">on </w:t>
      </w:r>
      <w:r>
        <w:rPr>
          <w:rFonts w:ascii="Arial" w:hAnsi="Arial" w:cs="Arial"/>
          <w:sz w:val="24"/>
          <w:szCs w:val="24"/>
        </w:rPr>
        <w:t>31 March 2018 and his request could not be attended to and he attaches a letter from the registrar of the first respondent dated 25 June 2018. No mention is made when the first respondent was constituted or when the amount of security was agreed upon. Appellant further states that when he could not get assistance from the respondent he applied to the court below to be relieved from the obligations of rule 14. He says the request was not granted</w:t>
      </w:r>
      <w:r w:rsidR="000B35E2">
        <w:rPr>
          <w:rFonts w:ascii="Arial" w:hAnsi="Arial" w:cs="Arial"/>
          <w:sz w:val="24"/>
          <w:szCs w:val="24"/>
        </w:rPr>
        <w:t xml:space="preserve"> on the basis that invoking rule 14(2)(</w:t>
      </w:r>
      <w:r w:rsidR="000B35E2" w:rsidRPr="001C6657">
        <w:rPr>
          <w:rFonts w:ascii="Arial" w:hAnsi="Arial" w:cs="Arial"/>
          <w:i/>
          <w:sz w:val="24"/>
          <w:szCs w:val="24"/>
        </w:rPr>
        <w:t>a</w:t>
      </w:r>
      <w:r w:rsidR="000B35E2">
        <w:rPr>
          <w:rFonts w:ascii="Arial" w:hAnsi="Arial" w:cs="Arial"/>
          <w:sz w:val="24"/>
          <w:szCs w:val="24"/>
        </w:rPr>
        <w:t>) is a prerequisite. What follows in paragraph 5 does not make sense to me. He says he disagreed with the interpretation of the court below in paragraph 4 of its judgment and sought leave to appeal, but that simultaneously he filled an application for condonation for non-compliance with rule 14 while he was awaiting the determination of the matter (I suppose the appeal against the refusal to be relieved from the obligation under 14(2)(</w:t>
      </w:r>
      <w:r w:rsidR="000B35E2" w:rsidRPr="001C6657">
        <w:rPr>
          <w:rFonts w:ascii="Arial" w:hAnsi="Arial" w:cs="Arial"/>
          <w:i/>
          <w:sz w:val="24"/>
          <w:szCs w:val="24"/>
        </w:rPr>
        <w:t>b</w:t>
      </w:r>
      <w:r w:rsidR="000B35E2">
        <w:rPr>
          <w:rFonts w:ascii="Arial" w:hAnsi="Arial" w:cs="Arial"/>
          <w:sz w:val="24"/>
          <w:szCs w:val="24"/>
        </w:rPr>
        <w:t>)).</w:t>
      </w:r>
    </w:p>
    <w:p w14:paraId="7BD77E3A" w14:textId="77777777" w:rsidR="000B35E2" w:rsidRDefault="000B35E2" w:rsidP="000B35E2">
      <w:pPr>
        <w:pStyle w:val="ListParagraph"/>
        <w:tabs>
          <w:tab w:val="left" w:pos="851"/>
        </w:tabs>
        <w:spacing w:after="0" w:line="480" w:lineRule="auto"/>
        <w:ind w:left="0"/>
        <w:jc w:val="both"/>
        <w:rPr>
          <w:rFonts w:ascii="Arial" w:hAnsi="Arial" w:cs="Arial"/>
          <w:sz w:val="24"/>
          <w:szCs w:val="24"/>
        </w:rPr>
      </w:pPr>
    </w:p>
    <w:p w14:paraId="3D05A7B1" w14:textId="26749226" w:rsidR="000B35E2" w:rsidRDefault="000B35E2"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While his court battle was going on</w:t>
      </w:r>
      <w:r w:rsidR="001C6657">
        <w:rPr>
          <w:rFonts w:ascii="Arial" w:hAnsi="Arial" w:cs="Arial"/>
          <w:sz w:val="24"/>
          <w:szCs w:val="24"/>
        </w:rPr>
        <w:t>,</w:t>
      </w:r>
      <w:r>
        <w:rPr>
          <w:rFonts w:ascii="Arial" w:hAnsi="Arial" w:cs="Arial"/>
          <w:sz w:val="24"/>
          <w:szCs w:val="24"/>
        </w:rPr>
        <w:t xml:space="preserve"> the first respondent was properly constituted and the security discussions commenced and fixed by </w:t>
      </w:r>
      <w:r w:rsidR="00B453D9">
        <w:rPr>
          <w:rFonts w:ascii="Arial" w:hAnsi="Arial" w:cs="Arial"/>
          <w:sz w:val="24"/>
          <w:szCs w:val="24"/>
        </w:rPr>
        <w:t>the registrar at the amount deposited.</w:t>
      </w:r>
    </w:p>
    <w:p w14:paraId="0BD6DAB5" w14:textId="77777777" w:rsidR="00B453D9" w:rsidRPr="00B453D9" w:rsidRDefault="00B453D9" w:rsidP="00B453D9">
      <w:pPr>
        <w:pStyle w:val="ListParagraph"/>
        <w:spacing w:after="0" w:line="480" w:lineRule="auto"/>
        <w:jc w:val="both"/>
        <w:rPr>
          <w:rFonts w:ascii="Arial" w:hAnsi="Arial" w:cs="Arial"/>
          <w:sz w:val="24"/>
          <w:szCs w:val="24"/>
        </w:rPr>
      </w:pPr>
    </w:p>
    <w:p w14:paraId="69F96343" w14:textId="3D9DD3CF" w:rsidR="00B453D9" w:rsidRDefault="00B453D9"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He states that he exhausted legal avenues at his disposal under the rules to prosecute his appeal, that the appeal is not vexatious and has good prospects of success, and that he has made out a case and seeks condonation for non-compliance with rule 14.</w:t>
      </w:r>
    </w:p>
    <w:p w14:paraId="5AE2E03F" w14:textId="77777777" w:rsidR="006F18E3" w:rsidRPr="006F18E3" w:rsidRDefault="006F18E3" w:rsidP="006F18E3">
      <w:pPr>
        <w:pStyle w:val="ListParagraph"/>
        <w:spacing w:after="0" w:line="480" w:lineRule="auto"/>
        <w:jc w:val="both"/>
        <w:rPr>
          <w:rFonts w:ascii="Arial" w:hAnsi="Arial" w:cs="Arial"/>
          <w:sz w:val="24"/>
          <w:szCs w:val="24"/>
        </w:rPr>
      </w:pPr>
    </w:p>
    <w:p w14:paraId="614560C2" w14:textId="3B4F7227" w:rsidR="00B453D9" w:rsidRDefault="00B453D9"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As I have already stated</w:t>
      </w:r>
      <w:r w:rsidR="006C4B38">
        <w:rPr>
          <w:rFonts w:ascii="Arial" w:hAnsi="Arial" w:cs="Arial"/>
          <w:sz w:val="24"/>
          <w:szCs w:val="24"/>
        </w:rPr>
        <w:t>,</w:t>
      </w:r>
      <w:r>
        <w:rPr>
          <w:rFonts w:ascii="Arial" w:hAnsi="Arial" w:cs="Arial"/>
          <w:sz w:val="24"/>
          <w:szCs w:val="24"/>
        </w:rPr>
        <w:t xml:space="preserve"> none of the efforts made by appellant come close to compliance with rule 14. Rule 14(2) is very clear; the good and sufficient security for the first respondent’s costs should have been entered into before the record was filed. The efforts undertaken after the record was filed or security satisfied after a year do not meet the dictates of rule 14 and do not amount to an explanation let alone reasonable explanation. The efforts are side issues and do not make an explanation. At the time the application was launched, appellant</w:t>
      </w:r>
      <w:r w:rsidR="009A3EEA">
        <w:rPr>
          <w:rFonts w:ascii="Arial" w:hAnsi="Arial" w:cs="Arial"/>
          <w:sz w:val="24"/>
          <w:szCs w:val="24"/>
        </w:rPr>
        <w:t xml:space="preserve"> was gainfully employed at the </w:t>
      </w:r>
      <w:r w:rsidR="006C4B38">
        <w:rPr>
          <w:rFonts w:ascii="Arial" w:hAnsi="Arial" w:cs="Arial"/>
          <w:sz w:val="24"/>
          <w:szCs w:val="24"/>
        </w:rPr>
        <w:t>S</w:t>
      </w:r>
      <w:r w:rsidR="009A3EEA">
        <w:rPr>
          <w:rFonts w:ascii="Arial" w:hAnsi="Arial" w:cs="Arial"/>
          <w:sz w:val="24"/>
          <w:szCs w:val="24"/>
        </w:rPr>
        <w:t xml:space="preserve">chool of </w:t>
      </w:r>
      <w:r w:rsidR="006C4B38">
        <w:rPr>
          <w:rFonts w:ascii="Arial" w:hAnsi="Arial" w:cs="Arial"/>
          <w:sz w:val="24"/>
          <w:szCs w:val="24"/>
        </w:rPr>
        <w:t>M</w:t>
      </w:r>
      <w:r w:rsidR="009A3EEA">
        <w:rPr>
          <w:rFonts w:ascii="Arial" w:hAnsi="Arial" w:cs="Arial"/>
          <w:sz w:val="24"/>
          <w:szCs w:val="24"/>
        </w:rPr>
        <w:t xml:space="preserve">edicine as the head of pathology and perhaps was still running a side practice as he is a registered </w:t>
      </w:r>
      <w:r w:rsidR="006B2ADE">
        <w:rPr>
          <w:rFonts w:ascii="Arial" w:hAnsi="Arial" w:cs="Arial"/>
          <w:sz w:val="24"/>
          <w:szCs w:val="24"/>
        </w:rPr>
        <w:t>s</w:t>
      </w:r>
      <w:r w:rsidR="009A3EEA">
        <w:rPr>
          <w:rFonts w:ascii="Arial" w:hAnsi="Arial" w:cs="Arial"/>
          <w:sz w:val="24"/>
          <w:szCs w:val="24"/>
        </w:rPr>
        <w:t xml:space="preserve">pecialist </w:t>
      </w:r>
      <w:r w:rsidR="006B2ADE">
        <w:rPr>
          <w:rFonts w:ascii="Arial" w:hAnsi="Arial" w:cs="Arial"/>
          <w:sz w:val="24"/>
          <w:szCs w:val="24"/>
        </w:rPr>
        <w:t>c</w:t>
      </w:r>
      <w:r w:rsidR="009A3EEA">
        <w:rPr>
          <w:rFonts w:ascii="Arial" w:hAnsi="Arial" w:cs="Arial"/>
          <w:sz w:val="24"/>
          <w:szCs w:val="24"/>
        </w:rPr>
        <w:t xml:space="preserve">linical </w:t>
      </w:r>
      <w:r w:rsidR="006B2ADE">
        <w:rPr>
          <w:rFonts w:ascii="Arial" w:hAnsi="Arial" w:cs="Arial"/>
          <w:sz w:val="24"/>
          <w:szCs w:val="24"/>
        </w:rPr>
        <w:t>b</w:t>
      </w:r>
      <w:r w:rsidR="009A3EEA">
        <w:rPr>
          <w:rFonts w:ascii="Arial" w:hAnsi="Arial" w:cs="Arial"/>
          <w:sz w:val="24"/>
          <w:szCs w:val="24"/>
        </w:rPr>
        <w:t>iochemist. Notwithstanding the removal of the word ‘directly’ from reg 10(</w:t>
      </w:r>
      <w:r w:rsidR="009A3EEA" w:rsidRPr="006B2ADE">
        <w:rPr>
          <w:rFonts w:ascii="Arial" w:hAnsi="Arial" w:cs="Arial"/>
          <w:i/>
          <w:sz w:val="24"/>
          <w:szCs w:val="24"/>
        </w:rPr>
        <w:t>c</w:t>
      </w:r>
      <w:r w:rsidR="009A3EEA">
        <w:rPr>
          <w:rFonts w:ascii="Arial" w:hAnsi="Arial" w:cs="Arial"/>
          <w:sz w:val="24"/>
          <w:szCs w:val="24"/>
        </w:rPr>
        <w:t>)</w:t>
      </w:r>
      <w:r w:rsidR="009D2616">
        <w:rPr>
          <w:rFonts w:ascii="Arial" w:hAnsi="Arial" w:cs="Arial"/>
          <w:sz w:val="24"/>
          <w:szCs w:val="24"/>
        </w:rPr>
        <w:t>,</w:t>
      </w:r>
      <w:r w:rsidR="009A3EEA">
        <w:rPr>
          <w:rFonts w:ascii="Arial" w:hAnsi="Arial" w:cs="Arial"/>
          <w:sz w:val="24"/>
          <w:szCs w:val="24"/>
        </w:rPr>
        <w:t xml:space="preserve"> he could practice on referrals required in reg 10(</w:t>
      </w:r>
      <w:r w:rsidR="009A3EEA" w:rsidRPr="006B2ADE">
        <w:rPr>
          <w:rFonts w:ascii="Arial" w:hAnsi="Arial" w:cs="Arial"/>
          <w:i/>
          <w:sz w:val="24"/>
          <w:szCs w:val="24"/>
        </w:rPr>
        <w:t>c</w:t>
      </w:r>
      <w:r w:rsidR="009A3EEA">
        <w:rPr>
          <w:rFonts w:ascii="Arial" w:hAnsi="Arial" w:cs="Arial"/>
          <w:sz w:val="24"/>
          <w:szCs w:val="24"/>
        </w:rPr>
        <w:t>). There is just no explanation why he could not comply with rule 14. Worse still for the appellant</w:t>
      </w:r>
      <w:r w:rsidR="009D2616">
        <w:rPr>
          <w:rFonts w:ascii="Arial" w:hAnsi="Arial" w:cs="Arial"/>
          <w:sz w:val="24"/>
          <w:szCs w:val="24"/>
        </w:rPr>
        <w:t>,</w:t>
      </w:r>
      <w:r w:rsidR="009A3EEA">
        <w:rPr>
          <w:rFonts w:ascii="Arial" w:hAnsi="Arial" w:cs="Arial"/>
          <w:sz w:val="24"/>
          <w:szCs w:val="24"/>
        </w:rPr>
        <w:t xml:space="preserve"> there is no condonation</w:t>
      </w:r>
      <w:r w:rsidR="00FC6915">
        <w:rPr>
          <w:rFonts w:ascii="Arial" w:hAnsi="Arial" w:cs="Arial"/>
          <w:sz w:val="24"/>
          <w:szCs w:val="24"/>
        </w:rPr>
        <w:t xml:space="preserve"> application</w:t>
      </w:r>
      <w:r w:rsidR="009A3EEA">
        <w:rPr>
          <w:rFonts w:ascii="Arial" w:hAnsi="Arial" w:cs="Arial"/>
          <w:sz w:val="24"/>
          <w:szCs w:val="24"/>
        </w:rPr>
        <w:t xml:space="preserve"> for non-compliance with rule 7(1). Even more worse appellant failed to apply to resurrect the appeal which had lapsed and deemed to have been withdrawn. In these instances as the first respondent correctly argued, there is no appeal before court, and condonation is not warranted.</w:t>
      </w:r>
    </w:p>
    <w:p w14:paraId="28C06A2D" w14:textId="77777777" w:rsidR="009A3EEA" w:rsidRDefault="009A3EEA" w:rsidP="009A3EEA">
      <w:pPr>
        <w:pStyle w:val="ListParagraph"/>
        <w:tabs>
          <w:tab w:val="left" w:pos="851"/>
        </w:tabs>
        <w:spacing w:after="0" w:line="480" w:lineRule="auto"/>
        <w:ind w:left="0"/>
        <w:jc w:val="both"/>
        <w:rPr>
          <w:rFonts w:ascii="Arial" w:hAnsi="Arial" w:cs="Arial"/>
          <w:sz w:val="24"/>
          <w:szCs w:val="24"/>
        </w:rPr>
      </w:pPr>
    </w:p>
    <w:p w14:paraId="343F771D" w14:textId="340CE0EF" w:rsidR="009A3EEA" w:rsidRDefault="009A3EEA"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We have stated that in circumstances of flagrant transgressions of the rule, a court may not even consider the prospects of success when deciding a condonation application. But for the attack directed at the court below in its approach to appellant’s application and his </w:t>
      </w:r>
      <w:r w:rsidR="00AC5FD2">
        <w:rPr>
          <w:rFonts w:ascii="Arial" w:hAnsi="Arial" w:cs="Arial"/>
          <w:sz w:val="24"/>
          <w:szCs w:val="24"/>
        </w:rPr>
        <w:t>insistence in the interpretation of reg 10(</w:t>
      </w:r>
      <w:r w:rsidR="00AC5FD2" w:rsidRPr="006B2ADE">
        <w:rPr>
          <w:rFonts w:ascii="Arial" w:hAnsi="Arial" w:cs="Arial"/>
          <w:i/>
          <w:sz w:val="24"/>
          <w:szCs w:val="24"/>
        </w:rPr>
        <w:t>c</w:t>
      </w:r>
      <w:r w:rsidR="00AC5FD2">
        <w:rPr>
          <w:rFonts w:ascii="Arial" w:hAnsi="Arial" w:cs="Arial"/>
          <w:sz w:val="24"/>
          <w:szCs w:val="24"/>
        </w:rPr>
        <w:t>)</w:t>
      </w:r>
      <w:r w:rsidR="006F18E3">
        <w:rPr>
          <w:rFonts w:ascii="Arial" w:hAnsi="Arial" w:cs="Arial"/>
          <w:sz w:val="24"/>
          <w:szCs w:val="24"/>
        </w:rPr>
        <w:t>,</w:t>
      </w:r>
      <w:r w:rsidR="00AC5FD2">
        <w:rPr>
          <w:rFonts w:ascii="Arial" w:hAnsi="Arial" w:cs="Arial"/>
          <w:sz w:val="24"/>
          <w:szCs w:val="24"/>
        </w:rPr>
        <w:t xml:space="preserve"> it is </w:t>
      </w:r>
      <w:r w:rsidR="000C507A">
        <w:rPr>
          <w:rFonts w:ascii="Arial" w:hAnsi="Arial" w:cs="Arial"/>
          <w:sz w:val="24"/>
          <w:szCs w:val="24"/>
        </w:rPr>
        <w:t>appropriate that we consider prospects and briefly so.</w:t>
      </w:r>
    </w:p>
    <w:p w14:paraId="59FB0E87" w14:textId="77777777" w:rsidR="000C507A" w:rsidRPr="000C507A" w:rsidRDefault="000C507A" w:rsidP="000C507A">
      <w:pPr>
        <w:pStyle w:val="ListParagraph"/>
        <w:spacing w:after="0" w:line="480" w:lineRule="auto"/>
        <w:jc w:val="both"/>
        <w:rPr>
          <w:rFonts w:ascii="Arial" w:hAnsi="Arial" w:cs="Arial"/>
          <w:sz w:val="24"/>
          <w:szCs w:val="24"/>
        </w:rPr>
      </w:pPr>
    </w:p>
    <w:p w14:paraId="3950D6AF" w14:textId="2E88D5D6" w:rsidR="00EB1CCE" w:rsidRDefault="00EB1CCE"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w:t>
      </w:r>
      <w:r w:rsidR="00FC6915">
        <w:rPr>
          <w:rFonts w:ascii="Arial" w:hAnsi="Arial" w:cs="Arial"/>
          <w:sz w:val="24"/>
          <w:szCs w:val="24"/>
        </w:rPr>
        <w:t>n my opinion</w:t>
      </w:r>
      <w:r w:rsidR="009D2616">
        <w:rPr>
          <w:rFonts w:ascii="Arial" w:hAnsi="Arial" w:cs="Arial"/>
          <w:sz w:val="24"/>
          <w:szCs w:val="24"/>
        </w:rPr>
        <w:t>,</w:t>
      </w:r>
      <w:r w:rsidR="00FC6915">
        <w:rPr>
          <w:rFonts w:ascii="Arial" w:hAnsi="Arial" w:cs="Arial"/>
          <w:sz w:val="24"/>
          <w:szCs w:val="24"/>
        </w:rPr>
        <w:t xml:space="preserve"> there are no </w:t>
      </w:r>
      <w:r>
        <w:rPr>
          <w:rFonts w:ascii="Arial" w:hAnsi="Arial" w:cs="Arial"/>
          <w:sz w:val="24"/>
          <w:szCs w:val="24"/>
        </w:rPr>
        <w:t xml:space="preserve">prospects of success </w:t>
      </w:r>
      <w:r w:rsidR="00FC6915">
        <w:rPr>
          <w:rFonts w:ascii="Arial" w:hAnsi="Arial" w:cs="Arial"/>
          <w:sz w:val="24"/>
          <w:szCs w:val="24"/>
        </w:rPr>
        <w:t>in</w:t>
      </w:r>
      <w:r>
        <w:rPr>
          <w:rFonts w:ascii="Arial" w:hAnsi="Arial" w:cs="Arial"/>
          <w:sz w:val="24"/>
          <w:szCs w:val="24"/>
        </w:rPr>
        <w:t xml:space="preserve"> appellant’s appeal</w:t>
      </w:r>
      <w:r w:rsidR="00FC6915">
        <w:rPr>
          <w:rFonts w:ascii="Arial" w:hAnsi="Arial" w:cs="Arial"/>
          <w:sz w:val="24"/>
          <w:szCs w:val="24"/>
        </w:rPr>
        <w:t xml:space="preserve"> at all</w:t>
      </w:r>
      <w:r>
        <w:rPr>
          <w:rFonts w:ascii="Arial" w:hAnsi="Arial" w:cs="Arial"/>
          <w:sz w:val="24"/>
          <w:szCs w:val="24"/>
        </w:rPr>
        <w:t>. Regulation 10(</w:t>
      </w:r>
      <w:r w:rsidRPr="006B2ADE">
        <w:rPr>
          <w:rFonts w:ascii="Arial" w:hAnsi="Arial" w:cs="Arial"/>
          <w:i/>
          <w:sz w:val="24"/>
          <w:szCs w:val="24"/>
        </w:rPr>
        <w:t>c</w:t>
      </w:r>
      <w:r>
        <w:rPr>
          <w:rFonts w:ascii="Arial" w:hAnsi="Arial" w:cs="Arial"/>
          <w:sz w:val="24"/>
          <w:szCs w:val="24"/>
        </w:rPr>
        <w:t>) speaks for itself – there is nothing ambiguous in the regulation that requires the interpretation contended for by appellant. By any stretch of imagination I cannot fathom how appellant could resolve that the draft reg 10(</w:t>
      </w:r>
      <w:r w:rsidRPr="006B2ADE">
        <w:rPr>
          <w:rFonts w:ascii="Arial" w:hAnsi="Arial" w:cs="Arial"/>
          <w:i/>
          <w:sz w:val="24"/>
          <w:szCs w:val="24"/>
        </w:rPr>
        <w:t>c</w:t>
      </w:r>
      <w:r>
        <w:rPr>
          <w:rFonts w:ascii="Arial" w:hAnsi="Arial" w:cs="Arial"/>
          <w:sz w:val="24"/>
          <w:szCs w:val="24"/>
        </w:rPr>
        <w:t>) (</w:t>
      </w:r>
      <w:r w:rsidRPr="009D2616">
        <w:rPr>
          <w:rFonts w:ascii="Arial" w:hAnsi="Arial" w:cs="Arial"/>
          <w:i/>
          <w:sz w:val="24"/>
          <w:szCs w:val="24"/>
        </w:rPr>
        <w:t>supra</w:t>
      </w:r>
      <w:r>
        <w:rPr>
          <w:rFonts w:ascii="Arial" w:hAnsi="Arial" w:cs="Arial"/>
          <w:sz w:val="24"/>
          <w:szCs w:val="24"/>
        </w:rPr>
        <w:t xml:space="preserve">) that he would have wanted to see as the end product and the one that was enacted to carry the same meaning. The draft version which was altered provided, ‘A </w:t>
      </w:r>
      <w:r w:rsidR="006B2ADE">
        <w:rPr>
          <w:rFonts w:ascii="Arial" w:hAnsi="Arial" w:cs="Arial"/>
          <w:sz w:val="24"/>
          <w:szCs w:val="24"/>
        </w:rPr>
        <w:t>s</w:t>
      </w:r>
      <w:r>
        <w:rPr>
          <w:rFonts w:ascii="Arial" w:hAnsi="Arial" w:cs="Arial"/>
          <w:sz w:val="24"/>
          <w:szCs w:val="24"/>
        </w:rPr>
        <w:t xml:space="preserve">pecialist </w:t>
      </w:r>
      <w:r w:rsidR="006B2ADE">
        <w:rPr>
          <w:rFonts w:ascii="Arial" w:hAnsi="Arial" w:cs="Arial"/>
          <w:sz w:val="24"/>
          <w:szCs w:val="24"/>
        </w:rPr>
        <w:t>c</w:t>
      </w:r>
      <w:r>
        <w:rPr>
          <w:rFonts w:ascii="Arial" w:hAnsi="Arial" w:cs="Arial"/>
          <w:sz w:val="24"/>
          <w:szCs w:val="24"/>
        </w:rPr>
        <w:t xml:space="preserve">linical </w:t>
      </w:r>
      <w:r w:rsidR="006B2ADE">
        <w:rPr>
          <w:rFonts w:ascii="Arial" w:hAnsi="Arial" w:cs="Arial"/>
          <w:sz w:val="24"/>
          <w:szCs w:val="24"/>
        </w:rPr>
        <w:t>b</w:t>
      </w:r>
      <w:r>
        <w:rPr>
          <w:rFonts w:ascii="Arial" w:hAnsi="Arial" w:cs="Arial"/>
          <w:sz w:val="24"/>
          <w:szCs w:val="24"/>
        </w:rPr>
        <w:t>iochemist may treat without a referral, any person who approaches him or her directly for a consultation’, while reg 10(</w:t>
      </w:r>
      <w:r w:rsidRPr="006B2ADE">
        <w:rPr>
          <w:rFonts w:ascii="Arial" w:hAnsi="Arial" w:cs="Arial"/>
          <w:i/>
          <w:sz w:val="24"/>
          <w:szCs w:val="24"/>
        </w:rPr>
        <w:t>c</w:t>
      </w:r>
      <w:r>
        <w:rPr>
          <w:rFonts w:ascii="Arial" w:hAnsi="Arial" w:cs="Arial"/>
          <w:sz w:val="24"/>
          <w:szCs w:val="24"/>
        </w:rPr>
        <w:t>) the subject matter of this appeal, provides, ‘may examine and conduct tests on, a patient referred to him or her by medical practitioner, as requested by that medical practitioner in the referral.’</w:t>
      </w:r>
    </w:p>
    <w:p w14:paraId="37A8C1DC" w14:textId="77777777" w:rsidR="005B0EE0" w:rsidRPr="005B0EE0" w:rsidRDefault="005B0EE0" w:rsidP="005B0EE0">
      <w:pPr>
        <w:pStyle w:val="ListParagraph"/>
        <w:spacing w:after="0" w:line="480" w:lineRule="auto"/>
        <w:jc w:val="both"/>
        <w:rPr>
          <w:rFonts w:ascii="Arial" w:hAnsi="Arial" w:cs="Arial"/>
          <w:sz w:val="24"/>
          <w:szCs w:val="24"/>
        </w:rPr>
      </w:pPr>
    </w:p>
    <w:p w14:paraId="5E9C9263" w14:textId="2C1BA029" w:rsidR="005B0EE0" w:rsidRDefault="005B0EE0"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words </w:t>
      </w:r>
      <w:r w:rsidR="006C4B38">
        <w:rPr>
          <w:rFonts w:ascii="Arial" w:hAnsi="Arial" w:cs="Arial"/>
          <w:sz w:val="24"/>
          <w:szCs w:val="24"/>
        </w:rPr>
        <w:t xml:space="preserve">in the draft and enacted regulations </w:t>
      </w:r>
      <w:r w:rsidR="00FC6915">
        <w:rPr>
          <w:rFonts w:ascii="Arial" w:hAnsi="Arial" w:cs="Arial"/>
          <w:sz w:val="24"/>
          <w:szCs w:val="24"/>
        </w:rPr>
        <w:t>carrying the distinction in the two are underlined below</w:t>
      </w:r>
      <w:r>
        <w:rPr>
          <w:rFonts w:ascii="Arial" w:hAnsi="Arial" w:cs="Arial"/>
          <w:sz w:val="24"/>
          <w:szCs w:val="24"/>
        </w:rPr>
        <w:t>:-</w:t>
      </w:r>
    </w:p>
    <w:p w14:paraId="43E3C533" w14:textId="77777777" w:rsidR="005B0EE0" w:rsidRDefault="005B0EE0" w:rsidP="005B0EE0">
      <w:pPr>
        <w:pStyle w:val="ListParagraph"/>
        <w:spacing w:after="0" w:line="480" w:lineRule="auto"/>
        <w:jc w:val="both"/>
        <w:rPr>
          <w:rFonts w:ascii="Arial" w:hAnsi="Arial" w:cs="Arial"/>
          <w:sz w:val="24"/>
          <w:szCs w:val="24"/>
        </w:rPr>
      </w:pPr>
    </w:p>
    <w:p w14:paraId="1054F3DB" w14:textId="11C61D9A" w:rsidR="006C4B38" w:rsidRDefault="005B0EE0" w:rsidP="005B0EE0">
      <w:pPr>
        <w:pStyle w:val="ListParagraph"/>
        <w:spacing w:after="0" w:line="360" w:lineRule="auto"/>
        <w:jc w:val="both"/>
        <w:rPr>
          <w:rFonts w:ascii="Arial" w:hAnsi="Arial" w:cs="Arial"/>
        </w:rPr>
      </w:pPr>
      <w:r>
        <w:rPr>
          <w:rFonts w:ascii="Arial" w:hAnsi="Arial" w:cs="Arial"/>
        </w:rPr>
        <w:t>‘</w:t>
      </w:r>
      <w:r w:rsidR="006C4B38">
        <w:rPr>
          <w:rFonts w:ascii="Arial" w:hAnsi="Arial" w:cs="Arial"/>
        </w:rPr>
        <w:t xml:space="preserve">- draft 10(c) </w:t>
      </w:r>
      <w:r>
        <w:rPr>
          <w:rFonts w:ascii="Arial" w:hAnsi="Arial" w:cs="Arial"/>
        </w:rPr>
        <w:t xml:space="preserve">may treat </w:t>
      </w:r>
      <w:r w:rsidRPr="00FC6915">
        <w:rPr>
          <w:rFonts w:ascii="Arial" w:hAnsi="Arial" w:cs="Arial"/>
          <w:u w:val="single"/>
        </w:rPr>
        <w:t>without referral</w:t>
      </w:r>
      <w:r>
        <w:rPr>
          <w:rFonts w:ascii="Arial" w:hAnsi="Arial" w:cs="Arial"/>
        </w:rPr>
        <w:t xml:space="preserve"> any person who approaches him/her </w:t>
      </w:r>
      <w:r w:rsidRPr="006C4B38">
        <w:rPr>
          <w:rFonts w:ascii="Arial" w:hAnsi="Arial" w:cs="Arial"/>
          <w:u w:val="single"/>
        </w:rPr>
        <w:t>directly</w:t>
      </w:r>
      <w:r w:rsidR="00397836">
        <w:rPr>
          <w:rFonts w:ascii="Arial" w:hAnsi="Arial" w:cs="Arial"/>
        </w:rPr>
        <w:t xml:space="preserve"> for a consultation.</w:t>
      </w:r>
    </w:p>
    <w:p w14:paraId="16B0E791" w14:textId="77777777" w:rsidR="009D2616" w:rsidRDefault="009D2616" w:rsidP="005B0EE0">
      <w:pPr>
        <w:pStyle w:val="ListParagraph"/>
        <w:spacing w:after="0" w:line="360" w:lineRule="auto"/>
        <w:jc w:val="both"/>
        <w:rPr>
          <w:rFonts w:ascii="Arial" w:hAnsi="Arial" w:cs="Arial"/>
        </w:rPr>
      </w:pPr>
    </w:p>
    <w:p w14:paraId="01C28D48" w14:textId="19F50499" w:rsidR="005B0EE0" w:rsidRDefault="006C4B38" w:rsidP="005B0EE0">
      <w:pPr>
        <w:pStyle w:val="ListParagraph"/>
        <w:spacing w:after="0" w:line="360" w:lineRule="auto"/>
        <w:jc w:val="both"/>
        <w:rPr>
          <w:rFonts w:ascii="Arial" w:hAnsi="Arial" w:cs="Arial"/>
        </w:rPr>
      </w:pPr>
      <w:r>
        <w:rPr>
          <w:rFonts w:ascii="Arial" w:hAnsi="Arial" w:cs="Arial"/>
        </w:rPr>
        <w:t>-</w:t>
      </w:r>
      <w:r w:rsidR="005B0EE0">
        <w:rPr>
          <w:rFonts w:ascii="Arial" w:hAnsi="Arial" w:cs="Arial"/>
        </w:rPr>
        <w:t xml:space="preserve"> </w:t>
      </w:r>
      <w:r>
        <w:rPr>
          <w:rFonts w:ascii="Arial" w:hAnsi="Arial" w:cs="Arial"/>
        </w:rPr>
        <w:t xml:space="preserve">enacted 10(c) </w:t>
      </w:r>
      <w:r w:rsidR="005B0EE0">
        <w:rPr>
          <w:rFonts w:ascii="Arial" w:hAnsi="Arial" w:cs="Arial"/>
        </w:rPr>
        <w:t xml:space="preserve">may examine and conduct tests on a patient </w:t>
      </w:r>
      <w:r w:rsidR="005B0EE0" w:rsidRPr="006C4B38">
        <w:rPr>
          <w:rFonts w:ascii="Arial" w:hAnsi="Arial" w:cs="Arial"/>
          <w:u w:val="single"/>
        </w:rPr>
        <w:t>referred by medical</w:t>
      </w:r>
      <w:r w:rsidR="005B0EE0">
        <w:rPr>
          <w:rFonts w:ascii="Arial" w:hAnsi="Arial" w:cs="Arial"/>
        </w:rPr>
        <w:t xml:space="preserve"> </w:t>
      </w:r>
      <w:r w:rsidR="005B0EE0" w:rsidRPr="006C4B38">
        <w:rPr>
          <w:rFonts w:ascii="Arial" w:hAnsi="Arial" w:cs="Arial"/>
          <w:u w:val="single"/>
        </w:rPr>
        <w:t>practitioner</w:t>
      </w:r>
      <w:r w:rsidR="005B0EE0">
        <w:rPr>
          <w:rFonts w:ascii="Arial" w:hAnsi="Arial" w:cs="Arial"/>
        </w:rPr>
        <w:t xml:space="preserve"> as </w:t>
      </w:r>
      <w:r w:rsidR="005B0EE0" w:rsidRPr="006C4B38">
        <w:rPr>
          <w:rFonts w:ascii="Arial" w:hAnsi="Arial" w:cs="Arial"/>
          <w:u w:val="single"/>
        </w:rPr>
        <w:t>requested by that medical practitioner in the referral</w:t>
      </w:r>
      <w:r w:rsidR="005B0EE0">
        <w:rPr>
          <w:rFonts w:ascii="Arial" w:hAnsi="Arial" w:cs="Arial"/>
        </w:rPr>
        <w:t>’.</w:t>
      </w:r>
    </w:p>
    <w:p w14:paraId="18CDA2C8" w14:textId="77777777" w:rsidR="005B0EE0" w:rsidRPr="005B0EE0" w:rsidRDefault="005B0EE0" w:rsidP="005B0EE0">
      <w:pPr>
        <w:spacing w:after="0" w:line="480" w:lineRule="auto"/>
        <w:jc w:val="both"/>
        <w:rPr>
          <w:rFonts w:ascii="Arial" w:hAnsi="Arial" w:cs="Arial"/>
          <w:sz w:val="24"/>
          <w:szCs w:val="24"/>
        </w:rPr>
      </w:pPr>
    </w:p>
    <w:p w14:paraId="697DBD7A" w14:textId="751D1990" w:rsidR="005B0EE0" w:rsidRDefault="005B0EE0"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distinction between the two is so obvious and an argument to the contrary is without merit. As the </w:t>
      </w:r>
      <w:r w:rsidR="006F18E3">
        <w:rPr>
          <w:rFonts w:ascii="Arial" w:hAnsi="Arial" w:cs="Arial"/>
          <w:sz w:val="24"/>
          <w:szCs w:val="24"/>
        </w:rPr>
        <w:t xml:space="preserve">first </w:t>
      </w:r>
      <w:r>
        <w:rPr>
          <w:rFonts w:ascii="Arial" w:hAnsi="Arial" w:cs="Arial"/>
          <w:sz w:val="24"/>
          <w:szCs w:val="24"/>
        </w:rPr>
        <w:t>respondent correctly argued, it does not require the wisdom of King S</w:t>
      </w:r>
      <w:r w:rsidR="006C4B38">
        <w:rPr>
          <w:rFonts w:ascii="Arial" w:hAnsi="Arial" w:cs="Arial"/>
          <w:sz w:val="24"/>
          <w:szCs w:val="24"/>
        </w:rPr>
        <w:t>o</w:t>
      </w:r>
      <w:r>
        <w:rPr>
          <w:rFonts w:ascii="Arial" w:hAnsi="Arial" w:cs="Arial"/>
          <w:sz w:val="24"/>
          <w:szCs w:val="24"/>
        </w:rPr>
        <w:t>lomon in the Old Testament of the Bible to see the distinction. The literal interpretation (sometimes called the ordinary or dictionary meaning) is the paramount rule where words should be given their ordinary and grammatical or natural and ordinary meaning as the first step in the process of interpretation</w:t>
      </w:r>
      <w:r w:rsidR="006B2ADE">
        <w:rPr>
          <w:rFonts w:ascii="Arial" w:hAnsi="Arial" w:cs="Arial"/>
          <w:sz w:val="24"/>
          <w:szCs w:val="24"/>
        </w:rPr>
        <w:t>.</w:t>
      </w:r>
      <w:r w:rsidR="006C4B38">
        <w:rPr>
          <w:rStyle w:val="FootnoteReference"/>
          <w:rFonts w:ascii="Arial" w:hAnsi="Arial" w:cs="Arial"/>
          <w:sz w:val="24"/>
          <w:szCs w:val="24"/>
        </w:rPr>
        <w:footnoteReference w:id="12"/>
      </w:r>
      <w:r w:rsidR="009D2616">
        <w:rPr>
          <w:rFonts w:ascii="Arial" w:hAnsi="Arial" w:cs="Arial"/>
          <w:sz w:val="24"/>
          <w:szCs w:val="24"/>
        </w:rPr>
        <w:t xml:space="preserve"> I</w:t>
      </w:r>
      <w:r w:rsidR="00A329F3">
        <w:rPr>
          <w:rFonts w:ascii="Arial" w:hAnsi="Arial" w:cs="Arial"/>
          <w:sz w:val="24"/>
          <w:szCs w:val="24"/>
        </w:rPr>
        <w:t>n other words, if the words of a statute are in themselves precise and unambiguous, then nothing more is necessary than to expound those words in their natural and ordinary sense. Applying this principle to the wording of reg 10(</w:t>
      </w:r>
      <w:r w:rsidR="00A329F3" w:rsidRPr="006B2ADE">
        <w:rPr>
          <w:rFonts w:ascii="Arial" w:hAnsi="Arial" w:cs="Arial"/>
          <w:i/>
          <w:sz w:val="24"/>
          <w:szCs w:val="24"/>
        </w:rPr>
        <w:t>c</w:t>
      </w:r>
      <w:r w:rsidR="00A329F3">
        <w:rPr>
          <w:rFonts w:ascii="Arial" w:hAnsi="Arial" w:cs="Arial"/>
          <w:sz w:val="24"/>
          <w:szCs w:val="24"/>
        </w:rPr>
        <w:t>)</w:t>
      </w:r>
      <w:r w:rsidR="008A5AC6">
        <w:rPr>
          <w:rFonts w:ascii="Arial" w:hAnsi="Arial" w:cs="Arial"/>
          <w:sz w:val="24"/>
          <w:szCs w:val="24"/>
        </w:rPr>
        <w:t xml:space="preserve"> it becomes abundantly clear that the framers of reg 10(</w:t>
      </w:r>
      <w:r w:rsidR="008A5AC6" w:rsidRPr="006B2ADE">
        <w:rPr>
          <w:rFonts w:ascii="Arial" w:hAnsi="Arial" w:cs="Arial"/>
          <w:i/>
          <w:sz w:val="24"/>
          <w:szCs w:val="24"/>
        </w:rPr>
        <w:t>c</w:t>
      </w:r>
      <w:r w:rsidR="008A5AC6">
        <w:rPr>
          <w:rFonts w:ascii="Arial" w:hAnsi="Arial" w:cs="Arial"/>
          <w:sz w:val="24"/>
          <w:szCs w:val="24"/>
        </w:rPr>
        <w:t xml:space="preserve">) intended </w:t>
      </w:r>
      <w:r w:rsidR="00397836">
        <w:rPr>
          <w:rFonts w:ascii="Arial" w:hAnsi="Arial" w:cs="Arial"/>
          <w:sz w:val="24"/>
          <w:szCs w:val="24"/>
        </w:rPr>
        <w:t xml:space="preserve">a </w:t>
      </w:r>
      <w:r w:rsidR="008A5AC6">
        <w:rPr>
          <w:rFonts w:ascii="Arial" w:hAnsi="Arial" w:cs="Arial"/>
          <w:sz w:val="24"/>
          <w:szCs w:val="24"/>
        </w:rPr>
        <w:t>specialist clinical biochemist to consult and conduct test</w:t>
      </w:r>
      <w:r w:rsidR="00397836">
        <w:rPr>
          <w:rFonts w:ascii="Arial" w:hAnsi="Arial" w:cs="Arial"/>
          <w:sz w:val="24"/>
          <w:szCs w:val="24"/>
        </w:rPr>
        <w:t>s</w:t>
      </w:r>
      <w:r w:rsidR="008A5AC6">
        <w:rPr>
          <w:rFonts w:ascii="Arial" w:hAnsi="Arial" w:cs="Arial"/>
          <w:sz w:val="24"/>
          <w:szCs w:val="24"/>
        </w:rPr>
        <w:t xml:space="preserve"> on patients referred to h</w:t>
      </w:r>
      <w:r w:rsidR="00397836">
        <w:rPr>
          <w:rFonts w:ascii="Arial" w:hAnsi="Arial" w:cs="Arial"/>
          <w:sz w:val="24"/>
          <w:szCs w:val="24"/>
        </w:rPr>
        <w:t>i</w:t>
      </w:r>
      <w:r w:rsidR="008A5AC6">
        <w:rPr>
          <w:rFonts w:ascii="Arial" w:hAnsi="Arial" w:cs="Arial"/>
          <w:sz w:val="24"/>
          <w:szCs w:val="24"/>
        </w:rPr>
        <w:t xml:space="preserve">m by </w:t>
      </w:r>
      <w:r w:rsidR="00397836">
        <w:rPr>
          <w:rFonts w:ascii="Arial" w:hAnsi="Arial" w:cs="Arial"/>
          <w:sz w:val="24"/>
          <w:szCs w:val="24"/>
        </w:rPr>
        <w:t xml:space="preserve">a </w:t>
      </w:r>
      <w:r w:rsidR="008A5AC6">
        <w:rPr>
          <w:rFonts w:ascii="Arial" w:hAnsi="Arial" w:cs="Arial"/>
          <w:sz w:val="24"/>
          <w:szCs w:val="24"/>
        </w:rPr>
        <w:t xml:space="preserve">medical practitioner as requested by </w:t>
      </w:r>
      <w:r w:rsidR="00397836">
        <w:rPr>
          <w:rFonts w:ascii="Arial" w:hAnsi="Arial" w:cs="Arial"/>
          <w:sz w:val="24"/>
          <w:szCs w:val="24"/>
        </w:rPr>
        <w:t xml:space="preserve">that </w:t>
      </w:r>
      <w:r w:rsidR="008A5AC6">
        <w:rPr>
          <w:rFonts w:ascii="Arial" w:hAnsi="Arial" w:cs="Arial"/>
          <w:sz w:val="24"/>
          <w:szCs w:val="24"/>
        </w:rPr>
        <w:t>medical practitioner in the referral.</w:t>
      </w:r>
    </w:p>
    <w:p w14:paraId="53BCF323" w14:textId="77777777" w:rsidR="004774BF" w:rsidRDefault="004774BF" w:rsidP="004774BF">
      <w:pPr>
        <w:pStyle w:val="ListParagraph"/>
        <w:tabs>
          <w:tab w:val="left" w:pos="851"/>
        </w:tabs>
        <w:spacing w:after="0" w:line="480" w:lineRule="auto"/>
        <w:ind w:left="0"/>
        <w:jc w:val="both"/>
        <w:rPr>
          <w:rFonts w:ascii="Arial" w:hAnsi="Arial" w:cs="Arial"/>
          <w:sz w:val="24"/>
          <w:szCs w:val="24"/>
        </w:rPr>
      </w:pPr>
    </w:p>
    <w:p w14:paraId="245B0AE0" w14:textId="0B9B055B" w:rsidR="004774BF" w:rsidRDefault="004774BF"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It was argued that the first respondent ignores reg 2 to rely on reg 10(</w:t>
      </w:r>
      <w:r w:rsidRPr="006B2ADE">
        <w:rPr>
          <w:rFonts w:ascii="Arial" w:hAnsi="Arial" w:cs="Arial"/>
          <w:i/>
          <w:sz w:val="24"/>
          <w:szCs w:val="24"/>
        </w:rPr>
        <w:t>c</w:t>
      </w:r>
      <w:r>
        <w:rPr>
          <w:rFonts w:ascii="Arial" w:hAnsi="Arial" w:cs="Arial"/>
          <w:sz w:val="24"/>
          <w:szCs w:val="24"/>
        </w:rPr>
        <w:t xml:space="preserve">). Regulation 2 provides for the scope of practice of </w:t>
      </w:r>
      <w:r w:rsidR="006B2ADE">
        <w:rPr>
          <w:rFonts w:ascii="Arial" w:hAnsi="Arial" w:cs="Arial"/>
          <w:sz w:val="24"/>
          <w:szCs w:val="24"/>
        </w:rPr>
        <w:t>c</w:t>
      </w:r>
      <w:r>
        <w:rPr>
          <w:rFonts w:ascii="Arial" w:hAnsi="Arial" w:cs="Arial"/>
          <w:sz w:val="24"/>
          <w:szCs w:val="24"/>
        </w:rPr>
        <w:t xml:space="preserve">linical </w:t>
      </w:r>
      <w:r w:rsidR="006B2ADE">
        <w:rPr>
          <w:rFonts w:ascii="Arial" w:hAnsi="Arial" w:cs="Arial"/>
          <w:sz w:val="24"/>
          <w:szCs w:val="24"/>
        </w:rPr>
        <w:t>b</w:t>
      </w:r>
      <w:r>
        <w:rPr>
          <w:rFonts w:ascii="Arial" w:hAnsi="Arial" w:cs="Arial"/>
          <w:sz w:val="24"/>
          <w:szCs w:val="24"/>
        </w:rPr>
        <w:t>iochemist while 10(</w:t>
      </w:r>
      <w:r w:rsidRPr="006B2ADE">
        <w:rPr>
          <w:rFonts w:ascii="Arial" w:hAnsi="Arial" w:cs="Arial"/>
          <w:i/>
          <w:sz w:val="24"/>
          <w:szCs w:val="24"/>
        </w:rPr>
        <w:t>c</w:t>
      </w:r>
      <w:r>
        <w:rPr>
          <w:rFonts w:ascii="Arial" w:hAnsi="Arial" w:cs="Arial"/>
          <w:sz w:val="24"/>
          <w:szCs w:val="24"/>
        </w:rPr>
        <w:t>) provides for conditions applicable to the practicing of a specialty like the appellant. It is not appellant’s case that because the words ‘without referral’ and ‘directly’ are no longer the content of the enacted 10(</w:t>
      </w:r>
      <w:r w:rsidRPr="003D41E7">
        <w:rPr>
          <w:rFonts w:ascii="Arial" w:hAnsi="Arial" w:cs="Arial"/>
          <w:i/>
          <w:sz w:val="24"/>
          <w:szCs w:val="24"/>
        </w:rPr>
        <w:t>c</w:t>
      </w:r>
      <w:r>
        <w:rPr>
          <w:rFonts w:ascii="Arial" w:hAnsi="Arial" w:cs="Arial"/>
          <w:sz w:val="24"/>
          <w:szCs w:val="24"/>
        </w:rPr>
        <w:t>) he can no longer perform all acts as contemplated in reg 2.</w:t>
      </w:r>
      <w:r w:rsidR="008A5AC6">
        <w:rPr>
          <w:rFonts w:ascii="Arial" w:hAnsi="Arial" w:cs="Arial"/>
          <w:sz w:val="24"/>
          <w:szCs w:val="24"/>
        </w:rPr>
        <w:t xml:space="preserve"> His case is about the interpretation of reg 10(</w:t>
      </w:r>
      <w:r w:rsidR="008A5AC6" w:rsidRPr="003D41E7">
        <w:rPr>
          <w:rFonts w:ascii="Arial" w:hAnsi="Arial" w:cs="Arial"/>
          <w:i/>
          <w:sz w:val="24"/>
          <w:szCs w:val="24"/>
        </w:rPr>
        <w:t>c</w:t>
      </w:r>
      <w:r w:rsidR="008A5AC6">
        <w:rPr>
          <w:rFonts w:ascii="Arial" w:hAnsi="Arial" w:cs="Arial"/>
          <w:sz w:val="24"/>
          <w:szCs w:val="24"/>
        </w:rPr>
        <w:t>).</w:t>
      </w:r>
    </w:p>
    <w:p w14:paraId="18F0C450" w14:textId="77777777" w:rsidR="004774BF" w:rsidRPr="004774BF" w:rsidRDefault="004774BF" w:rsidP="004774BF">
      <w:pPr>
        <w:pStyle w:val="ListParagraph"/>
        <w:spacing w:after="0" w:line="480" w:lineRule="auto"/>
        <w:jc w:val="both"/>
        <w:rPr>
          <w:rFonts w:ascii="Arial" w:hAnsi="Arial" w:cs="Arial"/>
          <w:sz w:val="24"/>
          <w:szCs w:val="24"/>
        </w:rPr>
      </w:pPr>
    </w:p>
    <w:p w14:paraId="477C6799" w14:textId="5CB8BB96" w:rsidR="004774BF" w:rsidRDefault="004774BF"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word ‘may’ in reg 10(</w:t>
      </w:r>
      <w:r w:rsidRPr="003D41E7">
        <w:rPr>
          <w:rFonts w:ascii="Arial" w:hAnsi="Arial" w:cs="Arial"/>
          <w:i/>
          <w:sz w:val="24"/>
          <w:szCs w:val="24"/>
        </w:rPr>
        <w:t>a</w:t>
      </w:r>
      <w:r>
        <w:rPr>
          <w:rFonts w:ascii="Arial" w:hAnsi="Arial" w:cs="Arial"/>
          <w:sz w:val="24"/>
          <w:szCs w:val="24"/>
        </w:rPr>
        <w:t xml:space="preserve">) does not relate to the distinction between </w:t>
      </w:r>
      <w:r w:rsidR="008A5AC6">
        <w:rPr>
          <w:rFonts w:ascii="Arial" w:hAnsi="Arial" w:cs="Arial"/>
          <w:sz w:val="24"/>
          <w:szCs w:val="24"/>
        </w:rPr>
        <w:t xml:space="preserve">the </w:t>
      </w:r>
      <w:r>
        <w:rPr>
          <w:rFonts w:ascii="Arial" w:hAnsi="Arial" w:cs="Arial"/>
          <w:sz w:val="24"/>
          <w:szCs w:val="24"/>
        </w:rPr>
        <w:t>directory tone in the</w:t>
      </w:r>
      <w:r w:rsidR="008A5AC6">
        <w:rPr>
          <w:rFonts w:ascii="Arial" w:hAnsi="Arial" w:cs="Arial"/>
          <w:sz w:val="24"/>
          <w:szCs w:val="24"/>
        </w:rPr>
        <w:t xml:space="preserve"> word</w:t>
      </w:r>
      <w:r>
        <w:rPr>
          <w:rFonts w:ascii="Arial" w:hAnsi="Arial" w:cs="Arial"/>
          <w:sz w:val="24"/>
          <w:szCs w:val="24"/>
        </w:rPr>
        <w:t xml:space="preserve"> ‘may’ or the peremptory or </w:t>
      </w:r>
      <w:r w:rsidR="008A5AC6">
        <w:rPr>
          <w:rFonts w:ascii="Arial" w:hAnsi="Arial" w:cs="Arial"/>
          <w:sz w:val="24"/>
          <w:szCs w:val="24"/>
        </w:rPr>
        <w:t>mandatory</w:t>
      </w:r>
      <w:r>
        <w:rPr>
          <w:rFonts w:ascii="Arial" w:hAnsi="Arial" w:cs="Arial"/>
          <w:sz w:val="24"/>
          <w:szCs w:val="24"/>
        </w:rPr>
        <w:t xml:space="preserve"> tone of ‘shall’</w:t>
      </w:r>
      <w:r w:rsidR="008A5AC6">
        <w:rPr>
          <w:rFonts w:ascii="Arial" w:hAnsi="Arial" w:cs="Arial"/>
          <w:sz w:val="24"/>
          <w:szCs w:val="24"/>
        </w:rPr>
        <w:t xml:space="preserve"> or ‘must’</w:t>
      </w:r>
      <w:r>
        <w:rPr>
          <w:rFonts w:ascii="Arial" w:hAnsi="Arial" w:cs="Arial"/>
          <w:sz w:val="24"/>
          <w:szCs w:val="24"/>
        </w:rPr>
        <w:t xml:space="preserve">. Rather ‘may’ has become the style of legislative drafting unless the provision requires a </w:t>
      </w:r>
      <w:r w:rsidR="008A5AC6">
        <w:rPr>
          <w:rFonts w:ascii="Arial" w:hAnsi="Arial" w:cs="Arial"/>
          <w:sz w:val="24"/>
          <w:szCs w:val="24"/>
        </w:rPr>
        <w:t>mandatory</w:t>
      </w:r>
      <w:r>
        <w:rPr>
          <w:rFonts w:ascii="Arial" w:hAnsi="Arial" w:cs="Arial"/>
          <w:sz w:val="24"/>
          <w:szCs w:val="24"/>
        </w:rPr>
        <w:t xml:space="preserve"> tone. Take for example reg 10, it has five sub-sections and three of the five, are preceded by ‘may’ including 10(</w:t>
      </w:r>
      <w:r w:rsidRPr="00D93A04">
        <w:rPr>
          <w:rFonts w:ascii="Arial" w:hAnsi="Arial" w:cs="Arial"/>
          <w:i/>
          <w:sz w:val="24"/>
          <w:szCs w:val="24"/>
        </w:rPr>
        <w:t>c</w:t>
      </w:r>
      <w:r>
        <w:rPr>
          <w:rFonts w:ascii="Arial" w:hAnsi="Arial" w:cs="Arial"/>
          <w:sz w:val="24"/>
          <w:szCs w:val="24"/>
        </w:rPr>
        <w:t xml:space="preserve">). Regulation 10(a) and (b) </w:t>
      </w:r>
      <w:r w:rsidR="00397836">
        <w:rPr>
          <w:rFonts w:ascii="Arial" w:hAnsi="Arial" w:cs="Arial"/>
          <w:sz w:val="24"/>
          <w:szCs w:val="24"/>
        </w:rPr>
        <w:t>are</w:t>
      </w:r>
      <w:r>
        <w:rPr>
          <w:rFonts w:ascii="Arial" w:hAnsi="Arial" w:cs="Arial"/>
          <w:sz w:val="24"/>
          <w:szCs w:val="24"/>
        </w:rPr>
        <w:t xml:space="preserve"> preceded by ‘must’. The two </w:t>
      </w:r>
      <w:r w:rsidR="008A5AC6">
        <w:rPr>
          <w:rFonts w:ascii="Arial" w:hAnsi="Arial" w:cs="Arial"/>
          <w:sz w:val="24"/>
          <w:szCs w:val="24"/>
        </w:rPr>
        <w:t xml:space="preserve">were and </w:t>
      </w:r>
      <w:r>
        <w:rPr>
          <w:rFonts w:ascii="Arial" w:hAnsi="Arial" w:cs="Arial"/>
          <w:sz w:val="24"/>
          <w:szCs w:val="24"/>
        </w:rPr>
        <w:t>should be couched in the command language, i.e. ‘must confine his or her practice . . .’, must report to the medical practitioner . . .’</w:t>
      </w:r>
      <w:r w:rsidR="00D93A04">
        <w:rPr>
          <w:rFonts w:ascii="Arial" w:hAnsi="Arial" w:cs="Arial"/>
          <w:sz w:val="24"/>
          <w:szCs w:val="24"/>
        </w:rPr>
        <w:t>.</w:t>
      </w:r>
      <w:r>
        <w:rPr>
          <w:rFonts w:ascii="Arial" w:hAnsi="Arial" w:cs="Arial"/>
          <w:sz w:val="24"/>
          <w:szCs w:val="24"/>
        </w:rPr>
        <w:t xml:space="preserve"> The use of ‘may’ would have allowed a </w:t>
      </w:r>
      <w:r w:rsidR="00D93A04">
        <w:rPr>
          <w:rFonts w:ascii="Arial" w:hAnsi="Arial" w:cs="Arial"/>
          <w:sz w:val="24"/>
          <w:szCs w:val="24"/>
        </w:rPr>
        <w:t>s</w:t>
      </w:r>
      <w:r>
        <w:rPr>
          <w:rFonts w:ascii="Arial" w:hAnsi="Arial" w:cs="Arial"/>
          <w:sz w:val="24"/>
          <w:szCs w:val="24"/>
        </w:rPr>
        <w:t xml:space="preserve">pecialist </w:t>
      </w:r>
      <w:r w:rsidR="00D93A04">
        <w:rPr>
          <w:rFonts w:ascii="Arial" w:hAnsi="Arial" w:cs="Arial"/>
          <w:sz w:val="24"/>
          <w:szCs w:val="24"/>
        </w:rPr>
        <w:t>c</w:t>
      </w:r>
      <w:r>
        <w:rPr>
          <w:rFonts w:ascii="Arial" w:hAnsi="Arial" w:cs="Arial"/>
          <w:sz w:val="24"/>
          <w:szCs w:val="24"/>
        </w:rPr>
        <w:t xml:space="preserve">linical </w:t>
      </w:r>
      <w:r w:rsidR="00D93A04">
        <w:rPr>
          <w:rFonts w:ascii="Arial" w:hAnsi="Arial" w:cs="Arial"/>
          <w:sz w:val="24"/>
          <w:szCs w:val="24"/>
        </w:rPr>
        <w:t>b</w:t>
      </w:r>
      <w:r>
        <w:rPr>
          <w:rFonts w:ascii="Arial" w:hAnsi="Arial" w:cs="Arial"/>
          <w:sz w:val="24"/>
          <w:szCs w:val="24"/>
        </w:rPr>
        <w:t>iochemist a discretion not to confine the practice to the specialty registered in his or her name and not report the result of the tests to the referral doctor. In 10(</w:t>
      </w:r>
      <w:r w:rsidRPr="00D93A04">
        <w:rPr>
          <w:rFonts w:ascii="Arial" w:hAnsi="Arial" w:cs="Arial"/>
          <w:i/>
          <w:sz w:val="24"/>
          <w:szCs w:val="24"/>
        </w:rPr>
        <w:t>c</w:t>
      </w:r>
      <w:r>
        <w:rPr>
          <w:rFonts w:ascii="Arial" w:hAnsi="Arial" w:cs="Arial"/>
          <w:sz w:val="24"/>
          <w:szCs w:val="24"/>
        </w:rPr>
        <w:t xml:space="preserve">) the word ‘must’ could not have been used, for </w:t>
      </w:r>
      <w:r w:rsidR="008A5AC6">
        <w:rPr>
          <w:rFonts w:ascii="Arial" w:hAnsi="Arial" w:cs="Arial"/>
          <w:sz w:val="24"/>
          <w:szCs w:val="24"/>
        </w:rPr>
        <w:t>the</w:t>
      </w:r>
      <w:r>
        <w:rPr>
          <w:rFonts w:ascii="Arial" w:hAnsi="Arial" w:cs="Arial"/>
          <w:sz w:val="24"/>
          <w:szCs w:val="24"/>
        </w:rPr>
        <w:t xml:space="preserve"> reason, </w:t>
      </w:r>
      <w:r w:rsidR="008A5AC6">
        <w:rPr>
          <w:rFonts w:ascii="Arial" w:hAnsi="Arial" w:cs="Arial"/>
          <w:sz w:val="24"/>
          <w:szCs w:val="24"/>
        </w:rPr>
        <w:t xml:space="preserve">that there are </w:t>
      </w:r>
      <w:r>
        <w:rPr>
          <w:rFonts w:ascii="Arial" w:hAnsi="Arial" w:cs="Arial"/>
          <w:sz w:val="24"/>
          <w:szCs w:val="24"/>
        </w:rPr>
        <w:t>patients</w:t>
      </w:r>
      <w:r w:rsidR="008A5AC6">
        <w:rPr>
          <w:rFonts w:ascii="Arial" w:hAnsi="Arial" w:cs="Arial"/>
          <w:sz w:val="24"/>
          <w:szCs w:val="24"/>
        </w:rPr>
        <w:t xml:space="preserve"> on moral grounds</w:t>
      </w:r>
      <w:r w:rsidR="00397836">
        <w:rPr>
          <w:rFonts w:ascii="Arial" w:hAnsi="Arial" w:cs="Arial"/>
          <w:sz w:val="24"/>
          <w:szCs w:val="24"/>
        </w:rPr>
        <w:t>,</w:t>
      </w:r>
      <w:r w:rsidR="003A0644">
        <w:rPr>
          <w:rFonts w:ascii="Arial" w:hAnsi="Arial" w:cs="Arial"/>
          <w:sz w:val="24"/>
          <w:szCs w:val="24"/>
        </w:rPr>
        <w:t xml:space="preserve"> for example (blood close relatives)</w:t>
      </w:r>
      <w:r>
        <w:rPr>
          <w:rFonts w:ascii="Arial" w:hAnsi="Arial" w:cs="Arial"/>
          <w:sz w:val="24"/>
          <w:szCs w:val="24"/>
        </w:rPr>
        <w:t xml:space="preserve"> the specialist may not examine or conduct tests on them</w:t>
      </w:r>
      <w:r w:rsidR="008A5AC6">
        <w:rPr>
          <w:rFonts w:ascii="Arial" w:hAnsi="Arial" w:cs="Arial"/>
          <w:sz w:val="24"/>
          <w:szCs w:val="24"/>
        </w:rPr>
        <w:t xml:space="preserve">, </w:t>
      </w:r>
      <w:r>
        <w:rPr>
          <w:rFonts w:ascii="Arial" w:hAnsi="Arial" w:cs="Arial"/>
          <w:sz w:val="24"/>
          <w:szCs w:val="24"/>
        </w:rPr>
        <w:t xml:space="preserve">but to refer them to </w:t>
      </w:r>
      <w:r w:rsidR="00397836">
        <w:rPr>
          <w:rFonts w:ascii="Arial" w:hAnsi="Arial" w:cs="Arial"/>
          <w:sz w:val="24"/>
          <w:szCs w:val="24"/>
        </w:rPr>
        <w:t xml:space="preserve">other </w:t>
      </w:r>
      <w:r>
        <w:rPr>
          <w:rFonts w:ascii="Arial" w:hAnsi="Arial" w:cs="Arial"/>
          <w:sz w:val="24"/>
          <w:szCs w:val="24"/>
        </w:rPr>
        <w:t>specialist</w:t>
      </w:r>
      <w:r w:rsidR="00397836">
        <w:rPr>
          <w:rFonts w:ascii="Arial" w:hAnsi="Arial" w:cs="Arial"/>
          <w:sz w:val="24"/>
          <w:szCs w:val="24"/>
        </w:rPr>
        <w:t>s</w:t>
      </w:r>
      <w:r>
        <w:rPr>
          <w:rFonts w:ascii="Arial" w:hAnsi="Arial" w:cs="Arial"/>
          <w:sz w:val="24"/>
          <w:szCs w:val="24"/>
        </w:rPr>
        <w:t xml:space="preserve">. </w:t>
      </w:r>
      <w:r w:rsidR="003A0644">
        <w:rPr>
          <w:rFonts w:ascii="Arial" w:hAnsi="Arial" w:cs="Arial"/>
          <w:sz w:val="24"/>
          <w:szCs w:val="24"/>
        </w:rPr>
        <w:t xml:space="preserve">The word ‘must’ </w:t>
      </w:r>
      <w:r w:rsidR="001409F9">
        <w:rPr>
          <w:rFonts w:ascii="Arial" w:hAnsi="Arial" w:cs="Arial"/>
          <w:sz w:val="24"/>
          <w:szCs w:val="24"/>
        </w:rPr>
        <w:t>would have meant to examine and conduct tests on every patient referred</w:t>
      </w:r>
      <w:r w:rsidR="003A0644">
        <w:rPr>
          <w:rFonts w:ascii="Arial" w:hAnsi="Arial" w:cs="Arial"/>
          <w:sz w:val="24"/>
          <w:szCs w:val="24"/>
        </w:rPr>
        <w:t xml:space="preserve"> even where morally or medically is </w:t>
      </w:r>
      <w:r w:rsidR="00397836">
        <w:rPr>
          <w:rFonts w:ascii="Arial" w:hAnsi="Arial" w:cs="Arial"/>
          <w:sz w:val="24"/>
          <w:szCs w:val="24"/>
        </w:rPr>
        <w:t>impermissible</w:t>
      </w:r>
      <w:r w:rsidR="001409F9">
        <w:rPr>
          <w:rFonts w:ascii="Arial" w:hAnsi="Arial" w:cs="Arial"/>
          <w:sz w:val="24"/>
          <w:szCs w:val="24"/>
        </w:rPr>
        <w:t>. Therefore ‘may’ in 10(</w:t>
      </w:r>
      <w:r w:rsidR="001409F9" w:rsidRPr="00D93A04">
        <w:rPr>
          <w:rFonts w:ascii="Arial" w:hAnsi="Arial" w:cs="Arial"/>
          <w:i/>
          <w:sz w:val="24"/>
          <w:szCs w:val="24"/>
        </w:rPr>
        <w:t>c</w:t>
      </w:r>
      <w:r w:rsidR="001409F9">
        <w:rPr>
          <w:rFonts w:ascii="Arial" w:hAnsi="Arial" w:cs="Arial"/>
          <w:sz w:val="24"/>
          <w:szCs w:val="24"/>
        </w:rPr>
        <w:t>) does not mean appellant could see patients directly, not even by any stretch of imagination.</w:t>
      </w:r>
    </w:p>
    <w:p w14:paraId="72AA851A" w14:textId="77777777" w:rsidR="003A0644" w:rsidRDefault="003A0644" w:rsidP="003A0644">
      <w:pPr>
        <w:pStyle w:val="ListParagraph"/>
        <w:tabs>
          <w:tab w:val="left" w:pos="851"/>
        </w:tabs>
        <w:spacing w:after="0" w:line="480" w:lineRule="auto"/>
        <w:ind w:left="0"/>
        <w:jc w:val="both"/>
        <w:rPr>
          <w:rFonts w:ascii="Arial" w:hAnsi="Arial" w:cs="Arial"/>
          <w:sz w:val="24"/>
          <w:szCs w:val="24"/>
        </w:rPr>
      </w:pPr>
    </w:p>
    <w:p w14:paraId="3ED7AA3C" w14:textId="3B1CEEF6" w:rsidR="003A0644" w:rsidRDefault="003A0644"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comparisons appellant makes with other professions in para [12] above is well explained in the letter</w:t>
      </w:r>
      <w:r w:rsidR="009D2616">
        <w:rPr>
          <w:rFonts w:ascii="Arial" w:hAnsi="Arial" w:cs="Arial"/>
          <w:sz w:val="24"/>
          <w:szCs w:val="24"/>
        </w:rPr>
        <w:t>s</w:t>
      </w:r>
      <w:r>
        <w:rPr>
          <w:rFonts w:ascii="Arial" w:hAnsi="Arial" w:cs="Arial"/>
          <w:sz w:val="24"/>
          <w:szCs w:val="24"/>
        </w:rPr>
        <w:t xml:space="preserve"> of the Minister and the first respondent in paras [13] and [14] above respectively and I find nothing to add to the</w:t>
      </w:r>
      <w:r w:rsidR="007B5DDE">
        <w:rPr>
          <w:rFonts w:ascii="Arial" w:hAnsi="Arial" w:cs="Arial"/>
          <w:sz w:val="24"/>
          <w:szCs w:val="24"/>
        </w:rPr>
        <w:t>ir</w:t>
      </w:r>
      <w:r>
        <w:rPr>
          <w:rFonts w:ascii="Arial" w:hAnsi="Arial" w:cs="Arial"/>
          <w:sz w:val="24"/>
          <w:szCs w:val="24"/>
        </w:rPr>
        <w:t xml:space="preserve"> explanation</w:t>
      </w:r>
      <w:r w:rsidR="007B5DDE">
        <w:rPr>
          <w:rFonts w:ascii="Arial" w:hAnsi="Arial" w:cs="Arial"/>
          <w:sz w:val="24"/>
          <w:szCs w:val="24"/>
        </w:rPr>
        <w:t>s</w:t>
      </w:r>
      <w:r>
        <w:rPr>
          <w:rFonts w:ascii="Arial" w:hAnsi="Arial" w:cs="Arial"/>
          <w:sz w:val="24"/>
          <w:szCs w:val="24"/>
        </w:rPr>
        <w:t>.</w:t>
      </w:r>
    </w:p>
    <w:p w14:paraId="0ABFC94E" w14:textId="77777777" w:rsidR="007B5DDE" w:rsidRPr="007B5DDE" w:rsidRDefault="007B5DDE" w:rsidP="007B5DDE">
      <w:pPr>
        <w:pStyle w:val="ListParagraph"/>
        <w:spacing w:after="0" w:line="480" w:lineRule="auto"/>
        <w:jc w:val="both"/>
        <w:rPr>
          <w:rFonts w:ascii="Arial" w:hAnsi="Arial" w:cs="Arial"/>
          <w:sz w:val="24"/>
          <w:szCs w:val="24"/>
        </w:rPr>
      </w:pPr>
    </w:p>
    <w:p w14:paraId="2866CC7E" w14:textId="38CE232A" w:rsidR="007B5DDE" w:rsidRDefault="007B5DDE"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It is argued in the alternative that if this court should find that the interpretation of reg 10(</w:t>
      </w:r>
      <w:r w:rsidRPr="00D93A04">
        <w:rPr>
          <w:rFonts w:ascii="Arial" w:hAnsi="Arial" w:cs="Arial"/>
          <w:i/>
          <w:sz w:val="24"/>
          <w:szCs w:val="24"/>
        </w:rPr>
        <w:t>c</w:t>
      </w:r>
      <w:r>
        <w:rPr>
          <w:rFonts w:ascii="Arial" w:hAnsi="Arial" w:cs="Arial"/>
          <w:sz w:val="24"/>
          <w:szCs w:val="24"/>
        </w:rPr>
        <w:t>) by the first respondent is correct, we should find that the process leading up to the enactment of reg 10(</w:t>
      </w:r>
      <w:r w:rsidRPr="00D93A04">
        <w:rPr>
          <w:rFonts w:ascii="Arial" w:hAnsi="Arial" w:cs="Arial"/>
          <w:i/>
          <w:sz w:val="24"/>
          <w:szCs w:val="24"/>
        </w:rPr>
        <w:t>c</w:t>
      </w:r>
      <w:r>
        <w:rPr>
          <w:rFonts w:ascii="Arial" w:hAnsi="Arial" w:cs="Arial"/>
          <w:sz w:val="24"/>
          <w:szCs w:val="24"/>
        </w:rPr>
        <w:t>) which altered the original draft 10(c) agreed upon with appellant is unlawful.</w:t>
      </w:r>
    </w:p>
    <w:p w14:paraId="67D6FACE" w14:textId="77777777" w:rsidR="001409F9" w:rsidRDefault="001409F9" w:rsidP="007B5DDE">
      <w:pPr>
        <w:pStyle w:val="ListParagraph"/>
        <w:tabs>
          <w:tab w:val="left" w:pos="851"/>
        </w:tabs>
        <w:spacing w:after="0" w:line="480" w:lineRule="auto"/>
        <w:ind w:left="0"/>
        <w:jc w:val="both"/>
        <w:rPr>
          <w:rFonts w:ascii="Arial" w:hAnsi="Arial" w:cs="Arial"/>
          <w:sz w:val="24"/>
          <w:szCs w:val="24"/>
        </w:rPr>
      </w:pPr>
    </w:p>
    <w:p w14:paraId="19903C55" w14:textId="3A45FCDF" w:rsidR="00397836" w:rsidRDefault="00397836" w:rsidP="00397836">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The procedure adopted by the respondents to enact reg 10(</w:t>
      </w:r>
      <w:r w:rsidRPr="00D93A04">
        <w:rPr>
          <w:rFonts w:ascii="Arial" w:hAnsi="Arial" w:cs="Arial"/>
          <w:i/>
          <w:sz w:val="24"/>
          <w:szCs w:val="24"/>
        </w:rPr>
        <w:t>c</w:t>
      </w:r>
      <w:r>
        <w:rPr>
          <w:rFonts w:ascii="Arial" w:hAnsi="Arial" w:cs="Arial"/>
          <w:sz w:val="24"/>
          <w:szCs w:val="24"/>
        </w:rPr>
        <w:t>) cannot be faulted. The first respondent recommended to the Minister who eventually promulgated the regulations. The referral of the recommendations of the first respondent to the PMDRC or the Executive Committee (which should comprise of the Executive Director, the deputy and directors of the various departments in the Ministry) could only enhance the quality and correctness of the regulations before the Minister’s signature and the attack on the process leading up to the enactment of the regulations is without merit. There is no evidence that the first respondent entered into an agreement with appellant to recommend everything appellant had suggested in the draft regulations. The first respondent had prerogative powers to alter and change the draft regulations as it deemed fit. That much is clear from the Minister’s letter to the appellant and in the first respondent’s to the Ombudsman’s office.</w:t>
      </w:r>
    </w:p>
    <w:p w14:paraId="5900FB57" w14:textId="77777777" w:rsidR="00397836" w:rsidRDefault="00397836" w:rsidP="001409F9">
      <w:pPr>
        <w:pStyle w:val="ListParagraph"/>
        <w:tabs>
          <w:tab w:val="left" w:pos="851"/>
        </w:tabs>
        <w:spacing w:after="0" w:line="480" w:lineRule="auto"/>
        <w:ind w:left="0"/>
        <w:jc w:val="both"/>
        <w:rPr>
          <w:rFonts w:ascii="Arial" w:hAnsi="Arial" w:cs="Arial"/>
          <w:sz w:val="24"/>
          <w:szCs w:val="24"/>
        </w:rPr>
      </w:pPr>
    </w:p>
    <w:p w14:paraId="39D286A8" w14:textId="3FA8B2FF" w:rsidR="001409F9" w:rsidRDefault="001409F9"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Therefore the argument on prospects of success also fail.</w:t>
      </w:r>
    </w:p>
    <w:p w14:paraId="45E7C138" w14:textId="77777777" w:rsidR="001409F9" w:rsidRPr="001409F9" w:rsidRDefault="001409F9" w:rsidP="001409F9">
      <w:pPr>
        <w:pStyle w:val="ListParagraph"/>
        <w:spacing w:after="0" w:line="480" w:lineRule="auto"/>
        <w:jc w:val="both"/>
        <w:rPr>
          <w:rFonts w:ascii="Arial" w:hAnsi="Arial" w:cs="Arial"/>
          <w:sz w:val="24"/>
          <w:szCs w:val="24"/>
        </w:rPr>
      </w:pPr>
    </w:p>
    <w:p w14:paraId="3D60A50D" w14:textId="6E5259FA" w:rsidR="001409F9" w:rsidRDefault="001409F9"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It is left to speak on costs. I have </w:t>
      </w:r>
      <w:r w:rsidR="00184A4A">
        <w:rPr>
          <w:rFonts w:ascii="Arial" w:hAnsi="Arial" w:cs="Arial"/>
          <w:sz w:val="24"/>
          <w:szCs w:val="24"/>
        </w:rPr>
        <w:t>laboured</w:t>
      </w:r>
      <w:r>
        <w:rPr>
          <w:rFonts w:ascii="Arial" w:hAnsi="Arial" w:cs="Arial"/>
          <w:sz w:val="24"/>
          <w:szCs w:val="24"/>
        </w:rPr>
        <w:t xml:space="preserve"> this judgment with unnecessary references but for a lay-litigant it was necessary to address </w:t>
      </w:r>
      <w:r w:rsidR="003A0644">
        <w:rPr>
          <w:rFonts w:ascii="Arial" w:hAnsi="Arial" w:cs="Arial"/>
          <w:sz w:val="24"/>
          <w:szCs w:val="24"/>
        </w:rPr>
        <w:t>most of</w:t>
      </w:r>
      <w:r>
        <w:rPr>
          <w:rFonts w:ascii="Arial" w:hAnsi="Arial" w:cs="Arial"/>
          <w:sz w:val="24"/>
          <w:szCs w:val="24"/>
        </w:rPr>
        <w:t xml:space="preserve"> the issues he raised. I am not going to record arguments for and against costs. Suffice to say award of costs in favour of the first respondent is warranted.</w:t>
      </w:r>
    </w:p>
    <w:p w14:paraId="38AE8ED7" w14:textId="2F644104" w:rsidR="001C288D" w:rsidRPr="00747BE1" w:rsidRDefault="00747BE1" w:rsidP="001C288D">
      <w:pPr>
        <w:pStyle w:val="ListParagraph"/>
        <w:tabs>
          <w:tab w:val="left" w:pos="851"/>
        </w:tabs>
        <w:spacing w:after="0" w:line="480" w:lineRule="auto"/>
        <w:ind w:left="0"/>
        <w:jc w:val="both"/>
        <w:rPr>
          <w:rFonts w:ascii="Arial" w:hAnsi="Arial" w:cs="Arial"/>
          <w:sz w:val="24"/>
          <w:szCs w:val="24"/>
          <w:u w:val="single"/>
        </w:rPr>
      </w:pPr>
      <w:r w:rsidRPr="00747BE1">
        <w:rPr>
          <w:rFonts w:ascii="Arial" w:hAnsi="Arial" w:cs="Arial"/>
          <w:sz w:val="24"/>
          <w:szCs w:val="24"/>
          <w:u w:val="single"/>
        </w:rPr>
        <w:t>Order</w:t>
      </w:r>
    </w:p>
    <w:p w14:paraId="15383ABA" w14:textId="5BF23905" w:rsidR="008F6FDC" w:rsidRDefault="008F6FDC" w:rsidP="00250AA9">
      <w:pPr>
        <w:pStyle w:val="ListParagraph"/>
        <w:numPr>
          <w:ilvl w:val="0"/>
          <w:numId w:val="1"/>
        </w:numPr>
        <w:tabs>
          <w:tab w:val="left" w:pos="851"/>
        </w:tabs>
        <w:spacing w:after="0" w:line="480" w:lineRule="auto"/>
        <w:jc w:val="both"/>
        <w:rPr>
          <w:rFonts w:ascii="Arial" w:hAnsi="Arial" w:cs="Arial"/>
          <w:sz w:val="24"/>
          <w:szCs w:val="24"/>
        </w:rPr>
      </w:pPr>
      <w:r>
        <w:rPr>
          <w:rFonts w:ascii="Arial" w:hAnsi="Arial" w:cs="Arial"/>
          <w:sz w:val="24"/>
          <w:szCs w:val="24"/>
        </w:rPr>
        <w:t>I</w:t>
      </w:r>
      <w:r w:rsidR="001409F9">
        <w:rPr>
          <w:rFonts w:ascii="Arial" w:hAnsi="Arial" w:cs="Arial"/>
          <w:sz w:val="24"/>
          <w:szCs w:val="24"/>
        </w:rPr>
        <w:t>n the result I make the following order.</w:t>
      </w:r>
    </w:p>
    <w:p w14:paraId="652BCA06" w14:textId="77777777" w:rsidR="001409F9" w:rsidRDefault="001409F9" w:rsidP="001409F9">
      <w:pPr>
        <w:pStyle w:val="ListParagraph"/>
        <w:tabs>
          <w:tab w:val="left" w:pos="851"/>
        </w:tabs>
        <w:spacing w:after="0" w:line="480" w:lineRule="auto"/>
        <w:ind w:left="360"/>
        <w:jc w:val="both"/>
        <w:rPr>
          <w:rFonts w:ascii="Arial" w:hAnsi="Arial" w:cs="Arial"/>
          <w:sz w:val="24"/>
          <w:szCs w:val="24"/>
        </w:rPr>
      </w:pPr>
    </w:p>
    <w:p w14:paraId="768263C8" w14:textId="071EFBF3" w:rsidR="001409F9" w:rsidRDefault="001409F9" w:rsidP="001409F9">
      <w:pPr>
        <w:pStyle w:val="ListParagraph"/>
        <w:tabs>
          <w:tab w:val="left" w:pos="851"/>
        </w:tabs>
        <w:spacing w:after="0" w:line="480" w:lineRule="auto"/>
        <w:ind w:left="360"/>
        <w:jc w:val="both"/>
        <w:rPr>
          <w:rFonts w:ascii="Arial" w:hAnsi="Arial" w:cs="Arial"/>
          <w:sz w:val="24"/>
          <w:szCs w:val="24"/>
        </w:rPr>
      </w:pPr>
      <w:r>
        <w:rPr>
          <w:rFonts w:ascii="Arial" w:hAnsi="Arial" w:cs="Arial"/>
          <w:sz w:val="24"/>
          <w:szCs w:val="24"/>
        </w:rPr>
        <w:tab/>
        <w:t>The appeal is struck from the roll with costs.</w:t>
      </w:r>
    </w:p>
    <w:p w14:paraId="39402E9E" w14:textId="77777777" w:rsidR="008215A9" w:rsidRDefault="008215A9" w:rsidP="007D275A">
      <w:pPr>
        <w:spacing w:after="0" w:line="240" w:lineRule="auto"/>
        <w:jc w:val="both"/>
        <w:rPr>
          <w:rFonts w:ascii="Arial" w:hAnsi="Arial" w:cs="Arial"/>
          <w:sz w:val="24"/>
          <w:szCs w:val="24"/>
        </w:rPr>
      </w:pPr>
    </w:p>
    <w:p w14:paraId="5D21FC2C" w14:textId="77777777" w:rsidR="00B158BF" w:rsidRDefault="00B158BF" w:rsidP="007D275A">
      <w:pPr>
        <w:spacing w:after="0" w:line="240" w:lineRule="auto"/>
        <w:jc w:val="both"/>
        <w:rPr>
          <w:rFonts w:ascii="Arial" w:hAnsi="Arial" w:cs="Arial"/>
          <w:sz w:val="24"/>
          <w:szCs w:val="24"/>
        </w:rPr>
      </w:pPr>
    </w:p>
    <w:p w14:paraId="34801806" w14:textId="77777777" w:rsidR="00544A90" w:rsidRDefault="00544A90" w:rsidP="007D275A">
      <w:pPr>
        <w:spacing w:after="0" w:line="240" w:lineRule="auto"/>
        <w:jc w:val="both"/>
        <w:rPr>
          <w:rFonts w:ascii="Arial" w:hAnsi="Arial" w:cs="Arial"/>
          <w:sz w:val="24"/>
          <w:szCs w:val="24"/>
        </w:rPr>
      </w:pPr>
    </w:p>
    <w:p w14:paraId="2AFDD894" w14:textId="77777777" w:rsidR="009D2616" w:rsidRDefault="009D2616" w:rsidP="007D275A">
      <w:pPr>
        <w:spacing w:after="0" w:line="240" w:lineRule="auto"/>
        <w:jc w:val="both"/>
        <w:rPr>
          <w:rFonts w:ascii="Arial" w:hAnsi="Arial" w:cs="Arial"/>
          <w:sz w:val="24"/>
          <w:szCs w:val="24"/>
        </w:rPr>
      </w:pPr>
    </w:p>
    <w:p w14:paraId="2A02D02E" w14:textId="77777777" w:rsidR="009D2616" w:rsidRDefault="009D2616" w:rsidP="007D275A">
      <w:pPr>
        <w:spacing w:after="0" w:line="240" w:lineRule="auto"/>
        <w:jc w:val="both"/>
        <w:rPr>
          <w:rFonts w:ascii="Arial" w:hAnsi="Arial" w:cs="Arial"/>
          <w:sz w:val="24"/>
          <w:szCs w:val="24"/>
        </w:rPr>
      </w:pPr>
    </w:p>
    <w:p w14:paraId="4F9C1157"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31521FF5"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3C3FBF27" w14:textId="77777777" w:rsidR="00F36668" w:rsidRDefault="00F36668" w:rsidP="00D36262">
      <w:pPr>
        <w:spacing w:after="0" w:line="240" w:lineRule="auto"/>
        <w:jc w:val="both"/>
        <w:rPr>
          <w:rFonts w:ascii="Arial" w:hAnsi="Arial" w:cs="Arial"/>
          <w:sz w:val="24"/>
          <w:szCs w:val="24"/>
        </w:rPr>
      </w:pPr>
    </w:p>
    <w:p w14:paraId="0484A3A6" w14:textId="77777777" w:rsidR="0010056C" w:rsidRDefault="0010056C" w:rsidP="00D36262">
      <w:pPr>
        <w:spacing w:after="0" w:line="240" w:lineRule="auto"/>
        <w:jc w:val="both"/>
        <w:rPr>
          <w:rFonts w:ascii="Arial" w:hAnsi="Arial" w:cs="Arial"/>
          <w:sz w:val="24"/>
          <w:szCs w:val="24"/>
        </w:rPr>
      </w:pPr>
    </w:p>
    <w:p w14:paraId="48F92E08" w14:textId="77777777" w:rsidR="009D2616" w:rsidRDefault="009D2616" w:rsidP="00D36262">
      <w:pPr>
        <w:spacing w:after="0" w:line="240" w:lineRule="auto"/>
        <w:jc w:val="both"/>
        <w:rPr>
          <w:rFonts w:ascii="Arial" w:hAnsi="Arial" w:cs="Arial"/>
          <w:sz w:val="24"/>
          <w:szCs w:val="24"/>
        </w:rPr>
      </w:pPr>
    </w:p>
    <w:p w14:paraId="69B85ADB" w14:textId="7BD74F7E" w:rsidR="0010056C" w:rsidRDefault="00927EA9" w:rsidP="0010056C">
      <w:pPr>
        <w:spacing w:after="0" w:line="240" w:lineRule="auto"/>
        <w:jc w:val="both"/>
        <w:rPr>
          <w:rFonts w:ascii="Arial" w:hAnsi="Arial" w:cs="Arial"/>
          <w:sz w:val="24"/>
          <w:szCs w:val="24"/>
        </w:rPr>
      </w:pPr>
      <w:r>
        <w:rPr>
          <w:rFonts w:ascii="Arial" w:hAnsi="Arial" w:cs="Arial"/>
          <w:sz w:val="24"/>
          <w:szCs w:val="24"/>
        </w:rPr>
        <w:t>I agree</w:t>
      </w:r>
    </w:p>
    <w:p w14:paraId="57EA5D6A" w14:textId="594A48B4" w:rsidR="001E3FC8" w:rsidRDefault="001E3FC8" w:rsidP="00D36262">
      <w:pPr>
        <w:spacing w:after="0" w:line="240" w:lineRule="auto"/>
        <w:jc w:val="both"/>
        <w:rPr>
          <w:rFonts w:ascii="Arial" w:hAnsi="Arial" w:cs="Arial"/>
          <w:sz w:val="24"/>
          <w:szCs w:val="24"/>
        </w:rPr>
      </w:pPr>
    </w:p>
    <w:p w14:paraId="0B949537" w14:textId="77777777" w:rsidR="0010056C" w:rsidRDefault="0010056C" w:rsidP="00D36262">
      <w:pPr>
        <w:spacing w:after="0" w:line="240" w:lineRule="auto"/>
        <w:jc w:val="both"/>
        <w:rPr>
          <w:rFonts w:ascii="Arial" w:hAnsi="Arial" w:cs="Arial"/>
          <w:sz w:val="24"/>
          <w:szCs w:val="24"/>
        </w:rPr>
      </w:pPr>
    </w:p>
    <w:p w14:paraId="5E2D2530" w14:textId="77777777" w:rsidR="0010056C" w:rsidRDefault="0010056C" w:rsidP="00D36262">
      <w:pPr>
        <w:spacing w:after="0" w:line="240" w:lineRule="auto"/>
        <w:jc w:val="both"/>
        <w:rPr>
          <w:rFonts w:ascii="Arial" w:hAnsi="Arial" w:cs="Arial"/>
          <w:sz w:val="24"/>
          <w:szCs w:val="24"/>
        </w:rPr>
      </w:pPr>
    </w:p>
    <w:p w14:paraId="59CAE192" w14:textId="77777777" w:rsidR="005A4FF5" w:rsidRDefault="005A4FF5" w:rsidP="00D36262">
      <w:pPr>
        <w:spacing w:after="0" w:line="240" w:lineRule="auto"/>
        <w:jc w:val="both"/>
        <w:rPr>
          <w:rFonts w:ascii="Arial" w:hAnsi="Arial" w:cs="Arial"/>
          <w:sz w:val="24"/>
          <w:szCs w:val="24"/>
        </w:rPr>
      </w:pPr>
    </w:p>
    <w:p w14:paraId="0560C304" w14:textId="1C6AE649" w:rsidR="0010056C" w:rsidRPr="00B53471" w:rsidRDefault="00D36262" w:rsidP="0010056C">
      <w:pPr>
        <w:spacing w:after="0" w:line="240" w:lineRule="auto"/>
        <w:jc w:val="both"/>
        <w:rPr>
          <w:rFonts w:ascii="Arial" w:hAnsi="Arial" w:cs="Arial"/>
          <w:sz w:val="24"/>
          <w:szCs w:val="24"/>
        </w:rPr>
      </w:pPr>
      <w:r>
        <w:rPr>
          <w:rFonts w:ascii="Arial" w:hAnsi="Arial" w:cs="Arial"/>
          <w:sz w:val="24"/>
          <w:szCs w:val="24"/>
        </w:rPr>
        <w:t>___________________</w:t>
      </w:r>
    </w:p>
    <w:p w14:paraId="6C2621E7" w14:textId="2D39575F" w:rsidR="0010056C" w:rsidRDefault="006D411B" w:rsidP="0010056C">
      <w:pPr>
        <w:spacing w:after="0" w:line="240" w:lineRule="auto"/>
        <w:jc w:val="both"/>
        <w:rPr>
          <w:rFonts w:ascii="Arial" w:hAnsi="Arial" w:cs="Arial"/>
          <w:b/>
          <w:sz w:val="24"/>
          <w:szCs w:val="24"/>
        </w:rPr>
      </w:pPr>
      <w:r>
        <w:rPr>
          <w:rFonts w:ascii="Arial" w:hAnsi="Arial" w:cs="Arial"/>
          <w:b/>
          <w:sz w:val="24"/>
          <w:szCs w:val="24"/>
        </w:rPr>
        <w:t>DAMASEB DCJ</w:t>
      </w:r>
    </w:p>
    <w:p w14:paraId="0DEF96A1" w14:textId="77777777" w:rsidR="0010056C" w:rsidRDefault="0010056C" w:rsidP="0010056C">
      <w:pPr>
        <w:spacing w:after="0" w:line="240" w:lineRule="auto"/>
        <w:jc w:val="both"/>
        <w:rPr>
          <w:rFonts w:ascii="Arial" w:hAnsi="Arial" w:cs="Arial"/>
          <w:b/>
          <w:sz w:val="24"/>
          <w:szCs w:val="24"/>
        </w:rPr>
      </w:pPr>
    </w:p>
    <w:p w14:paraId="3B724DC5" w14:textId="77777777" w:rsidR="0010056C" w:rsidRDefault="0010056C" w:rsidP="0010056C">
      <w:pPr>
        <w:spacing w:after="0" w:line="240" w:lineRule="auto"/>
        <w:jc w:val="both"/>
        <w:rPr>
          <w:rFonts w:ascii="Arial" w:hAnsi="Arial" w:cs="Arial"/>
          <w:b/>
          <w:sz w:val="24"/>
          <w:szCs w:val="24"/>
        </w:rPr>
      </w:pPr>
    </w:p>
    <w:p w14:paraId="541BB0D5" w14:textId="77777777" w:rsidR="002D5C5B" w:rsidRDefault="002D5C5B" w:rsidP="00A43E98">
      <w:pPr>
        <w:spacing w:after="0" w:line="240" w:lineRule="auto"/>
        <w:jc w:val="both"/>
        <w:rPr>
          <w:rFonts w:ascii="Arial" w:hAnsi="Arial" w:cs="Arial"/>
          <w:b/>
          <w:sz w:val="24"/>
          <w:szCs w:val="24"/>
        </w:rPr>
      </w:pPr>
    </w:p>
    <w:p w14:paraId="2809F670" w14:textId="77777777" w:rsidR="001409F9" w:rsidRDefault="001409F9" w:rsidP="00A43E98">
      <w:pPr>
        <w:spacing w:after="0" w:line="240" w:lineRule="auto"/>
        <w:jc w:val="both"/>
        <w:rPr>
          <w:rFonts w:ascii="Arial" w:hAnsi="Arial" w:cs="Arial"/>
          <w:b/>
          <w:sz w:val="24"/>
          <w:szCs w:val="24"/>
        </w:rPr>
      </w:pPr>
    </w:p>
    <w:p w14:paraId="43FC18EE" w14:textId="61CDCF97" w:rsidR="0010056C" w:rsidRDefault="00927EA9" w:rsidP="00A43E98">
      <w:pPr>
        <w:spacing w:after="0" w:line="240" w:lineRule="auto"/>
        <w:jc w:val="both"/>
        <w:rPr>
          <w:rFonts w:ascii="Arial" w:hAnsi="Arial" w:cs="Arial"/>
          <w:b/>
          <w:sz w:val="24"/>
          <w:szCs w:val="24"/>
        </w:rPr>
      </w:pPr>
      <w:r>
        <w:rPr>
          <w:rFonts w:ascii="Arial" w:hAnsi="Arial" w:cs="Arial"/>
          <w:sz w:val="24"/>
          <w:szCs w:val="24"/>
        </w:rPr>
        <w:t>___________________</w:t>
      </w:r>
    </w:p>
    <w:p w14:paraId="51002509" w14:textId="26AD6C94" w:rsidR="00927EA9" w:rsidRDefault="006D411B" w:rsidP="00927EA9">
      <w:pPr>
        <w:spacing w:after="0" w:line="240" w:lineRule="auto"/>
        <w:jc w:val="both"/>
        <w:rPr>
          <w:rFonts w:ascii="Arial" w:hAnsi="Arial" w:cs="Arial"/>
          <w:b/>
          <w:sz w:val="24"/>
          <w:szCs w:val="24"/>
        </w:rPr>
      </w:pPr>
      <w:r>
        <w:rPr>
          <w:rFonts w:ascii="Arial" w:hAnsi="Arial" w:cs="Arial"/>
          <w:b/>
          <w:sz w:val="24"/>
          <w:szCs w:val="24"/>
        </w:rPr>
        <w:t>FRANK AJA</w:t>
      </w:r>
    </w:p>
    <w:p w14:paraId="1A67C106" w14:textId="77777777" w:rsidR="009D2616" w:rsidRDefault="009D2616" w:rsidP="00927EA9">
      <w:pPr>
        <w:spacing w:after="0" w:line="240" w:lineRule="auto"/>
        <w:jc w:val="both"/>
        <w:rPr>
          <w:rFonts w:ascii="Arial" w:hAnsi="Arial" w:cs="Arial"/>
          <w:b/>
          <w:sz w:val="24"/>
          <w:szCs w:val="24"/>
        </w:rPr>
      </w:pPr>
    </w:p>
    <w:p w14:paraId="1964CE09" w14:textId="77777777" w:rsidR="009D2616" w:rsidRDefault="009D2616" w:rsidP="00927EA9">
      <w:pPr>
        <w:spacing w:after="0" w:line="240" w:lineRule="auto"/>
        <w:jc w:val="both"/>
        <w:rPr>
          <w:rFonts w:ascii="Arial" w:hAnsi="Arial" w:cs="Arial"/>
          <w:b/>
          <w:sz w:val="24"/>
          <w:szCs w:val="24"/>
        </w:rPr>
      </w:pPr>
    </w:p>
    <w:p w14:paraId="4B40F45A" w14:textId="77777777" w:rsidR="009D2616" w:rsidRDefault="009D2616" w:rsidP="00927EA9">
      <w:pPr>
        <w:spacing w:after="0" w:line="240" w:lineRule="auto"/>
        <w:jc w:val="both"/>
        <w:rPr>
          <w:rFonts w:ascii="Arial" w:hAnsi="Arial" w:cs="Arial"/>
          <w:b/>
          <w:sz w:val="24"/>
          <w:szCs w:val="24"/>
        </w:rPr>
      </w:pPr>
    </w:p>
    <w:p w14:paraId="15EB0CAB" w14:textId="77777777" w:rsidR="009D2616" w:rsidRDefault="009D2616" w:rsidP="00927EA9">
      <w:pPr>
        <w:spacing w:after="0" w:line="240" w:lineRule="auto"/>
        <w:jc w:val="both"/>
        <w:rPr>
          <w:rFonts w:ascii="Arial" w:hAnsi="Arial" w:cs="Arial"/>
          <w:b/>
          <w:sz w:val="24"/>
          <w:szCs w:val="24"/>
        </w:rPr>
      </w:pPr>
    </w:p>
    <w:p w14:paraId="7551CC24" w14:textId="77777777" w:rsidR="009D2616" w:rsidRDefault="009D2616" w:rsidP="00927EA9">
      <w:pPr>
        <w:spacing w:after="0" w:line="240" w:lineRule="auto"/>
        <w:jc w:val="both"/>
        <w:rPr>
          <w:rFonts w:ascii="Arial" w:hAnsi="Arial" w:cs="Arial"/>
          <w:b/>
          <w:sz w:val="24"/>
          <w:szCs w:val="24"/>
        </w:rPr>
      </w:pPr>
    </w:p>
    <w:p w14:paraId="5E1180FB" w14:textId="77777777" w:rsidR="009D2616" w:rsidRDefault="009D2616" w:rsidP="00927EA9">
      <w:pPr>
        <w:spacing w:after="0" w:line="240" w:lineRule="auto"/>
        <w:jc w:val="both"/>
        <w:rPr>
          <w:rFonts w:ascii="Arial" w:hAnsi="Arial" w:cs="Arial"/>
          <w:b/>
          <w:sz w:val="24"/>
          <w:szCs w:val="24"/>
        </w:rPr>
      </w:pPr>
    </w:p>
    <w:p w14:paraId="608DF96B" w14:textId="77777777" w:rsidR="009D2616" w:rsidRDefault="009D2616" w:rsidP="00927EA9">
      <w:pPr>
        <w:spacing w:after="0" w:line="240" w:lineRule="auto"/>
        <w:jc w:val="both"/>
        <w:rPr>
          <w:rFonts w:ascii="Arial" w:hAnsi="Arial" w:cs="Arial"/>
          <w:b/>
          <w:sz w:val="24"/>
          <w:szCs w:val="24"/>
        </w:rPr>
      </w:pPr>
    </w:p>
    <w:p w14:paraId="41A66EB7" w14:textId="77777777" w:rsidR="009D2616" w:rsidRDefault="009D2616" w:rsidP="00927EA9">
      <w:pPr>
        <w:spacing w:after="0" w:line="240" w:lineRule="auto"/>
        <w:jc w:val="both"/>
        <w:rPr>
          <w:rFonts w:ascii="Arial" w:hAnsi="Arial" w:cs="Arial"/>
          <w:b/>
          <w:sz w:val="24"/>
          <w:szCs w:val="24"/>
        </w:rPr>
      </w:pPr>
    </w:p>
    <w:p w14:paraId="302DCB3D" w14:textId="77777777" w:rsidR="006F18E3" w:rsidRDefault="006F18E3" w:rsidP="00927EA9">
      <w:pPr>
        <w:spacing w:after="0" w:line="240" w:lineRule="auto"/>
        <w:jc w:val="both"/>
        <w:rPr>
          <w:rFonts w:ascii="Arial" w:hAnsi="Arial" w:cs="Arial"/>
          <w:b/>
          <w:sz w:val="24"/>
          <w:szCs w:val="24"/>
        </w:rPr>
      </w:pPr>
    </w:p>
    <w:p w14:paraId="67DAC324" w14:textId="77777777" w:rsidR="006F18E3" w:rsidRDefault="006F18E3" w:rsidP="00927EA9">
      <w:pPr>
        <w:spacing w:after="0" w:line="240" w:lineRule="auto"/>
        <w:jc w:val="both"/>
        <w:rPr>
          <w:rFonts w:ascii="Arial" w:hAnsi="Arial" w:cs="Arial"/>
          <w:b/>
          <w:sz w:val="24"/>
          <w:szCs w:val="24"/>
        </w:rPr>
      </w:pPr>
    </w:p>
    <w:p w14:paraId="4E7D3011" w14:textId="77777777" w:rsidR="006F18E3" w:rsidRDefault="006F18E3" w:rsidP="00927EA9">
      <w:pPr>
        <w:spacing w:after="0" w:line="240" w:lineRule="auto"/>
        <w:jc w:val="both"/>
        <w:rPr>
          <w:rFonts w:ascii="Arial" w:hAnsi="Arial" w:cs="Arial"/>
          <w:b/>
          <w:sz w:val="24"/>
          <w:szCs w:val="24"/>
        </w:rPr>
      </w:pPr>
    </w:p>
    <w:p w14:paraId="32D7C8E0" w14:textId="77777777" w:rsidR="00D93A04" w:rsidRDefault="00D93A04" w:rsidP="00927EA9">
      <w:pPr>
        <w:spacing w:after="0" w:line="240" w:lineRule="auto"/>
        <w:jc w:val="both"/>
        <w:rPr>
          <w:rFonts w:ascii="Arial" w:hAnsi="Arial" w:cs="Arial"/>
          <w:b/>
          <w:sz w:val="24"/>
          <w:szCs w:val="24"/>
        </w:rPr>
      </w:pPr>
    </w:p>
    <w:p w14:paraId="1B4219F6" w14:textId="77777777" w:rsidR="00D93A04" w:rsidRDefault="00D93A04" w:rsidP="00927EA9">
      <w:pPr>
        <w:spacing w:after="0" w:line="240" w:lineRule="auto"/>
        <w:jc w:val="both"/>
        <w:rPr>
          <w:rFonts w:ascii="Arial" w:hAnsi="Arial" w:cs="Arial"/>
          <w:b/>
          <w:sz w:val="24"/>
          <w:szCs w:val="24"/>
        </w:rPr>
      </w:pPr>
    </w:p>
    <w:p w14:paraId="51EAAB03" w14:textId="77777777" w:rsidR="00D93A04" w:rsidRDefault="00D93A04" w:rsidP="00927EA9">
      <w:pPr>
        <w:spacing w:after="0" w:line="240" w:lineRule="auto"/>
        <w:jc w:val="both"/>
        <w:rPr>
          <w:rFonts w:ascii="Arial" w:hAnsi="Arial" w:cs="Arial"/>
          <w:b/>
          <w:sz w:val="24"/>
          <w:szCs w:val="24"/>
        </w:rPr>
      </w:pPr>
    </w:p>
    <w:p w14:paraId="32AF7838" w14:textId="77777777" w:rsidR="00D93A04" w:rsidRDefault="00D93A04" w:rsidP="00927EA9">
      <w:pPr>
        <w:spacing w:after="0" w:line="240" w:lineRule="auto"/>
        <w:jc w:val="both"/>
        <w:rPr>
          <w:rFonts w:ascii="Arial" w:hAnsi="Arial" w:cs="Arial"/>
          <w:b/>
          <w:sz w:val="24"/>
          <w:szCs w:val="24"/>
        </w:rPr>
      </w:pPr>
    </w:p>
    <w:p w14:paraId="10A3C5ED" w14:textId="77777777" w:rsidR="00D93A04" w:rsidRDefault="00D93A04" w:rsidP="00927EA9">
      <w:pPr>
        <w:spacing w:after="0" w:line="240" w:lineRule="auto"/>
        <w:jc w:val="both"/>
        <w:rPr>
          <w:rFonts w:ascii="Arial" w:hAnsi="Arial" w:cs="Arial"/>
          <w:b/>
          <w:sz w:val="24"/>
          <w:szCs w:val="24"/>
        </w:rPr>
      </w:pPr>
    </w:p>
    <w:p w14:paraId="75ECD6CF" w14:textId="77777777" w:rsidR="00D93A04" w:rsidRDefault="00D93A04" w:rsidP="00927EA9">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14:paraId="7A826119" w14:textId="77777777" w:rsidTr="008E0490">
        <w:tc>
          <w:tcPr>
            <w:tcW w:w="4701" w:type="dxa"/>
            <w:shd w:val="clear" w:color="auto" w:fill="auto"/>
          </w:tcPr>
          <w:p w14:paraId="32AA160F" w14:textId="77777777"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t>APPEARANCES:</w:t>
            </w:r>
          </w:p>
          <w:p w14:paraId="421D0502" w14:textId="77777777" w:rsidR="004169A7" w:rsidRPr="00500CF6" w:rsidRDefault="004169A7" w:rsidP="00500CF6">
            <w:pPr>
              <w:spacing w:after="0" w:line="480" w:lineRule="auto"/>
              <w:ind w:right="-146"/>
              <w:rPr>
                <w:rFonts w:ascii="Arial" w:hAnsi="Arial" w:cs="Arial"/>
                <w:sz w:val="24"/>
                <w:szCs w:val="24"/>
              </w:rPr>
            </w:pPr>
          </w:p>
          <w:p w14:paraId="01E54DF4" w14:textId="77777777" w:rsidR="00B4276E"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p w14:paraId="54EC364C" w14:textId="77777777" w:rsidR="005A03F3" w:rsidRDefault="005A03F3" w:rsidP="00500CF6">
            <w:pPr>
              <w:spacing w:after="0" w:line="480" w:lineRule="auto"/>
              <w:ind w:right="-146"/>
              <w:rPr>
                <w:rFonts w:ascii="Arial" w:hAnsi="Arial" w:cs="Arial"/>
                <w:sz w:val="24"/>
                <w:szCs w:val="24"/>
              </w:rPr>
            </w:pPr>
          </w:p>
          <w:p w14:paraId="6E55E31C" w14:textId="45BCEB6E" w:rsidR="005A03F3" w:rsidRPr="00500CF6" w:rsidRDefault="00F01DD8" w:rsidP="00500CF6">
            <w:pPr>
              <w:spacing w:after="0" w:line="480" w:lineRule="auto"/>
              <w:ind w:right="-146"/>
              <w:rPr>
                <w:rFonts w:ascii="Arial" w:hAnsi="Arial" w:cs="Arial"/>
                <w:sz w:val="24"/>
                <w:szCs w:val="24"/>
              </w:rPr>
            </w:pPr>
            <w:r>
              <w:rPr>
                <w:rFonts w:ascii="Arial" w:hAnsi="Arial" w:cs="Arial"/>
                <w:sz w:val="24"/>
                <w:szCs w:val="24"/>
              </w:rPr>
              <w:t xml:space="preserve">First </w:t>
            </w:r>
            <w:r w:rsidR="005A03F3">
              <w:rPr>
                <w:rFonts w:ascii="Arial" w:hAnsi="Arial" w:cs="Arial"/>
                <w:sz w:val="24"/>
                <w:szCs w:val="24"/>
              </w:rPr>
              <w:t>Respondent</w:t>
            </w:r>
          </w:p>
        </w:tc>
        <w:tc>
          <w:tcPr>
            <w:tcW w:w="4371" w:type="dxa"/>
            <w:shd w:val="clear" w:color="auto" w:fill="auto"/>
          </w:tcPr>
          <w:p w14:paraId="6FF68AA7" w14:textId="77777777" w:rsidR="000C319E" w:rsidRPr="00500CF6" w:rsidRDefault="000C319E" w:rsidP="00500CF6">
            <w:pPr>
              <w:spacing w:after="0" w:line="480" w:lineRule="auto"/>
              <w:rPr>
                <w:rFonts w:ascii="Arial" w:hAnsi="Arial" w:cs="Arial"/>
                <w:sz w:val="24"/>
                <w:szCs w:val="24"/>
              </w:rPr>
            </w:pPr>
          </w:p>
          <w:p w14:paraId="60320EA5" w14:textId="77777777" w:rsidR="004169A7" w:rsidRPr="00500CF6" w:rsidRDefault="004169A7" w:rsidP="00500CF6">
            <w:pPr>
              <w:spacing w:after="0" w:line="480" w:lineRule="auto"/>
              <w:rPr>
                <w:rFonts w:ascii="Arial" w:hAnsi="Arial" w:cs="Arial"/>
                <w:sz w:val="24"/>
                <w:szCs w:val="24"/>
              </w:rPr>
            </w:pPr>
          </w:p>
          <w:p w14:paraId="6579B2D4" w14:textId="5CB23FB4" w:rsidR="00652139" w:rsidRDefault="002327F4" w:rsidP="005A03F3">
            <w:pPr>
              <w:spacing w:after="0" w:line="480" w:lineRule="auto"/>
              <w:rPr>
                <w:rFonts w:ascii="Arial" w:hAnsi="Arial" w:cs="Arial"/>
                <w:sz w:val="24"/>
                <w:szCs w:val="24"/>
              </w:rPr>
            </w:pPr>
            <w:r>
              <w:rPr>
                <w:rFonts w:ascii="Arial" w:hAnsi="Arial" w:cs="Arial"/>
                <w:sz w:val="24"/>
                <w:szCs w:val="24"/>
              </w:rPr>
              <w:t>In Person</w:t>
            </w:r>
          </w:p>
          <w:p w14:paraId="6E8E370E" w14:textId="77777777" w:rsidR="00652139" w:rsidRDefault="00652139" w:rsidP="005A03F3">
            <w:pPr>
              <w:spacing w:after="0" w:line="480" w:lineRule="auto"/>
              <w:rPr>
                <w:rFonts w:ascii="Arial" w:hAnsi="Arial" w:cs="Arial"/>
                <w:sz w:val="24"/>
                <w:szCs w:val="24"/>
              </w:rPr>
            </w:pPr>
          </w:p>
          <w:p w14:paraId="7B68B205" w14:textId="712D98CD" w:rsidR="00652139" w:rsidRPr="00500CF6" w:rsidRDefault="00AF3341" w:rsidP="00F01DD8">
            <w:pPr>
              <w:spacing w:after="0" w:line="480" w:lineRule="auto"/>
              <w:rPr>
                <w:rFonts w:ascii="Arial" w:hAnsi="Arial" w:cs="Arial"/>
                <w:sz w:val="24"/>
                <w:szCs w:val="24"/>
              </w:rPr>
            </w:pPr>
            <w:r>
              <w:rPr>
                <w:rFonts w:ascii="Arial" w:hAnsi="Arial" w:cs="Arial"/>
                <w:sz w:val="24"/>
                <w:szCs w:val="24"/>
              </w:rPr>
              <w:t xml:space="preserve">K </w:t>
            </w:r>
            <w:r w:rsidR="00F01DD8">
              <w:rPr>
                <w:rFonts w:ascii="Arial" w:hAnsi="Arial" w:cs="Arial"/>
                <w:sz w:val="24"/>
                <w:szCs w:val="24"/>
              </w:rPr>
              <w:t>Kangueehi</w:t>
            </w:r>
          </w:p>
        </w:tc>
      </w:tr>
      <w:tr w:rsidR="00B4276E" w:rsidRPr="00500CF6" w14:paraId="3335CD84" w14:textId="77777777" w:rsidTr="008E0490">
        <w:tc>
          <w:tcPr>
            <w:tcW w:w="4701" w:type="dxa"/>
            <w:shd w:val="clear" w:color="auto" w:fill="auto"/>
          </w:tcPr>
          <w:p w14:paraId="76D402E0" w14:textId="08CE548C" w:rsidR="00B4276E" w:rsidRPr="00500CF6" w:rsidRDefault="00B4276E" w:rsidP="00500CF6">
            <w:pPr>
              <w:spacing w:after="0" w:line="480" w:lineRule="auto"/>
              <w:rPr>
                <w:rFonts w:ascii="Arial" w:hAnsi="Arial" w:cs="Arial"/>
                <w:sz w:val="24"/>
                <w:szCs w:val="24"/>
              </w:rPr>
            </w:pPr>
          </w:p>
        </w:tc>
        <w:tc>
          <w:tcPr>
            <w:tcW w:w="4371" w:type="dxa"/>
            <w:shd w:val="clear" w:color="auto" w:fill="auto"/>
          </w:tcPr>
          <w:p w14:paraId="4DE46273" w14:textId="3081D6EC" w:rsidR="005A03F3" w:rsidRDefault="00F01DD8" w:rsidP="00026E7F">
            <w:pPr>
              <w:spacing w:after="0" w:line="480" w:lineRule="auto"/>
              <w:ind w:right="-818"/>
              <w:rPr>
                <w:rFonts w:ascii="Arial" w:hAnsi="Arial" w:cs="Arial"/>
                <w:sz w:val="24"/>
                <w:szCs w:val="24"/>
              </w:rPr>
            </w:pPr>
            <w:r>
              <w:rPr>
                <w:rFonts w:ascii="Arial" w:hAnsi="Arial" w:cs="Arial"/>
                <w:sz w:val="24"/>
                <w:szCs w:val="24"/>
              </w:rPr>
              <w:t>Kangueehi &amp; Kavendjii Inc., Windhoek</w:t>
            </w:r>
          </w:p>
          <w:p w14:paraId="487CBE54" w14:textId="4DA1BEC0" w:rsidR="005A03F3" w:rsidRDefault="005A03F3" w:rsidP="00026E7F">
            <w:pPr>
              <w:spacing w:after="0" w:line="480" w:lineRule="auto"/>
              <w:ind w:right="-818"/>
              <w:rPr>
                <w:rFonts w:ascii="Arial" w:hAnsi="Arial" w:cs="Arial"/>
                <w:sz w:val="24"/>
                <w:szCs w:val="24"/>
              </w:rPr>
            </w:pPr>
          </w:p>
          <w:p w14:paraId="511FB7F2" w14:textId="61A9E7C4" w:rsidR="005A03F3" w:rsidRDefault="005A03F3" w:rsidP="005A03F3">
            <w:pPr>
              <w:spacing w:after="0" w:line="480" w:lineRule="auto"/>
              <w:ind w:right="-818"/>
              <w:jc w:val="both"/>
              <w:rPr>
                <w:rFonts w:ascii="Arial" w:hAnsi="Arial" w:cs="Arial"/>
                <w:sz w:val="24"/>
                <w:szCs w:val="24"/>
              </w:rPr>
            </w:pPr>
          </w:p>
          <w:p w14:paraId="48E0A3D8" w14:textId="77777777" w:rsidR="005A03F3" w:rsidRDefault="005A03F3" w:rsidP="00026E7F">
            <w:pPr>
              <w:spacing w:after="0" w:line="480" w:lineRule="auto"/>
              <w:ind w:right="-818"/>
              <w:rPr>
                <w:rFonts w:ascii="Arial" w:hAnsi="Arial" w:cs="Arial"/>
                <w:sz w:val="24"/>
                <w:szCs w:val="24"/>
              </w:rPr>
            </w:pPr>
          </w:p>
          <w:p w14:paraId="79C72643" w14:textId="77777777" w:rsidR="005A03F3" w:rsidRDefault="005A03F3" w:rsidP="00026E7F">
            <w:pPr>
              <w:spacing w:after="0" w:line="480" w:lineRule="auto"/>
              <w:ind w:right="-818"/>
              <w:rPr>
                <w:rFonts w:ascii="Arial" w:hAnsi="Arial" w:cs="Arial"/>
                <w:sz w:val="24"/>
                <w:szCs w:val="24"/>
              </w:rPr>
            </w:pPr>
          </w:p>
          <w:p w14:paraId="0132E91A" w14:textId="77777777" w:rsidR="005A03F3" w:rsidRDefault="005A03F3" w:rsidP="00026E7F">
            <w:pPr>
              <w:spacing w:after="0" w:line="480" w:lineRule="auto"/>
              <w:ind w:right="-818"/>
              <w:rPr>
                <w:rFonts w:ascii="Arial" w:hAnsi="Arial" w:cs="Arial"/>
                <w:sz w:val="24"/>
                <w:szCs w:val="24"/>
              </w:rPr>
            </w:pPr>
          </w:p>
          <w:p w14:paraId="70691429" w14:textId="77777777" w:rsidR="005A03F3" w:rsidRDefault="005A03F3" w:rsidP="00026E7F">
            <w:pPr>
              <w:spacing w:after="0" w:line="480" w:lineRule="auto"/>
              <w:ind w:right="-818"/>
              <w:rPr>
                <w:rFonts w:ascii="Arial" w:hAnsi="Arial" w:cs="Arial"/>
                <w:sz w:val="24"/>
                <w:szCs w:val="24"/>
              </w:rPr>
            </w:pPr>
          </w:p>
          <w:p w14:paraId="3E7F42E3" w14:textId="098C4A3A" w:rsidR="00B4276E" w:rsidRPr="00500CF6" w:rsidRDefault="00B4276E" w:rsidP="00026E7F">
            <w:pPr>
              <w:spacing w:after="0" w:line="480" w:lineRule="auto"/>
              <w:ind w:right="-818"/>
              <w:rPr>
                <w:rFonts w:ascii="Arial" w:hAnsi="Arial" w:cs="Arial"/>
                <w:sz w:val="24"/>
                <w:szCs w:val="24"/>
              </w:rPr>
            </w:pPr>
          </w:p>
        </w:tc>
      </w:tr>
      <w:tr w:rsidR="002D6221" w:rsidRPr="00500CF6" w14:paraId="231539E4" w14:textId="77777777" w:rsidTr="008E0490">
        <w:tc>
          <w:tcPr>
            <w:tcW w:w="4701" w:type="dxa"/>
            <w:shd w:val="clear" w:color="auto" w:fill="auto"/>
          </w:tcPr>
          <w:p w14:paraId="726B91D8" w14:textId="5A2C93CF" w:rsidR="002D6221" w:rsidRPr="00500CF6" w:rsidRDefault="002D6221" w:rsidP="00500CF6">
            <w:pPr>
              <w:spacing w:after="0" w:line="480" w:lineRule="auto"/>
              <w:rPr>
                <w:rFonts w:ascii="Arial" w:hAnsi="Arial" w:cs="Arial"/>
                <w:sz w:val="24"/>
                <w:szCs w:val="24"/>
              </w:rPr>
            </w:pPr>
          </w:p>
        </w:tc>
        <w:tc>
          <w:tcPr>
            <w:tcW w:w="4371" w:type="dxa"/>
            <w:shd w:val="clear" w:color="auto" w:fill="auto"/>
          </w:tcPr>
          <w:p w14:paraId="23C6F798" w14:textId="77777777" w:rsidR="002D6221" w:rsidRDefault="002D6221" w:rsidP="00026E7F">
            <w:pPr>
              <w:spacing w:after="0" w:line="480" w:lineRule="auto"/>
              <w:ind w:right="-818"/>
              <w:rPr>
                <w:rFonts w:ascii="Arial" w:hAnsi="Arial" w:cs="Arial"/>
                <w:sz w:val="24"/>
                <w:szCs w:val="24"/>
              </w:rPr>
            </w:pPr>
          </w:p>
        </w:tc>
      </w:tr>
      <w:tr w:rsidR="00573B8D" w:rsidRPr="00500CF6" w14:paraId="6A8CDAC3" w14:textId="77777777" w:rsidTr="008E0490">
        <w:tc>
          <w:tcPr>
            <w:tcW w:w="4701" w:type="dxa"/>
            <w:shd w:val="clear" w:color="auto" w:fill="auto"/>
          </w:tcPr>
          <w:p w14:paraId="2C6367DD" w14:textId="2F2137AB"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5F98233E" w14:textId="2861618E" w:rsidR="000F360F" w:rsidRPr="00500CF6" w:rsidRDefault="000F360F" w:rsidP="008C575C">
            <w:pPr>
              <w:spacing w:after="0" w:line="480" w:lineRule="auto"/>
              <w:rPr>
                <w:rFonts w:ascii="Arial" w:hAnsi="Arial" w:cs="Arial"/>
                <w:sz w:val="24"/>
                <w:szCs w:val="24"/>
              </w:rPr>
            </w:pPr>
          </w:p>
        </w:tc>
      </w:tr>
      <w:tr w:rsidR="00573B8D" w:rsidRPr="00500CF6" w14:paraId="0592AACC" w14:textId="77777777" w:rsidTr="008E0490">
        <w:trPr>
          <w:trHeight w:val="328"/>
        </w:trPr>
        <w:tc>
          <w:tcPr>
            <w:tcW w:w="4701" w:type="dxa"/>
            <w:shd w:val="clear" w:color="auto" w:fill="auto"/>
          </w:tcPr>
          <w:p w14:paraId="38B1517E" w14:textId="77777777"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059022C6" w14:textId="15641583" w:rsidR="00573B8D" w:rsidRPr="00500CF6" w:rsidRDefault="00573B8D" w:rsidP="00026E7F">
            <w:pPr>
              <w:spacing w:after="0" w:line="480" w:lineRule="auto"/>
              <w:rPr>
                <w:rFonts w:ascii="Arial" w:hAnsi="Arial" w:cs="Arial"/>
                <w:sz w:val="24"/>
                <w:szCs w:val="24"/>
              </w:rPr>
            </w:pPr>
          </w:p>
        </w:tc>
      </w:tr>
    </w:tbl>
    <w:p w14:paraId="66AF15AB" w14:textId="77777777" w:rsidR="00B266CC" w:rsidRDefault="00B266CC" w:rsidP="007D275A">
      <w:pPr>
        <w:spacing w:after="0" w:line="480" w:lineRule="auto"/>
        <w:jc w:val="both"/>
      </w:pPr>
    </w:p>
    <w:sectPr w:rsidR="00B266CC" w:rsidSect="00053E84">
      <w:headerReference w:type="default" r:id="rId12"/>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909A0" w14:textId="77777777" w:rsidR="00631021" w:rsidRDefault="00631021" w:rsidP="00F74879">
      <w:pPr>
        <w:spacing w:after="0" w:line="240" w:lineRule="auto"/>
      </w:pPr>
      <w:r>
        <w:separator/>
      </w:r>
    </w:p>
  </w:endnote>
  <w:endnote w:type="continuationSeparator" w:id="0">
    <w:p w14:paraId="1F9A03B4" w14:textId="77777777" w:rsidR="00631021" w:rsidRDefault="00631021"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EB31" w14:textId="77777777" w:rsidR="00631021" w:rsidRDefault="00631021" w:rsidP="00F74879">
      <w:pPr>
        <w:spacing w:after="0" w:line="240" w:lineRule="auto"/>
      </w:pPr>
      <w:r>
        <w:separator/>
      </w:r>
    </w:p>
  </w:footnote>
  <w:footnote w:type="continuationSeparator" w:id="0">
    <w:p w14:paraId="422AE391" w14:textId="77777777" w:rsidR="00631021" w:rsidRDefault="00631021" w:rsidP="00F74879">
      <w:pPr>
        <w:spacing w:after="0" w:line="240" w:lineRule="auto"/>
      </w:pPr>
      <w:r>
        <w:continuationSeparator/>
      </w:r>
    </w:p>
  </w:footnote>
  <w:footnote w:id="1">
    <w:p w14:paraId="7B66D151" w14:textId="22DF1EA4" w:rsidR="00710101" w:rsidRPr="00710101" w:rsidRDefault="00710101" w:rsidP="00710101">
      <w:pPr>
        <w:pStyle w:val="FootnoteText"/>
        <w:jc w:val="both"/>
        <w:rPr>
          <w:rFonts w:ascii="Arial" w:hAnsi="Arial" w:cs="Arial"/>
        </w:rPr>
      </w:pPr>
      <w:r w:rsidRPr="00F70D63">
        <w:rPr>
          <w:rStyle w:val="FootnoteReference"/>
          <w:rFonts w:ascii="Arial" w:hAnsi="Arial" w:cs="Arial"/>
        </w:rPr>
        <w:footnoteRef/>
      </w:r>
      <w:r>
        <w:t xml:space="preserve"> </w:t>
      </w:r>
      <w:r w:rsidR="00DE63BF">
        <w:rPr>
          <w:rFonts w:ascii="Arial" w:hAnsi="Arial" w:cs="Arial"/>
          <w:lang w:val="en-ZA"/>
        </w:rPr>
        <w:t xml:space="preserve">Regulations relating to registration of Clinical Biochemists and Clinical Biochemists Interns, registration of specialities and additional qualifications, maintaining of registers of Clinical Biochemists and Clinical Biochemist Interns, and restoration of name to register: Medical and Dental Act, 2004. </w:t>
      </w:r>
      <w:r>
        <w:rPr>
          <w:rFonts w:ascii="Arial" w:hAnsi="Arial" w:cs="Arial"/>
          <w:lang w:val="en-ZA"/>
        </w:rPr>
        <w:t>Government Notice (GN) No 126, Government Gazette (GG) No 4503 of 16 June 2010.</w:t>
      </w:r>
    </w:p>
  </w:footnote>
  <w:footnote w:id="2">
    <w:p w14:paraId="4067A17A" w14:textId="5F29D668" w:rsidR="005B0EE0" w:rsidRDefault="005B0EE0" w:rsidP="0029073C">
      <w:pPr>
        <w:pStyle w:val="FootnoteText"/>
        <w:jc w:val="both"/>
        <w:rPr>
          <w:rFonts w:ascii="Arial" w:hAnsi="Arial" w:cs="Arial"/>
          <w:lang w:val="en-ZA"/>
        </w:rPr>
      </w:pPr>
      <w:r w:rsidRPr="00F70D63">
        <w:rPr>
          <w:rStyle w:val="FootnoteReference"/>
          <w:rFonts w:ascii="Arial" w:hAnsi="Arial" w:cs="Arial"/>
        </w:rPr>
        <w:footnoteRef/>
      </w:r>
      <w:r w:rsidRPr="00F70D63">
        <w:rPr>
          <w:rFonts w:ascii="Arial" w:hAnsi="Arial" w:cs="Arial"/>
        </w:rPr>
        <w:t xml:space="preserve"> </w:t>
      </w:r>
      <w:r w:rsidR="00DE63BF">
        <w:rPr>
          <w:rFonts w:ascii="Arial" w:hAnsi="Arial" w:cs="Arial"/>
        </w:rPr>
        <w:t>Regulations relating to scope of practice of Clinical Biochemist</w:t>
      </w:r>
      <w:r w:rsidR="005A1D9E">
        <w:rPr>
          <w:rFonts w:ascii="Arial" w:hAnsi="Arial" w:cs="Arial"/>
        </w:rPr>
        <w:t xml:space="preserve">: Medical and Dental Act, 2004. GN 124, GG 4503, 16 June 2010. Regulations 2(a) in full provides: </w:t>
      </w:r>
      <w:r>
        <w:rPr>
          <w:rFonts w:ascii="Arial" w:hAnsi="Arial" w:cs="Arial"/>
          <w:lang w:val="en-ZA"/>
        </w:rPr>
        <w:t>Government Notice No 124, Government Gazette No 4503 of 16 June 2010. Regulation 2 (a) in full provides:</w:t>
      </w:r>
    </w:p>
    <w:p w14:paraId="2898FC2C" w14:textId="7B8AB201" w:rsidR="005B0EE0" w:rsidRDefault="005B0EE0" w:rsidP="0029073C">
      <w:pPr>
        <w:pStyle w:val="FootnoteText"/>
        <w:jc w:val="both"/>
        <w:rPr>
          <w:rFonts w:ascii="Arial" w:hAnsi="Arial" w:cs="Arial"/>
          <w:b/>
          <w:lang w:val="en-ZA"/>
        </w:rPr>
      </w:pPr>
      <w:r w:rsidRPr="00E76702">
        <w:rPr>
          <w:rFonts w:ascii="Arial" w:hAnsi="Arial" w:cs="Arial"/>
          <w:b/>
          <w:lang w:val="en-ZA"/>
        </w:rPr>
        <w:t>Scope of practice of clinical biochemist</w:t>
      </w:r>
    </w:p>
    <w:p w14:paraId="0A376C9E" w14:textId="77128D5A" w:rsidR="005B0EE0" w:rsidRDefault="005B0EE0" w:rsidP="0029073C">
      <w:pPr>
        <w:pStyle w:val="FootnoteText"/>
        <w:jc w:val="both"/>
        <w:rPr>
          <w:rFonts w:ascii="Arial" w:hAnsi="Arial" w:cs="Arial"/>
          <w:lang w:val="en-ZA"/>
        </w:rPr>
      </w:pPr>
      <w:r>
        <w:rPr>
          <w:rFonts w:ascii="Arial" w:hAnsi="Arial" w:cs="Arial"/>
          <w:lang w:val="en-ZA"/>
        </w:rPr>
        <w:t>2.</w:t>
      </w:r>
      <w:r>
        <w:rPr>
          <w:rFonts w:ascii="Arial" w:hAnsi="Arial" w:cs="Arial"/>
          <w:lang w:val="en-ZA"/>
        </w:rPr>
        <w:tab/>
        <w:t>For the purpose of the practising of his or her profession a clinical biochemist may perform the following acts relating to the development and application of biochemical principles, procedures and techniques involving human tissue or body fluids, or excretion in the case of an in vitro investigation, regarding the diagnosis and treatment o</w:t>
      </w:r>
      <w:r w:rsidR="005A1D9E">
        <w:rPr>
          <w:rFonts w:ascii="Arial" w:hAnsi="Arial" w:cs="Arial"/>
          <w:lang w:val="en-ZA"/>
        </w:rPr>
        <w:t>f</w:t>
      </w:r>
      <w:r>
        <w:rPr>
          <w:rFonts w:ascii="Arial" w:hAnsi="Arial" w:cs="Arial"/>
          <w:lang w:val="en-ZA"/>
        </w:rPr>
        <w:t xml:space="preserve"> diseases and the monitoring of health –</w:t>
      </w:r>
    </w:p>
    <w:p w14:paraId="10BAC0C0" w14:textId="2D89AEF4" w:rsidR="005B0EE0" w:rsidRPr="002C4EF4" w:rsidRDefault="005B0EE0" w:rsidP="002C4EF4">
      <w:pPr>
        <w:spacing w:line="240" w:lineRule="auto"/>
        <w:jc w:val="both"/>
        <w:rPr>
          <w:rFonts w:ascii="Arial" w:hAnsi="Arial" w:cs="Arial"/>
          <w:lang w:val="en-ZA"/>
        </w:rPr>
      </w:pPr>
    </w:p>
  </w:footnote>
  <w:footnote w:id="3">
    <w:p w14:paraId="7E401AA3" w14:textId="77777777" w:rsidR="005A4FF5" w:rsidRDefault="005A4FF5" w:rsidP="005A4FF5">
      <w:pPr>
        <w:pStyle w:val="FootnoteText"/>
        <w:jc w:val="both"/>
        <w:rPr>
          <w:rFonts w:ascii="Arial" w:hAnsi="Arial" w:cs="Arial"/>
          <w:lang w:val="en-ZA"/>
        </w:rPr>
      </w:pPr>
      <w:r w:rsidRPr="00F70D63">
        <w:rPr>
          <w:rStyle w:val="FootnoteReference"/>
          <w:rFonts w:ascii="Arial" w:hAnsi="Arial" w:cs="Arial"/>
        </w:rPr>
        <w:footnoteRef/>
      </w:r>
      <w:r w:rsidRPr="00F70D63">
        <w:rPr>
          <w:rFonts w:ascii="Arial" w:hAnsi="Arial" w:cs="Arial"/>
        </w:rPr>
        <w:t xml:space="preserve"> </w:t>
      </w:r>
      <w:r>
        <w:rPr>
          <w:rFonts w:ascii="Arial" w:hAnsi="Arial" w:cs="Arial"/>
        </w:rPr>
        <w:t>Regulation 9(4) of GG No 4455 of 2010 of 12 April 2010. Regulations relating to the registration of medical practitioners, qualifications that may be registered as specialists and additional qualifications, the maintaining of registers of medical practitioners and the restoration of name to the register: Medical and Dental Act, 2004. GN 71, GG 4454, 12 April 2010, regulation 9(4).</w:t>
      </w:r>
    </w:p>
    <w:p w14:paraId="3A3E4DA9" w14:textId="77777777" w:rsidR="003C7606" w:rsidRDefault="003C7606" w:rsidP="00647E3D">
      <w:pPr>
        <w:pStyle w:val="FootnoteText"/>
        <w:numPr>
          <w:ilvl w:val="0"/>
          <w:numId w:val="5"/>
        </w:numPr>
        <w:jc w:val="both"/>
        <w:rPr>
          <w:rFonts w:ascii="Arial" w:hAnsi="Arial" w:cs="Arial"/>
          <w:lang w:val="en-ZA"/>
        </w:rPr>
      </w:pPr>
      <w:r>
        <w:rPr>
          <w:rFonts w:ascii="Arial" w:hAnsi="Arial" w:cs="Arial"/>
          <w:lang w:val="en-ZA"/>
        </w:rPr>
        <w:t>consultation with the patient or other registered persons relating to the development and application of those biochemical principles, procedures and techniques; and</w:t>
      </w:r>
    </w:p>
    <w:p w14:paraId="5A06C940" w14:textId="47045633" w:rsidR="005A4FF5" w:rsidRDefault="003C7606" w:rsidP="00647E3D">
      <w:pPr>
        <w:pStyle w:val="FootnoteText"/>
        <w:numPr>
          <w:ilvl w:val="0"/>
          <w:numId w:val="5"/>
        </w:numPr>
        <w:jc w:val="both"/>
        <w:rPr>
          <w:rFonts w:ascii="Arial" w:hAnsi="Arial" w:cs="Arial"/>
        </w:rPr>
      </w:pPr>
      <w:r>
        <w:rPr>
          <w:rFonts w:ascii="Arial" w:hAnsi="Arial" w:cs="Arial"/>
        </w:rPr>
        <w:t xml:space="preserve">the – </w:t>
      </w:r>
    </w:p>
    <w:p w14:paraId="575DC428" w14:textId="3378CD8D" w:rsidR="003C7606" w:rsidRDefault="003C7606" w:rsidP="00647E3D">
      <w:pPr>
        <w:pStyle w:val="FootnoteText"/>
        <w:numPr>
          <w:ilvl w:val="0"/>
          <w:numId w:val="6"/>
        </w:numPr>
        <w:jc w:val="both"/>
        <w:rPr>
          <w:rFonts w:ascii="Arial" w:hAnsi="Arial" w:cs="Arial"/>
          <w:lang w:val="en-ZA"/>
        </w:rPr>
      </w:pPr>
      <w:r>
        <w:rPr>
          <w:rFonts w:ascii="Arial" w:hAnsi="Arial" w:cs="Arial"/>
          <w:lang w:val="en-ZA"/>
        </w:rPr>
        <w:t>interpretation, consultation and advising relating to the information obtained as a result of;</w:t>
      </w:r>
    </w:p>
    <w:p w14:paraId="433B1BBB" w14:textId="77777777" w:rsidR="003C7606" w:rsidRDefault="003C7606" w:rsidP="00647E3D">
      <w:pPr>
        <w:pStyle w:val="FootnoteText"/>
        <w:numPr>
          <w:ilvl w:val="0"/>
          <w:numId w:val="6"/>
        </w:numPr>
        <w:jc w:val="both"/>
        <w:rPr>
          <w:rFonts w:ascii="Arial" w:hAnsi="Arial" w:cs="Arial"/>
          <w:lang w:val="en-ZA"/>
        </w:rPr>
      </w:pPr>
      <w:r>
        <w:rPr>
          <w:rFonts w:ascii="Arial" w:hAnsi="Arial" w:cs="Arial"/>
          <w:lang w:val="en-ZA"/>
        </w:rPr>
        <w:t>quality control relating to;</w:t>
      </w:r>
    </w:p>
    <w:p w14:paraId="4DA3AFAC" w14:textId="77777777" w:rsidR="003C7606" w:rsidRDefault="003C7606" w:rsidP="00647E3D">
      <w:pPr>
        <w:pStyle w:val="FootnoteText"/>
        <w:numPr>
          <w:ilvl w:val="0"/>
          <w:numId w:val="6"/>
        </w:numPr>
        <w:jc w:val="both"/>
        <w:rPr>
          <w:rFonts w:ascii="Arial" w:hAnsi="Arial" w:cs="Arial"/>
          <w:lang w:val="en-ZA"/>
        </w:rPr>
      </w:pPr>
      <w:r>
        <w:rPr>
          <w:rFonts w:ascii="Arial" w:hAnsi="Arial" w:cs="Arial"/>
          <w:lang w:val="en-ZA"/>
        </w:rPr>
        <w:t>teaching, training and research relating to,</w:t>
      </w:r>
    </w:p>
    <w:p w14:paraId="03361C0C" w14:textId="3E3BC662" w:rsidR="003C7606" w:rsidRPr="002C4EF4" w:rsidRDefault="003C7606" w:rsidP="00121EAF">
      <w:pPr>
        <w:pStyle w:val="ListParagraph"/>
        <w:spacing w:line="240" w:lineRule="auto"/>
        <w:ind w:left="1080" w:firstLine="720"/>
        <w:jc w:val="both"/>
        <w:rPr>
          <w:rFonts w:ascii="Arial" w:hAnsi="Arial" w:cs="Arial"/>
          <w:lang w:val="en-ZA"/>
        </w:rPr>
      </w:pPr>
      <w:r>
        <w:rPr>
          <w:rFonts w:ascii="Arial" w:hAnsi="Arial" w:cs="Arial"/>
          <w:sz w:val="20"/>
          <w:szCs w:val="20"/>
          <w:lang w:val="en-ZA"/>
        </w:rPr>
        <w:t>the acts so performed.</w:t>
      </w:r>
    </w:p>
  </w:footnote>
  <w:footnote w:id="4">
    <w:p w14:paraId="66B2A3B2" w14:textId="708C13A3" w:rsidR="00043197" w:rsidRPr="00043197" w:rsidRDefault="00043197" w:rsidP="00043197">
      <w:pPr>
        <w:pStyle w:val="FootnoteText"/>
        <w:jc w:val="both"/>
        <w:rPr>
          <w:rFonts w:ascii="Arial" w:hAnsi="Arial" w:cs="Arial"/>
        </w:rPr>
      </w:pPr>
      <w:r w:rsidRPr="00F70D63">
        <w:rPr>
          <w:rStyle w:val="FootnoteReference"/>
          <w:rFonts w:ascii="Arial" w:hAnsi="Arial" w:cs="Arial"/>
        </w:rPr>
        <w:footnoteRef/>
      </w:r>
      <w:r>
        <w:t xml:space="preserve"> </w:t>
      </w:r>
      <w:r>
        <w:rPr>
          <w:rFonts w:ascii="Arial" w:hAnsi="Arial" w:cs="Arial"/>
        </w:rPr>
        <w:t>Regulation 13(1)(b) of GG No 3795 of 22 February 200</w:t>
      </w:r>
      <w:r w:rsidR="00A97C82">
        <w:rPr>
          <w:rFonts w:ascii="Arial" w:hAnsi="Arial" w:cs="Arial"/>
        </w:rPr>
        <w:t>6</w:t>
      </w:r>
      <w:r>
        <w:rPr>
          <w:rFonts w:ascii="Arial" w:hAnsi="Arial" w:cs="Arial"/>
        </w:rPr>
        <w:t>.</w:t>
      </w:r>
      <w:r w:rsidR="00A97C82">
        <w:rPr>
          <w:rFonts w:ascii="Arial" w:hAnsi="Arial" w:cs="Arial"/>
        </w:rPr>
        <w:t xml:space="preserve"> Regulations relating to the registr</w:t>
      </w:r>
      <w:r w:rsidR="00121EAF">
        <w:rPr>
          <w:rFonts w:ascii="Arial" w:hAnsi="Arial" w:cs="Arial"/>
        </w:rPr>
        <w:t>ation of psychologists, special</w:t>
      </w:r>
      <w:r w:rsidR="00A97C82">
        <w:rPr>
          <w:rFonts w:ascii="Arial" w:hAnsi="Arial" w:cs="Arial"/>
        </w:rPr>
        <w:t>i</w:t>
      </w:r>
      <w:r w:rsidR="00121EAF">
        <w:rPr>
          <w:rFonts w:ascii="Arial" w:hAnsi="Arial" w:cs="Arial"/>
        </w:rPr>
        <w:t>st</w:t>
      </w:r>
      <w:r w:rsidR="00A97C82">
        <w:rPr>
          <w:rFonts w:ascii="Arial" w:hAnsi="Arial" w:cs="Arial"/>
        </w:rPr>
        <w:t>s and inter</w:t>
      </w:r>
      <w:r w:rsidR="00121EAF">
        <w:rPr>
          <w:rFonts w:ascii="Arial" w:hAnsi="Arial" w:cs="Arial"/>
        </w:rPr>
        <w:t>n</w:t>
      </w:r>
      <w:r w:rsidR="00A97C82">
        <w:rPr>
          <w:rFonts w:ascii="Arial" w:hAnsi="Arial" w:cs="Arial"/>
        </w:rPr>
        <w:t xml:space="preserve">s and to the restoration of a name to a register: Social work and </w:t>
      </w:r>
      <w:r w:rsidR="00FA748D">
        <w:rPr>
          <w:rFonts w:ascii="Arial" w:hAnsi="Arial" w:cs="Arial"/>
        </w:rPr>
        <w:t>P</w:t>
      </w:r>
      <w:r w:rsidR="00A97C82">
        <w:rPr>
          <w:rFonts w:ascii="Arial" w:hAnsi="Arial" w:cs="Arial"/>
        </w:rPr>
        <w:t>sychology Act, 2004 – GN 33, GG 3795, 22 February 2006, regulation 13(1)(</w:t>
      </w:r>
      <w:r w:rsidR="00A97C82" w:rsidRPr="00A97C82">
        <w:rPr>
          <w:rFonts w:ascii="Arial" w:hAnsi="Arial" w:cs="Arial"/>
          <w:i/>
        </w:rPr>
        <w:t>b</w:t>
      </w:r>
      <w:r w:rsidR="00A97C82">
        <w:rPr>
          <w:rFonts w:ascii="Arial" w:hAnsi="Arial" w:cs="Arial"/>
        </w:rPr>
        <w:t>).</w:t>
      </w:r>
    </w:p>
  </w:footnote>
  <w:footnote w:id="5">
    <w:p w14:paraId="5D3AFDE0" w14:textId="0CDA2E71" w:rsidR="00043197" w:rsidRPr="00043197" w:rsidRDefault="00043197" w:rsidP="00043197">
      <w:pPr>
        <w:pStyle w:val="FootnoteText"/>
        <w:jc w:val="both"/>
        <w:rPr>
          <w:rFonts w:ascii="Arial" w:hAnsi="Arial" w:cs="Arial"/>
        </w:rPr>
      </w:pPr>
      <w:r w:rsidRPr="00F70D63">
        <w:rPr>
          <w:rStyle w:val="FootnoteReference"/>
          <w:rFonts w:ascii="Arial" w:hAnsi="Arial" w:cs="Arial"/>
        </w:rPr>
        <w:footnoteRef/>
      </w:r>
      <w:r>
        <w:t xml:space="preserve"> </w:t>
      </w:r>
      <w:r>
        <w:rPr>
          <w:rFonts w:ascii="Arial" w:hAnsi="Arial" w:cs="Arial"/>
        </w:rPr>
        <w:t>Regulation 14(4) of GG No 4000 of 27 February 2008.</w:t>
      </w:r>
      <w:r w:rsidR="00FA748D">
        <w:rPr>
          <w:rFonts w:ascii="Arial" w:hAnsi="Arial" w:cs="Arial"/>
        </w:rPr>
        <w:t xml:space="preserve"> Regulations relating to the registration of pharmacists: qualifications registered as special</w:t>
      </w:r>
      <w:r w:rsidR="00121EAF">
        <w:rPr>
          <w:rFonts w:ascii="Arial" w:hAnsi="Arial" w:cs="Arial"/>
        </w:rPr>
        <w:t>ist</w:t>
      </w:r>
      <w:r w:rsidR="00FA748D">
        <w:rPr>
          <w:rFonts w:ascii="Arial" w:hAnsi="Arial" w:cs="Arial"/>
        </w:rPr>
        <w:t xml:space="preserve">s and additional qualifications: registration as pharmacist intern: maintaining of registers and the restoration of a name to the register: Pharmacy Act, 2004. GN 51, GG 4000, 27 February </w:t>
      </w:r>
      <w:r w:rsidR="00BD134F">
        <w:rPr>
          <w:rFonts w:ascii="Arial" w:hAnsi="Arial" w:cs="Arial"/>
        </w:rPr>
        <w:t>2008, regulation 14(4).</w:t>
      </w:r>
    </w:p>
  </w:footnote>
  <w:footnote w:id="6">
    <w:p w14:paraId="0FD93A68" w14:textId="01EF18F4" w:rsidR="00F44A7E" w:rsidRPr="00F44A7E" w:rsidRDefault="00F44A7E" w:rsidP="00F44A7E">
      <w:pPr>
        <w:pStyle w:val="FootnoteText"/>
        <w:jc w:val="both"/>
        <w:rPr>
          <w:rFonts w:ascii="Arial" w:hAnsi="Arial" w:cs="Arial"/>
        </w:rPr>
      </w:pPr>
      <w:r w:rsidRPr="00F70D63">
        <w:rPr>
          <w:rStyle w:val="FootnoteReference"/>
          <w:rFonts w:ascii="Arial" w:hAnsi="Arial" w:cs="Arial"/>
        </w:rPr>
        <w:footnoteRef/>
      </w:r>
      <w:r w:rsidRPr="00F70D63">
        <w:rPr>
          <w:rFonts w:ascii="Arial" w:hAnsi="Arial" w:cs="Arial"/>
        </w:rPr>
        <w:t xml:space="preserve"> </w:t>
      </w:r>
      <w:r>
        <w:rPr>
          <w:rFonts w:ascii="Arial" w:hAnsi="Arial" w:cs="Arial"/>
        </w:rPr>
        <w:t>Regulation 7(5) of GG 4140 of 17 October 2008.</w:t>
      </w:r>
      <w:r w:rsidR="00BD134F">
        <w:rPr>
          <w:rFonts w:ascii="Arial" w:hAnsi="Arial" w:cs="Arial"/>
        </w:rPr>
        <w:t xml:space="preserve"> Regulations relating to the registration of nurses, midwives and accoucheur special</w:t>
      </w:r>
      <w:r w:rsidR="00121EAF">
        <w:rPr>
          <w:rFonts w:ascii="Arial" w:hAnsi="Arial" w:cs="Arial"/>
        </w:rPr>
        <w:t>ists</w:t>
      </w:r>
      <w:r w:rsidR="00BD134F">
        <w:rPr>
          <w:rFonts w:ascii="Arial" w:hAnsi="Arial" w:cs="Arial"/>
        </w:rPr>
        <w:t xml:space="preserve"> and additional qualifications: the listing of subject and courses; the maintaining of registers and the restoration of a name to a register: The Nursing Act, 2004. GN 250, GG 4140, 17 October 2008, regulation 7(5).</w:t>
      </w:r>
    </w:p>
  </w:footnote>
  <w:footnote w:id="7">
    <w:p w14:paraId="643E8E22" w14:textId="321C30B7" w:rsidR="005B0EE0" w:rsidRPr="006021F2" w:rsidRDefault="005B0EE0" w:rsidP="006021F2">
      <w:pPr>
        <w:pStyle w:val="FootnoteText"/>
        <w:jc w:val="both"/>
        <w:rPr>
          <w:rFonts w:ascii="Arial" w:hAnsi="Arial" w:cs="Arial"/>
        </w:rPr>
      </w:pPr>
      <w:r w:rsidRPr="00F70D63">
        <w:rPr>
          <w:rStyle w:val="FootnoteReference"/>
          <w:rFonts w:ascii="Arial" w:hAnsi="Arial" w:cs="Arial"/>
        </w:rPr>
        <w:footnoteRef/>
      </w:r>
      <w:r>
        <w:t xml:space="preserve"> </w:t>
      </w:r>
      <w:r>
        <w:rPr>
          <w:rFonts w:ascii="Arial" w:hAnsi="Arial" w:cs="Arial"/>
        </w:rPr>
        <w:t xml:space="preserve">Regulation </w:t>
      </w:r>
      <w:r w:rsidR="00F44A7E">
        <w:rPr>
          <w:rFonts w:ascii="Arial" w:hAnsi="Arial" w:cs="Arial"/>
        </w:rPr>
        <w:t>8</w:t>
      </w:r>
      <w:r>
        <w:rPr>
          <w:rFonts w:ascii="Arial" w:hAnsi="Arial" w:cs="Arial"/>
        </w:rPr>
        <w:t>(4) of GG No 4</w:t>
      </w:r>
      <w:r w:rsidR="00F44A7E">
        <w:rPr>
          <w:rFonts w:ascii="Arial" w:hAnsi="Arial" w:cs="Arial"/>
        </w:rPr>
        <w:t>068</w:t>
      </w:r>
      <w:r>
        <w:rPr>
          <w:rFonts w:ascii="Arial" w:hAnsi="Arial" w:cs="Arial"/>
        </w:rPr>
        <w:t xml:space="preserve"> of </w:t>
      </w:r>
      <w:r w:rsidR="00F44A7E">
        <w:rPr>
          <w:rFonts w:ascii="Arial" w:hAnsi="Arial" w:cs="Arial"/>
        </w:rPr>
        <w:t xml:space="preserve">18 </w:t>
      </w:r>
      <w:r>
        <w:rPr>
          <w:rFonts w:ascii="Arial" w:hAnsi="Arial" w:cs="Arial"/>
        </w:rPr>
        <w:t>June 2008.</w:t>
      </w:r>
      <w:r w:rsidR="00BD134F">
        <w:rPr>
          <w:rFonts w:ascii="Arial" w:hAnsi="Arial" w:cs="Arial"/>
        </w:rPr>
        <w:t xml:space="preserve"> Regulations relating to registration of dentists: qualifications that may be registered as specialists and additional qualifications: maintain of registration of dentists and restoration of name to register: Medical and dental Act, 2004, GN 155, GG 4068, 18 June 2008, regulation 8(4).</w:t>
      </w:r>
    </w:p>
  </w:footnote>
  <w:footnote w:id="8">
    <w:p w14:paraId="079F172C" w14:textId="1536A2C7" w:rsidR="005B0EE0" w:rsidRDefault="005B0EE0" w:rsidP="00161B22">
      <w:pPr>
        <w:pStyle w:val="FootnoteText"/>
        <w:jc w:val="both"/>
        <w:rPr>
          <w:rFonts w:ascii="Arial" w:hAnsi="Arial" w:cs="Arial"/>
        </w:rPr>
      </w:pPr>
      <w:r w:rsidRPr="005966FD">
        <w:rPr>
          <w:rStyle w:val="FootnoteReference"/>
          <w:rFonts w:ascii="Arial" w:hAnsi="Arial" w:cs="Arial"/>
        </w:rPr>
        <w:footnoteRef/>
      </w:r>
      <w:r>
        <w:t xml:space="preserve"> </w:t>
      </w:r>
      <w:r>
        <w:rPr>
          <w:rFonts w:ascii="Arial" w:hAnsi="Arial" w:cs="Arial"/>
        </w:rPr>
        <w:t>Section 17(2) provides-</w:t>
      </w:r>
    </w:p>
    <w:p w14:paraId="5886D312" w14:textId="4A4A6E46" w:rsidR="005B0EE0" w:rsidRDefault="005B0EE0" w:rsidP="00161B22">
      <w:pPr>
        <w:pStyle w:val="FootnoteText"/>
        <w:jc w:val="both"/>
        <w:rPr>
          <w:rFonts w:ascii="Arial" w:hAnsi="Arial" w:cs="Arial"/>
        </w:rPr>
      </w:pPr>
      <w:r>
        <w:rPr>
          <w:rFonts w:ascii="Arial" w:hAnsi="Arial" w:cs="Arial"/>
        </w:rPr>
        <w:t>(2)</w:t>
      </w:r>
      <w:r>
        <w:rPr>
          <w:rFonts w:ascii="Arial" w:hAnsi="Arial" w:cs="Arial"/>
        </w:rPr>
        <w:tab/>
        <w:t>Unless otherwise provided in this Act and except in so far as it is authorised by the laws relating to the nursing profession, the pharmacy profession, the social work profession, the psychology profession, the allied and complementary health professions and the traditional healers, no person is entitled to practice for gain any profession, the practice of which mainly consists of –</w:t>
      </w:r>
    </w:p>
    <w:p w14:paraId="0C8E7179" w14:textId="77777777" w:rsidR="005B0EE0" w:rsidRDefault="005B0EE0" w:rsidP="00161B22">
      <w:pPr>
        <w:pStyle w:val="FootnoteText"/>
        <w:jc w:val="both"/>
        <w:rPr>
          <w:rFonts w:ascii="Arial" w:hAnsi="Arial" w:cs="Arial"/>
        </w:rPr>
      </w:pPr>
    </w:p>
    <w:p w14:paraId="2475560A" w14:textId="627FA069" w:rsidR="005B0EE0" w:rsidRDefault="005B0EE0" w:rsidP="00647E3D">
      <w:pPr>
        <w:pStyle w:val="FootnoteText"/>
        <w:numPr>
          <w:ilvl w:val="0"/>
          <w:numId w:val="4"/>
        </w:numPr>
        <w:jc w:val="both"/>
        <w:rPr>
          <w:rFonts w:ascii="Arial" w:hAnsi="Arial" w:cs="Arial"/>
        </w:rPr>
      </w:pPr>
      <w:r>
        <w:rPr>
          <w:rFonts w:ascii="Arial" w:hAnsi="Arial" w:cs="Arial"/>
        </w:rPr>
        <w:t>the physical and mental examination of persons;</w:t>
      </w:r>
    </w:p>
    <w:p w14:paraId="26D84F71" w14:textId="77777777" w:rsidR="005B0EE0" w:rsidRDefault="005B0EE0" w:rsidP="00161B22">
      <w:pPr>
        <w:pStyle w:val="FootnoteText"/>
        <w:ind w:left="720"/>
        <w:jc w:val="both"/>
        <w:rPr>
          <w:rFonts w:ascii="Arial" w:hAnsi="Arial" w:cs="Arial"/>
        </w:rPr>
      </w:pPr>
    </w:p>
    <w:p w14:paraId="18A3E472" w14:textId="71F61AE4" w:rsidR="005B0EE0" w:rsidRDefault="005B0EE0" w:rsidP="00647E3D">
      <w:pPr>
        <w:pStyle w:val="FootnoteText"/>
        <w:numPr>
          <w:ilvl w:val="0"/>
          <w:numId w:val="4"/>
        </w:numPr>
        <w:jc w:val="both"/>
        <w:rPr>
          <w:rFonts w:ascii="Arial" w:hAnsi="Arial" w:cs="Arial"/>
        </w:rPr>
      </w:pPr>
      <w:r>
        <w:rPr>
          <w:rFonts w:ascii="Arial" w:hAnsi="Arial" w:cs="Arial"/>
        </w:rPr>
        <w:t>the diagnosis, treatment o</w:t>
      </w:r>
      <w:r w:rsidR="00161B22">
        <w:rPr>
          <w:rFonts w:ascii="Arial" w:hAnsi="Arial" w:cs="Arial"/>
        </w:rPr>
        <w:t>r</w:t>
      </w:r>
      <w:r>
        <w:rPr>
          <w:rFonts w:ascii="Arial" w:hAnsi="Arial" w:cs="Arial"/>
        </w:rPr>
        <w:t xml:space="preserve"> prevention of physical defects, illnesses, diseases or deficiencies in persons;</w:t>
      </w:r>
    </w:p>
    <w:p w14:paraId="536C6543" w14:textId="77777777" w:rsidR="005B0EE0" w:rsidRDefault="005B0EE0" w:rsidP="00161B22">
      <w:pPr>
        <w:pStyle w:val="FootnoteText"/>
        <w:ind w:left="720"/>
        <w:jc w:val="both"/>
        <w:rPr>
          <w:rFonts w:ascii="Arial" w:hAnsi="Arial" w:cs="Arial"/>
        </w:rPr>
      </w:pPr>
    </w:p>
    <w:p w14:paraId="5539C26C" w14:textId="08AAAB2F" w:rsidR="005B0EE0" w:rsidRDefault="005B0EE0" w:rsidP="00647E3D">
      <w:pPr>
        <w:pStyle w:val="FootnoteText"/>
        <w:numPr>
          <w:ilvl w:val="0"/>
          <w:numId w:val="4"/>
        </w:numPr>
        <w:jc w:val="both"/>
        <w:rPr>
          <w:rFonts w:ascii="Arial" w:hAnsi="Arial" w:cs="Arial"/>
        </w:rPr>
      </w:pPr>
      <w:r>
        <w:rPr>
          <w:rFonts w:ascii="Arial" w:hAnsi="Arial" w:cs="Arial"/>
        </w:rPr>
        <w:t>the giving of advice in regard to the defects, illnesses, diseases or deficiencies referred to in paragraph (b);</w:t>
      </w:r>
    </w:p>
    <w:p w14:paraId="39843BE9" w14:textId="77777777" w:rsidR="005B0EE0" w:rsidRDefault="005B0EE0" w:rsidP="00161B22">
      <w:pPr>
        <w:pStyle w:val="FootnoteText"/>
        <w:ind w:left="720"/>
        <w:jc w:val="both"/>
        <w:rPr>
          <w:rFonts w:ascii="Arial" w:hAnsi="Arial" w:cs="Arial"/>
        </w:rPr>
      </w:pPr>
    </w:p>
    <w:p w14:paraId="102C2596" w14:textId="4505E1C5" w:rsidR="005B0EE0" w:rsidRDefault="005B0EE0" w:rsidP="00647E3D">
      <w:pPr>
        <w:pStyle w:val="FootnoteText"/>
        <w:numPr>
          <w:ilvl w:val="0"/>
          <w:numId w:val="4"/>
        </w:numPr>
        <w:jc w:val="both"/>
        <w:rPr>
          <w:rFonts w:ascii="Arial" w:hAnsi="Arial" w:cs="Arial"/>
        </w:rPr>
      </w:pPr>
      <w:r>
        <w:rPr>
          <w:rFonts w:ascii="Arial" w:hAnsi="Arial" w:cs="Arial"/>
        </w:rPr>
        <w:t>the prescribing or providing of medicine or any artificial denture or other dental appliance in connection with the defects, illnesses, diseases or deficiencies, as the case may be, referred to in paragraph (b);</w:t>
      </w:r>
    </w:p>
    <w:p w14:paraId="5E8029DD" w14:textId="77777777" w:rsidR="005B0EE0" w:rsidRDefault="005B0EE0" w:rsidP="00161B22">
      <w:pPr>
        <w:pStyle w:val="FootnoteText"/>
        <w:ind w:left="720"/>
        <w:jc w:val="both"/>
        <w:rPr>
          <w:rFonts w:ascii="Arial" w:hAnsi="Arial" w:cs="Arial"/>
        </w:rPr>
      </w:pPr>
    </w:p>
    <w:p w14:paraId="1675ECB0" w14:textId="5C6F65F6" w:rsidR="005B0EE0" w:rsidRDefault="005B0EE0" w:rsidP="00647E3D">
      <w:pPr>
        <w:pStyle w:val="FootnoteText"/>
        <w:numPr>
          <w:ilvl w:val="0"/>
          <w:numId w:val="4"/>
        </w:numPr>
        <w:jc w:val="both"/>
        <w:rPr>
          <w:rFonts w:ascii="Arial" w:hAnsi="Arial" w:cs="Arial"/>
        </w:rPr>
      </w:pPr>
      <w:r>
        <w:rPr>
          <w:rFonts w:ascii="Arial" w:hAnsi="Arial" w:cs="Arial"/>
        </w:rPr>
        <w:t>the prescribing, compounding or dispensing of a medicine for consumption by any human; or</w:t>
      </w:r>
    </w:p>
    <w:p w14:paraId="549AAF53" w14:textId="77777777" w:rsidR="005B0EE0" w:rsidRDefault="005B0EE0" w:rsidP="00161B22">
      <w:pPr>
        <w:pStyle w:val="FootnoteText"/>
        <w:ind w:left="720"/>
        <w:jc w:val="both"/>
        <w:rPr>
          <w:rFonts w:ascii="Arial" w:hAnsi="Arial" w:cs="Arial"/>
        </w:rPr>
      </w:pPr>
    </w:p>
    <w:p w14:paraId="0DB32780" w14:textId="3AB467A4" w:rsidR="005B0EE0" w:rsidRDefault="005B0EE0" w:rsidP="00647E3D">
      <w:pPr>
        <w:pStyle w:val="FootnoteText"/>
        <w:numPr>
          <w:ilvl w:val="0"/>
          <w:numId w:val="4"/>
        </w:numPr>
        <w:jc w:val="both"/>
        <w:rPr>
          <w:rFonts w:ascii="Arial" w:hAnsi="Arial" w:cs="Arial"/>
        </w:rPr>
      </w:pPr>
      <w:r>
        <w:rPr>
          <w:rFonts w:ascii="Arial" w:hAnsi="Arial" w:cs="Arial"/>
        </w:rPr>
        <w:t>the rendering of pharmaceutical care,</w:t>
      </w:r>
    </w:p>
    <w:p w14:paraId="4DBBDA59" w14:textId="35F8DA37" w:rsidR="005B0EE0" w:rsidRPr="00245ECC" w:rsidRDefault="005B0EE0" w:rsidP="00161B22">
      <w:pPr>
        <w:pStyle w:val="FootnoteText"/>
        <w:jc w:val="both"/>
        <w:rPr>
          <w:rFonts w:ascii="Arial" w:hAnsi="Arial" w:cs="Arial"/>
        </w:rPr>
      </w:pPr>
      <w:r>
        <w:rPr>
          <w:rFonts w:ascii="Arial" w:hAnsi="Arial" w:cs="Arial"/>
        </w:rPr>
        <w:t>unless that person is registered by the Council for such purpose.</w:t>
      </w:r>
    </w:p>
  </w:footnote>
  <w:footnote w:id="9">
    <w:p w14:paraId="1631DB23" w14:textId="11A3EB4E" w:rsidR="005B0EE0" w:rsidRPr="00245ECC" w:rsidRDefault="005B0EE0" w:rsidP="00245ECC">
      <w:pPr>
        <w:pStyle w:val="FootnoteText"/>
        <w:jc w:val="both"/>
        <w:rPr>
          <w:rFonts w:ascii="Arial" w:hAnsi="Arial" w:cs="Arial"/>
        </w:rPr>
      </w:pPr>
      <w:r w:rsidRPr="00572CE0">
        <w:rPr>
          <w:rStyle w:val="FootnoteReference"/>
          <w:rFonts w:ascii="Arial" w:hAnsi="Arial" w:cs="Arial"/>
        </w:rPr>
        <w:footnoteRef/>
      </w:r>
      <w:r>
        <w:t xml:space="preserve"> </w:t>
      </w:r>
      <w:r>
        <w:rPr>
          <w:rFonts w:ascii="Arial" w:hAnsi="Arial" w:cs="Arial"/>
        </w:rPr>
        <w:t>Rule 76 of the High Court Rules provides for review applications.</w:t>
      </w:r>
    </w:p>
    <w:p w14:paraId="3C337CA5" w14:textId="77777777" w:rsidR="005B0EE0" w:rsidRPr="00975D9A" w:rsidRDefault="005B0EE0" w:rsidP="00975D9A">
      <w:pPr>
        <w:pStyle w:val="FootnoteText"/>
        <w:jc w:val="both"/>
        <w:rPr>
          <w:rFonts w:ascii="Arial" w:hAnsi="Arial" w:cs="Arial"/>
        </w:rPr>
      </w:pPr>
    </w:p>
  </w:footnote>
  <w:footnote w:id="10">
    <w:p w14:paraId="0E5FA700" w14:textId="51363176" w:rsidR="005B0EE0" w:rsidRPr="00BA66EF" w:rsidRDefault="005B0EE0" w:rsidP="00BA66EF">
      <w:pPr>
        <w:pStyle w:val="FootnoteText"/>
        <w:jc w:val="both"/>
        <w:rPr>
          <w:rFonts w:ascii="Arial" w:hAnsi="Arial" w:cs="Arial"/>
        </w:rPr>
      </w:pPr>
      <w:r w:rsidRPr="00EA7093">
        <w:rPr>
          <w:rStyle w:val="FootnoteReference"/>
          <w:rFonts w:ascii="Arial" w:hAnsi="Arial" w:cs="Arial"/>
        </w:rPr>
        <w:footnoteRef/>
      </w:r>
      <w:r>
        <w:t xml:space="preserve"> </w:t>
      </w:r>
      <w:r w:rsidRPr="00BA66EF">
        <w:rPr>
          <w:rFonts w:ascii="Arial" w:hAnsi="Arial" w:cs="Arial"/>
          <w:i/>
        </w:rPr>
        <w:t>South African Veterinary Council v Szymansk</w:t>
      </w:r>
      <w:r w:rsidR="001C6657">
        <w:rPr>
          <w:rFonts w:ascii="Arial" w:hAnsi="Arial" w:cs="Arial"/>
          <w:i/>
        </w:rPr>
        <w:t>i</w:t>
      </w:r>
      <w:r>
        <w:rPr>
          <w:rFonts w:ascii="Arial" w:hAnsi="Arial" w:cs="Arial"/>
        </w:rPr>
        <w:t xml:space="preserve"> 2003 (4) SA 42 (SCA) paras 18 and 21</w:t>
      </w:r>
      <w:r w:rsidR="001C6657">
        <w:rPr>
          <w:rFonts w:ascii="Arial" w:hAnsi="Arial" w:cs="Arial"/>
        </w:rPr>
        <w:t>,</w:t>
      </w:r>
      <w:r>
        <w:rPr>
          <w:rFonts w:ascii="Arial" w:hAnsi="Arial" w:cs="Arial"/>
        </w:rPr>
        <w:t xml:space="preserve"> where it was held that subjective confusion or misinterpretation cannot give rise to a legitimate expectation.</w:t>
      </w:r>
    </w:p>
  </w:footnote>
  <w:footnote w:id="11">
    <w:p w14:paraId="77AA411E" w14:textId="1DC25B2A" w:rsidR="005B0EE0" w:rsidRPr="00DD18DE" w:rsidRDefault="005B0EE0" w:rsidP="00DD18DE">
      <w:pPr>
        <w:pStyle w:val="FootnoteText"/>
        <w:jc w:val="both"/>
        <w:rPr>
          <w:rFonts w:ascii="Arial" w:hAnsi="Arial" w:cs="Arial"/>
        </w:rPr>
      </w:pPr>
      <w:r w:rsidRPr="00EA7093">
        <w:rPr>
          <w:rStyle w:val="FootnoteReference"/>
          <w:rFonts w:ascii="Arial" w:hAnsi="Arial" w:cs="Arial"/>
        </w:rPr>
        <w:footnoteRef/>
      </w:r>
      <w:r w:rsidRPr="00EA7093">
        <w:rPr>
          <w:rFonts w:ascii="Arial" w:hAnsi="Arial" w:cs="Arial"/>
        </w:rPr>
        <w:t xml:space="preserve"> </w:t>
      </w:r>
      <w:r>
        <w:rPr>
          <w:rFonts w:ascii="Arial" w:hAnsi="Arial" w:cs="Arial"/>
          <w:i/>
        </w:rPr>
        <w:t>Petrus v Roman C</w:t>
      </w:r>
      <w:r w:rsidR="001C6657">
        <w:rPr>
          <w:rFonts w:ascii="Arial" w:hAnsi="Arial" w:cs="Arial"/>
          <w:i/>
        </w:rPr>
        <w:t>a</w:t>
      </w:r>
      <w:r>
        <w:rPr>
          <w:rFonts w:ascii="Arial" w:hAnsi="Arial" w:cs="Arial"/>
          <w:i/>
        </w:rPr>
        <w:t xml:space="preserve">tholic Archdiocese </w:t>
      </w:r>
      <w:r>
        <w:rPr>
          <w:rFonts w:ascii="Arial" w:hAnsi="Arial" w:cs="Arial"/>
        </w:rPr>
        <w:t>2011 (2) NR 637 (SC) at 639</w:t>
      </w:r>
      <w:r w:rsidR="001C6657">
        <w:rPr>
          <w:rFonts w:ascii="Arial" w:hAnsi="Arial" w:cs="Arial"/>
        </w:rPr>
        <w:t>H</w:t>
      </w:r>
      <w:r>
        <w:rPr>
          <w:rFonts w:ascii="Arial" w:hAnsi="Arial" w:cs="Arial"/>
        </w:rPr>
        <w:t xml:space="preserve">-640A-B; </w:t>
      </w:r>
      <w:r>
        <w:rPr>
          <w:rFonts w:ascii="Arial" w:hAnsi="Arial" w:cs="Arial"/>
          <w:i/>
        </w:rPr>
        <w:t xml:space="preserve">Balzer v Vries </w:t>
      </w:r>
      <w:r>
        <w:rPr>
          <w:rFonts w:ascii="Arial" w:hAnsi="Arial" w:cs="Arial"/>
        </w:rPr>
        <w:t xml:space="preserve">2015 (2) NR 547 (SC) at </w:t>
      </w:r>
      <w:r w:rsidR="001C6657">
        <w:rPr>
          <w:rFonts w:ascii="Arial" w:hAnsi="Arial" w:cs="Arial"/>
        </w:rPr>
        <w:t>3</w:t>
      </w:r>
      <w:r>
        <w:rPr>
          <w:rFonts w:ascii="Arial" w:hAnsi="Arial" w:cs="Arial"/>
        </w:rPr>
        <w:t>51</w:t>
      </w:r>
      <w:r w:rsidR="001C6657">
        <w:rPr>
          <w:rFonts w:ascii="Arial" w:hAnsi="Arial" w:cs="Arial"/>
        </w:rPr>
        <w:t>I</w:t>
      </w:r>
      <w:r>
        <w:rPr>
          <w:rFonts w:ascii="Arial" w:hAnsi="Arial" w:cs="Arial"/>
        </w:rPr>
        <w:t>-</w:t>
      </w:r>
      <w:r w:rsidR="001C6657">
        <w:rPr>
          <w:rFonts w:ascii="Arial" w:hAnsi="Arial" w:cs="Arial"/>
        </w:rPr>
        <w:t>3</w:t>
      </w:r>
      <w:r>
        <w:rPr>
          <w:rFonts w:ascii="Arial" w:hAnsi="Arial" w:cs="Arial"/>
        </w:rPr>
        <w:t xml:space="preserve">52F; </w:t>
      </w:r>
      <w:r>
        <w:rPr>
          <w:rFonts w:ascii="Arial" w:hAnsi="Arial" w:cs="Arial"/>
          <w:i/>
        </w:rPr>
        <w:t xml:space="preserve">Arangies t/a Auto Tech v Quick Build </w:t>
      </w:r>
      <w:r>
        <w:rPr>
          <w:rFonts w:ascii="Arial" w:hAnsi="Arial" w:cs="Arial"/>
        </w:rPr>
        <w:t>2014 (1) NR 187 (SC) at 189-190 para 5.</w:t>
      </w:r>
    </w:p>
  </w:footnote>
  <w:footnote w:id="12">
    <w:p w14:paraId="0589F31C" w14:textId="307D9432" w:rsidR="006C4B38" w:rsidRPr="00A329F3" w:rsidRDefault="006C4B38" w:rsidP="00A329F3">
      <w:pPr>
        <w:pStyle w:val="FootnoteText"/>
        <w:jc w:val="both"/>
        <w:rPr>
          <w:rFonts w:ascii="Arial" w:hAnsi="Arial" w:cs="Arial"/>
        </w:rPr>
      </w:pPr>
      <w:r w:rsidRPr="006B2ADE">
        <w:rPr>
          <w:rStyle w:val="FootnoteReference"/>
          <w:rFonts w:ascii="Arial" w:hAnsi="Arial" w:cs="Arial"/>
        </w:rPr>
        <w:footnoteRef/>
      </w:r>
      <w:r w:rsidRPr="006B2ADE">
        <w:rPr>
          <w:rFonts w:ascii="Arial" w:hAnsi="Arial" w:cs="Arial"/>
        </w:rPr>
        <w:t xml:space="preserve"> </w:t>
      </w:r>
      <w:r w:rsidR="006B2ADE">
        <w:rPr>
          <w:rFonts w:ascii="Arial" w:hAnsi="Arial" w:cs="Arial"/>
        </w:rPr>
        <w:t>GE Devenish:</w:t>
      </w:r>
      <w:r w:rsidR="00A329F3">
        <w:rPr>
          <w:rFonts w:ascii="Arial" w:hAnsi="Arial" w:cs="Arial"/>
        </w:rPr>
        <w:t xml:space="preserve"> </w:t>
      </w:r>
      <w:r w:rsidR="00A329F3" w:rsidRPr="006B2ADE">
        <w:rPr>
          <w:rFonts w:ascii="Arial" w:hAnsi="Arial" w:cs="Arial"/>
          <w:i/>
        </w:rPr>
        <w:t xml:space="preserve">Interpretation of </w:t>
      </w:r>
      <w:r w:rsidR="006B2ADE" w:rsidRPr="006B2ADE">
        <w:rPr>
          <w:rFonts w:ascii="Arial" w:hAnsi="Arial" w:cs="Arial"/>
          <w:i/>
        </w:rPr>
        <w:t>S</w:t>
      </w:r>
      <w:r w:rsidR="00A329F3" w:rsidRPr="006B2ADE">
        <w:rPr>
          <w:rFonts w:ascii="Arial" w:hAnsi="Arial" w:cs="Arial"/>
          <w:i/>
        </w:rPr>
        <w:t>tatutes</w:t>
      </w:r>
      <w:r w:rsidR="006B2ADE">
        <w:rPr>
          <w:rFonts w:ascii="Arial" w:hAnsi="Arial" w:cs="Arial"/>
        </w:rPr>
        <w:t>.</w:t>
      </w:r>
      <w:r w:rsidR="00A329F3">
        <w:rPr>
          <w:rFonts w:ascii="Arial" w:hAnsi="Arial" w:cs="Arial"/>
        </w:rPr>
        <w:t xml:space="preserve"> </w:t>
      </w:r>
      <w:r w:rsidR="006B2ADE">
        <w:rPr>
          <w:rFonts w:ascii="Arial" w:hAnsi="Arial" w:cs="Arial"/>
        </w:rPr>
        <w:t>(</w:t>
      </w:r>
      <w:r w:rsidR="00A329F3">
        <w:rPr>
          <w:rFonts w:ascii="Arial" w:hAnsi="Arial" w:cs="Arial"/>
        </w:rPr>
        <w:t>1996</w:t>
      </w:r>
      <w:r w:rsidR="006B2ADE">
        <w:rPr>
          <w:rFonts w:ascii="Arial" w:hAnsi="Arial" w:cs="Arial"/>
        </w:rPr>
        <w:t>)</w:t>
      </w:r>
      <w:r w:rsidR="00A329F3">
        <w:rPr>
          <w:rFonts w:ascii="Arial" w:hAnsi="Arial" w:cs="Arial"/>
        </w:rPr>
        <w:t xml:space="preserve"> p 26; </w:t>
      </w:r>
      <w:r w:rsidR="00A329F3">
        <w:rPr>
          <w:rFonts w:ascii="Arial" w:hAnsi="Arial" w:cs="Arial"/>
          <w:i/>
        </w:rPr>
        <w:t xml:space="preserve">Mwandingi v Minister of Defense </w:t>
      </w:r>
      <w:r w:rsidR="009D2616">
        <w:rPr>
          <w:rFonts w:ascii="Arial" w:hAnsi="Arial" w:cs="Arial"/>
        </w:rPr>
        <w:t>1990 NR 363</w:t>
      </w:r>
      <w:r w:rsidR="00A329F3">
        <w:rPr>
          <w:rFonts w:ascii="Arial" w:hAnsi="Arial" w:cs="Arial"/>
        </w:rPr>
        <w:t xml:space="preserve"> (HC) at 370C; </w:t>
      </w:r>
      <w:r w:rsidR="00A329F3">
        <w:rPr>
          <w:rFonts w:ascii="Arial" w:hAnsi="Arial" w:cs="Arial"/>
          <w:i/>
        </w:rPr>
        <w:t xml:space="preserve">S v Zuma </w:t>
      </w:r>
      <w:r w:rsidR="00A329F3">
        <w:rPr>
          <w:rFonts w:ascii="Arial" w:hAnsi="Arial" w:cs="Arial"/>
        </w:rPr>
        <w:t>1995 (2) SA 642 (CC) para 1</w:t>
      </w:r>
      <w:r w:rsidR="009D2616">
        <w:rPr>
          <w:rFonts w:ascii="Arial" w:hAnsi="Arial" w:cs="Arial"/>
        </w:rPr>
        <w:t>8</w:t>
      </w:r>
      <w:r w:rsidR="00A329F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B42D" w14:textId="77777777" w:rsidR="005B0EE0" w:rsidRPr="007D275A" w:rsidRDefault="005B0EE0">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755C43">
      <w:rPr>
        <w:rFonts w:ascii="Arial" w:hAnsi="Arial" w:cs="Arial"/>
        <w:noProof/>
        <w:sz w:val="24"/>
        <w:szCs w:val="24"/>
      </w:rPr>
      <w:t>9</w:t>
    </w:r>
    <w:r w:rsidRPr="007D275A">
      <w:rPr>
        <w:rFonts w:ascii="Arial" w:hAnsi="Arial" w:cs="Arial"/>
        <w:noProof/>
        <w:sz w:val="24"/>
        <w:szCs w:val="24"/>
      </w:rPr>
      <w:fldChar w:fldCharType="end"/>
    </w:r>
  </w:p>
  <w:p w14:paraId="0713E856" w14:textId="77777777" w:rsidR="005B0EE0" w:rsidRDefault="005B0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34E0"/>
    <w:multiLevelType w:val="hybridMultilevel"/>
    <w:tmpl w:val="7FB818FE"/>
    <w:lvl w:ilvl="0" w:tplc="B5643996">
      <w:start w:val="3"/>
      <w:numFmt w:val="decimal"/>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E9560D0"/>
    <w:multiLevelType w:val="hybridMultilevel"/>
    <w:tmpl w:val="DFAC8538"/>
    <w:lvl w:ilvl="0" w:tplc="16BC6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4E2B"/>
    <w:multiLevelType w:val="hybridMultilevel"/>
    <w:tmpl w:val="ECBC9D96"/>
    <w:lvl w:ilvl="0" w:tplc="A2E49870">
      <w:start w:val="1"/>
      <w:numFmt w:val="decimal"/>
      <w:lvlText w:val="[%1]"/>
      <w:lvlJc w:val="left"/>
      <w:pPr>
        <w:ind w:left="360"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3" w15:restartNumberingAfterBreak="0">
    <w:nsid w:val="320F2003"/>
    <w:multiLevelType w:val="hybridMultilevel"/>
    <w:tmpl w:val="343C6DE0"/>
    <w:lvl w:ilvl="0" w:tplc="98FEB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8429DF"/>
    <w:multiLevelType w:val="hybridMultilevel"/>
    <w:tmpl w:val="1D3CE656"/>
    <w:lvl w:ilvl="0" w:tplc="D4E4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710CC7"/>
    <w:multiLevelType w:val="hybridMultilevel"/>
    <w:tmpl w:val="EBA82686"/>
    <w:lvl w:ilvl="0" w:tplc="284C5A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2215CE"/>
    <w:multiLevelType w:val="hybridMultilevel"/>
    <w:tmpl w:val="5360FA40"/>
    <w:lvl w:ilvl="0" w:tplc="F30C9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9F7"/>
    <w:rsid w:val="00011295"/>
    <w:rsid w:val="000114D6"/>
    <w:rsid w:val="00011BE4"/>
    <w:rsid w:val="00012D8E"/>
    <w:rsid w:val="00012E8E"/>
    <w:rsid w:val="00012F9A"/>
    <w:rsid w:val="00014936"/>
    <w:rsid w:val="00014C1B"/>
    <w:rsid w:val="0001606C"/>
    <w:rsid w:val="00017960"/>
    <w:rsid w:val="00017CC6"/>
    <w:rsid w:val="000203EA"/>
    <w:rsid w:val="00022738"/>
    <w:rsid w:val="000235C7"/>
    <w:rsid w:val="000261BE"/>
    <w:rsid w:val="00026D2D"/>
    <w:rsid w:val="00026E7F"/>
    <w:rsid w:val="00027493"/>
    <w:rsid w:val="00030200"/>
    <w:rsid w:val="00033303"/>
    <w:rsid w:val="000335A8"/>
    <w:rsid w:val="000349E2"/>
    <w:rsid w:val="00041473"/>
    <w:rsid w:val="00042093"/>
    <w:rsid w:val="00042266"/>
    <w:rsid w:val="00043197"/>
    <w:rsid w:val="000435E6"/>
    <w:rsid w:val="000443C2"/>
    <w:rsid w:val="00044866"/>
    <w:rsid w:val="0004594E"/>
    <w:rsid w:val="00047DE1"/>
    <w:rsid w:val="000517EE"/>
    <w:rsid w:val="000539F9"/>
    <w:rsid w:val="00053E84"/>
    <w:rsid w:val="00053F8E"/>
    <w:rsid w:val="00054C04"/>
    <w:rsid w:val="00054FB7"/>
    <w:rsid w:val="00055898"/>
    <w:rsid w:val="00056538"/>
    <w:rsid w:val="00060E1E"/>
    <w:rsid w:val="0006191B"/>
    <w:rsid w:val="00065103"/>
    <w:rsid w:val="00071968"/>
    <w:rsid w:val="00072608"/>
    <w:rsid w:val="000732C9"/>
    <w:rsid w:val="00073C21"/>
    <w:rsid w:val="00074D22"/>
    <w:rsid w:val="00077622"/>
    <w:rsid w:val="00077C37"/>
    <w:rsid w:val="00080620"/>
    <w:rsid w:val="00081435"/>
    <w:rsid w:val="0008226F"/>
    <w:rsid w:val="0008337A"/>
    <w:rsid w:val="000844B6"/>
    <w:rsid w:val="00084842"/>
    <w:rsid w:val="00084988"/>
    <w:rsid w:val="000875C9"/>
    <w:rsid w:val="00090FCB"/>
    <w:rsid w:val="000950EE"/>
    <w:rsid w:val="0009530A"/>
    <w:rsid w:val="000A352D"/>
    <w:rsid w:val="000A468E"/>
    <w:rsid w:val="000A67C8"/>
    <w:rsid w:val="000A6F9E"/>
    <w:rsid w:val="000B35E2"/>
    <w:rsid w:val="000B54B4"/>
    <w:rsid w:val="000B648D"/>
    <w:rsid w:val="000B7D02"/>
    <w:rsid w:val="000C06DF"/>
    <w:rsid w:val="000C0C30"/>
    <w:rsid w:val="000C10BA"/>
    <w:rsid w:val="000C17C9"/>
    <w:rsid w:val="000C2B11"/>
    <w:rsid w:val="000C319E"/>
    <w:rsid w:val="000C3BB8"/>
    <w:rsid w:val="000C42F7"/>
    <w:rsid w:val="000C466D"/>
    <w:rsid w:val="000C47DD"/>
    <w:rsid w:val="000C4ED6"/>
    <w:rsid w:val="000C507A"/>
    <w:rsid w:val="000C5253"/>
    <w:rsid w:val="000C5935"/>
    <w:rsid w:val="000C5B5C"/>
    <w:rsid w:val="000C5DD2"/>
    <w:rsid w:val="000C705B"/>
    <w:rsid w:val="000D3777"/>
    <w:rsid w:val="000D3D5D"/>
    <w:rsid w:val="000D3DBB"/>
    <w:rsid w:val="000D45E2"/>
    <w:rsid w:val="000D4DB9"/>
    <w:rsid w:val="000E06A7"/>
    <w:rsid w:val="000E32E8"/>
    <w:rsid w:val="000E4ACE"/>
    <w:rsid w:val="000E60C5"/>
    <w:rsid w:val="000E7CF5"/>
    <w:rsid w:val="000E7EFC"/>
    <w:rsid w:val="000F05D6"/>
    <w:rsid w:val="000F360F"/>
    <w:rsid w:val="000F4F08"/>
    <w:rsid w:val="000F4FD9"/>
    <w:rsid w:val="000F5E2D"/>
    <w:rsid w:val="000F5E43"/>
    <w:rsid w:val="000F6215"/>
    <w:rsid w:val="000F6519"/>
    <w:rsid w:val="000F71D0"/>
    <w:rsid w:val="0010034D"/>
    <w:rsid w:val="0010056C"/>
    <w:rsid w:val="0010087E"/>
    <w:rsid w:val="0010149F"/>
    <w:rsid w:val="001015D5"/>
    <w:rsid w:val="001018D5"/>
    <w:rsid w:val="0010217A"/>
    <w:rsid w:val="00102D32"/>
    <w:rsid w:val="00104EBA"/>
    <w:rsid w:val="001050EB"/>
    <w:rsid w:val="00106FF0"/>
    <w:rsid w:val="001110C4"/>
    <w:rsid w:val="00115AD8"/>
    <w:rsid w:val="00115BED"/>
    <w:rsid w:val="00115F0A"/>
    <w:rsid w:val="00116A76"/>
    <w:rsid w:val="0012066B"/>
    <w:rsid w:val="00121EAF"/>
    <w:rsid w:val="001229C4"/>
    <w:rsid w:val="00123B7D"/>
    <w:rsid w:val="00123EC4"/>
    <w:rsid w:val="001244BA"/>
    <w:rsid w:val="00124758"/>
    <w:rsid w:val="001256EC"/>
    <w:rsid w:val="001267BA"/>
    <w:rsid w:val="001302DC"/>
    <w:rsid w:val="0013493D"/>
    <w:rsid w:val="00135D84"/>
    <w:rsid w:val="00136208"/>
    <w:rsid w:val="00136719"/>
    <w:rsid w:val="00137F33"/>
    <w:rsid w:val="001409F9"/>
    <w:rsid w:val="00140AFD"/>
    <w:rsid w:val="001418D1"/>
    <w:rsid w:val="001428E5"/>
    <w:rsid w:val="00143550"/>
    <w:rsid w:val="00143ACD"/>
    <w:rsid w:val="00145F71"/>
    <w:rsid w:val="00146D3C"/>
    <w:rsid w:val="001477E2"/>
    <w:rsid w:val="001520D7"/>
    <w:rsid w:val="00152147"/>
    <w:rsid w:val="0015481C"/>
    <w:rsid w:val="00155337"/>
    <w:rsid w:val="00155556"/>
    <w:rsid w:val="00156079"/>
    <w:rsid w:val="0015784F"/>
    <w:rsid w:val="00160B72"/>
    <w:rsid w:val="00161904"/>
    <w:rsid w:val="00161B22"/>
    <w:rsid w:val="00161D63"/>
    <w:rsid w:val="0016358C"/>
    <w:rsid w:val="001644ED"/>
    <w:rsid w:val="001664F8"/>
    <w:rsid w:val="00170026"/>
    <w:rsid w:val="00170E7E"/>
    <w:rsid w:val="00171FCD"/>
    <w:rsid w:val="00172435"/>
    <w:rsid w:val="0017353E"/>
    <w:rsid w:val="00175C15"/>
    <w:rsid w:val="001837D1"/>
    <w:rsid w:val="00184A4A"/>
    <w:rsid w:val="00190E9E"/>
    <w:rsid w:val="00190FA0"/>
    <w:rsid w:val="0019122B"/>
    <w:rsid w:val="00191A8B"/>
    <w:rsid w:val="00193D21"/>
    <w:rsid w:val="00193E77"/>
    <w:rsid w:val="001961F4"/>
    <w:rsid w:val="001973B0"/>
    <w:rsid w:val="001A035F"/>
    <w:rsid w:val="001A06C5"/>
    <w:rsid w:val="001A0D97"/>
    <w:rsid w:val="001A0FBB"/>
    <w:rsid w:val="001A29B7"/>
    <w:rsid w:val="001A2D45"/>
    <w:rsid w:val="001A2FA4"/>
    <w:rsid w:val="001A4F7E"/>
    <w:rsid w:val="001A6DE8"/>
    <w:rsid w:val="001A7049"/>
    <w:rsid w:val="001A77BC"/>
    <w:rsid w:val="001B037C"/>
    <w:rsid w:val="001B292D"/>
    <w:rsid w:val="001B5B52"/>
    <w:rsid w:val="001B6E21"/>
    <w:rsid w:val="001C2079"/>
    <w:rsid w:val="001C288D"/>
    <w:rsid w:val="001C5FBE"/>
    <w:rsid w:val="001C636E"/>
    <w:rsid w:val="001C6657"/>
    <w:rsid w:val="001C748D"/>
    <w:rsid w:val="001D0702"/>
    <w:rsid w:val="001D0E27"/>
    <w:rsid w:val="001D1CB4"/>
    <w:rsid w:val="001D35DD"/>
    <w:rsid w:val="001E0ABD"/>
    <w:rsid w:val="001E1A29"/>
    <w:rsid w:val="001E1CE1"/>
    <w:rsid w:val="001E1E59"/>
    <w:rsid w:val="001E2A5C"/>
    <w:rsid w:val="001E3E82"/>
    <w:rsid w:val="001E3FC8"/>
    <w:rsid w:val="001E46EC"/>
    <w:rsid w:val="001E79CD"/>
    <w:rsid w:val="001F05B2"/>
    <w:rsid w:val="001F1C97"/>
    <w:rsid w:val="001F4247"/>
    <w:rsid w:val="002001E4"/>
    <w:rsid w:val="00201D64"/>
    <w:rsid w:val="00202F96"/>
    <w:rsid w:val="0020510D"/>
    <w:rsid w:val="0020522A"/>
    <w:rsid w:val="002052EE"/>
    <w:rsid w:val="00206A27"/>
    <w:rsid w:val="002079F7"/>
    <w:rsid w:val="0021179D"/>
    <w:rsid w:val="00212D44"/>
    <w:rsid w:val="0021378C"/>
    <w:rsid w:val="002137EF"/>
    <w:rsid w:val="00216232"/>
    <w:rsid w:val="0021625B"/>
    <w:rsid w:val="002163B4"/>
    <w:rsid w:val="00226D3A"/>
    <w:rsid w:val="00227AF5"/>
    <w:rsid w:val="00227E14"/>
    <w:rsid w:val="00230A5D"/>
    <w:rsid w:val="00230A75"/>
    <w:rsid w:val="002327F4"/>
    <w:rsid w:val="00232CEF"/>
    <w:rsid w:val="00233593"/>
    <w:rsid w:val="00234ECB"/>
    <w:rsid w:val="002371CD"/>
    <w:rsid w:val="00237CE1"/>
    <w:rsid w:val="00243A35"/>
    <w:rsid w:val="00243E18"/>
    <w:rsid w:val="00244FA6"/>
    <w:rsid w:val="00245ECC"/>
    <w:rsid w:val="00246A1C"/>
    <w:rsid w:val="00250AA9"/>
    <w:rsid w:val="0025125F"/>
    <w:rsid w:val="00253192"/>
    <w:rsid w:val="002551B4"/>
    <w:rsid w:val="00255D6D"/>
    <w:rsid w:val="0025730F"/>
    <w:rsid w:val="0026172A"/>
    <w:rsid w:val="00261E4D"/>
    <w:rsid w:val="0026325F"/>
    <w:rsid w:val="0026498E"/>
    <w:rsid w:val="00265AC1"/>
    <w:rsid w:val="00266306"/>
    <w:rsid w:val="00270C55"/>
    <w:rsid w:val="0027236C"/>
    <w:rsid w:val="002756C5"/>
    <w:rsid w:val="00275E18"/>
    <w:rsid w:val="0027621D"/>
    <w:rsid w:val="00276980"/>
    <w:rsid w:val="00280AD9"/>
    <w:rsid w:val="0028553D"/>
    <w:rsid w:val="00286490"/>
    <w:rsid w:val="0029073C"/>
    <w:rsid w:val="002907EA"/>
    <w:rsid w:val="0029393D"/>
    <w:rsid w:val="00294DB2"/>
    <w:rsid w:val="002A0C41"/>
    <w:rsid w:val="002A10CA"/>
    <w:rsid w:val="002A14A3"/>
    <w:rsid w:val="002A3AF6"/>
    <w:rsid w:val="002A679D"/>
    <w:rsid w:val="002B178C"/>
    <w:rsid w:val="002B6884"/>
    <w:rsid w:val="002B6EDF"/>
    <w:rsid w:val="002C04BD"/>
    <w:rsid w:val="002C215D"/>
    <w:rsid w:val="002C3677"/>
    <w:rsid w:val="002C4E4A"/>
    <w:rsid w:val="002C4EF4"/>
    <w:rsid w:val="002C50CA"/>
    <w:rsid w:val="002C5CA9"/>
    <w:rsid w:val="002C5EE0"/>
    <w:rsid w:val="002C60F9"/>
    <w:rsid w:val="002C7FC6"/>
    <w:rsid w:val="002D2B44"/>
    <w:rsid w:val="002D2F38"/>
    <w:rsid w:val="002D43A9"/>
    <w:rsid w:val="002D4FB4"/>
    <w:rsid w:val="002D588A"/>
    <w:rsid w:val="002D5C5B"/>
    <w:rsid w:val="002D6221"/>
    <w:rsid w:val="002D6C80"/>
    <w:rsid w:val="002D78DF"/>
    <w:rsid w:val="002E0196"/>
    <w:rsid w:val="002E297A"/>
    <w:rsid w:val="002E3555"/>
    <w:rsid w:val="002E39AB"/>
    <w:rsid w:val="002E7DA7"/>
    <w:rsid w:val="002F0C1C"/>
    <w:rsid w:val="002F3C81"/>
    <w:rsid w:val="002F7D3A"/>
    <w:rsid w:val="003002B3"/>
    <w:rsid w:val="00301DEC"/>
    <w:rsid w:val="00303749"/>
    <w:rsid w:val="00303BAB"/>
    <w:rsid w:val="00304077"/>
    <w:rsid w:val="00307198"/>
    <w:rsid w:val="003075C0"/>
    <w:rsid w:val="00312D39"/>
    <w:rsid w:val="00313C44"/>
    <w:rsid w:val="00313EFC"/>
    <w:rsid w:val="00315690"/>
    <w:rsid w:val="003159B6"/>
    <w:rsid w:val="00317293"/>
    <w:rsid w:val="003175DC"/>
    <w:rsid w:val="00317D01"/>
    <w:rsid w:val="003219FB"/>
    <w:rsid w:val="00322D83"/>
    <w:rsid w:val="003243BC"/>
    <w:rsid w:val="003247E0"/>
    <w:rsid w:val="00324C23"/>
    <w:rsid w:val="00326177"/>
    <w:rsid w:val="003273E7"/>
    <w:rsid w:val="003301DB"/>
    <w:rsid w:val="00331595"/>
    <w:rsid w:val="003315AC"/>
    <w:rsid w:val="00331FED"/>
    <w:rsid w:val="003336E3"/>
    <w:rsid w:val="003367F5"/>
    <w:rsid w:val="00336CF9"/>
    <w:rsid w:val="0033716D"/>
    <w:rsid w:val="003415AB"/>
    <w:rsid w:val="0034163C"/>
    <w:rsid w:val="003424F0"/>
    <w:rsid w:val="00343FD9"/>
    <w:rsid w:val="00345847"/>
    <w:rsid w:val="003527E0"/>
    <w:rsid w:val="0035463F"/>
    <w:rsid w:val="003555C6"/>
    <w:rsid w:val="0035728F"/>
    <w:rsid w:val="0035740A"/>
    <w:rsid w:val="00357795"/>
    <w:rsid w:val="003604F7"/>
    <w:rsid w:val="00360E00"/>
    <w:rsid w:val="003611DE"/>
    <w:rsid w:val="00361ED5"/>
    <w:rsid w:val="0036229F"/>
    <w:rsid w:val="003632D2"/>
    <w:rsid w:val="0036616F"/>
    <w:rsid w:val="00366980"/>
    <w:rsid w:val="00366A73"/>
    <w:rsid w:val="0036701F"/>
    <w:rsid w:val="00370B29"/>
    <w:rsid w:val="00371870"/>
    <w:rsid w:val="003729A8"/>
    <w:rsid w:val="00373893"/>
    <w:rsid w:val="0038405D"/>
    <w:rsid w:val="00387680"/>
    <w:rsid w:val="003879D0"/>
    <w:rsid w:val="00387C9E"/>
    <w:rsid w:val="00390825"/>
    <w:rsid w:val="00390931"/>
    <w:rsid w:val="00391820"/>
    <w:rsid w:val="00391890"/>
    <w:rsid w:val="00392A95"/>
    <w:rsid w:val="00396DFF"/>
    <w:rsid w:val="0039733A"/>
    <w:rsid w:val="003973FA"/>
    <w:rsid w:val="00397836"/>
    <w:rsid w:val="003A04A7"/>
    <w:rsid w:val="003A0644"/>
    <w:rsid w:val="003A0BBD"/>
    <w:rsid w:val="003A292A"/>
    <w:rsid w:val="003A2D54"/>
    <w:rsid w:val="003A6555"/>
    <w:rsid w:val="003A7174"/>
    <w:rsid w:val="003B061F"/>
    <w:rsid w:val="003B306C"/>
    <w:rsid w:val="003B3541"/>
    <w:rsid w:val="003B45FF"/>
    <w:rsid w:val="003B5A28"/>
    <w:rsid w:val="003B6172"/>
    <w:rsid w:val="003B64D6"/>
    <w:rsid w:val="003C2010"/>
    <w:rsid w:val="003C29EB"/>
    <w:rsid w:val="003C2D83"/>
    <w:rsid w:val="003C2DCF"/>
    <w:rsid w:val="003C3526"/>
    <w:rsid w:val="003C3692"/>
    <w:rsid w:val="003C5129"/>
    <w:rsid w:val="003C7606"/>
    <w:rsid w:val="003D0750"/>
    <w:rsid w:val="003D41E7"/>
    <w:rsid w:val="003D485B"/>
    <w:rsid w:val="003D508C"/>
    <w:rsid w:val="003D50AA"/>
    <w:rsid w:val="003D590B"/>
    <w:rsid w:val="003D713A"/>
    <w:rsid w:val="003D7C0A"/>
    <w:rsid w:val="003E232A"/>
    <w:rsid w:val="003E2D8E"/>
    <w:rsid w:val="003E52E0"/>
    <w:rsid w:val="003F3AB4"/>
    <w:rsid w:val="003F6E03"/>
    <w:rsid w:val="003F7EC2"/>
    <w:rsid w:val="00402032"/>
    <w:rsid w:val="00402D08"/>
    <w:rsid w:val="004032A5"/>
    <w:rsid w:val="004047EF"/>
    <w:rsid w:val="00404F4C"/>
    <w:rsid w:val="00410830"/>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4C80"/>
    <w:rsid w:val="00427BC7"/>
    <w:rsid w:val="00430CF7"/>
    <w:rsid w:val="00430E24"/>
    <w:rsid w:val="004335AA"/>
    <w:rsid w:val="004351FE"/>
    <w:rsid w:val="004354C5"/>
    <w:rsid w:val="004412F6"/>
    <w:rsid w:val="00443C1E"/>
    <w:rsid w:val="00444D32"/>
    <w:rsid w:val="00450A85"/>
    <w:rsid w:val="00452EC5"/>
    <w:rsid w:val="0045453D"/>
    <w:rsid w:val="00454FFD"/>
    <w:rsid w:val="0045561C"/>
    <w:rsid w:val="00455681"/>
    <w:rsid w:val="0045604A"/>
    <w:rsid w:val="0045728B"/>
    <w:rsid w:val="00457FE9"/>
    <w:rsid w:val="00460CFE"/>
    <w:rsid w:val="00461842"/>
    <w:rsid w:val="00461936"/>
    <w:rsid w:val="00462D45"/>
    <w:rsid w:val="00463530"/>
    <w:rsid w:val="00463A77"/>
    <w:rsid w:val="00465752"/>
    <w:rsid w:val="00465EAB"/>
    <w:rsid w:val="00466144"/>
    <w:rsid w:val="00466472"/>
    <w:rsid w:val="00466B87"/>
    <w:rsid w:val="00471D21"/>
    <w:rsid w:val="0047305B"/>
    <w:rsid w:val="00473332"/>
    <w:rsid w:val="00476D82"/>
    <w:rsid w:val="004774BF"/>
    <w:rsid w:val="00477E30"/>
    <w:rsid w:val="00480323"/>
    <w:rsid w:val="00480772"/>
    <w:rsid w:val="00480802"/>
    <w:rsid w:val="0048209A"/>
    <w:rsid w:val="0048244C"/>
    <w:rsid w:val="00486796"/>
    <w:rsid w:val="00487A3B"/>
    <w:rsid w:val="0049276B"/>
    <w:rsid w:val="00493F6B"/>
    <w:rsid w:val="0049484B"/>
    <w:rsid w:val="0049624D"/>
    <w:rsid w:val="004970FD"/>
    <w:rsid w:val="00497861"/>
    <w:rsid w:val="004A3483"/>
    <w:rsid w:val="004A4CE8"/>
    <w:rsid w:val="004A686F"/>
    <w:rsid w:val="004B04AA"/>
    <w:rsid w:val="004B0695"/>
    <w:rsid w:val="004B0EA3"/>
    <w:rsid w:val="004B1C5D"/>
    <w:rsid w:val="004B438D"/>
    <w:rsid w:val="004B4EF9"/>
    <w:rsid w:val="004B5645"/>
    <w:rsid w:val="004C0BB9"/>
    <w:rsid w:val="004C3537"/>
    <w:rsid w:val="004C4A7C"/>
    <w:rsid w:val="004C528B"/>
    <w:rsid w:val="004C7704"/>
    <w:rsid w:val="004C7C08"/>
    <w:rsid w:val="004C7CBC"/>
    <w:rsid w:val="004C7D12"/>
    <w:rsid w:val="004D0315"/>
    <w:rsid w:val="004D04E9"/>
    <w:rsid w:val="004D0E88"/>
    <w:rsid w:val="004D43B1"/>
    <w:rsid w:val="004D4BA4"/>
    <w:rsid w:val="004D4E61"/>
    <w:rsid w:val="004D4F55"/>
    <w:rsid w:val="004D73BA"/>
    <w:rsid w:val="004E0E1D"/>
    <w:rsid w:val="004E1D79"/>
    <w:rsid w:val="004E31CC"/>
    <w:rsid w:val="004E49F9"/>
    <w:rsid w:val="004E62C2"/>
    <w:rsid w:val="004E7D39"/>
    <w:rsid w:val="004F159C"/>
    <w:rsid w:val="004F26C6"/>
    <w:rsid w:val="004F55D7"/>
    <w:rsid w:val="004F602A"/>
    <w:rsid w:val="004F6376"/>
    <w:rsid w:val="004F66F0"/>
    <w:rsid w:val="00500CF6"/>
    <w:rsid w:val="00501DBC"/>
    <w:rsid w:val="00504ADF"/>
    <w:rsid w:val="00505DB7"/>
    <w:rsid w:val="00506283"/>
    <w:rsid w:val="0050634E"/>
    <w:rsid w:val="00506886"/>
    <w:rsid w:val="00506D5E"/>
    <w:rsid w:val="005076E4"/>
    <w:rsid w:val="005142F8"/>
    <w:rsid w:val="0051459A"/>
    <w:rsid w:val="00514A73"/>
    <w:rsid w:val="00514B86"/>
    <w:rsid w:val="00516007"/>
    <w:rsid w:val="00517CBE"/>
    <w:rsid w:val="0052054C"/>
    <w:rsid w:val="00521C27"/>
    <w:rsid w:val="005225C0"/>
    <w:rsid w:val="0052383A"/>
    <w:rsid w:val="005259DF"/>
    <w:rsid w:val="00526B25"/>
    <w:rsid w:val="00530D38"/>
    <w:rsid w:val="00531CFE"/>
    <w:rsid w:val="00532870"/>
    <w:rsid w:val="005336E0"/>
    <w:rsid w:val="005340AE"/>
    <w:rsid w:val="0053480E"/>
    <w:rsid w:val="00536B47"/>
    <w:rsid w:val="00537D66"/>
    <w:rsid w:val="005415C9"/>
    <w:rsid w:val="00542939"/>
    <w:rsid w:val="00544A90"/>
    <w:rsid w:val="005450C4"/>
    <w:rsid w:val="005452E0"/>
    <w:rsid w:val="00545BB4"/>
    <w:rsid w:val="005460B2"/>
    <w:rsid w:val="005470DD"/>
    <w:rsid w:val="00547412"/>
    <w:rsid w:val="00547670"/>
    <w:rsid w:val="005505BF"/>
    <w:rsid w:val="00553368"/>
    <w:rsid w:val="00554852"/>
    <w:rsid w:val="00556530"/>
    <w:rsid w:val="005567D2"/>
    <w:rsid w:val="005577B6"/>
    <w:rsid w:val="0056197A"/>
    <w:rsid w:val="00562DAF"/>
    <w:rsid w:val="005645CF"/>
    <w:rsid w:val="00564AA1"/>
    <w:rsid w:val="00570109"/>
    <w:rsid w:val="005701C4"/>
    <w:rsid w:val="005716EF"/>
    <w:rsid w:val="00571E47"/>
    <w:rsid w:val="00572CE0"/>
    <w:rsid w:val="00572DCA"/>
    <w:rsid w:val="0057394D"/>
    <w:rsid w:val="00573B8D"/>
    <w:rsid w:val="00574177"/>
    <w:rsid w:val="0057584D"/>
    <w:rsid w:val="005779F5"/>
    <w:rsid w:val="005809E8"/>
    <w:rsid w:val="00582258"/>
    <w:rsid w:val="00582912"/>
    <w:rsid w:val="00584196"/>
    <w:rsid w:val="00584D9D"/>
    <w:rsid w:val="0058633C"/>
    <w:rsid w:val="00590769"/>
    <w:rsid w:val="005928EF"/>
    <w:rsid w:val="00594B41"/>
    <w:rsid w:val="00595166"/>
    <w:rsid w:val="005966FD"/>
    <w:rsid w:val="005A03F3"/>
    <w:rsid w:val="005A05FB"/>
    <w:rsid w:val="005A1219"/>
    <w:rsid w:val="005A1D9E"/>
    <w:rsid w:val="005A3C62"/>
    <w:rsid w:val="005A44C4"/>
    <w:rsid w:val="005A45C9"/>
    <w:rsid w:val="005A4B69"/>
    <w:rsid w:val="005A4FF5"/>
    <w:rsid w:val="005A513F"/>
    <w:rsid w:val="005A5FEE"/>
    <w:rsid w:val="005A7C79"/>
    <w:rsid w:val="005A7EB6"/>
    <w:rsid w:val="005A7FE2"/>
    <w:rsid w:val="005B0EE0"/>
    <w:rsid w:val="005B1FB0"/>
    <w:rsid w:val="005B3EEC"/>
    <w:rsid w:val="005B3FC9"/>
    <w:rsid w:val="005B4527"/>
    <w:rsid w:val="005B4552"/>
    <w:rsid w:val="005B4999"/>
    <w:rsid w:val="005B69A4"/>
    <w:rsid w:val="005C1A60"/>
    <w:rsid w:val="005C2370"/>
    <w:rsid w:val="005C23A4"/>
    <w:rsid w:val="005C3548"/>
    <w:rsid w:val="005C443D"/>
    <w:rsid w:val="005C6E3F"/>
    <w:rsid w:val="005C73D6"/>
    <w:rsid w:val="005D078E"/>
    <w:rsid w:val="005D4F18"/>
    <w:rsid w:val="005D56B9"/>
    <w:rsid w:val="005D5D82"/>
    <w:rsid w:val="005D6041"/>
    <w:rsid w:val="005D6157"/>
    <w:rsid w:val="005D68F4"/>
    <w:rsid w:val="005D7905"/>
    <w:rsid w:val="005E122A"/>
    <w:rsid w:val="005E1390"/>
    <w:rsid w:val="005E16B7"/>
    <w:rsid w:val="005E1D15"/>
    <w:rsid w:val="005E226F"/>
    <w:rsid w:val="005E293F"/>
    <w:rsid w:val="005E30D5"/>
    <w:rsid w:val="005E3BDD"/>
    <w:rsid w:val="005E44E0"/>
    <w:rsid w:val="005E5164"/>
    <w:rsid w:val="005E5558"/>
    <w:rsid w:val="005E5F87"/>
    <w:rsid w:val="005F09C5"/>
    <w:rsid w:val="005F5A2F"/>
    <w:rsid w:val="005F6E98"/>
    <w:rsid w:val="005F7B9F"/>
    <w:rsid w:val="006001C9"/>
    <w:rsid w:val="00601565"/>
    <w:rsid w:val="006021F2"/>
    <w:rsid w:val="00602EE5"/>
    <w:rsid w:val="0060360B"/>
    <w:rsid w:val="00604BAC"/>
    <w:rsid w:val="006054AE"/>
    <w:rsid w:val="00607B89"/>
    <w:rsid w:val="00613061"/>
    <w:rsid w:val="00614523"/>
    <w:rsid w:val="0061692F"/>
    <w:rsid w:val="00617288"/>
    <w:rsid w:val="00622118"/>
    <w:rsid w:val="00622C19"/>
    <w:rsid w:val="00623666"/>
    <w:rsid w:val="00623A08"/>
    <w:rsid w:val="0062630C"/>
    <w:rsid w:val="00627995"/>
    <w:rsid w:val="00631021"/>
    <w:rsid w:val="00632E2B"/>
    <w:rsid w:val="00633C95"/>
    <w:rsid w:val="00634069"/>
    <w:rsid w:val="00634C12"/>
    <w:rsid w:val="00636BF3"/>
    <w:rsid w:val="00637397"/>
    <w:rsid w:val="00641BB2"/>
    <w:rsid w:val="00643D96"/>
    <w:rsid w:val="00644649"/>
    <w:rsid w:val="00644E35"/>
    <w:rsid w:val="00646A39"/>
    <w:rsid w:val="00647E3D"/>
    <w:rsid w:val="006506DE"/>
    <w:rsid w:val="00650A66"/>
    <w:rsid w:val="00650C0B"/>
    <w:rsid w:val="00650C8F"/>
    <w:rsid w:val="00652139"/>
    <w:rsid w:val="00653993"/>
    <w:rsid w:val="0065412C"/>
    <w:rsid w:val="006577B3"/>
    <w:rsid w:val="00661D4C"/>
    <w:rsid w:val="00662DFC"/>
    <w:rsid w:val="00664EB1"/>
    <w:rsid w:val="0067083F"/>
    <w:rsid w:val="006741F2"/>
    <w:rsid w:val="00675A32"/>
    <w:rsid w:val="00676B06"/>
    <w:rsid w:val="00677512"/>
    <w:rsid w:val="00681FF7"/>
    <w:rsid w:val="006826B1"/>
    <w:rsid w:val="00684649"/>
    <w:rsid w:val="00686283"/>
    <w:rsid w:val="006912BC"/>
    <w:rsid w:val="00693C7D"/>
    <w:rsid w:val="00694DEF"/>
    <w:rsid w:val="006965DA"/>
    <w:rsid w:val="006B19FE"/>
    <w:rsid w:val="006B2ADE"/>
    <w:rsid w:val="006B38CA"/>
    <w:rsid w:val="006B79BD"/>
    <w:rsid w:val="006C0653"/>
    <w:rsid w:val="006C0B77"/>
    <w:rsid w:val="006C0FFA"/>
    <w:rsid w:val="006C1587"/>
    <w:rsid w:val="006C3CEC"/>
    <w:rsid w:val="006C4851"/>
    <w:rsid w:val="006C4B38"/>
    <w:rsid w:val="006C5E68"/>
    <w:rsid w:val="006D018F"/>
    <w:rsid w:val="006D03E1"/>
    <w:rsid w:val="006D20CA"/>
    <w:rsid w:val="006D2E2E"/>
    <w:rsid w:val="006D3049"/>
    <w:rsid w:val="006D3584"/>
    <w:rsid w:val="006D3E09"/>
    <w:rsid w:val="006D411B"/>
    <w:rsid w:val="006D4893"/>
    <w:rsid w:val="006D68CB"/>
    <w:rsid w:val="006E48D4"/>
    <w:rsid w:val="006F0CCC"/>
    <w:rsid w:val="006F18E3"/>
    <w:rsid w:val="006F229A"/>
    <w:rsid w:val="006F3128"/>
    <w:rsid w:val="006F36EA"/>
    <w:rsid w:val="006F3AEF"/>
    <w:rsid w:val="006F4C66"/>
    <w:rsid w:val="006F5BBA"/>
    <w:rsid w:val="006F7CA3"/>
    <w:rsid w:val="007008DD"/>
    <w:rsid w:val="00701900"/>
    <w:rsid w:val="0070591C"/>
    <w:rsid w:val="0070610A"/>
    <w:rsid w:val="00706947"/>
    <w:rsid w:val="00710101"/>
    <w:rsid w:val="00713419"/>
    <w:rsid w:val="00714A3E"/>
    <w:rsid w:val="00715370"/>
    <w:rsid w:val="00715713"/>
    <w:rsid w:val="007179FA"/>
    <w:rsid w:val="00720E88"/>
    <w:rsid w:val="0072167D"/>
    <w:rsid w:val="007217DB"/>
    <w:rsid w:val="00723A38"/>
    <w:rsid w:val="007244A1"/>
    <w:rsid w:val="00724718"/>
    <w:rsid w:val="00725429"/>
    <w:rsid w:val="00730884"/>
    <w:rsid w:val="00731790"/>
    <w:rsid w:val="00733AEA"/>
    <w:rsid w:val="00734CB9"/>
    <w:rsid w:val="00737051"/>
    <w:rsid w:val="00740327"/>
    <w:rsid w:val="0074070F"/>
    <w:rsid w:val="0074091C"/>
    <w:rsid w:val="00740DDB"/>
    <w:rsid w:val="0074214F"/>
    <w:rsid w:val="007428E7"/>
    <w:rsid w:val="00742D7B"/>
    <w:rsid w:val="00744A1D"/>
    <w:rsid w:val="00745CF3"/>
    <w:rsid w:val="00745E19"/>
    <w:rsid w:val="00746321"/>
    <w:rsid w:val="00747033"/>
    <w:rsid w:val="00747452"/>
    <w:rsid w:val="00747BE1"/>
    <w:rsid w:val="00750C8D"/>
    <w:rsid w:val="00750CE9"/>
    <w:rsid w:val="00753C06"/>
    <w:rsid w:val="00753C7F"/>
    <w:rsid w:val="007544E9"/>
    <w:rsid w:val="00755C43"/>
    <w:rsid w:val="00755F41"/>
    <w:rsid w:val="00761274"/>
    <w:rsid w:val="00761A96"/>
    <w:rsid w:val="007638D2"/>
    <w:rsid w:val="007651AE"/>
    <w:rsid w:val="00770F19"/>
    <w:rsid w:val="007713FC"/>
    <w:rsid w:val="007718F3"/>
    <w:rsid w:val="00773046"/>
    <w:rsid w:val="007733F7"/>
    <w:rsid w:val="00780697"/>
    <w:rsid w:val="00780905"/>
    <w:rsid w:val="007815F8"/>
    <w:rsid w:val="00781DCE"/>
    <w:rsid w:val="00782C41"/>
    <w:rsid w:val="007835BC"/>
    <w:rsid w:val="007848A8"/>
    <w:rsid w:val="00785CB7"/>
    <w:rsid w:val="00785CDF"/>
    <w:rsid w:val="00786778"/>
    <w:rsid w:val="00786E13"/>
    <w:rsid w:val="007910D4"/>
    <w:rsid w:val="007916C0"/>
    <w:rsid w:val="00791EE9"/>
    <w:rsid w:val="00793278"/>
    <w:rsid w:val="0079362D"/>
    <w:rsid w:val="007A37E0"/>
    <w:rsid w:val="007A434B"/>
    <w:rsid w:val="007B109A"/>
    <w:rsid w:val="007B1844"/>
    <w:rsid w:val="007B190C"/>
    <w:rsid w:val="007B5DDE"/>
    <w:rsid w:val="007B70D9"/>
    <w:rsid w:val="007B7756"/>
    <w:rsid w:val="007B7858"/>
    <w:rsid w:val="007C09B3"/>
    <w:rsid w:val="007C29F3"/>
    <w:rsid w:val="007C29F7"/>
    <w:rsid w:val="007C389D"/>
    <w:rsid w:val="007C3BF5"/>
    <w:rsid w:val="007C49A0"/>
    <w:rsid w:val="007C5693"/>
    <w:rsid w:val="007D11E1"/>
    <w:rsid w:val="007D1C69"/>
    <w:rsid w:val="007D275A"/>
    <w:rsid w:val="007D378A"/>
    <w:rsid w:val="007D38BD"/>
    <w:rsid w:val="007D6AFF"/>
    <w:rsid w:val="007D6B2E"/>
    <w:rsid w:val="007E0A0A"/>
    <w:rsid w:val="007E0FA9"/>
    <w:rsid w:val="007E1992"/>
    <w:rsid w:val="007E28A4"/>
    <w:rsid w:val="007E30AF"/>
    <w:rsid w:val="007E3D7E"/>
    <w:rsid w:val="007E5147"/>
    <w:rsid w:val="007E5F7E"/>
    <w:rsid w:val="007F4953"/>
    <w:rsid w:val="007F571B"/>
    <w:rsid w:val="007F7C79"/>
    <w:rsid w:val="00800A2F"/>
    <w:rsid w:val="008017C4"/>
    <w:rsid w:val="00802327"/>
    <w:rsid w:val="00802710"/>
    <w:rsid w:val="00803568"/>
    <w:rsid w:val="00804B4B"/>
    <w:rsid w:val="0080731A"/>
    <w:rsid w:val="00807D73"/>
    <w:rsid w:val="00810B85"/>
    <w:rsid w:val="0081282D"/>
    <w:rsid w:val="00813FFF"/>
    <w:rsid w:val="00814BD5"/>
    <w:rsid w:val="008150BE"/>
    <w:rsid w:val="00815DBD"/>
    <w:rsid w:val="00816C7C"/>
    <w:rsid w:val="008210AA"/>
    <w:rsid w:val="008215A9"/>
    <w:rsid w:val="00821D15"/>
    <w:rsid w:val="00822C36"/>
    <w:rsid w:val="00824222"/>
    <w:rsid w:val="00824366"/>
    <w:rsid w:val="00824B38"/>
    <w:rsid w:val="0082636B"/>
    <w:rsid w:val="00830495"/>
    <w:rsid w:val="008307F0"/>
    <w:rsid w:val="00834BA0"/>
    <w:rsid w:val="008361D2"/>
    <w:rsid w:val="008405F6"/>
    <w:rsid w:val="00843158"/>
    <w:rsid w:val="0084392E"/>
    <w:rsid w:val="00844150"/>
    <w:rsid w:val="00845AAB"/>
    <w:rsid w:val="008465D8"/>
    <w:rsid w:val="00847156"/>
    <w:rsid w:val="00850843"/>
    <w:rsid w:val="00850DB4"/>
    <w:rsid w:val="0085123B"/>
    <w:rsid w:val="008544F7"/>
    <w:rsid w:val="0086124C"/>
    <w:rsid w:val="00861369"/>
    <w:rsid w:val="00862316"/>
    <w:rsid w:val="00864139"/>
    <w:rsid w:val="008650F5"/>
    <w:rsid w:val="00871A5B"/>
    <w:rsid w:val="0087223D"/>
    <w:rsid w:val="00872D0D"/>
    <w:rsid w:val="00873BA9"/>
    <w:rsid w:val="008747D8"/>
    <w:rsid w:val="0087504D"/>
    <w:rsid w:val="00875AF7"/>
    <w:rsid w:val="0087739C"/>
    <w:rsid w:val="00882821"/>
    <w:rsid w:val="00882B13"/>
    <w:rsid w:val="00882EF4"/>
    <w:rsid w:val="00883065"/>
    <w:rsid w:val="0088355B"/>
    <w:rsid w:val="00884740"/>
    <w:rsid w:val="0088573F"/>
    <w:rsid w:val="00885BE8"/>
    <w:rsid w:val="00890360"/>
    <w:rsid w:val="00890FB1"/>
    <w:rsid w:val="008924CD"/>
    <w:rsid w:val="00894756"/>
    <w:rsid w:val="00894B40"/>
    <w:rsid w:val="0089510E"/>
    <w:rsid w:val="0089610E"/>
    <w:rsid w:val="00896FBE"/>
    <w:rsid w:val="008A107F"/>
    <w:rsid w:val="008A219F"/>
    <w:rsid w:val="008A2375"/>
    <w:rsid w:val="008A44A3"/>
    <w:rsid w:val="008A5810"/>
    <w:rsid w:val="008A5AC6"/>
    <w:rsid w:val="008A5D4F"/>
    <w:rsid w:val="008A7F39"/>
    <w:rsid w:val="008B0909"/>
    <w:rsid w:val="008B1CE5"/>
    <w:rsid w:val="008B1DDD"/>
    <w:rsid w:val="008B3362"/>
    <w:rsid w:val="008B4C61"/>
    <w:rsid w:val="008B5A1A"/>
    <w:rsid w:val="008B5A99"/>
    <w:rsid w:val="008C2293"/>
    <w:rsid w:val="008C40B2"/>
    <w:rsid w:val="008C45D3"/>
    <w:rsid w:val="008C575C"/>
    <w:rsid w:val="008C653B"/>
    <w:rsid w:val="008C654D"/>
    <w:rsid w:val="008C713B"/>
    <w:rsid w:val="008D1BE3"/>
    <w:rsid w:val="008D1C62"/>
    <w:rsid w:val="008D2E35"/>
    <w:rsid w:val="008D3130"/>
    <w:rsid w:val="008D3745"/>
    <w:rsid w:val="008D6CE9"/>
    <w:rsid w:val="008D7AE9"/>
    <w:rsid w:val="008E0490"/>
    <w:rsid w:val="008E2863"/>
    <w:rsid w:val="008E3877"/>
    <w:rsid w:val="008F0AB1"/>
    <w:rsid w:val="008F204B"/>
    <w:rsid w:val="008F248C"/>
    <w:rsid w:val="008F2844"/>
    <w:rsid w:val="008F2CD1"/>
    <w:rsid w:val="008F42AE"/>
    <w:rsid w:val="008F4D8D"/>
    <w:rsid w:val="008F5BB6"/>
    <w:rsid w:val="008F6477"/>
    <w:rsid w:val="008F6F82"/>
    <w:rsid w:val="008F6F91"/>
    <w:rsid w:val="008F6FDC"/>
    <w:rsid w:val="008F7837"/>
    <w:rsid w:val="0090070E"/>
    <w:rsid w:val="0090365D"/>
    <w:rsid w:val="009069D6"/>
    <w:rsid w:val="00913840"/>
    <w:rsid w:val="009148D3"/>
    <w:rsid w:val="009151D1"/>
    <w:rsid w:val="0091585A"/>
    <w:rsid w:val="009173BB"/>
    <w:rsid w:val="009227A5"/>
    <w:rsid w:val="00922DEE"/>
    <w:rsid w:val="0092684A"/>
    <w:rsid w:val="00926E7A"/>
    <w:rsid w:val="009274D2"/>
    <w:rsid w:val="00927EA9"/>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47F8E"/>
    <w:rsid w:val="00953D99"/>
    <w:rsid w:val="00956D6E"/>
    <w:rsid w:val="00957E6F"/>
    <w:rsid w:val="0096003C"/>
    <w:rsid w:val="00961848"/>
    <w:rsid w:val="00961F24"/>
    <w:rsid w:val="009669A1"/>
    <w:rsid w:val="009672D4"/>
    <w:rsid w:val="009701A4"/>
    <w:rsid w:val="00970B6B"/>
    <w:rsid w:val="009714F4"/>
    <w:rsid w:val="00971F56"/>
    <w:rsid w:val="00973284"/>
    <w:rsid w:val="00974078"/>
    <w:rsid w:val="00974EE1"/>
    <w:rsid w:val="00975D9A"/>
    <w:rsid w:val="00975E1C"/>
    <w:rsid w:val="009767DB"/>
    <w:rsid w:val="009774B0"/>
    <w:rsid w:val="00980D02"/>
    <w:rsid w:val="00982EDF"/>
    <w:rsid w:val="00986991"/>
    <w:rsid w:val="009912A2"/>
    <w:rsid w:val="009915E4"/>
    <w:rsid w:val="00991EBF"/>
    <w:rsid w:val="00994787"/>
    <w:rsid w:val="00994D07"/>
    <w:rsid w:val="00995EEF"/>
    <w:rsid w:val="00995FBD"/>
    <w:rsid w:val="00996C76"/>
    <w:rsid w:val="009A2E1E"/>
    <w:rsid w:val="009A3EEA"/>
    <w:rsid w:val="009A4953"/>
    <w:rsid w:val="009A4E3D"/>
    <w:rsid w:val="009A514E"/>
    <w:rsid w:val="009A665B"/>
    <w:rsid w:val="009A7019"/>
    <w:rsid w:val="009B008D"/>
    <w:rsid w:val="009B30C3"/>
    <w:rsid w:val="009B52F5"/>
    <w:rsid w:val="009B56E0"/>
    <w:rsid w:val="009B590F"/>
    <w:rsid w:val="009B5A23"/>
    <w:rsid w:val="009B5C5E"/>
    <w:rsid w:val="009B67AB"/>
    <w:rsid w:val="009C08F6"/>
    <w:rsid w:val="009C09B0"/>
    <w:rsid w:val="009C386D"/>
    <w:rsid w:val="009C38A0"/>
    <w:rsid w:val="009C3A10"/>
    <w:rsid w:val="009C7AE4"/>
    <w:rsid w:val="009D0D24"/>
    <w:rsid w:val="009D2616"/>
    <w:rsid w:val="009D3434"/>
    <w:rsid w:val="009D3C06"/>
    <w:rsid w:val="009D3D25"/>
    <w:rsid w:val="009D4253"/>
    <w:rsid w:val="009D452B"/>
    <w:rsid w:val="009D606F"/>
    <w:rsid w:val="009D7E7C"/>
    <w:rsid w:val="009E281E"/>
    <w:rsid w:val="009E2B08"/>
    <w:rsid w:val="009E2CA6"/>
    <w:rsid w:val="009E65E8"/>
    <w:rsid w:val="009E70DD"/>
    <w:rsid w:val="009F064F"/>
    <w:rsid w:val="009F24EA"/>
    <w:rsid w:val="009F27E7"/>
    <w:rsid w:val="009F5BCD"/>
    <w:rsid w:val="009F79FC"/>
    <w:rsid w:val="00A0048C"/>
    <w:rsid w:val="00A00CB0"/>
    <w:rsid w:val="00A01C7F"/>
    <w:rsid w:val="00A01EDB"/>
    <w:rsid w:val="00A024C6"/>
    <w:rsid w:val="00A030FF"/>
    <w:rsid w:val="00A0340C"/>
    <w:rsid w:val="00A03559"/>
    <w:rsid w:val="00A0358C"/>
    <w:rsid w:val="00A047B4"/>
    <w:rsid w:val="00A04A4C"/>
    <w:rsid w:val="00A05465"/>
    <w:rsid w:val="00A06F28"/>
    <w:rsid w:val="00A10949"/>
    <w:rsid w:val="00A109B8"/>
    <w:rsid w:val="00A13C38"/>
    <w:rsid w:val="00A201BC"/>
    <w:rsid w:val="00A25230"/>
    <w:rsid w:val="00A277A8"/>
    <w:rsid w:val="00A32629"/>
    <w:rsid w:val="00A329AC"/>
    <w:rsid w:val="00A329F3"/>
    <w:rsid w:val="00A35600"/>
    <w:rsid w:val="00A365C8"/>
    <w:rsid w:val="00A36904"/>
    <w:rsid w:val="00A400B2"/>
    <w:rsid w:val="00A400B5"/>
    <w:rsid w:val="00A41231"/>
    <w:rsid w:val="00A414E5"/>
    <w:rsid w:val="00A42646"/>
    <w:rsid w:val="00A42702"/>
    <w:rsid w:val="00A43BCB"/>
    <w:rsid w:val="00A43C74"/>
    <w:rsid w:val="00A43E98"/>
    <w:rsid w:val="00A45502"/>
    <w:rsid w:val="00A455D2"/>
    <w:rsid w:val="00A45705"/>
    <w:rsid w:val="00A460B4"/>
    <w:rsid w:val="00A46141"/>
    <w:rsid w:val="00A46231"/>
    <w:rsid w:val="00A5021B"/>
    <w:rsid w:val="00A53653"/>
    <w:rsid w:val="00A54EAF"/>
    <w:rsid w:val="00A556BF"/>
    <w:rsid w:val="00A5583D"/>
    <w:rsid w:val="00A55E83"/>
    <w:rsid w:val="00A56DA6"/>
    <w:rsid w:val="00A57C26"/>
    <w:rsid w:val="00A6310D"/>
    <w:rsid w:val="00A64F99"/>
    <w:rsid w:val="00A66C81"/>
    <w:rsid w:val="00A704ED"/>
    <w:rsid w:val="00A716D1"/>
    <w:rsid w:val="00A719C3"/>
    <w:rsid w:val="00A7280E"/>
    <w:rsid w:val="00A74887"/>
    <w:rsid w:val="00A77937"/>
    <w:rsid w:val="00A779B1"/>
    <w:rsid w:val="00A77BED"/>
    <w:rsid w:val="00A80408"/>
    <w:rsid w:val="00A806BB"/>
    <w:rsid w:val="00A80C81"/>
    <w:rsid w:val="00A824F0"/>
    <w:rsid w:val="00A831EA"/>
    <w:rsid w:val="00A83640"/>
    <w:rsid w:val="00A83C06"/>
    <w:rsid w:val="00A849BA"/>
    <w:rsid w:val="00A8571D"/>
    <w:rsid w:val="00A86358"/>
    <w:rsid w:val="00A92859"/>
    <w:rsid w:val="00A92F2D"/>
    <w:rsid w:val="00A9567F"/>
    <w:rsid w:val="00A95AA3"/>
    <w:rsid w:val="00A95BFD"/>
    <w:rsid w:val="00A96F63"/>
    <w:rsid w:val="00A97C82"/>
    <w:rsid w:val="00AA0078"/>
    <w:rsid w:val="00AA03C7"/>
    <w:rsid w:val="00AA7F1B"/>
    <w:rsid w:val="00AB0D7E"/>
    <w:rsid w:val="00AB117F"/>
    <w:rsid w:val="00AB13BF"/>
    <w:rsid w:val="00AB5115"/>
    <w:rsid w:val="00AB7A32"/>
    <w:rsid w:val="00AC0288"/>
    <w:rsid w:val="00AC03FB"/>
    <w:rsid w:val="00AC05A7"/>
    <w:rsid w:val="00AC08C2"/>
    <w:rsid w:val="00AC128A"/>
    <w:rsid w:val="00AC1C3C"/>
    <w:rsid w:val="00AC2B93"/>
    <w:rsid w:val="00AC5FD2"/>
    <w:rsid w:val="00AC6836"/>
    <w:rsid w:val="00AC6A9B"/>
    <w:rsid w:val="00AD014B"/>
    <w:rsid w:val="00AD03D5"/>
    <w:rsid w:val="00AD0B54"/>
    <w:rsid w:val="00AD0F64"/>
    <w:rsid w:val="00AD3B65"/>
    <w:rsid w:val="00AD3FBD"/>
    <w:rsid w:val="00AD5720"/>
    <w:rsid w:val="00AE19CF"/>
    <w:rsid w:val="00AE20C0"/>
    <w:rsid w:val="00AE3971"/>
    <w:rsid w:val="00AE47D9"/>
    <w:rsid w:val="00AE533C"/>
    <w:rsid w:val="00AE561C"/>
    <w:rsid w:val="00AE72C4"/>
    <w:rsid w:val="00AE7816"/>
    <w:rsid w:val="00AF3341"/>
    <w:rsid w:val="00AF4296"/>
    <w:rsid w:val="00AF43A6"/>
    <w:rsid w:val="00AF65BA"/>
    <w:rsid w:val="00B00F96"/>
    <w:rsid w:val="00B0224D"/>
    <w:rsid w:val="00B03BB5"/>
    <w:rsid w:val="00B05DBA"/>
    <w:rsid w:val="00B10452"/>
    <w:rsid w:val="00B10AAC"/>
    <w:rsid w:val="00B11039"/>
    <w:rsid w:val="00B1135A"/>
    <w:rsid w:val="00B12AC7"/>
    <w:rsid w:val="00B14237"/>
    <w:rsid w:val="00B158BF"/>
    <w:rsid w:val="00B1653D"/>
    <w:rsid w:val="00B204AA"/>
    <w:rsid w:val="00B21290"/>
    <w:rsid w:val="00B2271E"/>
    <w:rsid w:val="00B22A87"/>
    <w:rsid w:val="00B241EA"/>
    <w:rsid w:val="00B24854"/>
    <w:rsid w:val="00B266CC"/>
    <w:rsid w:val="00B27395"/>
    <w:rsid w:val="00B308C2"/>
    <w:rsid w:val="00B3093A"/>
    <w:rsid w:val="00B33182"/>
    <w:rsid w:val="00B33370"/>
    <w:rsid w:val="00B33CC6"/>
    <w:rsid w:val="00B34053"/>
    <w:rsid w:val="00B342B6"/>
    <w:rsid w:val="00B352D0"/>
    <w:rsid w:val="00B35862"/>
    <w:rsid w:val="00B3640B"/>
    <w:rsid w:val="00B40D37"/>
    <w:rsid w:val="00B40FDF"/>
    <w:rsid w:val="00B41D64"/>
    <w:rsid w:val="00B42616"/>
    <w:rsid w:val="00B4276E"/>
    <w:rsid w:val="00B428D0"/>
    <w:rsid w:val="00B43C5D"/>
    <w:rsid w:val="00B4529D"/>
    <w:rsid w:val="00B453CB"/>
    <w:rsid w:val="00B453D9"/>
    <w:rsid w:val="00B466C2"/>
    <w:rsid w:val="00B508CB"/>
    <w:rsid w:val="00B51A51"/>
    <w:rsid w:val="00B538A6"/>
    <w:rsid w:val="00B56727"/>
    <w:rsid w:val="00B60B72"/>
    <w:rsid w:val="00B612DD"/>
    <w:rsid w:val="00B6177F"/>
    <w:rsid w:val="00B617AB"/>
    <w:rsid w:val="00B623A6"/>
    <w:rsid w:val="00B623FF"/>
    <w:rsid w:val="00B62ACC"/>
    <w:rsid w:val="00B62C82"/>
    <w:rsid w:val="00B63973"/>
    <w:rsid w:val="00B63A87"/>
    <w:rsid w:val="00B64FA3"/>
    <w:rsid w:val="00B6794C"/>
    <w:rsid w:val="00B7017A"/>
    <w:rsid w:val="00B728E7"/>
    <w:rsid w:val="00B7409A"/>
    <w:rsid w:val="00B74507"/>
    <w:rsid w:val="00B758C8"/>
    <w:rsid w:val="00B761C3"/>
    <w:rsid w:val="00B765FF"/>
    <w:rsid w:val="00B77F9B"/>
    <w:rsid w:val="00B80A8D"/>
    <w:rsid w:val="00B8322C"/>
    <w:rsid w:val="00B83626"/>
    <w:rsid w:val="00B873A0"/>
    <w:rsid w:val="00B90F4D"/>
    <w:rsid w:val="00B944E5"/>
    <w:rsid w:val="00B95143"/>
    <w:rsid w:val="00B970D4"/>
    <w:rsid w:val="00B97383"/>
    <w:rsid w:val="00B97980"/>
    <w:rsid w:val="00BA04C2"/>
    <w:rsid w:val="00BA1B27"/>
    <w:rsid w:val="00BA2238"/>
    <w:rsid w:val="00BA2B56"/>
    <w:rsid w:val="00BA2E16"/>
    <w:rsid w:val="00BA2FB6"/>
    <w:rsid w:val="00BA412B"/>
    <w:rsid w:val="00BA52DD"/>
    <w:rsid w:val="00BA66EF"/>
    <w:rsid w:val="00BA6E85"/>
    <w:rsid w:val="00BA739E"/>
    <w:rsid w:val="00BA750B"/>
    <w:rsid w:val="00BB0033"/>
    <w:rsid w:val="00BB077E"/>
    <w:rsid w:val="00BB0F32"/>
    <w:rsid w:val="00BB2104"/>
    <w:rsid w:val="00BB24BC"/>
    <w:rsid w:val="00BB458D"/>
    <w:rsid w:val="00BB49CF"/>
    <w:rsid w:val="00BC08DE"/>
    <w:rsid w:val="00BC1000"/>
    <w:rsid w:val="00BC15F7"/>
    <w:rsid w:val="00BC2269"/>
    <w:rsid w:val="00BC3311"/>
    <w:rsid w:val="00BC41C5"/>
    <w:rsid w:val="00BC46FC"/>
    <w:rsid w:val="00BC7031"/>
    <w:rsid w:val="00BD0DF3"/>
    <w:rsid w:val="00BD134F"/>
    <w:rsid w:val="00BD1862"/>
    <w:rsid w:val="00BD2D2F"/>
    <w:rsid w:val="00BD2F25"/>
    <w:rsid w:val="00BD5547"/>
    <w:rsid w:val="00BD7769"/>
    <w:rsid w:val="00BE01C1"/>
    <w:rsid w:val="00BE022D"/>
    <w:rsid w:val="00BE1CF9"/>
    <w:rsid w:val="00BE1E76"/>
    <w:rsid w:val="00BE3226"/>
    <w:rsid w:val="00BE3B37"/>
    <w:rsid w:val="00BE444F"/>
    <w:rsid w:val="00BE5C1D"/>
    <w:rsid w:val="00BE7916"/>
    <w:rsid w:val="00BE7EC7"/>
    <w:rsid w:val="00BF0C5F"/>
    <w:rsid w:val="00BF14BC"/>
    <w:rsid w:val="00BF14F4"/>
    <w:rsid w:val="00BF39AE"/>
    <w:rsid w:val="00BF41FF"/>
    <w:rsid w:val="00BF49E3"/>
    <w:rsid w:val="00C00FD7"/>
    <w:rsid w:val="00C01D12"/>
    <w:rsid w:val="00C02E1E"/>
    <w:rsid w:val="00C03AC8"/>
    <w:rsid w:val="00C03D6F"/>
    <w:rsid w:val="00C0529C"/>
    <w:rsid w:val="00C06A6C"/>
    <w:rsid w:val="00C0759C"/>
    <w:rsid w:val="00C11639"/>
    <w:rsid w:val="00C11AA3"/>
    <w:rsid w:val="00C12FE2"/>
    <w:rsid w:val="00C133A3"/>
    <w:rsid w:val="00C13593"/>
    <w:rsid w:val="00C13FBD"/>
    <w:rsid w:val="00C14F65"/>
    <w:rsid w:val="00C15948"/>
    <w:rsid w:val="00C1786B"/>
    <w:rsid w:val="00C17CCF"/>
    <w:rsid w:val="00C219D4"/>
    <w:rsid w:val="00C24409"/>
    <w:rsid w:val="00C258B3"/>
    <w:rsid w:val="00C25BC8"/>
    <w:rsid w:val="00C2672E"/>
    <w:rsid w:val="00C306A2"/>
    <w:rsid w:val="00C352FA"/>
    <w:rsid w:val="00C36598"/>
    <w:rsid w:val="00C36886"/>
    <w:rsid w:val="00C36ACD"/>
    <w:rsid w:val="00C41F19"/>
    <w:rsid w:val="00C4208C"/>
    <w:rsid w:val="00C4263C"/>
    <w:rsid w:val="00C43EC2"/>
    <w:rsid w:val="00C466C5"/>
    <w:rsid w:val="00C4694F"/>
    <w:rsid w:val="00C46C73"/>
    <w:rsid w:val="00C47601"/>
    <w:rsid w:val="00C47DF3"/>
    <w:rsid w:val="00C50848"/>
    <w:rsid w:val="00C52A75"/>
    <w:rsid w:val="00C55060"/>
    <w:rsid w:val="00C55736"/>
    <w:rsid w:val="00C55A37"/>
    <w:rsid w:val="00C57677"/>
    <w:rsid w:val="00C57F0A"/>
    <w:rsid w:val="00C6140A"/>
    <w:rsid w:val="00C6238D"/>
    <w:rsid w:val="00C63EEB"/>
    <w:rsid w:val="00C648E9"/>
    <w:rsid w:val="00C64A3B"/>
    <w:rsid w:val="00C65EB0"/>
    <w:rsid w:val="00C67FA3"/>
    <w:rsid w:val="00C71D53"/>
    <w:rsid w:val="00C720E7"/>
    <w:rsid w:val="00C7250C"/>
    <w:rsid w:val="00C72938"/>
    <w:rsid w:val="00C73A90"/>
    <w:rsid w:val="00C75400"/>
    <w:rsid w:val="00C75556"/>
    <w:rsid w:val="00C77602"/>
    <w:rsid w:val="00C83142"/>
    <w:rsid w:val="00C83AA7"/>
    <w:rsid w:val="00C853F4"/>
    <w:rsid w:val="00C870FB"/>
    <w:rsid w:val="00C91107"/>
    <w:rsid w:val="00C92C8B"/>
    <w:rsid w:val="00C93ED8"/>
    <w:rsid w:val="00C9494A"/>
    <w:rsid w:val="00C950D6"/>
    <w:rsid w:val="00C95E03"/>
    <w:rsid w:val="00C95FD8"/>
    <w:rsid w:val="00C96E73"/>
    <w:rsid w:val="00CA46B2"/>
    <w:rsid w:val="00CA7B48"/>
    <w:rsid w:val="00CB0991"/>
    <w:rsid w:val="00CB2AF3"/>
    <w:rsid w:val="00CB4970"/>
    <w:rsid w:val="00CB5359"/>
    <w:rsid w:val="00CB5E26"/>
    <w:rsid w:val="00CC2AEF"/>
    <w:rsid w:val="00CC3827"/>
    <w:rsid w:val="00CC489E"/>
    <w:rsid w:val="00CD16B0"/>
    <w:rsid w:val="00CD5A96"/>
    <w:rsid w:val="00CD5C4C"/>
    <w:rsid w:val="00CD6E80"/>
    <w:rsid w:val="00CE1489"/>
    <w:rsid w:val="00CE1A05"/>
    <w:rsid w:val="00CE3CDB"/>
    <w:rsid w:val="00CE6F5E"/>
    <w:rsid w:val="00CF3230"/>
    <w:rsid w:val="00CF5680"/>
    <w:rsid w:val="00CF67F2"/>
    <w:rsid w:val="00CF6DA2"/>
    <w:rsid w:val="00CF70D4"/>
    <w:rsid w:val="00CF7206"/>
    <w:rsid w:val="00CF725A"/>
    <w:rsid w:val="00D003D1"/>
    <w:rsid w:val="00D00931"/>
    <w:rsid w:val="00D03221"/>
    <w:rsid w:val="00D033C2"/>
    <w:rsid w:val="00D03CC8"/>
    <w:rsid w:val="00D04BA7"/>
    <w:rsid w:val="00D102CE"/>
    <w:rsid w:val="00D1223E"/>
    <w:rsid w:val="00D14007"/>
    <w:rsid w:val="00D16478"/>
    <w:rsid w:val="00D17327"/>
    <w:rsid w:val="00D20AAB"/>
    <w:rsid w:val="00D21CC3"/>
    <w:rsid w:val="00D223C2"/>
    <w:rsid w:val="00D225E4"/>
    <w:rsid w:val="00D24BD5"/>
    <w:rsid w:val="00D25235"/>
    <w:rsid w:val="00D25C6D"/>
    <w:rsid w:val="00D25DEB"/>
    <w:rsid w:val="00D27139"/>
    <w:rsid w:val="00D276B9"/>
    <w:rsid w:val="00D31A3B"/>
    <w:rsid w:val="00D3271C"/>
    <w:rsid w:val="00D346D9"/>
    <w:rsid w:val="00D36262"/>
    <w:rsid w:val="00D36336"/>
    <w:rsid w:val="00D40D1C"/>
    <w:rsid w:val="00D40E59"/>
    <w:rsid w:val="00D410EA"/>
    <w:rsid w:val="00D41E7F"/>
    <w:rsid w:val="00D421EC"/>
    <w:rsid w:val="00D4343C"/>
    <w:rsid w:val="00D43FE7"/>
    <w:rsid w:val="00D46C08"/>
    <w:rsid w:val="00D517EC"/>
    <w:rsid w:val="00D51C6C"/>
    <w:rsid w:val="00D52294"/>
    <w:rsid w:val="00D53799"/>
    <w:rsid w:val="00D539A6"/>
    <w:rsid w:val="00D54A42"/>
    <w:rsid w:val="00D558AE"/>
    <w:rsid w:val="00D56516"/>
    <w:rsid w:val="00D5792A"/>
    <w:rsid w:val="00D60170"/>
    <w:rsid w:val="00D623DD"/>
    <w:rsid w:val="00D65240"/>
    <w:rsid w:val="00D70450"/>
    <w:rsid w:val="00D7159A"/>
    <w:rsid w:val="00D71613"/>
    <w:rsid w:val="00D74602"/>
    <w:rsid w:val="00D75ABC"/>
    <w:rsid w:val="00D75C24"/>
    <w:rsid w:val="00D75F0D"/>
    <w:rsid w:val="00D76F5B"/>
    <w:rsid w:val="00D81679"/>
    <w:rsid w:val="00D83167"/>
    <w:rsid w:val="00D86407"/>
    <w:rsid w:val="00D90361"/>
    <w:rsid w:val="00D90509"/>
    <w:rsid w:val="00D92977"/>
    <w:rsid w:val="00D92A4E"/>
    <w:rsid w:val="00D93A04"/>
    <w:rsid w:val="00D93EEE"/>
    <w:rsid w:val="00D94570"/>
    <w:rsid w:val="00DA04DB"/>
    <w:rsid w:val="00DA1305"/>
    <w:rsid w:val="00DA559F"/>
    <w:rsid w:val="00DA67DC"/>
    <w:rsid w:val="00DA71CD"/>
    <w:rsid w:val="00DB0304"/>
    <w:rsid w:val="00DB103E"/>
    <w:rsid w:val="00DB1D18"/>
    <w:rsid w:val="00DB2A04"/>
    <w:rsid w:val="00DB3C57"/>
    <w:rsid w:val="00DB4AE2"/>
    <w:rsid w:val="00DB6052"/>
    <w:rsid w:val="00DB6253"/>
    <w:rsid w:val="00DC25F8"/>
    <w:rsid w:val="00DC314D"/>
    <w:rsid w:val="00DC3205"/>
    <w:rsid w:val="00DC47AF"/>
    <w:rsid w:val="00DC6849"/>
    <w:rsid w:val="00DC7D27"/>
    <w:rsid w:val="00DD06F8"/>
    <w:rsid w:val="00DD072A"/>
    <w:rsid w:val="00DD1168"/>
    <w:rsid w:val="00DD18DE"/>
    <w:rsid w:val="00DD4390"/>
    <w:rsid w:val="00DD4BDF"/>
    <w:rsid w:val="00DD5C00"/>
    <w:rsid w:val="00DD6AF7"/>
    <w:rsid w:val="00DD6DC4"/>
    <w:rsid w:val="00DE0470"/>
    <w:rsid w:val="00DE28C2"/>
    <w:rsid w:val="00DE5E01"/>
    <w:rsid w:val="00DE63BF"/>
    <w:rsid w:val="00DE6D95"/>
    <w:rsid w:val="00DE7494"/>
    <w:rsid w:val="00DF0869"/>
    <w:rsid w:val="00DF4388"/>
    <w:rsid w:val="00DF44D9"/>
    <w:rsid w:val="00DF4FC1"/>
    <w:rsid w:val="00DF69BE"/>
    <w:rsid w:val="00E01B17"/>
    <w:rsid w:val="00E021DA"/>
    <w:rsid w:val="00E02D64"/>
    <w:rsid w:val="00E03866"/>
    <w:rsid w:val="00E05862"/>
    <w:rsid w:val="00E05CE1"/>
    <w:rsid w:val="00E0608C"/>
    <w:rsid w:val="00E07372"/>
    <w:rsid w:val="00E100A3"/>
    <w:rsid w:val="00E108D4"/>
    <w:rsid w:val="00E11E1D"/>
    <w:rsid w:val="00E12AD3"/>
    <w:rsid w:val="00E1418E"/>
    <w:rsid w:val="00E22344"/>
    <w:rsid w:val="00E239EA"/>
    <w:rsid w:val="00E23AEF"/>
    <w:rsid w:val="00E2585E"/>
    <w:rsid w:val="00E2592F"/>
    <w:rsid w:val="00E261A4"/>
    <w:rsid w:val="00E27495"/>
    <w:rsid w:val="00E302E4"/>
    <w:rsid w:val="00E347E0"/>
    <w:rsid w:val="00E3554F"/>
    <w:rsid w:val="00E36250"/>
    <w:rsid w:val="00E3694A"/>
    <w:rsid w:val="00E37206"/>
    <w:rsid w:val="00E40A25"/>
    <w:rsid w:val="00E41F9F"/>
    <w:rsid w:val="00E43C3B"/>
    <w:rsid w:val="00E444AF"/>
    <w:rsid w:val="00E44787"/>
    <w:rsid w:val="00E44938"/>
    <w:rsid w:val="00E44E74"/>
    <w:rsid w:val="00E44F60"/>
    <w:rsid w:val="00E4516A"/>
    <w:rsid w:val="00E45407"/>
    <w:rsid w:val="00E4546A"/>
    <w:rsid w:val="00E46E35"/>
    <w:rsid w:val="00E476ED"/>
    <w:rsid w:val="00E51F02"/>
    <w:rsid w:val="00E549CF"/>
    <w:rsid w:val="00E55405"/>
    <w:rsid w:val="00E55E04"/>
    <w:rsid w:val="00E57C03"/>
    <w:rsid w:val="00E60A05"/>
    <w:rsid w:val="00E60CC3"/>
    <w:rsid w:val="00E610FA"/>
    <w:rsid w:val="00E6298F"/>
    <w:rsid w:val="00E63AE6"/>
    <w:rsid w:val="00E63F8D"/>
    <w:rsid w:val="00E644CC"/>
    <w:rsid w:val="00E67342"/>
    <w:rsid w:val="00E674D1"/>
    <w:rsid w:val="00E70008"/>
    <w:rsid w:val="00E701DB"/>
    <w:rsid w:val="00E70FD6"/>
    <w:rsid w:val="00E71781"/>
    <w:rsid w:val="00E71DFE"/>
    <w:rsid w:val="00E74CA5"/>
    <w:rsid w:val="00E76555"/>
    <w:rsid w:val="00E76702"/>
    <w:rsid w:val="00E80D1C"/>
    <w:rsid w:val="00E819C3"/>
    <w:rsid w:val="00E81C7C"/>
    <w:rsid w:val="00E82BD1"/>
    <w:rsid w:val="00E839AA"/>
    <w:rsid w:val="00E86DFE"/>
    <w:rsid w:val="00EA0FEB"/>
    <w:rsid w:val="00EA28E0"/>
    <w:rsid w:val="00EA2F77"/>
    <w:rsid w:val="00EA30E1"/>
    <w:rsid w:val="00EA31BF"/>
    <w:rsid w:val="00EA359D"/>
    <w:rsid w:val="00EA524A"/>
    <w:rsid w:val="00EA688E"/>
    <w:rsid w:val="00EA7093"/>
    <w:rsid w:val="00EB0259"/>
    <w:rsid w:val="00EB0C5C"/>
    <w:rsid w:val="00EB15BF"/>
    <w:rsid w:val="00EB1CCE"/>
    <w:rsid w:val="00EB3F51"/>
    <w:rsid w:val="00EB67CF"/>
    <w:rsid w:val="00EB7370"/>
    <w:rsid w:val="00EC067D"/>
    <w:rsid w:val="00EC0EF1"/>
    <w:rsid w:val="00EC1E9D"/>
    <w:rsid w:val="00EC2305"/>
    <w:rsid w:val="00EC25C5"/>
    <w:rsid w:val="00EC35E4"/>
    <w:rsid w:val="00EC364A"/>
    <w:rsid w:val="00EC43E9"/>
    <w:rsid w:val="00EC4D7D"/>
    <w:rsid w:val="00EC5466"/>
    <w:rsid w:val="00ED1BC7"/>
    <w:rsid w:val="00ED1EA4"/>
    <w:rsid w:val="00ED22AD"/>
    <w:rsid w:val="00ED3082"/>
    <w:rsid w:val="00ED3F12"/>
    <w:rsid w:val="00ED4960"/>
    <w:rsid w:val="00EE139D"/>
    <w:rsid w:val="00EE1F18"/>
    <w:rsid w:val="00EE2279"/>
    <w:rsid w:val="00EE2F9F"/>
    <w:rsid w:val="00EE57FF"/>
    <w:rsid w:val="00EE6158"/>
    <w:rsid w:val="00EF124D"/>
    <w:rsid w:val="00EF129D"/>
    <w:rsid w:val="00EF1EC2"/>
    <w:rsid w:val="00EF1F36"/>
    <w:rsid w:val="00EF22F0"/>
    <w:rsid w:val="00EF346F"/>
    <w:rsid w:val="00EF79D7"/>
    <w:rsid w:val="00F00437"/>
    <w:rsid w:val="00F00AD5"/>
    <w:rsid w:val="00F00C32"/>
    <w:rsid w:val="00F01DD8"/>
    <w:rsid w:val="00F02D4D"/>
    <w:rsid w:val="00F03CBD"/>
    <w:rsid w:val="00F04BA6"/>
    <w:rsid w:val="00F0684B"/>
    <w:rsid w:val="00F11AA2"/>
    <w:rsid w:val="00F12166"/>
    <w:rsid w:val="00F12948"/>
    <w:rsid w:val="00F135E1"/>
    <w:rsid w:val="00F142A8"/>
    <w:rsid w:val="00F14864"/>
    <w:rsid w:val="00F15AE4"/>
    <w:rsid w:val="00F15DF8"/>
    <w:rsid w:val="00F22C55"/>
    <w:rsid w:val="00F23C14"/>
    <w:rsid w:val="00F27B4F"/>
    <w:rsid w:val="00F32AFF"/>
    <w:rsid w:val="00F33815"/>
    <w:rsid w:val="00F33AB7"/>
    <w:rsid w:val="00F34269"/>
    <w:rsid w:val="00F342B7"/>
    <w:rsid w:val="00F35A34"/>
    <w:rsid w:val="00F36403"/>
    <w:rsid w:val="00F36668"/>
    <w:rsid w:val="00F36869"/>
    <w:rsid w:val="00F36E77"/>
    <w:rsid w:val="00F41D01"/>
    <w:rsid w:val="00F4295E"/>
    <w:rsid w:val="00F44A7E"/>
    <w:rsid w:val="00F44D71"/>
    <w:rsid w:val="00F45BF2"/>
    <w:rsid w:val="00F5063E"/>
    <w:rsid w:val="00F51539"/>
    <w:rsid w:val="00F57340"/>
    <w:rsid w:val="00F60C75"/>
    <w:rsid w:val="00F6289D"/>
    <w:rsid w:val="00F62DC2"/>
    <w:rsid w:val="00F62E2B"/>
    <w:rsid w:val="00F64095"/>
    <w:rsid w:val="00F65284"/>
    <w:rsid w:val="00F6591B"/>
    <w:rsid w:val="00F70D63"/>
    <w:rsid w:val="00F711E6"/>
    <w:rsid w:val="00F71565"/>
    <w:rsid w:val="00F724FC"/>
    <w:rsid w:val="00F7287F"/>
    <w:rsid w:val="00F72BEE"/>
    <w:rsid w:val="00F73212"/>
    <w:rsid w:val="00F740A5"/>
    <w:rsid w:val="00F74879"/>
    <w:rsid w:val="00F7516F"/>
    <w:rsid w:val="00F75986"/>
    <w:rsid w:val="00F7710A"/>
    <w:rsid w:val="00F77238"/>
    <w:rsid w:val="00F84152"/>
    <w:rsid w:val="00F848BD"/>
    <w:rsid w:val="00F85278"/>
    <w:rsid w:val="00F8563F"/>
    <w:rsid w:val="00F864F5"/>
    <w:rsid w:val="00F86ABC"/>
    <w:rsid w:val="00F91473"/>
    <w:rsid w:val="00F94148"/>
    <w:rsid w:val="00F94951"/>
    <w:rsid w:val="00FA1A3C"/>
    <w:rsid w:val="00FA1F52"/>
    <w:rsid w:val="00FA23AB"/>
    <w:rsid w:val="00FA252C"/>
    <w:rsid w:val="00FA4557"/>
    <w:rsid w:val="00FA748D"/>
    <w:rsid w:val="00FA772C"/>
    <w:rsid w:val="00FB1B28"/>
    <w:rsid w:val="00FB4174"/>
    <w:rsid w:val="00FB6661"/>
    <w:rsid w:val="00FB68D5"/>
    <w:rsid w:val="00FB78DB"/>
    <w:rsid w:val="00FC01AB"/>
    <w:rsid w:val="00FC58E2"/>
    <w:rsid w:val="00FC6063"/>
    <w:rsid w:val="00FC6915"/>
    <w:rsid w:val="00FC756C"/>
    <w:rsid w:val="00FD055A"/>
    <w:rsid w:val="00FD2B7F"/>
    <w:rsid w:val="00FD3740"/>
    <w:rsid w:val="00FD5FF1"/>
    <w:rsid w:val="00FD6E99"/>
    <w:rsid w:val="00FE1D67"/>
    <w:rsid w:val="00FE2481"/>
    <w:rsid w:val="00FE25F5"/>
    <w:rsid w:val="00FE266C"/>
    <w:rsid w:val="00FE31B0"/>
    <w:rsid w:val="00FE4061"/>
    <w:rsid w:val="00FE4F59"/>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C000"/>
  <w15:docId w15:val="{4FE8A615-0452-412B-93AD-A5155421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2020-05-06T18:30:00+00:00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F1D9B-0B3F-4DC3-869F-416C2FAF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101EB-F3B1-4996-8580-274AF51D693F}">
  <ds:schemaRefs>
    <ds:schemaRef ds:uri="http://schemas.microsoft.com/sharepoint/v3/contenttype/forms"/>
  </ds:schemaRefs>
</ds:datastoreItem>
</file>

<file path=customXml/itemProps3.xml><?xml version="1.0" encoding="utf-8"?>
<ds:datastoreItem xmlns:ds="http://schemas.openxmlformats.org/officeDocument/2006/customXml" ds:itemID="{5168CBAE-A2ED-4033-85B3-16BF861EBF2A}">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CFE3E1EE-08E8-4640-BDAF-05BC6631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5923</Words>
  <Characters>33764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Kandando v Medical and Dental Council of Namibia</vt:lpstr>
    </vt:vector>
  </TitlesOfParts>
  <Company>Hewlett-Packard Company</Company>
  <LinksUpToDate>false</LinksUpToDate>
  <CharactersWithSpaces>39608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Kandando v Medical and Dental Council of Namibia</dc:title>
  <dc:creator>ybasson</dc:creator>
  <cp:lastModifiedBy>HOME</cp:lastModifiedBy>
  <cp:revision>2</cp:revision>
  <cp:lastPrinted>2020-05-05T07:59:00Z</cp:lastPrinted>
  <dcterms:created xsi:type="dcterms:W3CDTF">2021-07-19T14:06:00Z</dcterms:created>
  <dcterms:modified xsi:type="dcterms:W3CDTF">2021-07-19T14:06:00Z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